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0A43F5" w14:textId="56F0972F" w:rsidR="00F4794D" w:rsidRPr="009A5185" w:rsidRDefault="00F4794D" w:rsidP="00C021E4">
      <w:pPr>
        <w:pStyle w:val="Heading9"/>
        <w:rPr>
          <w:rFonts w:cs="Arial"/>
        </w:rPr>
      </w:pPr>
      <w:bookmarkStart w:id="0" w:name="_top"/>
      <w:bookmarkEnd w:id="0"/>
      <w:r w:rsidRPr="009A5185">
        <w:rPr>
          <w:rFonts w:cs="Arial"/>
        </w:rPr>
        <w:t xml:space="preserve"> </w:t>
      </w:r>
    </w:p>
    <w:tbl>
      <w:tblPr>
        <w:tblW w:w="5000" w:type="pct"/>
        <w:jc w:val="center"/>
        <w:tblLook w:val="04A0" w:firstRow="1" w:lastRow="0" w:firstColumn="1" w:lastColumn="0" w:noHBand="0" w:noVBand="1"/>
      </w:tblPr>
      <w:tblGrid>
        <w:gridCol w:w="9360"/>
      </w:tblGrid>
      <w:tr w:rsidR="00D1257B" w:rsidRPr="009A5185" w14:paraId="2404DAAF" w14:textId="77777777" w:rsidTr="00BD429F">
        <w:trPr>
          <w:trHeight w:val="1440"/>
          <w:jc w:val="center"/>
        </w:trPr>
        <w:tc>
          <w:tcPr>
            <w:tcW w:w="5000" w:type="pct"/>
            <w:shd w:val="clear" w:color="auto" w:fill="213468"/>
            <w:vAlign w:val="center"/>
          </w:tcPr>
          <w:p w14:paraId="6ADE0A9B" w14:textId="77777777" w:rsidR="005C6B81" w:rsidRPr="009A5185" w:rsidRDefault="00D1257B" w:rsidP="00D3669B">
            <w:pPr>
              <w:pStyle w:val="NoSpacing"/>
              <w:jc w:val="center"/>
              <w:rPr>
                <w:rFonts w:ascii="Arial" w:eastAsia="MS Gothic" w:hAnsi="Arial" w:cs="Arial"/>
                <w:color w:val="FFFFFF" w:themeColor="background1"/>
                <w:sz w:val="48"/>
                <w:szCs w:val="48"/>
              </w:rPr>
            </w:pPr>
            <w:r w:rsidRPr="009A5185">
              <w:rPr>
                <w:rFonts w:ascii="Arial" w:eastAsia="MS Gothic" w:hAnsi="Arial" w:cs="Arial"/>
                <w:color w:val="FFFFFF" w:themeColor="background1"/>
                <w:sz w:val="48"/>
                <w:szCs w:val="48"/>
              </w:rPr>
              <w:t>Leapfrog Hospital Survey</w:t>
            </w:r>
            <w:r w:rsidR="005C6B81" w:rsidRPr="009A5185">
              <w:rPr>
                <w:rFonts w:ascii="Arial" w:eastAsia="MS Gothic" w:hAnsi="Arial" w:cs="Arial"/>
                <w:color w:val="FFFFFF" w:themeColor="background1"/>
                <w:sz w:val="48"/>
                <w:szCs w:val="48"/>
              </w:rPr>
              <w:t xml:space="preserve"> </w:t>
            </w:r>
          </w:p>
          <w:p w14:paraId="6349DF35" w14:textId="77777777" w:rsidR="00D1257B" w:rsidRPr="009A5185" w:rsidRDefault="006E2BE6" w:rsidP="006E2BE6">
            <w:pPr>
              <w:pStyle w:val="NoSpacing"/>
              <w:jc w:val="center"/>
              <w:rPr>
                <w:rFonts w:ascii="Arial" w:eastAsia="MS Gothic" w:hAnsi="Arial" w:cs="Arial"/>
                <w:sz w:val="48"/>
                <w:szCs w:val="48"/>
              </w:rPr>
            </w:pPr>
            <w:r w:rsidRPr="009A5185">
              <w:rPr>
                <w:rFonts w:ascii="Arial" w:eastAsia="MS Gothic" w:hAnsi="Arial" w:cs="Arial"/>
                <w:color w:val="FFFFFF" w:themeColor="background1"/>
                <w:sz w:val="48"/>
                <w:szCs w:val="48"/>
                <w:lang w:eastAsia="ja-JP"/>
              </w:rPr>
              <w:t>Hard Copy</w:t>
            </w:r>
          </w:p>
        </w:tc>
      </w:tr>
    </w:tbl>
    <w:p w14:paraId="69462AA9" w14:textId="77777777" w:rsidR="00FE49F2" w:rsidRPr="009A5185" w:rsidRDefault="00FE49F2" w:rsidP="006B5931">
      <w:pPr>
        <w:rPr>
          <w:rFonts w:cs="Arial"/>
          <w:b/>
          <w:i/>
          <w:sz w:val="24"/>
          <w:szCs w:val="24"/>
          <w:highlight w:val="yellow"/>
        </w:rPr>
      </w:pPr>
    </w:p>
    <w:p w14:paraId="43DF9359" w14:textId="77777777" w:rsidR="00505C3D" w:rsidRPr="00BD429F" w:rsidRDefault="009A399D" w:rsidP="00937518">
      <w:pPr>
        <w:jc w:val="center"/>
        <w:rPr>
          <w:rFonts w:cs="Arial"/>
          <w:b/>
          <w:color w:val="213468"/>
          <w:sz w:val="32"/>
          <w:szCs w:val="32"/>
        </w:rPr>
      </w:pPr>
      <w:r w:rsidRPr="00BD429F">
        <w:rPr>
          <w:rFonts w:cs="Arial"/>
          <w:b/>
          <w:color w:val="213468"/>
          <w:sz w:val="32"/>
          <w:szCs w:val="32"/>
        </w:rPr>
        <w:t>QUESTIONS</w:t>
      </w:r>
      <w:r w:rsidR="00937518" w:rsidRPr="00BD429F">
        <w:rPr>
          <w:rFonts w:cs="Arial"/>
          <w:b/>
          <w:color w:val="213468"/>
          <w:sz w:val="32"/>
          <w:szCs w:val="32"/>
        </w:rPr>
        <w:t xml:space="preserve"> &amp; </w:t>
      </w:r>
      <w:r w:rsidRPr="00BD429F">
        <w:rPr>
          <w:rFonts w:cs="Arial"/>
          <w:b/>
          <w:color w:val="213468"/>
          <w:sz w:val="32"/>
          <w:szCs w:val="32"/>
        </w:rPr>
        <w:t>REPORTING PERIODS</w:t>
      </w:r>
    </w:p>
    <w:p w14:paraId="7324A421" w14:textId="77777777" w:rsidR="00FE49F2" w:rsidRPr="00BD429F" w:rsidRDefault="009A399D" w:rsidP="00937518">
      <w:pPr>
        <w:jc w:val="center"/>
        <w:rPr>
          <w:rFonts w:cs="Arial"/>
          <w:b/>
          <w:color w:val="213468"/>
          <w:sz w:val="32"/>
          <w:szCs w:val="32"/>
        </w:rPr>
      </w:pPr>
      <w:r w:rsidRPr="00BD429F">
        <w:rPr>
          <w:rFonts w:cs="Arial"/>
          <w:b/>
          <w:color w:val="213468"/>
          <w:sz w:val="32"/>
          <w:szCs w:val="32"/>
        </w:rPr>
        <w:t>ENDNOTES</w:t>
      </w:r>
    </w:p>
    <w:p w14:paraId="5FB98E48" w14:textId="77777777" w:rsidR="00505C3D" w:rsidRPr="00BD429F" w:rsidRDefault="009A399D" w:rsidP="00937518">
      <w:pPr>
        <w:jc w:val="center"/>
        <w:rPr>
          <w:rFonts w:cs="Arial"/>
          <w:b/>
          <w:color w:val="213468"/>
          <w:sz w:val="32"/>
          <w:szCs w:val="32"/>
        </w:rPr>
      </w:pPr>
      <w:r w:rsidRPr="00BD429F">
        <w:rPr>
          <w:rFonts w:cs="Arial"/>
          <w:b/>
          <w:color w:val="213468"/>
          <w:sz w:val="32"/>
          <w:szCs w:val="32"/>
        </w:rPr>
        <w:t>MEASURE SPECIFICATIONS</w:t>
      </w:r>
    </w:p>
    <w:p w14:paraId="6C944994" w14:textId="0F7B6EBA" w:rsidR="00FE49F2" w:rsidRPr="00BD429F" w:rsidRDefault="009A399D" w:rsidP="00937518">
      <w:pPr>
        <w:jc w:val="center"/>
        <w:rPr>
          <w:rFonts w:cs="Arial"/>
          <w:b/>
          <w:color w:val="213468"/>
          <w:sz w:val="32"/>
          <w:szCs w:val="32"/>
        </w:rPr>
      </w:pPr>
      <w:r w:rsidRPr="00BD429F">
        <w:rPr>
          <w:rFonts w:cs="Arial"/>
          <w:b/>
          <w:color w:val="213468"/>
          <w:sz w:val="32"/>
          <w:szCs w:val="32"/>
        </w:rPr>
        <w:t>FAQS</w:t>
      </w:r>
    </w:p>
    <w:p w14:paraId="0FD7A269" w14:textId="77777777" w:rsidR="00FE49F2" w:rsidRPr="009A5185" w:rsidRDefault="00FE49F2" w:rsidP="00937518">
      <w:pPr>
        <w:jc w:val="center"/>
        <w:rPr>
          <w:rFonts w:cs="Arial"/>
          <w:b/>
          <w:color w:val="4F6228" w:themeColor="accent3" w:themeShade="80"/>
          <w:sz w:val="28"/>
          <w:szCs w:val="28"/>
          <w:highlight w:val="yellow"/>
        </w:rPr>
      </w:pPr>
    </w:p>
    <w:p w14:paraId="5E7E627F" w14:textId="77777777" w:rsidR="00590079" w:rsidRPr="009A5185" w:rsidRDefault="00590079" w:rsidP="00282DDD">
      <w:pPr>
        <w:jc w:val="right"/>
        <w:rPr>
          <w:rFonts w:cs="Arial"/>
          <w:b/>
          <w:sz w:val="28"/>
          <w:szCs w:val="28"/>
          <w:highlight w:val="yellow"/>
        </w:rPr>
      </w:pPr>
    </w:p>
    <w:p w14:paraId="31957F80" w14:textId="77777777" w:rsidR="00590079" w:rsidRPr="009A5185" w:rsidRDefault="00590079" w:rsidP="00590079">
      <w:pPr>
        <w:rPr>
          <w:rFonts w:cs="Arial"/>
          <w:sz w:val="28"/>
          <w:szCs w:val="28"/>
          <w:highlight w:val="yellow"/>
        </w:rPr>
      </w:pPr>
    </w:p>
    <w:p w14:paraId="4F49116A" w14:textId="77777777" w:rsidR="00590079" w:rsidRPr="009A5185" w:rsidRDefault="00590079" w:rsidP="00590079">
      <w:pPr>
        <w:rPr>
          <w:rFonts w:cs="Arial"/>
          <w:sz w:val="28"/>
          <w:szCs w:val="28"/>
          <w:highlight w:val="yellow"/>
        </w:rPr>
      </w:pPr>
    </w:p>
    <w:p w14:paraId="412DE706" w14:textId="77777777" w:rsidR="00590079" w:rsidRPr="009A5185" w:rsidRDefault="00590079" w:rsidP="00590079">
      <w:pPr>
        <w:rPr>
          <w:rFonts w:cs="Arial"/>
          <w:sz w:val="28"/>
          <w:szCs w:val="28"/>
          <w:highlight w:val="yellow"/>
        </w:rPr>
      </w:pPr>
    </w:p>
    <w:p w14:paraId="1904B104" w14:textId="77777777" w:rsidR="00590079" w:rsidRPr="009A5185" w:rsidRDefault="00590079" w:rsidP="00590079">
      <w:pPr>
        <w:rPr>
          <w:rFonts w:cs="Arial"/>
          <w:sz w:val="28"/>
          <w:szCs w:val="28"/>
          <w:highlight w:val="yellow"/>
        </w:rPr>
      </w:pPr>
    </w:p>
    <w:p w14:paraId="6407A624" w14:textId="77777777" w:rsidR="00590079" w:rsidRPr="009A5185" w:rsidRDefault="00590079" w:rsidP="00590079">
      <w:pPr>
        <w:rPr>
          <w:rFonts w:cs="Arial"/>
          <w:sz w:val="28"/>
          <w:szCs w:val="28"/>
          <w:highlight w:val="yellow"/>
        </w:rPr>
      </w:pPr>
    </w:p>
    <w:p w14:paraId="147D9C0E" w14:textId="77777777" w:rsidR="00590079" w:rsidRPr="009A5185" w:rsidRDefault="00590079" w:rsidP="0050320E">
      <w:pPr>
        <w:rPr>
          <w:rFonts w:cs="Arial"/>
          <w:sz w:val="28"/>
          <w:szCs w:val="28"/>
          <w:highlight w:val="yellow"/>
        </w:rPr>
      </w:pPr>
    </w:p>
    <w:p w14:paraId="31D88AEC" w14:textId="77777777" w:rsidR="00590079" w:rsidRPr="009A5185" w:rsidRDefault="00590079" w:rsidP="0050320E">
      <w:pPr>
        <w:rPr>
          <w:rFonts w:cs="Arial"/>
          <w:sz w:val="28"/>
          <w:szCs w:val="28"/>
          <w:highlight w:val="yellow"/>
        </w:rPr>
      </w:pPr>
    </w:p>
    <w:p w14:paraId="05A59F24" w14:textId="0B1A4093" w:rsidR="00C162DC" w:rsidRDefault="00C162DC" w:rsidP="00C162DC">
      <w:pPr>
        <w:pStyle w:val="NormalWeb"/>
      </w:pPr>
    </w:p>
    <w:p w14:paraId="5B563E4C" w14:textId="77777777" w:rsidR="00590079" w:rsidRPr="009A5185" w:rsidRDefault="00590079" w:rsidP="0050320E">
      <w:pPr>
        <w:rPr>
          <w:rFonts w:cs="Arial"/>
          <w:sz w:val="28"/>
          <w:szCs w:val="28"/>
          <w:highlight w:val="yellow"/>
        </w:rPr>
      </w:pPr>
    </w:p>
    <w:p w14:paraId="16A0DD27" w14:textId="77777777" w:rsidR="00590079" w:rsidRPr="009A5185" w:rsidRDefault="00590079" w:rsidP="0050320E">
      <w:pPr>
        <w:rPr>
          <w:rFonts w:cs="Arial"/>
          <w:sz w:val="28"/>
          <w:szCs w:val="28"/>
          <w:highlight w:val="yellow"/>
        </w:rPr>
      </w:pPr>
    </w:p>
    <w:p w14:paraId="3450D817" w14:textId="77777777" w:rsidR="00590079" w:rsidRPr="009A5185" w:rsidRDefault="00590079" w:rsidP="0050320E">
      <w:pPr>
        <w:rPr>
          <w:rFonts w:cs="Arial"/>
          <w:sz w:val="28"/>
          <w:szCs w:val="28"/>
          <w:highlight w:val="yellow"/>
        </w:rPr>
      </w:pPr>
    </w:p>
    <w:p w14:paraId="1C7EC9AB" w14:textId="05C4A46C" w:rsidR="00590079" w:rsidRPr="009A5185" w:rsidRDefault="00590079" w:rsidP="00CF0B79">
      <w:pPr>
        <w:rPr>
          <w:rFonts w:cs="Arial"/>
          <w:sz w:val="28"/>
          <w:szCs w:val="28"/>
          <w:highlight w:val="yellow"/>
        </w:rPr>
      </w:pPr>
    </w:p>
    <w:p w14:paraId="470B5A65" w14:textId="74A6A04D" w:rsidR="00590079" w:rsidRPr="009A5185" w:rsidRDefault="00590079" w:rsidP="00CF40BC">
      <w:pPr>
        <w:rPr>
          <w:rFonts w:cs="Arial"/>
          <w:sz w:val="28"/>
          <w:szCs w:val="28"/>
          <w:highlight w:val="yellow"/>
        </w:rPr>
      </w:pPr>
    </w:p>
    <w:p w14:paraId="1997B427" w14:textId="6B7848B8" w:rsidR="00590079" w:rsidRPr="009A5185" w:rsidRDefault="00590079" w:rsidP="007A1594">
      <w:pPr>
        <w:rPr>
          <w:rFonts w:cs="Arial"/>
          <w:sz w:val="28"/>
          <w:szCs w:val="28"/>
          <w:highlight w:val="yellow"/>
        </w:rPr>
      </w:pPr>
    </w:p>
    <w:p w14:paraId="6BE6FF60" w14:textId="32565F2D" w:rsidR="00590079" w:rsidRPr="009A5185" w:rsidRDefault="00590079" w:rsidP="00B55902">
      <w:pPr>
        <w:rPr>
          <w:rFonts w:cs="Arial"/>
          <w:sz w:val="28"/>
          <w:szCs w:val="28"/>
          <w:highlight w:val="yellow"/>
        </w:rPr>
      </w:pPr>
    </w:p>
    <w:p w14:paraId="17E00375" w14:textId="673EF79D" w:rsidR="00590079" w:rsidRPr="009A5185" w:rsidRDefault="00590079" w:rsidP="00B55902">
      <w:pPr>
        <w:rPr>
          <w:rFonts w:cs="Arial"/>
          <w:sz w:val="28"/>
          <w:szCs w:val="28"/>
          <w:highlight w:val="yellow"/>
        </w:rPr>
      </w:pPr>
    </w:p>
    <w:p w14:paraId="07F16378" w14:textId="3BAA32D0" w:rsidR="00590079" w:rsidRPr="009A5185" w:rsidRDefault="00590079" w:rsidP="00B55902">
      <w:pPr>
        <w:rPr>
          <w:rFonts w:cs="Arial"/>
          <w:sz w:val="28"/>
          <w:szCs w:val="28"/>
          <w:highlight w:val="yellow"/>
        </w:rPr>
      </w:pPr>
    </w:p>
    <w:p w14:paraId="52819C67" w14:textId="58CDBCEA" w:rsidR="00590079" w:rsidRPr="009A5185" w:rsidRDefault="00590079" w:rsidP="00B55902">
      <w:pPr>
        <w:rPr>
          <w:rFonts w:cs="Arial"/>
          <w:sz w:val="28"/>
          <w:szCs w:val="28"/>
          <w:highlight w:val="yellow"/>
        </w:rPr>
      </w:pPr>
    </w:p>
    <w:p w14:paraId="515A02E5" w14:textId="64D2F821" w:rsidR="00590079" w:rsidRPr="009A5185" w:rsidRDefault="00590079" w:rsidP="005E1FC5">
      <w:pPr>
        <w:jc w:val="center"/>
        <w:rPr>
          <w:rFonts w:cs="Arial"/>
          <w:sz w:val="28"/>
          <w:szCs w:val="28"/>
          <w:highlight w:val="yellow"/>
        </w:rPr>
      </w:pPr>
    </w:p>
    <w:p w14:paraId="052DDF1D" w14:textId="54ADFC7C" w:rsidR="00590079" w:rsidRPr="009A5185" w:rsidRDefault="00590079" w:rsidP="005B7128">
      <w:pPr>
        <w:rPr>
          <w:rFonts w:cs="Arial"/>
          <w:sz w:val="28"/>
          <w:szCs w:val="28"/>
          <w:highlight w:val="yellow"/>
        </w:rPr>
      </w:pPr>
    </w:p>
    <w:p w14:paraId="4BD51FCB" w14:textId="45F9812E" w:rsidR="00590079" w:rsidRPr="009A5185" w:rsidRDefault="00590079" w:rsidP="005B7128">
      <w:pPr>
        <w:rPr>
          <w:rFonts w:cs="Arial"/>
          <w:sz w:val="28"/>
          <w:szCs w:val="28"/>
          <w:highlight w:val="yellow"/>
        </w:rPr>
      </w:pPr>
    </w:p>
    <w:p w14:paraId="4A319ACB" w14:textId="67DC6AE5" w:rsidR="00590079" w:rsidRPr="009A5185" w:rsidRDefault="00590079" w:rsidP="00590079">
      <w:pPr>
        <w:rPr>
          <w:rFonts w:cs="Arial"/>
          <w:sz w:val="28"/>
          <w:szCs w:val="28"/>
          <w:highlight w:val="yellow"/>
        </w:rPr>
      </w:pPr>
    </w:p>
    <w:p w14:paraId="6C0C34BC" w14:textId="0DFDBF51" w:rsidR="009468FF" w:rsidRDefault="00120088" w:rsidP="009468FF">
      <w:pPr>
        <w:ind w:left="2880"/>
        <w:rPr>
          <w:noProof/>
        </w:rPr>
      </w:pPr>
      <w:r w:rsidRPr="009A5185">
        <w:rPr>
          <w:rFonts w:cs="Arial"/>
          <w:noProof/>
          <w:sz w:val="28"/>
          <w:szCs w:val="28"/>
        </w:rPr>
        <w:drawing>
          <wp:anchor distT="0" distB="0" distL="114300" distR="114300" simplePos="0" relativeHeight="251658245" behindDoc="0" locked="0" layoutInCell="1" allowOverlap="1" wp14:anchorId="518B3BE7" wp14:editId="4F6E58D1">
            <wp:simplePos x="0" y="0"/>
            <wp:positionH relativeFrom="margin">
              <wp:posOffset>1828800</wp:posOffset>
            </wp:positionH>
            <wp:positionV relativeFrom="margin">
              <wp:posOffset>7449820</wp:posOffset>
            </wp:positionV>
            <wp:extent cx="2506980" cy="1114425"/>
            <wp:effectExtent l="0" t="0" r="7620" b="9525"/>
            <wp:wrapSquare wrapText="bothSides"/>
            <wp:docPr id="4" name="Picture 4" descr="P34#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P34#y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06980" cy="1114425"/>
                    </a:xfrm>
                    <a:prstGeom prst="rect">
                      <a:avLst/>
                    </a:prstGeom>
                    <a:noFill/>
                    <a:ln>
                      <a:noFill/>
                    </a:ln>
                  </pic:spPr>
                </pic:pic>
              </a:graphicData>
            </a:graphic>
          </wp:anchor>
        </w:drawing>
      </w:r>
    </w:p>
    <w:p w14:paraId="779423CE" w14:textId="58E3082B" w:rsidR="00120088" w:rsidRDefault="00120088" w:rsidP="009468FF">
      <w:pPr>
        <w:ind w:left="2880"/>
        <w:rPr>
          <w:noProof/>
        </w:rPr>
      </w:pPr>
    </w:p>
    <w:p w14:paraId="4388ED39" w14:textId="77777777" w:rsidR="00120088" w:rsidRDefault="00120088" w:rsidP="009468FF">
      <w:pPr>
        <w:ind w:left="2880"/>
        <w:rPr>
          <w:noProof/>
        </w:rPr>
      </w:pPr>
    </w:p>
    <w:p w14:paraId="3E89DE60" w14:textId="77777777" w:rsidR="00120088" w:rsidRDefault="00120088" w:rsidP="009468FF">
      <w:pPr>
        <w:ind w:left="2880"/>
        <w:rPr>
          <w:noProof/>
        </w:rPr>
      </w:pPr>
    </w:p>
    <w:p w14:paraId="03F2B0B9" w14:textId="77777777" w:rsidR="00120088" w:rsidRDefault="00120088" w:rsidP="009468FF">
      <w:pPr>
        <w:ind w:left="2880"/>
        <w:rPr>
          <w:rFonts w:cs="Arial"/>
          <w:sz w:val="28"/>
          <w:szCs w:val="28"/>
          <w:highlight w:val="yellow"/>
        </w:rPr>
      </w:pPr>
    </w:p>
    <w:p w14:paraId="1E3851E3" w14:textId="77777777" w:rsidR="00123854" w:rsidRDefault="00123854" w:rsidP="00D92CB0"/>
    <w:p w14:paraId="128B1224" w14:textId="1C6F896A" w:rsidR="001B07B8" w:rsidRPr="009A5185" w:rsidRDefault="001B07B8" w:rsidP="00CF5A6E">
      <w:pPr>
        <w:pStyle w:val="Heading2"/>
        <w:rPr>
          <w:color w:val="17365D" w:themeColor="text2" w:themeShade="BF"/>
        </w:rPr>
      </w:pPr>
      <w:bookmarkStart w:id="1" w:name="_Toc225877635"/>
      <w:bookmarkStart w:id="2" w:name="TOC"/>
      <w:r w:rsidRPr="00BD429F">
        <w:lastRenderedPageBreak/>
        <w:t>Table of Contents</w:t>
      </w:r>
      <w:bookmarkEnd w:id="1"/>
      <w:r w:rsidRPr="009A5185">
        <w:rPr>
          <w:color w:val="17365D" w:themeColor="text2" w:themeShade="BF"/>
        </w:rPr>
        <w:t xml:space="preserve"> </w:t>
      </w:r>
      <w:bookmarkEnd w:id="2"/>
    </w:p>
    <w:p w14:paraId="7C43A46C" w14:textId="77777777" w:rsidR="00AB61D4" w:rsidRPr="00A7030E" w:rsidRDefault="00AB61D4" w:rsidP="00644EC7">
      <w:pPr>
        <w:jc w:val="center"/>
        <w:rPr>
          <w:rFonts w:cs="Arial"/>
          <w:b/>
          <w:color w:val="4F6228" w:themeColor="accent3" w:themeShade="80"/>
          <w:highlight w:val="yellow"/>
        </w:rPr>
      </w:pPr>
    </w:p>
    <w:bookmarkStart w:id="3" w:name="_Hlk36567811"/>
    <w:p w14:paraId="2920CCED" w14:textId="0D7F5EAB" w:rsidR="003C1BA0" w:rsidRPr="000E4A30" w:rsidRDefault="004656A6">
      <w:pPr>
        <w:pStyle w:val="TOC4"/>
        <w:rPr>
          <w:rFonts w:eastAsiaTheme="minorEastAsia" w:cs="Arial"/>
          <w:noProof/>
          <w:kern w:val="2"/>
          <w14:ligatures w14:val="standardContextual"/>
        </w:rPr>
      </w:pPr>
      <w:r w:rsidRPr="000E4A30">
        <w:rPr>
          <w:rFonts w:cs="Arial"/>
        </w:rPr>
        <w:fldChar w:fldCharType="begin"/>
      </w:r>
      <w:r w:rsidRPr="000E4A30">
        <w:rPr>
          <w:rFonts w:cs="Arial"/>
        </w:rPr>
        <w:instrText xml:space="preserve"> TOC \h \z \t "Heading 1,3,Heading 2,4,Heading 3,5,Heading 4,6,Title,2,Section Header,1" </w:instrText>
      </w:r>
      <w:r w:rsidRPr="000E4A30">
        <w:rPr>
          <w:rFonts w:cs="Arial"/>
        </w:rPr>
        <w:fldChar w:fldCharType="separate"/>
      </w:r>
      <w:hyperlink w:anchor="_Toc225877635" w:history="1">
        <w:r w:rsidR="003C1BA0" w:rsidRPr="000E4A30">
          <w:rPr>
            <w:rStyle w:val="Hyperlink"/>
            <w:rFonts w:cs="Arial"/>
            <w:noProof/>
          </w:rPr>
          <w:t>Table of Contents</w:t>
        </w:r>
        <w:r w:rsidR="003C1BA0" w:rsidRPr="000E4A30">
          <w:rPr>
            <w:rFonts w:cs="Arial"/>
            <w:noProof/>
            <w:webHidden/>
          </w:rPr>
          <w:tab/>
        </w:r>
        <w:r w:rsidR="003C1BA0" w:rsidRPr="000E4A30">
          <w:rPr>
            <w:rFonts w:cs="Arial"/>
            <w:noProof/>
            <w:webHidden/>
          </w:rPr>
          <w:fldChar w:fldCharType="begin"/>
        </w:r>
        <w:r w:rsidR="003C1BA0" w:rsidRPr="000E4A30">
          <w:rPr>
            <w:rFonts w:cs="Arial"/>
            <w:noProof/>
            <w:webHidden/>
          </w:rPr>
          <w:instrText xml:space="preserve"> PAGEREF _Toc225877635 \h </w:instrText>
        </w:r>
        <w:r w:rsidR="003C1BA0" w:rsidRPr="000E4A30">
          <w:rPr>
            <w:rFonts w:cs="Arial"/>
            <w:noProof/>
            <w:webHidden/>
          </w:rPr>
        </w:r>
        <w:r w:rsidR="003C1BA0" w:rsidRPr="000E4A30">
          <w:rPr>
            <w:rFonts w:cs="Arial"/>
            <w:noProof/>
            <w:webHidden/>
          </w:rPr>
          <w:fldChar w:fldCharType="separate"/>
        </w:r>
        <w:r w:rsidR="002C0DFB">
          <w:rPr>
            <w:rFonts w:cs="Arial"/>
            <w:noProof/>
            <w:webHidden/>
          </w:rPr>
          <w:t>2</w:t>
        </w:r>
        <w:r w:rsidR="003C1BA0" w:rsidRPr="000E4A30">
          <w:rPr>
            <w:rFonts w:cs="Arial"/>
            <w:noProof/>
            <w:webHidden/>
          </w:rPr>
          <w:fldChar w:fldCharType="end"/>
        </w:r>
      </w:hyperlink>
    </w:p>
    <w:p w14:paraId="6A626B8C" w14:textId="31D51FBD" w:rsidR="003C1BA0" w:rsidRPr="000E4A30" w:rsidRDefault="003C1BA0">
      <w:pPr>
        <w:pStyle w:val="TOC1"/>
        <w:rPr>
          <w:rFonts w:eastAsiaTheme="minorEastAsia" w:cs="Arial"/>
          <w:noProof/>
          <w:kern w:val="2"/>
          <w14:ligatures w14:val="standardContextual"/>
        </w:rPr>
      </w:pPr>
      <w:hyperlink w:anchor="_Toc225877636" w:history="1">
        <w:r w:rsidRPr="000E4A30">
          <w:rPr>
            <w:rStyle w:val="Hyperlink"/>
            <w:rFonts w:cs="Arial"/>
            <w:noProof/>
          </w:rPr>
          <w:t>Welcome to the 2026 Leapfrog Hospital Survey</w:t>
        </w:r>
        <w:r w:rsidRPr="000E4A30">
          <w:rPr>
            <w:rFonts w:cs="Arial"/>
            <w:noProof/>
            <w:webHidden/>
          </w:rPr>
          <w:tab/>
        </w:r>
        <w:r w:rsidRPr="000E4A30">
          <w:rPr>
            <w:rFonts w:cs="Arial"/>
            <w:noProof/>
            <w:webHidden/>
          </w:rPr>
          <w:fldChar w:fldCharType="begin"/>
        </w:r>
        <w:r w:rsidRPr="000E4A30">
          <w:rPr>
            <w:rFonts w:cs="Arial"/>
            <w:noProof/>
            <w:webHidden/>
          </w:rPr>
          <w:instrText xml:space="preserve"> PAGEREF _Toc225877636 \h </w:instrText>
        </w:r>
        <w:r w:rsidRPr="000E4A30">
          <w:rPr>
            <w:rFonts w:cs="Arial"/>
            <w:noProof/>
            <w:webHidden/>
          </w:rPr>
        </w:r>
        <w:r w:rsidRPr="000E4A30">
          <w:rPr>
            <w:rFonts w:cs="Arial"/>
            <w:noProof/>
            <w:webHidden/>
          </w:rPr>
          <w:fldChar w:fldCharType="separate"/>
        </w:r>
        <w:r w:rsidR="002C0DFB">
          <w:rPr>
            <w:rFonts w:cs="Arial"/>
            <w:noProof/>
            <w:webHidden/>
          </w:rPr>
          <w:t>9</w:t>
        </w:r>
        <w:r w:rsidRPr="000E4A30">
          <w:rPr>
            <w:rFonts w:cs="Arial"/>
            <w:noProof/>
            <w:webHidden/>
          </w:rPr>
          <w:fldChar w:fldCharType="end"/>
        </w:r>
      </w:hyperlink>
    </w:p>
    <w:p w14:paraId="5CC4D6B0" w14:textId="0556A103" w:rsidR="003C1BA0" w:rsidRPr="000E4A30" w:rsidRDefault="003C1BA0">
      <w:pPr>
        <w:pStyle w:val="TOC4"/>
        <w:rPr>
          <w:rFonts w:eastAsiaTheme="minorEastAsia" w:cs="Arial"/>
          <w:noProof/>
          <w:kern w:val="2"/>
          <w14:ligatures w14:val="standardContextual"/>
        </w:rPr>
      </w:pPr>
      <w:hyperlink w:anchor="_Toc225877637" w:history="1">
        <w:r w:rsidRPr="000E4A30">
          <w:rPr>
            <w:rStyle w:val="Hyperlink"/>
            <w:rFonts w:cs="Arial"/>
            <w:noProof/>
          </w:rPr>
          <w:t>Important Notes About the 2026 Survey</w:t>
        </w:r>
        <w:r w:rsidRPr="000E4A30">
          <w:rPr>
            <w:rFonts w:cs="Arial"/>
            <w:noProof/>
            <w:webHidden/>
          </w:rPr>
          <w:tab/>
        </w:r>
        <w:r w:rsidRPr="000E4A30">
          <w:rPr>
            <w:rFonts w:cs="Arial"/>
            <w:noProof/>
            <w:webHidden/>
          </w:rPr>
          <w:fldChar w:fldCharType="begin"/>
        </w:r>
        <w:r w:rsidRPr="000E4A30">
          <w:rPr>
            <w:rFonts w:cs="Arial"/>
            <w:noProof/>
            <w:webHidden/>
          </w:rPr>
          <w:instrText xml:space="preserve"> PAGEREF _Toc225877637 \h </w:instrText>
        </w:r>
        <w:r w:rsidRPr="000E4A30">
          <w:rPr>
            <w:rFonts w:cs="Arial"/>
            <w:noProof/>
            <w:webHidden/>
          </w:rPr>
        </w:r>
        <w:r w:rsidRPr="000E4A30">
          <w:rPr>
            <w:rFonts w:cs="Arial"/>
            <w:noProof/>
            <w:webHidden/>
          </w:rPr>
          <w:fldChar w:fldCharType="separate"/>
        </w:r>
        <w:r w:rsidR="002C0DFB">
          <w:rPr>
            <w:rFonts w:cs="Arial"/>
            <w:noProof/>
            <w:webHidden/>
          </w:rPr>
          <w:t>9</w:t>
        </w:r>
        <w:r w:rsidRPr="000E4A30">
          <w:rPr>
            <w:rFonts w:cs="Arial"/>
            <w:noProof/>
            <w:webHidden/>
          </w:rPr>
          <w:fldChar w:fldCharType="end"/>
        </w:r>
      </w:hyperlink>
    </w:p>
    <w:p w14:paraId="066D0F4F" w14:textId="68A02AE8" w:rsidR="003C1BA0" w:rsidRPr="000E4A30" w:rsidRDefault="003C1BA0">
      <w:pPr>
        <w:pStyle w:val="TOC4"/>
        <w:rPr>
          <w:rFonts w:eastAsiaTheme="minorEastAsia" w:cs="Arial"/>
          <w:noProof/>
          <w:kern w:val="2"/>
          <w14:ligatures w14:val="standardContextual"/>
        </w:rPr>
      </w:pPr>
      <w:hyperlink w:anchor="_Toc225877638" w:history="1">
        <w:r w:rsidRPr="000E4A30">
          <w:rPr>
            <w:rStyle w:val="Hyperlink"/>
            <w:rFonts w:cs="Arial"/>
            <w:noProof/>
          </w:rPr>
          <w:t>Overview of the 2026 Leapfrog Hospital Survey</w:t>
        </w:r>
        <w:r w:rsidRPr="000E4A30">
          <w:rPr>
            <w:rFonts w:cs="Arial"/>
            <w:noProof/>
            <w:webHidden/>
          </w:rPr>
          <w:tab/>
        </w:r>
        <w:r w:rsidRPr="000E4A30">
          <w:rPr>
            <w:rFonts w:cs="Arial"/>
            <w:noProof/>
            <w:webHidden/>
          </w:rPr>
          <w:fldChar w:fldCharType="begin"/>
        </w:r>
        <w:r w:rsidRPr="000E4A30">
          <w:rPr>
            <w:rFonts w:cs="Arial"/>
            <w:noProof/>
            <w:webHidden/>
          </w:rPr>
          <w:instrText xml:space="preserve"> PAGEREF _Toc225877638 \h </w:instrText>
        </w:r>
        <w:r w:rsidRPr="000E4A30">
          <w:rPr>
            <w:rFonts w:cs="Arial"/>
            <w:noProof/>
            <w:webHidden/>
          </w:rPr>
        </w:r>
        <w:r w:rsidRPr="000E4A30">
          <w:rPr>
            <w:rFonts w:cs="Arial"/>
            <w:noProof/>
            <w:webHidden/>
          </w:rPr>
          <w:fldChar w:fldCharType="separate"/>
        </w:r>
        <w:r w:rsidR="002C0DFB">
          <w:rPr>
            <w:rFonts w:cs="Arial"/>
            <w:noProof/>
            <w:webHidden/>
          </w:rPr>
          <w:t>11</w:t>
        </w:r>
        <w:r w:rsidRPr="000E4A30">
          <w:rPr>
            <w:rFonts w:cs="Arial"/>
            <w:noProof/>
            <w:webHidden/>
          </w:rPr>
          <w:fldChar w:fldCharType="end"/>
        </w:r>
      </w:hyperlink>
    </w:p>
    <w:p w14:paraId="20F0F65C" w14:textId="617ADD7E" w:rsidR="003C1BA0" w:rsidRPr="000E4A30" w:rsidRDefault="003C1BA0">
      <w:pPr>
        <w:pStyle w:val="TOC4"/>
        <w:rPr>
          <w:rFonts w:eastAsiaTheme="minorEastAsia" w:cs="Arial"/>
          <w:noProof/>
          <w:kern w:val="2"/>
          <w14:ligatures w14:val="standardContextual"/>
        </w:rPr>
      </w:pPr>
      <w:hyperlink w:anchor="_Toc225877639" w:history="1">
        <w:r w:rsidRPr="000E4A30">
          <w:rPr>
            <w:rStyle w:val="Hyperlink"/>
            <w:rFonts w:cs="Arial"/>
            <w:noProof/>
          </w:rPr>
          <w:t>Pre-Submission Checklist</w:t>
        </w:r>
        <w:r w:rsidRPr="000E4A30">
          <w:rPr>
            <w:rFonts w:cs="Arial"/>
            <w:noProof/>
            <w:webHidden/>
          </w:rPr>
          <w:tab/>
        </w:r>
        <w:r w:rsidRPr="000E4A30">
          <w:rPr>
            <w:rFonts w:cs="Arial"/>
            <w:noProof/>
            <w:webHidden/>
          </w:rPr>
          <w:fldChar w:fldCharType="begin"/>
        </w:r>
        <w:r w:rsidRPr="000E4A30">
          <w:rPr>
            <w:rFonts w:cs="Arial"/>
            <w:noProof/>
            <w:webHidden/>
          </w:rPr>
          <w:instrText xml:space="preserve"> PAGEREF _Toc225877639 \h </w:instrText>
        </w:r>
        <w:r w:rsidRPr="000E4A30">
          <w:rPr>
            <w:rFonts w:cs="Arial"/>
            <w:noProof/>
            <w:webHidden/>
          </w:rPr>
        </w:r>
        <w:r w:rsidRPr="000E4A30">
          <w:rPr>
            <w:rFonts w:cs="Arial"/>
            <w:noProof/>
            <w:webHidden/>
          </w:rPr>
          <w:fldChar w:fldCharType="separate"/>
        </w:r>
        <w:r w:rsidR="002C0DFB">
          <w:rPr>
            <w:rFonts w:cs="Arial"/>
            <w:noProof/>
            <w:webHidden/>
          </w:rPr>
          <w:t>14</w:t>
        </w:r>
        <w:r w:rsidRPr="000E4A30">
          <w:rPr>
            <w:rFonts w:cs="Arial"/>
            <w:noProof/>
            <w:webHidden/>
          </w:rPr>
          <w:fldChar w:fldCharType="end"/>
        </w:r>
      </w:hyperlink>
    </w:p>
    <w:p w14:paraId="5727E4C9" w14:textId="108B5582" w:rsidR="003C1BA0" w:rsidRPr="000E4A30" w:rsidRDefault="003C1BA0">
      <w:pPr>
        <w:pStyle w:val="TOC4"/>
        <w:rPr>
          <w:rFonts w:eastAsiaTheme="minorEastAsia" w:cs="Arial"/>
          <w:noProof/>
          <w:kern w:val="2"/>
          <w14:ligatures w14:val="standardContextual"/>
        </w:rPr>
      </w:pPr>
      <w:hyperlink w:anchor="_Toc225877640" w:history="1">
        <w:r w:rsidRPr="000E4A30">
          <w:rPr>
            <w:rStyle w:val="Hyperlink"/>
            <w:rFonts w:cs="Arial"/>
            <w:noProof/>
          </w:rPr>
          <w:t>Instructions for Submitting a Leapfrog Hospital Survey</w:t>
        </w:r>
        <w:r w:rsidRPr="000E4A30">
          <w:rPr>
            <w:rFonts w:cs="Arial"/>
            <w:noProof/>
            <w:webHidden/>
          </w:rPr>
          <w:tab/>
        </w:r>
        <w:r w:rsidRPr="000E4A30">
          <w:rPr>
            <w:rFonts w:cs="Arial"/>
            <w:noProof/>
            <w:webHidden/>
          </w:rPr>
          <w:fldChar w:fldCharType="begin"/>
        </w:r>
        <w:r w:rsidRPr="000E4A30">
          <w:rPr>
            <w:rFonts w:cs="Arial"/>
            <w:noProof/>
            <w:webHidden/>
          </w:rPr>
          <w:instrText xml:space="preserve"> PAGEREF _Toc225877640 \h </w:instrText>
        </w:r>
        <w:r w:rsidRPr="000E4A30">
          <w:rPr>
            <w:rFonts w:cs="Arial"/>
            <w:noProof/>
            <w:webHidden/>
          </w:rPr>
        </w:r>
        <w:r w:rsidRPr="000E4A30">
          <w:rPr>
            <w:rFonts w:cs="Arial"/>
            <w:noProof/>
            <w:webHidden/>
          </w:rPr>
          <w:fldChar w:fldCharType="separate"/>
        </w:r>
        <w:r w:rsidR="002C0DFB">
          <w:rPr>
            <w:rFonts w:cs="Arial"/>
            <w:noProof/>
            <w:webHidden/>
          </w:rPr>
          <w:t>15</w:t>
        </w:r>
        <w:r w:rsidRPr="000E4A30">
          <w:rPr>
            <w:rFonts w:cs="Arial"/>
            <w:noProof/>
            <w:webHidden/>
          </w:rPr>
          <w:fldChar w:fldCharType="end"/>
        </w:r>
      </w:hyperlink>
    </w:p>
    <w:p w14:paraId="3080EA28" w14:textId="7B1B9ED5" w:rsidR="003C1BA0" w:rsidRPr="000E4A30" w:rsidRDefault="003C1BA0">
      <w:pPr>
        <w:pStyle w:val="TOC5"/>
        <w:rPr>
          <w:rFonts w:ascii="Arial" w:hAnsi="Arial" w:cs="Arial"/>
          <w:noProof/>
          <w:kern w:val="2"/>
          <w:sz w:val="20"/>
          <w:szCs w:val="20"/>
          <w14:ligatures w14:val="standardContextual"/>
        </w:rPr>
      </w:pPr>
      <w:hyperlink w:anchor="_Toc225877641" w:history="1">
        <w:r w:rsidRPr="000E4A30">
          <w:rPr>
            <w:rStyle w:val="Hyperlink"/>
            <w:rFonts w:ascii="Arial" w:hAnsi="Arial" w:cs="Arial"/>
            <w:noProof/>
            <w:sz w:val="20"/>
            <w:szCs w:val="20"/>
          </w:rPr>
          <w:t>Reporting Policy Following Cybersecurity Events and Natural Disasters or CMS Extraordinary Circumstances Exception</w:t>
        </w:r>
        <w:r w:rsidRPr="000E4A30">
          <w:rPr>
            <w:rFonts w:ascii="Arial" w:hAnsi="Arial" w:cs="Arial"/>
            <w:noProof/>
            <w:webHidden/>
            <w:sz w:val="20"/>
            <w:szCs w:val="20"/>
          </w:rPr>
          <w:tab/>
        </w:r>
        <w:r w:rsidRPr="000E4A30">
          <w:rPr>
            <w:rFonts w:ascii="Arial" w:hAnsi="Arial" w:cs="Arial"/>
            <w:noProof/>
            <w:webHidden/>
            <w:sz w:val="20"/>
            <w:szCs w:val="20"/>
          </w:rPr>
          <w:fldChar w:fldCharType="begin"/>
        </w:r>
        <w:r w:rsidRPr="000E4A30">
          <w:rPr>
            <w:rFonts w:ascii="Arial" w:hAnsi="Arial" w:cs="Arial"/>
            <w:noProof/>
            <w:webHidden/>
            <w:sz w:val="20"/>
            <w:szCs w:val="20"/>
          </w:rPr>
          <w:instrText xml:space="preserve"> PAGEREF _Toc225877641 \h </w:instrText>
        </w:r>
        <w:r w:rsidRPr="000E4A30">
          <w:rPr>
            <w:rFonts w:ascii="Arial" w:hAnsi="Arial" w:cs="Arial"/>
            <w:noProof/>
            <w:webHidden/>
            <w:sz w:val="20"/>
            <w:szCs w:val="20"/>
          </w:rPr>
        </w:r>
        <w:r w:rsidRPr="000E4A30">
          <w:rPr>
            <w:rFonts w:ascii="Arial" w:hAnsi="Arial" w:cs="Arial"/>
            <w:noProof/>
            <w:webHidden/>
            <w:sz w:val="20"/>
            <w:szCs w:val="20"/>
          </w:rPr>
          <w:fldChar w:fldCharType="separate"/>
        </w:r>
        <w:r w:rsidR="002C0DFB">
          <w:rPr>
            <w:rFonts w:ascii="Arial" w:hAnsi="Arial" w:cs="Arial"/>
            <w:noProof/>
            <w:webHidden/>
            <w:sz w:val="20"/>
            <w:szCs w:val="20"/>
          </w:rPr>
          <w:t>16</w:t>
        </w:r>
        <w:r w:rsidRPr="000E4A30">
          <w:rPr>
            <w:rFonts w:ascii="Arial" w:hAnsi="Arial" w:cs="Arial"/>
            <w:noProof/>
            <w:webHidden/>
            <w:sz w:val="20"/>
            <w:szCs w:val="20"/>
          </w:rPr>
          <w:fldChar w:fldCharType="end"/>
        </w:r>
      </w:hyperlink>
    </w:p>
    <w:p w14:paraId="5CA3D307" w14:textId="5E8AECF0" w:rsidR="003C1BA0" w:rsidRPr="000E4A30" w:rsidRDefault="003C1BA0">
      <w:pPr>
        <w:pStyle w:val="TOC5"/>
        <w:rPr>
          <w:rFonts w:ascii="Arial" w:hAnsi="Arial" w:cs="Arial"/>
          <w:noProof/>
          <w:kern w:val="2"/>
          <w:sz w:val="20"/>
          <w:szCs w:val="20"/>
          <w14:ligatures w14:val="standardContextual"/>
        </w:rPr>
      </w:pPr>
      <w:hyperlink w:anchor="_Toc225877642" w:history="1">
        <w:r w:rsidRPr="000E4A30">
          <w:rPr>
            <w:rStyle w:val="Hyperlink"/>
            <w:rFonts w:ascii="Arial" w:hAnsi="Arial" w:cs="Arial"/>
            <w:noProof/>
            <w:sz w:val="20"/>
            <w:szCs w:val="20"/>
          </w:rPr>
          <w:t>Verifying Submission</w:t>
        </w:r>
        <w:r w:rsidRPr="000E4A30">
          <w:rPr>
            <w:rFonts w:ascii="Arial" w:hAnsi="Arial" w:cs="Arial"/>
            <w:noProof/>
            <w:webHidden/>
            <w:sz w:val="20"/>
            <w:szCs w:val="20"/>
          </w:rPr>
          <w:tab/>
        </w:r>
        <w:r w:rsidRPr="000E4A30">
          <w:rPr>
            <w:rFonts w:ascii="Arial" w:hAnsi="Arial" w:cs="Arial"/>
            <w:noProof/>
            <w:webHidden/>
            <w:sz w:val="20"/>
            <w:szCs w:val="20"/>
          </w:rPr>
          <w:fldChar w:fldCharType="begin"/>
        </w:r>
        <w:r w:rsidRPr="000E4A30">
          <w:rPr>
            <w:rFonts w:ascii="Arial" w:hAnsi="Arial" w:cs="Arial"/>
            <w:noProof/>
            <w:webHidden/>
            <w:sz w:val="20"/>
            <w:szCs w:val="20"/>
          </w:rPr>
          <w:instrText xml:space="preserve"> PAGEREF _Toc225877642 \h </w:instrText>
        </w:r>
        <w:r w:rsidRPr="000E4A30">
          <w:rPr>
            <w:rFonts w:ascii="Arial" w:hAnsi="Arial" w:cs="Arial"/>
            <w:noProof/>
            <w:webHidden/>
            <w:sz w:val="20"/>
            <w:szCs w:val="20"/>
          </w:rPr>
        </w:r>
        <w:r w:rsidRPr="000E4A30">
          <w:rPr>
            <w:rFonts w:ascii="Arial" w:hAnsi="Arial" w:cs="Arial"/>
            <w:noProof/>
            <w:webHidden/>
            <w:sz w:val="20"/>
            <w:szCs w:val="20"/>
          </w:rPr>
          <w:fldChar w:fldCharType="separate"/>
        </w:r>
        <w:r w:rsidR="002C0DFB">
          <w:rPr>
            <w:rFonts w:ascii="Arial" w:hAnsi="Arial" w:cs="Arial"/>
            <w:noProof/>
            <w:webHidden/>
            <w:sz w:val="20"/>
            <w:szCs w:val="20"/>
          </w:rPr>
          <w:t>16</w:t>
        </w:r>
        <w:r w:rsidRPr="000E4A30">
          <w:rPr>
            <w:rFonts w:ascii="Arial" w:hAnsi="Arial" w:cs="Arial"/>
            <w:noProof/>
            <w:webHidden/>
            <w:sz w:val="20"/>
            <w:szCs w:val="20"/>
          </w:rPr>
          <w:fldChar w:fldCharType="end"/>
        </w:r>
      </w:hyperlink>
    </w:p>
    <w:p w14:paraId="13E38CDC" w14:textId="54A2CDEB" w:rsidR="003C1BA0" w:rsidRPr="000E4A30" w:rsidRDefault="003C1BA0">
      <w:pPr>
        <w:pStyle w:val="TOC5"/>
        <w:rPr>
          <w:rFonts w:ascii="Arial" w:hAnsi="Arial" w:cs="Arial"/>
          <w:noProof/>
          <w:kern w:val="2"/>
          <w:sz w:val="20"/>
          <w:szCs w:val="20"/>
          <w14:ligatures w14:val="standardContextual"/>
        </w:rPr>
      </w:pPr>
      <w:hyperlink w:anchor="_Toc225877643" w:history="1">
        <w:r w:rsidRPr="000E4A30">
          <w:rPr>
            <w:rStyle w:val="Hyperlink"/>
            <w:rFonts w:ascii="Arial" w:hAnsi="Arial" w:cs="Arial"/>
            <w:noProof/>
            <w:sz w:val="20"/>
            <w:szCs w:val="20"/>
          </w:rPr>
          <w:t>Updating or Correcting a Previously Submitted Leapfrog Hospital Survey</w:t>
        </w:r>
        <w:r w:rsidRPr="000E4A30">
          <w:rPr>
            <w:rFonts w:ascii="Arial" w:hAnsi="Arial" w:cs="Arial"/>
            <w:noProof/>
            <w:webHidden/>
            <w:sz w:val="20"/>
            <w:szCs w:val="20"/>
          </w:rPr>
          <w:tab/>
        </w:r>
        <w:r w:rsidRPr="000E4A30">
          <w:rPr>
            <w:rFonts w:ascii="Arial" w:hAnsi="Arial" w:cs="Arial"/>
            <w:noProof/>
            <w:webHidden/>
            <w:sz w:val="20"/>
            <w:szCs w:val="20"/>
          </w:rPr>
          <w:fldChar w:fldCharType="begin"/>
        </w:r>
        <w:r w:rsidRPr="000E4A30">
          <w:rPr>
            <w:rFonts w:ascii="Arial" w:hAnsi="Arial" w:cs="Arial"/>
            <w:noProof/>
            <w:webHidden/>
            <w:sz w:val="20"/>
            <w:szCs w:val="20"/>
          </w:rPr>
          <w:instrText xml:space="preserve"> PAGEREF _Toc225877643 \h </w:instrText>
        </w:r>
        <w:r w:rsidRPr="000E4A30">
          <w:rPr>
            <w:rFonts w:ascii="Arial" w:hAnsi="Arial" w:cs="Arial"/>
            <w:noProof/>
            <w:webHidden/>
            <w:sz w:val="20"/>
            <w:szCs w:val="20"/>
          </w:rPr>
        </w:r>
        <w:r w:rsidRPr="000E4A30">
          <w:rPr>
            <w:rFonts w:ascii="Arial" w:hAnsi="Arial" w:cs="Arial"/>
            <w:noProof/>
            <w:webHidden/>
            <w:sz w:val="20"/>
            <w:szCs w:val="20"/>
          </w:rPr>
          <w:fldChar w:fldCharType="separate"/>
        </w:r>
        <w:r w:rsidR="002C0DFB">
          <w:rPr>
            <w:rFonts w:ascii="Arial" w:hAnsi="Arial" w:cs="Arial"/>
            <w:noProof/>
            <w:webHidden/>
            <w:sz w:val="20"/>
            <w:szCs w:val="20"/>
          </w:rPr>
          <w:t>17</w:t>
        </w:r>
        <w:r w:rsidRPr="000E4A30">
          <w:rPr>
            <w:rFonts w:ascii="Arial" w:hAnsi="Arial" w:cs="Arial"/>
            <w:noProof/>
            <w:webHidden/>
            <w:sz w:val="20"/>
            <w:szCs w:val="20"/>
          </w:rPr>
          <w:fldChar w:fldCharType="end"/>
        </w:r>
      </w:hyperlink>
    </w:p>
    <w:p w14:paraId="1B9F9B2E" w14:textId="2FB5644C" w:rsidR="003C1BA0" w:rsidRPr="000E4A30" w:rsidRDefault="003C1BA0">
      <w:pPr>
        <w:pStyle w:val="TOC5"/>
        <w:rPr>
          <w:rFonts w:ascii="Arial" w:hAnsi="Arial" w:cs="Arial"/>
          <w:noProof/>
          <w:kern w:val="2"/>
          <w:sz w:val="20"/>
          <w:szCs w:val="20"/>
          <w14:ligatures w14:val="standardContextual"/>
        </w:rPr>
      </w:pPr>
      <w:hyperlink w:anchor="_Toc225877644" w:history="1">
        <w:r w:rsidRPr="000E4A30">
          <w:rPr>
            <w:rStyle w:val="Hyperlink"/>
            <w:rFonts w:ascii="Arial" w:hAnsi="Arial" w:cs="Arial"/>
            <w:noProof/>
            <w:sz w:val="20"/>
            <w:szCs w:val="20"/>
          </w:rPr>
          <w:t>Updating a Survey After Receiving a Help Desk Email</w:t>
        </w:r>
        <w:r w:rsidRPr="000E4A30">
          <w:rPr>
            <w:rFonts w:ascii="Arial" w:hAnsi="Arial" w:cs="Arial"/>
            <w:noProof/>
            <w:webHidden/>
            <w:sz w:val="20"/>
            <w:szCs w:val="20"/>
          </w:rPr>
          <w:tab/>
        </w:r>
        <w:r w:rsidRPr="000E4A30">
          <w:rPr>
            <w:rFonts w:ascii="Arial" w:hAnsi="Arial" w:cs="Arial"/>
            <w:noProof/>
            <w:webHidden/>
            <w:sz w:val="20"/>
            <w:szCs w:val="20"/>
          </w:rPr>
          <w:fldChar w:fldCharType="begin"/>
        </w:r>
        <w:r w:rsidRPr="000E4A30">
          <w:rPr>
            <w:rFonts w:ascii="Arial" w:hAnsi="Arial" w:cs="Arial"/>
            <w:noProof/>
            <w:webHidden/>
            <w:sz w:val="20"/>
            <w:szCs w:val="20"/>
          </w:rPr>
          <w:instrText xml:space="preserve"> PAGEREF _Toc225877644 \h </w:instrText>
        </w:r>
        <w:r w:rsidRPr="000E4A30">
          <w:rPr>
            <w:rFonts w:ascii="Arial" w:hAnsi="Arial" w:cs="Arial"/>
            <w:noProof/>
            <w:webHidden/>
            <w:sz w:val="20"/>
            <w:szCs w:val="20"/>
          </w:rPr>
        </w:r>
        <w:r w:rsidRPr="000E4A30">
          <w:rPr>
            <w:rFonts w:ascii="Arial" w:hAnsi="Arial" w:cs="Arial"/>
            <w:noProof/>
            <w:webHidden/>
            <w:sz w:val="20"/>
            <w:szCs w:val="20"/>
          </w:rPr>
          <w:fldChar w:fldCharType="separate"/>
        </w:r>
        <w:r w:rsidR="002C0DFB">
          <w:rPr>
            <w:rFonts w:ascii="Arial" w:hAnsi="Arial" w:cs="Arial"/>
            <w:noProof/>
            <w:webHidden/>
            <w:sz w:val="20"/>
            <w:szCs w:val="20"/>
          </w:rPr>
          <w:t>17</w:t>
        </w:r>
        <w:r w:rsidRPr="000E4A30">
          <w:rPr>
            <w:rFonts w:ascii="Arial" w:hAnsi="Arial" w:cs="Arial"/>
            <w:noProof/>
            <w:webHidden/>
            <w:sz w:val="20"/>
            <w:szCs w:val="20"/>
          </w:rPr>
          <w:fldChar w:fldCharType="end"/>
        </w:r>
      </w:hyperlink>
    </w:p>
    <w:p w14:paraId="55110395" w14:textId="69965DD4" w:rsidR="003C1BA0" w:rsidRPr="000E4A30" w:rsidRDefault="003C1BA0">
      <w:pPr>
        <w:pStyle w:val="TOC5"/>
        <w:rPr>
          <w:rFonts w:ascii="Arial" w:hAnsi="Arial" w:cs="Arial"/>
          <w:noProof/>
          <w:kern w:val="2"/>
          <w:sz w:val="20"/>
          <w:szCs w:val="20"/>
          <w14:ligatures w14:val="standardContextual"/>
        </w:rPr>
      </w:pPr>
      <w:hyperlink w:anchor="_Toc225877645" w:history="1">
        <w:r w:rsidRPr="000E4A30">
          <w:rPr>
            <w:rStyle w:val="Hyperlink"/>
            <w:rFonts w:ascii="Arial" w:hAnsi="Arial" w:cs="Arial"/>
            <w:noProof/>
            <w:sz w:val="20"/>
            <w:szCs w:val="20"/>
          </w:rPr>
          <w:t>Updating a Survey Following On-Site Data Verification</w:t>
        </w:r>
        <w:r w:rsidRPr="000E4A30">
          <w:rPr>
            <w:rFonts w:ascii="Arial" w:hAnsi="Arial" w:cs="Arial"/>
            <w:noProof/>
            <w:webHidden/>
            <w:sz w:val="20"/>
            <w:szCs w:val="20"/>
          </w:rPr>
          <w:tab/>
        </w:r>
        <w:r w:rsidRPr="000E4A30">
          <w:rPr>
            <w:rFonts w:ascii="Arial" w:hAnsi="Arial" w:cs="Arial"/>
            <w:noProof/>
            <w:webHidden/>
            <w:sz w:val="20"/>
            <w:szCs w:val="20"/>
          </w:rPr>
          <w:fldChar w:fldCharType="begin"/>
        </w:r>
        <w:r w:rsidRPr="000E4A30">
          <w:rPr>
            <w:rFonts w:ascii="Arial" w:hAnsi="Arial" w:cs="Arial"/>
            <w:noProof/>
            <w:webHidden/>
            <w:sz w:val="20"/>
            <w:szCs w:val="20"/>
          </w:rPr>
          <w:instrText xml:space="preserve"> PAGEREF _Toc225877645 \h </w:instrText>
        </w:r>
        <w:r w:rsidRPr="000E4A30">
          <w:rPr>
            <w:rFonts w:ascii="Arial" w:hAnsi="Arial" w:cs="Arial"/>
            <w:noProof/>
            <w:webHidden/>
            <w:sz w:val="20"/>
            <w:szCs w:val="20"/>
          </w:rPr>
        </w:r>
        <w:r w:rsidRPr="000E4A30">
          <w:rPr>
            <w:rFonts w:ascii="Arial" w:hAnsi="Arial" w:cs="Arial"/>
            <w:noProof/>
            <w:webHidden/>
            <w:sz w:val="20"/>
            <w:szCs w:val="20"/>
          </w:rPr>
          <w:fldChar w:fldCharType="separate"/>
        </w:r>
        <w:r w:rsidR="002C0DFB">
          <w:rPr>
            <w:rFonts w:ascii="Arial" w:hAnsi="Arial" w:cs="Arial"/>
            <w:noProof/>
            <w:webHidden/>
            <w:sz w:val="20"/>
            <w:szCs w:val="20"/>
          </w:rPr>
          <w:t>17</w:t>
        </w:r>
        <w:r w:rsidRPr="000E4A30">
          <w:rPr>
            <w:rFonts w:ascii="Arial" w:hAnsi="Arial" w:cs="Arial"/>
            <w:noProof/>
            <w:webHidden/>
            <w:sz w:val="20"/>
            <w:szCs w:val="20"/>
          </w:rPr>
          <w:fldChar w:fldCharType="end"/>
        </w:r>
      </w:hyperlink>
    </w:p>
    <w:p w14:paraId="08C35D19" w14:textId="6C3FA3FC" w:rsidR="003C1BA0" w:rsidRPr="000E4A30" w:rsidRDefault="003C1BA0">
      <w:pPr>
        <w:pStyle w:val="TOC5"/>
        <w:rPr>
          <w:rFonts w:ascii="Arial" w:hAnsi="Arial" w:cs="Arial"/>
          <w:noProof/>
          <w:kern w:val="2"/>
          <w:sz w:val="20"/>
          <w:szCs w:val="20"/>
          <w14:ligatures w14:val="standardContextual"/>
        </w:rPr>
      </w:pPr>
      <w:hyperlink w:anchor="_Toc225877646" w:history="1">
        <w:r w:rsidRPr="000E4A30">
          <w:rPr>
            <w:rStyle w:val="Hyperlink"/>
            <w:rFonts w:ascii="Arial" w:hAnsi="Arial" w:cs="Arial"/>
            <w:noProof/>
            <w:sz w:val="20"/>
            <w:szCs w:val="20"/>
          </w:rPr>
          <w:t>Making General Updates (for hospitals that have not received a Help Desk email)</w:t>
        </w:r>
        <w:r w:rsidRPr="000E4A30">
          <w:rPr>
            <w:rFonts w:ascii="Arial" w:hAnsi="Arial" w:cs="Arial"/>
            <w:noProof/>
            <w:webHidden/>
            <w:sz w:val="20"/>
            <w:szCs w:val="20"/>
          </w:rPr>
          <w:tab/>
        </w:r>
        <w:r w:rsidRPr="000E4A30">
          <w:rPr>
            <w:rFonts w:ascii="Arial" w:hAnsi="Arial" w:cs="Arial"/>
            <w:noProof/>
            <w:webHidden/>
            <w:sz w:val="20"/>
            <w:szCs w:val="20"/>
          </w:rPr>
          <w:fldChar w:fldCharType="begin"/>
        </w:r>
        <w:r w:rsidRPr="000E4A30">
          <w:rPr>
            <w:rFonts w:ascii="Arial" w:hAnsi="Arial" w:cs="Arial"/>
            <w:noProof/>
            <w:webHidden/>
            <w:sz w:val="20"/>
            <w:szCs w:val="20"/>
          </w:rPr>
          <w:instrText xml:space="preserve"> PAGEREF _Toc225877646 \h </w:instrText>
        </w:r>
        <w:r w:rsidRPr="000E4A30">
          <w:rPr>
            <w:rFonts w:ascii="Arial" w:hAnsi="Arial" w:cs="Arial"/>
            <w:noProof/>
            <w:webHidden/>
            <w:sz w:val="20"/>
            <w:szCs w:val="20"/>
          </w:rPr>
        </w:r>
        <w:r w:rsidRPr="000E4A30">
          <w:rPr>
            <w:rFonts w:ascii="Arial" w:hAnsi="Arial" w:cs="Arial"/>
            <w:noProof/>
            <w:webHidden/>
            <w:sz w:val="20"/>
            <w:szCs w:val="20"/>
          </w:rPr>
          <w:fldChar w:fldCharType="separate"/>
        </w:r>
        <w:r w:rsidR="002C0DFB">
          <w:rPr>
            <w:rFonts w:ascii="Arial" w:hAnsi="Arial" w:cs="Arial"/>
            <w:noProof/>
            <w:webHidden/>
            <w:sz w:val="20"/>
            <w:szCs w:val="20"/>
          </w:rPr>
          <w:t>18</w:t>
        </w:r>
        <w:r w:rsidRPr="000E4A30">
          <w:rPr>
            <w:rFonts w:ascii="Arial" w:hAnsi="Arial" w:cs="Arial"/>
            <w:noProof/>
            <w:webHidden/>
            <w:sz w:val="20"/>
            <w:szCs w:val="20"/>
          </w:rPr>
          <w:fldChar w:fldCharType="end"/>
        </w:r>
      </w:hyperlink>
    </w:p>
    <w:p w14:paraId="49D7461F" w14:textId="3A0CD8B0" w:rsidR="003C1BA0" w:rsidRPr="000E4A30" w:rsidRDefault="003C1BA0">
      <w:pPr>
        <w:pStyle w:val="TOC4"/>
        <w:rPr>
          <w:rFonts w:eastAsiaTheme="minorEastAsia" w:cs="Arial"/>
          <w:noProof/>
          <w:kern w:val="2"/>
          <w14:ligatures w14:val="standardContextual"/>
        </w:rPr>
      </w:pPr>
      <w:hyperlink w:anchor="_Toc225877647" w:history="1">
        <w:r w:rsidRPr="000E4A30">
          <w:rPr>
            <w:rStyle w:val="Hyperlink"/>
            <w:rFonts w:cs="Arial"/>
            <w:noProof/>
          </w:rPr>
          <w:t>Deadlines</w:t>
        </w:r>
        <w:r w:rsidRPr="000E4A30">
          <w:rPr>
            <w:rFonts w:cs="Arial"/>
            <w:noProof/>
            <w:webHidden/>
          </w:rPr>
          <w:tab/>
        </w:r>
        <w:r w:rsidRPr="000E4A30">
          <w:rPr>
            <w:rFonts w:cs="Arial"/>
            <w:noProof/>
            <w:webHidden/>
          </w:rPr>
          <w:fldChar w:fldCharType="begin"/>
        </w:r>
        <w:r w:rsidRPr="000E4A30">
          <w:rPr>
            <w:rFonts w:cs="Arial"/>
            <w:noProof/>
            <w:webHidden/>
          </w:rPr>
          <w:instrText xml:space="preserve"> PAGEREF _Toc225877647 \h </w:instrText>
        </w:r>
        <w:r w:rsidRPr="000E4A30">
          <w:rPr>
            <w:rFonts w:cs="Arial"/>
            <w:noProof/>
            <w:webHidden/>
          </w:rPr>
        </w:r>
        <w:r w:rsidRPr="000E4A30">
          <w:rPr>
            <w:rFonts w:cs="Arial"/>
            <w:noProof/>
            <w:webHidden/>
          </w:rPr>
          <w:fldChar w:fldCharType="separate"/>
        </w:r>
        <w:r w:rsidR="002C0DFB">
          <w:rPr>
            <w:rFonts w:cs="Arial"/>
            <w:noProof/>
            <w:webHidden/>
          </w:rPr>
          <w:t>19</w:t>
        </w:r>
        <w:r w:rsidRPr="000E4A30">
          <w:rPr>
            <w:rFonts w:cs="Arial"/>
            <w:noProof/>
            <w:webHidden/>
          </w:rPr>
          <w:fldChar w:fldCharType="end"/>
        </w:r>
      </w:hyperlink>
    </w:p>
    <w:p w14:paraId="62A9FC62" w14:textId="3C23D775" w:rsidR="003C1BA0" w:rsidRPr="000E4A30" w:rsidRDefault="003C1BA0">
      <w:pPr>
        <w:pStyle w:val="TOC5"/>
        <w:rPr>
          <w:rFonts w:ascii="Arial" w:hAnsi="Arial" w:cs="Arial"/>
          <w:noProof/>
          <w:kern w:val="2"/>
          <w:sz w:val="20"/>
          <w:szCs w:val="20"/>
          <w14:ligatures w14:val="standardContextual"/>
        </w:rPr>
      </w:pPr>
      <w:hyperlink w:anchor="_Toc225877648" w:history="1">
        <w:r w:rsidRPr="000E4A30">
          <w:rPr>
            <w:rStyle w:val="Hyperlink"/>
            <w:rFonts w:ascii="Arial" w:hAnsi="Arial" w:cs="Arial"/>
            <w:noProof/>
            <w:sz w:val="20"/>
            <w:szCs w:val="20"/>
          </w:rPr>
          <w:t>Deadlines for the 2026 Leapfrog Hospital Survey</w:t>
        </w:r>
        <w:r w:rsidRPr="000E4A30">
          <w:rPr>
            <w:rFonts w:ascii="Arial" w:hAnsi="Arial" w:cs="Arial"/>
            <w:noProof/>
            <w:webHidden/>
            <w:sz w:val="20"/>
            <w:szCs w:val="20"/>
          </w:rPr>
          <w:tab/>
        </w:r>
        <w:r w:rsidRPr="000E4A30">
          <w:rPr>
            <w:rFonts w:ascii="Arial" w:hAnsi="Arial" w:cs="Arial"/>
            <w:noProof/>
            <w:webHidden/>
            <w:sz w:val="20"/>
            <w:szCs w:val="20"/>
          </w:rPr>
          <w:fldChar w:fldCharType="begin"/>
        </w:r>
        <w:r w:rsidRPr="000E4A30">
          <w:rPr>
            <w:rFonts w:ascii="Arial" w:hAnsi="Arial" w:cs="Arial"/>
            <w:noProof/>
            <w:webHidden/>
            <w:sz w:val="20"/>
            <w:szCs w:val="20"/>
          </w:rPr>
          <w:instrText xml:space="preserve"> PAGEREF _Toc225877648 \h </w:instrText>
        </w:r>
        <w:r w:rsidRPr="000E4A30">
          <w:rPr>
            <w:rFonts w:ascii="Arial" w:hAnsi="Arial" w:cs="Arial"/>
            <w:noProof/>
            <w:webHidden/>
            <w:sz w:val="20"/>
            <w:szCs w:val="20"/>
          </w:rPr>
        </w:r>
        <w:r w:rsidRPr="000E4A30">
          <w:rPr>
            <w:rFonts w:ascii="Arial" w:hAnsi="Arial" w:cs="Arial"/>
            <w:noProof/>
            <w:webHidden/>
            <w:sz w:val="20"/>
            <w:szCs w:val="20"/>
          </w:rPr>
          <w:fldChar w:fldCharType="separate"/>
        </w:r>
        <w:r w:rsidR="002C0DFB">
          <w:rPr>
            <w:rFonts w:ascii="Arial" w:hAnsi="Arial" w:cs="Arial"/>
            <w:noProof/>
            <w:webHidden/>
            <w:sz w:val="20"/>
            <w:szCs w:val="20"/>
          </w:rPr>
          <w:t>19</w:t>
        </w:r>
        <w:r w:rsidRPr="000E4A30">
          <w:rPr>
            <w:rFonts w:ascii="Arial" w:hAnsi="Arial" w:cs="Arial"/>
            <w:noProof/>
            <w:webHidden/>
            <w:sz w:val="20"/>
            <w:szCs w:val="20"/>
          </w:rPr>
          <w:fldChar w:fldCharType="end"/>
        </w:r>
      </w:hyperlink>
    </w:p>
    <w:p w14:paraId="2E4435BC" w14:textId="60F50280" w:rsidR="003C1BA0" w:rsidRPr="000E4A30" w:rsidRDefault="003C1BA0">
      <w:pPr>
        <w:pStyle w:val="TOC5"/>
        <w:rPr>
          <w:rFonts w:ascii="Arial" w:hAnsi="Arial" w:cs="Arial"/>
          <w:noProof/>
          <w:kern w:val="2"/>
          <w:sz w:val="20"/>
          <w:szCs w:val="20"/>
          <w14:ligatures w14:val="standardContextual"/>
        </w:rPr>
      </w:pPr>
      <w:hyperlink w:anchor="_Toc225877649" w:history="1">
        <w:r w:rsidRPr="000E4A30">
          <w:rPr>
            <w:rStyle w:val="Hyperlink"/>
            <w:rFonts w:ascii="Arial" w:hAnsi="Arial" w:cs="Arial"/>
            <w:noProof/>
            <w:sz w:val="20"/>
            <w:szCs w:val="20"/>
          </w:rPr>
          <w:t>Deadlines for Vermont Oxford Network Data</w:t>
        </w:r>
        <w:r w:rsidRPr="000E4A30">
          <w:rPr>
            <w:rFonts w:ascii="Arial" w:hAnsi="Arial" w:cs="Arial"/>
            <w:noProof/>
            <w:webHidden/>
            <w:sz w:val="20"/>
            <w:szCs w:val="20"/>
          </w:rPr>
          <w:tab/>
        </w:r>
        <w:r w:rsidRPr="000E4A30">
          <w:rPr>
            <w:rFonts w:ascii="Arial" w:hAnsi="Arial" w:cs="Arial"/>
            <w:noProof/>
            <w:webHidden/>
            <w:sz w:val="20"/>
            <w:szCs w:val="20"/>
          </w:rPr>
          <w:fldChar w:fldCharType="begin"/>
        </w:r>
        <w:r w:rsidRPr="000E4A30">
          <w:rPr>
            <w:rFonts w:ascii="Arial" w:hAnsi="Arial" w:cs="Arial"/>
            <w:noProof/>
            <w:webHidden/>
            <w:sz w:val="20"/>
            <w:szCs w:val="20"/>
          </w:rPr>
          <w:instrText xml:space="preserve"> PAGEREF _Toc225877649 \h </w:instrText>
        </w:r>
        <w:r w:rsidRPr="000E4A30">
          <w:rPr>
            <w:rFonts w:ascii="Arial" w:hAnsi="Arial" w:cs="Arial"/>
            <w:noProof/>
            <w:webHidden/>
            <w:sz w:val="20"/>
            <w:szCs w:val="20"/>
          </w:rPr>
        </w:r>
        <w:r w:rsidRPr="000E4A30">
          <w:rPr>
            <w:rFonts w:ascii="Arial" w:hAnsi="Arial" w:cs="Arial"/>
            <w:noProof/>
            <w:webHidden/>
            <w:sz w:val="20"/>
            <w:szCs w:val="20"/>
          </w:rPr>
          <w:fldChar w:fldCharType="separate"/>
        </w:r>
        <w:r w:rsidR="002C0DFB">
          <w:rPr>
            <w:rFonts w:ascii="Arial" w:hAnsi="Arial" w:cs="Arial"/>
            <w:noProof/>
            <w:webHidden/>
            <w:sz w:val="20"/>
            <w:szCs w:val="20"/>
          </w:rPr>
          <w:t>19</w:t>
        </w:r>
        <w:r w:rsidRPr="000E4A30">
          <w:rPr>
            <w:rFonts w:ascii="Arial" w:hAnsi="Arial" w:cs="Arial"/>
            <w:noProof/>
            <w:webHidden/>
            <w:sz w:val="20"/>
            <w:szCs w:val="20"/>
          </w:rPr>
          <w:fldChar w:fldCharType="end"/>
        </w:r>
      </w:hyperlink>
    </w:p>
    <w:p w14:paraId="09CE49FD" w14:textId="0AF5A984" w:rsidR="003C1BA0" w:rsidRPr="000E4A30" w:rsidRDefault="003C1BA0">
      <w:pPr>
        <w:pStyle w:val="TOC5"/>
        <w:rPr>
          <w:rFonts w:ascii="Arial" w:hAnsi="Arial" w:cs="Arial"/>
          <w:noProof/>
          <w:kern w:val="2"/>
          <w:sz w:val="20"/>
          <w:szCs w:val="20"/>
          <w14:ligatures w14:val="standardContextual"/>
        </w:rPr>
      </w:pPr>
      <w:hyperlink w:anchor="_Toc225877650" w:history="1">
        <w:r w:rsidRPr="000E4A30">
          <w:rPr>
            <w:rStyle w:val="Hyperlink"/>
            <w:rFonts w:ascii="Arial" w:hAnsi="Arial" w:cs="Arial"/>
            <w:noProof/>
            <w:sz w:val="20"/>
            <w:szCs w:val="20"/>
          </w:rPr>
          <w:t>Deadlines to Join Leapfrog’s NHSN Group</w:t>
        </w:r>
        <w:r w:rsidRPr="000E4A30">
          <w:rPr>
            <w:rFonts w:ascii="Arial" w:hAnsi="Arial" w:cs="Arial"/>
            <w:noProof/>
            <w:webHidden/>
            <w:sz w:val="20"/>
            <w:szCs w:val="20"/>
          </w:rPr>
          <w:tab/>
        </w:r>
        <w:r w:rsidRPr="000E4A30">
          <w:rPr>
            <w:rFonts w:ascii="Arial" w:hAnsi="Arial" w:cs="Arial"/>
            <w:noProof/>
            <w:webHidden/>
            <w:sz w:val="20"/>
            <w:szCs w:val="20"/>
          </w:rPr>
          <w:fldChar w:fldCharType="begin"/>
        </w:r>
        <w:r w:rsidRPr="000E4A30">
          <w:rPr>
            <w:rFonts w:ascii="Arial" w:hAnsi="Arial" w:cs="Arial"/>
            <w:noProof/>
            <w:webHidden/>
            <w:sz w:val="20"/>
            <w:szCs w:val="20"/>
          </w:rPr>
          <w:instrText xml:space="preserve"> PAGEREF _Toc225877650 \h </w:instrText>
        </w:r>
        <w:r w:rsidRPr="000E4A30">
          <w:rPr>
            <w:rFonts w:ascii="Arial" w:hAnsi="Arial" w:cs="Arial"/>
            <w:noProof/>
            <w:webHidden/>
            <w:sz w:val="20"/>
            <w:szCs w:val="20"/>
          </w:rPr>
        </w:r>
        <w:r w:rsidRPr="000E4A30">
          <w:rPr>
            <w:rFonts w:ascii="Arial" w:hAnsi="Arial" w:cs="Arial"/>
            <w:noProof/>
            <w:webHidden/>
            <w:sz w:val="20"/>
            <w:szCs w:val="20"/>
          </w:rPr>
          <w:fldChar w:fldCharType="separate"/>
        </w:r>
        <w:r w:rsidR="002C0DFB">
          <w:rPr>
            <w:rFonts w:ascii="Arial" w:hAnsi="Arial" w:cs="Arial"/>
            <w:noProof/>
            <w:webHidden/>
            <w:sz w:val="20"/>
            <w:szCs w:val="20"/>
          </w:rPr>
          <w:t>19</w:t>
        </w:r>
        <w:r w:rsidRPr="000E4A30">
          <w:rPr>
            <w:rFonts w:ascii="Arial" w:hAnsi="Arial" w:cs="Arial"/>
            <w:noProof/>
            <w:webHidden/>
            <w:sz w:val="20"/>
            <w:szCs w:val="20"/>
          </w:rPr>
          <w:fldChar w:fldCharType="end"/>
        </w:r>
      </w:hyperlink>
    </w:p>
    <w:p w14:paraId="49F91679" w14:textId="46D33166" w:rsidR="003C1BA0" w:rsidRPr="000E4A30" w:rsidRDefault="003C1BA0">
      <w:pPr>
        <w:pStyle w:val="TOC5"/>
        <w:rPr>
          <w:rFonts w:ascii="Arial" w:hAnsi="Arial" w:cs="Arial"/>
          <w:noProof/>
          <w:kern w:val="2"/>
          <w:sz w:val="20"/>
          <w:szCs w:val="20"/>
          <w14:ligatures w14:val="standardContextual"/>
        </w:rPr>
      </w:pPr>
      <w:hyperlink w:anchor="_Toc225877651" w:history="1">
        <w:r w:rsidRPr="000E4A30">
          <w:rPr>
            <w:rStyle w:val="Hyperlink"/>
            <w:rFonts w:ascii="Arial" w:hAnsi="Arial" w:cs="Arial"/>
            <w:noProof/>
            <w:sz w:val="20"/>
            <w:szCs w:val="20"/>
          </w:rPr>
          <w:t>Deadlines Related to the Hospital Safety Grade</w:t>
        </w:r>
        <w:r w:rsidRPr="000E4A30">
          <w:rPr>
            <w:rFonts w:ascii="Arial" w:hAnsi="Arial" w:cs="Arial"/>
            <w:noProof/>
            <w:webHidden/>
            <w:sz w:val="20"/>
            <w:szCs w:val="20"/>
          </w:rPr>
          <w:tab/>
        </w:r>
        <w:r w:rsidRPr="000E4A30">
          <w:rPr>
            <w:rFonts w:ascii="Arial" w:hAnsi="Arial" w:cs="Arial"/>
            <w:noProof/>
            <w:webHidden/>
            <w:sz w:val="20"/>
            <w:szCs w:val="20"/>
          </w:rPr>
          <w:fldChar w:fldCharType="begin"/>
        </w:r>
        <w:r w:rsidRPr="000E4A30">
          <w:rPr>
            <w:rFonts w:ascii="Arial" w:hAnsi="Arial" w:cs="Arial"/>
            <w:noProof/>
            <w:webHidden/>
            <w:sz w:val="20"/>
            <w:szCs w:val="20"/>
          </w:rPr>
          <w:instrText xml:space="preserve"> PAGEREF _Toc225877651 \h </w:instrText>
        </w:r>
        <w:r w:rsidRPr="000E4A30">
          <w:rPr>
            <w:rFonts w:ascii="Arial" w:hAnsi="Arial" w:cs="Arial"/>
            <w:noProof/>
            <w:webHidden/>
            <w:sz w:val="20"/>
            <w:szCs w:val="20"/>
          </w:rPr>
        </w:r>
        <w:r w:rsidRPr="000E4A30">
          <w:rPr>
            <w:rFonts w:ascii="Arial" w:hAnsi="Arial" w:cs="Arial"/>
            <w:noProof/>
            <w:webHidden/>
            <w:sz w:val="20"/>
            <w:szCs w:val="20"/>
          </w:rPr>
          <w:fldChar w:fldCharType="separate"/>
        </w:r>
        <w:r w:rsidR="002C0DFB">
          <w:rPr>
            <w:rFonts w:ascii="Arial" w:hAnsi="Arial" w:cs="Arial"/>
            <w:noProof/>
            <w:webHidden/>
            <w:sz w:val="20"/>
            <w:szCs w:val="20"/>
          </w:rPr>
          <w:t>19</w:t>
        </w:r>
        <w:r w:rsidRPr="000E4A30">
          <w:rPr>
            <w:rFonts w:ascii="Arial" w:hAnsi="Arial" w:cs="Arial"/>
            <w:noProof/>
            <w:webHidden/>
            <w:sz w:val="20"/>
            <w:szCs w:val="20"/>
          </w:rPr>
          <w:fldChar w:fldCharType="end"/>
        </w:r>
      </w:hyperlink>
    </w:p>
    <w:p w14:paraId="73DFF632" w14:textId="21E2B10C" w:rsidR="003C1BA0" w:rsidRPr="000E4A30" w:rsidRDefault="003C1BA0">
      <w:pPr>
        <w:pStyle w:val="TOC4"/>
        <w:rPr>
          <w:rFonts w:eastAsiaTheme="minorEastAsia" w:cs="Arial"/>
          <w:noProof/>
          <w:kern w:val="2"/>
          <w14:ligatures w14:val="standardContextual"/>
        </w:rPr>
      </w:pPr>
      <w:hyperlink w:anchor="_Toc225877652" w:history="1">
        <w:r w:rsidRPr="000E4A30">
          <w:rPr>
            <w:rStyle w:val="Hyperlink"/>
            <w:rFonts w:cs="Arial"/>
            <w:noProof/>
          </w:rPr>
          <w:t>Technical Assistance</w:t>
        </w:r>
        <w:r w:rsidRPr="000E4A30">
          <w:rPr>
            <w:rFonts w:cs="Arial"/>
            <w:noProof/>
            <w:webHidden/>
          </w:rPr>
          <w:tab/>
        </w:r>
        <w:r w:rsidRPr="000E4A30">
          <w:rPr>
            <w:rFonts w:cs="Arial"/>
            <w:noProof/>
            <w:webHidden/>
          </w:rPr>
          <w:fldChar w:fldCharType="begin"/>
        </w:r>
        <w:r w:rsidRPr="000E4A30">
          <w:rPr>
            <w:rFonts w:cs="Arial"/>
            <w:noProof/>
            <w:webHidden/>
          </w:rPr>
          <w:instrText xml:space="preserve"> PAGEREF _Toc225877652 \h </w:instrText>
        </w:r>
        <w:r w:rsidRPr="000E4A30">
          <w:rPr>
            <w:rFonts w:cs="Arial"/>
            <w:noProof/>
            <w:webHidden/>
          </w:rPr>
        </w:r>
        <w:r w:rsidRPr="000E4A30">
          <w:rPr>
            <w:rFonts w:cs="Arial"/>
            <w:noProof/>
            <w:webHidden/>
          </w:rPr>
          <w:fldChar w:fldCharType="separate"/>
        </w:r>
        <w:r w:rsidR="002C0DFB">
          <w:rPr>
            <w:rFonts w:cs="Arial"/>
            <w:noProof/>
            <w:webHidden/>
          </w:rPr>
          <w:t>20</w:t>
        </w:r>
        <w:r w:rsidRPr="000E4A30">
          <w:rPr>
            <w:rFonts w:cs="Arial"/>
            <w:noProof/>
            <w:webHidden/>
          </w:rPr>
          <w:fldChar w:fldCharType="end"/>
        </w:r>
      </w:hyperlink>
    </w:p>
    <w:p w14:paraId="71F4DEFC" w14:textId="3810C4F6" w:rsidR="003C1BA0" w:rsidRPr="000E4A30" w:rsidRDefault="003C1BA0">
      <w:pPr>
        <w:pStyle w:val="TOC5"/>
        <w:rPr>
          <w:rFonts w:ascii="Arial" w:hAnsi="Arial" w:cs="Arial"/>
          <w:noProof/>
          <w:kern w:val="2"/>
          <w:sz w:val="20"/>
          <w:szCs w:val="20"/>
          <w14:ligatures w14:val="standardContextual"/>
        </w:rPr>
      </w:pPr>
      <w:hyperlink w:anchor="_Toc225877653" w:history="1">
        <w:r w:rsidRPr="000E4A30">
          <w:rPr>
            <w:rStyle w:val="Hyperlink"/>
            <w:rFonts w:ascii="Arial" w:hAnsi="Arial" w:cs="Arial"/>
            <w:noProof/>
            <w:sz w:val="20"/>
            <w:szCs w:val="20"/>
          </w:rPr>
          <w:t>Leapfrog’s Help Desk</w:t>
        </w:r>
        <w:r w:rsidRPr="000E4A30">
          <w:rPr>
            <w:rFonts w:ascii="Arial" w:hAnsi="Arial" w:cs="Arial"/>
            <w:noProof/>
            <w:webHidden/>
            <w:sz w:val="20"/>
            <w:szCs w:val="20"/>
          </w:rPr>
          <w:tab/>
        </w:r>
        <w:r w:rsidRPr="000E4A30">
          <w:rPr>
            <w:rFonts w:ascii="Arial" w:hAnsi="Arial" w:cs="Arial"/>
            <w:noProof/>
            <w:webHidden/>
            <w:sz w:val="20"/>
            <w:szCs w:val="20"/>
          </w:rPr>
          <w:fldChar w:fldCharType="begin"/>
        </w:r>
        <w:r w:rsidRPr="000E4A30">
          <w:rPr>
            <w:rFonts w:ascii="Arial" w:hAnsi="Arial" w:cs="Arial"/>
            <w:noProof/>
            <w:webHidden/>
            <w:sz w:val="20"/>
            <w:szCs w:val="20"/>
          </w:rPr>
          <w:instrText xml:space="preserve"> PAGEREF _Toc225877653 \h </w:instrText>
        </w:r>
        <w:r w:rsidRPr="000E4A30">
          <w:rPr>
            <w:rFonts w:ascii="Arial" w:hAnsi="Arial" w:cs="Arial"/>
            <w:noProof/>
            <w:webHidden/>
            <w:sz w:val="20"/>
            <w:szCs w:val="20"/>
          </w:rPr>
        </w:r>
        <w:r w:rsidRPr="000E4A30">
          <w:rPr>
            <w:rFonts w:ascii="Arial" w:hAnsi="Arial" w:cs="Arial"/>
            <w:noProof/>
            <w:webHidden/>
            <w:sz w:val="20"/>
            <w:szCs w:val="20"/>
          </w:rPr>
          <w:fldChar w:fldCharType="separate"/>
        </w:r>
        <w:r w:rsidR="002C0DFB">
          <w:rPr>
            <w:rFonts w:ascii="Arial" w:hAnsi="Arial" w:cs="Arial"/>
            <w:noProof/>
            <w:webHidden/>
            <w:sz w:val="20"/>
            <w:szCs w:val="20"/>
          </w:rPr>
          <w:t>20</w:t>
        </w:r>
        <w:r w:rsidRPr="000E4A30">
          <w:rPr>
            <w:rFonts w:ascii="Arial" w:hAnsi="Arial" w:cs="Arial"/>
            <w:noProof/>
            <w:webHidden/>
            <w:sz w:val="20"/>
            <w:szCs w:val="20"/>
          </w:rPr>
          <w:fldChar w:fldCharType="end"/>
        </w:r>
      </w:hyperlink>
    </w:p>
    <w:p w14:paraId="5A1B6F71" w14:textId="105FE180" w:rsidR="003C1BA0" w:rsidRPr="000E4A30" w:rsidRDefault="003C1BA0">
      <w:pPr>
        <w:pStyle w:val="TOC5"/>
        <w:rPr>
          <w:rFonts w:ascii="Arial" w:hAnsi="Arial" w:cs="Arial"/>
          <w:noProof/>
          <w:kern w:val="2"/>
          <w:sz w:val="20"/>
          <w:szCs w:val="20"/>
          <w14:ligatures w14:val="standardContextual"/>
        </w:rPr>
      </w:pPr>
      <w:hyperlink w:anchor="_Toc225877654" w:history="1">
        <w:r w:rsidRPr="000E4A30">
          <w:rPr>
            <w:rStyle w:val="Hyperlink"/>
            <w:rFonts w:ascii="Arial" w:hAnsi="Arial" w:cs="Arial"/>
            <w:noProof/>
            <w:sz w:val="20"/>
            <w:szCs w:val="20"/>
          </w:rPr>
          <w:t>Leapfrog Hospital Survey Webinar Series</w:t>
        </w:r>
        <w:r w:rsidRPr="000E4A30">
          <w:rPr>
            <w:rFonts w:ascii="Arial" w:hAnsi="Arial" w:cs="Arial"/>
            <w:noProof/>
            <w:webHidden/>
            <w:sz w:val="20"/>
            <w:szCs w:val="20"/>
          </w:rPr>
          <w:tab/>
        </w:r>
        <w:r w:rsidRPr="000E4A30">
          <w:rPr>
            <w:rFonts w:ascii="Arial" w:hAnsi="Arial" w:cs="Arial"/>
            <w:noProof/>
            <w:webHidden/>
            <w:sz w:val="20"/>
            <w:szCs w:val="20"/>
          </w:rPr>
          <w:fldChar w:fldCharType="begin"/>
        </w:r>
        <w:r w:rsidRPr="000E4A30">
          <w:rPr>
            <w:rFonts w:ascii="Arial" w:hAnsi="Arial" w:cs="Arial"/>
            <w:noProof/>
            <w:webHidden/>
            <w:sz w:val="20"/>
            <w:szCs w:val="20"/>
          </w:rPr>
          <w:instrText xml:space="preserve"> PAGEREF _Toc225877654 \h </w:instrText>
        </w:r>
        <w:r w:rsidRPr="000E4A30">
          <w:rPr>
            <w:rFonts w:ascii="Arial" w:hAnsi="Arial" w:cs="Arial"/>
            <w:noProof/>
            <w:webHidden/>
            <w:sz w:val="20"/>
            <w:szCs w:val="20"/>
          </w:rPr>
        </w:r>
        <w:r w:rsidRPr="000E4A30">
          <w:rPr>
            <w:rFonts w:ascii="Arial" w:hAnsi="Arial" w:cs="Arial"/>
            <w:noProof/>
            <w:webHidden/>
            <w:sz w:val="20"/>
            <w:szCs w:val="20"/>
          </w:rPr>
          <w:fldChar w:fldCharType="separate"/>
        </w:r>
        <w:r w:rsidR="002C0DFB">
          <w:rPr>
            <w:rFonts w:ascii="Arial" w:hAnsi="Arial" w:cs="Arial"/>
            <w:noProof/>
            <w:webHidden/>
            <w:sz w:val="20"/>
            <w:szCs w:val="20"/>
          </w:rPr>
          <w:t>20</w:t>
        </w:r>
        <w:r w:rsidRPr="000E4A30">
          <w:rPr>
            <w:rFonts w:ascii="Arial" w:hAnsi="Arial" w:cs="Arial"/>
            <w:noProof/>
            <w:webHidden/>
            <w:sz w:val="20"/>
            <w:szCs w:val="20"/>
          </w:rPr>
          <w:fldChar w:fldCharType="end"/>
        </w:r>
      </w:hyperlink>
    </w:p>
    <w:p w14:paraId="698F32AA" w14:textId="1F8FBAC8" w:rsidR="003C1BA0" w:rsidRPr="000E4A30" w:rsidRDefault="003C1BA0">
      <w:pPr>
        <w:pStyle w:val="TOC5"/>
        <w:rPr>
          <w:rFonts w:ascii="Arial" w:hAnsi="Arial" w:cs="Arial"/>
          <w:noProof/>
          <w:kern w:val="2"/>
          <w:sz w:val="20"/>
          <w:szCs w:val="20"/>
          <w14:ligatures w14:val="standardContextual"/>
        </w:rPr>
      </w:pPr>
      <w:hyperlink w:anchor="_Toc225877655" w:history="1">
        <w:r w:rsidRPr="000E4A30">
          <w:rPr>
            <w:rStyle w:val="Hyperlink"/>
            <w:rFonts w:ascii="Arial" w:hAnsi="Arial" w:cs="Arial"/>
            <w:noProof/>
            <w:sz w:val="20"/>
            <w:szCs w:val="20"/>
          </w:rPr>
          <w:t>Support for Health Systems</w:t>
        </w:r>
        <w:r w:rsidRPr="000E4A30">
          <w:rPr>
            <w:rFonts w:ascii="Arial" w:hAnsi="Arial" w:cs="Arial"/>
            <w:noProof/>
            <w:webHidden/>
            <w:sz w:val="20"/>
            <w:szCs w:val="20"/>
          </w:rPr>
          <w:tab/>
        </w:r>
        <w:r w:rsidRPr="000E4A30">
          <w:rPr>
            <w:rFonts w:ascii="Arial" w:hAnsi="Arial" w:cs="Arial"/>
            <w:noProof/>
            <w:webHidden/>
            <w:sz w:val="20"/>
            <w:szCs w:val="20"/>
          </w:rPr>
          <w:fldChar w:fldCharType="begin"/>
        </w:r>
        <w:r w:rsidRPr="000E4A30">
          <w:rPr>
            <w:rFonts w:ascii="Arial" w:hAnsi="Arial" w:cs="Arial"/>
            <w:noProof/>
            <w:webHidden/>
            <w:sz w:val="20"/>
            <w:szCs w:val="20"/>
          </w:rPr>
          <w:instrText xml:space="preserve"> PAGEREF _Toc225877655 \h </w:instrText>
        </w:r>
        <w:r w:rsidRPr="000E4A30">
          <w:rPr>
            <w:rFonts w:ascii="Arial" w:hAnsi="Arial" w:cs="Arial"/>
            <w:noProof/>
            <w:webHidden/>
            <w:sz w:val="20"/>
            <w:szCs w:val="20"/>
          </w:rPr>
        </w:r>
        <w:r w:rsidRPr="000E4A30">
          <w:rPr>
            <w:rFonts w:ascii="Arial" w:hAnsi="Arial" w:cs="Arial"/>
            <w:noProof/>
            <w:webHidden/>
            <w:sz w:val="20"/>
            <w:szCs w:val="20"/>
          </w:rPr>
          <w:fldChar w:fldCharType="separate"/>
        </w:r>
        <w:r w:rsidR="002C0DFB">
          <w:rPr>
            <w:rFonts w:ascii="Arial" w:hAnsi="Arial" w:cs="Arial"/>
            <w:noProof/>
            <w:webHidden/>
            <w:sz w:val="20"/>
            <w:szCs w:val="20"/>
          </w:rPr>
          <w:t>21</w:t>
        </w:r>
        <w:r w:rsidRPr="000E4A30">
          <w:rPr>
            <w:rFonts w:ascii="Arial" w:hAnsi="Arial" w:cs="Arial"/>
            <w:noProof/>
            <w:webHidden/>
            <w:sz w:val="20"/>
            <w:szCs w:val="20"/>
          </w:rPr>
          <w:fldChar w:fldCharType="end"/>
        </w:r>
      </w:hyperlink>
    </w:p>
    <w:p w14:paraId="3597A430" w14:textId="5BB0976D" w:rsidR="003C1BA0" w:rsidRPr="000E4A30" w:rsidRDefault="003C1BA0">
      <w:pPr>
        <w:pStyle w:val="TOC4"/>
        <w:rPr>
          <w:rFonts w:eastAsiaTheme="minorEastAsia" w:cs="Arial"/>
          <w:noProof/>
          <w:kern w:val="2"/>
          <w14:ligatures w14:val="standardContextual"/>
        </w:rPr>
      </w:pPr>
      <w:hyperlink w:anchor="_Toc225877656" w:history="1">
        <w:r w:rsidRPr="000E4A30">
          <w:rPr>
            <w:rStyle w:val="Hyperlink"/>
            <w:rFonts w:cs="Arial"/>
            <w:noProof/>
          </w:rPr>
          <w:t>Reporting Periods</w:t>
        </w:r>
        <w:r w:rsidRPr="000E4A30">
          <w:rPr>
            <w:rFonts w:cs="Arial"/>
            <w:noProof/>
            <w:webHidden/>
          </w:rPr>
          <w:tab/>
        </w:r>
        <w:r w:rsidRPr="000E4A30">
          <w:rPr>
            <w:rFonts w:cs="Arial"/>
            <w:noProof/>
            <w:webHidden/>
          </w:rPr>
          <w:fldChar w:fldCharType="begin"/>
        </w:r>
        <w:r w:rsidRPr="000E4A30">
          <w:rPr>
            <w:rFonts w:cs="Arial"/>
            <w:noProof/>
            <w:webHidden/>
          </w:rPr>
          <w:instrText xml:space="preserve"> PAGEREF _Toc225877656 \h </w:instrText>
        </w:r>
        <w:r w:rsidRPr="000E4A30">
          <w:rPr>
            <w:rFonts w:cs="Arial"/>
            <w:noProof/>
            <w:webHidden/>
          </w:rPr>
        </w:r>
        <w:r w:rsidRPr="000E4A30">
          <w:rPr>
            <w:rFonts w:cs="Arial"/>
            <w:noProof/>
            <w:webHidden/>
          </w:rPr>
          <w:fldChar w:fldCharType="separate"/>
        </w:r>
        <w:r w:rsidR="002C0DFB">
          <w:rPr>
            <w:rFonts w:cs="Arial"/>
            <w:noProof/>
            <w:webHidden/>
          </w:rPr>
          <w:t>22</w:t>
        </w:r>
        <w:r w:rsidRPr="000E4A30">
          <w:rPr>
            <w:rFonts w:cs="Arial"/>
            <w:noProof/>
            <w:webHidden/>
          </w:rPr>
          <w:fldChar w:fldCharType="end"/>
        </w:r>
      </w:hyperlink>
    </w:p>
    <w:p w14:paraId="158285A7" w14:textId="0FE1DB92" w:rsidR="003C1BA0" w:rsidRPr="000E4A30" w:rsidRDefault="003C1BA0">
      <w:pPr>
        <w:pStyle w:val="TOC4"/>
        <w:rPr>
          <w:rFonts w:eastAsiaTheme="minorEastAsia" w:cs="Arial"/>
          <w:noProof/>
          <w:kern w:val="2"/>
          <w14:ligatures w14:val="standardContextual"/>
        </w:rPr>
      </w:pPr>
      <w:hyperlink w:anchor="_Toc225877657" w:history="1">
        <w:r w:rsidRPr="000E4A30">
          <w:rPr>
            <w:rStyle w:val="Hyperlink"/>
            <w:rFonts w:cs="Arial"/>
            <w:noProof/>
          </w:rPr>
          <w:t>Included Units by Survey Section</w:t>
        </w:r>
        <w:r w:rsidRPr="000E4A30">
          <w:rPr>
            <w:rFonts w:cs="Arial"/>
            <w:noProof/>
            <w:webHidden/>
          </w:rPr>
          <w:tab/>
        </w:r>
        <w:r w:rsidRPr="000E4A30">
          <w:rPr>
            <w:rFonts w:cs="Arial"/>
            <w:noProof/>
            <w:webHidden/>
          </w:rPr>
          <w:fldChar w:fldCharType="begin"/>
        </w:r>
        <w:r w:rsidRPr="000E4A30">
          <w:rPr>
            <w:rFonts w:cs="Arial"/>
            <w:noProof/>
            <w:webHidden/>
          </w:rPr>
          <w:instrText xml:space="preserve"> PAGEREF _Toc225877657 \h </w:instrText>
        </w:r>
        <w:r w:rsidRPr="000E4A30">
          <w:rPr>
            <w:rFonts w:cs="Arial"/>
            <w:noProof/>
            <w:webHidden/>
          </w:rPr>
        </w:r>
        <w:r w:rsidRPr="000E4A30">
          <w:rPr>
            <w:rFonts w:cs="Arial"/>
            <w:noProof/>
            <w:webHidden/>
          </w:rPr>
          <w:fldChar w:fldCharType="separate"/>
        </w:r>
        <w:r w:rsidR="002C0DFB">
          <w:rPr>
            <w:rFonts w:cs="Arial"/>
            <w:noProof/>
            <w:webHidden/>
          </w:rPr>
          <w:t>25</w:t>
        </w:r>
        <w:r w:rsidRPr="000E4A30">
          <w:rPr>
            <w:rFonts w:cs="Arial"/>
            <w:noProof/>
            <w:webHidden/>
          </w:rPr>
          <w:fldChar w:fldCharType="end"/>
        </w:r>
      </w:hyperlink>
    </w:p>
    <w:p w14:paraId="4B4E24B2" w14:textId="141F7344" w:rsidR="003C1BA0" w:rsidRPr="000E4A30" w:rsidRDefault="003C1BA0">
      <w:pPr>
        <w:pStyle w:val="TOC1"/>
        <w:rPr>
          <w:rFonts w:eastAsiaTheme="minorEastAsia" w:cs="Arial"/>
          <w:noProof/>
          <w:kern w:val="2"/>
          <w14:ligatures w14:val="standardContextual"/>
        </w:rPr>
      </w:pPr>
      <w:hyperlink w:anchor="_Toc225877658" w:history="1">
        <w:r w:rsidRPr="000E4A30">
          <w:rPr>
            <w:rStyle w:val="Hyperlink"/>
            <w:rFonts w:cs="Arial"/>
            <w:noProof/>
          </w:rPr>
          <w:t>Page Intentionally Left Blank</w:t>
        </w:r>
        <w:r w:rsidRPr="000E4A30">
          <w:rPr>
            <w:rFonts w:cs="Arial"/>
            <w:noProof/>
            <w:webHidden/>
          </w:rPr>
          <w:tab/>
        </w:r>
        <w:r w:rsidRPr="000E4A30">
          <w:rPr>
            <w:rFonts w:cs="Arial"/>
            <w:noProof/>
            <w:webHidden/>
          </w:rPr>
          <w:fldChar w:fldCharType="begin"/>
        </w:r>
        <w:r w:rsidRPr="000E4A30">
          <w:rPr>
            <w:rFonts w:cs="Arial"/>
            <w:noProof/>
            <w:webHidden/>
          </w:rPr>
          <w:instrText xml:space="preserve"> PAGEREF _Toc225877658 \h </w:instrText>
        </w:r>
        <w:r w:rsidRPr="000E4A30">
          <w:rPr>
            <w:rFonts w:cs="Arial"/>
            <w:noProof/>
            <w:webHidden/>
          </w:rPr>
        </w:r>
        <w:r w:rsidRPr="000E4A30">
          <w:rPr>
            <w:rFonts w:cs="Arial"/>
            <w:noProof/>
            <w:webHidden/>
          </w:rPr>
          <w:fldChar w:fldCharType="separate"/>
        </w:r>
        <w:r w:rsidR="002C0DFB">
          <w:rPr>
            <w:rFonts w:cs="Arial"/>
            <w:noProof/>
            <w:webHidden/>
          </w:rPr>
          <w:t>28</w:t>
        </w:r>
        <w:r w:rsidRPr="000E4A30">
          <w:rPr>
            <w:rFonts w:cs="Arial"/>
            <w:noProof/>
            <w:webHidden/>
          </w:rPr>
          <w:fldChar w:fldCharType="end"/>
        </w:r>
      </w:hyperlink>
    </w:p>
    <w:p w14:paraId="0FE29004" w14:textId="224416EE" w:rsidR="003C1BA0" w:rsidRPr="000E4A30" w:rsidRDefault="003C1BA0">
      <w:pPr>
        <w:pStyle w:val="TOC1"/>
        <w:rPr>
          <w:rFonts w:eastAsiaTheme="minorEastAsia" w:cs="Arial"/>
          <w:noProof/>
          <w:kern w:val="2"/>
          <w14:ligatures w14:val="standardContextual"/>
        </w:rPr>
      </w:pPr>
      <w:hyperlink w:anchor="_Toc225877659" w:history="1">
        <w:r w:rsidRPr="000E4A30">
          <w:rPr>
            <w:rStyle w:val="Hyperlink"/>
            <w:rFonts w:cs="Arial"/>
            <w:noProof/>
          </w:rPr>
          <w:t>HOSPITAL PROFILE</w:t>
        </w:r>
        <w:r w:rsidRPr="000E4A30">
          <w:rPr>
            <w:rFonts w:cs="Arial"/>
            <w:noProof/>
            <w:webHidden/>
          </w:rPr>
          <w:tab/>
        </w:r>
        <w:r w:rsidRPr="000E4A30">
          <w:rPr>
            <w:rFonts w:cs="Arial"/>
            <w:noProof/>
            <w:webHidden/>
          </w:rPr>
          <w:fldChar w:fldCharType="begin"/>
        </w:r>
        <w:r w:rsidRPr="000E4A30">
          <w:rPr>
            <w:rFonts w:cs="Arial"/>
            <w:noProof/>
            <w:webHidden/>
          </w:rPr>
          <w:instrText xml:space="preserve"> PAGEREF _Toc225877659 \h </w:instrText>
        </w:r>
        <w:r w:rsidRPr="000E4A30">
          <w:rPr>
            <w:rFonts w:cs="Arial"/>
            <w:noProof/>
            <w:webHidden/>
          </w:rPr>
        </w:r>
        <w:r w:rsidRPr="000E4A30">
          <w:rPr>
            <w:rFonts w:cs="Arial"/>
            <w:noProof/>
            <w:webHidden/>
          </w:rPr>
          <w:fldChar w:fldCharType="separate"/>
        </w:r>
        <w:r w:rsidR="002C0DFB">
          <w:rPr>
            <w:rFonts w:cs="Arial"/>
            <w:noProof/>
            <w:webHidden/>
          </w:rPr>
          <w:t>29</w:t>
        </w:r>
        <w:r w:rsidRPr="000E4A30">
          <w:rPr>
            <w:rFonts w:cs="Arial"/>
            <w:noProof/>
            <w:webHidden/>
          </w:rPr>
          <w:fldChar w:fldCharType="end"/>
        </w:r>
      </w:hyperlink>
    </w:p>
    <w:p w14:paraId="01BBAAA5" w14:textId="163E88F3" w:rsidR="003C1BA0" w:rsidRPr="000E4A30" w:rsidRDefault="003C1BA0">
      <w:pPr>
        <w:pStyle w:val="TOC4"/>
        <w:rPr>
          <w:rFonts w:eastAsiaTheme="minorEastAsia" w:cs="Arial"/>
          <w:noProof/>
          <w:kern w:val="2"/>
          <w14:ligatures w14:val="standardContextual"/>
        </w:rPr>
      </w:pPr>
      <w:hyperlink w:anchor="_Toc225877660" w:history="1">
        <w:r w:rsidRPr="000E4A30">
          <w:rPr>
            <w:rStyle w:val="Hyperlink"/>
            <w:rFonts w:cs="Arial"/>
            <w:noProof/>
          </w:rPr>
          <w:t>Hospital Profile</w:t>
        </w:r>
        <w:r w:rsidRPr="000E4A30">
          <w:rPr>
            <w:rFonts w:cs="Arial"/>
            <w:noProof/>
            <w:webHidden/>
          </w:rPr>
          <w:tab/>
        </w:r>
        <w:r w:rsidRPr="000E4A30">
          <w:rPr>
            <w:rFonts w:cs="Arial"/>
            <w:noProof/>
            <w:webHidden/>
          </w:rPr>
          <w:fldChar w:fldCharType="begin"/>
        </w:r>
        <w:r w:rsidRPr="000E4A30">
          <w:rPr>
            <w:rFonts w:cs="Arial"/>
            <w:noProof/>
            <w:webHidden/>
          </w:rPr>
          <w:instrText xml:space="preserve"> PAGEREF _Toc225877660 \h </w:instrText>
        </w:r>
        <w:r w:rsidRPr="000E4A30">
          <w:rPr>
            <w:rFonts w:cs="Arial"/>
            <w:noProof/>
            <w:webHidden/>
          </w:rPr>
        </w:r>
        <w:r w:rsidRPr="000E4A30">
          <w:rPr>
            <w:rFonts w:cs="Arial"/>
            <w:noProof/>
            <w:webHidden/>
          </w:rPr>
          <w:fldChar w:fldCharType="separate"/>
        </w:r>
        <w:r w:rsidR="002C0DFB">
          <w:rPr>
            <w:rFonts w:cs="Arial"/>
            <w:noProof/>
            <w:webHidden/>
          </w:rPr>
          <w:t>30</w:t>
        </w:r>
        <w:r w:rsidRPr="000E4A30">
          <w:rPr>
            <w:rFonts w:cs="Arial"/>
            <w:noProof/>
            <w:webHidden/>
          </w:rPr>
          <w:fldChar w:fldCharType="end"/>
        </w:r>
      </w:hyperlink>
    </w:p>
    <w:p w14:paraId="178E3078" w14:textId="3B70E954" w:rsidR="003C1BA0" w:rsidRPr="000E4A30" w:rsidRDefault="003C1BA0">
      <w:pPr>
        <w:pStyle w:val="TOC4"/>
        <w:rPr>
          <w:rFonts w:eastAsiaTheme="minorEastAsia" w:cs="Arial"/>
          <w:noProof/>
          <w:kern w:val="2"/>
          <w14:ligatures w14:val="standardContextual"/>
        </w:rPr>
      </w:pPr>
      <w:hyperlink w:anchor="_Toc225877661" w:history="1">
        <w:r w:rsidRPr="000E4A30">
          <w:rPr>
            <w:rStyle w:val="Hyperlink"/>
            <w:rFonts w:cs="Arial"/>
            <w:noProof/>
          </w:rPr>
          <w:t>Hospital Profile</w:t>
        </w:r>
        <w:r w:rsidRPr="000E4A30">
          <w:rPr>
            <w:rFonts w:cs="Arial"/>
            <w:noProof/>
            <w:webHidden/>
          </w:rPr>
          <w:tab/>
        </w:r>
        <w:r w:rsidRPr="000E4A30">
          <w:rPr>
            <w:rFonts w:cs="Arial"/>
            <w:noProof/>
            <w:webHidden/>
          </w:rPr>
          <w:fldChar w:fldCharType="begin"/>
        </w:r>
        <w:r w:rsidRPr="000E4A30">
          <w:rPr>
            <w:rFonts w:cs="Arial"/>
            <w:noProof/>
            <w:webHidden/>
          </w:rPr>
          <w:instrText xml:space="preserve"> PAGEREF _Toc225877661 \h </w:instrText>
        </w:r>
        <w:r w:rsidRPr="000E4A30">
          <w:rPr>
            <w:rFonts w:cs="Arial"/>
            <w:noProof/>
            <w:webHidden/>
          </w:rPr>
        </w:r>
        <w:r w:rsidRPr="000E4A30">
          <w:rPr>
            <w:rFonts w:cs="Arial"/>
            <w:noProof/>
            <w:webHidden/>
          </w:rPr>
          <w:fldChar w:fldCharType="separate"/>
        </w:r>
        <w:r w:rsidR="002C0DFB">
          <w:rPr>
            <w:rFonts w:cs="Arial"/>
            <w:noProof/>
            <w:webHidden/>
          </w:rPr>
          <w:t>31</w:t>
        </w:r>
        <w:r w:rsidRPr="000E4A30">
          <w:rPr>
            <w:rFonts w:cs="Arial"/>
            <w:noProof/>
            <w:webHidden/>
          </w:rPr>
          <w:fldChar w:fldCharType="end"/>
        </w:r>
      </w:hyperlink>
    </w:p>
    <w:p w14:paraId="44E62BBC" w14:textId="491827B4" w:rsidR="003C1BA0" w:rsidRPr="000E4A30" w:rsidRDefault="003C1BA0">
      <w:pPr>
        <w:pStyle w:val="TOC5"/>
        <w:rPr>
          <w:rFonts w:ascii="Arial" w:hAnsi="Arial" w:cs="Arial"/>
          <w:noProof/>
          <w:kern w:val="2"/>
          <w:sz w:val="20"/>
          <w:szCs w:val="20"/>
          <w14:ligatures w14:val="standardContextual"/>
        </w:rPr>
      </w:pPr>
      <w:hyperlink w:anchor="_Toc225877662" w:history="1">
        <w:r w:rsidRPr="000E4A30">
          <w:rPr>
            <w:rStyle w:val="Hyperlink"/>
            <w:rFonts w:ascii="Arial" w:hAnsi="Arial" w:cs="Arial"/>
            <w:noProof/>
            <w:sz w:val="20"/>
            <w:szCs w:val="20"/>
          </w:rPr>
          <w:t>Hospital Information</w:t>
        </w:r>
        <w:r w:rsidRPr="000E4A30">
          <w:rPr>
            <w:rFonts w:ascii="Arial" w:hAnsi="Arial" w:cs="Arial"/>
            <w:noProof/>
            <w:webHidden/>
            <w:sz w:val="20"/>
            <w:szCs w:val="20"/>
          </w:rPr>
          <w:tab/>
        </w:r>
        <w:r w:rsidRPr="000E4A30">
          <w:rPr>
            <w:rFonts w:ascii="Arial" w:hAnsi="Arial" w:cs="Arial"/>
            <w:noProof/>
            <w:webHidden/>
            <w:sz w:val="20"/>
            <w:szCs w:val="20"/>
          </w:rPr>
          <w:fldChar w:fldCharType="begin"/>
        </w:r>
        <w:r w:rsidRPr="000E4A30">
          <w:rPr>
            <w:rFonts w:ascii="Arial" w:hAnsi="Arial" w:cs="Arial"/>
            <w:noProof/>
            <w:webHidden/>
            <w:sz w:val="20"/>
            <w:szCs w:val="20"/>
          </w:rPr>
          <w:instrText xml:space="preserve"> PAGEREF _Toc225877662 \h </w:instrText>
        </w:r>
        <w:r w:rsidRPr="000E4A30">
          <w:rPr>
            <w:rFonts w:ascii="Arial" w:hAnsi="Arial" w:cs="Arial"/>
            <w:noProof/>
            <w:webHidden/>
            <w:sz w:val="20"/>
            <w:szCs w:val="20"/>
          </w:rPr>
        </w:r>
        <w:r w:rsidRPr="000E4A30">
          <w:rPr>
            <w:rFonts w:ascii="Arial" w:hAnsi="Arial" w:cs="Arial"/>
            <w:noProof/>
            <w:webHidden/>
            <w:sz w:val="20"/>
            <w:szCs w:val="20"/>
          </w:rPr>
          <w:fldChar w:fldCharType="separate"/>
        </w:r>
        <w:r w:rsidR="002C0DFB">
          <w:rPr>
            <w:rFonts w:ascii="Arial" w:hAnsi="Arial" w:cs="Arial"/>
            <w:noProof/>
            <w:webHidden/>
            <w:sz w:val="20"/>
            <w:szCs w:val="20"/>
          </w:rPr>
          <w:t>31</w:t>
        </w:r>
        <w:r w:rsidRPr="000E4A30">
          <w:rPr>
            <w:rFonts w:ascii="Arial" w:hAnsi="Arial" w:cs="Arial"/>
            <w:noProof/>
            <w:webHidden/>
            <w:sz w:val="20"/>
            <w:szCs w:val="20"/>
          </w:rPr>
          <w:fldChar w:fldCharType="end"/>
        </w:r>
      </w:hyperlink>
    </w:p>
    <w:p w14:paraId="4D28A85B" w14:textId="519E1555" w:rsidR="003C1BA0" w:rsidRPr="000E4A30" w:rsidRDefault="003C1BA0">
      <w:pPr>
        <w:pStyle w:val="TOC5"/>
        <w:rPr>
          <w:rFonts w:ascii="Arial" w:hAnsi="Arial" w:cs="Arial"/>
          <w:noProof/>
          <w:kern w:val="2"/>
          <w:sz w:val="20"/>
          <w:szCs w:val="20"/>
          <w14:ligatures w14:val="standardContextual"/>
        </w:rPr>
      </w:pPr>
      <w:hyperlink w:anchor="_Toc225877663" w:history="1">
        <w:r w:rsidRPr="000E4A30">
          <w:rPr>
            <w:rStyle w:val="Hyperlink"/>
            <w:rFonts w:ascii="Arial" w:hAnsi="Arial" w:cs="Arial"/>
            <w:noProof/>
            <w:sz w:val="20"/>
            <w:szCs w:val="20"/>
          </w:rPr>
          <w:t>Demographic Information</w:t>
        </w:r>
        <w:r w:rsidRPr="000E4A30">
          <w:rPr>
            <w:rFonts w:ascii="Arial" w:hAnsi="Arial" w:cs="Arial"/>
            <w:noProof/>
            <w:webHidden/>
            <w:sz w:val="20"/>
            <w:szCs w:val="20"/>
          </w:rPr>
          <w:tab/>
        </w:r>
        <w:r w:rsidRPr="000E4A30">
          <w:rPr>
            <w:rFonts w:ascii="Arial" w:hAnsi="Arial" w:cs="Arial"/>
            <w:noProof/>
            <w:webHidden/>
            <w:sz w:val="20"/>
            <w:szCs w:val="20"/>
          </w:rPr>
          <w:fldChar w:fldCharType="begin"/>
        </w:r>
        <w:r w:rsidRPr="000E4A30">
          <w:rPr>
            <w:rFonts w:ascii="Arial" w:hAnsi="Arial" w:cs="Arial"/>
            <w:noProof/>
            <w:webHidden/>
            <w:sz w:val="20"/>
            <w:szCs w:val="20"/>
          </w:rPr>
          <w:instrText xml:space="preserve"> PAGEREF _Toc225877663 \h </w:instrText>
        </w:r>
        <w:r w:rsidRPr="000E4A30">
          <w:rPr>
            <w:rFonts w:ascii="Arial" w:hAnsi="Arial" w:cs="Arial"/>
            <w:noProof/>
            <w:webHidden/>
            <w:sz w:val="20"/>
            <w:szCs w:val="20"/>
          </w:rPr>
        </w:r>
        <w:r w:rsidRPr="000E4A30">
          <w:rPr>
            <w:rFonts w:ascii="Arial" w:hAnsi="Arial" w:cs="Arial"/>
            <w:noProof/>
            <w:webHidden/>
            <w:sz w:val="20"/>
            <w:szCs w:val="20"/>
          </w:rPr>
          <w:fldChar w:fldCharType="separate"/>
        </w:r>
        <w:r w:rsidR="002C0DFB">
          <w:rPr>
            <w:rFonts w:ascii="Arial" w:hAnsi="Arial" w:cs="Arial"/>
            <w:noProof/>
            <w:webHidden/>
            <w:sz w:val="20"/>
            <w:szCs w:val="20"/>
          </w:rPr>
          <w:t>31</w:t>
        </w:r>
        <w:r w:rsidRPr="000E4A30">
          <w:rPr>
            <w:rFonts w:ascii="Arial" w:hAnsi="Arial" w:cs="Arial"/>
            <w:noProof/>
            <w:webHidden/>
            <w:sz w:val="20"/>
            <w:szCs w:val="20"/>
          </w:rPr>
          <w:fldChar w:fldCharType="end"/>
        </w:r>
      </w:hyperlink>
    </w:p>
    <w:p w14:paraId="2BCF9BD4" w14:textId="69D81718" w:rsidR="003C1BA0" w:rsidRPr="000E4A30" w:rsidRDefault="003C1BA0">
      <w:pPr>
        <w:pStyle w:val="TOC5"/>
        <w:rPr>
          <w:rFonts w:ascii="Arial" w:hAnsi="Arial" w:cs="Arial"/>
          <w:noProof/>
          <w:kern w:val="2"/>
          <w:sz w:val="20"/>
          <w:szCs w:val="20"/>
          <w14:ligatures w14:val="standardContextual"/>
        </w:rPr>
      </w:pPr>
      <w:hyperlink w:anchor="_Toc225877664" w:history="1">
        <w:r w:rsidRPr="000E4A30">
          <w:rPr>
            <w:rStyle w:val="Hyperlink"/>
            <w:rFonts w:ascii="Arial" w:hAnsi="Arial" w:cs="Arial"/>
            <w:noProof/>
            <w:sz w:val="20"/>
            <w:szCs w:val="20"/>
          </w:rPr>
          <w:t>Contact Information</w:t>
        </w:r>
        <w:r w:rsidRPr="000E4A30">
          <w:rPr>
            <w:rFonts w:ascii="Arial" w:hAnsi="Arial" w:cs="Arial"/>
            <w:noProof/>
            <w:webHidden/>
            <w:sz w:val="20"/>
            <w:szCs w:val="20"/>
          </w:rPr>
          <w:tab/>
        </w:r>
        <w:r w:rsidRPr="000E4A30">
          <w:rPr>
            <w:rFonts w:ascii="Arial" w:hAnsi="Arial" w:cs="Arial"/>
            <w:noProof/>
            <w:webHidden/>
            <w:sz w:val="20"/>
            <w:szCs w:val="20"/>
          </w:rPr>
          <w:fldChar w:fldCharType="begin"/>
        </w:r>
        <w:r w:rsidRPr="000E4A30">
          <w:rPr>
            <w:rFonts w:ascii="Arial" w:hAnsi="Arial" w:cs="Arial"/>
            <w:noProof/>
            <w:webHidden/>
            <w:sz w:val="20"/>
            <w:szCs w:val="20"/>
          </w:rPr>
          <w:instrText xml:space="preserve"> PAGEREF _Toc225877664 \h </w:instrText>
        </w:r>
        <w:r w:rsidRPr="000E4A30">
          <w:rPr>
            <w:rFonts w:ascii="Arial" w:hAnsi="Arial" w:cs="Arial"/>
            <w:noProof/>
            <w:webHidden/>
            <w:sz w:val="20"/>
            <w:szCs w:val="20"/>
          </w:rPr>
        </w:r>
        <w:r w:rsidRPr="000E4A30">
          <w:rPr>
            <w:rFonts w:ascii="Arial" w:hAnsi="Arial" w:cs="Arial"/>
            <w:noProof/>
            <w:webHidden/>
            <w:sz w:val="20"/>
            <w:szCs w:val="20"/>
          </w:rPr>
          <w:fldChar w:fldCharType="separate"/>
        </w:r>
        <w:r w:rsidR="002C0DFB">
          <w:rPr>
            <w:rFonts w:ascii="Arial" w:hAnsi="Arial" w:cs="Arial"/>
            <w:noProof/>
            <w:webHidden/>
            <w:sz w:val="20"/>
            <w:szCs w:val="20"/>
          </w:rPr>
          <w:t>32</w:t>
        </w:r>
        <w:r w:rsidRPr="000E4A30">
          <w:rPr>
            <w:rFonts w:ascii="Arial" w:hAnsi="Arial" w:cs="Arial"/>
            <w:noProof/>
            <w:webHidden/>
            <w:sz w:val="20"/>
            <w:szCs w:val="20"/>
          </w:rPr>
          <w:fldChar w:fldCharType="end"/>
        </w:r>
      </w:hyperlink>
    </w:p>
    <w:p w14:paraId="5699D5A7" w14:textId="2CD47782" w:rsidR="003C1BA0" w:rsidRPr="000E4A30" w:rsidRDefault="003C1BA0">
      <w:pPr>
        <w:pStyle w:val="TOC1"/>
        <w:rPr>
          <w:rFonts w:eastAsiaTheme="minorEastAsia" w:cs="Arial"/>
          <w:noProof/>
          <w:kern w:val="2"/>
          <w14:ligatures w14:val="standardContextual"/>
        </w:rPr>
      </w:pPr>
      <w:hyperlink w:anchor="_Toc225877665" w:history="1">
        <w:r w:rsidRPr="000E4A30">
          <w:rPr>
            <w:rStyle w:val="Hyperlink"/>
            <w:rFonts w:cs="Arial"/>
            <w:noProof/>
          </w:rPr>
          <w:t>Page Intentionally Left Blank</w:t>
        </w:r>
        <w:r w:rsidRPr="000E4A30">
          <w:rPr>
            <w:rFonts w:cs="Arial"/>
            <w:noProof/>
            <w:webHidden/>
          </w:rPr>
          <w:tab/>
        </w:r>
        <w:r w:rsidRPr="000E4A30">
          <w:rPr>
            <w:rFonts w:cs="Arial"/>
            <w:noProof/>
            <w:webHidden/>
          </w:rPr>
          <w:fldChar w:fldCharType="begin"/>
        </w:r>
        <w:r w:rsidRPr="000E4A30">
          <w:rPr>
            <w:rFonts w:cs="Arial"/>
            <w:noProof/>
            <w:webHidden/>
          </w:rPr>
          <w:instrText xml:space="preserve"> PAGEREF _Toc225877665 \h </w:instrText>
        </w:r>
        <w:r w:rsidRPr="000E4A30">
          <w:rPr>
            <w:rFonts w:cs="Arial"/>
            <w:noProof/>
            <w:webHidden/>
          </w:rPr>
        </w:r>
        <w:r w:rsidRPr="000E4A30">
          <w:rPr>
            <w:rFonts w:cs="Arial"/>
            <w:noProof/>
            <w:webHidden/>
          </w:rPr>
          <w:fldChar w:fldCharType="separate"/>
        </w:r>
        <w:r w:rsidR="002C0DFB">
          <w:rPr>
            <w:rFonts w:cs="Arial"/>
            <w:noProof/>
            <w:webHidden/>
          </w:rPr>
          <w:t>34</w:t>
        </w:r>
        <w:r w:rsidRPr="000E4A30">
          <w:rPr>
            <w:rFonts w:cs="Arial"/>
            <w:noProof/>
            <w:webHidden/>
          </w:rPr>
          <w:fldChar w:fldCharType="end"/>
        </w:r>
      </w:hyperlink>
    </w:p>
    <w:p w14:paraId="66A64600" w14:textId="327858B0" w:rsidR="003C1BA0" w:rsidRPr="000E4A30" w:rsidRDefault="003C1BA0">
      <w:pPr>
        <w:pStyle w:val="TOC1"/>
        <w:rPr>
          <w:rFonts w:eastAsiaTheme="minorEastAsia" w:cs="Arial"/>
          <w:noProof/>
          <w:kern w:val="2"/>
          <w14:ligatures w14:val="standardContextual"/>
        </w:rPr>
      </w:pPr>
      <w:hyperlink w:anchor="_Toc225877666" w:history="1">
        <w:r w:rsidRPr="000E4A30">
          <w:rPr>
            <w:rStyle w:val="Hyperlink"/>
            <w:rFonts w:cs="Arial"/>
            <w:noProof/>
          </w:rPr>
          <w:t>SECTION 1: PATIENT RIGHTS AND ETHICS</w:t>
        </w:r>
        <w:r w:rsidRPr="000E4A30">
          <w:rPr>
            <w:rFonts w:cs="Arial"/>
            <w:noProof/>
            <w:webHidden/>
          </w:rPr>
          <w:tab/>
        </w:r>
        <w:r w:rsidRPr="000E4A30">
          <w:rPr>
            <w:rFonts w:cs="Arial"/>
            <w:noProof/>
            <w:webHidden/>
          </w:rPr>
          <w:fldChar w:fldCharType="begin"/>
        </w:r>
        <w:r w:rsidRPr="000E4A30">
          <w:rPr>
            <w:rFonts w:cs="Arial"/>
            <w:noProof/>
            <w:webHidden/>
          </w:rPr>
          <w:instrText xml:space="preserve"> PAGEREF _Toc225877666 \h </w:instrText>
        </w:r>
        <w:r w:rsidRPr="000E4A30">
          <w:rPr>
            <w:rFonts w:cs="Arial"/>
            <w:noProof/>
            <w:webHidden/>
          </w:rPr>
        </w:r>
        <w:r w:rsidRPr="000E4A30">
          <w:rPr>
            <w:rFonts w:cs="Arial"/>
            <w:noProof/>
            <w:webHidden/>
          </w:rPr>
          <w:fldChar w:fldCharType="separate"/>
        </w:r>
        <w:r w:rsidR="002C0DFB">
          <w:rPr>
            <w:rFonts w:cs="Arial"/>
            <w:noProof/>
            <w:webHidden/>
          </w:rPr>
          <w:t>35</w:t>
        </w:r>
        <w:r w:rsidRPr="000E4A30">
          <w:rPr>
            <w:rFonts w:cs="Arial"/>
            <w:noProof/>
            <w:webHidden/>
          </w:rPr>
          <w:fldChar w:fldCharType="end"/>
        </w:r>
      </w:hyperlink>
    </w:p>
    <w:p w14:paraId="13D86224" w14:textId="32D0467B" w:rsidR="003C1BA0" w:rsidRPr="000E4A30" w:rsidRDefault="003C1BA0">
      <w:pPr>
        <w:pStyle w:val="TOC4"/>
        <w:rPr>
          <w:rFonts w:eastAsiaTheme="minorEastAsia" w:cs="Arial"/>
          <w:noProof/>
          <w:kern w:val="2"/>
          <w14:ligatures w14:val="standardContextual"/>
        </w:rPr>
      </w:pPr>
      <w:hyperlink w:anchor="_Toc225877667" w:history="1">
        <w:r w:rsidRPr="000E4A30">
          <w:rPr>
            <w:rStyle w:val="Hyperlink"/>
            <w:rFonts w:cs="Arial"/>
            <w:noProof/>
          </w:rPr>
          <w:t>Section 1: Patient Rights and Ethics</w:t>
        </w:r>
        <w:r w:rsidRPr="000E4A30">
          <w:rPr>
            <w:rFonts w:cs="Arial"/>
            <w:noProof/>
            <w:webHidden/>
          </w:rPr>
          <w:tab/>
        </w:r>
        <w:r w:rsidRPr="000E4A30">
          <w:rPr>
            <w:rFonts w:cs="Arial"/>
            <w:noProof/>
            <w:webHidden/>
          </w:rPr>
          <w:fldChar w:fldCharType="begin"/>
        </w:r>
        <w:r w:rsidRPr="000E4A30">
          <w:rPr>
            <w:rFonts w:cs="Arial"/>
            <w:noProof/>
            <w:webHidden/>
          </w:rPr>
          <w:instrText xml:space="preserve"> PAGEREF _Toc225877667 \h </w:instrText>
        </w:r>
        <w:r w:rsidRPr="000E4A30">
          <w:rPr>
            <w:rFonts w:cs="Arial"/>
            <w:noProof/>
            <w:webHidden/>
          </w:rPr>
        </w:r>
        <w:r w:rsidRPr="000E4A30">
          <w:rPr>
            <w:rFonts w:cs="Arial"/>
            <w:noProof/>
            <w:webHidden/>
          </w:rPr>
          <w:fldChar w:fldCharType="separate"/>
        </w:r>
        <w:r w:rsidR="002C0DFB">
          <w:rPr>
            <w:rFonts w:cs="Arial"/>
            <w:noProof/>
            <w:webHidden/>
          </w:rPr>
          <w:t>36</w:t>
        </w:r>
        <w:r w:rsidRPr="000E4A30">
          <w:rPr>
            <w:rFonts w:cs="Arial"/>
            <w:noProof/>
            <w:webHidden/>
          </w:rPr>
          <w:fldChar w:fldCharType="end"/>
        </w:r>
      </w:hyperlink>
    </w:p>
    <w:p w14:paraId="6F39C762" w14:textId="0C391F5B" w:rsidR="003C1BA0" w:rsidRPr="000E4A30" w:rsidRDefault="003C1BA0">
      <w:pPr>
        <w:pStyle w:val="TOC4"/>
        <w:rPr>
          <w:rFonts w:eastAsiaTheme="minorEastAsia" w:cs="Arial"/>
          <w:noProof/>
          <w:kern w:val="2"/>
          <w14:ligatures w14:val="standardContextual"/>
        </w:rPr>
      </w:pPr>
      <w:hyperlink w:anchor="_Toc225877668" w:history="1">
        <w:r w:rsidRPr="000E4A30">
          <w:rPr>
            <w:rStyle w:val="Hyperlink"/>
            <w:rFonts w:cs="Arial"/>
            <w:noProof/>
          </w:rPr>
          <w:t>1A: Basic Hospital Information</w:t>
        </w:r>
        <w:r w:rsidRPr="000E4A30">
          <w:rPr>
            <w:rFonts w:cs="Arial"/>
            <w:noProof/>
            <w:webHidden/>
          </w:rPr>
          <w:tab/>
        </w:r>
        <w:r w:rsidRPr="000E4A30">
          <w:rPr>
            <w:rFonts w:cs="Arial"/>
            <w:noProof/>
            <w:webHidden/>
          </w:rPr>
          <w:fldChar w:fldCharType="begin"/>
        </w:r>
        <w:r w:rsidRPr="000E4A30">
          <w:rPr>
            <w:rFonts w:cs="Arial"/>
            <w:noProof/>
            <w:webHidden/>
          </w:rPr>
          <w:instrText xml:space="preserve"> PAGEREF _Toc225877668 \h </w:instrText>
        </w:r>
        <w:r w:rsidRPr="000E4A30">
          <w:rPr>
            <w:rFonts w:cs="Arial"/>
            <w:noProof/>
            <w:webHidden/>
          </w:rPr>
        </w:r>
        <w:r w:rsidRPr="000E4A30">
          <w:rPr>
            <w:rFonts w:cs="Arial"/>
            <w:noProof/>
            <w:webHidden/>
          </w:rPr>
          <w:fldChar w:fldCharType="separate"/>
        </w:r>
        <w:r w:rsidR="002C0DFB">
          <w:rPr>
            <w:rFonts w:cs="Arial"/>
            <w:noProof/>
            <w:webHidden/>
          </w:rPr>
          <w:t>37</w:t>
        </w:r>
        <w:r w:rsidRPr="000E4A30">
          <w:rPr>
            <w:rFonts w:cs="Arial"/>
            <w:noProof/>
            <w:webHidden/>
          </w:rPr>
          <w:fldChar w:fldCharType="end"/>
        </w:r>
      </w:hyperlink>
    </w:p>
    <w:p w14:paraId="16A2DF4F" w14:textId="7C6D52AA" w:rsidR="003C1BA0" w:rsidRPr="000E4A30" w:rsidRDefault="003C1BA0">
      <w:pPr>
        <w:pStyle w:val="TOC5"/>
        <w:rPr>
          <w:rFonts w:ascii="Arial" w:hAnsi="Arial" w:cs="Arial"/>
          <w:noProof/>
          <w:kern w:val="2"/>
          <w:sz w:val="20"/>
          <w:szCs w:val="20"/>
          <w14:ligatures w14:val="standardContextual"/>
        </w:rPr>
      </w:pPr>
      <w:hyperlink w:anchor="_Toc225877669" w:history="1">
        <w:r w:rsidRPr="000E4A30">
          <w:rPr>
            <w:rStyle w:val="Hyperlink"/>
            <w:rFonts w:ascii="Arial" w:hAnsi="Arial" w:cs="Arial"/>
            <w:noProof/>
            <w:sz w:val="20"/>
            <w:szCs w:val="20"/>
          </w:rPr>
          <w:t>General Information</w:t>
        </w:r>
        <w:r w:rsidRPr="000E4A30">
          <w:rPr>
            <w:rFonts w:ascii="Arial" w:hAnsi="Arial" w:cs="Arial"/>
            <w:noProof/>
            <w:webHidden/>
            <w:sz w:val="20"/>
            <w:szCs w:val="20"/>
          </w:rPr>
          <w:tab/>
        </w:r>
        <w:r w:rsidRPr="000E4A30">
          <w:rPr>
            <w:rFonts w:ascii="Arial" w:hAnsi="Arial" w:cs="Arial"/>
            <w:noProof/>
            <w:webHidden/>
            <w:sz w:val="20"/>
            <w:szCs w:val="20"/>
          </w:rPr>
          <w:fldChar w:fldCharType="begin"/>
        </w:r>
        <w:r w:rsidRPr="000E4A30">
          <w:rPr>
            <w:rFonts w:ascii="Arial" w:hAnsi="Arial" w:cs="Arial"/>
            <w:noProof/>
            <w:webHidden/>
            <w:sz w:val="20"/>
            <w:szCs w:val="20"/>
          </w:rPr>
          <w:instrText xml:space="preserve"> PAGEREF _Toc225877669 \h </w:instrText>
        </w:r>
        <w:r w:rsidRPr="000E4A30">
          <w:rPr>
            <w:rFonts w:ascii="Arial" w:hAnsi="Arial" w:cs="Arial"/>
            <w:noProof/>
            <w:webHidden/>
            <w:sz w:val="20"/>
            <w:szCs w:val="20"/>
          </w:rPr>
        </w:r>
        <w:r w:rsidRPr="000E4A30">
          <w:rPr>
            <w:rFonts w:ascii="Arial" w:hAnsi="Arial" w:cs="Arial"/>
            <w:noProof/>
            <w:webHidden/>
            <w:sz w:val="20"/>
            <w:szCs w:val="20"/>
          </w:rPr>
          <w:fldChar w:fldCharType="separate"/>
        </w:r>
        <w:r w:rsidR="002C0DFB">
          <w:rPr>
            <w:rFonts w:ascii="Arial" w:hAnsi="Arial" w:cs="Arial"/>
            <w:noProof/>
            <w:webHidden/>
            <w:sz w:val="20"/>
            <w:szCs w:val="20"/>
          </w:rPr>
          <w:t>37</w:t>
        </w:r>
        <w:r w:rsidRPr="000E4A30">
          <w:rPr>
            <w:rFonts w:ascii="Arial" w:hAnsi="Arial" w:cs="Arial"/>
            <w:noProof/>
            <w:webHidden/>
            <w:sz w:val="20"/>
            <w:szCs w:val="20"/>
          </w:rPr>
          <w:fldChar w:fldCharType="end"/>
        </w:r>
      </w:hyperlink>
    </w:p>
    <w:p w14:paraId="015D91F9" w14:textId="22C5BFF8" w:rsidR="003C1BA0" w:rsidRPr="000E4A30" w:rsidRDefault="003C1BA0">
      <w:pPr>
        <w:pStyle w:val="TOC5"/>
        <w:rPr>
          <w:rFonts w:ascii="Arial" w:hAnsi="Arial" w:cs="Arial"/>
          <w:noProof/>
          <w:kern w:val="2"/>
          <w:sz w:val="20"/>
          <w:szCs w:val="20"/>
          <w14:ligatures w14:val="standardContextual"/>
        </w:rPr>
      </w:pPr>
      <w:hyperlink w:anchor="_Toc225877670" w:history="1">
        <w:r w:rsidRPr="000E4A30">
          <w:rPr>
            <w:rStyle w:val="Hyperlink"/>
            <w:rFonts w:ascii="Arial" w:hAnsi="Arial" w:cs="Arial"/>
            <w:noProof/>
            <w:sz w:val="20"/>
            <w:szCs w:val="20"/>
          </w:rPr>
          <w:t>General Hospital Policies</w:t>
        </w:r>
        <w:r w:rsidRPr="000E4A30">
          <w:rPr>
            <w:rFonts w:ascii="Arial" w:hAnsi="Arial" w:cs="Arial"/>
            <w:noProof/>
            <w:webHidden/>
            <w:sz w:val="20"/>
            <w:szCs w:val="20"/>
          </w:rPr>
          <w:tab/>
        </w:r>
        <w:r w:rsidRPr="000E4A30">
          <w:rPr>
            <w:rFonts w:ascii="Arial" w:hAnsi="Arial" w:cs="Arial"/>
            <w:noProof/>
            <w:webHidden/>
            <w:sz w:val="20"/>
            <w:szCs w:val="20"/>
          </w:rPr>
          <w:fldChar w:fldCharType="begin"/>
        </w:r>
        <w:r w:rsidRPr="000E4A30">
          <w:rPr>
            <w:rFonts w:ascii="Arial" w:hAnsi="Arial" w:cs="Arial"/>
            <w:noProof/>
            <w:webHidden/>
            <w:sz w:val="20"/>
            <w:szCs w:val="20"/>
          </w:rPr>
          <w:instrText xml:space="preserve"> PAGEREF _Toc225877670 \h </w:instrText>
        </w:r>
        <w:r w:rsidRPr="000E4A30">
          <w:rPr>
            <w:rFonts w:ascii="Arial" w:hAnsi="Arial" w:cs="Arial"/>
            <w:noProof/>
            <w:webHidden/>
            <w:sz w:val="20"/>
            <w:szCs w:val="20"/>
          </w:rPr>
        </w:r>
        <w:r w:rsidRPr="000E4A30">
          <w:rPr>
            <w:rFonts w:ascii="Arial" w:hAnsi="Arial" w:cs="Arial"/>
            <w:noProof/>
            <w:webHidden/>
            <w:sz w:val="20"/>
            <w:szCs w:val="20"/>
          </w:rPr>
          <w:fldChar w:fldCharType="separate"/>
        </w:r>
        <w:r w:rsidR="002C0DFB">
          <w:rPr>
            <w:rFonts w:ascii="Arial" w:hAnsi="Arial" w:cs="Arial"/>
            <w:noProof/>
            <w:webHidden/>
            <w:sz w:val="20"/>
            <w:szCs w:val="20"/>
          </w:rPr>
          <w:t>38</w:t>
        </w:r>
        <w:r w:rsidRPr="000E4A30">
          <w:rPr>
            <w:rFonts w:ascii="Arial" w:hAnsi="Arial" w:cs="Arial"/>
            <w:noProof/>
            <w:webHidden/>
            <w:sz w:val="20"/>
            <w:szCs w:val="20"/>
          </w:rPr>
          <w:fldChar w:fldCharType="end"/>
        </w:r>
      </w:hyperlink>
    </w:p>
    <w:p w14:paraId="7DB5C0BD" w14:textId="563BA87B" w:rsidR="003C1BA0" w:rsidRPr="000E4A30" w:rsidRDefault="003C1BA0">
      <w:pPr>
        <w:pStyle w:val="TOC4"/>
        <w:rPr>
          <w:rFonts w:eastAsiaTheme="minorEastAsia" w:cs="Arial"/>
          <w:noProof/>
          <w:kern w:val="2"/>
          <w14:ligatures w14:val="standardContextual"/>
        </w:rPr>
      </w:pPr>
      <w:hyperlink w:anchor="_Toc225877671" w:history="1">
        <w:r w:rsidRPr="000E4A30">
          <w:rPr>
            <w:rStyle w:val="Hyperlink"/>
            <w:rFonts w:cs="Arial"/>
            <w:noProof/>
          </w:rPr>
          <w:t>1B: Billing Ethics</w:t>
        </w:r>
        <w:r w:rsidRPr="000E4A30">
          <w:rPr>
            <w:rFonts w:cs="Arial"/>
            <w:noProof/>
            <w:webHidden/>
          </w:rPr>
          <w:tab/>
        </w:r>
        <w:r w:rsidRPr="000E4A30">
          <w:rPr>
            <w:rFonts w:cs="Arial"/>
            <w:noProof/>
            <w:webHidden/>
          </w:rPr>
          <w:fldChar w:fldCharType="begin"/>
        </w:r>
        <w:r w:rsidRPr="000E4A30">
          <w:rPr>
            <w:rFonts w:cs="Arial"/>
            <w:noProof/>
            <w:webHidden/>
          </w:rPr>
          <w:instrText xml:space="preserve"> PAGEREF _Toc225877671 \h </w:instrText>
        </w:r>
        <w:r w:rsidRPr="000E4A30">
          <w:rPr>
            <w:rFonts w:cs="Arial"/>
            <w:noProof/>
            <w:webHidden/>
          </w:rPr>
        </w:r>
        <w:r w:rsidRPr="000E4A30">
          <w:rPr>
            <w:rFonts w:cs="Arial"/>
            <w:noProof/>
            <w:webHidden/>
          </w:rPr>
          <w:fldChar w:fldCharType="separate"/>
        </w:r>
        <w:r w:rsidR="002C0DFB">
          <w:rPr>
            <w:rFonts w:cs="Arial"/>
            <w:noProof/>
            <w:webHidden/>
          </w:rPr>
          <w:t>39</w:t>
        </w:r>
        <w:r w:rsidRPr="000E4A30">
          <w:rPr>
            <w:rFonts w:cs="Arial"/>
            <w:noProof/>
            <w:webHidden/>
          </w:rPr>
          <w:fldChar w:fldCharType="end"/>
        </w:r>
      </w:hyperlink>
    </w:p>
    <w:p w14:paraId="40B01736" w14:textId="711C713D" w:rsidR="003C1BA0" w:rsidRPr="000E4A30" w:rsidRDefault="003C1BA0">
      <w:pPr>
        <w:pStyle w:val="TOC4"/>
        <w:rPr>
          <w:rFonts w:eastAsiaTheme="minorEastAsia" w:cs="Arial"/>
          <w:noProof/>
          <w:kern w:val="2"/>
          <w14:ligatures w14:val="standardContextual"/>
        </w:rPr>
      </w:pPr>
      <w:hyperlink w:anchor="_Toc225877672" w:history="1">
        <w:r w:rsidRPr="000E4A30">
          <w:rPr>
            <w:rStyle w:val="Hyperlink"/>
            <w:rFonts w:cs="Arial"/>
            <w:noProof/>
          </w:rPr>
          <w:t>1C: Health Care Equity</w:t>
        </w:r>
        <w:r w:rsidRPr="000E4A30">
          <w:rPr>
            <w:rFonts w:cs="Arial"/>
            <w:noProof/>
            <w:webHidden/>
          </w:rPr>
          <w:tab/>
        </w:r>
        <w:r w:rsidRPr="000E4A30">
          <w:rPr>
            <w:rFonts w:cs="Arial"/>
            <w:noProof/>
            <w:webHidden/>
          </w:rPr>
          <w:fldChar w:fldCharType="begin"/>
        </w:r>
        <w:r w:rsidRPr="000E4A30">
          <w:rPr>
            <w:rFonts w:cs="Arial"/>
            <w:noProof/>
            <w:webHidden/>
          </w:rPr>
          <w:instrText xml:space="preserve"> PAGEREF _Toc225877672 \h </w:instrText>
        </w:r>
        <w:r w:rsidRPr="000E4A30">
          <w:rPr>
            <w:rFonts w:cs="Arial"/>
            <w:noProof/>
            <w:webHidden/>
          </w:rPr>
        </w:r>
        <w:r w:rsidRPr="000E4A30">
          <w:rPr>
            <w:rFonts w:cs="Arial"/>
            <w:noProof/>
            <w:webHidden/>
          </w:rPr>
          <w:fldChar w:fldCharType="separate"/>
        </w:r>
        <w:r w:rsidR="002C0DFB">
          <w:rPr>
            <w:rFonts w:cs="Arial"/>
            <w:noProof/>
            <w:webHidden/>
          </w:rPr>
          <w:t>41</w:t>
        </w:r>
        <w:r w:rsidRPr="000E4A30">
          <w:rPr>
            <w:rFonts w:cs="Arial"/>
            <w:noProof/>
            <w:webHidden/>
          </w:rPr>
          <w:fldChar w:fldCharType="end"/>
        </w:r>
      </w:hyperlink>
    </w:p>
    <w:p w14:paraId="3E773E12" w14:textId="17853115" w:rsidR="003C1BA0" w:rsidRPr="000E4A30" w:rsidRDefault="003C1BA0">
      <w:pPr>
        <w:pStyle w:val="TOC4"/>
        <w:rPr>
          <w:rFonts w:eastAsiaTheme="minorEastAsia" w:cs="Arial"/>
          <w:noProof/>
          <w:kern w:val="2"/>
          <w14:ligatures w14:val="standardContextual"/>
        </w:rPr>
      </w:pPr>
      <w:hyperlink w:anchor="_Toc225877673" w:history="1">
        <w:r w:rsidRPr="000E4A30">
          <w:rPr>
            <w:rStyle w:val="Hyperlink"/>
            <w:rFonts w:cs="Arial"/>
            <w:noProof/>
          </w:rPr>
          <w:t>1D: Informed Consent</w:t>
        </w:r>
        <w:r w:rsidRPr="000E4A30">
          <w:rPr>
            <w:rFonts w:cs="Arial"/>
            <w:noProof/>
            <w:webHidden/>
          </w:rPr>
          <w:tab/>
        </w:r>
        <w:r w:rsidRPr="000E4A30">
          <w:rPr>
            <w:rFonts w:cs="Arial"/>
            <w:noProof/>
            <w:webHidden/>
          </w:rPr>
          <w:fldChar w:fldCharType="begin"/>
        </w:r>
        <w:r w:rsidRPr="000E4A30">
          <w:rPr>
            <w:rFonts w:cs="Arial"/>
            <w:noProof/>
            <w:webHidden/>
          </w:rPr>
          <w:instrText xml:space="preserve"> PAGEREF _Toc225877673 \h </w:instrText>
        </w:r>
        <w:r w:rsidRPr="000E4A30">
          <w:rPr>
            <w:rFonts w:cs="Arial"/>
            <w:noProof/>
            <w:webHidden/>
          </w:rPr>
        </w:r>
        <w:r w:rsidRPr="000E4A30">
          <w:rPr>
            <w:rFonts w:cs="Arial"/>
            <w:noProof/>
            <w:webHidden/>
          </w:rPr>
          <w:fldChar w:fldCharType="separate"/>
        </w:r>
        <w:r w:rsidR="002C0DFB">
          <w:rPr>
            <w:rFonts w:cs="Arial"/>
            <w:noProof/>
            <w:webHidden/>
          </w:rPr>
          <w:t>43</w:t>
        </w:r>
        <w:r w:rsidRPr="000E4A30">
          <w:rPr>
            <w:rFonts w:cs="Arial"/>
            <w:noProof/>
            <w:webHidden/>
          </w:rPr>
          <w:fldChar w:fldCharType="end"/>
        </w:r>
      </w:hyperlink>
    </w:p>
    <w:p w14:paraId="7F950F01" w14:textId="46C1B779" w:rsidR="003C1BA0" w:rsidRPr="000E4A30" w:rsidRDefault="003C1BA0">
      <w:pPr>
        <w:pStyle w:val="TOC5"/>
        <w:rPr>
          <w:rFonts w:ascii="Arial" w:hAnsi="Arial" w:cs="Arial"/>
          <w:noProof/>
          <w:kern w:val="2"/>
          <w:sz w:val="20"/>
          <w:szCs w:val="20"/>
          <w14:ligatures w14:val="standardContextual"/>
        </w:rPr>
      </w:pPr>
      <w:hyperlink w:anchor="_Toc225877674" w:history="1">
        <w:r w:rsidRPr="000E4A30">
          <w:rPr>
            <w:rStyle w:val="Hyperlink"/>
            <w:rFonts w:ascii="Arial" w:hAnsi="Arial" w:cs="Arial"/>
            <w:bCs/>
            <w:noProof/>
            <w:sz w:val="20"/>
            <w:szCs w:val="20"/>
          </w:rPr>
          <w:t>Training on Informed Consent</w:t>
        </w:r>
        <w:r w:rsidRPr="000E4A30">
          <w:rPr>
            <w:rFonts w:ascii="Arial" w:hAnsi="Arial" w:cs="Arial"/>
            <w:noProof/>
            <w:webHidden/>
            <w:sz w:val="20"/>
            <w:szCs w:val="20"/>
          </w:rPr>
          <w:tab/>
        </w:r>
        <w:r w:rsidRPr="000E4A30">
          <w:rPr>
            <w:rFonts w:ascii="Arial" w:hAnsi="Arial" w:cs="Arial"/>
            <w:noProof/>
            <w:webHidden/>
            <w:sz w:val="20"/>
            <w:szCs w:val="20"/>
          </w:rPr>
          <w:fldChar w:fldCharType="begin"/>
        </w:r>
        <w:r w:rsidRPr="000E4A30">
          <w:rPr>
            <w:rFonts w:ascii="Arial" w:hAnsi="Arial" w:cs="Arial"/>
            <w:noProof/>
            <w:webHidden/>
            <w:sz w:val="20"/>
            <w:szCs w:val="20"/>
          </w:rPr>
          <w:instrText xml:space="preserve"> PAGEREF _Toc225877674 \h </w:instrText>
        </w:r>
        <w:r w:rsidRPr="000E4A30">
          <w:rPr>
            <w:rFonts w:ascii="Arial" w:hAnsi="Arial" w:cs="Arial"/>
            <w:noProof/>
            <w:webHidden/>
            <w:sz w:val="20"/>
            <w:szCs w:val="20"/>
          </w:rPr>
        </w:r>
        <w:r w:rsidRPr="000E4A30">
          <w:rPr>
            <w:rFonts w:ascii="Arial" w:hAnsi="Arial" w:cs="Arial"/>
            <w:noProof/>
            <w:webHidden/>
            <w:sz w:val="20"/>
            <w:szCs w:val="20"/>
          </w:rPr>
          <w:fldChar w:fldCharType="separate"/>
        </w:r>
        <w:r w:rsidR="002C0DFB">
          <w:rPr>
            <w:rFonts w:ascii="Arial" w:hAnsi="Arial" w:cs="Arial"/>
            <w:noProof/>
            <w:webHidden/>
            <w:sz w:val="20"/>
            <w:szCs w:val="20"/>
          </w:rPr>
          <w:t>43</w:t>
        </w:r>
        <w:r w:rsidRPr="000E4A30">
          <w:rPr>
            <w:rFonts w:ascii="Arial" w:hAnsi="Arial" w:cs="Arial"/>
            <w:noProof/>
            <w:webHidden/>
            <w:sz w:val="20"/>
            <w:szCs w:val="20"/>
          </w:rPr>
          <w:fldChar w:fldCharType="end"/>
        </w:r>
      </w:hyperlink>
    </w:p>
    <w:p w14:paraId="146D8ABC" w14:textId="52C92652" w:rsidR="003C1BA0" w:rsidRPr="000E4A30" w:rsidRDefault="003C1BA0">
      <w:pPr>
        <w:pStyle w:val="TOC5"/>
        <w:rPr>
          <w:rFonts w:ascii="Arial" w:hAnsi="Arial" w:cs="Arial"/>
          <w:noProof/>
          <w:kern w:val="2"/>
          <w:sz w:val="20"/>
          <w:szCs w:val="20"/>
          <w14:ligatures w14:val="standardContextual"/>
        </w:rPr>
      </w:pPr>
      <w:hyperlink w:anchor="_Toc225877675" w:history="1">
        <w:r w:rsidRPr="000E4A30">
          <w:rPr>
            <w:rStyle w:val="Hyperlink"/>
            <w:rFonts w:ascii="Arial" w:hAnsi="Arial" w:cs="Arial"/>
            <w:noProof/>
            <w:sz w:val="20"/>
            <w:szCs w:val="20"/>
          </w:rPr>
          <w:t>Content of Informed Consent Forms</w:t>
        </w:r>
        <w:r w:rsidRPr="000E4A30">
          <w:rPr>
            <w:rFonts w:ascii="Arial" w:hAnsi="Arial" w:cs="Arial"/>
            <w:noProof/>
            <w:webHidden/>
            <w:sz w:val="20"/>
            <w:szCs w:val="20"/>
          </w:rPr>
          <w:tab/>
        </w:r>
        <w:r w:rsidRPr="000E4A30">
          <w:rPr>
            <w:rFonts w:ascii="Arial" w:hAnsi="Arial" w:cs="Arial"/>
            <w:noProof/>
            <w:webHidden/>
            <w:sz w:val="20"/>
            <w:szCs w:val="20"/>
          </w:rPr>
          <w:fldChar w:fldCharType="begin"/>
        </w:r>
        <w:r w:rsidRPr="000E4A30">
          <w:rPr>
            <w:rFonts w:ascii="Arial" w:hAnsi="Arial" w:cs="Arial"/>
            <w:noProof/>
            <w:webHidden/>
            <w:sz w:val="20"/>
            <w:szCs w:val="20"/>
          </w:rPr>
          <w:instrText xml:space="preserve"> PAGEREF _Toc225877675 \h </w:instrText>
        </w:r>
        <w:r w:rsidRPr="000E4A30">
          <w:rPr>
            <w:rFonts w:ascii="Arial" w:hAnsi="Arial" w:cs="Arial"/>
            <w:noProof/>
            <w:webHidden/>
            <w:sz w:val="20"/>
            <w:szCs w:val="20"/>
          </w:rPr>
        </w:r>
        <w:r w:rsidRPr="000E4A30">
          <w:rPr>
            <w:rFonts w:ascii="Arial" w:hAnsi="Arial" w:cs="Arial"/>
            <w:noProof/>
            <w:webHidden/>
            <w:sz w:val="20"/>
            <w:szCs w:val="20"/>
          </w:rPr>
          <w:fldChar w:fldCharType="separate"/>
        </w:r>
        <w:r w:rsidR="002C0DFB">
          <w:rPr>
            <w:rFonts w:ascii="Arial" w:hAnsi="Arial" w:cs="Arial"/>
            <w:noProof/>
            <w:webHidden/>
            <w:sz w:val="20"/>
            <w:szCs w:val="20"/>
          </w:rPr>
          <w:t>43</w:t>
        </w:r>
        <w:r w:rsidRPr="000E4A30">
          <w:rPr>
            <w:rFonts w:ascii="Arial" w:hAnsi="Arial" w:cs="Arial"/>
            <w:noProof/>
            <w:webHidden/>
            <w:sz w:val="20"/>
            <w:szCs w:val="20"/>
          </w:rPr>
          <w:fldChar w:fldCharType="end"/>
        </w:r>
      </w:hyperlink>
    </w:p>
    <w:p w14:paraId="496FFB07" w14:textId="127BE92B" w:rsidR="003C1BA0" w:rsidRPr="000E4A30" w:rsidRDefault="003C1BA0">
      <w:pPr>
        <w:pStyle w:val="TOC5"/>
        <w:rPr>
          <w:rFonts w:ascii="Arial" w:hAnsi="Arial" w:cs="Arial"/>
          <w:noProof/>
          <w:kern w:val="2"/>
          <w:sz w:val="20"/>
          <w:szCs w:val="20"/>
          <w14:ligatures w14:val="standardContextual"/>
        </w:rPr>
      </w:pPr>
      <w:hyperlink w:anchor="_Toc225877676" w:history="1">
        <w:r w:rsidRPr="000E4A30">
          <w:rPr>
            <w:rStyle w:val="Hyperlink"/>
            <w:rFonts w:ascii="Arial" w:hAnsi="Arial" w:cs="Arial"/>
            <w:noProof/>
            <w:sz w:val="20"/>
            <w:szCs w:val="20"/>
          </w:rPr>
          <w:t>Process for Gaining Informed Consent</w:t>
        </w:r>
        <w:r w:rsidRPr="000E4A30">
          <w:rPr>
            <w:rFonts w:ascii="Arial" w:hAnsi="Arial" w:cs="Arial"/>
            <w:noProof/>
            <w:webHidden/>
            <w:sz w:val="20"/>
            <w:szCs w:val="20"/>
          </w:rPr>
          <w:tab/>
        </w:r>
        <w:r w:rsidRPr="000E4A30">
          <w:rPr>
            <w:rFonts w:ascii="Arial" w:hAnsi="Arial" w:cs="Arial"/>
            <w:noProof/>
            <w:webHidden/>
            <w:sz w:val="20"/>
            <w:szCs w:val="20"/>
          </w:rPr>
          <w:fldChar w:fldCharType="begin"/>
        </w:r>
        <w:r w:rsidRPr="000E4A30">
          <w:rPr>
            <w:rFonts w:ascii="Arial" w:hAnsi="Arial" w:cs="Arial"/>
            <w:noProof/>
            <w:webHidden/>
            <w:sz w:val="20"/>
            <w:szCs w:val="20"/>
          </w:rPr>
          <w:instrText xml:space="preserve"> PAGEREF _Toc225877676 \h </w:instrText>
        </w:r>
        <w:r w:rsidRPr="000E4A30">
          <w:rPr>
            <w:rFonts w:ascii="Arial" w:hAnsi="Arial" w:cs="Arial"/>
            <w:noProof/>
            <w:webHidden/>
            <w:sz w:val="20"/>
            <w:szCs w:val="20"/>
          </w:rPr>
        </w:r>
        <w:r w:rsidRPr="000E4A30">
          <w:rPr>
            <w:rFonts w:ascii="Arial" w:hAnsi="Arial" w:cs="Arial"/>
            <w:noProof/>
            <w:webHidden/>
            <w:sz w:val="20"/>
            <w:szCs w:val="20"/>
          </w:rPr>
          <w:fldChar w:fldCharType="separate"/>
        </w:r>
        <w:r w:rsidR="002C0DFB">
          <w:rPr>
            <w:rFonts w:ascii="Arial" w:hAnsi="Arial" w:cs="Arial"/>
            <w:noProof/>
            <w:webHidden/>
            <w:sz w:val="20"/>
            <w:szCs w:val="20"/>
          </w:rPr>
          <w:t>44</w:t>
        </w:r>
        <w:r w:rsidRPr="000E4A30">
          <w:rPr>
            <w:rFonts w:ascii="Arial" w:hAnsi="Arial" w:cs="Arial"/>
            <w:noProof/>
            <w:webHidden/>
            <w:sz w:val="20"/>
            <w:szCs w:val="20"/>
          </w:rPr>
          <w:fldChar w:fldCharType="end"/>
        </w:r>
      </w:hyperlink>
    </w:p>
    <w:p w14:paraId="67FE263D" w14:textId="1AC6FD64" w:rsidR="003C1BA0" w:rsidRPr="000E4A30" w:rsidRDefault="003C1BA0">
      <w:pPr>
        <w:pStyle w:val="TOC4"/>
        <w:rPr>
          <w:rFonts w:eastAsiaTheme="minorEastAsia" w:cs="Arial"/>
          <w:noProof/>
          <w:kern w:val="2"/>
          <w14:ligatures w14:val="standardContextual"/>
        </w:rPr>
      </w:pPr>
      <w:hyperlink w:anchor="_Toc225877677" w:history="1">
        <w:r w:rsidRPr="000E4A30">
          <w:rPr>
            <w:rStyle w:val="Hyperlink"/>
            <w:rFonts w:cs="Arial"/>
            <w:noProof/>
          </w:rPr>
          <w:t>Section 1: Patient Rights and Ethics Reference Information</w:t>
        </w:r>
        <w:r w:rsidRPr="000E4A30">
          <w:rPr>
            <w:rFonts w:cs="Arial"/>
            <w:noProof/>
            <w:webHidden/>
          </w:rPr>
          <w:tab/>
        </w:r>
        <w:r w:rsidRPr="000E4A30">
          <w:rPr>
            <w:rFonts w:cs="Arial"/>
            <w:noProof/>
            <w:webHidden/>
          </w:rPr>
          <w:fldChar w:fldCharType="begin"/>
        </w:r>
        <w:r w:rsidRPr="000E4A30">
          <w:rPr>
            <w:rFonts w:cs="Arial"/>
            <w:noProof/>
            <w:webHidden/>
          </w:rPr>
          <w:instrText xml:space="preserve"> PAGEREF _Toc225877677 \h </w:instrText>
        </w:r>
        <w:r w:rsidRPr="000E4A30">
          <w:rPr>
            <w:rFonts w:cs="Arial"/>
            <w:noProof/>
            <w:webHidden/>
          </w:rPr>
        </w:r>
        <w:r w:rsidRPr="000E4A30">
          <w:rPr>
            <w:rFonts w:cs="Arial"/>
            <w:noProof/>
            <w:webHidden/>
          </w:rPr>
          <w:fldChar w:fldCharType="separate"/>
        </w:r>
        <w:r w:rsidR="002C0DFB">
          <w:rPr>
            <w:rFonts w:cs="Arial"/>
            <w:noProof/>
            <w:webHidden/>
          </w:rPr>
          <w:t>46</w:t>
        </w:r>
        <w:r w:rsidRPr="000E4A30">
          <w:rPr>
            <w:rFonts w:cs="Arial"/>
            <w:noProof/>
            <w:webHidden/>
          </w:rPr>
          <w:fldChar w:fldCharType="end"/>
        </w:r>
      </w:hyperlink>
    </w:p>
    <w:p w14:paraId="1C0DE52D" w14:textId="442EC9B0" w:rsidR="003C1BA0" w:rsidRPr="000E4A30" w:rsidRDefault="003C1BA0">
      <w:pPr>
        <w:pStyle w:val="TOC5"/>
        <w:rPr>
          <w:rFonts w:ascii="Arial" w:hAnsi="Arial" w:cs="Arial"/>
          <w:noProof/>
          <w:kern w:val="2"/>
          <w:sz w:val="20"/>
          <w:szCs w:val="20"/>
          <w14:ligatures w14:val="standardContextual"/>
        </w:rPr>
      </w:pPr>
      <w:hyperlink w:anchor="_Toc225877678" w:history="1">
        <w:r w:rsidRPr="000E4A30">
          <w:rPr>
            <w:rStyle w:val="Hyperlink"/>
            <w:rFonts w:ascii="Arial" w:hAnsi="Arial" w:cs="Arial"/>
            <w:noProof/>
            <w:sz w:val="20"/>
            <w:szCs w:val="20"/>
          </w:rPr>
          <w:t>What’s New in the 2026 Survey</w:t>
        </w:r>
        <w:r w:rsidRPr="000E4A30">
          <w:rPr>
            <w:rFonts w:ascii="Arial" w:hAnsi="Arial" w:cs="Arial"/>
            <w:noProof/>
            <w:webHidden/>
            <w:sz w:val="20"/>
            <w:szCs w:val="20"/>
          </w:rPr>
          <w:tab/>
        </w:r>
        <w:r w:rsidRPr="000E4A30">
          <w:rPr>
            <w:rFonts w:ascii="Arial" w:hAnsi="Arial" w:cs="Arial"/>
            <w:noProof/>
            <w:webHidden/>
            <w:sz w:val="20"/>
            <w:szCs w:val="20"/>
          </w:rPr>
          <w:fldChar w:fldCharType="begin"/>
        </w:r>
        <w:r w:rsidRPr="000E4A30">
          <w:rPr>
            <w:rFonts w:ascii="Arial" w:hAnsi="Arial" w:cs="Arial"/>
            <w:noProof/>
            <w:webHidden/>
            <w:sz w:val="20"/>
            <w:szCs w:val="20"/>
          </w:rPr>
          <w:instrText xml:space="preserve"> PAGEREF _Toc225877678 \h </w:instrText>
        </w:r>
        <w:r w:rsidRPr="000E4A30">
          <w:rPr>
            <w:rFonts w:ascii="Arial" w:hAnsi="Arial" w:cs="Arial"/>
            <w:noProof/>
            <w:webHidden/>
            <w:sz w:val="20"/>
            <w:szCs w:val="20"/>
          </w:rPr>
        </w:r>
        <w:r w:rsidRPr="000E4A30">
          <w:rPr>
            <w:rFonts w:ascii="Arial" w:hAnsi="Arial" w:cs="Arial"/>
            <w:noProof/>
            <w:webHidden/>
            <w:sz w:val="20"/>
            <w:szCs w:val="20"/>
          </w:rPr>
          <w:fldChar w:fldCharType="separate"/>
        </w:r>
        <w:r w:rsidR="002C0DFB">
          <w:rPr>
            <w:rFonts w:ascii="Arial" w:hAnsi="Arial" w:cs="Arial"/>
            <w:noProof/>
            <w:webHidden/>
            <w:sz w:val="20"/>
            <w:szCs w:val="20"/>
          </w:rPr>
          <w:t>46</w:t>
        </w:r>
        <w:r w:rsidRPr="000E4A30">
          <w:rPr>
            <w:rFonts w:ascii="Arial" w:hAnsi="Arial" w:cs="Arial"/>
            <w:noProof/>
            <w:webHidden/>
            <w:sz w:val="20"/>
            <w:szCs w:val="20"/>
          </w:rPr>
          <w:fldChar w:fldCharType="end"/>
        </w:r>
      </w:hyperlink>
    </w:p>
    <w:p w14:paraId="5C1DC238" w14:textId="775CC362" w:rsidR="003C1BA0" w:rsidRPr="000E4A30" w:rsidRDefault="003C1BA0">
      <w:pPr>
        <w:pStyle w:val="TOC5"/>
        <w:rPr>
          <w:rFonts w:ascii="Arial" w:hAnsi="Arial" w:cs="Arial"/>
          <w:noProof/>
          <w:kern w:val="2"/>
          <w:sz w:val="20"/>
          <w:szCs w:val="20"/>
          <w14:ligatures w14:val="standardContextual"/>
        </w:rPr>
      </w:pPr>
      <w:hyperlink w:anchor="_Toc225877679" w:history="1">
        <w:r w:rsidRPr="000E4A30">
          <w:rPr>
            <w:rStyle w:val="Hyperlink"/>
            <w:rFonts w:ascii="Arial" w:hAnsi="Arial" w:cs="Arial"/>
            <w:noProof/>
            <w:sz w:val="20"/>
            <w:szCs w:val="20"/>
          </w:rPr>
          <w:t>Change Summary Since Release</w:t>
        </w:r>
        <w:r w:rsidRPr="000E4A30">
          <w:rPr>
            <w:rFonts w:ascii="Arial" w:hAnsi="Arial" w:cs="Arial"/>
            <w:noProof/>
            <w:webHidden/>
            <w:sz w:val="20"/>
            <w:szCs w:val="20"/>
          </w:rPr>
          <w:tab/>
        </w:r>
        <w:r w:rsidRPr="000E4A30">
          <w:rPr>
            <w:rFonts w:ascii="Arial" w:hAnsi="Arial" w:cs="Arial"/>
            <w:noProof/>
            <w:webHidden/>
            <w:sz w:val="20"/>
            <w:szCs w:val="20"/>
          </w:rPr>
          <w:fldChar w:fldCharType="begin"/>
        </w:r>
        <w:r w:rsidRPr="000E4A30">
          <w:rPr>
            <w:rFonts w:ascii="Arial" w:hAnsi="Arial" w:cs="Arial"/>
            <w:noProof/>
            <w:webHidden/>
            <w:sz w:val="20"/>
            <w:szCs w:val="20"/>
          </w:rPr>
          <w:instrText xml:space="preserve"> PAGEREF _Toc225877679 \h </w:instrText>
        </w:r>
        <w:r w:rsidRPr="000E4A30">
          <w:rPr>
            <w:rFonts w:ascii="Arial" w:hAnsi="Arial" w:cs="Arial"/>
            <w:noProof/>
            <w:webHidden/>
            <w:sz w:val="20"/>
            <w:szCs w:val="20"/>
          </w:rPr>
        </w:r>
        <w:r w:rsidRPr="000E4A30">
          <w:rPr>
            <w:rFonts w:ascii="Arial" w:hAnsi="Arial" w:cs="Arial"/>
            <w:noProof/>
            <w:webHidden/>
            <w:sz w:val="20"/>
            <w:szCs w:val="20"/>
          </w:rPr>
          <w:fldChar w:fldCharType="separate"/>
        </w:r>
        <w:r w:rsidR="002C0DFB">
          <w:rPr>
            <w:rFonts w:ascii="Arial" w:hAnsi="Arial" w:cs="Arial"/>
            <w:noProof/>
            <w:webHidden/>
            <w:sz w:val="20"/>
            <w:szCs w:val="20"/>
          </w:rPr>
          <w:t>47</w:t>
        </w:r>
        <w:r w:rsidRPr="000E4A30">
          <w:rPr>
            <w:rFonts w:ascii="Arial" w:hAnsi="Arial" w:cs="Arial"/>
            <w:noProof/>
            <w:webHidden/>
            <w:sz w:val="20"/>
            <w:szCs w:val="20"/>
          </w:rPr>
          <w:fldChar w:fldCharType="end"/>
        </w:r>
      </w:hyperlink>
    </w:p>
    <w:p w14:paraId="7CB0B422" w14:textId="46641A51" w:rsidR="003C1BA0" w:rsidRPr="000E4A30" w:rsidRDefault="003C1BA0">
      <w:pPr>
        <w:pStyle w:val="TOC4"/>
        <w:rPr>
          <w:rFonts w:eastAsiaTheme="minorEastAsia" w:cs="Arial"/>
          <w:noProof/>
          <w:kern w:val="2"/>
          <w14:ligatures w14:val="standardContextual"/>
        </w:rPr>
      </w:pPr>
      <w:hyperlink w:anchor="_Toc225877680" w:history="1">
        <w:r w:rsidRPr="000E4A30">
          <w:rPr>
            <w:rStyle w:val="Hyperlink"/>
            <w:rFonts w:cs="Arial"/>
            <w:noProof/>
          </w:rPr>
          <w:t>Section 1A: Basic Hospital Information Measure Specifications</w:t>
        </w:r>
        <w:r w:rsidRPr="000E4A30">
          <w:rPr>
            <w:rFonts w:cs="Arial"/>
            <w:noProof/>
            <w:webHidden/>
          </w:rPr>
          <w:tab/>
        </w:r>
        <w:r w:rsidRPr="000E4A30">
          <w:rPr>
            <w:rFonts w:cs="Arial"/>
            <w:noProof/>
            <w:webHidden/>
          </w:rPr>
          <w:fldChar w:fldCharType="begin"/>
        </w:r>
        <w:r w:rsidRPr="000E4A30">
          <w:rPr>
            <w:rFonts w:cs="Arial"/>
            <w:noProof/>
            <w:webHidden/>
          </w:rPr>
          <w:instrText xml:space="preserve"> PAGEREF _Toc225877680 \h </w:instrText>
        </w:r>
        <w:r w:rsidRPr="000E4A30">
          <w:rPr>
            <w:rFonts w:cs="Arial"/>
            <w:noProof/>
            <w:webHidden/>
          </w:rPr>
        </w:r>
        <w:r w:rsidRPr="000E4A30">
          <w:rPr>
            <w:rFonts w:cs="Arial"/>
            <w:noProof/>
            <w:webHidden/>
          </w:rPr>
          <w:fldChar w:fldCharType="separate"/>
        </w:r>
        <w:r w:rsidR="002C0DFB">
          <w:rPr>
            <w:rFonts w:cs="Arial"/>
            <w:noProof/>
            <w:webHidden/>
          </w:rPr>
          <w:t>48</w:t>
        </w:r>
        <w:r w:rsidRPr="000E4A30">
          <w:rPr>
            <w:rFonts w:cs="Arial"/>
            <w:noProof/>
            <w:webHidden/>
          </w:rPr>
          <w:fldChar w:fldCharType="end"/>
        </w:r>
      </w:hyperlink>
    </w:p>
    <w:p w14:paraId="21FB7BBB" w14:textId="66984988" w:rsidR="003C1BA0" w:rsidRPr="000E4A30" w:rsidRDefault="003C1BA0">
      <w:pPr>
        <w:pStyle w:val="TOC4"/>
        <w:rPr>
          <w:rFonts w:eastAsiaTheme="minorEastAsia" w:cs="Arial"/>
          <w:noProof/>
          <w:kern w:val="2"/>
          <w14:ligatures w14:val="standardContextual"/>
        </w:rPr>
      </w:pPr>
      <w:hyperlink w:anchor="_Toc225877681" w:history="1">
        <w:r w:rsidRPr="000E4A30">
          <w:rPr>
            <w:rStyle w:val="Hyperlink"/>
            <w:rFonts w:cs="Arial"/>
            <w:noProof/>
          </w:rPr>
          <w:t>Section 1: Patient Rights and Ethics Frequently Asked Questions (FAQs)</w:t>
        </w:r>
        <w:r w:rsidRPr="000E4A30">
          <w:rPr>
            <w:rFonts w:cs="Arial"/>
            <w:noProof/>
            <w:webHidden/>
          </w:rPr>
          <w:tab/>
        </w:r>
        <w:r w:rsidRPr="000E4A30">
          <w:rPr>
            <w:rFonts w:cs="Arial"/>
            <w:noProof/>
            <w:webHidden/>
          </w:rPr>
          <w:fldChar w:fldCharType="begin"/>
        </w:r>
        <w:r w:rsidRPr="000E4A30">
          <w:rPr>
            <w:rFonts w:cs="Arial"/>
            <w:noProof/>
            <w:webHidden/>
          </w:rPr>
          <w:instrText xml:space="preserve"> PAGEREF _Toc225877681 \h </w:instrText>
        </w:r>
        <w:r w:rsidRPr="000E4A30">
          <w:rPr>
            <w:rFonts w:cs="Arial"/>
            <w:noProof/>
            <w:webHidden/>
          </w:rPr>
        </w:r>
        <w:r w:rsidRPr="000E4A30">
          <w:rPr>
            <w:rFonts w:cs="Arial"/>
            <w:noProof/>
            <w:webHidden/>
          </w:rPr>
          <w:fldChar w:fldCharType="separate"/>
        </w:r>
        <w:r w:rsidR="002C0DFB">
          <w:rPr>
            <w:rFonts w:cs="Arial"/>
            <w:noProof/>
            <w:webHidden/>
          </w:rPr>
          <w:t>49</w:t>
        </w:r>
        <w:r w:rsidRPr="000E4A30">
          <w:rPr>
            <w:rFonts w:cs="Arial"/>
            <w:noProof/>
            <w:webHidden/>
          </w:rPr>
          <w:fldChar w:fldCharType="end"/>
        </w:r>
      </w:hyperlink>
    </w:p>
    <w:p w14:paraId="47C686AE" w14:textId="42B33451" w:rsidR="003C1BA0" w:rsidRPr="000E4A30" w:rsidRDefault="003C1BA0">
      <w:pPr>
        <w:pStyle w:val="TOC5"/>
        <w:rPr>
          <w:rFonts w:ascii="Arial" w:hAnsi="Arial" w:cs="Arial"/>
          <w:noProof/>
          <w:kern w:val="2"/>
          <w:sz w:val="20"/>
          <w:szCs w:val="20"/>
          <w14:ligatures w14:val="standardContextual"/>
        </w:rPr>
      </w:pPr>
      <w:hyperlink w:anchor="_Toc225877682" w:history="1">
        <w:r w:rsidRPr="000E4A30">
          <w:rPr>
            <w:rStyle w:val="Hyperlink"/>
            <w:rFonts w:ascii="Arial" w:hAnsi="Arial" w:cs="Arial"/>
            <w:noProof/>
            <w:sz w:val="20"/>
            <w:szCs w:val="20"/>
          </w:rPr>
          <w:t>Basic Hospital Information FAQs</w:t>
        </w:r>
        <w:r w:rsidRPr="000E4A30">
          <w:rPr>
            <w:rFonts w:ascii="Arial" w:hAnsi="Arial" w:cs="Arial"/>
            <w:noProof/>
            <w:webHidden/>
            <w:sz w:val="20"/>
            <w:szCs w:val="20"/>
          </w:rPr>
          <w:tab/>
        </w:r>
        <w:r w:rsidRPr="000E4A30">
          <w:rPr>
            <w:rFonts w:ascii="Arial" w:hAnsi="Arial" w:cs="Arial"/>
            <w:noProof/>
            <w:webHidden/>
            <w:sz w:val="20"/>
            <w:szCs w:val="20"/>
          </w:rPr>
          <w:fldChar w:fldCharType="begin"/>
        </w:r>
        <w:r w:rsidRPr="000E4A30">
          <w:rPr>
            <w:rFonts w:ascii="Arial" w:hAnsi="Arial" w:cs="Arial"/>
            <w:noProof/>
            <w:webHidden/>
            <w:sz w:val="20"/>
            <w:szCs w:val="20"/>
          </w:rPr>
          <w:instrText xml:space="preserve"> PAGEREF _Toc225877682 \h </w:instrText>
        </w:r>
        <w:r w:rsidRPr="000E4A30">
          <w:rPr>
            <w:rFonts w:ascii="Arial" w:hAnsi="Arial" w:cs="Arial"/>
            <w:noProof/>
            <w:webHidden/>
            <w:sz w:val="20"/>
            <w:szCs w:val="20"/>
          </w:rPr>
        </w:r>
        <w:r w:rsidRPr="000E4A30">
          <w:rPr>
            <w:rFonts w:ascii="Arial" w:hAnsi="Arial" w:cs="Arial"/>
            <w:noProof/>
            <w:webHidden/>
            <w:sz w:val="20"/>
            <w:szCs w:val="20"/>
          </w:rPr>
          <w:fldChar w:fldCharType="separate"/>
        </w:r>
        <w:r w:rsidR="002C0DFB">
          <w:rPr>
            <w:rFonts w:ascii="Arial" w:hAnsi="Arial" w:cs="Arial"/>
            <w:noProof/>
            <w:webHidden/>
            <w:sz w:val="20"/>
            <w:szCs w:val="20"/>
          </w:rPr>
          <w:t>49</w:t>
        </w:r>
        <w:r w:rsidRPr="000E4A30">
          <w:rPr>
            <w:rFonts w:ascii="Arial" w:hAnsi="Arial" w:cs="Arial"/>
            <w:noProof/>
            <w:webHidden/>
            <w:sz w:val="20"/>
            <w:szCs w:val="20"/>
          </w:rPr>
          <w:fldChar w:fldCharType="end"/>
        </w:r>
      </w:hyperlink>
    </w:p>
    <w:p w14:paraId="2629A192" w14:textId="528C09B5" w:rsidR="003C1BA0" w:rsidRPr="000E4A30" w:rsidRDefault="003C1BA0">
      <w:pPr>
        <w:pStyle w:val="TOC5"/>
        <w:rPr>
          <w:rFonts w:ascii="Arial" w:hAnsi="Arial" w:cs="Arial"/>
          <w:noProof/>
          <w:kern w:val="2"/>
          <w:sz w:val="20"/>
          <w:szCs w:val="20"/>
          <w14:ligatures w14:val="standardContextual"/>
        </w:rPr>
      </w:pPr>
      <w:hyperlink w:anchor="_Toc225877683" w:history="1">
        <w:r w:rsidRPr="000E4A30">
          <w:rPr>
            <w:rStyle w:val="Hyperlink"/>
            <w:rFonts w:ascii="Arial" w:hAnsi="Arial" w:cs="Arial"/>
            <w:noProof/>
            <w:sz w:val="20"/>
            <w:szCs w:val="20"/>
          </w:rPr>
          <w:t>Billing Ethics FAQs</w:t>
        </w:r>
        <w:r w:rsidRPr="000E4A30">
          <w:rPr>
            <w:rFonts w:ascii="Arial" w:hAnsi="Arial" w:cs="Arial"/>
            <w:noProof/>
            <w:webHidden/>
            <w:sz w:val="20"/>
            <w:szCs w:val="20"/>
          </w:rPr>
          <w:tab/>
        </w:r>
        <w:r w:rsidRPr="000E4A30">
          <w:rPr>
            <w:rFonts w:ascii="Arial" w:hAnsi="Arial" w:cs="Arial"/>
            <w:noProof/>
            <w:webHidden/>
            <w:sz w:val="20"/>
            <w:szCs w:val="20"/>
          </w:rPr>
          <w:fldChar w:fldCharType="begin"/>
        </w:r>
        <w:r w:rsidRPr="000E4A30">
          <w:rPr>
            <w:rFonts w:ascii="Arial" w:hAnsi="Arial" w:cs="Arial"/>
            <w:noProof/>
            <w:webHidden/>
            <w:sz w:val="20"/>
            <w:szCs w:val="20"/>
          </w:rPr>
          <w:instrText xml:space="preserve"> PAGEREF _Toc225877683 \h </w:instrText>
        </w:r>
        <w:r w:rsidRPr="000E4A30">
          <w:rPr>
            <w:rFonts w:ascii="Arial" w:hAnsi="Arial" w:cs="Arial"/>
            <w:noProof/>
            <w:webHidden/>
            <w:sz w:val="20"/>
            <w:szCs w:val="20"/>
          </w:rPr>
        </w:r>
        <w:r w:rsidRPr="000E4A30">
          <w:rPr>
            <w:rFonts w:ascii="Arial" w:hAnsi="Arial" w:cs="Arial"/>
            <w:noProof/>
            <w:webHidden/>
            <w:sz w:val="20"/>
            <w:szCs w:val="20"/>
          </w:rPr>
          <w:fldChar w:fldCharType="separate"/>
        </w:r>
        <w:r w:rsidR="002C0DFB">
          <w:rPr>
            <w:rFonts w:ascii="Arial" w:hAnsi="Arial" w:cs="Arial"/>
            <w:noProof/>
            <w:webHidden/>
            <w:sz w:val="20"/>
            <w:szCs w:val="20"/>
          </w:rPr>
          <w:t>49</w:t>
        </w:r>
        <w:r w:rsidRPr="000E4A30">
          <w:rPr>
            <w:rFonts w:ascii="Arial" w:hAnsi="Arial" w:cs="Arial"/>
            <w:noProof/>
            <w:webHidden/>
            <w:sz w:val="20"/>
            <w:szCs w:val="20"/>
          </w:rPr>
          <w:fldChar w:fldCharType="end"/>
        </w:r>
      </w:hyperlink>
    </w:p>
    <w:p w14:paraId="26282825" w14:textId="2D9EBB06" w:rsidR="003C1BA0" w:rsidRPr="000E4A30" w:rsidRDefault="003C1BA0">
      <w:pPr>
        <w:pStyle w:val="TOC5"/>
        <w:rPr>
          <w:rFonts w:ascii="Arial" w:hAnsi="Arial" w:cs="Arial"/>
          <w:noProof/>
          <w:kern w:val="2"/>
          <w:sz w:val="20"/>
          <w:szCs w:val="20"/>
          <w14:ligatures w14:val="standardContextual"/>
        </w:rPr>
      </w:pPr>
      <w:hyperlink w:anchor="_Toc225877684" w:history="1">
        <w:r w:rsidRPr="000E4A30">
          <w:rPr>
            <w:rStyle w:val="Hyperlink"/>
            <w:rFonts w:ascii="Arial" w:hAnsi="Arial" w:cs="Arial"/>
            <w:noProof/>
            <w:sz w:val="20"/>
            <w:szCs w:val="20"/>
          </w:rPr>
          <w:t>Health Care Equity FAQs</w:t>
        </w:r>
        <w:r w:rsidRPr="000E4A30">
          <w:rPr>
            <w:rFonts w:ascii="Arial" w:hAnsi="Arial" w:cs="Arial"/>
            <w:noProof/>
            <w:webHidden/>
            <w:sz w:val="20"/>
            <w:szCs w:val="20"/>
          </w:rPr>
          <w:tab/>
        </w:r>
        <w:r w:rsidRPr="000E4A30">
          <w:rPr>
            <w:rFonts w:ascii="Arial" w:hAnsi="Arial" w:cs="Arial"/>
            <w:noProof/>
            <w:webHidden/>
            <w:sz w:val="20"/>
            <w:szCs w:val="20"/>
          </w:rPr>
          <w:fldChar w:fldCharType="begin"/>
        </w:r>
        <w:r w:rsidRPr="000E4A30">
          <w:rPr>
            <w:rFonts w:ascii="Arial" w:hAnsi="Arial" w:cs="Arial"/>
            <w:noProof/>
            <w:webHidden/>
            <w:sz w:val="20"/>
            <w:szCs w:val="20"/>
          </w:rPr>
          <w:instrText xml:space="preserve"> PAGEREF _Toc225877684 \h </w:instrText>
        </w:r>
        <w:r w:rsidRPr="000E4A30">
          <w:rPr>
            <w:rFonts w:ascii="Arial" w:hAnsi="Arial" w:cs="Arial"/>
            <w:noProof/>
            <w:webHidden/>
            <w:sz w:val="20"/>
            <w:szCs w:val="20"/>
          </w:rPr>
        </w:r>
        <w:r w:rsidRPr="000E4A30">
          <w:rPr>
            <w:rFonts w:ascii="Arial" w:hAnsi="Arial" w:cs="Arial"/>
            <w:noProof/>
            <w:webHidden/>
            <w:sz w:val="20"/>
            <w:szCs w:val="20"/>
          </w:rPr>
          <w:fldChar w:fldCharType="separate"/>
        </w:r>
        <w:r w:rsidR="002C0DFB">
          <w:rPr>
            <w:rFonts w:ascii="Arial" w:hAnsi="Arial" w:cs="Arial"/>
            <w:noProof/>
            <w:webHidden/>
            <w:sz w:val="20"/>
            <w:szCs w:val="20"/>
          </w:rPr>
          <w:t>51</w:t>
        </w:r>
        <w:r w:rsidRPr="000E4A30">
          <w:rPr>
            <w:rFonts w:ascii="Arial" w:hAnsi="Arial" w:cs="Arial"/>
            <w:noProof/>
            <w:webHidden/>
            <w:sz w:val="20"/>
            <w:szCs w:val="20"/>
          </w:rPr>
          <w:fldChar w:fldCharType="end"/>
        </w:r>
      </w:hyperlink>
    </w:p>
    <w:p w14:paraId="6D98DF91" w14:textId="4F301BA3" w:rsidR="003C1BA0" w:rsidRPr="000E4A30" w:rsidRDefault="003C1BA0">
      <w:pPr>
        <w:pStyle w:val="TOC5"/>
        <w:rPr>
          <w:rFonts w:ascii="Arial" w:hAnsi="Arial" w:cs="Arial"/>
          <w:noProof/>
          <w:kern w:val="2"/>
          <w:sz w:val="20"/>
          <w:szCs w:val="20"/>
          <w14:ligatures w14:val="standardContextual"/>
        </w:rPr>
      </w:pPr>
      <w:hyperlink w:anchor="_Toc225877685" w:history="1">
        <w:r w:rsidRPr="000E4A30">
          <w:rPr>
            <w:rStyle w:val="Hyperlink"/>
            <w:rFonts w:ascii="Arial" w:hAnsi="Arial" w:cs="Arial"/>
            <w:noProof/>
            <w:sz w:val="20"/>
            <w:szCs w:val="20"/>
          </w:rPr>
          <w:t>Informed Consent FAQs</w:t>
        </w:r>
        <w:r w:rsidRPr="000E4A30">
          <w:rPr>
            <w:rFonts w:ascii="Arial" w:hAnsi="Arial" w:cs="Arial"/>
            <w:noProof/>
            <w:webHidden/>
            <w:sz w:val="20"/>
            <w:szCs w:val="20"/>
          </w:rPr>
          <w:tab/>
        </w:r>
        <w:r w:rsidRPr="000E4A30">
          <w:rPr>
            <w:rFonts w:ascii="Arial" w:hAnsi="Arial" w:cs="Arial"/>
            <w:noProof/>
            <w:webHidden/>
            <w:sz w:val="20"/>
            <w:szCs w:val="20"/>
          </w:rPr>
          <w:fldChar w:fldCharType="begin"/>
        </w:r>
        <w:r w:rsidRPr="000E4A30">
          <w:rPr>
            <w:rFonts w:ascii="Arial" w:hAnsi="Arial" w:cs="Arial"/>
            <w:noProof/>
            <w:webHidden/>
            <w:sz w:val="20"/>
            <w:szCs w:val="20"/>
          </w:rPr>
          <w:instrText xml:space="preserve"> PAGEREF _Toc225877685 \h </w:instrText>
        </w:r>
        <w:r w:rsidRPr="000E4A30">
          <w:rPr>
            <w:rFonts w:ascii="Arial" w:hAnsi="Arial" w:cs="Arial"/>
            <w:noProof/>
            <w:webHidden/>
            <w:sz w:val="20"/>
            <w:szCs w:val="20"/>
          </w:rPr>
        </w:r>
        <w:r w:rsidRPr="000E4A30">
          <w:rPr>
            <w:rFonts w:ascii="Arial" w:hAnsi="Arial" w:cs="Arial"/>
            <w:noProof/>
            <w:webHidden/>
            <w:sz w:val="20"/>
            <w:szCs w:val="20"/>
          </w:rPr>
          <w:fldChar w:fldCharType="separate"/>
        </w:r>
        <w:r w:rsidR="002C0DFB">
          <w:rPr>
            <w:rFonts w:ascii="Arial" w:hAnsi="Arial" w:cs="Arial"/>
            <w:noProof/>
            <w:webHidden/>
            <w:sz w:val="20"/>
            <w:szCs w:val="20"/>
          </w:rPr>
          <w:t>52</w:t>
        </w:r>
        <w:r w:rsidRPr="000E4A30">
          <w:rPr>
            <w:rFonts w:ascii="Arial" w:hAnsi="Arial" w:cs="Arial"/>
            <w:noProof/>
            <w:webHidden/>
            <w:sz w:val="20"/>
            <w:szCs w:val="20"/>
          </w:rPr>
          <w:fldChar w:fldCharType="end"/>
        </w:r>
      </w:hyperlink>
    </w:p>
    <w:p w14:paraId="1CC5AC7F" w14:textId="790941FB" w:rsidR="003C1BA0" w:rsidRPr="000E4A30" w:rsidRDefault="003C1BA0">
      <w:pPr>
        <w:pStyle w:val="TOC1"/>
        <w:rPr>
          <w:rFonts w:eastAsiaTheme="minorEastAsia" w:cs="Arial"/>
          <w:noProof/>
          <w:kern w:val="2"/>
          <w14:ligatures w14:val="standardContextual"/>
        </w:rPr>
      </w:pPr>
      <w:hyperlink w:anchor="_Toc225877686" w:history="1">
        <w:r w:rsidRPr="000E4A30">
          <w:rPr>
            <w:rStyle w:val="Hyperlink"/>
            <w:rFonts w:cs="Arial"/>
            <w:noProof/>
          </w:rPr>
          <w:t>Page Intentionally Left Blank</w:t>
        </w:r>
        <w:r w:rsidRPr="000E4A30">
          <w:rPr>
            <w:rFonts w:cs="Arial"/>
            <w:noProof/>
            <w:webHidden/>
          </w:rPr>
          <w:tab/>
        </w:r>
        <w:r w:rsidRPr="000E4A30">
          <w:rPr>
            <w:rFonts w:cs="Arial"/>
            <w:noProof/>
            <w:webHidden/>
          </w:rPr>
          <w:fldChar w:fldCharType="begin"/>
        </w:r>
        <w:r w:rsidRPr="000E4A30">
          <w:rPr>
            <w:rFonts w:cs="Arial"/>
            <w:noProof/>
            <w:webHidden/>
          </w:rPr>
          <w:instrText xml:space="preserve"> PAGEREF _Toc225877686 \h </w:instrText>
        </w:r>
        <w:r w:rsidRPr="000E4A30">
          <w:rPr>
            <w:rFonts w:cs="Arial"/>
            <w:noProof/>
            <w:webHidden/>
          </w:rPr>
        </w:r>
        <w:r w:rsidRPr="000E4A30">
          <w:rPr>
            <w:rFonts w:cs="Arial"/>
            <w:noProof/>
            <w:webHidden/>
          </w:rPr>
          <w:fldChar w:fldCharType="separate"/>
        </w:r>
        <w:r w:rsidR="002C0DFB">
          <w:rPr>
            <w:rFonts w:cs="Arial"/>
            <w:noProof/>
            <w:webHidden/>
          </w:rPr>
          <w:t>56</w:t>
        </w:r>
        <w:r w:rsidRPr="000E4A30">
          <w:rPr>
            <w:rFonts w:cs="Arial"/>
            <w:noProof/>
            <w:webHidden/>
          </w:rPr>
          <w:fldChar w:fldCharType="end"/>
        </w:r>
      </w:hyperlink>
    </w:p>
    <w:p w14:paraId="6677507D" w14:textId="59CA792F" w:rsidR="003C1BA0" w:rsidRPr="000E4A30" w:rsidRDefault="003C1BA0">
      <w:pPr>
        <w:pStyle w:val="TOC1"/>
        <w:rPr>
          <w:rFonts w:eastAsiaTheme="minorEastAsia" w:cs="Arial"/>
          <w:noProof/>
          <w:kern w:val="2"/>
          <w14:ligatures w14:val="standardContextual"/>
        </w:rPr>
      </w:pPr>
      <w:hyperlink w:anchor="_Toc225877687" w:history="1">
        <w:r w:rsidRPr="000E4A30">
          <w:rPr>
            <w:rStyle w:val="Hyperlink"/>
            <w:rFonts w:cs="Arial"/>
            <w:noProof/>
          </w:rPr>
          <w:t>SECTION 2: MEDICATION SAFETY</w:t>
        </w:r>
        <w:r w:rsidRPr="000E4A30">
          <w:rPr>
            <w:rFonts w:cs="Arial"/>
            <w:noProof/>
            <w:webHidden/>
          </w:rPr>
          <w:tab/>
        </w:r>
        <w:r w:rsidRPr="000E4A30">
          <w:rPr>
            <w:rFonts w:cs="Arial"/>
            <w:noProof/>
            <w:webHidden/>
          </w:rPr>
          <w:fldChar w:fldCharType="begin"/>
        </w:r>
        <w:r w:rsidRPr="000E4A30">
          <w:rPr>
            <w:rFonts w:cs="Arial"/>
            <w:noProof/>
            <w:webHidden/>
          </w:rPr>
          <w:instrText xml:space="preserve"> PAGEREF _Toc225877687 \h </w:instrText>
        </w:r>
        <w:r w:rsidRPr="000E4A30">
          <w:rPr>
            <w:rFonts w:cs="Arial"/>
            <w:noProof/>
            <w:webHidden/>
          </w:rPr>
        </w:r>
        <w:r w:rsidRPr="000E4A30">
          <w:rPr>
            <w:rFonts w:cs="Arial"/>
            <w:noProof/>
            <w:webHidden/>
          </w:rPr>
          <w:fldChar w:fldCharType="separate"/>
        </w:r>
        <w:r w:rsidR="002C0DFB">
          <w:rPr>
            <w:rFonts w:cs="Arial"/>
            <w:noProof/>
            <w:webHidden/>
          </w:rPr>
          <w:t>57</w:t>
        </w:r>
        <w:r w:rsidRPr="000E4A30">
          <w:rPr>
            <w:rFonts w:cs="Arial"/>
            <w:noProof/>
            <w:webHidden/>
          </w:rPr>
          <w:fldChar w:fldCharType="end"/>
        </w:r>
      </w:hyperlink>
    </w:p>
    <w:p w14:paraId="0A57A8C6" w14:textId="4FDA82AA" w:rsidR="003C1BA0" w:rsidRPr="000E4A30" w:rsidRDefault="003C1BA0">
      <w:pPr>
        <w:pStyle w:val="TOC4"/>
        <w:rPr>
          <w:rFonts w:eastAsiaTheme="minorEastAsia" w:cs="Arial"/>
          <w:noProof/>
          <w:kern w:val="2"/>
          <w14:ligatures w14:val="standardContextual"/>
        </w:rPr>
      </w:pPr>
      <w:hyperlink w:anchor="_Toc225877688" w:history="1">
        <w:r w:rsidRPr="000E4A30">
          <w:rPr>
            <w:rStyle w:val="Hyperlink"/>
            <w:rFonts w:cs="Arial"/>
            <w:noProof/>
          </w:rPr>
          <w:t>Section 2: Medication Safety</w:t>
        </w:r>
        <w:r w:rsidRPr="000E4A30">
          <w:rPr>
            <w:rFonts w:cs="Arial"/>
            <w:noProof/>
            <w:webHidden/>
          </w:rPr>
          <w:tab/>
        </w:r>
        <w:r w:rsidRPr="000E4A30">
          <w:rPr>
            <w:rFonts w:cs="Arial"/>
            <w:noProof/>
            <w:webHidden/>
          </w:rPr>
          <w:fldChar w:fldCharType="begin"/>
        </w:r>
        <w:r w:rsidRPr="000E4A30">
          <w:rPr>
            <w:rFonts w:cs="Arial"/>
            <w:noProof/>
            <w:webHidden/>
          </w:rPr>
          <w:instrText xml:space="preserve"> PAGEREF _Toc225877688 \h </w:instrText>
        </w:r>
        <w:r w:rsidRPr="000E4A30">
          <w:rPr>
            <w:rFonts w:cs="Arial"/>
            <w:noProof/>
            <w:webHidden/>
          </w:rPr>
        </w:r>
        <w:r w:rsidRPr="000E4A30">
          <w:rPr>
            <w:rFonts w:cs="Arial"/>
            <w:noProof/>
            <w:webHidden/>
          </w:rPr>
          <w:fldChar w:fldCharType="separate"/>
        </w:r>
        <w:r w:rsidR="002C0DFB">
          <w:rPr>
            <w:rFonts w:cs="Arial"/>
            <w:noProof/>
            <w:webHidden/>
          </w:rPr>
          <w:t>58</w:t>
        </w:r>
        <w:r w:rsidRPr="000E4A30">
          <w:rPr>
            <w:rFonts w:cs="Arial"/>
            <w:noProof/>
            <w:webHidden/>
          </w:rPr>
          <w:fldChar w:fldCharType="end"/>
        </w:r>
      </w:hyperlink>
    </w:p>
    <w:p w14:paraId="5FF273D8" w14:textId="1FBA7DDC" w:rsidR="003C1BA0" w:rsidRPr="000E4A30" w:rsidRDefault="003C1BA0">
      <w:pPr>
        <w:pStyle w:val="TOC4"/>
        <w:rPr>
          <w:rFonts w:eastAsiaTheme="minorEastAsia" w:cs="Arial"/>
          <w:noProof/>
          <w:kern w:val="2"/>
          <w14:ligatures w14:val="standardContextual"/>
        </w:rPr>
      </w:pPr>
      <w:hyperlink w:anchor="_Toc225877689" w:history="1">
        <w:r w:rsidRPr="000E4A30">
          <w:rPr>
            <w:rStyle w:val="Hyperlink"/>
            <w:rFonts w:cs="Arial"/>
            <w:noProof/>
          </w:rPr>
          <w:t>2A: Computerized Physician Order Entry (CPOE)</w:t>
        </w:r>
        <w:r w:rsidRPr="000E4A30">
          <w:rPr>
            <w:rFonts w:cs="Arial"/>
            <w:noProof/>
            <w:webHidden/>
          </w:rPr>
          <w:tab/>
        </w:r>
        <w:r w:rsidRPr="000E4A30">
          <w:rPr>
            <w:rFonts w:cs="Arial"/>
            <w:noProof/>
            <w:webHidden/>
          </w:rPr>
          <w:fldChar w:fldCharType="begin"/>
        </w:r>
        <w:r w:rsidRPr="000E4A30">
          <w:rPr>
            <w:rFonts w:cs="Arial"/>
            <w:noProof/>
            <w:webHidden/>
          </w:rPr>
          <w:instrText xml:space="preserve"> PAGEREF _Toc225877689 \h </w:instrText>
        </w:r>
        <w:r w:rsidRPr="000E4A30">
          <w:rPr>
            <w:rFonts w:cs="Arial"/>
            <w:noProof/>
            <w:webHidden/>
          </w:rPr>
        </w:r>
        <w:r w:rsidRPr="000E4A30">
          <w:rPr>
            <w:rFonts w:cs="Arial"/>
            <w:noProof/>
            <w:webHidden/>
          </w:rPr>
          <w:fldChar w:fldCharType="separate"/>
        </w:r>
        <w:r w:rsidR="002C0DFB">
          <w:rPr>
            <w:rFonts w:cs="Arial"/>
            <w:noProof/>
            <w:webHidden/>
          </w:rPr>
          <w:t>60</w:t>
        </w:r>
        <w:r w:rsidRPr="000E4A30">
          <w:rPr>
            <w:rFonts w:cs="Arial"/>
            <w:noProof/>
            <w:webHidden/>
          </w:rPr>
          <w:fldChar w:fldCharType="end"/>
        </w:r>
      </w:hyperlink>
    </w:p>
    <w:p w14:paraId="7352FCFB" w14:textId="6A8C95A5" w:rsidR="003C1BA0" w:rsidRPr="000E4A30" w:rsidRDefault="003C1BA0">
      <w:pPr>
        <w:pStyle w:val="TOC4"/>
        <w:rPr>
          <w:rFonts w:eastAsiaTheme="minorEastAsia" w:cs="Arial"/>
          <w:noProof/>
          <w:kern w:val="2"/>
          <w14:ligatures w14:val="standardContextual"/>
        </w:rPr>
      </w:pPr>
      <w:hyperlink w:anchor="_Toc225877690" w:history="1">
        <w:r w:rsidRPr="000E4A30">
          <w:rPr>
            <w:rStyle w:val="Hyperlink"/>
            <w:rFonts w:cs="Arial"/>
            <w:noProof/>
          </w:rPr>
          <w:t>2B: EHR Application Information</w:t>
        </w:r>
        <w:r w:rsidRPr="000E4A30">
          <w:rPr>
            <w:rFonts w:cs="Arial"/>
            <w:noProof/>
            <w:webHidden/>
          </w:rPr>
          <w:tab/>
        </w:r>
        <w:r w:rsidRPr="000E4A30">
          <w:rPr>
            <w:rFonts w:cs="Arial"/>
            <w:noProof/>
            <w:webHidden/>
          </w:rPr>
          <w:fldChar w:fldCharType="begin"/>
        </w:r>
        <w:r w:rsidRPr="000E4A30">
          <w:rPr>
            <w:rFonts w:cs="Arial"/>
            <w:noProof/>
            <w:webHidden/>
          </w:rPr>
          <w:instrText xml:space="preserve"> PAGEREF _Toc225877690 \h </w:instrText>
        </w:r>
        <w:r w:rsidRPr="000E4A30">
          <w:rPr>
            <w:rFonts w:cs="Arial"/>
            <w:noProof/>
            <w:webHidden/>
          </w:rPr>
        </w:r>
        <w:r w:rsidRPr="000E4A30">
          <w:rPr>
            <w:rFonts w:cs="Arial"/>
            <w:noProof/>
            <w:webHidden/>
          </w:rPr>
          <w:fldChar w:fldCharType="separate"/>
        </w:r>
        <w:r w:rsidR="002C0DFB">
          <w:rPr>
            <w:rFonts w:cs="Arial"/>
            <w:noProof/>
            <w:webHidden/>
          </w:rPr>
          <w:t>62</w:t>
        </w:r>
        <w:r w:rsidRPr="000E4A30">
          <w:rPr>
            <w:rFonts w:cs="Arial"/>
            <w:noProof/>
            <w:webHidden/>
          </w:rPr>
          <w:fldChar w:fldCharType="end"/>
        </w:r>
      </w:hyperlink>
    </w:p>
    <w:p w14:paraId="51C02F61" w14:textId="558DD63C" w:rsidR="003C1BA0" w:rsidRPr="000E4A30" w:rsidRDefault="003C1BA0">
      <w:pPr>
        <w:pStyle w:val="TOC4"/>
        <w:rPr>
          <w:rFonts w:eastAsiaTheme="minorEastAsia" w:cs="Arial"/>
          <w:noProof/>
          <w:kern w:val="2"/>
          <w14:ligatures w14:val="standardContextual"/>
        </w:rPr>
      </w:pPr>
      <w:hyperlink w:anchor="_Toc225877691" w:history="1">
        <w:r w:rsidRPr="000E4A30">
          <w:rPr>
            <w:rStyle w:val="Hyperlink"/>
            <w:rFonts w:cs="Arial"/>
            <w:noProof/>
          </w:rPr>
          <w:t>2C: Bar Code Medication Administration (BCMA)</w:t>
        </w:r>
        <w:r w:rsidRPr="000E4A30">
          <w:rPr>
            <w:rFonts w:cs="Arial"/>
            <w:noProof/>
            <w:webHidden/>
          </w:rPr>
          <w:tab/>
        </w:r>
        <w:r w:rsidRPr="000E4A30">
          <w:rPr>
            <w:rFonts w:cs="Arial"/>
            <w:noProof/>
            <w:webHidden/>
          </w:rPr>
          <w:fldChar w:fldCharType="begin"/>
        </w:r>
        <w:r w:rsidRPr="000E4A30">
          <w:rPr>
            <w:rFonts w:cs="Arial"/>
            <w:noProof/>
            <w:webHidden/>
          </w:rPr>
          <w:instrText xml:space="preserve"> PAGEREF _Toc225877691 \h </w:instrText>
        </w:r>
        <w:r w:rsidRPr="000E4A30">
          <w:rPr>
            <w:rFonts w:cs="Arial"/>
            <w:noProof/>
            <w:webHidden/>
          </w:rPr>
        </w:r>
        <w:r w:rsidRPr="000E4A30">
          <w:rPr>
            <w:rFonts w:cs="Arial"/>
            <w:noProof/>
            <w:webHidden/>
          </w:rPr>
          <w:fldChar w:fldCharType="separate"/>
        </w:r>
        <w:r w:rsidR="002C0DFB">
          <w:rPr>
            <w:rFonts w:cs="Arial"/>
            <w:noProof/>
            <w:webHidden/>
          </w:rPr>
          <w:t>64</w:t>
        </w:r>
        <w:r w:rsidRPr="000E4A30">
          <w:rPr>
            <w:rFonts w:cs="Arial"/>
            <w:noProof/>
            <w:webHidden/>
          </w:rPr>
          <w:fldChar w:fldCharType="end"/>
        </w:r>
      </w:hyperlink>
    </w:p>
    <w:p w14:paraId="54E6825D" w14:textId="26BD5271" w:rsidR="003C1BA0" w:rsidRPr="000E4A30" w:rsidRDefault="003C1BA0">
      <w:pPr>
        <w:pStyle w:val="TOC4"/>
        <w:rPr>
          <w:rFonts w:eastAsiaTheme="minorEastAsia" w:cs="Arial"/>
          <w:noProof/>
          <w:kern w:val="2"/>
          <w14:ligatures w14:val="standardContextual"/>
        </w:rPr>
      </w:pPr>
      <w:hyperlink w:anchor="_Toc225877692" w:history="1">
        <w:r w:rsidRPr="000E4A30">
          <w:rPr>
            <w:rStyle w:val="Hyperlink"/>
            <w:rFonts w:cs="Arial"/>
            <w:noProof/>
          </w:rPr>
          <w:t>2D: Medication Reconciliation</w:t>
        </w:r>
        <w:r w:rsidRPr="000E4A30">
          <w:rPr>
            <w:rFonts w:cs="Arial"/>
            <w:noProof/>
            <w:webHidden/>
          </w:rPr>
          <w:tab/>
        </w:r>
        <w:r w:rsidRPr="000E4A30">
          <w:rPr>
            <w:rFonts w:cs="Arial"/>
            <w:noProof/>
            <w:webHidden/>
          </w:rPr>
          <w:fldChar w:fldCharType="begin"/>
        </w:r>
        <w:r w:rsidRPr="000E4A30">
          <w:rPr>
            <w:rFonts w:cs="Arial"/>
            <w:noProof/>
            <w:webHidden/>
          </w:rPr>
          <w:instrText xml:space="preserve"> PAGEREF _Toc225877692 \h </w:instrText>
        </w:r>
        <w:r w:rsidRPr="000E4A30">
          <w:rPr>
            <w:rFonts w:cs="Arial"/>
            <w:noProof/>
            <w:webHidden/>
          </w:rPr>
        </w:r>
        <w:r w:rsidRPr="000E4A30">
          <w:rPr>
            <w:rFonts w:cs="Arial"/>
            <w:noProof/>
            <w:webHidden/>
          </w:rPr>
          <w:fldChar w:fldCharType="separate"/>
        </w:r>
        <w:r w:rsidR="002C0DFB">
          <w:rPr>
            <w:rFonts w:cs="Arial"/>
            <w:noProof/>
            <w:webHidden/>
          </w:rPr>
          <w:t>68</w:t>
        </w:r>
        <w:r w:rsidRPr="000E4A30">
          <w:rPr>
            <w:rFonts w:cs="Arial"/>
            <w:noProof/>
            <w:webHidden/>
          </w:rPr>
          <w:fldChar w:fldCharType="end"/>
        </w:r>
      </w:hyperlink>
    </w:p>
    <w:p w14:paraId="2A2419BB" w14:textId="172BE5B5" w:rsidR="003C1BA0" w:rsidRPr="000E4A30" w:rsidRDefault="003C1BA0">
      <w:pPr>
        <w:pStyle w:val="TOC4"/>
        <w:rPr>
          <w:rFonts w:eastAsiaTheme="minorEastAsia" w:cs="Arial"/>
          <w:noProof/>
          <w:kern w:val="2"/>
          <w14:ligatures w14:val="standardContextual"/>
        </w:rPr>
      </w:pPr>
      <w:hyperlink w:anchor="_Toc225877693" w:history="1">
        <w:r w:rsidRPr="000E4A30">
          <w:rPr>
            <w:rStyle w:val="Hyperlink"/>
            <w:rFonts w:cs="Arial"/>
            <w:noProof/>
          </w:rPr>
          <w:t>Section 2: Medication Safety Reference Information</w:t>
        </w:r>
        <w:r w:rsidRPr="000E4A30">
          <w:rPr>
            <w:rFonts w:cs="Arial"/>
            <w:noProof/>
            <w:webHidden/>
          </w:rPr>
          <w:tab/>
        </w:r>
        <w:r w:rsidRPr="000E4A30">
          <w:rPr>
            <w:rFonts w:cs="Arial"/>
            <w:noProof/>
            <w:webHidden/>
          </w:rPr>
          <w:fldChar w:fldCharType="begin"/>
        </w:r>
        <w:r w:rsidRPr="000E4A30">
          <w:rPr>
            <w:rFonts w:cs="Arial"/>
            <w:noProof/>
            <w:webHidden/>
          </w:rPr>
          <w:instrText xml:space="preserve"> PAGEREF _Toc225877693 \h </w:instrText>
        </w:r>
        <w:r w:rsidRPr="000E4A30">
          <w:rPr>
            <w:rFonts w:cs="Arial"/>
            <w:noProof/>
            <w:webHidden/>
          </w:rPr>
        </w:r>
        <w:r w:rsidRPr="000E4A30">
          <w:rPr>
            <w:rFonts w:cs="Arial"/>
            <w:noProof/>
            <w:webHidden/>
          </w:rPr>
          <w:fldChar w:fldCharType="separate"/>
        </w:r>
        <w:r w:rsidR="002C0DFB">
          <w:rPr>
            <w:rFonts w:cs="Arial"/>
            <w:noProof/>
            <w:webHidden/>
          </w:rPr>
          <w:t>71</w:t>
        </w:r>
        <w:r w:rsidRPr="000E4A30">
          <w:rPr>
            <w:rFonts w:cs="Arial"/>
            <w:noProof/>
            <w:webHidden/>
          </w:rPr>
          <w:fldChar w:fldCharType="end"/>
        </w:r>
      </w:hyperlink>
    </w:p>
    <w:p w14:paraId="45FBDCA5" w14:textId="7C601459" w:rsidR="003C1BA0" w:rsidRPr="000E4A30" w:rsidRDefault="003C1BA0">
      <w:pPr>
        <w:pStyle w:val="TOC5"/>
        <w:rPr>
          <w:rFonts w:ascii="Arial" w:hAnsi="Arial" w:cs="Arial"/>
          <w:noProof/>
          <w:kern w:val="2"/>
          <w:sz w:val="20"/>
          <w:szCs w:val="20"/>
          <w14:ligatures w14:val="standardContextual"/>
        </w:rPr>
      </w:pPr>
      <w:hyperlink w:anchor="_Toc225877694" w:history="1">
        <w:r w:rsidRPr="000E4A30">
          <w:rPr>
            <w:rStyle w:val="Hyperlink"/>
            <w:rFonts w:ascii="Arial" w:hAnsi="Arial" w:cs="Arial"/>
            <w:noProof/>
            <w:sz w:val="20"/>
            <w:szCs w:val="20"/>
          </w:rPr>
          <w:t>What’s New in the 2026 Survey</w:t>
        </w:r>
        <w:r w:rsidRPr="000E4A30">
          <w:rPr>
            <w:rFonts w:ascii="Arial" w:hAnsi="Arial" w:cs="Arial"/>
            <w:noProof/>
            <w:webHidden/>
            <w:sz w:val="20"/>
            <w:szCs w:val="20"/>
          </w:rPr>
          <w:tab/>
        </w:r>
        <w:r w:rsidRPr="000E4A30">
          <w:rPr>
            <w:rFonts w:ascii="Arial" w:hAnsi="Arial" w:cs="Arial"/>
            <w:noProof/>
            <w:webHidden/>
            <w:sz w:val="20"/>
            <w:szCs w:val="20"/>
          </w:rPr>
          <w:fldChar w:fldCharType="begin"/>
        </w:r>
        <w:r w:rsidRPr="000E4A30">
          <w:rPr>
            <w:rFonts w:ascii="Arial" w:hAnsi="Arial" w:cs="Arial"/>
            <w:noProof/>
            <w:webHidden/>
            <w:sz w:val="20"/>
            <w:szCs w:val="20"/>
          </w:rPr>
          <w:instrText xml:space="preserve"> PAGEREF _Toc225877694 \h </w:instrText>
        </w:r>
        <w:r w:rsidRPr="000E4A30">
          <w:rPr>
            <w:rFonts w:ascii="Arial" w:hAnsi="Arial" w:cs="Arial"/>
            <w:noProof/>
            <w:webHidden/>
            <w:sz w:val="20"/>
            <w:szCs w:val="20"/>
          </w:rPr>
        </w:r>
        <w:r w:rsidRPr="000E4A30">
          <w:rPr>
            <w:rFonts w:ascii="Arial" w:hAnsi="Arial" w:cs="Arial"/>
            <w:noProof/>
            <w:webHidden/>
            <w:sz w:val="20"/>
            <w:szCs w:val="20"/>
          </w:rPr>
          <w:fldChar w:fldCharType="separate"/>
        </w:r>
        <w:r w:rsidR="002C0DFB">
          <w:rPr>
            <w:rFonts w:ascii="Arial" w:hAnsi="Arial" w:cs="Arial"/>
            <w:noProof/>
            <w:webHidden/>
            <w:sz w:val="20"/>
            <w:szCs w:val="20"/>
          </w:rPr>
          <w:t>71</w:t>
        </w:r>
        <w:r w:rsidRPr="000E4A30">
          <w:rPr>
            <w:rFonts w:ascii="Arial" w:hAnsi="Arial" w:cs="Arial"/>
            <w:noProof/>
            <w:webHidden/>
            <w:sz w:val="20"/>
            <w:szCs w:val="20"/>
          </w:rPr>
          <w:fldChar w:fldCharType="end"/>
        </w:r>
      </w:hyperlink>
    </w:p>
    <w:p w14:paraId="6A4C8B3E" w14:textId="6C9CA39A" w:rsidR="003C1BA0" w:rsidRPr="000E4A30" w:rsidRDefault="003C1BA0">
      <w:pPr>
        <w:pStyle w:val="TOC5"/>
        <w:rPr>
          <w:rFonts w:ascii="Arial" w:hAnsi="Arial" w:cs="Arial"/>
          <w:noProof/>
          <w:kern w:val="2"/>
          <w:sz w:val="20"/>
          <w:szCs w:val="20"/>
          <w14:ligatures w14:val="standardContextual"/>
        </w:rPr>
      </w:pPr>
      <w:hyperlink w:anchor="_Toc225877695" w:history="1">
        <w:r w:rsidRPr="000E4A30">
          <w:rPr>
            <w:rStyle w:val="Hyperlink"/>
            <w:rFonts w:ascii="Arial" w:hAnsi="Arial" w:cs="Arial"/>
            <w:noProof/>
            <w:sz w:val="20"/>
            <w:szCs w:val="20"/>
          </w:rPr>
          <w:t>Change Summary Since Release</w:t>
        </w:r>
        <w:r w:rsidRPr="000E4A30">
          <w:rPr>
            <w:rFonts w:ascii="Arial" w:hAnsi="Arial" w:cs="Arial"/>
            <w:noProof/>
            <w:webHidden/>
            <w:sz w:val="20"/>
            <w:szCs w:val="20"/>
          </w:rPr>
          <w:tab/>
        </w:r>
        <w:r w:rsidRPr="000E4A30">
          <w:rPr>
            <w:rFonts w:ascii="Arial" w:hAnsi="Arial" w:cs="Arial"/>
            <w:noProof/>
            <w:webHidden/>
            <w:sz w:val="20"/>
            <w:szCs w:val="20"/>
          </w:rPr>
          <w:fldChar w:fldCharType="begin"/>
        </w:r>
        <w:r w:rsidRPr="000E4A30">
          <w:rPr>
            <w:rFonts w:ascii="Arial" w:hAnsi="Arial" w:cs="Arial"/>
            <w:noProof/>
            <w:webHidden/>
            <w:sz w:val="20"/>
            <w:szCs w:val="20"/>
          </w:rPr>
          <w:instrText xml:space="preserve"> PAGEREF _Toc225877695 \h </w:instrText>
        </w:r>
        <w:r w:rsidRPr="000E4A30">
          <w:rPr>
            <w:rFonts w:ascii="Arial" w:hAnsi="Arial" w:cs="Arial"/>
            <w:noProof/>
            <w:webHidden/>
            <w:sz w:val="20"/>
            <w:szCs w:val="20"/>
          </w:rPr>
        </w:r>
        <w:r w:rsidRPr="000E4A30">
          <w:rPr>
            <w:rFonts w:ascii="Arial" w:hAnsi="Arial" w:cs="Arial"/>
            <w:noProof/>
            <w:webHidden/>
            <w:sz w:val="20"/>
            <w:szCs w:val="20"/>
          </w:rPr>
          <w:fldChar w:fldCharType="separate"/>
        </w:r>
        <w:r w:rsidR="002C0DFB">
          <w:rPr>
            <w:rFonts w:ascii="Arial" w:hAnsi="Arial" w:cs="Arial"/>
            <w:noProof/>
            <w:webHidden/>
            <w:sz w:val="20"/>
            <w:szCs w:val="20"/>
          </w:rPr>
          <w:t>72</w:t>
        </w:r>
        <w:r w:rsidRPr="000E4A30">
          <w:rPr>
            <w:rFonts w:ascii="Arial" w:hAnsi="Arial" w:cs="Arial"/>
            <w:noProof/>
            <w:webHidden/>
            <w:sz w:val="20"/>
            <w:szCs w:val="20"/>
          </w:rPr>
          <w:fldChar w:fldCharType="end"/>
        </w:r>
      </w:hyperlink>
    </w:p>
    <w:p w14:paraId="1586B98B" w14:textId="357FCCF8" w:rsidR="003C1BA0" w:rsidRPr="000E4A30" w:rsidRDefault="003C1BA0">
      <w:pPr>
        <w:pStyle w:val="TOC4"/>
        <w:rPr>
          <w:rFonts w:eastAsiaTheme="minorEastAsia" w:cs="Arial"/>
          <w:noProof/>
          <w:kern w:val="2"/>
          <w14:ligatures w14:val="standardContextual"/>
        </w:rPr>
      </w:pPr>
      <w:hyperlink w:anchor="_Toc225877696" w:history="1">
        <w:r w:rsidRPr="000E4A30">
          <w:rPr>
            <w:rStyle w:val="Hyperlink"/>
            <w:rFonts w:cs="Arial"/>
            <w:noProof/>
          </w:rPr>
          <w:t>Section 2: Medication Safety Measure Specifications</w:t>
        </w:r>
        <w:r w:rsidRPr="000E4A30">
          <w:rPr>
            <w:rFonts w:cs="Arial"/>
            <w:noProof/>
            <w:webHidden/>
          </w:rPr>
          <w:tab/>
        </w:r>
        <w:r w:rsidRPr="000E4A30">
          <w:rPr>
            <w:rFonts w:cs="Arial"/>
            <w:noProof/>
            <w:webHidden/>
          </w:rPr>
          <w:fldChar w:fldCharType="begin"/>
        </w:r>
        <w:r w:rsidRPr="000E4A30">
          <w:rPr>
            <w:rFonts w:cs="Arial"/>
            <w:noProof/>
            <w:webHidden/>
          </w:rPr>
          <w:instrText xml:space="preserve"> PAGEREF _Toc225877696 \h </w:instrText>
        </w:r>
        <w:r w:rsidRPr="000E4A30">
          <w:rPr>
            <w:rFonts w:cs="Arial"/>
            <w:noProof/>
            <w:webHidden/>
          </w:rPr>
        </w:r>
        <w:r w:rsidRPr="000E4A30">
          <w:rPr>
            <w:rFonts w:cs="Arial"/>
            <w:noProof/>
            <w:webHidden/>
          </w:rPr>
          <w:fldChar w:fldCharType="separate"/>
        </w:r>
        <w:r w:rsidR="002C0DFB">
          <w:rPr>
            <w:rFonts w:cs="Arial"/>
            <w:noProof/>
            <w:webHidden/>
          </w:rPr>
          <w:t>73</w:t>
        </w:r>
        <w:r w:rsidRPr="000E4A30">
          <w:rPr>
            <w:rFonts w:cs="Arial"/>
            <w:noProof/>
            <w:webHidden/>
          </w:rPr>
          <w:fldChar w:fldCharType="end"/>
        </w:r>
      </w:hyperlink>
    </w:p>
    <w:p w14:paraId="6C88D22D" w14:textId="256B85D5" w:rsidR="003C1BA0" w:rsidRPr="000E4A30" w:rsidRDefault="003C1BA0">
      <w:pPr>
        <w:pStyle w:val="TOC5"/>
        <w:rPr>
          <w:rFonts w:ascii="Arial" w:hAnsi="Arial" w:cs="Arial"/>
          <w:noProof/>
          <w:kern w:val="2"/>
          <w:sz w:val="20"/>
          <w:szCs w:val="20"/>
          <w14:ligatures w14:val="standardContextual"/>
        </w:rPr>
      </w:pPr>
      <w:hyperlink w:anchor="_Toc225877697" w:history="1">
        <w:r w:rsidRPr="000E4A30">
          <w:rPr>
            <w:rStyle w:val="Hyperlink"/>
            <w:rFonts w:ascii="Arial" w:hAnsi="Arial" w:cs="Arial"/>
            <w:noProof/>
            <w:sz w:val="20"/>
            <w:szCs w:val="20"/>
          </w:rPr>
          <w:t>Computerized Physician Order Entry (CPOE) Measure Specifications</w:t>
        </w:r>
        <w:r w:rsidRPr="000E4A30">
          <w:rPr>
            <w:rFonts w:ascii="Arial" w:hAnsi="Arial" w:cs="Arial"/>
            <w:noProof/>
            <w:webHidden/>
            <w:sz w:val="20"/>
            <w:szCs w:val="20"/>
          </w:rPr>
          <w:tab/>
        </w:r>
        <w:r w:rsidRPr="000E4A30">
          <w:rPr>
            <w:rFonts w:ascii="Arial" w:hAnsi="Arial" w:cs="Arial"/>
            <w:noProof/>
            <w:webHidden/>
            <w:sz w:val="20"/>
            <w:szCs w:val="20"/>
          </w:rPr>
          <w:fldChar w:fldCharType="begin"/>
        </w:r>
        <w:r w:rsidRPr="000E4A30">
          <w:rPr>
            <w:rFonts w:ascii="Arial" w:hAnsi="Arial" w:cs="Arial"/>
            <w:noProof/>
            <w:webHidden/>
            <w:sz w:val="20"/>
            <w:szCs w:val="20"/>
          </w:rPr>
          <w:instrText xml:space="preserve"> PAGEREF _Toc225877697 \h </w:instrText>
        </w:r>
        <w:r w:rsidRPr="000E4A30">
          <w:rPr>
            <w:rFonts w:ascii="Arial" w:hAnsi="Arial" w:cs="Arial"/>
            <w:noProof/>
            <w:webHidden/>
            <w:sz w:val="20"/>
            <w:szCs w:val="20"/>
          </w:rPr>
        </w:r>
        <w:r w:rsidRPr="000E4A30">
          <w:rPr>
            <w:rFonts w:ascii="Arial" w:hAnsi="Arial" w:cs="Arial"/>
            <w:noProof/>
            <w:webHidden/>
            <w:sz w:val="20"/>
            <w:szCs w:val="20"/>
          </w:rPr>
          <w:fldChar w:fldCharType="separate"/>
        </w:r>
        <w:r w:rsidR="002C0DFB">
          <w:rPr>
            <w:rFonts w:ascii="Arial" w:hAnsi="Arial" w:cs="Arial"/>
            <w:noProof/>
            <w:webHidden/>
            <w:sz w:val="20"/>
            <w:szCs w:val="20"/>
          </w:rPr>
          <w:t>73</w:t>
        </w:r>
        <w:r w:rsidRPr="000E4A30">
          <w:rPr>
            <w:rFonts w:ascii="Arial" w:hAnsi="Arial" w:cs="Arial"/>
            <w:noProof/>
            <w:webHidden/>
            <w:sz w:val="20"/>
            <w:szCs w:val="20"/>
          </w:rPr>
          <w:fldChar w:fldCharType="end"/>
        </w:r>
      </w:hyperlink>
    </w:p>
    <w:p w14:paraId="57F3E987" w14:textId="30E7B794" w:rsidR="003C1BA0" w:rsidRPr="000E4A30" w:rsidRDefault="003C1BA0">
      <w:pPr>
        <w:pStyle w:val="TOC5"/>
        <w:rPr>
          <w:rFonts w:ascii="Arial" w:hAnsi="Arial" w:cs="Arial"/>
          <w:noProof/>
          <w:kern w:val="2"/>
          <w:sz w:val="20"/>
          <w:szCs w:val="20"/>
          <w14:ligatures w14:val="standardContextual"/>
        </w:rPr>
      </w:pPr>
      <w:hyperlink w:anchor="_Toc225877698" w:history="1">
        <w:r w:rsidRPr="000E4A30">
          <w:rPr>
            <w:rStyle w:val="Hyperlink"/>
            <w:rFonts w:ascii="Arial" w:hAnsi="Arial" w:cs="Arial"/>
            <w:noProof/>
            <w:sz w:val="20"/>
            <w:szCs w:val="20"/>
          </w:rPr>
          <w:t>Bar Code Medication Administration (BCMA) Measure Specifications</w:t>
        </w:r>
        <w:r w:rsidRPr="000E4A30">
          <w:rPr>
            <w:rFonts w:ascii="Arial" w:hAnsi="Arial" w:cs="Arial"/>
            <w:noProof/>
            <w:webHidden/>
            <w:sz w:val="20"/>
            <w:szCs w:val="20"/>
          </w:rPr>
          <w:tab/>
        </w:r>
        <w:r w:rsidRPr="000E4A30">
          <w:rPr>
            <w:rFonts w:ascii="Arial" w:hAnsi="Arial" w:cs="Arial"/>
            <w:noProof/>
            <w:webHidden/>
            <w:sz w:val="20"/>
            <w:szCs w:val="20"/>
          </w:rPr>
          <w:fldChar w:fldCharType="begin"/>
        </w:r>
        <w:r w:rsidRPr="000E4A30">
          <w:rPr>
            <w:rFonts w:ascii="Arial" w:hAnsi="Arial" w:cs="Arial"/>
            <w:noProof/>
            <w:webHidden/>
            <w:sz w:val="20"/>
            <w:szCs w:val="20"/>
          </w:rPr>
          <w:instrText xml:space="preserve"> PAGEREF _Toc225877698 \h </w:instrText>
        </w:r>
        <w:r w:rsidRPr="000E4A30">
          <w:rPr>
            <w:rFonts w:ascii="Arial" w:hAnsi="Arial" w:cs="Arial"/>
            <w:noProof/>
            <w:webHidden/>
            <w:sz w:val="20"/>
            <w:szCs w:val="20"/>
          </w:rPr>
        </w:r>
        <w:r w:rsidRPr="000E4A30">
          <w:rPr>
            <w:rFonts w:ascii="Arial" w:hAnsi="Arial" w:cs="Arial"/>
            <w:noProof/>
            <w:webHidden/>
            <w:sz w:val="20"/>
            <w:szCs w:val="20"/>
          </w:rPr>
          <w:fldChar w:fldCharType="separate"/>
        </w:r>
        <w:r w:rsidR="002C0DFB">
          <w:rPr>
            <w:rFonts w:ascii="Arial" w:hAnsi="Arial" w:cs="Arial"/>
            <w:noProof/>
            <w:webHidden/>
            <w:sz w:val="20"/>
            <w:szCs w:val="20"/>
          </w:rPr>
          <w:t>75</w:t>
        </w:r>
        <w:r w:rsidRPr="000E4A30">
          <w:rPr>
            <w:rFonts w:ascii="Arial" w:hAnsi="Arial" w:cs="Arial"/>
            <w:noProof/>
            <w:webHidden/>
            <w:sz w:val="20"/>
            <w:szCs w:val="20"/>
          </w:rPr>
          <w:fldChar w:fldCharType="end"/>
        </w:r>
      </w:hyperlink>
    </w:p>
    <w:p w14:paraId="4352D083" w14:textId="6A0AB273" w:rsidR="003C1BA0" w:rsidRPr="000E4A30" w:rsidRDefault="003C1BA0">
      <w:pPr>
        <w:pStyle w:val="TOC5"/>
        <w:rPr>
          <w:rFonts w:ascii="Arial" w:hAnsi="Arial" w:cs="Arial"/>
          <w:noProof/>
          <w:kern w:val="2"/>
          <w:sz w:val="20"/>
          <w:szCs w:val="20"/>
          <w14:ligatures w14:val="standardContextual"/>
        </w:rPr>
      </w:pPr>
      <w:hyperlink w:anchor="_Toc225877699" w:history="1">
        <w:r w:rsidRPr="000E4A30">
          <w:rPr>
            <w:rStyle w:val="Hyperlink"/>
            <w:rFonts w:ascii="Arial" w:hAnsi="Arial" w:cs="Arial"/>
            <w:noProof/>
            <w:sz w:val="20"/>
            <w:szCs w:val="20"/>
          </w:rPr>
          <w:t>Medication Reconciliation Measure Specifications</w:t>
        </w:r>
        <w:r w:rsidRPr="000E4A30">
          <w:rPr>
            <w:rFonts w:ascii="Arial" w:hAnsi="Arial" w:cs="Arial"/>
            <w:noProof/>
            <w:webHidden/>
            <w:sz w:val="20"/>
            <w:szCs w:val="20"/>
          </w:rPr>
          <w:tab/>
        </w:r>
        <w:r w:rsidRPr="000E4A30">
          <w:rPr>
            <w:rFonts w:ascii="Arial" w:hAnsi="Arial" w:cs="Arial"/>
            <w:noProof/>
            <w:webHidden/>
            <w:sz w:val="20"/>
            <w:szCs w:val="20"/>
          </w:rPr>
          <w:fldChar w:fldCharType="begin"/>
        </w:r>
        <w:r w:rsidRPr="000E4A30">
          <w:rPr>
            <w:rFonts w:ascii="Arial" w:hAnsi="Arial" w:cs="Arial"/>
            <w:noProof/>
            <w:webHidden/>
            <w:sz w:val="20"/>
            <w:szCs w:val="20"/>
          </w:rPr>
          <w:instrText xml:space="preserve"> PAGEREF _Toc225877699 \h </w:instrText>
        </w:r>
        <w:r w:rsidRPr="000E4A30">
          <w:rPr>
            <w:rFonts w:ascii="Arial" w:hAnsi="Arial" w:cs="Arial"/>
            <w:noProof/>
            <w:webHidden/>
            <w:sz w:val="20"/>
            <w:szCs w:val="20"/>
          </w:rPr>
        </w:r>
        <w:r w:rsidRPr="000E4A30">
          <w:rPr>
            <w:rFonts w:ascii="Arial" w:hAnsi="Arial" w:cs="Arial"/>
            <w:noProof/>
            <w:webHidden/>
            <w:sz w:val="20"/>
            <w:szCs w:val="20"/>
          </w:rPr>
          <w:fldChar w:fldCharType="separate"/>
        </w:r>
        <w:r w:rsidR="002C0DFB">
          <w:rPr>
            <w:rFonts w:ascii="Arial" w:hAnsi="Arial" w:cs="Arial"/>
            <w:noProof/>
            <w:webHidden/>
            <w:sz w:val="20"/>
            <w:szCs w:val="20"/>
          </w:rPr>
          <w:t>77</w:t>
        </w:r>
        <w:r w:rsidRPr="000E4A30">
          <w:rPr>
            <w:rFonts w:ascii="Arial" w:hAnsi="Arial" w:cs="Arial"/>
            <w:noProof/>
            <w:webHidden/>
            <w:sz w:val="20"/>
            <w:szCs w:val="20"/>
          </w:rPr>
          <w:fldChar w:fldCharType="end"/>
        </w:r>
      </w:hyperlink>
    </w:p>
    <w:p w14:paraId="5B15FDB7" w14:textId="0A57CD6F" w:rsidR="003C1BA0" w:rsidRPr="000E4A30" w:rsidRDefault="003C1BA0">
      <w:pPr>
        <w:pStyle w:val="TOC4"/>
        <w:rPr>
          <w:rFonts w:eastAsiaTheme="minorEastAsia" w:cs="Arial"/>
          <w:noProof/>
          <w:kern w:val="2"/>
          <w14:ligatures w14:val="standardContextual"/>
        </w:rPr>
      </w:pPr>
      <w:hyperlink w:anchor="_Toc225877700" w:history="1">
        <w:r w:rsidRPr="000E4A30">
          <w:rPr>
            <w:rStyle w:val="Hyperlink"/>
            <w:rFonts w:cs="Arial"/>
            <w:noProof/>
          </w:rPr>
          <w:t>Section 2: Medication Safety Frequently Asked Questions (FAQs)</w:t>
        </w:r>
        <w:r w:rsidRPr="000E4A30">
          <w:rPr>
            <w:rFonts w:cs="Arial"/>
            <w:noProof/>
            <w:webHidden/>
          </w:rPr>
          <w:tab/>
        </w:r>
        <w:r w:rsidRPr="000E4A30">
          <w:rPr>
            <w:rFonts w:cs="Arial"/>
            <w:noProof/>
            <w:webHidden/>
          </w:rPr>
          <w:fldChar w:fldCharType="begin"/>
        </w:r>
        <w:r w:rsidRPr="000E4A30">
          <w:rPr>
            <w:rFonts w:cs="Arial"/>
            <w:noProof/>
            <w:webHidden/>
          </w:rPr>
          <w:instrText xml:space="preserve"> PAGEREF _Toc225877700 \h </w:instrText>
        </w:r>
        <w:r w:rsidRPr="000E4A30">
          <w:rPr>
            <w:rFonts w:cs="Arial"/>
            <w:noProof/>
            <w:webHidden/>
          </w:rPr>
        </w:r>
        <w:r w:rsidRPr="000E4A30">
          <w:rPr>
            <w:rFonts w:cs="Arial"/>
            <w:noProof/>
            <w:webHidden/>
          </w:rPr>
          <w:fldChar w:fldCharType="separate"/>
        </w:r>
        <w:r w:rsidR="002C0DFB">
          <w:rPr>
            <w:rFonts w:cs="Arial"/>
            <w:noProof/>
            <w:webHidden/>
          </w:rPr>
          <w:t>83</w:t>
        </w:r>
        <w:r w:rsidRPr="000E4A30">
          <w:rPr>
            <w:rFonts w:cs="Arial"/>
            <w:noProof/>
            <w:webHidden/>
          </w:rPr>
          <w:fldChar w:fldCharType="end"/>
        </w:r>
      </w:hyperlink>
    </w:p>
    <w:p w14:paraId="75B3444C" w14:textId="2A47A09C" w:rsidR="003C1BA0" w:rsidRPr="000E4A30" w:rsidRDefault="003C1BA0">
      <w:pPr>
        <w:pStyle w:val="TOC5"/>
        <w:rPr>
          <w:rFonts w:ascii="Arial" w:hAnsi="Arial" w:cs="Arial"/>
          <w:noProof/>
          <w:kern w:val="2"/>
          <w:sz w:val="20"/>
          <w:szCs w:val="20"/>
          <w14:ligatures w14:val="standardContextual"/>
        </w:rPr>
      </w:pPr>
      <w:hyperlink w:anchor="_Toc225877701" w:history="1">
        <w:r w:rsidRPr="000E4A30">
          <w:rPr>
            <w:rStyle w:val="Hyperlink"/>
            <w:rFonts w:ascii="Arial" w:hAnsi="Arial" w:cs="Arial"/>
            <w:noProof/>
            <w:sz w:val="20"/>
            <w:szCs w:val="20"/>
          </w:rPr>
          <w:t>Computerized Physician Order Entry (CPOE) FAQs</w:t>
        </w:r>
        <w:r w:rsidRPr="000E4A30">
          <w:rPr>
            <w:rFonts w:ascii="Arial" w:hAnsi="Arial" w:cs="Arial"/>
            <w:noProof/>
            <w:webHidden/>
            <w:sz w:val="20"/>
            <w:szCs w:val="20"/>
          </w:rPr>
          <w:tab/>
        </w:r>
        <w:r w:rsidRPr="000E4A30">
          <w:rPr>
            <w:rFonts w:ascii="Arial" w:hAnsi="Arial" w:cs="Arial"/>
            <w:noProof/>
            <w:webHidden/>
            <w:sz w:val="20"/>
            <w:szCs w:val="20"/>
          </w:rPr>
          <w:fldChar w:fldCharType="begin"/>
        </w:r>
        <w:r w:rsidRPr="000E4A30">
          <w:rPr>
            <w:rFonts w:ascii="Arial" w:hAnsi="Arial" w:cs="Arial"/>
            <w:noProof/>
            <w:webHidden/>
            <w:sz w:val="20"/>
            <w:szCs w:val="20"/>
          </w:rPr>
          <w:instrText xml:space="preserve"> PAGEREF _Toc225877701 \h </w:instrText>
        </w:r>
        <w:r w:rsidRPr="000E4A30">
          <w:rPr>
            <w:rFonts w:ascii="Arial" w:hAnsi="Arial" w:cs="Arial"/>
            <w:noProof/>
            <w:webHidden/>
            <w:sz w:val="20"/>
            <w:szCs w:val="20"/>
          </w:rPr>
        </w:r>
        <w:r w:rsidRPr="000E4A30">
          <w:rPr>
            <w:rFonts w:ascii="Arial" w:hAnsi="Arial" w:cs="Arial"/>
            <w:noProof/>
            <w:webHidden/>
            <w:sz w:val="20"/>
            <w:szCs w:val="20"/>
          </w:rPr>
          <w:fldChar w:fldCharType="separate"/>
        </w:r>
        <w:r w:rsidR="002C0DFB">
          <w:rPr>
            <w:rFonts w:ascii="Arial" w:hAnsi="Arial" w:cs="Arial"/>
            <w:noProof/>
            <w:webHidden/>
            <w:sz w:val="20"/>
            <w:szCs w:val="20"/>
          </w:rPr>
          <w:t>83</w:t>
        </w:r>
        <w:r w:rsidRPr="000E4A30">
          <w:rPr>
            <w:rFonts w:ascii="Arial" w:hAnsi="Arial" w:cs="Arial"/>
            <w:noProof/>
            <w:webHidden/>
            <w:sz w:val="20"/>
            <w:szCs w:val="20"/>
          </w:rPr>
          <w:fldChar w:fldCharType="end"/>
        </w:r>
      </w:hyperlink>
    </w:p>
    <w:p w14:paraId="79500A3F" w14:textId="4D0D1F6C" w:rsidR="003C1BA0" w:rsidRPr="000E4A30" w:rsidRDefault="003C1BA0">
      <w:pPr>
        <w:pStyle w:val="TOC5"/>
        <w:rPr>
          <w:rFonts w:ascii="Arial" w:hAnsi="Arial" w:cs="Arial"/>
          <w:noProof/>
          <w:kern w:val="2"/>
          <w:sz w:val="20"/>
          <w:szCs w:val="20"/>
          <w14:ligatures w14:val="standardContextual"/>
        </w:rPr>
      </w:pPr>
      <w:hyperlink w:anchor="_Toc225877702" w:history="1">
        <w:r w:rsidRPr="000E4A30">
          <w:rPr>
            <w:rStyle w:val="Hyperlink"/>
            <w:rFonts w:ascii="Arial" w:hAnsi="Arial" w:cs="Arial"/>
            <w:noProof/>
            <w:sz w:val="20"/>
            <w:szCs w:val="20"/>
          </w:rPr>
          <w:t>EHR Application Information FAQs</w:t>
        </w:r>
        <w:r w:rsidRPr="000E4A30">
          <w:rPr>
            <w:rFonts w:ascii="Arial" w:hAnsi="Arial" w:cs="Arial"/>
            <w:noProof/>
            <w:webHidden/>
            <w:sz w:val="20"/>
            <w:szCs w:val="20"/>
          </w:rPr>
          <w:tab/>
        </w:r>
        <w:r w:rsidRPr="000E4A30">
          <w:rPr>
            <w:rFonts w:ascii="Arial" w:hAnsi="Arial" w:cs="Arial"/>
            <w:noProof/>
            <w:webHidden/>
            <w:sz w:val="20"/>
            <w:szCs w:val="20"/>
          </w:rPr>
          <w:fldChar w:fldCharType="begin"/>
        </w:r>
        <w:r w:rsidRPr="000E4A30">
          <w:rPr>
            <w:rFonts w:ascii="Arial" w:hAnsi="Arial" w:cs="Arial"/>
            <w:noProof/>
            <w:webHidden/>
            <w:sz w:val="20"/>
            <w:szCs w:val="20"/>
          </w:rPr>
          <w:instrText xml:space="preserve"> PAGEREF _Toc225877702 \h </w:instrText>
        </w:r>
        <w:r w:rsidRPr="000E4A30">
          <w:rPr>
            <w:rFonts w:ascii="Arial" w:hAnsi="Arial" w:cs="Arial"/>
            <w:noProof/>
            <w:webHidden/>
            <w:sz w:val="20"/>
            <w:szCs w:val="20"/>
          </w:rPr>
        </w:r>
        <w:r w:rsidRPr="000E4A30">
          <w:rPr>
            <w:rFonts w:ascii="Arial" w:hAnsi="Arial" w:cs="Arial"/>
            <w:noProof/>
            <w:webHidden/>
            <w:sz w:val="20"/>
            <w:szCs w:val="20"/>
          </w:rPr>
          <w:fldChar w:fldCharType="separate"/>
        </w:r>
        <w:r w:rsidR="002C0DFB">
          <w:rPr>
            <w:rFonts w:ascii="Arial" w:hAnsi="Arial" w:cs="Arial"/>
            <w:noProof/>
            <w:webHidden/>
            <w:sz w:val="20"/>
            <w:szCs w:val="20"/>
          </w:rPr>
          <w:t>84</w:t>
        </w:r>
        <w:r w:rsidRPr="000E4A30">
          <w:rPr>
            <w:rFonts w:ascii="Arial" w:hAnsi="Arial" w:cs="Arial"/>
            <w:noProof/>
            <w:webHidden/>
            <w:sz w:val="20"/>
            <w:szCs w:val="20"/>
          </w:rPr>
          <w:fldChar w:fldCharType="end"/>
        </w:r>
      </w:hyperlink>
    </w:p>
    <w:p w14:paraId="0EA60FCC" w14:textId="5F0A9E88" w:rsidR="003C1BA0" w:rsidRPr="000E4A30" w:rsidRDefault="003C1BA0">
      <w:pPr>
        <w:pStyle w:val="TOC5"/>
        <w:rPr>
          <w:rFonts w:ascii="Arial" w:hAnsi="Arial" w:cs="Arial"/>
          <w:noProof/>
          <w:kern w:val="2"/>
          <w:sz w:val="20"/>
          <w:szCs w:val="20"/>
          <w14:ligatures w14:val="standardContextual"/>
        </w:rPr>
      </w:pPr>
      <w:hyperlink w:anchor="_Toc225877703" w:history="1">
        <w:r w:rsidRPr="000E4A30">
          <w:rPr>
            <w:rStyle w:val="Hyperlink"/>
            <w:rFonts w:ascii="Arial" w:hAnsi="Arial" w:cs="Arial"/>
            <w:noProof/>
            <w:sz w:val="20"/>
            <w:szCs w:val="20"/>
          </w:rPr>
          <w:t>Bar Code Medication Administration (BCMA) FAQs</w:t>
        </w:r>
        <w:r w:rsidRPr="000E4A30">
          <w:rPr>
            <w:rFonts w:ascii="Arial" w:hAnsi="Arial" w:cs="Arial"/>
            <w:noProof/>
            <w:webHidden/>
            <w:sz w:val="20"/>
            <w:szCs w:val="20"/>
          </w:rPr>
          <w:tab/>
        </w:r>
        <w:r w:rsidRPr="000E4A30">
          <w:rPr>
            <w:rFonts w:ascii="Arial" w:hAnsi="Arial" w:cs="Arial"/>
            <w:noProof/>
            <w:webHidden/>
            <w:sz w:val="20"/>
            <w:szCs w:val="20"/>
          </w:rPr>
          <w:fldChar w:fldCharType="begin"/>
        </w:r>
        <w:r w:rsidRPr="000E4A30">
          <w:rPr>
            <w:rFonts w:ascii="Arial" w:hAnsi="Arial" w:cs="Arial"/>
            <w:noProof/>
            <w:webHidden/>
            <w:sz w:val="20"/>
            <w:szCs w:val="20"/>
          </w:rPr>
          <w:instrText xml:space="preserve"> PAGEREF _Toc225877703 \h </w:instrText>
        </w:r>
        <w:r w:rsidRPr="000E4A30">
          <w:rPr>
            <w:rFonts w:ascii="Arial" w:hAnsi="Arial" w:cs="Arial"/>
            <w:noProof/>
            <w:webHidden/>
            <w:sz w:val="20"/>
            <w:szCs w:val="20"/>
          </w:rPr>
        </w:r>
        <w:r w:rsidRPr="000E4A30">
          <w:rPr>
            <w:rFonts w:ascii="Arial" w:hAnsi="Arial" w:cs="Arial"/>
            <w:noProof/>
            <w:webHidden/>
            <w:sz w:val="20"/>
            <w:szCs w:val="20"/>
          </w:rPr>
          <w:fldChar w:fldCharType="separate"/>
        </w:r>
        <w:r w:rsidR="002C0DFB">
          <w:rPr>
            <w:rFonts w:ascii="Arial" w:hAnsi="Arial" w:cs="Arial"/>
            <w:noProof/>
            <w:webHidden/>
            <w:sz w:val="20"/>
            <w:szCs w:val="20"/>
          </w:rPr>
          <w:t>85</w:t>
        </w:r>
        <w:r w:rsidRPr="000E4A30">
          <w:rPr>
            <w:rFonts w:ascii="Arial" w:hAnsi="Arial" w:cs="Arial"/>
            <w:noProof/>
            <w:webHidden/>
            <w:sz w:val="20"/>
            <w:szCs w:val="20"/>
          </w:rPr>
          <w:fldChar w:fldCharType="end"/>
        </w:r>
      </w:hyperlink>
    </w:p>
    <w:p w14:paraId="13B8B0CC" w14:textId="3B5BD0FC" w:rsidR="003C1BA0" w:rsidRPr="000E4A30" w:rsidRDefault="003C1BA0">
      <w:pPr>
        <w:pStyle w:val="TOC5"/>
        <w:rPr>
          <w:rFonts w:ascii="Arial" w:hAnsi="Arial" w:cs="Arial"/>
          <w:noProof/>
          <w:kern w:val="2"/>
          <w:sz w:val="20"/>
          <w:szCs w:val="20"/>
          <w14:ligatures w14:val="standardContextual"/>
        </w:rPr>
      </w:pPr>
      <w:hyperlink w:anchor="_Toc225877704" w:history="1">
        <w:r w:rsidRPr="000E4A30">
          <w:rPr>
            <w:rStyle w:val="Hyperlink"/>
            <w:rFonts w:ascii="Arial" w:hAnsi="Arial" w:cs="Arial"/>
            <w:noProof/>
            <w:sz w:val="20"/>
            <w:szCs w:val="20"/>
          </w:rPr>
          <w:t>Medication Reconciliation FAQs</w:t>
        </w:r>
        <w:r w:rsidRPr="000E4A30">
          <w:rPr>
            <w:rFonts w:ascii="Arial" w:hAnsi="Arial" w:cs="Arial"/>
            <w:noProof/>
            <w:webHidden/>
            <w:sz w:val="20"/>
            <w:szCs w:val="20"/>
          </w:rPr>
          <w:tab/>
        </w:r>
        <w:r w:rsidRPr="000E4A30">
          <w:rPr>
            <w:rFonts w:ascii="Arial" w:hAnsi="Arial" w:cs="Arial"/>
            <w:noProof/>
            <w:webHidden/>
            <w:sz w:val="20"/>
            <w:szCs w:val="20"/>
          </w:rPr>
          <w:fldChar w:fldCharType="begin"/>
        </w:r>
        <w:r w:rsidRPr="000E4A30">
          <w:rPr>
            <w:rFonts w:ascii="Arial" w:hAnsi="Arial" w:cs="Arial"/>
            <w:noProof/>
            <w:webHidden/>
            <w:sz w:val="20"/>
            <w:szCs w:val="20"/>
          </w:rPr>
          <w:instrText xml:space="preserve"> PAGEREF _Toc225877704 \h </w:instrText>
        </w:r>
        <w:r w:rsidRPr="000E4A30">
          <w:rPr>
            <w:rFonts w:ascii="Arial" w:hAnsi="Arial" w:cs="Arial"/>
            <w:noProof/>
            <w:webHidden/>
            <w:sz w:val="20"/>
            <w:szCs w:val="20"/>
          </w:rPr>
        </w:r>
        <w:r w:rsidRPr="000E4A30">
          <w:rPr>
            <w:rFonts w:ascii="Arial" w:hAnsi="Arial" w:cs="Arial"/>
            <w:noProof/>
            <w:webHidden/>
            <w:sz w:val="20"/>
            <w:szCs w:val="20"/>
          </w:rPr>
          <w:fldChar w:fldCharType="separate"/>
        </w:r>
        <w:r w:rsidR="002C0DFB">
          <w:rPr>
            <w:rFonts w:ascii="Arial" w:hAnsi="Arial" w:cs="Arial"/>
            <w:noProof/>
            <w:webHidden/>
            <w:sz w:val="20"/>
            <w:szCs w:val="20"/>
          </w:rPr>
          <w:t>88</w:t>
        </w:r>
        <w:r w:rsidRPr="000E4A30">
          <w:rPr>
            <w:rFonts w:ascii="Arial" w:hAnsi="Arial" w:cs="Arial"/>
            <w:noProof/>
            <w:webHidden/>
            <w:sz w:val="20"/>
            <w:szCs w:val="20"/>
          </w:rPr>
          <w:fldChar w:fldCharType="end"/>
        </w:r>
      </w:hyperlink>
    </w:p>
    <w:p w14:paraId="2F63319E" w14:textId="751793A8" w:rsidR="003C1BA0" w:rsidRPr="000E4A30" w:rsidRDefault="003C1BA0">
      <w:pPr>
        <w:pStyle w:val="TOC1"/>
        <w:rPr>
          <w:rFonts w:eastAsiaTheme="minorEastAsia" w:cs="Arial"/>
          <w:noProof/>
          <w:kern w:val="2"/>
          <w14:ligatures w14:val="standardContextual"/>
        </w:rPr>
      </w:pPr>
      <w:hyperlink w:anchor="_Toc225877705" w:history="1">
        <w:r w:rsidRPr="000E4A30">
          <w:rPr>
            <w:rStyle w:val="Hyperlink"/>
            <w:rFonts w:cs="Arial"/>
            <w:noProof/>
          </w:rPr>
          <w:t>Page Intentionally Left Blank</w:t>
        </w:r>
        <w:r w:rsidRPr="000E4A30">
          <w:rPr>
            <w:rFonts w:cs="Arial"/>
            <w:noProof/>
            <w:webHidden/>
          </w:rPr>
          <w:tab/>
        </w:r>
        <w:r w:rsidRPr="000E4A30">
          <w:rPr>
            <w:rFonts w:cs="Arial"/>
            <w:noProof/>
            <w:webHidden/>
          </w:rPr>
          <w:fldChar w:fldCharType="begin"/>
        </w:r>
        <w:r w:rsidRPr="000E4A30">
          <w:rPr>
            <w:rFonts w:cs="Arial"/>
            <w:noProof/>
            <w:webHidden/>
          </w:rPr>
          <w:instrText xml:space="preserve"> PAGEREF _Toc225877705 \h </w:instrText>
        </w:r>
        <w:r w:rsidRPr="000E4A30">
          <w:rPr>
            <w:rFonts w:cs="Arial"/>
            <w:noProof/>
            <w:webHidden/>
          </w:rPr>
        </w:r>
        <w:r w:rsidRPr="000E4A30">
          <w:rPr>
            <w:rFonts w:cs="Arial"/>
            <w:noProof/>
            <w:webHidden/>
          </w:rPr>
          <w:fldChar w:fldCharType="separate"/>
        </w:r>
        <w:r w:rsidR="002C0DFB">
          <w:rPr>
            <w:rFonts w:cs="Arial"/>
            <w:noProof/>
            <w:webHidden/>
          </w:rPr>
          <w:t>91</w:t>
        </w:r>
        <w:r w:rsidRPr="000E4A30">
          <w:rPr>
            <w:rFonts w:cs="Arial"/>
            <w:noProof/>
            <w:webHidden/>
          </w:rPr>
          <w:fldChar w:fldCharType="end"/>
        </w:r>
      </w:hyperlink>
    </w:p>
    <w:p w14:paraId="0B733406" w14:textId="5C24AEA4" w:rsidR="003C1BA0" w:rsidRPr="000E4A30" w:rsidRDefault="003C1BA0">
      <w:pPr>
        <w:pStyle w:val="TOC1"/>
        <w:rPr>
          <w:rFonts w:eastAsiaTheme="minorEastAsia" w:cs="Arial"/>
          <w:noProof/>
          <w:kern w:val="2"/>
          <w14:ligatures w14:val="standardContextual"/>
        </w:rPr>
      </w:pPr>
      <w:hyperlink w:anchor="_Toc225877706" w:history="1">
        <w:r w:rsidRPr="000E4A30">
          <w:rPr>
            <w:rStyle w:val="Hyperlink"/>
            <w:rFonts w:cs="Arial"/>
            <w:noProof/>
          </w:rPr>
          <w:t>SECTION 3: ADULT AND PEDIATRIC COMPLEX SURGERY</w:t>
        </w:r>
        <w:r w:rsidRPr="000E4A30">
          <w:rPr>
            <w:rFonts w:cs="Arial"/>
            <w:noProof/>
            <w:webHidden/>
          </w:rPr>
          <w:tab/>
        </w:r>
        <w:r w:rsidRPr="000E4A30">
          <w:rPr>
            <w:rFonts w:cs="Arial"/>
            <w:noProof/>
            <w:webHidden/>
          </w:rPr>
          <w:fldChar w:fldCharType="begin"/>
        </w:r>
        <w:r w:rsidRPr="000E4A30">
          <w:rPr>
            <w:rFonts w:cs="Arial"/>
            <w:noProof/>
            <w:webHidden/>
          </w:rPr>
          <w:instrText xml:space="preserve"> PAGEREF _Toc225877706 \h </w:instrText>
        </w:r>
        <w:r w:rsidRPr="000E4A30">
          <w:rPr>
            <w:rFonts w:cs="Arial"/>
            <w:noProof/>
            <w:webHidden/>
          </w:rPr>
        </w:r>
        <w:r w:rsidRPr="000E4A30">
          <w:rPr>
            <w:rFonts w:cs="Arial"/>
            <w:noProof/>
            <w:webHidden/>
          </w:rPr>
          <w:fldChar w:fldCharType="separate"/>
        </w:r>
        <w:r w:rsidR="002C0DFB">
          <w:rPr>
            <w:rFonts w:cs="Arial"/>
            <w:noProof/>
            <w:webHidden/>
          </w:rPr>
          <w:t>92</w:t>
        </w:r>
        <w:r w:rsidRPr="000E4A30">
          <w:rPr>
            <w:rFonts w:cs="Arial"/>
            <w:noProof/>
            <w:webHidden/>
          </w:rPr>
          <w:fldChar w:fldCharType="end"/>
        </w:r>
      </w:hyperlink>
    </w:p>
    <w:p w14:paraId="5D9F7171" w14:textId="69D7A93E" w:rsidR="003C1BA0" w:rsidRPr="000E4A30" w:rsidRDefault="003C1BA0">
      <w:pPr>
        <w:pStyle w:val="TOC4"/>
        <w:rPr>
          <w:rFonts w:eastAsiaTheme="minorEastAsia" w:cs="Arial"/>
          <w:noProof/>
          <w:kern w:val="2"/>
          <w14:ligatures w14:val="standardContextual"/>
        </w:rPr>
      </w:pPr>
      <w:hyperlink w:anchor="_Toc225877707" w:history="1">
        <w:r w:rsidRPr="000E4A30">
          <w:rPr>
            <w:rStyle w:val="Hyperlink"/>
            <w:rFonts w:cs="Arial"/>
            <w:noProof/>
          </w:rPr>
          <w:t>Section 3: Adult and Pediatric Complex Surgery</w:t>
        </w:r>
        <w:r w:rsidRPr="000E4A30">
          <w:rPr>
            <w:rFonts w:cs="Arial"/>
            <w:noProof/>
            <w:webHidden/>
          </w:rPr>
          <w:tab/>
        </w:r>
        <w:r w:rsidRPr="000E4A30">
          <w:rPr>
            <w:rFonts w:cs="Arial"/>
            <w:noProof/>
            <w:webHidden/>
          </w:rPr>
          <w:fldChar w:fldCharType="begin"/>
        </w:r>
        <w:r w:rsidRPr="000E4A30">
          <w:rPr>
            <w:rFonts w:cs="Arial"/>
            <w:noProof/>
            <w:webHidden/>
          </w:rPr>
          <w:instrText xml:space="preserve"> PAGEREF _Toc225877707 \h </w:instrText>
        </w:r>
        <w:r w:rsidRPr="000E4A30">
          <w:rPr>
            <w:rFonts w:cs="Arial"/>
            <w:noProof/>
            <w:webHidden/>
          </w:rPr>
        </w:r>
        <w:r w:rsidRPr="000E4A30">
          <w:rPr>
            <w:rFonts w:cs="Arial"/>
            <w:noProof/>
            <w:webHidden/>
          </w:rPr>
          <w:fldChar w:fldCharType="separate"/>
        </w:r>
        <w:r w:rsidR="002C0DFB">
          <w:rPr>
            <w:rFonts w:cs="Arial"/>
            <w:noProof/>
            <w:webHidden/>
          </w:rPr>
          <w:t>93</w:t>
        </w:r>
        <w:r w:rsidRPr="000E4A30">
          <w:rPr>
            <w:rFonts w:cs="Arial"/>
            <w:noProof/>
            <w:webHidden/>
          </w:rPr>
          <w:fldChar w:fldCharType="end"/>
        </w:r>
      </w:hyperlink>
    </w:p>
    <w:p w14:paraId="48CFDCC8" w14:textId="09C59064" w:rsidR="003C1BA0" w:rsidRPr="000E4A30" w:rsidRDefault="003C1BA0">
      <w:pPr>
        <w:pStyle w:val="TOC4"/>
        <w:rPr>
          <w:rFonts w:eastAsiaTheme="minorEastAsia" w:cs="Arial"/>
          <w:noProof/>
          <w:kern w:val="2"/>
          <w14:ligatures w14:val="standardContextual"/>
        </w:rPr>
      </w:pPr>
      <w:hyperlink w:anchor="_Toc225877708" w:history="1">
        <w:r w:rsidRPr="000E4A30">
          <w:rPr>
            <w:rStyle w:val="Hyperlink"/>
            <w:rFonts w:cs="Arial"/>
            <w:noProof/>
          </w:rPr>
          <w:t>3A: Hospital and Surgeon Volume</w:t>
        </w:r>
        <w:r w:rsidRPr="000E4A30">
          <w:rPr>
            <w:rFonts w:cs="Arial"/>
            <w:noProof/>
            <w:webHidden/>
          </w:rPr>
          <w:tab/>
        </w:r>
        <w:r w:rsidRPr="000E4A30">
          <w:rPr>
            <w:rFonts w:cs="Arial"/>
            <w:noProof/>
            <w:webHidden/>
          </w:rPr>
          <w:fldChar w:fldCharType="begin"/>
        </w:r>
        <w:r w:rsidRPr="000E4A30">
          <w:rPr>
            <w:rFonts w:cs="Arial"/>
            <w:noProof/>
            <w:webHidden/>
          </w:rPr>
          <w:instrText xml:space="preserve"> PAGEREF _Toc225877708 \h </w:instrText>
        </w:r>
        <w:r w:rsidRPr="000E4A30">
          <w:rPr>
            <w:rFonts w:cs="Arial"/>
            <w:noProof/>
            <w:webHidden/>
          </w:rPr>
        </w:r>
        <w:r w:rsidRPr="000E4A30">
          <w:rPr>
            <w:rFonts w:cs="Arial"/>
            <w:noProof/>
            <w:webHidden/>
          </w:rPr>
          <w:fldChar w:fldCharType="separate"/>
        </w:r>
        <w:r w:rsidR="002C0DFB">
          <w:rPr>
            <w:rFonts w:cs="Arial"/>
            <w:noProof/>
            <w:webHidden/>
          </w:rPr>
          <w:t>94</w:t>
        </w:r>
        <w:r w:rsidRPr="000E4A30">
          <w:rPr>
            <w:rFonts w:cs="Arial"/>
            <w:noProof/>
            <w:webHidden/>
          </w:rPr>
          <w:fldChar w:fldCharType="end"/>
        </w:r>
      </w:hyperlink>
    </w:p>
    <w:p w14:paraId="6955D19A" w14:textId="652F3FBF" w:rsidR="003C1BA0" w:rsidRPr="000E4A30" w:rsidRDefault="003C1BA0">
      <w:pPr>
        <w:pStyle w:val="TOC4"/>
        <w:rPr>
          <w:rFonts w:eastAsiaTheme="minorEastAsia" w:cs="Arial"/>
          <w:noProof/>
          <w:kern w:val="2"/>
          <w14:ligatures w14:val="standardContextual"/>
        </w:rPr>
      </w:pPr>
      <w:hyperlink w:anchor="_Toc225877709" w:history="1">
        <w:r w:rsidRPr="000E4A30">
          <w:rPr>
            <w:rStyle w:val="Hyperlink"/>
            <w:rFonts w:cs="Arial"/>
            <w:noProof/>
          </w:rPr>
          <w:t>3B: Safe Surgery Checklist for Adult and Pediatric Complex Surgery</w:t>
        </w:r>
        <w:r w:rsidRPr="000E4A30">
          <w:rPr>
            <w:rFonts w:cs="Arial"/>
            <w:noProof/>
            <w:webHidden/>
          </w:rPr>
          <w:tab/>
        </w:r>
        <w:r w:rsidRPr="000E4A30">
          <w:rPr>
            <w:rFonts w:cs="Arial"/>
            <w:noProof/>
            <w:webHidden/>
          </w:rPr>
          <w:fldChar w:fldCharType="begin"/>
        </w:r>
        <w:r w:rsidRPr="000E4A30">
          <w:rPr>
            <w:rFonts w:cs="Arial"/>
            <w:noProof/>
            <w:webHidden/>
          </w:rPr>
          <w:instrText xml:space="preserve"> PAGEREF _Toc225877709 \h </w:instrText>
        </w:r>
        <w:r w:rsidRPr="000E4A30">
          <w:rPr>
            <w:rFonts w:cs="Arial"/>
            <w:noProof/>
            <w:webHidden/>
          </w:rPr>
        </w:r>
        <w:r w:rsidRPr="000E4A30">
          <w:rPr>
            <w:rFonts w:cs="Arial"/>
            <w:noProof/>
            <w:webHidden/>
          </w:rPr>
          <w:fldChar w:fldCharType="separate"/>
        </w:r>
        <w:r w:rsidR="002C0DFB">
          <w:rPr>
            <w:rFonts w:cs="Arial"/>
            <w:noProof/>
            <w:webHidden/>
          </w:rPr>
          <w:t>98</w:t>
        </w:r>
        <w:r w:rsidRPr="000E4A30">
          <w:rPr>
            <w:rFonts w:cs="Arial"/>
            <w:noProof/>
            <w:webHidden/>
          </w:rPr>
          <w:fldChar w:fldCharType="end"/>
        </w:r>
      </w:hyperlink>
    </w:p>
    <w:p w14:paraId="1C56DED5" w14:textId="3C40B53C" w:rsidR="003C1BA0" w:rsidRPr="000E4A30" w:rsidRDefault="003C1BA0">
      <w:pPr>
        <w:pStyle w:val="TOC4"/>
        <w:rPr>
          <w:rFonts w:eastAsiaTheme="minorEastAsia" w:cs="Arial"/>
          <w:noProof/>
          <w:kern w:val="2"/>
          <w14:ligatures w14:val="standardContextual"/>
        </w:rPr>
      </w:pPr>
      <w:hyperlink w:anchor="_Toc225877710" w:history="1">
        <w:r w:rsidRPr="000E4A30">
          <w:rPr>
            <w:rStyle w:val="Hyperlink"/>
            <w:rFonts w:cs="Arial"/>
            <w:noProof/>
          </w:rPr>
          <w:t>Section 3: Adult and Pediatric Complex Surgery Reference Information</w:t>
        </w:r>
        <w:r w:rsidRPr="000E4A30">
          <w:rPr>
            <w:rFonts w:cs="Arial"/>
            <w:noProof/>
            <w:webHidden/>
          </w:rPr>
          <w:tab/>
        </w:r>
        <w:r w:rsidRPr="000E4A30">
          <w:rPr>
            <w:rFonts w:cs="Arial"/>
            <w:noProof/>
            <w:webHidden/>
          </w:rPr>
          <w:fldChar w:fldCharType="begin"/>
        </w:r>
        <w:r w:rsidRPr="000E4A30">
          <w:rPr>
            <w:rFonts w:cs="Arial"/>
            <w:noProof/>
            <w:webHidden/>
          </w:rPr>
          <w:instrText xml:space="preserve"> PAGEREF _Toc225877710 \h </w:instrText>
        </w:r>
        <w:r w:rsidRPr="000E4A30">
          <w:rPr>
            <w:rFonts w:cs="Arial"/>
            <w:noProof/>
            <w:webHidden/>
          </w:rPr>
        </w:r>
        <w:r w:rsidRPr="000E4A30">
          <w:rPr>
            <w:rFonts w:cs="Arial"/>
            <w:noProof/>
            <w:webHidden/>
          </w:rPr>
          <w:fldChar w:fldCharType="separate"/>
        </w:r>
        <w:r w:rsidR="002C0DFB">
          <w:rPr>
            <w:rFonts w:cs="Arial"/>
            <w:noProof/>
            <w:webHidden/>
          </w:rPr>
          <w:t>102</w:t>
        </w:r>
        <w:r w:rsidRPr="000E4A30">
          <w:rPr>
            <w:rFonts w:cs="Arial"/>
            <w:noProof/>
            <w:webHidden/>
          </w:rPr>
          <w:fldChar w:fldCharType="end"/>
        </w:r>
      </w:hyperlink>
    </w:p>
    <w:p w14:paraId="4BAF5BB5" w14:textId="157EC69F" w:rsidR="003C1BA0" w:rsidRPr="000E4A30" w:rsidRDefault="003C1BA0">
      <w:pPr>
        <w:pStyle w:val="TOC5"/>
        <w:rPr>
          <w:rFonts w:ascii="Arial" w:hAnsi="Arial" w:cs="Arial"/>
          <w:noProof/>
          <w:kern w:val="2"/>
          <w:sz w:val="20"/>
          <w:szCs w:val="20"/>
          <w14:ligatures w14:val="standardContextual"/>
        </w:rPr>
      </w:pPr>
      <w:hyperlink w:anchor="_Toc225877711" w:history="1">
        <w:r w:rsidRPr="000E4A30">
          <w:rPr>
            <w:rStyle w:val="Hyperlink"/>
            <w:rFonts w:ascii="Arial" w:hAnsi="Arial" w:cs="Arial"/>
            <w:noProof/>
            <w:sz w:val="20"/>
            <w:szCs w:val="20"/>
          </w:rPr>
          <w:t>What’s New in the 2026 Survey</w:t>
        </w:r>
        <w:r w:rsidRPr="000E4A30">
          <w:rPr>
            <w:rFonts w:ascii="Arial" w:hAnsi="Arial" w:cs="Arial"/>
            <w:noProof/>
            <w:webHidden/>
            <w:sz w:val="20"/>
            <w:szCs w:val="20"/>
          </w:rPr>
          <w:tab/>
        </w:r>
        <w:r w:rsidRPr="000E4A30">
          <w:rPr>
            <w:rFonts w:ascii="Arial" w:hAnsi="Arial" w:cs="Arial"/>
            <w:noProof/>
            <w:webHidden/>
            <w:sz w:val="20"/>
            <w:szCs w:val="20"/>
          </w:rPr>
          <w:fldChar w:fldCharType="begin"/>
        </w:r>
        <w:r w:rsidRPr="000E4A30">
          <w:rPr>
            <w:rFonts w:ascii="Arial" w:hAnsi="Arial" w:cs="Arial"/>
            <w:noProof/>
            <w:webHidden/>
            <w:sz w:val="20"/>
            <w:szCs w:val="20"/>
          </w:rPr>
          <w:instrText xml:space="preserve"> PAGEREF _Toc225877711 \h </w:instrText>
        </w:r>
        <w:r w:rsidRPr="000E4A30">
          <w:rPr>
            <w:rFonts w:ascii="Arial" w:hAnsi="Arial" w:cs="Arial"/>
            <w:noProof/>
            <w:webHidden/>
            <w:sz w:val="20"/>
            <w:szCs w:val="20"/>
          </w:rPr>
        </w:r>
        <w:r w:rsidRPr="000E4A30">
          <w:rPr>
            <w:rFonts w:ascii="Arial" w:hAnsi="Arial" w:cs="Arial"/>
            <w:noProof/>
            <w:webHidden/>
            <w:sz w:val="20"/>
            <w:szCs w:val="20"/>
          </w:rPr>
          <w:fldChar w:fldCharType="separate"/>
        </w:r>
        <w:r w:rsidR="002C0DFB">
          <w:rPr>
            <w:rFonts w:ascii="Arial" w:hAnsi="Arial" w:cs="Arial"/>
            <w:noProof/>
            <w:webHidden/>
            <w:sz w:val="20"/>
            <w:szCs w:val="20"/>
          </w:rPr>
          <w:t>102</w:t>
        </w:r>
        <w:r w:rsidRPr="000E4A30">
          <w:rPr>
            <w:rFonts w:ascii="Arial" w:hAnsi="Arial" w:cs="Arial"/>
            <w:noProof/>
            <w:webHidden/>
            <w:sz w:val="20"/>
            <w:szCs w:val="20"/>
          </w:rPr>
          <w:fldChar w:fldCharType="end"/>
        </w:r>
      </w:hyperlink>
    </w:p>
    <w:p w14:paraId="215E0FCA" w14:textId="6F39E413" w:rsidR="003C1BA0" w:rsidRPr="000E4A30" w:rsidRDefault="003C1BA0">
      <w:pPr>
        <w:pStyle w:val="TOC5"/>
        <w:rPr>
          <w:rFonts w:ascii="Arial" w:hAnsi="Arial" w:cs="Arial"/>
          <w:noProof/>
          <w:kern w:val="2"/>
          <w:sz w:val="20"/>
          <w:szCs w:val="20"/>
          <w14:ligatures w14:val="standardContextual"/>
        </w:rPr>
      </w:pPr>
      <w:hyperlink w:anchor="_Toc225877712" w:history="1">
        <w:r w:rsidRPr="000E4A30">
          <w:rPr>
            <w:rStyle w:val="Hyperlink"/>
            <w:rFonts w:ascii="Arial" w:hAnsi="Arial" w:cs="Arial"/>
            <w:noProof/>
            <w:sz w:val="20"/>
            <w:szCs w:val="20"/>
          </w:rPr>
          <w:t>Change Summary Since Release</w:t>
        </w:r>
        <w:r w:rsidRPr="000E4A30">
          <w:rPr>
            <w:rFonts w:ascii="Arial" w:hAnsi="Arial" w:cs="Arial"/>
            <w:noProof/>
            <w:webHidden/>
            <w:sz w:val="20"/>
            <w:szCs w:val="20"/>
          </w:rPr>
          <w:tab/>
        </w:r>
        <w:r w:rsidRPr="000E4A30">
          <w:rPr>
            <w:rFonts w:ascii="Arial" w:hAnsi="Arial" w:cs="Arial"/>
            <w:noProof/>
            <w:webHidden/>
            <w:sz w:val="20"/>
            <w:szCs w:val="20"/>
          </w:rPr>
          <w:fldChar w:fldCharType="begin"/>
        </w:r>
        <w:r w:rsidRPr="000E4A30">
          <w:rPr>
            <w:rFonts w:ascii="Arial" w:hAnsi="Arial" w:cs="Arial"/>
            <w:noProof/>
            <w:webHidden/>
            <w:sz w:val="20"/>
            <w:szCs w:val="20"/>
          </w:rPr>
          <w:instrText xml:space="preserve"> PAGEREF _Toc225877712 \h </w:instrText>
        </w:r>
        <w:r w:rsidRPr="000E4A30">
          <w:rPr>
            <w:rFonts w:ascii="Arial" w:hAnsi="Arial" w:cs="Arial"/>
            <w:noProof/>
            <w:webHidden/>
            <w:sz w:val="20"/>
            <w:szCs w:val="20"/>
          </w:rPr>
        </w:r>
        <w:r w:rsidRPr="000E4A30">
          <w:rPr>
            <w:rFonts w:ascii="Arial" w:hAnsi="Arial" w:cs="Arial"/>
            <w:noProof/>
            <w:webHidden/>
            <w:sz w:val="20"/>
            <w:szCs w:val="20"/>
          </w:rPr>
          <w:fldChar w:fldCharType="separate"/>
        </w:r>
        <w:r w:rsidR="002C0DFB">
          <w:rPr>
            <w:rFonts w:ascii="Arial" w:hAnsi="Arial" w:cs="Arial"/>
            <w:noProof/>
            <w:webHidden/>
            <w:sz w:val="20"/>
            <w:szCs w:val="20"/>
          </w:rPr>
          <w:t>102</w:t>
        </w:r>
        <w:r w:rsidRPr="000E4A30">
          <w:rPr>
            <w:rFonts w:ascii="Arial" w:hAnsi="Arial" w:cs="Arial"/>
            <w:noProof/>
            <w:webHidden/>
            <w:sz w:val="20"/>
            <w:szCs w:val="20"/>
          </w:rPr>
          <w:fldChar w:fldCharType="end"/>
        </w:r>
      </w:hyperlink>
    </w:p>
    <w:p w14:paraId="3090747A" w14:textId="026862F6" w:rsidR="003C1BA0" w:rsidRPr="000E4A30" w:rsidRDefault="003C1BA0">
      <w:pPr>
        <w:pStyle w:val="TOC4"/>
        <w:rPr>
          <w:rFonts w:eastAsiaTheme="minorEastAsia" w:cs="Arial"/>
          <w:noProof/>
          <w:kern w:val="2"/>
          <w14:ligatures w14:val="standardContextual"/>
        </w:rPr>
      </w:pPr>
      <w:hyperlink w:anchor="_Toc225877713" w:history="1">
        <w:r w:rsidRPr="000E4A30">
          <w:rPr>
            <w:rStyle w:val="Hyperlink"/>
            <w:rFonts w:cs="Arial"/>
            <w:noProof/>
          </w:rPr>
          <w:t>Section 3: Adult and Pediatric Complex Surgery Measure Specifications</w:t>
        </w:r>
        <w:r w:rsidRPr="000E4A30">
          <w:rPr>
            <w:rFonts w:cs="Arial"/>
            <w:noProof/>
            <w:webHidden/>
          </w:rPr>
          <w:tab/>
        </w:r>
        <w:r w:rsidRPr="000E4A30">
          <w:rPr>
            <w:rFonts w:cs="Arial"/>
            <w:noProof/>
            <w:webHidden/>
          </w:rPr>
          <w:fldChar w:fldCharType="begin"/>
        </w:r>
        <w:r w:rsidRPr="000E4A30">
          <w:rPr>
            <w:rFonts w:cs="Arial"/>
            <w:noProof/>
            <w:webHidden/>
          </w:rPr>
          <w:instrText xml:space="preserve"> PAGEREF _Toc225877713 \h </w:instrText>
        </w:r>
        <w:r w:rsidRPr="000E4A30">
          <w:rPr>
            <w:rFonts w:cs="Arial"/>
            <w:noProof/>
            <w:webHidden/>
          </w:rPr>
        </w:r>
        <w:r w:rsidRPr="000E4A30">
          <w:rPr>
            <w:rFonts w:cs="Arial"/>
            <w:noProof/>
            <w:webHidden/>
          </w:rPr>
          <w:fldChar w:fldCharType="separate"/>
        </w:r>
        <w:r w:rsidR="002C0DFB">
          <w:rPr>
            <w:rFonts w:cs="Arial"/>
            <w:noProof/>
            <w:webHidden/>
          </w:rPr>
          <w:t>103</w:t>
        </w:r>
        <w:r w:rsidRPr="000E4A30">
          <w:rPr>
            <w:rFonts w:cs="Arial"/>
            <w:noProof/>
            <w:webHidden/>
          </w:rPr>
          <w:fldChar w:fldCharType="end"/>
        </w:r>
      </w:hyperlink>
    </w:p>
    <w:p w14:paraId="30D139B9" w14:textId="77B5BC58" w:rsidR="003C1BA0" w:rsidRPr="000E4A30" w:rsidRDefault="003C1BA0">
      <w:pPr>
        <w:pStyle w:val="TOC5"/>
        <w:rPr>
          <w:rFonts w:ascii="Arial" w:hAnsi="Arial" w:cs="Arial"/>
          <w:noProof/>
          <w:kern w:val="2"/>
          <w:sz w:val="20"/>
          <w:szCs w:val="20"/>
          <w14:ligatures w14:val="standardContextual"/>
        </w:rPr>
      </w:pPr>
      <w:hyperlink w:anchor="_Toc225877714" w:history="1">
        <w:r w:rsidRPr="000E4A30">
          <w:rPr>
            <w:rStyle w:val="Hyperlink"/>
            <w:rFonts w:ascii="Arial" w:hAnsi="Arial" w:cs="Arial"/>
            <w:noProof/>
            <w:sz w:val="20"/>
            <w:szCs w:val="20"/>
          </w:rPr>
          <w:t>Hospital and Surgeon Volume Measure Specifications</w:t>
        </w:r>
        <w:r w:rsidRPr="000E4A30">
          <w:rPr>
            <w:rFonts w:ascii="Arial" w:hAnsi="Arial" w:cs="Arial"/>
            <w:noProof/>
            <w:webHidden/>
            <w:sz w:val="20"/>
            <w:szCs w:val="20"/>
          </w:rPr>
          <w:tab/>
        </w:r>
        <w:r w:rsidRPr="000E4A30">
          <w:rPr>
            <w:rFonts w:ascii="Arial" w:hAnsi="Arial" w:cs="Arial"/>
            <w:noProof/>
            <w:webHidden/>
            <w:sz w:val="20"/>
            <w:szCs w:val="20"/>
          </w:rPr>
          <w:fldChar w:fldCharType="begin"/>
        </w:r>
        <w:r w:rsidRPr="000E4A30">
          <w:rPr>
            <w:rFonts w:ascii="Arial" w:hAnsi="Arial" w:cs="Arial"/>
            <w:noProof/>
            <w:webHidden/>
            <w:sz w:val="20"/>
            <w:szCs w:val="20"/>
          </w:rPr>
          <w:instrText xml:space="preserve"> PAGEREF _Toc225877714 \h </w:instrText>
        </w:r>
        <w:r w:rsidRPr="000E4A30">
          <w:rPr>
            <w:rFonts w:ascii="Arial" w:hAnsi="Arial" w:cs="Arial"/>
            <w:noProof/>
            <w:webHidden/>
            <w:sz w:val="20"/>
            <w:szCs w:val="20"/>
          </w:rPr>
        </w:r>
        <w:r w:rsidRPr="000E4A30">
          <w:rPr>
            <w:rFonts w:ascii="Arial" w:hAnsi="Arial" w:cs="Arial"/>
            <w:noProof/>
            <w:webHidden/>
            <w:sz w:val="20"/>
            <w:szCs w:val="20"/>
          </w:rPr>
          <w:fldChar w:fldCharType="separate"/>
        </w:r>
        <w:r w:rsidR="002C0DFB">
          <w:rPr>
            <w:rFonts w:ascii="Arial" w:hAnsi="Arial" w:cs="Arial"/>
            <w:noProof/>
            <w:webHidden/>
            <w:sz w:val="20"/>
            <w:szCs w:val="20"/>
          </w:rPr>
          <w:t>103</w:t>
        </w:r>
        <w:r w:rsidRPr="000E4A30">
          <w:rPr>
            <w:rFonts w:ascii="Arial" w:hAnsi="Arial" w:cs="Arial"/>
            <w:noProof/>
            <w:webHidden/>
            <w:sz w:val="20"/>
            <w:szCs w:val="20"/>
          </w:rPr>
          <w:fldChar w:fldCharType="end"/>
        </w:r>
      </w:hyperlink>
    </w:p>
    <w:p w14:paraId="65A03A08" w14:textId="079E6D73" w:rsidR="003C1BA0" w:rsidRPr="000E4A30" w:rsidRDefault="003C1BA0">
      <w:pPr>
        <w:pStyle w:val="TOC5"/>
        <w:rPr>
          <w:rFonts w:ascii="Arial" w:hAnsi="Arial" w:cs="Arial"/>
          <w:noProof/>
          <w:kern w:val="2"/>
          <w:sz w:val="20"/>
          <w:szCs w:val="20"/>
          <w14:ligatures w14:val="standardContextual"/>
        </w:rPr>
      </w:pPr>
      <w:hyperlink w:anchor="_Toc225877715" w:history="1">
        <w:r w:rsidRPr="000E4A30">
          <w:rPr>
            <w:rStyle w:val="Hyperlink"/>
            <w:rFonts w:ascii="Arial" w:hAnsi="Arial" w:cs="Arial"/>
            <w:noProof/>
            <w:sz w:val="20"/>
            <w:szCs w:val="20"/>
          </w:rPr>
          <w:t>Safe Surgery Checklist for Adult and Pediatric Complex Surgery Measure Specifications</w:t>
        </w:r>
        <w:r w:rsidRPr="000E4A30">
          <w:rPr>
            <w:rFonts w:ascii="Arial" w:hAnsi="Arial" w:cs="Arial"/>
            <w:noProof/>
            <w:webHidden/>
            <w:sz w:val="20"/>
            <w:szCs w:val="20"/>
          </w:rPr>
          <w:tab/>
        </w:r>
        <w:r w:rsidRPr="000E4A30">
          <w:rPr>
            <w:rFonts w:ascii="Arial" w:hAnsi="Arial" w:cs="Arial"/>
            <w:noProof/>
            <w:webHidden/>
            <w:sz w:val="20"/>
            <w:szCs w:val="20"/>
          </w:rPr>
          <w:fldChar w:fldCharType="begin"/>
        </w:r>
        <w:r w:rsidRPr="000E4A30">
          <w:rPr>
            <w:rFonts w:ascii="Arial" w:hAnsi="Arial" w:cs="Arial"/>
            <w:noProof/>
            <w:webHidden/>
            <w:sz w:val="20"/>
            <w:szCs w:val="20"/>
          </w:rPr>
          <w:instrText xml:space="preserve"> PAGEREF _Toc225877715 \h </w:instrText>
        </w:r>
        <w:r w:rsidRPr="000E4A30">
          <w:rPr>
            <w:rFonts w:ascii="Arial" w:hAnsi="Arial" w:cs="Arial"/>
            <w:noProof/>
            <w:webHidden/>
            <w:sz w:val="20"/>
            <w:szCs w:val="20"/>
          </w:rPr>
        </w:r>
        <w:r w:rsidRPr="000E4A30">
          <w:rPr>
            <w:rFonts w:ascii="Arial" w:hAnsi="Arial" w:cs="Arial"/>
            <w:noProof/>
            <w:webHidden/>
            <w:sz w:val="20"/>
            <w:szCs w:val="20"/>
          </w:rPr>
          <w:fldChar w:fldCharType="separate"/>
        </w:r>
        <w:r w:rsidR="002C0DFB">
          <w:rPr>
            <w:rFonts w:ascii="Arial" w:hAnsi="Arial" w:cs="Arial"/>
            <w:noProof/>
            <w:webHidden/>
            <w:sz w:val="20"/>
            <w:szCs w:val="20"/>
          </w:rPr>
          <w:t>141</w:t>
        </w:r>
        <w:r w:rsidRPr="000E4A30">
          <w:rPr>
            <w:rFonts w:ascii="Arial" w:hAnsi="Arial" w:cs="Arial"/>
            <w:noProof/>
            <w:webHidden/>
            <w:sz w:val="20"/>
            <w:szCs w:val="20"/>
          </w:rPr>
          <w:fldChar w:fldCharType="end"/>
        </w:r>
      </w:hyperlink>
    </w:p>
    <w:p w14:paraId="4EDF3E37" w14:textId="63CEC12A" w:rsidR="003C1BA0" w:rsidRPr="000E4A30" w:rsidRDefault="003C1BA0">
      <w:pPr>
        <w:pStyle w:val="TOC4"/>
        <w:rPr>
          <w:rFonts w:eastAsiaTheme="minorEastAsia" w:cs="Arial"/>
          <w:noProof/>
          <w:kern w:val="2"/>
          <w14:ligatures w14:val="standardContextual"/>
        </w:rPr>
      </w:pPr>
      <w:hyperlink w:anchor="_Toc225877716" w:history="1">
        <w:r w:rsidRPr="000E4A30">
          <w:rPr>
            <w:rStyle w:val="Hyperlink"/>
            <w:rFonts w:cs="Arial"/>
            <w:noProof/>
          </w:rPr>
          <w:t>Section 3: Adult and Pediatric Complex Surgery Frequently Asked Questions (FAQs)</w:t>
        </w:r>
        <w:r w:rsidRPr="000E4A30">
          <w:rPr>
            <w:rFonts w:cs="Arial"/>
            <w:noProof/>
            <w:webHidden/>
          </w:rPr>
          <w:tab/>
        </w:r>
        <w:r w:rsidRPr="000E4A30">
          <w:rPr>
            <w:rFonts w:cs="Arial"/>
            <w:noProof/>
            <w:webHidden/>
          </w:rPr>
          <w:fldChar w:fldCharType="begin"/>
        </w:r>
        <w:r w:rsidRPr="000E4A30">
          <w:rPr>
            <w:rFonts w:cs="Arial"/>
            <w:noProof/>
            <w:webHidden/>
          </w:rPr>
          <w:instrText xml:space="preserve"> PAGEREF _Toc225877716 \h </w:instrText>
        </w:r>
        <w:r w:rsidRPr="000E4A30">
          <w:rPr>
            <w:rFonts w:cs="Arial"/>
            <w:noProof/>
            <w:webHidden/>
          </w:rPr>
        </w:r>
        <w:r w:rsidRPr="000E4A30">
          <w:rPr>
            <w:rFonts w:cs="Arial"/>
            <w:noProof/>
            <w:webHidden/>
          </w:rPr>
          <w:fldChar w:fldCharType="separate"/>
        </w:r>
        <w:r w:rsidR="002C0DFB">
          <w:rPr>
            <w:rFonts w:cs="Arial"/>
            <w:noProof/>
            <w:webHidden/>
          </w:rPr>
          <w:t>143</w:t>
        </w:r>
        <w:r w:rsidRPr="000E4A30">
          <w:rPr>
            <w:rFonts w:cs="Arial"/>
            <w:noProof/>
            <w:webHidden/>
          </w:rPr>
          <w:fldChar w:fldCharType="end"/>
        </w:r>
      </w:hyperlink>
    </w:p>
    <w:p w14:paraId="6562A0BD" w14:textId="314A52F9" w:rsidR="003C1BA0" w:rsidRPr="000E4A30" w:rsidRDefault="003C1BA0">
      <w:pPr>
        <w:pStyle w:val="TOC5"/>
        <w:rPr>
          <w:rFonts w:ascii="Arial" w:hAnsi="Arial" w:cs="Arial"/>
          <w:noProof/>
          <w:kern w:val="2"/>
          <w:sz w:val="20"/>
          <w:szCs w:val="20"/>
          <w14:ligatures w14:val="standardContextual"/>
        </w:rPr>
      </w:pPr>
      <w:hyperlink w:anchor="_Toc225877717" w:history="1">
        <w:r w:rsidRPr="000E4A30">
          <w:rPr>
            <w:rStyle w:val="Hyperlink"/>
            <w:rFonts w:ascii="Arial" w:hAnsi="Arial" w:cs="Arial"/>
            <w:noProof/>
            <w:sz w:val="20"/>
            <w:szCs w:val="20"/>
          </w:rPr>
          <w:t>General Questions</w:t>
        </w:r>
        <w:r w:rsidRPr="000E4A30">
          <w:rPr>
            <w:rFonts w:ascii="Arial" w:hAnsi="Arial" w:cs="Arial"/>
            <w:noProof/>
            <w:webHidden/>
            <w:sz w:val="20"/>
            <w:szCs w:val="20"/>
          </w:rPr>
          <w:tab/>
        </w:r>
        <w:r w:rsidRPr="000E4A30">
          <w:rPr>
            <w:rFonts w:ascii="Arial" w:hAnsi="Arial" w:cs="Arial"/>
            <w:noProof/>
            <w:webHidden/>
            <w:sz w:val="20"/>
            <w:szCs w:val="20"/>
          </w:rPr>
          <w:fldChar w:fldCharType="begin"/>
        </w:r>
        <w:r w:rsidRPr="000E4A30">
          <w:rPr>
            <w:rFonts w:ascii="Arial" w:hAnsi="Arial" w:cs="Arial"/>
            <w:noProof/>
            <w:webHidden/>
            <w:sz w:val="20"/>
            <w:szCs w:val="20"/>
          </w:rPr>
          <w:instrText xml:space="preserve"> PAGEREF _Toc225877717 \h </w:instrText>
        </w:r>
        <w:r w:rsidRPr="000E4A30">
          <w:rPr>
            <w:rFonts w:ascii="Arial" w:hAnsi="Arial" w:cs="Arial"/>
            <w:noProof/>
            <w:webHidden/>
            <w:sz w:val="20"/>
            <w:szCs w:val="20"/>
          </w:rPr>
        </w:r>
        <w:r w:rsidRPr="000E4A30">
          <w:rPr>
            <w:rFonts w:ascii="Arial" w:hAnsi="Arial" w:cs="Arial"/>
            <w:noProof/>
            <w:webHidden/>
            <w:sz w:val="20"/>
            <w:szCs w:val="20"/>
          </w:rPr>
          <w:fldChar w:fldCharType="separate"/>
        </w:r>
        <w:r w:rsidR="002C0DFB">
          <w:rPr>
            <w:rFonts w:ascii="Arial" w:hAnsi="Arial" w:cs="Arial"/>
            <w:noProof/>
            <w:webHidden/>
            <w:sz w:val="20"/>
            <w:szCs w:val="20"/>
          </w:rPr>
          <w:t>143</w:t>
        </w:r>
        <w:r w:rsidRPr="000E4A30">
          <w:rPr>
            <w:rFonts w:ascii="Arial" w:hAnsi="Arial" w:cs="Arial"/>
            <w:noProof/>
            <w:webHidden/>
            <w:sz w:val="20"/>
            <w:szCs w:val="20"/>
          </w:rPr>
          <w:fldChar w:fldCharType="end"/>
        </w:r>
      </w:hyperlink>
    </w:p>
    <w:p w14:paraId="13BD6DEC" w14:textId="0CA2E38A" w:rsidR="003C1BA0" w:rsidRPr="000E4A30" w:rsidRDefault="003C1BA0">
      <w:pPr>
        <w:pStyle w:val="TOC5"/>
        <w:rPr>
          <w:rFonts w:ascii="Arial" w:hAnsi="Arial" w:cs="Arial"/>
          <w:noProof/>
          <w:kern w:val="2"/>
          <w:sz w:val="20"/>
          <w:szCs w:val="20"/>
          <w14:ligatures w14:val="standardContextual"/>
        </w:rPr>
      </w:pPr>
      <w:hyperlink w:anchor="_Toc225877718" w:history="1">
        <w:r w:rsidRPr="000E4A30">
          <w:rPr>
            <w:rStyle w:val="Hyperlink"/>
            <w:rFonts w:ascii="Arial" w:hAnsi="Arial" w:cs="Arial"/>
            <w:noProof/>
            <w:sz w:val="20"/>
            <w:szCs w:val="20"/>
          </w:rPr>
          <w:t>Hospital Volume FAQs</w:t>
        </w:r>
        <w:r w:rsidRPr="000E4A30">
          <w:rPr>
            <w:rFonts w:ascii="Arial" w:hAnsi="Arial" w:cs="Arial"/>
            <w:noProof/>
            <w:webHidden/>
            <w:sz w:val="20"/>
            <w:szCs w:val="20"/>
          </w:rPr>
          <w:tab/>
        </w:r>
        <w:r w:rsidRPr="000E4A30">
          <w:rPr>
            <w:rFonts w:ascii="Arial" w:hAnsi="Arial" w:cs="Arial"/>
            <w:noProof/>
            <w:webHidden/>
            <w:sz w:val="20"/>
            <w:szCs w:val="20"/>
          </w:rPr>
          <w:fldChar w:fldCharType="begin"/>
        </w:r>
        <w:r w:rsidRPr="000E4A30">
          <w:rPr>
            <w:rFonts w:ascii="Arial" w:hAnsi="Arial" w:cs="Arial"/>
            <w:noProof/>
            <w:webHidden/>
            <w:sz w:val="20"/>
            <w:szCs w:val="20"/>
          </w:rPr>
          <w:instrText xml:space="preserve"> PAGEREF _Toc225877718 \h </w:instrText>
        </w:r>
        <w:r w:rsidRPr="000E4A30">
          <w:rPr>
            <w:rFonts w:ascii="Arial" w:hAnsi="Arial" w:cs="Arial"/>
            <w:noProof/>
            <w:webHidden/>
            <w:sz w:val="20"/>
            <w:szCs w:val="20"/>
          </w:rPr>
        </w:r>
        <w:r w:rsidRPr="000E4A30">
          <w:rPr>
            <w:rFonts w:ascii="Arial" w:hAnsi="Arial" w:cs="Arial"/>
            <w:noProof/>
            <w:webHidden/>
            <w:sz w:val="20"/>
            <w:szCs w:val="20"/>
          </w:rPr>
          <w:fldChar w:fldCharType="separate"/>
        </w:r>
        <w:r w:rsidR="002C0DFB">
          <w:rPr>
            <w:rFonts w:ascii="Arial" w:hAnsi="Arial" w:cs="Arial"/>
            <w:noProof/>
            <w:webHidden/>
            <w:sz w:val="20"/>
            <w:szCs w:val="20"/>
          </w:rPr>
          <w:t>143</w:t>
        </w:r>
        <w:r w:rsidRPr="000E4A30">
          <w:rPr>
            <w:rFonts w:ascii="Arial" w:hAnsi="Arial" w:cs="Arial"/>
            <w:noProof/>
            <w:webHidden/>
            <w:sz w:val="20"/>
            <w:szCs w:val="20"/>
          </w:rPr>
          <w:fldChar w:fldCharType="end"/>
        </w:r>
      </w:hyperlink>
    </w:p>
    <w:p w14:paraId="652EA27E" w14:textId="479B23A4" w:rsidR="003C1BA0" w:rsidRPr="000E4A30" w:rsidRDefault="003C1BA0">
      <w:pPr>
        <w:pStyle w:val="TOC5"/>
        <w:rPr>
          <w:rFonts w:ascii="Arial" w:hAnsi="Arial" w:cs="Arial"/>
          <w:noProof/>
          <w:kern w:val="2"/>
          <w:sz w:val="20"/>
          <w:szCs w:val="20"/>
          <w14:ligatures w14:val="standardContextual"/>
        </w:rPr>
      </w:pPr>
      <w:hyperlink w:anchor="_Toc225877719" w:history="1">
        <w:r w:rsidRPr="000E4A30">
          <w:rPr>
            <w:rStyle w:val="Hyperlink"/>
            <w:rFonts w:ascii="Arial" w:hAnsi="Arial" w:cs="Arial"/>
            <w:noProof/>
            <w:sz w:val="20"/>
            <w:szCs w:val="20"/>
          </w:rPr>
          <w:t>Surgeon Volume FAQs</w:t>
        </w:r>
        <w:r w:rsidRPr="000E4A30">
          <w:rPr>
            <w:rFonts w:ascii="Arial" w:hAnsi="Arial" w:cs="Arial"/>
            <w:noProof/>
            <w:webHidden/>
            <w:sz w:val="20"/>
            <w:szCs w:val="20"/>
          </w:rPr>
          <w:tab/>
        </w:r>
        <w:r w:rsidRPr="000E4A30">
          <w:rPr>
            <w:rFonts w:ascii="Arial" w:hAnsi="Arial" w:cs="Arial"/>
            <w:noProof/>
            <w:webHidden/>
            <w:sz w:val="20"/>
            <w:szCs w:val="20"/>
          </w:rPr>
          <w:fldChar w:fldCharType="begin"/>
        </w:r>
        <w:r w:rsidRPr="000E4A30">
          <w:rPr>
            <w:rFonts w:ascii="Arial" w:hAnsi="Arial" w:cs="Arial"/>
            <w:noProof/>
            <w:webHidden/>
            <w:sz w:val="20"/>
            <w:szCs w:val="20"/>
          </w:rPr>
          <w:instrText xml:space="preserve"> PAGEREF _Toc225877719 \h </w:instrText>
        </w:r>
        <w:r w:rsidRPr="000E4A30">
          <w:rPr>
            <w:rFonts w:ascii="Arial" w:hAnsi="Arial" w:cs="Arial"/>
            <w:noProof/>
            <w:webHidden/>
            <w:sz w:val="20"/>
            <w:szCs w:val="20"/>
          </w:rPr>
        </w:r>
        <w:r w:rsidRPr="000E4A30">
          <w:rPr>
            <w:rFonts w:ascii="Arial" w:hAnsi="Arial" w:cs="Arial"/>
            <w:noProof/>
            <w:webHidden/>
            <w:sz w:val="20"/>
            <w:szCs w:val="20"/>
          </w:rPr>
          <w:fldChar w:fldCharType="separate"/>
        </w:r>
        <w:r w:rsidR="002C0DFB">
          <w:rPr>
            <w:rFonts w:ascii="Arial" w:hAnsi="Arial" w:cs="Arial"/>
            <w:noProof/>
            <w:webHidden/>
            <w:sz w:val="20"/>
            <w:szCs w:val="20"/>
          </w:rPr>
          <w:t>144</w:t>
        </w:r>
        <w:r w:rsidRPr="000E4A30">
          <w:rPr>
            <w:rFonts w:ascii="Arial" w:hAnsi="Arial" w:cs="Arial"/>
            <w:noProof/>
            <w:webHidden/>
            <w:sz w:val="20"/>
            <w:szCs w:val="20"/>
          </w:rPr>
          <w:fldChar w:fldCharType="end"/>
        </w:r>
      </w:hyperlink>
    </w:p>
    <w:p w14:paraId="491C989C" w14:textId="6586AE34" w:rsidR="003C1BA0" w:rsidRPr="000E4A30" w:rsidRDefault="003C1BA0">
      <w:pPr>
        <w:pStyle w:val="TOC5"/>
        <w:rPr>
          <w:rFonts w:ascii="Arial" w:hAnsi="Arial" w:cs="Arial"/>
          <w:noProof/>
          <w:kern w:val="2"/>
          <w:sz w:val="20"/>
          <w:szCs w:val="20"/>
          <w14:ligatures w14:val="standardContextual"/>
        </w:rPr>
      </w:pPr>
      <w:hyperlink w:anchor="_Toc225877720" w:history="1">
        <w:r w:rsidRPr="000E4A30">
          <w:rPr>
            <w:rStyle w:val="Hyperlink"/>
            <w:rFonts w:ascii="Arial" w:hAnsi="Arial" w:cs="Arial"/>
            <w:noProof/>
            <w:sz w:val="20"/>
            <w:szCs w:val="20"/>
          </w:rPr>
          <w:t>Safe Surgery Checklist for Adult and Pediatric Complex Surgery FAQs</w:t>
        </w:r>
        <w:r w:rsidRPr="000E4A30">
          <w:rPr>
            <w:rFonts w:ascii="Arial" w:hAnsi="Arial" w:cs="Arial"/>
            <w:noProof/>
            <w:webHidden/>
            <w:sz w:val="20"/>
            <w:szCs w:val="20"/>
          </w:rPr>
          <w:tab/>
        </w:r>
        <w:r w:rsidRPr="000E4A30">
          <w:rPr>
            <w:rFonts w:ascii="Arial" w:hAnsi="Arial" w:cs="Arial"/>
            <w:noProof/>
            <w:webHidden/>
            <w:sz w:val="20"/>
            <w:szCs w:val="20"/>
          </w:rPr>
          <w:fldChar w:fldCharType="begin"/>
        </w:r>
        <w:r w:rsidRPr="000E4A30">
          <w:rPr>
            <w:rFonts w:ascii="Arial" w:hAnsi="Arial" w:cs="Arial"/>
            <w:noProof/>
            <w:webHidden/>
            <w:sz w:val="20"/>
            <w:szCs w:val="20"/>
          </w:rPr>
          <w:instrText xml:space="preserve"> PAGEREF _Toc225877720 \h </w:instrText>
        </w:r>
        <w:r w:rsidRPr="000E4A30">
          <w:rPr>
            <w:rFonts w:ascii="Arial" w:hAnsi="Arial" w:cs="Arial"/>
            <w:noProof/>
            <w:webHidden/>
            <w:sz w:val="20"/>
            <w:szCs w:val="20"/>
          </w:rPr>
        </w:r>
        <w:r w:rsidRPr="000E4A30">
          <w:rPr>
            <w:rFonts w:ascii="Arial" w:hAnsi="Arial" w:cs="Arial"/>
            <w:noProof/>
            <w:webHidden/>
            <w:sz w:val="20"/>
            <w:szCs w:val="20"/>
          </w:rPr>
          <w:fldChar w:fldCharType="separate"/>
        </w:r>
        <w:r w:rsidR="002C0DFB">
          <w:rPr>
            <w:rFonts w:ascii="Arial" w:hAnsi="Arial" w:cs="Arial"/>
            <w:noProof/>
            <w:webHidden/>
            <w:sz w:val="20"/>
            <w:szCs w:val="20"/>
          </w:rPr>
          <w:t>145</w:t>
        </w:r>
        <w:r w:rsidRPr="000E4A30">
          <w:rPr>
            <w:rFonts w:ascii="Arial" w:hAnsi="Arial" w:cs="Arial"/>
            <w:noProof/>
            <w:webHidden/>
            <w:sz w:val="20"/>
            <w:szCs w:val="20"/>
          </w:rPr>
          <w:fldChar w:fldCharType="end"/>
        </w:r>
      </w:hyperlink>
    </w:p>
    <w:p w14:paraId="69177488" w14:textId="033E0237" w:rsidR="003C1BA0" w:rsidRPr="000E4A30" w:rsidRDefault="003C1BA0">
      <w:pPr>
        <w:pStyle w:val="TOC1"/>
        <w:rPr>
          <w:rFonts w:eastAsiaTheme="minorEastAsia" w:cs="Arial"/>
          <w:noProof/>
          <w:kern w:val="2"/>
          <w14:ligatures w14:val="standardContextual"/>
        </w:rPr>
      </w:pPr>
      <w:hyperlink w:anchor="_Toc225877721" w:history="1">
        <w:r w:rsidRPr="000E4A30">
          <w:rPr>
            <w:rStyle w:val="Hyperlink"/>
            <w:rFonts w:cs="Arial"/>
            <w:noProof/>
          </w:rPr>
          <w:t>Page Intentionally Left Blank</w:t>
        </w:r>
        <w:r w:rsidRPr="000E4A30">
          <w:rPr>
            <w:rFonts w:cs="Arial"/>
            <w:noProof/>
            <w:webHidden/>
          </w:rPr>
          <w:tab/>
        </w:r>
        <w:r w:rsidRPr="000E4A30">
          <w:rPr>
            <w:rFonts w:cs="Arial"/>
            <w:noProof/>
            <w:webHidden/>
          </w:rPr>
          <w:fldChar w:fldCharType="begin"/>
        </w:r>
        <w:r w:rsidRPr="000E4A30">
          <w:rPr>
            <w:rFonts w:cs="Arial"/>
            <w:noProof/>
            <w:webHidden/>
          </w:rPr>
          <w:instrText xml:space="preserve"> PAGEREF _Toc225877721 \h </w:instrText>
        </w:r>
        <w:r w:rsidRPr="000E4A30">
          <w:rPr>
            <w:rFonts w:cs="Arial"/>
            <w:noProof/>
            <w:webHidden/>
          </w:rPr>
        </w:r>
        <w:r w:rsidRPr="000E4A30">
          <w:rPr>
            <w:rFonts w:cs="Arial"/>
            <w:noProof/>
            <w:webHidden/>
          </w:rPr>
          <w:fldChar w:fldCharType="separate"/>
        </w:r>
        <w:r w:rsidR="002C0DFB">
          <w:rPr>
            <w:rFonts w:cs="Arial"/>
            <w:noProof/>
            <w:webHidden/>
          </w:rPr>
          <w:t>147</w:t>
        </w:r>
        <w:r w:rsidRPr="000E4A30">
          <w:rPr>
            <w:rFonts w:cs="Arial"/>
            <w:noProof/>
            <w:webHidden/>
          </w:rPr>
          <w:fldChar w:fldCharType="end"/>
        </w:r>
      </w:hyperlink>
    </w:p>
    <w:p w14:paraId="43DE79C5" w14:textId="46D5EF8F" w:rsidR="003C1BA0" w:rsidRPr="000E4A30" w:rsidRDefault="003C1BA0">
      <w:pPr>
        <w:pStyle w:val="TOC1"/>
        <w:rPr>
          <w:rFonts w:eastAsiaTheme="minorEastAsia" w:cs="Arial"/>
          <w:noProof/>
          <w:kern w:val="2"/>
          <w14:ligatures w14:val="standardContextual"/>
        </w:rPr>
      </w:pPr>
      <w:hyperlink w:anchor="_Toc225877722" w:history="1">
        <w:r w:rsidRPr="000E4A30">
          <w:rPr>
            <w:rStyle w:val="Hyperlink"/>
            <w:rFonts w:cs="Arial"/>
            <w:noProof/>
          </w:rPr>
          <w:t>SECTION 4: MATERNITY CARE</w:t>
        </w:r>
        <w:r w:rsidRPr="000E4A30">
          <w:rPr>
            <w:rFonts w:cs="Arial"/>
            <w:noProof/>
            <w:webHidden/>
          </w:rPr>
          <w:tab/>
        </w:r>
        <w:r w:rsidRPr="000E4A30">
          <w:rPr>
            <w:rFonts w:cs="Arial"/>
            <w:noProof/>
            <w:webHidden/>
          </w:rPr>
          <w:fldChar w:fldCharType="begin"/>
        </w:r>
        <w:r w:rsidRPr="000E4A30">
          <w:rPr>
            <w:rFonts w:cs="Arial"/>
            <w:noProof/>
            <w:webHidden/>
          </w:rPr>
          <w:instrText xml:space="preserve"> PAGEREF _Toc225877722 \h </w:instrText>
        </w:r>
        <w:r w:rsidRPr="000E4A30">
          <w:rPr>
            <w:rFonts w:cs="Arial"/>
            <w:noProof/>
            <w:webHidden/>
          </w:rPr>
        </w:r>
        <w:r w:rsidRPr="000E4A30">
          <w:rPr>
            <w:rFonts w:cs="Arial"/>
            <w:noProof/>
            <w:webHidden/>
          </w:rPr>
          <w:fldChar w:fldCharType="separate"/>
        </w:r>
        <w:r w:rsidR="002C0DFB">
          <w:rPr>
            <w:rFonts w:cs="Arial"/>
            <w:noProof/>
            <w:webHidden/>
          </w:rPr>
          <w:t>148</w:t>
        </w:r>
        <w:r w:rsidRPr="000E4A30">
          <w:rPr>
            <w:rFonts w:cs="Arial"/>
            <w:noProof/>
            <w:webHidden/>
          </w:rPr>
          <w:fldChar w:fldCharType="end"/>
        </w:r>
      </w:hyperlink>
    </w:p>
    <w:p w14:paraId="48F257C7" w14:textId="28C8C249" w:rsidR="003C1BA0" w:rsidRPr="000E4A30" w:rsidRDefault="003C1BA0">
      <w:pPr>
        <w:pStyle w:val="TOC4"/>
        <w:rPr>
          <w:rFonts w:eastAsiaTheme="minorEastAsia" w:cs="Arial"/>
          <w:noProof/>
          <w:kern w:val="2"/>
          <w14:ligatures w14:val="standardContextual"/>
        </w:rPr>
      </w:pPr>
      <w:hyperlink w:anchor="_Toc225877723" w:history="1">
        <w:r w:rsidRPr="000E4A30">
          <w:rPr>
            <w:rStyle w:val="Hyperlink"/>
            <w:rFonts w:cs="Arial"/>
            <w:noProof/>
          </w:rPr>
          <w:t>Section 4: Maternity Care</w:t>
        </w:r>
        <w:r w:rsidRPr="000E4A30">
          <w:rPr>
            <w:rFonts w:cs="Arial"/>
            <w:noProof/>
            <w:webHidden/>
          </w:rPr>
          <w:tab/>
        </w:r>
        <w:r w:rsidRPr="000E4A30">
          <w:rPr>
            <w:rFonts w:cs="Arial"/>
            <w:noProof/>
            <w:webHidden/>
          </w:rPr>
          <w:fldChar w:fldCharType="begin"/>
        </w:r>
        <w:r w:rsidRPr="000E4A30">
          <w:rPr>
            <w:rFonts w:cs="Arial"/>
            <w:noProof/>
            <w:webHidden/>
          </w:rPr>
          <w:instrText xml:space="preserve"> PAGEREF _Toc225877723 \h </w:instrText>
        </w:r>
        <w:r w:rsidRPr="000E4A30">
          <w:rPr>
            <w:rFonts w:cs="Arial"/>
            <w:noProof/>
            <w:webHidden/>
          </w:rPr>
        </w:r>
        <w:r w:rsidRPr="000E4A30">
          <w:rPr>
            <w:rFonts w:cs="Arial"/>
            <w:noProof/>
            <w:webHidden/>
          </w:rPr>
          <w:fldChar w:fldCharType="separate"/>
        </w:r>
        <w:r w:rsidR="002C0DFB">
          <w:rPr>
            <w:rFonts w:cs="Arial"/>
            <w:noProof/>
            <w:webHidden/>
          </w:rPr>
          <w:t>149</w:t>
        </w:r>
        <w:r w:rsidRPr="000E4A30">
          <w:rPr>
            <w:rFonts w:cs="Arial"/>
            <w:noProof/>
            <w:webHidden/>
          </w:rPr>
          <w:fldChar w:fldCharType="end"/>
        </w:r>
      </w:hyperlink>
    </w:p>
    <w:p w14:paraId="141E45A3" w14:textId="716DAB09" w:rsidR="003C1BA0" w:rsidRPr="000E4A30" w:rsidRDefault="003C1BA0">
      <w:pPr>
        <w:pStyle w:val="TOC4"/>
        <w:rPr>
          <w:rFonts w:eastAsiaTheme="minorEastAsia" w:cs="Arial"/>
          <w:noProof/>
          <w:kern w:val="2"/>
          <w14:ligatures w14:val="standardContextual"/>
        </w:rPr>
      </w:pPr>
      <w:hyperlink w:anchor="_Toc225877724" w:history="1">
        <w:r w:rsidRPr="000E4A30">
          <w:rPr>
            <w:rStyle w:val="Hyperlink"/>
            <w:rFonts w:cs="Arial"/>
            <w:noProof/>
          </w:rPr>
          <w:t>4A: Maternity Care Volume and Services</w:t>
        </w:r>
        <w:r w:rsidRPr="000E4A30">
          <w:rPr>
            <w:rFonts w:cs="Arial"/>
            <w:noProof/>
            <w:webHidden/>
          </w:rPr>
          <w:tab/>
        </w:r>
        <w:r w:rsidRPr="000E4A30">
          <w:rPr>
            <w:rFonts w:cs="Arial"/>
            <w:noProof/>
            <w:webHidden/>
          </w:rPr>
          <w:fldChar w:fldCharType="begin"/>
        </w:r>
        <w:r w:rsidRPr="000E4A30">
          <w:rPr>
            <w:rFonts w:cs="Arial"/>
            <w:noProof/>
            <w:webHidden/>
          </w:rPr>
          <w:instrText xml:space="preserve"> PAGEREF _Toc225877724 \h </w:instrText>
        </w:r>
        <w:r w:rsidRPr="000E4A30">
          <w:rPr>
            <w:rFonts w:cs="Arial"/>
            <w:noProof/>
            <w:webHidden/>
          </w:rPr>
        </w:r>
        <w:r w:rsidRPr="000E4A30">
          <w:rPr>
            <w:rFonts w:cs="Arial"/>
            <w:noProof/>
            <w:webHidden/>
          </w:rPr>
          <w:fldChar w:fldCharType="separate"/>
        </w:r>
        <w:r w:rsidR="002C0DFB">
          <w:rPr>
            <w:rFonts w:cs="Arial"/>
            <w:noProof/>
            <w:webHidden/>
          </w:rPr>
          <w:t>150</w:t>
        </w:r>
        <w:r w:rsidRPr="000E4A30">
          <w:rPr>
            <w:rFonts w:cs="Arial"/>
            <w:noProof/>
            <w:webHidden/>
          </w:rPr>
          <w:fldChar w:fldCharType="end"/>
        </w:r>
      </w:hyperlink>
    </w:p>
    <w:p w14:paraId="6862379C" w14:textId="2E4AB502" w:rsidR="003C1BA0" w:rsidRPr="000E4A30" w:rsidRDefault="003C1BA0">
      <w:pPr>
        <w:pStyle w:val="TOC5"/>
        <w:rPr>
          <w:rFonts w:ascii="Arial" w:hAnsi="Arial" w:cs="Arial"/>
          <w:noProof/>
          <w:kern w:val="2"/>
          <w:sz w:val="20"/>
          <w:szCs w:val="20"/>
          <w14:ligatures w14:val="standardContextual"/>
        </w:rPr>
      </w:pPr>
      <w:hyperlink w:anchor="_Toc225877725" w:history="1">
        <w:r w:rsidRPr="000E4A30">
          <w:rPr>
            <w:rStyle w:val="Hyperlink"/>
            <w:rFonts w:ascii="Arial" w:hAnsi="Arial" w:cs="Arial"/>
            <w:noProof/>
            <w:sz w:val="20"/>
            <w:szCs w:val="20"/>
          </w:rPr>
          <w:t>Maternity Care Volume</w:t>
        </w:r>
        <w:r w:rsidRPr="000E4A30">
          <w:rPr>
            <w:rFonts w:ascii="Arial" w:hAnsi="Arial" w:cs="Arial"/>
            <w:noProof/>
            <w:webHidden/>
            <w:sz w:val="20"/>
            <w:szCs w:val="20"/>
          </w:rPr>
          <w:tab/>
        </w:r>
        <w:r w:rsidRPr="000E4A30">
          <w:rPr>
            <w:rFonts w:ascii="Arial" w:hAnsi="Arial" w:cs="Arial"/>
            <w:noProof/>
            <w:webHidden/>
            <w:sz w:val="20"/>
            <w:szCs w:val="20"/>
          </w:rPr>
          <w:fldChar w:fldCharType="begin"/>
        </w:r>
        <w:r w:rsidRPr="000E4A30">
          <w:rPr>
            <w:rFonts w:ascii="Arial" w:hAnsi="Arial" w:cs="Arial"/>
            <w:noProof/>
            <w:webHidden/>
            <w:sz w:val="20"/>
            <w:szCs w:val="20"/>
          </w:rPr>
          <w:instrText xml:space="preserve"> PAGEREF _Toc225877725 \h </w:instrText>
        </w:r>
        <w:r w:rsidRPr="000E4A30">
          <w:rPr>
            <w:rFonts w:ascii="Arial" w:hAnsi="Arial" w:cs="Arial"/>
            <w:noProof/>
            <w:webHidden/>
            <w:sz w:val="20"/>
            <w:szCs w:val="20"/>
          </w:rPr>
        </w:r>
        <w:r w:rsidRPr="000E4A30">
          <w:rPr>
            <w:rFonts w:ascii="Arial" w:hAnsi="Arial" w:cs="Arial"/>
            <w:noProof/>
            <w:webHidden/>
            <w:sz w:val="20"/>
            <w:szCs w:val="20"/>
          </w:rPr>
          <w:fldChar w:fldCharType="separate"/>
        </w:r>
        <w:r w:rsidR="002C0DFB">
          <w:rPr>
            <w:rFonts w:ascii="Arial" w:hAnsi="Arial" w:cs="Arial"/>
            <w:noProof/>
            <w:webHidden/>
            <w:sz w:val="20"/>
            <w:szCs w:val="20"/>
          </w:rPr>
          <w:t>150</w:t>
        </w:r>
        <w:r w:rsidRPr="000E4A30">
          <w:rPr>
            <w:rFonts w:ascii="Arial" w:hAnsi="Arial" w:cs="Arial"/>
            <w:noProof/>
            <w:webHidden/>
            <w:sz w:val="20"/>
            <w:szCs w:val="20"/>
          </w:rPr>
          <w:fldChar w:fldCharType="end"/>
        </w:r>
      </w:hyperlink>
    </w:p>
    <w:p w14:paraId="1AFC3AC2" w14:textId="3F75296A" w:rsidR="003C1BA0" w:rsidRPr="000E4A30" w:rsidRDefault="003C1BA0">
      <w:pPr>
        <w:pStyle w:val="TOC5"/>
        <w:rPr>
          <w:rFonts w:ascii="Arial" w:hAnsi="Arial" w:cs="Arial"/>
          <w:noProof/>
          <w:kern w:val="2"/>
          <w:sz w:val="20"/>
          <w:szCs w:val="20"/>
          <w14:ligatures w14:val="standardContextual"/>
        </w:rPr>
      </w:pPr>
      <w:hyperlink w:anchor="_Toc225877726" w:history="1">
        <w:r w:rsidRPr="000E4A30">
          <w:rPr>
            <w:rStyle w:val="Hyperlink"/>
            <w:rFonts w:ascii="Arial" w:hAnsi="Arial" w:cs="Arial"/>
            <w:noProof/>
            <w:sz w:val="20"/>
            <w:szCs w:val="20"/>
          </w:rPr>
          <w:t>Maternity Care Services</w:t>
        </w:r>
        <w:r w:rsidRPr="000E4A30">
          <w:rPr>
            <w:rFonts w:ascii="Arial" w:hAnsi="Arial" w:cs="Arial"/>
            <w:noProof/>
            <w:webHidden/>
            <w:sz w:val="20"/>
            <w:szCs w:val="20"/>
          </w:rPr>
          <w:tab/>
        </w:r>
        <w:r w:rsidRPr="000E4A30">
          <w:rPr>
            <w:rFonts w:ascii="Arial" w:hAnsi="Arial" w:cs="Arial"/>
            <w:noProof/>
            <w:webHidden/>
            <w:sz w:val="20"/>
            <w:szCs w:val="20"/>
          </w:rPr>
          <w:fldChar w:fldCharType="begin"/>
        </w:r>
        <w:r w:rsidRPr="000E4A30">
          <w:rPr>
            <w:rFonts w:ascii="Arial" w:hAnsi="Arial" w:cs="Arial"/>
            <w:noProof/>
            <w:webHidden/>
            <w:sz w:val="20"/>
            <w:szCs w:val="20"/>
          </w:rPr>
          <w:instrText xml:space="preserve"> PAGEREF _Toc225877726 \h </w:instrText>
        </w:r>
        <w:r w:rsidRPr="000E4A30">
          <w:rPr>
            <w:rFonts w:ascii="Arial" w:hAnsi="Arial" w:cs="Arial"/>
            <w:noProof/>
            <w:webHidden/>
            <w:sz w:val="20"/>
            <w:szCs w:val="20"/>
          </w:rPr>
        </w:r>
        <w:r w:rsidRPr="000E4A30">
          <w:rPr>
            <w:rFonts w:ascii="Arial" w:hAnsi="Arial" w:cs="Arial"/>
            <w:noProof/>
            <w:webHidden/>
            <w:sz w:val="20"/>
            <w:szCs w:val="20"/>
          </w:rPr>
          <w:fldChar w:fldCharType="separate"/>
        </w:r>
        <w:r w:rsidR="002C0DFB">
          <w:rPr>
            <w:rFonts w:ascii="Arial" w:hAnsi="Arial" w:cs="Arial"/>
            <w:noProof/>
            <w:webHidden/>
            <w:sz w:val="20"/>
            <w:szCs w:val="20"/>
          </w:rPr>
          <w:t>151</w:t>
        </w:r>
        <w:r w:rsidRPr="000E4A30">
          <w:rPr>
            <w:rFonts w:ascii="Arial" w:hAnsi="Arial" w:cs="Arial"/>
            <w:noProof/>
            <w:webHidden/>
            <w:sz w:val="20"/>
            <w:szCs w:val="20"/>
          </w:rPr>
          <w:fldChar w:fldCharType="end"/>
        </w:r>
      </w:hyperlink>
    </w:p>
    <w:p w14:paraId="5966EB35" w14:textId="6B7D64A4" w:rsidR="003C1BA0" w:rsidRPr="000E4A30" w:rsidRDefault="003C1BA0">
      <w:pPr>
        <w:pStyle w:val="TOC4"/>
        <w:rPr>
          <w:rFonts w:eastAsiaTheme="minorEastAsia" w:cs="Arial"/>
          <w:noProof/>
          <w:kern w:val="2"/>
          <w14:ligatures w14:val="standardContextual"/>
        </w:rPr>
      </w:pPr>
      <w:hyperlink w:anchor="_Toc225877727" w:history="1">
        <w:r w:rsidRPr="000E4A30">
          <w:rPr>
            <w:rStyle w:val="Hyperlink"/>
            <w:rFonts w:cs="Arial"/>
            <w:noProof/>
          </w:rPr>
          <w:t>4B: Cesarean Birth</w:t>
        </w:r>
        <w:r w:rsidRPr="000E4A30">
          <w:rPr>
            <w:rFonts w:cs="Arial"/>
            <w:noProof/>
            <w:webHidden/>
          </w:rPr>
          <w:tab/>
        </w:r>
        <w:r w:rsidRPr="000E4A30">
          <w:rPr>
            <w:rFonts w:cs="Arial"/>
            <w:noProof/>
            <w:webHidden/>
          </w:rPr>
          <w:fldChar w:fldCharType="begin"/>
        </w:r>
        <w:r w:rsidRPr="000E4A30">
          <w:rPr>
            <w:rFonts w:cs="Arial"/>
            <w:noProof/>
            <w:webHidden/>
          </w:rPr>
          <w:instrText xml:space="preserve"> PAGEREF _Toc225877727 \h </w:instrText>
        </w:r>
        <w:r w:rsidRPr="000E4A30">
          <w:rPr>
            <w:rFonts w:cs="Arial"/>
            <w:noProof/>
            <w:webHidden/>
          </w:rPr>
        </w:r>
        <w:r w:rsidRPr="000E4A30">
          <w:rPr>
            <w:rFonts w:cs="Arial"/>
            <w:noProof/>
            <w:webHidden/>
          </w:rPr>
          <w:fldChar w:fldCharType="separate"/>
        </w:r>
        <w:r w:rsidR="002C0DFB">
          <w:rPr>
            <w:rFonts w:cs="Arial"/>
            <w:noProof/>
            <w:webHidden/>
          </w:rPr>
          <w:t>152</w:t>
        </w:r>
        <w:r w:rsidRPr="000E4A30">
          <w:rPr>
            <w:rFonts w:cs="Arial"/>
            <w:noProof/>
            <w:webHidden/>
          </w:rPr>
          <w:fldChar w:fldCharType="end"/>
        </w:r>
      </w:hyperlink>
    </w:p>
    <w:p w14:paraId="5C5A3C13" w14:textId="03A499F0" w:rsidR="003C1BA0" w:rsidRPr="000E4A30" w:rsidRDefault="003C1BA0">
      <w:pPr>
        <w:pStyle w:val="TOC5"/>
        <w:rPr>
          <w:rFonts w:ascii="Arial" w:hAnsi="Arial" w:cs="Arial"/>
          <w:noProof/>
          <w:kern w:val="2"/>
          <w:sz w:val="20"/>
          <w:szCs w:val="20"/>
          <w14:ligatures w14:val="standardContextual"/>
        </w:rPr>
      </w:pPr>
      <w:hyperlink w:anchor="_Toc225877728" w:history="1">
        <w:r w:rsidRPr="000E4A30">
          <w:rPr>
            <w:rStyle w:val="Hyperlink"/>
            <w:rFonts w:ascii="Arial" w:hAnsi="Arial" w:cs="Arial"/>
            <w:noProof/>
            <w:sz w:val="20"/>
            <w:szCs w:val="20"/>
          </w:rPr>
          <w:t>Cesarean Birth Stratified by Race/Ethnicity</w:t>
        </w:r>
        <w:r w:rsidRPr="000E4A30">
          <w:rPr>
            <w:rFonts w:ascii="Arial" w:hAnsi="Arial" w:cs="Arial"/>
            <w:noProof/>
            <w:webHidden/>
            <w:sz w:val="20"/>
            <w:szCs w:val="20"/>
          </w:rPr>
          <w:tab/>
        </w:r>
        <w:r w:rsidRPr="000E4A30">
          <w:rPr>
            <w:rFonts w:ascii="Arial" w:hAnsi="Arial" w:cs="Arial"/>
            <w:noProof/>
            <w:webHidden/>
            <w:sz w:val="20"/>
            <w:szCs w:val="20"/>
          </w:rPr>
          <w:fldChar w:fldCharType="begin"/>
        </w:r>
        <w:r w:rsidRPr="000E4A30">
          <w:rPr>
            <w:rFonts w:ascii="Arial" w:hAnsi="Arial" w:cs="Arial"/>
            <w:noProof/>
            <w:webHidden/>
            <w:sz w:val="20"/>
            <w:szCs w:val="20"/>
          </w:rPr>
          <w:instrText xml:space="preserve"> PAGEREF _Toc225877728 \h </w:instrText>
        </w:r>
        <w:r w:rsidRPr="000E4A30">
          <w:rPr>
            <w:rFonts w:ascii="Arial" w:hAnsi="Arial" w:cs="Arial"/>
            <w:noProof/>
            <w:webHidden/>
            <w:sz w:val="20"/>
            <w:szCs w:val="20"/>
          </w:rPr>
        </w:r>
        <w:r w:rsidRPr="000E4A30">
          <w:rPr>
            <w:rFonts w:ascii="Arial" w:hAnsi="Arial" w:cs="Arial"/>
            <w:noProof/>
            <w:webHidden/>
            <w:sz w:val="20"/>
            <w:szCs w:val="20"/>
          </w:rPr>
          <w:fldChar w:fldCharType="separate"/>
        </w:r>
        <w:r w:rsidR="002C0DFB">
          <w:rPr>
            <w:rFonts w:ascii="Arial" w:hAnsi="Arial" w:cs="Arial"/>
            <w:noProof/>
            <w:webHidden/>
            <w:sz w:val="20"/>
            <w:szCs w:val="20"/>
          </w:rPr>
          <w:t>153</w:t>
        </w:r>
        <w:r w:rsidRPr="000E4A30">
          <w:rPr>
            <w:rFonts w:ascii="Arial" w:hAnsi="Arial" w:cs="Arial"/>
            <w:noProof/>
            <w:webHidden/>
            <w:sz w:val="20"/>
            <w:szCs w:val="20"/>
          </w:rPr>
          <w:fldChar w:fldCharType="end"/>
        </w:r>
      </w:hyperlink>
    </w:p>
    <w:p w14:paraId="0CBF8D5B" w14:textId="74C67343" w:rsidR="003C1BA0" w:rsidRPr="000E4A30" w:rsidRDefault="003C1BA0">
      <w:pPr>
        <w:pStyle w:val="TOC4"/>
        <w:rPr>
          <w:rFonts w:eastAsiaTheme="minorEastAsia" w:cs="Arial"/>
          <w:noProof/>
          <w:kern w:val="2"/>
          <w14:ligatures w14:val="standardContextual"/>
        </w:rPr>
      </w:pPr>
      <w:hyperlink w:anchor="_Toc225877729" w:history="1">
        <w:r w:rsidRPr="000E4A30">
          <w:rPr>
            <w:rStyle w:val="Hyperlink"/>
            <w:rFonts w:cs="Arial"/>
            <w:noProof/>
          </w:rPr>
          <w:t>4C: Episiotomy</w:t>
        </w:r>
        <w:r w:rsidRPr="000E4A30">
          <w:rPr>
            <w:rFonts w:cs="Arial"/>
            <w:noProof/>
            <w:webHidden/>
          </w:rPr>
          <w:tab/>
        </w:r>
        <w:r w:rsidRPr="000E4A30">
          <w:rPr>
            <w:rFonts w:cs="Arial"/>
            <w:noProof/>
            <w:webHidden/>
          </w:rPr>
          <w:fldChar w:fldCharType="begin"/>
        </w:r>
        <w:r w:rsidRPr="000E4A30">
          <w:rPr>
            <w:rFonts w:cs="Arial"/>
            <w:noProof/>
            <w:webHidden/>
          </w:rPr>
          <w:instrText xml:space="preserve"> PAGEREF _Toc225877729 \h </w:instrText>
        </w:r>
        <w:r w:rsidRPr="000E4A30">
          <w:rPr>
            <w:rFonts w:cs="Arial"/>
            <w:noProof/>
            <w:webHidden/>
          </w:rPr>
        </w:r>
        <w:r w:rsidRPr="000E4A30">
          <w:rPr>
            <w:rFonts w:cs="Arial"/>
            <w:noProof/>
            <w:webHidden/>
          </w:rPr>
          <w:fldChar w:fldCharType="separate"/>
        </w:r>
        <w:r w:rsidR="002C0DFB">
          <w:rPr>
            <w:rFonts w:cs="Arial"/>
            <w:noProof/>
            <w:webHidden/>
          </w:rPr>
          <w:t>154</w:t>
        </w:r>
        <w:r w:rsidRPr="000E4A30">
          <w:rPr>
            <w:rFonts w:cs="Arial"/>
            <w:noProof/>
            <w:webHidden/>
          </w:rPr>
          <w:fldChar w:fldCharType="end"/>
        </w:r>
      </w:hyperlink>
    </w:p>
    <w:p w14:paraId="2B9E977A" w14:textId="2BDF2B9C" w:rsidR="003C1BA0" w:rsidRPr="000E4A30" w:rsidRDefault="003C1BA0">
      <w:pPr>
        <w:pStyle w:val="TOC4"/>
        <w:rPr>
          <w:rFonts w:eastAsiaTheme="minorEastAsia" w:cs="Arial"/>
          <w:noProof/>
          <w:kern w:val="2"/>
          <w14:ligatures w14:val="standardContextual"/>
        </w:rPr>
      </w:pPr>
      <w:hyperlink w:anchor="_Toc225877730" w:history="1">
        <w:r w:rsidRPr="000E4A30">
          <w:rPr>
            <w:rStyle w:val="Hyperlink"/>
            <w:rFonts w:cs="Arial"/>
            <w:noProof/>
          </w:rPr>
          <w:t>4D: Process Measures of Quality</w:t>
        </w:r>
        <w:r w:rsidRPr="000E4A30">
          <w:rPr>
            <w:rFonts w:cs="Arial"/>
            <w:noProof/>
            <w:webHidden/>
          </w:rPr>
          <w:tab/>
        </w:r>
        <w:r w:rsidRPr="000E4A30">
          <w:rPr>
            <w:rFonts w:cs="Arial"/>
            <w:noProof/>
            <w:webHidden/>
          </w:rPr>
          <w:fldChar w:fldCharType="begin"/>
        </w:r>
        <w:r w:rsidRPr="000E4A30">
          <w:rPr>
            <w:rFonts w:cs="Arial"/>
            <w:noProof/>
            <w:webHidden/>
          </w:rPr>
          <w:instrText xml:space="preserve"> PAGEREF _Toc225877730 \h </w:instrText>
        </w:r>
        <w:r w:rsidRPr="000E4A30">
          <w:rPr>
            <w:rFonts w:cs="Arial"/>
            <w:noProof/>
            <w:webHidden/>
          </w:rPr>
        </w:r>
        <w:r w:rsidRPr="000E4A30">
          <w:rPr>
            <w:rFonts w:cs="Arial"/>
            <w:noProof/>
            <w:webHidden/>
          </w:rPr>
          <w:fldChar w:fldCharType="separate"/>
        </w:r>
        <w:r w:rsidR="002C0DFB">
          <w:rPr>
            <w:rFonts w:cs="Arial"/>
            <w:noProof/>
            <w:webHidden/>
          </w:rPr>
          <w:t>155</w:t>
        </w:r>
        <w:r w:rsidRPr="000E4A30">
          <w:rPr>
            <w:rFonts w:cs="Arial"/>
            <w:noProof/>
            <w:webHidden/>
          </w:rPr>
          <w:fldChar w:fldCharType="end"/>
        </w:r>
      </w:hyperlink>
    </w:p>
    <w:p w14:paraId="7E25FEBB" w14:textId="1CC73C7D" w:rsidR="003C1BA0" w:rsidRPr="000E4A30" w:rsidRDefault="003C1BA0">
      <w:pPr>
        <w:pStyle w:val="TOC5"/>
        <w:rPr>
          <w:rFonts w:ascii="Arial" w:hAnsi="Arial" w:cs="Arial"/>
          <w:noProof/>
          <w:kern w:val="2"/>
          <w:sz w:val="20"/>
          <w:szCs w:val="20"/>
          <w14:ligatures w14:val="standardContextual"/>
        </w:rPr>
      </w:pPr>
      <w:hyperlink w:anchor="_Toc225877731" w:history="1">
        <w:r w:rsidRPr="000E4A30">
          <w:rPr>
            <w:rStyle w:val="Hyperlink"/>
            <w:rFonts w:ascii="Arial" w:hAnsi="Arial" w:cs="Arial"/>
            <w:noProof/>
            <w:sz w:val="20"/>
            <w:szCs w:val="20"/>
          </w:rPr>
          <w:t>Newborn Bilirubin Screening Prior to Discharge</w:t>
        </w:r>
        <w:r w:rsidRPr="000E4A30">
          <w:rPr>
            <w:rFonts w:ascii="Arial" w:hAnsi="Arial" w:cs="Arial"/>
            <w:noProof/>
            <w:webHidden/>
            <w:sz w:val="20"/>
            <w:szCs w:val="20"/>
          </w:rPr>
          <w:tab/>
        </w:r>
        <w:r w:rsidRPr="000E4A30">
          <w:rPr>
            <w:rFonts w:ascii="Arial" w:hAnsi="Arial" w:cs="Arial"/>
            <w:noProof/>
            <w:webHidden/>
            <w:sz w:val="20"/>
            <w:szCs w:val="20"/>
          </w:rPr>
          <w:fldChar w:fldCharType="begin"/>
        </w:r>
        <w:r w:rsidRPr="000E4A30">
          <w:rPr>
            <w:rFonts w:ascii="Arial" w:hAnsi="Arial" w:cs="Arial"/>
            <w:noProof/>
            <w:webHidden/>
            <w:sz w:val="20"/>
            <w:szCs w:val="20"/>
          </w:rPr>
          <w:instrText xml:space="preserve"> PAGEREF _Toc225877731 \h </w:instrText>
        </w:r>
        <w:r w:rsidRPr="000E4A30">
          <w:rPr>
            <w:rFonts w:ascii="Arial" w:hAnsi="Arial" w:cs="Arial"/>
            <w:noProof/>
            <w:webHidden/>
            <w:sz w:val="20"/>
            <w:szCs w:val="20"/>
          </w:rPr>
        </w:r>
        <w:r w:rsidRPr="000E4A30">
          <w:rPr>
            <w:rFonts w:ascii="Arial" w:hAnsi="Arial" w:cs="Arial"/>
            <w:noProof/>
            <w:webHidden/>
            <w:sz w:val="20"/>
            <w:szCs w:val="20"/>
          </w:rPr>
          <w:fldChar w:fldCharType="separate"/>
        </w:r>
        <w:r w:rsidR="002C0DFB">
          <w:rPr>
            <w:rFonts w:ascii="Arial" w:hAnsi="Arial" w:cs="Arial"/>
            <w:noProof/>
            <w:webHidden/>
            <w:sz w:val="20"/>
            <w:szCs w:val="20"/>
          </w:rPr>
          <w:t>155</w:t>
        </w:r>
        <w:r w:rsidRPr="000E4A30">
          <w:rPr>
            <w:rFonts w:ascii="Arial" w:hAnsi="Arial" w:cs="Arial"/>
            <w:noProof/>
            <w:webHidden/>
            <w:sz w:val="20"/>
            <w:szCs w:val="20"/>
          </w:rPr>
          <w:fldChar w:fldCharType="end"/>
        </w:r>
      </w:hyperlink>
    </w:p>
    <w:p w14:paraId="12AA3CDB" w14:textId="51EA849D" w:rsidR="003C1BA0" w:rsidRPr="000E4A30" w:rsidRDefault="003C1BA0">
      <w:pPr>
        <w:pStyle w:val="TOC5"/>
        <w:rPr>
          <w:rFonts w:ascii="Arial" w:hAnsi="Arial" w:cs="Arial"/>
          <w:noProof/>
          <w:kern w:val="2"/>
          <w:sz w:val="20"/>
          <w:szCs w:val="20"/>
          <w14:ligatures w14:val="standardContextual"/>
        </w:rPr>
      </w:pPr>
      <w:hyperlink w:anchor="_Toc225877732" w:history="1">
        <w:r w:rsidRPr="000E4A30">
          <w:rPr>
            <w:rStyle w:val="Hyperlink"/>
            <w:rFonts w:ascii="Arial" w:hAnsi="Arial" w:cs="Arial"/>
            <w:noProof/>
            <w:sz w:val="20"/>
            <w:szCs w:val="20"/>
          </w:rPr>
          <w:t>Appropriate DVT Prophylaxis in Women Undergoing Cesarean Delivery</w:t>
        </w:r>
        <w:r w:rsidRPr="000E4A30">
          <w:rPr>
            <w:rFonts w:ascii="Arial" w:hAnsi="Arial" w:cs="Arial"/>
            <w:noProof/>
            <w:webHidden/>
            <w:sz w:val="20"/>
            <w:szCs w:val="20"/>
          </w:rPr>
          <w:tab/>
        </w:r>
        <w:r w:rsidRPr="000E4A30">
          <w:rPr>
            <w:rFonts w:ascii="Arial" w:hAnsi="Arial" w:cs="Arial"/>
            <w:noProof/>
            <w:webHidden/>
            <w:sz w:val="20"/>
            <w:szCs w:val="20"/>
          </w:rPr>
          <w:fldChar w:fldCharType="begin"/>
        </w:r>
        <w:r w:rsidRPr="000E4A30">
          <w:rPr>
            <w:rFonts w:ascii="Arial" w:hAnsi="Arial" w:cs="Arial"/>
            <w:noProof/>
            <w:webHidden/>
            <w:sz w:val="20"/>
            <w:szCs w:val="20"/>
          </w:rPr>
          <w:instrText xml:space="preserve"> PAGEREF _Toc225877732 \h </w:instrText>
        </w:r>
        <w:r w:rsidRPr="000E4A30">
          <w:rPr>
            <w:rFonts w:ascii="Arial" w:hAnsi="Arial" w:cs="Arial"/>
            <w:noProof/>
            <w:webHidden/>
            <w:sz w:val="20"/>
            <w:szCs w:val="20"/>
          </w:rPr>
        </w:r>
        <w:r w:rsidRPr="000E4A30">
          <w:rPr>
            <w:rFonts w:ascii="Arial" w:hAnsi="Arial" w:cs="Arial"/>
            <w:noProof/>
            <w:webHidden/>
            <w:sz w:val="20"/>
            <w:szCs w:val="20"/>
          </w:rPr>
          <w:fldChar w:fldCharType="separate"/>
        </w:r>
        <w:r w:rsidR="002C0DFB">
          <w:rPr>
            <w:rFonts w:ascii="Arial" w:hAnsi="Arial" w:cs="Arial"/>
            <w:noProof/>
            <w:webHidden/>
            <w:sz w:val="20"/>
            <w:szCs w:val="20"/>
          </w:rPr>
          <w:t>156</w:t>
        </w:r>
        <w:r w:rsidRPr="000E4A30">
          <w:rPr>
            <w:rFonts w:ascii="Arial" w:hAnsi="Arial" w:cs="Arial"/>
            <w:noProof/>
            <w:webHidden/>
            <w:sz w:val="20"/>
            <w:szCs w:val="20"/>
          </w:rPr>
          <w:fldChar w:fldCharType="end"/>
        </w:r>
      </w:hyperlink>
    </w:p>
    <w:p w14:paraId="27ED46D9" w14:textId="3604E8E1" w:rsidR="003C1BA0" w:rsidRPr="000E4A30" w:rsidRDefault="003C1BA0">
      <w:pPr>
        <w:pStyle w:val="TOC4"/>
        <w:rPr>
          <w:rFonts w:eastAsiaTheme="minorEastAsia" w:cs="Arial"/>
          <w:noProof/>
          <w:kern w:val="2"/>
          <w14:ligatures w14:val="standardContextual"/>
        </w:rPr>
      </w:pPr>
      <w:hyperlink w:anchor="_Toc225877733" w:history="1">
        <w:r w:rsidRPr="000E4A30">
          <w:rPr>
            <w:rStyle w:val="Hyperlink"/>
            <w:rFonts w:cs="Arial"/>
            <w:noProof/>
          </w:rPr>
          <w:t>4E: High-Risk Deliveries</w:t>
        </w:r>
        <w:r w:rsidRPr="000E4A30">
          <w:rPr>
            <w:rFonts w:cs="Arial"/>
            <w:noProof/>
            <w:webHidden/>
          </w:rPr>
          <w:tab/>
        </w:r>
        <w:r w:rsidRPr="000E4A30">
          <w:rPr>
            <w:rFonts w:cs="Arial"/>
            <w:noProof/>
            <w:webHidden/>
          </w:rPr>
          <w:fldChar w:fldCharType="begin"/>
        </w:r>
        <w:r w:rsidRPr="000E4A30">
          <w:rPr>
            <w:rFonts w:cs="Arial"/>
            <w:noProof/>
            <w:webHidden/>
          </w:rPr>
          <w:instrText xml:space="preserve"> PAGEREF _Toc225877733 \h </w:instrText>
        </w:r>
        <w:r w:rsidRPr="000E4A30">
          <w:rPr>
            <w:rFonts w:cs="Arial"/>
            <w:noProof/>
            <w:webHidden/>
          </w:rPr>
        </w:r>
        <w:r w:rsidRPr="000E4A30">
          <w:rPr>
            <w:rFonts w:cs="Arial"/>
            <w:noProof/>
            <w:webHidden/>
          </w:rPr>
          <w:fldChar w:fldCharType="separate"/>
        </w:r>
        <w:r w:rsidR="002C0DFB">
          <w:rPr>
            <w:rFonts w:cs="Arial"/>
            <w:noProof/>
            <w:webHidden/>
          </w:rPr>
          <w:t>157</w:t>
        </w:r>
        <w:r w:rsidRPr="000E4A30">
          <w:rPr>
            <w:rFonts w:cs="Arial"/>
            <w:noProof/>
            <w:webHidden/>
          </w:rPr>
          <w:fldChar w:fldCharType="end"/>
        </w:r>
      </w:hyperlink>
    </w:p>
    <w:p w14:paraId="54C3A987" w14:textId="42D333C9" w:rsidR="003C1BA0" w:rsidRPr="000E4A30" w:rsidRDefault="003C1BA0">
      <w:pPr>
        <w:pStyle w:val="TOC5"/>
        <w:rPr>
          <w:rFonts w:ascii="Arial" w:hAnsi="Arial" w:cs="Arial"/>
          <w:noProof/>
          <w:kern w:val="2"/>
          <w:sz w:val="20"/>
          <w:szCs w:val="20"/>
          <w14:ligatures w14:val="standardContextual"/>
        </w:rPr>
      </w:pPr>
      <w:hyperlink w:anchor="_Toc225877734" w:history="1">
        <w:r w:rsidRPr="000E4A30">
          <w:rPr>
            <w:rStyle w:val="Hyperlink"/>
            <w:rFonts w:ascii="Arial" w:hAnsi="Arial" w:cs="Arial"/>
            <w:noProof/>
            <w:sz w:val="20"/>
            <w:szCs w:val="20"/>
          </w:rPr>
          <w:t>Neonatal Intensive Care Unit(s) – Volume</w:t>
        </w:r>
        <w:r w:rsidRPr="000E4A30">
          <w:rPr>
            <w:rFonts w:ascii="Arial" w:hAnsi="Arial" w:cs="Arial"/>
            <w:noProof/>
            <w:webHidden/>
            <w:sz w:val="20"/>
            <w:szCs w:val="20"/>
          </w:rPr>
          <w:tab/>
        </w:r>
        <w:r w:rsidRPr="000E4A30">
          <w:rPr>
            <w:rFonts w:ascii="Arial" w:hAnsi="Arial" w:cs="Arial"/>
            <w:noProof/>
            <w:webHidden/>
            <w:sz w:val="20"/>
            <w:szCs w:val="20"/>
          </w:rPr>
          <w:fldChar w:fldCharType="begin"/>
        </w:r>
        <w:r w:rsidRPr="000E4A30">
          <w:rPr>
            <w:rFonts w:ascii="Arial" w:hAnsi="Arial" w:cs="Arial"/>
            <w:noProof/>
            <w:webHidden/>
            <w:sz w:val="20"/>
            <w:szCs w:val="20"/>
          </w:rPr>
          <w:instrText xml:space="preserve"> PAGEREF _Toc225877734 \h </w:instrText>
        </w:r>
        <w:r w:rsidRPr="000E4A30">
          <w:rPr>
            <w:rFonts w:ascii="Arial" w:hAnsi="Arial" w:cs="Arial"/>
            <w:noProof/>
            <w:webHidden/>
            <w:sz w:val="20"/>
            <w:szCs w:val="20"/>
          </w:rPr>
        </w:r>
        <w:r w:rsidRPr="000E4A30">
          <w:rPr>
            <w:rFonts w:ascii="Arial" w:hAnsi="Arial" w:cs="Arial"/>
            <w:noProof/>
            <w:webHidden/>
            <w:sz w:val="20"/>
            <w:szCs w:val="20"/>
          </w:rPr>
          <w:fldChar w:fldCharType="separate"/>
        </w:r>
        <w:r w:rsidR="002C0DFB">
          <w:rPr>
            <w:rFonts w:ascii="Arial" w:hAnsi="Arial" w:cs="Arial"/>
            <w:noProof/>
            <w:webHidden/>
            <w:sz w:val="20"/>
            <w:szCs w:val="20"/>
          </w:rPr>
          <w:t>158</w:t>
        </w:r>
        <w:r w:rsidRPr="000E4A30">
          <w:rPr>
            <w:rFonts w:ascii="Arial" w:hAnsi="Arial" w:cs="Arial"/>
            <w:noProof/>
            <w:webHidden/>
            <w:sz w:val="20"/>
            <w:szCs w:val="20"/>
          </w:rPr>
          <w:fldChar w:fldCharType="end"/>
        </w:r>
      </w:hyperlink>
    </w:p>
    <w:p w14:paraId="714B90CF" w14:textId="12310779" w:rsidR="003C1BA0" w:rsidRPr="000E4A30" w:rsidRDefault="003C1BA0">
      <w:pPr>
        <w:pStyle w:val="TOC5"/>
        <w:rPr>
          <w:rFonts w:ascii="Arial" w:hAnsi="Arial" w:cs="Arial"/>
          <w:noProof/>
          <w:kern w:val="2"/>
          <w:sz w:val="20"/>
          <w:szCs w:val="20"/>
          <w14:ligatures w14:val="standardContextual"/>
        </w:rPr>
      </w:pPr>
      <w:hyperlink w:anchor="_Toc225877735" w:history="1">
        <w:r w:rsidRPr="000E4A30">
          <w:rPr>
            <w:rStyle w:val="Hyperlink"/>
            <w:rFonts w:ascii="Arial" w:hAnsi="Arial" w:cs="Arial"/>
            <w:noProof/>
            <w:sz w:val="20"/>
            <w:szCs w:val="20"/>
          </w:rPr>
          <w:t>Neonatal Intensive Care Unit(s) – National Performance Measurement</w:t>
        </w:r>
        <w:r w:rsidRPr="000E4A30">
          <w:rPr>
            <w:rFonts w:ascii="Arial" w:hAnsi="Arial" w:cs="Arial"/>
            <w:noProof/>
            <w:webHidden/>
            <w:sz w:val="20"/>
            <w:szCs w:val="20"/>
          </w:rPr>
          <w:tab/>
        </w:r>
        <w:r w:rsidRPr="000E4A30">
          <w:rPr>
            <w:rFonts w:ascii="Arial" w:hAnsi="Arial" w:cs="Arial"/>
            <w:noProof/>
            <w:webHidden/>
            <w:sz w:val="20"/>
            <w:szCs w:val="20"/>
          </w:rPr>
          <w:fldChar w:fldCharType="begin"/>
        </w:r>
        <w:r w:rsidRPr="000E4A30">
          <w:rPr>
            <w:rFonts w:ascii="Arial" w:hAnsi="Arial" w:cs="Arial"/>
            <w:noProof/>
            <w:webHidden/>
            <w:sz w:val="20"/>
            <w:szCs w:val="20"/>
          </w:rPr>
          <w:instrText xml:space="preserve"> PAGEREF _Toc225877735 \h </w:instrText>
        </w:r>
        <w:r w:rsidRPr="000E4A30">
          <w:rPr>
            <w:rFonts w:ascii="Arial" w:hAnsi="Arial" w:cs="Arial"/>
            <w:noProof/>
            <w:webHidden/>
            <w:sz w:val="20"/>
            <w:szCs w:val="20"/>
          </w:rPr>
        </w:r>
        <w:r w:rsidRPr="000E4A30">
          <w:rPr>
            <w:rFonts w:ascii="Arial" w:hAnsi="Arial" w:cs="Arial"/>
            <w:noProof/>
            <w:webHidden/>
            <w:sz w:val="20"/>
            <w:szCs w:val="20"/>
          </w:rPr>
          <w:fldChar w:fldCharType="separate"/>
        </w:r>
        <w:r w:rsidR="002C0DFB">
          <w:rPr>
            <w:rFonts w:ascii="Arial" w:hAnsi="Arial" w:cs="Arial"/>
            <w:noProof/>
            <w:webHidden/>
            <w:sz w:val="20"/>
            <w:szCs w:val="20"/>
          </w:rPr>
          <w:t>158</w:t>
        </w:r>
        <w:r w:rsidRPr="000E4A30">
          <w:rPr>
            <w:rFonts w:ascii="Arial" w:hAnsi="Arial" w:cs="Arial"/>
            <w:noProof/>
            <w:webHidden/>
            <w:sz w:val="20"/>
            <w:szCs w:val="20"/>
          </w:rPr>
          <w:fldChar w:fldCharType="end"/>
        </w:r>
      </w:hyperlink>
    </w:p>
    <w:p w14:paraId="7AFF3D32" w14:textId="23E96FB0" w:rsidR="003C1BA0" w:rsidRPr="000E4A30" w:rsidRDefault="003C1BA0">
      <w:pPr>
        <w:pStyle w:val="TOC4"/>
        <w:rPr>
          <w:rFonts w:eastAsiaTheme="minorEastAsia" w:cs="Arial"/>
          <w:noProof/>
          <w:kern w:val="2"/>
          <w14:ligatures w14:val="standardContextual"/>
        </w:rPr>
      </w:pPr>
      <w:hyperlink w:anchor="_Toc225877736" w:history="1">
        <w:r w:rsidRPr="000E4A30">
          <w:rPr>
            <w:rStyle w:val="Hyperlink"/>
            <w:rFonts w:cs="Arial"/>
            <w:noProof/>
          </w:rPr>
          <w:t>Section 4: Maternity Care Reference Information</w:t>
        </w:r>
        <w:r w:rsidRPr="000E4A30">
          <w:rPr>
            <w:rFonts w:cs="Arial"/>
            <w:noProof/>
            <w:webHidden/>
          </w:rPr>
          <w:tab/>
        </w:r>
        <w:r w:rsidRPr="000E4A30">
          <w:rPr>
            <w:rFonts w:cs="Arial"/>
            <w:noProof/>
            <w:webHidden/>
          </w:rPr>
          <w:fldChar w:fldCharType="begin"/>
        </w:r>
        <w:r w:rsidRPr="000E4A30">
          <w:rPr>
            <w:rFonts w:cs="Arial"/>
            <w:noProof/>
            <w:webHidden/>
          </w:rPr>
          <w:instrText xml:space="preserve"> PAGEREF _Toc225877736 \h </w:instrText>
        </w:r>
        <w:r w:rsidRPr="000E4A30">
          <w:rPr>
            <w:rFonts w:cs="Arial"/>
            <w:noProof/>
            <w:webHidden/>
          </w:rPr>
        </w:r>
        <w:r w:rsidRPr="000E4A30">
          <w:rPr>
            <w:rFonts w:cs="Arial"/>
            <w:noProof/>
            <w:webHidden/>
          </w:rPr>
          <w:fldChar w:fldCharType="separate"/>
        </w:r>
        <w:r w:rsidR="002C0DFB">
          <w:rPr>
            <w:rFonts w:cs="Arial"/>
            <w:noProof/>
            <w:webHidden/>
          </w:rPr>
          <w:t>161</w:t>
        </w:r>
        <w:r w:rsidRPr="000E4A30">
          <w:rPr>
            <w:rFonts w:cs="Arial"/>
            <w:noProof/>
            <w:webHidden/>
          </w:rPr>
          <w:fldChar w:fldCharType="end"/>
        </w:r>
      </w:hyperlink>
    </w:p>
    <w:p w14:paraId="2CDBABDD" w14:textId="07BC13D2" w:rsidR="003C1BA0" w:rsidRPr="000E4A30" w:rsidRDefault="003C1BA0">
      <w:pPr>
        <w:pStyle w:val="TOC5"/>
        <w:rPr>
          <w:rFonts w:ascii="Arial" w:hAnsi="Arial" w:cs="Arial"/>
          <w:noProof/>
          <w:kern w:val="2"/>
          <w:sz w:val="20"/>
          <w:szCs w:val="20"/>
          <w14:ligatures w14:val="standardContextual"/>
        </w:rPr>
      </w:pPr>
      <w:hyperlink w:anchor="_Toc225877737" w:history="1">
        <w:r w:rsidRPr="000E4A30">
          <w:rPr>
            <w:rStyle w:val="Hyperlink"/>
            <w:rFonts w:ascii="Arial" w:hAnsi="Arial" w:cs="Arial"/>
            <w:noProof/>
            <w:sz w:val="20"/>
            <w:szCs w:val="20"/>
          </w:rPr>
          <w:t>What’s New in the 2026 Survey</w:t>
        </w:r>
        <w:r w:rsidRPr="000E4A30">
          <w:rPr>
            <w:rFonts w:ascii="Arial" w:hAnsi="Arial" w:cs="Arial"/>
            <w:noProof/>
            <w:webHidden/>
            <w:sz w:val="20"/>
            <w:szCs w:val="20"/>
          </w:rPr>
          <w:tab/>
        </w:r>
        <w:r w:rsidRPr="000E4A30">
          <w:rPr>
            <w:rFonts w:ascii="Arial" w:hAnsi="Arial" w:cs="Arial"/>
            <w:noProof/>
            <w:webHidden/>
            <w:sz w:val="20"/>
            <w:szCs w:val="20"/>
          </w:rPr>
          <w:fldChar w:fldCharType="begin"/>
        </w:r>
        <w:r w:rsidRPr="000E4A30">
          <w:rPr>
            <w:rFonts w:ascii="Arial" w:hAnsi="Arial" w:cs="Arial"/>
            <w:noProof/>
            <w:webHidden/>
            <w:sz w:val="20"/>
            <w:szCs w:val="20"/>
          </w:rPr>
          <w:instrText xml:space="preserve"> PAGEREF _Toc225877737 \h </w:instrText>
        </w:r>
        <w:r w:rsidRPr="000E4A30">
          <w:rPr>
            <w:rFonts w:ascii="Arial" w:hAnsi="Arial" w:cs="Arial"/>
            <w:noProof/>
            <w:webHidden/>
            <w:sz w:val="20"/>
            <w:szCs w:val="20"/>
          </w:rPr>
        </w:r>
        <w:r w:rsidRPr="000E4A30">
          <w:rPr>
            <w:rFonts w:ascii="Arial" w:hAnsi="Arial" w:cs="Arial"/>
            <w:noProof/>
            <w:webHidden/>
            <w:sz w:val="20"/>
            <w:szCs w:val="20"/>
          </w:rPr>
          <w:fldChar w:fldCharType="separate"/>
        </w:r>
        <w:r w:rsidR="002C0DFB">
          <w:rPr>
            <w:rFonts w:ascii="Arial" w:hAnsi="Arial" w:cs="Arial"/>
            <w:noProof/>
            <w:webHidden/>
            <w:sz w:val="20"/>
            <w:szCs w:val="20"/>
          </w:rPr>
          <w:t>161</w:t>
        </w:r>
        <w:r w:rsidRPr="000E4A30">
          <w:rPr>
            <w:rFonts w:ascii="Arial" w:hAnsi="Arial" w:cs="Arial"/>
            <w:noProof/>
            <w:webHidden/>
            <w:sz w:val="20"/>
            <w:szCs w:val="20"/>
          </w:rPr>
          <w:fldChar w:fldCharType="end"/>
        </w:r>
      </w:hyperlink>
    </w:p>
    <w:p w14:paraId="025D0B24" w14:textId="02B908E1" w:rsidR="003C1BA0" w:rsidRPr="000E4A30" w:rsidRDefault="003C1BA0">
      <w:pPr>
        <w:pStyle w:val="TOC5"/>
        <w:rPr>
          <w:rFonts w:ascii="Arial" w:hAnsi="Arial" w:cs="Arial"/>
          <w:noProof/>
          <w:kern w:val="2"/>
          <w:sz w:val="20"/>
          <w:szCs w:val="20"/>
          <w14:ligatures w14:val="standardContextual"/>
        </w:rPr>
      </w:pPr>
      <w:hyperlink w:anchor="_Toc225877738" w:history="1">
        <w:r w:rsidRPr="000E4A30">
          <w:rPr>
            <w:rStyle w:val="Hyperlink"/>
            <w:rFonts w:ascii="Arial" w:hAnsi="Arial" w:cs="Arial"/>
            <w:noProof/>
            <w:sz w:val="20"/>
            <w:szCs w:val="20"/>
          </w:rPr>
          <w:t>Change Summary Since Release</w:t>
        </w:r>
        <w:r w:rsidRPr="000E4A30">
          <w:rPr>
            <w:rFonts w:ascii="Arial" w:hAnsi="Arial" w:cs="Arial"/>
            <w:noProof/>
            <w:webHidden/>
            <w:sz w:val="20"/>
            <w:szCs w:val="20"/>
          </w:rPr>
          <w:tab/>
        </w:r>
        <w:r w:rsidRPr="000E4A30">
          <w:rPr>
            <w:rFonts w:ascii="Arial" w:hAnsi="Arial" w:cs="Arial"/>
            <w:noProof/>
            <w:webHidden/>
            <w:sz w:val="20"/>
            <w:szCs w:val="20"/>
          </w:rPr>
          <w:fldChar w:fldCharType="begin"/>
        </w:r>
        <w:r w:rsidRPr="000E4A30">
          <w:rPr>
            <w:rFonts w:ascii="Arial" w:hAnsi="Arial" w:cs="Arial"/>
            <w:noProof/>
            <w:webHidden/>
            <w:sz w:val="20"/>
            <w:szCs w:val="20"/>
          </w:rPr>
          <w:instrText xml:space="preserve"> PAGEREF _Toc225877738 \h </w:instrText>
        </w:r>
        <w:r w:rsidRPr="000E4A30">
          <w:rPr>
            <w:rFonts w:ascii="Arial" w:hAnsi="Arial" w:cs="Arial"/>
            <w:noProof/>
            <w:webHidden/>
            <w:sz w:val="20"/>
            <w:szCs w:val="20"/>
          </w:rPr>
        </w:r>
        <w:r w:rsidRPr="000E4A30">
          <w:rPr>
            <w:rFonts w:ascii="Arial" w:hAnsi="Arial" w:cs="Arial"/>
            <w:noProof/>
            <w:webHidden/>
            <w:sz w:val="20"/>
            <w:szCs w:val="20"/>
          </w:rPr>
          <w:fldChar w:fldCharType="separate"/>
        </w:r>
        <w:r w:rsidR="002C0DFB">
          <w:rPr>
            <w:rFonts w:ascii="Arial" w:hAnsi="Arial" w:cs="Arial"/>
            <w:noProof/>
            <w:webHidden/>
            <w:sz w:val="20"/>
            <w:szCs w:val="20"/>
          </w:rPr>
          <w:t>163</w:t>
        </w:r>
        <w:r w:rsidRPr="000E4A30">
          <w:rPr>
            <w:rFonts w:ascii="Arial" w:hAnsi="Arial" w:cs="Arial"/>
            <w:noProof/>
            <w:webHidden/>
            <w:sz w:val="20"/>
            <w:szCs w:val="20"/>
          </w:rPr>
          <w:fldChar w:fldCharType="end"/>
        </w:r>
      </w:hyperlink>
    </w:p>
    <w:p w14:paraId="46810CFD" w14:textId="4427BBCA" w:rsidR="003C1BA0" w:rsidRPr="000E4A30" w:rsidRDefault="003C1BA0">
      <w:pPr>
        <w:pStyle w:val="TOC4"/>
        <w:rPr>
          <w:rFonts w:eastAsiaTheme="minorEastAsia" w:cs="Arial"/>
          <w:noProof/>
          <w:kern w:val="2"/>
          <w14:ligatures w14:val="standardContextual"/>
        </w:rPr>
      </w:pPr>
      <w:hyperlink w:anchor="_Toc225877739" w:history="1">
        <w:r w:rsidRPr="000E4A30">
          <w:rPr>
            <w:rStyle w:val="Hyperlink"/>
            <w:rFonts w:cs="Arial"/>
            <w:noProof/>
          </w:rPr>
          <w:t>Section 4: Maternity Care Measure Specifications</w:t>
        </w:r>
        <w:r w:rsidRPr="000E4A30">
          <w:rPr>
            <w:rFonts w:cs="Arial"/>
            <w:noProof/>
            <w:webHidden/>
          </w:rPr>
          <w:tab/>
        </w:r>
        <w:r w:rsidRPr="000E4A30">
          <w:rPr>
            <w:rFonts w:cs="Arial"/>
            <w:noProof/>
            <w:webHidden/>
          </w:rPr>
          <w:fldChar w:fldCharType="begin"/>
        </w:r>
        <w:r w:rsidRPr="000E4A30">
          <w:rPr>
            <w:rFonts w:cs="Arial"/>
            <w:noProof/>
            <w:webHidden/>
          </w:rPr>
          <w:instrText xml:space="preserve"> PAGEREF _Toc225877739 \h </w:instrText>
        </w:r>
        <w:r w:rsidRPr="000E4A30">
          <w:rPr>
            <w:rFonts w:cs="Arial"/>
            <w:noProof/>
            <w:webHidden/>
          </w:rPr>
        </w:r>
        <w:r w:rsidRPr="000E4A30">
          <w:rPr>
            <w:rFonts w:cs="Arial"/>
            <w:noProof/>
            <w:webHidden/>
          </w:rPr>
          <w:fldChar w:fldCharType="separate"/>
        </w:r>
        <w:r w:rsidR="002C0DFB">
          <w:rPr>
            <w:rFonts w:cs="Arial"/>
            <w:noProof/>
            <w:webHidden/>
          </w:rPr>
          <w:t>164</w:t>
        </w:r>
        <w:r w:rsidRPr="000E4A30">
          <w:rPr>
            <w:rFonts w:cs="Arial"/>
            <w:noProof/>
            <w:webHidden/>
          </w:rPr>
          <w:fldChar w:fldCharType="end"/>
        </w:r>
      </w:hyperlink>
    </w:p>
    <w:p w14:paraId="5FDC267E" w14:textId="20DBE633" w:rsidR="003C1BA0" w:rsidRPr="000E4A30" w:rsidRDefault="003C1BA0">
      <w:pPr>
        <w:pStyle w:val="TOC5"/>
        <w:rPr>
          <w:rFonts w:ascii="Arial" w:hAnsi="Arial" w:cs="Arial"/>
          <w:noProof/>
          <w:kern w:val="2"/>
          <w:sz w:val="20"/>
          <w:szCs w:val="20"/>
          <w14:ligatures w14:val="standardContextual"/>
        </w:rPr>
      </w:pPr>
      <w:hyperlink w:anchor="_Toc225877740" w:history="1">
        <w:r w:rsidRPr="000E4A30">
          <w:rPr>
            <w:rStyle w:val="Hyperlink"/>
            <w:rFonts w:ascii="Arial" w:hAnsi="Arial" w:cs="Arial"/>
            <w:noProof/>
            <w:sz w:val="20"/>
            <w:szCs w:val="20"/>
          </w:rPr>
          <w:t>Maternity Care Volume Measure Specifications</w:t>
        </w:r>
        <w:r w:rsidRPr="000E4A30">
          <w:rPr>
            <w:rFonts w:ascii="Arial" w:hAnsi="Arial" w:cs="Arial"/>
            <w:noProof/>
            <w:webHidden/>
            <w:sz w:val="20"/>
            <w:szCs w:val="20"/>
          </w:rPr>
          <w:tab/>
        </w:r>
        <w:r w:rsidRPr="000E4A30">
          <w:rPr>
            <w:rFonts w:ascii="Arial" w:hAnsi="Arial" w:cs="Arial"/>
            <w:noProof/>
            <w:webHidden/>
            <w:sz w:val="20"/>
            <w:szCs w:val="20"/>
          </w:rPr>
          <w:fldChar w:fldCharType="begin"/>
        </w:r>
        <w:r w:rsidRPr="000E4A30">
          <w:rPr>
            <w:rFonts w:ascii="Arial" w:hAnsi="Arial" w:cs="Arial"/>
            <w:noProof/>
            <w:webHidden/>
            <w:sz w:val="20"/>
            <w:szCs w:val="20"/>
          </w:rPr>
          <w:instrText xml:space="preserve"> PAGEREF _Toc225877740 \h </w:instrText>
        </w:r>
        <w:r w:rsidRPr="000E4A30">
          <w:rPr>
            <w:rFonts w:ascii="Arial" w:hAnsi="Arial" w:cs="Arial"/>
            <w:noProof/>
            <w:webHidden/>
            <w:sz w:val="20"/>
            <w:szCs w:val="20"/>
          </w:rPr>
        </w:r>
        <w:r w:rsidRPr="000E4A30">
          <w:rPr>
            <w:rFonts w:ascii="Arial" w:hAnsi="Arial" w:cs="Arial"/>
            <w:noProof/>
            <w:webHidden/>
            <w:sz w:val="20"/>
            <w:szCs w:val="20"/>
          </w:rPr>
          <w:fldChar w:fldCharType="separate"/>
        </w:r>
        <w:r w:rsidR="002C0DFB">
          <w:rPr>
            <w:rFonts w:ascii="Arial" w:hAnsi="Arial" w:cs="Arial"/>
            <w:noProof/>
            <w:webHidden/>
            <w:sz w:val="20"/>
            <w:szCs w:val="20"/>
          </w:rPr>
          <w:t>164</w:t>
        </w:r>
        <w:r w:rsidRPr="000E4A30">
          <w:rPr>
            <w:rFonts w:ascii="Arial" w:hAnsi="Arial" w:cs="Arial"/>
            <w:noProof/>
            <w:webHidden/>
            <w:sz w:val="20"/>
            <w:szCs w:val="20"/>
          </w:rPr>
          <w:fldChar w:fldCharType="end"/>
        </w:r>
      </w:hyperlink>
    </w:p>
    <w:p w14:paraId="1BBDA5CA" w14:textId="1584FC00" w:rsidR="003C1BA0" w:rsidRPr="000E4A30" w:rsidRDefault="003C1BA0">
      <w:pPr>
        <w:pStyle w:val="TOC5"/>
        <w:rPr>
          <w:rFonts w:ascii="Arial" w:hAnsi="Arial" w:cs="Arial"/>
          <w:noProof/>
          <w:kern w:val="2"/>
          <w:sz w:val="20"/>
          <w:szCs w:val="20"/>
          <w14:ligatures w14:val="standardContextual"/>
        </w:rPr>
      </w:pPr>
      <w:hyperlink w:anchor="_Toc225877741" w:history="1">
        <w:r w:rsidRPr="000E4A30">
          <w:rPr>
            <w:rStyle w:val="Hyperlink"/>
            <w:rFonts w:ascii="Arial" w:hAnsi="Arial" w:cs="Arial"/>
            <w:noProof/>
            <w:sz w:val="20"/>
            <w:szCs w:val="20"/>
          </w:rPr>
          <w:t>Cesarean Birth Measure Specifications</w:t>
        </w:r>
        <w:r w:rsidRPr="000E4A30">
          <w:rPr>
            <w:rFonts w:ascii="Arial" w:hAnsi="Arial" w:cs="Arial"/>
            <w:noProof/>
            <w:webHidden/>
            <w:sz w:val="20"/>
            <w:szCs w:val="20"/>
          </w:rPr>
          <w:tab/>
        </w:r>
        <w:r w:rsidRPr="000E4A30">
          <w:rPr>
            <w:rFonts w:ascii="Arial" w:hAnsi="Arial" w:cs="Arial"/>
            <w:noProof/>
            <w:webHidden/>
            <w:sz w:val="20"/>
            <w:szCs w:val="20"/>
          </w:rPr>
          <w:fldChar w:fldCharType="begin"/>
        </w:r>
        <w:r w:rsidRPr="000E4A30">
          <w:rPr>
            <w:rFonts w:ascii="Arial" w:hAnsi="Arial" w:cs="Arial"/>
            <w:noProof/>
            <w:webHidden/>
            <w:sz w:val="20"/>
            <w:szCs w:val="20"/>
          </w:rPr>
          <w:instrText xml:space="preserve"> PAGEREF _Toc225877741 \h </w:instrText>
        </w:r>
        <w:r w:rsidRPr="000E4A30">
          <w:rPr>
            <w:rFonts w:ascii="Arial" w:hAnsi="Arial" w:cs="Arial"/>
            <w:noProof/>
            <w:webHidden/>
            <w:sz w:val="20"/>
            <w:szCs w:val="20"/>
          </w:rPr>
        </w:r>
        <w:r w:rsidRPr="000E4A30">
          <w:rPr>
            <w:rFonts w:ascii="Arial" w:hAnsi="Arial" w:cs="Arial"/>
            <w:noProof/>
            <w:webHidden/>
            <w:sz w:val="20"/>
            <w:szCs w:val="20"/>
          </w:rPr>
          <w:fldChar w:fldCharType="separate"/>
        </w:r>
        <w:r w:rsidR="002C0DFB">
          <w:rPr>
            <w:rFonts w:ascii="Arial" w:hAnsi="Arial" w:cs="Arial"/>
            <w:noProof/>
            <w:webHidden/>
            <w:sz w:val="20"/>
            <w:szCs w:val="20"/>
          </w:rPr>
          <w:t>165</w:t>
        </w:r>
        <w:r w:rsidRPr="000E4A30">
          <w:rPr>
            <w:rFonts w:ascii="Arial" w:hAnsi="Arial" w:cs="Arial"/>
            <w:noProof/>
            <w:webHidden/>
            <w:sz w:val="20"/>
            <w:szCs w:val="20"/>
          </w:rPr>
          <w:fldChar w:fldCharType="end"/>
        </w:r>
      </w:hyperlink>
    </w:p>
    <w:p w14:paraId="558DED14" w14:textId="756B8790" w:rsidR="003C1BA0" w:rsidRPr="000E4A30" w:rsidRDefault="003C1BA0">
      <w:pPr>
        <w:pStyle w:val="TOC5"/>
        <w:rPr>
          <w:rFonts w:ascii="Arial" w:hAnsi="Arial" w:cs="Arial"/>
          <w:noProof/>
          <w:kern w:val="2"/>
          <w:sz w:val="20"/>
          <w:szCs w:val="20"/>
          <w14:ligatures w14:val="standardContextual"/>
        </w:rPr>
      </w:pPr>
      <w:hyperlink w:anchor="_Toc225877742" w:history="1">
        <w:r w:rsidRPr="000E4A30">
          <w:rPr>
            <w:rStyle w:val="Hyperlink"/>
            <w:rFonts w:ascii="Arial" w:hAnsi="Arial" w:cs="Arial"/>
            <w:noProof/>
            <w:sz w:val="20"/>
            <w:szCs w:val="20"/>
          </w:rPr>
          <w:t>Episiotomy Measure Specifications</w:t>
        </w:r>
        <w:r w:rsidRPr="000E4A30">
          <w:rPr>
            <w:rFonts w:ascii="Arial" w:hAnsi="Arial" w:cs="Arial"/>
            <w:noProof/>
            <w:webHidden/>
            <w:sz w:val="20"/>
            <w:szCs w:val="20"/>
          </w:rPr>
          <w:tab/>
        </w:r>
        <w:r w:rsidRPr="000E4A30">
          <w:rPr>
            <w:rFonts w:ascii="Arial" w:hAnsi="Arial" w:cs="Arial"/>
            <w:noProof/>
            <w:webHidden/>
            <w:sz w:val="20"/>
            <w:szCs w:val="20"/>
          </w:rPr>
          <w:fldChar w:fldCharType="begin"/>
        </w:r>
        <w:r w:rsidRPr="000E4A30">
          <w:rPr>
            <w:rFonts w:ascii="Arial" w:hAnsi="Arial" w:cs="Arial"/>
            <w:noProof/>
            <w:webHidden/>
            <w:sz w:val="20"/>
            <w:szCs w:val="20"/>
          </w:rPr>
          <w:instrText xml:space="preserve"> PAGEREF _Toc225877742 \h </w:instrText>
        </w:r>
        <w:r w:rsidRPr="000E4A30">
          <w:rPr>
            <w:rFonts w:ascii="Arial" w:hAnsi="Arial" w:cs="Arial"/>
            <w:noProof/>
            <w:webHidden/>
            <w:sz w:val="20"/>
            <w:szCs w:val="20"/>
          </w:rPr>
        </w:r>
        <w:r w:rsidRPr="000E4A30">
          <w:rPr>
            <w:rFonts w:ascii="Arial" w:hAnsi="Arial" w:cs="Arial"/>
            <w:noProof/>
            <w:webHidden/>
            <w:sz w:val="20"/>
            <w:szCs w:val="20"/>
          </w:rPr>
          <w:fldChar w:fldCharType="separate"/>
        </w:r>
        <w:r w:rsidR="002C0DFB">
          <w:rPr>
            <w:rFonts w:ascii="Arial" w:hAnsi="Arial" w:cs="Arial"/>
            <w:noProof/>
            <w:webHidden/>
            <w:sz w:val="20"/>
            <w:szCs w:val="20"/>
          </w:rPr>
          <w:t>169</w:t>
        </w:r>
        <w:r w:rsidRPr="000E4A30">
          <w:rPr>
            <w:rFonts w:ascii="Arial" w:hAnsi="Arial" w:cs="Arial"/>
            <w:noProof/>
            <w:webHidden/>
            <w:sz w:val="20"/>
            <w:szCs w:val="20"/>
          </w:rPr>
          <w:fldChar w:fldCharType="end"/>
        </w:r>
      </w:hyperlink>
    </w:p>
    <w:p w14:paraId="40CD0908" w14:textId="2C743A53" w:rsidR="003C1BA0" w:rsidRPr="000E4A30" w:rsidRDefault="003C1BA0">
      <w:pPr>
        <w:pStyle w:val="TOC5"/>
        <w:rPr>
          <w:rFonts w:ascii="Arial" w:hAnsi="Arial" w:cs="Arial"/>
          <w:noProof/>
          <w:kern w:val="2"/>
          <w:sz w:val="20"/>
          <w:szCs w:val="20"/>
          <w14:ligatures w14:val="standardContextual"/>
        </w:rPr>
      </w:pPr>
      <w:hyperlink w:anchor="_Toc225877743" w:history="1">
        <w:r w:rsidRPr="000E4A30">
          <w:rPr>
            <w:rStyle w:val="Hyperlink"/>
            <w:rFonts w:ascii="Arial" w:hAnsi="Arial" w:cs="Arial"/>
            <w:noProof/>
            <w:sz w:val="20"/>
            <w:szCs w:val="20"/>
          </w:rPr>
          <w:t>Process Measures of Quality Measure Specifications</w:t>
        </w:r>
        <w:r w:rsidRPr="000E4A30">
          <w:rPr>
            <w:rFonts w:ascii="Arial" w:hAnsi="Arial" w:cs="Arial"/>
            <w:noProof/>
            <w:webHidden/>
            <w:sz w:val="20"/>
            <w:szCs w:val="20"/>
          </w:rPr>
          <w:tab/>
        </w:r>
        <w:r w:rsidRPr="000E4A30">
          <w:rPr>
            <w:rFonts w:ascii="Arial" w:hAnsi="Arial" w:cs="Arial"/>
            <w:noProof/>
            <w:webHidden/>
            <w:sz w:val="20"/>
            <w:szCs w:val="20"/>
          </w:rPr>
          <w:fldChar w:fldCharType="begin"/>
        </w:r>
        <w:r w:rsidRPr="000E4A30">
          <w:rPr>
            <w:rFonts w:ascii="Arial" w:hAnsi="Arial" w:cs="Arial"/>
            <w:noProof/>
            <w:webHidden/>
            <w:sz w:val="20"/>
            <w:szCs w:val="20"/>
          </w:rPr>
          <w:instrText xml:space="preserve"> PAGEREF _Toc225877743 \h </w:instrText>
        </w:r>
        <w:r w:rsidRPr="000E4A30">
          <w:rPr>
            <w:rFonts w:ascii="Arial" w:hAnsi="Arial" w:cs="Arial"/>
            <w:noProof/>
            <w:webHidden/>
            <w:sz w:val="20"/>
            <w:szCs w:val="20"/>
          </w:rPr>
        </w:r>
        <w:r w:rsidRPr="000E4A30">
          <w:rPr>
            <w:rFonts w:ascii="Arial" w:hAnsi="Arial" w:cs="Arial"/>
            <w:noProof/>
            <w:webHidden/>
            <w:sz w:val="20"/>
            <w:szCs w:val="20"/>
          </w:rPr>
          <w:fldChar w:fldCharType="separate"/>
        </w:r>
        <w:r w:rsidR="002C0DFB">
          <w:rPr>
            <w:rFonts w:ascii="Arial" w:hAnsi="Arial" w:cs="Arial"/>
            <w:noProof/>
            <w:webHidden/>
            <w:sz w:val="20"/>
            <w:szCs w:val="20"/>
          </w:rPr>
          <w:t>170</w:t>
        </w:r>
        <w:r w:rsidRPr="000E4A30">
          <w:rPr>
            <w:rFonts w:ascii="Arial" w:hAnsi="Arial" w:cs="Arial"/>
            <w:noProof/>
            <w:webHidden/>
            <w:sz w:val="20"/>
            <w:szCs w:val="20"/>
          </w:rPr>
          <w:fldChar w:fldCharType="end"/>
        </w:r>
      </w:hyperlink>
    </w:p>
    <w:p w14:paraId="14E05FE9" w14:textId="4D80CE8C" w:rsidR="003C1BA0" w:rsidRPr="000E4A30" w:rsidRDefault="003C1BA0">
      <w:pPr>
        <w:pStyle w:val="TOC5"/>
        <w:rPr>
          <w:rFonts w:ascii="Arial" w:hAnsi="Arial" w:cs="Arial"/>
          <w:noProof/>
          <w:kern w:val="2"/>
          <w:sz w:val="20"/>
          <w:szCs w:val="20"/>
          <w14:ligatures w14:val="standardContextual"/>
        </w:rPr>
      </w:pPr>
      <w:hyperlink w:anchor="_Toc225877744" w:history="1">
        <w:r w:rsidRPr="000E4A30">
          <w:rPr>
            <w:rStyle w:val="Hyperlink"/>
            <w:rFonts w:ascii="Arial" w:hAnsi="Arial" w:cs="Arial"/>
            <w:noProof/>
            <w:sz w:val="20"/>
            <w:szCs w:val="20"/>
          </w:rPr>
          <w:t>High-Risk Deliveries Measure Specifications</w:t>
        </w:r>
        <w:r w:rsidRPr="000E4A30">
          <w:rPr>
            <w:rFonts w:ascii="Arial" w:hAnsi="Arial" w:cs="Arial"/>
            <w:noProof/>
            <w:webHidden/>
            <w:sz w:val="20"/>
            <w:szCs w:val="20"/>
          </w:rPr>
          <w:tab/>
        </w:r>
        <w:r w:rsidRPr="000E4A30">
          <w:rPr>
            <w:rFonts w:ascii="Arial" w:hAnsi="Arial" w:cs="Arial"/>
            <w:noProof/>
            <w:webHidden/>
            <w:sz w:val="20"/>
            <w:szCs w:val="20"/>
          </w:rPr>
          <w:fldChar w:fldCharType="begin"/>
        </w:r>
        <w:r w:rsidRPr="000E4A30">
          <w:rPr>
            <w:rFonts w:ascii="Arial" w:hAnsi="Arial" w:cs="Arial"/>
            <w:noProof/>
            <w:webHidden/>
            <w:sz w:val="20"/>
            <w:szCs w:val="20"/>
          </w:rPr>
          <w:instrText xml:space="preserve"> PAGEREF _Toc225877744 \h </w:instrText>
        </w:r>
        <w:r w:rsidRPr="000E4A30">
          <w:rPr>
            <w:rFonts w:ascii="Arial" w:hAnsi="Arial" w:cs="Arial"/>
            <w:noProof/>
            <w:webHidden/>
            <w:sz w:val="20"/>
            <w:szCs w:val="20"/>
          </w:rPr>
        </w:r>
        <w:r w:rsidRPr="000E4A30">
          <w:rPr>
            <w:rFonts w:ascii="Arial" w:hAnsi="Arial" w:cs="Arial"/>
            <w:noProof/>
            <w:webHidden/>
            <w:sz w:val="20"/>
            <w:szCs w:val="20"/>
          </w:rPr>
          <w:fldChar w:fldCharType="separate"/>
        </w:r>
        <w:r w:rsidR="002C0DFB">
          <w:rPr>
            <w:rFonts w:ascii="Arial" w:hAnsi="Arial" w:cs="Arial"/>
            <w:noProof/>
            <w:webHidden/>
            <w:sz w:val="20"/>
            <w:szCs w:val="20"/>
          </w:rPr>
          <w:t>172</w:t>
        </w:r>
        <w:r w:rsidRPr="000E4A30">
          <w:rPr>
            <w:rFonts w:ascii="Arial" w:hAnsi="Arial" w:cs="Arial"/>
            <w:noProof/>
            <w:webHidden/>
            <w:sz w:val="20"/>
            <w:szCs w:val="20"/>
          </w:rPr>
          <w:fldChar w:fldCharType="end"/>
        </w:r>
      </w:hyperlink>
    </w:p>
    <w:p w14:paraId="7ECC259D" w14:textId="06ED049A" w:rsidR="003C1BA0" w:rsidRPr="000E4A30" w:rsidRDefault="003C1BA0">
      <w:pPr>
        <w:pStyle w:val="TOC4"/>
        <w:rPr>
          <w:rFonts w:eastAsiaTheme="minorEastAsia" w:cs="Arial"/>
          <w:noProof/>
          <w:kern w:val="2"/>
          <w14:ligatures w14:val="standardContextual"/>
        </w:rPr>
      </w:pPr>
      <w:hyperlink w:anchor="_Toc225877745" w:history="1">
        <w:r w:rsidRPr="000E4A30">
          <w:rPr>
            <w:rStyle w:val="Hyperlink"/>
            <w:rFonts w:cs="Arial"/>
            <w:noProof/>
          </w:rPr>
          <w:t>Section 4: Maternity Care Frequently Asked Questions (FAQs)</w:t>
        </w:r>
        <w:r w:rsidRPr="000E4A30">
          <w:rPr>
            <w:rFonts w:cs="Arial"/>
            <w:noProof/>
            <w:webHidden/>
          </w:rPr>
          <w:tab/>
        </w:r>
        <w:r w:rsidRPr="000E4A30">
          <w:rPr>
            <w:rFonts w:cs="Arial"/>
            <w:noProof/>
            <w:webHidden/>
          </w:rPr>
          <w:fldChar w:fldCharType="begin"/>
        </w:r>
        <w:r w:rsidRPr="000E4A30">
          <w:rPr>
            <w:rFonts w:cs="Arial"/>
            <w:noProof/>
            <w:webHidden/>
          </w:rPr>
          <w:instrText xml:space="preserve"> PAGEREF _Toc225877745 \h </w:instrText>
        </w:r>
        <w:r w:rsidRPr="000E4A30">
          <w:rPr>
            <w:rFonts w:cs="Arial"/>
            <w:noProof/>
            <w:webHidden/>
          </w:rPr>
        </w:r>
        <w:r w:rsidRPr="000E4A30">
          <w:rPr>
            <w:rFonts w:cs="Arial"/>
            <w:noProof/>
            <w:webHidden/>
          </w:rPr>
          <w:fldChar w:fldCharType="separate"/>
        </w:r>
        <w:r w:rsidR="002C0DFB">
          <w:rPr>
            <w:rFonts w:cs="Arial"/>
            <w:noProof/>
            <w:webHidden/>
          </w:rPr>
          <w:t>175</w:t>
        </w:r>
        <w:r w:rsidRPr="000E4A30">
          <w:rPr>
            <w:rFonts w:cs="Arial"/>
            <w:noProof/>
            <w:webHidden/>
          </w:rPr>
          <w:fldChar w:fldCharType="end"/>
        </w:r>
      </w:hyperlink>
    </w:p>
    <w:p w14:paraId="78CBEC2C" w14:textId="4BA5D4EE" w:rsidR="003C1BA0" w:rsidRPr="000E4A30" w:rsidRDefault="003C1BA0">
      <w:pPr>
        <w:pStyle w:val="TOC1"/>
        <w:rPr>
          <w:rFonts w:eastAsiaTheme="minorEastAsia" w:cs="Arial"/>
          <w:noProof/>
          <w:kern w:val="2"/>
          <w14:ligatures w14:val="standardContextual"/>
        </w:rPr>
      </w:pPr>
      <w:hyperlink w:anchor="_Toc225877746" w:history="1">
        <w:r w:rsidRPr="000E4A30">
          <w:rPr>
            <w:rStyle w:val="Hyperlink"/>
            <w:rFonts w:cs="Arial"/>
            <w:noProof/>
          </w:rPr>
          <w:t>Page Intentionally Left Blank</w:t>
        </w:r>
        <w:r w:rsidRPr="000E4A30">
          <w:rPr>
            <w:rFonts w:cs="Arial"/>
            <w:noProof/>
            <w:webHidden/>
          </w:rPr>
          <w:tab/>
        </w:r>
        <w:r w:rsidRPr="000E4A30">
          <w:rPr>
            <w:rFonts w:cs="Arial"/>
            <w:noProof/>
            <w:webHidden/>
          </w:rPr>
          <w:fldChar w:fldCharType="begin"/>
        </w:r>
        <w:r w:rsidRPr="000E4A30">
          <w:rPr>
            <w:rFonts w:cs="Arial"/>
            <w:noProof/>
            <w:webHidden/>
          </w:rPr>
          <w:instrText xml:space="preserve"> PAGEREF _Toc225877746 \h </w:instrText>
        </w:r>
        <w:r w:rsidRPr="000E4A30">
          <w:rPr>
            <w:rFonts w:cs="Arial"/>
            <w:noProof/>
            <w:webHidden/>
          </w:rPr>
        </w:r>
        <w:r w:rsidRPr="000E4A30">
          <w:rPr>
            <w:rFonts w:cs="Arial"/>
            <w:noProof/>
            <w:webHidden/>
          </w:rPr>
          <w:fldChar w:fldCharType="separate"/>
        </w:r>
        <w:r w:rsidR="002C0DFB">
          <w:rPr>
            <w:rFonts w:cs="Arial"/>
            <w:noProof/>
            <w:webHidden/>
          </w:rPr>
          <w:t>177</w:t>
        </w:r>
        <w:r w:rsidRPr="000E4A30">
          <w:rPr>
            <w:rFonts w:cs="Arial"/>
            <w:noProof/>
            <w:webHidden/>
          </w:rPr>
          <w:fldChar w:fldCharType="end"/>
        </w:r>
      </w:hyperlink>
    </w:p>
    <w:p w14:paraId="423042CE" w14:textId="4FBF6B1D" w:rsidR="003C1BA0" w:rsidRPr="000E4A30" w:rsidRDefault="003C1BA0">
      <w:pPr>
        <w:pStyle w:val="TOC1"/>
        <w:rPr>
          <w:rFonts w:eastAsiaTheme="minorEastAsia" w:cs="Arial"/>
          <w:noProof/>
          <w:kern w:val="2"/>
          <w14:ligatures w14:val="standardContextual"/>
        </w:rPr>
      </w:pPr>
      <w:hyperlink w:anchor="_Toc225877747" w:history="1">
        <w:r w:rsidRPr="000E4A30">
          <w:rPr>
            <w:rStyle w:val="Hyperlink"/>
            <w:rFonts w:cs="Arial"/>
            <w:noProof/>
          </w:rPr>
          <w:t>SECTION 5: PHYSICIAN AND NURSE STAFFING</w:t>
        </w:r>
        <w:r w:rsidRPr="000E4A30">
          <w:rPr>
            <w:rFonts w:cs="Arial"/>
            <w:noProof/>
            <w:webHidden/>
          </w:rPr>
          <w:tab/>
        </w:r>
        <w:r w:rsidRPr="000E4A30">
          <w:rPr>
            <w:rFonts w:cs="Arial"/>
            <w:noProof/>
            <w:webHidden/>
          </w:rPr>
          <w:fldChar w:fldCharType="begin"/>
        </w:r>
        <w:r w:rsidRPr="000E4A30">
          <w:rPr>
            <w:rFonts w:cs="Arial"/>
            <w:noProof/>
            <w:webHidden/>
          </w:rPr>
          <w:instrText xml:space="preserve"> PAGEREF _Toc225877747 \h </w:instrText>
        </w:r>
        <w:r w:rsidRPr="000E4A30">
          <w:rPr>
            <w:rFonts w:cs="Arial"/>
            <w:noProof/>
            <w:webHidden/>
          </w:rPr>
        </w:r>
        <w:r w:rsidRPr="000E4A30">
          <w:rPr>
            <w:rFonts w:cs="Arial"/>
            <w:noProof/>
            <w:webHidden/>
          </w:rPr>
          <w:fldChar w:fldCharType="separate"/>
        </w:r>
        <w:r w:rsidR="002C0DFB">
          <w:rPr>
            <w:rFonts w:cs="Arial"/>
            <w:noProof/>
            <w:webHidden/>
          </w:rPr>
          <w:t>178</w:t>
        </w:r>
        <w:r w:rsidRPr="000E4A30">
          <w:rPr>
            <w:rFonts w:cs="Arial"/>
            <w:noProof/>
            <w:webHidden/>
          </w:rPr>
          <w:fldChar w:fldCharType="end"/>
        </w:r>
      </w:hyperlink>
    </w:p>
    <w:p w14:paraId="507FA530" w14:textId="207ED716" w:rsidR="003C1BA0" w:rsidRPr="000E4A30" w:rsidRDefault="003C1BA0">
      <w:pPr>
        <w:pStyle w:val="TOC4"/>
        <w:rPr>
          <w:rFonts w:eastAsiaTheme="minorEastAsia" w:cs="Arial"/>
          <w:noProof/>
          <w:kern w:val="2"/>
          <w14:ligatures w14:val="standardContextual"/>
        </w:rPr>
      </w:pPr>
      <w:hyperlink w:anchor="_Toc225877748" w:history="1">
        <w:r w:rsidRPr="000E4A30">
          <w:rPr>
            <w:rStyle w:val="Hyperlink"/>
            <w:rFonts w:cs="Arial"/>
            <w:noProof/>
          </w:rPr>
          <w:t>Section 5: Physician and Nurse Staffing</w:t>
        </w:r>
        <w:r w:rsidRPr="000E4A30">
          <w:rPr>
            <w:rFonts w:cs="Arial"/>
            <w:noProof/>
            <w:webHidden/>
          </w:rPr>
          <w:tab/>
        </w:r>
        <w:r w:rsidRPr="000E4A30">
          <w:rPr>
            <w:rFonts w:cs="Arial"/>
            <w:noProof/>
            <w:webHidden/>
          </w:rPr>
          <w:fldChar w:fldCharType="begin"/>
        </w:r>
        <w:r w:rsidRPr="000E4A30">
          <w:rPr>
            <w:rFonts w:cs="Arial"/>
            <w:noProof/>
            <w:webHidden/>
          </w:rPr>
          <w:instrText xml:space="preserve"> PAGEREF _Toc225877748 \h </w:instrText>
        </w:r>
        <w:r w:rsidRPr="000E4A30">
          <w:rPr>
            <w:rFonts w:cs="Arial"/>
            <w:noProof/>
            <w:webHidden/>
          </w:rPr>
        </w:r>
        <w:r w:rsidRPr="000E4A30">
          <w:rPr>
            <w:rFonts w:cs="Arial"/>
            <w:noProof/>
            <w:webHidden/>
          </w:rPr>
          <w:fldChar w:fldCharType="separate"/>
        </w:r>
        <w:r w:rsidR="002C0DFB">
          <w:rPr>
            <w:rFonts w:cs="Arial"/>
            <w:noProof/>
            <w:webHidden/>
          </w:rPr>
          <w:t>179</w:t>
        </w:r>
        <w:r w:rsidRPr="000E4A30">
          <w:rPr>
            <w:rFonts w:cs="Arial"/>
            <w:noProof/>
            <w:webHidden/>
          </w:rPr>
          <w:fldChar w:fldCharType="end"/>
        </w:r>
      </w:hyperlink>
    </w:p>
    <w:p w14:paraId="4BF0FFCC" w14:textId="67D3F63F" w:rsidR="003C1BA0" w:rsidRPr="000E4A30" w:rsidRDefault="003C1BA0">
      <w:pPr>
        <w:pStyle w:val="TOC4"/>
        <w:rPr>
          <w:rFonts w:eastAsiaTheme="minorEastAsia" w:cs="Arial"/>
          <w:noProof/>
          <w:kern w:val="2"/>
          <w14:ligatures w14:val="standardContextual"/>
        </w:rPr>
      </w:pPr>
      <w:hyperlink w:anchor="_Toc225877749" w:history="1">
        <w:r w:rsidRPr="000E4A30">
          <w:rPr>
            <w:rStyle w:val="Hyperlink"/>
            <w:rFonts w:cs="Arial"/>
            <w:noProof/>
          </w:rPr>
          <w:t>5A: Adult ICU Physician Staffing</w:t>
        </w:r>
        <w:r w:rsidRPr="000E4A30">
          <w:rPr>
            <w:rFonts w:cs="Arial"/>
            <w:noProof/>
            <w:webHidden/>
          </w:rPr>
          <w:tab/>
        </w:r>
        <w:r w:rsidRPr="000E4A30">
          <w:rPr>
            <w:rFonts w:cs="Arial"/>
            <w:noProof/>
            <w:webHidden/>
          </w:rPr>
          <w:fldChar w:fldCharType="begin"/>
        </w:r>
        <w:r w:rsidRPr="000E4A30">
          <w:rPr>
            <w:rFonts w:cs="Arial"/>
            <w:noProof/>
            <w:webHidden/>
          </w:rPr>
          <w:instrText xml:space="preserve"> PAGEREF _Toc225877749 \h </w:instrText>
        </w:r>
        <w:r w:rsidRPr="000E4A30">
          <w:rPr>
            <w:rFonts w:cs="Arial"/>
            <w:noProof/>
            <w:webHidden/>
          </w:rPr>
        </w:r>
        <w:r w:rsidRPr="000E4A30">
          <w:rPr>
            <w:rFonts w:cs="Arial"/>
            <w:noProof/>
            <w:webHidden/>
          </w:rPr>
          <w:fldChar w:fldCharType="separate"/>
        </w:r>
        <w:r w:rsidR="002C0DFB">
          <w:rPr>
            <w:rFonts w:cs="Arial"/>
            <w:noProof/>
            <w:webHidden/>
          </w:rPr>
          <w:t>181</w:t>
        </w:r>
        <w:r w:rsidRPr="000E4A30">
          <w:rPr>
            <w:rFonts w:cs="Arial"/>
            <w:noProof/>
            <w:webHidden/>
          </w:rPr>
          <w:fldChar w:fldCharType="end"/>
        </w:r>
      </w:hyperlink>
    </w:p>
    <w:p w14:paraId="77921B62" w14:textId="6AFFAECA" w:rsidR="003C1BA0" w:rsidRPr="000E4A30" w:rsidRDefault="003C1BA0">
      <w:pPr>
        <w:pStyle w:val="TOC4"/>
        <w:rPr>
          <w:rFonts w:eastAsiaTheme="minorEastAsia" w:cs="Arial"/>
          <w:noProof/>
          <w:kern w:val="2"/>
          <w14:ligatures w14:val="standardContextual"/>
        </w:rPr>
      </w:pPr>
      <w:hyperlink w:anchor="_Toc225877750" w:history="1">
        <w:r w:rsidRPr="000E4A30">
          <w:rPr>
            <w:rStyle w:val="Hyperlink"/>
            <w:rFonts w:cs="Arial"/>
            <w:noProof/>
          </w:rPr>
          <w:t>5B: Pediatric ICU Physician Staffing</w:t>
        </w:r>
        <w:r w:rsidRPr="000E4A30">
          <w:rPr>
            <w:rFonts w:cs="Arial"/>
            <w:noProof/>
            <w:webHidden/>
          </w:rPr>
          <w:tab/>
        </w:r>
        <w:r w:rsidRPr="000E4A30">
          <w:rPr>
            <w:rFonts w:cs="Arial"/>
            <w:noProof/>
            <w:webHidden/>
          </w:rPr>
          <w:fldChar w:fldCharType="begin"/>
        </w:r>
        <w:r w:rsidRPr="000E4A30">
          <w:rPr>
            <w:rFonts w:cs="Arial"/>
            <w:noProof/>
            <w:webHidden/>
          </w:rPr>
          <w:instrText xml:space="preserve"> PAGEREF _Toc225877750 \h </w:instrText>
        </w:r>
        <w:r w:rsidRPr="000E4A30">
          <w:rPr>
            <w:rFonts w:cs="Arial"/>
            <w:noProof/>
            <w:webHidden/>
          </w:rPr>
        </w:r>
        <w:r w:rsidRPr="000E4A30">
          <w:rPr>
            <w:rFonts w:cs="Arial"/>
            <w:noProof/>
            <w:webHidden/>
          </w:rPr>
          <w:fldChar w:fldCharType="separate"/>
        </w:r>
        <w:r w:rsidR="002C0DFB">
          <w:rPr>
            <w:rFonts w:cs="Arial"/>
            <w:noProof/>
            <w:webHidden/>
          </w:rPr>
          <w:t>185</w:t>
        </w:r>
        <w:r w:rsidRPr="000E4A30">
          <w:rPr>
            <w:rFonts w:cs="Arial"/>
            <w:noProof/>
            <w:webHidden/>
          </w:rPr>
          <w:fldChar w:fldCharType="end"/>
        </w:r>
      </w:hyperlink>
    </w:p>
    <w:p w14:paraId="3B317C7B" w14:textId="09C1C96F" w:rsidR="003C1BA0" w:rsidRPr="000E4A30" w:rsidRDefault="003C1BA0">
      <w:pPr>
        <w:pStyle w:val="TOC4"/>
        <w:rPr>
          <w:rFonts w:eastAsiaTheme="minorEastAsia" w:cs="Arial"/>
          <w:noProof/>
          <w:kern w:val="2"/>
          <w14:ligatures w14:val="standardContextual"/>
        </w:rPr>
      </w:pPr>
      <w:hyperlink w:anchor="_Toc225877751" w:history="1">
        <w:r w:rsidRPr="000E4A30">
          <w:rPr>
            <w:rStyle w:val="Hyperlink"/>
            <w:rFonts w:cs="Arial"/>
            <w:noProof/>
          </w:rPr>
          <w:t>5C: Nursing Workforce</w:t>
        </w:r>
        <w:r w:rsidRPr="000E4A30">
          <w:rPr>
            <w:rFonts w:cs="Arial"/>
            <w:noProof/>
            <w:webHidden/>
          </w:rPr>
          <w:tab/>
        </w:r>
        <w:r w:rsidRPr="000E4A30">
          <w:rPr>
            <w:rFonts w:cs="Arial"/>
            <w:noProof/>
            <w:webHidden/>
          </w:rPr>
          <w:fldChar w:fldCharType="begin"/>
        </w:r>
        <w:r w:rsidRPr="000E4A30">
          <w:rPr>
            <w:rFonts w:cs="Arial"/>
            <w:noProof/>
            <w:webHidden/>
          </w:rPr>
          <w:instrText xml:space="preserve"> PAGEREF _Toc225877751 \h </w:instrText>
        </w:r>
        <w:r w:rsidRPr="000E4A30">
          <w:rPr>
            <w:rFonts w:cs="Arial"/>
            <w:noProof/>
            <w:webHidden/>
          </w:rPr>
        </w:r>
        <w:r w:rsidRPr="000E4A30">
          <w:rPr>
            <w:rFonts w:cs="Arial"/>
            <w:noProof/>
            <w:webHidden/>
          </w:rPr>
          <w:fldChar w:fldCharType="separate"/>
        </w:r>
        <w:r w:rsidR="002C0DFB">
          <w:rPr>
            <w:rFonts w:cs="Arial"/>
            <w:noProof/>
            <w:webHidden/>
          </w:rPr>
          <w:t>189</w:t>
        </w:r>
        <w:r w:rsidRPr="000E4A30">
          <w:rPr>
            <w:rFonts w:cs="Arial"/>
            <w:noProof/>
            <w:webHidden/>
          </w:rPr>
          <w:fldChar w:fldCharType="end"/>
        </w:r>
      </w:hyperlink>
    </w:p>
    <w:p w14:paraId="74815A84" w14:textId="0F64C79A" w:rsidR="003C1BA0" w:rsidRPr="000E4A30" w:rsidRDefault="003C1BA0">
      <w:pPr>
        <w:pStyle w:val="TOC5"/>
        <w:rPr>
          <w:rFonts w:ascii="Arial" w:hAnsi="Arial" w:cs="Arial"/>
          <w:noProof/>
          <w:kern w:val="2"/>
          <w:sz w:val="20"/>
          <w:szCs w:val="20"/>
          <w14:ligatures w14:val="standardContextual"/>
        </w:rPr>
      </w:pPr>
      <w:hyperlink w:anchor="_Toc225877752" w:history="1">
        <w:r w:rsidRPr="000E4A30">
          <w:rPr>
            <w:rStyle w:val="Hyperlink"/>
            <w:rFonts w:ascii="Arial" w:hAnsi="Arial" w:cs="Arial"/>
            <w:noProof/>
            <w:sz w:val="20"/>
            <w:szCs w:val="20"/>
          </w:rPr>
          <w:t>Total Nursing Care Hours per Patient Day and RN Hours per Patient Day</w:t>
        </w:r>
        <w:r w:rsidRPr="000E4A30">
          <w:rPr>
            <w:rFonts w:ascii="Arial" w:hAnsi="Arial" w:cs="Arial"/>
            <w:noProof/>
            <w:webHidden/>
            <w:sz w:val="20"/>
            <w:szCs w:val="20"/>
          </w:rPr>
          <w:tab/>
        </w:r>
        <w:r w:rsidRPr="000E4A30">
          <w:rPr>
            <w:rFonts w:ascii="Arial" w:hAnsi="Arial" w:cs="Arial"/>
            <w:noProof/>
            <w:webHidden/>
            <w:sz w:val="20"/>
            <w:szCs w:val="20"/>
          </w:rPr>
          <w:fldChar w:fldCharType="begin"/>
        </w:r>
        <w:r w:rsidRPr="000E4A30">
          <w:rPr>
            <w:rFonts w:ascii="Arial" w:hAnsi="Arial" w:cs="Arial"/>
            <w:noProof/>
            <w:webHidden/>
            <w:sz w:val="20"/>
            <w:szCs w:val="20"/>
          </w:rPr>
          <w:instrText xml:space="preserve"> PAGEREF _Toc225877752 \h </w:instrText>
        </w:r>
        <w:r w:rsidRPr="000E4A30">
          <w:rPr>
            <w:rFonts w:ascii="Arial" w:hAnsi="Arial" w:cs="Arial"/>
            <w:noProof/>
            <w:webHidden/>
            <w:sz w:val="20"/>
            <w:szCs w:val="20"/>
          </w:rPr>
        </w:r>
        <w:r w:rsidRPr="000E4A30">
          <w:rPr>
            <w:rFonts w:ascii="Arial" w:hAnsi="Arial" w:cs="Arial"/>
            <w:noProof/>
            <w:webHidden/>
            <w:sz w:val="20"/>
            <w:szCs w:val="20"/>
          </w:rPr>
          <w:fldChar w:fldCharType="separate"/>
        </w:r>
        <w:r w:rsidR="002C0DFB">
          <w:rPr>
            <w:rFonts w:ascii="Arial" w:hAnsi="Arial" w:cs="Arial"/>
            <w:noProof/>
            <w:webHidden/>
            <w:sz w:val="20"/>
            <w:szCs w:val="20"/>
          </w:rPr>
          <w:t>189</w:t>
        </w:r>
        <w:r w:rsidRPr="000E4A30">
          <w:rPr>
            <w:rFonts w:ascii="Arial" w:hAnsi="Arial" w:cs="Arial"/>
            <w:noProof/>
            <w:webHidden/>
            <w:sz w:val="20"/>
            <w:szCs w:val="20"/>
          </w:rPr>
          <w:fldChar w:fldCharType="end"/>
        </w:r>
      </w:hyperlink>
    </w:p>
    <w:p w14:paraId="217A6002" w14:textId="1187AD2B" w:rsidR="003C1BA0" w:rsidRPr="000E4A30" w:rsidRDefault="003C1BA0">
      <w:pPr>
        <w:pStyle w:val="TOC5"/>
        <w:rPr>
          <w:rFonts w:ascii="Arial" w:hAnsi="Arial" w:cs="Arial"/>
          <w:noProof/>
          <w:kern w:val="2"/>
          <w:sz w:val="20"/>
          <w:szCs w:val="20"/>
          <w14:ligatures w14:val="standardContextual"/>
        </w:rPr>
      </w:pPr>
      <w:hyperlink w:anchor="_Toc225877753" w:history="1">
        <w:r w:rsidRPr="000E4A30">
          <w:rPr>
            <w:rStyle w:val="Hyperlink"/>
            <w:rFonts w:ascii="Arial" w:hAnsi="Arial" w:cs="Arial"/>
            <w:noProof/>
            <w:sz w:val="20"/>
            <w:szCs w:val="20"/>
          </w:rPr>
          <w:t>NQF Safe Practice #9 – Nursing Workforce</w:t>
        </w:r>
        <w:r w:rsidRPr="000E4A30">
          <w:rPr>
            <w:rFonts w:ascii="Arial" w:hAnsi="Arial" w:cs="Arial"/>
            <w:noProof/>
            <w:webHidden/>
            <w:sz w:val="20"/>
            <w:szCs w:val="20"/>
          </w:rPr>
          <w:tab/>
        </w:r>
        <w:r w:rsidRPr="000E4A30">
          <w:rPr>
            <w:rFonts w:ascii="Arial" w:hAnsi="Arial" w:cs="Arial"/>
            <w:noProof/>
            <w:webHidden/>
            <w:sz w:val="20"/>
            <w:szCs w:val="20"/>
          </w:rPr>
          <w:fldChar w:fldCharType="begin"/>
        </w:r>
        <w:r w:rsidRPr="000E4A30">
          <w:rPr>
            <w:rFonts w:ascii="Arial" w:hAnsi="Arial" w:cs="Arial"/>
            <w:noProof/>
            <w:webHidden/>
            <w:sz w:val="20"/>
            <w:szCs w:val="20"/>
          </w:rPr>
          <w:instrText xml:space="preserve"> PAGEREF _Toc225877753 \h </w:instrText>
        </w:r>
        <w:r w:rsidRPr="000E4A30">
          <w:rPr>
            <w:rFonts w:ascii="Arial" w:hAnsi="Arial" w:cs="Arial"/>
            <w:noProof/>
            <w:webHidden/>
            <w:sz w:val="20"/>
            <w:szCs w:val="20"/>
          </w:rPr>
        </w:r>
        <w:r w:rsidRPr="000E4A30">
          <w:rPr>
            <w:rFonts w:ascii="Arial" w:hAnsi="Arial" w:cs="Arial"/>
            <w:noProof/>
            <w:webHidden/>
            <w:sz w:val="20"/>
            <w:szCs w:val="20"/>
          </w:rPr>
          <w:fldChar w:fldCharType="separate"/>
        </w:r>
        <w:r w:rsidR="002C0DFB">
          <w:rPr>
            <w:rFonts w:ascii="Arial" w:hAnsi="Arial" w:cs="Arial"/>
            <w:noProof/>
            <w:webHidden/>
            <w:sz w:val="20"/>
            <w:szCs w:val="20"/>
          </w:rPr>
          <w:t>194</w:t>
        </w:r>
        <w:r w:rsidRPr="000E4A30">
          <w:rPr>
            <w:rFonts w:ascii="Arial" w:hAnsi="Arial" w:cs="Arial"/>
            <w:noProof/>
            <w:webHidden/>
            <w:sz w:val="20"/>
            <w:szCs w:val="20"/>
          </w:rPr>
          <w:fldChar w:fldCharType="end"/>
        </w:r>
      </w:hyperlink>
    </w:p>
    <w:p w14:paraId="6EC1EF7C" w14:textId="4683E444" w:rsidR="003C1BA0" w:rsidRPr="000E4A30" w:rsidRDefault="003C1BA0">
      <w:pPr>
        <w:pStyle w:val="TOC5"/>
        <w:rPr>
          <w:rFonts w:ascii="Arial" w:hAnsi="Arial" w:cs="Arial"/>
          <w:noProof/>
          <w:kern w:val="2"/>
          <w:sz w:val="20"/>
          <w:szCs w:val="20"/>
          <w14:ligatures w14:val="standardContextual"/>
        </w:rPr>
      </w:pPr>
      <w:hyperlink w:anchor="_Toc225877754" w:history="1">
        <w:r w:rsidRPr="000E4A30">
          <w:rPr>
            <w:rStyle w:val="Hyperlink"/>
            <w:rFonts w:ascii="Arial" w:hAnsi="Arial" w:cs="Arial"/>
            <w:noProof/>
            <w:sz w:val="20"/>
            <w:szCs w:val="20"/>
          </w:rPr>
          <w:t>Percentage of RNs who are BSN-Prepared</w:t>
        </w:r>
        <w:r w:rsidRPr="000E4A30">
          <w:rPr>
            <w:rFonts w:ascii="Arial" w:hAnsi="Arial" w:cs="Arial"/>
            <w:noProof/>
            <w:webHidden/>
            <w:sz w:val="20"/>
            <w:szCs w:val="20"/>
          </w:rPr>
          <w:tab/>
        </w:r>
        <w:r w:rsidRPr="000E4A30">
          <w:rPr>
            <w:rFonts w:ascii="Arial" w:hAnsi="Arial" w:cs="Arial"/>
            <w:noProof/>
            <w:webHidden/>
            <w:sz w:val="20"/>
            <w:szCs w:val="20"/>
          </w:rPr>
          <w:fldChar w:fldCharType="begin"/>
        </w:r>
        <w:r w:rsidRPr="000E4A30">
          <w:rPr>
            <w:rFonts w:ascii="Arial" w:hAnsi="Arial" w:cs="Arial"/>
            <w:noProof/>
            <w:webHidden/>
            <w:sz w:val="20"/>
            <w:szCs w:val="20"/>
          </w:rPr>
          <w:instrText xml:space="preserve"> PAGEREF _Toc225877754 \h </w:instrText>
        </w:r>
        <w:r w:rsidRPr="000E4A30">
          <w:rPr>
            <w:rFonts w:ascii="Arial" w:hAnsi="Arial" w:cs="Arial"/>
            <w:noProof/>
            <w:webHidden/>
            <w:sz w:val="20"/>
            <w:szCs w:val="20"/>
          </w:rPr>
        </w:r>
        <w:r w:rsidRPr="000E4A30">
          <w:rPr>
            <w:rFonts w:ascii="Arial" w:hAnsi="Arial" w:cs="Arial"/>
            <w:noProof/>
            <w:webHidden/>
            <w:sz w:val="20"/>
            <w:szCs w:val="20"/>
          </w:rPr>
          <w:fldChar w:fldCharType="separate"/>
        </w:r>
        <w:r w:rsidR="002C0DFB">
          <w:rPr>
            <w:rFonts w:ascii="Arial" w:hAnsi="Arial" w:cs="Arial"/>
            <w:noProof/>
            <w:webHidden/>
            <w:sz w:val="20"/>
            <w:szCs w:val="20"/>
          </w:rPr>
          <w:t>195</w:t>
        </w:r>
        <w:r w:rsidRPr="000E4A30">
          <w:rPr>
            <w:rFonts w:ascii="Arial" w:hAnsi="Arial" w:cs="Arial"/>
            <w:noProof/>
            <w:webHidden/>
            <w:sz w:val="20"/>
            <w:szCs w:val="20"/>
          </w:rPr>
          <w:fldChar w:fldCharType="end"/>
        </w:r>
      </w:hyperlink>
    </w:p>
    <w:p w14:paraId="210D622F" w14:textId="2A7D3C77" w:rsidR="003C1BA0" w:rsidRPr="000E4A30" w:rsidRDefault="003C1BA0">
      <w:pPr>
        <w:pStyle w:val="TOC4"/>
        <w:rPr>
          <w:rFonts w:eastAsiaTheme="minorEastAsia" w:cs="Arial"/>
          <w:noProof/>
          <w:kern w:val="2"/>
          <w14:ligatures w14:val="standardContextual"/>
        </w:rPr>
      </w:pPr>
      <w:hyperlink w:anchor="_Toc225877755" w:history="1">
        <w:r w:rsidRPr="000E4A30">
          <w:rPr>
            <w:rStyle w:val="Hyperlink"/>
            <w:rFonts w:cs="Arial"/>
            <w:noProof/>
          </w:rPr>
          <w:t>Section 5: Physician and Nurse Staffing Reference Information</w:t>
        </w:r>
        <w:r w:rsidRPr="000E4A30">
          <w:rPr>
            <w:rFonts w:cs="Arial"/>
            <w:noProof/>
            <w:webHidden/>
          </w:rPr>
          <w:tab/>
        </w:r>
        <w:r w:rsidRPr="000E4A30">
          <w:rPr>
            <w:rFonts w:cs="Arial"/>
            <w:noProof/>
            <w:webHidden/>
          </w:rPr>
          <w:fldChar w:fldCharType="begin"/>
        </w:r>
        <w:r w:rsidRPr="000E4A30">
          <w:rPr>
            <w:rFonts w:cs="Arial"/>
            <w:noProof/>
            <w:webHidden/>
          </w:rPr>
          <w:instrText xml:space="preserve"> PAGEREF _Toc225877755 \h </w:instrText>
        </w:r>
        <w:r w:rsidRPr="000E4A30">
          <w:rPr>
            <w:rFonts w:cs="Arial"/>
            <w:noProof/>
            <w:webHidden/>
          </w:rPr>
        </w:r>
        <w:r w:rsidRPr="000E4A30">
          <w:rPr>
            <w:rFonts w:cs="Arial"/>
            <w:noProof/>
            <w:webHidden/>
          </w:rPr>
          <w:fldChar w:fldCharType="separate"/>
        </w:r>
        <w:r w:rsidR="002C0DFB">
          <w:rPr>
            <w:rFonts w:cs="Arial"/>
            <w:noProof/>
            <w:webHidden/>
          </w:rPr>
          <w:t>197</w:t>
        </w:r>
        <w:r w:rsidRPr="000E4A30">
          <w:rPr>
            <w:rFonts w:cs="Arial"/>
            <w:noProof/>
            <w:webHidden/>
          </w:rPr>
          <w:fldChar w:fldCharType="end"/>
        </w:r>
      </w:hyperlink>
    </w:p>
    <w:p w14:paraId="197C5B8D" w14:textId="6A73E9F4" w:rsidR="003C1BA0" w:rsidRPr="000E4A30" w:rsidRDefault="003C1BA0">
      <w:pPr>
        <w:pStyle w:val="TOC5"/>
        <w:rPr>
          <w:rFonts w:ascii="Arial" w:hAnsi="Arial" w:cs="Arial"/>
          <w:noProof/>
          <w:kern w:val="2"/>
          <w:sz w:val="20"/>
          <w:szCs w:val="20"/>
          <w14:ligatures w14:val="standardContextual"/>
        </w:rPr>
      </w:pPr>
      <w:hyperlink w:anchor="_Toc225877756" w:history="1">
        <w:r w:rsidRPr="000E4A30">
          <w:rPr>
            <w:rStyle w:val="Hyperlink"/>
            <w:rFonts w:ascii="Arial" w:hAnsi="Arial" w:cs="Arial"/>
            <w:noProof/>
            <w:sz w:val="20"/>
            <w:szCs w:val="20"/>
          </w:rPr>
          <w:t>What’s New in the 2026 Survey</w:t>
        </w:r>
        <w:r w:rsidRPr="000E4A30">
          <w:rPr>
            <w:rFonts w:ascii="Arial" w:hAnsi="Arial" w:cs="Arial"/>
            <w:noProof/>
            <w:webHidden/>
            <w:sz w:val="20"/>
            <w:szCs w:val="20"/>
          </w:rPr>
          <w:tab/>
        </w:r>
        <w:r w:rsidRPr="000E4A30">
          <w:rPr>
            <w:rFonts w:ascii="Arial" w:hAnsi="Arial" w:cs="Arial"/>
            <w:noProof/>
            <w:webHidden/>
            <w:sz w:val="20"/>
            <w:szCs w:val="20"/>
          </w:rPr>
          <w:fldChar w:fldCharType="begin"/>
        </w:r>
        <w:r w:rsidRPr="000E4A30">
          <w:rPr>
            <w:rFonts w:ascii="Arial" w:hAnsi="Arial" w:cs="Arial"/>
            <w:noProof/>
            <w:webHidden/>
            <w:sz w:val="20"/>
            <w:szCs w:val="20"/>
          </w:rPr>
          <w:instrText xml:space="preserve"> PAGEREF _Toc225877756 \h </w:instrText>
        </w:r>
        <w:r w:rsidRPr="000E4A30">
          <w:rPr>
            <w:rFonts w:ascii="Arial" w:hAnsi="Arial" w:cs="Arial"/>
            <w:noProof/>
            <w:webHidden/>
            <w:sz w:val="20"/>
            <w:szCs w:val="20"/>
          </w:rPr>
        </w:r>
        <w:r w:rsidRPr="000E4A30">
          <w:rPr>
            <w:rFonts w:ascii="Arial" w:hAnsi="Arial" w:cs="Arial"/>
            <w:noProof/>
            <w:webHidden/>
            <w:sz w:val="20"/>
            <w:szCs w:val="20"/>
          </w:rPr>
          <w:fldChar w:fldCharType="separate"/>
        </w:r>
        <w:r w:rsidR="002C0DFB">
          <w:rPr>
            <w:rFonts w:ascii="Arial" w:hAnsi="Arial" w:cs="Arial"/>
            <w:noProof/>
            <w:webHidden/>
            <w:sz w:val="20"/>
            <w:szCs w:val="20"/>
          </w:rPr>
          <w:t>197</w:t>
        </w:r>
        <w:r w:rsidRPr="000E4A30">
          <w:rPr>
            <w:rFonts w:ascii="Arial" w:hAnsi="Arial" w:cs="Arial"/>
            <w:noProof/>
            <w:webHidden/>
            <w:sz w:val="20"/>
            <w:szCs w:val="20"/>
          </w:rPr>
          <w:fldChar w:fldCharType="end"/>
        </w:r>
      </w:hyperlink>
    </w:p>
    <w:p w14:paraId="52D0E5B8" w14:textId="27D8674F" w:rsidR="003C1BA0" w:rsidRPr="000E4A30" w:rsidRDefault="003C1BA0">
      <w:pPr>
        <w:pStyle w:val="TOC5"/>
        <w:rPr>
          <w:rFonts w:ascii="Arial" w:hAnsi="Arial" w:cs="Arial"/>
          <w:noProof/>
          <w:kern w:val="2"/>
          <w:sz w:val="20"/>
          <w:szCs w:val="20"/>
          <w14:ligatures w14:val="standardContextual"/>
        </w:rPr>
      </w:pPr>
      <w:hyperlink w:anchor="_Toc225877757" w:history="1">
        <w:r w:rsidRPr="000E4A30">
          <w:rPr>
            <w:rStyle w:val="Hyperlink"/>
            <w:rFonts w:ascii="Arial" w:hAnsi="Arial" w:cs="Arial"/>
            <w:noProof/>
            <w:sz w:val="20"/>
            <w:szCs w:val="20"/>
          </w:rPr>
          <w:t>Change Summary Since Release</w:t>
        </w:r>
        <w:r w:rsidRPr="000E4A30">
          <w:rPr>
            <w:rFonts w:ascii="Arial" w:hAnsi="Arial" w:cs="Arial"/>
            <w:noProof/>
            <w:webHidden/>
            <w:sz w:val="20"/>
            <w:szCs w:val="20"/>
          </w:rPr>
          <w:tab/>
        </w:r>
        <w:r w:rsidRPr="000E4A30">
          <w:rPr>
            <w:rFonts w:ascii="Arial" w:hAnsi="Arial" w:cs="Arial"/>
            <w:noProof/>
            <w:webHidden/>
            <w:sz w:val="20"/>
            <w:szCs w:val="20"/>
          </w:rPr>
          <w:fldChar w:fldCharType="begin"/>
        </w:r>
        <w:r w:rsidRPr="000E4A30">
          <w:rPr>
            <w:rFonts w:ascii="Arial" w:hAnsi="Arial" w:cs="Arial"/>
            <w:noProof/>
            <w:webHidden/>
            <w:sz w:val="20"/>
            <w:szCs w:val="20"/>
          </w:rPr>
          <w:instrText xml:space="preserve"> PAGEREF _Toc225877757 \h </w:instrText>
        </w:r>
        <w:r w:rsidRPr="000E4A30">
          <w:rPr>
            <w:rFonts w:ascii="Arial" w:hAnsi="Arial" w:cs="Arial"/>
            <w:noProof/>
            <w:webHidden/>
            <w:sz w:val="20"/>
            <w:szCs w:val="20"/>
          </w:rPr>
        </w:r>
        <w:r w:rsidRPr="000E4A30">
          <w:rPr>
            <w:rFonts w:ascii="Arial" w:hAnsi="Arial" w:cs="Arial"/>
            <w:noProof/>
            <w:webHidden/>
            <w:sz w:val="20"/>
            <w:szCs w:val="20"/>
          </w:rPr>
          <w:fldChar w:fldCharType="separate"/>
        </w:r>
        <w:r w:rsidR="002C0DFB">
          <w:rPr>
            <w:rFonts w:ascii="Arial" w:hAnsi="Arial" w:cs="Arial"/>
            <w:noProof/>
            <w:webHidden/>
            <w:sz w:val="20"/>
            <w:szCs w:val="20"/>
          </w:rPr>
          <w:t>197</w:t>
        </w:r>
        <w:r w:rsidRPr="000E4A30">
          <w:rPr>
            <w:rFonts w:ascii="Arial" w:hAnsi="Arial" w:cs="Arial"/>
            <w:noProof/>
            <w:webHidden/>
            <w:sz w:val="20"/>
            <w:szCs w:val="20"/>
          </w:rPr>
          <w:fldChar w:fldCharType="end"/>
        </w:r>
      </w:hyperlink>
    </w:p>
    <w:p w14:paraId="3309B835" w14:textId="1FF2FE8D" w:rsidR="003C1BA0" w:rsidRPr="000E4A30" w:rsidRDefault="003C1BA0">
      <w:pPr>
        <w:pStyle w:val="TOC5"/>
        <w:rPr>
          <w:rFonts w:ascii="Arial" w:hAnsi="Arial" w:cs="Arial"/>
          <w:noProof/>
          <w:kern w:val="2"/>
          <w:sz w:val="20"/>
          <w:szCs w:val="20"/>
          <w14:ligatures w14:val="standardContextual"/>
        </w:rPr>
      </w:pPr>
      <w:hyperlink w:anchor="_Toc225877758" w:history="1">
        <w:r w:rsidRPr="000E4A30">
          <w:rPr>
            <w:rStyle w:val="Hyperlink"/>
            <w:rFonts w:ascii="Arial" w:hAnsi="Arial" w:cs="Arial"/>
            <w:noProof/>
            <w:sz w:val="20"/>
            <w:szCs w:val="20"/>
          </w:rPr>
          <w:t>Nursing Workforce Measure Specifications</w:t>
        </w:r>
        <w:r w:rsidRPr="000E4A30">
          <w:rPr>
            <w:rFonts w:ascii="Arial" w:hAnsi="Arial" w:cs="Arial"/>
            <w:noProof/>
            <w:webHidden/>
            <w:sz w:val="20"/>
            <w:szCs w:val="20"/>
          </w:rPr>
          <w:tab/>
        </w:r>
        <w:r w:rsidRPr="000E4A30">
          <w:rPr>
            <w:rFonts w:ascii="Arial" w:hAnsi="Arial" w:cs="Arial"/>
            <w:noProof/>
            <w:webHidden/>
            <w:sz w:val="20"/>
            <w:szCs w:val="20"/>
          </w:rPr>
          <w:fldChar w:fldCharType="begin"/>
        </w:r>
        <w:r w:rsidRPr="000E4A30">
          <w:rPr>
            <w:rFonts w:ascii="Arial" w:hAnsi="Arial" w:cs="Arial"/>
            <w:noProof/>
            <w:webHidden/>
            <w:sz w:val="20"/>
            <w:szCs w:val="20"/>
          </w:rPr>
          <w:instrText xml:space="preserve"> PAGEREF _Toc225877758 \h </w:instrText>
        </w:r>
        <w:r w:rsidRPr="000E4A30">
          <w:rPr>
            <w:rFonts w:ascii="Arial" w:hAnsi="Arial" w:cs="Arial"/>
            <w:noProof/>
            <w:webHidden/>
            <w:sz w:val="20"/>
            <w:szCs w:val="20"/>
          </w:rPr>
        </w:r>
        <w:r w:rsidRPr="000E4A30">
          <w:rPr>
            <w:rFonts w:ascii="Arial" w:hAnsi="Arial" w:cs="Arial"/>
            <w:noProof/>
            <w:webHidden/>
            <w:sz w:val="20"/>
            <w:szCs w:val="20"/>
          </w:rPr>
          <w:fldChar w:fldCharType="separate"/>
        </w:r>
        <w:r w:rsidR="002C0DFB">
          <w:rPr>
            <w:rFonts w:ascii="Arial" w:hAnsi="Arial" w:cs="Arial"/>
            <w:noProof/>
            <w:webHidden/>
            <w:sz w:val="20"/>
            <w:szCs w:val="20"/>
          </w:rPr>
          <w:t>198</w:t>
        </w:r>
        <w:r w:rsidRPr="000E4A30">
          <w:rPr>
            <w:rFonts w:ascii="Arial" w:hAnsi="Arial" w:cs="Arial"/>
            <w:noProof/>
            <w:webHidden/>
            <w:sz w:val="20"/>
            <w:szCs w:val="20"/>
          </w:rPr>
          <w:fldChar w:fldCharType="end"/>
        </w:r>
      </w:hyperlink>
    </w:p>
    <w:p w14:paraId="16ECA678" w14:textId="5425CB7E" w:rsidR="003C1BA0" w:rsidRPr="000E4A30" w:rsidRDefault="003C1BA0">
      <w:pPr>
        <w:pStyle w:val="TOC4"/>
        <w:rPr>
          <w:rFonts w:eastAsiaTheme="minorEastAsia" w:cs="Arial"/>
          <w:noProof/>
          <w:kern w:val="2"/>
          <w14:ligatures w14:val="standardContextual"/>
        </w:rPr>
      </w:pPr>
      <w:hyperlink w:anchor="_Toc225877759" w:history="1">
        <w:r w:rsidRPr="000E4A30">
          <w:rPr>
            <w:rStyle w:val="Hyperlink"/>
            <w:rFonts w:cs="Arial"/>
            <w:noProof/>
          </w:rPr>
          <w:t>Section 5: Physician and Nurse Staffing Frequently Asked Questions (FAQs)</w:t>
        </w:r>
        <w:r w:rsidRPr="000E4A30">
          <w:rPr>
            <w:rFonts w:cs="Arial"/>
            <w:noProof/>
            <w:webHidden/>
          </w:rPr>
          <w:tab/>
        </w:r>
        <w:r w:rsidRPr="000E4A30">
          <w:rPr>
            <w:rFonts w:cs="Arial"/>
            <w:noProof/>
            <w:webHidden/>
          </w:rPr>
          <w:fldChar w:fldCharType="begin"/>
        </w:r>
        <w:r w:rsidRPr="000E4A30">
          <w:rPr>
            <w:rFonts w:cs="Arial"/>
            <w:noProof/>
            <w:webHidden/>
          </w:rPr>
          <w:instrText xml:space="preserve"> PAGEREF _Toc225877759 \h </w:instrText>
        </w:r>
        <w:r w:rsidRPr="000E4A30">
          <w:rPr>
            <w:rFonts w:cs="Arial"/>
            <w:noProof/>
            <w:webHidden/>
          </w:rPr>
        </w:r>
        <w:r w:rsidRPr="000E4A30">
          <w:rPr>
            <w:rFonts w:cs="Arial"/>
            <w:noProof/>
            <w:webHidden/>
          </w:rPr>
          <w:fldChar w:fldCharType="separate"/>
        </w:r>
        <w:r w:rsidR="002C0DFB">
          <w:rPr>
            <w:rFonts w:cs="Arial"/>
            <w:noProof/>
            <w:webHidden/>
          </w:rPr>
          <w:t>209</w:t>
        </w:r>
        <w:r w:rsidRPr="000E4A30">
          <w:rPr>
            <w:rFonts w:cs="Arial"/>
            <w:noProof/>
            <w:webHidden/>
          </w:rPr>
          <w:fldChar w:fldCharType="end"/>
        </w:r>
      </w:hyperlink>
    </w:p>
    <w:p w14:paraId="0FBAFB93" w14:textId="44E9ADAC" w:rsidR="003C1BA0" w:rsidRPr="000E4A30" w:rsidRDefault="003C1BA0">
      <w:pPr>
        <w:pStyle w:val="TOC5"/>
        <w:rPr>
          <w:rFonts w:ascii="Arial" w:hAnsi="Arial" w:cs="Arial"/>
          <w:noProof/>
          <w:kern w:val="2"/>
          <w:sz w:val="20"/>
          <w:szCs w:val="20"/>
          <w14:ligatures w14:val="standardContextual"/>
        </w:rPr>
      </w:pPr>
      <w:hyperlink w:anchor="_Toc225877760" w:history="1">
        <w:r w:rsidRPr="000E4A30">
          <w:rPr>
            <w:rStyle w:val="Hyperlink"/>
            <w:rFonts w:ascii="Arial" w:hAnsi="Arial" w:cs="Arial"/>
            <w:noProof/>
            <w:sz w:val="20"/>
            <w:szCs w:val="20"/>
          </w:rPr>
          <w:t>ICU General Questions</w:t>
        </w:r>
        <w:r w:rsidRPr="000E4A30">
          <w:rPr>
            <w:rFonts w:ascii="Arial" w:hAnsi="Arial" w:cs="Arial"/>
            <w:noProof/>
            <w:webHidden/>
            <w:sz w:val="20"/>
            <w:szCs w:val="20"/>
          </w:rPr>
          <w:tab/>
        </w:r>
        <w:r w:rsidRPr="000E4A30">
          <w:rPr>
            <w:rFonts w:ascii="Arial" w:hAnsi="Arial" w:cs="Arial"/>
            <w:noProof/>
            <w:webHidden/>
            <w:sz w:val="20"/>
            <w:szCs w:val="20"/>
          </w:rPr>
          <w:fldChar w:fldCharType="begin"/>
        </w:r>
        <w:r w:rsidRPr="000E4A30">
          <w:rPr>
            <w:rFonts w:ascii="Arial" w:hAnsi="Arial" w:cs="Arial"/>
            <w:noProof/>
            <w:webHidden/>
            <w:sz w:val="20"/>
            <w:szCs w:val="20"/>
          </w:rPr>
          <w:instrText xml:space="preserve"> PAGEREF _Toc225877760 \h </w:instrText>
        </w:r>
        <w:r w:rsidRPr="000E4A30">
          <w:rPr>
            <w:rFonts w:ascii="Arial" w:hAnsi="Arial" w:cs="Arial"/>
            <w:noProof/>
            <w:webHidden/>
            <w:sz w:val="20"/>
            <w:szCs w:val="20"/>
          </w:rPr>
        </w:r>
        <w:r w:rsidRPr="000E4A30">
          <w:rPr>
            <w:rFonts w:ascii="Arial" w:hAnsi="Arial" w:cs="Arial"/>
            <w:noProof/>
            <w:webHidden/>
            <w:sz w:val="20"/>
            <w:szCs w:val="20"/>
          </w:rPr>
          <w:fldChar w:fldCharType="separate"/>
        </w:r>
        <w:r w:rsidR="002C0DFB">
          <w:rPr>
            <w:rFonts w:ascii="Arial" w:hAnsi="Arial" w:cs="Arial"/>
            <w:noProof/>
            <w:webHidden/>
            <w:sz w:val="20"/>
            <w:szCs w:val="20"/>
          </w:rPr>
          <w:t>209</w:t>
        </w:r>
        <w:r w:rsidRPr="000E4A30">
          <w:rPr>
            <w:rFonts w:ascii="Arial" w:hAnsi="Arial" w:cs="Arial"/>
            <w:noProof/>
            <w:webHidden/>
            <w:sz w:val="20"/>
            <w:szCs w:val="20"/>
          </w:rPr>
          <w:fldChar w:fldCharType="end"/>
        </w:r>
      </w:hyperlink>
    </w:p>
    <w:p w14:paraId="1351EFCD" w14:textId="1BF49440" w:rsidR="003C1BA0" w:rsidRPr="000E4A30" w:rsidRDefault="003C1BA0">
      <w:pPr>
        <w:pStyle w:val="TOC5"/>
        <w:rPr>
          <w:rFonts w:ascii="Arial" w:hAnsi="Arial" w:cs="Arial"/>
          <w:noProof/>
          <w:kern w:val="2"/>
          <w:sz w:val="20"/>
          <w:szCs w:val="20"/>
          <w14:ligatures w14:val="standardContextual"/>
        </w:rPr>
      </w:pPr>
      <w:hyperlink w:anchor="_Toc225877761" w:history="1">
        <w:r w:rsidRPr="000E4A30">
          <w:rPr>
            <w:rStyle w:val="Hyperlink"/>
            <w:rFonts w:ascii="Arial" w:hAnsi="Arial" w:cs="Arial"/>
            <w:noProof/>
            <w:sz w:val="20"/>
            <w:szCs w:val="20"/>
          </w:rPr>
          <w:t>ICU Certification</w:t>
        </w:r>
        <w:r w:rsidRPr="000E4A30">
          <w:rPr>
            <w:rFonts w:ascii="Arial" w:hAnsi="Arial" w:cs="Arial"/>
            <w:noProof/>
            <w:webHidden/>
            <w:sz w:val="20"/>
            <w:szCs w:val="20"/>
          </w:rPr>
          <w:tab/>
        </w:r>
        <w:r w:rsidRPr="000E4A30">
          <w:rPr>
            <w:rFonts w:ascii="Arial" w:hAnsi="Arial" w:cs="Arial"/>
            <w:noProof/>
            <w:webHidden/>
            <w:sz w:val="20"/>
            <w:szCs w:val="20"/>
          </w:rPr>
          <w:fldChar w:fldCharType="begin"/>
        </w:r>
        <w:r w:rsidRPr="000E4A30">
          <w:rPr>
            <w:rFonts w:ascii="Arial" w:hAnsi="Arial" w:cs="Arial"/>
            <w:noProof/>
            <w:webHidden/>
            <w:sz w:val="20"/>
            <w:szCs w:val="20"/>
          </w:rPr>
          <w:instrText xml:space="preserve"> PAGEREF _Toc225877761 \h </w:instrText>
        </w:r>
        <w:r w:rsidRPr="000E4A30">
          <w:rPr>
            <w:rFonts w:ascii="Arial" w:hAnsi="Arial" w:cs="Arial"/>
            <w:noProof/>
            <w:webHidden/>
            <w:sz w:val="20"/>
            <w:szCs w:val="20"/>
          </w:rPr>
        </w:r>
        <w:r w:rsidRPr="000E4A30">
          <w:rPr>
            <w:rFonts w:ascii="Arial" w:hAnsi="Arial" w:cs="Arial"/>
            <w:noProof/>
            <w:webHidden/>
            <w:sz w:val="20"/>
            <w:szCs w:val="20"/>
          </w:rPr>
          <w:fldChar w:fldCharType="separate"/>
        </w:r>
        <w:r w:rsidR="002C0DFB">
          <w:rPr>
            <w:rFonts w:ascii="Arial" w:hAnsi="Arial" w:cs="Arial"/>
            <w:noProof/>
            <w:webHidden/>
            <w:sz w:val="20"/>
            <w:szCs w:val="20"/>
          </w:rPr>
          <w:t>209</w:t>
        </w:r>
        <w:r w:rsidRPr="000E4A30">
          <w:rPr>
            <w:rFonts w:ascii="Arial" w:hAnsi="Arial" w:cs="Arial"/>
            <w:noProof/>
            <w:webHidden/>
            <w:sz w:val="20"/>
            <w:szCs w:val="20"/>
          </w:rPr>
          <w:fldChar w:fldCharType="end"/>
        </w:r>
      </w:hyperlink>
    </w:p>
    <w:p w14:paraId="49694431" w14:textId="089F7F73" w:rsidR="003C1BA0" w:rsidRPr="000E4A30" w:rsidRDefault="003C1BA0">
      <w:pPr>
        <w:pStyle w:val="TOC5"/>
        <w:rPr>
          <w:rFonts w:ascii="Arial" w:hAnsi="Arial" w:cs="Arial"/>
          <w:noProof/>
          <w:kern w:val="2"/>
          <w:sz w:val="20"/>
          <w:szCs w:val="20"/>
          <w14:ligatures w14:val="standardContextual"/>
        </w:rPr>
      </w:pPr>
      <w:hyperlink w:anchor="_Toc225877762" w:history="1">
        <w:r w:rsidRPr="000E4A30">
          <w:rPr>
            <w:rStyle w:val="Hyperlink"/>
            <w:rFonts w:ascii="Arial" w:hAnsi="Arial" w:cs="Arial"/>
            <w:noProof/>
            <w:sz w:val="20"/>
            <w:szCs w:val="20"/>
          </w:rPr>
          <w:t>ICU Telemedicine</w:t>
        </w:r>
        <w:r w:rsidRPr="000E4A30">
          <w:rPr>
            <w:rFonts w:ascii="Arial" w:hAnsi="Arial" w:cs="Arial"/>
            <w:noProof/>
            <w:webHidden/>
            <w:sz w:val="20"/>
            <w:szCs w:val="20"/>
          </w:rPr>
          <w:tab/>
        </w:r>
        <w:r w:rsidRPr="000E4A30">
          <w:rPr>
            <w:rFonts w:ascii="Arial" w:hAnsi="Arial" w:cs="Arial"/>
            <w:noProof/>
            <w:webHidden/>
            <w:sz w:val="20"/>
            <w:szCs w:val="20"/>
          </w:rPr>
          <w:fldChar w:fldCharType="begin"/>
        </w:r>
        <w:r w:rsidRPr="000E4A30">
          <w:rPr>
            <w:rFonts w:ascii="Arial" w:hAnsi="Arial" w:cs="Arial"/>
            <w:noProof/>
            <w:webHidden/>
            <w:sz w:val="20"/>
            <w:szCs w:val="20"/>
          </w:rPr>
          <w:instrText xml:space="preserve"> PAGEREF _Toc225877762 \h </w:instrText>
        </w:r>
        <w:r w:rsidRPr="000E4A30">
          <w:rPr>
            <w:rFonts w:ascii="Arial" w:hAnsi="Arial" w:cs="Arial"/>
            <w:noProof/>
            <w:webHidden/>
            <w:sz w:val="20"/>
            <w:szCs w:val="20"/>
          </w:rPr>
        </w:r>
        <w:r w:rsidRPr="000E4A30">
          <w:rPr>
            <w:rFonts w:ascii="Arial" w:hAnsi="Arial" w:cs="Arial"/>
            <w:noProof/>
            <w:webHidden/>
            <w:sz w:val="20"/>
            <w:szCs w:val="20"/>
          </w:rPr>
          <w:fldChar w:fldCharType="separate"/>
        </w:r>
        <w:r w:rsidR="002C0DFB">
          <w:rPr>
            <w:rFonts w:ascii="Arial" w:hAnsi="Arial" w:cs="Arial"/>
            <w:noProof/>
            <w:webHidden/>
            <w:sz w:val="20"/>
            <w:szCs w:val="20"/>
          </w:rPr>
          <w:t>210</w:t>
        </w:r>
        <w:r w:rsidRPr="000E4A30">
          <w:rPr>
            <w:rFonts w:ascii="Arial" w:hAnsi="Arial" w:cs="Arial"/>
            <w:noProof/>
            <w:webHidden/>
            <w:sz w:val="20"/>
            <w:szCs w:val="20"/>
          </w:rPr>
          <w:fldChar w:fldCharType="end"/>
        </w:r>
      </w:hyperlink>
    </w:p>
    <w:p w14:paraId="6669F8E5" w14:textId="50EE0285" w:rsidR="003C1BA0" w:rsidRPr="000E4A30" w:rsidRDefault="003C1BA0">
      <w:pPr>
        <w:pStyle w:val="TOC5"/>
        <w:rPr>
          <w:rFonts w:ascii="Arial" w:hAnsi="Arial" w:cs="Arial"/>
          <w:noProof/>
          <w:kern w:val="2"/>
          <w:sz w:val="20"/>
          <w:szCs w:val="20"/>
          <w14:ligatures w14:val="standardContextual"/>
        </w:rPr>
      </w:pPr>
      <w:hyperlink w:anchor="_Toc225877763" w:history="1">
        <w:r w:rsidRPr="000E4A30">
          <w:rPr>
            <w:rStyle w:val="Hyperlink"/>
            <w:rFonts w:ascii="Arial" w:hAnsi="Arial" w:cs="Arial"/>
            <w:noProof/>
            <w:sz w:val="20"/>
            <w:szCs w:val="20"/>
          </w:rPr>
          <w:t>ICU Response Time</w:t>
        </w:r>
        <w:r w:rsidRPr="000E4A30">
          <w:rPr>
            <w:rFonts w:ascii="Arial" w:hAnsi="Arial" w:cs="Arial"/>
            <w:noProof/>
            <w:webHidden/>
            <w:sz w:val="20"/>
            <w:szCs w:val="20"/>
          </w:rPr>
          <w:tab/>
        </w:r>
        <w:r w:rsidRPr="000E4A30">
          <w:rPr>
            <w:rFonts w:ascii="Arial" w:hAnsi="Arial" w:cs="Arial"/>
            <w:noProof/>
            <w:webHidden/>
            <w:sz w:val="20"/>
            <w:szCs w:val="20"/>
          </w:rPr>
          <w:fldChar w:fldCharType="begin"/>
        </w:r>
        <w:r w:rsidRPr="000E4A30">
          <w:rPr>
            <w:rFonts w:ascii="Arial" w:hAnsi="Arial" w:cs="Arial"/>
            <w:noProof/>
            <w:webHidden/>
            <w:sz w:val="20"/>
            <w:szCs w:val="20"/>
          </w:rPr>
          <w:instrText xml:space="preserve"> PAGEREF _Toc225877763 \h </w:instrText>
        </w:r>
        <w:r w:rsidRPr="000E4A30">
          <w:rPr>
            <w:rFonts w:ascii="Arial" w:hAnsi="Arial" w:cs="Arial"/>
            <w:noProof/>
            <w:webHidden/>
            <w:sz w:val="20"/>
            <w:szCs w:val="20"/>
          </w:rPr>
        </w:r>
        <w:r w:rsidRPr="000E4A30">
          <w:rPr>
            <w:rFonts w:ascii="Arial" w:hAnsi="Arial" w:cs="Arial"/>
            <w:noProof/>
            <w:webHidden/>
            <w:sz w:val="20"/>
            <w:szCs w:val="20"/>
          </w:rPr>
          <w:fldChar w:fldCharType="separate"/>
        </w:r>
        <w:r w:rsidR="002C0DFB">
          <w:rPr>
            <w:rFonts w:ascii="Arial" w:hAnsi="Arial" w:cs="Arial"/>
            <w:noProof/>
            <w:webHidden/>
            <w:sz w:val="20"/>
            <w:szCs w:val="20"/>
          </w:rPr>
          <w:t>210</w:t>
        </w:r>
        <w:r w:rsidRPr="000E4A30">
          <w:rPr>
            <w:rFonts w:ascii="Arial" w:hAnsi="Arial" w:cs="Arial"/>
            <w:noProof/>
            <w:webHidden/>
            <w:sz w:val="20"/>
            <w:szCs w:val="20"/>
          </w:rPr>
          <w:fldChar w:fldCharType="end"/>
        </w:r>
      </w:hyperlink>
    </w:p>
    <w:p w14:paraId="0A7E5504" w14:textId="474AE45B" w:rsidR="003C1BA0" w:rsidRPr="000E4A30" w:rsidRDefault="003C1BA0">
      <w:pPr>
        <w:pStyle w:val="TOC5"/>
        <w:rPr>
          <w:rFonts w:ascii="Arial" w:hAnsi="Arial" w:cs="Arial"/>
          <w:noProof/>
          <w:kern w:val="2"/>
          <w:sz w:val="20"/>
          <w:szCs w:val="20"/>
          <w14:ligatures w14:val="standardContextual"/>
        </w:rPr>
      </w:pPr>
      <w:hyperlink w:anchor="_Toc225877764" w:history="1">
        <w:r w:rsidRPr="000E4A30">
          <w:rPr>
            <w:rStyle w:val="Hyperlink"/>
            <w:rFonts w:ascii="Arial" w:hAnsi="Arial" w:cs="Arial"/>
            <w:noProof/>
            <w:sz w:val="20"/>
            <w:szCs w:val="20"/>
          </w:rPr>
          <w:t>ICU Rounding</w:t>
        </w:r>
        <w:r w:rsidRPr="000E4A30">
          <w:rPr>
            <w:rFonts w:ascii="Arial" w:hAnsi="Arial" w:cs="Arial"/>
            <w:noProof/>
            <w:webHidden/>
            <w:sz w:val="20"/>
            <w:szCs w:val="20"/>
          </w:rPr>
          <w:tab/>
        </w:r>
        <w:r w:rsidRPr="000E4A30">
          <w:rPr>
            <w:rFonts w:ascii="Arial" w:hAnsi="Arial" w:cs="Arial"/>
            <w:noProof/>
            <w:webHidden/>
            <w:sz w:val="20"/>
            <w:szCs w:val="20"/>
          </w:rPr>
          <w:fldChar w:fldCharType="begin"/>
        </w:r>
        <w:r w:rsidRPr="000E4A30">
          <w:rPr>
            <w:rFonts w:ascii="Arial" w:hAnsi="Arial" w:cs="Arial"/>
            <w:noProof/>
            <w:webHidden/>
            <w:sz w:val="20"/>
            <w:szCs w:val="20"/>
          </w:rPr>
          <w:instrText xml:space="preserve"> PAGEREF _Toc225877764 \h </w:instrText>
        </w:r>
        <w:r w:rsidRPr="000E4A30">
          <w:rPr>
            <w:rFonts w:ascii="Arial" w:hAnsi="Arial" w:cs="Arial"/>
            <w:noProof/>
            <w:webHidden/>
            <w:sz w:val="20"/>
            <w:szCs w:val="20"/>
          </w:rPr>
        </w:r>
        <w:r w:rsidRPr="000E4A30">
          <w:rPr>
            <w:rFonts w:ascii="Arial" w:hAnsi="Arial" w:cs="Arial"/>
            <w:noProof/>
            <w:webHidden/>
            <w:sz w:val="20"/>
            <w:szCs w:val="20"/>
          </w:rPr>
          <w:fldChar w:fldCharType="separate"/>
        </w:r>
        <w:r w:rsidR="002C0DFB">
          <w:rPr>
            <w:rFonts w:ascii="Arial" w:hAnsi="Arial" w:cs="Arial"/>
            <w:noProof/>
            <w:webHidden/>
            <w:sz w:val="20"/>
            <w:szCs w:val="20"/>
          </w:rPr>
          <w:t>211</w:t>
        </w:r>
        <w:r w:rsidRPr="000E4A30">
          <w:rPr>
            <w:rFonts w:ascii="Arial" w:hAnsi="Arial" w:cs="Arial"/>
            <w:noProof/>
            <w:webHidden/>
            <w:sz w:val="20"/>
            <w:szCs w:val="20"/>
          </w:rPr>
          <w:fldChar w:fldCharType="end"/>
        </w:r>
      </w:hyperlink>
    </w:p>
    <w:p w14:paraId="2B903C8B" w14:textId="28277175" w:rsidR="003C1BA0" w:rsidRPr="000E4A30" w:rsidRDefault="003C1BA0">
      <w:pPr>
        <w:pStyle w:val="TOC5"/>
        <w:rPr>
          <w:rFonts w:ascii="Arial" w:hAnsi="Arial" w:cs="Arial"/>
          <w:noProof/>
          <w:kern w:val="2"/>
          <w:sz w:val="20"/>
          <w:szCs w:val="20"/>
          <w14:ligatures w14:val="standardContextual"/>
        </w:rPr>
      </w:pPr>
      <w:hyperlink w:anchor="_Toc225877765" w:history="1">
        <w:r w:rsidRPr="000E4A30">
          <w:rPr>
            <w:rStyle w:val="Hyperlink"/>
            <w:rFonts w:ascii="Arial" w:hAnsi="Arial" w:cs="Arial"/>
            <w:noProof/>
            <w:sz w:val="20"/>
            <w:szCs w:val="20"/>
          </w:rPr>
          <w:t>Total Nursing Care Hours per Patient Day and RN Hours per Patient Day FAQs</w:t>
        </w:r>
        <w:r w:rsidRPr="000E4A30">
          <w:rPr>
            <w:rFonts w:ascii="Arial" w:hAnsi="Arial" w:cs="Arial"/>
            <w:noProof/>
            <w:webHidden/>
            <w:sz w:val="20"/>
            <w:szCs w:val="20"/>
          </w:rPr>
          <w:tab/>
        </w:r>
        <w:r w:rsidRPr="000E4A30">
          <w:rPr>
            <w:rFonts w:ascii="Arial" w:hAnsi="Arial" w:cs="Arial"/>
            <w:noProof/>
            <w:webHidden/>
            <w:sz w:val="20"/>
            <w:szCs w:val="20"/>
          </w:rPr>
          <w:fldChar w:fldCharType="begin"/>
        </w:r>
        <w:r w:rsidRPr="000E4A30">
          <w:rPr>
            <w:rFonts w:ascii="Arial" w:hAnsi="Arial" w:cs="Arial"/>
            <w:noProof/>
            <w:webHidden/>
            <w:sz w:val="20"/>
            <w:szCs w:val="20"/>
          </w:rPr>
          <w:instrText xml:space="preserve"> PAGEREF _Toc225877765 \h </w:instrText>
        </w:r>
        <w:r w:rsidRPr="000E4A30">
          <w:rPr>
            <w:rFonts w:ascii="Arial" w:hAnsi="Arial" w:cs="Arial"/>
            <w:noProof/>
            <w:webHidden/>
            <w:sz w:val="20"/>
            <w:szCs w:val="20"/>
          </w:rPr>
        </w:r>
        <w:r w:rsidRPr="000E4A30">
          <w:rPr>
            <w:rFonts w:ascii="Arial" w:hAnsi="Arial" w:cs="Arial"/>
            <w:noProof/>
            <w:webHidden/>
            <w:sz w:val="20"/>
            <w:szCs w:val="20"/>
          </w:rPr>
          <w:fldChar w:fldCharType="separate"/>
        </w:r>
        <w:r w:rsidR="002C0DFB">
          <w:rPr>
            <w:rFonts w:ascii="Arial" w:hAnsi="Arial" w:cs="Arial"/>
            <w:noProof/>
            <w:webHidden/>
            <w:sz w:val="20"/>
            <w:szCs w:val="20"/>
          </w:rPr>
          <w:t>211</w:t>
        </w:r>
        <w:r w:rsidRPr="000E4A30">
          <w:rPr>
            <w:rFonts w:ascii="Arial" w:hAnsi="Arial" w:cs="Arial"/>
            <w:noProof/>
            <w:webHidden/>
            <w:sz w:val="20"/>
            <w:szCs w:val="20"/>
          </w:rPr>
          <w:fldChar w:fldCharType="end"/>
        </w:r>
      </w:hyperlink>
    </w:p>
    <w:p w14:paraId="576F5BEA" w14:textId="630B6DF5" w:rsidR="003C1BA0" w:rsidRPr="000E4A30" w:rsidRDefault="003C1BA0">
      <w:pPr>
        <w:pStyle w:val="TOC5"/>
        <w:rPr>
          <w:rFonts w:ascii="Arial" w:hAnsi="Arial" w:cs="Arial"/>
          <w:noProof/>
          <w:kern w:val="2"/>
          <w:sz w:val="20"/>
          <w:szCs w:val="20"/>
          <w14:ligatures w14:val="standardContextual"/>
        </w:rPr>
      </w:pPr>
      <w:hyperlink w:anchor="_Toc225877766" w:history="1">
        <w:r w:rsidRPr="000E4A30">
          <w:rPr>
            <w:rStyle w:val="Hyperlink"/>
            <w:rFonts w:ascii="Arial" w:hAnsi="Arial" w:cs="Arial"/>
            <w:noProof/>
            <w:sz w:val="20"/>
            <w:szCs w:val="20"/>
          </w:rPr>
          <w:t>NQF Safe Practice #9 – Nursing Workforce FAQs</w:t>
        </w:r>
        <w:r w:rsidRPr="000E4A30">
          <w:rPr>
            <w:rFonts w:ascii="Arial" w:hAnsi="Arial" w:cs="Arial"/>
            <w:noProof/>
            <w:webHidden/>
            <w:sz w:val="20"/>
            <w:szCs w:val="20"/>
          </w:rPr>
          <w:tab/>
        </w:r>
        <w:r w:rsidRPr="000E4A30">
          <w:rPr>
            <w:rFonts w:ascii="Arial" w:hAnsi="Arial" w:cs="Arial"/>
            <w:noProof/>
            <w:webHidden/>
            <w:sz w:val="20"/>
            <w:szCs w:val="20"/>
          </w:rPr>
          <w:fldChar w:fldCharType="begin"/>
        </w:r>
        <w:r w:rsidRPr="000E4A30">
          <w:rPr>
            <w:rFonts w:ascii="Arial" w:hAnsi="Arial" w:cs="Arial"/>
            <w:noProof/>
            <w:webHidden/>
            <w:sz w:val="20"/>
            <w:szCs w:val="20"/>
          </w:rPr>
          <w:instrText xml:space="preserve"> PAGEREF _Toc225877766 \h </w:instrText>
        </w:r>
        <w:r w:rsidRPr="000E4A30">
          <w:rPr>
            <w:rFonts w:ascii="Arial" w:hAnsi="Arial" w:cs="Arial"/>
            <w:noProof/>
            <w:webHidden/>
            <w:sz w:val="20"/>
            <w:szCs w:val="20"/>
          </w:rPr>
        </w:r>
        <w:r w:rsidRPr="000E4A30">
          <w:rPr>
            <w:rFonts w:ascii="Arial" w:hAnsi="Arial" w:cs="Arial"/>
            <w:noProof/>
            <w:webHidden/>
            <w:sz w:val="20"/>
            <w:szCs w:val="20"/>
          </w:rPr>
          <w:fldChar w:fldCharType="separate"/>
        </w:r>
        <w:r w:rsidR="002C0DFB">
          <w:rPr>
            <w:rFonts w:ascii="Arial" w:hAnsi="Arial" w:cs="Arial"/>
            <w:noProof/>
            <w:webHidden/>
            <w:sz w:val="20"/>
            <w:szCs w:val="20"/>
          </w:rPr>
          <w:t>212</w:t>
        </w:r>
        <w:r w:rsidRPr="000E4A30">
          <w:rPr>
            <w:rFonts w:ascii="Arial" w:hAnsi="Arial" w:cs="Arial"/>
            <w:noProof/>
            <w:webHidden/>
            <w:sz w:val="20"/>
            <w:szCs w:val="20"/>
          </w:rPr>
          <w:fldChar w:fldCharType="end"/>
        </w:r>
      </w:hyperlink>
    </w:p>
    <w:p w14:paraId="6625FB6B" w14:textId="6AF7A79E" w:rsidR="003C1BA0" w:rsidRPr="000E4A30" w:rsidRDefault="003C1BA0">
      <w:pPr>
        <w:pStyle w:val="TOC5"/>
        <w:rPr>
          <w:rFonts w:ascii="Arial" w:hAnsi="Arial" w:cs="Arial"/>
          <w:noProof/>
          <w:kern w:val="2"/>
          <w:sz w:val="20"/>
          <w:szCs w:val="20"/>
          <w14:ligatures w14:val="standardContextual"/>
        </w:rPr>
      </w:pPr>
      <w:hyperlink w:anchor="_Toc225877767" w:history="1">
        <w:r w:rsidRPr="000E4A30">
          <w:rPr>
            <w:rStyle w:val="Hyperlink"/>
            <w:rFonts w:ascii="Arial" w:hAnsi="Arial" w:cs="Arial"/>
            <w:noProof/>
            <w:sz w:val="20"/>
            <w:szCs w:val="20"/>
          </w:rPr>
          <w:t>Percentage of RNs who are BSN-Prepared FAQs</w:t>
        </w:r>
        <w:r w:rsidRPr="000E4A30">
          <w:rPr>
            <w:rFonts w:ascii="Arial" w:hAnsi="Arial" w:cs="Arial"/>
            <w:noProof/>
            <w:webHidden/>
            <w:sz w:val="20"/>
            <w:szCs w:val="20"/>
          </w:rPr>
          <w:tab/>
        </w:r>
        <w:r w:rsidRPr="000E4A30">
          <w:rPr>
            <w:rFonts w:ascii="Arial" w:hAnsi="Arial" w:cs="Arial"/>
            <w:noProof/>
            <w:webHidden/>
            <w:sz w:val="20"/>
            <w:szCs w:val="20"/>
          </w:rPr>
          <w:fldChar w:fldCharType="begin"/>
        </w:r>
        <w:r w:rsidRPr="000E4A30">
          <w:rPr>
            <w:rFonts w:ascii="Arial" w:hAnsi="Arial" w:cs="Arial"/>
            <w:noProof/>
            <w:webHidden/>
            <w:sz w:val="20"/>
            <w:szCs w:val="20"/>
          </w:rPr>
          <w:instrText xml:space="preserve"> PAGEREF _Toc225877767 \h </w:instrText>
        </w:r>
        <w:r w:rsidRPr="000E4A30">
          <w:rPr>
            <w:rFonts w:ascii="Arial" w:hAnsi="Arial" w:cs="Arial"/>
            <w:noProof/>
            <w:webHidden/>
            <w:sz w:val="20"/>
            <w:szCs w:val="20"/>
          </w:rPr>
        </w:r>
        <w:r w:rsidRPr="000E4A30">
          <w:rPr>
            <w:rFonts w:ascii="Arial" w:hAnsi="Arial" w:cs="Arial"/>
            <w:noProof/>
            <w:webHidden/>
            <w:sz w:val="20"/>
            <w:szCs w:val="20"/>
          </w:rPr>
          <w:fldChar w:fldCharType="separate"/>
        </w:r>
        <w:r w:rsidR="002C0DFB">
          <w:rPr>
            <w:rFonts w:ascii="Arial" w:hAnsi="Arial" w:cs="Arial"/>
            <w:noProof/>
            <w:webHidden/>
            <w:sz w:val="20"/>
            <w:szCs w:val="20"/>
          </w:rPr>
          <w:t>213</w:t>
        </w:r>
        <w:r w:rsidRPr="000E4A30">
          <w:rPr>
            <w:rFonts w:ascii="Arial" w:hAnsi="Arial" w:cs="Arial"/>
            <w:noProof/>
            <w:webHidden/>
            <w:sz w:val="20"/>
            <w:szCs w:val="20"/>
          </w:rPr>
          <w:fldChar w:fldCharType="end"/>
        </w:r>
      </w:hyperlink>
    </w:p>
    <w:p w14:paraId="5A2B28C9" w14:textId="2DE391B7" w:rsidR="003C1BA0" w:rsidRPr="000E4A30" w:rsidRDefault="003C1BA0">
      <w:pPr>
        <w:pStyle w:val="TOC1"/>
        <w:rPr>
          <w:rFonts w:eastAsiaTheme="minorEastAsia" w:cs="Arial"/>
          <w:noProof/>
          <w:kern w:val="2"/>
          <w14:ligatures w14:val="standardContextual"/>
        </w:rPr>
      </w:pPr>
      <w:hyperlink w:anchor="_Toc225877768" w:history="1">
        <w:r w:rsidRPr="000E4A30">
          <w:rPr>
            <w:rStyle w:val="Hyperlink"/>
            <w:rFonts w:cs="Arial"/>
            <w:noProof/>
          </w:rPr>
          <w:t>Page Intentionally Left Blank</w:t>
        </w:r>
        <w:r w:rsidRPr="000E4A30">
          <w:rPr>
            <w:rFonts w:cs="Arial"/>
            <w:noProof/>
            <w:webHidden/>
          </w:rPr>
          <w:tab/>
        </w:r>
        <w:r w:rsidRPr="000E4A30">
          <w:rPr>
            <w:rFonts w:cs="Arial"/>
            <w:noProof/>
            <w:webHidden/>
          </w:rPr>
          <w:fldChar w:fldCharType="begin"/>
        </w:r>
        <w:r w:rsidRPr="000E4A30">
          <w:rPr>
            <w:rFonts w:cs="Arial"/>
            <w:noProof/>
            <w:webHidden/>
          </w:rPr>
          <w:instrText xml:space="preserve"> PAGEREF _Toc225877768 \h </w:instrText>
        </w:r>
        <w:r w:rsidRPr="000E4A30">
          <w:rPr>
            <w:rFonts w:cs="Arial"/>
            <w:noProof/>
            <w:webHidden/>
          </w:rPr>
        </w:r>
        <w:r w:rsidRPr="000E4A30">
          <w:rPr>
            <w:rFonts w:cs="Arial"/>
            <w:noProof/>
            <w:webHidden/>
          </w:rPr>
          <w:fldChar w:fldCharType="separate"/>
        </w:r>
        <w:r w:rsidR="002C0DFB">
          <w:rPr>
            <w:rFonts w:cs="Arial"/>
            <w:noProof/>
            <w:webHidden/>
          </w:rPr>
          <w:t>214</w:t>
        </w:r>
        <w:r w:rsidRPr="000E4A30">
          <w:rPr>
            <w:rFonts w:cs="Arial"/>
            <w:noProof/>
            <w:webHidden/>
          </w:rPr>
          <w:fldChar w:fldCharType="end"/>
        </w:r>
      </w:hyperlink>
    </w:p>
    <w:p w14:paraId="44C89CF5" w14:textId="639FC5BB" w:rsidR="003C1BA0" w:rsidRPr="000E4A30" w:rsidRDefault="003C1BA0">
      <w:pPr>
        <w:pStyle w:val="TOC1"/>
        <w:rPr>
          <w:rFonts w:eastAsiaTheme="minorEastAsia" w:cs="Arial"/>
          <w:noProof/>
          <w:kern w:val="2"/>
          <w14:ligatures w14:val="standardContextual"/>
        </w:rPr>
      </w:pPr>
      <w:hyperlink w:anchor="_Toc225877769" w:history="1">
        <w:r w:rsidRPr="000E4A30">
          <w:rPr>
            <w:rStyle w:val="Hyperlink"/>
            <w:rFonts w:cs="Arial"/>
            <w:noProof/>
          </w:rPr>
          <w:t>SECTION 6: PATIENT SAFETY PRACTICES</w:t>
        </w:r>
        <w:r w:rsidRPr="000E4A30">
          <w:rPr>
            <w:rFonts w:cs="Arial"/>
            <w:noProof/>
            <w:webHidden/>
          </w:rPr>
          <w:tab/>
        </w:r>
        <w:r w:rsidRPr="000E4A30">
          <w:rPr>
            <w:rFonts w:cs="Arial"/>
            <w:noProof/>
            <w:webHidden/>
          </w:rPr>
          <w:fldChar w:fldCharType="begin"/>
        </w:r>
        <w:r w:rsidRPr="000E4A30">
          <w:rPr>
            <w:rFonts w:cs="Arial"/>
            <w:noProof/>
            <w:webHidden/>
          </w:rPr>
          <w:instrText xml:space="preserve"> PAGEREF _Toc225877769 \h </w:instrText>
        </w:r>
        <w:r w:rsidRPr="000E4A30">
          <w:rPr>
            <w:rFonts w:cs="Arial"/>
            <w:noProof/>
            <w:webHidden/>
          </w:rPr>
        </w:r>
        <w:r w:rsidRPr="000E4A30">
          <w:rPr>
            <w:rFonts w:cs="Arial"/>
            <w:noProof/>
            <w:webHidden/>
          </w:rPr>
          <w:fldChar w:fldCharType="separate"/>
        </w:r>
        <w:r w:rsidR="002C0DFB">
          <w:rPr>
            <w:rFonts w:cs="Arial"/>
            <w:noProof/>
            <w:webHidden/>
          </w:rPr>
          <w:t>215</w:t>
        </w:r>
        <w:r w:rsidRPr="000E4A30">
          <w:rPr>
            <w:rFonts w:cs="Arial"/>
            <w:noProof/>
            <w:webHidden/>
          </w:rPr>
          <w:fldChar w:fldCharType="end"/>
        </w:r>
      </w:hyperlink>
    </w:p>
    <w:p w14:paraId="5F3A3918" w14:textId="5C483084" w:rsidR="003C1BA0" w:rsidRPr="000E4A30" w:rsidRDefault="003C1BA0">
      <w:pPr>
        <w:pStyle w:val="TOC4"/>
        <w:rPr>
          <w:rFonts w:eastAsiaTheme="minorEastAsia" w:cs="Arial"/>
          <w:noProof/>
          <w:kern w:val="2"/>
          <w14:ligatures w14:val="standardContextual"/>
        </w:rPr>
      </w:pPr>
      <w:hyperlink w:anchor="_Toc225877770" w:history="1">
        <w:r w:rsidRPr="000E4A30">
          <w:rPr>
            <w:rStyle w:val="Hyperlink"/>
            <w:rFonts w:cs="Arial"/>
            <w:noProof/>
          </w:rPr>
          <w:t>Section 6: Patient Safety Practices</w:t>
        </w:r>
        <w:r w:rsidRPr="000E4A30">
          <w:rPr>
            <w:rFonts w:cs="Arial"/>
            <w:noProof/>
            <w:webHidden/>
          </w:rPr>
          <w:tab/>
        </w:r>
        <w:r w:rsidRPr="000E4A30">
          <w:rPr>
            <w:rFonts w:cs="Arial"/>
            <w:noProof/>
            <w:webHidden/>
          </w:rPr>
          <w:fldChar w:fldCharType="begin"/>
        </w:r>
        <w:r w:rsidRPr="000E4A30">
          <w:rPr>
            <w:rFonts w:cs="Arial"/>
            <w:noProof/>
            <w:webHidden/>
          </w:rPr>
          <w:instrText xml:space="preserve"> PAGEREF _Toc225877770 \h </w:instrText>
        </w:r>
        <w:r w:rsidRPr="000E4A30">
          <w:rPr>
            <w:rFonts w:cs="Arial"/>
            <w:noProof/>
            <w:webHidden/>
          </w:rPr>
        </w:r>
        <w:r w:rsidRPr="000E4A30">
          <w:rPr>
            <w:rFonts w:cs="Arial"/>
            <w:noProof/>
            <w:webHidden/>
          </w:rPr>
          <w:fldChar w:fldCharType="separate"/>
        </w:r>
        <w:r w:rsidR="002C0DFB">
          <w:rPr>
            <w:rFonts w:cs="Arial"/>
            <w:noProof/>
            <w:webHidden/>
          </w:rPr>
          <w:t>216</w:t>
        </w:r>
        <w:r w:rsidRPr="000E4A30">
          <w:rPr>
            <w:rFonts w:cs="Arial"/>
            <w:noProof/>
            <w:webHidden/>
          </w:rPr>
          <w:fldChar w:fldCharType="end"/>
        </w:r>
      </w:hyperlink>
    </w:p>
    <w:p w14:paraId="57AD429B" w14:textId="46779E8C" w:rsidR="003C1BA0" w:rsidRPr="000E4A30" w:rsidRDefault="003C1BA0">
      <w:pPr>
        <w:pStyle w:val="TOC4"/>
        <w:rPr>
          <w:rFonts w:eastAsiaTheme="minorEastAsia" w:cs="Arial"/>
          <w:noProof/>
          <w:kern w:val="2"/>
          <w14:ligatures w14:val="standardContextual"/>
        </w:rPr>
      </w:pPr>
      <w:hyperlink w:anchor="_Toc225877771" w:history="1">
        <w:r w:rsidRPr="000E4A30">
          <w:rPr>
            <w:rStyle w:val="Hyperlink"/>
            <w:rFonts w:cs="Arial"/>
            <w:noProof/>
          </w:rPr>
          <w:t>6A: NQF Safe Practice #1 – Culture of Safety Leadership Structures and Systems</w:t>
        </w:r>
        <w:r w:rsidRPr="000E4A30">
          <w:rPr>
            <w:rFonts w:cs="Arial"/>
            <w:noProof/>
            <w:webHidden/>
          </w:rPr>
          <w:tab/>
        </w:r>
        <w:r w:rsidRPr="000E4A30">
          <w:rPr>
            <w:rFonts w:cs="Arial"/>
            <w:noProof/>
            <w:webHidden/>
          </w:rPr>
          <w:fldChar w:fldCharType="begin"/>
        </w:r>
        <w:r w:rsidRPr="000E4A30">
          <w:rPr>
            <w:rFonts w:cs="Arial"/>
            <w:noProof/>
            <w:webHidden/>
          </w:rPr>
          <w:instrText xml:space="preserve"> PAGEREF _Toc225877771 \h </w:instrText>
        </w:r>
        <w:r w:rsidRPr="000E4A30">
          <w:rPr>
            <w:rFonts w:cs="Arial"/>
            <w:noProof/>
            <w:webHidden/>
          </w:rPr>
        </w:r>
        <w:r w:rsidRPr="000E4A30">
          <w:rPr>
            <w:rFonts w:cs="Arial"/>
            <w:noProof/>
            <w:webHidden/>
          </w:rPr>
          <w:fldChar w:fldCharType="separate"/>
        </w:r>
        <w:r w:rsidR="002C0DFB">
          <w:rPr>
            <w:rFonts w:cs="Arial"/>
            <w:noProof/>
            <w:webHidden/>
          </w:rPr>
          <w:t>217</w:t>
        </w:r>
        <w:r w:rsidRPr="000E4A30">
          <w:rPr>
            <w:rFonts w:cs="Arial"/>
            <w:noProof/>
            <w:webHidden/>
          </w:rPr>
          <w:fldChar w:fldCharType="end"/>
        </w:r>
      </w:hyperlink>
    </w:p>
    <w:p w14:paraId="2CE11BF0" w14:textId="6272C840" w:rsidR="003C1BA0" w:rsidRPr="000E4A30" w:rsidRDefault="003C1BA0">
      <w:pPr>
        <w:pStyle w:val="TOC5"/>
        <w:rPr>
          <w:rFonts w:ascii="Arial" w:hAnsi="Arial" w:cs="Arial"/>
          <w:noProof/>
          <w:kern w:val="2"/>
          <w:sz w:val="20"/>
          <w:szCs w:val="20"/>
          <w14:ligatures w14:val="standardContextual"/>
        </w:rPr>
      </w:pPr>
      <w:hyperlink w:anchor="_Toc225877772" w:history="1">
        <w:r w:rsidRPr="000E4A30">
          <w:rPr>
            <w:rStyle w:val="Hyperlink"/>
            <w:rFonts w:ascii="Arial" w:hAnsi="Arial" w:cs="Arial"/>
            <w:noProof/>
            <w:sz w:val="20"/>
            <w:szCs w:val="20"/>
          </w:rPr>
          <w:t>Awareness</w:t>
        </w:r>
        <w:r w:rsidRPr="000E4A30">
          <w:rPr>
            <w:rFonts w:ascii="Arial" w:hAnsi="Arial" w:cs="Arial"/>
            <w:noProof/>
            <w:webHidden/>
            <w:sz w:val="20"/>
            <w:szCs w:val="20"/>
          </w:rPr>
          <w:tab/>
        </w:r>
        <w:r w:rsidRPr="000E4A30">
          <w:rPr>
            <w:rFonts w:ascii="Arial" w:hAnsi="Arial" w:cs="Arial"/>
            <w:noProof/>
            <w:webHidden/>
            <w:sz w:val="20"/>
            <w:szCs w:val="20"/>
          </w:rPr>
          <w:fldChar w:fldCharType="begin"/>
        </w:r>
        <w:r w:rsidRPr="000E4A30">
          <w:rPr>
            <w:rFonts w:ascii="Arial" w:hAnsi="Arial" w:cs="Arial"/>
            <w:noProof/>
            <w:webHidden/>
            <w:sz w:val="20"/>
            <w:szCs w:val="20"/>
          </w:rPr>
          <w:instrText xml:space="preserve"> PAGEREF _Toc225877772 \h </w:instrText>
        </w:r>
        <w:r w:rsidRPr="000E4A30">
          <w:rPr>
            <w:rFonts w:ascii="Arial" w:hAnsi="Arial" w:cs="Arial"/>
            <w:noProof/>
            <w:webHidden/>
            <w:sz w:val="20"/>
            <w:szCs w:val="20"/>
          </w:rPr>
        </w:r>
        <w:r w:rsidRPr="000E4A30">
          <w:rPr>
            <w:rFonts w:ascii="Arial" w:hAnsi="Arial" w:cs="Arial"/>
            <w:noProof/>
            <w:webHidden/>
            <w:sz w:val="20"/>
            <w:szCs w:val="20"/>
          </w:rPr>
          <w:fldChar w:fldCharType="separate"/>
        </w:r>
        <w:r w:rsidR="002C0DFB">
          <w:rPr>
            <w:rFonts w:ascii="Arial" w:hAnsi="Arial" w:cs="Arial"/>
            <w:noProof/>
            <w:webHidden/>
            <w:sz w:val="20"/>
            <w:szCs w:val="20"/>
          </w:rPr>
          <w:t>217</w:t>
        </w:r>
        <w:r w:rsidRPr="000E4A30">
          <w:rPr>
            <w:rFonts w:ascii="Arial" w:hAnsi="Arial" w:cs="Arial"/>
            <w:noProof/>
            <w:webHidden/>
            <w:sz w:val="20"/>
            <w:szCs w:val="20"/>
          </w:rPr>
          <w:fldChar w:fldCharType="end"/>
        </w:r>
      </w:hyperlink>
    </w:p>
    <w:p w14:paraId="52F981AE" w14:textId="035C4550" w:rsidR="003C1BA0" w:rsidRPr="000E4A30" w:rsidRDefault="003C1BA0">
      <w:pPr>
        <w:pStyle w:val="TOC5"/>
        <w:rPr>
          <w:rFonts w:ascii="Arial" w:hAnsi="Arial" w:cs="Arial"/>
          <w:noProof/>
          <w:kern w:val="2"/>
          <w:sz w:val="20"/>
          <w:szCs w:val="20"/>
          <w14:ligatures w14:val="standardContextual"/>
        </w:rPr>
      </w:pPr>
      <w:hyperlink w:anchor="_Toc225877773" w:history="1">
        <w:r w:rsidRPr="000E4A30">
          <w:rPr>
            <w:rStyle w:val="Hyperlink"/>
            <w:rFonts w:ascii="Arial" w:hAnsi="Arial" w:cs="Arial"/>
            <w:noProof/>
            <w:sz w:val="20"/>
            <w:szCs w:val="20"/>
          </w:rPr>
          <w:t>Accountability</w:t>
        </w:r>
        <w:r w:rsidRPr="000E4A30">
          <w:rPr>
            <w:rFonts w:ascii="Arial" w:hAnsi="Arial" w:cs="Arial"/>
            <w:noProof/>
            <w:webHidden/>
            <w:sz w:val="20"/>
            <w:szCs w:val="20"/>
          </w:rPr>
          <w:tab/>
        </w:r>
        <w:r w:rsidRPr="000E4A30">
          <w:rPr>
            <w:rFonts w:ascii="Arial" w:hAnsi="Arial" w:cs="Arial"/>
            <w:noProof/>
            <w:webHidden/>
            <w:sz w:val="20"/>
            <w:szCs w:val="20"/>
          </w:rPr>
          <w:fldChar w:fldCharType="begin"/>
        </w:r>
        <w:r w:rsidRPr="000E4A30">
          <w:rPr>
            <w:rFonts w:ascii="Arial" w:hAnsi="Arial" w:cs="Arial"/>
            <w:noProof/>
            <w:webHidden/>
            <w:sz w:val="20"/>
            <w:szCs w:val="20"/>
          </w:rPr>
          <w:instrText xml:space="preserve"> PAGEREF _Toc225877773 \h </w:instrText>
        </w:r>
        <w:r w:rsidRPr="000E4A30">
          <w:rPr>
            <w:rFonts w:ascii="Arial" w:hAnsi="Arial" w:cs="Arial"/>
            <w:noProof/>
            <w:webHidden/>
            <w:sz w:val="20"/>
            <w:szCs w:val="20"/>
          </w:rPr>
        </w:r>
        <w:r w:rsidRPr="000E4A30">
          <w:rPr>
            <w:rFonts w:ascii="Arial" w:hAnsi="Arial" w:cs="Arial"/>
            <w:noProof/>
            <w:webHidden/>
            <w:sz w:val="20"/>
            <w:szCs w:val="20"/>
          </w:rPr>
          <w:fldChar w:fldCharType="separate"/>
        </w:r>
        <w:r w:rsidR="002C0DFB">
          <w:rPr>
            <w:rFonts w:ascii="Arial" w:hAnsi="Arial" w:cs="Arial"/>
            <w:noProof/>
            <w:webHidden/>
            <w:sz w:val="20"/>
            <w:szCs w:val="20"/>
          </w:rPr>
          <w:t>217</w:t>
        </w:r>
        <w:r w:rsidRPr="000E4A30">
          <w:rPr>
            <w:rFonts w:ascii="Arial" w:hAnsi="Arial" w:cs="Arial"/>
            <w:noProof/>
            <w:webHidden/>
            <w:sz w:val="20"/>
            <w:szCs w:val="20"/>
          </w:rPr>
          <w:fldChar w:fldCharType="end"/>
        </w:r>
      </w:hyperlink>
    </w:p>
    <w:p w14:paraId="48F0D297" w14:textId="30B2D4E2" w:rsidR="003C1BA0" w:rsidRPr="000E4A30" w:rsidRDefault="003C1BA0">
      <w:pPr>
        <w:pStyle w:val="TOC5"/>
        <w:rPr>
          <w:rFonts w:ascii="Arial" w:hAnsi="Arial" w:cs="Arial"/>
          <w:noProof/>
          <w:kern w:val="2"/>
          <w:sz w:val="20"/>
          <w:szCs w:val="20"/>
          <w14:ligatures w14:val="standardContextual"/>
        </w:rPr>
      </w:pPr>
      <w:hyperlink w:anchor="_Toc225877774" w:history="1">
        <w:r w:rsidRPr="000E4A30">
          <w:rPr>
            <w:rStyle w:val="Hyperlink"/>
            <w:rFonts w:ascii="Arial" w:hAnsi="Arial" w:cs="Arial"/>
            <w:noProof/>
            <w:sz w:val="20"/>
            <w:szCs w:val="20"/>
          </w:rPr>
          <w:t>Ability</w:t>
        </w:r>
        <w:r w:rsidRPr="000E4A30">
          <w:rPr>
            <w:rFonts w:ascii="Arial" w:hAnsi="Arial" w:cs="Arial"/>
            <w:noProof/>
            <w:webHidden/>
            <w:sz w:val="20"/>
            <w:szCs w:val="20"/>
          </w:rPr>
          <w:tab/>
        </w:r>
        <w:r w:rsidRPr="000E4A30">
          <w:rPr>
            <w:rFonts w:ascii="Arial" w:hAnsi="Arial" w:cs="Arial"/>
            <w:noProof/>
            <w:webHidden/>
            <w:sz w:val="20"/>
            <w:szCs w:val="20"/>
          </w:rPr>
          <w:fldChar w:fldCharType="begin"/>
        </w:r>
        <w:r w:rsidRPr="000E4A30">
          <w:rPr>
            <w:rFonts w:ascii="Arial" w:hAnsi="Arial" w:cs="Arial"/>
            <w:noProof/>
            <w:webHidden/>
            <w:sz w:val="20"/>
            <w:szCs w:val="20"/>
          </w:rPr>
          <w:instrText xml:space="preserve"> PAGEREF _Toc225877774 \h </w:instrText>
        </w:r>
        <w:r w:rsidRPr="000E4A30">
          <w:rPr>
            <w:rFonts w:ascii="Arial" w:hAnsi="Arial" w:cs="Arial"/>
            <w:noProof/>
            <w:webHidden/>
            <w:sz w:val="20"/>
            <w:szCs w:val="20"/>
          </w:rPr>
        </w:r>
        <w:r w:rsidRPr="000E4A30">
          <w:rPr>
            <w:rFonts w:ascii="Arial" w:hAnsi="Arial" w:cs="Arial"/>
            <w:noProof/>
            <w:webHidden/>
            <w:sz w:val="20"/>
            <w:szCs w:val="20"/>
          </w:rPr>
          <w:fldChar w:fldCharType="separate"/>
        </w:r>
        <w:r w:rsidR="002C0DFB">
          <w:rPr>
            <w:rFonts w:ascii="Arial" w:hAnsi="Arial" w:cs="Arial"/>
            <w:noProof/>
            <w:webHidden/>
            <w:sz w:val="20"/>
            <w:szCs w:val="20"/>
          </w:rPr>
          <w:t>218</w:t>
        </w:r>
        <w:r w:rsidRPr="000E4A30">
          <w:rPr>
            <w:rFonts w:ascii="Arial" w:hAnsi="Arial" w:cs="Arial"/>
            <w:noProof/>
            <w:webHidden/>
            <w:sz w:val="20"/>
            <w:szCs w:val="20"/>
          </w:rPr>
          <w:fldChar w:fldCharType="end"/>
        </w:r>
      </w:hyperlink>
    </w:p>
    <w:p w14:paraId="59CBD7A6" w14:textId="09815144" w:rsidR="003C1BA0" w:rsidRPr="000E4A30" w:rsidRDefault="003C1BA0">
      <w:pPr>
        <w:pStyle w:val="TOC5"/>
        <w:rPr>
          <w:rFonts w:ascii="Arial" w:hAnsi="Arial" w:cs="Arial"/>
          <w:noProof/>
          <w:kern w:val="2"/>
          <w:sz w:val="20"/>
          <w:szCs w:val="20"/>
          <w14:ligatures w14:val="standardContextual"/>
        </w:rPr>
      </w:pPr>
      <w:hyperlink w:anchor="_Toc225877775" w:history="1">
        <w:r w:rsidRPr="000E4A30">
          <w:rPr>
            <w:rStyle w:val="Hyperlink"/>
            <w:rFonts w:ascii="Arial" w:hAnsi="Arial" w:cs="Arial"/>
            <w:noProof/>
            <w:sz w:val="20"/>
            <w:szCs w:val="20"/>
          </w:rPr>
          <w:t>Action</w:t>
        </w:r>
        <w:r w:rsidRPr="000E4A30">
          <w:rPr>
            <w:rFonts w:ascii="Arial" w:hAnsi="Arial" w:cs="Arial"/>
            <w:noProof/>
            <w:webHidden/>
            <w:sz w:val="20"/>
            <w:szCs w:val="20"/>
          </w:rPr>
          <w:tab/>
        </w:r>
        <w:r w:rsidRPr="000E4A30">
          <w:rPr>
            <w:rFonts w:ascii="Arial" w:hAnsi="Arial" w:cs="Arial"/>
            <w:noProof/>
            <w:webHidden/>
            <w:sz w:val="20"/>
            <w:szCs w:val="20"/>
          </w:rPr>
          <w:fldChar w:fldCharType="begin"/>
        </w:r>
        <w:r w:rsidRPr="000E4A30">
          <w:rPr>
            <w:rFonts w:ascii="Arial" w:hAnsi="Arial" w:cs="Arial"/>
            <w:noProof/>
            <w:webHidden/>
            <w:sz w:val="20"/>
            <w:szCs w:val="20"/>
          </w:rPr>
          <w:instrText xml:space="preserve"> PAGEREF _Toc225877775 \h </w:instrText>
        </w:r>
        <w:r w:rsidRPr="000E4A30">
          <w:rPr>
            <w:rFonts w:ascii="Arial" w:hAnsi="Arial" w:cs="Arial"/>
            <w:noProof/>
            <w:webHidden/>
            <w:sz w:val="20"/>
            <w:szCs w:val="20"/>
          </w:rPr>
        </w:r>
        <w:r w:rsidRPr="000E4A30">
          <w:rPr>
            <w:rFonts w:ascii="Arial" w:hAnsi="Arial" w:cs="Arial"/>
            <w:noProof/>
            <w:webHidden/>
            <w:sz w:val="20"/>
            <w:szCs w:val="20"/>
          </w:rPr>
          <w:fldChar w:fldCharType="separate"/>
        </w:r>
        <w:r w:rsidR="002C0DFB">
          <w:rPr>
            <w:rFonts w:ascii="Arial" w:hAnsi="Arial" w:cs="Arial"/>
            <w:noProof/>
            <w:webHidden/>
            <w:sz w:val="20"/>
            <w:szCs w:val="20"/>
          </w:rPr>
          <w:t>218</w:t>
        </w:r>
        <w:r w:rsidRPr="000E4A30">
          <w:rPr>
            <w:rFonts w:ascii="Arial" w:hAnsi="Arial" w:cs="Arial"/>
            <w:noProof/>
            <w:webHidden/>
            <w:sz w:val="20"/>
            <w:szCs w:val="20"/>
          </w:rPr>
          <w:fldChar w:fldCharType="end"/>
        </w:r>
      </w:hyperlink>
    </w:p>
    <w:p w14:paraId="7C1CF19D" w14:textId="0FA344B6" w:rsidR="003C1BA0" w:rsidRPr="000E4A30" w:rsidRDefault="003C1BA0">
      <w:pPr>
        <w:pStyle w:val="TOC4"/>
        <w:rPr>
          <w:rFonts w:eastAsiaTheme="minorEastAsia" w:cs="Arial"/>
          <w:noProof/>
          <w:kern w:val="2"/>
          <w14:ligatures w14:val="standardContextual"/>
        </w:rPr>
      </w:pPr>
      <w:hyperlink w:anchor="_Toc225877776" w:history="1">
        <w:r w:rsidRPr="000E4A30">
          <w:rPr>
            <w:rStyle w:val="Hyperlink"/>
            <w:rFonts w:cs="Arial"/>
            <w:noProof/>
          </w:rPr>
          <w:t>6B: NQF Safe Practice #2 – Culture Measurement, Feedback, and Intervention</w:t>
        </w:r>
        <w:r w:rsidRPr="000E4A30">
          <w:rPr>
            <w:rFonts w:cs="Arial"/>
            <w:noProof/>
            <w:webHidden/>
          </w:rPr>
          <w:tab/>
        </w:r>
        <w:r w:rsidRPr="000E4A30">
          <w:rPr>
            <w:rFonts w:cs="Arial"/>
            <w:noProof/>
            <w:webHidden/>
          </w:rPr>
          <w:fldChar w:fldCharType="begin"/>
        </w:r>
        <w:r w:rsidRPr="000E4A30">
          <w:rPr>
            <w:rFonts w:cs="Arial"/>
            <w:noProof/>
            <w:webHidden/>
          </w:rPr>
          <w:instrText xml:space="preserve"> PAGEREF _Toc225877776 \h </w:instrText>
        </w:r>
        <w:r w:rsidRPr="000E4A30">
          <w:rPr>
            <w:rFonts w:cs="Arial"/>
            <w:noProof/>
            <w:webHidden/>
          </w:rPr>
        </w:r>
        <w:r w:rsidRPr="000E4A30">
          <w:rPr>
            <w:rFonts w:cs="Arial"/>
            <w:noProof/>
            <w:webHidden/>
          </w:rPr>
          <w:fldChar w:fldCharType="separate"/>
        </w:r>
        <w:r w:rsidR="002C0DFB">
          <w:rPr>
            <w:rFonts w:cs="Arial"/>
            <w:noProof/>
            <w:webHidden/>
          </w:rPr>
          <w:t>219</w:t>
        </w:r>
        <w:r w:rsidRPr="000E4A30">
          <w:rPr>
            <w:rFonts w:cs="Arial"/>
            <w:noProof/>
            <w:webHidden/>
          </w:rPr>
          <w:fldChar w:fldCharType="end"/>
        </w:r>
      </w:hyperlink>
    </w:p>
    <w:p w14:paraId="7D6E0CF7" w14:textId="3BCDBD94" w:rsidR="003C1BA0" w:rsidRPr="000E4A30" w:rsidRDefault="003C1BA0">
      <w:pPr>
        <w:pStyle w:val="TOC5"/>
        <w:rPr>
          <w:rFonts w:ascii="Arial" w:hAnsi="Arial" w:cs="Arial"/>
          <w:noProof/>
          <w:kern w:val="2"/>
          <w:sz w:val="20"/>
          <w:szCs w:val="20"/>
          <w14:ligatures w14:val="standardContextual"/>
        </w:rPr>
      </w:pPr>
      <w:hyperlink w:anchor="_Toc225877777" w:history="1">
        <w:r w:rsidRPr="000E4A30">
          <w:rPr>
            <w:rStyle w:val="Hyperlink"/>
            <w:rFonts w:ascii="Arial" w:hAnsi="Arial" w:cs="Arial"/>
            <w:noProof/>
            <w:sz w:val="20"/>
            <w:szCs w:val="20"/>
          </w:rPr>
          <w:t>Awareness</w:t>
        </w:r>
        <w:r w:rsidRPr="000E4A30">
          <w:rPr>
            <w:rFonts w:ascii="Arial" w:hAnsi="Arial" w:cs="Arial"/>
            <w:noProof/>
            <w:webHidden/>
            <w:sz w:val="20"/>
            <w:szCs w:val="20"/>
          </w:rPr>
          <w:tab/>
        </w:r>
        <w:r w:rsidRPr="000E4A30">
          <w:rPr>
            <w:rFonts w:ascii="Arial" w:hAnsi="Arial" w:cs="Arial"/>
            <w:noProof/>
            <w:webHidden/>
            <w:sz w:val="20"/>
            <w:szCs w:val="20"/>
          </w:rPr>
          <w:fldChar w:fldCharType="begin"/>
        </w:r>
        <w:r w:rsidRPr="000E4A30">
          <w:rPr>
            <w:rFonts w:ascii="Arial" w:hAnsi="Arial" w:cs="Arial"/>
            <w:noProof/>
            <w:webHidden/>
            <w:sz w:val="20"/>
            <w:szCs w:val="20"/>
          </w:rPr>
          <w:instrText xml:space="preserve"> PAGEREF _Toc225877777 \h </w:instrText>
        </w:r>
        <w:r w:rsidRPr="000E4A30">
          <w:rPr>
            <w:rFonts w:ascii="Arial" w:hAnsi="Arial" w:cs="Arial"/>
            <w:noProof/>
            <w:webHidden/>
            <w:sz w:val="20"/>
            <w:szCs w:val="20"/>
          </w:rPr>
        </w:r>
        <w:r w:rsidRPr="000E4A30">
          <w:rPr>
            <w:rFonts w:ascii="Arial" w:hAnsi="Arial" w:cs="Arial"/>
            <w:noProof/>
            <w:webHidden/>
            <w:sz w:val="20"/>
            <w:szCs w:val="20"/>
          </w:rPr>
          <w:fldChar w:fldCharType="separate"/>
        </w:r>
        <w:r w:rsidR="002C0DFB">
          <w:rPr>
            <w:rFonts w:ascii="Arial" w:hAnsi="Arial" w:cs="Arial"/>
            <w:noProof/>
            <w:webHidden/>
            <w:sz w:val="20"/>
            <w:szCs w:val="20"/>
          </w:rPr>
          <w:t>219</w:t>
        </w:r>
        <w:r w:rsidRPr="000E4A30">
          <w:rPr>
            <w:rFonts w:ascii="Arial" w:hAnsi="Arial" w:cs="Arial"/>
            <w:noProof/>
            <w:webHidden/>
            <w:sz w:val="20"/>
            <w:szCs w:val="20"/>
          </w:rPr>
          <w:fldChar w:fldCharType="end"/>
        </w:r>
      </w:hyperlink>
    </w:p>
    <w:p w14:paraId="01F46688" w14:textId="0DA2AF2A" w:rsidR="003C1BA0" w:rsidRPr="000E4A30" w:rsidRDefault="003C1BA0">
      <w:pPr>
        <w:pStyle w:val="TOC5"/>
        <w:rPr>
          <w:rFonts w:ascii="Arial" w:hAnsi="Arial" w:cs="Arial"/>
          <w:noProof/>
          <w:kern w:val="2"/>
          <w:sz w:val="20"/>
          <w:szCs w:val="20"/>
          <w14:ligatures w14:val="standardContextual"/>
        </w:rPr>
      </w:pPr>
      <w:hyperlink w:anchor="_Toc225877778" w:history="1">
        <w:r w:rsidRPr="000E4A30">
          <w:rPr>
            <w:rStyle w:val="Hyperlink"/>
            <w:rFonts w:ascii="Arial" w:hAnsi="Arial" w:cs="Arial"/>
            <w:noProof/>
            <w:sz w:val="20"/>
            <w:szCs w:val="20"/>
          </w:rPr>
          <w:t>Accountability</w:t>
        </w:r>
        <w:r w:rsidRPr="000E4A30">
          <w:rPr>
            <w:rFonts w:ascii="Arial" w:hAnsi="Arial" w:cs="Arial"/>
            <w:noProof/>
            <w:webHidden/>
            <w:sz w:val="20"/>
            <w:szCs w:val="20"/>
          </w:rPr>
          <w:tab/>
        </w:r>
        <w:r w:rsidRPr="000E4A30">
          <w:rPr>
            <w:rFonts w:ascii="Arial" w:hAnsi="Arial" w:cs="Arial"/>
            <w:noProof/>
            <w:webHidden/>
            <w:sz w:val="20"/>
            <w:szCs w:val="20"/>
          </w:rPr>
          <w:fldChar w:fldCharType="begin"/>
        </w:r>
        <w:r w:rsidRPr="000E4A30">
          <w:rPr>
            <w:rFonts w:ascii="Arial" w:hAnsi="Arial" w:cs="Arial"/>
            <w:noProof/>
            <w:webHidden/>
            <w:sz w:val="20"/>
            <w:szCs w:val="20"/>
          </w:rPr>
          <w:instrText xml:space="preserve"> PAGEREF _Toc225877778 \h </w:instrText>
        </w:r>
        <w:r w:rsidRPr="000E4A30">
          <w:rPr>
            <w:rFonts w:ascii="Arial" w:hAnsi="Arial" w:cs="Arial"/>
            <w:noProof/>
            <w:webHidden/>
            <w:sz w:val="20"/>
            <w:szCs w:val="20"/>
          </w:rPr>
        </w:r>
        <w:r w:rsidRPr="000E4A30">
          <w:rPr>
            <w:rFonts w:ascii="Arial" w:hAnsi="Arial" w:cs="Arial"/>
            <w:noProof/>
            <w:webHidden/>
            <w:sz w:val="20"/>
            <w:szCs w:val="20"/>
          </w:rPr>
          <w:fldChar w:fldCharType="separate"/>
        </w:r>
        <w:r w:rsidR="002C0DFB">
          <w:rPr>
            <w:rFonts w:ascii="Arial" w:hAnsi="Arial" w:cs="Arial"/>
            <w:noProof/>
            <w:webHidden/>
            <w:sz w:val="20"/>
            <w:szCs w:val="20"/>
          </w:rPr>
          <w:t>219</w:t>
        </w:r>
        <w:r w:rsidRPr="000E4A30">
          <w:rPr>
            <w:rFonts w:ascii="Arial" w:hAnsi="Arial" w:cs="Arial"/>
            <w:noProof/>
            <w:webHidden/>
            <w:sz w:val="20"/>
            <w:szCs w:val="20"/>
          </w:rPr>
          <w:fldChar w:fldCharType="end"/>
        </w:r>
      </w:hyperlink>
    </w:p>
    <w:p w14:paraId="180E1A31" w14:textId="0625B909" w:rsidR="003C1BA0" w:rsidRPr="000E4A30" w:rsidRDefault="003C1BA0">
      <w:pPr>
        <w:pStyle w:val="TOC5"/>
        <w:rPr>
          <w:rFonts w:ascii="Arial" w:hAnsi="Arial" w:cs="Arial"/>
          <w:noProof/>
          <w:kern w:val="2"/>
          <w:sz w:val="20"/>
          <w:szCs w:val="20"/>
          <w14:ligatures w14:val="standardContextual"/>
        </w:rPr>
      </w:pPr>
      <w:hyperlink w:anchor="_Toc225877779" w:history="1">
        <w:r w:rsidRPr="000E4A30">
          <w:rPr>
            <w:rStyle w:val="Hyperlink"/>
            <w:rFonts w:ascii="Arial" w:hAnsi="Arial" w:cs="Arial"/>
            <w:noProof/>
            <w:sz w:val="20"/>
            <w:szCs w:val="20"/>
          </w:rPr>
          <w:t>Ability</w:t>
        </w:r>
        <w:r w:rsidRPr="000E4A30">
          <w:rPr>
            <w:rFonts w:ascii="Arial" w:hAnsi="Arial" w:cs="Arial"/>
            <w:noProof/>
            <w:webHidden/>
            <w:sz w:val="20"/>
            <w:szCs w:val="20"/>
          </w:rPr>
          <w:tab/>
        </w:r>
        <w:r w:rsidRPr="000E4A30">
          <w:rPr>
            <w:rFonts w:ascii="Arial" w:hAnsi="Arial" w:cs="Arial"/>
            <w:noProof/>
            <w:webHidden/>
            <w:sz w:val="20"/>
            <w:szCs w:val="20"/>
          </w:rPr>
          <w:fldChar w:fldCharType="begin"/>
        </w:r>
        <w:r w:rsidRPr="000E4A30">
          <w:rPr>
            <w:rFonts w:ascii="Arial" w:hAnsi="Arial" w:cs="Arial"/>
            <w:noProof/>
            <w:webHidden/>
            <w:sz w:val="20"/>
            <w:szCs w:val="20"/>
          </w:rPr>
          <w:instrText xml:space="preserve"> PAGEREF _Toc225877779 \h </w:instrText>
        </w:r>
        <w:r w:rsidRPr="000E4A30">
          <w:rPr>
            <w:rFonts w:ascii="Arial" w:hAnsi="Arial" w:cs="Arial"/>
            <w:noProof/>
            <w:webHidden/>
            <w:sz w:val="20"/>
            <w:szCs w:val="20"/>
          </w:rPr>
        </w:r>
        <w:r w:rsidRPr="000E4A30">
          <w:rPr>
            <w:rFonts w:ascii="Arial" w:hAnsi="Arial" w:cs="Arial"/>
            <w:noProof/>
            <w:webHidden/>
            <w:sz w:val="20"/>
            <w:szCs w:val="20"/>
          </w:rPr>
          <w:fldChar w:fldCharType="separate"/>
        </w:r>
        <w:r w:rsidR="002C0DFB">
          <w:rPr>
            <w:rFonts w:ascii="Arial" w:hAnsi="Arial" w:cs="Arial"/>
            <w:noProof/>
            <w:webHidden/>
            <w:sz w:val="20"/>
            <w:szCs w:val="20"/>
          </w:rPr>
          <w:t>220</w:t>
        </w:r>
        <w:r w:rsidRPr="000E4A30">
          <w:rPr>
            <w:rFonts w:ascii="Arial" w:hAnsi="Arial" w:cs="Arial"/>
            <w:noProof/>
            <w:webHidden/>
            <w:sz w:val="20"/>
            <w:szCs w:val="20"/>
          </w:rPr>
          <w:fldChar w:fldCharType="end"/>
        </w:r>
      </w:hyperlink>
    </w:p>
    <w:p w14:paraId="700F98C6" w14:textId="052619D4" w:rsidR="003C1BA0" w:rsidRPr="000E4A30" w:rsidRDefault="003C1BA0">
      <w:pPr>
        <w:pStyle w:val="TOC5"/>
        <w:rPr>
          <w:rFonts w:ascii="Arial" w:hAnsi="Arial" w:cs="Arial"/>
          <w:noProof/>
          <w:kern w:val="2"/>
          <w:sz w:val="20"/>
          <w:szCs w:val="20"/>
          <w14:ligatures w14:val="standardContextual"/>
        </w:rPr>
      </w:pPr>
      <w:hyperlink w:anchor="_Toc225877780" w:history="1">
        <w:r w:rsidRPr="000E4A30">
          <w:rPr>
            <w:rStyle w:val="Hyperlink"/>
            <w:rFonts w:ascii="Arial" w:hAnsi="Arial" w:cs="Arial"/>
            <w:noProof/>
            <w:sz w:val="20"/>
            <w:szCs w:val="20"/>
          </w:rPr>
          <w:t>Action</w:t>
        </w:r>
        <w:r w:rsidRPr="000E4A30">
          <w:rPr>
            <w:rFonts w:ascii="Arial" w:hAnsi="Arial" w:cs="Arial"/>
            <w:noProof/>
            <w:webHidden/>
            <w:sz w:val="20"/>
            <w:szCs w:val="20"/>
          </w:rPr>
          <w:tab/>
        </w:r>
        <w:r w:rsidRPr="000E4A30">
          <w:rPr>
            <w:rFonts w:ascii="Arial" w:hAnsi="Arial" w:cs="Arial"/>
            <w:noProof/>
            <w:webHidden/>
            <w:sz w:val="20"/>
            <w:szCs w:val="20"/>
          </w:rPr>
          <w:fldChar w:fldCharType="begin"/>
        </w:r>
        <w:r w:rsidRPr="000E4A30">
          <w:rPr>
            <w:rFonts w:ascii="Arial" w:hAnsi="Arial" w:cs="Arial"/>
            <w:noProof/>
            <w:webHidden/>
            <w:sz w:val="20"/>
            <w:szCs w:val="20"/>
          </w:rPr>
          <w:instrText xml:space="preserve"> PAGEREF _Toc225877780 \h </w:instrText>
        </w:r>
        <w:r w:rsidRPr="000E4A30">
          <w:rPr>
            <w:rFonts w:ascii="Arial" w:hAnsi="Arial" w:cs="Arial"/>
            <w:noProof/>
            <w:webHidden/>
            <w:sz w:val="20"/>
            <w:szCs w:val="20"/>
          </w:rPr>
        </w:r>
        <w:r w:rsidRPr="000E4A30">
          <w:rPr>
            <w:rFonts w:ascii="Arial" w:hAnsi="Arial" w:cs="Arial"/>
            <w:noProof/>
            <w:webHidden/>
            <w:sz w:val="20"/>
            <w:szCs w:val="20"/>
          </w:rPr>
          <w:fldChar w:fldCharType="separate"/>
        </w:r>
        <w:r w:rsidR="002C0DFB">
          <w:rPr>
            <w:rFonts w:ascii="Arial" w:hAnsi="Arial" w:cs="Arial"/>
            <w:noProof/>
            <w:webHidden/>
            <w:sz w:val="20"/>
            <w:szCs w:val="20"/>
          </w:rPr>
          <w:t>220</w:t>
        </w:r>
        <w:r w:rsidRPr="000E4A30">
          <w:rPr>
            <w:rFonts w:ascii="Arial" w:hAnsi="Arial" w:cs="Arial"/>
            <w:noProof/>
            <w:webHidden/>
            <w:sz w:val="20"/>
            <w:szCs w:val="20"/>
          </w:rPr>
          <w:fldChar w:fldCharType="end"/>
        </w:r>
      </w:hyperlink>
    </w:p>
    <w:p w14:paraId="2164E602" w14:textId="2284C1AE" w:rsidR="003C1BA0" w:rsidRPr="000E4A30" w:rsidRDefault="003C1BA0">
      <w:pPr>
        <w:pStyle w:val="TOC4"/>
        <w:rPr>
          <w:rFonts w:eastAsiaTheme="minorEastAsia" w:cs="Arial"/>
          <w:noProof/>
          <w:kern w:val="2"/>
          <w14:ligatures w14:val="standardContextual"/>
        </w:rPr>
      </w:pPr>
      <w:hyperlink w:anchor="_Toc225877781" w:history="1">
        <w:r w:rsidRPr="000E4A30">
          <w:rPr>
            <w:rStyle w:val="Hyperlink"/>
            <w:rFonts w:cs="Arial"/>
            <w:noProof/>
          </w:rPr>
          <w:t>6C: Hand Hygiene</w:t>
        </w:r>
        <w:r w:rsidRPr="000E4A30">
          <w:rPr>
            <w:rFonts w:cs="Arial"/>
            <w:noProof/>
            <w:webHidden/>
          </w:rPr>
          <w:tab/>
        </w:r>
        <w:r w:rsidRPr="000E4A30">
          <w:rPr>
            <w:rFonts w:cs="Arial"/>
            <w:noProof/>
            <w:webHidden/>
          </w:rPr>
          <w:fldChar w:fldCharType="begin"/>
        </w:r>
        <w:r w:rsidRPr="000E4A30">
          <w:rPr>
            <w:rFonts w:cs="Arial"/>
            <w:noProof/>
            <w:webHidden/>
          </w:rPr>
          <w:instrText xml:space="preserve"> PAGEREF _Toc225877781 \h </w:instrText>
        </w:r>
        <w:r w:rsidRPr="000E4A30">
          <w:rPr>
            <w:rFonts w:cs="Arial"/>
            <w:noProof/>
            <w:webHidden/>
          </w:rPr>
        </w:r>
        <w:r w:rsidRPr="000E4A30">
          <w:rPr>
            <w:rFonts w:cs="Arial"/>
            <w:noProof/>
            <w:webHidden/>
          </w:rPr>
          <w:fldChar w:fldCharType="separate"/>
        </w:r>
        <w:r w:rsidR="002C0DFB">
          <w:rPr>
            <w:rFonts w:cs="Arial"/>
            <w:noProof/>
            <w:webHidden/>
          </w:rPr>
          <w:t>221</w:t>
        </w:r>
        <w:r w:rsidRPr="000E4A30">
          <w:rPr>
            <w:rFonts w:cs="Arial"/>
            <w:noProof/>
            <w:webHidden/>
          </w:rPr>
          <w:fldChar w:fldCharType="end"/>
        </w:r>
      </w:hyperlink>
    </w:p>
    <w:p w14:paraId="36D89ACB" w14:textId="73C815D0" w:rsidR="003C1BA0" w:rsidRPr="000E4A30" w:rsidRDefault="003C1BA0">
      <w:pPr>
        <w:pStyle w:val="TOC5"/>
        <w:rPr>
          <w:rFonts w:ascii="Arial" w:hAnsi="Arial" w:cs="Arial"/>
          <w:noProof/>
          <w:kern w:val="2"/>
          <w:sz w:val="20"/>
          <w:szCs w:val="20"/>
          <w14:ligatures w14:val="standardContextual"/>
        </w:rPr>
      </w:pPr>
      <w:hyperlink w:anchor="_Toc225877782" w:history="1">
        <w:r w:rsidRPr="000E4A30">
          <w:rPr>
            <w:rStyle w:val="Hyperlink"/>
            <w:rFonts w:ascii="Arial" w:hAnsi="Arial" w:cs="Arial"/>
            <w:noProof/>
            <w:sz w:val="20"/>
            <w:szCs w:val="20"/>
          </w:rPr>
          <w:t>Training and Education</w:t>
        </w:r>
        <w:r w:rsidRPr="000E4A30">
          <w:rPr>
            <w:rFonts w:ascii="Arial" w:hAnsi="Arial" w:cs="Arial"/>
            <w:noProof/>
            <w:webHidden/>
            <w:sz w:val="20"/>
            <w:szCs w:val="20"/>
          </w:rPr>
          <w:tab/>
        </w:r>
        <w:r w:rsidRPr="000E4A30">
          <w:rPr>
            <w:rFonts w:ascii="Arial" w:hAnsi="Arial" w:cs="Arial"/>
            <w:noProof/>
            <w:webHidden/>
            <w:sz w:val="20"/>
            <w:szCs w:val="20"/>
          </w:rPr>
          <w:fldChar w:fldCharType="begin"/>
        </w:r>
        <w:r w:rsidRPr="000E4A30">
          <w:rPr>
            <w:rFonts w:ascii="Arial" w:hAnsi="Arial" w:cs="Arial"/>
            <w:noProof/>
            <w:webHidden/>
            <w:sz w:val="20"/>
            <w:szCs w:val="20"/>
          </w:rPr>
          <w:instrText xml:space="preserve"> PAGEREF _Toc225877782 \h </w:instrText>
        </w:r>
        <w:r w:rsidRPr="000E4A30">
          <w:rPr>
            <w:rFonts w:ascii="Arial" w:hAnsi="Arial" w:cs="Arial"/>
            <w:noProof/>
            <w:webHidden/>
            <w:sz w:val="20"/>
            <w:szCs w:val="20"/>
          </w:rPr>
        </w:r>
        <w:r w:rsidRPr="000E4A30">
          <w:rPr>
            <w:rFonts w:ascii="Arial" w:hAnsi="Arial" w:cs="Arial"/>
            <w:noProof/>
            <w:webHidden/>
            <w:sz w:val="20"/>
            <w:szCs w:val="20"/>
          </w:rPr>
          <w:fldChar w:fldCharType="separate"/>
        </w:r>
        <w:r w:rsidR="002C0DFB">
          <w:rPr>
            <w:rFonts w:ascii="Arial" w:hAnsi="Arial" w:cs="Arial"/>
            <w:noProof/>
            <w:webHidden/>
            <w:sz w:val="20"/>
            <w:szCs w:val="20"/>
          </w:rPr>
          <w:t>221</w:t>
        </w:r>
        <w:r w:rsidRPr="000E4A30">
          <w:rPr>
            <w:rFonts w:ascii="Arial" w:hAnsi="Arial" w:cs="Arial"/>
            <w:noProof/>
            <w:webHidden/>
            <w:sz w:val="20"/>
            <w:szCs w:val="20"/>
          </w:rPr>
          <w:fldChar w:fldCharType="end"/>
        </w:r>
      </w:hyperlink>
    </w:p>
    <w:p w14:paraId="2EB71CD6" w14:textId="1EB7B384" w:rsidR="003C1BA0" w:rsidRPr="000E4A30" w:rsidRDefault="003C1BA0">
      <w:pPr>
        <w:pStyle w:val="TOC5"/>
        <w:rPr>
          <w:rFonts w:ascii="Arial" w:hAnsi="Arial" w:cs="Arial"/>
          <w:noProof/>
          <w:kern w:val="2"/>
          <w:sz w:val="20"/>
          <w:szCs w:val="20"/>
          <w14:ligatures w14:val="standardContextual"/>
        </w:rPr>
      </w:pPr>
      <w:hyperlink w:anchor="_Toc225877783" w:history="1">
        <w:r w:rsidRPr="000E4A30">
          <w:rPr>
            <w:rStyle w:val="Hyperlink"/>
            <w:rFonts w:ascii="Arial" w:hAnsi="Arial" w:cs="Arial"/>
            <w:noProof/>
            <w:sz w:val="20"/>
            <w:szCs w:val="20"/>
          </w:rPr>
          <w:t>Infrastructure</w:t>
        </w:r>
        <w:r w:rsidRPr="000E4A30">
          <w:rPr>
            <w:rFonts w:ascii="Arial" w:hAnsi="Arial" w:cs="Arial"/>
            <w:noProof/>
            <w:webHidden/>
            <w:sz w:val="20"/>
            <w:szCs w:val="20"/>
          </w:rPr>
          <w:tab/>
        </w:r>
        <w:r w:rsidRPr="000E4A30">
          <w:rPr>
            <w:rFonts w:ascii="Arial" w:hAnsi="Arial" w:cs="Arial"/>
            <w:noProof/>
            <w:webHidden/>
            <w:sz w:val="20"/>
            <w:szCs w:val="20"/>
          </w:rPr>
          <w:fldChar w:fldCharType="begin"/>
        </w:r>
        <w:r w:rsidRPr="000E4A30">
          <w:rPr>
            <w:rFonts w:ascii="Arial" w:hAnsi="Arial" w:cs="Arial"/>
            <w:noProof/>
            <w:webHidden/>
            <w:sz w:val="20"/>
            <w:szCs w:val="20"/>
          </w:rPr>
          <w:instrText xml:space="preserve"> PAGEREF _Toc225877783 \h </w:instrText>
        </w:r>
        <w:r w:rsidRPr="000E4A30">
          <w:rPr>
            <w:rFonts w:ascii="Arial" w:hAnsi="Arial" w:cs="Arial"/>
            <w:noProof/>
            <w:webHidden/>
            <w:sz w:val="20"/>
            <w:szCs w:val="20"/>
          </w:rPr>
        </w:r>
        <w:r w:rsidRPr="000E4A30">
          <w:rPr>
            <w:rFonts w:ascii="Arial" w:hAnsi="Arial" w:cs="Arial"/>
            <w:noProof/>
            <w:webHidden/>
            <w:sz w:val="20"/>
            <w:szCs w:val="20"/>
          </w:rPr>
          <w:fldChar w:fldCharType="separate"/>
        </w:r>
        <w:r w:rsidR="002C0DFB">
          <w:rPr>
            <w:rFonts w:ascii="Arial" w:hAnsi="Arial" w:cs="Arial"/>
            <w:noProof/>
            <w:webHidden/>
            <w:sz w:val="20"/>
            <w:szCs w:val="20"/>
          </w:rPr>
          <w:t>222</w:t>
        </w:r>
        <w:r w:rsidRPr="000E4A30">
          <w:rPr>
            <w:rFonts w:ascii="Arial" w:hAnsi="Arial" w:cs="Arial"/>
            <w:noProof/>
            <w:webHidden/>
            <w:sz w:val="20"/>
            <w:szCs w:val="20"/>
          </w:rPr>
          <w:fldChar w:fldCharType="end"/>
        </w:r>
      </w:hyperlink>
    </w:p>
    <w:p w14:paraId="41DA1555" w14:textId="6CFC7E41" w:rsidR="003C1BA0" w:rsidRPr="000E4A30" w:rsidRDefault="003C1BA0">
      <w:pPr>
        <w:pStyle w:val="TOC5"/>
        <w:rPr>
          <w:rFonts w:ascii="Arial" w:hAnsi="Arial" w:cs="Arial"/>
          <w:noProof/>
          <w:kern w:val="2"/>
          <w:sz w:val="20"/>
          <w:szCs w:val="20"/>
          <w14:ligatures w14:val="standardContextual"/>
        </w:rPr>
      </w:pPr>
      <w:hyperlink w:anchor="_Toc225877784" w:history="1">
        <w:r w:rsidRPr="000E4A30">
          <w:rPr>
            <w:rStyle w:val="Hyperlink"/>
            <w:rFonts w:ascii="Arial" w:hAnsi="Arial" w:cs="Arial"/>
            <w:noProof/>
            <w:sz w:val="20"/>
            <w:szCs w:val="20"/>
          </w:rPr>
          <w:t>Monitoring</w:t>
        </w:r>
        <w:r w:rsidRPr="000E4A30">
          <w:rPr>
            <w:rFonts w:ascii="Arial" w:hAnsi="Arial" w:cs="Arial"/>
            <w:noProof/>
            <w:webHidden/>
            <w:sz w:val="20"/>
            <w:szCs w:val="20"/>
          </w:rPr>
          <w:tab/>
        </w:r>
        <w:r w:rsidRPr="000E4A30">
          <w:rPr>
            <w:rFonts w:ascii="Arial" w:hAnsi="Arial" w:cs="Arial"/>
            <w:noProof/>
            <w:webHidden/>
            <w:sz w:val="20"/>
            <w:szCs w:val="20"/>
          </w:rPr>
          <w:fldChar w:fldCharType="begin"/>
        </w:r>
        <w:r w:rsidRPr="000E4A30">
          <w:rPr>
            <w:rFonts w:ascii="Arial" w:hAnsi="Arial" w:cs="Arial"/>
            <w:noProof/>
            <w:webHidden/>
            <w:sz w:val="20"/>
            <w:szCs w:val="20"/>
          </w:rPr>
          <w:instrText xml:space="preserve"> PAGEREF _Toc225877784 \h </w:instrText>
        </w:r>
        <w:r w:rsidRPr="000E4A30">
          <w:rPr>
            <w:rFonts w:ascii="Arial" w:hAnsi="Arial" w:cs="Arial"/>
            <w:noProof/>
            <w:webHidden/>
            <w:sz w:val="20"/>
            <w:szCs w:val="20"/>
          </w:rPr>
        </w:r>
        <w:r w:rsidRPr="000E4A30">
          <w:rPr>
            <w:rFonts w:ascii="Arial" w:hAnsi="Arial" w:cs="Arial"/>
            <w:noProof/>
            <w:webHidden/>
            <w:sz w:val="20"/>
            <w:szCs w:val="20"/>
          </w:rPr>
          <w:fldChar w:fldCharType="separate"/>
        </w:r>
        <w:r w:rsidR="002C0DFB">
          <w:rPr>
            <w:rFonts w:ascii="Arial" w:hAnsi="Arial" w:cs="Arial"/>
            <w:noProof/>
            <w:webHidden/>
            <w:sz w:val="20"/>
            <w:szCs w:val="20"/>
          </w:rPr>
          <w:t>223</w:t>
        </w:r>
        <w:r w:rsidRPr="000E4A30">
          <w:rPr>
            <w:rFonts w:ascii="Arial" w:hAnsi="Arial" w:cs="Arial"/>
            <w:noProof/>
            <w:webHidden/>
            <w:sz w:val="20"/>
            <w:szCs w:val="20"/>
          </w:rPr>
          <w:fldChar w:fldCharType="end"/>
        </w:r>
      </w:hyperlink>
    </w:p>
    <w:p w14:paraId="667144AE" w14:textId="6299A0AC" w:rsidR="003C1BA0" w:rsidRPr="000E4A30" w:rsidRDefault="003C1BA0">
      <w:pPr>
        <w:pStyle w:val="TOC5"/>
        <w:rPr>
          <w:rFonts w:ascii="Arial" w:hAnsi="Arial" w:cs="Arial"/>
          <w:noProof/>
          <w:kern w:val="2"/>
          <w:sz w:val="20"/>
          <w:szCs w:val="20"/>
          <w14:ligatures w14:val="standardContextual"/>
        </w:rPr>
      </w:pPr>
      <w:hyperlink w:anchor="_Toc225877785" w:history="1">
        <w:r w:rsidRPr="000E4A30">
          <w:rPr>
            <w:rStyle w:val="Hyperlink"/>
            <w:rFonts w:ascii="Arial" w:hAnsi="Arial" w:cs="Arial"/>
            <w:noProof/>
            <w:sz w:val="20"/>
            <w:szCs w:val="20"/>
          </w:rPr>
          <w:t>Feedback</w:t>
        </w:r>
        <w:r w:rsidRPr="000E4A30">
          <w:rPr>
            <w:rFonts w:ascii="Arial" w:hAnsi="Arial" w:cs="Arial"/>
            <w:noProof/>
            <w:webHidden/>
            <w:sz w:val="20"/>
            <w:szCs w:val="20"/>
          </w:rPr>
          <w:tab/>
        </w:r>
        <w:r w:rsidRPr="000E4A30">
          <w:rPr>
            <w:rFonts w:ascii="Arial" w:hAnsi="Arial" w:cs="Arial"/>
            <w:noProof/>
            <w:webHidden/>
            <w:sz w:val="20"/>
            <w:szCs w:val="20"/>
          </w:rPr>
          <w:fldChar w:fldCharType="begin"/>
        </w:r>
        <w:r w:rsidRPr="000E4A30">
          <w:rPr>
            <w:rFonts w:ascii="Arial" w:hAnsi="Arial" w:cs="Arial"/>
            <w:noProof/>
            <w:webHidden/>
            <w:sz w:val="20"/>
            <w:szCs w:val="20"/>
          </w:rPr>
          <w:instrText xml:space="preserve"> PAGEREF _Toc225877785 \h </w:instrText>
        </w:r>
        <w:r w:rsidRPr="000E4A30">
          <w:rPr>
            <w:rFonts w:ascii="Arial" w:hAnsi="Arial" w:cs="Arial"/>
            <w:noProof/>
            <w:webHidden/>
            <w:sz w:val="20"/>
            <w:szCs w:val="20"/>
          </w:rPr>
        </w:r>
        <w:r w:rsidRPr="000E4A30">
          <w:rPr>
            <w:rFonts w:ascii="Arial" w:hAnsi="Arial" w:cs="Arial"/>
            <w:noProof/>
            <w:webHidden/>
            <w:sz w:val="20"/>
            <w:szCs w:val="20"/>
          </w:rPr>
          <w:fldChar w:fldCharType="separate"/>
        </w:r>
        <w:r w:rsidR="002C0DFB">
          <w:rPr>
            <w:rFonts w:ascii="Arial" w:hAnsi="Arial" w:cs="Arial"/>
            <w:noProof/>
            <w:webHidden/>
            <w:sz w:val="20"/>
            <w:szCs w:val="20"/>
          </w:rPr>
          <w:t>226</w:t>
        </w:r>
        <w:r w:rsidRPr="000E4A30">
          <w:rPr>
            <w:rFonts w:ascii="Arial" w:hAnsi="Arial" w:cs="Arial"/>
            <w:noProof/>
            <w:webHidden/>
            <w:sz w:val="20"/>
            <w:szCs w:val="20"/>
          </w:rPr>
          <w:fldChar w:fldCharType="end"/>
        </w:r>
      </w:hyperlink>
    </w:p>
    <w:p w14:paraId="2264A925" w14:textId="41B279ED" w:rsidR="003C1BA0" w:rsidRPr="000E4A30" w:rsidRDefault="003C1BA0">
      <w:pPr>
        <w:pStyle w:val="TOC5"/>
        <w:rPr>
          <w:rFonts w:ascii="Arial" w:hAnsi="Arial" w:cs="Arial"/>
          <w:noProof/>
          <w:kern w:val="2"/>
          <w:sz w:val="20"/>
          <w:szCs w:val="20"/>
          <w14:ligatures w14:val="standardContextual"/>
        </w:rPr>
      </w:pPr>
      <w:hyperlink w:anchor="_Toc225877786" w:history="1">
        <w:r w:rsidRPr="000E4A30">
          <w:rPr>
            <w:rStyle w:val="Hyperlink"/>
            <w:rFonts w:ascii="Arial" w:hAnsi="Arial" w:cs="Arial"/>
            <w:noProof/>
            <w:sz w:val="20"/>
            <w:szCs w:val="20"/>
          </w:rPr>
          <w:t>Culture</w:t>
        </w:r>
        <w:r w:rsidRPr="000E4A30">
          <w:rPr>
            <w:rFonts w:ascii="Arial" w:hAnsi="Arial" w:cs="Arial"/>
            <w:noProof/>
            <w:webHidden/>
            <w:sz w:val="20"/>
            <w:szCs w:val="20"/>
          </w:rPr>
          <w:tab/>
        </w:r>
        <w:r w:rsidRPr="000E4A30">
          <w:rPr>
            <w:rFonts w:ascii="Arial" w:hAnsi="Arial" w:cs="Arial"/>
            <w:noProof/>
            <w:webHidden/>
            <w:sz w:val="20"/>
            <w:szCs w:val="20"/>
          </w:rPr>
          <w:fldChar w:fldCharType="begin"/>
        </w:r>
        <w:r w:rsidRPr="000E4A30">
          <w:rPr>
            <w:rFonts w:ascii="Arial" w:hAnsi="Arial" w:cs="Arial"/>
            <w:noProof/>
            <w:webHidden/>
            <w:sz w:val="20"/>
            <w:szCs w:val="20"/>
          </w:rPr>
          <w:instrText xml:space="preserve"> PAGEREF _Toc225877786 \h </w:instrText>
        </w:r>
        <w:r w:rsidRPr="000E4A30">
          <w:rPr>
            <w:rFonts w:ascii="Arial" w:hAnsi="Arial" w:cs="Arial"/>
            <w:noProof/>
            <w:webHidden/>
            <w:sz w:val="20"/>
            <w:szCs w:val="20"/>
          </w:rPr>
        </w:r>
        <w:r w:rsidRPr="000E4A30">
          <w:rPr>
            <w:rFonts w:ascii="Arial" w:hAnsi="Arial" w:cs="Arial"/>
            <w:noProof/>
            <w:webHidden/>
            <w:sz w:val="20"/>
            <w:szCs w:val="20"/>
          </w:rPr>
          <w:fldChar w:fldCharType="separate"/>
        </w:r>
        <w:r w:rsidR="002C0DFB">
          <w:rPr>
            <w:rFonts w:ascii="Arial" w:hAnsi="Arial" w:cs="Arial"/>
            <w:noProof/>
            <w:webHidden/>
            <w:sz w:val="20"/>
            <w:szCs w:val="20"/>
          </w:rPr>
          <w:t>226</w:t>
        </w:r>
        <w:r w:rsidRPr="000E4A30">
          <w:rPr>
            <w:rFonts w:ascii="Arial" w:hAnsi="Arial" w:cs="Arial"/>
            <w:noProof/>
            <w:webHidden/>
            <w:sz w:val="20"/>
            <w:szCs w:val="20"/>
          </w:rPr>
          <w:fldChar w:fldCharType="end"/>
        </w:r>
      </w:hyperlink>
    </w:p>
    <w:p w14:paraId="0AB9B36E" w14:textId="077FCCC3" w:rsidR="003C1BA0" w:rsidRPr="000E4A30" w:rsidRDefault="003C1BA0">
      <w:pPr>
        <w:pStyle w:val="TOC4"/>
        <w:rPr>
          <w:rFonts w:eastAsiaTheme="minorEastAsia" w:cs="Arial"/>
          <w:noProof/>
          <w:kern w:val="2"/>
          <w14:ligatures w14:val="standardContextual"/>
        </w:rPr>
      </w:pPr>
      <w:hyperlink w:anchor="_Toc225877787" w:history="1">
        <w:r w:rsidRPr="000E4A30">
          <w:rPr>
            <w:rStyle w:val="Hyperlink"/>
            <w:rFonts w:cs="Arial"/>
            <w:noProof/>
          </w:rPr>
          <w:t>6D: Diagnostic Excellence</w:t>
        </w:r>
        <w:r w:rsidRPr="000E4A30">
          <w:rPr>
            <w:rFonts w:cs="Arial"/>
            <w:noProof/>
            <w:webHidden/>
          </w:rPr>
          <w:tab/>
        </w:r>
        <w:r w:rsidRPr="000E4A30">
          <w:rPr>
            <w:rFonts w:cs="Arial"/>
            <w:noProof/>
            <w:webHidden/>
          </w:rPr>
          <w:fldChar w:fldCharType="begin"/>
        </w:r>
        <w:r w:rsidRPr="000E4A30">
          <w:rPr>
            <w:rFonts w:cs="Arial"/>
            <w:noProof/>
            <w:webHidden/>
          </w:rPr>
          <w:instrText xml:space="preserve"> PAGEREF _Toc225877787 \h </w:instrText>
        </w:r>
        <w:r w:rsidRPr="000E4A30">
          <w:rPr>
            <w:rFonts w:cs="Arial"/>
            <w:noProof/>
            <w:webHidden/>
          </w:rPr>
        </w:r>
        <w:r w:rsidRPr="000E4A30">
          <w:rPr>
            <w:rFonts w:cs="Arial"/>
            <w:noProof/>
            <w:webHidden/>
          </w:rPr>
          <w:fldChar w:fldCharType="separate"/>
        </w:r>
        <w:r w:rsidR="002C0DFB">
          <w:rPr>
            <w:rFonts w:cs="Arial"/>
            <w:noProof/>
            <w:webHidden/>
          </w:rPr>
          <w:t>227</w:t>
        </w:r>
        <w:r w:rsidRPr="000E4A30">
          <w:rPr>
            <w:rFonts w:cs="Arial"/>
            <w:noProof/>
            <w:webHidden/>
          </w:rPr>
          <w:fldChar w:fldCharType="end"/>
        </w:r>
      </w:hyperlink>
    </w:p>
    <w:p w14:paraId="11254547" w14:textId="26C05C27" w:rsidR="003C1BA0" w:rsidRPr="000E4A30" w:rsidRDefault="003C1BA0">
      <w:pPr>
        <w:pStyle w:val="TOC5"/>
        <w:rPr>
          <w:rFonts w:ascii="Arial" w:hAnsi="Arial" w:cs="Arial"/>
          <w:noProof/>
          <w:kern w:val="2"/>
          <w:sz w:val="20"/>
          <w:szCs w:val="20"/>
          <w14:ligatures w14:val="standardContextual"/>
        </w:rPr>
      </w:pPr>
      <w:hyperlink w:anchor="_Toc225877788" w:history="1">
        <w:r w:rsidRPr="000E4A30">
          <w:rPr>
            <w:rStyle w:val="Hyperlink"/>
            <w:rFonts w:ascii="Arial" w:hAnsi="Arial" w:cs="Arial"/>
            <w:noProof/>
            <w:sz w:val="20"/>
            <w:szCs w:val="20"/>
          </w:rPr>
          <w:t>Convening a Multidisciplinary Team Focused on Diagnostic Excellence</w:t>
        </w:r>
        <w:r w:rsidRPr="000E4A30">
          <w:rPr>
            <w:rFonts w:ascii="Arial" w:hAnsi="Arial" w:cs="Arial"/>
            <w:noProof/>
            <w:webHidden/>
            <w:sz w:val="20"/>
            <w:szCs w:val="20"/>
          </w:rPr>
          <w:tab/>
        </w:r>
        <w:r w:rsidRPr="000E4A30">
          <w:rPr>
            <w:rFonts w:ascii="Arial" w:hAnsi="Arial" w:cs="Arial"/>
            <w:noProof/>
            <w:webHidden/>
            <w:sz w:val="20"/>
            <w:szCs w:val="20"/>
          </w:rPr>
          <w:fldChar w:fldCharType="begin"/>
        </w:r>
        <w:r w:rsidRPr="000E4A30">
          <w:rPr>
            <w:rFonts w:ascii="Arial" w:hAnsi="Arial" w:cs="Arial"/>
            <w:noProof/>
            <w:webHidden/>
            <w:sz w:val="20"/>
            <w:szCs w:val="20"/>
          </w:rPr>
          <w:instrText xml:space="preserve"> PAGEREF _Toc225877788 \h </w:instrText>
        </w:r>
        <w:r w:rsidRPr="000E4A30">
          <w:rPr>
            <w:rFonts w:ascii="Arial" w:hAnsi="Arial" w:cs="Arial"/>
            <w:noProof/>
            <w:webHidden/>
            <w:sz w:val="20"/>
            <w:szCs w:val="20"/>
          </w:rPr>
        </w:r>
        <w:r w:rsidRPr="000E4A30">
          <w:rPr>
            <w:rFonts w:ascii="Arial" w:hAnsi="Arial" w:cs="Arial"/>
            <w:noProof/>
            <w:webHidden/>
            <w:sz w:val="20"/>
            <w:szCs w:val="20"/>
          </w:rPr>
          <w:fldChar w:fldCharType="separate"/>
        </w:r>
        <w:r w:rsidR="002C0DFB">
          <w:rPr>
            <w:rFonts w:ascii="Arial" w:hAnsi="Arial" w:cs="Arial"/>
            <w:noProof/>
            <w:webHidden/>
            <w:sz w:val="20"/>
            <w:szCs w:val="20"/>
          </w:rPr>
          <w:t>227</w:t>
        </w:r>
        <w:r w:rsidRPr="000E4A30">
          <w:rPr>
            <w:rFonts w:ascii="Arial" w:hAnsi="Arial" w:cs="Arial"/>
            <w:noProof/>
            <w:webHidden/>
            <w:sz w:val="20"/>
            <w:szCs w:val="20"/>
          </w:rPr>
          <w:fldChar w:fldCharType="end"/>
        </w:r>
      </w:hyperlink>
    </w:p>
    <w:p w14:paraId="5DDF5EC0" w14:textId="7C281D82" w:rsidR="003C1BA0" w:rsidRPr="000E4A30" w:rsidRDefault="003C1BA0">
      <w:pPr>
        <w:pStyle w:val="TOC5"/>
        <w:rPr>
          <w:rFonts w:ascii="Arial" w:hAnsi="Arial" w:cs="Arial"/>
          <w:noProof/>
          <w:kern w:val="2"/>
          <w:sz w:val="20"/>
          <w:szCs w:val="20"/>
          <w14:ligatures w14:val="standardContextual"/>
        </w:rPr>
      </w:pPr>
      <w:hyperlink w:anchor="_Toc225877789" w:history="1">
        <w:r w:rsidRPr="000E4A30">
          <w:rPr>
            <w:rStyle w:val="Hyperlink"/>
            <w:rFonts w:ascii="Arial" w:hAnsi="Arial" w:cs="Arial"/>
            <w:noProof/>
            <w:sz w:val="20"/>
            <w:szCs w:val="20"/>
          </w:rPr>
          <w:t>Training on Communication to Reduce Errors in the Diagnostic Process</w:t>
        </w:r>
        <w:r w:rsidRPr="000E4A30">
          <w:rPr>
            <w:rFonts w:ascii="Arial" w:hAnsi="Arial" w:cs="Arial"/>
            <w:noProof/>
            <w:webHidden/>
            <w:sz w:val="20"/>
            <w:szCs w:val="20"/>
          </w:rPr>
          <w:tab/>
        </w:r>
        <w:r w:rsidRPr="000E4A30">
          <w:rPr>
            <w:rFonts w:ascii="Arial" w:hAnsi="Arial" w:cs="Arial"/>
            <w:noProof/>
            <w:webHidden/>
            <w:sz w:val="20"/>
            <w:szCs w:val="20"/>
          </w:rPr>
          <w:fldChar w:fldCharType="begin"/>
        </w:r>
        <w:r w:rsidRPr="000E4A30">
          <w:rPr>
            <w:rFonts w:ascii="Arial" w:hAnsi="Arial" w:cs="Arial"/>
            <w:noProof/>
            <w:webHidden/>
            <w:sz w:val="20"/>
            <w:szCs w:val="20"/>
          </w:rPr>
          <w:instrText xml:space="preserve"> PAGEREF _Toc225877789 \h </w:instrText>
        </w:r>
        <w:r w:rsidRPr="000E4A30">
          <w:rPr>
            <w:rFonts w:ascii="Arial" w:hAnsi="Arial" w:cs="Arial"/>
            <w:noProof/>
            <w:webHidden/>
            <w:sz w:val="20"/>
            <w:szCs w:val="20"/>
          </w:rPr>
        </w:r>
        <w:r w:rsidRPr="000E4A30">
          <w:rPr>
            <w:rFonts w:ascii="Arial" w:hAnsi="Arial" w:cs="Arial"/>
            <w:noProof/>
            <w:webHidden/>
            <w:sz w:val="20"/>
            <w:szCs w:val="20"/>
          </w:rPr>
          <w:fldChar w:fldCharType="separate"/>
        </w:r>
        <w:r w:rsidR="002C0DFB">
          <w:rPr>
            <w:rFonts w:ascii="Arial" w:hAnsi="Arial" w:cs="Arial"/>
            <w:noProof/>
            <w:webHidden/>
            <w:sz w:val="20"/>
            <w:szCs w:val="20"/>
          </w:rPr>
          <w:t>228</w:t>
        </w:r>
        <w:r w:rsidRPr="000E4A30">
          <w:rPr>
            <w:rFonts w:ascii="Arial" w:hAnsi="Arial" w:cs="Arial"/>
            <w:noProof/>
            <w:webHidden/>
            <w:sz w:val="20"/>
            <w:szCs w:val="20"/>
          </w:rPr>
          <w:fldChar w:fldCharType="end"/>
        </w:r>
      </w:hyperlink>
    </w:p>
    <w:p w14:paraId="5D42E129" w14:textId="3CB4B54D" w:rsidR="003C1BA0" w:rsidRPr="000E4A30" w:rsidRDefault="003C1BA0">
      <w:pPr>
        <w:pStyle w:val="TOC4"/>
        <w:rPr>
          <w:rFonts w:eastAsiaTheme="minorEastAsia" w:cs="Arial"/>
          <w:noProof/>
          <w:kern w:val="2"/>
          <w14:ligatures w14:val="standardContextual"/>
        </w:rPr>
      </w:pPr>
      <w:hyperlink w:anchor="_Toc225877790" w:history="1">
        <w:r w:rsidRPr="000E4A30">
          <w:rPr>
            <w:rStyle w:val="Hyperlink"/>
            <w:rFonts w:cs="Arial"/>
            <w:noProof/>
          </w:rPr>
          <w:t>6E: Hospital Boarding in the Emergency Department (ED) (Optional – Fact-Finding Only)</w:t>
        </w:r>
        <w:r w:rsidRPr="000E4A30">
          <w:rPr>
            <w:rFonts w:cs="Arial"/>
            <w:noProof/>
            <w:webHidden/>
          </w:rPr>
          <w:tab/>
        </w:r>
        <w:r w:rsidRPr="000E4A30">
          <w:rPr>
            <w:rFonts w:cs="Arial"/>
            <w:noProof/>
            <w:webHidden/>
          </w:rPr>
          <w:fldChar w:fldCharType="begin"/>
        </w:r>
        <w:r w:rsidRPr="000E4A30">
          <w:rPr>
            <w:rFonts w:cs="Arial"/>
            <w:noProof/>
            <w:webHidden/>
          </w:rPr>
          <w:instrText xml:space="preserve"> PAGEREF _Toc225877790 \h </w:instrText>
        </w:r>
        <w:r w:rsidRPr="000E4A30">
          <w:rPr>
            <w:rFonts w:cs="Arial"/>
            <w:noProof/>
            <w:webHidden/>
          </w:rPr>
        </w:r>
        <w:r w:rsidRPr="000E4A30">
          <w:rPr>
            <w:rFonts w:cs="Arial"/>
            <w:noProof/>
            <w:webHidden/>
          </w:rPr>
          <w:fldChar w:fldCharType="separate"/>
        </w:r>
        <w:r w:rsidR="002C0DFB">
          <w:rPr>
            <w:rFonts w:cs="Arial"/>
            <w:noProof/>
            <w:webHidden/>
          </w:rPr>
          <w:t>229</w:t>
        </w:r>
        <w:r w:rsidRPr="000E4A30">
          <w:rPr>
            <w:rFonts w:cs="Arial"/>
            <w:noProof/>
            <w:webHidden/>
          </w:rPr>
          <w:fldChar w:fldCharType="end"/>
        </w:r>
      </w:hyperlink>
    </w:p>
    <w:p w14:paraId="69C4D3EF" w14:textId="5B33D71D" w:rsidR="003C1BA0" w:rsidRPr="000E4A30" w:rsidRDefault="003C1BA0">
      <w:pPr>
        <w:pStyle w:val="TOC4"/>
        <w:rPr>
          <w:rFonts w:eastAsiaTheme="minorEastAsia" w:cs="Arial"/>
          <w:noProof/>
          <w:kern w:val="2"/>
          <w14:ligatures w14:val="standardContextual"/>
        </w:rPr>
      </w:pPr>
      <w:hyperlink w:anchor="_Toc225877791" w:history="1">
        <w:r w:rsidRPr="000E4A30">
          <w:rPr>
            <w:rStyle w:val="Hyperlink"/>
            <w:rFonts w:cs="Arial"/>
            <w:noProof/>
          </w:rPr>
          <w:t>Section 6: Patient Safety Practices Reference Information</w:t>
        </w:r>
        <w:r w:rsidRPr="000E4A30">
          <w:rPr>
            <w:rFonts w:cs="Arial"/>
            <w:noProof/>
            <w:webHidden/>
          </w:rPr>
          <w:tab/>
        </w:r>
        <w:r w:rsidRPr="000E4A30">
          <w:rPr>
            <w:rFonts w:cs="Arial"/>
            <w:noProof/>
            <w:webHidden/>
          </w:rPr>
          <w:fldChar w:fldCharType="begin"/>
        </w:r>
        <w:r w:rsidRPr="000E4A30">
          <w:rPr>
            <w:rFonts w:cs="Arial"/>
            <w:noProof/>
            <w:webHidden/>
          </w:rPr>
          <w:instrText xml:space="preserve"> PAGEREF _Toc225877791 \h </w:instrText>
        </w:r>
        <w:r w:rsidRPr="000E4A30">
          <w:rPr>
            <w:rFonts w:cs="Arial"/>
            <w:noProof/>
            <w:webHidden/>
          </w:rPr>
        </w:r>
        <w:r w:rsidRPr="000E4A30">
          <w:rPr>
            <w:rFonts w:cs="Arial"/>
            <w:noProof/>
            <w:webHidden/>
          </w:rPr>
          <w:fldChar w:fldCharType="separate"/>
        </w:r>
        <w:r w:rsidR="002C0DFB">
          <w:rPr>
            <w:rFonts w:cs="Arial"/>
            <w:noProof/>
            <w:webHidden/>
          </w:rPr>
          <w:t>233</w:t>
        </w:r>
        <w:r w:rsidRPr="000E4A30">
          <w:rPr>
            <w:rFonts w:cs="Arial"/>
            <w:noProof/>
            <w:webHidden/>
          </w:rPr>
          <w:fldChar w:fldCharType="end"/>
        </w:r>
      </w:hyperlink>
    </w:p>
    <w:p w14:paraId="3F036332" w14:textId="01914EAA" w:rsidR="003C1BA0" w:rsidRPr="000E4A30" w:rsidRDefault="003C1BA0">
      <w:pPr>
        <w:pStyle w:val="TOC5"/>
        <w:rPr>
          <w:rFonts w:ascii="Arial" w:hAnsi="Arial" w:cs="Arial"/>
          <w:noProof/>
          <w:kern w:val="2"/>
          <w:sz w:val="20"/>
          <w:szCs w:val="20"/>
          <w14:ligatures w14:val="standardContextual"/>
        </w:rPr>
      </w:pPr>
      <w:hyperlink w:anchor="_Toc225877792" w:history="1">
        <w:r w:rsidRPr="000E4A30">
          <w:rPr>
            <w:rStyle w:val="Hyperlink"/>
            <w:rFonts w:ascii="Arial" w:hAnsi="Arial" w:cs="Arial"/>
            <w:noProof/>
            <w:sz w:val="20"/>
            <w:szCs w:val="20"/>
          </w:rPr>
          <w:t>What’s New in the 2026 Survey</w:t>
        </w:r>
        <w:r w:rsidRPr="000E4A30">
          <w:rPr>
            <w:rFonts w:ascii="Arial" w:hAnsi="Arial" w:cs="Arial"/>
            <w:noProof/>
            <w:webHidden/>
            <w:sz w:val="20"/>
            <w:szCs w:val="20"/>
          </w:rPr>
          <w:tab/>
        </w:r>
        <w:r w:rsidRPr="000E4A30">
          <w:rPr>
            <w:rFonts w:ascii="Arial" w:hAnsi="Arial" w:cs="Arial"/>
            <w:noProof/>
            <w:webHidden/>
            <w:sz w:val="20"/>
            <w:szCs w:val="20"/>
          </w:rPr>
          <w:fldChar w:fldCharType="begin"/>
        </w:r>
        <w:r w:rsidRPr="000E4A30">
          <w:rPr>
            <w:rFonts w:ascii="Arial" w:hAnsi="Arial" w:cs="Arial"/>
            <w:noProof/>
            <w:webHidden/>
            <w:sz w:val="20"/>
            <w:szCs w:val="20"/>
          </w:rPr>
          <w:instrText xml:space="preserve"> PAGEREF _Toc225877792 \h </w:instrText>
        </w:r>
        <w:r w:rsidRPr="000E4A30">
          <w:rPr>
            <w:rFonts w:ascii="Arial" w:hAnsi="Arial" w:cs="Arial"/>
            <w:noProof/>
            <w:webHidden/>
            <w:sz w:val="20"/>
            <w:szCs w:val="20"/>
          </w:rPr>
        </w:r>
        <w:r w:rsidRPr="000E4A30">
          <w:rPr>
            <w:rFonts w:ascii="Arial" w:hAnsi="Arial" w:cs="Arial"/>
            <w:noProof/>
            <w:webHidden/>
            <w:sz w:val="20"/>
            <w:szCs w:val="20"/>
          </w:rPr>
          <w:fldChar w:fldCharType="separate"/>
        </w:r>
        <w:r w:rsidR="002C0DFB">
          <w:rPr>
            <w:rFonts w:ascii="Arial" w:hAnsi="Arial" w:cs="Arial"/>
            <w:noProof/>
            <w:webHidden/>
            <w:sz w:val="20"/>
            <w:szCs w:val="20"/>
          </w:rPr>
          <w:t>233</w:t>
        </w:r>
        <w:r w:rsidRPr="000E4A30">
          <w:rPr>
            <w:rFonts w:ascii="Arial" w:hAnsi="Arial" w:cs="Arial"/>
            <w:noProof/>
            <w:webHidden/>
            <w:sz w:val="20"/>
            <w:szCs w:val="20"/>
          </w:rPr>
          <w:fldChar w:fldCharType="end"/>
        </w:r>
      </w:hyperlink>
    </w:p>
    <w:p w14:paraId="00015A2C" w14:textId="6BD8427D" w:rsidR="003C1BA0" w:rsidRPr="000E4A30" w:rsidRDefault="003C1BA0">
      <w:pPr>
        <w:pStyle w:val="TOC5"/>
        <w:rPr>
          <w:rFonts w:ascii="Arial" w:hAnsi="Arial" w:cs="Arial"/>
          <w:noProof/>
          <w:kern w:val="2"/>
          <w:sz w:val="20"/>
          <w:szCs w:val="20"/>
          <w14:ligatures w14:val="standardContextual"/>
        </w:rPr>
      </w:pPr>
      <w:hyperlink w:anchor="_Toc225877793" w:history="1">
        <w:r w:rsidRPr="002A777C">
          <w:rPr>
            <w:rStyle w:val="Hyperlink"/>
            <w:rFonts w:ascii="Arial" w:hAnsi="Arial" w:cs="Arial"/>
            <w:noProof/>
            <w:sz w:val="20"/>
            <w:szCs w:val="20"/>
            <w:highlight w:val="yellow"/>
          </w:rPr>
          <w:t>Change Summary Since Release</w:t>
        </w:r>
        <w:r w:rsidRPr="002A777C">
          <w:rPr>
            <w:rFonts w:ascii="Arial" w:hAnsi="Arial" w:cs="Arial"/>
            <w:noProof/>
            <w:webHidden/>
            <w:sz w:val="20"/>
            <w:szCs w:val="20"/>
            <w:highlight w:val="yellow"/>
          </w:rPr>
          <w:tab/>
        </w:r>
        <w:r w:rsidRPr="002A777C">
          <w:rPr>
            <w:rFonts w:ascii="Arial" w:hAnsi="Arial" w:cs="Arial"/>
            <w:noProof/>
            <w:webHidden/>
            <w:sz w:val="20"/>
            <w:szCs w:val="20"/>
            <w:highlight w:val="yellow"/>
          </w:rPr>
          <w:fldChar w:fldCharType="begin"/>
        </w:r>
        <w:r w:rsidRPr="002A777C">
          <w:rPr>
            <w:rFonts w:ascii="Arial" w:hAnsi="Arial" w:cs="Arial"/>
            <w:noProof/>
            <w:webHidden/>
            <w:sz w:val="20"/>
            <w:szCs w:val="20"/>
            <w:highlight w:val="yellow"/>
          </w:rPr>
          <w:instrText xml:space="preserve"> PAGEREF _Toc225877793 \h </w:instrText>
        </w:r>
        <w:r w:rsidRPr="002A777C">
          <w:rPr>
            <w:rFonts w:ascii="Arial" w:hAnsi="Arial" w:cs="Arial"/>
            <w:noProof/>
            <w:webHidden/>
            <w:sz w:val="20"/>
            <w:szCs w:val="20"/>
            <w:highlight w:val="yellow"/>
          </w:rPr>
        </w:r>
        <w:r w:rsidRPr="002A777C">
          <w:rPr>
            <w:rFonts w:ascii="Arial" w:hAnsi="Arial" w:cs="Arial"/>
            <w:noProof/>
            <w:webHidden/>
            <w:sz w:val="20"/>
            <w:szCs w:val="20"/>
            <w:highlight w:val="yellow"/>
          </w:rPr>
          <w:fldChar w:fldCharType="separate"/>
        </w:r>
        <w:r w:rsidR="002C0DFB" w:rsidRPr="002A777C">
          <w:rPr>
            <w:rFonts w:ascii="Arial" w:hAnsi="Arial" w:cs="Arial"/>
            <w:noProof/>
            <w:webHidden/>
            <w:sz w:val="20"/>
            <w:szCs w:val="20"/>
            <w:highlight w:val="yellow"/>
          </w:rPr>
          <w:t>236</w:t>
        </w:r>
        <w:r w:rsidRPr="002A777C">
          <w:rPr>
            <w:rFonts w:ascii="Arial" w:hAnsi="Arial" w:cs="Arial"/>
            <w:noProof/>
            <w:webHidden/>
            <w:sz w:val="20"/>
            <w:szCs w:val="20"/>
            <w:highlight w:val="yellow"/>
          </w:rPr>
          <w:fldChar w:fldCharType="end"/>
        </w:r>
      </w:hyperlink>
    </w:p>
    <w:p w14:paraId="4EECF7C4" w14:textId="6C6C9241" w:rsidR="003C1BA0" w:rsidRPr="000E4A30" w:rsidRDefault="003C1BA0">
      <w:pPr>
        <w:pStyle w:val="TOC4"/>
        <w:rPr>
          <w:rFonts w:eastAsiaTheme="minorEastAsia" w:cs="Arial"/>
          <w:noProof/>
          <w:kern w:val="2"/>
          <w14:ligatures w14:val="standardContextual"/>
        </w:rPr>
      </w:pPr>
      <w:hyperlink w:anchor="_Toc225877794" w:history="1">
        <w:r w:rsidRPr="000E4A30">
          <w:rPr>
            <w:rStyle w:val="Hyperlink"/>
            <w:rFonts w:cs="Arial"/>
            <w:noProof/>
          </w:rPr>
          <w:t>Section 6: Patient Safety Practices Measure Specifications</w:t>
        </w:r>
        <w:r w:rsidRPr="000E4A30">
          <w:rPr>
            <w:rFonts w:cs="Arial"/>
            <w:noProof/>
            <w:webHidden/>
          </w:rPr>
          <w:tab/>
        </w:r>
        <w:r w:rsidRPr="000E4A30">
          <w:rPr>
            <w:rFonts w:cs="Arial"/>
            <w:noProof/>
            <w:webHidden/>
          </w:rPr>
          <w:fldChar w:fldCharType="begin"/>
        </w:r>
        <w:r w:rsidRPr="000E4A30">
          <w:rPr>
            <w:rFonts w:cs="Arial"/>
            <w:noProof/>
            <w:webHidden/>
          </w:rPr>
          <w:instrText xml:space="preserve"> PAGEREF _Toc225877794 \h </w:instrText>
        </w:r>
        <w:r w:rsidRPr="000E4A30">
          <w:rPr>
            <w:rFonts w:cs="Arial"/>
            <w:noProof/>
            <w:webHidden/>
          </w:rPr>
        </w:r>
        <w:r w:rsidRPr="000E4A30">
          <w:rPr>
            <w:rFonts w:cs="Arial"/>
            <w:noProof/>
            <w:webHidden/>
          </w:rPr>
          <w:fldChar w:fldCharType="separate"/>
        </w:r>
        <w:r w:rsidR="002C0DFB">
          <w:rPr>
            <w:rFonts w:cs="Arial"/>
            <w:noProof/>
            <w:webHidden/>
          </w:rPr>
          <w:t>237</w:t>
        </w:r>
        <w:r w:rsidRPr="000E4A30">
          <w:rPr>
            <w:rFonts w:cs="Arial"/>
            <w:noProof/>
            <w:webHidden/>
          </w:rPr>
          <w:fldChar w:fldCharType="end"/>
        </w:r>
      </w:hyperlink>
    </w:p>
    <w:p w14:paraId="73E9F35E" w14:textId="7B81F534" w:rsidR="003C1BA0" w:rsidRPr="000E4A30" w:rsidRDefault="003C1BA0">
      <w:pPr>
        <w:pStyle w:val="TOC5"/>
        <w:rPr>
          <w:rFonts w:ascii="Arial" w:hAnsi="Arial" w:cs="Arial"/>
          <w:noProof/>
          <w:kern w:val="2"/>
          <w:sz w:val="20"/>
          <w:szCs w:val="20"/>
          <w14:ligatures w14:val="standardContextual"/>
        </w:rPr>
      </w:pPr>
      <w:hyperlink w:anchor="_Toc225877795" w:history="1">
        <w:r w:rsidRPr="000E4A30">
          <w:rPr>
            <w:rStyle w:val="Hyperlink"/>
            <w:rFonts w:ascii="Arial" w:hAnsi="Arial" w:cs="Arial"/>
            <w:noProof/>
            <w:sz w:val="20"/>
            <w:szCs w:val="20"/>
          </w:rPr>
          <w:t>NQF Safe Practice Measure Specifications</w:t>
        </w:r>
        <w:r w:rsidRPr="000E4A30">
          <w:rPr>
            <w:rFonts w:ascii="Arial" w:hAnsi="Arial" w:cs="Arial"/>
            <w:noProof/>
            <w:webHidden/>
            <w:sz w:val="20"/>
            <w:szCs w:val="20"/>
          </w:rPr>
          <w:tab/>
        </w:r>
        <w:r w:rsidRPr="000E4A30">
          <w:rPr>
            <w:rFonts w:ascii="Arial" w:hAnsi="Arial" w:cs="Arial"/>
            <w:noProof/>
            <w:webHidden/>
            <w:sz w:val="20"/>
            <w:szCs w:val="20"/>
          </w:rPr>
          <w:fldChar w:fldCharType="begin"/>
        </w:r>
        <w:r w:rsidRPr="000E4A30">
          <w:rPr>
            <w:rFonts w:ascii="Arial" w:hAnsi="Arial" w:cs="Arial"/>
            <w:noProof/>
            <w:webHidden/>
            <w:sz w:val="20"/>
            <w:szCs w:val="20"/>
          </w:rPr>
          <w:instrText xml:space="preserve"> PAGEREF _Toc225877795 \h </w:instrText>
        </w:r>
        <w:r w:rsidRPr="000E4A30">
          <w:rPr>
            <w:rFonts w:ascii="Arial" w:hAnsi="Arial" w:cs="Arial"/>
            <w:noProof/>
            <w:webHidden/>
            <w:sz w:val="20"/>
            <w:szCs w:val="20"/>
          </w:rPr>
        </w:r>
        <w:r w:rsidRPr="000E4A30">
          <w:rPr>
            <w:rFonts w:ascii="Arial" w:hAnsi="Arial" w:cs="Arial"/>
            <w:noProof/>
            <w:webHidden/>
            <w:sz w:val="20"/>
            <w:szCs w:val="20"/>
          </w:rPr>
          <w:fldChar w:fldCharType="separate"/>
        </w:r>
        <w:r w:rsidR="002C0DFB">
          <w:rPr>
            <w:rFonts w:ascii="Arial" w:hAnsi="Arial" w:cs="Arial"/>
            <w:noProof/>
            <w:webHidden/>
            <w:sz w:val="20"/>
            <w:szCs w:val="20"/>
          </w:rPr>
          <w:t>237</w:t>
        </w:r>
        <w:r w:rsidRPr="000E4A30">
          <w:rPr>
            <w:rFonts w:ascii="Arial" w:hAnsi="Arial" w:cs="Arial"/>
            <w:noProof/>
            <w:webHidden/>
            <w:sz w:val="20"/>
            <w:szCs w:val="20"/>
          </w:rPr>
          <w:fldChar w:fldCharType="end"/>
        </w:r>
      </w:hyperlink>
    </w:p>
    <w:p w14:paraId="712A4AB1" w14:textId="1BB1D3A1" w:rsidR="003C1BA0" w:rsidRPr="000E4A30" w:rsidRDefault="003C1BA0">
      <w:pPr>
        <w:pStyle w:val="TOC5"/>
        <w:rPr>
          <w:rFonts w:ascii="Arial" w:hAnsi="Arial" w:cs="Arial"/>
          <w:noProof/>
          <w:kern w:val="2"/>
          <w:sz w:val="20"/>
          <w:szCs w:val="20"/>
          <w14:ligatures w14:val="standardContextual"/>
        </w:rPr>
      </w:pPr>
      <w:hyperlink w:anchor="_Toc225877796" w:history="1">
        <w:r w:rsidRPr="000E4A30">
          <w:rPr>
            <w:rStyle w:val="Hyperlink"/>
            <w:rFonts w:ascii="Arial" w:hAnsi="Arial" w:cs="Arial"/>
            <w:noProof/>
            <w:sz w:val="20"/>
            <w:szCs w:val="20"/>
          </w:rPr>
          <w:t>Hand Hygiene Measure Specifications</w:t>
        </w:r>
        <w:r w:rsidRPr="000E4A30">
          <w:rPr>
            <w:rFonts w:ascii="Arial" w:hAnsi="Arial" w:cs="Arial"/>
            <w:noProof/>
            <w:webHidden/>
            <w:sz w:val="20"/>
            <w:szCs w:val="20"/>
          </w:rPr>
          <w:tab/>
        </w:r>
        <w:r w:rsidRPr="000E4A30">
          <w:rPr>
            <w:rFonts w:ascii="Arial" w:hAnsi="Arial" w:cs="Arial"/>
            <w:noProof/>
            <w:webHidden/>
            <w:sz w:val="20"/>
            <w:szCs w:val="20"/>
          </w:rPr>
          <w:fldChar w:fldCharType="begin"/>
        </w:r>
        <w:r w:rsidRPr="000E4A30">
          <w:rPr>
            <w:rFonts w:ascii="Arial" w:hAnsi="Arial" w:cs="Arial"/>
            <w:noProof/>
            <w:webHidden/>
            <w:sz w:val="20"/>
            <w:szCs w:val="20"/>
          </w:rPr>
          <w:instrText xml:space="preserve"> PAGEREF _Toc225877796 \h </w:instrText>
        </w:r>
        <w:r w:rsidRPr="000E4A30">
          <w:rPr>
            <w:rFonts w:ascii="Arial" w:hAnsi="Arial" w:cs="Arial"/>
            <w:noProof/>
            <w:webHidden/>
            <w:sz w:val="20"/>
            <w:szCs w:val="20"/>
          </w:rPr>
        </w:r>
        <w:r w:rsidRPr="000E4A30">
          <w:rPr>
            <w:rFonts w:ascii="Arial" w:hAnsi="Arial" w:cs="Arial"/>
            <w:noProof/>
            <w:webHidden/>
            <w:sz w:val="20"/>
            <w:szCs w:val="20"/>
          </w:rPr>
          <w:fldChar w:fldCharType="separate"/>
        </w:r>
        <w:r w:rsidR="002C0DFB">
          <w:rPr>
            <w:rFonts w:ascii="Arial" w:hAnsi="Arial" w:cs="Arial"/>
            <w:noProof/>
            <w:webHidden/>
            <w:sz w:val="20"/>
            <w:szCs w:val="20"/>
          </w:rPr>
          <w:t>238</w:t>
        </w:r>
        <w:r w:rsidRPr="000E4A30">
          <w:rPr>
            <w:rFonts w:ascii="Arial" w:hAnsi="Arial" w:cs="Arial"/>
            <w:noProof/>
            <w:webHidden/>
            <w:sz w:val="20"/>
            <w:szCs w:val="20"/>
          </w:rPr>
          <w:fldChar w:fldCharType="end"/>
        </w:r>
      </w:hyperlink>
    </w:p>
    <w:p w14:paraId="7E8057B7" w14:textId="1841D3FF" w:rsidR="003C1BA0" w:rsidRPr="000E4A30" w:rsidRDefault="003C1BA0">
      <w:pPr>
        <w:pStyle w:val="TOC5"/>
        <w:rPr>
          <w:rFonts w:ascii="Arial" w:hAnsi="Arial" w:cs="Arial"/>
          <w:noProof/>
          <w:kern w:val="2"/>
          <w:sz w:val="20"/>
          <w:szCs w:val="20"/>
          <w14:ligatures w14:val="standardContextual"/>
        </w:rPr>
      </w:pPr>
      <w:hyperlink w:anchor="_Toc225877797" w:history="1">
        <w:r w:rsidRPr="000E4A30">
          <w:rPr>
            <w:rStyle w:val="Hyperlink"/>
            <w:rFonts w:ascii="Arial" w:hAnsi="Arial" w:cs="Arial"/>
            <w:noProof/>
            <w:sz w:val="20"/>
            <w:szCs w:val="20"/>
          </w:rPr>
          <w:t>Hospital Boarding in the Emergency Department (ED) Boarding Measure Specifications</w:t>
        </w:r>
        <w:r w:rsidRPr="000E4A30">
          <w:rPr>
            <w:rFonts w:ascii="Arial" w:hAnsi="Arial" w:cs="Arial"/>
            <w:noProof/>
            <w:webHidden/>
            <w:sz w:val="20"/>
            <w:szCs w:val="20"/>
          </w:rPr>
          <w:tab/>
        </w:r>
        <w:r w:rsidRPr="000E4A30">
          <w:rPr>
            <w:rFonts w:ascii="Arial" w:hAnsi="Arial" w:cs="Arial"/>
            <w:noProof/>
            <w:webHidden/>
            <w:sz w:val="20"/>
            <w:szCs w:val="20"/>
          </w:rPr>
          <w:fldChar w:fldCharType="begin"/>
        </w:r>
        <w:r w:rsidRPr="000E4A30">
          <w:rPr>
            <w:rFonts w:ascii="Arial" w:hAnsi="Arial" w:cs="Arial"/>
            <w:noProof/>
            <w:webHidden/>
            <w:sz w:val="20"/>
            <w:szCs w:val="20"/>
          </w:rPr>
          <w:instrText xml:space="preserve"> PAGEREF _Toc225877797 \h </w:instrText>
        </w:r>
        <w:r w:rsidRPr="000E4A30">
          <w:rPr>
            <w:rFonts w:ascii="Arial" w:hAnsi="Arial" w:cs="Arial"/>
            <w:noProof/>
            <w:webHidden/>
            <w:sz w:val="20"/>
            <w:szCs w:val="20"/>
          </w:rPr>
        </w:r>
        <w:r w:rsidRPr="000E4A30">
          <w:rPr>
            <w:rFonts w:ascii="Arial" w:hAnsi="Arial" w:cs="Arial"/>
            <w:noProof/>
            <w:webHidden/>
            <w:sz w:val="20"/>
            <w:szCs w:val="20"/>
          </w:rPr>
          <w:fldChar w:fldCharType="separate"/>
        </w:r>
        <w:r w:rsidR="002C0DFB">
          <w:rPr>
            <w:rFonts w:ascii="Arial" w:hAnsi="Arial" w:cs="Arial"/>
            <w:noProof/>
            <w:webHidden/>
            <w:sz w:val="20"/>
            <w:szCs w:val="20"/>
          </w:rPr>
          <w:t>246</w:t>
        </w:r>
        <w:r w:rsidRPr="000E4A30">
          <w:rPr>
            <w:rFonts w:ascii="Arial" w:hAnsi="Arial" w:cs="Arial"/>
            <w:noProof/>
            <w:webHidden/>
            <w:sz w:val="20"/>
            <w:szCs w:val="20"/>
          </w:rPr>
          <w:fldChar w:fldCharType="end"/>
        </w:r>
      </w:hyperlink>
    </w:p>
    <w:p w14:paraId="1CB20B95" w14:textId="6A96461B" w:rsidR="003C1BA0" w:rsidRPr="000E4A30" w:rsidRDefault="003C1BA0">
      <w:pPr>
        <w:pStyle w:val="TOC4"/>
        <w:rPr>
          <w:rFonts w:eastAsiaTheme="minorEastAsia" w:cs="Arial"/>
          <w:noProof/>
          <w:kern w:val="2"/>
          <w14:ligatures w14:val="standardContextual"/>
        </w:rPr>
      </w:pPr>
      <w:hyperlink w:anchor="_Toc225877798" w:history="1">
        <w:r w:rsidRPr="000E4A30">
          <w:rPr>
            <w:rStyle w:val="Hyperlink"/>
            <w:rFonts w:cs="Arial"/>
            <w:noProof/>
          </w:rPr>
          <w:t>Section 6: Patient Safety Practices Frequently Asked Questions (FAQs)</w:t>
        </w:r>
        <w:r w:rsidRPr="000E4A30">
          <w:rPr>
            <w:rFonts w:cs="Arial"/>
            <w:noProof/>
            <w:webHidden/>
          </w:rPr>
          <w:tab/>
        </w:r>
        <w:r w:rsidRPr="000E4A30">
          <w:rPr>
            <w:rFonts w:cs="Arial"/>
            <w:noProof/>
            <w:webHidden/>
          </w:rPr>
          <w:fldChar w:fldCharType="begin"/>
        </w:r>
        <w:r w:rsidRPr="000E4A30">
          <w:rPr>
            <w:rFonts w:cs="Arial"/>
            <w:noProof/>
            <w:webHidden/>
          </w:rPr>
          <w:instrText xml:space="preserve"> PAGEREF _Toc225877798 \h </w:instrText>
        </w:r>
        <w:r w:rsidRPr="000E4A30">
          <w:rPr>
            <w:rFonts w:cs="Arial"/>
            <w:noProof/>
            <w:webHidden/>
          </w:rPr>
        </w:r>
        <w:r w:rsidRPr="000E4A30">
          <w:rPr>
            <w:rFonts w:cs="Arial"/>
            <w:noProof/>
            <w:webHidden/>
          </w:rPr>
          <w:fldChar w:fldCharType="separate"/>
        </w:r>
        <w:r w:rsidR="002C0DFB">
          <w:rPr>
            <w:rFonts w:cs="Arial"/>
            <w:noProof/>
            <w:webHidden/>
          </w:rPr>
          <w:t>250</w:t>
        </w:r>
        <w:r w:rsidRPr="000E4A30">
          <w:rPr>
            <w:rFonts w:cs="Arial"/>
            <w:noProof/>
            <w:webHidden/>
          </w:rPr>
          <w:fldChar w:fldCharType="end"/>
        </w:r>
      </w:hyperlink>
    </w:p>
    <w:p w14:paraId="75730F98" w14:textId="15888904" w:rsidR="003C1BA0" w:rsidRPr="000E4A30" w:rsidRDefault="003C1BA0">
      <w:pPr>
        <w:pStyle w:val="TOC5"/>
        <w:rPr>
          <w:rFonts w:ascii="Arial" w:hAnsi="Arial" w:cs="Arial"/>
          <w:noProof/>
          <w:kern w:val="2"/>
          <w:sz w:val="20"/>
          <w:szCs w:val="20"/>
          <w14:ligatures w14:val="standardContextual"/>
        </w:rPr>
      </w:pPr>
      <w:hyperlink w:anchor="_Toc225877799" w:history="1">
        <w:r w:rsidRPr="000E4A30">
          <w:rPr>
            <w:rStyle w:val="Hyperlink"/>
            <w:rFonts w:ascii="Arial" w:hAnsi="Arial" w:cs="Arial"/>
            <w:noProof/>
            <w:sz w:val="20"/>
            <w:szCs w:val="20"/>
          </w:rPr>
          <w:t>General Questions</w:t>
        </w:r>
        <w:r w:rsidRPr="000E4A30">
          <w:rPr>
            <w:rFonts w:ascii="Arial" w:hAnsi="Arial" w:cs="Arial"/>
            <w:noProof/>
            <w:webHidden/>
            <w:sz w:val="20"/>
            <w:szCs w:val="20"/>
          </w:rPr>
          <w:tab/>
        </w:r>
        <w:r w:rsidRPr="000E4A30">
          <w:rPr>
            <w:rFonts w:ascii="Arial" w:hAnsi="Arial" w:cs="Arial"/>
            <w:noProof/>
            <w:webHidden/>
            <w:sz w:val="20"/>
            <w:szCs w:val="20"/>
          </w:rPr>
          <w:fldChar w:fldCharType="begin"/>
        </w:r>
        <w:r w:rsidRPr="000E4A30">
          <w:rPr>
            <w:rFonts w:ascii="Arial" w:hAnsi="Arial" w:cs="Arial"/>
            <w:noProof/>
            <w:webHidden/>
            <w:sz w:val="20"/>
            <w:szCs w:val="20"/>
          </w:rPr>
          <w:instrText xml:space="preserve"> PAGEREF _Toc225877799 \h </w:instrText>
        </w:r>
        <w:r w:rsidRPr="000E4A30">
          <w:rPr>
            <w:rFonts w:ascii="Arial" w:hAnsi="Arial" w:cs="Arial"/>
            <w:noProof/>
            <w:webHidden/>
            <w:sz w:val="20"/>
            <w:szCs w:val="20"/>
          </w:rPr>
        </w:r>
        <w:r w:rsidRPr="000E4A30">
          <w:rPr>
            <w:rFonts w:ascii="Arial" w:hAnsi="Arial" w:cs="Arial"/>
            <w:noProof/>
            <w:webHidden/>
            <w:sz w:val="20"/>
            <w:szCs w:val="20"/>
          </w:rPr>
          <w:fldChar w:fldCharType="separate"/>
        </w:r>
        <w:r w:rsidR="002C0DFB">
          <w:rPr>
            <w:rFonts w:ascii="Arial" w:hAnsi="Arial" w:cs="Arial"/>
            <w:noProof/>
            <w:webHidden/>
            <w:sz w:val="20"/>
            <w:szCs w:val="20"/>
          </w:rPr>
          <w:t>250</w:t>
        </w:r>
        <w:r w:rsidRPr="000E4A30">
          <w:rPr>
            <w:rFonts w:ascii="Arial" w:hAnsi="Arial" w:cs="Arial"/>
            <w:noProof/>
            <w:webHidden/>
            <w:sz w:val="20"/>
            <w:szCs w:val="20"/>
          </w:rPr>
          <w:fldChar w:fldCharType="end"/>
        </w:r>
      </w:hyperlink>
    </w:p>
    <w:p w14:paraId="5A2A2A76" w14:textId="25F7C7B9" w:rsidR="003C1BA0" w:rsidRPr="000E4A30" w:rsidRDefault="003C1BA0">
      <w:pPr>
        <w:pStyle w:val="TOC5"/>
        <w:rPr>
          <w:rFonts w:ascii="Arial" w:hAnsi="Arial" w:cs="Arial"/>
          <w:noProof/>
          <w:kern w:val="2"/>
          <w:sz w:val="20"/>
          <w:szCs w:val="20"/>
          <w14:ligatures w14:val="standardContextual"/>
        </w:rPr>
      </w:pPr>
      <w:hyperlink w:anchor="_Toc225877800" w:history="1">
        <w:r w:rsidRPr="000E4A30">
          <w:rPr>
            <w:rStyle w:val="Hyperlink"/>
            <w:rFonts w:ascii="Arial" w:hAnsi="Arial" w:cs="Arial"/>
            <w:noProof/>
            <w:sz w:val="20"/>
            <w:szCs w:val="20"/>
          </w:rPr>
          <w:t>NQF Safe Practice #1 – Leadership Structures and Systems FAQs</w:t>
        </w:r>
        <w:r w:rsidRPr="000E4A30">
          <w:rPr>
            <w:rFonts w:ascii="Arial" w:hAnsi="Arial" w:cs="Arial"/>
            <w:noProof/>
            <w:webHidden/>
            <w:sz w:val="20"/>
            <w:szCs w:val="20"/>
          </w:rPr>
          <w:tab/>
        </w:r>
        <w:r w:rsidRPr="000E4A30">
          <w:rPr>
            <w:rFonts w:ascii="Arial" w:hAnsi="Arial" w:cs="Arial"/>
            <w:noProof/>
            <w:webHidden/>
            <w:sz w:val="20"/>
            <w:szCs w:val="20"/>
          </w:rPr>
          <w:fldChar w:fldCharType="begin"/>
        </w:r>
        <w:r w:rsidRPr="000E4A30">
          <w:rPr>
            <w:rFonts w:ascii="Arial" w:hAnsi="Arial" w:cs="Arial"/>
            <w:noProof/>
            <w:webHidden/>
            <w:sz w:val="20"/>
            <w:szCs w:val="20"/>
          </w:rPr>
          <w:instrText xml:space="preserve"> PAGEREF _Toc225877800 \h </w:instrText>
        </w:r>
        <w:r w:rsidRPr="000E4A30">
          <w:rPr>
            <w:rFonts w:ascii="Arial" w:hAnsi="Arial" w:cs="Arial"/>
            <w:noProof/>
            <w:webHidden/>
            <w:sz w:val="20"/>
            <w:szCs w:val="20"/>
          </w:rPr>
        </w:r>
        <w:r w:rsidRPr="000E4A30">
          <w:rPr>
            <w:rFonts w:ascii="Arial" w:hAnsi="Arial" w:cs="Arial"/>
            <w:noProof/>
            <w:webHidden/>
            <w:sz w:val="20"/>
            <w:szCs w:val="20"/>
          </w:rPr>
          <w:fldChar w:fldCharType="separate"/>
        </w:r>
        <w:r w:rsidR="002C0DFB">
          <w:rPr>
            <w:rFonts w:ascii="Arial" w:hAnsi="Arial" w:cs="Arial"/>
            <w:noProof/>
            <w:webHidden/>
            <w:sz w:val="20"/>
            <w:szCs w:val="20"/>
          </w:rPr>
          <w:t>252</w:t>
        </w:r>
        <w:r w:rsidRPr="000E4A30">
          <w:rPr>
            <w:rFonts w:ascii="Arial" w:hAnsi="Arial" w:cs="Arial"/>
            <w:noProof/>
            <w:webHidden/>
            <w:sz w:val="20"/>
            <w:szCs w:val="20"/>
          </w:rPr>
          <w:fldChar w:fldCharType="end"/>
        </w:r>
      </w:hyperlink>
    </w:p>
    <w:p w14:paraId="1EABCE9B" w14:textId="79A3ECDB" w:rsidR="003C1BA0" w:rsidRPr="000E4A30" w:rsidRDefault="003C1BA0">
      <w:pPr>
        <w:pStyle w:val="TOC5"/>
        <w:rPr>
          <w:rFonts w:ascii="Arial" w:hAnsi="Arial" w:cs="Arial"/>
          <w:noProof/>
          <w:kern w:val="2"/>
          <w:sz w:val="20"/>
          <w:szCs w:val="20"/>
          <w14:ligatures w14:val="standardContextual"/>
        </w:rPr>
      </w:pPr>
      <w:hyperlink w:anchor="_Toc225877801" w:history="1">
        <w:r w:rsidRPr="000E4A30">
          <w:rPr>
            <w:rStyle w:val="Hyperlink"/>
            <w:rFonts w:ascii="Arial" w:hAnsi="Arial" w:cs="Arial"/>
            <w:noProof/>
            <w:sz w:val="20"/>
            <w:szCs w:val="20"/>
          </w:rPr>
          <w:t>NQF Safe Practice #2 – Culture Measurement, Feedback, and Intervention FAQs</w:t>
        </w:r>
        <w:r w:rsidRPr="000E4A30">
          <w:rPr>
            <w:rFonts w:ascii="Arial" w:hAnsi="Arial" w:cs="Arial"/>
            <w:noProof/>
            <w:webHidden/>
            <w:sz w:val="20"/>
            <w:szCs w:val="20"/>
          </w:rPr>
          <w:tab/>
        </w:r>
        <w:r w:rsidRPr="000E4A30">
          <w:rPr>
            <w:rFonts w:ascii="Arial" w:hAnsi="Arial" w:cs="Arial"/>
            <w:noProof/>
            <w:webHidden/>
            <w:sz w:val="20"/>
            <w:szCs w:val="20"/>
          </w:rPr>
          <w:fldChar w:fldCharType="begin"/>
        </w:r>
        <w:r w:rsidRPr="000E4A30">
          <w:rPr>
            <w:rFonts w:ascii="Arial" w:hAnsi="Arial" w:cs="Arial"/>
            <w:noProof/>
            <w:webHidden/>
            <w:sz w:val="20"/>
            <w:szCs w:val="20"/>
          </w:rPr>
          <w:instrText xml:space="preserve"> PAGEREF _Toc225877801 \h </w:instrText>
        </w:r>
        <w:r w:rsidRPr="000E4A30">
          <w:rPr>
            <w:rFonts w:ascii="Arial" w:hAnsi="Arial" w:cs="Arial"/>
            <w:noProof/>
            <w:webHidden/>
            <w:sz w:val="20"/>
            <w:szCs w:val="20"/>
          </w:rPr>
        </w:r>
        <w:r w:rsidRPr="000E4A30">
          <w:rPr>
            <w:rFonts w:ascii="Arial" w:hAnsi="Arial" w:cs="Arial"/>
            <w:noProof/>
            <w:webHidden/>
            <w:sz w:val="20"/>
            <w:szCs w:val="20"/>
          </w:rPr>
          <w:fldChar w:fldCharType="separate"/>
        </w:r>
        <w:r w:rsidR="002C0DFB">
          <w:rPr>
            <w:rFonts w:ascii="Arial" w:hAnsi="Arial" w:cs="Arial"/>
            <w:noProof/>
            <w:webHidden/>
            <w:sz w:val="20"/>
            <w:szCs w:val="20"/>
          </w:rPr>
          <w:t>255</w:t>
        </w:r>
        <w:r w:rsidRPr="000E4A30">
          <w:rPr>
            <w:rFonts w:ascii="Arial" w:hAnsi="Arial" w:cs="Arial"/>
            <w:noProof/>
            <w:webHidden/>
            <w:sz w:val="20"/>
            <w:szCs w:val="20"/>
          </w:rPr>
          <w:fldChar w:fldCharType="end"/>
        </w:r>
      </w:hyperlink>
    </w:p>
    <w:p w14:paraId="4021CCB3" w14:textId="15291E94" w:rsidR="003C1BA0" w:rsidRPr="000E4A30" w:rsidRDefault="003C1BA0">
      <w:pPr>
        <w:pStyle w:val="TOC5"/>
        <w:rPr>
          <w:rFonts w:ascii="Arial" w:hAnsi="Arial" w:cs="Arial"/>
          <w:noProof/>
          <w:kern w:val="2"/>
          <w:sz w:val="20"/>
          <w:szCs w:val="20"/>
          <w14:ligatures w14:val="standardContextual"/>
        </w:rPr>
      </w:pPr>
      <w:hyperlink w:anchor="_Toc225877802" w:history="1">
        <w:r w:rsidRPr="000E4A30">
          <w:rPr>
            <w:rStyle w:val="Hyperlink"/>
            <w:rFonts w:ascii="Arial" w:hAnsi="Arial" w:cs="Arial"/>
            <w:noProof/>
            <w:sz w:val="20"/>
            <w:szCs w:val="20"/>
          </w:rPr>
          <w:t>Hand Hygiene FAQs</w:t>
        </w:r>
        <w:r w:rsidRPr="000E4A30">
          <w:rPr>
            <w:rFonts w:ascii="Arial" w:hAnsi="Arial" w:cs="Arial"/>
            <w:noProof/>
            <w:webHidden/>
            <w:sz w:val="20"/>
            <w:szCs w:val="20"/>
          </w:rPr>
          <w:tab/>
        </w:r>
        <w:r w:rsidRPr="000E4A30">
          <w:rPr>
            <w:rFonts w:ascii="Arial" w:hAnsi="Arial" w:cs="Arial"/>
            <w:noProof/>
            <w:webHidden/>
            <w:sz w:val="20"/>
            <w:szCs w:val="20"/>
          </w:rPr>
          <w:fldChar w:fldCharType="begin"/>
        </w:r>
        <w:r w:rsidRPr="000E4A30">
          <w:rPr>
            <w:rFonts w:ascii="Arial" w:hAnsi="Arial" w:cs="Arial"/>
            <w:noProof/>
            <w:webHidden/>
            <w:sz w:val="20"/>
            <w:szCs w:val="20"/>
          </w:rPr>
          <w:instrText xml:space="preserve"> PAGEREF _Toc225877802 \h </w:instrText>
        </w:r>
        <w:r w:rsidRPr="000E4A30">
          <w:rPr>
            <w:rFonts w:ascii="Arial" w:hAnsi="Arial" w:cs="Arial"/>
            <w:noProof/>
            <w:webHidden/>
            <w:sz w:val="20"/>
            <w:szCs w:val="20"/>
          </w:rPr>
        </w:r>
        <w:r w:rsidRPr="000E4A30">
          <w:rPr>
            <w:rFonts w:ascii="Arial" w:hAnsi="Arial" w:cs="Arial"/>
            <w:noProof/>
            <w:webHidden/>
            <w:sz w:val="20"/>
            <w:szCs w:val="20"/>
          </w:rPr>
          <w:fldChar w:fldCharType="separate"/>
        </w:r>
        <w:r w:rsidR="002C0DFB">
          <w:rPr>
            <w:rFonts w:ascii="Arial" w:hAnsi="Arial" w:cs="Arial"/>
            <w:noProof/>
            <w:webHidden/>
            <w:sz w:val="20"/>
            <w:szCs w:val="20"/>
          </w:rPr>
          <w:t>256</w:t>
        </w:r>
        <w:r w:rsidRPr="000E4A30">
          <w:rPr>
            <w:rFonts w:ascii="Arial" w:hAnsi="Arial" w:cs="Arial"/>
            <w:noProof/>
            <w:webHidden/>
            <w:sz w:val="20"/>
            <w:szCs w:val="20"/>
          </w:rPr>
          <w:fldChar w:fldCharType="end"/>
        </w:r>
      </w:hyperlink>
    </w:p>
    <w:p w14:paraId="6BB6D84D" w14:textId="3CC61F3E" w:rsidR="003C1BA0" w:rsidRPr="000E4A30" w:rsidRDefault="003C1BA0">
      <w:pPr>
        <w:pStyle w:val="TOC5"/>
        <w:rPr>
          <w:rFonts w:ascii="Arial" w:hAnsi="Arial" w:cs="Arial"/>
          <w:noProof/>
          <w:kern w:val="2"/>
          <w:sz w:val="20"/>
          <w:szCs w:val="20"/>
          <w14:ligatures w14:val="standardContextual"/>
        </w:rPr>
      </w:pPr>
      <w:hyperlink w:anchor="_Toc225877803" w:history="1">
        <w:r w:rsidRPr="000E4A30">
          <w:rPr>
            <w:rStyle w:val="Hyperlink"/>
            <w:rFonts w:ascii="Arial" w:hAnsi="Arial" w:cs="Arial"/>
            <w:noProof/>
            <w:sz w:val="20"/>
            <w:szCs w:val="20"/>
          </w:rPr>
          <w:t>Diagnostic Excellence FAQs</w:t>
        </w:r>
        <w:r w:rsidRPr="000E4A30">
          <w:rPr>
            <w:rFonts w:ascii="Arial" w:hAnsi="Arial" w:cs="Arial"/>
            <w:noProof/>
            <w:webHidden/>
            <w:sz w:val="20"/>
            <w:szCs w:val="20"/>
          </w:rPr>
          <w:tab/>
        </w:r>
        <w:r w:rsidRPr="000E4A30">
          <w:rPr>
            <w:rFonts w:ascii="Arial" w:hAnsi="Arial" w:cs="Arial"/>
            <w:noProof/>
            <w:webHidden/>
            <w:sz w:val="20"/>
            <w:szCs w:val="20"/>
          </w:rPr>
          <w:fldChar w:fldCharType="begin"/>
        </w:r>
        <w:r w:rsidRPr="000E4A30">
          <w:rPr>
            <w:rFonts w:ascii="Arial" w:hAnsi="Arial" w:cs="Arial"/>
            <w:noProof/>
            <w:webHidden/>
            <w:sz w:val="20"/>
            <w:szCs w:val="20"/>
          </w:rPr>
          <w:instrText xml:space="preserve"> PAGEREF _Toc225877803 \h </w:instrText>
        </w:r>
        <w:r w:rsidRPr="000E4A30">
          <w:rPr>
            <w:rFonts w:ascii="Arial" w:hAnsi="Arial" w:cs="Arial"/>
            <w:noProof/>
            <w:webHidden/>
            <w:sz w:val="20"/>
            <w:szCs w:val="20"/>
          </w:rPr>
        </w:r>
        <w:r w:rsidRPr="000E4A30">
          <w:rPr>
            <w:rFonts w:ascii="Arial" w:hAnsi="Arial" w:cs="Arial"/>
            <w:noProof/>
            <w:webHidden/>
            <w:sz w:val="20"/>
            <w:szCs w:val="20"/>
          </w:rPr>
          <w:fldChar w:fldCharType="separate"/>
        </w:r>
        <w:r w:rsidR="002C0DFB">
          <w:rPr>
            <w:rFonts w:ascii="Arial" w:hAnsi="Arial" w:cs="Arial"/>
            <w:noProof/>
            <w:webHidden/>
            <w:sz w:val="20"/>
            <w:szCs w:val="20"/>
          </w:rPr>
          <w:t>259</w:t>
        </w:r>
        <w:r w:rsidRPr="000E4A30">
          <w:rPr>
            <w:rFonts w:ascii="Arial" w:hAnsi="Arial" w:cs="Arial"/>
            <w:noProof/>
            <w:webHidden/>
            <w:sz w:val="20"/>
            <w:szCs w:val="20"/>
          </w:rPr>
          <w:fldChar w:fldCharType="end"/>
        </w:r>
      </w:hyperlink>
    </w:p>
    <w:p w14:paraId="6094E3AD" w14:textId="3E348181" w:rsidR="003C1BA0" w:rsidRPr="000E4A30" w:rsidRDefault="003C1BA0">
      <w:pPr>
        <w:pStyle w:val="TOC5"/>
        <w:rPr>
          <w:rFonts w:ascii="Arial" w:hAnsi="Arial" w:cs="Arial"/>
          <w:noProof/>
          <w:kern w:val="2"/>
          <w:sz w:val="20"/>
          <w:szCs w:val="20"/>
          <w14:ligatures w14:val="standardContextual"/>
        </w:rPr>
      </w:pPr>
      <w:hyperlink w:anchor="_Toc225877804" w:history="1">
        <w:r w:rsidRPr="000E4A30">
          <w:rPr>
            <w:rStyle w:val="Hyperlink"/>
            <w:rFonts w:ascii="Arial" w:hAnsi="Arial" w:cs="Arial"/>
            <w:noProof/>
            <w:sz w:val="20"/>
            <w:szCs w:val="20"/>
          </w:rPr>
          <w:t>Hospital Boarding in the Emergency Department (ED) FAQs</w:t>
        </w:r>
        <w:r w:rsidRPr="000E4A30">
          <w:rPr>
            <w:rFonts w:ascii="Arial" w:hAnsi="Arial" w:cs="Arial"/>
            <w:noProof/>
            <w:webHidden/>
            <w:sz w:val="20"/>
            <w:szCs w:val="20"/>
          </w:rPr>
          <w:tab/>
        </w:r>
        <w:r w:rsidRPr="000E4A30">
          <w:rPr>
            <w:rFonts w:ascii="Arial" w:hAnsi="Arial" w:cs="Arial"/>
            <w:noProof/>
            <w:webHidden/>
            <w:sz w:val="20"/>
            <w:szCs w:val="20"/>
          </w:rPr>
          <w:fldChar w:fldCharType="begin"/>
        </w:r>
        <w:r w:rsidRPr="000E4A30">
          <w:rPr>
            <w:rFonts w:ascii="Arial" w:hAnsi="Arial" w:cs="Arial"/>
            <w:noProof/>
            <w:webHidden/>
            <w:sz w:val="20"/>
            <w:szCs w:val="20"/>
          </w:rPr>
          <w:instrText xml:space="preserve"> PAGEREF _Toc225877804 \h </w:instrText>
        </w:r>
        <w:r w:rsidRPr="000E4A30">
          <w:rPr>
            <w:rFonts w:ascii="Arial" w:hAnsi="Arial" w:cs="Arial"/>
            <w:noProof/>
            <w:webHidden/>
            <w:sz w:val="20"/>
            <w:szCs w:val="20"/>
          </w:rPr>
        </w:r>
        <w:r w:rsidRPr="000E4A30">
          <w:rPr>
            <w:rFonts w:ascii="Arial" w:hAnsi="Arial" w:cs="Arial"/>
            <w:noProof/>
            <w:webHidden/>
            <w:sz w:val="20"/>
            <w:szCs w:val="20"/>
          </w:rPr>
          <w:fldChar w:fldCharType="separate"/>
        </w:r>
        <w:r w:rsidR="002C0DFB">
          <w:rPr>
            <w:rFonts w:ascii="Arial" w:hAnsi="Arial" w:cs="Arial"/>
            <w:noProof/>
            <w:webHidden/>
            <w:sz w:val="20"/>
            <w:szCs w:val="20"/>
          </w:rPr>
          <w:t>260</w:t>
        </w:r>
        <w:r w:rsidRPr="000E4A30">
          <w:rPr>
            <w:rFonts w:ascii="Arial" w:hAnsi="Arial" w:cs="Arial"/>
            <w:noProof/>
            <w:webHidden/>
            <w:sz w:val="20"/>
            <w:szCs w:val="20"/>
          </w:rPr>
          <w:fldChar w:fldCharType="end"/>
        </w:r>
      </w:hyperlink>
    </w:p>
    <w:p w14:paraId="4AEF5EA8" w14:textId="0352E699" w:rsidR="003C1BA0" w:rsidRPr="000E4A30" w:rsidRDefault="003C1BA0">
      <w:pPr>
        <w:pStyle w:val="TOC1"/>
        <w:rPr>
          <w:rFonts w:eastAsiaTheme="minorEastAsia" w:cs="Arial"/>
          <w:noProof/>
          <w:kern w:val="2"/>
          <w14:ligatures w14:val="standardContextual"/>
        </w:rPr>
      </w:pPr>
      <w:hyperlink w:anchor="_Toc225877805" w:history="1">
        <w:r w:rsidRPr="000E4A30">
          <w:rPr>
            <w:rStyle w:val="Hyperlink"/>
            <w:rFonts w:cs="Arial"/>
            <w:noProof/>
          </w:rPr>
          <w:t>Page Intentionally Left Blank</w:t>
        </w:r>
        <w:r w:rsidRPr="000E4A30">
          <w:rPr>
            <w:rFonts w:cs="Arial"/>
            <w:noProof/>
            <w:webHidden/>
          </w:rPr>
          <w:tab/>
        </w:r>
        <w:r w:rsidRPr="000E4A30">
          <w:rPr>
            <w:rFonts w:cs="Arial"/>
            <w:noProof/>
            <w:webHidden/>
          </w:rPr>
          <w:fldChar w:fldCharType="begin"/>
        </w:r>
        <w:r w:rsidRPr="000E4A30">
          <w:rPr>
            <w:rFonts w:cs="Arial"/>
            <w:noProof/>
            <w:webHidden/>
          </w:rPr>
          <w:instrText xml:space="preserve"> PAGEREF _Toc225877805 \h </w:instrText>
        </w:r>
        <w:r w:rsidRPr="000E4A30">
          <w:rPr>
            <w:rFonts w:cs="Arial"/>
            <w:noProof/>
            <w:webHidden/>
          </w:rPr>
        </w:r>
        <w:r w:rsidRPr="000E4A30">
          <w:rPr>
            <w:rFonts w:cs="Arial"/>
            <w:noProof/>
            <w:webHidden/>
          </w:rPr>
          <w:fldChar w:fldCharType="separate"/>
        </w:r>
        <w:r w:rsidR="002C0DFB">
          <w:rPr>
            <w:rFonts w:cs="Arial"/>
            <w:noProof/>
            <w:webHidden/>
          </w:rPr>
          <w:t>261</w:t>
        </w:r>
        <w:r w:rsidRPr="000E4A30">
          <w:rPr>
            <w:rFonts w:cs="Arial"/>
            <w:noProof/>
            <w:webHidden/>
          </w:rPr>
          <w:fldChar w:fldCharType="end"/>
        </w:r>
      </w:hyperlink>
    </w:p>
    <w:p w14:paraId="5C0F21B4" w14:textId="21E27125" w:rsidR="003C1BA0" w:rsidRPr="000E4A30" w:rsidRDefault="003C1BA0">
      <w:pPr>
        <w:pStyle w:val="TOC1"/>
        <w:rPr>
          <w:rFonts w:eastAsiaTheme="minorEastAsia" w:cs="Arial"/>
          <w:noProof/>
          <w:kern w:val="2"/>
          <w14:ligatures w14:val="standardContextual"/>
        </w:rPr>
      </w:pPr>
      <w:hyperlink w:anchor="_Toc225877806" w:history="1">
        <w:r w:rsidRPr="000E4A30">
          <w:rPr>
            <w:rStyle w:val="Hyperlink"/>
            <w:rFonts w:cs="Arial"/>
            <w:noProof/>
          </w:rPr>
          <w:t>SECTION 7: MANAGING SERIOUS ERRORS</w:t>
        </w:r>
        <w:r w:rsidRPr="000E4A30">
          <w:rPr>
            <w:rFonts w:cs="Arial"/>
            <w:noProof/>
            <w:webHidden/>
          </w:rPr>
          <w:tab/>
        </w:r>
        <w:r w:rsidRPr="000E4A30">
          <w:rPr>
            <w:rFonts w:cs="Arial"/>
            <w:noProof/>
            <w:webHidden/>
          </w:rPr>
          <w:fldChar w:fldCharType="begin"/>
        </w:r>
        <w:r w:rsidRPr="000E4A30">
          <w:rPr>
            <w:rFonts w:cs="Arial"/>
            <w:noProof/>
            <w:webHidden/>
          </w:rPr>
          <w:instrText xml:space="preserve"> PAGEREF _Toc225877806 \h </w:instrText>
        </w:r>
        <w:r w:rsidRPr="000E4A30">
          <w:rPr>
            <w:rFonts w:cs="Arial"/>
            <w:noProof/>
            <w:webHidden/>
          </w:rPr>
        </w:r>
        <w:r w:rsidRPr="000E4A30">
          <w:rPr>
            <w:rFonts w:cs="Arial"/>
            <w:noProof/>
            <w:webHidden/>
          </w:rPr>
          <w:fldChar w:fldCharType="separate"/>
        </w:r>
        <w:r w:rsidR="002C0DFB">
          <w:rPr>
            <w:rFonts w:cs="Arial"/>
            <w:noProof/>
            <w:webHidden/>
          </w:rPr>
          <w:t>262</w:t>
        </w:r>
        <w:r w:rsidRPr="000E4A30">
          <w:rPr>
            <w:rFonts w:cs="Arial"/>
            <w:noProof/>
            <w:webHidden/>
          </w:rPr>
          <w:fldChar w:fldCharType="end"/>
        </w:r>
      </w:hyperlink>
    </w:p>
    <w:p w14:paraId="4B8CEBF4" w14:textId="5E07AD46" w:rsidR="003C1BA0" w:rsidRPr="000E4A30" w:rsidRDefault="003C1BA0">
      <w:pPr>
        <w:pStyle w:val="TOC4"/>
        <w:rPr>
          <w:rFonts w:eastAsiaTheme="minorEastAsia" w:cs="Arial"/>
          <w:noProof/>
          <w:kern w:val="2"/>
          <w14:ligatures w14:val="standardContextual"/>
        </w:rPr>
      </w:pPr>
      <w:hyperlink w:anchor="_Toc225877807" w:history="1">
        <w:r w:rsidRPr="000E4A30">
          <w:rPr>
            <w:rStyle w:val="Hyperlink"/>
            <w:rFonts w:cs="Arial"/>
            <w:noProof/>
          </w:rPr>
          <w:t>Section 7: Managing Serious Errors</w:t>
        </w:r>
        <w:r w:rsidRPr="000E4A30">
          <w:rPr>
            <w:rFonts w:cs="Arial"/>
            <w:noProof/>
            <w:webHidden/>
          </w:rPr>
          <w:tab/>
        </w:r>
        <w:r w:rsidRPr="000E4A30">
          <w:rPr>
            <w:rFonts w:cs="Arial"/>
            <w:noProof/>
            <w:webHidden/>
          </w:rPr>
          <w:fldChar w:fldCharType="begin"/>
        </w:r>
        <w:r w:rsidRPr="000E4A30">
          <w:rPr>
            <w:rFonts w:cs="Arial"/>
            <w:noProof/>
            <w:webHidden/>
          </w:rPr>
          <w:instrText xml:space="preserve"> PAGEREF _Toc225877807 \h </w:instrText>
        </w:r>
        <w:r w:rsidRPr="000E4A30">
          <w:rPr>
            <w:rFonts w:cs="Arial"/>
            <w:noProof/>
            <w:webHidden/>
          </w:rPr>
        </w:r>
        <w:r w:rsidRPr="000E4A30">
          <w:rPr>
            <w:rFonts w:cs="Arial"/>
            <w:noProof/>
            <w:webHidden/>
          </w:rPr>
          <w:fldChar w:fldCharType="separate"/>
        </w:r>
        <w:r w:rsidR="002C0DFB">
          <w:rPr>
            <w:rFonts w:cs="Arial"/>
            <w:noProof/>
            <w:webHidden/>
          </w:rPr>
          <w:t>263</w:t>
        </w:r>
        <w:r w:rsidRPr="000E4A30">
          <w:rPr>
            <w:rFonts w:cs="Arial"/>
            <w:noProof/>
            <w:webHidden/>
          </w:rPr>
          <w:fldChar w:fldCharType="end"/>
        </w:r>
      </w:hyperlink>
    </w:p>
    <w:p w14:paraId="7844C940" w14:textId="00845915" w:rsidR="003C1BA0" w:rsidRPr="000E4A30" w:rsidRDefault="003C1BA0">
      <w:pPr>
        <w:pStyle w:val="TOC4"/>
        <w:rPr>
          <w:rFonts w:eastAsiaTheme="minorEastAsia" w:cs="Arial"/>
          <w:noProof/>
          <w:kern w:val="2"/>
          <w14:ligatures w14:val="standardContextual"/>
        </w:rPr>
      </w:pPr>
      <w:hyperlink w:anchor="_Toc225877808" w:history="1">
        <w:r w:rsidRPr="000E4A30">
          <w:rPr>
            <w:rStyle w:val="Hyperlink"/>
            <w:rFonts w:cs="Arial"/>
            <w:noProof/>
          </w:rPr>
          <w:t>7A: Never Events</w:t>
        </w:r>
        <w:r w:rsidRPr="000E4A30">
          <w:rPr>
            <w:rFonts w:cs="Arial"/>
            <w:noProof/>
            <w:webHidden/>
          </w:rPr>
          <w:tab/>
        </w:r>
        <w:r w:rsidRPr="000E4A30">
          <w:rPr>
            <w:rFonts w:cs="Arial"/>
            <w:noProof/>
            <w:webHidden/>
          </w:rPr>
          <w:fldChar w:fldCharType="begin"/>
        </w:r>
        <w:r w:rsidRPr="000E4A30">
          <w:rPr>
            <w:rFonts w:cs="Arial"/>
            <w:noProof/>
            <w:webHidden/>
          </w:rPr>
          <w:instrText xml:space="preserve"> PAGEREF _Toc225877808 \h </w:instrText>
        </w:r>
        <w:r w:rsidRPr="000E4A30">
          <w:rPr>
            <w:rFonts w:cs="Arial"/>
            <w:noProof/>
            <w:webHidden/>
          </w:rPr>
        </w:r>
        <w:r w:rsidRPr="000E4A30">
          <w:rPr>
            <w:rFonts w:cs="Arial"/>
            <w:noProof/>
            <w:webHidden/>
          </w:rPr>
          <w:fldChar w:fldCharType="separate"/>
        </w:r>
        <w:r w:rsidR="002C0DFB">
          <w:rPr>
            <w:rFonts w:cs="Arial"/>
            <w:noProof/>
            <w:webHidden/>
          </w:rPr>
          <w:t>264</w:t>
        </w:r>
        <w:r w:rsidRPr="000E4A30">
          <w:rPr>
            <w:rFonts w:cs="Arial"/>
            <w:noProof/>
            <w:webHidden/>
          </w:rPr>
          <w:fldChar w:fldCharType="end"/>
        </w:r>
      </w:hyperlink>
    </w:p>
    <w:p w14:paraId="01E9A5BF" w14:textId="1DAC53DB" w:rsidR="003C1BA0" w:rsidRPr="000E4A30" w:rsidRDefault="003C1BA0">
      <w:pPr>
        <w:pStyle w:val="TOC4"/>
        <w:rPr>
          <w:rFonts w:eastAsiaTheme="minorEastAsia" w:cs="Arial"/>
          <w:noProof/>
          <w:kern w:val="2"/>
          <w14:ligatures w14:val="standardContextual"/>
        </w:rPr>
      </w:pPr>
      <w:hyperlink w:anchor="_Toc225877809" w:history="1">
        <w:r w:rsidRPr="000E4A30">
          <w:rPr>
            <w:rStyle w:val="Hyperlink"/>
            <w:rFonts w:cs="Arial"/>
            <w:noProof/>
          </w:rPr>
          <w:t>7B: Healthcare-Associated Infections</w:t>
        </w:r>
        <w:r w:rsidRPr="000E4A30">
          <w:rPr>
            <w:rFonts w:cs="Arial"/>
            <w:noProof/>
            <w:webHidden/>
          </w:rPr>
          <w:tab/>
        </w:r>
        <w:r w:rsidRPr="000E4A30">
          <w:rPr>
            <w:rFonts w:cs="Arial"/>
            <w:noProof/>
            <w:webHidden/>
          </w:rPr>
          <w:fldChar w:fldCharType="begin"/>
        </w:r>
        <w:r w:rsidRPr="000E4A30">
          <w:rPr>
            <w:rFonts w:cs="Arial"/>
            <w:noProof/>
            <w:webHidden/>
          </w:rPr>
          <w:instrText xml:space="preserve"> PAGEREF _Toc225877809 \h </w:instrText>
        </w:r>
        <w:r w:rsidRPr="000E4A30">
          <w:rPr>
            <w:rFonts w:cs="Arial"/>
            <w:noProof/>
            <w:webHidden/>
          </w:rPr>
        </w:r>
        <w:r w:rsidRPr="000E4A30">
          <w:rPr>
            <w:rFonts w:cs="Arial"/>
            <w:noProof/>
            <w:webHidden/>
          </w:rPr>
          <w:fldChar w:fldCharType="separate"/>
        </w:r>
        <w:r w:rsidR="002C0DFB">
          <w:rPr>
            <w:rFonts w:cs="Arial"/>
            <w:noProof/>
            <w:webHidden/>
          </w:rPr>
          <w:t>265</w:t>
        </w:r>
        <w:r w:rsidRPr="000E4A30">
          <w:rPr>
            <w:rFonts w:cs="Arial"/>
            <w:noProof/>
            <w:webHidden/>
          </w:rPr>
          <w:fldChar w:fldCharType="end"/>
        </w:r>
      </w:hyperlink>
    </w:p>
    <w:p w14:paraId="7B884FD9" w14:textId="62541EB4" w:rsidR="003C1BA0" w:rsidRPr="000E4A30" w:rsidRDefault="003C1BA0">
      <w:pPr>
        <w:pStyle w:val="TOC4"/>
        <w:rPr>
          <w:rFonts w:eastAsiaTheme="minorEastAsia" w:cs="Arial"/>
          <w:noProof/>
          <w:kern w:val="2"/>
          <w14:ligatures w14:val="standardContextual"/>
        </w:rPr>
      </w:pPr>
      <w:hyperlink w:anchor="_Toc225877810" w:history="1">
        <w:r w:rsidRPr="000E4A30">
          <w:rPr>
            <w:rStyle w:val="Hyperlink"/>
            <w:rFonts w:cs="Arial"/>
            <w:noProof/>
          </w:rPr>
          <w:t>Section 7: Managing Serious Errors Reference Information</w:t>
        </w:r>
        <w:r w:rsidRPr="000E4A30">
          <w:rPr>
            <w:rFonts w:cs="Arial"/>
            <w:noProof/>
            <w:webHidden/>
          </w:rPr>
          <w:tab/>
        </w:r>
        <w:r w:rsidRPr="000E4A30">
          <w:rPr>
            <w:rFonts w:cs="Arial"/>
            <w:noProof/>
            <w:webHidden/>
          </w:rPr>
          <w:fldChar w:fldCharType="begin"/>
        </w:r>
        <w:r w:rsidRPr="000E4A30">
          <w:rPr>
            <w:rFonts w:cs="Arial"/>
            <w:noProof/>
            <w:webHidden/>
          </w:rPr>
          <w:instrText xml:space="preserve"> PAGEREF _Toc225877810 \h </w:instrText>
        </w:r>
        <w:r w:rsidRPr="000E4A30">
          <w:rPr>
            <w:rFonts w:cs="Arial"/>
            <w:noProof/>
            <w:webHidden/>
          </w:rPr>
        </w:r>
        <w:r w:rsidRPr="000E4A30">
          <w:rPr>
            <w:rFonts w:cs="Arial"/>
            <w:noProof/>
            <w:webHidden/>
          </w:rPr>
          <w:fldChar w:fldCharType="separate"/>
        </w:r>
        <w:r w:rsidR="002C0DFB">
          <w:rPr>
            <w:rFonts w:cs="Arial"/>
            <w:noProof/>
            <w:webHidden/>
          </w:rPr>
          <w:t>267</w:t>
        </w:r>
        <w:r w:rsidRPr="000E4A30">
          <w:rPr>
            <w:rFonts w:cs="Arial"/>
            <w:noProof/>
            <w:webHidden/>
          </w:rPr>
          <w:fldChar w:fldCharType="end"/>
        </w:r>
      </w:hyperlink>
    </w:p>
    <w:p w14:paraId="376C3245" w14:textId="652FE343" w:rsidR="003C1BA0" w:rsidRPr="000E4A30" w:rsidRDefault="003C1BA0">
      <w:pPr>
        <w:pStyle w:val="TOC5"/>
        <w:rPr>
          <w:rFonts w:ascii="Arial" w:hAnsi="Arial" w:cs="Arial"/>
          <w:noProof/>
          <w:kern w:val="2"/>
          <w:sz w:val="20"/>
          <w:szCs w:val="20"/>
          <w14:ligatures w14:val="standardContextual"/>
        </w:rPr>
      </w:pPr>
      <w:hyperlink w:anchor="_Toc225877811" w:history="1">
        <w:r w:rsidRPr="000E4A30">
          <w:rPr>
            <w:rStyle w:val="Hyperlink"/>
            <w:rFonts w:ascii="Arial" w:hAnsi="Arial" w:cs="Arial"/>
            <w:noProof/>
            <w:sz w:val="20"/>
            <w:szCs w:val="20"/>
          </w:rPr>
          <w:t>What’s New in the 2026 Survey</w:t>
        </w:r>
        <w:r w:rsidRPr="000E4A30">
          <w:rPr>
            <w:rFonts w:ascii="Arial" w:hAnsi="Arial" w:cs="Arial"/>
            <w:noProof/>
            <w:webHidden/>
            <w:sz w:val="20"/>
            <w:szCs w:val="20"/>
          </w:rPr>
          <w:tab/>
        </w:r>
        <w:r w:rsidRPr="000E4A30">
          <w:rPr>
            <w:rFonts w:ascii="Arial" w:hAnsi="Arial" w:cs="Arial"/>
            <w:noProof/>
            <w:webHidden/>
            <w:sz w:val="20"/>
            <w:szCs w:val="20"/>
          </w:rPr>
          <w:fldChar w:fldCharType="begin"/>
        </w:r>
        <w:r w:rsidRPr="000E4A30">
          <w:rPr>
            <w:rFonts w:ascii="Arial" w:hAnsi="Arial" w:cs="Arial"/>
            <w:noProof/>
            <w:webHidden/>
            <w:sz w:val="20"/>
            <w:szCs w:val="20"/>
          </w:rPr>
          <w:instrText xml:space="preserve"> PAGEREF _Toc225877811 \h </w:instrText>
        </w:r>
        <w:r w:rsidRPr="000E4A30">
          <w:rPr>
            <w:rFonts w:ascii="Arial" w:hAnsi="Arial" w:cs="Arial"/>
            <w:noProof/>
            <w:webHidden/>
            <w:sz w:val="20"/>
            <w:szCs w:val="20"/>
          </w:rPr>
        </w:r>
        <w:r w:rsidRPr="000E4A30">
          <w:rPr>
            <w:rFonts w:ascii="Arial" w:hAnsi="Arial" w:cs="Arial"/>
            <w:noProof/>
            <w:webHidden/>
            <w:sz w:val="20"/>
            <w:szCs w:val="20"/>
          </w:rPr>
          <w:fldChar w:fldCharType="separate"/>
        </w:r>
        <w:r w:rsidR="002C0DFB">
          <w:rPr>
            <w:rFonts w:ascii="Arial" w:hAnsi="Arial" w:cs="Arial"/>
            <w:noProof/>
            <w:webHidden/>
            <w:sz w:val="20"/>
            <w:szCs w:val="20"/>
          </w:rPr>
          <w:t>267</w:t>
        </w:r>
        <w:r w:rsidRPr="000E4A30">
          <w:rPr>
            <w:rFonts w:ascii="Arial" w:hAnsi="Arial" w:cs="Arial"/>
            <w:noProof/>
            <w:webHidden/>
            <w:sz w:val="20"/>
            <w:szCs w:val="20"/>
          </w:rPr>
          <w:fldChar w:fldCharType="end"/>
        </w:r>
      </w:hyperlink>
    </w:p>
    <w:p w14:paraId="4CD143FA" w14:textId="0BB81F56" w:rsidR="003C1BA0" w:rsidRPr="000E4A30" w:rsidRDefault="003C1BA0">
      <w:pPr>
        <w:pStyle w:val="TOC5"/>
        <w:rPr>
          <w:rFonts w:ascii="Arial" w:hAnsi="Arial" w:cs="Arial"/>
          <w:noProof/>
          <w:kern w:val="2"/>
          <w:sz w:val="20"/>
          <w:szCs w:val="20"/>
          <w14:ligatures w14:val="standardContextual"/>
        </w:rPr>
      </w:pPr>
      <w:hyperlink w:anchor="_Toc225877812" w:history="1">
        <w:r w:rsidRPr="005F2274">
          <w:rPr>
            <w:rStyle w:val="Hyperlink"/>
            <w:rFonts w:ascii="Arial" w:hAnsi="Arial" w:cs="Arial"/>
            <w:noProof/>
            <w:sz w:val="20"/>
            <w:szCs w:val="20"/>
            <w:highlight w:val="yellow"/>
          </w:rPr>
          <w:t>Change Summary Since Release</w:t>
        </w:r>
        <w:r w:rsidRPr="005F2274">
          <w:rPr>
            <w:rFonts w:ascii="Arial" w:hAnsi="Arial" w:cs="Arial"/>
            <w:noProof/>
            <w:webHidden/>
            <w:sz w:val="20"/>
            <w:szCs w:val="20"/>
            <w:highlight w:val="yellow"/>
          </w:rPr>
          <w:tab/>
        </w:r>
        <w:r w:rsidRPr="005F2274">
          <w:rPr>
            <w:rFonts w:ascii="Arial" w:hAnsi="Arial" w:cs="Arial"/>
            <w:noProof/>
            <w:webHidden/>
            <w:sz w:val="20"/>
            <w:szCs w:val="20"/>
            <w:highlight w:val="yellow"/>
          </w:rPr>
          <w:fldChar w:fldCharType="begin"/>
        </w:r>
        <w:r w:rsidRPr="005F2274">
          <w:rPr>
            <w:rFonts w:ascii="Arial" w:hAnsi="Arial" w:cs="Arial"/>
            <w:noProof/>
            <w:webHidden/>
            <w:sz w:val="20"/>
            <w:szCs w:val="20"/>
            <w:highlight w:val="yellow"/>
          </w:rPr>
          <w:instrText xml:space="preserve"> PAGEREF _Toc225877812 \h </w:instrText>
        </w:r>
        <w:r w:rsidRPr="005F2274">
          <w:rPr>
            <w:rFonts w:ascii="Arial" w:hAnsi="Arial" w:cs="Arial"/>
            <w:noProof/>
            <w:webHidden/>
            <w:sz w:val="20"/>
            <w:szCs w:val="20"/>
            <w:highlight w:val="yellow"/>
          </w:rPr>
        </w:r>
        <w:r w:rsidRPr="005F2274">
          <w:rPr>
            <w:rFonts w:ascii="Arial" w:hAnsi="Arial" w:cs="Arial"/>
            <w:noProof/>
            <w:webHidden/>
            <w:sz w:val="20"/>
            <w:szCs w:val="20"/>
            <w:highlight w:val="yellow"/>
          </w:rPr>
          <w:fldChar w:fldCharType="separate"/>
        </w:r>
        <w:r w:rsidR="002C0DFB" w:rsidRPr="005F2274">
          <w:rPr>
            <w:rFonts w:ascii="Arial" w:hAnsi="Arial" w:cs="Arial"/>
            <w:noProof/>
            <w:webHidden/>
            <w:sz w:val="20"/>
            <w:szCs w:val="20"/>
            <w:highlight w:val="yellow"/>
          </w:rPr>
          <w:t>267</w:t>
        </w:r>
        <w:r w:rsidRPr="005F2274">
          <w:rPr>
            <w:rFonts w:ascii="Arial" w:hAnsi="Arial" w:cs="Arial"/>
            <w:noProof/>
            <w:webHidden/>
            <w:sz w:val="20"/>
            <w:szCs w:val="20"/>
            <w:highlight w:val="yellow"/>
          </w:rPr>
          <w:fldChar w:fldCharType="end"/>
        </w:r>
      </w:hyperlink>
    </w:p>
    <w:p w14:paraId="1329AF88" w14:textId="36C77B6C" w:rsidR="003C1BA0" w:rsidRPr="000E4A30" w:rsidRDefault="003C1BA0">
      <w:pPr>
        <w:pStyle w:val="TOC4"/>
        <w:rPr>
          <w:rFonts w:eastAsiaTheme="minorEastAsia" w:cs="Arial"/>
          <w:noProof/>
          <w:kern w:val="2"/>
          <w14:ligatures w14:val="standardContextual"/>
        </w:rPr>
      </w:pPr>
      <w:hyperlink w:anchor="_Toc225877813" w:history="1">
        <w:r w:rsidRPr="000E4A30">
          <w:rPr>
            <w:rStyle w:val="Hyperlink"/>
            <w:rFonts w:cs="Arial"/>
            <w:noProof/>
          </w:rPr>
          <w:t>Section 7B: Healthcare-Associated Infections Measure Specifications</w:t>
        </w:r>
        <w:r w:rsidRPr="000E4A30">
          <w:rPr>
            <w:rFonts w:cs="Arial"/>
            <w:noProof/>
            <w:webHidden/>
          </w:rPr>
          <w:tab/>
        </w:r>
        <w:r w:rsidRPr="000E4A30">
          <w:rPr>
            <w:rFonts w:cs="Arial"/>
            <w:noProof/>
            <w:webHidden/>
          </w:rPr>
          <w:fldChar w:fldCharType="begin"/>
        </w:r>
        <w:r w:rsidRPr="000E4A30">
          <w:rPr>
            <w:rFonts w:cs="Arial"/>
            <w:noProof/>
            <w:webHidden/>
          </w:rPr>
          <w:instrText xml:space="preserve"> PAGEREF _Toc225877813 \h </w:instrText>
        </w:r>
        <w:r w:rsidRPr="000E4A30">
          <w:rPr>
            <w:rFonts w:cs="Arial"/>
            <w:noProof/>
            <w:webHidden/>
          </w:rPr>
        </w:r>
        <w:r w:rsidRPr="000E4A30">
          <w:rPr>
            <w:rFonts w:cs="Arial"/>
            <w:noProof/>
            <w:webHidden/>
          </w:rPr>
          <w:fldChar w:fldCharType="separate"/>
        </w:r>
        <w:r w:rsidR="002C0DFB">
          <w:rPr>
            <w:rFonts w:cs="Arial"/>
            <w:noProof/>
            <w:webHidden/>
          </w:rPr>
          <w:t>268</w:t>
        </w:r>
        <w:r w:rsidRPr="000E4A30">
          <w:rPr>
            <w:rFonts w:cs="Arial"/>
            <w:noProof/>
            <w:webHidden/>
          </w:rPr>
          <w:fldChar w:fldCharType="end"/>
        </w:r>
      </w:hyperlink>
    </w:p>
    <w:p w14:paraId="413FA27D" w14:textId="325ED418" w:rsidR="003C1BA0" w:rsidRPr="000E4A30" w:rsidRDefault="003C1BA0">
      <w:pPr>
        <w:pStyle w:val="TOC5"/>
        <w:rPr>
          <w:rFonts w:ascii="Arial" w:hAnsi="Arial" w:cs="Arial"/>
          <w:noProof/>
          <w:kern w:val="2"/>
          <w:sz w:val="20"/>
          <w:szCs w:val="20"/>
          <w14:ligatures w14:val="standardContextual"/>
        </w:rPr>
      </w:pPr>
      <w:hyperlink w:anchor="_Toc225877814" w:history="1">
        <w:r w:rsidRPr="000E4A30">
          <w:rPr>
            <w:rStyle w:val="Hyperlink"/>
            <w:rFonts w:ascii="Arial" w:hAnsi="Arial" w:cs="Arial"/>
            <w:noProof/>
            <w:sz w:val="20"/>
            <w:szCs w:val="20"/>
          </w:rPr>
          <w:t>Checklist for Joining Leapfrog’s NHSN Group and Ensuring the Data are Accurate:</w:t>
        </w:r>
        <w:r w:rsidRPr="000E4A30">
          <w:rPr>
            <w:rFonts w:ascii="Arial" w:hAnsi="Arial" w:cs="Arial"/>
            <w:noProof/>
            <w:webHidden/>
            <w:sz w:val="20"/>
            <w:szCs w:val="20"/>
          </w:rPr>
          <w:tab/>
        </w:r>
        <w:r w:rsidRPr="000E4A30">
          <w:rPr>
            <w:rFonts w:ascii="Arial" w:hAnsi="Arial" w:cs="Arial"/>
            <w:noProof/>
            <w:webHidden/>
            <w:sz w:val="20"/>
            <w:szCs w:val="20"/>
          </w:rPr>
          <w:fldChar w:fldCharType="begin"/>
        </w:r>
        <w:r w:rsidRPr="000E4A30">
          <w:rPr>
            <w:rFonts w:ascii="Arial" w:hAnsi="Arial" w:cs="Arial"/>
            <w:noProof/>
            <w:webHidden/>
            <w:sz w:val="20"/>
            <w:szCs w:val="20"/>
          </w:rPr>
          <w:instrText xml:space="preserve"> PAGEREF _Toc225877814 \h </w:instrText>
        </w:r>
        <w:r w:rsidRPr="000E4A30">
          <w:rPr>
            <w:rFonts w:ascii="Arial" w:hAnsi="Arial" w:cs="Arial"/>
            <w:noProof/>
            <w:webHidden/>
            <w:sz w:val="20"/>
            <w:szCs w:val="20"/>
          </w:rPr>
        </w:r>
        <w:r w:rsidRPr="000E4A30">
          <w:rPr>
            <w:rFonts w:ascii="Arial" w:hAnsi="Arial" w:cs="Arial"/>
            <w:noProof/>
            <w:webHidden/>
            <w:sz w:val="20"/>
            <w:szCs w:val="20"/>
          </w:rPr>
          <w:fldChar w:fldCharType="separate"/>
        </w:r>
        <w:r w:rsidR="002C0DFB">
          <w:rPr>
            <w:rFonts w:ascii="Arial" w:hAnsi="Arial" w:cs="Arial"/>
            <w:noProof/>
            <w:webHidden/>
            <w:sz w:val="20"/>
            <w:szCs w:val="20"/>
          </w:rPr>
          <w:t>268</w:t>
        </w:r>
        <w:r w:rsidRPr="000E4A30">
          <w:rPr>
            <w:rFonts w:ascii="Arial" w:hAnsi="Arial" w:cs="Arial"/>
            <w:noProof/>
            <w:webHidden/>
            <w:sz w:val="20"/>
            <w:szCs w:val="20"/>
          </w:rPr>
          <w:fldChar w:fldCharType="end"/>
        </w:r>
      </w:hyperlink>
    </w:p>
    <w:p w14:paraId="41496416" w14:textId="17F42D18" w:rsidR="003C1BA0" w:rsidRPr="000E4A30" w:rsidRDefault="003C1BA0">
      <w:pPr>
        <w:pStyle w:val="TOC5"/>
        <w:rPr>
          <w:rFonts w:ascii="Arial" w:hAnsi="Arial" w:cs="Arial"/>
          <w:noProof/>
          <w:kern w:val="2"/>
          <w:sz w:val="20"/>
          <w:szCs w:val="20"/>
          <w14:ligatures w14:val="standardContextual"/>
        </w:rPr>
      </w:pPr>
      <w:hyperlink w:anchor="_Toc225877815" w:history="1">
        <w:r w:rsidRPr="000E4A30">
          <w:rPr>
            <w:rStyle w:val="Hyperlink"/>
            <w:rFonts w:ascii="Arial" w:hAnsi="Arial" w:cs="Arial"/>
            <w:noProof/>
            <w:sz w:val="20"/>
            <w:szCs w:val="20"/>
          </w:rPr>
          <w:t>Deadlines and Reporting Periods</w:t>
        </w:r>
        <w:r w:rsidRPr="000E4A30">
          <w:rPr>
            <w:rFonts w:ascii="Arial" w:hAnsi="Arial" w:cs="Arial"/>
            <w:noProof/>
            <w:webHidden/>
            <w:sz w:val="20"/>
            <w:szCs w:val="20"/>
          </w:rPr>
          <w:tab/>
        </w:r>
        <w:r w:rsidRPr="000E4A30">
          <w:rPr>
            <w:rFonts w:ascii="Arial" w:hAnsi="Arial" w:cs="Arial"/>
            <w:noProof/>
            <w:webHidden/>
            <w:sz w:val="20"/>
            <w:szCs w:val="20"/>
          </w:rPr>
          <w:fldChar w:fldCharType="begin"/>
        </w:r>
        <w:r w:rsidRPr="000E4A30">
          <w:rPr>
            <w:rFonts w:ascii="Arial" w:hAnsi="Arial" w:cs="Arial"/>
            <w:noProof/>
            <w:webHidden/>
            <w:sz w:val="20"/>
            <w:szCs w:val="20"/>
          </w:rPr>
          <w:instrText xml:space="preserve"> PAGEREF _Toc225877815 \h </w:instrText>
        </w:r>
        <w:r w:rsidRPr="000E4A30">
          <w:rPr>
            <w:rFonts w:ascii="Arial" w:hAnsi="Arial" w:cs="Arial"/>
            <w:noProof/>
            <w:webHidden/>
            <w:sz w:val="20"/>
            <w:szCs w:val="20"/>
          </w:rPr>
        </w:r>
        <w:r w:rsidRPr="000E4A30">
          <w:rPr>
            <w:rFonts w:ascii="Arial" w:hAnsi="Arial" w:cs="Arial"/>
            <w:noProof/>
            <w:webHidden/>
            <w:sz w:val="20"/>
            <w:szCs w:val="20"/>
          </w:rPr>
          <w:fldChar w:fldCharType="separate"/>
        </w:r>
        <w:r w:rsidR="002C0DFB">
          <w:rPr>
            <w:rFonts w:ascii="Arial" w:hAnsi="Arial" w:cs="Arial"/>
            <w:noProof/>
            <w:webHidden/>
            <w:sz w:val="20"/>
            <w:szCs w:val="20"/>
          </w:rPr>
          <w:t>269</w:t>
        </w:r>
        <w:r w:rsidRPr="000E4A30">
          <w:rPr>
            <w:rFonts w:ascii="Arial" w:hAnsi="Arial" w:cs="Arial"/>
            <w:noProof/>
            <w:webHidden/>
            <w:sz w:val="20"/>
            <w:szCs w:val="20"/>
          </w:rPr>
          <w:fldChar w:fldCharType="end"/>
        </w:r>
      </w:hyperlink>
    </w:p>
    <w:p w14:paraId="37916F31" w14:textId="168F3309" w:rsidR="003C1BA0" w:rsidRPr="000E4A30" w:rsidRDefault="003C1BA0">
      <w:pPr>
        <w:pStyle w:val="TOC4"/>
        <w:rPr>
          <w:rFonts w:eastAsiaTheme="minorEastAsia" w:cs="Arial"/>
          <w:noProof/>
          <w:kern w:val="2"/>
          <w14:ligatures w14:val="standardContextual"/>
        </w:rPr>
      </w:pPr>
      <w:hyperlink w:anchor="_Toc225877816" w:history="1">
        <w:r w:rsidRPr="000E4A30">
          <w:rPr>
            <w:rStyle w:val="Hyperlink"/>
            <w:rFonts w:cs="Arial"/>
            <w:noProof/>
          </w:rPr>
          <w:t>Section 7A: Never Events Frequently Asked Questions (FAQs)</w:t>
        </w:r>
        <w:r w:rsidRPr="000E4A30">
          <w:rPr>
            <w:rFonts w:cs="Arial"/>
            <w:noProof/>
            <w:webHidden/>
          </w:rPr>
          <w:tab/>
        </w:r>
        <w:r w:rsidRPr="000E4A30">
          <w:rPr>
            <w:rFonts w:cs="Arial"/>
            <w:noProof/>
            <w:webHidden/>
          </w:rPr>
          <w:fldChar w:fldCharType="begin"/>
        </w:r>
        <w:r w:rsidRPr="000E4A30">
          <w:rPr>
            <w:rFonts w:cs="Arial"/>
            <w:noProof/>
            <w:webHidden/>
          </w:rPr>
          <w:instrText xml:space="preserve"> PAGEREF _Toc225877816 \h </w:instrText>
        </w:r>
        <w:r w:rsidRPr="000E4A30">
          <w:rPr>
            <w:rFonts w:cs="Arial"/>
            <w:noProof/>
            <w:webHidden/>
          </w:rPr>
        </w:r>
        <w:r w:rsidRPr="000E4A30">
          <w:rPr>
            <w:rFonts w:cs="Arial"/>
            <w:noProof/>
            <w:webHidden/>
          </w:rPr>
          <w:fldChar w:fldCharType="separate"/>
        </w:r>
        <w:r w:rsidR="002C0DFB">
          <w:rPr>
            <w:rFonts w:cs="Arial"/>
            <w:noProof/>
            <w:webHidden/>
          </w:rPr>
          <w:t>270</w:t>
        </w:r>
        <w:r w:rsidRPr="000E4A30">
          <w:rPr>
            <w:rFonts w:cs="Arial"/>
            <w:noProof/>
            <w:webHidden/>
          </w:rPr>
          <w:fldChar w:fldCharType="end"/>
        </w:r>
      </w:hyperlink>
    </w:p>
    <w:p w14:paraId="6163846A" w14:textId="71B63121" w:rsidR="003C1BA0" w:rsidRPr="000E4A30" w:rsidRDefault="003C1BA0">
      <w:pPr>
        <w:pStyle w:val="TOC1"/>
        <w:rPr>
          <w:rFonts w:eastAsiaTheme="minorEastAsia" w:cs="Arial"/>
          <w:noProof/>
          <w:kern w:val="2"/>
          <w14:ligatures w14:val="standardContextual"/>
        </w:rPr>
      </w:pPr>
      <w:hyperlink w:anchor="_Toc225877817" w:history="1">
        <w:r w:rsidRPr="000E4A30">
          <w:rPr>
            <w:rStyle w:val="Hyperlink"/>
            <w:rFonts w:cs="Arial"/>
            <w:noProof/>
          </w:rPr>
          <w:t>Page Intentionally Left Blank</w:t>
        </w:r>
        <w:r w:rsidRPr="000E4A30">
          <w:rPr>
            <w:rFonts w:cs="Arial"/>
            <w:noProof/>
            <w:webHidden/>
          </w:rPr>
          <w:tab/>
        </w:r>
        <w:r w:rsidRPr="000E4A30">
          <w:rPr>
            <w:rFonts w:cs="Arial"/>
            <w:noProof/>
            <w:webHidden/>
          </w:rPr>
          <w:fldChar w:fldCharType="begin"/>
        </w:r>
        <w:r w:rsidRPr="000E4A30">
          <w:rPr>
            <w:rFonts w:cs="Arial"/>
            <w:noProof/>
            <w:webHidden/>
          </w:rPr>
          <w:instrText xml:space="preserve"> PAGEREF _Toc225877817 \h </w:instrText>
        </w:r>
        <w:r w:rsidRPr="000E4A30">
          <w:rPr>
            <w:rFonts w:cs="Arial"/>
            <w:noProof/>
            <w:webHidden/>
          </w:rPr>
        </w:r>
        <w:r w:rsidRPr="000E4A30">
          <w:rPr>
            <w:rFonts w:cs="Arial"/>
            <w:noProof/>
            <w:webHidden/>
          </w:rPr>
          <w:fldChar w:fldCharType="separate"/>
        </w:r>
        <w:r w:rsidR="002C0DFB">
          <w:rPr>
            <w:rFonts w:cs="Arial"/>
            <w:noProof/>
            <w:webHidden/>
          </w:rPr>
          <w:t>272</w:t>
        </w:r>
        <w:r w:rsidRPr="000E4A30">
          <w:rPr>
            <w:rFonts w:cs="Arial"/>
            <w:noProof/>
            <w:webHidden/>
          </w:rPr>
          <w:fldChar w:fldCharType="end"/>
        </w:r>
      </w:hyperlink>
    </w:p>
    <w:p w14:paraId="41DBB9A3" w14:textId="19410B05" w:rsidR="003C1BA0" w:rsidRPr="000E4A30" w:rsidRDefault="003C1BA0">
      <w:pPr>
        <w:pStyle w:val="TOC1"/>
        <w:rPr>
          <w:rFonts w:eastAsiaTheme="minorEastAsia" w:cs="Arial"/>
          <w:noProof/>
          <w:kern w:val="2"/>
          <w14:ligatures w14:val="standardContextual"/>
        </w:rPr>
      </w:pPr>
      <w:hyperlink w:anchor="_Toc225877818" w:history="1">
        <w:r w:rsidRPr="000E4A30">
          <w:rPr>
            <w:rStyle w:val="Hyperlink"/>
            <w:rFonts w:cs="Arial"/>
            <w:noProof/>
          </w:rPr>
          <w:t>SECTION 8: PEDIATRIC CARE</w:t>
        </w:r>
        <w:r w:rsidRPr="000E4A30">
          <w:rPr>
            <w:rFonts w:cs="Arial"/>
            <w:noProof/>
            <w:webHidden/>
          </w:rPr>
          <w:tab/>
        </w:r>
        <w:r w:rsidRPr="000E4A30">
          <w:rPr>
            <w:rFonts w:cs="Arial"/>
            <w:noProof/>
            <w:webHidden/>
          </w:rPr>
          <w:fldChar w:fldCharType="begin"/>
        </w:r>
        <w:r w:rsidRPr="000E4A30">
          <w:rPr>
            <w:rFonts w:cs="Arial"/>
            <w:noProof/>
            <w:webHidden/>
          </w:rPr>
          <w:instrText xml:space="preserve"> PAGEREF _Toc225877818 \h </w:instrText>
        </w:r>
        <w:r w:rsidRPr="000E4A30">
          <w:rPr>
            <w:rFonts w:cs="Arial"/>
            <w:noProof/>
            <w:webHidden/>
          </w:rPr>
        </w:r>
        <w:r w:rsidRPr="000E4A30">
          <w:rPr>
            <w:rFonts w:cs="Arial"/>
            <w:noProof/>
            <w:webHidden/>
          </w:rPr>
          <w:fldChar w:fldCharType="separate"/>
        </w:r>
        <w:r w:rsidR="002C0DFB">
          <w:rPr>
            <w:rFonts w:cs="Arial"/>
            <w:noProof/>
            <w:webHidden/>
          </w:rPr>
          <w:t>273</w:t>
        </w:r>
        <w:r w:rsidRPr="000E4A30">
          <w:rPr>
            <w:rFonts w:cs="Arial"/>
            <w:noProof/>
            <w:webHidden/>
          </w:rPr>
          <w:fldChar w:fldCharType="end"/>
        </w:r>
      </w:hyperlink>
    </w:p>
    <w:p w14:paraId="256D87F8" w14:textId="762F1D2F" w:rsidR="003C1BA0" w:rsidRPr="000E4A30" w:rsidRDefault="003C1BA0">
      <w:pPr>
        <w:pStyle w:val="TOC4"/>
        <w:rPr>
          <w:rFonts w:eastAsiaTheme="minorEastAsia" w:cs="Arial"/>
          <w:noProof/>
          <w:kern w:val="2"/>
          <w14:ligatures w14:val="standardContextual"/>
        </w:rPr>
      </w:pPr>
      <w:hyperlink w:anchor="_Toc225877819" w:history="1">
        <w:r w:rsidRPr="000E4A30">
          <w:rPr>
            <w:rStyle w:val="Hyperlink"/>
            <w:rFonts w:cs="Arial"/>
            <w:noProof/>
          </w:rPr>
          <w:t>Section 8: Pediatric Care</w:t>
        </w:r>
        <w:r w:rsidRPr="000E4A30">
          <w:rPr>
            <w:rFonts w:cs="Arial"/>
            <w:noProof/>
            <w:webHidden/>
          </w:rPr>
          <w:tab/>
        </w:r>
        <w:r w:rsidRPr="000E4A30">
          <w:rPr>
            <w:rFonts w:cs="Arial"/>
            <w:noProof/>
            <w:webHidden/>
          </w:rPr>
          <w:fldChar w:fldCharType="begin"/>
        </w:r>
        <w:r w:rsidRPr="000E4A30">
          <w:rPr>
            <w:rFonts w:cs="Arial"/>
            <w:noProof/>
            <w:webHidden/>
          </w:rPr>
          <w:instrText xml:space="preserve"> PAGEREF _Toc225877819 \h </w:instrText>
        </w:r>
        <w:r w:rsidRPr="000E4A30">
          <w:rPr>
            <w:rFonts w:cs="Arial"/>
            <w:noProof/>
            <w:webHidden/>
          </w:rPr>
        </w:r>
        <w:r w:rsidRPr="000E4A30">
          <w:rPr>
            <w:rFonts w:cs="Arial"/>
            <w:noProof/>
            <w:webHidden/>
          </w:rPr>
          <w:fldChar w:fldCharType="separate"/>
        </w:r>
        <w:r w:rsidR="002C0DFB">
          <w:rPr>
            <w:rFonts w:cs="Arial"/>
            <w:noProof/>
            <w:webHidden/>
          </w:rPr>
          <w:t>274</w:t>
        </w:r>
        <w:r w:rsidRPr="000E4A30">
          <w:rPr>
            <w:rFonts w:cs="Arial"/>
            <w:noProof/>
            <w:webHidden/>
          </w:rPr>
          <w:fldChar w:fldCharType="end"/>
        </w:r>
      </w:hyperlink>
    </w:p>
    <w:p w14:paraId="76060231" w14:textId="145B729F" w:rsidR="003C1BA0" w:rsidRPr="000E4A30" w:rsidRDefault="003C1BA0">
      <w:pPr>
        <w:pStyle w:val="TOC4"/>
        <w:rPr>
          <w:rFonts w:eastAsiaTheme="minorEastAsia" w:cs="Arial"/>
          <w:noProof/>
          <w:kern w:val="2"/>
          <w14:ligatures w14:val="standardContextual"/>
        </w:rPr>
      </w:pPr>
      <w:hyperlink w:anchor="_Toc225877820" w:history="1">
        <w:r w:rsidRPr="000E4A30">
          <w:rPr>
            <w:rStyle w:val="Hyperlink"/>
            <w:rFonts w:cs="Arial"/>
            <w:noProof/>
          </w:rPr>
          <w:t>8A: Patient Experience (CAHPS Child Hospital Survey)</w:t>
        </w:r>
        <w:r w:rsidRPr="000E4A30">
          <w:rPr>
            <w:rFonts w:cs="Arial"/>
            <w:noProof/>
            <w:webHidden/>
          </w:rPr>
          <w:tab/>
        </w:r>
        <w:r w:rsidRPr="000E4A30">
          <w:rPr>
            <w:rFonts w:cs="Arial"/>
            <w:noProof/>
            <w:webHidden/>
          </w:rPr>
          <w:fldChar w:fldCharType="begin"/>
        </w:r>
        <w:r w:rsidRPr="000E4A30">
          <w:rPr>
            <w:rFonts w:cs="Arial"/>
            <w:noProof/>
            <w:webHidden/>
          </w:rPr>
          <w:instrText xml:space="preserve"> PAGEREF _Toc225877820 \h </w:instrText>
        </w:r>
        <w:r w:rsidRPr="000E4A30">
          <w:rPr>
            <w:rFonts w:cs="Arial"/>
            <w:noProof/>
            <w:webHidden/>
          </w:rPr>
        </w:r>
        <w:r w:rsidRPr="000E4A30">
          <w:rPr>
            <w:rFonts w:cs="Arial"/>
            <w:noProof/>
            <w:webHidden/>
          </w:rPr>
          <w:fldChar w:fldCharType="separate"/>
        </w:r>
        <w:r w:rsidR="002C0DFB">
          <w:rPr>
            <w:rFonts w:cs="Arial"/>
            <w:noProof/>
            <w:webHidden/>
          </w:rPr>
          <w:t>275</w:t>
        </w:r>
        <w:r w:rsidRPr="000E4A30">
          <w:rPr>
            <w:rFonts w:cs="Arial"/>
            <w:noProof/>
            <w:webHidden/>
          </w:rPr>
          <w:fldChar w:fldCharType="end"/>
        </w:r>
      </w:hyperlink>
    </w:p>
    <w:p w14:paraId="5F8F0E7B" w14:textId="202B3CB0" w:rsidR="003C1BA0" w:rsidRPr="000E4A30" w:rsidRDefault="003C1BA0">
      <w:pPr>
        <w:pStyle w:val="TOC4"/>
        <w:rPr>
          <w:rFonts w:eastAsiaTheme="minorEastAsia" w:cs="Arial"/>
          <w:noProof/>
          <w:kern w:val="2"/>
          <w14:ligatures w14:val="standardContextual"/>
        </w:rPr>
      </w:pPr>
      <w:hyperlink w:anchor="_Toc225877821" w:history="1">
        <w:r w:rsidRPr="000E4A30">
          <w:rPr>
            <w:rStyle w:val="Hyperlink"/>
            <w:rFonts w:cs="Arial"/>
            <w:noProof/>
          </w:rPr>
          <w:t>8B: Pediatric Computed Tomography (CT) Radiation Dose</w:t>
        </w:r>
        <w:r w:rsidRPr="000E4A30">
          <w:rPr>
            <w:rFonts w:cs="Arial"/>
            <w:noProof/>
            <w:webHidden/>
          </w:rPr>
          <w:tab/>
        </w:r>
        <w:r w:rsidRPr="000E4A30">
          <w:rPr>
            <w:rFonts w:cs="Arial"/>
            <w:noProof/>
            <w:webHidden/>
          </w:rPr>
          <w:fldChar w:fldCharType="begin"/>
        </w:r>
        <w:r w:rsidRPr="000E4A30">
          <w:rPr>
            <w:rFonts w:cs="Arial"/>
            <w:noProof/>
            <w:webHidden/>
          </w:rPr>
          <w:instrText xml:space="preserve"> PAGEREF _Toc225877821 \h </w:instrText>
        </w:r>
        <w:r w:rsidRPr="000E4A30">
          <w:rPr>
            <w:rFonts w:cs="Arial"/>
            <w:noProof/>
            <w:webHidden/>
          </w:rPr>
        </w:r>
        <w:r w:rsidRPr="000E4A30">
          <w:rPr>
            <w:rFonts w:cs="Arial"/>
            <w:noProof/>
            <w:webHidden/>
          </w:rPr>
          <w:fldChar w:fldCharType="separate"/>
        </w:r>
        <w:r w:rsidR="002C0DFB">
          <w:rPr>
            <w:rFonts w:cs="Arial"/>
            <w:noProof/>
            <w:webHidden/>
          </w:rPr>
          <w:t>277</w:t>
        </w:r>
        <w:r w:rsidRPr="000E4A30">
          <w:rPr>
            <w:rFonts w:cs="Arial"/>
            <w:noProof/>
            <w:webHidden/>
          </w:rPr>
          <w:fldChar w:fldCharType="end"/>
        </w:r>
      </w:hyperlink>
    </w:p>
    <w:p w14:paraId="0E2B681E" w14:textId="6D3C561B" w:rsidR="003C1BA0" w:rsidRPr="000E4A30" w:rsidRDefault="003C1BA0">
      <w:pPr>
        <w:pStyle w:val="TOC4"/>
        <w:rPr>
          <w:rFonts w:eastAsiaTheme="minorEastAsia" w:cs="Arial"/>
          <w:noProof/>
          <w:kern w:val="2"/>
          <w14:ligatures w14:val="standardContextual"/>
        </w:rPr>
      </w:pPr>
      <w:hyperlink w:anchor="_Toc225877822" w:history="1">
        <w:r w:rsidRPr="000E4A30">
          <w:rPr>
            <w:rStyle w:val="Hyperlink"/>
            <w:rFonts w:cs="Arial"/>
            <w:noProof/>
          </w:rPr>
          <w:t>Section 8: Pediatric Care Reference Information</w:t>
        </w:r>
        <w:r w:rsidRPr="000E4A30">
          <w:rPr>
            <w:rFonts w:cs="Arial"/>
            <w:noProof/>
            <w:webHidden/>
          </w:rPr>
          <w:tab/>
        </w:r>
        <w:r w:rsidRPr="000E4A30">
          <w:rPr>
            <w:rFonts w:cs="Arial"/>
            <w:noProof/>
            <w:webHidden/>
          </w:rPr>
          <w:fldChar w:fldCharType="begin"/>
        </w:r>
        <w:r w:rsidRPr="000E4A30">
          <w:rPr>
            <w:rFonts w:cs="Arial"/>
            <w:noProof/>
            <w:webHidden/>
          </w:rPr>
          <w:instrText xml:space="preserve"> PAGEREF _Toc225877822 \h </w:instrText>
        </w:r>
        <w:r w:rsidRPr="000E4A30">
          <w:rPr>
            <w:rFonts w:cs="Arial"/>
            <w:noProof/>
            <w:webHidden/>
          </w:rPr>
        </w:r>
        <w:r w:rsidRPr="000E4A30">
          <w:rPr>
            <w:rFonts w:cs="Arial"/>
            <w:noProof/>
            <w:webHidden/>
          </w:rPr>
          <w:fldChar w:fldCharType="separate"/>
        </w:r>
        <w:r w:rsidR="002C0DFB">
          <w:rPr>
            <w:rFonts w:cs="Arial"/>
            <w:noProof/>
            <w:webHidden/>
          </w:rPr>
          <w:t>280</w:t>
        </w:r>
        <w:r w:rsidRPr="000E4A30">
          <w:rPr>
            <w:rFonts w:cs="Arial"/>
            <w:noProof/>
            <w:webHidden/>
          </w:rPr>
          <w:fldChar w:fldCharType="end"/>
        </w:r>
      </w:hyperlink>
    </w:p>
    <w:p w14:paraId="3245FBCD" w14:textId="2D139D0C" w:rsidR="003C1BA0" w:rsidRPr="000E4A30" w:rsidRDefault="003C1BA0">
      <w:pPr>
        <w:pStyle w:val="TOC5"/>
        <w:rPr>
          <w:rFonts w:ascii="Arial" w:hAnsi="Arial" w:cs="Arial"/>
          <w:noProof/>
          <w:kern w:val="2"/>
          <w:sz w:val="20"/>
          <w:szCs w:val="20"/>
          <w14:ligatures w14:val="standardContextual"/>
        </w:rPr>
      </w:pPr>
      <w:hyperlink w:anchor="_Toc225877823" w:history="1">
        <w:r w:rsidRPr="000E4A30">
          <w:rPr>
            <w:rStyle w:val="Hyperlink"/>
            <w:rFonts w:ascii="Arial" w:hAnsi="Arial" w:cs="Arial"/>
            <w:noProof/>
            <w:sz w:val="20"/>
            <w:szCs w:val="20"/>
          </w:rPr>
          <w:t>What’s New in the 2026 Survey</w:t>
        </w:r>
        <w:r w:rsidRPr="000E4A30">
          <w:rPr>
            <w:rFonts w:ascii="Arial" w:hAnsi="Arial" w:cs="Arial"/>
            <w:noProof/>
            <w:webHidden/>
            <w:sz w:val="20"/>
            <w:szCs w:val="20"/>
          </w:rPr>
          <w:tab/>
        </w:r>
        <w:r w:rsidRPr="000E4A30">
          <w:rPr>
            <w:rFonts w:ascii="Arial" w:hAnsi="Arial" w:cs="Arial"/>
            <w:noProof/>
            <w:webHidden/>
            <w:sz w:val="20"/>
            <w:szCs w:val="20"/>
          </w:rPr>
          <w:fldChar w:fldCharType="begin"/>
        </w:r>
        <w:r w:rsidRPr="000E4A30">
          <w:rPr>
            <w:rFonts w:ascii="Arial" w:hAnsi="Arial" w:cs="Arial"/>
            <w:noProof/>
            <w:webHidden/>
            <w:sz w:val="20"/>
            <w:szCs w:val="20"/>
          </w:rPr>
          <w:instrText xml:space="preserve"> PAGEREF _Toc225877823 \h </w:instrText>
        </w:r>
        <w:r w:rsidRPr="000E4A30">
          <w:rPr>
            <w:rFonts w:ascii="Arial" w:hAnsi="Arial" w:cs="Arial"/>
            <w:noProof/>
            <w:webHidden/>
            <w:sz w:val="20"/>
            <w:szCs w:val="20"/>
          </w:rPr>
        </w:r>
        <w:r w:rsidRPr="000E4A30">
          <w:rPr>
            <w:rFonts w:ascii="Arial" w:hAnsi="Arial" w:cs="Arial"/>
            <w:noProof/>
            <w:webHidden/>
            <w:sz w:val="20"/>
            <w:szCs w:val="20"/>
          </w:rPr>
          <w:fldChar w:fldCharType="separate"/>
        </w:r>
        <w:r w:rsidR="002C0DFB">
          <w:rPr>
            <w:rFonts w:ascii="Arial" w:hAnsi="Arial" w:cs="Arial"/>
            <w:noProof/>
            <w:webHidden/>
            <w:sz w:val="20"/>
            <w:szCs w:val="20"/>
          </w:rPr>
          <w:t>280</w:t>
        </w:r>
        <w:r w:rsidRPr="000E4A30">
          <w:rPr>
            <w:rFonts w:ascii="Arial" w:hAnsi="Arial" w:cs="Arial"/>
            <w:noProof/>
            <w:webHidden/>
            <w:sz w:val="20"/>
            <w:szCs w:val="20"/>
          </w:rPr>
          <w:fldChar w:fldCharType="end"/>
        </w:r>
      </w:hyperlink>
    </w:p>
    <w:p w14:paraId="41D9A417" w14:textId="61C1769E" w:rsidR="003C1BA0" w:rsidRPr="000E4A30" w:rsidRDefault="003C1BA0">
      <w:pPr>
        <w:pStyle w:val="TOC5"/>
        <w:rPr>
          <w:rFonts w:ascii="Arial" w:hAnsi="Arial" w:cs="Arial"/>
          <w:noProof/>
          <w:kern w:val="2"/>
          <w:sz w:val="20"/>
          <w:szCs w:val="20"/>
          <w14:ligatures w14:val="standardContextual"/>
        </w:rPr>
      </w:pPr>
      <w:hyperlink w:anchor="_Toc225877824" w:history="1">
        <w:r w:rsidRPr="000E4A30">
          <w:rPr>
            <w:rStyle w:val="Hyperlink"/>
            <w:rFonts w:ascii="Arial" w:hAnsi="Arial" w:cs="Arial"/>
            <w:noProof/>
            <w:sz w:val="20"/>
            <w:szCs w:val="20"/>
          </w:rPr>
          <w:t>Change Summary Since Release</w:t>
        </w:r>
        <w:r w:rsidRPr="000E4A30">
          <w:rPr>
            <w:rFonts w:ascii="Arial" w:hAnsi="Arial" w:cs="Arial"/>
            <w:noProof/>
            <w:webHidden/>
            <w:sz w:val="20"/>
            <w:szCs w:val="20"/>
          </w:rPr>
          <w:tab/>
        </w:r>
        <w:r w:rsidRPr="000E4A30">
          <w:rPr>
            <w:rFonts w:ascii="Arial" w:hAnsi="Arial" w:cs="Arial"/>
            <w:noProof/>
            <w:webHidden/>
            <w:sz w:val="20"/>
            <w:szCs w:val="20"/>
          </w:rPr>
          <w:fldChar w:fldCharType="begin"/>
        </w:r>
        <w:r w:rsidRPr="000E4A30">
          <w:rPr>
            <w:rFonts w:ascii="Arial" w:hAnsi="Arial" w:cs="Arial"/>
            <w:noProof/>
            <w:webHidden/>
            <w:sz w:val="20"/>
            <w:szCs w:val="20"/>
          </w:rPr>
          <w:instrText xml:space="preserve"> PAGEREF _Toc225877824 \h </w:instrText>
        </w:r>
        <w:r w:rsidRPr="000E4A30">
          <w:rPr>
            <w:rFonts w:ascii="Arial" w:hAnsi="Arial" w:cs="Arial"/>
            <w:noProof/>
            <w:webHidden/>
            <w:sz w:val="20"/>
            <w:szCs w:val="20"/>
          </w:rPr>
        </w:r>
        <w:r w:rsidRPr="000E4A30">
          <w:rPr>
            <w:rFonts w:ascii="Arial" w:hAnsi="Arial" w:cs="Arial"/>
            <w:noProof/>
            <w:webHidden/>
            <w:sz w:val="20"/>
            <w:szCs w:val="20"/>
          </w:rPr>
          <w:fldChar w:fldCharType="separate"/>
        </w:r>
        <w:r w:rsidR="002C0DFB">
          <w:rPr>
            <w:rFonts w:ascii="Arial" w:hAnsi="Arial" w:cs="Arial"/>
            <w:noProof/>
            <w:webHidden/>
            <w:sz w:val="20"/>
            <w:szCs w:val="20"/>
          </w:rPr>
          <w:t>280</w:t>
        </w:r>
        <w:r w:rsidRPr="000E4A30">
          <w:rPr>
            <w:rFonts w:ascii="Arial" w:hAnsi="Arial" w:cs="Arial"/>
            <w:noProof/>
            <w:webHidden/>
            <w:sz w:val="20"/>
            <w:szCs w:val="20"/>
          </w:rPr>
          <w:fldChar w:fldCharType="end"/>
        </w:r>
      </w:hyperlink>
    </w:p>
    <w:p w14:paraId="5578DE2C" w14:textId="75D2CA66" w:rsidR="003C1BA0" w:rsidRPr="000E4A30" w:rsidRDefault="003C1BA0">
      <w:pPr>
        <w:pStyle w:val="TOC4"/>
        <w:rPr>
          <w:rFonts w:eastAsiaTheme="minorEastAsia" w:cs="Arial"/>
          <w:noProof/>
          <w:kern w:val="2"/>
          <w14:ligatures w14:val="standardContextual"/>
        </w:rPr>
      </w:pPr>
      <w:hyperlink w:anchor="_Toc225877825" w:history="1">
        <w:r w:rsidRPr="000E4A30">
          <w:rPr>
            <w:rStyle w:val="Hyperlink"/>
            <w:rFonts w:cs="Arial"/>
            <w:noProof/>
          </w:rPr>
          <w:t>Section 8: Pediatric Care Measure Specifications</w:t>
        </w:r>
        <w:r w:rsidRPr="000E4A30">
          <w:rPr>
            <w:rFonts w:cs="Arial"/>
            <w:noProof/>
            <w:webHidden/>
          </w:rPr>
          <w:tab/>
        </w:r>
        <w:r w:rsidRPr="000E4A30">
          <w:rPr>
            <w:rFonts w:cs="Arial"/>
            <w:noProof/>
            <w:webHidden/>
          </w:rPr>
          <w:fldChar w:fldCharType="begin"/>
        </w:r>
        <w:r w:rsidRPr="000E4A30">
          <w:rPr>
            <w:rFonts w:cs="Arial"/>
            <w:noProof/>
            <w:webHidden/>
          </w:rPr>
          <w:instrText xml:space="preserve"> PAGEREF _Toc225877825 \h </w:instrText>
        </w:r>
        <w:r w:rsidRPr="000E4A30">
          <w:rPr>
            <w:rFonts w:cs="Arial"/>
            <w:noProof/>
            <w:webHidden/>
          </w:rPr>
        </w:r>
        <w:r w:rsidRPr="000E4A30">
          <w:rPr>
            <w:rFonts w:cs="Arial"/>
            <w:noProof/>
            <w:webHidden/>
          </w:rPr>
          <w:fldChar w:fldCharType="separate"/>
        </w:r>
        <w:r w:rsidR="002C0DFB">
          <w:rPr>
            <w:rFonts w:cs="Arial"/>
            <w:noProof/>
            <w:webHidden/>
          </w:rPr>
          <w:t>281</w:t>
        </w:r>
        <w:r w:rsidRPr="000E4A30">
          <w:rPr>
            <w:rFonts w:cs="Arial"/>
            <w:noProof/>
            <w:webHidden/>
          </w:rPr>
          <w:fldChar w:fldCharType="end"/>
        </w:r>
      </w:hyperlink>
    </w:p>
    <w:p w14:paraId="18F01355" w14:textId="69255388" w:rsidR="003C1BA0" w:rsidRPr="000E4A30" w:rsidRDefault="003C1BA0">
      <w:pPr>
        <w:pStyle w:val="TOC5"/>
        <w:rPr>
          <w:rFonts w:ascii="Arial" w:hAnsi="Arial" w:cs="Arial"/>
          <w:noProof/>
          <w:kern w:val="2"/>
          <w:sz w:val="20"/>
          <w:szCs w:val="20"/>
          <w14:ligatures w14:val="standardContextual"/>
        </w:rPr>
      </w:pPr>
      <w:hyperlink w:anchor="_Toc225877826" w:history="1">
        <w:r w:rsidRPr="000E4A30">
          <w:rPr>
            <w:rStyle w:val="Hyperlink"/>
            <w:rFonts w:ascii="Arial" w:hAnsi="Arial" w:cs="Arial"/>
            <w:noProof/>
            <w:sz w:val="20"/>
            <w:szCs w:val="20"/>
          </w:rPr>
          <w:t>Patient Experience (CAHPS Child Hospital Survey) Measure Specifications</w:t>
        </w:r>
        <w:r w:rsidRPr="000E4A30">
          <w:rPr>
            <w:rFonts w:ascii="Arial" w:hAnsi="Arial" w:cs="Arial"/>
            <w:noProof/>
            <w:webHidden/>
            <w:sz w:val="20"/>
            <w:szCs w:val="20"/>
          </w:rPr>
          <w:tab/>
        </w:r>
        <w:r w:rsidRPr="000E4A30">
          <w:rPr>
            <w:rFonts w:ascii="Arial" w:hAnsi="Arial" w:cs="Arial"/>
            <w:noProof/>
            <w:webHidden/>
            <w:sz w:val="20"/>
            <w:szCs w:val="20"/>
          </w:rPr>
          <w:fldChar w:fldCharType="begin"/>
        </w:r>
        <w:r w:rsidRPr="000E4A30">
          <w:rPr>
            <w:rFonts w:ascii="Arial" w:hAnsi="Arial" w:cs="Arial"/>
            <w:noProof/>
            <w:webHidden/>
            <w:sz w:val="20"/>
            <w:szCs w:val="20"/>
          </w:rPr>
          <w:instrText xml:space="preserve"> PAGEREF _Toc225877826 \h </w:instrText>
        </w:r>
        <w:r w:rsidRPr="000E4A30">
          <w:rPr>
            <w:rFonts w:ascii="Arial" w:hAnsi="Arial" w:cs="Arial"/>
            <w:noProof/>
            <w:webHidden/>
            <w:sz w:val="20"/>
            <w:szCs w:val="20"/>
          </w:rPr>
        </w:r>
        <w:r w:rsidRPr="000E4A30">
          <w:rPr>
            <w:rFonts w:ascii="Arial" w:hAnsi="Arial" w:cs="Arial"/>
            <w:noProof/>
            <w:webHidden/>
            <w:sz w:val="20"/>
            <w:szCs w:val="20"/>
          </w:rPr>
          <w:fldChar w:fldCharType="separate"/>
        </w:r>
        <w:r w:rsidR="002C0DFB">
          <w:rPr>
            <w:rFonts w:ascii="Arial" w:hAnsi="Arial" w:cs="Arial"/>
            <w:noProof/>
            <w:webHidden/>
            <w:sz w:val="20"/>
            <w:szCs w:val="20"/>
          </w:rPr>
          <w:t>281</w:t>
        </w:r>
        <w:r w:rsidRPr="000E4A30">
          <w:rPr>
            <w:rFonts w:ascii="Arial" w:hAnsi="Arial" w:cs="Arial"/>
            <w:noProof/>
            <w:webHidden/>
            <w:sz w:val="20"/>
            <w:szCs w:val="20"/>
          </w:rPr>
          <w:fldChar w:fldCharType="end"/>
        </w:r>
      </w:hyperlink>
    </w:p>
    <w:p w14:paraId="4D225315" w14:textId="45927CDC" w:rsidR="003C1BA0" w:rsidRPr="000E4A30" w:rsidRDefault="003C1BA0">
      <w:pPr>
        <w:pStyle w:val="TOC5"/>
        <w:rPr>
          <w:rFonts w:ascii="Arial" w:hAnsi="Arial" w:cs="Arial"/>
          <w:noProof/>
          <w:kern w:val="2"/>
          <w:sz w:val="20"/>
          <w:szCs w:val="20"/>
          <w14:ligatures w14:val="standardContextual"/>
        </w:rPr>
      </w:pPr>
      <w:hyperlink w:anchor="_Toc225877827" w:history="1">
        <w:r w:rsidRPr="000E4A30">
          <w:rPr>
            <w:rStyle w:val="Hyperlink"/>
            <w:rFonts w:ascii="Arial" w:hAnsi="Arial" w:cs="Arial"/>
            <w:noProof/>
            <w:sz w:val="20"/>
            <w:szCs w:val="20"/>
          </w:rPr>
          <w:t>Pediatric Computed Tomography (CT) Radiation Dose Measure Specifications</w:t>
        </w:r>
        <w:r w:rsidRPr="000E4A30">
          <w:rPr>
            <w:rFonts w:ascii="Arial" w:hAnsi="Arial" w:cs="Arial"/>
            <w:noProof/>
            <w:webHidden/>
            <w:sz w:val="20"/>
            <w:szCs w:val="20"/>
          </w:rPr>
          <w:tab/>
        </w:r>
        <w:r w:rsidRPr="000E4A30">
          <w:rPr>
            <w:rFonts w:ascii="Arial" w:hAnsi="Arial" w:cs="Arial"/>
            <w:noProof/>
            <w:webHidden/>
            <w:sz w:val="20"/>
            <w:szCs w:val="20"/>
          </w:rPr>
          <w:fldChar w:fldCharType="begin"/>
        </w:r>
        <w:r w:rsidRPr="000E4A30">
          <w:rPr>
            <w:rFonts w:ascii="Arial" w:hAnsi="Arial" w:cs="Arial"/>
            <w:noProof/>
            <w:webHidden/>
            <w:sz w:val="20"/>
            <w:szCs w:val="20"/>
          </w:rPr>
          <w:instrText xml:space="preserve"> PAGEREF _Toc225877827 \h </w:instrText>
        </w:r>
        <w:r w:rsidRPr="000E4A30">
          <w:rPr>
            <w:rFonts w:ascii="Arial" w:hAnsi="Arial" w:cs="Arial"/>
            <w:noProof/>
            <w:webHidden/>
            <w:sz w:val="20"/>
            <w:szCs w:val="20"/>
          </w:rPr>
        </w:r>
        <w:r w:rsidRPr="000E4A30">
          <w:rPr>
            <w:rFonts w:ascii="Arial" w:hAnsi="Arial" w:cs="Arial"/>
            <w:noProof/>
            <w:webHidden/>
            <w:sz w:val="20"/>
            <w:szCs w:val="20"/>
          </w:rPr>
          <w:fldChar w:fldCharType="separate"/>
        </w:r>
        <w:r w:rsidR="002C0DFB">
          <w:rPr>
            <w:rFonts w:ascii="Arial" w:hAnsi="Arial" w:cs="Arial"/>
            <w:noProof/>
            <w:webHidden/>
            <w:sz w:val="20"/>
            <w:szCs w:val="20"/>
          </w:rPr>
          <w:t>282</w:t>
        </w:r>
        <w:r w:rsidRPr="000E4A30">
          <w:rPr>
            <w:rFonts w:ascii="Arial" w:hAnsi="Arial" w:cs="Arial"/>
            <w:noProof/>
            <w:webHidden/>
            <w:sz w:val="20"/>
            <w:szCs w:val="20"/>
          </w:rPr>
          <w:fldChar w:fldCharType="end"/>
        </w:r>
      </w:hyperlink>
    </w:p>
    <w:p w14:paraId="38DA371A" w14:textId="524AFF8D" w:rsidR="003C1BA0" w:rsidRPr="000E4A30" w:rsidRDefault="003C1BA0">
      <w:pPr>
        <w:pStyle w:val="TOC4"/>
        <w:rPr>
          <w:rFonts w:eastAsiaTheme="minorEastAsia" w:cs="Arial"/>
          <w:noProof/>
          <w:kern w:val="2"/>
          <w14:ligatures w14:val="standardContextual"/>
        </w:rPr>
      </w:pPr>
      <w:hyperlink w:anchor="_Toc225877828" w:history="1">
        <w:r w:rsidRPr="000E4A30">
          <w:rPr>
            <w:rStyle w:val="Hyperlink"/>
            <w:rFonts w:cs="Arial"/>
            <w:noProof/>
          </w:rPr>
          <w:t>Section 8: Pediatric Care Frequently Asked Questions (FAQs)</w:t>
        </w:r>
        <w:r w:rsidRPr="000E4A30">
          <w:rPr>
            <w:rFonts w:cs="Arial"/>
            <w:noProof/>
            <w:webHidden/>
          </w:rPr>
          <w:tab/>
        </w:r>
        <w:r w:rsidRPr="000E4A30">
          <w:rPr>
            <w:rFonts w:cs="Arial"/>
            <w:noProof/>
            <w:webHidden/>
          </w:rPr>
          <w:fldChar w:fldCharType="begin"/>
        </w:r>
        <w:r w:rsidRPr="000E4A30">
          <w:rPr>
            <w:rFonts w:cs="Arial"/>
            <w:noProof/>
            <w:webHidden/>
          </w:rPr>
          <w:instrText xml:space="preserve"> PAGEREF _Toc225877828 \h </w:instrText>
        </w:r>
        <w:r w:rsidRPr="000E4A30">
          <w:rPr>
            <w:rFonts w:cs="Arial"/>
            <w:noProof/>
            <w:webHidden/>
          </w:rPr>
        </w:r>
        <w:r w:rsidRPr="000E4A30">
          <w:rPr>
            <w:rFonts w:cs="Arial"/>
            <w:noProof/>
            <w:webHidden/>
          </w:rPr>
          <w:fldChar w:fldCharType="separate"/>
        </w:r>
        <w:r w:rsidR="002C0DFB">
          <w:rPr>
            <w:rFonts w:cs="Arial"/>
            <w:noProof/>
            <w:webHidden/>
          </w:rPr>
          <w:t>287</w:t>
        </w:r>
        <w:r w:rsidRPr="000E4A30">
          <w:rPr>
            <w:rFonts w:cs="Arial"/>
            <w:noProof/>
            <w:webHidden/>
          </w:rPr>
          <w:fldChar w:fldCharType="end"/>
        </w:r>
      </w:hyperlink>
    </w:p>
    <w:p w14:paraId="2680BE8F" w14:textId="1B220DE6" w:rsidR="003C1BA0" w:rsidRPr="000E4A30" w:rsidRDefault="003C1BA0">
      <w:pPr>
        <w:pStyle w:val="TOC5"/>
        <w:rPr>
          <w:rFonts w:ascii="Arial" w:hAnsi="Arial" w:cs="Arial"/>
          <w:noProof/>
          <w:kern w:val="2"/>
          <w:sz w:val="20"/>
          <w:szCs w:val="20"/>
          <w14:ligatures w14:val="standardContextual"/>
        </w:rPr>
      </w:pPr>
      <w:hyperlink w:anchor="_Toc225877829" w:history="1">
        <w:r w:rsidRPr="000E4A30">
          <w:rPr>
            <w:rStyle w:val="Hyperlink"/>
            <w:rFonts w:ascii="Arial" w:hAnsi="Arial" w:cs="Arial"/>
            <w:noProof/>
            <w:sz w:val="20"/>
            <w:szCs w:val="20"/>
          </w:rPr>
          <w:t>Patient Experience (CAHPS Child Hospital Survey) FAQs</w:t>
        </w:r>
        <w:r w:rsidRPr="000E4A30">
          <w:rPr>
            <w:rFonts w:ascii="Arial" w:hAnsi="Arial" w:cs="Arial"/>
            <w:noProof/>
            <w:webHidden/>
            <w:sz w:val="20"/>
            <w:szCs w:val="20"/>
          </w:rPr>
          <w:tab/>
        </w:r>
        <w:r w:rsidRPr="000E4A30">
          <w:rPr>
            <w:rFonts w:ascii="Arial" w:hAnsi="Arial" w:cs="Arial"/>
            <w:noProof/>
            <w:webHidden/>
            <w:sz w:val="20"/>
            <w:szCs w:val="20"/>
          </w:rPr>
          <w:fldChar w:fldCharType="begin"/>
        </w:r>
        <w:r w:rsidRPr="000E4A30">
          <w:rPr>
            <w:rFonts w:ascii="Arial" w:hAnsi="Arial" w:cs="Arial"/>
            <w:noProof/>
            <w:webHidden/>
            <w:sz w:val="20"/>
            <w:szCs w:val="20"/>
          </w:rPr>
          <w:instrText xml:space="preserve"> PAGEREF _Toc225877829 \h </w:instrText>
        </w:r>
        <w:r w:rsidRPr="000E4A30">
          <w:rPr>
            <w:rFonts w:ascii="Arial" w:hAnsi="Arial" w:cs="Arial"/>
            <w:noProof/>
            <w:webHidden/>
            <w:sz w:val="20"/>
            <w:szCs w:val="20"/>
          </w:rPr>
        </w:r>
        <w:r w:rsidRPr="000E4A30">
          <w:rPr>
            <w:rFonts w:ascii="Arial" w:hAnsi="Arial" w:cs="Arial"/>
            <w:noProof/>
            <w:webHidden/>
            <w:sz w:val="20"/>
            <w:szCs w:val="20"/>
          </w:rPr>
          <w:fldChar w:fldCharType="separate"/>
        </w:r>
        <w:r w:rsidR="002C0DFB">
          <w:rPr>
            <w:rFonts w:ascii="Arial" w:hAnsi="Arial" w:cs="Arial"/>
            <w:noProof/>
            <w:webHidden/>
            <w:sz w:val="20"/>
            <w:szCs w:val="20"/>
          </w:rPr>
          <w:t>287</w:t>
        </w:r>
        <w:r w:rsidRPr="000E4A30">
          <w:rPr>
            <w:rFonts w:ascii="Arial" w:hAnsi="Arial" w:cs="Arial"/>
            <w:noProof/>
            <w:webHidden/>
            <w:sz w:val="20"/>
            <w:szCs w:val="20"/>
          </w:rPr>
          <w:fldChar w:fldCharType="end"/>
        </w:r>
      </w:hyperlink>
    </w:p>
    <w:p w14:paraId="341B2CD2" w14:textId="4DF94C1B" w:rsidR="003C1BA0" w:rsidRPr="000E4A30" w:rsidRDefault="003C1BA0">
      <w:pPr>
        <w:pStyle w:val="TOC5"/>
        <w:rPr>
          <w:rFonts w:ascii="Arial" w:hAnsi="Arial" w:cs="Arial"/>
          <w:noProof/>
          <w:kern w:val="2"/>
          <w:sz w:val="20"/>
          <w:szCs w:val="20"/>
          <w14:ligatures w14:val="standardContextual"/>
        </w:rPr>
      </w:pPr>
      <w:hyperlink w:anchor="_Toc225877830" w:history="1">
        <w:r w:rsidRPr="000E4A30">
          <w:rPr>
            <w:rStyle w:val="Hyperlink"/>
            <w:rFonts w:ascii="Arial" w:hAnsi="Arial" w:cs="Arial"/>
            <w:noProof/>
            <w:sz w:val="20"/>
            <w:szCs w:val="20"/>
          </w:rPr>
          <w:t>Pediatric Computed Tomography (CT) Radiation Dose FAQs</w:t>
        </w:r>
        <w:r w:rsidRPr="000E4A30">
          <w:rPr>
            <w:rFonts w:ascii="Arial" w:hAnsi="Arial" w:cs="Arial"/>
            <w:noProof/>
            <w:webHidden/>
            <w:sz w:val="20"/>
            <w:szCs w:val="20"/>
          </w:rPr>
          <w:tab/>
        </w:r>
        <w:r w:rsidRPr="000E4A30">
          <w:rPr>
            <w:rFonts w:ascii="Arial" w:hAnsi="Arial" w:cs="Arial"/>
            <w:noProof/>
            <w:webHidden/>
            <w:sz w:val="20"/>
            <w:szCs w:val="20"/>
          </w:rPr>
          <w:fldChar w:fldCharType="begin"/>
        </w:r>
        <w:r w:rsidRPr="000E4A30">
          <w:rPr>
            <w:rFonts w:ascii="Arial" w:hAnsi="Arial" w:cs="Arial"/>
            <w:noProof/>
            <w:webHidden/>
            <w:sz w:val="20"/>
            <w:szCs w:val="20"/>
          </w:rPr>
          <w:instrText xml:space="preserve"> PAGEREF _Toc225877830 \h </w:instrText>
        </w:r>
        <w:r w:rsidRPr="000E4A30">
          <w:rPr>
            <w:rFonts w:ascii="Arial" w:hAnsi="Arial" w:cs="Arial"/>
            <w:noProof/>
            <w:webHidden/>
            <w:sz w:val="20"/>
            <w:szCs w:val="20"/>
          </w:rPr>
        </w:r>
        <w:r w:rsidRPr="000E4A30">
          <w:rPr>
            <w:rFonts w:ascii="Arial" w:hAnsi="Arial" w:cs="Arial"/>
            <w:noProof/>
            <w:webHidden/>
            <w:sz w:val="20"/>
            <w:szCs w:val="20"/>
          </w:rPr>
          <w:fldChar w:fldCharType="separate"/>
        </w:r>
        <w:r w:rsidR="002C0DFB">
          <w:rPr>
            <w:rFonts w:ascii="Arial" w:hAnsi="Arial" w:cs="Arial"/>
            <w:noProof/>
            <w:webHidden/>
            <w:sz w:val="20"/>
            <w:szCs w:val="20"/>
          </w:rPr>
          <w:t>287</w:t>
        </w:r>
        <w:r w:rsidRPr="000E4A30">
          <w:rPr>
            <w:rFonts w:ascii="Arial" w:hAnsi="Arial" w:cs="Arial"/>
            <w:noProof/>
            <w:webHidden/>
            <w:sz w:val="20"/>
            <w:szCs w:val="20"/>
          </w:rPr>
          <w:fldChar w:fldCharType="end"/>
        </w:r>
      </w:hyperlink>
    </w:p>
    <w:p w14:paraId="119348F6" w14:textId="785E3185" w:rsidR="003C1BA0" w:rsidRPr="000E4A30" w:rsidRDefault="003C1BA0">
      <w:pPr>
        <w:pStyle w:val="TOC1"/>
        <w:rPr>
          <w:rFonts w:eastAsiaTheme="minorEastAsia" w:cs="Arial"/>
          <w:noProof/>
          <w:kern w:val="2"/>
          <w14:ligatures w14:val="standardContextual"/>
        </w:rPr>
      </w:pPr>
      <w:hyperlink w:anchor="_Toc225877831" w:history="1">
        <w:r w:rsidRPr="000E4A30">
          <w:rPr>
            <w:rStyle w:val="Hyperlink"/>
            <w:rFonts w:cs="Arial"/>
            <w:noProof/>
          </w:rPr>
          <w:t>Page Intentionally Left Blank</w:t>
        </w:r>
        <w:r w:rsidRPr="000E4A30">
          <w:rPr>
            <w:rFonts w:cs="Arial"/>
            <w:noProof/>
            <w:webHidden/>
          </w:rPr>
          <w:tab/>
        </w:r>
        <w:r w:rsidRPr="000E4A30">
          <w:rPr>
            <w:rFonts w:cs="Arial"/>
            <w:noProof/>
            <w:webHidden/>
          </w:rPr>
          <w:fldChar w:fldCharType="begin"/>
        </w:r>
        <w:r w:rsidRPr="000E4A30">
          <w:rPr>
            <w:rFonts w:cs="Arial"/>
            <w:noProof/>
            <w:webHidden/>
          </w:rPr>
          <w:instrText xml:space="preserve"> PAGEREF _Toc225877831 \h </w:instrText>
        </w:r>
        <w:r w:rsidRPr="000E4A30">
          <w:rPr>
            <w:rFonts w:cs="Arial"/>
            <w:noProof/>
            <w:webHidden/>
          </w:rPr>
        </w:r>
        <w:r w:rsidRPr="000E4A30">
          <w:rPr>
            <w:rFonts w:cs="Arial"/>
            <w:noProof/>
            <w:webHidden/>
          </w:rPr>
          <w:fldChar w:fldCharType="separate"/>
        </w:r>
        <w:r w:rsidR="002C0DFB">
          <w:rPr>
            <w:rFonts w:cs="Arial"/>
            <w:noProof/>
            <w:webHidden/>
          </w:rPr>
          <w:t>289</w:t>
        </w:r>
        <w:r w:rsidRPr="000E4A30">
          <w:rPr>
            <w:rFonts w:cs="Arial"/>
            <w:noProof/>
            <w:webHidden/>
          </w:rPr>
          <w:fldChar w:fldCharType="end"/>
        </w:r>
      </w:hyperlink>
    </w:p>
    <w:p w14:paraId="5A62C295" w14:textId="473E3A69" w:rsidR="003C1BA0" w:rsidRPr="000E4A30" w:rsidRDefault="003C1BA0">
      <w:pPr>
        <w:pStyle w:val="TOC1"/>
        <w:rPr>
          <w:rFonts w:eastAsiaTheme="minorEastAsia" w:cs="Arial"/>
          <w:noProof/>
          <w:kern w:val="2"/>
          <w14:ligatures w14:val="standardContextual"/>
        </w:rPr>
      </w:pPr>
      <w:hyperlink w:anchor="_Toc225877832" w:history="1">
        <w:r w:rsidRPr="000E4A30">
          <w:rPr>
            <w:rStyle w:val="Hyperlink"/>
            <w:rFonts w:cs="Arial"/>
            <w:noProof/>
          </w:rPr>
          <w:t>SECTION 9: OUTPATIENT PROCEDURES</w:t>
        </w:r>
        <w:r w:rsidRPr="000E4A30">
          <w:rPr>
            <w:rFonts w:cs="Arial"/>
            <w:noProof/>
            <w:webHidden/>
          </w:rPr>
          <w:tab/>
        </w:r>
        <w:r w:rsidRPr="000E4A30">
          <w:rPr>
            <w:rFonts w:cs="Arial"/>
            <w:noProof/>
            <w:webHidden/>
          </w:rPr>
          <w:fldChar w:fldCharType="begin"/>
        </w:r>
        <w:r w:rsidRPr="000E4A30">
          <w:rPr>
            <w:rFonts w:cs="Arial"/>
            <w:noProof/>
            <w:webHidden/>
          </w:rPr>
          <w:instrText xml:space="preserve"> PAGEREF _Toc225877832 \h </w:instrText>
        </w:r>
        <w:r w:rsidRPr="000E4A30">
          <w:rPr>
            <w:rFonts w:cs="Arial"/>
            <w:noProof/>
            <w:webHidden/>
          </w:rPr>
        </w:r>
        <w:r w:rsidRPr="000E4A30">
          <w:rPr>
            <w:rFonts w:cs="Arial"/>
            <w:noProof/>
            <w:webHidden/>
          </w:rPr>
          <w:fldChar w:fldCharType="separate"/>
        </w:r>
        <w:r w:rsidR="002C0DFB">
          <w:rPr>
            <w:rFonts w:cs="Arial"/>
            <w:noProof/>
            <w:webHidden/>
          </w:rPr>
          <w:t>290</w:t>
        </w:r>
        <w:r w:rsidRPr="000E4A30">
          <w:rPr>
            <w:rFonts w:cs="Arial"/>
            <w:noProof/>
            <w:webHidden/>
          </w:rPr>
          <w:fldChar w:fldCharType="end"/>
        </w:r>
      </w:hyperlink>
    </w:p>
    <w:p w14:paraId="19CFB755" w14:textId="144B6448" w:rsidR="003C1BA0" w:rsidRPr="000E4A30" w:rsidRDefault="003C1BA0">
      <w:pPr>
        <w:pStyle w:val="TOC4"/>
        <w:rPr>
          <w:rFonts w:eastAsiaTheme="minorEastAsia" w:cs="Arial"/>
          <w:noProof/>
          <w:kern w:val="2"/>
          <w14:ligatures w14:val="standardContextual"/>
        </w:rPr>
      </w:pPr>
      <w:hyperlink w:anchor="_Toc225877833" w:history="1">
        <w:r w:rsidRPr="000E4A30">
          <w:rPr>
            <w:rStyle w:val="Hyperlink"/>
            <w:rFonts w:cs="Arial"/>
            <w:noProof/>
          </w:rPr>
          <w:t>Section 9: Outpatient Procedures</w:t>
        </w:r>
        <w:r w:rsidRPr="000E4A30">
          <w:rPr>
            <w:rFonts w:cs="Arial"/>
            <w:noProof/>
            <w:webHidden/>
          </w:rPr>
          <w:tab/>
        </w:r>
        <w:r w:rsidRPr="000E4A30">
          <w:rPr>
            <w:rFonts w:cs="Arial"/>
            <w:noProof/>
            <w:webHidden/>
          </w:rPr>
          <w:fldChar w:fldCharType="begin"/>
        </w:r>
        <w:r w:rsidRPr="000E4A30">
          <w:rPr>
            <w:rFonts w:cs="Arial"/>
            <w:noProof/>
            <w:webHidden/>
          </w:rPr>
          <w:instrText xml:space="preserve"> PAGEREF _Toc225877833 \h </w:instrText>
        </w:r>
        <w:r w:rsidRPr="000E4A30">
          <w:rPr>
            <w:rFonts w:cs="Arial"/>
            <w:noProof/>
            <w:webHidden/>
          </w:rPr>
        </w:r>
        <w:r w:rsidRPr="000E4A30">
          <w:rPr>
            <w:rFonts w:cs="Arial"/>
            <w:noProof/>
            <w:webHidden/>
          </w:rPr>
          <w:fldChar w:fldCharType="separate"/>
        </w:r>
        <w:r w:rsidR="002C0DFB">
          <w:rPr>
            <w:rFonts w:cs="Arial"/>
            <w:noProof/>
            <w:webHidden/>
          </w:rPr>
          <w:t>291</w:t>
        </w:r>
        <w:r w:rsidRPr="000E4A30">
          <w:rPr>
            <w:rFonts w:cs="Arial"/>
            <w:noProof/>
            <w:webHidden/>
          </w:rPr>
          <w:fldChar w:fldCharType="end"/>
        </w:r>
      </w:hyperlink>
    </w:p>
    <w:p w14:paraId="50B8EC41" w14:textId="6AABA632" w:rsidR="003C1BA0" w:rsidRPr="000E4A30" w:rsidRDefault="003C1BA0">
      <w:pPr>
        <w:pStyle w:val="TOC4"/>
        <w:rPr>
          <w:rFonts w:eastAsiaTheme="minorEastAsia" w:cs="Arial"/>
          <w:noProof/>
          <w:kern w:val="2"/>
          <w14:ligatures w14:val="standardContextual"/>
        </w:rPr>
      </w:pPr>
      <w:hyperlink w:anchor="_Toc225877834" w:history="1">
        <w:r w:rsidRPr="000E4A30">
          <w:rPr>
            <w:rStyle w:val="Hyperlink"/>
            <w:rFonts w:cs="Arial"/>
            <w:noProof/>
          </w:rPr>
          <w:t>9A: Basic Outpatient Department Information</w:t>
        </w:r>
        <w:r w:rsidRPr="000E4A30">
          <w:rPr>
            <w:rFonts w:cs="Arial"/>
            <w:noProof/>
            <w:webHidden/>
          </w:rPr>
          <w:tab/>
        </w:r>
        <w:r w:rsidRPr="000E4A30">
          <w:rPr>
            <w:rFonts w:cs="Arial"/>
            <w:noProof/>
            <w:webHidden/>
          </w:rPr>
          <w:fldChar w:fldCharType="begin"/>
        </w:r>
        <w:r w:rsidRPr="000E4A30">
          <w:rPr>
            <w:rFonts w:cs="Arial"/>
            <w:noProof/>
            <w:webHidden/>
          </w:rPr>
          <w:instrText xml:space="preserve"> PAGEREF _Toc225877834 \h </w:instrText>
        </w:r>
        <w:r w:rsidRPr="000E4A30">
          <w:rPr>
            <w:rFonts w:cs="Arial"/>
            <w:noProof/>
            <w:webHidden/>
          </w:rPr>
        </w:r>
        <w:r w:rsidRPr="000E4A30">
          <w:rPr>
            <w:rFonts w:cs="Arial"/>
            <w:noProof/>
            <w:webHidden/>
          </w:rPr>
          <w:fldChar w:fldCharType="separate"/>
        </w:r>
        <w:r w:rsidR="002C0DFB">
          <w:rPr>
            <w:rFonts w:cs="Arial"/>
            <w:noProof/>
            <w:webHidden/>
          </w:rPr>
          <w:t>292</w:t>
        </w:r>
        <w:r w:rsidRPr="000E4A30">
          <w:rPr>
            <w:rFonts w:cs="Arial"/>
            <w:noProof/>
            <w:webHidden/>
          </w:rPr>
          <w:fldChar w:fldCharType="end"/>
        </w:r>
      </w:hyperlink>
    </w:p>
    <w:p w14:paraId="614C522D" w14:textId="3E2878C6" w:rsidR="003C1BA0" w:rsidRPr="000E4A30" w:rsidRDefault="003C1BA0">
      <w:pPr>
        <w:pStyle w:val="TOC4"/>
        <w:rPr>
          <w:rFonts w:eastAsiaTheme="minorEastAsia" w:cs="Arial"/>
          <w:noProof/>
          <w:kern w:val="2"/>
          <w14:ligatures w14:val="standardContextual"/>
        </w:rPr>
      </w:pPr>
      <w:hyperlink w:anchor="_Toc225877835" w:history="1">
        <w:r w:rsidRPr="000E4A30">
          <w:rPr>
            <w:rStyle w:val="Hyperlink"/>
            <w:rFonts w:cs="Arial"/>
            <w:noProof/>
          </w:rPr>
          <w:t>9B: Medical, Surgical, and Clinical Staff</w:t>
        </w:r>
        <w:r w:rsidRPr="000E4A30">
          <w:rPr>
            <w:rFonts w:cs="Arial"/>
            <w:noProof/>
            <w:webHidden/>
          </w:rPr>
          <w:tab/>
        </w:r>
        <w:r w:rsidRPr="000E4A30">
          <w:rPr>
            <w:rFonts w:cs="Arial"/>
            <w:noProof/>
            <w:webHidden/>
          </w:rPr>
          <w:fldChar w:fldCharType="begin"/>
        </w:r>
        <w:r w:rsidRPr="000E4A30">
          <w:rPr>
            <w:rFonts w:cs="Arial"/>
            <w:noProof/>
            <w:webHidden/>
          </w:rPr>
          <w:instrText xml:space="preserve"> PAGEREF _Toc225877835 \h </w:instrText>
        </w:r>
        <w:r w:rsidRPr="000E4A30">
          <w:rPr>
            <w:rFonts w:cs="Arial"/>
            <w:noProof/>
            <w:webHidden/>
          </w:rPr>
        </w:r>
        <w:r w:rsidRPr="000E4A30">
          <w:rPr>
            <w:rFonts w:cs="Arial"/>
            <w:noProof/>
            <w:webHidden/>
          </w:rPr>
          <w:fldChar w:fldCharType="separate"/>
        </w:r>
        <w:r w:rsidR="002C0DFB">
          <w:rPr>
            <w:rFonts w:cs="Arial"/>
            <w:noProof/>
            <w:webHidden/>
          </w:rPr>
          <w:t>294</w:t>
        </w:r>
        <w:r w:rsidRPr="000E4A30">
          <w:rPr>
            <w:rFonts w:cs="Arial"/>
            <w:noProof/>
            <w:webHidden/>
          </w:rPr>
          <w:fldChar w:fldCharType="end"/>
        </w:r>
      </w:hyperlink>
    </w:p>
    <w:p w14:paraId="47F97D03" w14:textId="63EED5A5" w:rsidR="003C1BA0" w:rsidRPr="000E4A30" w:rsidRDefault="003C1BA0">
      <w:pPr>
        <w:pStyle w:val="TOC4"/>
        <w:rPr>
          <w:rFonts w:eastAsiaTheme="minorEastAsia" w:cs="Arial"/>
          <w:noProof/>
          <w:kern w:val="2"/>
          <w14:ligatures w14:val="standardContextual"/>
        </w:rPr>
      </w:pPr>
      <w:hyperlink w:anchor="_Toc225877836" w:history="1">
        <w:r w:rsidRPr="000E4A30">
          <w:rPr>
            <w:rStyle w:val="Hyperlink"/>
            <w:rFonts w:cs="Arial"/>
            <w:noProof/>
          </w:rPr>
          <w:t>9C: Volume of Procedures (Optional)</w:t>
        </w:r>
        <w:r w:rsidRPr="000E4A30">
          <w:rPr>
            <w:rFonts w:cs="Arial"/>
            <w:noProof/>
            <w:webHidden/>
          </w:rPr>
          <w:tab/>
        </w:r>
        <w:r w:rsidRPr="000E4A30">
          <w:rPr>
            <w:rFonts w:cs="Arial"/>
            <w:noProof/>
            <w:webHidden/>
          </w:rPr>
          <w:fldChar w:fldCharType="begin"/>
        </w:r>
        <w:r w:rsidRPr="000E4A30">
          <w:rPr>
            <w:rFonts w:cs="Arial"/>
            <w:noProof/>
            <w:webHidden/>
          </w:rPr>
          <w:instrText xml:space="preserve"> PAGEREF _Toc225877836 \h </w:instrText>
        </w:r>
        <w:r w:rsidRPr="000E4A30">
          <w:rPr>
            <w:rFonts w:cs="Arial"/>
            <w:noProof/>
            <w:webHidden/>
          </w:rPr>
        </w:r>
        <w:r w:rsidRPr="000E4A30">
          <w:rPr>
            <w:rFonts w:cs="Arial"/>
            <w:noProof/>
            <w:webHidden/>
          </w:rPr>
          <w:fldChar w:fldCharType="separate"/>
        </w:r>
        <w:r w:rsidR="002C0DFB">
          <w:rPr>
            <w:rFonts w:cs="Arial"/>
            <w:noProof/>
            <w:webHidden/>
          </w:rPr>
          <w:t>296</w:t>
        </w:r>
        <w:r w:rsidRPr="000E4A30">
          <w:rPr>
            <w:rFonts w:cs="Arial"/>
            <w:noProof/>
            <w:webHidden/>
          </w:rPr>
          <w:fldChar w:fldCharType="end"/>
        </w:r>
      </w:hyperlink>
    </w:p>
    <w:p w14:paraId="493DAECF" w14:textId="3001122A" w:rsidR="003C1BA0" w:rsidRPr="000E4A30" w:rsidRDefault="003C1BA0">
      <w:pPr>
        <w:pStyle w:val="TOC5"/>
        <w:rPr>
          <w:rFonts w:ascii="Arial" w:hAnsi="Arial" w:cs="Arial"/>
          <w:noProof/>
          <w:kern w:val="2"/>
          <w:sz w:val="20"/>
          <w:szCs w:val="20"/>
          <w14:ligatures w14:val="standardContextual"/>
        </w:rPr>
      </w:pPr>
      <w:hyperlink w:anchor="_Toc225877837" w:history="1">
        <w:r w:rsidRPr="000E4A30">
          <w:rPr>
            <w:rStyle w:val="Hyperlink"/>
            <w:rFonts w:ascii="Arial" w:hAnsi="Arial" w:cs="Arial"/>
            <w:noProof/>
            <w:sz w:val="20"/>
            <w:szCs w:val="20"/>
          </w:rPr>
          <w:t>Ophthalmology</w:t>
        </w:r>
        <w:r w:rsidRPr="000E4A30">
          <w:rPr>
            <w:rFonts w:ascii="Arial" w:hAnsi="Arial" w:cs="Arial"/>
            <w:noProof/>
            <w:webHidden/>
            <w:sz w:val="20"/>
            <w:szCs w:val="20"/>
          </w:rPr>
          <w:tab/>
        </w:r>
        <w:r w:rsidRPr="000E4A30">
          <w:rPr>
            <w:rFonts w:ascii="Arial" w:hAnsi="Arial" w:cs="Arial"/>
            <w:noProof/>
            <w:webHidden/>
            <w:sz w:val="20"/>
            <w:szCs w:val="20"/>
          </w:rPr>
          <w:fldChar w:fldCharType="begin"/>
        </w:r>
        <w:r w:rsidRPr="000E4A30">
          <w:rPr>
            <w:rFonts w:ascii="Arial" w:hAnsi="Arial" w:cs="Arial"/>
            <w:noProof/>
            <w:webHidden/>
            <w:sz w:val="20"/>
            <w:szCs w:val="20"/>
          </w:rPr>
          <w:instrText xml:space="preserve"> PAGEREF _Toc225877837 \h </w:instrText>
        </w:r>
        <w:r w:rsidRPr="000E4A30">
          <w:rPr>
            <w:rFonts w:ascii="Arial" w:hAnsi="Arial" w:cs="Arial"/>
            <w:noProof/>
            <w:webHidden/>
            <w:sz w:val="20"/>
            <w:szCs w:val="20"/>
          </w:rPr>
        </w:r>
        <w:r w:rsidRPr="000E4A30">
          <w:rPr>
            <w:rFonts w:ascii="Arial" w:hAnsi="Arial" w:cs="Arial"/>
            <w:noProof/>
            <w:webHidden/>
            <w:sz w:val="20"/>
            <w:szCs w:val="20"/>
          </w:rPr>
          <w:fldChar w:fldCharType="separate"/>
        </w:r>
        <w:r w:rsidR="002C0DFB">
          <w:rPr>
            <w:rFonts w:ascii="Arial" w:hAnsi="Arial" w:cs="Arial"/>
            <w:noProof/>
            <w:webHidden/>
            <w:sz w:val="20"/>
            <w:szCs w:val="20"/>
          </w:rPr>
          <w:t>299</w:t>
        </w:r>
        <w:r w:rsidRPr="000E4A30">
          <w:rPr>
            <w:rFonts w:ascii="Arial" w:hAnsi="Arial" w:cs="Arial"/>
            <w:noProof/>
            <w:webHidden/>
            <w:sz w:val="20"/>
            <w:szCs w:val="20"/>
          </w:rPr>
          <w:fldChar w:fldCharType="end"/>
        </w:r>
      </w:hyperlink>
    </w:p>
    <w:p w14:paraId="5E68296B" w14:textId="1C77B30E" w:rsidR="003C1BA0" w:rsidRPr="000E4A30" w:rsidRDefault="003C1BA0">
      <w:pPr>
        <w:pStyle w:val="TOC5"/>
        <w:rPr>
          <w:rFonts w:ascii="Arial" w:hAnsi="Arial" w:cs="Arial"/>
          <w:noProof/>
          <w:kern w:val="2"/>
          <w:sz w:val="20"/>
          <w:szCs w:val="20"/>
          <w14:ligatures w14:val="standardContextual"/>
        </w:rPr>
      </w:pPr>
      <w:hyperlink w:anchor="_Toc225877838" w:history="1">
        <w:r w:rsidRPr="000E4A30">
          <w:rPr>
            <w:rStyle w:val="Hyperlink"/>
            <w:rFonts w:ascii="Arial" w:hAnsi="Arial" w:cs="Arial"/>
            <w:noProof/>
            <w:sz w:val="20"/>
            <w:szCs w:val="20"/>
          </w:rPr>
          <w:t>Orthopedic</w:t>
        </w:r>
        <w:r w:rsidRPr="000E4A30">
          <w:rPr>
            <w:rFonts w:ascii="Arial" w:hAnsi="Arial" w:cs="Arial"/>
            <w:noProof/>
            <w:webHidden/>
            <w:sz w:val="20"/>
            <w:szCs w:val="20"/>
          </w:rPr>
          <w:tab/>
        </w:r>
        <w:r w:rsidRPr="000E4A30">
          <w:rPr>
            <w:rFonts w:ascii="Arial" w:hAnsi="Arial" w:cs="Arial"/>
            <w:noProof/>
            <w:webHidden/>
            <w:sz w:val="20"/>
            <w:szCs w:val="20"/>
          </w:rPr>
          <w:fldChar w:fldCharType="begin"/>
        </w:r>
        <w:r w:rsidRPr="000E4A30">
          <w:rPr>
            <w:rFonts w:ascii="Arial" w:hAnsi="Arial" w:cs="Arial"/>
            <w:noProof/>
            <w:webHidden/>
            <w:sz w:val="20"/>
            <w:szCs w:val="20"/>
          </w:rPr>
          <w:instrText xml:space="preserve"> PAGEREF _Toc225877838 \h </w:instrText>
        </w:r>
        <w:r w:rsidRPr="000E4A30">
          <w:rPr>
            <w:rFonts w:ascii="Arial" w:hAnsi="Arial" w:cs="Arial"/>
            <w:noProof/>
            <w:webHidden/>
            <w:sz w:val="20"/>
            <w:szCs w:val="20"/>
          </w:rPr>
        </w:r>
        <w:r w:rsidRPr="000E4A30">
          <w:rPr>
            <w:rFonts w:ascii="Arial" w:hAnsi="Arial" w:cs="Arial"/>
            <w:noProof/>
            <w:webHidden/>
            <w:sz w:val="20"/>
            <w:szCs w:val="20"/>
          </w:rPr>
          <w:fldChar w:fldCharType="separate"/>
        </w:r>
        <w:r w:rsidR="002C0DFB">
          <w:rPr>
            <w:rFonts w:ascii="Arial" w:hAnsi="Arial" w:cs="Arial"/>
            <w:noProof/>
            <w:webHidden/>
            <w:sz w:val="20"/>
            <w:szCs w:val="20"/>
          </w:rPr>
          <w:t>300</w:t>
        </w:r>
        <w:r w:rsidRPr="000E4A30">
          <w:rPr>
            <w:rFonts w:ascii="Arial" w:hAnsi="Arial" w:cs="Arial"/>
            <w:noProof/>
            <w:webHidden/>
            <w:sz w:val="20"/>
            <w:szCs w:val="20"/>
          </w:rPr>
          <w:fldChar w:fldCharType="end"/>
        </w:r>
      </w:hyperlink>
    </w:p>
    <w:p w14:paraId="5D09CF20" w14:textId="71A7437E" w:rsidR="003C1BA0" w:rsidRPr="000E4A30" w:rsidRDefault="003C1BA0">
      <w:pPr>
        <w:pStyle w:val="TOC5"/>
        <w:rPr>
          <w:rFonts w:ascii="Arial" w:hAnsi="Arial" w:cs="Arial"/>
          <w:noProof/>
          <w:kern w:val="2"/>
          <w:sz w:val="20"/>
          <w:szCs w:val="20"/>
          <w14:ligatures w14:val="standardContextual"/>
        </w:rPr>
      </w:pPr>
      <w:hyperlink w:anchor="_Toc225877839" w:history="1">
        <w:r w:rsidRPr="000E4A30">
          <w:rPr>
            <w:rStyle w:val="Hyperlink"/>
            <w:rFonts w:ascii="Arial" w:hAnsi="Arial" w:cs="Arial"/>
            <w:noProof/>
            <w:sz w:val="20"/>
            <w:szCs w:val="20"/>
          </w:rPr>
          <w:t>Otolaryngology</w:t>
        </w:r>
        <w:r w:rsidRPr="000E4A30">
          <w:rPr>
            <w:rFonts w:ascii="Arial" w:hAnsi="Arial" w:cs="Arial"/>
            <w:noProof/>
            <w:webHidden/>
            <w:sz w:val="20"/>
            <w:szCs w:val="20"/>
          </w:rPr>
          <w:tab/>
        </w:r>
        <w:r w:rsidRPr="000E4A30">
          <w:rPr>
            <w:rFonts w:ascii="Arial" w:hAnsi="Arial" w:cs="Arial"/>
            <w:noProof/>
            <w:webHidden/>
            <w:sz w:val="20"/>
            <w:szCs w:val="20"/>
          </w:rPr>
          <w:fldChar w:fldCharType="begin"/>
        </w:r>
        <w:r w:rsidRPr="000E4A30">
          <w:rPr>
            <w:rFonts w:ascii="Arial" w:hAnsi="Arial" w:cs="Arial"/>
            <w:noProof/>
            <w:webHidden/>
            <w:sz w:val="20"/>
            <w:szCs w:val="20"/>
          </w:rPr>
          <w:instrText xml:space="preserve"> PAGEREF _Toc225877839 \h </w:instrText>
        </w:r>
        <w:r w:rsidRPr="000E4A30">
          <w:rPr>
            <w:rFonts w:ascii="Arial" w:hAnsi="Arial" w:cs="Arial"/>
            <w:noProof/>
            <w:webHidden/>
            <w:sz w:val="20"/>
            <w:szCs w:val="20"/>
          </w:rPr>
        </w:r>
        <w:r w:rsidRPr="000E4A30">
          <w:rPr>
            <w:rFonts w:ascii="Arial" w:hAnsi="Arial" w:cs="Arial"/>
            <w:noProof/>
            <w:webHidden/>
            <w:sz w:val="20"/>
            <w:szCs w:val="20"/>
          </w:rPr>
          <w:fldChar w:fldCharType="separate"/>
        </w:r>
        <w:r w:rsidR="002C0DFB">
          <w:rPr>
            <w:rFonts w:ascii="Arial" w:hAnsi="Arial" w:cs="Arial"/>
            <w:noProof/>
            <w:webHidden/>
            <w:sz w:val="20"/>
            <w:szCs w:val="20"/>
          </w:rPr>
          <w:t>301</w:t>
        </w:r>
        <w:r w:rsidRPr="000E4A30">
          <w:rPr>
            <w:rFonts w:ascii="Arial" w:hAnsi="Arial" w:cs="Arial"/>
            <w:noProof/>
            <w:webHidden/>
            <w:sz w:val="20"/>
            <w:szCs w:val="20"/>
          </w:rPr>
          <w:fldChar w:fldCharType="end"/>
        </w:r>
      </w:hyperlink>
    </w:p>
    <w:p w14:paraId="5C5BF5FC" w14:textId="5D4C4635" w:rsidR="003C1BA0" w:rsidRPr="000E4A30" w:rsidRDefault="003C1BA0">
      <w:pPr>
        <w:pStyle w:val="TOC5"/>
        <w:rPr>
          <w:rFonts w:ascii="Arial" w:hAnsi="Arial" w:cs="Arial"/>
          <w:noProof/>
          <w:kern w:val="2"/>
          <w:sz w:val="20"/>
          <w:szCs w:val="20"/>
          <w14:ligatures w14:val="standardContextual"/>
        </w:rPr>
      </w:pPr>
      <w:hyperlink w:anchor="_Toc225877840" w:history="1">
        <w:r w:rsidRPr="000E4A30">
          <w:rPr>
            <w:rStyle w:val="Hyperlink"/>
            <w:rFonts w:ascii="Arial" w:hAnsi="Arial" w:cs="Arial"/>
            <w:noProof/>
            <w:sz w:val="20"/>
            <w:szCs w:val="20"/>
          </w:rPr>
          <w:t>Gastroenterology</w:t>
        </w:r>
        <w:r w:rsidRPr="000E4A30">
          <w:rPr>
            <w:rFonts w:ascii="Arial" w:hAnsi="Arial" w:cs="Arial"/>
            <w:noProof/>
            <w:webHidden/>
            <w:sz w:val="20"/>
            <w:szCs w:val="20"/>
          </w:rPr>
          <w:tab/>
        </w:r>
        <w:r w:rsidRPr="000E4A30">
          <w:rPr>
            <w:rFonts w:ascii="Arial" w:hAnsi="Arial" w:cs="Arial"/>
            <w:noProof/>
            <w:webHidden/>
            <w:sz w:val="20"/>
            <w:szCs w:val="20"/>
          </w:rPr>
          <w:fldChar w:fldCharType="begin"/>
        </w:r>
        <w:r w:rsidRPr="000E4A30">
          <w:rPr>
            <w:rFonts w:ascii="Arial" w:hAnsi="Arial" w:cs="Arial"/>
            <w:noProof/>
            <w:webHidden/>
            <w:sz w:val="20"/>
            <w:szCs w:val="20"/>
          </w:rPr>
          <w:instrText xml:space="preserve"> PAGEREF _Toc225877840 \h </w:instrText>
        </w:r>
        <w:r w:rsidRPr="000E4A30">
          <w:rPr>
            <w:rFonts w:ascii="Arial" w:hAnsi="Arial" w:cs="Arial"/>
            <w:noProof/>
            <w:webHidden/>
            <w:sz w:val="20"/>
            <w:szCs w:val="20"/>
          </w:rPr>
        </w:r>
        <w:r w:rsidRPr="000E4A30">
          <w:rPr>
            <w:rFonts w:ascii="Arial" w:hAnsi="Arial" w:cs="Arial"/>
            <w:noProof/>
            <w:webHidden/>
            <w:sz w:val="20"/>
            <w:szCs w:val="20"/>
          </w:rPr>
          <w:fldChar w:fldCharType="separate"/>
        </w:r>
        <w:r w:rsidR="002C0DFB">
          <w:rPr>
            <w:rFonts w:ascii="Arial" w:hAnsi="Arial" w:cs="Arial"/>
            <w:noProof/>
            <w:webHidden/>
            <w:sz w:val="20"/>
            <w:szCs w:val="20"/>
          </w:rPr>
          <w:t>302</w:t>
        </w:r>
        <w:r w:rsidRPr="000E4A30">
          <w:rPr>
            <w:rFonts w:ascii="Arial" w:hAnsi="Arial" w:cs="Arial"/>
            <w:noProof/>
            <w:webHidden/>
            <w:sz w:val="20"/>
            <w:szCs w:val="20"/>
          </w:rPr>
          <w:fldChar w:fldCharType="end"/>
        </w:r>
      </w:hyperlink>
    </w:p>
    <w:p w14:paraId="4EF8ABF3" w14:textId="3DB788E3" w:rsidR="003C1BA0" w:rsidRPr="000E4A30" w:rsidRDefault="003C1BA0">
      <w:pPr>
        <w:pStyle w:val="TOC5"/>
        <w:rPr>
          <w:rFonts w:ascii="Arial" w:hAnsi="Arial" w:cs="Arial"/>
          <w:noProof/>
          <w:kern w:val="2"/>
          <w:sz w:val="20"/>
          <w:szCs w:val="20"/>
          <w14:ligatures w14:val="standardContextual"/>
        </w:rPr>
      </w:pPr>
      <w:hyperlink w:anchor="_Toc225877841" w:history="1">
        <w:r w:rsidRPr="000E4A30">
          <w:rPr>
            <w:rStyle w:val="Hyperlink"/>
            <w:rFonts w:ascii="Arial" w:hAnsi="Arial" w:cs="Arial"/>
            <w:noProof/>
            <w:sz w:val="20"/>
            <w:szCs w:val="20"/>
          </w:rPr>
          <w:t>General Surgery</w:t>
        </w:r>
        <w:r w:rsidRPr="000E4A30">
          <w:rPr>
            <w:rFonts w:ascii="Arial" w:hAnsi="Arial" w:cs="Arial"/>
            <w:noProof/>
            <w:webHidden/>
            <w:sz w:val="20"/>
            <w:szCs w:val="20"/>
          </w:rPr>
          <w:tab/>
        </w:r>
        <w:r w:rsidRPr="000E4A30">
          <w:rPr>
            <w:rFonts w:ascii="Arial" w:hAnsi="Arial" w:cs="Arial"/>
            <w:noProof/>
            <w:webHidden/>
            <w:sz w:val="20"/>
            <w:szCs w:val="20"/>
          </w:rPr>
          <w:fldChar w:fldCharType="begin"/>
        </w:r>
        <w:r w:rsidRPr="000E4A30">
          <w:rPr>
            <w:rFonts w:ascii="Arial" w:hAnsi="Arial" w:cs="Arial"/>
            <w:noProof/>
            <w:webHidden/>
            <w:sz w:val="20"/>
            <w:szCs w:val="20"/>
          </w:rPr>
          <w:instrText xml:space="preserve"> PAGEREF _Toc225877841 \h </w:instrText>
        </w:r>
        <w:r w:rsidRPr="000E4A30">
          <w:rPr>
            <w:rFonts w:ascii="Arial" w:hAnsi="Arial" w:cs="Arial"/>
            <w:noProof/>
            <w:webHidden/>
            <w:sz w:val="20"/>
            <w:szCs w:val="20"/>
          </w:rPr>
        </w:r>
        <w:r w:rsidRPr="000E4A30">
          <w:rPr>
            <w:rFonts w:ascii="Arial" w:hAnsi="Arial" w:cs="Arial"/>
            <w:noProof/>
            <w:webHidden/>
            <w:sz w:val="20"/>
            <w:szCs w:val="20"/>
          </w:rPr>
          <w:fldChar w:fldCharType="separate"/>
        </w:r>
        <w:r w:rsidR="002C0DFB">
          <w:rPr>
            <w:rFonts w:ascii="Arial" w:hAnsi="Arial" w:cs="Arial"/>
            <w:noProof/>
            <w:webHidden/>
            <w:sz w:val="20"/>
            <w:szCs w:val="20"/>
          </w:rPr>
          <w:t>303</w:t>
        </w:r>
        <w:r w:rsidRPr="000E4A30">
          <w:rPr>
            <w:rFonts w:ascii="Arial" w:hAnsi="Arial" w:cs="Arial"/>
            <w:noProof/>
            <w:webHidden/>
            <w:sz w:val="20"/>
            <w:szCs w:val="20"/>
          </w:rPr>
          <w:fldChar w:fldCharType="end"/>
        </w:r>
      </w:hyperlink>
    </w:p>
    <w:p w14:paraId="34E9563B" w14:textId="1E1FF461" w:rsidR="003C1BA0" w:rsidRPr="000E4A30" w:rsidRDefault="003C1BA0">
      <w:pPr>
        <w:pStyle w:val="TOC5"/>
        <w:rPr>
          <w:rFonts w:ascii="Arial" w:hAnsi="Arial" w:cs="Arial"/>
          <w:noProof/>
          <w:kern w:val="2"/>
          <w:sz w:val="20"/>
          <w:szCs w:val="20"/>
          <w14:ligatures w14:val="standardContextual"/>
        </w:rPr>
      </w:pPr>
      <w:hyperlink w:anchor="_Toc225877842" w:history="1">
        <w:r w:rsidRPr="000E4A30">
          <w:rPr>
            <w:rStyle w:val="Hyperlink"/>
            <w:rFonts w:ascii="Arial" w:hAnsi="Arial" w:cs="Arial"/>
            <w:noProof/>
            <w:sz w:val="20"/>
            <w:szCs w:val="20"/>
          </w:rPr>
          <w:t>Urology</w:t>
        </w:r>
        <w:r w:rsidRPr="000E4A30">
          <w:rPr>
            <w:rFonts w:ascii="Arial" w:hAnsi="Arial" w:cs="Arial"/>
            <w:noProof/>
            <w:webHidden/>
            <w:sz w:val="20"/>
            <w:szCs w:val="20"/>
          </w:rPr>
          <w:tab/>
        </w:r>
        <w:r w:rsidRPr="000E4A30">
          <w:rPr>
            <w:rFonts w:ascii="Arial" w:hAnsi="Arial" w:cs="Arial"/>
            <w:noProof/>
            <w:webHidden/>
            <w:sz w:val="20"/>
            <w:szCs w:val="20"/>
          </w:rPr>
          <w:fldChar w:fldCharType="begin"/>
        </w:r>
        <w:r w:rsidRPr="000E4A30">
          <w:rPr>
            <w:rFonts w:ascii="Arial" w:hAnsi="Arial" w:cs="Arial"/>
            <w:noProof/>
            <w:webHidden/>
            <w:sz w:val="20"/>
            <w:szCs w:val="20"/>
          </w:rPr>
          <w:instrText xml:space="preserve"> PAGEREF _Toc225877842 \h </w:instrText>
        </w:r>
        <w:r w:rsidRPr="000E4A30">
          <w:rPr>
            <w:rFonts w:ascii="Arial" w:hAnsi="Arial" w:cs="Arial"/>
            <w:noProof/>
            <w:webHidden/>
            <w:sz w:val="20"/>
            <w:szCs w:val="20"/>
          </w:rPr>
        </w:r>
        <w:r w:rsidRPr="000E4A30">
          <w:rPr>
            <w:rFonts w:ascii="Arial" w:hAnsi="Arial" w:cs="Arial"/>
            <w:noProof/>
            <w:webHidden/>
            <w:sz w:val="20"/>
            <w:szCs w:val="20"/>
          </w:rPr>
          <w:fldChar w:fldCharType="separate"/>
        </w:r>
        <w:r w:rsidR="002C0DFB">
          <w:rPr>
            <w:rFonts w:ascii="Arial" w:hAnsi="Arial" w:cs="Arial"/>
            <w:noProof/>
            <w:webHidden/>
            <w:sz w:val="20"/>
            <w:szCs w:val="20"/>
          </w:rPr>
          <w:t>304</w:t>
        </w:r>
        <w:r w:rsidRPr="000E4A30">
          <w:rPr>
            <w:rFonts w:ascii="Arial" w:hAnsi="Arial" w:cs="Arial"/>
            <w:noProof/>
            <w:webHidden/>
            <w:sz w:val="20"/>
            <w:szCs w:val="20"/>
          </w:rPr>
          <w:fldChar w:fldCharType="end"/>
        </w:r>
      </w:hyperlink>
    </w:p>
    <w:p w14:paraId="769DDDD0" w14:textId="7906A290" w:rsidR="003C1BA0" w:rsidRPr="000E4A30" w:rsidRDefault="003C1BA0">
      <w:pPr>
        <w:pStyle w:val="TOC5"/>
        <w:rPr>
          <w:rFonts w:ascii="Arial" w:hAnsi="Arial" w:cs="Arial"/>
          <w:noProof/>
          <w:kern w:val="2"/>
          <w:sz w:val="20"/>
          <w:szCs w:val="20"/>
          <w14:ligatures w14:val="standardContextual"/>
        </w:rPr>
      </w:pPr>
      <w:hyperlink w:anchor="_Toc225877843" w:history="1">
        <w:r w:rsidRPr="000E4A30">
          <w:rPr>
            <w:rStyle w:val="Hyperlink"/>
            <w:rFonts w:ascii="Arial" w:hAnsi="Arial" w:cs="Arial"/>
            <w:noProof/>
            <w:sz w:val="20"/>
            <w:szCs w:val="20"/>
          </w:rPr>
          <w:t>Neurological Surgery</w:t>
        </w:r>
        <w:r w:rsidRPr="000E4A30">
          <w:rPr>
            <w:rFonts w:ascii="Arial" w:hAnsi="Arial" w:cs="Arial"/>
            <w:noProof/>
            <w:webHidden/>
            <w:sz w:val="20"/>
            <w:szCs w:val="20"/>
          </w:rPr>
          <w:tab/>
        </w:r>
        <w:r w:rsidRPr="000E4A30">
          <w:rPr>
            <w:rFonts w:ascii="Arial" w:hAnsi="Arial" w:cs="Arial"/>
            <w:noProof/>
            <w:webHidden/>
            <w:sz w:val="20"/>
            <w:szCs w:val="20"/>
          </w:rPr>
          <w:fldChar w:fldCharType="begin"/>
        </w:r>
        <w:r w:rsidRPr="000E4A30">
          <w:rPr>
            <w:rFonts w:ascii="Arial" w:hAnsi="Arial" w:cs="Arial"/>
            <w:noProof/>
            <w:webHidden/>
            <w:sz w:val="20"/>
            <w:szCs w:val="20"/>
          </w:rPr>
          <w:instrText xml:space="preserve"> PAGEREF _Toc225877843 \h </w:instrText>
        </w:r>
        <w:r w:rsidRPr="000E4A30">
          <w:rPr>
            <w:rFonts w:ascii="Arial" w:hAnsi="Arial" w:cs="Arial"/>
            <w:noProof/>
            <w:webHidden/>
            <w:sz w:val="20"/>
            <w:szCs w:val="20"/>
          </w:rPr>
        </w:r>
        <w:r w:rsidRPr="000E4A30">
          <w:rPr>
            <w:rFonts w:ascii="Arial" w:hAnsi="Arial" w:cs="Arial"/>
            <w:noProof/>
            <w:webHidden/>
            <w:sz w:val="20"/>
            <w:szCs w:val="20"/>
          </w:rPr>
          <w:fldChar w:fldCharType="separate"/>
        </w:r>
        <w:r w:rsidR="002C0DFB">
          <w:rPr>
            <w:rFonts w:ascii="Arial" w:hAnsi="Arial" w:cs="Arial"/>
            <w:noProof/>
            <w:webHidden/>
            <w:sz w:val="20"/>
            <w:szCs w:val="20"/>
          </w:rPr>
          <w:t>305</w:t>
        </w:r>
        <w:r w:rsidRPr="000E4A30">
          <w:rPr>
            <w:rFonts w:ascii="Arial" w:hAnsi="Arial" w:cs="Arial"/>
            <w:noProof/>
            <w:webHidden/>
            <w:sz w:val="20"/>
            <w:szCs w:val="20"/>
          </w:rPr>
          <w:fldChar w:fldCharType="end"/>
        </w:r>
      </w:hyperlink>
    </w:p>
    <w:p w14:paraId="2153603D" w14:textId="155AAD43" w:rsidR="003C1BA0" w:rsidRPr="000E4A30" w:rsidRDefault="003C1BA0">
      <w:pPr>
        <w:pStyle w:val="TOC5"/>
        <w:rPr>
          <w:rFonts w:ascii="Arial" w:hAnsi="Arial" w:cs="Arial"/>
          <w:noProof/>
          <w:kern w:val="2"/>
          <w:sz w:val="20"/>
          <w:szCs w:val="20"/>
          <w14:ligatures w14:val="standardContextual"/>
        </w:rPr>
      </w:pPr>
      <w:hyperlink w:anchor="_Toc225877844" w:history="1">
        <w:r w:rsidRPr="000E4A30">
          <w:rPr>
            <w:rStyle w:val="Hyperlink"/>
            <w:rFonts w:ascii="Arial" w:hAnsi="Arial" w:cs="Arial"/>
            <w:noProof/>
            <w:sz w:val="20"/>
            <w:szCs w:val="20"/>
          </w:rPr>
          <w:t>Obstetrics and Gynecology</w:t>
        </w:r>
        <w:r w:rsidRPr="000E4A30">
          <w:rPr>
            <w:rFonts w:ascii="Arial" w:hAnsi="Arial" w:cs="Arial"/>
            <w:noProof/>
            <w:webHidden/>
            <w:sz w:val="20"/>
            <w:szCs w:val="20"/>
          </w:rPr>
          <w:tab/>
        </w:r>
        <w:r w:rsidRPr="000E4A30">
          <w:rPr>
            <w:rFonts w:ascii="Arial" w:hAnsi="Arial" w:cs="Arial"/>
            <w:noProof/>
            <w:webHidden/>
            <w:sz w:val="20"/>
            <w:szCs w:val="20"/>
          </w:rPr>
          <w:fldChar w:fldCharType="begin"/>
        </w:r>
        <w:r w:rsidRPr="000E4A30">
          <w:rPr>
            <w:rFonts w:ascii="Arial" w:hAnsi="Arial" w:cs="Arial"/>
            <w:noProof/>
            <w:webHidden/>
            <w:sz w:val="20"/>
            <w:szCs w:val="20"/>
          </w:rPr>
          <w:instrText xml:space="preserve"> PAGEREF _Toc225877844 \h </w:instrText>
        </w:r>
        <w:r w:rsidRPr="000E4A30">
          <w:rPr>
            <w:rFonts w:ascii="Arial" w:hAnsi="Arial" w:cs="Arial"/>
            <w:noProof/>
            <w:webHidden/>
            <w:sz w:val="20"/>
            <w:szCs w:val="20"/>
          </w:rPr>
        </w:r>
        <w:r w:rsidRPr="000E4A30">
          <w:rPr>
            <w:rFonts w:ascii="Arial" w:hAnsi="Arial" w:cs="Arial"/>
            <w:noProof/>
            <w:webHidden/>
            <w:sz w:val="20"/>
            <w:szCs w:val="20"/>
          </w:rPr>
          <w:fldChar w:fldCharType="separate"/>
        </w:r>
        <w:r w:rsidR="002C0DFB">
          <w:rPr>
            <w:rFonts w:ascii="Arial" w:hAnsi="Arial" w:cs="Arial"/>
            <w:noProof/>
            <w:webHidden/>
            <w:sz w:val="20"/>
            <w:szCs w:val="20"/>
          </w:rPr>
          <w:t>306</w:t>
        </w:r>
        <w:r w:rsidRPr="000E4A30">
          <w:rPr>
            <w:rFonts w:ascii="Arial" w:hAnsi="Arial" w:cs="Arial"/>
            <w:noProof/>
            <w:webHidden/>
            <w:sz w:val="20"/>
            <w:szCs w:val="20"/>
          </w:rPr>
          <w:fldChar w:fldCharType="end"/>
        </w:r>
      </w:hyperlink>
    </w:p>
    <w:p w14:paraId="169FB863" w14:textId="7C4D06B1" w:rsidR="003C1BA0" w:rsidRPr="000E4A30" w:rsidRDefault="003C1BA0">
      <w:pPr>
        <w:pStyle w:val="TOC5"/>
        <w:rPr>
          <w:rFonts w:ascii="Arial" w:hAnsi="Arial" w:cs="Arial"/>
          <w:noProof/>
          <w:kern w:val="2"/>
          <w:sz w:val="20"/>
          <w:szCs w:val="20"/>
          <w14:ligatures w14:val="standardContextual"/>
        </w:rPr>
      </w:pPr>
      <w:hyperlink w:anchor="_Toc225877845" w:history="1">
        <w:r w:rsidRPr="000E4A30">
          <w:rPr>
            <w:rStyle w:val="Hyperlink"/>
            <w:rFonts w:ascii="Arial" w:hAnsi="Arial" w:cs="Arial"/>
            <w:noProof/>
            <w:sz w:val="20"/>
            <w:szCs w:val="20"/>
          </w:rPr>
          <w:t>Plastic and Reconstructive Surgery</w:t>
        </w:r>
        <w:r w:rsidRPr="000E4A30">
          <w:rPr>
            <w:rFonts w:ascii="Arial" w:hAnsi="Arial" w:cs="Arial"/>
            <w:noProof/>
            <w:webHidden/>
            <w:sz w:val="20"/>
            <w:szCs w:val="20"/>
          </w:rPr>
          <w:tab/>
        </w:r>
        <w:r w:rsidRPr="000E4A30">
          <w:rPr>
            <w:rFonts w:ascii="Arial" w:hAnsi="Arial" w:cs="Arial"/>
            <w:noProof/>
            <w:webHidden/>
            <w:sz w:val="20"/>
            <w:szCs w:val="20"/>
          </w:rPr>
          <w:fldChar w:fldCharType="begin"/>
        </w:r>
        <w:r w:rsidRPr="000E4A30">
          <w:rPr>
            <w:rFonts w:ascii="Arial" w:hAnsi="Arial" w:cs="Arial"/>
            <w:noProof/>
            <w:webHidden/>
            <w:sz w:val="20"/>
            <w:szCs w:val="20"/>
          </w:rPr>
          <w:instrText xml:space="preserve"> PAGEREF _Toc225877845 \h </w:instrText>
        </w:r>
        <w:r w:rsidRPr="000E4A30">
          <w:rPr>
            <w:rFonts w:ascii="Arial" w:hAnsi="Arial" w:cs="Arial"/>
            <w:noProof/>
            <w:webHidden/>
            <w:sz w:val="20"/>
            <w:szCs w:val="20"/>
          </w:rPr>
        </w:r>
        <w:r w:rsidRPr="000E4A30">
          <w:rPr>
            <w:rFonts w:ascii="Arial" w:hAnsi="Arial" w:cs="Arial"/>
            <w:noProof/>
            <w:webHidden/>
            <w:sz w:val="20"/>
            <w:szCs w:val="20"/>
          </w:rPr>
          <w:fldChar w:fldCharType="separate"/>
        </w:r>
        <w:r w:rsidR="002C0DFB">
          <w:rPr>
            <w:rFonts w:ascii="Arial" w:hAnsi="Arial" w:cs="Arial"/>
            <w:noProof/>
            <w:webHidden/>
            <w:sz w:val="20"/>
            <w:szCs w:val="20"/>
          </w:rPr>
          <w:t>307</w:t>
        </w:r>
        <w:r w:rsidRPr="000E4A30">
          <w:rPr>
            <w:rFonts w:ascii="Arial" w:hAnsi="Arial" w:cs="Arial"/>
            <w:noProof/>
            <w:webHidden/>
            <w:sz w:val="20"/>
            <w:szCs w:val="20"/>
          </w:rPr>
          <w:fldChar w:fldCharType="end"/>
        </w:r>
      </w:hyperlink>
    </w:p>
    <w:p w14:paraId="08717899" w14:textId="052E6C2B" w:rsidR="003C1BA0" w:rsidRPr="000E4A30" w:rsidRDefault="003C1BA0">
      <w:pPr>
        <w:pStyle w:val="TOC4"/>
        <w:rPr>
          <w:rFonts w:eastAsiaTheme="minorEastAsia" w:cs="Arial"/>
          <w:noProof/>
          <w:kern w:val="2"/>
          <w14:ligatures w14:val="standardContextual"/>
        </w:rPr>
      </w:pPr>
      <w:hyperlink w:anchor="_Toc225877846" w:history="1">
        <w:r w:rsidRPr="000E4A30">
          <w:rPr>
            <w:rStyle w:val="Hyperlink"/>
            <w:rFonts w:cs="Arial"/>
            <w:noProof/>
          </w:rPr>
          <w:t>9D: Safety of Procedures</w:t>
        </w:r>
        <w:r w:rsidRPr="000E4A30">
          <w:rPr>
            <w:rFonts w:cs="Arial"/>
            <w:noProof/>
            <w:webHidden/>
          </w:rPr>
          <w:tab/>
        </w:r>
        <w:r w:rsidRPr="000E4A30">
          <w:rPr>
            <w:rFonts w:cs="Arial"/>
            <w:noProof/>
            <w:webHidden/>
          </w:rPr>
          <w:fldChar w:fldCharType="begin"/>
        </w:r>
        <w:r w:rsidRPr="000E4A30">
          <w:rPr>
            <w:rFonts w:cs="Arial"/>
            <w:noProof/>
            <w:webHidden/>
          </w:rPr>
          <w:instrText xml:space="preserve"> PAGEREF _Toc225877846 \h </w:instrText>
        </w:r>
        <w:r w:rsidRPr="000E4A30">
          <w:rPr>
            <w:rFonts w:cs="Arial"/>
            <w:noProof/>
            <w:webHidden/>
          </w:rPr>
        </w:r>
        <w:r w:rsidRPr="000E4A30">
          <w:rPr>
            <w:rFonts w:cs="Arial"/>
            <w:noProof/>
            <w:webHidden/>
          </w:rPr>
          <w:fldChar w:fldCharType="separate"/>
        </w:r>
        <w:r w:rsidR="002C0DFB">
          <w:rPr>
            <w:rFonts w:cs="Arial"/>
            <w:noProof/>
            <w:webHidden/>
          </w:rPr>
          <w:t>308</w:t>
        </w:r>
        <w:r w:rsidRPr="000E4A30">
          <w:rPr>
            <w:rFonts w:cs="Arial"/>
            <w:noProof/>
            <w:webHidden/>
          </w:rPr>
          <w:fldChar w:fldCharType="end"/>
        </w:r>
      </w:hyperlink>
    </w:p>
    <w:p w14:paraId="042C35C4" w14:textId="0823E926" w:rsidR="003C1BA0" w:rsidRPr="000E4A30" w:rsidRDefault="003C1BA0">
      <w:pPr>
        <w:pStyle w:val="TOC4"/>
        <w:rPr>
          <w:rFonts w:eastAsiaTheme="minorEastAsia" w:cs="Arial"/>
          <w:noProof/>
          <w:kern w:val="2"/>
          <w14:ligatures w14:val="standardContextual"/>
        </w:rPr>
      </w:pPr>
      <w:hyperlink w:anchor="_Toc225877847" w:history="1">
        <w:r w:rsidRPr="000E4A30">
          <w:rPr>
            <w:rStyle w:val="Hyperlink"/>
            <w:rFonts w:cs="Arial"/>
            <w:noProof/>
          </w:rPr>
          <w:t>9E: Medication Safety for Outpatient Procedures</w:t>
        </w:r>
        <w:r w:rsidRPr="000E4A30">
          <w:rPr>
            <w:rFonts w:cs="Arial"/>
            <w:noProof/>
            <w:webHidden/>
          </w:rPr>
          <w:tab/>
        </w:r>
        <w:r w:rsidRPr="000E4A30">
          <w:rPr>
            <w:rFonts w:cs="Arial"/>
            <w:noProof/>
            <w:webHidden/>
          </w:rPr>
          <w:fldChar w:fldCharType="begin"/>
        </w:r>
        <w:r w:rsidRPr="000E4A30">
          <w:rPr>
            <w:rFonts w:cs="Arial"/>
            <w:noProof/>
            <w:webHidden/>
          </w:rPr>
          <w:instrText xml:space="preserve"> PAGEREF _Toc225877847 \h </w:instrText>
        </w:r>
        <w:r w:rsidRPr="000E4A30">
          <w:rPr>
            <w:rFonts w:cs="Arial"/>
            <w:noProof/>
            <w:webHidden/>
          </w:rPr>
        </w:r>
        <w:r w:rsidRPr="000E4A30">
          <w:rPr>
            <w:rFonts w:cs="Arial"/>
            <w:noProof/>
            <w:webHidden/>
          </w:rPr>
          <w:fldChar w:fldCharType="separate"/>
        </w:r>
        <w:r w:rsidR="002C0DFB">
          <w:rPr>
            <w:rFonts w:cs="Arial"/>
            <w:noProof/>
            <w:webHidden/>
          </w:rPr>
          <w:t>311</w:t>
        </w:r>
        <w:r w:rsidRPr="000E4A30">
          <w:rPr>
            <w:rFonts w:cs="Arial"/>
            <w:noProof/>
            <w:webHidden/>
          </w:rPr>
          <w:fldChar w:fldCharType="end"/>
        </w:r>
      </w:hyperlink>
    </w:p>
    <w:p w14:paraId="2F174BD0" w14:textId="7F49F23B" w:rsidR="003C1BA0" w:rsidRPr="000E4A30" w:rsidRDefault="003C1BA0">
      <w:pPr>
        <w:pStyle w:val="TOC4"/>
        <w:rPr>
          <w:rFonts w:eastAsiaTheme="minorEastAsia" w:cs="Arial"/>
          <w:noProof/>
          <w:kern w:val="2"/>
          <w14:ligatures w14:val="standardContextual"/>
        </w:rPr>
      </w:pPr>
      <w:hyperlink w:anchor="_Toc225877848" w:history="1">
        <w:r w:rsidRPr="000E4A30">
          <w:rPr>
            <w:rStyle w:val="Hyperlink"/>
            <w:rFonts w:cs="Arial"/>
            <w:noProof/>
          </w:rPr>
          <w:t>9F: CMS Measures</w:t>
        </w:r>
        <w:r w:rsidRPr="000E4A30">
          <w:rPr>
            <w:rFonts w:cs="Arial"/>
            <w:noProof/>
            <w:webHidden/>
          </w:rPr>
          <w:tab/>
        </w:r>
        <w:r w:rsidRPr="000E4A30">
          <w:rPr>
            <w:rFonts w:cs="Arial"/>
            <w:noProof/>
            <w:webHidden/>
          </w:rPr>
          <w:fldChar w:fldCharType="begin"/>
        </w:r>
        <w:r w:rsidRPr="000E4A30">
          <w:rPr>
            <w:rFonts w:cs="Arial"/>
            <w:noProof/>
            <w:webHidden/>
          </w:rPr>
          <w:instrText xml:space="preserve"> PAGEREF _Toc225877848 \h </w:instrText>
        </w:r>
        <w:r w:rsidRPr="000E4A30">
          <w:rPr>
            <w:rFonts w:cs="Arial"/>
            <w:noProof/>
            <w:webHidden/>
          </w:rPr>
        </w:r>
        <w:r w:rsidRPr="000E4A30">
          <w:rPr>
            <w:rFonts w:cs="Arial"/>
            <w:noProof/>
            <w:webHidden/>
          </w:rPr>
          <w:fldChar w:fldCharType="separate"/>
        </w:r>
        <w:r w:rsidR="002C0DFB">
          <w:rPr>
            <w:rFonts w:cs="Arial"/>
            <w:noProof/>
            <w:webHidden/>
          </w:rPr>
          <w:t>313</w:t>
        </w:r>
        <w:r w:rsidRPr="000E4A30">
          <w:rPr>
            <w:rFonts w:cs="Arial"/>
            <w:noProof/>
            <w:webHidden/>
          </w:rPr>
          <w:fldChar w:fldCharType="end"/>
        </w:r>
      </w:hyperlink>
    </w:p>
    <w:p w14:paraId="2BC43977" w14:textId="5F05AF28" w:rsidR="003C1BA0" w:rsidRPr="000E4A30" w:rsidRDefault="003C1BA0">
      <w:pPr>
        <w:pStyle w:val="TOC4"/>
        <w:rPr>
          <w:rFonts w:eastAsiaTheme="minorEastAsia" w:cs="Arial"/>
          <w:noProof/>
          <w:kern w:val="2"/>
          <w14:ligatures w14:val="standardContextual"/>
        </w:rPr>
      </w:pPr>
      <w:hyperlink w:anchor="_Toc225877849" w:history="1">
        <w:r w:rsidRPr="000E4A30">
          <w:rPr>
            <w:rStyle w:val="Hyperlink"/>
            <w:rFonts w:cs="Arial"/>
            <w:noProof/>
          </w:rPr>
          <w:t>Section 9: Outpatient Procedures Reference Information</w:t>
        </w:r>
        <w:r w:rsidRPr="000E4A30">
          <w:rPr>
            <w:rFonts w:cs="Arial"/>
            <w:noProof/>
            <w:webHidden/>
          </w:rPr>
          <w:tab/>
        </w:r>
        <w:r w:rsidRPr="000E4A30">
          <w:rPr>
            <w:rFonts w:cs="Arial"/>
            <w:noProof/>
            <w:webHidden/>
          </w:rPr>
          <w:fldChar w:fldCharType="begin"/>
        </w:r>
        <w:r w:rsidRPr="000E4A30">
          <w:rPr>
            <w:rFonts w:cs="Arial"/>
            <w:noProof/>
            <w:webHidden/>
          </w:rPr>
          <w:instrText xml:space="preserve"> PAGEREF _Toc225877849 \h </w:instrText>
        </w:r>
        <w:r w:rsidRPr="000E4A30">
          <w:rPr>
            <w:rFonts w:cs="Arial"/>
            <w:noProof/>
            <w:webHidden/>
          </w:rPr>
        </w:r>
        <w:r w:rsidRPr="000E4A30">
          <w:rPr>
            <w:rFonts w:cs="Arial"/>
            <w:noProof/>
            <w:webHidden/>
          </w:rPr>
          <w:fldChar w:fldCharType="separate"/>
        </w:r>
        <w:r w:rsidR="002C0DFB">
          <w:rPr>
            <w:rFonts w:cs="Arial"/>
            <w:noProof/>
            <w:webHidden/>
          </w:rPr>
          <w:t>315</w:t>
        </w:r>
        <w:r w:rsidRPr="000E4A30">
          <w:rPr>
            <w:rFonts w:cs="Arial"/>
            <w:noProof/>
            <w:webHidden/>
          </w:rPr>
          <w:fldChar w:fldCharType="end"/>
        </w:r>
      </w:hyperlink>
    </w:p>
    <w:p w14:paraId="21DD47F9" w14:textId="252B44A4" w:rsidR="003C1BA0" w:rsidRPr="000E4A30" w:rsidRDefault="003C1BA0">
      <w:pPr>
        <w:pStyle w:val="TOC5"/>
        <w:rPr>
          <w:rFonts w:ascii="Arial" w:hAnsi="Arial" w:cs="Arial"/>
          <w:noProof/>
          <w:kern w:val="2"/>
          <w:sz w:val="20"/>
          <w:szCs w:val="20"/>
          <w14:ligatures w14:val="standardContextual"/>
        </w:rPr>
      </w:pPr>
      <w:hyperlink w:anchor="_Toc225877850" w:history="1">
        <w:r w:rsidRPr="000E4A30">
          <w:rPr>
            <w:rStyle w:val="Hyperlink"/>
            <w:rFonts w:ascii="Arial" w:hAnsi="Arial" w:cs="Arial"/>
            <w:noProof/>
            <w:sz w:val="20"/>
            <w:szCs w:val="20"/>
          </w:rPr>
          <w:t>What’s New in the 2026 Survey</w:t>
        </w:r>
        <w:r w:rsidRPr="000E4A30">
          <w:rPr>
            <w:rFonts w:ascii="Arial" w:hAnsi="Arial" w:cs="Arial"/>
            <w:noProof/>
            <w:webHidden/>
            <w:sz w:val="20"/>
            <w:szCs w:val="20"/>
          </w:rPr>
          <w:tab/>
        </w:r>
        <w:r w:rsidRPr="000E4A30">
          <w:rPr>
            <w:rFonts w:ascii="Arial" w:hAnsi="Arial" w:cs="Arial"/>
            <w:noProof/>
            <w:webHidden/>
            <w:sz w:val="20"/>
            <w:szCs w:val="20"/>
          </w:rPr>
          <w:fldChar w:fldCharType="begin"/>
        </w:r>
        <w:r w:rsidRPr="000E4A30">
          <w:rPr>
            <w:rFonts w:ascii="Arial" w:hAnsi="Arial" w:cs="Arial"/>
            <w:noProof/>
            <w:webHidden/>
            <w:sz w:val="20"/>
            <w:szCs w:val="20"/>
          </w:rPr>
          <w:instrText xml:space="preserve"> PAGEREF _Toc225877850 \h </w:instrText>
        </w:r>
        <w:r w:rsidRPr="000E4A30">
          <w:rPr>
            <w:rFonts w:ascii="Arial" w:hAnsi="Arial" w:cs="Arial"/>
            <w:noProof/>
            <w:webHidden/>
            <w:sz w:val="20"/>
            <w:szCs w:val="20"/>
          </w:rPr>
        </w:r>
        <w:r w:rsidRPr="000E4A30">
          <w:rPr>
            <w:rFonts w:ascii="Arial" w:hAnsi="Arial" w:cs="Arial"/>
            <w:noProof/>
            <w:webHidden/>
            <w:sz w:val="20"/>
            <w:szCs w:val="20"/>
          </w:rPr>
          <w:fldChar w:fldCharType="separate"/>
        </w:r>
        <w:r w:rsidR="002C0DFB">
          <w:rPr>
            <w:rFonts w:ascii="Arial" w:hAnsi="Arial" w:cs="Arial"/>
            <w:noProof/>
            <w:webHidden/>
            <w:sz w:val="20"/>
            <w:szCs w:val="20"/>
          </w:rPr>
          <w:t>315</w:t>
        </w:r>
        <w:r w:rsidRPr="000E4A30">
          <w:rPr>
            <w:rFonts w:ascii="Arial" w:hAnsi="Arial" w:cs="Arial"/>
            <w:noProof/>
            <w:webHidden/>
            <w:sz w:val="20"/>
            <w:szCs w:val="20"/>
          </w:rPr>
          <w:fldChar w:fldCharType="end"/>
        </w:r>
      </w:hyperlink>
    </w:p>
    <w:p w14:paraId="411EE8B5" w14:textId="037DE25D" w:rsidR="003C1BA0" w:rsidRPr="000E4A30" w:rsidRDefault="003C1BA0">
      <w:pPr>
        <w:pStyle w:val="TOC5"/>
        <w:rPr>
          <w:rFonts w:ascii="Arial" w:hAnsi="Arial" w:cs="Arial"/>
          <w:noProof/>
          <w:kern w:val="2"/>
          <w:sz w:val="20"/>
          <w:szCs w:val="20"/>
          <w14:ligatures w14:val="standardContextual"/>
        </w:rPr>
      </w:pPr>
      <w:hyperlink w:anchor="_Toc225877851" w:history="1">
        <w:r w:rsidRPr="000E4A30">
          <w:rPr>
            <w:rStyle w:val="Hyperlink"/>
            <w:rFonts w:ascii="Arial" w:hAnsi="Arial" w:cs="Arial"/>
            <w:noProof/>
            <w:sz w:val="20"/>
            <w:szCs w:val="20"/>
          </w:rPr>
          <w:t>Change Summary Since Release</w:t>
        </w:r>
        <w:r w:rsidRPr="000E4A30">
          <w:rPr>
            <w:rFonts w:ascii="Arial" w:hAnsi="Arial" w:cs="Arial"/>
            <w:noProof/>
            <w:webHidden/>
            <w:sz w:val="20"/>
            <w:szCs w:val="20"/>
          </w:rPr>
          <w:tab/>
        </w:r>
        <w:r w:rsidRPr="000E4A30">
          <w:rPr>
            <w:rFonts w:ascii="Arial" w:hAnsi="Arial" w:cs="Arial"/>
            <w:noProof/>
            <w:webHidden/>
            <w:sz w:val="20"/>
            <w:szCs w:val="20"/>
          </w:rPr>
          <w:fldChar w:fldCharType="begin"/>
        </w:r>
        <w:r w:rsidRPr="000E4A30">
          <w:rPr>
            <w:rFonts w:ascii="Arial" w:hAnsi="Arial" w:cs="Arial"/>
            <w:noProof/>
            <w:webHidden/>
            <w:sz w:val="20"/>
            <w:szCs w:val="20"/>
          </w:rPr>
          <w:instrText xml:space="preserve"> PAGEREF _Toc225877851 \h </w:instrText>
        </w:r>
        <w:r w:rsidRPr="000E4A30">
          <w:rPr>
            <w:rFonts w:ascii="Arial" w:hAnsi="Arial" w:cs="Arial"/>
            <w:noProof/>
            <w:webHidden/>
            <w:sz w:val="20"/>
            <w:szCs w:val="20"/>
          </w:rPr>
        </w:r>
        <w:r w:rsidRPr="000E4A30">
          <w:rPr>
            <w:rFonts w:ascii="Arial" w:hAnsi="Arial" w:cs="Arial"/>
            <w:noProof/>
            <w:webHidden/>
            <w:sz w:val="20"/>
            <w:szCs w:val="20"/>
          </w:rPr>
          <w:fldChar w:fldCharType="separate"/>
        </w:r>
        <w:r w:rsidR="002C0DFB">
          <w:rPr>
            <w:rFonts w:ascii="Arial" w:hAnsi="Arial" w:cs="Arial"/>
            <w:noProof/>
            <w:webHidden/>
            <w:sz w:val="20"/>
            <w:szCs w:val="20"/>
          </w:rPr>
          <w:t>316</w:t>
        </w:r>
        <w:r w:rsidRPr="000E4A30">
          <w:rPr>
            <w:rFonts w:ascii="Arial" w:hAnsi="Arial" w:cs="Arial"/>
            <w:noProof/>
            <w:webHidden/>
            <w:sz w:val="20"/>
            <w:szCs w:val="20"/>
          </w:rPr>
          <w:fldChar w:fldCharType="end"/>
        </w:r>
      </w:hyperlink>
    </w:p>
    <w:p w14:paraId="59D24C02" w14:textId="4F82E169" w:rsidR="003C1BA0" w:rsidRPr="000E4A30" w:rsidRDefault="003C1BA0">
      <w:pPr>
        <w:pStyle w:val="TOC4"/>
        <w:rPr>
          <w:rFonts w:eastAsiaTheme="minorEastAsia" w:cs="Arial"/>
          <w:noProof/>
          <w:kern w:val="2"/>
          <w14:ligatures w14:val="standardContextual"/>
        </w:rPr>
      </w:pPr>
      <w:hyperlink w:anchor="_Toc225877852" w:history="1">
        <w:r w:rsidRPr="000E4A30">
          <w:rPr>
            <w:rStyle w:val="Hyperlink"/>
            <w:rFonts w:cs="Arial"/>
            <w:noProof/>
          </w:rPr>
          <w:t>Section 9A: Basic Outpatient Department Information Frequently Asked Questions (FAQs)</w:t>
        </w:r>
        <w:r w:rsidRPr="000E4A30">
          <w:rPr>
            <w:rFonts w:cs="Arial"/>
            <w:noProof/>
            <w:webHidden/>
          </w:rPr>
          <w:tab/>
        </w:r>
        <w:r w:rsidRPr="000E4A30">
          <w:rPr>
            <w:rFonts w:cs="Arial"/>
            <w:noProof/>
            <w:webHidden/>
          </w:rPr>
          <w:fldChar w:fldCharType="begin"/>
        </w:r>
        <w:r w:rsidRPr="000E4A30">
          <w:rPr>
            <w:rFonts w:cs="Arial"/>
            <w:noProof/>
            <w:webHidden/>
          </w:rPr>
          <w:instrText xml:space="preserve"> PAGEREF _Toc225877852 \h </w:instrText>
        </w:r>
        <w:r w:rsidRPr="000E4A30">
          <w:rPr>
            <w:rFonts w:cs="Arial"/>
            <w:noProof/>
            <w:webHidden/>
          </w:rPr>
        </w:r>
        <w:r w:rsidRPr="000E4A30">
          <w:rPr>
            <w:rFonts w:cs="Arial"/>
            <w:noProof/>
            <w:webHidden/>
          </w:rPr>
          <w:fldChar w:fldCharType="separate"/>
        </w:r>
        <w:r w:rsidR="002C0DFB">
          <w:rPr>
            <w:rFonts w:cs="Arial"/>
            <w:noProof/>
            <w:webHidden/>
          </w:rPr>
          <w:t>317</w:t>
        </w:r>
        <w:r w:rsidRPr="000E4A30">
          <w:rPr>
            <w:rFonts w:cs="Arial"/>
            <w:noProof/>
            <w:webHidden/>
          </w:rPr>
          <w:fldChar w:fldCharType="end"/>
        </w:r>
      </w:hyperlink>
    </w:p>
    <w:p w14:paraId="73BAC3E9" w14:textId="5BDC8A7C" w:rsidR="003C1BA0" w:rsidRPr="000E4A30" w:rsidRDefault="003C1BA0">
      <w:pPr>
        <w:pStyle w:val="TOC4"/>
        <w:rPr>
          <w:rFonts w:eastAsiaTheme="minorEastAsia" w:cs="Arial"/>
          <w:noProof/>
          <w:kern w:val="2"/>
          <w14:ligatures w14:val="standardContextual"/>
        </w:rPr>
      </w:pPr>
      <w:hyperlink w:anchor="_Toc225877853" w:history="1">
        <w:r w:rsidRPr="000E4A30">
          <w:rPr>
            <w:rStyle w:val="Hyperlink"/>
            <w:rFonts w:cs="Arial"/>
            <w:noProof/>
          </w:rPr>
          <w:t>Section 9B: Medical, Surgical, and Clinical Staff Frequently Asked Questions (FAQs)</w:t>
        </w:r>
        <w:r w:rsidRPr="000E4A30">
          <w:rPr>
            <w:rFonts w:cs="Arial"/>
            <w:noProof/>
            <w:webHidden/>
          </w:rPr>
          <w:tab/>
        </w:r>
        <w:r w:rsidRPr="000E4A30">
          <w:rPr>
            <w:rFonts w:cs="Arial"/>
            <w:noProof/>
            <w:webHidden/>
          </w:rPr>
          <w:fldChar w:fldCharType="begin"/>
        </w:r>
        <w:r w:rsidRPr="000E4A30">
          <w:rPr>
            <w:rFonts w:cs="Arial"/>
            <w:noProof/>
            <w:webHidden/>
          </w:rPr>
          <w:instrText xml:space="preserve"> PAGEREF _Toc225877853 \h </w:instrText>
        </w:r>
        <w:r w:rsidRPr="000E4A30">
          <w:rPr>
            <w:rFonts w:cs="Arial"/>
            <w:noProof/>
            <w:webHidden/>
          </w:rPr>
        </w:r>
        <w:r w:rsidRPr="000E4A30">
          <w:rPr>
            <w:rFonts w:cs="Arial"/>
            <w:noProof/>
            <w:webHidden/>
          </w:rPr>
          <w:fldChar w:fldCharType="separate"/>
        </w:r>
        <w:r w:rsidR="002C0DFB">
          <w:rPr>
            <w:rFonts w:cs="Arial"/>
            <w:noProof/>
            <w:webHidden/>
          </w:rPr>
          <w:t>318</w:t>
        </w:r>
        <w:r w:rsidRPr="000E4A30">
          <w:rPr>
            <w:rFonts w:cs="Arial"/>
            <w:noProof/>
            <w:webHidden/>
          </w:rPr>
          <w:fldChar w:fldCharType="end"/>
        </w:r>
      </w:hyperlink>
    </w:p>
    <w:p w14:paraId="5EFAC405" w14:textId="6D6B4FBD" w:rsidR="003C1BA0" w:rsidRPr="000E4A30" w:rsidRDefault="003C1BA0">
      <w:pPr>
        <w:pStyle w:val="TOC4"/>
        <w:rPr>
          <w:rFonts w:eastAsiaTheme="minorEastAsia" w:cs="Arial"/>
          <w:noProof/>
          <w:kern w:val="2"/>
          <w14:ligatures w14:val="standardContextual"/>
        </w:rPr>
      </w:pPr>
      <w:hyperlink w:anchor="_Toc225877854" w:history="1">
        <w:r w:rsidRPr="000E4A30">
          <w:rPr>
            <w:rStyle w:val="Hyperlink"/>
            <w:rFonts w:cs="Arial"/>
            <w:noProof/>
          </w:rPr>
          <w:t>Volume of Procedures Measure Specifications</w:t>
        </w:r>
        <w:r w:rsidRPr="000E4A30">
          <w:rPr>
            <w:rFonts w:cs="Arial"/>
            <w:noProof/>
            <w:webHidden/>
          </w:rPr>
          <w:tab/>
        </w:r>
        <w:r w:rsidRPr="000E4A30">
          <w:rPr>
            <w:rFonts w:cs="Arial"/>
            <w:noProof/>
            <w:webHidden/>
          </w:rPr>
          <w:fldChar w:fldCharType="begin"/>
        </w:r>
        <w:r w:rsidRPr="000E4A30">
          <w:rPr>
            <w:rFonts w:cs="Arial"/>
            <w:noProof/>
            <w:webHidden/>
          </w:rPr>
          <w:instrText xml:space="preserve"> PAGEREF _Toc225877854 \h </w:instrText>
        </w:r>
        <w:r w:rsidRPr="000E4A30">
          <w:rPr>
            <w:rFonts w:cs="Arial"/>
            <w:noProof/>
            <w:webHidden/>
          </w:rPr>
        </w:r>
        <w:r w:rsidRPr="000E4A30">
          <w:rPr>
            <w:rFonts w:cs="Arial"/>
            <w:noProof/>
            <w:webHidden/>
          </w:rPr>
          <w:fldChar w:fldCharType="separate"/>
        </w:r>
        <w:r w:rsidR="002C0DFB">
          <w:rPr>
            <w:rFonts w:cs="Arial"/>
            <w:noProof/>
            <w:webHidden/>
          </w:rPr>
          <w:t>319</w:t>
        </w:r>
        <w:r w:rsidRPr="000E4A30">
          <w:rPr>
            <w:rFonts w:cs="Arial"/>
            <w:noProof/>
            <w:webHidden/>
          </w:rPr>
          <w:fldChar w:fldCharType="end"/>
        </w:r>
      </w:hyperlink>
    </w:p>
    <w:p w14:paraId="553ECFC1" w14:textId="79F931FE" w:rsidR="003C1BA0" w:rsidRPr="000E4A30" w:rsidRDefault="003C1BA0">
      <w:pPr>
        <w:pStyle w:val="TOC5"/>
        <w:rPr>
          <w:rFonts w:ascii="Arial" w:hAnsi="Arial" w:cs="Arial"/>
          <w:noProof/>
          <w:kern w:val="2"/>
          <w:sz w:val="20"/>
          <w:szCs w:val="20"/>
          <w14:ligatures w14:val="standardContextual"/>
        </w:rPr>
      </w:pPr>
      <w:hyperlink w:anchor="_Toc225877855" w:history="1">
        <w:r w:rsidRPr="000E4A30">
          <w:rPr>
            <w:rStyle w:val="Hyperlink"/>
            <w:rFonts w:ascii="Arial" w:hAnsi="Arial" w:cs="Arial"/>
            <w:noProof/>
            <w:sz w:val="20"/>
            <w:szCs w:val="20"/>
          </w:rPr>
          <w:t>Ophthalmology Measure Specifications</w:t>
        </w:r>
        <w:r w:rsidRPr="000E4A30">
          <w:rPr>
            <w:rFonts w:ascii="Arial" w:hAnsi="Arial" w:cs="Arial"/>
            <w:noProof/>
            <w:webHidden/>
            <w:sz w:val="20"/>
            <w:szCs w:val="20"/>
          </w:rPr>
          <w:tab/>
        </w:r>
        <w:r w:rsidRPr="000E4A30">
          <w:rPr>
            <w:rFonts w:ascii="Arial" w:hAnsi="Arial" w:cs="Arial"/>
            <w:noProof/>
            <w:webHidden/>
            <w:sz w:val="20"/>
            <w:szCs w:val="20"/>
          </w:rPr>
          <w:fldChar w:fldCharType="begin"/>
        </w:r>
        <w:r w:rsidRPr="000E4A30">
          <w:rPr>
            <w:rFonts w:ascii="Arial" w:hAnsi="Arial" w:cs="Arial"/>
            <w:noProof/>
            <w:webHidden/>
            <w:sz w:val="20"/>
            <w:szCs w:val="20"/>
          </w:rPr>
          <w:instrText xml:space="preserve"> PAGEREF _Toc225877855 \h </w:instrText>
        </w:r>
        <w:r w:rsidRPr="000E4A30">
          <w:rPr>
            <w:rFonts w:ascii="Arial" w:hAnsi="Arial" w:cs="Arial"/>
            <w:noProof/>
            <w:webHidden/>
            <w:sz w:val="20"/>
            <w:szCs w:val="20"/>
          </w:rPr>
        </w:r>
        <w:r w:rsidRPr="000E4A30">
          <w:rPr>
            <w:rFonts w:ascii="Arial" w:hAnsi="Arial" w:cs="Arial"/>
            <w:noProof/>
            <w:webHidden/>
            <w:sz w:val="20"/>
            <w:szCs w:val="20"/>
          </w:rPr>
          <w:fldChar w:fldCharType="separate"/>
        </w:r>
        <w:r w:rsidR="002C0DFB">
          <w:rPr>
            <w:rFonts w:ascii="Arial" w:hAnsi="Arial" w:cs="Arial"/>
            <w:noProof/>
            <w:webHidden/>
            <w:sz w:val="20"/>
            <w:szCs w:val="20"/>
          </w:rPr>
          <w:t>321</w:t>
        </w:r>
        <w:r w:rsidRPr="000E4A30">
          <w:rPr>
            <w:rFonts w:ascii="Arial" w:hAnsi="Arial" w:cs="Arial"/>
            <w:noProof/>
            <w:webHidden/>
            <w:sz w:val="20"/>
            <w:szCs w:val="20"/>
          </w:rPr>
          <w:fldChar w:fldCharType="end"/>
        </w:r>
      </w:hyperlink>
    </w:p>
    <w:p w14:paraId="65B4F414" w14:textId="655A9326" w:rsidR="003C1BA0" w:rsidRPr="000E4A30" w:rsidRDefault="003C1BA0">
      <w:pPr>
        <w:pStyle w:val="TOC5"/>
        <w:rPr>
          <w:rFonts w:ascii="Arial" w:hAnsi="Arial" w:cs="Arial"/>
          <w:noProof/>
          <w:kern w:val="2"/>
          <w:sz w:val="20"/>
          <w:szCs w:val="20"/>
          <w14:ligatures w14:val="standardContextual"/>
        </w:rPr>
      </w:pPr>
      <w:hyperlink w:anchor="_Toc225877856" w:history="1">
        <w:r w:rsidRPr="000E4A30">
          <w:rPr>
            <w:rStyle w:val="Hyperlink"/>
            <w:rFonts w:ascii="Arial" w:hAnsi="Arial" w:cs="Arial"/>
            <w:noProof/>
            <w:sz w:val="20"/>
            <w:szCs w:val="20"/>
          </w:rPr>
          <w:t>Orthopedic Measure Specifications</w:t>
        </w:r>
        <w:r w:rsidRPr="000E4A30">
          <w:rPr>
            <w:rFonts w:ascii="Arial" w:hAnsi="Arial" w:cs="Arial"/>
            <w:noProof/>
            <w:webHidden/>
            <w:sz w:val="20"/>
            <w:szCs w:val="20"/>
          </w:rPr>
          <w:tab/>
        </w:r>
        <w:r w:rsidRPr="000E4A30">
          <w:rPr>
            <w:rFonts w:ascii="Arial" w:hAnsi="Arial" w:cs="Arial"/>
            <w:noProof/>
            <w:webHidden/>
            <w:sz w:val="20"/>
            <w:szCs w:val="20"/>
          </w:rPr>
          <w:fldChar w:fldCharType="begin"/>
        </w:r>
        <w:r w:rsidRPr="000E4A30">
          <w:rPr>
            <w:rFonts w:ascii="Arial" w:hAnsi="Arial" w:cs="Arial"/>
            <w:noProof/>
            <w:webHidden/>
            <w:sz w:val="20"/>
            <w:szCs w:val="20"/>
          </w:rPr>
          <w:instrText xml:space="preserve"> PAGEREF _Toc225877856 \h </w:instrText>
        </w:r>
        <w:r w:rsidRPr="000E4A30">
          <w:rPr>
            <w:rFonts w:ascii="Arial" w:hAnsi="Arial" w:cs="Arial"/>
            <w:noProof/>
            <w:webHidden/>
            <w:sz w:val="20"/>
            <w:szCs w:val="20"/>
          </w:rPr>
        </w:r>
        <w:r w:rsidRPr="000E4A30">
          <w:rPr>
            <w:rFonts w:ascii="Arial" w:hAnsi="Arial" w:cs="Arial"/>
            <w:noProof/>
            <w:webHidden/>
            <w:sz w:val="20"/>
            <w:szCs w:val="20"/>
          </w:rPr>
          <w:fldChar w:fldCharType="separate"/>
        </w:r>
        <w:r w:rsidR="002C0DFB">
          <w:rPr>
            <w:rFonts w:ascii="Arial" w:hAnsi="Arial" w:cs="Arial"/>
            <w:noProof/>
            <w:webHidden/>
            <w:sz w:val="20"/>
            <w:szCs w:val="20"/>
          </w:rPr>
          <w:t>321</w:t>
        </w:r>
        <w:r w:rsidRPr="000E4A30">
          <w:rPr>
            <w:rFonts w:ascii="Arial" w:hAnsi="Arial" w:cs="Arial"/>
            <w:noProof/>
            <w:webHidden/>
            <w:sz w:val="20"/>
            <w:szCs w:val="20"/>
          </w:rPr>
          <w:fldChar w:fldCharType="end"/>
        </w:r>
      </w:hyperlink>
    </w:p>
    <w:p w14:paraId="6A04A2B7" w14:textId="00B87BA6" w:rsidR="003C1BA0" w:rsidRPr="000E4A30" w:rsidRDefault="003C1BA0">
      <w:pPr>
        <w:pStyle w:val="TOC5"/>
        <w:rPr>
          <w:rFonts w:ascii="Arial" w:hAnsi="Arial" w:cs="Arial"/>
          <w:noProof/>
          <w:kern w:val="2"/>
          <w:sz w:val="20"/>
          <w:szCs w:val="20"/>
          <w14:ligatures w14:val="standardContextual"/>
        </w:rPr>
      </w:pPr>
      <w:hyperlink w:anchor="_Toc225877857" w:history="1">
        <w:r w:rsidRPr="000E4A30">
          <w:rPr>
            <w:rStyle w:val="Hyperlink"/>
            <w:rFonts w:ascii="Arial" w:hAnsi="Arial" w:cs="Arial"/>
            <w:noProof/>
            <w:sz w:val="20"/>
            <w:szCs w:val="20"/>
          </w:rPr>
          <w:t>Otolaryngology Measure Specifications</w:t>
        </w:r>
        <w:r w:rsidRPr="000E4A30">
          <w:rPr>
            <w:rFonts w:ascii="Arial" w:hAnsi="Arial" w:cs="Arial"/>
            <w:noProof/>
            <w:webHidden/>
            <w:sz w:val="20"/>
            <w:szCs w:val="20"/>
          </w:rPr>
          <w:tab/>
        </w:r>
        <w:r w:rsidRPr="000E4A30">
          <w:rPr>
            <w:rFonts w:ascii="Arial" w:hAnsi="Arial" w:cs="Arial"/>
            <w:noProof/>
            <w:webHidden/>
            <w:sz w:val="20"/>
            <w:szCs w:val="20"/>
          </w:rPr>
          <w:fldChar w:fldCharType="begin"/>
        </w:r>
        <w:r w:rsidRPr="000E4A30">
          <w:rPr>
            <w:rFonts w:ascii="Arial" w:hAnsi="Arial" w:cs="Arial"/>
            <w:noProof/>
            <w:webHidden/>
            <w:sz w:val="20"/>
            <w:szCs w:val="20"/>
          </w:rPr>
          <w:instrText xml:space="preserve"> PAGEREF _Toc225877857 \h </w:instrText>
        </w:r>
        <w:r w:rsidRPr="000E4A30">
          <w:rPr>
            <w:rFonts w:ascii="Arial" w:hAnsi="Arial" w:cs="Arial"/>
            <w:noProof/>
            <w:webHidden/>
            <w:sz w:val="20"/>
            <w:szCs w:val="20"/>
          </w:rPr>
        </w:r>
        <w:r w:rsidRPr="000E4A30">
          <w:rPr>
            <w:rFonts w:ascii="Arial" w:hAnsi="Arial" w:cs="Arial"/>
            <w:noProof/>
            <w:webHidden/>
            <w:sz w:val="20"/>
            <w:szCs w:val="20"/>
          </w:rPr>
          <w:fldChar w:fldCharType="separate"/>
        </w:r>
        <w:r w:rsidR="002C0DFB">
          <w:rPr>
            <w:rFonts w:ascii="Arial" w:hAnsi="Arial" w:cs="Arial"/>
            <w:noProof/>
            <w:webHidden/>
            <w:sz w:val="20"/>
            <w:szCs w:val="20"/>
          </w:rPr>
          <w:t>321</w:t>
        </w:r>
        <w:r w:rsidRPr="000E4A30">
          <w:rPr>
            <w:rFonts w:ascii="Arial" w:hAnsi="Arial" w:cs="Arial"/>
            <w:noProof/>
            <w:webHidden/>
            <w:sz w:val="20"/>
            <w:szCs w:val="20"/>
          </w:rPr>
          <w:fldChar w:fldCharType="end"/>
        </w:r>
      </w:hyperlink>
    </w:p>
    <w:p w14:paraId="4EE3458F" w14:textId="035C0CC9" w:rsidR="003C1BA0" w:rsidRPr="000E4A30" w:rsidRDefault="003C1BA0">
      <w:pPr>
        <w:pStyle w:val="TOC5"/>
        <w:rPr>
          <w:rFonts w:ascii="Arial" w:hAnsi="Arial" w:cs="Arial"/>
          <w:noProof/>
          <w:kern w:val="2"/>
          <w:sz w:val="20"/>
          <w:szCs w:val="20"/>
          <w14:ligatures w14:val="standardContextual"/>
        </w:rPr>
      </w:pPr>
      <w:hyperlink w:anchor="_Toc225877858" w:history="1">
        <w:r w:rsidRPr="000E4A30">
          <w:rPr>
            <w:rStyle w:val="Hyperlink"/>
            <w:rFonts w:ascii="Arial" w:hAnsi="Arial" w:cs="Arial"/>
            <w:noProof/>
            <w:sz w:val="20"/>
            <w:szCs w:val="20"/>
          </w:rPr>
          <w:t>Gastroenterology Measure Specifications</w:t>
        </w:r>
        <w:r w:rsidRPr="000E4A30">
          <w:rPr>
            <w:rFonts w:ascii="Arial" w:hAnsi="Arial" w:cs="Arial"/>
            <w:noProof/>
            <w:webHidden/>
            <w:sz w:val="20"/>
            <w:szCs w:val="20"/>
          </w:rPr>
          <w:tab/>
        </w:r>
        <w:r w:rsidRPr="000E4A30">
          <w:rPr>
            <w:rFonts w:ascii="Arial" w:hAnsi="Arial" w:cs="Arial"/>
            <w:noProof/>
            <w:webHidden/>
            <w:sz w:val="20"/>
            <w:szCs w:val="20"/>
          </w:rPr>
          <w:fldChar w:fldCharType="begin"/>
        </w:r>
        <w:r w:rsidRPr="000E4A30">
          <w:rPr>
            <w:rFonts w:ascii="Arial" w:hAnsi="Arial" w:cs="Arial"/>
            <w:noProof/>
            <w:webHidden/>
            <w:sz w:val="20"/>
            <w:szCs w:val="20"/>
          </w:rPr>
          <w:instrText xml:space="preserve"> PAGEREF _Toc225877858 \h </w:instrText>
        </w:r>
        <w:r w:rsidRPr="000E4A30">
          <w:rPr>
            <w:rFonts w:ascii="Arial" w:hAnsi="Arial" w:cs="Arial"/>
            <w:noProof/>
            <w:webHidden/>
            <w:sz w:val="20"/>
            <w:szCs w:val="20"/>
          </w:rPr>
        </w:r>
        <w:r w:rsidRPr="000E4A30">
          <w:rPr>
            <w:rFonts w:ascii="Arial" w:hAnsi="Arial" w:cs="Arial"/>
            <w:noProof/>
            <w:webHidden/>
            <w:sz w:val="20"/>
            <w:szCs w:val="20"/>
          </w:rPr>
          <w:fldChar w:fldCharType="separate"/>
        </w:r>
        <w:r w:rsidR="002C0DFB">
          <w:rPr>
            <w:rFonts w:ascii="Arial" w:hAnsi="Arial" w:cs="Arial"/>
            <w:noProof/>
            <w:webHidden/>
            <w:sz w:val="20"/>
            <w:szCs w:val="20"/>
          </w:rPr>
          <w:t>322</w:t>
        </w:r>
        <w:r w:rsidRPr="000E4A30">
          <w:rPr>
            <w:rFonts w:ascii="Arial" w:hAnsi="Arial" w:cs="Arial"/>
            <w:noProof/>
            <w:webHidden/>
            <w:sz w:val="20"/>
            <w:szCs w:val="20"/>
          </w:rPr>
          <w:fldChar w:fldCharType="end"/>
        </w:r>
      </w:hyperlink>
    </w:p>
    <w:p w14:paraId="7FF05B2F" w14:textId="2C0346F5" w:rsidR="003C1BA0" w:rsidRPr="000E4A30" w:rsidRDefault="003C1BA0">
      <w:pPr>
        <w:pStyle w:val="TOC5"/>
        <w:rPr>
          <w:rFonts w:ascii="Arial" w:hAnsi="Arial" w:cs="Arial"/>
          <w:noProof/>
          <w:kern w:val="2"/>
          <w:sz w:val="20"/>
          <w:szCs w:val="20"/>
          <w14:ligatures w14:val="standardContextual"/>
        </w:rPr>
      </w:pPr>
      <w:hyperlink w:anchor="_Toc225877859" w:history="1">
        <w:r w:rsidRPr="000E4A30">
          <w:rPr>
            <w:rStyle w:val="Hyperlink"/>
            <w:rFonts w:ascii="Arial" w:hAnsi="Arial" w:cs="Arial"/>
            <w:noProof/>
            <w:sz w:val="20"/>
            <w:szCs w:val="20"/>
          </w:rPr>
          <w:t>General Surgery Measure Specifications</w:t>
        </w:r>
        <w:r w:rsidRPr="000E4A30">
          <w:rPr>
            <w:rFonts w:ascii="Arial" w:hAnsi="Arial" w:cs="Arial"/>
            <w:noProof/>
            <w:webHidden/>
            <w:sz w:val="20"/>
            <w:szCs w:val="20"/>
          </w:rPr>
          <w:tab/>
        </w:r>
        <w:r w:rsidRPr="000E4A30">
          <w:rPr>
            <w:rFonts w:ascii="Arial" w:hAnsi="Arial" w:cs="Arial"/>
            <w:noProof/>
            <w:webHidden/>
            <w:sz w:val="20"/>
            <w:szCs w:val="20"/>
          </w:rPr>
          <w:fldChar w:fldCharType="begin"/>
        </w:r>
        <w:r w:rsidRPr="000E4A30">
          <w:rPr>
            <w:rFonts w:ascii="Arial" w:hAnsi="Arial" w:cs="Arial"/>
            <w:noProof/>
            <w:webHidden/>
            <w:sz w:val="20"/>
            <w:szCs w:val="20"/>
          </w:rPr>
          <w:instrText xml:space="preserve"> PAGEREF _Toc225877859 \h </w:instrText>
        </w:r>
        <w:r w:rsidRPr="000E4A30">
          <w:rPr>
            <w:rFonts w:ascii="Arial" w:hAnsi="Arial" w:cs="Arial"/>
            <w:noProof/>
            <w:webHidden/>
            <w:sz w:val="20"/>
            <w:szCs w:val="20"/>
          </w:rPr>
        </w:r>
        <w:r w:rsidRPr="000E4A30">
          <w:rPr>
            <w:rFonts w:ascii="Arial" w:hAnsi="Arial" w:cs="Arial"/>
            <w:noProof/>
            <w:webHidden/>
            <w:sz w:val="20"/>
            <w:szCs w:val="20"/>
          </w:rPr>
          <w:fldChar w:fldCharType="separate"/>
        </w:r>
        <w:r w:rsidR="002C0DFB">
          <w:rPr>
            <w:rFonts w:ascii="Arial" w:hAnsi="Arial" w:cs="Arial"/>
            <w:noProof/>
            <w:webHidden/>
            <w:sz w:val="20"/>
            <w:szCs w:val="20"/>
          </w:rPr>
          <w:t>322</w:t>
        </w:r>
        <w:r w:rsidRPr="000E4A30">
          <w:rPr>
            <w:rFonts w:ascii="Arial" w:hAnsi="Arial" w:cs="Arial"/>
            <w:noProof/>
            <w:webHidden/>
            <w:sz w:val="20"/>
            <w:szCs w:val="20"/>
          </w:rPr>
          <w:fldChar w:fldCharType="end"/>
        </w:r>
      </w:hyperlink>
    </w:p>
    <w:p w14:paraId="42E70AEB" w14:textId="02E134FA" w:rsidR="003C1BA0" w:rsidRPr="000E4A30" w:rsidRDefault="003C1BA0">
      <w:pPr>
        <w:pStyle w:val="TOC5"/>
        <w:rPr>
          <w:rFonts w:ascii="Arial" w:hAnsi="Arial" w:cs="Arial"/>
          <w:noProof/>
          <w:kern w:val="2"/>
          <w:sz w:val="20"/>
          <w:szCs w:val="20"/>
          <w14:ligatures w14:val="standardContextual"/>
        </w:rPr>
      </w:pPr>
      <w:hyperlink w:anchor="_Toc225877860" w:history="1">
        <w:r w:rsidRPr="000E4A30">
          <w:rPr>
            <w:rStyle w:val="Hyperlink"/>
            <w:rFonts w:ascii="Arial" w:hAnsi="Arial" w:cs="Arial"/>
            <w:noProof/>
            <w:sz w:val="20"/>
            <w:szCs w:val="20"/>
          </w:rPr>
          <w:t>Urology Measure Specifications</w:t>
        </w:r>
        <w:r w:rsidRPr="000E4A30">
          <w:rPr>
            <w:rFonts w:ascii="Arial" w:hAnsi="Arial" w:cs="Arial"/>
            <w:noProof/>
            <w:webHidden/>
            <w:sz w:val="20"/>
            <w:szCs w:val="20"/>
          </w:rPr>
          <w:tab/>
        </w:r>
        <w:r w:rsidRPr="000E4A30">
          <w:rPr>
            <w:rFonts w:ascii="Arial" w:hAnsi="Arial" w:cs="Arial"/>
            <w:noProof/>
            <w:webHidden/>
            <w:sz w:val="20"/>
            <w:szCs w:val="20"/>
          </w:rPr>
          <w:fldChar w:fldCharType="begin"/>
        </w:r>
        <w:r w:rsidRPr="000E4A30">
          <w:rPr>
            <w:rFonts w:ascii="Arial" w:hAnsi="Arial" w:cs="Arial"/>
            <w:noProof/>
            <w:webHidden/>
            <w:sz w:val="20"/>
            <w:szCs w:val="20"/>
          </w:rPr>
          <w:instrText xml:space="preserve"> PAGEREF _Toc225877860 \h </w:instrText>
        </w:r>
        <w:r w:rsidRPr="000E4A30">
          <w:rPr>
            <w:rFonts w:ascii="Arial" w:hAnsi="Arial" w:cs="Arial"/>
            <w:noProof/>
            <w:webHidden/>
            <w:sz w:val="20"/>
            <w:szCs w:val="20"/>
          </w:rPr>
        </w:r>
        <w:r w:rsidRPr="000E4A30">
          <w:rPr>
            <w:rFonts w:ascii="Arial" w:hAnsi="Arial" w:cs="Arial"/>
            <w:noProof/>
            <w:webHidden/>
            <w:sz w:val="20"/>
            <w:szCs w:val="20"/>
          </w:rPr>
          <w:fldChar w:fldCharType="separate"/>
        </w:r>
        <w:r w:rsidR="002C0DFB">
          <w:rPr>
            <w:rFonts w:ascii="Arial" w:hAnsi="Arial" w:cs="Arial"/>
            <w:noProof/>
            <w:webHidden/>
            <w:sz w:val="20"/>
            <w:szCs w:val="20"/>
          </w:rPr>
          <w:t>322</w:t>
        </w:r>
        <w:r w:rsidRPr="000E4A30">
          <w:rPr>
            <w:rFonts w:ascii="Arial" w:hAnsi="Arial" w:cs="Arial"/>
            <w:noProof/>
            <w:webHidden/>
            <w:sz w:val="20"/>
            <w:szCs w:val="20"/>
          </w:rPr>
          <w:fldChar w:fldCharType="end"/>
        </w:r>
      </w:hyperlink>
    </w:p>
    <w:p w14:paraId="349AA221" w14:textId="2F59C7E1" w:rsidR="003C1BA0" w:rsidRPr="000E4A30" w:rsidRDefault="003C1BA0">
      <w:pPr>
        <w:pStyle w:val="TOC5"/>
        <w:rPr>
          <w:rFonts w:ascii="Arial" w:hAnsi="Arial" w:cs="Arial"/>
          <w:noProof/>
          <w:kern w:val="2"/>
          <w:sz w:val="20"/>
          <w:szCs w:val="20"/>
          <w14:ligatures w14:val="standardContextual"/>
        </w:rPr>
      </w:pPr>
      <w:hyperlink w:anchor="_Toc225877861" w:history="1">
        <w:r w:rsidRPr="000E4A30">
          <w:rPr>
            <w:rStyle w:val="Hyperlink"/>
            <w:rFonts w:ascii="Arial" w:hAnsi="Arial" w:cs="Arial"/>
            <w:noProof/>
            <w:sz w:val="20"/>
            <w:szCs w:val="20"/>
          </w:rPr>
          <w:t>Neurological Surgery Measure Specifications</w:t>
        </w:r>
        <w:r w:rsidRPr="000E4A30">
          <w:rPr>
            <w:rFonts w:ascii="Arial" w:hAnsi="Arial" w:cs="Arial"/>
            <w:noProof/>
            <w:webHidden/>
            <w:sz w:val="20"/>
            <w:szCs w:val="20"/>
          </w:rPr>
          <w:tab/>
        </w:r>
        <w:r w:rsidRPr="000E4A30">
          <w:rPr>
            <w:rFonts w:ascii="Arial" w:hAnsi="Arial" w:cs="Arial"/>
            <w:noProof/>
            <w:webHidden/>
            <w:sz w:val="20"/>
            <w:szCs w:val="20"/>
          </w:rPr>
          <w:fldChar w:fldCharType="begin"/>
        </w:r>
        <w:r w:rsidRPr="000E4A30">
          <w:rPr>
            <w:rFonts w:ascii="Arial" w:hAnsi="Arial" w:cs="Arial"/>
            <w:noProof/>
            <w:webHidden/>
            <w:sz w:val="20"/>
            <w:szCs w:val="20"/>
          </w:rPr>
          <w:instrText xml:space="preserve"> PAGEREF _Toc225877861 \h </w:instrText>
        </w:r>
        <w:r w:rsidRPr="000E4A30">
          <w:rPr>
            <w:rFonts w:ascii="Arial" w:hAnsi="Arial" w:cs="Arial"/>
            <w:noProof/>
            <w:webHidden/>
            <w:sz w:val="20"/>
            <w:szCs w:val="20"/>
          </w:rPr>
        </w:r>
        <w:r w:rsidRPr="000E4A30">
          <w:rPr>
            <w:rFonts w:ascii="Arial" w:hAnsi="Arial" w:cs="Arial"/>
            <w:noProof/>
            <w:webHidden/>
            <w:sz w:val="20"/>
            <w:szCs w:val="20"/>
          </w:rPr>
          <w:fldChar w:fldCharType="separate"/>
        </w:r>
        <w:r w:rsidR="002C0DFB">
          <w:rPr>
            <w:rFonts w:ascii="Arial" w:hAnsi="Arial" w:cs="Arial"/>
            <w:noProof/>
            <w:webHidden/>
            <w:sz w:val="20"/>
            <w:szCs w:val="20"/>
          </w:rPr>
          <w:t>323</w:t>
        </w:r>
        <w:r w:rsidRPr="000E4A30">
          <w:rPr>
            <w:rFonts w:ascii="Arial" w:hAnsi="Arial" w:cs="Arial"/>
            <w:noProof/>
            <w:webHidden/>
            <w:sz w:val="20"/>
            <w:szCs w:val="20"/>
          </w:rPr>
          <w:fldChar w:fldCharType="end"/>
        </w:r>
      </w:hyperlink>
    </w:p>
    <w:p w14:paraId="2B4A8DC7" w14:textId="22B17774" w:rsidR="003C1BA0" w:rsidRPr="000E4A30" w:rsidRDefault="003C1BA0">
      <w:pPr>
        <w:pStyle w:val="TOC5"/>
        <w:rPr>
          <w:rFonts w:ascii="Arial" w:hAnsi="Arial" w:cs="Arial"/>
          <w:noProof/>
          <w:kern w:val="2"/>
          <w:sz w:val="20"/>
          <w:szCs w:val="20"/>
          <w14:ligatures w14:val="standardContextual"/>
        </w:rPr>
      </w:pPr>
      <w:hyperlink w:anchor="_Toc225877862" w:history="1">
        <w:r w:rsidRPr="000E4A30">
          <w:rPr>
            <w:rStyle w:val="Hyperlink"/>
            <w:rFonts w:ascii="Arial" w:hAnsi="Arial" w:cs="Arial"/>
            <w:noProof/>
            <w:sz w:val="20"/>
            <w:szCs w:val="20"/>
          </w:rPr>
          <w:t>Obstetrics and Gynecology Measure Specifications</w:t>
        </w:r>
        <w:r w:rsidRPr="000E4A30">
          <w:rPr>
            <w:rFonts w:ascii="Arial" w:hAnsi="Arial" w:cs="Arial"/>
            <w:noProof/>
            <w:webHidden/>
            <w:sz w:val="20"/>
            <w:szCs w:val="20"/>
          </w:rPr>
          <w:tab/>
        </w:r>
        <w:r w:rsidRPr="000E4A30">
          <w:rPr>
            <w:rFonts w:ascii="Arial" w:hAnsi="Arial" w:cs="Arial"/>
            <w:noProof/>
            <w:webHidden/>
            <w:sz w:val="20"/>
            <w:szCs w:val="20"/>
          </w:rPr>
          <w:fldChar w:fldCharType="begin"/>
        </w:r>
        <w:r w:rsidRPr="000E4A30">
          <w:rPr>
            <w:rFonts w:ascii="Arial" w:hAnsi="Arial" w:cs="Arial"/>
            <w:noProof/>
            <w:webHidden/>
            <w:sz w:val="20"/>
            <w:szCs w:val="20"/>
          </w:rPr>
          <w:instrText xml:space="preserve"> PAGEREF _Toc225877862 \h </w:instrText>
        </w:r>
        <w:r w:rsidRPr="000E4A30">
          <w:rPr>
            <w:rFonts w:ascii="Arial" w:hAnsi="Arial" w:cs="Arial"/>
            <w:noProof/>
            <w:webHidden/>
            <w:sz w:val="20"/>
            <w:szCs w:val="20"/>
          </w:rPr>
        </w:r>
        <w:r w:rsidRPr="000E4A30">
          <w:rPr>
            <w:rFonts w:ascii="Arial" w:hAnsi="Arial" w:cs="Arial"/>
            <w:noProof/>
            <w:webHidden/>
            <w:sz w:val="20"/>
            <w:szCs w:val="20"/>
          </w:rPr>
          <w:fldChar w:fldCharType="separate"/>
        </w:r>
        <w:r w:rsidR="002C0DFB">
          <w:rPr>
            <w:rFonts w:ascii="Arial" w:hAnsi="Arial" w:cs="Arial"/>
            <w:noProof/>
            <w:webHidden/>
            <w:sz w:val="20"/>
            <w:szCs w:val="20"/>
          </w:rPr>
          <w:t>323</w:t>
        </w:r>
        <w:r w:rsidRPr="000E4A30">
          <w:rPr>
            <w:rFonts w:ascii="Arial" w:hAnsi="Arial" w:cs="Arial"/>
            <w:noProof/>
            <w:webHidden/>
            <w:sz w:val="20"/>
            <w:szCs w:val="20"/>
          </w:rPr>
          <w:fldChar w:fldCharType="end"/>
        </w:r>
      </w:hyperlink>
    </w:p>
    <w:p w14:paraId="662DD133" w14:textId="4221CFDA" w:rsidR="003C1BA0" w:rsidRPr="000E4A30" w:rsidRDefault="003C1BA0">
      <w:pPr>
        <w:pStyle w:val="TOC5"/>
        <w:rPr>
          <w:rFonts w:ascii="Arial" w:hAnsi="Arial" w:cs="Arial"/>
          <w:noProof/>
          <w:kern w:val="2"/>
          <w:sz w:val="20"/>
          <w:szCs w:val="20"/>
          <w14:ligatures w14:val="standardContextual"/>
        </w:rPr>
      </w:pPr>
      <w:hyperlink w:anchor="_Toc225877863" w:history="1">
        <w:r w:rsidRPr="000E4A30">
          <w:rPr>
            <w:rStyle w:val="Hyperlink"/>
            <w:rFonts w:ascii="Arial" w:hAnsi="Arial" w:cs="Arial"/>
            <w:noProof/>
            <w:sz w:val="20"/>
            <w:szCs w:val="20"/>
          </w:rPr>
          <w:t>Plastic and Reconstructive Surgery Measure Specifications</w:t>
        </w:r>
        <w:r w:rsidRPr="000E4A30">
          <w:rPr>
            <w:rFonts w:ascii="Arial" w:hAnsi="Arial" w:cs="Arial"/>
            <w:noProof/>
            <w:webHidden/>
            <w:sz w:val="20"/>
            <w:szCs w:val="20"/>
          </w:rPr>
          <w:tab/>
        </w:r>
        <w:r w:rsidRPr="000E4A30">
          <w:rPr>
            <w:rFonts w:ascii="Arial" w:hAnsi="Arial" w:cs="Arial"/>
            <w:noProof/>
            <w:webHidden/>
            <w:sz w:val="20"/>
            <w:szCs w:val="20"/>
          </w:rPr>
          <w:fldChar w:fldCharType="begin"/>
        </w:r>
        <w:r w:rsidRPr="000E4A30">
          <w:rPr>
            <w:rFonts w:ascii="Arial" w:hAnsi="Arial" w:cs="Arial"/>
            <w:noProof/>
            <w:webHidden/>
            <w:sz w:val="20"/>
            <w:szCs w:val="20"/>
          </w:rPr>
          <w:instrText xml:space="preserve"> PAGEREF _Toc225877863 \h </w:instrText>
        </w:r>
        <w:r w:rsidRPr="000E4A30">
          <w:rPr>
            <w:rFonts w:ascii="Arial" w:hAnsi="Arial" w:cs="Arial"/>
            <w:noProof/>
            <w:webHidden/>
            <w:sz w:val="20"/>
            <w:szCs w:val="20"/>
          </w:rPr>
        </w:r>
        <w:r w:rsidRPr="000E4A30">
          <w:rPr>
            <w:rFonts w:ascii="Arial" w:hAnsi="Arial" w:cs="Arial"/>
            <w:noProof/>
            <w:webHidden/>
            <w:sz w:val="20"/>
            <w:szCs w:val="20"/>
          </w:rPr>
          <w:fldChar w:fldCharType="separate"/>
        </w:r>
        <w:r w:rsidR="002C0DFB">
          <w:rPr>
            <w:rFonts w:ascii="Arial" w:hAnsi="Arial" w:cs="Arial"/>
            <w:noProof/>
            <w:webHidden/>
            <w:sz w:val="20"/>
            <w:szCs w:val="20"/>
          </w:rPr>
          <w:t>323</w:t>
        </w:r>
        <w:r w:rsidRPr="000E4A30">
          <w:rPr>
            <w:rFonts w:ascii="Arial" w:hAnsi="Arial" w:cs="Arial"/>
            <w:noProof/>
            <w:webHidden/>
            <w:sz w:val="20"/>
            <w:szCs w:val="20"/>
          </w:rPr>
          <w:fldChar w:fldCharType="end"/>
        </w:r>
      </w:hyperlink>
    </w:p>
    <w:p w14:paraId="06BF7D6E" w14:textId="6AA79BB8" w:rsidR="003C1BA0" w:rsidRPr="000E4A30" w:rsidRDefault="003C1BA0">
      <w:pPr>
        <w:pStyle w:val="TOC4"/>
        <w:rPr>
          <w:rFonts w:eastAsiaTheme="minorEastAsia" w:cs="Arial"/>
          <w:noProof/>
          <w:kern w:val="2"/>
          <w14:ligatures w14:val="standardContextual"/>
        </w:rPr>
      </w:pPr>
      <w:hyperlink w:anchor="_Toc225877864" w:history="1">
        <w:r w:rsidRPr="000E4A30">
          <w:rPr>
            <w:rStyle w:val="Hyperlink"/>
            <w:rFonts w:cs="Arial"/>
            <w:noProof/>
          </w:rPr>
          <w:t>Section 9C: Volume of Procedures Frequently Asked Questions (FAQs)</w:t>
        </w:r>
        <w:r w:rsidRPr="000E4A30">
          <w:rPr>
            <w:rFonts w:cs="Arial"/>
            <w:noProof/>
            <w:webHidden/>
          </w:rPr>
          <w:tab/>
        </w:r>
        <w:r w:rsidRPr="000E4A30">
          <w:rPr>
            <w:rFonts w:cs="Arial"/>
            <w:noProof/>
            <w:webHidden/>
          </w:rPr>
          <w:fldChar w:fldCharType="begin"/>
        </w:r>
        <w:r w:rsidRPr="000E4A30">
          <w:rPr>
            <w:rFonts w:cs="Arial"/>
            <w:noProof/>
            <w:webHidden/>
          </w:rPr>
          <w:instrText xml:space="preserve"> PAGEREF _Toc225877864 \h </w:instrText>
        </w:r>
        <w:r w:rsidRPr="000E4A30">
          <w:rPr>
            <w:rFonts w:cs="Arial"/>
            <w:noProof/>
            <w:webHidden/>
          </w:rPr>
        </w:r>
        <w:r w:rsidRPr="000E4A30">
          <w:rPr>
            <w:rFonts w:cs="Arial"/>
            <w:noProof/>
            <w:webHidden/>
          </w:rPr>
          <w:fldChar w:fldCharType="separate"/>
        </w:r>
        <w:r w:rsidR="002C0DFB">
          <w:rPr>
            <w:rFonts w:cs="Arial"/>
            <w:noProof/>
            <w:webHidden/>
          </w:rPr>
          <w:t>324</w:t>
        </w:r>
        <w:r w:rsidRPr="000E4A30">
          <w:rPr>
            <w:rFonts w:cs="Arial"/>
            <w:noProof/>
            <w:webHidden/>
          </w:rPr>
          <w:fldChar w:fldCharType="end"/>
        </w:r>
      </w:hyperlink>
    </w:p>
    <w:p w14:paraId="7B3B87A6" w14:textId="30EE4693" w:rsidR="003C1BA0" w:rsidRPr="000E4A30" w:rsidRDefault="003C1BA0">
      <w:pPr>
        <w:pStyle w:val="TOC4"/>
        <w:rPr>
          <w:rFonts w:eastAsiaTheme="minorEastAsia" w:cs="Arial"/>
          <w:noProof/>
          <w:kern w:val="2"/>
          <w14:ligatures w14:val="standardContextual"/>
        </w:rPr>
      </w:pPr>
      <w:hyperlink w:anchor="_Toc225877865" w:history="1">
        <w:r w:rsidRPr="000E4A30">
          <w:rPr>
            <w:rStyle w:val="Hyperlink"/>
            <w:rFonts w:cs="Arial"/>
            <w:noProof/>
          </w:rPr>
          <w:t>Safety of Procedures Measure Specifications</w:t>
        </w:r>
        <w:r w:rsidRPr="000E4A30">
          <w:rPr>
            <w:rFonts w:cs="Arial"/>
            <w:noProof/>
            <w:webHidden/>
          </w:rPr>
          <w:tab/>
        </w:r>
        <w:r w:rsidRPr="000E4A30">
          <w:rPr>
            <w:rFonts w:cs="Arial"/>
            <w:noProof/>
            <w:webHidden/>
          </w:rPr>
          <w:fldChar w:fldCharType="begin"/>
        </w:r>
        <w:r w:rsidRPr="000E4A30">
          <w:rPr>
            <w:rFonts w:cs="Arial"/>
            <w:noProof/>
            <w:webHidden/>
          </w:rPr>
          <w:instrText xml:space="preserve"> PAGEREF _Toc225877865 \h </w:instrText>
        </w:r>
        <w:r w:rsidRPr="000E4A30">
          <w:rPr>
            <w:rFonts w:cs="Arial"/>
            <w:noProof/>
            <w:webHidden/>
          </w:rPr>
        </w:r>
        <w:r w:rsidRPr="000E4A30">
          <w:rPr>
            <w:rFonts w:cs="Arial"/>
            <w:noProof/>
            <w:webHidden/>
          </w:rPr>
          <w:fldChar w:fldCharType="separate"/>
        </w:r>
        <w:r w:rsidR="002C0DFB">
          <w:rPr>
            <w:rFonts w:cs="Arial"/>
            <w:noProof/>
            <w:webHidden/>
          </w:rPr>
          <w:t>325</w:t>
        </w:r>
        <w:r w:rsidRPr="000E4A30">
          <w:rPr>
            <w:rFonts w:cs="Arial"/>
            <w:noProof/>
            <w:webHidden/>
          </w:rPr>
          <w:fldChar w:fldCharType="end"/>
        </w:r>
      </w:hyperlink>
    </w:p>
    <w:p w14:paraId="35CFEF54" w14:textId="71BAAC61" w:rsidR="003C1BA0" w:rsidRPr="000E4A30" w:rsidRDefault="003C1BA0">
      <w:pPr>
        <w:pStyle w:val="TOC5"/>
        <w:rPr>
          <w:rFonts w:ascii="Arial" w:hAnsi="Arial" w:cs="Arial"/>
          <w:noProof/>
          <w:kern w:val="2"/>
          <w:sz w:val="20"/>
          <w:szCs w:val="20"/>
          <w14:ligatures w14:val="standardContextual"/>
        </w:rPr>
      </w:pPr>
      <w:hyperlink w:anchor="_Toc225877866" w:history="1">
        <w:r w:rsidRPr="000E4A30">
          <w:rPr>
            <w:rStyle w:val="Hyperlink"/>
            <w:rFonts w:ascii="Arial" w:hAnsi="Arial" w:cs="Arial"/>
            <w:noProof/>
            <w:sz w:val="20"/>
            <w:szCs w:val="20"/>
          </w:rPr>
          <w:t>Safe Surgery Checklist for Adult and Pediatric Outpatient Procedures</w:t>
        </w:r>
        <w:r w:rsidRPr="000E4A30">
          <w:rPr>
            <w:rFonts w:ascii="Arial" w:hAnsi="Arial" w:cs="Arial"/>
            <w:noProof/>
            <w:webHidden/>
            <w:sz w:val="20"/>
            <w:szCs w:val="20"/>
          </w:rPr>
          <w:tab/>
        </w:r>
        <w:r w:rsidRPr="000E4A30">
          <w:rPr>
            <w:rFonts w:ascii="Arial" w:hAnsi="Arial" w:cs="Arial"/>
            <w:noProof/>
            <w:webHidden/>
            <w:sz w:val="20"/>
            <w:szCs w:val="20"/>
          </w:rPr>
          <w:fldChar w:fldCharType="begin"/>
        </w:r>
        <w:r w:rsidRPr="000E4A30">
          <w:rPr>
            <w:rFonts w:ascii="Arial" w:hAnsi="Arial" w:cs="Arial"/>
            <w:noProof/>
            <w:webHidden/>
            <w:sz w:val="20"/>
            <w:szCs w:val="20"/>
          </w:rPr>
          <w:instrText xml:space="preserve"> PAGEREF _Toc225877866 \h </w:instrText>
        </w:r>
        <w:r w:rsidRPr="000E4A30">
          <w:rPr>
            <w:rFonts w:ascii="Arial" w:hAnsi="Arial" w:cs="Arial"/>
            <w:noProof/>
            <w:webHidden/>
            <w:sz w:val="20"/>
            <w:szCs w:val="20"/>
          </w:rPr>
        </w:r>
        <w:r w:rsidRPr="000E4A30">
          <w:rPr>
            <w:rFonts w:ascii="Arial" w:hAnsi="Arial" w:cs="Arial"/>
            <w:noProof/>
            <w:webHidden/>
            <w:sz w:val="20"/>
            <w:szCs w:val="20"/>
          </w:rPr>
          <w:fldChar w:fldCharType="separate"/>
        </w:r>
        <w:r w:rsidR="002C0DFB">
          <w:rPr>
            <w:rFonts w:ascii="Arial" w:hAnsi="Arial" w:cs="Arial"/>
            <w:noProof/>
            <w:webHidden/>
            <w:sz w:val="20"/>
            <w:szCs w:val="20"/>
          </w:rPr>
          <w:t>325</w:t>
        </w:r>
        <w:r w:rsidRPr="000E4A30">
          <w:rPr>
            <w:rFonts w:ascii="Arial" w:hAnsi="Arial" w:cs="Arial"/>
            <w:noProof/>
            <w:webHidden/>
            <w:sz w:val="20"/>
            <w:szCs w:val="20"/>
          </w:rPr>
          <w:fldChar w:fldCharType="end"/>
        </w:r>
      </w:hyperlink>
    </w:p>
    <w:p w14:paraId="051D4575" w14:textId="66B7F223" w:rsidR="003C1BA0" w:rsidRPr="000E4A30" w:rsidRDefault="003C1BA0">
      <w:pPr>
        <w:pStyle w:val="TOC4"/>
        <w:rPr>
          <w:rFonts w:eastAsiaTheme="minorEastAsia" w:cs="Arial"/>
          <w:noProof/>
          <w:kern w:val="2"/>
          <w14:ligatures w14:val="standardContextual"/>
        </w:rPr>
      </w:pPr>
      <w:hyperlink w:anchor="_Toc225877867" w:history="1">
        <w:r w:rsidRPr="000E4A30">
          <w:rPr>
            <w:rStyle w:val="Hyperlink"/>
            <w:rFonts w:cs="Arial"/>
            <w:noProof/>
          </w:rPr>
          <w:t>Section 9D: Safety of Procedures Frequently Asked Questions (FAQs)</w:t>
        </w:r>
        <w:r w:rsidRPr="000E4A30">
          <w:rPr>
            <w:rFonts w:cs="Arial"/>
            <w:noProof/>
            <w:webHidden/>
          </w:rPr>
          <w:tab/>
        </w:r>
        <w:r w:rsidRPr="000E4A30">
          <w:rPr>
            <w:rFonts w:cs="Arial"/>
            <w:noProof/>
            <w:webHidden/>
          </w:rPr>
          <w:fldChar w:fldCharType="begin"/>
        </w:r>
        <w:r w:rsidRPr="000E4A30">
          <w:rPr>
            <w:rFonts w:cs="Arial"/>
            <w:noProof/>
            <w:webHidden/>
          </w:rPr>
          <w:instrText xml:space="preserve"> PAGEREF _Toc225877867 \h </w:instrText>
        </w:r>
        <w:r w:rsidRPr="000E4A30">
          <w:rPr>
            <w:rFonts w:cs="Arial"/>
            <w:noProof/>
            <w:webHidden/>
          </w:rPr>
        </w:r>
        <w:r w:rsidRPr="000E4A30">
          <w:rPr>
            <w:rFonts w:cs="Arial"/>
            <w:noProof/>
            <w:webHidden/>
          </w:rPr>
          <w:fldChar w:fldCharType="separate"/>
        </w:r>
        <w:r w:rsidR="002C0DFB">
          <w:rPr>
            <w:rFonts w:cs="Arial"/>
            <w:noProof/>
            <w:webHidden/>
          </w:rPr>
          <w:t>328</w:t>
        </w:r>
        <w:r w:rsidRPr="000E4A30">
          <w:rPr>
            <w:rFonts w:cs="Arial"/>
            <w:noProof/>
            <w:webHidden/>
          </w:rPr>
          <w:fldChar w:fldCharType="end"/>
        </w:r>
      </w:hyperlink>
    </w:p>
    <w:p w14:paraId="4EFE481C" w14:textId="691D462E" w:rsidR="003C1BA0" w:rsidRPr="000E4A30" w:rsidRDefault="003C1BA0">
      <w:pPr>
        <w:pStyle w:val="TOC5"/>
        <w:rPr>
          <w:rFonts w:ascii="Arial" w:hAnsi="Arial" w:cs="Arial"/>
          <w:noProof/>
          <w:kern w:val="2"/>
          <w:sz w:val="20"/>
          <w:szCs w:val="20"/>
          <w14:ligatures w14:val="standardContextual"/>
        </w:rPr>
      </w:pPr>
      <w:hyperlink w:anchor="_Toc225877868" w:history="1">
        <w:r w:rsidRPr="000E4A30">
          <w:rPr>
            <w:rStyle w:val="Hyperlink"/>
            <w:rFonts w:ascii="Arial" w:hAnsi="Arial" w:cs="Arial"/>
            <w:noProof/>
            <w:sz w:val="20"/>
            <w:szCs w:val="20"/>
          </w:rPr>
          <w:t>General Questions</w:t>
        </w:r>
        <w:r w:rsidRPr="000E4A30">
          <w:rPr>
            <w:rFonts w:ascii="Arial" w:hAnsi="Arial" w:cs="Arial"/>
            <w:noProof/>
            <w:webHidden/>
            <w:sz w:val="20"/>
            <w:szCs w:val="20"/>
          </w:rPr>
          <w:tab/>
        </w:r>
        <w:r w:rsidRPr="000E4A30">
          <w:rPr>
            <w:rFonts w:ascii="Arial" w:hAnsi="Arial" w:cs="Arial"/>
            <w:noProof/>
            <w:webHidden/>
            <w:sz w:val="20"/>
            <w:szCs w:val="20"/>
          </w:rPr>
          <w:fldChar w:fldCharType="begin"/>
        </w:r>
        <w:r w:rsidRPr="000E4A30">
          <w:rPr>
            <w:rFonts w:ascii="Arial" w:hAnsi="Arial" w:cs="Arial"/>
            <w:noProof/>
            <w:webHidden/>
            <w:sz w:val="20"/>
            <w:szCs w:val="20"/>
          </w:rPr>
          <w:instrText xml:space="preserve"> PAGEREF _Toc225877868 \h </w:instrText>
        </w:r>
        <w:r w:rsidRPr="000E4A30">
          <w:rPr>
            <w:rFonts w:ascii="Arial" w:hAnsi="Arial" w:cs="Arial"/>
            <w:noProof/>
            <w:webHidden/>
            <w:sz w:val="20"/>
            <w:szCs w:val="20"/>
          </w:rPr>
        </w:r>
        <w:r w:rsidRPr="000E4A30">
          <w:rPr>
            <w:rFonts w:ascii="Arial" w:hAnsi="Arial" w:cs="Arial"/>
            <w:noProof/>
            <w:webHidden/>
            <w:sz w:val="20"/>
            <w:szCs w:val="20"/>
          </w:rPr>
          <w:fldChar w:fldCharType="separate"/>
        </w:r>
        <w:r w:rsidR="002C0DFB">
          <w:rPr>
            <w:rFonts w:ascii="Arial" w:hAnsi="Arial" w:cs="Arial"/>
            <w:noProof/>
            <w:webHidden/>
            <w:sz w:val="20"/>
            <w:szCs w:val="20"/>
          </w:rPr>
          <w:t>328</w:t>
        </w:r>
        <w:r w:rsidRPr="000E4A30">
          <w:rPr>
            <w:rFonts w:ascii="Arial" w:hAnsi="Arial" w:cs="Arial"/>
            <w:noProof/>
            <w:webHidden/>
            <w:sz w:val="20"/>
            <w:szCs w:val="20"/>
          </w:rPr>
          <w:fldChar w:fldCharType="end"/>
        </w:r>
      </w:hyperlink>
    </w:p>
    <w:p w14:paraId="0C213344" w14:textId="36DF80C0" w:rsidR="003C1BA0" w:rsidRPr="000E4A30" w:rsidRDefault="003C1BA0">
      <w:pPr>
        <w:pStyle w:val="TOC5"/>
        <w:rPr>
          <w:rFonts w:ascii="Arial" w:hAnsi="Arial" w:cs="Arial"/>
          <w:noProof/>
          <w:kern w:val="2"/>
          <w:sz w:val="20"/>
          <w:szCs w:val="20"/>
          <w14:ligatures w14:val="standardContextual"/>
        </w:rPr>
      </w:pPr>
      <w:hyperlink w:anchor="_Toc225877869" w:history="1">
        <w:r w:rsidRPr="000E4A30">
          <w:rPr>
            <w:rStyle w:val="Hyperlink"/>
            <w:rFonts w:ascii="Arial" w:hAnsi="Arial" w:cs="Arial"/>
            <w:noProof/>
            <w:sz w:val="20"/>
            <w:szCs w:val="20"/>
          </w:rPr>
          <w:t>Safe Surgery Checklist for Adult and Pediatric Outpatient Procedures FAQs</w:t>
        </w:r>
        <w:r w:rsidRPr="000E4A30">
          <w:rPr>
            <w:rFonts w:ascii="Arial" w:hAnsi="Arial" w:cs="Arial"/>
            <w:noProof/>
            <w:webHidden/>
            <w:sz w:val="20"/>
            <w:szCs w:val="20"/>
          </w:rPr>
          <w:tab/>
        </w:r>
        <w:r w:rsidRPr="000E4A30">
          <w:rPr>
            <w:rFonts w:ascii="Arial" w:hAnsi="Arial" w:cs="Arial"/>
            <w:noProof/>
            <w:webHidden/>
            <w:sz w:val="20"/>
            <w:szCs w:val="20"/>
          </w:rPr>
          <w:fldChar w:fldCharType="begin"/>
        </w:r>
        <w:r w:rsidRPr="000E4A30">
          <w:rPr>
            <w:rFonts w:ascii="Arial" w:hAnsi="Arial" w:cs="Arial"/>
            <w:noProof/>
            <w:webHidden/>
            <w:sz w:val="20"/>
            <w:szCs w:val="20"/>
          </w:rPr>
          <w:instrText xml:space="preserve"> PAGEREF _Toc225877869 \h </w:instrText>
        </w:r>
        <w:r w:rsidRPr="000E4A30">
          <w:rPr>
            <w:rFonts w:ascii="Arial" w:hAnsi="Arial" w:cs="Arial"/>
            <w:noProof/>
            <w:webHidden/>
            <w:sz w:val="20"/>
            <w:szCs w:val="20"/>
          </w:rPr>
        </w:r>
        <w:r w:rsidRPr="000E4A30">
          <w:rPr>
            <w:rFonts w:ascii="Arial" w:hAnsi="Arial" w:cs="Arial"/>
            <w:noProof/>
            <w:webHidden/>
            <w:sz w:val="20"/>
            <w:szCs w:val="20"/>
          </w:rPr>
          <w:fldChar w:fldCharType="separate"/>
        </w:r>
        <w:r w:rsidR="002C0DFB">
          <w:rPr>
            <w:rFonts w:ascii="Arial" w:hAnsi="Arial" w:cs="Arial"/>
            <w:noProof/>
            <w:webHidden/>
            <w:sz w:val="20"/>
            <w:szCs w:val="20"/>
          </w:rPr>
          <w:t>328</w:t>
        </w:r>
        <w:r w:rsidRPr="000E4A30">
          <w:rPr>
            <w:rFonts w:ascii="Arial" w:hAnsi="Arial" w:cs="Arial"/>
            <w:noProof/>
            <w:webHidden/>
            <w:sz w:val="20"/>
            <w:szCs w:val="20"/>
          </w:rPr>
          <w:fldChar w:fldCharType="end"/>
        </w:r>
      </w:hyperlink>
    </w:p>
    <w:p w14:paraId="70B86A0D" w14:textId="7BAE4D82" w:rsidR="003C1BA0" w:rsidRPr="000E4A30" w:rsidRDefault="003C1BA0">
      <w:pPr>
        <w:pStyle w:val="TOC4"/>
        <w:rPr>
          <w:rFonts w:eastAsiaTheme="minorEastAsia" w:cs="Arial"/>
          <w:noProof/>
          <w:kern w:val="2"/>
          <w14:ligatures w14:val="standardContextual"/>
        </w:rPr>
      </w:pPr>
      <w:hyperlink w:anchor="_Toc225877870" w:history="1">
        <w:r w:rsidRPr="000E4A30">
          <w:rPr>
            <w:rStyle w:val="Hyperlink"/>
            <w:rFonts w:cs="Arial"/>
            <w:noProof/>
          </w:rPr>
          <w:t>Medication Safety for Outpatient Procedures Measure Specifications</w:t>
        </w:r>
        <w:r w:rsidRPr="000E4A30">
          <w:rPr>
            <w:rFonts w:cs="Arial"/>
            <w:noProof/>
            <w:webHidden/>
          </w:rPr>
          <w:tab/>
        </w:r>
        <w:r w:rsidRPr="000E4A30">
          <w:rPr>
            <w:rFonts w:cs="Arial"/>
            <w:noProof/>
            <w:webHidden/>
          </w:rPr>
          <w:fldChar w:fldCharType="begin"/>
        </w:r>
        <w:r w:rsidRPr="000E4A30">
          <w:rPr>
            <w:rFonts w:cs="Arial"/>
            <w:noProof/>
            <w:webHidden/>
          </w:rPr>
          <w:instrText xml:space="preserve"> PAGEREF _Toc225877870 \h </w:instrText>
        </w:r>
        <w:r w:rsidRPr="000E4A30">
          <w:rPr>
            <w:rFonts w:cs="Arial"/>
            <w:noProof/>
            <w:webHidden/>
          </w:rPr>
        </w:r>
        <w:r w:rsidRPr="000E4A30">
          <w:rPr>
            <w:rFonts w:cs="Arial"/>
            <w:noProof/>
            <w:webHidden/>
          </w:rPr>
          <w:fldChar w:fldCharType="separate"/>
        </w:r>
        <w:r w:rsidR="002C0DFB">
          <w:rPr>
            <w:rFonts w:cs="Arial"/>
            <w:noProof/>
            <w:webHidden/>
          </w:rPr>
          <w:t>329</w:t>
        </w:r>
        <w:r w:rsidRPr="000E4A30">
          <w:rPr>
            <w:rFonts w:cs="Arial"/>
            <w:noProof/>
            <w:webHidden/>
          </w:rPr>
          <w:fldChar w:fldCharType="end"/>
        </w:r>
      </w:hyperlink>
    </w:p>
    <w:p w14:paraId="6DC97752" w14:textId="20A1EB6C" w:rsidR="003C1BA0" w:rsidRPr="000E4A30" w:rsidRDefault="003C1BA0">
      <w:pPr>
        <w:pStyle w:val="TOC4"/>
        <w:rPr>
          <w:rFonts w:eastAsiaTheme="minorEastAsia" w:cs="Arial"/>
          <w:noProof/>
          <w:kern w:val="2"/>
          <w14:ligatures w14:val="standardContextual"/>
        </w:rPr>
      </w:pPr>
      <w:hyperlink w:anchor="_Toc225877871" w:history="1">
        <w:r w:rsidRPr="000E4A30">
          <w:rPr>
            <w:rStyle w:val="Hyperlink"/>
            <w:rFonts w:cs="Arial"/>
            <w:noProof/>
          </w:rPr>
          <w:t>Section 9E: Medication Safety for Outpatient Procedures Frequently Asked Questions (FAQs)</w:t>
        </w:r>
        <w:r w:rsidRPr="000E4A30">
          <w:rPr>
            <w:rFonts w:cs="Arial"/>
            <w:noProof/>
            <w:webHidden/>
          </w:rPr>
          <w:tab/>
        </w:r>
        <w:r w:rsidRPr="000E4A30">
          <w:rPr>
            <w:rFonts w:cs="Arial"/>
            <w:noProof/>
            <w:webHidden/>
          </w:rPr>
          <w:fldChar w:fldCharType="begin"/>
        </w:r>
        <w:r w:rsidRPr="000E4A30">
          <w:rPr>
            <w:rFonts w:cs="Arial"/>
            <w:noProof/>
            <w:webHidden/>
          </w:rPr>
          <w:instrText xml:space="preserve"> PAGEREF _Toc225877871 \h </w:instrText>
        </w:r>
        <w:r w:rsidRPr="000E4A30">
          <w:rPr>
            <w:rFonts w:cs="Arial"/>
            <w:noProof/>
            <w:webHidden/>
          </w:rPr>
        </w:r>
        <w:r w:rsidRPr="000E4A30">
          <w:rPr>
            <w:rFonts w:cs="Arial"/>
            <w:noProof/>
            <w:webHidden/>
          </w:rPr>
          <w:fldChar w:fldCharType="separate"/>
        </w:r>
        <w:r w:rsidR="002C0DFB">
          <w:rPr>
            <w:rFonts w:cs="Arial"/>
            <w:noProof/>
            <w:webHidden/>
          </w:rPr>
          <w:t>333</w:t>
        </w:r>
        <w:r w:rsidRPr="000E4A30">
          <w:rPr>
            <w:rFonts w:cs="Arial"/>
            <w:noProof/>
            <w:webHidden/>
          </w:rPr>
          <w:fldChar w:fldCharType="end"/>
        </w:r>
      </w:hyperlink>
    </w:p>
    <w:p w14:paraId="64F375B4" w14:textId="23921E8E" w:rsidR="003C1BA0" w:rsidRPr="000E4A30" w:rsidRDefault="003C1BA0">
      <w:pPr>
        <w:pStyle w:val="TOC4"/>
        <w:rPr>
          <w:rFonts w:eastAsiaTheme="minorEastAsia" w:cs="Arial"/>
          <w:noProof/>
          <w:kern w:val="2"/>
          <w14:ligatures w14:val="standardContextual"/>
        </w:rPr>
      </w:pPr>
      <w:hyperlink w:anchor="_Toc225877872" w:history="1">
        <w:r w:rsidRPr="000E4A30">
          <w:rPr>
            <w:rStyle w:val="Hyperlink"/>
            <w:rFonts w:cs="Arial"/>
            <w:noProof/>
          </w:rPr>
          <w:t>CMS Measures Measure Specifications</w:t>
        </w:r>
        <w:r w:rsidRPr="000E4A30">
          <w:rPr>
            <w:rFonts w:cs="Arial"/>
            <w:noProof/>
            <w:webHidden/>
          </w:rPr>
          <w:tab/>
        </w:r>
        <w:r w:rsidRPr="000E4A30">
          <w:rPr>
            <w:rFonts w:cs="Arial"/>
            <w:noProof/>
            <w:webHidden/>
          </w:rPr>
          <w:fldChar w:fldCharType="begin"/>
        </w:r>
        <w:r w:rsidRPr="000E4A30">
          <w:rPr>
            <w:rFonts w:cs="Arial"/>
            <w:noProof/>
            <w:webHidden/>
          </w:rPr>
          <w:instrText xml:space="preserve"> PAGEREF _Toc225877872 \h </w:instrText>
        </w:r>
        <w:r w:rsidRPr="000E4A30">
          <w:rPr>
            <w:rFonts w:cs="Arial"/>
            <w:noProof/>
            <w:webHidden/>
          </w:rPr>
        </w:r>
        <w:r w:rsidRPr="000E4A30">
          <w:rPr>
            <w:rFonts w:cs="Arial"/>
            <w:noProof/>
            <w:webHidden/>
          </w:rPr>
          <w:fldChar w:fldCharType="separate"/>
        </w:r>
        <w:r w:rsidR="002C0DFB">
          <w:rPr>
            <w:rFonts w:cs="Arial"/>
            <w:noProof/>
            <w:webHidden/>
          </w:rPr>
          <w:t>334</w:t>
        </w:r>
        <w:r w:rsidRPr="000E4A30">
          <w:rPr>
            <w:rFonts w:cs="Arial"/>
            <w:noProof/>
            <w:webHidden/>
          </w:rPr>
          <w:fldChar w:fldCharType="end"/>
        </w:r>
      </w:hyperlink>
    </w:p>
    <w:p w14:paraId="6AF77066" w14:textId="3320C152" w:rsidR="003C1BA0" w:rsidRPr="000E4A30" w:rsidRDefault="003C1BA0">
      <w:pPr>
        <w:pStyle w:val="TOC4"/>
        <w:rPr>
          <w:rFonts w:eastAsiaTheme="minorEastAsia" w:cs="Arial"/>
          <w:noProof/>
          <w:kern w:val="2"/>
          <w14:ligatures w14:val="standardContextual"/>
        </w:rPr>
      </w:pPr>
      <w:hyperlink w:anchor="_Toc225877873" w:history="1">
        <w:r w:rsidRPr="000E4A30">
          <w:rPr>
            <w:rStyle w:val="Hyperlink"/>
            <w:rFonts w:cs="Arial"/>
            <w:noProof/>
          </w:rPr>
          <w:t>Section 9F: CMS Measures Frequently Asked Questions (FAQs)</w:t>
        </w:r>
        <w:r w:rsidRPr="000E4A30">
          <w:rPr>
            <w:rFonts w:cs="Arial"/>
            <w:noProof/>
            <w:webHidden/>
          </w:rPr>
          <w:tab/>
        </w:r>
        <w:r w:rsidRPr="000E4A30">
          <w:rPr>
            <w:rFonts w:cs="Arial"/>
            <w:noProof/>
            <w:webHidden/>
          </w:rPr>
          <w:fldChar w:fldCharType="begin"/>
        </w:r>
        <w:r w:rsidRPr="000E4A30">
          <w:rPr>
            <w:rFonts w:cs="Arial"/>
            <w:noProof/>
            <w:webHidden/>
          </w:rPr>
          <w:instrText xml:space="preserve"> PAGEREF _Toc225877873 \h </w:instrText>
        </w:r>
        <w:r w:rsidRPr="000E4A30">
          <w:rPr>
            <w:rFonts w:cs="Arial"/>
            <w:noProof/>
            <w:webHidden/>
          </w:rPr>
        </w:r>
        <w:r w:rsidRPr="000E4A30">
          <w:rPr>
            <w:rFonts w:cs="Arial"/>
            <w:noProof/>
            <w:webHidden/>
          </w:rPr>
          <w:fldChar w:fldCharType="separate"/>
        </w:r>
        <w:r w:rsidR="002C0DFB">
          <w:rPr>
            <w:rFonts w:cs="Arial"/>
            <w:noProof/>
            <w:webHidden/>
          </w:rPr>
          <w:t>336</w:t>
        </w:r>
        <w:r w:rsidRPr="000E4A30">
          <w:rPr>
            <w:rFonts w:cs="Arial"/>
            <w:noProof/>
            <w:webHidden/>
          </w:rPr>
          <w:fldChar w:fldCharType="end"/>
        </w:r>
      </w:hyperlink>
    </w:p>
    <w:p w14:paraId="319FFC7B" w14:textId="5487EDA3" w:rsidR="003C1BA0" w:rsidRPr="000E4A30" w:rsidRDefault="003C1BA0">
      <w:pPr>
        <w:pStyle w:val="TOC1"/>
        <w:rPr>
          <w:rFonts w:eastAsiaTheme="minorEastAsia" w:cs="Arial"/>
          <w:noProof/>
          <w:kern w:val="2"/>
          <w14:ligatures w14:val="standardContextual"/>
        </w:rPr>
      </w:pPr>
      <w:hyperlink w:anchor="_Toc225877874" w:history="1">
        <w:r w:rsidRPr="000E4A30">
          <w:rPr>
            <w:rStyle w:val="Hyperlink"/>
            <w:rFonts w:cs="Arial"/>
            <w:noProof/>
          </w:rPr>
          <w:t>Endnotes</w:t>
        </w:r>
        <w:r w:rsidRPr="000E4A30">
          <w:rPr>
            <w:rFonts w:cs="Arial"/>
            <w:noProof/>
            <w:webHidden/>
          </w:rPr>
          <w:tab/>
        </w:r>
        <w:r w:rsidRPr="000E4A30">
          <w:rPr>
            <w:rFonts w:cs="Arial"/>
            <w:noProof/>
            <w:webHidden/>
          </w:rPr>
          <w:fldChar w:fldCharType="begin"/>
        </w:r>
        <w:r w:rsidRPr="000E4A30">
          <w:rPr>
            <w:rFonts w:cs="Arial"/>
            <w:noProof/>
            <w:webHidden/>
          </w:rPr>
          <w:instrText xml:space="preserve"> PAGEREF _Toc225877874 \h </w:instrText>
        </w:r>
        <w:r w:rsidRPr="000E4A30">
          <w:rPr>
            <w:rFonts w:cs="Arial"/>
            <w:noProof/>
            <w:webHidden/>
          </w:rPr>
        </w:r>
        <w:r w:rsidRPr="000E4A30">
          <w:rPr>
            <w:rFonts w:cs="Arial"/>
            <w:noProof/>
            <w:webHidden/>
          </w:rPr>
          <w:fldChar w:fldCharType="separate"/>
        </w:r>
        <w:r w:rsidR="002C0DFB">
          <w:rPr>
            <w:rFonts w:cs="Arial"/>
            <w:noProof/>
            <w:webHidden/>
          </w:rPr>
          <w:t>337</w:t>
        </w:r>
        <w:r w:rsidRPr="000E4A30">
          <w:rPr>
            <w:rFonts w:cs="Arial"/>
            <w:noProof/>
            <w:webHidden/>
          </w:rPr>
          <w:fldChar w:fldCharType="end"/>
        </w:r>
      </w:hyperlink>
    </w:p>
    <w:p w14:paraId="3FD72DDD" w14:textId="61A5C53C" w:rsidR="00B47DAD" w:rsidRPr="000E4A30" w:rsidRDefault="004656A6" w:rsidP="00CE2F4B">
      <w:pPr>
        <w:rPr>
          <w:rFonts w:cs="Arial"/>
          <w:b/>
          <w:i/>
        </w:rPr>
      </w:pPr>
      <w:r w:rsidRPr="000E4A30">
        <w:rPr>
          <w:rFonts w:cs="Arial"/>
          <w:b/>
          <w:i/>
        </w:rPr>
        <w:fldChar w:fldCharType="end"/>
      </w:r>
      <w:bookmarkEnd w:id="3"/>
    </w:p>
    <w:p w14:paraId="417C5D0C" w14:textId="77777777" w:rsidR="00414F9C" w:rsidRPr="00AF7F6F" w:rsidRDefault="00414F9C">
      <w:pPr>
        <w:rPr>
          <w:rFonts w:cs="Arial"/>
          <w:b/>
          <w:i/>
        </w:rPr>
      </w:pPr>
    </w:p>
    <w:p w14:paraId="6ABAB92E" w14:textId="77777777" w:rsidR="00417A43" w:rsidRDefault="00417A43" w:rsidP="00957D80">
      <w:pPr>
        <w:rPr>
          <w:rFonts w:cs="Arial"/>
          <w:b/>
          <w:i/>
        </w:rPr>
      </w:pPr>
    </w:p>
    <w:p w14:paraId="0E5EB223" w14:textId="77777777" w:rsidR="00417A43" w:rsidRDefault="00417A43" w:rsidP="00957D80">
      <w:pPr>
        <w:rPr>
          <w:rFonts w:cs="Arial"/>
          <w:b/>
          <w:i/>
        </w:rPr>
      </w:pPr>
    </w:p>
    <w:p w14:paraId="1D67F186" w14:textId="77777777" w:rsidR="00417A43" w:rsidRDefault="00417A43" w:rsidP="00957D80">
      <w:pPr>
        <w:rPr>
          <w:rFonts w:cs="Arial"/>
          <w:b/>
          <w:i/>
        </w:rPr>
      </w:pPr>
    </w:p>
    <w:p w14:paraId="76ECA8EC" w14:textId="77777777" w:rsidR="00417A43" w:rsidRDefault="00417A43" w:rsidP="00957D80">
      <w:pPr>
        <w:rPr>
          <w:rFonts w:cs="Arial"/>
          <w:b/>
          <w:i/>
        </w:rPr>
      </w:pPr>
    </w:p>
    <w:p w14:paraId="1A0F3270" w14:textId="77777777" w:rsidR="00417A43" w:rsidRDefault="00417A43" w:rsidP="00957D80">
      <w:pPr>
        <w:rPr>
          <w:rFonts w:cs="Arial"/>
          <w:b/>
          <w:i/>
        </w:rPr>
      </w:pPr>
    </w:p>
    <w:p w14:paraId="50B32ECF" w14:textId="6647A040" w:rsidR="00A16D8C" w:rsidRDefault="00A16D8C">
      <w:pPr>
        <w:rPr>
          <w:rFonts w:cs="Arial"/>
          <w:b/>
          <w:i/>
        </w:rPr>
      </w:pPr>
      <w:r>
        <w:rPr>
          <w:rFonts w:cs="Arial"/>
          <w:b/>
          <w:i/>
        </w:rPr>
        <w:br w:type="page"/>
      </w:r>
    </w:p>
    <w:p w14:paraId="2A78171C" w14:textId="358A45A7" w:rsidR="00417A43" w:rsidRPr="00E13CC6" w:rsidRDefault="00417A43" w:rsidP="00417A43">
      <w:pPr>
        <w:pStyle w:val="SectionHeader"/>
      </w:pPr>
      <w:bookmarkStart w:id="4" w:name="_Toc225877636"/>
      <w:r w:rsidRPr="00E13CC6">
        <w:lastRenderedPageBreak/>
        <w:t>Welcome to the 202</w:t>
      </w:r>
      <w:r w:rsidR="00FB3387">
        <w:t>6</w:t>
      </w:r>
      <w:r w:rsidRPr="00E13CC6">
        <w:t xml:space="preserve"> Leapfrog Hospital Survey</w:t>
      </w:r>
      <w:bookmarkEnd w:id="4"/>
    </w:p>
    <w:p w14:paraId="204B7C65" w14:textId="77777777" w:rsidR="002F4180" w:rsidRDefault="002F4180" w:rsidP="00417A43">
      <w:pPr>
        <w:jc w:val="center"/>
      </w:pPr>
    </w:p>
    <w:p w14:paraId="01207426" w14:textId="77777777" w:rsidR="009341CF" w:rsidRDefault="00417A43" w:rsidP="00637255">
      <w:pPr>
        <w:jc w:val="center"/>
      </w:pPr>
      <w:hyperlink r:id="rId13" w:history="1">
        <w:r w:rsidRPr="009F6C37">
          <w:rPr>
            <w:rStyle w:val="Hyperlink"/>
            <w:rFonts w:cs="Arial"/>
            <w:b/>
          </w:rPr>
          <w:t>https://leapfroggroup.org/hospital</w:t>
        </w:r>
      </w:hyperlink>
    </w:p>
    <w:p w14:paraId="4C6FA6BA" w14:textId="77777777" w:rsidR="004F1474" w:rsidRDefault="004F1474" w:rsidP="00637255">
      <w:pPr>
        <w:jc w:val="center"/>
      </w:pPr>
    </w:p>
    <w:p w14:paraId="5BB1D674" w14:textId="3A36E842" w:rsidR="004F1474" w:rsidRPr="00637255" w:rsidRDefault="004F1474" w:rsidP="00637255">
      <w:pPr>
        <w:jc w:val="center"/>
        <w:rPr>
          <w:sz w:val="24"/>
          <w:szCs w:val="24"/>
        </w:rPr>
        <w:sectPr w:rsidR="004F1474" w:rsidRPr="00637255" w:rsidSect="00062F69">
          <w:headerReference w:type="default" r:id="rId14"/>
          <w:footerReference w:type="default" r:id="rId15"/>
          <w:endnotePr>
            <w:numFmt w:val="decimal"/>
          </w:endnotePr>
          <w:pgSz w:w="12240" w:h="15840"/>
          <w:pgMar w:top="1080" w:right="1440" w:bottom="1080" w:left="1440" w:header="720" w:footer="720" w:gutter="0"/>
          <w:cols w:space="720"/>
          <w:titlePg/>
          <w:docGrid w:linePitch="272"/>
        </w:sectPr>
      </w:pPr>
    </w:p>
    <w:p w14:paraId="7E9C008F" w14:textId="028E5745" w:rsidR="00F21EFE" w:rsidRPr="00E7552E" w:rsidRDefault="00A728FC" w:rsidP="00CF5A6E">
      <w:pPr>
        <w:pStyle w:val="Heading2"/>
      </w:pPr>
      <w:bookmarkStart w:id="5" w:name="_Toc225877637"/>
      <w:r w:rsidRPr="00E13CC6">
        <w:t>Important Notes About the 202</w:t>
      </w:r>
      <w:r w:rsidR="00BA5400">
        <w:t>6</w:t>
      </w:r>
      <w:r w:rsidRPr="00E13CC6">
        <w:t xml:space="preserve"> Survey</w:t>
      </w:r>
      <w:bookmarkStart w:id="6" w:name="_Updates_to_the"/>
      <w:bookmarkEnd w:id="5"/>
      <w:bookmarkEnd w:id="6"/>
    </w:p>
    <w:p w14:paraId="77A4CAF9" w14:textId="77777777" w:rsidR="00131813" w:rsidRPr="00EA4E95" w:rsidRDefault="00131813" w:rsidP="00A728FC">
      <w:pPr>
        <w:rPr>
          <w:sz w:val="14"/>
          <w:szCs w:val="14"/>
        </w:rPr>
      </w:pPr>
      <w:bookmarkStart w:id="7" w:name="_Updated_Reporting_Periods"/>
      <w:bookmarkStart w:id="8" w:name="_Updated_Scoring_for"/>
      <w:bookmarkStart w:id="9" w:name="_Updated_Scoring_and"/>
      <w:bookmarkStart w:id="10" w:name="_Reduced_Sample_Size"/>
      <w:bookmarkEnd w:id="7"/>
      <w:bookmarkEnd w:id="8"/>
      <w:bookmarkEnd w:id="9"/>
      <w:bookmarkEnd w:id="10"/>
    </w:p>
    <w:p w14:paraId="0ACD4682" w14:textId="447284C1" w:rsidR="00257F86" w:rsidRPr="007871A2" w:rsidRDefault="00257F86" w:rsidP="00AD309C">
      <w:pPr>
        <w:pStyle w:val="ListParagraph"/>
        <w:numPr>
          <w:ilvl w:val="0"/>
          <w:numId w:val="13"/>
        </w:numPr>
        <w:rPr>
          <w:rFonts w:cs="Arial"/>
        </w:rPr>
      </w:pPr>
      <w:r w:rsidRPr="007871A2">
        <w:rPr>
          <w:rFonts w:cs="Arial"/>
        </w:rPr>
        <w:t xml:space="preserve">The Leapfrog Hospital Survey webpages </w:t>
      </w:r>
      <w:r w:rsidR="00460E9D" w:rsidRPr="007871A2">
        <w:rPr>
          <w:rFonts w:cs="Arial"/>
        </w:rPr>
        <w:t xml:space="preserve">are located at </w:t>
      </w:r>
      <w:hyperlink r:id="rId16" w:history="1">
        <w:r w:rsidR="00795E4E" w:rsidRPr="007871A2">
          <w:rPr>
            <w:rStyle w:val="Hyperlink"/>
            <w:rFonts w:cs="Arial"/>
          </w:rPr>
          <w:t>https://leapfroggroup.org/hospital</w:t>
        </w:r>
      </w:hyperlink>
      <w:r w:rsidRPr="007871A2">
        <w:rPr>
          <w:rFonts w:cs="Arial"/>
        </w:rPr>
        <w:t>. Please bookmark this URL.</w:t>
      </w:r>
    </w:p>
    <w:p w14:paraId="00169297" w14:textId="77777777" w:rsidR="00BF7B1A" w:rsidRPr="00EA4E95" w:rsidRDefault="00BF7B1A" w:rsidP="00BE58A8">
      <w:pPr>
        <w:ind w:left="360"/>
        <w:rPr>
          <w:rFonts w:cs="Arial"/>
          <w:sz w:val="14"/>
          <w:szCs w:val="14"/>
        </w:rPr>
      </w:pPr>
    </w:p>
    <w:p w14:paraId="7D026885" w14:textId="741BBEBD" w:rsidR="00390802" w:rsidRPr="007871A2" w:rsidRDefault="00BF7B1A" w:rsidP="00AD309C">
      <w:pPr>
        <w:pStyle w:val="ListParagraph"/>
        <w:numPr>
          <w:ilvl w:val="0"/>
          <w:numId w:val="13"/>
        </w:numPr>
        <w:rPr>
          <w:rFonts w:cs="Arial"/>
        </w:rPr>
      </w:pPr>
      <w:r w:rsidRPr="007871A2">
        <w:rPr>
          <w:rFonts w:cs="Arial"/>
        </w:rPr>
        <w:t>Note the word “</w:t>
      </w:r>
      <w:r w:rsidR="00C14AFF" w:rsidRPr="007871A2">
        <w:rPr>
          <w:rFonts w:cs="Arial"/>
        </w:rPr>
        <w:t>hospital” used throughout this S</w:t>
      </w:r>
      <w:r w:rsidRPr="007871A2">
        <w:rPr>
          <w:rFonts w:cs="Arial"/>
        </w:rPr>
        <w:t>urvey refers to an individual hospital. If your hospital is part of a multi-hospital health</w:t>
      </w:r>
      <w:r w:rsidR="00E13CC6">
        <w:rPr>
          <w:rFonts w:cs="Arial"/>
        </w:rPr>
        <w:t xml:space="preserve"> </w:t>
      </w:r>
      <w:r w:rsidRPr="007871A2">
        <w:rPr>
          <w:rFonts w:cs="Arial"/>
        </w:rPr>
        <w:t>care system</w:t>
      </w:r>
      <w:r w:rsidR="000113F8" w:rsidRPr="007871A2">
        <w:rPr>
          <w:rFonts w:cs="Arial"/>
        </w:rPr>
        <w:t xml:space="preserve"> or a multi-campus hospital</w:t>
      </w:r>
      <w:r w:rsidRPr="007871A2">
        <w:rPr>
          <w:rFonts w:cs="Arial"/>
        </w:rPr>
        <w:t>,</w:t>
      </w:r>
      <w:r w:rsidR="00C14AFF" w:rsidRPr="007871A2">
        <w:rPr>
          <w:rFonts w:cs="Arial"/>
        </w:rPr>
        <w:t xml:space="preserve"> you will need to complete the S</w:t>
      </w:r>
      <w:r w:rsidRPr="007871A2">
        <w:rPr>
          <w:rFonts w:cs="Arial"/>
        </w:rPr>
        <w:t xml:space="preserve">urvey for each individual hospital. Please refer to </w:t>
      </w:r>
      <w:hyperlink r:id="rId17" w:history="1">
        <w:r w:rsidRPr="007871A2">
          <w:rPr>
            <w:rStyle w:val="Hyperlink"/>
            <w:rFonts w:cs="Arial"/>
          </w:rPr>
          <w:t>Leapfrog’s Multi-Campus Hospital Reporting Polic</w:t>
        </w:r>
        <w:r w:rsidR="005F434D" w:rsidRPr="007871A2">
          <w:rPr>
            <w:rStyle w:val="Hyperlink"/>
            <w:rFonts w:cs="Arial"/>
          </w:rPr>
          <w:t>y</w:t>
        </w:r>
      </w:hyperlink>
      <w:r w:rsidR="008F75E0" w:rsidRPr="007871A2">
        <w:rPr>
          <w:rFonts w:cs="Arial"/>
        </w:rPr>
        <w:t xml:space="preserve">. </w:t>
      </w:r>
    </w:p>
    <w:p w14:paraId="6070A2F6" w14:textId="77777777" w:rsidR="00390802" w:rsidRPr="00BE58A8" w:rsidRDefault="00390802" w:rsidP="00BE58A8">
      <w:pPr>
        <w:ind w:left="360"/>
        <w:rPr>
          <w:rFonts w:cs="Arial"/>
          <w:sz w:val="16"/>
          <w:szCs w:val="16"/>
        </w:rPr>
      </w:pPr>
    </w:p>
    <w:p w14:paraId="5C28AD87" w14:textId="7AD64D7F" w:rsidR="007B27DC" w:rsidRPr="007871A2" w:rsidRDefault="0003234D" w:rsidP="00AD309C">
      <w:pPr>
        <w:pStyle w:val="ListParagraph"/>
        <w:numPr>
          <w:ilvl w:val="0"/>
          <w:numId w:val="13"/>
        </w:numPr>
        <w:rPr>
          <w:rFonts w:cs="Arial"/>
        </w:rPr>
      </w:pPr>
      <w:bookmarkStart w:id="11" w:name="_Hlk70950506"/>
      <w:r w:rsidRPr="007871A2">
        <w:rPr>
          <w:rFonts w:cs="Arial"/>
        </w:rPr>
        <w:t>To</w:t>
      </w:r>
      <w:r w:rsidR="007B27DC" w:rsidRPr="007871A2">
        <w:rPr>
          <w:rFonts w:cs="Arial"/>
        </w:rPr>
        <w:t xml:space="preserve"> submit a Survey via the Online Hospital Survey Tool, hospitals </w:t>
      </w:r>
      <w:r w:rsidR="005C1751">
        <w:rPr>
          <w:rFonts w:cs="Arial"/>
        </w:rPr>
        <w:t>are</w:t>
      </w:r>
      <w:r w:rsidR="007B27DC" w:rsidRPr="007871A2">
        <w:rPr>
          <w:rFonts w:cs="Arial"/>
        </w:rPr>
        <w:t xml:space="preserve"> required to complete and affirm the following sections: </w:t>
      </w:r>
      <w:r w:rsidR="007B27DC" w:rsidRPr="007871A2">
        <w:rPr>
          <w:rFonts w:cs="Arial"/>
          <w:snapToGrid w:val="0"/>
        </w:rPr>
        <w:t>Section 1</w:t>
      </w:r>
      <w:r w:rsidR="00E13CC6">
        <w:rPr>
          <w:rFonts w:cs="Arial"/>
          <w:snapToGrid w:val="0"/>
        </w:rPr>
        <w:t>:</w:t>
      </w:r>
      <w:r w:rsidR="007B27DC" w:rsidRPr="007871A2">
        <w:rPr>
          <w:rFonts w:cs="Arial"/>
          <w:snapToGrid w:val="0"/>
        </w:rPr>
        <w:t xml:space="preserve"> </w:t>
      </w:r>
      <w:r w:rsidR="003D7E9D">
        <w:rPr>
          <w:rFonts w:cs="Arial"/>
          <w:snapToGrid w:val="0"/>
        </w:rPr>
        <w:t>Patient Rights and Ethics</w:t>
      </w:r>
      <w:r w:rsidR="007B27DC" w:rsidRPr="007871A2">
        <w:rPr>
          <w:rFonts w:cs="Arial"/>
          <w:snapToGrid w:val="0"/>
        </w:rPr>
        <w:t>, Section 2</w:t>
      </w:r>
      <w:r w:rsidR="00E13CC6">
        <w:rPr>
          <w:rFonts w:cs="Arial"/>
          <w:snapToGrid w:val="0"/>
        </w:rPr>
        <w:t>:</w:t>
      </w:r>
      <w:r w:rsidR="007B27DC" w:rsidRPr="007871A2">
        <w:rPr>
          <w:rFonts w:cs="Arial"/>
          <w:snapToGrid w:val="0"/>
        </w:rPr>
        <w:t xml:space="preserve"> Medication Safety, Section 4</w:t>
      </w:r>
      <w:r w:rsidR="00E13CC6">
        <w:rPr>
          <w:rFonts w:cs="Arial"/>
          <w:snapToGrid w:val="0"/>
        </w:rPr>
        <w:t>:</w:t>
      </w:r>
      <w:r w:rsidR="007B27DC" w:rsidRPr="007871A2">
        <w:rPr>
          <w:rFonts w:cs="Arial"/>
          <w:snapToGrid w:val="0"/>
        </w:rPr>
        <w:t xml:space="preserve"> Maternity Care, Section 5</w:t>
      </w:r>
      <w:r w:rsidR="00E13CC6">
        <w:rPr>
          <w:rFonts w:cs="Arial"/>
          <w:snapToGrid w:val="0"/>
        </w:rPr>
        <w:t>:</w:t>
      </w:r>
      <w:r w:rsidR="007B27DC" w:rsidRPr="007871A2">
        <w:rPr>
          <w:rFonts w:cs="Arial"/>
          <w:snapToGrid w:val="0"/>
        </w:rPr>
        <w:t xml:space="preserve"> </w:t>
      </w:r>
      <w:r w:rsidR="00FA1CFC">
        <w:rPr>
          <w:rFonts w:cs="Arial"/>
          <w:snapToGrid w:val="0"/>
        </w:rPr>
        <w:t xml:space="preserve">Physician and Nurse </w:t>
      </w:r>
      <w:r w:rsidR="00BC7A87">
        <w:rPr>
          <w:rFonts w:cs="Arial"/>
          <w:snapToGrid w:val="0"/>
        </w:rPr>
        <w:t>Staffing</w:t>
      </w:r>
      <w:r w:rsidR="007B27DC" w:rsidRPr="007871A2">
        <w:rPr>
          <w:rFonts w:cs="Arial"/>
          <w:snapToGrid w:val="0"/>
        </w:rPr>
        <w:t>, Section 6</w:t>
      </w:r>
      <w:r w:rsidR="00E13CC6">
        <w:rPr>
          <w:rFonts w:cs="Arial"/>
          <w:snapToGrid w:val="0"/>
        </w:rPr>
        <w:t>:</w:t>
      </w:r>
      <w:r w:rsidR="007B27DC" w:rsidRPr="007871A2">
        <w:rPr>
          <w:rFonts w:cs="Arial"/>
          <w:snapToGrid w:val="0"/>
        </w:rPr>
        <w:t xml:space="preserve"> Patient Safety Practices</w:t>
      </w:r>
      <w:r w:rsidR="00E13CC6">
        <w:rPr>
          <w:rFonts w:cs="Arial"/>
          <w:snapToGrid w:val="0"/>
        </w:rPr>
        <w:t>, Section 7: Managing Serious Errors</w:t>
      </w:r>
      <w:r w:rsidR="00290318">
        <w:rPr>
          <w:rFonts w:cs="Arial"/>
          <w:snapToGrid w:val="0"/>
        </w:rPr>
        <w:t>, and Section 8: Pediatric Care (for pediatric hospitals only)</w:t>
      </w:r>
      <w:r w:rsidR="007B27DC" w:rsidRPr="007871A2">
        <w:rPr>
          <w:rFonts w:cs="Arial"/>
          <w:snapToGrid w:val="0"/>
        </w:rPr>
        <w:t>.</w:t>
      </w:r>
      <w:r w:rsidR="00755F0D">
        <w:rPr>
          <w:rFonts w:cs="Arial"/>
          <w:snapToGrid w:val="0"/>
        </w:rPr>
        <w:t xml:space="preserve"> However, </w:t>
      </w:r>
      <w:r w:rsidR="00F72C9F">
        <w:rPr>
          <w:rFonts w:cs="Arial"/>
          <w:snapToGrid w:val="0"/>
        </w:rPr>
        <w:t>h</w:t>
      </w:r>
      <w:r w:rsidR="00755F0D">
        <w:rPr>
          <w:rFonts w:cs="Arial"/>
          <w:snapToGrid w:val="0"/>
        </w:rPr>
        <w:t>ospitals are urged to submit all sections</w:t>
      </w:r>
      <w:r w:rsidR="005771EC" w:rsidRPr="005771EC">
        <w:t xml:space="preserve"> </w:t>
      </w:r>
      <w:r w:rsidR="005771EC">
        <w:t xml:space="preserve">of the Survey </w:t>
      </w:r>
      <w:r w:rsidR="005771EC" w:rsidRPr="005771EC">
        <w:rPr>
          <w:rFonts w:cs="Arial"/>
          <w:snapToGrid w:val="0"/>
        </w:rPr>
        <w:t xml:space="preserve">and </w:t>
      </w:r>
      <w:r w:rsidR="00245F8C">
        <w:rPr>
          <w:rFonts w:cs="Arial"/>
          <w:snapToGrid w:val="0"/>
        </w:rPr>
        <w:t>can</w:t>
      </w:r>
      <w:r w:rsidR="005771EC" w:rsidRPr="005771EC">
        <w:rPr>
          <w:rFonts w:cs="Arial"/>
          <w:snapToGrid w:val="0"/>
        </w:rPr>
        <w:t xml:space="preserve"> indicate within a section if a measure does not apply</w:t>
      </w:r>
      <w:r w:rsidR="00755F0D">
        <w:rPr>
          <w:rFonts w:cs="Arial"/>
          <w:snapToGrid w:val="0"/>
        </w:rPr>
        <w:t>.</w:t>
      </w:r>
      <w:r w:rsidR="00F72C9F" w:rsidRPr="00F72C9F">
        <w:rPr>
          <w:rFonts w:cs="Arial"/>
          <w:snapToGrid w:val="0"/>
        </w:rPr>
        <w:t xml:space="preserve"> </w:t>
      </w:r>
      <w:r w:rsidR="00F72C9F">
        <w:rPr>
          <w:rFonts w:cs="Arial"/>
          <w:snapToGrid w:val="0"/>
        </w:rPr>
        <w:t xml:space="preserve">Hospitals that would like to be eligible for </w:t>
      </w:r>
      <w:hyperlink r:id="rId18" w:history="1">
        <w:r w:rsidR="00F72C9F" w:rsidRPr="007D1059">
          <w:rPr>
            <w:rStyle w:val="Hyperlink"/>
            <w:rFonts w:cs="Arial"/>
            <w:snapToGrid w:val="0"/>
          </w:rPr>
          <w:t>Top Hospital</w:t>
        </w:r>
      </w:hyperlink>
      <w:r w:rsidR="00F72C9F">
        <w:rPr>
          <w:rFonts w:cs="Arial"/>
          <w:snapToGrid w:val="0"/>
        </w:rPr>
        <w:t xml:space="preserve"> must submit all sections of the Survey.</w:t>
      </w:r>
    </w:p>
    <w:bookmarkEnd w:id="11"/>
    <w:p w14:paraId="1F95FF0B" w14:textId="77777777" w:rsidR="007B27DC" w:rsidRPr="007871A2" w:rsidRDefault="007B27DC" w:rsidP="007B27DC">
      <w:pPr>
        <w:pStyle w:val="ListParagraph"/>
        <w:ind w:left="360"/>
        <w:rPr>
          <w:rFonts w:cs="Arial"/>
          <w:sz w:val="16"/>
          <w:szCs w:val="16"/>
        </w:rPr>
      </w:pPr>
    </w:p>
    <w:p w14:paraId="1C159318" w14:textId="45ABD179" w:rsidR="005C1751" w:rsidRPr="005C1751" w:rsidRDefault="004963D4" w:rsidP="00AD309C">
      <w:pPr>
        <w:pStyle w:val="ListParagraph"/>
        <w:numPr>
          <w:ilvl w:val="0"/>
          <w:numId w:val="13"/>
        </w:numPr>
        <w:rPr>
          <w:rFonts w:cs="Arial"/>
        </w:rPr>
      </w:pPr>
      <w:bookmarkStart w:id="12" w:name="Note5_CPOE"/>
      <w:bookmarkStart w:id="13" w:name="_Hlk35502904"/>
      <w:bookmarkEnd w:id="12"/>
      <w:r>
        <w:t xml:space="preserve">Adult </w:t>
      </w:r>
      <w:r w:rsidR="00D73360">
        <w:t xml:space="preserve">and general </w:t>
      </w:r>
      <w:r>
        <w:t xml:space="preserve">hospitals that indicate they have a </w:t>
      </w:r>
      <w:r w:rsidR="00E51BB6">
        <w:t xml:space="preserve">Computerized Physician Order Entry (CPOE) </w:t>
      </w:r>
      <w:r>
        <w:t>system in at least one inpatient unit are asked to demonstrate, via a test, that the inpatient CPOE system can alert p</w:t>
      </w:r>
      <w:r w:rsidR="007D1059">
        <w:t xml:space="preserve">rescribers </w:t>
      </w:r>
      <w:r>
        <w:t xml:space="preserve">to at least 60% of frequent serious medication errors known to cause harm to patients. </w:t>
      </w:r>
      <w:r w:rsidR="005C1751" w:rsidRPr="005C1751">
        <w:rPr>
          <w:rFonts w:cs="Arial"/>
        </w:rPr>
        <w:t>Hospitals</w:t>
      </w:r>
      <w:r w:rsidR="00A12D3D">
        <w:rPr>
          <w:rFonts w:cs="Arial"/>
        </w:rPr>
        <w:t xml:space="preserve"> </w:t>
      </w:r>
      <w:r w:rsidR="005C1751" w:rsidRPr="005C1751">
        <w:rPr>
          <w:rFonts w:cs="Arial"/>
        </w:rPr>
        <w:t xml:space="preserve">will have access to the CPOE Evaluation Tool </w:t>
      </w:r>
      <w:r w:rsidR="00523873">
        <w:rPr>
          <w:rFonts w:cs="Arial"/>
        </w:rPr>
        <w:t xml:space="preserve">immediately </w:t>
      </w:r>
      <w:r w:rsidR="005C1751" w:rsidRPr="005C1751">
        <w:rPr>
          <w:rFonts w:cs="Arial"/>
        </w:rPr>
        <w:t xml:space="preserve">after completing </w:t>
      </w:r>
      <w:r w:rsidR="00E345A6">
        <w:rPr>
          <w:rFonts w:cs="Arial"/>
        </w:rPr>
        <w:t>the Hospital Profile</w:t>
      </w:r>
      <w:r w:rsidR="005C1751" w:rsidRPr="005C1751">
        <w:rPr>
          <w:rFonts w:cs="Arial"/>
        </w:rPr>
        <w:t xml:space="preserve"> in the Online Hospital Survey Tool. </w:t>
      </w:r>
      <w:r w:rsidR="00733FD9">
        <w:rPr>
          <w:rFonts w:cs="Arial"/>
        </w:rPr>
        <w:t>Adult and general h</w:t>
      </w:r>
      <w:r w:rsidR="005C1751" w:rsidRPr="005C1751">
        <w:rPr>
          <w:rFonts w:cs="Arial"/>
        </w:rPr>
        <w:t>ospitals cannot submit the Survey, including results from the Adult Inpatient CPOE Test</w:t>
      </w:r>
      <w:r w:rsidR="00805C0C">
        <w:rPr>
          <w:rFonts w:cs="Arial"/>
        </w:rPr>
        <w:t>,</w:t>
      </w:r>
      <w:r w:rsidR="005C1751" w:rsidRPr="005C1751">
        <w:rPr>
          <w:rFonts w:cs="Arial"/>
        </w:rPr>
        <w:t xml:space="preserve"> until </w:t>
      </w:r>
      <w:r w:rsidR="00375275" w:rsidRPr="005C1751">
        <w:rPr>
          <w:rFonts w:cs="Arial"/>
        </w:rPr>
        <w:t>all</w:t>
      </w:r>
      <w:r w:rsidR="005C1751" w:rsidRPr="005C1751">
        <w:rPr>
          <w:rFonts w:cs="Arial"/>
        </w:rPr>
        <w:t xml:space="preserve"> the following Survey sections have been completed and affirmed: Section 1</w:t>
      </w:r>
      <w:r w:rsidR="00E345A6">
        <w:rPr>
          <w:rFonts w:cs="Arial"/>
        </w:rPr>
        <w:t>:</w:t>
      </w:r>
      <w:r w:rsidR="005C1751" w:rsidRPr="005C1751">
        <w:rPr>
          <w:rFonts w:cs="Arial"/>
        </w:rPr>
        <w:t xml:space="preserve"> </w:t>
      </w:r>
      <w:r w:rsidR="003D7E9D">
        <w:rPr>
          <w:rFonts w:cs="Arial"/>
          <w:snapToGrid w:val="0"/>
        </w:rPr>
        <w:t>Patient Rights and Ethics</w:t>
      </w:r>
      <w:r w:rsidR="005C1751" w:rsidRPr="005C1751">
        <w:rPr>
          <w:rFonts w:cs="Arial"/>
        </w:rPr>
        <w:t>, Section 2</w:t>
      </w:r>
      <w:r w:rsidR="00E345A6">
        <w:rPr>
          <w:rFonts w:cs="Arial"/>
        </w:rPr>
        <w:t>: Medication Safety</w:t>
      </w:r>
      <w:r w:rsidR="005C1751" w:rsidRPr="005C1751">
        <w:rPr>
          <w:rFonts w:cs="Arial"/>
        </w:rPr>
        <w:t>, Section 4</w:t>
      </w:r>
      <w:r w:rsidR="00E345A6">
        <w:rPr>
          <w:rFonts w:cs="Arial"/>
        </w:rPr>
        <w:t>:</w:t>
      </w:r>
      <w:r w:rsidR="005C1751" w:rsidRPr="005C1751">
        <w:rPr>
          <w:rFonts w:cs="Arial"/>
        </w:rPr>
        <w:t xml:space="preserve"> Maternity Care, Section 5</w:t>
      </w:r>
      <w:r w:rsidR="00FA1CFC">
        <w:rPr>
          <w:rFonts w:cs="Arial"/>
        </w:rPr>
        <w:t xml:space="preserve">: Physician and Nurse </w:t>
      </w:r>
      <w:r w:rsidR="00C10E38">
        <w:rPr>
          <w:rFonts w:cs="Arial"/>
        </w:rPr>
        <w:t>Staffin</w:t>
      </w:r>
      <w:r w:rsidR="00FA1CFC">
        <w:rPr>
          <w:rFonts w:cs="Arial"/>
        </w:rPr>
        <w:t>g</w:t>
      </w:r>
      <w:r w:rsidR="005C1751" w:rsidRPr="005C1751">
        <w:rPr>
          <w:rFonts w:cs="Arial"/>
        </w:rPr>
        <w:t>, Section 6</w:t>
      </w:r>
      <w:r w:rsidR="00E345A6">
        <w:rPr>
          <w:rFonts w:cs="Arial"/>
        </w:rPr>
        <w:t>:</w:t>
      </w:r>
      <w:r w:rsidR="005C1751" w:rsidRPr="005C1751">
        <w:rPr>
          <w:rFonts w:cs="Arial"/>
        </w:rPr>
        <w:t xml:space="preserve"> Patient Safety Practices</w:t>
      </w:r>
      <w:r w:rsidR="00E345A6">
        <w:rPr>
          <w:rFonts w:cs="Arial"/>
        </w:rPr>
        <w:t>, and Section 7: Managing Serious Errors</w:t>
      </w:r>
      <w:r w:rsidR="005C1751" w:rsidRPr="005C1751">
        <w:rPr>
          <w:rFonts w:cs="Arial"/>
        </w:rPr>
        <w:t xml:space="preserve">. </w:t>
      </w:r>
      <w:r w:rsidR="00A12D3D" w:rsidRPr="00A12D3D">
        <w:rPr>
          <w:rFonts w:cs="Arial"/>
        </w:rPr>
        <w:t xml:space="preserve">Hospitals </w:t>
      </w:r>
      <w:r>
        <w:rPr>
          <w:rFonts w:cs="Arial"/>
        </w:rPr>
        <w:t xml:space="preserve">are </w:t>
      </w:r>
      <w:r w:rsidR="00A12D3D" w:rsidRPr="00A12D3D">
        <w:rPr>
          <w:rFonts w:cs="Arial"/>
        </w:rPr>
        <w:t xml:space="preserve">urged to ensure that the Adult Inpatient CPOE Test is submitted along with the Survey (i.e., in the same month) </w:t>
      </w:r>
      <w:r w:rsidR="00375275" w:rsidRPr="00A12D3D">
        <w:rPr>
          <w:rFonts w:cs="Arial"/>
        </w:rPr>
        <w:t>to</w:t>
      </w:r>
      <w:r w:rsidR="00A12D3D" w:rsidRPr="00A12D3D">
        <w:rPr>
          <w:rFonts w:cs="Arial"/>
        </w:rPr>
        <w:t xml:space="preserve"> meet the deadlines for the Leapfrog Hospital Survey and Leapfrog’s other programs such as Top Hospital and the Leapfrog Hospital Safety Grade.</w:t>
      </w:r>
      <w:r>
        <w:rPr>
          <w:rFonts w:cs="Arial"/>
        </w:rPr>
        <w:t xml:space="preserve"> </w:t>
      </w:r>
    </w:p>
    <w:bookmarkEnd w:id="13"/>
    <w:p w14:paraId="5DC6E648" w14:textId="77777777" w:rsidR="009C0B4B" w:rsidRPr="00BE58A8" w:rsidRDefault="009C0B4B" w:rsidP="00BE58A8">
      <w:pPr>
        <w:ind w:left="360"/>
        <w:rPr>
          <w:rFonts w:cs="Arial"/>
          <w:sz w:val="16"/>
          <w:szCs w:val="16"/>
        </w:rPr>
      </w:pPr>
    </w:p>
    <w:p w14:paraId="327D2F73" w14:textId="5FEE3ADA" w:rsidR="009C0B4B" w:rsidRPr="007871A2" w:rsidRDefault="009C0B4B" w:rsidP="00AD309C">
      <w:pPr>
        <w:pStyle w:val="ListParagraph"/>
        <w:numPr>
          <w:ilvl w:val="0"/>
          <w:numId w:val="13"/>
        </w:numPr>
        <w:rPr>
          <w:rFonts w:cs="Arial"/>
        </w:rPr>
      </w:pPr>
      <w:r w:rsidRPr="007871A2">
        <w:rPr>
          <w:rFonts w:cs="Arial"/>
        </w:rPr>
        <w:t>Adult and pediatric hospitals reporting on Section 7B</w:t>
      </w:r>
      <w:r w:rsidR="00E345A6">
        <w:rPr>
          <w:rFonts w:cs="Arial"/>
        </w:rPr>
        <w:t>:</w:t>
      </w:r>
      <w:r w:rsidRPr="007871A2">
        <w:rPr>
          <w:rFonts w:cs="Arial"/>
        </w:rPr>
        <w:t xml:space="preserve"> Healthcare-Associated Infections are required to join Leapfrog’s NHSN Group. </w:t>
      </w:r>
      <w:r w:rsidR="00242467" w:rsidRPr="007871A2">
        <w:rPr>
          <w:rFonts w:cs="Arial"/>
        </w:rPr>
        <w:t xml:space="preserve">Information about teaching status will also be pulled directly from NHSN. </w:t>
      </w:r>
      <w:r w:rsidRPr="007871A2">
        <w:rPr>
          <w:rFonts w:cs="Arial"/>
        </w:rPr>
        <w:t>More information</w:t>
      </w:r>
      <w:r w:rsidR="00F72AD6" w:rsidRPr="007871A2">
        <w:rPr>
          <w:rFonts w:cs="Arial"/>
        </w:rPr>
        <w:t>, including important deadlines, is</w:t>
      </w:r>
      <w:r w:rsidR="005F434D" w:rsidRPr="007871A2">
        <w:rPr>
          <w:rFonts w:cs="Arial"/>
        </w:rPr>
        <w:t xml:space="preserve"> available on the </w:t>
      </w:r>
      <w:hyperlink r:id="rId19" w:history="1">
        <w:r w:rsidR="0064007F" w:rsidRPr="0030575D">
          <w:rPr>
            <w:rStyle w:val="Hyperlink"/>
            <w:rFonts w:cs="Arial"/>
          </w:rPr>
          <w:t>Review NHSN Instructions webpage</w:t>
        </w:r>
      </w:hyperlink>
      <w:r w:rsidR="0064007F" w:rsidRPr="0064007F">
        <w:rPr>
          <w:rFonts w:cs="Arial"/>
        </w:rPr>
        <w:t>.</w:t>
      </w:r>
    </w:p>
    <w:p w14:paraId="079219B6" w14:textId="77777777" w:rsidR="000E3CA7" w:rsidRPr="007871A2" w:rsidRDefault="000E3CA7" w:rsidP="00BE58A8">
      <w:pPr>
        <w:ind w:left="360"/>
        <w:rPr>
          <w:rFonts w:cs="Arial"/>
          <w:sz w:val="16"/>
          <w:szCs w:val="16"/>
        </w:rPr>
      </w:pPr>
    </w:p>
    <w:p w14:paraId="4DEA8777" w14:textId="1F9841F2" w:rsidR="005C1751" w:rsidRPr="005C1751" w:rsidRDefault="005C1751" w:rsidP="00AD309C">
      <w:pPr>
        <w:pStyle w:val="ListParagraph"/>
        <w:numPr>
          <w:ilvl w:val="0"/>
          <w:numId w:val="13"/>
        </w:numPr>
        <w:rPr>
          <w:rFonts w:cs="Arial"/>
        </w:rPr>
      </w:pPr>
      <w:bookmarkStart w:id="14" w:name="_Hlk35503181"/>
      <w:r w:rsidRPr="005C1751">
        <w:rPr>
          <w:rFonts w:cs="Arial"/>
        </w:rPr>
        <w:t xml:space="preserve">Leapfrog Hospital Survey Results will be available </w:t>
      </w:r>
      <w:r w:rsidR="00C06E0F">
        <w:rPr>
          <w:rFonts w:cs="Arial"/>
        </w:rPr>
        <w:t>on</w:t>
      </w:r>
      <w:r w:rsidRPr="005C1751">
        <w:rPr>
          <w:rFonts w:cs="Arial"/>
        </w:rPr>
        <w:t xml:space="preserve"> the Hospital Details Page</w:t>
      </w:r>
      <w:r w:rsidR="00C06E0F">
        <w:rPr>
          <w:rFonts w:cs="Arial"/>
        </w:rPr>
        <w:t xml:space="preserve"> </w:t>
      </w:r>
      <w:r w:rsidR="001610E3">
        <w:rPr>
          <w:rFonts w:cs="Arial"/>
        </w:rPr>
        <w:t xml:space="preserve">beginning July 12 </w:t>
      </w:r>
      <w:r w:rsidR="00C06E0F">
        <w:rPr>
          <w:rFonts w:cs="Arial"/>
        </w:rPr>
        <w:t xml:space="preserve">and publicly reported on </w:t>
      </w:r>
      <w:r w:rsidRPr="005C1751">
        <w:rPr>
          <w:rFonts w:cs="Arial"/>
        </w:rPr>
        <w:t>the</w:t>
      </w:r>
      <w:r>
        <w:rPr>
          <w:rFonts w:cs="Arial"/>
        </w:rPr>
        <w:t xml:space="preserve"> </w:t>
      </w:r>
      <w:hyperlink r:id="rId20" w:history="1">
        <w:r w:rsidRPr="007871A2">
          <w:rPr>
            <w:rStyle w:val="Hyperlink"/>
            <w:rFonts w:cs="Arial"/>
          </w:rPr>
          <w:t>public reporting website</w:t>
        </w:r>
      </w:hyperlink>
      <w:r w:rsidRPr="005C1751">
        <w:rPr>
          <w:rFonts w:cs="Arial"/>
        </w:rPr>
        <w:t xml:space="preserve"> </w:t>
      </w:r>
      <w:r w:rsidR="001610E3">
        <w:rPr>
          <w:rFonts w:cs="Arial"/>
        </w:rPr>
        <w:t>on July 25</w:t>
      </w:r>
      <w:r w:rsidR="00D73360">
        <w:rPr>
          <w:rFonts w:cs="Arial"/>
        </w:rPr>
        <w:t xml:space="preserve"> for hospitals that submit a Survey by the June 30 Submission Deadline</w:t>
      </w:r>
      <w:r w:rsidR="00C06E0F">
        <w:rPr>
          <w:rFonts w:cs="Arial"/>
        </w:rPr>
        <w:t xml:space="preserve">. After </w:t>
      </w:r>
      <w:r w:rsidR="00B25C4F">
        <w:rPr>
          <w:rFonts w:cs="Arial"/>
        </w:rPr>
        <w:t>July</w:t>
      </w:r>
      <w:r w:rsidR="00C06E0F">
        <w:rPr>
          <w:rFonts w:cs="Arial"/>
        </w:rPr>
        <w:t>, the Hospital Details Page and public reporting website will be refreshed monthly</w:t>
      </w:r>
      <w:r w:rsidRPr="005C1751">
        <w:rPr>
          <w:rFonts w:cs="Arial"/>
        </w:rPr>
        <w:t xml:space="preserve"> within the first </w:t>
      </w:r>
      <w:r w:rsidR="004841B8">
        <w:rPr>
          <w:rFonts w:cs="Arial"/>
        </w:rPr>
        <w:t>seven</w:t>
      </w:r>
      <w:r w:rsidR="00C06E0F">
        <w:rPr>
          <w:rFonts w:cs="Arial"/>
        </w:rPr>
        <w:t xml:space="preserve"> (</w:t>
      </w:r>
      <w:r w:rsidR="004841B8">
        <w:rPr>
          <w:rFonts w:cs="Arial"/>
        </w:rPr>
        <w:t>7</w:t>
      </w:r>
      <w:r w:rsidR="00C06E0F">
        <w:rPr>
          <w:rFonts w:cs="Arial"/>
        </w:rPr>
        <w:t>)</w:t>
      </w:r>
      <w:r w:rsidRPr="005C1751">
        <w:rPr>
          <w:rFonts w:cs="Arial"/>
        </w:rPr>
        <w:t xml:space="preserve"> business days of each month to reflect Surveys submitted or resubmitted between </w:t>
      </w:r>
      <w:r w:rsidR="00B25C4F">
        <w:rPr>
          <w:rFonts w:cs="Arial"/>
        </w:rPr>
        <w:t xml:space="preserve">July </w:t>
      </w:r>
      <w:r w:rsidR="00C06E0F">
        <w:rPr>
          <w:rFonts w:cs="Arial"/>
        </w:rPr>
        <w:t>1</w:t>
      </w:r>
      <w:r w:rsidRPr="005C1751">
        <w:rPr>
          <w:rFonts w:cs="Arial"/>
        </w:rPr>
        <w:t xml:space="preserve"> and November 30 and previously submitted Surveys that were corrected be</w:t>
      </w:r>
      <w:r w:rsidR="0047419A">
        <w:rPr>
          <w:rFonts w:cs="Arial"/>
        </w:rPr>
        <w:t>tween December 1 and</w:t>
      </w:r>
      <w:r w:rsidRPr="005C1751">
        <w:rPr>
          <w:rFonts w:cs="Arial"/>
        </w:rPr>
        <w:t xml:space="preserve"> January 31. Survey Results are frozen from February to July 25.</w:t>
      </w:r>
    </w:p>
    <w:bookmarkEnd w:id="14"/>
    <w:p w14:paraId="5AB8C6AF" w14:textId="77777777" w:rsidR="00937518" w:rsidRPr="00BE58A8" w:rsidRDefault="00937518" w:rsidP="00BE58A8">
      <w:pPr>
        <w:ind w:left="360"/>
        <w:rPr>
          <w:rFonts w:cs="Arial"/>
          <w:sz w:val="16"/>
          <w:szCs w:val="16"/>
        </w:rPr>
      </w:pPr>
    </w:p>
    <w:p w14:paraId="7DAB1E55" w14:textId="768AD000" w:rsidR="007632E1" w:rsidRPr="007871A2" w:rsidRDefault="007632E1" w:rsidP="00AD309C">
      <w:pPr>
        <w:pStyle w:val="ListParagraph"/>
        <w:numPr>
          <w:ilvl w:val="0"/>
          <w:numId w:val="13"/>
        </w:numPr>
        <w:rPr>
          <w:rFonts w:cs="Arial"/>
        </w:rPr>
      </w:pPr>
      <w:r w:rsidRPr="007871A2">
        <w:rPr>
          <w:rFonts w:cs="Arial"/>
        </w:rPr>
        <w:t xml:space="preserve">All questions regarding the Leapfrog Hospital </w:t>
      </w:r>
      <w:r w:rsidR="00C14AFF" w:rsidRPr="007871A2">
        <w:rPr>
          <w:rFonts w:cs="Arial"/>
        </w:rPr>
        <w:t>Survey</w:t>
      </w:r>
      <w:r w:rsidRPr="007871A2">
        <w:rPr>
          <w:rFonts w:cs="Arial"/>
        </w:rPr>
        <w:t xml:space="preserve"> should</w:t>
      </w:r>
      <w:r w:rsidR="00751044" w:rsidRPr="007871A2">
        <w:rPr>
          <w:rFonts w:cs="Arial"/>
        </w:rPr>
        <w:t xml:space="preserve"> be submitted to the Help Desk at </w:t>
      </w:r>
      <w:hyperlink r:id="rId21" w:history="1">
        <w:r w:rsidR="00102E3F" w:rsidRPr="007871A2">
          <w:rPr>
            <w:rStyle w:val="Hyperlink"/>
            <w:rFonts w:cs="Arial"/>
          </w:rPr>
          <w:t>https://leapfroghelpdesk.zendesk.com</w:t>
        </w:r>
      </w:hyperlink>
      <w:r w:rsidR="00751044" w:rsidRPr="007871A2">
        <w:rPr>
          <w:rFonts w:cs="Arial"/>
        </w:rPr>
        <w:t xml:space="preserve">. </w:t>
      </w:r>
      <w:r w:rsidR="00B82E87" w:rsidRPr="007871A2">
        <w:rPr>
          <w:rFonts w:cs="Arial"/>
          <w:snapToGrid w:val="0"/>
        </w:rPr>
        <w:t>Q</w:t>
      </w:r>
      <w:r w:rsidRPr="007871A2">
        <w:rPr>
          <w:rFonts w:cs="Arial"/>
          <w:snapToGrid w:val="0"/>
        </w:rPr>
        <w:t xml:space="preserve">uestions submitted to the Help Desk will receive a </w:t>
      </w:r>
      <w:r w:rsidR="00723517" w:rsidRPr="007871A2">
        <w:rPr>
          <w:rFonts w:cs="Arial"/>
          <w:snapToGrid w:val="0"/>
        </w:rPr>
        <w:t>response within</w:t>
      </w:r>
      <w:r w:rsidR="005839BE" w:rsidRPr="007871A2">
        <w:rPr>
          <w:rFonts w:cs="Arial"/>
          <w:snapToGrid w:val="0"/>
        </w:rPr>
        <w:t xml:space="preserve"> 1-2 business days (</w:t>
      </w:r>
      <w:r w:rsidR="00DC3E1B" w:rsidRPr="007871A2">
        <w:rPr>
          <w:rFonts w:cs="Arial"/>
          <w:snapToGrid w:val="0"/>
        </w:rPr>
        <w:t>s</w:t>
      </w:r>
      <w:r w:rsidR="005839BE" w:rsidRPr="007871A2">
        <w:rPr>
          <w:rFonts w:cs="Arial"/>
          <w:snapToGrid w:val="0"/>
        </w:rPr>
        <w:t xml:space="preserve">ee </w:t>
      </w:r>
      <w:hyperlink r:id="rId22" w:history="1">
        <w:r w:rsidR="005839BE" w:rsidRPr="007871A2">
          <w:rPr>
            <w:rStyle w:val="Hyperlink"/>
            <w:rFonts w:cs="Arial"/>
            <w:snapToGrid w:val="0"/>
          </w:rPr>
          <w:t>Help Desk</w:t>
        </w:r>
        <w:r w:rsidR="00561F9C" w:rsidRPr="007871A2">
          <w:rPr>
            <w:rStyle w:val="Hyperlink"/>
            <w:rFonts w:cs="Arial"/>
            <w:snapToGrid w:val="0"/>
          </w:rPr>
          <w:t xml:space="preserve"> Holiday</w:t>
        </w:r>
        <w:r w:rsidR="005839BE" w:rsidRPr="007871A2">
          <w:rPr>
            <w:rStyle w:val="Hyperlink"/>
            <w:rFonts w:cs="Arial"/>
            <w:snapToGrid w:val="0"/>
          </w:rPr>
          <w:t xml:space="preserve"> Schedule</w:t>
        </w:r>
      </w:hyperlink>
      <w:r w:rsidR="00FD021F" w:rsidRPr="00FD021F">
        <w:rPr>
          <w:rStyle w:val="Hyperlink"/>
          <w:rFonts w:cs="Arial"/>
          <w:snapToGrid w:val="0"/>
          <w:u w:val="none"/>
        </w:rPr>
        <w:t xml:space="preserve"> </w:t>
      </w:r>
      <w:r w:rsidR="006D46A0" w:rsidRPr="00FD021F">
        <w:rPr>
          <w:rStyle w:val="Hyperlink"/>
          <w:rFonts w:cs="Arial"/>
          <w:snapToGrid w:val="0"/>
          <w:color w:val="auto"/>
          <w:u w:val="none"/>
        </w:rPr>
        <w:t>for planned closures</w:t>
      </w:r>
      <w:r w:rsidR="005839BE" w:rsidRPr="007871A2">
        <w:rPr>
          <w:rFonts w:cs="Arial"/>
          <w:snapToGrid w:val="0"/>
        </w:rPr>
        <w:t>)</w:t>
      </w:r>
      <w:r w:rsidRPr="007871A2">
        <w:rPr>
          <w:rFonts w:cs="Arial"/>
          <w:snapToGrid w:val="0"/>
        </w:rPr>
        <w:t>.</w:t>
      </w:r>
    </w:p>
    <w:p w14:paraId="28B79F43" w14:textId="77777777" w:rsidR="001E2485" w:rsidRPr="00BE58A8" w:rsidRDefault="001E2485" w:rsidP="00BE58A8">
      <w:pPr>
        <w:ind w:left="360"/>
        <w:rPr>
          <w:rFonts w:cs="Arial"/>
          <w:sz w:val="16"/>
          <w:szCs w:val="16"/>
        </w:rPr>
      </w:pPr>
    </w:p>
    <w:p w14:paraId="276594E6" w14:textId="1B8BCA5E" w:rsidR="001E2485" w:rsidRPr="007871A2" w:rsidRDefault="001E2485" w:rsidP="00AD309C">
      <w:pPr>
        <w:pStyle w:val="ListParagraph"/>
        <w:numPr>
          <w:ilvl w:val="0"/>
          <w:numId w:val="13"/>
        </w:numPr>
        <w:rPr>
          <w:rFonts w:cs="Arial"/>
        </w:rPr>
      </w:pPr>
      <w:r w:rsidRPr="007871A2">
        <w:rPr>
          <w:rFonts w:cs="Arial"/>
        </w:rPr>
        <w:t>For hospitals that would li</w:t>
      </w:r>
      <w:r w:rsidR="00B82E87" w:rsidRPr="007871A2">
        <w:rPr>
          <w:rFonts w:cs="Arial"/>
        </w:rPr>
        <w:t xml:space="preserve">ke Leapfrog Hospital </w:t>
      </w:r>
      <w:r w:rsidR="00C14AFF" w:rsidRPr="007871A2">
        <w:rPr>
          <w:rFonts w:cs="Arial"/>
        </w:rPr>
        <w:t>Survey Results</w:t>
      </w:r>
      <w:r w:rsidRPr="007871A2">
        <w:rPr>
          <w:rFonts w:cs="Arial"/>
        </w:rPr>
        <w:t xml:space="preserve"> included in their </w:t>
      </w:r>
      <w:r w:rsidR="00E22E43" w:rsidRPr="007871A2">
        <w:rPr>
          <w:rFonts w:cs="Arial"/>
          <w:b/>
        </w:rPr>
        <w:t>Leapfrog Hospital Safety Grade</w:t>
      </w:r>
      <w:r w:rsidR="000517A3">
        <w:rPr>
          <w:rFonts w:cs="Arial"/>
          <w:b/>
        </w:rPr>
        <w:t>,</w:t>
      </w:r>
      <w:r w:rsidR="00E22E43" w:rsidRPr="007871A2">
        <w:rPr>
          <w:rFonts w:cs="Arial"/>
          <w:b/>
        </w:rPr>
        <w:t xml:space="preserve"> </w:t>
      </w:r>
      <w:r w:rsidRPr="007871A2">
        <w:rPr>
          <w:rFonts w:cs="Arial"/>
        </w:rPr>
        <w:t>please visit</w:t>
      </w:r>
      <w:r w:rsidR="00E22E43" w:rsidRPr="007871A2">
        <w:rPr>
          <w:rFonts w:cs="Arial"/>
        </w:rPr>
        <w:t xml:space="preserve"> </w:t>
      </w:r>
      <w:r w:rsidR="005F434D" w:rsidRPr="007871A2">
        <w:rPr>
          <w:rFonts w:cs="Arial"/>
        </w:rPr>
        <w:t xml:space="preserve">the “For Hospitals” section of the Hospital Safety Grade </w:t>
      </w:r>
      <w:hyperlink r:id="rId23" w:history="1">
        <w:r w:rsidR="005F434D" w:rsidRPr="007871A2">
          <w:rPr>
            <w:rStyle w:val="Hyperlink"/>
            <w:rFonts w:cs="Arial"/>
          </w:rPr>
          <w:t>website</w:t>
        </w:r>
      </w:hyperlink>
      <w:r w:rsidR="005F434D" w:rsidRPr="007871A2">
        <w:rPr>
          <w:rFonts w:cs="Arial"/>
        </w:rPr>
        <w:t xml:space="preserve"> </w:t>
      </w:r>
      <w:r w:rsidRPr="007871A2">
        <w:rPr>
          <w:rFonts w:cs="Arial"/>
        </w:rPr>
        <w:t>for important information o</w:t>
      </w:r>
      <w:r w:rsidR="00666DDA" w:rsidRPr="007871A2">
        <w:rPr>
          <w:rFonts w:cs="Arial"/>
        </w:rPr>
        <w:t>n Data Snapshot Dates. A Leapfrog Hospital Survey must be submitted by the Data Snapshot Date</w:t>
      </w:r>
      <w:r w:rsidR="002168A5" w:rsidRPr="007871A2">
        <w:rPr>
          <w:rFonts w:cs="Arial"/>
        </w:rPr>
        <w:t xml:space="preserve"> </w:t>
      </w:r>
      <w:r w:rsidR="00DC3E1B" w:rsidRPr="007871A2">
        <w:rPr>
          <w:rFonts w:cs="Arial"/>
        </w:rPr>
        <w:t>for</w:t>
      </w:r>
      <w:r w:rsidR="00666DDA" w:rsidRPr="007871A2">
        <w:rPr>
          <w:rFonts w:cs="Arial"/>
        </w:rPr>
        <w:t xml:space="preserve"> </w:t>
      </w:r>
      <w:r w:rsidR="00C14AFF" w:rsidRPr="007871A2">
        <w:rPr>
          <w:rFonts w:cs="Arial"/>
        </w:rPr>
        <w:t>Survey</w:t>
      </w:r>
      <w:r w:rsidR="00666DDA" w:rsidRPr="007871A2">
        <w:rPr>
          <w:rFonts w:cs="Arial"/>
        </w:rPr>
        <w:t xml:space="preserve"> data to be used in the Hospital Safety </w:t>
      </w:r>
      <w:r w:rsidR="009D788B" w:rsidRPr="007871A2">
        <w:rPr>
          <w:rFonts w:cs="Arial"/>
        </w:rPr>
        <w:t>Grade</w:t>
      </w:r>
      <w:r w:rsidR="00666DDA" w:rsidRPr="007871A2">
        <w:rPr>
          <w:rFonts w:cs="Arial"/>
        </w:rPr>
        <w:t>.</w:t>
      </w:r>
    </w:p>
    <w:p w14:paraId="7F0E00EF" w14:textId="77777777" w:rsidR="00077CD6" w:rsidRPr="007871A2" w:rsidRDefault="00077CD6" w:rsidP="00077CD6">
      <w:pPr>
        <w:pStyle w:val="ListParagraph"/>
        <w:ind w:left="360"/>
        <w:rPr>
          <w:rFonts w:cs="Arial"/>
          <w:sz w:val="16"/>
          <w:szCs w:val="16"/>
        </w:rPr>
      </w:pPr>
    </w:p>
    <w:p w14:paraId="5746D8AB" w14:textId="7988000F" w:rsidR="00077CD6" w:rsidRPr="007871A2" w:rsidRDefault="00077CD6" w:rsidP="00AD309C">
      <w:pPr>
        <w:pStyle w:val="ListParagraph"/>
        <w:numPr>
          <w:ilvl w:val="0"/>
          <w:numId w:val="13"/>
        </w:numPr>
        <w:rPr>
          <w:rFonts w:cs="Arial"/>
        </w:rPr>
      </w:pPr>
      <w:r w:rsidRPr="007871A2">
        <w:rPr>
          <w:rFonts w:cs="Arial"/>
        </w:rPr>
        <w:lastRenderedPageBreak/>
        <w:t xml:space="preserve">Leapfrog is committed to </w:t>
      </w:r>
      <w:r w:rsidR="00EE3E32">
        <w:rPr>
          <w:rFonts w:cs="Arial"/>
        </w:rPr>
        <w:t>verifying</w:t>
      </w:r>
      <w:r w:rsidRPr="007871A2">
        <w:rPr>
          <w:rFonts w:cs="Arial"/>
        </w:rPr>
        <w:t xml:space="preserve"> the accura</w:t>
      </w:r>
      <w:r w:rsidR="00C14AFF" w:rsidRPr="007871A2">
        <w:rPr>
          <w:rFonts w:cs="Arial"/>
        </w:rPr>
        <w:t>cy of Leapfrog Hospital Survey Results</w:t>
      </w:r>
      <w:r w:rsidRPr="007871A2">
        <w:rPr>
          <w:rFonts w:cs="Arial"/>
        </w:rPr>
        <w:t>. Please revie</w:t>
      </w:r>
      <w:r w:rsidR="005F434D" w:rsidRPr="007871A2">
        <w:rPr>
          <w:rFonts w:cs="Arial"/>
        </w:rPr>
        <w:t xml:space="preserve">w the information on the </w:t>
      </w:r>
      <w:hyperlink r:id="rId24" w:history="1">
        <w:r w:rsidR="005F434D" w:rsidRPr="007871A2">
          <w:rPr>
            <w:rStyle w:val="Hyperlink"/>
            <w:rFonts w:cs="Arial"/>
          </w:rPr>
          <w:t>Data Accuracy webpage</w:t>
        </w:r>
      </w:hyperlink>
      <w:r w:rsidRPr="007871A2">
        <w:rPr>
          <w:rFonts w:cs="Arial"/>
        </w:rPr>
        <w:t xml:space="preserve">. </w:t>
      </w:r>
    </w:p>
    <w:p w14:paraId="53F2FE19" w14:textId="77777777" w:rsidR="00BD10D7" w:rsidRPr="00553722" w:rsidRDefault="00BD10D7" w:rsidP="00BE58A8">
      <w:pPr>
        <w:ind w:left="360"/>
        <w:rPr>
          <w:rFonts w:cs="Arial"/>
          <w:sz w:val="16"/>
          <w:szCs w:val="16"/>
        </w:rPr>
      </w:pPr>
      <w:bookmarkStart w:id="15" w:name="_Hlk36384104"/>
    </w:p>
    <w:p w14:paraId="7A6E8217" w14:textId="1218CF27" w:rsidR="004F7F97" w:rsidRDefault="00931945" w:rsidP="00AD309C">
      <w:pPr>
        <w:pStyle w:val="ListParagraph"/>
        <w:numPr>
          <w:ilvl w:val="0"/>
          <w:numId w:val="13"/>
        </w:numPr>
      </w:pPr>
      <w:bookmarkStart w:id="16" w:name="_Hlk35505143"/>
      <w:r w:rsidRPr="004F7F97">
        <w:rPr>
          <w:rFonts w:cs="Arial"/>
        </w:rPr>
        <w:t xml:space="preserve">The </w:t>
      </w:r>
      <w:hyperlink r:id="rId25" w:history="1">
        <w:r w:rsidRPr="004F7F97">
          <w:rPr>
            <w:rStyle w:val="Hyperlink"/>
            <w:rFonts w:cs="Arial"/>
          </w:rPr>
          <w:t>Submission D</w:t>
        </w:r>
        <w:r w:rsidR="00CA1CB8" w:rsidRPr="004F7F97">
          <w:rPr>
            <w:rStyle w:val="Hyperlink"/>
            <w:rFonts w:cs="Arial"/>
          </w:rPr>
          <w:t>eadline</w:t>
        </w:r>
      </w:hyperlink>
      <w:r w:rsidR="00CA1CB8" w:rsidRPr="004F7F97">
        <w:rPr>
          <w:rFonts w:cs="Arial"/>
        </w:rPr>
        <w:t xml:space="preserve"> for the </w:t>
      </w:r>
      <w:r w:rsidR="00A236B1" w:rsidRPr="004F7F97">
        <w:rPr>
          <w:rFonts w:cs="Arial"/>
        </w:rPr>
        <w:t>202</w:t>
      </w:r>
      <w:r w:rsidR="00FD21ED">
        <w:rPr>
          <w:rFonts w:cs="Arial"/>
        </w:rPr>
        <w:t>6</w:t>
      </w:r>
      <w:r w:rsidR="00CA1CB8" w:rsidRPr="004F7F97">
        <w:rPr>
          <w:rFonts w:cs="Arial"/>
        </w:rPr>
        <w:t xml:space="preserve"> Leapfrog Hospital Survey is </w:t>
      </w:r>
      <w:r w:rsidR="00BD6930" w:rsidRPr="004F7F97">
        <w:rPr>
          <w:rFonts w:cs="Arial"/>
          <w:b/>
        </w:rPr>
        <w:t>June 30</w:t>
      </w:r>
      <w:r w:rsidR="00CA1CB8" w:rsidRPr="004F7F97">
        <w:rPr>
          <w:rFonts w:cs="Arial"/>
          <w:b/>
        </w:rPr>
        <w:t xml:space="preserve">, </w:t>
      </w:r>
      <w:r w:rsidR="003A5E39" w:rsidRPr="004F7F97">
        <w:rPr>
          <w:rFonts w:cs="Arial"/>
          <w:b/>
        </w:rPr>
        <w:t>202</w:t>
      </w:r>
      <w:r w:rsidR="00FD21ED">
        <w:rPr>
          <w:rFonts w:cs="Arial"/>
          <w:b/>
        </w:rPr>
        <w:t>6</w:t>
      </w:r>
      <w:r w:rsidR="003A5E39" w:rsidRPr="004F7F97">
        <w:rPr>
          <w:rFonts w:cs="Arial"/>
          <w:b/>
        </w:rPr>
        <w:t>,</w:t>
      </w:r>
      <w:r w:rsidR="00500B6E" w:rsidRPr="004F7F97">
        <w:rPr>
          <w:rFonts w:cs="Arial"/>
        </w:rPr>
        <w:t xml:space="preserve"> </w:t>
      </w:r>
      <w:r w:rsidR="00CA1CB8" w:rsidRPr="004F7F97">
        <w:rPr>
          <w:rFonts w:cs="Arial"/>
        </w:rPr>
        <w:t>and t</w:t>
      </w:r>
      <w:r w:rsidR="00BD10D7" w:rsidRPr="004F7F97">
        <w:rPr>
          <w:rFonts w:cs="Arial"/>
        </w:rPr>
        <w:t>he</w:t>
      </w:r>
      <w:r w:rsidR="00CA1CB8" w:rsidRPr="004F7F97">
        <w:rPr>
          <w:rFonts w:cs="Arial"/>
        </w:rPr>
        <w:t xml:space="preserve"> Late Submission </w:t>
      </w:r>
      <w:r w:rsidR="00123E52" w:rsidRPr="004F7F97">
        <w:rPr>
          <w:rFonts w:cs="Arial"/>
          <w:bCs/>
          <w:snapToGrid w:val="0"/>
        </w:rPr>
        <w:t>and Performance Update</w:t>
      </w:r>
      <w:r w:rsidR="00123E52" w:rsidRPr="004F7F97">
        <w:rPr>
          <w:rFonts w:cs="Arial"/>
          <w:bCs/>
          <w:snapToGrid w:val="0"/>
          <w:sz w:val="16"/>
          <w:szCs w:val="16"/>
        </w:rPr>
        <w:t xml:space="preserve"> </w:t>
      </w:r>
      <w:r w:rsidR="00CA1CB8" w:rsidRPr="004F7F97">
        <w:rPr>
          <w:rFonts w:cs="Arial"/>
        </w:rPr>
        <w:t>Deadline is</w:t>
      </w:r>
      <w:r w:rsidR="00BD10D7" w:rsidRPr="004F7F97">
        <w:rPr>
          <w:rFonts w:cs="Arial"/>
          <w:b/>
        </w:rPr>
        <w:t xml:space="preserve"> </w:t>
      </w:r>
      <w:r w:rsidR="005C1751" w:rsidRPr="004F7F97">
        <w:rPr>
          <w:rFonts w:cs="Arial"/>
          <w:b/>
        </w:rPr>
        <w:t>November 30</w:t>
      </w:r>
      <w:r w:rsidR="00BD10D7" w:rsidRPr="004F7F97">
        <w:rPr>
          <w:rFonts w:cs="Arial"/>
          <w:b/>
        </w:rPr>
        <w:t xml:space="preserve">, </w:t>
      </w:r>
      <w:r w:rsidR="00A236B1" w:rsidRPr="004F7F97">
        <w:rPr>
          <w:rFonts w:cs="Arial"/>
          <w:b/>
        </w:rPr>
        <w:t>202</w:t>
      </w:r>
      <w:r w:rsidR="00FD21ED">
        <w:rPr>
          <w:rFonts w:cs="Arial"/>
          <w:b/>
        </w:rPr>
        <w:t>6</w:t>
      </w:r>
      <w:r w:rsidR="00BD10D7" w:rsidRPr="004F7F97">
        <w:rPr>
          <w:rFonts w:cs="Arial"/>
        </w:rPr>
        <w:t xml:space="preserve">. Hospitals that do not submit a </w:t>
      </w:r>
      <w:r w:rsidR="00C14AFF" w:rsidRPr="004F7F97">
        <w:rPr>
          <w:rFonts w:cs="Arial"/>
        </w:rPr>
        <w:t>Survey</w:t>
      </w:r>
      <w:r w:rsidR="005C1751" w:rsidRPr="004F7F97">
        <w:rPr>
          <w:rFonts w:cs="Arial"/>
        </w:rPr>
        <w:t xml:space="preserve"> or CPOE Evaluation Tool (adult</w:t>
      </w:r>
      <w:r w:rsidR="00201533" w:rsidRPr="004F7F97">
        <w:rPr>
          <w:rFonts w:cs="Arial"/>
        </w:rPr>
        <w:t xml:space="preserve"> and general</w:t>
      </w:r>
      <w:r w:rsidR="005C1751" w:rsidRPr="004F7F97">
        <w:rPr>
          <w:rFonts w:cs="Arial"/>
        </w:rPr>
        <w:t xml:space="preserve"> hospitals only)</w:t>
      </w:r>
      <w:r w:rsidR="00BD10D7" w:rsidRPr="004F7F97">
        <w:rPr>
          <w:rFonts w:cs="Arial"/>
        </w:rPr>
        <w:t xml:space="preserve"> b</w:t>
      </w:r>
      <w:r w:rsidR="00E3170B" w:rsidRPr="004F7F97">
        <w:rPr>
          <w:rFonts w:cs="Arial"/>
        </w:rPr>
        <w:t xml:space="preserve">efore </w:t>
      </w:r>
      <w:r w:rsidR="005C1751" w:rsidRPr="004F7F97">
        <w:rPr>
          <w:rFonts w:cs="Arial"/>
        </w:rPr>
        <w:t>11:59 pm</w:t>
      </w:r>
      <w:r w:rsidR="00E3170B" w:rsidRPr="004F7F97">
        <w:rPr>
          <w:rFonts w:cs="Arial"/>
        </w:rPr>
        <w:t xml:space="preserve"> Eastern Tim</w:t>
      </w:r>
      <w:r w:rsidR="00393CCE" w:rsidRPr="004F7F97">
        <w:rPr>
          <w:rFonts w:cs="Arial"/>
        </w:rPr>
        <w:t>e</w:t>
      </w:r>
      <w:r w:rsidR="00E3170B" w:rsidRPr="004F7F97">
        <w:rPr>
          <w:rFonts w:cs="Arial"/>
        </w:rPr>
        <w:t xml:space="preserve"> on</w:t>
      </w:r>
      <w:r w:rsidR="00E44C8B" w:rsidRPr="004F7F97">
        <w:rPr>
          <w:rFonts w:cs="Arial"/>
          <w:b/>
        </w:rPr>
        <w:t xml:space="preserve"> </w:t>
      </w:r>
      <w:r w:rsidR="005C1751" w:rsidRPr="004F7F97">
        <w:rPr>
          <w:rFonts w:cs="Arial"/>
          <w:b/>
        </w:rPr>
        <w:t>November 30</w:t>
      </w:r>
      <w:r w:rsidR="00BD10D7" w:rsidRPr="004F7F97">
        <w:rPr>
          <w:rFonts w:cs="Arial"/>
          <w:b/>
        </w:rPr>
        <w:t xml:space="preserve">, </w:t>
      </w:r>
      <w:r w:rsidR="003A5E39" w:rsidRPr="004F7F97">
        <w:rPr>
          <w:rFonts w:cs="Arial"/>
          <w:b/>
        </w:rPr>
        <w:t>202</w:t>
      </w:r>
      <w:r w:rsidR="00FD21ED">
        <w:rPr>
          <w:rFonts w:cs="Arial"/>
          <w:b/>
        </w:rPr>
        <w:t>6</w:t>
      </w:r>
      <w:r w:rsidR="003A5E39" w:rsidRPr="004F7F97">
        <w:rPr>
          <w:rFonts w:cs="Arial"/>
          <w:b/>
        </w:rPr>
        <w:t>,</w:t>
      </w:r>
      <w:r w:rsidR="00460E9D" w:rsidRPr="004F7F97">
        <w:rPr>
          <w:rFonts w:cs="Arial"/>
          <w:b/>
        </w:rPr>
        <w:t xml:space="preserve"> </w:t>
      </w:r>
      <w:r w:rsidR="00BD10D7" w:rsidRPr="004F7F97">
        <w:rPr>
          <w:rFonts w:cs="Arial"/>
        </w:rPr>
        <w:t>will have to w</w:t>
      </w:r>
      <w:r w:rsidR="00277447" w:rsidRPr="004F7F97">
        <w:rPr>
          <w:rFonts w:cs="Arial"/>
        </w:rPr>
        <w:t xml:space="preserve">ait until the launch of the </w:t>
      </w:r>
      <w:r w:rsidR="00C06E0F" w:rsidRPr="004F7F97">
        <w:rPr>
          <w:rFonts w:cs="Arial"/>
        </w:rPr>
        <w:t>202</w:t>
      </w:r>
      <w:r w:rsidR="00FD21ED">
        <w:rPr>
          <w:rFonts w:cs="Arial"/>
        </w:rPr>
        <w:t>7</w:t>
      </w:r>
      <w:r w:rsidR="00460E9D" w:rsidRPr="004F7F97">
        <w:rPr>
          <w:rFonts w:cs="Arial"/>
        </w:rPr>
        <w:t xml:space="preserve"> </w:t>
      </w:r>
      <w:r w:rsidR="00D33913" w:rsidRPr="004F7F97">
        <w:rPr>
          <w:rFonts w:cs="Arial"/>
        </w:rPr>
        <w:t xml:space="preserve">Leapfrog Hospital </w:t>
      </w:r>
      <w:r w:rsidR="00C14AFF" w:rsidRPr="004F7F97">
        <w:rPr>
          <w:rFonts w:cs="Arial"/>
        </w:rPr>
        <w:t>Survey</w:t>
      </w:r>
      <w:r w:rsidR="00BD10D7" w:rsidRPr="004F7F97">
        <w:rPr>
          <w:rFonts w:cs="Arial"/>
        </w:rPr>
        <w:t xml:space="preserve"> on April 1, </w:t>
      </w:r>
      <w:r w:rsidR="00267EE2" w:rsidRPr="004F7F97">
        <w:rPr>
          <w:rFonts w:cs="Arial"/>
        </w:rPr>
        <w:t>202</w:t>
      </w:r>
      <w:r w:rsidR="00FD21ED">
        <w:rPr>
          <w:rFonts w:cs="Arial"/>
        </w:rPr>
        <w:t>7</w:t>
      </w:r>
      <w:r w:rsidR="0047419A" w:rsidRPr="004F7F97">
        <w:rPr>
          <w:rFonts w:cs="Arial"/>
        </w:rPr>
        <w:t xml:space="preserve"> to submit a Survey</w:t>
      </w:r>
      <w:r w:rsidR="00BD10D7" w:rsidRPr="004F7F97">
        <w:rPr>
          <w:rFonts w:cs="Arial"/>
        </w:rPr>
        <w:t>.</w:t>
      </w:r>
      <w:bookmarkEnd w:id="15"/>
      <w:bookmarkEnd w:id="16"/>
    </w:p>
    <w:p w14:paraId="19C043BE" w14:textId="77777777" w:rsidR="00871F30" w:rsidRDefault="00871F30">
      <w:pPr>
        <w:rPr>
          <w:b/>
          <w:snapToGrid w:val="0"/>
          <w:sz w:val="28"/>
          <w:szCs w:val="24"/>
          <w:u w:val="single"/>
          <w:lang w:eastAsia="ja-JP"/>
        </w:rPr>
      </w:pPr>
      <w:r>
        <w:br w:type="page"/>
      </w:r>
    </w:p>
    <w:p w14:paraId="648E1C4F" w14:textId="5B9958C5" w:rsidR="0010643F" w:rsidRPr="004F7F97" w:rsidRDefault="001000CF" w:rsidP="00CF5A6E">
      <w:pPr>
        <w:pStyle w:val="Heading2"/>
        <w:rPr>
          <w:rFonts w:cs="Arial"/>
        </w:rPr>
      </w:pPr>
      <w:bookmarkStart w:id="17" w:name="_Toc225877638"/>
      <w:r w:rsidRPr="009A5185">
        <w:lastRenderedPageBreak/>
        <w:t>Overview</w:t>
      </w:r>
      <w:r w:rsidR="00E26FA1" w:rsidRPr="009A5185">
        <w:t xml:space="preserve"> of the </w:t>
      </w:r>
      <w:r w:rsidR="00A236B1">
        <w:t>202</w:t>
      </w:r>
      <w:r w:rsidR="003C0774">
        <w:t>6</w:t>
      </w:r>
      <w:r w:rsidR="00460E9D" w:rsidRPr="009A5185">
        <w:t xml:space="preserve"> </w:t>
      </w:r>
      <w:r w:rsidR="0010643F" w:rsidRPr="009A5185">
        <w:t xml:space="preserve">Leapfrog Hospital </w:t>
      </w:r>
      <w:r w:rsidR="00C14AFF" w:rsidRPr="009A5185">
        <w:t>Survey</w:t>
      </w:r>
      <w:bookmarkEnd w:id="17"/>
    </w:p>
    <w:p w14:paraId="3AE0F497" w14:textId="77777777" w:rsidR="0010643F" w:rsidRPr="00F836E7" w:rsidRDefault="0010643F" w:rsidP="00EA4E95">
      <w:pPr>
        <w:rPr>
          <w:rFonts w:cs="Arial"/>
          <w:snapToGrid w:val="0"/>
        </w:rPr>
      </w:pPr>
    </w:p>
    <w:p w14:paraId="6314224A" w14:textId="24EF6CB0" w:rsidR="009A689A" w:rsidRDefault="0010643F" w:rsidP="00B93E94">
      <w:pPr>
        <w:pStyle w:val="FactSheetText"/>
        <w:rPr>
          <w:rFonts w:ascii="Arial" w:hAnsi="Arial" w:cs="Arial"/>
          <w:sz w:val="20"/>
          <w:szCs w:val="20"/>
        </w:rPr>
      </w:pPr>
      <w:r w:rsidRPr="009A5185">
        <w:rPr>
          <w:rFonts w:ascii="Arial" w:hAnsi="Arial" w:cs="Arial"/>
          <w:snapToGrid w:val="0"/>
          <w:sz w:val="20"/>
          <w:szCs w:val="20"/>
        </w:rPr>
        <w:t xml:space="preserve">The Leapfrog Hospital </w:t>
      </w:r>
      <w:r w:rsidR="00C14AFF" w:rsidRPr="009A5185">
        <w:rPr>
          <w:rFonts w:ascii="Arial" w:hAnsi="Arial" w:cs="Arial"/>
          <w:snapToGrid w:val="0"/>
          <w:sz w:val="20"/>
          <w:szCs w:val="20"/>
        </w:rPr>
        <w:t>Survey</w:t>
      </w:r>
      <w:r w:rsidR="00D55B86">
        <w:rPr>
          <w:rFonts w:ascii="Arial" w:hAnsi="Arial" w:cs="Arial"/>
          <w:snapToGrid w:val="0"/>
          <w:sz w:val="20"/>
          <w:szCs w:val="20"/>
        </w:rPr>
        <w:t xml:space="preserve"> is divided into </w:t>
      </w:r>
      <w:r w:rsidR="002127CF">
        <w:rPr>
          <w:rFonts w:ascii="Arial" w:hAnsi="Arial" w:cs="Arial"/>
          <w:snapToGrid w:val="0"/>
          <w:sz w:val="20"/>
          <w:szCs w:val="20"/>
        </w:rPr>
        <w:t>nine</w:t>
      </w:r>
      <w:r w:rsidR="00AE1817" w:rsidRPr="009A5185">
        <w:rPr>
          <w:rFonts w:ascii="Arial" w:hAnsi="Arial" w:cs="Arial"/>
          <w:snapToGrid w:val="0"/>
          <w:sz w:val="20"/>
          <w:szCs w:val="20"/>
        </w:rPr>
        <w:t xml:space="preserve"> sections</w:t>
      </w:r>
      <w:r w:rsidR="00F72C9F">
        <w:rPr>
          <w:rFonts w:ascii="Arial" w:hAnsi="Arial" w:cs="Arial"/>
          <w:snapToGrid w:val="0"/>
          <w:sz w:val="20"/>
          <w:szCs w:val="20"/>
        </w:rPr>
        <w:t xml:space="preserve"> and the Hospital Profile</w:t>
      </w:r>
      <w:r w:rsidR="00AE1817" w:rsidRPr="009A5185">
        <w:rPr>
          <w:rFonts w:ascii="Arial" w:hAnsi="Arial" w:cs="Arial"/>
          <w:snapToGrid w:val="0"/>
          <w:sz w:val="20"/>
          <w:szCs w:val="20"/>
        </w:rPr>
        <w:t>. A description of each section is listed below.</w:t>
      </w:r>
      <w:r w:rsidR="009A689A" w:rsidRPr="009A5185">
        <w:rPr>
          <w:rFonts w:ascii="Arial" w:hAnsi="Arial" w:cs="Arial"/>
          <w:snapToGrid w:val="0"/>
          <w:sz w:val="20"/>
          <w:szCs w:val="20"/>
        </w:rPr>
        <w:t xml:space="preserve"> </w:t>
      </w:r>
      <w:r w:rsidR="009A689A" w:rsidRPr="009A5185">
        <w:rPr>
          <w:rFonts w:ascii="Arial" w:hAnsi="Arial" w:cs="Arial"/>
          <w:sz w:val="20"/>
          <w:szCs w:val="20"/>
        </w:rPr>
        <w:t xml:space="preserve">For a more detailed overview of the </w:t>
      </w:r>
      <w:r w:rsidR="00A236B1">
        <w:rPr>
          <w:rFonts w:ascii="Arial" w:hAnsi="Arial" w:cs="Arial"/>
          <w:sz w:val="20"/>
          <w:szCs w:val="20"/>
        </w:rPr>
        <w:t>202</w:t>
      </w:r>
      <w:r w:rsidR="003C0774">
        <w:rPr>
          <w:rFonts w:ascii="Arial" w:hAnsi="Arial" w:cs="Arial"/>
          <w:sz w:val="20"/>
          <w:szCs w:val="20"/>
        </w:rPr>
        <w:t>6</w:t>
      </w:r>
      <w:r w:rsidR="009A689A" w:rsidRPr="009A5185">
        <w:rPr>
          <w:rFonts w:ascii="Arial" w:hAnsi="Arial" w:cs="Arial"/>
          <w:sz w:val="20"/>
          <w:szCs w:val="20"/>
        </w:rPr>
        <w:t xml:space="preserve"> Leapfrog Hospital </w:t>
      </w:r>
      <w:r w:rsidR="00C14AFF" w:rsidRPr="009A5185">
        <w:rPr>
          <w:rFonts w:ascii="Arial" w:hAnsi="Arial" w:cs="Arial"/>
          <w:sz w:val="20"/>
          <w:szCs w:val="20"/>
        </w:rPr>
        <w:t>Survey</w:t>
      </w:r>
      <w:r w:rsidR="009A689A" w:rsidRPr="009A5185">
        <w:rPr>
          <w:rFonts w:ascii="Arial" w:hAnsi="Arial" w:cs="Arial"/>
          <w:sz w:val="20"/>
          <w:szCs w:val="20"/>
        </w:rPr>
        <w:t xml:space="preserve">, including a crosswalk of nationally endorsed measures and a description of how measures are publicly reported, visit the </w:t>
      </w:r>
      <w:hyperlink r:id="rId26" w:history="1">
        <w:r w:rsidR="00911CED">
          <w:rPr>
            <w:rStyle w:val="Hyperlink"/>
            <w:rFonts w:ascii="Arial" w:hAnsi="Arial" w:cs="Arial"/>
            <w:sz w:val="20"/>
            <w:szCs w:val="20"/>
          </w:rPr>
          <w:t>Survey Overview webpage</w:t>
        </w:r>
      </w:hyperlink>
      <w:r w:rsidR="00F16DB6">
        <w:rPr>
          <w:rFonts w:ascii="Arial" w:hAnsi="Arial" w:cs="Arial"/>
          <w:sz w:val="20"/>
          <w:szCs w:val="20"/>
        </w:rPr>
        <w:t>.</w:t>
      </w:r>
    </w:p>
    <w:p w14:paraId="5386B736" w14:textId="77777777" w:rsidR="00B93E94" w:rsidRPr="00F836E7" w:rsidRDefault="00B93E94" w:rsidP="00B93E94">
      <w:pPr>
        <w:pStyle w:val="FactSheetText"/>
        <w:rPr>
          <w:rFonts w:ascii="Arial" w:hAnsi="Arial" w:cs="Arial"/>
          <w:sz w:val="20"/>
          <w:szCs w:val="20"/>
        </w:rPr>
      </w:pPr>
    </w:p>
    <w:tbl>
      <w:tblPr>
        <w:tblStyle w:val="TableGrid"/>
        <w:tblW w:w="9360" w:type="dxa"/>
        <w:jc w:val="center"/>
        <w:tblLook w:val="04A0" w:firstRow="1" w:lastRow="0" w:firstColumn="1" w:lastColumn="0" w:noHBand="0" w:noVBand="1"/>
      </w:tblPr>
      <w:tblGrid>
        <w:gridCol w:w="1076"/>
        <w:gridCol w:w="1317"/>
        <w:gridCol w:w="6967"/>
      </w:tblGrid>
      <w:tr w:rsidR="00872296" w:rsidRPr="009A5185" w14:paraId="7FAFA34D" w14:textId="77777777" w:rsidTr="00434350">
        <w:trPr>
          <w:tblHeader/>
          <w:jc w:val="center"/>
        </w:trPr>
        <w:tc>
          <w:tcPr>
            <w:tcW w:w="1083" w:type="dxa"/>
            <w:shd w:val="clear" w:color="auto" w:fill="213468"/>
            <w:vAlign w:val="center"/>
          </w:tcPr>
          <w:p w14:paraId="094BEB63" w14:textId="7A38F7CA" w:rsidR="00872296" w:rsidRPr="009A5185" w:rsidRDefault="00872296" w:rsidP="0047419A">
            <w:pPr>
              <w:jc w:val="center"/>
              <w:rPr>
                <w:rFonts w:cs="Arial"/>
                <w:b/>
                <w:snapToGrid w:val="0"/>
                <w:color w:val="FFFFFF" w:themeColor="background1"/>
              </w:rPr>
            </w:pPr>
            <w:r w:rsidRPr="009A5185">
              <w:rPr>
                <w:rFonts w:cs="Arial"/>
                <w:b/>
                <w:snapToGrid w:val="0"/>
                <w:color w:val="FFFFFF" w:themeColor="background1"/>
              </w:rPr>
              <w:t xml:space="preserve">Section </w:t>
            </w:r>
            <w:r w:rsidR="0047419A">
              <w:rPr>
                <w:rFonts w:cs="Arial"/>
                <w:b/>
                <w:snapToGrid w:val="0"/>
                <w:color w:val="FFFFFF" w:themeColor="background1"/>
              </w:rPr>
              <w:t>Number</w:t>
            </w:r>
          </w:p>
        </w:tc>
        <w:tc>
          <w:tcPr>
            <w:tcW w:w="982" w:type="dxa"/>
            <w:shd w:val="clear" w:color="auto" w:fill="213468"/>
            <w:vAlign w:val="center"/>
          </w:tcPr>
          <w:p w14:paraId="4091EECF" w14:textId="77777777" w:rsidR="00872296" w:rsidRPr="009A5185" w:rsidRDefault="00872296" w:rsidP="0047419A">
            <w:pPr>
              <w:jc w:val="center"/>
              <w:rPr>
                <w:rFonts w:cs="Arial"/>
                <w:b/>
                <w:snapToGrid w:val="0"/>
                <w:color w:val="FFFFFF" w:themeColor="background1"/>
              </w:rPr>
            </w:pPr>
            <w:r w:rsidRPr="009A5185">
              <w:rPr>
                <w:rFonts w:cs="Arial"/>
                <w:b/>
                <w:snapToGrid w:val="0"/>
                <w:color w:val="FFFFFF" w:themeColor="background1"/>
              </w:rPr>
              <w:t>Section Title</w:t>
            </w:r>
          </w:p>
        </w:tc>
        <w:tc>
          <w:tcPr>
            <w:tcW w:w="7295" w:type="dxa"/>
            <w:shd w:val="clear" w:color="auto" w:fill="213468"/>
            <w:vAlign w:val="center"/>
          </w:tcPr>
          <w:p w14:paraId="39835DBB" w14:textId="77777777" w:rsidR="00872296" w:rsidRPr="009A5185" w:rsidRDefault="00872296" w:rsidP="0047419A">
            <w:pPr>
              <w:jc w:val="center"/>
              <w:rPr>
                <w:rFonts w:cs="Arial"/>
                <w:b/>
                <w:snapToGrid w:val="0"/>
                <w:color w:val="FFFFFF" w:themeColor="background1"/>
              </w:rPr>
            </w:pPr>
            <w:r w:rsidRPr="009A5185">
              <w:rPr>
                <w:rFonts w:cs="Arial"/>
                <w:b/>
                <w:snapToGrid w:val="0"/>
                <w:color w:val="FFFFFF" w:themeColor="background1"/>
              </w:rPr>
              <w:t>Brief Description</w:t>
            </w:r>
          </w:p>
        </w:tc>
      </w:tr>
      <w:tr w:rsidR="00CF6F5B" w:rsidRPr="009A5185" w14:paraId="6DA3D857" w14:textId="77777777" w:rsidTr="004D1420">
        <w:trPr>
          <w:trHeight w:val="1296"/>
          <w:jc w:val="center"/>
        </w:trPr>
        <w:tc>
          <w:tcPr>
            <w:tcW w:w="1083" w:type="dxa"/>
          </w:tcPr>
          <w:p w14:paraId="1018AF0C" w14:textId="77777777" w:rsidR="00CF6F5B" w:rsidRPr="009A5185" w:rsidRDefault="00CF6F5B" w:rsidP="00872296">
            <w:pPr>
              <w:jc w:val="center"/>
              <w:rPr>
                <w:rFonts w:cs="Arial"/>
                <w:b/>
                <w:snapToGrid w:val="0"/>
                <w:color w:val="000000" w:themeColor="text1"/>
                <w:highlight w:val="yellow"/>
              </w:rPr>
            </w:pPr>
          </w:p>
        </w:tc>
        <w:tc>
          <w:tcPr>
            <w:tcW w:w="982" w:type="dxa"/>
            <w:vAlign w:val="center"/>
          </w:tcPr>
          <w:p w14:paraId="1E000C65" w14:textId="60CBDD5B" w:rsidR="00CF6F5B" w:rsidRPr="009A5185" w:rsidRDefault="002A1984" w:rsidP="00872296">
            <w:pPr>
              <w:jc w:val="center"/>
              <w:rPr>
                <w:rFonts w:cs="Arial"/>
                <w:b/>
                <w:snapToGrid w:val="0"/>
                <w:color w:val="000000" w:themeColor="text1"/>
              </w:rPr>
            </w:pPr>
            <w:hyperlink w:anchor="_Hospital_Profile" w:history="1">
              <w:r>
                <w:rPr>
                  <w:rStyle w:val="Hyperlink"/>
                  <w:rFonts w:cs="Arial"/>
                  <w:b/>
                  <w:snapToGrid w:val="0"/>
                </w:rPr>
                <w:t>Hospital Profile</w:t>
              </w:r>
            </w:hyperlink>
            <w:r w:rsidR="00CF6F5B" w:rsidRPr="009A5185">
              <w:rPr>
                <w:rFonts w:cs="Arial"/>
                <w:b/>
                <w:snapToGrid w:val="0"/>
                <w:color w:val="000000" w:themeColor="text1"/>
              </w:rPr>
              <w:t xml:space="preserve"> </w:t>
            </w:r>
          </w:p>
          <w:p w14:paraId="02E8388A" w14:textId="77777777" w:rsidR="00CF6F5B" w:rsidRPr="009A5185" w:rsidRDefault="00CF6F5B" w:rsidP="00872296">
            <w:pPr>
              <w:jc w:val="center"/>
              <w:rPr>
                <w:rFonts w:cs="Arial"/>
                <w:b/>
                <w:snapToGrid w:val="0"/>
                <w:color w:val="000000" w:themeColor="text1"/>
              </w:rPr>
            </w:pPr>
          </w:p>
        </w:tc>
        <w:tc>
          <w:tcPr>
            <w:tcW w:w="7295" w:type="dxa"/>
            <w:vAlign w:val="center"/>
          </w:tcPr>
          <w:p w14:paraId="21CDC24D" w14:textId="676EFCC9" w:rsidR="00CF6F5B" w:rsidRPr="004D1420" w:rsidRDefault="004D1420" w:rsidP="004D1420">
            <w:pPr>
              <w:rPr>
                <w:rFonts w:cs="Arial"/>
                <w:snapToGrid w:val="0"/>
                <w:color w:val="000000" w:themeColor="text1"/>
              </w:rPr>
            </w:pPr>
            <w:r w:rsidRPr="009A5185">
              <w:rPr>
                <w:rFonts w:cs="Arial"/>
                <w:snapToGrid w:val="0"/>
                <w:color w:val="000000" w:themeColor="text1"/>
              </w:rPr>
              <w:t xml:space="preserve">The </w:t>
            </w:r>
            <w:r>
              <w:rPr>
                <w:rFonts w:cs="Arial"/>
                <w:snapToGrid w:val="0"/>
                <w:color w:val="000000" w:themeColor="text1"/>
              </w:rPr>
              <w:t>Hospital P</w:t>
            </w:r>
            <w:r w:rsidRPr="009A5185">
              <w:rPr>
                <w:rFonts w:cs="Arial"/>
                <w:snapToGrid w:val="0"/>
                <w:color w:val="000000" w:themeColor="text1"/>
              </w:rPr>
              <w:t xml:space="preserve">rofile includes questions about demographic and contact information. The </w:t>
            </w:r>
            <w:r>
              <w:rPr>
                <w:rFonts w:cs="Arial"/>
                <w:snapToGrid w:val="0"/>
                <w:color w:val="000000" w:themeColor="text1"/>
              </w:rPr>
              <w:t>Profile</w:t>
            </w:r>
            <w:r w:rsidRPr="009A5185">
              <w:rPr>
                <w:rFonts w:cs="Arial"/>
                <w:snapToGrid w:val="0"/>
                <w:color w:val="000000" w:themeColor="text1"/>
              </w:rPr>
              <w:t xml:space="preserve"> can be accessed and updated anytime throughout the year </w:t>
            </w:r>
            <w:r>
              <w:rPr>
                <w:rFonts w:cs="Arial"/>
                <w:snapToGrid w:val="0"/>
                <w:color w:val="000000" w:themeColor="text1"/>
              </w:rPr>
              <w:t>after</w:t>
            </w:r>
            <w:r w:rsidRPr="009A5185">
              <w:rPr>
                <w:rFonts w:cs="Arial"/>
                <w:snapToGrid w:val="0"/>
                <w:color w:val="000000" w:themeColor="text1"/>
              </w:rPr>
              <w:t xml:space="preserve"> logging into the </w:t>
            </w:r>
            <w:hyperlink r:id="rId27" w:history="1">
              <w:r>
                <w:rPr>
                  <w:rStyle w:val="Hyperlink"/>
                  <w:rFonts w:cs="Arial"/>
                  <w:snapToGrid w:val="0"/>
                </w:rPr>
                <w:t>Online Hospital Survey Tool</w:t>
              </w:r>
            </w:hyperlink>
            <w:r>
              <w:rPr>
                <w:rFonts w:cs="Arial"/>
                <w:snapToGrid w:val="0"/>
                <w:color w:val="000000" w:themeColor="text1"/>
              </w:rPr>
              <w:t xml:space="preserve">. </w:t>
            </w:r>
            <w:r w:rsidRPr="009A5185">
              <w:rPr>
                <w:rFonts w:cs="Arial"/>
              </w:rPr>
              <w:t xml:space="preserve">The </w:t>
            </w:r>
            <w:r>
              <w:rPr>
                <w:rFonts w:cs="Arial"/>
              </w:rPr>
              <w:t xml:space="preserve">Hospital </w:t>
            </w:r>
            <w:r w:rsidRPr="009A5185">
              <w:rPr>
                <w:rFonts w:cs="Arial"/>
              </w:rPr>
              <w:t xml:space="preserve">Profile must be completed and submitted before you can access </w:t>
            </w:r>
            <w:r>
              <w:rPr>
                <w:rFonts w:cs="Arial"/>
              </w:rPr>
              <w:t xml:space="preserve">Sections 1-9 and the CPOE Evaluation Tool on the Survey Dashboard. </w:t>
            </w:r>
            <w:r w:rsidRPr="009A5185">
              <w:rPr>
                <w:rFonts w:cs="Arial"/>
              </w:rPr>
              <w:t xml:space="preserve"> </w:t>
            </w:r>
          </w:p>
        </w:tc>
      </w:tr>
      <w:tr w:rsidR="00872296" w:rsidRPr="009A5185" w14:paraId="4401D9D3" w14:textId="77777777" w:rsidTr="00637255">
        <w:trPr>
          <w:trHeight w:val="755"/>
          <w:jc w:val="center"/>
        </w:trPr>
        <w:tc>
          <w:tcPr>
            <w:tcW w:w="1083" w:type="dxa"/>
            <w:vAlign w:val="center"/>
          </w:tcPr>
          <w:p w14:paraId="41AF86AE" w14:textId="77777777" w:rsidR="00872296" w:rsidRPr="009A5185" w:rsidRDefault="00872296" w:rsidP="002168A5">
            <w:pPr>
              <w:jc w:val="center"/>
              <w:rPr>
                <w:rFonts w:cs="Arial"/>
                <w:b/>
                <w:snapToGrid w:val="0"/>
              </w:rPr>
            </w:pPr>
            <w:bookmarkStart w:id="18" w:name="_Hlk92270162"/>
            <w:r w:rsidRPr="009A5185">
              <w:rPr>
                <w:rFonts w:cs="Arial"/>
                <w:b/>
                <w:snapToGrid w:val="0"/>
              </w:rPr>
              <w:t>1</w:t>
            </w:r>
          </w:p>
        </w:tc>
        <w:tc>
          <w:tcPr>
            <w:tcW w:w="982" w:type="dxa"/>
            <w:vAlign w:val="center"/>
          </w:tcPr>
          <w:p w14:paraId="05CE8B78" w14:textId="7A8EBC40" w:rsidR="00872296" w:rsidRPr="009A5185" w:rsidRDefault="007C4EC9" w:rsidP="001E0C89">
            <w:pPr>
              <w:jc w:val="center"/>
              <w:rPr>
                <w:rFonts w:cs="Arial"/>
                <w:b/>
                <w:snapToGrid w:val="0"/>
              </w:rPr>
            </w:pPr>
            <w:hyperlink w:anchor="_Section_1:_Patient" w:history="1">
              <w:r>
                <w:rPr>
                  <w:rStyle w:val="Hyperlink"/>
                  <w:rFonts w:cs="Arial"/>
                  <w:b/>
                  <w:snapToGrid w:val="0"/>
                </w:rPr>
                <w:t>Patient Rights and Ethics</w:t>
              </w:r>
            </w:hyperlink>
          </w:p>
        </w:tc>
        <w:tc>
          <w:tcPr>
            <w:tcW w:w="7295" w:type="dxa"/>
            <w:vAlign w:val="center"/>
          </w:tcPr>
          <w:p w14:paraId="5FC92E4B" w14:textId="724CEDAF" w:rsidR="00872296" w:rsidRPr="009A5185" w:rsidRDefault="00E75E23" w:rsidP="000C1F1D">
            <w:pPr>
              <w:rPr>
                <w:rFonts w:cs="Arial"/>
                <w:snapToGrid w:val="0"/>
              </w:rPr>
            </w:pPr>
            <w:r w:rsidRPr="009A5185">
              <w:rPr>
                <w:rFonts w:cs="Arial"/>
                <w:snapToGrid w:val="0"/>
              </w:rPr>
              <w:t xml:space="preserve">Section 1 includes questions about your hospital’s </w:t>
            </w:r>
            <w:r>
              <w:rPr>
                <w:rFonts w:cs="Arial"/>
                <w:snapToGrid w:val="0"/>
              </w:rPr>
              <w:t>billing ethics, health care equity, and informed consent processes.</w:t>
            </w:r>
            <w:r w:rsidR="003D2E0D">
              <w:rPr>
                <w:rFonts w:cs="Arial"/>
                <w:snapToGrid w:val="0"/>
              </w:rPr>
              <w:t xml:space="preserve"> </w:t>
            </w:r>
            <w:r>
              <w:rPr>
                <w:rFonts w:cs="Arial"/>
                <w:snapToGrid w:val="0"/>
              </w:rPr>
              <w:t>This section also includes questions on your hospital bed size, admissions, ICUs, and teaching status.</w:t>
            </w:r>
          </w:p>
        </w:tc>
      </w:tr>
      <w:bookmarkEnd w:id="18"/>
      <w:tr w:rsidR="00872296" w:rsidRPr="009A5185" w14:paraId="03DF9C64" w14:textId="77777777" w:rsidTr="00637255">
        <w:trPr>
          <w:trHeight w:val="1700"/>
          <w:jc w:val="center"/>
        </w:trPr>
        <w:tc>
          <w:tcPr>
            <w:tcW w:w="1083" w:type="dxa"/>
            <w:vAlign w:val="center"/>
          </w:tcPr>
          <w:p w14:paraId="160E40AE" w14:textId="77777777" w:rsidR="00872296" w:rsidRPr="009A5185" w:rsidRDefault="00872296" w:rsidP="002168A5">
            <w:pPr>
              <w:jc w:val="center"/>
              <w:rPr>
                <w:rFonts w:cs="Arial"/>
                <w:b/>
                <w:snapToGrid w:val="0"/>
              </w:rPr>
            </w:pPr>
            <w:r w:rsidRPr="009A5185">
              <w:rPr>
                <w:rFonts w:cs="Arial"/>
                <w:b/>
                <w:snapToGrid w:val="0"/>
              </w:rPr>
              <w:t>2</w:t>
            </w:r>
          </w:p>
        </w:tc>
        <w:tc>
          <w:tcPr>
            <w:tcW w:w="982" w:type="dxa"/>
            <w:vAlign w:val="center"/>
          </w:tcPr>
          <w:p w14:paraId="3BD42290" w14:textId="4948E0D6" w:rsidR="00872296" w:rsidRPr="009A5185" w:rsidRDefault="00D70B77" w:rsidP="008F75E0">
            <w:pPr>
              <w:spacing w:before="120" w:after="120"/>
              <w:jc w:val="center"/>
              <w:rPr>
                <w:rFonts w:cs="Arial"/>
                <w:b/>
                <w:snapToGrid w:val="0"/>
              </w:rPr>
            </w:pPr>
            <w:hyperlink w:anchor="_Section_2:_Medication" w:history="1">
              <w:r w:rsidRPr="009A5185">
                <w:rPr>
                  <w:rStyle w:val="Hyperlink"/>
                  <w:rFonts w:cs="Arial"/>
                  <w:b/>
                  <w:snapToGrid w:val="0"/>
                </w:rPr>
                <w:t>Medication Safety</w:t>
              </w:r>
            </w:hyperlink>
          </w:p>
        </w:tc>
        <w:tc>
          <w:tcPr>
            <w:tcW w:w="7295" w:type="dxa"/>
            <w:vAlign w:val="center"/>
          </w:tcPr>
          <w:p w14:paraId="543EAF80" w14:textId="70C8EA70" w:rsidR="00872296" w:rsidRPr="009A5185" w:rsidRDefault="005056B3" w:rsidP="005056B3">
            <w:pPr>
              <w:rPr>
                <w:rFonts w:cs="Arial"/>
                <w:snapToGrid w:val="0"/>
              </w:rPr>
            </w:pPr>
            <w:r w:rsidRPr="009A5185">
              <w:rPr>
                <w:rFonts w:cs="Arial"/>
                <w:snapToGrid w:val="0"/>
              </w:rPr>
              <w:t>Section 2</w:t>
            </w:r>
            <w:r>
              <w:rPr>
                <w:rFonts w:cs="Arial"/>
                <w:snapToGrid w:val="0"/>
              </w:rPr>
              <w:t xml:space="preserve"> </w:t>
            </w:r>
            <w:r w:rsidRPr="009A5185">
              <w:rPr>
                <w:rFonts w:cs="Arial"/>
                <w:snapToGrid w:val="0"/>
              </w:rPr>
              <w:t>includes questions about your hospital’s</w:t>
            </w:r>
            <w:r>
              <w:rPr>
                <w:rFonts w:cs="Arial"/>
                <w:snapToGrid w:val="0"/>
              </w:rPr>
              <w:t xml:space="preserve"> use </w:t>
            </w:r>
            <w:r w:rsidRPr="009A5185">
              <w:rPr>
                <w:rFonts w:cs="Arial"/>
                <w:snapToGrid w:val="0"/>
              </w:rPr>
              <w:t>of CPOE</w:t>
            </w:r>
            <w:r>
              <w:rPr>
                <w:rFonts w:cs="Arial"/>
                <w:snapToGrid w:val="0"/>
              </w:rPr>
              <w:t xml:space="preserve"> and BCMA, and (for adult and general hospitals) questions about your hospital’s medication reconciliation process</w:t>
            </w:r>
            <w:r w:rsidRPr="009A5185">
              <w:rPr>
                <w:rFonts w:cs="Arial"/>
                <w:snapToGrid w:val="0"/>
              </w:rPr>
              <w:t>.</w:t>
            </w:r>
            <w:r w:rsidR="00CD1622">
              <w:rPr>
                <w:rFonts w:cs="Arial"/>
                <w:snapToGrid w:val="0"/>
              </w:rPr>
              <w:t xml:space="preserve"> </w:t>
            </w:r>
            <w:r>
              <w:rPr>
                <w:rFonts w:cs="Arial"/>
                <w:snapToGrid w:val="0"/>
              </w:rPr>
              <w:t xml:space="preserve">The EHR application </w:t>
            </w:r>
            <w:r w:rsidR="00CD1622">
              <w:rPr>
                <w:rFonts w:cs="Arial"/>
                <w:snapToGrid w:val="0"/>
              </w:rPr>
              <w:t xml:space="preserve">subsection </w:t>
            </w:r>
            <w:r>
              <w:rPr>
                <w:rFonts w:cs="Arial"/>
                <w:snapToGrid w:val="0"/>
              </w:rPr>
              <w:t>(2B) is only applicable to adult and general hospitals and will not be scored or publicly reported. In 202</w:t>
            </w:r>
            <w:r w:rsidR="00422C8E">
              <w:rPr>
                <w:rFonts w:cs="Arial"/>
                <w:snapToGrid w:val="0"/>
              </w:rPr>
              <w:t>6</w:t>
            </w:r>
            <w:r>
              <w:rPr>
                <w:rFonts w:cs="Arial"/>
                <w:snapToGrid w:val="0"/>
              </w:rPr>
              <w:t xml:space="preserve">, </w:t>
            </w:r>
            <w:r w:rsidR="00F479B9">
              <w:rPr>
                <w:rFonts w:cs="Arial"/>
                <w:snapToGrid w:val="0"/>
              </w:rPr>
              <w:t>four</w:t>
            </w:r>
            <w:r w:rsidR="00CD1622">
              <w:rPr>
                <w:rFonts w:cs="Arial"/>
                <w:snapToGrid w:val="0"/>
              </w:rPr>
              <w:t xml:space="preserve"> </w:t>
            </w:r>
            <w:r>
              <w:rPr>
                <w:rFonts w:cs="Arial"/>
                <w:snapToGrid w:val="0"/>
              </w:rPr>
              <w:t xml:space="preserve">questions about </w:t>
            </w:r>
            <w:r w:rsidRPr="00392052">
              <w:rPr>
                <w:rFonts w:cs="Arial"/>
              </w:rPr>
              <w:t xml:space="preserve">Artificial Intelligence (AI) </w:t>
            </w:r>
            <w:r>
              <w:rPr>
                <w:rFonts w:cs="Arial"/>
              </w:rPr>
              <w:t>applications were added to subsection 2B</w:t>
            </w:r>
            <w:r w:rsidRPr="00D14699">
              <w:rPr>
                <w:rFonts w:cs="Arial"/>
                <w:snapToGrid w:val="0"/>
              </w:rPr>
              <w:t xml:space="preserve"> – th</w:t>
            </w:r>
            <w:r>
              <w:rPr>
                <w:rFonts w:cs="Arial"/>
                <w:snapToGrid w:val="0"/>
              </w:rPr>
              <w:t>ese questions are</w:t>
            </w:r>
            <w:r w:rsidRPr="00D14699">
              <w:rPr>
                <w:rFonts w:cs="Arial"/>
                <w:snapToGrid w:val="0"/>
              </w:rPr>
              <w:t xml:space="preserve"> </w:t>
            </w:r>
            <w:r w:rsidR="00F479B9">
              <w:rPr>
                <w:rFonts w:cs="Arial"/>
                <w:snapToGrid w:val="0"/>
              </w:rPr>
              <w:t xml:space="preserve">required but </w:t>
            </w:r>
            <w:r w:rsidRPr="00D14699">
              <w:rPr>
                <w:rFonts w:cs="Arial"/>
                <w:snapToGrid w:val="0"/>
              </w:rPr>
              <w:t>will not be scored or publicly reported</w:t>
            </w:r>
            <w:r>
              <w:rPr>
                <w:rFonts w:cs="Arial"/>
                <w:snapToGrid w:val="0"/>
              </w:rPr>
              <w:t>.</w:t>
            </w:r>
          </w:p>
        </w:tc>
      </w:tr>
      <w:tr w:rsidR="00872296" w:rsidRPr="009A5185" w14:paraId="5C8DE8E4" w14:textId="77777777" w:rsidTr="000C1F1D">
        <w:trPr>
          <w:trHeight w:val="1440"/>
          <w:jc w:val="center"/>
        </w:trPr>
        <w:tc>
          <w:tcPr>
            <w:tcW w:w="1083" w:type="dxa"/>
            <w:vAlign w:val="center"/>
          </w:tcPr>
          <w:p w14:paraId="347F6878" w14:textId="77777777" w:rsidR="00872296" w:rsidRPr="009A5185" w:rsidRDefault="00872296" w:rsidP="002168A5">
            <w:pPr>
              <w:jc w:val="center"/>
              <w:rPr>
                <w:rFonts w:cs="Arial"/>
                <w:b/>
                <w:snapToGrid w:val="0"/>
              </w:rPr>
            </w:pPr>
            <w:r w:rsidRPr="009A5185">
              <w:rPr>
                <w:rFonts w:cs="Arial"/>
                <w:b/>
                <w:snapToGrid w:val="0"/>
              </w:rPr>
              <w:t>3</w:t>
            </w:r>
          </w:p>
        </w:tc>
        <w:bookmarkStart w:id="19" w:name="Sect3"/>
        <w:tc>
          <w:tcPr>
            <w:tcW w:w="982" w:type="dxa"/>
            <w:vAlign w:val="center"/>
          </w:tcPr>
          <w:p w14:paraId="16D789A8" w14:textId="068413F1" w:rsidR="00872296" w:rsidRPr="009A5185" w:rsidRDefault="003117B7" w:rsidP="001E0C89">
            <w:pPr>
              <w:jc w:val="center"/>
              <w:rPr>
                <w:rFonts w:cs="Arial"/>
                <w:b/>
                <w:snapToGrid w:val="0"/>
              </w:rPr>
            </w:pPr>
            <w:r w:rsidRPr="009A5185">
              <w:rPr>
                <w:rFonts w:cs="Arial"/>
                <w:b/>
                <w:snapToGrid w:val="0"/>
              </w:rPr>
              <w:fldChar w:fldCharType="begin"/>
            </w:r>
            <w:r w:rsidR="002229B7">
              <w:rPr>
                <w:rFonts w:cs="Arial"/>
                <w:b/>
                <w:snapToGrid w:val="0"/>
              </w:rPr>
              <w:instrText>HYPERLINK  \l "_Section_3:_Adult"</w:instrText>
            </w:r>
            <w:r w:rsidRPr="009A5185">
              <w:rPr>
                <w:rFonts w:cs="Arial"/>
                <w:b/>
                <w:snapToGrid w:val="0"/>
              </w:rPr>
            </w:r>
            <w:r w:rsidRPr="009A5185">
              <w:rPr>
                <w:rFonts w:cs="Arial"/>
                <w:b/>
                <w:snapToGrid w:val="0"/>
              </w:rPr>
              <w:fldChar w:fldCharType="separate"/>
            </w:r>
            <w:r w:rsidR="00973FBE">
              <w:rPr>
                <w:rStyle w:val="Hyperlink"/>
                <w:rFonts w:cs="Arial"/>
                <w:b/>
                <w:snapToGrid w:val="0"/>
              </w:rPr>
              <w:t>Adult and Pediatric Complex Surgery</w:t>
            </w:r>
            <w:r w:rsidRPr="009A5185">
              <w:rPr>
                <w:rFonts w:cs="Arial"/>
                <w:b/>
                <w:snapToGrid w:val="0"/>
              </w:rPr>
              <w:fldChar w:fldCharType="end"/>
            </w:r>
            <w:bookmarkEnd w:id="19"/>
          </w:p>
        </w:tc>
        <w:tc>
          <w:tcPr>
            <w:tcW w:w="7295" w:type="dxa"/>
            <w:vAlign w:val="center"/>
          </w:tcPr>
          <w:p w14:paraId="65C89F23" w14:textId="161665C6" w:rsidR="00872296" w:rsidRPr="00CF4879" w:rsidRDefault="00145FEA" w:rsidP="000C1F1D">
            <w:pPr>
              <w:pStyle w:val="BodyText3"/>
              <w:rPr>
                <w:rFonts w:cs="Arial"/>
              </w:rPr>
            </w:pPr>
            <w:r w:rsidRPr="009A5185">
              <w:rPr>
                <w:rFonts w:cs="Arial"/>
              </w:rPr>
              <w:t>Section 3 includes questions about your hospital</w:t>
            </w:r>
            <w:r w:rsidR="00102537">
              <w:rPr>
                <w:rFonts w:cs="Arial"/>
              </w:rPr>
              <w:t>’s</w:t>
            </w:r>
            <w:r w:rsidRPr="009A5185">
              <w:rPr>
                <w:rFonts w:cs="Arial"/>
              </w:rPr>
              <w:t xml:space="preserve"> </w:t>
            </w:r>
            <w:r>
              <w:rPr>
                <w:rFonts w:cs="Arial"/>
              </w:rPr>
              <w:t xml:space="preserve">volume and process for privileging surgeons </w:t>
            </w:r>
            <w:r w:rsidRPr="009A5185">
              <w:rPr>
                <w:rFonts w:cs="Arial"/>
              </w:rPr>
              <w:t xml:space="preserve">for </w:t>
            </w:r>
            <w:r>
              <w:rPr>
                <w:rFonts w:cs="Arial"/>
              </w:rPr>
              <w:t>eleven</w:t>
            </w:r>
            <w:r w:rsidRPr="009A5185">
              <w:rPr>
                <w:rFonts w:cs="Arial"/>
              </w:rPr>
              <w:t xml:space="preserve"> high-risk procedures</w:t>
            </w:r>
            <w:r>
              <w:rPr>
                <w:rFonts w:cs="Arial"/>
              </w:rPr>
              <w:t>, outcomes for mitral valve repair and replacement, and participation in The Society of Thoracic Surgeon’s Congenital Heart Surgery Database for hospitals that perform the Norwood procedure. This section also includes questions about the implementation of a safe surgery checklist.</w:t>
            </w:r>
          </w:p>
        </w:tc>
      </w:tr>
      <w:tr w:rsidR="00872296" w:rsidRPr="009A5185" w14:paraId="68106F75" w14:textId="77777777" w:rsidTr="000C1F1D">
        <w:trPr>
          <w:trHeight w:val="1584"/>
          <w:jc w:val="center"/>
        </w:trPr>
        <w:tc>
          <w:tcPr>
            <w:tcW w:w="1083" w:type="dxa"/>
            <w:vAlign w:val="center"/>
          </w:tcPr>
          <w:p w14:paraId="4B2C513D" w14:textId="77777777" w:rsidR="00872296" w:rsidRPr="009A5185" w:rsidRDefault="00872296" w:rsidP="002168A5">
            <w:pPr>
              <w:jc w:val="center"/>
              <w:rPr>
                <w:rFonts w:cs="Arial"/>
                <w:b/>
                <w:snapToGrid w:val="0"/>
              </w:rPr>
            </w:pPr>
            <w:r w:rsidRPr="009A5185">
              <w:rPr>
                <w:rFonts w:cs="Arial"/>
                <w:b/>
                <w:snapToGrid w:val="0"/>
              </w:rPr>
              <w:t>4</w:t>
            </w:r>
          </w:p>
        </w:tc>
        <w:tc>
          <w:tcPr>
            <w:tcW w:w="982" w:type="dxa"/>
            <w:vAlign w:val="center"/>
          </w:tcPr>
          <w:p w14:paraId="7E3565E7" w14:textId="58AA7D55" w:rsidR="00872296" w:rsidRPr="009A5185" w:rsidRDefault="00872296" w:rsidP="001E0C89">
            <w:pPr>
              <w:jc w:val="center"/>
              <w:rPr>
                <w:rFonts w:cs="Arial"/>
                <w:b/>
                <w:snapToGrid w:val="0"/>
              </w:rPr>
            </w:pPr>
            <w:hyperlink w:anchor="_Section_4:_Maternity" w:history="1">
              <w:r w:rsidRPr="009A5185">
                <w:rPr>
                  <w:rStyle w:val="Hyperlink"/>
                  <w:rFonts w:cs="Arial"/>
                  <w:b/>
                  <w:snapToGrid w:val="0"/>
                </w:rPr>
                <w:t>Maternity Care</w:t>
              </w:r>
            </w:hyperlink>
          </w:p>
        </w:tc>
        <w:tc>
          <w:tcPr>
            <w:tcW w:w="7295" w:type="dxa"/>
            <w:vAlign w:val="center"/>
          </w:tcPr>
          <w:p w14:paraId="61933977" w14:textId="502421A0" w:rsidR="00872296" w:rsidRPr="009A5185" w:rsidRDefault="00794F1E" w:rsidP="000C1F1D">
            <w:pPr>
              <w:spacing w:before="120" w:after="120"/>
              <w:rPr>
                <w:rFonts w:cs="Arial"/>
                <w:snapToGrid w:val="0"/>
              </w:rPr>
            </w:pPr>
            <w:r w:rsidRPr="009A5185">
              <w:rPr>
                <w:rFonts w:cs="Arial"/>
                <w:snapToGrid w:val="0"/>
              </w:rPr>
              <w:t xml:space="preserve">Section 4 includes questions about </w:t>
            </w:r>
            <w:r>
              <w:rPr>
                <w:rFonts w:cs="Arial"/>
                <w:snapToGrid w:val="0"/>
              </w:rPr>
              <w:t xml:space="preserve">maternity care volume and services, </w:t>
            </w:r>
            <w:r w:rsidRPr="009A5185">
              <w:rPr>
                <w:rFonts w:cs="Arial"/>
                <w:snapToGrid w:val="0"/>
              </w:rPr>
              <w:t xml:space="preserve">cesarean birth, episiotomy, newborn bilirubin screening, and DVT prophylaxis for women undergoing cesarean </w:t>
            </w:r>
            <w:r>
              <w:rPr>
                <w:rFonts w:cs="Arial"/>
                <w:snapToGrid w:val="0"/>
              </w:rPr>
              <w:t>delivery</w:t>
            </w:r>
            <w:r w:rsidRPr="009A5185">
              <w:rPr>
                <w:rFonts w:cs="Arial"/>
                <w:snapToGrid w:val="0"/>
              </w:rPr>
              <w:t>. The section also includes questions about high-risk deliveries</w:t>
            </w:r>
            <w:r>
              <w:rPr>
                <w:rFonts w:cs="Arial"/>
                <w:snapToGrid w:val="0"/>
              </w:rPr>
              <w:t>, including volume and outcomes. The subsection on cesarean birth (4</w:t>
            </w:r>
            <w:r w:rsidR="00F82FEE">
              <w:rPr>
                <w:rFonts w:cs="Arial"/>
                <w:snapToGrid w:val="0"/>
              </w:rPr>
              <w:t>B</w:t>
            </w:r>
            <w:r>
              <w:rPr>
                <w:rFonts w:cs="Arial"/>
                <w:snapToGrid w:val="0"/>
              </w:rPr>
              <w:t xml:space="preserve">) includes questions about cesarean births stratified by race/ethnicity that will not be scored or publicly reported, however, responses will be used for confidential reporting on </w:t>
            </w:r>
            <w:r w:rsidR="000F3D1F">
              <w:rPr>
                <w:rFonts w:cs="Arial"/>
                <w:snapToGrid w:val="0"/>
              </w:rPr>
              <w:t xml:space="preserve">the </w:t>
            </w:r>
            <w:hyperlink r:id="rId28" w:history="1">
              <w:r w:rsidR="000F3D1F" w:rsidRPr="0014766A">
                <w:rPr>
                  <w:rStyle w:val="Hyperlink"/>
                  <w:rFonts w:cs="Arial"/>
                  <w:snapToGrid w:val="0"/>
                </w:rPr>
                <w:t>Hospital Details Page</w:t>
              </w:r>
            </w:hyperlink>
            <w:r w:rsidR="000F3D1F">
              <w:rPr>
                <w:rFonts w:cs="Arial"/>
                <w:snapToGrid w:val="0"/>
              </w:rPr>
              <w:t xml:space="preserve"> in 202</w:t>
            </w:r>
            <w:r w:rsidR="00422C8E">
              <w:rPr>
                <w:rFonts w:cs="Arial"/>
                <w:snapToGrid w:val="0"/>
              </w:rPr>
              <w:t>6</w:t>
            </w:r>
            <w:r w:rsidR="000F3D1F">
              <w:rPr>
                <w:rFonts w:cs="Arial"/>
                <w:snapToGrid w:val="0"/>
              </w:rPr>
              <w:t>.</w:t>
            </w:r>
          </w:p>
        </w:tc>
      </w:tr>
      <w:tr w:rsidR="00872296" w:rsidRPr="009A5185" w14:paraId="58B91F7B" w14:textId="77777777" w:rsidTr="00637255">
        <w:trPr>
          <w:trHeight w:val="1223"/>
          <w:jc w:val="center"/>
        </w:trPr>
        <w:tc>
          <w:tcPr>
            <w:tcW w:w="1083" w:type="dxa"/>
            <w:vAlign w:val="center"/>
          </w:tcPr>
          <w:p w14:paraId="5990C48D" w14:textId="77777777" w:rsidR="00872296" w:rsidRPr="009A5185" w:rsidRDefault="00872296" w:rsidP="002168A5">
            <w:pPr>
              <w:jc w:val="center"/>
              <w:rPr>
                <w:rFonts w:cs="Arial"/>
                <w:b/>
                <w:snapToGrid w:val="0"/>
              </w:rPr>
            </w:pPr>
            <w:r w:rsidRPr="009A5185">
              <w:rPr>
                <w:rFonts w:cs="Arial"/>
                <w:b/>
                <w:snapToGrid w:val="0"/>
              </w:rPr>
              <w:t>5</w:t>
            </w:r>
          </w:p>
        </w:tc>
        <w:tc>
          <w:tcPr>
            <w:tcW w:w="982" w:type="dxa"/>
            <w:vAlign w:val="center"/>
          </w:tcPr>
          <w:p w14:paraId="21D14864" w14:textId="3AE2C74A" w:rsidR="00FB62EE" w:rsidRPr="003B29BF" w:rsidRDefault="009D6510" w:rsidP="003B29BF">
            <w:pPr>
              <w:jc w:val="center"/>
              <w:rPr>
                <w:rFonts w:cs="Arial"/>
                <w:b/>
                <w:snapToGrid w:val="0"/>
                <w:color w:val="0000FF"/>
                <w:u w:val="single"/>
              </w:rPr>
            </w:pPr>
            <w:hyperlink w:anchor="_Section_5:_ICU" w:history="1">
              <w:r>
                <w:rPr>
                  <w:rStyle w:val="Hyperlink"/>
                  <w:rFonts w:cs="Arial"/>
                  <w:b/>
                  <w:snapToGrid w:val="0"/>
                </w:rPr>
                <w:t>Physician and Nurse Staffing</w:t>
              </w:r>
            </w:hyperlink>
          </w:p>
        </w:tc>
        <w:tc>
          <w:tcPr>
            <w:tcW w:w="7295" w:type="dxa"/>
            <w:vAlign w:val="center"/>
          </w:tcPr>
          <w:p w14:paraId="74D2DEC5" w14:textId="1D72E231" w:rsidR="00872296" w:rsidRPr="00B32A5B" w:rsidRDefault="003C25F0" w:rsidP="00B32A5B">
            <w:pPr>
              <w:pStyle w:val="BodyText3"/>
              <w:rPr>
                <w:rFonts w:cs="Arial"/>
                <w:b/>
                <w:snapToGrid w:val="0"/>
                <w:color w:val="FF0000"/>
              </w:rPr>
            </w:pPr>
            <w:r w:rsidRPr="009A5185">
              <w:rPr>
                <w:rFonts w:cs="Arial"/>
                <w:snapToGrid w:val="0"/>
              </w:rPr>
              <w:t xml:space="preserve">Section 5 includes questions about the </w:t>
            </w:r>
            <w:r>
              <w:rPr>
                <w:rFonts w:cs="Arial"/>
                <w:snapToGrid w:val="0"/>
              </w:rPr>
              <w:t xml:space="preserve">management of critical care patients and the </w:t>
            </w:r>
            <w:r w:rsidRPr="009A5185">
              <w:rPr>
                <w:rFonts w:cs="Arial"/>
                <w:snapToGrid w:val="0"/>
              </w:rPr>
              <w:t xml:space="preserve">staffing structure of your hospital’s </w:t>
            </w:r>
            <w:r>
              <w:rPr>
                <w:rFonts w:cs="Arial"/>
                <w:snapToGrid w:val="0"/>
              </w:rPr>
              <w:t xml:space="preserve">adult and </w:t>
            </w:r>
            <w:r w:rsidRPr="009A5185">
              <w:rPr>
                <w:rFonts w:cs="Arial"/>
                <w:snapToGrid w:val="0"/>
              </w:rPr>
              <w:t>pediatric general medical</w:t>
            </w:r>
            <w:r>
              <w:rPr>
                <w:rFonts w:cs="Arial"/>
                <w:snapToGrid w:val="0"/>
              </w:rPr>
              <w:t>,</w:t>
            </w:r>
            <w:r>
              <w:rPr>
                <w:snapToGrid w:val="0"/>
              </w:rPr>
              <w:t xml:space="preserve"> surgical,</w:t>
            </w:r>
            <w:r w:rsidRPr="009A5185">
              <w:rPr>
                <w:rFonts w:cs="Arial"/>
                <w:snapToGrid w:val="0"/>
              </w:rPr>
              <w:t xml:space="preserve"> </w:t>
            </w:r>
            <w:r>
              <w:rPr>
                <w:rFonts w:cs="Arial"/>
                <w:snapToGrid w:val="0"/>
              </w:rPr>
              <w:t>m</w:t>
            </w:r>
            <w:r>
              <w:rPr>
                <w:snapToGrid w:val="0"/>
              </w:rPr>
              <w:t>edical/</w:t>
            </w:r>
            <w:r w:rsidRPr="009A5185">
              <w:rPr>
                <w:rFonts w:cs="Arial"/>
                <w:snapToGrid w:val="0"/>
              </w:rPr>
              <w:t>surgical</w:t>
            </w:r>
            <w:r>
              <w:rPr>
                <w:rFonts w:cs="Arial"/>
                <w:snapToGrid w:val="0"/>
              </w:rPr>
              <w:t>,</w:t>
            </w:r>
            <w:r w:rsidRPr="009A5185">
              <w:rPr>
                <w:rFonts w:cs="Arial"/>
                <w:snapToGrid w:val="0"/>
              </w:rPr>
              <w:t xml:space="preserve"> and neuro ICUs</w:t>
            </w:r>
            <w:r>
              <w:rPr>
                <w:rFonts w:cs="Arial"/>
                <w:snapToGrid w:val="0"/>
              </w:rPr>
              <w:t xml:space="preserve">, and </w:t>
            </w:r>
            <w:r w:rsidRPr="00BD0565">
              <w:rPr>
                <w:rFonts w:cs="Arial"/>
                <w:snapToGrid w:val="0"/>
              </w:rPr>
              <w:t>questions about your hospital’s nursing staffing</w:t>
            </w:r>
            <w:r w:rsidRPr="009A5185">
              <w:rPr>
                <w:rFonts w:cs="Arial"/>
                <w:snapToGrid w:val="0"/>
              </w:rPr>
              <w:t>.</w:t>
            </w:r>
          </w:p>
        </w:tc>
      </w:tr>
      <w:tr w:rsidR="00872296" w:rsidRPr="009A5185" w14:paraId="277FA538" w14:textId="77777777" w:rsidTr="000C1F1D">
        <w:trPr>
          <w:trHeight w:val="1728"/>
          <w:jc w:val="center"/>
        </w:trPr>
        <w:tc>
          <w:tcPr>
            <w:tcW w:w="1083" w:type="dxa"/>
            <w:vAlign w:val="center"/>
          </w:tcPr>
          <w:p w14:paraId="50F98B86" w14:textId="77777777" w:rsidR="00872296" w:rsidRPr="009A5185" w:rsidRDefault="00CC4B19" w:rsidP="002168A5">
            <w:pPr>
              <w:jc w:val="center"/>
              <w:rPr>
                <w:rFonts w:cs="Arial"/>
                <w:b/>
                <w:snapToGrid w:val="0"/>
              </w:rPr>
            </w:pPr>
            <w:r w:rsidRPr="009A5185">
              <w:rPr>
                <w:rFonts w:cs="Arial"/>
                <w:b/>
                <w:snapToGrid w:val="0"/>
              </w:rPr>
              <w:t>6</w:t>
            </w:r>
          </w:p>
        </w:tc>
        <w:tc>
          <w:tcPr>
            <w:tcW w:w="982" w:type="dxa"/>
            <w:vAlign w:val="center"/>
          </w:tcPr>
          <w:p w14:paraId="106A655B" w14:textId="7901AEA2" w:rsidR="00872296" w:rsidRPr="009A5185" w:rsidRDefault="001C65A3" w:rsidP="001E0C89">
            <w:pPr>
              <w:jc w:val="center"/>
              <w:rPr>
                <w:rFonts w:cs="Arial"/>
                <w:b/>
                <w:snapToGrid w:val="0"/>
              </w:rPr>
            </w:pPr>
            <w:hyperlink w:anchor="_Section_6:_Patient" w:history="1">
              <w:r>
                <w:rPr>
                  <w:rStyle w:val="Hyperlink"/>
                  <w:rFonts w:cs="Arial"/>
                  <w:b/>
                  <w:snapToGrid w:val="0"/>
                </w:rPr>
                <w:t>Patient Safety Practices</w:t>
              </w:r>
            </w:hyperlink>
          </w:p>
        </w:tc>
        <w:tc>
          <w:tcPr>
            <w:tcW w:w="7295" w:type="dxa"/>
            <w:vAlign w:val="center"/>
          </w:tcPr>
          <w:p w14:paraId="5CBF0715" w14:textId="44A7A62C" w:rsidR="00872296" w:rsidRPr="009A5185" w:rsidRDefault="000C6D92" w:rsidP="000C1F1D">
            <w:pPr>
              <w:rPr>
                <w:rFonts w:cs="Arial"/>
                <w:snapToGrid w:val="0"/>
              </w:rPr>
            </w:pPr>
            <w:r w:rsidRPr="00332D4F">
              <w:rPr>
                <w:rFonts w:cs="Arial"/>
                <w:snapToGrid w:val="0"/>
              </w:rPr>
              <w:t xml:space="preserve">Section 6 includes questions about your hospital’s adherence to two National Quality Forum-endorsed Safe Practices, </w:t>
            </w:r>
            <w:r>
              <w:rPr>
                <w:rFonts w:cs="Arial"/>
                <w:snapToGrid w:val="0"/>
              </w:rPr>
              <w:t xml:space="preserve">and </w:t>
            </w:r>
            <w:r w:rsidRPr="00332D4F">
              <w:rPr>
                <w:rFonts w:cs="Arial"/>
                <w:snapToGrid w:val="0"/>
              </w:rPr>
              <w:t xml:space="preserve">questions about your hospital’s hand hygiene practices. </w:t>
            </w:r>
            <w:r>
              <w:rPr>
                <w:rFonts w:cs="Arial"/>
                <w:snapToGrid w:val="0"/>
              </w:rPr>
              <w:t>It also includes a subsection on diagnostic excellence (6D) and a new subsection on</w:t>
            </w:r>
            <w:r w:rsidR="00C601E5">
              <w:rPr>
                <w:rFonts w:cs="Arial"/>
                <w:snapToGrid w:val="0"/>
              </w:rPr>
              <w:t xml:space="preserve"> Hospital Boarding in the</w:t>
            </w:r>
            <w:r>
              <w:rPr>
                <w:rFonts w:cs="Arial"/>
                <w:snapToGrid w:val="0"/>
              </w:rPr>
              <w:t xml:space="preserve"> Emergency Department (ED) (6E)</w:t>
            </w:r>
            <w:r w:rsidR="00F13DD1">
              <w:rPr>
                <w:rFonts w:cs="Arial"/>
                <w:snapToGrid w:val="0"/>
              </w:rPr>
              <w:t>. Section 6D is required while Section 6E is optional.</w:t>
            </w:r>
            <w:r w:rsidR="00E45A9C">
              <w:rPr>
                <w:rFonts w:cs="Arial"/>
                <w:snapToGrid w:val="0"/>
              </w:rPr>
              <w:t xml:space="preserve"> </w:t>
            </w:r>
            <w:r w:rsidR="007E4997">
              <w:rPr>
                <w:rFonts w:cs="Arial"/>
                <w:snapToGrid w:val="0"/>
              </w:rPr>
              <w:t>These</w:t>
            </w:r>
            <w:r w:rsidR="00E45A9C">
              <w:rPr>
                <w:rFonts w:cs="Arial"/>
                <w:snapToGrid w:val="0"/>
              </w:rPr>
              <w:t xml:space="preserve"> subsection</w:t>
            </w:r>
            <w:r w:rsidR="007E4997">
              <w:rPr>
                <w:rFonts w:cs="Arial"/>
                <w:snapToGrid w:val="0"/>
              </w:rPr>
              <w:t>s</w:t>
            </w:r>
            <w:r w:rsidR="008B6696">
              <w:rPr>
                <w:rFonts w:cs="Arial"/>
                <w:snapToGrid w:val="0"/>
              </w:rPr>
              <w:t xml:space="preserve"> </w:t>
            </w:r>
            <w:r>
              <w:rPr>
                <w:rFonts w:cs="Arial"/>
                <w:snapToGrid w:val="0"/>
              </w:rPr>
              <w:t>will not be scored or publicly reported.</w:t>
            </w:r>
          </w:p>
        </w:tc>
      </w:tr>
      <w:tr w:rsidR="00872296" w:rsidRPr="009A5185" w14:paraId="244D7392" w14:textId="77777777" w:rsidTr="00B700D9">
        <w:trPr>
          <w:trHeight w:val="1584"/>
          <w:jc w:val="center"/>
        </w:trPr>
        <w:tc>
          <w:tcPr>
            <w:tcW w:w="1083" w:type="dxa"/>
            <w:vAlign w:val="center"/>
          </w:tcPr>
          <w:p w14:paraId="66F22118" w14:textId="77777777" w:rsidR="00872296" w:rsidRPr="009A5185" w:rsidRDefault="00CC4B19" w:rsidP="002168A5">
            <w:pPr>
              <w:jc w:val="center"/>
              <w:rPr>
                <w:rFonts w:cs="Arial"/>
                <w:b/>
                <w:snapToGrid w:val="0"/>
              </w:rPr>
            </w:pPr>
            <w:r w:rsidRPr="009A5185">
              <w:rPr>
                <w:rFonts w:cs="Arial"/>
                <w:b/>
                <w:snapToGrid w:val="0"/>
              </w:rPr>
              <w:lastRenderedPageBreak/>
              <w:t>7</w:t>
            </w:r>
          </w:p>
        </w:tc>
        <w:tc>
          <w:tcPr>
            <w:tcW w:w="982" w:type="dxa"/>
            <w:vAlign w:val="center"/>
          </w:tcPr>
          <w:p w14:paraId="71EC880E" w14:textId="1206B52E" w:rsidR="00872296" w:rsidRPr="009A5185" w:rsidRDefault="00CC4B19" w:rsidP="001E0C89">
            <w:pPr>
              <w:jc w:val="center"/>
              <w:rPr>
                <w:rFonts w:cs="Arial"/>
                <w:b/>
                <w:snapToGrid w:val="0"/>
              </w:rPr>
            </w:pPr>
            <w:hyperlink w:anchor="_Section_7:_Managing" w:history="1">
              <w:r w:rsidRPr="009A5185">
                <w:rPr>
                  <w:rStyle w:val="Hyperlink"/>
                  <w:rFonts w:cs="Arial"/>
                  <w:b/>
                  <w:snapToGrid w:val="0"/>
                </w:rPr>
                <w:t>Managing Serious Errors</w:t>
              </w:r>
            </w:hyperlink>
          </w:p>
        </w:tc>
        <w:tc>
          <w:tcPr>
            <w:tcW w:w="7295" w:type="dxa"/>
            <w:vAlign w:val="center"/>
          </w:tcPr>
          <w:p w14:paraId="3976F979" w14:textId="7E7AD5F7" w:rsidR="008D3B2E" w:rsidRPr="0099637F" w:rsidRDefault="00B700D9" w:rsidP="00B700D9">
            <w:pPr>
              <w:pStyle w:val="BodyText3"/>
              <w:rPr>
                <w:rFonts w:cs="Arial"/>
              </w:rPr>
            </w:pPr>
            <w:r w:rsidRPr="009A5185">
              <w:rPr>
                <w:rFonts w:cs="Arial"/>
                <w:snapToGrid w:val="0"/>
              </w:rPr>
              <w:t xml:space="preserve">Section 7 includes questions about your hospital’s response to </w:t>
            </w:r>
            <w:r w:rsidRPr="009A5185">
              <w:rPr>
                <w:rFonts w:cs="Arial"/>
              </w:rPr>
              <w:t xml:space="preserve">Never Events. In addition, Leapfrog collects information via its NHSN Group about five healthcare-associated infections (CLABSI, CAUTI, MRSA, </w:t>
            </w:r>
            <w:r w:rsidRPr="00CA12B2">
              <w:rPr>
                <w:rFonts w:cs="Arial"/>
                <w:i/>
                <w:snapToGrid w:val="0"/>
              </w:rPr>
              <w:t xml:space="preserve">C. </w:t>
            </w:r>
            <w:r>
              <w:rPr>
                <w:rFonts w:cs="Arial"/>
                <w:i/>
                <w:snapToGrid w:val="0"/>
              </w:rPr>
              <w:t>d</w:t>
            </w:r>
            <w:r w:rsidRPr="00CA12B2">
              <w:rPr>
                <w:rFonts w:cs="Arial"/>
                <w:i/>
                <w:snapToGrid w:val="0"/>
              </w:rPr>
              <w:t>iff.</w:t>
            </w:r>
            <w:r w:rsidRPr="009A5185">
              <w:rPr>
                <w:rFonts w:cs="Arial"/>
              </w:rPr>
              <w:t>, and SSI</w:t>
            </w:r>
            <w:r>
              <w:rPr>
                <w:rFonts w:cs="Arial"/>
              </w:rPr>
              <w:t>:</w:t>
            </w:r>
            <w:r w:rsidRPr="009A5185">
              <w:rPr>
                <w:rFonts w:cs="Arial"/>
              </w:rPr>
              <w:t xml:space="preserve"> Colon)</w:t>
            </w:r>
            <w:r>
              <w:rPr>
                <w:rFonts w:cs="Arial"/>
              </w:rPr>
              <w:t xml:space="preserve">. </w:t>
            </w:r>
            <w:r w:rsidRPr="009A5185">
              <w:rPr>
                <w:rFonts w:cs="Arial"/>
              </w:rPr>
              <w:t>Hospitals reporting on Section 7B</w:t>
            </w:r>
            <w:r>
              <w:rPr>
                <w:rFonts w:cs="Arial"/>
              </w:rPr>
              <w:t>:</w:t>
            </w:r>
            <w:r w:rsidRPr="009A5185">
              <w:rPr>
                <w:rFonts w:cs="Arial"/>
              </w:rPr>
              <w:t xml:space="preserve"> Healthcare-Associated Infections are required to join Leapfrog’s NHSN Group. Important information and deadlines </w:t>
            </w:r>
            <w:r>
              <w:rPr>
                <w:rFonts w:cs="Arial"/>
              </w:rPr>
              <w:t xml:space="preserve">are </w:t>
            </w:r>
            <w:r w:rsidRPr="009A5185">
              <w:rPr>
                <w:rFonts w:cs="Arial"/>
              </w:rPr>
              <w:t xml:space="preserve">available on the </w:t>
            </w:r>
            <w:hyperlink r:id="rId29" w:history="1">
              <w:r w:rsidR="007377EF" w:rsidRPr="00B04D2D">
                <w:rPr>
                  <w:rStyle w:val="Hyperlink"/>
                  <w:rFonts w:cs="Arial"/>
                </w:rPr>
                <w:t xml:space="preserve">Review NHSN </w:t>
              </w:r>
              <w:r w:rsidR="00477A87" w:rsidRPr="00B04D2D">
                <w:rPr>
                  <w:rStyle w:val="Hyperlink"/>
                  <w:rFonts w:cs="Arial"/>
                </w:rPr>
                <w:t>Instructions</w:t>
              </w:r>
              <w:r w:rsidR="00B04D2D" w:rsidRPr="00B04D2D">
                <w:rPr>
                  <w:rStyle w:val="Hyperlink"/>
                  <w:rFonts w:cs="Arial"/>
                </w:rPr>
                <w:t xml:space="preserve"> webpage</w:t>
              </w:r>
            </w:hyperlink>
            <w:r w:rsidRPr="009A5185">
              <w:rPr>
                <w:rFonts w:cs="Arial"/>
              </w:rPr>
              <w:t>.</w:t>
            </w:r>
          </w:p>
        </w:tc>
      </w:tr>
      <w:tr w:rsidR="00CC4B19" w:rsidRPr="009A5185" w14:paraId="0BFBD775" w14:textId="77777777" w:rsidTr="00B700D9">
        <w:trPr>
          <w:trHeight w:val="864"/>
          <w:jc w:val="center"/>
        </w:trPr>
        <w:tc>
          <w:tcPr>
            <w:tcW w:w="1083" w:type="dxa"/>
            <w:vAlign w:val="center"/>
          </w:tcPr>
          <w:p w14:paraId="4552DD67" w14:textId="7A2737B9" w:rsidR="00CC4B19" w:rsidRPr="009A5185" w:rsidRDefault="002127CF" w:rsidP="002168A5">
            <w:pPr>
              <w:jc w:val="center"/>
              <w:rPr>
                <w:rFonts w:cs="Arial"/>
                <w:b/>
                <w:snapToGrid w:val="0"/>
                <w:highlight w:val="yellow"/>
              </w:rPr>
            </w:pPr>
            <w:r>
              <w:rPr>
                <w:rFonts w:cs="Arial"/>
                <w:b/>
                <w:snapToGrid w:val="0"/>
              </w:rPr>
              <w:t>8</w:t>
            </w:r>
          </w:p>
        </w:tc>
        <w:tc>
          <w:tcPr>
            <w:tcW w:w="982" w:type="dxa"/>
            <w:vAlign w:val="center"/>
          </w:tcPr>
          <w:p w14:paraId="170491E3" w14:textId="5D668D03" w:rsidR="00CC4B19" w:rsidRPr="009A5185" w:rsidRDefault="009D788B" w:rsidP="008118CF">
            <w:pPr>
              <w:jc w:val="center"/>
              <w:rPr>
                <w:rFonts w:cs="Arial"/>
                <w:b/>
                <w:snapToGrid w:val="0"/>
              </w:rPr>
            </w:pPr>
            <w:hyperlink w:anchor="_Section_8:_Pediatric" w:history="1">
              <w:r w:rsidRPr="009A5185">
                <w:rPr>
                  <w:rStyle w:val="Hyperlink"/>
                  <w:rFonts w:cs="Arial"/>
                  <w:b/>
                </w:rPr>
                <w:t>Pediatric Care</w:t>
              </w:r>
            </w:hyperlink>
          </w:p>
        </w:tc>
        <w:tc>
          <w:tcPr>
            <w:tcW w:w="7295" w:type="dxa"/>
            <w:vAlign w:val="center"/>
          </w:tcPr>
          <w:p w14:paraId="255D6BC3" w14:textId="0186A0F4" w:rsidR="00CC4B19" w:rsidRPr="009A5185" w:rsidRDefault="00B700D9" w:rsidP="00B700D9">
            <w:pPr>
              <w:pStyle w:val="BodyText3"/>
              <w:rPr>
                <w:rFonts w:cs="Arial"/>
                <w:snapToGrid w:val="0"/>
              </w:rPr>
            </w:pPr>
            <w:r w:rsidRPr="009A5185">
              <w:rPr>
                <w:rFonts w:cs="Arial"/>
                <w:snapToGrid w:val="0"/>
              </w:rPr>
              <w:t xml:space="preserve">Section </w:t>
            </w:r>
            <w:r>
              <w:rPr>
                <w:rFonts w:cs="Arial"/>
                <w:snapToGrid w:val="0"/>
              </w:rPr>
              <w:t>8</w:t>
            </w:r>
            <w:r w:rsidRPr="009A5185">
              <w:rPr>
                <w:rFonts w:cs="Arial"/>
                <w:snapToGrid w:val="0"/>
              </w:rPr>
              <w:t xml:space="preserve"> includes questions about patient experience (CAHPS Child Hospital Survey) and Computed Tomography (CT) radiation dose</w:t>
            </w:r>
            <w:r>
              <w:rPr>
                <w:rFonts w:cs="Arial"/>
                <w:snapToGrid w:val="0"/>
              </w:rPr>
              <w:t xml:space="preserve"> for pediatric patients</w:t>
            </w:r>
            <w:r w:rsidRPr="009A5185">
              <w:rPr>
                <w:rFonts w:cs="Arial"/>
                <w:snapToGrid w:val="0"/>
              </w:rPr>
              <w:t>.</w:t>
            </w:r>
            <w:r>
              <w:rPr>
                <w:rFonts w:cs="Arial"/>
                <w:snapToGrid w:val="0"/>
              </w:rPr>
              <w:t xml:space="preserve"> </w:t>
            </w:r>
            <w:r w:rsidR="009E086B">
              <w:rPr>
                <w:rFonts w:cs="Arial"/>
                <w:snapToGrid w:val="0"/>
              </w:rPr>
              <w:t xml:space="preserve">For 2026, </w:t>
            </w:r>
            <w:r w:rsidR="00381F41">
              <w:rPr>
                <w:rFonts w:cs="Arial"/>
                <w:snapToGrid w:val="0"/>
              </w:rPr>
              <w:t xml:space="preserve">pediatric hospital are required to complete </w:t>
            </w:r>
            <w:r w:rsidR="009E086B">
              <w:rPr>
                <w:rFonts w:cs="Arial"/>
                <w:snapToGrid w:val="0"/>
              </w:rPr>
              <w:t>t</w:t>
            </w:r>
            <w:r w:rsidR="00C145BE">
              <w:rPr>
                <w:rFonts w:cs="Arial"/>
                <w:snapToGrid w:val="0"/>
              </w:rPr>
              <w:t>his section.</w:t>
            </w:r>
          </w:p>
        </w:tc>
      </w:tr>
      <w:tr w:rsidR="00E0467E" w:rsidRPr="009A5185" w14:paraId="141B2C9B" w14:textId="77777777" w:rsidTr="00B700D9">
        <w:trPr>
          <w:trHeight w:val="864"/>
          <w:jc w:val="center"/>
        </w:trPr>
        <w:tc>
          <w:tcPr>
            <w:tcW w:w="1083" w:type="dxa"/>
            <w:vAlign w:val="center"/>
          </w:tcPr>
          <w:p w14:paraId="57855F25" w14:textId="6434009A" w:rsidR="002759AB" w:rsidRPr="009A5185" w:rsidRDefault="002127CF" w:rsidP="002168A5">
            <w:pPr>
              <w:jc w:val="center"/>
              <w:rPr>
                <w:rFonts w:cs="Arial"/>
                <w:b/>
                <w:snapToGrid w:val="0"/>
              </w:rPr>
            </w:pPr>
            <w:r>
              <w:rPr>
                <w:rFonts w:cs="Arial"/>
                <w:b/>
                <w:snapToGrid w:val="0"/>
              </w:rPr>
              <w:t>9</w:t>
            </w:r>
          </w:p>
        </w:tc>
        <w:tc>
          <w:tcPr>
            <w:tcW w:w="982" w:type="dxa"/>
            <w:vAlign w:val="center"/>
          </w:tcPr>
          <w:p w14:paraId="329FFEC3" w14:textId="680D1CF8" w:rsidR="002759AB" w:rsidRDefault="002759AB" w:rsidP="008118CF">
            <w:pPr>
              <w:jc w:val="center"/>
              <w:rPr>
                <w:rStyle w:val="Hyperlink"/>
                <w:rFonts w:cs="Arial"/>
                <w:b/>
              </w:rPr>
            </w:pPr>
            <w:hyperlink w:anchor="_Section_9:_Outpatient" w:history="1">
              <w:r w:rsidRPr="002A1984">
                <w:rPr>
                  <w:rStyle w:val="Hyperlink"/>
                  <w:rFonts w:cs="Arial"/>
                  <w:b/>
                </w:rPr>
                <w:t>Outpatient</w:t>
              </w:r>
              <w:r w:rsidR="000F608C" w:rsidRPr="002A1984">
                <w:rPr>
                  <w:rStyle w:val="Hyperlink"/>
                  <w:rFonts w:cs="Arial"/>
                  <w:b/>
                </w:rPr>
                <w:t xml:space="preserve"> Procedures</w:t>
              </w:r>
            </w:hyperlink>
          </w:p>
        </w:tc>
        <w:tc>
          <w:tcPr>
            <w:tcW w:w="7295" w:type="dxa"/>
            <w:vAlign w:val="center"/>
          </w:tcPr>
          <w:p w14:paraId="3EFD3D08" w14:textId="48C7E8BF" w:rsidR="002759AB" w:rsidRPr="009A5185" w:rsidRDefault="00B700D9" w:rsidP="00B700D9">
            <w:pPr>
              <w:pStyle w:val="BodyText3"/>
              <w:rPr>
                <w:rFonts w:cs="Arial"/>
                <w:snapToGrid w:val="0"/>
              </w:rPr>
            </w:pPr>
            <w:r>
              <w:rPr>
                <w:rFonts w:cs="Arial"/>
                <w:snapToGrid w:val="0"/>
              </w:rPr>
              <w:t>Section 9 includes questions about the volume and safety of same-day procedures performed in hospital outpatient departments</w:t>
            </w:r>
            <w:r w:rsidR="009A5C06">
              <w:rPr>
                <w:rFonts w:cs="Arial"/>
                <w:snapToGrid w:val="0"/>
              </w:rPr>
              <w:t>. Additionally, Leapfrog downloads CMS data on unplanned hospital visits after an outpatient colonoscopy (OP-32)</w:t>
            </w:r>
            <w:r w:rsidR="00226E03">
              <w:rPr>
                <w:rFonts w:cs="Arial"/>
                <w:snapToGrid w:val="0"/>
              </w:rPr>
              <w:t xml:space="preserve"> and</w:t>
            </w:r>
            <w:r>
              <w:rPr>
                <w:rFonts w:cs="Arial"/>
                <w:snapToGrid w:val="0"/>
              </w:rPr>
              <w:t xml:space="preserve"> the experience of patients who had a same-day surgery performed</w:t>
            </w:r>
            <w:r w:rsidR="009C1326">
              <w:rPr>
                <w:rFonts w:cs="Arial"/>
                <w:snapToGrid w:val="0"/>
              </w:rPr>
              <w:t xml:space="preserve"> (OAS CAHPS)</w:t>
            </w:r>
            <w:r>
              <w:rPr>
                <w:rFonts w:cs="Arial"/>
                <w:snapToGrid w:val="0"/>
              </w:rPr>
              <w:t>.</w:t>
            </w:r>
            <w:r w:rsidR="00406E6F">
              <w:rPr>
                <w:rFonts w:cs="Arial"/>
                <w:snapToGrid w:val="0"/>
              </w:rPr>
              <w:t xml:space="preserve"> </w:t>
            </w:r>
            <w:r w:rsidR="005F4F79">
              <w:rPr>
                <w:rFonts w:cs="Arial"/>
                <w:snapToGrid w:val="0"/>
              </w:rPr>
              <w:t>For</w:t>
            </w:r>
            <w:r w:rsidR="00406E6F">
              <w:rPr>
                <w:rFonts w:cs="Arial"/>
                <w:snapToGrid w:val="0"/>
              </w:rPr>
              <w:t xml:space="preserve"> 2026, </w:t>
            </w:r>
            <w:r w:rsidR="005F4F79">
              <w:rPr>
                <w:rFonts w:cs="Arial"/>
                <w:snapToGrid w:val="0"/>
              </w:rPr>
              <w:t xml:space="preserve">reporting on </w:t>
            </w:r>
            <w:r w:rsidR="00406E6F">
              <w:rPr>
                <w:rFonts w:cs="Arial"/>
                <w:snapToGrid w:val="0"/>
              </w:rPr>
              <w:t>Section 9C: Volume of Procedures</w:t>
            </w:r>
            <w:r w:rsidR="005F4F79">
              <w:rPr>
                <w:rFonts w:cs="Arial"/>
                <w:snapToGrid w:val="0"/>
              </w:rPr>
              <w:t xml:space="preserve"> is optional.</w:t>
            </w:r>
          </w:p>
        </w:tc>
      </w:tr>
    </w:tbl>
    <w:p w14:paraId="718B01D5" w14:textId="77777777" w:rsidR="00716787" w:rsidRPr="00F836E7" w:rsidRDefault="00716787" w:rsidP="00265528">
      <w:pPr>
        <w:rPr>
          <w:rFonts w:cs="Arial"/>
          <w:snapToGrid w:val="0"/>
        </w:rPr>
      </w:pPr>
    </w:p>
    <w:p w14:paraId="7CD24C2D" w14:textId="11458D10" w:rsidR="008557B9" w:rsidRPr="008557B9" w:rsidRDefault="008557B9" w:rsidP="008557B9">
      <w:pPr>
        <w:pStyle w:val="FactSheetText"/>
        <w:rPr>
          <w:rFonts w:ascii="Arial" w:hAnsi="Arial" w:cs="Arial"/>
        </w:rPr>
      </w:pPr>
      <w:r w:rsidRPr="008557B9">
        <w:rPr>
          <w:rFonts w:ascii="Arial" w:hAnsi="Arial" w:cs="Arial"/>
          <w:snapToGrid w:val="0"/>
          <w:sz w:val="20"/>
          <w:szCs w:val="20"/>
        </w:rPr>
        <w:t>Section 1</w:t>
      </w:r>
      <w:r w:rsidR="002127CF">
        <w:rPr>
          <w:rFonts w:ascii="Arial" w:hAnsi="Arial" w:cs="Arial"/>
          <w:snapToGrid w:val="0"/>
          <w:sz w:val="20"/>
          <w:szCs w:val="20"/>
        </w:rPr>
        <w:t>:</w:t>
      </w:r>
      <w:r w:rsidRPr="008557B9">
        <w:rPr>
          <w:rFonts w:ascii="Arial" w:hAnsi="Arial" w:cs="Arial"/>
          <w:snapToGrid w:val="0"/>
          <w:sz w:val="20"/>
          <w:szCs w:val="20"/>
        </w:rPr>
        <w:t xml:space="preserve"> </w:t>
      </w:r>
      <w:r w:rsidR="003D7E9D" w:rsidRPr="003D7E9D">
        <w:rPr>
          <w:rFonts w:ascii="Arial" w:hAnsi="Arial" w:cs="Arial"/>
          <w:snapToGrid w:val="0"/>
          <w:sz w:val="20"/>
          <w:szCs w:val="20"/>
        </w:rPr>
        <w:t>Patient Rights and Ethics</w:t>
      </w:r>
      <w:r w:rsidRPr="008557B9">
        <w:rPr>
          <w:rFonts w:ascii="Arial" w:hAnsi="Arial" w:cs="Arial"/>
          <w:snapToGrid w:val="0"/>
          <w:sz w:val="20"/>
          <w:szCs w:val="20"/>
        </w:rPr>
        <w:t>, Section 2</w:t>
      </w:r>
      <w:r w:rsidR="002127CF">
        <w:rPr>
          <w:rFonts w:ascii="Arial" w:hAnsi="Arial" w:cs="Arial"/>
          <w:snapToGrid w:val="0"/>
          <w:sz w:val="20"/>
          <w:szCs w:val="20"/>
        </w:rPr>
        <w:t>: Medication Safety</w:t>
      </w:r>
      <w:r w:rsidRPr="008557B9">
        <w:rPr>
          <w:rFonts w:ascii="Arial" w:hAnsi="Arial" w:cs="Arial"/>
          <w:snapToGrid w:val="0"/>
          <w:sz w:val="20"/>
          <w:szCs w:val="20"/>
        </w:rPr>
        <w:t>, Section 4</w:t>
      </w:r>
      <w:r w:rsidR="002127CF">
        <w:rPr>
          <w:rFonts w:ascii="Arial" w:hAnsi="Arial" w:cs="Arial"/>
          <w:snapToGrid w:val="0"/>
          <w:sz w:val="20"/>
          <w:szCs w:val="20"/>
        </w:rPr>
        <w:t>:</w:t>
      </w:r>
      <w:r w:rsidRPr="008557B9">
        <w:rPr>
          <w:rFonts w:ascii="Arial" w:hAnsi="Arial" w:cs="Arial"/>
          <w:snapToGrid w:val="0"/>
          <w:sz w:val="20"/>
          <w:szCs w:val="20"/>
        </w:rPr>
        <w:t xml:space="preserve"> Maternity Care, Section 5</w:t>
      </w:r>
      <w:r w:rsidR="002127CF">
        <w:rPr>
          <w:rFonts w:ascii="Arial" w:hAnsi="Arial" w:cs="Arial"/>
          <w:snapToGrid w:val="0"/>
          <w:sz w:val="20"/>
          <w:szCs w:val="20"/>
        </w:rPr>
        <w:t>:</w:t>
      </w:r>
      <w:r w:rsidRPr="008557B9">
        <w:rPr>
          <w:rFonts w:ascii="Arial" w:hAnsi="Arial" w:cs="Arial"/>
          <w:snapToGrid w:val="0"/>
          <w:sz w:val="20"/>
          <w:szCs w:val="20"/>
        </w:rPr>
        <w:t xml:space="preserve"> </w:t>
      </w:r>
      <w:r w:rsidR="009D6510">
        <w:rPr>
          <w:rFonts w:ascii="Arial" w:hAnsi="Arial" w:cs="Arial"/>
          <w:snapToGrid w:val="0"/>
          <w:sz w:val="20"/>
          <w:szCs w:val="20"/>
        </w:rPr>
        <w:t xml:space="preserve">Physician and Nurse </w:t>
      </w:r>
      <w:r w:rsidR="00C10E38">
        <w:rPr>
          <w:rFonts w:ascii="Arial" w:hAnsi="Arial" w:cs="Arial"/>
          <w:snapToGrid w:val="0"/>
          <w:sz w:val="20"/>
          <w:szCs w:val="20"/>
        </w:rPr>
        <w:t>Staffing</w:t>
      </w:r>
      <w:r w:rsidRPr="008557B9">
        <w:rPr>
          <w:rFonts w:ascii="Arial" w:hAnsi="Arial" w:cs="Arial"/>
          <w:snapToGrid w:val="0"/>
          <w:sz w:val="20"/>
          <w:szCs w:val="20"/>
        </w:rPr>
        <w:t>, Section 6</w:t>
      </w:r>
      <w:r w:rsidR="002127CF">
        <w:rPr>
          <w:rFonts w:ascii="Arial" w:hAnsi="Arial" w:cs="Arial"/>
          <w:snapToGrid w:val="0"/>
          <w:sz w:val="20"/>
          <w:szCs w:val="20"/>
        </w:rPr>
        <w:t>:</w:t>
      </w:r>
      <w:r w:rsidRPr="008557B9">
        <w:rPr>
          <w:rFonts w:ascii="Arial" w:hAnsi="Arial" w:cs="Arial"/>
          <w:snapToGrid w:val="0"/>
          <w:sz w:val="20"/>
          <w:szCs w:val="20"/>
        </w:rPr>
        <w:t xml:space="preserve"> </w:t>
      </w:r>
      <w:r w:rsidR="00B152BD">
        <w:rPr>
          <w:rFonts w:ascii="Arial" w:hAnsi="Arial" w:cs="Arial"/>
          <w:snapToGrid w:val="0"/>
          <w:sz w:val="20"/>
          <w:szCs w:val="20"/>
        </w:rPr>
        <w:t>Patient Safety Practice</w:t>
      </w:r>
      <w:r w:rsidRPr="008557B9">
        <w:rPr>
          <w:rFonts w:ascii="Arial" w:hAnsi="Arial" w:cs="Arial"/>
          <w:snapToGrid w:val="0"/>
          <w:sz w:val="20"/>
          <w:szCs w:val="20"/>
        </w:rPr>
        <w:t>s</w:t>
      </w:r>
      <w:r w:rsidR="002127CF">
        <w:rPr>
          <w:rFonts w:ascii="Arial" w:hAnsi="Arial" w:cs="Arial"/>
          <w:snapToGrid w:val="0"/>
          <w:sz w:val="20"/>
          <w:szCs w:val="20"/>
        </w:rPr>
        <w:t>, Section 7: Managing Serious Errors</w:t>
      </w:r>
      <w:r w:rsidR="00920614">
        <w:rPr>
          <w:rFonts w:ascii="Arial" w:hAnsi="Arial" w:cs="Arial"/>
          <w:snapToGrid w:val="0"/>
          <w:sz w:val="20"/>
          <w:szCs w:val="20"/>
        </w:rPr>
        <w:t xml:space="preserve">, and Section 8: Pediatric </w:t>
      </w:r>
      <w:r w:rsidR="00BD4D35">
        <w:rPr>
          <w:rFonts w:ascii="Arial" w:hAnsi="Arial" w:cs="Arial"/>
          <w:snapToGrid w:val="0"/>
          <w:sz w:val="20"/>
          <w:szCs w:val="20"/>
        </w:rPr>
        <w:t>Care (for pediatric hospitals only)</w:t>
      </w:r>
      <w:r w:rsidRPr="008557B9">
        <w:rPr>
          <w:rFonts w:ascii="Arial" w:hAnsi="Arial" w:cs="Arial"/>
          <w:snapToGrid w:val="0"/>
          <w:sz w:val="20"/>
          <w:szCs w:val="20"/>
        </w:rPr>
        <w:t xml:space="preserve"> are required </w:t>
      </w:r>
      <w:r w:rsidR="00A776EE" w:rsidRPr="008557B9">
        <w:rPr>
          <w:rFonts w:ascii="Arial" w:hAnsi="Arial" w:cs="Arial"/>
          <w:snapToGrid w:val="0"/>
          <w:sz w:val="20"/>
          <w:szCs w:val="20"/>
        </w:rPr>
        <w:t>to</w:t>
      </w:r>
      <w:r w:rsidRPr="008557B9">
        <w:rPr>
          <w:rFonts w:ascii="Arial" w:hAnsi="Arial" w:cs="Arial"/>
          <w:snapToGrid w:val="0"/>
          <w:sz w:val="20"/>
          <w:szCs w:val="20"/>
        </w:rPr>
        <w:t xml:space="preserve"> submit a </w:t>
      </w:r>
      <w:r>
        <w:rPr>
          <w:rFonts w:ascii="Arial" w:hAnsi="Arial" w:cs="Arial"/>
          <w:snapToGrid w:val="0"/>
          <w:sz w:val="20"/>
          <w:szCs w:val="20"/>
        </w:rPr>
        <w:t xml:space="preserve">Survey via the Online Hospital Survey Tool. </w:t>
      </w:r>
      <w:r w:rsidRPr="008557B9">
        <w:rPr>
          <w:rFonts w:ascii="Arial" w:hAnsi="Arial" w:cs="Arial"/>
          <w:snapToGrid w:val="0"/>
          <w:sz w:val="20"/>
          <w:szCs w:val="20"/>
        </w:rPr>
        <w:t>Hospitals are strongly urged to submit all sections of the Leapfrog Hospital Survey</w:t>
      </w:r>
      <w:r w:rsidR="00245F8C">
        <w:rPr>
          <w:rFonts w:ascii="Arial" w:hAnsi="Arial" w:cs="Arial"/>
          <w:snapToGrid w:val="0"/>
          <w:sz w:val="20"/>
          <w:szCs w:val="20"/>
        </w:rPr>
        <w:t xml:space="preserve"> </w:t>
      </w:r>
      <w:r w:rsidR="00245F8C" w:rsidRPr="00245F8C">
        <w:rPr>
          <w:rFonts w:ascii="Arial" w:hAnsi="Arial" w:cs="Arial"/>
          <w:snapToGrid w:val="0"/>
          <w:sz w:val="20"/>
          <w:szCs w:val="20"/>
        </w:rPr>
        <w:t>and can indicate within a section if a measure does not apply</w:t>
      </w:r>
      <w:r>
        <w:rPr>
          <w:rFonts w:ascii="Arial" w:hAnsi="Arial" w:cs="Arial"/>
          <w:snapToGrid w:val="0"/>
          <w:sz w:val="20"/>
          <w:szCs w:val="20"/>
        </w:rPr>
        <w:t xml:space="preserve">. </w:t>
      </w:r>
    </w:p>
    <w:p w14:paraId="2AC147AB" w14:textId="77777777" w:rsidR="00D40987" w:rsidRPr="00F836E7" w:rsidRDefault="00D40987">
      <w:pPr>
        <w:rPr>
          <w:rFonts w:cs="Arial"/>
          <w:snapToGrid w:val="0"/>
        </w:rPr>
      </w:pPr>
    </w:p>
    <w:p w14:paraId="53E7458F" w14:textId="33D1CB45" w:rsidR="0010643F" w:rsidRPr="009A5185" w:rsidRDefault="006459EC" w:rsidP="0010643F">
      <w:pPr>
        <w:rPr>
          <w:rFonts w:cs="Arial"/>
          <w:snapToGrid w:val="0"/>
        </w:rPr>
      </w:pPr>
      <w:r>
        <w:rPr>
          <w:rFonts w:cs="Arial"/>
          <w:snapToGrid w:val="0"/>
        </w:rPr>
        <w:t xml:space="preserve">The </w:t>
      </w:r>
      <w:r w:rsidRPr="009A5185">
        <w:rPr>
          <w:rFonts w:cs="Arial"/>
          <w:snapToGrid w:val="0"/>
        </w:rPr>
        <w:t xml:space="preserve">hard copy of the Survey and the </w:t>
      </w:r>
      <w:r w:rsidR="004B22C6">
        <w:rPr>
          <w:rFonts w:cs="Arial"/>
          <w:snapToGrid w:val="0"/>
        </w:rPr>
        <w:t>Online Hospital Survey Tool</w:t>
      </w:r>
      <w:r>
        <w:rPr>
          <w:rFonts w:cs="Arial"/>
          <w:snapToGrid w:val="0"/>
        </w:rPr>
        <w:t xml:space="preserve"> are organized in the same format for all </w:t>
      </w:r>
      <w:r w:rsidR="009D494A">
        <w:rPr>
          <w:rFonts w:cs="Arial"/>
          <w:snapToGrid w:val="0"/>
        </w:rPr>
        <w:t>nine</w:t>
      </w:r>
      <w:r>
        <w:rPr>
          <w:rFonts w:cs="Arial"/>
          <w:snapToGrid w:val="0"/>
        </w:rPr>
        <w:t xml:space="preserve"> s</w:t>
      </w:r>
      <w:r w:rsidR="00B0355B" w:rsidRPr="009A5185">
        <w:rPr>
          <w:rFonts w:cs="Arial"/>
          <w:snapToGrid w:val="0"/>
        </w:rPr>
        <w:t>ections</w:t>
      </w:r>
      <w:r>
        <w:rPr>
          <w:rFonts w:cs="Arial"/>
          <w:snapToGrid w:val="0"/>
        </w:rPr>
        <w:t>:</w:t>
      </w:r>
      <w:r w:rsidR="00D66EDA" w:rsidRPr="009A5185">
        <w:rPr>
          <w:rFonts w:cs="Arial"/>
          <w:snapToGrid w:val="0"/>
        </w:rPr>
        <w:t xml:space="preserve"> </w:t>
      </w:r>
    </w:p>
    <w:p w14:paraId="28109F26" w14:textId="3157D50D" w:rsidR="0010643F" w:rsidRPr="009A5185" w:rsidRDefault="0010643F" w:rsidP="00AD309C">
      <w:pPr>
        <w:pStyle w:val="ListParagraph"/>
        <w:numPr>
          <w:ilvl w:val="0"/>
          <w:numId w:val="32"/>
        </w:numPr>
        <w:rPr>
          <w:rFonts w:cs="Arial"/>
          <w:snapToGrid w:val="0"/>
        </w:rPr>
      </w:pPr>
      <w:r w:rsidRPr="009A5185">
        <w:rPr>
          <w:rFonts w:cs="Arial"/>
          <w:b/>
          <w:snapToGrid w:val="0"/>
          <w:u w:val="single"/>
        </w:rPr>
        <w:t>General information</w:t>
      </w:r>
      <w:r w:rsidRPr="009A5185">
        <w:rPr>
          <w:rFonts w:cs="Arial"/>
          <w:snapToGrid w:val="0"/>
        </w:rPr>
        <w:t xml:space="preserve"> about The </w:t>
      </w:r>
      <w:r w:rsidR="00D66EDA" w:rsidRPr="009A5185">
        <w:rPr>
          <w:rFonts w:cs="Arial"/>
          <w:snapToGrid w:val="0"/>
        </w:rPr>
        <w:t>Leapfrog Group</w:t>
      </w:r>
      <w:r w:rsidR="00FF72B9">
        <w:rPr>
          <w:rFonts w:cs="Arial"/>
          <w:snapToGrid w:val="0"/>
        </w:rPr>
        <w:t>’s</w:t>
      </w:r>
      <w:r w:rsidR="00D66EDA" w:rsidRPr="009A5185">
        <w:rPr>
          <w:rFonts w:cs="Arial"/>
          <w:snapToGrid w:val="0"/>
        </w:rPr>
        <w:t xml:space="preserve"> standard (included in the </w:t>
      </w:r>
      <w:r w:rsidRPr="009A5185">
        <w:rPr>
          <w:rFonts w:cs="Arial"/>
          <w:snapToGrid w:val="0"/>
        </w:rPr>
        <w:t>hard</w:t>
      </w:r>
      <w:r w:rsidR="00BF27F1" w:rsidRPr="009A5185">
        <w:rPr>
          <w:rFonts w:cs="Arial"/>
          <w:snapToGrid w:val="0"/>
        </w:rPr>
        <w:t xml:space="preserve"> </w:t>
      </w:r>
      <w:r w:rsidR="00D66EDA" w:rsidRPr="009A5185">
        <w:rPr>
          <w:rFonts w:cs="Arial"/>
          <w:snapToGrid w:val="0"/>
        </w:rPr>
        <w:t>copy only)</w:t>
      </w:r>
      <w:r w:rsidRPr="009A5185">
        <w:rPr>
          <w:rFonts w:cs="Arial"/>
          <w:snapToGrid w:val="0"/>
        </w:rPr>
        <w:t xml:space="preserve">. </w:t>
      </w:r>
    </w:p>
    <w:p w14:paraId="20B64607" w14:textId="77777777" w:rsidR="0010643F" w:rsidRPr="009A5185" w:rsidRDefault="0010643F" w:rsidP="00AD309C">
      <w:pPr>
        <w:pStyle w:val="ListParagraph"/>
        <w:numPr>
          <w:ilvl w:val="0"/>
          <w:numId w:val="32"/>
        </w:numPr>
        <w:rPr>
          <w:rFonts w:cs="Arial"/>
          <w:snapToGrid w:val="0"/>
        </w:rPr>
      </w:pPr>
      <w:r w:rsidRPr="009A5185">
        <w:rPr>
          <w:rFonts w:cs="Arial"/>
          <w:b/>
          <w:snapToGrid w:val="0"/>
          <w:u w:val="single"/>
        </w:rPr>
        <w:t>Reporting periods</w:t>
      </w:r>
      <w:r w:rsidRPr="009A5185">
        <w:rPr>
          <w:rFonts w:cs="Arial"/>
          <w:snapToGrid w:val="0"/>
        </w:rPr>
        <w:t xml:space="preserve"> to provide hospitals with specific periods of time for each set of questions</w:t>
      </w:r>
      <w:r w:rsidR="00283A08" w:rsidRPr="009A5185">
        <w:rPr>
          <w:rFonts w:cs="Arial"/>
          <w:snapToGrid w:val="0"/>
        </w:rPr>
        <w:t>.</w:t>
      </w:r>
      <w:r w:rsidRPr="009A5185">
        <w:rPr>
          <w:rFonts w:cs="Arial"/>
          <w:snapToGrid w:val="0"/>
        </w:rPr>
        <w:t xml:space="preserve"> </w:t>
      </w:r>
    </w:p>
    <w:p w14:paraId="0BA9507D" w14:textId="5444A73A" w:rsidR="0010643F" w:rsidRPr="009A5185" w:rsidRDefault="0010643F" w:rsidP="00AD309C">
      <w:pPr>
        <w:pStyle w:val="ListParagraph"/>
        <w:numPr>
          <w:ilvl w:val="0"/>
          <w:numId w:val="32"/>
        </w:numPr>
        <w:rPr>
          <w:rFonts w:cs="Arial"/>
          <w:snapToGrid w:val="0"/>
        </w:rPr>
      </w:pPr>
      <w:r w:rsidRPr="009A5185">
        <w:rPr>
          <w:rFonts w:cs="Arial"/>
          <w:b/>
          <w:snapToGrid w:val="0"/>
          <w:u w:val="single"/>
        </w:rPr>
        <w:t>Survey questions</w:t>
      </w:r>
      <w:r w:rsidRPr="009A5185">
        <w:rPr>
          <w:rFonts w:cs="Arial"/>
          <w:snapToGrid w:val="0"/>
        </w:rPr>
        <w:t xml:space="preserve"> </w:t>
      </w:r>
      <w:r w:rsidR="00270163" w:rsidRPr="009A5185">
        <w:rPr>
          <w:rFonts w:cs="Arial"/>
          <w:snapToGrid w:val="0"/>
        </w:rPr>
        <w:t>which may include references to end</w:t>
      </w:r>
      <w:r w:rsidRPr="009A5185">
        <w:rPr>
          <w:rFonts w:cs="Arial"/>
          <w:snapToGrid w:val="0"/>
        </w:rPr>
        <w:t>notes</w:t>
      </w:r>
      <w:r w:rsidR="000D6757">
        <w:rPr>
          <w:rFonts w:cs="Arial"/>
          <w:snapToGrid w:val="0"/>
        </w:rPr>
        <w:t xml:space="preserve"> or FAQs</w:t>
      </w:r>
      <w:r w:rsidRPr="009A5185">
        <w:rPr>
          <w:rFonts w:cs="Arial"/>
          <w:snapToGrid w:val="0"/>
        </w:rPr>
        <w:t xml:space="preserve">. </w:t>
      </w:r>
      <w:r w:rsidR="00270163" w:rsidRPr="009A5185">
        <w:rPr>
          <w:rFonts w:cs="Arial"/>
          <w:snapToGrid w:val="0"/>
        </w:rPr>
        <w:t xml:space="preserve">The </w:t>
      </w:r>
      <w:r w:rsidR="00C14AFF" w:rsidRPr="009A5185">
        <w:rPr>
          <w:rFonts w:cs="Arial"/>
          <w:snapToGrid w:val="0"/>
        </w:rPr>
        <w:t>Survey</w:t>
      </w:r>
      <w:r w:rsidR="00270163" w:rsidRPr="009A5185">
        <w:rPr>
          <w:rFonts w:cs="Arial"/>
          <w:snapToGrid w:val="0"/>
        </w:rPr>
        <w:t xml:space="preserve"> questions and end</w:t>
      </w:r>
      <w:r w:rsidRPr="009A5185">
        <w:rPr>
          <w:rFonts w:cs="Arial"/>
          <w:snapToGrid w:val="0"/>
        </w:rPr>
        <w:t xml:space="preserve">notes match the </w:t>
      </w:r>
      <w:r w:rsidR="004B22C6">
        <w:rPr>
          <w:rFonts w:cs="Arial"/>
          <w:snapToGrid w:val="0"/>
        </w:rPr>
        <w:t>Online Hospital Survey Tool</w:t>
      </w:r>
      <w:r w:rsidRPr="009A5185">
        <w:rPr>
          <w:rFonts w:cs="Arial"/>
          <w:snapToGrid w:val="0"/>
        </w:rPr>
        <w:t xml:space="preserve"> exactly. </w:t>
      </w:r>
    </w:p>
    <w:p w14:paraId="79818BFF" w14:textId="76BBFB6F" w:rsidR="0010643F" w:rsidRPr="009A5185" w:rsidRDefault="0010643F" w:rsidP="00AD309C">
      <w:pPr>
        <w:pStyle w:val="ListParagraph"/>
        <w:numPr>
          <w:ilvl w:val="0"/>
          <w:numId w:val="32"/>
        </w:numPr>
        <w:rPr>
          <w:rFonts w:cs="Arial"/>
          <w:snapToGrid w:val="0"/>
        </w:rPr>
      </w:pPr>
      <w:r w:rsidRPr="009A5185">
        <w:rPr>
          <w:rFonts w:cs="Arial"/>
          <w:b/>
          <w:snapToGrid w:val="0"/>
          <w:u w:val="single"/>
        </w:rPr>
        <w:t>Affirmation of accuracy</w:t>
      </w:r>
      <w:r w:rsidR="005E0CCA" w:rsidRPr="009A5185">
        <w:rPr>
          <w:rFonts w:cs="Arial"/>
          <w:snapToGrid w:val="0"/>
        </w:rPr>
        <w:t xml:space="preserve"> by your hospital’s CEO/</w:t>
      </w:r>
      <w:r w:rsidR="00283A08" w:rsidRPr="009A5185">
        <w:rPr>
          <w:rFonts w:cs="Arial"/>
          <w:snapToGrid w:val="0"/>
        </w:rPr>
        <w:t>Chief A</w:t>
      </w:r>
      <w:r w:rsidRPr="009A5185">
        <w:rPr>
          <w:rFonts w:cs="Arial"/>
          <w:snapToGrid w:val="0"/>
        </w:rPr>
        <w:t xml:space="preserve">dministrative </w:t>
      </w:r>
      <w:r w:rsidR="00283A08" w:rsidRPr="009A5185">
        <w:rPr>
          <w:rFonts w:cs="Arial"/>
          <w:snapToGrid w:val="0"/>
        </w:rPr>
        <w:t>O</w:t>
      </w:r>
      <w:r w:rsidRPr="009A5185">
        <w:rPr>
          <w:rFonts w:cs="Arial"/>
          <w:snapToGrid w:val="0"/>
        </w:rPr>
        <w:t xml:space="preserve">fficer or </w:t>
      </w:r>
      <w:r w:rsidRPr="009A5185">
        <w:rPr>
          <w:rFonts w:cs="Arial"/>
        </w:rPr>
        <w:t>by an individual that ha</w:t>
      </w:r>
      <w:r w:rsidR="005E0CCA" w:rsidRPr="009A5185">
        <w:rPr>
          <w:rFonts w:cs="Arial"/>
        </w:rPr>
        <w:t xml:space="preserve">s been designated </w:t>
      </w:r>
      <w:r w:rsidRPr="009A5185">
        <w:rPr>
          <w:rFonts w:cs="Arial"/>
        </w:rPr>
        <w:t>by the hospital CEO</w:t>
      </w:r>
      <w:r w:rsidRPr="009A5185">
        <w:rPr>
          <w:rFonts w:cs="Arial"/>
          <w:snapToGrid w:val="0"/>
        </w:rPr>
        <w:t>. These statements affirm the a</w:t>
      </w:r>
      <w:r w:rsidR="005E0CCA" w:rsidRPr="009A5185">
        <w:rPr>
          <w:rFonts w:cs="Arial"/>
          <w:snapToGrid w:val="0"/>
        </w:rPr>
        <w:t>ccuracy of your hospital’s responses</w:t>
      </w:r>
      <w:r w:rsidR="000D6757">
        <w:rPr>
          <w:rFonts w:cs="Arial"/>
          <w:snapToGrid w:val="0"/>
        </w:rPr>
        <w:t xml:space="preserve"> and must be completed in the Online Hospital Survey Tool </w:t>
      </w:r>
      <w:r w:rsidR="00E75639">
        <w:rPr>
          <w:rFonts w:cs="Arial"/>
          <w:snapToGrid w:val="0"/>
        </w:rPr>
        <w:t>to</w:t>
      </w:r>
      <w:r w:rsidR="000D6757">
        <w:rPr>
          <w:rFonts w:cs="Arial"/>
          <w:snapToGrid w:val="0"/>
        </w:rPr>
        <w:t xml:space="preserve"> submit a Survey. </w:t>
      </w:r>
    </w:p>
    <w:p w14:paraId="79E4A580" w14:textId="7E4E6278" w:rsidR="0010643F" w:rsidRPr="009A5185" w:rsidRDefault="0010643F" w:rsidP="00AD309C">
      <w:pPr>
        <w:pStyle w:val="ListParagraph"/>
        <w:numPr>
          <w:ilvl w:val="0"/>
          <w:numId w:val="32"/>
        </w:numPr>
        <w:rPr>
          <w:rFonts w:cs="Arial"/>
          <w:b/>
          <w:snapToGrid w:val="0"/>
          <w:u w:val="single"/>
        </w:rPr>
      </w:pPr>
      <w:r w:rsidRPr="009A5185">
        <w:rPr>
          <w:rFonts w:cs="Arial"/>
          <w:b/>
          <w:snapToGrid w:val="0"/>
          <w:u w:val="single"/>
        </w:rPr>
        <w:t xml:space="preserve">Reference </w:t>
      </w:r>
      <w:r w:rsidR="004802A3" w:rsidRPr="009A5185">
        <w:rPr>
          <w:rFonts w:cs="Arial"/>
          <w:b/>
          <w:snapToGrid w:val="0"/>
          <w:u w:val="single"/>
        </w:rPr>
        <w:t>i</w:t>
      </w:r>
      <w:r w:rsidRPr="009A5185">
        <w:rPr>
          <w:rFonts w:cs="Arial"/>
          <w:b/>
          <w:snapToGrid w:val="0"/>
          <w:u w:val="single"/>
        </w:rPr>
        <w:t>nformation</w:t>
      </w:r>
      <w:r w:rsidRPr="009A5185">
        <w:rPr>
          <w:rFonts w:cs="Arial"/>
          <w:snapToGrid w:val="0"/>
        </w:rPr>
        <w:t xml:space="preserve"> which includes </w:t>
      </w:r>
      <w:r w:rsidR="009D494A">
        <w:rPr>
          <w:rFonts w:cs="Arial"/>
          <w:snapToGrid w:val="0"/>
        </w:rPr>
        <w:t>“</w:t>
      </w:r>
      <w:r w:rsidRPr="009A5185">
        <w:rPr>
          <w:rFonts w:cs="Arial"/>
          <w:snapToGrid w:val="0"/>
        </w:rPr>
        <w:t>What’s New</w:t>
      </w:r>
      <w:r w:rsidR="009D494A">
        <w:rPr>
          <w:rFonts w:cs="Arial"/>
          <w:snapToGrid w:val="0"/>
        </w:rPr>
        <w:t>”</w:t>
      </w:r>
      <w:r w:rsidRPr="009A5185">
        <w:rPr>
          <w:rFonts w:cs="Arial"/>
          <w:snapToGrid w:val="0"/>
        </w:rPr>
        <w:t xml:space="preserve"> and </w:t>
      </w:r>
      <w:r w:rsidR="009D494A">
        <w:rPr>
          <w:rFonts w:cs="Arial"/>
          <w:snapToGrid w:val="0"/>
        </w:rPr>
        <w:t>“</w:t>
      </w:r>
      <w:r w:rsidRPr="009A5185">
        <w:rPr>
          <w:rFonts w:cs="Arial"/>
          <w:snapToGrid w:val="0"/>
        </w:rPr>
        <w:t>C</w:t>
      </w:r>
      <w:r w:rsidR="005E0CCA" w:rsidRPr="009A5185">
        <w:rPr>
          <w:rFonts w:cs="Arial"/>
          <w:snapToGrid w:val="0"/>
        </w:rPr>
        <w:t>hange Summaries</w:t>
      </w:r>
      <w:r w:rsidRPr="009A5185">
        <w:rPr>
          <w:rFonts w:cs="Arial"/>
          <w:snapToGrid w:val="0"/>
        </w:rPr>
        <w:t>,</w:t>
      </w:r>
      <w:r w:rsidR="009D494A">
        <w:rPr>
          <w:rFonts w:cs="Arial"/>
          <w:snapToGrid w:val="0"/>
        </w:rPr>
        <w:t>”</w:t>
      </w:r>
      <w:r w:rsidRPr="009A5185">
        <w:rPr>
          <w:rFonts w:cs="Arial"/>
          <w:snapToGrid w:val="0"/>
        </w:rPr>
        <w:t xml:space="preserve"> important measure specifications, answers to </w:t>
      </w:r>
      <w:r w:rsidR="00283A08" w:rsidRPr="009A5185">
        <w:rPr>
          <w:rFonts w:cs="Arial"/>
          <w:snapToGrid w:val="0"/>
        </w:rPr>
        <w:t xml:space="preserve">frequently </w:t>
      </w:r>
      <w:r w:rsidRPr="009A5185">
        <w:rPr>
          <w:rFonts w:cs="Arial"/>
          <w:snapToGrid w:val="0"/>
        </w:rPr>
        <w:t xml:space="preserve">asked questions, and other notes that must be carefully reviewed before </w:t>
      </w:r>
      <w:r w:rsidR="00107E6F">
        <w:rPr>
          <w:rFonts w:cs="Arial"/>
          <w:snapToGrid w:val="0"/>
        </w:rPr>
        <w:t>responding</w:t>
      </w:r>
      <w:r w:rsidRPr="009A5185">
        <w:rPr>
          <w:rFonts w:cs="Arial"/>
          <w:snapToGrid w:val="0"/>
        </w:rPr>
        <w:t xml:space="preserve"> to any of the </w:t>
      </w:r>
      <w:r w:rsidR="00C14AFF" w:rsidRPr="009A5185">
        <w:rPr>
          <w:rFonts w:cs="Arial"/>
          <w:snapToGrid w:val="0"/>
        </w:rPr>
        <w:t>Survey</w:t>
      </w:r>
      <w:r w:rsidRPr="009A5185">
        <w:rPr>
          <w:rFonts w:cs="Arial"/>
          <w:snapToGrid w:val="0"/>
        </w:rPr>
        <w:t xml:space="preserve"> questions</w:t>
      </w:r>
      <w:r w:rsidR="00D66EDA" w:rsidRPr="009A5185">
        <w:rPr>
          <w:rFonts w:cs="Arial"/>
          <w:snapToGrid w:val="0"/>
        </w:rPr>
        <w:t xml:space="preserve"> (included in the hard copy only)</w:t>
      </w:r>
      <w:r w:rsidRPr="009A5185">
        <w:rPr>
          <w:rFonts w:cs="Arial"/>
          <w:snapToGrid w:val="0"/>
        </w:rPr>
        <w:t xml:space="preserve">. </w:t>
      </w:r>
    </w:p>
    <w:p w14:paraId="53AE270B" w14:textId="77777777" w:rsidR="00627405" w:rsidRPr="00F836E7" w:rsidRDefault="00627405" w:rsidP="00D25999">
      <w:pPr>
        <w:rPr>
          <w:rFonts w:cs="Arial"/>
        </w:rPr>
      </w:pPr>
    </w:p>
    <w:p w14:paraId="2C009918" w14:textId="73E2AF0F" w:rsidR="00A635F4" w:rsidRPr="009A5185" w:rsidRDefault="00E25855" w:rsidP="00A635F4">
      <w:pPr>
        <w:rPr>
          <w:rFonts w:cs="Arial"/>
        </w:rPr>
      </w:pPr>
      <w:bookmarkStart w:id="20" w:name="_Hlk35509202"/>
      <w:r>
        <w:t xml:space="preserve">In addition to the Survey questions, adult </w:t>
      </w:r>
      <w:r w:rsidR="00B9403B">
        <w:t xml:space="preserve">and general </w:t>
      </w:r>
      <w:r>
        <w:t xml:space="preserve">hospitals that indicate they have a CPOE system in at least one inpatient unit are asked to demonstrate, via a test, that the inpatient CPOE system can alert physicians to at least 60% of frequent serious medication errors known to cause harm to patients. </w:t>
      </w:r>
      <w:r w:rsidR="00A635F4">
        <w:rPr>
          <w:rFonts w:cs="Arial"/>
        </w:rPr>
        <w:t>A</w:t>
      </w:r>
      <w:r w:rsidR="00A635F4" w:rsidRPr="009A5185">
        <w:rPr>
          <w:rFonts w:cs="Arial"/>
        </w:rPr>
        <w:t xml:space="preserve">dult </w:t>
      </w:r>
      <w:r w:rsidR="00201533">
        <w:rPr>
          <w:rFonts w:cs="Arial"/>
        </w:rPr>
        <w:t xml:space="preserve">and general </w:t>
      </w:r>
      <w:r w:rsidR="00A635F4" w:rsidRPr="009A5185">
        <w:rPr>
          <w:rFonts w:cs="Arial"/>
        </w:rPr>
        <w:t xml:space="preserve">hospitals can access the CPOE Evaluation Tool </w:t>
      </w:r>
      <w:r w:rsidR="00E75639">
        <w:rPr>
          <w:rFonts w:cs="Arial"/>
        </w:rPr>
        <w:t xml:space="preserve">immediately after completing </w:t>
      </w:r>
      <w:r w:rsidR="009D494A">
        <w:rPr>
          <w:rFonts w:cs="Arial"/>
        </w:rPr>
        <w:t xml:space="preserve">the Hospital Profile </w:t>
      </w:r>
      <w:r w:rsidR="00A635F4">
        <w:rPr>
          <w:rFonts w:cs="Arial"/>
        </w:rPr>
        <w:t>in</w:t>
      </w:r>
      <w:r w:rsidR="00A635F4" w:rsidRPr="009A5185">
        <w:rPr>
          <w:rFonts w:cs="Arial"/>
        </w:rPr>
        <w:t xml:space="preserve"> the </w:t>
      </w:r>
      <w:r w:rsidR="00A635F4">
        <w:rPr>
          <w:rFonts w:cs="Arial"/>
        </w:rPr>
        <w:t>Online Hospital Survey Tool</w:t>
      </w:r>
      <w:r w:rsidR="00A635F4" w:rsidRPr="009A5185">
        <w:rPr>
          <w:rFonts w:cs="Arial"/>
        </w:rPr>
        <w:t xml:space="preserve">. Carefully review the information on the </w:t>
      </w:r>
      <w:hyperlink r:id="rId30" w:history="1">
        <w:r w:rsidR="00A635F4" w:rsidRPr="009A5185">
          <w:rPr>
            <w:rStyle w:val="Hyperlink"/>
          </w:rPr>
          <w:t>Prepare for a CPOE Tool webpage</w:t>
        </w:r>
      </w:hyperlink>
      <w:r w:rsidR="00A635F4" w:rsidRPr="009A5185">
        <w:rPr>
          <w:rFonts w:cs="Arial"/>
        </w:rPr>
        <w:t>.</w:t>
      </w:r>
      <w:r w:rsidR="00A635F4" w:rsidRPr="009A5185">
        <w:rPr>
          <w:rFonts w:cs="Arial"/>
          <w:b/>
          <w:color w:val="FF0000"/>
        </w:rPr>
        <w:t xml:space="preserve"> </w:t>
      </w:r>
    </w:p>
    <w:bookmarkEnd w:id="20"/>
    <w:p w14:paraId="7936BE5B" w14:textId="77777777" w:rsidR="00D25999" w:rsidRPr="00F836E7" w:rsidRDefault="00D25999" w:rsidP="00221026">
      <w:pPr>
        <w:rPr>
          <w:rFonts w:cs="Arial"/>
        </w:rPr>
      </w:pPr>
    </w:p>
    <w:p w14:paraId="443197E1" w14:textId="2F242A6A" w:rsidR="00221026" w:rsidRPr="009A5185" w:rsidRDefault="00221026" w:rsidP="00221026">
      <w:pPr>
        <w:rPr>
          <w:rFonts w:cs="Arial"/>
        </w:rPr>
      </w:pPr>
      <w:r w:rsidRPr="009A5185">
        <w:rPr>
          <w:rFonts w:cs="Arial"/>
        </w:rPr>
        <w:t xml:space="preserve">Any changes made to the measure specifications </w:t>
      </w:r>
      <w:r w:rsidR="00494E6D" w:rsidRPr="009A5185">
        <w:rPr>
          <w:rFonts w:cs="Arial"/>
        </w:rPr>
        <w:t>after April 1</w:t>
      </w:r>
      <w:r w:rsidR="00D66EDA" w:rsidRPr="009A5185">
        <w:rPr>
          <w:rFonts w:cs="Arial"/>
          <w:vertAlign w:val="superscript"/>
        </w:rPr>
        <w:t xml:space="preserve"> </w:t>
      </w:r>
      <w:r w:rsidRPr="009A5185">
        <w:rPr>
          <w:rFonts w:cs="Arial"/>
        </w:rPr>
        <w:t xml:space="preserve">will be reflected in the hard copy of the </w:t>
      </w:r>
      <w:r w:rsidR="00C14AFF" w:rsidRPr="009A5185">
        <w:rPr>
          <w:rFonts w:cs="Arial"/>
        </w:rPr>
        <w:t>Survey</w:t>
      </w:r>
      <w:r w:rsidRPr="009A5185">
        <w:rPr>
          <w:rFonts w:cs="Arial"/>
        </w:rPr>
        <w:t xml:space="preserve"> in the Reference Information sect</w:t>
      </w:r>
      <w:r w:rsidR="00D66EDA" w:rsidRPr="009A5185">
        <w:rPr>
          <w:rFonts w:cs="Arial"/>
        </w:rPr>
        <w:t xml:space="preserve">ions under the “Change Summary” </w:t>
      </w:r>
      <w:r w:rsidRPr="009A5185">
        <w:rPr>
          <w:rFonts w:cs="Arial"/>
        </w:rPr>
        <w:t xml:space="preserve">header (see </w:t>
      </w:r>
      <w:hyperlink w:anchor="TOC" w:history="1">
        <w:r w:rsidRPr="009A5185">
          <w:rPr>
            <w:rStyle w:val="Hyperlink"/>
            <w:rFonts w:cs="Arial"/>
          </w:rPr>
          <w:t>Table of Contents</w:t>
        </w:r>
      </w:hyperlink>
      <w:r w:rsidRPr="009A5185">
        <w:rPr>
          <w:rFonts w:cs="Arial"/>
        </w:rPr>
        <w:t>).</w:t>
      </w:r>
      <w:r w:rsidR="007B1741" w:rsidRPr="009A5185">
        <w:rPr>
          <w:rFonts w:cs="Arial"/>
        </w:rPr>
        <w:t xml:space="preserve"> </w:t>
      </w:r>
      <w:r w:rsidRPr="009A5185">
        <w:rPr>
          <w:rFonts w:cs="Arial"/>
        </w:rPr>
        <w:t xml:space="preserve">In addition, the updates to the specifications will be highlighted in yellow. If the changes are substantial, we will email the </w:t>
      </w:r>
      <w:r w:rsidR="00C14AFF" w:rsidRPr="009A5185">
        <w:rPr>
          <w:rFonts w:cs="Arial"/>
        </w:rPr>
        <w:t>Primary Survey Contact</w:t>
      </w:r>
      <w:r w:rsidRPr="009A5185">
        <w:rPr>
          <w:rFonts w:cs="Arial"/>
        </w:rPr>
        <w:t xml:space="preserve"> your hospital </w:t>
      </w:r>
      <w:r w:rsidR="000D6757">
        <w:rPr>
          <w:rFonts w:cs="Arial"/>
        </w:rPr>
        <w:t>provided</w:t>
      </w:r>
      <w:r w:rsidR="000D6757" w:rsidRPr="009A5185">
        <w:rPr>
          <w:rFonts w:cs="Arial"/>
        </w:rPr>
        <w:t xml:space="preserve"> </w:t>
      </w:r>
      <w:r w:rsidRPr="009A5185">
        <w:rPr>
          <w:rFonts w:cs="Arial"/>
        </w:rPr>
        <w:t xml:space="preserve">in the </w:t>
      </w:r>
      <w:r w:rsidR="00425ED6">
        <w:rPr>
          <w:rFonts w:cs="Arial"/>
        </w:rPr>
        <w:t xml:space="preserve">Hospital </w:t>
      </w:r>
      <w:r w:rsidR="00506AC9">
        <w:rPr>
          <w:rFonts w:cs="Arial"/>
        </w:rPr>
        <w:t>P</w:t>
      </w:r>
      <w:r w:rsidRPr="009A5185">
        <w:rPr>
          <w:rFonts w:cs="Arial"/>
        </w:rPr>
        <w:t xml:space="preserve">rofile </w:t>
      </w:r>
      <w:r w:rsidR="009D494A">
        <w:rPr>
          <w:rFonts w:cs="Arial"/>
        </w:rPr>
        <w:t xml:space="preserve">of the Online </w:t>
      </w:r>
      <w:r w:rsidR="000D6757">
        <w:rPr>
          <w:rFonts w:cs="Arial"/>
        </w:rPr>
        <w:t xml:space="preserve">Hospital </w:t>
      </w:r>
      <w:r w:rsidR="009D494A">
        <w:rPr>
          <w:rFonts w:cs="Arial"/>
        </w:rPr>
        <w:t>Survey Tool</w:t>
      </w:r>
      <w:r w:rsidRPr="009A5185">
        <w:rPr>
          <w:rFonts w:cs="Arial"/>
        </w:rPr>
        <w:t xml:space="preserve">. If the notification is sent before your hospital submits a </w:t>
      </w:r>
      <w:r w:rsidR="00A236B1">
        <w:rPr>
          <w:rFonts w:cs="Arial"/>
        </w:rPr>
        <w:t>202</w:t>
      </w:r>
      <w:r w:rsidR="00865C3E">
        <w:rPr>
          <w:rFonts w:cs="Arial"/>
        </w:rPr>
        <w:t>6</w:t>
      </w:r>
      <w:r w:rsidR="00460E9D" w:rsidRPr="009A5185">
        <w:rPr>
          <w:rFonts w:cs="Arial"/>
        </w:rPr>
        <w:t xml:space="preserve"> </w:t>
      </w:r>
      <w:r w:rsidRPr="009A5185">
        <w:rPr>
          <w:rFonts w:cs="Arial"/>
        </w:rPr>
        <w:t xml:space="preserve">Leapfrog Hospital </w:t>
      </w:r>
      <w:r w:rsidR="00C14AFF" w:rsidRPr="009A5185">
        <w:rPr>
          <w:rFonts w:cs="Arial"/>
        </w:rPr>
        <w:t>Survey</w:t>
      </w:r>
      <w:r w:rsidRPr="009A5185">
        <w:rPr>
          <w:rFonts w:cs="Arial"/>
        </w:rPr>
        <w:t xml:space="preserve">, the email will go to the </w:t>
      </w:r>
      <w:r w:rsidR="00C14AFF" w:rsidRPr="009A5185">
        <w:rPr>
          <w:rFonts w:cs="Arial"/>
        </w:rPr>
        <w:t>Primary Survey Contact</w:t>
      </w:r>
      <w:r w:rsidRPr="009A5185">
        <w:rPr>
          <w:rFonts w:cs="Arial"/>
        </w:rPr>
        <w:t xml:space="preserve"> provided in the</w:t>
      </w:r>
      <w:r w:rsidR="005D057A">
        <w:rPr>
          <w:rFonts w:cs="Arial"/>
        </w:rPr>
        <w:t xml:space="preserve"> previous year’s</w:t>
      </w:r>
      <w:r w:rsidR="00460E9D" w:rsidRPr="009A5185">
        <w:rPr>
          <w:rFonts w:cs="Arial"/>
        </w:rPr>
        <w:t xml:space="preserve"> </w:t>
      </w:r>
      <w:r w:rsidR="003205A5">
        <w:rPr>
          <w:rFonts w:cs="Arial"/>
        </w:rPr>
        <w:t>S</w:t>
      </w:r>
      <w:r w:rsidR="00C14AFF" w:rsidRPr="009A5185">
        <w:rPr>
          <w:rFonts w:cs="Arial"/>
        </w:rPr>
        <w:t>urvey</w:t>
      </w:r>
      <w:r w:rsidR="00020513" w:rsidRPr="009A5185">
        <w:rPr>
          <w:rFonts w:cs="Arial"/>
        </w:rPr>
        <w:t>.</w:t>
      </w:r>
    </w:p>
    <w:p w14:paraId="3D9C5F17" w14:textId="77777777" w:rsidR="00AE1817" w:rsidRPr="00F836E7" w:rsidRDefault="00AE1817" w:rsidP="00221026">
      <w:pPr>
        <w:rPr>
          <w:rFonts w:cs="Arial"/>
        </w:rPr>
      </w:pPr>
    </w:p>
    <w:p w14:paraId="5D9F572C" w14:textId="05F94300" w:rsidR="00F91E77" w:rsidRDefault="00AE1817" w:rsidP="006F7B4B">
      <w:pPr>
        <w:rPr>
          <w:rFonts w:cs="Arial"/>
          <w:snapToGrid w:val="0"/>
        </w:rPr>
      </w:pPr>
      <w:bookmarkStart w:id="21" w:name="_Hlk35509374"/>
      <w:r w:rsidRPr="00105BB4">
        <w:rPr>
          <w:rFonts w:cs="Arial"/>
          <w:snapToGrid w:val="0"/>
        </w:rPr>
        <w:lastRenderedPageBreak/>
        <w:t>The Leapfrog Group and its participating members are committed to presenting information that is as current as possible</w:t>
      </w:r>
      <w:r w:rsidR="000D6757">
        <w:rPr>
          <w:rFonts w:cs="Arial"/>
          <w:snapToGrid w:val="0"/>
        </w:rPr>
        <w:t xml:space="preserve">, </w:t>
      </w:r>
      <w:r w:rsidRPr="00105BB4">
        <w:rPr>
          <w:rFonts w:cs="Arial"/>
          <w:snapToGrid w:val="0"/>
        </w:rPr>
        <w:t xml:space="preserve">therefore </w:t>
      </w:r>
      <w:r w:rsidR="00425ED6" w:rsidRPr="00105BB4">
        <w:rPr>
          <w:rFonts w:cs="Arial"/>
          <w:snapToGrid w:val="0"/>
        </w:rPr>
        <w:t xml:space="preserve">we </w:t>
      </w:r>
      <w:r w:rsidRPr="00105BB4">
        <w:rPr>
          <w:rFonts w:cs="Arial"/>
          <w:snapToGrid w:val="0"/>
        </w:rPr>
        <w:t>a</w:t>
      </w:r>
      <w:r w:rsidR="00C14AFF" w:rsidRPr="00105BB4">
        <w:rPr>
          <w:rFonts w:cs="Arial"/>
          <w:snapToGrid w:val="0"/>
        </w:rPr>
        <w:t>llow hospitals to update and re</w:t>
      </w:r>
      <w:r w:rsidRPr="00105BB4">
        <w:rPr>
          <w:rFonts w:cs="Arial"/>
          <w:snapToGrid w:val="0"/>
        </w:rPr>
        <w:t xml:space="preserve">submit their </w:t>
      </w:r>
      <w:r w:rsidR="00E434DD" w:rsidRPr="00105BB4">
        <w:rPr>
          <w:rFonts w:cs="Arial"/>
          <w:snapToGrid w:val="0"/>
        </w:rPr>
        <w:t xml:space="preserve">Survey </w:t>
      </w:r>
      <w:r w:rsidRPr="00105BB4">
        <w:rPr>
          <w:rFonts w:cs="Arial"/>
          <w:snapToGrid w:val="0"/>
        </w:rPr>
        <w:t>until</w:t>
      </w:r>
      <w:r w:rsidR="00BE5C1E" w:rsidRPr="00105BB4">
        <w:rPr>
          <w:rFonts w:cs="Arial"/>
          <w:snapToGrid w:val="0"/>
        </w:rPr>
        <w:t xml:space="preserve"> the</w:t>
      </w:r>
      <w:r w:rsidRPr="00105BB4">
        <w:rPr>
          <w:rFonts w:cs="Arial"/>
          <w:snapToGrid w:val="0"/>
        </w:rPr>
        <w:t xml:space="preserve"> </w:t>
      </w:r>
      <w:r w:rsidR="00A635F4">
        <w:rPr>
          <w:rFonts w:cs="Arial"/>
          <w:b/>
          <w:snapToGrid w:val="0"/>
          <w:color w:val="FF0000"/>
        </w:rPr>
        <w:t>November 30</w:t>
      </w:r>
      <w:r w:rsidRPr="00105BB4">
        <w:rPr>
          <w:rFonts w:cs="Arial"/>
          <w:snapToGrid w:val="0"/>
        </w:rPr>
        <w:t xml:space="preserve"> </w:t>
      </w:r>
      <w:r w:rsidR="00BE5C1E" w:rsidRPr="00105BB4">
        <w:rPr>
          <w:rFonts w:cs="Arial"/>
          <w:snapToGrid w:val="0"/>
        </w:rPr>
        <w:t xml:space="preserve">Late Submission </w:t>
      </w:r>
      <w:r w:rsidR="00123E52" w:rsidRPr="00123E52">
        <w:rPr>
          <w:rFonts w:cs="Arial"/>
          <w:bCs/>
          <w:snapToGrid w:val="0"/>
        </w:rPr>
        <w:t>and Performance Update</w:t>
      </w:r>
      <w:r w:rsidR="00123E52">
        <w:rPr>
          <w:rFonts w:cs="Arial"/>
          <w:bCs/>
          <w:snapToGrid w:val="0"/>
          <w:sz w:val="16"/>
          <w:szCs w:val="16"/>
        </w:rPr>
        <w:t xml:space="preserve"> </w:t>
      </w:r>
      <w:r w:rsidR="00BE5C1E" w:rsidRPr="00105BB4">
        <w:rPr>
          <w:rFonts w:cs="Arial"/>
          <w:snapToGrid w:val="0"/>
        </w:rPr>
        <w:t>Deadline</w:t>
      </w:r>
      <w:r w:rsidR="00BE5C1E" w:rsidRPr="00105BB4">
        <w:t xml:space="preserve">. </w:t>
      </w:r>
      <w:r w:rsidRPr="00105BB4">
        <w:rPr>
          <w:rFonts w:cs="Arial"/>
          <w:snapToGrid w:val="0"/>
        </w:rPr>
        <w:t>Please carefully review the reporting</w:t>
      </w:r>
      <w:r w:rsidR="00F91E77">
        <w:rPr>
          <w:rFonts w:cs="Arial"/>
          <w:snapToGrid w:val="0"/>
        </w:rPr>
        <w:t xml:space="preserve"> </w:t>
      </w:r>
    </w:p>
    <w:p w14:paraId="18C5664E" w14:textId="77777777" w:rsidR="00D62E76" w:rsidRDefault="00AE1817" w:rsidP="00D62E76">
      <w:pPr>
        <w:rPr>
          <w:rFonts w:cs="Arial"/>
        </w:rPr>
      </w:pPr>
      <w:r w:rsidRPr="00105BB4">
        <w:rPr>
          <w:rFonts w:cs="Arial"/>
          <w:snapToGrid w:val="0"/>
        </w:rPr>
        <w:t xml:space="preserve">periods in each section before updating your </w:t>
      </w:r>
      <w:r w:rsidR="00C14AFF" w:rsidRPr="00105BB4">
        <w:rPr>
          <w:rFonts w:cs="Arial"/>
          <w:snapToGrid w:val="0"/>
        </w:rPr>
        <w:t>Survey</w:t>
      </w:r>
      <w:r w:rsidRPr="00105BB4">
        <w:rPr>
          <w:rFonts w:cs="Arial"/>
          <w:snapToGrid w:val="0"/>
        </w:rPr>
        <w:t xml:space="preserve">. Leapfrog Hospital </w:t>
      </w:r>
      <w:r w:rsidR="00C14AFF" w:rsidRPr="00105BB4">
        <w:rPr>
          <w:rFonts w:cs="Arial"/>
          <w:snapToGrid w:val="0"/>
        </w:rPr>
        <w:t>Survey Results</w:t>
      </w:r>
      <w:r w:rsidRPr="00105BB4">
        <w:rPr>
          <w:rFonts w:cs="Arial"/>
          <w:snapToGrid w:val="0"/>
        </w:rPr>
        <w:t xml:space="preserve"> are updated monthly beginning</w:t>
      </w:r>
      <w:r w:rsidR="00372562" w:rsidRPr="00105BB4">
        <w:rPr>
          <w:rFonts w:cs="Arial"/>
          <w:snapToGrid w:val="0"/>
        </w:rPr>
        <w:t xml:space="preserve"> </w:t>
      </w:r>
      <w:r w:rsidR="00E94A8E">
        <w:rPr>
          <w:rFonts w:cs="Arial"/>
          <w:snapToGrid w:val="0"/>
        </w:rPr>
        <w:t xml:space="preserve">in </w:t>
      </w:r>
      <w:r w:rsidR="00977015">
        <w:rPr>
          <w:rFonts w:cs="Arial"/>
          <w:snapToGrid w:val="0"/>
        </w:rPr>
        <w:t xml:space="preserve">July </w:t>
      </w:r>
      <w:r w:rsidRPr="00105BB4">
        <w:rPr>
          <w:rFonts w:cs="Arial"/>
          <w:snapToGrid w:val="0"/>
        </w:rPr>
        <w:t xml:space="preserve">on Leapfrog’s </w:t>
      </w:r>
      <w:hyperlink r:id="rId31" w:history="1">
        <w:r w:rsidRPr="00105BB4">
          <w:rPr>
            <w:rStyle w:val="Hyperlink"/>
            <w:rFonts w:cs="Arial"/>
            <w:snapToGrid w:val="0"/>
          </w:rPr>
          <w:t xml:space="preserve">public </w:t>
        </w:r>
        <w:r w:rsidR="00F220B6">
          <w:rPr>
            <w:rStyle w:val="Hyperlink"/>
            <w:rFonts w:cs="Arial"/>
            <w:snapToGrid w:val="0"/>
          </w:rPr>
          <w:t xml:space="preserve">reporting </w:t>
        </w:r>
        <w:r w:rsidRPr="00105BB4">
          <w:rPr>
            <w:rStyle w:val="Hyperlink"/>
            <w:rFonts w:cs="Arial"/>
            <w:snapToGrid w:val="0"/>
          </w:rPr>
          <w:t>website</w:t>
        </w:r>
      </w:hyperlink>
      <w:r w:rsidRPr="00105BB4">
        <w:rPr>
          <w:rStyle w:val="Hyperlink"/>
          <w:rFonts w:cs="Arial"/>
          <w:snapToGrid w:val="0"/>
          <w:u w:val="none"/>
        </w:rPr>
        <w:t xml:space="preserve">. </w:t>
      </w:r>
      <w:r w:rsidRPr="00105BB4">
        <w:rPr>
          <w:rStyle w:val="Hyperlink"/>
          <w:rFonts w:cs="Arial"/>
          <w:snapToGrid w:val="0"/>
          <w:color w:val="auto"/>
          <w:u w:val="none"/>
        </w:rPr>
        <w:t>Hospitals are required</w:t>
      </w:r>
      <w:r w:rsidRPr="00105BB4">
        <w:rPr>
          <w:rFonts w:cs="Arial"/>
          <w:snapToGrid w:val="0"/>
        </w:rPr>
        <w:t xml:space="preserve"> to </w:t>
      </w:r>
      <w:hyperlink w:anchor="_Updating_or_Correcting" w:history="1">
        <w:r w:rsidRPr="003A2B3E">
          <w:rPr>
            <w:rStyle w:val="Hyperlink"/>
            <w:rFonts w:cs="Arial"/>
            <w:snapToGrid w:val="0"/>
          </w:rPr>
          <w:t>update</w:t>
        </w:r>
      </w:hyperlink>
      <w:r w:rsidRPr="00105BB4">
        <w:rPr>
          <w:rFonts w:cs="Arial"/>
          <w:snapToGrid w:val="0"/>
        </w:rPr>
        <w:t xml:space="preserve"> the information in their </w:t>
      </w:r>
      <w:r w:rsidR="00C14AFF" w:rsidRPr="00105BB4">
        <w:rPr>
          <w:rFonts w:cs="Arial"/>
          <w:snapToGrid w:val="0"/>
        </w:rPr>
        <w:t>Survey</w:t>
      </w:r>
      <w:r w:rsidRPr="00105BB4">
        <w:rPr>
          <w:rFonts w:cs="Arial"/>
          <w:snapToGrid w:val="0"/>
        </w:rPr>
        <w:t xml:space="preserve"> within 30 days of any change in status. We reserve the right to decertify information that is not current.</w:t>
      </w:r>
      <w:bookmarkEnd w:id="21"/>
      <w:r w:rsidR="000D6757">
        <w:rPr>
          <w:rFonts w:cs="Arial"/>
          <w:snapToGrid w:val="0"/>
        </w:rPr>
        <w:t xml:space="preserve"> More information on updating your Survey is available </w:t>
      </w:r>
      <w:r w:rsidR="00434350">
        <w:rPr>
          <w:rFonts w:cs="Arial"/>
          <w:snapToGrid w:val="0"/>
        </w:rPr>
        <w:t xml:space="preserve">on the </w:t>
      </w:r>
      <w:hyperlink r:id="rId32" w:history="1">
        <w:r w:rsidR="00434350" w:rsidRPr="00434350">
          <w:rPr>
            <w:rStyle w:val="Hyperlink"/>
            <w:rFonts w:cs="Arial"/>
            <w:snapToGrid w:val="0"/>
          </w:rPr>
          <w:t>Updating Your Hospital Survey webpage.</w:t>
        </w:r>
      </w:hyperlink>
      <w:r w:rsidR="00434350">
        <w:rPr>
          <w:rFonts w:cs="Arial"/>
          <w:snapToGrid w:val="0"/>
        </w:rPr>
        <w:t xml:space="preserve"> </w:t>
      </w:r>
    </w:p>
    <w:p w14:paraId="5A9AAF05" w14:textId="77777777" w:rsidR="00D62E76" w:rsidRDefault="00D62E76" w:rsidP="00D62E76">
      <w:pPr>
        <w:rPr>
          <w:rFonts w:cs="Arial"/>
        </w:rPr>
      </w:pPr>
    </w:p>
    <w:p w14:paraId="799EA99F" w14:textId="77777777" w:rsidR="00490319" w:rsidRDefault="00490319">
      <w:pPr>
        <w:rPr>
          <w:b/>
          <w:snapToGrid w:val="0"/>
          <w:sz w:val="28"/>
          <w:szCs w:val="24"/>
          <w:u w:val="single"/>
          <w:lang w:eastAsia="ja-JP"/>
        </w:rPr>
      </w:pPr>
      <w:r>
        <w:br w:type="page"/>
      </w:r>
    </w:p>
    <w:p w14:paraId="0EB89CC3" w14:textId="6B320AE9" w:rsidR="0010643F" w:rsidRPr="00D62E76" w:rsidRDefault="00B76006" w:rsidP="00CF5A6E">
      <w:pPr>
        <w:pStyle w:val="Heading2"/>
        <w:rPr>
          <w:rFonts w:cs="Arial"/>
        </w:rPr>
      </w:pPr>
      <w:bookmarkStart w:id="22" w:name="_Toc225877639"/>
      <w:r w:rsidRPr="009A5185">
        <w:lastRenderedPageBreak/>
        <w:t>Pre-Submission Checklis</w:t>
      </w:r>
      <w:r w:rsidR="00045A92" w:rsidRPr="009A5185">
        <w:t>t</w:t>
      </w:r>
      <w:bookmarkEnd w:id="22"/>
      <w:r w:rsidR="00834A44" w:rsidRPr="009A5185">
        <w:t xml:space="preserve"> </w:t>
      </w:r>
    </w:p>
    <w:p w14:paraId="7021111B" w14:textId="66164748" w:rsidR="0010643F" w:rsidRPr="009A5185" w:rsidRDefault="008048E4" w:rsidP="0010643F">
      <w:pPr>
        <w:rPr>
          <w:rFonts w:cs="Arial"/>
          <w:snapToGrid w:val="0"/>
        </w:rPr>
      </w:pPr>
      <w:r>
        <w:br/>
      </w:r>
      <w:r w:rsidR="00E02F8B" w:rsidRPr="009A5185">
        <w:rPr>
          <w:rFonts w:cs="Arial"/>
          <w:snapToGrid w:val="0"/>
        </w:rPr>
        <w:t xml:space="preserve">Before you </w:t>
      </w:r>
      <w:r w:rsidR="00834A44" w:rsidRPr="009A5185">
        <w:rPr>
          <w:rFonts w:cs="Arial"/>
          <w:snapToGrid w:val="0"/>
        </w:rPr>
        <w:t>complete and submit</w:t>
      </w:r>
      <w:r w:rsidR="003E7782" w:rsidRPr="009A5185">
        <w:rPr>
          <w:rFonts w:cs="Arial"/>
          <w:snapToGrid w:val="0"/>
        </w:rPr>
        <w:t xml:space="preserve"> the </w:t>
      </w:r>
      <w:r w:rsidR="00C14AFF" w:rsidRPr="009A5185">
        <w:rPr>
          <w:rFonts w:cs="Arial"/>
          <w:snapToGrid w:val="0"/>
        </w:rPr>
        <w:t>Survey</w:t>
      </w:r>
      <w:r w:rsidR="003E7782" w:rsidRPr="009A5185">
        <w:rPr>
          <w:rFonts w:cs="Arial"/>
          <w:snapToGrid w:val="0"/>
        </w:rPr>
        <w:t xml:space="preserve"> via the </w:t>
      </w:r>
      <w:r w:rsidR="004B22C6">
        <w:rPr>
          <w:rFonts w:cs="Arial"/>
          <w:snapToGrid w:val="0"/>
        </w:rPr>
        <w:t>Online Hospital Survey Tool</w:t>
      </w:r>
      <w:r w:rsidR="00E02F8B" w:rsidRPr="009A5185">
        <w:rPr>
          <w:rFonts w:cs="Arial"/>
          <w:snapToGrid w:val="0"/>
        </w:rPr>
        <w:t xml:space="preserve">, there are </w:t>
      </w:r>
      <w:r w:rsidR="005F38CB" w:rsidRPr="009A5185">
        <w:rPr>
          <w:rFonts w:cs="Arial"/>
          <w:snapToGrid w:val="0"/>
        </w:rPr>
        <w:t>several</w:t>
      </w:r>
      <w:r w:rsidR="00E02F8B" w:rsidRPr="009A5185">
        <w:rPr>
          <w:rFonts w:cs="Arial"/>
          <w:snapToGrid w:val="0"/>
        </w:rPr>
        <w:t xml:space="preserve"> steps </w:t>
      </w:r>
      <w:r w:rsidR="00E20A4C">
        <w:rPr>
          <w:rFonts w:cs="Arial"/>
          <w:snapToGrid w:val="0"/>
        </w:rPr>
        <w:t xml:space="preserve">you </w:t>
      </w:r>
      <w:r w:rsidR="00E02F8B" w:rsidRPr="009A5185">
        <w:rPr>
          <w:rFonts w:cs="Arial"/>
          <w:snapToGrid w:val="0"/>
        </w:rPr>
        <w:t>shoul</w:t>
      </w:r>
      <w:r w:rsidR="00B76006" w:rsidRPr="009A5185">
        <w:rPr>
          <w:rFonts w:cs="Arial"/>
          <w:snapToGrid w:val="0"/>
        </w:rPr>
        <w:t>d complete</w:t>
      </w:r>
      <w:r w:rsidR="00E02F8B" w:rsidRPr="009A5185">
        <w:rPr>
          <w:rFonts w:cs="Arial"/>
          <w:snapToGrid w:val="0"/>
        </w:rPr>
        <w:t>:</w:t>
      </w:r>
    </w:p>
    <w:p w14:paraId="3F9A1EDC" w14:textId="77777777" w:rsidR="00E02F8B" w:rsidRPr="00D62E76" w:rsidRDefault="00E02F8B" w:rsidP="0010643F">
      <w:pPr>
        <w:rPr>
          <w:rFonts w:cs="Arial"/>
          <w:snapToGrid w:val="0"/>
          <w:sz w:val="16"/>
          <w:szCs w:val="16"/>
        </w:rPr>
      </w:pPr>
    </w:p>
    <w:p w14:paraId="7EC00974" w14:textId="103C83CA" w:rsidR="009C4EE9" w:rsidRPr="00374530" w:rsidRDefault="00C14AFF" w:rsidP="00AD309C">
      <w:pPr>
        <w:numPr>
          <w:ilvl w:val="0"/>
          <w:numId w:val="22"/>
        </w:numPr>
        <w:tabs>
          <w:tab w:val="num" w:pos="360"/>
        </w:tabs>
        <w:spacing w:line="276" w:lineRule="auto"/>
        <w:ind w:left="360"/>
        <w:rPr>
          <w:rFonts w:cs="Arial"/>
          <w:snapToGrid w:val="0"/>
        </w:rPr>
      </w:pPr>
      <w:r w:rsidRPr="009A5185">
        <w:rPr>
          <w:rFonts w:cs="Arial"/>
          <w:b/>
          <w:snapToGrid w:val="0"/>
        </w:rPr>
        <w:t>Visit the</w:t>
      </w:r>
      <w:r w:rsidR="000D6757">
        <w:rPr>
          <w:rFonts w:cs="Arial"/>
          <w:b/>
          <w:snapToGrid w:val="0"/>
        </w:rPr>
        <w:t xml:space="preserve"> Hospital</w:t>
      </w:r>
      <w:r w:rsidRPr="009A5185">
        <w:rPr>
          <w:rFonts w:cs="Arial"/>
          <w:b/>
          <w:snapToGrid w:val="0"/>
        </w:rPr>
        <w:t xml:space="preserve"> S</w:t>
      </w:r>
      <w:r w:rsidR="00501FCC" w:rsidRPr="009A5185">
        <w:rPr>
          <w:rFonts w:cs="Arial"/>
          <w:b/>
          <w:snapToGrid w:val="0"/>
        </w:rPr>
        <w:t>urvey web</w:t>
      </w:r>
      <w:r w:rsidR="00CF01F4" w:rsidRPr="009A5185">
        <w:rPr>
          <w:rFonts w:cs="Arial"/>
          <w:b/>
          <w:snapToGrid w:val="0"/>
        </w:rPr>
        <w:t xml:space="preserve">pages </w:t>
      </w:r>
      <w:r w:rsidR="00501FCC" w:rsidRPr="009A5185">
        <w:rPr>
          <w:rFonts w:cs="Arial"/>
          <w:b/>
          <w:snapToGrid w:val="0"/>
        </w:rPr>
        <w:t>at</w:t>
      </w:r>
      <w:r w:rsidR="00CF01F4" w:rsidRPr="009A5185">
        <w:rPr>
          <w:rFonts w:cs="Arial"/>
          <w:b/>
          <w:snapToGrid w:val="0"/>
        </w:rPr>
        <w:t xml:space="preserve"> </w:t>
      </w:r>
      <w:hyperlink r:id="rId33" w:history="1">
        <w:r w:rsidR="000F1FCB">
          <w:rPr>
            <w:rStyle w:val="Hyperlink"/>
            <w:rFonts w:cs="Arial"/>
            <w:snapToGrid w:val="0"/>
          </w:rPr>
          <w:t>https://leapfroggroup.org/hospital</w:t>
        </w:r>
      </w:hyperlink>
      <w:r w:rsidR="00501FCC" w:rsidRPr="009A5185">
        <w:rPr>
          <w:rFonts w:cs="Arial"/>
          <w:b/>
          <w:snapToGrid w:val="0"/>
        </w:rPr>
        <w:t>.</w:t>
      </w:r>
      <w:r w:rsidR="00CF01F4" w:rsidRPr="009A5185">
        <w:rPr>
          <w:rFonts w:cs="Arial"/>
          <w:b/>
          <w:snapToGrid w:val="0"/>
        </w:rPr>
        <w:t xml:space="preserve"> </w:t>
      </w:r>
    </w:p>
    <w:p w14:paraId="219442B2" w14:textId="2B560743" w:rsidR="009C4EE9" w:rsidRPr="00374530" w:rsidRDefault="00D5582E" w:rsidP="00AD309C">
      <w:pPr>
        <w:numPr>
          <w:ilvl w:val="0"/>
          <w:numId w:val="22"/>
        </w:numPr>
        <w:spacing w:line="276" w:lineRule="auto"/>
        <w:ind w:left="360"/>
        <w:rPr>
          <w:rFonts w:cs="Arial"/>
          <w:snapToGrid w:val="0"/>
        </w:rPr>
      </w:pPr>
      <w:r w:rsidRPr="009A5185">
        <w:rPr>
          <w:rFonts w:cs="Arial"/>
          <w:b/>
          <w:snapToGrid w:val="0"/>
        </w:rPr>
        <w:t>Make sure you have a 16-digit security code</w:t>
      </w:r>
      <w:r w:rsidR="001E56BE" w:rsidRPr="009A5185">
        <w:rPr>
          <w:rFonts w:cs="Arial"/>
          <w:snapToGrid w:val="0"/>
        </w:rPr>
        <w:t>. If you don’t,</w:t>
      </w:r>
      <w:r w:rsidR="00EC5468" w:rsidRPr="009A5185">
        <w:rPr>
          <w:rFonts w:cs="Arial"/>
          <w:snapToGrid w:val="0"/>
        </w:rPr>
        <w:t xml:space="preserve"> download</w:t>
      </w:r>
      <w:r w:rsidRPr="009A5185">
        <w:rPr>
          <w:rFonts w:cs="Arial"/>
          <w:snapToGrid w:val="0"/>
        </w:rPr>
        <w:t xml:space="preserve"> a </w:t>
      </w:r>
      <w:hyperlink r:id="rId34" w:history="1">
        <w:r w:rsidR="008C7C9F" w:rsidRPr="008C7C9F">
          <w:rPr>
            <w:rStyle w:val="Hyperlink"/>
            <w:rFonts w:cs="Arial"/>
            <w:snapToGrid w:val="0"/>
          </w:rPr>
          <w:t>Security Code Request</w:t>
        </w:r>
      </w:hyperlink>
      <w:r w:rsidR="008C7C9F">
        <w:rPr>
          <w:rFonts w:cs="Arial"/>
          <w:snapToGrid w:val="0"/>
        </w:rPr>
        <w:t xml:space="preserve"> form</w:t>
      </w:r>
      <w:r w:rsidR="001338CC" w:rsidRPr="009A5185">
        <w:rPr>
          <w:rFonts w:cs="Arial"/>
          <w:snapToGrid w:val="0"/>
        </w:rPr>
        <w:t xml:space="preserve">. </w:t>
      </w:r>
      <w:r w:rsidR="005237CA" w:rsidRPr="009A5185">
        <w:rPr>
          <w:rFonts w:cs="Arial"/>
          <w:snapToGrid w:val="0"/>
        </w:rPr>
        <w:t xml:space="preserve">If your hospital is part of a multi-hospital healthcare system, </w:t>
      </w:r>
      <w:r w:rsidR="005237CA" w:rsidRPr="009A5185">
        <w:rPr>
          <w:rFonts w:cs="Arial"/>
        </w:rPr>
        <w:t xml:space="preserve">you will need a separate security code for each individual hospital within the system. Please refer to </w:t>
      </w:r>
      <w:hyperlink r:id="rId35" w:history="1">
        <w:r w:rsidR="005237CA" w:rsidRPr="009A5185">
          <w:rPr>
            <w:rStyle w:val="Hyperlink"/>
            <w:rFonts w:cs="Arial"/>
          </w:rPr>
          <w:t>Leapfrog’s Multi-Campus Hospital Reporting Polic</w:t>
        </w:r>
        <w:r w:rsidR="00C338C0" w:rsidRPr="009A5185">
          <w:rPr>
            <w:rStyle w:val="Hyperlink"/>
            <w:rFonts w:cs="Arial"/>
          </w:rPr>
          <w:t>y</w:t>
        </w:r>
      </w:hyperlink>
      <w:r w:rsidR="005237CA" w:rsidRPr="009A5185">
        <w:rPr>
          <w:rFonts w:cs="Arial"/>
        </w:rPr>
        <w:t xml:space="preserve">. </w:t>
      </w:r>
    </w:p>
    <w:p w14:paraId="4ED48D4A" w14:textId="31C44AE4" w:rsidR="009C4EE9" w:rsidRPr="00374530" w:rsidRDefault="0010643F" w:rsidP="00AD309C">
      <w:pPr>
        <w:numPr>
          <w:ilvl w:val="0"/>
          <w:numId w:val="22"/>
        </w:numPr>
        <w:tabs>
          <w:tab w:val="num" w:pos="360"/>
        </w:tabs>
        <w:spacing w:line="276" w:lineRule="auto"/>
        <w:ind w:left="360"/>
        <w:rPr>
          <w:rFonts w:cs="Arial"/>
          <w:snapToGrid w:val="0"/>
        </w:rPr>
      </w:pPr>
      <w:r w:rsidRPr="009A5185">
        <w:rPr>
          <w:rFonts w:cs="Arial"/>
          <w:b/>
          <w:snapToGrid w:val="0"/>
        </w:rPr>
        <w:t xml:space="preserve">Download a hard copy of the </w:t>
      </w:r>
      <w:r w:rsidR="00C14AFF" w:rsidRPr="009A5185">
        <w:rPr>
          <w:rFonts w:cs="Arial"/>
          <w:b/>
          <w:snapToGrid w:val="0"/>
        </w:rPr>
        <w:t>Survey</w:t>
      </w:r>
      <w:r w:rsidR="001338CC" w:rsidRPr="009A5185">
        <w:rPr>
          <w:rFonts w:cs="Arial"/>
          <w:snapToGrid w:val="0"/>
        </w:rPr>
        <w:t xml:space="preserve"> </w:t>
      </w:r>
      <w:r w:rsidR="000D6757">
        <w:rPr>
          <w:rFonts w:cs="Arial"/>
          <w:snapToGrid w:val="0"/>
        </w:rPr>
        <w:t xml:space="preserve">(PDF or Word document) </w:t>
      </w:r>
      <w:r w:rsidR="00C338C0" w:rsidRPr="009A5185">
        <w:rPr>
          <w:rFonts w:cs="Arial"/>
          <w:snapToGrid w:val="0"/>
        </w:rPr>
        <w:t xml:space="preserve">on the </w:t>
      </w:r>
      <w:hyperlink r:id="rId36" w:history="1">
        <w:r w:rsidR="00C338C0" w:rsidRPr="008C7C9F">
          <w:rPr>
            <w:rStyle w:val="Hyperlink"/>
            <w:rFonts w:cs="Arial"/>
            <w:snapToGrid w:val="0"/>
          </w:rPr>
          <w:t>Survey and CPOE Materials webpage</w:t>
        </w:r>
      </w:hyperlink>
      <w:r w:rsidR="00C338C0" w:rsidRPr="009A5185">
        <w:rPr>
          <w:rFonts w:cs="Arial"/>
          <w:snapToGrid w:val="0"/>
        </w:rPr>
        <w:t xml:space="preserve">. </w:t>
      </w:r>
      <w:r w:rsidR="00E02F8B" w:rsidRPr="009A5185">
        <w:rPr>
          <w:rFonts w:cs="Arial"/>
          <w:snapToGrid w:val="0"/>
        </w:rPr>
        <w:t xml:space="preserve">Read through the </w:t>
      </w:r>
      <w:r w:rsidR="00E02F8B" w:rsidRPr="009A5185">
        <w:rPr>
          <w:rFonts w:cs="Arial"/>
          <w:snapToGrid w:val="0"/>
          <w:u w:val="single"/>
        </w:rPr>
        <w:t xml:space="preserve">entire </w:t>
      </w:r>
      <w:r w:rsidR="00760EB2" w:rsidRPr="009A5185">
        <w:rPr>
          <w:rFonts w:cs="Arial"/>
          <w:snapToGrid w:val="0"/>
          <w:u w:val="single"/>
        </w:rPr>
        <w:t>document</w:t>
      </w:r>
      <w:r w:rsidR="00760EB2" w:rsidRPr="009A5185">
        <w:rPr>
          <w:rFonts w:cs="Arial"/>
          <w:snapToGrid w:val="0"/>
        </w:rPr>
        <w:t xml:space="preserve"> </w:t>
      </w:r>
      <w:r w:rsidRPr="009A5185">
        <w:rPr>
          <w:rFonts w:cs="Arial"/>
          <w:snapToGrid w:val="0"/>
        </w:rPr>
        <w:t>to ensure that you understan</w:t>
      </w:r>
      <w:r w:rsidR="001338CC" w:rsidRPr="009A5185">
        <w:rPr>
          <w:rFonts w:cs="Arial"/>
          <w:snapToGrid w:val="0"/>
        </w:rPr>
        <w:t>d what information is required.</w:t>
      </w:r>
    </w:p>
    <w:p w14:paraId="0F5814EA" w14:textId="7FC6A603" w:rsidR="00B67677" w:rsidRPr="00374530" w:rsidRDefault="0010643F" w:rsidP="00AD309C">
      <w:pPr>
        <w:numPr>
          <w:ilvl w:val="0"/>
          <w:numId w:val="22"/>
        </w:numPr>
        <w:tabs>
          <w:tab w:val="num" w:pos="360"/>
        </w:tabs>
        <w:spacing w:line="276" w:lineRule="auto"/>
        <w:ind w:left="360"/>
        <w:rPr>
          <w:rFonts w:cs="Arial"/>
          <w:snapToGrid w:val="0"/>
          <w:sz w:val="16"/>
          <w:szCs w:val="16"/>
        </w:rPr>
      </w:pPr>
      <w:r w:rsidRPr="00B67677">
        <w:rPr>
          <w:rFonts w:cs="Arial"/>
          <w:b/>
        </w:rPr>
        <w:t xml:space="preserve">Review the </w:t>
      </w:r>
      <w:r w:rsidR="00FB3132" w:rsidRPr="00B67677">
        <w:rPr>
          <w:rFonts w:cs="Arial"/>
          <w:b/>
        </w:rPr>
        <w:t>reference information</w:t>
      </w:r>
      <w:r w:rsidRPr="00B67677">
        <w:rPr>
          <w:rFonts w:cs="Arial"/>
        </w:rPr>
        <w:t xml:space="preserve"> </w:t>
      </w:r>
      <w:r w:rsidR="00E02F8B" w:rsidRPr="00B67677">
        <w:rPr>
          <w:rFonts w:cs="Arial"/>
        </w:rPr>
        <w:t xml:space="preserve">in each section of </w:t>
      </w:r>
      <w:r w:rsidRPr="00B67677">
        <w:rPr>
          <w:rFonts w:cs="Arial"/>
        </w:rPr>
        <w:t>th</w:t>
      </w:r>
      <w:r w:rsidR="00926CFF" w:rsidRPr="00B67677">
        <w:rPr>
          <w:rFonts w:cs="Arial"/>
        </w:rPr>
        <w:t xml:space="preserve">e </w:t>
      </w:r>
      <w:r w:rsidR="00C14AFF" w:rsidRPr="00B67677">
        <w:rPr>
          <w:rFonts w:cs="Arial"/>
        </w:rPr>
        <w:t>Survey</w:t>
      </w:r>
      <w:r w:rsidR="001D50B8" w:rsidRPr="00B67677">
        <w:rPr>
          <w:rFonts w:cs="Arial"/>
        </w:rPr>
        <w:t xml:space="preserve"> document and</w:t>
      </w:r>
      <w:r w:rsidRPr="00B67677">
        <w:rPr>
          <w:rFonts w:cs="Arial"/>
        </w:rPr>
        <w:t xml:space="preserve"> </w:t>
      </w:r>
      <w:r w:rsidRPr="00B67677">
        <w:rPr>
          <w:rFonts w:cs="Arial"/>
          <w:b/>
          <w:bCs/>
        </w:rPr>
        <w:t>downloa</w:t>
      </w:r>
      <w:r w:rsidR="00220448" w:rsidRPr="00B67677">
        <w:rPr>
          <w:rFonts w:cs="Arial"/>
          <w:b/>
          <w:bCs/>
        </w:rPr>
        <w:t xml:space="preserve">d </w:t>
      </w:r>
      <w:hyperlink r:id="rId37" w:history="1">
        <w:r w:rsidR="00220448" w:rsidRPr="00B67677">
          <w:rPr>
            <w:rStyle w:val="Hyperlink"/>
            <w:rFonts w:cs="Arial"/>
            <w:b/>
            <w:bCs/>
          </w:rPr>
          <w:t>other supporting materials</w:t>
        </w:r>
      </w:hyperlink>
      <w:r w:rsidR="001338CC" w:rsidRPr="00B67677">
        <w:rPr>
          <w:rFonts w:cs="Arial"/>
        </w:rPr>
        <w:t xml:space="preserve">. </w:t>
      </w:r>
      <w:r w:rsidRPr="00B67677">
        <w:rPr>
          <w:rFonts w:cs="Arial"/>
        </w:rPr>
        <w:t>Th</w:t>
      </w:r>
      <w:r w:rsidR="00220448" w:rsidRPr="00B67677">
        <w:rPr>
          <w:rFonts w:cs="Arial"/>
        </w:rPr>
        <w:t>ese documents</w:t>
      </w:r>
      <w:r w:rsidR="00ED4FAB" w:rsidRPr="00B67677">
        <w:rPr>
          <w:rFonts w:cs="Arial"/>
        </w:rPr>
        <w:t xml:space="preserve"> and tools</w:t>
      </w:r>
      <w:r w:rsidR="00220448" w:rsidRPr="00B67677">
        <w:rPr>
          <w:rFonts w:cs="Arial"/>
        </w:rPr>
        <w:t xml:space="preserve"> contain information that you</w:t>
      </w:r>
      <w:r w:rsidRPr="00B67677">
        <w:rPr>
          <w:rFonts w:cs="Arial"/>
        </w:rPr>
        <w:t xml:space="preserve"> will need to </w:t>
      </w:r>
      <w:r w:rsidR="00FB3132" w:rsidRPr="00B67677">
        <w:rPr>
          <w:rFonts w:cs="Arial"/>
        </w:rPr>
        <w:t xml:space="preserve">accurately </w:t>
      </w:r>
      <w:r w:rsidRPr="00B67677">
        <w:rPr>
          <w:rFonts w:cs="Arial"/>
        </w:rPr>
        <w:t xml:space="preserve">respond to the </w:t>
      </w:r>
      <w:r w:rsidR="00C14AFF" w:rsidRPr="00B67677">
        <w:rPr>
          <w:rFonts w:cs="Arial"/>
        </w:rPr>
        <w:t>Survey</w:t>
      </w:r>
      <w:r w:rsidRPr="00B67677">
        <w:rPr>
          <w:rFonts w:cs="Arial"/>
        </w:rPr>
        <w:t xml:space="preserve"> questions.</w:t>
      </w:r>
      <w:r w:rsidR="00D917D2" w:rsidRPr="00B67677">
        <w:rPr>
          <w:rFonts w:cs="Arial"/>
        </w:rPr>
        <w:t xml:space="preserve"> </w:t>
      </w:r>
    </w:p>
    <w:p w14:paraId="404FBBFA" w14:textId="5D5FB1C6" w:rsidR="0086777E" w:rsidRPr="00374530" w:rsidRDefault="007A2824" w:rsidP="00AD309C">
      <w:pPr>
        <w:numPr>
          <w:ilvl w:val="0"/>
          <w:numId w:val="22"/>
        </w:numPr>
        <w:tabs>
          <w:tab w:val="num" w:pos="360"/>
        </w:tabs>
        <w:spacing w:line="276" w:lineRule="auto"/>
        <w:ind w:left="360"/>
        <w:rPr>
          <w:rFonts w:cs="Arial"/>
          <w:snapToGrid w:val="0"/>
        </w:rPr>
      </w:pPr>
      <w:r w:rsidRPr="009A5185">
        <w:rPr>
          <w:rFonts w:cs="Arial"/>
          <w:b/>
        </w:rPr>
        <w:t>Join Leapfrog’s NHSN Group</w:t>
      </w:r>
      <w:r w:rsidRPr="009A5185">
        <w:rPr>
          <w:rFonts w:cs="Arial"/>
        </w:rPr>
        <w:t xml:space="preserve">. </w:t>
      </w:r>
      <w:r w:rsidR="002F08C7">
        <w:rPr>
          <w:rFonts w:cs="Arial"/>
        </w:rPr>
        <w:t>H</w:t>
      </w:r>
      <w:r w:rsidRPr="009A5185">
        <w:rPr>
          <w:rFonts w:cs="Arial"/>
        </w:rPr>
        <w:t>ospitals reporting on Section 7B</w:t>
      </w:r>
      <w:r w:rsidR="000D6757">
        <w:rPr>
          <w:rFonts w:cs="Arial"/>
        </w:rPr>
        <w:t>:</w:t>
      </w:r>
      <w:r w:rsidRPr="009A5185">
        <w:rPr>
          <w:rFonts w:cs="Arial"/>
        </w:rPr>
        <w:t xml:space="preserve"> Healthcare-Associated Infections are required to join Leapfrog’s NHSN Group. More information, including important deadlines, is available on the</w:t>
      </w:r>
      <w:r w:rsidR="0064007F">
        <w:rPr>
          <w:rFonts w:cs="Arial"/>
        </w:rPr>
        <w:t xml:space="preserve"> </w:t>
      </w:r>
      <w:hyperlink r:id="rId38" w:history="1">
        <w:r w:rsidR="0064007F" w:rsidRPr="0050345D">
          <w:rPr>
            <w:rStyle w:val="Hyperlink"/>
            <w:rFonts w:cs="Arial"/>
          </w:rPr>
          <w:t>Review NHSN Instructions webpage</w:t>
        </w:r>
      </w:hyperlink>
      <w:r w:rsidR="0064007F" w:rsidRPr="0064007F">
        <w:rPr>
          <w:rFonts w:cs="Arial"/>
        </w:rPr>
        <w:t>.</w:t>
      </w:r>
    </w:p>
    <w:p w14:paraId="5C1EB400" w14:textId="47D82E82" w:rsidR="009C4EE9" w:rsidRPr="00374530" w:rsidRDefault="00B67677" w:rsidP="00AD309C">
      <w:pPr>
        <w:numPr>
          <w:ilvl w:val="0"/>
          <w:numId w:val="22"/>
        </w:numPr>
        <w:tabs>
          <w:tab w:val="num" w:pos="360"/>
        </w:tabs>
        <w:spacing w:line="276" w:lineRule="auto"/>
        <w:ind w:left="360"/>
        <w:rPr>
          <w:rFonts w:cs="Arial"/>
          <w:snapToGrid w:val="0"/>
        </w:rPr>
      </w:pPr>
      <w:r w:rsidRPr="00B67677">
        <w:rPr>
          <w:rFonts w:cs="Arial"/>
          <w:b/>
          <w:bCs/>
          <w:snapToGrid w:val="0"/>
        </w:rPr>
        <w:t>Accept the American Medical Association’s Terms of Use and Download the CPT Code Workbook</w:t>
      </w:r>
      <w:r>
        <w:rPr>
          <w:rFonts w:cs="Arial"/>
          <w:snapToGrid w:val="0"/>
        </w:rPr>
        <w:t xml:space="preserve">. </w:t>
      </w:r>
      <w:r>
        <w:rPr>
          <w:rFonts w:cs="Arial"/>
        </w:rPr>
        <w:t xml:space="preserve">Hospitals reporting on </w:t>
      </w:r>
      <w:r w:rsidR="000130CD">
        <w:rPr>
          <w:rFonts w:cs="Arial"/>
        </w:rPr>
        <w:t xml:space="preserve">Section 3 Adult and Pediatric Complex Procedures (that perform bariatric surgery for weight loss, total hip replacement surgery, or total knee replacement surgery) </w:t>
      </w:r>
      <w:r w:rsidR="00CB302D">
        <w:rPr>
          <w:rFonts w:cs="Arial"/>
        </w:rPr>
        <w:t xml:space="preserve">and </w:t>
      </w:r>
      <w:r w:rsidR="00110AA0">
        <w:rPr>
          <w:rFonts w:cs="Arial"/>
        </w:rPr>
        <w:t>r</w:t>
      </w:r>
      <w:r w:rsidR="008C3A7B">
        <w:rPr>
          <w:rFonts w:cs="Arial"/>
        </w:rPr>
        <w:t xml:space="preserve">eporting on </w:t>
      </w:r>
      <w:r w:rsidR="000130CD">
        <w:rPr>
          <w:rFonts w:cs="Arial"/>
        </w:rPr>
        <w:t>S</w:t>
      </w:r>
      <w:r>
        <w:rPr>
          <w:rFonts w:cs="Arial"/>
        </w:rPr>
        <w:t xml:space="preserve">ection 9 Outpatient Procedures </w:t>
      </w:r>
      <w:r w:rsidR="0057687E">
        <w:rPr>
          <w:rFonts w:cs="Arial"/>
        </w:rPr>
        <w:t xml:space="preserve">(that perform outpatient procedures) </w:t>
      </w:r>
      <w:r w:rsidR="00B3022F">
        <w:rPr>
          <w:rFonts w:cs="Arial"/>
        </w:rPr>
        <w:t xml:space="preserve">and </w:t>
      </w:r>
      <w:r w:rsidR="009323B5">
        <w:rPr>
          <w:rFonts w:cs="Arial"/>
        </w:rPr>
        <w:t xml:space="preserve">are </w:t>
      </w:r>
      <w:r w:rsidR="00B3022F">
        <w:rPr>
          <w:rFonts w:cs="Arial"/>
        </w:rPr>
        <w:t xml:space="preserve">optionally reporting </w:t>
      </w:r>
      <w:r w:rsidR="00C07F0C">
        <w:rPr>
          <w:rFonts w:cs="Arial"/>
        </w:rPr>
        <w:t>on select</w:t>
      </w:r>
      <w:r w:rsidR="001478AB">
        <w:rPr>
          <w:rFonts w:cs="Arial"/>
        </w:rPr>
        <w:t xml:space="preserve"> outpatient procedures </w:t>
      </w:r>
      <w:r>
        <w:rPr>
          <w:rFonts w:cs="Arial"/>
        </w:rPr>
        <w:t xml:space="preserve">must accept the American Medical Association’s Terms of Use and download the CPT Code Workbook via the button on the </w:t>
      </w:r>
      <w:hyperlink r:id="rId39" w:history="1">
        <w:r w:rsidRPr="00F72C9F">
          <w:rPr>
            <w:rStyle w:val="Hyperlink"/>
            <w:rFonts w:cs="Arial"/>
          </w:rPr>
          <w:t>Survey Dashboard</w:t>
        </w:r>
      </w:hyperlink>
      <w:r w:rsidR="007545D7">
        <w:rPr>
          <w:rFonts w:cs="Arial"/>
        </w:rPr>
        <w:t xml:space="preserve"> in Section 9.</w:t>
      </w:r>
    </w:p>
    <w:p w14:paraId="178DEF47" w14:textId="6514408B" w:rsidR="009C4EE9" w:rsidRPr="00374530" w:rsidRDefault="00834A44" w:rsidP="00AD309C">
      <w:pPr>
        <w:numPr>
          <w:ilvl w:val="0"/>
          <w:numId w:val="22"/>
        </w:numPr>
        <w:tabs>
          <w:tab w:val="num" w:pos="360"/>
        </w:tabs>
        <w:spacing w:line="276" w:lineRule="auto"/>
        <w:ind w:left="360"/>
        <w:rPr>
          <w:rFonts w:cs="Arial"/>
          <w:snapToGrid w:val="0"/>
        </w:rPr>
      </w:pPr>
      <w:r w:rsidRPr="009A5185">
        <w:rPr>
          <w:rFonts w:cs="Arial"/>
          <w:b/>
          <w:snapToGrid w:val="0"/>
        </w:rPr>
        <w:t>Identify individuals from your hospital to help you</w:t>
      </w:r>
      <w:r w:rsidRPr="009A5185">
        <w:rPr>
          <w:rFonts w:cs="Arial"/>
          <w:snapToGrid w:val="0"/>
        </w:rPr>
        <w:t xml:space="preserve"> gather the data you </w:t>
      </w:r>
      <w:r w:rsidR="00840E07" w:rsidRPr="009A5185">
        <w:rPr>
          <w:rFonts w:cs="Arial"/>
          <w:snapToGrid w:val="0"/>
        </w:rPr>
        <w:t xml:space="preserve">will </w:t>
      </w:r>
      <w:r w:rsidRPr="009A5185">
        <w:rPr>
          <w:rFonts w:cs="Arial"/>
          <w:snapToGrid w:val="0"/>
        </w:rPr>
        <w:t>need to complete t</w:t>
      </w:r>
      <w:r w:rsidR="00926CFF" w:rsidRPr="009A5185">
        <w:rPr>
          <w:rFonts w:cs="Arial"/>
          <w:snapToGrid w:val="0"/>
        </w:rPr>
        <w:t>he</w:t>
      </w:r>
      <w:r w:rsidRPr="009A5185">
        <w:rPr>
          <w:rFonts w:cs="Arial"/>
          <w:snapToGrid w:val="0"/>
        </w:rPr>
        <w:t xml:space="preserve"> various sections of the </w:t>
      </w:r>
      <w:r w:rsidR="00C14AFF" w:rsidRPr="009A5185">
        <w:rPr>
          <w:rFonts w:cs="Arial"/>
          <w:snapToGrid w:val="0"/>
        </w:rPr>
        <w:t>Survey</w:t>
      </w:r>
      <w:r w:rsidRPr="009A5185">
        <w:rPr>
          <w:rFonts w:cs="Arial"/>
          <w:snapToGrid w:val="0"/>
        </w:rPr>
        <w:t xml:space="preserve">. </w:t>
      </w:r>
    </w:p>
    <w:p w14:paraId="483F43E9" w14:textId="4185FB52" w:rsidR="009C4EE9" w:rsidRPr="00374530" w:rsidRDefault="004045F6" w:rsidP="00AD309C">
      <w:pPr>
        <w:numPr>
          <w:ilvl w:val="0"/>
          <w:numId w:val="22"/>
        </w:numPr>
        <w:tabs>
          <w:tab w:val="num" w:pos="360"/>
        </w:tabs>
        <w:spacing w:line="276" w:lineRule="auto"/>
        <w:ind w:left="360"/>
        <w:rPr>
          <w:rFonts w:cs="Arial"/>
          <w:snapToGrid w:val="0"/>
        </w:rPr>
      </w:pPr>
      <w:r w:rsidRPr="009A5185">
        <w:rPr>
          <w:rFonts w:cs="Arial"/>
          <w:b/>
          <w:snapToGrid w:val="0"/>
        </w:rPr>
        <w:t xml:space="preserve">Complete a hard </w:t>
      </w:r>
      <w:r w:rsidR="005F3BD2" w:rsidRPr="009A5185">
        <w:rPr>
          <w:rFonts w:cs="Arial"/>
          <w:b/>
          <w:snapToGrid w:val="0"/>
        </w:rPr>
        <w:t xml:space="preserve">copy </w:t>
      </w:r>
      <w:r w:rsidR="00834A44" w:rsidRPr="009A5185">
        <w:rPr>
          <w:rFonts w:cs="Arial"/>
          <w:b/>
          <w:snapToGrid w:val="0"/>
        </w:rPr>
        <w:t xml:space="preserve">of the </w:t>
      </w:r>
      <w:r w:rsidR="00C14AFF" w:rsidRPr="009A5185">
        <w:rPr>
          <w:rFonts w:cs="Arial"/>
          <w:b/>
          <w:snapToGrid w:val="0"/>
        </w:rPr>
        <w:t>Survey</w:t>
      </w:r>
      <w:r w:rsidRPr="009A5185">
        <w:rPr>
          <w:rFonts w:cs="Arial"/>
          <w:b/>
          <w:snapToGrid w:val="0"/>
        </w:rPr>
        <w:t xml:space="preserve"> before you log in</w:t>
      </w:r>
      <w:r w:rsidR="00F6397C" w:rsidRPr="009A5185">
        <w:rPr>
          <w:rFonts w:cs="Arial"/>
          <w:b/>
          <w:snapToGrid w:val="0"/>
        </w:rPr>
        <w:t xml:space="preserve"> to</w:t>
      </w:r>
      <w:r w:rsidRPr="009A5185">
        <w:rPr>
          <w:rFonts w:cs="Arial"/>
          <w:b/>
          <w:snapToGrid w:val="0"/>
        </w:rPr>
        <w:t xml:space="preserve"> the </w:t>
      </w:r>
      <w:r w:rsidR="004B22C6">
        <w:rPr>
          <w:rFonts w:cs="Arial"/>
          <w:b/>
          <w:snapToGrid w:val="0"/>
        </w:rPr>
        <w:t>Online Survey Tool</w:t>
      </w:r>
      <w:r w:rsidR="00834A44" w:rsidRPr="009A5185">
        <w:rPr>
          <w:rFonts w:cs="Arial"/>
          <w:snapToGrid w:val="0"/>
        </w:rPr>
        <w:t xml:space="preserve">. </w:t>
      </w:r>
      <w:r w:rsidR="0010643F" w:rsidRPr="009A5185">
        <w:rPr>
          <w:rFonts w:cs="Arial"/>
          <w:snapToGrid w:val="0"/>
        </w:rPr>
        <w:t xml:space="preserve">This will expedite the </w:t>
      </w:r>
      <w:r w:rsidR="004B7172">
        <w:rPr>
          <w:rFonts w:cs="Arial"/>
          <w:snapToGrid w:val="0"/>
        </w:rPr>
        <w:t xml:space="preserve">data entry into the Online Survey Tool </w:t>
      </w:r>
      <w:r w:rsidR="00717501">
        <w:rPr>
          <w:rFonts w:cs="Arial"/>
          <w:snapToGrid w:val="0"/>
        </w:rPr>
        <w:t xml:space="preserve">and </w:t>
      </w:r>
      <w:r w:rsidR="00840E07" w:rsidRPr="009A5185">
        <w:rPr>
          <w:rFonts w:cs="Arial"/>
          <w:snapToGrid w:val="0"/>
        </w:rPr>
        <w:t xml:space="preserve">help to </w:t>
      </w:r>
      <w:r w:rsidR="00834A44" w:rsidRPr="009A5185">
        <w:rPr>
          <w:rFonts w:cs="Arial"/>
          <w:snapToGrid w:val="0"/>
        </w:rPr>
        <w:t xml:space="preserve">avoid the </w:t>
      </w:r>
      <w:r w:rsidR="002360A7">
        <w:rPr>
          <w:rFonts w:cs="Arial"/>
          <w:snapToGrid w:val="0"/>
        </w:rPr>
        <w:t xml:space="preserve">Tool </w:t>
      </w:r>
      <w:r w:rsidR="0034196E">
        <w:rPr>
          <w:rFonts w:cs="Arial"/>
          <w:snapToGrid w:val="0"/>
        </w:rPr>
        <w:t xml:space="preserve">"timing out" after </w:t>
      </w:r>
      <w:r w:rsidR="009C4EE9">
        <w:rPr>
          <w:rFonts w:cs="Arial"/>
          <w:snapToGrid w:val="0"/>
        </w:rPr>
        <w:t>20</w:t>
      </w:r>
      <w:r w:rsidR="0010643F" w:rsidRPr="009A5185">
        <w:rPr>
          <w:rFonts w:cs="Arial"/>
          <w:snapToGrid w:val="0"/>
        </w:rPr>
        <w:t xml:space="preserve"> minutes of idle time (a security precaution). Once </w:t>
      </w:r>
      <w:r w:rsidR="00FF72B9" w:rsidRPr="009A5185">
        <w:rPr>
          <w:rFonts w:cs="Arial"/>
          <w:snapToGrid w:val="0"/>
        </w:rPr>
        <w:t>all</w:t>
      </w:r>
      <w:r w:rsidRPr="009A5185">
        <w:rPr>
          <w:rFonts w:cs="Arial"/>
          <w:snapToGrid w:val="0"/>
        </w:rPr>
        <w:t xml:space="preserve"> the </w:t>
      </w:r>
      <w:r w:rsidR="0010643F" w:rsidRPr="009A5185">
        <w:rPr>
          <w:rFonts w:cs="Arial"/>
          <w:snapToGrid w:val="0"/>
        </w:rPr>
        <w:t>information has been collected</w:t>
      </w:r>
      <w:r w:rsidRPr="009A5185">
        <w:rPr>
          <w:rFonts w:cs="Arial"/>
          <w:snapToGrid w:val="0"/>
        </w:rPr>
        <w:t xml:space="preserve"> and recorded in the hard copy of the </w:t>
      </w:r>
      <w:r w:rsidR="00C14AFF" w:rsidRPr="009A5185">
        <w:rPr>
          <w:rFonts w:cs="Arial"/>
          <w:snapToGrid w:val="0"/>
        </w:rPr>
        <w:t>Survey</w:t>
      </w:r>
      <w:r w:rsidRPr="009A5185">
        <w:rPr>
          <w:rFonts w:cs="Arial"/>
          <w:snapToGrid w:val="0"/>
        </w:rPr>
        <w:t xml:space="preserve">, the CEO or </w:t>
      </w:r>
      <w:r w:rsidR="00E65A40">
        <w:rPr>
          <w:rFonts w:cs="Arial"/>
          <w:snapToGrid w:val="0"/>
        </w:rPr>
        <w:t xml:space="preserve">the CEO’s </w:t>
      </w:r>
      <w:r w:rsidRPr="009A5185">
        <w:rPr>
          <w:rFonts w:cs="Arial"/>
          <w:snapToGrid w:val="0"/>
        </w:rPr>
        <w:t>designee</w:t>
      </w:r>
      <w:r w:rsidR="0010643F" w:rsidRPr="009A5185">
        <w:rPr>
          <w:rFonts w:cs="Arial"/>
          <w:snapToGrid w:val="0"/>
        </w:rPr>
        <w:t xml:space="preserve"> can typically complete t</w:t>
      </w:r>
      <w:r w:rsidR="00ED4FAB" w:rsidRPr="009A5185">
        <w:rPr>
          <w:rFonts w:cs="Arial"/>
          <w:snapToGrid w:val="0"/>
        </w:rPr>
        <w:t>he</w:t>
      </w:r>
      <w:r w:rsidR="009F2794">
        <w:rPr>
          <w:rFonts w:cs="Arial"/>
          <w:snapToGrid w:val="0"/>
        </w:rPr>
        <w:t xml:space="preserve"> </w:t>
      </w:r>
      <w:r w:rsidR="00E17E44">
        <w:rPr>
          <w:rFonts w:cs="Arial"/>
          <w:snapToGrid w:val="0"/>
        </w:rPr>
        <w:t xml:space="preserve">online </w:t>
      </w:r>
      <w:r w:rsidR="009F2794">
        <w:rPr>
          <w:rFonts w:cs="Arial"/>
          <w:snapToGrid w:val="0"/>
        </w:rPr>
        <w:t>data entry</w:t>
      </w:r>
      <w:r w:rsidR="00ED4FAB" w:rsidRPr="009A5185">
        <w:rPr>
          <w:rFonts w:cs="Arial"/>
          <w:snapToGrid w:val="0"/>
        </w:rPr>
        <w:t xml:space="preserve"> in less than </w:t>
      </w:r>
      <w:r w:rsidR="009F2794">
        <w:rPr>
          <w:rFonts w:cs="Arial"/>
          <w:snapToGrid w:val="0"/>
        </w:rPr>
        <w:t>an hour</w:t>
      </w:r>
      <w:r w:rsidR="0010643F" w:rsidRPr="009A5185">
        <w:rPr>
          <w:rFonts w:cs="Arial"/>
          <w:snapToGrid w:val="0"/>
        </w:rPr>
        <w:t xml:space="preserve">. Please note, responses </w:t>
      </w:r>
      <w:r w:rsidR="00676669">
        <w:rPr>
          <w:rFonts w:cs="Arial"/>
          <w:snapToGrid w:val="0"/>
        </w:rPr>
        <w:t xml:space="preserve">must be entered into the </w:t>
      </w:r>
      <w:r w:rsidR="004B22C6">
        <w:rPr>
          <w:rFonts w:cs="Arial"/>
          <w:snapToGrid w:val="0"/>
        </w:rPr>
        <w:t>Online Survey Tool</w:t>
      </w:r>
      <w:r w:rsidR="00676669">
        <w:rPr>
          <w:rFonts w:cs="Arial"/>
          <w:snapToGrid w:val="0"/>
        </w:rPr>
        <w:t xml:space="preserve"> to be submitted</w:t>
      </w:r>
      <w:r w:rsidR="0010643F" w:rsidRPr="009A5185">
        <w:rPr>
          <w:rFonts w:cs="Arial"/>
          <w:snapToGrid w:val="0"/>
        </w:rPr>
        <w:t>.</w:t>
      </w:r>
    </w:p>
    <w:p w14:paraId="2DCCFC8C" w14:textId="199A1BCA" w:rsidR="009C4EE9" w:rsidRPr="00374530" w:rsidRDefault="00777CF3" w:rsidP="00AD309C">
      <w:pPr>
        <w:numPr>
          <w:ilvl w:val="0"/>
          <w:numId w:val="22"/>
        </w:numPr>
        <w:tabs>
          <w:tab w:val="num" w:pos="360"/>
        </w:tabs>
        <w:spacing w:line="276" w:lineRule="auto"/>
        <w:ind w:left="360"/>
        <w:rPr>
          <w:rFonts w:cs="Arial"/>
          <w:snapToGrid w:val="0"/>
        </w:rPr>
      </w:pPr>
      <w:r w:rsidRPr="009A5185">
        <w:rPr>
          <w:rFonts w:cs="Arial"/>
          <w:b/>
          <w:snapToGrid w:val="0"/>
        </w:rPr>
        <w:t xml:space="preserve">Download and review a copy of the </w:t>
      </w:r>
      <w:r w:rsidR="003B6E90">
        <w:rPr>
          <w:rFonts w:cs="Arial"/>
          <w:b/>
          <w:snapToGrid w:val="0"/>
        </w:rPr>
        <w:t xml:space="preserve">Online Survey Tool </w:t>
      </w:r>
      <w:r w:rsidRPr="009A5185">
        <w:rPr>
          <w:rFonts w:cs="Arial"/>
          <w:b/>
          <w:snapToGrid w:val="0"/>
        </w:rPr>
        <w:t>Guide</w:t>
      </w:r>
      <w:r w:rsidR="00E17E44">
        <w:rPr>
          <w:rFonts w:cs="Arial"/>
        </w:rPr>
        <w:t xml:space="preserve"> </w:t>
      </w:r>
      <w:r w:rsidR="007A4266">
        <w:rPr>
          <w:rFonts w:cs="Arial"/>
        </w:rPr>
        <w:t xml:space="preserve">on the </w:t>
      </w:r>
      <w:hyperlink r:id="rId40" w:history="1">
        <w:r w:rsidR="007A4266" w:rsidRPr="00252720">
          <w:rPr>
            <w:rStyle w:val="Hyperlink"/>
            <w:rFonts w:cs="Arial"/>
            <w:snapToGrid w:val="0"/>
          </w:rPr>
          <w:t>Get Started webpage</w:t>
        </w:r>
      </w:hyperlink>
      <w:r w:rsidR="000D26CA">
        <w:t>. It</w:t>
      </w:r>
      <w:r w:rsidR="007A4266">
        <w:rPr>
          <w:rStyle w:val="Hyperlink"/>
          <w:rFonts w:cs="Arial"/>
          <w:snapToGrid w:val="0"/>
          <w:u w:val="none"/>
        </w:rPr>
        <w:t xml:space="preserve"> </w:t>
      </w:r>
      <w:r w:rsidRPr="007A4266">
        <w:rPr>
          <w:rFonts w:cs="Arial"/>
        </w:rPr>
        <w:t>includes</w:t>
      </w:r>
      <w:r w:rsidRPr="009A5185">
        <w:rPr>
          <w:rFonts w:cs="Arial"/>
        </w:rPr>
        <w:t xml:space="preserve"> important instructions on how to navigate the </w:t>
      </w:r>
      <w:r w:rsidR="004B22C6">
        <w:rPr>
          <w:rFonts w:cs="Arial"/>
        </w:rPr>
        <w:t>Online Hospital Survey Tool</w:t>
      </w:r>
      <w:r w:rsidR="000D6757">
        <w:rPr>
          <w:rFonts w:cs="Arial"/>
        </w:rPr>
        <w:t xml:space="preserve">, including instructions on how to verify </w:t>
      </w:r>
      <w:r w:rsidR="00076962">
        <w:rPr>
          <w:rFonts w:cs="Arial"/>
        </w:rPr>
        <w:t xml:space="preserve">that </w:t>
      </w:r>
      <w:r w:rsidR="000D6757">
        <w:rPr>
          <w:rFonts w:cs="Arial"/>
        </w:rPr>
        <w:t xml:space="preserve">your hospital has successfully submitted the Survey. </w:t>
      </w:r>
    </w:p>
    <w:p w14:paraId="6A307153" w14:textId="2D4271CD" w:rsidR="009C4EE9" w:rsidRPr="00374530" w:rsidRDefault="0012573C" w:rsidP="00AD309C">
      <w:pPr>
        <w:numPr>
          <w:ilvl w:val="0"/>
          <w:numId w:val="22"/>
        </w:numPr>
        <w:tabs>
          <w:tab w:val="num" w:pos="360"/>
        </w:tabs>
        <w:spacing w:line="276" w:lineRule="auto"/>
        <w:ind w:left="360"/>
        <w:rPr>
          <w:rFonts w:cs="Arial"/>
          <w:b/>
          <w:snapToGrid w:val="0"/>
        </w:rPr>
      </w:pPr>
      <w:r w:rsidRPr="009A5185">
        <w:rPr>
          <w:rFonts w:cs="Arial"/>
          <w:b/>
        </w:rPr>
        <w:t xml:space="preserve">Check </w:t>
      </w:r>
      <w:r w:rsidR="00C14AFF" w:rsidRPr="009A5185">
        <w:rPr>
          <w:rFonts w:cs="Arial"/>
          <w:b/>
        </w:rPr>
        <w:t>Survey</w:t>
      </w:r>
      <w:r w:rsidRPr="009A5185">
        <w:rPr>
          <w:rFonts w:cs="Arial"/>
          <w:b/>
        </w:rPr>
        <w:t xml:space="preserve"> deadlines. </w:t>
      </w:r>
      <w:r w:rsidR="00C338C0" w:rsidRPr="009A5185">
        <w:rPr>
          <w:rFonts w:cs="Arial"/>
        </w:rPr>
        <w:t xml:space="preserve">Carefully review </w:t>
      </w:r>
      <w:r w:rsidR="00C14AFF" w:rsidRPr="009A5185">
        <w:rPr>
          <w:rFonts w:cs="Arial"/>
        </w:rPr>
        <w:t>Survey</w:t>
      </w:r>
      <w:r w:rsidRPr="009A5185">
        <w:rPr>
          <w:rFonts w:cs="Arial"/>
        </w:rPr>
        <w:t xml:space="preserve"> </w:t>
      </w:r>
      <w:hyperlink r:id="rId41" w:history="1">
        <w:r w:rsidRPr="009A5185">
          <w:rPr>
            <w:rStyle w:val="Hyperlink"/>
            <w:rFonts w:cs="Arial"/>
          </w:rPr>
          <w:t>deadlines</w:t>
        </w:r>
      </w:hyperlink>
      <w:r w:rsidRPr="009A5185">
        <w:rPr>
          <w:rFonts w:cs="Arial"/>
        </w:rPr>
        <w:t xml:space="preserve"> befo</w:t>
      </w:r>
      <w:r w:rsidRPr="00906293">
        <w:rPr>
          <w:rFonts w:cs="Arial"/>
        </w:rPr>
        <w:t>re you begin</w:t>
      </w:r>
      <w:r w:rsidR="00905C82" w:rsidRPr="00906293">
        <w:rPr>
          <w:rFonts w:cs="Arial"/>
        </w:rPr>
        <w:t>.</w:t>
      </w:r>
      <w:r w:rsidR="00905C82" w:rsidRPr="009A5185">
        <w:rPr>
          <w:rFonts w:cs="Arial"/>
        </w:rPr>
        <w:t xml:space="preserve"> </w:t>
      </w:r>
      <w:r w:rsidRPr="009A5185">
        <w:rPr>
          <w:rFonts w:cs="Arial"/>
        </w:rPr>
        <w:t xml:space="preserve">Ensure that you have enough time to collect the data, complete a hard copy of the </w:t>
      </w:r>
      <w:r w:rsidR="00C14AFF" w:rsidRPr="009A5185">
        <w:rPr>
          <w:rFonts w:cs="Arial"/>
        </w:rPr>
        <w:t>Survey</w:t>
      </w:r>
      <w:r w:rsidRPr="009A5185">
        <w:rPr>
          <w:rFonts w:cs="Arial"/>
        </w:rPr>
        <w:t>, and complete and submit</w:t>
      </w:r>
      <w:r w:rsidR="00C14AFF" w:rsidRPr="009A5185">
        <w:rPr>
          <w:rFonts w:cs="Arial"/>
        </w:rPr>
        <w:t xml:space="preserve"> </w:t>
      </w:r>
      <w:r w:rsidR="005559E9">
        <w:rPr>
          <w:rFonts w:cs="Arial"/>
        </w:rPr>
        <w:t xml:space="preserve">the Survey </w:t>
      </w:r>
      <w:r w:rsidR="00C14AFF" w:rsidRPr="009A5185">
        <w:rPr>
          <w:rFonts w:cs="Arial"/>
        </w:rPr>
        <w:t>via</w:t>
      </w:r>
      <w:r w:rsidRPr="009A5185">
        <w:rPr>
          <w:rFonts w:cs="Arial"/>
        </w:rPr>
        <w:t xml:space="preserve"> the </w:t>
      </w:r>
      <w:r w:rsidR="004B22C6">
        <w:rPr>
          <w:rFonts w:cs="Arial"/>
        </w:rPr>
        <w:t>Online Hospital Survey Tool</w:t>
      </w:r>
      <w:r w:rsidRPr="009A5185">
        <w:rPr>
          <w:rFonts w:cs="Arial"/>
        </w:rPr>
        <w:t>.</w:t>
      </w:r>
      <w:r w:rsidR="000D699C" w:rsidRPr="009A5185">
        <w:rPr>
          <w:rFonts w:cs="Arial"/>
        </w:rPr>
        <w:t xml:space="preserve"> </w:t>
      </w:r>
      <w:r w:rsidR="008514D9" w:rsidRPr="008514D9">
        <w:rPr>
          <w:rFonts w:cs="Arial"/>
        </w:rPr>
        <w:t>In addition, for</w:t>
      </w:r>
      <w:r w:rsidR="008514D9">
        <w:rPr>
          <w:rFonts w:cs="Arial"/>
        </w:rPr>
        <w:t xml:space="preserve"> adult</w:t>
      </w:r>
      <w:r w:rsidR="008514D9" w:rsidRPr="008514D9">
        <w:rPr>
          <w:rFonts w:cs="Arial"/>
        </w:rPr>
        <w:t xml:space="preserve"> </w:t>
      </w:r>
      <w:r w:rsidR="00201533">
        <w:rPr>
          <w:rFonts w:cs="Arial"/>
        </w:rPr>
        <w:t xml:space="preserve">and general </w:t>
      </w:r>
      <w:r w:rsidR="008514D9" w:rsidRPr="008514D9">
        <w:rPr>
          <w:rFonts w:cs="Arial"/>
        </w:rPr>
        <w:t>hospitals that have</w:t>
      </w:r>
      <w:r w:rsidR="0080136B">
        <w:rPr>
          <w:rFonts w:cs="Arial"/>
        </w:rPr>
        <w:t xml:space="preserve"> implemented</w:t>
      </w:r>
      <w:r w:rsidR="008514D9" w:rsidRPr="008514D9">
        <w:rPr>
          <w:rFonts w:cs="Arial"/>
        </w:rPr>
        <w:t xml:space="preserve"> CPOE in at least one inpatient unit, make sure you have enough time to take a </w:t>
      </w:r>
      <w:hyperlink r:id="rId42" w:history="1">
        <w:r w:rsidR="008514D9" w:rsidRPr="008514D9">
          <w:rPr>
            <w:rStyle w:val="Hyperlink"/>
          </w:rPr>
          <w:t>CPOE Evaluation Tool</w:t>
        </w:r>
      </w:hyperlink>
      <w:r w:rsidR="001B1322">
        <w:t xml:space="preserve"> test</w:t>
      </w:r>
      <w:r w:rsidR="000D699C" w:rsidRPr="009A5185">
        <w:rPr>
          <w:rFonts w:cs="Arial"/>
        </w:rPr>
        <w:t>.</w:t>
      </w:r>
    </w:p>
    <w:p w14:paraId="07FFD76C" w14:textId="5AF814C2" w:rsidR="00A73A06" w:rsidRPr="00374530" w:rsidRDefault="009C4EE9" w:rsidP="00AD309C">
      <w:pPr>
        <w:numPr>
          <w:ilvl w:val="0"/>
          <w:numId w:val="22"/>
        </w:numPr>
        <w:spacing w:line="276" w:lineRule="auto"/>
        <w:ind w:left="360"/>
        <w:rPr>
          <w:rFonts w:cs="Arial"/>
          <w:snapToGrid w:val="0"/>
        </w:rPr>
      </w:pPr>
      <w:r>
        <w:rPr>
          <w:rFonts w:cs="Arial"/>
          <w:b/>
          <w:bCs/>
          <w:snapToGrid w:val="0"/>
        </w:rPr>
        <w:t xml:space="preserve">Download and review the </w:t>
      </w:r>
      <w:r w:rsidR="00A236B1">
        <w:rPr>
          <w:rFonts w:cs="Arial"/>
          <w:b/>
          <w:bCs/>
          <w:snapToGrid w:val="0"/>
        </w:rPr>
        <w:t>202</w:t>
      </w:r>
      <w:r w:rsidR="00FC1119">
        <w:rPr>
          <w:rFonts w:cs="Arial"/>
          <w:b/>
          <w:bCs/>
          <w:snapToGrid w:val="0"/>
        </w:rPr>
        <w:t>6</w:t>
      </w:r>
      <w:r>
        <w:rPr>
          <w:rFonts w:cs="Arial"/>
          <w:b/>
          <w:bCs/>
          <w:snapToGrid w:val="0"/>
        </w:rPr>
        <w:t xml:space="preserve"> Leapfrog Hospital Survey </w:t>
      </w:r>
      <w:hyperlink r:id="rId43" w:history="1">
        <w:r w:rsidRPr="009C4EE9">
          <w:rPr>
            <w:rStyle w:val="Hyperlink"/>
            <w:rFonts w:cs="Arial"/>
            <w:b/>
            <w:bCs/>
            <w:snapToGrid w:val="0"/>
          </w:rPr>
          <w:t>Scoring Algorithms</w:t>
        </w:r>
      </w:hyperlink>
      <w:r>
        <w:rPr>
          <w:rFonts w:cs="Arial"/>
          <w:b/>
          <w:bCs/>
          <w:snapToGrid w:val="0"/>
        </w:rPr>
        <w:t>.</w:t>
      </w:r>
    </w:p>
    <w:p w14:paraId="4446D74C" w14:textId="2AB270B5" w:rsidR="00A73A06" w:rsidRDefault="006E26E4" w:rsidP="00AD309C">
      <w:pPr>
        <w:numPr>
          <w:ilvl w:val="0"/>
          <w:numId w:val="22"/>
        </w:numPr>
        <w:spacing w:line="276" w:lineRule="auto"/>
        <w:ind w:left="360"/>
      </w:pPr>
      <w:r w:rsidRPr="009A5185">
        <w:rPr>
          <w:rFonts w:cs="Arial"/>
          <w:noProof/>
        </w:rPr>
        <mc:AlternateContent>
          <mc:Choice Requires="wps">
            <w:drawing>
              <wp:anchor distT="0" distB="0" distL="114300" distR="114300" simplePos="0" relativeHeight="251658241" behindDoc="0" locked="0" layoutInCell="1" allowOverlap="1" wp14:anchorId="4AC979C3" wp14:editId="44AA3172">
                <wp:simplePos x="0" y="0"/>
                <wp:positionH relativeFrom="margin">
                  <wp:posOffset>428625</wp:posOffset>
                </wp:positionH>
                <wp:positionV relativeFrom="margin">
                  <wp:posOffset>7723505</wp:posOffset>
                </wp:positionV>
                <wp:extent cx="5059680" cy="571500"/>
                <wp:effectExtent l="0" t="0" r="26670" b="19050"/>
                <wp:wrapSquare wrapText="bothSides"/>
                <wp:docPr id="1" name="Text Box 1" descr="P398TB39#y1"/>
                <wp:cNvGraphicFramePr/>
                <a:graphic xmlns:a="http://schemas.openxmlformats.org/drawingml/2006/main">
                  <a:graphicData uri="http://schemas.microsoft.com/office/word/2010/wordprocessingShape">
                    <wps:wsp>
                      <wps:cNvSpPr txBox="1"/>
                      <wps:spPr>
                        <a:xfrm>
                          <a:off x="0" y="0"/>
                          <a:ext cx="5059680" cy="571500"/>
                        </a:xfrm>
                        <a:prstGeom prst="rect">
                          <a:avLst/>
                        </a:prstGeom>
                        <a:ln/>
                      </wps:spPr>
                      <wps:style>
                        <a:lnRef idx="2">
                          <a:schemeClr val="accent3"/>
                        </a:lnRef>
                        <a:fillRef idx="1">
                          <a:schemeClr val="lt1"/>
                        </a:fillRef>
                        <a:effectRef idx="0">
                          <a:schemeClr val="accent3"/>
                        </a:effectRef>
                        <a:fontRef idx="minor">
                          <a:schemeClr val="dk1"/>
                        </a:fontRef>
                      </wps:style>
                      <wps:txbx>
                        <w:txbxContent>
                          <w:p w14:paraId="42DCBFDC" w14:textId="727DA91D" w:rsidR="00322A3C" w:rsidRPr="00ED4FAB" w:rsidRDefault="00322A3C" w:rsidP="007D0C84">
                            <w:r>
                              <w:rPr>
                                <w:b/>
                              </w:rPr>
                              <w:t>Leapfrog Hospital Survey Binder</w:t>
                            </w:r>
                            <w:r w:rsidR="008048E4">
                              <w:rPr>
                                <w:b/>
                              </w:rPr>
                              <w:t xml:space="preserve">: </w:t>
                            </w:r>
                            <w:r w:rsidR="0027255A">
                              <w:t xml:space="preserve">Hospitals should </w:t>
                            </w:r>
                            <w:r>
                              <w:t xml:space="preserve">utilize the </w:t>
                            </w:r>
                            <w:r w:rsidR="0027255A">
                              <w:t xml:space="preserve">Leapfrog Hospital Survey Binder </w:t>
                            </w:r>
                            <w:r>
                              <w:t xml:space="preserve">to assist in organizing the documentation used to complete the </w:t>
                            </w:r>
                            <w:r w:rsidR="00BF01EE">
                              <w:t>S</w:t>
                            </w:r>
                            <w:r>
                              <w:t xml:space="preserve">urvey. Download a copy of the binder on the </w:t>
                            </w:r>
                            <w:hyperlink r:id="rId44" w:history="1">
                              <w:r w:rsidRPr="00C338C0">
                                <w:rPr>
                                  <w:rStyle w:val="Hyperlink"/>
                                </w:rPr>
                                <w:t>Survey and CPOE Materials webpage</w:t>
                              </w:r>
                            </w:hyperlink>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AC979C3" id="_x0000_t202" coordsize="21600,21600" o:spt="202" path="m,l,21600r21600,l21600,xe">
                <v:stroke joinstyle="miter"/>
                <v:path gradientshapeok="t" o:connecttype="rect"/>
              </v:shapetype>
              <v:shape id="Text Box 1" o:spid="_x0000_s1026" type="#_x0000_t202" alt="P398TB39#y1" style="position:absolute;left:0;text-align:left;margin-left:33.75pt;margin-top:608.15pt;width:398.4pt;height:45pt;z-index:251658241;visibility:visible;mso-wrap-style:square;mso-height-percent:0;mso-wrap-distance-left:9pt;mso-wrap-distance-top:0;mso-wrap-distance-right:9pt;mso-wrap-distance-bottom:0;mso-position-horizontal:absolute;mso-position-horizontal-relative:margin;mso-position-vertical:absolute;mso-position-vertical-relative:margin;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" fillcolor="white [3201]" strokecolor="#9bbb59 [3206]" strokeweight="2pt">
                <v:textbox>
                  <w:txbxContent>
                    <w:p w14:paraId="42DCBFDC" w14:textId="727DA91D" w:rsidR="00322A3C" w:rsidRPr="00ED4FAB" w:rsidRDefault="00322A3C" w:rsidP="007D0C84">
                      <w:r>
                        <w:rPr>
                          <w:b/>
                        </w:rPr>
                        <w:t>Leapfrog Hospital Survey Binder</w:t>
                      </w:r>
                      <w:r w:rsidR="008048E4">
                        <w:rPr>
                          <w:b/>
                        </w:rPr>
                        <w:t xml:space="preserve">: </w:t>
                      </w:r>
                      <w:r w:rsidR="0027255A">
                        <w:t xml:space="preserve">Hospitals should </w:t>
                      </w:r>
                      <w:r>
                        <w:t xml:space="preserve">utilize the </w:t>
                      </w:r>
                      <w:r w:rsidR="0027255A">
                        <w:t xml:space="preserve">Leapfrog Hospital Survey Binder </w:t>
                      </w:r>
                      <w:r>
                        <w:t xml:space="preserve">to assist in organizing the documentation used to complete the </w:t>
                      </w:r>
                      <w:r w:rsidR="00BF01EE">
                        <w:t>S</w:t>
                      </w:r>
                      <w:r>
                        <w:t xml:space="preserve">urvey. Download a copy of the binder on the </w:t>
                      </w:r>
                      <w:hyperlink r:id="rId45" w:history="1">
                        <w:r w:rsidRPr="00C338C0">
                          <w:rPr>
                            <w:rStyle w:val="Hyperlink"/>
                          </w:rPr>
                          <w:t>Survey and CPOE Materials webpage</w:t>
                        </w:r>
                      </w:hyperlink>
                      <w:r>
                        <w:t>.</w:t>
                      </w:r>
                    </w:p>
                  </w:txbxContent>
                </v:textbox>
                <w10:wrap type="square" anchorx="margin" anchory="margin"/>
              </v:shape>
            </w:pict>
          </mc:Fallback>
        </mc:AlternateContent>
      </w:r>
      <w:r w:rsidR="00ED474B" w:rsidRPr="00A73A06">
        <w:rPr>
          <w:rFonts w:cs="Arial"/>
          <w:b/>
          <w:snapToGrid w:val="0"/>
        </w:rPr>
        <w:t>Review Leapfrog’s policies and procedures regarding data accuracy</w:t>
      </w:r>
      <w:r w:rsidR="00C338C0" w:rsidRPr="00A73A06">
        <w:rPr>
          <w:rFonts w:cs="Arial"/>
          <w:snapToGrid w:val="0"/>
        </w:rPr>
        <w:t xml:space="preserve">. Detailed information can be found on the </w:t>
      </w:r>
      <w:hyperlink r:id="rId46" w:history="1">
        <w:r w:rsidR="00C338C0" w:rsidRPr="00A73A06">
          <w:rPr>
            <w:rStyle w:val="Hyperlink"/>
            <w:rFonts w:cs="Arial"/>
            <w:snapToGrid w:val="0"/>
          </w:rPr>
          <w:t>Data Accuracy webpage</w:t>
        </w:r>
      </w:hyperlink>
      <w:r w:rsidR="00C338C0" w:rsidRPr="00A73A06">
        <w:rPr>
          <w:rFonts w:cs="Arial"/>
          <w:snapToGrid w:val="0"/>
        </w:rPr>
        <w:t>.</w:t>
      </w:r>
      <w:r w:rsidR="000D6757" w:rsidRPr="00A73A06">
        <w:rPr>
          <w:rFonts w:cs="Arial"/>
          <w:snapToGrid w:val="0"/>
        </w:rPr>
        <w:t xml:space="preserve"> </w:t>
      </w:r>
    </w:p>
    <w:p w14:paraId="1072BA85" w14:textId="32947DA0" w:rsidR="0010643F" w:rsidRPr="00D62E76" w:rsidRDefault="00E748C5" w:rsidP="00CF5A6E">
      <w:pPr>
        <w:pStyle w:val="Heading2"/>
      </w:pPr>
      <w:bookmarkStart w:id="23" w:name="_Toc225877640"/>
      <w:r w:rsidRPr="009A5185">
        <w:lastRenderedPageBreak/>
        <w:t>Instructions for Submitting a Leapfrog Hospital Survey</w:t>
      </w:r>
      <w:bookmarkEnd w:id="23"/>
    </w:p>
    <w:p w14:paraId="1C6A2A47" w14:textId="3722A0CC" w:rsidR="00E748C5" w:rsidRPr="00AB037D" w:rsidRDefault="00E748C5" w:rsidP="0010643F">
      <w:pPr>
        <w:rPr>
          <w:rFonts w:cs="Arial"/>
          <w:b/>
          <w:iCs/>
        </w:rPr>
      </w:pPr>
    </w:p>
    <w:p w14:paraId="2FE4B4D8" w14:textId="77777777" w:rsidR="00A02948" w:rsidRPr="009A5185" w:rsidRDefault="00244C90" w:rsidP="00244C90">
      <w:pPr>
        <w:rPr>
          <w:rFonts w:cs="Arial"/>
          <w:snapToGrid w:val="0"/>
        </w:rPr>
      </w:pPr>
      <w:r w:rsidRPr="009A5185">
        <w:rPr>
          <w:rFonts w:cs="Arial"/>
          <w:b/>
          <w:snapToGrid w:val="0"/>
          <w:color w:val="FF0000"/>
        </w:rPr>
        <w:t>Important Note</w:t>
      </w:r>
      <w:r w:rsidR="00A02948" w:rsidRPr="009A5185">
        <w:rPr>
          <w:rFonts w:cs="Arial"/>
          <w:b/>
          <w:snapToGrid w:val="0"/>
          <w:color w:val="FF0000"/>
        </w:rPr>
        <w:t>s</w:t>
      </w:r>
      <w:r w:rsidRPr="009A5185">
        <w:rPr>
          <w:rFonts w:cs="Arial"/>
          <w:b/>
          <w:snapToGrid w:val="0"/>
          <w:color w:val="FF0000"/>
        </w:rPr>
        <w:t>:</w:t>
      </w:r>
      <w:r w:rsidRPr="009A5185">
        <w:rPr>
          <w:rFonts w:cs="Arial"/>
          <w:snapToGrid w:val="0"/>
        </w:rPr>
        <w:t xml:space="preserve"> </w:t>
      </w:r>
    </w:p>
    <w:p w14:paraId="73FA8E25" w14:textId="34D27830" w:rsidR="00A02948" w:rsidRPr="009A5185" w:rsidRDefault="00A02948" w:rsidP="00244C90">
      <w:pPr>
        <w:rPr>
          <w:rFonts w:cs="Arial"/>
          <w:snapToGrid w:val="0"/>
        </w:rPr>
      </w:pPr>
    </w:p>
    <w:p w14:paraId="6E2C0CD0" w14:textId="19B2E16A" w:rsidR="00244C90" w:rsidRPr="009A5185" w:rsidRDefault="00A02948" w:rsidP="00244C90">
      <w:pPr>
        <w:rPr>
          <w:rFonts w:cs="Arial"/>
        </w:rPr>
      </w:pPr>
      <w:r w:rsidRPr="009A5185">
        <w:rPr>
          <w:rFonts w:cs="Arial"/>
          <w:snapToGrid w:val="0"/>
        </w:rPr>
        <w:t xml:space="preserve">Note 1: </w:t>
      </w:r>
      <w:r w:rsidR="007955DF" w:rsidRPr="009A5185">
        <w:rPr>
          <w:rFonts w:cs="Arial"/>
          <w:snapToGrid w:val="0"/>
        </w:rPr>
        <w:t xml:space="preserve">Please carefully review these instructions </w:t>
      </w:r>
      <w:r w:rsidR="00244C90" w:rsidRPr="009A5185">
        <w:rPr>
          <w:rFonts w:cs="Arial"/>
          <w:snapToGrid w:val="0"/>
        </w:rPr>
        <w:t xml:space="preserve">and the </w:t>
      </w:r>
      <w:hyperlink r:id="rId47" w:history="1">
        <w:r w:rsidR="003B6E90">
          <w:rPr>
            <w:rStyle w:val="Hyperlink"/>
            <w:rFonts w:cs="Arial"/>
            <w:snapToGrid w:val="0"/>
          </w:rPr>
          <w:t>Online Survey Tool Guide</w:t>
        </w:r>
      </w:hyperlink>
      <w:r w:rsidR="00244C90" w:rsidRPr="009A5185">
        <w:rPr>
          <w:rFonts w:cs="Arial"/>
          <w:snapToGrid w:val="0"/>
        </w:rPr>
        <w:t xml:space="preserve"> </w:t>
      </w:r>
      <w:r w:rsidR="007955DF" w:rsidRPr="009A5185">
        <w:rPr>
          <w:rFonts w:cs="Arial"/>
          <w:snapToGrid w:val="0"/>
        </w:rPr>
        <w:t>before you begin</w:t>
      </w:r>
      <w:r w:rsidR="00F81183" w:rsidRPr="009A5185">
        <w:rPr>
          <w:rFonts w:cs="Arial"/>
          <w:snapToGrid w:val="0"/>
        </w:rPr>
        <w:t>.</w:t>
      </w:r>
    </w:p>
    <w:p w14:paraId="2AF46CA4" w14:textId="77777777" w:rsidR="00244C90" w:rsidRPr="009A5185" w:rsidRDefault="00244C90" w:rsidP="0010643F">
      <w:pPr>
        <w:rPr>
          <w:rFonts w:cs="Arial"/>
          <w:snapToGrid w:val="0"/>
        </w:rPr>
      </w:pPr>
    </w:p>
    <w:p w14:paraId="7DF8AAC3" w14:textId="6388F2EA" w:rsidR="0010643F" w:rsidRPr="009A5185" w:rsidRDefault="00A02948" w:rsidP="0010643F">
      <w:pPr>
        <w:rPr>
          <w:rFonts w:cs="Arial"/>
          <w:snapToGrid w:val="0"/>
        </w:rPr>
      </w:pPr>
      <w:r w:rsidRPr="009A5185">
        <w:rPr>
          <w:rFonts w:cs="Arial"/>
          <w:snapToGrid w:val="0"/>
        </w:rPr>
        <w:t>Note 2</w:t>
      </w:r>
      <w:r w:rsidR="00244C90" w:rsidRPr="009A5185">
        <w:rPr>
          <w:rFonts w:cs="Arial"/>
          <w:snapToGrid w:val="0"/>
        </w:rPr>
        <w:t xml:space="preserve">: </w:t>
      </w:r>
      <w:r w:rsidR="00E87ECC" w:rsidRPr="009A5185">
        <w:rPr>
          <w:rFonts w:cs="Arial"/>
          <w:snapToGrid w:val="0"/>
        </w:rPr>
        <w:t xml:space="preserve">Each section of the </w:t>
      </w:r>
      <w:r w:rsidR="00C14AFF" w:rsidRPr="009A5185">
        <w:rPr>
          <w:rFonts w:cs="Arial"/>
          <w:snapToGrid w:val="0"/>
        </w:rPr>
        <w:t>Survey</w:t>
      </w:r>
      <w:r w:rsidR="00E87ECC" w:rsidRPr="009A5185">
        <w:rPr>
          <w:rFonts w:cs="Arial"/>
          <w:snapToGrid w:val="0"/>
        </w:rPr>
        <w:t xml:space="preserve"> must be completed before it can be affirmed in the </w:t>
      </w:r>
      <w:r w:rsidR="004B22C6">
        <w:rPr>
          <w:rFonts w:cs="Arial"/>
          <w:snapToGrid w:val="0"/>
        </w:rPr>
        <w:t>Online Hospital Survey Tool</w:t>
      </w:r>
      <w:r w:rsidR="00E87ECC" w:rsidRPr="009A5185">
        <w:rPr>
          <w:rFonts w:cs="Arial"/>
          <w:snapToGrid w:val="0"/>
        </w:rPr>
        <w:t xml:space="preserve">. Only sections that are </w:t>
      </w:r>
      <w:r w:rsidR="00E748C5" w:rsidRPr="009A5185">
        <w:rPr>
          <w:rFonts w:cs="Arial"/>
          <w:snapToGrid w:val="0"/>
        </w:rPr>
        <w:t>affirmed ca</w:t>
      </w:r>
      <w:r w:rsidR="009A361A" w:rsidRPr="009A5185">
        <w:rPr>
          <w:rFonts w:cs="Arial"/>
          <w:snapToGrid w:val="0"/>
        </w:rPr>
        <w:t xml:space="preserve">n be submitted. </w:t>
      </w:r>
      <w:r w:rsidR="00E87ECC" w:rsidRPr="009A5185">
        <w:rPr>
          <w:rFonts w:cs="Arial"/>
          <w:snapToGrid w:val="0"/>
        </w:rPr>
        <w:t>Hospitals are responsible for ensuring that each</w:t>
      </w:r>
      <w:r w:rsidR="00020513" w:rsidRPr="009A5185">
        <w:rPr>
          <w:rFonts w:cs="Arial"/>
          <w:snapToGrid w:val="0"/>
        </w:rPr>
        <w:t xml:space="preserve"> submitted section is accurate.</w:t>
      </w:r>
    </w:p>
    <w:p w14:paraId="47BBFD37" w14:textId="77777777" w:rsidR="0010643F" w:rsidRPr="009A5185" w:rsidRDefault="0010643F" w:rsidP="0010643F">
      <w:pPr>
        <w:rPr>
          <w:rFonts w:cs="Arial"/>
        </w:rPr>
      </w:pPr>
    </w:p>
    <w:p w14:paraId="11EE02EC" w14:textId="52B4D784" w:rsidR="0010643F" w:rsidRPr="009A5185" w:rsidRDefault="0010643F" w:rsidP="00AD309C">
      <w:pPr>
        <w:pStyle w:val="ListParagraph"/>
        <w:numPr>
          <w:ilvl w:val="0"/>
          <w:numId w:val="23"/>
        </w:numPr>
        <w:spacing w:after="120"/>
        <w:contextualSpacing w:val="0"/>
        <w:rPr>
          <w:rFonts w:cs="Arial"/>
        </w:rPr>
      </w:pPr>
      <w:r w:rsidRPr="009A5185">
        <w:rPr>
          <w:rFonts w:cs="Arial"/>
        </w:rPr>
        <w:t>L</w:t>
      </w:r>
      <w:r w:rsidR="00837C3E" w:rsidRPr="009A5185">
        <w:rPr>
          <w:rFonts w:cs="Arial"/>
        </w:rPr>
        <w:t xml:space="preserve">og into the </w:t>
      </w:r>
      <w:hyperlink r:id="rId48" w:history="1">
        <w:r w:rsidR="00651640">
          <w:rPr>
            <w:rStyle w:val="Hyperlink"/>
            <w:rFonts w:cs="Arial"/>
          </w:rPr>
          <w:t>Online Hospital Survey Tool</w:t>
        </w:r>
      </w:hyperlink>
      <w:r w:rsidR="00837C3E" w:rsidRPr="009A5185">
        <w:rPr>
          <w:rFonts w:cs="Arial"/>
        </w:rPr>
        <w:t xml:space="preserve"> </w:t>
      </w:r>
      <w:r w:rsidRPr="009A5185">
        <w:rPr>
          <w:rFonts w:cs="Arial"/>
        </w:rPr>
        <w:t>using your 16-digit security code</w:t>
      </w:r>
      <w:r w:rsidR="00020513" w:rsidRPr="009A5185">
        <w:rPr>
          <w:rFonts w:cs="Arial"/>
        </w:rPr>
        <w:t>.</w:t>
      </w:r>
    </w:p>
    <w:p w14:paraId="72F2C656" w14:textId="373672BC" w:rsidR="0010643F" w:rsidRPr="009A5185" w:rsidRDefault="00CC5A68" w:rsidP="00AD309C">
      <w:pPr>
        <w:pStyle w:val="ListParagraph"/>
        <w:numPr>
          <w:ilvl w:val="0"/>
          <w:numId w:val="23"/>
        </w:numPr>
        <w:spacing w:after="120"/>
        <w:contextualSpacing w:val="0"/>
        <w:rPr>
          <w:rFonts w:cs="Arial"/>
          <w:b/>
        </w:rPr>
      </w:pPr>
      <w:r w:rsidRPr="009A5185">
        <w:rPr>
          <w:rFonts w:cs="Arial"/>
        </w:rPr>
        <w:t xml:space="preserve">The first time you log into the </w:t>
      </w:r>
      <w:r w:rsidR="00A236B1">
        <w:rPr>
          <w:rFonts w:cs="Arial"/>
        </w:rPr>
        <w:t>202</w:t>
      </w:r>
      <w:r w:rsidR="00072372">
        <w:rPr>
          <w:rFonts w:cs="Arial"/>
        </w:rPr>
        <w:t>6</w:t>
      </w:r>
      <w:r w:rsidR="00460E9D" w:rsidRPr="009A5185">
        <w:rPr>
          <w:rFonts w:cs="Arial"/>
        </w:rPr>
        <w:t xml:space="preserve"> </w:t>
      </w:r>
      <w:r w:rsidRPr="009A5185">
        <w:rPr>
          <w:rFonts w:cs="Arial"/>
        </w:rPr>
        <w:t>Leapfrog Hospital Survey, you will need to complete and s</w:t>
      </w:r>
      <w:r w:rsidR="008048E4">
        <w:rPr>
          <w:rFonts w:cs="Arial"/>
        </w:rPr>
        <w:t>ubmit</w:t>
      </w:r>
      <w:r w:rsidRPr="009A5185">
        <w:rPr>
          <w:rFonts w:cs="Arial"/>
        </w:rPr>
        <w:t xml:space="preserve"> </w:t>
      </w:r>
      <w:r w:rsidR="008048E4">
        <w:rPr>
          <w:rFonts w:cs="Arial"/>
        </w:rPr>
        <w:t>the Hospital</w:t>
      </w:r>
      <w:r w:rsidRPr="009A5185">
        <w:rPr>
          <w:rFonts w:cs="Arial"/>
        </w:rPr>
        <w:t xml:space="preserve"> Profile. The </w:t>
      </w:r>
      <w:r w:rsidR="00425ED6">
        <w:rPr>
          <w:rFonts w:cs="Arial"/>
        </w:rPr>
        <w:t xml:space="preserve">Hospital </w:t>
      </w:r>
      <w:r w:rsidRPr="009A5185">
        <w:rPr>
          <w:rFonts w:cs="Arial"/>
        </w:rPr>
        <w:t xml:space="preserve">Profile includes demographic and contact </w:t>
      </w:r>
      <w:r w:rsidR="0000024C" w:rsidRPr="009A5185">
        <w:rPr>
          <w:rFonts w:cs="Arial"/>
        </w:rPr>
        <w:t xml:space="preserve">information. The </w:t>
      </w:r>
      <w:r w:rsidR="00425ED6">
        <w:rPr>
          <w:rFonts w:cs="Arial"/>
        </w:rPr>
        <w:t xml:space="preserve">Hospital </w:t>
      </w:r>
      <w:r w:rsidR="0000024C" w:rsidRPr="009A5185">
        <w:rPr>
          <w:rFonts w:cs="Arial"/>
        </w:rPr>
        <w:t>Profile</w:t>
      </w:r>
      <w:r w:rsidRPr="009A5185">
        <w:rPr>
          <w:rFonts w:cs="Arial"/>
        </w:rPr>
        <w:t xml:space="preserve"> should be updated throughout the year if </w:t>
      </w:r>
      <w:r w:rsidR="00AC17D1" w:rsidRPr="009A5185">
        <w:rPr>
          <w:rFonts w:cs="Arial"/>
        </w:rPr>
        <w:t>any information changes</w:t>
      </w:r>
      <w:r w:rsidR="008048E4">
        <w:rPr>
          <w:rFonts w:cs="Arial"/>
        </w:rPr>
        <w:t xml:space="preserve"> and can be accessed at any time</w:t>
      </w:r>
      <w:r w:rsidR="00AC17D1" w:rsidRPr="009A5185">
        <w:rPr>
          <w:rFonts w:cs="Arial"/>
        </w:rPr>
        <w:t xml:space="preserve">. </w:t>
      </w:r>
      <w:r w:rsidR="00A232FD" w:rsidRPr="009A5185">
        <w:rPr>
          <w:rFonts w:cs="Arial"/>
          <w:b/>
        </w:rPr>
        <w:t xml:space="preserve">Failure to </w:t>
      </w:r>
      <w:r w:rsidR="00AC17D1" w:rsidRPr="009A5185">
        <w:rPr>
          <w:rFonts w:cs="Arial"/>
          <w:b/>
        </w:rPr>
        <w:t xml:space="preserve">maintain current </w:t>
      </w:r>
      <w:r w:rsidR="00A232FD" w:rsidRPr="009A5185">
        <w:rPr>
          <w:rFonts w:cs="Arial"/>
          <w:b/>
        </w:rPr>
        <w:t xml:space="preserve">contact information could result in important, time-sensitive information being </w:t>
      </w:r>
      <w:r w:rsidR="008048E4">
        <w:rPr>
          <w:rFonts w:cs="Arial"/>
          <w:b/>
        </w:rPr>
        <w:t xml:space="preserve">missed or </w:t>
      </w:r>
      <w:r w:rsidR="00A232FD" w:rsidRPr="009A5185">
        <w:rPr>
          <w:rFonts w:cs="Arial"/>
          <w:b/>
        </w:rPr>
        <w:t>sent to the wrong person.</w:t>
      </w:r>
      <w:r w:rsidR="004171C1" w:rsidRPr="009A5185">
        <w:rPr>
          <w:rFonts w:cs="Arial"/>
          <w:b/>
        </w:rPr>
        <w:t xml:space="preserve"> </w:t>
      </w:r>
    </w:p>
    <w:p w14:paraId="66AFD0B1" w14:textId="6F0FCAEB" w:rsidR="00F765FB" w:rsidRPr="009A5185" w:rsidRDefault="004171C1" w:rsidP="00AD309C">
      <w:pPr>
        <w:pStyle w:val="ListParagraph"/>
        <w:numPr>
          <w:ilvl w:val="0"/>
          <w:numId w:val="23"/>
        </w:numPr>
        <w:spacing w:after="120"/>
        <w:contextualSpacing w:val="0"/>
        <w:rPr>
          <w:rFonts w:cs="Arial"/>
        </w:rPr>
      </w:pPr>
      <w:r w:rsidRPr="009A5185">
        <w:rPr>
          <w:rFonts w:cs="Arial"/>
        </w:rPr>
        <w:t xml:space="preserve">Once the </w:t>
      </w:r>
      <w:r w:rsidR="00425ED6">
        <w:rPr>
          <w:rFonts w:cs="Arial"/>
        </w:rPr>
        <w:t xml:space="preserve">Hospital </w:t>
      </w:r>
      <w:r w:rsidRPr="009A5185">
        <w:rPr>
          <w:rFonts w:cs="Arial"/>
        </w:rPr>
        <w:t xml:space="preserve">Profile </w:t>
      </w:r>
      <w:r w:rsidR="001E63B1">
        <w:rPr>
          <w:rFonts w:cs="Arial"/>
        </w:rPr>
        <w:t>is</w:t>
      </w:r>
      <w:r w:rsidRPr="009A5185">
        <w:rPr>
          <w:rFonts w:cs="Arial"/>
        </w:rPr>
        <w:t xml:space="preserve"> </w:t>
      </w:r>
      <w:r w:rsidR="008048E4">
        <w:rPr>
          <w:rFonts w:cs="Arial"/>
        </w:rPr>
        <w:t>submitted</w:t>
      </w:r>
      <w:r w:rsidRPr="009A5185">
        <w:rPr>
          <w:rFonts w:cs="Arial"/>
        </w:rPr>
        <w:t xml:space="preserve">, </w:t>
      </w:r>
      <w:r w:rsidR="00F765FB" w:rsidRPr="009A5185">
        <w:rPr>
          <w:rFonts w:cs="Arial"/>
        </w:rPr>
        <w:t xml:space="preserve">you will be taken to the </w:t>
      </w:r>
      <w:r w:rsidR="00534C84">
        <w:rPr>
          <w:rFonts w:cs="Arial"/>
        </w:rPr>
        <w:t>Hospital Survey Dashboard</w:t>
      </w:r>
      <w:r w:rsidR="00F765FB" w:rsidRPr="009A5185">
        <w:rPr>
          <w:rFonts w:cs="Arial"/>
        </w:rPr>
        <w:t xml:space="preserve">. </w:t>
      </w:r>
    </w:p>
    <w:p w14:paraId="01E61575" w14:textId="29B4C8A5" w:rsidR="0010643F" w:rsidRPr="009A5185" w:rsidRDefault="00F765FB" w:rsidP="00AD309C">
      <w:pPr>
        <w:pStyle w:val="ListParagraph"/>
        <w:numPr>
          <w:ilvl w:val="0"/>
          <w:numId w:val="23"/>
        </w:numPr>
        <w:spacing w:after="120"/>
        <w:contextualSpacing w:val="0"/>
        <w:rPr>
          <w:rFonts w:cs="Arial"/>
        </w:rPr>
      </w:pPr>
      <w:r w:rsidRPr="009A5185">
        <w:rPr>
          <w:rFonts w:cs="Arial"/>
        </w:rPr>
        <w:t xml:space="preserve">You can navigate </w:t>
      </w:r>
      <w:r w:rsidR="008048E4">
        <w:rPr>
          <w:rFonts w:cs="Arial"/>
        </w:rPr>
        <w:t>in</w:t>
      </w:r>
      <w:r w:rsidRPr="009A5185">
        <w:rPr>
          <w:rFonts w:cs="Arial"/>
        </w:rPr>
        <w:t xml:space="preserve">to sections of the </w:t>
      </w:r>
      <w:r w:rsidR="004B22C6">
        <w:rPr>
          <w:rFonts w:cs="Arial"/>
        </w:rPr>
        <w:t>Online Hospital Survey Tool</w:t>
      </w:r>
      <w:r w:rsidR="0010643F" w:rsidRPr="009A5185">
        <w:rPr>
          <w:rFonts w:cs="Arial"/>
        </w:rPr>
        <w:t xml:space="preserve"> </w:t>
      </w:r>
      <w:r w:rsidRPr="009A5185">
        <w:rPr>
          <w:rFonts w:cs="Arial"/>
        </w:rPr>
        <w:t>using the link</w:t>
      </w:r>
      <w:r w:rsidR="008048E4">
        <w:rPr>
          <w:rFonts w:cs="Arial"/>
        </w:rPr>
        <w:t>ed section names</w:t>
      </w:r>
      <w:r w:rsidRPr="009A5185">
        <w:rPr>
          <w:rFonts w:cs="Arial"/>
        </w:rPr>
        <w:t xml:space="preserve"> on the </w:t>
      </w:r>
      <w:r w:rsidR="00534C84">
        <w:rPr>
          <w:rFonts w:cs="Arial"/>
        </w:rPr>
        <w:t>Hospital Survey Dashboard</w:t>
      </w:r>
      <w:r w:rsidRPr="009A5185">
        <w:rPr>
          <w:rFonts w:cs="Arial"/>
        </w:rPr>
        <w:t xml:space="preserve">. </w:t>
      </w:r>
      <w:r w:rsidR="007D0C84">
        <w:rPr>
          <w:rFonts w:cs="Arial"/>
        </w:rPr>
        <w:t xml:space="preserve">You can also </w:t>
      </w:r>
      <w:r w:rsidR="007D0C84" w:rsidRPr="009A5185">
        <w:rPr>
          <w:rFonts w:cs="Arial"/>
        </w:rPr>
        <w:t xml:space="preserve">access the CPOE Evaluation Tool </w:t>
      </w:r>
      <w:r w:rsidR="007D0C84">
        <w:rPr>
          <w:rFonts w:cs="Arial"/>
        </w:rPr>
        <w:t xml:space="preserve">immediately after completing the Hospital Profile using the Take CPOE Tool button on the Hospital Survey Dashboard. </w:t>
      </w:r>
      <w:r w:rsidR="00BB2A3B" w:rsidRPr="009A5185">
        <w:rPr>
          <w:rFonts w:cs="Arial"/>
        </w:rPr>
        <w:t xml:space="preserve">More information about navigating </w:t>
      </w:r>
      <w:r w:rsidR="00840E07" w:rsidRPr="009A5185">
        <w:rPr>
          <w:rFonts w:cs="Arial"/>
        </w:rPr>
        <w:t xml:space="preserve">within </w:t>
      </w:r>
      <w:r w:rsidR="00BB2A3B" w:rsidRPr="009A5185">
        <w:rPr>
          <w:rFonts w:cs="Arial"/>
        </w:rPr>
        <w:t xml:space="preserve">the </w:t>
      </w:r>
      <w:r w:rsidR="004B22C6">
        <w:rPr>
          <w:rFonts w:cs="Arial"/>
        </w:rPr>
        <w:t>Online Hospital Survey Tool</w:t>
      </w:r>
      <w:r w:rsidR="00BB2A3B" w:rsidRPr="009A5185">
        <w:rPr>
          <w:rFonts w:cs="Arial"/>
        </w:rPr>
        <w:t xml:space="preserve"> is available in the </w:t>
      </w:r>
      <w:hyperlink r:id="rId49" w:history="1">
        <w:r w:rsidR="003B6E90">
          <w:rPr>
            <w:rStyle w:val="Hyperlink"/>
            <w:rFonts w:cs="Arial"/>
          </w:rPr>
          <w:t>Online Survey Tool Guide</w:t>
        </w:r>
      </w:hyperlink>
      <w:r w:rsidR="00BB2A3B" w:rsidRPr="009A5185">
        <w:rPr>
          <w:rFonts w:cs="Arial"/>
        </w:rPr>
        <w:t>.</w:t>
      </w:r>
    </w:p>
    <w:p w14:paraId="72D1E658" w14:textId="63D9D9A0" w:rsidR="0010643F" w:rsidRPr="009A5185" w:rsidRDefault="008048E4" w:rsidP="00AD309C">
      <w:pPr>
        <w:pStyle w:val="ListParagraph"/>
        <w:numPr>
          <w:ilvl w:val="0"/>
          <w:numId w:val="23"/>
        </w:numPr>
        <w:spacing w:after="120"/>
        <w:contextualSpacing w:val="0"/>
        <w:rPr>
          <w:rFonts w:cs="Arial"/>
        </w:rPr>
      </w:pPr>
      <w:r>
        <w:rPr>
          <w:rFonts w:cs="Arial"/>
        </w:rPr>
        <w:t xml:space="preserve">Within sections, </w:t>
      </w:r>
      <w:r w:rsidR="007D0C84">
        <w:rPr>
          <w:rFonts w:cs="Arial"/>
        </w:rPr>
        <w:t>you</w:t>
      </w:r>
      <w:r>
        <w:rPr>
          <w:rFonts w:cs="Arial"/>
        </w:rPr>
        <w:t xml:space="preserve"> can </w:t>
      </w:r>
      <w:r w:rsidR="00A76714">
        <w:rPr>
          <w:rFonts w:cs="Arial"/>
        </w:rPr>
        <w:t>enter responses to</w:t>
      </w:r>
      <w:r>
        <w:rPr>
          <w:rFonts w:cs="Arial"/>
        </w:rPr>
        <w:t xml:space="preserve"> questions</w:t>
      </w:r>
      <w:r w:rsidR="0010643F" w:rsidRPr="009A5185">
        <w:rPr>
          <w:rFonts w:cs="Arial"/>
        </w:rPr>
        <w:t xml:space="preserve"> </w:t>
      </w:r>
      <w:r>
        <w:rPr>
          <w:rFonts w:cs="Arial"/>
        </w:rPr>
        <w:t>and/</w:t>
      </w:r>
      <w:r w:rsidR="0010643F" w:rsidRPr="009A5185">
        <w:rPr>
          <w:rFonts w:cs="Arial"/>
        </w:rPr>
        <w:t xml:space="preserve">or update responses to previously submitted </w:t>
      </w:r>
      <w:r w:rsidR="00840E07" w:rsidRPr="009A5185">
        <w:rPr>
          <w:rFonts w:cs="Arial"/>
        </w:rPr>
        <w:t>sections</w:t>
      </w:r>
      <w:r w:rsidR="0010643F" w:rsidRPr="009A5185">
        <w:rPr>
          <w:rFonts w:cs="Arial"/>
        </w:rPr>
        <w:t>.</w:t>
      </w:r>
      <w:r w:rsidR="004C2C8C" w:rsidRPr="009A5185">
        <w:rPr>
          <w:rFonts w:cs="Arial"/>
        </w:rPr>
        <w:t xml:space="preserve"> </w:t>
      </w:r>
      <w:r w:rsidR="00F86DF0" w:rsidRPr="009A5185">
        <w:rPr>
          <w:rFonts w:cs="Arial"/>
        </w:rPr>
        <w:t xml:space="preserve">The </w:t>
      </w:r>
      <w:r w:rsidR="004B22C6">
        <w:rPr>
          <w:rFonts w:cs="Arial"/>
        </w:rPr>
        <w:t>Online Hospital Survey Tool</w:t>
      </w:r>
      <w:r w:rsidR="00F86DF0" w:rsidRPr="009A5185">
        <w:rPr>
          <w:rFonts w:cs="Arial"/>
        </w:rPr>
        <w:t xml:space="preserve"> will automatically save your responses as you enter them. There is no </w:t>
      </w:r>
      <w:r w:rsidR="001243C9">
        <w:rPr>
          <w:rFonts w:cs="Arial"/>
        </w:rPr>
        <w:t>“</w:t>
      </w:r>
      <w:r w:rsidR="00F86DF0" w:rsidRPr="009A5185">
        <w:rPr>
          <w:rFonts w:cs="Arial"/>
        </w:rPr>
        <w:t>save</w:t>
      </w:r>
      <w:r w:rsidR="001243C9">
        <w:rPr>
          <w:rFonts w:cs="Arial"/>
        </w:rPr>
        <w:t>”</w:t>
      </w:r>
      <w:r w:rsidR="00F86DF0" w:rsidRPr="009A5185">
        <w:rPr>
          <w:rFonts w:cs="Arial"/>
        </w:rPr>
        <w:t xml:space="preserve"> button. </w:t>
      </w:r>
    </w:p>
    <w:p w14:paraId="797EAAB0" w14:textId="3FA8F28E" w:rsidR="0010643F" w:rsidRPr="009A5185" w:rsidRDefault="009C3715" w:rsidP="00AD309C">
      <w:pPr>
        <w:pStyle w:val="ListParagraph"/>
        <w:numPr>
          <w:ilvl w:val="0"/>
          <w:numId w:val="23"/>
        </w:numPr>
        <w:spacing w:after="120"/>
        <w:contextualSpacing w:val="0"/>
        <w:rPr>
          <w:rFonts w:cs="Arial"/>
        </w:rPr>
      </w:pPr>
      <w:r w:rsidRPr="009A5185">
        <w:rPr>
          <w:rFonts w:cs="Arial"/>
        </w:rPr>
        <w:t xml:space="preserve">Once you have completed each section, you will need to return to the </w:t>
      </w:r>
      <w:r w:rsidR="00534C84">
        <w:rPr>
          <w:rFonts w:cs="Arial"/>
        </w:rPr>
        <w:t>Hospital Survey Dashboard</w:t>
      </w:r>
      <w:r w:rsidRPr="009A5185">
        <w:rPr>
          <w:rFonts w:cs="Arial"/>
        </w:rPr>
        <w:t xml:space="preserve"> to a</w:t>
      </w:r>
      <w:r w:rsidR="0010643F" w:rsidRPr="009A5185">
        <w:rPr>
          <w:rFonts w:cs="Arial"/>
        </w:rPr>
        <w:t>f</w:t>
      </w:r>
      <w:r w:rsidR="00C14AFF" w:rsidRPr="009A5185">
        <w:rPr>
          <w:rFonts w:cs="Arial"/>
        </w:rPr>
        <w:t>firm each section of the S</w:t>
      </w:r>
      <w:r w:rsidR="00907E44" w:rsidRPr="009A5185">
        <w:rPr>
          <w:rFonts w:cs="Arial"/>
        </w:rPr>
        <w:t>urvey. Please remember</w:t>
      </w:r>
      <w:r w:rsidR="0010643F" w:rsidRPr="009A5185">
        <w:rPr>
          <w:rFonts w:cs="Arial"/>
        </w:rPr>
        <w:t xml:space="preserve"> that if </w:t>
      </w:r>
      <w:r w:rsidR="0074262D" w:rsidRPr="009A5185">
        <w:rPr>
          <w:rFonts w:cs="Arial"/>
        </w:rPr>
        <w:t xml:space="preserve">you are </w:t>
      </w:r>
      <w:r w:rsidR="0010643F" w:rsidRPr="009A5185">
        <w:rPr>
          <w:rFonts w:cs="Arial"/>
        </w:rPr>
        <w:t>making updates, all updated sections must be re-affirmed.</w:t>
      </w:r>
      <w:r w:rsidR="008048E4">
        <w:rPr>
          <w:rFonts w:cs="Arial"/>
        </w:rPr>
        <w:t xml:space="preserve"> Please note that affirmed sections are not yet submitted, please review Step 7 below to ensure successful submission. </w:t>
      </w:r>
    </w:p>
    <w:p w14:paraId="0B67284A" w14:textId="12AB6DD6" w:rsidR="0010643F" w:rsidRPr="009A5185" w:rsidRDefault="009C3715" w:rsidP="00AD309C">
      <w:pPr>
        <w:pStyle w:val="ListParagraph"/>
        <w:numPr>
          <w:ilvl w:val="0"/>
          <w:numId w:val="23"/>
        </w:numPr>
        <w:spacing w:after="120"/>
        <w:contextualSpacing w:val="0"/>
        <w:rPr>
          <w:rFonts w:cs="Arial"/>
        </w:rPr>
      </w:pPr>
      <w:r w:rsidRPr="009A5185">
        <w:rPr>
          <w:rFonts w:cs="Arial"/>
        </w:rPr>
        <w:t xml:space="preserve">Before you </w:t>
      </w:r>
      <w:r w:rsidR="0003234D" w:rsidRPr="009A5185">
        <w:rPr>
          <w:rFonts w:cs="Arial"/>
        </w:rPr>
        <w:t>can</w:t>
      </w:r>
      <w:r w:rsidRPr="009A5185">
        <w:rPr>
          <w:rFonts w:cs="Arial"/>
        </w:rPr>
        <w:t xml:space="preserve"> </w:t>
      </w:r>
      <w:r w:rsidR="008048E4">
        <w:rPr>
          <w:rFonts w:cs="Arial"/>
        </w:rPr>
        <w:t>submit the Survey (</w:t>
      </w:r>
      <w:r w:rsidRPr="009A5185">
        <w:rPr>
          <w:rFonts w:cs="Arial"/>
        </w:rPr>
        <w:t xml:space="preserve">select the </w:t>
      </w:r>
      <w:r w:rsidR="00AC17D1" w:rsidRPr="009A5185">
        <w:rPr>
          <w:rFonts w:cs="Arial"/>
        </w:rPr>
        <w:t>“</w:t>
      </w:r>
      <w:r w:rsidRPr="009A5185">
        <w:rPr>
          <w:rFonts w:cs="Arial"/>
          <w:i/>
        </w:rPr>
        <w:t>submit</w:t>
      </w:r>
      <w:r w:rsidR="00AC17D1" w:rsidRPr="009A5185">
        <w:rPr>
          <w:rFonts w:cs="Arial"/>
          <w:i/>
        </w:rPr>
        <w:t xml:space="preserve"> affirmed sections</w:t>
      </w:r>
      <w:r w:rsidR="00AC17D1" w:rsidRPr="009A5185">
        <w:rPr>
          <w:rFonts w:cs="Arial"/>
        </w:rPr>
        <w:t>”</w:t>
      </w:r>
      <w:r w:rsidRPr="009A5185">
        <w:rPr>
          <w:rFonts w:cs="Arial"/>
        </w:rPr>
        <w:t xml:space="preserve"> button on the </w:t>
      </w:r>
      <w:r w:rsidR="00534C84">
        <w:rPr>
          <w:rFonts w:cs="Arial"/>
        </w:rPr>
        <w:t>Hospital Survey Dashboard</w:t>
      </w:r>
      <w:r w:rsidR="008048E4">
        <w:rPr>
          <w:rFonts w:cs="Arial"/>
        </w:rPr>
        <w:t>)</w:t>
      </w:r>
      <w:r w:rsidRPr="009A5185">
        <w:rPr>
          <w:rFonts w:cs="Arial"/>
        </w:rPr>
        <w:t xml:space="preserve">, you will need to </w:t>
      </w:r>
      <w:r w:rsidR="00AC17D1" w:rsidRPr="009A5185">
        <w:rPr>
          <w:rFonts w:cs="Arial"/>
        </w:rPr>
        <w:t>“</w:t>
      </w:r>
      <w:r w:rsidRPr="009A5185">
        <w:rPr>
          <w:rFonts w:cs="Arial"/>
          <w:i/>
        </w:rPr>
        <w:t>check for data review warnings</w:t>
      </w:r>
      <w:r w:rsidRPr="009A5185">
        <w:rPr>
          <w:rFonts w:cs="Arial"/>
        </w:rPr>
        <w:t>.</w:t>
      </w:r>
      <w:r w:rsidR="00AC17D1" w:rsidRPr="009A5185">
        <w:rPr>
          <w:rFonts w:cs="Arial"/>
        </w:rPr>
        <w:t>”</w:t>
      </w:r>
      <w:r w:rsidRPr="009A5185">
        <w:rPr>
          <w:rFonts w:cs="Arial"/>
        </w:rPr>
        <w:t xml:space="preserve"> When you select the </w:t>
      </w:r>
      <w:r w:rsidR="00AC17D1" w:rsidRPr="009A5185">
        <w:rPr>
          <w:rFonts w:cs="Arial"/>
        </w:rPr>
        <w:t>“</w:t>
      </w:r>
      <w:r w:rsidRPr="009A5185">
        <w:rPr>
          <w:rFonts w:cs="Arial"/>
          <w:i/>
        </w:rPr>
        <w:t>check for data review warnings</w:t>
      </w:r>
      <w:r w:rsidR="00AC17D1" w:rsidRPr="009A5185">
        <w:rPr>
          <w:rFonts w:cs="Arial"/>
        </w:rPr>
        <w:t>”</w:t>
      </w:r>
      <w:r w:rsidRPr="009A5185">
        <w:rPr>
          <w:rFonts w:cs="Arial"/>
        </w:rPr>
        <w:t xml:space="preserve"> button,</w:t>
      </w:r>
      <w:r w:rsidR="007955DF" w:rsidRPr="009A5185">
        <w:rPr>
          <w:rFonts w:cs="Arial"/>
        </w:rPr>
        <w:t xml:space="preserve"> </w:t>
      </w:r>
      <w:r w:rsidR="00AC17D1" w:rsidRPr="009A5185">
        <w:rPr>
          <w:rFonts w:cs="Arial"/>
        </w:rPr>
        <w:t xml:space="preserve">the </w:t>
      </w:r>
      <w:r w:rsidR="007955DF" w:rsidRPr="009A5185">
        <w:rPr>
          <w:rFonts w:cs="Arial"/>
        </w:rPr>
        <w:t xml:space="preserve">sections of your </w:t>
      </w:r>
      <w:r w:rsidR="00C14AFF" w:rsidRPr="009A5185">
        <w:rPr>
          <w:rFonts w:cs="Arial"/>
        </w:rPr>
        <w:t>Survey</w:t>
      </w:r>
      <w:r w:rsidR="007955DF" w:rsidRPr="009A5185">
        <w:rPr>
          <w:rFonts w:cs="Arial"/>
        </w:rPr>
        <w:t xml:space="preserve"> that </w:t>
      </w:r>
      <w:r w:rsidR="001E63B1">
        <w:rPr>
          <w:rFonts w:cs="Arial"/>
        </w:rPr>
        <w:t>are</w:t>
      </w:r>
      <w:r w:rsidR="007955DF" w:rsidRPr="009A5185">
        <w:rPr>
          <w:rFonts w:cs="Arial"/>
        </w:rPr>
        <w:t xml:space="preserve"> affirmed will be scanned for potential reporting errors. If any errors are identified, a data review warning message will be generated and </w:t>
      </w:r>
      <w:r w:rsidR="00840E07" w:rsidRPr="009A5185">
        <w:rPr>
          <w:rFonts w:cs="Arial"/>
        </w:rPr>
        <w:t xml:space="preserve">will </w:t>
      </w:r>
      <w:r w:rsidR="007955DF" w:rsidRPr="009A5185">
        <w:rPr>
          <w:rFonts w:cs="Arial"/>
        </w:rPr>
        <w:t xml:space="preserve">appear on the </w:t>
      </w:r>
      <w:r w:rsidR="00534C84">
        <w:rPr>
          <w:rFonts w:cs="Arial"/>
        </w:rPr>
        <w:t>Hospital Survey Dashboard</w:t>
      </w:r>
      <w:r w:rsidR="007955DF" w:rsidRPr="009A5185">
        <w:rPr>
          <w:rFonts w:cs="Arial"/>
        </w:rPr>
        <w:t>.</w:t>
      </w:r>
      <w:r w:rsidR="00A117F0" w:rsidRPr="009A5185">
        <w:rPr>
          <w:rFonts w:cs="Arial"/>
        </w:rPr>
        <w:t xml:space="preserve"> </w:t>
      </w:r>
    </w:p>
    <w:p w14:paraId="0F814639" w14:textId="1BA9C05A" w:rsidR="009C3715" w:rsidRPr="009A5185" w:rsidRDefault="009A122F" w:rsidP="00AD309C">
      <w:pPr>
        <w:pStyle w:val="ListParagraph"/>
        <w:numPr>
          <w:ilvl w:val="0"/>
          <w:numId w:val="23"/>
        </w:numPr>
        <w:spacing w:after="120"/>
        <w:contextualSpacing w:val="0"/>
        <w:rPr>
          <w:rFonts w:cs="Arial"/>
        </w:rPr>
      </w:pPr>
      <w:r w:rsidRPr="009A5185">
        <w:rPr>
          <w:rFonts w:cs="Arial"/>
        </w:rPr>
        <w:t xml:space="preserve">If any </w:t>
      </w:r>
      <w:hyperlink r:id="rId50" w:history="1">
        <w:r w:rsidRPr="009A5185">
          <w:rPr>
            <w:rStyle w:val="Hyperlink"/>
            <w:rFonts w:cs="Arial"/>
          </w:rPr>
          <w:t>data review warnings</w:t>
        </w:r>
      </w:hyperlink>
      <w:r w:rsidRPr="009A5185">
        <w:rPr>
          <w:rFonts w:cs="Arial"/>
        </w:rPr>
        <w:t xml:space="preserve"> are generated, </w:t>
      </w:r>
      <w:r>
        <w:rPr>
          <w:rFonts w:cs="Arial"/>
        </w:rPr>
        <w:t>you will still be able to submit your Survey. However, you</w:t>
      </w:r>
      <w:r w:rsidRPr="009A5185">
        <w:rPr>
          <w:rFonts w:cs="Arial"/>
        </w:rPr>
        <w:t xml:space="preserve"> </w:t>
      </w:r>
      <w:r>
        <w:rPr>
          <w:rFonts w:cs="Arial"/>
        </w:rPr>
        <w:t>will need to</w:t>
      </w:r>
      <w:r w:rsidRPr="009A5185">
        <w:rPr>
          <w:rFonts w:cs="Arial"/>
        </w:rPr>
        <w:t xml:space="preserve"> address </w:t>
      </w:r>
      <w:r>
        <w:rPr>
          <w:rFonts w:cs="Arial"/>
        </w:rPr>
        <w:t>the potential reporting errors identified during the scan</w:t>
      </w:r>
      <w:r w:rsidRPr="009A5185">
        <w:rPr>
          <w:rFonts w:cs="Arial"/>
        </w:rPr>
        <w:t xml:space="preserve"> or risk having</w:t>
      </w:r>
      <w:r>
        <w:rPr>
          <w:rFonts w:cs="Arial"/>
        </w:rPr>
        <w:t xml:space="preserve"> the</w:t>
      </w:r>
      <w:r w:rsidRPr="009A5185">
        <w:rPr>
          <w:rFonts w:cs="Arial"/>
        </w:rPr>
        <w:t xml:space="preserve"> related sections of your Survey decertified</w:t>
      </w:r>
      <w:r>
        <w:rPr>
          <w:rFonts w:cs="Arial"/>
        </w:rPr>
        <w:t xml:space="preserve"> </w:t>
      </w:r>
      <w:bookmarkStart w:id="24" w:name="_Hlk130906823"/>
      <w:r>
        <w:rPr>
          <w:rFonts w:cs="Arial"/>
        </w:rPr>
        <w:t>(publicly reported as “Declined to Re</w:t>
      </w:r>
      <w:r w:rsidR="001E293E">
        <w:rPr>
          <w:rFonts w:cs="Arial"/>
        </w:rPr>
        <w:t>port</w:t>
      </w:r>
      <w:r>
        <w:rPr>
          <w:rFonts w:cs="Arial"/>
        </w:rPr>
        <w:t>”)</w:t>
      </w:r>
      <w:bookmarkEnd w:id="24"/>
      <w:r w:rsidR="00EB7561" w:rsidRPr="009A5185">
        <w:rPr>
          <w:rFonts w:cs="Arial"/>
        </w:rPr>
        <w:t xml:space="preserve">. </w:t>
      </w:r>
      <w:r w:rsidR="00BF01EE">
        <w:rPr>
          <w:rFonts w:cs="Arial"/>
        </w:rPr>
        <w:t xml:space="preserve">Please note </w:t>
      </w:r>
      <w:r w:rsidR="008048E4">
        <w:rPr>
          <w:rFonts w:cs="Arial"/>
        </w:rPr>
        <w:t>t</w:t>
      </w:r>
      <w:r w:rsidR="008048E4" w:rsidRPr="008048E4">
        <w:rPr>
          <w:rFonts w:cs="Arial"/>
        </w:rPr>
        <w:t xml:space="preserve">his </w:t>
      </w:r>
      <w:r w:rsidR="008048E4">
        <w:rPr>
          <w:rFonts w:cs="Arial"/>
        </w:rPr>
        <w:t>may not be</w:t>
      </w:r>
      <w:r w:rsidR="008048E4" w:rsidRPr="008048E4">
        <w:rPr>
          <w:rFonts w:cs="Arial"/>
        </w:rPr>
        <w:t xml:space="preserve"> a comprehensive list</w:t>
      </w:r>
      <w:r w:rsidR="008048E4">
        <w:rPr>
          <w:rFonts w:cs="Arial"/>
        </w:rPr>
        <w:t xml:space="preserve"> – </w:t>
      </w:r>
      <w:r w:rsidR="007D0C84">
        <w:rPr>
          <w:rFonts w:cs="Arial"/>
        </w:rPr>
        <w:t>you</w:t>
      </w:r>
      <w:r w:rsidR="008048E4" w:rsidRPr="008048E4">
        <w:rPr>
          <w:rFonts w:cs="Arial"/>
        </w:rPr>
        <w:t xml:space="preserve"> may still receive additional data verification messages via email.</w:t>
      </w:r>
    </w:p>
    <w:p w14:paraId="6D6FBA0B" w14:textId="4046C530" w:rsidR="0010643F" w:rsidRPr="009A5185" w:rsidRDefault="007C52BA" w:rsidP="00AD309C">
      <w:pPr>
        <w:pStyle w:val="ListParagraph"/>
        <w:numPr>
          <w:ilvl w:val="0"/>
          <w:numId w:val="23"/>
        </w:numPr>
        <w:spacing w:after="120"/>
        <w:contextualSpacing w:val="0"/>
        <w:rPr>
          <w:rFonts w:cs="Arial"/>
        </w:rPr>
      </w:pPr>
      <w:r w:rsidRPr="009A5185">
        <w:rPr>
          <w:rFonts w:cs="Arial"/>
        </w:rPr>
        <w:t>Once you have checked for data review warning</w:t>
      </w:r>
      <w:r w:rsidR="00840E07" w:rsidRPr="009A5185">
        <w:rPr>
          <w:rFonts w:cs="Arial"/>
        </w:rPr>
        <w:t>s</w:t>
      </w:r>
      <w:r w:rsidRPr="009A5185">
        <w:rPr>
          <w:rFonts w:cs="Arial"/>
        </w:rPr>
        <w:t xml:space="preserve">, you can </w:t>
      </w:r>
      <w:r w:rsidR="0010643F" w:rsidRPr="009A5185">
        <w:rPr>
          <w:rFonts w:cs="Arial"/>
        </w:rPr>
        <w:t xml:space="preserve">select the </w:t>
      </w:r>
      <w:r w:rsidR="00AC17D1" w:rsidRPr="009A5185">
        <w:rPr>
          <w:rFonts w:cs="Arial"/>
        </w:rPr>
        <w:t>“</w:t>
      </w:r>
      <w:r w:rsidR="00AC17D1" w:rsidRPr="009A5185">
        <w:rPr>
          <w:rFonts w:cs="Arial"/>
          <w:i/>
        </w:rPr>
        <w:t>submit affirmed sections</w:t>
      </w:r>
      <w:r w:rsidR="00AC17D1" w:rsidRPr="009A5185">
        <w:rPr>
          <w:rFonts w:cs="Arial"/>
        </w:rPr>
        <w:t>”</w:t>
      </w:r>
      <w:r w:rsidRPr="009A5185">
        <w:rPr>
          <w:rFonts w:cs="Arial"/>
        </w:rPr>
        <w:t xml:space="preserve"> button</w:t>
      </w:r>
      <w:r w:rsidR="008048E4">
        <w:rPr>
          <w:rFonts w:cs="Arial"/>
        </w:rPr>
        <w:t xml:space="preserve"> to submit the Survey</w:t>
      </w:r>
      <w:r w:rsidRPr="009A5185">
        <w:rPr>
          <w:rFonts w:cs="Arial"/>
        </w:rPr>
        <w:t>.</w:t>
      </w:r>
      <w:r w:rsidR="00A87095" w:rsidRPr="00A87095">
        <w:rPr>
          <w:rFonts w:cs="Arial"/>
        </w:rPr>
        <w:t xml:space="preserve"> </w:t>
      </w:r>
      <w:r w:rsidR="00A87095">
        <w:rPr>
          <w:rFonts w:cs="Arial"/>
        </w:rPr>
        <w:t>Please review the Section Status column on the Hospital Survey Dashboard to verify which sections have been submitted.</w:t>
      </w:r>
    </w:p>
    <w:p w14:paraId="724120D1" w14:textId="4F03187E" w:rsidR="0010643F" w:rsidRPr="009A5185" w:rsidRDefault="00015E7F" w:rsidP="00AD309C">
      <w:pPr>
        <w:pStyle w:val="ListParagraph"/>
        <w:numPr>
          <w:ilvl w:val="0"/>
          <w:numId w:val="23"/>
        </w:numPr>
        <w:spacing w:after="120"/>
        <w:contextualSpacing w:val="0"/>
        <w:rPr>
          <w:rFonts w:cs="Arial"/>
        </w:rPr>
      </w:pPr>
      <w:r w:rsidRPr="009A5185">
        <w:rPr>
          <w:rFonts w:cs="Arial"/>
        </w:rPr>
        <w:t>Use the “</w:t>
      </w:r>
      <w:r w:rsidRPr="009A5185">
        <w:rPr>
          <w:rFonts w:cs="Arial"/>
          <w:i/>
        </w:rPr>
        <w:t xml:space="preserve">Print Last Submitted </w:t>
      </w:r>
      <w:r w:rsidR="00C14AFF" w:rsidRPr="009A5185">
        <w:rPr>
          <w:rFonts w:cs="Arial"/>
          <w:i/>
        </w:rPr>
        <w:t>Survey</w:t>
      </w:r>
      <w:r w:rsidRPr="009A5185">
        <w:rPr>
          <w:rFonts w:cs="Arial"/>
          <w:i/>
        </w:rPr>
        <w:t xml:space="preserve">” </w:t>
      </w:r>
      <w:r w:rsidRPr="009A5185">
        <w:rPr>
          <w:rFonts w:cs="Arial"/>
        </w:rPr>
        <w:t xml:space="preserve">button on the </w:t>
      </w:r>
      <w:r w:rsidR="00534C84">
        <w:rPr>
          <w:rFonts w:cs="Arial"/>
        </w:rPr>
        <w:t>Hospital Survey Dashboard</w:t>
      </w:r>
      <w:r w:rsidRPr="009A5185">
        <w:rPr>
          <w:rFonts w:cs="Arial"/>
        </w:rPr>
        <w:t xml:space="preserve"> to print a copy of your </w:t>
      </w:r>
      <w:r w:rsidR="00A87095">
        <w:rPr>
          <w:rFonts w:cs="Arial"/>
        </w:rPr>
        <w:t>Last S</w:t>
      </w:r>
      <w:r w:rsidR="00840E07" w:rsidRPr="009A5185">
        <w:rPr>
          <w:rFonts w:cs="Arial"/>
        </w:rPr>
        <w:t xml:space="preserve">ubmitted </w:t>
      </w:r>
      <w:r w:rsidR="00C14AFF" w:rsidRPr="009A5185">
        <w:rPr>
          <w:rFonts w:cs="Arial"/>
        </w:rPr>
        <w:t>Survey</w:t>
      </w:r>
      <w:r w:rsidRPr="009A5185">
        <w:rPr>
          <w:rFonts w:cs="Arial"/>
        </w:rPr>
        <w:t xml:space="preserve"> and review it for </w:t>
      </w:r>
      <w:r w:rsidR="004C2C8C" w:rsidRPr="009A5185">
        <w:rPr>
          <w:rFonts w:cs="Arial"/>
        </w:rPr>
        <w:t>accuracy and completeness. Remember, s</w:t>
      </w:r>
      <w:r w:rsidR="0010643F" w:rsidRPr="009A5185">
        <w:rPr>
          <w:rFonts w:cs="Arial"/>
        </w:rPr>
        <w:t>ections that are not affirmed will not be submitted.</w:t>
      </w:r>
      <w:r w:rsidR="004C2C8C" w:rsidRPr="009A5185">
        <w:rPr>
          <w:rFonts w:cs="Arial"/>
        </w:rPr>
        <w:t xml:space="preserve"> </w:t>
      </w:r>
    </w:p>
    <w:p w14:paraId="3861EFDD" w14:textId="5A967654" w:rsidR="00F279E1" w:rsidRDefault="00F279E1" w:rsidP="00AD309C">
      <w:pPr>
        <w:pStyle w:val="ListParagraph"/>
        <w:numPr>
          <w:ilvl w:val="0"/>
          <w:numId w:val="23"/>
        </w:numPr>
        <w:spacing w:after="120"/>
        <w:contextualSpacing w:val="0"/>
        <w:rPr>
          <w:rFonts w:cs="Arial"/>
        </w:rPr>
      </w:pPr>
      <w:r>
        <w:rPr>
          <w:rFonts w:cs="Arial"/>
        </w:rPr>
        <w:t xml:space="preserve">Review the </w:t>
      </w:r>
      <w:r w:rsidR="00A236B1">
        <w:rPr>
          <w:rFonts w:cs="Arial"/>
        </w:rPr>
        <w:t>202</w:t>
      </w:r>
      <w:r w:rsidR="00C807B2">
        <w:rPr>
          <w:rFonts w:cs="Arial"/>
        </w:rPr>
        <w:t>6</w:t>
      </w:r>
      <w:r>
        <w:rPr>
          <w:rFonts w:cs="Arial"/>
        </w:rPr>
        <w:t xml:space="preserve"> Leapfrog Hospital Survey </w:t>
      </w:r>
      <w:hyperlink r:id="rId51" w:history="1">
        <w:r w:rsidRPr="00F279E1">
          <w:rPr>
            <w:rStyle w:val="Hyperlink"/>
            <w:rFonts w:cs="Arial"/>
          </w:rPr>
          <w:t>Scoring Algorithms</w:t>
        </w:r>
      </w:hyperlink>
      <w:r>
        <w:rPr>
          <w:rFonts w:cs="Arial"/>
        </w:rPr>
        <w:t xml:space="preserve"> to see how your Survey responses will be scored and publicly reported by Leapfrog.</w:t>
      </w:r>
    </w:p>
    <w:p w14:paraId="72D88BCD" w14:textId="26806647" w:rsidR="00203E74" w:rsidRPr="009A4C37" w:rsidRDefault="00203E74" w:rsidP="00AD309C">
      <w:pPr>
        <w:pStyle w:val="ListParagraph"/>
        <w:numPr>
          <w:ilvl w:val="0"/>
          <w:numId w:val="23"/>
        </w:numPr>
        <w:spacing w:after="120"/>
        <w:contextualSpacing w:val="0"/>
        <w:rPr>
          <w:rFonts w:cs="Arial"/>
        </w:rPr>
      </w:pPr>
      <w:bookmarkStart w:id="25" w:name="_Hlk35510335"/>
      <w:r w:rsidRPr="009A4C37">
        <w:rPr>
          <w:rFonts w:cs="Arial"/>
        </w:rPr>
        <w:t xml:space="preserve">Review your Survey Results on the </w:t>
      </w:r>
      <w:hyperlink r:id="rId52" w:history="1">
        <w:r w:rsidRPr="00C06E0F">
          <w:rPr>
            <w:rStyle w:val="Hyperlink"/>
            <w:rFonts w:cs="Arial"/>
          </w:rPr>
          <w:t>Hospital Details Page</w:t>
        </w:r>
      </w:hyperlink>
      <w:r w:rsidR="009F5FE7">
        <w:rPr>
          <w:rFonts w:cs="Arial"/>
        </w:rPr>
        <w:t xml:space="preserve"> </w:t>
      </w:r>
      <w:r w:rsidR="00C06E0F">
        <w:rPr>
          <w:rFonts w:cs="Arial"/>
        </w:rPr>
        <w:t xml:space="preserve">or </w:t>
      </w:r>
      <w:hyperlink r:id="rId53" w:history="1">
        <w:r w:rsidR="00C06E0F" w:rsidRPr="00A87095">
          <w:rPr>
            <w:rStyle w:val="Hyperlink"/>
            <w:rFonts w:cs="Arial"/>
          </w:rPr>
          <w:t>public reporting website</w:t>
        </w:r>
      </w:hyperlink>
      <w:r w:rsidR="00C06E0F">
        <w:rPr>
          <w:rFonts w:cs="Arial"/>
        </w:rPr>
        <w:t xml:space="preserve">. </w:t>
      </w:r>
      <w:r w:rsidR="008234C9">
        <w:rPr>
          <w:rFonts w:cs="Arial"/>
        </w:rPr>
        <w:t>H</w:t>
      </w:r>
      <w:r w:rsidR="00C06E0F">
        <w:rPr>
          <w:rFonts w:cs="Arial"/>
        </w:rPr>
        <w:t xml:space="preserve">ospitals that submit by June 30 </w:t>
      </w:r>
      <w:r w:rsidR="0003234D">
        <w:rPr>
          <w:rFonts w:cs="Arial"/>
        </w:rPr>
        <w:t>can</w:t>
      </w:r>
      <w:r w:rsidR="00C06E0F">
        <w:rPr>
          <w:rFonts w:cs="Arial"/>
        </w:rPr>
        <w:t xml:space="preserve"> preview their Survey Results on the Hospital Details Page </w:t>
      </w:r>
      <w:r w:rsidR="009F5FE7">
        <w:rPr>
          <w:rFonts w:cs="Arial"/>
        </w:rPr>
        <w:t>beginning on July 12</w:t>
      </w:r>
      <w:r w:rsidR="00C06E0F">
        <w:rPr>
          <w:rFonts w:cs="Arial"/>
        </w:rPr>
        <w:t>, before Leapfrog</w:t>
      </w:r>
      <w:bookmarkEnd w:id="25"/>
      <w:r w:rsidR="009F5FE7">
        <w:rPr>
          <w:rFonts w:cs="Arial"/>
        </w:rPr>
        <w:t xml:space="preserve"> </w:t>
      </w:r>
      <w:hyperlink r:id="rId54" w:history="1">
        <w:r w:rsidR="00C06E0F">
          <w:rPr>
            <w:rStyle w:val="Hyperlink"/>
            <w:rFonts w:cs="Arial"/>
          </w:rPr>
          <w:t>publicly reports</w:t>
        </w:r>
      </w:hyperlink>
      <w:r w:rsidR="00C06E0F" w:rsidRPr="00C06E0F">
        <w:rPr>
          <w:rStyle w:val="Hyperlink"/>
          <w:rFonts w:cs="Arial"/>
          <w:color w:val="auto"/>
          <w:u w:val="none"/>
        </w:rPr>
        <w:t xml:space="preserve"> Survey Results</w:t>
      </w:r>
      <w:r w:rsidRPr="009A4C37">
        <w:rPr>
          <w:rFonts w:cs="Arial"/>
        </w:rPr>
        <w:t xml:space="preserve"> beginning on July 25.</w:t>
      </w:r>
      <w:r w:rsidR="00C06E0F">
        <w:t xml:space="preserve"> </w:t>
      </w:r>
      <w:r w:rsidR="009F5FE7">
        <w:t xml:space="preserve">After </w:t>
      </w:r>
      <w:r w:rsidR="00977015">
        <w:t>July</w:t>
      </w:r>
      <w:r w:rsidR="009F5FE7">
        <w:t xml:space="preserve">, </w:t>
      </w:r>
      <w:bookmarkStart w:id="26" w:name="_Hlk35512661"/>
      <w:r w:rsidRPr="009A4C37">
        <w:rPr>
          <w:rFonts w:cs="Arial"/>
        </w:rPr>
        <w:t xml:space="preserve">the Hospital Details Page and public reporting website will be refreshed monthly within the first </w:t>
      </w:r>
      <w:r w:rsidR="00525670">
        <w:rPr>
          <w:rFonts w:cs="Arial"/>
        </w:rPr>
        <w:t xml:space="preserve">seven </w:t>
      </w:r>
      <w:r w:rsidRPr="009A4C37">
        <w:rPr>
          <w:rFonts w:cs="Arial"/>
        </w:rPr>
        <w:t>(</w:t>
      </w:r>
      <w:r w:rsidR="00525670">
        <w:rPr>
          <w:rFonts w:cs="Arial"/>
        </w:rPr>
        <w:t>7</w:t>
      </w:r>
      <w:r w:rsidRPr="009A4C37">
        <w:rPr>
          <w:rFonts w:cs="Arial"/>
        </w:rPr>
        <w:t>) business days of each month following your (re)submission.</w:t>
      </w:r>
      <w:bookmarkEnd w:id="26"/>
    </w:p>
    <w:p w14:paraId="32F712C6" w14:textId="629EFA73" w:rsidR="009F5FE7" w:rsidRPr="009A5185" w:rsidRDefault="00F72C9F" w:rsidP="00AD309C">
      <w:pPr>
        <w:pStyle w:val="ListParagraph"/>
        <w:numPr>
          <w:ilvl w:val="0"/>
          <w:numId w:val="23"/>
        </w:numPr>
        <w:spacing w:after="120"/>
        <w:contextualSpacing w:val="0"/>
        <w:rPr>
          <w:rFonts w:cs="Arial"/>
        </w:rPr>
      </w:pPr>
      <w:r>
        <w:rPr>
          <w:rFonts w:cs="Arial"/>
        </w:rPr>
        <w:lastRenderedPageBreak/>
        <w:t>Adult and general h</w:t>
      </w:r>
      <w:r w:rsidR="009F5FE7" w:rsidRPr="009A5185">
        <w:rPr>
          <w:rFonts w:cs="Arial"/>
        </w:rPr>
        <w:t xml:space="preserve">ospitals submitting a CPOE Evaluation Tool should carefully review the instructions, scoring information, and FAQs available on the </w:t>
      </w:r>
      <w:hyperlink r:id="rId55" w:history="1">
        <w:r w:rsidR="009F5FE7" w:rsidRPr="009A5185">
          <w:rPr>
            <w:rStyle w:val="Hyperlink"/>
          </w:rPr>
          <w:t>Survey and CPOE Materials webpage</w:t>
        </w:r>
      </w:hyperlink>
      <w:r>
        <w:rPr>
          <w:rStyle w:val="Hyperlink"/>
        </w:rPr>
        <w:t xml:space="preserve"> </w:t>
      </w:r>
      <w:r w:rsidRPr="00A40CBF">
        <w:t>(see CPOE Tool Instructions under Other Supporting Materials)</w:t>
      </w:r>
      <w:r w:rsidR="00F509C9" w:rsidRPr="00A40CBF">
        <w:t>.</w:t>
      </w:r>
      <w:r w:rsidR="009F5FE7" w:rsidRPr="00A40CBF">
        <w:t xml:space="preserve"> </w:t>
      </w:r>
    </w:p>
    <w:p w14:paraId="5325A68F" w14:textId="4BF65F68" w:rsidR="00F509C9" w:rsidRPr="00C807B2" w:rsidRDefault="00EC23A5" w:rsidP="00C807B2">
      <w:pPr>
        <w:pStyle w:val="ListParagraph"/>
        <w:numPr>
          <w:ilvl w:val="0"/>
          <w:numId w:val="23"/>
        </w:numPr>
        <w:spacing w:after="120"/>
        <w:contextualSpacing w:val="0"/>
      </w:pPr>
      <w:r w:rsidRPr="00F509C9">
        <w:rPr>
          <w:rFonts w:cs="Arial"/>
        </w:rPr>
        <w:t xml:space="preserve">Leapfrog is committed to </w:t>
      </w:r>
      <w:r w:rsidR="00A008D1" w:rsidRPr="00F509C9">
        <w:rPr>
          <w:rFonts w:cs="Arial"/>
        </w:rPr>
        <w:t>verifying</w:t>
      </w:r>
      <w:r w:rsidRPr="00F509C9">
        <w:rPr>
          <w:rFonts w:cs="Arial"/>
        </w:rPr>
        <w:t xml:space="preserve"> the accuracy of Leapfrog Hospital </w:t>
      </w:r>
      <w:r w:rsidR="00C14AFF" w:rsidRPr="00F509C9">
        <w:rPr>
          <w:rFonts w:cs="Arial"/>
        </w:rPr>
        <w:t>Survey Results</w:t>
      </w:r>
      <w:r w:rsidRPr="00F509C9">
        <w:rPr>
          <w:rFonts w:cs="Arial"/>
        </w:rPr>
        <w:t xml:space="preserve">. </w:t>
      </w:r>
      <w:r w:rsidR="00540F88" w:rsidRPr="00F509C9">
        <w:rPr>
          <w:rFonts w:cs="Arial"/>
        </w:rPr>
        <w:t xml:space="preserve">Please review our data accuracy protocols on the </w:t>
      </w:r>
      <w:hyperlink r:id="rId56" w:history="1">
        <w:r w:rsidR="00540F88" w:rsidRPr="00F509C9">
          <w:rPr>
            <w:rStyle w:val="Hyperlink"/>
            <w:rFonts w:cs="Arial"/>
          </w:rPr>
          <w:t>Data Accuracy webpage</w:t>
        </w:r>
      </w:hyperlink>
      <w:r w:rsidR="00540F88" w:rsidRPr="00F509C9">
        <w:rPr>
          <w:rFonts w:cs="Arial"/>
        </w:rPr>
        <w:t>.</w:t>
      </w:r>
      <w:r w:rsidR="00A87095" w:rsidRPr="00F509C9">
        <w:rPr>
          <w:rFonts w:cs="Arial"/>
        </w:rPr>
        <w:t xml:space="preserve"> </w:t>
      </w:r>
    </w:p>
    <w:p w14:paraId="6AC7A840" w14:textId="0403AB50" w:rsidR="00203E74" w:rsidRPr="00F509C9" w:rsidRDefault="00203E74" w:rsidP="00C807B2">
      <w:pPr>
        <w:pStyle w:val="ListParagraph"/>
        <w:numPr>
          <w:ilvl w:val="0"/>
          <w:numId w:val="23"/>
        </w:numPr>
        <w:spacing w:after="120"/>
        <w:contextualSpacing w:val="0"/>
      </w:pPr>
      <w:r w:rsidRPr="00F509C9">
        <w:t xml:space="preserve">Responses can be updated or corrected, and the Survey can be resubmitted at any point during the Survey Cycle (April 1 – </w:t>
      </w:r>
      <w:r w:rsidR="009F5FE7" w:rsidRPr="00F509C9">
        <w:t>November 30</w:t>
      </w:r>
      <w:r w:rsidRPr="00F509C9">
        <w:t>). Please remember that if you are making updates, all updated sections must be re-affirmed.</w:t>
      </w:r>
      <w:r w:rsidR="00A87095" w:rsidRPr="00F509C9">
        <w:t xml:space="preserve"> More information on updating your Survey is available </w:t>
      </w:r>
      <w:r w:rsidR="007D0C84">
        <w:t xml:space="preserve">on the </w:t>
      </w:r>
      <w:hyperlink r:id="rId57" w:history="1">
        <w:r w:rsidR="007D0C84" w:rsidRPr="007D0C84">
          <w:rPr>
            <w:rStyle w:val="Hyperlink"/>
          </w:rPr>
          <w:t>Updating Your Hospital Survey webpage</w:t>
        </w:r>
      </w:hyperlink>
      <w:r w:rsidR="007D0C84">
        <w:t xml:space="preserve">. </w:t>
      </w:r>
    </w:p>
    <w:p w14:paraId="6A9BF44D" w14:textId="6A23F324" w:rsidR="00540F88" w:rsidRPr="00AB037D" w:rsidRDefault="00540F88" w:rsidP="00AB037D">
      <w:pPr>
        <w:ind w:left="360"/>
        <w:rPr>
          <w:rFonts w:cs="Arial"/>
        </w:rPr>
      </w:pPr>
    </w:p>
    <w:p w14:paraId="6BEAF45C" w14:textId="13333CAC" w:rsidR="004B2F11" w:rsidRDefault="004B2F11" w:rsidP="00AB5B80">
      <w:pPr>
        <w:pStyle w:val="Heading3"/>
      </w:pPr>
      <w:bookmarkStart w:id="27" w:name="_Verifying_Submission"/>
      <w:bookmarkStart w:id="28" w:name="_Toc225877641"/>
      <w:bookmarkEnd w:id="27"/>
      <w:r>
        <w:t>Reporting Policy Following Cybersecurity Events</w:t>
      </w:r>
      <w:r w:rsidR="00AF5124">
        <w:t xml:space="preserve"> and</w:t>
      </w:r>
      <w:r>
        <w:t xml:space="preserve"> Natural Disasters</w:t>
      </w:r>
      <w:r w:rsidR="00253648">
        <w:t xml:space="preserve"> or CMS</w:t>
      </w:r>
      <w:r w:rsidR="005769C4">
        <w:t xml:space="preserve"> Extraordinary Circumstances Exception</w:t>
      </w:r>
      <w:bookmarkEnd w:id="28"/>
    </w:p>
    <w:p w14:paraId="2FAD6E13" w14:textId="77777777" w:rsidR="004B2F11" w:rsidRDefault="004B2F11" w:rsidP="004B2F11">
      <w:pPr>
        <w:rPr>
          <w:lang w:eastAsia="ja-JP"/>
        </w:rPr>
      </w:pPr>
    </w:p>
    <w:p w14:paraId="276CB433" w14:textId="77777777" w:rsidR="008E15FB" w:rsidRDefault="000C48AF" w:rsidP="008E15FB">
      <w:bookmarkStart w:id="29" w:name="_Hlk190085393"/>
      <w:r w:rsidRPr="000C48AF">
        <w:t>Hospitals that have experienced a cybersecurity event, natural disaster, EHR transition or have an Extraordinary Circumstances Exception approved by the Centers for Medicare and Medicaid Services (CMS) (i.e., CMS Footnote 28) that impacts data availability during one or more Survey reporting periods can complete</w:t>
      </w:r>
      <w:r>
        <w:t xml:space="preserve"> and</w:t>
      </w:r>
      <w:r w:rsidR="00790CCE">
        <w:t xml:space="preserve"> </w:t>
      </w:r>
      <w:hyperlink r:id="rId58" w:history="1">
        <w:r w:rsidR="00790CCE" w:rsidRPr="00970AD7">
          <w:rPr>
            <w:rStyle w:val="Hyperlink"/>
          </w:rPr>
          <w:t>submit a request form</w:t>
        </w:r>
      </w:hyperlink>
      <w:r w:rsidR="00790CCE">
        <w:t xml:space="preserve"> </w:t>
      </w:r>
      <w:r w:rsidR="008E15FB" w:rsidRPr="008E15FB">
        <w:t>in order to participate in the 2026 Leapfrog Hospital Survey. If approved, hospitals will report on the impacted measures using the data available and exclude data from the month(s) impacted by the cybersecurity event, natural disaster, EHR transition or CMS Extraordinary Circumstance. Results will still be calculated if minimum reporting requirements are met and will be displayed on the</w:t>
      </w:r>
      <w:r w:rsidR="008E15FB">
        <w:t xml:space="preserve"> </w:t>
      </w:r>
      <w:hyperlink r:id="rId59" w:history="1">
        <w:r w:rsidR="00790CCE" w:rsidRPr="00B7032E">
          <w:rPr>
            <w:rStyle w:val="Hyperlink"/>
          </w:rPr>
          <w:t>Survey Results website</w:t>
        </w:r>
      </w:hyperlink>
      <w:r w:rsidR="00790CCE">
        <w:t xml:space="preserve"> </w:t>
      </w:r>
      <w:r w:rsidR="008E15FB" w:rsidRPr="008E15FB">
        <w:t>with the following footnote: "Results are based on limited data due to a reported cybersecurity event, natural disaster, or a CMS Extraordinary Circumstance exception."</w:t>
      </w:r>
    </w:p>
    <w:p w14:paraId="2CE5A910" w14:textId="77777777" w:rsidR="008E15FB" w:rsidRPr="008E15FB" w:rsidRDefault="008E15FB" w:rsidP="008E15FB"/>
    <w:p w14:paraId="1049D183" w14:textId="77777777" w:rsidR="008E15FB" w:rsidRPr="008E15FB" w:rsidRDefault="008E15FB" w:rsidP="008E15FB">
      <w:r w:rsidRPr="008E15FB">
        <w:t>For the purposes of the Hospital Safety Grade, a letter grade will still be calculated based on the data available, but any underlying measures impacted by the event will have results reported along with the following footnote: "Results are based on limited data due to a reported cybersecurity event, natural disaster, or a CMS Extraordinary Circumstance exception." For the purposes of Leapfrog Top Hospital, hospitals will still be eligible for Top Hospital pending committee review and subject to meeting all criteria.</w:t>
      </w:r>
    </w:p>
    <w:p w14:paraId="4DC1FCE2" w14:textId="7AF73EEA" w:rsidR="00790CCE" w:rsidRPr="000A6EF6" w:rsidRDefault="00790CCE" w:rsidP="008E15FB">
      <w:pPr>
        <w:rPr>
          <w:lang w:eastAsia="ja-JP"/>
        </w:rPr>
      </w:pPr>
    </w:p>
    <w:p w14:paraId="6681C9B7" w14:textId="10ACECF8" w:rsidR="0010643F" w:rsidRPr="009A5185" w:rsidRDefault="0010643F" w:rsidP="00AB5B80">
      <w:pPr>
        <w:pStyle w:val="Heading3"/>
      </w:pPr>
      <w:bookmarkStart w:id="30" w:name="_Verifying_Submission_1"/>
      <w:bookmarkStart w:id="31" w:name="_Toc225877642"/>
      <w:bookmarkEnd w:id="29"/>
      <w:bookmarkEnd w:id="30"/>
      <w:r w:rsidRPr="009A5185">
        <w:t>Verifying Submission</w:t>
      </w:r>
      <w:bookmarkEnd w:id="31"/>
    </w:p>
    <w:p w14:paraId="1C24609A" w14:textId="77777777" w:rsidR="0010643F" w:rsidRPr="009A5185" w:rsidRDefault="0010643F" w:rsidP="0010643F">
      <w:pPr>
        <w:rPr>
          <w:rFonts w:cs="Arial"/>
        </w:rPr>
      </w:pPr>
    </w:p>
    <w:p w14:paraId="3A9AB5BC" w14:textId="2F714814" w:rsidR="0010643F" w:rsidRPr="009A5185" w:rsidRDefault="0010643F" w:rsidP="0010643F">
      <w:pPr>
        <w:rPr>
          <w:rFonts w:cs="Arial"/>
        </w:rPr>
      </w:pPr>
      <w:r w:rsidRPr="009A5185">
        <w:rPr>
          <w:rFonts w:cs="Arial"/>
        </w:rPr>
        <w:t xml:space="preserve">Use the following </w:t>
      </w:r>
      <w:r w:rsidR="00431482">
        <w:rPr>
          <w:rFonts w:cs="Arial"/>
        </w:rPr>
        <w:t>steps</w:t>
      </w:r>
      <w:r w:rsidR="008276A0" w:rsidRPr="009A5185">
        <w:rPr>
          <w:rFonts w:cs="Arial"/>
        </w:rPr>
        <w:t xml:space="preserve"> to</w:t>
      </w:r>
      <w:r w:rsidRPr="009A5185">
        <w:rPr>
          <w:rFonts w:cs="Arial"/>
        </w:rPr>
        <w:t xml:space="preserve"> verify that your submission was completed and that the appropriate sections were submitted:</w:t>
      </w:r>
    </w:p>
    <w:p w14:paraId="5C3AB334" w14:textId="77777777" w:rsidR="0010643F" w:rsidRPr="009A5185" w:rsidRDefault="0010643F" w:rsidP="0010643F">
      <w:pPr>
        <w:rPr>
          <w:rFonts w:cs="Arial"/>
        </w:rPr>
      </w:pPr>
    </w:p>
    <w:p w14:paraId="52F9BDC9" w14:textId="77777777" w:rsidR="0010643F" w:rsidRPr="009A5185" w:rsidRDefault="00BB22B5" w:rsidP="00AD309C">
      <w:pPr>
        <w:pStyle w:val="ListParagraph"/>
        <w:numPr>
          <w:ilvl w:val="0"/>
          <w:numId w:val="24"/>
        </w:numPr>
        <w:rPr>
          <w:rFonts w:cs="Arial"/>
        </w:rPr>
      </w:pPr>
      <w:r w:rsidRPr="009A5185">
        <w:rPr>
          <w:rFonts w:cs="Arial"/>
          <w:b/>
        </w:rPr>
        <w:t xml:space="preserve">Check the </w:t>
      </w:r>
      <w:r w:rsidR="00534C84">
        <w:rPr>
          <w:rFonts w:cs="Arial"/>
          <w:b/>
        </w:rPr>
        <w:t>Hospital Survey Dashboard</w:t>
      </w:r>
      <w:r w:rsidRPr="009A5185">
        <w:rPr>
          <w:rFonts w:cs="Arial"/>
          <w:b/>
        </w:rPr>
        <w:t xml:space="preserve">: </w:t>
      </w:r>
      <w:r w:rsidR="007D39F9" w:rsidRPr="009A5185">
        <w:rPr>
          <w:rFonts w:cs="Arial"/>
        </w:rPr>
        <w:t>Refer to the “Section Status” column on the</w:t>
      </w:r>
      <w:r w:rsidR="00454BBD" w:rsidRPr="009A5185">
        <w:rPr>
          <w:rFonts w:cs="Arial"/>
        </w:rPr>
        <w:t xml:space="preserve"> </w:t>
      </w:r>
      <w:r w:rsidR="00534C84">
        <w:rPr>
          <w:rFonts w:cs="Arial"/>
        </w:rPr>
        <w:t>Hospital Survey Dashboard</w:t>
      </w:r>
      <w:r w:rsidR="00454BBD" w:rsidRPr="009A5185">
        <w:rPr>
          <w:rFonts w:cs="Arial"/>
        </w:rPr>
        <w:t xml:space="preserve">. All </w:t>
      </w:r>
      <w:r w:rsidR="00541081" w:rsidRPr="009A5185">
        <w:rPr>
          <w:rFonts w:cs="Arial"/>
        </w:rPr>
        <w:t>submitted</w:t>
      </w:r>
      <w:r w:rsidR="007D39F9" w:rsidRPr="009A5185">
        <w:rPr>
          <w:rFonts w:cs="Arial"/>
        </w:rPr>
        <w:t xml:space="preserve"> sections will be marked as “Submitted.” </w:t>
      </w:r>
    </w:p>
    <w:p w14:paraId="51F2B770" w14:textId="603CBB23" w:rsidR="000C7B09" w:rsidRPr="009A5185" w:rsidRDefault="000C7B09" w:rsidP="00AD309C">
      <w:pPr>
        <w:pStyle w:val="ListParagraph"/>
        <w:numPr>
          <w:ilvl w:val="0"/>
          <w:numId w:val="24"/>
        </w:numPr>
        <w:rPr>
          <w:rFonts w:cs="Arial"/>
        </w:rPr>
      </w:pPr>
      <w:r w:rsidRPr="009A5185">
        <w:rPr>
          <w:rFonts w:cs="Arial"/>
          <w:b/>
        </w:rPr>
        <w:t>Check your email:</w:t>
      </w:r>
      <w:r w:rsidRPr="009A5185">
        <w:rPr>
          <w:rFonts w:cs="Arial"/>
        </w:rPr>
        <w:t xml:space="preserve"> You will receive a </w:t>
      </w:r>
      <w:r w:rsidR="007D0C84">
        <w:rPr>
          <w:rFonts w:cs="Arial"/>
        </w:rPr>
        <w:t>S</w:t>
      </w:r>
      <w:r w:rsidRPr="009A5185">
        <w:rPr>
          <w:rFonts w:cs="Arial"/>
        </w:rPr>
        <w:t xml:space="preserve">urvey submission confirmation email within five minutes of submitting a </w:t>
      </w:r>
      <w:r w:rsidR="00C14AFF" w:rsidRPr="009A5185">
        <w:rPr>
          <w:rFonts w:cs="Arial"/>
        </w:rPr>
        <w:t>Survey</w:t>
      </w:r>
      <w:r w:rsidRPr="009A5185">
        <w:rPr>
          <w:rFonts w:cs="Arial"/>
        </w:rPr>
        <w:t xml:space="preserve">. </w:t>
      </w:r>
      <w:r w:rsidR="00224374" w:rsidRPr="009A5185">
        <w:rPr>
          <w:rFonts w:cs="Arial"/>
        </w:rPr>
        <w:t>Please Note: This email will not specify wh</w:t>
      </w:r>
      <w:r w:rsidR="007D0C84">
        <w:rPr>
          <w:rFonts w:cs="Arial"/>
        </w:rPr>
        <w:t>ich</w:t>
      </w:r>
      <w:r w:rsidR="00224374" w:rsidRPr="009A5185">
        <w:rPr>
          <w:rFonts w:cs="Arial"/>
        </w:rPr>
        <w:t xml:space="preserve"> sections were submitted – you will need to use the other </w:t>
      </w:r>
      <w:r w:rsidR="007D0C84">
        <w:rPr>
          <w:rFonts w:cs="Arial"/>
        </w:rPr>
        <w:t>step</w:t>
      </w:r>
      <w:r w:rsidR="00224374" w:rsidRPr="009A5185">
        <w:rPr>
          <w:rFonts w:cs="Arial"/>
        </w:rPr>
        <w:t>s to determine which sections were submitted.</w:t>
      </w:r>
    </w:p>
    <w:p w14:paraId="67742159" w14:textId="14E40648" w:rsidR="0010643F" w:rsidRPr="009A5185" w:rsidRDefault="009570D1" w:rsidP="00AD309C">
      <w:pPr>
        <w:pStyle w:val="ListParagraph"/>
        <w:numPr>
          <w:ilvl w:val="0"/>
          <w:numId w:val="24"/>
        </w:numPr>
        <w:rPr>
          <w:rFonts w:cs="Arial"/>
        </w:rPr>
      </w:pPr>
      <w:r w:rsidRPr="009A5185">
        <w:rPr>
          <w:rFonts w:cs="Arial"/>
          <w:b/>
        </w:rPr>
        <w:t xml:space="preserve">Print </w:t>
      </w:r>
      <w:r w:rsidR="0010643F" w:rsidRPr="009A5185">
        <w:rPr>
          <w:rFonts w:cs="Arial"/>
          <w:b/>
        </w:rPr>
        <w:t xml:space="preserve">Last Submitted </w:t>
      </w:r>
      <w:r w:rsidR="00C14AFF" w:rsidRPr="009A5185">
        <w:rPr>
          <w:rFonts w:cs="Arial"/>
          <w:b/>
        </w:rPr>
        <w:t>Survey</w:t>
      </w:r>
      <w:r w:rsidR="0088771B" w:rsidRPr="009A5185">
        <w:rPr>
          <w:rFonts w:cs="Arial"/>
          <w:b/>
        </w:rPr>
        <w:t>:</w:t>
      </w:r>
      <w:r w:rsidR="0088771B" w:rsidRPr="009A5185">
        <w:rPr>
          <w:rFonts w:cs="Arial"/>
        </w:rPr>
        <w:t xml:space="preserve"> </w:t>
      </w:r>
      <w:r w:rsidRPr="009A5185">
        <w:rPr>
          <w:rFonts w:cs="Arial"/>
        </w:rPr>
        <w:t xml:space="preserve">The </w:t>
      </w:r>
      <w:r w:rsidR="00C14AFF" w:rsidRPr="009A5185">
        <w:rPr>
          <w:rFonts w:cs="Arial"/>
        </w:rPr>
        <w:t>Survey</w:t>
      </w:r>
      <w:r w:rsidRPr="009A5185">
        <w:rPr>
          <w:rFonts w:cs="Arial"/>
        </w:rPr>
        <w:t xml:space="preserve"> submission date will be listed at the top of the page under the hea</w:t>
      </w:r>
      <w:r w:rsidR="0088771B" w:rsidRPr="009A5185">
        <w:rPr>
          <w:rFonts w:cs="Arial"/>
        </w:rPr>
        <w:t xml:space="preserve">ding </w:t>
      </w:r>
      <w:r w:rsidR="0010643F" w:rsidRPr="009A5185">
        <w:rPr>
          <w:rFonts w:cs="Arial"/>
        </w:rPr>
        <w:t xml:space="preserve">“Submitted </w:t>
      </w:r>
      <w:r w:rsidR="00C14AFF" w:rsidRPr="009A5185">
        <w:rPr>
          <w:rFonts w:cs="Arial"/>
        </w:rPr>
        <w:t>Survey</w:t>
      </w:r>
      <w:r w:rsidR="0088771B" w:rsidRPr="009A5185">
        <w:rPr>
          <w:rFonts w:cs="Arial"/>
        </w:rPr>
        <w:t>.</w:t>
      </w:r>
      <w:r w:rsidR="0010643F" w:rsidRPr="009A5185">
        <w:rPr>
          <w:rFonts w:cs="Arial"/>
        </w:rPr>
        <w:t>”</w:t>
      </w:r>
      <w:r w:rsidR="0088771B" w:rsidRPr="009A5185">
        <w:rPr>
          <w:rFonts w:cs="Arial"/>
        </w:rPr>
        <w:t xml:space="preserve"> Be sure to check the submission date, review each section for accuracy and completeness, and check that each affirmation is complete (</w:t>
      </w:r>
      <w:r w:rsidR="009D788B" w:rsidRPr="009A5185">
        <w:rPr>
          <w:rFonts w:cs="Arial"/>
        </w:rPr>
        <w:t xml:space="preserve">Sections </w:t>
      </w:r>
      <w:r w:rsidR="00BD5C4B" w:rsidRPr="009A5185">
        <w:rPr>
          <w:rFonts w:cs="Arial"/>
        </w:rPr>
        <w:t>1</w:t>
      </w:r>
      <w:r w:rsidR="00D2752E">
        <w:rPr>
          <w:rFonts w:cs="Arial"/>
        </w:rPr>
        <w:t>-</w:t>
      </w:r>
      <w:r w:rsidR="001243C9">
        <w:rPr>
          <w:rFonts w:cs="Arial"/>
        </w:rPr>
        <w:t>9</w:t>
      </w:r>
      <w:r w:rsidR="0088771B" w:rsidRPr="009A5185">
        <w:rPr>
          <w:rFonts w:cs="Arial"/>
        </w:rPr>
        <w:t xml:space="preserve">). </w:t>
      </w:r>
    </w:p>
    <w:p w14:paraId="6D302F1E" w14:textId="2757E8AE" w:rsidR="00C9123E" w:rsidRPr="000515AC" w:rsidRDefault="00C9123E" w:rsidP="00AD309C">
      <w:pPr>
        <w:pStyle w:val="ListParagraph"/>
        <w:numPr>
          <w:ilvl w:val="0"/>
          <w:numId w:val="24"/>
        </w:numPr>
        <w:rPr>
          <w:rFonts w:cs="Arial"/>
        </w:rPr>
      </w:pPr>
      <w:bookmarkStart w:id="32" w:name="_Hlk35513145"/>
      <w:r w:rsidRPr="000515AC">
        <w:rPr>
          <w:rFonts w:cs="Arial"/>
          <w:b/>
        </w:rPr>
        <w:t xml:space="preserve">Review the Hospital Details Page: </w:t>
      </w:r>
      <w:r w:rsidRPr="000515AC">
        <w:rPr>
          <w:rFonts w:cs="Arial"/>
        </w:rPr>
        <w:t xml:space="preserve">Your </w:t>
      </w:r>
      <w:r w:rsidR="00C14AFF" w:rsidRPr="000515AC">
        <w:rPr>
          <w:rFonts w:cs="Arial"/>
        </w:rPr>
        <w:t>Survey Results</w:t>
      </w:r>
      <w:r w:rsidRPr="000515AC">
        <w:rPr>
          <w:rFonts w:cs="Arial"/>
        </w:rPr>
        <w:t xml:space="preserve"> will be available </w:t>
      </w:r>
      <w:r w:rsidR="007D0C84">
        <w:rPr>
          <w:rFonts w:cs="Arial"/>
        </w:rPr>
        <w:t>beginning</w:t>
      </w:r>
      <w:r w:rsidR="00977015">
        <w:rPr>
          <w:rFonts w:cs="Arial"/>
        </w:rPr>
        <w:t xml:space="preserve"> July 12 </w:t>
      </w:r>
      <w:r w:rsidRPr="000515AC">
        <w:rPr>
          <w:rFonts w:cs="Arial"/>
        </w:rPr>
        <w:t xml:space="preserve">via the Hospital Details Page link on the </w:t>
      </w:r>
      <w:r w:rsidR="00534C84" w:rsidRPr="000515AC">
        <w:rPr>
          <w:rFonts w:cs="Arial"/>
        </w:rPr>
        <w:t>Hospital Survey Dashboard</w:t>
      </w:r>
      <w:r w:rsidRPr="000515AC">
        <w:rPr>
          <w:rFonts w:cs="Arial"/>
        </w:rPr>
        <w:t xml:space="preserve">. Carefully review your results, </w:t>
      </w:r>
      <w:r w:rsidR="000515AC" w:rsidRPr="000515AC">
        <w:rPr>
          <w:rFonts w:cs="Arial"/>
        </w:rPr>
        <w:t>including</w:t>
      </w:r>
      <w:r w:rsidRPr="000515AC">
        <w:rPr>
          <w:rFonts w:cs="Arial"/>
        </w:rPr>
        <w:t xml:space="preserve"> </w:t>
      </w:r>
      <w:r w:rsidR="00B01024">
        <w:rPr>
          <w:rFonts w:cs="Arial"/>
        </w:rPr>
        <w:t xml:space="preserve">data from VON for high-risk deliveries, and </w:t>
      </w:r>
      <w:r w:rsidRPr="000515AC">
        <w:rPr>
          <w:rFonts w:cs="Arial"/>
        </w:rPr>
        <w:t xml:space="preserve">your NHSN information for applicable healthcare-associated infections. </w:t>
      </w:r>
    </w:p>
    <w:p w14:paraId="6C8C7F4B" w14:textId="6A8E27B5" w:rsidR="009570D1" w:rsidRPr="000515AC" w:rsidRDefault="008A7BEF" w:rsidP="00AD309C">
      <w:pPr>
        <w:pStyle w:val="ListParagraph"/>
        <w:numPr>
          <w:ilvl w:val="0"/>
          <w:numId w:val="24"/>
        </w:numPr>
        <w:rPr>
          <w:rFonts w:cs="Arial"/>
        </w:rPr>
      </w:pPr>
      <w:r w:rsidRPr="000515AC">
        <w:rPr>
          <w:rFonts w:cs="Arial"/>
          <w:b/>
        </w:rPr>
        <w:t>Check your publicly reported r</w:t>
      </w:r>
      <w:r w:rsidR="0010643F" w:rsidRPr="000515AC">
        <w:rPr>
          <w:rFonts w:cs="Arial"/>
          <w:b/>
        </w:rPr>
        <w:t>esults</w:t>
      </w:r>
      <w:r w:rsidR="0088771B" w:rsidRPr="000515AC">
        <w:rPr>
          <w:rFonts w:cs="Arial"/>
          <w:b/>
        </w:rPr>
        <w:t>:</w:t>
      </w:r>
      <w:r w:rsidR="0088771B" w:rsidRPr="000515AC">
        <w:rPr>
          <w:rFonts w:cs="Arial"/>
        </w:rPr>
        <w:t xml:space="preserve"> Always</w:t>
      </w:r>
      <w:r w:rsidR="0010643F" w:rsidRPr="000515AC">
        <w:rPr>
          <w:rFonts w:cs="Arial"/>
        </w:rPr>
        <w:t xml:space="preserve"> </w:t>
      </w:r>
      <w:r w:rsidR="0088771B" w:rsidRPr="000515AC">
        <w:rPr>
          <w:rFonts w:cs="Arial"/>
        </w:rPr>
        <w:t xml:space="preserve">check your Leapfrog Hospital </w:t>
      </w:r>
      <w:r w:rsidR="00C14AFF" w:rsidRPr="000515AC">
        <w:rPr>
          <w:rFonts w:cs="Arial"/>
        </w:rPr>
        <w:t>Survey Results</w:t>
      </w:r>
      <w:r w:rsidR="00E148CE" w:rsidRPr="000515AC">
        <w:rPr>
          <w:rFonts w:cs="Arial"/>
        </w:rPr>
        <w:t xml:space="preserve"> on the public </w:t>
      </w:r>
      <w:r w:rsidR="00F220B6">
        <w:rPr>
          <w:rFonts w:cs="Arial"/>
        </w:rPr>
        <w:t xml:space="preserve">reporting </w:t>
      </w:r>
      <w:hyperlink r:id="rId60" w:history="1">
        <w:r w:rsidR="00E148CE" w:rsidRPr="000515AC">
          <w:rPr>
            <w:rStyle w:val="Hyperlink"/>
            <w:rFonts w:cs="Arial"/>
          </w:rPr>
          <w:t>website</w:t>
        </w:r>
      </w:hyperlink>
      <w:r w:rsidR="007D39F9" w:rsidRPr="000515AC">
        <w:rPr>
          <w:rStyle w:val="Hyperlink"/>
          <w:rFonts w:cs="Arial"/>
          <w:u w:val="none"/>
        </w:rPr>
        <w:t xml:space="preserve">. </w:t>
      </w:r>
      <w:r w:rsidR="0088771B" w:rsidRPr="000515AC">
        <w:rPr>
          <w:rStyle w:val="Hyperlink"/>
          <w:rFonts w:cs="Arial"/>
          <w:color w:val="auto"/>
          <w:u w:val="none"/>
        </w:rPr>
        <w:t>Results are posted</w:t>
      </w:r>
      <w:r w:rsidR="0010643F" w:rsidRPr="000515AC">
        <w:rPr>
          <w:rFonts w:cs="Arial"/>
        </w:rPr>
        <w:t xml:space="preserve"> </w:t>
      </w:r>
      <w:r w:rsidR="00977015">
        <w:rPr>
          <w:rFonts w:cs="Arial"/>
        </w:rPr>
        <w:t xml:space="preserve">on July 25 and are updated </w:t>
      </w:r>
      <w:r w:rsidR="00BF4EA6" w:rsidRPr="000515AC">
        <w:rPr>
          <w:rFonts w:cs="Arial"/>
        </w:rPr>
        <w:t>within</w:t>
      </w:r>
      <w:r w:rsidR="0088771B" w:rsidRPr="000515AC">
        <w:rPr>
          <w:rFonts w:cs="Arial"/>
        </w:rPr>
        <w:t xml:space="preserve"> the </w:t>
      </w:r>
      <w:r w:rsidR="0010643F" w:rsidRPr="000515AC">
        <w:rPr>
          <w:rFonts w:cs="Arial"/>
        </w:rPr>
        <w:t xml:space="preserve">first </w:t>
      </w:r>
      <w:r w:rsidR="0045665E">
        <w:rPr>
          <w:rFonts w:cs="Arial"/>
        </w:rPr>
        <w:t>7 (seven)</w:t>
      </w:r>
      <w:r w:rsidR="0010643F" w:rsidRPr="000515AC">
        <w:rPr>
          <w:rFonts w:cs="Arial"/>
        </w:rPr>
        <w:t xml:space="preserve"> business days of the month following your submission</w:t>
      </w:r>
      <w:r w:rsidR="009D788B" w:rsidRPr="000515AC">
        <w:rPr>
          <w:rFonts w:cs="Arial"/>
        </w:rPr>
        <w:t xml:space="preserve"> starting</w:t>
      </w:r>
      <w:r w:rsidR="00977015">
        <w:rPr>
          <w:rFonts w:cs="Arial"/>
        </w:rPr>
        <w:t xml:space="preserve"> in August. </w:t>
      </w:r>
    </w:p>
    <w:bookmarkEnd w:id="32"/>
    <w:p w14:paraId="4B092E71" w14:textId="77777777" w:rsidR="00A73A06" w:rsidRPr="009A5185" w:rsidRDefault="00A73A06" w:rsidP="00D9453A">
      <w:pPr>
        <w:rPr>
          <w:rFonts w:cs="Arial"/>
          <w:lang w:eastAsia="ja-JP"/>
        </w:rPr>
      </w:pPr>
    </w:p>
    <w:p w14:paraId="0CF41894" w14:textId="77777777" w:rsidR="00AB037D" w:rsidRDefault="00AB037D">
      <w:pPr>
        <w:rPr>
          <w:rFonts w:cs="Arial"/>
          <w:b/>
          <w:i/>
          <w:snapToGrid w:val="0"/>
          <w:sz w:val="22"/>
          <w:szCs w:val="22"/>
          <w:lang w:eastAsia="ja-JP"/>
        </w:rPr>
      </w:pPr>
      <w:bookmarkStart w:id="33" w:name="_Updating_or_Correcting"/>
      <w:bookmarkEnd w:id="33"/>
      <w:r>
        <w:br w:type="page"/>
      </w:r>
    </w:p>
    <w:p w14:paraId="3C6CA2CF" w14:textId="2DF43723" w:rsidR="00AC579B" w:rsidRPr="009A5185" w:rsidRDefault="004546CF" w:rsidP="00AB5B80">
      <w:pPr>
        <w:pStyle w:val="Heading3"/>
      </w:pPr>
      <w:bookmarkStart w:id="34" w:name="_Toc225877643"/>
      <w:r>
        <w:lastRenderedPageBreak/>
        <w:t>U</w:t>
      </w:r>
      <w:r w:rsidR="00D9453A" w:rsidRPr="009A5185">
        <w:t xml:space="preserve">pdating or </w:t>
      </w:r>
      <w:r w:rsidR="00D86B8F">
        <w:t>C</w:t>
      </w:r>
      <w:r w:rsidR="00AC579B" w:rsidRPr="009A5185">
        <w:t>orrecting</w:t>
      </w:r>
      <w:r w:rsidR="00D9453A" w:rsidRPr="009A5185">
        <w:t xml:space="preserve"> a </w:t>
      </w:r>
      <w:r w:rsidR="00D86B8F">
        <w:t>P</w:t>
      </w:r>
      <w:r w:rsidR="00D9453A" w:rsidRPr="009A5185">
        <w:t xml:space="preserve">reviously </w:t>
      </w:r>
      <w:r w:rsidR="00D86B8F">
        <w:t>S</w:t>
      </w:r>
      <w:r w:rsidR="00D9453A" w:rsidRPr="009A5185">
        <w:t xml:space="preserve">ubmitted </w:t>
      </w:r>
      <w:r w:rsidR="00AC579B" w:rsidRPr="009A5185">
        <w:t xml:space="preserve">Leapfrog Hospital </w:t>
      </w:r>
      <w:r w:rsidR="00C14AFF" w:rsidRPr="009A5185">
        <w:t>Survey</w:t>
      </w:r>
      <w:bookmarkEnd w:id="34"/>
    </w:p>
    <w:p w14:paraId="2EAEA316" w14:textId="77777777" w:rsidR="00AC579B" w:rsidRPr="00AB037D" w:rsidRDefault="00AC579B" w:rsidP="00AC579B">
      <w:pPr>
        <w:rPr>
          <w:rFonts w:cs="Arial"/>
          <w:b/>
          <w:i/>
        </w:rPr>
      </w:pPr>
    </w:p>
    <w:p w14:paraId="057F05C4" w14:textId="1223D694" w:rsidR="00AC579B" w:rsidRDefault="00AF73AA" w:rsidP="00AC579B">
      <w:pPr>
        <w:rPr>
          <w:rFonts w:cs="Arial"/>
          <w:snapToGrid w:val="0"/>
        </w:rPr>
      </w:pPr>
      <w:r w:rsidRPr="00D3457C">
        <w:rPr>
          <w:rFonts w:cs="Arial"/>
          <w:snapToGrid w:val="0"/>
        </w:rPr>
        <w:t>H</w:t>
      </w:r>
      <w:r w:rsidR="00AC579B" w:rsidRPr="00D3457C">
        <w:rPr>
          <w:rFonts w:cs="Arial"/>
          <w:snapToGrid w:val="0"/>
        </w:rPr>
        <w:t xml:space="preserve">ospitals </w:t>
      </w:r>
      <w:r w:rsidR="00B9403B" w:rsidRPr="00D3457C">
        <w:rPr>
          <w:rFonts w:cs="Arial"/>
          <w:snapToGrid w:val="0"/>
        </w:rPr>
        <w:t>can</w:t>
      </w:r>
      <w:r w:rsidR="00AC579B" w:rsidRPr="00D3457C">
        <w:rPr>
          <w:rFonts w:cs="Arial"/>
          <w:snapToGrid w:val="0"/>
        </w:rPr>
        <w:t xml:space="preserve"> update</w:t>
      </w:r>
      <w:r w:rsidR="00FA4EEA" w:rsidRPr="00D3457C">
        <w:rPr>
          <w:rFonts w:cs="Arial"/>
          <w:snapToGrid w:val="0"/>
        </w:rPr>
        <w:t xml:space="preserve"> or correct p</w:t>
      </w:r>
      <w:r w:rsidRPr="00D3457C">
        <w:rPr>
          <w:rFonts w:cs="Arial"/>
          <w:snapToGrid w:val="0"/>
        </w:rPr>
        <w:t xml:space="preserve">reviously submitted </w:t>
      </w:r>
      <w:r w:rsidR="00C14AFF" w:rsidRPr="00D3457C">
        <w:rPr>
          <w:rFonts w:cs="Arial"/>
          <w:snapToGrid w:val="0"/>
        </w:rPr>
        <w:t>Survey</w:t>
      </w:r>
      <w:r w:rsidRPr="00D3457C">
        <w:rPr>
          <w:rFonts w:cs="Arial"/>
          <w:snapToGrid w:val="0"/>
        </w:rPr>
        <w:t xml:space="preserve"> responses </w:t>
      </w:r>
      <w:r w:rsidR="00AC579B" w:rsidRPr="00D3457C">
        <w:rPr>
          <w:rFonts w:cs="Arial"/>
          <w:snapToGrid w:val="0"/>
        </w:rPr>
        <w:t xml:space="preserve">at any </w:t>
      </w:r>
      <w:r w:rsidRPr="00D3457C">
        <w:rPr>
          <w:rFonts w:cs="Arial"/>
          <w:snapToGrid w:val="0"/>
        </w:rPr>
        <w:t xml:space="preserve">point during the </w:t>
      </w:r>
      <w:r w:rsidR="00C14AFF" w:rsidRPr="00D3457C">
        <w:rPr>
          <w:rFonts w:cs="Arial"/>
          <w:snapToGrid w:val="0"/>
        </w:rPr>
        <w:t>Survey</w:t>
      </w:r>
      <w:r w:rsidR="00CB3D16" w:rsidRPr="00D3457C">
        <w:rPr>
          <w:rFonts w:cs="Arial"/>
          <w:snapToGrid w:val="0"/>
        </w:rPr>
        <w:t xml:space="preserve"> C</w:t>
      </w:r>
      <w:r w:rsidRPr="00D3457C">
        <w:rPr>
          <w:rFonts w:cs="Arial"/>
          <w:snapToGrid w:val="0"/>
        </w:rPr>
        <w:t>ycle</w:t>
      </w:r>
      <w:r w:rsidR="009F0A02" w:rsidRPr="00D3457C">
        <w:rPr>
          <w:rFonts w:cs="Arial"/>
          <w:snapToGrid w:val="0"/>
        </w:rPr>
        <w:t xml:space="preserve"> (April 1 to </w:t>
      </w:r>
      <w:r w:rsidR="009F5FE7">
        <w:rPr>
          <w:rFonts w:cs="Arial"/>
          <w:snapToGrid w:val="0"/>
        </w:rPr>
        <w:t>November 30</w:t>
      </w:r>
      <w:r w:rsidR="009F0A02" w:rsidRPr="00D3457C">
        <w:rPr>
          <w:rFonts w:cs="Arial"/>
          <w:snapToGrid w:val="0"/>
        </w:rPr>
        <w:t>)</w:t>
      </w:r>
      <w:r w:rsidRPr="00D3457C">
        <w:rPr>
          <w:rFonts w:cs="Arial"/>
          <w:snapToGrid w:val="0"/>
        </w:rPr>
        <w:t>.</w:t>
      </w:r>
      <w:r w:rsidR="007D35CD" w:rsidRPr="00D3457C">
        <w:rPr>
          <w:rFonts w:cs="Arial"/>
          <w:snapToGrid w:val="0"/>
        </w:rPr>
        <w:t xml:space="preserve"> Please review </w:t>
      </w:r>
      <w:r w:rsidR="00BF4EA6" w:rsidRPr="00D3457C">
        <w:rPr>
          <w:rFonts w:cs="Arial"/>
          <w:snapToGrid w:val="0"/>
        </w:rPr>
        <w:t xml:space="preserve">the </w:t>
      </w:r>
      <w:hyperlink r:id="rId61" w:history="1">
        <w:r w:rsidR="007D35CD" w:rsidRPr="00D3457C">
          <w:rPr>
            <w:rStyle w:val="Hyperlink"/>
            <w:rFonts w:cs="Arial"/>
            <w:snapToGrid w:val="0"/>
          </w:rPr>
          <w:t>Survey Deadlines</w:t>
        </w:r>
        <w:r w:rsidR="00BF4EA6" w:rsidRPr="00D3457C">
          <w:rPr>
            <w:rStyle w:val="Hyperlink"/>
            <w:rFonts w:cs="Arial"/>
            <w:snapToGrid w:val="0"/>
          </w:rPr>
          <w:t xml:space="preserve"> webpage</w:t>
        </w:r>
      </w:hyperlink>
      <w:r w:rsidR="007D35CD" w:rsidRPr="00D3457C">
        <w:rPr>
          <w:rFonts w:cs="Arial"/>
          <w:snapToGrid w:val="0"/>
        </w:rPr>
        <w:t>.</w:t>
      </w:r>
      <w:r w:rsidRPr="00D3457C">
        <w:rPr>
          <w:rFonts w:cs="Arial"/>
          <w:snapToGrid w:val="0"/>
        </w:rPr>
        <w:t xml:space="preserve"> </w:t>
      </w:r>
      <w:r w:rsidR="00FA4EEA" w:rsidRPr="00D3457C">
        <w:rPr>
          <w:rFonts w:cs="Arial"/>
          <w:snapToGrid w:val="0"/>
        </w:rPr>
        <w:t xml:space="preserve">Most updates or corrections are made: </w:t>
      </w:r>
    </w:p>
    <w:p w14:paraId="7B5F252D" w14:textId="77777777" w:rsidR="00AB037D" w:rsidRPr="00D3457C" w:rsidRDefault="00AB037D" w:rsidP="00AC579B">
      <w:pPr>
        <w:rPr>
          <w:rFonts w:cs="Arial"/>
          <w:snapToGrid w:val="0"/>
        </w:rPr>
      </w:pPr>
    </w:p>
    <w:p w14:paraId="750CDD62" w14:textId="77777777" w:rsidR="00310565" w:rsidRPr="00D3457C" w:rsidRDefault="00AF73AA" w:rsidP="00AD309C">
      <w:pPr>
        <w:pStyle w:val="ListParagraph"/>
        <w:numPr>
          <w:ilvl w:val="0"/>
          <w:numId w:val="26"/>
        </w:numPr>
        <w:rPr>
          <w:rFonts w:cs="Arial"/>
          <w:snapToGrid w:val="0"/>
        </w:rPr>
      </w:pPr>
      <w:r w:rsidRPr="00D3457C">
        <w:rPr>
          <w:rFonts w:cs="Arial"/>
          <w:snapToGrid w:val="0"/>
        </w:rPr>
        <w:t>At the request of Leapfrog</w:t>
      </w:r>
      <w:r w:rsidR="00310565" w:rsidRPr="00D3457C">
        <w:rPr>
          <w:rFonts w:cs="Arial"/>
          <w:snapToGrid w:val="0"/>
        </w:rPr>
        <w:t>:</w:t>
      </w:r>
    </w:p>
    <w:p w14:paraId="0995E6C0" w14:textId="4EF046F5" w:rsidR="003827A4" w:rsidRPr="00D3457C" w:rsidRDefault="00310565" w:rsidP="00AD309C">
      <w:pPr>
        <w:pStyle w:val="ListParagraph"/>
        <w:numPr>
          <w:ilvl w:val="1"/>
          <w:numId w:val="26"/>
        </w:numPr>
        <w:rPr>
          <w:rFonts w:cs="Arial"/>
          <w:snapToGrid w:val="0"/>
        </w:rPr>
      </w:pPr>
      <w:r w:rsidRPr="00D3457C">
        <w:rPr>
          <w:rFonts w:cs="Arial"/>
          <w:snapToGrid w:val="0"/>
        </w:rPr>
        <w:t xml:space="preserve">Following </w:t>
      </w:r>
      <w:r w:rsidR="00BF4EA6" w:rsidRPr="00D3457C">
        <w:rPr>
          <w:rFonts w:cs="Arial"/>
          <w:snapToGrid w:val="0"/>
        </w:rPr>
        <w:t xml:space="preserve">Leapfrog’s </w:t>
      </w:r>
      <w:hyperlink r:id="rId62" w:history="1">
        <w:r w:rsidR="009B3CFF" w:rsidRPr="00954F68">
          <w:rPr>
            <w:rStyle w:val="Hyperlink"/>
            <w:rFonts w:cs="Arial"/>
            <w:snapToGrid w:val="0"/>
          </w:rPr>
          <w:t>Extensive Monthly Data Verification</w:t>
        </w:r>
      </w:hyperlink>
      <w:r w:rsidR="00831650" w:rsidRPr="00D3457C">
        <w:rPr>
          <w:rFonts w:cs="Arial"/>
          <w:snapToGrid w:val="0"/>
        </w:rPr>
        <w:t xml:space="preserve">, </w:t>
      </w:r>
      <w:r w:rsidR="00C14AFF" w:rsidRPr="00D3457C">
        <w:rPr>
          <w:rFonts w:cs="Arial"/>
          <w:snapToGrid w:val="0"/>
        </w:rPr>
        <w:t>the Primary Survey Contact</w:t>
      </w:r>
      <w:r w:rsidR="009F0A02" w:rsidRPr="00D3457C">
        <w:rPr>
          <w:rFonts w:cs="Arial"/>
          <w:snapToGrid w:val="0"/>
        </w:rPr>
        <w:t>, Secondary Survey Contact,</w:t>
      </w:r>
      <w:r w:rsidR="00C14AFF" w:rsidRPr="00D3457C">
        <w:rPr>
          <w:rFonts w:cs="Arial"/>
          <w:snapToGrid w:val="0"/>
        </w:rPr>
        <w:t xml:space="preserve"> and System Survey Contact </w:t>
      </w:r>
      <w:r w:rsidR="00A008D1" w:rsidRPr="00D3457C">
        <w:rPr>
          <w:rFonts w:cs="Arial"/>
          <w:snapToGrid w:val="0"/>
        </w:rPr>
        <w:t xml:space="preserve">will </w:t>
      </w:r>
      <w:r w:rsidR="00831650" w:rsidRPr="00D3457C">
        <w:rPr>
          <w:rFonts w:cs="Arial"/>
          <w:snapToGrid w:val="0"/>
        </w:rPr>
        <w:t xml:space="preserve">receive an email from the Help Desk </w:t>
      </w:r>
      <w:r w:rsidR="0097210B" w:rsidRPr="00D3457C">
        <w:rPr>
          <w:rFonts w:cs="Arial"/>
          <w:snapToGrid w:val="0"/>
        </w:rPr>
        <w:t>detailing potential reporting errors</w:t>
      </w:r>
      <w:r w:rsidR="00CB2CEC">
        <w:rPr>
          <w:rFonts w:cs="Arial"/>
          <w:snapToGrid w:val="0"/>
        </w:rPr>
        <w:t>.</w:t>
      </w:r>
    </w:p>
    <w:p w14:paraId="56C207D3" w14:textId="1BD79298" w:rsidR="00E03E77" w:rsidRPr="00D3457C" w:rsidRDefault="00454BBD" w:rsidP="00AD309C">
      <w:pPr>
        <w:pStyle w:val="ListParagraph"/>
        <w:numPr>
          <w:ilvl w:val="0"/>
          <w:numId w:val="26"/>
        </w:numPr>
        <w:rPr>
          <w:rFonts w:cs="Arial"/>
          <w:snapToGrid w:val="0"/>
        </w:rPr>
      </w:pPr>
      <w:r w:rsidRPr="00D3457C">
        <w:rPr>
          <w:rFonts w:cs="Arial"/>
          <w:snapToGrid w:val="0"/>
        </w:rPr>
        <w:t xml:space="preserve">Following </w:t>
      </w:r>
      <w:hyperlink r:id="rId63" w:history="1">
        <w:r w:rsidR="009B3CFF" w:rsidRPr="00954F68">
          <w:rPr>
            <w:rStyle w:val="Hyperlink"/>
            <w:rFonts w:cs="Arial"/>
            <w:snapToGrid w:val="0"/>
          </w:rPr>
          <w:t>On-Site Data Verification</w:t>
        </w:r>
      </w:hyperlink>
      <w:r w:rsidRPr="00D3457C">
        <w:rPr>
          <w:rFonts w:cs="Arial"/>
          <w:snapToGrid w:val="0"/>
        </w:rPr>
        <w:t xml:space="preserve">: </w:t>
      </w:r>
    </w:p>
    <w:p w14:paraId="6CB30CB5" w14:textId="5ADCC245" w:rsidR="00454BBD" w:rsidRPr="00D3457C" w:rsidRDefault="00454BBD" w:rsidP="00AD309C">
      <w:pPr>
        <w:pStyle w:val="ListParagraph"/>
        <w:numPr>
          <w:ilvl w:val="1"/>
          <w:numId w:val="26"/>
        </w:numPr>
        <w:rPr>
          <w:rFonts w:cs="Arial"/>
          <w:snapToGrid w:val="0"/>
        </w:rPr>
      </w:pPr>
      <w:r w:rsidRPr="00D3457C">
        <w:rPr>
          <w:rFonts w:cs="Arial"/>
          <w:snapToGrid w:val="0"/>
        </w:rPr>
        <w:t xml:space="preserve">Hospitals selected for </w:t>
      </w:r>
      <w:r w:rsidR="00D91854" w:rsidRPr="00D3457C">
        <w:rPr>
          <w:rFonts w:cs="Arial"/>
          <w:snapToGrid w:val="0"/>
        </w:rPr>
        <w:t>O</w:t>
      </w:r>
      <w:r w:rsidRPr="00D3457C">
        <w:rPr>
          <w:rFonts w:cs="Arial"/>
          <w:snapToGrid w:val="0"/>
        </w:rPr>
        <w:t>n-</w:t>
      </w:r>
      <w:r w:rsidR="00D91854" w:rsidRPr="00D3457C">
        <w:rPr>
          <w:rFonts w:cs="Arial"/>
          <w:snapToGrid w:val="0"/>
        </w:rPr>
        <w:t>S</w:t>
      </w:r>
      <w:r w:rsidRPr="00D3457C">
        <w:rPr>
          <w:rFonts w:cs="Arial"/>
          <w:snapToGrid w:val="0"/>
        </w:rPr>
        <w:t xml:space="preserve">ite </w:t>
      </w:r>
      <w:r w:rsidR="00D91854" w:rsidRPr="00D3457C">
        <w:rPr>
          <w:rFonts w:cs="Arial"/>
          <w:snapToGrid w:val="0"/>
        </w:rPr>
        <w:t>D</w:t>
      </w:r>
      <w:r w:rsidRPr="00D3457C">
        <w:rPr>
          <w:rFonts w:cs="Arial"/>
          <w:snapToGrid w:val="0"/>
        </w:rPr>
        <w:t xml:space="preserve">ata </w:t>
      </w:r>
      <w:r w:rsidR="00D91854" w:rsidRPr="00D3457C">
        <w:rPr>
          <w:rFonts w:cs="Arial"/>
          <w:snapToGrid w:val="0"/>
        </w:rPr>
        <w:t>V</w:t>
      </w:r>
      <w:r w:rsidRPr="00D3457C">
        <w:rPr>
          <w:rFonts w:cs="Arial"/>
          <w:snapToGrid w:val="0"/>
        </w:rPr>
        <w:t>erification will receive a report which will indicate any responses that need to be updated or corrected.</w:t>
      </w:r>
    </w:p>
    <w:p w14:paraId="2BFB5A8A" w14:textId="77777777" w:rsidR="00310565" w:rsidRPr="00D3457C" w:rsidRDefault="00AC579B" w:rsidP="00AD309C">
      <w:pPr>
        <w:pStyle w:val="ListParagraph"/>
        <w:numPr>
          <w:ilvl w:val="0"/>
          <w:numId w:val="26"/>
        </w:numPr>
        <w:rPr>
          <w:rFonts w:cs="Arial"/>
          <w:snapToGrid w:val="0"/>
        </w:rPr>
      </w:pPr>
      <w:r w:rsidRPr="00D3457C">
        <w:rPr>
          <w:rFonts w:cs="Arial"/>
          <w:snapToGrid w:val="0"/>
        </w:rPr>
        <w:t>At the discretion of the hospital</w:t>
      </w:r>
      <w:r w:rsidR="00310565" w:rsidRPr="00D3457C">
        <w:rPr>
          <w:rFonts w:cs="Arial"/>
          <w:snapToGrid w:val="0"/>
        </w:rPr>
        <w:t>:</w:t>
      </w:r>
    </w:p>
    <w:p w14:paraId="64CD316E" w14:textId="6AA8782D" w:rsidR="00310565" w:rsidRPr="00D3457C" w:rsidRDefault="00310565" w:rsidP="00AD309C">
      <w:pPr>
        <w:pStyle w:val="ListParagraph"/>
        <w:numPr>
          <w:ilvl w:val="1"/>
          <w:numId w:val="26"/>
        </w:numPr>
        <w:rPr>
          <w:rFonts w:cs="Arial"/>
          <w:snapToGrid w:val="0"/>
        </w:rPr>
      </w:pPr>
      <w:r w:rsidRPr="00D3457C">
        <w:rPr>
          <w:rFonts w:cs="Arial"/>
          <w:snapToGrid w:val="0"/>
        </w:rPr>
        <w:t>T</w:t>
      </w:r>
      <w:r w:rsidR="003827A4" w:rsidRPr="00D3457C">
        <w:rPr>
          <w:rFonts w:cs="Arial"/>
          <w:snapToGrid w:val="0"/>
        </w:rPr>
        <w:t xml:space="preserve">o correct a data entry </w:t>
      </w:r>
      <w:r w:rsidR="00D91854" w:rsidRPr="00D3457C">
        <w:rPr>
          <w:rFonts w:cs="Arial"/>
          <w:snapToGrid w:val="0"/>
        </w:rPr>
        <w:t>or reporting error</w:t>
      </w:r>
      <w:r w:rsidR="00CB2CEC">
        <w:rPr>
          <w:rFonts w:cs="Arial"/>
          <w:snapToGrid w:val="0"/>
        </w:rPr>
        <w:t>.</w:t>
      </w:r>
    </w:p>
    <w:p w14:paraId="2EEE25E0" w14:textId="6F847990" w:rsidR="00310565" w:rsidRPr="00D3457C" w:rsidRDefault="00310565" w:rsidP="00AD309C">
      <w:pPr>
        <w:pStyle w:val="ListParagraph"/>
        <w:numPr>
          <w:ilvl w:val="1"/>
          <w:numId w:val="26"/>
        </w:numPr>
        <w:rPr>
          <w:rFonts w:cs="Arial"/>
          <w:snapToGrid w:val="0"/>
        </w:rPr>
      </w:pPr>
      <w:r w:rsidRPr="00D3457C">
        <w:rPr>
          <w:rFonts w:cs="Arial"/>
          <w:snapToGrid w:val="0"/>
        </w:rPr>
        <w:t xml:space="preserve">To reflect </w:t>
      </w:r>
      <w:r w:rsidR="003827A4" w:rsidRPr="00D3457C">
        <w:rPr>
          <w:rFonts w:cs="Arial"/>
          <w:snapToGrid w:val="0"/>
        </w:rPr>
        <w:t>a change in status or performance</w:t>
      </w:r>
      <w:r w:rsidRPr="00D3457C">
        <w:rPr>
          <w:rFonts w:cs="Arial"/>
          <w:snapToGrid w:val="0"/>
        </w:rPr>
        <w:t xml:space="preserve"> on a measure</w:t>
      </w:r>
      <w:r w:rsidR="00A43085" w:rsidRPr="00D3457C">
        <w:rPr>
          <w:rFonts w:cs="Arial"/>
          <w:snapToGrid w:val="0"/>
        </w:rPr>
        <w:t xml:space="preserve"> (</w:t>
      </w:r>
      <w:r w:rsidR="008D00BF" w:rsidRPr="00D3457C">
        <w:rPr>
          <w:rFonts w:cs="Arial"/>
          <w:snapToGrid w:val="0"/>
        </w:rPr>
        <w:t>e.g.,</w:t>
      </w:r>
      <w:r w:rsidR="00A43085" w:rsidRPr="00D3457C">
        <w:rPr>
          <w:rFonts w:cs="Arial"/>
          <w:snapToGrid w:val="0"/>
        </w:rPr>
        <w:t xml:space="preserve"> closed a unit</w:t>
      </w:r>
      <w:r w:rsidR="00366BEF">
        <w:rPr>
          <w:rFonts w:cs="Arial"/>
          <w:snapToGrid w:val="0"/>
        </w:rPr>
        <w:t xml:space="preserve">, </w:t>
      </w:r>
      <w:r w:rsidR="00A43085" w:rsidRPr="00D3457C">
        <w:rPr>
          <w:rFonts w:cs="Arial"/>
          <w:snapToGrid w:val="0"/>
        </w:rPr>
        <w:t>stopped performing a procedure</w:t>
      </w:r>
      <w:r w:rsidR="00366BEF">
        <w:rPr>
          <w:rFonts w:cs="Arial"/>
          <w:snapToGrid w:val="0"/>
        </w:rPr>
        <w:t>,</w:t>
      </w:r>
      <w:r w:rsidR="00D91854" w:rsidRPr="00D3457C">
        <w:rPr>
          <w:rFonts w:cs="Arial"/>
          <w:snapToGrid w:val="0"/>
        </w:rPr>
        <w:t xml:space="preserve"> implemented a </w:t>
      </w:r>
      <w:r w:rsidR="002F1ABD" w:rsidRPr="00D3457C">
        <w:rPr>
          <w:rFonts w:cs="Arial"/>
          <w:snapToGrid w:val="0"/>
        </w:rPr>
        <w:t xml:space="preserve">new </w:t>
      </w:r>
      <w:r w:rsidR="00D91854" w:rsidRPr="00D3457C">
        <w:rPr>
          <w:rFonts w:cs="Arial"/>
          <w:snapToGrid w:val="0"/>
        </w:rPr>
        <w:t>policy</w:t>
      </w:r>
      <w:r w:rsidR="00366BEF">
        <w:rPr>
          <w:rFonts w:cs="Arial"/>
          <w:snapToGrid w:val="0"/>
        </w:rPr>
        <w:t>, etc.</w:t>
      </w:r>
      <w:r w:rsidR="00A43085" w:rsidRPr="00D3457C">
        <w:rPr>
          <w:rFonts w:cs="Arial"/>
          <w:snapToGrid w:val="0"/>
        </w:rPr>
        <w:t>)</w:t>
      </w:r>
      <w:r w:rsidR="00CB2CEC">
        <w:rPr>
          <w:rFonts w:cs="Arial"/>
          <w:snapToGrid w:val="0"/>
        </w:rPr>
        <w:t>.</w:t>
      </w:r>
    </w:p>
    <w:p w14:paraId="23DDA817" w14:textId="0BFBB0D0" w:rsidR="00F509C9" w:rsidRDefault="00A43085" w:rsidP="00AD309C">
      <w:pPr>
        <w:pStyle w:val="ListParagraph"/>
        <w:numPr>
          <w:ilvl w:val="1"/>
          <w:numId w:val="26"/>
        </w:numPr>
        <w:rPr>
          <w:rFonts w:cs="Arial"/>
          <w:snapToGrid w:val="0"/>
        </w:rPr>
      </w:pPr>
      <w:r w:rsidRPr="00D3457C">
        <w:rPr>
          <w:rFonts w:cs="Arial"/>
          <w:snapToGrid w:val="0"/>
        </w:rPr>
        <w:t>To p</w:t>
      </w:r>
      <w:r w:rsidR="007D39F9" w:rsidRPr="00D3457C">
        <w:rPr>
          <w:rFonts w:cs="Arial"/>
          <w:snapToGrid w:val="0"/>
        </w:rPr>
        <w:t>rovide more current</w:t>
      </w:r>
      <w:r w:rsidR="00310565" w:rsidRPr="00D3457C">
        <w:rPr>
          <w:rFonts w:cs="Arial"/>
          <w:snapToGrid w:val="0"/>
        </w:rPr>
        <w:t xml:space="preserve"> respo</w:t>
      </w:r>
      <w:r w:rsidR="00BF4EA6" w:rsidRPr="00D3457C">
        <w:rPr>
          <w:rFonts w:cs="Arial"/>
          <w:snapToGrid w:val="0"/>
        </w:rPr>
        <w:t xml:space="preserve">nses </w:t>
      </w:r>
      <w:r w:rsidR="00D91854" w:rsidRPr="00D3457C">
        <w:rPr>
          <w:rFonts w:cs="Arial"/>
          <w:snapToGrid w:val="0"/>
        </w:rPr>
        <w:t xml:space="preserve">based on </w:t>
      </w:r>
      <w:r w:rsidR="00F220B6">
        <w:rPr>
          <w:rFonts w:cs="Arial"/>
          <w:snapToGrid w:val="0"/>
        </w:rPr>
        <w:t xml:space="preserve">the </w:t>
      </w:r>
      <w:r w:rsidR="00D91854" w:rsidRPr="00D3457C">
        <w:rPr>
          <w:rFonts w:cs="Arial"/>
          <w:snapToGrid w:val="0"/>
        </w:rPr>
        <w:t>reporting periods outlined in the hard copy of the Survey</w:t>
      </w:r>
      <w:r w:rsidR="00CB2CEC">
        <w:rPr>
          <w:rFonts w:cs="Arial"/>
          <w:snapToGrid w:val="0"/>
        </w:rPr>
        <w:t>.</w:t>
      </w:r>
    </w:p>
    <w:p w14:paraId="2CCD2DCC" w14:textId="77777777" w:rsidR="005951F7" w:rsidRPr="00AB037D" w:rsidRDefault="005951F7" w:rsidP="008E7003">
      <w:pPr>
        <w:rPr>
          <w:rFonts w:cs="Arial"/>
          <w:snapToGrid w:val="0"/>
        </w:rPr>
      </w:pPr>
    </w:p>
    <w:p w14:paraId="04E9556D" w14:textId="0FE8E808" w:rsidR="008E7003" w:rsidRPr="006A5BE3" w:rsidRDefault="008E7003" w:rsidP="008E7003">
      <w:pPr>
        <w:rPr>
          <w:rFonts w:cs="Arial"/>
          <w:b/>
          <w:bCs/>
          <w:i/>
          <w:iCs/>
          <w:snapToGrid w:val="0"/>
          <w:sz w:val="18"/>
          <w:szCs w:val="18"/>
        </w:rPr>
      </w:pPr>
      <w:r w:rsidRPr="006A5BE3">
        <w:rPr>
          <w:rFonts w:cs="Arial"/>
          <w:b/>
          <w:bCs/>
          <w:i/>
          <w:iCs/>
          <w:snapToGrid w:val="0"/>
          <w:sz w:val="18"/>
          <w:szCs w:val="18"/>
        </w:rPr>
        <w:t xml:space="preserve">Following any updates, hospitals should always use the steps for verifying submission provided </w:t>
      </w:r>
      <w:hyperlink w:anchor="_Verifying_Submission_1" w:history="1">
        <w:r w:rsidR="005951F7" w:rsidRPr="006A5BE3">
          <w:rPr>
            <w:rStyle w:val="Hyperlink"/>
            <w:rFonts w:cs="Arial"/>
            <w:b/>
            <w:bCs/>
            <w:i/>
            <w:iCs/>
            <w:snapToGrid w:val="0"/>
            <w:sz w:val="18"/>
            <w:szCs w:val="18"/>
          </w:rPr>
          <w:t>above</w:t>
        </w:r>
      </w:hyperlink>
      <w:r w:rsidR="005951F7" w:rsidRPr="006A5BE3">
        <w:rPr>
          <w:rFonts w:cs="Arial"/>
          <w:b/>
          <w:bCs/>
          <w:i/>
          <w:iCs/>
          <w:snapToGrid w:val="0"/>
          <w:sz w:val="18"/>
          <w:szCs w:val="18"/>
        </w:rPr>
        <w:t xml:space="preserve">. </w:t>
      </w:r>
    </w:p>
    <w:p w14:paraId="0D07C477" w14:textId="77777777" w:rsidR="002B59FE" w:rsidRPr="00AB037D" w:rsidRDefault="002B59FE" w:rsidP="00AB037D">
      <w:pPr>
        <w:rPr>
          <w:rFonts w:cs="Arial"/>
          <w:snapToGrid w:val="0"/>
        </w:rPr>
      </w:pPr>
    </w:p>
    <w:p w14:paraId="1E33E9EC" w14:textId="73B4E295" w:rsidR="00AC579B" w:rsidRPr="007475A2" w:rsidRDefault="0094168C" w:rsidP="00AB5B80">
      <w:pPr>
        <w:pStyle w:val="Heading3"/>
      </w:pPr>
      <w:bookmarkStart w:id="35" w:name="_Toc225877644"/>
      <w:r w:rsidRPr="00D3457C">
        <w:t>Updat</w:t>
      </w:r>
      <w:r w:rsidR="001D5038" w:rsidRPr="00D3457C">
        <w:t>ing a Survey</w:t>
      </w:r>
      <w:r w:rsidRPr="00D3457C">
        <w:t xml:space="preserve"> </w:t>
      </w:r>
      <w:r w:rsidR="00755915">
        <w:t>A</w:t>
      </w:r>
      <w:r w:rsidR="00945F47" w:rsidRPr="00D3457C">
        <w:t xml:space="preserve">fter Receiving </w:t>
      </w:r>
      <w:r w:rsidR="00456A42" w:rsidRPr="00D3457C">
        <w:t xml:space="preserve">a </w:t>
      </w:r>
      <w:r w:rsidR="00945F47" w:rsidRPr="00D3457C">
        <w:t>Help Desk</w:t>
      </w:r>
      <w:r w:rsidR="00320C18" w:rsidRPr="00D3457C">
        <w:t xml:space="preserve"> E</w:t>
      </w:r>
      <w:r w:rsidR="00CF1881" w:rsidRPr="00D3457C">
        <w:t>mail</w:t>
      </w:r>
      <w:bookmarkEnd w:id="35"/>
      <w:r w:rsidR="00590E25" w:rsidRPr="00D3457C">
        <w:t xml:space="preserve"> </w:t>
      </w:r>
    </w:p>
    <w:p w14:paraId="1EEA42C7" w14:textId="77777777" w:rsidR="00DE6E30" w:rsidRPr="00D3457C" w:rsidRDefault="00DE6E30" w:rsidP="00AC579B">
      <w:pPr>
        <w:rPr>
          <w:rFonts w:cs="Arial"/>
          <w:snapToGrid w:val="0"/>
        </w:rPr>
      </w:pPr>
    </w:p>
    <w:p w14:paraId="48A1BCB1" w14:textId="6E45B9D7" w:rsidR="00190470" w:rsidRPr="00D3457C" w:rsidRDefault="00AC579B" w:rsidP="00AC579B">
      <w:pPr>
        <w:rPr>
          <w:rFonts w:cs="Arial"/>
          <w:snapToGrid w:val="0"/>
        </w:rPr>
      </w:pPr>
      <w:r w:rsidRPr="00D3457C">
        <w:rPr>
          <w:rFonts w:cs="Arial"/>
          <w:snapToGrid w:val="0"/>
        </w:rPr>
        <w:t xml:space="preserve">Leapfrog conducts </w:t>
      </w:r>
      <w:hyperlink r:id="rId64" w:history="1">
        <w:r w:rsidR="005140BE" w:rsidRPr="00D3457C">
          <w:rPr>
            <w:rStyle w:val="Hyperlink"/>
            <w:rFonts w:cs="Arial"/>
            <w:snapToGrid w:val="0"/>
          </w:rPr>
          <w:t>Extensive Monthly Data Verification</w:t>
        </w:r>
      </w:hyperlink>
      <w:r w:rsidRPr="00D3457C">
        <w:rPr>
          <w:rFonts w:cs="Arial"/>
          <w:snapToGrid w:val="0"/>
        </w:rPr>
        <w:t xml:space="preserve"> of </w:t>
      </w:r>
      <w:r w:rsidR="00190470" w:rsidRPr="00D3457C">
        <w:rPr>
          <w:rFonts w:cs="Arial"/>
          <w:snapToGrid w:val="0"/>
        </w:rPr>
        <w:t>response</w:t>
      </w:r>
      <w:r w:rsidR="00B243D6" w:rsidRPr="00D3457C">
        <w:rPr>
          <w:rFonts w:cs="Arial"/>
          <w:snapToGrid w:val="0"/>
        </w:rPr>
        <w:t>s</w:t>
      </w:r>
      <w:r w:rsidR="00190470" w:rsidRPr="00D3457C">
        <w:rPr>
          <w:rFonts w:cs="Arial"/>
          <w:snapToGrid w:val="0"/>
        </w:rPr>
        <w:t xml:space="preserve"> </w:t>
      </w:r>
      <w:r w:rsidRPr="00D3457C">
        <w:rPr>
          <w:rFonts w:cs="Arial"/>
          <w:snapToGrid w:val="0"/>
        </w:rPr>
        <w:t xml:space="preserve">submitted </w:t>
      </w:r>
      <w:r w:rsidR="00190470" w:rsidRPr="00D3457C">
        <w:rPr>
          <w:rFonts w:cs="Arial"/>
          <w:snapToGrid w:val="0"/>
        </w:rPr>
        <w:t xml:space="preserve">to the Leapfrog Hospital </w:t>
      </w:r>
      <w:r w:rsidR="00C14AFF" w:rsidRPr="00D3457C">
        <w:rPr>
          <w:rFonts w:cs="Arial"/>
          <w:snapToGrid w:val="0"/>
        </w:rPr>
        <w:t>Survey</w:t>
      </w:r>
      <w:r w:rsidRPr="00D3457C">
        <w:rPr>
          <w:rFonts w:cs="Arial"/>
          <w:snapToGrid w:val="0"/>
        </w:rPr>
        <w:t xml:space="preserve"> starting with </w:t>
      </w:r>
      <w:r w:rsidR="00C14AFF" w:rsidRPr="00D3457C">
        <w:rPr>
          <w:rFonts w:cs="Arial"/>
          <w:snapToGrid w:val="0"/>
        </w:rPr>
        <w:t>Survey</w:t>
      </w:r>
      <w:r w:rsidR="004546CF" w:rsidRPr="00D3457C">
        <w:rPr>
          <w:rFonts w:cs="Arial"/>
          <w:snapToGrid w:val="0"/>
        </w:rPr>
        <w:t xml:space="preserve">s submitted </w:t>
      </w:r>
      <w:r w:rsidR="009F0A02" w:rsidRPr="00D3457C">
        <w:rPr>
          <w:rFonts w:cs="Arial"/>
          <w:snapToGrid w:val="0"/>
        </w:rPr>
        <w:t>by the</w:t>
      </w:r>
      <w:r w:rsidR="000E30E1" w:rsidRPr="00D3457C">
        <w:rPr>
          <w:rFonts w:cs="Arial"/>
          <w:snapToGrid w:val="0"/>
        </w:rPr>
        <w:t xml:space="preserve"> </w:t>
      </w:r>
      <w:r w:rsidR="00C06E0F">
        <w:rPr>
          <w:rFonts w:cs="Arial"/>
          <w:snapToGrid w:val="0"/>
        </w:rPr>
        <w:t>Ju</w:t>
      </w:r>
      <w:r w:rsidR="00977015">
        <w:rPr>
          <w:rFonts w:cs="Arial"/>
          <w:snapToGrid w:val="0"/>
        </w:rPr>
        <w:t>ne</w:t>
      </w:r>
      <w:r w:rsidR="00C06E0F">
        <w:rPr>
          <w:rFonts w:cs="Arial"/>
          <w:snapToGrid w:val="0"/>
        </w:rPr>
        <w:t xml:space="preserve"> 3</w:t>
      </w:r>
      <w:r w:rsidR="00977015">
        <w:rPr>
          <w:rFonts w:cs="Arial"/>
          <w:snapToGrid w:val="0"/>
        </w:rPr>
        <w:t>0</w:t>
      </w:r>
      <w:r w:rsidR="009F0A02" w:rsidRPr="00D3457C">
        <w:rPr>
          <w:rFonts w:cs="Arial"/>
          <w:snapToGrid w:val="0"/>
        </w:rPr>
        <w:t xml:space="preserve"> Submission Deadline</w:t>
      </w:r>
      <w:r w:rsidR="000E30E1" w:rsidRPr="00D3457C">
        <w:t xml:space="preserve"> </w:t>
      </w:r>
      <w:r w:rsidRPr="00D3457C">
        <w:rPr>
          <w:rFonts w:cs="Arial"/>
          <w:snapToGrid w:val="0"/>
        </w:rPr>
        <w:t>and monthly therea</w:t>
      </w:r>
      <w:r w:rsidR="004546CF" w:rsidRPr="00D3457C">
        <w:rPr>
          <w:rFonts w:cs="Arial"/>
          <w:snapToGrid w:val="0"/>
        </w:rPr>
        <w:t xml:space="preserve">fter until the </w:t>
      </w:r>
      <w:r w:rsidR="009F0A02" w:rsidRPr="00D3457C">
        <w:rPr>
          <w:rFonts w:cs="Arial"/>
          <w:snapToGrid w:val="0"/>
        </w:rPr>
        <w:t xml:space="preserve">Online </w:t>
      </w:r>
      <w:r w:rsidR="004546CF" w:rsidRPr="00D3457C">
        <w:rPr>
          <w:rFonts w:cs="Arial"/>
          <w:snapToGrid w:val="0"/>
        </w:rPr>
        <w:t xml:space="preserve">Survey </w:t>
      </w:r>
      <w:r w:rsidR="009F0A02" w:rsidRPr="00D3457C">
        <w:rPr>
          <w:rFonts w:cs="Arial"/>
          <w:snapToGrid w:val="0"/>
        </w:rPr>
        <w:t xml:space="preserve">Tool </w:t>
      </w:r>
      <w:r w:rsidR="004546CF" w:rsidRPr="00D3457C">
        <w:rPr>
          <w:rFonts w:cs="Arial"/>
          <w:snapToGrid w:val="0"/>
        </w:rPr>
        <w:t>is taken offline on January 31</w:t>
      </w:r>
      <w:r w:rsidR="00190470" w:rsidRPr="00D3457C">
        <w:rPr>
          <w:rFonts w:cs="Arial"/>
          <w:snapToGrid w:val="0"/>
        </w:rPr>
        <w:t xml:space="preserve">. </w:t>
      </w:r>
      <w:r w:rsidR="0069132C" w:rsidRPr="00D3457C">
        <w:rPr>
          <w:rFonts w:cs="Arial"/>
          <w:snapToGrid w:val="0"/>
        </w:rPr>
        <w:t xml:space="preserve">Following the </w:t>
      </w:r>
      <w:r w:rsidR="005140BE" w:rsidRPr="00D3457C">
        <w:rPr>
          <w:rFonts w:cs="Arial"/>
          <w:snapToGrid w:val="0"/>
        </w:rPr>
        <w:t>Extensive Monthly Data Verification</w:t>
      </w:r>
      <w:r w:rsidR="00190470" w:rsidRPr="00D3457C">
        <w:rPr>
          <w:rFonts w:cs="Arial"/>
          <w:snapToGrid w:val="0"/>
        </w:rPr>
        <w:t xml:space="preserve">, </w:t>
      </w:r>
      <w:r w:rsidR="009737FA" w:rsidRPr="00D3457C">
        <w:rPr>
          <w:rFonts w:cs="Arial"/>
          <w:snapToGrid w:val="0"/>
        </w:rPr>
        <w:t xml:space="preserve">the </w:t>
      </w:r>
      <w:r w:rsidR="00C14AFF" w:rsidRPr="00D3457C">
        <w:rPr>
          <w:rFonts w:cs="Arial"/>
          <w:b/>
          <w:snapToGrid w:val="0"/>
        </w:rPr>
        <w:t>Primary Survey Contact</w:t>
      </w:r>
      <w:r w:rsidR="000E30E1" w:rsidRPr="00D3457C">
        <w:rPr>
          <w:rFonts w:cs="Arial"/>
          <w:b/>
          <w:snapToGrid w:val="0"/>
        </w:rPr>
        <w:t>, Secondary Survey Contact,</w:t>
      </w:r>
      <w:r w:rsidR="009737FA" w:rsidRPr="00D3457C">
        <w:rPr>
          <w:rFonts w:cs="Arial"/>
          <w:b/>
          <w:snapToGrid w:val="0"/>
        </w:rPr>
        <w:t xml:space="preserve"> and System Contact</w:t>
      </w:r>
      <w:r w:rsidRPr="00D3457C">
        <w:rPr>
          <w:rFonts w:cs="Arial"/>
          <w:snapToGrid w:val="0"/>
        </w:rPr>
        <w:t xml:space="preserve"> are notified </w:t>
      </w:r>
      <w:r w:rsidR="00190470" w:rsidRPr="00D3457C">
        <w:rPr>
          <w:rFonts w:cs="Arial"/>
          <w:snapToGrid w:val="0"/>
        </w:rPr>
        <w:t xml:space="preserve">by email </w:t>
      </w:r>
      <w:r w:rsidRPr="00D3457C">
        <w:rPr>
          <w:rFonts w:cs="Arial"/>
          <w:snapToGrid w:val="0"/>
        </w:rPr>
        <w:t xml:space="preserve">of any </w:t>
      </w:r>
      <w:r w:rsidR="00C14AFF" w:rsidRPr="00D3457C">
        <w:rPr>
          <w:rFonts w:cs="Arial"/>
          <w:snapToGrid w:val="0"/>
        </w:rPr>
        <w:t>Survey</w:t>
      </w:r>
      <w:r w:rsidR="00C5108B" w:rsidRPr="00D3457C">
        <w:rPr>
          <w:rFonts w:cs="Arial"/>
          <w:snapToGrid w:val="0"/>
        </w:rPr>
        <w:t xml:space="preserve"> responses that</w:t>
      </w:r>
      <w:r w:rsidRPr="00D3457C">
        <w:rPr>
          <w:rFonts w:cs="Arial"/>
          <w:snapToGrid w:val="0"/>
        </w:rPr>
        <w:t xml:space="preserve"> need to</w:t>
      </w:r>
      <w:r w:rsidR="00190470" w:rsidRPr="00D3457C">
        <w:rPr>
          <w:rFonts w:cs="Arial"/>
          <w:snapToGrid w:val="0"/>
        </w:rPr>
        <w:t xml:space="preserve"> be</w:t>
      </w:r>
      <w:r w:rsidRPr="00D3457C">
        <w:rPr>
          <w:rFonts w:cs="Arial"/>
          <w:snapToGrid w:val="0"/>
        </w:rPr>
        <w:t xml:space="preserve"> review</w:t>
      </w:r>
      <w:r w:rsidR="00190470" w:rsidRPr="00D3457C">
        <w:rPr>
          <w:rFonts w:cs="Arial"/>
          <w:snapToGrid w:val="0"/>
        </w:rPr>
        <w:t>ed</w:t>
      </w:r>
      <w:r w:rsidRPr="00D3457C">
        <w:rPr>
          <w:rFonts w:cs="Arial"/>
          <w:snapToGrid w:val="0"/>
        </w:rPr>
        <w:t xml:space="preserve"> and</w:t>
      </w:r>
      <w:r w:rsidR="00190470" w:rsidRPr="00D3457C">
        <w:rPr>
          <w:rFonts w:cs="Arial"/>
          <w:snapToGrid w:val="0"/>
        </w:rPr>
        <w:t>/or</w:t>
      </w:r>
      <w:r w:rsidRPr="00D3457C">
        <w:rPr>
          <w:rFonts w:cs="Arial"/>
          <w:snapToGrid w:val="0"/>
        </w:rPr>
        <w:t xml:space="preserve"> update</w:t>
      </w:r>
      <w:r w:rsidR="00190470" w:rsidRPr="00D3457C">
        <w:rPr>
          <w:rFonts w:cs="Arial"/>
          <w:snapToGrid w:val="0"/>
        </w:rPr>
        <w:t>d by the hospital</w:t>
      </w:r>
      <w:r w:rsidR="004546CF" w:rsidRPr="00D3457C">
        <w:rPr>
          <w:rFonts w:cs="Arial"/>
          <w:snapToGrid w:val="0"/>
        </w:rPr>
        <w:t xml:space="preserve">. </w:t>
      </w:r>
    </w:p>
    <w:p w14:paraId="7FD0AC19" w14:textId="77777777" w:rsidR="000C7B09" w:rsidRPr="00D3457C" w:rsidRDefault="000C7B09" w:rsidP="00AC579B">
      <w:pPr>
        <w:rPr>
          <w:rFonts w:cs="Arial"/>
          <w:snapToGrid w:val="0"/>
        </w:rPr>
      </w:pPr>
    </w:p>
    <w:p w14:paraId="036742DB" w14:textId="2B0CE000" w:rsidR="00AC579B" w:rsidRPr="00D3457C" w:rsidRDefault="00C22E49" w:rsidP="004546CF">
      <w:pPr>
        <w:rPr>
          <w:rFonts w:cs="Arial"/>
          <w:snapToGrid w:val="0"/>
        </w:rPr>
      </w:pPr>
      <w:r w:rsidRPr="00D3457C">
        <w:rPr>
          <w:rFonts w:cs="Arial"/>
          <w:snapToGrid w:val="0"/>
        </w:rPr>
        <w:t>If you</w:t>
      </w:r>
      <w:r w:rsidR="00AC579B" w:rsidRPr="00D3457C">
        <w:rPr>
          <w:rFonts w:cs="Arial"/>
          <w:snapToGrid w:val="0"/>
        </w:rPr>
        <w:t xml:space="preserve"> </w:t>
      </w:r>
      <w:r w:rsidR="00184370" w:rsidRPr="00D3457C">
        <w:rPr>
          <w:rFonts w:cs="Arial"/>
          <w:snapToGrid w:val="0"/>
        </w:rPr>
        <w:t xml:space="preserve">receive a </w:t>
      </w:r>
      <w:r w:rsidR="009F0A02" w:rsidRPr="00D3457C">
        <w:rPr>
          <w:rFonts w:cs="Arial"/>
          <w:snapToGrid w:val="0"/>
        </w:rPr>
        <w:t>Data Verification</w:t>
      </w:r>
      <w:r w:rsidR="00184370" w:rsidRPr="00D3457C">
        <w:rPr>
          <w:rFonts w:cs="Arial"/>
          <w:snapToGrid w:val="0"/>
        </w:rPr>
        <w:t xml:space="preserve"> email</w:t>
      </w:r>
      <w:r w:rsidRPr="00D3457C">
        <w:rPr>
          <w:rFonts w:cs="Arial"/>
          <w:snapToGrid w:val="0"/>
        </w:rPr>
        <w:t>, you</w:t>
      </w:r>
      <w:r w:rsidR="00184370" w:rsidRPr="00D3457C">
        <w:rPr>
          <w:rFonts w:cs="Arial"/>
          <w:snapToGrid w:val="0"/>
        </w:rPr>
        <w:t xml:space="preserve"> are required to </w:t>
      </w:r>
      <w:r w:rsidR="004546CF" w:rsidRPr="00D3457C">
        <w:rPr>
          <w:rFonts w:cs="Arial"/>
          <w:snapToGrid w:val="0"/>
        </w:rPr>
        <w:t xml:space="preserve">document that your original responses were correct or </w:t>
      </w:r>
      <w:r w:rsidR="00184370" w:rsidRPr="00D3457C">
        <w:rPr>
          <w:rFonts w:cs="Arial"/>
          <w:snapToGrid w:val="0"/>
        </w:rPr>
        <w:t>upda</w:t>
      </w:r>
      <w:r w:rsidR="00320C18" w:rsidRPr="00D3457C">
        <w:rPr>
          <w:rFonts w:cs="Arial"/>
          <w:snapToGrid w:val="0"/>
        </w:rPr>
        <w:t>te/correct your</w:t>
      </w:r>
      <w:r w:rsidR="00AC579B" w:rsidRPr="00D3457C">
        <w:rPr>
          <w:rFonts w:cs="Arial"/>
          <w:snapToGrid w:val="0"/>
        </w:rPr>
        <w:t xml:space="preserve"> previously submitted Leapfrog Hospital </w:t>
      </w:r>
      <w:r w:rsidR="00C14AFF" w:rsidRPr="00D3457C">
        <w:rPr>
          <w:rFonts w:cs="Arial"/>
          <w:snapToGrid w:val="0"/>
        </w:rPr>
        <w:t>Survey</w:t>
      </w:r>
      <w:r w:rsidR="00320C18" w:rsidRPr="00D3457C">
        <w:rPr>
          <w:rFonts w:cs="Arial"/>
          <w:snapToGrid w:val="0"/>
        </w:rPr>
        <w:t xml:space="preserve"> by the end of the </w:t>
      </w:r>
      <w:r w:rsidR="003058E0">
        <w:rPr>
          <w:rFonts w:cs="Arial"/>
          <w:snapToGrid w:val="0"/>
        </w:rPr>
        <w:t xml:space="preserve">same </w:t>
      </w:r>
      <w:r w:rsidR="00320C18" w:rsidRPr="00D3457C">
        <w:rPr>
          <w:rFonts w:cs="Arial"/>
          <w:snapToGrid w:val="0"/>
        </w:rPr>
        <w:t>month</w:t>
      </w:r>
      <w:r w:rsidR="00AC579B" w:rsidRPr="00D3457C">
        <w:rPr>
          <w:rFonts w:cs="Arial"/>
          <w:snapToGrid w:val="0"/>
        </w:rPr>
        <w:t xml:space="preserve"> </w:t>
      </w:r>
      <w:r w:rsidR="00184370" w:rsidRPr="00D3457C">
        <w:rPr>
          <w:rFonts w:cs="Arial"/>
          <w:snapToGrid w:val="0"/>
        </w:rPr>
        <w:t>using</w:t>
      </w:r>
      <w:r w:rsidR="004546CF" w:rsidRPr="00D3457C">
        <w:rPr>
          <w:rFonts w:cs="Arial"/>
          <w:snapToGrid w:val="0"/>
        </w:rPr>
        <w:t xml:space="preserve"> t</w:t>
      </w:r>
      <w:r w:rsidR="00AC579B" w:rsidRPr="00D3457C">
        <w:rPr>
          <w:rFonts w:cs="Arial"/>
          <w:snapToGrid w:val="0"/>
        </w:rPr>
        <w:t xml:space="preserve">he </w:t>
      </w:r>
      <w:r w:rsidR="004546CF" w:rsidRPr="00D3457C">
        <w:rPr>
          <w:rFonts w:cs="Arial"/>
          <w:b/>
          <w:snapToGrid w:val="0"/>
        </w:rPr>
        <w:t>original</w:t>
      </w:r>
      <w:r w:rsidR="00AC579B" w:rsidRPr="00D3457C">
        <w:rPr>
          <w:rFonts w:cs="Arial"/>
          <w:snapToGrid w:val="0"/>
        </w:rPr>
        <w:t xml:space="preserve"> reporting period </w:t>
      </w:r>
      <w:r w:rsidR="00184370" w:rsidRPr="00D3457C">
        <w:rPr>
          <w:rFonts w:cs="Arial"/>
          <w:snapToGrid w:val="0"/>
        </w:rPr>
        <w:t xml:space="preserve">that was </w:t>
      </w:r>
      <w:r w:rsidR="00AC579B" w:rsidRPr="00D3457C">
        <w:rPr>
          <w:rFonts w:cs="Arial"/>
          <w:snapToGrid w:val="0"/>
        </w:rPr>
        <w:t>u</w:t>
      </w:r>
      <w:r w:rsidR="00184370" w:rsidRPr="00D3457C">
        <w:rPr>
          <w:rFonts w:cs="Arial"/>
          <w:snapToGrid w:val="0"/>
        </w:rPr>
        <w:t>sed for that section</w:t>
      </w:r>
      <w:r w:rsidR="004B276B" w:rsidRPr="00D3457C">
        <w:rPr>
          <w:rFonts w:cs="Arial"/>
          <w:snapToGrid w:val="0"/>
        </w:rPr>
        <w:t xml:space="preserve"> of the </w:t>
      </w:r>
      <w:r w:rsidR="00C14AFF" w:rsidRPr="00D3457C">
        <w:rPr>
          <w:rFonts w:cs="Arial"/>
          <w:snapToGrid w:val="0"/>
        </w:rPr>
        <w:t>Survey</w:t>
      </w:r>
      <w:r w:rsidR="00211D8D" w:rsidRPr="00D3457C">
        <w:rPr>
          <w:rFonts w:cs="Arial"/>
          <w:snapToGrid w:val="0"/>
        </w:rPr>
        <w:t xml:space="preserve"> in</w:t>
      </w:r>
      <w:r w:rsidR="00184370" w:rsidRPr="00D3457C">
        <w:rPr>
          <w:rFonts w:cs="Arial"/>
          <w:snapToGrid w:val="0"/>
        </w:rPr>
        <w:t xml:space="preserve"> the original submission. For example, if a hospital submitted a </w:t>
      </w:r>
      <w:r w:rsidR="00C14AFF" w:rsidRPr="00D3457C">
        <w:rPr>
          <w:rFonts w:cs="Arial"/>
          <w:snapToGrid w:val="0"/>
        </w:rPr>
        <w:t>Survey</w:t>
      </w:r>
      <w:r w:rsidR="00184370" w:rsidRPr="00D3457C">
        <w:rPr>
          <w:rFonts w:cs="Arial"/>
          <w:snapToGrid w:val="0"/>
        </w:rPr>
        <w:t xml:space="preserve"> for the first time on August 2</w:t>
      </w:r>
      <w:r w:rsidR="00647BB9">
        <w:rPr>
          <w:rFonts w:cs="Arial"/>
          <w:snapToGrid w:val="0"/>
        </w:rPr>
        <w:t>0</w:t>
      </w:r>
      <w:r w:rsidR="0030732F">
        <w:rPr>
          <w:rFonts w:cs="Arial"/>
          <w:snapToGrid w:val="0"/>
        </w:rPr>
        <w:t>,</w:t>
      </w:r>
      <w:r w:rsidR="00184370" w:rsidRPr="00D3457C">
        <w:rPr>
          <w:rFonts w:cs="Arial"/>
          <w:snapToGrid w:val="0"/>
        </w:rPr>
        <w:t xml:space="preserve"> then received a </w:t>
      </w:r>
      <w:r w:rsidR="009F0A02" w:rsidRPr="00D3457C">
        <w:rPr>
          <w:rFonts w:cs="Arial"/>
          <w:snapToGrid w:val="0"/>
        </w:rPr>
        <w:t>Data Verification email</w:t>
      </w:r>
      <w:r w:rsidR="00184370" w:rsidRPr="00D3457C">
        <w:rPr>
          <w:rFonts w:cs="Arial"/>
          <w:snapToGrid w:val="0"/>
        </w:rPr>
        <w:t xml:space="preserve"> at the beginning of September, they would update their responses based on the reporting period used in the August 20</w:t>
      </w:r>
      <w:r w:rsidR="00460E9D" w:rsidRPr="00D3457C">
        <w:rPr>
          <w:rFonts w:cs="Arial"/>
          <w:snapToGrid w:val="0"/>
        </w:rPr>
        <w:t xml:space="preserve"> </w:t>
      </w:r>
      <w:r w:rsidR="00184370" w:rsidRPr="00D3457C">
        <w:rPr>
          <w:rFonts w:cs="Arial"/>
          <w:snapToGrid w:val="0"/>
        </w:rPr>
        <w:t xml:space="preserve">submission. </w:t>
      </w:r>
    </w:p>
    <w:p w14:paraId="2B7C8422" w14:textId="77777777" w:rsidR="004546CF" w:rsidRPr="00D3457C" w:rsidRDefault="004546CF" w:rsidP="004546CF">
      <w:pPr>
        <w:rPr>
          <w:rFonts w:cs="Arial"/>
          <w:snapToGrid w:val="0"/>
        </w:rPr>
      </w:pPr>
    </w:p>
    <w:p w14:paraId="62E5C525" w14:textId="6E93D459" w:rsidR="004546CF" w:rsidRPr="00D3457C" w:rsidRDefault="004546CF" w:rsidP="004546CF">
      <w:pPr>
        <w:rPr>
          <w:rFonts w:cs="Arial"/>
          <w:snapToGrid w:val="0"/>
        </w:rPr>
      </w:pPr>
      <w:r w:rsidRPr="00D3457C">
        <w:rPr>
          <w:rFonts w:cs="Arial"/>
          <w:snapToGrid w:val="0"/>
        </w:rPr>
        <w:t xml:space="preserve">Hospitals that receive a </w:t>
      </w:r>
      <w:hyperlink r:id="rId65" w:history="1">
        <w:r w:rsidRPr="00D3457C">
          <w:rPr>
            <w:rStyle w:val="Hyperlink"/>
            <w:rFonts w:cs="Arial"/>
            <w:snapToGrid w:val="0"/>
          </w:rPr>
          <w:t>Category A</w:t>
        </w:r>
      </w:hyperlink>
      <w:r w:rsidR="00211D8D" w:rsidRPr="00D3457C">
        <w:rPr>
          <w:rFonts w:cs="Arial"/>
          <w:snapToGrid w:val="0"/>
        </w:rPr>
        <w:t xml:space="preserve"> </w:t>
      </w:r>
      <w:r w:rsidR="009F0A02" w:rsidRPr="00D3457C">
        <w:rPr>
          <w:rFonts w:cs="Arial"/>
          <w:snapToGrid w:val="0"/>
        </w:rPr>
        <w:t xml:space="preserve">Data Verification </w:t>
      </w:r>
      <w:r w:rsidRPr="00D3457C">
        <w:rPr>
          <w:rFonts w:cs="Arial"/>
          <w:snapToGrid w:val="0"/>
        </w:rPr>
        <w:t xml:space="preserve">message at the beginning of the month for any measure will have until the end of that same month to </w:t>
      </w:r>
      <w:r w:rsidR="00B3560A" w:rsidRPr="00D3457C">
        <w:rPr>
          <w:rFonts w:cs="Arial"/>
          <w:snapToGrid w:val="0"/>
        </w:rPr>
        <w:t xml:space="preserve">contact the </w:t>
      </w:r>
      <w:hyperlink r:id="rId66" w:history="1">
        <w:r w:rsidR="00B3560A" w:rsidRPr="00D3457C">
          <w:rPr>
            <w:rStyle w:val="Hyperlink"/>
            <w:rFonts w:cs="Arial"/>
            <w:snapToGrid w:val="0"/>
          </w:rPr>
          <w:t>Help Desk</w:t>
        </w:r>
      </w:hyperlink>
      <w:r w:rsidR="00B3560A" w:rsidRPr="00D3457C">
        <w:rPr>
          <w:rFonts w:cs="Arial"/>
          <w:snapToGrid w:val="0"/>
        </w:rPr>
        <w:t xml:space="preserve"> to </w:t>
      </w:r>
      <w:r w:rsidRPr="00D3457C">
        <w:rPr>
          <w:rFonts w:cs="Arial"/>
          <w:snapToGrid w:val="0"/>
        </w:rPr>
        <w:t xml:space="preserve">either (1) document that the original response was correct or (2) correct the data entry or reporting error, or they will be publicly reported as “Pending Leapfrog Verification” for that measure. This term is used to indicate that the hospital has self-reported </w:t>
      </w:r>
      <w:r w:rsidR="002107B9">
        <w:rPr>
          <w:rFonts w:cs="Arial"/>
          <w:snapToGrid w:val="0"/>
        </w:rPr>
        <w:t>S</w:t>
      </w:r>
      <w:r w:rsidRPr="00D3457C">
        <w:rPr>
          <w:rFonts w:cs="Arial"/>
          <w:snapToGrid w:val="0"/>
        </w:rPr>
        <w:t>urvey responses that are under further review by Leapfrog.</w:t>
      </w:r>
    </w:p>
    <w:p w14:paraId="23C91082" w14:textId="77777777" w:rsidR="004546CF" w:rsidRPr="00D3457C" w:rsidRDefault="004546CF" w:rsidP="004546CF">
      <w:pPr>
        <w:rPr>
          <w:rFonts w:cs="Arial"/>
          <w:snapToGrid w:val="0"/>
        </w:rPr>
      </w:pPr>
    </w:p>
    <w:p w14:paraId="738B0C90" w14:textId="7288B80F" w:rsidR="004546CF" w:rsidRDefault="004546CF" w:rsidP="004546CF">
      <w:pPr>
        <w:rPr>
          <w:rFonts w:cs="Arial"/>
          <w:snapToGrid w:val="0"/>
        </w:rPr>
      </w:pPr>
      <w:r w:rsidRPr="00D3457C">
        <w:rPr>
          <w:rFonts w:cs="Arial"/>
          <w:snapToGrid w:val="0"/>
        </w:rPr>
        <w:t xml:space="preserve">If any Category A </w:t>
      </w:r>
      <w:r w:rsidR="009F0A02" w:rsidRPr="00D3457C">
        <w:rPr>
          <w:rFonts w:cs="Arial"/>
          <w:snapToGrid w:val="0"/>
        </w:rPr>
        <w:t>Data Verification</w:t>
      </w:r>
      <w:r w:rsidRPr="00D3457C">
        <w:rPr>
          <w:rFonts w:cs="Arial"/>
          <w:snapToGrid w:val="0"/>
        </w:rPr>
        <w:t xml:space="preserve"> messages are not resolved by January 31 (when the Online Hospital Survey Tool is taken offline), </w:t>
      </w:r>
      <w:r w:rsidR="00F220B6">
        <w:rPr>
          <w:rFonts w:cs="Arial"/>
          <w:snapToGrid w:val="0"/>
        </w:rPr>
        <w:t xml:space="preserve">the entire Survey will be </w:t>
      </w:r>
      <w:r w:rsidR="002107B9">
        <w:rPr>
          <w:rFonts w:cs="Arial"/>
          <w:snapToGrid w:val="0"/>
        </w:rPr>
        <w:t>decertified,</w:t>
      </w:r>
      <w:r w:rsidR="00F220B6">
        <w:rPr>
          <w:rFonts w:cs="Arial"/>
          <w:snapToGrid w:val="0"/>
        </w:rPr>
        <w:t xml:space="preserve"> and </w:t>
      </w:r>
      <w:r w:rsidRPr="00D3457C">
        <w:rPr>
          <w:rFonts w:cs="Arial"/>
          <w:snapToGrid w:val="0"/>
        </w:rPr>
        <w:t xml:space="preserve">the </w:t>
      </w:r>
      <w:r w:rsidR="00D43442">
        <w:rPr>
          <w:rFonts w:cs="Arial"/>
          <w:snapToGrid w:val="0"/>
        </w:rPr>
        <w:t>hospital will be publicly reported as “Declined to Re</w:t>
      </w:r>
      <w:r w:rsidR="00B6054B">
        <w:rPr>
          <w:rFonts w:cs="Arial"/>
          <w:snapToGrid w:val="0"/>
        </w:rPr>
        <w:t>port</w:t>
      </w:r>
      <w:r w:rsidR="00D43442">
        <w:rPr>
          <w:rFonts w:cs="Arial"/>
          <w:snapToGrid w:val="0"/>
        </w:rPr>
        <w:t>” for the entire Leapfrog Hospital Survey.</w:t>
      </w:r>
    </w:p>
    <w:p w14:paraId="6C620AFD" w14:textId="09C204F7" w:rsidR="006A6453" w:rsidRDefault="006A6453" w:rsidP="004546CF">
      <w:pPr>
        <w:rPr>
          <w:rFonts w:cs="Arial"/>
          <w:snapToGrid w:val="0"/>
        </w:rPr>
      </w:pPr>
    </w:p>
    <w:p w14:paraId="73453AA3" w14:textId="7E6BB644" w:rsidR="006A6453" w:rsidRPr="00D3457C" w:rsidRDefault="006A6453" w:rsidP="00AB5B80">
      <w:pPr>
        <w:pStyle w:val="Heading3"/>
      </w:pPr>
      <w:bookmarkStart w:id="36" w:name="_Toc225877645"/>
      <w:r>
        <w:t xml:space="preserve">Updating a Survey </w:t>
      </w:r>
      <w:r w:rsidR="00755915">
        <w:t>F</w:t>
      </w:r>
      <w:r>
        <w:t>ollowing On-Site Data Verification</w:t>
      </w:r>
      <w:bookmarkEnd w:id="36"/>
    </w:p>
    <w:p w14:paraId="386DD923" w14:textId="77777777" w:rsidR="00CF1881" w:rsidRPr="00D3457C" w:rsidRDefault="00CF1881" w:rsidP="00CF1881">
      <w:pPr>
        <w:rPr>
          <w:rFonts w:cs="Arial"/>
          <w:snapToGrid w:val="0"/>
        </w:rPr>
      </w:pPr>
    </w:p>
    <w:p w14:paraId="692FF20C" w14:textId="525A2513" w:rsidR="00CF1881" w:rsidRPr="00D3457C" w:rsidRDefault="00A008D1" w:rsidP="00CF1881">
      <w:pPr>
        <w:rPr>
          <w:rFonts w:cs="Arial"/>
          <w:snapToGrid w:val="0"/>
        </w:rPr>
      </w:pPr>
      <w:r w:rsidRPr="00D3457C">
        <w:rPr>
          <w:rFonts w:cs="Arial"/>
          <w:snapToGrid w:val="0"/>
        </w:rPr>
        <w:t xml:space="preserve">Hospitals that are selected for </w:t>
      </w:r>
      <w:r w:rsidR="009F0A02" w:rsidRPr="00D3457C">
        <w:rPr>
          <w:rFonts w:cs="Arial"/>
          <w:snapToGrid w:val="0"/>
        </w:rPr>
        <w:t>O</w:t>
      </w:r>
      <w:r w:rsidRPr="00D3457C">
        <w:rPr>
          <w:rFonts w:cs="Arial"/>
          <w:snapToGrid w:val="0"/>
        </w:rPr>
        <w:t>n-</w:t>
      </w:r>
      <w:r w:rsidR="009F0A02" w:rsidRPr="00D3457C">
        <w:rPr>
          <w:rFonts w:cs="Arial"/>
          <w:snapToGrid w:val="0"/>
        </w:rPr>
        <w:t>S</w:t>
      </w:r>
      <w:r w:rsidRPr="00D3457C">
        <w:rPr>
          <w:rFonts w:cs="Arial"/>
          <w:snapToGrid w:val="0"/>
        </w:rPr>
        <w:t xml:space="preserve">ite </w:t>
      </w:r>
      <w:r w:rsidR="009F0A02" w:rsidRPr="00D3457C">
        <w:rPr>
          <w:rFonts w:cs="Arial"/>
          <w:snapToGrid w:val="0"/>
        </w:rPr>
        <w:t>D</w:t>
      </w:r>
      <w:r w:rsidRPr="00D3457C">
        <w:rPr>
          <w:rFonts w:cs="Arial"/>
          <w:snapToGrid w:val="0"/>
        </w:rPr>
        <w:t xml:space="preserve">ata </w:t>
      </w:r>
      <w:r w:rsidR="009F0A02" w:rsidRPr="00D3457C">
        <w:rPr>
          <w:rFonts w:cs="Arial"/>
          <w:snapToGrid w:val="0"/>
        </w:rPr>
        <w:t>V</w:t>
      </w:r>
      <w:r w:rsidRPr="00D3457C">
        <w:rPr>
          <w:rFonts w:cs="Arial"/>
          <w:snapToGrid w:val="0"/>
        </w:rPr>
        <w:t>erification</w:t>
      </w:r>
      <w:r w:rsidR="00302F59" w:rsidRPr="00D3457C">
        <w:rPr>
          <w:rFonts w:cs="Arial"/>
          <w:snapToGrid w:val="0"/>
        </w:rPr>
        <w:t xml:space="preserve"> will receive a findings report</w:t>
      </w:r>
      <w:r w:rsidR="00965750">
        <w:rPr>
          <w:rFonts w:cs="Arial"/>
          <w:snapToGrid w:val="0"/>
        </w:rPr>
        <w:t xml:space="preserve">. </w:t>
      </w:r>
      <w:r w:rsidR="00302F59" w:rsidRPr="00D3457C">
        <w:rPr>
          <w:rFonts w:cs="Arial"/>
          <w:snapToGrid w:val="0"/>
        </w:rPr>
        <w:t>If the finding</w:t>
      </w:r>
      <w:r w:rsidRPr="00D3457C">
        <w:rPr>
          <w:rFonts w:cs="Arial"/>
          <w:snapToGrid w:val="0"/>
        </w:rPr>
        <w:t>s</w:t>
      </w:r>
      <w:r w:rsidR="00302F59" w:rsidRPr="00D3457C">
        <w:rPr>
          <w:rFonts w:cs="Arial"/>
          <w:snapToGrid w:val="0"/>
        </w:rPr>
        <w:t xml:space="preserve"> report details any responses that need to be updated or corrected, </w:t>
      </w:r>
      <w:r w:rsidR="00CF1881" w:rsidRPr="00D3457C">
        <w:rPr>
          <w:rFonts w:cs="Arial"/>
          <w:snapToGrid w:val="0"/>
        </w:rPr>
        <w:t xml:space="preserve">please contact the </w:t>
      </w:r>
      <w:hyperlink r:id="rId67" w:history="1">
        <w:r w:rsidR="00CF1881" w:rsidRPr="00D3457C">
          <w:rPr>
            <w:rStyle w:val="Hyperlink"/>
            <w:rFonts w:cs="Arial"/>
            <w:snapToGrid w:val="0"/>
          </w:rPr>
          <w:t>Help Desk</w:t>
        </w:r>
      </w:hyperlink>
      <w:r w:rsidR="00020513" w:rsidRPr="00D3457C">
        <w:rPr>
          <w:rFonts w:cs="Arial"/>
          <w:snapToGrid w:val="0"/>
        </w:rPr>
        <w:t>.</w:t>
      </w:r>
    </w:p>
    <w:p w14:paraId="6F65AA7F" w14:textId="77777777" w:rsidR="00456A42" w:rsidRPr="00AB037D" w:rsidRDefault="00456A42" w:rsidP="00161AD6">
      <w:pPr>
        <w:pStyle w:val="Heading44"/>
        <w:rPr>
          <w:rFonts w:cs="Arial"/>
          <w:snapToGrid w:val="0"/>
          <w:sz w:val="20"/>
        </w:rPr>
      </w:pPr>
    </w:p>
    <w:p w14:paraId="1DB15A0A" w14:textId="77777777" w:rsidR="00AB037D" w:rsidRDefault="00AB037D">
      <w:pPr>
        <w:rPr>
          <w:rFonts w:cs="Arial"/>
          <w:b/>
          <w:i/>
          <w:snapToGrid w:val="0"/>
          <w:sz w:val="22"/>
          <w:szCs w:val="22"/>
          <w:lang w:eastAsia="ja-JP"/>
        </w:rPr>
      </w:pPr>
      <w:r>
        <w:br w:type="page"/>
      </w:r>
    </w:p>
    <w:p w14:paraId="2A4AB8CF" w14:textId="648A0366" w:rsidR="00AC579B" w:rsidRPr="00D3457C" w:rsidRDefault="001D5038" w:rsidP="00AB5B80">
      <w:pPr>
        <w:pStyle w:val="Heading3"/>
      </w:pPr>
      <w:bookmarkStart w:id="37" w:name="_Toc225877646"/>
      <w:r w:rsidRPr="00D3457C">
        <w:lastRenderedPageBreak/>
        <w:t xml:space="preserve">Making </w:t>
      </w:r>
      <w:r w:rsidR="00AC579B" w:rsidRPr="00D3457C">
        <w:t>General Updates</w:t>
      </w:r>
      <w:r w:rsidR="002C7A5F" w:rsidRPr="00D3457C">
        <w:t xml:space="preserve"> (for hospitals that have not rec</w:t>
      </w:r>
      <w:r w:rsidR="00456A42" w:rsidRPr="00D3457C">
        <w:t xml:space="preserve">eived a Help Desk </w:t>
      </w:r>
      <w:r w:rsidR="0070426E">
        <w:t>e</w:t>
      </w:r>
      <w:r w:rsidR="00456A42" w:rsidRPr="00D3457C">
        <w:t>mail</w:t>
      </w:r>
      <w:r w:rsidR="002C7A5F" w:rsidRPr="00D3457C">
        <w:t>)</w:t>
      </w:r>
      <w:bookmarkEnd w:id="37"/>
    </w:p>
    <w:p w14:paraId="433E54FE" w14:textId="77777777" w:rsidR="00DE6E30" w:rsidRPr="00D3457C" w:rsidRDefault="00DE6E30" w:rsidP="00AC579B">
      <w:pPr>
        <w:rPr>
          <w:rFonts w:cs="Arial"/>
          <w:snapToGrid w:val="0"/>
        </w:rPr>
      </w:pPr>
    </w:p>
    <w:p w14:paraId="2DD8DD9A" w14:textId="603767F3" w:rsidR="008008B4" w:rsidRPr="00D3457C" w:rsidRDefault="004546CF" w:rsidP="00AC579B">
      <w:pPr>
        <w:rPr>
          <w:rFonts w:cs="Arial"/>
          <w:snapToGrid w:val="0"/>
        </w:rPr>
      </w:pPr>
      <w:r w:rsidRPr="00D3457C">
        <w:rPr>
          <w:rFonts w:cs="Arial"/>
          <w:snapToGrid w:val="0"/>
        </w:rPr>
        <w:t>Leapfrog offers</w:t>
      </w:r>
      <w:r w:rsidR="00AC579B" w:rsidRPr="00D3457C">
        <w:rPr>
          <w:rFonts w:cs="Arial"/>
          <w:snapToGrid w:val="0"/>
        </w:rPr>
        <w:t xml:space="preserve"> hospitals </w:t>
      </w:r>
      <w:r w:rsidR="0069132C" w:rsidRPr="00D3457C">
        <w:rPr>
          <w:rFonts w:cs="Arial"/>
          <w:snapToGrid w:val="0"/>
        </w:rPr>
        <w:t>multiple</w:t>
      </w:r>
      <w:r w:rsidR="00AC579B" w:rsidRPr="00D3457C">
        <w:rPr>
          <w:rFonts w:cs="Arial"/>
          <w:snapToGrid w:val="0"/>
        </w:rPr>
        <w:t xml:space="preserve"> reporting periods so that </w:t>
      </w:r>
      <w:r w:rsidRPr="00D3457C">
        <w:rPr>
          <w:rFonts w:cs="Arial"/>
          <w:snapToGrid w:val="0"/>
        </w:rPr>
        <w:t xml:space="preserve">they </w:t>
      </w:r>
      <w:r w:rsidR="0030732F" w:rsidRPr="00D3457C">
        <w:rPr>
          <w:rFonts w:cs="Arial"/>
          <w:snapToGrid w:val="0"/>
        </w:rPr>
        <w:t>can</w:t>
      </w:r>
      <w:r w:rsidR="00AC579B" w:rsidRPr="00D3457C">
        <w:rPr>
          <w:rFonts w:cs="Arial"/>
          <w:snapToGrid w:val="0"/>
        </w:rPr>
        <w:t xml:space="preserve"> report the most current data. </w:t>
      </w:r>
      <w:bookmarkStart w:id="38" w:name="_Hlk35513601"/>
      <w:r w:rsidR="0030732F" w:rsidRPr="00034A1F">
        <w:rPr>
          <w:rFonts w:cs="Arial"/>
          <w:snapToGrid w:val="0"/>
        </w:rPr>
        <w:t>Except for</w:t>
      </w:r>
      <w:r w:rsidR="00034A1F" w:rsidRPr="00034A1F">
        <w:rPr>
          <w:rFonts w:cs="Arial"/>
          <w:snapToGrid w:val="0"/>
        </w:rPr>
        <w:t xml:space="preserve"> </w:t>
      </w:r>
      <w:r w:rsidR="00B93E94">
        <w:rPr>
          <w:rFonts w:cs="Arial"/>
          <w:snapToGrid w:val="0"/>
        </w:rPr>
        <w:t>Section 4</w:t>
      </w:r>
      <w:r w:rsidR="0016658F">
        <w:rPr>
          <w:rFonts w:cs="Arial"/>
          <w:snapToGrid w:val="0"/>
        </w:rPr>
        <w:t>E</w:t>
      </w:r>
      <w:r w:rsidR="00F220B6">
        <w:rPr>
          <w:rFonts w:cs="Arial"/>
          <w:snapToGrid w:val="0"/>
        </w:rPr>
        <w:t>:</w:t>
      </w:r>
      <w:r w:rsidR="00B93E94">
        <w:rPr>
          <w:rFonts w:cs="Arial"/>
          <w:snapToGrid w:val="0"/>
        </w:rPr>
        <w:t xml:space="preserve"> High-Risk Deliveries (VON data only)</w:t>
      </w:r>
      <w:r w:rsidR="00485C62">
        <w:rPr>
          <w:rFonts w:cs="Arial"/>
          <w:snapToGrid w:val="0"/>
        </w:rPr>
        <w:t xml:space="preserve">, </w:t>
      </w:r>
      <w:r w:rsidR="00034A1F" w:rsidRPr="00034A1F">
        <w:rPr>
          <w:rFonts w:cs="Arial"/>
          <w:snapToGrid w:val="0"/>
        </w:rPr>
        <w:t>Section 7B</w:t>
      </w:r>
      <w:r w:rsidR="00F220B6">
        <w:rPr>
          <w:rFonts w:cs="Arial"/>
          <w:snapToGrid w:val="0"/>
        </w:rPr>
        <w:t>:</w:t>
      </w:r>
      <w:r w:rsidR="00034A1F" w:rsidRPr="00034A1F">
        <w:rPr>
          <w:rFonts w:cs="Arial"/>
          <w:snapToGrid w:val="0"/>
        </w:rPr>
        <w:t xml:space="preserve"> Healthcare-Associated Infections</w:t>
      </w:r>
      <w:r w:rsidR="00485C62">
        <w:rPr>
          <w:rFonts w:cs="Arial"/>
          <w:snapToGrid w:val="0"/>
        </w:rPr>
        <w:t xml:space="preserve">, and Section </w:t>
      </w:r>
      <w:r w:rsidR="001243C9">
        <w:rPr>
          <w:rFonts w:cs="Arial"/>
          <w:snapToGrid w:val="0"/>
        </w:rPr>
        <w:t>9</w:t>
      </w:r>
      <w:r w:rsidR="00910ACB">
        <w:rPr>
          <w:rFonts w:cs="Arial"/>
          <w:snapToGrid w:val="0"/>
        </w:rPr>
        <w:t>F</w:t>
      </w:r>
      <w:r w:rsidR="00F220B6">
        <w:rPr>
          <w:rFonts w:cs="Arial"/>
          <w:snapToGrid w:val="0"/>
        </w:rPr>
        <w:t>:</w:t>
      </w:r>
      <w:r w:rsidR="00485C62">
        <w:rPr>
          <w:rFonts w:cs="Arial"/>
          <w:snapToGrid w:val="0"/>
        </w:rPr>
        <w:t xml:space="preserve"> </w:t>
      </w:r>
      <w:r w:rsidR="00910ACB">
        <w:rPr>
          <w:rFonts w:cs="Arial"/>
          <w:snapToGrid w:val="0"/>
        </w:rPr>
        <w:t>CMS Measures</w:t>
      </w:r>
      <w:r w:rsidR="00034A1F">
        <w:rPr>
          <w:rFonts w:cs="Arial"/>
          <w:snapToGrid w:val="0"/>
        </w:rPr>
        <w:t>,</w:t>
      </w:r>
      <w:r w:rsidR="00034A1F" w:rsidRPr="00034A1F">
        <w:rPr>
          <w:rFonts w:cs="Arial"/>
          <w:snapToGrid w:val="0"/>
        </w:rPr>
        <w:t xml:space="preserve"> </w:t>
      </w:r>
      <w:r w:rsidR="00034A1F">
        <w:rPr>
          <w:rFonts w:cs="Arial"/>
          <w:snapToGrid w:val="0"/>
        </w:rPr>
        <w:t>u</w:t>
      </w:r>
      <w:r w:rsidR="00AC579B" w:rsidRPr="00D3457C">
        <w:rPr>
          <w:rFonts w:cs="Arial"/>
          <w:snapToGrid w:val="0"/>
        </w:rPr>
        <w:t xml:space="preserve">pdating a </w:t>
      </w:r>
      <w:r w:rsidR="00C14AFF" w:rsidRPr="00D3457C">
        <w:rPr>
          <w:rFonts w:cs="Arial"/>
          <w:snapToGrid w:val="0"/>
        </w:rPr>
        <w:t>Survey</w:t>
      </w:r>
      <w:r w:rsidR="00AC579B" w:rsidRPr="00D3457C">
        <w:rPr>
          <w:rFonts w:cs="Arial"/>
          <w:snapToGrid w:val="0"/>
        </w:rPr>
        <w:t xml:space="preserve"> is opt</w:t>
      </w:r>
      <w:r w:rsidR="002C7A5F" w:rsidRPr="00D3457C">
        <w:rPr>
          <w:rFonts w:cs="Arial"/>
          <w:snapToGrid w:val="0"/>
        </w:rPr>
        <w:t>ional</w:t>
      </w:r>
      <w:bookmarkEnd w:id="38"/>
      <w:r w:rsidR="009B0FE1">
        <w:rPr>
          <w:rFonts w:cs="Arial"/>
          <w:snapToGrid w:val="0"/>
        </w:rPr>
        <w:t>. H</w:t>
      </w:r>
      <w:r w:rsidR="0015686E" w:rsidRPr="00D3457C">
        <w:rPr>
          <w:rFonts w:cs="Arial"/>
          <w:snapToGrid w:val="0"/>
        </w:rPr>
        <w:t>owever,</w:t>
      </w:r>
      <w:r w:rsidR="00AC579B" w:rsidRPr="00D3457C">
        <w:rPr>
          <w:rFonts w:cs="Arial"/>
          <w:snapToGrid w:val="0"/>
        </w:rPr>
        <w:t xml:space="preserve"> we do recommend that if your performance</w:t>
      </w:r>
      <w:r w:rsidR="002C7A5F" w:rsidRPr="00D3457C">
        <w:rPr>
          <w:rFonts w:cs="Arial"/>
          <w:snapToGrid w:val="0"/>
        </w:rPr>
        <w:t xml:space="preserve"> or </w:t>
      </w:r>
      <w:r w:rsidR="00217A74" w:rsidRPr="00D3457C">
        <w:rPr>
          <w:rFonts w:cs="Arial"/>
          <w:snapToGrid w:val="0"/>
        </w:rPr>
        <w:t xml:space="preserve">if a </w:t>
      </w:r>
      <w:r w:rsidR="002C7A5F" w:rsidRPr="00D3457C">
        <w:rPr>
          <w:rFonts w:cs="Arial"/>
          <w:snapToGrid w:val="0"/>
        </w:rPr>
        <w:t>structure</w:t>
      </w:r>
      <w:r w:rsidR="00AC579B" w:rsidRPr="00D3457C">
        <w:rPr>
          <w:rFonts w:cs="Arial"/>
          <w:snapToGrid w:val="0"/>
        </w:rPr>
        <w:t xml:space="preserve"> has changed significantly, you update your </w:t>
      </w:r>
      <w:r w:rsidR="00C14AFF" w:rsidRPr="00D3457C">
        <w:rPr>
          <w:rFonts w:cs="Arial"/>
          <w:snapToGrid w:val="0"/>
        </w:rPr>
        <w:t>Survey</w:t>
      </w:r>
      <w:r w:rsidR="00AC579B" w:rsidRPr="00D3457C">
        <w:rPr>
          <w:rFonts w:cs="Arial"/>
          <w:snapToGrid w:val="0"/>
        </w:rPr>
        <w:t xml:space="preserve"> within 30 days. In addition, hospitals should update their </w:t>
      </w:r>
      <w:r w:rsidR="00C14AFF" w:rsidRPr="00D3457C">
        <w:rPr>
          <w:rFonts w:cs="Arial"/>
          <w:snapToGrid w:val="0"/>
        </w:rPr>
        <w:t>Survey</w:t>
      </w:r>
      <w:r w:rsidR="00AC579B" w:rsidRPr="00D3457C">
        <w:rPr>
          <w:rFonts w:cs="Arial"/>
          <w:snapToGrid w:val="0"/>
        </w:rPr>
        <w:t>s if they become aware of any reporting errors or data inaccuracies</w:t>
      </w:r>
      <w:r w:rsidR="002C7A5F" w:rsidRPr="00D3457C">
        <w:rPr>
          <w:rFonts w:cs="Arial"/>
          <w:snapToGrid w:val="0"/>
        </w:rPr>
        <w:t xml:space="preserve"> in their previous submission. </w:t>
      </w:r>
    </w:p>
    <w:p w14:paraId="473F6C70" w14:textId="77777777" w:rsidR="008008B4" w:rsidRPr="00D3457C" w:rsidRDefault="008008B4" w:rsidP="00AC579B">
      <w:pPr>
        <w:rPr>
          <w:rFonts w:cs="Arial"/>
          <w:snapToGrid w:val="0"/>
        </w:rPr>
      </w:pPr>
    </w:p>
    <w:p w14:paraId="0FA09B9E" w14:textId="55892591" w:rsidR="00AC579B" w:rsidRPr="00D3457C" w:rsidRDefault="00AC579B" w:rsidP="00AC579B">
      <w:pPr>
        <w:rPr>
          <w:rFonts w:cs="Arial"/>
          <w:snapToGrid w:val="0"/>
          <w:u w:val="single"/>
        </w:rPr>
      </w:pPr>
      <w:bookmarkStart w:id="39" w:name="_Hlk35513674"/>
      <w:r w:rsidRPr="00D3457C">
        <w:rPr>
          <w:rFonts w:cs="Arial"/>
          <w:snapToGrid w:val="0"/>
          <w:u w:val="single"/>
        </w:rPr>
        <w:t xml:space="preserve">Hospitals may </w:t>
      </w:r>
      <w:r w:rsidR="004C6FDD" w:rsidRPr="00D3457C">
        <w:rPr>
          <w:rFonts w:cs="Arial"/>
          <w:snapToGrid w:val="0"/>
          <w:u w:val="single"/>
        </w:rPr>
        <w:t>update one or more sections</w:t>
      </w:r>
      <w:r w:rsidRPr="00D3457C">
        <w:rPr>
          <w:rFonts w:cs="Arial"/>
          <w:snapToGrid w:val="0"/>
          <w:u w:val="single"/>
        </w:rPr>
        <w:t xml:space="preserve"> of the </w:t>
      </w:r>
      <w:r w:rsidR="00C14AFF" w:rsidRPr="00D3457C">
        <w:rPr>
          <w:rFonts w:cs="Arial"/>
          <w:snapToGrid w:val="0"/>
          <w:u w:val="single"/>
        </w:rPr>
        <w:t>Survey</w:t>
      </w:r>
      <w:r w:rsidRPr="00D3457C">
        <w:rPr>
          <w:rFonts w:cs="Arial"/>
          <w:snapToGrid w:val="0"/>
          <w:u w:val="single"/>
        </w:rPr>
        <w:t xml:space="preserve"> without updating the entire </w:t>
      </w:r>
      <w:r w:rsidR="00C14AFF" w:rsidRPr="00D3457C">
        <w:rPr>
          <w:rFonts w:cs="Arial"/>
          <w:snapToGrid w:val="0"/>
          <w:u w:val="single"/>
        </w:rPr>
        <w:t>Survey</w:t>
      </w:r>
      <w:bookmarkEnd w:id="39"/>
      <w:r w:rsidRPr="00D3457C">
        <w:rPr>
          <w:rFonts w:cs="Arial"/>
          <w:snapToGrid w:val="0"/>
          <w:u w:val="single"/>
        </w:rPr>
        <w:t>.</w:t>
      </w:r>
      <w:r w:rsidR="00034A1F">
        <w:rPr>
          <w:rFonts w:cs="Arial"/>
          <w:snapToGrid w:val="0"/>
          <w:u w:val="single"/>
        </w:rPr>
        <w:t xml:space="preserve"> </w:t>
      </w:r>
      <w:r w:rsidR="00034A1F" w:rsidRPr="00034A1F">
        <w:rPr>
          <w:rFonts w:cs="Arial"/>
          <w:snapToGrid w:val="0"/>
          <w:u w:val="single"/>
        </w:rPr>
        <w:t>In addition, hospitals are not required to retake the CPOE Evaluation Tool if making updates to Section 2</w:t>
      </w:r>
      <w:r w:rsidR="001243C9">
        <w:rPr>
          <w:rFonts w:cs="Arial"/>
          <w:snapToGrid w:val="0"/>
          <w:u w:val="single"/>
        </w:rPr>
        <w:t>A:</w:t>
      </w:r>
      <w:r w:rsidR="00034A1F" w:rsidRPr="00034A1F">
        <w:rPr>
          <w:rFonts w:cs="Arial"/>
          <w:snapToGrid w:val="0"/>
          <w:u w:val="single"/>
        </w:rPr>
        <w:t xml:space="preserve"> CPOE questions #3 and #4.</w:t>
      </w:r>
    </w:p>
    <w:p w14:paraId="1F7EBBA4" w14:textId="77777777" w:rsidR="0039232B" w:rsidRPr="00D3457C" w:rsidRDefault="0039232B" w:rsidP="00AC579B">
      <w:pPr>
        <w:rPr>
          <w:rFonts w:cs="Arial"/>
          <w:snapToGrid w:val="0"/>
        </w:rPr>
      </w:pPr>
    </w:p>
    <w:p w14:paraId="5BF141BE" w14:textId="326C309C" w:rsidR="0039232B" w:rsidRPr="00D3457C" w:rsidRDefault="0039232B" w:rsidP="00AC579B">
      <w:pPr>
        <w:rPr>
          <w:rFonts w:cs="Arial"/>
          <w:snapToGrid w:val="0"/>
        </w:rPr>
      </w:pPr>
      <w:r w:rsidRPr="00D3457C">
        <w:rPr>
          <w:rFonts w:cs="Arial"/>
          <w:snapToGrid w:val="0"/>
        </w:rPr>
        <w:t xml:space="preserve">General updates and corrections </w:t>
      </w:r>
      <w:r w:rsidR="00EB0044">
        <w:rPr>
          <w:rFonts w:cs="Arial"/>
          <w:snapToGrid w:val="0"/>
        </w:rPr>
        <w:t>are allowed</w:t>
      </w:r>
      <w:r w:rsidRPr="00D3457C">
        <w:rPr>
          <w:rFonts w:cs="Arial"/>
          <w:snapToGrid w:val="0"/>
        </w:rPr>
        <w:t xml:space="preserve"> at any point during the Survey Cycle (April 1 – </w:t>
      </w:r>
      <w:r w:rsidR="00034A1F">
        <w:rPr>
          <w:rFonts w:cs="Arial"/>
          <w:snapToGrid w:val="0"/>
        </w:rPr>
        <w:t>November 30</w:t>
      </w:r>
      <w:r w:rsidRPr="00D3457C">
        <w:rPr>
          <w:rFonts w:cs="Arial"/>
          <w:snapToGrid w:val="0"/>
        </w:rPr>
        <w:t>).</w:t>
      </w:r>
      <w:r w:rsidRPr="00D3457C">
        <w:rPr>
          <w:rFonts w:cs="Arial"/>
          <w:bCs/>
          <w:snapToGrid w:val="0"/>
        </w:rPr>
        <w:t xml:space="preserve"> The month</w:t>
      </w:r>
      <w:r w:rsidR="00E205FA">
        <w:rPr>
          <w:rFonts w:cs="Arial"/>
          <w:bCs/>
          <w:snapToGrid w:val="0"/>
        </w:rPr>
        <w:t>s</w:t>
      </w:r>
      <w:r w:rsidRPr="00D3457C">
        <w:rPr>
          <w:rFonts w:cs="Arial"/>
          <w:bCs/>
          <w:snapToGrid w:val="0"/>
        </w:rPr>
        <w:t xml:space="preserve"> of</w:t>
      </w:r>
      <w:r w:rsidR="00E205FA">
        <w:rPr>
          <w:rFonts w:cs="Arial"/>
          <w:bCs/>
          <w:snapToGrid w:val="0"/>
        </w:rPr>
        <w:t xml:space="preserve"> December and</w:t>
      </w:r>
      <w:r w:rsidR="006575A0" w:rsidRPr="00D3457C">
        <w:rPr>
          <w:rFonts w:cs="Arial"/>
          <w:bCs/>
          <w:snapToGrid w:val="0"/>
        </w:rPr>
        <w:t xml:space="preserve"> </w:t>
      </w:r>
      <w:r w:rsidRPr="00D3457C">
        <w:rPr>
          <w:rFonts w:cs="Arial"/>
          <w:bCs/>
          <w:snapToGrid w:val="0"/>
        </w:rPr>
        <w:t xml:space="preserve">January </w:t>
      </w:r>
      <w:r w:rsidR="00E205FA">
        <w:rPr>
          <w:rFonts w:cs="Arial"/>
          <w:bCs/>
          <w:snapToGrid w:val="0"/>
        </w:rPr>
        <w:t>are</w:t>
      </w:r>
      <w:r w:rsidRPr="00D3457C">
        <w:rPr>
          <w:rFonts w:cs="Arial"/>
          <w:bCs/>
          <w:snapToGrid w:val="0"/>
        </w:rPr>
        <w:t xml:space="preserve"> reserved for</w:t>
      </w:r>
      <w:r w:rsidR="00E56DF9">
        <w:rPr>
          <w:rFonts w:cs="Arial"/>
          <w:bCs/>
          <w:snapToGrid w:val="0"/>
        </w:rPr>
        <w:t xml:space="preserve"> correcting</w:t>
      </w:r>
      <w:r w:rsidRPr="00D3457C">
        <w:rPr>
          <w:rFonts w:cs="Arial"/>
          <w:bCs/>
          <w:snapToGrid w:val="0"/>
        </w:rPr>
        <w:t xml:space="preserve"> </w:t>
      </w:r>
      <w:r w:rsidR="00E9729C">
        <w:rPr>
          <w:rFonts w:cs="Arial"/>
          <w:bCs/>
          <w:snapToGrid w:val="0"/>
        </w:rPr>
        <w:t xml:space="preserve">data entry errors or reporting </w:t>
      </w:r>
      <w:r w:rsidR="00E56DF9">
        <w:rPr>
          <w:rFonts w:cs="Arial"/>
          <w:bCs/>
          <w:snapToGrid w:val="0"/>
        </w:rPr>
        <w:t>errors</w:t>
      </w:r>
      <w:r w:rsidR="00E9729C">
        <w:rPr>
          <w:rFonts w:cs="Arial"/>
          <w:bCs/>
          <w:snapToGrid w:val="0"/>
        </w:rPr>
        <w:t xml:space="preserve"> (i.e., in response to Leapfrog’s </w:t>
      </w:r>
      <w:hyperlink r:id="rId68" w:history="1">
        <w:r w:rsidR="00E9729C" w:rsidRPr="00D3457C">
          <w:rPr>
            <w:rStyle w:val="Hyperlink"/>
            <w:rFonts w:cs="Arial"/>
            <w:snapToGrid w:val="0"/>
          </w:rPr>
          <w:t>Extensive Monthly Data Verification</w:t>
        </w:r>
      </w:hyperlink>
      <w:r w:rsidR="00E9729C">
        <w:rPr>
          <w:rStyle w:val="Hyperlink"/>
          <w:rFonts w:cs="Arial"/>
          <w:snapToGrid w:val="0"/>
        </w:rPr>
        <w:t>)</w:t>
      </w:r>
      <w:r w:rsidR="008015A1" w:rsidRPr="008015A1">
        <w:rPr>
          <w:rStyle w:val="Hyperlink"/>
          <w:rFonts w:cs="Arial"/>
          <w:snapToGrid w:val="0"/>
          <w:u w:val="none"/>
        </w:rPr>
        <w:t xml:space="preserve"> </w:t>
      </w:r>
      <w:r w:rsidRPr="00D3457C">
        <w:rPr>
          <w:rFonts w:cs="Arial"/>
          <w:bCs/>
          <w:snapToGrid w:val="0"/>
        </w:rPr>
        <w:t xml:space="preserve">to previously submitted </w:t>
      </w:r>
      <w:r w:rsidR="00E9729C">
        <w:rPr>
          <w:rFonts w:cs="Arial"/>
          <w:bCs/>
          <w:snapToGrid w:val="0"/>
        </w:rPr>
        <w:t xml:space="preserve">sections of the </w:t>
      </w:r>
      <w:r w:rsidRPr="00D3457C">
        <w:rPr>
          <w:rFonts w:cs="Arial"/>
          <w:bCs/>
          <w:snapToGrid w:val="0"/>
        </w:rPr>
        <w:t xml:space="preserve">Survey. Any updates made to reflect a change in performance must be made </w:t>
      </w:r>
      <w:r w:rsidR="009526F4">
        <w:rPr>
          <w:rFonts w:cs="Arial"/>
          <w:bCs/>
          <w:snapToGrid w:val="0"/>
        </w:rPr>
        <w:t>prior to</w:t>
      </w:r>
      <w:r w:rsidR="009526F4" w:rsidRPr="00D3457C">
        <w:rPr>
          <w:rFonts w:cs="Arial"/>
          <w:bCs/>
          <w:snapToGrid w:val="0"/>
        </w:rPr>
        <w:t xml:space="preserve"> </w:t>
      </w:r>
      <w:r w:rsidRPr="00D3457C">
        <w:rPr>
          <w:rFonts w:cs="Arial"/>
          <w:bCs/>
          <w:snapToGrid w:val="0"/>
        </w:rPr>
        <w:t xml:space="preserve">the </w:t>
      </w:r>
      <w:r w:rsidR="00E205FA">
        <w:rPr>
          <w:rFonts w:cs="Arial"/>
          <w:bCs/>
          <w:snapToGrid w:val="0"/>
        </w:rPr>
        <w:t>November 30</w:t>
      </w:r>
      <w:r w:rsidRPr="00D3457C">
        <w:rPr>
          <w:rFonts w:cs="Arial"/>
          <w:bCs/>
          <w:snapToGrid w:val="0"/>
        </w:rPr>
        <w:t xml:space="preserve"> Late Submission </w:t>
      </w:r>
      <w:r w:rsidR="00123E52" w:rsidRPr="00123E52">
        <w:rPr>
          <w:rFonts w:cs="Arial"/>
          <w:bCs/>
          <w:snapToGrid w:val="0"/>
        </w:rPr>
        <w:t>and Performance Update</w:t>
      </w:r>
      <w:r w:rsidR="00123E52">
        <w:rPr>
          <w:rFonts w:cs="Arial"/>
          <w:bCs/>
          <w:snapToGrid w:val="0"/>
          <w:sz w:val="16"/>
          <w:szCs w:val="16"/>
        </w:rPr>
        <w:t xml:space="preserve"> </w:t>
      </w:r>
      <w:r w:rsidRPr="00D3457C">
        <w:rPr>
          <w:rFonts w:cs="Arial"/>
          <w:bCs/>
          <w:snapToGrid w:val="0"/>
        </w:rPr>
        <w:t>Deadline.</w:t>
      </w:r>
      <w:r w:rsidR="00C524F1" w:rsidRPr="00D3457C">
        <w:rPr>
          <w:rFonts w:cs="Arial"/>
          <w:b/>
          <w:snapToGrid w:val="0"/>
        </w:rPr>
        <w:t xml:space="preserve"> Updates made to reflect a change in performance after </w:t>
      </w:r>
      <w:r w:rsidR="00E205FA">
        <w:rPr>
          <w:rFonts w:cs="Arial"/>
          <w:b/>
          <w:snapToGrid w:val="0"/>
        </w:rPr>
        <w:t>November 30</w:t>
      </w:r>
      <w:r w:rsidR="00C524F1" w:rsidRPr="00D3457C">
        <w:rPr>
          <w:rFonts w:cs="Arial"/>
          <w:b/>
          <w:snapToGrid w:val="0"/>
        </w:rPr>
        <w:t xml:space="preserve"> will not be scored or publicly reported.</w:t>
      </w:r>
      <w:r w:rsidR="002107B9">
        <w:rPr>
          <w:rFonts w:cs="Arial"/>
          <w:b/>
          <w:snapToGrid w:val="0"/>
        </w:rPr>
        <w:t xml:space="preserve"> New sections of the Survey submitted after November 30 will not be scored or publicly reported. </w:t>
      </w:r>
    </w:p>
    <w:p w14:paraId="5173F495" w14:textId="77777777" w:rsidR="00AC579B" w:rsidRPr="00D3457C" w:rsidRDefault="00AC579B" w:rsidP="00AC579B">
      <w:pPr>
        <w:rPr>
          <w:rFonts w:cs="Arial"/>
          <w:b/>
          <w:snapToGrid w:val="0"/>
          <w:u w:val="single"/>
        </w:rPr>
      </w:pPr>
    </w:p>
    <w:p w14:paraId="4C291981" w14:textId="40D3DA61" w:rsidR="00AC579B" w:rsidRDefault="00AC579B" w:rsidP="00AC579B">
      <w:pPr>
        <w:rPr>
          <w:rFonts w:cs="Arial"/>
          <w:snapToGrid w:val="0"/>
        </w:rPr>
      </w:pPr>
      <w:r w:rsidRPr="00D3457C">
        <w:rPr>
          <w:rFonts w:cs="Arial"/>
          <w:snapToGrid w:val="0"/>
        </w:rPr>
        <w:t>Hospitals that are</w:t>
      </w:r>
      <w:r w:rsidR="002C7A5F" w:rsidRPr="00D3457C">
        <w:rPr>
          <w:rFonts w:cs="Arial"/>
          <w:snapToGrid w:val="0"/>
        </w:rPr>
        <w:t xml:space="preserve"> submi</w:t>
      </w:r>
      <w:r w:rsidR="0069132C" w:rsidRPr="00D3457C">
        <w:rPr>
          <w:rFonts w:cs="Arial"/>
          <w:snapToGrid w:val="0"/>
        </w:rPr>
        <w:t>tting general updates should</w:t>
      </w:r>
      <w:r w:rsidR="002C7A5F" w:rsidRPr="00D3457C">
        <w:rPr>
          <w:rFonts w:cs="Arial"/>
          <w:snapToGrid w:val="0"/>
        </w:rPr>
        <w:t>:</w:t>
      </w:r>
    </w:p>
    <w:p w14:paraId="264481F4" w14:textId="77777777" w:rsidR="00F12B6B" w:rsidRPr="00D3457C" w:rsidRDefault="00F12B6B" w:rsidP="00AC579B">
      <w:pPr>
        <w:rPr>
          <w:rFonts w:cs="Arial"/>
          <w:snapToGrid w:val="0"/>
        </w:rPr>
      </w:pPr>
    </w:p>
    <w:p w14:paraId="5FC44FB0" w14:textId="754B363B" w:rsidR="00AC579B" w:rsidRPr="00D3457C" w:rsidRDefault="0069132C" w:rsidP="00AD309C">
      <w:pPr>
        <w:pStyle w:val="ListParagraph"/>
        <w:numPr>
          <w:ilvl w:val="0"/>
          <w:numId w:val="25"/>
        </w:numPr>
        <w:rPr>
          <w:rFonts w:cs="Arial"/>
          <w:snapToGrid w:val="0"/>
        </w:rPr>
      </w:pPr>
      <w:r w:rsidRPr="00D3457C">
        <w:rPr>
          <w:rFonts w:cs="Arial"/>
          <w:snapToGrid w:val="0"/>
        </w:rPr>
        <w:t>Use t</w:t>
      </w:r>
      <w:r w:rsidR="00BD6C6C" w:rsidRPr="00D3457C">
        <w:rPr>
          <w:rFonts w:cs="Arial"/>
          <w:snapToGrid w:val="0"/>
        </w:rPr>
        <w:t>he stated</w:t>
      </w:r>
      <w:r w:rsidR="00AC579B" w:rsidRPr="00D3457C">
        <w:rPr>
          <w:rFonts w:cs="Arial"/>
          <w:b/>
          <w:snapToGrid w:val="0"/>
        </w:rPr>
        <w:t xml:space="preserve"> </w:t>
      </w:r>
      <w:hyperlink w:anchor="_Reporting_Periods_1" w:history="1">
        <w:r w:rsidR="00AC579B" w:rsidRPr="00D3457C">
          <w:rPr>
            <w:rStyle w:val="Hyperlink"/>
            <w:rFonts w:cs="Arial"/>
            <w:snapToGrid w:val="0"/>
          </w:rPr>
          <w:t>reporting period</w:t>
        </w:r>
      </w:hyperlink>
      <w:r w:rsidR="00AC579B" w:rsidRPr="00D3457C">
        <w:rPr>
          <w:rFonts w:cs="Arial"/>
          <w:snapToGrid w:val="0"/>
        </w:rPr>
        <w:t xml:space="preserve"> at the top of</w:t>
      </w:r>
      <w:r w:rsidR="004B276B" w:rsidRPr="00D3457C">
        <w:rPr>
          <w:rFonts w:cs="Arial"/>
          <w:snapToGrid w:val="0"/>
        </w:rPr>
        <w:t xml:space="preserve"> each section</w:t>
      </w:r>
      <w:r w:rsidR="00AC579B" w:rsidRPr="00D3457C">
        <w:rPr>
          <w:rFonts w:cs="Arial"/>
          <w:snapToGrid w:val="0"/>
        </w:rPr>
        <w:t xml:space="preserve"> selected based on the date of your </w:t>
      </w:r>
      <w:r w:rsidR="002C7A5F" w:rsidRPr="00D3457C">
        <w:rPr>
          <w:rFonts w:cs="Arial"/>
          <w:snapToGrid w:val="0"/>
        </w:rPr>
        <w:t>re</w:t>
      </w:r>
      <w:r w:rsidR="00AC579B" w:rsidRPr="00D3457C">
        <w:rPr>
          <w:rFonts w:cs="Arial"/>
          <w:snapToGrid w:val="0"/>
        </w:rPr>
        <w:t>submission</w:t>
      </w:r>
      <w:r w:rsidR="002C7A5F" w:rsidRPr="00D3457C">
        <w:rPr>
          <w:rFonts w:cs="Arial"/>
          <w:snapToGrid w:val="0"/>
        </w:rPr>
        <w:t xml:space="preserve">. </w:t>
      </w:r>
    </w:p>
    <w:p w14:paraId="09320D60" w14:textId="513E95C9" w:rsidR="00C23A99" w:rsidRPr="00D3457C" w:rsidRDefault="00AB7793" w:rsidP="00AD309C">
      <w:pPr>
        <w:pStyle w:val="ListParagraph"/>
        <w:numPr>
          <w:ilvl w:val="0"/>
          <w:numId w:val="25"/>
        </w:numPr>
        <w:rPr>
          <w:rFonts w:cs="Arial"/>
          <w:b/>
          <w:snapToGrid w:val="0"/>
          <w:u w:val="single"/>
        </w:rPr>
      </w:pPr>
      <w:r>
        <w:rPr>
          <w:rFonts w:cs="Arial"/>
          <w:snapToGrid w:val="0"/>
        </w:rPr>
        <w:t>For Section 4</w:t>
      </w:r>
      <w:r w:rsidR="00F220B6">
        <w:rPr>
          <w:rFonts w:cs="Arial"/>
          <w:snapToGrid w:val="0"/>
        </w:rPr>
        <w:t>:</w:t>
      </w:r>
      <w:r>
        <w:rPr>
          <w:rFonts w:cs="Arial"/>
          <w:snapToGrid w:val="0"/>
        </w:rPr>
        <w:t xml:space="preserve"> Maternity Care and </w:t>
      </w:r>
      <w:r w:rsidR="005F650A">
        <w:t>Section 6A-6B: NQF Safe Practice #1 and #2</w:t>
      </w:r>
      <w:r>
        <w:rPr>
          <w:rFonts w:cs="Arial"/>
          <w:snapToGrid w:val="0"/>
        </w:rPr>
        <w:t>, u</w:t>
      </w:r>
      <w:r w:rsidRPr="00D3457C">
        <w:rPr>
          <w:rFonts w:cs="Arial"/>
          <w:snapToGrid w:val="0"/>
        </w:rPr>
        <w:t xml:space="preserve">pdate </w:t>
      </w:r>
      <w:r w:rsidR="00AC579B" w:rsidRPr="00D3457C">
        <w:rPr>
          <w:rFonts w:cs="Arial"/>
          <w:snapToGrid w:val="0"/>
        </w:rPr>
        <w:t>responses to ALL questions</w:t>
      </w:r>
      <w:r w:rsidR="004B276B" w:rsidRPr="00D3457C">
        <w:rPr>
          <w:rFonts w:cs="Arial"/>
          <w:snapToGrid w:val="0"/>
        </w:rPr>
        <w:t xml:space="preserve"> within </w:t>
      </w:r>
      <w:r w:rsidR="0069132C" w:rsidRPr="00D3457C">
        <w:rPr>
          <w:rFonts w:cs="Arial"/>
          <w:snapToGrid w:val="0"/>
        </w:rPr>
        <w:t>the section they wish to update</w:t>
      </w:r>
      <w:r w:rsidR="00AC579B" w:rsidRPr="00D3457C">
        <w:rPr>
          <w:rFonts w:cs="Arial"/>
          <w:snapToGrid w:val="0"/>
        </w:rPr>
        <w:t xml:space="preserve"> </w:t>
      </w:r>
      <w:r w:rsidR="002C7A5F" w:rsidRPr="00D3457C">
        <w:rPr>
          <w:rFonts w:cs="Arial"/>
          <w:snapToGrid w:val="0"/>
        </w:rPr>
        <w:t>using the same reporting period. For example, if a hospital submitt</w:t>
      </w:r>
      <w:r w:rsidR="002A6336" w:rsidRPr="00D3457C">
        <w:rPr>
          <w:rFonts w:cs="Arial"/>
          <w:snapToGrid w:val="0"/>
        </w:rPr>
        <w:t xml:space="preserve">ed a </w:t>
      </w:r>
      <w:r w:rsidR="00C14AFF" w:rsidRPr="00D3457C">
        <w:rPr>
          <w:rFonts w:cs="Arial"/>
          <w:snapToGrid w:val="0"/>
        </w:rPr>
        <w:t>Survey</w:t>
      </w:r>
      <w:r w:rsidR="002A6336" w:rsidRPr="00D3457C">
        <w:rPr>
          <w:rFonts w:cs="Arial"/>
          <w:snapToGrid w:val="0"/>
        </w:rPr>
        <w:t xml:space="preserve"> for the first time in June</w:t>
      </w:r>
      <w:r w:rsidR="002C7A5F" w:rsidRPr="00D3457C">
        <w:rPr>
          <w:rFonts w:cs="Arial"/>
          <w:snapToGrid w:val="0"/>
        </w:rPr>
        <w:t xml:space="preserve"> and then wanted to update </w:t>
      </w:r>
      <w:r w:rsidR="004B276B" w:rsidRPr="00D3457C">
        <w:rPr>
          <w:rFonts w:cs="Arial"/>
          <w:snapToGrid w:val="0"/>
        </w:rPr>
        <w:t>the responses for the</w:t>
      </w:r>
      <w:r w:rsidR="002107B9">
        <w:rPr>
          <w:rFonts w:cs="Arial"/>
          <w:snapToGrid w:val="0"/>
        </w:rPr>
        <w:t xml:space="preserve"> </w:t>
      </w:r>
      <w:r w:rsidR="0016658F">
        <w:rPr>
          <w:rFonts w:cs="Arial"/>
          <w:snapToGrid w:val="0"/>
        </w:rPr>
        <w:t>Cesarean Birth</w:t>
      </w:r>
      <w:r w:rsidR="004B276B" w:rsidRPr="00D3457C">
        <w:rPr>
          <w:rFonts w:cs="Arial"/>
          <w:snapToGrid w:val="0"/>
        </w:rPr>
        <w:t xml:space="preserve"> questions in subsection 4B </w:t>
      </w:r>
      <w:r w:rsidR="002C7A5F" w:rsidRPr="00D3457C">
        <w:rPr>
          <w:rFonts w:cs="Arial"/>
          <w:snapToGrid w:val="0"/>
        </w:rPr>
        <w:t xml:space="preserve">in </w:t>
      </w:r>
      <w:r w:rsidR="0039232B" w:rsidRPr="00D3457C">
        <w:rPr>
          <w:rFonts w:cs="Arial"/>
          <w:snapToGrid w:val="0"/>
        </w:rPr>
        <w:t>November</w:t>
      </w:r>
      <w:r w:rsidR="002C7A5F" w:rsidRPr="00D3457C">
        <w:rPr>
          <w:rFonts w:cs="Arial"/>
          <w:snapToGrid w:val="0"/>
        </w:rPr>
        <w:t>, they would update the entire</w:t>
      </w:r>
      <w:r w:rsidR="00BD6C6C" w:rsidRPr="00D3457C">
        <w:rPr>
          <w:rFonts w:cs="Arial"/>
          <w:snapToGrid w:val="0"/>
        </w:rPr>
        <w:t xml:space="preserve"> Section 4</w:t>
      </w:r>
      <w:r w:rsidR="00F220B6">
        <w:rPr>
          <w:rFonts w:cs="Arial"/>
          <w:snapToGrid w:val="0"/>
        </w:rPr>
        <w:t>:</w:t>
      </w:r>
      <w:r w:rsidR="00BD6C6C" w:rsidRPr="00D3457C">
        <w:rPr>
          <w:rFonts w:cs="Arial"/>
          <w:snapToGrid w:val="0"/>
        </w:rPr>
        <w:t xml:space="preserve"> Maternity Care </w:t>
      </w:r>
      <w:r w:rsidR="004B276B" w:rsidRPr="00D3457C">
        <w:rPr>
          <w:rFonts w:cs="Arial"/>
          <w:snapToGrid w:val="0"/>
        </w:rPr>
        <w:t xml:space="preserve">based on </w:t>
      </w:r>
      <w:r w:rsidR="0069132C" w:rsidRPr="00D3457C">
        <w:rPr>
          <w:rFonts w:cs="Arial"/>
          <w:snapToGrid w:val="0"/>
        </w:rPr>
        <w:t xml:space="preserve">the </w:t>
      </w:r>
      <w:r w:rsidR="004B276B" w:rsidRPr="00D3457C">
        <w:rPr>
          <w:rFonts w:cs="Arial"/>
          <w:snapToGrid w:val="0"/>
        </w:rPr>
        <w:t>updated</w:t>
      </w:r>
      <w:r w:rsidR="002C7A5F" w:rsidRPr="00D3457C">
        <w:rPr>
          <w:rFonts w:cs="Arial"/>
          <w:snapToGrid w:val="0"/>
        </w:rPr>
        <w:t xml:space="preserve"> reporting period</w:t>
      </w:r>
      <w:r w:rsidR="004B276B" w:rsidRPr="00D3457C">
        <w:rPr>
          <w:rFonts w:cs="Arial"/>
          <w:snapToGrid w:val="0"/>
        </w:rPr>
        <w:t xml:space="preserve"> for </w:t>
      </w:r>
      <w:r w:rsidR="0039232B" w:rsidRPr="00D3457C">
        <w:rPr>
          <w:rFonts w:cs="Arial"/>
          <w:snapToGrid w:val="0"/>
        </w:rPr>
        <w:t>November</w:t>
      </w:r>
      <w:r w:rsidR="002C7A5F" w:rsidRPr="00D3457C">
        <w:rPr>
          <w:rFonts w:cs="Arial"/>
          <w:snapToGrid w:val="0"/>
        </w:rPr>
        <w:t xml:space="preserve">. </w:t>
      </w:r>
    </w:p>
    <w:p w14:paraId="6037C7B5" w14:textId="77777777" w:rsidR="00C836F8" w:rsidRPr="009A5185" w:rsidRDefault="00C836F8" w:rsidP="00AC579B">
      <w:pPr>
        <w:rPr>
          <w:rFonts w:cs="Arial"/>
          <w:b/>
          <w:snapToGrid w:val="0"/>
        </w:rPr>
      </w:pPr>
    </w:p>
    <w:p w14:paraId="56F54E8F" w14:textId="71072AED" w:rsidR="00FE6719" w:rsidRPr="009A5185" w:rsidRDefault="00FE6719" w:rsidP="00FE6719">
      <w:pPr>
        <w:rPr>
          <w:rFonts w:cs="Arial"/>
          <w:snapToGrid w:val="0"/>
        </w:rPr>
      </w:pPr>
      <w:r w:rsidRPr="009A5185">
        <w:rPr>
          <w:rFonts w:cs="Arial"/>
          <w:snapToGrid w:val="0"/>
        </w:rPr>
        <w:t>For information on Leapfrog’s automatic updates to</w:t>
      </w:r>
      <w:r w:rsidR="00B93E94">
        <w:rPr>
          <w:rFonts w:cs="Arial"/>
          <w:snapToGrid w:val="0"/>
        </w:rPr>
        <w:t xml:space="preserve"> the VON data in Section 4</w:t>
      </w:r>
      <w:r w:rsidR="0016658F">
        <w:rPr>
          <w:rFonts w:cs="Arial"/>
          <w:snapToGrid w:val="0"/>
        </w:rPr>
        <w:t>E</w:t>
      </w:r>
      <w:r w:rsidR="001243C9">
        <w:rPr>
          <w:rFonts w:cs="Arial"/>
          <w:snapToGrid w:val="0"/>
        </w:rPr>
        <w:t>:</w:t>
      </w:r>
      <w:r w:rsidR="00B93E94">
        <w:rPr>
          <w:rFonts w:cs="Arial"/>
          <w:snapToGrid w:val="0"/>
        </w:rPr>
        <w:t xml:space="preserve"> High-Risk Deliveries</w:t>
      </w:r>
      <w:r w:rsidR="00485C62">
        <w:rPr>
          <w:rFonts w:cs="Arial"/>
          <w:snapToGrid w:val="0"/>
        </w:rPr>
        <w:t>,</w:t>
      </w:r>
      <w:r w:rsidR="00B93E94">
        <w:rPr>
          <w:rFonts w:cs="Arial"/>
          <w:snapToGrid w:val="0"/>
        </w:rPr>
        <w:t xml:space="preserve"> the NHSN data in</w:t>
      </w:r>
      <w:r w:rsidRPr="009A5185">
        <w:rPr>
          <w:rFonts w:cs="Arial"/>
          <w:snapToGrid w:val="0"/>
        </w:rPr>
        <w:t xml:space="preserve"> Section 7B</w:t>
      </w:r>
      <w:r w:rsidR="001243C9">
        <w:rPr>
          <w:rFonts w:cs="Arial"/>
          <w:snapToGrid w:val="0"/>
        </w:rPr>
        <w:t>:</w:t>
      </w:r>
      <w:r w:rsidRPr="009A5185">
        <w:rPr>
          <w:rFonts w:cs="Arial"/>
          <w:snapToGrid w:val="0"/>
        </w:rPr>
        <w:t xml:space="preserve"> Healthcare-Asso</w:t>
      </w:r>
      <w:r w:rsidR="00E148CE" w:rsidRPr="009A5185">
        <w:rPr>
          <w:rFonts w:cs="Arial"/>
          <w:snapToGrid w:val="0"/>
        </w:rPr>
        <w:t>ciated Infection</w:t>
      </w:r>
      <w:r w:rsidR="0069132C">
        <w:rPr>
          <w:rFonts w:cs="Arial"/>
          <w:snapToGrid w:val="0"/>
        </w:rPr>
        <w:t>s</w:t>
      </w:r>
      <w:r w:rsidR="00485C62">
        <w:rPr>
          <w:rFonts w:cs="Arial"/>
          <w:snapToGrid w:val="0"/>
        </w:rPr>
        <w:t xml:space="preserve">, or the </w:t>
      </w:r>
      <w:r w:rsidR="001C1114">
        <w:rPr>
          <w:rFonts w:cs="Arial"/>
          <w:snapToGrid w:val="0"/>
        </w:rPr>
        <w:t>CMS</w:t>
      </w:r>
      <w:r w:rsidR="00485C62">
        <w:rPr>
          <w:rFonts w:cs="Arial"/>
          <w:snapToGrid w:val="0"/>
        </w:rPr>
        <w:t xml:space="preserve"> data in Section </w:t>
      </w:r>
      <w:r w:rsidR="001243C9">
        <w:rPr>
          <w:rFonts w:cs="Arial"/>
          <w:snapToGrid w:val="0"/>
        </w:rPr>
        <w:t>9</w:t>
      </w:r>
      <w:r w:rsidR="00910ACB">
        <w:rPr>
          <w:rFonts w:cs="Arial"/>
          <w:snapToGrid w:val="0"/>
        </w:rPr>
        <w:t>F</w:t>
      </w:r>
      <w:r w:rsidR="001243C9">
        <w:rPr>
          <w:rFonts w:cs="Arial"/>
          <w:snapToGrid w:val="0"/>
        </w:rPr>
        <w:t>:</w:t>
      </w:r>
      <w:r w:rsidR="00485C62">
        <w:rPr>
          <w:rFonts w:cs="Arial"/>
          <w:snapToGrid w:val="0"/>
        </w:rPr>
        <w:t xml:space="preserve"> </w:t>
      </w:r>
      <w:r w:rsidR="00910ACB">
        <w:rPr>
          <w:rFonts w:cs="Arial"/>
          <w:snapToGrid w:val="0"/>
        </w:rPr>
        <w:t>CMS Measures</w:t>
      </w:r>
      <w:r w:rsidR="00E148CE" w:rsidRPr="009A5185">
        <w:rPr>
          <w:rFonts w:cs="Arial"/>
          <w:snapToGrid w:val="0"/>
        </w:rPr>
        <w:t>, please review the</w:t>
      </w:r>
      <w:r w:rsidR="00B93E94">
        <w:rPr>
          <w:rFonts w:cs="Arial"/>
          <w:snapToGrid w:val="0"/>
        </w:rPr>
        <w:t xml:space="preserve"> </w:t>
      </w:r>
      <w:hyperlink w:anchor="_High-Risk_Deliveries_Measure_1" w:history="1">
        <w:r w:rsidR="0016658F">
          <w:rPr>
            <w:rStyle w:val="Hyperlink"/>
            <w:rFonts w:cs="Arial"/>
            <w:snapToGrid w:val="0"/>
          </w:rPr>
          <w:t>Section 4E: High-Risk Deliveries Measure Specifications</w:t>
        </w:r>
      </w:hyperlink>
      <w:r w:rsidR="00485C62">
        <w:rPr>
          <w:rFonts w:cs="Arial"/>
          <w:snapToGrid w:val="0"/>
        </w:rPr>
        <w:t xml:space="preserve">, </w:t>
      </w:r>
      <w:r w:rsidR="00B93E94">
        <w:rPr>
          <w:rFonts w:cs="Arial"/>
          <w:snapToGrid w:val="0"/>
        </w:rPr>
        <w:t>the</w:t>
      </w:r>
      <w:r w:rsidR="00E148CE" w:rsidRPr="009A5185">
        <w:rPr>
          <w:rFonts w:cs="Arial"/>
          <w:snapToGrid w:val="0"/>
        </w:rPr>
        <w:t xml:space="preserve"> </w:t>
      </w:r>
      <w:hyperlink r:id="rId69" w:history="1">
        <w:r w:rsidR="009E060C" w:rsidRPr="00823C7F">
          <w:rPr>
            <w:rStyle w:val="Hyperlink"/>
            <w:rFonts w:cs="Arial"/>
            <w:snapToGrid w:val="0"/>
          </w:rPr>
          <w:t xml:space="preserve">Review NHSN Instructions </w:t>
        </w:r>
        <w:r w:rsidR="00823C7F" w:rsidRPr="00823C7F">
          <w:rPr>
            <w:rStyle w:val="Hyperlink"/>
            <w:rFonts w:cs="Arial"/>
            <w:snapToGrid w:val="0"/>
          </w:rPr>
          <w:t>webpage</w:t>
        </w:r>
      </w:hyperlink>
      <w:r w:rsidR="00485C62" w:rsidRPr="009B3CFF">
        <w:rPr>
          <w:rStyle w:val="Hyperlink"/>
          <w:rFonts w:cs="Arial"/>
          <w:snapToGrid w:val="0"/>
          <w:color w:val="auto"/>
          <w:u w:val="none"/>
        </w:rPr>
        <w:t xml:space="preserve">, and the </w:t>
      </w:r>
      <w:hyperlink w:anchor="_CMS_Measures_Measure" w:history="1">
        <w:r w:rsidR="00485C62" w:rsidRPr="00485C62">
          <w:rPr>
            <w:rStyle w:val="Hyperlink"/>
            <w:rFonts w:cs="Arial"/>
            <w:snapToGrid w:val="0"/>
          </w:rPr>
          <w:t xml:space="preserve">Section </w:t>
        </w:r>
        <w:r w:rsidR="001243C9">
          <w:rPr>
            <w:rStyle w:val="Hyperlink"/>
            <w:rFonts w:cs="Arial"/>
            <w:snapToGrid w:val="0"/>
          </w:rPr>
          <w:t>9</w:t>
        </w:r>
        <w:r w:rsidR="00910ACB">
          <w:rPr>
            <w:rStyle w:val="Hyperlink"/>
            <w:rFonts w:cs="Arial"/>
            <w:snapToGrid w:val="0"/>
          </w:rPr>
          <w:t>F</w:t>
        </w:r>
        <w:r w:rsidR="001243C9">
          <w:rPr>
            <w:rStyle w:val="Hyperlink"/>
            <w:rFonts w:cs="Arial"/>
            <w:snapToGrid w:val="0"/>
          </w:rPr>
          <w:t>:</w:t>
        </w:r>
        <w:r w:rsidR="00485C62" w:rsidRPr="00485C62">
          <w:rPr>
            <w:rStyle w:val="Hyperlink"/>
            <w:rFonts w:cs="Arial"/>
            <w:snapToGrid w:val="0"/>
          </w:rPr>
          <w:t xml:space="preserve"> </w:t>
        </w:r>
        <w:r w:rsidR="00910ACB">
          <w:rPr>
            <w:rStyle w:val="Hyperlink"/>
            <w:rFonts w:cs="Arial"/>
            <w:snapToGrid w:val="0"/>
          </w:rPr>
          <w:t>CMS Measures</w:t>
        </w:r>
        <w:r w:rsidR="00485C62" w:rsidRPr="00485C62">
          <w:rPr>
            <w:rStyle w:val="Hyperlink"/>
            <w:rFonts w:cs="Arial"/>
            <w:snapToGrid w:val="0"/>
          </w:rPr>
          <w:t xml:space="preserve"> Measure Specifications</w:t>
        </w:r>
      </w:hyperlink>
      <w:r w:rsidR="00485C62">
        <w:rPr>
          <w:rStyle w:val="Hyperlink"/>
          <w:rFonts w:cs="Arial"/>
          <w:snapToGrid w:val="0"/>
        </w:rPr>
        <w:t xml:space="preserve">. </w:t>
      </w:r>
    </w:p>
    <w:p w14:paraId="1EB4392D" w14:textId="5DD4C9FC" w:rsidR="00A73A06" w:rsidRDefault="00651640" w:rsidP="00A73A06">
      <w:r w:rsidRPr="009A5185">
        <w:rPr>
          <w:rFonts w:cs="Arial"/>
          <w:noProof/>
          <w:snapToGrid w:val="0"/>
        </w:rPr>
        <mc:AlternateContent>
          <mc:Choice Requires="wps">
            <w:drawing>
              <wp:anchor distT="0" distB="0" distL="114300" distR="114300" simplePos="0" relativeHeight="251658242" behindDoc="0" locked="0" layoutInCell="1" allowOverlap="1" wp14:anchorId="74DCF8AD" wp14:editId="748704EE">
                <wp:simplePos x="0" y="0"/>
                <wp:positionH relativeFrom="margin">
                  <wp:align>center</wp:align>
                </wp:positionH>
                <wp:positionV relativeFrom="paragraph">
                  <wp:posOffset>207010</wp:posOffset>
                </wp:positionV>
                <wp:extent cx="5191125" cy="1038225"/>
                <wp:effectExtent l="0" t="0" r="28575" b="28575"/>
                <wp:wrapTopAndBottom/>
                <wp:docPr id="2" name="Text Box 2" descr="P484TB40#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91125" cy="1038225"/>
                        </a:xfrm>
                        <a:prstGeom prst="rect">
                          <a:avLst/>
                        </a:prstGeom>
                        <a:ln>
                          <a:headEnd/>
                          <a:tailEnd/>
                        </a:ln>
                      </wps:spPr>
                      <wps:style>
                        <a:lnRef idx="2">
                          <a:schemeClr val="accent3"/>
                        </a:lnRef>
                        <a:fillRef idx="1">
                          <a:schemeClr val="lt1"/>
                        </a:fillRef>
                        <a:effectRef idx="0">
                          <a:schemeClr val="accent3"/>
                        </a:effectRef>
                        <a:fontRef idx="minor">
                          <a:schemeClr val="dk1"/>
                        </a:fontRef>
                      </wps:style>
                      <wps:txbx>
                        <w:txbxContent>
                          <w:p w14:paraId="4254E110" w14:textId="7D202BCB" w:rsidR="00322A3C" w:rsidRDefault="00322A3C" w:rsidP="007475A2">
                            <w:pPr>
                              <w:jc w:val="center"/>
                            </w:pPr>
                            <w:r w:rsidRPr="004610C1">
                              <w:rPr>
                                <w:b/>
                                <w:snapToGrid w:val="0"/>
                              </w:rPr>
                              <w:t>Quick Tip</w:t>
                            </w:r>
                            <w:r w:rsidRPr="004610C1">
                              <w:rPr>
                                <w:snapToGrid w:val="0"/>
                              </w:rPr>
                              <w:t>:</w:t>
                            </w:r>
                            <w:r>
                              <w:rPr>
                                <w:snapToGrid w:val="0"/>
                              </w:rPr>
                              <w:t xml:space="preserve"> Remember to re-affirm any section of the Survey that </w:t>
                            </w:r>
                            <w:r w:rsidR="00881435">
                              <w:rPr>
                                <w:snapToGrid w:val="0"/>
                              </w:rPr>
                              <w:t>is</w:t>
                            </w:r>
                            <w:r>
                              <w:rPr>
                                <w:snapToGrid w:val="0"/>
                              </w:rPr>
                              <w:t xml:space="preserve"> updated, </w:t>
                            </w:r>
                            <w:r w:rsidR="002107B9">
                              <w:rPr>
                                <w:snapToGrid w:val="0"/>
                              </w:rPr>
                              <w:t xml:space="preserve">check for data review warnings, </w:t>
                            </w:r>
                            <w:r>
                              <w:rPr>
                                <w:snapToGrid w:val="0"/>
                              </w:rPr>
                              <w:t xml:space="preserve">and then resubmit the </w:t>
                            </w:r>
                            <w:r w:rsidR="002107B9">
                              <w:rPr>
                                <w:snapToGrid w:val="0"/>
                              </w:rPr>
                              <w:t xml:space="preserve">entire </w:t>
                            </w:r>
                            <w:r>
                              <w:rPr>
                                <w:snapToGrid w:val="0"/>
                              </w:rPr>
                              <w:t xml:space="preserve">Survey. </w:t>
                            </w:r>
                            <w:r w:rsidR="002107B9">
                              <w:rPr>
                                <w:snapToGrid w:val="0"/>
                              </w:rPr>
                              <w:t>Always p</w:t>
                            </w:r>
                            <w:r>
                              <w:rPr>
                                <w:snapToGrid w:val="0"/>
                              </w:rPr>
                              <w:t xml:space="preserve">rint a copy of your Last Submitted Survey and review it for accuracy and completeness. Check your updated Survey Results within the first </w:t>
                            </w:r>
                            <w:r w:rsidR="00714AF2">
                              <w:rPr>
                                <w:snapToGrid w:val="0"/>
                              </w:rPr>
                              <w:t>7 (seven)</w:t>
                            </w:r>
                            <w:r>
                              <w:rPr>
                                <w:snapToGrid w:val="0"/>
                              </w:rPr>
                              <w:t xml:space="preserve"> business days of the month following your resubmission on the </w:t>
                            </w:r>
                            <w:hyperlink r:id="rId70" w:history="1">
                              <w:r w:rsidRPr="00E148CE">
                                <w:rPr>
                                  <w:rStyle w:val="Hyperlink"/>
                                  <w:snapToGrid w:val="0"/>
                                </w:rPr>
                                <w:t xml:space="preserve">public </w:t>
                              </w:r>
                              <w:r w:rsidR="00F220B6">
                                <w:rPr>
                                  <w:rStyle w:val="Hyperlink"/>
                                  <w:snapToGrid w:val="0"/>
                                </w:rPr>
                                <w:t xml:space="preserve">reporting </w:t>
                              </w:r>
                              <w:r w:rsidRPr="00E148CE">
                                <w:rPr>
                                  <w:rStyle w:val="Hyperlink"/>
                                  <w:snapToGrid w:val="0"/>
                                </w:rPr>
                                <w:t>website</w:t>
                              </w:r>
                            </w:hyperlink>
                            <w:r w:rsidR="002107B9">
                              <w:rPr>
                                <w:snapToGrid w:val="0"/>
                              </w:rPr>
                              <w:t xml:space="preserve"> and the Hospital Details Page.</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74DCF8AD" id="Text Box 2" o:spid="_x0000_s1027" type="#_x0000_t202" alt="P484TB40#y1" style="position:absolute;margin-left:0;margin-top:16.3pt;width:408.75pt;height:81.75pt;z-index:25165824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" fillcolor="white [3201]" strokecolor="#9bbb59 [3206]" strokeweight="2pt">
                <v:textbox>
                  <w:txbxContent>
                    <w:p w14:paraId="4254E110" w14:textId="7D202BCB" w:rsidR="00322A3C" w:rsidRDefault="00322A3C" w:rsidP="007475A2">
                      <w:pPr>
                        <w:jc w:val="center"/>
                      </w:pPr>
                      <w:r w:rsidRPr="004610C1">
                        <w:rPr>
                          <w:b/>
                          <w:snapToGrid w:val="0"/>
                        </w:rPr>
                        <w:t>Quick Tip</w:t>
                      </w:r>
                      <w:r w:rsidRPr="004610C1">
                        <w:rPr>
                          <w:snapToGrid w:val="0"/>
                        </w:rPr>
                        <w:t>:</w:t>
                      </w:r>
                      <w:r>
                        <w:rPr>
                          <w:snapToGrid w:val="0"/>
                        </w:rPr>
                        <w:t xml:space="preserve"> Remember to re-affirm any section of the Survey that </w:t>
                      </w:r>
                      <w:r w:rsidR="00881435">
                        <w:rPr>
                          <w:snapToGrid w:val="0"/>
                        </w:rPr>
                        <w:t>is</w:t>
                      </w:r>
                      <w:r>
                        <w:rPr>
                          <w:snapToGrid w:val="0"/>
                        </w:rPr>
                        <w:t xml:space="preserve"> updated, </w:t>
                      </w:r>
                      <w:r w:rsidR="002107B9">
                        <w:rPr>
                          <w:snapToGrid w:val="0"/>
                        </w:rPr>
                        <w:t xml:space="preserve">check for data review warnings, </w:t>
                      </w:r>
                      <w:r>
                        <w:rPr>
                          <w:snapToGrid w:val="0"/>
                        </w:rPr>
                        <w:t xml:space="preserve">and then resubmit the </w:t>
                      </w:r>
                      <w:r w:rsidR="002107B9">
                        <w:rPr>
                          <w:snapToGrid w:val="0"/>
                        </w:rPr>
                        <w:t xml:space="preserve">entire </w:t>
                      </w:r>
                      <w:r>
                        <w:rPr>
                          <w:snapToGrid w:val="0"/>
                        </w:rPr>
                        <w:t xml:space="preserve">Survey. </w:t>
                      </w:r>
                      <w:r w:rsidR="002107B9">
                        <w:rPr>
                          <w:snapToGrid w:val="0"/>
                        </w:rPr>
                        <w:t>Always p</w:t>
                      </w:r>
                      <w:r>
                        <w:rPr>
                          <w:snapToGrid w:val="0"/>
                        </w:rPr>
                        <w:t xml:space="preserve">rint a copy of your Last Submitted Survey and review it for accuracy and completeness. Check your updated Survey Results within the first </w:t>
                      </w:r>
                      <w:r w:rsidR="00714AF2">
                        <w:rPr>
                          <w:snapToGrid w:val="0"/>
                        </w:rPr>
                        <w:t>7 (seven)</w:t>
                      </w:r>
                      <w:r>
                        <w:rPr>
                          <w:snapToGrid w:val="0"/>
                        </w:rPr>
                        <w:t xml:space="preserve"> business days of the month following your resubmission on the </w:t>
                      </w:r>
                      <w:hyperlink r:id="rId71" w:history="1">
                        <w:r w:rsidRPr="00E148CE">
                          <w:rPr>
                            <w:rStyle w:val="Hyperlink"/>
                            <w:snapToGrid w:val="0"/>
                          </w:rPr>
                          <w:t xml:space="preserve">public </w:t>
                        </w:r>
                        <w:r w:rsidR="00F220B6">
                          <w:rPr>
                            <w:rStyle w:val="Hyperlink"/>
                            <w:snapToGrid w:val="0"/>
                          </w:rPr>
                          <w:t xml:space="preserve">reporting </w:t>
                        </w:r>
                        <w:r w:rsidRPr="00E148CE">
                          <w:rPr>
                            <w:rStyle w:val="Hyperlink"/>
                            <w:snapToGrid w:val="0"/>
                          </w:rPr>
                          <w:t>website</w:t>
                        </w:r>
                      </w:hyperlink>
                      <w:r w:rsidR="002107B9">
                        <w:rPr>
                          <w:snapToGrid w:val="0"/>
                        </w:rPr>
                        <w:t xml:space="preserve"> and the Hospital Details Page.</w:t>
                      </w:r>
                    </w:p>
                  </w:txbxContent>
                </v:textbox>
                <w10:wrap type="topAndBottom" anchorx="margin"/>
              </v:shape>
            </w:pict>
          </mc:Fallback>
        </mc:AlternateContent>
      </w:r>
      <w:bookmarkStart w:id="40" w:name="_Ensuring_Data_Accuracy"/>
      <w:bookmarkEnd w:id="40"/>
    </w:p>
    <w:p w14:paraId="3F4C349D" w14:textId="77777777" w:rsidR="00A73A06" w:rsidRPr="00A73A06" w:rsidRDefault="00A73A06" w:rsidP="00A73A06"/>
    <w:p w14:paraId="4D2F9FF5" w14:textId="77777777" w:rsidR="00490319" w:rsidRDefault="00490319">
      <w:pPr>
        <w:rPr>
          <w:b/>
          <w:snapToGrid w:val="0"/>
          <w:sz w:val="28"/>
          <w:szCs w:val="24"/>
          <w:u w:val="single"/>
          <w:lang w:eastAsia="ja-JP"/>
        </w:rPr>
      </w:pPr>
      <w:r>
        <w:br w:type="page"/>
      </w:r>
    </w:p>
    <w:p w14:paraId="26420FA2" w14:textId="61747EC1" w:rsidR="00955832" w:rsidRPr="00D62E76" w:rsidRDefault="0010643F" w:rsidP="00CF5A6E">
      <w:pPr>
        <w:pStyle w:val="Heading2"/>
        <w:rPr>
          <w:rFonts w:cs="Arial"/>
        </w:rPr>
      </w:pPr>
      <w:bookmarkStart w:id="41" w:name="_Toc225877647"/>
      <w:r w:rsidRPr="009A5185">
        <w:lastRenderedPageBreak/>
        <w:t>Deadlines</w:t>
      </w:r>
      <w:bookmarkEnd w:id="41"/>
    </w:p>
    <w:p w14:paraId="4F5E8CA6" w14:textId="77777777" w:rsidR="000D3D0A" w:rsidRPr="009A5185" w:rsidRDefault="000D3D0A" w:rsidP="000D3D0A">
      <w:pPr>
        <w:rPr>
          <w:rFonts w:cs="Arial"/>
          <w:lang w:eastAsia="ja-JP"/>
        </w:rPr>
      </w:pPr>
    </w:p>
    <w:p w14:paraId="79468B20" w14:textId="6F350709" w:rsidR="000D3D0A" w:rsidRPr="009A5185" w:rsidRDefault="000D3D0A" w:rsidP="00AB5B80">
      <w:pPr>
        <w:pStyle w:val="Heading3"/>
      </w:pPr>
      <w:bookmarkStart w:id="42" w:name="_Toc225877648"/>
      <w:r w:rsidRPr="009A5185">
        <w:t xml:space="preserve">Deadlines for the </w:t>
      </w:r>
      <w:r w:rsidR="00A236B1">
        <w:t>202</w:t>
      </w:r>
      <w:r w:rsidR="00072372">
        <w:t>6</w:t>
      </w:r>
      <w:r w:rsidR="00460E9D" w:rsidRPr="009A5185">
        <w:t xml:space="preserve"> </w:t>
      </w:r>
      <w:r w:rsidRPr="009A5185">
        <w:t xml:space="preserve">Leapfrog Hospital </w:t>
      </w:r>
      <w:r w:rsidR="00C14AFF" w:rsidRPr="009A5185">
        <w:t>Survey</w:t>
      </w:r>
      <w:bookmarkEnd w:id="42"/>
    </w:p>
    <w:p w14:paraId="75472BCC" w14:textId="77777777" w:rsidR="00DE6E30" w:rsidRDefault="00DE6E30" w:rsidP="000D3D0A">
      <w:pPr>
        <w:rPr>
          <w:rFonts w:cs="Arial"/>
          <w:lang w:eastAsia="ja-JP"/>
        </w:rPr>
      </w:pPr>
    </w:p>
    <w:p w14:paraId="1C152B45" w14:textId="151CBEC3" w:rsidR="00EB5B32" w:rsidRPr="00A521C2" w:rsidRDefault="000D3D0A" w:rsidP="000D3D0A">
      <w:pPr>
        <w:rPr>
          <w:rFonts w:cs="Arial"/>
          <w:lang w:eastAsia="ja-JP"/>
        </w:rPr>
      </w:pPr>
      <w:r w:rsidRPr="00A521C2">
        <w:rPr>
          <w:rFonts w:cs="Arial"/>
          <w:lang w:eastAsia="ja-JP"/>
        </w:rPr>
        <w:t xml:space="preserve">The </w:t>
      </w:r>
      <w:r w:rsidR="00A236B1">
        <w:rPr>
          <w:rFonts w:cs="Arial"/>
          <w:lang w:eastAsia="ja-JP"/>
        </w:rPr>
        <w:t>202</w:t>
      </w:r>
      <w:r w:rsidR="00AF7FF7">
        <w:rPr>
          <w:rFonts w:cs="Arial"/>
          <w:lang w:eastAsia="ja-JP"/>
        </w:rPr>
        <w:t>6</w:t>
      </w:r>
      <w:r w:rsidR="00460E9D" w:rsidRPr="00A521C2">
        <w:rPr>
          <w:rFonts w:cs="Arial"/>
          <w:lang w:eastAsia="ja-JP"/>
        </w:rPr>
        <w:t xml:space="preserve"> </w:t>
      </w:r>
      <w:r w:rsidRPr="00A521C2">
        <w:rPr>
          <w:rFonts w:cs="Arial"/>
          <w:lang w:eastAsia="ja-JP"/>
        </w:rPr>
        <w:t>Leapfrog Ho</w:t>
      </w:r>
      <w:r w:rsidR="00D66EDA" w:rsidRPr="00A521C2">
        <w:rPr>
          <w:rFonts w:cs="Arial"/>
          <w:lang w:eastAsia="ja-JP"/>
        </w:rPr>
        <w:t xml:space="preserve">spital </w:t>
      </w:r>
      <w:r w:rsidR="00C14AFF" w:rsidRPr="00A521C2">
        <w:rPr>
          <w:rFonts w:cs="Arial"/>
          <w:lang w:eastAsia="ja-JP"/>
        </w:rPr>
        <w:t>Survey</w:t>
      </w:r>
      <w:r w:rsidR="00317BA1">
        <w:rPr>
          <w:rFonts w:cs="Arial"/>
          <w:lang w:eastAsia="ja-JP"/>
        </w:rPr>
        <w:t>, including the CPOE Evaluation Tool</w:t>
      </w:r>
      <w:r w:rsidR="00927D7A">
        <w:rPr>
          <w:rFonts w:cs="Arial"/>
          <w:lang w:eastAsia="ja-JP"/>
        </w:rPr>
        <w:t xml:space="preserve"> (if applicable)</w:t>
      </w:r>
      <w:r w:rsidR="00317BA1">
        <w:rPr>
          <w:rFonts w:cs="Arial"/>
          <w:lang w:eastAsia="ja-JP"/>
        </w:rPr>
        <w:t>,</w:t>
      </w:r>
      <w:r w:rsidR="00C64016" w:rsidRPr="00A521C2">
        <w:rPr>
          <w:rFonts w:cs="Arial"/>
          <w:lang w:eastAsia="ja-JP"/>
        </w:rPr>
        <w:t xml:space="preserve"> </w:t>
      </w:r>
      <w:r w:rsidR="00D66EDA" w:rsidRPr="00A521C2">
        <w:rPr>
          <w:rFonts w:cs="Arial"/>
          <w:lang w:eastAsia="ja-JP"/>
        </w:rPr>
        <w:t xml:space="preserve">opens on April 1 </w:t>
      </w:r>
      <w:r w:rsidRPr="00A521C2">
        <w:rPr>
          <w:rFonts w:cs="Arial"/>
          <w:lang w:eastAsia="ja-JP"/>
        </w:rPr>
        <w:t xml:space="preserve">and </w:t>
      </w:r>
      <w:r w:rsidR="0069132C" w:rsidRPr="00A521C2">
        <w:rPr>
          <w:rFonts w:cs="Arial"/>
          <w:lang w:eastAsia="ja-JP"/>
        </w:rPr>
        <w:t xml:space="preserve">has a Submission Deadline of </w:t>
      </w:r>
      <w:r w:rsidR="00C06E0F">
        <w:rPr>
          <w:rFonts w:cs="Arial"/>
          <w:b/>
          <w:bCs/>
          <w:lang w:eastAsia="ja-JP"/>
        </w:rPr>
        <w:t>Ju</w:t>
      </w:r>
      <w:r w:rsidR="00386C41">
        <w:rPr>
          <w:rFonts w:cs="Arial"/>
          <w:b/>
          <w:bCs/>
          <w:lang w:eastAsia="ja-JP"/>
        </w:rPr>
        <w:t>ne</w:t>
      </w:r>
      <w:r w:rsidR="00C06E0F">
        <w:rPr>
          <w:rFonts w:cs="Arial"/>
          <w:b/>
          <w:bCs/>
          <w:lang w:eastAsia="ja-JP"/>
        </w:rPr>
        <w:t xml:space="preserve"> 3</w:t>
      </w:r>
      <w:r w:rsidR="00386C41">
        <w:rPr>
          <w:rFonts w:cs="Arial"/>
          <w:b/>
          <w:bCs/>
          <w:lang w:eastAsia="ja-JP"/>
        </w:rPr>
        <w:t>0</w:t>
      </w:r>
      <w:r w:rsidR="00C64016" w:rsidRPr="00A521C2">
        <w:rPr>
          <w:rFonts w:cs="Arial"/>
          <w:b/>
          <w:bCs/>
          <w:lang w:eastAsia="ja-JP"/>
        </w:rPr>
        <w:t xml:space="preserve">, </w:t>
      </w:r>
      <w:r w:rsidR="00A236B1">
        <w:rPr>
          <w:rFonts w:cs="Arial"/>
          <w:b/>
          <w:bCs/>
          <w:lang w:eastAsia="ja-JP"/>
        </w:rPr>
        <w:t>202</w:t>
      </w:r>
      <w:r w:rsidR="00AF7FF7">
        <w:rPr>
          <w:rFonts w:cs="Arial"/>
          <w:b/>
          <w:bCs/>
          <w:lang w:eastAsia="ja-JP"/>
        </w:rPr>
        <w:t>6</w:t>
      </w:r>
      <w:r w:rsidR="00C64016" w:rsidRPr="00A521C2">
        <w:rPr>
          <w:rFonts w:cs="Arial"/>
          <w:lang w:eastAsia="ja-JP"/>
        </w:rPr>
        <w:t>.</w:t>
      </w:r>
      <w:r w:rsidR="0069132C" w:rsidRPr="00A521C2">
        <w:rPr>
          <w:rFonts w:cs="Arial"/>
          <w:lang w:eastAsia="ja-JP"/>
        </w:rPr>
        <w:t xml:space="preserve"> The Late Submission </w:t>
      </w:r>
      <w:r w:rsidR="00123E52" w:rsidRPr="00123E52">
        <w:rPr>
          <w:rFonts w:cs="Arial"/>
          <w:bCs/>
          <w:snapToGrid w:val="0"/>
        </w:rPr>
        <w:t>and Performance Update</w:t>
      </w:r>
      <w:r w:rsidR="00123E52">
        <w:rPr>
          <w:rFonts w:cs="Arial"/>
          <w:bCs/>
          <w:snapToGrid w:val="0"/>
          <w:sz w:val="16"/>
          <w:szCs w:val="16"/>
        </w:rPr>
        <w:t xml:space="preserve"> </w:t>
      </w:r>
      <w:r w:rsidR="0069132C" w:rsidRPr="00A521C2">
        <w:rPr>
          <w:rFonts w:cs="Arial"/>
          <w:lang w:eastAsia="ja-JP"/>
        </w:rPr>
        <w:t>Deadline is</w:t>
      </w:r>
      <w:r w:rsidR="00A53FE0" w:rsidRPr="00A521C2">
        <w:rPr>
          <w:rFonts w:cs="Arial"/>
          <w:lang w:eastAsia="ja-JP"/>
        </w:rPr>
        <w:t xml:space="preserve"> </w:t>
      </w:r>
      <w:r w:rsidR="00317BA1">
        <w:rPr>
          <w:rFonts w:cs="Arial"/>
          <w:b/>
          <w:lang w:eastAsia="ja-JP"/>
        </w:rPr>
        <w:t>November 30</w:t>
      </w:r>
      <w:r w:rsidR="0069132C" w:rsidRPr="00A521C2">
        <w:rPr>
          <w:rFonts w:cs="Arial"/>
          <w:b/>
          <w:lang w:eastAsia="ja-JP"/>
        </w:rPr>
        <w:t xml:space="preserve">, </w:t>
      </w:r>
      <w:r w:rsidR="00A236B1">
        <w:rPr>
          <w:rFonts w:cs="Arial"/>
          <w:b/>
          <w:lang w:eastAsia="ja-JP"/>
        </w:rPr>
        <w:t>202</w:t>
      </w:r>
      <w:r w:rsidR="00AF7FF7">
        <w:rPr>
          <w:rFonts w:cs="Arial"/>
          <w:b/>
          <w:lang w:eastAsia="ja-JP"/>
        </w:rPr>
        <w:t>6</w:t>
      </w:r>
      <w:r w:rsidR="00092C7E" w:rsidRPr="00A521C2">
        <w:rPr>
          <w:rFonts w:cs="Arial"/>
          <w:lang w:eastAsia="ja-JP"/>
        </w:rPr>
        <w:t xml:space="preserve">. </w:t>
      </w:r>
      <w:r w:rsidR="00C14AFF" w:rsidRPr="00A521C2">
        <w:rPr>
          <w:rFonts w:cs="Arial"/>
          <w:lang w:eastAsia="ja-JP"/>
        </w:rPr>
        <w:t>Survey</w:t>
      </w:r>
      <w:r w:rsidR="00092C7E" w:rsidRPr="00A521C2">
        <w:rPr>
          <w:rFonts w:cs="Arial"/>
          <w:lang w:eastAsia="ja-JP"/>
        </w:rPr>
        <w:t xml:space="preserve">s </w:t>
      </w:r>
      <w:r w:rsidR="00317BA1">
        <w:rPr>
          <w:rFonts w:cs="Arial"/>
          <w:lang w:eastAsia="ja-JP"/>
        </w:rPr>
        <w:t xml:space="preserve">and Adult Inpatient CPOE Tests </w:t>
      </w:r>
      <w:r w:rsidR="00092C7E" w:rsidRPr="00A521C2">
        <w:rPr>
          <w:rFonts w:cs="Arial"/>
          <w:lang w:eastAsia="ja-JP"/>
        </w:rPr>
        <w:t xml:space="preserve">must be submitted before </w:t>
      </w:r>
      <w:r w:rsidR="00317BA1">
        <w:rPr>
          <w:rFonts w:cs="Arial"/>
          <w:lang w:eastAsia="ja-JP"/>
        </w:rPr>
        <w:t>11:59 pm</w:t>
      </w:r>
      <w:r w:rsidR="00092C7E" w:rsidRPr="00A521C2">
        <w:rPr>
          <w:rFonts w:cs="Arial"/>
          <w:lang w:eastAsia="ja-JP"/>
        </w:rPr>
        <w:t xml:space="preserve"> Eastern Time on </w:t>
      </w:r>
      <w:r w:rsidR="00317BA1">
        <w:rPr>
          <w:rFonts w:cs="Arial"/>
          <w:b/>
          <w:lang w:eastAsia="ja-JP"/>
        </w:rPr>
        <w:t>November 30</w:t>
      </w:r>
      <w:r w:rsidR="00092C7E" w:rsidRPr="00A521C2">
        <w:rPr>
          <w:rFonts w:cs="Arial"/>
          <w:lang w:eastAsia="ja-JP"/>
        </w:rPr>
        <w:t>. The CPOE Evaluation Tool will not be available</w:t>
      </w:r>
      <w:r w:rsidR="00317BA1">
        <w:rPr>
          <w:rFonts w:cs="Arial"/>
          <w:lang w:eastAsia="ja-JP"/>
        </w:rPr>
        <w:t xml:space="preserve"> after </w:t>
      </w:r>
      <w:r w:rsidR="00317BA1">
        <w:rPr>
          <w:rFonts w:cs="Arial"/>
          <w:b/>
          <w:bCs/>
          <w:lang w:eastAsia="ja-JP"/>
        </w:rPr>
        <w:t>November 30</w:t>
      </w:r>
      <w:r w:rsidR="00092C7E" w:rsidRPr="00A521C2">
        <w:rPr>
          <w:rFonts w:cs="Arial"/>
          <w:lang w:eastAsia="ja-JP"/>
        </w:rPr>
        <w:t>.</w:t>
      </w:r>
      <w:r w:rsidR="00416A40">
        <w:rPr>
          <w:rFonts w:cs="Arial"/>
          <w:lang w:eastAsia="ja-JP"/>
        </w:rPr>
        <w:t xml:space="preserve"> </w:t>
      </w:r>
      <w:r w:rsidR="00416A40" w:rsidRPr="00416A40">
        <w:rPr>
          <w:rFonts w:cs="Arial"/>
          <w:lang w:eastAsia="ja-JP"/>
        </w:rPr>
        <w:t xml:space="preserve">The View CPOE </w:t>
      </w:r>
      <w:r w:rsidR="00421B8A">
        <w:rPr>
          <w:rFonts w:cs="Arial"/>
          <w:lang w:eastAsia="ja-JP"/>
        </w:rPr>
        <w:t xml:space="preserve">Evaluation Tool </w:t>
      </w:r>
      <w:r w:rsidR="00416A40" w:rsidRPr="00416A40">
        <w:rPr>
          <w:rFonts w:cs="Arial"/>
          <w:lang w:eastAsia="ja-JP"/>
        </w:rPr>
        <w:t>results</w:t>
      </w:r>
      <w:r w:rsidR="00421B8A">
        <w:rPr>
          <w:rFonts w:cs="Arial"/>
          <w:lang w:eastAsia="ja-JP"/>
        </w:rPr>
        <w:t xml:space="preserve"> </w:t>
      </w:r>
      <w:r w:rsidR="00416A40" w:rsidRPr="00416A40">
        <w:rPr>
          <w:rFonts w:cs="Arial"/>
          <w:lang w:eastAsia="ja-JP"/>
        </w:rPr>
        <w:t xml:space="preserve">link on the Survey Dashboard can </w:t>
      </w:r>
      <w:r w:rsidR="00416A40">
        <w:rPr>
          <w:rFonts w:cs="Arial"/>
          <w:lang w:eastAsia="ja-JP"/>
        </w:rPr>
        <w:t xml:space="preserve">only </w:t>
      </w:r>
      <w:r w:rsidR="00416A40" w:rsidRPr="00416A40">
        <w:rPr>
          <w:rFonts w:cs="Arial"/>
          <w:lang w:eastAsia="ja-JP"/>
        </w:rPr>
        <w:t>be accessed between April 1 and November 30</w:t>
      </w:r>
      <w:r w:rsidR="00690680">
        <w:rPr>
          <w:rFonts w:cs="Arial"/>
          <w:lang w:eastAsia="ja-JP"/>
        </w:rPr>
        <w:t>,</w:t>
      </w:r>
      <w:r w:rsidR="00416A40" w:rsidRPr="00416A40">
        <w:rPr>
          <w:rFonts w:cs="Arial"/>
          <w:lang w:eastAsia="ja-JP"/>
        </w:rPr>
        <w:t xml:space="preserve"> so </w:t>
      </w:r>
      <w:r w:rsidR="00690680">
        <w:rPr>
          <w:rFonts w:cs="Arial"/>
          <w:lang w:eastAsia="ja-JP"/>
        </w:rPr>
        <w:t xml:space="preserve">test </w:t>
      </w:r>
      <w:r w:rsidR="00416A40" w:rsidRPr="00416A40">
        <w:rPr>
          <w:rFonts w:cs="Arial"/>
          <w:lang w:eastAsia="ja-JP"/>
        </w:rPr>
        <w:t xml:space="preserve">results must be printed </w:t>
      </w:r>
      <w:r w:rsidR="00416A40">
        <w:rPr>
          <w:rFonts w:cs="Arial"/>
          <w:lang w:eastAsia="ja-JP"/>
        </w:rPr>
        <w:t>by November 30</w:t>
      </w:r>
      <w:r w:rsidR="00416A40" w:rsidRPr="00416A40">
        <w:rPr>
          <w:rFonts w:cs="Arial"/>
          <w:lang w:eastAsia="ja-JP"/>
        </w:rPr>
        <w:t>.</w:t>
      </w:r>
    </w:p>
    <w:p w14:paraId="1745F313" w14:textId="77777777" w:rsidR="00092C7E" w:rsidRPr="00A521C2" w:rsidRDefault="00092C7E" w:rsidP="000D3D0A">
      <w:pPr>
        <w:rPr>
          <w:rFonts w:cs="Arial"/>
          <w:lang w:eastAsia="ja-JP"/>
        </w:rPr>
      </w:pPr>
    </w:p>
    <w:p w14:paraId="718AE462" w14:textId="216A1B64" w:rsidR="000D3D0A" w:rsidRDefault="004F1742" w:rsidP="000D3D0A">
      <w:pPr>
        <w:rPr>
          <w:rFonts w:cs="Arial"/>
          <w:lang w:eastAsia="ja-JP"/>
        </w:rPr>
      </w:pPr>
      <w:r w:rsidRPr="00A521C2">
        <w:rPr>
          <w:rFonts w:cs="Arial"/>
          <w:lang w:eastAsia="ja-JP"/>
        </w:rPr>
        <w:t xml:space="preserve">Corrections to </w:t>
      </w:r>
      <w:r w:rsidR="00C14AFF" w:rsidRPr="00A521C2">
        <w:rPr>
          <w:rFonts w:cs="Arial"/>
        </w:rPr>
        <w:t>Survey</w:t>
      </w:r>
      <w:r w:rsidR="00D66EDA" w:rsidRPr="00A521C2">
        <w:rPr>
          <w:rFonts w:cs="Arial"/>
        </w:rPr>
        <w:t xml:space="preserve">s submitted by </w:t>
      </w:r>
      <w:r w:rsidR="005D79F9">
        <w:rPr>
          <w:rFonts w:cs="Arial"/>
          <w:b/>
          <w:lang w:eastAsia="ja-JP"/>
        </w:rPr>
        <w:t>November 30</w:t>
      </w:r>
      <w:r w:rsidR="00460E9D" w:rsidRPr="00A521C2">
        <w:rPr>
          <w:rFonts w:cs="Arial"/>
          <w:color w:val="FF0000"/>
        </w:rPr>
        <w:t xml:space="preserve"> </w:t>
      </w:r>
      <w:r w:rsidR="000D3D0A" w:rsidRPr="00A521C2">
        <w:rPr>
          <w:rFonts w:cs="Arial"/>
        </w:rPr>
        <w:t xml:space="preserve">must </w:t>
      </w:r>
      <w:r w:rsidR="00EE2038" w:rsidRPr="00A521C2">
        <w:rPr>
          <w:rFonts w:cs="Arial"/>
        </w:rPr>
        <w:t xml:space="preserve">be </w:t>
      </w:r>
      <w:r w:rsidRPr="00A521C2">
        <w:rPr>
          <w:rFonts w:cs="Arial"/>
        </w:rPr>
        <w:t xml:space="preserve">submitted </w:t>
      </w:r>
      <w:r w:rsidR="0069132C" w:rsidRPr="00A521C2">
        <w:rPr>
          <w:rFonts w:cs="Arial"/>
        </w:rPr>
        <w:t xml:space="preserve">by the </w:t>
      </w:r>
      <w:r w:rsidR="0069132C" w:rsidRPr="00A521C2">
        <w:rPr>
          <w:rFonts w:cs="Arial"/>
          <w:b/>
        </w:rPr>
        <w:t xml:space="preserve">January 31, </w:t>
      </w:r>
      <w:r w:rsidR="0003234D">
        <w:rPr>
          <w:rFonts w:cs="Arial"/>
          <w:b/>
        </w:rPr>
        <w:t>202</w:t>
      </w:r>
      <w:r w:rsidR="00AF7FF7">
        <w:rPr>
          <w:rFonts w:cs="Arial"/>
          <w:b/>
        </w:rPr>
        <w:t>7</w:t>
      </w:r>
      <w:r w:rsidR="0069132C" w:rsidRPr="00A521C2">
        <w:rPr>
          <w:rFonts w:cs="Arial"/>
        </w:rPr>
        <w:t xml:space="preserve"> Correction</w:t>
      </w:r>
      <w:r w:rsidR="00FD74ED">
        <w:rPr>
          <w:rFonts w:cs="Arial"/>
        </w:rPr>
        <w:t>s</w:t>
      </w:r>
      <w:r w:rsidR="0069132C" w:rsidRPr="00A521C2">
        <w:rPr>
          <w:rFonts w:cs="Arial"/>
        </w:rPr>
        <w:t xml:space="preserve"> Deadline</w:t>
      </w:r>
      <w:r w:rsidRPr="00A521C2">
        <w:rPr>
          <w:rFonts w:cs="Arial"/>
        </w:rPr>
        <w:t xml:space="preserve">. </w:t>
      </w:r>
      <w:r w:rsidR="00092C7E" w:rsidRPr="00A521C2">
        <w:rPr>
          <w:rFonts w:cs="Arial"/>
        </w:rPr>
        <w:t xml:space="preserve">The </w:t>
      </w:r>
      <w:r w:rsidR="004B22C6" w:rsidRPr="00A521C2">
        <w:rPr>
          <w:rFonts w:cs="Arial"/>
        </w:rPr>
        <w:t>Online Hospital Survey Tool</w:t>
      </w:r>
      <w:r w:rsidR="00092C7E" w:rsidRPr="00A521C2">
        <w:rPr>
          <w:rFonts w:cs="Arial"/>
        </w:rPr>
        <w:t xml:space="preserve"> will not be available after </w:t>
      </w:r>
      <w:r w:rsidR="00092C7E" w:rsidRPr="00A521C2">
        <w:rPr>
          <w:rFonts w:cs="Arial"/>
          <w:b/>
        </w:rPr>
        <w:t>January 31</w:t>
      </w:r>
      <w:r w:rsidR="00BA1385">
        <w:rPr>
          <w:rFonts w:cs="Arial"/>
          <w:b/>
        </w:rPr>
        <w:t>, 202</w:t>
      </w:r>
      <w:r w:rsidR="004A35FA">
        <w:rPr>
          <w:rFonts w:cs="Arial"/>
          <w:b/>
        </w:rPr>
        <w:t>7</w:t>
      </w:r>
      <w:r w:rsidR="00092C7E" w:rsidRPr="00A521C2">
        <w:rPr>
          <w:rFonts w:cs="Arial"/>
        </w:rPr>
        <w:t xml:space="preserve">. </w:t>
      </w:r>
      <w:r w:rsidR="000D3D0A" w:rsidRPr="00A521C2">
        <w:rPr>
          <w:rFonts w:cs="Arial"/>
          <w:lang w:eastAsia="ja-JP"/>
        </w:rPr>
        <w:t>F</w:t>
      </w:r>
      <w:r w:rsidR="00010CA6" w:rsidRPr="00A521C2">
        <w:rPr>
          <w:rFonts w:cs="Arial"/>
          <w:lang w:eastAsia="ja-JP"/>
        </w:rPr>
        <w:t>ind d</w:t>
      </w:r>
      <w:r w:rsidR="000D3D0A" w:rsidRPr="00A521C2">
        <w:rPr>
          <w:rFonts w:cs="Arial"/>
          <w:lang w:eastAsia="ja-JP"/>
        </w:rPr>
        <w:t xml:space="preserve">etailed </w:t>
      </w:r>
      <w:r w:rsidR="00EE2038" w:rsidRPr="00A521C2">
        <w:rPr>
          <w:rFonts w:cs="Arial"/>
          <w:lang w:eastAsia="ja-JP"/>
        </w:rPr>
        <w:t>i</w:t>
      </w:r>
      <w:r w:rsidR="000D3D0A" w:rsidRPr="00A521C2">
        <w:rPr>
          <w:rFonts w:cs="Arial"/>
          <w:lang w:eastAsia="ja-JP"/>
        </w:rPr>
        <w:t>nformation about</w:t>
      </w:r>
      <w:r w:rsidR="00010CA6" w:rsidRPr="00A521C2">
        <w:rPr>
          <w:rFonts w:cs="Arial"/>
          <w:lang w:eastAsia="ja-JP"/>
        </w:rPr>
        <w:t xml:space="preserve"> the</w:t>
      </w:r>
      <w:r w:rsidR="000D3D0A" w:rsidRPr="00A521C2">
        <w:rPr>
          <w:rFonts w:cs="Arial"/>
          <w:lang w:eastAsia="ja-JP"/>
        </w:rPr>
        <w:t xml:space="preserve"> </w:t>
      </w:r>
      <w:r w:rsidR="00A236B1">
        <w:rPr>
          <w:rFonts w:cs="Arial"/>
          <w:lang w:eastAsia="ja-JP"/>
        </w:rPr>
        <w:t>202</w:t>
      </w:r>
      <w:r w:rsidR="004A35FA">
        <w:rPr>
          <w:rFonts w:cs="Arial"/>
          <w:lang w:eastAsia="ja-JP"/>
        </w:rPr>
        <w:t>6</w:t>
      </w:r>
      <w:r w:rsidR="00460E9D" w:rsidRPr="00A521C2">
        <w:rPr>
          <w:rFonts w:cs="Arial"/>
          <w:lang w:eastAsia="ja-JP"/>
        </w:rPr>
        <w:t xml:space="preserve"> </w:t>
      </w:r>
      <w:r w:rsidR="000D3D0A" w:rsidRPr="00A521C2">
        <w:rPr>
          <w:rFonts w:cs="Arial"/>
          <w:lang w:eastAsia="ja-JP"/>
        </w:rPr>
        <w:t xml:space="preserve">Leapfrog Hospital </w:t>
      </w:r>
      <w:r w:rsidR="00C14AFF" w:rsidRPr="00A521C2">
        <w:rPr>
          <w:rFonts w:cs="Arial"/>
          <w:lang w:eastAsia="ja-JP"/>
        </w:rPr>
        <w:t>Survey</w:t>
      </w:r>
      <w:r w:rsidR="000D3D0A" w:rsidRPr="00A521C2">
        <w:rPr>
          <w:rFonts w:cs="Arial"/>
          <w:lang w:eastAsia="ja-JP"/>
        </w:rPr>
        <w:t xml:space="preserve"> Deadlines, including </w:t>
      </w:r>
      <w:r w:rsidR="00EE2038" w:rsidRPr="00A521C2">
        <w:rPr>
          <w:rFonts w:cs="Arial"/>
          <w:lang w:eastAsia="ja-JP"/>
        </w:rPr>
        <w:t>deadlines for receiving free Competitive Benchmarking Summary Reports</w:t>
      </w:r>
      <w:r w:rsidR="000D3D0A" w:rsidRPr="00A521C2">
        <w:rPr>
          <w:rFonts w:cs="Arial"/>
          <w:lang w:eastAsia="ja-JP"/>
        </w:rPr>
        <w:t xml:space="preserve"> and</w:t>
      </w:r>
      <w:r w:rsidR="008D2906" w:rsidRPr="00A521C2">
        <w:rPr>
          <w:rFonts w:cs="Arial"/>
          <w:lang w:eastAsia="ja-JP"/>
        </w:rPr>
        <w:t xml:space="preserve"> </w:t>
      </w:r>
      <w:r w:rsidR="00A008D1" w:rsidRPr="00A521C2">
        <w:rPr>
          <w:rFonts w:cs="Arial"/>
          <w:lang w:eastAsia="ja-JP"/>
        </w:rPr>
        <w:t xml:space="preserve">consideration for </w:t>
      </w:r>
      <w:r w:rsidR="008D2906" w:rsidRPr="00A521C2">
        <w:rPr>
          <w:rFonts w:cs="Arial"/>
          <w:lang w:eastAsia="ja-JP"/>
        </w:rPr>
        <w:t xml:space="preserve">Top Hospital </w:t>
      </w:r>
      <w:r w:rsidR="00EE2038" w:rsidRPr="00A521C2">
        <w:rPr>
          <w:rFonts w:cs="Arial"/>
          <w:lang w:eastAsia="ja-JP"/>
        </w:rPr>
        <w:t>Award</w:t>
      </w:r>
      <w:r w:rsidR="009B0E91" w:rsidRPr="00A521C2">
        <w:rPr>
          <w:rFonts w:cs="Arial"/>
          <w:lang w:eastAsia="ja-JP"/>
        </w:rPr>
        <w:t xml:space="preserve">s on the </w:t>
      </w:r>
      <w:hyperlink r:id="rId72" w:history="1">
        <w:r w:rsidR="009B0E91" w:rsidRPr="00A521C2">
          <w:rPr>
            <w:rStyle w:val="Hyperlink"/>
            <w:rFonts w:cs="Arial"/>
            <w:lang w:eastAsia="ja-JP"/>
          </w:rPr>
          <w:t>Deadlines webpage</w:t>
        </w:r>
      </w:hyperlink>
      <w:r w:rsidR="009B0E91" w:rsidRPr="00A521C2">
        <w:rPr>
          <w:rFonts w:cs="Arial"/>
          <w:lang w:eastAsia="ja-JP"/>
        </w:rPr>
        <w:t>.</w:t>
      </w:r>
      <w:r w:rsidR="009B0E91" w:rsidRPr="009A5185">
        <w:rPr>
          <w:rFonts w:cs="Arial"/>
          <w:lang w:eastAsia="ja-JP"/>
        </w:rPr>
        <w:t xml:space="preserve"> </w:t>
      </w:r>
    </w:p>
    <w:p w14:paraId="72008A0B" w14:textId="77777777" w:rsidR="00A73A06" w:rsidRDefault="00A73A06" w:rsidP="000D3D0A">
      <w:pPr>
        <w:rPr>
          <w:rFonts w:cs="Arial"/>
          <w:lang w:eastAsia="ja-JP"/>
        </w:rPr>
      </w:pPr>
    </w:p>
    <w:p w14:paraId="5A5FA637" w14:textId="77777777" w:rsidR="00AD475B" w:rsidRDefault="00AD475B" w:rsidP="00AB5B80">
      <w:pPr>
        <w:pStyle w:val="Heading3"/>
      </w:pPr>
      <w:bookmarkStart w:id="43" w:name="_Toc225877649"/>
      <w:r>
        <w:t>Deadlines for Vermont Oxford Network Data</w:t>
      </w:r>
      <w:bookmarkEnd w:id="43"/>
    </w:p>
    <w:p w14:paraId="22786B37" w14:textId="77777777" w:rsidR="00AD475B" w:rsidRDefault="00AD475B" w:rsidP="00AD475B">
      <w:pPr>
        <w:rPr>
          <w:rFonts w:cs="Arial"/>
          <w:lang w:eastAsia="ja-JP"/>
        </w:rPr>
      </w:pPr>
    </w:p>
    <w:p w14:paraId="31B3D0D7" w14:textId="6BEB977B" w:rsidR="00AD475B" w:rsidRPr="009A5185" w:rsidRDefault="00AD475B" w:rsidP="000D3D0A">
      <w:pPr>
        <w:rPr>
          <w:rFonts w:cs="Arial"/>
          <w:lang w:eastAsia="ja-JP"/>
        </w:rPr>
      </w:pPr>
      <w:r w:rsidRPr="008059CD">
        <w:rPr>
          <w:rFonts w:cs="Arial"/>
          <w:lang w:eastAsia="ja-JP"/>
        </w:rPr>
        <w:t>Hospitals participating in the Vermont Oxford Network (VON) may opt to report on the VON National Performance Measure</w:t>
      </w:r>
      <w:r>
        <w:rPr>
          <w:rFonts w:cs="Arial"/>
          <w:lang w:eastAsia="ja-JP"/>
        </w:rPr>
        <w:t xml:space="preserve"> in Section 4</w:t>
      </w:r>
      <w:r w:rsidR="0016658F">
        <w:rPr>
          <w:rFonts w:cs="Arial"/>
          <w:lang w:eastAsia="ja-JP"/>
        </w:rPr>
        <w:t>E</w:t>
      </w:r>
      <w:r w:rsidR="001243C9">
        <w:rPr>
          <w:rFonts w:cs="Arial"/>
          <w:lang w:eastAsia="ja-JP"/>
        </w:rPr>
        <w:t>:</w:t>
      </w:r>
      <w:r>
        <w:rPr>
          <w:rFonts w:cs="Arial"/>
          <w:lang w:eastAsia="ja-JP"/>
        </w:rPr>
        <w:t xml:space="preserve"> High-Risk Deliveries. Instructions, deadlines, and reporting periods can be reviewed in the </w:t>
      </w:r>
      <w:hyperlink w:anchor="_High-Risk_Deliveries_Measure_1" w:history="1">
        <w:r w:rsidRPr="008059CD">
          <w:rPr>
            <w:rStyle w:val="Hyperlink"/>
            <w:rFonts w:cs="Arial"/>
            <w:lang w:eastAsia="ja-JP"/>
          </w:rPr>
          <w:t>VON National Performance Measure Specifications</w:t>
        </w:r>
      </w:hyperlink>
      <w:r>
        <w:rPr>
          <w:rFonts w:cs="Arial"/>
          <w:lang w:eastAsia="ja-JP"/>
        </w:rPr>
        <w:t>.</w:t>
      </w:r>
    </w:p>
    <w:p w14:paraId="7868848D" w14:textId="77777777" w:rsidR="005A6629" w:rsidRPr="009A5185" w:rsidRDefault="005A6629" w:rsidP="000D3D0A">
      <w:pPr>
        <w:rPr>
          <w:rFonts w:cs="Arial"/>
          <w:lang w:eastAsia="ja-JP"/>
        </w:rPr>
      </w:pPr>
    </w:p>
    <w:p w14:paraId="5CB2064A" w14:textId="77777777" w:rsidR="005A6629" w:rsidRPr="009A5185" w:rsidRDefault="005A6629" w:rsidP="00AB5B80">
      <w:pPr>
        <w:pStyle w:val="Heading3"/>
      </w:pPr>
      <w:bookmarkStart w:id="44" w:name="_Toc225877650"/>
      <w:r w:rsidRPr="009A5185">
        <w:t>Deadlines to Join Leapfrog’s NHSN Group</w:t>
      </w:r>
      <w:bookmarkEnd w:id="44"/>
    </w:p>
    <w:p w14:paraId="25F0BF1F" w14:textId="77777777" w:rsidR="00DE6E30" w:rsidRDefault="00DE6E30" w:rsidP="000D3D0A">
      <w:pPr>
        <w:rPr>
          <w:rFonts w:cs="Arial"/>
          <w:lang w:eastAsia="ja-JP"/>
        </w:rPr>
      </w:pPr>
    </w:p>
    <w:p w14:paraId="34A82278" w14:textId="7C924F78" w:rsidR="005A6629" w:rsidRPr="009A5185" w:rsidRDefault="005A6629" w:rsidP="000D3D0A">
      <w:pPr>
        <w:rPr>
          <w:rFonts w:cs="Arial"/>
          <w:lang w:eastAsia="ja-JP"/>
        </w:rPr>
      </w:pPr>
      <w:r w:rsidRPr="009A5185">
        <w:rPr>
          <w:rFonts w:cs="Arial"/>
          <w:lang w:eastAsia="ja-JP"/>
        </w:rPr>
        <w:t>Hospitals reporting on Section 7B</w:t>
      </w:r>
      <w:r w:rsidR="001243C9">
        <w:rPr>
          <w:rFonts w:cs="Arial"/>
          <w:lang w:eastAsia="ja-JP"/>
        </w:rPr>
        <w:t>:</w:t>
      </w:r>
      <w:r w:rsidRPr="009A5185">
        <w:rPr>
          <w:rFonts w:cs="Arial"/>
          <w:lang w:eastAsia="ja-JP"/>
        </w:rPr>
        <w:t xml:space="preserve"> Healthcare-Associated Infections</w:t>
      </w:r>
      <w:r w:rsidR="00242467" w:rsidRPr="009A5185">
        <w:rPr>
          <w:rFonts w:cs="Arial"/>
          <w:lang w:eastAsia="ja-JP"/>
        </w:rPr>
        <w:t xml:space="preserve"> </w:t>
      </w:r>
      <w:r w:rsidRPr="009A5185">
        <w:rPr>
          <w:rFonts w:cs="Arial"/>
          <w:lang w:eastAsia="ja-JP"/>
        </w:rPr>
        <w:t>are required to join Leapfrog’s NHSN</w:t>
      </w:r>
      <w:r w:rsidR="009B0E91" w:rsidRPr="009A5185">
        <w:rPr>
          <w:rFonts w:cs="Arial"/>
          <w:lang w:eastAsia="ja-JP"/>
        </w:rPr>
        <w:t xml:space="preserve"> Group. Please visit our </w:t>
      </w:r>
      <w:hyperlink r:id="rId73" w:history="1">
        <w:r w:rsidR="008B3E89" w:rsidRPr="004A48E1">
          <w:rPr>
            <w:rStyle w:val="Hyperlink"/>
            <w:rFonts w:cs="Arial"/>
            <w:lang w:eastAsia="ja-JP"/>
          </w:rPr>
          <w:t>webpage</w:t>
        </w:r>
      </w:hyperlink>
      <w:r w:rsidRPr="009A5185">
        <w:rPr>
          <w:rFonts w:cs="Arial"/>
          <w:lang w:eastAsia="ja-JP"/>
        </w:rPr>
        <w:t xml:space="preserve"> for instructions on how to join the group a</w:t>
      </w:r>
      <w:r w:rsidR="009B0E91" w:rsidRPr="009A5185">
        <w:rPr>
          <w:rFonts w:cs="Arial"/>
          <w:lang w:eastAsia="ja-JP"/>
        </w:rPr>
        <w:t>s</w:t>
      </w:r>
      <w:r w:rsidRPr="009A5185">
        <w:rPr>
          <w:rFonts w:cs="Arial"/>
          <w:lang w:eastAsia="ja-JP"/>
        </w:rPr>
        <w:t xml:space="preserve"> well as inform</w:t>
      </w:r>
      <w:r w:rsidR="009B0E91" w:rsidRPr="009A5185">
        <w:rPr>
          <w:rFonts w:cs="Arial"/>
          <w:lang w:eastAsia="ja-JP"/>
        </w:rPr>
        <w:t xml:space="preserve">ation about important deadlines. </w:t>
      </w:r>
    </w:p>
    <w:p w14:paraId="313F2A6A" w14:textId="77777777" w:rsidR="000D3D0A" w:rsidRPr="009A5185" w:rsidRDefault="000D3D0A" w:rsidP="000D3D0A">
      <w:pPr>
        <w:rPr>
          <w:rFonts w:cs="Arial"/>
          <w:lang w:eastAsia="ja-JP"/>
        </w:rPr>
      </w:pPr>
    </w:p>
    <w:p w14:paraId="5F4AEFA9" w14:textId="77777777" w:rsidR="000D3D0A" w:rsidRPr="009A5185" w:rsidRDefault="000D3D0A" w:rsidP="00AB5B80">
      <w:pPr>
        <w:pStyle w:val="Heading3"/>
      </w:pPr>
      <w:bookmarkStart w:id="45" w:name="_Toc225877651"/>
      <w:r w:rsidRPr="009A5185">
        <w:t xml:space="preserve">Deadlines Related to the Hospital Safety </w:t>
      </w:r>
      <w:r w:rsidR="009D788B" w:rsidRPr="009A5185">
        <w:t>Grade</w:t>
      </w:r>
      <w:bookmarkEnd w:id="45"/>
    </w:p>
    <w:p w14:paraId="0BC5B0E1" w14:textId="77777777" w:rsidR="00DE6E30" w:rsidRDefault="00DE6E30" w:rsidP="000E54C1">
      <w:pPr>
        <w:rPr>
          <w:rFonts w:cs="Arial"/>
        </w:rPr>
      </w:pPr>
    </w:p>
    <w:p w14:paraId="22F6461C" w14:textId="77777777" w:rsidR="00D62E76" w:rsidRDefault="009B0E91" w:rsidP="00D62E76">
      <w:pPr>
        <w:rPr>
          <w:rFonts w:cs="Arial"/>
        </w:rPr>
      </w:pPr>
      <w:r w:rsidRPr="009A5185">
        <w:rPr>
          <w:rFonts w:cs="Arial"/>
        </w:rPr>
        <w:t xml:space="preserve">Hospitals that would like Leapfrog Hospital </w:t>
      </w:r>
      <w:r w:rsidR="00C14AFF" w:rsidRPr="009A5185">
        <w:rPr>
          <w:rFonts w:cs="Arial"/>
        </w:rPr>
        <w:t>Survey Results</w:t>
      </w:r>
      <w:r w:rsidRPr="009A5185">
        <w:rPr>
          <w:rFonts w:cs="Arial"/>
        </w:rPr>
        <w:t xml:space="preserve"> used in their </w:t>
      </w:r>
      <w:r w:rsidR="00E2077F">
        <w:rPr>
          <w:rFonts w:cs="Arial"/>
        </w:rPr>
        <w:t xml:space="preserve">Leapfrog </w:t>
      </w:r>
      <w:r w:rsidRPr="009A5185">
        <w:rPr>
          <w:rFonts w:cs="Arial"/>
        </w:rPr>
        <w:t xml:space="preserve">Hospital Safety Grade must submit a </w:t>
      </w:r>
      <w:r w:rsidR="00C14AFF" w:rsidRPr="009A5185">
        <w:rPr>
          <w:rFonts w:cs="Arial"/>
        </w:rPr>
        <w:t>Survey</w:t>
      </w:r>
      <w:r w:rsidR="005D79F9">
        <w:rPr>
          <w:rFonts w:cs="Arial"/>
        </w:rPr>
        <w:t xml:space="preserve"> and an Adult Inpatient CPOE Test</w:t>
      </w:r>
      <w:r w:rsidR="0008406E">
        <w:rPr>
          <w:rFonts w:cs="Arial"/>
        </w:rPr>
        <w:t xml:space="preserve"> </w:t>
      </w:r>
      <w:r w:rsidRPr="009A5185">
        <w:rPr>
          <w:rFonts w:cs="Arial"/>
        </w:rPr>
        <w:t xml:space="preserve">by the </w:t>
      </w:r>
      <w:hyperlink r:id="rId74" w:history="1">
        <w:r w:rsidRPr="009A5185">
          <w:rPr>
            <w:rStyle w:val="Hyperlink"/>
            <w:rFonts w:cs="Arial"/>
          </w:rPr>
          <w:t>Data Snapshot Dates</w:t>
        </w:r>
      </w:hyperlink>
      <w:r w:rsidRPr="009A5185">
        <w:rPr>
          <w:rFonts w:cs="Arial"/>
        </w:rPr>
        <w:t xml:space="preserve">. </w:t>
      </w:r>
      <w:r w:rsidR="000D3D0A" w:rsidRPr="009A5185">
        <w:rPr>
          <w:rFonts w:cs="Arial"/>
        </w:rPr>
        <w:t xml:space="preserve">The Leapfrog Hospital </w:t>
      </w:r>
      <w:r w:rsidR="00C14AFF" w:rsidRPr="009A5185">
        <w:rPr>
          <w:rFonts w:cs="Arial"/>
        </w:rPr>
        <w:t>Survey</w:t>
      </w:r>
      <w:r w:rsidR="000D3D0A" w:rsidRPr="009A5185">
        <w:rPr>
          <w:rFonts w:cs="Arial"/>
        </w:rPr>
        <w:t xml:space="preserve"> and the Hospital Safety </w:t>
      </w:r>
      <w:r w:rsidR="009D788B" w:rsidRPr="009A5185">
        <w:rPr>
          <w:rFonts w:cs="Arial"/>
        </w:rPr>
        <w:t xml:space="preserve">Grade </w:t>
      </w:r>
      <w:r w:rsidR="000D3D0A" w:rsidRPr="009A5185">
        <w:rPr>
          <w:rFonts w:cs="Arial"/>
        </w:rPr>
        <w:t xml:space="preserve">are distinct programs administered by The Leapfrog Group. Though some measures from the Leapfrog Hospital </w:t>
      </w:r>
      <w:r w:rsidR="00C14AFF" w:rsidRPr="009A5185">
        <w:rPr>
          <w:rFonts w:cs="Arial"/>
        </w:rPr>
        <w:t>Survey</w:t>
      </w:r>
      <w:r w:rsidR="000D3D0A" w:rsidRPr="009A5185">
        <w:rPr>
          <w:rFonts w:cs="Arial"/>
        </w:rPr>
        <w:t xml:space="preserve"> are used in the Hospital Safety</w:t>
      </w:r>
      <w:r w:rsidR="009D788B" w:rsidRPr="009A5185">
        <w:rPr>
          <w:rFonts w:cs="Arial"/>
        </w:rPr>
        <w:t xml:space="preserve"> Grade</w:t>
      </w:r>
      <w:r w:rsidR="000D3D0A" w:rsidRPr="009A5185">
        <w:rPr>
          <w:rFonts w:cs="Arial"/>
        </w:rPr>
        <w:t xml:space="preserve">, the </w:t>
      </w:r>
      <w:r w:rsidR="009D788B" w:rsidRPr="009A5185">
        <w:rPr>
          <w:rFonts w:cs="Arial"/>
        </w:rPr>
        <w:t xml:space="preserve">grade </w:t>
      </w:r>
      <w:r w:rsidR="000D3D0A" w:rsidRPr="009A5185">
        <w:rPr>
          <w:rFonts w:cs="Arial"/>
        </w:rPr>
        <w:t xml:space="preserve">also utilizes publicly available data from other data sources. </w:t>
      </w:r>
      <w:r w:rsidRPr="009A5185">
        <w:rPr>
          <w:rFonts w:cs="Arial"/>
        </w:rPr>
        <w:t>Find</w:t>
      </w:r>
      <w:r w:rsidR="003B1840">
        <w:rPr>
          <w:rFonts w:cs="Arial"/>
        </w:rPr>
        <w:t xml:space="preserve"> answers to</w:t>
      </w:r>
      <w:r w:rsidRPr="009A5185">
        <w:rPr>
          <w:rFonts w:cs="Arial"/>
        </w:rPr>
        <w:t xml:space="preserve"> F</w:t>
      </w:r>
      <w:r w:rsidR="003B1840">
        <w:rPr>
          <w:rFonts w:cs="Arial"/>
        </w:rPr>
        <w:t xml:space="preserve">requently </w:t>
      </w:r>
      <w:r w:rsidRPr="009A5185">
        <w:rPr>
          <w:rFonts w:cs="Arial"/>
        </w:rPr>
        <w:t>A</w:t>
      </w:r>
      <w:r w:rsidR="003B1840">
        <w:rPr>
          <w:rFonts w:cs="Arial"/>
        </w:rPr>
        <w:t xml:space="preserve">sked </w:t>
      </w:r>
      <w:r w:rsidRPr="009A5185">
        <w:rPr>
          <w:rFonts w:cs="Arial"/>
        </w:rPr>
        <w:t>Q</w:t>
      </w:r>
      <w:r w:rsidR="003B1840">
        <w:rPr>
          <w:rFonts w:cs="Arial"/>
        </w:rPr>
        <w:t>uestion</w:t>
      </w:r>
      <w:r w:rsidRPr="009A5185">
        <w:rPr>
          <w:rFonts w:cs="Arial"/>
        </w:rPr>
        <w:t xml:space="preserve">s in the “For Hospitals” section of the Hospital Safety Grade </w:t>
      </w:r>
      <w:hyperlink r:id="rId75" w:history="1">
        <w:r w:rsidRPr="009A5185">
          <w:rPr>
            <w:rStyle w:val="Hyperlink"/>
            <w:rFonts w:cs="Arial"/>
          </w:rPr>
          <w:t>website</w:t>
        </w:r>
      </w:hyperlink>
      <w:r w:rsidRPr="009A5185">
        <w:rPr>
          <w:rFonts w:cs="Arial"/>
        </w:rPr>
        <w:t>.</w:t>
      </w:r>
    </w:p>
    <w:p w14:paraId="724ECD98" w14:textId="77777777" w:rsidR="00D62E76" w:rsidRDefault="00D62E76" w:rsidP="00D62E76">
      <w:pPr>
        <w:rPr>
          <w:rFonts w:cs="Arial"/>
        </w:rPr>
      </w:pPr>
    </w:p>
    <w:p w14:paraId="7913EA17" w14:textId="77777777" w:rsidR="00490319" w:rsidRDefault="00490319">
      <w:pPr>
        <w:rPr>
          <w:b/>
          <w:snapToGrid w:val="0"/>
          <w:sz w:val="28"/>
          <w:szCs w:val="24"/>
          <w:u w:val="single"/>
          <w:lang w:eastAsia="ja-JP"/>
        </w:rPr>
      </w:pPr>
      <w:r>
        <w:br w:type="page"/>
      </w:r>
    </w:p>
    <w:p w14:paraId="18FBE32F" w14:textId="3181DF8A" w:rsidR="00446D22" w:rsidRPr="00D62E76" w:rsidRDefault="00446D22" w:rsidP="00CF5A6E">
      <w:pPr>
        <w:pStyle w:val="Heading2"/>
        <w:rPr>
          <w:rFonts w:cs="Arial"/>
        </w:rPr>
      </w:pPr>
      <w:bookmarkStart w:id="46" w:name="_Toc225877652"/>
      <w:r w:rsidRPr="009A5185">
        <w:lastRenderedPageBreak/>
        <w:t>Technical Assistance</w:t>
      </w:r>
      <w:bookmarkEnd w:id="46"/>
    </w:p>
    <w:p w14:paraId="12475399" w14:textId="77777777" w:rsidR="00446D22" w:rsidRPr="009A5185" w:rsidRDefault="00446D22" w:rsidP="00446D22">
      <w:pPr>
        <w:rPr>
          <w:rFonts w:cs="Arial"/>
          <w:highlight w:val="yellow"/>
          <w:lang w:eastAsia="ja-JP"/>
        </w:rPr>
      </w:pPr>
    </w:p>
    <w:p w14:paraId="555EE009" w14:textId="506304DC" w:rsidR="00061B46" w:rsidRDefault="00D10E89" w:rsidP="00AB5B80">
      <w:pPr>
        <w:pStyle w:val="Heading3"/>
      </w:pPr>
      <w:bookmarkStart w:id="47" w:name="_Toc225877653"/>
      <w:r>
        <w:t xml:space="preserve">Leapfrog’s </w:t>
      </w:r>
      <w:r w:rsidR="00061B46" w:rsidRPr="009A5185">
        <w:t>Help Desk</w:t>
      </w:r>
      <w:bookmarkEnd w:id="47"/>
    </w:p>
    <w:p w14:paraId="2C7CC9F6" w14:textId="77777777" w:rsidR="00490DAD" w:rsidRPr="00490DAD" w:rsidRDefault="00490DAD" w:rsidP="00490DAD">
      <w:pPr>
        <w:rPr>
          <w:lang w:eastAsia="ja-JP"/>
        </w:rPr>
      </w:pPr>
    </w:p>
    <w:p w14:paraId="4C811362" w14:textId="77777777" w:rsidR="00CC0544" w:rsidRDefault="00CC0544" w:rsidP="00CC0544">
      <w:pPr>
        <w:rPr>
          <w:rFonts w:cs="Arial"/>
        </w:rPr>
      </w:pPr>
      <w:bookmarkStart w:id="48" w:name="_Hlk160097479"/>
      <w:r>
        <w:rPr>
          <w:rFonts w:cs="Arial"/>
        </w:rPr>
        <w:t xml:space="preserve">Connect with Leapfrog’s in-house subject matter experts via our dedicated Help Desk to get timely support for: </w:t>
      </w:r>
    </w:p>
    <w:p w14:paraId="50982293" w14:textId="77777777" w:rsidR="004A35FA" w:rsidRDefault="004A35FA" w:rsidP="00CC0544">
      <w:pPr>
        <w:rPr>
          <w:rFonts w:cs="Arial"/>
        </w:rPr>
      </w:pPr>
    </w:p>
    <w:p w14:paraId="0ED16F3F" w14:textId="77777777" w:rsidR="00CC0544" w:rsidRDefault="00CC0544" w:rsidP="00AD309C">
      <w:pPr>
        <w:numPr>
          <w:ilvl w:val="0"/>
          <w:numId w:val="388"/>
        </w:numPr>
        <w:rPr>
          <w:rFonts w:cs="Arial"/>
        </w:rPr>
      </w:pPr>
      <w:r>
        <w:rPr>
          <w:rFonts w:cs="Arial"/>
        </w:rPr>
        <w:t xml:space="preserve">Survey content and scoring questions, </w:t>
      </w:r>
    </w:p>
    <w:p w14:paraId="13A572CB" w14:textId="77777777" w:rsidR="00CC0544" w:rsidRDefault="00CC0544" w:rsidP="00AD309C">
      <w:pPr>
        <w:numPr>
          <w:ilvl w:val="0"/>
          <w:numId w:val="388"/>
        </w:numPr>
        <w:rPr>
          <w:rFonts w:cs="Arial"/>
        </w:rPr>
      </w:pPr>
      <w:r>
        <w:rPr>
          <w:rFonts w:cs="Arial"/>
        </w:rPr>
        <w:t>Data verification messages and requests for documentation, and</w:t>
      </w:r>
    </w:p>
    <w:p w14:paraId="4D31A458" w14:textId="539217D3" w:rsidR="00CC0544" w:rsidRDefault="00CC0544" w:rsidP="00AD309C">
      <w:pPr>
        <w:numPr>
          <w:ilvl w:val="0"/>
          <w:numId w:val="388"/>
        </w:numPr>
        <w:rPr>
          <w:rFonts w:cs="Arial"/>
        </w:rPr>
      </w:pPr>
      <w:r>
        <w:rPr>
          <w:rFonts w:cs="Arial"/>
        </w:rPr>
        <w:t xml:space="preserve">Technical issues related to the Online Survey Tool, CPOE Evaluation Tool, or the Hospital and Surgery Center Ratings </w:t>
      </w:r>
      <w:hyperlink r:id="rId76" w:history="1">
        <w:r>
          <w:rPr>
            <w:rStyle w:val="Hyperlink"/>
            <w:rFonts w:cs="Arial"/>
          </w:rPr>
          <w:t>website</w:t>
        </w:r>
      </w:hyperlink>
      <w:r>
        <w:rPr>
          <w:rFonts w:cs="Arial"/>
        </w:rPr>
        <w:t xml:space="preserve">, </w:t>
      </w:r>
    </w:p>
    <w:p w14:paraId="047AB291" w14:textId="77777777" w:rsidR="00CC0544" w:rsidRDefault="00CC0544" w:rsidP="00CC0544">
      <w:pPr>
        <w:rPr>
          <w:rFonts w:eastAsiaTheme="minorHAnsi" w:cs="Arial"/>
        </w:rPr>
      </w:pPr>
    </w:p>
    <w:p w14:paraId="72211C0C" w14:textId="5E38855B" w:rsidR="00CC0544" w:rsidRDefault="00CC0544" w:rsidP="00CC0544">
      <w:pPr>
        <w:rPr>
          <w:rFonts w:cs="Arial"/>
        </w:rPr>
      </w:pPr>
      <w:r>
        <w:rPr>
          <w:rFonts w:cs="Arial"/>
        </w:rPr>
        <w:t xml:space="preserve">You can also schedule a 1:1 Hospital Survey Orientation and submit feedback on any of Leapfrog’s ratings programs, including </w:t>
      </w:r>
      <w:hyperlink r:id="rId77" w:history="1">
        <w:r>
          <w:rPr>
            <w:rStyle w:val="Hyperlink"/>
            <w:rFonts w:cs="Arial"/>
          </w:rPr>
          <w:t>Top Hospitals</w:t>
        </w:r>
      </w:hyperlink>
      <w:r>
        <w:rPr>
          <w:rFonts w:cs="Arial"/>
        </w:rPr>
        <w:t xml:space="preserve"> and </w:t>
      </w:r>
      <w:hyperlink r:id="rId78" w:history="1">
        <w:r>
          <w:rPr>
            <w:rStyle w:val="Hyperlink"/>
            <w:rFonts w:cs="Arial"/>
          </w:rPr>
          <w:t>Top ASCs</w:t>
        </w:r>
      </w:hyperlink>
      <w:r>
        <w:rPr>
          <w:rFonts w:cs="Arial"/>
        </w:rPr>
        <w:t xml:space="preserve">, the </w:t>
      </w:r>
      <w:hyperlink r:id="rId79" w:history="1">
        <w:r>
          <w:rPr>
            <w:rStyle w:val="Hyperlink"/>
            <w:rFonts w:cs="Arial"/>
          </w:rPr>
          <w:t>Hospital Safety Grade</w:t>
        </w:r>
      </w:hyperlink>
      <w:r>
        <w:rPr>
          <w:rFonts w:cs="Arial"/>
        </w:rPr>
        <w:t xml:space="preserve">, </w:t>
      </w:r>
      <w:r w:rsidR="00E06C48">
        <w:rPr>
          <w:rFonts w:cs="Arial"/>
        </w:rPr>
        <w:t xml:space="preserve">the </w:t>
      </w:r>
      <w:hyperlink r:id="rId80" w:history="1">
        <w:r w:rsidR="00321CC8">
          <w:rPr>
            <w:rStyle w:val="Hyperlink"/>
            <w:rFonts w:cs="Arial"/>
          </w:rPr>
          <w:t>Recognized Leader in Caring for People with Diabetes Program</w:t>
        </w:r>
      </w:hyperlink>
      <w:r w:rsidR="00FB6423">
        <w:rPr>
          <w:rFonts w:cs="Arial"/>
        </w:rPr>
        <w:t xml:space="preserve"> </w:t>
      </w:r>
      <w:r>
        <w:rPr>
          <w:rFonts w:cs="Arial"/>
        </w:rPr>
        <w:t xml:space="preserve">and </w:t>
      </w:r>
      <w:hyperlink r:id="rId81" w:history="1">
        <w:r>
          <w:rPr>
            <w:rStyle w:val="Hyperlink"/>
            <w:rFonts w:cs="Arial"/>
          </w:rPr>
          <w:t>Leapfrog’s Value-Based Purchasing Program</w:t>
        </w:r>
      </w:hyperlink>
      <w:r>
        <w:rPr>
          <w:rFonts w:cs="Arial"/>
        </w:rPr>
        <w:t>.  </w:t>
      </w:r>
    </w:p>
    <w:p w14:paraId="7B3DDB1D" w14:textId="77777777" w:rsidR="00CC0544" w:rsidRDefault="00CC0544" w:rsidP="00CC0544">
      <w:pPr>
        <w:rPr>
          <w:rFonts w:cs="Arial"/>
        </w:rPr>
      </w:pPr>
    </w:p>
    <w:p w14:paraId="0F0BD0F6" w14:textId="5EF29E35" w:rsidR="00CC0544" w:rsidRDefault="00CC0544" w:rsidP="00CC0544">
      <w:pPr>
        <w:rPr>
          <w:rFonts w:cs="Arial"/>
        </w:rPr>
      </w:pPr>
      <w:r>
        <w:rPr>
          <w:rFonts w:cs="Arial"/>
        </w:rPr>
        <w:t xml:space="preserve">To quickly get you to the right in-house expert for the right level of support, submit your inquiry in writing through the Zendesk ticketing portal at </w:t>
      </w:r>
      <w:hyperlink r:id="rId82" w:history="1">
        <w:r>
          <w:rPr>
            <w:rStyle w:val="Hyperlink"/>
            <w:rFonts w:cs="Arial"/>
          </w:rPr>
          <w:t>https://leapfroghelpdesk.zendesk.com</w:t>
        </w:r>
      </w:hyperlink>
      <w:r>
        <w:rPr>
          <w:rFonts w:cs="Arial"/>
        </w:rPr>
        <w:t xml:space="preserve">. You’ll receive a reply within 1-2 business days, if not sooner. Tickets submitted during a CPOE Test receive a reply within 10 minutes during normal business hours. More information on submitting and managing Help Desk tickets can be found in the </w:t>
      </w:r>
      <w:hyperlink r:id="rId83" w:history="1">
        <w:r>
          <w:rPr>
            <w:rStyle w:val="Hyperlink"/>
            <w:rFonts w:cs="Arial"/>
          </w:rPr>
          <w:t>Help Desk Guide</w:t>
        </w:r>
      </w:hyperlink>
      <w:r>
        <w:rPr>
          <w:rFonts w:cs="Arial"/>
        </w:rPr>
        <w:t>.</w:t>
      </w:r>
    </w:p>
    <w:p w14:paraId="535C36B9" w14:textId="77777777" w:rsidR="00CC0544" w:rsidRDefault="00CC0544" w:rsidP="00CC0544">
      <w:pPr>
        <w:rPr>
          <w:rFonts w:cs="Arial"/>
        </w:rPr>
      </w:pPr>
    </w:p>
    <w:p w14:paraId="13AC2A61" w14:textId="426DB48F" w:rsidR="00CC0544" w:rsidRDefault="00CC0544" w:rsidP="00CC0544">
      <w:pPr>
        <w:rPr>
          <w:rFonts w:cs="Arial"/>
        </w:rPr>
      </w:pPr>
      <w:r>
        <w:rPr>
          <w:rFonts w:cs="Arial"/>
        </w:rPr>
        <w:t xml:space="preserve">The Help Desk is staffed Monday through Friday from 9:00 a.m. to 5:00 p.m. ET, except on </w:t>
      </w:r>
      <w:r w:rsidR="005D646D">
        <w:rPr>
          <w:rFonts w:cs="Arial"/>
        </w:rPr>
        <w:t>select</w:t>
      </w:r>
      <w:r>
        <w:rPr>
          <w:rFonts w:cs="Arial"/>
        </w:rPr>
        <w:t xml:space="preserve"> holidays. Please review the </w:t>
      </w:r>
      <w:hyperlink r:id="rId84" w:history="1">
        <w:r w:rsidRPr="003D0427">
          <w:rPr>
            <w:rStyle w:val="Hyperlink"/>
            <w:rFonts w:cs="Arial"/>
          </w:rPr>
          <w:t>Help Desk Holiday Schedule</w:t>
        </w:r>
      </w:hyperlink>
      <w:r>
        <w:rPr>
          <w:rFonts w:cs="Arial"/>
        </w:rPr>
        <w:t xml:space="preserve"> for closures and allow ample time for staff to respond to time sensitive requests before any program deadlines.</w:t>
      </w:r>
    </w:p>
    <w:p w14:paraId="4EE2968A" w14:textId="77777777" w:rsidR="00CC0544" w:rsidRDefault="00CC0544" w:rsidP="00CC0544">
      <w:pPr>
        <w:rPr>
          <w:rFonts w:cs="Arial"/>
          <w:b/>
          <w:bCs/>
        </w:rPr>
      </w:pPr>
    </w:p>
    <w:p w14:paraId="65B61B06" w14:textId="77777777" w:rsidR="00CC0544" w:rsidRDefault="00CC0544" w:rsidP="00CC0544">
      <w:pPr>
        <w:rPr>
          <w:rFonts w:cs="Arial"/>
        </w:rPr>
      </w:pPr>
      <w:r>
        <w:rPr>
          <w:rFonts w:cs="Arial"/>
        </w:rPr>
        <w:t xml:space="preserve">You can manage your open tickets through email and/or create an account with Zendesk to manage open and archived tickets. </w:t>
      </w:r>
    </w:p>
    <w:p w14:paraId="1637AECB" w14:textId="77777777" w:rsidR="00CC0544" w:rsidRDefault="00CC0544" w:rsidP="00CC0544">
      <w:pPr>
        <w:rPr>
          <w:rFonts w:cs="Arial"/>
        </w:rPr>
      </w:pPr>
    </w:p>
    <w:p w14:paraId="71394DA7" w14:textId="77777777" w:rsidR="00CC0544" w:rsidRDefault="00CC0544" w:rsidP="00CC0544">
      <w:pPr>
        <w:rPr>
          <w:rFonts w:cs="Arial"/>
        </w:rPr>
      </w:pPr>
      <w:r>
        <w:rPr>
          <w:rFonts w:cs="Arial"/>
        </w:rPr>
        <w:t>To ensure that you receive our emails, please work with your IT department to add the following to your safe sender list:</w:t>
      </w:r>
    </w:p>
    <w:p w14:paraId="076B3651" w14:textId="77777777" w:rsidR="004A35FA" w:rsidRDefault="004A35FA" w:rsidP="00CC0544">
      <w:pPr>
        <w:rPr>
          <w:rFonts w:cs="Arial"/>
        </w:rPr>
      </w:pPr>
    </w:p>
    <w:p w14:paraId="3E64EA71" w14:textId="77777777" w:rsidR="00CC0544" w:rsidRDefault="00CC0544" w:rsidP="00AD309C">
      <w:pPr>
        <w:numPr>
          <w:ilvl w:val="0"/>
          <w:numId w:val="389"/>
        </w:numPr>
        <w:rPr>
          <w:rFonts w:cs="Arial"/>
        </w:rPr>
      </w:pPr>
      <w:r>
        <w:rPr>
          <w:rFonts w:cs="Arial"/>
        </w:rPr>
        <w:t>@leapfrog-group.org</w:t>
      </w:r>
    </w:p>
    <w:p w14:paraId="4082C4BF" w14:textId="77777777" w:rsidR="00CC0544" w:rsidRDefault="00CC0544" w:rsidP="00AD309C">
      <w:pPr>
        <w:numPr>
          <w:ilvl w:val="0"/>
          <w:numId w:val="389"/>
        </w:numPr>
        <w:rPr>
          <w:rFonts w:cs="Arial"/>
        </w:rPr>
      </w:pPr>
      <w:r>
        <w:rPr>
          <w:rFonts w:cs="Arial"/>
        </w:rPr>
        <w:t>@leapfroghelpdesk.zendesk.com</w:t>
      </w:r>
    </w:p>
    <w:p w14:paraId="73C2A91A" w14:textId="77777777" w:rsidR="00CC0544" w:rsidRDefault="00CC0544" w:rsidP="00AD309C">
      <w:pPr>
        <w:numPr>
          <w:ilvl w:val="0"/>
          <w:numId w:val="389"/>
        </w:numPr>
        <w:rPr>
          <w:rFonts w:cs="Arial"/>
        </w:rPr>
      </w:pPr>
      <w:r>
        <w:rPr>
          <w:rFonts w:cs="Arial"/>
        </w:rPr>
        <w:t xml:space="preserve">@em8434.leapfrog-group.org </w:t>
      </w:r>
    </w:p>
    <w:p w14:paraId="0DDE42DC" w14:textId="77777777" w:rsidR="00CC0544" w:rsidRDefault="00CC0544" w:rsidP="00AD309C">
      <w:pPr>
        <w:numPr>
          <w:ilvl w:val="0"/>
          <w:numId w:val="389"/>
        </w:numPr>
        <w:rPr>
          <w:rFonts w:cs="Arial"/>
        </w:rPr>
      </w:pPr>
      <w:r>
        <w:rPr>
          <w:rFonts w:cs="Arial"/>
        </w:rPr>
        <w:t>IP address: 159.183.167.150</w:t>
      </w:r>
    </w:p>
    <w:bookmarkEnd w:id="48"/>
    <w:p w14:paraId="1BE9901F" w14:textId="77777777" w:rsidR="00446D22" w:rsidRPr="009A5185" w:rsidRDefault="00446D22" w:rsidP="00446D22">
      <w:pPr>
        <w:rPr>
          <w:rFonts w:cs="Arial"/>
          <w:lang w:eastAsia="ja-JP"/>
        </w:rPr>
      </w:pPr>
    </w:p>
    <w:p w14:paraId="6A4ABEFD" w14:textId="51033C60" w:rsidR="00446D22" w:rsidRDefault="00446D22" w:rsidP="00AB5B80">
      <w:pPr>
        <w:pStyle w:val="Heading3"/>
      </w:pPr>
      <w:bookmarkStart w:id="49" w:name="_Toc225877654"/>
      <w:r w:rsidRPr="009A5185">
        <w:t xml:space="preserve">Leapfrog </w:t>
      </w:r>
      <w:r w:rsidR="00E2077F">
        <w:t xml:space="preserve">Hospital </w:t>
      </w:r>
      <w:r w:rsidRPr="009A5185">
        <w:t>Survey</w:t>
      </w:r>
      <w:r w:rsidR="009B28E0">
        <w:t xml:space="preserve"> Webinar Series</w:t>
      </w:r>
      <w:bookmarkEnd w:id="49"/>
    </w:p>
    <w:p w14:paraId="62231522" w14:textId="77777777" w:rsidR="00490DAD" w:rsidRPr="00490DAD" w:rsidRDefault="00490DAD" w:rsidP="00490DAD">
      <w:pPr>
        <w:rPr>
          <w:lang w:eastAsia="ja-JP"/>
        </w:rPr>
      </w:pPr>
    </w:p>
    <w:p w14:paraId="384A4424" w14:textId="77777777" w:rsidR="00A052F4" w:rsidRPr="00A052F4" w:rsidRDefault="00A052F4" w:rsidP="00A052F4">
      <w:pPr>
        <w:rPr>
          <w:rFonts w:cs="Arial"/>
          <w:lang w:eastAsia="ja-JP"/>
        </w:rPr>
      </w:pPr>
      <w:r w:rsidRPr="00A052F4">
        <w:rPr>
          <w:rFonts w:cs="Arial"/>
          <w:lang w:eastAsia="ja-JP"/>
        </w:rPr>
        <w:t>The Leapfrog Hospital Survey Webinar Series is designed for Survey coordinators, hospital leaders, and others who would benefit from a more interactive presentation of Survey materials and information.</w:t>
      </w:r>
    </w:p>
    <w:p w14:paraId="75040809" w14:textId="77777777" w:rsidR="00A052F4" w:rsidRDefault="00A052F4" w:rsidP="00A052F4">
      <w:pPr>
        <w:rPr>
          <w:rFonts w:cs="Arial"/>
          <w:lang w:eastAsia="ja-JP"/>
        </w:rPr>
      </w:pPr>
    </w:p>
    <w:p w14:paraId="1424DDA4" w14:textId="632D702A" w:rsidR="00A052F4" w:rsidRPr="00A052F4" w:rsidRDefault="00A052F4" w:rsidP="00A052F4">
      <w:pPr>
        <w:rPr>
          <w:rFonts w:cs="Arial"/>
          <w:lang w:eastAsia="ja-JP"/>
        </w:rPr>
      </w:pPr>
      <w:r w:rsidRPr="00A052F4">
        <w:rPr>
          <w:rFonts w:cs="Arial"/>
          <w:lang w:eastAsia="ja-JP"/>
        </w:rPr>
        <w:t>The Webinar Series is held monthly from March to December and includes monthly office hours in addition to monthly webinars. The one-hour webinars focus on specific topics related to the Survey, including new measure</w:t>
      </w:r>
      <w:r w:rsidR="00406D24">
        <w:rPr>
          <w:rFonts w:cs="Arial"/>
          <w:lang w:eastAsia="ja-JP"/>
        </w:rPr>
        <w:t>s</w:t>
      </w:r>
      <w:r w:rsidRPr="00A052F4">
        <w:rPr>
          <w:rFonts w:cs="Arial"/>
          <w:lang w:eastAsia="ja-JP"/>
        </w:rPr>
        <w:t xml:space="preserve">. Throughout each webinar, participants can ask questions </w:t>
      </w:r>
      <w:r w:rsidR="00D20722">
        <w:rPr>
          <w:rFonts w:cs="Arial"/>
          <w:lang w:eastAsia="ja-JP"/>
        </w:rPr>
        <w:t xml:space="preserve">live or </w:t>
      </w:r>
      <w:r w:rsidRPr="00A052F4">
        <w:rPr>
          <w:rFonts w:cs="Arial"/>
          <w:lang w:eastAsia="ja-JP"/>
        </w:rPr>
        <w:t>via the Zoom Q&amp;A function</w:t>
      </w:r>
      <w:r w:rsidR="00D20722">
        <w:rPr>
          <w:rFonts w:cs="Arial"/>
          <w:lang w:eastAsia="ja-JP"/>
        </w:rPr>
        <w:t>.</w:t>
      </w:r>
    </w:p>
    <w:p w14:paraId="60C625E9" w14:textId="77777777" w:rsidR="00A052F4" w:rsidRDefault="00A052F4" w:rsidP="00A052F4">
      <w:pPr>
        <w:rPr>
          <w:rFonts w:cs="Arial"/>
          <w:lang w:eastAsia="ja-JP"/>
        </w:rPr>
      </w:pPr>
    </w:p>
    <w:p w14:paraId="655797C5" w14:textId="36B5352F" w:rsidR="00A052F4" w:rsidRPr="00A052F4" w:rsidRDefault="00A052F4" w:rsidP="00A052F4">
      <w:pPr>
        <w:rPr>
          <w:rFonts w:cs="Arial"/>
          <w:lang w:eastAsia="ja-JP"/>
        </w:rPr>
      </w:pPr>
      <w:r w:rsidRPr="00A052F4">
        <w:rPr>
          <w:rFonts w:cs="Arial"/>
          <w:lang w:eastAsia="ja-JP"/>
        </w:rPr>
        <w:t>The monthly 30-minute office hours are designed to give participants another regular, interactive touch point with Leapfrog’s Help Desk, so Survey coordinators always have the information they need, when they need it.</w:t>
      </w:r>
    </w:p>
    <w:p w14:paraId="375C683C" w14:textId="1F908621" w:rsidR="0076515E" w:rsidRDefault="0076515E">
      <w:pPr>
        <w:rPr>
          <w:rFonts w:cs="Arial"/>
          <w:lang w:eastAsia="ja-JP"/>
        </w:rPr>
      </w:pPr>
      <w:r>
        <w:rPr>
          <w:rFonts w:cs="Arial"/>
          <w:lang w:eastAsia="ja-JP"/>
        </w:rPr>
        <w:br w:type="page"/>
      </w:r>
    </w:p>
    <w:p w14:paraId="6C664D6F" w14:textId="1F5C6A08" w:rsidR="00A052F4" w:rsidRDefault="00A052F4" w:rsidP="00A052F4">
      <w:pPr>
        <w:rPr>
          <w:rFonts w:cs="Arial"/>
          <w:lang w:eastAsia="ja-JP"/>
        </w:rPr>
      </w:pPr>
      <w:r w:rsidRPr="00A052F4">
        <w:rPr>
          <w:rFonts w:cs="Arial"/>
          <w:lang w:eastAsia="ja-JP"/>
        </w:rPr>
        <w:lastRenderedPageBreak/>
        <w:t>Join now and start benefiting from:</w:t>
      </w:r>
    </w:p>
    <w:p w14:paraId="7CE00C58" w14:textId="77777777" w:rsidR="004A35FA" w:rsidRPr="00A052F4" w:rsidRDefault="004A35FA" w:rsidP="00A052F4">
      <w:pPr>
        <w:rPr>
          <w:rFonts w:cs="Arial"/>
          <w:lang w:eastAsia="ja-JP"/>
        </w:rPr>
      </w:pPr>
    </w:p>
    <w:p w14:paraId="2BB5989B" w14:textId="6CBF34CA" w:rsidR="00A052F4" w:rsidRPr="00A052F4" w:rsidRDefault="00A052F4" w:rsidP="00AD309C">
      <w:pPr>
        <w:pStyle w:val="ListParagraph"/>
        <w:numPr>
          <w:ilvl w:val="0"/>
          <w:numId w:val="209"/>
        </w:numPr>
        <w:rPr>
          <w:rFonts w:cs="Arial"/>
          <w:lang w:eastAsia="ja-JP"/>
        </w:rPr>
      </w:pPr>
      <w:r w:rsidRPr="00FA4E81">
        <w:rPr>
          <w:rFonts w:cs="Arial"/>
          <w:b/>
          <w:bCs/>
          <w:lang w:eastAsia="ja-JP"/>
        </w:rPr>
        <w:t xml:space="preserve">Monthly </w:t>
      </w:r>
      <w:r w:rsidR="00ED00F5">
        <w:rPr>
          <w:rFonts w:cs="Arial"/>
          <w:b/>
          <w:bCs/>
          <w:lang w:eastAsia="ja-JP"/>
        </w:rPr>
        <w:t>O</w:t>
      </w:r>
      <w:r w:rsidRPr="00FA4E81">
        <w:rPr>
          <w:rFonts w:cs="Arial"/>
          <w:b/>
          <w:bCs/>
          <w:lang w:eastAsia="ja-JP"/>
        </w:rPr>
        <w:t xml:space="preserve">ffice </w:t>
      </w:r>
      <w:r w:rsidR="00ED00F5">
        <w:rPr>
          <w:rFonts w:cs="Arial"/>
          <w:b/>
          <w:bCs/>
          <w:lang w:eastAsia="ja-JP"/>
        </w:rPr>
        <w:t>H</w:t>
      </w:r>
      <w:r w:rsidRPr="00FA4E81">
        <w:rPr>
          <w:rFonts w:cs="Arial"/>
          <w:b/>
          <w:bCs/>
          <w:lang w:eastAsia="ja-JP"/>
        </w:rPr>
        <w:t xml:space="preserve">ours </w:t>
      </w:r>
      <w:r w:rsidR="00ED00F5">
        <w:rPr>
          <w:rFonts w:cs="Arial"/>
          <w:b/>
          <w:bCs/>
          <w:lang w:eastAsia="ja-JP"/>
        </w:rPr>
        <w:t>w</w:t>
      </w:r>
      <w:r w:rsidRPr="00FA4E81">
        <w:rPr>
          <w:rFonts w:cs="Arial"/>
          <w:b/>
          <w:bCs/>
          <w:lang w:eastAsia="ja-JP"/>
        </w:rPr>
        <w:t>ith the Leapfrog Help Desk</w:t>
      </w:r>
      <w:r w:rsidR="00FA4E81" w:rsidRPr="00FA4E81">
        <w:rPr>
          <w:rFonts w:cs="Arial"/>
          <w:b/>
          <w:bCs/>
          <w:lang w:eastAsia="ja-JP"/>
        </w:rPr>
        <w:t>:</w:t>
      </w:r>
      <w:r w:rsidRPr="00A052F4">
        <w:rPr>
          <w:rFonts w:cs="Arial"/>
          <w:lang w:eastAsia="ja-JP"/>
        </w:rPr>
        <w:t xml:space="preserve"> 30</w:t>
      </w:r>
      <w:r w:rsidR="00B006EE">
        <w:rPr>
          <w:rFonts w:cs="Arial"/>
          <w:lang w:eastAsia="ja-JP"/>
        </w:rPr>
        <w:t xml:space="preserve"> </w:t>
      </w:r>
      <w:r w:rsidRPr="00A052F4">
        <w:rPr>
          <w:rFonts w:cs="Arial"/>
          <w:lang w:eastAsia="ja-JP"/>
        </w:rPr>
        <w:t>minutes to get real-time technical assistance, answers to your questions, and help staying on top of upcoming deadlines. Staffed by Leapfrog’s expert Help Desk.</w:t>
      </w:r>
    </w:p>
    <w:p w14:paraId="70AC40C2" w14:textId="426E292D" w:rsidR="00A052F4" w:rsidRPr="00A052F4" w:rsidRDefault="00A052F4" w:rsidP="00AD309C">
      <w:pPr>
        <w:pStyle w:val="ListParagraph"/>
        <w:numPr>
          <w:ilvl w:val="0"/>
          <w:numId w:val="209"/>
        </w:numPr>
        <w:rPr>
          <w:rFonts w:cs="Arial"/>
          <w:lang w:eastAsia="ja-JP"/>
        </w:rPr>
      </w:pPr>
      <w:r w:rsidRPr="00FA4E81">
        <w:rPr>
          <w:rFonts w:cs="Arial"/>
          <w:b/>
          <w:bCs/>
          <w:lang w:eastAsia="ja-JP"/>
        </w:rPr>
        <w:t xml:space="preserve">Monthly </w:t>
      </w:r>
      <w:r w:rsidR="00ED00F5">
        <w:rPr>
          <w:rFonts w:cs="Arial"/>
          <w:b/>
          <w:bCs/>
          <w:lang w:eastAsia="ja-JP"/>
        </w:rPr>
        <w:t>W</w:t>
      </w:r>
      <w:r w:rsidRPr="00FA4E81">
        <w:rPr>
          <w:rFonts w:cs="Arial"/>
          <w:b/>
          <w:bCs/>
          <w:lang w:eastAsia="ja-JP"/>
        </w:rPr>
        <w:t>ebinars:</w:t>
      </w:r>
      <w:r w:rsidRPr="00A052F4">
        <w:rPr>
          <w:rFonts w:cs="Arial"/>
          <w:lang w:eastAsia="ja-JP"/>
        </w:rPr>
        <w:t xml:space="preserve"> Timely and focused presentations on Survey and CPOE Evaluation Tool measures and specifications, scoring information, frequently asked questions, technical assistance, and public reporting. Each webinar concludes with a 20-minute open Q &amp; A session.</w:t>
      </w:r>
    </w:p>
    <w:p w14:paraId="1B3D3323" w14:textId="77777777" w:rsidR="00A052F4" w:rsidRPr="00A052F4" w:rsidRDefault="00A052F4" w:rsidP="00AD309C">
      <w:pPr>
        <w:pStyle w:val="ListParagraph"/>
        <w:numPr>
          <w:ilvl w:val="0"/>
          <w:numId w:val="209"/>
        </w:numPr>
        <w:rPr>
          <w:rFonts w:cs="Arial"/>
          <w:lang w:eastAsia="ja-JP"/>
        </w:rPr>
      </w:pPr>
      <w:r w:rsidRPr="00FA4E81">
        <w:rPr>
          <w:rFonts w:cs="Arial"/>
          <w:b/>
          <w:bCs/>
          <w:lang w:eastAsia="ja-JP"/>
        </w:rPr>
        <w:t>Archive Library:</w:t>
      </w:r>
      <w:r w:rsidRPr="00A052F4">
        <w:rPr>
          <w:rFonts w:cs="Arial"/>
          <w:lang w:eastAsia="ja-JP"/>
        </w:rPr>
        <w:t xml:space="preserve"> Slides and recordings from each webinar are archived in an online portal that participants can access from March to January.</w:t>
      </w:r>
    </w:p>
    <w:p w14:paraId="15DF857B" w14:textId="77777777" w:rsidR="00A052F4" w:rsidRPr="00A052F4" w:rsidRDefault="00A052F4" w:rsidP="00A052F4">
      <w:pPr>
        <w:rPr>
          <w:rFonts w:cs="Arial"/>
          <w:lang w:eastAsia="ja-JP"/>
        </w:rPr>
      </w:pPr>
      <w:r w:rsidRPr="00A052F4">
        <w:rPr>
          <w:rFonts w:cs="Arial"/>
          <w:lang w:eastAsia="ja-JP"/>
        </w:rPr>
        <w:t xml:space="preserve"> </w:t>
      </w:r>
    </w:p>
    <w:p w14:paraId="3B108944" w14:textId="77777777" w:rsidR="00A052F4" w:rsidRPr="00A052F4" w:rsidRDefault="00A052F4" w:rsidP="00A052F4">
      <w:pPr>
        <w:rPr>
          <w:rFonts w:cs="Arial"/>
          <w:lang w:eastAsia="ja-JP"/>
        </w:rPr>
      </w:pPr>
      <w:r w:rsidRPr="00A052F4">
        <w:rPr>
          <w:rFonts w:cs="Arial"/>
          <w:lang w:eastAsia="ja-JP"/>
        </w:rPr>
        <w:t xml:space="preserve">The annual registration fee is $500 per individual. </w:t>
      </w:r>
    </w:p>
    <w:p w14:paraId="46DA3316" w14:textId="77777777" w:rsidR="0003234D" w:rsidRDefault="0003234D" w:rsidP="00446D22">
      <w:pPr>
        <w:rPr>
          <w:rFonts w:cs="Arial"/>
          <w:lang w:eastAsia="ja-JP"/>
        </w:rPr>
      </w:pPr>
    </w:p>
    <w:p w14:paraId="5A9F00D1" w14:textId="77777777" w:rsidR="00D62E76" w:rsidRDefault="00446D22" w:rsidP="00D62E76">
      <w:pPr>
        <w:rPr>
          <w:rFonts w:cs="Arial"/>
          <w:snapToGrid w:val="0"/>
        </w:rPr>
      </w:pPr>
      <w:r w:rsidRPr="009A5185">
        <w:rPr>
          <w:rFonts w:cs="Arial"/>
          <w:lang w:eastAsia="ja-JP"/>
        </w:rPr>
        <w:t xml:space="preserve">For </w:t>
      </w:r>
      <w:r w:rsidR="00FA4E81">
        <w:rPr>
          <w:rFonts w:cs="Arial"/>
          <w:lang w:eastAsia="ja-JP"/>
        </w:rPr>
        <w:t xml:space="preserve">a schedule of </w:t>
      </w:r>
      <w:r w:rsidR="00311B6F">
        <w:rPr>
          <w:rFonts w:cs="Arial"/>
          <w:lang w:eastAsia="ja-JP"/>
        </w:rPr>
        <w:t>event</w:t>
      </w:r>
      <w:r w:rsidR="00FA4E81">
        <w:rPr>
          <w:rFonts w:cs="Arial"/>
          <w:lang w:eastAsia="ja-JP"/>
        </w:rPr>
        <w:t>s</w:t>
      </w:r>
      <w:r w:rsidRPr="009A5185">
        <w:rPr>
          <w:rFonts w:cs="Arial"/>
          <w:lang w:eastAsia="ja-JP"/>
        </w:rPr>
        <w:t xml:space="preserve"> and to register, please visit</w:t>
      </w:r>
      <w:r w:rsidR="009B0E91" w:rsidRPr="009A5185">
        <w:rPr>
          <w:rFonts w:cs="Arial"/>
        </w:rPr>
        <w:t xml:space="preserve"> the </w:t>
      </w:r>
      <w:r w:rsidR="00311B6F">
        <w:rPr>
          <w:rFonts w:cs="Arial"/>
        </w:rPr>
        <w:t xml:space="preserve">Leapfrog </w:t>
      </w:r>
      <w:hyperlink r:id="rId85" w:history="1">
        <w:r w:rsidR="009B28E0">
          <w:rPr>
            <w:rStyle w:val="Hyperlink"/>
            <w:rFonts w:cs="Arial"/>
          </w:rPr>
          <w:t>Hospital Survey Webinar Series webpage</w:t>
        </w:r>
      </w:hyperlink>
      <w:r w:rsidR="00F12290" w:rsidRPr="009A5185">
        <w:rPr>
          <w:rFonts w:cs="Arial"/>
        </w:rPr>
        <w:t>.</w:t>
      </w:r>
      <w:bookmarkStart w:id="50" w:name="_Reporting_Periods"/>
      <w:bookmarkEnd w:id="50"/>
    </w:p>
    <w:p w14:paraId="1185FA5B" w14:textId="77777777" w:rsidR="00D62E76" w:rsidRDefault="00D62E76" w:rsidP="00D62E76">
      <w:pPr>
        <w:rPr>
          <w:rFonts w:cs="Arial"/>
          <w:snapToGrid w:val="0"/>
        </w:rPr>
      </w:pPr>
    </w:p>
    <w:p w14:paraId="05AA8DBC" w14:textId="5B179B32" w:rsidR="007A049F" w:rsidRDefault="007A049F" w:rsidP="00AB5B80">
      <w:pPr>
        <w:pStyle w:val="Heading3"/>
      </w:pPr>
      <w:bookmarkStart w:id="51" w:name="_Toc225877655"/>
      <w:r>
        <w:t>Support for Health Systems</w:t>
      </w:r>
      <w:bookmarkEnd w:id="51"/>
    </w:p>
    <w:p w14:paraId="1F887CA7" w14:textId="77777777" w:rsidR="007A049F" w:rsidRDefault="007A049F"/>
    <w:p w14:paraId="0C3169D2" w14:textId="14FC1D69" w:rsidR="007A049F" w:rsidRPr="007A049F" w:rsidRDefault="007A049F" w:rsidP="007A049F">
      <w:r w:rsidRPr="007A049F">
        <w:t>Are you responsible for coordinating Leapfrog Hospital Survey submissions for more than one hospital?</w:t>
      </w:r>
      <w:r>
        <w:t xml:space="preserve"> </w:t>
      </w:r>
      <w:r w:rsidRPr="007A049F">
        <w:t xml:space="preserve">Leapfrog’s Health System Support subscription for multi-hospital health systems is designed to help Survey coordinators and health system leaders become in-house experts on the Leapfrog Hospital Survey and the Hospital Safety Grade and make it easy to monitor, compare, and analyze your hospitals’ Leapfrog Hospital Survey Results, Hospital Safety Grades, and </w:t>
      </w:r>
      <w:r w:rsidR="004C6B65" w:rsidRPr="007A049F">
        <w:t>C</w:t>
      </w:r>
      <w:r w:rsidR="004C6B65">
        <w:t>ustom</w:t>
      </w:r>
      <w:r w:rsidR="004C6B65" w:rsidRPr="007A049F">
        <w:t xml:space="preserve"> </w:t>
      </w:r>
      <w:r w:rsidRPr="007A049F">
        <w:t>Benchmarking scores.</w:t>
      </w:r>
    </w:p>
    <w:p w14:paraId="5EB55BED" w14:textId="13FB7D51" w:rsidR="007A049F" w:rsidRDefault="007A049F" w:rsidP="007A049F">
      <w:r w:rsidRPr="007A049F">
        <w:t>The subscription gives you timely data for all your hospitals in a series of easy-to-use Excel workbooks, so you can quickly perform analysis, benchmark performance, build performance dashboards, and identify areas for improvement.</w:t>
      </w:r>
      <w:r w:rsidR="00C24231">
        <w:t xml:space="preserve"> </w:t>
      </w:r>
      <w:r w:rsidR="00C24231" w:rsidRPr="005D541A">
        <w:t>Subscribers have access to The Hopper, a custom landing page where each file is stored for easy access throughout the year. Also new API access so you don't have to retrieve files each month</w:t>
      </w:r>
      <w:r w:rsidR="002920A9">
        <w:t xml:space="preserve"> (New as of 2025!).</w:t>
      </w:r>
    </w:p>
    <w:p w14:paraId="1C31C0E3" w14:textId="77777777" w:rsidR="00685D4D" w:rsidRDefault="00685D4D" w:rsidP="007A049F"/>
    <w:p w14:paraId="4F318E1A" w14:textId="5EB3F538" w:rsidR="00685D4D" w:rsidRDefault="00685D4D" w:rsidP="007A049F">
      <w:r w:rsidRPr="00685D4D">
        <w:t>The subscription also includes a seat at Leapfrog’s monthly Hospital Webinar Series, so you can become an in-house expert on all aspects of the Leapfrog Hospital Survey and Hospital Safety Grade.</w:t>
      </w:r>
    </w:p>
    <w:p w14:paraId="73B29A03" w14:textId="77777777" w:rsidR="007A049F" w:rsidRDefault="007A049F" w:rsidP="007A049F"/>
    <w:p w14:paraId="526436F6" w14:textId="27A5CCA8" w:rsidR="007A049F" w:rsidRDefault="007A049F" w:rsidP="007A049F">
      <w:r w:rsidRPr="007A049F">
        <w:t>The support package includes the following:</w:t>
      </w:r>
    </w:p>
    <w:p w14:paraId="56BC4115" w14:textId="77777777" w:rsidR="004A35FA" w:rsidRDefault="004A35FA" w:rsidP="007A049F"/>
    <w:p w14:paraId="415A8392" w14:textId="1C2E7596" w:rsidR="007A049F" w:rsidRDefault="007A049F" w:rsidP="00AD309C">
      <w:pPr>
        <w:pStyle w:val="ListParagraph"/>
        <w:numPr>
          <w:ilvl w:val="0"/>
          <w:numId w:val="361"/>
        </w:numPr>
      </w:pPr>
      <w:r w:rsidRPr="007A049F">
        <w:t>Hospital Webinar Series (one registration per health system)</w:t>
      </w:r>
    </w:p>
    <w:p w14:paraId="55F208AA" w14:textId="66C37E15" w:rsidR="007A049F" w:rsidRDefault="007A049F" w:rsidP="00AD309C">
      <w:pPr>
        <w:pStyle w:val="ListParagraph"/>
        <w:numPr>
          <w:ilvl w:val="0"/>
          <w:numId w:val="361"/>
        </w:numPr>
      </w:pPr>
      <w:r w:rsidRPr="007A049F">
        <w:t>Leapfrog Hospital Survey Responses and Results</w:t>
      </w:r>
    </w:p>
    <w:p w14:paraId="077B7AAC" w14:textId="35FD6FB6" w:rsidR="007A049F" w:rsidRDefault="007A049F" w:rsidP="00AD309C">
      <w:pPr>
        <w:pStyle w:val="ListParagraph"/>
        <w:numPr>
          <w:ilvl w:val="0"/>
          <w:numId w:val="361"/>
        </w:numPr>
      </w:pPr>
      <w:r w:rsidRPr="007A049F">
        <w:t>Leapfrog Hospital Safety Grades</w:t>
      </w:r>
    </w:p>
    <w:p w14:paraId="7EF0C402" w14:textId="15FDCB9E" w:rsidR="007A049F" w:rsidRDefault="004C6B65" w:rsidP="00AD309C">
      <w:pPr>
        <w:pStyle w:val="ListParagraph"/>
        <w:numPr>
          <w:ilvl w:val="0"/>
          <w:numId w:val="361"/>
        </w:numPr>
      </w:pPr>
      <w:r w:rsidRPr="007A049F">
        <w:t>C</w:t>
      </w:r>
      <w:r>
        <w:t>ustom</w:t>
      </w:r>
      <w:r w:rsidRPr="007A049F">
        <w:t xml:space="preserve"> </w:t>
      </w:r>
      <w:r w:rsidR="007A049F" w:rsidRPr="007A049F">
        <w:t>Benchmarking Scores</w:t>
      </w:r>
    </w:p>
    <w:p w14:paraId="177E194F" w14:textId="60E9F719" w:rsidR="00551052" w:rsidRDefault="00551052" w:rsidP="00551052">
      <w:pPr>
        <w:pStyle w:val="ListParagraph"/>
        <w:numPr>
          <w:ilvl w:val="0"/>
          <w:numId w:val="361"/>
        </w:numPr>
      </w:pPr>
      <w:r>
        <w:t>Top Hospital Analysis (New as of 2025!)</w:t>
      </w:r>
    </w:p>
    <w:p w14:paraId="55619256" w14:textId="77777777" w:rsidR="007A049F" w:rsidRPr="007A049F" w:rsidRDefault="007A049F" w:rsidP="007A049F"/>
    <w:p w14:paraId="54094C79" w14:textId="7262E72E" w:rsidR="007A049F" w:rsidRPr="007A049F" w:rsidRDefault="007A049F" w:rsidP="007A049F">
      <w:r>
        <w:t xml:space="preserve">More information is available on the </w:t>
      </w:r>
      <w:hyperlink r:id="rId86" w:history="1">
        <w:r w:rsidRPr="007A049F">
          <w:rPr>
            <w:rStyle w:val="Hyperlink"/>
          </w:rPr>
          <w:t>Support for Health Systems webpage</w:t>
        </w:r>
      </w:hyperlink>
      <w:r>
        <w:t xml:space="preserve">. </w:t>
      </w:r>
      <w:r w:rsidRPr="007A049F">
        <w:t>Please contact the </w:t>
      </w:r>
      <w:hyperlink r:id="rId87" w:tgtFrame="_blank" w:history="1">
        <w:r w:rsidRPr="007A049F">
          <w:rPr>
            <w:rStyle w:val="Hyperlink"/>
          </w:rPr>
          <w:t>Help Desk</w:t>
        </w:r>
      </w:hyperlink>
      <w:r w:rsidRPr="007A049F">
        <w:t> for more information.</w:t>
      </w:r>
    </w:p>
    <w:p w14:paraId="6303C88E" w14:textId="2AAB38B0" w:rsidR="00490319" w:rsidRDefault="00490319">
      <w:pPr>
        <w:rPr>
          <w:b/>
          <w:snapToGrid w:val="0"/>
          <w:sz w:val="28"/>
          <w:szCs w:val="24"/>
          <w:u w:val="single"/>
          <w:lang w:eastAsia="ja-JP"/>
        </w:rPr>
      </w:pPr>
      <w:r>
        <w:br w:type="page"/>
      </w:r>
    </w:p>
    <w:p w14:paraId="114D37F4" w14:textId="0FFFDB69" w:rsidR="00BA3AAA" w:rsidRPr="00D62E76" w:rsidRDefault="00BA3AAA" w:rsidP="00CF5A6E">
      <w:pPr>
        <w:pStyle w:val="Heading2"/>
        <w:rPr>
          <w:rFonts w:cs="Arial"/>
        </w:rPr>
      </w:pPr>
      <w:bookmarkStart w:id="52" w:name="_Reporting_Periods_1"/>
      <w:bookmarkStart w:id="53" w:name="_Toc225877656"/>
      <w:bookmarkEnd w:id="52"/>
      <w:r w:rsidRPr="009A5185">
        <w:lastRenderedPageBreak/>
        <w:t>Reporting Periods</w:t>
      </w:r>
      <w:bookmarkEnd w:id="53"/>
    </w:p>
    <w:p w14:paraId="5A684230" w14:textId="77777777" w:rsidR="001B457B" w:rsidRPr="009A5185" w:rsidRDefault="001B457B" w:rsidP="001B457B">
      <w:pPr>
        <w:rPr>
          <w:rFonts w:cs="Arial"/>
          <w:lang w:eastAsia="ja-JP"/>
        </w:rPr>
      </w:pPr>
    </w:p>
    <w:p w14:paraId="6CC00E44" w14:textId="0FB291EA" w:rsidR="001B457B" w:rsidRPr="009A5185" w:rsidRDefault="00671BE9" w:rsidP="001B457B">
      <w:pPr>
        <w:rPr>
          <w:rFonts w:cs="Arial"/>
          <w:lang w:eastAsia="ja-JP"/>
        </w:rPr>
      </w:pPr>
      <w:r w:rsidRPr="009A5185">
        <w:rPr>
          <w:rFonts w:cs="Arial"/>
          <w:b/>
          <w:color w:val="FF0000"/>
          <w:lang w:eastAsia="ja-JP"/>
        </w:rPr>
        <w:t>Important Note:</w:t>
      </w:r>
      <w:r w:rsidRPr="009A5185">
        <w:rPr>
          <w:rFonts w:cs="Arial"/>
          <w:color w:val="FF0000"/>
          <w:lang w:eastAsia="ja-JP"/>
        </w:rPr>
        <w:t xml:space="preserve"> </w:t>
      </w:r>
      <w:r w:rsidR="00460E9D" w:rsidRPr="009A5185">
        <w:rPr>
          <w:rFonts w:cs="Arial"/>
          <w:lang w:eastAsia="ja-JP"/>
        </w:rPr>
        <w:t xml:space="preserve">Reporting periods should be </w:t>
      </w:r>
      <w:r w:rsidR="009E5395">
        <w:rPr>
          <w:rFonts w:cs="Arial"/>
          <w:lang w:eastAsia="ja-JP"/>
        </w:rPr>
        <w:t>selected</w:t>
      </w:r>
      <w:r w:rsidR="00460E9D" w:rsidRPr="009A5185">
        <w:rPr>
          <w:rFonts w:cs="Arial"/>
          <w:lang w:eastAsia="ja-JP"/>
        </w:rPr>
        <w:t xml:space="preserve"> based on the date of </w:t>
      </w:r>
      <w:r w:rsidR="00C14AFF" w:rsidRPr="009A5185">
        <w:rPr>
          <w:rFonts w:cs="Arial"/>
          <w:lang w:eastAsia="ja-JP"/>
        </w:rPr>
        <w:t>Survey or s</w:t>
      </w:r>
      <w:r w:rsidR="00460E9D" w:rsidRPr="009A5185">
        <w:rPr>
          <w:rFonts w:cs="Arial"/>
          <w:lang w:eastAsia="ja-JP"/>
        </w:rPr>
        <w:t>ection submission.</w:t>
      </w:r>
      <w:r w:rsidR="00B17078">
        <w:rPr>
          <w:rFonts w:cs="Arial"/>
          <w:lang w:eastAsia="ja-JP"/>
        </w:rPr>
        <w:t xml:space="preserve"> However, hospitals do not need to use the same reporting period throughout the Survey.</w:t>
      </w:r>
    </w:p>
    <w:p w14:paraId="1EF036F3" w14:textId="77777777" w:rsidR="00BA3AAA" w:rsidRPr="009A5185" w:rsidRDefault="00BA3AAA" w:rsidP="00BA3AAA">
      <w:pPr>
        <w:rPr>
          <w:rFonts w:cs="Arial"/>
          <w:lang w:eastAsia="ja-JP"/>
        </w:rPr>
      </w:pPr>
    </w:p>
    <w:tbl>
      <w:tblPr>
        <w:tblStyle w:val="TableGrid"/>
        <w:tblW w:w="0" w:type="auto"/>
        <w:jc w:val="center"/>
        <w:tblLayout w:type="fixed"/>
        <w:tblLook w:val="04A0" w:firstRow="1" w:lastRow="0" w:firstColumn="1" w:lastColumn="0" w:noHBand="0" w:noVBand="1"/>
      </w:tblPr>
      <w:tblGrid>
        <w:gridCol w:w="2766"/>
        <w:gridCol w:w="3308"/>
        <w:gridCol w:w="3281"/>
      </w:tblGrid>
      <w:tr w:rsidR="00460E9D" w:rsidRPr="009A5185" w14:paraId="22CB046B" w14:textId="77777777" w:rsidTr="004D1420">
        <w:trPr>
          <w:tblHeader/>
          <w:jc w:val="center"/>
        </w:trPr>
        <w:tc>
          <w:tcPr>
            <w:tcW w:w="2766" w:type="dxa"/>
            <w:tcBorders>
              <w:top w:val="nil"/>
              <w:left w:val="nil"/>
              <w:bottom w:val="nil"/>
              <w:right w:val="single" w:sz="4" w:space="0" w:color="auto"/>
            </w:tcBorders>
            <w:vAlign w:val="center"/>
          </w:tcPr>
          <w:p w14:paraId="0078BFA7" w14:textId="77777777" w:rsidR="00460E9D" w:rsidRPr="009A5185" w:rsidRDefault="00460E9D" w:rsidP="00407EF0">
            <w:pPr>
              <w:jc w:val="center"/>
              <w:rPr>
                <w:rFonts w:cs="Arial"/>
                <w:b/>
                <w:color w:val="FFFFFF" w:themeColor="background1"/>
              </w:rPr>
            </w:pPr>
          </w:p>
        </w:tc>
        <w:tc>
          <w:tcPr>
            <w:tcW w:w="3308" w:type="dxa"/>
            <w:tcBorders>
              <w:left w:val="single" w:sz="4" w:space="0" w:color="auto"/>
            </w:tcBorders>
            <w:vAlign w:val="center"/>
          </w:tcPr>
          <w:p w14:paraId="335D2610" w14:textId="77777777" w:rsidR="00460E9D" w:rsidRPr="009A5185" w:rsidRDefault="00603D9D">
            <w:pPr>
              <w:spacing w:before="120" w:after="120"/>
              <w:jc w:val="center"/>
              <w:rPr>
                <w:rFonts w:cs="Arial"/>
                <w:b/>
                <w:color w:val="FF0000"/>
              </w:rPr>
            </w:pPr>
            <w:r w:rsidRPr="009A5185">
              <w:rPr>
                <w:rFonts w:cs="Arial"/>
                <w:b/>
                <w:color w:val="FF0000"/>
              </w:rPr>
              <w:t xml:space="preserve">Survey </w:t>
            </w:r>
            <w:r w:rsidR="00460E9D" w:rsidRPr="009A5185">
              <w:rPr>
                <w:rFonts w:cs="Arial"/>
                <w:b/>
                <w:color w:val="FF0000"/>
              </w:rPr>
              <w:t xml:space="preserve">Submitted </w:t>
            </w:r>
            <w:r w:rsidR="00460E9D" w:rsidRPr="009A5185">
              <w:rPr>
                <w:rFonts w:cs="Arial"/>
                <w:b/>
                <w:color w:val="FF0000"/>
                <w:u w:val="single"/>
              </w:rPr>
              <w:t>Prior</w:t>
            </w:r>
            <w:r w:rsidR="00D66EDA" w:rsidRPr="009A5185">
              <w:rPr>
                <w:rFonts w:cs="Arial"/>
                <w:b/>
                <w:color w:val="FF0000"/>
              </w:rPr>
              <w:t xml:space="preserve"> to September 1</w:t>
            </w:r>
          </w:p>
        </w:tc>
        <w:tc>
          <w:tcPr>
            <w:tcW w:w="3281" w:type="dxa"/>
            <w:vAlign w:val="center"/>
          </w:tcPr>
          <w:p w14:paraId="1789F6BA" w14:textId="085D3CF9" w:rsidR="00460E9D" w:rsidRPr="009A5185" w:rsidRDefault="00460E9D">
            <w:pPr>
              <w:jc w:val="center"/>
              <w:rPr>
                <w:rFonts w:cs="Arial"/>
                <w:b/>
                <w:color w:val="FF0000"/>
              </w:rPr>
            </w:pPr>
            <w:r w:rsidRPr="009A5185">
              <w:rPr>
                <w:rFonts w:cs="Arial"/>
                <w:b/>
                <w:color w:val="FF0000"/>
              </w:rPr>
              <w:t xml:space="preserve">Survey (Re)Submitted </w:t>
            </w:r>
            <w:r w:rsidR="00D003AC">
              <w:rPr>
                <w:rFonts w:cs="Arial"/>
                <w:b/>
                <w:color w:val="FF0000"/>
                <w:u w:val="single"/>
              </w:rPr>
              <w:t>on</w:t>
            </w:r>
            <w:r w:rsidRPr="009A5185">
              <w:rPr>
                <w:rFonts w:cs="Arial"/>
                <w:b/>
                <w:color w:val="FF0000"/>
                <w:u w:val="single"/>
              </w:rPr>
              <w:t xml:space="preserve"> or After</w:t>
            </w:r>
            <w:r w:rsidR="00D66EDA" w:rsidRPr="009A5185">
              <w:rPr>
                <w:rFonts w:cs="Arial"/>
                <w:b/>
                <w:color w:val="FF0000"/>
              </w:rPr>
              <w:t xml:space="preserve"> September 1</w:t>
            </w:r>
          </w:p>
        </w:tc>
      </w:tr>
      <w:tr w:rsidR="00460E9D" w:rsidRPr="009A5185" w14:paraId="6289477B" w14:textId="77777777" w:rsidTr="004D1420">
        <w:trPr>
          <w:trHeight w:val="494"/>
          <w:tblHeader/>
          <w:jc w:val="center"/>
        </w:trPr>
        <w:tc>
          <w:tcPr>
            <w:tcW w:w="2766" w:type="dxa"/>
            <w:tcBorders>
              <w:top w:val="nil"/>
            </w:tcBorders>
            <w:shd w:val="clear" w:color="auto" w:fill="213468"/>
            <w:vAlign w:val="center"/>
          </w:tcPr>
          <w:p w14:paraId="61753999" w14:textId="77777777" w:rsidR="00460E9D" w:rsidRPr="009A5185" w:rsidRDefault="00460E9D" w:rsidP="00407EF0">
            <w:pPr>
              <w:jc w:val="center"/>
              <w:rPr>
                <w:rFonts w:cs="Arial"/>
                <w:b/>
                <w:color w:val="FFFFFF" w:themeColor="background1"/>
              </w:rPr>
            </w:pPr>
            <w:r w:rsidRPr="009A5185">
              <w:rPr>
                <w:rFonts w:cs="Arial"/>
                <w:b/>
                <w:color w:val="FFFFFF" w:themeColor="background1"/>
              </w:rPr>
              <w:t>Survey Section/</w:t>
            </w:r>
          </w:p>
          <w:p w14:paraId="692F9808" w14:textId="77777777" w:rsidR="00460E9D" w:rsidRPr="009A5185" w:rsidRDefault="00460E9D" w:rsidP="00407EF0">
            <w:pPr>
              <w:jc w:val="center"/>
              <w:rPr>
                <w:rFonts w:cs="Arial"/>
                <w:b/>
                <w:color w:val="FFFFFF" w:themeColor="background1"/>
              </w:rPr>
            </w:pPr>
            <w:r w:rsidRPr="009A5185">
              <w:rPr>
                <w:rFonts w:cs="Arial"/>
                <w:b/>
                <w:color w:val="FFFFFF" w:themeColor="background1"/>
              </w:rPr>
              <w:t>Measure</w:t>
            </w:r>
          </w:p>
        </w:tc>
        <w:tc>
          <w:tcPr>
            <w:tcW w:w="3308" w:type="dxa"/>
            <w:shd w:val="clear" w:color="auto" w:fill="213468"/>
            <w:vAlign w:val="center"/>
          </w:tcPr>
          <w:p w14:paraId="61E84D36" w14:textId="77777777" w:rsidR="00460E9D" w:rsidRPr="009A5185" w:rsidRDefault="00460E9D" w:rsidP="00407EF0">
            <w:pPr>
              <w:jc w:val="center"/>
              <w:rPr>
                <w:rFonts w:cs="Arial"/>
                <w:b/>
                <w:color w:val="FFFFFF" w:themeColor="background1"/>
              </w:rPr>
            </w:pPr>
            <w:r w:rsidRPr="009A5185">
              <w:rPr>
                <w:rFonts w:cs="Arial"/>
                <w:b/>
                <w:color w:val="FFFFFF" w:themeColor="background1"/>
              </w:rPr>
              <w:t>Reporting Period</w:t>
            </w:r>
          </w:p>
        </w:tc>
        <w:tc>
          <w:tcPr>
            <w:tcW w:w="3281" w:type="dxa"/>
            <w:shd w:val="clear" w:color="auto" w:fill="213468"/>
            <w:vAlign w:val="center"/>
          </w:tcPr>
          <w:p w14:paraId="27E6F672" w14:textId="77777777" w:rsidR="00460E9D" w:rsidRPr="009A5185" w:rsidRDefault="00460E9D" w:rsidP="00407EF0">
            <w:pPr>
              <w:jc w:val="center"/>
              <w:rPr>
                <w:rFonts w:cs="Arial"/>
                <w:b/>
                <w:color w:val="FFFFFF" w:themeColor="background1"/>
              </w:rPr>
            </w:pPr>
            <w:r w:rsidRPr="009A5185">
              <w:rPr>
                <w:rFonts w:cs="Arial"/>
                <w:b/>
                <w:color w:val="FFFFFF" w:themeColor="background1"/>
              </w:rPr>
              <w:t>Reporting Period</w:t>
            </w:r>
          </w:p>
        </w:tc>
      </w:tr>
      <w:tr w:rsidR="000B77C0" w:rsidRPr="009A5185" w14:paraId="32C0C05A" w14:textId="77777777" w:rsidTr="004D1420">
        <w:trPr>
          <w:trHeight w:val="20"/>
          <w:jc w:val="center"/>
        </w:trPr>
        <w:tc>
          <w:tcPr>
            <w:tcW w:w="2766" w:type="dxa"/>
            <w:shd w:val="clear" w:color="auto" w:fill="D9D9D9" w:themeFill="background1" w:themeFillShade="D9"/>
          </w:tcPr>
          <w:p w14:paraId="4788323E" w14:textId="6D2D4DBE" w:rsidR="000B77C0" w:rsidRPr="009A5185" w:rsidRDefault="000B77C0" w:rsidP="000B77C0">
            <w:pPr>
              <w:spacing w:before="120" w:after="120"/>
              <w:rPr>
                <w:rFonts w:cs="Arial"/>
                <w:b/>
              </w:rPr>
            </w:pPr>
            <w:r w:rsidRPr="009A5185">
              <w:rPr>
                <w:rFonts w:cs="Arial"/>
                <w:b/>
              </w:rPr>
              <w:t>1</w:t>
            </w:r>
            <w:r>
              <w:rPr>
                <w:rFonts w:cs="Arial"/>
                <w:b/>
              </w:rPr>
              <w:t>A</w:t>
            </w:r>
            <w:r w:rsidRPr="009A5185">
              <w:rPr>
                <w:rFonts w:cs="Arial"/>
                <w:b/>
              </w:rPr>
              <w:t xml:space="preserve"> </w:t>
            </w:r>
            <w:r w:rsidRPr="009A5185">
              <w:rPr>
                <w:rFonts w:cs="Arial"/>
              </w:rPr>
              <w:t>Basic Hospital Information</w:t>
            </w:r>
          </w:p>
        </w:tc>
        <w:tc>
          <w:tcPr>
            <w:tcW w:w="3308" w:type="dxa"/>
            <w:vAlign w:val="center"/>
          </w:tcPr>
          <w:p w14:paraId="4EFC5854" w14:textId="0DA1F553" w:rsidR="000B77C0" w:rsidRPr="009A5185" w:rsidRDefault="000B77C0" w:rsidP="006B02A9">
            <w:pPr>
              <w:jc w:val="center"/>
              <w:rPr>
                <w:rFonts w:cs="Arial"/>
              </w:rPr>
            </w:pPr>
            <w:r w:rsidRPr="000C6DE1">
              <w:rPr>
                <w:rFonts w:cstheme="minorHAnsi"/>
              </w:rPr>
              <w:t xml:space="preserve">12 months ending </w:t>
            </w:r>
            <w:r>
              <w:rPr>
                <w:rFonts w:cstheme="minorHAnsi"/>
              </w:rPr>
              <w:t>12/31/202</w:t>
            </w:r>
            <w:r w:rsidR="00097DD7">
              <w:rPr>
                <w:rFonts w:cstheme="minorHAnsi"/>
              </w:rPr>
              <w:t>5</w:t>
            </w:r>
          </w:p>
        </w:tc>
        <w:tc>
          <w:tcPr>
            <w:tcW w:w="3281" w:type="dxa"/>
            <w:vAlign w:val="center"/>
          </w:tcPr>
          <w:p w14:paraId="41D56642" w14:textId="194D229C" w:rsidR="000B77C0" w:rsidRPr="00C430FD" w:rsidRDefault="000B77C0" w:rsidP="006B02A9">
            <w:pPr>
              <w:jc w:val="center"/>
              <w:rPr>
                <w:rFonts w:cs="Arial"/>
              </w:rPr>
            </w:pPr>
            <w:r w:rsidRPr="000C6DE1">
              <w:rPr>
                <w:rFonts w:cstheme="minorHAnsi"/>
              </w:rPr>
              <w:t>12 months ending 06/30/202</w:t>
            </w:r>
            <w:r w:rsidR="00097DD7">
              <w:rPr>
                <w:rFonts w:cstheme="minorHAnsi"/>
              </w:rPr>
              <w:t>6</w:t>
            </w:r>
          </w:p>
        </w:tc>
      </w:tr>
      <w:tr w:rsidR="000B77C0" w:rsidRPr="009A5185" w14:paraId="5655A163" w14:textId="77777777" w:rsidTr="004D1420">
        <w:trPr>
          <w:trHeight w:val="20"/>
          <w:jc w:val="center"/>
        </w:trPr>
        <w:tc>
          <w:tcPr>
            <w:tcW w:w="2766" w:type="dxa"/>
            <w:shd w:val="clear" w:color="auto" w:fill="D9D9D9" w:themeFill="background1" w:themeFillShade="D9"/>
          </w:tcPr>
          <w:p w14:paraId="7ACE35C1" w14:textId="6E0A1AD7" w:rsidR="000B77C0" w:rsidRPr="00FB14DC" w:rsidRDefault="000B77C0" w:rsidP="000B77C0">
            <w:pPr>
              <w:spacing w:before="120" w:after="120"/>
              <w:rPr>
                <w:rFonts w:cs="Arial"/>
                <w:bCs/>
              </w:rPr>
            </w:pPr>
            <w:r>
              <w:rPr>
                <w:rFonts w:cs="Arial"/>
                <w:b/>
              </w:rPr>
              <w:t xml:space="preserve">1B </w:t>
            </w:r>
            <w:r w:rsidRPr="001A3ABA">
              <w:rPr>
                <w:rFonts w:cs="Arial"/>
                <w:bCs/>
              </w:rPr>
              <w:t>Billing Ethics</w:t>
            </w:r>
          </w:p>
        </w:tc>
        <w:tc>
          <w:tcPr>
            <w:tcW w:w="3308" w:type="dxa"/>
            <w:vAlign w:val="center"/>
          </w:tcPr>
          <w:p w14:paraId="53F134BC" w14:textId="3B6A8830" w:rsidR="000B77C0" w:rsidRDefault="00AA1BD8" w:rsidP="006B02A9">
            <w:pPr>
              <w:jc w:val="center"/>
              <w:rPr>
                <w:rFonts w:cstheme="minorHAnsi"/>
              </w:rPr>
            </w:pPr>
            <w:r w:rsidRPr="00AA1BD8">
              <w:rPr>
                <w:rFonts w:cstheme="minorHAnsi"/>
              </w:rPr>
              <w:t>Based on the practices currently in place at the time of Survey Submission</w:t>
            </w:r>
          </w:p>
        </w:tc>
        <w:tc>
          <w:tcPr>
            <w:tcW w:w="3281" w:type="dxa"/>
            <w:vAlign w:val="center"/>
          </w:tcPr>
          <w:p w14:paraId="6780E171" w14:textId="1DDDA31F" w:rsidR="000B77C0" w:rsidRDefault="00AA1BD8" w:rsidP="006B02A9">
            <w:pPr>
              <w:jc w:val="center"/>
              <w:rPr>
                <w:rFonts w:cstheme="minorHAnsi"/>
              </w:rPr>
            </w:pPr>
            <w:r w:rsidRPr="00AA1BD8">
              <w:rPr>
                <w:rFonts w:cstheme="minorHAnsi"/>
              </w:rPr>
              <w:t>Based on the practices currently in place at the time of Survey Submission</w:t>
            </w:r>
          </w:p>
        </w:tc>
      </w:tr>
      <w:tr w:rsidR="000B77C0" w:rsidRPr="009A5185" w14:paraId="4D44274E" w14:textId="77777777" w:rsidTr="004D1420">
        <w:trPr>
          <w:trHeight w:val="20"/>
          <w:jc w:val="center"/>
        </w:trPr>
        <w:tc>
          <w:tcPr>
            <w:tcW w:w="2766" w:type="dxa"/>
            <w:shd w:val="clear" w:color="auto" w:fill="D9D9D9" w:themeFill="background1" w:themeFillShade="D9"/>
          </w:tcPr>
          <w:p w14:paraId="21E872ED" w14:textId="14B49B66" w:rsidR="000B77C0" w:rsidRPr="009A5185" w:rsidRDefault="000B77C0" w:rsidP="000B77C0">
            <w:pPr>
              <w:spacing w:before="120" w:after="120"/>
              <w:rPr>
                <w:rFonts w:cs="Arial"/>
                <w:b/>
              </w:rPr>
            </w:pPr>
            <w:r>
              <w:rPr>
                <w:rFonts w:cs="Arial"/>
                <w:b/>
              </w:rPr>
              <w:t>1C</w:t>
            </w:r>
            <w:r w:rsidRPr="00C429CB">
              <w:rPr>
                <w:rFonts w:cs="Arial"/>
                <w:bCs/>
              </w:rPr>
              <w:t xml:space="preserve"> </w:t>
            </w:r>
            <w:r w:rsidR="00AB508D">
              <w:rPr>
                <w:rFonts w:cs="Arial"/>
                <w:bCs/>
              </w:rPr>
              <w:t xml:space="preserve">Health </w:t>
            </w:r>
            <w:r w:rsidR="004705EA">
              <w:rPr>
                <w:rFonts w:cs="Arial"/>
                <w:bCs/>
              </w:rPr>
              <w:t xml:space="preserve">Care </w:t>
            </w:r>
            <w:r w:rsidR="00AB508D">
              <w:rPr>
                <w:rFonts w:cs="Arial"/>
                <w:bCs/>
              </w:rPr>
              <w:t>Equity</w:t>
            </w:r>
          </w:p>
        </w:tc>
        <w:tc>
          <w:tcPr>
            <w:tcW w:w="3308" w:type="dxa"/>
            <w:vAlign w:val="center"/>
          </w:tcPr>
          <w:p w14:paraId="6D8DA35F" w14:textId="62F997EA" w:rsidR="000B77C0" w:rsidRDefault="00402F77" w:rsidP="006B02A9">
            <w:pPr>
              <w:jc w:val="center"/>
              <w:rPr>
                <w:rFonts w:cstheme="minorHAnsi"/>
              </w:rPr>
            </w:pPr>
            <w:r w:rsidRPr="00AA1BD8">
              <w:rPr>
                <w:rFonts w:cstheme="minorHAnsi"/>
              </w:rPr>
              <w:t>Based on the practices currently in place at the time of Survey Submission</w:t>
            </w:r>
          </w:p>
        </w:tc>
        <w:tc>
          <w:tcPr>
            <w:tcW w:w="3281" w:type="dxa"/>
            <w:vAlign w:val="center"/>
          </w:tcPr>
          <w:p w14:paraId="6DC152F8" w14:textId="012C77B9" w:rsidR="000B77C0" w:rsidRDefault="00402F77" w:rsidP="006B02A9">
            <w:pPr>
              <w:jc w:val="center"/>
              <w:rPr>
                <w:rFonts w:cstheme="minorHAnsi"/>
              </w:rPr>
            </w:pPr>
            <w:r w:rsidRPr="00AA1BD8">
              <w:rPr>
                <w:rFonts w:cstheme="minorHAnsi"/>
              </w:rPr>
              <w:t>Based on the practices currently in place at the time of Survey Submission</w:t>
            </w:r>
          </w:p>
        </w:tc>
      </w:tr>
      <w:tr w:rsidR="00AB508D" w:rsidRPr="009A5185" w14:paraId="503F952A" w14:textId="77777777" w:rsidTr="004D1420">
        <w:trPr>
          <w:trHeight w:val="20"/>
          <w:jc w:val="center"/>
        </w:trPr>
        <w:tc>
          <w:tcPr>
            <w:tcW w:w="2766" w:type="dxa"/>
            <w:shd w:val="clear" w:color="auto" w:fill="D9D9D9" w:themeFill="background1" w:themeFillShade="D9"/>
          </w:tcPr>
          <w:p w14:paraId="5485418D" w14:textId="1CBE1A63" w:rsidR="00AB508D" w:rsidRDefault="00AB508D" w:rsidP="00AB508D">
            <w:pPr>
              <w:spacing w:before="120" w:after="120"/>
              <w:rPr>
                <w:rFonts w:cs="Arial"/>
                <w:b/>
              </w:rPr>
            </w:pPr>
            <w:r>
              <w:rPr>
                <w:rFonts w:cs="Arial"/>
                <w:b/>
              </w:rPr>
              <w:t xml:space="preserve">1D </w:t>
            </w:r>
            <w:r w:rsidRPr="00C429CB">
              <w:rPr>
                <w:rFonts w:cs="Arial"/>
                <w:bCs/>
              </w:rPr>
              <w:t>Informed Consent</w:t>
            </w:r>
          </w:p>
        </w:tc>
        <w:tc>
          <w:tcPr>
            <w:tcW w:w="3308" w:type="dxa"/>
            <w:vAlign w:val="center"/>
          </w:tcPr>
          <w:p w14:paraId="1730A8B3" w14:textId="2923B6B8" w:rsidR="00AB508D" w:rsidRDefault="00402F77" w:rsidP="00AB508D">
            <w:pPr>
              <w:jc w:val="center"/>
              <w:rPr>
                <w:rFonts w:cstheme="minorHAnsi"/>
              </w:rPr>
            </w:pPr>
            <w:r w:rsidRPr="00AA1BD8">
              <w:rPr>
                <w:rFonts w:cstheme="minorHAnsi"/>
              </w:rPr>
              <w:t>Based on the practices currently in place at the time of Survey Submission</w:t>
            </w:r>
          </w:p>
        </w:tc>
        <w:tc>
          <w:tcPr>
            <w:tcW w:w="3281" w:type="dxa"/>
            <w:vAlign w:val="center"/>
          </w:tcPr>
          <w:p w14:paraId="40C492C6" w14:textId="3F3CB2CC" w:rsidR="00AB508D" w:rsidRDefault="00402F77" w:rsidP="00AB508D">
            <w:pPr>
              <w:jc w:val="center"/>
              <w:rPr>
                <w:rFonts w:cstheme="minorHAnsi"/>
              </w:rPr>
            </w:pPr>
            <w:r w:rsidRPr="00AA1BD8">
              <w:rPr>
                <w:rFonts w:cstheme="minorHAnsi"/>
              </w:rPr>
              <w:t>Based on the practices currently in place at the time of Survey Submission</w:t>
            </w:r>
          </w:p>
        </w:tc>
      </w:tr>
      <w:tr w:rsidR="00AB508D" w:rsidRPr="009A5185" w14:paraId="263B13DF" w14:textId="77777777" w:rsidTr="004D1420">
        <w:trPr>
          <w:trHeight w:val="20"/>
          <w:jc w:val="center"/>
        </w:trPr>
        <w:tc>
          <w:tcPr>
            <w:tcW w:w="2766" w:type="dxa"/>
            <w:shd w:val="clear" w:color="auto" w:fill="D9D9D9" w:themeFill="background1" w:themeFillShade="D9"/>
          </w:tcPr>
          <w:p w14:paraId="27A01663" w14:textId="443229EC" w:rsidR="00AB508D" w:rsidRPr="009A5185" w:rsidRDefault="00AB508D" w:rsidP="00AB508D">
            <w:pPr>
              <w:spacing w:before="120" w:after="120"/>
              <w:rPr>
                <w:rFonts w:cs="Arial"/>
                <w:b/>
              </w:rPr>
            </w:pPr>
            <w:r w:rsidRPr="009A5185">
              <w:rPr>
                <w:rFonts w:cs="Arial"/>
                <w:b/>
              </w:rPr>
              <w:t>2</w:t>
            </w:r>
            <w:r>
              <w:rPr>
                <w:rFonts w:cs="Arial"/>
                <w:b/>
              </w:rPr>
              <w:t>A</w:t>
            </w:r>
            <w:r w:rsidRPr="009A5185">
              <w:rPr>
                <w:rFonts w:cs="Arial"/>
                <w:b/>
              </w:rPr>
              <w:t xml:space="preserve"> </w:t>
            </w:r>
            <w:r w:rsidRPr="009A5185">
              <w:rPr>
                <w:rFonts w:cs="Arial"/>
              </w:rPr>
              <w:t>Computerized Physician Order Entry (CPOE)</w:t>
            </w:r>
          </w:p>
        </w:tc>
        <w:tc>
          <w:tcPr>
            <w:tcW w:w="3308" w:type="dxa"/>
            <w:vAlign w:val="center"/>
          </w:tcPr>
          <w:p w14:paraId="438797B3" w14:textId="537F215E" w:rsidR="00AB508D" w:rsidRPr="009A5185" w:rsidRDefault="00AB508D" w:rsidP="00AB508D">
            <w:pPr>
              <w:jc w:val="center"/>
              <w:rPr>
                <w:rFonts w:cs="Arial"/>
              </w:rPr>
            </w:pPr>
            <w:r w:rsidRPr="000C6DE1">
              <w:rPr>
                <w:rFonts w:cstheme="minorHAnsi"/>
              </w:rPr>
              <w:t>Latest 3 months prior to Survey submission</w:t>
            </w:r>
          </w:p>
        </w:tc>
        <w:tc>
          <w:tcPr>
            <w:tcW w:w="3281" w:type="dxa"/>
            <w:vAlign w:val="center"/>
          </w:tcPr>
          <w:p w14:paraId="43D38FA9" w14:textId="4F2FFCCC" w:rsidR="00AB508D" w:rsidRPr="00C430FD" w:rsidRDefault="00AB508D" w:rsidP="00AB508D">
            <w:pPr>
              <w:jc w:val="center"/>
              <w:rPr>
                <w:rFonts w:cs="Arial"/>
              </w:rPr>
            </w:pPr>
            <w:r w:rsidRPr="000C6DE1">
              <w:rPr>
                <w:rFonts w:cstheme="minorHAnsi"/>
              </w:rPr>
              <w:t>Latest 3 months prior to Survey submission</w:t>
            </w:r>
          </w:p>
        </w:tc>
      </w:tr>
      <w:tr w:rsidR="00AB508D" w:rsidRPr="009A5185" w14:paraId="5C083786" w14:textId="77777777" w:rsidTr="004D1420">
        <w:trPr>
          <w:trHeight w:val="20"/>
          <w:jc w:val="center"/>
        </w:trPr>
        <w:tc>
          <w:tcPr>
            <w:tcW w:w="2766" w:type="dxa"/>
            <w:shd w:val="clear" w:color="auto" w:fill="D9D9D9" w:themeFill="background1" w:themeFillShade="D9"/>
          </w:tcPr>
          <w:p w14:paraId="64E3E012" w14:textId="2FD1AFE9" w:rsidR="00AB508D" w:rsidRPr="009A5185" w:rsidRDefault="00AB508D" w:rsidP="00AB508D">
            <w:pPr>
              <w:spacing w:before="120" w:after="120"/>
              <w:rPr>
                <w:rFonts w:cs="Arial"/>
                <w:b/>
              </w:rPr>
            </w:pPr>
            <w:r>
              <w:rPr>
                <w:rFonts w:cs="Arial"/>
                <w:b/>
              </w:rPr>
              <w:t xml:space="preserve">2B </w:t>
            </w:r>
            <w:r w:rsidRPr="000E69AB">
              <w:rPr>
                <w:rFonts w:cs="Arial"/>
                <w:bCs/>
              </w:rPr>
              <w:t>EHR Application Information</w:t>
            </w:r>
          </w:p>
        </w:tc>
        <w:tc>
          <w:tcPr>
            <w:tcW w:w="3308" w:type="dxa"/>
            <w:vAlign w:val="center"/>
          </w:tcPr>
          <w:p w14:paraId="1517F7B2" w14:textId="309AAD5A" w:rsidR="00AB508D" w:rsidRDefault="00402F77" w:rsidP="00AB508D">
            <w:pPr>
              <w:contextualSpacing/>
              <w:jc w:val="center"/>
              <w:rPr>
                <w:rFonts w:cstheme="minorHAnsi"/>
              </w:rPr>
            </w:pPr>
            <w:r w:rsidRPr="00AA1BD8">
              <w:rPr>
                <w:rFonts w:cstheme="minorHAnsi"/>
              </w:rPr>
              <w:t xml:space="preserve">Based on the </w:t>
            </w:r>
            <w:r w:rsidR="00EE66AD">
              <w:rPr>
                <w:rFonts w:cstheme="minorHAnsi"/>
              </w:rPr>
              <w:t xml:space="preserve">EHR application </w:t>
            </w:r>
            <w:r w:rsidRPr="00AA1BD8">
              <w:rPr>
                <w:rFonts w:cstheme="minorHAnsi"/>
              </w:rPr>
              <w:t>currently in place at the time of Survey Submission</w:t>
            </w:r>
          </w:p>
        </w:tc>
        <w:tc>
          <w:tcPr>
            <w:tcW w:w="3281" w:type="dxa"/>
            <w:vAlign w:val="center"/>
          </w:tcPr>
          <w:p w14:paraId="53862362" w14:textId="24CD291F" w:rsidR="00AB508D" w:rsidRDefault="00402F77" w:rsidP="00AB508D">
            <w:pPr>
              <w:contextualSpacing/>
              <w:jc w:val="center"/>
              <w:rPr>
                <w:rFonts w:cstheme="minorHAnsi"/>
              </w:rPr>
            </w:pPr>
            <w:r w:rsidRPr="00AA1BD8">
              <w:rPr>
                <w:rFonts w:cstheme="minorHAnsi"/>
              </w:rPr>
              <w:t xml:space="preserve">Based on the </w:t>
            </w:r>
            <w:r w:rsidR="003E135A">
              <w:rPr>
                <w:rFonts w:cstheme="minorHAnsi"/>
              </w:rPr>
              <w:t xml:space="preserve">EHR application </w:t>
            </w:r>
            <w:r w:rsidRPr="00AA1BD8">
              <w:rPr>
                <w:rFonts w:cstheme="minorHAnsi"/>
              </w:rPr>
              <w:t>currently in place at the time of Survey Submission</w:t>
            </w:r>
          </w:p>
        </w:tc>
      </w:tr>
      <w:tr w:rsidR="00AB508D" w:rsidRPr="009A5185" w14:paraId="7F1845B0" w14:textId="77777777" w:rsidTr="004D1420">
        <w:trPr>
          <w:trHeight w:val="20"/>
          <w:jc w:val="center"/>
        </w:trPr>
        <w:tc>
          <w:tcPr>
            <w:tcW w:w="2766" w:type="dxa"/>
            <w:shd w:val="clear" w:color="auto" w:fill="D9D9D9" w:themeFill="background1" w:themeFillShade="D9"/>
          </w:tcPr>
          <w:p w14:paraId="7104C414" w14:textId="6D95A6EC" w:rsidR="00AB508D" w:rsidRPr="009A5185" w:rsidRDefault="00AB508D" w:rsidP="00AB508D">
            <w:pPr>
              <w:spacing w:before="120" w:after="120"/>
              <w:rPr>
                <w:rFonts w:cs="Arial"/>
                <w:b/>
              </w:rPr>
            </w:pPr>
            <w:r>
              <w:rPr>
                <w:rFonts w:cs="Arial"/>
                <w:b/>
              </w:rPr>
              <w:t xml:space="preserve">2C </w:t>
            </w:r>
            <w:r w:rsidRPr="000E69AB">
              <w:rPr>
                <w:rFonts w:cs="Arial"/>
                <w:bCs/>
              </w:rPr>
              <w:t>Bar Code Medication Administration (BCMA)</w:t>
            </w:r>
          </w:p>
        </w:tc>
        <w:tc>
          <w:tcPr>
            <w:tcW w:w="3308" w:type="dxa"/>
            <w:vAlign w:val="center"/>
          </w:tcPr>
          <w:p w14:paraId="5EE33231" w14:textId="6A5E6C8F" w:rsidR="00AB508D" w:rsidRDefault="00AB508D" w:rsidP="00AB508D">
            <w:pPr>
              <w:contextualSpacing/>
              <w:jc w:val="center"/>
              <w:rPr>
                <w:rFonts w:cstheme="minorHAnsi"/>
              </w:rPr>
            </w:pPr>
            <w:r w:rsidRPr="000C6DE1">
              <w:rPr>
                <w:rFonts w:cstheme="minorHAnsi"/>
              </w:rPr>
              <w:t>Latest 3 months prior to</w:t>
            </w:r>
            <w:r>
              <w:rPr>
                <w:rFonts w:cstheme="minorHAnsi"/>
              </w:rPr>
              <w:t xml:space="preserve"> </w:t>
            </w:r>
            <w:r w:rsidRPr="000C6DE1">
              <w:rPr>
                <w:rFonts w:cstheme="minorHAnsi"/>
              </w:rPr>
              <w:t>Survey submission</w:t>
            </w:r>
          </w:p>
        </w:tc>
        <w:tc>
          <w:tcPr>
            <w:tcW w:w="3281" w:type="dxa"/>
            <w:vAlign w:val="center"/>
          </w:tcPr>
          <w:p w14:paraId="4D09769D" w14:textId="6A040A97" w:rsidR="00AB508D" w:rsidRDefault="00AB508D" w:rsidP="00AB508D">
            <w:pPr>
              <w:contextualSpacing/>
              <w:jc w:val="center"/>
              <w:rPr>
                <w:rFonts w:cstheme="minorHAnsi"/>
              </w:rPr>
            </w:pPr>
            <w:r w:rsidRPr="000C6DE1">
              <w:rPr>
                <w:rFonts w:cstheme="minorHAnsi"/>
              </w:rPr>
              <w:t>Latest 3 months prior to Survey submission</w:t>
            </w:r>
          </w:p>
        </w:tc>
      </w:tr>
      <w:tr w:rsidR="00AB508D" w:rsidRPr="009A5185" w14:paraId="007518F0" w14:textId="77777777" w:rsidTr="004D1420">
        <w:trPr>
          <w:trHeight w:val="20"/>
          <w:jc w:val="center"/>
        </w:trPr>
        <w:tc>
          <w:tcPr>
            <w:tcW w:w="2766" w:type="dxa"/>
            <w:shd w:val="clear" w:color="auto" w:fill="D9D9D9" w:themeFill="background1" w:themeFillShade="D9"/>
          </w:tcPr>
          <w:p w14:paraId="0D498232" w14:textId="30E792B0" w:rsidR="00AB508D" w:rsidRPr="009A5185" w:rsidRDefault="00AB508D" w:rsidP="00AB508D">
            <w:pPr>
              <w:spacing w:before="120" w:after="120"/>
              <w:rPr>
                <w:rFonts w:cs="Arial"/>
                <w:b/>
              </w:rPr>
            </w:pPr>
            <w:r>
              <w:rPr>
                <w:rFonts w:cs="Arial"/>
                <w:b/>
              </w:rPr>
              <w:t xml:space="preserve">2D </w:t>
            </w:r>
            <w:r w:rsidRPr="000E69AB">
              <w:rPr>
                <w:rFonts w:cs="Arial"/>
                <w:bCs/>
              </w:rPr>
              <w:t>Medication Reconciliation</w:t>
            </w:r>
          </w:p>
        </w:tc>
        <w:tc>
          <w:tcPr>
            <w:tcW w:w="3308" w:type="dxa"/>
            <w:vAlign w:val="center"/>
          </w:tcPr>
          <w:p w14:paraId="5814815E" w14:textId="51E8D706" w:rsidR="00AB508D" w:rsidRDefault="00AB508D" w:rsidP="00AB508D">
            <w:pPr>
              <w:contextualSpacing/>
              <w:jc w:val="center"/>
              <w:rPr>
                <w:rFonts w:cstheme="minorHAnsi"/>
              </w:rPr>
            </w:pPr>
            <w:r w:rsidRPr="000C6DE1">
              <w:rPr>
                <w:rFonts w:cstheme="minorHAnsi"/>
              </w:rPr>
              <w:t xml:space="preserve">Latest 6 months prior to </w:t>
            </w:r>
            <w:r>
              <w:rPr>
                <w:rFonts w:cstheme="minorHAnsi"/>
              </w:rPr>
              <w:t>S</w:t>
            </w:r>
            <w:r w:rsidRPr="000C6DE1">
              <w:rPr>
                <w:rFonts w:cstheme="minorHAnsi"/>
              </w:rPr>
              <w:t xml:space="preserve">urvey </w:t>
            </w:r>
            <w:r w:rsidR="00037FC2">
              <w:rPr>
                <w:rFonts w:cstheme="minorHAnsi"/>
              </w:rPr>
              <w:t>s</w:t>
            </w:r>
            <w:r w:rsidRPr="000C6DE1">
              <w:rPr>
                <w:rFonts w:cstheme="minorHAnsi"/>
              </w:rPr>
              <w:t>ubmission</w:t>
            </w:r>
          </w:p>
        </w:tc>
        <w:tc>
          <w:tcPr>
            <w:tcW w:w="3281" w:type="dxa"/>
            <w:vAlign w:val="center"/>
          </w:tcPr>
          <w:p w14:paraId="25B3DEBF" w14:textId="0757B9BE" w:rsidR="00AB508D" w:rsidRDefault="00AB508D" w:rsidP="00AB508D">
            <w:pPr>
              <w:contextualSpacing/>
              <w:jc w:val="center"/>
              <w:rPr>
                <w:rFonts w:cstheme="minorHAnsi"/>
              </w:rPr>
            </w:pPr>
            <w:r w:rsidRPr="000C6DE1">
              <w:rPr>
                <w:rFonts w:cstheme="minorHAnsi"/>
              </w:rPr>
              <w:t xml:space="preserve">Latest 6 months prior to </w:t>
            </w:r>
            <w:r>
              <w:rPr>
                <w:rFonts w:cstheme="minorHAnsi"/>
              </w:rPr>
              <w:t>S</w:t>
            </w:r>
            <w:r w:rsidRPr="000C6DE1">
              <w:rPr>
                <w:rFonts w:cstheme="minorHAnsi"/>
              </w:rPr>
              <w:t>urvey submission</w:t>
            </w:r>
          </w:p>
        </w:tc>
      </w:tr>
      <w:tr w:rsidR="00AB508D" w:rsidRPr="009A5185" w14:paraId="2066F3CD" w14:textId="77777777" w:rsidTr="004D1420">
        <w:trPr>
          <w:trHeight w:val="720"/>
          <w:jc w:val="center"/>
        </w:trPr>
        <w:tc>
          <w:tcPr>
            <w:tcW w:w="2766" w:type="dxa"/>
            <w:vMerge w:val="restart"/>
            <w:shd w:val="clear" w:color="auto" w:fill="D9D9D9" w:themeFill="background1" w:themeFillShade="D9"/>
          </w:tcPr>
          <w:p w14:paraId="437624CF" w14:textId="77777777" w:rsidR="00AB508D" w:rsidRPr="009A5185" w:rsidRDefault="00AB508D" w:rsidP="00AB508D">
            <w:pPr>
              <w:spacing w:before="120" w:after="120"/>
              <w:rPr>
                <w:rFonts w:cs="Arial"/>
              </w:rPr>
            </w:pPr>
            <w:r w:rsidRPr="009A5185">
              <w:rPr>
                <w:rFonts w:cs="Arial"/>
                <w:b/>
              </w:rPr>
              <w:t xml:space="preserve">3A </w:t>
            </w:r>
            <w:r w:rsidRPr="009A5185">
              <w:rPr>
                <w:rFonts w:cs="Arial"/>
              </w:rPr>
              <w:t>Hospital and Surgeon Volume</w:t>
            </w:r>
          </w:p>
        </w:tc>
        <w:tc>
          <w:tcPr>
            <w:tcW w:w="3308" w:type="dxa"/>
            <w:vAlign w:val="center"/>
          </w:tcPr>
          <w:p w14:paraId="4E304987" w14:textId="77777777" w:rsidR="00AB508D" w:rsidRDefault="00AB508D" w:rsidP="00AB508D">
            <w:pPr>
              <w:contextualSpacing/>
              <w:jc w:val="center"/>
              <w:rPr>
                <w:rFonts w:cstheme="minorHAnsi"/>
              </w:rPr>
            </w:pPr>
            <w:r w:rsidRPr="0066410F">
              <w:rPr>
                <w:rFonts w:cstheme="minorHAnsi"/>
              </w:rPr>
              <w:t>Volume:</w:t>
            </w:r>
          </w:p>
          <w:p w14:paraId="266EE807" w14:textId="3F3569A7" w:rsidR="00AB508D" w:rsidRPr="009A5185" w:rsidRDefault="00AB508D" w:rsidP="00AB508D">
            <w:pPr>
              <w:jc w:val="center"/>
              <w:rPr>
                <w:rFonts w:cs="Arial"/>
              </w:rPr>
            </w:pPr>
            <w:r w:rsidRPr="0066410F">
              <w:rPr>
                <w:rFonts w:cstheme="minorHAnsi"/>
              </w:rPr>
              <w:t>12 months or 24-month</w:t>
            </w:r>
            <w:r>
              <w:rPr>
                <w:rFonts w:cstheme="minorHAnsi"/>
              </w:rPr>
              <w:t xml:space="preserve"> annual average</w:t>
            </w:r>
            <w:r w:rsidRPr="0066410F">
              <w:rPr>
                <w:rFonts w:cstheme="minorHAnsi"/>
              </w:rPr>
              <w:t xml:space="preserve"> ending 12/31/202</w:t>
            </w:r>
            <w:r w:rsidR="00097DD7">
              <w:rPr>
                <w:rFonts w:cstheme="minorHAnsi"/>
              </w:rPr>
              <w:t>5</w:t>
            </w:r>
          </w:p>
        </w:tc>
        <w:tc>
          <w:tcPr>
            <w:tcW w:w="3281" w:type="dxa"/>
            <w:vAlign w:val="center"/>
          </w:tcPr>
          <w:p w14:paraId="561DC18A" w14:textId="77777777" w:rsidR="00AB508D" w:rsidRPr="0066410F" w:rsidRDefault="00AB508D" w:rsidP="00AB508D">
            <w:pPr>
              <w:contextualSpacing/>
              <w:jc w:val="center"/>
              <w:rPr>
                <w:rFonts w:cstheme="minorHAnsi"/>
              </w:rPr>
            </w:pPr>
            <w:r w:rsidRPr="0066410F">
              <w:rPr>
                <w:rFonts w:cstheme="minorHAnsi"/>
              </w:rPr>
              <w:t>Volume:</w:t>
            </w:r>
          </w:p>
          <w:p w14:paraId="07C80B52" w14:textId="7F23013C" w:rsidR="00AB508D" w:rsidRPr="00C430FD" w:rsidRDefault="00AB508D" w:rsidP="00AB508D">
            <w:pPr>
              <w:jc w:val="center"/>
              <w:rPr>
                <w:rFonts w:cs="Arial"/>
              </w:rPr>
            </w:pPr>
            <w:r w:rsidRPr="0066410F">
              <w:rPr>
                <w:rFonts w:cstheme="minorHAnsi"/>
              </w:rPr>
              <w:t>12 months or 24-month</w:t>
            </w:r>
            <w:r>
              <w:rPr>
                <w:rFonts w:cstheme="minorHAnsi"/>
              </w:rPr>
              <w:t xml:space="preserve"> annual average</w:t>
            </w:r>
            <w:r w:rsidRPr="0066410F">
              <w:rPr>
                <w:rFonts w:cstheme="minorHAnsi"/>
              </w:rPr>
              <w:t xml:space="preserve"> ending 06/30/202</w:t>
            </w:r>
            <w:r w:rsidR="00097DD7">
              <w:rPr>
                <w:rFonts w:cstheme="minorHAnsi"/>
              </w:rPr>
              <w:t>6</w:t>
            </w:r>
          </w:p>
        </w:tc>
      </w:tr>
      <w:tr w:rsidR="00AB508D" w:rsidRPr="009A5185" w14:paraId="681CAE1A" w14:textId="77777777" w:rsidTr="004D1420">
        <w:trPr>
          <w:trHeight w:val="576"/>
          <w:jc w:val="center"/>
        </w:trPr>
        <w:tc>
          <w:tcPr>
            <w:tcW w:w="2766" w:type="dxa"/>
            <w:vMerge/>
            <w:shd w:val="clear" w:color="auto" w:fill="D9D9D9" w:themeFill="background1" w:themeFillShade="D9"/>
          </w:tcPr>
          <w:p w14:paraId="234E3389" w14:textId="77777777" w:rsidR="00AB508D" w:rsidRPr="009A5185" w:rsidRDefault="00AB508D" w:rsidP="00AB508D">
            <w:pPr>
              <w:spacing w:before="120" w:after="120"/>
              <w:rPr>
                <w:rFonts w:cs="Arial"/>
                <w:b/>
              </w:rPr>
            </w:pPr>
          </w:p>
        </w:tc>
        <w:tc>
          <w:tcPr>
            <w:tcW w:w="3308" w:type="dxa"/>
            <w:vAlign w:val="center"/>
          </w:tcPr>
          <w:p w14:paraId="59E5ED67" w14:textId="77777777" w:rsidR="00AB508D" w:rsidRPr="0066410F" w:rsidRDefault="00AB508D" w:rsidP="00AB508D">
            <w:pPr>
              <w:contextualSpacing/>
              <w:jc w:val="center"/>
              <w:rPr>
                <w:rFonts w:cstheme="minorHAnsi"/>
              </w:rPr>
            </w:pPr>
            <w:r w:rsidRPr="0066410F">
              <w:rPr>
                <w:rFonts w:cstheme="minorHAnsi"/>
              </w:rPr>
              <w:t>STS MVRR Composite</w:t>
            </w:r>
            <w:r>
              <w:rPr>
                <w:rFonts w:cstheme="minorHAnsi"/>
              </w:rPr>
              <w:t xml:space="preserve"> Score</w:t>
            </w:r>
            <w:r w:rsidRPr="0066410F">
              <w:rPr>
                <w:rFonts w:cstheme="minorHAnsi"/>
              </w:rPr>
              <w:t>:</w:t>
            </w:r>
          </w:p>
          <w:p w14:paraId="0A1BC1B9" w14:textId="1D03CC86" w:rsidR="00AB508D" w:rsidRPr="009A5185" w:rsidRDefault="00AB508D" w:rsidP="00AB508D">
            <w:pPr>
              <w:jc w:val="center"/>
              <w:rPr>
                <w:rFonts w:cs="Arial"/>
              </w:rPr>
            </w:pPr>
            <w:r w:rsidRPr="0066410F">
              <w:rPr>
                <w:rFonts w:cstheme="minorHAnsi"/>
              </w:rPr>
              <w:t>Latest 36-month report</w:t>
            </w:r>
          </w:p>
        </w:tc>
        <w:tc>
          <w:tcPr>
            <w:tcW w:w="3281" w:type="dxa"/>
            <w:vAlign w:val="center"/>
          </w:tcPr>
          <w:p w14:paraId="376F8B79" w14:textId="77777777" w:rsidR="00AB508D" w:rsidRPr="0066410F" w:rsidRDefault="00AB508D" w:rsidP="00AB508D">
            <w:pPr>
              <w:contextualSpacing/>
              <w:jc w:val="center"/>
              <w:rPr>
                <w:rFonts w:cstheme="minorHAnsi"/>
              </w:rPr>
            </w:pPr>
            <w:r w:rsidRPr="0066410F">
              <w:rPr>
                <w:rFonts w:cstheme="minorHAnsi"/>
              </w:rPr>
              <w:t>STS MVRR Composite</w:t>
            </w:r>
            <w:r>
              <w:rPr>
                <w:rFonts w:cstheme="minorHAnsi"/>
              </w:rPr>
              <w:t xml:space="preserve"> Score</w:t>
            </w:r>
            <w:r w:rsidRPr="0066410F">
              <w:rPr>
                <w:rFonts w:cstheme="minorHAnsi"/>
              </w:rPr>
              <w:t>:</w:t>
            </w:r>
          </w:p>
          <w:p w14:paraId="65E39D76" w14:textId="23D46EE0" w:rsidR="00AB508D" w:rsidRPr="00C430FD" w:rsidRDefault="00AB508D" w:rsidP="00AB508D">
            <w:pPr>
              <w:jc w:val="center"/>
              <w:rPr>
                <w:rFonts w:cs="Arial"/>
              </w:rPr>
            </w:pPr>
            <w:r w:rsidRPr="0066410F">
              <w:rPr>
                <w:rFonts w:cstheme="minorHAnsi"/>
              </w:rPr>
              <w:t>Latest 36-month report</w:t>
            </w:r>
          </w:p>
        </w:tc>
      </w:tr>
      <w:tr w:rsidR="00490319" w:rsidRPr="009A5185" w14:paraId="00310FD1" w14:textId="77777777" w:rsidTr="004D1420">
        <w:trPr>
          <w:trHeight w:val="20"/>
          <w:jc w:val="center"/>
        </w:trPr>
        <w:tc>
          <w:tcPr>
            <w:tcW w:w="2766" w:type="dxa"/>
            <w:shd w:val="clear" w:color="auto" w:fill="D9D9D9" w:themeFill="background1" w:themeFillShade="D9"/>
          </w:tcPr>
          <w:p w14:paraId="137ED5B3" w14:textId="0102333B" w:rsidR="00490319" w:rsidRPr="009A5185" w:rsidRDefault="00490319" w:rsidP="00490319">
            <w:pPr>
              <w:spacing w:before="120" w:after="120"/>
              <w:rPr>
                <w:rFonts w:cs="Arial"/>
                <w:b/>
              </w:rPr>
            </w:pPr>
            <w:r>
              <w:rPr>
                <w:rFonts w:cs="Arial"/>
                <w:b/>
              </w:rPr>
              <w:t xml:space="preserve">3B </w:t>
            </w:r>
            <w:r w:rsidRPr="007445B4">
              <w:rPr>
                <w:rFonts w:cs="Arial"/>
                <w:bCs/>
              </w:rPr>
              <w:t>Safe Surgery Checklist</w:t>
            </w:r>
            <w:r>
              <w:rPr>
                <w:rFonts w:cs="Arial"/>
                <w:bCs/>
              </w:rPr>
              <w:t xml:space="preserve"> for Adult and Pediatric Complex Surgery</w:t>
            </w:r>
          </w:p>
        </w:tc>
        <w:tc>
          <w:tcPr>
            <w:tcW w:w="3308" w:type="dxa"/>
            <w:vAlign w:val="center"/>
          </w:tcPr>
          <w:p w14:paraId="03D8FA9D" w14:textId="6C8DE761" w:rsidR="00490319" w:rsidRDefault="00490319" w:rsidP="00490319">
            <w:pPr>
              <w:jc w:val="center"/>
              <w:rPr>
                <w:rFonts w:cstheme="minorHAnsi"/>
              </w:rPr>
            </w:pPr>
            <w:r w:rsidRPr="000C6DE1">
              <w:rPr>
                <w:rFonts w:cstheme="minorHAnsi"/>
              </w:rPr>
              <w:t xml:space="preserve">Latest </w:t>
            </w:r>
            <w:r>
              <w:rPr>
                <w:rFonts w:cstheme="minorHAnsi"/>
              </w:rPr>
              <w:t>12</w:t>
            </w:r>
            <w:r w:rsidRPr="000C6DE1">
              <w:rPr>
                <w:rFonts w:cstheme="minorHAnsi"/>
              </w:rPr>
              <w:t xml:space="preserve"> months prior to </w:t>
            </w:r>
            <w:r>
              <w:rPr>
                <w:rFonts w:cstheme="minorHAnsi"/>
              </w:rPr>
              <w:t>S</w:t>
            </w:r>
            <w:r w:rsidRPr="000C6DE1">
              <w:rPr>
                <w:rFonts w:cstheme="minorHAnsi"/>
              </w:rPr>
              <w:t xml:space="preserve">urvey </w:t>
            </w:r>
            <w:r w:rsidR="00037FC2">
              <w:rPr>
                <w:rFonts w:cstheme="minorHAnsi"/>
              </w:rPr>
              <w:t>s</w:t>
            </w:r>
            <w:r w:rsidRPr="000C6DE1">
              <w:rPr>
                <w:rFonts w:cstheme="minorHAnsi"/>
              </w:rPr>
              <w:t>ubmission</w:t>
            </w:r>
          </w:p>
        </w:tc>
        <w:tc>
          <w:tcPr>
            <w:tcW w:w="3281" w:type="dxa"/>
            <w:vAlign w:val="center"/>
          </w:tcPr>
          <w:p w14:paraId="3613108F" w14:textId="2DD95170" w:rsidR="00490319" w:rsidRDefault="00490319" w:rsidP="00490319">
            <w:pPr>
              <w:jc w:val="center"/>
              <w:rPr>
                <w:rFonts w:cstheme="minorHAnsi"/>
              </w:rPr>
            </w:pPr>
            <w:r w:rsidRPr="000C6DE1">
              <w:rPr>
                <w:rFonts w:cstheme="minorHAnsi"/>
              </w:rPr>
              <w:t xml:space="preserve">Latest </w:t>
            </w:r>
            <w:r>
              <w:rPr>
                <w:rFonts w:cstheme="minorHAnsi"/>
              </w:rPr>
              <w:t>12</w:t>
            </w:r>
            <w:r w:rsidRPr="000C6DE1">
              <w:rPr>
                <w:rFonts w:cstheme="minorHAnsi"/>
              </w:rPr>
              <w:t xml:space="preserve"> months prior to </w:t>
            </w:r>
            <w:r>
              <w:rPr>
                <w:rFonts w:cstheme="minorHAnsi"/>
              </w:rPr>
              <w:t>S</w:t>
            </w:r>
            <w:r w:rsidRPr="000C6DE1">
              <w:rPr>
                <w:rFonts w:cstheme="minorHAnsi"/>
              </w:rPr>
              <w:t>urvey submission</w:t>
            </w:r>
          </w:p>
        </w:tc>
      </w:tr>
      <w:tr w:rsidR="00F24CA2" w:rsidRPr="009A5185" w14:paraId="624B5C1C" w14:textId="77777777" w:rsidTr="004D1420">
        <w:trPr>
          <w:trHeight w:val="20"/>
          <w:jc w:val="center"/>
        </w:trPr>
        <w:tc>
          <w:tcPr>
            <w:tcW w:w="2766" w:type="dxa"/>
            <w:vMerge w:val="restart"/>
            <w:shd w:val="clear" w:color="auto" w:fill="D9D9D9" w:themeFill="background1" w:themeFillShade="D9"/>
          </w:tcPr>
          <w:p w14:paraId="4309E788" w14:textId="2F94EC7C" w:rsidR="00F24CA2" w:rsidRPr="009A5185" w:rsidRDefault="00F24CA2" w:rsidP="00AB508D">
            <w:pPr>
              <w:spacing w:before="120" w:after="120"/>
              <w:rPr>
                <w:rFonts w:cs="Arial"/>
                <w:b/>
              </w:rPr>
            </w:pPr>
            <w:r w:rsidRPr="009A5185">
              <w:rPr>
                <w:rFonts w:cs="Arial"/>
                <w:b/>
              </w:rPr>
              <w:t xml:space="preserve">4A </w:t>
            </w:r>
            <w:r w:rsidRPr="009A5185">
              <w:rPr>
                <w:rFonts w:cs="Arial"/>
              </w:rPr>
              <w:t>Maternity Care</w:t>
            </w:r>
            <w:r>
              <w:rPr>
                <w:rFonts w:cs="Arial"/>
              </w:rPr>
              <w:t xml:space="preserve"> Volume and Services </w:t>
            </w:r>
          </w:p>
        </w:tc>
        <w:tc>
          <w:tcPr>
            <w:tcW w:w="3308" w:type="dxa"/>
            <w:vAlign w:val="center"/>
          </w:tcPr>
          <w:p w14:paraId="66E1FFA0" w14:textId="77777777" w:rsidR="00F24CA2" w:rsidRDefault="00F24CA2" w:rsidP="00AB508D">
            <w:pPr>
              <w:jc w:val="center"/>
              <w:rPr>
                <w:rFonts w:cstheme="minorHAnsi"/>
              </w:rPr>
            </w:pPr>
            <w:r>
              <w:rPr>
                <w:rFonts w:cstheme="minorHAnsi"/>
              </w:rPr>
              <w:t>Volume:</w:t>
            </w:r>
          </w:p>
          <w:p w14:paraId="6E04196E" w14:textId="7CF34544" w:rsidR="00F24CA2" w:rsidRPr="009A5185" w:rsidRDefault="00F24CA2" w:rsidP="00AB508D">
            <w:pPr>
              <w:jc w:val="center"/>
              <w:rPr>
                <w:rFonts w:cs="Arial"/>
              </w:rPr>
            </w:pPr>
            <w:r w:rsidRPr="000C6DE1">
              <w:rPr>
                <w:rFonts w:cstheme="minorHAnsi"/>
              </w:rPr>
              <w:t xml:space="preserve">12 months ending </w:t>
            </w:r>
            <w:r>
              <w:rPr>
                <w:rFonts w:cstheme="minorHAnsi"/>
              </w:rPr>
              <w:t>12/31/202</w:t>
            </w:r>
            <w:r w:rsidR="00097DD7">
              <w:rPr>
                <w:rFonts w:cstheme="minorHAnsi"/>
              </w:rPr>
              <w:t>5</w:t>
            </w:r>
          </w:p>
        </w:tc>
        <w:tc>
          <w:tcPr>
            <w:tcW w:w="3281" w:type="dxa"/>
            <w:vAlign w:val="center"/>
          </w:tcPr>
          <w:p w14:paraId="75F060DF" w14:textId="77777777" w:rsidR="00F24CA2" w:rsidRDefault="00F24CA2" w:rsidP="00AB508D">
            <w:pPr>
              <w:jc w:val="center"/>
              <w:rPr>
                <w:rFonts w:cstheme="minorHAnsi"/>
              </w:rPr>
            </w:pPr>
            <w:r>
              <w:rPr>
                <w:rFonts w:cstheme="minorHAnsi"/>
              </w:rPr>
              <w:t>Volume:</w:t>
            </w:r>
          </w:p>
          <w:p w14:paraId="2E5086AD" w14:textId="1BB54641" w:rsidR="00F24CA2" w:rsidRPr="00C430FD" w:rsidRDefault="00F24CA2" w:rsidP="00AB508D">
            <w:pPr>
              <w:jc w:val="center"/>
              <w:rPr>
                <w:rFonts w:cs="Arial"/>
              </w:rPr>
            </w:pPr>
            <w:r w:rsidRPr="000C6DE1">
              <w:rPr>
                <w:rFonts w:cstheme="minorHAnsi"/>
              </w:rPr>
              <w:t>12 months ending 06/30/202</w:t>
            </w:r>
            <w:r w:rsidR="00097DD7">
              <w:rPr>
                <w:rFonts w:cstheme="minorHAnsi"/>
              </w:rPr>
              <w:t>6</w:t>
            </w:r>
          </w:p>
        </w:tc>
      </w:tr>
      <w:tr w:rsidR="00F24CA2" w:rsidRPr="009A5185" w14:paraId="4288E4B0" w14:textId="77777777" w:rsidTr="004D1420">
        <w:trPr>
          <w:trHeight w:val="20"/>
          <w:jc w:val="center"/>
        </w:trPr>
        <w:tc>
          <w:tcPr>
            <w:tcW w:w="2766" w:type="dxa"/>
            <w:vMerge/>
            <w:shd w:val="clear" w:color="auto" w:fill="D9D9D9" w:themeFill="background1" w:themeFillShade="D9"/>
          </w:tcPr>
          <w:p w14:paraId="585C09B2" w14:textId="77777777" w:rsidR="00F24CA2" w:rsidRPr="009A5185" w:rsidRDefault="00F24CA2" w:rsidP="00AB508D">
            <w:pPr>
              <w:spacing w:before="120" w:after="120"/>
              <w:rPr>
                <w:rFonts w:cs="Arial"/>
                <w:b/>
              </w:rPr>
            </w:pPr>
          </w:p>
        </w:tc>
        <w:tc>
          <w:tcPr>
            <w:tcW w:w="3308" w:type="dxa"/>
            <w:vAlign w:val="center"/>
          </w:tcPr>
          <w:p w14:paraId="000F5908" w14:textId="77777777" w:rsidR="00F24CA2" w:rsidRDefault="00F24CA2" w:rsidP="00AB508D">
            <w:pPr>
              <w:jc w:val="center"/>
              <w:rPr>
                <w:rFonts w:cstheme="minorHAnsi"/>
              </w:rPr>
            </w:pPr>
            <w:r>
              <w:rPr>
                <w:rFonts w:cstheme="minorHAnsi"/>
              </w:rPr>
              <w:t>Services:</w:t>
            </w:r>
          </w:p>
          <w:p w14:paraId="5DECE68D" w14:textId="47F6A764" w:rsidR="00F24CA2" w:rsidRDefault="00402F77" w:rsidP="00AB508D">
            <w:pPr>
              <w:jc w:val="center"/>
              <w:rPr>
                <w:rFonts w:cstheme="minorHAnsi"/>
              </w:rPr>
            </w:pPr>
            <w:r w:rsidRPr="00AA1BD8">
              <w:rPr>
                <w:rFonts w:cstheme="minorHAnsi"/>
              </w:rPr>
              <w:t>Based on the practices currently in place at the time of Survey Submission</w:t>
            </w:r>
          </w:p>
        </w:tc>
        <w:tc>
          <w:tcPr>
            <w:tcW w:w="3281" w:type="dxa"/>
            <w:vAlign w:val="center"/>
          </w:tcPr>
          <w:p w14:paraId="5F9C8E29" w14:textId="77777777" w:rsidR="00F24CA2" w:rsidRDefault="00F24CA2" w:rsidP="00F24CA2">
            <w:pPr>
              <w:jc w:val="center"/>
              <w:rPr>
                <w:rFonts w:cstheme="minorHAnsi"/>
              </w:rPr>
            </w:pPr>
            <w:r>
              <w:rPr>
                <w:rFonts w:cstheme="minorHAnsi"/>
              </w:rPr>
              <w:t>Services:</w:t>
            </w:r>
          </w:p>
          <w:p w14:paraId="645596D9" w14:textId="2B67F35C" w:rsidR="00F24CA2" w:rsidRDefault="00402F77" w:rsidP="00F24CA2">
            <w:pPr>
              <w:jc w:val="center"/>
              <w:rPr>
                <w:rFonts w:cstheme="minorHAnsi"/>
              </w:rPr>
            </w:pPr>
            <w:r w:rsidRPr="00AA1BD8">
              <w:rPr>
                <w:rFonts w:cstheme="minorHAnsi"/>
              </w:rPr>
              <w:t>Based on the practices currently in place at the time of Survey Submission</w:t>
            </w:r>
          </w:p>
        </w:tc>
      </w:tr>
      <w:tr w:rsidR="00157FDB" w:rsidRPr="009A5185" w14:paraId="57B80551" w14:textId="77777777" w:rsidTr="004D1420">
        <w:trPr>
          <w:trHeight w:val="432"/>
          <w:jc w:val="center"/>
        </w:trPr>
        <w:tc>
          <w:tcPr>
            <w:tcW w:w="2766" w:type="dxa"/>
            <w:vMerge w:val="restart"/>
            <w:shd w:val="clear" w:color="auto" w:fill="D9D9D9" w:themeFill="background1" w:themeFillShade="D9"/>
          </w:tcPr>
          <w:p w14:paraId="05936AD6" w14:textId="45B39405" w:rsidR="00157FDB" w:rsidRPr="009A5185" w:rsidRDefault="00157FDB" w:rsidP="00AB508D">
            <w:pPr>
              <w:spacing w:before="120" w:after="120"/>
              <w:rPr>
                <w:rFonts w:cs="Arial"/>
              </w:rPr>
            </w:pPr>
            <w:r w:rsidRPr="009A5185">
              <w:rPr>
                <w:rFonts w:cs="Arial"/>
                <w:b/>
              </w:rPr>
              <w:t>4</w:t>
            </w:r>
            <w:r w:rsidR="0016658F">
              <w:rPr>
                <w:rFonts w:cs="Arial"/>
                <w:b/>
              </w:rPr>
              <w:t>B</w:t>
            </w:r>
            <w:r w:rsidRPr="009A5185">
              <w:rPr>
                <w:rFonts w:cs="Arial"/>
              </w:rPr>
              <w:t xml:space="preserve"> Cesarean Birth</w:t>
            </w:r>
          </w:p>
        </w:tc>
        <w:tc>
          <w:tcPr>
            <w:tcW w:w="3308" w:type="dxa"/>
            <w:vAlign w:val="center"/>
          </w:tcPr>
          <w:p w14:paraId="037656A8" w14:textId="1454EB88" w:rsidR="00157FDB" w:rsidRPr="009A5185" w:rsidRDefault="00157FDB" w:rsidP="00AB508D">
            <w:pPr>
              <w:jc w:val="center"/>
              <w:rPr>
                <w:rFonts w:cs="Arial"/>
              </w:rPr>
            </w:pPr>
            <w:r w:rsidRPr="000C6DE1">
              <w:rPr>
                <w:rFonts w:cstheme="minorHAnsi"/>
              </w:rPr>
              <w:t xml:space="preserve">12 months ending </w:t>
            </w:r>
            <w:r>
              <w:rPr>
                <w:rFonts w:cstheme="minorHAnsi"/>
              </w:rPr>
              <w:t>12/31/202</w:t>
            </w:r>
            <w:r w:rsidR="00BB28AA">
              <w:rPr>
                <w:rFonts w:cstheme="minorHAnsi"/>
              </w:rPr>
              <w:t>5</w:t>
            </w:r>
          </w:p>
        </w:tc>
        <w:tc>
          <w:tcPr>
            <w:tcW w:w="3281" w:type="dxa"/>
            <w:vAlign w:val="center"/>
          </w:tcPr>
          <w:p w14:paraId="6DE7265F" w14:textId="003D3BD4" w:rsidR="00157FDB" w:rsidRPr="00C430FD" w:rsidRDefault="00157FDB" w:rsidP="00AB508D">
            <w:pPr>
              <w:jc w:val="center"/>
              <w:rPr>
                <w:rFonts w:cs="Arial"/>
              </w:rPr>
            </w:pPr>
            <w:r w:rsidRPr="000C6DE1">
              <w:rPr>
                <w:rFonts w:cstheme="minorHAnsi"/>
              </w:rPr>
              <w:t>12 months ending 06/30/202</w:t>
            </w:r>
            <w:r w:rsidR="00BB28AA">
              <w:rPr>
                <w:rFonts w:cstheme="minorHAnsi"/>
              </w:rPr>
              <w:t>6</w:t>
            </w:r>
          </w:p>
        </w:tc>
      </w:tr>
      <w:tr w:rsidR="00157FDB" w:rsidRPr="009A5185" w14:paraId="28445F55" w14:textId="77777777" w:rsidTr="004D1420">
        <w:trPr>
          <w:trHeight w:val="864"/>
          <w:jc w:val="center"/>
        </w:trPr>
        <w:tc>
          <w:tcPr>
            <w:tcW w:w="2766" w:type="dxa"/>
            <w:vMerge/>
            <w:shd w:val="clear" w:color="auto" w:fill="D9D9D9" w:themeFill="background1" w:themeFillShade="D9"/>
          </w:tcPr>
          <w:p w14:paraId="6F3E164F" w14:textId="77777777" w:rsidR="00157FDB" w:rsidRPr="009A5185" w:rsidRDefault="00157FDB" w:rsidP="00AB508D">
            <w:pPr>
              <w:spacing w:before="120" w:after="120"/>
              <w:rPr>
                <w:rFonts w:cs="Arial"/>
                <w:b/>
              </w:rPr>
            </w:pPr>
          </w:p>
        </w:tc>
        <w:tc>
          <w:tcPr>
            <w:tcW w:w="3308" w:type="dxa"/>
            <w:vAlign w:val="center"/>
          </w:tcPr>
          <w:p w14:paraId="48472F27" w14:textId="77777777" w:rsidR="00157FDB" w:rsidRDefault="00157FDB" w:rsidP="00157FDB">
            <w:pPr>
              <w:jc w:val="center"/>
              <w:rPr>
                <w:rFonts w:cstheme="minorHAnsi"/>
              </w:rPr>
            </w:pPr>
            <w:r>
              <w:rPr>
                <w:rFonts w:cstheme="minorHAnsi"/>
              </w:rPr>
              <w:t>Cesarean Birth Stratified by Race/Ethnicity:</w:t>
            </w:r>
          </w:p>
          <w:p w14:paraId="3BEAB941" w14:textId="482CD1C3" w:rsidR="00157FDB" w:rsidRPr="000C6DE1" w:rsidRDefault="00157FDB" w:rsidP="00157FDB">
            <w:pPr>
              <w:jc w:val="center"/>
              <w:rPr>
                <w:rFonts w:cstheme="minorHAnsi"/>
              </w:rPr>
            </w:pPr>
            <w:r>
              <w:rPr>
                <w:rFonts w:cstheme="minorHAnsi"/>
              </w:rPr>
              <w:t>24 months ending 12/31/202</w:t>
            </w:r>
            <w:r w:rsidR="00BB28AA">
              <w:rPr>
                <w:rFonts w:cstheme="minorHAnsi"/>
              </w:rPr>
              <w:t>5</w:t>
            </w:r>
          </w:p>
        </w:tc>
        <w:tc>
          <w:tcPr>
            <w:tcW w:w="3281" w:type="dxa"/>
            <w:vAlign w:val="center"/>
          </w:tcPr>
          <w:p w14:paraId="661B65A2" w14:textId="77777777" w:rsidR="00157FDB" w:rsidRDefault="00157FDB" w:rsidP="00157FDB">
            <w:pPr>
              <w:jc w:val="center"/>
              <w:rPr>
                <w:rFonts w:cstheme="minorHAnsi"/>
              </w:rPr>
            </w:pPr>
            <w:r>
              <w:rPr>
                <w:rFonts w:cstheme="minorHAnsi"/>
              </w:rPr>
              <w:t>Cesarean Birth Stratified by Race/Ethnicity:</w:t>
            </w:r>
          </w:p>
          <w:p w14:paraId="36D1C376" w14:textId="7A7803F3" w:rsidR="00157FDB" w:rsidRPr="000C6DE1" w:rsidRDefault="00157FDB" w:rsidP="00157FDB">
            <w:pPr>
              <w:jc w:val="center"/>
              <w:rPr>
                <w:rFonts w:cstheme="minorHAnsi"/>
              </w:rPr>
            </w:pPr>
            <w:r>
              <w:rPr>
                <w:rFonts w:cstheme="minorHAnsi"/>
              </w:rPr>
              <w:t>24 months ending 06/30/202</w:t>
            </w:r>
            <w:r w:rsidR="00BB28AA">
              <w:rPr>
                <w:rFonts w:cstheme="minorHAnsi"/>
              </w:rPr>
              <w:t>6</w:t>
            </w:r>
          </w:p>
        </w:tc>
      </w:tr>
      <w:tr w:rsidR="00AB508D" w:rsidRPr="009A5185" w14:paraId="4A546CBC" w14:textId="77777777" w:rsidTr="004D1420">
        <w:trPr>
          <w:trHeight w:val="432"/>
          <w:jc w:val="center"/>
        </w:trPr>
        <w:tc>
          <w:tcPr>
            <w:tcW w:w="2766" w:type="dxa"/>
            <w:shd w:val="clear" w:color="auto" w:fill="D9D9D9" w:themeFill="background1" w:themeFillShade="D9"/>
          </w:tcPr>
          <w:p w14:paraId="49B0E98A" w14:textId="15425AD0" w:rsidR="00AB508D" w:rsidRPr="009A5185" w:rsidRDefault="00AB508D" w:rsidP="00AB508D">
            <w:pPr>
              <w:spacing w:before="120" w:after="120"/>
              <w:rPr>
                <w:rFonts w:cs="Arial"/>
              </w:rPr>
            </w:pPr>
            <w:r w:rsidRPr="009A5185">
              <w:rPr>
                <w:rFonts w:cs="Arial"/>
                <w:b/>
              </w:rPr>
              <w:lastRenderedPageBreak/>
              <w:t>4</w:t>
            </w:r>
            <w:r w:rsidR="0016658F">
              <w:rPr>
                <w:rFonts w:cs="Arial"/>
                <w:b/>
              </w:rPr>
              <w:t>C</w:t>
            </w:r>
            <w:r w:rsidRPr="009A5185">
              <w:rPr>
                <w:rFonts w:cs="Arial"/>
              </w:rPr>
              <w:t xml:space="preserve"> Episiotomy</w:t>
            </w:r>
          </w:p>
        </w:tc>
        <w:tc>
          <w:tcPr>
            <w:tcW w:w="3308" w:type="dxa"/>
            <w:vAlign w:val="center"/>
          </w:tcPr>
          <w:p w14:paraId="22FC294D" w14:textId="693C6EE5" w:rsidR="00AB508D" w:rsidRPr="009A5185" w:rsidRDefault="00AB508D" w:rsidP="00AB508D">
            <w:pPr>
              <w:jc w:val="center"/>
              <w:rPr>
                <w:rFonts w:cs="Arial"/>
              </w:rPr>
            </w:pPr>
            <w:r w:rsidRPr="000C6DE1">
              <w:rPr>
                <w:rFonts w:cstheme="minorHAnsi"/>
              </w:rPr>
              <w:t xml:space="preserve">12 months ending </w:t>
            </w:r>
            <w:r>
              <w:rPr>
                <w:rFonts w:cstheme="minorHAnsi"/>
              </w:rPr>
              <w:t>12/31/202</w:t>
            </w:r>
            <w:r w:rsidR="00BB28AA">
              <w:rPr>
                <w:rFonts w:cstheme="minorHAnsi"/>
              </w:rPr>
              <w:t>5</w:t>
            </w:r>
          </w:p>
        </w:tc>
        <w:tc>
          <w:tcPr>
            <w:tcW w:w="3281" w:type="dxa"/>
            <w:vAlign w:val="center"/>
          </w:tcPr>
          <w:p w14:paraId="3EC94477" w14:textId="53DDCDF2" w:rsidR="00AB508D" w:rsidRPr="00C430FD" w:rsidRDefault="00AB508D" w:rsidP="00AB508D">
            <w:pPr>
              <w:jc w:val="center"/>
              <w:rPr>
                <w:rFonts w:cs="Arial"/>
              </w:rPr>
            </w:pPr>
            <w:r w:rsidRPr="000C6DE1">
              <w:rPr>
                <w:rFonts w:cstheme="minorHAnsi"/>
              </w:rPr>
              <w:t>12 months ending 06/30/202</w:t>
            </w:r>
            <w:r w:rsidR="00BB28AA">
              <w:rPr>
                <w:rFonts w:cstheme="minorHAnsi"/>
              </w:rPr>
              <w:t>6</w:t>
            </w:r>
          </w:p>
        </w:tc>
      </w:tr>
      <w:tr w:rsidR="00AB508D" w:rsidRPr="009A5185" w14:paraId="3561F4FF" w14:textId="77777777" w:rsidTr="004D1420">
        <w:trPr>
          <w:trHeight w:val="20"/>
          <w:jc w:val="center"/>
        </w:trPr>
        <w:tc>
          <w:tcPr>
            <w:tcW w:w="2766" w:type="dxa"/>
            <w:shd w:val="clear" w:color="auto" w:fill="D9D9D9" w:themeFill="background1" w:themeFillShade="D9"/>
          </w:tcPr>
          <w:p w14:paraId="23DC4A88" w14:textId="2DA28C9E" w:rsidR="00AB508D" w:rsidRPr="009A5185" w:rsidRDefault="00AB508D" w:rsidP="00AB508D">
            <w:pPr>
              <w:spacing w:before="120" w:after="120"/>
              <w:rPr>
                <w:rFonts w:cs="Arial"/>
              </w:rPr>
            </w:pPr>
            <w:r w:rsidRPr="009A5185">
              <w:rPr>
                <w:rFonts w:cs="Arial"/>
                <w:b/>
              </w:rPr>
              <w:t>4</w:t>
            </w:r>
            <w:r w:rsidR="0016658F">
              <w:rPr>
                <w:rFonts w:cs="Arial"/>
                <w:b/>
              </w:rPr>
              <w:t>D</w:t>
            </w:r>
            <w:r w:rsidRPr="009A5185">
              <w:rPr>
                <w:rFonts w:cs="Arial"/>
              </w:rPr>
              <w:t xml:space="preserve"> </w:t>
            </w:r>
            <w:r>
              <w:rPr>
                <w:rFonts w:cs="Arial"/>
              </w:rPr>
              <w:t>Process Measures of Quality</w:t>
            </w:r>
          </w:p>
        </w:tc>
        <w:tc>
          <w:tcPr>
            <w:tcW w:w="3308" w:type="dxa"/>
            <w:vAlign w:val="center"/>
          </w:tcPr>
          <w:p w14:paraId="5523FBE7" w14:textId="29DE5160" w:rsidR="00AB508D" w:rsidRPr="009A5185" w:rsidRDefault="00AB508D" w:rsidP="00AB508D">
            <w:pPr>
              <w:jc w:val="center"/>
              <w:rPr>
                <w:rFonts w:cs="Arial"/>
              </w:rPr>
            </w:pPr>
            <w:r w:rsidRPr="000C6DE1">
              <w:rPr>
                <w:rFonts w:cstheme="minorHAnsi"/>
              </w:rPr>
              <w:t xml:space="preserve">12 months ending </w:t>
            </w:r>
            <w:r>
              <w:rPr>
                <w:rFonts w:cstheme="minorHAnsi"/>
              </w:rPr>
              <w:t>12/31/202</w:t>
            </w:r>
            <w:r w:rsidR="00BB28AA">
              <w:rPr>
                <w:rFonts w:cstheme="minorHAnsi"/>
              </w:rPr>
              <w:t>5</w:t>
            </w:r>
          </w:p>
        </w:tc>
        <w:tc>
          <w:tcPr>
            <w:tcW w:w="3281" w:type="dxa"/>
            <w:vAlign w:val="center"/>
          </w:tcPr>
          <w:p w14:paraId="6083A51B" w14:textId="36C76C5E" w:rsidR="00AB508D" w:rsidRPr="00C430FD" w:rsidRDefault="00AB508D" w:rsidP="00AB508D">
            <w:pPr>
              <w:jc w:val="center"/>
              <w:rPr>
                <w:rFonts w:cs="Arial"/>
              </w:rPr>
            </w:pPr>
            <w:r w:rsidRPr="000C6DE1">
              <w:rPr>
                <w:rFonts w:cstheme="minorHAnsi"/>
              </w:rPr>
              <w:t>12 months ending 06/30/202</w:t>
            </w:r>
            <w:r w:rsidR="00BB28AA">
              <w:rPr>
                <w:rFonts w:cstheme="minorHAnsi"/>
              </w:rPr>
              <w:t>6</w:t>
            </w:r>
          </w:p>
        </w:tc>
      </w:tr>
      <w:tr w:rsidR="00AB508D" w:rsidRPr="009A5185" w14:paraId="46C60EAA" w14:textId="77777777" w:rsidTr="004D1420">
        <w:trPr>
          <w:trHeight w:val="576"/>
          <w:jc w:val="center"/>
        </w:trPr>
        <w:tc>
          <w:tcPr>
            <w:tcW w:w="2766" w:type="dxa"/>
            <w:vMerge w:val="restart"/>
            <w:shd w:val="clear" w:color="auto" w:fill="D9D9D9" w:themeFill="background1" w:themeFillShade="D9"/>
          </w:tcPr>
          <w:p w14:paraId="0A009B9A" w14:textId="08296FA4" w:rsidR="00AB508D" w:rsidRPr="009A5185" w:rsidRDefault="00AB508D" w:rsidP="00AB508D">
            <w:pPr>
              <w:spacing w:before="120" w:after="120"/>
              <w:rPr>
                <w:rFonts w:cs="Arial"/>
                <w:color w:val="76923C" w:themeColor="accent3" w:themeShade="BF"/>
              </w:rPr>
            </w:pPr>
            <w:r w:rsidRPr="009A5185">
              <w:rPr>
                <w:rFonts w:cs="Arial"/>
                <w:b/>
              </w:rPr>
              <w:t>4</w:t>
            </w:r>
            <w:r w:rsidR="0016658F">
              <w:rPr>
                <w:rFonts w:cs="Arial"/>
                <w:b/>
              </w:rPr>
              <w:t>E</w:t>
            </w:r>
            <w:r w:rsidRPr="009A5185">
              <w:rPr>
                <w:rFonts w:cs="Arial"/>
              </w:rPr>
              <w:t xml:space="preserve"> High-Risk Deliveries</w:t>
            </w:r>
            <w:r>
              <w:rPr>
                <w:rFonts w:cs="Arial"/>
              </w:rPr>
              <w:t>*</w:t>
            </w:r>
            <w:r w:rsidRPr="009A5185">
              <w:rPr>
                <w:rFonts w:cs="Arial"/>
              </w:rPr>
              <w:t xml:space="preserve"> </w:t>
            </w:r>
          </w:p>
        </w:tc>
        <w:tc>
          <w:tcPr>
            <w:tcW w:w="3308" w:type="dxa"/>
            <w:vAlign w:val="center"/>
          </w:tcPr>
          <w:p w14:paraId="0A5755D8" w14:textId="77777777" w:rsidR="00AB508D" w:rsidRPr="0066410F" w:rsidRDefault="00AB508D" w:rsidP="00AB508D">
            <w:pPr>
              <w:contextualSpacing/>
              <w:jc w:val="center"/>
              <w:rPr>
                <w:rFonts w:cstheme="minorHAnsi"/>
              </w:rPr>
            </w:pPr>
            <w:r w:rsidRPr="0066410F">
              <w:rPr>
                <w:rFonts w:cstheme="minorHAnsi"/>
              </w:rPr>
              <w:t>Volume:</w:t>
            </w:r>
          </w:p>
          <w:p w14:paraId="545E28ED" w14:textId="284483E3" w:rsidR="00AB508D" w:rsidRPr="009A5185" w:rsidRDefault="00AB508D" w:rsidP="00AB508D">
            <w:pPr>
              <w:jc w:val="center"/>
              <w:rPr>
                <w:rFonts w:cs="Arial"/>
              </w:rPr>
            </w:pPr>
            <w:r w:rsidRPr="0066410F">
              <w:rPr>
                <w:rFonts w:cstheme="minorHAnsi"/>
              </w:rPr>
              <w:t>12 months ending 12/31/202</w:t>
            </w:r>
            <w:r w:rsidR="00BB28AA">
              <w:rPr>
                <w:rFonts w:cstheme="minorHAnsi"/>
              </w:rPr>
              <w:t>5</w:t>
            </w:r>
          </w:p>
        </w:tc>
        <w:tc>
          <w:tcPr>
            <w:tcW w:w="3281" w:type="dxa"/>
            <w:vAlign w:val="center"/>
          </w:tcPr>
          <w:p w14:paraId="2129AB86" w14:textId="77777777" w:rsidR="00AB508D" w:rsidRPr="0066410F" w:rsidRDefault="00AB508D" w:rsidP="00AB508D">
            <w:pPr>
              <w:contextualSpacing/>
              <w:jc w:val="center"/>
              <w:rPr>
                <w:rFonts w:cstheme="minorHAnsi"/>
              </w:rPr>
            </w:pPr>
            <w:r w:rsidRPr="0066410F">
              <w:rPr>
                <w:rFonts w:cstheme="minorHAnsi"/>
              </w:rPr>
              <w:t>Volume:</w:t>
            </w:r>
          </w:p>
          <w:p w14:paraId="3B54FEF7" w14:textId="67846F9B" w:rsidR="00AB508D" w:rsidRPr="00C430FD" w:rsidRDefault="00AB508D" w:rsidP="00AB508D">
            <w:pPr>
              <w:jc w:val="center"/>
              <w:rPr>
                <w:rFonts w:cs="Arial"/>
              </w:rPr>
            </w:pPr>
            <w:r w:rsidRPr="0066410F">
              <w:rPr>
                <w:rFonts w:cstheme="minorHAnsi"/>
              </w:rPr>
              <w:t>12 months ending 06/30/202</w:t>
            </w:r>
            <w:r w:rsidR="00BB28AA">
              <w:rPr>
                <w:rFonts w:cstheme="minorHAnsi"/>
              </w:rPr>
              <w:t>6</w:t>
            </w:r>
          </w:p>
        </w:tc>
      </w:tr>
      <w:tr w:rsidR="00AB508D" w:rsidRPr="009A5185" w14:paraId="525C5EF1" w14:textId="77777777" w:rsidTr="004D1420">
        <w:trPr>
          <w:trHeight w:val="576"/>
          <w:jc w:val="center"/>
        </w:trPr>
        <w:tc>
          <w:tcPr>
            <w:tcW w:w="2766" w:type="dxa"/>
            <w:vMerge/>
            <w:shd w:val="clear" w:color="auto" w:fill="D9D9D9" w:themeFill="background1" w:themeFillShade="D9"/>
          </w:tcPr>
          <w:p w14:paraId="372D6DCB" w14:textId="77777777" w:rsidR="00AB508D" w:rsidRPr="009A5185" w:rsidRDefault="00AB508D" w:rsidP="00AB508D">
            <w:pPr>
              <w:spacing w:before="120" w:after="120"/>
              <w:rPr>
                <w:rFonts w:cs="Arial"/>
                <w:b/>
              </w:rPr>
            </w:pPr>
          </w:p>
        </w:tc>
        <w:tc>
          <w:tcPr>
            <w:tcW w:w="3308" w:type="dxa"/>
            <w:vAlign w:val="center"/>
          </w:tcPr>
          <w:p w14:paraId="2EB53BC2" w14:textId="77777777" w:rsidR="00AB508D" w:rsidRPr="0066410F" w:rsidRDefault="00AB508D" w:rsidP="00AB508D">
            <w:pPr>
              <w:contextualSpacing/>
              <w:jc w:val="center"/>
              <w:rPr>
                <w:rFonts w:cstheme="minorHAnsi"/>
              </w:rPr>
            </w:pPr>
            <w:r w:rsidRPr="0066410F">
              <w:rPr>
                <w:rFonts w:cstheme="minorHAnsi"/>
              </w:rPr>
              <w:t>VON:</w:t>
            </w:r>
          </w:p>
          <w:p w14:paraId="64D9DD02" w14:textId="5EBA8CD6" w:rsidR="00AB508D" w:rsidRPr="009A5185" w:rsidRDefault="00AB508D" w:rsidP="00AB508D">
            <w:pPr>
              <w:jc w:val="center"/>
              <w:rPr>
                <w:rFonts w:cs="Arial"/>
              </w:rPr>
            </w:pPr>
            <w:r w:rsidRPr="0066410F">
              <w:rPr>
                <w:rFonts w:cstheme="minorHAnsi"/>
              </w:rPr>
              <w:t>20</w:t>
            </w:r>
            <w:r>
              <w:rPr>
                <w:rFonts w:cstheme="minorHAnsi"/>
              </w:rPr>
              <w:t>2</w:t>
            </w:r>
            <w:r w:rsidR="00BB28AA">
              <w:rPr>
                <w:rFonts w:cstheme="minorHAnsi"/>
              </w:rPr>
              <w:t>4</w:t>
            </w:r>
            <w:r w:rsidRPr="0066410F">
              <w:rPr>
                <w:rFonts w:cstheme="minorHAnsi"/>
              </w:rPr>
              <w:t xml:space="preserve"> report</w:t>
            </w:r>
          </w:p>
        </w:tc>
        <w:tc>
          <w:tcPr>
            <w:tcW w:w="3281" w:type="dxa"/>
            <w:vAlign w:val="center"/>
          </w:tcPr>
          <w:p w14:paraId="60FF779D" w14:textId="77777777" w:rsidR="00AB508D" w:rsidRPr="0066410F" w:rsidRDefault="00AB508D" w:rsidP="00AB508D">
            <w:pPr>
              <w:contextualSpacing/>
              <w:jc w:val="center"/>
              <w:rPr>
                <w:rFonts w:cstheme="minorHAnsi"/>
              </w:rPr>
            </w:pPr>
            <w:r w:rsidRPr="0066410F">
              <w:rPr>
                <w:rFonts w:cstheme="minorHAnsi"/>
              </w:rPr>
              <w:t>VON:</w:t>
            </w:r>
          </w:p>
          <w:p w14:paraId="150094E2" w14:textId="28DE8BD3" w:rsidR="00AB508D" w:rsidRPr="00C430FD" w:rsidRDefault="00AB508D" w:rsidP="00AB508D">
            <w:pPr>
              <w:jc w:val="center"/>
              <w:rPr>
                <w:rFonts w:cs="Arial"/>
              </w:rPr>
            </w:pPr>
            <w:r w:rsidRPr="0066410F">
              <w:rPr>
                <w:rFonts w:cstheme="minorHAnsi"/>
              </w:rPr>
              <w:t>202</w:t>
            </w:r>
            <w:r w:rsidR="00BB28AA">
              <w:rPr>
                <w:rFonts w:cstheme="minorHAnsi"/>
              </w:rPr>
              <w:t>5</w:t>
            </w:r>
            <w:r w:rsidRPr="0066410F">
              <w:rPr>
                <w:rFonts w:cstheme="minorHAnsi"/>
              </w:rPr>
              <w:t xml:space="preserve"> report</w:t>
            </w:r>
          </w:p>
        </w:tc>
      </w:tr>
      <w:tr w:rsidR="00AB508D" w:rsidRPr="009A5185" w14:paraId="09B05650" w14:textId="77777777" w:rsidTr="004D1420">
        <w:trPr>
          <w:trHeight w:val="432"/>
          <w:jc w:val="center"/>
        </w:trPr>
        <w:tc>
          <w:tcPr>
            <w:tcW w:w="2766" w:type="dxa"/>
            <w:tcBorders>
              <w:bottom w:val="single" w:sz="4" w:space="0" w:color="auto"/>
            </w:tcBorders>
            <w:shd w:val="clear" w:color="auto" w:fill="D9D9D9" w:themeFill="background1" w:themeFillShade="D9"/>
          </w:tcPr>
          <w:p w14:paraId="3E934DEF" w14:textId="7BD80DAC" w:rsidR="00AB508D" w:rsidRPr="009A5185" w:rsidRDefault="00AB508D" w:rsidP="00AB508D">
            <w:pPr>
              <w:spacing w:before="120" w:after="120"/>
              <w:rPr>
                <w:rFonts w:cs="Arial"/>
                <w:b/>
              </w:rPr>
            </w:pPr>
            <w:r w:rsidRPr="009A5185">
              <w:rPr>
                <w:rFonts w:cs="Arial"/>
                <w:b/>
              </w:rPr>
              <w:t>5</w:t>
            </w:r>
            <w:r w:rsidR="00AB4837">
              <w:rPr>
                <w:rFonts w:cs="Arial"/>
                <w:b/>
              </w:rPr>
              <w:t>A</w:t>
            </w:r>
            <w:r w:rsidR="003F57C1">
              <w:rPr>
                <w:rFonts w:cs="Arial"/>
                <w:b/>
              </w:rPr>
              <w:t xml:space="preserve"> </w:t>
            </w:r>
            <w:r w:rsidR="003F57C1" w:rsidRPr="003F57C1">
              <w:rPr>
                <w:rFonts w:cs="Arial"/>
              </w:rPr>
              <w:t>Adult ICU Physician Staffing</w:t>
            </w:r>
          </w:p>
        </w:tc>
        <w:tc>
          <w:tcPr>
            <w:tcW w:w="3308" w:type="dxa"/>
            <w:tcBorders>
              <w:bottom w:val="single" w:sz="4" w:space="0" w:color="auto"/>
            </w:tcBorders>
            <w:vAlign w:val="center"/>
          </w:tcPr>
          <w:p w14:paraId="3421AB3B" w14:textId="6258C380" w:rsidR="00AB508D" w:rsidRPr="009A5185" w:rsidRDefault="00AB508D" w:rsidP="00AB508D">
            <w:pPr>
              <w:jc w:val="center"/>
              <w:rPr>
                <w:rFonts w:cs="Arial"/>
              </w:rPr>
            </w:pPr>
            <w:r w:rsidRPr="000C6DE1">
              <w:rPr>
                <w:rFonts w:cstheme="minorHAnsi"/>
              </w:rPr>
              <w:t>Latest 3 months prior to Survey submission</w:t>
            </w:r>
          </w:p>
        </w:tc>
        <w:tc>
          <w:tcPr>
            <w:tcW w:w="3281" w:type="dxa"/>
            <w:tcBorders>
              <w:bottom w:val="single" w:sz="4" w:space="0" w:color="auto"/>
            </w:tcBorders>
            <w:vAlign w:val="center"/>
          </w:tcPr>
          <w:p w14:paraId="0AB2D55F" w14:textId="0250F5E6" w:rsidR="00AB508D" w:rsidRPr="00C430FD" w:rsidRDefault="00AB508D" w:rsidP="00AB508D">
            <w:pPr>
              <w:jc w:val="center"/>
              <w:rPr>
                <w:rFonts w:cs="Arial"/>
              </w:rPr>
            </w:pPr>
            <w:r w:rsidRPr="000C6DE1">
              <w:rPr>
                <w:rFonts w:cstheme="minorHAnsi"/>
              </w:rPr>
              <w:t>Latest 3 months prior to Survey submission</w:t>
            </w:r>
          </w:p>
        </w:tc>
      </w:tr>
      <w:tr w:rsidR="003F57C1" w:rsidRPr="009A5185" w14:paraId="6BA76EBE" w14:textId="77777777" w:rsidTr="004D1420">
        <w:trPr>
          <w:trHeight w:val="432"/>
          <w:jc w:val="center"/>
        </w:trPr>
        <w:tc>
          <w:tcPr>
            <w:tcW w:w="2766" w:type="dxa"/>
            <w:tcBorders>
              <w:bottom w:val="single" w:sz="4" w:space="0" w:color="auto"/>
            </w:tcBorders>
            <w:shd w:val="clear" w:color="auto" w:fill="D9D9D9" w:themeFill="background1" w:themeFillShade="D9"/>
          </w:tcPr>
          <w:p w14:paraId="3575413C" w14:textId="5CCFD697" w:rsidR="003F57C1" w:rsidRPr="009A5185" w:rsidRDefault="003F57C1" w:rsidP="003F57C1">
            <w:pPr>
              <w:spacing w:before="120" w:after="120"/>
              <w:rPr>
                <w:rFonts w:cs="Arial"/>
                <w:b/>
              </w:rPr>
            </w:pPr>
            <w:r>
              <w:rPr>
                <w:rFonts w:cs="Arial"/>
                <w:b/>
              </w:rPr>
              <w:t xml:space="preserve">5B </w:t>
            </w:r>
            <w:r w:rsidRPr="00701DF2">
              <w:rPr>
                <w:rFonts w:cs="Arial"/>
                <w:bCs/>
              </w:rPr>
              <w:t>Pediatric ICU Physician Staffing</w:t>
            </w:r>
          </w:p>
        </w:tc>
        <w:tc>
          <w:tcPr>
            <w:tcW w:w="3308" w:type="dxa"/>
            <w:tcBorders>
              <w:bottom w:val="single" w:sz="4" w:space="0" w:color="auto"/>
            </w:tcBorders>
            <w:vAlign w:val="center"/>
          </w:tcPr>
          <w:p w14:paraId="6E54650C" w14:textId="01700BF3" w:rsidR="003F57C1" w:rsidRPr="000C6DE1" w:rsidRDefault="003F57C1" w:rsidP="003F57C1">
            <w:pPr>
              <w:jc w:val="center"/>
              <w:rPr>
                <w:rFonts w:cstheme="minorHAnsi"/>
              </w:rPr>
            </w:pPr>
            <w:r w:rsidRPr="000C6DE1">
              <w:rPr>
                <w:rFonts w:cstheme="minorHAnsi"/>
              </w:rPr>
              <w:t>Latest 3 months prior to Survey submission</w:t>
            </w:r>
          </w:p>
        </w:tc>
        <w:tc>
          <w:tcPr>
            <w:tcW w:w="3281" w:type="dxa"/>
            <w:tcBorders>
              <w:bottom w:val="single" w:sz="4" w:space="0" w:color="auto"/>
            </w:tcBorders>
            <w:vAlign w:val="center"/>
          </w:tcPr>
          <w:p w14:paraId="36B57DCA" w14:textId="42872B24" w:rsidR="003F57C1" w:rsidRPr="000C6DE1" w:rsidRDefault="003F57C1" w:rsidP="003F57C1">
            <w:pPr>
              <w:jc w:val="center"/>
              <w:rPr>
                <w:rFonts w:cstheme="minorHAnsi"/>
              </w:rPr>
            </w:pPr>
            <w:r w:rsidRPr="000C6DE1">
              <w:rPr>
                <w:rFonts w:cstheme="minorHAnsi"/>
              </w:rPr>
              <w:t>Latest 3 months prior to Survey submission</w:t>
            </w:r>
          </w:p>
        </w:tc>
      </w:tr>
      <w:tr w:rsidR="00862201" w:rsidRPr="009A5185" w14:paraId="4435F00C" w14:textId="77777777" w:rsidTr="005C0698">
        <w:trPr>
          <w:trHeight w:val="665"/>
          <w:jc w:val="center"/>
        </w:trPr>
        <w:tc>
          <w:tcPr>
            <w:tcW w:w="2766" w:type="dxa"/>
            <w:vMerge w:val="restart"/>
            <w:shd w:val="clear" w:color="auto" w:fill="D9D9D9" w:themeFill="background1" w:themeFillShade="D9"/>
          </w:tcPr>
          <w:p w14:paraId="7E1EE19D" w14:textId="63355FBE" w:rsidR="00862201" w:rsidRPr="009A5185" w:rsidRDefault="00862201" w:rsidP="00862201">
            <w:pPr>
              <w:spacing w:before="120" w:after="120"/>
              <w:rPr>
                <w:rFonts w:cs="Arial"/>
                <w:b/>
              </w:rPr>
            </w:pPr>
            <w:r>
              <w:rPr>
                <w:rFonts w:cs="Arial"/>
                <w:b/>
              </w:rPr>
              <w:t xml:space="preserve">5C </w:t>
            </w:r>
            <w:r w:rsidRPr="00701DF2">
              <w:rPr>
                <w:rFonts w:cs="Arial"/>
                <w:bCs/>
              </w:rPr>
              <w:t>Nursing Workforce</w:t>
            </w:r>
          </w:p>
        </w:tc>
        <w:tc>
          <w:tcPr>
            <w:tcW w:w="3308" w:type="dxa"/>
            <w:tcBorders>
              <w:bottom w:val="single" w:sz="4" w:space="0" w:color="auto"/>
            </w:tcBorders>
            <w:vAlign w:val="center"/>
          </w:tcPr>
          <w:p w14:paraId="1550FA79" w14:textId="28DF5793" w:rsidR="00862201" w:rsidRDefault="00862201" w:rsidP="00862201">
            <w:pPr>
              <w:jc w:val="center"/>
              <w:rPr>
                <w:rFonts w:cstheme="minorHAnsi"/>
              </w:rPr>
            </w:pPr>
            <w:r>
              <w:rPr>
                <w:rFonts w:cs="Arial"/>
                <w:bCs/>
              </w:rPr>
              <w:t>Nurse Staffing:</w:t>
            </w:r>
            <w:r w:rsidRPr="000C6DE1">
              <w:rPr>
                <w:rFonts w:cstheme="minorHAnsi"/>
              </w:rPr>
              <w:t xml:space="preserve"> </w:t>
            </w:r>
          </w:p>
          <w:p w14:paraId="01C24298" w14:textId="1B2F5B93" w:rsidR="00862201" w:rsidRPr="000C6DE1" w:rsidRDefault="00862201" w:rsidP="00862201">
            <w:pPr>
              <w:jc w:val="center"/>
              <w:rPr>
                <w:rFonts w:cstheme="minorHAnsi"/>
              </w:rPr>
            </w:pPr>
            <w:r w:rsidRPr="000C6DE1">
              <w:rPr>
                <w:rFonts w:cstheme="minorHAnsi"/>
              </w:rPr>
              <w:t xml:space="preserve">12 months ending </w:t>
            </w:r>
            <w:r>
              <w:rPr>
                <w:rFonts w:cstheme="minorHAnsi"/>
              </w:rPr>
              <w:t>12/31/202</w:t>
            </w:r>
            <w:r w:rsidR="00910ACB">
              <w:rPr>
                <w:rFonts w:cstheme="minorHAnsi"/>
              </w:rPr>
              <w:t>5</w:t>
            </w:r>
          </w:p>
        </w:tc>
        <w:tc>
          <w:tcPr>
            <w:tcW w:w="3281" w:type="dxa"/>
            <w:tcBorders>
              <w:bottom w:val="single" w:sz="4" w:space="0" w:color="auto"/>
            </w:tcBorders>
            <w:vAlign w:val="center"/>
          </w:tcPr>
          <w:p w14:paraId="151AB33B" w14:textId="552C8739" w:rsidR="00862201" w:rsidRDefault="00862201" w:rsidP="00862201">
            <w:pPr>
              <w:jc w:val="center"/>
              <w:rPr>
                <w:rFonts w:cstheme="minorHAnsi"/>
              </w:rPr>
            </w:pPr>
            <w:r>
              <w:rPr>
                <w:rFonts w:cs="Arial"/>
                <w:bCs/>
              </w:rPr>
              <w:t>Nurse Staffing:</w:t>
            </w:r>
            <w:r w:rsidRPr="000C6DE1">
              <w:rPr>
                <w:rFonts w:cstheme="minorHAnsi"/>
              </w:rPr>
              <w:t xml:space="preserve"> </w:t>
            </w:r>
          </w:p>
          <w:p w14:paraId="14816CC1" w14:textId="284C8069" w:rsidR="00862201" w:rsidRPr="000C6DE1" w:rsidRDefault="00862201" w:rsidP="00862201">
            <w:pPr>
              <w:jc w:val="center"/>
              <w:rPr>
                <w:rFonts w:cstheme="minorHAnsi"/>
              </w:rPr>
            </w:pPr>
            <w:r w:rsidRPr="000C6DE1">
              <w:rPr>
                <w:rFonts w:cstheme="minorHAnsi"/>
              </w:rPr>
              <w:t>12 months ending 06/30/202</w:t>
            </w:r>
            <w:r w:rsidR="00910ACB">
              <w:rPr>
                <w:rFonts w:cstheme="minorHAnsi"/>
              </w:rPr>
              <w:t>6</w:t>
            </w:r>
          </w:p>
        </w:tc>
      </w:tr>
      <w:tr w:rsidR="00862201" w:rsidRPr="009A5185" w14:paraId="303A8F43" w14:textId="77777777" w:rsidTr="00D73F6A">
        <w:trPr>
          <w:trHeight w:val="432"/>
          <w:jc w:val="center"/>
        </w:trPr>
        <w:tc>
          <w:tcPr>
            <w:tcW w:w="2766" w:type="dxa"/>
            <w:vMerge/>
            <w:shd w:val="clear" w:color="auto" w:fill="D9D9D9" w:themeFill="background1" w:themeFillShade="D9"/>
          </w:tcPr>
          <w:p w14:paraId="664C7146" w14:textId="77777777" w:rsidR="00862201" w:rsidRDefault="00862201" w:rsidP="00862201">
            <w:pPr>
              <w:spacing w:before="120" w:after="120"/>
              <w:rPr>
                <w:rFonts w:cs="Arial"/>
                <w:b/>
              </w:rPr>
            </w:pPr>
          </w:p>
        </w:tc>
        <w:tc>
          <w:tcPr>
            <w:tcW w:w="3308" w:type="dxa"/>
            <w:tcBorders>
              <w:bottom w:val="single" w:sz="4" w:space="0" w:color="auto"/>
            </w:tcBorders>
            <w:vAlign w:val="center"/>
          </w:tcPr>
          <w:p w14:paraId="6F7A9B25" w14:textId="77777777" w:rsidR="00EC43C5" w:rsidRDefault="00EC43C5" w:rsidP="00EC43C5">
            <w:pPr>
              <w:jc w:val="center"/>
              <w:rPr>
                <w:rFonts w:cs="Arial"/>
              </w:rPr>
            </w:pPr>
            <w:r w:rsidRPr="003622FE">
              <w:rPr>
                <w:rFonts w:cs="Arial"/>
                <w:bCs/>
              </w:rPr>
              <w:t>NQF Safe</w:t>
            </w:r>
            <w:r>
              <w:rPr>
                <w:rFonts w:cs="Arial"/>
                <w:b/>
              </w:rPr>
              <w:t xml:space="preserve"> </w:t>
            </w:r>
            <w:r>
              <w:rPr>
                <w:rFonts w:cs="Arial"/>
              </w:rPr>
              <w:t>Practice #9:</w:t>
            </w:r>
          </w:p>
          <w:p w14:paraId="1DA276A1" w14:textId="63DDBEC1" w:rsidR="00862201" w:rsidRPr="000C6DE1" w:rsidRDefault="00AD08F2" w:rsidP="00AD08F2">
            <w:pPr>
              <w:jc w:val="center"/>
              <w:rPr>
                <w:rFonts w:cstheme="minorHAnsi"/>
              </w:rPr>
            </w:pPr>
            <w:r>
              <w:rPr>
                <w:rFonts w:cs="Arial"/>
                <w:bCs/>
              </w:rPr>
              <w:t>Latest 12 months prior to Survey submission</w:t>
            </w:r>
          </w:p>
        </w:tc>
        <w:tc>
          <w:tcPr>
            <w:tcW w:w="3281" w:type="dxa"/>
            <w:tcBorders>
              <w:bottom w:val="single" w:sz="4" w:space="0" w:color="auto"/>
            </w:tcBorders>
            <w:vAlign w:val="center"/>
          </w:tcPr>
          <w:p w14:paraId="744B5F20" w14:textId="77777777" w:rsidR="00EC43C5" w:rsidRDefault="00EC43C5" w:rsidP="00EC43C5">
            <w:pPr>
              <w:jc w:val="center"/>
              <w:rPr>
                <w:rFonts w:cs="Arial"/>
              </w:rPr>
            </w:pPr>
            <w:r w:rsidRPr="003622FE">
              <w:rPr>
                <w:rFonts w:cs="Arial"/>
                <w:bCs/>
              </w:rPr>
              <w:t>NQF Safe</w:t>
            </w:r>
            <w:r>
              <w:rPr>
                <w:rFonts w:cs="Arial"/>
                <w:b/>
              </w:rPr>
              <w:t xml:space="preserve"> </w:t>
            </w:r>
            <w:r>
              <w:rPr>
                <w:rFonts w:cs="Arial"/>
              </w:rPr>
              <w:t>Practice #9:</w:t>
            </w:r>
          </w:p>
          <w:p w14:paraId="7CADBD0D" w14:textId="685B6DDE" w:rsidR="00862201" w:rsidRPr="000C6DE1" w:rsidRDefault="00AD08F2" w:rsidP="00862201">
            <w:pPr>
              <w:jc w:val="center"/>
              <w:rPr>
                <w:rFonts w:cstheme="minorHAnsi"/>
              </w:rPr>
            </w:pPr>
            <w:r>
              <w:rPr>
                <w:rFonts w:cs="Arial"/>
                <w:bCs/>
              </w:rPr>
              <w:t>Latest 12 months prior to Survey submission</w:t>
            </w:r>
          </w:p>
        </w:tc>
      </w:tr>
      <w:tr w:rsidR="00862201" w:rsidRPr="009A5185" w14:paraId="1FAD323B" w14:textId="77777777" w:rsidTr="004D1420">
        <w:trPr>
          <w:trHeight w:val="432"/>
          <w:jc w:val="center"/>
        </w:trPr>
        <w:tc>
          <w:tcPr>
            <w:tcW w:w="2766" w:type="dxa"/>
            <w:vMerge/>
            <w:tcBorders>
              <w:bottom w:val="single" w:sz="4" w:space="0" w:color="auto"/>
            </w:tcBorders>
            <w:shd w:val="clear" w:color="auto" w:fill="D9D9D9" w:themeFill="background1" w:themeFillShade="D9"/>
          </w:tcPr>
          <w:p w14:paraId="77F5DEF6" w14:textId="77777777" w:rsidR="00862201" w:rsidRDefault="00862201" w:rsidP="00862201">
            <w:pPr>
              <w:spacing w:before="120" w:after="120"/>
              <w:rPr>
                <w:rFonts w:cs="Arial"/>
                <w:b/>
              </w:rPr>
            </w:pPr>
          </w:p>
        </w:tc>
        <w:tc>
          <w:tcPr>
            <w:tcW w:w="3308" w:type="dxa"/>
            <w:tcBorders>
              <w:bottom w:val="single" w:sz="4" w:space="0" w:color="auto"/>
            </w:tcBorders>
            <w:vAlign w:val="center"/>
          </w:tcPr>
          <w:p w14:paraId="71D4B587" w14:textId="77777777" w:rsidR="00EC43C5" w:rsidRDefault="00EC43C5" w:rsidP="00EC43C5">
            <w:pPr>
              <w:jc w:val="center"/>
              <w:rPr>
                <w:rFonts w:cstheme="minorHAnsi"/>
              </w:rPr>
            </w:pPr>
            <w:r>
              <w:t>Percentage</w:t>
            </w:r>
            <w:r w:rsidRPr="007D0C84">
              <w:rPr>
                <w:rFonts w:cstheme="minorHAnsi"/>
              </w:rPr>
              <w:t xml:space="preserve"> of RNs </w:t>
            </w:r>
            <w:r>
              <w:rPr>
                <w:rFonts w:cstheme="minorHAnsi"/>
              </w:rPr>
              <w:t>who</w:t>
            </w:r>
            <w:r w:rsidRPr="007D0C84">
              <w:rPr>
                <w:rFonts w:cstheme="minorHAnsi"/>
              </w:rPr>
              <w:t xml:space="preserve"> are BSN-</w:t>
            </w:r>
            <w:r>
              <w:rPr>
                <w:rFonts w:cstheme="minorHAnsi"/>
              </w:rPr>
              <w:t>P</w:t>
            </w:r>
            <w:r w:rsidRPr="007D0C84">
              <w:rPr>
                <w:rFonts w:cstheme="minorHAnsi"/>
              </w:rPr>
              <w:t>repared</w:t>
            </w:r>
            <w:r>
              <w:rPr>
                <w:rFonts w:cstheme="minorHAnsi"/>
              </w:rPr>
              <w:t>:</w:t>
            </w:r>
          </w:p>
          <w:p w14:paraId="2E777E1A" w14:textId="1EA0B6E6" w:rsidR="00862201" w:rsidRPr="000C6DE1" w:rsidRDefault="00FA14A9" w:rsidP="00EC43C5">
            <w:pPr>
              <w:jc w:val="center"/>
              <w:rPr>
                <w:rFonts w:cstheme="minorHAnsi"/>
              </w:rPr>
            </w:pPr>
            <w:r w:rsidRPr="00FA14A9">
              <w:rPr>
                <w:rFonts w:cstheme="minorHAnsi"/>
              </w:rPr>
              <w:t>Based on the most recent day within the last 12 months for which you have complete data</w:t>
            </w:r>
          </w:p>
        </w:tc>
        <w:tc>
          <w:tcPr>
            <w:tcW w:w="3281" w:type="dxa"/>
            <w:tcBorders>
              <w:bottom w:val="single" w:sz="4" w:space="0" w:color="auto"/>
            </w:tcBorders>
            <w:vAlign w:val="center"/>
          </w:tcPr>
          <w:p w14:paraId="7D498C6E" w14:textId="77777777" w:rsidR="00EC43C5" w:rsidRDefault="00EC43C5" w:rsidP="00EC43C5">
            <w:pPr>
              <w:jc w:val="center"/>
              <w:rPr>
                <w:rFonts w:cstheme="minorHAnsi"/>
              </w:rPr>
            </w:pPr>
            <w:r>
              <w:t>Percentage</w:t>
            </w:r>
            <w:r w:rsidRPr="007D0C84">
              <w:rPr>
                <w:rFonts w:cstheme="minorHAnsi"/>
              </w:rPr>
              <w:t xml:space="preserve"> of RNs </w:t>
            </w:r>
            <w:r>
              <w:rPr>
                <w:rFonts w:cstheme="minorHAnsi"/>
              </w:rPr>
              <w:t>who</w:t>
            </w:r>
            <w:r w:rsidRPr="007D0C84">
              <w:rPr>
                <w:rFonts w:cstheme="minorHAnsi"/>
              </w:rPr>
              <w:t xml:space="preserve"> are BSN-</w:t>
            </w:r>
            <w:r>
              <w:rPr>
                <w:rFonts w:cstheme="minorHAnsi"/>
              </w:rPr>
              <w:t>P</w:t>
            </w:r>
            <w:r w:rsidRPr="007D0C84">
              <w:rPr>
                <w:rFonts w:cstheme="minorHAnsi"/>
              </w:rPr>
              <w:t>repared</w:t>
            </w:r>
            <w:r>
              <w:rPr>
                <w:rFonts w:cstheme="minorHAnsi"/>
              </w:rPr>
              <w:t>:</w:t>
            </w:r>
          </w:p>
          <w:p w14:paraId="392D734D" w14:textId="3B9ACBB1" w:rsidR="00862201" w:rsidRPr="000C6DE1" w:rsidRDefault="00FA14A9" w:rsidP="00EC43C5">
            <w:pPr>
              <w:jc w:val="center"/>
              <w:rPr>
                <w:rFonts w:cstheme="minorHAnsi"/>
              </w:rPr>
            </w:pPr>
            <w:r w:rsidRPr="00FA14A9">
              <w:rPr>
                <w:rFonts w:cstheme="minorHAnsi"/>
              </w:rPr>
              <w:t>Based on the most recent day within the last 12 months for which you have complete data</w:t>
            </w:r>
          </w:p>
        </w:tc>
      </w:tr>
      <w:tr w:rsidR="00AB508D" w:rsidRPr="009A5185" w14:paraId="2697F373" w14:textId="77777777" w:rsidTr="005C0698">
        <w:trPr>
          <w:trHeight w:val="836"/>
          <w:jc w:val="center"/>
        </w:trPr>
        <w:tc>
          <w:tcPr>
            <w:tcW w:w="2766" w:type="dxa"/>
            <w:shd w:val="clear" w:color="auto" w:fill="D9D9D9" w:themeFill="background1" w:themeFillShade="D9"/>
          </w:tcPr>
          <w:p w14:paraId="4CEBE266" w14:textId="7E79C472" w:rsidR="00AB508D" w:rsidRPr="009A5185" w:rsidRDefault="00AB508D" w:rsidP="00AB508D">
            <w:pPr>
              <w:spacing w:before="120" w:after="120"/>
              <w:rPr>
                <w:rFonts w:cs="Arial"/>
                <w:b/>
              </w:rPr>
            </w:pPr>
            <w:r w:rsidRPr="009A5185">
              <w:rPr>
                <w:rFonts w:cs="Arial"/>
                <w:b/>
              </w:rPr>
              <w:t>6</w:t>
            </w:r>
            <w:r>
              <w:rPr>
                <w:rFonts w:cs="Arial"/>
                <w:b/>
              </w:rPr>
              <w:t>A</w:t>
            </w:r>
            <w:r w:rsidRPr="009A5185">
              <w:rPr>
                <w:rFonts w:cs="Arial"/>
                <w:b/>
              </w:rPr>
              <w:t xml:space="preserve"> </w:t>
            </w:r>
            <w:r w:rsidRPr="000E69AB">
              <w:rPr>
                <w:rFonts w:cs="Arial"/>
                <w:bCs/>
              </w:rPr>
              <w:t>NQF Safe</w:t>
            </w:r>
            <w:r>
              <w:rPr>
                <w:rFonts w:cs="Arial"/>
                <w:b/>
              </w:rPr>
              <w:t xml:space="preserve"> </w:t>
            </w:r>
            <w:r>
              <w:rPr>
                <w:rFonts w:cs="Arial"/>
              </w:rPr>
              <w:t>Practice #1 – Culture of Safety Leadership Structures and Systems</w:t>
            </w:r>
          </w:p>
        </w:tc>
        <w:tc>
          <w:tcPr>
            <w:tcW w:w="3308" w:type="dxa"/>
            <w:vAlign w:val="center"/>
          </w:tcPr>
          <w:p w14:paraId="10594AC2" w14:textId="19ACF46A" w:rsidR="00AB508D" w:rsidRPr="009A5185" w:rsidRDefault="00AB508D" w:rsidP="00AB508D">
            <w:pPr>
              <w:jc w:val="center"/>
              <w:rPr>
                <w:rFonts w:cs="Arial"/>
              </w:rPr>
            </w:pPr>
            <w:r w:rsidRPr="000C6DE1">
              <w:rPr>
                <w:rFonts w:cstheme="minorHAnsi"/>
              </w:rPr>
              <w:t>Latest 12 months prior to Survey submission</w:t>
            </w:r>
          </w:p>
        </w:tc>
        <w:tc>
          <w:tcPr>
            <w:tcW w:w="3281" w:type="dxa"/>
            <w:vAlign w:val="center"/>
          </w:tcPr>
          <w:p w14:paraId="4C95B6F0" w14:textId="2698F4B0" w:rsidR="00AB508D" w:rsidRPr="00C430FD" w:rsidRDefault="00AB508D" w:rsidP="00AB508D">
            <w:pPr>
              <w:jc w:val="center"/>
              <w:rPr>
                <w:rFonts w:cs="Arial"/>
              </w:rPr>
            </w:pPr>
            <w:r w:rsidRPr="000C6DE1">
              <w:rPr>
                <w:rFonts w:cstheme="minorHAnsi"/>
              </w:rPr>
              <w:t>Latest 12 months prior to Survey submission</w:t>
            </w:r>
          </w:p>
        </w:tc>
      </w:tr>
      <w:tr w:rsidR="00AB508D" w:rsidRPr="009A5185" w14:paraId="56FBE72F" w14:textId="77777777" w:rsidTr="004D1420">
        <w:trPr>
          <w:trHeight w:val="1152"/>
          <w:jc w:val="center"/>
        </w:trPr>
        <w:tc>
          <w:tcPr>
            <w:tcW w:w="2766" w:type="dxa"/>
            <w:shd w:val="clear" w:color="auto" w:fill="D9D9D9" w:themeFill="background1" w:themeFillShade="D9"/>
          </w:tcPr>
          <w:p w14:paraId="2E634996" w14:textId="61393379" w:rsidR="00AB508D" w:rsidRPr="003E70D3" w:rsidRDefault="00AB508D" w:rsidP="00AB508D">
            <w:pPr>
              <w:spacing w:before="120" w:after="120"/>
              <w:rPr>
                <w:rFonts w:cs="Arial"/>
              </w:rPr>
            </w:pPr>
            <w:r>
              <w:rPr>
                <w:rFonts w:cs="Arial"/>
                <w:b/>
              </w:rPr>
              <w:t xml:space="preserve">6B </w:t>
            </w:r>
            <w:r w:rsidRPr="003622FE">
              <w:rPr>
                <w:rFonts w:cs="Arial"/>
                <w:bCs/>
              </w:rPr>
              <w:t>NQF Safe</w:t>
            </w:r>
            <w:r>
              <w:rPr>
                <w:rFonts w:cs="Arial"/>
                <w:b/>
              </w:rPr>
              <w:t xml:space="preserve"> </w:t>
            </w:r>
            <w:r>
              <w:rPr>
                <w:rFonts w:cs="Arial"/>
              </w:rPr>
              <w:t>Practice #2 – Culture Measurement, Feedback, and Intervention</w:t>
            </w:r>
          </w:p>
        </w:tc>
        <w:tc>
          <w:tcPr>
            <w:tcW w:w="3308" w:type="dxa"/>
            <w:vAlign w:val="center"/>
          </w:tcPr>
          <w:p w14:paraId="320ACBEC" w14:textId="66B49F5E" w:rsidR="00AB508D" w:rsidRDefault="00AB508D" w:rsidP="00AB508D">
            <w:pPr>
              <w:jc w:val="center"/>
              <w:rPr>
                <w:rFonts w:cs="Arial"/>
              </w:rPr>
            </w:pPr>
            <w:r w:rsidRPr="00AA1E71">
              <w:rPr>
                <w:rFonts w:cstheme="minorHAnsi"/>
              </w:rPr>
              <w:t xml:space="preserve">Latest </w:t>
            </w:r>
            <w:r>
              <w:rPr>
                <w:rFonts w:cstheme="minorHAnsi"/>
              </w:rPr>
              <w:t>12</w:t>
            </w:r>
            <w:r w:rsidRPr="00AA1E71">
              <w:rPr>
                <w:rFonts w:cstheme="minorHAnsi"/>
              </w:rPr>
              <w:t xml:space="preserve"> or </w:t>
            </w:r>
            <w:r>
              <w:rPr>
                <w:rFonts w:cstheme="minorHAnsi"/>
              </w:rPr>
              <w:t>24</w:t>
            </w:r>
            <w:r w:rsidRPr="00AA1E71">
              <w:rPr>
                <w:rFonts w:cstheme="minorHAnsi"/>
              </w:rPr>
              <w:t xml:space="preserve"> months prior to Survey submission (see individual safe practice for specific reporting period)</w:t>
            </w:r>
          </w:p>
        </w:tc>
        <w:tc>
          <w:tcPr>
            <w:tcW w:w="3281" w:type="dxa"/>
            <w:vAlign w:val="center"/>
          </w:tcPr>
          <w:p w14:paraId="633DDAB3" w14:textId="2FE452BD" w:rsidR="00AB508D" w:rsidRPr="00C430FD" w:rsidRDefault="00AB508D" w:rsidP="00AB508D">
            <w:pPr>
              <w:jc w:val="center"/>
              <w:rPr>
                <w:rFonts w:cs="Arial"/>
              </w:rPr>
            </w:pPr>
            <w:r w:rsidRPr="00AA1E71">
              <w:rPr>
                <w:rFonts w:cstheme="minorHAnsi"/>
              </w:rPr>
              <w:t xml:space="preserve">Latest </w:t>
            </w:r>
            <w:r>
              <w:rPr>
                <w:rFonts w:cstheme="minorHAnsi"/>
              </w:rPr>
              <w:t>12</w:t>
            </w:r>
            <w:r w:rsidRPr="00AA1E71">
              <w:rPr>
                <w:rFonts w:cstheme="minorHAnsi"/>
              </w:rPr>
              <w:t xml:space="preserve"> or </w:t>
            </w:r>
            <w:r>
              <w:rPr>
                <w:rFonts w:cstheme="minorHAnsi"/>
              </w:rPr>
              <w:t>24</w:t>
            </w:r>
            <w:r w:rsidRPr="00AA1E71">
              <w:rPr>
                <w:rFonts w:cstheme="minorHAnsi"/>
              </w:rPr>
              <w:t xml:space="preserve"> months prior to Survey submission (see individual safe practice for specific reporting period)</w:t>
            </w:r>
          </w:p>
        </w:tc>
      </w:tr>
      <w:tr w:rsidR="00AB508D" w:rsidRPr="009A5185" w14:paraId="08770FDA" w14:textId="77777777" w:rsidTr="004D1420">
        <w:trPr>
          <w:trHeight w:val="288"/>
          <w:jc w:val="center"/>
        </w:trPr>
        <w:tc>
          <w:tcPr>
            <w:tcW w:w="2766" w:type="dxa"/>
            <w:shd w:val="clear" w:color="auto" w:fill="D9D9D9" w:themeFill="background1" w:themeFillShade="D9"/>
          </w:tcPr>
          <w:p w14:paraId="196F6A26" w14:textId="0D5A720A" w:rsidR="00AB508D" w:rsidRPr="003E70D3" w:rsidRDefault="00AB508D" w:rsidP="00AB508D">
            <w:pPr>
              <w:spacing w:before="120" w:after="120"/>
              <w:rPr>
                <w:rFonts w:cs="Arial"/>
              </w:rPr>
            </w:pPr>
            <w:r>
              <w:rPr>
                <w:rFonts w:cs="Arial"/>
                <w:b/>
              </w:rPr>
              <w:t>6</w:t>
            </w:r>
            <w:r w:rsidR="007209E4">
              <w:rPr>
                <w:rFonts w:cs="Arial"/>
                <w:b/>
              </w:rPr>
              <w:t>C</w:t>
            </w:r>
            <w:r>
              <w:rPr>
                <w:rFonts w:cs="Arial"/>
                <w:b/>
              </w:rPr>
              <w:t xml:space="preserve"> </w:t>
            </w:r>
            <w:r>
              <w:rPr>
                <w:rFonts w:cs="Arial"/>
              </w:rPr>
              <w:t>Hand Hygiene</w:t>
            </w:r>
          </w:p>
        </w:tc>
        <w:tc>
          <w:tcPr>
            <w:tcW w:w="3308" w:type="dxa"/>
            <w:vAlign w:val="center"/>
          </w:tcPr>
          <w:p w14:paraId="6247F55D" w14:textId="41C25853" w:rsidR="00AB508D" w:rsidRDefault="00402F77" w:rsidP="00AB508D">
            <w:pPr>
              <w:jc w:val="center"/>
              <w:rPr>
                <w:rFonts w:cs="Arial"/>
              </w:rPr>
            </w:pPr>
            <w:r w:rsidRPr="00AA1BD8">
              <w:rPr>
                <w:rFonts w:cstheme="minorHAnsi"/>
              </w:rPr>
              <w:t>Based on the practices currently in place at the time of Survey Submission</w:t>
            </w:r>
          </w:p>
        </w:tc>
        <w:tc>
          <w:tcPr>
            <w:tcW w:w="3281" w:type="dxa"/>
            <w:vAlign w:val="center"/>
          </w:tcPr>
          <w:p w14:paraId="7D9CEE83" w14:textId="3F3C9BAF" w:rsidR="00AB508D" w:rsidRPr="00C430FD" w:rsidRDefault="00402F77" w:rsidP="00AB508D">
            <w:pPr>
              <w:jc w:val="center"/>
              <w:rPr>
                <w:rFonts w:cs="Arial"/>
              </w:rPr>
            </w:pPr>
            <w:r w:rsidRPr="00AA1BD8">
              <w:rPr>
                <w:rFonts w:cstheme="minorHAnsi"/>
              </w:rPr>
              <w:t>Based on the practices currently in place at the time of Survey Submission</w:t>
            </w:r>
          </w:p>
        </w:tc>
      </w:tr>
      <w:tr w:rsidR="00041D8C" w:rsidRPr="009A5185" w14:paraId="71EB02CC" w14:textId="77777777" w:rsidTr="005D541A">
        <w:trPr>
          <w:trHeight w:val="278"/>
          <w:jc w:val="center"/>
        </w:trPr>
        <w:tc>
          <w:tcPr>
            <w:tcW w:w="2766" w:type="dxa"/>
            <w:shd w:val="clear" w:color="auto" w:fill="D9D9D9" w:themeFill="background1" w:themeFillShade="D9"/>
          </w:tcPr>
          <w:p w14:paraId="66C6D4AE" w14:textId="5C64C52B" w:rsidR="00041D8C" w:rsidRDefault="00041D8C" w:rsidP="00AB508D">
            <w:pPr>
              <w:spacing w:before="120" w:after="120"/>
              <w:rPr>
                <w:rFonts w:cs="Arial"/>
                <w:b/>
              </w:rPr>
            </w:pPr>
            <w:r>
              <w:rPr>
                <w:rFonts w:cs="Arial"/>
                <w:b/>
              </w:rPr>
              <w:t>6</w:t>
            </w:r>
            <w:r w:rsidR="007209E4">
              <w:rPr>
                <w:rFonts w:cs="Arial"/>
                <w:b/>
              </w:rPr>
              <w:t>D</w:t>
            </w:r>
            <w:r>
              <w:rPr>
                <w:rFonts w:cs="Arial"/>
                <w:b/>
              </w:rPr>
              <w:t xml:space="preserve"> </w:t>
            </w:r>
            <w:r w:rsidRPr="004D1420">
              <w:rPr>
                <w:rFonts w:cs="Arial"/>
                <w:bCs/>
              </w:rPr>
              <w:t>Diagnostic Excellence</w:t>
            </w:r>
            <w:r>
              <w:rPr>
                <w:rFonts w:cs="Arial"/>
                <w:b/>
              </w:rPr>
              <w:t xml:space="preserve"> </w:t>
            </w:r>
          </w:p>
        </w:tc>
        <w:tc>
          <w:tcPr>
            <w:tcW w:w="3308" w:type="dxa"/>
            <w:vAlign w:val="center"/>
          </w:tcPr>
          <w:p w14:paraId="74D9FAF0" w14:textId="208E5E9F" w:rsidR="00041D8C" w:rsidRPr="000C6DE1" w:rsidRDefault="00CD63E5" w:rsidP="00CD63E5">
            <w:pPr>
              <w:jc w:val="center"/>
              <w:rPr>
                <w:rFonts w:cstheme="minorHAnsi"/>
              </w:rPr>
            </w:pPr>
            <w:r w:rsidRPr="00AA1E71">
              <w:rPr>
                <w:rFonts w:cstheme="minorHAnsi"/>
              </w:rPr>
              <w:t xml:space="preserve">Latest </w:t>
            </w:r>
            <w:r>
              <w:rPr>
                <w:rFonts w:cstheme="minorHAnsi"/>
              </w:rPr>
              <w:t>24</w:t>
            </w:r>
            <w:r w:rsidRPr="00AA1E71">
              <w:rPr>
                <w:rFonts w:cstheme="minorHAnsi"/>
              </w:rPr>
              <w:t xml:space="preserve"> or </w:t>
            </w:r>
            <w:r>
              <w:rPr>
                <w:rFonts w:cstheme="minorHAnsi"/>
              </w:rPr>
              <w:t>36</w:t>
            </w:r>
            <w:r w:rsidRPr="00AA1E71">
              <w:rPr>
                <w:rFonts w:cstheme="minorHAnsi"/>
              </w:rPr>
              <w:t xml:space="preserve"> months prior to Survey submission (see individual </w:t>
            </w:r>
            <w:r>
              <w:rPr>
                <w:rFonts w:cstheme="minorHAnsi"/>
              </w:rPr>
              <w:t xml:space="preserve">question </w:t>
            </w:r>
            <w:r w:rsidRPr="00AA1E71">
              <w:rPr>
                <w:rFonts w:cstheme="minorHAnsi"/>
              </w:rPr>
              <w:t>for specific reporting period)</w:t>
            </w:r>
          </w:p>
        </w:tc>
        <w:tc>
          <w:tcPr>
            <w:tcW w:w="3281" w:type="dxa"/>
            <w:vAlign w:val="center"/>
          </w:tcPr>
          <w:p w14:paraId="697CC052" w14:textId="3FA7C7AF" w:rsidR="00041D8C" w:rsidRPr="000C6DE1" w:rsidRDefault="00CD63E5" w:rsidP="00041D8C">
            <w:pPr>
              <w:jc w:val="center"/>
              <w:rPr>
                <w:rFonts w:cstheme="minorHAnsi"/>
              </w:rPr>
            </w:pPr>
            <w:r w:rsidRPr="00AA1E71">
              <w:rPr>
                <w:rFonts w:cstheme="minorHAnsi"/>
              </w:rPr>
              <w:t xml:space="preserve">Latest </w:t>
            </w:r>
            <w:r>
              <w:rPr>
                <w:rFonts w:cstheme="minorHAnsi"/>
              </w:rPr>
              <w:t>24</w:t>
            </w:r>
            <w:r w:rsidRPr="00AA1E71">
              <w:rPr>
                <w:rFonts w:cstheme="minorHAnsi"/>
              </w:rPr>
              <w:t xml:space="preserve"> or </w:t>
            </w:r>
            <w:r>
              <w:rPr>
                <w:rFonts w:cstheme="minorHAnsi"/>
              </w:rPr>
              <w:t>36</w:t>
            </w:r>
            <w:r w:rsidRPr="00AA1E71">
              <w:rPr>
                <w:rFonts w:cstheme="minorHAnsi"/>
              </w:rPr>
              <w:t xml:space="preserve"> months prior to Survey submission (see individual </w:t>
            </w:r>
            <w:r>
              <w:rPr>
                <w:rFonts w:cstheme="minorHAnsi"/>
              </w:rPr>
              <w:t xml:space="preserve">question </w:t>
            </w:r>
            <w:r w:rsidRPr="00AA1E71">
              <w:rPr>
                <w:rFonts w:cstheme="minorHAnsi"/>
              </w:rPr>
              <w:t>for specific reporting period)</w:t>
            </w:r>
          </w:p>
        </w:tc>
      </w:tr>
      <w:tr w:rsidR="002D1C99" w:rsidRPr="009A5185" w14:paraId="2CE201BC" w14:textId="77777777" w:rsidTr="004D1420">
        <w:trPr>
          <w:trHeight w:val="20"/>
          <w:jc w:val="center"/>
        </w:trPr>
        <w:tc>
          <w:tcPr>
            <w:tcW w:w="27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A6DAAF2" w14:textId="68E2A561" w:rsidR="002D1C99" w:rsidRPr="009A5185" w:rsidRDefault="002D1C99" w:rsidP="00AB508D">
            <w:pPr>
              <w:tabs>
                <w:tab w:val="left" w:pos="1485"/>
              </w:tabs>
              <w:spacing w:before="120" w:after="120"/>
              <w:rPr>
                <w:rFonts w:cs="Arial"/>
                <w:b/>
              </w:rPr>
            </w:pPr>
            <w:r>
              <w:rPr>
                <w:rFonts w:cs="Arial"/>
                <w:b/>
              </w:rPr>
              <w:t xml:space="preserve">6E </w:t>
            </w:r>
            <w:r w:rsidR="00446607" w:rsidRPr="00730DD6">
              <w:rPr>
                <w:rFonts w:cs="Arial"/>
                <w:bCs/>
              </w:rPr>
              <w:t>Hospital Boarding in the</w:t>
            </w:r>
            <w:r w:rsidR="00446607">
              <w:rPr>
                <w:rFonts w:cs="Arial"/>
                <w:b/>
              </w:rPr>
              <w:t xml:space="preserve"> </w:t>
            </w:r>
            <w:r w:rsidR="00303A23" w:rsidRPr="00701DF2">
              <w:rPr>
                <w:rFonts w:cs="Arial"/>
                <w:bCs/>
              </w:rPr>
              <w:t>Emergency Department (ED)</w:t>
            </w:r>
          </w:p>
        </w:tc>
        <w:tc>
          <w:tcPr>
            <w:tcW w:w="3308" w:type="dxa"/>
            <w:tcBorders>
              <w:top w:val="single" w:sz="4" w:space="0" w:color="auto"/>
              <w:left w:val="single" w:sz="4" w:space="0" w:color="auto"/>
              <w:bottom w:val="single" w:sz="4" w:space="0" w:color="auto"/>
            </w:tcBorders>
            <w:vAlign w:val="center"/>
          </w:tcPr>
          <w:p w14:paraId="4C43DABC" w14:textId="05FEEA17" w:rsidR="002D1C99" w:rsidRPr="000C6DE1" w:rsidRDefault="00303A23" w:rsidP="00AB508D">
            <w:pPr>
              <w:jc w:val="center"/>
              <w:rPr>
                <w:rFonts w:cstheme="minorHAnsi"/>
              </w:rPr>
            </w:pPr>
            <w:r w:rsidRPr="00303A23">
              <w:rPr>
                <w:rFonts w:cstheme="minorHAnsi"/>
              </w:rPr>
              <w:t>12 months ending 12/31/202</w:t>
            </w:r>
            <w:r w:rsidR="000B2D7F">
              <w:rPr>
                <w:rFonts w:cstheme="minorHAnsi"/>
              </w:rPr>
              <w:t>5</w:t>
            </w:r>
          </w:p>
        </w:tc>
        <w:tc>
          <w:tcPr>
            <w:tcW w:w="3281" w:type="dxa"/>
            <w:tcBorders>
              <w:top w:val="single" w:sz="4" w:space="0" w:color="auto"/>
              <w:left w:val="single" w:sz="4" w:space="0" w:color="auto"/>
              <w:bottom w:val="single" w:sz="4" w:space="0" w:color="auto"/>
            </w:tcBorders>
            <w:vAlign w:val="center"/>
          </w:tcPr>
          <w:p w14:paraId="622B2973" w14:textId="1F671627" w:rsidR="002D1C99" w:rsidRPr="000C6DE1" w:rsidRDefault="00303A23" w:rsidP="00AB508D">
            <w:pPr>
              <w:jc w:val="center"/>
              <w:rPr>
                <w:rFonts w:cstheme="minorHAnsi"/>
              </w:rPr>
            </w:pPr>
            <w:r w:rsidRPr="00303A23">
              <w:rPr>
                <w:rFonts w:cstheme="minorHAnsi"/>
              </w:rPr>
              <w:t>12 months ending 06/30/202</w:t>
            </w:r>
            <w:r w:rsidR="000B2D7F">
              <w:rPr>
                <w:rFonts w:cstheme="minorHAnsi"/>
              </w:rPr>
              <w:t>6</w:t>
            </w:r>
          </w:p>
        </w:tc>
      </w:tr>
      <w:tr w:rsidR="00AB508D" w:rsidRPr="009A5185" w14:paraId="1FB48B98" w14:textId="77777777" w:rsidTr="004D1420">
        <w:trPr>
          <w:trHeight w:val="20"/>
          <w:jc w:val="center"/>
        </w:trPr>
        <w:tc>
          <w:tcPr>
            <w:tcW w:w="27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AA7E633" w14:textId="075B5354" w:rsidR="00AB508D" w:rsidRPr="009A5185" w:rsidRDefault="00AB508D" w:rsidP="00AB508D">
            <w:pPr>
              <w:tabs>
                <w:tab w:val="left" w:pos="1485"/>
              </w:tabs>
              <w:spacing w:before="120" w:after="120"/>
              <w:rPr>
                <w:rFonts w:cs="Arial"/>
              </w:rPr>
            </w:pPr>
            <w:r w:rsidRPr="009A5185">
              <w:rPr>
                <w:rFonts w:cs="Arial"/>
                <w:b/>
              </w:rPr>
              <w:t>7A</w:t>
            </w:r>
            <w:r w:rsidRPr="009A5185">
              <w:rPr>
                <w:rFonts w:cs="Arial"/>
              </w:rPr>
              <w:t xml:space="preserve"> Never Events</w:t>
            </w:r>
            <w:r>
              <w:rPr>
                <w:rFonts w:cs="Arial"/>
              </w:rPr>
              <w:t xml:space="preserve"> </w:t>
            </w:r>
          </w:p>
        </w:tc>
        <w:tc>
          <w:tcPr>
            <w:tcW w:w="3308" w:type="dxa"/>
            <w:tcBorders>
              <w:top w:val="single" w:sz="4" w:space="0" w:color="auto"/>
              <w:left w:val="single" w:sz="4" w:space="0" w:color="auto"/>
              <w:bottom w:val="single" w:sz="4" w:space="0" w:color="auto"/>
            </w:tcBorders>
            <w:vAlign w:val="center"/>
          </w:tcPr>
          <w:p w14:paraId="763721B8" w14:textId="7AF4EEAB" w:rsidR="00AB508D" w:rsidRPr="009A5185" w:rsidRDefault="00EF227B" w:rsidP="00AB508D">
            <w:pPr>
              <w:jc w:val="center"/>
              <w:rPr>
                <w:rFonts w:cs="Arial"/>
              </w:rPr>
            </w:pPr>
            <w:r w:rsidRPr="00EF227B">
              <w:rPr>
                <w:rFonts w:cstheme="minorHAnsi"/>
              </w:rPr>
              <w:t>Based on the principles currently included in your hospital’s never events policy at the time of Survey submission</w:t>
            </w:r>
          </w:p>
        </w:tc>
        <w:tc>
          <w:tcPr>
            <w:tcW w:w="3281" w:type="dxa"/>
            <w:tcBorders>
              <w:top w:val="single" w:sz="4" w:space="0" w:color="auto"/>
              <w:left w:val="single" w:sz="4" w:space="0" w:color="auto"/>
              <w:bottom w:val="single" w:sz="4" w:space="0" w:color="auto"/>
            </w:tcBorders>
            <w:vAlign w:val="center"/>
          </w:tcPr>
          <w:p w14:paraId="3C157EF7" w14:textId="01039DFD" w:rsidR="00AB508D" w:rsidRPr="00C430FD" w:rsidRDefault="00EF227B" w:rsidP="00AB508D">
            <w:pPr>
              <w:jc w:val="center"/>
              <w:rPr>
                <w:rFonts w:cs="Arial"/>
              </w:rPr>
            </w:pPr>
            <w:r w:rsidRPr="00EF227B">
              <w:rPr>
                <w:rFonts w:cstheme="minorHAnsi"/>
              </w:rPr>
              <w:t>Based on the principles currently included in your hospital’s never events policy at the time of Survey submission</w:t>
            </w:r>
          </w:p>
        </w:tc>
      </w:tr>
      <w:tr w:rsidR="00AB508D" w:rsidRPr="009A5185" w14:paraId="52D340AF" w14:textId="77777777" w:rsidTr="004D1420">
        <w:trPr>
          <w:trHeight w:val="432"/>
          <w:jc w:val="center"/>
        </w:trPr>
        <w:tc>
          <w:tcPr>
            <w:tcW w:w="27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C5C1318" w14:textId="5AF7CE21" w:rsidR="00AB508D" w:rsidRPr="009A5185" w:rsidRDefault="00AB508D" w:rsidP="00AB508D">
            <w:pPr>
              <w:spacing w:before="120" w:after="120"/>
              <w:rPr>
                <w:rFonts w:cs="Arial"/>
              </w:rPr>
            </w:pPr>
            <w:r w:rsidRPr="009A5185">
              <w:rPr>
                <w:rFonts w:cs="Arial"/>
                <w:b/>
              </w:rPr>
              <w:lastRenderedPageBreak/>
              <w:t>7B</w:t>
            </w:r>
            <w:r w:rsidRPr="009A5185">
              <w:rPr>
                <w:rFonts w:cs="Arial"/>
              </w:rPr>
              <w:t xml:space="preserve"> Healthcare-Associated Infections</w:t>
            </w:r>
            <w:r>
              <w:rPr>
                <w:rFonts w:cs="Arial"/>
              </w:rPr>
              <w:t>**</w:t>
            </w:r>
            <w:r w:rsidRPr="009A5185">
              <w:rPr>
                <w:rFonts w:cs="Arial"/>
              </w:rPr>
              <w:t xml:space="preserve"> </w:t>
            </w:r>
          </w:p>
        </w:tc>
        <w:tc>
          <w:tcPr>
            <w:tcW w:w="3308" w:type="dxa"/>
            <w:tcBorders>
              <w:top w:val="single" w:sz="4" w:space="0" w:color="auto"/>
              <w:left w:val="single" w:sz="4" w:space="0" w:color="auto"/>
              <w:bottom w:val="single" w:sz="4" w:space="0" w:color="auto"/>
            </w:tcBorders>
            <w:vAlign w:val="center"/>
          </w:tcPr>
          <w:p w14:paraId="23465032" w14:textId="77777777" w:rsidR="00AB508D" w:rsidRDefault="00AB508D" w:rsidP="00AB508D">
            <w:pPr>
              <w:contextualSpacing/>
              <w:jc w:val="center"/>
              <w:rPr>
                <w:rFonts w:cstheme="minorHAnsi"/>
              </w:rPr>
            </w:pPr>
            <w:r w:rsidRPr="005B2F66">
              <w:rPr>
                <w:rFonts w:cstheme="minorHAnsi"/>
              </w:rPr>
              <w:t xml:space="preserve">June and August Data Downloads: </w:t>
            </w:r>
          </w:p>
          <w:p w14:paraId="2355677F" w14:textId="5E3C75EA" w:rsidR="00AB508D" w:rsidRPr="009A5185" w:rsidRDefault="00AB508D" w:rsidP="00AB508D">
            <w:pPr>
              <w:jc w:val="center"/>
              <w:rPr>
                <w:rFonts w:cs="Arial"/>
              </w:rPr>
            </w:pPr>
            <w:r w:rsidRPr="005B2F66">
              <w:t>01/01/202</w:t>
            </w:r>
            <w:r w:rsidR="001C406F">
              <w:t>5</w:t>
            </w:r>
            <w:r w:rsidRPr="005B2F66">
              <w:t xml:space="preserve"> – 12/31/202</w:t>
            </w:r>
            <w:r w:rsidR="001C406F">
              <w:t>5</w:t>
            </w:r>
          </w:p>
        </w:tc>
        <w:tc>
          <w:tcPr>
            <w:tcW w:w="3281" w:type="dxa"/>
            <w:tcBorders>
              <w:top w:val="single" w:sz="4" w:space="0" w:color="auto"/>
              <w:left w:val="single" w:sz="4" w:space="0" w:color="auto"/>
              <w:bottom w:val="single" w:sz="4" w:space="0" w:color="auto"/>
            </w:tcBorders>
            <w:vAlign w:val="center"/>
          </w:tcPr>
          <w:p w14:paraId="5B92D235" w14:textId="77777777" w:rsidR="00AB508D" w:rsidRDefault="00AB508D" w:rsidP="00AB508D">
            <w:pPr>
              <w:contextualSpacing/>
              <w:jc w:val="center"/>
            </w:pPr>
            <w:r>
              <w:t xml:space="preserve">October and December Data Downloads: </w:t>
            </w:r>
          </w:p>
          <w:p w14:paraId="425A7F92" w14:textId="77777777" w:rsidR="00424DEB" w:rsidRDefault="00AB508D" w:rsidP="00424DEB">
            <w:pPr>
              <w:jc w:val="center"/>
            </w:pPr>
            <w:r>
              <w:t>07/01/202</w:t>
            </w:r>
            <w:r w:rsidR="001C406F">
              <w:t>5</w:t>
            </w:r>
            <w:r>
              <w:t xml:space="preserve"> – 06/30/202</w:t>
            </w:r>
            <w:r w:rsidR="001C406F">
              <w:t>6</w:t>
            </w:r>
            <w:r w:rsidR="00424DEB">
              <w:t xml:space="preserve"> </w:t>
            </w:r>
            <w:r w:rsidR="00424DEB">
              <w:t>or</w:t>
            </w:r>
          </w:p>
          <w:p w14:paraId="1E703CA5" w14:textId="648C1C17" w:rsidR="00AB508D" w:rsidRPr="00424DEB" w:rsidRDefault="00424DEB" w:rsidP="00424DEB">
            <w:pPr>
              <w:jc w:val="center"/>
            </w:pPr>
            <w:r w:rsidRPr="00CF2094">
              <w:t>07/01/2025-06/30/2026</w:t>
            </w:r>
            <w:r>
              <w:t xml:space="preserve"> (for hospitals that reported &lt;=50 beds)</w:t>
            </w:r>
          </w:p>
        </w:tc>
      </w:tr>
      <w:tr w:rsidR="00AB508D" w:rsidRPr="009A5185" w14:paraId="31338B26" w14:textId="77777777" w:rsidTr="004D1420">
        <w:trPr>
          <w:trHeight w:val="288"/>
          <w:jc w:val="center"/>
        </w:trPr>
        <w:tc>
          <w:tcPr>
            <w:tcW w:w="2766" w:type="dxa"/>
            <w:shd w:val="clear" w:color="auto" w:fill="D9D9D9" w:themeFill="background1" w:themeFillShade="D9"/>
          </w:tcPr>
          <w:p w14:paraId="1A0EE818" w14:textId="422B13F8" w:rsidR="00AB508D" w:rsidRPr="009A5185" w:rsidRDefault="00AB508D" w:rsidP="00AB508D">
            <w:pPr>
              <w:spacing w:before="120" w:after="120"/>
              <w:rPr>
                <w:rFonts w:cs="Arial"/>
                <w:b/>
              </w:rPr>
            </w:pPr>
            <w:r>
              <w:rPr>
                <w:rFonts w:cs="Arial"/>
                <w:b/>
              </w:rPr>
              <w:t>8</w:t>
            </w:r>
            <w:r w:rsidRPr="009A5185">
              <w:rPr>
                <w:rFonts w:cs="Arial"/>
                <w:b/>
              </w:rPr>
              <w:t xml:space="preserve">A </w:t>
            </w:r>
            <w:r w:rsidRPr="00F72C9F">
              <w:rPr>
                <w:rFonts w:cs="Arial"/>
                <w:bCs/>
              </w:rPr>
              <w:t>Patient Experience (</w:t>
            </w:r>
            <w:r w:rsidRPr="009A5185">
              <w:rPr>
                <w:rFonts w:cs="Arial"/>
              </w:rPr>
              <w:t>CAHPS Child Hospital Survey</w:t>
            </w:r>
            <w:r>
              <w:rPr>
                <w:rFonts w:cs="Arial"/>
              </w:rPr>
              <w:t>)</w:t>
            </w:r>
          </w:p>
        </w:tc>
        <w:tc>
          <w:tcPr>
            <w:tcW w:w="3308" w:type="dxa"/>
            <w:vAlign w:val="center"/>
          </w:tcPr>
          <w:p w14:paraId="48EA94DE" w14:textId="4B5DF397" w:rsidR="00AB508D" w:rsidRPr="009A5185" w:rsidRDefault="00AB508D" w:rsidP="00AB508D">
            <w:pPr>
              <w:jc w:val="center"/>
              <w:rPr>
                <w:rFonts w:cs="Arial"/>
              </w:rPr>
            </w:pPr>
            <w:r w:rsidRPr="0066410F">
              <w:rPr>
                <w:rFonts w:cstheme="minorHAnsi"/>
              </w:rPr>
              <w:t>Latest 12 months prior to Survey submission</w:t>
            </w:r>
          </w:p>
        </w:tc>
        <w:tc>
          <w:tcPr>
            <w:tcW w:w="3281" w:type="dxa"/>
            <w:vAlign w:val="center"/>
          </w:tcPr>
          <w:p w14:paraId="6A5DF2AB" w14:textId="0FF2EB1E" w:rsidR="00AB508D" w:rsidRPr="009A5185" w:rsidRDefault="00AB508D" w:rsidP="00AB508D">
            <w:pPr>
              <w:jc w:val="center"/>
              <w:rPr>
                <w:rFonts w:cs="Arial"/>
              </w:rPr>
            </w:pPr>
            <w:r w:rsidRPr="0066410F">
              <w:rPr>
                <w:rFonts w:cstheme="minorHAnsi"/>
              </w:rPr>
              <w:t>Latest 12 months prior to Survey submission</w:t>
            </w:r>
          </w:p>
        </w:tc>
      </w:tr>
      <w:tr w:rsidR="00AB508D" w:rsidRPr="009A5185" w14:paraId="0CD8E286" w14:textId="77777777" w:rsidTr="004D1420">
        <w:trPr>
          <w:trHeight w:val="288"/>
          <w:jc w:val="center"/>
        </w:trPr>
        <w:tc>
          <w:tcPr>
            <w:tcW w:w="2766" w:type="dxa"/>
            <w:shd w:val="clear" w:color="auto" w:fill="D9D9D9" w:themeFill="background1" w:themeFillShade="D9"/>
          </w:tcPr>
          <w:p w14:paraId="216E0267" w14:textId="753294F8" w:rsidR="00AB508D" w:rsidRPr="009A5185" w:rsidRDefault="00AB508D" w:rsidP="00AB508D">
            <w:pPr>
              <w:spacing w:before="120" w:after="120"/>
              <w:rPr>
                <w:rFonts w:cs="Arial"/>
              </w:rPr>
            </w:pPr>
            <w:r>
              <w:rPr>
                <w:rFonts w:cs="Arial"/>
                <w:b/>
              </w:rPr>
              <w:t>8</w:t>
            </w:r>
            <w:r w:rsidRPr="009A5185">
              <w:rPr>
                <w:rFonts w:cs="Arial"/>
                <w:b/>
              </w:rPr>
              <w:t xml:space="preserve">B </w:t>
            </w:r>
            <w:r w:rsidRPr="009A5185">
              <w:rPr>
                <w:rFonts w:cs="Arial"/>
              </w:rPr>
              <w:t>Pediatric Computed Tomography (CT) Radiation Dose</w:t>
            </w:r>
          </w:p>
        </w:tc>
        <w:tc>
          <w:tcPr>
            <w:tcW w:w="3308" w:type="dxa"/>
            <w:vAlign w:val="center"/>
          </w:tcPr>
          <w:p w14:paraId="145EFBD8" w14:textId="1A9C9347" w:rsidR="00AB508D" w:rsidRPr="009A5185" w:rsidRDefault="00AB508D" w:rsidP="00AB508D">
            <w:pPr>
              <w:jc w:val="center"/>
              <w:rPr>
                <w:rFonts w:cs="Arial"/>
              </w:rPr>
            </w:pPr>
            <w:r w:rsidRPr="000C6DE1">
              <w:rPr>
                <w:rFonts w:cstheme="minorHAnsi"/>
              </w:rPr>
              <w:t xml:space="preserve">12 months ending </w:t>
            </w:r>
            <w:r>
              <w:rPr>
                <w:rFonts w:cstheme="minorHAnsi"/>
              </w:rPr>
              <w:t>12/31/202</w:t>
            </w:r>
            <w:r w:rsidR="00FC1865">
              <w:rPr>
                <w:rFonts w:cstheme="minorHAnsi"/>
              </w:rPr>
              <w:t>5</w:t>
            </w:r>
          </w:p>
        </w:tc>
        <w:tc>
          <w:tcPr>
            <w:tcW w:w="3281" w:type="dxa"/>
            <w:vAlign w:val="center"/>
          </w:tcPr>
          <w:p w14:paraId="1AF03974" w14:textId="03CAD799" w:rsidR="00AB508D" w:rsidRPr="007A7038" w:rsidRDefault="00AB508D" w:rsidP="00AB508D">
            <w:pPr>
              <w:jc w:val="center"/>
              <w:rPr>
                <w:rFonts w:cs="Arial"/>
              </w:rPr>
            </w:pPr>
            <w:r w:rsidRPr="000C6DE1">
              <w:rPr>
                <w:rFonts w:cstheme="minorHAnsi"/>
              </w:rPr>
              <w:t>12 months ending 06/30/202</w:t>
            </w:r>
            <w:r w:rsidR="00FC1865">
              <w:rPr>
                <w:rFonts w:cstheme="minorHAnsi"/>
              </w:rPr>
              <w:t>6</w:t>
            </w:r>
          </w:p>
        </w:tc>
      </w:tr>
      <w:tr w:rsidR="00AB508D" w:rsidRPr="009A5185" w14:paraId="0C03AA67" w14:textId="77777777" w:rsidTr="004D1420">
        <w:trPr>
          <w:trHeight w:val="20"/>
          <w:jc w:val="center"/>
        </w:trPr>
        <w:tc>
          <w:tcPr>
            <w:tcW w:w="2766" w:type="dxa"/>
            <w:shd w:val="clear" w:color="auto" w:fill="D9D9D9" w:themeFill="background1" w:themeFillShade="D9"/>
          </w:tcPr>
          <w:p w14:paraId="7776D7D0" w14:textId="1231DBF4" w:rsidR="00AB508D" w:rsidRPr="00853E29" w:rsidRDefault="00AB508D" w:rsidP="00AB508D">
            <w:pPr>
              <w:spacing w:before="120" w:after="120"/>
              <w:rPr>
                <w:rFonts w:cs="Arial"/>
              </w:rPr>
            </w:pPr>
            <w:r>
              <w:rPr>
                <w:rFonts w:cs="Arial"/>
                <w:b/>
              </w:rPr>
              <w:t xml:space="preserve">9A </w:t>
            </w:r>
            <w:r>
              <w:rPr>
                <w:rFonts w:cs="Arial"/>
              </w:rPr>
              <w:t>Basic Outpatient Department Information</w:t>
            </w:r>
          </w:p>
        </w:tc>
        <w:tc>
          <w:tcPr>
            <w:tcW w:w="3308" w:type="dxa"/>
            <w:vAlign w:val="center"/>
          </w:tcPr>
          <w:p w14:paraId="25423C0D" w14:textId="17BDC307" w:rsidR="00AB508D" w:rsidRPr="009A5185" w:rsidRDefault="00AB508D" w:rsidP="00AB508D">
            <w:pPr>
              <w:jc w:val="center"/>
              <w:rPr>
                <w:rFonts w:cs="Arial"/>
              </w:rPr>
            </w:pPr>
            <w:r w:rsidRPr="000C6DE1">
              <w:rPr>
                <w:rFonts w:cstheme="minorHAnsi"/>
              </w:rPr>
              <w:t xml:space="preserve">12 months ending </w:t>
            </w:r>
            <w:r>
              <w:rPr>
                <w:rFonts w:cstheme="minorHAnsi"/>
              </w:rPr>
              <w:t>12/31/202</w:t>
            </w:r>
            <w:r w:rsidR="008809B2">
              <w:rPr>
                <w:rFonts w:cstheme="minorHAnsi"/>
              </w:rPr>
              <w:t>5</w:t>
            </w:r>
          </w:p>
        </w:tc>
        <w:tc>
          <w:tcPr>
            <w:tcW w:w="3281" w:type="dxa"/>
            <w:vAlign w:val="center"/>
          </w:tcPr>
          <w:p w14:paraId="7906915E" w14:textId="65EFB117" w:rsidR="00AB508D" w:rsidRPr="007A7038" w:rsidRDefault="00AB508D" w:rsidP="00AB508D">
            <w:pPr>
              <w:jc w:val="center"/>
              <w:rPr>
                <w:rFonts w:cs="Arial"/>
              </w:rPr>
            </w:pPr>
            <w:r w:rsidRPr="000C6DE1">
              <w:rPr>
                <w:rFonts w:cstheme="minorHAnsi"/>
              </w:rPr>
              <w:t>12 months ending 06/30/202</w:t>
            </w:r>
            <w:r w:rsidR="008809B2">
              <w:rPr>
                <w:rFonts w:cstheme="minorHAnsi"/>
              </w:rPr>
              <w:t>6</w:t>
            </w:r>
          </w:p>
        </w:tc>
      </w:tr>
      <w:tr w:rsidR="00AB508D" w:rsidRPr="009A5185" w14:paraId="62A07BB4" w14:textId="77777777" w:rsidTr="004D1420">
        <w:trPr>
          <w:trHeight w:val="144"/>
          <w:jc w:val="center"/>
        </w:trPr>
        <w:tc>
          <w:tcPr>
            <w:tcW w:w="2766" w:type="dxa"/>
            <w:shd w:val="clear" w:color="auto" w:fill="D9D9D9" w:themeFill="background1" w:themeFillShade="D9"/>
          </w:tcPr>
          <w:p w14:paraId="03ACF096" w14:textId="5BE6F0C5" w:rsidR="00AB508D" w:rsidRPr="00853E29" w:rsidRDefault="00AB508D" w:rsidP="00AB508D">
            <w:pPr>
              <w:spacing w:before="120" w:after="120"/>
              <w:rPr>
                <w:rFonts w:cs="Arial"/>
              </w:rPr>
            </w:pPr>
            <w:r>
              <w:rPr>
                <w:rFonts w:cs="Arial"/>
                <w:b/>
              </w:rPr>
              <w:t xml:space="preserve">9B </w:t>
            </w:r>
            <w:r>
              <w:rPr>
                <w:rFonts w:cs="Arial"/>
              </w:rPr>
              <w:t>Medical, Surgical, and Clinical Staff</w:t>
            </w:r>
          </w:p>
        </w:tc>
        <w:tc>
          <w:tcPr>
            <w:tcW w:w="3308" w:type="dxa"/>
            <w:vAlign w:val="center"/>
          </w:tcPr>
          <w:p w14:paraId="1C9662B1" w14:textId="45AFAC67" w:rsidR="00AB508D" w:rsidRPr="009A5185" w:rsidRDefault="00AB508D" w:rsidP="00AB508D">
            <w:pPr>
              <w:jc w:val="center"/>
              <w:rPr>
                <w:rFonts w:cs="Arial"/>
              </w:rPr>
            </w:pPr>
            <w:r w:rsidRPr="000C6DE1">
              <w:rPr>
                <w:rFonts w:cstheme="minorHAnsi"/>
              </w:rPr>
              <w:t>Latest 3 months prior to Survey submission</w:t>
            </w:r>
          </w:p>
        </w:tc>
        <w:tc>
          <w:tcPr>
            <w:tcW w:w="3281" w:type="dxa"/>
            <w:vAlign w:val="center"/>
          </w:tcPr>
          <w:p w14:paraId="5054DC9E" w14:textId="7F75C867" w:rsidR="00AB508D" w:rsidRPr="007A7038" w:rsidRDefault="00AB508D" w:rsidP="00AB508D">
            <w:pPr>
              <w:jc w:val="center"/>
              <w:rPr>
                <w:rFonts w:cs="Arial"/>
              </w:rPr>
            </w:pPr>
            <w:r w:rsidRPr="000C6DE1">
              <w:rPr>
                <w:rFonts w:cstheme="minorHAnsi"/>
              </w:rPr>
              <w:t>Latest 3 months prior to Survey submission</w:t>
            </w:r>
          </w:p>
        </w:tc>
      </w:tr>
      <w:tr w:rsidR="00C66B1C" w:rsidRPr="009A5185" w14:paraId="5ECEFF32" w14:textId="77777777" w:rsidTr="004D1420">
        <w:trPr>
          <w:jc w:val="center"/>
        </w:trPr>
        <w:tc>
          <w:tcPr>
            <w:tcW w:w="2766" w:type="dxa"/>
            <w:shd w:val="clear" w:color="auto" w:fill="D9D9D9" w:themeFill="background1" w:themeFillShade="D9"/>
          </w:tcPr>
          <w:p w14:paraId="41B68E38" w14:textId="64960137" w:rsidR="00C66B1C" w:rsidRPr="009557B3" w:rsidRDefault="00C66B1C" w:rsidP="00490319">
            <w:pPr>
              <w:spacing w:before="120" w:after="120"/>
              <w:rPr>
                <w:rFonts w:cs="Arial"/>
              </w:rPr>
            </w:pPr>
            <w:r>
              <w:rPr>
                <w:rFonts w:cs="Arial"/>
                <w:b/>
              </w:rPr>
              <w:t xml:space="preserve">9C </w:t>
            </w:r>
            <w:r>
              <w:rPr>
                <w:rFonts w:cs="Arial"/>
              </w:rPr>
              <w:t>Volume of Procedures</w:t>
            </w:r>
          </w:p>
        </w:tc>
        <w:tc>
          <w:tcPr>
            <w:tcW w:w="6589" w:type="dxa"/>
            <w:gridSpan w:val="2"/>
            <w:vAlign w:val="center"/>
          </w:tcPr>
          <w:p w14:paraId="694D8AB4" w14:textId="3769BF7C" w:rsidR="00C66B1C" w:rsidRPr="007A7038" w:rsidRDefault="00C66B1C" w:rsidP="00490319">
            <w:pPr>
              <w:jc w:val="center"/>
              <w:rPr>
                <w:rFonts w:cs="Arial"/>
              </w:rPr>
            </w:pPr>
            <w:r w:rsidRPr="000C6DE1">
              <w:rPr>
                <w:rFonts w:cstheme="minorHAnsi"/>
              </w:rPr>
              <w:t xml:space="preserve">12 months ending </w:t>
            </w:r>
            <w:r>
              <w:rPr>
                <w:rFonts w:cstheme="minorHAnsi"/>
              </w:rPr>
              <w:t>12/31/202</w:t>
            </w:r>
            <w:r w:rsidR="008809B2">
              <w:rPr>
                <w:rFonts w:cstheme="minorHAnsi"/>
              </w:rPr>
              <w:t>5</w:t>
            </w:r>
          </w:p>
        </w:tc>
      </w:tr>
      <w:tr w:rsidR="004705EA" w:rsidRPr="009A5185" w14:paraId="33AB6BBD" w14:textId="77777777" w:rsidTr="004D1420">
        <w:trPr>
          <w:trHeight w:val="881"/>
          <w:jc w:val="center"/>
        </w:trPr>
        <w:tc>
          <w:tcPr>
            <w:tcW w:w="2766" w:type="dxa"/>
            <w:shd w:val="clear" w:color="auto" w:fill="D9D9D9" w:themeFill="background1" w:themeFillShade="D9"/>
          </w:tcPr>
          <w:p w14:paraId="63C87023" w14:textId="6E3DC720" w:rsidR="004705EA" w:rsidRDefault="00FA1DAC" w:rsidP="004705EA">
            <w:pPr>
              <w:spacing w:before="120" w:after="120"/>
              <w:rPr>
                <w:rFonts w:cs="Arial"/>
                <w:b/>
              </w:rPr>
            </w:pPr>
            <w:r>
              <w:rPr>
                <w:rFonts w:cs="Arial"/>
                <w:b/>
              </w:rPr>
              <w:t xml:space="preserve">9D </w:t>
            </w:r>
            <w:r>
              <w:rPr>
                <w:rFonts w:cs="Arial"/>
              </w:rPr>
              <w:t>Safety of Procedures</w:t>
            </w:r>
          </w:p>
        </w:tc>
        <w:tc>
          <w:tcPr>
            <w:tcW w:w="3308" w:type="dxa"/>
            <w:vAlign w:val="center"/>
          </w:tcPr>
          <w:p w14:paraId="1B82E1A8" w14:textId="1AF26B27" w:rsidR="004705EA" w:rsidRDefault="00C66B1C" w:rsidP="004705EA">
            <w:pPr>
              <w:jc w:val="center"/>
              <w:rPr>
                <w:rFonts w:cs="Arial"/>
              </w:rPr>
            </w:pPr>
            <w:r w:rsidRPr="000C6DE1">
              <w:rPr>
                <w:rFonts w:cstheme="minorHAnsi"/>
              </w:rPr>
              <w:t xml:space="preserve">Latest </w:t>
            </w:r>
            <w:r>
              <w:rPr>
                <w:rFonts w:cstheme="minorHAnsi"/>
              </w:rPr>
              <w:t>12</w:t>
            </w:r>
            <w:r w:rsidRPr="000C6DE1">
              <w:rPr>
                <w:rFonts w:cstheme="minorHAnsi"/>
              </w:rPr>
              <w:t xml:space="preserve"> months prior to </w:t>
            </w:r>
            <w:r>
              <w:rPr>
                <w:rFonts w:cstheme="minorHAnsi"/>
              </w:rPr>
              <w:t>S</w:t>
            </w:r>
            <w:r w:rsidRPr="000C6DE1">
              <w:rPr>
                <w:rFonts w:cstheme="minorHAnsi"/>
              </w:rPr>
              <w:t xml:space="preserve">urvey </w:t>
            </w:r>
            <w:r w:rsidR="00037FC2">
              <w:rPr>
                <w:rFonts w:cstheme="minorHAnsi"/>
              </w:rPr>
              <w:t>s</w:t>
            </w:r>
            <w:r w:rsidRPr="000C6DE1">
              <w:rPr>
                <w:rFonts w:cstheme="minorHAnsi"/>
              </w:rPr>
              <w:t>ubmission</w:t>
            </w:r>
            <w:r w:rsidRPr="000C6DE1" w:rsidDel="00574DEF">
              <w:rPr>
                <w:rFonts w:cstheme="minorHAnsi"/>
              </w:rPr>
              <w:t xml:space="preserve"> </w:t>
            </w:r>
          </w:p>
        </w:tc>
        <w:tc>
          <w:tcPr>
            <w:tcW w:w="3281" w:type="dxa"/>
            <w:vAlign w:val="center"/>
          </w:tcPr>
          <w:p w14:paraId="0717B5F0" w14:textId="610574D5" w:rsidR="004705EA" w:rsidRPr="007A7038" w:rsidRDefault="00C66B1C" w:rsidP="004705EA">
            <w:pPr>
              <w:jc w:val="center"/>
              <w:rPr>
                <w:rFonts w:cs="Arial"/>
              </w:rPr>
            </w:pPr>
            <w:r w:rsidRPr="000C6DE1">
              <w:rPr>
                <w:rFonts w:cstheme="minorHAnsi"/>
              </w:rPr>
              <w:t xml:space="preserve">Latest </w:t>
            </w:r>
            <w:r>
              <w:rPr>
                <w:rFonts w:cstheme="minorHAnsi"/>
              </w:rPr>
              <w:t>12</w:t>
            </w:r>
            <w:r w:rsidRPr="000C6DE1">
              <w:rPr>
                <w:rFonts w:cstheme="minorHAnsi"/>
              </w:rPr>
              <w:t xml:space="preserve"> months prior to </w:t>
            </w:r>
            <w:r>
              <w:rPr>
                <w:rFonts w:cstheme="minorHAnsi"/>
              </w:rPr>
              <w:t>S</w:t>
            </w:r>
            <w:r w:rsidRPr="000C6DE1">
              <w:rPr>
                <w:rFonts w:cstheme="minorHAnsi"/>
              </w:rPr>
              <w:t xml:space="preserve">urvey </w:t>
            </w:r>
            <w:r w:rsidR="00037FC2">
              <w:rPr>
                <w:rFonts w:cstheme="minorHAnsi"/>
              </w:rPr>
              <w:t>s</w:t>
            </w:r>
            <w:r w:rsidRPr="000C6DE1">
              <w:rPr>
                <w:rFonts w:cstheme="minorHAnsi"/>
              </w:rPr>
              <w:t>ubmission</w:t>
            </w:r>
            <w:r w:rsidRPr="000C6DE1" w:rsidDel="00574DEF">
              <w:rPr>
                <w:rFonts w:cstheme="minorHAnsi"/>
              </w:rPr>
              <w:t xml:space="preserve"> </w:t>
            </w:r>
          </w:p>
        </w:tc>
      </w:tr>
      <w:tr w:rsidR="00AB508D" w:rsidRPr="009A5185" w14:paraId="087971DC" w14:textId="77777777" w:rsidTr="004D1420">
        <w:trPr>
          <w:jc w:val="center"/>
        </w:trPr>
        <w:tc>
          <w:tcPr>
            <w:tcW w:w="2766" w:type="dxa"/>
            <w:shd w:val="clear" w:color="auto" w:fill="D9D9D9" w:themeFill="background1" w:themeFillShade="D9"/>
          </w:tcPr>
          <w:p w14:paraId="52510A4D" w14:textId="6F4DBA62" w:rsidR="00AB508D" w:rsidRPr="00853E29" w:rsidRDefault="00AB508D" w:rsidP="00AB508D">
            <w:pPr>
              <w:spacing w:before="120" w:after="120"/>
              <w:rPr>
                <w:rFonts w:cs="Arial"/>
              </w:rPr>
            </w:pPr>
            <w:r>
              <w:rPr>
                <w:rFonts w:cs="Arial"/>
                <w:b/>
              </w:rPr>
              <w:t xml:space="preserve">9E </w:t>
            </w:r>
            <w:r>
              <w:rPr>
                <w:rFonts w:cs="Arial"/>
              </w:rPr>
              <w:t>Medication Safety for Outpatient Procedures</w:t>
            </w:r>
          </w:p>
        </w:tc>
        <w:tc>
          <w:tcPr>
            <w:tcW w:w="3308" w:type="dxa"/>
            <w:vAlign w:val="center"/>
          </w:tcPr>
          <w:p w14:paraId="0A05013F" w14:textId="6EE3C2BF" w:rsidR="00AB508D" w:rsidRDefault="00AB508D" w:rsidP="00AB508D">
            <w:pPr>
              <w:jc w:val="center"/>
              <w:rPr>
                <w:rFonts w:cs="Arial"/>
              </w:rPr>
            </w:pPr>
            <w:r w:rsidRPr="000C6DE1">
              <w:rPr>
                <w:rFonts w:cstheme="minorHAnsi"/>
              </w:rPr>
              <w:t xml:space="preserve">12 months ending </w:t>
            </w:r>
            <w:r>
              <w:rPr>
                <w:rFonts w:cstheme="minorHAnsi"/>
              </w:rPr>
              <w:t>12/31/202</w:t>
            </w:r>
            <w:r w:rsidR="00124520">
              <w:rPr>
                <w:rFonts w:cstheme="minorHAnsi"/>
              </w:rPr>
              <w:t>5</w:t>
            </w:r>
          </w:p>
        </w:tc>
        <w:tc>
          <w:tcPr>
            <w:tcW w:w="3281" w:type="dxa"/>
            <w:vAlign w:val="center"/>
          </w:tcPr>
          <w:p w14:paraId="7D0D761F" w14:textId="32B31D43" w:rsidR="00AB508D" w:rsidRPr="007A7038" w:rsidRDefault="00AB508D" w:rsidP="00AB508D">
            <w:pPr>
              <w:jc w:val="center"/>
              <w:rPr>
                <w:rFonts w:cs="Arial"/>
              </w:rPr>
            </w:pPr>
            <w:r w:rsidRPr="000C6DE1">
              <w:rPr>
                <w:rFonts w:cstheme="minorHAnsi"/>
              </w:rPr>
              <w:t>12 months ending 06/30/202</w:t>
            </w:r>
            <w:r w:rsidR="00124520">
              <w:rPr>
                <w:rFonts w:cstheme="minorHAnsi"/>
              </w:rPr>
              <w:t>6</w:t>
            </w:r>
          </w:p>
        </w:tc>
      </w:tr>
      <w:tr w:rsidR="003937BF" w:rsidRPr="009A5185" w14:paraId="2C27D023" w14:textId="77777777" w:rsidTr="005D541A">
        <w:trPr>
          <w:trHeight w:val="539"/>
          <w:jc w:val="center"/>
        </w:trPr>
        <w:tc>
          <w:tcPr>
            <w:tcW w:w="2766" w:type="dxa"/>
            <w:shd w:val="clear" w:color="auto" w:fill="D9D9D9" w:themeFill="background1" w:themeFillShade="D9"/>
          </w:tcPr>
          <w:p w14:paraId="3611BC4B" w14:textId="1C766131" w:rsidR="003937BF" w:rsidRPr="00853E29" w:rsidRDefault="003937BF" w:rsidP="003937BF">
            <w:pPr>
              <w:spacing w:before="120" w:after="120"/>
              <w:rPr>
                <w:rFonts w:cs="Arial"/>
              </w:rPr>
            </w:pPr>
            <w:r>
              <w:rPr>
                <w:rFonts w:cs="Arial"/>
                <w:b/>
              </w:rPr>
              <w:t xml:space="preserve">9F </w:t>
            </w:r>
            <w:r>
              <w:rPr>
                <w:rFonts w:cs="Arial"/>
              </w:rPr>
              <w:t>CMS Measures***</w:t>
            </w:r>
          </w:p>
        </w:tc>
        <w:tc>
          <w:tcPr>
            <w:tcW w:w="3308" w:type="dxa"/>
            <w:vAlign w:val="center"/>
          </w:tcPr>
          <w:p w14:paraId="70947BD3" w14:textId="77777777" w:rsidR="003937BF" w:rsidRDefault="003937BF" w:rsidP="003937BF">
            <w:pPr>
              <w:contextualSpacing/>
              <w:jc w:val="center"/>
              <w:rPr>
                <w:rFonts w:cs="Arial"/>
              </w:rPr>
            </w:pPr>
            <w:r>
              <w:rPr>
                <w:rFonts w:cs="Arial"/>
              </w:rPr>
              <w:t>June CMS Data Download:</w:t>
            </w:r>
          </w:p>
          <w:p w14:paraId="0B5F4085" w14:textId="77777777" w:rsidR="003937BF" w:rsidRDefault="003937BF" w:rsidP="003937BF">
            <w:pPr>
              <w:contextualSpacing/>
              <w:jc w:val="center"/>
              <w:rPr>
                <w:rFonts w:cs="Arial"/>
              </w:rPr>
            </w:pPr>
          </w:p>
          <w:p w14:paraId="603AF353" w14:textId="77777777" w:rsidR="003937BF" w:rsidRDefault="003937BF" w:rsidP="003937BF">
            <w:pPr>
              <w:contextualSpacing/>
              <w:jc w:val="center"/>
              <w:rPr>
                <w:rFonts w:cs="Arial"/>
              </w:rPr>
            </w:pPr>
            <w:r w:rsidRPr="00BE3995">
              <w:rPr>
                <w:rFonts w:cs="Arial"/>
              </w:rPr>
              <w:t>OP-32</w:t>
            </w:r>
            <w:r>
              <w:rPr>
                <w:rFonts w:cs="Arial"/>
              </w:rPr>
              <w:t xml:space="preserve">: </w:t>
            </w:r>
            <w:r w:rsidRPr="00BE3995">
              <w:rPr>
                <w:rFonts w:cs="Arial"/>
              </w:rPr>
              <w:t>1/1/2022 - 12/31/2024</w:t>
            </w:r>
          </w:p>
          <w:p w14:paraId="418B31A3" w14:textId="047B6414" w:rsidR="003937BF" w:rsidRDefault="003937BF" w:rsidP="003937BF">
            <w:pPr>
              <w:jc w:val="center"/>
              <w:rPr>
                <w:rFonts w:cs="Arial"/>
              </w:rPr>
            </w:pPr>
            <w:r w:rsidRPr="00BE3995">
              <w:rPr>
                <w:rFonts w:cs="Arial"/>
              </w:rPr>
              <w:t>OAS CAHPS</w:t>
            </w:r>
            <w:r>
              <w:rPr>
                <w:rFonts w:cs="Arial"/>
              </w:rPr>
              <w:t xml:space="preserve">: </w:t>
            </w:r>
            <w:r w:rsidRPr="00BE3995">
              <w:rPr>
                <w:rFonts w:cs="Arial"/>
              </w:rPr>
              <w:t>7/1/2024 - 6/30/2025</w:t>
            </w:r>
          </w:p>
          <w:p w14:paraId="7BE401E5" w14:textId="77777777" w:rsidR="00C70A77" w:rsidRDefault="00C70A77" w:rsidP="003937BF">
            <w:pPr>
              <w:jc w:val="center"/>
              <w:rPr>
                <w:rFonts w:cs="Arial"/>
              </w:rPr>
            </w:pPr>
          </w:p>
          <w:p w14:paraId="2D52F1B2" w14:textId="77777777" w:rsidR="00C70A77" w:rsidRDefault="00C70A77" w:rsidP="00C70A77">
            <w:pPr>
              <w:jc w:val="center"/>
              <w:rPr>
                <w:rFonts w:cs="Arial"/>
              </w:rPr>
            </w:pPr>
            <w:r>
              <w:rPr>
                <w:rFonts w:cs="Arial"/>
              </w:rPr>
              <w:t>August CMS Download:</w:t>
            </w:r>
          </w:p>
          <w:p w14:paraId="7233542A" w14:textId="77777777" w:rsidR="00C70A77" w:rsidRDefault="00C70A77" w:rsidP="00C70A77">
            <w:pPr>
              <w:jc w:val="center"/>
              <w:rPr>
                <w:rFonts w:cs="Arial"/>
              </w:rPr>
            </w:pPr>
          </w:p>
          <w:p w14:paraId="161CCB46" w14:textId="77777777" w:rsidR="00C70A77" w:rsidRDefault="00C70A77" w:rsidP="00C70A77">
            <w:pPr>
              <w:contextualSpacing/>
              <w:jc w:val="center"/>
              <w:rPr>
                <w:rFonts w:cs="Arial"/>
              </w:rPr>
            </w:pPr>
            <w:r w:rsidRPr="00BE3995">
              <w:rPr>
                <w:rFonts w:cs="Arial"/>
              </w:rPr>
              <w:t>OP-32</w:t>
            </w:r>
            <w:r>
              <w:rPr>
                <w:rFonts w:cs="Arial"/>
              </w:rPr>
              <w:t xml:space="preserve">: </w:t>
            </w:r>
            <w:r w:rsidRPr="00BE3995">
              <w:rPr>
                <w:rFonts w:cs="Arial"/>
              </w:rPr>
              <w:t>1/1/2022 - 12/31/2024</w:t>
            </w:r>
          </w:p>
          <w:p w14:paraId="61716C00" w14:textId="4637880C" w:rsidR="00C70A77" w:rsidRPr="009A5185" w:rsidRDefault="00C70A77" w:rsidP="00C70A77">
            <w:pPr>
              <w:jc w:val="center"/>
              <w:rPr>
                <w:rFonts w:cs="Arial"/>
              </w:rPr>
            </w:pPr>
            <w:r w:rsidRPr="00BE3995">
              <w:rPr>
                <w:rFonts w:cs="Arial"/>
              </w:rPr>
              <w:t>OAS CAHPS</w:t>
            </w:r>
            <w:r>
              <w:rPr>
                <w:rFonts w:cs="Arial"/>
              </w:rPr>
              <w:t>: 10</w:t>
            </w:r>
            <w:r w:rsidRPr="00BE3995">
              <w:rPr>
                <w:rFonts w:cs="Arial"/>
              </w:rPr>
              <w:t xml:space="preserve">/1/2024 - </w:t>
            </w:r>
            <w:r>
              <w:rPr>
                <w:rFonts w:cs="Arial"/>
              </w:rPr>
              <w:t>9</w:t>
            </w:r>
            <w:r w:rsidRPr="00BE3995">
              <w:rPr>
                <w:rFonts w:cs="Arial"/>
              </w:rPr>
              <w:t>/30/2025</w:t>
            </w:r>
          </w:p>
        </w:tc>
        <w:tc>
          <w:tcPr>
            <w:tcW w:w="3281" w:type="dxa"/>
          </w:tcPr>
          <w:p w14:paraId="17242EC7" w14:textId="140C87AF" w:rsidR="003937BF" w:rsidRDefault="00C70A77" w:rsidP="003937BF">
            <w:pPr>
              <w:contextualSpacing/>
              <w:jc w:val="center"/>
              <w:rPr>
                <w:rFonts w:cs="Arial"/>
              </w:rPr>
            </w:pPr>
            <w:r>
              <w:rPr>
                <w:rFonts w:cs="Arial"/>
              </w:rPr>
              <w:t>November</w:t>
            </w:r>
            <w:r w:rsidR="003937BF">
              <w:rPr>
                <w:rFonts w:cs="Arial"/>
              </w:rPr>
              <w:t xml:space="preserve"> CMS Data Download:</w:t>
            </w:r>
          </w:p>
          <w:p w14:paraId="62233A0B" w14:textId="77777777" w:rsidR="003937BF" w:rsidRDefault="003937BF" w:rsidP="003937BF">
            <w:pPr>
              <w:contextualSpacing/>
              <w:jc w:val="center"/>
              <w:rPr>
                <w:rFonts w:cs="Arial"/>
              </w:rPr>
            </w:pPr>
          </w:p>
          <w:p w14:paraId="7C76A936" w14:textId="77777777" w:rsidR="003937BF" w:rsidRPr="00BE3995" w:rsidRDefault="003937BF" w:rsidP="003937BF">
            <w:pPr>
              <w:contextualSpacing/>
              <w:jc w:val="center"/>
              <w:rPr>
                <w:rFonts w:cs="Arial"/>
              </w:rPr>
            </w:pPr>
            <w:r w:rsidRPr="00BE3995">
              <w:rPr>
                <w:rFonts w:cs="Arial"/>
              </w:rPr>
              <w:t>OP-32</w:t>
            </w:r>
            <w:r>
              <w:rPr>
                <w:rFonts w:cs="Arial"/>
              </w:rPr>
              <w:t xml:space="preserve">: </w:t>
            </w:r>
            <w:r w:rsidRPr="00BE3995">
              <w:rPr>
                <w:rFonts w:cs="Arial"/>
              </w:rPr>
              <w:t>1/1/2022 - 12/31/2024</w:t>
            </w:r>
          </w:p>
          <w:p w14:paraId="57492546" w14:textId="0CBB0D7D" w:rsidR="003937BF" w:rsidRPr="009A5185" w:rsidRDefault="003937BF" w:rsidP="003937BF">
            <w:pPr>
              <w:jc w:val="center"/>
              <w:rPr>
                <w:rFonts w:cs="Arial"/>
              </w:rPr>
            </w:pPr>
            <w:r>
              <w:rPr>
                <w:rFonts w:cs="Arial"/>
              </w:rPr>
              <w:t xml:space="preserve">OAS </w:t>
            </w:r>
            <w:r w:rsidRPr="00BE3995">
              <w:rPr>
                <w:rFonts w:cs="Arial"/>
              </w:rPr>
              <w:t>CAHPS</w:t>
            </w:r>
            <w:r>
              <w:rPr>
                <w:rFonts w:cs="Arial"/>
              </w:rPr>
              <w:t xml:space="preserve">: </w:t>
            </w:r>
            <w:r w:rsidRPr="00BE3995">
              <w:rPr>
                <w:rFonts w:cs="Arial"/>
              </w:rPr>
              <w:t>1/1/2025 - 12/31/2025</w:t>
            </w:r>
          </w:p>
        </w:tc>
      </w:tr>
    </w:tbl>
    <w:p w14:paraId="49BB49B7" w14:textId="616A1891" w:rsidR="009E5395" w:rsidRPr="009A5185" w:rsidRDefault="000F20E9" w:rsidP="009E5395">
      <w:pPr>
        <w:rPr>
          <w:rFonts w:cs="Arial"/>
        </w:rPr>
      </w:pPr>
      <w:r>
        <w:rPr>
          <w:rFonts w:cs="Arial"/>
        </w:rPr>
        <w:br/>
      </w:r>
      <w:r w:rsidR="009E5395">
        <w:rPr>
          <w:rFonts w:cs="Arial"/>
        </w:rPr>
        <w:t xml:space="preserve">*Leapfrog will update VON data 3 times per Survey Cycle for all hospitals </w:t>
      </w:r>
      <w:r w:rsidR="00B626E3">
        <w:rPr>
          <w:rFonts w:cs="Arial"/>
        </w:rPr>
        <w:t xml:space="preserve">that </w:t>
      </w:r>
      <w:r w:rsidR="0055404F">
        <w:rPr>
          <w:rFonts w:cs="Arial"/>
        </w:rPr>
        <w:t>provide</w:t>
      </w:r>
      <w:r w:rsidR="00C43B4A">
        <w:rPr>
          <w:rFonts w:cs="Arial"/>
        </w:rPr>
        <w:t xml:space="preserve"> an accurate VON Transfer Code in the </w:t>
      </w:r>
      <w:r w:rsidR="00B75A0D">
        <w:rPr>
          <w:rFonts w:cs="Arial"/>
        </w:rPr>
        <w:t xml:space="preserve">Hospital </w:t>
      </w:r>
      <w:r w:rsidR="00C43B4A">
        <w:rPr>
          <w:rFonts w:cs="Arial"/>
        </w:rPr>
        <w:t xml:space="preserve">Profile, </w:t>
      </w:r>
      <w:r w:rsidR="009E5395">
        <w:rPr>
          <w:rFonts w:cs="Arial"/>
        </w:rPr>
        <w:t xml:space="preserve">submit a </w:t>
      </w:r>
      <w:hyperlink r:id="rId88" w:history="1">
        <w:r w:rsidR="00B93E94">
          <w:rPr>
            <w:rStyle w:val="Hyperlink"/>
            <w:rFonts w:cs="Arial"/>
          </w:rPr>
          <w:t>Data Sharing Authorization</w:t>
        </w:r>
      </w:hyperlink>
      <w:r w:rsidR="009E5395">
        <w:rPr>
          <w:rFonts w:cs="Arial"/>
        </w:rPr>
        <w:t xml:space="preserve"> </w:t>
      </w:r>
      <w:r w:rsidR="00B93E94">
        <w:rPr>
          <w:rFonts w:cs="Arial"/>
        </w:rPr>
        <w:t xml:space="preserve">letter </w:t>
      </w:r>
      <w:r w:rsidR="009E5395">
        <w:rPr>
          <w:rFonts w:cs="Arial"/>
        </w:rPr>
        <w:t>to VON, select “VON National Performance Measure” in Section 4</w:t>
      </w:r>
      <w:r w:rsidR="0016658F">
        <w:rPr>
          <w:rFonts w:cs="Arial"/>
        </w:rPr>
        <w:t>E</w:t>
      </w:r>
      <w:r w:rsidR="009E5395">
        <w:rPr>
          <w:rFonts w:cs="Arial"/>
        </w:rPr>
        <w:t xml:space="preserve">, and submit </w:t>
      </w:r>
      <w:r w:rsidR="00287EBB">
        <w:rPr>
          <w:rFonts w:cs="Arial"/>
        </w:rPr>
        <w:t>the 202</w:t>
      </w:r>
      <w:r w:rsidR="00422C8E">
        <w:rPr>
          <w:rFonts w:cs="Arial"/>
        </w:rPr>
        <w:t>6</w:t>
      </w:r>
      <w:r w:rsidR="00287EBB">
        <w:rPr>
          <w:rFonts w:cs="Arial"/>
        </w:rPr>
        <w:t xml:space="preserve"> Leapfrog Hospital Survey. </w:t>
      </w:r>
    </w:p>
    <w:p w14:paraId="57144361" w14:textId="776718E2" w:rsidR="0004301B" w:rsidRDefault="000F20E9" w:rsidP="00446D22">
      <w:pPr>
        <w:rPr>
          <w:rFonts w:cs="Arial"/>
        </w:rPr>
      </w:pPr>
      <w:r>
        <w:rPr>
          <w:rFonts w:cs="Arial"/>
          <w:snapToGrid w:val="0"/>
        </w:rPr>
        <w:br/>
      </w:r>
      <w:r w:rsidR="009E5395">
        <w:rPr>
          <w:rFonts w:cs="Arial"/>
          <w:snapToGrid w:val="0"/>
        </w:rPr>
        <w:t>**</w:t>
      </w:r>
      <w:r w:rsidR="007A2824" w:rsidRPr="009A5185">
        <w:rPr>
          <w:rFonts w:cs="Arial"/>
        </w:rPr>
        <w:t>Adult and pediatric hospitals reporting on Section 7B</w:t>
      </w:r>
      <w:r w:rsidR="000E69AB">
        <w:rPr>
          <w:rFonts w:cs="Arial"/>
        </w:rPr>
        <w:t>:</w:t>
      </w:r>
      <w:r w:rsidR="007A2824" w:rsidRPr="009A5185">
        <w:rPr>
          <w:rFonts w:cs="Arial"/>
        </w:rPr>
        <w:t xml:space="preserve"> Healthcare-Associated Infections are required to join Leapfrog’s NHSN Group. More information, including important deadlines, is available on the </w:t>
      </w:r>
      <w:r w:rsidR="00591F78">
        <w:rPr>
          <w:rFonts w:cs="Arial"/>
        </w:rPr>
        <w:t xml:space="preserve">Review NHSN Instructions </w:t>
      </w:r>
      <w:hyperlink r:id="rId89" w:history="1">
        <w:r w:rsidR="007A2824" w:rsidRPr="009A5185">
          <w:rPr>
            <w:rStyle w:val="Hyperlink"/>
            <w:rFonts w:cs="Arial"/>
          </w:rPr>
          <w:t>webpage</w:t>
        </w:r>
      </w:hyperlink>
      <w:r w:rsidR="007A2824" w:rsidRPr="009A5185">
        <w:rPr>
          <w:rFonts w:cs="Arial"/>
        </w:rPr>
        <w:t>.</w:t>
      </w:r>
      <w:r w:rsidR="009E5395">
        <w:rPr>
          <w:rFonts w:cs="Arial"/>
        </w:rPr>
        <w:t xml:space="preserve"> </w:t>
      </w:r>
      <w:r w:rsidR="00AE3471" w:rsidRPr="009A5185">
        <w:rPr>
          <w:rFonts w:cs="Arial"/>
        </w:rPr>
        <w:t>Leapfro</w:t>
      </w:r>
      <w:r w:rsidR="00C14AFF" w:rsidRPr="009A5185">
        <w:rPr>
          <w:rFonts w:cs="Arial"/>
        </w:rPr>
        <w:t>g will update data 4 times</w:t>
      </w:r>
      <w:r w:rsidR="00AE3471" w:rsidRPr="009A5185">
        <w:rPr>
          <w:rFonts w:cs="Arial"/>
        </w:rPr>
        <w:t xml:space="preserve"> for all members of our NHSN group that </w:t>
      </w:r>
      <w:r w:rsidR="001F522B">
        <w:rPr>
          <w:rFonts w:cs="Arial"/>
        </w:rPr>
        <w:t>provide</w:t>
      </w:r>
      <w:r w:rsidR="00AE3471" w:rsidRPr="009A5185">
        <w:rPr>
          <w:rFonts w:cs="Arial"/>
        </w:rPr>
        <w:t xml:space="preserve"> an accurate NHSN ID in the </w:t>
      </w:r>
      <w:r w:rsidR="00B75A0D">
        <w:rPr>
          <w:rFonts w:cs="Arial"/>
        </w:rPr>
        <w:t xml:space="preserve">Hospital </w:t>
      </w:r>
      <w:r w:rsidR="00AE3471" w:rsidRPr="009A5185">
        <w:rPr>
          <w:rFonts w:cs="Arial"/>
        </w:rPr>
        <w:t xml:space="preserve">Profile and submit </w:t>
      </w:r>
      <w:r w:rsidR="00287EBB">
        <w:rPr>
          <w:rFonts w:cs="Arial"/>
        </w:rPr>
        <w:t>the 202</w:t>
      </w:r>
      <w:r w:rsidR="00422C8E">
        <w:rPr>
          <w:rFonts w:cs="Arial"/>
        </w:rPr>
        <w:t>6</w:t>
      </w:r>
      <w:r w:rsidR="00287EBB">
        <w:rPr>
          <w:rFonts w:cs="Arial"/>
        </w:rPr>
        <w:t xml:space="preserve"> Leapfrog Hospital Survey. </w:t>
      </w:r>
    </w:p>
    <w:p w14:paraId="24B198A2" w14:textId="77777777" w:rsidR="0004301B" w:rsidRDefault="0004301B" w:rsidP="00446D22">
      <w:pPr>
        <w:rPr>
          <w:rFonts w:cs="Arial"/>
        </w:rPr>
      </w:pPr>
    </w:p>
    <w:p w14:paraId="4BFC4BB6" w14:textId="0E6F47DD" w:rsidR="00D67DD5" w:rsidRDefault="0004301B">
      <w:pPr>
        <w:rPr>
          <w:rFonts w:cs="Arial"/>
        </w:rPr>
      </w:pPr>
      <w:r>
        <w:rPr>
          <w:rFonts w:cs="Arial"/>
        </w:rPr>
        <w:t>***</w:t>
      </w:r>
      <w:r w:rsidR="000A5849">
        <w:rPr>
          <w:rFonts w:cs="Arial"/>
        </w:rPr>
        <w:t xml:space="preserve"> Leapfrog will update data 3 times per Survey Cycle for all </w:t>
      </w:r>
      <w:r w:rsidR="004B5307">
        <w:rPr>
          <w:rFonts w:cs="Arial"/>
        </w:rPr>
        <w:t xml:space="preserve">adult </w:t>
      </w:r>
      <w:r w:rsidR="000A5849">
        <w:rPr>
          <w:rFonts w:cs="Arial"/>
        </w:rPr>
        <w:t xml:space="preserve">hospitals that provide an accurate CCN in the </w:t>
      </w:r>
      <w:r w:rsidR="00B75A0D">
        <w:rPr>
          <w:rFonts w:cs="Arial"/>
        </w:rPr>
        <w:t xml:space="preserve">Hospital </w:t>
      </w:r>
      <w:r w:rsidR="000A5849">
        <w:rPr>
          <w:rFonts w:cs="Arial"/>
        </w:rPr>
        <w:t xml:space="preserve">Profile and </w:t>
      </w:r>
      <w:r w:rsidR="00F67311">
        <w:rPr>
          <w:rFonts w:cs="Arial"/>
        </w:rPr>
        <w:t xml:space="preserve">report </w:t>
      </w:r>
      <w:r w:rsidR="00E96F5D">
        <w:rPr>
          <w:rFonts w:cs="Arial"/>
        </w:rPr>
        <w:t xml:space="preserve">performing </w:t>
      </w:r>
      <w:r w:rsidR="00F67311">
        <w:rPr>
          <w:rFonts w:cs="Arial"/>
        </w:rPr>
        <w:t xml:space="preserve">outpatient procedures in </w:t>
      </w:r>
      <w:r w:rsidR="000A5849">
        <w:rPr>
          <w:rFonts w:cs="Arial"/>
        </w:rPr>
        <w:t xml:space="preserve">Section </w:t>
      </w:r>
      <w:r w:rsidR="000E69AB">
        <w:rPr>
          <w:rFonts w:cs="Arial"/>
        </w:rPr>
        <w:t>9</w:t>
      </w:r>
      <w:r w:rsidR="00CB379E">
        <w:rPr>
          <w:rFonts w:cs="Arial"/>
        </w:rPr>
        <w:t>A</w:t>
      </w:r>
      <w:r w:rsidR="000A5849">
        <w:rPr>
          <w:rFonts w:cs="Arial"/>
        </w:rPr>
        <w:t xml:space="preserve">: </w:t>
      </w:r>
      <w:r w:rsidR="000A7E45">
        <w:rPr>
          <w:rFonts w:cs="Arial"/>
        </w:rPr>
        <w:t xml:space="preserve">Basic </w:t>
      </w:r>
      <w:r w:rsidR="00CB379E">
        <w:rPr>
          <w:rFonts w:cs="Arial"/>
        </w:rPr>
        <w:t>Outpatient Department Information</w:t>
      </w:r>
      <w:r w:rsidR="000A5849">
        <w:rPr>
          <w:rFonts w:cs="Arial"/>
        </w:rPr>
        <w:t xml:space="preserve">. </w:t>
      </w:r>
      <w:r w:rsidR="00D67DD5">
        <w:rPr>
          <w:rFonts w:cs="Arial"/>
        </w:rPr>
        <w:br w:type="page"/>
      </w:r>
    </w:p>
    <w:p w14:paraId="4F6B98D0" w14:textId="4B0B9850" w:rsidR="000D5C78" w:rsidRDefault="009C183F" w:rsidP="000D5C78">
      <w:pPr>
        <w:pStyle w:val="Heading2"/>
      </w:pPr>
      <w:bookmarkStart w:id="54" w:name="_Toc225877657"/>
      <w:r>
        <w:lastRenderedPageBreak/>
        <w:t>I</w:t>
      </w:r>
      <w:r w:rsidR="00183167">
        <w:t xml:space="preserve">ncluded </w:t>
      </w:r>
      <w:r w:rsidR="00C077EC">
        <w:t>Units by Survey Section</w:t>
      </w:r>
      <w:bookmarkEnd w:id="54"/>
    </w:p>
    <w:p w14:paraId="136CC106" w14:textId="77777777" w:rsidR="00290F1C" w:rsidRDefault="00290F1C" w:rsidP="00290F1C">
      <w:pPr>
        <w:rPr>
          <w:rFonts w:cs="Arial"/>
          <w:snapToGrid w:val="0"/>
        </w:rPr>
      </w:pPr>
    </w:p>
    <w:p w14:paraId="039D0A87" w14:textId="1EA74E1F" w:rsidR="00290F1C" w:rsidRPr="00324A05" w:rsidRDefault="00290F1C" w:rsidP="00290F1C">
      <w:r>
        <w:rPr>
          <w:rFonts w:cs="Arial"/>
          <w:snapToGrid w:val="0"/>
        </w:rPr>
        <w:t>Note: Only include units that were open for the entire reporting period and that remain currently open.</w:t>
      </w:r>
    </w:p>
    <w:p w14:paraId="3AA9952A" w14:textId="77777777" w:rsidR="00290F1C" w:rsidRDefault="00290F1C" w:rsidP="00290F1C">
      <w:pPr>
        <w:rPr>
          <w:rFonts w:cs="Arial"/>
          <w:snapToGrid w:val="0"/>
        </w:rPr>
      </w:pPr>
    </w:p>
    <w:tbl>
      <w:tblPr>
        <w:tblStyle w:val="TableGrid"/>
        <w:tblW w:w="0" w:type="auto"/>
        <w:jc w:val="center"/>
        <w:tblLayout w:type="fixed"/>
        <w:tblLook w:val="04A0" w:firstRow="1" w:lastRow="0" w:firstColumn="1" w:lastColumn="0" w:noHBand="0" w:noVBand="1"/>
      </w:tblPr>
      <w:tblGrid>
        <w:gridCol w:w="2766"/>
        <w:gridCol w:w="6319"/>
      </w:tblGrid>
      <w:tr w:rsidR="005361AB" w:rsidRPr="009A5185" w14:paraId="77C6961C" w14:textId="77777777" w:rsidTr="00D73F6A">
        <w:trPr>
          <w:trHeight w:val="494"/>
          <w:tblHeader/>
          <w:jc w:val="center"/>
        </w:trPr>
        <w:tc>
          <w:tcPr>
            <w:tcW w:w="2766" w:type="dxa"/>
            <w:tcBorders>
              <w:top w:val="single" w:sz="4" w:space="0" w:color="auto"/>
            </w:tcBorders>
            <w:shd w:val="clear" w:color="auto" w:fill="213468"/>
            <w:vAlign w:val="center"/>
          </w:tcPr>
          <w:p w14:paraId="1CD0BE88" w14:textId="77777777" w:rsidR="005361AB" w:rsidRPr="009A5185" w:rsidRDefault="005361AB" w:rsidP="00D73F6A">
            <w:pPr>
              <w:jc w:val="center"/>
              <w:rPr>
                <w:rFonts w:cs="Arial"/>
                <w:b/>
                <w:color w:val="FFFFFF" w:themeColor="background1"/>
              </w:rPr>
            </w:pPr>
            <w:r w:rsidRPr="009A5185">
              <w:rPr>
                <w:rFonts w:cs="Arial"/>
                <w:b/>
                <w:color w:val="FFFFFF" w:themeColor="background1"/>
              </w:rPr>
              <w:t>Survey Section/</w:t>
            </w:r>
          </w:p>
          <w:p w14:paraId="0F2A16EA" w14:textId="77777777" w:rsidR="005361AB" w:rsidRPr="009A5185" w:rsidRDefault="005361AB" w:rsidP="00D73F6A">
            <w:pPr>
              <w:jc w:val="center"/>
              <w:rPr>
                <w:rFonts w:cs="Arial"/>
                <w:b/>
                <w:color w:val="FFFFFF" w:themeColor="background1"/>
              </w:rPr>
            </w:pPr>
            <w:r w:rsidRPr="009A5185">
              <w:rPr>
                <w:rFonts w:cs="Arial"/>
                <w:b/>
                <w:color w:val="FFFFFF" w:themeColor="background1"/>
              </w:rPr>
              <w:t>Measure</w:t>
            </w:r>
          </w:p>
        </w:tc>
        <w:tc>
          <w:tcPr>
            <w:tcW w:w="6319" w:type="dxa"/>
            <w:shd w:val="clear" w:color="auto" w:fill="213468"/>
            <w:vAlign w:val="center"/>
          </w:tcPr>
          <w:p w14:paraId="5CBDC8A0" w14:textId="77777777" w:rsidR="005361AB" w:rsidRPr="009A5185" w:rsidRDefault="005361AB" w:rsidP="00D73F6A">
            <w:pPr>
              <w:jc w:val="center"/>
              <w:rPr>
                <w:rFonts w:cs="Arial"/>
                <w:b/>
                <w:color w:val="FFFFFF" w:themeColor="background1"/>
              </w:rPr>
            </w:pPr>
            <w:r>
              <w:rPr>
                <w:rFonts w:cs="Arial"/>
                <w:b/>
                <w:color w:val="FFFFFF" w:themeColor="background1"/>
              </w:rPr>
              <w:t>Units</w:t>
            </w:r>
          </w:p>
        </w:tc>
      </w:tr>
      <w:tr w:rsidR="005361AB" w:rsidRPr="00532D0A" w14:paraId="302E8083" w14:textId="77777777" w:rsidTr="00D73F6A">
        <w:trPr>
          <w:trHeight w:val="20"/>
          <w:jc w:val="center"/>
        </w:trPr>
        <w:tc>
          <w:tcPr>
            <w:tcW w:w="2766" w:type="dxa"/>
            <w:shd w:val="clear" w:color="auto" w:fill="D9D9D9" w:themeFill="background1" w:themeFillShade="D9"/>
          </w:tcPr>
          <w:p w14:paraId="1879B745" w14:textId="77777777" w:rsidR="005361AB" w:rsidRPr="009A5185" w:rsidRDefault="005361AB" w:rsidP="00D73F6A">
            <w:pPr>
              <w:spacing w:before="120" w:after="120"/>
              <w:rPr>
                <w:rFonts w:cs="Arial"/>
                <w:b/>
              </w:rPr>
            </w:pPr>
            <w:r w:rsidRPr="009A5185">
              <w:rPr>
                <w:rFonts w:cs="Arial"/>
                <w:b/>
              </w:rPr>
              <w:t>1</w:t>
            </w:r>
            <w:r>
              <w:rPr>
                <w:rFonts w:cs="Arial"/>
                <w:b/>
              </w:rPr>
              <w:t>A</w:t>
            </w:r>
            <w:r w:rsidRPr="009A5185">
              <w:rPr>
                <w:rFonts w:cs="Arial"/>
                <w:b/>
              </w:rPr>
              <w:t xml:space="preserve"> </w:t>
            </w:r>
            <w:r w:rsidRPr="009A5185">
              <w:rPr>
                <w:rFonts w:cs="Arial"/>
              </w:rPr>
              <w:t>Basic Hospital Information</w:t>
            </w:r>
          </w:p>
        </w:tc>
        <w:tc>
          <w:tcPr>
            <w:tcW w:w="6319" w:type="dxa"/>
            <w:vAlign w:val="center"/>
          </w:tcPr>
          <w:p w14:paraId="107898BA" w14:textId="570EEEBA" w:rsidR="005361AB" w:rsidRPr="00532D0A" w:rsidRDefault="005361AB" w:rsidP="00AD309C">
            <w:pPr>
              <w:pStyle w:val="ListParagraph"/>
              <w:numPr>
                <w:ilvl w:val="0"/>
                <w:numId w:val="400"/>
              </w:numPr>
              <w:rPr>
                <w:rStyle w:val="Hyperlink"/>
              </w:rPr>
            </w:pPr>
            <w:hyperlink w:anchor="acutecareunits_endnote1" w:history="1">
              <w:r w:rsidRPr="001F3241">
                <w:rPr>
                  <w:rStyle w:val="Hyperlink"/>
                </w:rPr>
                <w:t>Acute-Care Units</w:t>
              </w:r>
            </w:hyperlink>
            <w:r w:rsidR="00BF053F">
              <w:rPr>
                <w:rFonts w:ascii="ZWAdobeF" w:hAnsi="ZWAdobeF" w:cs="ZWAdobeF"/>
                <w:sz w:val="2"/>
                <w:szCs w:val="2"/>
              </w:rPr>
              <w:t>0F</w:t>
            </w:r>
            <w:r w:rsidR="004C7557">
              <w:rPr>
                <w:rFonts w:ascii="ZWAdobeF" w:hAnsi="ZWAdobeF" w:cs="ZWAdobeF"/>
                <w:sz w:val="2"/>
                <w:szCs w:val="2"/>
              </w:rPr>
              <w:t>0F</w:t>
            </w:r>
            <w:r w:rsidR="00C2087D">
              <w:rPr>
                <w:rFonts w:ascii="ZWAdobeF" w:hAnsi="ZWAdobeF" w:cs="ZWAdobeF"/>
                <w:sz w:val="2"/>
                <w:szCs w:val="2"/>
              </w:rPr>
              <w:t>0F</w:t>
            </w:r>
            <w:r w:rsidR="00B55C41">
              <w:rPr>
                <w:rFonts w:ascii="ZWAdobeF" w:hAnsi="ZWAdobeF" w:cs="ZWAdobeF"/>
                <w:sz w:val="2"/>
                <w:szCs w:val="2"/>
              </w:rPr>
              <w:t>0F</w:t>
            </w:r>
            <w:r w:rsidR="006255A6">
              <w:rPr>
                <w:rFonts w:ascii="ZWAdobeF" w:hAnsi="ZWAdobeF" w:cs="ZWAdobeF"/>
                <w:sz w:val="2"/>
                <w:szCs w:val="2"/>
              </w:rPr>
              <w:t>0F</w:t>
            </w:r>
            <w:r w:rsidR="00E453C7">
              <w:rPr>
                <w:rFonts w:ascii="ZWAdobeF" w:hAnsi="ZWAdobeF" w:cs="ZWAdobeF"/>
                <w:sz w:val="2"/>
                <w:szCs w:val="2"/>
              </w:rPr>
              <w:t>0F</w:t>
            </w:r>
            <w:r w:rsidR="00953060">
              <w:rPr>
                <w:rFonts w:ascii="ZWAdobeF" w:hAnsi="ZWAdobeF" w:cs="ZWAdobeF"/>
                <w:sz w:val="2"/>
                <w:szCs w:val="2"/>
              </w:rPr>
              <w:t>0F</w:t>
            </w:r>
            <w:r w:rsidR="00DD04D6">
              <w:rPr>
                <w:rFonts w:ascii="ZWAdobeF" w:hAnsi="ZWAdobeF" w:cs="ZWAdobeF"/>
                <w:sz w:val="2"/>
                <w:szCs w:val="2"/>
              </w:rPr>
              <w:t>0F</w:t>
            </w:r>
            <w:r>
              <w:rPr>
                <w:rStyle w:val="EndnoteReference"/>
                <w:snapToGrid w:val="0"/>
              </w:rPr>
              <w:endnoteReference w:id="2"/>
            </w:r>
            <w:r>
              <w:rPr>
                <w:rFonts w:cs="Arial"/>
                <w:snapToGrid w:val="0"/>
              </w:rPr>
              <w:t xml:space="preserve"> </w:t>
            </w:r>
            <w:r>
              <w:rPr>
                <w:rFonts w:cstheme="minorHAnsi"/>
              </w:rPr>
              <w:t>(adult and/or pediatric)</w:t>
            </w:r>
          </w:p>
          <w:p w14:paraId="7D87D60F" w14:textId="1CCB29BE" w:rsidR="005361AB" w:rsidRPr="00582C43" w:rsidRDefault="005361AB" w:rsidP="00AD309C">
            <w:pPr>
              <w:pStyle w:val="ListParagraph"/>
              <w:numPr>
                <w:ilvl w:val="0"/>
                <w:numId w:val="400"/>
              </w:numPr>
            </w:pPr>
            <w:hyperlink w:anchor="generalmedicalsurgicalandneuroicu" w:history="1">
              <w:r w:rsidRPr="001F3241">
                <w:rPr>
                  <w:rStyle w:val="Hyperlink"/>
                </w:rPr>
                <w:t>General Medical</w:t>
              </w:r>
              <w:r w:rsidR="00F03388">
                <w:rPr>
                  <w:rStyle w:val="Hyperlink"/>
                </w:rPr>
                <w:t>,</w:t>
              </w:r>
              <w:r w:rsidR="00F85A62">
                <w:rPr>
                  <w:rStyle w:val="Hyperlink"/>
                </w:rPr>
                <w:t xml:space="preserve"> </w:t>
              </w:r>
              <w:r w:rsidRPr="001F3241">
                <w:rPr>
                  <w:rStyle w:val="Hyperlink"/>
                </w:rPr>
                <w:t>Surgical</w:t>
              </w:r>
              <w:r w:rsidR="00F03388">
                <w:rPr>
                  <w:rStyle w:val="Hyperlink"/>
                </w:rPr>
                <w:t xml:space="preserve">, Medical/Surgical </w:t>
              </w:r>
              <w:r w:rsidRPr="001F3241">
                <w:rPr>
                  <w:rStyle w:val="Hyperlink"/>
                </w:rPr>
                <w:t>and Neuro ICUs</w:t>
              </w:r>
              <w:r w:rsidR="001F3241" w:rsidRPr="008F6DE2">
                <w:rPr>
                  <w:rStyle w:val="Hyperlink"/>
                  <w:color w:val="auto"/>
                  <w:u w:val="none"/>
                  <w:vertAlign w:val="superscript"/>
                </w:rPr>
                <w:t>14</w:t>
              </w:r>
            </w:hyperlink>
            <w:r>
              <w:rPr>
                <w:rFonts w:cs="Arial"/>
                <w:snapToGrid w:val="0"/>
              </w:rPr>
              <w:t xml:space="preserve"> </w:t>
            </w:r>
            <w:r>
              <w:rPr>
                <w:rFonts w:cstheme="minorHAnsi"/>
              </w:rPr>
              <w:t>(adult and/or pediatric)</w:t>
            </w:r>
          </w:p>
          <w:p w14:paraId="5F2BEA05" w14:textId="76D4F7C4" w:rsidR="005361AB" w:rsidRPr="00532D0A" w:rsidRDefault="005361AB" w:rsidP="00AD309C">
            <w:pPr>
              <w:pStyle w:val="ListParagraph"/>
              <w:numPr>
                <w:ilvl w:val="0"/>
                <w:numId w:val="400"/>
              </w:numPr>
              <w:rPr>
                <w:rStyle w:val="Hyperlink"/>
              </w:rPr>
            </w:pPr>
            <w:r>
              <w:rPr>
                <w:rFonts w:cstheme="minorHAnsi"/>
              </w:rPr>
              <w:t>Specialty ICUs</w:t>
            </w:r>
            <w:r w:rsidR="00725D7A">
              <w:rPr>
                <w:rFonts w:cstheme="minorHAnsi"/>
              </w:rPr>
              <w:t xml:space="preserve"> (adult and</w:t>
            </w:r>
            <w:r w:rsidR="003465CF">
              <w:rPr>
                <w:rFonts w:cstheme="minorHAnsi"/>
              </w:rPr>
              <w:t>/or</w:t>
            </w:r>
            <w:r w:rsidR="00725D7A">
              <w:rPr>
                <w:rFonts w:cstheme="minorHAnsi"/>
              </w:rPr>
              <w:t xml:space="preserve"> pediatric)</w:t>
            </w:r>
          </w:p>
          <w:p w14:paraId="32BDA34D" w14:textId="0D7D7FC4" w:rsidR="005361AB" w:rsidRPr="0028623C" w:rsidRDefault="00B018F3" w:rsidP="00AD309C">
            <w:pPr>
              <w:pStyle w:val="ListParagraph"/>
              <w:numPr>
                <w:ilvl w:val="0"/>
                <w:numId w:val="400"/>
              </w:numPr>
              <w:rPr>
                <w:rFonts w:cs="Arial"/>
              </w:rPr>
            </w:pPr>
            <w:hyperlink w:anchor="neonatalICU" w:history="1">
              <w:r w:rsidRPr="005A2FEB">
                <w:rPr>
                  <w:rStyle w:val="Hyperlink"/>
                </w:rPr>
                <w:t>Level II/III</w:t>
              </w:r>
              <w:r w:rsidR="00DA0EAE" w:rsidRPr="005A2FEB">
                <w:rPr>
                  <w:rStyle w:val="Hyperlink"/>
                </w:rPr>
                <w:t>, Level III, and Level IV</w:t>
              </w:r>
              <w:r w:rsidR="005A2FEB" w:rsidRPr="005A2FEB">
                <w:rPr>
                  <w:rStyle w:val="Hyperlink"/>
                </w:rPr>
                <w:t xml:space="preserve"> Neonatal ICUs</w:t>
              </w:r>
            </w:hyperlink>
            <w:r w:rsidR="005A2FEB" w:rsidRPr="005D541A">
              <w:rPr>
                <w:vertAlign w:val="superscript"/>
              </w:rPr>
              <w:t>17</w:t>
            </w:r>
            <w:r w:rsidR="00DA0EAE">
              <w:t xml:space="preserve"> </w:t>
            </w:r>
          </w:p>
        </w:tc>
      </w:tr>
      <w:tr w:rsidR="005361AB" w14:paraId="03D6CA7F" w14:textId="77777777" w:rsidTr="00D73F6A">
        <w:trPr>
          <w:trHeight w:val="20"/>
          <w:jc w:val="center"/>
        </w:trPr>
        <w:tc>
          <w:tcPr>
            <w:tcW w:w="2766" w:type="dxa"/>
            <w:shd w:val="clear" w:color="auto" w:fill="D9D9D9" w:themeFill="background1" w:themeFillShade="D9"/>
          </w:tcPr>
          <w:p w14:paraId="0304FCA2" w14:textId="77777777" w:rsidR="005361AB" w:rsidRPr="00FB14DC" w:rsidRDefault="005361AB" w:rsidP="00D73F6A">
            <w:pPr>
              <w:spacing w:before="120" w:after="120"/>
              <w:rPr>
                <w:rFonts w:cs="Arial"/>
                <w:bCs/>
              </w:rPr>
            </w:pPr>
            <w:r>
              <w:rPr>
                <w:rFonts w:cs="Arial"/>
                <w:b/>
              </w:rPr>
              <w:t xml:space="preserve">1B </w:t>
            </w:r>
            <w:r w:rsidRPr="001A3ABA">
              <w:rPr>
                <w:rFonts w:cs="Arial"/>
                <w:bCs/>
              </w:rPr>
              <w:t>Billing Ethics</w:t>
            </w:r>
          </w:p>
        </w:tc>
        <w:tc>
          <w:tcPr>
            <w:tcW w:w="6319" w:type="dxa"/>
            <w:vAlign w:val="center"/>
          </w:tcPr>
          <w:p w14:paraId="715C7A90" w14:textId="77777777" w:rsidR="005361AB" w:rsidRDefault="005361AB" w:rsidP="00D73F6A">
            <w:pPr>
              <w:jc w:val="center"/>
              <w:rPr>
                <w:rFonts w:cstheme="minorHAnsi"/>
              </w:rPr>
            </w:pPr>
            <w:r>
              <w:rPr>
                <w:rFonts w:cstheme="minorHAnsi"/>
              </w:rPr>
              <w:t>N/A</w:t>
            </w:r>
          </w:p>
        </w:tc>
      </w:tr>
      <w:tr w:rsidR="005361AB" w14:paraId="6936ACC6" w14:textId="77777777" w:rsidTr="00D73F6A">
        <w:trPr>
          <w:trHeight w:val="20"/>
          <w:jc w:val="center"/>
        </w:trPr>
        <w:tc>
          <w:tcPr>
            <w:tcW w:w="2766" w:type="dxa"/>
            <w:shd w:val="clear" w:color="auto" w:fill="D9D9D9" w:themeFill="background1" w:themeFillShade="D9"/>
          </w:tcPr>
          <w:p w14:paraId="62232EFE" w14:textId="77777777" w:rsidR="005361AB" w:rsidRPr="009A5185" w:rsidRDefault="005361AB" w:rsidP="00D73F6A">
            <w:pPr>
              <w:spacing w:before="120" w:after="120"/>
              <w:rPr>
                <w:rFonts w:cs="Arial"/>
                <w:b/>
              </w:rPr>
            </w:pPr>
            <w:r>
              <w:rPr>
                <w:rFonts w:cs="Arial"/>
                <w:b/>
              </w:rPr>
              <w:t>1C</w:t>
            </w:r>
            <w:r w:rsidRPr="00C429CB">
              <w:rPr>
                <w:rFonts w:cs="Arial"/>
                <w:bCs/>
              </w:rPr>
              <w:t xml:space="preserve"> </w:t>
            </w:r>
            <w:r>
              <w:rPr>
                <w:rFonts w:cs="Arial"/>
                <w:bCs/>
              </w:rPr>
              <w:t>Health Care Equity</w:t>
            </w:r>
          </w:p>
        </w:tc>
        <w:tc>
          <w:tcPr>
            <w:tcW w:w="6319" w:type="dxa"/>
            <w:vAlign w:val="center"/>
          </w:tcPr>
          <w:p w14:paraId="7ACEC3B3" w14:textId="77777777" w:rsidR="005361AB" w:rsidRDefault="005361AB" w:rsidP="00D73F6A">
            <w:pPr>
              <w:jc w:val="center"/>
              <w:rPr>
                <w:rFonts w:cstheme="minorHAnsi"/>
              </w:rPr>
            </w:pPr>
            <w:r>
              <w:rPr>
                <w:rFonts w:cstheme="minorHAnsi"/>
              </w:rPr>
              <w:t>N/A</w:t>
            </w:r>
          </w:p>
        </w:tc>
      </w:tr>
      <w:tr w:rsidR="005361AB" w14:paraId="0A46B78A" w14:textId="77777777" w:rsidTr="00D73F6A">
        <w:trPr>
          <w:trHeight w:val="20"/>
          <w:jc w:val="center"/>
        </w:trPr>
        <w:tc>
          <w:tcPr>
            <w:tcW w:w="2766" w:type="dxa"/>
            <w:shd w:val="clear" w:color="auto" w:fill="D9D9D9" w:themeFill="background1" w:themeFillShade="D9"/>
          </w:tcPr>
          <w:p w14:paraId="718F26C8" w14:textId="77777777" w:rsidR="005361AB" w:rsidRDefault="005361AB" w:rsidP="00D73F6A">
            <w:pPr>
              <w:spacing w:before="120" w:after="120"/>
              <w:rPr>
                <w:rFonts w:cs="Arial"/>
                <w:b/>
              </w:rPr>
            </w:pPr>
            <w:r>
              <w:rPr>
                <w:rFonts w:cs="Arial"/>
                <w:b/>
              </w:rPr>
              <w:t xml:space="preserve">1D </w:t>
            </w:r>
            <w:r w:rsidRPr="00C429CB">
              <w:rPr>
                <w:rFonts w:cs="Arial"/>
                <w:bCs/>
              </w:rPr>
              <w:t>Informed Consent</w:t>
            </w:r>
          </w:p>
        </w:tc>
        <w:tc>
          <w:tcPr>
            <w:tcW w:w="6319" w:type="dxa"/>
            <w:vAlign w:val="center"/>
          </w:tcPr>
          <w:p w14:paraId="1BCFB45B" w14:textId="77777777" w:rsidR="005361AB" w:rsidRDefault="005361AB" w:rsidP="00D73F6A">
            <w:pPr>
              <w:jc w:val="center"/>
              <w:rPr>
                <w:rFonts w:cstheme="minorHAnsi"/>
              </w:rPr>
            </w:pPr>
            <w:r>
              <w:rPr>
                <w:rFonts w:cstheme="minorHAnsi"/>
              </w:rPr>
              <w:t>N/A</w:t>
            </w:r>
          </w:p>
        </w:tc>
      </w:tr>
      <w:tr w:rsidR="005361AB" w:rsidRPr="00582C43" w14:paraId="7248602A" w14:textId="77777777" w:rsidTr="00D73F6A">
        <w:trPr>
          <w:trHeight w:val="20"/>
          <w:jc w:val="center"/>
        </w:trPr>
        <w:tc>
          <w:tcPr>
            <w:tcW w:w="2766" w:type="dxa"/>
            <w:shd w:val="clear" w:color="auto" w:fill="D9D9D9" w:themeFill="background1" w:themeFillShade="D9"/>
          </w:tcPr>
          <w:p w14:paraId="55FBF09D" w14:textId="77777777" w:rsidR="005361AB" w:rsidRPr="009A5185" w:rsidRDefault="005361AB" w:rsidP="00D73F6A">
            <w:pPr>
              <w:spacing w:before="120" w:after="120"/>
              <w:rPr>
                <w:rFonts w:cs="Arial"/>
                <w:b/>
              </w:rPr>
            </w:pPr>
            <w:r w:rsidRPr="009A5185">
              <w:rPr>
                <w:rFonts w:cs="Arial"/>
                <w:b/>
              </w:rPr>
              <w:t>2</w:t>
            </w:r>
            <w:r>
              <w:rPr>
                <w:rFonts w:cs="Arial"/>
                <w:b/>
              </w:rPr>
              <w:t>A</w:t>
            </w:r>
            <w:r w:rsidRPr="009A5185">
              <w:rPr>
                <w:rFonts w:cs="Arial"/>
                <w:b/>
              </w:rPr>
              <w:t xml:space="preserve"> </w:t>
            </w:r>
            <w:r w:rsidRPr="009A5185">
              <w:rPr>
                <w:rFonts w:cs="Arial"/>
              </w:rPr>
              <w:t>Computerized Physician Order Entry (CPOE)</w:t>
            </w:r>
          </w:p>
        </w:tc>
        <w:tc>
          <w:tcPr>
            <w:tcW w:w="6319" w:type="dxa"/>
            <w:vAlign w:val="center"/>
          </w:tcPr>
          <w:p w14:paraId="3D4A9BD0" w14:textId="77777777" w:rsidR="005361AB" w:rsidRPr="00582C43" w:rsidRDefault="005361AB" w:rsidP="00D73F6A">
            <w:pPr>
              <w:jc w:val="center"/>
              <w:rPr>
                <w:rFonts w:cs="Arial"/>
              </w:rPr>
            </w:pPr>
            <w:r>
              <w:t>N/A</w:t>
            </w:r>
          </w:p>
        </w:tc>
      </w:tr>
      <w:tr w:rsidR="005361AB" w14:paraId="7E3C6950" w14:textId="77777777" w:rsidTr="00D73F6A">
        <w:trPr>
          <w:trHeight w:val="20"/>
          <w:jc w:val="center"/>
        </w:trPr>
        <w:tc>
          <w:tcPr>
            <w:tcW w:w="2766" w:type="dxa"/>
            <w:shd w:val="clear" w:color="auto" w:fill="D9D9D9" w:themeFill="background1" w:themeFillShade="D9"/>
          </w:tcPr>
          <w:p w14:paraId="5D9E10C9" w14:textId="77777777" w:rsidR="005361AB" w:rsidRPr="009A5185" w:rsidRDefault="005361AB" w:rsidP="00D73F6A">
            <w:pPr>
              <w:spacing w:before="120" w:after="120"/>
              <w:rPr>
                <w:rFonts w:cs="Arial"/>
                <w:b/>
              </w:rPr>
            </w:pPr>
            <w:r>
              <w:rPr>
                <w:rFonts w:cs="Arial"/>
                <w:b/>
              </w:rPr>
              <w:t xml:space="preserve">2B </w:t>
            </w:r>
            <w:r w:rsidRPr="000E69AB">
              <w:rPr>
                <w:rFonts w:cs="Arial"/>
                <w:bCs/>
              </w:rPr>
              <w:t>EHR Application Information</w:t>
            </w:r>
          </w:p>
        </w:tc>
        <w:tc>
          <w:tcPr>
            <w:tcW w:w="6319" w:type="dxa"/>
            <w:vAlign w:val="center"/>
          </w:tcPr>
          <w:p w14:paraId="13F6CDA8" w14:textId="77777777" w:rsidR="005361AB" w:rsidRDefault="005361AB" w:rsidP="00D73F6A">
            <w:pPr>
              <w:contextualSpacing/>
              <w:jc w:val="center"/>
              <w:rPr>
                <w:rFonts w:cstheme="minorHAnsi"/>
              </w:rPr>
            </w:pPr>
            <w:r>
              <w:rPr>
                <w:rFonts w:cstheme="minorHAnsi"/>
              </w:rPr>
              <w:t>N/A</w:t>
            </w:r>
          </w:p>
        </w:tc>
      </w:tr>
      <w:tr w:rsidR="005361AB" w:rsidRPr="00532D0A" w14:paraId="6DDDF70A" w14:textId="77777777" w:rsidTr="00D73F6A">
        <w:trPr>
          <w:trHeight w:val="20"/>
          <w:jc w:val="center"/>
        </w:trPr>
        <w:tc>
          <w:tcPr>
            <w:tcW w:w="2766" w:type="dxa"/>
            <w:shd w:val="clear" w:color="auto" w:fill="D9D9D9" w:themeFill="background1" w:themeFillShade="D9"/>
          </w:tcPr>
          <w:p w14:paraId="6EA1269C" w14:textId="77777777" w:rsidR="005361AB" w:rsidRPr="009A5185" w:rsidRDefault="005361AB" w:rsidP="00D73F6A">
            <w:pPr>
              <w:spacing w:before="120" w:after="120"/>
              <w:rPr>
                <w:rFonts w:cs="Arial"/>
                <w:b/>
              </w:rPr>
            </w:pPr>
            <w:r>
              <w:rPr>
                <w:rFonts w:cs="Arial"/>
                <w:b/>
              </w:rPr>
              <w:t xml:space="preserve">2C </w:t>
            </w:r>
            <w:r w:rsidRPr="000E69AB">
              <w:rPr>
                <w:rFonts w:cs="Arial"/>
                <w:bCs/>
              </w:rPr>
              <w:t>Bar Code Medication Administration (BCMA)</w:t>
            </w:r>
          </w:p>
        </w:tc>
        <w:tc>
          <w:tcPr>
            <w:tcW w:w="6319" w:type="dxa"/>
            <w:vAlign w:val="center"/>
          </w:tcPr>
          <w:p w14:paraId="375314F3" w14:textId="3EE58E2F" w:rsidR="005361AB" w:rsidRPr="00BD487D" w:rsidRDefault="001F3241" w:rsidP="00AD309C">
            <w:pPr>
              <w:pStyle w:val="ListParagraph"/>
              <w:numPr>
                <w:ilvl w:val="0"/>
                <w:numId w:val="401"/>
              </w:numPr>
              <w:rPr>
                <w:rStyle w:val="Hyperlink"/>
              </w:rPr>
            </w:pPr>
            <w:hyperlink w:anchor="generalmedicalsurgicalandneuroicu" w:history="1">
              <w:r w:rsidRPr="001F3241">
                <w:rPr>
                  <w:rStyle w:val="Hyperlink"/>
                </w:rPr>
                <w:t>General Medical</w:t>
              </w:r>
              <w:r w:rsidR="00271544">
                <w:rPr>
                  <w:rStyle w:val="Hyperlink"/>
                </w:rPr>
                <w:t xml:space="preserve">, Surgical, Medical/Surgical, </w:t>
              </w:r>
              <w:r w:rsidRPr="001F3241">
                <w:rPr>
                  <w:rStyle w:val="Hyperlink"/>
                </w:rPr>
                <w:t>and Neuro ICUs</w:t>
              </w:r>
              <w:r w:rsidRPr="008F6DE2">
                <w:rPr>
                  <w:rStyle w:val="Hyperlink"/>
                  <w:color w:val="auto"/>
                  <w:u w:val="none"/>
                  <w:vertAlign w:val="superscript"/>
                </w:rPr>
                <w:t>14</w:t>
              </w:r>
            </w:hyperlink>
            <w:r>
              <w:t xml:space="preserve"> </w:t>
            </w:r>
            <w:r w:rsidR="005361AB" w:rsidRPr="00BD487D">
              <w:rPr>
                <w:rFonts w:cstheme="minorHAnsi"/>
              </w:rPr>
              <w:t>(adult and/or pediatric)</w:t>
            </w:r>
          </w:p>
          <w:p w14:paraId="2838A269" w14:textId="3A3B854B" w:rsidR="001F3241" w:rsidRPr="001F3241" w:rsidRDefault="00FD59EA" w:rsidP="00AD309C">
            <w:pPr>
              <w:pStyle w:val="ListParagraph"/>
              <w:numPr>
                <w:ilvl w:val="0"/>
                <w:numId w:val="401"/>
              </w:numPr>
              <w:rPr>
                <w:rStyle w:val="Hyperlink"/>
                <w:rFonts w:cs="Arial"/>
                <w:snapToGrid w:val="0"/>
                <w:color w:val="auto"/>
                <w:u w:val="none"/>
              </w:rPr>
            </w:pPr>
            <w:hyperlink w:anchor="neonatalICU" w:history="1">
              <w:r w:rsidRPr="005A2FEB">
                <w:rPr>
                  <w:rStyle w:val="Hyperlink"/>
                </w:rPr>
                <w:t>Level II/III, Level III, and Level IV Neonatal ICUs</w:t>
              </w:r>
            </w:hyperlink>
            <w:r w:rsidRPr="00864530">
              <w:rPr>
                <w:vertAlign w:val="superscript"/>
              </w:rPr>
              <w:t>17</w:t>
            </w:r>
            <w:r>
              <w:t xml:space="preserve"> </w:t>
            </w:r>
            <w:r w:rsidR="001E42A5" w:rsidRPr="001E42A5">
              <w:rPr>
                <w:rFonts w:cs="Arial"/>
                <w:snapToGrid w:val="0"/>
              </w:rPr>
              <w:t xml:space="preserve"> </w:t>
            </w:r>
          </w:p>
          <w:p w14:paraId="7DB77C72" w14:textId="09B60DB6" w:rsidR="005361AB" w:rsidRPr="00BD487D" w:rsidRDefault="005361AB" w:rsidP="00AD309C">
            <w:pPr>
              <w:pStyle w:val="ListParagraph"/>
              <w:numPr>
                <w:ilvl w:val="0"/>
                <w:numId w:val="401"/>
              </w:numPr>
              <w:rPr>
                <w:rStyle w:val="Hyperlink"/>
              </w:rPr>
            </w:pPr>
            <w:r w:rsidRPr="001F2388">
              <w:rPr>
                <w:rStyle w:val="Hyperlink"/>
                <w:rFonts w:cs="Arial"/>
                <w:snapToGrid w:val="0"/>
                <w:color w:val="auto"/>
                <w:u w:val="none"/>
              </w:rPr>
              <w:t>Specialty ICUs</w:t>
            </w:r>
            <w:r w:rsidRPr="00227879">
              <w:rPr>
                <w:rStyle w:val="Hyperlink"/>
                <w:rFonts w:cs="Arial"/>
                <w:snapToGrid w:val="0"/>
                <w:color w:val="auto"/>
                <w:u w:val="none"/>
              </w:rPr>
              <w:t xml:space="preserve"> </w:t>
            </w:r>
            <w:r w:rsidRPr="00BD487D">
              <w:rPr>
                <w:rFonts w:cstheme="minorHAnsi"/>
              </w:rPr>
              <w:t>(adult and/or pediatric)</w:t>
            </w:r>
          </w:p>
          <w:p w14:paraId="032E29B6" w14:textId="7842D886" w:rsidR="005361AB" w:rsidRPr="00BD487D" w:rsidRDefault="005361AB" w:rsidP="00AD309C">
            <w:pPr>
              <w:pStyle w:val="ListParagraph"/>
              <w:numPr>
                <w:ilvl w:val="0"/>
                <w:numId w:val="401"/>
              </w:numPr>
              <w:rPr>
                <w:rStyle w:val="Hyperlink"/>
              </w:rPr>
            </w:pPr>
            <w:hyperlink w:anchor="MedicalandorSurgicalUnits" w:history="1">
              <w:r w:rsidRPr="002670C6">
                <w:rPr>
                  <w:rStyle w:val="Hyperlink"/>
                </w:rPr>
                <w:t>Medical</w:t>
              </w:r>
              <w:r w:rsidR="00F75693">
                <w:rPr>
                  <w:rStyle w:val="Hyperlink"/>
                </w:rPr>
                <w:t>, Surgical, and Medical/</w:t>
              </w:r>
              <w:r w:rsidRPr="002670C6">
                <w:rPr>
                  <w:rStyle w:val="Hyperlink"/>
                </w:rPr>
                <w:t>Surgical Units (including telemetry</w:t>
              </w:r>
              <w:r w:rsidR="00F75693">
                <w:rPr>
                  <w:rStyle w:val="Hyperlink"/>
                </w:rPr>
                <w:t xml:space="preserve"> units</w:t>
              </w:r>
              <w:r w:rsidRPr="002670C6">
                <w:rPr>
                  <w:rStyle w:val="Hyperlink"/>
                </w:rPr>
                <w:t>)</w:t>
              </w:r>
            </w:hyperlink>
            <w:r w:rsidR="00227879" w:rsidRPr="00227879">
              <w:rPr>
                <w:vertAlign w:val="superscript"/>
              </w:rPr>
              <w:t>19</w:t>
            </w:r>
            <w:r w:rsidRPr="00F75693">
              <w:rPr>
                <w:rStyle w:val="Hyperlink"/>
                <w:rFonts w:ascii="ZWAdobeF" w:hAnsi="ZWAdobeF" w:cs="ZWAdobeF"/>
                <w:sz w:val="2"/>
                <w:szCs w:val="2"/>
                <w:u w:val="none"/>
              </w:rPr>
              <w:t xml:space="preserve"> </w:t>
            </w:r>
            <w:r w:rsidR="002670C6" w:rsidRPr="00F75693">
              <w:rPr>
                <w:rStyle w:val="Hyperlink"/>
                <w:rFonts w:ascii="ZWAdobeF" w:hAnsi="ZWAdobeF" w:cs="ZWAdobeF"/>
                <w:sz w:val="2"/>
                <w:szCs w:val="2"/>
                <w:u w:val="none"/>
              </w:rPr>
              <w:t xml:space="preserve"> </w:t>
            </w:r>
            <w:r w:rsidRPr="00BD487D">
              <w:rPr>
                <w:rFonts w:cstheme="minorHAnsi"/>
              </w:rPr>
              <w:t>(adult and/or pediatric)</w:t>
            </w:r>
          </w:p>
          <w:p w14:paraId="1D02EE2E" w14:textId="47A1089F" w:rsidR="005361AB" w:rsidRDefault="005361AB" w:rsidP="00AD309C">
            <w:pPr>
              <w:pStyle w:val="ListParagraph"/>
              <w:numPr>
                <w:ilvl w:val="0"/>
                <w:numId w:val="401"/>
              </w:numPr>
            </w:pPr>
            <w:hyperlink w:anchor="stepdown_progressiveunits_endnote20" w:history="1">
              <w:r w:rsidRPr="00AA1E6E">
                <w:rPr>
                  <w:rStyle w:val="Hyperlink"/>
                </w:rPr>
                <w:t>Step-down/Progressive Units</w:t>
              </w:r>
              <w:r w:rsidR="00AA1E6E" w:rsidRPr="00227879">
                <w:rPr>
                  <w:rStyle w:val="Hyperlink"/>
                  <w:color w:val="auto"/>
                  <w:u w:val="none"/>
                  <w:vertAlign w:val="superscript"/>
                </w:rPr>
                <w:t>20</w:t>
              </w:r>
            </w:hyperlink>
            <w:r w:rsidR="00260641">
              <w:t xml:space="preserve"> (adult and/or pediatric)</w:t>
            </w:r>
          </w:p>
          <w:p w14:paraId="147823FF" w14:textId="1E3FAEA1" w:rsidR="005361AB" w:rsidRPr="001F2388" w:rsidRDefault="005361AB" w:rsidP="00AD309C">
            <w:pPr>
              <w:pStyle w:val="ListParagraph"/>
              <w:numPr>
                <w:ilvl w:val="0"/>
                <w:numId w:val="401"/>
              </w:numPr>
            </w:pPr>
            <w:hyperlink w:anchor="LaborandDeliveryUnits" w:history="1">
              <w:r w:rsidRPr="00AA1E6E">
                <w:rPr>
                  <w:rStyle w:val="Hyperlink"/>
                </w:rPr>
                <w:t>Labor and Delivery Units</w:t>
              </w:r>
              <w:r w:rsidR="00AA1E6E" w:rsidRPr="00227879">
                <w:rPr>
                  <w:rStyle w:val="Hyperlink"/>
                  <w:color w:val="auto"/>
                  <w:u w:val="none"/>
                  <w:vertAlign w:val="superscript"/>
                </w:rPr>
                <w:t>21</w:t>
              </w:r>
            </w:hyperlink>
          </w:p>
          <w:p w14:paraId="6009AA7A" w14:textId="53978238" w:rsidR="005361AB" w:rsidRPr="00BD487D" w:rsidRDefault="005361AB" w:rsidP="00AD309C">
            <w:pPr>
              <w:pStyle w:val="ListParagraph"/>
              <w:numPr>
                <w:ilvl w:val="0"/>
                <w:numId w:val="401"/>
              </w:numPr>
            </w:pPr>
            <w:hyperlink w:anchor="pacusendnote" w:history="1">
              <w:r w:rsidRPr="00227879">
                <w:rPr>
                  <w:rStyle w:val="Hyperlink"/>
                </w:rPr>
                <w:t>Pre-operative and Post-anesthesia Care Units</w:t>
              </w:r>
            </w:hyperlink>
            <w:r w:rsidR="00227879" w:rsidRPr="00227879">
              <w:rPr>
                <w:vertAlign w:val="superscript"/>
              </w:rPr>
              <w:t>22</w:t>
            </w:r>
            <w:r w:rsidRPr="00BD487D">
              <w:rPr>
                <w:rFonts w:cstheme="minorHAnsi"/>
              </w:rPr>
              <w:t xml:space="preserve"> (adult and/or pediatric)</w:t>
            </w:r>
          </w:p>
        </w:tc>
      </w:tr>
      <w:tr w:rsidR="005361AB" w:rsidRPr="00532D0A" w14:paraId="6DCBC7E2" w14:textId="77777777" w:rsidTr="00D73F6A">
        <w:trPr>
          <w:trHeight w:val="20"/>
          <w:jc w:val="center"/>
        </w:trPr>
        <w:tc>
          <w:tcPr>
            <w:tcW w:w="2766" w:type="dxa"/>
            <w:shd w:val="clear" w:color="auto" w:fill="D9D9D9" w:themeFill="background1" w:themeFillShade="D9"/>
          </w:tcPr>
          <w:p w14:paraId="775B29F9" w14:textId="77777777" w:rsidR="005361AB" w:rsidRPr="009A5185" w:rsidRDefault="005361AB" w:rsidP="00D73F6A">
            <w:pPr>
              <w:spacing w:before="120" w:after="120"/>
              <w:rPr>
                <w:rFonts w:cs="Arial"/>
                <w:b/>
              </w:rPr>
            </w:pPr>
            <w:r>
              <w:rPr>
                <w:rFonts w:cs="Arial"/>
                <w:b/>
              </w:rPr>
              <w:t xml:space="preserve">2D </w:t>
            </w:r>
            <w:r w:rsidRPr="000E69AB">
              <w:rPr>
                <w:rFonts w:cs="Arial"/>
                <w:bCs/>
              </w:rPr>
              <w:t>Medication Reconciliation</w:t>
            </w:r>
          </w:p>
        </w:tc>
        <w:tc>
          <w:tcPr>
            <w:tcW w:w="6319" w:type="dxa"/>
            <w:vAlign w:val="center"/>
          </w:tcPr>
          <w:p w14:paraId="7F6632A9" w14:textId="524F8D36" w:rsidR="005361AB" w:rsidRPr="00B976F6" w:rsidRDefault="005361AB" w:rsidP="00AD309C">
            <w:pPr>
              <w:pStyle w:val="ListParagraph"/>
              <w:numPr>
                <w:ilvl w:val="0"/>
                <w:numId w:val="402"/>
              </w:numPr>
              <w:rPr>
                <w:rFonts w:cstheme="minorHAnsi"/>
              </w:rPr>
            </w:pPr>
            <w:r w:rsidRPr="001F2388">
              <w:t>Medical and</w:t>
            </w:r>
            <w:r>
              <w:t xml:space="preserve"> Medical/Surgical Units (including telemetry</w:t>
            </w:r>
            <w:r w:rsidR="00673282">
              <w:t xml:space="preserve"> units</w:t>
            </w:r>
            <w:r>
              <w:t>) (adult only)</w:t>
            </w:r>
          </w:p>
          <w:p w14:paraId="0EB26B51" w14:textId="6B89B5E5" w:rsidR="005361AB" w:rsidRPr="00532D0A" w:rsidRDefault="005361AB" w:rsidP="00AD309C">
            <w:pPr>
              <w:pStyle w:val="ListParagraph"/>
              <w:numPr>
                <w:ilvl w:val="0"/>
                <w:numId w:val="402"/>
              </w:numPr>
              <w:rPr>
                <w:rFonts w:cstheme="minorHAnsi"/>
              </w:rPr>
            </w:pPr>
            <w:hyperlink w:anchor="stepdown_progressiveunits_endnote20" w:history="1">
              <w:r w:rsidRPr="00227879">
                <w:rPr>
                  <w:rStyle w:val="Hyperlink"/>
                </w:rPr>
                <w:t>Step-down/Progressive Units</w:t>
              </w:r>
            </w:hyperlink>
            <w:r w:rsidR="00227879" w:rsidRPr="00227879">
              <w:rPr>
                <w:vertAlign w:val="superscript"/>
              </w:rPr>
              <w:t>20</w:t>
            </w:r>
            <w:r>
              <w:t xml:space="preserve"> (adult only)</w:t>
            </w:r>
          </w:p>
        </w:tc>
      </w:tr>
      <w:tr w:rsidR="005361AB" w:rsidRPr="009A5185" w14:paraId="7A3A3184" w14:textId="77777777" w:rsidTr="00D73F6A">
        <w:trPr>
          <w:trHeight w:val="720"/>
          <w:jc w:val="center"/>
        </w:trPr>
        <w:tc>
          <w:tcPr>
            <w:tcW w:w="2766" w:type="dxa"/>
            <w:shd w:val="clear" w:color="auto" w:fill="D9D9D9" w:themeFill="background1" w:themeFillShade="D9"/>
          </w:tcPr>
          <w:p w14:paraId="3DC0118D" w14:textId="77777777" w:rsidR="005361AB" w:rsidRPr="009A5185" w:rsidRDefault="005361AB" w:rsidP="00D73F6A">
            <w:pPr>
              <w:spacing w:before="120" w:after="120"/>
              <w:rPr>
                <w:rFonts w:cs="Arial"/>
              </w:rPr>
            </w:pPr>
            <w:r w:rsidRPr="009A5185">
              <w:rPr>
                <w:rFonts w:cs="Arial"/>
                <w:b/>
              </w:rPr>
              <w:t xml:space="preserve">3A </w:t>
            </w:r>
            <w:r w:rsidRPr="009A5185">
              <w:rPr>
                <w:rFonts w:cs="Arial"/>
              </w:rPr>
              <w:t>Hospital and Surgeon Volume</w:t>
            </w:r>
          </w:p>
        </w:tc>
        <w:tc>
          <w:tcPr>
            <w:tcW w:w="6319" w:type="dxa"/>
            <w:vAlign w:val="center"/>
          </w:tcPr>
          <w:p w14:paraId="0C6E3028" w14:textId="77777777" w:rsidR="005361AB" w:rsidRPr="009A5185" w:rsidRDefault="005361AB" w:rsidP="00D73F6A">
            <w:pPr>
              <w:jc w:val="center"/>
              <w:rPr>
                <w:rFonts w:cs="Arial"/>
              </w:rPr>
            </w:pPr>
            <w:r>
              <w:rPr>
                <w:rFonts w:cstheme="minorHAnsi"/>
              </w:rPr>
              <w:t>N/A</w:t>
            </w:r>
          </w:p>
        </w:tc>
      </w:tr>
      <w:tr w:rsidR="005361AB" w14:paraId="6E3F2F7B" w14:textId="77777777" w:rsidTr="00D73F6A">
        <w:trPr>
          <w:trHeight w:val="20"/>
          <w:jc w:val="center"/>
        </w:trPr>
        <w:tc>
          <w:tcPr>
            <w:tcW w:w="2766" w:type="dxa"/>
            <w:shd w:val="clear" w:color="auto" w:fill="D9D9D9" w:themeFill="background1" w:themeFillShade="D9"/>
          </w:tcPr>
          <w:p w14:paraId="258A7DA1" w14:textId="77777777" w:rsidR="005361AB" w:rsidRPr="009A5185" w:rsidRDefault="005361AB" w:rsidP="00D73F6A">
            <w:pPr>
              <w:spacing w:before="120" w:after="120"/>
              <w:rPr>
                <w:rFonts w:cs="Arial"/>
                <w:b/>
              </w:rPr>
            </w:pPr>
            <w:r>
              <w:rPr>
                <w:rFonts w:cs="Arial"/>
                <w:b/>
              </w:rPr>
              <w:t xml:space="preserve">3B </w:t>
            </w:r>
            <w:r w:rsidRPr="007445B4">
              <w:rPr>
                <w:rFonts w:cs="Arial"/>
                <w:bCs/>
              </w:rPr>
              <w:t>Safe Surgery Checklist</w:t>
            </w:r>
            <w:r>
              <w:rPr>
                <w:rFonts w:cs="Arial"/>
                <w:bCs/>
              </w:rPr>
              <w:t xml:space="preserve"> for Adult and Pediatric Complex Surgery</w:t>
            </w:r>
          </w:p>
        </w:tc>
        <w:tc>
          <w:tcPr>
            <w:tcW w:w="6319" w:type="dxa"/>
            <w:vAlign w:val="center"/>
          </w:tcPr>
          <w:p w14:paraId="4D0259E3" w14:textId="77777777" w:rsidR="005361AB" w:rsidRDefault="005361AB" w:rsidP="00D73F6A">
            <w:pPr>
              <w:jc w:val="center"/>
              <w:rPr>
                <w:rFonts w:cstheme="minorHAnsi"/>
              </w:rPr>
            </w:pPr>
            <w:r>
              <w:rPr>
                <w:rFonts w:cstheme="minorHAnsi"/>
              </w:rPr>
              <w:t>N/A</w:t>
            </w:r>
          </w:p>
        </w:tc>
      </w:tr>
      <w:tr w:rsidR="005361AB" w:rsidRPr="00AB7257" w14:paraId="269711A8" w14:textId="77777777" w:rsidTr="00D73F6A">
        <w:trPr>
          <w:trHeight w:val="20"/>
          <w:jc w:val="center"/>
        </w:trPr>
        <w:tc>
          <w:tcPr>
            <w:tcW w:w="2766" w:type="dxa"/>
            <w:shd w:val="clear" w:color="auto" w:fill="D9D9D9" w:themeFill="background1" w:themeFillShade="D9"/>
          </w:tcPr>
          <w:p w14:paraId="090D6F9B" w14:textId="77777777" w:rsidR="005361AB" w:rsidRPr="009A5185" w:rsidRDefault="005361AB" w:rsidP="00D73F6A">
            <w:pPr>
              <w:spacing w:before="120" w:after="120"/>
              <w:rPr>
                <w:rFonts w:cs="Arial"/>
                <w:b/>
              </w:rPr>
            </w:pPr>
            <w:r w:rsidRPr="009A5185">
              <w:rPr>
                <w:rFonts w:cs="Arial"/>
                <w:b/>
              </w:rPr>
              <w:t xml:space="preserve">4A </w:t>
            </w:r>
            <w:r w:rsidRPr="009A5185">
              <w:rPr>
                <w:rFonts w:cs="Arial"/>
              </w:rPr>
              <w:t>Maternity Care</w:t>
            </w:r>
            <w:r>
              <w:rPr>
                <w:rFonts w:cs="Arial"/>
              </w:rPr>
              <w:t xml:space="preserve"> Volume and Services </w:t>
            </w:r>
          </w:p>
        </w:tc>
        <w:tc>
          <w:tcPr>
            <w:tcW w:w="6319" w:type="dxa"/>
            <w:vAlign w:val="center"/>
          </w:tcPr>
          <w:p w14:paraId="637F52C4" w14:textId="77777777" w:rsidR="005361AB" w:rsidRPr="00AB7257" w:rsidRDefault="005361AB" w:rsidP="00D73F6A">
            <w:pPr>
              <w:jc w:val="center"/>
              <w:rPr>
                <w:rFonts w:cs="Arial"/>
              </w:rPr>
            </w:pPr>
            <w:r>
              <w:rPr>
                <w:rFonts w:cs="Arial"/>
              </w:rPr>
              <w:t>N/A</w:t>
            </w:r>
          </w:p>
        </w:tc>
      </w:tr>
      <w:tr w:rsidR="005361AB" w:rsidRPr="009A5185" w14:paraId="1AB2FA5B" w14:textId="77777777" w:rsidTr="00D73F6A">
        <w:trPr>
          <w:trHeight w:val="432"/>
          <w:jc w:val="center"/>
        </w:trPr>
        <w:tc>
          <w:tcPr>
            <w:tcW w:w="2766" w:type="dxa"/>
            <w:shd w:val="clear" w:color="auto" w:fill="D9D9D9" w:themeFill="background1" w:themeFillShade="D9"/>
          </w:tcPr>
          <w:p w14:paraId="0C8D1574" w14:textId="77777777" w:rsidR="005361AB" w:rsidRPr="009A5185" w:rsidRDefault="005361AB" w:rsidP="00D73F6A">
            <w:pPr>
              <w:spacing w:before="120" w:after="120"/>
              <w:rPr>
                <w:rFonts w:cs="Arial"/>
              </w:rPr>
            </w:pPr>
            <w:r w:rsidRPr="009A5185">
              <w:rPr>
                <w:rFonts w:cs="Arial"/>
                <w:b/>
              </w:rPr>
              <w:t>4</w:t>
            </w:r>
            <w:r>
              <w:rPr>
                <w:rFonts w:cs="Arial"/>
                <w:b/>
              </w:rPr>
              <w:t>B</w:t>
            </w:r>
            <w:r w:rsidRPr="009A5185">
              <w:rPr>
                <w:rFonts w:cs="Arial"/>
              </w:rPr>
              <w:t xml:space="preserve"> Cesarean Birth</w:t>
            </w:r>
          </w:p>
        </w:tc>
        <w:tc>
          <w:tcPr>
            <w:tcW w:w="6319" w:type="dxa"/>
            <w:vAlign w:val="center"/>
          </w:tcPr>
          <w:p w14:paraId="1B7CB831" w14:textId="77777777" w:rsidR="005361AB" w:rsidRPr="009A5185" w:rsidRDefault="005361AB" w:rsidP="00D73F6A">
            <w:pPr>
              <w:jc w:val="center"/>
              <w:rPr>
                <w:rFonts w:cs="Arial"/>
              </w:rPr>
            </w:pPr>
            <w:r>
              <w:rPr>
                <w:rFonts w:cstheme="minorHAnsi"/>
              </w:rPr>
              <w:t>N/A</w:t>
            </w:r>
          </w:p>
        </w:tc>
      </w:tr>
      <w:tr w:rsidR="005361AB" w:rsidRPr="009A5185" w14:paraId="3C90A270" w14:textId="77777777" w:rsidTr="00D73F6A">
        <w:trPr>
          <w:trHeight w:val="432"/>
          <w:jc w:val="center"/>
        </w:trPr>
        <w:tc>
          <w:tcPr>
            <w:tcW w:w="2766" w:type="dxa"/>
            <w:shd w:val="clear" w:color="auto" w:fill="D9D9D9" w:themeFill="background1" w:themeFillShade="D9"/>
          </w:tcPr>
          <w:p w14:paraId="5F3B44A2" w14:textId="77777777" w:rsidR="005361AB" w:rsidRPr="009A5185" w:rsidRDefault="005361AB" w:rsidP="00D73F6A">
            <w:pPr>
              <w:spacing w:before="120" w:after="120"/>
              <w:rPr>
                <w:rFonts w:cs="Arial"/>
              </w:rPr>
            </w:pPr>
            <w:r w:rsidRPr="009A5185">
              <w:rPr>
                <w:rFonts w:cs="Arial"/>
                <w:b/>
              </w:rPr>
              <w:t>4</w:t>
            </w:r>
            <w:r>
              <w:rPr>
                <w:rFonts w:cs="Arial"/>
                <w:b/>
              </w:rPr>
              <w:t>C</w:t>
            </w:r>
            <w:r w:rsidRPr="009A5185">
              <w:rPr>
                <w:rFonts w:cs="Arial"/>
              </w:rPr>
              <w:t xml:space="preserve"> Episiotomy</w:t>
            </w:r>
          </w:p>
        </w:tc>
        <w:tc>
          <w:tcPr>
            <w:tcW w:w="6319" w:type="dxa"/>
            <w:vAlign w:val="center"/>
          </w:tcPr>
          <w:p w14:paraId="7FC4D0F1" w14:textId="77777777" w:rsidR="005361AB" w:rsidRPr="009A5185" w:rsidRDefault="005361AB" w:rsidP="00D73F6A">
            <w:pPr>
              <w:jc w:val="center"/>
              <w:rPr>
                <w:rFonts w:cs="Arial"/>
              </w:rPr>
            </w:pPr>
            <w:r>
              <w:rPr>
                <w:rFonts w:cstheme="minorHAnsi"/>
              </w:rPr>
              <w:t>N/A</w:t>
            </w:r>
          </w:p>
        </w:tc>
      </w:tr>
      <w:tr w:rsidR="005361AB" w:rsidRPr="009A5185" w14:paraId="5CCF19C0" w14:textId="77777777" w:rsidTr="00D73F6A">
        <w:trPr>
          <w:trHeight w:val="20"/>
          <w:jc w:val="center"/>
        </w:trPr>
        <w:tc>
          <w:tcPr>
            <w:tcW w:w="2766" w:type="dxa"/>
            <w:shd w:val="clear" w:color="auto" w:fill="D9D9D9" w:themeFill="background1" w:themeFillShade="D9"/>
          </w:tcPr>
          <w:p w14:paraId="13B48A51" w14:textId="77777777" w:rsidR="005361AB" w:rsidRPr="009A5185" w:rsidRDefault="005361AB" w:rsidP="00D73F6A">
            <w:pPr>
              <w:spacing w:before="120" w:after="120"/>
              <w:rPr>
                <w:rFonts w:cs="Arial"/>
              </w:rPr>
            </w:pPr>
            <w:r w:rsidRPr="009A5185">
              <w:rPr>
                <w:rFonts w:cs="Arial"/>
                <w:b/>
              </w:rPr>
              <w:t>4</w:t>
            </w:r>
            <w:r>
              <w:rPr>
                <w:rFonts w:cs="Arial"/>
                <w:b/>
              </w:rPr>
              <w:t>D</w:t>
            </w:r>
            <w:r w:rsidRPr="009A5185">
              <w:rPr>
                <w:rFonts w:cs="Arial"/>
              </w:rPr>
              <w:t xml:space="preserve"> </w:t>
            </w:r>
            <w:r>
              <w:rPr>
                <w:rFonts w:cs="Arial"/>
              </w:rPr>
              <w:t>Process Measures of Quality</w:t>
            </w:r>
          </w:p>
        </w:tc>
        <w:tc>
          <w:tcPr>
            <w:tcW w:w="6319" w:type="dxa"/>
            <w:vAlign w:val="center"/>
          </w:tcPr>
          <w:p w14:paraId="102B00EC" w14:textId="77777777" w:rsidR="005361AB" w:rsidRPr="009A5185" w:rsidRDefault="005361AB" w:rsidP="00D73F6A">
            <w:pPr>
              <w:jc w:val="center"/>
              <w:rPr>
                <w:rFonts w:cs="Arial"/>
              </w:rPr>
            </w:pPr>
            <w:r>
              <w:rPr>
                <w:rFonts w:cstheme="minorHAnsi"/>
              </w:rPr>
              <w:t>N/A</w:t>
            </w:r>
          </w:p>
        </w:tc>
      </w:tr>
      <w:tr w:rsidR="005361AB" w:rsidRPr="00532D0A" w14:paraId="1B2878C6" w14:textId="77777777" w:rsidTr="00D73F6A">
        <w:trPr>
          <w:trHeight w:val="576"/>
          <w:jc w:val="center"/>
        </w:trPr>
        <w:tc>
          <w:tcPr>
            <w:tcW w:w="2766" w:type="dxa"/>
            <w:shd w:val="clear" w:color="auto" w:fill="D9D9D9" w:themeFill="background1" w:themeFillShade="D9"/>
          </w:tcPr>
          <w:p w14:paraId="101BC78D" w14:textId="77777777" w:rsidR="005361AB" w:rsidRPr="009A5185" w:rsidRDefault="005361AB" w:rsidP="00D73F6A">
            <w:pPr>
              <w:spacing w:before="120" w:after="120"/>
              <w:rPr>
                <w:rFonts w:cs="Arial"/>
                <w:color w:val="76923C" w:themeColor="accent3" w:themeShade="BF"/>
              </w:rPr>
            </w:pPr>
            <w:r w:rsidRPr="009A5185">
              <w:rPr>
                <w:rFonts w:cs="Arial"/>
                <w:b/>
              </w:rPr>
              <w:t>4</w:t>
            </w:r>
            <w:r>
              <w:rPr>
                <w:rFonts w:cs="Arial"/>
                <w:b/>
              </w:rPr>
              <w:t>E</w:t>
            </w:r>
            <w:r w:rsidRPr="009A5185">
              <w:rPr>
                <w:rFonts w:cs="Arial"/>
              </w:rPr>
              <w:t xml:space="preserve"> High-Risk Deliveries </w:t>
            </w:r>
          </w:p>
        </w:tc>
        <w:tc>
          <w:tcPr>
            <w:tcW w:w="6319" w:type="dxa"/>
            <w:vAlign w:val="center"/>
          </w:tcPr>
          <w:p w14:paraId="14C315D0" w14:textId="187564F1" w:rsidR="005361AB" w:rsidRPr="00532D0A" w:rsidRDefault="008D6BEF" w:rsidP="00AD309C">
            <w:pPr>
              <w:pStyle w:val="ListParagraph"/>
              <w:numPr>
                <w:ilvl w:val="0"/>
                <w:numId w:val="402"/>
              </w:numPr>
              <w:rPr>
                <w:rFonts w:cs="Arial"/>
              </w:rPr>
            </w:pPr>
            <w:hyperlink w:anchor="neonatalICU" w:history="1">
              <w:r w:rsidRPr="005A2FEB">
                <w:rPr>
                  <w:rStyle w:val="Hyperlink"/>
                </w:rPr>
                <w:t>Level II/III, Level III, and Level IV Neonatal ICUs</w:t>
              </w:r>
            </w:hyperlink>
            <w:r w:rsidRPr="00864530">
              <w:rPr>
                <w:vertAlign w:val="superscript"/>
              </w:rPr>
              <w:t>17</w:t>
            </w:r>
            <w:r>
              <w:t xml:space="preserve"> </w:t>
            </w:r>
          </w:p>
        </w:tc>
      </w:tr>
      <w:tr w:rsidR="005361AB" w:rsidRPr="00532D0A" w14:paraId="42532821" w14:textId="77777777" w:rsidTr="00D73F6A">
        <w:trPr>
          <w:trHeight w:val="432"/>
          <w:jc w:val="center"/>
        </w:trPr>
        <w:tc>
          <w:tcPr>
            <w:tcW w:w="2766" w:type="dxa"/>
            <w:tcBorders>
              <w:bottom w:val="single" w:sz="4" w:space="0" w:color="auto"/>
            </w:tcBorders>
            <w:shd w:val="clear" w:color="auto" w:fill="D9D9D9" w:themeFill="background1" w:themeFillShade="D9"/>
          </w:tcPr>
          <w:p w14:paraId="7AADFDD9" w14:textId="77777777" w:rsidR="005361AB" w:rsidRPr="009A5185" w:rsidRDefault="005361AB" w:rsidP="00D73F6A">
            <w:pPr>
              <w:spacing w:before="120" w:after="120"/>
              <w:rPr>
                <w:rFonts w:cs="Arial"/>
                <w:b/>
              </w:rPr>
            </w:pPr>
            <w:r w:rsidRPr="009A5185">
              <w:rPr>
                <w:rFonts w:cs="Arial"/>
                <w:b/>
              </w:rPr>
              <w:lastRenderedPageBreak/>
              <w:t>5</w:t>
            </w:r>
            <w:r>
              <w:rPr>
                <w:rFonts w:cs="Arial"/>
                <w:b/>
              </w:rPr>
              <w:t xml:space="preserve">A </w:t>
            </w:r>
            <w:r>
              <w:rPr>
                <w:rFonts w:cs="Arial"/>
                <w:bCs/>
              </w:rPr>
              <w:t>Adult</w:t>
            </w:r>
            <w:r w:rsidRPr="009A5185">
              <w:rPr>
                <w:rFonts w:cs="Arial"/>
                <w:b/>
              </w:rPr>
              <w:t xml:space="preserve"> </w:t>
            </w:r>
            <w:r w:rsidRPr="009A5185">
              <w:rPr>
                <w:rFonts w:cs="Arial"/>
              </w:rPr>
              <w:t>ICU Physician Staffing</w:t>
            </w:r>
          </w:p>
        </w:tc>
        <w:tc>
          <w:tcPr>
            <w:tcW w:w="6319" w:type="dxa"/>
            <w:tcBorders>
              <w:bottom w:val="single" w:sz="4" w:space="0" w:color="auto"/>
            </w:tcBorders>
            <w:vAlign w:val="center"/>
          </w:tcPr>
          <w:p w14:paraId="7FF05754" w14:textId="296E2035" w:rsidR="005361AB" w:rsidRPr="00532D0A" w:rsidRDefault="00227879" w:rsidP="00AD309C">
            <w:pPr>
              <w:pStyle w:val="ListParagraph"/>
              <w:numPr>
                <w:ilvl w:val="0"/>
                <w:numId w:val="402"/>
              </w:numPr>
              <w:rPr>
                <w:rFonts w:cs="Arial"/>
              </w:rPr>
            </w:pPr>
            <w:hyperlink w:anchor="generalmedicalsurgicalandneuroicu" w:history="1">
              <w:r w:rsidRPr="001F3241">
                <w:rPr>
                  <w:rStyle w:val="Hyperlink"/>
                </w:rPr>
                <w:t>General Medical</w:t>
              </w:r>
              <w:r w:rsidR="00D91E52">
                <w:rPr>
                  <w:rStyle w:val="Hyperlink"/>
                </w:rPr>
                <w:t xml:space="preserve">, </w:t>
              </w:r>
              <w:r w:rsidRPr="001F3241">
                <w:rPr>
                  <w:rStyle w:val="Hyperlink"/>
                </w:rPr>
                <w:t>Surgical</w:t>
              </w:r>
              <w:r w:rsidR="00D91E52">
                <w:rPr>
                  <w:rStyle w:val="Hyperlink"/>
                </w:rPr>
                <w:t xml:space="preserve">, Medical/Surgical, </w:t>
              </w:r>
              <w:r w:rsidRPr="001F3241">
                <w:rPr>
                  <w:rStyle w:val="Hyperlink"/>
                </w:rPr>
                <w:t>and Neuro ICUs</w:t>
              </w:r>
              <w:r w:rsidRPr="001F2388">
                <w:rPr>
                  <w:rStyle w:val="Hyperlink"/>
                  <w:color w:val="auto"/>
                  <w:u w:val="none"/>
                  <w:vertAlign w:val="superscript"/>
                </w:rPr>
                <w:t>14</w:t>
              </w:r>
            </w:hyperlink>
            <w:r>
              <w:rPr>
                <w:rFonts w:cstheme="minorHAnsi"/>
              </w:rPr>
              <w:t xml:space="preserve"> </w:t>
            </w:r>
            <w:r w:rsidR="005361AB">
              <w:rPr>
                <w:rFonts w:cstheme="minorHAnsi"/>
              </w:rPr>
              <w:t>(adult)</w:t>
            </w:r>
          </w:p>
        </w:tc>
      </w:tr>
      <w:tr w:rsidR="005361AB" w:rsidRPr="00532D0A" w14:paraId="036B4422" w14:textId="77777777" w:rsidTr="00D73F6A">
        <w:trPr>
          <w:trHeight w:val="432"/>
          <w:jc w:val="center"/>
        </w:trPr>
        <w:tc>
          <w:tcPr>
            <w:tcW w:w="2766" w:type="dxa"/>
            <w:tcBorders>
              <w:bottom w:val="single" w:sz="4" w:space="0" w:color="auto"/>
            </w:tcBorders>
            <w:shd w:val="clear" w:color="auto" w:fill="D9D9D9" w:themeFill="background1" w:themeFillShade="D9"/>
          </w:tcPr>
          <w:p w14:paraId="0B374226" w14:textId="77777777" w:rsidR="005361AB" w:rsidRPr="00257D1F" w:rsidRDefault="005361AB" w:rsidP="00D73F6A">
            <w:pPr>
              <w:spacing w:before="120" w:after="120"/>
              <w:rPr>
                <w:rFonts w:cs="Arial"/>
                <w:bCs/>
              </w:rPr>
            </w:pPr>
            <w:r>
              <w:rPr>
                <w:rFonts w:cs="Arial"/>
                <w:b/>
              </w:rPr>
              <w:t>5B</w:t>
            </w:r>
            <w:r>
              <w:rPr>
                <w:rFonts w:cs="Arial"/>
                <w:bCs/>
              </w:rPr>
              <w:t xml:space="preserve"> Pediatric ICU Physician Staffing</w:t>
            </w:r>
          </w:p>
        </w:tc>
        <w:tc>
          <w:tcPr>
            <w:tcW w:w="6319" w:type="dxa"/>
            <w:tcBorders>
              <w:bottom w:val="single" w:sz="4" w:space="0" w:color="auto"/>
            </w:tcBorders>
            <w:vAlign w:val="center"/>
          </w:tcPr>
          <w:p w14:paraId="61F15C35" w14:textId="5A421A70" w:rsidR="005361AB" w:rsidRDefault="00227879" w:rsidP="00AD309C">
            <w:pPr>
              <w:pStyle w:val="ListParagraph"/>
              <w:numPr>
                <w:ilvl w:val="0"/>
                <w:numId w:val="402"/>
              </w:numPr>
            </w:pPr>
            <w:hyperlink w:anchor="generalmedicalsurgicalandneuroicu" w:history="1">
              <w:r w:rsidRPr="001F3241">
                <w:rPr>
                  <w:rStyle w:val="Hyperlink"/>
                </w:rPr>
                <w:t>General Medical</w:t>
              </w:r>
              <w:r w:rsidR="007C5494">
                <w:rPr>
                  <w:rStyle w:val="Hyperlink"/>
                </w:rPr>
                <w:t xml:space="preserve">, </w:t>
              </w:r>
              <w:r w:rsidRPr="001F3241">
                <w:rPr>
                  <w:rStyle w:val="Hyperlink"/>
                </w:rPr>
                <w:t>Surgical</w:t>
              </w:r>
              <w:r w:rsidR="007C5494">
                <w:rPr>
                  <w:rStyle w:val="Hyperlink"/>
                </w:rPr>
                <w:t>, Medical/Surgical,</w:t>
              </w:r>
              <w:r w:rsidRPr="001F3241">
                <w:rPr>
                  <w:rStyle w:val="Hyperlink"/>
                </w:rPr>
                <w:t xml:space="preserve"> and Neuro ICUs</w:t>
              </w:r>
              <w:r w:rsidRPr="001F2388">
                <w:rPr>
                  <w:rStyle w:val="Hyperlink"/>
                  <w:color w:val="auto"/>
                  <w:u w:val="none"/>
                  <w:vertAlign w:val="superscript"/>
                </w:rPr>
                <w:t>14</w:t>
              </w:r>
            </w:hyperlink>
            <w:r>
              <w:rPr>
                <w:rFonts w:cstheme="minorHAnsi"/>
              </w:rPr>
              <w:t xml:space="preserve"> </w:t>
            </w:r>
            <w:r w:rsidR="005361AB">
              <w:rPr>
                <w:rFonts w:cstheme="minorHAnsi"/>
              </w:rPr>
              <w:t>(pediatric)</w:t>
            </w:r>
          </w:p>
        </w:tc>
      </w:tr>
      <w:tr w:rsidR="005361AB" w:rsidRPr="00532D0A" w14:paraId="70408EAF" w14:textId="77777777" w:rsidTr="00D73F6A">
        <w:trPr>
          <w:trHeight w:val="432"/>
          <w:jc w:val="center"/>
        </w:trPr>
        <w:tc>
          <w:tcPr>
            <w:tcW w:w="2766" w:type="dxa"/>
            <w:tcBorders>
              <w:bottom w:val="single" w:sz="4" w:space="0" w:color="auto"/>
            </w:tcBorders>
            <w:shd w:val="clear" w:color="auto" w:fill="D9D9D9" w:themeFill="background1" w:themeFillShade="D9"/>
          </w:tcPr>
          <w:p w14:paraId="45218EE3" w14:textId="77777777" w:rsidR="005361AB" w:rsidRPr="00257D1F" w:rsidRDefault="005361AB" w:rsidP="00D73F6A">
            <w:pPr>
              <w:spacing w:before="120" w:after="120"/>
              <w:rPr>
                <w:rFonts w:cs="Arial"/>
                <w:bCs/>
              </w:rPr>
            </w:pPr>
            <w:r>
              <w:rPr>
                <w:rFonts w:cs="Arial"/>
                <w:b/>
              </w:rPr>
              <w:t xml:space="preserve">5C </w:t>
            </w:r>
            <w:r>
              <w:rPr>
                <w:rFonts w:cs="Arial"/>
                <w:bCs/>
              </w:rPr>
              <w:t>Nursing Workforce</w:t>
            </w:r>
          </w:p>
        </w:tc>
        <w:tc>
          <w:tcPr>
            <w:tcW w:w="6319" w:type="dxa"/>
            <w:tcBorders>
              <w:bottom w:val="single" w:sz="4" w:space="0" w:color="auto"/>
            </w:tcBorders>
            <w:vAlign w:val="center"/>
          </w:tcPr>
          <w:p w14:paraId="33737FB2" w14:textId="6AAE2B18" w:rsidR="005361AB" w:rsidRPr="00023215" w:rsidRDefault="005361AB" w:rsidP="00D73F6A">
            <w:pPr>
              <w:rPr>
                <w:rFonts w:cs="Arial"/>
              </w:rPr>
            </w:pPr>
            <w:r>
              <w:rPr>
                <w:rFonts w:cs="Arial"/>
              </w:rPr>
              <w:t>Nurse Staffing:</w:t>
            </w:r>
          </w:p>
          <w:p w14:paraId="70F69259" w14:textId="77777777" w:rsidR="005361AB" w:rsidRPr="00532D0A" w:rsidRDefault="005361AB" w:rsidP="00AD309C">
            <w:pPr>
              <w:pStyle w:val="ListParagraph"/>
              <w:numPr>
                <w:ilvl w:val="0"/>
                <w:numId w:val="402"/>
              </w:numPr>
              <w:rPr>
                <w:rFonts w:cs="Arial"/>
              </w:rPr>
            </w:pPr>
            <w:r w:rsidRPr="00532D0A">
              <w:rPr>
                <w:rFonts w:cs="Arial"/>
              </w:rPr>
              <w:t>Single Acuity Medical Units</w:t>
            </w:r>
            <w:r>
              <w:rPr>
                <w:rFonts w:cs="Arial"/>
              </w:rPr>
              <w:t xml:space="preserve"> </w:t>
            </w:r>
            <w:r>
              <w:rPr>
                <w:rFonts w:cstheme="minorHAnsi"/>
              </w:rPr>
              <w:t>(adult and/or pediatric)</w:t>
            </w:r>
          </w:p>
          <w:p w14:paraId="3E59537F" w14:textId="77777777" w:rsidR="005361AB" w:rsidRPr="00532D0A" w:rsidRDefault="005361AB" w:rsidP="00AD309C">
            <w:pPr>
              <w:pStyle w:val="ListParagraph"/>
              <w:numPr>
                <w:ilvl w:val="0"/>
                <w:numId w:val="402"/>
              </w:numPr>
              <w:rPr>
                <w:rFonts w:cs="Arial"/>
              </w:rPr>
            </w:pPr>
            <w:r w:rsidRPr="00532D0A">
              <w:rPr>
                <w:rFonts w:cs="Arial"/>
              </w:rPr>
              <w:t>Single Acuity Surgical Units</w:t>
            </w:r>
            <w:r>
              <w:rPr>
                <w:rFonts w:cs="Arial"/>
              </w:rPr>
              <w:t xml:space="preserve"> </w:t>
            </w:r>
            <w:r>
              <w:rPr>
                <w:rFonts w:cstheme="minorHAnsi"/>
              </w:rPr>
              <w:t>(adult and/or pediatric)</w:t>
            </w:r>
          </w:p>
          <w:p w14:paraId="03E51006" w14:textId="77777777" w:rsidR="005361AB" w:rsidRPr="00532D0A" w:rsidRDefault="005361AB" w:rsidP="00AD309C">
            <w:pPr>
              <w:pStyle w:val="ListParagraph"/>
              <w:numPr>
                <w:ilvl w:val="0"/>
                <w:numId w:val="402"/>
              </w:numPr>
              <w:rPr>
                <w:rFonts w:cs="Arial"/>
              </w:rPr>
            </w:pPr>
            <w:r w:rsidRPr="00532D0A">
              <w:rPr>
                <w:rFonts w:cs="Arial"/>
              </w:rPr>
              <w:t>Single Acuity Med-Surg Combined Units</w:t>
            </w:r>
            <w:r>
              <w:rPr>
                <w:rFonts w:cs="Arial"/>
              </w:rPr>
              <w:t xml:space="preserve"> </w:t>
            </w:r>
            <w:r>
              <w:rPr>
                <w:rFonts w:cstheme="minorHAnsi"/>
              </w:rPr>
              <w:t>(adult and/or pediatric)</w:t>
            </w:r>
          </w:p>
          <w:p w14:paraId="05A46457" w14:textId="77777777" w:rsidR="005361AB" w:rsidRPr="00023215" w:rsidRDefault="005361AB" w:rsidP="00AD309C">
            <w:pPr>
              <w:pStyle w:val="ListParagraph"/>
              <w:numPr>
                <w:ilvl w:val="0"/>
                <w:numId w:val="402"/>
              </w:numPr>
              <w:rPr>
                <w:rFonts w:cs="Arial"/>
              </w:rPr>
            </w:pPr>
            <w:r w:rsidRPr="00532D0A">
              <w:rPr>
                <w:rFonts w:cs="Arial"/>
              </w:rPr>
              <w:t>Mixed Acuity Medical, Surgical and Med-Surg Units</w:t>
            </w:r>
            <w:r>
              <w:rPr>
                <w:rFonts w:cs="Arial"/>
              </w:rPr>
              <w:t xml:space="preserve"> </w:t>
            </w:r>
            <w:r>
              <w:rPr>
                <w:rFonts w:cstheme="minorHAnsi"/>
              </w:rPr>
              <w:t>(adult and/or pediatric)</w:t>
            </w:r>
          </w:p>
          <w:p w14:paraId="0EAA0CE3" w14:textId="77777777" w:rsidR="005361AB" w:rsidRDefault="005361AB" w:rsidP="00D73F6A">
            <w:pPr>
              <w:rPr>
                <w:rFonts w:cs="Arial"/>
              </w:rPr>
            </w:pPr>
          </w:p>
          <w:p w14:paraId="2CBD2B8B" w14:textId="77777777" w:rsidR="005361AB" w:rsidRDefault="005361AB" w:rsidP="00D73F6A">
            <w:pPr>
              <w:contextualSpacing/>
              <w:rPr>
                <w:rFonts w:cs="Arial"/>
                <w:bCs/>
              </w:rPr>
            </w:pPr>
            <w:r>
              <w:rPr>
                <w:rFonts w:cs="Arial"/>
                <w:bCs/>
              </w:rPr>
              <w:t>Percentage of RNs who are BSN-Prepared:</w:t>
            </w:r>
          </w:p>
          <w:p w14:paraId="703C4D7B" w14:textId="77777777" w:rsidR="005361AB" w:rsidRPr="009129AD" w:rsidRDefault="005361AB" w:rsidP="00AD309C">
            <w:pPr>
              <w:pStyle w:val="ListParagraph"/>
              <w:numPr>
                <w:ilvl w:val="0"/>
                <w:numId w:val="404"/>
              </w:numPr>
              <w:spacing w:line="276" w:lineRule="auto"/>
              <w:rPr>
                <w:rFonts w:cs="Arial"/>
                <w:bCs/>
              </w:rPr>
            </w:pPr>
            <w:r>
              <w:rPr>
                <w:rFonts w:cs="Arial"/>
                <w:bCs/>
              </w:rPr>
              <w:t>N/A</w:t>
            </w:r>
          </w:p>
          <w:p w14:paraId="54756DA8" w14:textId="77777777" w:rsidR="005361AB" w:rsidRPr="00023215" w:rsidRDefault="005361AB" w:rsidP="00D73F6A">
            <w:pPr>
              <w:rPr>
                <w:rFonts w:cs="Arial"/>
              </w:rPr>
            </w:pPr>
          </w:p>
          <w:p w14:paraId="37FC972E" w14:textId="77777777" w:rsidR="005361AB" w:rsidRDefault="005361AB" w:rsidP="00D73F6A">
            <w:r w:rsidRPr="00257D1F">
              <w:rPr>
                <w:rFonts w:cs="Arial"/>
              </w:rPr>
              <w:t xml:space="preserve">For more information, refer to the Section </w:t>
            </w:r>
            <w:r>
              <w:rPr>
                <w:rFonts w:cs="Arial"/>
              </w:rPr>
              <w:t>5</w:t>
            </w:r>
            <w:r w:rsidRPr="00257D1F">
              <w:rPr>
                <w:rFonts w:cs="Arial"/>
              </w:rPr>
              <w:t>C: Nursing Workforce Measure Specifications.</w:t>
            </w:r>
          </w:p>
        </w:tc>
      </w:tr>
      <w:tr w:rsidR="005361AB" w:rsidRPr="009A5185" w14:paraId="4C66D5E6" w14:textId="77777777" w:rsidTr="00D73F6A">
        <w:trPr>
          <w:trHeight w:val="576"/>
          <w:jc w:val="center"/>
        </w:trPr>
        <w:tc>
          <w:tcPr>
            <w:tcW w:w="2766" w:type="dxa"/>
            <w:shd w:val="clear" w:color="auto" w:fill="D9D9D9" w:themeFill="background1" w:themeFillShade="D9"/>
          </w:tcPr>
          <w:p w14:paraId="77AEBAA5" w14:textId="77777777" w:rsidR="005361AB" w:rsidRPr="009A5185" w:rsidRDefault="005361AB" w:rsidP="00D73F6A">
            <w:pPr>
              <w:spacing w:before="120" w:after="120"/>
              <w:rPr>
                <w:rFonts w:cs="Arial"/>
                <w:b/>
              </w:rPr>
            </w:pPr>
            <w:r w:rsidRPr="009A5185">
              <w:rPr>
                <w:rFonts w:cs="Arial"/>
                <w:b/>
              </w:rPr>
              <w:t>6</w:t>
            </w:r>
            <w:r>
              <w:rPr>
                <w:rFonts w:cs="Arial"/>
                <w:b/>
              </w:rPr>
              <w:t>A</w:t>
            </w:r>
            <w:r w:rsidRPr="009A5185">
              <w:rPr>
                <w:rFonts w:cs="Arial"/>
                <w:b/>
              </w:rPr>
              <w:t xml:space="preserve"> </w:t>
            </w:r>
            <w:r w:rsidRPr="000E69AB">
              <w:rPr>
                <w:rFonts w:cs="Arial"/>
                <w:bCs/>
              </w:rPr>
              <w:t>NQF Safe</w:t>
            </w:r>
            <w:r>
              <w:rPr>
                <w:rFonts w:cs="Arial"/>
                <w:b/>
              </w:rPr>
              <w:t xml:space="preserve"> </w:t>
            </w:r>
            <w:r>
              <w:rPr>
                <w:rFonts w:cs="Arial"/>
              </w:rPr>
              <w:t>Practice #1 – Culture of Safety Leadership Structures and Systems</w:t>
            </w:r>
          </w:p>
        </w:tc>
        <w:tc>
          <w:tcPr>
            <w:tcW w:w="6319" w:type="dxa"/>
            <w:vAlign w:val="center"/>
          </w:tcPr>
          <w:p w14:paraId="053B3B83" w14:textId="77777777" w:rsidR="005361AB" w:rsidRPr="009A5185" w:rsidRDefault="005361AB" w:rsidP="00D73F6A">
            <w:pPr>
              <w:jc w:val="center"/>
              <w:rPr>
                <w:rFonts w:cs="Arial"/>
              </w:rPr>
            </w:pPr>
            <w:r>
              <w:rPr>
                <w:rFonts w:cstheme="minorHAnsi"/>
              </w:rPr>
              <w:t>N/A</w:t>
            </w:r>
          </w:p>
        </w:tc>
      </w:tr>
      <w:tr w:rsidR="005361AB" w14:paraId="1451E832" w14:textId="77777777" w:rsidTr="00D73F6A">
        <w:trPr>
          <w:trHeight w:val="1152"/>
          <w:jc w:val="center"/>
        </w:trPr>
        <w:tc>
          <w:tcPr>
            <w:tcW w:w="2766" w:type="dxa"/>
            <w:shd w:val="clear" w:color="auto" w:fill="D9D9D9" w:themeFill="background1" w:themeFillShade="D9"/>
          </w:tcPr>
          <w:p w14:paraId="2028B312" w14:textId="77777777" w:rsidR="005361AB" w:rsidRPr="003E70D3" w:rsidRDefault="005361AB" w:rsidP="00D73F6A">
            <w:pPr>
              <w:spacing w:before="120" w:after="120"/>
              <w:rPr>
                <w:rFonts w:cs="Arial"/>
              </w:rPr>
            </w:pPr>
            <w:r>
              <w:rPr>
                <w:rFonts w:cs="Arial"/>
                <w:b/>
              </w:rPr>
              <w:t xml:space="preserve">6B </w:t>
            </w:r>
            <w:r w:rsidRPr="003622FE">
              <w:rPr>
                <w:rFonts w:cs="Arial"/>
                <w:bCs/>
              </w:rPr>
              <w:t>NQF Safe</w:t>
            </w:r>
            <w:r>
              <w:rPr>
                <w:rFonts w:cs="Arial"/>
                <w:b/>
              </w:rPr>
              <w:t xml:space="preserve"> </w:t>
            </w:r>
            <w:r>
              <w:rPr>
                <w:rFonts w:cs="Arial"/>
              </w:rPr>
              <w:t>Practice #2 – Culture Measurement, Feedback, and Intervention</w:t>
            </w:r>
          </w:p>
        </w:tc>
        <w:tc>
          <w:tcPr>
            <w:tcW w:w="6319" w:type="dxa"/>
            <w:vAlign w:val="center"/>
          </w:tcPr>
          <w:p w14:paraId="546A7D33" w14:textId="77777777" w:rsidR="005361AB" w:rsidRDefault="005361AB" w:rsidP="00D73F6A">
            <w:pPr>
              <w:jc w:val="center"/>
              <w:rPr>
                <w:rFonts w:cs="Arial"/>
              </w:rPr>
            </w:pPr>
            <w:r>
              <w:rPr>
                <w:rFonts w:cstheme="minorHAnsi"/>
              </w:rPr>
              <w:t>N/A</w:t>
            </w:r>
          </w:p>
        </w:tc>
      </w:tr>
      <w:tr w:rsidR="005361AB" w:rsidRPr="00532D0A" w14:paraId="7C0D09A7" w14:textId="77777777" w:rsidTr="00D73F6A">
        <w:trPr>
          <w:trHeight w:val="2078"/>
          <w:jc w:val="center"/>
        </w:trPr>
        <w:tc>
          <w:tcPr>
            <w:tcW w:w="2766" w:type="dxa"/>
            <w:shd w:val="clear" w:color="auto" w:fill="D9D9D9" w:themeFill="background1" w:themeFillShade="D9"/>
          </w:tcPr>
          <w:p w14:paraId="25457166" w14:textId="77777777" w:rsidR="005361AB" w:rsidRPr="003E70D3" w:rsidRDefault="005361AB" w:rsidP="00D73F6A">
            <w:pPr>
              <w:spacing w:before="120" w:after="120"/>
              <w:rPr>
                <w:rFonts w:cs="Arial"/>
              </w:rPr>
            </w:pPr>
            <w:r>
              <w:rPr>
                <w:rFonts w:cs="Arial"/>
                <w:b/>
              </w:rPr>
              <w:t xml:space="preserve">6C </w:t>
            </w:r>
            <w:r>
              <w:rPr>
                <w:rFonts w:cs="Arial"/>
              </w:rPr>
              <w:t>Hand Hygiene</w:t>
            </w:r>
          </w:p>
        </w:tc>
        <w:tc>
          <w:tcPr>
            <w:tcW w:w="6319" w:type="dxa"/>
            <w:vAlign w:val="center"/>
          </w:tcPr>
          <w:p w14:paraId="741C2879" w14:textId="777D5B24" w:rsidR="005361AB" w:rsidRDefault="005361AB" w:rsidP="00AD309C">
            <w:pPr>
              <w:pStyle w:val="ListParagraph"/>
              <w:numPr>
                <w:ilvl w:val="0"/>
                <w:numId w:val="403"/>
              </w:numPr>
            </w:pPr>
            <w:hyperlink w:anchor="MedicalandorSurgicalUnits" w:history="1">
              <w:r w:rsidRPr="00227879">
                <w:rPr>
                  <w:rStyle w:val="Hyperlink"/>
                </w:rPr>
                <w:t>Medical</w:t>
              </w:r>
              <w:r w:rsidR="008D42A1">
                <w:rPr>
                  <w:rStyle w:val="Hyperlink"/>
                </w:rPr>
                <w:t xml:space="preserve">, Surgical, </w:t>
              </w:r>
              <w:r w:rsidRPr="00227879">
                <w:rPr>
                  <w:rStyle w:val="Hyperlink"/>
                </w:rPr>
                <w:t>and</w:t>
              </w:r>
              <w:r w:rsidR="0057580E">
                <w:rPr>
                  <w:rStyle w:val="Hyperlink"/>
                </w:rPr>
                <w:t xml:space="preserve"> Medical/</w:t>
              </w:r>
              <w:r w:rsidRPr="00227879">
                <w:rPr>
                  <w:rStyle w:val="Hyperlink"/>
                </w:rPr>
                <w:t>Surgical Units (including telemetry</w:t>
              </w:r>
              <w:r w:rsidR="00432721">
                <w:rPr>
                  <w:rStyle w:val="Hyperlink"/>
                </w:rPr>
                <w:t xml:space="preserve"> units</w:t>
              </w:r>
              <w:r w:rsidRPr="00227879">
                <w:rPr>
                  <w:rStyle w:val="Hyperlink"/>
                </w:rPr>
                <w:t>)</w:t>
              </w:r>
            </w:hyperlink>
            <w:r w:rsidR="00227879" w:rsidRPr="00227879">
              <w:rPr>
                <w:vertAlign w:val="superscript"/>
              </w:rPr>
              <w:t>19</w:t>
            </w:r>
            <w:r w:rsidR="00B728CC">
              <w:rPr>
                <w:vertAlign w:val="superscript"/>
              </w:rPr>
              <w:t xml:space="preserve"> </w:t>
            </w:r>
            <w:r w:rsidRPr="00ED0D69">
              <w:rPr>
                <w:rFonts w:cstheme="minorHAnsi"/>
              </w:rPr>
              <w:t>(</w:t>
            </w:r>
            <w:r>
              <w:rPr>
                <w:rFonts w:cstheme="minorHAnsi"/>
              </w:rPr>
              <w:t>adult and/or pediatric)</w:t>
            </w:r>
          </w:p>
          <w:p w14:paraId="7749A2AA" w14:textId="02C6951E" w:rsidR="005361AB" w:rsidRDefault="00227879" w:rsidP="00AD309C">
            <w:pPr>
              <w:pStyle w:val="ListParagraph"/>
              <w:numPr>
                <w:ilvl w:val="0"/>
                <w:numId w:val="403"/>
              </w:numPr>
            </w:pPr>
            <w:hyperlink w:anchor="stepdown_progressiveunits_endnote20" w:history="1">
              <w:r w:rsidRPr="00227879">
                <w:rPr>
                  <w:rStyle w:val="Hyperlink"/>
                </w:rPr>
                <w:t>Step-down/Progressive Units</w:t>
              </w:r>
            </w:hyperlink>
            <w:r w:rsidRPr="00227879">
              <w:rPr>
                <w:vertAlign w:val="superscript"/>
              </w:rPr>
              <w:t>20</w:t>
            </w:r>
            <w:r>
              <w:t xml:space="preserve"> </w:t>
            </w:r>
            <w:r w:rsidR="005361AB">
              <w:rPr>
                <w:rFonts w:cstheme="minorHAnsi"/>
              </w:rPr>
              <w:t>(adult and/or pediatric)</w:t>
            </w:r>
          </w:p>
          <w:p w14:paraId="5EF24593" w14:textId="7184E355" w:rsidR="005361AB" w:rsidRPr="0028623C" w:rsidRDefault="005361AB" w:rsidP="00AD309C">
            <w:pPr>
              <w:pStyle w:val="ListParagraph"/>
              <w:numPr>
                <w:ilvl w:val="0"/>
                <w:numId w:val="401"/>
              </w:numPr>
            </w:pPr>
            <w:r>
              <w:t>Obstetrical Units (</w:t>
            </w:r>
            <w:hyperlink w:anchor="LaborandDeliveryUnits" w:history="1">
              <w:r w:rsidR="00DD077B" w:rsidRPr="00AA1E6E">
                <w:rPr>
                  <w:rStyle w:val="Hyperlink"/>
                </w:rPr>
                <w:t>Labor and Delivery Units</w:t>
              </w:r>
              <w:r w:rsidR="00DD077B" w:rsidRPr="00227879">
                <w:rPr>
                  <w:rStyle w:val="Hyperlink"/>
                  <w:color w:val="auto"/>
                  <w:u w:val="none"/>
                  <w:vertAlign w:val="superscript"/>
                </w:rPr>
                <w:t>21</w:t>
              </w:r>
            </w:hyperlink>
            <w:r w:rsidRPr="001F2388">
              <w:t>, nursery, etc., excluding procedural areas)</w:t>
            </w:r>
          </w:p>
          <w:p w14:paraId="0F63EEF3" w14:textId="533909DD" w:rsidR="005361AB" w:rsidRPr="00532D0A" w:rsidRDefault="00C51FBE" w:rsidP="00AD309C">
            <w:pPr>
              <w:pStyle w:val="ListParagraph"/>
              <w:numPr>
                <w:ilvl w:val="0"/>
                <w:numId w:val="403"/>
              </w:numPr>
              <w:rPr>
                <w:rStyle w:val="Hyperlink"/>
                <w:rFonts w:cs="Arial"/>
              </w:rPr>
            </w:pPr>
            <w:hyperlink w:anchor="generalmedicalsurgicalandneuroicu" w:history="1">
              <w:r w:rsidRPr="001F3241">
                <w:rPr>
                  <w:rStyle w:val="Hyperlink"/>
                </w:rPr>
                <w:t>General Medical</w:t>
              </w:r>
              <w:r w:rsidR="008E0AE0">
                <w:rPr>
                  <w:rStyle w:val="Hyperlink"/>
                </w:rPr>
                <w:t xml:space="preserve">, </w:t>
              </w:r>
              <w:r w:rsidRPr="001F3241">
                <w:rPr>
                  <w:rStyle w:val="Hyperlink"/>
                </w:rPr>
                <w:t>Surgical</w:t>
              </w:r>
              <w:r w:rsidR="008E0AE0">
                <w:rPr>
                  <w:rStyle w:val="Hyperlink"/>
                </w:rPr>
                <w:t xml:space="preserve">, Medical/Surgical, </w:t>
              </w:r>
              <w:r w:rsidRPr="001F3241">
                <w:rPr>
                  <w:rStyle w:val="Hyperlink"/>
                </w:rPr>
                <w:t>and Neuro ICUs</w:t>
              </w:r>
              <w:r w:rsidRPr="001F2388">
                <w:rPr>
                  <w:rStyle w:val="Hyperlink"/>
                  <w:color w:val="auto"/>
                  <w:u w:val="none"/>
                  <w:vertAlign w:val="superscript"/>
                </w:rPr>
                <w:t>14</w:t>
              </w:r>
            </w:hyperlink>
            <w:r>
              <w:rPr>
                <w:rFonts w:cstheme="minorHAnsi"/>
              </w:rPr>
              <w:t xml:space="preserve"> </w:t>
            </w:r>
            <w:r w:rsidR="005361AB">
              <w:rPr>
                <w:rFonts w:cstheme="minorHAnsi"/>
              </w:rPr>
              <w:t>(adult and/or pediatric)</w:t>
            </w:r>
          </w:p>
          <w:p w14:paraId="22BF8CC0" w14:textId="33EB6E5A" w:rsidR="00C51FBE" w:rsidRPr="00280FB6" w:rsidRDefault="000809F3" w:rsidP="00AD309C">
            <w:pPr>
              <w:pStyle w:val="ListParagraph"/>
              <w:numPr>
                <w:ilvl w:val="0"/>
                <w:numId w:val="403"/>
              </w:numPr>
              <w:rPr>
                <w:rStyle w:val="Hyperlink"/>
                <w:rFonts w:cs="Arial"/>
              </w:rPr>
            </w:pPr>
            <w:hyperlink w:anchor="neonatalICU" w:history="1">
              <w:r w:rsidRPr="005A2FEB">
                <w:rPr>
                  <w:rStyle w:val="Hyperlink"/>
                </w:rPr>
                <w:t>Level II/III, Level III, and Level IV Neonatal ICUs</w:t>
              </w:r>
            </w:hyperlink>
            <w:r w:rsidRPr="00864530">
              <w:rPr>
                <w:vertAlign w:val="superscript"/>
              </w:rPr>
              <w:t>17</w:t>
            </w:r>
            <w:r>
              <w:t xml:space="preserve"> </w:t>
            </w:r>
          </w:p>
          <w:p w14:paraId="334D525E" w14:textId="64009D86" w:rsidR="005361AB" w:rsidRPr="003A39FC" w:rsidRDefault="005361AB" w:rsidP="00AD309C">
            <w:pPr>
              <w:pStyle w:val="ListParagraph"/>
              <w:numPr>
                <w:ilvl w:val="0"/>
                <w:numId w:val="403"/>
              </w:numPr>
              <w:rPr>
                <w:rStyle w:val="Hyperlink"/>
                <w:rFonts w:cs="Arial"/>
              </w:rPr>
            </w:pPr>
            <w:r w:rsidRPr="001F2388">
              <w:rPr>
                <w:rStyle w:val="Hyperlink"/>
                <w:rFonts w:cs="Arial"/>
                <w:snapToGrid w:val="0"/>
                <w:color w:val="auto"/>
                <w:u w:val="none"/>
              </w:rPr>
              <w:t>Specialty ICUs</w:t>
            </w:r>
            <w:r w:rsidR="00A8377D">
              <w:rPr>
                <w:rStyle w:val="Hyperlink"/>
                <w:rFonts w:cs="Arial"/>
                <w:snapToGrid w:val="0"/>
                <w:color w:val="auto"/>
                <w:u w:val="none"/>
              </w:rPr>
              <w:t xml:space="preserve"> </w:t>
            </w:r>
            <w:r>
              <w:rPr>
                <w:rFonts w:cstheme="minorHAnsi"/>
              </w:rPr>
              <w:t>(adult and/or pediatric)</w:t>
            </w:r>
          </w:p>
          <w:p w14:paraId="385D9DE4" w14:textId="0F21EE20" w:rsidR="005361AB" w:rsidRPr="00532D0A" w:rsidRDefault="001724B6" w:rsidP="00AD309C">
            <w:pPr>
              <w:pStyle w:val="ListParagraph"/>
              <w:numPr>
                <w:ilvl w:val="0"/>
                <w:numId w:val="403"/>
              </w:numPr>
              <w:rPr>
                <w:rFonts w:cs="Arial"/>
              </w:rPr>
            </w:pPr>
            <w:hyperlink w:anchor="pacusendnote" w:history="1">
              <w:r w:rsidRPr="00227879">
                <w:rPr>
                  <w:rStyle w:val="Hyperlink"/>
                </w:rPr>
                <w:t>Pre-operative and Post-anesthesia Care Units</w:t>
              </w:r>
            </w:hyperlink>
            <w:r w:rsidRPr="00227879">
              <w:rPr>
                <w:vertAlign w:val="superscript"/>
              </w:rPr>
              <w:t>22</w:t>
            </w:r>
            <w:r w:rsidRPr="00BD487D">
              <w:rPr>
                <w:rFonts w:cstheme="minorHAnsi"/>
              </w:rPr>
              <w:t xml:space="preserve"> </w:t>
            </w:r>
            <w:r w:rsidR="005361AB">
              <w:rPr>
                <w:rFonts w:cstheme="minorHAnsi"/>
              </w:rPr>
              <w:t>(adult and/or pediatric)</w:t>
            </w:r>
          </w:p>
          <w:p w14:paraId="7A7F0113" w14:textId="7CF8A3E2" w:rsidR="005361AB" w:rsidRPr="00532D0A" w:rsidRDefault="005361AB" w:rsidP="00AD309C">
            <w:pPr>
              <w:pStyle w:val="ListParagraph"/>
              <w:numPr>
                <w:ilvl w:val="0"/>
                <w:numId w:val="403"/>
              </w:numPr>
              <w:rPr>
                <w:rFonts w:cs="Arial"/>
              </w:rPr>
            </w:pPr>
            <w:r w:rsidRPr="00532D0A">
              <w:rPr>
                <w:rFonts w:cs="Arial"/>
              </w:rPr>
              <w:t>Observation units</w:t>
            </w:r>
            <w:r w:rsidR="0001219A">
              <w:rPr>
                <w:rFonts w:cs="Arial"/>
              </w:rPr>
              <w:t xml:space="preserve"> </w:t>
            </w:r>
            <w:r w:rsidR="0001219A">
              <w:rPr>
                <w:rFonts w:cstheme="minorHAnsi"/>
              </w:rPr>
              <w:t>(adult and/or pediatric)</w:t>
            </w:r>
          </w:p>
          <w:p w14:paraId="75594084" w14:textId="10DB4E36" w:rsidR="005361AB" w:rsidRPr="00532D0A" w:rsidRDefault="005361AB" w:rsidP="00AD309C">
            <w:pPr>
              <w:pStyle w:val="ListParagraph"/>
              <w:numPr>
                <w:ilvl w:val="0"/>
                <w:numId w:val="403"/>
              </w:numPr>
              <w:rPr>
                <w:rFonts w:cs="Arial"/>
              </w:rPr>
            </w:pPr>
            <w:hyperlink w:anchor="emergencydepartment_endnote" w:history="1">
              <w:r w:rsidRPr="00B11370">
                <w:rPr>
                  <w:rStyle w:val="Hyperlink"/>
                </w:rPr>
                <w:t>Dedicated Emergency Department</w:t>
              </w:r>
            </w:hyperlink>
            <w:r w:rsidR="004D525C">
              <w:t>s</w:t>
            </w:r>
            <w:r w:rsidR="00F319C6" w:rsidRPr="00F319C6">
              <w:rPr>
                <w:vertAlign w:val="superscript"/>
              </w:rPr>
              <w:t>47</w:t>
            </w:r>
            <w:r w:rsidR="004D525C">
              <w:rPr>
                <w:vertAlign w:val="superscript"/>
              </w:rPr>
              <w:t xml:space="preserve"> </w:t>
            </w:r>
            <w:r w:rsidR="004D525C">
              <w:rPr>
                <w:rFonts w:cstheme="minorHAnsi"/>
              </w:rPr>
              <w:t>(adult and/or pediatric)</w:t>
            </w:r>
          </w:p>
        </w:tc>
      </w:tr>
      <w:tr w:rsidR="005361AB" w:rsidRPr="000C6DE1" w14:paraId="3A053233" w14:textId="77777777" w:rsidTr="00D73F6A">
        <w:trPr>
          <w:trHeight w:val="432"/>
          <w:jc w:val="center"/>
        </w:trPr>
        <w:tc>
          <w:tcPr>
            <w:tcW w:w="2766" w:type="dxa"/>
            <w:shd w:val="clear" w:color="auto" w:fill="D9D9D9" w:themeFill="background1" w:themeFillShade="D9"/>
          </w:tcPr>
          <w:p w14:paraId="1B3835B2" w14:textId="77777777" w:rsidR="005361AB" w:rsidRDefault="005361AB" w:rsidP="00D73F6A">
            <w:pPr>
              <w:spacing w:before="120" w:after="120"/>
              <w:rPr>
                <w:rFonts w:cs="Arial"/>
                <w:b/>
              </w:rPr>
            </w:pPr>
            <w:r>
              <w:rPr>
                <w:rFonts w:cs="Arial"/>
                <w:b/>
              </w:rPr>
              <w:t xml:space="preserve">6D </w:t>
            </w:r>
            <w:r w:rsidRPr="004D1420">
              <w:rPr>
                <w:rFonts w:cs="Arial"/>
                <w:bCs/>
              </w:rPr>
              <w:t>Diagnostic Excellence</w:t>
            </w:r>
            <w:r>
              <w:rPr>
                <w:rFonts w:cs="Arial"/>
                <w:b/>
              </w:rPr>
              <w:t xml:space="preserve"> </w:t>
            </w:r>
          </w:p>
        </w:tc>
        <w:tc>
          <w:tcPr>
            <w:tcW w:w="6319" w:type="dxa"/>
            <w:vAlign w:val="center"/>
          </w:tcPr>
          <w:p w14:paraId="5670A20A" w14:textId="77777777" w:rsidR="005361AB" w:rsidRPr="000C6DE1" w:rsidRDefault="005361AB" w:rsidP="00D73F6A">
            <w:pPr>
              <w:jc w:val="center"/>
              <w:rPr>
                <w:rFonts w:cstheme="minorHAnsi"/>
              </w:rPr>
            </w:pPr>
            <w:r>
              <w:rPr>
                <w:rFonts w:cstheme="minorHAnsi"/>
              </w:rPr>
              <w:t>N/A</w:t>
            </w:r>
          </w:p>
        </w:tc>
      </w:tr>
      <w:tr w:rsidR="005361AB" w:rsidRPr="000C6DE1" w14:paraId="69277184" w14:textId="77777777" w:rsidTr="00D73F6A">
        <w:trPr>
          <w:trHeight w:val="432"/>
          <w:jc w:val="center"/>
        </w:trPr>
        <w:tc>
          <w:tcPr>
            <w:tcW w:w="2766" w:type="dxa"/>
            <w:shd w:val="clear" w:color="auto" w:fill="D9D9D9" w:themeFill="background1" w:themeFillShade="D9"/>
          </w:tcPr>
          <w:p w14:paraId="74639CD3" w14:textId="6172EC0A" w:rsidR="005361AB" w:rsidRPr="00257D1F" w:rsidRDefault="005361AB" w:rsidP="00D73F6A">
            <w:pPr>
              <w:spacing w:before="120" w:after="120"/>
              <w:rPr>
                <w:rFonts w:cs="Arial"/>
                <w:bCs/>
              </w:rPr>
            </w:pPr>
            <w:r>
              <w:rPr>
                <w:rFonts w:cs="Arial"/>
                <w:b/>
              </w:rPr>
              <w:t xml:space="preserve">6E </w:t>
            </w:r>
            <w:r w:rsidR="00737CFB" w:rsidRPr="00730DD6">
              <w:rPr>
                <w:rFonts w:cs="Arial"/>
                <w:bCs/>
              </w:rPr>
              <w:t>Hospital Boarding in the</w:t>
            </w:r>
            <w:r w:rsidR="00737CFB">
              <w:rPr>
                <w:rFonts w:cs="Arial"/>
                <w:b/>
              </w:rPr>
              <w:t xml:space="preserve"> </w:t>
            </w:r>
            <w:r>
              <w:rPr>
                <w:rFonts w:cs="Arial"/>
                <w:bCs/>
              </w:rPr>
              <w:t>E</w:t>
            </w:r>
            <w:r w:rsidR="00B72E85">
              <w:rPr>
                <w:rFonts w:cs="Arial"/>
                <w:bCs/>
              </w:rPr>
              <w:t xml:space="preserve">mergency </w:t>
            </w:r>
            <w:r>
              <w:rPr>
                <w:rFonts w:cs="Arial"/>
                <w:bCs/>
              </w:rPr>
              <w:t>D</w:t>
            </w:r>
            <w:r w:rsidR="00B72E85">
              <w:rPr>
                <w:rFonts w:cs="Arial"/>
                <w:bCs/>
              </w:rPr>
              <w:t>epartment (ED)</w:t>
            </w:r>
          </w:p>
        </w:tc>
        <w:tc>
          <w:tcPr>
            <w:tcW w:w="6319" w:type="dxa"/>
            <w:vAlign w:val="center"/>
          </w:tcPr>
          <w:p w14:paraId="2C8443BD" w14:textId="40F7BE30" w:rsidR="005361AB" w:rsidRPr="00257D1F" w:rsidRDefault="005361AB" w:rsidP="00AD309C">
            <w:pPr>
              <w:pStyle w:val="ListParagraph"/>
              <w:numPr>
                <w:ilvl w:val="0"/>
                <w:numId w:val="403"/>
              </w:numPr>
              <w:rPr>
                <w:rFonts w:cstheme="minorHAnsi"/>
              </w:rPr>
            </w:pPr>
            <w:hyperlink w:anchor="emergencydepartment_endnote" w:history="1">
              <w:r w:rsidRPr="005D497B">
                <w:rPr>
                  <w:rStyle w:val="Hyperlink"/>
                </w:rPr>
                <w:t>Dedicated Emergency Department</w:t>
              </w:r>
              <w:r w:rsidR="004D525C">
                <w:rPr>
                  <w:rStyle w:val="Hyperlink"/>
                </w:rPr>
                <w:t>s</w:t>
              </w:r>
            </w:hyperlink>
            <w:r w:rsidR="00F319C6" w:rsidRPr="00F319C6">
              <w:rPr>
                <w:vertAlign w:val="superscript"/>
              </w:rPr>
              <w:t>47</w:t>
            </w:r>
            <w:r w:rsidR="004D525C">
              <w:rPr>
                <w:vertAlign w:val="superscript"/>
              </w:rPr>
              <w:t xml:space="preserve"> </w:t>
            </w:r>
            <w:r w:rsidR="004D525C">
              <w:rPr>
                <w:rFonts w:cstheme="minorHAnsi"/>
              </w:rPr>
              <w:t>(adult and/or pediatric)</w:t>
            </w:r>
          </w:p>
        </w:tc>
      </w:tr>
      <w:tr w:rsidR="005361AB" w:rsidRPr="009A5185" w14:paraId="0DA39C71" w14:textId="77777777" w:rsidTr="00D73F6A">
        <w:trPr>
          <w:trHeight w:val="20"/>
          <w:jc w:val="center"/>
        </w:trPr>
        <w:tc>
          <w:tcPr>
            <w:tcW w:w="27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93AB636" w14:textId="77777777" w:rsidR="005361AB" w:rsidRPr="009A5185" w:rsidRDefault="005361AB" w:rsidP="00D73F6A">
            <w:pPr>
              <w:tabs>
                <w:tab w:val="left" w:pos="1485"/>
              </w:tabs>
              <w:spacing w:before="120" w:after="120"/>
              <w:rPr>
                <w:rFonts w:cs="Arial"/>
              </w:rPr>
            </w:pPr>
            <w:r w:rsidRPr="009A5185">
              <w:rPr>
                <w:rFonts w:cs="Arial"/>
                <w:b/>
              </w:rPr>
              <w:t>7A</w:t>
            </w:r>
            <w:r w:rsidRPr="009A5185">
              <w:rPr>
                <w:rFonts w:cs="Arial"/>
              </w:rPr>
              <w:t xml:space="preserve"> Never Events</w:t>
            </w:r>
            <w:r>
              <w:rPr>
                <w:rFonts w:cs="Arial"/>
              </w:rPr>
              <w:t xml:space="preserve"> </w:t>
            </w:r>
          </w:p>
        </w:tc>
        <w:tc>
          <w:tcPr>
            <w:tcW w:w="6319" w:type="dxa"/>
            <w:tcBorders>
              <w:top w:val="single" w:sz="4" w:space="0" w:color="auto"/>
              <w:left w:val="single" w:sz="4" w:space="0" w:color="auto"/>
              <w:bottom w:val="single" w:sz="4" w:space="0" w:color="auto"/>
            </w:tcBorders>
            <w:vAlign w:val="center"/>
          </w:tcPr>
          <w:p w14:paraId="4C6D069D" w14:textId="77777777" w:rsidR="005361AB" w:rsidRPr="009A5185" w:rsidRDefault="005361AB" w:rsidP="00D73F6A">
            <w:pPr>
              <w:jc w:val="center"/>
              <w:rPr>
                <w:rFonts w:cs="Arial"/>
              </w:rPr>
            </w:pPr>
            <w:r w:rsidRPr="000C6DE1">
              <w:rPr>
                <w:rFonts w:cstheme="minorHAnsi"/>
              </w:rPr>
              <w:t>N/A</w:t>
            </w:r>
          </w:p>
        </w:tc>
      </w:tr>
      <w:tr w:rsidR="005361AB" w:rsidRPr="009A5185" w14:paraId="7992BAAC" w14:textId="77777777" w:rsidTr="00D73F6A">
        <w:trPr>
          <w:trHeight w:val="432"/>
          <w:jc w:val="center"/>
        </w:trPr>
        <w:tc>
          <w:tcPr>
            <w:tcW w:w="27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8B541A3" w14:textId="77777777" w:rsidR="005361AB" w:rsidRPr="009A5185" w:rsidRDefault="005361AB" w:rsidP="00D73F6A">
            <w:pPr>
              <w:spacing w:before="120" w:after="120"/>
              <w:rPr>
                <w:rFonts w:cs="Arial"/>
              </w:rPr>
            </w:pPr>
            <w:r w:rsidRPr="009A5185">
              <w:rPr>
                <w:rFonts w:cs="Arial"/>
                <w:b/>
              </w:rPr>
              <w:t>7B</w:t>
            </w:r>
            <w:r w:rsidRPr="009A5185">
              <w:rPr>
                <w:rFonts w:cs="Arial"/>
              </w:rPr>
              <w:t xml:space="preserve"> Healthcare-Associated Infections</w:t>
            </w:r>
          </w:p>
        </w:tc>
        <w:tc>
          <w:tcPr>
            <w:tcW w:w="6319" w:type="dxa"/>
            <w:tcBorders>
              <w:top w:val="single" w:sz="4" w:space="0" w:color="auto"/>
              <w:left w:val="single" w:sz="4" w:space="0" w:color="auto"/>
              <w:bottom w:val="single" w:sz="4" w:space="0" w:color="auto"/>
            </w:tcBorders>
            <w:vAlign w:val="center"/>
          </w:tcPr>
          <w:p w14:paraId="3CA3F8F6" w14:textId="77777777" w:rsidR="005361AB" w:rsidRPr="009A5185" w:rsidRDefault="005361AB" w:rsidP="00D73F6A">
            <w:pPr>
              <w:jc w:val="center"/>
              <w:rPr>
                <w:rFonts w:cs="Arial"/>
              </w:rPr>
            </w:pPr>
            <w:r>
              <w:rPr>
                <w:rFonts w:cstheme="minorHAnsi"/>
              </w:rPr>
              <w:t>N/A</w:t>
            </w:r>
          </w:p>
        </w:tc>
      </w:tr>
      <w:tr w:rsidR="005361AB" w:rsidRPr="009A5185" w14:paraId="24EDD814" w14:textId="77777777" w:rsidTr="00D73F6A">
        <w:trPr>
          <w:trHeight w:val="288"/>
          <w:jc w:val="center"/>
        </w:trPr>
        <w:tc>
          <w:tcPr>
            <w:tcW w:w="2766" w:type="dxa"/>
            <w:shd w:val="clear" w:color="auto" w:fill="D9D9D9" w:themeFill="background1" w:themeFillShade="D9"/>
          </w:tcPr>
          <w:p w14:paraId="0D10595D" w14:textId="77777777" w:rsidR="005361AB" w:rsidRPr="009A5185" w:rsidRDefault="005361AB" w:rsidP="00D73F6A">
            <w:pPr>
              <w:spacing w:before="120" w:after="120"/>
              <w:rPr>
                <w:rFonts w:cs="Arial"/>
                <w:b/>
              </w:rPr>
            </w:pPr>
            <w:r>
              <w:rPr>
                <w:rFonts w:cs="Arial"/>
                <w:b/>
              </w:rPr>
              <w:lastRenderedPageBreak/>
              <w:t>8</w:t>
            </w:r>
            <w:r w:rsidRPr="009A5185">
              <w:rPr>
                <w:rFonts w:cs="Arial"/>
                <w:b/>
              </w:rPr>
              <w:t xml:space="preserve">A </w:t>
            </w:r>
            <w:r w:rsidRPr="00F72C9F">
              <w:rPr>
                <w:rFonts w:cs="Arial"/>
                <w:bCs/>
              </w:rPr>
              <w:t>Patient Experience (</w:t>
            </w:r>
            <w:r w:rsidRPr="009A5185">
              <w:rPr>
                <w:rFonts w:cs="Arial"/>
              </w:rPr>
              <w:t>CAHPS Child Hospital Survey</w:t>
            </w:r>
            <w:r>
              <w:rPr>
                <w:rFonts w:cs="Arial"/>
              </w:rPr>
              <w:t>)</w:t>
            </w:r>
          </w:p>
        </w:tc>
        <w:tc>
          <w:tcPr>
            <w:tcW w:w="6319" w:type="dxa"/>
            <w:vAlign w:val="center"/>
          </w:tcPr>
          <w:p w14:paraId="47410872" w14:textId="77777777" w:rsidR="005361AB" w:rsidRPr="009A5185" w:rsidRDefault="005361AB" w:rsidP="00D73F6A">
            <w:pPr>
              <w:jc w:val="center"/>
              <w:rPr>
                <w:rFonts w:cs="Arial"/>
              </w:rPr>
            </w:pPr>
            <w:r>
              <w:rPr>
                <w:rFonts w:cstheme="minorHAnsi"/>
              </w:rPr>
              <w:t>N/A</w:t>
            </w:r>
          </w:p>
        </w:tc>
      </w:tr>
      <w:tr w:rsidR="005361AB" w:rsidRPr="009A5185" w14:paraId="79D7AA19" w14:textId="77777777" w:rsidTr="00D73F6A">
        <w:trPr>
          <w:trHeight w:val="288"/>
          <w:jc w:val="center"/>
        </w:trPr>
        <w:tc>
          <w:tcPr>
            <w:tcW w:w="2766" w:type="dxa"/>
            <w:shd w:val="clear" w:color="auto" w:fill="D9D9D9" w:themeFill="background1" w:themeFillShade="D9"/>
          </w:tcPr>
          <w:p w14:paraId="538748DD" w14:textId="77777777" w:rsidR="005361AB" w:rsidRPr="009A5185" w:rsidRDefault="005361AB" w:rsidP="00D73F6A">
            <w:pPr>
              <w:spacing w:before="120" w:after="120"/>
              <w:rPr>
                <w:rFonts w:cs="Arial"/>
              </w:rPr>
            </w:pPr>
            <w:r>
              <w:rPr>
                <w:rFonts w:cs="Arial"/>
                <w:b/>
              </w:rPr>
              <w:t>8</w:t>
            </w:r>
            <w:r w:rsidRPr="009A5185">
              <w:rPr>
                <w:rFonts w:cs="Arial"/>
                <w:b/>
              </w:rPr>
              <w:t xml:space="preserve">B </w:t>
            </w:r>
            <w:r w:rsidRPr="009A5185">
              <w:rPr>
                <w:rFonts w:cs="Arial"/>
              </w:rPr>
              <w:t>Pediatric Computed Tomography (CT) Radiation Dose</w:t>
            </w:r>
          </w:p>
        </w:tc>
        <w:tc>
          <w:tcPr>
            <w:tcW w:w="6319" w:type="dxa"/>
            <w:vAlign w:val="center"/>
          </w:tcPr>
          <w:p w14:paraId="080318B6" w14:textId="77777777" w:rsidR="005361AB" w:rsidRPr="009A5185" w:rsidRDefault="005361AB" w:rsidP="00D73F6A">
            <w:pPr>
              <w:jc w:val="center"/>
              <w:rPr>
                <w:rFonts w:cs="Arial"/>
              </w:rPr>
            </w:pPr>
            <w:r>
              <w:rPr>
                <w:rFonts w:cstheme="minorHAnsi"/>
              </w:rPr>
              <w:t>N/A</w:t>
            </w:r>
          </w:p>
        </w:tc>
      </w:tr>
      <w:tr w:rsidR="005361AB" w:rsidRPr="00141B21" w14:paraId="70A0DF08" w14:textId="77777777" w:rsidTr="00D73F6A">
        <w:trPr>
          <w:trHeight w:val="20"/>
          <w:jc w:val="center"/>
        </w:trPr>
        <w:tc>
          <w:tcPr>
            <w:tcW w:w="2766" w:type="dxa"/>
            <w:shd w:val="clear" w:color="auto" w:fill="D9D9D9" w:themeFill="background1" w:themeFillShade="D9"/>
          </w:tcPr>
          <w:p w14:paraId="61A572D2" w14:textId="77777777" w:rsidR="005361AB" w:rsidRPr="00853E29" w:rsidRDefault="005361AB" w:rsidP="00D73F6A">
            <w:pPr>
              <w:spacing w:before="120" w:after="120"/>
              <w:rPr>
                <w:rFonts w:cs="Arial"/>
              </w:rPr>
            </w:pPr>
            <w:r>
              <w:rPr>
                <w:rFonts w:cs="Arial"/>
                <w:b/>
              </w:rPr>
              <w:t xml:space="preserve">9A </w:t>
            </w:r>
            <w:r>
              <w:rPr>
                <w:rFonts w:cs="Arial"/>
              </w:rPr>
              <w:t>Basic Outpatient Department Information</w:t>
            </w:r>
          </w:p>
        </w:tc>
        <w:tc>
          <w:tcPr>
            <w:tcW w:w="6319" w:type="dxa"/>
            <w:vAlign w:val="center"/>
          </w:tcPr>
          <w:p w14:paraId="2332D84E" w14:textId="77777777" w:rsidR="005361AB" w:rsidRPr="00141B21" w:rsidRDefault="005361AB" w:rsidP="00D73F6A">
            <w:pPr>
              <w:jc w:val="center"/>
              <w:rPr>
                <w:rFonts w:cs="Arial"/>
              </w:rPr>
            </w:pPr>
            <w:r>
              <w:rPr>
                <w:rFonts w:cstheme="minorHAnsi"/>
              </w:rPr>
              <w:t>N/A</w:t>
            </w:r>
          </w:p>
        </w:tc>
      </w:tr>
      <w:tr w:rsidR="005361AB" w:rsidRPr="00141B21" w14:paraId="2F505F41" w14:textId="77777777" w:rsidTr="00D73F6A">
        <w:trPr>
          <w:trHeight w:val="144"/>
          <w:jc w:val="center"/>
        </w:trPr>
        <w:tc>
          <w:tcPr>
            <w:tcW w:w="2766" w:type="dxa"/>
            <w:shd w:val="clear" w:color="auto" w:fill="D9D9D9" w:themeFill="background1" w:themeFillShade="D9"/>
          </w:tcPr>
          <w:p w14:paraId="669926AC" w14:textId="77777777" w:rsidR="005361AB" w:rsidRPr="00853E29" w:rsidRDefault="005361AB" w:rsidP="00D73F6A">
            <w:pPr>
              <w:spacing w:before="120" w:after="120"/>
              <w:rPr>
                <w:rFonts w:cs="Arial"/>
              </w:rPr>
            </w:pPr>
            <w:r>
              <w:rPr>
                <w:rFonts w:cs="Arial"/>
                <w:b/>
              </w:rPr>
              <w:t xml:space="preserve">9B </w:t>
            </w:r>
            <w:r>
              <w:rPr>
                <w:rFonts w:cs="Arial"/>
              </w:rPr>
              <w:t>Medical, Surgical, and Clinical Staff</w:t>
            </w:r>
          </w:p>
        </w:tc>
        <w:tc>
          <w:tcPr>
            <w:tcW w:w="6319" w:type="dxa"/>
            <w:vAlign w:val="center"/>
          </w:tcPr>
          <w:p w14:paraId="1C6D7C90" w14:textId="77777777" w:rsidR="005361AB" w:rsidRPr="00141B21" w:rsidRDefault="005361AB" w:rsidP="00D73F6A">
            <w:pPr>
              <w:jc w:val="center"/>
              <w:rPr>
                <w:rFonts w:cs="Arial"/>
              </w:rPr>
            </w:pPr>
            <w:r>
              <w:rPr>
                <w:rFonts w:cstheme="minorHAnsi"/>
              </w:rPr>
              <w:t>N/A</w:t>
            </w:r>
          </w:p>
        </w:tc>
      </w:tr>
      <w:tr w:rsidR="005361AB" w:rsidRPr="00141B21" w14:paraId="044E9D93" w14:textId="77777777" w:rsidTr="00D73F6A">
        <w:trPr>
          <w:trHeight w:val="144"/>
          <w:jc w:val="center"/>
        </w:trPr>
        <w:tc>
          <w:tcPr>
            <w:tcW w:w="2766" w:type="dxa"/>
            <w:shd w:val="clear" w:color="auto" w:fill="D9D9D9" w:themeFill="background1" w:themeFillShade="D9"/>
          </w:tcPr>
          <w:p w14:paraId="39630A45" w14:textId="77777777" w:rsidR="005361AB" w:rsidRDefault="005361AB" w:rsidP="00D73F6A">
            <w:pPr>
              <w:spacing w:before="120" w:after="120"/>
              <w:rPr>
                <w:rFonts w:cs="Arial"/>
                <w:b/>
              </w:rPr>
            </w:pPr>
            <w:r>
              <w:rPr>
                <w:rFonts w:cs="Arial"/>
                <w:b/>
              </w:rPr>
              <w:t xml:space="preserve">9C </w:t>
            </w:r>
            <w:r>
              <w:rPr>
                <w:rFonts w:cs="Arial"/>
              </w:rPr>
              <w:t>Volume of Procedures</w:t>
            </w:r>
          </w:p>
        </w:tc>
        <w:tc>
          <w:tcPr>
            <w:tcW w:w="6319" w:type="dxa"/>
            <w:vAlign w:val="center"/>
          </w:tcPr>
          <w:p w14:paraId="278DC1C0" w14:textId="77777777" w:rsidR="005361AB" w:rsidRPr="00141B21" w:rsidRDefault="005361AB" w:rsidP="00D73F6A">
            <w:pPr>
              <w:jc w:val="center"/>
              <w:rPr>
                <w:rFonts w:cstheme="minorHAnsi"/>
              </w:rPr>
            </w:pPr>
            <w:r>
              <w:rPr>
                <w:rFonts w:cstheme="minorHAnsi"/>
              </w:rPr>
              <w:t>N/A</w:t>
            </w:r>
          </w:p>
        </w:tc>
      </w:tr>
      <w:tr w:rsidR="005361AB" w14:paraId="1E182E9B" w14:textId="77777777" w:rsidTr="005D541A">
        <w:trPr>
          <w:trHeight w:val="467"/>
          <w:jc w:val="center"/>
        </w:trPr>
        <w:tc>
          <w:tcPr>
            <w:tcW w:w="2766" w:type="dxa"/>
            <w:shd w:val="clear" w:color="auto" w:fill="D9D9D9" w:themeFill="background1" w:themeFillShade="D9"/>
          </w:tcPr>
          <w:p w14:paraId="56FFB411" w14:textId="67161C38" w:rsidR="005361AB" w:rsidRDefault="005361AB" w:rsidP="00D73F6A">
            <w:pPr>
              <w:spacing w:before="120" w:after="120"/>
              <w:rPr>
                <w:rFonts w:cs="Arial"/>
                <w:b/>
              </w:rPr>
            </w:pPr>
            <w:r>
              <w:rPr>
                <w:rFonts w:cs="Arial"/>
                <w:b/>
              </w:rPr>
              <w:t xml:space="preserve">9D </w:t>
            </w:r>
            <w:r>
              <w:rPr>
                <w:rFonts w:cs="Arial"/>
              </w:rPr>
              <w:t>Safety of Procedures</w:t>
            </w:r>
          </w:p>
        </w:tc>
        <w:tc>
          <w:tcPr>
            <w:tcW w:w="6319" w:type="dxa"/>
            <w:vAlign w:val="center"/>
          </w:tcPr>
          <w:p w14:paraId="2AABDBB3" w14:textId="77777777" w:rsidR="005361AB" w:rsidRDefault="005361AB" w:rsidP="00D73F6A">
            <w:pPr>
              <w:jc w:val="center"/>
              <w:rPr>
                <w:rFonts w:cs="Arial"/>
              </w:rPr>
            </w:pPr>
            <w:r>
              <w:rPr>
                <w:rFonts w:cs="Arial"/>
              </w:rPr>
              <w:t>N/A</w:t>
            </w:r>
          </w:p>
        </w:tc>
      </w:tr>
      <w:tr w:rsidR="005361AB" w:rsidRPr="00141B21" w14:paraId="53A2630C" w14:textId="77777777" w:rsidTr="00D73F6A">
        <w:trPr>
          <w:jc w:val="center"/>
        </w:trPr>
        <w:tc>
          <w:tcPr>
            <w:tcW w:w="2766" w:type="dxa"/>
            <w:shd w:val="clear" w:color="auto" w:fill="D9D9D9" w:themeFill="background1" w:themeFillShade="D9"/>
          </w:tcPr>
          <w:p w14:paraId="20C0BC37" w14:textId="77777777" w:rsidR="005361AB" w:rsidRPr="00853E29" w:rsidRDefault="005361AB" w:rsidP="00D73F6A">
            <w:pPr>
              <w:spacing w:before="120" w:after="120"/>
              <w:rPr>
                <w:rFonts w:cs="Arial"/>
              </w:rPr>
            </w:pPr>
            <w:r>
              <w:rPr>
                <w:rFonts w:cs="Arial"/>
                <w:b/>
              </w:rPr>
              <w:t xml:space="preserve">9E </w:t>
            </w:r>
            <w:r>
              <w:rPr>
                <w:rFonts w:cs="Arial"/>
              </w:rPr>
              <w:t>Medication Safety for Outpatient Procedures</w:t>
            </w:r>
          </w:p>
        </w:tc>
        <w:tc>
          <w:tcPr>
            <w:tcW w:w="6319" w:type="dxa"/>
            <w:vAlign w:val="center"/>
          </w:tcPr>
          <w:p w14:paraId="1D013D89" w14:textId="77777777" w:rsidR="005361AB" w:rsidRPr="00141B21" w:rsidRDefault="005361AB" w:rsidP="00D73F6A">
            <w:pPr>
              <w:jc w:val="center"/>
              <w:rPr>
                <w:rFonts w:cs="Arial"/>
              </w:rPr>
            </w:pPr>
            <w:r>
              <w:rPr>
                <w:rFonts w:cstheme="minorHAnsi"/>
              </w:rPr>
              <w:t>N/A</w:t>
            </w:r>
          </w:p>
        </w:tc>
      </w:tr>
      <w:tr w:rsidR="005361AB" w:rsidRPr="00141B21" w14:paraId="35D26596" w14:textId="77777777" w:rsidTr="00D73F6A">
        <w:trPr>
          <w:trHeight w:val="539"/>
          <w:jc w:val="center"/>
        </w:trPr>
        <w:tc>
          <w:tcPr>
            <w:tcW w:w="2766" w:type="dxa"/>
            <w:shd w:val="clear" w:color="auto" w:fill="D9D9D9" w:themeFill="background1" w:themeFillShade="D9"/>
          </w:tcPr>
          <w:p w14:paraId="17BE98A1" w14:textId="56458AB3" w:rsidR="005361AB" w:rsidRPr="00853E29" w:rsidRDefault="005361AB" w:rsidP="00D73F6A">
            <w:pPr>
              <w:spacing w:before="120" w:after="120"/>
              <w:rPr>
                <w:rFonts w:cs="Arial"/>
              </w:rPr>
            </w:pPr>
            <w:r>
              <w:rPr>
                <w:rFonts w:cs="Arial"/>
                <w:b/>
              </w:rPr>
              <w:t xml:space="preserve">9F </w:t>
            </w:r>
            <w:r w:rsidR="00FA1DAC">
              <w:rPr>
                <w:rFonts w:cs="Arial"/>
              </w:rPr>
              <w:t>CMS Measures</w:t>
            </w:r>
          </w:p>
        </w:tc>
        <w:tc>
          <w:tcPr>
            <w:tcW w:w="6319" w:type="dxa"/>
            <w:vAlign w:val="center"/>
          </w:tcPr>
          <w:p w14:paraId="05F22718" w14:textId="77777777" w:rsidR="005361AB" w:rsidRPr="00141B21" w:rsidRDefault="005361AB" w:rsidP="00D73F6A">
            <w:pPr>
              <w:jc w:val="center"/>
              <w:rPr>
                <w:rFonts w:cs="Arial"/>
              </w:rPr>
            </w:pPr>
            <w:r>
              <w:rPr>
                <w:rFonts w:cstheme="minorHAnsi"/>
              </w:rPr>
              <w:t>N/A</w:t>
            </w:r>
          </w:p>
        </w:tc>
      </w:tr>
    </w:tbl>
    <w:p w14:paraId="5BEFA6A3" w14:textId="1E2A99EF" w:rsidR="00F61ED5" w:rsidRDefault="00134EBF" w:rsidP="00446D22">
      <w:pPr>
        <w:rPr>
          <w:rFonts w:cs="Arial"/>
          <w:snapToGrid w:val="0"/>
        </w:rPr>
      </w:pPr>
      <w:r w:rsidRPr="009A5185">
        <w:rPr>
          <w:rFonts w:cs="Arial"/>
          <w:snapToGrid w:val="0"/>
        </w:rPr>
        <w:br w:type="page"/>
      </w:r>
    </w:p>
    <w:p w14:paraId="7917FADA" w14:textId="77777777" w:rsidR="005361AB" w:rsidRDefault="005361AB" w:rsidP="00446D22">
      <w:pPr>
        <w:rPr>
          <w:rFonts w:cs="Arial"/>
          <w:snapToGrid w:val="0"/>
        </w:rPr>
      </w:pPr>
    </w:p>
    <w:p w14:paraId="15E5868E" w14:textId="77777777" w:rsidR="0004301B" w:rsidRDefault="0004301B" w:rsidP="00446D22">
      <w:pPr>
        <w:rPr>
          <w:rFonts w:cs="Arial"/>
          <w:snapToGrid w:val="0"/>
        </w:rPr>
      </w:pPr>
    </w:p>
    <w:p w14:paraId="4B1A7A0F" w14:textId="67CF470C" w:rsidR="0004301B" w:rsidRPr="009A5185" w:rsidRDefault="0004301B" w:rsidP="00446D22">
      <w:pPr>
        <w:rPr>
          <w:rFonts w:cs="Arial"/>
          <w:snapToGrid w:val="0"/>
        </w:rPr>
        <w:sectPr w:rsidR="0004301B" w:rsidRPr="009A5185" w:rsidSect="00062F69">
          <w:headerReference w:type="default" r:id="rId90"/>
          <w:endnotePr>
            <w:numFmt w:val="decimal"/>
          </w:endnotePr>
          <w:type w:val="continuous"/>
          <w:pgSz w:w="12240" w:h="15840"/>
          <w:pgMar w:top="1080" w:right="1440" w:bottom="1080" w:left="1440" w:header="720" w:footer="720" w:gutter="0"/>
          <w:cols w:space="720"/>
          <w:docGrid w:linePitch="272"/>
        </w:sectPr>
      </w:pPr>
    </w:p>
    <w:p w14:paraId="51C97733" w14:textId="77777777" w:rsidR="008733FC" w:rsidRPr="009A5185" w:rsidRDefault="008733FC" w:rsidP="00446D22">
      <w:pPr>
        <w:rPr>
          <w:rFonts w:cs="Arial"/>
          <w:b/>
          <w:snapToGrid w:val="0"/>
          <w:color w:val="A6A6A6" w:themeColor="background1" w:themeShade="A6"/>
          <w:sz w:val="40"/>
          <w:szCs w:val="40"/>
        </w:rPr>
        <w:sectPr w:rsidR="008733FC" w:rsidRPr="009A5185" w:rsidSect="00062F69">
          <w:headerReference w:type="default" r:id="rId91"/>
          <w:endnotePr>
            <w:numFmt w:val="decimal"/>
          </w:endnotePr>
          <w:type w:val="continuous"/>
          <w:pgSz w:w="12240" w:h="15840"/>
          <w:pgMar w:top="1080" w:right="1440" w:bottom="1080" w:left="1440" w:header="720" w:footer="720" w:gutter="0"/>
          <w:cols w:space="720"/>
          <w:docGrid w:linePitch="272"/>
        </w:sectPr>
      </w:pPr>
    </w:p>
    <w:p w14:paraId="38EED2FE" w14:textId="77777777" w:rsidR="008A32DF" w:rsidRPr="009A5185" w:rsidRDefault="007A7396" w:rsidP="00D32C75">
      <w:pPr>
        <w:pStyle w:val="SectionHeader"/>
      </w:pPr>
      <w:bookmarkStart w:id="56" w:name="_Toc225877658"/>
      <w:r w:rsidRPr="009A5185">
        <w:t>Page Intentionally Left Blank</w:t>
      </w:r>
      <w:bookmarkEnd w:id="56"/>
    </w:p>
    <w:p w14:paraId="3D213097" w14:textId="77777777" w:rsidR="007A7396" w:rsidRPr="009A5185" w:rsidRDefault="007A7396">
      <w:pPr>
        <w:rPr>
          <w:rFonts w:cs="Arial"/>
          <w:b/>
          <w:snapToGrid w:val="0"/>
          <w:color w:val="A6A6A6" w:themeColor="background1" w:themeShade="A6"/>
          <w:sz w:val="40"/>
          <w:szCs w:val="40"/>
        </w:rPr>
      </w:pPr>
      <w:r w:rsidRPr="009A5185">
        <w:rPr>
          <w:rFonts w:cs="Arial"/>
          <w:b/>
          <w:snapToGrid w:val="0"/>
          <w:color w:val="A6A6A6" w:themeColor="background1" w:themeShade="A6"/>
          <w:sz w:val="40"/>
          <w:szCs w:val="40"/>
        </w:rPr>
        <w:br w:type="page"/>
      </w:r>
    </w:p>
    <w:p w14:paraId="3D51F449" w14:textId="77777777" w:rsidR="00D640EB" w:rsidRPr="009A5185" w:rsidRDefault="00D640EB" w:rsidP="007A7396">
      <w:pPr>
        <w:jc w:val="center"/>
        <w:rPr>
          <w:rFonts w:cs="Arial"/>
          <w:b/>
          <w:snapToGrid w:val="0"/>
          <w:color w:val="A6A6A6" w:themeColor="background1" w:themeShade="A6"/>
          <w:sz w:val="40"/>
          <w:szCs w:val="40"/>
        </w:rPr>
        <w:sectPr w:rsidR="00D640EB" w:rsidRPr="009A5185" w:rsidSect="00062F69">
          <w:headerReference w:type="default" r:id="rId92"/>
          <w:endnotePr>
            <w:numFmt w:val="decimal"/>
          </w:endnotePr>
          <w:type w:val="continuous"/>
          <w:pgSz w:w="12240" w:h="15840"/>
          <w:pgMar w:top="1080" w:right="1440" w:bottom="1080" w:left="1440" w:header="720" w:footer="720" w:gutter="0"/>
          <w:cols w:space="720"/>
          <w:docGrid w:linePitch="272"/>
        </w:sectPr>
      </w:pPr>
    </w:p>
    <w:p w14:paraId="0C156FC9" w14:textId="77777777" w:rsidR="007A7396" w:rsidRPr="009A5185" w:rsidRDefault="007A7396" w:rsidP="007D0C84">
      <w:pPr>
        <w:rPr>
          <w:snapToGrid w:val="0"/>
        </w:rPr>
      </w:pPr>
    </w:p>
    <w:p w14:paraId="7436C4B1" w14:textId="77777777" w:rsidR="008A32DF" w:rsidRDefault="008A32DF" w:rsidP="007D0C84"/>
    <w:p w14:paraId="78860600" w14:textId="77777777" w:rsidR="00B43F10" w:rsidRDefault="00B43F10" w:rsidP="007D0C84"/>
    <w:p w14:paraId="68C1664B" w14:textId="77777777" w:rsidR="00B43F10" w:rsidRDefault="00B43F10" w:rsidP="007D0C84"/>
    <w:p w14:paraId="19CE6345" w14:textId="77777777" w:rsidR="00B43F10" w:rsidRDefault="00B43F10" w:rsidP="007D0C84"/>
    <w:p w14:paraId="5E32F6C0" w14:textId="77777777" w:rsidR="00B43F10" w:rsidRDefault="00B43F10" w:rsidP="007D0C84"/>
    <w:p w14:paraId="4A5FEEC8" w14:textId="77777777" w:rsidR="00B43F10" w:rsidRDefault="00B43F10" w:rsidP="007D0C84"/>
    <w:p w14:paraId="1DD98DB5" w14:textId="77777777" w:rsidR="00B43F10" w:rsidRDefault="00B43F10" w:rsidP="007D0C84"/>
    <w:p w14:paraId="26CA0B6E" w14:textId="77777777" w:rsidR="00B43F10" w:rsidRDefault="00B43F10" w:rsidP="007D0C84"/>
    <w:p w14:paraId="1DE64B30" w14:textId="77777777" w:rsidR="00B43F10" w:rsidRDefault="00B43F10" w:rsidP="007D0C84"/>
    <w:p w14:paraId="5D6B2BE6" w14:textId="77777777" w:rsidR="00B43F10" w:rsidRPr="009A5185" w:rsidRDefault="00B43F10" w:rsidP="007D0C84"/>
    <w:p w14:paraId="7424B1CF" w14:textId="77777777" w:rsidR="008A32DF" w:rsidRPr="009A5185" w:rsidRDefault="008A32DF" w:rsidP="007D0C84"/>
    <w:p w14:paraId="3EC6479D" w14:textId="77777777" w:rsidR="008A32DF" w:rsidRPr="009A5185" w:rsidRDefault="008A32DF" w:rsidP="007D0C84"/>
    <w:p w14:paraId="0DCE38AE" w14:textId="0C870A71" w:rsidR="00F750C5" w:rsidRDefault="00F750C5" w:rsidP="00F750C5"/>
    <w:p w14:paraId="33A85829" w14:textId="26B4D93A" w:rsidR="00F750C5" w:rsidRDefault="00F750C5" w:rsidP="00F750C5"/>
    <w:p w14:paraId="02FE4491" w14:textId="5210833C" w:rsidR="00F750C5" w:rsidRDefault="00F750C5" w:rsidP="00F750C5"/>
    <w:p w14:paraId="5E8788EF" w14:textId="407AF5FD" w:rsidR="00F750C5" w:rsidRDefault="00F750C5" w:rsidP="00F750C5"/>
    <w:p w14:paraId="483BCB58" w14:textId="77777777" w:rsidR="00F750C5" w:rsidRPr="009A5185" w:rsidRDefault="00F750C5" w:rsidP="007D0C84"/>
    <w:p w14:paraId="00A19A5D" w14:textId="77777777" w:rsidR="00B441E9" w:rsidRPr="009A5185" w:rsidRDefault="00662780" w:rsidP="00D32C75">
      <w:pPr>
        <w:pStyle w:val="SectionHeader"/>
      </w:pPr>
      <w:bookmarkStart w:id="57" w:name="_Toc225877659"/>
      <w:bookmarkStart w:id="58" w:name="Profile"/>
      <w:r>
        <w:t xml:space="preserve">HOSPITAL </w:t>
      </w:r>
      <w:r w:rsidR="00B441E9" w:rsidRPr="009A5185">
        <w:t>PROFILE</w:t>
      </w:r>
      <w:bookmarkEnd w:id="57"/>
    </w:p>
    <w:bookmarkEnd w:id="58"/>
    <w:p w14:paraId="52AB9C4E" w14:textId="77777777" w:rsidR="006A6287" w:rsidRPr="009A5185" w:rsidRDefault="006A6287" w:rsidP="007D0C84"/>
    <w:p w14:paraId="1C9830DC" w14:textId="77777777" w:rsidR="006A6287" w:rsidRPr="009A5185" w:rsidRDefault="006A6287" w:rsidP="006A6287">
      <w:pPr>
        <w:rPr>
          <w:rFonts w:cs="Arial"/>
        </w:rPr>
      </w:pPr>
    </w:p>
    <w:p w14:paraId="159722AB" w14:textId="6AD08FB2" w:rsidR="006A6287" w:rsidRPr="009A5185" w:rsidRDefault="00E26FA1" w:rsidP="00FA0352">
      <w:pPr>
        <w:rPr>
          <w:rFonts w:cs="Arial"/>
        </w:rPr>
      </w:pPr>
      <w:r w:rsidRPr="009A5185">
        <w:rPr>
          <w:rFonts w:cs="Arial"/>
        </w:rPr>
        <w:t xml:space="preserve">Hospitals must complete </w:t>
      </w:r>
      <w:r w:rsidR="00783C51" w:rsidRPr="009A5185">
        <w:rPr>
          <w:rFonts w:cs="Arial"/>
        </w:rPr>
        <w:t xml:space="preserve">and </w:t>
      </w:r>
      <w:r w:rsidR="00CC078E" w:rsidRPr="009A5185">
        <w:rPr>
          <w:rFonts w:cs="Arial"/>
        </w:rPr>
        <w:t xml:space="preserve">submit </w:t>
      </w:r>
      <w:r w:rsidR="00D66EDA" w:rsidRPr="009A5185">
        <w:rPr>
          <w:rFonts w:cs="Arial"/>
        </w:rPr>
        <w:t xml:space="preserve">a </w:t>
      </w:r>
      <w:r w:rsidR="00E2077F">
        <w:rPr>
          <w:rFonts w:cs="Arial"/>
        </w:rPr>
        <w:t xml:space="preserve">Hospital </w:t>
      </w:r>
      <w:r w:rsidR="00D66EDA" w:rsidRPr="009A5185">
        <w:rPr>
          <w:rFonts w:cs="Arial"/>
        </w:rPr>
        <w:t xml:space="preserve">Profile </w:t>
      </w:r>
      <w:r w:rsidR="00836A2B">
        <w:rPr>
          <w:rFonts w:cs="Arial"/>
        </w:rPr>
        <w:t>via the Online Hospital Survey Tool</w:t>
      </w:r>
      <w:r w:rsidR="00D66EDA" w:rsidRPr="009A5185">
        <w:rPr>
          <w:rFonts w:cs="Arial"/>
        </w:rPr>
        <w:t xml:space="preserve"> </w:t>
      </w:r>
      <w:r w:rsidR="00836A2B">
        <w:rPr>
          <w:rFonts w:cs="Arial"/>
        </w:rPr>
        <w:t xml:space="preserve">before accessing </w:t>
      </w:r>
      <w:r w:rsidR="00D66EDA" w:rsidRPr="009A5185">
        <w:rPr>
          <w:rFonts w:cs="Arial"/>
        </w:rPr>
        <w:t xml:space="preserve">the </w:t>
      </w:r>
      <w:r w:rsidR="00534C84">
        <w:rPr>
          <w:rFonts w:cs="Arial"/>
        </w:rPr>
        <w:t>Hospital Survey Dashboard</w:t>
      </w:r>
      <w:r w:rsidR="00A0306D">
        <w:rPr>
          <w:rFonts w:cs="Arial"/>
        </w:rPr>
        <w:t xml:space="preserve"> for</w:t>
      </w:r>
      <w:r w:rsidRPr="009A5185">
        <w:rPr>
          <w:rFonts w:cs="Arial"/>
        </w:rPr>
        <w:t xml:space="preserve"> the first time</w:t>
      </w:r>
      <w:r w:rsidR="00E56C09" w:rsidRPr="009A5185">
        <w:rPr>
          <w:rFonts w:cs="Arial"/>
        </w:rPr>
        <w:t xml:space="preserve">. The Profile is available </w:t>
      </w:r>
      <w:r w:rsidR="006730FE" w:rsidRPr="009A5185">
        <w:rPr>
          <w:rFonts w:cs="Arial"/>
        </w:rPr>
        <w:t>year-round</w:t>
      </w:r>
      <w:r w:rsidRPr="009A5185">
        <w:rPr>
          <w:rFonts w:cs="Arial"/>
        </w:rPr>
        <w:t xml:space="preserve"> and should be </w:t>
      </w:r>
      <w:r w:rsidR="00B93E94" w:rsidRPr="009A5185">
        <w:rPr>
          <w:rFonts w:cs="Arial"/>
        </w:rPr>
        <w:t>updated</w:t>
      </w:r>
      <w:r w:rsidR="00836A2B">
        <w:rPr>
          <w:rFonts w:cs="Arial"/>
        </w:rPr>
        <w:t xml:space="preserve"> </w:t>
      </w:r>
      <w:r w:rsidRPr="009A5185">
        <w:rPr>
          <w:rFonts w:cs="Arial"/>
        </w:rPr>
        <w:t>as ne</w:t>
      </w:r>
      <w:r w:rsidR="00836A2B">
        <w:rPr>
          <w:rFonts w:cs="Arial"/>
        </w:rPr>
        <w:t>eded</w:t>
      </w:r>
      <w:r w:rsidRPr="009A5185">
        <w:rPr>
          <w:rFonts w:cs="Arial"/>
        </w:rPr>
        <w:t>.</w:t>
      </w:r>
    </w:p>
    <w:p w14:paraId="6219BD2E" w14:textId="6E010566" w:rsidR="007C3262" w:rsidRPr="009A5185" w:rsidRDefault="002D5331" w:rsidP="00B441E9">
      <w:pPr>
        <w:rPr>
          <w:rFonts w:cs="Arial"/>
          <w:b/>
          <w:sz w:val="40"/>
          <w:szCs w:val="40"/>
        </w:rPr>
      </w:pPr>
      <w:r w:rsidRPr="009A5185">
        <w:rPr>
          <w:rFonts w:cs="Arial"/>
          <w:b/>
          <w:sz w:val="40"/>
          <w:szCs w:val="40"/>
        </w:rPr>
        <w:br w:type="page"/>
      </w:r>
    </w:p>
    <w:p w14:paraId="107B7D5B" w14:textId="21EB0A97" w:rsidR="008910AA" w:rsidRPr="009A5185" w:rsidRDefault="009B58A0" w:rsidP="00CF5A6E">
      <w:pPr>
        <w:pStyle w:val="Heading2"/>
      </w:pPr>
      <w:bookmarkStart w:id="59" w:name="_Toc225877660"/>
      <w:r>
        <w:lastRenderedPageBreak/>
        <w:t xml:space="preserve">Hospital </w:t>
      </w:r>
      <w:r w:rsidR="00950575" w:rsidRPr="009A5185">
        <w:t>P</w:t>
      </w:r>
      <w:r w:rsidR="007A2824" w:rsidRPr="009A5185">
        <w:t>rofile</w:t>
      </w:r>
      <w:bookmarkEnd w:id="59"/>
    </w:p>
    <w:p w14:paraId="6C84D842" w14:textId="77777777" w:rsidR="008910AA" w:rsidRPr="009A5185" w:rsidRDefault="008910AA" w:rsidP="007D0C84">
      <w:bookmarkStart w:id="60" w:name="_Organization_Information"/>
      <w:bookmarkEnd w:id="60"/>
    </w:p>
    <w:p w14:paraId="22C8795E" w14:textId="03C68DE3" w:rsidR="00EA1769" w:rsidRDefault="00DD2598">
      <w:pPr>
        <w:rPr>
          <w:rFonts w:cs="Arial"/>
          <w:snapToGrid w:val="0"/>
          <w:color w:val="000000" w:themeColor="text1"/>
        </w:rPr>
      </w:pPr>
      <w:r w:rsidRPr="009A5185">
        <w:rPr>
          <w:rFonts w:cs="Arial"/>
          <w:snapToGrid w:val="0"/>
          <w:color w:val="000000" w:themeColor="text1"/>
        </w:rPr>
        <w:t xml:space="preserve">The </w:t>
      </w:r>
      <w:r>
        <w:rPr>
          <w:rFonts w:cs="Arial"/>
          <w:snapToGrid w:val="0"/>
          <w:color w:val="000000" w:themeColor="text1"/>
        </w:rPr>
        <w:t>Hospital P</w:t>
      </w:r>
      <w:r w:rsidRPr="009A5185">
        <w:rPr>
          <w:rFonts w:cs="Arial"/>
          <w:snapToGrid w:val="0"/>
          <w:color w:val="000000" w:themeColor="text1"/>
        </w:rPr>
        <w:t xml:space="preserve">rofile includes questions about demographic and contact information. The </w:t>
      </w:r>
      <w:r w:rsidR="005F7855">
        <w:rPr>
          <w:rFonts w:cs="Arial"/>
          <w:snapToGrid w:val="0"/>
          <w:color w:val="000000" w:themeColor="text1"/>
        </w:rPr>
        <w:t>Profile</w:t>
      </w:r>
      <w:r w:rsidRPr="009A5185">
        <w:rPr>
          <w:rFonts w:cs="Arial"/>
          <w:snapToGrid w:val="0"/>
          <w:color w:val="000000" w:themeColor="text1"/>
        </w:rPr>
        <w:t xml:space="preserve"> can be accessed and updated anytime throughout the year </w:t>
      </w:r>
      <w:r w:rsidR="001B3564">
        <w:rPr>
          <w:rFonts w:cs="Arial"/>
          <w:snapToGrid w:val="0"/>
          <w:color w:val="000000" w:themeColor="text1"/>
        </w:rPr>
        <w:t>after</w:t>
      </w:r>
      <w:r w:rsidRPr="009A5185">
        <w:rPr>
          <w:rFonts w:cs="Arial"/>
          <w:snapToGrid w:val="0"/>
          <w:color w:val="000000" w:themeColor="text1"/>
        </w:rPr>
        <w:t xml:space="preserve"> logging into the </w:t>
      </w:r>
      <w:hyperlink r:id="rId93" w:history="1">
        <w:r w:rsidR="001B3564">
          <w:rPr>
            <w:rStyle w:val="Hyperlink"/>
            <w:rFonts w:cs="Arial"/>
            <w:snapToGrid w:val="0"/>
          </w:rPr>
          <w:t>Online Hospital Survey Tool</w:t>
        </w:r>
      </w:hyperlink>
      <w:r w:rsidR="001B3564">
        <w:rPr>
          <w:rFonts w:cs="Arial"/>
          <w:snapToGrid w:val="0"/>
          <w:color w:val="000000" w:themeColor="text1"/>
        </w:rPr>
        <w:t>.</w:t>
      </w:r>
    </w:p>
    <w:p w14:paraId="5F2A097E" w14:textId="77777777" w:rsidR="00DD2598" w:rsidRPr="009A5185" w:rsidRDefault="00DD2598">
      <w:pPr>
        <w:rPr>
          <w:rFonts w:cs="Arial"/>
        </w:rPr>
      </w:pPr>
    </w:p>
    <w:p w14:paraId="34B26431" w14:textId="50D99BF8" w:rsidR="00FB04B0" w:rsidRPr="009A5185" w:rsidRDefault="00950575">
      <w:pPr>
        <w:rPr>
          <w:rFonts w:cs="Arial"/>
        </w:rPr>
      </w:pPr>
      <w:r w:rsidRPr="009A5185">
        <w:rPr>
          <w:rFonts w:cs="Arial"/>
        </w:rPr>
        <w:t xml:space="preserve">The </w:t>
      </w:r>
      <w:r w:rsidR="00E2077F">
        <w:rPr>
          <w:rFonts w:cs="Arial"/>
        </w:rPr>
        <w:t xml:space="preserve">Hospital </w:t>
      </w:r>
      <w:r w:rsidRPr="009A5185">
        <w:rPr>
          <w:rFonts w:cs="Arial"/>
        </w:rPr>
        <w:t xml:space="preserve">Profile must be completed and </w:t>
      </w:r>
      <w:r w:rsidR="009F731C" w:rsidRPr="009A5185">
        <w:rPr>
          <w:rFonts w:cs="Arial"/>
        </w:rPr>
        <w:t xml:space="preserve">submitted </w:t>
      </w:r>
      <w:r w:rsidRPr="009A5185">
        <w:rPr>
          <w:rFonts w:cs="Arial"/>
        </w:rPr>
        <w:t xml:space="preserve">before you can access </w:t>
      </w:r>
      <w:r w:rsidR="004B22C6">
        <w:rPr>
          <w:rFonts w:cs="Arial"/>
        </w:rPr>
        <w:t>Sections 1-</w:t>
      </w:r>
      <w:r w:rsidR="005F7855">
        <w:rPr>
          <w:rFonts w:cs="Arial"/>
        </w:rPr>
        <w:t>9</w:t>
      </w:r>
      <w:r w:rsidR="004B22C6">
        <w:rPr>
          <w:rFonts w:cs="Arial"/>
        </w:rPr>
        <w:t xml:space="preserve"> </w:t>
      </w:r>
      <w:r w:rsidR="00193375">
        <w:rPr>
          <w:rFonts w:cs="Arial"/>
        </w:rPr>
        <w:t xml:space="preserve">and the CPOE Evaluation Tool </w:t>
      </w:r>
      <w:r w:rsidR="004E4096">
        <w:rPr>
          <w:rFonts w:cs="Arial"/>
        </w:rPr>
        <w:t>on the Survey Dashboard.</w:t>
      </w:r>
    </w:p>
    <w:p w14:paraId="77040ACC" w14:textId="1ACADC7A" w:rsidR="00DD2598" w:rsidRPr="009A5185" w:rsidRDefault="00FB04B0">
      <w:pPr>
        <w:rPr>
          <w:rFonts w:cs="Arial"/>
        </w:rPr>
      </w:pPr>
      <w:r w:rsidRPr="009A5185">
        <w:rPr>
          <w:rFonts w:cs="Arial"/>
        </w:rPr>
        <w:br w:type="page"/>
      </w:r>
    </w:p>
    <w:p w14:paraId="44840B05" w14:textId="416F23F7" w:rsidR="00DA56A9" w:rsidRDefault="000C2C54" w:rsidP="00CF5A6E">
      <w:pPr>
        <w:pStyle w:val="Heading2"/>
      </w:pPr>
      <w:bookmarkStart w:id="61" w:name="_Hospital_Profile"/>
      <w:bookmarkStart w:id="62" w:name="_Toc225877661"/>
      <w:bookmarkEnd w:id="61"/>
      <w:r>
        <w:lastRenderedPageBreak/>
        <w:t xml:space="preserve">Hospital </w:t>
      </w:r>
      <w:r w:rsidRPr="009A5185">
        <w:t>Profile</w:t>
      </w:r>
      <w:bookmarkEnd w:id="62"/>
    </w:p>
    <w:p w14:paraId="5FC39671" w14:textId="77777777" w:rsidR="000C2C54" w:rsidRPr="004D1420" w:rsidRDefault="000C2C54" w:rsidP="002A23C7"/>
    <w:p w14:paraId="18A78733" w14:textId="2A625E73" w:rsidR="008910AA" w:rsidRPr="009A5185" w:rsidRDefault="001B3383">
      <w:pPr>
        <w:rPr>
          <w:rFonts w:cs="Arial"/>
        </w:rPr>
      </w:pPr>
      <w:r w:rsidRPr="009A5185">
        <w:rPr>
          <w:rFonts w:cs="Arial"/>
          <w:snapToGrid w:val="0"/>
        </w:rPr>
        <w:t xml:space="preserve">Hospitals that share a </w:t>
      </w:r>
      <w:r w:rsidR="00522419">
        <w:rPr>
          <w:rFonts w:cs="Arial"/>
          <w:snapToGrid w:val="0"/>
        </w:rPr>
        <w:t>CMS Certification Number</w:t>
      </w:r>
      <w:r w:rsidRPr="009A5185">
        <w:rPr>
          <w:rFonts w:cs="Arial"/>
          <w:snapToGrid w:val="0"/>
        </w:rPr>
        <w:t xml:space="preserve"> are required to report by facility. Please carefully review </w:t>
      </w:r>
      <w:hyperlink r:id="rId94" w:history="1">
        <w:r w:rsidRPr="009A5185">
          <w:rPr>
            <w:rStyle w:val="Hyperlink"/>
            <w:rFonts w:cs="Arial"/>
            <w:snapToGrid w:val="0"/>
          </w:rPr>
          <w:t>Leapfrog’s Multi-Campus Reporting Policy</w:t>
        </w:r>
      </w:hyperlink>
      <w:r w:rsidRPr="009A5185">
        <w:rPr>
          <w:rFonts w:cs="Arial"/>
          <w:snapToGrid w:val="0"/>
        </w:rPr>
        <w:t>.</w:t>
      </w:r>
    </w:p>
    <w:p w14:paraId="6DFA74D5" w14:textId="77777777" w:rsidR="00432BEF" w:rsidRPr="004D1420" w:rsidRDefault="00432BEF" w:rsidP="002A23C7"/>
    <w:p w14:paraId="3C611042" w14:textId="77777777" w:rsidR="00033FB4" w:rsidRPr="009A5185" w:rsidRDefault="00671BE9">
      <w:pPr>
        <w:rPr>
          <w:rFonts w:cs="Arial"/>
          <w:color w:val="FF0000"/>
        </w:rPr>
      </w:pPr>
      <w:r w:rsidRPr="009A5185">
        <w:rPr>
          <w:rFonts w:cs="Arial"/>
          <w:b/>
          <w:color w:val="FF0000"/>
        </w:rPr>
        <w:t xml:space="preserve">Important </w:t>
      </w:r>
      <w:r w:rsidR="0046544E" w:rsidRPr="009A5185">
        <w:rPr>
          <w:rFonts w:cs="Arial"/>
          <w:b/>
          <w:color w:val="FF0000"/>
        </w:rPr>
        <w:t>Note</w:t>
      </w:r>
      <w:r w:rsidR="00033FB4" w:rsidRPr="009A5185">
        <w:rPr>
          <w:rFonts w:cs="Arial"/>
          <w:b/>
          <w:color w:val="FF0000"/>
        </w:rPr>
        <w:t>s</w:t>
      </w:r>
      <w:r w:rsidR="0046544E" w:rsidRPr="009A5185">
        <w:rPr>
          <w:rFonts w:cs="Arial"/>
          <w:b/>
          <w:color w:val="FF0000"/>
        </w:rPr>
        <w:t>:</w:t>
      </w:r>
      <w:r w:rsidR="0046544E" w:rsidRPr="009A5185">
        <w:rPr>
          <w:rFonts w:cs="Arial"/>
          <w:color w:val="FF0000"/>
        </w:rPr>
        <w:t xml:space="preserve"> </w:t>
      </w:r>
    </w:p>
    <w:p w14:paraId="72B977A2" w14:textId="77777777" w:rsidR="00033FB4" w:rsidRPr="004D1420" w:rsidRDefault="00033FB4" w:rsidP="002A23C7"/>
    <w:p w14:paraId="502F82E1" w14:textId="52A96407" w:rsidR="0046544E" w:rsidRPr="009A5185" w:rsidRDefault="00033FB4">
      <w:pPr>
        <w:rPr>
          <w:rFonts w:cs="Arial"/>
        </w:rPr>
      </w:pPr>
      <w:r w:rsidRPr="009A5185">
        <w:rPr>
          <w:rFonts w:cs="Arial"/>
        </w:rPr>
        <w:t xml:space="preserve">Note 1: </w:t>
      </w:r>
      <w:r w:rsidR="00DF647F" w:rsidRPr="009A5185">
        <w:rPr>
          <w:rFonts w:cs="Arial"/>
        </w:rPr>
        <w:t xml:space="preserve">Leapfrog </w:t>
      </w:r>
      <w:r w:rsidR="005E0B5C" w:rsidRPr="009A5185">
        <w:rPr>
          <w:rFonts w:cs="Arial"/>
        </w:rPr>
        <w:t>uses an</w:t>
      </w:r>
      <w:r w:rsidR="00DF647F" w:rsidRPr="009A5185">
        <w:rPr>
          <w:rFonts w:cs="Arial"/>
        </w:rPr>
        <w:t xml:space="preserve"> administration system that links contacts shared by hospitals</w:t>
      </w:r>
      <w:r w:rsidR="00C14AFF" w:rsidRPr="009A5185">
        <w:rPr>
          <w:rFonts w:cs="Arial"/>
        </w:rPr>
        <w:t xml:space="preserve"> (</w:t>
      </w:r>
      <w:r w:rsidR="000A554A" w:rsidRPr="009A5185">
        <w:rPr>
          <w:rFonts w:cs="Arial"/>
        </w:rPr>
        <w:t>i.e.,</w:t>
      </w:r>
      <w:r w:rsidR="00C14AFF" w:rsidRPr="009A5185">
        <w:rPr>
          <w:rFonts w:cs="Arial"/>
        </w:rPr>
        <w:t xml:space="preserve"> CEOs, Survey Contacts, System C</w:t>
      </w:r>
      <w:r w:rsidR="00DF794C" w:rsidRPr="009A5185">
        <w:rPr>
          <w:rFonts w:cs="Arial"/>
        </w:rPr>
        <w:t>ontacts, and P</w:t>
      </w:r>
      <w:r w:rsidR="00C14AFF" w:rsidRPr="009A5185">
        <w:rPr>
          <w:rFonts w:cs="Arial"/>
        </w:rPr>
        <w:t xml:space="preserve">ublic </w:t>
      </w:r>
      <w:r w:rsidR="00DF794C" w:rsidRPr="009A5185">
        <w:rPr>
          <w:rFonts w:cs="Arial"/>
        </w:rPr>
        <w:t>R</w:t>
      </w:r>
      <w:r w:rsidR="00C14AFF" w:rsidRPr="009A5185">
        <w:rPr>
          <w:rFonts w:cs="Arial"/>
        </w:rPr>
        <w:t>elations C</w:t>
      </w:r>
      <w:r w:rsidR="00DF794C" w:rsidRPr="009A5185">
        <w:rPr>
          <w:rFonts w:cs="Arial"/>
        </w:rPr>
        <w:t xml:space="preserve">ontacts). </w:t>
      </w:r>
      <w:r w:rsidR="00DF647F" w:rsidRPr="009A5185">
        <w:rPr>
          <w:rFonts w:cs="Arial"/>
        </w:rPr>
        <w:t>Only one phone numbe</w:t>
      </w:r>
      <w:r w:rsidR="00DF794C" w:rsidRPr="009A5185">
        <w:rPr>
          <w:rFonts w:cs="Arial"/>
        </w:rPr>
        <w:t>r and email address will be maintained</w:t>
      </w:r>
      <w:r w:rsidR="00DF647F" w:rsidRPr="009A5185">
        <w:rPr>
          <w:rFonts w:cs="Arial"/>
        </w:rPr>
        <w:t xml:space="preserve"> for each contact, meaning that if this </w:t>
      </w:r>
      <w:r w:rsidR="00DF794C" w:rsidRPr="009A5185">
        <w:rPr>
          <w:rFonts w:cs="Arial"/>
        </w:rPr>
        <w:t xml:space="preserve">shared </w:t>
      </w:r>
      <w:r w:rsidR="00DF647F" w:rsidRPr="009A5185">
        <w:rPr>
          <w:rFonts w:cs="Arial"/>
        </w:rPr>
        <w:t>contact</w:t>
      </w:r>
      <w:r w:rsidR="00DF794C" w:rsidRPr="009A5185">
        <w:rPr>
          <w:rFonts w:cs="Arial"/>
        </w:rPr>
        <w:t>’s</w:t>
      </w:r>
      <w:r w:rsidR="00DF647F" w:rsidRPr="009A5185">
        <w:rPr>
          <w:rFonts w:cs="Arial"/>
        </w:rPr>
        <w:t xml:space="preserve"> information is updated in one hospital’s Profile, it will be updated for all hospitals associated with the contact.</w:t>
      </w:r>
    </w:p>
    <w:p w14:paraId="49BCC37C" w14:textId="77777777" w:rsidR="00033FB4" w:rsidRPr="004D1420" w:rsidRDefault="00033FB4">
      <w:pPr>
        <w:rPr>
          <w:rFonts w:cs="Arial"/>
        </w:rPr>
      </w:pPr>
    </w:p>
    <w:p w14:paraId="69A44C67" w14:textId="23F591AB" w:rsidR="00033FB4" w:rsidRPr="009A5185" w:rsidRDefault="00B74EEF">
      <w:pPr>
        <w:rPr>
          <w:rFonts w:cs="Arial"/>
        </w:rPr>
      </w:pPr>
      <w:r>
        <w:rPr>
          <w:rFonts w:cs="Arial"/>
        </w:rPr>
        <w:t xml:space="preserve">Note 2: </w:t>
      </w:r>
      <w:r w:rsidR="00106D80" w:rsidRPr="00106D80">
        <w:rPr>
          <w:rFonts w:cs="Arial"/>
        </w:rPr>
        <w:t xml:space="preserve">Following </w:t>
      </w:r>
      <w:hyperlink r:id="rId95" w:history="1">
        <w:r w:rsidR="00106D80" w:rsidRPr="00106D80">
          <w:rPr>
            <w:rStyle w:val="Hyperlink"/>
            <w:rFonts w:cs="Arial"/>
          </w:rPr>
          <w:t>Leapfrog’s Extensive Monthly Data Verification</w:t>
        </w:r>
      </w:hyperlink>
      <w:r w:rsidR="00106D80" w:rsidRPr="00106D80">
        <w:rPr>
          <w:rFonts w:cs="Arial"/>
        </w:rPr>
        <w:t>, the Primary Survey Contact, Secondary Survey Contact, and System Survey Contact will receive an email from the Help Desk detailing potential reporting errors.</w:t>
      </w:r>
    </w:p>
    <w:p w14:paraId="5F13FBE2" w14:textId="77777777" w:rsidR="0046544E" w:rsidRPr="004D1420" w:rsidRDefault="0046544E">
      <w:pPr>
        <w:rPr>
          <w:rFonts w:cs="Arial"/>
        </w:rPr>
      </w:pPr>
    </w:p>
    <w:p w14:paraId="1CB2FF98" w14:textId="46FFA5EE" w:rsidR="00950575" w:rsidRDefault="00C84CCE" w:rsidP="00AB5B80">
      <w:pPr>
        <w:pStyle w:val="Heading3"/>
      </w:pPr>
      <w:bookmarkStart w:id="63" w:name="_Toc225877662"/>
      <w:r>
        <w:t>Hospital</w:t>
      </w:r>
      <w:r w:rsidRPr="00BB1339">
        <w:t xml:space="preserve"> </w:t>
      </w:r>
      <w:r w:rsidR="00BB1F3E" w:rsidRPr="00BB1339">
        <w:t>Information</w:t>
      </w:r>
      <w:bookmarkEnd w:id="63"/>
    </w:p>
    <w:p w14:paraId="0534BE6E" w14:textId="77777777" w:rsidR="00F9246C" w:rsidRPr="004D1420" w:rsidRDefault="00F9246C" w:rsidP="00F9246C">
      <w:pPr>
        <w:rPr>
          <w:lang w:eastAsia="ja-JP"/>
        </w:rPr>
      </w:pPr>
    </w:p>
    <w:tbl>
      <w:tblPr>
        <w:tblStyle w:val="TableGrid"/>
        <w:tblW w:w="0" w:type="auto"/>
        <w:jc w:val="center"/>
        <w:tblLook w:val="04A0" w:firstRow="1" w:lastRow="0" w:firstColumn="1" w:lastColumn="0" w:noHBand="0" w:noVBand="1"/>
      </w:tblPr>
      <w:tblGrid>
        <w:gridCol w:w="4674"/>
        <w:gridCol w:w="4676"/>
      </w:tblGrid>
      <w:tr w:rsidR="00BB1F3E" w:rsidRPr="006E26E4" w14:paraId="04CEBA57" w14:textId="77777777" w:rsidTr="00403A54">
        <w:trPr>
          <w:jc w:val="center"/>
        </w:trPr>
        <w:tc>
          <w:tcPr>
            <w:tcW w:w="4674" w:type="dxa"/>
            <w:shd w:val="clear" w:color="auto" w:fill="D9D9D9" w:themeFill="background1" w:themeFillShade="D9"/>
          </w:tcPr>
          <w:p w14:paraId="2D993C36" w14:textId="77777777" w:rsidR="00BB1F3E" w:rsidRPr="00FA46D8" w:rsidRDefault="00BB1F3E" w:rsidP="00E50A07">
            <w:pPr>
              <w:spacing w:before="40"/>
              <w:rPr>
                <w:rFonts w:cs="Arial"/>
                <w:b/>
                <w:lang w:eastAsia="ja-JP"/>
              </w:rPr>
            </w:pPr>
            <w:r w:rsidRPr="00FA46D8">
              <w:rPr>
                <w:rFonts w:cs="Arial"/>
                <w:b/>
                <w:lang w:eastAsia="ja-JP"/>
              </w:rPr>
              <w:t>Organization Name</w:t>
            </w:r>
          </w:p>
          <w:p w14:paraId="2E18E320" w14:textId="7F03D3C1" w:rsidR="009752AC" w:rsidRPr="00FA46D8" w:rsidRDefault="009752AC" w:rsidP="00E50A07">
            <w:pPr>
              <w:spacing w:before="40"/>
              <w:rPr>
                <w:rFonts w:cs="Arial"/>
                <w:bCs/>
                <w:lang w:eastAsia="ja-JP"/>
              </w:rPr>
            </w:pPr>
            <w:r w:rsidRPr="00FA46D8">
              <w:rPr>
                <w:rFonts w:cs="Arial"/>
                <w:bCs/>
                <w:lang w:eastAsia="ja-JP"/>
              </w:rPr>
              <w:t xml:space="preserve">This is the name that will appear on Leapfrog’s public reporting website. </w:t>
            </w:r>
          </w:p>
        </w:tc>
        <w:tc>
          <w:tcPr>
            <w:tcW w:w="4676" w:type="dxa"/>
            <w:shd w:val="clear" w:color="auto" w:fill="D9D9D9" w:themeFill="background1" w:themeFillShade="D9"/>
          </w:tcPr>
          <w:p w14:paraId="0BCE1905" w14:textId="72E93972" w:rsidR="00BB1F3E" w:rsidRPr="00FA46D8" w:rsidRDefault="008321FE" w:rsidP="00E50A07">
            <w:pPr>
              <w:spacing w:before="40"/>
              <w:rPr>
                <w:rFonts w:cs="Arial"/>
                <w:b/>
                <w:lang w:eastAsia="ja-JP"/>
              </w:rPr>
            </w:pPr>
            <w:hyperlink w:anchor="Endnote1_CCN" w:history="1">
              <w:r w:rsidRPr="00FA46D8">
                <w:rPr>
                  <w:rStyle w:val="Hyperlink"/>
                  <w:rFonts w:cs="Arial"/>
                  <w:b/>
                  <w:lang w:eastAsia="ja-JP"/>
                </w:rPr>
                <w:t>CMS Certification Number (CCN)</w:t>
              </w:r>
            </w:hyperlink>
            <w:r w:rsidR="00BF053F">
              <w:rPr>
                <w:rFonts w:ascii="ZWAdobeF" w:hAnsi="ZWAdobeF" w:cs="ZWAdobeF"/>
                <w:sz w:val="2"/>
                <w:szCs w:val="2"/>
              </w:rPr>
              <w:t>1F</w:t>
            </w:r>
            <w:r w:rsidR="004C7557">
              <w:rPr>
                <w:rFonts w:ascii="ZWAdobeF" w:hAnsi="ZWAdobeF" w:cs="ZWAdobeF"/>
                <w:sz w:val="2"/>
                <w:szCs w:val="2"/>
              </w:rPr>
              <w:t>1F</w:t>
            </w:r>
            <w:r w:rsidR="00C2087D">
              <w:rPr>
                <w:rFonts w:ascii="ZWAdobeF" w:hAnsi="ZWAdobeF" w:cs="ZWAdobeF"/>
                <w:sz w:val="2"/>
                <w:szCs w:val="2"/>
              </w:rPr>
              <w:t>1F</w:t>
            </w:r>
            <w:r w:rsidR="00B55C41">
              <w:rPr>
                <w:rFonts w:ascii="ZWAdobeF" w:hAnsi="ZWAdobeF" w:cs="ZWAdobeF"/>
                <w:sz w:val="2"/>
                <w:szCs w:val="2"/>
              </w:rPr>
              <w:t>1F</w:t>
            </w:r>
            <w:r w:rsidR="006255A6">
              <w:rPr>
                <w:rFonts w:ascii="ZWAdobeF" w:hAnsi="ZWAdobeF" w:cs="ZWAdobeF"/>
                <w:sz w:val="2"/>
                <w:szCs w:val="2"/>
              </w:rPr>
              <w:t>1F</w:t>
            </w:r>
            <w:r w:rsidR="00E453C7">
              <w:rPr>
                <w:rFonts w:ascii="ZWAdobeF" w:hAnsi="ZWAdobeF" w:cs="ZWAdobeF"/>
                <w:sz w:val="2"/>
                <w:szCs w:val="2"/>
              </w:rPr>
              <w:t>1F</w:t>
            </w:r>
            <w:r w:rsidR="00953060">
              <w:rPr>
                <w:rFonts w:ascii="ZWAdobeF" w:hAnsi="ZWAdobeF" w:cs="ZWAdobeF"/>
                <w:sz w:val="2"/>
                <w:szCs w:val="2"/>
              </w:rPr>
              <w:t>1F</w:t>
            </w:r>
            <w:r w:rsidR="00DD04D6">
              <w:rPr>
                <w:rFonts w:ascii="ZWAdobeF" w:hAnsi="ZWAdobeF" w:cs="ZWAdobeF"/>
                <w:sz w:val="2"/>
                <w:szCs w:val="2"/>
              </w:rPr>
              <w:t>1F</w:t>
            </w:r>
            <w:r w:rsidR="000469EC" w:rsidRPr="00FA46D8">
              <w:rPr>
                <w:rStyle w:val="EndnoteReference"/>
                <w:rFonts w:cs="Arial"/>
                <w:b/>
                <w:lang w:eastAsia="ja-JP"/>
              </w:rPr>
              <w:endnoteReference w:id="3"/>
            </w:r>
          </w:p>
          <w:p w14:paraId="7CA298D9" w14:textId="31D891A2" w:rsidR="0018702E" w:rsidRPr="00FA46D8" w:rsidRDefault="0018702E" w:rsidP="00E50A07">
            <w:pPr>
              <w:spacing w:before="40"/>
              <w:rPr>
                <w:rFonts w:cs="Arial"/>
                <w:lang w:eastAsia="ja-JP"/>
              </w:rPr>
            </w:pPr>
            <w:r w:rsidRPr="00FA46D8">
              <w:rPr>
                <w:rFonts w:cs="Arial"/>
                <w:lang w:eastAsia="ja-JP"/>
              </w:rPr>
              <w:t xml:space="preserve">If the </w:t>
            </w:r>
            <w:r w:rsidR="008321FE" w:rsidRPr="00FA46D8">
              <w:rPr>
                <w:rFonts w:cs="Arial"/>
                <w:lang w:eastAsia="ja-JP"/>
              </w:rPr>
              <w:t>CCN</w:t>
            </w:r>
            <w:r w:rsidRPr="00FA46D8">
              <w:rPr>
                <w:rFonts w:cs="Arial"/>
                <w:lang w:eastAsia="ja-JP"/>
              </w:rPr>
              <w:t xml:space="preserve"> displayed in the </w:t>
            </w:r>
            <w:r w:rsidR="00C14AFF" w:rsidRPr="00FA46D8">
              <w:rPr>
                <w:rFonts w:cs="Arial"/>
                <w:lang w:eastAsia="ja-JP"/>
              </w:rPr>
              <w:t>Online</w:t>
            </w:r>
            <w:r w:rsidR="0030307C" w:rsidRPr="00FA46D8">
              <w:rPr>
                <w:rFonts w:cs="Arial"/>
                <w:lang w:eastAsia="ja-JP"/>
              </w:rPr>
              <w:t xml:space="preserve"> Hospital</w:t>
            </w:r>
            <w:r w:rsidR="00C14AFF" w:rsidRPr="00FA46D8">
              <w:rPr>
                <w:rFonts w:cs="Arial"/>
                <w:lang w:eastAsia="ja-JP"/>
              </w:rPr>
              <w:t xml:space="preserve"> Survey Tool</w:t>
            </w:r>
            <w:r w:rsidRPr="00FA46D8">
              <w:rPr>
                <w:rFonts w:cs="Arial"/>
                <w:lang w:eastAsia="ja-JP"/>
              </w:rPr>
              <w:t xml:space="preserve"> is not correct, contact the</w:t>
            </w:r>
            <w:r w:rsidR="00E20A75" w:rsidRPr="00FA46D8">
              <w:rPr>
                <w:rFonts w:cs="Arial"/>
                <w:lang w:eastAsia="ja-JP"/>
              </w:rPr>
              <w:t xml:space="preserve"> Leapfrog</w:t>
            </w:r>
            <w:r w:rsidRPr="00FA46D8">
              <w:rPr>
                <w:rFonts w:cs="Arial"/>
                <w:lang w:eastAsia="ja-JP"/>
              </w:rPr>
              <w:t xml:space="preserve"> </w:t>
            </w:r>
            <w:hyperlink r:id="rId96" w:history="1">
              <w:r w:rsidRPr="00FA46D8">
                <w:rPr>
                  <w:rStyle w:val="Hyperlink"/>
                  <w:rFonts w:cs="Arial"/>
                  <w:lang w:eastAsia="ja-JP"/>
                </w:rPr>
                <w:t>Help Desk</w:t>
              </w:r>
            </w:hyperlink>
            <w:r w:rsidRPr="00FA46D8">
              <w:rPr>
                <w:rFonts w:cs="Arial"/>
                <w:lang w:eastAsia="ja-JP"/>
              </w:rPr>
              <w:t xml:space="preserve"> immediately. </w:t>
            </w:r>
          </w:p>
        </w:tc>
      </w:tr>
      <w:tr w:rsidR="00BB1F3E" w:rsidRPr="006E26E4" w14:paraId="23DC175E" w14:textId="77777777" w:rsidTr="00403A54">
        <w:trPr>
          <w:jc w:val="center"/>
        </w:trPr>
        <w:tc>
          <w:tcPr>
            <w:tcW w:w="4674" w:type="dxa"/>
            <w:tcBorders>
              <w:bottom w:val="single" w:sz="4" w:space="0" w:color="auto"/>
            </w:tcBorders>
          </w:tcPr>
          <w:p w14:paraId="09CF58AD" w14:textId="77777777" w:rsidR="00BB1F3E" w:rsidRPr="00FA46D8" w:rsidRDefault="00BB1F3E" w:rsidP="00BB1F3E">
            <w:pPr>
              <w:rPr>
                <w:rFonts w:cs="Arial"/>
                <w:lang w:eastAsia="ja-JP"/>
              </w:rPr>
            </w:pPr>
          </w:p>
        </w:tc>
        <w:tc>
          <w:tcPr>
            <w:tcW w:w="4676" w:type="dxa"/>
            <w:tcBorders>
              <w:bottom w:val="single" w:sz="4" w:space="0" w:color="auto"/>
            </w:tcBorders>
          </w:tcPr>
          <w:p w14:paraId="728999BF" w14:textId="77777777" w:rsidR="00BB1F3E" w:rsidRPr="00FA46D8" w:rsidRDefault="00BB1F3E" w:rsidP="00BB1F3E">
            <w:pPr>
              <w:rPr>
                <w:rFonts w:cs="Arial"/>
                <w:lang w:eastAsia="ja-JP"/>
              </w:rPr>
            </w:pPr>
          </w:p>
        </w:tc>
      </w:tr>
      <w:tr w:rsidR="00470A05" w:rsidRPr="006E26E4" w14:paraId="6709755C" w14:textId="77777777" w:rsidTr="00403A54">
        <w:trPr>
          <w:jc w:val="center"/>
        </w:trPr>
        <w:tc>
          <w:tcPr>
            <w:tcW w:w="4674" w:type="dxa"/>
            <w:tcBorders>
              <w:left w:val="nil"/>
              <w:bottom w:val="nil"/>
            </w:tcBorders>
          </w:tcPr>
          <w:p w14:paraId="4D79490A" w14:textId="77777777" w:rsidR="00470A05" w:rsidRPr="00FA46D8" w:rsidRDefault="00470A05" w:rsidP="00BB1F3E">
            <w:pPr>
              <w:rPr>
                <w:rFonts w:cs="Arial"/>
                <w:lang w:eastAsia="ja-JP"/>
              </w:rPr>
            </w:pPr>
          </w:p>
        </w:tc>
        <w:tc>
          <w:tcPr>
            <w:tcW w:w="4676" w:type="dxa"/>
            <w:tcBorders>
              <w:bottom w:val="single" w:sz="4" w:space="0" w:color="auto"/>
            </w:tcBorders>
            <w:shd w:val="clear" w:color="auto" w:fill="D9D9D9" w:themeFill="background1" w:themeFillShade="D9"/>
          </w:tcPr>
          <w:p w14:paraId="40F3E0F2" w14:textId="60D03754" w:rsidR="00470A05" w:rsidRPr="00FA46D8" w:rsidRDefault="00470A05" w:rsidP="00E50A07">
            <w:pPr>
              <w:spacing w:before="40"/>
              <w:rPr>
                <w:rFonts w:cs="Arial"/>
                <w:b/>
                <w:lang w:eastAsia="ja-JP"/>
              </w:rPr>
            </w:pPr>
            <w:r w:rsidRPr="00FA46D8">
              <w:rPr>
                <w:rFonts w:cs="Arial"/>
                <w:b/>
                <w:lang w:eastAsia="ja-JP"/>
              </w:rPr>
              <w:t xml:space="preserve">Does your </w:t>
            </w:r>
            <w:r w:rsidR="00CA2A93" w:rsidRPr="00FA46D8">
              <w:rPr>
                <w:rFonts w:cs="Arial"/>
                <w:b/>
                <w:lang w:eastAsia="ja-JP"/>
              </w:rPr>
              <w:t>hospital</w:t>
            </w:r>
            <w:r w:rsidRPr="00FA46D8">
              <w:rPr>
                <w:rFonts w:cs="Arial"/>
                <w:b/>
                <w:lang w:eastAsia="ja-JP"/>
              </w:rPr>
              <w:t xml:space="preserve"> share this </w:t>
            </w:r>
            <w:r w:rsidR="003A4F8E" w:rsidRPr="00FA46D8">
              <w:rPr>
                <w:rFonts w:cs="Arial"/>
                <w:b/>
                <w:lang w:eastAsia="ja-JP"/>
              </w:rPr>
              <w:t>CCN</w:t>
            </w:r>
            <w:r w:rsidRPr="00FA46D8">
              <w:rPr>
                <w:rFonts w:cs="Arial"/>
                <w:b/>
                <w:lang w:eastAsia="ja-JP"/>
              </w:rPr>
              <w:t xml:space="preserve"> with another facility?</w:t>
            </w:r>
          </w:p>
        </w:tc>
      </w:tr>
      <w:tr w:rsidR="00470A05" w:rsidRPr="006E26E4" w14:paraId="5AF146CE" w14:textId="77777777" w:rsidTr="00403A54">
        <w:trPr>
          <w:jc w:val="center"/>
        </w:trPr>
        <w:tc>
          <w:tcPr>
            <w:tcW w:w="4674" w:type="dxa"/>
            <w:tcBorders>
              <w:top w:val="nil"/>
              <w:left w:val="nil"/>
              <w:bottom w:val="nil"/>
            </w:tcBorders>
          </w:tcPr>
          <w:p w14:paraId="70E83544" w14:textId="77777777" w:rsidR="00470A05" w:rsidRPr="00FA46D8" w:rsidRDefault="00470A05" w:rsidP="00BB1F3E">
            <w:pPr>
              <w:rPr>
                <w:rFonts w:cs="Arial"/>
                <w:lang w:eastAsia="ja-JP"/>
              </w:rPr>
            </w:pPr>
          </w:p>
        </w:tc>
        <w:tc>
          <w:tcPr>
            <w:tcW w:w="4676" w:type="dxa"/>
            <w:tcBorders>
              <w:bottom w:val="single" w:sz="4" w:space="0" w:color="auto"/>
            </w:tcBorders>
          </w:tcPr>
          <w:p w14:paraId="175072A8" w14:textId="2D36E51A" w:rsidR="00470A05" w:rsidRPr="004D1420" w:rsidRDefault="00470A05" w:rsidP="00AD309C">
            <w:pPr>
              <w:pStyle w:val="ListParagraph"/>
              <w:numPr>
                <w:ilvl w:val="0"/>
                <w:numId w:val="280"/>
              </w:numPr>
              <w:rPr>
                <w:rFonts w:cs="Arial"/>
                <w:lang w:eastAsia="ja-JP"/>
              </w:rPr>
            </w:pPr>
            <w:r w:rsidRPr="004D1420">
              <w:rPr>
                <w:rFonts w:cs="Arial"/>
                <w:lang w:eastAsia="ja-JP"/>
              </w:rPr>
              <w:t>Yes</w:t>
            </w:r>
          </w:p>
          <w:p w14:paraId="044B61BD" w14:textId="2EED79F0" w:rsidR="00470A05" w:rsidRPr="006E26E4" w:rsidRDefault="00470A05" w:rsidP="00AD309C">
            <w:pPr>
              <w:pStyle w:val="ListParagraph"/>
              <w:numPr>
                <w:ilvl w:val="0"/>
                <w:numId w:val="280"/>
              </w:numPr>
              <w:rPr>
                <w:rFonts w:cs="Arial"/>
                <w:lang w:eastAsia="ja-JP"/>
              </w:rPr>
            </w:pPr>
            <w:r w:rsidRPr="004D1420">
              <w:rPr>
                <w:rFonts w:cs="Arial"/>
                <w:lang w:eastAsia="ja-JP"/>
              </w:rPr>
              <w:t>No</w:t>
            </w:r>
          </w:p>
        </w:tc>
      </w:tr>
      <w:tr w:rsidR="00FC2A2F" w:rsidRPr="006E26E4" w14:paraId="34CB3D5F" w14:textId="77777777" w:rsidTr="00403A54">
        <w:trPr>
          <w:jc w:val="center"/>
        </w:trPr>
        <w:tc>
          <w:tcPr>
            <w:tcW w:w="4674" w:type="dxa"/>
            <w:tcBorders>
              <w:top w:val="nil"/>
              <w:left w:val="nil"/>
              <w:bottom w:val="nil"/>
              <w:right w:val="single" w:sz="4" w:space="0" w:color="auto"/>
            </w:tcBorders>
          </w:tcPr>
          <w:p w14:paraId="7536410C" w14:textId="77777777" w:rsidR="00FC2A2F" w:rsidRPr="00FA46D8" w:rsidRDefault="00FC2A2F" w:rsidP="00BB1F3E">
            <w:pPr>
              <w:rPr>
                <w:rFonts w:cs="Arial"/>
                <w:lang w:eastAsia="ja-JP"/>
              </w:rPr>
            </w:pPr>
          </w:p>
        </w:tc>
        <w:tc>
          <w:tcPr>
            <w:tcW w:w="4676" w:type="dxa"/>
            <w:tcBorders>
              <w:top w:val="single" w:sz="4" w:space="0" w:color="auto"/>
              <w:left w:val="single" w:sz="4" w:space="0" w:color="auto"/>
            </w:tcBorders>
            <w:shd w:val="clear" w:color="auto" w:fill="D9D9D9" w:themeFill="background1" w:themeFillShade="D9"/>
          </w:tcPr>
          <w:p w14:paraId="3D6A5EFF" w14:textId="784DCF7C" w:rsidR="00FC2A2F" w:rsidRPr="00FA46D8" w:rsidRDefault="00FC2A2F" w:rsidP="00E50A07">
            <w:pPr>
              <w:spacing w:before="40"/>
              <w:rPr>
                <w:rFonts w:cs="Arial"/>
                <w:b/>
                <w:lang w:eastAsia="ja-JP"/>
              </w:rPr>
            </w:pPr>
            <w:hyperlink w:anchor="Endnote2_NHSNID" w:history="1">
              <w:r w:rsidRPr="00FA46D8">
                <w:rPr>
                  <w:rStyle w:val="Hyperlink"/>
                  <w:rFonts w:cs="Arial"/>
                  <w:b/>
                  <w:lang w:eastAsia="ja-JP"/>
                </w:rPr>
                <w:t>NHSN ID</w:t>
              </w:r>
            </w:hyperlink>
            <w:r w:rsidR="00BF053F">
              <w:rPr>
                <w:rFonts w:ascii="ZWAdobeF" w:hAnsi="ZWAdobeF" w:cs="ZWAdobeF"/>
                <w:sz w:val="2"/>
                <w:szCs w:val="2"/>
              </w:rPr>
              <w:t>2F</w:t>
            </w:r>
            <w:r w:rsidR="004C7557">
              <w:rPr>
                <w:rFonts w:ascii="ZWAdobeF" w:hAnsi="ZWAdobeF" w:cs="ZWAdobeF"/>
                <w:sz w:val="2"/>
                <w:szCs w:val="2"/>
              </w:rPr>
              <w:t>2F</w:t>
            </w:r>
            <w:r w:rsidR="00C2087D">
              <w:rPr>
                <w:rFonts w:ascii="ZWAdobeF" w:hAnsi="ZWAdobeF" w:cs="ZWAdobeF"/>
                <w:sz w:val="2"/>
                <w:szCs w:val="2"/>
              </w:rPr>
              <w:t>2F</w:t>
            </w:r>
            <w:r w:rsidR="00B55C41">
              <w:rPr>
                <w:rFonts w:ascii="ZWAdobeF" w:hAnsi="ZWAdobeF" w:cs="ZWAdobeF"/>
                <w:sz w:val="2"/>
                <w:szCs w:val="2"/>
              </w:rPr>
              <w:t>2F</w:t>
            </w:r>
            <w:r w:rsidR="006255A6">
              <w:rPr>
                <w:rFonts w:ascii="ZWAdobeF" w:hAnsi="ZWAdobeF" w:cs="ZWAdobeF"/>
                <w:sz w:val="2"/>
                <w:szCs w:val="2"/>
              </w:rPr>
              <w:t>2F</w:t>
            </w:r>
            <w:r w:rsidR="00E453C7">
              <w:rPr>
                <w:rFonts w:ascii="ZWAdobeF" w:hAnsi="ZWAdobeF" w:cs="ZWAdobeF"/>
                <w:sz w:val="2"/>
                <w:szCs w:val="2"/>
              </w:rPr>
              <w:t>2F</w:t>
            </w:r>
            <w:r w:rsidR="00953060">
              <w:rPr>
                <w:rFonts w:ascii="ZWAdobeF" w:hAnsi="ZWAdobeF" w:cs="ZWAdobeF"/>
                <w:sz w:val="2"/>
                <w:szCs w:val="2"/>
              </w:rPr>
              <w:t>2F</w:t>
            </w:r>
            <w:r w:rsidR="00DD04D6">
              <w:rPr>
                <w:rFonts w:ascii="ZWAdobeF" w:hAnsi="ZWAdobeF" w:cs="ZWAdobeF"/>
                <w:sz w:val="2"/>
                <w:szCs w:val="2"/>
              </w:rPr>
              <w:t>2F</w:t>
            </w:r>
            <w:r w:rsidR="00812E5E" w:rsidRPr="00FA46D8">
              <w:rPr>
                <w:rStyle w:val="EndnoteReference"/>
                <w:rFonts w:cs="Arial"/>
                <w:b/>
                <w:lang w:eastAsia="ja-JP"/>
              </w:rPr>
              <w:endnoteReference w:id="4"/>
            </w:r>
          </w:p>
        </w:tc>
      </w:tr>
      <w:tr w:rsidR="00FC2A2F" w:rsidRPr="006E26E4" w14:paraId="6EAF6EB6" w14:textId="77777777" w:rsidTr="00403A54">
        <w:trPr>
          <w:jc w:val="center"/>
        </w:trPr>
        <w:tc>
          <w:tcPr>
            <w:tcW w:w="4674" w:type="dxa"/>
            <w:tcBorders>
              <w:top w:val="nil"/>
              <w:left w:val="nil"/>
              <w:bottom w:val="nil"/>
              <w:right w:val="single" w:sz="4" w:space="0" w:color="auto"/>
            </w:tcBorders>
          </w:tcPr>
          <w:p w14:paraId="73FE2C17" w14:textId="77777777" w:rsidR="00FC2A2F" w:rsidRPr="00FA46D8" w:rsidRDefault="00FC2A2F" w:rsidP="00BB1F3E">
            <w:pPr>
              <w:rPr>
                <w:rFonts w:cs="Arial"/>
                <w:lang w:eastAsia="ja-JP"/>
              </w:rPr>
            </w:pPr>
          </w:p>
        </w:tc>
        <w:tc>
          <w:tcPr>
            <w:tcW w:w="4676" w:type="dxa"/>
            <w:tcBorders>
              <w:top w:val="single" w:sz="4" w:space="0" w:color="auto"/>
              <w:left w:val="single" w:sz="4" w:space="0" w:color="auto"/>
            </w:tcBorders>
          </w:tcPr>
          <w:p w14:paraId="78EE729A" w14:textId="77777777" w:rsidR="00FC2A2F" w:rsidRPr="00FA46D8" w:rsidRDefault="00FC2A2F" w:rsidP="00BB1F3E">
            <w:pPr>
              <w:rPr>
                <w:rFonts w:cs="Arial"/>
                <w:b/>
                <w:lang w:eastAsia="ja-JP"/>
              </w:rPr>
            </w:pPr>
          </w:p>
        </w:tc>
      </w:tr>
      <w:tr w:rsidR="000B46D5" w:rsidRPr="006E26E4" w14:paraId="1F85B02E" w14:textId="77777777" w:rsidTr="00403A54">
        <w:trPr>
          <w:jc w:val="center"/>
        </w:trPr>
        <w:tc>
          <w:tcPr>
            <w:tcW w:w="4674" w:type="dxa"/>
            <w:tcBorders>
              <w:top w:val="nil"/>
              <w:left w:val="nil"/>
              <w:bottom w:val="nil"/>
              <w:right w:val="single" w:sz="4" w:space="0" w:color="auto"/>
            </w:tcBorders>
          </w:tcPr>
          <w:p w14:paraId="2815478C" w14:textId="77777777" w:rsidR="000B46D5" w:rsidRPr="00FA46D8" w:rsidRDefault="000B46D5" w:rsidP="000B46D5">
            <w:pPr>
              <w:rPr>
                <w:rFonts w:cs="Arial"/>
                <w:lang w:eastAsia="ja-JP"/>
              </w:rPr>
            </w:pPr>
          </w:p>
        </w:tc>
        <w:tc>
          <w:tcPr>
            <w:tcW w:w="4676" w:type="dxa"/>
            <w:tcBorders>
              <w:top w:val="single" w:sz="4" w:space="0" w:color="auto"/>
              <w:left w:val="single" w:sz="4" w:space="0" w:color="auto"/>
            </w:tcBorders>
          </w:tcPr>
          <w:p w14:paraId="5366883F" w14:textId="5C1DB8AA" w:rsidR="000B46D5" w:rsidRPr="00FA46D8" w:rsidRDefault="000B46D5" w:rsidP="000B46D5">
            <w:pPr>
              <w:rPr>
                <w:rFonts w:cs="Arial"/>
                <w:b/>
                <w:lang w:eastAsia="ja-JP"/>
              </w:rPr>
            </w:pPr>
            <w:hyperlink w:anchor="Endnote3_VonID" w:history="1">
              <w:r w:rsidRPr="00FA46D8">
                <w:rPr>
                  <w:rStyle w:val="Hyperlink"/>
                  <w:rFonts w:cs="Arial"/>
                  <w:b/>
                </w:rPr>
                <w:t>Vermont Oxford Network (VON) Transfer Code</w:t>
              </w:r>
            </w:hyperlink>
            <w:r w:rsidR="00BF053F">
              <w:rPr>
                <w:rFonts w:ascii="ZWAdobeF" w:hAnsi="ZWAdobeF" w:cs="ZWAdobeF"/>
                <w:sz w:val="2"/>
                <w:szCs w:val="2"/>
              </w:rPr>
              <w:t>3F</w:t>
            </w:r>
            <w:r w:rsidR="004C7557">
              <w:rPr>
                <w:rFonts w:ascii="ZWAdobeF" w:hAnsi="ZWAdobeF" w:cs="ZWAdobeF"/>
                <w:sz w:val="2"/>
                <w:szCs w:val="2"/>
              </w:rPr>
              <w:t>3F</w:t>
            </w:r>
            <w:r w:rsidR="00C2087D">
              <w:rPr>
                <w:rFonts w:ascii="ZWAdobeF" w:hAnsi="ZWAdobeF" w:cs="ZWAdobeF"/>
                <w:sz w:val="2"/>
                <w:szCs w:val="2"/>
              </w:rPr>
              <w:t>3F</w:t>
            </w:r>
            <w:r w:rsidR="00B55C41">
              <w:rPr>
                <w:rFonts w:ascii="ZWAdobeF" w:hAnsi="ZWAdobeF" w:cs="ZWAdobeF"/>
                <w:sz w:val="2"/>
                <w:szCs w:val="2"/>
              </w:rPr>
              <w:t>3F</w:t>
            </w:r>
            <w:r w:rsidR="006255A6">
              <w:rPr>
                <w:rFonts w:ascii="ZWAdobeF" w:hAnsi="ZWAdobeF" w:cs="ZWAdobeF"/>
                <w:sz w:val="2"/>
                <w:szCs w:val="2"/>
              </w:rPr>
              <w:t>3F</w:t>
            </w:r>
            <w:r w:rsidR="00E453C7">
              <w:rPr>
                <w:rFonts w:ascii="ZWAdobeF" w:hAnsi="ZWAdobeF" w:cs="ZWAdobeF"/>
                <w:sz w:val="2"/>
                <w:szCs w:val="2"/>
              </w:rPr>
              <w:t>3F</w:t>
            </w:r>
            <w:r w:rsidR="00953060">
              <w:rPr>
                <w:rFonts w:ascii="ZWAdobeF" w:hAnsi="ZWAdobeF" w:cs="ZWAdobeF"/>
                <w:sz w:val="2"/>
                <w:szCs w:val="2"/>
              </w:rPr>
              <w:t>3F</w:t>
            </w:r>
            <w:r w:rsidR="00DD04D6">
              <w:rPr>
                <w:rFonts w:ascii="ZWAdobeF" w:hAnsi="ZWAdobeF" w:cs="ZWAdobeF"/>
                <w:sz w:val="2"/>
                <w:szCs w:val="2"/>
              </w:rPr>
              <w:t>3F</w:t>
            </w:r>
            <w:r w:rsidR="006601D7" w:rsidRPr="00FA46D8">
              <w:rPr>
                <w:rStyle w:val="EndnoteReference"/>
                <w:rFonts w:cs="Arial"/>
                <w:b/>
                <w:lang w:eastAsia="ja-JP"/>
              </w:rPr>
              <w:endnoteReference w:id="5"/>
            </w:r>
          </w:p>
        </w:tc>
      </w:tr>
      <w:tr w:rsidR="000B46D5" w:rsidRPr="006E26E4" w14:paraId="523A2075" w14:textId="77777777" w:rsidTr="00403A54">
        <w:trPr>
          <w:jc w:val="center"/>
        </w:trPr>
        <w:tc>
          <w:tcPr>
            <w:tcW w:w="4674" w:type="dxa"/>
            <w:tcBorders>
              <w:top w:val="nil"/>
              <w:left w:val="nil"/>
              <w:bottom w:val="nil"/>
              <w:right w:val="single" w:sz="4" w:space="0" w:color="auto"/>
            </w:tcBorders>
          </w:tcPr>
          <w:p w14:paraId="7E966256" w14:textId="77777777" w:rsidR="000B46D5" w:rsidRPr="00FA46D8" w:rsidRDefault="000B46D5" w:rsidP="000B46D5">
            <w:pPr>
              <w:rPr>
                <w:rFonts w:cs="Arial"/>
                <w:lang w:eastAsia="ja-JP"/>
              </w:rPr>
            </w:pPr>
          </w:p>
        </w:tc>
        <w:tc>
          <w:tcPr>
            <w:tcW w:w="4676" w:type="dxa"/>
            <w:tcBorders>
              <w:top w:val="single" w:sz="4" w:space="0" w:color="auto"/>
              <w:left w:val="single" w:sz="4" w:space="0" w:color="auto"/>
            </w:tcBorders>
          </w:tcPr>
          <w:p w14:paraId="6A477400" w14:textId="77777777" w:rsidR="000B46D5" w:rsidRPr="00FA46D8" w:rsidRDefault="000B46D5" w:rsidP="000B46D5">
            <w:pPr>
              <w:rPr>
                <w:rFonts w:cs="Arial"/>
                <w:b/>
                <w:lang w:eastAsia="ja-JP"/>
              </w:rPr>
            </w:pPr>
          </w:p>
        </w:tc>
      </w:tr>
      <w:tr w:rsidR="000B46D5" w:rsidRPr="006E26E4" w14:paraId="225B2256" w14:textId="77777777" w:rsidTr="00403A54">
        <w:trPr>
          <w:jc w:val="center"/>
        </w:trPr>
        <w:tc>
          <w:tcPr>
            <w:tcW w:w="4674" w:type="dxa"/>
            <w:tcBorders>
              <w:top w:val="nil"/>
              <w:left w:val="nil"/>
              <w:bottom w:val="nil"/>
              <w:right w:val="single" w:sz="4" w:space="0" w:color="auto"/>
            </w:tcBorders>
          </w:tcPr>
          <w:p w14:paraId="5B372431" w14:textId="77777777" w:rsidR="000B46D5" w:rsidRPr="00FA46D8" w:rsidRDefault="000B46D5" w:rsidP="000B46D5">
            <w:pPr>
              <w:rPr>
                <w:rFonts w:cs="Arial"/>
                <w:lang w:eastAsia="ja-JP"/>
              </w:rPr>
            </w:pPr>
          </w:p>
        </w:tc>
        <w:tc>
          <w:tcPr>
            <w:tcW w:w="4676" w:type="dxa"/>
            <w:tcBorders>
              <w:top w:val="single" w:sz="4" w:space="0" w:color="auto"/>
              <w:left w:val="single" w:sz="4" w:space="0" w:color="auto"/>
            </w:tcBorders>
            <w:shd w:val="clear" w:color="auto" w:fill="D9D9D9" w:themeFill="background1" w:themeFillShade="D9"/>
          </w:tcPr>
          <w:p w14:paraId="6D74512D" w14:textId="7B422BE5" w:rsidR="000B46D5" w:rsidRPr="00FA46D8" w:rsidRDefault="000B46D5" w:rsidP="000B46D5">
            <w:pPr>
              <w:spacing w:before="40"/>
              <w:rPr>
                <w:rFonts w:cs="Arial"/>
                <w:b/>
                <w:lang w:eastAsia="ja-JP"/>
              </w:rPr>
            </w:pPr>
            <w:hyperlink w:anchor="Endnote3_TIN" w:history="1">
              <w:r w:rsidRPr="00FA46D8">
                <w:rPr>
                  <w:rStyle w:val="Hyperlink"/>
                  <w:rFonts w:cs="Arial"/>
                  <w:b/>
                  <w:lang w:eastAsia="ja-JP"/>
                </w:rPr>
                <w:t>Federal Tax Identification Number (TIN)</w:t>
              </w:r>
            </w:hyperlink>
            <w:r w:rsidR="00BF053F">
              <w:rPr>
                <w:rFonts w:ascii="ZWAdobeF" w:hAnsi="ZWAdobeF" w:cs="ZWAdobeF"/>
                <w:sz w:val="2"/>
                <w:szCs w:val="2"/>
              </w:rPr>
              <w:t>4F</w:t>
            </w:r>
            <w:r w:rsidR="004C7557">
              <w:rPr>
                <w:rFonts w:ascii="ZWAdobeF" w:hAnsi="ZWAdobeF" w:cs="ZWAdobeF"/>
                <w:sz w:val="2"/>
                <w:szCs w:val="2"/>
              </w:rPr>
              <w:t>4F</w:t>
            </w:r>
            <w:r w:rsidR="00C2087D">
              <w:rPr>
                <w:rFonts w:ascii="ZWAdobeF" w:hAnsi="ZWAdobeF" w:cs="ZWAdobeF"/>
                <w:sz w:val="2"/>
                <w:szCs w:val="2"/>
              </w:rPr>
              <w:t>4F</w:t>
            </w:r>
            <w:r w:rsidR="00B55C41">
              <w:rPr>
                <w:rFonts w:ascii="ZWAdobeF" w:hAnsi="ZWAdobeF" w:cs="ZWAdobeF"/>
                <w:sz w:val="2"/>
                <w:szCs w:val="2"/>
              </w:rPr>
              <w:t>4F</w:t>
            </w:r>
            <w:r w:rsidR="006255A6">
              <w:rPr>
                <w:rFonts w:ascii="ZWAdobeF" w:hAnsi="ZWAdobeF" w:cs="ZWAdobeF"/>
                <w:sz w:val="2"/>
                <w:szCs w:val="2"/>
              </w:rPr>
              <w:t>4F</w:t>
            </w:r>
            <w:r w:rsidR="00E453C7">
              <w:rPr>
                <w:rFonts w:ascii="ZWAdobeF" w:hAnsi="ZWAdobeF" w:cs="ZWAdobeF"/>
                <w:sz w:val="2"/>
                <w:szCs w:val="2"/>
              </w:rPr>
              <w:t>4F</w:t>
            </w:r>
            <w:r w:rsidR="00953060">
              <w:rPr>
                <w:rFonts w:ascii="ZWAdobeF" w:hAnsi="ZWAdobeF" w:cs="ZWAdobeF"/>
                <w:sz w:val="2"/>
                <w:szCs w:val="2"/>
              </w:rPr>
              <w:t>4F</w:t>
            </w:r>
            <w:r w:rsidR="00DD04D6">
              <w:rPr>
                <w:rFonts w:ascii="ZWAdobeF" w:hAnsi="ZWAdobeF" w:cs="ZWAdobeF"/>
                <w:sz w:val="2"/>
                <w:szCs w:val="2"/>
              </w:rPr>
              <w:t>4F</w:t>
            </w:r>
            <w:r w:rsidRPr="00FA46D8">
              <w:rPr>
                <w:rStyle w:val="EndnoteReference"/>
                <w:rFonts w:cs="Arial"/>
                <w:b/>
                <w:lang w:eastAsia="ja-JP"/>
              </w:rPr>
              <w:endnoteReference w:id="6"/>
            </w:r>
          </w:p>
        </w:tc>
      </w:tr>
      <w:tr w:rsidR="000B46D5" w:rsidRPr="006E26E4" w14:paraId="2787B46A" w14:textId="77777777" w:rsidTr="00403A54">
        <w:trPr>
          <w:jc w:val="center"/>
        </w:trPr>
        <w:tc>
          <w:tcPr>
            <w:tcW w:w="4674" w:type="dxa"/>
            <w:tcBorders>
              <w:top w:val="nil"/>
              <w:left w:val="nil"/>
              <w:bottom w:val="nil"/>
              <w:right w:val="single" w:sz="4" w:space="0" w:color="auto"/>
            </w:tcBorders>
          </w:tcPr>
          <w:p w14:paraId="1D4101CE" w14:textId="77777777" w:rsidR="000B46D5" w:rsidRPr="00FA46D8" w:rsidRDefault="000B46D5" w:rsidP="000B46D5">
            <w:pPr>
              <w:rPr>
                <w:rFonts w:cs="Arial"/>
                <w:lang w:eastAsia="ja-JP"/>
              </w:rPr>
            </w:pPr>
          </w:p>
        </w:tc>
        <w:tc>
          <w:tcPr>
            <w:tcW w:w="4676" w:type="dxa"/>
            <w:tcBorders>
              <w:left w:val="single" w:sz="4" w:space="0" w:color="auto"/>
            </w:tcBorders>
          </w:tcPr>
          <w:p w14:paraId="61EEF707" w14:textId="77777777" w:rsidR="000B46D5" w:rsidRPr="00FA46D8" w:rsidRDefault="000B46D5" w:rsidP="000B46D5">
            <w:pPr>
              <w:rPr>
                <w:rFonts w:cs="Arial"/>
                <w:lang w:eastAsia="ja-JP"/>
              </w:rPr>
            </w:pPr>
          </w:p>
        </w:tc>
      </w:tr>
      <w:tr w:rsidR="000B46D5" w:rsidRPr="006E26E4" w14:paraId="73658604" w14:textId="77777777" w:rsidTr="00403A54">
        <w:trPr>
          <w:jc w:val="center"/>
        </w:trPr>
        <w:tc>
          <w:tcPr>
            <w:tcW w:w="4674" w:type="dxa"/>
            <w:tcBorders>
              <w:top w:val="nil"/>
              <w:left w:val="nil"/>
              <w:bottom w:val="nil"/>
              <w:right w:val="single" w:sz="4" w:space="0" w:color="auto"/>
            </w:tcBorders>
          </w:tcPr>
          <w:p w14:paraId="1C211D6D" w14:textId="77777777" w:rsidR="000B46D5" w:rsidRPr="00FA46D8" w:rsidRDefault="000B46D5" w:rsidP="000B46D5">
            <w:pPr>
              <w:rPr>
                <w:rFonts w:cs="Arial"/>
                <w:lang w:eastAsia="ja-JP"/>
              </w:rPr>
            </w:pPr>
          </w:p>
        </w:tc>
        <w:tc>
          <w:tcPr>
            <w:tcW w:w="4676" w:type="dxa"/>
            <w:tcBorders>
              <w:left w:val="single" w:sz="4" w:space="0" w:color="auto"/>
            </w:tcBorders>
            <w:shd w:val="clear" w:color="auto" w:fill="D9D9D9" w:themeFill="background1" w:themeFillShade="D9"/>
          </w:tcPr>
          <w:p w14:paraId="6FE08EB1" w14:textId="349ADDBD" w:rsidR="000B46D5" w:rsidRPr="00FA46D8" w:rsidRDefault="000B46D5" w:rsidP="000B46D5">
            <w:pPr>
              <w:spacing w:before="40"/>
              <w:rPr>
                <w:rStyle w:val="Hyperlink"/>
                <w:rFonts w:cs="Arial"/>
                <w:b/>
                <w:lang w:eastAsia="ja-JP"/>
              </w:rPr>
            </w:pPr>
            <w:hyperlink w:anchor="Endnote4_NPI" w:history="1">
              <w:r w:rsidRPr="00FA46D8">
                <w:rPr>
                  <w:rStyle w:val="Hyperlink"/>
                  <w:rFonts w:cs="Arial"/>
                  <w:b/>
                  <w:lang w:eastAsia="ja-JP"/>
                </w:rPr>
                <w:t>National Provider Identifier (NPI)</w:t>
              </w:r>
            </w:hyperlink>
            <w:r w:rsidR="00BF053F">
              <w:rPr>
                <w:rFonts w:ascii="ZWAdobeF" w:hAnsi="ZWAdobeF" w:cs="ZWAdobeF"/>
                <w:sz w:val="2"/>
                <w:szCs w:val="2"/>
              </w:rPr>
              <w:t>5F</w:t>
            </w:r>
            <w:r w:rsidR="004C7557">
              <w:rPr>
                <w:rFonts w:ascii="ZWAdobeF" w:hAnsi="ZWAdobeF" w:cs="ZWAdobeF"/>
                <w:sz w:val="2"/>
                <w:szCs w:val="2"/>
              </w:rPr>
              <w:t>5F</w:t>
            </w:r>
            <w:r w:rsidR="00C2087D">
              <w:rPr>
                <w:rFonts w:ascii="ZWAdobeF" w:hAnsi="ZWAdobeF" w:cs="ZWAdobeF"/>
                <w:sz w:val="2"/>
                <w:szCs w:val="2"/>
              </w:rPr>
              <w:t>5F</w:t>
            </w:r>
            <w:r w:rsidR="00B55C41">
              <w:rPr>
                <w:rFonts w:ascii="ZWAdobeF" w:hAnsi="ZWAdobeF" w:cs="ZWAdobeF"/>
                <w:sz w:val="2"/>
                <w:szCs w:val="2"/>
              </w:rPr>
              <w:t>5F</w:t>
            </w:r>
            <w:r w:rsidR="006255A6">
              <w:rPr>
                <w:rFonts w:ascii="ZWAdobeF" w:hAnsi="ZWAdobeF" w:cs="ZWAdobeF"/>
                <w:sz w:val="2"/>
                <w:szCs w:val="2"/>
              </w:rPr>
              <w:t>5F</w:t>
            </w:r>
            <w:r w:rsidR="00E453C7">
              <w:rPr>
                <w:rFonts w:ascii="ZWAdobeF" w:hAnsi="ZWAdobeF" w:cs="ZWAdobeF"/>
                <w:sz w:val="2"/>
                <w:szCs w:val="2"/>
              </w:rPr>
              <w:t>5F</w:t>
            </w:r>
            <w:r w:rsidR="00953060">
              <w:rPr>
                <w:rFonts w:ascii="ZWAdobeF" w:hAnsi="ZWAdobeF" w:cs="ZWAdobeF"/>
                <w:sz w:val="2"/>
                <w:szCs w:val="2"/>
              </w:rPr>
              <w:t>5F</w:t>
            </w:r>
            <w:r w:rsidR="00DD04D6">
              <w:rPr>
                <w:rFonts w:ascii="ZWAdobeF" w:hAnsi="ZWAdobeF" w:cs="ZWAdobeF"/>
                <w:sz w:val="2"/>
                <w:szCs w:val="2"/>
              </w:rPr>
              <w:t>5F</w:t>
            </w:r>
            <w:r w:rsidRPr="00FA46D8">
              <w:rPr>
                <w:rStyle w:val="EndnoteReference"/>
                <w:rFonts w:cs="Arial"/>
                <w:b/>
                <w:lang w:eastAsia="ja-JP"/>
              </w:rPr>
              <w:endnoteReference w:id="7"/>
            </w:r>
          </w:p>
          <w:p w14:paraId="3D72AD0C" w14:textId="0C14E162" w:rsidR="000B46D5" w:rsidRPr="00FA46D8" w:rsidRDefault="000B46D5" w:rsidP="000B46D5">
            <w:pPr>
              <w:spacing w:before="40"/>
              <w:rPr>
                <w:rFonts w:cs="Arial"/>
                <w:b/>
                <w:lang w:eastAsia="ja-JP"/>
              </w:rPr>
            </w:pPr>
            <w:r w:rsidRPr="00FA46D8">
              <w:rPr>
                <w:rFonts w:cs="Arial"/>
                <w:lang w:eastAsia="ja-JP"/>
              </w:rPr>
              <w:t xml:space="preserve">If the NPI displayed in the Online Hospital Survey Tool is not correct, contact the Leapfrog </w:t>
            </w:r>
            <w:hyperlink r:id="rId97" w:history="1">
              <w:r w:rsidRPr="00FA46D8">
                <w:rPr>
                  <w:rStyle w:val="Hyperlink"/>
                  <w:rFonts w:cs="Arial"/>
                  <w:lang w:eastAsia="ja-JP"/>
                </w:rPr>
                <w:t>Help Desk</w:t>
              </w:r>
            </w:hyperlink>
            <w:r w:rsidRPr="00FA46D8">
              <w:rPr>
                <w:rFonts w:cs="Arial"/>
                <w:lang w:eastAsia="ja-JP"/>
              </w:rPr>
              <w:t xml:space="preserve"> immediately.</w:t>
            </w:r>
          </w:p>
        </w:tc>
      </w:tr>
      <w:tr w:rsidR="000B46D5" w:rsidRPr="006E26E4" w14:paraId="49B4F1EB" w14:textId="77777777" w:rsidTr="00403A54">
        <w:trPr>
          <w:jc w:val="center"/>
        </w:trPr>
        <w:tc>
          <w:tcPr>
            <w:tcW w:w="4674" w:type="dxa"/>
            <w:tcBorders>
              <w:top w:val="nil"/>
              <w:left w:val="nil"/>
              <w:bottom w:val="nil"/>
              <w:right w:val="single" w:sz="4" w:space="0" w:color="auto"/>
            </w:tcBorders>
          </w:tcPr>
          <w:p w14:paraId="18D32D6F" w14:textId="77777777" w:rsidR="000B46D5" w:rsidRPr="00FA46D8" w:rsidRDefault="000B46D5" w:rsidP="000B46D5">
            <w:pPr>
              <w:rPr>
                <w:rFonts w:cs="Arial"/>
                <w:lang w:eastAsia="ja-JP"/>
              </w:rPr>
            </w:pPr>
          </w:p>
        </w:tc>
        <w:tc>
          <w:tcPr>
            <w:tcW w:w="4676" w:type="dxa"/>
            <w:tcBorders>
              <w:left w:val="single" w:sz="4" w:space="0" w:color="auto"/>
            </w:tcBorders>
          </w:tcPr>
          <w:p w14:paraId="7882B70A" w14:textId="77777777" w:rsidR="000B46D5" w:rsidRPr="00FA46D8" w:rsidRDefault="000B46D5" w:rsidP="000B46D5">
            <w:pPr>
              <w:rPr>
                <w:rFonts w:cs="Arial"/>
                <w:lang w:eastAsia="ja-JP"/>
              </w:rPr>
            </w:pPr>
          </w:p>
        </w:tc>
      </w:tr>
      <w:tr w:rsidR="000B46D5" w:rsidRPr="006E26E4" w14:paraId="459AE22F" w14:textId="77777777" w:rsidTr="00403A54">
        <w:trPr>
          <w:jc w:val="center"/>
        </w:trPr>
        <w:tc>
          <w:tcPr>
            <w:tcW w:w="4674" w:type="dxa"/>
            <w:tcBorders>
              <w:top w:val="nil"/>
              <w:left w:val="nil"/>
              <w:bottom w:val="nil"/>
              <w:right w:val="single" w:sz="4" w:space="0" w:color="auto"/>
            </w:tcBorders>
          </w:tcPr>
          <w:p w14:paraId="406866BA" w14:textId="77777777" w:rsidR="000B46D5" w:rsidRPr="00FA46D8" w:rsidRDefault="000B46D5" w:rsidP="000B46D5">
            <w:pPr>
              <w:rPr>
                <w:rFonts w:cs="Arial"/>
                <w:lang w:eastAsia="ja-JP"/>
              </w:rPr>
            </w:pPr>
          </w:p>
        </w:tc>
        <w:tc>
          <w:tcPr>
            <w:tcW w:w="4676" w:type="dxa"/>
            <w:tcBorders>
              <w:left w:val="single" w:sz="4" w:space="0" w:color="auto"/>
            </w:tcBorders>
            <w:shd w:val="clear" w:color="auto" w:fill="D9D9D9" w:themeFill="background1" w:themeFillShade="D9"/>
          </w:tcPr>
          <w:p w14:paraId="0039D487" w14:textId="1015DE77" w:rsidR="000B46D5" w:rsidRPr="00FA46D8" w:rsidRDefault="000B46D5" w:rsidP="000B46D5">
            <w:pPr>
              <w:rPr>
                <w:rFonts w:cs="Arial"/>
                <w:lang w:eastAsia="ja-JP"/>
              </w:rPr>
            </w:pPr>
            <w:r w:rsidRPr="00FA46D8">
              <w:rPr>
                <w:rFonts w:cs="Arial"/>
                <w:b/>
                <w:lang w:eastAsia="ja-JP"/>
              </w:rPr>
              <w:t>Does your hospital share this NPI with another facility?</w:t>
            </w:r>
          </w:p>
        </w:tc>
      </w:tr>
      <w:tr w:rsidR="000B46D5" w:rsidRPr="006E26E4" w14:paraId="3D06A10B" w14:textId="77777777" w:rsidTr="00403A54">
        <w:trPr>
          <w:jc w:val="center"/>
        </w:trPr>
        <w:tc>
          <w:tcPr>
            <w:tcW w:w="4674" w:type="dxa"/>
            <w:tcBorders>
              <w:top w:val="nil"/>
              <w:left w:val="nil"/>
              <w:bottom w:val="nil"/>
              <w:right w:val="single" w:sz="4" w:space="0" w:color="auto"/>
            </w:tcBorders>
          </w:tcPr>
          <w:p w14:paraId="2FBCD869" w14:textId="77777777" w:rsidR="000B46D5" w:rsidRPr="00FA46D8" w:rsidRDefault="000B46D5" w:rsidP="000B46D5">
            <w:pPr>
              <w:rPr>
                <w:rFonts w:cs="Arial"/>
                <w:lang w:eastAsia="ja-JP"/>
              </w:rPr>
            </w:pPr>
          </w:p>
        </w:tc>
        <w:tc>
          <w:tcPr>
            <w:tcW w:w="4676" w:type="dxa"/>
            <w:tcBorders>
              <w:left w:val="single" w:sz="4" w:space="0" w:color="auto"/>
            </w:tcBorders>
          </w:tcPr>
          <w:p w14:paraId="43148ECF" w14:textId="2F49CD57" w:rsidR="000B46D5" w:rsidRPr="004D1420" w:rsidRDefault="000B46D5" w:rsidP="00AD309C">
            <w:pPr>
              <w:pStyle w:val="ListParagraph"/>
              <w:numPr>
                <w:ilvl w:val="0"/>
                <w:numId w:val="281"/>
              </w:numPr>
              <w:rPr>
                <w:rFonts w:cs="Arial"/>
                <w:lang w:eastAsia="ja-JP"/>
              </w:rPr>
            </w:pPr>
            <w:r w:rsidRPr="004D1420">
              <w:rPr>
                <w:rFonts w:cs="Arial"/>
                <w:lang w:eastAsia="ja-JP"/>
              </w:rPr>
              <w:t>Yes</w:t>
            </w:r>
          </w:p>
          <w:p w14:paraId="7AC6F089" w14:textId="4F27CCE3" w:rsidR="000B46D5" w:rsidRPr="006E26E4" w:rsidRDefault="000B46D5" w:rsidP="00AD309C">
            <w:pPr>
              <w:pStyle w:val="ListParagraph"/>
              <w:numPr>
                <w:ilvl w:val="0"/>
                <w:numId w:val="281"/>
              </w:numPr>
              <w:rPr>
                <w:rFonts w:cs="Arial"/>
                <w:b/>
                <w:lang w:eastAsia="ja-JP"/>
              </w:rPr>
            </w:pPr>
            <w:r w:rsidRPr="004D1420">
              <w:rPr>
                <w:rFonts w:cs="Arial"/>
                <w:lang w:eastAsia="ja-JP"/>
              </w:rPr>
              <w:t>No</w:t>
            </w:r>
          </w:p>
        </w:tc>
      </w:tr>
    </w:tbl>
    <w:p w14:paraId="3DB1A4CE" w14:textId="537A3DD4" w:rsidR="00BB1F3E" w:rsidRDefault="00BB1F3E" w:rsidP="00AB5B80">
      <w:pPr>
        <w:pStyle w:val="Heading3"/>
      </w:pPr>
      <w:bookmarkStart w:id="69" w:name="_Toc225877663"/>
      <w:r w:rsidRPr="009A5185">
        <w:t>Demographic Information</w:t>
      </w:r>
      <w:bookmarkEnd w:id="69"/>
    </w:p>
    <w:p w14:paraId="13A2CCE1" w14:textId="77777777" w:rsidR="00F9246C" w:rsidRPr="004D1420" w:rsidRDefault="00F9246C" w:rsidP="00F9246C">
      <w:pPr>
        <w:rPr>
          <w:lang w:eastAsia="ja-JP"/>
        </w:rPr>
      </w:pPr>
    </w:p>
    <w:tbl>
      <w:tblPr>
        <w:tblStyle w:val="TableGrid"/>
        <w:tblW w:w="0" w:type="auto"/>
        <w:jc w:val="center"/>
        <w:tblLook w:val="04A0" w:firstRow="1" w:lastRow="0" w:firstColumn="1" w:lastColumn="0" w:noHBand="0" w:noVBand="1"/>
      </w:tblPr>
      <w:tblGrid>
        <w:gridCol w:w="4671"/>
        <w:gridCol w:w="4679"/>
      </w:tblGrid>
      <w:tr w:rsidR="00BB1F3E" w:rsidRPr="006E26E4" w14:paraId="0BE7691D" w14:textId="77777777" w:rsidTr="00403A54">
        <w:trPr>
          <w:jc w:val="center"/>
        </w:trPr>
        <w:tc>
          <w:tcPr>
            <w:tcW w:w="4671" w:type="dxa"/>
            <w:shd w:val="clear" w:color="auto" w:fill="D9D9D9" w:themeFill="background1" w:themeFillShade="D9"/>
          </w:tcPr>
          <w:p w14:paraId="689609A6" w14:textId="77777777" w:rsidR="00BB1F3E" w:rsidRPr="00FA46D8" w:rsidRDefault="00BB1F3E" w:rsidP="00E50A07">
            <w:pPr>
              <w:spacing w:before="40"/>
              <w:rPr>
                <w:rFonts w:cs="Arial"/>
                <w:b/>
                <w:lang w:eastAsia="ja-JP"/>
              </w:rPr>
            </w:pPr>
            <w:r w:rsidRPr="00FA46D8">
              <w:rPr>
                <w:rFonts w:cs="Arial"/>
                <w:b/>
                <w:lang w:eastAsia="ja-JP"/>
              </w:rPr>
              <w:t>Physical Address</w:t>
            </w:r>
          </w:p>
          <w:p w14:paraId="5EFD147F" w14:textId="77777777" w:rsidR="00BB1F3E" w:rsidRPr="00FA46D8" w:rsidRDefault="00BB1F3E" w:rsidP="00E50A07">
            <w:pPr>
              <w:spacing w:before="40"/>
              <w:rPr>
                <w:rFonts w:cs="Arial"/>
                <w:lang w:eastAsia="ja-JP"/>
              </w:rPr>
            </w:pPr>
            <w:r w:rsidRPr="00FA46D8">
              <w:rPr>
                <w:rFonts w:cs="Arial"/>
                <w:lang w:eastAsia="ja-JP"/>
              </w:rPr>
              <w:t>(used for public reporting)</w:t>
            </w:r>
          </w:p>
        </w:tc>
        <w:tc>
          <w:tcPr>
            <w:tcW w:w="4679" w:type="dxa"/>
            <w:shd w:val="clear" w:color="auto" w:fill="D9D9D9" w:themeFill="background1" w:themeFillShade="D9"/>
          </w:tcPr>
          <w:p w14:paraId="2E083B42" w14:textId="77777777" w:rsidR="00BB1F3E" w:rsidRPr="00FA46D8" w:rsidRDefault="00BB1F3E" w:rsidP="00E50A07">
            <w:pPr>
              <w:spacing w:before="40"/>
              <w:rPr>
                <w:rFonts w:cs="Arial"/>
                <w:b/>
                <w:lang w:eastAsia="ja-JP"/>
              </w:rPr>
            </w:pPr>
            <w:r w:rsidRPr="00FA46D8">
              <w:rPr>
                <w:rFonts w:cs="Arial"/>
                <w:b/>
                <w:lang w:eastAsia="ja-JP"/>
              </w:rPr>
              <w:t>Mailing Address</w:t>
            </w:r>
          </w:p>
          <w:p w14:paraId="0CD614C4" w14:textId="77777777" w:rsidR="00BB1F3E" w:rsidRPr="00FA46D8" w:rsidRDefault="00BB1F3E" w:rsidP="00E50A07">
            <w:pPr>
              <w:spacing w:before="40"/>
              <w:rPr>
                <w:rFonts w:cs="Arial"/>
                <w:lang w:eastAsia="ja-JP"/>
              </w:rPr>
            </w:pPr>
            <w:r w:rsidRPr="00FA46D8">
              <w:rPr>
                <w:rFonts w:cs="Arial"/>
                <w:lang w:eastAsia="ja-JP"/>
              </w:rPr>
              <w:t>(used to send important communications)</w:t>
            </w:r>
          </w:p>
        </w:tc>
      </w:tr>
      <w:tr w:rsidR="00BB1F3E" w:rsidRPr="006E26E4" w14:paraId="1228EEE2" w14:textId="77777777" w:rsidTr="00403A54">
        <w:trPr>
          <w:jc w:val="center"/>
        </w:trPr>
        <w:tc>
          <w:tcPr>
            <w:tcW w:w="4671" w:type="dxa"/>
            <w:tcBorders>
              <w:bottom w:val="single" w:sz="4" w:space="0" w:color="auto"/>
            </w:tcBorders>
            <w:shd w:val="clear" w:color="auto" w:fill="D9D9D9" w:themeFill="background1" w:themeFillShade="D9"/>
          </w:tcPr>
          <w:p w14:paraId="47B84312" w14:textId="77777777" w:rsidR="00BB1F3E" w:rsidRPr="00FA46D8" w:rsidRDefault="00BB1F3E" w:rsidP="00E50A07">
            <w:pPr>
              <w:spacing w:before="40"/>
              <w:rPr>
                <w:rFonts w:cs="Arial"/>
                <w:b/>
                <w:lang w:eastAsia="ja-JP"/>
              </w:rPr>
            </w:pPr>
            <w:r w:rsidRPr="00FA46D8">
              <w:rPr>
                <w:rFonts w:cs="Arial"/>
                <w:b/>
                <w:lang w:eastAsia="ja-JP"/>
              </w:rPr>
              <w:t>Street Address</w:t>
            </w:r>
          </w:p>
        </w:tc>
        <w:tc>
          <w:tcPr>
            <w:tcW w:w="4679" w:type="dxa"/>
            <w:tcBorders>
              <w:bottom w:val="single" w:sz="4" w:space="0" w:color="auto"/>
            </w:tcBorders>
            <w:shd w:val="clear" w:color="auto" w:fill="D9D9D9" w:themeFill="background1" w:themeFillShade="D9"/>
          </w:tcPr>
          <w:p w14:paraId="02F1D299" w14:textId="77777777" w:rsidR="00BB1F3E" w:rsidRPr="00FA46D8" w:rsidRDefault="00615551" w:rsidP="00E50A07">
            <w:pPr>
              <w:spacing w:before="40"/>
              <w:rPr>
                <w:rFonts w:cs="Arial"/>
                <w:b/>
                <w:lang w:eastAsia="ja-JP"/>
              </w:rPr>
            </w:pPr>
            <w:r w:rsidRPr="00FA46D8">
              <w:rPr>
                <w:rFonts w:cs="Arial"/>
                <w:b/>
                <w:lang w:eastAsia="ja-JP"/>
              </w:rPr>
              <w:t>Street Address or P.O</w:t>
            </w:r>
            <w:r w:rsidR="00BB1F3E" w:rsidRPr="00FA46D8">
              <w:rPr>
                <w:rFonts w:cs="Arial"/>
                <w:b/>
                <w:lang w:eastAsia="ja-JP"/>
              </w:rPr>
              <w:t>. Box</w:t>
            </w:r>
          </w:p>
        </w:tc>
      </w:tr>
      <w:tr w:rsidR="00BB1F3E" w:rsidRPr="006E26E4" w14:paraId="45A0FD88" w14:textId="77777777" w:rsidTr="00403A54">
        <w:trPr>
          <w:jc w:val="center"/>
        </w:trPr>
        <w:tc>
          <w:tcPr>
            <w:tcW w:w="4671" w:type="dxa"/>
          </w:tcPr>
          <w:p w14:paraId="47610987" w14:textId="77777777" w:rsidR="0087020F" w:rsidRPr="00FA46D8" w:rsidRDefault="0087020F" w:rsidP="00BB1F3E">
            <w:pPr>
              <w:rPr>
                <w:rFonts w:cs="Arial"/>
                <w:b/>
                <w:lang w:eastAsia="ja-JP"/>
              </w:rPr>
            </w:pPr>
          </w:p>
        </w:tc>
        <w:tc>
          <w:tcPr>
            <w:tcW w:w="4679" w:type="dxa"/>
          </w:tcPr>
          <w:p w14:paraId="70B75E13" w14:textId="77777777" w:rsidR="00BB1F3E" w:rsidRPr="00FA46D8" w:rsidRDefault="00BB1F3E" w:rsidP="00BB1F3E">
            <w:pPr>
              <w:rPr>
                <w:rFonts w:cs="Arial"/>
                <w:b/>
                <w:lang w:eastAsia="ja-JP"/>
              </w:rPr>
            </w:pPr>
          </w:p>
        </w:tc>
      </w:tr>
      <w:tr w:rsidR="00BB1F3E" w:rsidRPr="006E26E4" w14:paraId="182A8EA7" w14:textId="77777777" w:rsidTr="00403A54">
        <w:trPr>
          <w:jc w:val="center"/>
        </w:trPr>
        <w:tc>
          <w:tcPr>
            <w:tcW w:w="4671" w:type="dxa"/>
            <w:shd w:val="clear" w:color="auto" w:fill="D9D9D9" w:themeFill="background1" w:themeFillShade="D9"/>
          </w:tcPr>
          <w:p w14:paraId="4C2B2359" w14:textId="77777777" w:rsidR="00BB1F3E" w:rsidRPr="00FA46D8" w:rsidRDefault="00BB1F3E" w:rsidP="00E50A07">
            <w:pPr>
              <w:spacing w:before="40"/>
              <w:rPr>
                <w:rFonts w:cs="Arial"/>
                <w:b/>
                <w:lang w:eastAsia="ja-JP"/>
              </w:rPr>
            </w:pPr>
            <w:r w:rsidRPr="00FA46D8">
              <w:rPr>
                <w:rFonts w:cs="Arial"/>
                <w:b/>
                <w:lang w:eastAsia="ja-JP"/>
              </w:rPr>
              <w:t>City</w:t>
            </w:r>
          </w:p>
        </w:tc>
        <w:tc>
          <w:tcPr>
            <w:tcW w:w="4679" w:type="dxa"/>
            <w:shd w:val="clear" w:color="auto" w:fill="D9D9D9" w:themeFill="background1" w:themeFillShade="D9"/>
          </w:tcPr>
          <w:p w14:paraId="2DF7D81D" w14:textId="77777777" w:rsidR="00BB1F3E" w:rsidRPr="00FA46D8" w:rsidRDefault="00BB1F3E" w:rsidP="00E50A07">
            <w:pPr>
              <w:spacing w:before="40"/>
              <w:rPr>
                <w:rFonts w:cs="Arial"/>
                <w:b/>
                <w:lang w:eastAsia="ja-JP"/>
              </w:rPr>
            </w:pPr>
            <w:r w:rsidRPr="00FA46D8">
              <w:rPr>
                <w:rFonts w:cs="Arial"/>
                <w:b/>
                <w:lang w:eastAsia="ja-JP"/>
              </w:rPr>
              <w:t>City</w:t>
            </w:r>
          </w:p>
        </w:tc>
      </w:tr>
      <w:tr w:rsidR="00BB1F3E" w:rsidRPr="006E26E4" w14:paraId="4CF1A473" w14:textId="77777777" w:rsidTr="00403A54">
        <w:trPr>
          <w:jc w:val="center"/>
        </w:trPr>
        <w:tc>
          <w:tcPr>
            <w:tcW w:w="4671" w:type="dxa"/>
          </w:tcPr>
          <w:p w14:paraId="33AF6666" w14:textId="77777777" w:rsidR="0087020F" w:rsidRPr="00FA46D8" w:rsidRDefault="0087020F" w:rsidP="00BB1F3E">
            <w:pPr>
              <w:rPr>
                <w:rFonts w:cs="Arial"/>
                <w:b/>
                <w:lang w:eastAsia="ja-JP"/>
              </w:rPr>
            </w:pPr>
          </w:p>
        </w:tc>
        <w:tc>
          <w:tcPr>
            <w:tcW w:w="4679" w:type="dxa"/>
          </w:tcPr>
          <w:p w14:paraId="6AF826B3" w14:textId="77777777" w:rsidR="00BB1F3E" w:rsidRPr="00FA46D8" w:rsidRDefault="00BB1F3E" w:rsidP="00BB1F3E">
            <w:pPr>
              <w:rPr>
                <w:rFonts w:cs="Arial"/>
                <w:b/>
                <w:lang w:eastAsia="ja-JP"/>
              </w:rPr>
            </w:pPr>
          </w:p>
        </w:tc>
      </w:tr>
      <w:tr w:rsidR="00BB1F3E" w:rsidRPr="006E26E4" w14:paraId="2EDAC667" w14:textId="77777777" w:rsidTr="00403A54">
        <w:trPr>
          <w:jc w:val="center"/>
        </w:trPr>
        <w:tc>
          <w:tcPr>
            <w:tcW w:w="4671" w:type="dxa"/>
            <w:shd w:val="clear" w:color="auto" w:fill="D9D9D9" w:themeFill="background1" w:themeFillShade="D9"/>
          </w:tcPr>
          <w:p w14:paraId="6D3EC0B1" w14:textId="343964B7" w:rsidR="00BB1F3E" w:rsidRPr="00FA46D8" w:rsidRDefault="00BB1F3E" w:rsidP="00E50A07">
            <w:pPr>
              <w:spacing w:before="40"/>
              <w:rPr>
                <w:rFonts w:cs="Arial"/>
                <w:b/>
                <w:lang w:eastAsia="ja-JP"/>
              </w:rPr>
            </w:pPr>
            <w:hyperlink w:anchor="Endnote5_State" w:history="1">
              <w:r w:rsidRPr="00FA46D8">
                <w:rPr>
                  <w:rStyle w:val="Hyperlink"/>
                  <w:rFonts w:cs="Arial"/>
                  <w:b/>
                  <w:lang w:eastAsia="ja-JP"/>
                </w:rPr>
                <w:t>State</w:t>
              </w:r>
            </w:hyperlink>
            <w:r w:rsidR="00BF053F">
              <w:rPr>
                <w:rFonts w:ascii="ZWAdobeF" w:hAnsi="ZWAdobeF" w:cs="ZWAdobeF"/>
                <w:sz w:val="2"/>
                <w:szCs w:val="2"/>
              </w:rPr>
              <w:t>6F</w:t>
            </w:r>
            <w:r w:rsidR="004C7557">
              <w:rPr>
                <w:rFonts w:ascii="ZWAdobeF" w:hAnsi="ZWAdobeF" w:cs="ZWAdobeF"/>
                <w:sz w:val="2"/>
                <w:szCs w:val="2"/>
              </w:rPr>
              <w:t>6F</w:t>
            </w:r>
            <w:r w:rsidR="00C2087D">
              <w:rPr>
                <w:rFonts w:ascii="ZWAdobeF" w:hAnsi="ZWAdobeF" w:cs="ZWAdobeF"/>
                <w:sz w:val="2"/>
                <w:szCs w:val="2"/>
              </w:rPr>
              <w:t>6F</w:t>
            </w:r>
            <w:r w:rsidR="00B55C41">
              <w:rPr>
                <w:rFonts w:ascii="ZWAdobeF" w:hAnsi="ZWAdobeF" w:cs="ZWAdobeF"/>
                <w:sz w:val="2"/>
                <w:szCs w:val="2"/>
              </w:rPr>
              <w:t>6F</w:t>
            </w:r>
            <w:r w:rsidR="006255A6">
              <w:rPr>
                <w:rFonts w:ascii="ZWAdobeF" w:hAnsi="ZWAdobeF" w:cs="ZWAdobeF"/>
                <w:sz w:val="2"/>
                <w:szCs w:val="2"/>
              </w:rPr>
              <w:t>6F</w:t>
            </w:r>
            <w:r w:rsidR="00E453C7">
              <w:rPr>
                <w:rFonts w:ascii="ZWAdobeF" w:hAnsi="ZWAdobeF" w:cs="ZWAdobeF"/>
                <w:sz w:val="2"/>
                <w:szCs w:val="2"/>
              </w:rPr>
              <w:t>6F</w:t>
            </w:r>
            <w:r w:rsidR="00953060">
              <w:rPr>
                <w:rFonts w:ascii="ZWAdobeF" w:hAnsi="ZWAdobeF" w:cs="ZWAdobeF"/>
                <w:sz w:val="2"/>
                <w:szCs w:val="2"/>
              </w:rPr>
              <w:t>6F</w:t>
            </w:r>
            <w:r w:rsidR="00DD04D6">
              <w:rPr>
                <w:rFonts w:ascii="ZWAdobeF" w:hAnsi="ZWAdobeF" w:cs="ZWAdobeF"/>
                <w:sz w:val="2"/>
                <w:szCs w:val="2"/>
              </w:rPr>
              <w:t>6F</w:t>
            </w:r>
            <w:r w:rsidR="008A6A1B" w:rsidRPr="00FA46D8">
              <w:rPr>
                <w:rStyle w:val="EndnoteReference"/>
                <w:rFonts w:cs="Arial"/>
                <w:b/>
                <w:lang w:eastAsia="ja-JP"/>
              </w:rPr>
              <w:endnoteReference w:id="8"/>
            </w:r>
          </w:p>
        </w:tc>
        <w:tc>
          <w:tcPr>
            <w:tcW w:w="4679" w:type="dxa"/>
            <w:shd w:val="clear" w:color="auto" w:fill="D9D9D9" w:themeFill="background1" w:themeFillShade="D9"/>
          </w:tcPr>
          <w:p w14:paraId="1B733C3E" w14:textId="39DD04C6" w:rsidR="00BB1F3E" w:rsidRPr="00FA46D8" w:rsidRDefault="00B23DBC" w:rsidP="00E50A07">
            <w:pPr>
              <w:spacing w:before="40"/>
              <w:rPr>
                <w:rFonts w:cs="Arial"/>
                <w:b/>
                <w:lang w:eastAsia="ja-JP"/>
              </w:rPr>
            </w:pPr>
            <w:r>
              <w:rPr>
                <w:rFonts w:cs="Arial"/>
                <w:b/>
                <w:lang w:eastAsia="ja-JP"/>
              </w:rPr>
              <w:t>Country</w:t>
            </w:r>
          </w:p>
        </w:tc>
      </w:tr>
      <w:tr w:rsidR="00FB7AA3" w:rsidRPr="006E26E4" w14:paraId="1501F293" w14:textId="77777777" w:rsidTr="00FB7AA3">
        <w:trPr>
          <w:jc w:val="center"/>
        </w:trPr>
        <w:tc>
          <w:tcPr>
            <w:tcW w:w="4671" w:type="dxa"/>
          </w:tcPr>
          <w:p w14:paraId="73D7D786" w14:textId="77777777" w:rsidR="00FB7AA3" w:rsidRDefault="00FB7AA3" w:rsidP="00E50A07">
            <w:pPr>
              <w:spacing w:before="40"/>
            </w:pPr>
          </w:p>
        </w:tc>
        <w:tc>
          <w:tcPr>
            <w:tcW w:w="4679" w:type="dxa"/>
          </w:tcPr>
          <w:p w14:paraId="3A7426D1" w14:textId="77777777" w:rsidR="00FB7AA3" w:rsidRPr="00FA46D8" w:rsidRDefault="00FB7AA3" w:rsidP="00E50A07">
            <w:pPr>
              <w:spacing w:before="40"/>
              <w:rPr>
                <w:rFonts w:cs="Arial"/>
                <w:b/>
                <w:lang w:eastAsia="ja-JP"/>
              </w:rPr>
            </w:pPr>
          </w:p>
        </w:tc>
      </w:tr>
      <w:tr w:rsidR="00BB1F3E" w:rsidRPr="006E26E4" w14:paraId="0DF423DF" w14:textId="77777777" w:rsidTr="007C56CD">
        <w:trPr>
          <w:jc w:val="center"/>
        </w:trPr>
        <w:tc>
          <w:tcPr>
            <w:tcW w:w="4671" w:type="dxa"/>
            <w:shd w:val="clear" w:color="auto" w:fill="D9D9D9" w:themeFill="background1" w:themeFillShade="D9"/>
          </w:tcPr>
          <w:p w14:paraId="19FA39E2" w14:textId="36DAE234" w:rsidR="0087020F" w:rsidRPr="00FA46D8" w:rsidRDefault="00B23DBC" w:rsidP="00BB1F3E">
            <w:pPr>
              <w:rPr>
                <w:rFonts w:cs="Arial"/>
                <w:b/>
                <w:lang w:eastAsia="ja-JP"/>
              </w:rPr>
            </w:pPr>
            <w:r w:rsidRPr="00FA46D8">
              <w:rPr>
                <w:rFonts w:cs="Arial"/>
                <w:b/>
                <w:lang w:eastAsia="ja-JP"/>
              </w:rPr>
              <w:t>Zip Code</w:t>
            </w:r>
          </w:p>
        </w:tc>
        <w:tc>
          <w:tcPr>
            <w:tcW w:w="4679" w:type="dxa"/>
            <w:shd w:val="clear" w:color="auto" w:fill="D9D9D9" w:themeFill="background1" w:themeFillShade="D9"/>
          </w:tcPr>
          <w:p w14:paraId="2F8B4C20" w14:textId="24BF4BDB" w:rsidR="00BB1F3E" w:rsidRPr="00FA46D8" w:rsidRDefault="00B23DBC" w:rsidP="00BB1F3E">
            <w:pPr>
              <w:rPr>
                <w:rFonts w:cs="Arial"/>
                <w:b/>
                <w:lang w:eastAsia="ja-JP"/>
              </w:rPr>
            </w:pPr>
            <w:r w:rsidRPr="00FA46D8">
              <w:rPr>
                <w:rFonts w:cs="Arial"/>
                <w:b/>
                <w:lang w:eastAsia="ja-JP"/>
              </w:rPr>
              <w:t>State</w:t>
            </w:r>
          </w:p>
        </w:tc>
      </w:tr>
      <w:tr w:rsidR="00B23DBC" w:rsidRPr="006E26E4" w14:paraId="12F7ADF1" w14:textId="77777777" w:rsidTr="00403A54">
        <w:trPr>
          <w:jc w:val="center"/>
        </w:trPr>
        <w:tc>
          <w:tcPr>
            <w:tcW w:w="4671" w:type="dxa"/>
          </w:tcPr>
          <w:p w14:paraId="64188088" w14:textId="77777777" w:rsidR="00B23DBC" w:rsidRPr="00FA46D8" w:rsidRDefault="00B23DBC" w:rsidP="00BB1F3E">
            <w:pPr>
              <w:rPr>
                <w:rFonts w:cs="Arial"/>
                <w:b/>
                <w:lang w:eastAsia="ja-JP"/>
              </w:rPr>
            </w:pPr>
          </w:p>
        </w:tc>
        <w:tc>
          <w:tcPr>
            <w:tcW w:w="4679" w:type="dxa"/>
          </w:tcPr>
          <w:p w14:paraId="1B07BD59" w14:textId="77777777" w:rsidR="00B23DBC" w:rsidRPr="00FA46D8" w:rsidRDefault="00B23DBC" w:rsidP="00BB1F3E">
            <w:pPr>
              <w:rPr>
                <w:rFonts w:cs="Arial"/>
                <w:b/>
                <w:lang w:eastAsia="ja-JP"/>
              </w:rPr>
            </w:pPr>
          </w:p>
        </w:tc>
      </w:tr>
      <w:tr w:rsidR="00BB1F3E" w:rsidRPr="006E26E4" w14:paraId="616CBAD4" w14:textId="77777777" w:rsidTr="00403A54">
        <w:trPr>
          <w:jc w:val="center"/>
        </w:trPr>
        <w:tc>
          <w:tcPr>
            <w:tcW w:w="4671" w:type="dxa"/>
            <w:shd w:val="clear" w:color="auto" w:fill="D9D9D9" w:themeFill="background1" w:themeFillShade="D9"/>
          </w:tcPr>
          <w:p w14:paraId="6A10D6FC" w14:textId="7BC7E740" w:rsidR="00BB1F3E" w:rsidRPr="00FA46D8" w:rsidRDefault="00B23DBC" w:rsidP="00E50A07">
            <w:pPr>
              <w:spacing w:before="40"/>
              <w:rPr>
                <w:rFonts w:cs="Arial"/>
                <w:b/>
                <w:lang w:eastAsia="ja-JP"/>
              </w:rPr>
            </w:pPr>
            <w:r w:rsidRPr="00FA46D8">
              <w:rPr>
                <w:rFonts w:cs="Arial"/>
                <w:b/>
                <w:lang w:eastAsia="ja-JP"/>
              </w:rPr>
              <w:t>Zip Code Suffix</w:t>
            </w:r>
          </w:p>
        </w:tc>
        <w:tc>
          <w:tcPr>
            <w:tcW w:w="4679" w:type="dxa"/>
            <w:shd w:val="clear" w:color="auto" w:fill="D9D9D9" w:themeFill="background1" w:themeFillShade="D9"/>
          </w:tcPr>
          <w:p w14:paraId="23146B7F" w14:textId="77777777" w:rsidR="00BB1F3E" w:rsidRPr="00FA46D8" w:rsidRDefault="00BB1F3E" w:rsidP="00E50A07">
            <w:pPr>
              <w:spacing w:before="40"/>
              <w:rPr>
                <w:rFonts w:cs="Arial"/>
                <w:b/>
                <w:lang w:eastAsia="ja-JP"/>
              </w:rPr>
            </w:pPr>
            <w:r w:rsidRPr="00FA46D8">
              <w:rPr>
                <w:rFonts w:cs="Arial"/>
                <w:b/>
                <w:lang w:eastAsia="ja-JP"/>
              </w:rPr>
              <w:t>Zip Code</w:t>
            </w:r>
          </w:p>
        </w:tc>
      </w:tr>
      <w:tr w:rsidR="00BB1F3E" w:rsidRPr="006E26E4" w14:paraId="6BAC9FDB" w14:textId="77777777" w:rsidTr="00403A54">
        <w:trPr>
          <w:jc w:val="center"/>
        </w:trPr>
        <w:tc>
          <w:tcPr>
            <w:tcW w:w="4671" w:type="dxa"/>
          </w:tcPr>
          <w:p w14:paraId="23485319" w14:textId="77777777" w:rsidR="0087020F" w:rsidRPr="00FA46D8" w:rsidRDefault="0087020F" w:rsidP="00BB1F3E">
            <w:pPr>
              <w:rPr>
                <w:rFonts w:cs="Arial"/>
                <w:b/>
                <w:lang w:eastAsia="ja-JP"/>
              </w:rPr>
            </w:pPr>
          </w:p>
        </w:tc>
        <w:tc>
          <w:tcPr>
            <w:tcW w:w="4679" w:type="dxa"/>
          </w:tcPr>
          <w:p w14:paraId="28A8B821" w14:textId="77777777" w:rsidR="00BB1F3E" w:rsidRPr="00FA46D8" w:rsidRDefault="00BB1F3E" w:rsidP="00BB1F3E">
            <w:pPr>
              <w:rPr>
                <w:rFonts w:cs="Arial"/>
                <w:b/>
                <w:lang w:eastAsia="ja-JP"/>
              </w:rPr>
            </w:pPr>
          </w:p>
        </w:tc>
      </w:tr>
      <w:tr w:rsidR="00BB1F3E" w:rsidRPr="006E26E4" w14:paraId="197C53DE" w14:textId="77777777" w:rsidTr="00403A54">
        <w:trPr>
          <w:jc w:val="center"/>
        </w:trPr>
        <w:tc>
          <w:tcPr>
            <w:tcW w:w="4671" w:type="dxa"/>
            <w:tcBorders>
              <w:bottom w:val="single" w:sz="4" w:space="0" w:color="auto"/>
            </w:tcBorders>
            <w:shd w:val="clear" w:color="auto" w:fill="D9D9D9" w:themeFill="background1" w:themeFillShade="D9"/>
          </w:tcPr>
          <w:p w14:paraId="587D748A" w14:textId="10C3C843" w:rsidR="00BB1F3E" w:rsidRPr="00FA46D8" w:rsidRDefault="00B23DBC" w:rsidP="00E50A07">
            <w:pPr>
              <w:spacing w:before="40"/>
              <w:rPr>
                <w:rFonts w:cs="Arial"/>
                <w:b/>
                <w:lang w:eastAsia="ja-JP"/>
              </w:rPr>
            </w:pPr>
            <w:r w:rsidRPr="00FA46D8">
              <w:rPr>
                <w:rFonts w:cs="Arial"/>
                <w:b/>
                <w:lang w:eastAsia="ja-JP"/>
              </w:rPr>
              <w:t>Main Phone Number</w:t>
            </w:r>
          </w:p>
        </w:tc>
        <w:tc>
          <w:tcPr>
            <w:tcW w:w="4679" w:type="dxa"/>
            <w:tcBorders>
              <w:bottom w:val="single" w:sz="4" w:space="0" w:color="auto"/>
            </w:tcBorders>
            <w:shd w:val="clear" w:color="auto" w:fill="D9D9D9" w:themeFill="background1" w:themeFillShade="D9"/>
          </w:tcPr>
          <w:p w14:paraId="5FECC632" w14:textId="77777777" w:rsidR="00BB1F3E" w:rsidRPr="00FA46D8" w:rsidRDefault="00BB1F3E" w:rsidP="00E50A07">
            <w:pPr>
              <w:spacing w:before="40"/>
              <w:rPr>
                <w:rFonts w:cs="Arial"/>
                <w:b/>
                <w:lang w:eastAsia="ja-JP"/>
              </w:rPr>
            </w:pPr>
            <w:r w:rsidRPr="00FA46D8">
              <w:rPr>
                <w:rFonts w:cs="Arial"/>
                <w:b/>
                <w:lang w:eastAsia="ja-JP"/>
              </w:rPr>
              <w:t>Zip Code Suffix</w:t>
            </w:r>
          </w:p>
        </w:tc>
      </w:tr>
      <w:tr w:rsidR="00BB1F3E" w:rsidRPr="006E26E4" w14:paraId="0D445723" w14:textId="77777777" w:rsidTr="00403A54">
        <w:trPr>
          <w:jc w:val="center"/>
        </w:trPr>
        <w:tc>
          <w:tcPr>
            <w:tcW w:w="4671" w:type="dxa"/>
            <w:tcBorders>
              <w:top w:val="single" w:sz="4" w:space="0" w:color="auto"/>
              <w:right w:val="single" w:sz="4" w:space="0" w:color="auto"/>
            </w:tcBorders>
          </w:tcPr>
          <w:p w14:paraId="51AA2E1C" w14:textId="77777777" w:rsidR="0087020F" w:rsidRPr="00FA46D8" w:rsidRDefault="0087020F" w:rsidP="00BB1F3E">
            <w:pPr>
              <w:rPr>
                <w:rFonts w:cs="Arial"/>
                <w:b/>
                <w:lang w:eastAsia="ja-JP"/>
              </w:rPr>
            </w:pPr>
          </w:p>
        </w:tc>
        <w:tc>
          <w:tcPr>
            <w:tcW w:w="4679" w:type="dxa"/>
            <w:tcBorders>
              <w:top w:val="single" w:sz="4" w:space="0" w:color="auto"/>
              <w:left w:val="single" w:sz="4" w:space="0" w:color="auto"/>
              <w:bottom w:val="single" w:sz="4" w:space="0" w:color="auto"/>
              <w:right w:val="single" w:sz="4" w:space="0" w:color="auto"/>
            </w:tcBorders>
          </w:tcPr>
          <w:p w14:paraId="08B7C66F" w14:textId="77777777" w:rsidR="00BB1F3E" w:rsidRPr="00FA46D8" w:rsidRDefault="00BB1F3E" w:rsidP="00BB1F3E">
            <w:pPr>
              <w:rPr>
                <w:rFonts w:cs="Arial"/>
                <w:b/>
                <w:lang w:eastAsia="ja-JP"/>
              </w:rPr>
            </w:pPr>
          </w:p>
        </w:tc>
      </w:tr>
      <w:tr w:rsidR="00BB1F3E" w:rsidRPr="006E26E4" w14:paraId="68766480" w14:textId="77777777" w:rsidTr="00403A54">
        <w:trPr>
          <w:jc w:val="center"/>
        </w:trPr>
        <w:tc>
          <w:tcPr>
            <w:tcW w:w="4671" w:type="dxa"/>
            <w:tcBorders>
              <w:right w:val="single" w:sz="4" w:space="0" w:color="auto"/>
            </w:tcBorders>
            <w:shd w:val="clear" w:color="auto" w:fill="D9D9D9" w:themeFill="background1" w:themeFillShade="D9"/>
          </w:tcPr>
          <w:p w14:paraId="62C24662" w14:textId="18D99E25" w:rsidR="00BB1F3E" w:rsidRPr="00FA46D8" w:rsidRDefault="00BB1F3E" w:rsidP="00E50A07">
            <w:pPr>
              <w:spacing w:before="40"/>
              <w:rPr>
                <w:rFonts w:cs="Arial"/>
                <w:b/>
                <w:lang w:eastAsia="ja-JP"/>
              </w:rPr>
            </w:pPr>
            <w:hyperlink w:anchor="Endnote6_Web" w:history="1">
              <w:r w:rsidRPr="00FA46D8">
                <w:rPr>
                  <w:rStyle w:val="Hyperlink"/>
                  <w:rFonts w:cs="Arial"/>
                  <w:b/>
                  <w:lang w:eastAsia="ja-JP"/>
                </w:rPr>
                <w:t>Hospital Website Address</w:t>
              </w:r>
            </w:hyperlink>
            <w:r w:rsidR="00BF053F">
              <w:rPr>
                <w:rFonts w:ascii="ZWAdobeF" w:hAnsi="ZWAdobeF" w:cs="ZWAdobeF"/>
                <w:sz w:val="2"/>
                <w:szCs w:val="2"/>
              </w:rPr>
              <w:t>7F</w:t>
            </w:r>
            <w:r w:rsidR="004C7557">
              <w:rPr>
                <w:rFonts w:ascii="ZWAdobeF" w:hAnsi="ZWAdobeF" w:cs="ZWAdobeF"/>
                <w:sz w:val="2"/>
                <w:szCs w:val="2"/>
              </w:rPr>
              <w:t>7F</w:t>
            </w:r>
            <w:r w:rsidR="00C2087D">
              <w:rPr>
                <w:rFonts w:ascii="ZWAdobeF" w:hAnsi="ZWAdobeF" w:cs="ZWAdobeF"/>
                <w:sz w:val="2"/>
                <w:szCs w:val="2"/>
              </w:rPr>
              <w:t>7F</w:t>
            </w:r>
            <w:r w:rsidR="00B55C41">
              <w:rPr>
                <w:rFonts w:ascii="ZWAdobeF" w:hAnsi="ZWAdobeF" w:cs="ZWAdobeF"/>
                <w:sz w:val="2"/>
                <w:szCs w:val="2"/>
              </w:rPr>
              <w:t>7F</w:t>
            </w:r>
            <w:r w:rsidR="006255A6">
              <w:rPr>
                <w:rFonts w:ascii="ZWAdobeF" w:hAnsi="ZWAdobeF" w:cs="ZWAdobeF"/>
                <w:sz w:val="2"/>
                <w:szCs w:val="2"/>
              </w:rPr>
              <w:t>7F</w:t>
            </w:r>
            <w:r w:rsidR="00E453C7">
              <w:rPr>
                <w:rFonts w:ascii="ZWAdobeF" w:hAnsi="ZWAdobeF" w:cs="ZWAdobeF"/>
                <w:sz w:val="2"/>
                <w:szCs w:val="2"/>
              </w:rPr>
              <w:t>7F</w:t>
            </w:r>
            <w:r w:rsidR="00953060">
              <w:rPr>
                <w:rFonts w:ascii="ZWAdobeF" w:hAnsi="ZWAdobeF" w:cs="ZWAdobeF"/>
                <w:sz w:val="2"/>
                <w:szCs w:val="2"/>
              </w:rPr>
              <w:t>7F</w:t>
            </w:r>
            <w:r w:rsidR="00DD04D6">
              <w:rPr>
                <w:rFonts w:ascii="ZWAdobeF" w:hAnsi="ZWAdobeF" w:cs="ZWAdobeF"/>
                <w:sz w:val="2"/>
                <w:szCs w:val="2"/>
              </w:rPr>
              <w:t>7F</w:t>
            </w:r>
            <w:r w:rsidR="000469EC" w:rsidRPr="00FA46D8">
              <w:rPr>
                <w:rStyle w:val="EndnoteReference"/>
                <w:rFonts w:cs="Arial"/>
                <w:b/>
                <w:lang w:eastAsia="ja-JP"/>
              </w:rPr>
              <w:endnoteReference w:id="9"/>
            </w:r>
          </w:p>
          <w:p w14:paraId="5212F830" w14:textId="588D7E37" w:rsidR="00881088" w:rsidRPr="00FA46D8" w:rsidRDefault="00881088" w:rsidP="00BB1F3E">
            <w:pPr>
              <w:rPr>
                <w:rFonts w:cs="Arial"/>
                <w:lang w:eastAsia="ja-JP"/>
              </w:rPr>
            </w:pPr>
            <w:r w:rsidRPr="00FA46D8">
              <w:rPr>
                <w:rFonts w:cs="Arial"/>
                <w:lang w:eastAsia="ja-JP"/>
              </w:rPr>
              <w:t>(</w:t>
            </w:r>
            <w:r w:rsidR="006938FB">
              <w:rPr>
                <w:rFonts w:cs="Arial"/>
                <w:lang w:eastAsia="ja-JP"/>
              </w:rPr>
              <w:t>s</w:t>
            </w:r>
            <w:r w:rsidRPr="00FA46D8">
              <w:rPr>
                <w:rFonts w:cs="Arial"/>
                <w:lang w:eastAsia="ja-JP"/>
              </w:rPr>
              <w:t xml:space="preserve">o consumers can learn more about your hospital’s efforts in the area of patient safety and quality improvement) </w:t>
            </w:r>
          </w:p>
        </w:tc>
        <w:tc>
          <w:tcPr>
            <w:tcW w:w="4679" w:type="dxa"/>
            <w:tcBorders>
              <w:top w:val="nil"/>
              <w:left w:val="single" w:sz="4" w:space="0" w:color="auto"/>
              <w:bottom w:val="nil"/>
              <w:right w:val="nil"/>
            </w:tcBorders>
          </w:tcPr>
          <w:p w14:paraId="3CC83A6E" w14:textId="77777777" w:rsidR="00BB1F3E" w:rsidRPr="00FA46D8" w:rsidRDefault="00BB1F3E" w:rsidP="00BB1F3E">
            <w:pPr>
              <w:rPr>
                <w:rFonts w:cs="Arial"/>
                <w:b/>
                <w:lang w:eastAsia="ja-JP"/>
              </w:rPr>
            </w:pPr>
          </w:p>
        </w:tc>
      </w:tr>
      <w:tr w:rsidR="0087020F" w:rsidRPr="006E26E4" w14:paraId="7A6EA1AE" w14:textId="77777777" w:rsidTr="00403A54">
        <w:trPr>
          <w:jc w:val="center"/>
        </w:trPr>
        <w:tc>
          <w:tcPr>
            <w:tcW w:w="4671" w:type="dxa"/>
            <w:tcBorders>
              <w:right w:val="single" w:sz="4" w:space="0" w:color="auto"/>
            </w:tcBorders>
          </w:tcPr>
          <w:p w14:paraId="20FA7AD6" w14:textId="77777777" w:rsidR="0087020F" w:rsidRPr="00FA46D8" w:rsidRDefault="0087020F" w:rsidP="00BB1F3E">
            <w:pPr>
              <w:rPr>
                <w:rFonts w:cs="Arial"/>
                <w:b/>
                <w:lang w:eastAsia="ja-JP"/>
              </w:rPr>
            </w:pPr>
          </w:p>
        </w:tc>
        <w:tc>
          <w:tcPr>
            <w:tcW w:w="4679" w:type="dxa"/>
            <w:tcBorders>
              <w:top w:val="nil"/>
              <w:left w:val="single" w:sz="4" w:space="0" w:color="auto"/>
              <w:bottom w:val="nil"/>
              <w:right w:val="nil"/>
            </w:tcBorders>
          </w:tcPr>
          <w:p w14:paraId="444732A4" w14:textId="77777777" w:rsidR="0087020F" w:rsidRPr="00FA46D8" w:rsidRDefault="0087020F" w:rsidP="00BB1F3E">
            <w:pPr>
              <w:rPr>
                <w:rFonts w:cs="Arial"/>
                <w:b/>
                <w:lang w:eastAsia="ja-JP"/>
              </w:rPr>
            </w:pPr>
          </w:p>
        </w:tc>
      </w:tr>
    </w:tbl>
    <w:p w14:paraId="109DC6FE" w14:textId="77777777" w:rsidR="00BB1339" w:rsidRPr="004D1420" w:rsidRDefault="00BB1339" w:rsidP="007D0C84"/>
    <w:p w14:paraId="38C3B100" w14:textId="679A8590" w:rsidR="00881088" w:rsidRDefault="008910AA" w:rsidP="00AB5B80">
      <w:pPr>
        <w:pStyle w:val="Heading3"/>
      </w:pPr>
      <w:bookmarkStart w:id="72" w:name="_Toc225877664"/>
      <w:r w:rsidRPr="009A5185">
        <w:t>Contact Information</w:t>
      </w:r>
      <w:bookmarkEnd w:id="72"/>
      <w:r w:rsidRPr="009A5185">
        <w:t xml:space="preserve"> </w:t>
      </w:r>
    </w:p>
    <w:p w14:paraId="2E02DD80" w14:textId="77777777" w:rsidR="00F9246C" w:rsidRPr="004D1420" w:rsidRDefault="00F9246C" w:rsidP="00F9246C">
      <w:pPr>
        <w:rPr>
          <w:lang w:eastAsia="ja-JP"/>
        </w:rPr>
      </w:pPr>
    </w:p>
    <w:tbl>
      <w:tblPr>
        <w:tblStyle w:val="TableGrid"/>
        <w:tblW w:w="0" w:type="auto"/>
        <w:jc w:val="center"/>
        <w:tblLook w:val="04A0" w:firstRow="1" w:lastRow="0" w:firstColumn="1" w:lastColumn="0" w:noHBand="0" w:noVBand="1"/>
      </w:tblPr>
      <w:tblGrid>
        <w:gridCol w:w="4672"/>
        <w:gridCol w:w="4678"/>
      </w:tblGrid>
      <w:tr w:rsidR="00881088" w:rsidRPr="006E26E4" w14:paraId="436BB7A0" w14:textId="77777777" w:rsidTr="00B563E2">
        <w:trPr>
          <w:jc w:val="center"/>
        </w:trPr>
        <w:tc>
          <w:tcPr>
            <w:tcW w:w="4788" w:type="dxa"/>
            <w:shd w:val="clear" w:color="auto" w:fill="D9D9D9" w:themeFill="background1" w:themeFillShade="D9"/>
          </w:tcPr>
          <w:p w14:paraId="466A11A2" w14:textId="77777777" w:rsidR="00881088" w:rsidRPr="00FA46D8" w:rsidRDefault="00881088" w:rsidP="00E50A07">
            <w:pPr>
              <w:spacing w:before="40"/>
              <w:rPr>
                <w:rFonts w:cs="Arial"/>
                <w:b/>
                <w:lang w:eastAsia="ja-JP"/>
              </w:rPr>
            </w:pPr>
            <w:r w:rsidRPr="00FA46D8">
              <w:rPr>
                <w:rFonts w:cs="Arial"/>
                <w:b/>
                <w:lang w:eastAsia="ja-JP"/>
              </w:rPr>
              <w:t>Chief Executive Officer (CEO</w:t>
            </w:r>
            <w:r w:rsidR="00090572" w:rsidRPr="00FA46D8">
              <w:rPr>
                <w:rFonts w:cs="Arial"/>
                <w:b/>
                <w:lang w:eastAsia="ja-JP"/>
              </w:rPr>
              <w:t>)</w:t>
            </w:r>
          </w:p>
        </w:tc>
        <w:tc>
          <w:tcPr>
            <w:tcW w:w="4788" w:type="dxa"/>
            <w:shd w:val="clear" w:color="auto" w:fill="D9D9D9" w:themeFill="background1" w:themeFillShade="D9"/>
          </w:tcPr>
          <w:p w14:paraId="6E335C60" w14:textId="77777777" w:rsidR="00881088" w:rsidRPr="00FA46D8" w:rsidRDefault="00BE5587" w:rsidP="00BE5587">
            <w:pPr>
              <w:spacing w:before="40"/>
              <w:rPr>
                <w:rFonts w:cs="Arial"/>
                <w:b/>
                <w:lang w:eastAsia="ja-JP"/>
              </w:rPr>
            </w:pPr>
            <w:r w:rsidRPr="00FA46D8">
              <w:rPr>
                <w:rFonts w:cs="Arial"/>
                <w:b/>
                <w:lang w:eastAsia="ja-JP"/>
              </w:rPr>
              <w:t>Chair</w:t>
            </w:r>
            <w:r w:rsidR="002A52F6" w:rsidRPr="00FA46D8">
              <w:rPr>
                <w:rFonts w:cs="Arial"/>
                <w:b/>
                <w:lang w:eastAsia="ja-JP"/>
              </w:rPr>
              <w:t>person</w:t>
            </w:r>
            <w:r w:rsidRPr="00FA46D8">
              <w:rPr>
                <w:rFonts w:cs="Arial"/>
                <w:b/>
                <w:lang w:eastAsia="ja-JP"/>
              </w:rPr>
              <w:t xml:space="preserve"> </w:t>
            </w:r>
            <w:r w:rsidR="00881088" w:rsidRPr="00FA46D8">
              <w:rPr>
                <w:rFonts w:cs="Arial"/>
                <w:b/>
                <w:lang w:eastAsia="ja-JP"/>
              </w:rPr>
              <w:t>of the Board</w:t>
            </w:r>
          </w:p>
        </w:tc>
      </w:tr>
      <w:tr w:rsidR="00242F59" w:rsidRPr="006E26E4" w14:paraId="3983B6AE" w14:textId="77777777" w:rsidTr="00B563E2">
        <w:trPr>
          <w:jc w:val="center"/>
        </w:trPr>
        <w:tc>
          <w:tcPr>
            <w:tcW w:w="4788" w:type="dxa"/>
            <w:shd w:val="clear" w:color="auto" w:fill="D9D9D9" w:themeFill="background1" w:themeFillShade="D9"/>
          </w:tcPr>
          <w:p w14:paraId="2501530A" w14:textId="77777777" w:rsidR="00242F59" w:rsidRDefault="00242F59" w:rsidP="00E50A07">
            <w:pPr>
              <w:spacing w:before="40"/>
              <w:rPr>
                <w:rFonts w:cs="Arial"/>
                <w:b/>
                <w:lang w:eastAsia="ja-JP"/>
              </w:rPr>
            </w:pPr>
            <w:r>
              <w:rPr>
                <w:rFonts w:cs="Arial"/>
                <w:b/>
                <w:lang w:eastAsia="ja-JP"/>
              </w:rPr>
              <w:t>Prefix</w:t>
            </w:r>
          </w:p>
          <w:p w14:paraId="4FB20707" w14:textId="472FED41" w:rsidR="001A587E" w:rsidRPr="00C22EB6" w:rsidRDefault="00C22EB6" w:rsidP="00E50A07">
            <w:pPr>
              <w:spacing w:before="40"/>
              <w:rPr>
                <w:rFonts w:cs="Arial"/>
                <w:bCs/>
                <w:lang w:eastAsia="ja-JP"/>
              </w:rPr>
            </w:pPr>
            <w:r>
              <w:rPr>
                <w:rFonts w:cs="Arial"/>
                <w:bCs/>
                <w:lang w:eastAsia="ja-JP"/>
              </w:rPr>
              <w:t>(</w:t>
            </w:r>
            <w:r w:rsidR="00C110D9">
              <w:rPr>
                <w:rFonts w:cs="Arial"/>
                <w:bCs/>
                <w:lang w:eastAsia="ja-JP"/>
              </w:rPr>
              <w:t>e.g.</w:t>
            </w:r>
            <w:r w:rsidR="001A587E" w:rsidRPr="00C22EB6">
              <w:rPr>
                <w:rFonts w:cs="Arial"/>
                <w:bCs/>
                <w:lang w:eastAsia="ja-JP"/>
              </w:rPr>
              <w:t>, Mr., Ms., Mrs., Dr., etc.</w:t>
            </w:r>
            <w:r>
              <w:rPr>
                <w:rFonts w:cs="Arial"/>
                <w:bCs/>
                <w:lang w:eastAsia="ja-JP"/>
              </w:rPr>
              <w:t>)</w:t>
            </w:r>
          </w:p>
        </w:tc>
        <w:tc>
          <w:tcPr>
            <w:tcW w:w="4788" w:type="dxa"/>
            <w:shd w:val="clear" w:color="auto" w:fill="D9D9D9" w:themeFill="background1" w:themeFillShade="D9"/>
          </w:tcPr>
          <w:p w14:paraId="7BC46C82" w14:textId="54644667" w:rsidR="00242F59" w:rsidRPr="00FA46D8" w:rsidRDefault="009D0DA1" w:rsidP="00E50A07">
            <w:pPr>
              <w:spacing w:before="40"/>
              <w:rPr>
                <w:rFonts w:cs="Arial"/>
                <w:b/>
                <w:lang w:eastAsia="ja-JP"/>
              </w:rPr>
            </w:pPr>
            <w:r w:rsidRPr="00FA46D8">
              <w:rPr>
                <w:rFonts w:cs="Arial"/>
                <w:b/>
                <w:lang w:eastAsia="ja-JP"/>
              </w:rPr>
              <w:t>First Name</w:t>
            </w:r>
          </w:p>
        </w:tc>
      </w:tr>
      <w:tr w:rsidR="00242F59" w:rsidRPr="006E26E4" w14:paraId="64F292CA" w14:textId="77777777" w:rsidTr="00544547">
        <w:trPr>
          <w:jc w:val="center"/>
        </w:trPr>
        <w:tc>
          <w:tcPr>
            <w:tcW w:w="4788" w:type="dxa"/>
          </w:tcPr>
          <w:p w14:paraId="264A5441" w14:textId="77777777" w:rsidR="00242F59" w:rsidRPr="00FA46D8" w:rsidRDefault="00242F59" w:rsidP="00E50A07">
            <w:pPr>
              <w:spacing w:before="40"/>
              <w:rPr>
                <w:rFonts w:cs="Arial"/>
                <w:b/>
                <w:lang w:eastAsia="ja-JP"/>
              </w:rPr>
            </w:pPr>
          </w:p>
        </w:tc>
        <w:tc>
          <w:tcPr>
            <w:tcW w:w="4788" w:type="dxa"/>
          </w:tcPr>
          <w:p w14:paraId="0C8EFFA8" w14:textId="77777777" w:rsidR="00242F59" w:rsidRPr="00FA46D8" w:rsidRDefault="00242F59" w:rsidP="00E50A07">
            <w:pPr>
              <w:spacing w:before="40"/>
              <w:rPr>
                <w:rFonts w:cs="Arial"/>
                <w:b/>
                <w:lang w:eastAsia="ja-JP"/>
              </w:rPr>
            </w:pPr>
          </w:p>
        </w:tc>
      </w:tr>
      <w:tr w:rsidR="00881088" w:rsidRPr="006E26E4" w14:paraId="52CAAB4E" w14:textId="77777777" w:rsidTr="00544547">
        <w:trPr>
          <w:jc w:val="center"/>
        </w:trPr>
        <w:tc>
          <w:tcPr>
            <w:tcW w:w="4788" w:type="dxa"/>
            <w:shd w:val="clear" w:color="auto" w:fill="D9D9D9" w:themeFill="background1" w:themeFillShade="D9"/>
          </w:tcPr>
          <w:p w14:paraId="16704C92" w14:textId="77777777" w:rsidR="00881088" w:rsidRPr="00FA46D8" w:rsidRDefault="00881088" w:rsidP="00E50A07">
            <w:pPr>
              <w:spacing w:before="40"/>
              <w:rPr>
                <w:rFonts w:cs="Arial"/>
                <w:b/>
                <w:lang w:eastAsia="ja-JP"/>
              </w:rPr>
            </w:pPr>
            <w:r w:rsidRPr="00FA46D8">
              <w:rPr>
                <w:rFonts w:cs="Arial"/>
                <w:b/>
                <w:lang w:eastAsia="ja-JP"/>
              </w:rPr>
              <w:t>First Name</w:t>
            </w:r>
          </w:p>
        </w:tc>
        <w:tc>
          <w:tcPr>
            <w:tcW w:w="4788" w:type="dxa"/>
            <w:tcBorders>
              <w:bottom w:val="single" w:sz="4" w:space="0" w:color="auto"/>
            </w:tcBorders>
            <w:shd w:val="clear" w:color="auto" w:fill="D9D9D9" w:themeFill="background1" w:themeFillShade="D9"/>
          </w:tcPr>
          <w:p w14:paraId="6D362F8A" w14:textId="14ADB853" w:rsidR="00881088" w:rsidRPr="00FA46D8" w:rsidRDefault="009D0DA1" w:rsidP="00E50A07">
            <w:pPr>
              <w:spacing w:before="40"/>
              <w:rPr>
                <w:rFonts w:cs="Arial"/>
                <w:b/>
                <w:lang w:eastAsia="ja-JP"/>
              </w:rPr>
            </w:pPr>
            <w:r w:rsidRPr="00FA46D8">
              <w:rPr>
                <w:rFonts w:cs="Arial"/>
                <w:b/>
                <w:lang w:eastAsia="ja-JP"/>
              </w:rPr>
              <w:t>Last Name</w:t>
            </w:r>
            <w:r w:rsidRPr="00FA46D8" w:rsidDel="009D0DA1">
              <w:rPr>
                <w:rFonts w:cs="Arial"/>
                <w:b/>
                <w:lang w:eastAsia="ja-JP"/>
              </w:rPr>
              <w:t xml:space="preserve"> </w:t>
            </w:r>
          </w:p>
        </w:tc>
      </w:tr>
      <w:tr w:rsidR="004C0B73" w:rsidRPr="006E26E4" w14:paraId="61B2808E" w14:textId="77777777" w:rsidTr="00544547">
        <w:trPr>
          <w:jc w:val="center"/>
        </w:trPr>
        <w:tc>
          <w:tcPr>
            <w:tcW w:w="4788" w:type="dxa"/>
            <w:tcBorders>
              <w:bottom w:val="single" w:sz="4" w:space="0" w:color="auto"/>
            </w:tcBorders>
          </w:tcPr>
          <w:p w14:paraId="441AB803" w14:textId="77777777" w:rsidR="00DA0BB1" w:rsidRPr="00FA46D8" w:rsidRDefault="00DA0BB1" w:rsidP="00881088">
            <w:pPr>
              <w:rPr>
                <w:rFonts w:cs="Arial"/>
                <w:b/>
                <w:lang w:eastAsia="ja-JP"/>
              </w:rPr>
            </w:pPr>
          </w:p>
        </w:tc>
        <w:tc>
          <w:tcPr>
            <w:tcW w:w="4788" w:type="dxa"/>
            <w:tcBorders>
              <w:bottom w:val="nil"/>
            </w:tcBorders>
          </w:tcPr>
          <w:p w14:paraId="50121B6A" w14:textId="77777777" w:rsidR="00881088" w:rsidRPr="00FA46D8" w:rsidRDefault="00881088" w:rsidP="00881088">
            <w:pPr>
              <w:rPr>
                <w:rFonts w:cs="Arial"/>
                <w:b/>
                <w:lang w:eastAsia="ja-JP"/>
              </w:rPr>
            </w:pPr>
          </w:p>
        </w:tc>
      </w:tr>
      <w:tr w:rsidR="00CF4083" w:rsidRPr="006E26E4" w14:paraId="66F55F23" w14:textId="77777777" w:rsidTr="00544547">
        <w:trPr>
          <w:jc w:val="center"/>
        </w:trPr>
        <w:tc>
          <w:tcPr>
            <w:tcW w:w="4788" w:type="dxa"/>
            <w:tcBorders>
              <w:bottom w:val="single" w:sz="4" w:space="0" w:color="auto"/>
              <w:right w:val="single" w:sz="4" w:space="0" w:color="auto"/>
            </w:tcBorders>
            <w:shd w:val="clear" w:color="auto" w:fill="D9D9D9" w:themeFill="background1" w:themeFillShade="D9"/>
          </w:tcPr>
          <w:p w14:paraId="17FAB9A1" w14:textId="77777777" w:rsidR="00881088" w:rsidRPr="00FA46D8" w:rsidRDefault="00881088" w:rsidP="00E50A07">
            <w:pPr>
              <w:spacing w:before="40"/>
              <w:rPr>
                <w:rFonts w:cs="Arial"/>
                <w:b/>
                <w:lang w:eastAsia="ja-JP"/>
              </w:rPr>
            </w:pPr>
            <w:r w:rsidRPr="00FA46D8">
              <w:rPr>
                <w:rFonts w:cs="Arial"/>
                <w:b/>
                <w:lang w:eastAsia="ja-JP"/>
              </w:rPr>
              <w:t>Last Name</w:t>
            </w:r>
          </w:p>
        </w:tc>
        <w:tc>
          <w:tcPr>
            <w:tcW w:w="4788" w:type="dxa"/>
            <w:tcBorders>
              <w:top w:val="nil"/>
              <w:left w:val="single" w:sz="4" w:space="0" w:color="auto"/>
              <w:bottom w:val="nil"/>
              <w:right w:val="nil"/>
            </w:tcBorders>
          </w:tcPr>
          <w:p w14:paraId="08B01A80" w14:textId="6784F63B" w:rsidR="00881088" w:rsidRPr="00FA46D8" w:rsidRDefault="00881088" w:rsidP="00E50A07">
            <w:pPr>
              <w:spacing w:before="40"/>
              <w:rPr>
                <w:rFonts w:cs="Arial"/>
                <w:b/>
                <w:lang w:eastAsia="ja-JP"/>
              </w:rPr>
            </w:pPr>
          </w:p>
        </w:tc>
      </w:tr>
      <w:tr w:rsidR="004C0B73" w:rsidRPr="006E26E4" w14:paraId="5D0BDDD8" w14:textId="77777777" w:rsidTr="004C0B73">
        <w:trPr>
          <w:jc w:val="center"/>
        </w:trPr>
        <w:tc>
          <w:tcPr>
            <w:tcW w:w="4788" w:type="dxa"/>
            <w:tcBorders>
              <w:right w:val="single" w:sz="4" w:space="0" w:color="auto"/>
            </w:tcBorders>
          </w:tcPr>
          <w:p w14:paraId="6E4FBC38" w14:textId="77777777" w:rsidR="00DA0BB1" w:rsidRPr="00FA46D8" w:rsidRDefault="00DA0BB1" w:rsidP="00881088">
            <w:pPr>
              <w:rPr>
                <w:rFonts w:cs="Arial"/>
                <w:b/>
                <w:lang w:eastAsia="ja-JP"/>
              </w:rPr>
            </w:pPr>
          </w:p>
        </w:tc>
        <w:tc>
          <w:tcPr>
            <w:tcW w:w="4788" w:type="dxa"/>
            <w:tcBorders>
              <w:top w:val="nil"/>
              <w:left w:val="single" w:sz="4" w:space="0" w:color="auto"/>
              <w:bottom w:val="nil"/>
              <w:right w:val="nil"/>
            </w:tcBorders>
          </w:tcPr>
          <w:p w14:paraId="03F4AFE0" w14:textId="77777777" w:rsidR="00881088" w:rsidRPr="00FA46D8" w:rsidRDefault="00881088" w:rsidP="00881088">
            <w:pPr>
              <w:rPr>
                <w:rFonts w:cs="Arial"/>
                <w:b/>
                <w:lang w:eastAsia="ja-JP"/>
              </w:rPr>
            </w:pPr>
          </w:p>
        </w:tc>
      </w:tr>
      <w:tr w:rsidR="004C0B73" w:rsidRPr="006E26E4" w14:paraId="0A35BB61" w14:textId="77777777" w:rsidTr="00544547">
        <w:trPr>
          <w:jc w:val="center"/>
        </w:trPr>
        <w:tc>
          <w:tcPr>
            <w:tcW w:w="4788" w:type="dxa"/>
            <w:tcBorders>
              <w:right w:val="single" w:sz="4" w:space="0" w:color="auto"/>
            </w:tcBorders>
            <w:shd w:val="clear" w:color="auto" w:fill="D9D9D9" w:themeFill="background1" w:themeFillShade="D9"/>
          </w:tcPr>
          <w:p w14:paraId="7730B50D" w14:textId="77777777" w:rsidR="001501AB" w:rsidRDefault="001501AB" w:rsidP="00881088">
            <w:pPr>
              <w:rPr>
                <w:rFonts w:cs="Arial"/>
                <w:b/>
                <w:lang w:eastAsia="ja-JP"/>
              </w:rPr>
            </w:pPr>
            <w:r>
              <w:rPr>
                <w:rFonts w:cs="Arial"/>
                <w:b/>
                <w:lang w:eastAsia="ja-JP"/>
              </w:rPr>
              <w:t>Title</w:t>
            </w:r>
          </w:p>
          <w:p w14:paraId="0F12D3CB" w14:textId="4573C9F1" w:rsidR="001501AB" w:rsidRPr="00544547" w:rsidRDefault="001501AB" w:rsidP="00881088">
            <w:pPr>
              <w:rPr>
                <w:rFonts w:cs="Arial"/>
                <w:bCs/>
                <w:lang w:eastAsia="ja-JP"/>
              </w:rPr>
            </w:pPr>
            <w:r>
              <w:rPr>
                <w:rFonts w:cs="Arial"/>
                <w:bCs/>
                <w:lang w:eastAsia="ja-JP"/>
              </w:rPr>
              <w:t>(</w:t>
            </w:r>
            <w:r w:rsidR="00622CB8">
              <w:rPr>
                <w:rFonts w:cs="Arial"/>
                <w:bCs/>
                <w:lang w:eastAsia="ja-JP"/>
              </w:rPr>
              <w:t xml:space="preserve">e.g. </w:t>
            </w:r>
            <w:r w:rsidR="006938FB">
              <w:rPr>
                <w:rFonts w:cs="Arial"/>
                <w:bCs/>
                <w:lang w:eastAsia="ja-JP"/>
              </w:rPr>
              <w:t>CEO</w:t>
            </w:r>
            <w:r w:rsidR="00622CB8">
              <w:rPr>
                <w:rFonts w:cs="Arial"/>
                <w:bCs/>
                <w:lang w:eastAsia="ja-JP"/>
              </w:rPr>
              <w:t>, President, etc.</w:t>
            </w:r>
            <w:r w:rsidR="00F21B7F">
              <w:rPr>
                <w:rFonts w:cs="Arial"/>
                <w:bCs/>
                <w:lang w:eastAsia="ja-JP"/>
              </w:rPr>
              <w:t>)</w:t>
            </w:r>
          </w:p>
        </w:tc>
        <w:tc>
          <w:tcPr>
            <w:tcW w:w="4788" w:type="dxa"/>
            <w:tcBorders>
              <w:top w:val="nil"/>
              <w:left w:val="single" w:sz="4" w:space="0" w:color="auto"/>
              <w:bottom w:val="nil"/>
              <w:right w:val="nil"/>
            </w:tcBorders>
          </w:tcPr>
          <w:p w14:paraId="6053CEE9" w14:textId="77777777" w:rsidR="001501AB" w:rsidRPr="00FA46D8" w:rsidRDefault="001501AB" w:rsidP="00881088">
            <w:pPr>
              <w:rPr>
                <w:rFonts w:cs="Arial"/>
                <w:b/>
                <w:lang w:eastAsia="ja-JP"/>
              </w:rPr>
            </w:pPr>
          </w:p>
        </w:tc>
      </w:tr>
      <w:tr w:rsidR="004C0B73" w:rsidRPr="006E26E4" w14:paraId="03B2557E" w14:textId="77777777" w:rsidTr="004C0B73">
        <w:trPr>
          <w:jc w:val="center"/>
        </w:trPr>
        <w:tc>
          <w:tcPr>
            <w:tcW w:w="4788" w:type="dxa"/>
            <w:tcBorders>
              <w:right w:val="single" w:sz="4" w:space="0" w:color="auto"/>
            </w:tcBorders>
          </w:tcPr>
          <w:p w14:paraId="7FB7743E" w14:textId="77777777" w:rsidR="001501AB" w:rsidRDefault="001501AB" w:rsidP="00881088">
            <w:pPr>
              <w:rPr>
                <w:rFonts w:cs="Arial"/>
                <w:b/>
                <w:lang w:eastAsia="ja-JP"/>
              </w:rPr>
            </w:pPr>
          </w:p>
        </w:tc>
        <w:tc>
          <w:tcPr>
            <w:tcW w:w="4788" w:type="dxa"/>
            <w:tcBorders>
              <w:top w:val="nil"/>
              <w:left w:val="single" w:sz="4" w:space="0" w:color="auto"/>
              <w:bottom w:val="nil"/>
              <w:right w:val="nil"/>
            </w:tcBorders>
          </w:tcPr>
          <w:p w14:paraId="3BF3668F" w14:textId="77777777" w:rsidR="001501AB" w:rsidRPr="00FA46D8" w:rsidRDefault="001501AB" w:rsidP="00881088">
            <w:pPr>
              <w:rPr>
                <w:rFonts w:cs="Arial"/>
                <w:b/>
                <w:lang w:eastAsia="ja-JP"/>
              </w:rPr>
            </w:pPr>
          </w:p>
        </w:tc>
      </w:tr>
      <w:tr w:rsidR="00881088" w:rsidRPr="006E26E4" w14:paraId="455B8B32" w14:textId="77777777" w:rsidTr="00544547">
        <w:trPr>
          <w:jc w:val="center"/>
        </w:trPr>
        <w:tc>
          <w:tcPr>
            <w:tcW w:w="4788" w:type="dxa"/>
            <w:tcBorders>
              <w:right w:val="single" w:sz="4" w:space="0" w:color="auto"/>
            </w:tcBorders>
            <w:shd w:val="clear" w:color="auto" w:fill="D9D9D9" w:themeFill="background1" w:themeFillShade="D9"/>
          </w:tcPr>
          <w:p w14:paraId="2B4A8D86" w14:textId="0B2561CD" w:rsidR="00881088" w:rsidRPr="00FA46D8" w:rsidRDefault="00881088" w:rsidP="00E50A07">
            <w:pPr>
              <w:spacing w:before="40"/>
              <w:rPr>
                <w:rFonts w:cs="Arial"/>
                <w:b/>
                <w:lang w:eastAsia="ja-JP"/>
              </w:rPr>
            </w:pPr>
            <w:r w:rsidRPr="00FA46D8">
              <w:rPr>
                <w:rFonts w:cs="Arial"/>
                <w:b/>
                <w:lang w:eastAsia="ja-JP"/>
              </w:rPr>
              <w:t>E</w:t>
            </w:r>
            <w:r w:rsidR="002650C4">
              <w:rPr>
                <w:rFonts w:cs="Arial"/>
                <w:b/>
                <w:lang w:eastAsia="ja-JP"/>
              </w:rPr>
              <w:t>-</w:t>
            </w:r>
            <w:r w:rsidRPr="00FA46D8">
              <w:rPr>
                <w:rFonts w:cs="Arial"/>
                <w:b/>
                <w:lang w:eastAsia="ja-JP"/>
              </w:rPr>
              <w:t>mail Address</w:t>
            </w:r>
          </w:p>
          <w:p w14:paraId="6624104A" w14:textId="77777777" w:rsidR="00090572" w:rsidRPr="00FA46D8" w:rsidRDefault="00090572" w:rsidP="00881088">
            <w:pPr>
              <w:rPr>
                <w:rFonts w:cs="Arial"/>
                <w:lang w:eastAsia="ja-JP"/>
              </w:rPr>
            </w:pPr>
            <w:r w:rsidRPr="00FA46D8">
              <w:rPr>
                <w:rFonts w:cs="Arial"/>
                <w:lang w:eastAsia="ja-JP"/>
              </w:rPr>
              <w:t>(required for emailing of security codes and Top Hospital notification)</w:t>
            </w:r>
          </w:p>
        </w:tc>
        <w:tc>
          <w:tcPr>
            <w:tcW w:w="4788" w:type="dxa"/>
            <w:tcBorders>
              <w:top w:val="nil"/>
              <w:left w:val="single" w:sz="4" w:space="0" w:color="auto"/>
              <w:bottom w:val="nil"/>
              <w:right w:val="nil"/>
            </w:tcBorders>
          </w:tcPr>
          <w:p w14:paraId="1091D315" w14:textId="77777777" w:rsidR="00881088" w:rsidRPr="00FA46D8" w:rsidRDefault="00881088" w:rsidP="00881088">
            <w:pPr>
              <w:rPr>
                <w:rFonts w:cs="Arial"/>
                <w:b/>
                <w:lang w:eastAsia="ja-JP"/>
              </w:rPr>
            </w:pPr>
          </w:p>
        </w:tc>
      </w:tr>
      <w:tr w:rsidR="00881088" w:rsidRPr="006E26E4" w14:paraId="6F6B3222" w14:textId="77777777" w:rsidTr="00DA0BB1">
        <w:trPr>
          <w:jc w:val="center"/>
        </w:trPr>
        <w:tc>
          <w:tcPr>
            <w:tcW w:w="4788" w:type="dxa"/>
            <w:tcBorders>
              <w:right w:val="single" w:sz="4" w:space="0" w:color="auto"/>
            </w:tcBorders>
          </w:tcPr>
          <w:p w14:paraId="63F7CA57" w14:textId="77777777" w:rsidR="00DA0BB1" w:rsidRPr="00FA46D8" w:rsidRDefault="00DA0BB1" w:rsidP="00881088">
            <w:pPr>
              <w:rPr>
                <w:rFonts w:cs="Arial"/>
                <w:b/>
                <w:lang w:eastAsia="ja-JP"/>
              </w:rPr>
            </w:pPr>
          </w:p>
        </w:tc>
        <w:tc>
          <w:tcPr>
            <w:tcW w:w="4788" w:type="dxa"/>
            <w:tcBorders>
              <w:top w:val="nil"/>
              <w:left w:val="single" w:sz="4" w:space="0" w:color="auto"/>
              <w:bottom w:val="nil"/>
              <w:right w:val="nil"/>
            </w:tcBorders>
          </w:tcPr>
          <w:p w14:paraId="341A48E4" w14:textId="77777777" w:rsidR="00881088" w:rsidRPr="00FA46D8" w:rsidRDefault="00881088" w:rsidP="00881088">
            <w:pPr>
              <w:rPr>
                <w:rFonts w:cs="Arial"/>
                <w:b/>
                <w:lang w:eastAsia="ja-JP"/>
              </w:rPr>
            </w:pPr>
          </w:p>
        </w:tc>
      </w:tr>
    </w:tbl>
    <w:p w14:paraId="7E6F4459" w14:textId="77777777" w:rsidR="00950575" w:rsidRPr="004D1420" w:rsidRDefault="00950575" w:rsidP="00EB41AD">
      <w:pPr>
        <w:rPr>
          <w:rFonts w:cs="Arial"/>
          <w:lang w:eastAsia="ja-JP"/>
        </w:rPr>
      </w:pPr>
      <w:bookmarkStart w:id="73" w:name="_Toc383774978"/>
    </w:p>
    <w:tbl>
      <w:tblPr>
        <w:tblStyle w:val="TableGrid"/>
        <w:tblW w:w="0" w:type="auto"/>
        <w:jc w:val="center"/>
        <w:tblLook w:val="04A0" w:firstRow="1" w:lastRow="0" w:firstColumn="1" w:lastColumn="0" w:noHBand="0" w:noVBand="1"/>
      </w:tblPr>
      <w:tblGrid>
        <w:gridCol w:w="4674"/>
        <w:gridCol w:w="4676"/>
      </w:tblGrid>
      <w:tr w:rsidR="00DA0BB1" w:rsidRPr="006E26E4" w14:paraId="7AD346FF" w14:textId="77777777" w:rsidTr="000469EC">
        <w:trPr>
          <w:jc w:val="center"/>
        </w:trPr>
        <w:tc>
          <w:tcPr>
            <w:tcW w:w="4788" w:type="dxa"/>
            <w:shd w:val="clear" w:color="auto" w:fill="D9D9D9" w:themeFill="background1" w:themeFillShade="D9"/>
          </w:tcPr>
          <w:p w14:paraId="0D9E103B" w14:textId="77777777" w:rsidR="00DA0BB1" w:rsidRPr="00FA46D8" w:rsidRDefault="00D9090F" w:rsidP="00E50A07">
            <w:pPr>
              <w:spacing w:before="40"/>
              <w:rPr>
                <w:rFonts w:cs="Arial"/>
                <w:b/>
                <w:lang w:eastAsia="ja-JP"/>
              </w:rPr>
            </w:pPr>
            <w:r w:rsidRPr="00FA46D8">
              <w:rPr>
                <w:rFonts w:cs="Arial"/>
                <w:b/>
                <w:lang w:eastAsia="ja-JP"/>
              </w:rPr>
              <w:t xml:space="preserve">Primary </w:t>
            </w:r>
            <w:r w:rsidR="00F521DA" w:rsidRPr="00FA46D8">
              <w:rPr>
                <w:rFonts w:cs="Arial"/>
                <w:b/>
                <w:lang w:eastAsia="ja-JP"/>
              </w:rPr>
              <w:t xml:space="preserve">Survey </w:t>
            </w:r>
            <w:r w:rsidRPr="00FA46D8">
              <w:rPr>
                <w:rFonts w:cs="Arial"/>
                <w:b/>
                <w:lang w:eastAsia="ja-JP"/>
              </w:rPr>
              <w:t>Contact</w:t>
            </w:r>
          </w:p>
        </w:tc>
        <w:tc>
          <w:tcPr>
            <w:tcW w:w="4788" w:type="dxa"/>
            <w:shd w:val="clear" w:color="auto" w:fill="D9D9D9" w:themeFill="background1" w:themeFillShade="D9"/>
          </w:tcPr>
          <w:p w14:paraId="03E171B1" w14:textId="77777777" w:rsidR="00DA0BB1" w:rsidRPr="00FA46D8" w:rsidRDefault="00D9090F" w:rsidP="00E50A07">
            <w:pPr>
              <w:spacing w:before="40"/>
              <w:rPr>
                <w:rFonts w:cs="Arial"/>
                <w:b/>
                <w:lang w:eastAsia="ja-JP"/>
              </w:rPr>
            </w:pPr>
            <w:r w:rsidRPr="00FA46D8">
              <w:rPr>
                <w:rFonts w:cs="Arial"/>
                <w:b/>
                <w:lang w:eastAsia="ja-JP"/>
              </w:rPr>
              <w:t>Secondary</w:t>
            </w:r>
            <w:r w:rsidR="00F521DA" w:rsidRPr="00FA46D8">
              <w:rPr>
                <w:rFonts w:cs="Arial"/>
                <w:b/>
                <w:lang w:eastAsia="ja-JP"/>
              </w:rPr>
              <w:t xml:space="preserve"> Survey</w:t>
            </w:r>
            <w:r w:rsidRPr="00FA46D8">
              <w:rPr>
                <w:rFonts w:cs="Arial"/>
                <w:b/>
                <w:lang w:eastAsia="ja-JP"/>
              </w:rPr>
              <w:t xml:space="preserve"> Contact</w:t>
            </w:r>
          </w:p>
        </w:tc>
      </w:tr>
      <w:tr w:rsidR="00DA0BB1" w:rsidRPr="006E26E4" w14:paraId="7F85E5F6" w14:textId="77777777" w:rsidTr="000469EC">
        <w:trPr>
          <w:jc w:val="center"/>
        </w:trPr>
        <w:tc>
          <w:tcPr>
            <w:tcW w:w="4788" w:type="dxa"/>
            <w:shd w:val="clear" w:color="auto" w:fill="D9D9D9" w:themeFill="background1" w:themeFillShade="D9"/>
          </w:tcPr>
          <w:p w14:paraId="1657B194" w14:textId="77777777" w:rsidR="00DA0BB1" w:rsidRPr="00FA46D8" w:rsidRDefault="00DA0BB1" w:rsidP="00E50A07">
            <w:pPr>
              <w:spacing w:before="40"/>
              <w:rPr>
                <w:rFonts w:cs="Arial"/>
                <w:b/>
                <w:lang w:eastAsia="ja-JP"/>
              </w:rPr>
            </w:pPr>
            <w:r w:rsidRPr="00FA46D8">
              <w:rPr>
                <w:rFonts w:cs="Arial"/>
                <w:b/>
                <w:lang w:eastAsia="ja-JP"/>
              </w:rPr>
              <w:t>First Name</w:t>
            </w:r>
          </w:p>
        </w:tc>
        <w:tc>
          <w:tcPr>
            <w:tcW w:w="4788" w:type="dxa"/>
            <w:shd w:val="clear" w:color="auto" w:fill="D9D9D9" w:themeFill="background1" w:themeFillShade="D9"/>
          </w:tcPr>
          <w:p w14:paraId="3D4447DE" w14:textId="77777777" w:rsidR="00DA0BB1" w:rsidRPr="00FA46D8" w:rsidRDefault="00DA0BB1" w:rsidP="00E50A07">
            <w:pPr>
              <w:spacing w:before="40"/>
              <w:rPr>
                <w:rFonts w:cs="Arial"/>
                <w:b/>
                <w:lang w:eastAsia="ja-JP"/>
              </w:rPr>
            </w:pPr>
            <w:r w:rsidRPr="00FA46D8">
              <w:rPr>
                <w:rFonts w:cs="Arial"/>
                <w:b/>
                <w:lang w:eastAsia="ja-JP"/>
              </w:rPr>
              <w:t>First Name</w:t>
            </w:r>
          </w:p>
        </w:tc>
      </w:tr>
      <w:tr w:rsidR="00DA0BB1" w:rsidRPr="006E26E4" w14:paraId="253B9962" w14:textId="77777777" w:rsidTr="000469EC">
        <w:trPr>
          <w:jc w:val="center"/>
        </w:trPr>
        <w:tc>
          <w:tcPr>
            <w:tcW w:w="4788" w:type="dxa"/>
          </w:tcPr>
          <w:p w14:paraId="4ED41829" w14:textId="77777777" w:rsidR="00DA0BB1" w:rsidRPr="00FA46D8" w:rsidRDefault="00DA0BB1" w:rsidP="000469EC">
            <w:pPr>
              <w:rPr>
                <w:rFonts w:cs="Arial"/>
                <w:b/>
                <w:lang w:eastAsia="ja-JP"/>
              </w:rPr>
            </w:pPr>
          </w:p>
        </w:tc>
        <w:tc>
          <w:tcPr>
            <w:tcW w:w="4788" w:type="dxa"/>
          </w:tcPr>
          <w:p w14:paraId="39AFB83C" w14:textId="77777777" w:rsidR="00DA0BB1" w:rsidRPr="00FA46D8" w:rsidRDefault="00DA0BB1" w:rsidP="000469EC">
            <w:pPr>
              <w:rPr>
                <w:rFonts w:cs="Arial"/>
                <w:b/>
                <w:lang w:eastAsia="ja-JP"/>
              </w:rPr>
            </w:pPr>
          </w:p>
        </w:tc>
      </w:tr>
      <w:tr w:rsidR="00DA0BB1" w:rsidRPr="006E26E4" w14:paraId="455EF590" w14:textId="77777777" w:rsidTr="000469EC">
        <w:trPr>
          <w:jc w:val="center"/>
        </w:trPr>
        <w:tc>
          <w:tcPr>
            <w:tcW w:w="4788" w:type="dxa"/>
            <w:shd w:val="clear" w:color="auto" w:fill="D9D9D9" w:themeFill="background1" w:themeFillShade="D9"/>
          </w:tcPr>
          <w:p w14:paraId="7A78184B" w14:textId="77777777" w:rsidR="00DA0BB1" w:rsidRPr="00FA46D8" w:rsidRDefault="00DA0BB1" w:rsidP="00E50A07">
            <w:pPr>
              <w:spacing w:before="40"/>
              <w:rPr>
                <w:rFonts w:cs="Arial"/>
                <w:b/>
                <w:lang w:eastAsia="ja-JP"/>
              </w:rPr>
            </w:pPr>
            <w:r w:rsidRPr="00FA46D8">
              <w:rPr>
                <w:rFonts w:cs="Arial"/>
                <w:b/>
                <w:lang w:eastAsia="ja-JP"/>
              </w:rPr>
              <w:t>Last Name</w:t>
            </w:r>
          </w:p>
        </w:tc>
        <w:tc>
          <w:tcPr>
            <w:tcW w:w="4788" w:type="dxa"/>
            <w:shd w:val="clear" w:color="auto" w:fill="D9D9D9" w:themeFill="background1" w:themeFillShade="D9"/>
          </w:tcPr>
          <w:p w14:paraId="6C48F153" w14:textId="77777777" w:rsidR="00DA0BB1" w:rsidRPr="00FA46D8" w:rsidRDefault="00DA0BB1" w:rsidP="00E50A07">
            <w:pPr>
              <w:spacing w:before="40"/>
              <w:rPr>
                <w:rFonts w:cs="Arial"/>
                <w:b/>
                <w:lang w:eastAsia="ja-JP"/>
              </w:rPr>
            </w:pPr>
            <w:r w:rsidRPr="00FA46D8">
              <w:rPr>
                <w:rFonts w:cs="Arial"/>
                <w:b/>
                <w:lang w:eastAsia="ja-JP"/>
              </w:rPr>
              <w:t xml:space="preserve">Last Name </w:t>
            </w:r>
          </w:p>
        </w:tc>
      </w:tr>
      <w:tr w:rsidR="00DA0BB1" w:rsidRPr="006E26E4" w14:paraId="143E1B2F" w14:textId="77777777" w:rsidTr="000469EC">
        <w:trPr>
          <w:jc w:val="center"/>
        </w:trPr>
        <w:tc>
          <w:tcPr>
            <w:tcW w:w="4788" w:type="dxa"/>
          </w:tcPr>
          <w:p w14:paraId="66FF6B41" w14:textId="77777777" w:rsidR="00DA0BB1" w:rsidRPr="00FA46D8" w:rsidRDefault="00DA0BB1" w:rsidP="000469EC">
            <w:pPr>
              <w:rPr>
                <w:rFonts w:cs="Arial"/>
                <w:b/>
                <w:lang w:eastAsia="ja-JP"/>
              </w:rPr>
            </w:pPr>
          </w:p>
        </w:tc>
        <w:tc>
          <w:tcPr>
            <w:tcW w:w="4788" w:type="dxa"/>
          </w:tcPr>
          <w:p w14:paraId="6FC28390" w14:textId="77777777" w:rsidR="00DA0BB1" w:rsidRPr="00FA46D8" w:rsidRDefault="00DA0BB1" w:rsidP="000469EC">
            <w:pPr>
              <w:rPr>
                <w:rFonts w:cs="Arial"/>
                <w:b/>
                <w:lang w:eastAsia="ja-JP"/>
              </w:rPr>
            </w:pPr>
          </w:p>
        </w:tc>
      </w:tr>
      <w:tr w:rsidR="00DA0BB1" w:rsidRPr="006E26E4" w14:paraId="7A7952DD" w14:textId="77777777" w:rsidTr="000469EC">
        <w:trPr>
          <w:jc w:val="center"/>
        </w:trPr>
        <w:tc>
          <w:tcPr>
            <w:tcW w:w="4788" w:type="dxa"/>
            <w:shd w:val="clear" w:color="auto" w:fill="D9D9D9" w:themeFill="background1" w:themeFillShade="D9"/>
          </w:tcPr>
          <w:p w14:paraId="2DA594E5" w14:textId="77777777" w:rsidR="00DA0BB1" w:rsidRPr="00FA46D8" w:rsidRDefault="00DA0BB1" w:rsidP="00E50A07">
            <w:pPr>
              <w:spacing w:before="40"/>
              <w:rPr>
                <w:rFonts w:cs="Arial"/>
                <w:b/>
                <w:lang w:eastAsia="ja-JP"/>
              </w:rPr>
            </w:pPr>
            <w:r w:rsidRPr="00FA46D8">
              <w:rPr>
                <w:rFonts w:cs="Arial"/>
                <w:b/>
                <w:lang w:eastAsia="ja-JP"/>
              </w:rPr>
              <w:t>Title</w:t>
            </w:r>
          </w:p>
        </w:tc>
        <w:tc>
          <w:tcPr>
            <w:tcW w:w="4788" w:type="dxa"/>
            <w:shd w:val="clear" w:color="auto" w:fill="D9D9D9" w:themeFill="background1" w:themeFillShade="D9"/>
          </w:tcPr>
          <w:p w14:paraId="444DDF38" w14:textId="77777777" w:rsidR="00DA0BB1" w:rsidRPr="00FA46D8" w:rsidRDefault="00DA0BB1" w:rsidP="00E50A07">
            <w:pPr>
              <w:spacing w:before="40"/>
              <w:rPr>
                <w:rFonts w:cs="Arial"/>
                <w:b/>
                <w:lang w:eastAsia="ja-JP"/>
              </w:rPr>
            </w:pPr>
            <w:r w:rsidRPr="00FA46D8">
              <w:rPr>
                <w:rFonts w:cs="Arial"/>
                <w:b/>
                <w:lang w:eastAsia="ja-JP"/>
              </w:rPr>
              <w:t>Title</w:t>
            </w:r>
          </w:p>
        </w:tc>
      </w:tr>
      <w:tr w:rsidR="00DA0BB1" w:rsidRPr="006E26E4" w14:paraId="6D94E91C" w14:textId="77777777" w:rsidTr="000469EC">
        <w:trPr>
          <w:jc w:val="center"/>
        </w:trPr>
        <w:tc>
          <w:tcPr>
            <w:tcW w:w="4788" w:type="dxa"/>
          </w:tcPr>
          <w:p w14:paraId="1B6CDB3A" w14:textId="77777777" w:rsidR="00DA0BB1" w:rsidRPr="00FA46D8" w:rsidRDefault="00DA0BB1" w:rsidP="000469EC">
            <w:pPr>
              <w:rPr>
                <w:rFonts w:cs="Arial"/>
                <w:b/>
                <w:highlight w:val="red"/>
                <w:lang w:eastAsia="ja-JP"/>
              </w:rPr>
            </w:pPr>
          </w:p>
        </w:tc>
        <w:tc>
          <w:tcPr>
            <w:tcW w:w="4788" w:type="dxa"/>
          </w:tcPr>
          <w:p w14:paraId="3A230C20" w14:textId="77777777" w:rsidR="00DA0BB1" w:rsidRPr="00FA46D8" w:rsidRDefault="00DA0BB1" w:rsidP="000469EC">
            <w:pPr>
              <w:rPr>
                <w:rFonts w:cs="Arial"/>
                <w:b/>
                <w:highlight w:val="red"/>
                <w:lang w:eastAsia="ja-JP"/>
              </w:rPr>
            </w:pPr>
          </w:p>
        </w:tc>
      </w:tr>
      <w:tr w:rsidR="00DA0BB1" w:rsidRPr="006E26E4" w14:paraId="7C7148E5" w14:textId="77777777" w:rsidTr="000469EC">
        <w:trPr>
          <w:jc w:val="center"/>
        </w:trPr>
        <w:tc>
          <w:tcPr>
            <w:tcW w:w="4788" w:type="dxa"/>
            <w:shd w:val="clear" w:color="auto" w:fill="D9D9D9" w:themeFill="background1" w:themeFillShade="D9"/>
          </w:tcPr>
          <w:p w14:paraId="04BFCDF0" w14:textId="77777777" w:rsidR="00DA0BB1" w:rsidRPr="00FA46D8" w:rsidRDefault="00DA0BB1" w:rsidP="00E50A07">
            <w:pPr>
              <w:spacing w:before="40"/>
              <w:rPr>
                <w:rFonts w:cs="Arial"/>
                <w:b/>
                <w:lang w:eastAsia="ja-JP"/>
              </w:rPr>
            </w:pPr>
            <w:r w:rsidRPr="00FA46D8">
              <w:rPr>
                <w:rFonts w:cs="Arial"/>
                <w:b/>
                <w:lang w:eastAsia="ja-JP"/>
              </w:rPr>
              <w:t>Phone Number</w:t>
            </w:r>
          </w:p>
        </w:tc>
        <w:tc>
          <w:tcPr>
            <w:tcW w:w="4788" w:type="dxa"/>
            <w:shd w:val="clear" w:color="auto" w:fill="D9D9D9" w:themeFill="background1" w:themeFillShade="D9"/>
          </w:tcPr>
          <w:p w14:paraId="4D4C1FEB" w14:textId="77777777" w:rsidR="00DA0BB1" w:rsidRPr="00FA46D8" w:rsidRDefault="00DA0BB1" w:rsidP="00E50A07">
            <w:pPr>
              <w:spacing w:before="40"/>
              <w:rPr>
                <w:rFonts w:cs="Arial"/>
                <w:b/>
                <w:lang w:eastAsia="ja-JP"/>
              </w:rPr>
            </w:pPr>
            <w:r w:rsidRPr="00FA46D8">
              <w:rPr>
                <w:rFonts w:cs="Arial"/>
                <w:b/>
                <w:lang w:eastAsia="ja-JP"/>
              </w:rPr>
              <w:t>Phone Number</w:t>
            </w:r>
          </w:p>
        </w:tc>
      </w:tr>
      <w:tr w:rsidR="00DA0BB1" w:rsidRPr="006E26E4" w14:paraId="4CAFA1E8" w14:textId="77777777" w:rsidTr="000469EC">
        <w:trPr>
          <w:jc w:val="center"/>
        </w:trPr>
        <w:tc>
          <w:tcPr>
            <w:tcW w:w="4788" w:type="dxa"/>
          </w:tcPr>
          <w:p w14:paraId="210660D2" w14:textId="77777777" w:rsidR="00DA0BB1" w:rsidRPr="00FA46D8" w:rsidRDefault="00DA0BB1" w:rsidP="000469EC">
            <w:pPr>
              <w:rPr>
                <w:rFonts w:cs="Arial"/>
                <w:b/>
                <w:lang w:eastAsia="ja-JP"/>
              </w:rPr>
            </w:pPr>
          </w:p>
        </w:tc>
        <w:tc>
          <w:tcPr>
            <w:tcW w:w="4788" w:type="dxa"/>
          </w:tcPr>
          <w:p w14:paraId="0CBD13DC" w14:textId="77777777" w:rsidR="00DA0BB1" w:rsidRPr="00FA46D8" w:rsidRDefault="00DA0BB1" w:rsidP="000469EC">
            <w:pPr>
              <w:rPr>
                <w:rFonts w:cs="Arial"/>
                <w:b/>
                <w:lang w:eastAsia="ja-JP"/>
              </w:rPr>
            </w:pPr>
          </w:p>
        </w:tc>
      </w:tr>
      <w:tr w:rsidR="00DA0BB1" w:rsidRPr="006E26E4" w14:paraId="1CC1A191" w14:textId="77777777" w:rsidTr="000469EC">
        <w:trPr>
          <w:jc w:val="center"/>
        </w:trPr>
        <w:tc>
          <w:tcPr>
            <w:tcW w:w="4788" w:type="dxa"/>
            <w:shd w:val="clear" w:color="auto" w:fill="D9D9D9" w:themeFill="background1" w:themeFillShade="D9"/>
          </w:tcPr>
          <w:p w14:paraId="08E329F6" w14:textId="77777777" w:rsidR="00DA0BB1" w:rsidRPr="00FA46D8" w:rsidRDefault="00DA0BB1" w:rsidP="00E50A07">
            <w:pPr>
              <w:spacing w:before="40"/>
              <w:rPr>
                <w:rFonts w:cs="Arial"/>
                <w:b/>
                <w:lang w:eastAsia="ja-JP"/>
              </w:rPr>
            </w:pPr>
            <w:r w:rsidRPr="00FA46D8">
              <w:rPr>
                <w:rFonts w:cs="Arial"/>
                <w:b/>
                <w:lang w:eastAsia="ja-JP"/>
              </w:rPr>
              <w:t>Phone Number Extension</w:t>
            </w:r>
          </w:p>
        </w:tc>
        <w:tc>
          <w:tcPr>
            <w:tcW w:w="4788" w:type="dxa"/>
            <w:shd w:val="clear" w:color="auto" w:fill="D9D9D9" w:themeFill="background1" w:themeFillShade="D9"/>
          </w:tcPr>
          <w:p w14:paraId="0DCD6C55" w14:textId="77777777" w:rsidR="00DA0BB1" w:rsidRPr="00FA46D8" w:rsidRDefault="00DA0BB1" w:rsidP="00E50A07">
            <w:pPr>
              <w:spacing w:before="40"/>
              <w:rPr>
                <w:rFonts w:cs="Arial"/>
                <w:b/>
                <w:lang w:eastAsia="ja-JP"/>
              </w:rPr>
            </w:pPr>
            <w:r w:rsidRPr="00FA46D8">
              <w:rPr>
                <w:rFonts w:cs="Arial"/>
                <w:b/>
                <w:lang w:eastAsia="ja-JP"/>
              </w:rPr>
              <w:t>Phone Number Extension</w:t>
            </w:r>
          </w:p>
        </w:tc>
      </w:tr>
      <w:tr w:rsidR="00DA0BB1" w:rsidRPr="006E26E4" w14:paraId="2CB0942E" w14:textId="77777777" w:rsidTr="000469EC">
        <w:trPr>
          <w:jc w:val="center"/>
        </w:trPr>
        <w:tc>
          <w:tcPr>
            <w:tcW w:w="4788" w:type="dxa"/>
          </w:tcPr>
          <w:p w14:paraId="4B60035A" w14:textId="77777777" w:rsidR="00DA0BB1" w:rsidRPr="00FA46D8" w:rsidRDefault="00DA0BB1" w:rsidP="000469EC">
            <w:pPr>
              <w:rPr>
                <w:rFonts w:cs="Arial"/>
                <w:b/>
                <w:lang w:eastAsia="ja-JP"/>
              </w:rPr>
            </w:pPr>
          </w:p>
        </w:tc>
        <w:tc>
          <w:tcPr>
            <w:tcW w:w="4788" w:type="dxa"/>
          </w:tcPr>
          <w:p w14:paraId="3D6D7F11" w14:textId="77777777" w:rsidR="00DA0BB1" w:rsidRPr="00FA46D8" w:rsidRDefault="00DA0BB1" w:rsidP="000469EC">
            <w:pPr>
              <w:rPr>
                <w:rFonts w:cs="Arial"/>
                <w:b/>
                <w:lang w:eastAsia="ja-JP"/>
              </w:rPr>
            </w:pPr>
          </w:p>
        </w:tc>
      </w:tr>
      <w:tr w:rsidR="00DA0BB1" w:rsidRPr="006E26E4" w14:paraId="2A61B6E4" w14:textId="77777777" w:rsidTr="000469EC">
        <w:trPr>
          <w:jc w:val="center"/>
        </w:trPr>
        <w:tc>
          <w:tcPr>
            <w:tcW w:w="4788" w:type="dxa"/>
            <w:shd w:val="clear" w:color="auto" w:fill="D9D9D9" w:themeFill="background1" w:themeFillShade="D9"/>
          </w:tcPr>
          <w:p w14:paraId="0D317CDC" w14:textId="5AF6E8FE" w:rsidR="00DA0BB1" w:rsidRPr="00FA46D8" w:rsidRDefault="00DA0BB1" w:rsidP="00E50A07">
            <w:pPr>
              <w:spacing w:before="40"/>
              <w:rPr>
                <w:rFonts w:cs="Arial"/>
                <w:b/>
                <w:lang w:eastAsia="ja-JP"/>
              </w:rPr>
            </w:pPr>
            <w:r w:rsidRPr="00FA46D8">
              <w:rPr>
                <w:rFonts w:cs="Arial"/>
                <w:b/>
                <w:lang w:eastAsia="ja-JP"/>
              </w:rPr>
              <w:t>E</w:t>
            </w:r>
            <w:r w:rsidR="006B5A1D">
              <w:rPr>
                <w:rFonts w:cs="Arial"/>
                <w:b/>
                <w:lang w:eastAsia="ja-JP"/>
              </w:rPr>
              <w:t>-</w:t>
            </w:r>
            <w:r w:rsidRPr="00FA46D8">
              <w:rPr>
                <w:rFonts w:cs="Arial"/>
                <w:b/>
                <w:lang w:eastAsia="ja-JP"/>
              </w:rPr>
              <w:t>mail Address</w:t>
            </w:r>
          </w:p>
        </w:tc>
        <w:tc>
          <w:tcPr>
            <w:tcW w:w="4788" w:type="dxa"/>
            <w:shd w:val="clear" w:color="auto" w:fill="D9D9D9" w:themeFill="background1" w:themeFillShade="D9"/>
          </w:tcPr>
          <w:p w14:paraId="3E8FB6B9" w14:textId="5C2209A8" w:rsidR="00DA0BB1" w:rsidRPr="00FA46D8" w:rsidRDefault="00DA0BB1" w:rsidP="00E50A07">
            <w:pPr>
              <w:spacing w:before="40"/>
              <w:rPr>
                <w:rFonts w:cs="Arial"/>
                <w:b/>
                <w:lang w:eastAsia="ja-JP"/>
              </w:rPr>
            </w:pPr>
            <w:r w:rsidRPr="00FA46D8">
              <w:rPr>
                <w:rFonts w:cs="Arial"/>
                <w:b/>
                <w:lang w:eastAsia="ja-JP"/>
              </w:rPr>
              <w:t>E</w:t>
            </w:r>
            <w:r w:rsidR="006B5A1D">
              <w:rPr>
                <w:rFonts w:cs="Arial"/>
                <w:b/>
                <w:lang w:eastAsia="ja-JP"/>
              </w:rPr>
              <w:t>-</w:t>
            </w:r>
            <w:r w:rsidRPr="00FA46D8">
              <w:rPr>
                <w:rFonts w:cs="Arial"/>
                <w:b/>
                <w:lang w:eastAsia="ja-JP"/>
              </w:rPr>
              <w:t>mail Address</w:t>
            </w:r>
          </w:p>
        </w:tc>
      </w:tr>
      <w:tr w:rsidR="00DA0BB1" w:rsidRPr="006E26E4" w14:paraId="7A8B80A6" w14:textId="77777777" w:rsidTr="00E50A07">
        <w:trPr>
          <w:jc w:val="center"/>
        </w:trPr>
        <w:tc>
          <w:tcPr>
            <w:tcW w:w="4788" w:type="dxa"/>
          </w:tcPr>
          <w:p w14:paraId="01B220F3" w14:textId="77777777" w:rsidR="00DA0BB1" w:rsidRPr="00FA46D8" w:rsidRDefault="00DA0BB1" w:rsidP="000469EC">
            <w:pPr>
              <w:rPr>
                <w:rFonts w:cs="Arial"/>
                <w:b/>
                <w:lang w:eastAsia="ja-JP"/>
              </w:rPr>
            </w:pPr>
          </w:p>
        </w:tc>
        <w:tc>
          <w:tcPr>
            <w:tcW w:w="4788" w:type="dxa"/>
          </w:tcPr>
          <w:p w14:paraId="29A6AEC5" w14:textId="77777777" w:rsidR="00DA0BB1" w:rsidRPr="00FA46D8" w:rsidRDefault="00DA0BB1" w:rsidP="000469EC">
            <w:pPr>
              <w:rPr>
                <w:rFonts w:cs="Arial"/>
                <w:b/>
                <w:lang w:eastAsia="ja-JP"/>
              </w:rPr>
            </w:pPr>
          </w:p>
        </w:tc>
      </w:tr>
    </w:tbl>
    <w:p w14:paraId="54D36347" w14:textId="77777777" w:rsidR="00DA0BB1" w:rsidRPr="00FA46D8" w:rsidRDefault="00DA0BB1" w:rsidP="00EB41AD">
      <w:pPr>
        <w:rPr>
          <w:rFonts w:cs="Arial"/>
          <w:lang w:eastAsia="ja-JP"/>
        </w:rPr>
      </w:pPr>
    </w:p>
    <w:tbl>
      <w:tblPr>
        <w:tblStyle w:val="TableGrid"/>
        <w:tblW w:w="0" w:type="auto"/>
        <w:jc w:val="center"/>
        <w:tblLook w:val="04A0" w:firstRow="1" w:lastRow="0" w:firstColumn="1" w:lastColumn="0" w:noHBand="0" w:noVBand="1"/>
      </w:tblPr>
      <w:tblGrid>
        <w:gridCol w:w="4699"/>
        <w:gridCol w:w="4656"/>
      </w:tblGrid>
      <w:tr w:rsidR="00447B26" w:rsidRPr="006E26E4" w14:paraId="6339878E" w14:textId="77777777" w:rsidTr="008C25D9">
        <w:trPr>
          <w:jc w:val="center"/>
        </w:trPr>
        <w:tc>
          <w:tcPr>
            <w:tcW w:w="4788" w:type="dxa"/>
            <w:shd w:val="clear" w:color="auto" w:fill="D9D9D9" w:themeFill="background1" w:themeFillShade="D9"/>
          </w:tcPr>
          <w:p w14:paraId="4C94881D" w14:textId="77777777" w:rsidR="00447B26" w:rsidRPr="00FA46D8" w:rsidRDefault="00264CB6" w:rsidP="00E50A07">
            <w:pPr>
              <w:spacing w:before="40"/>
              <w:rPr>
                <w:rFonts w:cs="Arial"/>
                <w:b/>
                <w:lang w:eastAsia="ja-JP"/>
              </w:rPr>
            </w:pPr>
            <w:r w:rsidRPr="00FA46D8">
              <w:rPr>
                <w:rFonts w:cs="Arial"/>
                <w:b/>
                <w:lang w:eastAsia="ja-JP"/>
              </w:rPr>
              <w:t xml:space="preserve">Hospital Public </w:t>
            </w:r>
            <w:r w:rsidR="00447B26" w:rsidRPr="00FA46D8">
              <w:rPr>
                <w:rFonts w:cs="Arial"/>
                <w:b/>
                <w:lang w:eastAsia="ja-JP"/>
              </w:rPr>
              <w:t>R</w:t>
            </w:r>
            <w:r w:rsidRPr="00FA46D8">
              <w:rPr>
                <w:rFonts w:cs="Arial"/>
                <w:b/>
                <w:lang w:eastAsia="ja-JP"/>
              </w:rPr>
              <w:t>elations</w:t>
            </w:r>
            <w:r w:rsidR="00447B26" w:rsidRPr="00FA46D8">
              <w:rPr>
                <w:rFonts w:cs="Arial"/>
                <w:b/>
                <w:lang w:eastAsia="ja-JP"/>
              </w:rPr>
              <w:t xml:space="preserve"> Contact</w:t>
            </w:r>
          </w:p>
          <w:p w14:paraId="79369AE5" w14:textId="77777777" w:rsidR="003D227F" w:rsidRPr="00FA46D8" w:rsidRDefault="003D227F" w:rsidP="00E50A07">
            <w:pPr>
              <w:spacing w:before="40"/>
              <w:rPr>
                <w:rFonts w:cs="Arial"/>
                <w:lang w:eastAsia="ja-JP"/>
              </w:rPr>
            </w:pPr>
            <w:r w:rsidRPr="00FA46D8">
              <w:rPr>
                <w:rFonts w:cs="Arial"/>
                <w:lang w:eastAsia="ja-JP"/>
              </w:rPr>
              <w:t xml:space="preserve">(required </w:t>
            </w:r>
            <w:r w:rsidR="00861645" w:rsidRPr="00FA46D8">
              <w:rPr>
                <w:rFonts w:cs="Arial"/>
                <w:lang w:eastAsia="ja-JP"/>
              </w:rPr>
              <w:t xml:space="preserve">so that Leapfrog may provide information on Leapfrog accolades, such as </w:t>
            </w:r>
            <w:r w:rsidRPr="00FA46D8">
              <w:rPr>
                <w:rFonts w:cs="Arial"/>
                <w:lang w:eastAsia="ja-JP"/>
              </w:rPr>
              <w:t>Top Hospital notification</w:t>
            </w:r>
            <w:r w:rsidR="00861645" w:rsidRPr="00FA46D8">
              <w:rPr>
                <w:rFonts w:cs="Arial"/>
                <w:lang w:eastAsia="ja-JP"/>
              </w:rPr>
              <w:t>, and announcements</w:t>
            </w:r>
            <w:r w:rsidR="008B2780" w:rsidRPr="00FA46D8">
              <w:rPr>
                <w:rFonts w:cs="Arial"/>
                <w:lang w:eastAsia="ja-JP"/>
              </w:rPr>
              <w:t>)</w:t>
            </w:r>
          </w:p>
        </w:tc>
        <w:tc>
          <w:tcPr>
            <w:tcW w:w="4788" w:type="dxa"/>
            <w:tcBorders>
              <w:top w:val="nil"/>
              <w:bottom w:val="nil"/>
              <w:right w:val="nil"/>
            </w:tcBorders>
          </w:tcPr>
          <w:p w14:paraId="3EE145A4" w14:textId="77777777" w:rsidR="00447B26" w:rsidRPr="00FA46D8" w:rsidRDefault="00447B26" w:rsidP="00237A9D">
            <w:pPr>
              <w:rPr>
                <w:rFonts w:cs="Arial"/>
                <w:b/>
                <w:lang w:eastAsia="ja-JP"/>
              </w:rPr>
            </w:pPr>
          </w:p>
        </w:tc>
      </w:tr>
      <w:tr w:rsidR="00447B26" w:rsidRPr="006E26E4" w14:paraId="799F846D" w14:textId="77777777" w:rsidTr="008C25D9">
        <w:trPr>
          <w:jc w:val="center"/>
        </w:trPr>
        <w:tc>
          <w:tcPr>
            <w:tcW w:w="4788" w:type="dxa"/>
            <w:shd w:val="clear" w:color="auto" w:fill="D9D9D9" w:themeFill="background1" w:themeFillShade="D9"/>
          </w:tcPr>
          <w:p w14:paraId="311250C4" w14:textId="77777777" w:rsidR="00447B26" w:rsidRPr="00FA46D8" w:rsidRDefault="00447B26" w:rsidP="00E50A07">
            <w:pPr>
              <w:spacing w:before="40"/>
              <w:rPr>
                <w:rFonts w:cs="Arial"/>
                <w:b/>
                <w:lang w:eastAsia="ja-JP"/>
              </w:rPr>
            </w:pPr>
            <w:r w:rsidRPr="00FA46D8">
              <w:rPr>
                <w:rFonts w:cs="Arial"/>
                <w:b/>
                <w:lang w:eastAsia="ja-JP"/>
              </w:rPr>
              <w:t>First Name</w:t>
            </w:r>
          </w:p>
        </w:tc>
        <w:tc>
          <w:tcPr>
            <w:tcW w:w="4788" w:type="dxa"/>
            <w:tcBorders>
              <w:top w:val="nil"/>
              <w:bottom w:val="nil"/>
              <w:right w:val="nil"/>
            </w:tcBorders>
          </w:tcPr>
          <w:p w14:paraId="26B1448C" w14:textId="77777777" w:rsidR="00447B26" w:rsidRPr="00FA46D8" w:rsidRDefault="00447B26" w:rsidP="00237A9D">
            <w:pPr>
              <w:rPr>
                <w:rFonts w:cs="Arial"/>
                <w:b/>
                <w:lang w:eastAsia="ja-JP"/>
              </w:rPr>
            </w:pPr>
          </w:p>
        </w:tc>
      </w:tr>
      <w:tr w:rsidR="00447B26" w:rsidRPr="006E26E4" w14:paraId="2CA4C37C" w14:textId="77777777" w:rsidTr="008C25D9">
        <w:trPr>
          <w:jc w:val="center"/>
        </w:trPr>
        <w:tc>
          <w:tcPr>
            <w:tcW w:w="4788" w:type="dxa"/>
          </w:tcPr>
          <w:p w14:paraId="77A83411" w14:textId="77777777" w:rsidR="00447B26" w:rsidRPr="00FA46D8" w:rsidRDefault="00447B26" w:rsidP="00237A9D">
            <w:pPr>
              <w:rPr>
                <w:rFonts w:cs="Arial"/>
                <w:b/>
                <w:lang w:eastAsia="ja-JP"/>
              </w:rPr>
            </w:pPr>
          </w:p>
        </w:tc>
        <w:tc>
          <w:tcPr>
            <w:tcW w:w="4788" w:type="dxa"/>
            <w:tcBorders>
              <w:top w:val="nil"/>
              <w:bottom w:val="nil"/>
              <w:right w:val="nil"/>
            </w:tcBorders>
          </w:tcPr>
          <w:p w14:paraId="0AE274BA" w14:textId="77777777" w:rsidR="00447B26" w:rsidRPr="00FA46D8" w:rsidRDefault="00447B26" w:rsidP="00237A9D">
            <w:pPr>
              <w:rPr>
                <w:rFonts w:cs="Arial"/>
                <w:b/>
                <w:lang w:eastAsia="ja-JP"/>
              </w:rPr>
            </w:pPr>
          </w:p>
        </w:tc>
      </w:tr>
      <w:tr w:rsidR="00447B26" w:rsidRPr="006E26E4" w14:paraId="76C6307E" w14:textId="77777777" w:rsidTr="008C25D9">
        <w:trPr>
          <w:jc w:val="center"/>
        </w:trPr>
        <w:tc>
          <w:tcPr>
            <w:tcW w:w="4788" w:type="dxa"/>
            <w:shd w:val="clear" w:color="auto" w:fill="D9D9D9" w:themeFill="background1" w:themeFillShade="D9"/>
          </w:tcPr>
          <w:p w14:paraId="47EC4390" w14:textId="77777777" w:rsidR="00447B26" w:rsidRPr="00FA46D8" w:rsidRDefault="00447B26" w:rsidP="00E50A07">
            <w:pPr>
              <w:spacing w:before="40"/>
              <w:rPr>
                <w:rFonts w:cs="Arial"/>
                <w:b/>
                <w:lang w:eastAsia="ja-JP"/>
              </w:rPr>
            </w:pPr>
            <w:r w:rsidRPr="00FA46D8">
              <w:rPr>
                <w:rFonts w:cs="Arial"/>
                <w:b/>
                <w:lang w:eastAsia="ja-JP"/>
              </w:rPr>
              <w:t>Last Name</w:t>
            </w:r>
          </w:p>
        </w:tc>
        <w:tc>
          <w:tcPr>
            <w:tcW w:w="4788" w:type="dxa"/>
            <w:tcBorders>
              <w:top w:val="nil"/>
              <w:bottom w:val="nil"/>
              <w:right w:val="nil"/>
            </w:tcBorders>
          </w:tcPr>
          <w:p w14:paraId="4DE8CB25" w14:textId="77777777" w:rsidR="00447B26" w:rsidRPr="00FA46D8" w:rsidRDefault="00447B26" w:rsidP="00237A9D">
            <w:pPr>
              <w:rPr>
                <w:rFonts w:cs="Arial"/>
                <w:b/>
                <w:lang w:eastAsia="ja-JP"/>
              </w:rPr>
            </w:pPr>
          </w:p>
        </w:tc>
      </w:tr>
      <w:tr w:rsidR="00447B26" w:rsidRPr="006E26E4" w14:paraId="555621ED" w14:textId="77777777" w:rsidTr="00E50A07">
        <w:trPr>
          <w:trHeight w:val="143"/>
          <w:jc w:val="center"/>
        </w:trPr>
        <w:tc>
          <w:tcPr>
            <w:tcW w:w="4788" w:type="dxa"/>
          </w:tcPr>
          <w:p w14:paraId="2C3F3AC0" w14:textId="77777777" w:rsidR="00E50A07" w:rsidRPr="00FA46D8" w:rsidRDefault="00E50A07" w:rsidP="00237A9D">
            <w:pPr>
              <w:rPr>
                <w:rFonts w:cs="Arial"/>
                <w:b/>
                <w:lang w:eastAsia="ja-JP"/>
              </w:rPr>
            </w:pPr>
          </w:p>
        </w:tc>
        <w:tc>
          <w:tcPr>
            <w:tcW w:w="4788" w:type="dxa"/>
            <w:tcBorders>
              <w:top w:val="nil"/>
              <w:bottom w:val="nil"/>
              <w:right w:val="nil"/>
            </w:tcBorders>
          </w:tcPr>
          <w:p w14:paraId="10BD9DA9" w14:textId="77777777" w:rsidR="00447B26" w:rsidRPr="00FA46D8" w:rsidRDefault="00447B26" w:rsidP="00237A9D">
            <w:pPr>
              <w:rPr>
                <w:rFonts w:cs="Arial"/>
                <w:b/>
                <w:lang w:eastAsia="ja-JP"/>
              </w:rPr>
            </w:pPr>
          </w:p>
        </w:tc>
      </w:tr>
      <w:tr w:rsidR="0044426C" w:rsidRPr="006E26E4" w14:paraId="60E643D2" w14:textId="77777777" w:rsidTr="008C25D9">
        <w:trPr>
          <w:jc w:val="center"/>
        </w:trPr>
        <w:tc>
          <w:tcPr>
            <w:tcW w:w="4788" w:type="dxa"/>
            <w:shd w:val="clear" w:color="auto" w:fill="D9D9D9" w:themeFill="background1" w:themeFillShade="D9"/>
          </w:tcPr>
          <w:p w14:paraId="64607084" w14:textId="77777777" w:rsidR="0044426C" w:rsidRPr="00FA46D8" w:rsidRDefault="0044426C" w:rsidP="00E50A07">
            <w:pPr>
              <w:spacing w:before="40"/>
              <w:rPr>
                <w:rFonts w:cs="Arial"/>
                <w:b/>
                <w:lang w:eastAsia="ja-JP"/>
              </w:rPr>
            </w:pPr>
            <w:r w:rsidRPr="00FA46D8">
              <w:rPr>
                <w:rFonts w:cs="Arial"/>
                <w:b/>
                <w:lang w:eastAsia="ja-JP"/>
              </w:rPr>
              <w:t>Phone Number</w:t>
            </w:r>
          </w:p>
        </w:tc>
        <w:tc>
          <w:tcPr>
            <w:tcW w:w="4788" w:type="dxa"/>
            <w:tcBorders>
              <w:top w:val="nil"/>
              <w:bottom w:val="nil"/>
              <w:right w:val="nil"/>
            </w:tcBorders>
          </w:tcPr>
          <w:p w14:paraId="62C9559D" w14:textId="77777777" w:rsidR="0044426C" w:rsidRPr="00FA46D8" w:rsidRDefault="0044426C" w:rsidP="00237A9D">
            <w:pPr>
              <w:rPr>
                <w:rFonts w:cs="Arial"/>
                <w:b/>
                <w:lang w:eastAsia="ja-JP"/>
              </w:rPr>
            </w:pPr>
          </w:p>
        </w:tc>
      </w:tr>
      <w:tr w:rsidR="0044426C" w:rsidRPr="006E26E4" w14:paraId="3F83AA53" w14:textId="77777777" w:rsidTr="008C25D9">
        <w:trPr>
          <w:jc w:val="center"/>
        </w:trPr>
        <w:tc>
          <w:tcPr>
            <w:tcW w:w="4788" w:type="dxa"/>
          </w:tcPr>
          <w:p w14:paraId="7CC4BCAE" w14:textId="77777777" w:rsidR="0044426C" w:rsidRPr="00FA46D8" w:rsidRDefault="0044426C" w:rsidP="00237A9D">
            <w:pPr>
              <w:rPr>
                <w:rFonts w:cs="Arial"/>
                <w:b/>
                <w:lang w:eastAsia="ja-JP"/>
              </w:rPr>
            </w:pPr>
          </w:p>
        </w:tc>
        <w:tc>
          <w:tcPr>
            <w:tcW w:w="4788" w:type="dxa"/>
            <w:tcBorders>
              <w:top w:val="nil"/>
              <w:bottom w:val="nil"/>
              <w:right w:val="nil"/>
            </w:tcBorders>
          </w:tcPr>
          <w:p w14:paraId="228766E8" w14:textId="77777777" w:rsidR="0044426C" w:rsidRPr="00FA46D8" w:rsidRDefault="0044426C" w:rsidP="00237A9D">
            <w:pPr>
              <w:rPr>
                <w:rFonts w:cs="Arial"/>
                <w:b/>
                <w:lang w:eastAsia="ja-JP"/>
              </w:rPr>
            </w:pPr>
          </w:p>
        </w:tc>
      </w:tr>
      <w:tr w:rsidR="0044426C" w:rsidRPr="006E26E4" w14:paraId="749D4B56" w14:textId="77777777" w:rsidTr="008C25D9">
        <w:trPr>
          <w:jc w:val="center"/>
        </w:trPr>
        <w:tc>
          <w:tcPr>
            <w:tcW w:w="4788" w:type="dxa"/>
            <w:shd w:val="clear" w:color="auto" w:fill="D9D9D9" w:themeFill="background1" w:themeFillShade="D9"/>
          </w:tcPr>
          <w:p w14:paraId="3929F60A" w14:textId="77777777" w:rsidR="0044426C" w:rsidRPr="00FA46D8" w:rsidRDefault="0044426C" w:rsidP="00E50A07">
            <w:pPr>
              <w:spacing w:before="40"/>
              <w:rPr>
                <w:rFonts w:cs="Arial"/>
                <w:b/>
                <w:lang w:eastAsia="ja-JP"/>
              </w:rPr>
            </w:pPr>
            <w:r w:rsidRPr="00FA46D8">
              <w:rPr>
                <w:rFonts w:cs="Arial"/>
                <w:b/>
                <w:lang w:eastAsia="ja-JP"/>
              </w:rPr>
              <w:t>Phone Number Extension</w:t>
            </w:r>
          </w:p>
        </w:tc>
        <w:tc>
          <w:tcPr>
            <w:tcW w:w="4788" w:type="dxa"/>
            <w:tcBorders>
              <w:top w:val="nil"/>
              <w:bottom w:val="nil"/>
              <w:right w:val="nil"/>
            </w:tcBorders>
          </w:tcPr>
          <w:p w14:paraId="19D0A6D7" w14:textId="77777777" w:rsidR="0044426C" w:rsidRPr="00FA46D8" w:rsidRDefault="0044426C" w:rsidP="00237A9D">
            <w:pPr>
              <w:rPr>
                <w:rFonts w:cs="Arial"/>
                <w:b/>
                <w:lang w:eastAsia="ja-JP"/>
              </w:rPr>
            </w:pPr>
          </w:p>
        </w:tc>
      </w:tr>
      <w:tr w:rsidR="0044426C" w:rsidRPr="006E26E4" w14:paraId="71B3E36F" w14:textId="77777777" w:rsidTr="008C25D9">
        <w:trPr>
          <w:jc w:val="center"/>
        </w:trPr>
        <w:tc>
          <w:tcPr>
            <w:tcW w:w="4788" w:type="dxa"/>
          </w:tcPr>
          <w:p w14:paraId="51601C26" w14:textId="77777777" w:rsidR="0044426C" w:rsidRPr="00FA46D8" w:rsidRDefault="0044426C" w:rsidP="00237A9D">
            <w:pPr>
              <w:rPr>
                <w:rFonts w:cs="Arial"/>
                <w:b/>
                <w:lang w:eastAsia="ja-JP"/>
              </w:rPr>
            </w:pPr>
          </w:p>
        </w:tc>
        <w:tc>
          <w:tcPr>
            <w:tcW w:w="4788" w:type="dxa"/>
            <w:tcBorders>
              <w:top w:val="nil"/>
              <w:bottom w:val="nil"/>
              <w:right w:val="nil"/>
            </w:tcBorders>
          </w:tcPr>
          <w:p w14:paraId="6F24CC06" w14:textId="77777777" w:rsidR="0044426C" w:rsidRPr="00FA46D8" w:rsidRDefault="0044426C" w:rsidP="00237A9D">
            <w:pPr>
              <w:rPr>
                <w:rFonts w:cs="Arial"/>
                <w:b/>
                <w:lang w:eastAsia="ja-JP"/>
              </w:rPr>
            </w:pPr>
          </w:p>
        </w:tc>
      </w:tr>
      <w:tr w:rsidR="0044426C" w:rsidRPr="006E26E4" w14:paraId="49C6276C" w14:textId="77777777" w:rsidTr="008C25D9">
        <w:trPr>
          <w:jc w:val="center"/>
        </w:trPr>
        <w:tc>
          <w:tcPr>
            <w:tcW w:w="4788" w:type="dxa"/>
            <w:shd w:val="clear" w:color="auto" w:fill="D9D9D9" w:themeFill="background1" w:themeFillShade="D9"/>
          </w:tcPr>
          <w:p w14:paraId="1D2910D6" w14:textId="20D964AC" w:rsidR="0044426C" w:rsidRPr="00FA46D8" w:rsidRDefault="0044426C" w:rsidP="00E50A07">
            <w:pPr>
              <w:spacing w:before="40"/>
              <w:rPr>
                <w:rFonts w:cs="Arial"/>
                <w:b/>
                <w:lang w:eastAsia="ja-JP"/>
              </w:rPr>
            </w:pPr>
            <w:r w:rsidRPr="00FA46D8">
              <w:rPr>
                <w:rFonts w:cs="Arial"/>
                <w:b/>
                <w:lang w:eastAsia="ja-JP"/>
              </w:rPr>
              <w:t>E</w:t>
            </w:r>
            <w:r w:rsidR="006B5A1D">
              <w:rPr>
                <w:rFonts w:cs="Arial"/>
                <w:b/>
                <w:lang w:eastAsia="ja-JP"/>
              </w:rPr>
              <w:t>-</w:t>
            </w:r>
            <w:r w:rsidRPr="00FA46D8">
              <w:rPr>
                <w:rFonts w:cs="Arial"/>
                <w:b/>
                <w:lang w:eastAsia="ja-JP"/>
              </w:rPr>
              <w:t>mail Address</w:t>
            </w:r>
          </w:p>
        </w:tc>
        <w:tc>
          <w:tcPr>
            <w:tcW w:w="4788" w:type="dxa"/>
            <w:tcBorders>
              <w:top w:val="nil"/>
              <w:bottom w:val="nil"/>
              <w:right w:val="nil"/>
            </w:tcBorders>
          </w:tcPr>
          <w:p w14:paraId="4B77B0CB" w14:textId="77777777" w:rsidR="0044426C" w:rsidRPr="00FA46D8" w:rsidRDefault="0044426C" w:rsidP="00237A9D">
            <w:pPr>
              <w:rPr>
                <w:rFonts w:cs="Arial"/>
                <w:b/>
                <w:lang w:eastAsia="ja-JP"/>
              </w:rPr>
            </w:pPr>
          </w:p>
        </w:tc>
      </w:tr>
      <w:tr w:rsidR="0044426C" w:rsidRPr="006E26E4" w14:paraId="64344135" w14:textId="77777777" w:rsidTr="008C25D9">
        <w:trPr>
          <w:jc w:val="center"/>
        </w:trPr>
        <w:tc>
          <w:tcPr>
            <w:tcW w:w="4788" w:type="dxa"/>
          </w:tcPr>
          <w:p w14:paraId="51E3459B" w14:textId="77777777" w:rsidR="0044426C" w:rsidRPr="00FA46D8" w:rsidRDefault="0044426C" w:rsidP="00237A9D">
            <w:pPr>
              <w:rPr>
                <w:rFonts w:cs="Arial"/>
                <w:b/>
                <w:lang w:eastAsia="ja-JP"/>
              </w:rPr>
            </w:pPr>
          </w:p>
        </w:tc>
        <w:tc>
          <w:tcPr>
            <w:tcW w:w="4788" w:type="dxa"/>
            <w:tcBorders>
              <w:top w:val="nil"/>
              <w:bottom w:val="nil"/>
              <w:right w:val="nil"/>
            </w:tcBorders>
          </w:tcPr>
          <w:p w14:paraId="16F23051" w14:textId="77777777" w:rsidR="0044426C" w:rsidRPr="00FA46D8" w:rsidRDefault="0044426C" w:rsidP="00237A9D">
            <w:pPr>
              <w:rPr>
                <w:rFonts w:cs="Arial"/>
                <w:b/>
                <w:lang w:eastAsia="ja-JP"/>
              </w:rPr>
            </w:pPr>
          </w:p>
        </w:tc>
      </w:tr>
    </w:tbl>
    <w:p w14:paraId="43B6676B" w14:textId="77777777" w:rsidR="00447B26" w:rsidRDefault="00447B26" w:rsidP="00EB41AD">
      <w:pPr>
        <w:rPr>
          <w:rFonts w:cs="Arial"/>
          <w:lang w:eastAsia="ja-JP"/>
        </w:rPr>
      </w:pPr>
    </w:p>
    <w:p w14:paraId="25A9A793" w14:textId="77777777" w:rsidR="004D1420" w:rsidRPr="00FA46D8" w:rsidRDefault="004D1420" w:rsidP="00EB41AD">
      <w:pPr>
        <w:rPr>
          <w:rFonts w:cs="Arial"/>
          <w:lang w:eastAsia="ja-JP"/>
        </w:rPr>
      </w:pPr>
    </w:p>
    <w:tbl>
      <w:tblPr>
        <w:tblStyle w:val="TableGrid"/>
        <w:tblW w:w="0" w:type="auto"/>
        <w:jc w:val="center"/>
        <w:tblLook w:val="04A0" w:firstRow="1" w:lastRow="0" w:firstColumn="1" w:lastColumn="0" w:noHBand="0" w:noVBand="1"/>
      </w:tblPr>
      <w:tblGrid>
        <w:gridCol w:w="4683"/>
        <w:gridCol w:w="4667"/>
      </w:tblGrid>
      <w:tr w:rsidR="00992169" w:rsidRPr="00BB1339" w14:paraId="5F79600B" w14:textId="77777777" w:rsidTr="00791132">
        <w:trPr>
          <w:jc w:val="center"/>
        </w:trPr>
        <w:tc>
          <w:tcPr>
            <w:tcW w:w="4685" w:type="dxa"/>
            <w:shd w:val="clear" w:color="auto" w:fill="D9D9D9" w:themeFill="background1" w:themeFillShade="D9"/>
          </w:tcPr>
          <w:p w14:paraId="47AA538E" w14:textId="77777777" w:rsidR="00992169" w:rsidRPr="00BB1339" w:rsidRDefault="00992169" w:rsidP="00992169">
            <w:pPr>
              <w:spacing w:before="40"/>
              <w:rPr>
                <w:rFonts w:cs="Arial"/>
                <w:b/>
                <w:sz w:val="18"/>
                <w:szCs w:val="18"/>
                <w:lang w:eastAsia="ja-JP"/>
              </w:rPr>
            </w:pPr>
            <w:r w:rsidRPr="00BB1339">
              <w:rPr>
                <w:rFonts w:cs="Arial"/>
                <w:b/>
                <w:sz w:val="18"/>
                <w:szCs w:val="18"/>
                <w:lang w:eastAsia="ja-JP"/>
              </w:rPr>
              <w:t>Opt-Out</w:t>
            </w:r>
          </w:p>
          <w:p w14:paraId="6C5446B3" w14:textId="2A42CD29" w:rsidR="005D3D9E" w:rsidRPr="00BB1339" w:rsidRDefault="00992169" w:rsidP="00992169">
            <w:pPr>
              <w:spacing w:before="40"/>
              <w:rPr>
                <w:rFonts w:cs="Arial"/>
                <w:i/>
                <w:iCs/>
                <w:sz w:val="18"/>
                <w:szCs w:val="18"/>
                <w:lang w:eastAsia="ja-JP"/>
              </w:rPr>
            </w:pPr>
            <w:r w:rsidRPr="00BB1339">
              <w:rPr>
                <w:rFonts w:cs="Arial"/>
                <w:sz w:val="18"/>
                <w:szCs w:val="18"/>
                <w:lang w:eastAsia="ja-JP"/>
              </w:rPr>
              <w:t xml:space="preserve">Opt-out of having information in the “Contact Information” subsection shared with </w:t>
            </w:r>
            <w:r w:rsidR="00906641" w:rsidRPr="00BB1339">
              <w:rPr>
                <w:rFonts w:cs="Arial"/>
                <w:sz w:val="18"/>
                <w:szCs w:val="18"/>
                <w:lang w:eastAsia="ja-JP"/>
              </w:rPr>
              <w:t>third parties</w:t>
            </w:r>
            <w:r w:rsidRPr="00BB1339">
              <w:rPr>
                <w:rFonts w:cs="Arial"/>
                <w:sz w:val="18"/>
                <w:szCs w:val="18"/>
                <w:lang w:eastAsia="ja-JP"/>
              </w:rPr>
              <w:t>.</w:t>
            </w:r>
          </w:p>
        </w:tc>
        <w:tc>
          <w:tcPr>
            <w:tcW w:w="4670" w:type="dxa"/>
            <w:tcBorders>
              <w:top w:val="single" w:sz="4" w:space="0" w:color="auto"/>
              <w:bottom w:val="single" w:sz="4" w:space="0" w:color="auto"/>
              <w:right w:val="single" w:sz="4" w:space="0" w:color="auto"/>
            </w:tcBorders>
            <w:vAlign w:val="center"/>
          </w:tcPr>
          <w:p w14:paraId="7829323E" w14:textId="77777777" w:rsidR="00992169" w:rsidRPr="00BB1339" w:rsidRDefault="00992169" w:rsidP="00791132">
            <w:pPr>
              <w:rPr>
                <w:rFonts w:cs="Arial"/>
                <w:sz w:val="18"/>
                <w:szCs w:val="18"/>
                <w:lang w:eastAsia="ja-JP"/>
              </w:rPr>
            </w:pPr>
            <w:r w:rsidRPr="00BB1339">
              <w:rPr>
                <w:rFonts w:cs="Arial"/>
                <w:sz w:val="18"/>
                <w:szCs w:val="18"/>
                <w:lang w:eastAsia="ja-JP"/>
              </w:rPr>
              <w:sym w:font="Wingdings" w:char="F06F"/>
            </w:r>
            <w:r w:rsidRPr="00BB1339">
              <w:rPr>
                <w:rFonts w:cs="Arial"/>
                <w:sz w:val="18"/>
                <w:szCs w:val="18"/>
                <w:lang w:eastAsia="ja-JP"/>
              </w:rPr>
              <w:t xml:space="preserve"> Opt-out</w:t>
            </w:r>
          </w:p>
        </w:tc>
      </w:tr>
    </w:tbl>
    <w:p w14:paraId="45544954" w14:textId="77777777" w:rsidR="008764A8" w:rsidRPr="00BB1339" w:rsidRDefault="008764A8" w:rsidP="00EB41AD">
      <w:pPr>
        <w:rPr>
          <w:rFonts w:cs="Arial"/>
          <w:sz w:val="18"/>
          <w:szCs w:val="18"/>
          <w:lang w:eastAsia="ja-JP"/>
        </w:rPr>
      </w:pPr>
    </w:p>
    <w:tbl>
      <w:tblPr>
        <w:tblStyle w:val="TableGrid"/>
        <w:tblW w:w="0" w:type="auto"/>
        <w:tblLook w:val="04A0" w:firstRow="1" w:lastRow="0" w:firstColumn="1" w:lastColumn="0" w:noHBand="0" w:noVBand="1"/>
      </w:tblPr>
      <w:tblGrid>
        <w:gridCol w:w="4688"/>
      </w:tblGrid>
      <w:tr w:rsidR="004D7A60" w:rsidRPr="006E26E4" w14:paraId="0E4EFD1F" w14:textId="04F9B2ED" w:rsidTr="004D7A60">
        <w:tc>
          <w:tcPr>
            <w:tcW w:w="4688" w:type="dxa"/>
            <w:shd w:val="clear" w:color="auto" w:fill="D9D9D9" w:themeFill="background1" w:themeFillShade="D9"/>
          </w:tcPr>
          <w:p w14:paraId="73F91895" w14:textId="7363B5EF" w:rsidR="004D7A60" w:rsidRPr="00D36222" w:rsidDel="008D6243" w:rsidRDefault="004D7A60" w:rsidP="00D36222">
            <w:pPr>
              <w:rPr>
                <w:rFonts w:cs="Arial"/>
                <w:b/>
                <w:bCs/>
                <w:lang w:eastAsia="ja-JP"/>
              </w:rPr>
            </w:pPr>
            <w:r w:rsidRPr="00D36222">
              <w:rPr>
                <w:b/>
                <w:bCs/>
              </w:rPr>
              <w:t>Healthcare System Information</w:t>
            </w:r>
          </w:p>
        </w:tc>
      </w:tr>
      <w:tr w:rsidR="004D7A60" w:rsidRPr="006E26E4" w14:paraId="5F1A7831" w14:textId="1DCD6CE9" w:rsidTr="004D7A60">
        <w:tc>
          <w:tcPr>
            <w:tcW w:w="4688" w:type="dxa"/>
            <w:shd w:val="clear" w:color="auto" w:fill="D9D9D9" w:themeFill="background1" w:themeFillShade="D9"/>
          </w:tcPr>
          <w:p w14:paraId="644D51E4" w14:textId="6F94A6DD" w:rsidR="004D7A60" w:rsidRDefault="004D7A60" w:rsidP="004D7A60">
            <w:pPr>
              <w:spacing w:before="40"/>
            </w:pPr>
            <w:r>
              <w:rPr>
                <w:rFonts w:cs="Arial"/>
                <w:b/>
                <w:lang w:eastAsia="ja-JP"/>
              </w:rPr>
              <w:t>Name of</w:t>
            </w:r>
            <w:r w:rsidRPr="00FA46D8">
              <w:rPr>
                <w:rFonts w:cs="Arial"/>
                <w:b/>
                <w:lang w:eastAsia="ja-JP"/>
              </w:rPr>
              <w:t xml:space="preserve"> </w:t>
            </w:r>
            <w:hyperlink w:anchor="Endnote7_System" w:history="1">
              <w:r>
                <w:rPr>
                  <w:rStyle w:val="Hyperlink"/>
                  <w:rFonts w:cs="Arial"/>
                  <w:b/>
                  <w:lang w:eastAsia="ja-JP"/>
                </w:rPr>
                <w:t>Healthcare System or Integrated Delivery Network</w:t>
              </w:r>
            </w:hyperlink>
            <w:r w:rsidR="00BF053F">
              <w:rPr>
                <w:rFonts w:ascii="ZWAdobeF" w:hAnsi="ZWAdobeF" w:cs="ZWAdobeF"/>
                <w:sz w:val="2"/>
                <w:szCs w:val="2"/>
              </w:rPr>
              <w:t>8F</w:t>
            </w:r>
            <w:r w:rsidR="004C7557">
              <w:rPr>
                <w:rFonts w:ascii="ZWAdobeF" w:hAnsi="ZWAdobeF" w:cs="ZWAdobeF"/>
                <w:sz w:val="2"/>
                <w:szCs w:val="2"/>
              </w:rPr>
              <w:t>8F</w:t>
            </w:r>
            <w:r w:rsidR="00C2087D">
              <w:rPr>
                <w:rFonts w:ascii="ZWAdobeF" w:hAnsi="ZWAdobeF" w:cs="ZWAdobeF"/>
                <w:sz w:val="2"/>
                <w:szCs w:val="2"/>
              </w:rPr>
              <w:t>8F</w:t>
            </w:r>
            <w:r w:rsidR="00B55C41">
              <w:rPr>
                <w:rFonts w:ascii="ZWAdobeF" w:hAnsi="ZWAdobeF" w:cs="ZWAdobeF"/>
                <w:sz w:val="2"/>
                <w:szCs w:val="2"/>
              </w:rPr>
              <w:t>8F</w:t>
            </w:r>
            <w:r w:rsidR="006255A6">
              <w:rPr>
                <w:rFonts w:ascii="ZWAdobeF" w:hAnsi="ZWAdobeF" w:cs="ZWAdobeF"/>
                <w:sz w:val="2"/>
                <w:szCs w:val="2"/>
              </w:rPr>
              <w:t>8F</w:t>
            </w:r>
            <w:r w:rsidR="00E453C7">
              <w:rPr>
                <w:rFonts w:ascii="ZWAdobeF" w:hAnsi="ZWAdobeF" w:cs="ZWAdobeF"/>
                <w:sz w:val="2"/>
                <w:szCs w:val="2"/>
              </w:rPr>
              <w:t>8F</w:t>
            </w:r>
            <w:r w:rsidR="00953060">
              <w:rPr>
                <w:rFonts w:ascii="ZWAdobeF" w:hAnsi="ZWAdobeF" w:cs="ZWAdobeF"/>
                <w:sz w:val="2"/>
                <w:szCs w:val="2"/>
              </w:rPr>
              <w:t>8F</w:t>
            </w:r>
            <w:r w:rsidR="00DD04D6">
              <w:rPr>
                <w:rFonts w:ascii="ZWAdobeF" w:hAnsi="ZWAdobeF" w:cs="ZWAdobeF"/>
                <w:sz w:val="2"/>
                <w:szCs w:val="2"/>
              </w:rPr>
              <w:t>8F</w:t>
            </w:r>
            <w:r w:rsidRPr="00FA46D8">
              <w:rPr>
                <w:rStyle w:val="EndnoteReference"/>
                <w:rFonts w:cs="Arial"/>
                <w:b/>
                <w:lang w:eastAsia="ja-JP"/>
              </w:rPr>
              <w:endnoteReference w:id="10"/>
            </w:r>
          </w:p>
          <w:p w14:paraId="7B525263" w14:textId="7C1AF7CA" w:rsidR="004D7A60" w:rsidRPr="00FA46D8" w:rsidRDefault="004D7A60" w:rsidP="004D7A60">
            <w:pPr>
              <w:spacing w:before="40"/>
              <w:rPr>
                <w:rFonts w:cs="Arial"/>
                <w:b/>
                <w:lang w:eastAsia="ja-JP"/>
              </w:rPr>
            </w:pPr>
            <w:r w:rsidRPr="00FA46D8">
              <w:rPr>
                <w:rFonts w:cs="Arial"/>
                <w:lang w:eastAsia="ja-JP"/>
              </w:rPr>
              <w:t xml:space="preserve">If the </w:t>
            </w:r>
            <w:r>
              <w:rPr>
                <w:rFonts w:cs="Arial"/>
                <w:lang w:eastAsia="ja-JP"/>
              </w:rPr>
              <w:t>name</w:t>
            </w:r>
            <w:r w:rsidRPr="00FA46D8">
              <w:rPr>
                <w:rFonts w:cs="Arial"/>
                <w:lang w:eastAsia="ja-JP"/>
              </w:rPr>
              <w:t xml:space="preserve"> displayed in the Online Hospital Survey Tool is not correct, contact the Leapfrog </w:t>
            </w:r>
            <w:hyperlink r:id="rId98" w:history="1">
              <w:r w:rsidRPr="00FA46D8">
                <w:rPr>
                  <w:rStyle w:val="Hyperlink"/>
                  <w:rFonts w:cs="Arial"/>
                  <w:lang w:eastAsia="ja-JP"/>
                </w:rPr>
                <w:t>Help Desk</w:t>
              </w:r>
            </w:hyperlink>
            <w:r w:rsidRPr="00FA46D8">
              <w:rPr>
                <w:rFonts w:cs="Arial"/>
                <w:lang w:eastAsia="ja-JP"/>
              </w:rPr>
              <w:t xml:space="preserve"> immediately.</w:t>
            </w:r>
          </w:p>
        </w:tc>
      </w:tr>
      <w:tr w:rsidR="004D7A60" w:rsidRPr="006E26E4" w14:paraId="61CD6FC5" w14:textId="330822DA" w:rsidTr="004D7A60">
        <w:tc>
          <w:tcPr>
            <w:tcW w:w="4688" w:type="dxa"/>
          </w:tcPr>
          <w:p w14:paraId="7AC9304F" w14:textId="456E4E93" w:rsidR="004D7A60" w:rsidRPr="00FA46D8" w:rsidRDefault="004D7A60" w:rsidP="004D7A60">
            <w:pPr>
              <w:rPr>
                <w:rFonts w:cs="Arial"/>
                <w:b/>
                <w:i/>
                <w:iCs/>
                <w:lang w:eastAsia="ja-JP"/>
              </w:rPr>
            </w:pPr>
          </w:p>
        </w:tc>
      </w:tr>
      <w:tr w:rsidR="004D7A60" w:rsidRPr="006E26E4" w14:paraId="206D756E" w14:textId="3F99F7E2" w:rsidTr="004D7A60">
        <w:tc>
          <w:tcPr>
            <w:tcW w:w="4688" w:type="dxa"/>
          </w:tcPr>
          <w:p w14:paraId="2DB8D08C" w14:textId="77777777" w:rsidR="004D7A60" w:rsidRDefault="004D7A60" w:rsidP="004D7A60">
            <w:pPr>
              <w:rPr>
                <w:rFonts w:cs="Arial"/>
                <w:b/>
                <w:lang w:eastAsia="ja-JP"/>
              </w:rPr>
            </w:pPr>
            <w:r w:rsidRPr="00FA46D8">
              <w:rPr>
                <w:rFonts w:cs="Arial"/>
                <w:b/>
                <w:lang w:eastAsia="ja-JP"/>
              </w:rPr>
              <w:t>System Contact First Name</w:t>
            </w:r>
          </w:p>
          <w:p w14:paraId="74D4BD42" w14:textId="3F4B23A2" w:rsidR="004D7A60" w:rsidRPr="004D1420" w:rsidDel="008D6243" w:rsidRDefault="00074063" w:rsidP="004D7A60">
            <w:pPr>
              <w:rPr>
                <w:rFonts w:cs="Arial"/>
                <w:lang w:eastAsia="ja-JP"/>
              </w:rPr>
            </w:pPr>
            <w:r>
              <w:rPr>
                <w:rFonts w:cs="Arial"/>
                <w:bCs/>
                <w:lang w:eastAsia="ja-JP"/>
              </w:rPr>
              <w:t>P</w:t>
            </w:r>
            <w:r w:rsidR="004C7067" w:rsidRPr="004C7067">
              <w:rPr>
                <w:rFonts w:cs="Arial"/>
                <w:bCs/>
                <w:lang w:eastAsia="ja-JP"/>
              </w:rPr>
              <w:t>rovide a System Contact for the IDN displayed.</w:t>
            </w:r>
            <w:r w:rsidR="00ED2533">
              <w:rPr>
                <w:rFonts w:cs="Arial"/>
                <w:bCs/>
                <w:lang w:eastAsia="ja-JP"/>
              </w:rPr>
              <w:t xml:space="preserve"> </w:t>
            </w:r>
            <w:r w:rsidR="004C7067" w:rsidRPr="004C7067">
              <w:rPr>
                <w:rFonts w:cs="Arial"/>
                <w:bCs/>
                <w:lang w:eastAsia="ja-JP"/>
              </w:rPr>
              <w:t xml:space="preserve">If </w:t>
            </w:r>
            <w:r w:rsidR="00581A1B">
              <w:rPr>
                <w:rFonts w:cs="Arial"/>
                <w:bCs/>
                <w:lang w:eastAsia="ja-JP"/>
              </w:rPr>
              <w:t xml:space="preserve">no </w:t>
            </w:r>
            <w:r w:rsidR="00471A96">
              <w:rPr>
                <w:rFonts w:cs="Arial"/>
                <w:bCs/>
                <w:lang w:eastAsia="ja-JP"/>
              </w:rPr>
              <w:t xml:space="preserve">System </w:t>
            </w:r>
            <w:r w:rsidR="004C7067" w:rsidRPr="004C7067">
              <w:rPr>
                <w:rFonts w:cs="Arial"/>
                <w:bCs/>
                <w:lang w:eastAsia="ja-JP"/>
              </w:rPr>
              <w:t xml:space="preserve">Contact for the IDN displayed, </w:t>
            </w:r>
            <w:r w:rsidR="00DC2A68">
              <w:rPr>
                <w:rFonts w:cs="Arial"/>
                <w:bCs/>
                <w:lang w:eastAsia="ja-JP"/>
              </w:rPr>
              <w:t xml:space="preserve">enter </w:t>
            </w:r>
            <w:r w:rsidR="004C7067" w:rsidRPr="004C7067">
              <w:rPr>
                <w:rFonts w:cs="Arial"/>
                <w:bCs/>
                <w:lang w:eastAsia="ja-JP"/>
              </w:rPr>
              <w:t>a Contact for a larger parent system</w:t>
            </w:r>
            <w:r w:rsidR="00DC2A68">
              <w:rPr>
                <w:rFonts w:cs="Arial"/>
                <w:bCs/>
                <w:lang w:eastAsia="ja-JP"/>
              </w:rPr>
              <w:t xml:space="preserve"> or </w:t>
            </w:r>
            <w:r w:rsidR="00471A96">
              <w:rPr>
                <w:rFonts w:cs="Arial"/>
                <w:bCs/>
                <w:lang w:eastAsia="ja-JP"/>
              </w:rPr>
              <w:t>re-</w:t>
            </w:r>
            <w:r w:rsidR="007F42A0">
              <w:rPr>
                <w:rFonts w:cs="Arial"/>
                <w:bCs/>
                <w:lang w:eastAsia="ja-JP"/>
              </w:rPr>
              <w:t xml:space="preserve">enter </w:t>
            </w:r>
            <w:r w:rsidR="004D7A60" w:rsidRPr="00172E1C">
              <w:rPr>
                <w:rFonts w:cs="Arial"/>
                <w:bCs/>
                <w:lang w:eastAsia="ja-JP"/>
              </w:rPr>
              <w:t xml:space="preserve">your Primary </w:t>
            </w:r>
            <w:r w:rsidR="002D6F36">
              <w:rPr>
                <w:rFonts w:cs="Arial"/>
                <w:bCs/>
                <w:lang w:eastAsia="ja-JP"/>
              </w:rPr>
              <w:t xml:space="preserve">or Secondary </w:t>
            </w:r>
            <w:r w:rsidR="004D7A60" w:rsidRPr="00172E1C">
              <w:rPr>
                <w:rFonts w:cs="Arial"/>
                <w:bCs/>
                <w:lang w:eastAsia="ja-JP"/>
              </w:rPr>
              <w:t>Survey Contact</w:t>
            </w:r>
            <w:r w:rsidR="00763401">
              <w:rPr>
                <w:rFonts w:cs="Arial"/>
                <w:bCs/>
                <w:lang w:eastAsia="ja-JP"/>
              </w:rPr>
              <w:t xml:space="preserve"> information</w:t>
            </w:r>
            <w:r w:rsidR="004D7A60">
              <w:rPr>
                <w:rFonts w:cs="Arial"/>
                <w:bCs/>
                <w:lang w:eastAsia="ja-JP"/>
              </w:rPr>
              <w:t xml:space="preserve">. </w:t>
            </w:r>
          </w:p>
        </w:tc>
      </w:tr>
      <w:tr w:rsidR="004D7A60" w:rsidRPr="006E26E4" w14:paraId="1F08B097" w14:textId="6B8AE929" w:rsidTr="004D7A60">
        <w:tc>
          <w:tcPr>
            <w:tcW w:w="4688" w:type="dxa"/>
          </w:tcPr>
          <w:p w14:paraId="3BAE0BD5" w14:textId="77777777" w:rsidR="004D7A60" w:rsidRPr="004D1420" w:rsidDel="008D6243" w:rsidRDefault="004D7A60" w:rsidP="004D7A60">
            <w:pPr>
              <w:rPr>
                <w:rFonts w:cs="Arial"/>
                <w:lang w:eastAsia="ja-JP"/>
              </w:rPr>
            </w:pPr>
          </w:p>
        </w:tc>
      </w:tr>
      <w:tr w:rsidR="004D7A60" w:rsidRPr="006E26E4" w14:paraId="7763EE35" w14:textId="6AF3A199" w:rsidTr="004D7A60">
        <w:tc>
          <w:tcPr>
            <w:tcW w:w="4688" w:type="dxa"/>
          </w:tcPr>
          <w:p w14:paraId="027FAEDC" w14:textId="0044FEDB" w:rsidR="004D7A60" w:rsidRPr="004D1420" w:rsidDel="008D6243" w:rsidRDefault="004D7A60" w:rsidP="004D7A60">
            <w:pPr>
              <w:rPr>
                <w:rFonts w:cs="Arial"/>
                <w:lang w:eastAsia="ja-JP"/>
              </w:rPr>
            </w:pPr>
            <w:r w:rsidRPr="00FA46D8">
              <w:rPr>
                <w:rFonts w:cs="Arial"/>
                <w:b/>
                <w:lang w:eastAsia="ja-JP"/>
              </w:rPr>
              <w:t>System Contact Last Name</w:t>
            </w:r>
            <w:r w:rsidRPr="00FA46D8" w:rsidDel="00211444">
              <w:rPr>
                <w:rFonts w:cs="Arial"/>
                <w:b/>
                <w:lang w:eastAsia="ja-JP"/>
              </w:rPr>
              <w:t xml:space="preserve"> </w:t>
            </w:r>
          </w:p>
        </w:tc>
      </w:tr>
      <w:tr w:rsidR="004D7A60" w:rsidRPr="006E26E4" w14:paraId="2D633727" w14:textId="60B30652" w:rsidTr="004D7A60">
        <w:tc>
          <w:tcPr>
            <w:tcW w:w="4688" w:type="dxa"/>
          </w:tcPr>
          <w:p w14:paraId="5691AB3D" w14:textId="77777777" w:rsidR="004D7A60" w:rsidRPr="004D1420" w:rsidDel="008D6243" w:rsidRDefault="004D7A60" w:rsidP="004D7A60">
            <w:pPr>
              <w:rPr>
                <w:rFonts w:cs="Arial"/>
                <w:lang w:eastAsia="ja-JP"/>
              </w:rPr>
            </w:pPr>
          </w:p>
        </w:tc>
      </w:tr>
      <w:tr w:rsidR="004D7A60" w:rsidRPr="006E26E4" w14:paraId="55149EB6" w14:textId="58EA6714" w:rsidTr="004D7A60">
        <w:tc>
          <w:tcPr>
            <w:tcW w:w="4688" w:type="dxa"/>
          </w:tcPr>
          <w:p w14:paraId="06751789" w14:textId="18E0ABC7" w:rsidR="004D7A60" w:rsidRPr="004D1420" w:rsidDel="008D6243" w:rsidRDefault="004D7A60" w:rsidP="004D7A60">
            <w:pPr>
              <w:rPr>
                <w:rFonts w:cs="Arial"/>
                <w:lang w:eastAsia="ja-JP"/>
              </w:rPr>
            </w:pPr>
            <w:r w:rsidRPr="00FA46D8">
              <w:rPr>
                <w:rFonts w:cs="Arial"/>
                <w:b/>
                <w:lang w:eastAsia="ja-JP"/>
              </w:rPr>
              <w:t>System Contact E</w:t>
            </w:r>
            <w:r w:rsidR="006B5A1D">
              <w:rPr>
                <w:rFonts w:cs="Arial"/>
                <w:b/>
                <w:lang w:eastAsia="ja-JP"/>
              </w:rPr>
              <w:t>-</w:t>
            </w:r>
            <w:r w:rsidRPr="00FA46D8">
              <w:rPr>
                <w:rFonts w:cs="Arial"/>
                <w:b/>
                <w:lang w:eastAsia="ja-JP"/>
              </w:rPr>
              <w:t>mail Address</w:t>
            </w:r>
          </w:p>
        </w:tc>
      </w:tr>
      <w:tr w:rsidR="004D7A60" w:rsidRPr="006E26E4" w14:paraId="65D94682" w14:textId="77777777" w:rsidTr="004D7A60">
        <w:trPr>
          <w:trHeight w:val="230"/>
        </w:trPr>
        <w:tc>
          <w:tcPr>
            <w:tcW w:w="4688" w:type="dxa"/>
            <w:shd w:val="clear" w:color="auto" w:fill="FFFFFF" w:themeFill="background1"/>
          </w:tcPr>
          <w:p w14:paraId="4BFA4C6B" w14:textId="77777777" w:rsidR="004D7A60" w:rsidRPr="004D1420" w:rsidDel="008D6243" w:rsidRDefault="004D7A60" w:rsidP="004D7A60">
            <w:pPr>
              <w:rPr>
                <w:rFonts w:cs="Arial"/>
                <w:lang w:eastAsia="ja-JP"/>
              </w:rPr>
            </w:pPr>
          </w:p>
        </w:tc>
      </w:tr>
    </w:tbl>
    <w:p w14:paraId="4F062CB5" w14:textId="77777777" w:rsidR="00BD2934" w:rsidRDefault="00BD2934">
      <w:pPr>
        <w:rPr>
          <w:rFonts w:cs="Arial"/>
          <w:bCs/>
          <w:lang w:eastAsia="ja-JP"/>
        </w:rPr>
      </w:pPr>
    </w:p>
    <w:tbl>
      <w:tblPr>
        <w:tblStyle w:val="TableGrid"/>
        <w:tblW w:w="0" w:type="auto"/>
        <w:tblLook w:val="04A0" w:firstRow="1" w:lastRow="0" w:firstColumn="1" w:lastColumn="0" w:noHBand="0" w:noVBand="1"/>
      </w:tblPr>
      <w:tblGrid>
        <w:gridCol w:w="4675"/>
      </w:tblGrid>
      <w:tr w:rsidR="004D7A60" w14:paraId="44A48A96" w14:textId="77777777" w:rsidTr="00BD2934">
        <w:tc>
          <w:tcPr>
            <w:tcW w:w="4675" w:type="dxa"/>
            <w:shd w:val="clear" w:color="auto" w:fill="D9D9D9" w:themeFill="background1" w:themeFillShade="D9"/>
          </w:tcPr>
          <w:p w14:paraId="408D01C1" w14:textId="77777777" w:rsidR="004D7A60" w:rsidRDefault="004D7A60" w:rsidP="004D7A60">
            <w:pPr>
              <w:rPr>
                <w:rFonts w:cs="Arial"/>
                <w:b/>
                <w:lang w:eastAsia="ja-JP"/>
              </w:rPr>
            </w:pPr>
            <w:r w:rsidRPr="00FA46D8">
              <w:rPr>
                <w:rFonts w:cs="Arial"/>
                <w:b/>
                <w:lang w:eastAsia="ja-JP"/>
              </w:rPr>
              <w:t>System Public Relations Contact First Name</w:t>
            </w:r>
          </w:p>
          <w:p w14:paraId="27AE011A" w14:textId="1B0D7E8D" w:rsidR="005A4605" w:rsidRDefault="005A4605" w:rsidP="004D7A60">
            <w:pPr>
              <w:rPr>
                <w:rFonts w:cs="Arial"/>
                <w:bCs/>
                <w:lang w:eastAsia="ja-JP"/>
              </w:rPr>
            </w:pPr>
            <w:r w:rsidRPr="00FA46D8">
              <w:rPr>
                <w:rFonts w:cs="Arial"/>
                <w:lang w:eastAsia="ja-JP"/>
              </w:rPr>
              <w:t>(required so that Leapfrog may provide information on Leapfrog accolades, such as Top Hospital notification, and announcements)</w:t>
            </w:r>
          </w:p>
        </w:tc>
      </w:tr>
      <w:tr w:rsidR="004D7A60" w14:paraId="7700E40C" w14:textId="77777777" w:rsidTr="00BD2934">
        <w:tc>
          <w:tcPr>
            <w:tcW w:w="4675" w:type="dxa"/>
          </w:tcPr>
          <w:p w14:paraId="77657C3F" w14:textId="77777777" w:rsidR="004D7A60" w:rsidRDefault="004D7A60" w:rsidP="004D7A60">
            <w:pPr>
              <w:rPr>
                <w:rFonts w:cs="Arial"/>
                <w:bCs/>
                <w:lang w:eastAsia="ja-JP"/>
              </w:rPr>
            </w:pPr>
          </w:p>
        </w:tc>
      </w:tr>
      <w:tr w:rsidR="004D7A60" w14:paraId="46D1E395" w14:textId="77777777" w:rsidTr="00BD2934">
        <w:tc>
          <w:tcPr>
            <w:tcW w:w="4675" w:type="dxa"/>
            <w:shd w:val="clear" w:color="auto" w:fill="D9D9D9" w:themeFill="background1" w:themeFillShade="D9"/>
          </w:tcPr>
          <w:p w14:paraId="78399325" w14:textId="078F8798" w:rsidR="004D7A60" w:rsidRDefault="004D7A60" w:rsidP="004D7A60">
            <w:pPr>
              <w:rPr>
                <w:rFonts w:cs="Arial"/>
                <w:bCs/>
                <w:lang w:eastAsia="ja-JP"/>
              </w:rPr>
            </w:pPr>
            <w:r w:rsidRPr="00FA46D8">
              <w:rPr>
                <w:rFonts w:cs="Arial"/>
                <w:b/>
                <w:lang w:eastAsia="ja-JP"/>
              </w:rPr>
              <w:t>System Public Relations Contact Last Name</w:t>
            </w:r>
            <w:r w:rsidRPr="00FA46D8" w:rsidDel="00211444">
              <w:rPr>
                <w:rFonts w:cs="Arial"/>
                <w:b/>
                <w:lang w:eastAsia="ja-JP"/>
              </w:rPr>
              <w:t xml:space="preserve"> </w:t>
            </w:r>
          </w:p>
        </w:tc>
      </w:tr>
      <w:tr w:rsidR="004D7A60" w14:paraId="124AE258" w14:textId="77777777" w:rsidTr="00BD2934">
        <w:tc>
          <w:tcPr>
            <w:tcW w:w="4675" w:type="dxa"/>
          </w:tcPr>
          <w:p w14:paraId="7D14A9FC" w14:textId="77777777" w:rsidR="004D7A60" w:rsidRDefault="004D7A60" w:rsidP="004D7A60">
            <w:pPr>
              <w:rPr>
                <w:rFonts w:cs="Arial"/>
                <w:bCs/>
                <w:lang w:eastAsia="ja-JP"/>
              </w:rPr>
            </w:pPr>
          </w:p>
        </w:tc>
      </w:tr>
      <w:tr w:rsidR="004D7A60" w14:paraId="613EA188" w14:textId="77777777" w:rsidTr="00BD2934">
        <w:tc>
          <w:tcPr>
            <w:tcW w:w="4675" w:type="dxa"/>
            <w:shd w:val="clear" w:color="auto" w:fill="D9D9D9" w:themeFill="background1" w:themeFillShade="D9"/>
          </w:tcPr>
          <w:p w14:paraId="5DDA11E6" w14:textId="28517EA7" w:rsidR="004D7A60" w:rsidRDefault="004D7A60" w:rsidP="004D7A60">
            <w:pPr>
              <w:rPr>
                <w:rFonts w:cs="Arial"/>
                <w:bCs/>
                <w:lang w:eastAsia="ja-JP"/>
              </w:rPr>
            </w:pPr>
            <w:r w:rsidRPr="00FA46D8">
              <w:rPr>
                <w:rFonts w:cs="Arial"/>
                <w:b/>
                <w:lang w:eastAsia="ja-JP"/>
              </w:rPr>
              <w:t>System Public Relations Contact Phone Number</w:t>
            </w:r>
          </w:p>
        </w:tc>
      </w:tr>
      <w:tr w:rsidR="004D7A60" w14:paraId="40D4A901" w14:textId="77777777" w:rsidTr="00BD2934">
        <w:tc>
          <w:tcPr>
            <w:tcW w:w="4675" w:type="dxa"/>
          </w:tcPr>
          <w:p w14:paraId="3AC7C62F" w14:textId="77777777" w:rsidR="004D7A60" w:rsidRDefault="004D7A60" w:rsidP="004D7A60">
            <w:pPr>
              <w:rPr>
                <w:rFonts w:cs="Arial"/>
                <w:bCs/>
                <w:lang w:eastAsia="ja-JP"/>
              </w:rPr>
            </w:pPr>
          </w:p>
        </w:tc>
      </w:tr>
      <w:tr w:rsidR="004D7A60" w14:paraId="3F8D3BBC" w14:textId="77777777" w:rsidTr="00BD2934">
        <w:trPr>
          <w:trHeight w:val="230"/>
        </w:trPr>
        <w:tc>
          <w:tcPr>
            <w:tcW w:w="4675" w:type="dxa"/>
            <w:shd w:val="clear" w:color="auto" w:fill="D9D9D9" w:themeFill="background1" w:themeFillShade="D9"/>
          </w:tcPr>
          <w:p w14:paraId="078DBDAB" w14:textId="1A3DA4F1" w:rsidR="004D7A60" w:rsidRDefault="004D7A60" w:rsidP="004D7A60">
            <w:pPr>
              <w:rPr>
                <w:rFonts w:cs="Arial"/>
                <w:bCs/>
                <w:lang w:eastAsia="ja-JP"/>
              </w:rPr>
            </w:pPr>
            <w:r w:rsidRPr="00FA46D8">
              <w:rPr>
                <w:rFonts w:cs="Arial"/>
                <w:b/>
                <w:lang w:eastAsia="ja-JP"/>
              </w:rPr>
              <w:t>System Public Relations Contact Phone Number</w:t>
            </w:r>
            <w:r>
              <w:rPr>
                <w:rFonts w:cs="Arial"/>
                <w:b/>
                <w:lang w:eastAsia="ja-JP"/>
              </w:rPr>
              <w:t xml:space="preserve"> Extension </w:t>
            </w:r>
          </w:p>
        </w:tc>
      </w:tr>
      <w:tr w:rsidR="004D7A60" w14:paraId="6CBA3379" w14:textId="77777777" w:rsidTr="001D3B12">
        <w:trPr>
          <w:trHeight w:val="230"/>
        </w:trPr>
        <w:tc>
          <w:tcPr>
            <w:tcW w:w="4675" w:type="dxa"/>
          </w:tcPr>
          <w:p w14:paraId="4B50903C" w14:textId="77777777" w:rsidR="004D7A60" w:rsidRDefault="004D7A60" w:rsidP="004D7A60">
            <w:pPr>
              <w:rPr>
                <w:rFonts w:cs="Arial"/>
                <w:bCs/>
                <w:lang w:eastAsia="ja-JP"/>
              </w:rPr>
            </w:pPr>
          </w:p>
        </w:tc>
      </w:tr>
      <w:tr w:rsidR="004D7A60" w14:paraId="7C9393F4" w14:textId="77777777" w:rsidTr="00D70C64">
        <w:trPr>
          <w:trHeight w:val="230"/>
        </w:trPr>
        <w:tc>
          <w:tcPr>
            <w:tcW w:w="4675" w:type="dxa"/>
            <w:tcBorders>
              <w:bottom w:val="single" w:sz="4" w:space="0" w:color="auto"/>
            </w:tcBorders>
            <w:shd w:val="clear" w:color="auto" w:fill="D9D9D9" w:themeFill="background1" w:themeFillShade="D9"/>
          </w:tcPr>
          <w:p w14:paraId="61E3D5F2" w14:textId="4EF7F0E0" w:rsidR="004D7A60" w:rsidRDefault="004D7A60" w:rsidP="004D7A60">
            <w:pPr>
              <w:rPr>
                <w:rFonts w:cs="Arial"/>
                <w:bCs/>
                <w:lang w:eastAsia="ja-JP"/>
              </w:rPr>
            </w:pPr>
            <w:r w:rsidRPr="00FA46D8">
              <w:rPr>
                <w:rFonts w:cs="Arial"/>
                <w:b/>
                <w:lang w:eastAsia="ja-JP"/>
              </w:rPr>
              <w:t xml:space="preserve">System Public Relations Contact </w:t>
            </w:r>
            <w:r>
              <w:rPr>
                <w:rFonts w:cs="Arial"/>
                <w:b/>
                <w:lang w:eastAsia="ja-JP"/>
              </w:rPr>
              <w:t>E</w:t>
            </w:r>
            <w:r w:rsidR="006B5A1D">
              <w:rPr>
                <w:rFonts w:cs="Arial"/>
                <w:b/>
                <w:lang w:eastAsia="ja-JP"/>
              </w:rPr>
              <w:t>-</w:t>
            </w:r>
            <w:r>
              <w:rPr>
                <w:rFonts w:cs="Arial"/>
                <w:b/>
                <w:lang w:eastAsia="ja-JP"/>
              </w:rPr>
              <w:t>mail Address</w:t>
            </w:r>
          </w:p>
        </w:tc>
      </w:tr>
      <w:tr w:rsidR="004D7A60" w14:paraId="2A87E7CF" w14:textId="77777777" w:rsidTr="00D70C64">
        <w:trPr>
          <w:trHeight w:val="230"/>
        </w:trPr>
        <w:tc>
          <w:tcPr>
            <w:tcW w:w="4675" w:type="dxa"/>
            <w:tcBorders>
              <w:bottom w:val="single" w:sz="4" w:space="0" w:color="auto"/>
            </w:tcBorders>
          </w:tcPr>
          <w:p w14:paraId="48CE39B0" w14:textId="77777777" w:rsidR="004D7A60" w:rsidRDefault="004D7A60" w:rsidP="004D7A60">
            <w:pPr>
              <w:rPr>
                <w:rFonts w:cs="Arial"/>
                <w:bCs/>
                <w:lang w:eastAsia="ja-JP"/>
              </w:rPr>
            </w:pPr>
          </w:p>
        </w:tc>
      </w:tr>
    </w:tbl>
    <w:p w14:paraId="50DCB71E" w14:textId="77777777" w:rsidR="00BD2934" w:rsidRDefault="00BD2934">
      <w:pPr>
        <w:rPr>
          <w:rFonts w:cs="Arial"/>
          <w:bCs/>
          <w:lang w:eastAsia="ja-JP"/>
        </w:rPr>
      </w:pPr>
    </w:p>
    <w:p w14:paraId="24A55140" w14:textId="24A50EE8" w:rsidR="00BD2934" w:rsidRPr="009A5185" w:rsidRDefault="00BD2934">
      <w:pPr>
        <w:rPr>
          <w:rFonts w:cs="Arial"/>
        </w:rPr>
        <w:sectPr w:rsidR="00BD2934" w:rsidRPr="009A5185" w:rsidSect="00062F69">
          <w:headerReference w:type="default" r:id="rId99"/>
          <w:endnotePr>
            <w:numFmt w:val="decimal"/>
          </w:endnotePr>
          <w:type w:val="continuous"/>
          <w:pgSz w:w="12240" w:h="15840"/>
          <w:pgMar w:top="1080" w:right="1440" w:bottom="1080" w:left="1440" w:header="720" w:footer="720" w:gutter="0"/>
          <w:cols w:space="720"/>
          <w:docGrid w:linePitch="272"/>
        </w:sectPr>
      </w:pPr>
    </w:p>
    <w:p w14:paraId="752AC044" w14:textId="77777777" w:rsidR="00A437A9" w:rsidRPr="009A5185" w:rsidRDefault="00A437A9">
      <w:pPr>
        <w:rPr>
          <w:rFonts w:cs="Arial"/>
        </w:rPr>
      </w:pPr>
    </w:p>
    <w:p w14:paraId="041EDD81" w14:textId="77777777" w:rsidR="00A437A9" w:rsidRPr="009A5185" w:rsidRDefault="00A437A9" w:rsidP="00A437A9">
      <w:pPr>
        <w:rPr>
          <w:rFonts w:cs="Arial"/>
        </w:rPr>
      </w:pPr>
    </w:p>
    <w:p w14:paraId="2F244773" w14:textId="77777777" w:rsidR="00A437A9" w:rsidRPr="009A5185" w:rsidRDefault="00A437A9" w:rsidP="00D32C75">
      <w:pPr>
        <w:pStyle w:val="SectionHeader"/>
      </w:pPr>
      <w:bookmarkStart w:id="75" w:name="_Toc225877665"/>
      <w:r w:rsidRPr="009A5185">
        <w:t>Page Intentionally Left Blank</w:t>
      </w:r>
      <w:bookmarkEnd w:id="75"/>
    </w:p>
    <w:p w14:paraId="1DD5D95A" w14:textId="77777777" w:rsidR="00A437A9" w:rsidRPr="009A5185" w:rsidRDefault="00A437A9" w:rsidP="00A437A9">
      <w:pPr>
        <w:rPr>
          <w:rFonts w:cs="Arial"/>
        </w:rPr>
      </w:pPr>
    </w:p>
    <w:p w14:paraId="30000B9E" w14:textId="77777777" w:rsidR="00A437A9" w:rsidRPr="009A5185" w:rsidRDefault="00A437A9" w:rsidP="00A437A9">
      <w:pPr>
        <w:rPr>
          <w:rFonts w:cs="Arial"/>
        </w:rPr>
      </w:pPr>
    </w:p>
    <w:p w14:paraId="0CCA6F8A" w14:textId="77777777" w:rsidR="00A437A9" w:rsidRPr="009A5185" w:rsidRDefault="00A437A9" w:rsidP="00A437A9">
      <w:pPr>
        <w:rPr>
          <w:rFonts w:cs="Arial"/>
        </w:rPr>
      </w:pPr>
    </w:p>
    <w:p w14:paraId="4D25AB04" w14:textId="77777777" w:rsidR="00A437A9" w:rsidRPr="009A5185" w:rsidRDefault="00A437A9" w:rsidP="00A437A9">
      <w:pPr>
        <w:tabs>
          <w:tab w:val="center" w:pos="4680"/>
        </w:tabs>
        <w:rPr>
          <w:rFonts w:cs="Arial"/>
        </w:rPr>
        <w:sectPr w:rsidR="00A437A9" w:rsidRPr="009A5185" w:rsidSect="00062F69">
          <w:headerReference w:type="default" r:id="rId100"/>
          <w:endnotePr>
            <w:numFmt w:val="decimal"/>
          </w:endnotePr>
          <w:pgSz w:w="12240" w:h="15840"/>
          <w:pgMar w:top="1080" w:right="1440" w:bottom="1080" w:left="1440" w:header="720" w:footer="720" w:gutter="0"/>
          <w:cols w:space="720"/>
          <w:docGrid w:linePitch="272"/>
        </w:sectPr>
      </w:pPr>
      <w:r w:rsidRPr="009A5185">
        <w:rPr>
          <w:rFonts w:cs="Arial"/>
        </w:rPr>
        <w:tab/>
      </w:r>
    </w:p>
    <w:p w14:paraId="391EA6E6" w14:textId="77777777" w:rsidR="00A437A9" w:rsidRPr="009A5185" w:rsidRDefault="00A437A9" w:rsidP="00F750C5">
      <w:pPr>
        <w:rPr>
          <w:snapToGrid w:val="0"/>
          <w:lang w:eastAsia="ja-JP"/>
        </w:rPr>
      </w:pPr>
    </w:p>
    <w:p w14:paraId="67F5955A" w14:textId="77777777" w:rsidR="00950575" w:rsidRPr="009A5185" w:rsidRDefault="00950575" w:rsidP="007D0C84"/>
    <w:p w14:paraId="536F88B1" w14:textId="77777777" w:rsidR="00950575" w:rsidRPr="009A5185" w:rsidRDefault="00950575" w:rsidP="007D0C84"/>
    <w:p w14:paraId="78DBD6D3" w14:textId="77777777" w:rsidR="00950575" w:rsidRPr="009A5185" w:rsidRDefault="00950575" w:rsidP="007D0C84"/>
    <w:p w14:paraId="24CD4567" w14:textId="77777777" w:rsidR="00950575" w:rsidRPr="009A5185" w:rsidRDefault="00950575" w:rsidP="007D0C84"/>
    <w:p w14:paraId="71EC57DB" w14:textId="77777777" w:rsidR="00950575" w:rsidRPr="009A5185" w:rsidRDefault="00950575" w:rsidP="007D0C84"/>
    <w:p w14:paraId="12F36BCA" w14:textId="77777777" w:rsidR="00950575" w:rsidRPr="009A5185" w:rsidRDefault="00950575" w:rsidP="007D0C84"/>
    <w:p w14:paraId="1F7AE858" w14:textId="77777777" w:rsidR="00D9090F" w:rsidRPr="009A5185" w:rsidRDefault="00D9090F" w:rsidP="007D0C84"/>
    <w:p w14:paraId="49304824" w14:textId="77777777" w:rsidR="00D9090F" w:rsidRPr="009A5185" w:rsidRDefault="00D9090F" w:rsidP="007D0C84"/>
    <w:p w14:paraId="5C4C748D" w14:textId="77777777" w:rsidR="00D9090F" w:rsidRPr="009A5185" w:rsidRDefault="00D9090F" w:rsidP="007D0C84"/>
    <w:p w14:paraId="7C203F81" w14:textId="77777777" w:rsidR="00D9090F" w:rsidRPr="009A5185" w:rsidRDefault="00D9090F" w:rsidP="007D0C84"/>
    <w:p w14:paraId="7C31227C" w14:textId="13949409" w:rsidR="00D9090F" w:rsidRDefault="00D9090F" w:rsidP="00F750C5"/>
    <w:p w14:paraId="45FFCCC6" w14:textId="6E34603F" w:rsidR="00F750C5" w:rsidRDefault="00F750C5" w:rsidP="00F750C5"/>
    <w:p w14:paraId="7A2B8BA0" w14:textId="77777777" w:rsidR="00A040BA" w:rsidRDefault="00A040BA" w:rsidP="00F750C5"/>
    <w:p w14:paraId="3D0B8AE6" w14:textId="77777777" w:rsidR="00A040BA" w:rsidRDefault="00A040BA" w:rsidP="00F750C5"/>
    <w:p w14:paraId="6A5D38A9" w14:textId="5BCC2C2A" w:rsidR="00F750C5" w:rsidRDefault="00F750C5" w:rsidP="00F750C5"/>
    <w:p w14:paraId="42C74104" w14:textId="46FF8445" w:rsidR="00F750C5" w:rsidRDefault="00F750C5" w:rsidP="00F750C5"/>
    <w:p w14:paraId="53822D4C" w14:textId="4FDC73D3" w:rsidR="00F750C5" w:rsidRDefault="00F750C5" w:rsidP="00F750C5"/>
    <w:p w14:paraId="575443B0" w14:textId="77777777" w:rsidR="00F750C5" w:rsidRPr="009A5185" w:rsidRDefault="00F750C5" w:rsidP="007D0C84"/>
    <w:p w14:paraId="0404DB2C" w14:textId="02EEEA3F" w:rsidR="00950575" w:rsidRPr="009A5185" w:rsidRDefault="00950575" w:rsidP="00D32C75">
      <w:pPr>
        <w:pStyle w:val="SectionHeader"/>
      </w:pPr>
      <w:bookmarkStart w:id="76" w:name="Sect1"/>
      <w:bookmarkStart w:id="77" w:name="_Toc225877666"/>
      <w:r w:rsidRPr="009A5185">
        <w:t xml:space="preserve">SECTION 1: </w:t>
      </w:r>
      <w:bookmarkEnd w:id="76"/>
      <w:r w:rsidR="00AB508D">
        <w:t>PATIENT RIGHTS AND ETHICS</w:t>
      </w:r>
      <w:bookmarkEnd w:id="77"/>
    </w:p>
    <w:p w14:paraId="4958DEA8" w14:textId="77777777" w:rsidR="00950575" w:rsidRPr="009A5185" w:rsidRDefault="00950575" w:rsidP="007D0C84"/>
    <w:p w14:paraId="7162AB4B" w14:textId="77777777" w:rsidR="00950575" w:rsidRPr="009A5185" w:rsidRDefault="00950575" w:rsidP="00950575">
      <w:pPr>
        <w:rPr>
          <w:rFonts w:cs="Arial"/>
        </w:rPr>
      </w:pPr>
    </w:p>
    <w:p w14:paraId="71525B66" w14:textId="488AF8AB" w:rsidR="00950575" w:rsidRPr="009A5185" w:rsidRDefault="00950575" w:rsidP="00950575">
      <w:pPr>
        <w:rPr>
          <w:rFonts w:cs="Arial"/>
        </w:rPr>
      </w:pPr>
      <w:r w:rsidRPr="009A5185">
        <w:rPr>
          <w:rFonts w:cs="Arial"/>
        </w:rPr>
        <w:t>This section includes questions and reference information for Section</w:t>
      </w:r>
      <w:r w:rsidR="008E04E0" w:rsidRPr="009A5185">
        <w:rPr>
          <w:rFonts w:cs="Arial"/>
        </w:rPr>
        <w:t xml:space="preserve"> 1:</w:t>
      </w:r>
      <w:r w:rsidRPr="009A5185">
        <w:rPr>
          <w:rFonts w:cs="Arial"/>
        </w:rPr>
        <w:t xml:space="preserve"> </w:t>
      </w:r>
      <w:r w:rsidR="00AB508D">
        <w:rPr>
          <w:rFonts w:cs="Arial"/>
          <w:snapToGrid w:val="0"/>
        </w:rPr>
        <w:t>Patient Rights and Ethics</w:t>
      </w:r>
      <w:r w:rsidRPr="009A5185">
        <w:rPr>
          <w:rFonts w:cs="Arial"/>
        </w:rPr>
        <w:t xml:space="preserve">. Please carefully review the questions, endnotes, and reference information (e.g., measure specifications, notes, and frequently asked questions) before you begin. Failure to review the reference information could result in inaccurate responses. </w:t>
      </w:r>
    </w:p>
    <w:p w14:paraId="7F893B55" w14:textId="77777777" w:rsidR="00950575" w:rsidRPr="009A5185" w:rsidRDefault="00950575" w:rsidP="00950575">
      <w:pPr>
        <w:rPr>
          <w:rFonts w:cs="Arial"/>
          <w:b/>
          <w:sz w:val="40"/>
          <w:szCs w:val="40"/>
        </w:rPr>
      </w:pPr>
      <w:r w:rsidRPr="009A5185">
        <w:rPr>
          <w:rFonts w:cs="Arial"/>
          <w:b/>
          <w:sz w:val="40"/>
          <w:szCs w:val="40"/>
        </w:rPr>
        <w:br w:type="page"/>
      </w:r>
    </w:p>
    <w:p w14:paraId="4EB61FA4" w14:textId="13F8FD7B" w:rsidR="00950575" w:rsidRPr="009A5185" w:rsidRDefault="003C7B12" w:rsidP="00CF5A6E">
      <w:pPr>
        <w:pStyle w:val="Heading2"/>
      </w:pPr>
      <w:bookmarkStart w:id="78" w:name="_Basic_Hospital_Information"/>
      <w:bookmarkStart w:id="79" w:name="_Section_1:_Patient"/>
      <w:bookmarkStart w:id="80" w:name="_Toc225877667"/>
      <w:bookmarkEnd w:id="78"/>
      <w:bookmarkEnd w:id="79"/>
      <w:r w:rsidRPr="009A5185">
        <w:lastRenderedPageBreak/>
        <w:t xml:space="preserve">Section 1: </w:t>
      </w:r>
      <w:r w:rsidR="00AB508D">
        <w:t>Patient Rights and Ethics</w:t>
      </w:r>
      <w:bookmarkEnd w:id="80"/>
    </w:p>
    <w:p w14:paraId="3BE8C8D8" w14:textId="77777777" w:rsidR="006E7AFA" w:rsidRPr="009A5185" w:rsidRDefault="006E7AFA" w:rsidP="006E7AFA">
      <w:pPr>
        <w:rPr>
          <w:rFonts w:cs="Arial"/>
        </w:rPr>
      </w:pPr>
    </w:p>
    <w:p w14:paraId="294A4D9B" w14:textId="4198893B" w:rsidR="00C45BCF" w:rsidRDefault="00AA4A4D" w:rsidP="006E7AFA">
      <w:pPr>
        <w:rPr>
          <w:rFonts w:cs="Arial"/>
        </w:rPr>
      </w:pPr>
      <w:bookmarkStart w:id="81" w:name="_Hlk67587194"/>
      <w:r>
        <w:rPr>
          <w:rFonts w:cs="Arial"/>
          <w:b/>
          <w:bCs/>
        </w:rPr>
        <w:t>Billing Ethics Bibliograph</w:t>
      </w:r>
      <w:r w:rsidR="00C45BCF">
        <w:rPr>
          <w:rFonts w:cs="Arial"/>
          <w:b/>
          <w:bCs/>
        </w:rPr>
        <w:t>y and Fact Sheet</w:t>
      </w:r>
      <w:r>
        <w:rPr>
          <w:rFonts w:cs="Arial"/>
          <w:b/>
          <w:bCs/>
        </w:rPr>
        <w:t xml:space="preserve">: </w:t>
      </w:r>
      <w:bookmarkEnd w:id="81"/>
      <w:r w:rsidR="00822D14">
        <w:fldChar w:fldCharType="begin"/>
      </w:r>
      <w:r w:rsidR="00822D14">
        <w:instrText>HYPERLINK "</w:instrText>
      </w:r>
      <w:r w:rsidR="00822D14" w:rsidRPr="00822D14">
        <w:instrText>https://ratings.leapfroggroup.org/measure/hospital/2026/billing-ethics</w:instrText>
      </w:r>
      <w:r w:rsidR="00822D14">
        <w:instrText>"</w:instrText>
      </w:r>
      <w:r w:rsidR="00822D14">
        <w:fldChar w:fldCharType="separate"/>
      </w:r>
      <w:r w:rsidR="00822D14" w:rsidRPr="00A2752F">
        <w:rPr>
          <w:rStyle w:val="Hyperlink"/>
        </w:rPr>
        <w:t>https://ratings.leapfroggroup.org/measure/hospital/2026/billing-ethics</w:t>
      </w:r>
      <w:r w:rsidR="00822D14">
        <w:fldChar w:fldCharType="end"/>
      </w:r>
      <w:r w:rsidR="00822D14">
        <w:t xml:space="preserve"> </w:t>
      </w:r>
    </w:p>
    <w:p w14:paraId="61473E72" w14:textId="77777777" w:rsidR="00FF4C61" w:rsidRDefault="00FF4C61" w:rsidP="006E7AFA"/>
    <w:p w14:paraId="2E6456CC" w14:textId="7E68C03F" w:rsidR="00C45BCF" w:rsidRDefault="00C45BCF" w:rsidP="00C45BCF">
      <w:pPr>
        <w:rPr>
          <w:rFonts w:cs="Arial"/>
          <w:b/>
          <w:bCs/>
        </w:rPr>
      </w:pPr>
      <w:r>
        <w:rPr>
          <w:rFonts w:cs="Arial"/>
          <w:b/>
          <w:bCs/>
        </w:rPr>
        <w:t xml:space="preserve">Health </w:t>
      </w:r>
      <w:r w:rsidR="004705EA">
        <w:rPr>
          <w:rFonts w:cs="Arial"/>
          <w:b/>
          <w:bCs/>
        </w:rPr>
        <w:t xml:space="preserve">Care </w:t>
      </w:r>
      <w:r>
        <w:rPr>
          <w:rFonts w:cs="Arial"/>
          <w:b/>
          <w:bCs/>
        </w:rPr>
        <w:t>Equity Bibliography</w:t>
      </w:r>
      <w:r w:rsidR="006E26E4">
        <w:rPr>
          <w:rFonts w:cs="Arial"/>
          <w:b/>
          <w:bCs/>
        </w:rPr>
        <w:t xml:space="preserve"> and Fact Sheet</w:t>
      </w:r>
      <w:r>
        <w:rPr>
          <w:rFonts w:cs="Arial"/>
          <w:b/>
          <w:bCs/>
        </w:rPr>
        <w:t>:</w:t>
      </w:r>
    </w:p>
    <w:p w14:paraId="64A88BFD" w14:textId="109359FC" w:rsidR="00746388" w:rsidRDefault="00D414C3" w:rsidP="00C45BCF">
      <w:hyperlink r:id="rId101" w:history="1">
        <w:r w:rsidRPr="00A2752F">
          <w:rPr>
            <w:rStyle w:val="Hyperlink"/>
          </w:rPr>
          <w:t>https://ratings.leapfroggroup.org/measure/hospital/2026/health-care-equity</w:t>
        </w:r>
      </w:hyperlink>
    </w:p>
    <w:p w14:paraId="07B81A59" w14:textId="77777777" w:rsidR="00D414C3" w:rsidRDefault="00D414C3" w:rsidP="00C45BCF"/>
    <w:p w14:paraId="0669DFB7" w14:textId="1BD84028" w:rsidR="00C45BCF" w:rsidRDefault="006B676B" w:rsidP="006E7AFA">
      <w:r w:rsidRPr="007D0C84">
        <w:rPr>
          <w:b/>
          <w:bCs/>
        </w:rPr>
        <w:t xml:space="preserve">Informed Consent Bibliography and Fact Sheet: </w:t>
      </w:r>
      <w:hyperlink r:id="rId102" w:history="1">
        <w:r w:rsidR="00D414C3" w:rsidRPr="00A2752F">
          <w:rPr>
            <w:rStyle w:val="Hyperlink"/>
          </w:rPr>
          <w:t>https://ratings.leapfroggroup.org/measure/hospital/2026/informed-consent</w:t>
        </w:r>
      </w:hyperlink>
    </w:p>
    <w:p w14:paraId="6DA12FB0" w14:textId="77777777" w:rsidR="00D414C3" w:rsidRPr="00AA4A4D" w:rsidRDefault="00D414C3" w:rsidP="006E7AFA">
      <w:pPr>
        <w:rPr>
          <w:rFonts w:cs="Arial"/>
        </w:rPr>
      </w:pPr>
    </w:p>
    <w:p w14:paraId="0C06804C" w14:textId="4E037BF8" w:rsidR="00A73A06" w:rsidRDefault="00A73A06" w:rsidP="00A604CC">
      <w:pPr>
        <w:rPr>
          <w:rFonts w:cs="Arial"/>
          <w:snapToGrid w:val="0"/>
        </w:rPr>
      </w:pPr>
      <w:r w:rsidRPr="009A5185">
        <w:rPr>
          <w:rFonts w:cs="Arial"/>
          <w:snapToGrid w:val="0"/>
        </w:rPr>
        <w:t xml:space="preserve">Section 1 includes questions about your hospital’s </w:t>
      </w:r>
      <w:r>
        <w:rPr>
          <w:rFonts w:cs="Arial"/>
          <w:snapToGrid w:val="0"/>
        </w:rPr>
        <w:t xml:space="preserve">billing ethics, health care equity, and informed consent processes. This section also includes questions on your </w:t>
      </w:r>
      <w:r w:rsidR="004D1420">
        <w:rPr>
          <w:rFonts w:cs="Arial"/>
          <w:snapToGrid w:val="0"/>
        </w:rPr>
        <w:t>hospital</w:t>
      </w:r>
      <w:r>
        <w:rPr>
          <w:rFonts w:cs="Arial"/>
          <w:snapToGrid w:val="0"/>
        </w:rPr>
        <w:t xml:space="preserve"> bed size, admissions, ICUs, and teaching status.</w:t>
      </w:r>
    </w:p>
    <w:p w14:paraId="71427646" w14:textId="77777777" w:rsidR="00652583" w:rsidRDefault="00652583" w:rsidP="00A604CC">
      <w:pPr>
        <w:rPr>
          <w:rFonts w:cs="Arial"/>
          <w:snapToGrid w:val="0"/>
        </w:rPr>
      </w:pPr>
    </w:p>
    <w:p w14:paraId="3C72584C" w14:textId="77777777" w:rsidR="00A604CC" w:rsidRDefault="00A604CC" w:rsidP="00A604CC">
      <w:pPr>
        <w:rPr>
          <w:rFonts w:cs="Arial"/>
          <w:b/>
          <w:bCs/>
          <w:snapToGrid w:val="0"/>
        </w:rPr>
      </w:pPr>
      <w:r>
        <w:rPr>
          <w:rFonts w:cs="Arial"/>
          <w:b/>
          <w:bCs/>
          <w:snapToGrid w:val="0"/>
        </w:rPr>
        <w:t>Each hospital achieving the standard for Billing Ethics:</w:t>
      </w:r>
    </w:p>
    <w:p w14:paraId="151B0A0E" w14:textId="3CA84CE1" w:rsidR="00A604CC" w:rsidRDefault="00A604CC" w:rsidP="00AD309C">
      <w:pPr>
        <w:pStyle w:val="ListParagraph"/>
        <w:numPr>
          <w:ilvl w:val="0"/>
          <w:numId w:val="157"/>
        </w:numPr>
        <w:rPr>
          <w:rFonts w:cstheme="minorHAnsi"/>
          <w:b/>
          <w:bCs/>
        </w:rPr>
      </w:pPr>
      <w:r>
        <w:rPr>
          <w:rFonts w:cstheme="minorHAnsi"/>
        </w:rPr>
        <w:t xml:space="preserve">Provides every patient with a billing statement within </w:t>
      </w:r>
      <w:r w:rsidR="00B271D0">
        <w:rPr>
          <w:rFonts w:cstheme="minorHAnsi"/>
        </w:rPr>
        <w:t>3</w:t>
      </w:r>
      <w:r>
        <w:rPr>
          <w:rFonts w:cstheme="minorHAnsi"/>
        </w:rPr>
        <w:t xml:space="preserve">0 days </w:t>
      </w:r>
      <w:r w:rsidR="00B271D0">
        <w:rPr>
          <w:rFonts w:cstheme="minorHAnsi"/>
        </w:rPr>
        <w:t xml:space="preserve">after final claims adjudication </w:t>
      </w:r>
      <w:r>
        <w:rPr>
          <w:rFonts w:cstheme="minorHAnsi"/>
        </w:rPr>
        <w:t xml:space="preserve">that includes </w:t>
      </w:r>
      <w:r w:rsidR="00B271D0">
        <w:rPr>
          <w:rFonts w:cstheme="minorHAnsi"/>
        </w:rPr>
        <w:t>all 10 required elements listed in question #1</w:t>
      </w:r>
      <w:r w:rsidR="00107E6F">
        <w:rPr>
          <w:rFonts w:cstheme="minorHAnsi"/>
        </w:rPr>
        <w:t>,</w:t>
      </w:r>
      <w:r>
        <w:rPr>
          <w:rFonts w:cstheme="minorHAnsi"/>
        </w:rPr>
        <w:t xml:space="preserve"> </w:t>
      </w:r>
      <w:r>
        <w:rPr>
          <w:rFonts w:cstheme="minorHAnsi"/>
          <w:b/>
          <w:bCs/>
        </w:rPr>
        <w:t>and</w:t>
      </w:r>
    </w:p>
    <w:p w14:paraId="495D7B73" w14:textId="4B71C0E3" w:rsidR="00A604CC" w:rsidRPr="002B7CF9" w:rsidRDefault="00A604CC" w:rsidP="00AD309C">
      <w:pPr>
        <w:pStyle w:val="ListParagraph"/>
        <w:numPr>
          <w:ilvl w:val="0"/>
          <w:numId w:val="157"/>
        </w:numPr>
        <w:rPr>
          <w:rFonts w:cstheme="minorHAnsi"/>
        </w:rPr>
      </w:pPr>
      <w:r>
        <w:rPr>
          <w:rFonts w:cstheme="minorHAnsi"/>
        </w:rPr>
        <w:t xml:space="preserve">Gives patients instructions for contacting a billing representative </w:t>
      </w:r>
      <w:r w:rsidR="00665559">
        <w:rPr>
          <w:rFonts w:cstheme="minorHAnsi"/>
        </w:rPr>
        <w:t>with</w:t>
      </w:r>
      <w:r w:rsidR="00136CE3">
        <w:rPr>
          <w:rFonts w:cstheme="minorHAnsi"/>
        </w:rPr>
        <w:t xml:space="preserve"> access </w:t>
      </w:r>
      <w:r w:rsidR="00665559">
        <w:rPr>
          <w:rFonts w:cstheme="minorHAnsi"/>
        </w:rPr>
        <w:t xml:space="preserve">to </w:t>
      </w:r>
      <w:r w:rsidR="00136CE3">
        <w:rPr>
          <w:rFonts w:cstheme="minorHAnsi"/>
        </w:rPr>
        <w:t>an interpretation service to communicate in the patient’s preferred language and</w:t>
      </w:r>
      <w:r>
        <w:rPr>
          <w:rFonts w:cstheme="minorHAnsi"/>
        </w:rPr>
        <w:t xml:space="preserve"> has the authority to </w:t>
      </w:r>
      <w:r w:rsidR="00A67D60">
        <w:rPr>
          <w:rFonts w:cstheme="minorHAnsi"/>
        </w:rPr>
        <w:t>do all three required elements in question #2</w:t>
      </w:r>
      <w:r w:rsidR="00D57961">
        <w:rPr>
          <w:rFonts w:cstheme="minorHAnsi"/>
        </w:rPr>
        <w:t xml:space="preserve"> within ten business days</w:t>
      </w:r>
      <w:r w:rsidR="00C90EB9">
        <w:rPr>
          <w:rFonts w:cstheme="minorHAnsi"/>
        </w:rPr>
        <w:t>,</w:t>
      </w:r>
      <w:r w:rsidR="00C90EB9" w:rsidRPr="002B7CF9" w:rsidDel="00C90EB9">
        <w:rPr>
          <w:rFonts w:cstheme="minorHAnsi"/>
        </w:rPr>
        <w:t xml:space="preserve"> </w:t>
      </w:r>
      <w:r w:rsidRPr="002B7CF9">
        <w:rPr>
          <w:rFonts w:cstheme="minorHAnsi"/>
          <w:b/>
          <w:bCs/>
        </w:rPr>
        <w:t>and</w:t>
      </w:r>
    </w:p>
    <w:p w14:paraId="6414FB67" w14:textId="56C56055" w:rsidR="001A403A" w:rsidRPr="00E317D4" w:rsidRDefault="00A604CC" w:rsidP="00AD309C">
      <w:pPr>
        <w:pStyle w:val="ListParagraph"/>
        <w:numPr>
          <w:ilvl w:val="0"/>
          <w:numId w:val="157"/>
        </w:numPr>
        <w:spacing w:after="120" w:line="264" w:lineRule="auto"/>
        <w:rPr>
          <w:rFonts w:cs="Arial"/>
          <w:snapToGrid w:val="0"/>
        </w:rPr>
      </w:pPr>
      <w:r>
        <w:rPr>
          <w:rFonts w:cstheme="minorHAnsi"/>
        </w:rPr>
        <w:t>Does NOT take legal action against patients for late or insufficient payment</w:t>
      </w:r>
      <w:r w:rsidR="00123F43">
        <w:rPr>
          <w:rFonts w:cstheme="minorHAnsi"/>
        </w:rPr>
        <w:t>.</w:t>
      </w:r>
    </w:p>
    <w:p w14:paraId="1DC93C4B" w14:textId="6E893D19" w:rsidR="00A35DD6" w:rsidRDefault="00A35DD6" w:rsidP="00A35DD6">
      <w:pPr>
        <w:spacing w:after="120" w:line="264" w:lineRule="auto"/>
        <w:rPr>
          <w:rFonts w:cs="Arial"/>
          <w:b/>
          <w:bCs/>
        </w:rPr>
      </w:pPr>
      <w:r w:rsidRPr="004D1420">
        <w:rPr>
          <w:rFonts w:cs="Arial"/>
          <w:b/>
          <w:bCs/>
        </w:rPr>
        <w:t xml:space="preserve">Each hospital achieving the standard for </w:t>
      </w:r>
      <w:r>
        <w:rPr>
          <w:rFonts w:cs="Arial"/>
          <w:b/>
          <w:bCs/>
        </w:rPr>
        <w:t xml:space="preserve">Health </w:t>
      </w:r>
      <w:r w:rsidR="004705EA">
        <w:rPr>
          <w:rFonts w:cs="Arial"/>
          <w:b/>
          <w:bCs/>
        </w:rPr>
        <w:t xml:space="preserve">Care </w:t>
      </w:r>
      <w:r>
        <w:rPr>
          <w:rFonts w:cs="Arial"/>
          <w:b/>
          <w:bCs/>
        </w:rPr>
        <w:t>Equity:</w:t>
      </w:r>
    </w:p>
    <w:p w14:paraId="1736296C" w14:textId="091C4997" w:rsidR="004705EA" w:rsidRPr="0029141C" w:rsidRDefault="004705EA" w:rsidP="00AD309C">
      <w:pPr>
        <w:pStyle w:val="ListParagraph"/>
        <w:numPr>
          <w:ilvl w:val="0"/>
          <w:numId w:val="305"/>
        </w:numPr>
        <w:spacing w:after="120" w:line="264" w:lineRule="auto"/>
        <w:rPr>
          <w:rFonts w:cs="Arial"/>
          <w:snapToGrid w:val="0"/>
        </w:rPr>
      </w:pPr>
      <w:r>
        <w:rPr>
          <w:rFonts w:cs="Arial"/>
          <w:snapToGrid w:val="0"/>
        </w:rPr>
        <w:t xml:space="preserve">Collects </w:t>
      </w:r>
      <w:r>
        <w:t>patient self-</w:t>
      </w:r>
      <w:r w:rsidR="00132671">
        <w:t>identified</w:t>
      </w:r>
      <w:r>
        <w:t xml:space="preserve"> </w:t>
      </w:r>
      <w:r w:rsidRPr="004D1420">
        <w:t>race</w:t>
      </w:r>
      <w:r w:rsidRPr="00A73A06">
        <w:t xml:space="preserve">, </w:t>
      </w:r>
      <w:r w:rsidRPr="004D1420">
        <w:t>ethnicity</w:t>
      </w:r>
      <w:r w:rsidRPr="00A73A06">
        <w:t xml:space="preserve">, </w:t>
      </w:r>
      <w:r w:rsidRPr="004D1420">
        <w:rPr>
          <w:u w:val="single"/>
        </w:rPr>
        <w:t>and</w:t>
      </w:r>
      <w:r w:rsidRPr="00A73A06">
        <w:t xml:space="preserve"> </w:t>
      </w:r>
      <w:r w:rsidRPr="004D1420">
        <w:t>preferred written and/or spoken language</w:t>
      </w:r>
      <w:r>
        <w:t xml:space="preserve"> </w:t>
      </w:r>
      <w:r w:rsidRPr="009F6BEA">
        <w:t>data</w:t>
      </w:r>
      <w:r>
        <w:t xml:space="preserve">, </w:t>
      </w:r>
      <w:r w:rsidRPr="0029141C">
        <w:rPr>
          <w:b/>
          <w:bCs/>
        </w:rPr>
        <w:t>and</w:t>
      </w:r>
    </w:p>
    <w:p w14:paraId="13DFD161" w14:textId="57123386" w:rsidR="004705EA" w:rsidRPr="0029141C" w:rsidRDefault="004705EA" w:rsidP="00AD309C">
      <w:pPr>
        <w:pStyle w:val="ListParagraph"/>
        <w:numPr>
          <w:ilvl w:val="0"/>
          <w:numId w:val="305"/>
        </w:numPr>
        <w:spacing w:after="120" w:line="264" w:lineRule="auto"/>
        <w:rPr>
          <w:rFonts w:cs="Arial"/>
          <w:snapToGrid w:val="0"/>
        </w:rPr>
      </w:pPr>
      <w:r>
        <w:t xml:space="preserve">Trains staff responsible for </w:t>
      </w:r>
      <w:r w:rsidR="00BC7F6E">
        <w:t xml:space="preserve">collecting </w:t>
      </w:r>
      <w:r w:rsidR="0088543D">
        <w:t xml:space="preserve">self-identified demographic </w:t>
      </w:r>
      <w:r w:rsidR="00BC7F6E">
        <w:t>data from patients</w:t>
      </w:r>
      <w:r>
        <w:t xml:space="preserve">, </w:t>
      </w:r>
      <w:r w:rsidRPr="0029141C">
        <w:rPr>
          <w:b/>
          <w:bCs/>
        </w:rPr>
        <w:t>and</w:t>
      </w:r>
    </w:p>
    <w:p w14:paraId="0C70321C" w14:textId="1D3FCCF8" w:rsidR="004705EA" w:rsidRPr="0029141C" w:rsidRDefault="004705EA" w:rsidP="00AD309C">
      <w:pPr>
        <w:pStyle w:val="ListParagraph"/>
        <w:numPr>
          <w:ilvl w:val="0"/>
          <w:numId w:val="305"/>
        </w:numPr>
        <w:spacing w:after="120" w:line="264" w:lineRule="auto"/>
        <w:rPr>
          <w:rFonts w:cs="Arial"/>
          <w:snapToGrid w:val="0"/>
        </w:rPr>
      </w:pPr>
      <w:r w:rsidRPr="00CE475C">
        <w:rPr>
          <w:rFonts w:cs="Arial"/>
          <w:snapToGrid w:val="0"/>
        </w:rPr>
        <w:t>Uses the patient self-</w:t>
      </w:r>
      <w:r w:rsidR="0088543D">
        <w:rPr>
          <w:rFonts w:cs="Arial"/>
          <w:snapToGrid w:val="0"/>
        </w:rPr>
        <w:t>identified</w:t>
      </w:r>
      <w:r w:rsidR="0088543D" w:rsidRPr="00CE475C">
        <w:rPr>
          <w:rFonts w:cs="Arial"/>
          <w:snapToGrid w:val="0"/>
        </w:rPr>
        <w:t xml:space="preserve"> </w:t>
      </w:r>
      <w:r w:rsidRPr="00CE475C">
        <w:rPr>
          <w:rFonts w:cs="Arial"/>
          <w:snapToGrid w:val="0"/>
        </w:rPr>
        <w:t>demographic data to stratify at least one quality measure</w:t>
      </w:r>
      <w:r>
        <w:rPr>
          <w:rFonts w:cs="Arial"/>
          <w:snapToGrid w:val="0"/>
        </w:rPr>
        <w:t xml:space="preserve">, </w:t>
      </w:r>
      <w:r w:rsidRPr="0029141C">
        <w:rPr>
          <w:rFonts w:cs="Arial"/>
          <w:b/>
          <w:bCs/>
          <w:snapToGrid w:val="0"/>
        </w:rPr>
        <w:t>and</w:t>
      </w:r>
    </w:p>
    <w:p w14:paraId="473F14AB" w14:textId="33A718E4" w:rsidR="004705EA" w:rsidRPr="0029141C" w:rsidRDefault="004705EA" w:rsidP="00AD309C">
      <w:pPr>
        <w:pStyle w:val="ListParagraph"/>
        <w:numPr>
          <w:ilvl w:val="0"/>
          <w:numId w:val="305"/>
        </w:numPr>
        <w:spacing w:after="120" w:line="264" w:lineRule="auto"/>
        <w:rPr>
          <w:rFonts w:cs="Arial"/>
          <w:snapToGrid w:val="0"/>
        </w:rPr>
      </w:pPr>
      <w:r w:rsidRPr="00B47C04">
        <w:t>If disparities were identified</w:t>
      </w:r>
      <w:r>
        <w:t xml:space="preserve">, has </w:t>
      </w:r>
      <w:r w:rsidR="0088543D">
        <w:t xml:space="preserve">an </w:t>
      </w:r>
      <w:r>
        <w:t xml:space="preserve">updated </w:t>
      </w:r>
      <w:r w:rsidR="0088543D">
        <w:t xml:space="preserve">or revised </w:t>
      </w:r>
      <w:r>
        <w:t xml:space="preserve">policy or procedure to address the disparity or </w:t>
      </w:r>
      <w:r w:rsidR="008B1AFC">
        <w:t xml:space="preserve">has </w:t>
      </w:r>
      <w:r>
        <w:t xml:space="preserve">developed a written action plan, </w:t>
      </w:r>
      <w:r w:rsidRPr="0029141C">
        <w:rPr>
          <w:b/>
          <w:bCs/>
        </w:rPr>
        <w:t>and</w:t>
      </w:r>
    </w:p>
    <w:p w14:paraId="5A08BC4F" w14:textId="2540B0AB" w:rsidR="004705EA" w:rsidRPr="0029141C" w:rsidRDefault="004705EA" w:rsidP="00AD309C">
      <w:pPr>
        <w:pStyle w:val="ListParagraph"/>
        <w:numPr>
          <w:ilvl w:val="0"/>
          <w:numId w:val="305"/>
        </w:numPr>
        <w:spacing w:after="120" w:line="264" w:lineRule="auto"/>
        <w:rPr>
          <w:rFonts w:cs="Arial"/>
          <w:snapToGrid w:val="0"/>
        </w:rPr>
      </w:pPr>
      <w:r>
        <w:t xml:space="preserve">Shares information about efforts to identify and reduce health care disparities on its </w:t>
      </w:r>
      <w:r w:rsidR="0088543D">
        <w:t xml:space="preserve">public </w:t>
      </w:r>
      <w:r>
        <w:t xml:space="preserve">website, </w:t>
      </w:r>
      <w:r w:rsidRPr="0029141C">
        <w:rPr>
          <w:b/>
          <w:bCs/>
        </w:rPr>
        <w:t>and</w:t>
      </w:r>
    </w:p>
    <w:p w14:paraId="1C2D1AE3" w14:textId="2C72B1A7" w:rsidR="004705EA" w:rsidRPr="00CE475C" w:rsidRDefault="004705EA" w:rsidP="00AD309C">
      <w:pPr>
        <w:pStyle w:val="ListParagraph"/>
        <w:numPr>
          <w:ilvl w:val="0"/>
          <w:numId w:val="305"/>
        </w:numPr>
        <w:spacing w:after="120" w:line="264" w:lineRule="auto"/>
        <w:rPr>
          <w:rFonts w:cs="Arial"/>
          <w:snapToGrid w:val="0"/>
        </w:rPr>
      </w:pPr>
      <w:r w:rsidRPr="00B85091">
        <w:rPr>
          <w:rFonts w:cs="Arial"/>
          <w:snapToGrid w:val="0"/>
        </w:rPr>
        <w:t xml:space="preserve">Reports out and discusses efforts to </w:t>
      </w:r>
      <w:r w:rsidR="00396695">
        <w:rPr>
          <w:rFonts w:cs="Arial"/>
          <w:snapToGrid w:val="0"/>
        </w:rPr>
        <w:t xml:space="preserve">identify and address </w:t>
      </w:r>
      <w:r w:rsidRPr="00B85091">
        <w:rPr>
          <w:rFonts w:cs="Arial"/>
          <w:snapToGrid w:val="0"/>
        </w:rPr>
        <w:t>health care disparities with the board</w:t>
      </w:r>
      <w:r>
        <w:rPr>
          <w:rFonts w:cs="Arial"/>
          <w:snapToGrid w:val="0"/>
        </w:rPr>
        <w:t>.</w:t>
      </w:r>
    </w:p>
    <w:p w14:paraId="349B098F" w14:textId="099AFE1F" w:rsidR="001A403A" w:rsidRPr="007D0C84" w:rsidRDefault="001A403A" w:rsidP="001A403A">
      <w:pPr>
        <w:spacing w:after="120" w:line="264" w:lineRule="auto"/>
        <w:rPr>
          <w:rFonts w:cs="Arial"/>
          <w:b/>
          <w:bCs/>
        </w:rPr>
      </w:pPr>
      <w:r w:rsidRPr="007D0C84">
        <w:rPr>
          <w:rFonts w:cs="Arial"/>
          <w:b/>
          <w:bCs/>
        </w:rPr>
        <w:t xml:space="preserve">Each hospital achieving the standard for Informed Consent: </w:t>
      </w:r>
    </w:p>
    <w:p w14:paraId="6E7A9DC8" w14:textId="2E9828EF" w:rsidR="00C90EB9" w:rsidRPr="004D1420" w:rsidRDefault="00C90EB9" w:rsidP="00AD309C">
      <w:pPr>
        <w:pStyle w:val="ListParagraph"/>
        <w:numPr>
          <w:ilvl w:val="0"/>
          <w:numId w:val="183"/>
        </w:numPr>
        <w:spacing w:after="120" w:line="264" w:lineRule="auto"/>
        <w:rPr>
          <w:rFonts w:cs="Arial"/>
        </w:rPr>
      </w:pPr>
      <w:r>
        <w:rPr>
          <w:rFonts w:cs="Arial"/>
        </w:rPr>
        <w:t>Has</w:t>
      </w:r>
      <w:r w:rsidRPr="00867D7C">
        <w:rPr>
          <w:rFonts w:cs="Arial"/>
        </w:rPr>
        <w:t xml:space="preserve"> a training program on informed consent that tailors different training topics to different staff </w:t>
      </w:r>
      <w:r w:rsidR="00875FBD" w:rsidRPr="00867D7C">
        <w:rPr>
          <w:rFonts w:cs="Arial"/>
        </w:rPr>
        <w:t>role</w:t>
      </w:r>
      <w:r w:rsidR="00875FBD">
        <w:rPr>
          <w:rFonts w:cs="Arial"/>
        </w:rPr>
        <w:t>s</w:t>
      </w:r>
      <w:r w:rsidR="00875FBD" w:rsidRPr="00867D7C">
        <w:rPr>
          <w:rFonts w:cs="Arial"/>
        </w:rPr>
        <w:t xml:space="preserve"> and</w:t>
      </w:r>
      <w:r>
        <w:rPr>
          <w:rFonts w:cs="Arial"/>
        </w:rPr>
        <w:t xml:space="preserve"> has made the training required for newly hired staff and existing staff who were not trained</w:t>
      </w:r>
      <w:r w:rsidR="00123F43">
        <w:rPr>
          <w:rFonts w:cs="Arial"/>
        </w:rPr>
        <w:t>,</w:t>
      </w:r>
      <w:r w:rsidR="00E51B54">
        <w:rPr>
          <w:rFonts w:cs="Arial"/>
        </w:rPr>
        <w:t xml:space="preserve"> </w:t>
      </w:r>
      <w:r w:rsidR="00E51B54" w:rsidRPr="00E51B54">
        <w:rPr>
          <w:rFonts w:cs="Arial"/>
          <w:b/>
          <w:bCs/>
        </w:rPr>
        <w:t>and</w:t>
      </w:r>
    </w:p>
    <w:p w14:paraId="7103E2C3" w14:textId="588B0D81" w:rsidR="00C90EB9" w:rsidRPr="0028615C" w:rsidRDefault="00C90EB9" w:rsidP="00AD309C">
      <w:pPr>
        <w:pStyle w:val="ListParagraph"/>
        <w:numPr>
          <w:ilvl w:val="0"/>
          <w:numId w:val="183"/>
        </w:numPr>
        <w:spacing w:after="120" w:line="264" w:lineRule="auto"/>
        <w:rPr>
          <w:rFonts w:cs="Arial"/>
          <w:snapToGrid w:val="0"/>
        </w:rPr>
      </w:pPr>
      <w:r>
        <w:rPr>
          <w:rFonts w:cs="Arial"/>
        </w:rPr>
        <w:t xml:space="preserve">Ensures that as part of the process for obtaining informed consent, clinicians explain </w:t>
      </w:r>
      <w:r w:rsidRPr="00424ABC">
        <w:rPr>
          <w:rFonts w:cs="Arial"/>
        </w:rPr>
        <w:t>expected difficulties, recovery time, pain management, and restrictions after a procedure</w:t>
      </w:r>
      <w:r>
        <w:rPr>
          <w:rFonts w:cs="Arial"/>
        </w:rPr>
        <w:t>, and give the patient an opportunity to ask questions</w:t>
      </w:r>
      <w:r w:rsidR="00E51B54">
        <w:rPr>
          <w:rFonts w:cs="Arial"/>
        </w:rPr>
        <w:t xml:space="preserve">, </w:t>
      </w:r>
      <w:r w:rsidR="00E51B54" w:rsidRPr="00E51B54">
        <w:rPr>
          <w:rFonts w:cs="Arial"/>
          <w:b/>
          <w:bCs/>
        </w:rPr>
        <w:t>and</w:t>
      </w:r>
    </w:p>
    <w:p w14:paraId="03D5189F" w14:textId="1DFCAFDB" w:rsidR="00E557EF" w:rsidRDefault="00C90EB9" w:rsidP="00AD309C">
      <w:pPr>
        <w:pStyle w:val="ListParagraph"/>
        <w:numPr>
          <w:ilvl w:val="0"/>
          <w:numId w:val="183"/>
        </w:numPr>
        <w:spacing w:after="120" w:line="264" w:lineRule="auto"/>
        <w:rPr>
          <w:rFonts w:cs="Arial"/>
          <w:snapToGrid w:val="0"/>
        </w:rPr>
      </w:pPr>
      <w:r>
        <w:rPr>
          <w:rFonts w:cs="Arial"/>
          <w:snapToGrid w:val="0"/>
        </w:rPr>
        <w:t>Ensures</w:t>
      </w:r>
      <w:r w:rsidR="0009408D">
        <w:rPr>
          <w:rFonts w:cs="Arial"/>
          <w:snapToGrid w:val="0"/>
        </w:rPr>
        <w:t xml:space="preserve"> </w:t>
      </w:r>
      <w:r w:rsidR="00E65788">
        <w:rPr>
          <w:rFonts w:cs="Arial"/>
          <w:snapToGrid w:val="0"/>
        </w:rPr>
        <w:t xml:space="preserve">every </w:t>
      </w:r>
      <w:r w:rsidR="0009408D">
        <w:rPr>
          <w:rFonts w:cs="Arial"/>
          <w:snapToGrid w:val="0"/>
        </w:rPr>
        <w:t>applicable</w:t>
      </w:r>
      <w:r>
        <w:rPr>
          <w:rFonts w:cs="Arial"/>
          <w:snapToGrid w:val="0"/>
        </w:rPr>
        <w:t xml:space="preserve"> consent form used by the hospital includ</w:t>
      </w:r>
      <w:r w:rsidR="00875FBD">
        <w:rPr>
          <w:rFonts w:cs="Arial"/>
          <w:snapToGrid w:val="0"/>
        </w:rPr>
        <w:t>es</w:t>
      </w:r>
      <w:r>
        <w:rPr>
          <w:rFonts w:cs="Arial"/>
          <w:snapToGrid w:val="0"/>
        </w:rPr>
        <w:t xml:space="preserve"> the name of the clinician performing the procedure, whether the clinician is expected to be absent, and whether any assistants or traine</w:t>
      </w:r>
      <w:r w:rsidR="00B95AAC">
        <w:rPr>
          <w:rFonts w:cs="Arial"/>
          <w:snapToGrid w:val="0"/>
        </w:rPr>
        <w:t>e</w:t>
      </w:r>
      <w:r>
        <w:rPr>
          <w:rFonts w:cs="Arial"/>
          <w:snapToGrid w:val="0"/>
        </w:rPr>
        <w:t>s will be involved</w:t>
      </w:r>
      <w:r w:rsidR="00E51B54">
        <w:rPr>
          <w:rFonts w:cs="Arial"/>
          <w:snapToGrid w:val="0"/>
        </w:rPr>
        <w:t xml:space="preserve">, </w:t>
      </w:r>
      <w:r w:rsidR="00E51B54" w:rsidRPr="00E51B54">
        <w:rPr>
          <w:rFonts w:cs="Arial"/>
          <w:b/>
          <w:bCs/>
          <w:snapToGrid w:val="0"/>
        </w:rPr>
        <w:t>and</w:t>
      </w:r>
    </w:p>
    <w:p w14:paraId="3D1F3C44" w14:textId="318964C0" w:rsidR="00C90EB9" w:rsidRPr="00302621" w:rsidRDefault="00E557EF" w:rsidP="00AD309C">
      <w:pPr>
        <w:pStyle w:val="ListParagraph"/>
        <w:numPr>
          <w:ilvl w:val="0"/>
          <w:numId w:val="183"/>
        </w:numPr>
        <w:spacing w:after="120" w:line="264" w:lineRule="auto"/>
        <w:rPr>
          <w:rFonts w:cs="Arial"/>
          <w:snapToGrid w:val="0"/>
        </w:rPr>
      </w:pPr>
      <w:r>
        <w:rPr>
          <w:rFonts w:cs="Arial"/>
          <w:snapToGrid w:val="0"/>
        </w:rPr>
        <w:t xml:space="preserve">Ensures every </w:t>
      </w:r>
      <w:r w:rsidR="00D57961">
        <w:rPr>
          <w:rFonts w:cs="Arial"/>
          <w:snapToGrid w:val="0"/>
        </w:rPr>
        <w:t xml:space="preserve">applicable </w:t>
      </w:r>
      <w:r>
        <w:rPr>
          <w:rFonts w:cs="Arial"/>
          <w:snapToGrid w:val="0"/>
        </w:rPr>
        <w:t>consent form</w:t>
      </w:r>
      <w:r w:rsidR="004E4096">
        <w:rPr>
          <w:rFonts w:cs="Arial"/>
          <w:snapToGrid w:val="0"/>
        </w:rPr>
        <w:t xml:space="preserve"> </w:t>
      </w:r>
      <w:r w:rsidR="00C90EB9">
        <w:rPr>
          <w:rFonts w:cs="Arial"/>
          <w:snapToGrid w:val="0"/>
        </w:rPr>
        <w:t>is written at a 6</w:t>
      </w:r>
      <w:r w:rsidR="00C90EB9" w:rsidRPr="0028615C">
        <w:rPr>
          <w:rFonts w:cs="Arial"/>
          <w:snapToGrid w:val="0"/>
          <w:vertAlign w:val="superscript"/>
        </w:rPr>
        <w:t>th</w:t>
      </w:r>
      <w:r w:rsidR="007D2419">
        <w:rPr>
          <w:rFonts w:cs="Arial"/>
          <w:snapToGrid w:val="0"/>
        </w:rPr>
        <w:t>-</w:t>
      </w:r>
      <w:r w:rsidR="00C90EB9">
        <w:rPr>
          <w:rFonts w:cs="Arial"/>
          <w:snapToGrid w:val="0"/>
        </w:rPr>
        <w:t>grade reading level or lower</w:t>
      </w:r>
      <w:r w:rsidR="00E51B54">
        <w:rPr>
          <w:rFonts w:cs="Arial"/>
          <w:snapToGrid w:val="0"/>
        </w:rPr>
        <w:t xml:space="preserve">, </w:t>
      </w:r>
      <w:r w:rsidR="00E51B54" w:rsidRPr="00E51B54">
        <w:rPr>
          <w:rFonts w:cs="Arial"/>
          <w:b/>
          <w:bCs/>
          <w:snapToGrid w:val="0"/>
        </w:rPr>
        <w:t>and</w:t>
      </w:r>
    </w:p>
    <w:p w14:paraId="7257C60E" w14:textId="759F7584" w:rsidR="00C90EB9" w:rsidRPr="0028615C" w:rsidRDefault="00C90EB9" w:rsidP="00AD309C">
      <w:pPr>
        <w:pStyle w:val="ListParagraph"/>
        <w:numPr>
          <w:ilvl w:val="0"/>
          <w:numId w:val="183"/>
        </w:numPr>
        <w:spacing w:after="120" w:line="264" w:lineRule="auto"/>
        <w:rPr>
          <w:rFonts w:cs="Arial"/>
          <w:snapToGrid w:val="0"/>
        </w:rPr>
      </w:pPr>
      <w:r>
        <w:rPr>
          <w:rFonts w:cs="Arial"/>
        </w:rPr>
        <w:t>Prior to conducting the informed consent discussion, identifies the patient/legal guardian’s preferred language and provides a medical interpreter, and has a place in the consent form that indicates whether an interpreter was used</w:t>
      </w:r>
      <w:r w:rsidR="00E51B54">
        <w:rPr>
          <w:rFonts w:cs="Arial"/>
        </w:rPr>
        <w:t xml:space="preserve">, </w:t>
      </w:r>
      <w:r w:rsidR="00E51B54" w:rsidRPr="00E51B54">
        <w:rPr>
          <w:rFonts w:cs="Arial"/>
          <w:b/>
          <w:bCs/>
        </w:rPr>
        <w:t>and</w:t>
      </w:r>
    </w:p>
    <w:p w14:paraId="3EB6EF74" w14:textId="27D92E72" w:rsidR="003A1CBA" w:rsidRPr="003A1CBA" w:rsidRDefault="00C90EB9" w:rsidP="00AD309C">
      <w:pPr>
        <w:pStyle w:val="ListParagraph"/>
        <w:numPr>
          <w:ilvl w:val="0"/>
          <w:numId w:val="183"/>
        </w:numPr>
        <w:spacing w:after="120" w:line="264" w:lineRule="auto"/>
        <w:rPr>
          <w:rFonts w:cs="Arial"/>
          <w:snapToGrid w:val="0"/>
        </w:rPr>
      </w:pPr>
      <w:r>
        <w:rPr>
          <w:rFonts w:cs="Arial"/>
        </w:rPr>
        <w:t>Requires clinicians at the hospital to use the “teach back method” with patients/legal guardians</w:t>
      </w:r>
      <w:r w:rsidR="00E51B54">
        <w:rPr>
          <w:rFonts w:cs="Arial"/>
        </w:rPr>
        <w:t>.</w:t>
      </w:r>
      <w:r w:rsidR="003A1CBA">
        <w:rPr>
          <w:rFonts w:cs="Arial"/>
        </w:rPr>
        <w:br/>
      </w:r>
    </w:p>
    <w:p w14:paraId="0B0D0E62" w14:textId="5B85652E" w:rsidR="003A1CBA" w:rsidRDefault="003A1CBA" w:rsidP="003A1CBA">
      <w:r w:rsidRPr="009A5185">
        <w:rPr>
          <w:rFonts w:cs="Arial"/>
          <w:b/>
        </w:rPr>
        <w:t xml:space="preserve">Download the </w:t>
      </w:r>
      <w:r>
        <w:rPr>
          <w:rFonts w:cs="Arial"/>
          <w:b/>
        </w:rPr>
        <w:t>202</w:t>
      </w:r>
      <w:r w:rsidR="00422C8E">
        <w:rPr>
          <w:rFonts w:cs="Arial"/>
          <w:b/>
        </w:rPr>
        <w:t>6</w:t>
      </w:r>
      <w:r w:rsidRPr="009A5185">
        <w:rPr>
          <w:rFonts w:cs="Arial"/>
          <w:b/>
        </w:rPr>
        <w:t xml:space="preserve"> Leapfrog Hospital Survey Scoring Algorithm on the </w:t>
      </w:r>
      <w:hyperlink r:id="rId103" w:history="1">
        <w:r w:rsidRPr="009A5185">
          <w:rPr>
            <w:rStyle w:val="Hyperlink"/>
            <w:rFonts w:cs="Arial"/>
            <w:b/>
          </w:rPr>
          <w:t>Scoring and Results webpage</w:t>
        </w:r>
      </w:hyperlink>
      <w:r w:rsidRPr="009A5185">
        <w:rPr>
          <w:rFonts w:cs="Arial"/>
          <w:b/>
        </w:rPr>
        <w:t>.</w:t>
      </w:r>
    </w:p>
    <w:p w14:paraId="4E45E83E" w14:textId="75A464AB" w:rsidR="008979F8" w:rsidRPr="003A1CBA" w:rsidRDefault="008979F8" w:rsidP="003A1CBA">
      <w:pPr>
        <w:spacing w:after="120" w:line="264" w:lineRule="auto"/>
        <w:rPr>
          <w:rFonts w:cs="Arial"/>
          <w:snapToGrid w:val="0"/>
        </w:rPr>
      </w:pPr>
      <w:r w:rsidRPr="003A1CBA">
        <w:rPr>
          <w:rFonts w:cs="Arial"/>
        </w:rPr>
        <w:br w:type="page"/>
      </w:r>
    </w:p>
    <w:p w14:paraId="641B8B43" w14:textId="5182FD33" w:rsidR="008979F8" w:rsidRDefault="000C2C54" w:rsidP="00CF5A6E">
      <w:pPr>
        <w:pStyle w:val="Heading2"/>
      </w:pPr>
      <w:bookmarkStart w:id="82" w:name="_1A:_Basic_Hospital"/>
      <w:bookmarkStart w:id="83" w:name="_Toc225877668"/>
      <w:bookmarkEnd w:id="82"/>
      <w:r w:rsidRPr="009A5185">
        <w:lastRenderedPageBreak/>
        <w:t>1</w:t>
      </w:r>
      <w:r>
        <w:t>A</w:t>
      </w:r>
      <w:r w:rsidRPr="009A5185">
        <w:t>: Basic Hospital Information</w:t>
      </w:r>
      <w:bookmarkEnd w:id="83"/>
    </w:p>
    <w:p w14:paraId="6CE17257" w14:textId="77777777" w:rsidR="000C2C54" w:rsidRPr="009A5185" w:rsidRDefault="000C2C54" w:rsidP="00950575">
      <w:pPr>
        <w:rPr>
          <w:rFonts w:cs="Arial"/>
          <w:b/>
        </w:rPr>
      </w:pPr>
    </w:p>
    <w:p w14:paraId="07366422" w14:textId="00B15FD0" w:rsidR="00A92A35" w:rsidRDefault="00A92A35" w:rsidP="00A92A35">
      <w:pPr>
        <w:rPr>
          <w:rFonts w:cs="Arial"/>
          <w:snapToGrid w:val="0"/>
        </w:rPr>
      </w:pPr>
      <w:r w:rsidRPr="009A5185">
        <w:rPr>
          <w:rFonts w:cs="Arial"/>
          <w:snapToGrid w:val="0"/>
        </w:rPr>
        <w:t xml:space="preserve">Hospitals that share a </w:t>
      </w:r>
      <w:r>
        <w:rPr>
          <w:rFonts w:cs="Arial"/>
          <w:snapToGrid w:val="0"/>
        </w:rPr>
        <w:t>CMS Certification Number</w:t>
      </w:r>
      <w:r w:rsidRPr="009A5185">
        <w:rPr>
          <w:rFonts w:cs="Arial"/>
          <w:snapToGrid w:val="0"/>
        </w:rPr>
        <w:t xml:space="preserve"> are required to report by facility. Please carefully review </w:t>
      </w:r>
      <w:hyperlink r:id="rId104" w:history="1">
        <w:r w:rsidRPr="009A5185">
          <w:rPr>
            <w:rStyle w:val="Hyperlink"/>
            <w:rFonts w:cs="Arial"/>
            <w:snapToGrid w:val="0"/>
          </w:rPr>
          <w:t>Leapfrog’s Multi-Campus Reporting Policy</w:t>
        </w:r>
      </w:hyperlink>
      <w:r w:rsidRPr="009A5185">
        <w:rPr>
          <w:rFonts w:cs="Arial"/>
          <w:snapToGrid w:val="0"/>
        </w:rPr>
        <w:t>.</w:t>
      </w:r>
    </w:p>
    <w:p w14:paraId="35D53AF8" w14:textId="77777777" w:rsidR="00F90768" w:rsidRDefault="00F90768" w:rsidP="00F90768">
      <w:pPr>
        <w:rPr>
          <w:rFonts w:cs="Arial"/>
          <w:snapToGrid w:val="0"/>
        </w:rPr>
      </w:pPr>
    </w:p>
    <w:p w14:paraId="504407FF" w14:textId="13CE64C6" w:rsidR="00F90768" w:rsidRPr="00D424F6" w:rsidRDefault="00AB64D7" w:rsidP="00F90768">
      <w:pPr>
        <w:rPr>
          <w:rFonts w:cs="Arial"/>
        </w:rPr>
      </w:pPr>
      <w:r w:rsidRPr="00873014">
        <w:rPr>
          <w:rFonts w:cs="Arial"/>
          <w:b/>
          <w:snapToGrid w:val="0"/>
          <w:color w:val="FF0000"/>
        </w:rPr>
        <w:t>Important Note:</w:t>
      </w:r>
      <w:r w:rsidR="00AB5E4D">
        <w:rPr>
          <w:rFonts w:cs="Arial"/>
          <w:b/>
          <w:bCs/>
          <w:snapToGrid w:val="0"/>
        </w:rPr>
        <w:t xml:space="preserve"> </w:t>
      </w:r>
      <w:r w:rsidR="00F90768">
        <w:rPr>
          <w:rFonts w:cs="Arial"/>
          <w:snapToGrid w:val="0"/>
        </w:rPr>
        <w:t>Only include units that were open for the entire reporting period and that remain currently open.</w:t>
      </w:r>
    </w:p>
    <w:p w14:paraId="7C7BC085" w14:textId="77777777" w:rsidR="00A92A35" w:rsidRDefault="00A92A35" w:rsidP="00950575">
      <w:pPr>
        <w:rPr>
          <w:rFonts w:cs="Arial"/>
          <w:b/>
        </w:rPr>
      </w:pPr>
    </w:p>
    <w:p w14:paraId="27F82307" w14:textId="27C48221" w:rsidR="00B07246" w:rsidRDefault="001B3383" w:rsidP="00B804CC">
      <w:pPr>
        <w:rPr>
          <w:rFonts w:cs="Arial"/>
          <w:snapToGrid w:val="0"/>
        </w:rPr>
      </w:pPr>
      <w:r w:rsidRPr="009A5185">
        <w:rPr>
          <w:rFonts w:cs="Arial"/>
          <w:b/>
        </w:rPr>
        <w:t xml:space="preserve">Specifications: </w:t>
      </w:r>
      <w:r w:rsidR="00D42B96" w:rsidRPr="009A5185">
        <w:rPr>
          <w:rFonts w:cs="Arial"/>
          <w:snapToGrid w:val="0"/>
        </w:rPr>
        <w:t xml:space="preserve">See </w:t>
      </w:r>
      <w:hyperlink w:anchor="_Basic_Hospital_Information_1" w:history="1">
        <w:r w:rsidR="00FA46D8" w:rsidRPr="00C8246A">
          <w:rPr>
            <w:rStyle w:val="Hyperlink"/>
            <w:b/>
            <w:bCs/>
            <w:i/>
            <w:iCs/>
          </w:rPr>
          <w:t>Basic Hospital Information Measure Specifications</w:t>
        </w:r>
      </w:hyperlink>
      <w:r w:rsidR="00D42B96" w:rsidRPr="009A5185">
        <w:rPr>
          <w:rFonts w:cs="Arial"/>
          <w:snapToGrid w:val="0"/>
        </w:rPr>
        <w:t xml:space="preserve"> in the Reference Information </w:t>
      </w:r>
      <w:r w:rsidR="00C86298">
        <w:rPr>
          <w:rFonts w:cs="Arial"/>
          <w:snapToGrid w:val="0"/>
        </w:rPr>
        <w:t xml:space="preserve">beginning </w:t>
      </w:r>
      <w:r w:rsidR="00D42B96" w:rsidRPr="00EE018B">
        <w:rPr>
          <w:rFonts w:cs="Arial"/>
          <w:snapToGrid w:val="0"/>
        </w:rPr>
        <w:t>on</w:t>
      </w:r>
      <w:r w:rsidR="001D310D">
        <w:rPr>
          <w:rFonts w:cs="Arial"/>
          <w:snapToGrid w:val="0"/>
        </w:rPr>
        <w:t xml:space="preserve"> page</w:t>
      </w:r>
      <w:r w:rsidR="00844805">
        <w:rPr>
          <w:rFonts w:cs="Arial"/>
          <w:snapToGrid w:val="0"/>
        </w:rPr>
        <w:t xml:space="preserve"> </w:t>
      </w:r>
      <w:r w:rsidR="009143AE">
        <w:rPr>
          <w:rFonts w:cs="Arial"/>
          <w:snapToGrid w:val="0"/>
        </w:rPr>
        <w:t>48</w:t>
      </w:r>
      <w:r w:rsidR="009A6DA1">
        <w:rPr>
          <w:rFonts w:cs="Arial"/>
          <w:snapToGrid w:val="0"/>
        </w:rPr>
        <w:t>.</w:t>
      </w:r>
    </w:p>
    <w:p w14:paraId="085E9EE2" w14:textId="77777777" w:rsidR="00872B0F" w:rsidRDefault="00872B0F" w:rsidP="00B804CC">
      <w:pPr>
        <w:rPr>
          <w:rFonts w:cs="Arial"/>
          <w:snapToGrid w:val="0"/>
        </w:rPr>
      </w:pPr>
    </w:p>
    <w:p w14:paraId="7CA88B41" w14:textId="2A491B8E" w:rsidR="00B07246" w:rsidRDefault="00872B0F" w:rsidP="00B804CC">
      <w:pPr>
        <w:rPr>
          <w:rFonts w:cs="Arial"/>
          <w:snapToGrid w:val="0"/>
        </w:rPr>
      </w:pPr>
      <w:r w:rsidRPr="00B07246">
        <w:rPr>
          <w:rFonts w:cs="Arial"/>
          <w:i/>
          <w:noProof/>
          <w:snapToGrid w:val="0"/>
        </w:rPr>
        <mc:AlternateContent>
          <mc:Choice Requires="wps">
            <w:drawing>
              <wp:inline distT="0" distB="0" distL="0" distR="0" wp14:anchorId="51B2DA78" wp14:editId="7DCB46F9">
                <wp:extent cx="6042991" cy="1462319"/>
                <wp:effectExtent l="0" t="0" r="15240" b="18415"/>
                <wp:docPr id="17" name="Text Box 17" descr="P1289TB1#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42991" cy="1462319"/>
                        </a:xfrm>
                        <a:prstGeom prst="rect">
                          <a:avLst/>
                        </a:prstGeom>
                        <a:solidFill>
                          <a:srgbClr val="FFFFFF"/>
                        </a:solidFill>
                        <a:ln w="9525">
                          <a:solidFill>
                            <a:srgbClr val="FF0000"/>
                          </a:solidFill>
                          <a:miter lim="800000"/>
                          <a:headEnd/>
                          <a:tailEnd/>
                        </a:ln>
                      </wps:spPr>
                      <wps:txbx>
                        <w:txbxContent>
                          <w:p w14:paraId="71B31587" w14:textId="77777777" w:rsidR="00872B0F" w:rsidRPr="009A5185" w:rsidRDefault="00872B0F" w:rsidP="00872B0F">
                            <w:pPr>
                              <w:spacing w:before="40"/>
                              <w:rPr>
                                <w:rFonts w:cs="Arial"/>
                                <w:snapToGrid w:val="0"/>
                              </w:rPr>
                            </w:pPr>
                            <w:r w:rsidRPr="009A5185">
                              <w:rPr>
                                <w:rFonts w:cs="Arial"/>
                                <w:b/>
                                <w:snapToGrid w:val="0"/>
                              </w:rPr>
                              <w:t>Reporting Period: 12 months</w:t>
                            </w:r>
                          </w:p>
                          <w:p w14:paraId="7E4DC1F1" w14:textId="77777777" w:rsidR="00872B0F" w:rsidRPr="002E6DC2" w:rsidRDefault="00872B0F" w:rsidP="00AD309C">
                            <w:pPr>
                              <w:pStyle w:val="ListParagraph"/>
                              <w:numPr>
                                <w:ilvl w:val="0"/>
                                <w:numId w:val="39"/>
                              </w:numPr>
                              <w:rPr>
                                <w:rFonts w:cs="Arial"/>
                                <w:i/>
                                <w:snapToGrid w:val="0"/>
                              </w:rPr>
                            </w:pPr>
                            <w:r>
                              <w:rPr>
                                <w:rFonts w:cs="Arial"/>
                                <w:snapToGrid w:val="0"/>
                              </w:rPr>
                              <w:t>Surveys submitted prior to September 1:</w:t>
                            </w:r>
                          </w:p>
                          <w:p w14:paraId="08163BF5" w14:textId="718DD3A2" w:rsidR="00872B0F" w:rsidRPr="009A5185" w:rsidRDefault="00872B0F" w:rsidP="00AD309C">
                            <w:pPr>
                              <w:pStyle w:val="ListParagraph"/>
                              <w:numPr>
                                <w:ilvl w:val="1"/>
                                <w:numId w:val="39"/>
                              </w:numPr>
                              <w:rPr>
                                <w:rFonts w:cs="Arial"/>
                                <w:i/>
                                <w:snapToGrid w:val="0"/>
                              </w:rPr>
                            </w:pPr>
                            <w:r>
                              <w:rPr>
                                <w:rFonts w:cs="Arial"/>
                                <w:snapToGrid w:val="0"/>
                              </w:rPr>
                              <w:t>01/01/202</w:t>
                            </w:r>
                            <w:r w:rsidR="00C43F76">
                              <w:rPr>
                                <w:rFonts w:cs="Arial"/>
                                <w:snapToGrid w:val="0"/>
                              </w:rPr>
                              <w:t>5</w:t>
                            </w:r>
                            <w:r>
                              <w:rPr>
                                <w:rFonts w:cs="Arial"/>
                                <w:snapToGrid w:val="0"/>
                              </w:rPr>
                              <w:t xml:space="preserve"> – 12/31/202</w:t>
                            </w:r>
                            <w:r w:rsidR="00C43F76">
                              <w:rPr>
                                <w:rFonts w:cs="Arial"/>
                                <w:snapToGrid w:val="0"/>
                              </w:rPr>
                              <w:t>5</w:t>
                            </w:r>
                          </w:p>
                          <w:p w14:paraId="5806CDCA" w14:textId="77777777" w:rsidR="00872B0F" w:rsidRPr="002E6DC2" w:rsidRDefault="00872B0F" w:rsidP="00AD309C">
                            <w:pPr>
                              <w:pStyle w:val="ListParagraph"/>
                              <w:numPr>
                                <w:ilvl w:val="0"/>
                                <w:numId w:val="39"/>
                              </w:numPr>
                              <w:rPr>
                                <w:rFonts w:cs="Arial"/>
                                <w:i/>
                                <w:snapToGrid w:val="0"/>
                              </w:rPr>
                            </w:pPr>
                            <w:r w:rsidRPr="009A5185">
                              <w:rPr>
                                <w:rFonts w:cs="Arial"/>
                                <w:snapToGrid w:val="0"/>
                              </w:rPr>
                              <w:t xml:space="preserve">Surveys (re)submitted on or after September 1: </w:t>
                            </w:r>
                          </w:p>
                          <w:p w14:paraId="1811A988" w14:textId="26E3610A" w:rsidR="00872B0F" w:rsidRPr="00F31044" w:rsidRDefault="00872B0F" w:rsidP="00AD309C">
                            <w:pPr>
                              <w:pStyle w:val="ListParagraph"/>
                              <w:numPr>
                                <w:ilvl w:val="1"/>
                                <w:numId w:val="39"/>
                              </w:numPr>
                              <w:rPr>
                                <w:rFonts w:cs="Arial"/>
                                <w:i/>
                                <w:snapToGrid w:val="0"/>
                              </w:rPr>
                            </w:pPr>
                            <w:r w:rsidRPr="009A5185">
                              <w:rPr>
                                <w:rFonts w:cs="Arial"/>
                                <w:snapToGrid w:val="0"/>
                              </w:rPr>
                              <w:t>07/01/</w:t>
                            </w:r>
                            <w:r>
                              <w:rPr>
                                <w:rFonts w:cs="Arial"/>
                                <w:snapToGrid w:val="0"/>
                              </w:rPr>
                              <w:t>202</w:t>
                            </w:r>
                            <w:r w:rsidR="00C43F76">
                              <w:rPr>
                                <w:rFonts w:cs="Arial"/>
                                <w:snapToGrid w:val="0"/>
                              </w:rPr>
                              <w:t>5</w:t>
                            </w:r>
                            <w:r w:rsidRPr="009A5185">
                              <w:rPr>
                                <w:rFonts w:cs="Arial"/>
                                <w:snapToGrid w:val="0"/>
                              </w:rPr>
                              <w:t xml:space="preserve"> – 06/30/</w:t>
                            </w:r>
                            <w:r>
                              <w:rPr>
                                <w:rFonts w:cs="Arial"/>
                                <w:snapToGrid w:val="0"/>
                              </w:rPr>
                              <w:t>202</w:t>
                            </w:r>
                            <w:r w:rsidR="00C43F76">
                              <w:rPr>
                                <w:rFonts w:cs="Arial"/>
                                <w:snapToGrid w:val="0"/>
                              </w:rPr>
                              <w:t>6</w:t>
                            </w:r>
                          </w:p>
                          <w:p w14:paraId="78A19680" w14:textId="77777777" w:rsidR="00872B0F" w:rsidRDefault="00872B0F" w:rsidP="00872B0F">
                            <w:pPr>
                              <w:rPr>
                                <w:rFonts w:cs="Arial"/>
                                <w:i/>
                                <w:snapToGrid w:val="0"/>
                              </w:rPr>
                            </w:pPr>
                          </w:p>
                          <w:p w14:paraId="6A17B35E" w14:textId="0AD5414A" w:rsidR="00872B0F" w:rsidRDefault="00872B0F" w:rsidP="00872B0F">
                            <w:r w:rsidRPr="001B3D66">
                              <w:rPr>
                                <w:rFonts w:cs="Arial"/>
                                <w:sz w:val="16"/>
                                <w:szCs w:val="16"/>
                              </w:rPr>
                              <w:t xml:space="preserve">Note: As a reminder, the </w:t>
                            </w:r>
                            <w:hyperlink r:id="rId105" w:history="1">
                              <w:r w:rsidRPr="001B3D66">
                                <w:rPr>
                                  <w:rStyle w:val="Hyperlink"/>
                                  <w:rFonts w:cs="Arial"/>
                                  <w:sz w:val="16"/>
                                  <w:szCs w:val="16"/>
                                </w:rPr>
                                <w:t>Corrections Period</w:t>
                              </w:r>
                            </w:hyperlink>
                            <w:r w:rsidRPr="001B3D66">
                              <w:rPr>
                                <w:rFonts w:cs="Arial"/>
                                <w:sz w:val="16"/>
                                <w:szCs w:val="16"/>
                              </w:rPr>
                              <w:t xml:space="preserve"> (</w:t>
                            </w:r>
                            <w:r>
                              <w:rPr>
                                <w:rFonts w:cs="Arial"/>
                                <w:sz w:val="16"/>
                                <w:szCs w:val="16"/>
                              </w:rPr>
                              <w:t>December</w:t>
                            </w:r>
                            <w:r w:rsidRPr="001B3D66">
                              <w:rPr>
                                <w:rFonts w:cs="Arial"/>
                                <w:sz w:val="16"/>
                                <w:szCs w:val="16"/>
                              </w:rPr>
                              <w:t xml:space="preserve"> 1-January 31) is reserved for corrections to previously submitted Surveys only. </w:t>
                            </w:r>
                            <w:r w:rsidRPr="001B3D66">
                              <w:rPr>
                                <w:rFonts w:cs="Arial"/>
                                <w:bCs/>
                                <w:snapToGrid w:val="0"/>
                                <w:sz w:val="16"/>
                                <w:szCs w:val="16"/>
                              </w:rPr>
                              <w:t xml:space="preserve">Any updates made to reflect a change in performance must be made prior to the </w:t>
                            </w:r>
                            <w:r>
                              <w:rPr>
                                <w:rFonts w:cs="Arial"/>
                                <w:bCs/>
                                <w:snapToGrid w:val="0"/>
                                <w:sz w:val="16"/>
                                <w:szCs w:val="16"/>
                              </w:rPr>
                              <w:t>November 30</w:t>
                            </w:r>
                            <w:r w:rsidRPr="001B3D66">
                              <w:rPr>
                                <w:rFonts w:cs="Arial"/>
                                <w:bCs/>
                                <w:snapToGrid w:val="0"/>
                                <w:sz w:val="16"/>
                                <w:szCs w:val="16"/>
                              </w:rPr>
                              <w:t xml:space="preserve"> Late Submission </w:t>
                            </w:r>
                            <w:r w:rsidRPr="00AE38C7">
                              <w:rPr>
                                <w:rFonts w:cs="Arial"/>
                                <w:bCs/>
                                <w:snapToGrid w:val="0"/>
                                <w:sz w:val="16"/>
                                <w:szCs w:val="16"/>
                              </w:rPr>
                              <w:t>and</w:t>
                            </w:r>
                            <w:r w:rsidR="00E20788">
                              <w:rPr>
                                <w:rFonts w:cs="Arial"/>
                                <w:bCs/>
                                <w:snapToGrid w:val="0"/>
                                <w:sz w:val="16"/>
                                <w:szCs w:val="16"/>
                              </w:rPr>
                              <w:t xml:space="preserve"> </w:t>
                            </w:r>
                            <w:r w:rsidRPr="00AE38C7">
                              <w:rPr>
                                <w:rFonts w:cs="Arial"/>
                                <w:bCs/>
                                <w:snapToGrid w:val="0"/>
                                <w:sz w:val="16"/>
                                <w:szCs w:val="16"/>
                              </w:rPr>
                              <w:t>Performance Update</w:t>
                            </w:r>
                            <w:r>
                              <w:rPr>
                                <w:rFonts w:cs="Arial"/>
                                <w:bCs/>
                                <w:snapToGrid w:val="0"/>
                                <w:sz w:val="16"/>
                                <w:szCs w:val="16"/>
                              </w:rPr>
                              <w:t xml:space="preserve"> </w:t>
                            </w:r>
                            <w:r w:rsidRPr="001B3D66">
                              <w:rPr>
                                <w:rFonts w:cs="Arial"/>
                                <w:bCs/>
                                <w:snapToGrid w:val="0"/>
                                <w:sz w:val="16"/>
                                <w:szCs w:val="16"/>
                              </w:rPr>
                              <w:t xml:space="preserve">Deadline. Updates made to reflect a change in performance after </w:t>
                            </w:r>
                            <w:r>
                              <w:rPr>
                                <w:rFonts w:cs="Arial"/>
                                <w:bCs/>
                                <w:snapToGrid w:val="0"/>
                                <w:sz w:val="16"/>
                                <w:szCs w:val="16"/>
                              </w:rPr>
                              <w:t>November 30</w:t>
                            </w:r>
                            <w:r w:rsidRPr="001B3D66">
                              <w:rPr>
                                <w:rFonts w:cs="Arial"/>
                                <w:bCs/>
                                <w:snapToGrid w:val="0"/>
                                <w:sz w:val="16"/>
                                <w:szCs w:val="16"/>
                              </w:rPr>
                              <w:t xml:space="preserve"> will not be scored or publicly reported.</w:t>
                            </w:r>
                          </w:p>
                        </w:txbxContent>
                      </wps:txbx>
                      <wps:bodyPr rot="0" vert="horz" wrap="square" lIns="91440" tIns="45720" rIns="91440" bIns="45720" anchor="t" anchorCtr="0">
                        <a:spAutoFit/>
                      </wps:bodyPr>
                    </wps:wsp>
                  </a:graphicData>
                </a:graphic>
              </wp:inline>
            </w:drawing>
          </mc:Choice>
          <mc:Fallback>
            <w:pict>
              <v:shape w14:anchorId="51B2DA78" id="Text Box 17" o:spid="_x0000_s1028" type="#_x0000_t202" alt="P1289TB1#y1" style="width:475.85pt;height:11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" strokecolor="red">
                <v:textbox style="mso-fit-shape-to-text:t">
                  <w:txbxContent>
                    <w:p w14:paraId="71B31587" w14:textId="77777777" w:rsidR="00872B0F" w:rsidRPr="009A5185" w:rsidRDefault="00872B0F" w:rsidP="00872B0F">
                      <w:pPr>
                        <w:spacing w:before="40"/>
                        <w:rPr>
                          <w:rFonts w:cs="Arial"/>
                          <w:snapToGrid w:val="0"/>
                        </w:rPr>
                      </w:pPr>
                      <w:r w:rsidRPr="009A5185">
                        <w:rPr>
                          <w:rFonts w:cs="Arial"/>
                          <w:b/>
                          <w:snapToGrid w:val="0"/>
                        </w:rPr>
                        <w:t>Reporting Period: 12 months</w:t>
                      </w:r>
                    </w:p>
                    <w:p w14:paraId="7E4DC1F1" w14:textId="77777777" w:rsidR="00872B0F" w:rsidRPr="002E6DC2" w:rsidRDefault="00872B0F" w:rsidP="00AD309C">
                      <w:pPr>
                        <w:pStyle w:val="ListParagraph"/>
                        <w:numPr>
                          <w:ilvl w:val="0"/>
                          <w:numId w:val="39"/>
                        </w:numPr>
                        <w:rPr>
                          <w:rFonts w:cs="Arial"/>
                          <w:i/>
                          <w:snapToGrid w:val="0"/>
                        </w:rPr>
                      </w:pPr>
                      <w:r>
                        <w:rPr>
                          <w:rFonts w:cs="Arial"/>
                          <w:snapToGrid w:val="0"/>
                        </w:rPr>
                        <w:t>Surveys submitted prior to September 1:</w:t>
                      </w:r>
                    </w:p>
                    <w:p w14:paraId="08163BF5" w14:textId="718DD3A2" w:rsidR="00872B0F" w:rsidRPr="009A5185" w:rsidRDefault="00872B0F" w:rsidP="00AD309C">
                      <w:pPr>
                        <w:pStyle w:val="ListParagraph"/>
                        <w:numPr>
                          <w:ilvl w:val="1"/>
                          <w:numId w:val="39"/>
                        </w:numPr>
                        <w:rPr>
                          <w:rFonts w:cs="Arial"/>
                          <w:i/>
                          <w:snapToGrid w:val="0"/>
                        </w:rPr>
                      </w:pPr>
                      <w:r>
                        <w:rPr>
                          <w:rFonts w:cs="Arial"/>
                          <w:snapToGrid w:val="0"/>
                        </w:rPr>
                        <w:t>01/01/202</w:t>
                      </w:r>
                      <w:r w:rsidR="00C43F76">
                        <w:rPr>
                          <w:rFonts w:cs="Arial"/>
                          <w:snapToGrid w:val="0"/>
                        </w:rPr>
                        <w:t>5</w:t>
                      </w:r>
                      <w:r>
                        <w:rPr>
                          <w:rFonts w:cs="Arial"/>
                          <w:snapToGrid w:val="0"/>
                        </w:rPr>
                        <w:t xml:space="preserve"> – 12/31/202</w:t>
                      </w:r>
                      <w:r w:rsidR="00C43F76">
                        <w:rPr>
                          <w:rFonts w:cs="Arial"/>
                          <w:snapToGrid w:val="0"/>
                        </w:rPr>
                        <w:t>5</w:t>
                      </w:r>
                    </w:p>
                    <w:p w14:paraId="5806CDCA" w14:textId="77777777" w:rsidR="00872B0F" w:rsidRPr="002E6DC2" w:rsidRDefault="00872B0F" w:rsidP="00AD309C">
                      <w:pPr>
                        <w:pStyle w:val="ListParagraph"/>
                        <w:numPr>
                          <w:ilvl w:val="0"/>
                          <w:numId w:val="39"/>
                        </w:numPr>
                        <w:rPr>
                          <w:rFonts w:cs="Arial"/>
                          <w:i/>
                          <w:snapToGrid w:val="0"/>
                        </w:rPr>
                      </w:pPr>
                      <w:r w:rsidRPr="009A5185">
                        <w:rPr>
                          <w:rFonts w:cs="Arial"/>
                          <w:snapToGrid w:val="0"/>
                        </w:rPr>
                        <w:t xml:space="preserve">Surveys (re)submitted on or after September 1: </w:t>
                      </w:r>
                    </w:p>
                    <w:p w14:paraId="1811A988" w14:textId="26E3610A" w:rsidR="00872B0F" w:rsidRPr="00F31044" w:rsidRDefault="00872B0F" w:rsidP="00AD309C">
                      <w:pPr>
                        <w:pStyle w:val="ListParagraph"/>
                        <w:numPr>
                          <w:ilvl w:val="1"/>
                          <w:numId w:val="39"/>
                        </w:numPr>
                        <w:rPr>
                          <w:rFonts w:cs="Arial"/>
                          <w:i/>
                          <w:snapToGrid w:val="0"/>
                        </w:rPr>
                      </w:pPr>
                      <w:r w:rsidRPr="009A5185">
                        <w:rPr>
                          <w:rFonts w:cs="Arial"/>
                          <w:snapToGrid w:val="0"/>
                        </w:rPr>
                        <w:t>07/01/</w:t>
                      </w:r>
                      <w:r>
                        <w:rPr>
                          <w:rFonts w:cs="Arial"/>
                          <w:snapToGrid w:val="0"/>
                        </w:rPr>
                        <w:t>202</w:t>
                      </w:r>
                      <w:r w:rsidR="00C43F76">
                        <w:rPr>
                          <w:rFonts w:cs="Arial"/>
                          <w:snapToGrid w:val="0"/>
                        </w:rPr>
                        <w:t>5</w:t>
                      </w:r>
                      <w:r w:rsidRPr="009A5185">
                        <w:rPr>
                          <w:rFonts w:cs="Arial"/>
                          <w:snapToGrid w:val="0"/>
                        </w:rPr>
                        <w:t xml:space="preserve"> – 06/30/</w:t>
                      </w:r>
                      <w:r>
                        <w:rPr>
                          <w:rFonts w:cs="Arial"/>
                          <w:snapToGrid w:val="0"/>
                        </w:rPr>
                        <w:t>202</w:t>
                      </w:r>
                      <w:r w:rsidR="00C43F76">
                        <w:rPr>
                          <w:rFonts w:cs="Arial"/>
                          <w:snapToGrid w:val="0"/>
                        </w:rPr>
                        <w:t>6</w:t>
                      </w:r>
                    </w:p>
                    <w:p w14:paraId="78A19680" w14:textId="77777777" w:rsidR="00872B0F" w:rsidRDefault="00872B0F" w:rsidP="00872B0F">
                      <w:pPr>
                        <w:rPr>
                          <w:rFonts w:cs="Arial"/>
                          <w:i/>
                          <w:snapToGrid w:val="0"/>
                        </w:rPr>
                      </w:pPr>
                    </w:p>
                    <w:p w14:paraId="6A17B35E" w14:textId="0AD5414A" w:rsidR="00872B0F" w:rsidRDefault="00872B0F" w:rsidP="00872B0F">
                      <w:r w:rsidRPr="001B3D66">
                        <w:rPr>
                          <w:rFonts w:cs="Arial"/>
                          <w:sz w:val="16"/>
                          <w:szCs w:val="16"/>
                        </w:rPr>
                        <w:t xml:space="preserve">Note: As a reminder, the </w:t>
                      </w:r>
                      <w:hyperlink r:id="rId106" w:history="1">
                        <w:r w:rsidRPr="001B3D66">
                          <w:rPr>
                            <w:rStyle w:val="Hyperlink"/>
                            <w:rFonts w:cs="Arial"/>
                            <w:sz w:val="16"/>
                            <w:szCs w:val="16"/>
                          </w:rPr>
                          <w:t>Corrections Period</w:t>
                        </w:r>
                      </w:hyperlink>
                      <w:r w:rsidRPr="001B3D66">
                        <w:rPr>
                          <w:rFonts w:cs="Arial"/>
                          <w:sz w:val="16"/>
                          <w:szCs w:val="16"/>
                        </w:rPr>
                        <w:t xml:space="preserve"> (</w:t>
                      </w:r>
                      <w:r>
                        <w:rPr>
                          <w:rFonts w:cs="Arial"/>
                          <w:sz w:val="16"/>
                          <w:szCs w:val="16"/>
                        </w:rPr>
                        <w:t>December</w:t>
                      </w:r>
                      <w:r w:rsidRPr="001B3D66">
                        <w:rPr>
                          <w:rFonts w:cs="Arial"/>
                          <w:sz w:val="16"/>
                          <w:szCs w:val="16"/>
                        </w:rPr>
                        <w:t xml:space="preserve"> 1-January 31) is reserved for corrections to previously submitted Surveys only. </w:t>
                      </w:r>
                      <w:r w:rsidRPr="001B3D66">
                        <w:rPr>
                          <w:rFonts w:cs="Arial"/>
                          <w:bCs/>
                          <w:snapToGrid w:val="0"/>
                          <w:sz w:val="16"/>
                          <w:szCs w:val="16"/>
                        </w:rPr>
                        <w:t xml:space="preserve">Any updates made to reflect a change in performance must be made prior to the </w:t>
                      </w:r>
                      <w:r>
                        <w:rPr>
                          <w:rFonts w:cs="Arial"/>
                          <w:bCs/>
                          <w:snapToGrid w:val="0"/>
                          <w:sz w:val="16"/>
                          <w:szCs w:val="16"/>
                        </w:rPr>
                        <w:t>November 30</w:t>
                      </w:r>
                      <w:r w:rsidRPr="001B3D66">
                        <w:rPr>
                          <w:rFonts w:cs="Arial"/>
                          <w:bCs/>
                          <w:snapToGrid w:val="0"/>
                          <w:sz w:val="16"/>
                          <w:szCs w:val="16"/>
                        </w:rPr>
                        <w:t xml:space="preserve"> Late Submission </w:t>
                      </w:r>
                      <w:r w:rsidRPr="00AE38C7">
                        <w:rPr>
                          <w:rFonts w:cs="Arial"/>
                          <w:bCs/>
                          <w:snapToGrid w:val="0"/>
                          <w:sz w:val="16"/>
                          <w:szCs w:val="16"/>
                        </w:rPr>
                        <w:t>and</w:t>
                      </w:r>
                      <w:r w:rsidR="00E20788">
                        <w:rPr>
                          <w:rFonts w:cs="Arial"/>
                          <w:bCs/>
                          <w:snapToGrid w:val="0"/>
                          <w:sz w:val="16"/>
                          <w:szCs w:val="16"/>
                        </w:rPr>
                        <w:t xml:space="preserve"> </w:t>
                      </w:r>
                      <w:r w:rsidRPr="00AE38C7">
                        <w:rPr>
                          <w:rFonts w:cs="Arial"/>
                          <w:bCs/>
                          <w:snapToGrid w:val="0"/>
                          <w:sz w:val="16"/>
                          <w:szCs w:val="16"/>
                        </w:rPr>
                        <w:t>Performance Update</w:t>
                      </w:r>
                      <w:r>
                        <w:rPr>
                          <w:rFonts w:cs="Arial"/>
                          <w:bCs/>
                          <w:snapToGrid w:val="0"/>
                          <w:sz w:val="16"/>
                          <w:szCs w:val="16"/>
                        </w:rPr>
                        <w:t xml:space="preserve"> </w:t>
                      </w:r>
                      <w:r w:rsidRPr="001B3D66">
                        <w:rPr>
                          <w:rFonts w:cs="Arial"/>
                          <w:bCs/>
                          <w:snapToGrid w:val="0"/>
                          <w:sz w:val="16"/>
                          <w:szCs w:val="16"/>
                        </w:rPr>
                        <w:t xml:space="preserve">Deadline. Updates made to reflect a change in performance after </w:t>
                      </w:r>
                      <w:r>
                        <w:rPr>
                          <w:rFonts w:cs="Arial"/>
                          <w:bCs/>
                          <w:snapToGrid w:val="0"/>
                          <w:sz w:val="16"/>
                          <w:szCs w:val="16"/>
                        </w:rPr>
                        <w:t>November 30</w:t>
                      </w:r>
                      <w:r w:rsidRPr="001B3D66">
                        <w:rPr>
                          <w:rFonts w:cs="Arial"/>
                          <w:bCs/>
                          <w:snapToGrid w:val="0"/>
                          <w:sz w:val="16"/>
                          <w:szCs w:val="16"/>
                        </w:rPr>
                        <w:t xml:space="preserve"> will not be scored or publicly reported.</w:t>
                      </w:r>
                    </w:p>
                  </w:txbxContent>
                </v:textbox>
                <w10:anchorlock/>
              </v:shape>
            </w:pict>
          </mc:Fallback>
        </mc:AlternateContent>
      </w:r>
    </w:p>
    <w:p w14:paraId="281B481F" w14:textId="77777777" w:rsidR="00DC0EB9" w:rsidRDefault="00DC0EB9" w:rsidP="00B804CC">
      <w:pPr>
        <w:rPr>
          <w:rFonts w:cs="Arial"/>
          <w:snapToGrid w:val="0"/>
        </w:rPr>
      </w:pPr>
    </w:p>
    <w:p w14:paraId="6C70F3A9" w14:textId="77777777" w:rsidR="00DC0EB9" w:rsidRPr="003E5FC0" w:rsidRDefault="00DC0EB9" w:rsidP="00AB5B80">
      <w:pPr>
        <w:pStyle w:val="Heading3"/>
      </w:pPr>
      <w:bookmarkStart w:id="84" w:name="_Toc225877669"/>
      <w:r w:rsidRPr="003E5FC0">
        <w:t>General Information</w:t>
      </w:r>
      <w:bookmarkEnd w:id="84"/>
    </w:p>
    <w:p w14:paraId="321F4A7A" w14:textId="77777777" w:rsidR="00872B0F" w:rsidRPr="00B07246" w:rsidRDefault="00872B0F" w:rsidP="00B804CC">
      <w:pPr>
        <w:rPr>
          <w:rFonts w:cs="Arial"/>
          <w:snapToGrid w:val="0"/>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88"/>
        <w:gridCol w:w="2947"/>
      </w:tblGrid>
      <w:tr w:rsidR="009F6C33" w:rsidRPr="009A5185" w14:paraId="61E468AC" w14:textId="77777777" w:rsidTr="00BE6BA0">
        <w:tc>
          <w:tcPr>
            <w:tcW w:w="6588" w:type="dxa"/>
            <w:vAlign w:val="center"/>
          </w:tcPr>
          <w:p w14:paraId="2D7A09C2" w14:textId="640E8651" w:rsidR="009F6C33" w:rsidRPr="00532CF2" w:rsidRDefault="007A4221" w:rsidP="00BE6BA0">
            <w:pPr>
              <w:numPr>
                <w:ilvl w:val="0"/>
                <w:numId w:val="1"/>
              </w:numPr>
              <w:tabs>
                <w:tab w:val="num" w:pos="450"/>
              </w:tabs>
              <w:ind w:left="450" w:hanging="450"/>
              <w:rPr>
                <w:rFonts w:cs="Arial"/>
                <w:snapToGrid w:val="0"/>
              </w:rPr>
            </w:pPr>
            <w:r w:rsidRPr="00532CF2">
              <w:rPr>
                <w:rFonts w:cs="Arial"/>
                <w:snapToGrid w:val="0"/>
              </w:rPr>
              <w:t>Reporting period used:</w:t>
            </w:r>
          </w:p>
        </w:tc>
        <w:tc>
          <w:tcPr>
            <w:tcW w:w="2947" w:type="dxa"/>
            <w:vAlign w:val="center"/>
          </w:tcPr>
          <w:p w14:paraId="2C841FFE" w14:textId="46F2CB1E" w:rsidR="00407B81" w:rsidRPr="00A35DD6" w:rsidRDefault="00407B81" w:rsidP="00AD309C">
            <w:pPr>
              <w:pStyle w:val="ListParagraph"/>
              <w:numPr>
                <w:ilvl w:val="0"/>
                <w:numId w:val="228"/>
              </w:numPr>
              <w:rPr>
                <w:rFonts w:cs="Arial"/>
                <w:snapToGrid w:val="0"/>
              </w:rPr>
            </w:pPr>
            <w:r w:rsidRPr="00A35DD6">
              <w:rPr>
                <w:rFonts w:cs="Arial"/>
                <w:snapToGrid w:val="0"/>
              </w:rPr>
              <w:t>01/01/202</w:t>
            </w:r>
            <w:r w:rsidR="00C43F76">
              <w:rPr>
                <w:rFonts w:cs="Arial"/>
                <w:snapToGrid w:val="0"/>
              </w:rPr>
              <w:t>5</w:t>
            </w:r>
            <w:r w:rsidRPr="00A35DD6">
              <w:rPr>
                <w:rFonts w:cs="Arial"/>
                <w:snapToGrid w:val="0"/>
              </w:rPr>
              <w:t xml:space="preserve"> – 12/31/202</w:t>
            </w:r>
            <w:r w:rsidR="00C43F76">
              <w:rPr>
                <w:rFonts w:cs="Arial"/>
                <w:snapToGrid w:val="0"/>
              </w:rPr>
              <w:t>5</w:t>
            </w:r>
          </w:p>
          <w:p w14:paraId="327C3405" w14:textId="6DF234BA" w:rsidR="009F6C33" w:rsidRPr="00A35DD6" w:rsidRDefault="009F6C33" w:rsidP="00AD309C">
            <w:pPr>
              <w:pStyle w:val="ListParagraph"/>
              <w:numPr>
                <w:ilvl w:val="0"/>
                <w:numId w:val="228"/>
              </w:numPr>
              <w:rPr>
                <w:rFonts w:cs="Arial"/>
                <w:snapToGrid w:val="0"/>
              </w:rPr>
            </w:pPr>
            <w:r w:rsidRPr="00A35DD6">
              <w:rPr>
                <w:rFonts w:cs="Arial"/>
                <w:snapToGrid w:val="0"/>
              </w:rPr>
              <w:t>07/01/</w:t>
            </w:r>
            <w:r w:rsidR="00407B81" w:rsidRPr="00A35DD6">
              <w:rPr>
                <w:rFonts w:cs="Arial"/>
                <w:snapToGrid w:val="0"/>
              </w:rPr>
              <w:t>202</w:t>
            </w:r>
            <w:r w:rsidR="00C43F76">
              <w:rPr>
                <w:rFonts w:cs="Arial"/>
                <w:snapToGrid w:val="0"/>
              </w:rPr>
              <w:t>5</w:t>
            </w:r>
            <w:r w:rsidR="00407B81" w:rsidRPr="00A35DD6">
              <w:rPr>
                <w:rFonts w:cs="Arial"/>
                <w:snapToGrid w:val="0"/>
              </w:rPr>
              <w:t xml:space="preserve"> </w:t>
            </w:r>
            <w:r w:rsidRPr="00A35DD6">
              <w:rPr>
                <w:rFonts w:cs="Arial"/>
                <w:snapToGrid w:val="0"/>
              </w:rPr>
              <w:t>– 06/30/</w:t>
            </w:r>
            <w:r w:rsidR="00407B81" w:rsidRPr="00A35DD6">
              <w:rPr>
                <w:rFonts w:cs="Arial"/>
                <w:snapToGrid w:val="0"/>
              </w:rPr>
              <w:t>202</w:t>
            </w:r>
            <w:r w:rsidR="00C43F76">
              <w:rPr>
                <w:rFonts w:cs="Arial"/>
                <w:snapToGrid w:val="0"/>
              </w:rPr>
              <w:t>6</w:t>
            </w:r>
          </w:p>
        </w:tc>
      </w:tr>
      <w:tr w:rsidR="008D6E32" w:rsidRPr="009A5185" w14:paraId="0D75E6A5" w14:textId="77777777" w:rsidTr="00BE6BA0">
        <w:tc>
          <w:tcPr>
            <w:tcW w:w="6588" w:type="dxa"/>
            <w:vAlign w:val="center"/>
          </w:tcPr>
          <w:p w14:paraId="76976E79" w14:textId="34D259AE" w:rsidR="008D6E32" w:rsidRPr="00532CF2" w:rsidRDefault="008D6E32" w:rsidP="00BE6BA0">
            <w:pPr>
              <w:numPr>
                <w:ilvl w:val="0"/>
                <w:numId w:val="1"/>
              </w:numPr>
              <w:tabs>
                <w:tab w:val="num" w:pos="450"/>
              </w:tabs>
              <w:spacing w:line="360" w:lineRule="auto"/>
              <w:ind w:left="450" w:hanging="450"/>
              <w:rPr>
                <w:rFonts w:cs="Arial"/>
                <w:snapToGrid w:val="0"/>
              </w:rPr>
            </w:pPr>
            <w:r w:rsidRPr="00532CF2">
              <w:rPr>
                <w:rFonts w:cs="Arial"/>
                <w:snapToGrid w:val="0"/>
              </w:rPr>
              <w:t xml:space="preserve">Total number of </w:t>
            </w:r>
            <w:hyperlink w:anchor="LicensedAcuteCareBeds" w:history="1">
              <w:r w:rsidRPr="00784DA1">
                <w:rPr>
                  <w:rStyle w:val="Hyperlink"/>
                  <w:rFonts w:cs="Arial"/>
                  <w:snapToGrid w:val="0"/>
                </w:rPr>
                <w:t>licensed acute-care</w:t>
              </w:r>
            </w:hyperlink>
            <w:r w:rsidR="000F0582">
              <w:rPr>
                <w:rStyle w:val="Hyperlink"/>
                <w:rFonts w:ascii="ZWAdobeF" w:hAnsi="ZWAdobeF" w:cs="ZWAdobeF"/>
                <w:snapToGrid w:val="0"/>
                <w:color w:val="auto"/>
                <w:sz w:val="2"/>
                <w:szCs w:val="2"/>
                <w:u w:val="none"/>
              </w:rPr>
              <w:t>8F</w:t>
            </w:r>
            <w:r w:rsidR="00BF053F">
              <w:rPr>
                <w:rStyle w:val="Hyperlink"/>
                <w:rFonts w:ascii="ZWAdobeF" w:hAnsi="ZWAdobeF" w:cs="ZWAdobeF"/>
                <w:snapToGrid w:val="0"/>
                <w:color w:val="auto"/>
                <w:sz w:val="2"/>
                <w:szCs w:val="2"/>
                <w:u w:val="none"/>
              </w:rPr>
              <w:t>9F</w:t>
            </w:r>
            <w:r w:rsidR="004C7557">
              <w:rPr>
                <w:rStyle w:val="Hyperlink"/>
                <w:rFonts w:ascii="ZWAdobeF" w:hAnsi="ZWAdobeF" w:cs="ZWAdobeF"/>
                <w:snapToGrid w:val="0"/>
                <w:color w:val="auto"/>
                <w:sz w:val="2"/>
                <w:szCs w:val="2"/>
                <w:u w:val="none"/>
              </w:rPr>
              <w:t>9F</w:t>
            </w:r>
            <w:r w:rsidR="00C2087D">
              <w:rPr>
                <w:rStyle w:val="Hyperlink"/>
                <w:rFonts w:ascii="ZWAdobeF" w:hAnsi="ZWAdobeF" w:cs="ZWAdobeF"/>
                <w:snapToGrid w:val="0"/>
                <w:color w:val="auto"/>
                <w:sz w:val="2"/>
                <w:szCs w:val="2"/>
                <w:u w:val="none"/>
              </w:rPr>
              <w:t>9F</w:t>
            </w:r>
            <w:r w:rsidR="00B55C41">
              <w:rPr>
                <w:rStyle w:val="Hyperlink"/>
                <w:rFonts w:ascii="ZWAdobeF" w:hAnsi="ZWAdobeF" w:cs="ZWAdobeF"/>
                <w:snapToGrid w:val="0"/>
                <w:color w:val="auto"/>
                <w:sz w:val="2"/>
                <w:szCs w:val="2"/>
                <w:u w:val="none"/>
              </w:rPr>
              <w:t>9F</w:t>
            </w:r>
            <w:r w:rsidR="006255A6">
              <w:rPr>
                <w:rStyle w:val="Hyperlink"/>
                <w:rFonts w:ascii="ZWAdobeF" w:hAnsi="ZWAdobeF" w:cs="ZWAdobeF"/>
                <w:snapToGrid w:val="0"/>
                <w:color w:val="auto"/>
                <w:sz w:val="2"/>
                <w:szCs w:val="2"/>
                <w:u w:val="none"/>
              </w:rPr>
              <w:t>9F</w:t>
            </w:r>
            <w:r w:rsidR="00E453C7">
              <w:rPr>
                <w:rStyle w:val="Hyperlink"/>
                <w:rFonts w:ascii="ZWAdobeF" w:hAnsi="ZWAdobeF" w:cs="ZWAdobeF"/>
                <w:snapToGrid w:val="0"/>
                <w:color w:val="auto"/>
                <w:sz w:val="2"/>
                <w:szCs w:val="2"/>
                <w:u w:val="none"/>
              </w:rPr>
              <w:t>9F</w:t>
            </w:r>
            <w:r w:rsidR="00953060">
              <w:rPr>
                <w:rStyle w:val="Hyperlink"/>
                <w:rFonts w:ascii="ZWAdobeF" w:hAnsi="ZWAdobeF" w:cs="ZWAdobeF"/>
                <w:snapToGrid w:val="0"/>
                <w:color w:val="auto"/>
                <w:sz w:val="2"/>
                <w:szCs w:val="2"/>
                <w:u w:val="none"/>
              </w:rPr>
              <w:t>9F</w:t>
            </w:r>
            <w:r w:rsidR="00DD04D6">
              <w:rPr>
                <w:rStyle w:val="Hyperlink"/>
                <w:rFonts w:ascii="ZWAdobeF" w:hAnsi="ZWAdobeF" w:cs="ZWAdobeF"/>
                <w:snapToGrid w:val="0"/>
                <w:color w:val="auto"/>
                <w:sz w:val="2"/>
                <w:szCs w:val="2"/>
                <w:u w:val="none"/>
              </w:rPr>
              <w:t>9F</w:t>
            </w:r>
            <w:r w:rsidRPr="00532CF2">
              <w:rPr>
                <w:rStyle w:val="EndnoteReference"/>
                <w:rFonts w:cs="Arial"/>
                <w:snapToGrid w:val="0"/>
              </w:rPr>
              <w:endnoteReference w:id="11"/>
            </w:r>
            <w:r w:rsidRPr="00532CF2">
              <w:rPr>
                <w:rFonts w:cs="Arial"/>
                <w:snapToGrid w:val="0"/>
              </w:rPr>
              <w:t xml:space="preserve"> beds.</w:t>
            </w:r>
          </w:p>
        </w:tc>
        <w:tc>
          <w:tcPr>
            <w:tcW w:w="2947" w:type="dxa"/>
            <w:vAlign w:val="center"/>
          </w:tcPr>
          <w:p w14:paraId="2A760A4D" w14:textId="419AE1F3" w:rsidR="008D6E32" w:rsidRDefault="008D6E32" w:rsidP="00887DBF">
            <w:pPr>
              <w:spacing w:line="360" w:lineRule="auto"/>
              <w:jc w:val="center"/>
              <w:rPr>
                <w:rFonts w:cs="Arial"/>
                <w:snapToGrid w:val="0"/>
              </w:rPr>
            </w:pPr>
            <w:r w:rsidRPr="0026670B">
              <w:rPr>
                <w:rFonts w:cs="Arial"/>
                <w:i/>
                <w:snapToGrid w:val="0"/>
              </w:rPr>
              <w:t>_____</w:t>
            </w:r>
          </w:p>
        </w:tc>
      </w:tr>
      <w:tr w:rsidR="008D6E32" w:rsidRPr="009A5185" w14:paraId="2A9033B1" w14:textId="77777777" w:rsidTr="00BE6BA0">
        <w:tc>
          <w:tcPr>
            <w:tcW w:w="6588" w:type="dxa"/>
            <w:vAlign w:val="center"/>
          </w:tcPr>
          <w:p w14:paraId="2A827BBC" w14:textId="04C7498C" w:rsidR="008D6E32" w:rsidRPr="00532CF2" w:rsidRDefault="008D6E32" w:rsidP="00BE6BA0">
            <w:pPr>
              <w:numPr>
                <w:ilvl w:val="0"/>
                <w:numId w:val="1"/>
              </w:numPr>
              <w:tabs>
                <w:tab w:val="num" w:pos="450"/>
              </w:tabs>
              <w:spacing w:line="360" w:lineRule="auto"/>
              <w:ind w:left="450" w:hanging="450"/>
              <w:rPr>
                <w:rFonts w:cs="Arial"/>
                <w:snapToGrid w:val="0"/>
              </w:rPr>
            </w:pPr>
            <w:r w:rsidRPr="00532CF2">
              <w:rPr>
                <w:rFonts w:cs="Arial"/>
                <w:snapToGrid w:val="0"/>
              </w:rPr>
              <w:t xml:space="preserve">Total number of </w:t>
            </w:r>
            <w:hyperlink w:anchor="Endnote9_Sbeds" w:history="1">
              <w:r w:rsidRPr="00784DA1">
                <w:rPr>
                  <w:rStyle w:val="Hyperlink"/>
                  <w:rFonts w:cs="Arial"/>
                  <w:snapToGrid w:val="0"/>
                </w:rPr>
                <w:t>staffed acute-care</w:t>
              </w:r>
            </w:hyperlink>
            <w:r w:rsidR="000F0582">
              <w:rPr>
                <w:rStyle w:val="Hyperlink"/>
                <w:rFonts w:ascii="ZWAdobeF" w:hAnsi="ZWAdobeF" w:cs="ZWAdobeF"/>
                <w:snapToGrid w:val="0"/>
                <w:color w:val="auto"/>
                <w:sz w:val="2"/>
                <w:szCs w:val="2"/>
                <w:u w:val="none"/>
              </w:rPr>
              <w:t>9F</w:t>
            </w:r>
            <w:r w:rsidR="00BF053F">
              <w:rPr>
                <w:rStyle w:val="Hyperlink"/>
                <w:rFonts w:ascii="ZWAdobeF" w:hAnsi="ZWAdobeF" w:cs="ZWAdobeF"/>
                <w:snapToGrid w:val="0"/>
                <w:color w:val="auto"/>
                <w:sz w:val="2"/>
                <w:szCs w:val="2"/>
                <w:u w:val="none"/>
              </w:rPr>
              <w:t>10F</w:t>
            </w:r>
            <w:r w:rsidR="004C7557">
              <w:rPr>
                <w:rStyle w:val="Hyperlink"/>
                <w:rFonts w:ascii="ZWAdobeF" w:hAnsi="ZWAdobeF" w:cs="ZWAdobeF"/>
                <w:snapToGrid w:val="0"/>
                <w:color w:val="auto"/>
                <w:sz w:val="2"/>
                <w:szCs w:val="2"/>
                <w:u w:val="none"/>
              </w:rPr>
              <w:t>10F</w:t>
            </w:r>
            <w:r w:rsidR="00C2087D">
              <w:rPr>
                <w:rStyle w:val="Hyperlink"/>
                <w:rFonts w:ascii="ZWAdobeF" w:hAnsi="ZWAdobeF" w:cs="ZWAdobeF"/>
                <w:snapToGrid w:val="0"/>
                <w:color w:val="auto"/>
                <w:sz w:val="2"/>
                <w:szCs w:val="2"/>
                <w:u w:val="none"/>
              </w:rPr>
              <w:t>10F</w:t>
            </w:r>
            <w:r w:rsidR="00B55C41">
              <w:rPr>
                <w:rStyle w:val="Hyperlink"/>
                <w:rFonts w:ascii="ZWAdobeF" w:hAnsi="ZWAdobeF" w:cs="ZWAdobeF"/>
                <w:snapToGrid w:val="0"/>
                <w:color w:val="auto"/>
                <w:sz w:val="2"/>
                <w:szCs w:val="2"/>
                <w:u w:val="none"/>
              </w:rPr>
              <w:t>10F</w:t>
            </w:r>
            <w:r w:rsidR="006255A6">
              <w:rPr>
                <w:rStyle w:val="Hyperlink"/>
                <w:rFonts w:ascii="ZWAdobeF" w:hAnsi="ZWAdobeF" w:cs="ZWAdobeF"/>
                <w:snapToGrid w:val="0"/>
                <w:color w:val="auto"/>
                <w:sz w:val="2"/>
                <w:szCs w:val="2"/>
                <w:u w:val="none"/>
              </w:rPr>
              <w:t>10F</w:t>
            </w:r>
            <w:r w:rsidR="00E453C7">
              <w:rPr>
                <w:rStyle w:val="Hyperlink"/>
                <w:rFonts w:ascii="ZWAdobeF" w:hAnsi="ZWAdobeF" w:cs="ZWAdobeF"/>
                <w:snapToGrid w:val="0"/>
                <w:color w:val="auto"/>
                <w:sz w:val="2"/>
                <w:szCs w:val="2"/>
                <w:u w:val="none"/>
              </w:rPr>
              <w:t>10F</w:t>
            </w:r>
            <w:r w:rsidR="00953060">
              <w:rPr>
                <w:rStyle w:val="Hyperlink"/>
                <w:rFonts w:ascii="ZWAdobeF" w:hAnsi="ZWAdobeF" w:cs="ZWAdobeF"/>
                <w:snapToGrid w:val="0"/>
                <w:color w:val="auto"/>
                <w:sz w:val="2"/>
                <w:szCs w:val="2"/>
                <w:u w:val="none"/>
              </w:rPr>
              <w:t>10F</w:t>
            </w:r>
            <w:r w:rsidR="00DD04D6">
              <w:rPr>
                <w:rStyle w:val="Hyperlink"/>
                <w:rFonts w:ascii="ZWAdobeF" w:hAnsi="ZWAdobeF" w:cs="ZWAdobeF"/>
                <w:snapToGrid w:val="0"/>
                <w:color w:val="auto"/>
                <w:sz w:val="2"/>
                <w:szCs w:val="2"/>
                <w:u w:val="none"/>
              </w:rPr>
              <w:t>10F</w:t>
            </w:r>
            <w:r w:rsidRPr="00532CF2">
              <w:rPr>
                <w:rStyle w:val="EndnoteReference"/>
                <w:rFonts w:cs="Arial"/>
                <w:snapToGrid w:val="0"/>
              </w:rPr>
              <w:endnoteReference w:id="12"/>
            </w:r>
            <w:r w:rsidRPr="00532CF2">
              <w:rPr>
                <w:rFonts w:cs="Arial"/>
                <w:snapToGrid w:val="0"/>
              </w:rPr>
              <w:t xml:space="preserve"> beds.</w:t>
            </w:r>
          </w:p>
        </w:tc>
        <w:tc>
          <w:tcPr>
            <w:tcW w:w="2947" w:type="dxa"/>
            <w:vAlign w:val="center"/>
          </w:tcPr>
          <w:p w14:paraId="075031B9" w14:textId="6DDB0D1A" w:rsidR="008D6E32" w:rsidRPr="009A5185" w:rsidRDefault="008D6E32" w:rsidP="00887DBF">
            <w:pPr>
              <w:spacing w:line="360" w:lineRule="auto"/>
              <w:jc w:val="center"/>
              <w:rPr>
                <w:rFonts w:cs="Arial"/>
                <w:snapToGrid w:val="0"/>
              </w:rPr>
            </w:pPr>
            <w:r w:rsidRPr="0026670B">
              <w:rPr>
                <w:rFonts w:cs="Arial"/>
                <w:i/>
                <w:snapToGrid w:val="0"/>
              </w:rPr>
              <w:t>_____</w:t>
            </w:r>
          </w:p>
        </w:tc>
      </w:tr>
      <w:tr w:rsidR="008D6E32" w:rsidRPr="009A5185" w14:paraId="4A6861EB" w14:textId="77777777" w:rsidTr="00BE6BA0">
        <w:tc>
          <w:tcPr>
            <w:tcW w:w="6588" w:type="dxa"/>
            <w:vAlign w:val="center"/>
          </w:tcPr>
          <w:p w14:paraId="791BCA97" w14:textId="6C5D3176" w:rsidR="008D6E32" w:rsidRPr="00532CF2" w:rsidRDefault="008D6E32" w:rsidP="00BE6BA0">
            <w:pPr>
              <w:numPr>
                <w:ilvl w:val="0"/>
                <w:numId w:val="1"/>
              </w:numPr>
              <w:tabs>
                <w:tab w:val="num" w:pos="450"/>
              </w:tabs>
              <w:ind w:left="450" w:hanging="450"/>
              <w:rPr>
                <w:rFonts w:cs="Arial"/>
                <w:snapToGrid w:val="0"/>
              </w:rPr>
            </w:pPr>
            <w:r w:rsidRPr="00532CF2">
              <w:rPr>
                <w:rFonts w:cs="Arial"/>
                <w:snapToGrid w:val="0"/>
              </w:rPr>
              <w:t xml:space="preserve">Total number of </w:t>
            </w:r>
            <w:hyperlink w:anchor="Endnote10_AdultAdmits" w:history="1">
              <w:r w:rsidRPr="00532CF2">
                <w:rPr>
                  <w:rStyle w:val="Hyperlink"/>
                  <w:rFonts w:cs="Arial"/>
                  <w:snapToGrid w:val="0"/>
                </w:rPr>
                <w:t>adult acute-care admissions</w:t>
              </w:r>
            </w:hyperlink>
            <w:r w:rsidR="000F0582">
              <w:rPr>
                <w:rStyle w:val="Hyperlink"/>
                <w:rFonts w:ascii="ZWAdobeF" w:hAnsi="ZWAdobeF" w:cs="ZWAdobeF"/>
                <w:snapToGrid w:val="0"/>
                <w:color w:val="auto"/>
                <w:sz w:val="2"/>
                <w:szCs w:val="2"/>
                <w:u w:val="none"/>
              </w:rPr>
              <w:t>10F</w:t>
            </w:r>
            <w:r w:rsidR="00BF053F">
              <w:rPr>
                <w:rStyle w:val="Hyperlink"/>
                <w:rFonts w:ascii="ZWAdobeF" w:hAnsi="ZWAdobeF" w:cs="ZWAdobeF"/>
                <w:snapToGrid w:val="0"/>
                <w:color w:val="auto"/>
                <w:sz w:val="2"/>
                <w:szCs w:val="2"/>
                <w:u w:val="none"/>
              </w:rPr>
              <w:t>11F</w:t>
            </w:r>
            <w:r w:rsidR="004C7557">
              <w:rPr>
                <w:rStyle w:val="Hyperlink"/>
                <w:rFonts w:ascii="ZWAdobeF" w:hAnsi="ZWAdobeF" w:cs="ZWAdobeF"/>
                <w:snapToGrid w:val="0"/>
                <w:color w:val="auto"/>
                <w:sz w:val="2"/>
                <w:szCs w:val="2"/>
                <w:u w:val="none"/>
              </w:rPr>
              <w:t>11F</w:t>
            </w:r>
            <w:r w:rsidR="00C2087D">
              <w:rPr>
                <w:rStyle w:val="Hyperlink"/>
                <w:rFonts w:ascii="ZWAdobeF" w:hAnsi="ZWAdobeF" w:cs="ZWAdobeF"/>
                <w:snapToGrid w:val="0"/>
                <w:color w:val="auto"/>
                <w:sz w:val="2"/>
                <w:szCs w:val="2"/>
                <w:u w:val="none"/>
              </w:rPr>
              <w:t>11F</w:t>
            </w:r>
            <w:r w:rsidR="00B55C41">
              <w:rPr>
                <w:rStyle w:val="Hyperlink"/>
                <w:rFonts w:ascii="ZWAdobeF" w:hAnsi="ZWAdobeF" w:cs="ZWAdobeF"/>
                <w:snapToGrid w:val="0"/>
                <w:color w:val="auto"/>
                <w:sz w:val="2"/>
                <w:szCs w:val="2"/>
                <w:u w:val="none"/>
              </w:rPr>
              <w:t>11F</w:t>
            </w:r>
            <w:r w:rsidR="006255A6">
              <w:rPr>
                <w:rStyle w:val="Hyperlink"/>
                <w:rFonts w:ascii="ZWAdobeF" w:hAnsi="ZWAdobeF" w:cs="ZWAdobeF"/>
                <w:snapToGrid w:val="0"/>
                <w:color w:val="auto"/>
                <w:sz w:val="2"/>
                <w:szCs w:val="2"/>
                <w:u w:val="none"/>
              </w:rPr>
              <w:t>11F</w:t>
            </w:r>
            <w:r w:rsidR="00E453C7">
              <w:rPr>
                <w:rStyle w:val="Hyperlink"/>
                <w:rFonts w:ascii="ZWAdobeF" w:hAnsi="ZWAdobeF" w:cs="ZWAdobeF"/>
                <w:snapToGrid w:val="0"/>
                <w:color w:val="auto"/>
                <w:sz w:val="2"/>
                <w:szCs w:val="2"/>
                <w:u w:val="none"/>
              </w:rPr>
              <w:t>11F</w:t>
            </w:r>
            <w:r w:rsidR="00953060">
              <w:rPr>
                <w:rStyle w:val="Hyperlink"/>
                <w:rFonts w:ascii="ZWAdobeF" w:hAnsi="ZWAdobeF" w:cs="ZWAdobeF"/>
                <w:snapToGrid w:val="0"/>
                <w:color w:val="auto"/>
                <w:sz w:val="2"/>
                <w:szCs w:val="2"/>
                <w:u w:val="none"/>
              </w:rPr>
              <w:t>11F</w:t>
            </w:r>
            <w:r w:rsidR="00DD04D6">
              <w:rPr>
                <w:rStyle w:val="Hyperlink"/>
                <w:rFonts w:ascii="ZWAdobeF" w:hAnsi="ZWAdobeF" w:cs="ZWAdobeF"/>
                <w:snapToGrid w:val="0"/>
                <w:color w:val="auto"/>
                <w:sz w:val="2"/>
                <w:szCs w:val="2"/>
                <w:u w:val="none"/>
              </w:rPr>
              <w:t>11F</w:t>
            </w:r>
            <w:r w:rsidRPr="00532CF2">
              <w:rPr>
                <w:rStyle w:val="EndnoteReference"/>
                <w:rFonts w:cs="Arial"/>
                <w:snapToGrid w:val="0"/>
              </w:rPr>
              <w:endnoteReference w:id="13"/>
            </w:r>
            <w:r w:rsidRPr="00532CF2">
              <w:rPr>
                <w:rFonts w:cs="Arial"/>
                <w:snapToGrid w:val="0"/>
              </w:rPr>
              <w:t xml:space="preserve"> to your hospital during the reporting period.</w:t>
            </w:r>
          </w:p>
        </w:tc>
        <w:tc>
          <w:tcPr>
            <w:tcW w:w="2947" w:type="dxa"/>
            <w:vAlign w:val="center"/>
          </w:tcPr>
          <w:p w14:paraId="0F7303E0" w14:textId="1DFFC216" w:rsidR="008D6E32" w:rsidRPr="009A5185" w:rsidRDefault="008D6E32" w:rsidP="00887DBF">
            <w:pPr>
              <w:jc w:val="center"/>
              <w:rPr>
                <w:rFonts w:cs="Arial"/>
                <w:snapToGrid w:val="0"/>
              </w:rPr>
            </w:pPr>
            <w:r w:rsidRPr="0026670B">
              <w:rPr>
                <w:rFonts w:cs="Arial"/>
                <w:i/>
                <w:snapToGrid w:val="0"/>
              </w:rPr>
              <w:t>_____</w:t>
            </w:r>
          </w:p>
        </w:tc>
      </w:tr>
      <w:tr w:rsidR="008D6E32" w:rsidRPr="009A5185" w14:paraId="4DA026A3" w14:textId="77777777" w:rsidTr="00BE6BA0">
        <w:tc>
          <w:tcPr>
            <w:tcW w:w="6588" w:type="dxa"/>
            <w:vAlign w:val="center"/>
          </w:tcPr>
          <w:p w14:paraId="21816165" w14:textId="4E3F5F26" w:rsidR="008D6E32" w:rsidRPr="00532CF2" w:rsidRDefault="008D6E32" w:rsidP="00BE6BA0">
            <w:pPr>
              <w:numPr>
                <w:ilvl w:val="0"/>
                <w:numId w:val="1"/>
              </w:numPr>
              <w:tabs>
                <w:tab w:val="num" w:pos="450"/>
              </w:tabs>
              <w:ind w:left="450" w:hanging="450"/>
              <w:rPr>
                <w:rFonts w:cs="Arial"/>
                <w:snapToGrid w:val="0"/>
              </w:rPr>
            </w:pPr>
            <w:r w:rsidRPr="00532CF2">
              <w:rPr>
                <w:rFonts w:cs="Arial"/>
                <w:snapToGrid w:val="0"/>
              </w:rPr>
              <w:t xml:space="preserve">Total number of </w:t>
            </w:r>
            <w:hyperlink w:anchor="Endnote11_PedAdmits" w:history="1">
              <w:r w:rsidRPr="00532CF2">
                <w:rPr>
                  <w:rStyle w:val="Hyperlink"/>
                  <w:rFonts w:cs="Arial"/>
                  <w:snapToGrid w:val="0"/>
                </w:rPr>
                <w:t>pediatric acute-care admissions</w:t>
              </w:r>
            </w:hyperlink>
            <w:bookmarkStart w:id="88" w:name="_Ref4511292"/>
            <w:r w:rsidR="000F0582">
              <w:rPr>
                <w:rStyle w:val="Hyperlink"/>
                <w:rFonts w:ascii="ZWAdobeF" w:hAnsi="ZWAdobeF" w:cs="ZWAdobeF"/>
                <w:snapToGrid w:val="0"/>
                <w:color w:val="auto"/>
                <w:sz w:val="2"/>
                <w:szCs w:val="2"/>
                <w:u w:val="none"/>
              </w:rPr>
              <w:t>11F</w:t>
            </w:r>
            <w:r w:rsidR="00BF053F">
              <w:rPr>
                <w:rStyle w:val="Hyperlink"/>
                <w:rFonts w:ascii="ZWAdobeF" w:hAnsi="ZWAdobeF" w:cs="ZWAdobeF"/>
                <w:snapToGrid w:val="0"/>
                <w:color w:val="auto"/>
                <w:sz w:val="2"/>
                <w:szCs w:val="2"/>
                <w:u w:val="none"/>
              </w:rPr>
              <w:t>12F</w:t>
            </w:r>
            <w:r w:rsidR="004C7557">
              <w:rPr>
                <w:rStyle w:val="Hyperlink"/>
                <w:rFonts w:ascii="ZWAdobeF" w:hAnsi="ZWAdobeF" w:cs="ZWAdobeF"/>
                <w:snapToGrid w:val="0"/>
                <w:color w:val="auto"/>
                <w:sz w:val="2"/>
                <w:szCs w:val="2"/>
                <w:u w:val="none"/>
              </w:rPr>
              <w:t>12F</w:t>
            </w:r>
            <w:r w:rsidR="00C2087D">
              <w:rPr>
                <w:rStyle w:val="Hyperlink"/>
                <w:rFonts w:ascii="ZWAdobeF" w:hAnsi="ZWAdobeF" w:cs="ZWAdobeF"/>
                <w:snapToGrid w:val="0"/>
                <w:color w:val="auto"/>
                <w:sz w:val="2"/>
                <w:szCs w:val="2"/>
                <w:u w:val="none"/>
              </w:rPr>
              <w:t>12F</w:t>
            </w:r>
            <w:r w:rsidR="00B55C41">
              <w:rPr>
                <w:rStyle w:val="Hyperlink"/>
                <w:rFonts w:ascii="ZWAdobeF" w:hAnsi="ZWAdobeF" w:cs="ZWAdobeF"/>
                <w:snapToGrid w:val="0"/>
                <w:color w:val="auto"/>
                <w:sz w:val="2"/>
                <w:szCs w:val="2"/>
                <w:u w:val="none"/>
              </w:rPr>
              <w:t>12F</w:t>
            </w:r>
            <w:r w:rsidR="006255A6">
              <w:rPr>
                <w:rStyle w:val="Hyperlink"/>
                <w:rFonts w:ascii="ZWAdobeF" w:hAnsi="ZWAdobeF" w:cs="ZWAdobeF"/>
                <w:snapToGrid w:val="0"/>
                <w:color w:val="auto"/>
                <w:sz w:val="2"/>
                <w:szCs w:val="2"/>
                <w:u w:val="none"/>
              </w:rPr>
              <w:t>12F</w:t>
            </w:r>
            <w:r w:rsidR="00E453C7">
              <w:rPr>
                <w:rStyle w:val="Hyperlink"/>
                <w:rFonts w:ascii="ZWAdobeF" w:hAnsi="ZWAdobeF" w:cs="ZWAdobeF"/>
                <w:snapToGrid w:val="0"/>
                <w:color w:val="auto"/>
                <w:sz w:val="2"/>
                <w:szCs w:val="2"/>
                <w:u w:val="none"/>
              </w:rPr>
              <w:t>12F</w:t>
            </w:r>
            <w:r w:rsidR="00953060">
              <w:rPr>
                <w:rStyle w:val="Hyperlink"/>
                <w:rFonts w:ascii="ZWAdobeF" w:hAnsi="ZWAdobeF" w:cs="ZWAdobeF"/>
                <w:snapToGrid w:val="0"/>
                <w:color w:val="auto"/>
                <w:sz w:val="2"/>
                <w:szCs w:val="2"/>
                <w:u w:val="none"/>
              </w:rPr>
              <w:t>12F</w:t>
            </w:r>
            <w:r w:rsidR="00DD04D6">
              <w:rPr>
                <w:rStyle w:val="Hyperlink"/>
                <w:rFonts w:ascii="ZWAdobeF" w:hAnsi="ZWAdobeF" w:cs="ZWAdobeF"/>
                <w:snapToGrid w:val="0"/>
                <w:color w:val="auto"/>
                <w:sz w:val="2"/>
                <w:szCs w:val="2"/>
                <w:u w:val="none"/>
              </w:rPr>
              <w:t>12F</w:t>
            </w:r>
            <w:r w:rsidRPr="00532CF2">
              <w:rPr>
                <w:rStyle w:val="EndnoteReference"/>
                <w:rFonts w:cs="Arial"/>
                <w:snapToGrid w:val="0"/>
              </w:rPr>
              <w:endnoteReference w:id="14"/>
            </w:r>
            <w:bookmarkEnd w:id="88"/>
            <w:r w:rsidRPr="00532CF2">
              <w:rPr>
                <w:rFonts w:cs="Arial"/>
                <w:snapToGrid w:val="0"/>
              </w:rPr>
              <w:t xml:space="preserve"> to your hospital during the reporting period.</w:t>
            </w:r>
          </w:p>
        </w:tc>
        <w:tc>
          <w:tcPr>
            <w:tcW w:w="2947" w:type="dxa"/>
            <w:vAlign w:val="center"/>
          </w:tcPr>
          <w:p w14:paraId="49CCB748" w14:textId="7166B902" w:rsidR="008D6E32" w:rsidRPr="009A5185" w:rsidRDefault="008D6E32" w:rsidP="00887DBF">
            <w:pPr>
              <w:jc w:val="center"/>
              <w:rPr>
                <w:rFonts w:cs="Arial"/>
                <w:snapToGrid w:val="0"/>
              </w:rPr>
            </w:pPr>
            <w:r w:rsidRPr="0026670B">
              <w:rPr>
                <w:rFonts w:cs="Arial"/>
                <w:i/>
                <w:snapToGrid w:val="0"/>
              </w:rPr>
              <w:t>_____</w:t>
            </w:r>
          </w:p>
        </w:tc>
      </w:tr>
      <w:tr w:rsidR="004D19E1" w:rsidRPr="009A5185" w14:paraId="3264CEE7" w14:textId="77777777" w:rsidTr="00BE6BA0">
        <w:tc>
          <w:tcPr>
            <w:tcW w:w="6588" w:type="dxa"/>
            <w:tcBorders>
              <w:bottom w:val="single" w:sz="4" w:space="0" w:color="auto"/>
            </w:tcBorders>
            <w:vAlign w:val="center"/>
          </w:tcPr>
          <w:p w14:paraId="13F7211F" w14:textId="70320234" w:rsidR="004D19E1" w:rsidRPr="00532CF2" w:rsidRDefault="004D19E1" w:rsidP="00BE6BA0">
            <w:pPr>
              <w:numPr>
                <w:ilvl w:val="0"/>
                <w:numId w:val="1"/>
              </w:numPr>
              <w:tabs>
                <w:tab w:val="num" w:pos="450"/>
              </w:tabs>
              <w:ind w:left="450" w:hanging="450"/>
              <w:rPr>
                <w:rFonts w:cs="Arial"/>
                <w:snapToGrid w:val="0"/>
              </w:rPr>
            </w:pPr>
            <w:r w:rsidRPr="00532CF2">
              <w:rPr>
                <w:rFonts w:cs="Arial"/>
                <w:snapToGrid w:val="0"/>
              </w:rPr>
              <w:t>Does your</w:t>
            </w:r>
            <w:r w:rsidR="008A3962" w:rsidRPr="00532CF2">
              <w:rPr>
                <w:rFonts w:cs="Arial"/>
                <w:snapToGrid w:val="0"/>
              </w:rPr>
              <w:t xml:space="preserve"> hospital operate any</w:t>
            </w:r>
            <w:r w:rsidR="009E5B27">
              <w:rPr>
                <w:rFonts w:cs="Arial"/>
                <w:snapToGrid w:val="0"/>
              </w:rPr>
              <w:t xml:space="preserve"> </w:t>
            </w:r>
            <w:r w:rsidR="009E5B27">
              <w:rPr>
                <w:rFonts w:cstheme="minorHAnsi"/>
              </w:rPr>
              <w:t>adult and/or pediatric</w:t>
            </w:r>
            <w:r w:rsidR="008A3962" w:rsidRPr="00532CF2">
              <w:rPr>
                <w:rFonts w:cs="Arial"/>
                <w:snapToGrid w:val="0"/>
              </w:rPr>
              <w:t xml:space="preserve"> </w:t>
            </w:r>
            <w:hyperlink w:anchor="generalmedicalsurgicalandneuroicu" w:history="1">
              <w:r w:rsidR="00474CAF" w:rsidRPr="008D0E55">
                <w:rPr>
                  <w:rStyle w:val="Hyperlink"/>
                  <w:rFonts w:cs="Arial"/>
                  <w:snapToGrid w:val="0"/>
                </w:rPr>
                <w:t>general medical</w:t>
              </w:r>
              <w:r w:rsidR="00727147">
                <w:rPr>
                  <w:rStyle w:val="Hyperlink"/>
                  <w:rFonts w:cs="Arial"/>
                  <w:snapToGrid w:val="0"/>
                </w:rPr>
                <w:t>, surgical, medical/</w:t>
              </w:r>
              <w:r w:rsidRPr="008D0E55">
                <w:rPr>
                  <w:rStyle w:val="Hyperlink"/>
                  <w:rFonts w:cs="Arial"/>
                  <w:snapToGrid w:val="0"/>
                </w:rPr>
                <w:t>surgical</w:t>
              </w:r>
              <w:r w:rsidR="00A55E70">
                <w:rPr>
                  <w:rStyle w:val="Hyperlink"/>
                  <w:rFonts w:cs="Arial"/>
                  <w:snapToGrid w:val="0"/>
                </w:rPr>
                <w:t xml:space="preserve">, </w:t>
              </w:r>
              <w:r w:rsidR="00474CAF" w:rsidRPr="008D0E55">
                <w:rPr>
                  <w:rStyle w:val="Hyperlink"/>
                  <w:rFonts w:cs="Arial"/>
                  <w:snapToGrid w:val="0"/>
                </w:rPr>
                <w:t>or neuro</w:t>
              </w:r>
              <w:r w:rsidR="00F23F1C" w:rsidRPr="008D0E55">
                <w:rPr>
                  <w:rStyle w:val="Hyperlink"/>
                  <w:rFonts w:cs="Arial"/>
                  <w:snapToGrid w:val="0"/>
                </w:rPr>
                <w:t xml:space="preserve"> </w:t>
              </w:r>
              <w:r w:rsidRPr="008D0E55">
                <w:rPr>
                  <w:rStyle w:val="Hyperlink"/>
                  <w:rFonts w:cs="Arial"/>
                  <w:snapToGrid w:val="0"/>
                </w:rPr>
                <w:t>ICUs</w:t>
              </w:r>
            </w:hyperlink>
            <w:r w:rsidR="00BF053F">
              <w:rPr>
                <w:rFonts w:ascii="ZWAdobeF" w:hAnsi="ZWAdobeF" w:cs="ZWAdobeF"/>
                <w:sz w:val="2"/>
                <w:szCs w:val="2"/>
              </w:rPr>
              <w:t>13F</w:t>
            </w:r>
            <w:r w:rsidR="004C7557">
              <w:rPr>
                <w:rFonts w:ascii="ZWAdobeF" w:hAnsi="ZWAdobeF" w:cs="ZWAdobeF"/>
                <w:sz w:val="2"/>
                <w:szCs w:val="2"/>
              </w:rPr>
              <w:t>13F</w:t>
            </w:r>
            <w:r w:rsidR="00C2087D">
              <w:rPr>
                <w:rFonts w:ascii="ZWAdobeF" w:hAnsi="ZWAdobeF" w:cs="ZWAdobeF"/>
                <w:sz w:val="2"/>
                <w:szCs w:val="2"/>
              </w:rPr>
              <w:t>13F</w:t>
            </w:r>
            <w:r w:rsidR="00B55C41">
              <w:rPr>
                <w:rFonts w:ascii="ZWAdobeF" w:hAnsi="ZWAdobeF" w:cs="ZWAdobeF"/>
                <w:sz w:val="2"/>
                <w:szCs w:val="2"/>
              </w:rPr>
              <w:t>13F</w:t>
            </w:r>
            <w:r w:rsidR="006255A6">
              <w:rPr>
                <w:rFonts w:ascii="ZWAdobeF" w:hAnsi="ZWAdobeF" w:cs="ZWAdobeF"/>
                <w:sz w:val="2"/>
                <w:szCs w:val="2"/>
              </w:rPr>
              <w:t>13F</w:t>
            </w:r>
            <w:r w:rsidR="00E453C7">
              <w:rPr>
                <w:rFonts w:ascii="ZWAdobeF" w:hAnsi="ZWAdobeF" w:cs="ZWAdobeF"/>
                <w:sz w:val="2"/>
                <w:szCs w:val="2"/>
              </w:rPr>
              <w:t>13F</w:t>
            </w:r>
            <w:r w:rsidR="00953060">
              <w:rPr>
                <w:rFonts w:ascii="ZWAdobeF" w:hAnsi="ZWAdobeF" w:cs="ZWAdobeF"/>
                <w:sz w:val="2"/>
                <w:szCs w:val="2"/>
              </w:rPr>
              <w:t>13F</w:t>
            </w:r>
            <w:r w:rsidR="00DD04D6">
              <w:rPr>
                <w:rFonts w:ascii="ZWAdobeF" w:hAnsi="ZWAdobeF" w:cs="ZWAdobeF"/>
                <w:sz w:val="2"/>
                <w:szCs w:val="2"/>
              </w:rPr>
              <w:t>13F</w:t>
            </w:r>
            <w:r w:rsidR="003B5C29">
              <w:rPr>
                <w:rStyle w:val="EndnoteReference"/>
                <w:snapToGrid w:val="0"/>
              </w:rPr>
              <w:endnoteReference w:id="15"/>
            </w:r>
            <w:r w:rsidRPr="00532CF2">
              <w:rPr>
                <w:rFonts w:cs="Arial"/>
                <w:snapToGrid w:val="0"/>
              </w:rPr>
              <w:t>?</w:t>
            </w:r>
          </w:p>
          <w:p w14:paraId="0ABE56F1" w14:textId="77777777" w:rsidR="00DF70B3" w:rsidRPr="00532CF2" w:rsidRDefault="00DF70B3" w:rsidP="00BE6BA0">
            <w:pPr>
              <w:ind w:left="450"/>
              <w:rPr>
                <w:rFonts w:cs="Arial"/>
                <w:snapToGrid w:val="0"/>
              </w:rPr>
            </w:pPr>
          </w:p>
          <w:p w14:paraId="40170DB1" w14:textId="1F446300" w:rsidR="00611C76" w:rsidRDefault="00611C76" w:rsidP="00BE6BA0">
            <w:pPr>
              <w:ind w:left="450"/>
              <w:rPr>
                <w:rFonts w:cs="Arial"/>
                <w:i/>
                <w:snapToGrid w:val="0"/>
              </w:rPr>
            </w:pPr>
            <w:r>
              <w:rPr>
                <w:rFonts w:cs="Arial"/>
                <w:i/>
                <w:snapToGrid w:val="0"/>
              </w:rPr>
              <w:t>If “yes</w:t>
            </w:r>
            <w:r w:rsidR="001B4D03">
              <w:rPr>
                <w:rFonts w:cs="Arial"/>
                <w:i/>
                <w:snapToGrid w:val="0"/>
              </w:rPr>
              <w:t>, adult only</w:t>
            </w:r>
            <w:r>
              <w:rPr>
                <w:rFonts w:cs="Arial"/>
                <w:i/>
                <w:snapToGrid w:val="0"/>
              </w:rPr>
              <w:t>” to question #6, skip question</w:t>
            </w:r>
            <w:r w:rsidR="001B4D03">
              <w:rPr>
                <w:rFonts w:cs="Arial"/>
                <w:i/>
                <w:snapToGrid w:val="0"/>
              </w:rPr>
              <w:t>s</w:t>
            </w:r>
            <w:r>
              <w:rPr>
                <w:rFonts w:cs="Arial"/>
                <w:i/>
                <w:snapToGrid w:val="0"/>
              </w:rPr>
              <w:t xml:space="preserve"> #1</w:t>
            </w:r>
            <w:r w:rsidR="001B4D03">
              <w:rPr>
                <w:rFonts w:cs="Arial"/>
                <w:i/>
                <w:snapToGrid w:val="0"/>
              </w:rPr>
              <w:t>0-13</w:t>
            </w:r>
            <w:r>
              <w:rPr>
                <w:rFonts w:cs="Arial"/>
                <w:i/>
                <w:snapToGrid w:val="0"/>
              </w:rPr>
              <w:t xml:space="preserve"> below.</w:t>
            </w:r>
          </w:p>
          <w:p w14:paraId="118FC3E4" w14:textId="77777777" w:rsidR="00E8141D" w:rsidRDefault="00E8141D" w:rsidP="00BE6BA0">
            <w:pPr>
              <w:ind w:left="450"/>
              <w:rPr>
                <w:rFonts w:cs="Arial"/>
                <w:i/>
                <w:snapToGrid w:val="0"/>
              </w:rPr>
            </w:pPr>
          </w:p>
          <w:p w14:paraId="59FB823B" w14:textId="7FAB9756" w:rsidR="00E8141D" w:rsidRDefault="00E8141D" w:rsidP="00BE6BA0">
            <w:pPr>
              <w:ind w:left="450"/>
              <w:rPr>
                <w:rFonts w:cs="Arial"/>
                <w:i/>
                <w:snapToGrid w:val="0"/>
              </w:rPr>
            </w:pPr>
            <w:r w:rsidRPr="00090EBD">
              <w:rPr>
                <w:rFonts w:cs="Arial"/>
                <w:i/>
                <w:snapToGrid w:val="0"/>
              </w:rPr>
              <w:t>If “yes, pediatric only” to question #6, skip questions #7-9 and #13 below.</w:t>
            </w:r>
          </w:p>
          <w:p w14:paraId="341FDA90" w14:textId="77777777" w:rsidR="00E8141D" w:rsidRDefault="00E8141D" w:rsidP="00BE6BA0">
            <w:pPr>
              <w:ind w:left="450"/>
              <w:rPr>
                <w:rFonts w:cs="Arial"/>
                <w:i/>
                <w:snapToGrid w:val="0"/>
              </w:rPr>
            </w:pPr>
          </w:p>
          <w:p w14:paraId="638B332F" w14:textId="075DFB76" w:rsidR="00E8141D" w:rsidRDefault="00E8141D" w:rsidP="00BE6BA0">
            <w:pPr>
              <w:ind w:left="450"/>
              <w:rPr>
                <w:rFonts w:cs="Arial"/>
                <w:i/>
                <w:snapToGrid w:val="0"/>
              </w:rPr>
            </w:pPr>
            <w:r w:rsidRPr="00090EBD">
              <w:rPr>
                <w:rFonts w:cs="Arial"/>
                <w:i/>
                <w:snapToGrid w:val="0"/>
              </w:rPr>
              <w:t>If “yes,</w:t>
            </w:r>
            <w:r>
              <w:rPr>
                <w:rFonts w:cs="Arial"/>
                <w:i/>
                <w:snapToGrid w:val="0"/>
              </w:rPr>
              <w:t xml:space="preserve"> adult and</w:t>
            </w:r>
            <w:r w:rsidRPr="00090EBD">
              <w:rPr>
                <w:rFonts w:cs="Arial"/>
                <w:i/>
                <w:snapToGrid w:val="0"/>
              </w:rPr>
              <w:t xml:space="preserve"> pediatric” to question #6, skip question</w:t>
            </w:r>
            <w:r>
              <w:rPr>
                <w:rFonts w:cs="Arial"/>
                <w:i/>
                <w:snapToGrid w:val="0"/>
              </w:rPr>
              <w:t xml:space="preserve"> </w:t>
            </w:r>
            <w:r w:rsidRPr="00090EBD">
              <w:rPr>
                <w:rFonts w:cs="Arial"/>
                <w:i/>
                <w:snapToGrid w:val="0"/>
              </w:rPr>
              <w:t>#13 below.</w:t>
            </w:r>
          </w:p>
          <w:p w14:paraId="6FC95A42" w14:textId="77777777" w:rsidR="00611C76" w:rsidRDefault="00611C76" w:rsidP="00BE6BA0">
            <w:pPr>
              <w:ind w:left="450"/>
              <w:rPr>
                <w:rFonts w:cs="Arial"/>
                <w:i/>
                <w:snapToGrid w:val="0"/>
              </w:rPr>
            </w:pPr>
          </w:p>
          <w:p w14:paraId="431A0343" w14:textId="39C8E877" w:rsidR="00DF70B3" w:rsidRPr="00532CF2" w:rsidRDefault="00DF70B3" w:rsidP="00BE6BA0">
            <w:pPr>
              <w:ind w:left="450"/>
              <w:rPr>
                <w:rFonts w:cs="Arial"/>
                <w:i/>
                <w:snapToGrid w:val="0"/>
              </w:rPr>
            </w:pPr>
            <w:r w:rsidRPr="00532CF2">
              <w:rPr>
                <w:rFonts w:cs="Arial"/>
                <w:i/>
                <w:snapToGrid w:val="0"/>
              </w:rPr>
              <w:t>If “no” to question #6, skip questions #7-</w:t>
            </w:r>
            <w:r w:rsidR="006C6143">
              <w:rPr>
                <w:rFonts w:cs="Arial"/>
                <w:i/>
                <w:snapToGrid w:val="0"/>
              </w:rPr>
              <w:t>1</w:t>
            </w:r>
            <w:r w:rsidR="00123085">
              <w:rPr>
                <w:rFonts w:cs="Arial"/>
                <w:i/>
                <w:snapToGrid w:val="0"/>
              </w:rPr>
              <w:t>2</w:t>
            </w:r>
            <w:r w:rsidRPr="00532CF2">
              <w:rPr>
                <w:rFonts w:cs="Arial"/>
                <w:i/>
                <w:snapToGrid w:val="0"/>
              </w:rPr>
              <w:t xml:space="preserve"> and continue to question #1</w:t>
            </w:r>
            <w:r w:rsidR="00123085">
              <w:rPr>
                <w:rFonts w:cs="Arial"/>
                <w:i/>
                <w:snapToGrid w:val="0"/>
              </w:rPr>
              <w:t>3</w:t>
            </w:r>
            <w:r w:rsidRPr="00532CF2">
              <w:rPr>
                <w:rFonts w:cs="Arial"/>
                <w:i/>
                <w:snapToGrid w:val="0"/>
              </w:rPr>
              <w:t>.</w:t>
            </w:r>
          </w:p>
        </w:tc>
        <w:tc>
          <w:tcPr>
            <w:tcW w:w="2947" w:type="dxa"/>
            <w:tcBorders>
              <w:bottom w:val="single" w:sz="4" w:space="0" w:color="auto"/>
            </w:tcBorders>
            <w:vAlign w:val="center"/>
          </w:tcPr>
          <w:p w14:paraId="57FC0585" w14:textId="74046AFE" w:rsidR="004D19E1" w:rsidRDefault="004D19E1" w:rsidP="00AD309C">
            <w:pPr>
              <w:pStyle w:val="ListParagraph"/>
              <w:numPr>
                <w:ilvl w:val="0"/>
                <w:numId w:val="229"/>
              </w:numPr>
              <w:rPr>
                <w:rFonts w:cs="Arial"/>
                <w:iCs/>
                <w:snapToGrid w:val="0"/>
              </w:rPr>
            </w:pPr>
            <w:r w:rsidRPr="00A35DD6">
              <w:rPr>
                <w:rFonts w:cs="Arial"/>
                <w:iCs/>
                <w:snapToGrid w:val="0"/>
              </w:rPr>
              <w:t>Yes</w:t>
            </w:r>
            <w:r w:rsidR="001B4D03">
              <w:rPr>
                <w:rFonts w:cs="Arial"/>
                <w:iCs/>
                <w:snapToGrid w:val="0"/>
              </w:rPr>
              <w:t>, adult only</w:t>
            </w:r>
          </w:p>
          <w:p w14:paraId="367AB8BB" w14:textId="479065B3" w:rsidR="001B4D03" w:rsidRDefault="001B4D03" w:rsidP="00AD309C">
            <w:pPr>
              <w:pStyle w:val="ListParagraph"/>
              <w:numPr>
                <w:ilvl w:val="0"/>
                <w:numId w:val="229"/>
              </w:numPr>
              <w:rPr>
                <w:rFonts w:cs="Arial"/>
                <w:iCs/>
                <w:snapToGrid w:val="0"/>
              </w:rPr>
            </w:pPr>
            <w:r>
              <w:rPr>
                <w:rFonts w:cs="Arial"/>
                <w:iCs/>
                <w:snapToGrid w:val="0"/>
              </w:rPr>
              <w:t>Yes, pediatric only</w:t>
            </w:r>
          </w:p>
          <w:p w14:paraId="3780FF0D" w14:textId="5C9E5C68" w:rsidR="001B4D03" w:rsidRPr="00A35DD6" w:rsidRDefault="001B4D03" w:rsidP="00AD309C">
            <w:pPr>
              <w:pStyle w:val="ListParagraph"/>
              <w:numPr>
                <w:ilvl w:val="0"/>
                <w:numId w:val="229"/>
              </w:numPr>
              <w:rPr>
                <w:rFonts w:cs="Arial"/>
                <w:iCs/>
                <w:snapToGrid w:val="0"/>
              </w:rPr>
            </w:pPr>
            <w:r>
              <w:rPr>
                <w:rFonts w:cs="Arial"/>
                <w:iCs/>
                <w:snapToGrid w:val="0"/>
              </w:rPr>
              <w:t>Yes, adult and pediatric</w:t>
            </w:r>
          </w:p>
          <w:p w14:paraId="7A6C9388" w14:textId="77777777" w:rsidR="004D19E1" w:rsidRPr="00FA46D8" w:rsidRDefault="004D19E1" w:rsidP="00AD309C">
            <w:pPr>
              <w:pStyle w:val="ListParagraph"/>
              <w:numPr>
                <w:ilvl w:val="0"/>
                <w:numId w:val="229"/>
              </w:numPr>
              <w:rPr>
                <w:rFonts w:cs="Arial"/>
                <w:i/>
                <w:snapToGrid w:val="0"/>
              </w:rPr>
            </w:pPr>
            <w:r w:rsidRPr="00A35DD6">
              <w:rPr>
                <w:rFonts w:cs="Arial"/>
                <w:iCs/>
                <w:snapToGrid w:val="0"/>
              </w:rPr>
              <w:t>No</w:t>
            </w:r>
          </w:p>
        </w:tc>
      </w:tr>
      <w:tr w:rsidR="008D6E32" w:rsidRPr="009A5185" w14:paraId="02E5D542" w14:textId="77777777" w:rsidTr="00BE6BA0">
        <w:tc>
          <w:tcPr>
            <w:tcW w:w="6588" w:type="dxa"/>
            <w:vAlign w:val="center"/>
          </w:tcPr>
          <w:p w14:paraId="60624F8E" w14:textId="498B7715" w:rsidR="008D6E32" w:rsidRPr="00532CF2" w:rsidRDefault="008D6E32" w:rsidP="00BE6BA0">
            <w:pPr>
              <w:numPr>
                <w:ilvl w:val="0"/>
                <w:numId w:val="1"/>
              </w:numPr>
              <w:tabs>
                <w:tab w:val="num" w:pos="450"/>
              </w:tabs>
              <w:ind w:left="450" w:hanging="450"/>
              <w:rPr>
                <w:rFonts w:cs="Arial"/>
                <w:snapToGrid w:val="0"/>
              </w:rPr>
            </w:pPr>
            <w:r w:rsidRPr="00532CF2">
              <w:rPr>
                <w:rFonts w:cs="Arial"/>
                <w:snapToGrid w:val="0"/>
              </w:rPr>
              <w:t>Total number of</w:t>
            </w:r>
            <w:r w:rsidR="000568FE">
              <w:rPr>
                <w:rFonts w:cstheme="minorHAnsi"/>
              </w:rPr>
              <w:t xml:space="preserve"> </w:t>
            </w:r>
            <w:hyperlink w:anchor="Endnote12_LICU" w:history="1">
              <w:hyperlink w:anchor="licensedICUBed" w:history="1">
                <w:r w:rsidR="00ED05B4">
                  <w:rPr>
                    <w:rStyle w:val="Hyperlink"/>
                    <w:rFonts w:cs="Arial"/>
                    <w:snapToGrid w:val="0"/>
                  </w:rPr>
                  <w:t>licensed</w:t>
                </w:r>
              </w:hyperlink>
              <w:r w:rsidR="007541D0">
                <w:rPr>
                  <w:rStyle w:val="Hyperlink"/>
                  <w:rFonts w:ascii="ZWAdobeF" w:hAnsi="ZWAdobeF" w:cs="ZWAdobeF"/>
                  <w:snapToGrid w:val="0"/>
                  <w:color w:val="auto"/>
                  <w:sz w:val="2"/>
                  <w:szCs w:val="2"/>
                  <w:u w:val="none"/>
                </w:rPr>
                <w:t>12F</w:t>
              </w:r>
              <w:r w:rsidR="00BF053F">
                <w:rPr>
                  <w:rStyle w:val="Hyperlink"/>
                  <w:rFonts w:ascii="ZWAdobeF" w:hAnsi="ZWAdobeF" w:cs="ZWAdobeF"/>
                  <w:snapToGrid w:val="0"/>
                  <w:color w:val="auto"/>
                  <w:sz w:val="2"/>
                  <w:szCs w:val="2"/>
                  <w:u w:val="none"/>
                </w:rPr>
                <w:t>14F</w:t>
              </w:r>
              <w:r w:rsidR="004C7557">
                <w:rPr>
                  <w:rStyle w:val="Hyperlink"/>
                  <w:rFonts w:ascii="ZWAdobeF" w:hAnsi="ZWAdobeF" w:cs="ZWAdobeF"/>
                  <w:snapToGrid w:val="0"/>
                  <w:color w:val="auto"/>
                  <w:sz w:val="2"/>
                  <w:szCs w:val="2"/>
                  <w:u w:val="none"/>
                </w:rPr>
                <w:t>14F</w:t>
              </w:r>
              <w:r w:rsidR="00C2087D">
                <w:rPr>
                  <w:rStyle w:val="Hyperlink"/>
                  <w:rFonts w:ascii="ZWAdobeF" w:hAnsi="ZWAdobeF" w:cs="ZWAdobeF"/>
                  <w:snapToGrid w:val="0"/>
                  <w:color w:val="auto"/>
                  <w:sz w:val="2"/>
                  <w:szCs w:val="2"/>
                  <w:u w:val="none"/>
                </w:rPr>
                <w:t>14F</w:t>
              </w:r>
              <w:r w:rsidR="00B55C41">
                <w:rPr>
                  <w:rStyle w:val="Hyperlink"/>
                  <w:rFonts w:ascii="ZWAdobeF" w:hAnsi="ZWAdobeF" w:cs="ZWAdobeF"/>
                  <w:snapToGrid w:val="0"/>
                  <w:color w:val="auto"/>
                  <w:sz w:val="2"/>
                  <w:szCs w:val="2"/>
                  <w:u w:val="none"/>
                </w:rPr>
                <w:t>14F</w:t>
              </w:r>
              <w:r w:rsidR="006255A6">
                <w:rPr>
                  <w:rStyle w:val="Hyperlink"/>
                  <w:rFonts w:ascii="ZWAdobeF" w:hAnsi="ZWAdobeF" w:cs="ZWAdobeF"/>
                  <w:snapToGrid w:val="0"/>
                  <w:color w:val="auto"/>
                  <w:sz w:val="2"/>
                  <w:szCs w:val="2"/>
                  <w:u w:val="none"/>
                </w:rPr>
                <w:t>14F</w:t>
              </w:r>
              <w:r w:rsidR="00E453C7">
                <w:rPr>
                  <w:rStyle w:val="Hyperlink"/>
                  <w:rFonts w:ascii="ZWAdobeF" w:hAnsi="ZWAdobeF" w:cs="ZWAdobeF"/>
                  <w:snapToGrid w:val="0"/>
                  <w:color w:val="auto"/>
                  <w:sz w:val="2"/>
                  <w:szCs w:val="2"/>
                  <w:u w:val="none"/>
                </w:rPr>
                <w:t>14F</w:t>
              </w:r>
              <w:r w:rsidR="00953060">
                <w:rPr>
                  <w:rStyle w:val="Hyperlink"/>
                  <w:rFonts w:ascii="ZWAdobeF" w:hAnsi="ZWAdobeF" w:cs="ZWAdobeF"/>
                  <w:snapToGrid w:val="0"/>
                  <w:color w:val="auto"/>
                  <w:sz w:val="2"/>
                  <w:szCs w:val="2"/>
                  <w:u w:val="none"/>
                </w:rPr>
                <w:t>14F</w:t>
              </w:r>
              <w:r w:rsidR="00DD04D6">
                <w:rPr>
                  <w:rStyle w:val="Hyperlink"/>
                  <w:rFonts w:ascii="ZWAdobeF" w:hAnsi="ZWAdobeF" w:cs="ZWAdobeF"/>
                  <w:snapToGrid w:val="0"/>
                  <w:color w:val="auto"/>
                  <w:sz w:val="2"/>
                  <w:szCs w:val="2"/>
                  <w:u w:val="none"/>
                </w:rPr>
                <w:t>14F</w:t>
              </w:r>
              <w:r w:rsidR="007541D0" w:rsidRPr="00532CF2">
                <w:rPr>
                  <w:rStyle w:val="EndnoteReference"/>
                  <w:rFonts w:cs="Arial"/>
                  <w:snapToGrid w:val="0"/>
                </w:rPr>
                <w:endnoteReference w:id="16"/>
              </w:r>
            </w:hyperlink>
            <w:r w:rsidR="00ED05B4">
              <w:rPr>
                <w:rFonts w:cstheme="minorHAnsi"/>
              </w:rPr>
              <w:t xml:space="preserve"> </w:t>
            </w:r>
            <w:r w:rsidR="000568FE">
              <w:rPr>
                <w:rFonts w:cstheme="minorHAnsi"/>
              </w:rPr>
              <w:t xml:space="preserve">adult </w:t>
            </w:r>
            <w:r w:rsidR="00C1112A">
              <w:rPr>
                <w:rFonts w:cs="Arial"/>
                <w:snapToGrid w:val="0"/>
              </w:rPr>
              <w:t>general medical, surgical, medical/surgical, and neuro</w:t>
            </w:r>
            <w:r w:rsidR="00F51CA9">
              <w:t xml:space="preserve"> ICU</w:t>
            </w:r>
            <w:r w:rsidR="000F0582">
              <w:rPr>
                <w:rStyle w:val="Hyperlink"/>
                <w:rFonts w:ascii="ZWAdobeF" w:hAnsi="ZWAdobeF" w:cs="ZWAdobeF"/>
                <w:snapToGrid w:val="0"/>
                <w:color w:val="auto"/>
                <w:sz w:val="2"/>
                <w:szCs w:val="2"/>
                <w:u w:val="none"/>
              </w:rPr>
              <w:t>2F</w:t>
            </w:r>
            <w:r w:rsidRPr="00532CF2">
              <w:rPr>
                <w:rFonts w:cs="Arial"/>
                <w:snapToGrid w:val="0"/>
              </w:rPr>
              <w:t xml:space="preserve"> </w:t>
            </w:r>
            <w:r w:rsidR="008323BA">
              <w:rPr>
                <w:rFonts w:cs="Arial"/>
                <w:snapToGrid w:val="0"/>
              </w:rPr>
              <w:t>beds.</w:t>
            </w:r>
          </w:p>
        </w:tc>
        <w:tc>
          <w:tcPr>
            <w:tcW w:w="2947" w:type="dxa"/>
            <w:vAlign w:val="center"/>
          </w:tcPr>
          <w:p w14:paraId="3AC3C192" w14:textId="37A1D12F" w:rsidR="008D6E32" w:rsidRPr="009A5185" w:rsidRDefault="008D6E32" w:rsidP="00887DBF">
            <w:pPr>
              <w:jc w:val="center"/>
              <w:rPr>
                <w:rFonts w:cs="Arial"/>
                <w:snapToGrid w:val="0"/>
              </w:rPr>
            </w:pPr>
            <w:r w:rsidRPr="00361DD5">
              <w:rPr>
                <w:rFonts w:cs="Arial"/>
                <w:i/>
                <w:snapToGrid w:val="0"/>
              </w:rPr>
              <w:t>_____</w:t>
            </w:r>
          </w:p>
        </w:tc>
      </w:tr>
      <w:tr w:rsidR="008D6E32" w:rsidRPr="009A5185" w14:paraId="17EA1AC6" w14:textId="77777777" w:rsidTr="00BE6BA0">
        <w:tc>
          <w:tcPr>
            <w:tcW w:w="6588" w:type="dxa"/>
            <w:vAlign w:val="center"/>
          </w:tcPr>
          <w:p w14:paraId="463308F0" w14:textId="06643394" w:rsidR="008D6E32" w:rsidRPr="00532CF2" w:rsidRDefault="008D6E32" w:rsidP="00BE6BA0">
            <w:pPr>
              <w:numPr>
                <w:ilvl w:val="0"/>
                <w:numId w:val="1"/>
              </w:numPr>
              <w:tabs>
                <w:tab w:val="num" w:pos="450"/>
              </w:tabs>
              <w:ind w:left="450" w:hanging="450"/>
              <w:rPr>
                <w:rFonts w:cs="Arial"/>
                <w:snapToGrid w:val="0"/>
              </w:rPr>
            </w:pPr>
            <w:r w:rsidRPr="00532CF2">
              <w:rPr>
                <w:rFonts w:cs="Arial"/>
                <w:snapToGrid w:val="0"/>
              </w:rPr>
              <w:t xml:space="preserve">Total number of </w:t>
            </w:r>
            <w:hyperlink w:anchor="staffedicubed" w:history="1">
              <w:r w:rsidR="008B7D82" w:rsidRPr="0030504F">
                <w:rPr>
                  <w:rStyle w:val="Hyperlink"/>
                  <w:rFonts w:cs="Arial"/>
                  <w:snapToGrid w:val="0"/>
                </w:rPr>
                <w:t>staffed</w:t>
              </w:r>
            </w:hyperlink>
            <w:r w:rsidR="00BF053F">
              <w:rPr>
                <w:rFonts w:ascii="ZWAdobeF" w:hAnsi="ZWAdobeF" w:cs="ZWAdobeF"/>
                <w:sz w:val="2"/>
                <w:szCs w:val="2"/>
              </w:rPr>
              <w:t>15F</w:t>
            </w:r>
            <w:r w:rsidR="004C7557">
              <w:rPr>
                <w:rFonts w:ascii="ZWAdobeF" w:hAnsi="ZWAdobeF" w:cs="ZWAdobeF"/>
                <w:sz w:val="2"/>
                <w:szCs w:val="2"/>
              </w:rPr>
              <w:t>15F</w:t>
            </w:r>
            <w:r w:rsidR="00C2087D">
              <w:rPr>
                <w:rFonts w:ascii="ZWAdobeF" w:hAnsi="ZWAdobeF" w:cs="ZWAdobeF"/>
                <w:sz w:val="2"/>
                <w:szCs w:val="2"/>
              </w:rPr>
              <w:t>15F</w:t>
            </w:r>
            <w:r w:rsidR="00B55C41">
              <w:rPr>
                <w:rFonts w:ascii="ZWAdobeF" w:hAnsi="ZWAdobeF" w:cs="ZWAdobeF"/>
                <w:sz w:val="2"/>
                <w:szCs w:val="2"/>
              </w:rPr>
              <w:t>15F</w:t>
            </w:r>
            <w:r w:rsidR="006255A6">
              <w:rPr>
                <w:rFonts w:ascii="ZWAdobeF" w:hAnsi="ZWAdobeF" w:cs="ZWAdobeF"/>
                <w:sz w:val="2"/>
                <w:szCs w:val="2"/>
              </w:rPr>
              <w:t>15F</w:t>
            </w:r>
            <w:r w:rsidR="00E453C7">
              <w:rPr>
                <w:rFonts w:ascii="ZWAdobeF" w:hAnsi="ZWAdobeF" w:cs="ZWAdobeF"/>
                <w:sz w:val="2"/>
                <w:szCs w:val="2"/>
              </w:rPr>
              <w:t>15F</w:t>
            </w:r>
            <w:r w:rsidR="00953060">
              <w:rPr>
                <w:rFonts w:ascii="ZWAdobeF" w:hAnsi="ZWAdobeF" w:cs="ZWAdobeF"/>
                <w:sz w:val="2"/>
                <w:szCs w:val="2"/>
              </w:rPr>
              <w:t>15F</w:t>
            </w:r>
            <w:r w:rsidR="00DD04D6">
              <w:rPr>
                <w:rFonts w:ascii="ZWAdobeF" w:hAnsi="ZWAdobeF" w:cs="ZWAdobeF"/>
                <w:sz w:val="2"/>
                <w:szCs w:val="2"/>
              </w:rPr>
              <w:t>15F</w:t>
            </w:r>
            <w:r w:rsidR="008B7D82">
              <w:rPr>
                <w:rStyle w:val="EndnoteReference"/>
                <w:snapToGrid w:val="0"/>
              </w:rPr>
              <w:endnoteReference w:id="17"/>
            </w:r>
            <w:r w:rsidR="008B7D82">
              <w:rPr>
                <w:rFonts w:cs="Arial"/>
                <w:snapToGrid w:val="0"/>
              </w:rPr>
              <w:t xml:space="preserve"> </w:t>
            </w:r>
            <w:r w:rsidR="00DF2595">
              <w:rPr>
                <w:rFonts w:cs="Arial"/>
                <w:snapToGrid w:val="0"/>
              </w:rPr>
              <w:t>adult general medical, surgical, medical/surgical, and neuro</w:t>
            </w:r>
            <w:r w:rsidR="000B5B27">
              <w:rPr>
                <w:rFonts w:cs="Arial"/>
                <w:snapToGrid w:val="0"/>
              </w:rPr>
              <w:t xml:space="preserve"> ICU</w:t>
            </w:r>
            <w:r w:rsidR="000F0582">
              <w:rPr>
                <w:rStyle w:val="Hyperlink"/>
                <w:rFonts w:ascii="ZWAdobeF" w:hAnsi="ZWAdobeF" w:cs="ZWAdobeF"/>
                <w:snapToGrid w:val="0"/>
                <w:color w:val="auto"/>
                <w:sz w:val="2"/>
                <w:szCs w:val="2"/>
                <w:u w:val="none"/>
              </w:rPr>
              <w:t>13F</w:t>
            </w:r>
            <w:r w:rsidRPr="00532CF2">
              <w:rPr>
                <w:rFonts w:cs="Arial"/>
                <w:snapToGrid w:val="0"/>
              </w:rPr>
              <w:t xml:space="preserve"> beds.</w:t>
            </w:r>
          </w:p>
        </w:tc>
        <w:tc>
          <w:tcPr>
            <w:tcW w:w="2947" w:type="dxa"/>
            <w:vAlign w:val="center"/>
          </w:tcPr>
          <w:p w14:paraId="7C565AE6" w14:textId="77A1E670" w:rsidR="008D6E32" w:rsidRPr="009A5185" w:rsidRDefault="008D6E32" w:rsidP="00887DBF">
            <w:pPr>
              <w:jc w:val="center"/>
              <w:rPr>
                <w:rFonts w:cs="Arial"/>
                <w:snapToGrid w:val="0"/>
              </w:rPr>
            </w:pPr>
            <w:r w:rsidRPr="00361DD5">
              <w:rPr>
                <w:rFonts w:cs="Arial"/>
                <w:i/>
                <w:snapToGrid w:val="0"/>
              </w:rPr>
              <w:t>_____</w:t>
            </w:r>
          </w:p>
        </w:tc>
      </w:tr>
      <w:tr w:rsidR="008D6E32" w:rsidRPr="009A5185" w14:paraId="7C31827B" w14:textId="77777777" w:rsidTr="00BE6BA0">
        <w:tc>
          <w:tcPr>
            <w:tcW w:w="6588" w:type="dxa"/>
            <w:vAlign w:val="center"/>
          </w:tcPr>
          <w:p w14:paraId="0B11E318" w14:textId="5446850D" w:rsidR="008D6E32" w:rsidRPr="00532CF2" w:rsidRDefault="008D6E32" w:rsidP="00BE6BA0">
            <w:pPr>
              <w:numPr>
                <w:ilvl w:val="0"/>
                <w:numId w:val="1"/>
              </w:numPr>
              <w:tabs>
                <w:tab w:val="num" w:pos="450"/>
              </w:tabs>
              <w:ind w:left="450" w:hanging="450"/>
              <w:rPr>
                <w:rFonts w:cs="Arial"/>
                <w:snapToGrid w:val="0"/>
              </w:rPr>
            </w:pPr>
            <w:r w:rsidRPr="00532CF2">
              <w:rPr>
                <w:rFonts w:cs="Arial"/>
                <w:snapToGrid w:val="0"/>
              </w:rPr>
              <w:t>Total number of</w:t>
            </w:r>
            <w:r w:rsidR="00AC0136">
              <w:rPr>
                <w:rFonts w:cs="Arial"/>
                <w:snapToGrid w:val="0"/>
              </w:rPr>
              <w:t xml:space="preserve"> adult </w:t>
            </w:r>
            <w:hyperlink w:anchor="generalmedicalsurgicalandneuroicu" w:history="1">
              <w:r w:rsidR="000A5A55" w:rsidRPr="008D0E55">
                <w:rPr>
                  <w:rStyle w:val="Hyperlink"/>
                  <w:rFonts w:cs="Arial"/>
                  <w:snapToGrid w:val="0"/>
                </w:rPr>
                <w:t>general medical</w:t>
              </w:r>
              <w:r w:rsidR="000A5A55">
                <w:rPr>
                  <w:rStyle w:val="Hyperlink"/>
                  <w:rFonts w:cs="Arial"/>
                  <w:snapToGrid w:val="0"/>
                </w:rPr>
                <w:t>, surgical, medical/</w:t>
              </w:r>
              <w:r w:rsidR="000A5A55" w:rsidRPr="008D0E55">
                <w:rPr>
                  <w:rStyle w:val="Hyperlink"/>
                  <w:rFonts w:cs="Arial"/>
                  <w:snapToGrid w:val="0"/>
                </w:rPr>
                <w:t>surgical</w:t>
              </w:r>
              <w:r w:rsidR="000A5A55">
                <w:rPr>
                  <w:rStyle w:val="Hyperlink"/>
                  <w:rFonts w:cs="Arial"/>
                  <w:snapToGrid w:val="0"/>
                </w:rPr>
                <w:t>,</w:t>
              </w:r>
              <w:r w:rsidR="000A5A55" w:rsidRPr="008D0E55">
                <w:rPr>
                  <w:rStyle w:val="Hyperlink"/>
                  <w:rFonts w:cs="Arial"/>
                  <w:snapToGrid w:val="0"/>
                </w:rPr>
                <w:t xml:space="preserve"> </w:t>
              </w:r>
              <w:r w:rsidR="00F25E8F">
                <w:rPr>
                  <w:rStyle w:val="Hyperlink"/>
                  <w:rFonts w:cs="Arial"/>
                  <w:snapToGrid w:val="0"/>
                </w:rPr>
                <w:t xml:space="preserve">and </w:t>
              </w:r>
              <w:r w:rsidR="000A5A55" w:rsidRPr="008D0E55">
                <w:rPr>
                  <w:rStyle w:val="Hyperlink"/>
                  <w:rFonts w:cs="Arial"/>
                  <w:snapToGrid w:val="0"/>
                </w:rPr>
                <w:t>neuro ICU</w:t>
              </w:r>
            </w:hyperlink>
            <w:r w:rsidR="000A5A55" w:rsidRPr="000A5A55">
              <w:rPr>
                <w:snapToGrid w:val="0"/>
                <w:vertAlign w:val="superscript"/>
              </w:rPr>
              <w:t>14</w:t>
            </w:r>
            <w:r w:rsidR="005567C9">
              <w:rPr>
                <w:rFonts w:cs="Arial"/>
                <w:snapToGrid w:val="0"/>
              </w:rPr>
              <w:t xml:space="preserve"> </w:t>
            </w:r>
            <w:r w:rsidR="002563D2">
              <w:rPr>
                <w:rFonts w:cs="Arial"/>
                <w:snapToGrid w:val="0"/>
              </w:rPr>
              <w:t>admissions</w:t>
            </w:r>
            <w:r w:rsidR="00FA5BC0">
              <w:rPr>
                <w:rFonts w:cs="Arial"/>
                <w:snapToGrid w:val="0"/>
              </w:rPr>
              <w:t xml:space="preserve"> during the reporting period. </w:t>
            </w:r>
            <w:r w:rsidR="008A7792">
              <w:rPr>
                <w:rFonts w:cs="Arial"/>
                <w:snapToGrid w:val="0"/>
              </w:rPr>
              <w:t xml:space="preserve"> </w:t>
            </w:r>
          </w:p>
        </w:tc>
        <w:tc>
          <w:tcPr>
            <w:tcW w:w="2947" w:type="dxa"/>
            <w:vAlign w:val="center"/>
          </w:tcPr>
          <w:p w14:paraId="1BED5DBB" w14:textId="6F01018E" w:rsidR="008D6E32" w:rsidRPr="009A5185" w:rsidRDefault="008D6E32" w:rsidP="00887DBF">
            <w:pPr>
              <w:jc w:val="center"/>
              <w:rPr>
                <w:rFonts w:cs="Arial"/>
                <w:snapToGrid w:val="0"/>
              </w:rPr>
            </w:pPr>
            <w:r w:rsidRPr="00361DD5">
              <w:rPr>
                <w:rFonts w:cs="Arial"/>
                <w:i/>
                <w:snapToGrid w:val="0"/>
              </w:rPr>
              <w:t>_____</w:t>
            </w:r>
          </w:p>
        </w:tc>
      </w:tr>
      <w:tr w:rsidR="004019EB" w:rsidRPr="009A5185" w14:paraId="0E8DA64C" w14:textId="77777777" w:rsidTr="00BE6BA0">
        <w:tc>
          <w:tcPr>
            <w:tcW w:w="6588" w:type="dxa"/>
            <w:vAlign w:val="center"/>
          </w:tcPr>
          <w:p w14:paraId="6181C632" w14:textId="296CAB31" w:rsidR="004019EB" w:rsidRPr="00532CF2" w:rsidRDefault="00404EE6" w:rsidP="00BE6BA0">
            <w:pPr>
              <w:numPr>
                <w:ilvl w:val="0"/>
                <w:numId w:val="1"/>
              </w:numPr>
              <w:tabs>
                <w:tab w:val="num" w:pos="450"/>
              </w:tabs>
              <w:ind w:left="450" w:hanging="450"/>
              <w:rPr>
                <w:rFonts w:cs="Arial"/>
                <w:snapToGrid w:val="0"/>
              </w:rPr>
            </w:pPr>
            <w:r w:rsidRPr="003B4181">
              <w:rPr>
                <w:rFonts w:cs="Arial"/>
                <w:snapToGrid w:val="0"/>
              </w:rPr>
              <w:t xml:space="preserve">Total number of </w:t>
            </w:r>
            <w:hyperlink w:anchor="licensedICUBed" w:history="1">
              <w:r w:rsidRPr="009338D6">
                <w:rPr>
                  <w:rStyle w:val="Hyperlink"/>
                  <w:rFonts w:cs="Arial"/>
                  <w:snapToGrid w:val="0"/>
                </w:rPr>
                <w:t>licensed</w:t>
              </w:r>
            </w:hyperlink>
            <w:r w:rsidRPr="00FB5CD9">
              <w:rPr>
                <w:rFonts w:cs="Arial"/>
                <w:snapToGrid w:val="0"/>
                <w:vertAlign w:val="superscript"/>
              </w:rPr>
              <w:t>15</w:t>
            </w:r>
            <w:r>
              <w:rPr>
                <w:rFonts w:cs="Arial"/>
                <w:snapToGrid w:val="0"/>
              </w:rPr>
              <w:t xml:space="preserve"> pediatric</w:t>
            </w:r>
            <w:r w:rsidRPr="003B4181">
              <w:rPr>
                <w:rFonts w:cs="Arial"/>
                <w:snapToGrid w:val="0"/>
              </w:rPr>
              <w:t xml:space="preserve"> general medical, surgical, medical/surgical, and neuro ICU beds.</w:t>
            </w:r>
          </w:p>
        </w:tc>
        <w:tc>
          <w:tcPr>
            <w:tcW w:w="2947" w:type="dxa"/>
            <w:vAlign w:val="center"/>
          </w:tcPr>
          <w:p w14:paraId="4A9D45DA" w14:textId="77777777" w:rsidR="004019EB" w:rsidRPr="00361DD5" w:rsidRDefault="004019EB" w:rsidP="00887DBF">
            <w:pPr>
              <w:jc w:val="center"/>
              <w:rPr>
                <w:rFonts w:cs="Arial"/>
                <w:i/>
                <w:snapToGrid w:val="0"/>
              </w:rPr>
            </w:pPr>
          </w:p>
        </w:tc>
      </w:tr>
      <w:tr w:rsidR="004019EB" w:rsidRPr="009A5185" w14:paraId="1557259A" w14:textId="77777777" w:rsidTr="00BE6BA0">
        <w:tc>
          <w:tcPr>
            <w:tcW w:w="6588" w:type="dxa"/>
            <w:vAlign w:val="center"/>
          </w:tcPr>
          <w:p w14:paraId="1AF7D014" w14:textId="06F1FB01" w:rsidR="004019EB" w:rsidRPr="00532CF2" w:rsidRDefault="004E2CAC" w:rsidP="00BE6BA0">
            <w:pPr>
              <w:numPr>
                <w:ilvl w:val="0"/>
                <w:numId w:val="1"/>
              </w:numPr>
              <w:tabs>
                <w:tab w:val="num" w:pos="450"/>
              </w:tabs>
              <w:ind w:left="450" w:hanging="450"/>
              <w:rPr>
                <w:rFonts w:cs="Arial"/>
                <w:snapToGrid w:val="0"/>
              </w:rPr>
            </w:pPr>
            <w:r w:rsidRPr="002F0244">
              <w:rPr>
                <w:rFonts w:cs="Arial"/>
                <w:snapToGrid w:val="0"/>
              </w:rPr>
              <w:t xml:space="preserve">Total number of </w:t>
            </w:r>
            <w:hyperlink w:anchor="staffedicubed" w:history="1">
              <w:r w:rsidRPr="00FB5CD9">
                <w:rPr>
                  <w:rStyle w:val="Hyperlink"/>
                  <w:rFonts w:cs="Arial"/>
                  <w:snapToGrid w:val="0"/>
                </w:rPr>
                <w:t>staffed</w:t>
              </w:r>
            </w:hyperlink>
            <w:r w:rsidR="00FB5CD9" w:rsidRPr="00FB5CD9">
              <w:rPr>
                <w:rFonts w:cs="Arial"/>
                <w:snapToGrid w:val="0"/>
                <w:vertAlign w:val="superscript"/>
              </w:rPr>
              <w:t>16</w:t>
            </w:r>
            <w:r w:rsidRPr="00FB5CD9">
              <w:rPr>
                <w:rFonts w:cs="Arial"/>
                <w:snapToGrid w:val="0"/>
                <w:vertAlign w:val="superscript"/>
              </w:rPr>
              <w:t xml:space="preserve"> </w:t>
            </w:r>
            <w:r w:rsidRPr="002F0244">
              <w:rPr>
                <w:rFonts w:cs="Arial"/>
                <w:snapToGrid w:val="0"/>
              </w:rPr>
              <w:t>pediatric general medical, surgical, medical/surgical, and neuro ICU beds.</w:t>
            </w:r>
          </w:p>
        </w:tc>
        <w:tc>
          <w:tcPr>
            <w:tcW w:w="2947" w:type="dxa"/>
            <w:vAlign w:val="center"/>
          </w:tcPr>
          <w:p w14:paraId="2FF64238" w14:textId="77777777" w:rsidR="004019EB" w:rsidRPr="00361DD5" w:rsidRDefault="004019EB" w:rsidP="00887DBF">
            <w:pPr>
              <w:jc w:val="center"/>
              <w:rPr>
                <w:rFonts w:cs="Arial"/>
                <w:i/>
                <w:snapToGrid w:val="0"/>
              </w:rPr>
            </w:pPr>
          </w:p>
        </w:tc>
      </w:tr>
      <w:tr w:rsidR="00C46BFD" w:rsidRPr="009A5185" w14:paraId="09D8BC92" w14:textId="77777777" w:rsidTr="00BE6BA0">
        <w:tc>
          <w:tcPr>
            <w:tcW w:w="6588" w:type="dxa"/>
            <w:vAlign w:val="center"/>
          </w:tcPr>
          <w:p w14:paraId="7C4F6505" w14:textId="69F62EE7" w:rsidR="00C46BFD" w:rsidRPr="00532CF2" w:rsidRDefault="00B81CB1" w:rsidP="00BE6BA0">
            <w:pPr>
              <w:numPr>
                <w:ilvl w:val="0"/>
                <w:numId w:val="1"/>
              </w:numPr>
              <w:tabs>
                <w:tab w:val="num" w:pos="450"/>
              </w:tabs>
              <w:ind w:left="450" w:hanging="450"/>
              <w:rPr>
                <w:rFonts w:cs="Arial"/>
                <w:snapToGrid w:val="0"/>
              </w:rPr>
            </w:pPr>
            <w:r>
              <w:rPr>
                <w:rFonts w:cs="Arial"/>
                <w:snapToGrid w:val="0"/>
              </w:rPr>
              <w:lastRenderedPageBreak/>
              <w:t>Total number of</w:t>
            </w:r>
            <w:r w:rsidR="00D211D5">
              <w:rPr>
                <w:rFonts w:cs="Arial"/>
                <w:snapToGrid w:val="0"/>
              </w:rPr>
              <w:t xml:space="preserve"> pediatric</w:t>
            </w:r>
            <w:r>
              <w:rPr>
                <w:rFonts w:cs="Arial"/>
                <w:snapToGrid w:val="0"/>
              </w:rPr>
              <w:t xml:space="preserve"> </w:t>
            </w:r>
            <w:hyperlink w:anchor="generalmedicalsurgicalandneuroicu" w:history="1">
              <w:r w:rsidR="00692118" w:rsidRPr="008D0E55">
                <w:rPr>
                  <w:rStyle w:val="Hyperlink"/>
                  <w:rFonts w:cs="Arial"/>
                  <w:snapToGrid w:val="0"/>
                </w:rPr>
                <w:t>general medical</w:t>
              </w:r>
              <w:r w:rsidR="00692118">
                <w:rPr>
                  <w:rStyle w:val="Hyperlink"/>
                  <w:rFonts w:cs="Arial"/>
                  <w:snapToGrid w:val="0"/>
                </w:rPr>
                <w:t>, surgical, medical/</w:t>
              </w:r>
              <w:r w:rsidR="00692118" w:rsidRPr="008D0E55">
                <w:rPr>
                  <w:rStyle w:val="Hyperlink"/>
                  <w:rFonts w:cs="Arial"/>
                  <w:snapToGrid w:val="0"/>
                </w:rPr>
                <w:t>surgical</w:t>
              </w:r>
              <w:r w:rsidR="00692118">
                <w:rPr>
                  <w:rStyle w:val="Hyperlink"/>
                  <w:rFonts w:cs="Arial"/>
                  <w:snapToGrid w:val="0"/>
                </w:rPr>
                <w:t>,</w:t>
              </w:r>
              <w:r w:rsidR="00692118" w:rsidRPr="008D0E55">
                <w:rPr>
                  <w:rStyle w:val="Hyperlink"/>
                  <w:rFonts w:cs="Arial"/>
                  <w:snapToGrid w:val="0"/>
                </w:rPr>
                <w:t xml:space="preserve"> </w:t>
              </w:r>
              <w:r w:rsidR="00692118">
                <w:rPr>
                  <w:rStyle w:val="Hyperlink"/>
                  <w:rFonts w:cs="Arial"/>
                  <w:snapToGrid w:val="0"/>
                </w:rPr>
                <w:t xml:space="preserve">and </w:t>
              </w:r>
              <w:r w:rsidR="00692118" w:rsidRPr="008D0E55">
                <w:rPr>
                  <w:rStyle w:val="Hyperlink"/>
                  <w:rFonts w:cs="Arial"/>
                  <w:snapToGrid w:val="0"/>
                </w:rPr>
                <w:t>neuro ICU</w:t>
              </w:r>
            </w:hyperlink>
            <w:r w:rsidR="00692118" w:rsidRPr="000A5A55">
              <w:rPr>
                <w:snapToGrid w:val="0"/>
                <w:vertAlign w:val="superscript"/>
              </w:rPr>
              <w:t>14</w:t>
            </w:r>
            <w:r w:rsidR="00692118">
              <w:rPr>
                <w:rFonts w:cs="Arial"/>
                <w:snapToGrid w:val="0"/>
              </w:rPr>
              <w:t xml:space="preserve"> </w:t>
            </w:r>
            <w:r w:rsidR="00D440DF">
              <w:rPr>
                <w:rFonts w:cs="Arial"/>
                <w:snapToGrid w:val="0"/>
              </w:rPr>
              <w:t>admissions</w:t>
            </w:r>
            <w:r w:rsidR="00E01FD0">
              <w:rPr>
                <w:rFonts w:cs="Arial"/>
                <w:snapToGrid w:val="0"/>
                <w:vertAlign w:val="superscript"/>
              </w:rPr>
              <w:t xml:space="preserve"> </w:t>
            </w:r>
            <w:r>
              <w:rPr>
                <w:rFonts w:cs="Arial"/>
                <w:snapToGrid w:val="0"/>
              </w:rPr>
              <w:t xml:space="preserve">during the reporting period. </w:t>
            </w:r>
          </w:p>
        </w:tc>
        <w:tc>
          <w:tcPr>
            <w:tcW w:w="2947" w:type="dxa"/>
            <w:vAlign w:val="center"/>
          </w:tcPr>
          <w:p w14:paraId="0CE35FA4" w14:textId="77777777" w:rsidR="00C46BFD" w:rsidRPr="00361DD5" w:rsidRDefault="00C46BFD" w:rsidP="00887DBF">
            <w:pPr>
              <w:jc w:val="center"/>
              <w:rPr>
                <w:rFonts w:cs="Arial"/>
                <w:i/>
                <w:snapToGrid w:val="0"/>
              </w:rPr>
            </w:pPr>
          </w:p>
        </w:tc>
      </w:tr>
      <w:tr w:rsidR="006A2A3B" w:rsidRPr="009A5185" w14:paraId="29C4CCDC" w14:textId="77777777" w:rsidTr="00BE6BA0">
        <w:tc>
          <w:tcPr>
            <w:tcW w:w="6588" w:type="dxa"/>
            <w:vAlign w:val="center"/>
          </w:tcPr>
          <w:p w14:paraId="0EB1BA51" w14:textId="293929A1" w:rsidR="006A2A3B" w:rsidRDefault="006A2A3B" w:rsidP="006A2A3B">
            <w:pPr>
              <w:numPr>
                <w:ilvl w:val="0"/>
                <w:numId w:val="1"/>
              </w:numPr>
              <w:tabs>
                <w:tab w:val="num" w:pos="450"/>
              </w:tabs>
              <w:ind w:left="450" w:hanging="450"/>
              <w:rPr>
                <w:rFonts w:cs="Arial"/>
                <w:snapToGrid w:val="0"/>
              </w:rPr>
            </w:pPr>
            <w:r>
              <w:rPr>
                <w:rFonts w:cs="Arial"/>
                <w:snapToGrid w:val="0"/>
              </w:rPr>
              <w:t xml:space="preserve">If your hospital does not </w:t>
            </w:r>
            <w:r w:rsidR="00826804">
              <w:rPr>
                <w:rFonts w:cs="Arial"/>
                <w:snapToGrid w:val="0"/>
              </w:rPr>
              <w:t xml:space="preserve">operate </w:t>
            </w:r>
            <w:r>
              <w:rPr>
                <w:rFonts w:cs="Arial"/>
                <w:snapToGrid w:val="0"/>
              </w:rPr>
              <w:t xml:space="preserve">dedicated </w:t>
            </w:r>
            <w:r w:rsidR="00CD0F19">
              <w:rPr>
                <w:rFonts w:cs="Arial"/>
                <w:snapToGrid w:val="0"/>
              </w:rPr>
              <w:t xml:space="preserve">adult </w:t>
            </w:r>
            <w:r w:rsidR="006D1DEE">
              <w:rPr>
                <w:rFonts w:cs="Arial"/>
                <w:snapToGrid w:val="0"/>
              </w:rPr>
              <w:t xml:space="preserve">or pediatric </w:t>
            </w:r>
            <w:r>
              <w:rPr>
                <w:rFonts w:cs="Arial"/>
                <w:snapToGrid w:val="0"/>
              </w:rPr>
              <w:t>general medical</w:t>
            </w:r>
            <w:r w:rsidR="007275A8">
              <w:rPr>
                <w:rFonts w:cs="Arial"/>
                <w:snapToGrid w:val="0"/>
              </w:rPr>
              <w:t xml:space="preserve">, </w:t>
            </w:r>
            <w:r>
              <w:rPr>
                <w:rFonts w:cs="Arial"/>
                <w:snapToGrid w:val="0"/>
              </w:rPr>
              <w:t>surgical</w:t>
            </w:r>
            <w:r w:rsidR="007275A8">
              <w:rPr>
                <w:rFonts w:cs="Arial"/>
                <w:snapToGrid w:val="0"/>
              </w:rPr>
              <w:t>, medical/surgical</w:t>
            </w:r>
            <w:r w:rsidR="00EB2893">
              <w:rPr>
                <w:rFonts w:cs="Arial"/>
                <w:snapToGrid w:val="0"/>
              </w:rPr>
              <w:t xml:space="preserve">, </w:t>
            </w:r>
            <w:r>
              <w:rPr>
                <w:rFonts w:cs="Arial"/>
                <w:snapToGrid w:val="0"/>
              </w:rPr>
              <w:t>or neuro ICUs, does your hospital admit adult and/or pediatric general medical</w:t>
            </w:r>
            <w:r w:rsidR="00BE4F6A">
              <w:rPr>
                <w:rFonts w:cs="Arial"/>
                <w:snapToGrid w:val="0"/>
              </w:rPr>
              <w:t xml:space="preserve">, </w:t>
            </w:r>
            <w:r>
              <w:rPr>
                <w:rFonts w:cs="Arial"/>
                <w:snapToGrid w:val="0"/>
              </w:rPr>
              <w:t>surgical</w:t>
            </w:r>
            <w:r w:rsidR="0094685A">
              <w:rPr>
                <w:rFonts w:cs="Arial"/>
                <w:snapToGrid w:val="0"/>
              </w:rPr>
              <w:t>, medical/surgical</w:t>
            </w:r>
            <w:r w:rsidR="00E6558E">
              <w:rPr>
                <w:rFonts w:cs="Arial"/>
                <w:snapToGrid w:val="0"/>
              </w:rPr>
              <w:t xml:space="preserve"> or </w:t>
            </w:r>
            <w:r>
              <w:rPr>
                <w:rFonts w:cs="Arial"/>
                <w:snapToGrid w:val="0"/>
              </w:rPr>
              <w:t>neuro ICU patients to mixed</w:t>
            </w:r>
            <w:r w:rsidR="00C91FC6">
              <w:rPr>
                <w:rFonts w:cs="Arial"/>
                <w:snapToGrid w:val="0"/>
              </w:rPr>
              <w:t xml:space="preserve"> </w:t>
            </w:r>
            <w:r>
              <w:rPr>
                <w:rFonts w:cs="Arial"/>
                <w:snapToGrid w:val="0"/>
              </w:rPr>
              <w:t>acuity units?</w:t>
            </w:r>
          </w:p>
        </w:tc>
        <w:tc>
          <w:tcPr>
            <w:tcW w:w="2947" w:type="dxa"/>
            <w:vAlign w:val="center"/>
          </w:tcPr>
          <w:p w14:paraId="2B6DBC48" w14:textId="77777777" w:rsidR="006A2A3B" w:rsidRDefault="006A2A3B" w:rsidP="00AD309C">
            <w:pPr>
              <w:pStyle w:val="ListParagraph"/>
              <w:numPr>
                <w:ilvl w:val="0"/>
                <w:numId w:val="229"/>
              </w:numPr>
              <w:rPr>
                <w:rFonts w:cs="Arial"/>
                <w:iCs/>
                <w:snapToGrid w:val="0"/>
              </w:rPr>
            </w:pPr>
            <w:r w:rsidRPr="00A35DD6">
              <w:rPr>
                <w:rFonts w:cs="Arial"/>
                <w:iCs/>
                <w:snapToGrid w:val="0"/>
              </w:rPr>
              <w:t>Yes</w:t>
            </w:r>
          </w:p>
          <w:p w14:paraId="53456F1F" w14:textId="3955CB87" w:rsidR="006A2A3B" w:rsidRPr="00DA2C57" w:rsidRDefault="006A2A3B" w:rsidP="00AD309C">
            <w:pPr>
              <w:pStyle w:val="ListParagraph"/>
              <w:numPr>
                <w:ilvl w:val="0"/>
                <w:numId w:val="229"/>
              </w:numPr>
              <w:rPr>
                <w:rFonts w:cs="Arial"/>
                <w:iCs/>
                <w:snapToGrid w:val="0"/>
              </w:rPr>
            </w:pPr>
            <w:r w:rsidRPr="006A2A3B">
              <w:rPr>
                <w:rFonts w:cs="Arial"/>
                <w:iCs/>
                <w:snapToGrid w:val="0"/>
              </w:rPr>
              <w:t>No</w:t>
            </w:r>
          </w:p>
        </w:tc>
      </w:tr>
      <w:tr w:rsidR="006A2A3B" w:rsidRPr="009A5185" w14:paraId="74E0AC05" w14:textId="77777777" w:rsidTr="00BE6BA0">
        <w:tc>
          <w:tcPr>
            <w:tcW w:w="6588" w:type="dxa"/>
            <w:vAlign w:val="center"/>
          </w:tcPr>
          <w:p w14:paraId="1267A7B1" w14:textId="71FE6AA6" w:rsidR="006A2A3B" w:rsidRPr="00532CF2" w:rsidRDefault="006A2A3B" w:rsidP="006A2A3B">
            <w:pPr>
              <w:numPr>
                <w:ilvl w:val="0"/>
                <w:numId w:val="1"/>
              </w:numPr>
              <w:tabs>
                <w:tab w:val="num" w:pos="450"/>
              </w:tabs>
              <w:ind w:left="450" w:hanging="450"/>
              <w:rPr>
                <w:rFonts w:cs="Arial"/>
                <w:snapToGrid w:val="0"/>
              </w:rPr>
            </w:pPr>
            <w:r w:rsidRPr="00532CF2">
              <w:rPr>
                <w:rFonts w:cs="Arial"/>
                <w:snapToGrid w:val="0"/>
              </w:rPr>
              <w:t xml:space="preserve">Does your hospital operate any of the following specialty ICUs: medical cardiac, respiratory, surgical cardiothoracic, burn, trauma, pediatric cardiothoracic, oncology, </w:t>
            </w:r>
            <w:r w:rsidR="00A049C2" w:rsidRPr="009D1AB6">
              <w:t xml:space="preserve">Level II/III neonatal ICU, Level III neonatal ICU, or Level IV </w:t>
            </w:r>
            <w:hyperlink w:anchor="neonatalICU" w:history="1">
              <w:r w:rsidR="00A049C2" w:rsidRPr="00C367DB">
                <w:rPr>
                  <w:rStyle w:val="Hyperlink"/>
                  <w:rFonts w:cs="Arial"/>
                  <w:snapToGrid w:val="0"/>
                </w:rPr>
                <w:t>neonatal ICU</w:t>
              </w:r>
            </w:hyperlink>
            <w:r w:rsidR="009964A5" w:rsidRPr="009964A5">
              <w:rPr>
                <w:rFonts w:cs="Arial"/>
                <w:snapToGrid w:val="0"/>
                <w:vertAlign w:val="superscript"/>
              </w:rPr>
              <w:t>17</w:t>
            </w:r>
            <w:r w:rsidRPr="00532CF2">
              <w:rPr>
                <w:rFonts w:cs="Arial"/>
                <w:snapToGrid w:val="0"/>
              </w:rPr>
              <w:t>?</w:t>
            </w:r>
          </w:p>
          <w:p w14:paraId="2D98E048" w14:textId="77777777" w:rsidR="006A2A3B" w:rsidRPr="00532CF2" w:rsidRDefault="006A2A3B" w:rsidP="006A2A3B">
            <w:pPr>
              <w:rPr>
                <w:rFonts w:cs="Arial"/>
                <w:snapToGrid w:val="0"/>
              </w:rPr>
            </w:pPr>
          </w:p>
          <w:p w14:paraId="5CE0FFB9" w14:textId="4B364EC4" w:rsidR="006A2A3B" w:rsidRPr="00532CF2" w:rsidRDefault="006A2A3B" w:rsidP="006A2A3B">
            <w:pPr>
              <w:ind w:left="450"/>
              <w:rPr>
                <w:rFonts w:cs="Arial"/>
                <w:i/>
                <w:snapToGrid w:val="0"/>
              </w:rPr>
            </w:pPr>
            <w:r w:rsidRPr="00532CF2">
              <w:rPr>
                <w:rFonts w:cs="Arial"/>
                <w:i/>
                <w:snapToGrid w:val="0"/>
              </w:rPr>
              <w:t>If “no” to question #1</w:t>
            </w:r>
            <w:r w:rsidR="009964A5">
              <w:rPr>
                <w:rFonts w:cs="Arial"/>
                <w:i/>
                <w:snapToGrid w:val="0"/>
              </w:rPr>
              <w:t>4</w:t>
            </w:r>
            <w:r w:rsidRPr="00532CF2">
              <w:rPr>
                <w:rFonts w:cs="Arial"/>
                <w:i/>
                <w:snapToGrid w:val="0"/>
              </w:rPr>
              <w:t>, skip question #1</w:t>
            </w:r>
            <w:r w:rsidR="009964A5">
              <w:rPr>
                <w:rFonts w:cs="Arial"/>
                <w:i/>
                <w:snapToGrid w:val="0"/>
              </w:rPr>
              <w:t>5</w:t>
            </w:r>
            <w:r w:rsidRPr="00532CF2">
              <w:rPr>
                <w:rFonts w:cs="Arial"/>
                <w:i/>
                <w:snapToGrid w:val="0"/>
              </w:rPr>
              <w:t xml:space="preserve"> and continue to question #1</w:t>
            </w:r>
            <w:r w:rsidR="009964A5">
              <w:rPr>
                <w:rFonts w:cs="Arial"/>
                <w:i/>
                <w:snapToGrid w:val="0"/>
              </w:rPr>
              <w:t>6</w:t>
            </w:r>
            <w:r w:rsidRPr="00532CF2">
              <w:rPr>
                <w:rFonts w:cs="Arial"/>
                <w:i/>
                <w:snapToGrid w:val="0"/>
              </w:rPr>
              <w:t>.</w:t>
            </w:r>
          </w:p>
        </w:tc>
        <w:tc>
          <w:tcPr>
            <w:tcW w:w="2947" w:type="dxa"/>
            <w:vAlign w:val="center"/>
          </w:tcPr>
          <w:p w14:paraId="3EBF46AE" w14:textId="77777777" w:rsidR="006A2A3B" w:rsidRPr="00A35DD6" w:rsidRDefault="006A2A3B" w:rsidP="00AD309C">
            <w:pPr>
              <w:pStyle w:val="ListParagraph"/>
              <w:numPr>
                <w:ilvl w:val="0"/>
                <w:numId w:val="230"/>
              </w:numPr>
              <w:rPr>
                <w:rFonts w:cs="Arial"/>
                <w:iCs/>
                <w:snapToGrid w:val="0"/>
              </w:rPr>
            </w:pPr>
            <w:r w:rsidRPr="00A35DD6">
              <w:rPr>
                <w:rFonts w:cs="Arial"/>
                <w:iCs/>
                <w:snapToGrid w:val="0"/>
              </w:rPr>
              <w:t>Yes</w:t>
            </w:r>
          </w:p>
          <w:p w14:paraId="4B075F52" w14:textId="77777777" w:rsidR="006A2A3B" w:rsidRPr="00A35DD6" w:rsidRDefault="006A2A3B" w:rsidP="00AD309C">
            <w:pPr>
              <w:pStyle w:val="ListParagraph"/>
              <w:numPr>
                <w:ilvl w:val="0"/>
                <w:numId w:val="230"/>
              </w:numPr>
              <w:rPr>
                <w:rFonts w:cs="Arial"/>
                <w:snapToGrid w:val="0"/>
              </w:rPr>
            </w:pPr>
            <w:r w:rsidRPr="00A35DD6">
              <w:rPr>
                <w:rFonts w:cs="Arial"/>
                <w:iCs/>
                <w:snapToGrid w:val="0"/>
              </w:rPr>
              <w:t>No</w:t>
            </w:r>
          </w:p>
        </w:tc>
      </w:tr>
      <w:tr w:rsidR="006A2A3B" w:rsidRPr="009A5185" w14:paraId="39DFC40B" w14:textId="77777777" w:rsidTr="00BE6BA0">
        <w:trPr>
          <w:trHeight w:val="458"/>
        </w:trPr>
        <w:tc>
          <w:tcPr>
            <w:tcW w:w="6588" w:type="dxa"/>
            <w:vAlign w:val="center"/>
          </w:tcPr>
          <w:p w14:paraId="21CDB008" w14:textId="4D1B6B2A" w:rsidR="006A2A3B" w:rsidRPr="009A5185" w:rsidRDefault="006A2A3B" w:rsidP="006A2A3B">
            <w:pPr>
              <w:numPr>
                <w:ilvl w:val="0"/>
                <w:numId w:val="1"/>
              </w:numPr>
              <w:tabs>
                <w:tab w:val="num" w:pos="450"/>
              </w:tabs>
              <w:ind w:left="450" w:hanging="450"/>
              <w:rPr>
                <w:rFonts w:cs="Arial"/>
                <w:snapToGrid w:val="0"/>
              </w:rPr>
            </w:pPr>
            <w:r w:rsidRPr="00584FB1">
              <w:rPr>
                <w:rFonts w:cs="Arial"/>
                <w:snapToGrid w:val="0"/>
              </w:rPr>
              <w:t xml:space="preserve">Total number of </w:t>
            </w:r>
            <w:bookmarkStart w:id="91" w:name="_Ref4511251"/>
            <w:r w:rsidR="00833ED8" w:rsidRPr="005D1B2A">
              <w:rPr>
                <w:rStyle w:val="Hyperlink"/>
                <w:rFonts w:cs="Arial"/>
                <w:snapToGrid w:val="0"/>
                <w:color w:val="auto"/>
                <w:u w:val="none"/>
              </w:rPr>
              <w:t>admissions to</w:t>
            </w:r>
            <w:r w:rsidR="00814F45">
              <w:rPr>
                <w:rStyle w:val="Hyperlink"/>
                <w:rFonts w:cs="Arial"/>
                <w:snapToGrid w:val="0"/>
                <w:color w:val="auto"/>
                <w:u w:val="none"/>
              </w:rPr>
              <w:t xml:space="preserve"> a</w:t>
            </w:r>
            <w:r w:rsidR="00833ED8" w:rsidRPr="005D1B2A">
              <w:rPr>
                <w:rStyle w:val="Hyperlink"/>
                <w:rFonts w:cs="Arial"/>
                <w:snapToGrid w:val="0"/>
                <w:color w:val="auto"/>
                <w:u w:val="none"/>
              </w:rPr>
              <w:t xml:space="preserve"> Level II/III, Level III, or Level IV</w:t>
            </w:r>
            <w:r w:rsidR="00833ED8" w:rsidRPr="00833ED8">
              <w:rPr>
                <w:rStyle w:val="Hyperlink"/>
                <w:rFonts w:cs="Arial"/>
                <w:snapToGrid w:val="0"/>
              </w:rPr>
              <w:t xml:space="preserve"> </w:t>
            </w:r>
            <w:hyperlink w:anchor="neonatalICU" w:history="1">
              <w:r w:rsidR="00833ED8" w:rsidRPr="00833ED8">
                <w:rPr>
                  <w:rStyle w:val="Hyperlink"/>
                  <w:rFonts w:cs="Arial"/>
                  <w:snapToGrid w:val="0"/>
                </w:rPr>
                <w:t>neonatal ICU</w:t>
              </w:r>
              <w:r w:rsidRPr="00833ED8">
                <w:rPr>
                  <w:rStyle w:val="Hyperlink"/>
                  <w:rFonts w:ascii="ZWAdobeF" w:hAnsi="ZWAdobeF" w:cs="ZWAdobeF"/>
                  <w:snapToGrid w:val="0"/>
                  <w:sz w:val="2"/>
                  <w:szCs w:val="2"/>
                </w:rPr>
                <w:t>15F</w:t>
              </w:r>
              <w:r w:rsidR="00BF053F" w:rsidRPr="00833ED8">
                <w:rPr>
                  <w:rStyle w:val="Hyperlink"/>
                  <w:rFonts w:ascii="ZWAdobeF" w:hAnsi="ZWAdobeF" w:cs="ZWAdobeF"/>
                  <w:snapToGrid w:val="0"/>
                  <w:sz w:val="2"/>
                  <w:szCs w:val="2"/>
                </w:rPr>
                <w:t>16F</w:t>
              </w:r>
              <w:r w:rsidR="004C7557" w:rsidRPr="00833ED8">
                <w:rPr>
                  <w:rStyle w:val="Hyperlink"/>
                  <w:rFonts w:ascii="ZWAdobeF" w:hAnsi="ZWAdobeF" w:cs="ZWAdobeF"/>
                  <w:snapToGrid w:val="0"/>
                  <w:sz w:val="2"/>
                  <w:szCs w:val="2"/>
                </w:rPr>
                <w:t>16F</w:t>
              </w:r>
            </w:hyperlink>
            <w:r w:rsidR="00C2087D">
              <w:rPr>
                <w:rFonts w:ascii="ZWAdobeF" w:hAnsi="ZWAdobeF" w:cs="ZWAdobeF"/>
                <w:sz w:val="2"/>
                <w:szCs w:val="2"/>
              </w:rPr>
              <w:t>16F</w:t>
            </w:r>
            <w:r w:rsidR="00B55C41">
              <w:rPr>
                <w:rFonts w:ascii="ZWAdobeF" w:hAnsi="ZWAdobeF" w:cs="ZWAdobeF"/>
                <w:sz w:val="2"/>
                <w:szCs w:val="2"/>
              </w:rPr>
              <w:t>16F</w:t>
            </w:r>
            <w:r w:rsidR="006255A6">
              <w:rPr>
                <w:rFonts w:ascii="ZWAdobeF" w:hAnsi="ZWAdobeF" w:cs="ZWAdobeF"/>
                <w:sz w:val="2"/>
                <w:szCs w:val="2"/>
              </w:rPr>
              <w:t>16F</w:t>
            </w:r>
            <w:r w:rsidR="00E453C7">
              <w:rPr>
                <w:rFonts w:ascii="ZWAdobeF" w:hAnsi="ZWAdobeF" w:cs="ZWAdobeF"/>
                <w:sz w:val="2"/>
                <w:szCs w:val="2"/>
              </w:rPr>
              <w:t>16F</w:t>
            </w:r>
            <w:r w:rsidR="00953060">
              <w:rPr>
                <w:rFonts w:ascii="ZWAdobeF" w:hAnsi="ZWAdobeF" w:cs="ZWAdobeF"/>
                <w:sz w:val="2"/>
                <w:szCs w:val="2"/>
              </w:rPr>
              <w:t>16F</w:t>
            </w:r>
            <w:r w:rsidR="00DD04D6">
              <w:rPr>
                <w:rFonts w:ascii="ZWAdobeF" w:hAnsi="ZWAdobeF" w:cs="ZWAdobeF"/>
                <w:sz w:val="2"/>
                <w:szCs w:val="2"/>
              </w:rPr>
              <w:t>16F</w:t>
            </w:r>
            <w:r w:rsidRPr="00532CF2">
              <w:rPr>
                <w:rStyle w:val="EndnoteReference"/>
                <w:rFonts w:cs="Arial"/>
                <w:snapToGrid w:val="0"/>
              </w:rPr>
              <w:endnoteReference w:id="18"/>
            </w:r>
            <w:bookmarkEnd w:id="91"/>
            <w:r w:rsidRPr="00584FB1">
              <w:rPr>
                <w:rFonts w:cs="Arial"/>
                <w:snapToGrid w:val="0"/>
              </w:rPr>
              <w:t xml:space="preserve"> during the reporting period.</w:t>
            </w:r>
          </w:p>
        </w:tc>
        <w:tc>
          <w:tcPr>
            <w:tcW w:w="2947" w:type="dxa"/>
            <w:shd w:val="clear" w:color="auto" w:fill="FFFFFF" w:themeFill="background1"/>
            <w:vAlign w:val="center"/>
          </w:tcPr>
          <w:p w14:paraId="6AE6F8B2" w14:textId="2D95AE97" w:rsidR="006A2A3B" w:rsidRPr="009A5185" w:rsidRDefault="006A2A3B" w:rsidP="006A2A3B">
            <w:pPr>
              <w:jc w:val="center"/>
              <w:rPr>
                <w:rFonts w:cs="Arial"/>
                <w:i/>
                <w:snapToGrid w:val="0"/>
              </w:rPr>
            </w:pPr>
            <w:r w:rsidRPr="009A5185">
              <w:rPr>
                <w:rFonts w:cs="Arial"/>
                <w:i/>
                <w:snapToGrid w:val="0"/>
              </w:rPr>
              <w:t>_____</w:t>
            </w:r>
          </w:p>
        </w:tc>
      </w:tr>
      <w:tr w:rsidR="006A2A3B" w:rsidRPr="009A5185" w14:paraId="3C3FFBDD" w14:textId="77777777" w:rsidTr="00584FB1">
        <w:trPr>
          <w:trHeight w:val="458"/>
        </w:trPr>
        <w:tc>
          <w:tcPr>
            <w:tcW w:w="6588" w:type="dxa"/>
            <w:vAlign w:val="center"/>
          </w:tcPr>
          <w:p w14:paraId="3A11738B" w14:textId="79268131" w:rsidR="006A2A3B" w:rsidRPr="00584FB1" w:rsidRDefault="006A2A3B" w:rsidP="006A2A3B">
            <w:pPr>
              <w:numPr>
                <w:ilvl w:val="0"/>
                <w:numId w:val="1"/>
              </w:numPr>
              <w:tabs>
                <w:tab w:val="num" w:pos="450"/>
              </w:tabs>
              <w:ind w:left="450" w:hanging="450"/>
              <w:rPr>
                <w:rFonts w:cs="Arial"/>
                <w:snapToGrid w:val="0"/>
              </w:rPr>
            </w:pPr>
            <w:r w:rsidRPr="009A5185">
              <w:rPr>
                <w:rFonts w:cs="Arial"/>
                <w:snapToGrid w:val="0"/>
              </w:rPr>
              <w:t xml:space="preserve">Is your hospital a Major or Graduate teaching hospital </w:t>
            </w:r>
            <w:r>
              <w:rPr>
                <w:rFonts w:cs="Arial"/>
                <w:snapToGrid w:val="0"/>
              </w:rPr>
              <w:t>(based on NHSN</w:t>
            </w:r>
            <w:r w:rsidR="00EB7C2F">
              <w:rPr>
                <w:rFonts w:cs="Arial"/>
                <w:snapToGrid w:val="0"/>
              </w:rPr>
              <w:t>’s</w:t>
            </w:r>
            <w:r>
              <w:rPr>
                <w:rFonts w:cs="Arial"/>
                <w:snapToGrid w:val="0"/>
              </w:rPr>
              <w:t xml:space="preserve"> definitions) </w:t>
            </w:r>
            <w:r w:rsidRPr="009A5185">
              <w:rPr>
                <w:rFonts w:cs="Arial"/>
                <w:snapToGrid w:val="0"/>
              </w:rPr>
              <w:t>for physicians and/or physicians-in-training</w:t>
            </w:r>
            <w:r>
              <w:rPr>
                <w:rFonts w:cs="Arial"/>
                <w:snapToGrid w:val="0"/>
              </w:rPr>
              <w:t xml:space="preserve"> or nursing students</w:t>
            </w:r>
            <w:r w:rsidRPr="009A5185">
              <w:rPr>
                <w:rFonts w:cs="Arial"/>
                <w:snapToGrid w:val="0"/>
              </w:rPr>
              <w:t>?</w:t>
            </w:r>
          </w:p>
        </w:tc>
        <w:tc>
          <w:tcPr>
            <w:tcW w:w="2947" w:type="dxa"/>
            <w:shd w:val="clear" w:color="auto" w:fill="BFBFBF" w:themeFill="background1" w:themeFillShade="BF"/>
            <w:vAlign w:val="center"/>
          </w:tcPr>
          <w:p w14:paraId="4A8A71E3" w14:textId="5DD30D31" w:rsidR="006A2A3B" w:rsidRPr="009A5185" w:rsidRDefault="006A2A3B" w:rsidP="006A2A3B">
            <w:pPr>
              <w:jc w:val="center"/>
              <w:rPr>
                <w:rFonts w:cs="Arial"/>
                <w:i/>
                <w:snapToGrid w:val="0"/>
              </w:rPr>
            </w:pPr>
            <w:r w:rsidRPr="009A5185">
              <w:rPr>
                <w:rFonts w:cs="Arial"/>
                <w:i/>
                <w:snapToGrid w:val="0"/>
              </w:rPr>
              <w:t xml:space="preserve">No response required here. Determined automatically based on NHSN </w:t>
            </w:r>
            <w:r>
              <w:rPr>
                <w:rFonts w:cs="Arial"/>
                <w:i/>
                <w:snapToGrid w:val="0"/>
              </w:rPr>
              <w:t>202</w:t>
            </w:r>
            <w:r w:rsidR="009964A5">
              <w:rPr>
                <w:rFonts w:cs="Arial"/>
                <w:i/>
                <w:snapToGrid w:val="0"/>
              </w:rPr>
              <w:t>5</w:t>
            </w:r>
            <w:r w:rsidRPr="009A5185">
              <w:rPr>
                <w:rFonts w:cs="Arial"/>
                <w:i/>
                <w:snapToGrid w:val="0"/>
              </w:rPr>
              <w:t xml:space="preserve"> Patient Safety Component – Annual Hospital Survey</w:t>
            </w:r>
            <w:r w:rsidRPr="009A5185">
              <w:rPr>
                <w:rFonts w:cs="Arial"/>
                <w:b/>
                <w:i/>
                <w:snapToGrid w:val="0"/>
              </w:rPr>
              <w:t>.</w:t>
            </w:r>
          </w:p>
        </w:tc>
      </w:tr>
    </w:tbl>
    <w:p w14:paraId="5F208B18" w14:textId="77777777" w:rsidR="003600BE" w:rsidRDefault="003600BE"/>
    <w:p w14:paraId="09E93277" w14:textId="5D811D3E" w:rsidR="00BD017D" w:rsidRDefault="00B5779F">
      <w:r w:rsidRPr="00B07246">
        <w:rPr>
          <w:rFonts w:cs="Arial"/>
          <w:i/>
          <w:noProof/>
          <w:snapToGrid w:val="0"/>
        </w:rPr>
        <mc:AlternateContent>
          <mc:Choice Requires="wps">
            <w:drawing>
              <wp:inline distT="0" distB="0" distL="0" distR="0" wp14:anchorId="3D4BC1AB" wp14:editId="0778156B">
                <wp:extent cx="5943600" cy="1462166"/>
                <wp:effectExtent l="0" t="0" r="19050" b="10160"/>
                <wp:docPr id="714893213" name="Text Box 714893213" descr="P1358TB2#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462166"/>
                        </a:xfrm>
                        <a:prstGeom prst="rect">
                          <a:avLst/>
                        </a:prstGeom>
                        <a:solidFill>
                          <a:srgbClr val="FFFFFF"/>
                        </a:solidFill>
                        <a:ln w="9525">
                          <a:solidFill>
                            <a:srgbClr val="FF0000"/>
                          </a:solidFill>
                          <a:miter lim="800000"/>
                          <a:headEnd/>
                          <a:tailEnd/>
                        </a:ln>
                      </wps:spPr>
                      <wps:txbx>
                        <w:txbxContent>
                          <w:p w14:paraId="0D597F63" w14:textId="223A02C8" w:rsidR="00B5779F" w:rsidRDefault="00B5779F" w:rsidP="00B5779F">
                            <w:pPr>
                              <w:spacing w:before="40"/>
                              <w:rPr>
                                <w:rFonts w:cs="Arial"/>
                                <w:snapToGrid w:val="0"/>
                              </w:rPr>
                            </w:pPr>
                            <w:r w:rsidRPr="009A5185">
                              <w:rPr>
                                <w:rFonts w:cs="Arial"/>
                                <w:b/>
                                <w:snapToGrid w:val="0"/>
                              </w:rPr>
                              <w:t xml:space="preserve">Reporting Period: </w:t>
                            </w:r>
                            <w:r>
                              <w:rPr>
                                <w:rFonts w:cs="Arial"/>
                                <w:snapToGrid w:val="0"/>
                              </w:rPr>
                              <w:t>Answer questions #1</w:t>
                            </w:r>
                            <w:r w:rsidR="009964A5">
                              <w:rPr>
                                <w:rFonts w:cs="Arial"/>
                                <w:snapToGrid w:val="0"/>
                              </w:rPr>
                              <w:t>7</w:t>
                            </w:r>
                            <w:r>
                              <w:rPr>
                                <w:rFonts w:cs="Arial"/>
                                <w:snapToGrid w:val="0"/>
                              </w:rPr>
                              <w:t>-1</w:t>
                            </w:r>
                            <w:r w:rsidR="009964A5">
                              <w:rPr>
                                <w:rFonts w:cs="Arial"/>
                                <w:snapToGrid w:val="0"/>
                              </w:rPr>
                              <w:t>9</w:t>
                            </w:r>
                            <w:r>
                              <w:rPr>
                                <w:rFonts w:cs="Arial"/>
                                <w:snapToGrid w:val="0"/>
                              </w:rPr>
                              <w:t xml:space="preserve"> based on the practices currently in place at the time you submit this section of the Survey.</w:t>
                            </w:r>
                          </w:p>
                          <w:p w14:paraId="5B3382C3" w14:textId="77777777" w:rsidR="001848C5" w:rsidRDefault="001848C5" w:rsidP="00B5779F">
                            <w:pPr>
                              <w:spacing w:before="40"/>
                              <w:rPr>
                                <w:rFonts w:cs="Arial"/>
                                <w:snapToGrid w:val="0"/>
                              </w:rPr>
                            </w:pPr>
                          </w:p>
                          <w:p w14:paraId="06DC4B2F" w14:textId="2EE490AA" w:rsidR="00B5779F" w:rsidRDefault="001848C5" w:rsidP="00B5779F">
                            <w:r w:rsidRPr="001B3D66">
                              <w:rPr>
                                <w:rFonts w:cs="Arial"/>
                                <w:sz w:val="16"/>
                                <w:szCs w:val="16"/>
                              </w:rPr>
                              <w:t xml:space="preserve">Note: As a reminder, the </w:t>
                            </w:r>
                            <w:hyperlink r:id="rId107" w:history="1">
                              <w:r w:rsidRPr="001B3D66">
                                <w:rPr>
                                  <w:rStyle w:val="Hyperlink"/>
                                  <w:rFonts w:cs="Arial"/>
                                  <w:sz w:val="16"/>
                                  <w:szCs w:val="16"/>
                                </w:rPr>
                                <w:t>Corrections Period</w:t>
                              </w:r>
                            </w:hyperlink>
                            <w:r w:rsidRPr="001B3D66">
                              <w:rPr>
                                <w:rFonts w:cs="Arial"/>
                                <w:sz w:val="16"/>
                                <w:szCs w:val="16"/>
                              </w:rPr>
                              <w:t xml:space="preserve"> (</w:t>
                            </w:r>
                            <w:r>
                              <w:rPr>
                                <w:rFonts w:cs="Arial"/>
                                <w:sz w:val="16"/>
                                <w:szCs w:val="16"/>
                              </w:rPr>
                              <w:t>December</w:t>
                            </w:r>
                            <w:r w:rsidRPr="001B3D66">
                              <w:rPr>
                                <w:rFonts w:cs="Arial"/>
                                <w:sz w:val="16"/>
                                <w:szCs w:val="16"/>
                              </w:rPr>
                              <w:t xml:space="preserve"> 1-January 31) is reserved for corrections to previously submitted Surveys only. </w:t>
                            </w:r>
                            <w:r w:rsidRPr="001B3D66">
                              <w:rPr>
                                <w:rFonts w:cs="Arial"/>
                                <w:bCs/>
                                <w:snapToGrid w:val="0"/>
                                <w:sz w:val="16"/>
                                <w:szCs w:val="16"/>
                              </w:rPr>
                              <w:t xml:space="preserve">Any updates made to reflect a change in performance must be made prior to the </w:t>
                            </w:r>
                            <w:r>
                              <w:rPr>
                                <w:rFonts w:cs="Arial"/>
                                <w:bCs/>
                                <w:snapToGrid w:val="0"/>
                                <w:sz w:val="16"/>
                                <w:szCs w:val="16"/>
                              </w:rPr>
                              <w:t>November 30</w:t>
                            </w:r>
                            <w:r w:rsidRPr="001B3D66">
                              <w:rPr>
                                <w:rFonts w:cs="Arial"/>
                                <w:bCs/>
                                <w:snapToGrid w:val="0"/>
                                <w:sz w:val="16"/>
                                <w:szCs w:val="16"/>
                              </w:rPr>
                              <w:t xml:space="preserve"> Late Submission </w:t>
                            </w:r>
                            <w:r w:rsidRPr="00AE38C7">
                              <w:rPr>
                                <w:rFonts w:cs="Arial"/>
                                <w:bCs/>
                                <w:snapToGrid w:val="0"/>
                                <w:sz w:val="16"/>
                                <w:szCs w:val="16"/>
                              </w:rPr>
                              <w:t>and</w:t>
                            </w:r>
                            <w:r>
                              <w:rPr>
                                <w:rFonts w:cs="Arial"/>
                                <w:bCs/>
                                <w:snapToGrid w:val="0"/>
                                <w:sz w:val="16"/>
                                <w:szCs w:val="16"/>
                              </w:rPr>
                              <w:t xml:space="preserve"> </w:t>
                            </w:r>
                            <w:r w:rsidRPr="00AE38C7">
                              <w:rPr>
                                <w:rFonts w:cs="Arial"/>
                                <w:bCs/>
                                <w:snapToGrid w:val="0"/>
                                <w:sz w:val="16"/>
                                <w:szCs w:val="16"/>
                              </w:rPr>
                              <w:t>Performance Update</w:t>
                            </w:r>
                            <w:r>
                              <w:rPr>
                                <w:rFonts w:cs="Arial"/>
                                <w:bCs/>
                                <w:snapToGrid w:val="0"/>
                                <w:sz w:val="16"/>
                                <w:szCs w:val="16"/>
                              </w:rPr>
                              <w:t xml:space="preserve"> </w:t>
                            </w:r>
                            <w:r w:rsidRPr="001B3D66">
                              <w:rPr>
                                <w:rFonts w:cs="Arial"/>
                                <w:bCs/>
                                <w:snapToGrid w:val="0"/>
                                <w:sz w:val="16"/>
                                <w:szCs w:val="16"/>
                              </w:rPr>
                              <w:t xml:space="preserve">Deadline. Updates made to reflect a change in performance after </w:t>
                            </w:r>
                            <w:r>
                              <w:rPr>
                                <w:rFonts w:cs="Arial"/>
                                <w:bCs/>
                                <w:snapToGrid w:val="0"/>
                                <w:sz w:val="16"/>
                                <w:szCs w:val="16"/>
                              </w:rPr>
                              <w:t>November 30</w:t>
                            </w:r>
                            <w:r w:rsidRPr="001B3D66">
                              <w:rPr>
                                <w:rFonts w:cs="Arial"/>
                                <w:bCs/>
                                <w:snapToGrid w:val="0"/>
                                <w:sz w:val="16"/>
                                <w:szCs w:val="16"/>
                              </w:rPr>
                              <w:t xml:space="preserve"> will not be scored or publicly reported.</w:t>
                            </w:r>
                          </w:p>
                        </w:txbxContent>
                      </wps:txbx>
                      <wps:bodyPr rot="0" vert="horz" wrap="square" lIns="91440" tIns="45720" rIns="91440" bIns="45720" anchor="t" anchorCtr="0">
                        <a:spAutoFit/>
                      </wps:bodyPr>
                    </wps:wsp>
                  </a:graphicData>
                </a:graphic>
              </wp:inline>
            </w:drawing>
          </mc:Choice>
          <mc:Fallback>
            <w:pict>
              <v:shape w14:anchorId="3D4BC1AB" id="Text Box 714893213" o:spid="_x0000_s1029" type="#_x0000_t202" alt="P1358TB2#y1" style="width:468pt;height:11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" strokecolor="red">
                <v:textbox style="mso-fit-shape-to-text:t">
                  <w:txbxContent>
                    <w:p w14:paraId="0D597F63" w14:textId="223A02C8" w:rsidR="00B5779F" w:rsidRDefault="00B5779F" w:rsidP="00B5779F">
                      <w:pPr>
                        <w:spacing w:before="40"/>
                        <w:rPr>
                          <w:rFonts w:cs="Arial"/>
                          <w:snapToGrid w:val="0"/>
                        </w:rPr>
                      </w:pPr>
                      <w:r w:rsidRPr="009A5185">
                        <w:rPr>
                          <w:rFonts w:cs="Arial"/>
                          <w:b/>
                          <w:snapToGrid w:val="0"/>
                        </w:rPr>
                        <w:t xml:space="preserve">Reporting Period: </w:t>
                      </w:r>
                      <w:r>
                        <w:rPr>
                          <w:rFonts w:cs="Arial"/>
                          <w:snapToGrid w:val="0"/>
                        </w:rPr>
                        <w:t>Answer questions #1</w:t>
                      </w:r>
                      <w:r w:rsidR="009964A5">
                        <w:rPr>
                          <w:rFonts w:cs="Arial"/>
                          <w:snapToGrid w:val="0"/>
                        </w:rPr>
                        <w:t>7</w:t>
                      </w:r>
                      <w:r>
                        <w:rPr>
                          <w:rFonts w:cs="Arial"/>
                          <w:snapToGrid w:val="0"/>
                        </w:rPr>
                        <w:t>-1</w:t>
                      </w:r>
                      <w:r w:rsidR="009964A5">
                        <w:rPr>
                          <w:rFonts w:cs="Arial"/>
                          <w:snapToGrid w:val="0"/>
                        </w:rPr>
                        <w:t>9</w:t>
                      </w:r>
                      <w:r>
                        <w:rPr>
                          <w:rFonts w:cs="Arial"/>
                          <w:snapToGrid w:val="0"/>
                        </w:rPr>
                        <w:t xml:space="preserve"> based on the practices currently in place at the time you submit this section of the Survey.</w:t>
                      </w:r>
                    </w:p>
                    <w:p w14:paraId="5B3382C3" w14:textId="77777777" w:rsidR="001848C5" w:rsidRDefault="001848C5" w:rsidP="00B5779F">
                      <w:pPr>
                        <w:spacing w:before="40"/>
                        <w:rPr>
                          <w:rFonts w:cs="Arial"/>
                          <w:snapToGrid w:val="0"/>
                        </w:rPr>
                      </w:pPr>
                    </w:p>
                    <w:p w14:paraId="06DC4B2F" w14:textId="2EE490AA" w:rsidR="00B5779F" w:rsidRDefault="001848C5" w:rsidP="00B5779F">
                      <w:r w:rsidRPr="001B3D66">
                        <w:rPr>
                          <w:rFonts w:cs="Arial"/>
                          <w:sz w:val="16"/>
                          <w:szCs w:val="16"/>
                        </w:rPr>
                        <w:t xml:space="preserve">Note: As a reminder, the </w:t>
                      </w:r>
                      <w:hyperlink r:id="rId108" w:history="1">
                        <w:r w:rsidRPr="001B3D66">
                          <w:rPr>
                            <w:rStyle w:val="Hyperlink"/>
                            <w:rFonts w:cs="Arial"/>
                            <w:sz w:val="16"/>
                            <w:szCs w:val="16"/>
                          </w:rPr>
                          <w:t>Corrections Period</w:t>
                        </w:r>
                      </w:hyperlink>
                      <w:r w:rsidRPr="001B3D66">
                        <w:rPr>
                          <w:rFonts w:cs="Arial"/>
                          <w:sz w:val="16"/>
                          <w:szCs w:val="16"/>
                        </w:rPr>
                        <w:t xml:space="preserve"> (</w:t>
                      </w:r>
                      <w:r>
                        <w:rPr>
                          <w:rFonts w:cs="Arial"/>
                          <w:sz w:val="16"/>
                          <w:szCs w:val="16"/>
                        </w:rPr>
                        <w:t>December</w:t>
                      </w:r>
                      <w:r w:rsidRPr="001B3D66">
                        <w:rPr>
                          <w:rFonts w:cs="Arial"/>
                          <w:sz w:val="16"/>
                          <w:szCs w:val="16"/>
                        </w:rPr>
                        <w:t xml:space="preserve"> 1-January 31) is reserved for corrections to previously submitted Surveys only. </w:t>
                      </w:r>
                      <w:r w:rsidRPr="001B3D66">
                        <w:rPr>
                          <w:rFonts w:cs="Arial"/>
                          <w:bCs/>
                          <w:snapToGrid w:val="0"/>
                          <w:sz w:val="16"/>
                          <w:szCs w:val="16"/>
                        </w:rPr>
                        <w:t xml:space="preserve">Any updates made to reflect a change in performance must be made prior to the </w:t>
                      </w:r>
                      <w:r>
                        <w:rPr>
                          <w:rFonts w:cs="Arial"/>
                          <w:bCs/>
                          <w:snapToGrid w:val="0"/>
                          <w:sz w:val="16"/>
                          <w:szCs w:val="16"/>
                        </w:rPr>
                        <w:t>November 30</w:t>
                      </w:r>
                      <w:r w:rsidRPr="001B3D66">
                        <w:rPr>
                          <w:rFonts w:cs="Arial"/>
                          <w:bCs/>
                          <w:snapToGrid w:val="0"/>
                          <w:sz w:val="16"/>
                          <w:szCs w:val="16"/>
                        </w:rPr>
                        <w:t xml:space="preserve"> Late Submission </w:t>
                      </w:r>
                      <w:r w:rsidRPr="00AE38C7">
                        <w:rPr>
                          <w:rFonts w:cs="Arial"/>
                          <w:bCs/>
                          <w:snapToGrid w:val="0"/>
                          <w:sz w:val="16"/>
                          <w:szCs w:val="16"/>
                        </w:rPr>
                        <w:t>and</w:t>
                      </w:r>
                      <w:r>
                        <w:rPr>
                          <w:rFonts w:cs="Arial"/>
                          <w:bCs/>
                          <w:snapToGrid w:val="0"/>
                          <w:sz w:val="16"/>
                          <w:szCs w:val="16"/>
                        </w:rPr>
                        <w:t xml:space="preserve"> </w:t>
                      </w:r>
                      <w:r w:rsidRPr="00AE38C7">
                        <w:rPr>
                          <w:rFonts w:cs="Arial"/>
                          <w:bCs/>
                          <w:snapToGrid w:val="0"/>
                          <w:sz w:val="16"/>
                          <w:szCs w:val="16"/>
                        </w:rPr>
                        <w:t>Performance Update</w:t>
                      </w:r>
                      <w:r>
                        <w:rPr>
                          <w:rFonts w:cs="Arial"/>
                          <w:bCs/>
                          <w:snapToGrid w:val="0"/>
                          <w:sz w:val="16"/>
                          <w:szCs w:val="16"/>
                        </w:rPr>
                        <w:t xml:space="preserve"> </w:t>
                      </w:r>
                      <w:r w:rsidRPr="001B3D66">
                        <w:rPr>
                          <w:rFonts w:cs="Arial"/>
                          <w:bCs/>
                          <w:snapToGrid w:val="0"/>
                          <w:sz w:val="16"/>
                          <w:szCs w:val="16"/>
                        </w:rPr>
                        <w:t xml:space="preserve">Deadline. Updates made to reflect a change in performance after </w:t>
                      </w:r>
                      <w:r>
                        <w:rPr>
                          <w:rFonts w:cs="Arial"/>
                          <w:bCs/>
                          <w:snapToGrid w:val="0"/>
                          <w:sz w:val="16"/>
                          <w:szCs w:val="16"/>
                        </w:rPr>
                        <w:t>November 30</w:t>
                      </w:r>
                      <w:r w:rsidRPr="001B3D66">
                        <w:rPr>
                          <w:rFonts w:cs="Arial"/>
                          <w:bCs/>
                          <w:snapToGrid w:val="0"/>
                          <w:sz w:val="16"/>
                          <w:szCs w:val="16"/>
                        </w:rPr>
                        <w:t xml:space="preserve"> will not be scored or publicly reported.</w:t>
                      </w:r>
                    </w:p>
                  </w:txbxContent>
                </v:textbox>
                <w10:anchorlock/>
              </v:shape>
            </w:pict>
          </mc:Fallback>
        </mc:AlternateContent>
      </w:r>
    </w:p>
    <w:p w14:paraId="1BDE184D" w14:textId="77777777" w:rsidR="00263435" w:rsidRDefault="00263435" w:rsidP="00263435"/>
    <w:p w14:paraId="7C4B3574" w14:textId="7C32356F" w:rsidR="00716CAD" w:rsidRDefault="003A27E3" w:rsidP="00716CAD">
      <w:pPr>
        <w:pStyle w:val="Heading3"/>
        <w:rPr>
          <w:rStyle w:val="Strong"/>
          <w:rFonts w:cs="Arial"/>
          <w:b/>
        </w:rPr>
      </w:pPr>
      <w:bookmarkStart w:id="94" w:name="_Toc225877670"/>
      <w:r w:rsidRPr="00AB5B80">
        <w:rPr>
          <w:rStyle w:val="Strong"/>
          <w:rFonts w:cs="Arial"/>
          <w:b/>
        </w:rPr>
        <w:t>General Hospital Policies</w:t>
      </w:r>
      <w:bookmarkEnd w:id="94"/>
    </w:p>
    <w:p w14:paraId="4A56BB96" w14:textId="77777777" w:rsidR="00716CAD" w:rsidRPr="00716CAD" w:rsidRDefault="00716CAD" w:rsidP="00716CAD">
      <w:pPr>
        <w:rPr>
          <w:lang w:eastAsia="ja-JP"/>
        </w:rPr>
      </w:pPr>
    </w:p>
    <w:tbl>
      <w:tblPr>
        <w:tblStyle w:val="TableGrid"/>
        <w:tblW w:w="0" w:type="auto"/>
        <w:tblLook w:val="04A0" w:firstRow="1" w:lastRow="0" w:firstColumn="1" w:lastColumn="0" w:noHBand="0" w:noVBand="1"/>
      </w:tblPr>
      <w:tblGrid>
        <w:gridCol w:w="6565"/>
        <w:gridCol w:w="2785"/>
      </w:tblGrid>
      <w:tr w:rsidR="00336FA3" w14:paraId="18BA752F" w14:textId="77777777" w:rsidTr="004F7386">
        <w:tc>
          <w:tcPr>
            <w:tcW w:w="6565" w:type="dxa"/>
          </w:tcPr>
          <w:p w14:paraId="34053265" w14:textId="5743B621" w:rsidR="00336FA3" w:rsidRDefault="00336FA3" w:rsidP="001D4AE9">
            <w:pPr>
              <w:pStyle w:val="ListParagraph"/>
              <w:numPr>
                <w:ilvl w:val="0"/>
                <w:numId w:val="1"/>
              </w:numPr>
            </w:pPr>
            <w:r w:rsidRPr="008953C4">
              <w:t>To help ensure that patients are cared for by well-trained physicians and other providers (e.g., certified registered nurse anesthetists, certified midwives, or certified nurse-midwives, etc.), do your medical staff by-laws or hospital-wide policies require all physicians and providers who have privileges to provide care at your hospital to be board certified or board eligible?</w:t>
            </w:r>
          </w:p>
        </w:tc>
        <w:tc>
          <w:tcPr>
            <w:tcW w:w="2785" w:type="dxa"/>
            <w:vAlign w:val="center"/>
          </w:tcPr>
          <w:p w14:paraId="499A0683" w14:textId="77777777" w:rsidR="00336FA3" w:rsidRPr="008953C4" w:rsidRDefault="00336FA3" w:rsidP="00AD309C">
            <w:pPr>
              <w:numPr>
                <w:ilvl w:val="0"/>
                <w:numId w:val="231"/>
              </w:numPr>
              <w:contextualSpacing/>
              <w:rPr>
                <w:iCs/>
              </w:rPr>
            </w:pPr>
            <w:r w:rsidRPr="008953C4">
              <w:rPr>
                <w:iCs/>
              </w:rPr>
              <w:t>Yes</w:t>
            </w:r>
          </w:p>
          <w:p w14:paraId="466B2D6C" w14:textId="34F89E6A" w:rsidR="00336FA3" w:rsidRDefault="00336FA3" w:rsidP="00AD309C">
            <w:pPr>
              <w:pStyle w:val="ListParagraph"/>
              <w:numPr>
                <w:ilvl w:val="0"/>
                <w:numId w:val="231"/>
              </w:numPr>
            </w:pPr>
            <w:r w:rsidRPr="00336FA3">
              <w:rPr>
                <w:iCs/>
              </w:rPr>
              <w:t>No</w:t>
            </w:r>
          </w:p>
        </w:tc>
      </w:tr>
      <w:tr w:rsidR="00336FA3" w14:paraId="711CE1AD" w14:textId="77777777" w:rsidTr="004F7386">
        <w:tc>
          <w:tcPr>
            <w:tcW w:w="6565" w:type="dxa"/>
          </w:tcPr>
          <w:p w14:paraId="442E4399" w14:textId="00363E52" w:rsidR="00336FA3" w:rsidRDefault="00336FA3" w:rsidP="001D4AE9">
            <w:pPr>
              <w:pStyle w:val="ListParagraph"/>
              <w:numPr>
                <w:ilvl w:val="0"/>
                <w:numId w:val="1"/>
              </w:numPr>
            </w:pPr>
            <w:r w:rsidRPr="008953C4">
              <w:t xml:space="preserve">Does your hospital include performance on the Leapfrog Hospital Survey, Leapfrog Hospital Safety Grade, or Leapfrog Top Hospital in performance reviews and/or compensation incentives for senior administrative leadership? </w:t>
            </w:r>
          </w:p>
        </w:tc>
        <w:tc>
          <w:tcPr>
            <w:tcW w:w="2785" w:type="dxa"/>
            <w:vAlign w:val="center"/>
          </w:tcPr>
          <w:p w14:paraId="3ECAFC50" w14:textId="77777777" w:rsidR="00336FA3" w:rsidRPr="008953C4" w:rsidRDefault="00336FA3" w:rsidP="00AD309C">
            <w:pPr>
              <w:numPr>
                <w:ilvl w:val="0"/>
                <w:numId w:val="231"/>
              </w:numPr>
              <w:contextualSpacing/>
              <w:rPr>
                <w:iCs/>
              </w:rPr>
            </w:pPr>
            <w:r w:rsidRPr="008953C4">
              <w:rPr>
                <w:iCs/>
              </w:rPr>
              <w:t>Yes</w:t>
            </w:r>
          </w:p>
          <w:p w14:paraId="3DE40EE9" w14:textId="0C3E6CF2" w:rsidR="00336FA3" w:rsidRDefault="00336FA3" w:rsidP="00AD309C">
            <w:pPr>
              <w:numPr>
                <w:ilvl w:val="0"/>
                <w:numId w:val="231"/>
              </w:numPr>
              <w:contextualSpacing/>
            </w:pPr>
            <w:r w:rsidRPr="008953C4">
              <w:rPr>
                <w:iCs/>
              </w:rPr>
              <w:t>No</w:t>
            </w:r>
          </w:p>
        </w:tc>
      </w:tr>
      <w:tr w:rsidR="00336FA3" w14:paraId="3746334E" w14:textId="77777777" w:rsidTr="004F7386">
        <w:tc>
          <w:tcPr>
            <w:tcW w:w="6565" w:type="dxa"/>
          </w:tcPr>
          <w:p w14:paraId="51E63842" w14:textId="08E54692" w:rsidR="00336FA3" w:rsidRPr="008953C4" w:rsidRDefault="00336FA3" w:rsidP="004F7386">
            <w:pPr>
              <w:pStyle w:val="ListParagraph"/>
              <w:numPr>
                <w:ilvl w:val="0"/>
                <w:numId w:val="1"/>
              </w:numPr>
            </w:pPr>
            <w:r w:rsidRPr="008953C4">
              <w:t xml:space="preserve">Does your hospital have a policy and protocol that empowers patients, or their family caregivers, to activate a rapid response team (RRT) to evaluate the patient for possible escalation of care, that includes </w:t>
            </w:r>
            <w:r w:rsidRPr="00D119C8">
              <w:rPr>
                <w:b/>
                <w:bCs/>
              </w:rPr>
              <w:t>all</w:t>
            </w:r>
            <w:r w:rsidRPr="008953C4">
              <w:t xml:space="preserve"> the following elements:</w:t>
            </w:r>
          </w:p>
          <w:p w14:paraId="08092C99" w14:textId="77777777" w:rsidR="00336FA3" w:rsidRPr="008953C4" w:rsidRDefault="00336FA3" w:rsidP="00AD309C">
            <w:pPr>
              <w:numPr>
                <w:ilvl w:val="0"/>
                <w:numId w:val="381"/>
              </w:numPr>
              <w:contextualSpacing/>
            </w:pPr>
            <w:r w:rsidRPr="008953C4">
              <w:t>A process to notify patients and family caregivers, verbally or in writing, about how to activate the rapid response team;</w:t>
            </w:r>
          </w:p>
          <w:p w14:paraId="2DBE04A0" w14:textId="0162DCB4" w:rsidR="002B6F66" w:rsidRPr="008953C4" w:rsidRDefault="00336FA3" w:rsidP="00AD309C">
            <w:pPr>
              <w:numPr>
                <w:ilvl w:val="0"/>
                <w:numId w:val="381"/>
              </w:numPr>
              <w:contextualSpacing/>
            </w:pPr>
            <w:r w:rsidRPr="008953C4">
              <w:t>A process to ensure clinicians are trained to recognize when a patient or family caregiver is asking for an evaluation by a rapid response team; and</w:t>
            </w:r>
          </w:p>
          <w:p w14:paraId="7C0A8C4D" w14:textId="299EB9BC" w:rsidR="00336FA3" w:rsidRDefault="00336FA3" w:rsidP="00AD309C">
            <w:pPr>
              <w:numPr>
                <w:ilvl w:val="0"/>
                <w:numId w:val="381"/>
              </w:numPr>
              <w:contextualSpacing/>
            </w:pPr>
            <w:r w:rsidRPr="008953C4">
              <w:t>A process to ensure clinicians are trained on how to conduct the evaluation if they are part of the rapid response team?</w:t>
            </w:r>
          </w:p>
        </w:tc>
        <w:tc>
          <w:tcPr>
            <w:tcW w:w="2785" w:type="dxa"/>
            <w:vAlign w:val="center"/>
          </w:tcPr>
          <w:p w14:paraId="49482E53" w14:textId="77777777" w:rsidR="00336FA3" w:rsidRPr="008953C4" w:rsidRDefault="00336FA3" w:rsidP="00AD309C">
            <w:pPr>
              <w:numPr>
                <w:ilvl w:val="0"/>
                <w:numId w:val="231"/>
              </w:numPr>
              <w:contextualSpacing/>
              <w:rPr>
                <w:iCs/>
              </w:rPr>
            </w:pPr>
            <w:r w:rsidRPr="008953C4">
              <w:rPr>
                <w:iCs/>
              </w:rPr>
              <w:t>Yes</w:t>
            </w:r>
          </w:p>
          <w:p w14:paraId="3BB559E3" w14:textId="7125F580" w:rsidR="00336FA3" w:rsidRDefault="00336FA3" w:rsidP="00AD309C">
            <w:pPr>
              <w:numPr>
                <w:ilvl w:val="0"/>
                <w:numId w:val="231"/>
              </w:numPr>
              <w:contextualSpacing/>
            </w:pPr>
            <w:r w:rsidRPr="008953C4">
              <w:rPr>
                <w:iCs/>
              </w:rPr>
              <w:t>No</w:t>
            </w:r>
          </w:p>
        </w:tc>
      </w:tr>
    </w:tbl>
    <w:p w14:paraId="0C0081B5" w14:textId="10C6C914" w:rsidR="00716CAD" w:rsidRDefault="00716CAD">
      <w:pPr>
        <w:rPr>
          <w:rFonts w:cs="Arial"/>
          <w:b/>
          <w:i/>
          <w:snapToGrid w:val="0"/>
          <w:sz w:val="22"/>
          <w:szCs w:val="22"/>
          <w:lang w:eastAsia="ja-JP"/>
        </w:rPr>
      </w:pPr>
    </w:p>
    <w:p w14:paraId="557CDF98" w14:textId="4040AB82" w:rsidR="00AA7E68" w:rsidRDefault="000C2C54" w:rsidP="00CF5A6E">
      <w:pPr>
        <w:pStyle w:val="Heading2"/>
      </w:pPr>
      <w:bookmarkStart w:id="95" w:name="_Toc225877671"/>
      <w:r w:rsidRPr="009A5185">
        <w:lastRenderedPageBreak/>
        <w:t>1</w:t>
      </w:r>
      <w:r>
        <w:t>B</w:t>
      </w:r>
      <w:r w:rsidRPr="009A5185">
        <w:t xml:space="preserve">: </w:t>
      </w:r>
      <w:r w:rsidRPr="00047DFE">
        <w:t xml:space="preserve">Billing </w:t>
      </w:r>
      <w:r>
        <w:t>Ethics</w:t>
      </w:r>
      <w:bookmarkEnd w:id="95"/>
    </w:p>
    <w:p w14:paraId="6C1C3D1A" w14:textId="77777777" w:rsidR="000C2C54" w:rsidRDefault="000C2C54">
      <w:pPr>
        <w:rPr>
          <w:rFonts w:cs="Arial"/>
          <w:b/>
          <w:snapToGrid w:val="0"/>
          <w:color w:val="000000"/>
        </w:rPr>
      </w:pPr>
    </w:p>
    <w:p w14:paraId="23812A65" w14:textId="0177C43A" w:rsidR="00A92A35" w:rsidRDefault="00A92A35" w:rsidP="00047DFE">
      <w:pPr>
        <w:rPr>
          <w:rStyle w:val="Hyperlink"/>
          <w:rFonts w:cs="Arial"/>
          <w:snapToGrid w:val="0"/>
        </w:rPr>
      </w:pPr>
      <w:r w:rsidRPr="009A5185">
        <w:rPr>
          <w:rFonts w:cs="Arial"/>
          <w:snapToGrid w:val="0"/>
        </w:rPr>
        <w:t xml:space="preserve">Hospitals that share a </w:t>
      </w:r>
      <w:r>
        <w:rPr>
          <w:rFonts w:cs="Arial"/>
          <w:snapToGrid w:val="0"/>
        </w:rPr>
        <w:t>CMS Certification Number</w:t>
      </w:r>
      <w:r w:rsidRPr="009A5185">
        <w:rPr>
          <w:rFonts w:cs="Arial"/>
          <w:snapToGrid w:val="0"/>
        </w:rPr>
        <w:t xml:space="preserve"> are required to report by facility. Please carefully review </w:t>
      </w:r>
      <w:hyperlink r:id="rId109" w:history="1">
        <w:r w:rsidRPr="009A5185">
          <w:rPr>
            <w:rStyle w:val="Hyperlink"/>
            <w:rFonts w:cs="Arial"/>
            <w:snapToGrid w:val="0"/>
          </w:rPr>
          <w:t>Leapfrog’s Multi-Campus Reporting Policy</w:t>
        </w:r>
      </w:hyperlink>
      <w:r>
        <w:rPr>
          <w:rStyle w:val="Hyperlink"/>
          <w:rFonts w:cs="Arial"/>
          <w:snapToGrid w:val="0"/>
        </w:rPr>
        <w:t>.</w:t>
      </w:r>
      <w:r w:rsidRPr="00D7308D">
        <w:rPr>
          <w:rStyle w:val="Hyperlink"/>
          <w:rFonts w:cs="Arial"/>
          <w:snapToGrid w:val="0"/>
        </w:rPr>
        <w:t xml:space="preserve"> </w:t>
      </w:r>
    </w:p>
    <w:p w14:paraId="04B9E23A" w14:textId="77777777" w:rsidR="00A92A35" w:rsidRDefault="00A92A35" w:rsidP="00047DFE">
      <w:pPr>
        <w:rPr>
          <w:rStyle w:val="Hyperlink"/>
          <w:rFonts w:cs="Arial"/>
          <w:snapToGrid w:val="0"/>
        </w:rPr>
      </w:pPr>
    </w:p>
    <w:p w14:paraId="1B6ADA25" w14:textId="77777777" w:rsidR="00266F1D" w:rsidRDefault="00047DFE" w:rsidP="00047DFE">
      <w:pPr>
        <w:rPr>
          <w:rFonts w:cs="Arial"/>
          <w:b/>
          <w:snapToGrid w:val="0"/>
          <w:color w:val="FF0000"/>
        </w:rPr>
      </w:pPr>
      <w:r w:rsidRPr="00873014">
        <w:rPr>
          <w:rFonts w:cs="Arial"/>
          <w:b/>
          <w:snapToGrid w:val="0"/>
          <w:color w:val="FF0000"/>
        </w:rPr>
        <w:t>Important Note</w:t>
      </w:r>
      <w:r w:rsidR="00985D11">
        <w:rPr>
          <w:rFonts w:cs="Arial"/>
          <w:b/>
          <w:snapToGrid w:val="0"/>
          <w:color w:val="FF0000"/>
        </w:rPr>
        <w:t>s</w:t>
      </w:r>
      <w:r w:rsidRPr="00873014">
        <w:rPr>
          <w:rFonts w:cs="Arial"/>
          <w:b/>
          <w:snapToGrid w:val="0"/>
          <w:color w:val="FF0000"/>
        </w:rPr>
        <w:t xml:space="preserve">: </w:t>
      </w:r>
    </w:p>
    <w:p w14:paraId="5AADA90C" w14:textId="77777777" w:rsidR="00266F1D" w:rsidRDefault="00266F1D" w:rsidP="00047DFE">
      <w:pPr>
        <w:rPr>
          <w:rFonts w:cs="Arial"/>
          <w:b/>
          <w:snapToGrid w:val="0"/>
          <w:color w:val="FF0000"/>
        </w:rPr>
      </w:pPr>
    </w:p>
    <w:p w14:paraId="40AF2F69" w14:textId="75C06003" w:rsidR="00266F1D" w:rsidRPr="00BD19D9" w:rsidRDefault="00266F1D" w:rsidP="00047DFE">
      <w:pPr>
        <w:rPr>
          <w:rFonts w:cs="Arial"/>
          <w:b/>
          <w:snapToGrid w:val="0"/>
        </w:rPr>
      </w:pPr>
      <w:r w:rsidRPr="00BD19D9">
        <w:rPr>
          <w:rFonts w:cs="Arial"/>
          <w:bCs/>
          <w:snapToGrid w:val="0"/>
        </w:rPr>
        <w:t>Note 1:</w:t>
      </w:r>
      <w:r w:rsidR="008B5CAF" w:rsidRPr="00BD19D9">
        <w:rPr>
          <w:rFonts w:cs="Arial"/>
          <w:b/>
          <w:snapToGrid w:val="0"/>
        </w:rPr>
        <w:t xml:space="preserve"> </w:t>
      </w:r>
      <w:r w:rsidR="008B5CAF" w:rsidRPr="00BD19D9">
        <w:rPr>
          <w:rFonts w:cs="Arial"/>
          <w:bCs/>
          <w:snapToGrid w:val="0"/>
        </w:rPr>
        <w:t>Questions #4-7</w:t>
      </w:r>
      <w:r w:rsidR="00944E84">
        <w:rPr>
          <w:rFonts w:cs="Arial"/>
          <w:bCs/>
          <w:snapToGrid w:val="0"/>
        </w:rPr>
        <w:t xml:space="preserve"> </w:t>
      </w:r>
      <w:r w:rsidR="008B5CAF" w:rsidRPr="00BD19D9">
        <w:rPr>
          <w:rFonts w:cs="Arial"/>
          <w:bCs/>
          <w:snapToGrid w:val="0"/>
        </w:rPr>
        <w:t>will not be scored or publicly reported.</w:t>
      </w:r>
    </w:p>
    <w:p w14:paraId="2C004D09" w14:textId="77777777" w:rsidR="008B5CAF" w:rsidRPr="00BD19D9" w:rsidRDefault="008B5CAF" w:rsidP="00047DFE">
      <w:pPr>
        <w:rPr>
          <w:rFonts w:cs="Arial"/>
          <w:b/>
          <w:snapToGrid w:val="0"/>
        </w:rPr>
      </w:pPr>
    </w:p>
    <w:p w14:paraId="3B5E3F31" w14:textId="2D355C52" w:rsidR="003157E6" w:rsidRDefault="00266F1D" w:rsidP="00047DFE">
      <w:pPr>
        <w:rPr>
          <w:bCs/>
        </w:rPr>
      </w:pPr>
      <w:r w:rsidRPr="00BD19D9">
        <w:rPr>
          <w:rFonts w:cs="Arial"/>
          <w:bCs/>
          <w:snapToGrid w:val="0"/>
        </w:rPr>
        <w:t>Note 2:</w:t>
      </w:r>
      <w:r w:rsidRPr="00BD19D9">
        <w:rPr>
          <w:rFonts w:cs="Arial"/>
          <w:b/>
          <w:snapToGrid w:val="0"/>
        </w:rPr>
        <w:t xml:space="preserve"> </w:t>
      </w:r>
      <w:r w:rsidR="00047DFE" w:rsidRPr="00722F1B">
        <w:rPr>
          <w:bCs/>
        </w:rPr>
        <w:t xml:space="preserve">Hyperlinks throughout this subsection refer to </w:t>
      </w:r>
      <w:r w:rsidR="00047DFE">
        <w:rPr>
          <w:bCs/>
        </w:rPr>
        <w:t xml:space="preserve">the </w:t>
      </w:r>
      <w:hyperlink w:anchor="_Section_1B:_Person-Centered" w:history="1">
        <w:r w:rsidR="004705EA">
          <w:rPr>
            <w:rStyle w:val="Hyperlink"/>
            <w:bCs/>
          </w:rPr>
          <w:t>Billing Ethics FAQs</w:t>
        </w:r>
      </w:hyperlink>
      <w:r w:rsidR="00047DFE">
        <w:rPr>
          <w:bCs/>
        </w:rPr>
        <w:t xml:space="preserve"> </w:t>
      </w:r>
      <w:r w:rsidR="00DA3C01">
        <w:rPr>
          <w:bCs/>
        </w:rPr>
        <w:t xml:space="preserve">beginning </w:t>
      </w:r>
      <w:r w:rsidR="00047DFE">
        <w:rPr>
          <w:bCs/>
        </w:rPr>
        <w:t xml:space="preserve">on </w:t>
      </w:r>
      <w:r w:rsidR="00073278">
        <w:rPr>
          <w:bCs/>
        </w:rPr>
        <w:t xml:space="preserve">page </w:t>
      </w:r>
      <w:r w:rsidR="00670D5A">
        <w:rPr>
          <w:bCs/>
        </w:rPr>
        <w:fldChar w:fldCharType="begin"/>
      </w:r>
      <w:r w:rsidR="00670D5A">
        <w:rPr>
          <w:bCs/>
        </w:rPr>
        <w:instrText xml:space="preserve"> PAGEREF _Ref123646360 \h </w:instrText>
      </w:r>
      <w:r w:rsidR="00670D5A">
        <w:rPr>
          <w:bCs/>
        </w:rPr>
      </w:r>
      <w:r w:rsidR="00670D5A">
        <w:rPr>
          <w:bCs/>
        </w:rPr>
        <w:fldChar w:fldCharType="separate"/>
      </w:r>
      <w:r w:rsidR="007D53A2">
        <w:rPr>
          <w:bCs/>
          <w:noProof/>
        </w:rPr>
        <w:t>4</w:t>
      </w:r>
      <w:r w:rsidR="00670D5A">
        <w:rPr>
          <w:bCs/>
        </w:rPr>
        <w:fldChar w:fldCharType="end"/>
      </w:r>
      <w:r w:rsidR="009143AE">
        <w:rPr>
          <w:bCs/>
        </w:rPr>
        <w:t>9</w:t>
      </w:r>
      <w:r w:rsidR="008F143B">
        <w:rPr>
          <w:bCs/>
        </w:rPr>
        <w:t>,</w:t>
      </w:r>
      <w:r w:rsidR="00047DFE" w:rsidRPr="004A60F9">
        <w:rPr>
          <w:bCs/>
        </w:rPr>
        <w:t xml:space="preserve"> not to endnotes. These hyperlinks are not include</w:t>
      </w:r>
      <w:r w:rsidR="00047DFE">
        <w:rPr>
          <w:bCs/>
        </w:rPr>
        <w:t xml:space="preserve">d in the </w:t>
      </w:r>
      <w:r w:rsidR="00986F9F">
        <w:rPr>
          <w:bCs/>
        </w:rPr>
        <w:t>O</w:t>
      </w:r>
      <w:r w:rsidR="00047DFE">
        <w:rPr>
          <w:bCs/>
        </w:rPr>
        <w:t xml:space="preserve">nline </w:t>
      </w:r>
      <w:r w:rsidR="00986F9F">
        <w:rPr>
          <w:bCs/>
        </w:rPr>
        <w:t xml:space="preserve">Survey Tool. </w:t>
      </w:r>
    </w:p>
    <w:p w14:paraId="1F240BD9" w14:textId="77777777" w:rsidR="00872B0F" w:rsidRDefault="00872B0F" w:rsidP="00047DFE">
      <w:pPr>
        <w:rPr>
          <w:bCs/>
        </w:rPr>
      </w:pPr>
    </w:p>
    <w:p w14:paraId="73EE77DF" w14:textId="3BFA78AA" w:rsidR="00257E88" w:rsidRDefault="00872B0F" w:rsidP="00257E88">
      <w:pPr>
        <w:rPr>
          <w:rFonts w:cs="Arial"/>
        </w:rPr>
      </w:pPr>
      <w:r w:rsidRPr="000C7BC9">
        <w:rPr>
          <w:b/>
          <w:noProof/>
          <w:snapToGrid w:val="0"/>
          <w:color w:val="000000"/>
        </w:rPr>
        <mc:AlternateContent>
          <mc:Choice Requires="wps">
            <w:drawing>
              <wp:inline distT="0" distB="0" distL="0" distR="0" wp14:anchorId="12F3EDB3" wp14:editId="68F3E8BA">
                <wp:extent cx="6027089" cy="1039318"/>
                <wp:effectExtent l="0" t="0" r="12065" b="10160"/>
                <wp:docPr id="14" name="Text Box 14" descr="P1388TB3#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27089" cy="1039318"/>
                        </a:xfrm>
                        <a:prstGeom prst="rect">
                          <a:avLst/>
                        </a:prstGeom>
                        <a:solidFill>
                          <a:srgbClr val="FFFFFF"/>
                        </a:solidFill>
                        <a:ln w="9525">
                          <a:solidFill>
                            <a:srgbClr val="FF0000"/>
                          </a:solidFill>
                          <a:miter lim="800000"/>
                          <a:headEnd/>
                          <a:tailEnd/>
                        </a:ln>
                      </wps:spPr>
                      <wps:txbx>
                        <w:txbxContent>
                          <w:p w14:paraId="2A15E4D7" w14:textId="0C1EC4F2" w:rsidR="00872B0F" w:rsidRPr="000C7BC9" w:rsidRDefault="00872B0F" w:rsidP="00872B0F">
                            <w:pPr>
                              <w:spacing w:before="40"/>
                              <w:rPr>
                                <w:rFonts w:cs="Arial"/>
                                <w:bCs/>
                                <w:snapToGrid w:val="0"/>
                                <w:u w:val="single"/>
                              </w:rPr>
                            </w:pPr>
                            <w:r w:rsidRPr="009A5185">
                              <w:rPr>
                                <w:rFonts w:cs="Arial"/>
                                <w:b/>
                                <w:snapToGrid w:val="0"/>
                              </w:rPr>
                              <w:t xml:space="preserve">Reporting Period: </w:t>
                            </w:r>
                            <w:r>
                              <w:t>Answer questions #1-</w:t>
                            </w:r>
                            <w:r w:rsidR="00691EFF">
                              <w:t>3</w:t>
                            </w:r>
                            <w:r>
                              <w:t xml:space="preserve"> based on the practices currently in place at the time you submit this section of the Survey.</w:t>
                            </w:r>
                          </w:p>
                          <w:p w14:paraId="24F8CA00" w14:textId="77777777" w:rsidR="00872B0F" w:rsidRPr="00AA7E68" w:rsidRDefault="00872B0F" w:rsidP="00872B0F">
                            <w:pPr>
                              <w:spacing w:before="40"/>
                              <w:rPr>
                                <w:rFonts w:cs="Arial"/>
                                <w:bCs/>
                                <w:snapToGrid w:val="0"/>
                                <w:u w:val="single"/>
                              </w:rPr>
                            </w:pPr>
                          </w:p>
                          <w:p w14:paraId="776A16D2" w14:textId="77777777" w:rsidR="00872B0F" w:rsidRDefault="00872B0F" w:rsidP="00872B0F">
                            <w:r w:rsidRPr="001B3D66">
                              <w:rPr>
                                <w:rFonts w:cs="Arial"/>
                                <w:sz w:val="16"/>
                                <w:szCs w:val="16"/>
                              </w:rPr>
                              <w:t xml:space="preserve">Note: As a reminder, the </w:t>
                            </w:r>
                            <w:hyperlink r:id="rId110" w:history="1">
                              <w:r w:rsidRPr="001B3D66">
                                <w:rPr>
                                  <w:rStyle w:val="Hyperlink"/>
                                  <w:rFonts w:cs="Arial"/>
                                  <w:sz w:val="16"/>
                                  <w:szCs w:val="16"/>
                                </w:rPr>
                                <w:t>Corrections Period</w:t>
                              </w:r>
                            </w:hyperlink>
                            <w:r w:rsidRPr="001B3D66">
                              <w:rPr>
                                <w:rFonts w:cs="Arial"/>
                                <w:sz w:val="16"/>
                                <w:szCs w:val="16"/>
                              </w:rPr>
                              <w:t xml:space="preserve"> (</w:t>
                            </w:r>
                            <w:r>
                              <w:rPr>
                                <w:rFonts w:cs="Arial"/>
                                <w:sz w:val="16"/>
                                <w:szCs w:val="16"/>
                              </w:rPr>
                              <w:t>December</w:t>
                            </w:r>
                            <w:r w:rsidRPr="001B3D66">
                              <w:rPr>
                                <w:rFonts w:cs="Arial"/>
                                <w:sz w:val="16"/>
                                <w:szCs w:val="16"/>
                              </w:rPr>
                              <w:t xml:space="preserve"> 1-January 31) is reserved for corrections to previously submitted Surveys only. </w:t>
                            </w:r>
                            <w:r w:rsidRPr="001B3D66">
                              <w:rPr>
                                <w:rFonts w:cs="Arial"/>
                                <w:bCs/>
                                <w:snapToGrid w:val="0"/>
                                <w:sz w:val="16"/>
                                <w:szCs w:val="16"/>
                              </w:rPr>
                              <w:t xml:space="preserve">Any updates made to reflect a change in performance must be made prior to the </w:t>
                            </w:r>
                            <w:r>
                              <w:rPr>
                                <w:rFonts w:cs="Arial"/>
                                <w:bCs/>
                                <w:snapToGrid w:val="0"/>
                                <w:sz w:val="16"/>
                                <w:szCs w:val="16"/>
                              </w:rPr>
                              <w:t>November 30</w:t>
                            </w:r>
                            <w:r w:rsidRPr="001B3D66">
                              <w:rPr>
                                <w:rFonts w:cs="Arial"/>
                                <w:bCs/>
                                <w:snapToGrid w:val="0"/>
                                <w:sz w:val="16"/>
                                <w:szCs w:val="16"/>
                              </w:rPr>
                              <w:t xml:space="preserve"> Late Submission </w:t>
                            </w:r>
                            <w:r w:rsidRPr="00AE38C7">
                              <w:rPr>
                                <w:rFonts w:cs="Arial"/>
                                <w:bCs/>
                                <w:snapToGrid w:val="0"/>
                                <w:sz w:val="16"/>
                                <w:szCs w:val="16"/>
                              </w:rPr>
                              <w:t>and Performance Update</w:t>
                            </w:r>
                            <w:r>
                              <w:rPr>
                                <w:rFonts w:cs="Arial"/>
                                <w:bCs/>
                                <w:snapToGrid w:val="0"/>
                                <w:sz w:val="16"/>
                                <w:szCs w:val="16"/>
                              </w:rPr>
                              <w:t xml:space="preserve"> </w:t>
                            </w:r>
                            <w:r w:rsidRPr="001B3D66">
                              <w:rPr>
                                <w:rFonts w:cs="Arial"/>
                                <w:bCs/>
                                <w:snapToGrid w:val="0"/>
                                <w:sz w:val="16"/>
                                <w:szCs w:val="16"/>
                              </w:rPr>
                              <w:t xml:space="preserve">Deadline. Updates made to reflect a change in performance after </w:t>
                            </w:r>
                            <w:r>
                              <w:rPr>
                                <w:rFonts w:cs="Arial"/>
                                <w:bCs/>
                                <w:snapToGrid w:val="0"/>
                                <w:sz w:val="16"/>
                                <w:szCs w:val="16"/>
                              </w:rPr>
                              <w:t>November 30</w:t>
                            </w:r>
                            <w:r w:rsidRPr="001B3D66">
                              <w:rPr>
                                <w:rFonts w:cs="Arial"/>
                                <w:bCs/>
                                <w:snapToGrid w:val="0"/>
                                <w:sz w:val="16"/>
                                <w:szCs w:val="16"/>
                              </w:rPr>
                              <w:t xml:space="preserve"> will not be scored or publicly reported.</w:t>
                            </w:r>
                          </w:p>
                        </w:txbxContent>
                      </wps:txbx>
                      <wps:bodyPr rot="0" vert="horz" wrap="square" lIns="91440" tIns="45720" rIns="91440" bIns="45720" anchor="t" anchorCtr="0">
                        <a:spAutoFit/>
                      </wps:bodyPr>
                    </wps:wsp>
                  </a:graphicData>
                </a:graphic>
              </wp:inline>
            </w:drawing>
          </mc:Choice>
          <mc:Fallback>
            <w:pict>
              <v:shape w14:anchorId="12F3EDB3" id="Text Box 14" o:spid="_x0000_s1030" type="#_x0000_t202" alt="P1388TB3#y1" style="width:474.55pt;height:81.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" strokecolor="red">
                <v:textbox style="mso-fit-shape-to-text:t">
                  <w:txbxContent>
                    <w:p w14:paraId="2A15E4D7" w14:textId="0C1EC4F2" w:rsidR="00872B0F" w:rsidRPr="000C7BC9" w:rsidRDefault="00872B0F" w:rsidP="00872B0F">
                      <w:pPr>
                        <w:spacing w:before="40"/>
                        <w:rPr>
                          <w:rFonts w:cs="Arial"/>
                          <w:bCs/>
                          <w:snapToGrid w:val="0"/>
                          <w:u w:val="single"/>
                        </w:rPr>
                      </w:pPr>
                      <w:r w:rsidRPr="009A5185">
                        <w:rPr>
                          <w:rFonts w:cs="Arial"/>
                          <w:b/>
                          <w:snapToGrid w:val="0"/>
                        </w:rPr>
                        <w:t xml:space="preserve">Reporting Period: </w:t>
                      </w:r>
                      <w:r>
                        <w:t>Answer questions #1-</w:t>
                      </w:r>
                      <w:r w:rsidR="00691EFF">
                        <w:t>3</w:t>
                      </w:r>
                      <w:r>
                        <w:t xml:space="preserve"> based on the practices currently in place at the time you submit this section of the Survey.</w:t>
                      </w:r>
                    </w:p>
                    <w:p w14:paraId="24F8CA00" w14:textId="77777777" w:rsidR="00872B0F" w:rsidRPr="00AA7E68" w:rsidRDefault="00872B0F" w:rsidP="00872B0F">
                      <w:pPr>
                        <w:spacing w:before="40"/>
                        <w:rPr>
                          <w:rFonts w:cs="Arial"/>
                          <w:bCs/>
                          <w:snapToGrid w:val="0"/>
                          <w:u w:val="single"/>
                        </w:rPr>
                      </w:pPr>
                    </w:p>
                    <w:p w14:paraId="776A16D2" w14:textId="77777777" w:rsidR="00872B0F" w:rsidRDefault="00872B0F" w:rsidP="00872B0F">
                      <w:r w:rsidRPr="001B3D66">
                        <w:rPr>
                          <w:rFonts w:cs="Arial"/>
                          <w:sz w:val="16"/>
                          <w:szCs w:val="16"/>
                        </w:rPr>
                        <w:t xml:space="preserve">Note: As a reminder, the </w:t>
                      </w:r>
                      <w:hyperlink r:id="rId111" w:history="1">
                        <w:r w:rsidRPr="001B3D66">
                          <w:rPr>
                            <w:rStyle w:val="Hyperlink"/>
                            <w:rFonts w:cs="Arial"/>
                            <w:sz w:val="16"/>
                            <w:szCs w:val="16"/>
                          </w:rPr>
                          <w:t>Corrections Period</w:t>
                        </w:r>
                      </w:hyperlink>
                      <w:r w:rsidRPr="001B3D66">
                        <w:rPr>
                          <w:rFonts w:cs="Arial"/>
                          <w:sz w:val="16"/>
                          <w:szCs w:val="16"/>
                        </w:rPr>
                        <w:t xml:space="preserve"> (</w:t>
                      </w:r>
                      <w:r>
                        <w:rPr>
                          <w:rFonts w:cs="Arial"/>
                          <w:sz w:val="16"/>
                          <w:szCs w:val="16"/>
                        </w:rPr>
                        <w:t>December</w:t>
                      </w:r>
                      <w:r w:rsidRPr="001B3D66">
                        <w:rPr>
                          <w:rFonts w:cs="Arial"/>
                          <w:sz w:val="16"/>
                          <w:szCs w:val="16"/>
                        </w:rPr>
                        <w:t xml:space="preserve"> 1-January 31) is reserved for corrections to previously submitted Surveys only. </w:t>
                      </w:r>
                      <w:r w:rsidRPr="001B3D66">
                        <w:rPr>
                          <w:rFonts w:cs="Arial"/>
                          <w:bCs/>
                          <w:snapToGrid w:val="0"/>
                          <w:sz w:val="16"/>
                          <w:szCs w:val="16"/>
                        </w:rPr>
                        <w:t xml:space="preserve">Any updates made to reflect a change in performance must be made prior to the </w:t>
                      </w:r>
                      <w:r>
                        <w:rPr>
                          <w:rFonts w:cs="Arial"/>
                          <w:bCs/>
                          <w:snapToGrid w:val="0"/>
                          <w:sz w:val="16"/>
                          <w:szCs w:val="16"/>
                        </w:rPr>
                        <w:t>November 30</w:t>
                      </w:r>
                      <w:r w:rsidRPr="001B3D66">
                        <w:rPr>
                          <w:rFonts w:cs="Arial"/>
                          <w:bCs/>
                          <w:snapToGrid w:val="0"/>
                          <w:sz w:val="16"/>
                          <w:szCs w:val="16"/>
                        </w:rPr>
                        <w:t xml:space="preserve"> Late Submission </w:t>
                      </w:r>
                      <w:r w:rsidRPr="00AE38C7">
                        <w:rPr>
                          <w:rFonts w:cs="Arial"/>
                          <w:bCs/>
                          <w:snapToGrid w:val="0"/>
                          <w:sz w:val="16"/>
                          <w:szCs w:val="16"/>
                        </w:rPr>
                        <w:t>and Performance Update</w:t>
                      </w:r>
                      <w:r>
                        <w:rPr>
                          <w:rFonts w:cs="Arial"/>
                          <w:bCs/>
                          <w:snapToGrid w:val="0"/>
                          <w:sz w:val="16"/>
                          <w:szCs w:val="16"/>
                        </w:rPr>
                        <w:t xml:space="preserve"> </w:t>
                      </w:r>
                      <w:r w:rsidRPr="001B3D66">
                        <w:rPr>
                          <w:rFonts w:cs="Arial"/>
                          <w:bCs/>
                          <w:snapToGrid w:val="0"/>
                          <w:sz w:val="16"/>
                          <w:szCs w:val="16"/>
                        </w:rPr>
                        <w:t xml:space="preserve">Deadline. Updates made to reflect a change in performance after </w:t>
                      </w:r>
                      <w:r>
                        <w:rPr>
                          <w:rFonts w:cs="Arial"/>
                          <w:bCs/>
                          <w:snapToGrid w:val="0"/>
                          <w:sz w:val="16"/>
                          <w:szCs w:val="16"/>
                        </w:rPr>
                        <w:t>November 30</w:t>
                      </w:r>
                      <w:r w:rsidRPr="001B3D66">
                        <w:rPr>
                          <w:rFonts w:cs="Arial"/>
                          <w:bCs/>
                          <w:snapToGrid w:val="0"/>
                          <w:sz w:val="16"/>
                          <w:szCs w:val="16"/>
                        </w:rPr>
                        <w:t xml:space="preserve"> will not be scored or publicly reported.</w:t>
                      </w:r>
                    </w:p>
                  </w:txbxContent>
                </v:textbox>
                <w10:anchorlock/>
              </v:shape>
            </w:pict>
          </mc:Fallback>
        </mc:AlternateContent>
      </w:r>
    </w:p>
    <w:p w14:paraId="6B869FCF" w14:textId="77777777" w:rsidR="0003005A" w:rsidRPr="000F159A" w:rsidRDefault="0003005A" w:rsidP="00B93E94">
      <w:pPr>
        <w:rPr>
          <w:b/>
          <w:bCs/>
          <w:i/>
          <w:iCs/>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88"/>
        <w:gridCol w:w="2947"/>
      </w:tblGrid>
      <w:tr w:rsidR="00AA7E68" w:rsidRPr="00E64378" w14:paraId="1AE1A7A5" w14:textId="77777777" w:rsidTr="00D05B1D">
        <w:trPr>
          <w:trHeight w:val="6768"/>
        </w:trPr>
        <w:tc>
          <w:tcPr>
            <w:tcW w:w="6588" w:type="dxa"/>
            <w:vAlign w:val="center"/>
          </w:tcPr>
          <w:p w14:paraId="662488E9" w14:textId="08D6FFC5" w:rsidR="00AA7E68" w:rsidRPr="00BC308F" w:rsidRDefault="005867EC" w:rsidP="00AD309C">
            <w:pPr>
              <w:pStyle w:val="ListParagraph"/>
              <w:numPr>
                <w:ilvl w:val="0"/>
                <w:numId w:val="192"/>
              </w:numPr>
              <w:spacing w:line="276" w:lineRule="auto"/>
              <w:rPr>
                <w:rFonts w:eastAsia="Avenir" w:cstheme="minorHAnsi"/>
                <w:bCs/>
              </w:rPr>
            </w:pPr>
            <w:r w:rsidRPr="00BC308F">
              <w:rPr>
                <w:rFonts w:eastAsia="Avenir" w:cstheme="minorHAnsi"/>
                <w:bCs/>
              </w:rPr>
              <w:t>Within 30 days of the final claims adjudication</w:t>
            </w:r>
            <w:r w:rsidR="009C3DBD">
              <w:rPr>
                <w:rFonts w:eastAsia="Avenir" w:cstheme="minorHAnsi"/>
                <w:bCs/>
              </w:rPr>
              <w:t xml:space="preserve"> (or within 30 days from date of service for patients without insurance)</w:t>
            </w:r>
            <w:r w:rsidRPr="00BC308F">
              <w:rPr>
                <w:rFonts w:eastAsia="Avenir" w:cstheme="minorHAnsi"/>
                <w:bCs/>
              </w:rPr>
              <w:t>, does</w:t>
            </w:r>
            <w:r w:rsidR="00AA7E68" w:rsidRPr="00BC308F">
              <w:rPr>
                <w:rFonts w:eastAsia="Avenir" w:cstheme="minorHAnsi"/>
                <w:bCs/>
              </w:rPr>
              <w:t xml:space="preserve"> your hospital provide every patient</w:t>
            </w:r>
            <w:r w:rsidR="00B20633" w:rsidRPr="00BC308F">
              <w:rPr>
                <w:rFonts w:eastAsia="Avenir" w:cstheme="minorHAnsi"/>
                <w:bCs/>
              </w:rPr>
              <w:t xml:space="preserve"> </w:t>
            </w:r>
            <w:r w:rsidR="00AA7E68" w:rsidRPr="00BC308F">
              <w:rPr>
                <w:rFonts w:eastAsia="Avenir" w:cstheme="minorHAnsi"/>
                <w:bCs/>
              </w:rPr>
              <w:t>with a</w:t>
            </w:r>
            <w:r w:rsidR="00242FCE" w:rsidRPr="00BC308F">
              <w:rPr>
                <w:rFonts w:eastAsia="Avenir" w:cstheme="minorHAnsi"/>
                <w:bCs/>
              </w:rPr>
              <w:t xml:space="preserve"> billing statement and/or</w:t>
            </w:r>
            <w:r w:rsidR="00AA7E68" w:rsidRPr="00BC308F">
              <w:rPr>
                <w:rFonts w:eastAsia="Avenir" w:cstheme="minorHAnsi"/>
                <w:bCs/>
              </w:rPr>
              <w:t xml:space="preserve"> master itemized bill for facility services</w:t>
            </w:r>
            <w:r w:rsidR="00F0775D" w:rsidRPr="00BC308F">
              <w:rPr>
                <w:rFonts w:eastAsia="Avenir" w:cstheme="minorHAnsi"/>
                <w:bCs/>
              </w:rPr>
              <w:t>,</w:t>
            </w:r>
            <w:r w:rsidR="00F0775D">
              <w:rPr>
                <w:rFonts w:eastAsia="Avenir" w:cstheme="minorHAnsi"/>
                <w:bCs/>
              </w:rPr>
              <w:t xml:space="preserve"> </w:t>
            </w:r>
            <w:r w:rsidR="00F0775D" w:rsidRPr="00BC308F">
              <w:rPr>
                <w:rFonts w:eastAsia="Avenir" w:cstheme="minorHAnsi"/>
                <w:bCs/>
              </w:rPr>
              <w:t>either by</w:t>
            </w:r>
            <w:r w:rsidR="00F0775D">
              <w:rPr>
                <w:rFonts w:eastAsia="Avenir" w:cstheme="minorHAnsi"/>
                <w:bCs/>
              </w:rPr>
              <w:t xml:space="preserve"> </w:t>
            </w:r>
            <w:r w:rsidR="00F0775D" w:rsidRPr="00BC308F">
              <w:rPr>
                <w:rFonts w:eastAsia="Avenir" w:cstheme="minorHAnsi"/>
                <w:bCs/>
              </w:rPr>
              <w:t>mail or electronically</w:t>
            </w:r>
            <w:r w:rsidR="00F0775D">
              <w:rPr>
                <w:rFonts w:eastAsia="Avenir" w:cstheme="minorHAnsi"/>
                <w:bCs/>
              </w:rPr>
              <w:t xml:space="preserve"> (via email or the patient portal)</w:t>
            </w:r>
            <w:r w:rsidR="00F0775D" w:rsidRPr="00BC308F">
              <w:rPr>
                <w:rFonts w:eastAsia="Avenir" w:cstheme="minorHAnsi"/>
                <w:bCs/>
              </w:rPr>
              <w:t>,</w:t>
            </w:r>
            <w:r w:rsidR="00AA7E68" w:rsidRPr="00BC308F">
              <w:rPr>
                <w:rFonts w:eastAsia="Avenir" w:cstheme="minorHAnsi"/>
                <w:bCs/>
              </w:rPr>
              <w:t xml:space="preserve"> that includes ALL the following</w:t>
            </w:r>
            <w:r w:rsidR="00691EFF">
              <w:rPr>
                <w:rFonts w:eastAsia="Avenir" w:cstheme="minorHAnsi"/>
                <w:bCs/>
              </w:rPr>
              <w:t>:</w:t>
            </w:r>
          </w:p>
          <w:p w14:paraId="22A5533A" w14:textId="7CB55974" w:rsidR="00AA7E68" w:rsidRPr="00E64378" w:rsidRDefault="00AA7E68" w:rsidP="00AD309C">
            <w:pPr>
              <w:numPr>
                <w:ilvl w:val="1"/>
                <w:numId w:val="142"/>
              </w:numPr>
              <w:contextualSpacing/>
              <w:rPr>
                <w:rFonts w:eastAsia="Avenir" w:cstheme="minorHAnsi"/>
              </w:rPr>
            </w:pPr>
            <w:r w:rsidRPr="00E64378">
              <w:rPr>
                <w:rFonts w:eastAsia="Avenir" w:cstheme="minorHAnsi"/>
              </w:rPr>
              <w:t>Name and address of the facility where billed services occurred</w:t>
            </w:r>
            <w:r w:rsidR="005E3827">
              <w:rPr>
                <w:rFonts w:eastAsia="Avenir" w:cstheme="minorHAnsi"/>
              </w:rPr>
              <w:t>;</w:t>
            </w:r>
          </w:p>
          <w:p w14:paraId="4DCBABEB" w14:textId="30594AF0" w:rsidR="00AA7E68" w:rsidRDefault="00AA7E68" w:rsidP="00AD309C">
            <w:pPr>
              <w:numPr>
                <w:ilvl w:val="1"/>
                <w:numId w:val="142"/>
              </w:numPr>
              <w:contextualSpacing/>
              <w:rPr>
                <w:rFonts w:eastAsia="Avenir" w:cstheme="minorHAnsi"/>
              </w:rPr>
            </w:pPr>
            <w:r w:rsidRPr="00E64378">
              <w:rPr>
                <w:rFonts w:eastAsia="Avenir" w:cstheme="minorHAnsi"/>
              </w:rPr>
              <w:t>Date(s) of service</w:t>
            </w:r>
            <w:r w:rsidR="005E3827">
              <w:rPr>
                <w:rFonts w:eastAsia="Avenir" w:cstheme="minorHAnsi"/>
              </w:rPr>
              <w:t>;</w:t>
            </w:r>
          </w:p>
          <w:p w14:paraId="37EDE1EF" w14:textId="1A52D818" w:rsidR="00242FCE" w:rsidRPr="00E64378" w:rsidRDefault="00242FCE" w:rsidP="00AD309C">
            <w:pPr>
              <w:numPr>
                <w:ilvl w:val="1"/>
                <w:numId w:val="142"/>
              </w:numPr>
              <w:contextualSpacing/>
              <w:rPr>
                <w:rFonts w:eastAsia="Avenir" w:cstheme="minorHAnsi"/>
              </w:rPr>
            </w:pPr>
            <w:r>
              <w:rPr>
                <w:rFonts w:eastAsia="Avenir" w:cstheme="minorHAnsi"/>
              </w:rPr>
              <w:t>An individual line item for each service or bundle of services performed</w:t>
            </w:r>
            <w:r w:rsidR="005E3827">
              <w:rPr>
                <w:rFonts w:eastAsia="Avenir" w:cstheme="minorHAnsi"/>
              </w:rPr>
              <w:t>;</w:t>
            </w:r>
          </w:p>
          <w:p w14:paraId="198F3C20" w14:textId="511DE491" w:rsidR="00AA7E68" w:rsidRPr="00E64378" w:rsidRDefault="00AA7E68" w:rsidP="00AD309C">
            <w:pPr>
              <w:numPr>
                <w:ilvl w:val="1"/>
                <w:numId w:val="142"/>
              </w:numPr>
              <w:contextualSpacing/>
              <w:rPr>
                <w:rFonts w:eastAsia="Avenir" w:cstheme="minorHAnsi"/>
              </w:rPr>
            </w:pPr>
            <w:r w:rsidRPr="00E64378">
              <w:rPr>
                <w:rFonts w:eastAsia="Avenir" w:cstheme="minorHAnsi"/>
              </w:rPr>
              <w:t>Description of services billed that accompanies each line item or bundle of services</w:t>
            </w:r>
            <w:r w:rsidR="009C3DBD">
              <w:rPr>
                <w:rFonts w:eastAsia="Avenir" w:cstheme="minorHAnsi"/>
              </w:rPr>
              <w:t xml:space="preserve"> performed</w:t>
            </w:r>
            <w:r w:rsidR="005E3827">
              <w:rPr>
                <w:rFonts w:eastAsia="Avenir" w:cstheme="minorHAnsi"/>
              </w:rPr>
              <w:t>;</w:t>
            </w:r>
          </w:p>
          <w:p w14:paraId="270264BA" w14:textId="0F65BDCD" w:rsidR="00AA7E68" w:rsidRPr="00E64378" w:rsidRDefault="00AA7E68" w:rsidP="00AD309C">
            <w:pPr>
              <w:numPr>
                <w:ilvl w:val="1"/>
                <w:numId w:val="142"/>
              </w:numPr>
              <w:contextualSpacing/>
              <w:rPr>
                <w:rFonts w:eastAsia="Avenir" w:cstheme="minorHAnsi"/>
              </w:rPr>
            </w:pPr>
            <w:r w:rsidRPr="00E64378">
              <w:rPr>
                <w:rFonts w:eastAsia="Avenir" w:cstheme="minorHAnsi"/>
              </w:rPr>
              <w:t>Amount of any principal, interest</w:t>
            </w:r>
            <w:r w:rsidR="00A44686">
              <w:rPr>
                <w:rFonts w:eastAsia="Avenir" w:cstheme="minorHAnsi"/>
              </w:rPr>
              <w:t>,</w:t>
            </w:r>
            <w:r w:rsidRPr="00E64378">
              <w:rPr>
                <w:rFonts w:eastAsia="Avenir" w:cstheme="minorHAnsi"/>
              </w:rPr>
              <w:t xml:space="preserve"> or fees (e.g., late or processing fees)</w:t>
            </w:r>
            <w:r w:rsidR="001D6200">
              <w:rPr>
                <w:rFonts w:eastAsia="Avenir" w:cstheme="minorHAnsi"/>
              </w:rPr>
              <w:t>, if applicable</w:t>
            </w:r>
            <w:r w:rsidR="005E3827">
              <w:rPr>
                <w:rFonts w:eastAsia="Avenir" w:cstheme="minorHAnsi"/>
              </w:rPr>
              <w:t>;</w:t>
            </w:r>
          </w:p>
          <w:p w14:paraId="21DF09E4" w14:textId="24D905B6" w:rsidR="00AA7E68" w:rsidRPr="00E64378" w:rsidRDefault="00AA7E68" w:rsidP="00AD309C">
            <w:pPr>
              <w:numPr>
                <w:ilvl w:val="1"/>
                <w:numId w:val="142"/>
              </w:numPr>
              <w:contextualSpacing/>
              <w:rPr>
                <w:rFonts w:eastAsia="Avenir" w:cstheme="minorHAnsi"/>
              </w:rPr>
            </w:pPr>
            <w:r w:rsidRPr="00E64378">
              <w:rPr>
                <w:rFonts w:eastAsia="Avenir" w:cstheme="minorHAnsi"/>
              </w:rPr>
              <w:t>Amount of any adjustment</w:t>
            </w:r>
            <w:r w:rsidR="005867EC">
              <w:rPr>
                <w:rFonts w:eastAsia="Avenir" w:cstheme="minorHAnsi"/>
              </w:rPr>
              <w:t>s</w:t>
            </w:r>
            <w:r w:rsidRPr="00E64378">
              <w:rPr>
                <w:rFonts w:eastAsia="Avenir" w:cstheme="minorHAnsi"/>
              </w:rPr>
              <w:t xml:space="preserve"> to the bill (e.g., health plan payment or discounts)</w:t>
            </w:r>
            <w:r w:rsidR="001D6200">
              <w:rPr>
                <w:rFonts w:eastAsia="Avenir" w:cstheme="minorHAnsi"/>
              </w:rPr>
              <w:t>, if applicable</w:t>
            </w:r>
            <w:r w:rsidR="005E3827">
              <w:rPr>
                <w:rFonts w:eastAsia="Avenir" w:cstheme="minorHAnsi"/>
              </w:rPr>
              <w:t>;</w:t>
            </w:r>
          </w:p>
          <w:p w14:paraId="048B2CE6" w14:textId="07C9B725" w:rsidR="00AA7E68" w:rsidRPr="00E64378" w:rsidRDefault="00AA7E68" w:rsidP="00AD309C">
            <w:pPr>
              <w:numPr>
                <w:ilvl w:val="1"/>
                <w:numId w:val="142"/>
              </w:numPr>
              <w:contextualSpacing/>
              <w:rPr>
                <w:rFonts w:eastAsia="Avenir" w:cstheme="minorHAnsi"/>
              </w:rPr>
            </w:pPr>
            <w:r w:rsidRPr="00E64378">
              <w:rPr>
                <w:rFonts w:eastAsia="Avenir" w:cstheme="minorHAnsi"/>
              </w:rPr>
              <w:t>Amount of any payments already received (from the patient or any other party)</w:t>
            </w:r>
            <w:r w:rsidR="001D6200">
              <w:rPr>
                <w:rFonts w:eastAsia="Avenir" w:cstheme="minorHAnsi"/>
              </w:rPr>
              <w:t>, if applicable</w:t>
            </w:r>
            <w:r w:rsidR="005E3827">
              <w:rPr>
                <w:rFonts w:eastAsia="Avenir" w:cstheme="minorHAnsi"/>
              </w:rPr>
              <w:t>;</w:t>
            </w:r>
          </w:p>
          <w:p w14:paraId="50AC471C" w14:textId="7BB07643" w:rsidR="00AA7E68" w:rsidRPr="00E64378" w:rsidRDefault="00AA7E68" w:rsidP="00AD309C">
            <w:pPr>
              <w:numPr>
                <w:ilvl w:val="1"/>
                <w:numId w:val="142"/>
              </w:numPr>
              <w:contextualSpacing/>
              <w:rPr>
                <w:rFonts w:eastAsia="Avenir" w:cstheme="minorHAnsi"/>
              </w:rPr>
            </w:pPr>
            <w:r w:rsidRPr="00E64378">
              <w:rPr>
                <w:rFonts w:eastAsia="Avenir" w:cstheme="minorHAnsi"/>
              </w:rPr>
              <w:t>Instructions on how to apply for financial assistance</w:t>
            </w:r>
            <w:r w:rsidR="009C388F">
              <w:rPr>
                <w:rFonts w:eastAsia="Avenir" w:cstheme="minorHAnsi"/>
              </w:rPr>
              <w:t>, if applicable</w:t>
            </w:r>
            <w:r w:rsidR="005E3827">
              <w:rPr>
                <w:rFonts w:eastAsia="Avenir" w:cstheme="minorHAnsi"/>
              </w:rPr>
              <w:t>;</w:t>
            </w:r>
          </w:p>
          <w:p w14:paraId="65B2BC49" w14:textId="669FDB78" w:rsidR="00AA7E68" w:rsidRPr="00043B48" w:rsidRDefault="00043B48" w:rsidP="00AD309C">
            <w:pPr>
              <w:numPr>
                <w:ilvl w:val="1"/>
                <w:numId w:val="142"/>
              </w:numPr>
              <w:contextualSpacing/>
              <w:rPr>
                <w:rStyle w:val="Hyperlink"/>
                <w:rFonts w:eastAsia="Avenir" w:cstheme="minorHAnsi"/>
              </w:rPr>
            </w:pPr>
            <w:r>
              <w:rPr>
                <w:rFonts w:eastAsia="Avenir" w:cstheme="minorHAnsi"/>
              </w:rPr>
              <w:fldChar w:fldCharType="begin"/>
            </w:r>
            <w:r w:rsidR="00D46A83">
              <w:rPr>
                <w:rFonts w:eastAsia="Avenir" w:cstheme="minorHAnsi"/>
              </w:rPr>
              <w:instrText>HYPERLINK  \l "_Person-Centered_Care:_Billing"</w:instrText>
            </w:r>
            <w:r>
              <w:rPr>
                <w:rFonts w:eastAsia="Avenir" w:cstheme="minorHAnsi"/>
              </w:rPr>
            </w:r>
            <w:r>
              <w:rPr>
                <w:rFonts w:eastAsia="Avenir" w:cstheme="minorHAnsi"/>
              </w:rPr>
              <w:fldChar w:fldCharType="separate"/>
            </w:r>
            <w:r w:rsidR="00AA7E68" w:rsidRPr="00043B48">
              <w:rPr>
                <w:rStyle w:val="Hyperlink"/>
                <w:rFonts w:eastAsia="Avenir" w:cstheme="minorHAnsi"/>
              </w:rPr>
              <w:t xml:space="preserve">Instructions </w:t>
            </w:r>
            <w:r w:rsidR="00F44DEB">
              <w:rPr>
                <w:rStyle w:val="Hyperlink"/>
                <w:rFonts w:eastAsia="Avenir" w:cstheme="minorHAnsi"/>
              </w:rPr>
              <w:t xml:space="preserve">in the patient’s preferred language </w:t>
            </w:r>
            <w:r w:rsidR="00AA7E68" w:rsidRPr="00043B48">
              <w:rPr>
                <w:rStyle w:val="Hyperlink"/>
                <w:rFonts w:eastAsia="Avenir" w:cstheme="minorHAnsi"/>
              </w:rPr>
              <w:t xml:space="preserve">on how to obtain </w:t>
            </w:r>
            <w:r w:rsidR="00B20633" w:rsidRPr="00B20633">
              <w:rPr>
                <w:rStyle w:val="Hyperlink"/>
                <w:rFonts w:eastAsia="Avenir" w:cstheme="minorHAnsi"/>
              </w:rPr>
              <w:t>a written translation or oral interpretation</w:t>
            </w:r>
            <w:r w:rsidR="00AA7E68" w:rsidRPr="00043B48">
              <w:rPr>
                <w:rStyle w:val="Hyperlink"/>
                <w:rFonts w:eastAsia="Avenir" w:cstheme="minorHAnsi"/>
              </w:rPr>
              <w:t xml:space="preserve"> </w:t>
            </w:r>
            <w:r w:rsidR="00F44DEB">
              <w:rPr>
                <w:rStyle w:val="Hyperlink"/>
                <w:rFonts w:eastAsia="Avenir" w:cstheme="minorHAnsi"/>
              </w:rPr>
              <w:t>of the bill</w:t>
            </w:r>
            <w:r w:rsidR="005E3827">
              <w:rPr>
                <w:rStyle w:val="Hyperlink"/>
                <w:rFonts w:eastAsia="Avenir" w:cstheme="minorHAnsi"/>
              </w:rPr>
              <w:t>; and</w:t>
            </w:r>
          </w:p>
          <w:p w14:paraId="049674AD" w14:textId="569D9E67" w:rsidR="005867EC" w:rsidRPr="007475A2" w:rsidRDefault="00043B48" w:rsidP="00AD309C">
            <w:pPr>
              <w:numPr>
                <w:ilvl w:val="1"/>
                <w:numId w:val="142"/>
              </w:numPr>
              <w:contextualSpacing/>
              <w:rPr>
                <w:rStyle w:val="Hyperlink"/>
                <w:rFonts w:eastAsia="Avenir" w:cstheme="minorHAnsi"/>
                <w:color w:val="auto"/>
                <w:u w:val="none"/>
              </w:rPr>
            </w:pPr>
            <w:r>
              <w:rPr>
                <w:rFonts w:eastAsia="Avenir" w:cstheme="minorHAnsi"/>
              </w:rPr>
              <w:fldChar w:fldCharType="end"/>
            </w:r>
            <w:r w:rsidR="001A2630" w:rsidRPr="001A2630">
              <w:rPr>
                <w:rFonts w:eastAsia="Avenir" w:cstheme="minorHAnsi"/>
              </w:rPr>
              <w:t>Notification that physician services will be billed separately, if applicable</w:t>
            </w:r>
            <w:r w:rsidR="00691EFF">
              <w:rPr>
                <w:rFonts w:eastAsia="Avenir" w:cstheme="minorHAnsi"/>
              </w:rPr>
              <w:t>?</w:t>
            </w:r>
          </w:p>
          <w:p w14:paraId="6B593055" w14:textId="77777777" w:rsidR="007475A2" w:rsidRDefault="007475A2" w:rsidP="007B21A9">
            <w:pPr>
              <w:contextualSpacing/>
              <w:rPr>
                <w:rStyle w:val="Hyperlink"/>
                <w:rFonts w:eastAsia="Avenir"/>
              </w:rPr>
            </w:pPr>
          </w:p>
          <w:p w14:paraId="4054480E" w14:textId="694B7FEA" w:rsidR="007D0C84" w:rsidRPr="00BC308F" w:rsidRDefault="007D0C84" w:rsidP="007B21A9">
            <w:pPr>
              <w:ind w:left="720"/>
              <w:contextualSpacing/>
              <w:rPr>
                <w:rFonts w:eastAsia="Avenir"/>
                <w:i/>
                <w:iCs/>
              </w:rPr>
            </w:pPr>
            <w:r w:rsidRPr="005E17BA">
              <w:rPr>
                <w:rFonts w:eastAsia="Avenir"/>
                <w:i/>
                <w:iCs/>
              </w:rPr>
              <w:t xml:space="preserve">If any one of the elements above </w:t>
            </w:r>
            <w:r w:rsidR="00B26B18">
              <w:rPr>
                <w:rFonts w:eastAsia="Avenir"/>
                <w:i/>
                <w:iCs/>
              </w:rPr>
              <w:t xml:space="preserve">is </w:t>
            </w:r>
            <w:r w:rsidRPr="005E17BA">
              <w:rPr>
                <w:rFonts w:eastAsia="Avenir"/>
                <w:i/>
                <w:iCs/>
              </w:rPr>
              <w:t>only provided upon request, select “</w:t>
            </w:r>
            <w:r w:rsidR="0086669E">
              <w:rPr>
                <w:rFonts w:eastAsia="Avenir"/>
                <w:i/>
                <w:iCs/>
              </w:rPr>
              <w:t>o</w:t>
            </w:r>
            <w:r w:rsidRPr="005E17BA">
              <w:rPr>
                <w:rFonts w:eastAsia="Avenir"/>
                <w:i/>
                <w:iCs/>
              </w:rPr>
              <w:t xml:space="preserve">nly upon request.” If any one of the elements above </w:t>
            </w:r>
            <w:r w:rsidR="00B26B18">
              <w:rPr>
                <w:rFonts w:eastAsia="Avenir"/>
                <w:i/>
                <w:iCs/>
              </w:rPr>
              <w:t>is</w:t>
            </w:r>
            <w:r w:rsidRPr="005E17BA">
              <w:rPr>
                <w:rFonts w:eastAsia="Avenir"/>
                <w:i/>
                <w:iCs/>
              </w:rPr>
              <w:t xml:space="preserve"> not ever provided, select “</w:t>
            </w:r>
            <w:r w:rsidR="0086669E">
              <w:rPr>
                <w:rFonts w:eastAsia="Avenir"/>
                <w:i/>
                <w:iCs/>
              </w:rPr>
              <w:t>n</w:t>
            </w:r>
            <w:r w:rsidRPr="005E17BA">
              <w:rPr>
                <w:rFonts w:eastAsia="Avenir"/>
                <w:i/>
                <w:iCs/>
              </w:rPr>
              <w:t>o.”</w:t>
            </w:r>
          </w:p>
        </w:tc>
        <w:tc>
          <w:tcPr>
            <w:tcW w:w="2947" w:type="dxa"/>
            <w:vAlign w:val="center"/>
          </w:tcPr>
          <w:p w14:paraId="7C2A0EDB" w14:textId="3FD9B4DD" w:rsidR="00AA7E68" w:rsidRPr="004D1420" w:rsidRDefault="00AA7E68" w:rsidP="00AD309C">
            <w:pPr>
              <w:pStyle w:val="ListParagraph"/>
              <w:numPr>
                <w:ilvl w:val="0"/>
                <w:numId w:val="232"/>
              </w:numPr>
              <w:rPr>
                <w:rFonts w:eastAsia="Avenir" w:cstheme="minorHAnsi"/>
                <w:bCs/>
              </w:rPr>
            </w:pPr>
            <w:r w:rsidRPr="004D1420">
              <w:rPr>
                <w:rFonts w:eastAsia="Avenir" w:cstheme="minorHAnsi"/>
                <w:bCs/>
              </w:rPr>
              <w:t>Yes</w:t>
            </w:r>
          </w:p>
          <w:p w14:paraId="1DFC5024" w14:textId="244CCBCB" w:rsidR="00080808" w:rsidRPr="004D1420" w:rsidRDefault="00080808" w:rsidP="00AD309C">
            <w:pPr>
              <w:pStyle w:val="ListParagraph"/>
              <w:numPr>
                <w:ilvl w:val="0"/>
                <w:numId w:val="232"/>
              </w:numPr>
              <w:rPr>
                <w:rFonts w:eastAsia="Avenir" w:cstheme="minorHAnsi"/>
                <w:bCs/>
              </w:rPr>
            </w:pPr>
            <w:r w:rsidRPr="004D1420">
              <w:rPr>
                <w:rFonts w:eastAsia="Avenir" w:cstheme="minorHAnsi"/>
                <w:bCs/>
              </w:rPr>
              <w:t>No</w:t>
            </w:r>
          </w:p>
          <w:p w14:paraId="7C5D1AFF" w14:textId="25EE900C" w:rsidR="00AA7E68" w:rsidRPr="00A35DD6" w:rsidRDefault="00242FCE" w:rsidP="00AD309C">
            <w:pPr>
              <w:pStyle w:val="ListParagraph"/>
              <w:numPr>
                <w:ilvl w:val="0"/>
                <w:numId w:val="232"/>
              </w:numPr>
              <w:rPr>
                <w:rFonts w:eastAsia="Avenir" w:cstheme="minorHAnsi"/>
                <w:bCs/>
                <w:i/>
                <w:iCs/>
              </w:rPr>
            </w:pPr>
            <w:r w:rsidRPr="004D1420">
              <w:rPr>
                <w:rFonts w:eastAsia="Avenir" w:cstheme="minorHAnsi"/>
                <w:bCs/>
              </w:rPr>
              <w:t>Only upon request</w:t>
            </w:r>
          </w:p>
        </w:tc>
      </w:tr>
      <w:tr w:rsidR="005150B2" w:rsidRPr="00E64378" w14:paraId="74124A24" w14:textId="77777777" w:rsidTr="00B44C7B">
        <w:trPr>
          <w:trHeight w:val="720"/>
        </w:trPr>
        <w:tc>
          <w:tcPr>
            <w:tcW w:w="6588" w:type="dxa"/>
            <w:tcBorders>
              <w:bottom w:val="single" w:sz="4" w:space="0" w:color="auto"/>
            </w:tcBorders>
            <w:vAlign w:val="center"/>
          </w:tcPr>
          <w:p w14:paraId="161AC576" w14:textId="65B99AA1" w:rsidR="005150B2" w:rsidRPr="005150B2" w:rsidRDefault="005150B2" w:rsidP="00AD309C">
            <w:pPr>
              <w:pStyle w:val="ListParagraph"/>
              <w:numPr>
                <w:ilvl w:val="0"/>
                <w:numId w:val="192"/>
              </w:numPr>
              <w:rPr>
                <w:rFonts w:eastAsia="Avenir" w:cstheme="minorHAnsi"/>
                <w:bCs/>
              </w:rPr>
            </w:pPr>
            <w:r w:rsidRPr="005150B2">
              <w:rPr>
                <w:rFonts w:eastAsia="Avenir" w:cstheme="minorHAnsi"/>
                <w:bCs/>
              </w:rPr>
              <w:t>Does your hospital give patients instructions for contacting a billing representative</w:t>
            </w:r>
            <w:r w:rsidR="009F05BA">
              <w:rPr>
                <w:rFonts w:eastAsia="Avenir" w:cstheme="minorHAnsi"/>
                <w:bCs/>
              </w:rPr>
              <w:t>:</w:t>
            </w:r>
          </w:p>
          <w:p w14:paraId="1C1602A1" w14:textId="623DF8B3" w:rsidR="005150B2" w:rsidRPr="001F1F54" w:rsidRDefault="009F05BA" w:rsidP="00AD309C">
            <w:pPr>
              <w:pStyle w:val="ListParagraph"/>
              <w:numPr>
                <w:ilvl w:val="1"/>
                <w:numId w:val="212"/>
              </w:numPr>
              <w:rPr>
                <w:rFonts w:eastAsia="Avenir" w:cstheme="minorHAnsi"/>
                <w:bCs/>
              </w:rPr>
            </w:pPr>
            <w:r>
              <w:rPr>
                <w:rFonts w:eastAsia="Avenir" w:cstheme="minorHAnsi"/>
                <w:bCs/>
              </w:rPr>
              <w:t xml:space="preserve">Who has </w:t>
            </w:r>
            <w:r w:rsidR="005150B2" w:rsidRPr="001F1F54">
              <w:rPr>
                <w:rFonts w:eastAsia="Avenir" w:cstheme="minorHAnsi"/>
                <w:bCs/>
              </w:rPr>
              <w:t xml:space="preserve">access to an interpretation service to communicate in the patient’s preferred language, </w:t>
            </w:r>
            <w:r w:rsidR="005150B2" w:rsidRPr="001F1F54">
              <w:rPr>
                <w:rFonts w:eastAsia="Avenir" w:cstheme="minorHAnsi"/>
                <w:b/>
              </w:rPr>
              <w:t>and</w:t>
            </w:r>
            <w:r w:rsidR="005150B2" w:rsidRPr="001F1F54">
              <w:rPr>
                <w:rFonts w:eastAsia="Avenir" w:cstheme="minorHAnsi"/>
                <w:bCs/>
              </w:rPr>
              <w:t xml:space="preserve"> </w:t>
            </w:r>
          </w:p>
          <w:p w14:paraId="2DB7E061" w14:textId="77777777" w:rsidR="009F05BA" w:rsidRDefault="009F05BA" w:rsidP="00AD309C">
            <w:pPr>
              <w:pStyle w:val="ListParagraph"/>
              <w:numPr>
                <w:ilvl w:val="1"/>
                <w:numId w:val="212"/>
              </w:numPr>
              <w:rPr>
                <w:rFonts w:eastAsia="Avenir" w:cstheme="minorHAnsi"/>
                <w:bCs/>
              </w:rPr>
            </w:pPr>
            <w:r>
              <w:rPr>
                <w:rFonts w:eastAsia="Avenir" w:cstheme="minorHAnsi"/>
                <w:bCs/>
              </w:rPr>
              <w:t xml:space="preserve">Who has </w:t>
            </w:r>
            <w:r w:rsidR="005150B2" w:rsidRPr="005150B2">
              <w:rPr>
                <w:rFonts w:eastAsia="Avenir" w:cstheme="minorHAnsi"/>
                <w:bCs/>
              </w:rPr>
              <w:t xml:space="preserve">the authority to </w:t>
            </w:r>
            <w:r w:rsidRPr="005150B2">
              <w:rPr>
                <w:rFonts w:eastAsia="Avenir" w:cstheme="minorHAnsi"/>
                <w:bCs/>
              </w:rPr>
              <w:t>do all the following within 10 business days of being contacted by the patient or patient representative</w:t>
            </w:r>
            <w:r>
              <w:rPr>
                <w:rFonts w:eastAsia="Avenir" w:cstheme="minorHAnsi"/>
                <w:bCs/>
              </w:rPr>
              <w:t xml:space="preserve">: </w:t>
            </w:r>
          </w:p>
          <w:p w14:paraId="39B5290A" w14:textId="1C6E056E" w:rsidR="009F05BA" w:rsidRDefault="005150B2" w:rsidP="00AD309C">
            <w:pPr>
              <w:pStyle w:val="ListParagraph"/>
              <w:numPr>
                <w:ilvl w:val="2"/>
                <w:numId w:val="212"/>
              </w:numPr>
              <w:rPr>
                <w:rFonts w:eastAsia="Avenir" w:cstheme="minorHAnsi"/>
                <w:bCs/>
              </w:rPr>
            </w:pPr>
            <w:r w:rsidRPr="005150B2">
              <w:rPr>
                <w:rFonts w:eastAsia="Avenir" w:cstheme="minorHAnsi"/>
                <w:bCs/>
              </w:rPr>
              <w:t xml:space="preserve">initiate an investigation into errors on the bill, </w:t>
            </w:r>
          </w:p>
          <w:p w14:paraId="457E17A2" w14:textId="43D318DD" w:rsidR="009F05BA" w:rsidRDefault="005150B2" w:rsidP="00AD309C">
            <w:pPr>
              <w:pStyle w:val="ListParagraph"/>
              <w:numPr>
                <w:ilvl w:val="2"/>
                <w:numId w:val="212"/>
              </w:numPr>
              <w:rPr>
                <w:rFonts w:eastAsia="Avenir" w:cstheme="minorHAnsi"/>
                <w:bCs/>
              </w:rPr>
            </w:pPr>
            <w:r w:rsidRPr="005150B2">
              <w:rPr>
                <w:rFonts w:eastAsia="Avenir" w:cstheme="minorHAnsi"/>
                <w:bCs/>
              </w:rPr>
              <w:lastRenderedPageBreak/>
              <w:t xml:space="preserve">offer a price adjustment or debt forgiveness based on hospital policy, and </w:t>
            </w:r>
          </w:p>
          <w:p w14:paraId="176518E8" w14:textId="4F0D6D2B" w:rsidR="005150B2" w:rsidRPr="00B44C7B" w:rsidRDefault="005150B2" w:rsidP="00AD309C">
            <w:pPr>
              <w:pStyle w:val="ListParagraph"/>
              <w:numPr>
                <w:ilvl w:val="2"/>
                <w:numId w:val="212"/>
              </w:numPr>
              <w:rPr>
                <w:rFonts w:eastAsia="Avenir" w:cstheme="minorHAnsi"/>
                <w:bCs/>
              </w:rPr>
            </w:pPr>
            <w:r w:rsidRPr="001F1F54">
              <w:rPr>
                <w:rFonts w:eastAsia="Avenir" w:cstheme="minorHAnsi"/>
                <w:bCs/>
              </w:rPr>
              <w:t>offer a payment plan?</w:t>
            </w:r>
          </w:p>
        </w:tc>
        <w:tc>
          <w:tcPr>
            <w:tcW w:w="2947" w:type="dxa"/>
            <w:tcBorders>
              <w:bottom w:val="single" w:sz="4" w:space="0" w:color="auto"/>
            </w:tcBorders>
            <w:vAlign w:val="center"/>
          </w:tcPr>
          <w:p w14:paraId="1347ADB2" w14:textId="77777777" w:rsidR="005150B2" w:rsidRPr="004D1420" w:rsidRDefault="005150B2" w:rsidP="00AD309C">
            <w:pPr>
              <w:pStyle w:val="ListParagraph"/>
              <w:numPr>
                <w:ilvl w:val="0"/>
                <w:numId w:val="233"/>
              </w:numPr>
              <w:rPr>
                <w:rFonts w:eastAsia="Avenir" w:cstheme="minorHAnsi"/>
                <w:bCs/>
              </w:rPr>
            </w:pPr>
            <w:r w:rsidRPr="004D1420">
              <w:rPr>
                <w:rFonts w:eastAsia="Avenir" w:cstheme="minorHAnsi"/>
                <w:bCs/>
              </w:rPr>
              <w:lastRenderedPageBreak/>
              <w:t>Yes</w:t>
            </w:r>
          </w:p>
          <w:p w14:paraId="1C7949D6" w14:textId="3FDF45A7" w:rsidR="005150B2" w:rsidRPr="004D1420" w:rsidRDefault="005150B2" w:rsidP="00AD309C">
            <w:pPr>
              <w:pStyle w:val="ListParagraph"/>
              <w:numPr>
                <w:ilvl w:val="0"/>
                <w:numId w:val="233"/>
              </w:numPr>
              <w:rPr>
                <w:rFonts w:eastAsia="Avenir" w:cstheme="minorHAnsi"/>
                <w:bCs/>
              </w:rPr>
            </w:pPr>
            <w:r w:rsidRPr="004D1420">
              <w:rPr>
                <w:rFonts w:eastAsia="Avenir" w:cstheme="minorHAnsi"/>
                <w:bCs/>
              </w:rPr>
              <w:t>No</w:t>
            </w:r>
          </w:p>
        </w:tc>
      </w:tr>
      <w:tr w:rsidR="00B20633" w:rsidRPr="00E64378" w14:paraId="6DD3191E" w14:textId="77777777" w:rsidTr="00B41389">
        <w:trPr>
          <w:trHeight w:val="1440"/>
        </w:trPr>
        <w:tc>
          <w:tcPr>
            <w:tcW w:w="6588" w:type="dxa"/>
            <w:vAlign w:val="center"/>
          </w:tcPr>
          <w:p w14:paraId="4BA4B53A" w14:textId="63909F6E" w:rsidR="00B20633" w:rsidRDefault="00B20633" w:rsidP="00AD309C">
            <w:pPr>
              <w:pStyle w:val="ListParagraph"/>
              <w:numPr>
                <w:ilvl w:val="0"/>
                <w:numId w:val="192"/>
              </w:numPr>
              <w:rPr>
                <w:rFonts w:eastAsia="Avenir" w:cstheme="minorHAnsi"/>
                <w:bCs/>
              </w:rPr>
            </w:pPr>
            <w:r w:rsidRPr="00E64378">
              <w:rPr>
                <w:rFonts w:eastAsia="Avenir" w:cstheme="minorHAnsi"/>
                <w:bCs/>
              </w:rPr>
              <w:t xml:space="preserve">Does your hospital take </w:t>
            </w:r>
            <w:hyperlink w:anchor="_Person-Centered_Care:_Billing" w:history="1">
              <w:r w:rsidRPr="000735CC">
                <w:rPr>
                  <w:rStyle w:val="Hyperlink"/>
                  <w:rFonts w:eastAsia="Avenir" w:cstheme="minorHAnsi"/>
                  <w:bCs/>
                </w:rPr>
                <w:t>legal action</w:t>
              </w:r>
            </w:hyperlink>
            <w:r w:rsidRPr="00E64378">
              <w:rPr>
                <w:rFonts w:eastAsia="Avenir" w:cstheme="minorHAnsi"/>
                <w:bCs/>
              </w:rPr>
              <w:t xml:space="preserve"> against patients for late payment or insufficient payment of a medical bill?</w:t>
            </w:r>
          </w:p>
          <w:p w14:paraId="59D9F11A" w14:textId="77777777" w:rsidR="00B20633" w:rsidRDefault="00B20633" w:rsidP="006146A1">
            <w:pPr>
              <w:rPr>
                <w:rFonts w:eastAsia="Avenir" w:cstheme="minorHAnsi"/>
                <w:bCs/>
              </w:rPr>
            </w:pPr>
          </w:p>
          <w:p w14:paraId="6F208738" w14:textId="7F19A6BD" w:rsidR="0034398D" w:rsidRDefault="001133F5" w:rsidP="006146A1">
            <w:pPr>
              <w:ind w:left="360"/>
              <w:rPr>
                <w:rFonts w:eastAsia="Avenir" w:cstheme="minorHAnsi"/>
                <w:bCs/>
                <w:i/>
                <w:iCs/>
              </w:rPr>
            </w:pPr>
            <w:r>
              <w:rPr>
                <w:rFonts w:eastAsia="Avenir" w:cstheme="minorHAnsi"/>
                <w:bCs/>
                <w:i/>
                <w:iCs/>
              </w:rPr>
              <w:t>This question does not include p</w:t>
            </w:r>
            <w:r w:rsidR="00B20633" w:rsidRPr="00093B90">
              <w:rPr>
                <w:rFonts w:eastAsia="Avenir" w:cstheme="minorHAnsi"/>
                <w:bCs/>
                <w:i/>
                <w:iCs/>
              </w:rPr>
              <w:t xml:space="preserve">atients with whom your </w:t>
            </w:r>
            <w:r w:rsidR="00F72C9F">
              <w:rPr>
                <w:rFonts w:eastAsia="Avenir" w:cstheme="minorHAnsi"/>
                <w:bCs/>
                <w:i/>
                <w:iCs/>
              </w:rPr>
              <w:t>hospital</w:t>
            </w:r>
            <w:r w:rsidR="00F72C9F" w:rsidRPr="00093B90">
              <w:rPr>
                <w:rFonts w:eastAsia="Avenir" w:cstheme="minorHAnsi"/>
                <w:bCs/>
                <w:i/>
                <w:iCs/>
              </w:rPr>
              <w:t xml:space="preserve"> </w:t>
            </w:r>
            <w:r w:rsidR="00B20633" w:rsidRPr="00093B90">
              <w:rPr>
                <w:rFonts w:eastAsia="Avenir" w:cstheme="minorHAnsi"/>
                <w:bCs/>
                <w:i/>
                <w:iCs/>
              </w:rPr>
              <w:t xml:space="preserve">has entered into a written agreement specifying </w:t>
            </w:r>
            <w:hyperlink w:anchor="goodfaithestimate" w:history="1">
              <w:r w:rsidR="006C0C3B" w:rsidRPr="007F1BAC">
                <w:rPr>
                  <w:rStyle w:val="Hyperlink"/>
                  <w:rFonts w:eastAsia="Avenir" w:cstheme="minorHAnsi"/>
                  <w:bCs/>
                  <w:i/>
                  <w:iCs/>
                </w:rPr>
                <w:t>a good faith estimate</w:t>
              </w:r>
            </w:hyperlink>
            <w:r w:rsidR="006C0C3B" w:rsidRPr="00093B90">
              <w:rPr>
                <w:rFonts w:eastAsia="Avenir" w:cstheme="minorHAnsi"/>
                <w:bCs/>
                <w:i/>
                <w:iCs/>
              </w:rPr>
              <w:t xml:space="preserve"> </w:t>
            </w:r>
            <w:r w:rsidR="00B20633" w:rsidRPr="00093B90">
              <w:rPr>
                <w:rFonts w:eastAsia="Avenir" w:cstheme="minorHAnsi"/>
                <w:bCs/>
                <w:i/>
                <w:iCs/>
              </w:rPr>
              <w:t>for a medical service</w:t>
            </w:r>
            <w:r w:rsidR="00EE3E04">
              <w:rPr>
                <w:rFonts w:eastAsia="Avenir" w:cstheme="minorHAnsi"/>
                <w:bCs/>
                <w:i/>
                <w:iCs/>
              </w:rPr>
              <w:t xml:space="preserve">. </w:t>
            </w:r>
          </w:p>
          <w:p w14:paraId="1DC82AA1" w14:textId="323175DD" w:rsidR="0034398D" w:rsidRPr="00093B90" w:rsidRDefault="0034398D" w:rsidP="00036E07">
            <w:pPr>
              <w:rPr>
                <w:rFonts w:eastAsia="Avenir" w:cstheme="minorHAnsi"/>
                <w:bCs/>
                <w:i/>
                <w:iCs/>
              </w:rPr>
            </w:pPr>
          </w:p>
        </w:tc>
        <w:tc>
          <w:tcPr>
            <w:tcW w:w="2947" w:type="dxa"/>
            <w:vAlign w:val="center"/>
          </w:tcPr>
          <w:p w14:paraId="7B372EFD" w14:textId="77777777" w:rsidR="00B20633" w:rsidRPr="004D1420" w:rsidRDefault="00B20633" w:rsidP="00AD309C">
            <w:pPr>
              <w:pStyle w:val="ListParagraph"/>
              <w:numPr>
                <w:ilvl w:val="0"/>
                <w:numId w:val="233"/>
              </w:numPr>
              <w:rPr>
                <w:rFonts w:eastAsia="Avenir" w:cstheme="minorHAnsi"/>
                <w:bCs/>
              </w:rPr>
            </w:pPr>
            <w:r w:rsidRPr="004D1420">
              <w:rPr>
                <w:rFonts w:eastAsia="Avenir" w:cstheme="minorHAnsi"/>
                <w:bCs/>
              </w:rPr>
              <w:t>Yes</w:t>
            </w:r>
          </w:p>
          <w:p w14:paraId="6C9ACD11" w14:textId="77777777" w:rsidR="00B20633" w:rsidRDefault="00B20633" w:rsidP="00AD309C">
            <w:pPr>
              <w:pStyle w:val="ListParagraph"/>
              <w:numPr>
                <w:ilvl w:val="0"/>
                <w:numId w:val="233"/>
              </w:numPr>
              <w:rPr>
                <w:rFonts w:eastAsia="Avenir" w:cstheme="minorHAnsi"/>
                <w:bCs/>
              </w:rPr>
            </w:pPr>
            <w:r w:rsidRPr="004D1420">
              <w:rPr>
                <w:rFonts w:eastAsia="Avenir" w:cstheme="minorHAnsi"/>
                <w:bCs/>
              </w:rPr>
              <w:t>No</w:t>
            </w:r>
          </w:p>
          <w:p w14:paraId="23181465" w14:textId="732153DA" w:rsidR="0034398D" w:rsidRPr="004D1420" w:rsidRDefault="0034398D" w:rsidP="00AD309C">
            <w:pPr>
              <w:pStyle w:val="ListParagraph"/>
              <w:numPr>
                <w:ilvl w:val="0"/>
                <w:numId w:val="233"/>
              </w:numPr>
              <w:rPr>
                <w:rFonts w:eastAsia="Avenir" w:cstheme="minorHAnsi"/>
                <w:bCs/>
              </w:rPr>
            </w:pPr>
            <w:r w:rsidRPr="00796A2E">
              <w:rPr>
                <w:rFonts w:eastAsia="Avenir" w:cstheme="minorHAnsi"/>
                <w:bCs/>
              </w:rPr>
              <w:t xml:space="preserve">No, but required by </w:t>
            </w:r>
            <w:r w:rsidR="002562B6">
              <w:rPr>
                <w:rFonts w:eastAsia="Avenir" w:cstheme="minorHAnsi"/>
                <w:bCs/>
              </w:rPr>
              <w:t xml:space="preserve">state or </w:t>
            </w:r>
            <w:r w:rsidRPr="00796A2E">
              <w:rPr>
                <w:rFonts w:eastAsia="Avenir" w:cstheme="minorHAnsi"/>
                <w:bCs/>
              </w:rPr>
              <w:t>federal law to transfer delinquent payments to</w:t>
            </w:r>
            <w:r w:rsidR="000D66C7">
              <w:rPr>
                <w:rFonts w:eastAsia="Avenir" w:cstheme="minorHAnsi"/>
                <w:bCs/>
              </w:rPr>
              <w:t xml:space="preserve"> a state or federal agency (e.g.,</w:t>
            </w:r>
            <w:r w:rsidR="004643E1">
              <w:rPr>
                <w:rFonts w:eastAsia="Avenir" w:cstheme="minorHAnsi"/>
                <w:bCs/>
              </w:rPr>
              <w:t xml:space="preserve"> </w:t>
            </w:r>
            <w:r w:rsidRPr="00796A2E">
              <w:rPr>
                <w:rFonts w:eastAsia="Avenir" w:cstheme="minorHAnsi"/>
                <w:bCs/>
              </w:rPr>
              <w:t>Department of Treasury</w:t>
            </w:r>
            <w:r w:rsidR="001B2A5E">
              <w:rPr>
                <w:rFonts w:eastAsia="Avenir" w:cstheme="minorHAnsi"/>
                <w:bCs/>
              </w:rPr>
              <w:t xml:space="preserve">, </w:t>
            </w:r>
            <w:r w:rsidR="004643E1">
              <w:rPr>
                <w:rFonts w:eastAsia="Avenir" w:cstheme="minorHAnsi"/>
                <w:bCs/>
              </w:rPr>
              <w:t>Attorney General, etc.)</w:t>
            </w:r>
            <w:r w:rsidRPr="00796A2E">
              <w:rPr>
                <w:rFonts w:eastAsia="Avenir" w:cstheme="minorHAnsi"/>
                <w:bCs/>
              </w:rPr>
              <w:t xml:space="preserve"> for action</w:t>
            </w:r>
          </w:p>
        </w:tc>
      </w:tr>
      <w:tr w:rsidR="00B41389" w:rsidRPr="00E64378" w14:paraId="3EB3CFF0" w14:textId="77777777" w:rsidTr="00B41389">
        <w:trPr>
          <w:trHeight w:val="1440"/>
        </w:trPr>
        <w:tc>
          <w:tcPr>
            <w:tcW w:w="6588" w:type="dxa"/>
            <w:vAlign w:val="center"/>
          </w:tcPr>
          <w:p w14:paraId="24D3C3B3" w14:textId="77777777" w:rsidR="00B41389" w:rsidRPr="00A9192A" w:rsidRDefault="00B41389" w:rsidP="00B41389">
            <w:pPr>
              <w:pStyle w:val="ListParagraph"/>
              <w:numPr>
                <w:ilvl w:val="0"/>
                <w:numId w:val="192"/>
              </w:numPr>
              <w:rPr>
                <w:rFonts w:eastAsia="Avenir"/>
              </w:rPr>
            </w:pPr>
            <w:r>
              <w:t>Does your hospital screen ALL patients to determine if they are eligible for your hospital’s financial assistance program, regardless of whether they apply for financial assistance?</w:t>
            </w:r>
            <w:r>
              <w:br/>
            </w:r>
          </w:p>
          <w:p w14:paraId="6B076764" w14:textId="77777777" w:rsidR="00B41389" w:rsidRPr="00A9192A" w:rsidRDefault="00B41389" w:rsidP="00B41389">
            <w:pPr>
              <w:pStyle w:val="ListParagraph"/>
              <w:ind w:left="360"/>
              <w:rPr>
                <w:rFonts w:eastAsia="Avenir"/>
              </w:rPr>
            </w:pPr>
            <w:r w:rsidRPr="00086E3F">
              <w:rPr>
                <w:rFonts w:eastAsia="Avenir" w:cstheme="minorHAnsi"/>
                <w:i/>
                <w:iCs/>
              </w:rPr>
              <w:t>If “</w:t>
            </w:r>
            <w:r>
              <w:rPr>
                <w:rFonts w:eastAsia="Avenir" w:cstheme="minorHAnsi"/>
                <w:i/>
                <w:iCs/>
              </w:rPr>
              <w:t>n</w:t>
            </w:r>
            <w:r w:rsidRPr="00086E3F">
              <w:rPr>
                <w:rFonts w:eastAsia="Avenir" w:cstheme="minorHAnsi"/>
                <w:i/>
                <w:iCs/>
              </w:rPr>
              <w:t>o, we only screen uninsured patients for financial assistance</w:t>
            </w:r>
            <w:r>
              <w:rPr>
                <w:rFonts w:eastAsia="Avenir" w:cstheme="minorHAnsi"/>
                <w:i/>
                <w:iCs/>
              </w:rPr>
              <w:t xml:space="preserve"> eligibility” or </w:t>
            </w:r>
            <w:r w:rsidRPr="00D1097F">
              <w:rPr>
                <w:rFonts w:eastAsia="Avenir" w:cstheme="minorHAnsi"/>
                <w:i/>
                <w:iCs/>
              </w:rPr>
              <w:t>“</w:t>
            </w:r>
            <w:r>
              <w:rPr>
                <w:rFonts w:eastAsia="Avenir" w:cstheme="minorHAnsi"/>
                <w:i/>
                <w:iCs/>
              </w:rPr>
              <w:t>n</w:t>
            </w:r>
            <w:r w:rsidRPr="00D1097F">
              <w:rPr>
                <w:rFonts w:eastAsia="Avenir" w:cstheme="minorHAnsi"/>
                <w:i/>
                <w:iCs/>
              </w:rPr>
              <w:t xml:space="preserve">o, we </w:t>
            </w:r>
            <w:r>
              <w:rPr>
                <w:rFonts w:eastAsia="Avenir" w:cstheme="minorHAnsi"/>
                <w:i/>
                <w:iCs/>
              </w:rPr>
              <w:t>only</w:t>
            </w:r>
            <w:r w:rsidRPr="00D1097F">
              <w:rPr>
                <w:rFonts w:eastAsia="Avenir" w:cstheme="minorHAnsi"/>
                <w:i/>
                <w:iCs/>
              </w:rPr>
              <w:t xml:space="preserve"> screen patients </w:t>
            </w:r>
            <w:r>
              <w:rPr>
                <w:rFonts w:eastAsia="Avenir" w:cstheme="minorHAnsi"/>
                <w:i/>
                <w:iCs/>
              </w:rPr>
              <w:t xml:space="preserve">who have applied </w:t>
            </w:r>
            <w:r w:rsidRPr="00D1097F">
              <w:rPr>
                <w:rFonts w:eastAsia="Avenir" w:cstheme="minorHAnsi"/>
                <w:i/>
                <w:iCs/>
              </w:rPr>
              <w:t>for financial assistance,” skip question #5 and continue to question #6.</w:t>
            </w:r>
            <w:r>
              <w:br/>
            </w:r>
          </w:p>
          <w:p w14:paraId="2907AF41" w14:textId="16165E78" w:rsidR="00B41389" w:rsidRPr="00E64378" w:rsidRDefault="00B41389" w:rsidP="00B41389">
            <w:pPr>
              <w:pStyle w:val="ListParagraph"/>
              <w:ind w:left="360"/>
              <w:rPr>
                <w:rFonts w:eastAsia="Avenir" w:cstheme="minorHAnsi"/>
                <w:bCs/>
              </w:rPr>
            </w:pPr>
            <w:r w:rsidRPr="00ED1409">
              <w:rPr>
                <w:rFonts w:eastAsia="Avenir" w:cstheme="minorHAnsi"/>
                <w:i/>
                <w:iCs/>
              </w:rPr>
              <w:t>If “</w:t>
            </w:r>
            <w:r>
              <w:rPr>
                <w:rFonts w:eastAsia="Avenir" w:cstheme="minorHAnsi"/>
                <w:i/>
                <w:iCs/>
              </w:rPr>
              <w:t>n</w:t>
            </w:r>
            <w:r w:rsidRPr="00ED1409">
              <w:rPr>
                <w:rFonts w:eastAsia="Avenir" w:cstheme="minorHAnsi"/>
                <w:i/>
                <w:iCs/>
              </w:rPr>
              <w:t>o, our hospital does not have a financial assistance program,” skip question</w:t>
            </w:r>
            <w:r>
              <w:rPr>
                <w:rFonts w:eastAsia="Avenir" w:cstheme="minorHAnsi"/>
                <w:i/>
                <w:iCs/>
              </w:rPr>
              <w:t>s</w:t>
            </w:r>
            <w:r w:rsidRPr="00ED1409">
              <w:rPr>
                <w:rFonts w:eastAsia="Avenir" w:cstheme="minorHAnsi"/>
                <w:i/>
                <w:iCs/>
              </w:rPr>
              <w:t xml:space="preserve"> #5</w:t>
            </w:r>
            <w:r>
              <w:rPr>
                <w:rFonts w:eastAsia="Avenir" w:cstheme="minorHAnsi"/>
                <w:i/>
                <w:iCs/>
              </w:rPr>
              <w:t>-7</w:t>
            </w:r>
            <w:r w:rsidRPr="00ED1409">
              <w:rPr>
                <w:rFonts w:eastAsia="Avenir" w:cstheme="minorHAnsi"/>
                <w:i/>
                <w:iCs/>
              </w:rPr>
              <w:t xml:space="preserve"> and continue to the next subsection.</w:t>
            </w:r>
          </w:p>
        </w:tc>
        <w:tc>
          <w:tcPr>
            <w:tcW w:w="2947" w:type="dxa"/>
            <w:vAlign w:val="center"/>
          </w:tcPr>
          <w:p w14:paraId="7332CDE0" w14:textId="77777777" w:rsidR="00B41389" w:rsidRPr="009C388F" w:rsidRDefault="00B41389" w:rsidP="00B41389">
            <w:pPr>
              <w:pStyle w:val="ListParagraph"/>
              <w:numPr>
                <w:ilvl w:val="0"/>
                <w:numId w:val="255"/>
              </w:numPr>
            </w:pPr>
            <w:r w:rsidRPr="009C388F">
              <w:rPr>
                <w:rFonts w:eastAsia="Avenir" w:cstheme="minorHAnsi"/>
                <w:bCs/>
              </w:rPr>
              <w:t xml:space="preserve">Yes, </w:t>
            </w:r>
            <w:r w:rsidRPr="009C388F">
              <w:t>using a presumptive eligibility tool licensed from a third-party</w:t>
            </w:r>
          </w:p>
          <w:p w14:paraId="7F10F19F" w14:textId="77777777" w:rsidR="00B41389" w:rsidRDefault="00B41389" w:rsidP="00B41389">
            <w:pPr>
              <w:pStyle w:val="ListParagraph"/>
              <w:numPr>
                <w:ilvl w:val="0"/>
                <w:numId w:val="255"/>
              </w:numPr>
            </w:pPr>
            <w:r w:rsidRPr="009C388F">
              <w:t>Yes, using our hospital’s own approach to assessing financial assistance</w:t>
            </w:r>
            <w:r>
              <w:t xml:space="preserve"> eligibility</w:t>
            </w:r>
          </w:p>
          <w:p w14:paraId="48126CA7" w14:textId="77777777" w:rsidR="00B41389" w:rsidRPr="009C388F" w:rsidRDefault="00B41389" w:rsidP="00B41389">
            <w:pPr>
              <w:pStyle w:val="ListParagraph"/>
              <w:numPr>
                <w:ilvl w:val="0"/>
                <w:numId w:val="255"/>
              </w:numPr>
            </w:pPr>
            <w:r w:rsidRPr="00DA37BA">
              <w:t>No, we only screen uninsured patients for financial assistance</w:t>
            </w:r>
            <w:r>
              <w:t xml:space="preserve"> eligibility </w:t>
            </w:r>
          </w:p>
          <w:p w14:paraId="05DF214E" w14:textId="77777777" w:rsidR="00B41389" w:rsidRPr="009C388F" w:rsidRDefault="00B41389" w:rsidP="00B41389">
            <w:pPr>
              <w:pStyle w:val="ListParagraph"/>
              <w:numPr>
                <w:ilvl w:val="0"/>
                <w:numId w:val="255"/>
              </w:numPr>
            </w:pPr>
            <w:r w:rsidRPr="009C388F">
              <w:t xml:space="preserve">No, we </w:t>
            </w:r>
            <w:r>
              <w:t xml:space="preserve">only screen patients who have applied for </w:t>
            </w:r>
            <w:r w:rsidRPr="009C388F">
              <w:t>financial assistance</w:t>
            </w:r>
          </w:p>
          <w:p w14:paraId="26DB1B52" w14:textId="5C0D709F" w:rsidR="00B41389" w:rsidRPr="004D1420" w:rsidRDefault="00B41389" w:rsidP="00B41389">
            <w:pPr>
              <w:pStyle w:val="ListParagraph"/>
              <w:numPr>
                <w:ilvl w:val="0"/>
                <w:numId w:val="233"/>
              </w:numPr>
              <w:rPr>
                <w:rFonts w:eastAsia="Avenir" w:cstheme="minorHAnsi"/>
                <w:bCs/>
              </w:rPr>
            </w:pPr>
            <w:r w:rsidRPr="00FA46D8">
              <w:t>No, our hospital does not have a financial assistance program</w:t>
            </w:r>
          </w:p>
        </w:tc>
      </w:tr>
      <w:tr w:rsidR="00B41389" w:rsidRPr="00E64378" w14:paraId="0EF2E281" w14:textId="77777777" w:rsidTr="00B41389">
        <w:trPr>
          <w:trHeight w:val="1440"/>
        </w:trPr>
        <w:tc>
          <w:tcPr>
            <w:tcW w:w="6588" w:type="dxa"/>
            <w:vAlign w:val="center"/>
          </w:tcPr>
          <w:p w14:paraId="305A1573" w14:textId="3FE4B1B3" w:rsidR="00B41389" w:rsidRPr="00E64378" w:rsidRDefault="00B41389" w:rsidP="00B41389">
            <w:pPr>
              <w:pStyle w:val="ListParagraph"/>
              <w:numPr>
                <w:ilvl w:val="0"/>
                <w:numId w:val="192"/>
              </w:numPr>
              <w:rPr>
                <w:rFonts w:eastAsia="Avenir" w:cstheme="minorHAnsi"/>
                <w:bCs/>
              </w:rPr>
            </w:pPr>
            <w:r>
              <w:t>D</w:t>
            </w:r>
            <w:r w:rsidRPr="008A002F">
              <w:t xml:space="preserve">oes your hospital notify </w:t>
            </w:r>
            <w:r>
              <w:t>ALL</w:t>
            </w:r>
            <w:r w:rsidRPr="008A002F">
              <w:t xml:space="preserve"> patients </w:t>
            </w:r>
            <w:r>
              <w:t>who</w:t>
            </w:r>
            <w:r w:rsidRPr="008A002F">
              <w:t xml:space="preserve"> </w:t>
            </w:r>
            <w:r>
              <w:t xml:space="preserve">were determined to be eligible for your hospital’s financial assistance program that they </w:t>
            </w:r>
            <w:r w:rsidRPr="008A002F">
              <w:t>have qualified for</w:t>
            </w:r>
            <w:r>
              <w:t xml:space="preserve"> the program within 30 days of the determination</w:t>
            </w:r>
            <w:r w:rsidRPr="008A002F">
              <w:t>?</w:t>
            </w:r>
            <w:r>
              <w:t xml:space="preserve"> </w:t>
            </w:r>
          </w:p>
        </w:tc>
        <w:tc>
          <w:tcPr>
            <w:tcW w:w="2947" w:type="dxa"/>
            <w:vAlign w:val="center"/>
          </w:tcPr>
          <w:p w14:paraId="4381E4D0" w14:textId="77777777" w:rsidR="00B41389" w:rsidRPr="009C388F" w:rsidRDefault="00B41389" w:rsidP="00B41389">
            <w:pPr>
              <w:pStyle w:val="ListParagraph"/>
              <w:numPr>
                <w:ilvl w:val="0"/>
                <w:numId w:val="255"/>
              </w:numPr>
              <w:rPr>
                <w:rFonts w:eastAsia="Avenir" w:cstheme="minorHAnsi"/>
                <w:bCs/>
              </w:rPr>
            </w:pPr>
            <w:r w:rsidRPr="009C388F">
              <w:rPr>
                <w:rFonts w:eastAsia="Avenir" w:cstheme="minorHAnsi"/>
                <w:bCs/>
              </w:rPr>
              <w:t>Yes</w:t>
            </w:r>
          </w:p>
          <w:p w14:paraId="0AF5B379" w14:textId="6933CFA9" w:rsidR="00B41389" w:rsidRPr="004D1420" w:rsidRDefault="00B41389" w:rsidP="00B41389">
            <w:pPr>
              <w:pStyle w:val="ListParagraph"/>
              <w:numPr>
                <w:ilvl w:val="0"/>
                <w:numId w:val="233"/>
              </w:numPr>
              <w:rPr>
                <w:rFonts w:eastAsia="Avenir" w:cstheme="minorHAnsi"/>
                <w:bCs/>
              </w:rPr>
            </w:pPr>
            <w:r w:rsidRPr="00FA46D8">
              <w:rPr>
                <w:rFonts w:eastAsia="Avenir" w:cstheme="minorHAnsi"/>
                <w:bCs/>
              </w:rPr>
              <w:t>No</w:t>
            </w:r>
          </w:p>
        </w:tc>
      </w:tr>
      <w:tr w:rsidR="00B41389" w:rsidRPr="00E64378" w14:paraId="2E1D2429" w14:textId="77777777" w:rsidTr="00B41389">
        <w:trPr>
          <w:trHeight w:val="1440"/>
        </w:trPr>
        <w:tc>
          <w:tcPr>
            <w:tcW w:w="6588" w:type="dxa"/>
            <w:vAlign w:val="center"/>
          </w:tcPr>
          <w:p w14:paraId="5505EE5F" w14:textId="29C210DF" w:rsidR="00B41389" w:rsidRDefault="00B41389" w:rsidP="00B41389">
            <w:pPr>
              <w:pStyle w:val="ListParagraph"/>
              <w:numPr>
                <w:ilvl w:val="0"/>
                <w:numId w:val="192"/>
              </w:numPr>
            </w:pPr>
            <w:r w:rsidRPr="003A5CB3">
              <w:t>Does your hospital’s financial assistance program apply to ALL clinician fees, in addition to facility fees, for clinicians with privileges at your hospital</w:t>
            </w:r>
            <w:r>
              <w:t>?</w:t>
            </w:r>
          </w:p>
        </w:tc>
        <w:tc>
          <w:tcPr>
            <w:tcW w:w="2947" w:type="dxa"/>
            <w:vAlign w:val="center"/>
          </w:tcPr>
          <w:p w14:paraId="150DFB27" w14:textId="77777777" w:rsidR="00B41389" w:rsidRDefault="00B41389" w:rsidP="00B41389">
            <w:pPr>
              <w:pStyle w:val="ListParagraph"/>
              <w:numPr>
                <w:ilvl w:val="0"/>
                <w:numId w:val="255"/>
              </w:numPr>
              <w:rPr>
                <w:rFonts w:eastAsia="Avenir" w:cstheme="minorHAnsi"/>
                <w:bCs/>
              </w:rPr>
            </w:pPr>
            <w:r>
              <w:rPr>
                <w:rFonts w:eastAsia="Avenir" w:cstheme="minorHAnsi"/>
                <w:bCs/>
              </w:rPr>
              <w:t>Yes</w:t>
            </w:r>
          </w:p>
          <w:p w14:paraId="5468CD3A" w14:textId="77777777" w:rsidR="00B41389" w:rsidRDefault="00B41389" w:rsidP="00B41389">
            <w:pPr>
              <w:pStyle w:val="ListParagraph"/>
              <w:numPr>
                <w:ilvl w:val="0"/>
                <w:numId w:val="255"/>
              </w:numPr>
              <w:rPr>
                <w:rFonts w:eastAsia="Avenir" w:cstheme="minorHAnsi"/>
                <w:bCs/>
              </w:rPr>
            </w:pPr>
            <w:r>
              <w:rPr>
                <w:rFonts w:eastAsia="Avenir" w:cstheme="minorHAnsi"/>
                <w:bCs/>
              </w:rPr>
              <w:t>No</w:t>
            </w:r>
          </w:p>
          <w:p w14:paraId="5F968FF2" w14:textId="19B9C2AB" w:rsidR="00B41389" w:rsidRPr="009C388F" w:rsidRDefault="00B41389" w:rsidP="00B41389">
            <w:pPr>
              <w:pStyle w:val="ListParagraph"/>
              <w:numPr>
                <w:ilvl w:val="0"/>
                <w:numId w:val="255"/>
              </w:numPr>
              <w:rPr>
                <w:rFonts w:eastAsia="Avenir" w:cstheme="minorHAnsi"/>
                <w:bCs/>
              </w:rPr>
            </w:pPr>
            <w:r>
              <w:rPr>
                <w:rFonts w:eastAsia="Avenir" w:cstheme="minorHAnsi"/>
                <w:bCs/>
              </w:rPr>
              <w:t>No, but we include a list of covered</w:t>
            </w:r>
            <w:r w:rsidR="00AF41A3">
              <w:rPr>
                <w:rFonts w:eastAsia="Avenir" w:cstheme="minorHAnsi"/>
                <w:bCs/>
              </w:rPr>
              <w:t xml:space="preserve"> clinicians</w:t>
            </w:r>
            <w:r>
              <w:rPr>
                <w:rFonts w:eastAsia="Avenir" w:cstheme="minorHAnsi"/>
                <w:bCs/>
              </w:rPr>
              <w:t xml:space="preserve"> and services in our financial assistance application</w:t>
            </w:r>
          </w:p>
        </w:tc>
      </w:tr>
      <w:tr w:rsidR="00B41389" w:rsidRPr="00E64378" w14:paraId="60A27DFB" w14:textId="77777777" w:rsidTr="006146A1">
        <w:trPr>
          <w:trHeight w:val="1440"/>
        </w:trPr>
        <w:tc>
          <w:tcPr>
            <w:tcW w:w="6588" w:type="dxa"/>
            <w:tcBorders>
              <w:bottom w:val="single" w:sz="4" w:space="0" w:color="auto"/>
            </w:tcBorders>
            <w:vAlign w:val="center"/>
          </w:tcPr>
          <w:p w14:paraId="1BE75DB0" w14:textId="650DF580" w:rsidR="00B41389" w:rsidRPr="003A5CB3" w:rsidRDefault="00B41389" w:rsidP="00B41389">
            <w:pPr>
              <w:pStyle w:val="ListParagraph"/>
              <w:numPr>
                <w:ilvl w:val="0"/>
                <w:numId w:val="192"/>
              </w:numPr>
            </w:pPr>
            <w:r>
              <w:t xml:space="preserve">Does your hospital’s financial assistance application include </w:t>
            </w:r>
            <w:r>
              <w:rPr>
                <w:rFonts w:eastAsia="Avenir" w:cstheme="minorHAnsi"/>
              </w:rPr>
              <w:t>n</w:t>
            </w:r>
            <w:r w:rsidRPr="001A2630">
              <w:rPr>
                <w:rFonts w:eastAsia="Avenir" w:cstheme="minorHAnsi"/>
              </w:rPr>
              <w:t xml:space="preserve">otification that </w:t>
            </w:r>
            <w:r>
              <w:rPr>
                <w:rFonts w:eastAsia="Avenir" w:cstheme="minorHAnsi"/>
              </w:rPr>
              <w:t>some services, including physician services,</w:t>
            </w:r>
            <w:r w:rsidRPr="001A2630">
              <w:rPr>
                <w:rFonts w:eastAsia="Avenir" w:cstheme="minorHAnsi"/>
              </w:rPr>
              <w:t xml:space="preserve"> </w:t>
            </w:r>
            <w:r>
              <w:rPr>
                <w:rFonts w:eastAsia="Avenir" w:cstheme="minorHAnsi"/>
              </w:rPr>
              <w:t>may</w:t>
            </w:r>
            <w:r w:rsidRPr="001A2630">
              <w:rPr>
                <w:rFonts w:eastAsia="Avenir" w:cstheme="minorHAnsi"/>
              </w:rPr>
              <w:t xml:space="preserve"> be billed separately</w:t>
            </w:r>
            <w:r>
              <w:rPr>
                <w:rFonts w:eastAsia="Avenir" w:cstheme="minorHAnsi"/>
              </w:rPr>
              <w:t>?</w:t>
            </w:r>
          </w:p>
        </w:tc>
        <w:tc>
          <w:tcPr>
            <w:tcW w:w="2947" w:type="dxa"/>
            <w:tcBorders>
              <w:bottom w:val="single" w:sz="4" w:space="0" w:color="auto"/>
            </w:tcBorders>
            <w:vAlign w:val="center"/>
          </w:tcPr>
          <w:p w14:paraId="639011CE" w14:textId="77777777" w:rsidR="00B41389" w:rsidRDefault="00B41389" w:rsidP="00B41389">
            <w:pPr>
              <w:pStyle w:val="ListParagraph"/>
              <w:numPr>
                <w:ilvl w:val="0"/>
                <w:numId w:val="255"/>
              </w:numPr>
              <w:rPr>
                <w:rFonts w:eastAsia="Avenir" w:cstheme="minorHAnsi"/>
                <w:bCs/>
              </w:rPr>
            </w:pPr>
            <w:r>
              <w:rPr>
                <w:rFonts w:eastAsia="Avenir" w:cstheme="minorHAnsi"/>
                <w:bCs/>
              </w:rPr>
              <w:t>Yes</w:t>
            </w:r>
          </w:p>
          <w:p w14:paraId="1601DDB1" w14:textId="2907F1AA" w:rsidR="00B41389" w:rsidRDefault="00B41389" w:rsidP="00B41389">
            <w:pPr>
              <w:pStyle w:val="ListParagraph"/>
              <w:numPr>
                <w:ilvl w:val="0"/>
                <w:numId w:val="255"/>
              </w:numPr>
              <w:rPr>
                <w:rFonts w:eastAsia="Avenir" w:cstheme="minorHAnsi"/>
                <w:bCs/>
              </w:rPr>
            </w:pPr>
            <w:r>
              <w:rPr>
                <w:rFonts w:eastAsia="Avenir" w:cstheme="minorHAnsi"/>
                <w:bCs/>
              </w:rPr>
              <w:t>No</w:t>
            </w:r>
          </w:p>
        </w:tc>
      </w:tr>
    </w:tbl>
    <w:p w14:paraId="0AE33F60" w14:textId="2FA5DCA3" w:rsidR="00B0302E" w:rsidRDefault="00B0302E" w:rsidP="00D71DF6">
      <w:pPr>
        <w:rPr>
          <w:rFonts w:cs="Arial"/>
          <w:b/>
          <w:snapToGrid w:val="0"/>
          <w:color w:val="000000"/>
        </w:rPr>
      </w:pPr>
    </w:p>
    <w:p w14:paraId="7D8E0D54" w14:textId="77777777" w:rsidR="00B20633" w:rsidRDefault="00B20633" w:rsidP="00D71DF6">
      <w:pPr>
        <w:rPr>
          <w:rFonts w:cs="Arial"/>
          <w:b/>
          <w:i/>
          <w:iCs/>
          <w:snapToGrid w:val="0"/>
          <w:color w:val="000000"/>
        </w:rPr>
      </w:pPr>
    </w:p>
    <w:p w14:paraId="5D923D9E" w14:textId="77777777" w:rsidR="00B20633" w:rsidRDefault="00B20633">
      <w:pPr>
        <w:rPr>
          <w:rFonts w:cs="Arial"/>
          <w:b/>
          <w:snapToGrid w:val="0"/>
          <w:color w:val="000000"/>
        </w:rPr>
      </w:pPr>
    </w:p>
    <w:p w14:paraId="1C51F0A4" w14:textId="2EBCB1A9" w:rsidR="004705EA" w:rsidRDefault="004705EA" w:rsidP="00FA46D8"/>
    <w:p w14:paraId="17F87CC9" w14:textId="77777777" w:rsidR="004705EA" w:rsidRDefault="004705EA">
      <w:pPr>
        <w:rPr>
          <w:b/>
          <w:snapToGrid w:val="0"/>
          <w:sz w:val="28"/>
          <w:szCs w:val="24"/>
          <w:u w:val="single"/>
          <w:lang w:eastAsia="ja-JP"/>
        </w:rPr>
      </w:pPr>
      <w:r>
        <w:br w:type="page"/>
      </w:r>
    </w:p>
    <w:p w14:paraId="514F25DD" w14:textId="628013A6" w:rsidR="00A35DD6" w:rsidRDefault="00A35DD6" w:rsidP="00CF5A6E">
      <w:pPr>
        <w:pStyle w:val="Heading2"/>
      </w:pPr>
      <w:bookmarkStart w:id="96" w:name="_Toc225877672"/>
      <w:bookmarkStart w:id="97" w:name="_Toc88133693"/>
      <w:r>
        <w:lastRenderedPageBreak/>
        <w:t xml:space="preserve">1C: Health </w:t>
      </w:r>
      <w:r w:rsidR="00080EC2">
        <w:t xml:space="preserve">Care </w:t>
      </w:r>
      <w:r>
        <w:t>Equity</w:t>
      </w:r>
      <w:bookmarkEnd w:id="96"/>
    </w:p>
    <w:p w14:paraId="21E4C488" w14:textId="77777777" w:rsidR="004705EA" w:rsidRDefault="004705EA" w:rsidP="004705EA">
      <w:pPr>
        <w:rPr>
          <w:lang w:eastAsia="ja-JP"/>
        </w:rPr>
      </w:pPr>
    </w:p>
    <w:p w14:paraId="255B0BA1" w14:textId="77777777" w:rsidR="00D43D0F" w:rsidRDefault="00D43D0F" w:rsidP="00D43D0F">
      <w:pPr>
        <w:rPr>
          <w:rStyle w:val="Hyperlink"/>
          <w:rFonts w:cs="Arial"/>
          <w:snapToGrid w:val="0"/>
        </w:rPr>
      </w:pPr>
      <w:r w:rsidRPr="009A5185">
        <w:rPr>
          <w:rFonts w:cs="Arial"/>
          <w:snapToGrid w:val="0"/>
        </w:rPr>
        <w:t xml:space="preserve">Hospitals that share a </w:t>
      </w:r>
      <w:r>
        <w:rPr>
          <w:rFonts w:cs="Arial"/>
          <w:snapToGrid w:val="0"/>
        </w:rPr>
        <w:t>CMS Certification Number</w:t>
      </w:r>
      <w:r w:rsidRPr="009A5185">
        <w:rPr>
          <w:rFonts w:cs="Arial"/>
          <w:snapToGrid w:val="0"/>
        </w:rPr>
        <w:t xml:space="preserve"> are required to report by facility. Please carefully review </w:t>
      </w:r>
      <w:hyperlink r:id="rId112" w:history="1">
        <w:r w:rsidRPr="009A5185">
          <w:rPr>
            <w:rStyle w:val="Hyperlink"/>
            <w:rFonts w:cs="Arial"/>
            <w:snapToGrid w:val="0"/>
          </w:rPr>
          <w:t>Leapfrog’s Multi-Campus Reporting Policy</w:t>
        </w:r>
      </w:hyperlink>
      <w:r>
        <w:rPr>
          <w:rStyle w:val="Hyperlink"/>
          <w:rFonts w:cs="Arial"/>
          <w:snapToGrid w:val="0"/>
        </w:rPr>
        <w:t>.</w:t>
      </w:r>
      <w:r w:rsidRPr="00D7308D">
        <w:rPr>
          <w:rStyle w:val="Hyperlink"/>
          <w:rFonts w:cs="Arial"/>
          <w:snapToGrid w:val="0"/>
        </w:rPr>
        <w:t xml:space="preserve"> </w:t>
      </w:r>
    </w:p>
    <w:p w14:paraId="30D9F236" w14:textId="77777777" w:rsidR="00D43D0F" w:rsidRDefault="00D43D0F" w:rsidP="00D43D0F">
      <w:pPr>
        <w:rPr>
          <w:rStyle w:val="Hyperlink"/>
          <w:rFonts w:cs="Arial"/>
          <w:snapToGrid w:val="0"/>
        </w:rPr>
      </w:pPr>
    </w:p>
    <w:p w14:paraId="342DC979" w14:textId="77777777" w:rsidR="00D43D0F" w:rsidRDefault="00D43D0F" w:rsidP="00D43D0F">
      <w:pPr>
        <w:rPr>
          <w:bCs/>
        </w:rPr>
      </w:pPr>
      <w:r w:rsidRPr="00873014">
        <w:rPr>
          <w:rFonts w:cs="Arial"/>
          <w:b/>
          <w:snapToGrid w:val="0"/>
          <w:color w:val="FF0000"/>
        </w:rPr>
        <w:t xml:space="preserve">Important Notes: </w:t>
      </w:r>
      <w:r>
        <w:rPr>
          <w:bCs/>
        </w:rPr>
        <w:br/>
      </w:r>
    </w:p>
    <w:p w14:paraId="5B970836" w14:textId="36C2FD35" w:rsidR="00D43D0F" w:rsidRDefault="00D43D0F" w:rsidP="00D43D0F">
      <w:pPr>
        <w:rPr>
          <w:bCs/>
        </w:rPr>
      </w:pPr>
      <w:r>
        <w:rPr>
          <w:bCs/>
        </w:rPr>
        <w:t>Note 1:</w:t>
      </w:r>
      <w:r w:rsidR="003D1390">
        <w:rPr>
          <w:bCs/>
        </w:rPr>
        <w:t xml:space="preserve"> Q</w:t>
      </w:r>
      <w:r>
        <w:rPr>
          <w:bCs/>
        </w:rPr>
        <w:t>uestion #5 will not be used in scoring for hospitals that do not identify disparities or if there is i</w:t>
      </w:r>
      <w:r w:rsidRPr="00520B8F">
        <w:rPr>
          <w:bCs/>
        </w:rPr>
        <w:t xml:space="preserve">nadequate data to determine if disparities exist </w:t>
      </w:r>
      <w:r>
        <w:rPr>
          <w:bCs/>
        </w:rPr>
        <w:t xml:space="preserve">in </w:t>
      </w:r>
      <w:r w:rsidRPr="00520B8F">
        <w:rPr>
          <w:bCs/>
        </w:rPr>
        <w:t>question #4</w:t>
      </w:r>
      <w:r>
        <w:rPr>
          <w:bCs/>
        </w:rPr>
        <w:t xml:space="preserve">. </w:t>
      </w:r>
      <w:bookmarkStart w:id="98" w:name="_Hlk159403943"/>
      <w:r w:rsidR="005D782F">
        <w:rPr>
          <w:bCs/>
        </w:rPr>
        <w:t>All other questions will be used in scoring</w:t>
      </w:r>
      <w:r w:rsidR="00675A55">
        <w:rPr>
          <w:bCs/>
        </w:rPr>
        <w:t xml:space="preserve"> and public reporting</w:t>
      </w:r>
      <w:bookmarkEnd w:id="98"/>
      <w:r w:rsidR="005D782F">
        <w:rPr>
          <w:bCs/>
        </w:rPr>
        <w:t>.</w:t>
      </w:r>
    </w:p>
    <w:p w14:paraId="4C22F6FA" w14:textId="77777777" w:rsidR="00D43D0F" w:rsidRDefault="00D43D0F" w:rsidP="00D43D0F">
      <w:pPr>
        <w:rPr>
          <w:bCs/>
        </w:rPr>
      </w:pPr>
    </w:p>
    <w:p w14:paraId="081308AB" w14:textId="3644256B" w:rsidR="004705EA" w:rsidRPr="004D1420" w:rsidRDefault="00D43D0F" w:rsidP="004705EA">
      <w:pPr>
        <w:rPr>
          <w:bCs/>
        </w:rPr>
      </w:pPr>
      <w:r>
        <w:rPr>
          <w:bCs/>
        </w:rPr>
        <w:t xml:space="preserve">Note 2: </w:t>
      </w:r>
      <w:r w:rsidRPr="00722F1B">
        <w:rPr>
          <w:bCs/>
        </w:rPr>
        <w:t xml:space="preserve">Hyperlinks throughout this subsection refer to </w:t>
      </w:r>
      <w:r>
        <w:rPr>
          <w:bCs/>
        </w:rPr>
        <w:t xml:space="preserve">the </w:t>
      </w:r>
      <w:hyperlink w:anchor="_Health_Care_Equity" w:history="1">
        <w:r w:rsidRPr="007213E1">
          <w:rPr>
            <w:rStyle w:val="Hyperlink"/>
            <w:bCs/>
          </w:rPr>
          <w:t xml:space="preserve">Health </w:t>
        </w:r>
        <w:r>
          <w:rPr>
            <w:rStyle w:val="Hyperlink"/>
            <w:bCs/>
          </w:rPr>
          <w:t xml:space="preserve">Care </w:t>
        </w:r>
        <w:r w:rsidRPr="007213E1">
          <w:rPr>
            <w:rStyle w:val="Hyperlink"/>
            <w:bCs/>
          </w:rPr>
          <w:t>Equity FAQs</w:t>
        </w:r>
      </w:hyperlink>
      <w:r>
        <w:rPr>
          <w:bCs/>
        </w:rPr>
        <w:t xml:space="preserve"> beginning on page </w:t>
      </w:r>
      <w:r w:rsidR="00A42B84">
        <w:rPr>
          <w:bCs/>
        </w:rPr>
        <w:t>5</w:t>
      </w:r>
      <w:r w:rsidR="009143AE">
        <w:rPr>
          <w:bCs/>
        </w:rPr>
        <w:t>1</w:t>
      </w:r>
      <w:r>
        <w:rPr>
          <w:bCs/>
        </w:rPr>
        <w:t>,</w:t>
      </w:r>
      <w:r w:rsidRPr="004A60F9">
        <w:rPr>
          <w:bCs/>
        </w:rPr>
        <w:t xml:space="preserve"> not to endnotes. These hyperlinks are not include</w:t>
      </w:r>
      <w:r>
        <w:rPr>
          <w:bCs/>
        </w:rPr>
        <w:t>d in the Online Survey Tool.</w:t>
      </w:r>
    </w:p>
    <w:p w14:paraId="060159D3" w14:textId="77777777" w:rsidR="004705EA" w:rsidRDefault="004705EA" w:rsidP="004705EA">
      <w:pPr>
        <w:rPr>
          <w:lang w:eastAsia="ja-JP"/>
        </w:rPr>
      </w:pPr>
    </w:p>
    <w:p w14:paraId="2B326DA1" w14:textId="4F741599" w:rsidR="004705EA" w:rsidRDefault="00D43D0F" w:rsidP="004705EA">
      <w:pPr>
        <w:rPr>
          <w:lang w:eastAsia="ja-JP"/>
        </w:rPr>
      </w:pPr>
      <w:r w:rsidRPr="000C7BC9">
        <w:rPr>
          <w:b/>
          <w:noProof/>
          <w:snapToGrid w:val="0"/>
          <w:color w:val="000000"/>
        </w:rPr>
        <mc:AlternateContent>
          <mc:Choice Requires="wps">
            <w:drawing>
              <wp:inline distT="0" distB="0" distL="0" distR="0" wp14:anchorId="336D765C" wp14:editId="16CDA351">
                <wp:extent cx="6035040" cy="1042056"/>
                <wp:effectExtent l="0" t="0" r="22860" b="10160"/>
                <wp:docPr id="768385361" name="Text Box 768385361" descr="P1460TB4#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5040" cy="1042056"/>
                        </a:xfrm>
                        <a:prstGeom prst="rect">
                          <a:avLst/>
                        </a:prstGeom>
                        <a:solidFill>
                          <a:srgbClr val="FFFFFF"/>
                        </a:solidFill>
                        <a:ln w="9525">
                          <a:solidFill>
                            <a:srgbClr val="FF0000"/>
                          </a:solidFill>
                          <a:miter lim="800000"/>
                          <a:headEnd/>
                          <a:tailEnd/>
                        </a:ln>
                      </wps:spPr>
                      <wps:txbx>
                        <w:txbxContent>
                          <w:p w14:paraId="0BF1BF5C" w14:textId="23F74809" w:rsidR="00D43D0F" w:rsidRPr="000C7BC9" w:rsidRDefault="00D43D0F" w:rsidP="00D43D0F">
                            <w:pPr>
                              <w:spacing w:before="40"/>
                              <w:rPr>
                                <w:rFonts w:cs="Arial"/>
                                <w:bCs/>
                                <w:snapToGrid w:val="0"/>
                                <w:u w:val="single"/>
                              </w:rPr>
                            </w:pPr>
                            <w:r w:rsidRPr="009A5185">
                              <w:rPr>
                                <w:rFonts w:cs="Arial"/>
                                <w:b/>
                                <w:snapToGrid w:val="0"/>
                              </w:rPr>
                              <w:t xml:space="preserve">Reporting Period: </w:t>
                            </w:r>
                            <w:r>
                              <w:t>Answer questions #1-</w:t>
                            </w:r>
                            <w:r w:rsidR="00985B50">
                              <w:t>7</w:t>
                            </w:r>
                            <w:r>
                              <w:t xml:space="preserve"> based on the practices currently in place at the time you submit this section of the Survey.</w:t>
                            </w:r>
                          </w:p>
                          <w:p w14:paraId="5446D7F4" w14:textId="77777777" w:rsidR="00D43D0F" w:rsidRPr="00AA7E68" w:rsidRDefault="00D43D0F" w:rsidP="00D43D0F">
                            <w:pPr>
                              <w:spacing w:before="40"/>
                              <w:rPr>
                                <w:rFonts w:cs="Arial"/>
                                <w:bCs/>
                                <w:snapToGrid w:val="0"/>
                                <w:u w:val="single"/>
                              </w:rPr>
                            </w:pPr>
                          </w:p>
                          <w:p w14:paraId="3CD799F0" w14:textId="77777777" w:rsidR="00D43D0F" w:rsidRDefault="00D43D0F" w:rsidP="00D43D0F">
                            <w:r w:rsidRPr="001B3D66">
                              <w:rPr>
                                <w:rFonts w:cs="Arial"/>
                                <w:sz w:val="16"/>
                                <w:szCs w:val="16"/>
                              </w:rPr>
                              <w:t xml:space="preserve">Note: As a reminder, the </w:t>
                            </w:r>
                            <w:hyperlink r:id="rId113" w:history="1">
                              <w:r w:rsidRPr="001B3D66">
                                <w:rPr>
                                  <w:rStyle w:val="Hyperlink"/>
                                  <w:rFonts w:cs="Arial"/>
                                  <w:sz w:val="16"/>
                                  <w:szCs w:val="16"/>
                                </w:rPr>
                                <w:t>Corrections Period</w:t>
                              </w:r>
                            </w:hyperlink>
                            <w:r w:rsidRPr="001B3D66">
                              <w:rPr>
                                <w:rFonts w:cs="Arial"/>
                                <w:sz w:val="16"/>
                                <w:szCs w:val="16"/>
                              </w:rPr>
                              <w:t xml:space="preserve"> (</w:t>
                            </w:r>
                            <w:r>
                              <w:rPr>
                                <w:rFonts w:cs="Arial"/>
                                <w:sz w:val="16"/>
                                <w:szCs w:val="16"/>
                              </w:rPr>
                              <w:t>December</w:t>
                            </w:r>
                            <w:r w:rsidRPr="001B3D66">
                              <w:rPr>
                                <w:rFonts w:cs="Arial"/>
                                <w:sz w:val="16"/>
                                <w:szCs w:val="16"/>
                              </w:rPr>
                              <w:t xml:space="preserve"> 1-January 31) is reserved for corrections to previously submitted Surveys only. </w:t>
                            </w:r>
                            <w:r w:rsidRPr="001B3D66">
                              <w:rPr>
                                <w:rFonts w:cs="Arial"/>
                                <w:bCs/>
                                <w:snapToGrid w:val="0"/>
                                <w:sz w:val="16"/>
                                <w:szCs w:val="16"/>
                              </w:rPr>
                              <w:t xml:space="preserve">Any updates made to reflect a change in performance must be made prior to the </w:t>
                            </w:r>
                            <w:r>
                              <w:rPr>
                                <w:rFonts w:cs="Arial"/>
                                <w:bCs/>
                                <w:snapToGrid w:val="0"/>
                                <w:sz w:val="16"/>
                                <w:szCs w:val="16"/>
                              </w:rPr>
                              <w:t>November 30</w:t>
                            </w:r>
                            <w:r w:rsidRPr="001B3D66">
                              <w:rPr>
                                <w:rFonts w:cs="Arial"/>
                                <w:bCs/>
                                <w:snapToGrid w:val="0"/>
                                <w:sz w:val="16"/>
                                <w:szCs w:val="16"/>
                              </w:rPr>
                              <w:t xml:space="preserve"> Late Submission </w:t>
                            </w:r>
                            <w:r w:rsidRPr="00AE38C7">
                              <w:rPr>
                                <w:rFonts w:cs="Arial"/>
                                <w:bCs/>
                                <w:snapToGrid w:val="0"/>
                                <w:sz w:val="16"/>
                                <w:szCs w:val="16"/>
                              </w:rPr>
                              <w:t>and Performance Update</w:t>
                            </w:r>
                            <w:r>
                              <w:rPr>
                                <w:rFonts w:cs="Arial"/>
                                <w:bCs/>
                                <w:snapToGrid w:val="0"/>
                                <w:sz w:val="16"/>
                                <w:szCs w:val="16"/>
                              </w:rPr>
                              <w:t xml:space="preserve"> </w:t>
                            </w:r>
                            <w:r w:rsidRPr="001B3D66">
                              <w:rPr>
                                <w:rFonts w:cs="Arial"/>
                                <w:bCs/>
                                <w:snapToGrid w:val="0"/>
                                <w:sz w:val="16"/>
                                <w:szCs w:val="16"/>
                              </w:rPr>
                              <w:t xml:space="preserve">Deadline. Updates made to reflect a change in performance after </w:t>
                            </w:r>
                            <w:r>
                              <w:rPr>
                                <w:rFonts w:cs="Arial"/>
                                <w:bCs/>
                                <w:snapToGrid w:val="0"/>
                                <w:sz w:val="16"/>
                                <w:szCs w:val="16"/>
                              </w:rPr>
                              <w:t>November 30</w:t>
                            </w:r>
                            <w:r w:rsidRPr="001B3D66">
                              <w:rPr>
                                <w:rFonts w:cs="Arial"/>
                                <w:bCs/>
                                <w:snapToGrid w:val="0"/>
                                <w:sz w:val="16"/>
                                <w:szCs w:val="16"/>
                              </w:rPr>
                              <w:t xml:space="preserve"> will not be scored or publicly reported.</w:t>
                            </w:r>
                          </w:p>
                        </w:txbxContent>
                      </wps:txbx>
                      <wps:bodyPr rot="0" vert="horz" wrap="square" lIns="91440" tIns="45720" rIns="91440" bIns="45720" anchor="t" anchorCtr="0">
                        <a:spAutoFit/>
                      </wps:bodyPr>
                    </wps:wsp>
                  </a:graphicData>
                </a:graphic>
              </wp:inline>
            </w:drawing>
          </mc:Choice>
          <mc:Fallback>
            <w:pict>
              <v:shape w14:anchorId="336D765C" id="Text Box 768385361" o:spid="_x0000_s1031" type="#_x0000_t202" alt="P1460TB4#y1" style="width:475.2pt;height:82.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" strokecolor="red">
                <v:textbox style="mso-fit-shape-to-text:t">
                  <w:txbxContent>
                    <w:p w14:paraId="0BF1BF5C" w14:textId="23F74809" w:rsidR="00D43D0F" w:rsidRPr="000C7BC9" w:rsidRDefault="00D43D0F" w:rsidP="00D43D0F">
                      <w:pPr>
                        <w:spacing w:before="40"/>
                        <w:rPr>
                          <w:rFonts w:cs="Arial"/>
                          <w:bCs/>
                          <w:snapToGrid w:val="0"/>
                          <w:u w:val="single"/>
                        </w:rPr>
                      </w:pPr>
                      <w:r w:rsidRPr="009A5185">
                        <w:rPr>
                          <w:rFonts w:cs="Arial"/>
                          <w:b/>
                          <w:snapToGrid w:val="0"/>
                        </w:rPr>
                        <w:t xml:space="preserve">Reporting Period: </w:t>
                      </w:r>
                      <w:r>
                        <w:t>Answer questions #1-</w:t>
                      </w:r>
                      <w:r w:rsidR="00985B50">
                        <w:t>7</w:t>
                      </w:r>
                      <w:r>
                        <w:t xml:space="preserve"> based on the practices currently in place at the time you submit this section of the Survey.</w:t>
                      </w:r>
                    </w:p>
                    <w:p w14:paraId="5446D7F4" w14:textId="77777777" w:rsidR="00D43D0F" w:rsidRPr="00AA7E68" w:rsidRDefault="00D43D0F" w:rsidP="00D43D0F">
                      <w:pPr>
                        <w:spacing w:before="40"/>
                        <w:rPr>
                          <w:rFonts w:cs="Arial"/>
                          <w:bCs/>
                          <w:snapToGrid w:val="0"/>
                          <w:u w:val="single"/>
                        </w:rPr>
                      </w:pPr>
                    </w:p>
                    <w:p w14:paraId="3CD799F0" w14:textId="77777777" w:rsidR="00D43D0F" w:rsidRDefault="00D43D0F" w:rsidP="00D43D0F">
                      <w:r w:rsidRPr="001B3D66">
                        <w:rPr>
                          <w:rFonts w:cs="Arial"/>
                          <w:sz w:val="16"/>
                          <w:szCs w:val="16"/>
                        </w:rPr>
                        <w:t xml:space="preserve">Note: As a reminder, the </w:t>
                      </w:r>
                      <w:hyperlink r:id="rId114" w:history="1">
                        <w:r w:rsidRPr="001B3D66">
                          <w:rPr>
                            <w:rStyle w:val="Hyperlink"/>
                            <w:rFonts w:cs="Arial"/>
                            <w:sz w:val="16"/>
                            <w:szCs w:val="16"/>
                          </w:rPr>
                          <w:t>Corrections Period</w:t>
                        </w:r>
                      </w:hyperlink>
                      <w:r w:rsidRPr="001B3D66">
                        <w:rPr>
                          <w:rFonts w:cs="Arial"/>
                          <w:sz w:val="16"/>
                          <w:szCs w:val="16"/>
                        </w:rPr>
                        <w:t xml:space="preserve"> (</w:t>
                      </w:r>
                      <w:r>
                        <w:rPr>
                          <w:rFonts w:cs="Arial"/>
                          <w:sz w:val="16"/>
                          <w:szCs w:val="16"/>
                        </w:rPr>
                        <w:t>December</w:t>
                      </w:r>
                      <w:r w:rsidRPr="001B3D66">
                        <w:rPr>
                          <w:rFonts w:cs="Arial"/>
                          <w:sz w:val="16"/>
                          <w:szCs w:val="16"/>
                        </w:rPr>
                        <w:t xml:space="preserve"> 1-January 31) is reserved for corrections to previously submitted Surveys only. </w:t>
                      </w:r>
                      <w:r w:rsidRPr="001B3D66">
                        <w:rPr>
                          <w:rFonts w:cs="Arial"/>
                          <w:bCs/>
                          <w:snapToGrid w:val="0"/>
                          <w:sz w:val="16"/>
                          <w:szCs w:val="16"/>
                        </w:rPr>
                        <w:t xml:space="preserve">Any updates made to reflect a change in performance must be made prior to the </w:t>
                      </w:r>
                      <w:r>
                        <w:rPr>
                          <w:rFonts w:cs="Arial"/>
                          <w:bCs/>
                          <w:snapToGrid w:val="0"/>
                          <w:sz w:val="16"/>
                          <w:szCs w:val="16"/>
                        </w:rPr>
                        <w:t>November 30</w:t>
                      </w:r>
                      <w:r w:rsidRPr="001B3D66">
                        <w:rPr>
                          <w:rFonts w:cs="Arial"/>
                          <w:bCs/>
                          <w:snapToGrid w:val="0"/>
                          <w:sz w:val="16"/>
                          <w:szCs w:val="16"/>
                        </w:rPr>
                        <w:t xml:space="preserve"> Late Submission </w:t>
                      </w:r>
                      <w:r w:rsidRPr="00AE38C7">
                        <w:rPr>
                          <w:rFonts w:cs="Arial"/>
                          <w:bCs/>
                          <w:snapToGrid w:val="0"/>
                          <w:sz w:val="16"/>
                          <w:szCs w:val="16"/>
                        </w:rPr>
                        <w:t>and Performance Update</w:t>
                      </w:r>
                      <w:r>
                        <w:rPr>
                          <w:rFonts w:cs="Arial"/>
                          <w:bCs/>
                          <w:snapToGrid w:val="0"/>
                          <w:sz w:val="16"/>
                          <w:szCs w:val="16"/>
                        </w:rPr>
                        <w:t xml:space="preserve"> </w:t>
                      </w:r>
                      <w:r w:rsidRPr="001B3D66">
                        <w:rPr>
                          <w:rFonts w:cs="Arial"/>
                          <w:bCs/>
                          <w:snapToGrid w:val="0"/>
                          <w:sz w:val="16"/>
                          <w:szCs w:val="16"/>
                        </w:rPr>
                        <w:t xml:space="preserve">Deadline. Updates made to reflect a change in performance after </w:t>
                      </w:r>
                      <w:r>
                        <w:rPr>
                          <w:rFonts w:cs="Arial"/>
                          <w:bCs/>
                          <w:snapToGrid w:val="0"/>
                          <w:sz w:val="16"/>
                          <w:szCs w:val="16"/>
                        </w:rPr>
                        <w:t>November 30</w:t>
                      </w:r>
                      <w:r w:rsidRPr="001B3D66">
                        <w:rPr>
                          <w:rFonts w:cs="Arial"/>
                          <w:bCs/>
                          <w:snapToGrid w:val="0"/>
                          <w:sz w:val="16"/>
                          <w:szCs w:val="16"/>
                        </w:rPr>
                        <w:t xml:space="preserve"> will not be scored or publicly reported.</w:t>
                      </w:r>
                    </w:p>
                  </w:txbxContent>
                </v:textbox>
                <w10:anchorlock/>
              </v:shape>
            </w:pict>
          </mc:Fallback>
        </mc:AlternateContent>
      </w:r>
    </w:p>
    <w:p w14:paraId="7C762272" w14:textId="77777777" w:rsidR="00D43D0F" w:rsidRPr="0003005A" w:rsidRDefault="00D43D0F" w:rsidP="004705EA">
      <w:pPr>
        <w:rPr>
          <w:lang w:eastAsia="ja-JP"/>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88"/>
        <w:gridCol w:w="2947"/>
      </w:tblGrid>
      <w:tr w:rsidR="004705EA" w:rsidRPr="00B0302E" w14:paraId="1892C955" w14:textId="77777777" w:rsidTr="00EC4DCE">
        <w:trPr>
          <w:trHeight w:val="2483"/>
        </w:trPr>
        <w:tc>
          <w:tcPr>
            <w:tcW w:w="6588" w:type="dxa"/>
            <w:vAlign w:val="center"/>
          </w:tcPr>
          <w:p w14:paraId="6054601C" w14:textId="77777777" w:rsidR="004705EA" w:rsidRPr="00C53C7B" w:rsidRDefault="004705EA" w:rsidP="00AD309C">
            <w:pPr>
              <w:numPr>
                <w:ilvl w:val="0"/>
                <w:numId w:val="306"/>
              </w:numPr>
              <w:contextualSpacing/>
              <w:rPr>
                <w:rFonts w:cs="Arial"/>
              </w:rPr>
            </w:pPr>
            <w:r w:rsidRPr="00C53C7B">
              <w:rPr>
                <w:rFonts w:cs="Arial"/>
              </w:rPr>
              <w:t xml:space="preserve">Which of the following </w:t>
            </w:r>
            <w:r w:rsidRPr="00AF498B">
              <w:rPr>
                <w:rFonts w:cs="Arial"/>
                <w:b/>
                <w:bCs/>
              </w:rPr>
              <w:t>patient self-identified</w:t>
            </w:r>
            <w:r>
              <w:rPr>
                <w:rFonts w:cs="Arial"/>
              </w:rPr>
              <w:t xml:space="preserve"> </w:t>
            </w:r>
            <w:r w:rsidRPr="00C53C7B">
              <w:rPr>
                <w:rFonts w:cs="Arial"/>
              </w:rPr>
              <w:t xml:space="preserve">demographic data does your hospital collect </w:t>
            </w:r>
            <w:hyperlink w:anchor="directlyfrompatientsfaq" w:history="1">
              <w:r w:rsidRPr="001D16B1">
                <w:rPr>
                  <w:rStyle w:val="Hyperlink"/>
                  <w:rFonts w:cs="Arial"/>
                  <w:b/>
                  <w:bCs/>
                </w:rPr>
                <w:t>directly from its patients</w:t>
              </w:r>
            </w:hyperlink>
            <w:r>
              <w:rPr>
                <w:rFonts w:cs="Arial"/>
                <w:b/>
                <w:bCs/>
              </w:rPr>
              <w:t xml:space="preserve"> (or patient’s legal guardian) </w:t>
            </w:r>
            <w:r w:rsidRPr="00923EE1">
              <w:rPr>
                <w:rFonts w:cs="Arial"/>
              </w:rPr>
              <w:t>prior to or while registering a patient for a hospital visit?</w:t>
            </w:r>
          </w:p>
          <w:p w14:paraId="1FF7EFAF" w14:textId="77777777" w:rsidR="004705EA" w:rsidRPr="00C53C7B" w:rsidRDefault="004705EA" w:rsidP="00EC4DCE">
            <w:pPr>
              <w:ind w:left="360"/>
              <w:contextualSpacing/>
              <w:rPr>
                <w:rFonts w:cs="Arial"/>
                <w:i/>
                <w:iCs/>
              </w:rPr>
            </w:pPr>
          </w:p>
          <w:p w14:paraId="05B2DA6E" w14:textId="77777777" w:rsidR="004705EA" w:rsidRPr="00C53C7B" w:rsidRDefault="004705EA" w:rsidP="00EC4DCE">
            <w:pPr>
              <w:ind w:left="360"/>
              <w:contextualSpacing/>
              <w:rPr>
                <w:rFonts w:cs="Arial"/>
                <w:i/>
                <w:iCs/>
              </w:rPr>
            </w:pPr>
            <w:r w:rsidRPr="00C53C7B">
              <w:rPr>
                <w:rFonts w:cs="Arial"/>
                <w:i/>
                <w:iCs/>
              </w:rPr>
              <w:t xml:space="preserve">Select all that apply. </w:t>
            </w:r>
          </w:p>
          <w:p w14:paraId="397256DF" w14:textId="77777777" w:rsidR="004705EA" w:rsidRPr="00C53C7B" w:rsidRDefault="004705EA" w:rsidP="00EC4DCE">
            <w:pPr>
              <w:ind w:left="360"/>
              <w:contextualSpacing/>
              <w:rPr>
                <w:rFonts w:cs="Arial"/>
                <w:i/>
                <w:iCs/>
              </w:rPr>
            </w:pPr>
          </w:p>
          <w:p w14:paraId="727B8997" w14:textId="4F4639D9" w:rsidR="004705EA" w:rsidRPr="004D7D1D" w:rsidRDefault="004705EA" w:rsidP="00EC4DCE">
            <w:pPr>
              <w:ind w:left="360"/>
              <w:contextualSpacing/>
              <w:rPr>
                <w:rFonts w:cs="Arial"/>
                <w:i/>
                <w:iCs/>
              </w:rPr>
            </w:pPr>
            <w:r w:rsidRPr="00C53C7B">
              <w:rPr>
                <w:rFonts w:cs="Arial"/>
                <w:i/>
                <w:iCs/>
              </w:rPr>
              <w:t>If “</w:t>
            </w:r>
            <w:r>
              <w:rPr>
                <w:rFonts w:cs="Arial"/>
                <w:i/>
                <w:iCs/>
              </w:rPr>
              <w:t>n</w:t>
            </w:r>
            <w:r w:rsidRPr="00C53C7B">
              <w:rPr>
                <w:rFonts w:cs="Arial"/>
                <w:i/>
                <w:iCs/>
              </w:rPr>
              <w:t>one of the above</w:t>
            </w:r>
            <w:r>
              <w:rPr>
                <w:rFonts w:cs="Arial"/>
                <w:i/>
                <w:iCs/>
              </w:rPr>
              <w:t>,</w:t>
            </w:r>
            <w:r w:rsidRPr="00C53C7B">
              <w:rPr>
                <w:rFonts w:cs="Arial"/>
                <w:i/>
                <w:iCs/>
              </w:rPr>
              <w:t>” skip the remaining questions</w:t>
            </w:r>
            <w:r>
              <w:rPr>
                <w:rFonts w:cs="Arial"/>
                <w:i/>
                <w:iCs/>
              </w:rPr>
              <w:t xml:space="preserve"> in Section 1</w:t>
            </w:r>
            <w:r w:rsidR="00D43D0F">
              <w:rPr>
                <w:rFonts w:cs="Arial"/>
                <w:i/>
                <w:iCs/>
              </w:rPr>
              <w:t>C</w:t>
            </w:r>
            <w:r w:rsidRPr="00C53C7B">
              <w:rPr>
                <w:rFonts w:cs="Arial"/>
                <w:i/>
                <w:iCs/>
              </w:rPr>
              <w:t xml:space="preserve"> and </w:t>
            </w:r>
            <w:r>
              <w:rPr>
                <w:rFonts w:cs="Arial"/>
                <w:i/>
                <w:iCs/>
              </w:rPr>
              <w:t>continue to the next subsection.</w:t>
            </w:r>
            <w:r w:rsidR="00691EFF">
              <w:rPr>
                <w:rFonts w:cs="Arial"/>
                <w:i/>
                <w:iCs/>
              </w:rPr>
              <w:t xml:space="preserve"> The hospital will be scored as “Limited Achievement.” </w:t>
            </w:r>
          </w:p>
        </w:tc>
        <w:tc>
          <w:tcPr>
            <w:tcW w:w="2947" w:type="dxa"/>
            <w:vAlign w:val="center"/>
          </w:tcPr>
          <w:p w14:paraId="085A6B3B" w14:textId="77777777" w:rsidR="004705EA" w:rsidRPr="007D0C84" w:rsidRDefault="004705EA" w:rsidP="00AD309C">
            <w:pPr>
              <w:numPr>
                <w:ilvl w:val="0"/>
                <w:numId w:val="143"/>
              </w:numPr>
              <w:contextualSpacing/>
              <w:rPr>
                <w:rFonts w:cs="Arial"/>
                <w:iCs/>
              </w:rPr>
            </w:pPr>
            <w:r w:rsidRPr="007D0C84">
              <w:rPr>
                <w:rFonts w:cs="Arial"/>
                <w:iCs/>
              </w:rPr>
              <w:t>Race</w:t>
            </w:r>
          </w:p>
          <w:p w14:paraId="0FD07633" w14:textId="77777777" w:rsidR="004705EA" w:rsidRPr="007D0C84" w:rsidRDefault="004705EA" w:rsidP="00AD309C">
            <w:pPr>
              <w:numPr>
                <w:ilvl w:val="0"/>
                <w:numId w:val="143"/>
              </w:numPr>
              <w:contextualSpacing/>
              <w:rPr>
                <w:rFonts w:cs="Arial"/>
                <w:iCs/>
              </w:rPr>
            </w:pPr>
            <w:r w:rsidRPr="007D0C84">
              <w:rPr>
                <w:rFonts w:cs="Arial"/>
                <w:iCs/>
              </w:rPr>
              <w:t>Ethnicity</w:t>
            </w:r>
          </w:p>
          <w:p w14:paraId="4B534C1B" w14:textId="229854EB" w:rsidR="004705EA" w:rsidRPr="007D0C84" w:rsidRDefault="004705EA" w:rsidP="00AD309C">
            <w:pPr>
              <w:numPr>
                <w:ilvl w:val="0"/>
                <w:numId w:val="143"/>
              </w:numPr>
              <w:contextualSpacing/>
              <w:rPr>
                <w:rFonts w:cs="Arial"/>
                <w:iCs/>
              </w:rPr>
            </w:pPr>
            <w:r w:rsidRPr="007D0C84">
              <w:rPr>
                <w:rFonts w:cs="Arial"/>
                <w:iCs/>
              </w:rPr>
              <w:t>Spoken language preferred for health</w:t>
            </w:r>
            <w:r w:rsidR="007D2419">
              <w:rPr>
                <w:rFonts w:cs="Arial"/>
                <w:iCs/>
              </w:rPr>
              <w:t xml:space="preserve"> </w:t>
            </w:r>
            <w:r w:rsidRPr="007D0C84">
              <w:rPr>
                <w:rFonts w:cs="Arial"/>
                <w:iCs/>
              </w:rPr>
              <w:t>care (patient or legal guardian)</w:t>
            </w:r>
          </w:p>
          <w:p w14:paraId="559B8FE2" w14:textId="047DDB95" w:rsidR="004705EA" w:rsidRPr="007D0C84" w:rsidRDefault="004705EA" w:rsidP="00AD309C">
            <w:pPr>
              <w:numPr>
                <w:ilvl w:val="0"/>
                <w:numId w:val="143"/>
              </w:numPr>
              <w:contextualSpacing/>
              <w:rPr>
                <w:rFonts w:cs="Arial"/>
                <w:iCs/>
              </w:rPr>
            </w:pPr>
            <w:r w:rsidRPr="007D0C84">
              <w:rPr>
                <w:rFonts w:cs="Arial"/>
                <w:iCs/>
              </w:rPr>
              <w:t>Written language preferred for health</w:t>
            </w:r>
            <w:r w:rsidR="007D2419">
              <w:rPr>
                <w:rFonts w:cs="Arial"/>
                <w:iCs/>
              </w:rPr>
              <w:t xml:space="preserve"> </w:t>
            </w:r>
            <w:r w:rsidRPr="007D0C84">
              <w:rPr>
                <w:rFonts w:cs="Arial"/>
                <w:iCs/>
              </w:rPr>
              <w:t>care (patient or legal guardian)</w:t>
            </w:r>
          </w:p>
          <w:p w14:paraId="4BEBB667" w14:textId="77777777" w:rsidR="004705EA" w:rsidRPr="007D0C84" w:rsidRDefault="004705EA" w:rsidP="00AD309C">
            <w:pPr>
              <w:numPr>
                <w:ilvl w:val="0"/>
                <w:numId w:val="143"/>
              </w:numPr>
              <w:contextualSpacing/>
              <w:rPr>
                <w:rFonts w:cs="Arial"/>
                <w:iCs/>
              </w:rPr>
            </w:pPr>
            <w:r w:rsidRPr="007D0C84">
              <w:rPr>
                <w:rFonts w:cs="Arial"/>
                <w:iCs/>
              </w:rPr>
              <w:t>Sexual orientation</w:t>
            </w:r>
          </w:p>
          <w:p w14:paraId="2CC17D70" w14:textId="77777777" w:rsidR="004705EA" w:rsidRDefault="004705EA" w:rsidP="00AD309C">
            <w:pPr>
              <w:numPr>
                <w:ilvl w:val="0"/>
                <w:numId w:val="143"/>
              </w:numPr>
              <w:contextualSpacing/>
              <w:rPr>
                <w:rFonts w:cs="Arial"/>
                <w:iCs/>
              </w:rPr>
            </w:pPr>
            <w:r w:rsidRPr="007D0C84">
              <w:rPr>
                <w:rFonts w:cs="Arial"/>
                <w:iCs/>
              </w:rPr>
              <w:t>Gender identity</w:t>
            </w:r>
          </w:p>
          <w:p w14:paraId="667338BA" w14:textId="20353B04" w:rsidR="00296355" w:rsidRPr="007D0C84" w:rsidRDefault="00296355" w:rsidP="00AD309C">
            <w:pPr>
              <w:numPr>
                <w:ilvl w:val="0"/>
                <w:numId w:val="143"/>
              </w:numPr>
              <w:contextualSpacing/>
              <w:rPr>
                <w:rFonts w:cs="Arial"/>
                <w:iCs/>
              </w:rPr>
            </w:pPr>
            <w:hyperlink w:anchor="abilitystatus_1c" w:history="1">
              <w:r w:rsidRPr="00A50E7E">
                <w:rPr>
                  <w:rStyle w:val="Hyperlink"/>
                  <w:rFonts w:cs="Arial"/>
                  <w:iCs/>
                </w:rPr>
                <w:t>Ability status</w:t>
              </w:r>
            </w:hyperlink>
          </w:p>
          <w:p w14:paraId="15F5FA5F" w14:textId="77777777" w:rsidR="004705EA" w:rsidRPr="00B0302E" w:rsidRDefault="004705EA" w:rsidP="00AD309C">
            <w:pPr>
              <w:numPr>
                <w:ilvl w:val="0"/>
                <w:numId w:val="143"/>
              </w:numPr>
              <w:contextualSpacing/>
              <w:rPr>
                <w:rFonts w:cs="Arial"/>
                <w:i/>
              </w:rPr>
            </w:pPr>
            <w:r w:rsidRPr="007D0C84">
              <w:rPr>
                <w:rFonts w:cs="Arial"/>
                <w:iCs/>
              </w:rPr>
              <w:t>None of the above</w:t>
            </w:r>
          </w:p>
        </w:tc>
      </w:tr>
      <w:tr w:rsidR="004705EA" w:rsidRPr="00B0302E" w14:paraId="273EEC6B" w14:textId="77777777" w:rsidTr="00350A2F">
        <w:trPr>
          <w:trHeight w:val="1152"/>
        </w:trPr>
        <w:tc>
          <w:tcPr>
            <w:tcW w:w="6588" w:type="dxa"/>
          </w:tcPr>
          <w:p w14:paraId="3A59632C" w14:textId="3D1968B0" w:rsidR="004705EA" w:rsidRDefault="004705EA" w:rsidP="00AD309C">
            <w:pPr>
              <w:numPr>
                <w:ilvl w:val="0"/>
                <w:numId w:val="306"/>
              </w:numPr>
              <w:contextualSpacing/>
              <w:rPr>
                <w:rFonts w:cs="Arial"/>
              </w:rPr>
            </w:pPr>
            <w:r>
              <w:rPr>
                <w:rFonts w:cs="Arial"/>
              </w:rPr>
              <w:t xml:space="preserve">Does your hospital train staff responsible for </w:t>
            </w:r>
            <w:r w:rsidR="005E5270" w:rsidRPr="00813E10">
              <w:t xml:space="preserve">collecting the self-identified demographic data either in-person or over the phone from patients (or patient’s legal guardian) in question #1 </w:t>
            </w:r>
            <w:r>
              <w:rPr>
                <w:rFonts w:cs="Arial"/>
              </w:rPr>
              <w:t>at both:</w:t>
            </w:r>
          </w:p>
          <w:p w14:paraId="123E581E" w14:textId="77777777" w:rsidR="004705EA" w:rsidRDefault="004705EA" w:rsidP="00AD309C">
            <w:pPr>
              <w:pStyle w:val="ListParagraph"/>
              <w:numPr>
                <w:ilvl w:val="0"/>
                <w:numId w:val="162"/>
              </w:numPr>
              <w:rPr>
                <w:rFonts w:cs="Arial"/>
              </w:rPr>
            </w:pPr>
            <w:r>
              <w:rPr>
                <w:rFonts w:cs="Arial"/>
              </w:rPr>
              <w:t>the time of onboarding, and</w:t>
            </w:r>
          </w:p>
          <w:p w14:paraId="7CC73529" w14:textId="77777777" w:rsidR="004705EA" w:rsidRPr="002064AB" w:rsidRDefault="004705EA" w:rsidP="00AD309C">
            <w:pPr>
              <w:pStyle w:val="ListParagraph"/>
              <w:numPr>
                <w:ilvl w:val="0"/>
                <w:numId w:val="162"/>
              </w:numPr>
              <w:rPr>
                <w:rFonts w:cs="Arial"/>
              </w:rPr>
            </w:pPr>
            <w:r w:rsidRPr="002064AB">
              <w:rPr>
                <w:rFonts w:cs="Arial"/>
              </w:rPr>
              <w:t xml:space="preserve">annually thereafter? </w:t>
            </w:r>
          </w:p>
        </w:tc>
        <w:tc>
          <w:tcPr>
            <w:tcW w:w="2947" w:type="dxa"/>
            <w:vAlign w:val="center"/>
          </w:tcPr>
          <w:p w14:paraId="014F63EE" w14:textId="77777777" w:rsidR="004705EA" w:rsidRPr="004D1420" w:rsidRDefault="004705EA" w:rsidP="00AD309C">
            <w:pPr>
              <w:pStyle w:val="ListParagraph"/>
              <w:numPr>
                <w:ilvl w:val="0"/>
                <w:numId w:val="307"/>
              </w:numPr>
              <w:rPr>
                <w:rFonts w:cs="Arial"/>
                <w:iCs/>
              </w:rPr>
            </w:pPr>
            <w:r w:rsidRPr="004D1420">
              <w:rPr>
                <w:rFonts w:cs="Arial"/>
                <w:iCs/>
              </w:rPr>
              <w:t>Yes</w:t>
            </w:r>
          </w:p>
          <w:p w14:paraId="5DB942A7" w14:textId="77777777" w:rsidR="004705EA" w:rsidRPr="004D1420" w:rsidRDefault="004705EA" w:rsidP="00AD309C">
            <w:pPr>
              <w:pStyle w:val="ListParagraph"/>
              <w:numPr>
                <w:ilvl w:val="0"/>
                <w:numId w:val="307"/>
              </w:numPr>
              <w:rPr>
                <w:rFonts w:cs="Arial"/>
                <w:iCs/>
              </w:rPr>
            </w:pPr>
            <w:r w:rsidRPr="004D1420">
              <w:rPr>
                <w:rFonts w:cs="Arial"/>
                <w:iCs/>
              </w:rPr>
              <w:t>No</w:t>
            </w:r>
          </w:p>
        </w:tc>
      </w:tr>
      <w:tr w:rsidR="004705EA" w:rsidRPr="00B0302E" w14:paraId="2C3F6B3E" w14:textId="77777777" w:rsidTr="00EC4DCE">
        <w:trPr>
          <w:trHeight w:val="1484"/>
        </w:trPr>
        <w:tc>
          <w:tcPr>
            <w:tcW w:w="6588" w:type="dxa"/>
          </w:tcPr>
          <w:p w14:paraId="51E09822" w14:textId="530AD3FA" w:rsidR="004705EA" w:rsidRPr="00B0302E" w:rsidRDefault="004705EA" w:rsidP="00AD309C">
            <w:pPr>
              <w:numPr>
                <w:ilvl w:val="0"/>
                <w:numId w:val="306"/>
              </w:numPr>
              <w:contextualSpacing/>
              <w:rPr>
                <w:rFonts w:cs="Arial"/>
              </w:rPr>
            </w:pPr>
            <w:r w:rsidRPr="00B0302E">
              <w:rPr>
                <w:rFonts w:cs="Arial"/>
              </w:rPr>
              <w:t xml:space="preserve">Does your hospital </w:t>
            </w:r>
            <w:r>
              <w:rPr>
                <w:rFonts w:cs="Arial"/>
              </w:rPr>
              <w:t>use the patient self-identified demographic data it collects directly from patients (or patient’s legal guardian) in question #</w:t>
            </w:r>
            <w:r w:rsidR="00D43D0F">
              <w:rPr>
                <w:rFonts w:cs="Arial"/>
              </w:rPr>
              <w:t>1</w:t>
            </w:r>
            <w:r>
              <w:rPr>
                <w:rFonts w:cs="Arial"/>
              </w:rPr>
              <w:t xml:space="preserve"> to </w:t>
            </w:r>
            <w:r w:rsidRPr="00B0302E">
              <w:rPr>
                <w:rFonts w:cs="Arial"/>
              </w:rPr>
              <w:t xml:space="preserve">stratify </w:t>
            </w:r>
            <w:r w:rsidRPr="00C53C7B">
              <w:rPr>
                <w:rFonts w:cs="Arial"/>
                <w:u w:val="single"/>
              </w:rPr>
              <w:t>any</w:t>
            </w:r>
            <w:r w:rsidRPr="00B0302E">
              <w:rPr>
                <w:rFonts w:cs="Arial"/>
              </w:rPr>
              <w:t xml:space="preserve"> quality measure</w:t>
            </w:r>
            <w:r>
              <w:rPr>
                <w:rFonts w:cs="Arial"/>
              </w:rPr>
              <w:t>(</w:t>
            </w:r>
            <w:r w:rsidRPr="00B0302E">
              <w:rPr>
                <w:rFonts w:cs="Arial"/>
              </w:rPr>
              <w:t>s</w:t>
            </w:r>
            <w:r>
              <w:rPr>
                <w:rFonts w:cs="Arial"/>
              </w:rPr>
              <w:t xml:space="preserve">) with the aim of identifying </w:t>
            </w:r>
            <w:hyperlink w:anchor="inadequatedatafaq" w:history="1">
              <w:r w:rsidRPr="006736CA">
                <w:rPr>
                  <w:rStyle w:val="Hyperlink"/>
                  <w:rFonts w:cs="Arial"/>
                </w:rPr>
                <w:t>health care disparities</w:t>
              </w:r>
            </w:hyperlink>
            <w:r w:rsidRPr="00B0302E">
              <w:rPr>
                <w:rFonts w:cs="Arial"/>
              </w:rPr>
              <w:t xml:space="preserve">? </w:t>
            </w:r>
          </w:p>
          <w:p w14:paraId="30392506" w14:textId="77777777" w:rsidR="004705EA" w:rsidRPr="00B0302E" w:rsidRDefault="004705EA" w:rsidP="00EC4DCE">
            <w:pPr>
              <w:rPr>
                <w:rFonts w:cs="Arial"/>
              </w:rPr>
            </w:pPr>
          </w:p>
          <w:p w14:paraId="1B4E1466" w14:textId="6D30B53A" w:rsidR="004705EA" w:rsidRPr="00B0302E" w:rsidRDefault="004705EA" w:rsidP="00EC4DCE">
            <w:pPr>
              <w:ind w:left="360"/>
              <w:rPr>
                <w:rFonts w:cs="Arial"/>
                <w:snapToGrid w:val="0"/>
              </w:rPr>
            </w:pPr>
            <w:r w:rsidRPr="00B0302E">
              <w:rPr>
                <w:rFonts w:cs="Arial"/>
                <w:i/>
              </w:rPr>
              <w:t>If “no”</w:t>
            </w:r>
            <w:r>
              <w:rPr>
                <w:rFonts w:cs="Arial"/>
                <w:i/>
              </w:rPr>
              <w:t xml:space="preserve"> to question #</w:t>
            </w:r>
            <w:r w:rsidR="00D43D0F">
              <w:rPr>
                <w:rFonts w:cs="Arial"/>
                <w:i/>
              </w:rPr>
              <w:t>3</w:t>
            </w:r>
            <w:r>
              <w:rPr>
                <w:rFonts w:cs="Arial"/>
                <w:i/>
              </w:rPr>
              <w:t xml:space="preserve">, </w:t>
            </w:r>
            <w:r w:rsidRPr="00B0302E">
              <w:rPr>
                <w:rFonts w:cs="Arial"/>
                <w:i/>
              </w:rPr>
              <w:t xml:space="preserve">skip </w:t>
            </w:r>
            <w:r>
              <w:rPr>
                <w:rFonts w:cs="Arial"/>
                <w:i/>
              </w:rPr>
              <w:t>questions #</w:t>
            </w:r>
            <w:r w:rsidR="00D43D0F">
              <w:rPr>
                <w:rFonts w:cs="Arial"/>
                <w:i/>
              </w:rPr>
              <w:t>4-</w:t>
            </w:r>
            <w:r>
              <w:rPr>
                <w:rFonts w:cs="Arial"/>
                <w:i/>
              </w:rPr>
              <w:t>5 and continue to question #6</w:t>
            </w:r>
            <w:r w:rsidRPr="00B0302E">
              <w:rPr>
                <w:rFonts w:cs="Arial"/>
                <w:i/>
              </w:rPr>
              <w:t>.</w:t>
            </w:r>
          </w:p>
        </w:tc>
        <w:tc>
          <w:tcPr>
            <w:tcW w:w="2947" w:type="dxa"/>
            <w:vAlign w:val="center"/>
          </w:tcPr>
          <w:p w14:paraId="1D714FE5" w14:textId="77777777" w:rsidR="004705EA" w:rsidRPr="004D1420" w:rsidRDefault="004705EA" w:rsidP="00AD309C">
            <w:pPr>
              <w:pStyle w:val="ListParagraph"/>
              <w:numPr>
                <w:ilvl w:val="0"/>
                <w:numId w:val="307"/>
              </w:numPr>
              <w:rPr>
                <w:rFonts w:cs="Arial"/>
                <w:iCs/>
              </w:rPr>
            </w:pPr>
            <w:r w:rsidRPr="004D1420">
              <w:rPr>
                <w:rFonts w:cs="Arial"/>
                <w:iCs/>
              </w:rPr>
              <w:t>Yes</w:t>
            </w:r>
          </w:p>
          <w:p w14:paraId="1F12B892" w14:textId="77777777" w:rsidR="004705EA" w:rsidRPr="004D1420" w:rsidRDefault="004705EA" w:rsidP="00AD309C">
            <w:pPr>
              <w:pStyle w:val="ListParagraph"/>
              <w:numPr>
                <w:ilvl w:val="0"/>
                <w:numId w:val="307"/>
              </w:numPr>
              <w:rPr>
                <w:rFonts w:cs="Arial"/>
                <w:iCs/>
              </w:rPr>
            </w:pPr>
            <w:r w:rsidRPr="004D1420">
              <w:rPr>
                <w:rFonts w:cs="Arial"/>
                <w:iCs/>
              </w:rPr>
              <w:t>No</w:t>
            </w:r>
          </w:p>
        </w:tc>
      </w:tr>
      <w:tr w:rsidR="004705EA" w:rsidRPr="00B0302E" w14:paraId="6D9C8DEF" w14:textId="77777777" w:rsidTr="00350A2F">
        <w:trPr>
          <w:trHeight w:val="1440"/>
        </w:trPr>
        <w:tc>
          <w:tcPr>
            <w:tcW w:w="6588" w:type="dxa"/>
            <w:tcBorders>
              <w:top w:val="single" w:sz="4" w:space="0" w:color="auto"/>
              <w:left w:val="single" w:sz="4" w:space="0" w:color="auto"/>
              <w:bottom w:val="single" w:sz="4" w:space="0" w:color="auto"/>
              <w:right w:val="single" w:sz="4" w:space="0" w:color="auto"/>
            </w:tcBorders>
            <w:vAlign w:val="center"/>
          </w:tcPr>
          <w:p w14:paraId="5951C795" w14:textId="6CBD7D22" w:rsidR="004705EA" w:rsidRPr="00E82BFE" w:rsidRDefault="004705EA" w:rsidP="00AD309C">
            <w:pPr>
              <w:numPr>
                <w:ilvl w:val="0"/>
                <w:numId w:val="306"/>
              </w:numPr>
              <w:contextualSpacing/>
              <w:rPr>
                <w:rFonts w:cs="Arial"/>
              </w:rPr>
            </w:pPr>
            <w:r w:rsidRPr="00C53C7B">
              <w:rPr>
                <w:rFonts w:cs="Arial"/>
              </w:rPr>
              <w:t xml:space="preserve">By stratifying the </w:t>
            </w:r>
            <w:r w:rsidR="00D43D0F">
              <w:rPr>
                <w:rFonts w:cs="Arial"/>
              </w:rPr>
              <w:t xml:space="preserve">quality </w:t>
            </w:r>
            <w:r w:rsidRPr="00C53C7B">
              <w:rPr>
                <w:rFonts w:cs="Arial"/>
              </w:rPr>
              <w:t xml:space="preserve">measure(s) </w:t>
            </w:r>
            <w:r w:rsidR="00D43D0F">
              <w:rPr>
                <w:rFonts w:cs="Arial"/>
              </w:rPr>
              <w:t xml:space="preserve">from </w:t>
            </w:r>
            <w:r w:rsidRPr="00C53C7B">
              <w:rPr>
                <w:rFonts w:cs="Arial"/>
              </w:rPr>
              <w:t>question #</w:t>
            </w:r>
            <w:r w:rsidR="00D43D0F">
              <w:rPr>
                <w:rFonts w:cs="Arial"/>
              </w:rPr>
              <w:t>3</w:t>
            </w:r>
            <w:r w:rsidRPr="00C53C7B">
              <w:rPr>
                <w:rFonts w:cs="Arial"/>
              </w:rPr>
              <w:t xml:space="preserve">, has your hospital identified any </w:t>
            </w:r>
            <w:r w:rsidR="00D43D0F">
              <w:rPr>
                <w:rFonts w:cs="Arial"/>
              </w:rPr>
              <w:t xml:space="preserve">health care </w:t>
            </w:r>
            <w:r w:rsidRPr="00C53C7B">
              <w:rPr>
                <w:rFonts w:cs="Arial"/>
              </w:rPr>
              <w:t>disparities among its patients</w:t>
            </w:r>
            <w:r w:rsidR="00A36605">
              <w:rPr>
                <w:rFonts w:cs="Arial"/>
              </w:rPr>
              <w:t>?</w:t>
            </w:r>
            <w:r>
              <w:rPr>
                <w:rFonts w:cs="Arial"/>
              </w:rPr>
              <w:br/>
            </w:r>
            <w:r>
              <w:rPr>
                <w:rFonts w:cs="Arial"/>
              </w:rPr>
              <w:br/>
            </w:r>
            <w:r w:rsidRPr="00E82BFE">
              <w:rPr>
                <w:rFonts w:cs="Arial"/>
                <w:i/>
                <w:iCs/>
              </w:rPr>
              <w:t>If “no, disparities were not identified” or “inadequate data available to determine if disparities exist”</w:t>
            </w:r>
            <w:r w:rsidR="00A36605">
              <w:rPr>
                <w:rFonts w:cs="Arial"/>
                <w:i/>
                <w:iCs/>
              </w:rPr>
              <w:t xml:space="preserve"> to question #4,</w:t>
            </w:r>
            <w:r w:rsidRPr="00E82BFE">
              <w:rPr>
                <w:rFonts w:cs="Arial"/>
                <w:i/>
                <w:iCs/>
              </w:rPr>
              <w:t xml:space="preserve"> skip question #</w:t>
            </w:r>
            <w:r>
              <w:rPr>
                <w:rFonts w:cs="Arial"/>
                <w:i/>
                <w:iCs/>
              </w:rPr>
              <w:t xml:space="preserve">5 </w:t>
            </w:r>
            <w:r w:rsidRPr="00E82BFE">
              <w:rPr>
                <w:rFonts w:cs="Arial"/>
                <w:i/>
                <w:iCs/>
              </w:rPr>
              <w:t>and continue to question #</w:t>
            </w:r>
            <w:r>
              <w:rPr>
                <w:rFonts w:cs="Arial"/>
                <w:i/>
                <w:iCs/>
              </w:rPr>
              <w:t>6</w:t>
            </w:r>
            <w:r w:rsidRPr="00E82BFE">
              <w:rPr>
                <w:rFonts w:cs="Arial"/>
                <w:i/>
                <w:iCs/>
              </w:rPr>
              <w:t>.</w:t>
            </w:r>
          </w:p>
        </w:tc>
        <w:tc>
          <w:tcPr>
            <w:tcW w:w="2947" w:type="dxa"/>
            <w:tcBorders>
              <w:top w:val="single" w:sz="4" w:space="0" w:color="auto"/>
              <w:left w:val="single" w:sz="4" w:space="0" w:color="auto"/>
              <w:bottom w:val="single" w:sz="4" w:space="0" w:color="auto"/>
              <w:right w:val="single" w:sz="4" w:space="0" w:color="auto"/>
            </w:tcBorders>
            <w:vAlign w:val="center"/>
          </w:tcPr>
          <w:p w14:paraId="316280E9" w14:textId="77777777" w:rsidR="004705EA" w:rsidRPr="004D1420" w:rsidRDefault="004705EA" w:rsidP="00AD309C">
            <w:pPr>
              <w:pStyle w:val="ListParagraph"/>
              <w:numPr>
                <w:ilvl w:val="0"/>
                <w:numId w:val="308"/>
              </w:numPr>
              <w:rPr>
                <w:rFonts w:cs="Arial"/>
                <w:iCs/>
              </w:rPr>
            </w:pPr>
            <w:r w:rsidRPr="004D1420">
              <w:rPr>
                <w:rFonts w:cs="Arial"/>
                <w:iCs/>
              </w:rPr>
              <w:t>Yes, disparities were identified</w:t>
            </w:r>
          </w:p>
          <w:p w14:paraId="2AF8460F" w14:textId="77777777" w:rsidR="004705EA" w:rsidRPr="004D1420" w:rsidRDefault="004705EA" w:rsidP="00AD309C">
            <w:pPr>
              <w:pStyle w:val="ListParagraph"/>
              <w:numPr>
                <w:ilvl w:val="0"/>
                <w:numId w:val="308"/>
              </w:numPr>
              <w:rPr>
                <w:rFonts w:cs="Arial"/>
                <w:iCs/>
              </w:rPr>
            </w:pPr>
            <w:r w:rsidRPr="004D1420">
              <w:rPr>
                <w:rFonts w:cs="Arial"/>
                <w:iCs/>
              </w:rPr>
              <w:t>No, disparities were not identified</w:t>
            </w:r>
          </w:p>
          <w:p w14:paraId="11A47802" w14:textId="77777777" w:rsidR="004705EA" w:rsidRPr="00D43D0F" w:rsidRDefault="004705EA" w:rsidP="00AD309C">
            <w:pPr>
              <w:pStyle w:val="ListParagraph"/>
              <w:numPr>
                <w:ilvl w:val="0"/>
                <w:numId w:val="308"/>
              </w:numPr>
              <w:rPr>
                <w:rFonts w:cs="Arial"/>
                <w:i/>
              </w:rPr>
            </w:pPr>
            <w:r w:rsidRPr="004D1420">
              <w:rPr>
                <w:rFonts w:cs="Arial"/>
                <w:iCs/>
              </w:rPr>
              <w:t>Inadequate data available to determine if disparities exist</w:t>
            </w:r>
          </w:p>
        </w:tc>
      </w:tr>
      <w:tr w:rsidR="004705EA" w:rsidRPr="00B0302E" w14:paraId="011CA57E" w14:textId="77777777" w:rsidTr="00EC4DCE">
        <w:trPr>
          <w:trHeight w:val="2123"/>
        </w:trPr>
        <w:tc>
          <w:tcPr>
            <w:tcW w:w="6588" w:type="dxa"/>
            <w:tcBorders>
              <w:top w:val="single" w:sz="4" w:space="0" w:color="auto"/>
              <w:left w:val="single" w:sz="4" w:space="0" w:color="auto"/>
              <w:bottom w:val="single" w:sz="4" w:space="0" w:color="auto"/>
              <w:right w:val="single" w:sz="4" w:space="0" w:color="auto"/>
            </w:tcBorders>
          </w:tcPr>
          <w:p w14:paraId="29FE0648" w14:textId="7FE23E7F" w:rsidR="004705EA" w:rsidRPr="00B0302E" w:rsidRDefault="004705EA" w:rsidP="00AD309C">
            <w:pPr>
              <w:pStyle w:val="ListParagraph"/>
              <w:numPr>
                <w:ilvl w:val="0"/>
                <w:numId w:val="306"/>
              </w:numPr>
            </w:pPr>
            <w:r w:rsidRPr="00E82BFE">
              <w:rPr>
                <w:rFonts w:cs="Arial"/>
              </w:rPr>
              <w:lastRenderedPageBreak/>
              <w:t>In the past 12 months, has your hospital used the data and information obtained through question #</w:t>
            </w:r>
            <w:r>
              <w:rPr>
                <w:rFonts w:cs="Arial"/>
              </w:rPr>
              <w:t>4</w:t>
            </w:r>
            <w:r w:rsidRPr="00E82BFE">
              <w:rPr>
                <w:rFonts w:cs="Arial"/>
              </w:rPr>
              <w:t xml:space="preserve"> to update or revise its policies or procedures</w:t>
            </w:r>
            <w:r w:rsidRPr="00E82BFE">
              <w:rPr>
                <w:rFonts w:cs="Arial"/>
              </w:rPr>
              <w:br/>
            </w:r>
            <w:r w:rsidRPr="00E82BFE">
              <w:rPr>
                <w:rFonts w:cs="Arial"/>
              </w:rPr>
              <w:br/>
              <w:t>OR</w:t>
            </w:r>
            <w:r w:rsidRPr="00E82BFE">
              <w:rPr>
                <w:rFonts w:cs="Arial"/>
              </w:rPr>
              <w:br/>
            </w:r>
            <w:r w:rsidRPr="00E82BFE">
              <w:rPr>
                <w:rFonts w:cs="Arial"/>
              </w:rPr>
              <w:br/>
              <w:t xml:space="preserve">In the past 12 months, has your hospital </w:t>
            </w:r>
            <w:r w:rsidRPr="00D2139A">
              <w:rPr>
                <w:rFonts w:cs="Arial"/>
              </w:rPr>
              <w:t>develop</w:t>
            </w:r>
            <w:r>
              <w:rPr>
                <w:rFonts w:cs="Arial"/>
              </w:rPr>
              <w:t>ed</w:t>
            </w:r>
            <w:r w:rsidRPr="00D2139A">
              <w:rPr>
                <w:rFonts w:cs="Arial"/>
              </w:rPr>
              <w:t xml:space="preserve"> a </w:t>
            </w:r>
            <w:r w:rsidRPr="00846653">
              <w:rPr>
                <w:rStyle w:val="cf01"/>
                <w:rFonts w:ascii="Arial" w:hAnsi="Arial" w:cs="Arial"/>
                <w:sz w:val="20"/>
                <w:szCs w:val="20"/>
              </w:rPr>
              <w:t>written action plan that describes how it will address at least one of the health care disparities identified</w:t>
            </w:r>
            <w:r>
              <w:rPr>
                <w:rStyle w:val="cf01"/>
                <w:rFonts w:ascii="Arial" w:hAnsi="Arial" w:cs="Arial"/>
                <w:sz w:val="20"/>
                <w:szCs w:val="20"/>
              </w:rPr>
              <w:t xml:space="preserve"> through question #4</w:t>
            </w:r>
            <w:r w:rsidRPr="00D2139A">
              <w:rPr>
                <w:rFonts w:cs="Arial"/>
              </w:rPr>
              <w:t>?</w:t>
            </w:r>
          </w:p>
        </w:tc>
        <w:tc>
          <w:tcPr>
            <w:tcW w:w="2947" w:type="dxa"/>
            <w:tcBorders>
              <w:top w:val="single" w:sz="4" w:space="0" w:color="auto"/>
              <w:left w:val="single" w:sz="4" w:space="0" w:color="auto"/>
              <w:bottom w:val="single" w:sz="4" w:space="0" w:color="auto"/>
              <w:right w:val="single" w:sz="4" w:space="0" w:color="auto"/>
            </w:tcBorders>
            <w:vAlign w:val="center"/>
          </w:tcPr>
          <w:p w14:paraId="1143C6C2" w14:textId="77777777" w:rsidR="004705EA" w:rsidRPr="004D1420" w:rsidRDefault="004705EA" w:rsidP="00AD309C">
            <w:pPr>
              <w:pStyle w:val="ListParagraph"/>
              <w:numPr>
                <w:ilvl w:val="0"/>
                <w:numId w:val="309"/>
              </w:numPr>
              <w:rPr>
                <w:rFonts w:cs="Arial"/>
                <w:iCs/>
              </w:rPr>
            </w:pPr>
            <w:r w:rsidRPr="004D1420">
              <w:rPr>
                <w:rFonts w:cs="Arial"/>
                <w:iCs/>
              </w:rPr>
              <w:t>Yes</w:t>
            </w:r>
          </w:p>
          <w:p w14:paraId="702CC8B4" w14:textId="77777777" w:rsidR="004705EA" w:rsidRPr="004D1420" w:rsidRDefault="004705EA" w:rsidP="00AD309C">
            <w:pPr>
              <w:pStyle w:val="ListParagraph"/>
              <w:numPr>
                <w:ilvl w:val="0"/>
                <w:numId w:val="309"/>
              </w:numPr>
              <w:rPr>
                <w:rFonts w:cs="Arial"/>
                <w:iCs/>
              </w:rPr>
            </w:pPr>
            <w:r w:rsidRPr="004D1420">
              <w:rPr>
                <w:rFonts w:cs="Arial"/>
                <w:iCs/>
              </w:rPr>
              <w:t>No</w:t>
            </w:r>
          </w:p>
        </w:tc>
      </w:tr>
      <w:tr w:rsidR="004705EA" w:rsidRPr="00B0302E" w14:paraId="2A683F66" w14:textId="77777777" w:rsidTr="00EE6F01">
        <w:trPr>
          <w:trHeight w:val="1637"/>
        </w:trPr>
        <w:tc>
          <w:tcPr>
            <w:tcW w:w="6588" w:type="dxa"/>
            <w:tcBorders>
              <w:top w:val="single" w:sz="4" w:space="0" w:color="auto"/>
              <w:left w:val="single" w:sz="4" w:space="0" w:color="auto"/>
              <w:bottom w:val="single" w:sz="4" w:space="0" w:color="auto"/>
              <w:right w:val="single" w:sz="4" w:space="0" w:color="auto"/>
            </w:tcBorders>
          </w:tcPr>
          <w:p w14:paraId="43058F3E" w14:textId="5B6BFB32" w:rsidR="00261148" w:rsidRPr="00C86892" w:rsidRDefault="004705EA" w:rsidP="00EE6F01">
            <w:pPr>
              <w:pStyle w:val="ListParagraph"/>
              <w:numPr>
                <w:ilvl w:val="0"/>
                <w:numId w:val="306"/>
              </w:numPr>
              <w:spacing w:before="200"/>
              <w:rPr>
                <w:rFonts w:cs="Arial"/>
              </w:rPr>
            </w:pPr>
            <w:r w:rsidRPr="00B0302E">
              <w:rPr>
                <w:rFonts w:cs="Arial"/>
              </w:rPr>
              <w:t xml:space="preserve">Does your hospital </w:t>
            </w:r>
            <w:r>
              <w:rPr>
                <w:rFonts w:cs="Arial"/>
              </w:rPr>
              <w:t>share</w:t>
            </w:r>
            <w:r w:rsidRPr="00B0302E">
              <w:rPr>
                <w:rFonts w:cs="Arial"/>
              </w:rPr>
              <w:t xml:space="preserve"> </w:t>
            </w:r>
            <w:r>
              <w:rPr>
                <w:rFonts w:cs="Arial"/>
              </w:rPr>
              <w:t>information on its efforts to identify and reduce health care disparities</w:t>
            </w:r>
            <w:r w:rsidR="001A2D99">
              <w:rPr>
                <w:rFonts w:cs="Arial"/>
              </w:rPr>
              <w:t xml:space="preserve"> and the impact of those efforts on i</w:t>
            </w:r>
            <w:r w:rsidR="005473DB">
              <w:rPr>
                <w:rFonts w:cs="Arial"/>
              </w:rPr>
              <w:t>t</w:t>
            </w:r>
            <w:r w:rsidR="001A2D99">
              <w:rPr>
                <w:rFonts w:cs="Arial"/>
              </w:rPr>
              <w:t>s public website</w:t>
            </w:r>
            <w:r>
              <w:rPr>
                <w:rFonts w:cs="Arial"/>
              </w:rPr>
              <w:t xml:space="preserve"> </w:t>
            </w:r>
            <w:r w:rsidRPr="00982A09">
              <w:rPr>
                <w:rFonts w:cs="Arial"/>
              </w:rPr>
              <w:t xml:space="preserve">based on </w:t>
            </w:r>
            <w:r w:rsidRPr="003F0DD9">
              <w:rPr>
                <w:rFonts w:cs="Arial"/>
                <w:i/>
                <w:iCs/>
              </w:rPr>
              <w:t>race, ethnicity, spoken language preferred for health</w:t>
            </w:r>
            <w:r w:rsidR="007D2419">
              <w:rPr>
                <w:rFonts w:cs="Arial"/>
                <w:i/>
                <w:iCs/>
              </w:rPr>
              <w:t xml:space="preserve"> </w:t>
            </w:r>
            <w:r w:rsidRPr="003F0DD9">
              <w:rPr>
                <w:rFonts w:cs="Arial"/>
                <w:i/>
                <w:iCs/>
              </w:rPr>
              <w:t>care (patient or legal guardian), written language preferred for health</w:t>
            </w:r>
            <w:r w:rsidR="007D2419">
              <w:rPr>
                <w:rFonts w:cs="Arial"/>
                <w:i/>
                <w:iCs/>
              </w:rPr>
              <w:t xml:space="preserve"> </w:t>
            </w:r>
            <w:r w:rsidRPr="003F0DD9">
              <w:rPr>
                <w:rFonts w:cs="Arial"/>
                <w:i/>
                <w:iCs/>
              </w:rPr>
              <w:t>care (patient or legal guardian), sexual orientation,</w:t>
            </w:r>
            <w:r>
              <w:rPr>
                <w:rFonts w:cs="Arial"/>
                <w:i/>
                <w:iCs/>
              </w:rPr>
              <w:t xml:space="preserve"> </w:t>
            </w:r>
            <w:r w:rsidRPr="003F0DD9">
              <w:rPr>
                <w:rFonts w:cs="Arial"/>
                <w:i/>
                <w:iCs/>
              </w:rPr>
              <w:t>gender identity</w:t>
            </w:r>
            <w:r w:rsidR="00296355">
              <w:rPr>
                <w:rFonts w:cs="Arial"/>
                <w:i/>
                <w:iCs/>
              </w:rPr>
              <w:t>, or ability</w:t>
            </w:r>
            <w:r w:rsidR="001A240F">
              <w:rPr>
                <w:rFonts w:cs="Arial"/>
                <w:i/>
                <w:iCs/>
              </w:rPr>
              <w:t xml:space="preserve"> status</w:t>
            </w:r>
            <w:r w:rsidRPr="00B0302E">
              <w:rPr>
                <w:rFonts w:cs="Arial"/>
              </w:rPr>
              <w:t>?</w:t>
            </w:r>
          </w:p>
        </w:tc>
        <w:tc>
          <w:tcPr>
            <w:tcW w:w="2947" w:type="dxa"/>
            <w:tcBorders>
              <w:top w:val="single" w:sz="4" w:space="0" w:color="auto"/>
              <w:left w:val="single" w:sz="4" w:space="0" w:color="auto"/>
              <w:bottom w:val="single" w:sz="4" w:space="0" w:color="auto"/>
              <w:right w:val="single" w:sz="4" w:space="0" w:color="auto"/>
            </w:tcBorders>
            <w:vAlign w:val="center"/>
          </w:tcPr>
          <w:p w14:paraId="47550767" w14:textId="77777777" w:rsidR="004705EA" w:rsidRPr="004D1420" w:rsidRDefault="004705EA" w:rsidP="00AD309C">
            <w:pPr>
              <w:pStyle w:val="ListParagraph"/>
              <w:numPr>
                <w:ilvl w:val="0"/>
                <w:numId w:val="309"/>
              </w:numPr>
              <w:rPr>
                <w:rFonts w:cs="Arial"/>
                <w:iCs/>
              </w:rPr>
            </w:pPr>
            <w:r w:rsidRPr="004D1420">
              <w:rPr>
                <w:rFonts w:cs="Arial"/>
                <w:iCs/>
              </w:rPr>
              <w:t>Yes</w:t>
            </w:r>
          </w:p>
          <w:p w14:paraId="2409E378" w14:textId="77777777" w:rsidR="004705EA" w:rsidRPr="004D1420" w:rsidRDefault="004705EA" w:rsidP="00AD309C">
            <w:pPr>
              <w:pStyle w:val="ListParagraph"/>
              <w:numPr>
                <w:ilvl w:val="0"/>
                <w:numId w:val="309"/>
              </w:numPr>
              <w:rPr>
                <w:rFonts w:cs="Arial"/>
                <w:iCs/>
              </w:rPr>
            </w:pPr>
            <w:r w:rsidRPr="004D1420">
              <w:rPr>
                <w:rFonts w:cs="Arial"/>
                <w:iCs/>
              </w:rPr>
              <w:t>No</w:t>
            </w:r>
          </w:p>
        </w:tc>
      </w:tr>
      <w:tr w:rsidR="004705EA" w:rsidRPr="00B0302E" w14:paraId="624BDBFC" w14:textId="77777777" w:rsidTr="00EC4DCE">
        <w:trPr>
          <w:trHeight w:val="980"/>
        </w:trPr>
        <w:tc>
          <w:tcPr>
            <w:tcW w:w="6588" w:type="dxa"/>
            <w:tcBorders>
              <w:top w:val="single" w:sz="4" w:space="0" w:color="auto"/>
              <w:left w:val="single" w:sz="4" w:space="0" w:color="auto"/>
              <w:bottom w:val="single" w:sz="4" w:space="0" w:color="auto"/>
              <w:right w:val="single" w:sz="4" w:space="0" w:color="auto"/>
            </w:tcBorders>
          </w:tcPr>
          <w:p w14:paraId="7C54E67F" w14:textId="77777777" w:rsidR="004705EA" w:rsidRPr="00E82BFE" w:rsidRDefault="004705EA" w:rsidP="00AD309C">
            <w:pPr>
              <w:pStyle w:val="ListParagraph"/>
              <w:numPr>
                <w:ilvl w:val="0"/>
                <w:numId w:val="306"/>
              </w:numPr>
              <w:spacing w:before="200"/>
              <w:rPr>
                <w:rFonts w:cs="Arial"/>
              </w:rPr>
            </w:pPr>
            <w:r w:rsidRPr="00B0302E">
              <w:rPr>
                <w:rFonts w:cs="Arial"/>
              </w:rPr>
              <w:t xml:space="preserve">Does your hospital report </w:t>
            </w:r>
            <w:r>
              <w:rPr>
                <w:rFonts w:cs="Arial"/>
              </w:rPr>
              <w:t xml:space="preserve">out </w:t>
            </w:r>
            <w:r w:rsidRPr="00B0302E">
              <w:rPr>
                <w:rFonts w:cs="Arial"/>
              </w:rPr>
              <w:t xml:space="preserve">and discuss </w:t>
            </w:r>
            <w:r>
              <w:rPr>
                <w:rFonts w:cs="Arial"/>
              </w:rPr>
              <w:t xml:space="preserve">efforts related to identifying and addressing disparities with the </w:t>
            </w:r>
            <w:r w:rsidRPr="00B0302E">
              <w:rPr>
                <w:rFonts w:cs="Arial"/>
              </w:rPr>
              <w:t xml:space="preserve">Board at least annually? </w:t>
            </w:r>
          </w:p>
        </w:tc>
        <w:tc>
          <w:tcPr>
            <w:tcW w:w="2947" w:type="dxa"/>
            <w:tcBorders>
              <w:top w:val="single" w:sz="4" w:space="0" w:color="auto"/>
              <w:left w:val="single" w:sz="4" w:space="0" w:color="auto"/>
              <w:bottom w:val="single" w:sz="4" w:space="0" w:color="auto"/>
              <w:right w:val="single" w:sz="4" w:space="0" w:color="auto"/>
            </w:tcBorders>
            <w:vAlign w:val="center"/>
          </w:tcPr>
          <w:p w14:paraId="601B8A0D" w14:textId="77777777" w:rsidR="004705EA" w:rsidRPr="004D1420" w:rsidRDefault="004705EA" w:rsidP="00AD309C">
            <w:pPr>
              <w:pStyle w:val="ListParagraph"/>
              <w:numPr>
                <w:ilvl w:val="0"/>
                <w:numId w:val="309"/>
              </w:numPr>
              <w:rPr>
                <w:rFonts w:cs="Arial"/>
                <w:iCs/>
              </w:rPr>
            </w:pPr>
            <w:r w:rsidRPr="004D1420">
              <w:rPr>
                <w:rFonts w:cs="Arial"/>
                <w:iCs/>
              </w:rPr>
              <w:t>Yes</w:t>
            </w:r>
          </w:p>
          <w:p w14:paraId="1B8BEE90" w14:textId="77777777" w:rsidR="004705EA" w:rsidRPr="004D1420" w:rsidRDefault="004705EA" w:rsidP="00AD309C">
            <w:pPr>
              <w:pStyle w:val="ListParagraph"/>
              <w:numPr>
                <w:ilvl w:val="0"/>
                <w:numId w:val="309"/>
              </w:numPr>
              <w:rPr>
                <w:rFonts w:cs="Arial"/>
                <w:iCs/>
              </w:rPr>
            </w:pPr>
            <w:r w:rsidRPr="004D1420">
              <w:rPr>
                <w:rFonts w:cs="Arial"/>
                <w:iCs/>
              </w:rPr>
              <w:t>No</w:t>
            </w:r>
          </w:p>
        </w:tc>
      </w:tr>
    </w:tbl>
    <w:p w14:paraId="09D8B3AB" w14:textId="628C9B45" w:rsidR="00A35DD6" w:rsidRDefault="00A35DD6">
      <w:pPr>
        <w:rPr>
          <w:b/>
          <w:snapToGrid w:val="0"/>
          <w:sz w:val="28"/>
          <w:szCs w:val="24"/>
          <w:u w:val="single"/>
          <w:lang w:eastAsia="ja-JP"/>
        </w:rPr>
      </w:pPr>
    </w:p>
    <w:p w14:paraId="5214C5BA" w14:textId="77777777" w:rsidR="00F1796F" w:rsidRDefault="00F1796F">
      <w:pPr>
        <w:rPr>
          <w:b/>
          <w:snapToGrid w:val="0"/>
          <w:sz w:val="28"/>
          <w:szCs w:val="24"/>
          <w:u w:val="single"/>
          <w:lang w:eastAsia="ja-JP"/>
        </w:rPr>
      </w:pPr>
      <w:r>
        <w:br w:type="page"/>
      </w:r>
    </w:p>
    <w:p w14:paraId="34D509FF" w14:textId="4E464C0E" w:rsidR="00F337F8" w:rsidRDefault="000C2C54" w:rsidP="00CF5A6E">
      <w:pPr>
        <w:pStyle w:val="Heading2"/>
      </w:pPr>
      <w:bookmarkStart w:id="99" w:name="_Toc225877673"/>
      <w:r w:rsidRPr="00B20633">
        <w:lastRenderedPageBreak/>
        <w:t>1</w:t>
      </w:r>
      <w:r w:rsidR="00A35DD6">
        <w:t>D</w:t>
      </w:r>
      <w:r w:rsidRPr="00B20633">
        <w:t>: Informed Consent</w:t>
      </w:r>
      <w:bookmarkEnd w:id="97"/>
      <w:bookmarkEnd w:id="99"/>
    </w:p>
    <w:p w14:paraId="41D95BD0" w14:textId="77777777" w:rsidR="000C2C54" w:rsidRDefault="000C2C54" w:rsidP="00F337F8">
      <w:pPr>
        <w:rPr>
          <w:rFonts w:cs="Arial"/>
          <w:b/>
          <w:snapToGrid w:val="0"/>
          <w:color w:val="000000"/>
        </w:rPr>
      </w:pPr>
    </w:p>
    <w:p w14:paraId="2F2F4A41" w14:textId="73678DE3" w:rsidR="00B20633" w:rsidRDefault="00B20633" w:rsidP="00F337F8">
      <w:pPr>
        <w:rPr>
          <w:rStyle w:val="Hyperlink"/>
          <w:rFonts w:cs="Arial"/>
          <w:snapToGrid w:val="0"/>
        </w:rPr>
      </w:pPr>
      <w:r w:rsidRPr="009A5185">
        <w:rPr>
          <w:rFonts w:cs="Arial"/>
          <w:snapToGrid w:val="0"/>
        </w:rPr>
        <w:t xml:space="preserve">Hospitals that share a </w:t>
      </w:r>
      <w:r>
        <w:rPr>
          <w:rFonts w:cs="Arial"/>
          <w:snapToGrid w:val="0"/>
        </w:rPr>
        <w:t>CMS Certification Number</w:t>
      </w:r>
      <w:r w:rsidRPr="009A5185">
        <w:rPr>
          <w:rFonts w:cs="Arial"/>
          <w:snapToGrid w:val="0"/>
        </w:rPr>
        <w:t xml:space="preserve"> are required to report by facility. Please carefully review </w:t>
      </w:r>
      <w:hyperlink r:id="rId115" w:history="1">
        <w:r w:rsidRPr="009A5185">
          <w:rPr>
            <w:rStyle w:val="Hyperlink"/>
            <w:rFonts w:cs="Arial"/>
            <w:snapToGrid w:val="0"/>
          </w:rPr>
          <w:t>Leapfrog’s Multi-Campus Reporting Policy</w:t>
        </w:r>
      </w:hyperlink>
      <w:r>
        <w:rPr>
          <w:rStyle w:val="Hyperlink"/>
          <w:rFonts w:cs="Arial"/>
          <w:snapToGrid w:val="0"/>
        </w:rPr>
        <w:t>.</w:t>
      </w:r>
    </w:p>
    <w:p w14:paraId="04411894" w14:textId="77777777" w:rsidR="00B20633" w:rsidRDefault="00B20633" w:rsidP="00F337F8">
      <w:pPr>
        <w:rPr>
          <w:rFonts w:cs="Arial"/>
          <w:b/>
          <w:snapToGrid w:val="0"/>
          <w:color w:val="000000"/>
        </w:rPr>
      </w:pPr>
    </w:p>
    <w:p w14:paraId="431ED4D7" w14:textId="77777777" w:rsidR="00654DC0" w:rsidRDefault="00F337F8" w:rsidP="00F337F8">
      <w:pPr>
        <w:rPr>
          <w:rFonts w:cs="Arial"/>
          <w:b/>
          <w:snapToGrid w:val="0"/>
          <w:color w:val="FF0000"/>
        </w:rPr>
      </w:pPr>
      <w:r w:rsidRPr="00873014">
        <w:rPr>
          <w:rFonts w:cs="Arial"/>
          <w:b/>
          <w:snapToGrid w:val="0"/>
          <w:color w:val="FF0000"/>
        </w:rPr>
        <w:t>Important Note</w:t>
      </w:r>
      <w:r w:rsidR="00654DC0">
        <w:rPr>
          <w:rFonts w:cs="Arial"/>
          <w:b/>
          <w:snapToGrid w:val="0"/>
          <w:color w:val="FF0000"/>
        </w:rPr>
        <w:t>s</w:t>
      </w:r>
      <w:r w:rsidRPr="00873014">
        <w:rPr>
          <w:rFonts w:cs="Arial"/>
          <w:b/>
          <w:snapToGrid w:val="0"/>
          <w:color w:val="FF0000"/>
        </w:rPr>
        <w:t xml:space="preserve">: </w:t>
      </w:r>
    </w:p>
    <w:p w14:paraId="6DFB7433" w14:textId="77777777" w:rsidR="00654DC0" w:rsidRDefault="00654DC0" w:rsidP="00F337F8">
      <w:pPr>
        <w:rPr>
          <w:rFonts w:cs="Arial"/>
          <w:b/>
          <w:snapToGrid w:val="0"/>
          <w:color w:val="FF0000"/>
        </w:rPr>
      </w:pPr>
    </w:p>
    <w:p w14:paraId="52FBEEF9" w14:textId="5DAC7A74" w:rsidR="004E45B0" w:rsidRDefault="001D1EFE" w:rsidP="004E45B0">
      <w:pPr>
        <w:rPr>
          <w:bCs/>
        </w:rPr>
      </w:pPr>
      <w:r w:rsidRPr="005B74FD">
        <w:rPr>
          <w:rFonts w:cs="Arial"/>
          <w:bCs/>
          <w:snapToGrid w:val="0"/>
        </w:rPr>
        <w:t xml:space="preserve">Note </w:t>
      </w:r>
      <w:r w:rsidR="004A2777">
        <w:rPr>
          <w:rFonts w:cs="Arial"/>
          <w:bCs/>
          <w:snapToGrid w:val="0"/>
        </w:rPr>
        <w:t>1</w:t>
      </w:r>
      <w:r w:rsidRPr="005B74FD">
        <w:rPr>
          <w:rFonts w:cs="Arial"/>
          <w:bCs/>
          <w:snapToGrid w:val="0"/>
        </w:rPr>
        <w:t>:</w:t>
      </w:r>
      <w:r>
        <w:rPr>
          <w:rFonts w:cs="Arial"/>
          <w:b/>
          <w:snapToGrid w:val="0"/>
        </w:rPr>
        <w:t xml:space="preserve"> </w:t>
      </w:r>
      <w:r w:rsidR="004E45B0">
        <w:rPr>
          <w:bCs/>
        </w:rPr>
        <w:t>In this subsection, questions regarding the informed consent process and consent forms</w:t>
      </w:r>
      <w:r w:rsidR="00C62199">
        <w:rPr>
          <w:bCs/>
        </w:rPr>
        <w:t xml:space="preserve"> </w:t>
      </w:r>
      <w:r w:rsidR="00C62199">
        <w:rPr>
          <w:rFonts w:cs="Arial"/>
        </w:rPr>
        <w:t xml:space="preserve">ONLY </w:t>
      </w:r>
      <w:r w:rsidR="00A57BE6">
        <w:rPr>
          <w:rFonts w:cs="Arial"/>
        </w:rPr>
        <w:t xml:space="preserve">apply to </w:t>
      </w:r>
      <w:r w:rsidR="00C62199">
        <w:rPr>
          <w:rFonts w:cs="Arial"/>
        </w:rPr>
        <w:t xml:space="preserve">those procedures where general </w:t>
      </w:r>
      <w:r w:rsidR="006C4E89">
        <w:rPr>
          <w:rFonts w:cs="Arial"/>
        </w:rPr>
        <w:t xml:space="preserve">anesthesia, </w:t>
      </w:r>
      <w:r w:rsidR="00C62199">
        <w:rPr>
          <w:rFonts w:cs="Arial"/>
        </w:rPr>
        <w:t>regional anesthesia</w:t>
      </w:r>
      <w:r w:rsidR="006C4E89">
        <w:rPr>
          <w:rFonts w:cs="Arial"/>
        </w:rPr>
        <w:t xml:space="preserve">, </w:t>
      </w:r>
      <w:r w:rsidR="00C62199">
        <w:rPr>
          <w:rFonts w:cs="Arial"/>
        </w:rPr>
        <w:t>or monitored anesthesia care</w:t>
      </w:r>
      <w:r w:rsidR="006C4E89">
        <w:rPr>
          <w:rFonts w:cs="Arial"/>
        </w:rPr>
        <w:t xml:space="preserve"> </w:t>
      </w:r>
      <w:r w:rsidR="00165B0C">
        <w:rPr>
          <w:rFonts w:cs="Arial"/>
        </w:rPr>
        <w:t>is</w:t>
      </w:r>
      <w:r w:rsidR="006C4E89">
        <w:rPr>
          <w:rFonts w:cs="Arial"/>
        </w:rPr>
        <w:t xml:space="preserve"> used.</w:t>
      </w:r>
      <w:r w:rsidR="00C62199">
        <w:rPr>
          <w:rFonts w:cs="Arial"/>
        </w:rPr>
        <w:t xml:space="preserve"> </w:t>
      </w:r>
      <w:r w:rsidR="001F5FEC">
        <w:rPr>
          <w:rFonts w:cs="Arial"/>
        </w:rPr>
        <w:t xml:space="preserve">The questions do </w:t>
      </w:r>
      <w:r w:rsidR="00C62199" w:rsidRPr="001A7FD5">
        <w:rPr>
          <w:rFonts w:cs="Arial"/>
        </w:rPr>
        <w:t>NOT</w:t>
      </w:r>
      <w:r w:rsidR="001F5FEC">
        <w:rPr>
          <w:rFonts w:cs="Arial"/>
        </w:rPr>
        <w:t xml:space="preserve"> apply to </w:t>
      </w:r>
      <w:r w:rsidR="00C62199" w:rsidRPr="001A7FD5">
        <w:rPr>
          <w:rFonts w:cs="Arial"/>
        </w:rPr>
        <w:t xml:space="preserve">anesthesia care; </w:t>
      </w:r>
      <w:r w:rsidR="001F5FEC">
        <w:rPr>
          <w:rFonts w:cs="Arial"/>
        </w:rPr>
        <w:t xml:space="preserve">they only apply to the </w:t>
      </w:r>
      <w:r w:rsidR="00C62199" w:rsidRPr="001A7FD5">
        <w:rPr>
          <w:rFonts w:cs="Arial"/>
        </w:rPr>
        <w:t xml:space="preserve">consent process and consent forms for </w:t>
      </w:r>
      <w:r w:rsidR="00C62199">
        <w:rPr>
          <w:rFonts w:cs="Arial"/>
        </w:rPr>
        <w:t>applicable procedures.</w:t>
      </w:r>
    </w:p>
    <w:p w14:paraId="34E26A38" w14:textId="77777777" w:rsidR="004E45B0" w:rsidRDefault="004E45B0" w:rsidP="00F337F8">
      <w:pPr>
        <w:rPr>
          <w:bCs/>
        </w:rPr>
      </w:pPr>
    </w:p>
    <w:p w14:paraId="7B815A0B" w14:textId="026962FD" w:rsidR="00F337F8" w:rsidRDefault="004E45B0" w:rsidP="00F337F8">
      <w:pPr>
        <w:rPr>
          <w:bCs/>
        </w:rPr>
      </w:pPr>
      <w:r>
        <w:rPr>
          <w:bCs/>
        </w:rPr>
        <w:t xml:space="preserve">Note </w:t>
      </w:r>
      <w:r w:rsidR="004A2777">
        <w:rPr>
          <w:bCs/>
        </w:rPr>
        <w:t>2</w:t>
      </w:r>
      <w:r>
        <w:rPr>
          <w:bCs/>
        </w:rPr>
        <w:t xml:space="preserve">: </w:t>
      </w:r>
      <w:r w:rsidR="00F337F8" w:rsidRPr="00722F1B">
        <w:rPr>
          <w:bCs/>
        </w:rPr>
        <w:t xml:space="preserve">Hyperlinks throughout this subsection refer to </w:t>
      </w:r>
      <w:r w:rsidR="00F337F8">
        <w:rPr>
          <w:bCs/>
        </w:rPr>
        <w:t xml:space="preserve">the </w:t>
      </w:r>
      <w:hyperlink w:anchor="_Informed_Consent" w:history="1">
        <w:r w:rsidR="00F337F8" w:rsidRPr="000D5D7A">
          <w:rPr>
            <w:rStyle w:val="Hyperlink"/>
            <w:bCs/>
          </w:rPr>
          <w:t>Informed Consent FAQs</w:t>
        </w:r>
      </w:hyperlink>
      <w:r w:rsidR="00F337F8">
        <w:rPr>
          <w:bCs/>
        </w:rPr>
        <w:t xml:space="preserve"> </w:t>
      </w:r>
      <w:r w:rsidR="00DA3C01">
        <w:rPr>
          <w:bCs/>
        </w:rPr>
        <w:t xml:space="preserve">beginning </w:t>
      </w:r>
      <w:r w:rsidR="00F337F8">
        <w:rPr>
          <w:bCs/>
        </w:rPr>
        <w:t xml:space="preserve">on </w:t>
      </w:r>
      <w:r w:rsidR="000813AE">
        <w:rPr>
          <w:bCs/>
        </w:rPr>
        <w:t>page</w:t>
      </w:r>
      <w:r w:rsidR="00447DDF">
        <w:rPr>
          <w:bCs/>
        </w:rPr>
        <w:t xml:space="preserve"> </w:t>
      </w:r>
      <w:r w:rsidR="009143AE">
        <w:rPr>
          <w:bCs/>
        </w:rPr>
        <w:t>52</w:t>
      </w:r>
      <w:r w:rsidR="008F143B">
        <w:rPr>
          <w:bCs/>
        </w:rPr>
        <w:t>,</w:t>
      </w:r>
      <w:r w:rsidR="00F337F8" w:rsidRPr="004A60F9">
        <w:rPr>
          <w:bCs/>
        </w:rPr>
        <w:t xml:space="preserve"> not to endnotes. These hyperlinks are not include</w:t>
      </w:r>
      <w:r w:rsidR="00F337F8">
        <w:rPr>
          <w:bCs/>
        </w:rPr>
        <w:t xml:space="preserve">d in the </w:t>
      </w:r>
      <w:r w:rsidR="0096695F">
        <w:rPr>
          <w:bCs/>
        </w:rPr>
        <w:t>Online Survey Tool</w:t>
      </w:r>
      <w:r w:rsidR="00F337F8" w:rsidRPr="004A60F9">
        <w:rPr>
          <w:bCs/>
        </w:rPr>
        <w:t>.</w:t>
      </w:r>
      <w:r w:rsidR="00F337F8" w:rsidRPr="00722F1B">
        <w:rPr>
          <w:bCs/>
        </w:rPr>
        <w:t xml:space="preserve"> </w:t>
      </w:r>
    </w:p>
    <w:p w14:paraId="19E7B884" w14:textId="77777777" w:rsidR="006267E4" w:rsidRDefault="006267E4" w:rsidP="00F337F8">
      <w:pPr>
        <w:rPr>
          <w:bCs/>
        </w:rPr>
      </w:pPr>
    </w:p>
    <w:p w14:paraId="2C68514E" w14:textId="45AE37F5" w:rsidR="00F337F8" w:rsidRPr="009A5185" w:rsidRDefault="003326A1" w:rsidP="00F337F8">
      <w:pPr>
        <w:rPr>
          <w:rFonts w:cs="Arial"/>
        </w:rPr>
      </w:pPr>
      <w:r w:rsidRPr="003326A1">
        <w:rPr>
          <w:rFonts w:cs="Arial"/>
          <w:b/>
          <w:noProof/>
          <w:snapToGrid w:val="0"/>
          <w:color w:val="000000"/>
        </w:rPr>
        <mc:AlternateContent>
          <mc:Choice Requires="wps">
            <w:drawing>
              <wp:inline distT="0" distB="0" distL="0" distR="0" wp14:anchorId="47A59270" wp14:editId="7D207668">
                <wp:extent cx="5939624" cy="1404620"/>
                <wp:effectExtent l="0" t="0" r="23495" b="10160"/>
                <wp:docPr id="21" name="Text Box 21" descr="P1517TB5#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9624" cy="1404620"/>
                        </a:xfrm>
                        <a:prstGeom prst="rect">
                          <a:avLst/>
                        </a:prstGeom>
                        <a:solidFill>
                          <a:srgbClr val="FFFFFF"/>
                        </a:solidFill>
                        <a:ln w="9525">
                          <a:solidFill>
                            <a:srgbClr val="FF0000"/>
                          </a:solidFill>
                          <a:miter lim="800000"/>
                          <a:headEnd/>
                          <a:tailEnd/>
                        </a:ln>
                      </wps:spPr>
                      <wps:txbx>
                        <w:txbxContent>
                          <w:p w14:paraId="174DF3AB" w14:textId="7F97FAFD" w:rsidR="003326A1" w:rsidRPr="00D667FF" w:rsidRDefault="003326A1" w:rsidP="003326A1">
                            <w:pPr>
                              <w:spacing w:before="40"/>
                              <w:rPr>
                                <w:rFonts w:cs="Arial"/>
                                <w:bCs/>
                                <w:snapToGrid w:val="0"/>
                                <w:u w:val="single"/>
                              </w:rPr>
                            </w:pPr>
                            <w:r w:rsidRPr="009A5185">
                              <w:rPr>
                                <w:rFonts w:cs="Arial"/>
                                <w:b/>
                                <w:snapToGrid w:val="0"/>
                              </w:rPr>
                              <w:t xml:space="preserve">Reporting Period: </w:t>
                            </w:r>
                            <w:r>
                              <w:t>Answer questions #1-</w:t>
                            </w:r>
                            <w:r w:rsidR="006D4D4A">
                              <w:t>6</w:t>
                            </w:r>
                            <w:r>
                              <w:t xml:space="preserve"> based on the practices currently in place at the time you submit this section of the Survey.</w:t>
                            </w:r>
                          </w:p>
                          <w:p w14:paraId="24899DE5" w14:textId="77777777" w:rsidR="003326A1" w:rsidRPr="00AA7E68" w:rsidRDefault="003326A1" w:rsidP="003326A1">
                            <w:pPr>
                              <w:spacing w:before="40"/>
                              <w:rPr>
                                <w:rFonts w:cs="Arial"/>
                                <w:bCs/>
                                <w:snapToGrid w:val="0"/>
                                <w:u w:val="single"/>
                              </w:rPr>
                            </w:pPr>
                          </w:p>
                          <w:p w14:paraId="48C74A0A" w14:textId="63BF3B62" w:rsidR="00D667FF" w:rsidRPr="00D667FF" w:rsidRDefault="003326A1" w:rsidP="003326A1">
                            <w:pPr>
                              <w:rPr>
                                <w:rFonts w:cs="Arial"/>
                                <w:bCs/>
                                <w:snapToGrid w:val="0"/>
                                <w:sz w:val="16"/>
                                <w:szCs w:val="16"/>
                              </w:rPr>
                            </w:pPr>
                            <w:r w:rsidRPr="001B3D66">
                              <w:rPr>
                                <w:rFonts w:cs="Arial"/>
                                <w:sz w:val="16"/>
                                <w:szCs w:val="16"/>
                              </w:rPr>
                              <w:t xml:space="preserve">Note: As a reminder, the </w:t>
                            </w:r>
                            <w:hyperlink r:id="rId116" w:history="1">
                              <w:r w:rsidRPr="001B3D66">
                                <w:rPr>
                                  <w:rStyle w:val="Hyperlink"/>
                                  <w:rFonts w:cs="Arial"/>
                                  <w:sz w:val="16"/>
                                  <w:szCs w:val="16"/>
                                </w:rPr>
                                <w:t>Corrections Period</w:t>
                              </w:r>
                            </w:hyperlink>
                            <w:r w:rsidRPr="001B3D66">
                              <w:rPr>
                                <w:rFonts w:cs="Arial"/>
                                <w:sz w:val="16"/>
                                <w:szCs w:val="16"/>
                              </w:rPr>
                              <w:t xml:space="preserve"> (</w:t>
                            </w:r>
                            <w:r>
                              <w:rPr>
                                <w:rFonts w:cs="Arial"/>
                                <w:sz w:val="16"/>
                                <w:szCs w:val="16"/>
                              </w:rPr>
                              <w:t>December</w:t>
                            </w:r>
                            <w:r w:rsidRPr="001B3D66">
                              <w:rPr>
                                <w:rFonts w:cs="Arial"/>
                                <w:sz w:val="16"/>
                                <w:szCs w:val="16"/>
                              </w:rPr>
                              <w:t xml:space="preserve"> 1-January 31) is reserved for corrections to previously submitted Surveys only. </w:t>
                            </w:r>
                            <w:r w:rsidRPr="001B3D66">
                              <w:rPr>
                                <w:rFonts w:cs="Arial"/>
                                <w:bCs/>
                                <w:snapToGrid w:val="0"/>
                                <w:sz w:val="16"/>
                                <w:szCs w:val="16"/>
                              </w:rPr>
                              <w:t xml:space="preserve">Any updates made to reflect a change in performance must be made prior to the </w:t>
                            </w:r>
                            <w:r>
                              <w:rPr>
                                <w:rFonts w:cs="Arial"/>
                                <w:bCs/>
                                <w:snapToGrid w:val="0"/>
                                <w:sz w:val="16"/>
                                <w:szCs w:val="16"/>
                              </w:rPr>
                              <w:t>November 30</w:t>
                            </w:r>
                            <w:r w:rsidRPr="001B3D66">
                              <w:rPr>
                                <w:rFonts w:cs="Arial"/>
                                <w:bCs/>
                                <w:snapToGrid w:val="0"/>
                                <w:sz w:val="16"/>
                                <w:szCs w:val="16"/>
                              </w:rPr>
                              <w:t xml:space="preserve"> Late </w:t>
                            </w:r>
                            <w:r w:rsidRPr="00AE38C7">
                              <w:rPr>
                                <w:rFonts w:cs="Arial"/>
                                <w:bCs/>
                                <w:snapToGrid w:val="0"/>
                                <w:sz w:val="16"/>
                                <w:szCs w:val="16"/>
                              </w:rPr>
                              <w:t>Submission and Performance Update</w:t>
                            </w:r>
                            <w:r>
                              <w:rPr>
                                <w:rFonts w:cs="Arial"/>
                                <w:bCs/>
                                <w:snapToGrid w:val="0"/>
                                <w:sz w:val="16"/>
                                <w:szCs w:val="16"/>
                              </w:rPr>
                              <w:t xml:space="preserve"> </w:t>
                            </w:r>
                            <w:r w:rsidRPr="001B3D66">
                              <w:rPr>
                                <w:rFonts w:cs="Arial"/>
                                <w:bCs/>
                                <w:snapToGrid w:val="0"/>
                                <w:sz w:val="16"/>
                                <w:szCs w:val="16"/>
                              </w:rPr>
                              <w:t xml:space="preserve">Deadline. Updates made to reflect a change in performance after </w:t>
                            </w:r>
                            <w:r>
                              <w:rPr>
                                <w:rFonts w:cs="Arial"/>
                                <w:bCs/>
                                <w:snapToGrid w:val="0"/>
                                <w:sz w:val="16"/>
                                <w:szCs w:val="16"/>
                              </w:rPr>
                              <w:t>November 30</w:t>
                            </w:r>
                            <w:r w:rsidRPr="001B3D66">
                              <w:rPr>
                                <w:rFonts w:cs="Arial"/>
                                <w:bCs/>
                                <w:snapToGrid w:val="0"/>
                                <w:sz w:val="16"/>
                                <w:szCs w:val="16"/>
                              </w:rPr>
                              <w:t xml:space="preserve"> will not be scored or publicly reported.</w:t>
                            </w:r>
                          </w:p>
                        </w:txbxContent>
                      </wps:txbx>
                      <wps:bodyPr rot="0" vert="horz" wrap="square" lIns="91440" tIns="45720" rIns="91440" bIns="45720" anchor="t" anchorCtr="0">
                        <a:spAutoFit/>
                      </wps:bodyPr>
                    </wps:wsp>
                  </a:graphicData>
                </a:graphic>
              </wp:inline>
            </w:drawing>
          </mc:Choice>
          <mc:Fallback>
            <w:pict>
              <v:shape w14:anchorId="47A59270" id="Text Box 21" o:spid="_x0000_s1032" type="#_x0000_t202" alt="P1517TB5#y1" style="width:467.7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" strokecolor="red">
                <v:textbox style="mso-fit-shape-to-text:t">
                  <w:txbxContent>
                    <w:p w14:paraId="174DF3AB" w14:textId="7F97FAFD" w:rsidR="003326A1" w:rsidRPr="00D667FF" w:rsidRDefault="003326A1" w:rsidP="003326A1">
                      <w:pPr>
                        <w:spacing w:before="40"/>
                        <w:rPr>
                          <w:rFonts w:cs="Arial"/>
                          <w:bCs/>
                          <w:snapToGrid w:val="0"/>
                          <w:u w:val="single"/>
                        </w:rPr>
                      </w:pPr>
                      <w:r w:rsidRPr="009A5185">
                        <w:rPr>
                          <w:rFonts w:cs="Arial"/>
                          <w:b/>
                          <w:snapToGrid w:val="0"/>
                        </w:rPr>
                        <w:t xml:space="preserve">Reporting Period: </w:t>
                      </w:r>
                      <w:r>
                        <w:t>Answer questions #1-</w:t>
                      </w:r>
                      <w:r w:rsidR="006D4D4A">
                        <w:t>6</w:t>
                      </w:r>
                      <w:r>
                        <w:t xml:space="preserve"> based on the practices currently in place at the time you submit this section of the Survey.</w:t>
                      </w:r>
                    </w:p>
                    <w:p w14:paraId="24899DE5" w14:textId="77777777" w:rsidR="003326A1" w:rsidRPr="00AA7E68" w:rsidRDefault="003326A1" w:rsidP="003326A1">
                      <w:pPr>
                        <w:spacing w:before="40"/>
                        <w:rPr>
                          <w:rFonts w:cs="Arial"/>
                          <w:bCs/>
                          <w:snapToGrid w:val="0"/>
                          <w:u w:val="single"/>
                        </w:rPr>
                      </w:pPr>
                    </w:p>
                    <w:p w14:paraId="48C74A0A" w14:textId="63BF3B62" w:rsidR="00D667FF" w:rsidRPr="00D667FF" w:rsidRDefault="003326A1" w:rsidP="003326A1">
                      <w:pPr>
                        <w:rPr>
                          <w:rFonts w:cs="Arial"/>
                          <w:bCs/>
                          <w:snapToGrid w:val="0"/>
                          <w:sz w:val="16"/>
                          <w:szCs w:val="16"/>
                        </w:rPr>
                      </w:pPr>
                      <w:r w:rsidRPr="001B3D66">
                        <w:rPr>
                          <w:rFonts w:cs="Arial"/>
                          <w:sz w:val="16"/>
                          <w:szCs w:val="16"/>
                        </w:rPr>
                        <w:t xml:space="preserve">Note: As a reminder, the </w:t>
                      </w:r>
                      <w:hyperlink r:id="rId117" w:history="1">
                        <w:r w:rsidRPr="001B3D66">
                          <w:rPr>
                            <w:rStyle w:val="Hyperlink"/>
                            <w:rFonts w:cs="Arial"/>
                            <w:sz w:val="16"/>
                            <w:szCs w:val="16"/>
                          </w:rPr>
                          <w:t>Corrections Period</w:t>
                        </w:r>
                      </w:hyperlink>
                      <w:r w:rsidRPr="001B3D66">
                        <w:rPr>
                          <w:rFonts w:cs="Arial"/>
                          <w:sz w:val="16"/>
                          <w:szCs w:val="16"/>
                        </w:rPr>
                        <w:t xml:space="preserve"> (</w:t>
                      </w:r>
                      <w:r>
                        <w:rPr>
                          <w:rFonts w:cs="Arial"/>
                          <w:sz w:val="16"/>
                          <w:szCs w:val="16"/>
                        </w:rPr>
                        <w:t>December</w:t>
                      </w:r>
                      <w:r w:rsidRPr="001B3D66">
                        <w:rPr>
                          <w:rFonts w:cs="Arial"/>
                          <w:sz w:val="16"/>
                          <w:szCs w:val="16"/>
                        </w:rPr>
                        <w:t xml:space="preserve"> 1-January 31) is reserved for corrections to previously submitted Surveys only. </w:t>
                      </w:r>
                      <w:r w:rsidRPr="001B3D66">
                        <w:rPr>
                          <w:rFonts w:cs="Arial"/>
                          <w:bCs/>
                          <w:snapToGrid w:val="0"/>
                          <w:sz w:val="16"/>
                          <w:szCs w:val="16"/>
                        </w:rPr>
                        <w:t xml:space="preserve">Any updates made to reflect a change in performance must be made prior to the </w:t>
                      </w:r>
                      <w:r>
                        <w:rPr>
                          <w:rFonts w:cs="Arial"/>
                          <w:bCs/>
                          <w:snapToGrid w:val="0"/>
                          <w:sz w:val="16"/>
                          <w:szCs w:val="16"/>
                        </w:rPr>
                        <w:t>November 30</w:t>
                      </w:r>
                      <w:r w:rsidRPr="001B3D66">
                        <w:rPr>
                          <w:rFonts w:cs="Arial"/>
                          <w:bCs/>
                          <w:snapToGrid w:val="0"/>
                          <w:sz w:val="16"/>
                          <w:szCs w:val="16"/>
                        </w:rPr>
                        <w:t xml:space="preserve"> Late </w:t>
                      </w:r>
                      <w:r w:rsidRPr="00AE38C7">
                        <w:rPr>
                          <w:rFonts w:cs="Arial"/>
                          <w:bCs/>
                          <w:snapToGrid w:val="0"/>
                          <w:sz w:val="16"/>
                          <w:szCs w:val="16"/>
                        </w:rPr>
                        <w:t>Submission and Performance Update</w:t>
                      </w:r>
                      <w:r>
                        <w:rPr>
                          <w:rFonts w:cs="Arial"/>
                          <w:bCs/>
                          <w:snapToGrid w:val="0"/>
                          <w:sz w:val="16"/>
                          <w:szCs w:val="16"/>
                        </w:rPr>
                        <w:t xml:space="preserve"> </w:t>
                      </w:r>
                      <w:r w:rsidRPr="001B3D66">
                        <w:rPr>
                          <w:rFonts w:cs="Arial"/>
                          <w:bCs/>
                          <w:snapToGrid w:val="0"/>
                          <w:sz w:val="16"/>
                          <w:szCs w:val="16"/>
                        </w:rPr>
                        <w:t xml:space="preserve">Deadline. Updates made to reflect a change in performance after </w:t>
                      </w:r>
                      <w:r>
                        <w:rPr>
                          <w:rFonts w:cs="Arial"/>
                          <w:bCs/>
                          <w:snapToGrid w:val="0"/>
                          <w:sz w:val="16"/>
                          <w:szCs w:val="16"/>
                        </w:rPr>
                        <w:t>November 30</w:t>
                      </w:r>
                      <w:r w:rsidRPr="001B3D66">
                        <w:rPr>
                          <w:rFonts w:cs="Arial"/>
                          <w:bCs/>
                          <w:snapToGrid w:val="0"/>
                          <w:sz w:val="16"/>
                          <w:szCs w:val="16"/>
                        </w:rPr>
                        <w:t xml:space="preserve"> will not be scored or publicly reported.</w:t>
                      </w:r>
                    </w:p>
                  </w:txbxContent>
                </v:textbox>
                <w10:anchorlock/>
              </v:shape>
            </w:pict>
          </mc:Fallback>
        </mc:AlternateContent>
      </w:r>
    </w:p>
    <w:p w14:paraId="1E6250E2" w14:textId="2DBC1C49" w:rsidR="00E85725" w:rsidRDefault="00E85725" w:rsidP="00E85725">
      <w:pPr>
        <w:rPr>
          <w:rFonts w:cs="Arial"/>
          <w:b/>
          <w:snapToGrid w:val="0"/>
          <w:color w:val="000000"/>
        </w:rPr>
      </w:pPr>
    </w:p>
    <w:p w14:paraId="57190C20" w14:textId="664767A0" w:rsidR="00F337F8" w:rsidRPr="007D0C84" w:rsidRDefault="00F44DEB" w:rsidP="00AB5B80">
      <w:pPr>
        <w:pStyle w:val="Heading3"/>
        <w:rPr>
          <w:rStyle w:val="Strong"/>
          <w:bCs/>
          <w:i w:val="0"/>
        </w:rPr>
      </w:pPr>
      <w:bookmarkStart w:id="100" w:name="_Toc131159760"/>
      <w:bookmarkStart w:id="101" w:name="_Toc225877674"/>
      <w:r>
        <w:rPr>
          <w:rStyle w:val="Strong"/>
          <w:b/>
          <w:bCs/>
        </w:rPr>
        <w:t>Training</w:t>
      </w:r>
      <w:bookmarkEnd w:id="100"/>
      <w:r>
        <w:rPr>
          <w:rStyle w:val="Strong"/>
          <w:b/>
          <w:bCs/>
        </w:rPr>
        <w:t xml:space="preserve"> </w:t>
      </w:r>
      <w:r w:rsidR="00464A5A">
        <w:rPr>
          <w:rStyle w:val="Strong"/>
          <w:b/>
          <w:bCs/>
        </w:rPr>
        <w:t>on Informed Consent</w:t>
      </w:r>
      <w:bookmarkEnd w:id="101"/>
    </w:p>
    <w:p w14:paraId="76F30BBA" w14:textId="77777777" w:rsidR="00F337F8" w:rsidRDefault="00F337F8" w:rsidP="00F337F8">
      <w:pPr>
        <w:rPr>
          <w:rFonts w:cs="Arial"/>
          <w:b/>
          <w:snapToGrid w:val="0"/>
          <w:color w:val="000000"/>
        </w:rPr>
      </w:pPr>
    </w:p>
    <w:tbl>
      <w:tblPr>
        <w:tblStyle w:val="TableGrid12"/>
        <w:tblW w:w="5000" w:type="pct"/>
        <w:tblLook w:val="0000" w:firstRow="0" w:lastRow="0" w:firstColumn="0" w:lastColumn="0" w:noHBand="0" w:noVBand="0"/>
      </w:tblPr>
      <w:tblGrid>
        <w:gridCol w:w="6474"/>
        <w:gridCol w:w="2873"/>
      </w:tblGrid>
      <w:tr w:rsidR="00F337F8" w14:paraId="2FB1CDD6" w14:textId="77777777" w:rsidTr="00202D75">
        <w:trPr>
          <w:trHeight w:val="2160"/>
        </w:trPr>
        <w:tc>
          <w:tcPr>
            <w:tcW w:w="3463" w:type="pct"/>
            <w:tcBorders>
              <w:top w:val="single" w:sz="4" w:space="0" w:color="auto"/>
              <w:left w:val="single" w:sz="4" w:space="0" w:color="auto"/>
              <w:bottom w:val="single" w:sz="4" w:space="0" w:color="auto"/>
              <w:right w:val="single" w:sz="4" w:space="0" w:color="auto"/>
            </w:tcBorders>
            <w:vAlign w:val="center"/>
          </w:tcPr>
          <w:p w14:paraId="606A6717" w14:textId="2A44777C" w:rsidR="00B01BB9" w:rsidRDefault="00B01BB9" w:rsidP="00AD309C">
            <w:pPr>
              <w:pStyle w:val="ListParagraph"/>
              <w:numPr>
                <w:ilvl w:val="0"/>
                <w:numId w:val="164"/>
              </w:numPr>
            </w:pPr>
            <w:r>
              <w:t xml:space="preserve">Does your hospital </w:t>
            </w:r>
            <w:r w:rsidR="00852768">
              <w:t>train employed staff</w:t>
            </w:r>
            <w:r w:rsidRPr="0045753A">
              <w:t xml:space="preserve"> on informed consent </w:t>
            </w:r>
            <w:r w:rsidR="008E1B00">
              <w:t xml:space="preserve">and </w:t>
            </w:r>
            <w:r w:rsidRPr="0045753A">
              <w:t xml:space="preserve">tailor different training topics to </w:t>
            </w:r>
            <w:hyperlink w:anchor="_Informed_Consent" w:history="1">
              <w:r w:rsidRPr="0045753A">
                <w:rPr>
                  <w:rStyle w:val="Hyperlink"/>
                </w:rPr>
                <w:t>different staff roles</w:t>
              </w:r>
            </w:hyperlink>
            <w:r w:rsidRPr="0045753A">
              <w:t>,</w:t>
            </w:r>
            <w:r w:rsidR="00B20633">
              <w:t xml:space="preserve"> including hospital leaders, MD/NP/PA, nurses and other clinical staff, administrative staff, and interpreters,</w:t>
            </w:r>
            <w:r w:rsidR="00B20633" w:rsidRPr="0045753A">
              <w:t xml:space="preserve"> </w:t>
            </w:r>
            <w:r w:rsidRPr="0045753A">
              <w:t xml:space="preserve">and </w:t>
            </w:r>
            <w:r>
              <w:t xml:space="preserve">has your hospital </w:t>
            </w:r>
            <w:r w:rsidRPr="0045753A">
              <w:t>made the training</w:t>
            </w:r>
            <w:r>
              <w:t>:</w:t>
            </w:r>
            <w:r w:rsidRPr="0045753A">
              <w:t xml:space="preserve"> </w:t>
            </w:r>
          </w:p>
          <w:p w14:paraId="6D01CDF8" w14:textId="3E0F2B58" w:rsidR="00B01BB9" w:rsidRDefault="00B01BB9" w:rsidP="00AD309C">
            <w:pPr>
              <w:pStyle w:val="ListParagraph"/>
              <w:numPr>
                <w:ilvl w:val="0"/>
                <w:numId w:val="170"/>
              </w:numPr>
            </w:pPr>
            <w:r w:rsidRPr="0045753A">
              <w:t xml:space="preserve">a required component of onboarding for </w:t>
            </w:r>
            <w:r>
              <w:t>the appropriate newly hired staff,</w:t>
            </w:r>
            <w:r w:rsidR="001F00A6">
              <w:t xml:space="preserve"> </w:t>
            </w:r>
            <w:r w:rsidR="00A95AB5">
              <w:t>and</w:t>
            </w:r>
          </w:p>
          <w:p w14:paraId="364D8966" w14:textId="550897A3" w:rsidR="00B20633" w:rsidRPr="001F00A6" w:rsidRDefault="00B01BB9" w:rsidP="00AD309C">
            <w:pPr>
              <w:pStyle w:val="ListParagraph"/>
              <w:numPr>
                <w:ilvl w:val="0"/>
                <w:numId w:val="170"/>
              </w:numPr>
            </w:pPr>
            <w:r>
              <w:t>required for the appropriate existing staff who were not previously trained</w:t>
            </w:r>
            <w:r w:rsidR="001F00A6">
              <w:t>?</w:t>
            </w:r>
          </w:p>
        </w:tc>
        <w:tc>
          <w:tcPr>
            <w:tcW w:w="1537" w:type="pct"/>
            <w:tcBorders>
              <w:left w:val="single" w:sz="4" w:space="0" w:color="auto"/>
            </w:tcBorders>
            <w:vAlign w:val="center"/>
          </w:tcPr>
          <w:p w14:paraId="579CD28A" w14:textId="77777777" w:rsidR="00F337F8" w:rsidRPr="00FA46D8" w:rsidRDefault="00F337F8" w:rsidP="00AD309C">
            <w:pPr>
              <w:pStyle w:val="ListParagraph"/>
              <w:numPr>
                <w:ilvl w:val="0"/>
                <w:numId w:val="256"/>
              </w:numPr>
              <w:rPr>
                <w:bCs/>
              </w:rPr>
            </w:pPr>
            <w:r w:rsidRPr="00FA46D8">
              <w:rPr>
                <w:bCs/>
              </w:rPr>
              <w:t>Yes</w:t>
            </w:r>
          </w:p>
          <w:p w14:paraId="3645D2B9" w14:textId="77777777" w:rsidR="00F337F8" w:rsidRPr="00C62199" w:rsidRDefault="00F337F8" w:rsidP="00AD309C">
            <w:pPr>
              <w:pStyle w:val="ListParagraph"/>
              <w:numPr>
                <w:ilvl w:val="0"/>
                <w:numId w:val="256"/>
              </w:numPr>
            </w:pPr>
            <w:r w:rsidRPr="00FA46D8">
              <w:rPr>
                <w:bCs/>
              </w:rPr>
              <w:t>No</w:t>
            </w:r>
          </w:p>
        </w:tc>
      </w:tr>
    </w:tbl>
    <w:p w14:paraId="2592FF11" w14:textId="77777777" w:rsidR="00F337F8" w:rsidRDefault="00F337F8" w:rsidP="00F337F8">
      <w:pPr>
        <w:rPr>
          <w:rFonts w:cs="Arial"/>
          <w:b/>
          <w:snapToGrid w:val="0"/>
          <w:color w:val="000000"/>
        </w:rPr>
      </w:pPr>
    </w:p>
    <w:p w14:paraId="134FE401" w14:textId="631F2224" w:rsidR="00F337F8" w:rsidRPr="006267E4" w:rsidRDefault="00F337F8" w:rsidP="00AB5B80">
      <w:pPr>
        <w:pStyle w:val="Heading3"/>
        <w:rPr>
          <w:sz w:val="20"/>
          <w:szCs w:val="20"/>
        </w:rPr>
      </w:pPr>
      <w:bookmarkStart w:id="102" w:name="_Toc131159761"/>
      <w:bookmarkStart w:id="103" w:name="_Toc225877675"/>
      <w:r>
        <w:t>Content of Informed Consent Forms</w:t>
      </w:r>
      <w:bookmarkEnd w:id="102"/>
      <w:bookmarkEnd w:id="103"/>
      <w:r w:rsidR="00146B82">
        <w:br/>
      </w:r>
    </w:p>
    <w:tbl>
      <w:tblPr>
        <w:tblStyle w:val="TableGrid12"/>
        <w:tblW w:w="9344" w:type="dxa"/>
        <w:tblLayout w:type="fixed"/>
        <w:tblLook w:val="0000" w:firstRow="0" w:lastRow="0" w:firstColumn="0" w:lastColumn="0" w:noHBand="0" w:noVBand="0"/>
      </w:tblPr>
      <w:tblGrid>
        <w:gridCol w:w="6472"/>
        <w:gridCol w:w="2872"/>
      </w:tblGrid>
      <w:tr w:rsidR="00F337F8" w:rsidRPr="001E7251" w:rsidDel="00476434" w14:paraId="506F8E8D" w14:textId="77777777" w:rsidTr="00A73F6A">
        <w:trPr>
          <w:trHeight w:val="2160"/>
        </w:trPr>
        <w:tc>
          <w:tcPr>
            <w:tcW w:w="6472" w:type="dxa"/>
            <w:tcBorders>
              <w:bottom w:val="single" w:sz="4" w:space="0" w:color="auto"/>
            </w:tcBorders>
            <w:vAlign w:val="center"/>
          </w:tcPr>
          <w:p w14:paraId="10AFC678" w14:textId="77777777" w:rsidR="00B01BB9" w:rsidRPr="0075480B" w:rsidRDefault="00B01BB9" w:rsidP="00AD309C">
            <w:pPr>
              <w:pStyle w:val="ListParagraph"/>
              <w:numPr>
                <w:ilvl w:val="0"/>
                <w:numId w:val="164"/>
              </w:numPr>
            </w:pPr>
            <w:r>
              <w:rPr>
                <w:bCs/>
              </w:rPr>
              <w:t>As part of your hospital’s process for obtaining informed consent, does:</w:t>
            </w:r>
          </w:p>
          <w:p w14:paraId="425D9919" w14:textId="390A36D9" w:rsidR="00B01BB9" w:rsidRDefault="00B01BB9" w:rsidP="00AD309C">
            <w:pPr>
              <w:pStyle w:val="ListParagraph"/>
              <w:numPr>
                <w:ilvl w:val="0"/>
                <w:numId w:val="171"/>
              </w:numPr>
            </w:pPr>
            <w:r>
              <w:rPr>
                <w:bCs/>
              </w:rPr>
              <w:t xml:space="preserve">the clinician explain </w:t>
            </w:r>
            <w:r w:rsidR="00BE3335">
              <w:t>expected difficulties, recovery time, pain management, and restrictions after a procedure</w:t>
            </w:r>
            <w:r w:rsidR="001D1EFE">
              <w:t xml:space="preserve"> that may be experienced by the patient either</w:t>
            </w:r>
            <w:r w:rsidR="00BE3335">
              <w:t xml:space="preserve"> in the </w:t>
            </w:r>
            <w:r w:rsidR="00EC2156">
              <w:t>hospital</w:t>
            </w:r>
            <w:r w:rsidR="00BE3335">
              <w:t xml:space="preserve"> </w:t>
            </w:r>
            <w:r w:rsidR="001D1EFE">
              <w:t>or</w:t>
            </w:r>
            <w:r w:rsidR="00BE3335">
              <w:t xml:space="preserve"> post-discharge, if applicabl</w:t>
            </w:r>
            <w:r w:rsidR="00691EFF">
              <w:t>e;</w:t>
            </w:r>
          </w:p>
          <w:p w14:paraId="086ACA84" w14:textId="45B691EA" w:rsidR="00B01BB9" w:rsidRDefault="00B01BB9" w:rsidP="00AD309C">
            <w:pPr>
              <w:pStyle w:val="ListParagraph"/>
              <w:numPr>
                <w:ilvl w:val="0"/>
                <w:numId w:val="171"/>
              </w:numPr>
            </w:pPr>
            <w:r>
              <w:t>the patient have the opportunity to ask questions</w:t>
            </w:r>
            <w:r w:rsidR="00691EFF">
              <w:t>;</w:t>
            </w:r>
            <w:r>
              <w:t xml:space="preserve"> </w:t>
            </w:r>
            <w:r w:rsidR="00A95AB5">
              <w:t>and</w:t>
            </w:r>
          </w:p>
          <w:p w14:paraId="7AEAB002" w14:textId="361D25C9" w:rsidR="007475A2" w:rsidRPr="00B20633" w:rsidRDefault="00B01BB9" w:rsidP="00AD309C">
            <w:pPr>
              <w:pStyle w:val="ListParagraph"/>
              <w:numPr>
                <w:ilvl w:val="0"/>
                <w:numId w:val="171"/>
              </w:numPr>
            </w:pPr>
            <w:r w:rsidRPr="00B01BB9">
              <w:t>the consent form document that th</w:t>
            </w:r>
            <w:r w:rsidR="00136666">
              <w:t>ese</w:t>
            </w:r>
            <w:r w:rsidRPr="00B01BB9">
              <w:t xml:space="preserve"> </w:t>
            </w:r>
            <w:r w:rsidR="00B92204">
              <w:t xml:space="preserve">two </w:t>
            </w:r>
            <w:r w:rsidRPr="00B01BB9">
              <w:t>element</w:t>
            </w:r>
            <w:r w:rsidR="00136666">
              <w:t>s</w:t>
            </w:r>
            <w:r w:rsidRPr="00B01BB9">
              <w:t xml:space="preserve"> of the process ha</w:t>
            </w:r>
            <w:r w:rsidR="003C588F">
              <w:t>ve</w:t>
            </w:r>
            <w:r w:rsidRPr="00B01BB9">
              <w:t xml:space="preserve"> taken place?</w:t>
            </w:r>
          </w:p>
        </w:tc>
        <w:tc>
          <w:tcPr>
            <w:tcW w:w="2872" w:type="dxa"/>
            <w:vAlign w:val="center"/>
          </w:tcPr>
          <w:p w14:paraId="186F3F08" w14:textId="77777777" w:rsidR="00F337F8" w:rsidRPr="00C62199" w:rsidRDefault="00F337F8" w:rsidP="00AD309C">
            <w:pPr>
              <w:pStyle w:val="ListParagraph"/>
              <w:numPr>
                <w:ilvl w:val="0"/>
                <w:numId w:val="257"/>
              </w:numPr>
              <w:rPr>
                <w:bCs/>
              </w:rPr>
            </w:pPr>
            <w:r w:rsidRPr="00C62199">
              <w:rPr>
                <w:bCs/>
              </w:rPr>
              <w:t>Yes</w:t>
            </w:r>
          </w:p>
          <w:p w14:paraId="7ED1C495" w14:textId="77777777" w:rsidR="00F337F8" w:rsidRPr="00C62199" w:rsidDel="00476434" w:rsidRDefault="00F337F8" w:rsidP="00AD309C">
            <w:pPr>
              <w:pStyle w:val="ListParagraph"/>
              <w:numPr>
                <w:ilvl w:val="0"/>
                <w:numId w:val="257"/>
              </w:numPr>
              <w:rPr>
                <w:bCs/>
              </w:rPr>
            </w:pPr>
            <w:r w:rsidRPr="00C62199">
              <w:rPr>
                <w:bCs/>
              </w:rPr>
              <w:t>No</w:t>
            </w:r>
          </w:p>
        </w:tc>
      </w:tr>
      <w:tr w:rsidR="00F337F8" w14:paraId="1F41ECC8" w14:textId="77777777" w:rsidTr="00E36E14">
        <w:trPr>
          <w:trHeight w:val="2016"/>
        </w:trPr>
        <w:tc>
          <w:tcPr>
            <w:tcW w:w="0" w:type="dxa"/>
            <w:tcBorders>
              <w:top w:val="single" w:sz="4" w:space="0" w:color="auto"/>
              <w:left w:val="single" w:sz="4" w:space="0" w:color="auto"/>
              <w:bottom w:val="single" w:sz="4" w:space="0" w:color="auto"/>
              <w:right w:val="single" w:sz="4" w:space="0" w:color="auto"/>
            </w:tcBorders>
            <w:vAlign w:val="center"/>
          </w:tcPr>
          <w:p w14:paraId="3B71CDBE" w14:textId="2E0DFB3F" w:rsidR="00B01BB9" w:rsidRPr="004D2CF3" w:rsidRDefault="00B01BB9" w:rsidP="00AD309C">
            <w:pPr>
              <w:pStyle w:val="ListParagraph"/>
              <w:numPr>
                <w:ilvl w:val="0"/>
                <w:numId w:val="164"/>
              </w:numPr>
            </w:pPr>
            <w:r>
              <w:rPr>
                <w:bCs/>
              </w:rPr>
              <w:t>Do</w:t>
            </w:r>
            <w:r w:rsidR="00B20633">
              <w:rPr>
                <w:bCs/>
              </w:rPr>
              <w:t xml:space="preserve"> ALL</w:t>
            </w:r>
            <w:r>
              <w:rPr>
                <w:bCs/>
              </w:rPr>
              <w:t xml:space="preserve"> </w:t>
            </w:r>
            <w:r w:rsidR="001D1EFE">
              <w:rPr>
                <w:bCs/>
              </w:rPr>
              <w:t xml:space="preserve">applicable consent forms used by </w:t>
            </w:r>
            <w:r>
              <w:rPr>
                <w:bCs/>
              </w:rPr>
              <w:t>your hospital</w:t>
            </w:r>
            <w:r w:rsidRPr="00146B82">
              <w:rPr>
                <w:bCs/>
              </w:rPr>
              <w:t xml:space="preserve"> include</w:t>
            </w:r>
            <w:r>
              <w:rPr>
                <w:bCs/>
              </w:rPr>
              <w:t>:</w:t>
            </w:r>
            <w:r w:rsidRPr="00146B82">
              <w:rPr>
                <w:bCs/>
              </w:rPr>
              <w:t xml:space="preserve"> </w:t>
            </w:r>
          </w:p>
          <w:p w14:paraId="17EECA97" w14:textId="6FEA31F8" w:rsidR="00B01BB9" w:rsidRDefault="00B01BB9" w:rsidP="00AD309C">
            <w:pPr>
              <w:pStyle w:val="ListParagraph"/>
              <w:numPr>
                <w:ilvl w:val="0"/>
                <w:numId w:val="172"/>
              </w:numPr>
            </w:pPr>
            <w:r w:rsidRPr="00146B82">
              <w:t>the name(s) of the clinician(s) performing the procedure</w:t>
            </w:r>
            <w:r w:rsidR="00691EFF">
              <w:t>;</w:t>
            </w:r>
          </w:p>
          <w:p w14:paraId="3C37051F" w14:textId="068BD9EE" w:rsidR="00B01BB9" w:rsidRDefault="00B01BB9" w:rsidP="00AD309C">
            <w:pPr>
              <w:pStyle w:val="ListParagraph"/>
              <w:numPr>
                <w:ilvl w:val="0"/>
                <w:numId w:val="172"/>
              </w:numPr>
            </w:pPr>
            <w:r>
              <w:t>whether the clinician is expected to be absent from portions of the procedure (</w:t>
            </w:r>
            <w:r w:rsidR="00595C34">
              <w:t>e.g.,</w:t>
            </w:r>
            <w:r>
              <w:t xml:space="preserve"> opening, closing)</w:t>
            </w:r>
            <w:r w:rsidR="00F00B55">
              <w:t>,</w:t>
            </w:r>
            <w:r>
              <w:t xml:space="preserve"> </w:t>
            </w:r>
            <w:r w:rsidR="00C62199">
              <w:t>if applicable</w:t>
            </w:r>
            <w:r w:rsidR="00691EFF">
              <w:t>;</w:t>
            </w:r>
            <w:r w:rsidR="00C62199">
              <w:t xml:space="preserve"> </w:t>
            </w:r>
            <w:r w:rsidR="00A6723C">
              <w:t>and</w:t>
            </w:r>
          </w:p>
          <w:p w14:paraId="411D3127" w14:textId="3E34230D" w:rsidR="00F337F8" w:rsidRPr="006C09FD" w:rsidRDefault="00650119" w:rsidP="00AD309C">
            <w:pPr>
              <w:pStyle w:val="ListParagraph"/>
              <w:numPr>
                <w:ilvl w:val="0"/>
                <w:numId w:val="172"/>
              </w:numPr>
            </w:pPr>
            <w:r>
              <w:t xml:space="preserve">whether </w:t>
            </w:r>
            <w:r w:rsidR="00B01BB9" w:rsidRPr="00B01BB9">
              <w:t>any assistants or trainees will be involved in the procedure</w:t>
            </w:r>
            <w:r w:rsidR="00C62199">
              <w:t>, if applicable</w:t>
            </w:r>
            <w:r w:rsidR="00B01BB9" w:rsidRPr="00B01BB9">
              <w:t>?</w:t>
            </w:r>
          </w:p>
        </w:tc>
        <w:tc>
          <w:tcPr>
            <w:tcW w:w="0" w:type="dxa"/>
            <w:tcBorders>
              <w:left w:val="single" w:sz="4" w:space="0" w:color="auto"/>
            </w:tcBorders>
            <w:vAlign w:val="center"/>
          </w:tcPr>
          <w:p w14:paraId="17F38D2C" w14:textId="77777777" w:rsidR="00F337F8" w:rsidRPr="00C62199" w:rsidRDefault="00F337F8" w:rsidP="00AD309C">
            <w:pPr>
              <w:pStyle w:val="ListParagraph"/>
              <w:numPr>
                <w:ilvl w:val="0"/>
                <w:numId w:val="257"/>
              </w:numPr>
              <w:rPr>
                <w:bCs/>
              </w:rPr>
            </w:pPr>
            <w:r w:rsidRPr="00C62199">
              <w:rPr>
                <w:bCs/>
              </w:rPr>
              <w:t>Yes</w:t>
            </w:r>
          </w:p>
          <w:p w14:paraId="757B88F4" w14:textId="77777777" w:rsidR="00F337F8" w:rsidRPr="00C62199" w:rsidRDefault="00F337F8" w:rsidP="00AD309C">
            <w:pPr>
              <w:pStyle w:val="ListParagraph"/>
              <w:numPr>
                <w:ilvl w:val="0"/>
                <w:numId w:val="257"/>
              </w:numPr>
              <w:rPr>
                <w:bCs/>
              </w:rPr>
            </w:pPr>
            <w:r w:rsidRPr="00C62199">
              <w:rPr>
                <w:bCs/>
              </w:rPr>
              <w:t>No</w:t>
            </w:r>
          </w:p>
        </w:tc>
      </w:tr>
      <w:tr w:rsidR="00F337F8" w14:paraId="646B8DBF" w14:textId="77777777" w:rsidTr="00E36E14">
        <w:trPr>
          <w:trHeight w:val="1872"/>
        </w:trPr>
        <w:tc>
          <w:tcPr>
            <w:tcW w:w="0" w:type="dxa"/>
            <w:tcBorders>
              <w:top w:val="single" w:sz="4" w:space="0" w:color="auto"/>
              <w:left w:val="single" w:sz="4" w:space="0" w:color="auto"/>
              <w:bottom w:val="single" w:sz="4" w:space="0" w:color="auto"/>
              <w:right w:val="single" w:sz="4" w:space="0" w:color="auto"/>
            </w:tcBorders>
            <w:vAlign w:val="center"/>
          </w:tcPr>
          <w:p w14:paraId="177ED5C4" w14:textId="28431E86" w:rsidR="00E849B6" w:rsidRPr="005F4F55" w:rsidRDefault="00B20633" w:rsidP="00AD309C">
            <w:pPr>
              <w:pStyle w:val="ListParagraph"/>
              <w:numPr>
                <w:ilvl w:val="0"/>
                <w:numId w:val="164"/>
              </w:numPr>
              <w:rPr>
                <w:sz w:val="16"/>
              </w:rPr>
            </w:pPr>
            <w:r>
              <w:rPr>
                <w:bCs/>
              </w:rPr>
              <w:lastRenderedPageBreak/>
              <w:t>Are ALL</w:t>
            </w:r>
            <w:r w:rsidR="00B01BB9">
              <w:rPr>
                <w:bCs/>
              </w:rPr>
              <w:t xml:space="preserve"> </w:t>
            </w:r>
            <w:r w:rsidR="001D1EFE">
              <w:rPr>
                <w:bCs/>
              </w:rPr>
              <w:t>applicable</w:t>
            </w:r>
            <w:r w:rsidR="001D1EFE" w:rsidRPr="005E3310">
              <w:rPr>
                <w:bCs/>
              </w:rPr>
              <w:t xml:space="preserve"> consent form</w:t>
            </w:r>
            <w:r w:rsidR="001D1EFE">
              <w:rPr>
                <w:bCs/>
              </w:rPr>
              <w:t xml:space="preserve">s used by your hospital </w:t>
            </w:r>
            <w:r w:rsidR="00B01BB9">
              <w:t>w</w:t>
            </w:r>
            <w:r w:rsidR="00B01BB9" w:rsidRPr="00B92DC7">
              <w:t xml:space="preserve">ritten </w:t>
            </w:r>
            <w:r w:rsidR="00B01BB9">
              <w:t>at a 6</w:t>
            </w:r>
            <w:r w:rsidR="00B01BB9" w:rsidRPr="007B1C20">
              <w:rPr>
                <w:vertAlign w:val="superscript"/>
              </w:rPr>
              <w:t>th</w:t>
            </w:r>
            <w:r w:rsidR="007D2419">
              <w:t>-</w:t>
            </w:r>
            <w:r w:rsidR="00B01BB9">
              <w:t>grade reading level or lower?</w:t>
            </w:r>
          </w:p>
          <w:p w14:paraId="1C3D8DD1" w14:textId="300B96AD" w:rsidR="00E849B6" w:rsidRPr="005F4F55" w:rsidRDefault="00E849B6" w:rsidP="00A73F6A">
            <w:pPr>
              <w:pStyle w:val="ListParagraph"/>
              <w:ind w:left="360"/>
              <w:rPr>
                <w:i/>
                <w:iCs/>
              </w:rPr>
            </w:pPr>
            <w:r>
              <w:rPr>
                <w:sz w:val="16"/>
              </w:rPr>
              <w:br/>
            </w:r>
            <w:r w:rsidR="00206F90">
              <w:rPr>
                <w:i/>
                <w:iCs/>
              </w:rPr>
              <w:t>The procedure name and description</w:t>
            </w:r>
            <w:r w:rsidR="001D1EFE">
              <w:rPr>
                <w:i/>
                <w:iCs/>
              </w:rPr>
              <w:t>,</w:t>
            </w:r>
            <w:r w:rsidR="00206F90">
              <w:rPr>
                <w:i/>
                <w:iCs/>
              </w:rPr>
              <w:t xml:space="preserve"> </w:t>
            </w:r>
            <w:r w:rsidR="001D1EFE">
              <w:rPr>
                <w:i/>
                <w:iCs/>
              </w:rPr>
              <w:t xml:space="preserve">and any words accompanied by a plain language definition </w:t>
            </w:r>
            <w:r w:rsidR="00206F90">
              <w:rPr>
                <w:i/>
                <w:iCs/>
              </w:rPr>
              <w:t xml:space="preserve">can be excluded </w:t>
            </w:r>
            <w:r w:rsidR="00206F90" w:rsidRPr="005F4F55">
              <w:rPr>
                <w:i/>
                <w:iCs/>
              </w:rPr>
              <w:t xml:space="preserve">from </w:t>
            </w:r>
            <w:r w:rsidR="00206F90">
              <w:rPr>
                <w:i/>
                <w:iCs/>
              </w:rPr>
              <w:t xml:space="preserve">the </w:t>
            </w:r>
            <w:hyperlink w:anchor="readinglevel" w:history="1">
              <w:r w:rsidR="00206F90" w:rsidRPr="000E2B09">
                <w:rPr>
                  <w:rStyle w:val="Hyperlink"/>
                  <w:rFonts w:eastAsia="Times New Roman"/>
                  <w:i/>
                  <w:iCs/>
                </w:rPr>
                <w:t>reading level assessment</w:t>
              </w:r>
            </w:hyperlink>
            <w:r w:rsidR="00206F90">
              <w:rPr>
                <w:i/>
                <w:iCs/>
              </w:rPr>
              <w:t>.</w:t>
            </w:r>
          </w:p>
        </w:tc>
        <w:tc>
          <w:tcPr>
            <w:tcW w:w="0" w:type="dxa"/>
            <w:tcBorders>
              <w:left w:val="single" w:sz="4" w:space="0" w:color="auto"/>
            </w:tcBorders>
            <w:vAlign w:val="center"/>
          </w:tcPr>
          <w:p w14:paraId="0EA2A3A0" w14:textId="31F6B773" w:rsidR="004C46E0" w:rsidRPr="00C62199" w:rsidRDefault="004C46E0" w:rsidP="00AD309C">
            <w:pPr>
              <w:pStyle w:val="ListParagraph"/>
              <w:numPr>
                <w:ilvl w:val="0"/>
                <w:numId w:val="257"/>
              </w:numPr>
              <w:rPr>
                <w:bCs/>
              </w:rPr>
            </w:pPr>
            <w:r w:rsidRPr="00C62199">
              <w:rPr>
                <w:bCs/>
              </w:rPr>
              <w:t>Yes, all</w:t>
            </w:r>
            <w:r w:rsidR="001D1EFE">
              <w:rPr>
                <w:bCs/>
              </w:rPr>
              <w:t xml:space="preserve"> applicable</w:t>
            </w:r>
            <w:r w:rsidRPr="00C62199">
              <w:rPr>
                <w:bCs/>
              </w:rPr>
              <w:t xml:space="preserve"> forms are written at a 6</w:t>
            </w:r>
            <w:r w:rsidRPr="00C62199">
              <w:rPr>
                <w:bCs/>
                <w:vertAlign w:val="superscript"/>
              </w:rPr>
              <w:t>th</w:t>
            </w:r>
            <w:r w:rsidR="007D2419">
              <w:rPr>
                <w:bCs/>
              </w:rPr>
              <w:t>-</w:t>
            </w:r>
            <w:r w:rsidRPr="00C62199">
              <w:rPr>
                <w:bCs/>
              </w:rPr>
              <w:t>grade reading level or lower</w:t>
            </w:r>
          </w:p>
          <w:p w14:paraId="106BEDE5" w14:textId="60E8762A" w:rsidR="004C46E0" w:rsidRDefault="0056214D" w:rsidP="00AD309C">
            <w:pPr>
              <w:pStyle w:val="ListParagraph"/>
              <w:numPr>
                <w:ilvl w:val="0"/>
                <w:numId w:val="257"/>
              </w:numPr>
              <w:rPr>
                <w:bCs/>
              </w:rPr>
            </w:pPr>
            <w:r>
              <w:rPr>
                <w:bCs/>
              </w:rPr>
              <w:t>No, but a</w:t>
            </w:r>
            <w:r w:rsidR="004C46E0" w:rsidRPr="00C62199">
              <w:rPr>
                <w:bCs/>
              </w:rPr>
              <w:t>t least one form is written at a 6</w:t>
            </w:r>
            <w:r w:rsidR="004C46E0" w:rsidRPr="00C62199">
              <w:rPr>
                <w:bCs/>
                <w:vertAlign w:val="superscript"/>
              </w:rPr>
              <w:t>th</w:t>
            </w:r>
            <w:r w:rsidR="007D2419">
              <w:rPr>
                <w:bCs/>
              </w:rPr>
              <w:t>-</w:t>
            </w:r>
            <w:r w:rsidR="004C46E0" w:rsidRPr="00C62199">
              <w:rPr>
                <w:bCs/>
              </w:rPr>
              <w:t>grade reading level or lower</w:t>
            </w:r>
          </w:p>
          <w:p w14:paraId="62B565C3" w14:textId="510A1CB9" w:rsidR="00F337F8" w:rsidRDefault="004C46E0" w:rsidP="00AD309C">
            <w:pPr>
              <w:pStyle w:val="ListParagraph"/>
              <w:numPr>
                <w:ilvl w:val="0"/>
                <w:numId w:val="257"/>
              </w:numPr>
              <w:rPr>
                <w:bCs/>
              </w:rPr>
            </w:pPr>
            <w:r w:rsidRPr="00C62199">
              <w:rPr>
                <w:bCs/>
              </w:rPr>
              <w:t>No forms are written at a 6</w:t>
            </w:r>
            <w:r w:rsidRPr="00C62199">
              <w:rPr>
                <w:bCs/>
                <w:vertAlign w:val="superscript"/>
              </w:rPr>
              <w:t>th</w:t>
            </w:r>
            <w:r w:rsidR="007D2419">
              <w:rPr>
                <w:bCs/>
              </w:rPr>
              <w:t>-</w:t>
            </w:r>
            <w:r w:rsidRPr="00C62199">
              <w:rPr>
                <w:bCs/>
              </w:rPr>
              <w:t>grade reading level or lower</w:t>
            </w:r>
          </w:p>
          <w:p w14:paraId="3FEF8FC7" w14:textId="0BFCBB87" w:rsidR="008F592E" w:rsidRPr="008F592E" w:rsidRDefault="008F592E" w:rsidP="00AD309C">
            <w:pPr>
              <w:pStyle w:val="ListParagraph"/>
              <w:numPr>
                <w:ilvl w:val="0"/>
                <w:numId w:val="257"/>
              </w:numPr>
              <w:rPr>
                <w:bCs/>
              </w:rPr>
            </w:pPr>
            <w:r>
              <w:rPr>
                <w:bCs/>
              </w:rPr>
              <w:t>No, all applicable forms are written at a 9</w:t>
            </w:r>
            <w:r w:rsidRPr="00D36222">
              <w:rPr>
                <w:bCs/>
                <w:vertAlign w:val="superscript"/>
              </w:rPr>
              <w:t>th</w:t>
            </w:r>
            <w:r w:rsidR="007D2419">
              <w:rPr>
                <w:bCs/>
              </w:rPr>
              <w:t>-</w:t>
            </w:r>
            <w:r>
              <w:rPr>
                <w:bCs/>
              </w:rPr>
              <w:t>grade reading level or lower</w:t>
            </w:r>
          </w:p>
        </w:tc>
      </w:tr>
    </w:tbl>
    <w:p w14:paraId="0D29CB08" w14:textId="77777777" w:rsidR="00F337F8" w:rsidRDefault="00F337F8" w:rsidP="00F337F8">
      <w:pPr>
        <w:rPr>
          <w:rFonts w:cs="Arial"/>
          <w:b/>
          <w:snapToGrid w:val="0"/>
          <w:color w:val="000000"/>
        </w:rPr>
      </w:pPr>
    </w:p>
    <w:p w14:paraId="175EA1F0" w14:textId="5F5482F3" w:rsidR="00F337F8" w:rsidRPr="006267E4" w:rsidRDefault="00F337F8" w:rsidP="00AB5B80">
      <w:pPr>
        <w:pStyle w:val="Heading3"/>
        <w:rPr>
          <w:sz w:val="20"/>
          <w:szCs w:val="20"/>
        </w:rPr>
      </w:pPr>
      <w:bookmarkStart w:id="104" w:name="_Toc131159762"/>
      <w:bookmarkStart w:id="105" w:name="_Toc225877676"/>
      <w:r>
        <w:t>Process for Gaining Informed Consent</w:t>
      </w:r>
      <w:bookmarkEnd w:id="104"/>
      <w:bookmarkEnd w:id="105"/>
      <w:r w:rsidR="00146B82">
        <w:br/>
      </w:r>
    </w:p>
    <w:tbl>
      <w:tblPr>
        <w:tblStyle w:val="TableGrid12"/>
        <w:tblW w:w="9344" w:type="dxa"/>
        <w:tblLayout w:type="fixed"/>
        <w:tblLook w:val="0000" w:firstRow="0" w:lastRow="0" w:firstColumn="0" w:lastColumn="0" w:noHBand="0" w:noVBand="0"/>
      </w:tblPr>
      <w:tblGrid>
        <w:gridCol w:w="6472"/>
        <w:gridCol w:w="2872"/>
      </w:tblGrid>
      <w:tr w:rsidR="00F337F8" w:rsidRPr="001E7251" w:rsidDel="00476434" w14:paraId="257D0EBC" w14:textId="77777777" w:rsidTr="00C8246A">
        <w:trPr>
          <w:trHeight w:val="2880"/>
        </w:trPr>
        <w:tc>
          <w:tcPr>
            <w:tcW w:w="0" w:type="dxa"/>
            <w:tcBorders>
              <w:bottom w:val="single" w:sz="4" w:space="0" w:color="auto"/>
            </w:tcBorders>
            <w:vAlign w:val="center"/>
          </w:tcPr>
          <w:p w14:paraId="40CB03F9" w14:textId="493A3E9B" w:rsidR="00B20633" w:rsidRPr="00D9521B" w:rsidRDefault="00F337F8" w:rsidP="00AD309C">
            <w:pPr>
              <w:pStyle w:val="ListParagraph"/>
              <w:numPr>
                <w:ilvl w:val="0"/>
                <w:numId w:val="164"/>
              </w:numPr>
            </w:pPr>
            <w:r>
              <w:t>P</w:t>
            </w:r>
            <w:r w:rsidRPr="00BA4D7B">
              <w:t xml:space="preserve">rior </w:t>
            </w:r>
            <w:r w:rsidR="00B20633">
              <w:t>to the informed consent discussion, does your hospital:</w:t>
            </w:r>
          </w:p>
          <w:p w14:paraId="47644411" w14:textId="4C65B520" w:rsidR="00B20633" w:rsidRDefault="002138EB" w:rsidP="00AD309C">
            <w:pPr>
              <w:pStyle w:val="ListParagraph"/>
              <w:numPr>
                <w:ilvl w:val="0"/>
                <w:numId w:val="179"/>
              </w:numPr>
            </w:pPr>
            <w:r>
              <w:t>a</w:t>
            </w:r>
            <w:r w:rsidR="00B20633">
              <w:t>sk what the patient/legal guardian’s preferred language for medical decision-making is</w:t>
            </w:r>
            <w:r w:rsidR="00691EFF">
              <w:t>;</w:t>
            </w:r>
          </w:p>
          <w:p w14:paraId="6C942D7E" w14:textId="7C9AE15F" w:rsidR="00B20633" w:rsidRDefault="002138EB" w:rsidP="00AD309C">
            <w:pPr>
              <w:pStyle w:val="ListParagraph"/>
              <w:numPr>
                <w:ilvl w:val="0"/>
                <w:numId w:val="179"/>
              </w:numPr>
            </w:pPr>
            <w:r>
              <w:t>w</w:t>
            </w:r>
            <w:r w:rsidR="00B20633">
              <w:t xml:space="preserve">here needed, provide the patient/legal guardian access to a </w:t>
            </w:r>
            <w:hyperlink w:anchor="ICInterpreter" w:history="1">
              <w:r w:rsidR="00B20633" w:rsidRPr="00B8601F">
                <w:rPr>
                  <w:rStyle w:val="Hyperlink"/>
                </w:rPr>
                <w:t>qualified medical interpreter</w:t>
              </w:r>
            </w:hyperlink>
            <w:r w:rsidR="00B20633">
              <w:t>,</w:t>
            </w:r>
            <w:r w:rsidR="00C62199">
              <w:t xml:space="preserve"> </w:t>
            </w:r>
            <w:r w:rsidR="00C62199" w:rsidRPr="00D36222">
              <w:rPr>
                <w:b/>
                <w:bCs/>
              </w:rPr>
              <w:t>NOT a family</w:t>
            </w:r>
            <w:r w:rsidR="002E7D6B">
              <w:rPr>
                <w:b/>
                <w:bCs/>
              </w:rPr>
              <w:t xml:space="preserve"> </w:t>
            </w:r>
            <w:r w:rsidR="00C62199" w:rsidRPr="00D36222">
              <w:rPr>
                <w:b/>
                <w:bCs/>
              </w:rPr>
              <w:t>caregiver</w:t>
            </w:r>
            <w:r w:rsidR="00691EFF" w:rsidRPr="00D36222">
              <w:rPr>
                <w:b/>
                <w:bCs/>
              </w:rPr>
              <w:t>;</w:t>
            </w:r>
          </w:p>
          <w:p w14:paraId="0BA23B81" w14:textId="74E26650" w:rsidR="00B20633" w:rsidRDefault="002138EB" w:rsidP="00AD309C">
            <w:pPr>
              <w:pStyle w:val="ListParagraph"/>
              <w:numPr>
                <w:ilvl w:val="0"/>
                <w:numId w:val="179"/>
              </w:numPr>
            </w:pPr>
            <w:r>
              <w:t>u</w:t>
            </w:r>
            <w:r w:rsidR="00B20633">
              <w:t xml:space="preserve">se a consent form </w:t>
            </w:r>
            <w:r w:rsidR="00BB35EC">
              <w:t xml:space="preserve">or notation in the medical record </w:t>
            </w:r>
            <w:r w:rsidR="00E20927">
              <w:t xml:space="preserve">to </w:t>
            </w:r>
            <w:r w:rsidR="00530C34">
              <w:t>document</w:t>
            </w:r>
            <w:r w:rsidR="00E20927">
              <w:t xml:space="preserve"> </w:t>
            </w:r>
            <w:r w:rsidR="00B20633">
              <w:t>whether a qualified medical interpreter was used to conduct the informed consent process</w:t>
            </w:r>
            <w:r w:rsidR="00691EFF">
              <w:t>;</w:t>
            </w:r>
            <w:r w:rsidR="00B20633">
              <w:t xml:space="preserve"> </w:t>
            </w:r>
            <w:r w:rsidR="00E20927">
              <w:t>and</w:t>
            </w:r>
          </w:p>
          <w:p w14:paraId="24773839" w14:textId="4C73B7C1" w:rsidR="00F337F8" w:rsidRPr="007121EC" w:rsidRDefault="00915720" w:rsidP="00AD309C">
            <w:pPr>
              <w:pStyle w:val="ListParagraph"/>
              <w:numPr>
                <w:ilvl w:val="0"/>
                <w:numId w:val="179"/>
              </w:numPr>
            </w:pPr>
            <w:r>
              <w:t>h</w:t>
            </w:r>
            <w:r w:rsidR="00B20633">
              <w:t>ave the medical interpreter sign the consent form</w:t>
            </w:r>
            <w:r w:rsidR="00462638">
              <w:t xml:space="preserve"> (either in-person, electronically, or </w:t>
            </w:r>
            <w:r>
              <w:t xml:space="preserve">by </w:t>
            </w:r>
            <w:r w:rsidR="001E1ADF">
              <w:t>documenting the use of an interpreter</w:t>
            </w:r>
            <w:r w:rsidR="00462638">
              <w:t xml:space="preserve"> in the medical record)?</w:t>
            </w:r>
          </w:p>
        </w:tc>
        <w:tc>
          <w:tcPr>
            <w:tcW w:w="0" w:type="dxa"/>
            <w:vAlign w:val="center"/>
          </w:tcPr>
          <w:p w14:paraId="0CB4B9DA" w14:textId="77777777" w:rsidR="00F337F8" w:rsidRPr="00C8246A" w:rsidRDefault="00F337F8" w:rsidP="00AD309C">
            <w:pPr>
              <w:pStyle w:val="ListParagraph"/>
              <w:numPr>
                <w:ilvl w:val="0"/>
                <w:numId w:val="362"/>
              </w:numPr>
              <w:rPr>
                <w:bCs/>
              </w:rPr>
            </w:pPr>
            <w:r w:rsidRPr="00C8246A">
              <w:rPr>
                <w:bCs/>
              </w:rPr>
              <w:t>Yes</w:t>
            </w:r>
          </w:p>
          <w:p w14:paraId="0C4A9D31" w14:textId="77777777" w:rsidR="00F337F8" w:rsidRPr="00C8246A" w:rsidDel="00476434" w:rsidRDefault="00F337F8" w:rsidP="00AD309C">
            <w:pPr>
              <w:pStyle w:val="ListParagraph"/>
              <w:numPr>
                <w:ilvl w:val="0"/>
                <w:numId w:val="362"/>
              </w:numPr>
              <w:rPr>
                <w:bCs/>
              </w:rPr>
            </w:pPr>
            <w:r w:rsidRPr="00C8246A">
              <w:rPr>
                <w:bCs/>
              </w:rPr>
              <w:t>No</w:t>
            </w:r>
          </w:p>
        </w:tc>
      </w:tr>
      <w:tr w:rsidR="00F337F8" w14:paraId="73B6358A" w14:textId="77777777" w:rsidTr="00A73F6A">
        <w:trPr>
          <w:trHeight w:val="1296"/>
        </w:trPr>
        <w:tc>
          <w:tcPr>
            <w:tcW w:w="6472" w:type="dxa"/>
            <w:tcBorders>
              <w:top w:val="single" w:sz="4" w:space="0" w:color="auto"/>
              <w:left w:val="single" w:sz="4" w:space="0" w:color="auto"/>
              <w:bottom w:val="single" w:sz="4" w:space="0" w:color="auto"/>
              <w:right w:val="single" w:sz="4" w:space="0" w:color="auto"/>
            </w:tcBorders>
            <w:vAlign w:val="center"/>
          </w:tcPr>
          <w:p w14:paraId="25A50030" w14:textId="090651C0" w:rsidR="00F337F8" w:rsidRPr="00146B82" w:rsidRDefault="00DB1D06" w:rsidP="00AD309C">
            <w:pPr>
              <w:pStyle w:val="ListParagraph"/>
              <w:numPr>
                <w:ilvl w:val="0"/>
                <w:numId w:val="164"/>
              </w:numPr>
              <w:rPr>
                <w:sz w:val="16"/>
              </w:rPr>
            </w:pPr>
            <w:r>
              <w:t>As part of the informed consent discussion</w:t>
            </w:r>
            <w:r w:rsidRPr="00E871E3">
              <w:t xml:space="preserve">, </w:t>
            </w:r>
            <w:r w:rsidR="0071374B">
              <w:t>do clinicians at your hospital</w:t>
            </w:r>
            <w:r w:rsidR="0071374B" w:rsidRPr="00E871E3">
              <w:t xml:space="preserve"> use the “teach back method” with patients</w:t>
            </w:r>
            <w:r w:rsidR="0071374B">
              <w:t>/legal guardians</w:t>
            </w:r>
            <w:r w:rsidR="00E64EDB">
              <w:t xml:space="preserve"> </w:t>
            </w:r>
            <w:r w:rsidR="0071374B" w:rsidRPr="00E871E3">
              <w:t xml:space="preserve">where </w:t>
            </w:r>
            <w:r w:rsidR="0071374B">
              <w:t>patients/legal guardians are asked to</w:t>
            </w:r>
            <w:r w:rsidR="0071374B" w:rsidRPr="00E871E3">
              <w:t xml:space="preserve"> </w:t>
            </w:r>
            <w:r>
              <w:t>describe</w:t>
            </w:r>
            <w:r w:rsidR="00E64EDB">
              <w:t xml:space="preserve"> </w:t>
            </w:r>
            <w:r w:rsidR="0071374B" w:rsidRPr="00E871E3">
              <w:t>in their own words</w:t>
            </w:r>
            <w:r w:rsidR="00355191">
              <w:t xml:space="preserve"> </w:t>
            </w:r>
            <w:r w:rsidR="0071374B" w:rsidRPr="00E871E3">
              <w:t>what they understand</w:t>
            </w:r>
            <w:r w:rsidR="0071374B">
              <w:t xml:space="preserve"> </w:t>
            </w:r>
            <w:r w:rsidR="0071374B" w:rsidRPr="00E871E3">
              <w:t xml:space="preserve">will be </w:t>
            </w:r>
            <w:r w:rsidR="00462638">
              <w:t>performed</w:t>
            </w:r>
            <w:r w:rsidR="0071374B" w:rsidRPr="00E871E3">
              <w:t xml:space="preserve">, why it will be </w:t>
            </w:r>
            <w:r w:rsidR="00462638">
              <w:t>performed</w:t>
            </w:r>
            <w:r w:rsidR="0071374B" w:rsidRPr="00E871E3">
              <w:t>, and what are the primary risks</w:t>
            </w:r>
            <w:r w:rsidR="0071374B">
              <w:t>?</w:t>
            </w:r>
          </w:p>
        </w:tc>
        <w:tc>
          <w:tcPr>
            <w:tcW w:w="2872" w:type="dxa"/>
            <w:tcBorders>
              <w:left w:val="single" w:sz="4" w:space="0" w:color="auto"/>
            </w:tcBorders>
            <w:vAlign w:val="center"/>
          </w:tcPr>
          <w:p w14:paraId="460507E8" w14:textId="77777777" w:rsidR="00F337F8" w:rsidRPr="00C8246A" w:rsidRDefault="00F337F8" w:rsidP="00AD309C">
            <w:pPr>
              <w:pStyle w:val="ListParagraph"/>
              <w:numPr>
                <w:ilvl w:val="0"/>
                <w:numId w:val="362"/>
              </w:numPr>
              <w:rPr>
                <w:bCs/>
              </w:rPr>
            </w:pPr>
            <w:r w:rsidRPr="00C8246A">
              <w:rPr>
                <w:bCs/>
              </w:rPr>
              <w:t>Yes</w:t>
            </w:r>
          </w:p>
          <w:p w14:paraId="4A0D1A49" w14:textId="77777777" w:rsidR="00F337F8" w:rsidRPr="00C8246A" w:rsidRDefault="00F337F8" w:rsidP="00AD309C">
            <w:pPr>
              <w:pStyle w:val="ListParagraph"/>
              <w:numPr>
                <w:ilvl w:val="0"/>
                <w:numId w:val="362"/>
              </w:numPr>
              <w:rPr>
                <w:bCs/>
              </w:rPr>
            </w:pPr>
            <w:r w:rsidRPr="00C8246A">
              <w:rPr>
                <w:bCs/>
              </w:rPr>
              <w:t>No</w:t>
            </w:r>
          </w:p>
        </w:tc>
      </w:tr>
    </w:tbl>
    <w:p w14:paraId="2C59CC6A" w14:textId="54AAF910" w:rsidR="00E85725" w:rsidRPr="009A5185" w:rsidRDefault="00E85725">
      <w:pPr>
        <w:rPr>
          <w:rFonts w:cs="Arial"/>
          <w:b/>
          <w:snapToGrid w:val="0"/>
          <w:color w:val="000000"/>
        </w:rPr>
      </w:pPr>
    </w:p>
    <w:p w14:paraId="3451A00B" w14:textId="77777777" w:rsidR="00C62199" w:rsidRDefault="00C62199">
      <w:pPr>
        <w:rPr>
          <w:rFonts w:cs="Arial"/>
          <w:b/>
          <w:snapToGrid w:val="0"/>
          <w:color w:val="000000"/>
        </w:rPr>
      </w:pPr>
      <w:r>
        <w:rPr>
          <w:rFonts w:cs="Arial"/>
          <w:b/>
          <w:snapToGrid w:val="0"/>
          <w:color w:val="000000"/>
        </w:rPr>
        <w:br w:type="page"/>
      </w:r>
    </w:p>
    <w:p w14:paraId="0ABA654C" w14:textId="09EBC0D7" w:rsidR="00B17795" w:rsidRPr="009A5185" w:rsidRDefault="00B17795" w:rsidP="00B17795">
      <w:pPr>
        <w:rPr>
          <w:rFonts w:cs="Arial"/>
          <w:b/>
          <w:snapToGrid w:val="0"/>
          <w:color w:val="000000"/>
        </w:rPr>
      </w:pPr>
      <w:r w:rsidRPr="009A5185">
        <w:rPr>
          <w:rFonts w:cs="Arial"/>
          <w:b/>
          <w:snapToGrid w:val="0"/>
          <w:color w:val="000000"/>
        </w:rPr>
        <w:lastRenderedPageBreak/>
        <w:t>Affirmation of Accuracy</w:t>
      </w:r>
    </w:p>
    <w:p w14:paraId="2BCCC3BE" w14:textId="77777777" w:rsidR="00B17795" w:rsidRPr="009A5185" w:rsidRDefault="00B17795" w:rsidP="00B17795">
      <w:pPr>
        <w:rPr>
          <w:rFonts w:cs="Arial"/>
          <w:snapToGrid w:val="0"/>
          <w:color w:val="000000"/>
        </w:rPr>
      </w:pPr>
    </w:p>
    <w:p w14:paraId="697E0D2A" w14:textId="5DE1F2BE" w:rsidR="00B17795" w:rsidRPr="009A5185" w:rsidRDefault="00B17795" w:rsidP="00B17795">
      <w:pPr>
        <w:rPr>
          <w:rFonts w:cs="Arial"/>
          <w:color w:val="000000"/>
        </w:rPr>
      </w:pPr>
      <w:r w:rsidRPr="009A5185">
        <w:rPr>
          <w:rFonts w:cs="Arial"/>
          <w:color w:val="000000"/>
        </w:rPr>
        <w:t xml:space="preserve">As the hospital CEO or as an employee of the hospital to whom the hospital CEO has delegated responsibility, </w:t>
      </w:r>
      <w:r w:rsidR="00327E8E" w:rsidRPr="009A5185">
        <w:rPr>
          <w:rFonts w:cs="Arial"/>
          <w:color w:val="000000"/>
        </w:rPr>
        <w:t>I have reviewed this information</w:t>
      </w:r>
      <w:r w:rsidRPr="009A5185">
        <w:rPr>
          <w:rFonts w:cs="Arial"/>
          <w:color w:val="000000"/>
        </w:rPr>
        <w:t xml:space="preserve"> </w:t>
      </w:r>
      <w:r w:rsidR="004423A7" w:rsidRPr="009A5185">
        <w:rPr>
          <w:rFonts w:cs="Arial"/>
          <w:color w:val="000000"/>
        </w:rPr>
        <w:t xml:space="preserve">pertaining to the </w:t>
      </w:r>
      <w:r w:rsidR="00AB508D">
        <w:rPr>
          <w:rFonts w:cs="Arial"/>
          <w:snapToGrid w:val="0"/>
        </w:rPr>
        <w:t xml:space="preserve">Patient Rights and Ethics </w:t>
      </w:r>
      <w:r w:rsidR="004423A7" w:rsidRPr="009A5185">
        <w:rPr>
          <w:rFonts w:cs="Arial"/>
          <w:color w:val="000000"/>
        </w:rPr>
        <w:t>Section</w:t>
      </w:r>
      <w:r w:rsidRPr="009A5185">
        <w:rPr>
          <w:rFonts w:cs="Arial"/>
          <w:color w:val="000000"/>
        </w:rPr>
        <w:t xml:space="preserve"> at our hospital, and I here</w:t>
      </w:r>
      <w:r w:rsidR="00327E8E" w:rsidRPr="009A5185">
        <w:rPr>
          <w:rFonts w:cs="Arial"/>
          <w:color w:val="000000"/>
        </w:rPr>
        <w:t xml:space="preserve">by </w:t>
      </w:r>
      <w:r w:rsidR="00A612ED">
        <w:rPr>
          <w:rFonts w:cs="Arial"/>
          <w:color w:val="000000"/>
        </w:rPr>
        <w:t>affirm</w:t>
      </w:r>
      <w:r w:rsidR="00327E8E" w:rsidRPr="009A5185">
        <w:rPr>
          <w:rFonts w:cs="Arial"/>
          <w:color w:val="000000"/>
        </w:rPr>
        <w:t xml:space="preserve"> that this information is</w:t>
      </w:r>
      <w:r w:rsidRPr="009A5185">
        <w:rPr>
          <w:rFonts w:cs="Arial"/>
          <w:color w:val="000000"/>
        </w:rPr>
        <w:t xml:space="preserve"> true, accurate, and reflect</w:t>
      </w:r>
      <w:r w:rsidR="00AE16B9" w:rsidRPr="009A5185">
        <w:rPr>
          <w:rFonts w:cs="Arial"/>
          <w:color w:val="000000"/>
        </w:rPr>
        <w:t>s</w:t>
      </w:r>
      <w:r w:rsidRPr="009A5185">
        <w:rPr>
          <w:rFonts w:cs="Arial"/>
          <w:color w:val="000000"/>
        </w:rPr>
        <w:t xml:space="preserve"> the current, normal operating circumstances at our hospital. I am authorized to make this </w:t>
      </w:r>
      <w:r w:rsidR="00A612ED">
        <w:rPr>
          <w:rFonts w:cs="Arial"/>
          <w:color w:val="000000"/>
        </w:rPr>
        <w:t>affirmation</w:t>
      </w:r>
      <w:r w:rsidRPr="009A5185">
        <w:rPr>
          <w:rFonts w:cs="Arial"/>
          <w:color w:val="000000"/>
        </w:rPr>
        <w:t xml:space="preserve"> on behalf of our hospital. </w:t>
      </w:r>
    </w:p>
    <w:p w14:paraId="23CBE67E" w14:textId="77777777" w:rsidR="00B17795" w:rsidRPr="009A5185" w:rsidRDefault="00B17795" w:rsidP="00B17795">
      <w:pPr>
        <w:rPr>
          <w:rFonts w:cs="Arial"/>
          <w:color w:val="000000"/>
        </w:rPr>
      </w:pPr>
    </w:p>
    <w:p w14:paraId="2809EF6E" w14:textId="77777777" w:rsidR="00607094" w:rsidRPr="009A5185" w:rsidRDefault="00607094" w:rsidP="00607094">
      <w:pPr>
        <w:rPr>
          <w:rFonts w:cs="Arial"/>
          <w:sz w:val="22"/>
          <w:szCs w:val="22"/>
        </w:rPr>
      </w:pPr>
      <w:r w:rsidRPr="009A5185">
        <w:rPr>
          <w:rFonts w:cs="Arial"/>
        </w:rPr>
        <w:t xml:space="preserve">The </w:t>
      </w:r>
      <w:r w:rsidRPr="00534EFC">
        <w:rPr>
          <w:rFonts w:cs="Arial"/>
        </w:rPr>
        <w:t xml:space="preserve">hospital and I </w:t>
      </w:r>
      <w:r>
        <w:rPr>
          <w:rFonts w:cs="Arial"/>
        </w:rPr>
        <w:t>acknowledge</w:t>
      </w:r>
      <w:r w:rsidRPr="00534EFC">
        <w:rPr>
          <w:rFonts w:cs="Arial"/>
        </w:rPr>
        <w:t xml:space="preserve"> that The Leapfrog Group, its members, the public and entities and persons who contract or have other business dealings with The Leapfrog Group are relying on the truth and accuracy of this information. The hospital and I also </w:t>
      </w:r>
      <w:r>
        <w:rPr>
          <w:rFonts w:cs="Arial"/>
        </w:rPr>
        <w:t>acknowledge</w:t>
      </w:r>
      <w:r w:rsidRPr="00534EFC">
        <w:rPr>
          <w:rFonts w:cs="Arial"/>
        </w:rPr>
        <w:t xml:space="preserve"> that </w:t>
      </w:r>
      <w:r>
        <w:rPr>
          <w:rFonts w:cs="Arial"/>
        </w:rPr>
        <w:t xml:space="preserve">analyses and ratings </w:t>
      </w:r>
      <w:r w:rsidRPr="00534EFC">
        <w:rPr>
          <w:rFonts w:cs="Arial"/>
        </w:rPr>
        <w:t>The Leapfrog Group</w:t>
      </w:r>
      <w:r>
        <w:rPr>
          <w:rFonts w:cs="Arial"/>
        </w:rPr>
        <w:t xml:space="preserve"> derives from</w:t>
      </w:r>
      <w:r w:rsidRPr="00534EFC">
        <w:rPr>
          <w:rFonts w:cs="Arial"/>
        </w:rPr>
        <w:t xml:space="preserve"> this information</w:t>
      </w:r>
      <w:r>
        <w:rPr>
          <w:rFonts w:cs="Arial"/>
        </w:rPr>
        <w:t xml:space="preserve"> will be made public on</w:t>
      </w:r>
      <w:r w:rsidRPr="00534EFC">
        <w:rPr>
          <w:rFonts w:cs="Arial"/>
        </w:rPr>
        <w:t xml:space="preserve"> the Survey Results public reporting website, The Leapfrog Group’s Hospital Safety Grade</w:t>
      </w:r>
      <w:r>
        <w:rPr>
          <w:rFonts w:cs="Arial"/>
        </w:rPr>
        <w:t xml:space="preserve"> website</w:t>
      </w:r>
      <w:r w:rsidRPr="00534EFC">
        <w:rPr>
          <w:rFonts w:cs="Arial"/>
        </w:rPr>
        <w:t xml:space="preserve">, and/or other Leapfrog Group </w:t>
      </w:r>
      <w:r>
        <w:rPr>
          <w:rFonts w:cs="Arial"/>
        </w:rPr>
        <w:t xml:space="preserve">published works, </w:t>
      </w:r>
      <w:r w:rsidRPr="00534EFC">
        <w:rPr>
          <w:rFonts w:cs="Arial"/>
        </w:rPr>
        <w:t xml:space="preserve">products and services. </w:t>
      </w:r>
      <w:r>
        <w:rPr>
          <w:rFonts w:cs="Arial"/>
        </w:rPr>
        <w:t>The hospital and I acknowledge that analyses and ratings derived from t</w:t>
      </w:r>
      <w:r w:rsidRPr="00534EFC">
        <w:rPr>
          <w:rFonts w:cs="Arial"/>
        </w:rPr>
        <w:t>his information and all intellectual property rights</w:t>
      </w:r>
      <w:r>
        <w:rPr>
          <w:rFonts w:cs="Arial"/>
        </w:rPr>
        <w:t xml:space="preserve"> related to those analyses and ratings</w:t>
      </w:r>
      <w:r w:rsidRPr="00534EFC">
        <w:rPr>
          <w:rFonts w:cs="Arial"/>
        </w:rPr>
        <w:t xml:space="preserve"> shall be and remain the sole and exclusive property of The Leapfrog Group </w:t>
      </w:r>
      <w:r w:rsidRPr="00534EFC">
        <w:t>in which The Leapfrog Group retains exclusive ownership</w:t>
      </w:r>
      <w:r w:rsidRPr="00534EFC">
        <w:rPr>
          <w:rFonts w:cs="Arial"/>
        </w:rPr>
        <w:t xml:space="preserve">. </w:t>
      </w:r>
      <w:r>
        <w:rPr>
          <w:rFonts w:cs="Arial"/>
        </w:rPr>
        <w:t>I hereby affirm that t</w:t>
      </w:r>
      <w:r w:rsidRPr="00534EFC">
        <w:rPr>
          <w:rFonts w:cs="Arial"/>
        </w:rPr>
        <w:t>his information does not infringe upon any third-party intellectual property rights</w:t>
      </w:r>
      <w:r w:rsidRPr="00534EFC">
        <w:t xml:space="preserve"> or any other third-party rights whatsoever and is free and clear of all encumbrances and liens of any kind</w:t>
      </w:r>
      <w:r w:rsidRPr="00534EFC">
        <w:rPr>
          <w:rFonts w:cs="Arial"/>
        </w:rPr>
        <w:t xml:space="preserve">. The hospital and I acknowledge that The Leapfrog Group may </w:t>
      </w:r>
      <w:r>
        <w:rPr>
          <w:rFonts w:cs="Arial"/>
        </w:rPr>
        <w:t>license</w:t>
      </w:r>
      <w:r w:rsidRPr="00534EFC">
        <w:rPr>
          <w:rFonts w:cs="Arial"/>
        </w:rPr>
        <w:t xml:space="preserve"> </w:t>
      </w:r>
      <w:r>
        <w:rPr>
          <w:rFonts w:cs="Arial"/>
        </w:rPr>
        <w:t xml:space="preserve">analyses and ratings derived from </w:t>
      </w:r>
      <w:r w:rsidRPr="00534EFC">
        <w:rPr>
          <w:rFonts w:cs="Arial"/>
        </w:rPr>
        <w:t xml:space="preserve">this information </w:t>
      </w:r>
      <w:r>
        <w:rPr>
          <w:rFonts w:cs="Arial"/>
        </w:rPr>
        <w:t>to other entities including researchers, not-for-profit entities, and for-profit entities, and the revenue from such licensure will be used solely to support The Leapfrog Group’s not-for-profit mission</w:t>
      </w:r>
      <w:r w:rsidRPr="00534EFC">
        <w:rPr>
          <w:rFonts w:cs="Arial"/>
        </w:rPr>
        <w:t>. The hospital shall be liable for and shall hold harmless and indemnify The Leapfrog Group from any and all damages, demands, costs, or causes of action resulting from any inaccuracies in the information or any misrepresentations in this Affirmation of Accuracy. The Leapfrog Group and its members and entities and persons who contract or have other business dealings with The Leapfrog Group reserve the right to omit or disclaim information that is not current, accurate or truthful.</w:t>
      </w:r>
    </w:p>
    <w:p w14:paraId="6453B741" w14:textId="77777777" w:rsidR="00B17795" w:rsidRPr="009A5185" w:rsidRDefault="00B17795" w:rsidP="00B17795">
      <w:pPr>
        <w:rPr>
          <w:rFonts w:cs="Arial"/>
          <w:snapToGrid w:val="0"/>
          <w:color w:val="000000"/>
        </w:rPr>
      </w:pPr>
    </w:p>
    <w:p w14:paraId="7AAA30CC" w14:textId="77777777" w:rsidR="00B17795" w:rsidRPr="009A5185" w:rsidRDefault="00B17795" w:rsidP="00B17795">
      <w:pPr>
        <w:rPr>
          <w:rFonts w:cs="Arial"/>
          <w:snapToGrid w:val="0"/>
          <w:color w:val="000000"/>
        </w:rPr>
      </w:pPr>
    </w:p>
    <w:p w14:paraId="6E1EE96F" w14:textId="77777777" w:rsidR="00B17795" w:rsidRPr="009A5185" w:rsidRDefault="00B17795" w:rsidP="00B17795">
      <w:pPr>
        <w:spacing w:line="240" w:lineRule="exact"/>
        <w:rPr>
          <w:rFonts w:cs="Arial"/>
          <w:snapToGrid w:val="0"/>
          <w:color w:val="000000"/>
        </w:rPr>
      </w:pPr>
      <w:r w:rsidRPr="009A5185">
        <w:rPr>
          <w:rFonts w:cs="Arial"/>
          <w:snapToGrid w:val="0"/>
          <w:color w:val="000000"/>
        </w:rPr>
        <w:t>Affirmed by _____________________, the hospital’s ___________________________,</w:t>
      </w:r>
    </w:p>
    <w:p w14:paraId="32EE33BF" w14:textId="77777777" w:rsidR="00B17795" w:rsidRPr="009A5185" w:rsidRDefault="00B17795" w:rsidP="00B17795">
      <w:pPr>
        <w:pStyle w:val="BodyText2"/>
        <w:spacing w:line="240" w:lineRule="exact"/>
        <w:rPr>
          <w:rFonts w:cs="Arial"/>
        </w:rPr>
      </w:pPr>
      <w:r w:rsidRPr="009A5185">
        <w:rPr>
          <w:rFonts w:cs="Arial"/>
        </w:rPr>
        <w:tab/>
        <w:t xml:space="preserve"> </w:t>
      </w:r>
      <w:r w:rsidR="00572320">
        <w:rPr>
          <w:rFonts w:cs="Arial"/>
        </w:rPr>
        <w:t xml:space="preserve">    </w:t>
      </w:r>
      <w:r w:rsidRPr="009A5185">
        <w:rPr>
          <w:rFonts w:cs="Arial"/>
        </w:rPr>
        <w:t>(</w:t>
      </w:r>
      <w:r w:rsidR="00572320">
        <w:rPr>
          <w:rFonts w:cs="Arial"/>
        </w:rPr>
        <w:t xml:space="preserve">first </w:t>
      </w:r>
      <w:r w:rsidRPr="009A5185">
        <w:rPr>
          <w:rFonts w:cs="Arial"/>
        </w:rPr>
        <w:t>name</w:t>
      </w:r>
      <w:r w:rsidR="00572320">
        <w:rPr>
          <w:rFonts w:cs="Arial"/>
        </w:rPr>
        <w:t xml:space="preserve"> and last name)</w:t>
      </w:r>
      <w:r w:rsidR="00572320">
        <w:rPr>
          <w:rFonts w:cs="Arial"/>
        </w:rPr>
        <w:tab/>
      </w:r>
      <w:r w:rsidR="00572320">
        <w:rPr>
          <w:rFonts w:cs="Arial"/>
        </w:rPr>
        <w:tab/>
      </w:r>
      <w:r w:rsidR="00572320">
        <w:rPr>
          <w:rFonts w:cs="Arial"/>
        </w:rPr>
        <w:tab/>
      </w:r>
      <w:r w:rsidR="00572320">
        <w:rPr>
          <w:rFonts w:cs="Arial"/>
        </w:rPr>
        <w:tab/>
      </w:r>
      <w:r w:rsidRPr="009A5185">
        <w:rPr>
          <w:rFonts w:cs="Arial"/>
        </w:rPr>
        <w:t>(title)</w:t>
      </w:r>
    </w:p>
    <w:p w14:paraId="7743F9EE" w14:textId="77777777" w:rsidR="00B17795" w:rsidRPr="009A5185" w:rsidRDefault="00B17795" w:rsidP="00B17795">
      <w:pPr>
        <w:spacing w:line="240" w:lineRule="exact"/>
        <w:rPr>
          <w:rFonts w:cs="Arial"/>
          <w:snapToGrid w:val="0"/>
        </w:rPr>
      </w:pPr>
      <w:r w:rsidRPr="009A5185">
        <w:rPr>
          <w:rFonts w:cs="Arial"/>
          <w:snapToGrid w:val="0"/>
        </w:rPr>
        <w:t>on _______________________.</w:t>
      </w:r>
    </w:p>
    <w:p w14:paraId="05D80D9C" w14:textId="77777777" w:rsidR="00B17795" w:rsidRPr="009A5185" w:rsidRDefault="00B17795" w:rsidP="00B17795">
      <w:pPr>
        <w:spacing w:line="240" w:lineRule="exact"/>
        <w:rPr>
          <w:rFonts w:cs="Arial"/>
          <w:i/>
        </w:rPr>
      </w:pPr>
      <w:r w:rsidRPr="009A5185">
        <w:rPr>
          <w:rFonts w:cs="Arial"/>
          <w:i/>
        </w:rPr>
        <w:t xml:space="preserve">                    (date)</w:t>
      </w:r>
    </w:p>
    <w:p w14:paraId="4C8ECDBF" w14:textId="77777777" w:rsidR="00950575" w:rsidRPr="009A5185" w:rsidRDefault="00950575" w:rsidP="00EB41AD">
      <w:pPr>
        <w:rPr>
          <w:rFonts w:cs="Arial"/>
          <w:lang w:eastAsia="ja-JP"/>
        </w:rPr>
      </w:pPr>
    </w:p>
    <w:p w14:paraId="1D77FB72" w14:textId="77777777" w:rsidR="00A437A9" w:rsidRPr="009A5185" w:rsidRDefault="00A437A9" w:rsidP="00EB41AD">
      <w:pPr>
        <w:rPr>
          <w:rFonts w:cs="Arial"/>
          <w:lang w:eastAsia="ja-JP"/>
        </w:rPr>
      </w:pPr>
    </w:p>
    <w:p w14:paraId="1EF5FCD6" w14:textId="77777777" w:rsidR="005D7A3B" w:rsidRPr="009A5185" w:rsidRDefault="005D7A3B" w:rsidP="00EB41AD">
      <w:pPr>
        <w:rPr>
          <w:rFonts w:cs="Arial"/>
          <w:lang w:eastAsia="ja-JP"/>
        </w:rPr>
      </w:pPr>
    </w:p>
    <w:p w14:paraId="5DF16EF7" w14:textId="77777777" w:rsidR="00853157" w:rsidRPr="009A5185" w:rsidRDefault="00853157">
      <w:pPr>
        <w:rPr>
          <w:rFonts w:cs="Arial"/>
          <w:b/>
          <w:sz w:val="24"/>
          <w:lang w:eastAsia="ja-JP"/>
        </w:rPr>
      </w:pPr>
      <w:r w:rsidRPr="009A5185">
        <w:rPr>
          <w:rFonts w:cs="Arial"/>
          <w:lang w:eastAsia="ja-JP"/>
        </w:rPr>
        <w:br w:type="page"/>
      </w:r>
    </w:p>
    <w:p w14:paraId="123ACFAD" w14:textId="063090B2" w:rsidR="0060690C" w:rsidRPr="009A5185" w:rsidRDefault="0060690C" w:rsidP="00CF5A6E">
      <w:pPr>
        <w:pStyle w:val="Heading2"/>
      </w:pPr>
      <w:bookmarkStart w:id="106" w:name="_Toc225877677"/>
      <w:r w:rsidRPr="009A5185">
        <w:lastRenderedPageBreak/>
        <w:t xml:space="preserve">Section 1: </w:t>
      </w:r>
      <w:r w:rsidR="00AB508D">
        <w:rPr>
          <w:rFonts w:cs="Arial"/>
        </w:rPr>
        <w:t xml:space="preserve">Patient Rights and Ethics </w:t>
      </w:r>
      <w:r w:rsidRPr="009A5185">
        <w:t>Reference Information</w:t>
      </w:r>
      <w:bookmarkEnd w:id="106"/>
    </w:p>
    <w:p w14:paraId="753DE06F" w14:textId="77777777" w:rsidR="0060690C" w:rsidRPr="009A5185" w:rsidRDefault="0060690C" w:rsidP="00EB41AD">
      <w:pPr>
        <w:rPr>
          <w:rFonts w:cs="Arial"/>
          <w:lang w:eastAsia="ja-JP"/>
        </w:rPr>
      </w:pPr>
    </w:p>
    <w:p w14:paraId="61D7F231" w14:textId="133B49C9" w:rsidR="00B441E9" w:rsidRPr="009A5185" w:rsidRDefault="00B441E9" w:rsidP="00AB5B80">
      <w:pPr>
        <w:pStyle w:val="Heading3"/>
      </w:pPr>
      <w:bookmarkStart w:id="107" w:name="_Toc225877678"/>
      <w:r w:rsidRPr="009A5185">
        <w:t xml:space="preserve">What’s New in the </w:t>
      </w:r>
      <w:r w:rsidR="00A236B1">
        <w:t>202</w:t>
      </w:r>
      <w:r w:rsidR="002B59CE">
        <w:t>6</w:t>
      </w:r>
      <w:r w:rsidR="00CE3643" w:rsidRPr="009A5185">
        <w:t xml:space="preserve"> </w:t>
      </w:r>
      <w:r w:rsidRPr="009A5185">
        <w:t>Survey</w:t>
      </w:r>
      <w:bookmarkEnd w:id="73"/>
      <w:bookmarkEnd w:id="107"/>
    </w:p>
    <w:p w14:paraId="6EAAE3B7" w14:textId="3F626C3D" w:rsidR="00F00B55" w:rsidRDefault="00F00B55" w:rsidP="00180B6A">
      <w:pPr>
        <w:pStyle w:val="Style1"/>
      </w:pPr>
    </w:p>
    <w:p w14:paraId="53B6370F" w14:textId="77777777" w:rsidR="009C0BC4" w:rsidRDefault="001B5B40" w:rsidP="004D1420">
      <w:pPr>
        <w:pStyle w:val="Heading44"/>
      </w:pPr>
      <w:bookmarkStart w:id="108" w:name="_Hlk147491723"/>
      <w:r>
        <w:t xml:space="preserve">Section 1A: Basic Hospital Information </w:t>
      </w:r>
    </w:p>
    <w:p w14:paraId="788DCE0B" w14:textId="2D201477" w:rsidR="009C0BC4" w:rsidRPr="00C238DA" w:rsidRDefault="009C0BC4" w:rsidP="009C0BC4">
      <w:r w:rsidRPr="00C238DA">
        <w:t xml:space="preserve">Leapfrog </w:t>
      </w:r>
      <w:r w:rsidR="009B283B">
        <w:t>is updating and adding</w:t>
      </w:r>
      <w:r w:rsidRPr="00C238DA">
        <w:t xml:space="preserve"> two new questions in Section 1A: Basic Hospital Information asking hospitals to report on adult and pediatric licensed and staffed ICU beds separately. The purpose of these adjusted questions is to identify hospitals that are eligible to report on adult and/or pediatric ICU Physician Staffing in Section 5A: Adult ICU Physician Staffing and Section 5B: Pediatric ICU Physician Staffing.</w:t>
      </w:r>
    </w:p>
    <w:p w14:paraId="73266C3C" w14:textId="77777777" w:rsidR="009C0BC4" w:rsidRPr="00C238DA" w:rsidRDefault="009C0BC4" w:rsidP="009C0BC4"/>
    <w:p w14:paraId="113A5D06" w14:textId="62A727DA" w:rsidR="009C0BC4" w:rsidRDefault="00A40F9E" w:rsidP="009C0BC4">
      <w:r w:rsidRPr="00A40F9E">
        <w:t>Leapfrog is also updating the questions regarding the operations of and admissions to neonatal ICUs to clarify that only level II/III, level III, and level IV neonatal ICUs should be included in responses. This was previously clarified in the associated endnotes and does not reflect a change in how hospitals should report on these questions.</w:t>
      </w:r>
    </w:p>
    <w:p w14:paraId="5204337B" w14:textId="77777777" w:rsidR="00A40F9E" w:rsidRPr="00C238DA" w:rsidRDefault="00A40F9E" w:rsidP="009C0BC4"/>
    <w:p w14:paraId="7C5E078F" w14:textId="0907113A" w:rsidR="00A40F9E" w:rsidRPr="00C238DA" w:rsidRDefault="00A40F9E" w:rsidP="009C0BC4">
      <w:r w:rsidRPr="00A40F9E">
        <w:t>In addition, Leapfrog is removing question #18 which asks if hospitals have a protocol to follow up on patient</w:t>
      </w:r>
      <w:r>
        <w:t xml:space="preserve"> </w:t>
      </w:r>
      <w:r w:rsidRPr="00A40F9E">
        <w:t>reported concerns, as performance has improved over time, with more than 99% of hospitals responding “yes” in 2025</w:t>
      </w:r>
      <w:r>
        <w:t>.</w:t>
      </w:r>
    </w:p>
    <w:p w14:paraId="012ABB09" w14:textId="77777777" w:rsidR="00536011" w:rsidRDefault="00536011" w:rsidP="009C0BC4">
      <w:pPr>
        <w:pStyle w:val="Heading44"/>
        <w:rPr>
          <w:b w:val="0"/>
          <w:bCs/>
          <w:sz w:val="20"/>
        </w:rPr>
      </w:pPr>
    </w:p>
    <w:p w14:paraId="1A3547AA" w14:textId="77777777" w:rsidR="00536011" w:rsidRDefault="00536011" w:rsidP="009C0BC4">
      <w:pPr>
        <w:pStyle w:val="Heading44"/>
        <w:rPr>
          <w:b w:val="0"/>
          <w:bCs/>
          <w:sz w:val="20"/>
        </w:rPr>
      </w:pPr>
      <w:r w:rsidRPr="00536011">
        <w:rPr>
          <w:b w:val="0"/>
          <w:bCs/>
          <w:sz w:val="20"/>
        </w:rPr>
        <w:t xml:space="preserve">Finally, Leapfrog is persuaded by evidence that attainment of certifications related to improving quality and patient safety can lead to improved patient outcomes. Given the compelling public comments, it is clear that a number of such certifications are available to professionals, and more work is needed to study the evidence on impact to patient care. As a result, Leapfrog will form an advisory committee to explore the evidence on quality and patient safety certifications and delay for one year planned fact-finding questions about the </w:t>
      </w:r>
      <w:hyperlink r:id="rId118" w:history="1">
        <w:r w:rsidR="009C0BC4" w:rsidRPr="00C238DA">
          <w:rPr>
            <w:rStyle w:val="Hyperlink"/>
            <w:b w:val="0"/>
            <w:bCs/>
            <w:sz w:val="20"/>
          </w:rPr>
          <w:t>National Association for Healthcare Quality’s (NAHQ) Certified Professional in Healthcare Quality (CPHQ)</w:t>
        </w:r>
      </w:hyperlink>
      <w:r w:rsidR="009C0BC4" w:rsidRPr="00C238DA">
        <w:rPr>
          <w:b w:val="0"/>
          <w:bCs/>
          <w:sz w:val="20"/>
        </w:rPr>
        <w:t xml:space="preserve"> certification</w:t>
      </w:r>
      <w:r>
        <w:rPr>
          <w:b w:val="0"/>
          <w:bCs/>
          <w:sz w:val="20"/>
        </w:rPr>
        <w:t>.</w:t>
      </w:r>
    </w:p>
    <w:p w14:paraId="6DD518D4" w14:textId="3D37CEDB" w:rsidR="001B5B40" w:rsidRPr="005F16BC" w:rsidRDefault="001B5B40" w:rsidP="009C0BC4">
      <w:pPr>
        <w:pStyle w:val="Heading44"/>
        <w:rPr>
          <w:b w:val="0"/>
          <w:bCs/>
          <w:sz w:val="20"/>
        </w:rPr>
      </w:pPr>
    </w:p>
    <w:bookmarkEnd w:id="108"/>
    <w:p w14:paraId="78F8FA62" w14:textId="0677995C" w:rsidR="004F2BE4" w:rsidRDefault="004F2BE4" w:rsidP="00BA2038">
      <w:pPr>
        <w:pStyle w:val="Heading44"/>
      </w:pPr>
      <w:r w:rsidRPr="00BA2038">
        <w:t>Section 1B: Billing Ethics</w:t>
      </w:r>
    </w:p>
    <w:p w14:paraId="3070D3FE" w14:textId="77777777" w:rsidR="00536011" w:rsidRDefault="00536011" w:rsidP="00200ED1">
      <w:pPr>
        <w:pStyle w:val="Heading44"/>
        <w:rPr>
          <w:b w:val="0"/>
          <w:bCs/>
          <w:sz w:val="20"/>
        </w:rPr>
      </w:pPr>
      <w:r w:rsidRPr="00536011">
        <w:rPr>
          <w:b w:val="0"/>
          <w:bCs/>
          <w:sz w:val="20"/>
        </w:rPr>
        <w:t xml:space="preserve">In response to feedback and responses from hospitals participating in the 2025 Leapfrog Hospital Survey, Leapfrog will make several updates to Section 1B: Billing Ethics. </w:t>
      </w:r>
    </w:p>
    <w:p w14:paraId="49393EC8" w14:textId="77777777" w:rsidR="00536011" w:rsidRDefault="00536011" w:rsidP="00200ED1">
      <w:pPr>
        <w:pStyle w:val="Heading44"/>
        <w:rPr>
          <w:b w:val="0"/>
          <w:bCs/>
          <w:sz w:val="20"/>
        </w:rPr>
      </w:pPr>
    </w:p>
    <w:p w14:paraId="6AD59166" w14:textId="73817A2E" w:rsidR="00200ED1" w:rsidRDefault="00536011" w:rsidP="00200ED1">
      <w:pPr>
        <w:pStyle w:val="Heading44"/>
        <w:rPr>
          <w:b w:val="0"/>
          <w:bCs/>
          <w:sz w:val="20"/>
        </w:rPr>
      </w:pPr>
      <w:r w:rsidRPr="00536011">
        <w:rPr>
          <w:b w:val="0"/>
          <w:bCs/>
          <w:sz w:val="20"/>
        </w:rPr>
        <w:t>First, Leapfrog is updating the response options in question #3, which asks if hospitals take legal action against patients for late or insufficient payments, to include an option for public hospitals that are required by state law to transfer unpaid medical bills to a state agency, similar to federal law requirements for Military Treatment Facilities. We anticipate that this updated response option will only apply to public hospitals in limited states (e.g., Illinois or New York). Leapfrog is also adding a FAQ with further information.</w:t>
      </w:r>
    </w:p>
    <w:p w14:paraId="0278D10D" w14:textId="77777777" w:rsidR="00274F9E" w:rsidRDefault="00274F9E" w:rsidP="00200ED1">
      <w:pPr>
        <w:pStyle w:val="Heading44"/>
        <w:rPr>
          <w:b w:val="0"/>
          <w:bCs/>
          <w:sz w:val="20"/>
        </w:rPr>
      </w:pPr>
    </w:p>
    <w:p w14:paraId="2F6D2F1B" w14:textId="0768D705" w:rsidR="00274F9E" w:rsidRDefault="00274F9E" w:rsidP="00200ED1">
      <w:pPr>
        <w:pStyle w:val="Heading44"/>
        <w:rPr>
          <w:b w:val="0"/>
          <w:bCs/>
          <w:sz w:val="20"/>
        </w:rPr>
      </w:pPr>
      <w:r w:rsidRPr="00274F9E">
        <w:rPr>
          <w:b w:val="0"/>
          <w:bCs/>
          <w:sz w:val="20"/>
        </w:rPr>
        <w:t xml:space="preserve">Hospitals eligible for this exception should maintain a copy of the state or federal legislation requiring the transfer of medical bills. As part of Leapfrog’s </w:t>
      </w:r>
      <w:hyperlink r:id="rId119" w:history="1">
        <w:r w:rsidRPr="00274F9E">
          <w:rPr>
            <w:rStyle w:val="Hyperlink"/>
            <w:b w:val="0"/>
            <w:bCs/>
            <w:sz w:val="20"/>
          </w:rPr>
          <w:t>Data Accuracy</w:t>
        </w:r>
      </w:hyperlink>
      <w:r w:rsidRPr="00274F9E">
        <w:rPr>
          <w:b w:val="0"/>
          <w:bCs/>
          <w:sz w:val="20"/>
        </w:rPr>
        <w:t xml:space="preserve"> protocol, hospitals may be randomly selected for Leapfrog’s monthly documentation requirement and will need to provide documentation supporting their Survey responses.</w:t>
      </w:r>
    </w:p>
    <w:p w14:paraId="0DC0D471" w14:textId="77777777" w:rsidR="00536011" w:rsidRDefault="00536011" w:rsidP="00200ED1">
      <w:pPr>
        <w:pStyle w:val="Heading44"/>
        <w:rPr>
          <w:b w:val="0"/>
          <w:bCs/>
          <w:sz w:val="20"/>
        </w:rPr>
      </w:pPr>
    </w:p>
    <w:p w14:paraId="1D4F9CE7" w14:textId="7835FD98" w:rsidR="00200ED1" w:rsidRDefault="00200ED1" w:rsidP="00200ED1">
      <w:pPr>
        <w:pStyle w:val="Heading44"/>
        <w:rPr>
          <w:b w:val="0"/>
          <w:bCs/>
          <w:sz w:val="20"/>
        </w:rPr>
      </w:pPr>
      <w:r w:rsidRPr="00200ED1">
        <w:rPr>
          <w:b w:val="0"/>
          <w:bCs/>
          <w:sz w:val="20"/>
        </w:rPr>
        <w:t xml:space="preserve">Second, we </w:t>
      </w:r>
      <w:r w:rsidR="00274F9E">
        <w:rPr>
          <w:b w:val="0"/>
          <w:bCs/>
          <w:sz w:val="20"/>
        </w:rPr>
        <w:t>are retaining</w:t>
      </w:r>
      <w:r w:rsidRPr="00200ED1">
        <w:rPr>
          <w:b w:val="0"/>
          <w:bCs/>
          <w:sz w:val="20"/>
        </w:rPr>
        <w:t xml:space="preserve"> the four fact-finding questions regarding presumptive eligibility and financial assistance programs for patients for another year with plans to incorporate them into the Billing Ethics Standard in 2027. These fact-finding questions will now be required but will not be used in scoring or public reporting in 2026. </w:t>
      </w:r>
    </w:p>
    <w:p w14:paraId="3488F3D5" w14:textId="77777777" w:rsidR="00401782" w:rsidRDefault="00401782" w:rsidP="00200ED1">
      <w:pPr>
        <w:pStyle w:val="Heading44"/>
        <w:rPr>
          <w:b w:val="0"/>
          <w:bCs/>
          <w:sz w:val="20"/>
        </w:rPr>
      </w:pPr>
    </w:p>
    <w:p w14:paraId="390C3573" w14:textId="699097D6" w:rsidR="00401782" w:rsidRDefault="00401782" w:rsidP="00200ED1">
      <w:pPr>
        <w:pStyle w:val="Heading44"/>
        <w:rPr>
          <w:b w:val="0"/>
          <w:bCs/>
          <w:sz w:val="20"/>
        </w:rPr>
      </w:pPr>
      <w:r w:rsidRPr="00401782">
        <w:rPr>
          <w:b w:val="0"/>
          <w:bCs/>
          <w:sz w:val="20"/>
        </w:rPr>
        <w:t>Finally, Leapfrog is adding two new FAQs to provide hospitals with additional clarification regarding screening methods and financial assistance application disclosures</w:t>
      </w:r>
      <w:r>
        <w:rPr>
          <w:b w:val="0"/>
          <w:bCs/>
          <w:sz w:val="20"/>
        </w:rPr>
        <w:t>.</w:t>
      </w:r>
    </w:p>
    <w:p w14:paraId="5857D40F" w14:textId="77777777" w:rsidR="00200ED1" w:rsidRDefault="00200ED1" w:rsidP="00200ED1">
      <w:pPr>
        <w:pStyle w:val="Heading44"/>
        <w:rPr>
          <w:b w:val="0"/>
          <w:bCs/>
          <w:sz w:val="20"/>
        </w:rPr>
      </w:pPr>
    </w:p>
    <w:p w14:paraId="7F0594A9" w14:textId="7A8D4B0E" w:rsidR="00200ED1" w:rsidRPr="00200ED1" w:rsidRDefault="00200ED1" w:rsidP="00200ED1">
      <w:pPr>
        <w:pStyle w:val="Heading44"/>
        <w:rPr>
          <w:b w:val="0"/>
          <w:bCs/>
          <w:sz w:val="20"/>
        </w:rPr>
      </w:pPr>
      <w:r w:rsidRPr="00200ED1">
        <w:rPr>
          <w:b w:val="0"/>
          <w:bCs/>
          <w:sz w:val="20"/>
        </w:rPr>
        <w:t>There are no changes to the scoring algorithm for Section 1B: Billing Ethics.</w:t>
      </w:r>
      <w:r>
        <w:rPr>
          <w:b w:val="0"/>
          <w:bCs/>
          <w:sz w:val="20"/>
        </w:rPr>
        <w:t xml:space="preserve"> </w:t>
      </w:r>
    </w:p>
    <w:p w14:paraId="33B5972F" w14:textId="77777777" w:rsidR="00200ED1" w:rsidRPr="000C6570" w:rsidRDefault="00200ED1" w:rsidP="00200ED1">
      <w:pPr>
        <w:pStyle w:val="Heading44"/>
        <w:rPr>
          <w:sz w:val="20"/>
        </w:rPr>
      </w:pPr>
    </w:p>
    <w:p w14:paraId="3FB5766A" w14:textId="447BEA51" w:rsidR="00B90CB9" w:rsidRPr="00764EEA" w:rsidRDefault="00B90CB9" w:rsidP="004D1420">
      <w:pPr>
        <w:pStyle w:val="Heading44"/>
      </w:pPr>
      <w:r w:rsidRPr="00764EEA">
        <w:t>Section 1</w:t>
      </w:r>
      <w:r>
        <w:t>C</w:t>
      </w:r>
      <w:r w:rsidRPr="00764EEA">
        <w:t xml:space="preserve">: </w:t>
      </w:r>
      <w:r>
        <w:t>Health Care Equity</w:t>
      </w:r>
    </w:p>
    <w:p w14:paraId="7B6C31D9" w14:textId="7D9AFBA8" w:rsidR="00B90CB9" w:rsidRDefault="0094278E" w:rsidP="00B90CB9">
      <w:pPr>
        <w:pStyle w:val="Style1"/>
        <w:rPr>
          <w:b w:val="0"/>
          <w:bCs/>
        </w:rPr>
      </w:pPr>
      <w:r w:rsidRPr="0094278E">
        <w:rPr>
          <w:b w:val="0"/>
          <w:bCs/>
        </w:rPr>
        <w:t>There are no changes to this subsection.</w:t>
      </w:r>
    </w:p>
    <w:p w14:paraId="5A0A20D0" w14:textId="1851F970" w:rsidR="000B6D76" w:rsidRDefault="000B6D76">
      <w:pPr>
        <w:rPr>
          <w:bCs/>
          <w:color w:val="000000"/>
        </w:rPr>
      </w:pPr>
      <w:r>
        <w:rPr>
          <w:b/>
          <w:bCs/>
        </w:rPr>
        <w:br w:type="page"/>
      </w:r>
    </w:p>
    <w:p w14:paraId="11DA8860" w14:textId="77777777" w:rsidR="004F2BE4" w:rsidRDefault="004F2BE4" w:rsidP="00BA2038">
      <w:pPr>
        <w:pStyle w:val="Heading44"/>
      </w:pPr>
      <w:r w:rsidRPr="00BA2038">
        <w:lastRenderedPageBreak/>
        <w:t>Section 1D: Informed Consent</w:t>
      </w:r>
    </w:p>
    <w:p w14:paraId="279EC29A" w14:textId="77777777" w:rsidR="000516C0" w:rsidRDefault="000516C0" w:rsidP="0012101E">
      <w:r w:rsidRPr="000516C0">
        <w:t xml:space="preserve">Leapfrog is removing question #2, which asks if hospitals solicit feedback from patients/legal guardians about their hospital’s informed consent process. As this question was neither scored nor publicly reported, there are no changes to the scoring algorithm for Section 1D: Informed Consent. </w:t>
      </w:r>
    </w:p>
    <w:p w14:paraId="5918B4C8" w14:textId="77777777" w:rsidR="000516C0" w:rsidRDefault="000516C0" w:rsidP="0012101E"/>
    <w:p w14:paraId="51268330" w14:textId="19231202" w:rsidR="000516C0" w:rsidRDefault="000516C0" w:rsidP="0012101E">
      <w:r w:rsidRPr="000516C0">
        <w:t xml:space="preserve">After additional research and consideration of public comments, Leapfrog is adding a new FAQ with guidance on how hospitals can assess the reading level of their Spanish-language consent forms. The reading level of consent forms in languages other than English is an important consideration for improving the accessibility of the informed consent process to all patients, so Leapfrog created an online calculator (available at: </w:t>
      </w:r>
      <w:hyperlink r:id="rId120" w:history="1">
        <w:r w:rsidR="00147DF3" w:rsidRPr="00A2752F">
          <w:rPr>
            <w:rStyle w:val="Hyperlink"/>
          </w:rPr>
          <w:t>https://readability.leapfroggroup.org/</w:t>
        </w:r>
      </w:hyperlink>
      <w:r w:rsidR="00147DF3">
        <w:t xml:space="preserve">) </w:t>
      </w:r>
      <w:r w:rsidRPr="000516C0">
        <w:t xml:space="preserve">to assist hospitals in evaluating the reading level of their Spanish-language consent forms. In 2026, Leapfrog’s standard will continue to focus on consent forms written in the English language, but we expect to extend the standard to Spanish as early as 2027. </w:t>
      </w:r>
    </w:p>
    <w:p w14:paraId="507EF23D" w14:textId="77777777" w:rsidR="000516C0" w:rsidRDefault="000516C0" w:rsidP="0012101E"/>
    <w:p w14:paraId="737D6A17" w14:textId="4D83B336" w:rsidR="000516C0" w:rsidRPr="00BA2038" w:rsidRDefault="000516C0" w:rsidP="0012101E">
      <w:r w:rsidRPr="000516C0">
        <w:t>In addition, Leapfrog is updating FAQ #28 in Section 1D to add additional information regarding strategies for optimizing the readability of consent forms using Large Language Models.</w:t>
      </w:r>
    </w:p>
    <w:p w14:paraId="4C0F6123" w14:textId="45D750AD" w:rsidR="00D05A7F" w:rsidRPr="0012101E" w:rsidRDefault="00D05A7F" w:rsidP="00BA2038">
      <w:pPr>
        <w:rPr>
          <w:rFonts w:cstheme="minorHAnsi"/>
          <w:sz w:val="22"/>
          <w:szCs w:val="22"/>
        </w:rPr>
      </w:pPr>
    </w:p>
    <w:p w14:paraId="727F4DBF" w14:textId="2A9EE98A" w:rsidR="001D3396" w:rsidRPr="009A5185" w:rsidRDefault="001D3396" w:rsidP="00AB5B80">
      <w:pPr>
        <w:pStyle w:val="Heading3"/>
      </w:pPr>
      <w:bookmarkStart w:id="109" w:name="_Toc225877679"/>
      <w:r w:rsidRPr="009A5185">
        <w:t xml:space="preserve">Change Summary </w:t>
      </w:r>
      <w:r w:rsidR="00F72C9F">
        <w:t>S</w:t>
      </w:r>
      <w:r w:rsidRPr="009A5185">
        <w:t>ince Release</w:t>
      </w:r>
      <w:bookmarkEnd w:id="109"/>
    </w:p>
    <w:p w14:paraId="5DACFEBA" w14:textId="77777777" w:rsidR="0094278E" w:rsidRDefault="0094278E">
      <w:pPr>
        <w:rPr>
          <w:rFonts w:cs="Arial"/>
          <w:lang w:eastAsia="ja-JP"/>
        </w:rPr>
      </w:pPr>
    </w:p>
    <w:p w14:paraId="7BAB8A65" w14:textId="0A258D5E" w:rsidR="00322E5F" w:rsidRPr="00ED376F" w:rsidRDefault="00723BF7">
      <w:pPr>
        <w:rPr>
          <w:rFonts w:cs="Arial"/>
          <w:lang w:eastAsia="ja-JP"/>
        </w:rPr>
      </w:pPr>
      <w:r w:rsidRPr="009A5185">
        <w:rPr>
          <w:rFonts w:cs="Arial"/>
          <w:lang w:eastAsia="ja-JP"/>
        </w:rPr>
        <w:t xml:space="preserve">None. If substantive changes are made to this section of the Survey after release on April 1, </w:t>
      </w:r>
      <w:r w:rsidR="00A236B1">
        <w:rPr>
          <w:rFonts w:cs="Arial"/>
          <w:lang w:eastAsia="ja-JP"/>
        </w:rPr>
        <w:t>202</w:t>
      </w:r>
      <w:r w:rsidR="002B59CE">
        <w:rPr>
          <w:rFonts w:cs="Arial"/>
          <w:lang w:eastAsia="ja-JP"/>
        </w:rPr>
        <w:t>6</w:t>
      </w:r>
      <w:r w:rsidR="0025210D">
        <w:rPr>
          <w:rFonts w:cs="Arial"/>
          <w:lang w:eastAsia="ja-JP"/>
        </w:rPr>
        <w:t>,</w:t>
      </w:r>
      <w:r w:rsidRPr="009A5185">
        <w:rPr>
          <w:rFonts w:cs="Arial"/>
          <w:lang w:eastAsia="ja-JP"/>
        </w:rPr>
        <w:t xml:space="preserve"> they will be documented in this Change Summary section.</w:t>
      </w:r>
      <w:r w:rsidR="00322E5F" w:rsidRPr="009A5185">
        <w:rPr>
          <w:rFonts w:cs="Arial"/>
          <w:lang w:eastAsia="ja-JP"/>
        </w:rPr>
        <w:br w:type="page"/>
      </w:r>
    </w:p>
    <w:p w14:paraId="7EE94052" w14:textId="46C7DB28" w:rsidR="008507C7" w:rsidRPr="009A5185" w:rsidRDefault="00A35DD6" w:rsidP="00CF5A6E">
      <w:pPr>
        <w:pStyle w:val="Heading2"/>
      </w:pPr>
      <w:bookmarkStart w:id="110" w:name="_Basic_Hospital_Information_1"/>
      <w:bookmarkStart w:id="111" w:name="_Section_1A:_Basic"/>
      <w:bookmarkStart w:id="112" w:name="_Ref123646003"/>
      <w:bookmarkStart w:id="113" w:name="_Ref123646075"/>
      <w:bookmarkStart w:id="114" w:name="_Ref123646082"/>
      <w:bookmarkStart w:id="115" w:name="_Toc225877680"/>
      <w:bookmarkEnd w:id="110"/>
      <w:bookmarkEnd w:id="111"/>
      <w:r>
        <w:rPr>
          <w:rFonts w:cs="Arial"/>
        </w:rPr>
        <w:lastRenderedPageBreak/>
        <w:t>Section 1</w:t>
      </w:r>
      <w:r w:rsidR="00B078B4">
        <w:rPr>
          <w:rFonts w:cs="Arial"/>
        </w:rPr>
        <w:t>A</w:t>
      </w:r>
      <w:r>
        <w:rPr>
          <w:rFonts w:cs="Arial"/>
        </w:rPr>
        <w:t xml:space="preserve">: </w:t>
      </w:r>
      <w:r w:rsidR="00076354" w:rsidRPr="009A5185">
        <w:t>Basic Hospital Information</w:t>
      </w:r>
      <w:r w:rsidR="008507C7" w:rsidRPr="009A5185">
        <w:t xml:space="preserve"> </w:t>
      </w:r>
      <w:r w:rsidR="00DA1B4F">
        <w:t xml:space="preserve">Measure </w:t>
      </w:r>
      <w:r w:rsidR="008507C7" w:rsidRPr="009A5185">
        <w:t>Specifications</w:t>
      </w:r>
      <w:bookmarkEnd w:id="112"/>
      <w:bookmarkEnd w:id="113"/>
      <w:bookmarkEnd w:id="114"/>
      <w:bookmarkEnd w:id="115"/>
      <w:r w:rsidR="008B12D8">
        <w:t xml:space="preserve"> </w:t>
      </w:r>
    </w:p>
    <w:p w14:paraId="55557EE7" w14:textId="77777777" w:rsidR="008507C7" w:rsidRPr="009A5185" w:rsidRDefault="008507C7" w:rsidP="008507C7">
      <w:pPr>
        <w:rPr>
          <w:rFonts w:cs="Arial"/>
          <w:lang w:eastAsia="ja-JP"/>
        </w:rPr>
      </w:pPr>
    </w:p>
    <w:p w14:paraId="7F296970" w14:textId="0CDB1780" w:rsidR="00041FEF" w:rsidRPr="00DE5FD4" w:rsidRDefault="008507C7" w:rsidP="00041FEF">
      <w:pPr>
        <w:rPr>
          <w:rFonts w:cs="Arial"/>
          <w:snapToGrid w:val="0"/>
        </w:rPr>
        <w:sectPr w:rsidR="00041FEF" w:rsidRPr="00DE5FD4" w:rsidSect="00062F69">
          <w:headerReference w:type="default" r:id="rId121"/>
          <w:endnotePr>
            <w:numFmt w:val="decimal"/>
          </w:endnotePr>
          <w:pgSz w:w="12240" w:h="15840"/>
          <w:pgMar w:top="1080" w:right="1440" w:bottom="1080" w:left="1440" w:header="720" w:footer="720" w:gutter="0"/>
          <w:cols w:space="720"/>
          <w:docGrid w:linePitch="272"/>
        </w:sectPr>
      </w:pPr>
      <w:r w:rsidRPr="009A5185">
        <w:rPr>
          <w:rFonts w:cs="Arial"/>
          <w:b/>
          <w:color w:val="FF0000"/>
          <w:lang w:eastAsia="ja-JP"/>
        </w:rPr>
        <w:t>Important Note:</w:t>
      </w:r>
      <w:r w:rsidRPr="009A5185">
        <w:rPr>
          <w:rFonts w:cs="Arial"/>
          <w:color w:val="FF0000"/>
          <w:lang w:eastAsia="ja-JP"/>
        </w:rPr>
        <w:t xml:space="preserve"> </w:t>
      </w:r>
      <w:r w:rsidRPr="009A5185">
        <w:rPr>
          <w:rFonts w:cs="Arial"/>
          <w:snapToGrid w:val="0"/>
        </w:rPr>
        <w:t xml:space="preserve">Hospitals that share a </w:t>
      </w:r>
      <w:r w:rsidR="00522419">
        <w:rPr>
          <w:rFonts w:cs="Arial"/>
          <w:snapToGrid w:val="0"/>
        </w:rPr>
        <w:t>CMS Certification Number</w:t>
      </w:r>
      <w:r w:rsidRPr="009A5185">
        <w:rPr>
          <w:rFonts w:cs="Arial"/>
          <w:snapToGrid w:val="0"/>
        </w:rPr>
        <w:t xml:space="preserve"> are required to report by facility. Please carefully review </w:t>
      </w:r>
      <w:hyperlink r:id="rId122" w:history="1">
        <w:r w:rsidRPr="009A5185">
          <w:rPr>
            <w:rStyle w:val="Hyperlink"/>
            <w:rFonts w:cs="Arial"/>
            <w:snapToGrid w:val="0"/>
          </w:rPr>
          <w:t>Leapfrog’s Multi-Campus Reporting Policy</w:t>
        </w:r>
      </w:hyperlink>
      <w:r w:rsidRPr="009A5185">
        <w:rPr>
          <w:rFonts w:cs="Arial"/>
          <w:snapToGrid w:val="0"/>
        </w:rPr>
        <w:t xml:space="preserve">. </w:t>
      </w:r>
      <w:r w:rsidR="00041FEF" w:rsidRPr="009A5185">
        <w:rPr>
          <w:rFonts w:cs="Arial"/>
          <w:snapToGrid w:val="0"/>
        </w:rPr>
        <w:br/>
      </w:r>
    </w:p>
    <w:p w14:paraId="72BEF6A7" w14:textId="38C18E63" w:rsidR="00041FEF" w:rsidRPr="009A5185" w:rsidRDefault="008507C7" w:rsidP="008507C7">
      <w:pPr>
        <w:rPr>
          <w:rFonts w:cs="Arial"/>
        </w:rPr>
      </w:pPr>
      <w:r w:rsidRPr="009A5185">
        <w:rPr>
          <w:rFonts w:cs="Arial"/>
        </w:rPr>
        <w:t xml:space="preserve">Teaching Status is obtained directly from CDC’s National Healthcare Safety Network (NHSN) using a hospital’s response to the following questions within the “Hospital Facility” section of the </w:t>
      </w:r>
      <w:r w:rsidR="00613BF2">
        <w:rPr>
          <w:rFonts w:cs="Arial"/>
        </w:rPr>
        <w:t>2</w:t>
      </w:r>
      <w:r w:rsidR="00A10EEC">
        <w:rPr>
          <w:rFonts w:cs="Arial"/>
        </w:rPr>
        <w:t>02</w:t>
      </w:r>
      <w:r w:rsidR="00EB0CA2">
        <w:rPr>
          <w:rFonts w:cs="Arial"/>
        </w:rPr>
        <w:t>5</w:t>
      </w:r>
      <w:r w:rsidR="00041FEF" w:rsidRPr="009A5185">
        <w:rPr>
          <w:rFonts w:cs="Arial"/>
        </w:rPr>
        <w:t xml:space="preserve"> Patient Safety Component – Annual Hospital </w:t>
      </w:r>
      <w:r w:rsidR="00C14AFF" w:rsidRPr="009A5185">
        <w:rPr>
          <w:rFonts w:cs="Arial"/>
        </w:rPr>
        <w:t>Survey</w:t>
      </w:r>
      <w:r w:rsidR="00041FEF" w:rsidRPr="009A5185">
        <w:rPr>
          <w:rFonts w:cs="Arial"/>
        </w:rPr>
        <w:t xml:space="preserve">: </w:t>
      </w:r>
    </w:p>
    <w:p w14:paraId="2309665F" w14:textId="77777777" w:rsidR="00041FEF" w:rsidRPr="009A5185" w:rsidRDefault="00041FEF" w:rsidP="008507C7">
      <w:pPr>
        <w:rPr>
          <w:rFonts w:cs="Arial"/>
        </w:rPr>
      </w:pPr>
    </w:p>
    <w:p w14:paraId="3AA90E2C" w14:textId="083DC60B" w:rsidR="008507C7" w:rsidRPr="009A5185" w:rsidRDefault="008507C7" w:rsidP="008507C7">
      <w:pPr>
        <w:rPr>
          <w:rFonts w:cs="Arial"/>
        </w:rPr>
      </w:pPr>
      <w:r w:rsidRPr="009A5185">
        <w:rPr>
          <w:rFonts w:cs="Arial"/>
        </w:rPr>
        <w:t>Is your hospital a teaching hospital for physicians and/or physicians-in-training</w:t>
      </w:r>
      <w:r w:rsidR="00915C63">
        <w:rPr>
          <w:rFonts w:cs="Arial"/>
        </w:rPr>
        <w:t xml:space="preserve"> or nursing students</w:t>
      </w:r>
      <w:r w:rsidRPr="009A5185">
        <w:rPr>
          <w:rFonts w:cs="Arial"/>
        </w:rPr>
        <w:t>? [</w:t>
      </w:r>
      <w:r w:rsidRPr="009A5185">
        <w:rPr>
          <w:rFonts w:cs="Arial"/>
          <w:i/>
        </w:rPr>
        <w:t>Yes, No</w:t>
      </w:r>
      <w:r w:rsidRPr="009A5185">
        <w:rPr>
          <w:rFonts w:cs="Arial"/>
        </w:rPr>
        <w:t>]</w:t>
      </w:r>
    </w:p>
    <w:p w14:paraId="029188A7" w14:textId="618F0BD9" w:rsidR="008507C7" w:rsidRPr="009A5185" w:rsidRDefault="008507C7" w:rsidP="008507C7">
      <w:pPr>
        <w:rPr>
          <w:rFonts w:cs="Arial"/>
        </w:rPr>
      </w:pPr>
      <w:r w:rsidRPr="009A5185">
        <w:rPr>
          <w:rFonts w:cs="Arial"/>
        </w:rPr>
        <w:t>If Yes, what type: [</w:t>
      </w:r>
      <w:r w:rsidRPr="009A5185">
        <w:rPr>
          <w:rFonts w:cs="Arial"/>
          <w:i/>
        </w:rPr>
        <w:t>Major, Graduate, Undergraduate</w:t>
      </w:r>
      <w:r w:rsidRPr="009A5185">
        <w:rPr>
          <w:rFonts w:cs="Arial"/>
        </w:rPr>
        <w:t>]</w:t>
      </w:r>
    </w:p>
    <w:p w14:paraId="7064F061" w14:textId="6F8E18F9" w:rsidR="008860F4" w:rsidRDefault="00DB5F35" w:rsidP="008860F4">
      <w:r w:rsidRPr="00DB5F35">
        <w:t xml:space="preserve"> </w:t>
      </w:r>
    </w:p>
    <w:p w14:paraId="6B66BCCF" w14:textId="24F02EA8" w:rsidR="008860F4" w:rsidRPr="009A5185" w:rsidRDefault="00F97DDE" w:rsidP="008860F4">
      <w:pPr>
        <w:rPr>
          <w:rFonts w:cs="Arial"/>
        </w:rPr>
      </w:pPr>
      <w:r w:rsidRPr="00F97DDE">
        <w:rPr>
          <w:rFonts w:cs="Arial"/>
          <w:noProof/>
        </w:rPr>
        <w:drawing>
          <wp:anchor distT="0" distB="0" distL="114300" distR="114300" simplePos="0" relativeHeight="251658247" behindDoc="0" locked="0" layoutInCell="1" allowOverlap="1" wp14:anchorId="2FB8FF7F" wp14:editId="52D35DCD">
            <wp:simplePos x="0" y="0"/>
            <wp:positionH relativeFrom="column">
              <wp:posOffset>2400935</wp:posOffset>
            </wp:positionH>
            <wp:positionV relativeFrom="paragraph">
              <wp:posOffset>977596</wp:posOffset>
            </wp:positionV>
            <wp:extent cx="256032" cy="137160"/>
            <wp:effectExtent l="0" t="0" r="0" b="0"/>
            <wp:wrapNone/>
            <wp:docPr id="1198236980" name="Picture 1" descr="P1628#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8236980" name="Picture 1" descr="P1628#y1"/>
                    <pic:cNvPicPr/>
                  </pic:nvPicPr>
                  <pic:blipFill>
                    <a:blip r:embed="rId123"/>
                    <a:stretch>
                      <a:fillRect/>
                    </a:stretch>
                  </pic:blipFill>
                  <pic:spPr>
                    <a:xfrm>
                      <a:off x="0" y="0"/>
                      <a:ext cx="256032" cy="137160"/>
                    </a:xfrm>
                    <a:prstGeom prst="rect">
                      <a:avLst/>
                    </a:prstGeom>
                  </pic:spPr>
                </pic:pic>
              </a:graphicData>
            </a:graphic>
            <wp14:sizeRelH relativeFrom="margin">
              <wp14:pctWidth>0</wp14:pctWidth>
            </wp14:sizeRelH>
            <wp14:sizeRelV relativeFrom="margin">
              <wp14:pctHeight>0</wp14:pctHeight>
            </wp14:sizeRelV>
          </wp:anchor>
        </w:drawing>
      </w:r>
      <w:r w:rsidR="008860F4" w:rsidRPr="00093A5A">
        <w:rPr>
          <w:rFonts w:cs="Arial"/>
          <w:noProof/>
        </w:rPr>
        <w:drawing>
          <wp:inline distT="0" distB="0" distL="0" distR="0" wp14:anchorId="689F1BCD" wp14:editId="69219321">
            <wp:extent cx="5943600" cy="3050540"/>
            <wp:effectExtent l="0" t="0" r="0" b="0"/>
            <wp:docPr id="2025767060" name="Picture 2025767060" descr="P162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5767060" name="Picture 2025767060" descr="P1628#yIS1"/>
                    <pic:cNvPicPr/>
                  </pic:nvPicPr>
                  <pic:blipFill>
                    <a:blip r:embed="rId124"/>
                    <a:stretch>
                      <a:fillRect/>
                    </a:stretch>
                  </pic:blipFill>
                  <pic:spPr>
                    <a:xfrm>
                      <a:off x="0" y="0"/>
                      <a:ext cx="5943600" cy="3050540"/>
                    </a:xfrm>
                    <a:prstGeom prst="rect">
                      <a:avLst/>
                    </a:prstGeom>
                  </pic:spPr>
                </pic:pic>
              </a:graphicData>
            </a:graphic>
          </wp:inline>
        </w:drawing>
      </w:r>
    </w:p>
    <w:p w14:paraId="488CBA31" w14:textId="5ED1B8B6" w:rsidR="008D6EDD" w:rsidRPr="009A5185" w:rsidRDefault="008D6EDD" w:rsidP="008507C7">
      <w:pPr>
        <w:rPr>
          <w:rFonts w:cs="Arial"/>
        </w:rPr>
      </w:pPr>
    </w:p>
    <w:p w14:paraId="3F05D077" w14:textId="54531BF4" w:rsidR="008507C7" w:rsidRPr="009A5185" w:rsidRDefault="008507C7" w:rsidP="008507C7">
      <w:pPr>
        <w:rPr>
          <w:rFonts w:cs="Arial"/>
        </w:rPr>
      </w:pPr>
      <w:r w:rsidRPr="009A5185">
        <w:rPr>
          <w:rFonts w:cs="Arial"/>
        </w:rPr>
        <w:t xml:space="preserve">For the purposes of the </w:t>
      </w:r>
      <w:r w:rsidR="00A236B1">
        <w:rPr>
          <w:rFonts w:cs="Arial"/>
        </w:rPr>
        <w:t>202</w:t>
      </w:r>
      <w:r w:rsidR="00422C8E">
        <w:rPr>
          <w:rFonts w:cs="Arial"/>
        </w:rPr>
        <w:t>6</w:t>
      </w:r>
      <w:r w:rsidRPr="009A5185">
        <w:rPr>
          <w:rFonts w:cs="Arial"/>
        </w:rPr>
        <w:t xml:space="preserve"> Leapfrog Hospital </w:t>
      </w:r>
      <w:r w:rsidR="00C14AFF" w:rsidRPr="009A5185">
        <w:rPr>
          <w:rFonts w:cs="Arial"/>
        </w:rPr>
        <w:t>Survey</w:t>
      </w:r>
      <w:r w:rsidRPr="009A5185">
        <w:rPr>
          <w:rFonts w:cs="Arial"/>
        </w:rPr>
        <w:t xml:space="preserve"> and Leapfrog’s </w:t>
      </w:r>
      <w:r w:rsidR="00041FEF" w:rsidRPr="009A5185">
        <w:rPr>
          <w:rFonts w:cs="Arial"/>
        </w:rPr>
        <w:t xml:space="preserve">Top Hospital program, </w:t>
      </w:r>
      <w:r w:rsidRPr="009A5185">
        <w:rPr>
          <w:rFonts w:cs="Arial"/>
        </w:rPr>
        <w:t>Leapfrog will consider the following types</w:t>
      </w:r>
      <w:r w:rsidR="006E46D7">
        <w:rPr>
          <w:rFonts w:cs="Arial"/>
        </w:rPr>
        <w:t xml:space="preserve"> </w:t>
      </w:r>
      <w:r w:rsidRPr="009A5185">
        <w:rPr>
          <w:rFonts w:cs="Arial"/>
        </w:rPr>
        <w:t>a “teaching hospital</w:t>
      </w:r>
      <w:r w:rsidR="00F0093D">
        <w:rPr>
          <w:rFonts w:cs="Arial"/>
        </w:rPr>
        <w:t>:</w:t>
      </w:r>
      <w:r w:rsidRPr="009A5185">
        <w:rPr>
          <w:rFonts w:cs="Arial"/>
        </w:rPr>
        <w:t>” Major and Graduate.</w:t>
      </w:r>
      <w:r w:rsidR="000D18F4">
        <w:rPr>
          <w:rFonts w:cs="Arial"/>
        </w:rPr>
        <w:t xml:space="preserve"> NHSN’s definitions for types of teaching hospitals may be reviewed </w:t>
      </w:r>
      <w:hyperlink r:id="rId125" w:history="1">
        <w:r w:rsidR="000D18F4" w:rsidRPr="00385C41">
          <w:rPr>
            <w:rStyle w:val="Hyperlink"/>
            <w:rFonts w:cs="Arial"/>
          </w:rPr>
          <w:t>here</w:t>
        </w:r>
      </w:hyperlink>
      <w:r w:rsidR="000D18F4">
        <w:rPr>
          <w:rFonts w:cs="Arial"/>
        </w:rPr>
        <w:t>.</w:t>
      </w:r>
      <w:r w:rsidR="00D32024">
        <w:rPr>
          <w:rFonts w:cs="Arial"/>
        </w:rPr>
        <w:t xml:space="preserve"> </w:t>
      </w:r>
      <w:r w:rsidR="008E75BF">
        <w:rPr>
          <w:rFonts w:cs="Arial"/>
        </w:rPr>
        <w:t>This designation will also be used for the purposes of</w:t>
      </w:r>
      <w:r w:rsidR="0012210D">
        <w:rPr>
          <w:rFonts w:cs="Arial"/>
        </w:rPr>
        <w:t xml:space="preserve"> assigning hospitals to</w:t>
      </w:r>
      <w:r w:rsidR="008E1E03">
        <w:rPr>
          <w:rFonts w:cs="Arial"/>
        </w:rPr>
        <w:t xml:space="preserve"> a teaching or non-teaching hospital cohort for the purposes of scoring the </w:t>
      </w:r>
      <w:r w:rsidR="00A3252F" w:rsidRPr="00AA3C5B">
        <w:t>Total Nursing Care Hours per Patient Day</w:t>
      </w:r>
      <w:r w:rsidR="0038604D">
        <w:rPr>
          <w:rFonts w:cs="Arial"/>
        </w:rPr>
        <w:t xml:space="preserve"> and</w:t>
      </w:r>
      <w:r w:rsidR="00A3252F">
        <w:rPr>
          <w:rFonts w:cs="Arial"/>
        </w:rPr>
        <w:t xml:space="preserve"> RN Hours per Patient Day measure</w:t>
      </w:r>
      <w:r w:rsidR="008B5988">
        <w:rPr>
          <w:rFonts w:cs="Arial"/>
        </w:rPr>
        <w:t>s</w:t>
      </w:r>
      <w:r w:rsidR="00A3252F">
        <w:rPr>
          <w:rFonts w:cs="Arial"/>
        </w:rPr>
        <w:t xml:space="preserve"> </w:t>
      </w:r>
      <w:r w:rsidR="008E1E03">
        <w:rPr>
          <w:rFonts w:cs="Arial"/>
        </w:rPr>
        <w:t>in</w:t>
      </w:r>
      <w:r w:rsidR="008E75BF">
        <w:rPr>
          <w:rFonts w:cs="Arial"/>
        </w:rPr>
        <w:t xml:space="preserve"> </w:t>
      </w:r>
      <w:hyperlink w:anchor="_5C:_Nursing_Workforce" w:history="1">
        <w:r w:rsidR="00790DD7">
          <w:rPr>
            <w:rStyle w:val="Hyperlink"/>
            <w:rFonts w:cs="Arial"/>
          </w:rPr>
          <w:t>Section 5C: Nursing Workforce</w:t>
        </w:r>
      </w:hyperlink>
      <w:r w:rsidR="008E75BF">
        <w:rPr>
          <w:rFonts w:cs="Arial"/>
        </w:rPr>
        <w:t>.</w:t>
      </w:r>
    </w:p>
    <w:p w14:paraId="5D1B437D" w14:textId="77777777" w:rsidR="008507C7" w:rsidRPr="009A5185" w:rsidRDefault="008507C7" w:rsidP="008507C7">
      <w:pPr>
        <w:rPr>
          <w:rFonts w:cs="Arial"/>
        </w:rPr>
      </w:pPr>
    </w:p>
    <w:p w14:paraId="79F8FF94" w14:textId="77777777" w:rsidR="00BF40C6" w:rsidRPr="005F772A" w:rsidRDefault="00BF40C6" w:rsidP="00BF40C6">
      <w:pPr>
        <w:rPr>
          <w:rFonts w:cs="Arial"/>
          <w:snapToGrid w:val="0"/>
        </w:rPr>
      </w:pPr>
      <w:r>
        <w:rPr>
          <w:rFonts w:cs="Arial"/>
          <w:snapToGrid w:val="0"/>
        </w:rPr>
        <w:t>I</w:t>
      </w:r>
      <w:r w:rsidRPr="005F772A">
        <w:rPr>
          <w:rFonts w:cs="Arial"/>
          <w:snapToGrid w:val="0"/>
        </w:rPr>
        <w:t xml:space="preserve">n order for Leapfrog to obtain </w:t>
      </w:r>
      <w:r>
        <w:rPr>
          <w:rFonts w:cs="Arial"/>
          <w:snapToGrid w:val="0"/>
        </w:rPr>
        <w:t xml:space="preserve">teaching status </w:t>
      </w:r>
      <w:r w:rsidRPr="005F772A">
        <w:rPr>
          <w:rFonts w:cs="Arial"/>
          <w:snapToGrid w:val="0"/>
        </w:rPr>
        <w:t xml:space="preserve">from NHSN, hospitals must complete the following steps: </w:t>
      </w:r>
    </w:p>
    <w:p w14:paraId="6071C38E" w14:textId="5AC90AA3" w:rsidR="00BF40C6" w:rsidRPr="005F772A" w:rsidRDefault="00BF40C6" w:rsidP="00AD309C">
      <w:pPr>
        <w:pStyle w:val="ListParagraph"/>
        <w:numPr>
          <w:ilvl w:val="0"/>
          <w:numId w:val="122"/>
        </w:numPr>
        <w:rPr>
          <w:rFonts w:cs="Arial"/>
          <w:snapToGrid w:val="0"/>
        </w:rPr>
      </w:pPr>
      <w:r w:rsidRPr="005F772A">
        <w:rPr>
          <w:rFonts w:cs="Arial"/>
          <w:snapToGrid w:val="0"/>
        </w:rPr>
        <w:t>Join Leapfrog’s NHSN Group</w:t>
      </w:r>
      <w:r w:rsidR="003A2B3E">
        <w:rPr>
          <w:rFonts w:cs="Arial"/>
          <w:snapToGrid w:val="0"/>
        </w:rPr>
        <w:t xml:space="preserve"> and review/accept Leapfrog’s Data Rights Template</w:t>
      </w:r>
      <w:r w:rsidRPr="005F772A">
        <w:rPr>
          <w:rFonts w:cs="Arial"/>
          <w:snapToGrid w:val="0"/>
        </w:rPr>
        <w:t xml:space="preserve"> by the published </w:t>
      </w:r>
      <w:hyperlink r:id="rId126" w:history="1">
        <w:r w:rsidRPr="00BF40C6">
          <w:rPr>
            <w:rStyle w:val="Hyperlink"/>
            <w:rFonts w:cs="Arial"/>
            <w:snapToGrid w:val="0"/>
          </w:rPr>
          <w:t>deadlines</w:t>
        </w:r>
      </w:hyperlink>
      <w:r w:rsidR="003A2B3E">
        <w:rPr>
          <w:rFonts w:cs="Arial"/>
          <w:snapToGrid w:val="0"/>
        </w:rPr>
        <w:t>*,</w:t>
      </w:r>
    </w:p>
    <w:p w14:paraId="076802EB" w14:textId="4831C0F8" w:rsidR="00BF40C6" w:rsidRPr="005F772A" w:rsidRDefault="003A2B3E" w:rsidP="00AD309C">
      <w:pPr>
        <w:pStyle w:val="ListParagraph"/>
        <w:numPr>
          <w:ilvl w:val="0"/>
          <w:numId w:val="122"/>
        </w:numPr>
        <w:rPr>
          <w:rFonts w:cs="Arial"/>
          <w:snapToGrid w:val="0"/>
        </w:rPr>
      </w:pPr>
      <w:r>
        <w:rPr>
          <w:rFonts w:cs="Arial"/>
          <w:snapToGrid w:val="0"/>
        </w:rPr>
        <w:t>Enter a valid</w:t>
      </w:r>
      <w:r w:rsidR="00BF40C6" w:rsidRPr="005F772A">
        <w:rPr>
          <w:rFonts w:cs="Arial"/>
          <w:snapToGrid w:val="0"/>
        </w:rPr>
        <w:t xml:space="preserve"> NHSN ID in the Profile</w:t>
      </w:r>
      <w:r w:rsidR="00BF40C6">
        <w:rPr>
          <w:rFonts w:cs="Arial"/>
          <w:snapToGrid w:val="0"/>
        </w:rPr>
        <w:t xml:space="preserve"> of the</w:t>
      </w:r>
      <w:r>
        <w:rPr>
          <w:rFonts w:cs="Arial"/>
          <w:snapToGrid w:val="0"/>
        </w:rPr>
        <w:t>ir 202</w:t>
      </w:r>
      <w:r w:rsidR="00422C8E">
        <w:rPr>
          <w:rFonts w:cs="Arial"/>
          <w:snapToGrid w:val="0"/>
        </w:rPr>
        <w:t>6</w:t>
      </w:r>
      <w:r>
        <w:rPr>
          <w:rFonts w:cs="Arial"/>
          <w:snapToGrid w:val="0"/>
        </w:rPr>
        <w:t xml:space="preserve"> Leapfrog Hospital Survey</w:t>
      </w:r>
      <w:r w:rsidR="00BF40C6" w:rsidRPr="005F772A">
        <w:rPr>
          <w:rFonts w:cs="Arial"/>
          <w:snapToGrid w:val="0"/>
        </w:rPr>
        <w:t>,</w:t>
      </w:r>
    </w:p>
    <w:p w14:paraId="4054AD79" w14:textId="6EB34158" w:rsidR="003E0089" w:rsidRDefault="003E0089" w:rsidP="00AD309C">
      <w:pPr>
        <w:pStyle w:val="ListParagraph"/>
        <w:numPr>
          <w:ilvl w:val="0"/>
          <w:numId w:val="122"/>
        </w:numPr>
        <w:rPr>
          <w:rFonts w:cs="Arial"/>
          <w:snapToGrid w:val="0"/>
        </w:rPr>
      </w:pPr>
      <w:r>
        <w:rPr>
          <w:rFonts w:cs="Arial"/>
          <w:snapToGrid w:val="0"/>
        </w:rPr>
        <w:t>Answer “yes” to question #1 in Section 7B, and</w:t>
      </w:r>
    </w:p>
    <w:p w14:paraId="31B3FC26" w14:textId="3741FBD1" w:rsidR="00BF40C6" w:rsidRDefault="003B7586" w:rsidP="00AD309C">
      <w:pPr>
        <w:pStyle w:val="ListParagraph"/>
        <w:numPr>
          <w:ilvl w:val="0"/>
          <w:numId w:val="122"/>
        </w:numPr>
        <w:rPr>
          <w:rFonts w:cs="Arial"/>
          <w:snapToGrid w:val="0"/>
        </w:rPr>
      </w:pPr>
      <w:r>
        <w:rPr>
          <w:rFonts w:cs="Arial"/>
          <w:snapToGrid w:val="0"/>
        </w:rPr>
        <w:t>Submit a 202</w:t>
      </w:r>
      <w:r w:rsidR="00422C8E">
        <w:rPr>
          <w:rFonts w:cs="Arial"/>
          <w:snapToGrid w:val="0"/>
        </w:rPr>
        <w:t>6</w:t>
      </w:r>
      <w:r>
        <w:rPr>
          <w:rFonts w:cs="Arial"/>
          <w:snapToGrid w:val="0"/>
        </w:rPr>
        <w:t xml:space="preserve"> Leapfrog Hospital Survey </w:t>
      </w:r>
      <w:r w:rsidR="003A2B3E">
        <w:rPr>
          <w:rFonts w:cs="Arial"/>
          <w:snapToGrid w:val="0"/>
        </w:rPr>
        <w:t xml:space="preserve">by the published </w:t>
      </w:r>
      <w:hyperlink r:id="rId127" w:history="1">
        <w:r w:rsidR="003A2B3E" w:rsidRPr="00BF40C6">
          <w:rPr>
            <w:rStyle w:val="Hyperlink"/>
            <w:rFonts w:cs="Arial"/>
            <w:snapToGrid w:val="0"/>
          </w:rPr>
          <w:t>deadlines</w:t>
        </w:r>
      </w:hyperlink>
      <w:r w:rsidR="003A2B3E">
        <w:rPr>
          <w:rFonts w:cs="Arial"/>
          <w:snapToGrid w:val="0"/>
        </w:rPr>
        <w:t>.</w:t>
      </w:r>
    </w:p>
    <w:p w14:paraId="46A19915" w14:textId="77777777" w:rsidR="003A2B3E" w:rsidRPr="003A2B3E" w:rsidRDefault="003A2B3E" w:rsidP="00334778">
      <w:pPr>
        <w:pStyle w:val="ListParagraph"/>
        <w:rPr>
          <w:rFonts w:cs="Arial"/>
          <w:snapToGrid w:val="0"/>
        </w:rPr>
      </w:pPr>
    </w:p>
    <w:p w14:paraId="60DD1A1D" w14:textId="0FD0646F" w:rsidR="00BF40C6" w:rsidRDefault="00BF40C6" w:rsidP="00BF40C6">
      <w:r w:rsidRPr="009A5185">
        <w:rPr>
          <w:rFonts w:cs="Arial"/>
        </w:rPr>
        <w:t xml:space="preserve">*Hospitals are not required to “re-join” </w:t>
      </w:r>
      <w:r w:rsidRPr="005F772A">
        <w:rPr>
          <w:rFonts w:cs="Arial"/>
        </w:rPr>
        <w:t xml:space="preserve">Leapfrog’s NHSN Group if they joined and conferred rights </w:t>
      </w:r>
      <w:r w:rsidR="009E60E9">
        <w:rPr>
          <w:rFonts w:cs="Arial"/>
        </w:rPr>
        <w:t>in previous</w:t>
      </w:r>
      <w:r w:rsidRPr="005F772A">
        <w:rPr>
          <w:rFonts w:cs="Arial"/>
        </w:rPr>
        <w:t xml:space="preserve"> Leapfrog Hospital Survey</w:t>
      </w:r>
      <w:r w:rsidR="009E60E9">
        <w:rPr>
          <w:rFonts w:cs="Arial"/>
        </w:rPr>
        <w:t xml:space="preserve"> Cycles</w:t>
      </w:r>
      <w:r w:rsidRPr="005F772A">
        <w:rPr>
          <w:rFonts w:cs="Arial"/>
        </w:rPr>
        <w:t xml:space="preserve">. However, </w:t>
      </w:r>
      <w:r w:rsidRPr="005F772A">
        <w:t xml:space="preserve">all hospitals in Leapfrog’s NHSN Group must review their </w:t>
      </w:r>
      <w:r w:rsidR="0087504A">
        <w:t xml:space="preserve">Data </w:t>
      </w:r>
      <w:r w:rsidRPr="005F772A">
        <w:t xml:space="preserve">Rights </w:t>
      </w:r>
      <w:r w:rsidR="0087504A">
        <w:t>Template</w:t>
      </w:r>
      <w:r w:rsidRPr="005F772A">
        <w:t xml:space="preserve"> </w:t>
      </w:r>
      <w:r w:rsidR="00D968A4">
        <w:t xml:space="preserve">at least </w:t>
      </w:r>
      <w:r w:rsidRPr="005F772A">
        <w:t>annually</w:t>
      </w:r>
      <w:r w:rsidR="000606EB">
        <w:t xml:space="preserve"> by the published </w:t>
      </w:r>
      <w:hyperlink r:id="rId128" w:history="1">
        <w:r w:rsidR="000606EB" w:rsidRPr="000606EB">
          <w:rPr>
            <w:rStyle w:val="Hyperlink"/>
          </w:rPr>
          <w:t>join-by d</w:t>
        </w:r>
        <w:r w:rsidR="00590C84">
          <w:rPr>
            <w:rStyle w:val="Hyperlink"/>
          </w:rPr>
          <w:t>eadline</w:t>
        </w:r>
        <w:r w:rsidR="000606EB" w:rsidRPr="000606EB">
          <w:rPr>
            <w:rStyle w:val="Hyperlink"/>
          </w:rPr>
          <w:t>s</w:t>
        </w:r>
      </w:hyperlink>
      <w:r w:rsidR="00E74FE3">
        <w:rPr>
          <w:b/>
          <w:bCs/>
        </w:rPr>
        <w:t>.</w:t>
      </w:r>
    </w:p>
    <w:p w14:paraId="1D3FC259" w14:textId="77777777" w:rsidR="008507C7" w:rsidRPr="009A5185" w:rsidRDefault="008507C7" w:rsidP="008507C7">
      <w:pPr>
        <w:rPr>
          <w:rFonts w:cs="Arial"/>
        </w:rPr>
      </w:pPr>
    </w:p>
    <w:p w14:paraId="5F5037C3" w14:textId="44B8DCAD" w:rsidR="00591C4B" w:rsidRPr="003A2B3E" w:rsidRDefault="00DE5FD4">
      <w:pPr>
        <w:rPr>
          <w:lang w:eastAsia="ja-JP"/>
        </w:rPr>
      </w:pPr>
      <w:r w:rsidRPr="0083001C">
        <w:rPr>
          <w:lang w:eastAsia="ja-JP"/>
        </w:rPr>
        <w:t xml:space="preserve">Instructions </w:t>
      </w:r>
      <w:r>
        <w:rPr>
          <w:lang w:eastAsia="ja-JP"/>
        </w:rPr>
        <w:t xml:space="preserve">for joining or verifying that you are in Leapfrog’s NHSN Group are available </w:t>
      </w:r>
      <w:hyperlink r:id="rId129" w:history="1">
        <w:r w:rsidRPr="002C6747">
          <w:rPr>
            <w:rStyle w:val="Hyperlink"/>
            <w:lang w:eastAsia="ja-JP"/>
          </w:rPr>
          <w:t>here</w:t>
        </w:r>
      </w:hyperlink>
      <w:r w:rsidRPr="0083001C">
        <w:rPr>
          <w:lang w:eastAsia="ja-JP"/>
        </w:rPr>
        <w:t xml:space="preserve"> </w:t>
      </w:r>
      <w:r w:rsidRPr="0083001C">
        <w:t>(</w:t>
      </w:r>
      <w:r>
        <w:t xml:space="preserve">See </w:t>
      </w:r>
      <w:r w:rsidRPr="0083001C">
        <w:t>“</w:t>
      </w:r>
      <w:r w:rsidR="003A2B3E" w:rsidRPr="003A2B3E">
        <w:t>NHSN Guidance: Join the Group, Data Rights Template, and Downloading Reports</w:t>
      </w:r>
      <w:r w:rsidRPr="0083001C">
        <w:t>”)</w:t>
      </w:r>
      <w:r>
        <w:t>.</w:t>
      </w:r>
      <w:r w:rsidR="003A2B3E">
        <w:t xml:space="preserve"> These instructions also include information for verifying the </w:t>
      </w:r>
      <w:r w:rsidR="003A2B3E" w:rsidRPr="009A5185">
        <w:rPr>
          <w:rFonts w:cs="Arial"/>
        </w:rPr>
        <w:t xml:space="preserve">teaching status response to the </w:t>
      </w:r>
      <w:r w:rsidR="003A2B3E">
        <w:rPr>
          <w:rFonts w:cs="Arial"/>
        </w:rPr>
        <w:t>202</w:t>
      </w:r>
      <w:r w:rsidR="0038604D">
        <w:rPr>
          <w:rFonts w:cs="Arial"/>
        </w:rPr>
        <w:t>5</w:t>
      </w:r>
      <w:r w:rsidR="003A2B3E" w:rsidRPr="009A5185">
        <w:rPr>
          <w:rFonts w:cs="Arial"/>
        </w:rPr>
        <w:t xml:space="preserve"> Patient Safety Component – Annual Hospital Survey</w:t>
      </w:r>
      <w:r w:rsidR="003A2B3E">
        <w:rPr>
          <w:lang w:eastAsia="ja-JP"/>
        </w:rPr>
        <w:t>.</w:t>
      </w:r>
      <w:r w:rsidR="00591C4B">
        <w:rPr>
          <w:rFonts w:cs="Arial"/>
        </w:rPr>
        <w:br w:type="page"/>
      </w:r>
    </w:p>
    <w:p w14:paraId="23782DFA" w14:textId="779B44A1" w:rsidR="00591C4B" w:rsidRPr="009A5185" w:rsidRDefault="00E46668" w:rsidP="00CF5A6E">
      <w:pPr>
        <w:pStyle w:val="Heading2"/>
      </w:pPr>
      <w:bookmarkStart w:id="116" w:name="_Section_1B:_Person-Centered"/>
      <w:bookmarkStart w:id="117" w:name="_Toc225877681"/>
      <w:bookmarkEnd w:id="116"/>
      <w:r>
        <w:lastRenderedPageBreak/>
        <w:t xml:space="preserve">Section 1: </w:t>
      </w:r>
      <w:r w:rsidR="00AB508D">
        <w:t xml:space="preserve">Patient Rights and Ethics </w:t>
      </w:r>
      <w:r w:rsidR="00D43442">
        <w:t>Frequently Asked Questions</w:t>
      </w:r>
      <w:r w:rsidR="0003005A">
        <w:t xml:space="preserve"> (FAQs)</w:t>
      </w:r>
      <w:bookmarkEnd w:id="117"/>
    </w:p>
    <w:p w14:paraId="148F075F" w14:textId="77777777" w:rsidR="00591C4B" w:rsidRPr="00A26035" w:rsidRDefault="00591C4B">
      <w:pPr>
        <w:rPr>
          <w:rFonts w:cs="Arial"/>
        </w:rPr>
      </w:pPr>
    </w:p>
    <w:p w14:paraId="112F7BB0" w14:textId="6F5B5212" w:rsidR="00C42E0E" w:rsidRPr="00A26035" w:rsidRDefault="0038726A" w:rsidP="00AB5B80">
      <w:pPr>
        <w:pStyle w:val="Heading3"/>
        <w:rPr>
          <w:sz w:val="20"/>
          <w:szCs w:val="20"/>
        </w:rPr>
      </w:pPr>
      <w:bookmarkStart w:id="118" w:name="negotiatedcharge"/>
      <w:bookmarkStart w:id="119" w:name="_Toc225877682"/>
      <w:bookmarkEnd w:id="118"/>
      <w:r>
        <w:t>Basic Hospital Information</w:t>
      </w:r>
      <w:r w:rsidR="00B078B4">
        <w:t xml:space="preserve"> FAQs</w:t>
      </w:r>
      <w:bookmarkEnd w:id="119"/>
      <w:r w:rsidR="00C8002F">
        <w:br/>
      </w:r>
    </w:p>
    <w:p w14:paraId="6EC54CB2" w14:textId="3F103CED" w:rsidR="0038726A" w:rsidRPr="008A39A1" w:rsidRDefault="0038726A" w:rsidP="00AD309C">
      <w:pPr>
        <w:pStyle w:val="ListParagraph"/>
        <w:numPr>
          <w:ilvl w:val="0"/>
          <w:numId w:val="114"/>
        </w:numPr>
        <w:spacing w:line="264" w:lineRule="auto"/>
        <w:rPr>
          <w:b/>
        </w:rPr>
      </w:pPr>
      <w:r w:rsidRPr="008A39A1">
        <w:rPr>
          <w:b/>
        </w:rPr>
        <w:t xml:space="preserve">How does Leapfrog define board certified and board eligible? </w:t>
      </w:r>
    </w:p>
    <w:p w14:paraId="221C42B9" w14:textId="77777777" w:rsidR="0038726A" w:rsidRPr="00A53818" w:rsidRDefault="0038726A" w:rsidP="0038726A">
      <w:pPr>
        <w:ind w:left="360"/>
        <w:contextualSpacing/>
        <w:rPr>
          <w:rFonts w:cs="Arial"/>
        </w:rPr>
      </w:pPr>
      <w:r w:rsidRPr="00A53818">
        <w:rPr>
          <w:rFonts w:cs="Arial"/>
        </w:rPr>
        <w:t>For physicians:</w:t>
      </w:r>
    </w:p>
    <w:p w14:paraId="31388900" w14:textId="77777777" w:rsidR="0038726A" w:rsidRPr="00A53818" w:rsidRDefault="0038726A" w:rsidP="00AD309C">
      <w:pPr>
        <w:pStyle w:val="ListParagraph"/>
        <w:numPr>
          <w:ilvl w:val="0"/>
          <w:numId w:val="115"/>
        </w:numPr>
        <w:spacing w:after="120"/>
        <w:ind w:left="576"/>
        <w:rPr>
          <w:rFonts w:cs="Arial"/>
        </w:rPr>
      </w:pPr>
      <w:r w:rsidRPr="00A53818">
        <w:rPr>
          <w:rFonts w:cs="Arial"/>
          <w:u w:val="single"/>
        </w:rPr>
        <w:t>Board certified</w:t>
      </w:r>
      <w:r w:rsidRPr="00A53818">
        <w:rPr>
          <w:rFonts w:cs="Arial"/>
        </w:rPr>
        <w:t xml:space="preserve"> means that the physician has been awarded certification from the American Board of Medical Specialties (ABMS)</w:t>
      </w:r>
      <w:r>
        <w:rPr>
          <w:rFonts w:cs="Arial"/>
        </w:rPr>
        <w:t xml:space="preserve"> or</w:t>
      </w:r>
      <w:r w:rsidRPr="000E0348">
        <w:rPr>
          <w:rFonts w:cs="Arial"/>
        </w:rPr>
        <w:t xml:space="preserve"> the American </w:t>
      </w:r>
      <w:r>
        <w:rPr>
          <w:rFonts w:cs="Arial"/>
        </w:rPr>
        <w:t>Osteopathic Association (AOA).</w:t>
      </w:r>
    </w:p>
    <w:p w14:paraId="60EC9E03" w14:textId="3E459257" w:rsidR="0038726A" w:rsidRPr="00A53818" w:rsidRDefault="0038726A" w:rsidP="00AD309C">
      <w:pPr>
        <w:pStyle w:val="ListParagraph"/>
        <w:numPr>
          <w:ilvl w:val="0"/>
          <w:numId w:val="115"/>
        </w:numPr>
        <w:ind w:left="576"/>
        <w:rPr>
          <w:rFonts w:cs="Arial"/>
        </w:rPr>
      </w:pPr>
      <w:r w:rsidRPr="00A53818">
        <w:rPr>
          <w:rFonts w:cs="Arial"/>
          <w:u w:val="single"/>
        </w:rPr>
        <w:t>Board eligible</w:t>
      </w:r>
      <w:r w:rsidRPr="00A53818">
        <w:rPr>
          <w:rFonts w:cs="Arial"/>
        </w:rPr>
        <w:t xml:space="preserve"> indicates that the physician has completed their initial training</w:t>
      </w:r>
      <w:r>
        <w:rPr>
          <w:rFonts w:cs="Arial"/>
        </w:rPr>
        <w:t>/</w:t>
      </w:r>
      <w:r w:rsidRPr="00A53818">
        <w:rPr>
          <w:rFonts w:cs="Arial"/>
        </w:rPr>
        <w:t>fellowship but has not yet passed an existing board-certifying exam in a specialty. Leapfrog adheres to the ABMS</w:t>
      </w:r>
      <w:r>
        <w:rPr>
          <w:rFonts w:cs="Arial"/>
        </w:rPr>
        <w:t xml:space="preserve"> and AOA</w:t>
      </w:r>
      <w:r w:rsidRPr="00A53818">
        <w:rPr>
          <w:rFonts w:cs="Arial"/>
        </w:rPr>
        <w:t xml:space="preserve"> Board Eligibility Policy for all specialties, which may be reviewed here: </w:t>
      </w:r>
      <w:hyperlink r:id="rId130" w:history="1">
        <w:r w:rsidR="00F73162" w:rsidRPr="006A4570">
          <w:rPr>
            <w:rStyle w:val="Hyperlink"/>
          </w:rPr>
          <w:t>https://www.abms.org/board-certification/board-certification-requirements/board-eligibility/</w:t>
        </w:r>
      </w:hyperlink>
      <w:r w:rsidR="00F73162">
        <w:t xml:space="preserve"> </w:t>
      </w:r>
      <w:r w:rsidRPr="000E0348">
        <w:rPr>
          <w:rFonts w:cs="Arial"/>
        </w:rPr>
        <w:t xml:space="preserve">and </w:t>
      </w:r>
      <w:hyperlink r:id="rId131" w:history="1">
        <w:r w:rsidRPr="00E045BD">
          <w:rPr>
            <w:rStyle w:val="Hyperlink"/>
            <w:rFonts w:cs="Arial"/>
          </w:rPr>
          <w:t>https://certification.osteopathic.org/about/</w:t>
        </w:r>
      </w:hyperlink>
      <w:r w:rsidRPr="000E0348">
        <w:rPr>
          <w:rFonts w:cs="Arial"/>
        </w:rPr>
        <w:t>, respectively</w:t>
      </w:r>
      <w:r>
        <w:rPr>
          <w:rFonts w:cs="Arial"/>
        </w:rPr>
        <w:t>.</w:t>
      </w:r>
      <w:r w:rsidRPr="00A53818">
        <w:rPr>
          <w:rFonts w:cs="Arial"/>
        </w:rPr>
        <w:t xml:space="preserve"> These eligibility periods provide the physician with an adequate window to take </w:t>
      </w:r>
      <w:r w:rsidR="00D016B4">
        <w:rPr>
          <w:rFonts w:cs="Arial"/>
        </w:rPr>
        <w:t>their</w:t>
      </w:r>
      <w:r w:rsidRPr="00A53818">
        <w:rPr>
          <w:rFonts w:cs="Arial"/>
        </w:rPr>
        <w:t xml:space="preserve"> boards and re-take if necessary. </w:t>
      </w:r>
    </w:p>
    <w:p w14:paraId="7076D132" w14:textId="77777777" w:rsidR="0038726A" w:rsidRPr="00A26035" w:rsidRDefault="0038726A" w:rsidP="0038726A">
      <w:pPr>
        <w:ind w:left="144"/>
      </w:pPr>
    </w:p>
    <w:p w14:paraId="03AC4470" w14:textId="77777777" w:rsidR="00355191" w:rsidRDefault="0038726A" w:rsidP="004D1420">
      <w:pPr>
        <w:ind w:left="360"/>
      </w:pPr>
      <w:r>
        <w:t>For CRNAs</w:t>
      </w:r>
      <w:r w:rsidR="004D1420">
        <w:t xml:space="preserve">, </w:t>
      </w:r>
      <w:r w:rsidR="004D1420">
        <w:rPr>
          <w:u w:val="single"/>
        </w:rPr>
        <w:t>b</w:t>
      </w:r>
      <w:r w:rsidRPr="004D1420">
        <w:rPr>
          <w:u w:val="single"/>
        </w:rPr>
        <w:t>oard certified</w:t>
      </w:r>
      <w:r>
        <w:t xml:space="preserve"> means that the RN has been awarded certification from The National Board of Certification and Recertification for Nurse Anesthetists (NBCRNA). </w:t>
      </w:r>
    </w:p>
    <w:p w14:paraId="68D0EDD4" w14:textId="77777777" w:rsidR="00355191" w:rsidRDefault="00355191" w:rsidP="004D1420">
      <w:pPr>
        <w:ind w:left="360"/>
      </w:pPr>
    </w:p>
    <w:p w14:paraId="3FF55592" w14:textId="3516B9A5" w:rsidR="000978BF" w:rsidRPr="001F2388" w:rsidRDefault="000978BF" w:rsidP="00AD309C">
      <w:pPr>
        <w:pStyle w:val="ListParagraph"/>
        <w:numPr>
          <w:ilvl w:val="0"/>
          <w:numId w:val="114"/>
        </w:numPr>
        <w:rPr>
          <w:rFonts w:ascii="Aptos" w:hAnsi="Aptos"/>
          <w:b/>
          <w:bCs/>
        </w:rPr>
      </w:pPr>
      <w:bookmarkStart w:id="120" w:name="ReportConcerns"/>
      <w:r w:rsidRPr="001F2388">
        <w:rPr>
          <w:b/>
          <w:bCs/>
        </w:rPr>
        <w:t xml:space="preserve">Regarding clinicians’ role in the rapid response team, can we require that activation of the rapid response team be mediated by a clinical professional, such as a nurse? What </w:t>
      </w:r>
      <w:r w:rsidR="00803BF0" w:rsidRPr="001F2388">
        <w:rPr>
          <w:b/>
          <w:bCs/>
        </w:rPr>
        <w:t>training</w:t>
      </w:r>
      <w:r w:rsidRPr="001F2388">
        <w:rPr>
          <w:b/>
          <w:bCs/>
        </w:rPr>
        <w:t xml:space="preserve"> do clinicians need to have to respond to a request for a rapid response team?</w:t>
      </w:r>
    </w:p>
    <w:p w14:paraId="71D1DBB7" w14:textId="5FB04494" w:rsidR="0038726A" w:rsidRDefault="000978BF" w:rsidP="00170001">
      <w:pPr>
        <w:ind w:left="360"/>
      </w:pPr>
      <w:r>
        <w:t xml:space="preserve">The rapid response team should be able to be directly activated by the patient themselves, as opposed to through a clinical staff intermediary. Regarding the training program, Leapfrog only requires that clinicians be trained to recognize when a patient or family caregiver is asking for an evaluation by a rapid response team and be trained on how to conduct the evaluation if they are part of the rapid response team. </w:t>
      </w:r>
      <w:r w:rsidR="008A67B5" w:rsidRPr="000945D9">
        <w:t xml:space="preserve">Program examples include </w:t>
      </w:r>
      <w:hyperlink r:id="rId132" w:history="1">
        <w:r w:rsidR="008A67B5" w:rsidRPr="000945D9">
          <w:rPr>
            <w:rStyle w:val="Hyperlink"/>
          </w:rPr>
          <w:t>Condition Help</w:t>
        </w:r>
      </w:hyperlink>
      <w:r w:rsidR="008A67B5" w:rsidRPr="000945D9">
        <w:t xml:space="preserve"> at the University of Pittsburgh Medical Center and a program at </w:t>
      </w:r>
      <w:hyperlink r:id="rId133" w:history="1">
        <w:proofErr w:type="spellStart"/>
        <w:r w:rsidR="008A67B5" w:rsidRPr="000945D9">
          <w:rPr>
            <w:rStyle w:val="Hyperlink"/>
          </w:rPr>
          <w:t>MonHealth</w:t>
        </w:r>
        <w:proofErr w:type="spellEnd"/>
        <w:r w:rsidR="008A67B5" w:rsidRPr="000945D9">
          <w:rPr>
            <w:rStyle w:val="Hyperlink"/>
          </w:rPr>
          <w:t xml:space="preserve"> Medical Center</w:t>
        </w:r>
      </w:hyperlink>
      <w:r w:rsidR="008A67B5" w:rsidRPr="000945D9">
        <w:t>.</w:t>
      </w:r>
      <w:bookmarkEnd w:id="120"/>
      <w:r w:rsidR="00C8002F">
        <w:br/>
      </w:r>
    </w:p>
    <w:p w14:paraId="3046412A" w14:textId="3BF26ABF" w:rsidR="00147C67" w:rsidRPr="008C44B3" w:rsidRDefault="006D304F" w:rsidP="00AB5B80">
      <w:pPr>
        <w:pStyle w:val="Heading3"/>
      </w:pPr>
      <w:bookmarkStart w:id="121" w:name="_Person-Centered_Care:_Billing"/>
      <w:bookmarkStart w:id="122" w:name="_Ref123646360"/>
      <w:bookmarkStart w:id="123" w:name="_Toc225877683"/>
      <w:bookmarkEnd w:id="121"/>
      <w:r>
        <w:t>Billing Ethics</w:t>
      </w:r>
      <w:bookmarkStart w:id="124" w:name="real_cash_prices"/>
      <w:bookmarkStart w:id="125" w:name="common_shoppable_services"/>
      <w:bookmarkStart w:id="126" w:name="hc_professionals"/>
      <w:bookmarkStart w:id="127" w:name="outofnetwork"/>
      <w:bookmarkStart w:id="128" w:name="balance_bill"/>
      <w:bookmarkStart w:id="129" w:name="legalaction"/>
      <w:bookmarkEnd w:id="122"/>
      <w:bookmarkEnd w:id="124"/>
      <w:bookmarkEnd w:id="125"/>
      <w:bookmarkEnd w:id="126"/>
      <w:bookmarkEnd w:id="127"/>
      <w:bookmarkEnd w:id="128"/>
      <w:bookmarkEnd w:id="129"/>
      <w:r w:rsidR="00B078B4">
        <w:t xml:space="preserve"> FAQs</w:t>
      </w:r>
      <w:bookmarkEnd w:id="123"/>
    </w:p>
    <w:p w14:paraId="51ED31C9" w14:textId="77777777" w:rsidR="00C62199" w:rsidRPr="009617F5" w:rsidRDefault="00C62199" w:rsidP="00AD309C">
      <w:pPr>
        <w:pStyle w:val="ListParagraph"/>
        <w:numPr>
          <w:ilvl w:val="0"/>
          <w:numId w:val="114"/>
        </w:numPr>
        <w:spacing w:before="200" w:after="200"/>
        <w:rPr>
          <w:rFonts w:eastAsia="Avenir" w:cstheme="minorHAnsi"/>
          <w:b/>
          <w:bCs/>
        </w:rPr>
      </w:pPr>
      <w:r w:rsidRPr="009617F5">
        <w:rPr>
          <w:rFonts w:eastAsia="Avenir" w:cstheme="minorHAnsi"/>
          <w:b/>
          <w:bCs/>
        </w:rPr>
        <w:t>Can we consider information provided to patients at admission, or as part of the “conditions of admission” packet of material, as information that meets one or more of the elements of the billing statement in question #1?</w:t>
      </w:r>
    </w:p>
    <w:p w14:paraId="139BD30D" w14:textId="73F40797" w:rsidR="00C62199" w:rsidRPr="00C55770" w:rsidRDefault="00C62199" w:rsidP="00C55770">
      <w:pPr>
        <w:pStyle w:val="ListParagraph"/>
        <w:spacing w:before="200" w:after="200"/>
        <w:ind w:left="360"/>
        <w:rPr>
          <w:rFonts w:eastAsia="Avenir" w:cstheme="minorHAnsi"/>
        </w:rPr>
      </w:pPr>
      <w:r w:rsidRPr="00C55770">
        <w:rPr>
          <w:rFonts w:eastAsia="Avenir" w:cstheme="minorHAnsi"/>
        </w:rPr>
        <w:t xml:space="preserve">No. Only information provided </w:t>
      </w:r>
      <w:r w:rsidR="00C943F1" w:rsidRPr="00C55770">
        <w:rPr>
          <w:rFonts w:eastAsia="Avenir" w:cstheme="minorHAnsi"/>
        </w:rPr>
        <w:t xml:space="preserve">directly to the patient </w:t>
      </w:r>
      <w:r w:rsidRPr="00C55770">
        <w:rPr>
          <w:rFonts w:eastAsia="Avenir" w:cstheme="minorHAnsi"/>
        </w:rPr>
        <w:t xml:space="preserve">by mail or electronically (via </w:t>
      </w:r>
      <w:r w:rsidR="00355191" w:rsidRPr="00C55770">
        <w:rPr>
          <w:rFonts w:eastAsia="Avenir" w:cstheme="minorHAnsi"/>
        </w:rPr>
        <w:t xml:space="preserve">email </w:t>
      </w:r>
      <w:r w:rsidRPr="00C55770">
        <w:rPr>
          <w:rFonts w:eastAsia="Avenir" w:cstheme="minorHAnsi"/>
        </w:rPr>
        <w:t>or</w:t>
      </w:r>
      <w:r w:rsidR="00552735" w:rsidRPr="00C55770">
        <w:rPr>
          <w:rFonts w:eastAsia="Avenir" w:cstheme="minorHAnsi"/>
        </w:rPr>
        <w:t xml:space="preserve"> </w:t>
      </w:r>
      <w:r w:rsidRPr="00C55770">
        <w:rPr>
          <w:rFonts w:eastAsia="Avenir" w:cstheme="minorHAnsi"/>
        </w:rPr>
        <w:t>the patient portal) can be considered.</w:t>
      </w:r>
      <w:r w:rsidR="00552735" w:rsidRPr="00C55770">
        <w:rPr>
          <w:rFonts w:eastAsia="Avenir" w:cstheme="minorHAnsi"/>
        </w:rPr>
        <w:t xml:space="preserve"> </w:t>
      </w:r>
    </w:p>
    <w:p w14:paraId="297B4C18" w14:textId="77777777" w:rsidR="001338DC" w:rsidRPr="004D1420" w:rsidRDefault="001338DC" w:rsidP="004D1420">
      <w:pPr>
        <w:pStyle w:val="ListParagraph"/>
        <w:spacing w:before="200" w:after="200"/>
        <w:ind w:left="360"/>
        <w:rPr>
          <w:bCs/>
        </w:rPr>
      </w:pPr>
    </w:p>
    <w:p w14:paraId="7364B2AA" w14:textId="3AC00BE7" w:rsidR="00831BE5" w:rsidRPr="0003224D" w:rsidRDefault="003D4E88" w:rsidP="00AD309C">
      <w:pPr>
        <w:pStyle w:val="ListParagraph"/>
        <w:numPr>
          <w:ilvl w:val="0"/>
          <w:numId w:val="114"/>
        </w:numPr>
        <w:spacing w:before="200" w:after="200"/>
        <w:rPr>
          <w:bCs/>
        </w:rPr>
      </w:pPr>
      <w:r w:rsidRPr="003D4E88">
        <w:rPr>
          <w:rFonts w:eastAsia="Avenir" w:cstheme="minorHAnsi"/>
          <w:b/>
          <w:bCs/>
        </w:rPr>
        <w:t xml:space="preserve">To meet the criteria for item “i” in question #1, does our hospital have to translate the billing statement and/or master itemized bill to every language spoken by our patients? </w:t>
      </w:r>
      <w:r w:rsidR="00F76803">
        <w:rPr>
          <w:rFonts w:eastAsia="Avenir" w:cstheme="minorHAnsi"/>
          <w:b/>
          <w:bCs/>
        </w:rPr>
        <w:br/>
      </w:r>
      <w:r w:rsidR="00B7495D" w:rsidRPr="00C67A5E">
        <w:t>Hospitals must provide instructions, in the patient’s pr</w:t>
      </w:r>
      <w:r w:rsidR="00B7495D">
        <w:t>eferred</w:t>
      </w:r>
      <w:r w:rsidR="00B7495D" w:rsidRPr="00C67A5E">
        <w:t xml:space="preserve"> language, on how to obtain a written translation or oral interpretation of the bill if the language constitutes 5% (and at least 50 patients) or 1,000 patients (whichever is less) of the population eligible to be served or likely to </w:t>
      </w:r>
      <w:r w:rsidR="00F44DEB">
        <w:t>receive care at the hospital.</w:t>
      </w:r>
      <w:r w:rsidR="000B1A47" w:rsidRPr="0003224D">
        <w:rPr>
          <w:rFonts w:cs="Arial"/>
        </w:rPr>
        <w:br/>
      </w:r>
    </w:p>
    <w:p w14:paraId="5ABB6261" w14:textId="16255D7F" w:rsidR="00FF6DE3" w:rsidRDefault="00576ABB" w:rsidP="00AD309C">
      <w:pPr>
        <w:pStyle w:val="ListParagraph"/>
        <w:numPr>
          <w:ilvl w:val="0"/>
          <w:numId w:val="114"/>
        </w:numPr>
        <w:rPr>
          <w:rFonts w:cs="Arial"/>
          <w:b/>
          <w:bCs/>
        </w:rPr>
      </w:pPr>
      <w:r w:rsidRPr="0049241F">
        <w:rPr>
          <w:rFonts w:eastAsia="Avenir" w:cstheme="minorHAnsi"/>
          <w:b/>
          <w:bCs/>
        </w:rPr>
        <w:t>As a SafetyNet hospital, our funding comes from taxpayers, grants, and government funding.</w:t>
      </w:r>
      <w:r w:rsidR="008452BB">
        <w:rPr>
          <w:rFonts w:eastAsia="Avenir" w:cstheme="minorHAnsi"/>
          <w:b/>
          <w:bCs/>
        </w:rPr>
        <w:t xml:space="preserve"> </w:t>
      </w:r>
      <w:r w:rsidRPr="0049241F">
        <w:rPr>
          <w:rFonts w:eastAsia="Avenir" w:cstheme="minorHAnsi"/>
          <w:b/>
          <w:bCs/>
        </w:rPr>
        <w:t>A large portion of our patients are deemed indigent and do not receive a bill for any services.</w:t>
      </w:r>
      <w:r w:rsidR="00F56EE4">
        <w:rPr>
          <w:rFonts w:eastAsia="Avenir" w:cstheme="minorHAnsi"/>
          <w:b/>
          <w:bCs/>
        </w:rPr>
        <w:t xml:space="preserve"> </w:t>
      </w:r>
      <w:r w:rsidRPr="0049241F">
        <w:rPr>
          <w:rFonts w:eastAsia="Avenir" w:cstheme="minorHAnsi"/>
          <w:b/>
          <w:bCs/>
        </w:rPr>
        <w:t>Only a small portion with insurance will receive a bill. Therefore, we do not send a bill to every patient.</w:t>
      </w:r>
      <w:r>
        <w:rPr>
          <w:rFonts w:eastAsia="Avenir" w:cstheme="minorHAnsi"/>
          <w:b/>
          <w:bCs/>
        </w:rPr>
        <w:t xml:space="preserve"> Can we respond “yes” to question #1?</w:t>
      </w:r>
      <w:r w:rsidRPr="00F92E46">
        <w:rPr>
          <w:rFonts w:cs="Arial"/>
          <w:b/>
          <w:bCs/>
        </w:rPr>
        <w:br/>
      </w:r>
      <w:r w:rsidR="00F17FBD">
        <w:rPr>
          <w:rFonts w:eastAsia="Avenir" w:cstheme="minorHAnsi"/>
        </w:rPr>
        <w:t xml:space="preserve">Yes. </w:t>
      </w:r>
      <w:r w:rsidRPr="00583E7F">
        <w:rPr>
          <w:rFonts w:eastAsia="Avenir" w:cstheme="minorHAnsi"/>
        </w:rPr>
        <w:t>Hospitals</w:t>
      </w:r>
      <w:r w:rsidR="005050CD">
        <w:rPr>
          <w:rFonts w:eastAsia="Avenir" w:cstheme="minorHAnsi"/>
        </w:rPr>
        <w:t xml:space="preserve"> do not need</w:t>
      </w:r>
      <w:r w:rsidRPr="00583E7F">
        <w:rPr>
          <w:rFonts w:eastAsia="Avenir" w:cstheme="minorHAnsi"/>
        </w:rPr>
        <w:t xml:space="preserve"> to provide billing statements to patients with no balance due</w:t>
      </w:r>
      <w:r w:rsidR="00CE2910">
        <w:rPr>
          <w:rFonts w:eastAsia="Avenir" w:cstheme="minorHAnsi"/>
        </w:rPr>
        <w:t xml:space="preserve"> in order</w:t>
      </w:r>
      <w:r w:rsidRPr="00583E7F">
        <w:rPr>
          <w:rFonts w:eastAsia="Avenir" w:cstheme="minorHAnsi"/>
        </w:rPr>
        <w:t xml:space="preserve"> to respond “yes” to question #1. </w:t>
      </w:r>
      <w:r w:rsidRPr="00326AFD">
        <w:rPr>
          <w:rFonts w:eastAsia="Avenir" w:cstheme="minorHAnsi"/>
        </w:rPr>
        <w:t>However, for those patients who are receiving a bill, all the criteria</w:t>
      </w:r>
      <w:r w:rsidR="00173133">
        <w:rPr>
          <w:rFonts w:eastAsia="Avenir" w:cstheme="minorHAnsi"/>
        </w:rPr>
        <w:t xml:space="preserve"> listed in the question</w:t>
      </w:r>
      <w:r w:rsidRPr="00326AFD">
        <w:rPr>
          <w:rFonts w:eastAsia="Avenir" w:cstheme="minorHAnsi"/>
        </w:rPr>
        <w:t xml:space="preserve"> </w:t>
      </w:r>
      <w:r w:rsidR="005050CD">
        <w:rPr>
          <w:rFonts w:eastAsia="Avenir" w:cstheme="minorHAnsi"/>
        </w:rPr>
        <w:t>must be</w:t>
      </w:r>
      <w:r w:rsidR="00173133">
        <w:rPr>
          <w:rFonts w:eastAsia="Avenir" w:cstheme="minorHAnsi"/>
        </w:rPr>
        <w:t xml:space="preserve"> included</w:t>
      </w:r>
      <w:r w:rsidR="005050CD">
        <w:rPr>
          <w:rFonts w:eastAsia="Avenir" w:cstheme="minorHAnsi"/>
        </w:rPr>
        <w:t xml:space="preserve"> </w:t>
      </w:r>
      <w:r w:rsidRPr="00326AFD">
        <w:rPr>
          <w:rFonts w:eastAsia="Avenir" w:cstheme="minorHAnsi"/>
        </w:rPr>
        <w:t xml:space="preserve">to respond </w:t>
      </w:r>
      <w:r>
        <w:rPr>
          <w:rFonts w:eastAsia="Avenir" w:cstheme="minorHAnsi"/>
        </w:rPr>
        <w:t>“yes.”</w:t>
      </w:r>
      <w:r>
        <w:rPr>
          <w:rFonts w:eastAsia="Avenir" w:cstheme="minorHAnsi"/>
        </w:rPr>
        <w:br/>
      </w:r>
    </w:p>
    <w:p w14:paraId="2BE410F0" w14:textId="77777777" w:rsidR="00FF6DE3" w:rsidRDefault="00FF6DE3">
      <w:pPr>
        <w:rPr>
          <w:rFonts w:cs="Arial"/>
          <w:b/>
          <w:bCs/>
        </w:rPr>
      </w:pPr>
      <w:r>
        <w:rPr>
          <w:rFonts w:cs="Arial"/>
          <w:b/>
          <w:bCs/>
        </w:rPr>
        <w:br w:type="page"/>
      </w:r>
    </w:p>
    <w:p w14:paraId="060275DF" w14:textId="77777777" w:rsidR="00F846C8" w:rsidRPr="00A90AE6" w:rsidRDefault="00F9246C" w:rsidP="00AD309C">
      <w:pPr>
        <w:pStyle w:val="ListParagraph"/>
        <w:numPr>
          <w:ilvl w:val="0"/>
          <w:numId w:val="114"/>
        </w:numPr>
        <w:rPr>
          <w:rFonts w:cs="Arial"/>
          <w:b/>
          <w:bCs/>
        </w:rPr>
      </w:pPr>
      <w:r w:rsidRPr="00F92E46">
        <w:rPr>
          <w:rFonts w:cs="Arial"/>
          <w:b/>
        </w:rPr>
        <w:lastRenderedPageBreak/>
        <w:t>What does Leapfrog mean by “legal action” in question #</w:t>
      </w:r>
      <w:r w:rsidR="00B37158">
        <w:rPr>
          <w:rFonts w:cs="Arial"/>
          <w:b/>
        </w:rPr>
        <w:t>3</w:t>
      </w:r>
      <w:r w:rsidRPr="00F92E46">
        <w:rPr>
          <w:rFonts w:cs="Arial"/>
          <w:b/>
        </w:rPr>
        <w:t>?</w:t>
      </w:r>
      <w:r w:rsidRPr="00F92E46">
        <w:rPr>
          <w:rFonts w:cs="Arial"/>
          <w:b/>
        </w:rPr>
        <w:br/>
      </w:r>
      <w:r w:rsidR="00B43A2D" w:rsidRPr="00F92E46">
        <w:rPr>
          <w:rFonts w:eastAsia="Avenir" w:cs="Arial"/>
        </w:rPr>
        <w:t>Legal action can include, but is not limited to, a lawsuit, wage garnishment, filing to take a patient’s money out of their tax return, seizing or placing a lien on a patient’s personal property</w:t>
      </w:r>
      <w:r w:rsidR="009A43CA" w:rsidRPr="00F92E46">
        <w:rPr>
          <w:rFonts w:eastAsia="Avenir" w:cs="Arial"/>
        </w:rPr>
        <w:t>, and selling or transferring a patient’s debt to a debt collection agency</w:t>
      </w:r>
      <w:r w:rsidR="0085295C" w:rsidRPr="00F92E46">
        <w:rPr>
          <w:rFonts w:eastAsia="Avenir" w:cs="Arial"/>
        </w:rPr>
        <w:t xml:space="preserve"> that will take legal action against the patient</w:t>
      </w:r>
      <w:r w:rsidR="009A43CA" w:rsidRPr="00F92E46">
        <w:rPr>
          <w:rFonts w:eastAsia="Avenir" w:cs="Arial"/>
        </w:rPr>
        <w:t>.</w:t>
      </w:r>
      <w:r w:rsidR="00B7495D" w:rsidRPr="00F92E46">
        <w:rPr>
          <w:rFonts w:eastAsia="Avenir" w:cs="Arial"/>
        </w:rPr>
        <w:t xml:space="preserve"> </w:t>
      </w:r>
    </w:p>
    <w:p w14:paraId="2D02438D" w14:textId="507EE0A4" w:rsidR="005830F6" w:rsidRPr="00F92E46" w:rsidRDefault="00B7495D" w:rsidP="00A90AE6">
      <w:pPr>
        <w:pStyle w:val="ListParagraph"/>
        <w:ind w:left="360"/>
        <w:rPr>
          <w:rFonts w:cs="Arial"/>
          <w:b/>
          <w:bCs/>
        </w:rPr>
      </w:pPr>
      <w:r w:rsidRPr="00F92E46">
        <w:rPr>
          <w:rFonts w:eastAsia="Avenir" w:cs="Arial"/>
        </w:rPr>
        <w:t>If</w:t>
      </w:r>
      <w:r w:rsidR="00F846C8">
        <w:rPr>
          <w:rFonts w:eastAsia="Avenir" w:cs="Arial"/>
        </w:rPr>
        <w:t>, through their contract with the hospital,</w:t>
      </w:r>
      <w:r w:rsidRPr="00F92E46">
        <w:rPr>
          <w:rFonts w:eastAsia="Avenir" w:cs="Arial"/>
        </w:rPr>
        <w:t xml:space="preserve"> the debt collection agency is prevented from taking legal action against patients, selling or transferring a patient’s debt to that debt collection agency would not be considered legal action.</w:t>
      </w:r>
    </w:p>
    <w:p w14:paraId="3F946C4A" w14:textId="77777777" w:rsidR="005830F6" w:rsidRPr="0022585F" w:rsidRDefault="005830F6" w:rsidP="005830F6">
      <w:pPr>
        <w:pStyle w:val="ListParagraph"/>
        <w:spacing w:before="200" w:after="200" w:line="276" w:lineRule="auto"/>
        <w:ind w:left="360"/>
        <w:rPr>
          <w:rFonts w:eastAsia="Avenir" w:cs="Arial"/>
        </w:rPr>
      </w:pPr>
    </w:p>
    <w:p w14:paraId="38482EFE" w14:textId="2E7CC327" w:rsidR="00B7495D" w:rsidRPr="00F92E46" w:rsidRDefault="00B43A2D" w:rsidP="00BA2EAD">
      <w:pPr>
        <w:pStyle w:val="ListParagraph"/>
        <w:spacing w:before="200" w:after="200"/>
        <w:ind w:left="360"/>
        <w:rPr>
          <w:rFonts w:eastAsia="Avenir" w:cs="Arial"/>
        </w:rPr>
      </w:pPr>
      <w:bookmarkStart w:id="130" w:name="_Hlk66266736"/>
      <w:r w:rsidRPr="00F92E46">
        <w:rPr>
          <w:rFonts w:eastAsia="Avenir" w:cs="Arial"/>
        </w:rPr>
        <w:t xml:space="preserve">Patients with whom your hospital has entered into a written agreement specifying a </w:t>
      </w:r>
      <w:r w:rsidR="00EE2FA5">
        <w:rPr>
          <w:rFonts w:eastAsia="Avenir" w:cs="Arial"/>
        </w:rPr>
        <w:t xml:space="preserve">good faith estimate </w:t>
      </w:r>
      <w:r w:rsidRPr="00F92E46">
        <w:rPr>
          <w:rFonts w:eastAsia="Avenir" w:cs="Arial"/>
        </w:rPr>
        <w:t>for a medical service</w:t>
      </w:r>
      <w:r w:rsidR="00AB52E0">
        <w:rPr>
          <w:rFonts w:eastAsia="Avenir" w:cs="Arial"/>
        </w:rPr>
        <w:t xml:space="preserve"> are not included</w:t>
      </w:r>
      <w:r w:rsidRPr="00F92E46">
        <w:rPr>
          <w:rFonts w:eastAsia="Avenir" w:cs="Arial"/>
        </w:rPr>
        <w:t xml:space="preserve"> in this question.</w:t>
      </w:r>
      <w:bookmarkEnd w:id="130"/>
      <w:r w:rsidR="00B7495D" w:rsidRPr="00F92E46">
        <w:rPr>
          <w:rFonts w:eastAsia="Avenir" w:cs="Arial"/>
        </w:rPr>
        <w:t xml:space="preserve"> A patient's insurance being accepted by the hospital, or publicly available prices for a procedure, do NOT constitute a written agreement specifying a set price for a procedure. </w:t>
      </w:r>
    </w:p>
    <w:p w14:paraId="443F971F" w14:textId="77777777" w:rsidR="00B7495D" w:rsidRPr="0022585F" w:rsidRDefault="00B7495D" w:rsidP="00BA2EAD">
      <w:pPr>
        <w:pStyle w:val="ListParagraph"/>
        <w:spacing w:before="200" w:after="200"/>
        <w:ind w:left="360"/>
        <w:rPr>
          <w:rFonts w:eastAsia="Avenir" w:cs="Arial"/>
        </w:rPr>
      </w:pPr>
    </w:p>
    <w:p w14:paraId="34222B4B" w14:textId="53D18D45" w:rsidR="005830F6" w:rsidRDefault="00B7495D" w:rsidP="00BA2EAD">
      <w:pPr>
        <w:pStyle w:val="ListParagraph"/>
        <w:spacing w:before="200" w:after="200"/>
        <w:ind w:left="360"/>
        <w:rPr>
          <w:rFonts w:eastAsia="Avenir" w:cs="Arial"/>
        </w:rPr>
      </w:pPr>
      <w:r w:rsidRPr="00F92E46">
        <w:rPr>
          <w:rFonts w:eastAsia="Avenir" w:cs="Arial"/>
        </w:rPr>
        <w:t>In addition, other legal proceedings where patients may be named as defendants for causes other than late or non-payment of a medical bill are not included in this standard (e.g., filing a lien after an auto accident, or misappropriation of an insurance reimbursement).</w:t>
      </w:r>
    </w:p>
    <w:p w14:paraId="0A2A2E43" w14:textId="77777777" w:rsidR="007959CA" w:rsidRPr="0022585F" w:rsidRDefault="007959CA" w:rsidP="00B7495D">
      <w:pPr>
        <w:pStyle w:val="ListParagraph"/>
        <w:spacing w:before="200" w:after="200" w:line="276" w:lineRule="auto"/>
        <w:ind w:left="360"/>
        <w:rPr>
          <w:rFonts w:eastAsia="Avenir" w:cs="Arial"/>
        </w:rPr>
      </w:pPr>
    </w:p>
    <w:p w14:paraId="58E33EDD" w14:textId="77777777" w:rsidR="007959CA" w:rsidRPr="00BA106B" w:rsidRDefault="007959CA" w:rsidP="00AD309C">
      <w:pPr>
        <w:pStyle w:val="ListParagraph"/>
        <w:numPr>
          <w:ilvl w:val="0"/>
          <w:numId w:val="114"/>
        </w:numPr>
        <w:rPr>
          <w:rFonts w:eastAsia="Avenir" w:cstheme="minorHAnsi"/>
          <w:b/>
          <w:bCs/>
        </w:rPr>
      </w:pPr>
      <w:r w:rsidRPr="00BA106B">
        <w:rPr>
          <w:rFonts w:eastAsia="Avenir" w:cstheme="minorHAnsi"/>
          <w:b/>
          <w:bCs/>
        </w:rPr>
        <w:t>What are alternatives to legal action against patients?</w:t>
      </w:r>
    </w:p>
    <w:p w14:paraId="29257705" w14:textId="587997A9" w:rsidR="00B7495D" w:rsidRPr="0022585F" w:rsidRDefault="007959CA" w:rsidP="00BA2EAD">
      <w:pPr>
        <w:pStyle w:val="ListParagraph"/>
        <w:ind w:left="360"/>
        <w:rPr>
          <w:rFonts w:eastAsia="Avenir" w:cstheme="minorHAnsi"/>
        </w:rPr>
      </w:pPr>
      <w:r w:rsidRPr="00180CE0">
        <w:rPr>
          <w:rFonts w:eastAsia="Avenir" w:cstheme="minorHAnsi"/>
        </w:rPr>
        <w:t xml:space="preserve">To ensure that patients are not being pursued when they no longer have the means to pay, some healthcare providers partner with </w:t>
      </w:r>
      <w:r w:rsidR="008810A9">
        <w:rPr>
          <w:rFonts w:eastAsia="Avenir" w:cstheme="minorHAnsi"/>
        </w:rPr>
        <w:t>organizations</w:t>
      </w:r>
      <w:r w:rsidRPr="00180CE0">
        <w:rPr>
          <w:rFonts w:eastAsia="Avenir" w:cstheme="minorHAnsi"/>
        </w:rPr>
        <w:t xml:space="preserve"> such as </w:t>
      </w:r>
      <w:r w:rsidR="00DC79CC">
        <w:rPr>
          <w:rFonts w:eastAsia="Avenir" w:cstheme="minorHAnsi"/>
        </w:rPr>
        <w:t>Undue</w:t>
      </w:r>
      <w:r w:rsidR="00DC79CC" w:rsidRPr="00180CE0">
        <w:rPr>
          <w:rFonts w:eastAsia="Avenir" w:cstheme="minorHAnsi"/>
        </w:rPr>
        <w:t xml:space="preserve"> </w:t>
      </w:r>
      <w:r w:rsidRPr="00180CE0">
        <w:rPr>
          <w:rFonts w:eastAsia="Avenir" w:cstheme="minorHAnsi"/>
        </w:rPr>
        <w:t xml:space="preserve">Medical Debt, a nonprofit that uses philanthropically raised funds to acquire bad debt from health systems solely for the purpose of debt relief. They use credit analytics to locate patients with financial hardship and help notify the patient that the debt is abolished. Hospitals can contact </w:t>
      </w:r>
      <w:r w:rsidR="00DC79CC">
        <w:rPr>
          <w:rFonts w:eastAsia="Avenir" w:cstheme="minorHAnsi"/>
        </w:rPr>
        <w:t>Undue</w:t>
      </w:r>
      <w:r w:rsidR="00DC79CC" w:rsidRPr="00180CE0">
        <w:rPr>
          <w:rFonts w:eastAsia="Avenir" w:cstheme="minorHAnsi"/>
        </w:rPr>
        <w:t xml:space="preserve"> </w:t>
      </w:r>
      <w:r w:rsidRPr="00180CE0">
        <w:rPr>
          <w:rFonts w:eastAsia="Avenir" w:cstheme="minorHAnsi"/>
        </w:rPr>
        <w:t>Medical</w:t>
      </w:r>
      <w:r w:rsidRPr="00305390">
        <w:rPr>
          <w:rFonts w:eastAsia="Avenir"/>
        </w:rPr>
        <w:t xml:space="preserve"> Debt here: </w:t>
      </w:r>
      <w:hyperlink r:id="rId134" w:history="1">
        <w:r w:rsidR="002F3277" w:rsidRPr="00F66556">
          <w:rPr>
            <w:rStyle w:val="Hyperlink"/>
            <w:rFonts w:eastAsia="Avenir"/>
          </w:rPr>
          <w:t>https://unduemedicaldebt.org/contact/</w:t>
        </w:r>
      </w:hyperlink>
      <w:r w:rsidR="002F3277">
        <w:rPr>
          <w:rFonts w:eastAsia="Avenir"/>
        </w:rPr>
        <w:t>.</w:t>
      </w:r>
      <w:r w:rsidR="00BA2EAD">
        <w:rPr>
          <w:rFonts w:eastAsia="Avenir" w:cstheme="minorHAnsi"/>
        </w:rPr>
        <w:br/>
      </w:r>
    </w:p>
    <w:p w14:paraId="0D162F36" w14:textId="70394F49" w:rsidR="00E75C68" w:rsidRPr="00B44C7B" w:rsidRDefault="0003224D" w:rsidP="00AD309C">
      <w:pPr>
        <w:pStyle w:val="ListParagraph"/>
        <w:numPr>
          <w:ilvl w:val="0"/>
          <w:numId w:val="114"/>
        </w:numPr>
        <w:spacing w:before="200" w:after="200"/>
        <w:rPr>
          <w:rFonts w:eastAsia="Avenir" w:cstheme="minorHAnsi"/>
        </w:rPr>
      </w:pPr>
      <w:bookmarkStart w:id="131" w:name="goodfaithestimate"/>
      <w:r w:rsidRPr="00F92E46">
        <w:rPr>
          <w:rFonts w:cs="Arial"/>
          <w:b/>
          <w:bCs/>
        </w:rPr>
        <w:t>What is a “good faith estimate” as referred to in question #</w:t>
      </w:r>
      <w:r>
        <w:rPr>
          <w:rFonts w:cs="Arial"/>
          <w:b/>
          <w:bCs/>
        </w:rPr>
        <w:t>3</w:t>
      </w:r>
      <w:r w:rsidRPr="00F92E46">
        <w:rPr>
          <w:rFonts w:cs="Arial"/>
          <w:b/>
          <w:bCs/>
        </w:rPr>
        <w:t>?</w:t>
      </w:r>
      <w:bookmarkEnd w:id="131"/>
      <w:r w:rsidRPr="00F92E46">
        <w:rPr>
          <w:rFonts w:cs="Arial"/>
          <w:b/>
          <w:bCs/>
        </w:rPr>
        <w:br/>
      </w:r>
      <w:r w:rsidRPr="00F92E46">
        <w:rPr>
          <w:rFonts w:cs="Arial"/>
        </w:rPr>
        <w:t xml:space="preserve">A good faith estimate includes an itemized list of expected charges for the primary item or service the patient will receive and any other items or services provided as part of the same scheduled episode of care. The final bill must be no more than $400 over the amount of the good faith estimate. The Centers for Medicare and Medicaid Services have published an example template for providing good faith estimates: </w:t>
      </w:r>
      <w:hyperlink r:id="rId135" w:history="1">
        <w:r w:rsidR="00F90EB2" w:rsidRPr="00B90D27">
          <w:rPr>
            <w:rStyle w:val="Hyperlink"/>
          </w:rPr>
          <w:t>https://www.cms.gov/files/document/nsa-sample-good-faith-estimate.pdf</w:t>
        </w:r>
      </w:hyperlink>
      <w:r w:rsidR="00F90EB2">
        <w:t xml:space="preserve">. </w:t>
      </w:r>
      <w:r w:rsidR="00A624EC">
        <w:rPr>
          <w:rFonts w:cs="Arial"/>
        </w:rPr>
        <w:br/>
      </w:r>
    </w:p>
    <w:p w14:paraId="0D6DB0F4" w14:textId="77286BF9" w:rsidR="00744923" w:rsidRPr="000B3776" w:rsidRDefault="00744923" w:rsidP="00744923">
      <w:pPr>
        <w:pStyle w:val="ListParagraph"/>
        <w:numPr>
          <w:ilvl w:val="0"/>
          <w:numId w:val="114"/>
        </w:numPr>
        <w:spacing w:before="200" w:after="200"/>
        <w:rPr>
          <w:rFonts w:eastAsia="Avenir" w:cstheme="minorHAnsi"/>
          <w:b/>
          <w:bCs/>
        </w:rPr>
      </w:pPr>
      <w:r w:rsidRPr="000B3776">
        <w:rPr>
          <w:b/>
          <w:bCs/>
        </w:rPr>
        <w:t xml:space="preserve">How do I know if </w:t>
      </w:r>
      <w:r>
        <w:rPr>
          <w:b/>
          <w:bCs/>
        </w:rPr>
        <w:t>a</w:t>
      </w:r>
      <w:r w:rsidRPr="000B3776">
        <w:rPr>
          <w:b/>
          <w:bCs/>
        </w:rPr>
        <w:t xml:space="preserve"> state </w:t>
      </w:r>
      <w:r w:rsidR="00D157E4">
        <w:rPr>
          <w:b/>
          <w:bCs/>
        </w:rPr>
        <w:t xml:space="preserve">or federal </w:t>
      </w:r>
      <w:r w:rsidRPr="000B3776">
        <w:rPr>
          <w:b/>
          <w:bCs/>
        </w:rPr>
        <w:t>law requir</w:t>
      </w:r>
      <w:r>
        <w:rPr>
          <w:b/>
          <w:bCs/>
        </w:rPr>
        <w:t>es my</w:t>
      </w:r>
      <w:r w:rsidRPr="000B3776">
        <w:rPr>
          <w:b/>
          <w:bCs/>
        </w:rPr>
        <w:t xml:space="preserve"> hospital to transfer delinquent payments</w:t>
      </w:r>
      <w:r>
        <w:rPr>
          <w:b/>
          <w:bCs/>
        </w:rPr>
        <w:t xml:space="preserve"> to </w:t>
      </w:r>
      <w:r w:rsidR="00B3777C">
        <w:rPr>
          <w:b/>
          <w:bCs/>
        </w:rPr>
        <w:t>a state or federal agency (e.g., Department of Treasury, Attorney General, etc.)</w:t>
      </w:r>
      <w:r w:rsidRPr="000B3776">
        <w:rPr>
          <w:b/>
          <w:bCs/>
        </w:rPr>
        <w:t>?</w:t>
      </w:r>
    </w:p>
    <w:p w14:paraId="56F63EBF" w14:textId="56C3B49F" w:rsidR="0051452E" w:rsidRDefault="0051452E" w:rsidP="0051452E">
      <w:pPr>
        <w:pStyle w:val="ListParagraph"/>
        <w:ind w:left="360"/>
      </w:pPr>
      <w:r w:rsidRPr="008C3002">
        <w:t xml:space="preserve">These requirements generally apply to </w:t>
      </w:r>
      <w:r w:rsidRPr="00FC1EBD">
        <w:t>public or state-owned hospitals</w:t>
      </w:r>
      <w:r w:rsidRPr="008C3002">
        <w:t>, including hospitals operated by public universit</w:t>
      </w:r>
      <w:r w:rsidR="00D912DB">
        <w:t>ies</w:t>
      </w:r>
      <w:r w:rsidRPr="008C3002">
        <w:t xml:space="preserve"> or state health systems, in certain states (e.g., Illinois or New York). The obligation is tied to the hospital’s </w:t>
      </w:r>
      <w:r w:rsidRPr="00FC1EBD">
        <w:t>public ownership or operation</w:t>
      </w:r>
      <w:r w:rsidRPr="008C3002">
        <w:t>, rather than hospital status alone.</w:t>
      </w:r>
    </w:p>
    <w:p w14:paraId="3FD21841" w14:textId="77777777" w:rsidR="0051452E" w:rsidRDefault="0051452E" w:rsidP="0051452E">
      <w:pPr>
        <w:pStyle w:val="ListParagraph"/>
        <w:ind w:left="360"/>
      </w:pPr>
    </w:p>
    <w:p w14:paraId="3DAE371F" w14:textId="6C0B66F4" w:rsidR="009B01DB" w:rsidRDefault="0051452E" w:rsidP="00D912DB">
      <w:pPr>
        <w:pStyle w:val="ListParagraph"/>
        <w:spacing w:before="200" w:after="200"/>
        <w:ind w:left="360"/>
      </w:pPr>
      <w:r w:rsidRPr="00FC1EBD">
        <w:t>Private hospitals are generally not required</w:t>
      </w:r>
      <w:r w:rsidRPr="008C3002">
        <w:t xml:space="preserve"> to transfer delinquent patient accounts to a state or federal agency for collection</w:t>
      </w:r>
      <w:r w:rsidR="009B01DB" w:rsidRPr="000F0CC7">
        <w:t>.</w:t>
      </w:r>
    </w:p>
    <w:p w14:paraId="5D4F250B" w14:textId="77777777" w:rsidR="00744923" w:rsidRPr="00D722F9" w:rsidRDefault="00744923" w:rsidP="00D722F9">
      <w:pPr>
        <w:pStyle w:val="ListParagraph"/>
        <w:spacing w:before="200" w:after="200"/>
        <w:ind w:left="360"/>
        <w:rPr>
          <w:rFonts w:eastAsia="Avenir" w:cstheme="minorHAnsi"/>
        </w:rPr>
      </w:pPr>
    </w:p>
    <w:p w14:paraId="6E0543E5" w14:textId="187195DD" w:rsidR="00443EB2" w:rsidRDefault="00A624EC" w:rsidP="00443EB2">
      <w:pPr>
        <w:pStyle w:val="ListParagraph"/>
        <w:numPr>
          <w:ilvl w:val="0"/>
          <w:numId w:val="114"/>
        </w:numPr>
        <w:spacing w:before="200" w:after="200"/>
        <w:rPr>
          <w:rFonts w:eastAsia="Avenir" w:cstheme="minorHAnsi"/>
        </w:rPr>
      </w:pPr>
      <w:r>
        <w:rPr>
          <w:rFonts w:eastAsia="Avenir" w:cstheme="minorHAnsi"/>
          <w:b/>
          <w:bCs/>
        </w:rPr>
        <w:t xml:space="preserve">How and when should hospitals initiate the screening process for </w:t>
      </w:r>
      <w:r w:rsidR="0034398D">
        <w:rPr>
          <w:rFonts w:eastAsia="Avenir" w:cstheme="minorHAnsi"/>
          <w:b/>
          <w:bCs/>
        </w:rPr>
        <w:t>their financial assistance program</w:t>
      </w:r>
      <w:r>
        <w:rPr>
          <w:rFonts w:eastAsia="Avenir" w:cstheme="minorHAnsi"/>
          <w:b/>
          <w:bCs/>
        </w:rPr>
        <w:t>?</w:t>
      </w:r>
      <w:r w:rsidRPr="00F92E46">
        <w:rPr>
          <w:rFonts w:cs="Arial"/>
          <w:b/>
          <w:bCs/>
        </w:rPr>
        <w:br/>
      </w:r>
      <w:r w:rsidR="0034398D" w:rsidRPr="00FD5912">
        <w:rPr>
          <w:rFonts w:eastAsia="Avenir" w:cstheme="minorHAnsi"/>
        </w:rPr>
        <w:t>Hospitals should initiate the eligibility screening process on all patients at the time of registration.</w:t>
      </w:r>
      <w:r w:rsidR="0034398D">
        <w:rPr>
          <w:rFonts w:eastAsia="Avenir" w:cstheme="minorHAnsi"/>
        </w:rPr>
        <w:t xml:space="preserve"> Hospitals can do so by using presumptive eligibility software </w:t>
      </w:r>
      <w:r w:rsidR="00CB035E">
        <w:rPr>
          <w:rFonts w:eastAsia="Avenir" w:cstheme="minorHAnsi"/>
        </w:rPr>
        <w:t xml:space="preserve">used to determine Medicaid eligibility to help determine if patients are eligible for the hospital’s own financial assistance programs (e.g., Waystar, </w:t>
      </w:r>
      <w:proofErr w:type="spellStart"/>
      <w:r w:rsidR="00CB035E">
        <w:rPr>
          <w:rFonts w:eastAsia="Avenir" w:cstheme="minorHAnsi"/>
        </w:rPr>
        <w:t>FinThrive</w:t>
      </w:r>
      <w:proofErr w:type="spellEnd"/>
      <w:r w:rsidR="00CB035E">
        <w:rPr>
          <w:rFonts w:eastAsia="Avenir" w:cstheme="minorHAnsi"/>
        </w:rPr>
        <w:t xml:space="preserve">, </w:t>
      </w:r>
      <w:proofErr w:type="spellStart"/>
      <w:r w:rsidR="00CB035E">
        <w:rPr>
          <w:rFonts w:eastAsia="Avenir" w:cstheme="minorHAnsi"/>
        </w:rPr>
        <w:t>RevCo</w:t>
      </w:r>
      <w:proofErr w:type="spellEnd"/>
      <w:r w:rsidR="00CB035E">
        <w:rPr>
          <w:rFonts w:eastAsia="Avenir" w:cstheme="minorHAnsi"/>
        </w:rPr>
        <w:t xml:space="preserve">, etc.). Hospitals can use tools such as Experian or paper applications to assess a patient’s </w:t>
      </w:r>
      <w:r w:rsidR="0034398D">
        <w:rPr>
          <w:rFonts w:eastAsia="Avenir" w:cstheme="minorHAnsi"/>
        </w:rPr>
        <w:t>ability to pay</w:t>
      </w:r>
      <w:r w:rsidR="00CB035E">
        <w:rPr>
          <w:rFonts w:eastAsia="Avenir" w:cstheme="minorHAnsi"/>
        </w:rPr>
        <w:t>.</w:t>
      </w:r>
    </w:p>
    <w:p w14:paraId="2A8C824F" w14:textId="77777777" w:rsidR="002C2D41" w:rsidRDefault="002C2D41" w:rsidP="007F2F8A">
      <w:pPr>
        <w:pStyle w:val="ListParagraph"/>
        <w:spacing w:before="200" w:after="200"/>
        <w:ind w:left="360"/>
        <w:rPr>
          <w:rFonts w:eastAsia="Avenir" w:cstheme="minorHAnsi"/>
        </w:rPr>
      </w:pPr>
    </w:p>
    <w:p w14:paraId="37849638" w14:textId="43C044B6" w:rsidR="00C54EF1" w:rsidRDefault="00443EB2" w:rsidP="00C54EF1">
      <w:pPr>
        <w:pStyle w:val="ListParagraph"/>
        <w:spacing w:after="160" w:line="259" w:lineRule="auto"/>
        <w:ind w:left="360"/>
      </w:pPr>
      <w:r w:rsidRPr="00443EB2">
        <w:rPr>
          <w:rFonts w:eastAsia="Avenir" w:cstheme="minorHAnsi"/>
        </w:rPr>
        <w:t>A recent report from</w:t>
      </w:r>
      <w:r>
        <w:t xml:space="preserve"> Healthcare Financial Management Association</w:t>
      </w:r>
      <w:r w:rsidR="00D912DB">
        <w:t xml:space="preserve"> (HFMA)</w:t>
      </w:r>
      <w:r>
        <w:t xml:space="preserve"> highlights the importance of</w:t>
      </w:r>
      <w:r w:rsidRPr="00F63587">
        <w:t xml:space="preserve"> promot</w:t>
      </w:r>
      <w:r>
        <w:t>ing</w:t>
      </w:r>
      <w:r w:rsidRPr="00F63587">
        <w:t xml:space="preserve"> responsible financial assistance, billing, and collection practices.</w:t>
      </w:r>
      <w:r>
        <w:t xml:space="preserve"> </w:t>
      </w:r>
      <w:r w:rsidRPr="00D46502">
        <w:t xml:space="preserve">HFMA’s report, </w:t>
      </w:r>
      <w:hyperlink r:id="rId136" w:history="1">
        <w:r w:rsidRPr="00443EB2">
          <w:rPr>
            <w:rStyle w:val="Hyperlink"/>
            <w:i/>
            <w:iCs/>
          </w:rPr>
          <w:t>Advancing Healthcare Access</w:t>
        </w:r>
      </w:hyperlink>
      <w:r w:rsidRPr="00443EB2">
        <w:rPr>
          <w:i/>
          <w:iCs/>
        </w:rPr>
        <w:t xml:space="preserve">, </w:t>
      </w:r>
      <w:r w:rsidRPr="00D12299">
        <w:t xml:space="preserve">is available at: </w:t>
      </w:r>
      <w:r w:rsidRPr="00C207C8">
        <w:t>https://www.hfma.org/finance-and-business-strategy/advancing-healthcare-access/</w:t>
      </w:r>
      <w:r>
        <w:t>.</w:t>
      </w:r>
    </w:p>
    <w:p w14:paraId="4218C139" w14:textId="77777777" w:rsidR="00C54EF1" w:rsidRDefault="00C54EF1">
      <w:r>
        <w:br w:type="page"/>
      </w:r>
    </w:p>
    <w:p w14:paraId="699C54EB" w14:textId="5FE711CB" w:rsidR="00254E86" w:rsidRPr="000B3776" w:rsidRDefault="00254E86" w:rsidP="00254E86">
      <w:pPr>
        <w:pStyle w:val="ListParagraph"/>
        <w:numPr>
          <w:ilvl w:val="0"/>
          <w:numId w:val="114"/>
        </w:numPr>
        <w:spacing w:before="200" w:after="200"/>
        <w:rPr>
          <w:rFonts w:eastAsia="Avenir" w:cstheme="minorHAnsi"/>
          <w:b/>
          <w:bCs/>
        </w:rPr>
      </w:pPr>
      <w:r>
        <w:rPr>
          <w:rFonts w:eastAsia="Avenir" w:cstheme="minorHAnsi"/>
          <w:b/>
          <w:bCs/>
        </w:rPr>
        <w:lastRenderedPageBreak/>
        <w:t>Our organization uses more than one method for screening patients for financial assistance eligibility, how should we respond to question #4?</w:t>
      </w:r>
    </w:p>
    <w:p w14:paraId="2D72A35F" w14:textId="77777777" w:rsidR="00254E86" w:rsidRPr="000B3776" w:rsidRDefault="00254E86" w:rsidP="00254E86">
      <w:pPr>
        <w:pStyle w:val="ListParagraph"/>
        <w:spacing w:before="200" w:after="200"/>
        <w:ind w:left="360"/>
        <w:rPr>
          <w:rFonts w:eastAsia="Avenir" w:cstheme="minorHAnsi"/>
          <w:b/>
          <w:bCs/>
        </w:rPr>
      </w:pPr>
      <w:r>
        <w:t>When more than one option is applicable, hospitals should select the option that is primarily used for screening patients.</w:t>
      </w:r>
    </w:p>
    <w:p w14:paraId="2D830B9C" w14:textId="77777777" w:rsidR="00BD2B67" w:rsidRDefault="00BD2B67" w:rsidP="002005C4">
      <w:pPr>
        <w:pStyle w:val="ListParagraph"/>
        <w:spacing w:before="200" w:after="200"/>
        <w:ind w:left="360"/>
        <w:rPr>
          <w:rFonts w:eastAsia="Avenir" w:cstheme="minorHAnsi"/>
          <w:b/>
          <w:bCs/>
        </w:rPr>
      </w:pPr>
    </w:p>
    <w:p w14:paraId="093B940C" w14:textId="77777777" w:rsidR="002005C4" w:rsidRDefault="002005C4" w:rsidP="00AD309C">
      <w:pPr>
        <w:pStyle w:val="ListParagraph"/>
        <w:numPr>
          <w:ilvl w:val="0"/>
          <w:numId w:val="114"/>
        </w:numPr>
        <w:rPr>
          <w:rFonts w:cs="Arial"/>
          <w:b/>
        </w:rPr>
      </w:pPr>
      <w:r>
        <w:rPr>
          <w:rFonts w:cs="Arial"/>
          <w:b/>
        </w:rPr>
        <w:t>What does Leapfrog mean when asking if the</w:t>
      </w:r>
      <w:r>
        <w:rPr>
          <w:b/>
        </w:rPr>
        <w:t xml:space="preserve"> hospital’s financial assistance program includes ALL clinicians with privileges at the hospital</w:t>
      </w:r>
      <w:r>
        <w:rPr>
          <w:rFonts w:cs="Arial"/>
          <w:b/>
        </w:rPr>
        <w:t>?</w:t>
      </w:r>
    </w:p>
    <w:p w14:paraId="4DAB4928" w14:textId="5717ED47" w:rsidR="002005C4" w:rsidRDefault="002005C4" w:rsidP="002005C4">
      <w:pPr>
        <w:pStyle w:val="ListParagraph"/>
        <w:ind w:left="360"/>
        <w:rPr>
          <w:rStyle w:val="Hyperlink"/>
          <w:rFonts w:eastAsia="Avenir" w:cs="Arial"/>
        </w:rPr>
      </w:pPr>
      <w:r>
        <w:rPr>
          <w:rFonts w:eastAsia="Avenir" w:cs="Arial"/>
        </w:rPr>
        <w:t>Hospitals that offer a financial assistance program (FAP) or “charity care” should provide a list of any clinicians delivering emergency or other medically necessary care in the hospital, that specifies which clinicians</w:t>
      </w:r>
      <w:r w:rsidR="00B93C0D">
        <w:rPr>
          <w:rFonts w:eastAsia="Avenir" w:cs="Arial"/>
        </w:rPr>
        <w:t xml:space="preserve"> and services</w:t>
      </w:r>
      <w:r>
        <w:rPr>
          <w:rFonts w:eastAsia="Avenir" w:cs="Arial"/>
        </w:rPr>
        <w:t xml:space="preserve"> are covered by the FAP and which are not to ensure that the patient is aware that they may receive a separate bill that they will be responsible for from any clinician who is not covered. More information about what should be included in your financial assistance policy is available here: </w:t>
      </w:r>
      <w:hyperlink r:id="rId137" w:history="1">
        <w:r>
          <w:rPr>
            <w:rStyle w:val="Hyperlink"/>
            <w:rFonts w:eastAsia="Avenir" w:cs="Arial"/>
          </w:rPr>
          <w:t>https://www.irs.gov/charities-non-profits/financial-assistance-policy-and-emergency-medical-care-policy-section-501r4</w:t>
        </w:r>
      </w:hyperlink>
      <w:r>
        <w:rPr>
          <w:rStyle w:val="Hyperlink"/>
          <w:rFonts w:eastAsia="Avenir" w:cs="Arial"/>
        </w:rPr>
        <w:t>.</w:t>
      </w:r>
    </w:p>
    <w:p w14:paraId="57D83AD1" w14:textId="7B7DE03C" w:rsidR="002005C4" w:rsidRDefault="002005C4" w:rsidP="009617F5">
      <w:pPr>
        <w:pStyle w:val="ListParagraph"/>
        <w:spacing w:before="200" w:after="200"/>
        <w:ind w:left="360"/>
        <w:rPr>
          <w:rFonts w:eastAsia="Avenir" w:cstheme="minorHAnsi"/>
        </w:rPr>
      </w:pPr>
    </w:p>
    <w:p w14:paraId="29724B86" w14:textId="77777777" w:rsidR="00672EF2" w:rsidRPr="00D12299" w:rsidRDefault="00672EF2" w:rsidP="00672EF2">
      <w:pPr>
        <w:pStyle w:val="ListParagraph"/>
        <w:numPr>
          <w:ilvl w:val="0"/>
          <w:numId w:val="114"/>
        </w:numPr>
        <w:rPr>
          <w:b/>
          <w:bCs/>
        </w:rPr>
      </w:pPr>
      <w:r w:rsidRPr="00D12299">
        <w:rPr>
          <w:b/>
          <w:bCs/>
        </w:rPr>
        <w:t>Our organization currently lists the notification regarding some services being billed separately in the Frequently Asked Questions on our medical bills. Does this still need to be added to the financial assistance application?</w:t>
      </w:r>
    </w:p>
    <w:p w14:paraId="7E0D9A2B" w14:textId="1228BBD4" w:rsidR="000731FA" w:rsidRDefault="00672EF2" w:rsidP="00672EF2">
      <w:pPr>
        <w:pStyle w:val="ListParagraph"/>
        <w:ind w:left="360"/>
      </w:pPr>
      <w:r w:rsidRPr="00DF786A">
        <w:t>Yes, the disclosure should still be included in the financial assistance application itself. The intent of this question is to ensure patients are notified at the point of applying for financial assistance, not just somewhere else in the billing materials.</w:t>
      </w:r>
    </w:p>
    <w:p w14:paraId="14358E0D" w14:textId="77777777" w:rsidR="00672EF2" w:rsidRPr="00A624EC" w:rsidRDefault="00672EF2" w:rsidP="00672EF2">
      <w:pPr>
        <w:pStyle w:val="ListParagraph"/>
        <w:ind w:left="360"/>
        <w:rPr>
          <w:rFonts w:eastAsia="Avenir" w:cstheme="minorHAnsi"/>
        </w:rPr>
      </w:pPr>
    </w:p>
    <w:p w14:paraId="21937FDC" w14:textId="18CE1ADA" w:rsidR="005830F6" w:rsidRPr="005830F6" w:rsidRDefault="005830F6" w:rsidP="00AB5B80">
      <w:pPr>
        <w:pStyle w:val="Heading3"/>
      </w:pPr>
      <w:bookmarkStart w:id="132" w:name="_Health_Care_Equity"/>
      <w:bookmarkStart w:id="133" w:name="_Toc225877684"/>
      <w:bookmarkEnd w:id="132"/>
      <w:r>
        <w:t xml:space="preserve">Health </w:t>
      </w:r>
      <w:r w:rsidR="00F1796F">
        <w:t xml:space="preserve">Care </w:t>
      </w:r>
      <w:r w:rsidR="00BD6930">
        <w:t>Equity</w:t>
      </w:r>
      <w:r w:rsidR="00B078B4">
        <w:t xml:space="preserve"> FAQs</w:t>
      </w:r>
      <w:bookmarkEnd w:id="133"/>
    </w:p>
    <w:p w14:paraId="170EBE97" w14:textId="536973C4" w:rsidR="00E75C68" w:rsidRPr="00E75C68" w:rsidRDefault="00E75C68" w:rsidP="00AD309C">
      <w:pPr>
        <w:pStyle w:val="ListParagraph"/>
        <w:numPr>
          <w:ilvl w:val="0"/>
          <w:numId w:val="114"/>
        </w:numPr>
        <w:spacing w:before="200" w:after="200"/>
        <w:rPr>
          <w:b/>
        </w:rPr>
      </w:pPr>
      <w:r w:rsidRPr="00E75C68">
        <w:rPr>
          <w:b/>
        </w:rPr>
        <w:t>Our hospital is just starting to explore the collection and use of demographic data. What are some resources or tools we can use to collect demographic data?</w:t>
      </w:r>
    </w:p>
    <w:p w14:paraId="2BB26F03" w14:textId="4CD25972" w:rsidR="00E75C68" w:rsidRPr="00E75C68" w:rsidRDefault="00E75C68" w:rsidP="00F51F31">
      <w:pPr>
        <w:pStyle w:val="ListParagraph"/>
        <w:spacing w:before="200" w:after="200"/>
        <w:ind w:left="360"/>
        <w:rPr>
          <w:bCs/>
        </w:rPr>
      </w:pPr>
      <w:r w:rsidRPr="00E75C68">
        <w:rPr>
          <w:bCs/>
        </w:rPr>
        <w:t xml:space="preserve">Hospitals can refer to </w:t>
      </w:r>
      <w:hyperlink r:id="rId138" w:history="1">
        <w:r w:rsidRPr="00F1796F">
          <w:rPr>
            <w:rStyle w:val="Hyperlink"/>
            <w:bCs/>
          </w:rPr>
          <w:t>the Toronto Measuring Health Equity website</w:t>
        </w:r>
      </w:hyperlink>
      <w:r w:rsidRPr="00E75C68">
        <w:rPr>
          <w:bCs/>
        </w:rPr>
        <w:t xml:space="preserve"> which includes training videos, manuals</w:t>
      </w:r>
      <w:r w:rsidR="00350E55">
        <w:rPr>
          <w:bCs/>
        </w:rPr>
        <w:t>,</w:t>
      </w:r>
      <w:r w:rsidRPr="00E75C68">
        <w:rPr>
          <w:bCs/>
        </w:rPr>
        <w:t xml:space="preserve"> and presentations on how to collect demographic data from patients, including the modeling of interactions between health</w:t>
      </w:r>
      <w:r w:rsidR="006C03EE">
        <w:rPr>
          <w:bCs/>
        </w:rPr>
        <w:t xml:space="preserve"> </w:t>
      </w:r>
      <w:r w:rsidRPr="00E75C68">
        <w:rPr>
          <w:bCs/>
        </w:rPr>
        <w:t xml:space="preserve">care staff and patients. </w:t>
      </w:r>
      <w:r w:rsidR="00074549">
        <w:rPr>
          <w:bCs/>
        </w:rPr>
        <w:t>Additionally,</w:t>
      </w:r>
      <w:r w:rsidR="00C7037A">
        <w:rPr>
          <w:bCs/>
        </w:rPr>
        <w:t xml:space="preserve"> CMS also has </w:t>
      </w:r>
      <w:r w:rsidR="00124D85">
        <w:rPr>
          <w:bCs/>
        </w:rPr>
        <w:t>some free tools available on their website at:</w:t>
      </w:r>
      <w:r w:rsidR="00C7037A">
        <w:rPr>
          <w:bCs/>
        </w:rPr>
        <w:t xml:space="preserve"> </w:t>
      </w:r>
      <w:hyperlink r:id="rId139" w:history="1">
        <w:r w:rsidR="00C7037A" w:rsidRPr="007F3FD2">
          <w:rPr>
            <w:rStyle w:val="Hyperlink"/>
            <w:bCs/>
          </w:rPr>
          <w:t>https://www.cms.gov/priorities/health-equity/minority-health/research-data/research-data/tools</w:t>
        </w:r>
      </w:hyperlink>
      <w:r w:rsidR="00C7037A">
        <w:rPr>
          <w:bCs/>
        </w:rPr>
        <w:t xml:space="preserve">. </w:t>
      </w:r>
    </w:p>
    <w:p w14:paraId="28C52D71" w14:textId="77777777" w:rsidR="00E75C68" w:rsidRPr="0022585F" w:rsidRDefault="00E75C68" w:rsidP="00F51F31">
      <w:pPr>
        <w:pStyle w:val="ListParagraph"/>
        <w:spacing w:before="200" w:after="200"/>
        <w:ind w:left="360"/>
        <w:rPr>
          <w:bCs/>
        </w:rPr>
      </w:pPr>
    </w:p>
    <w:p w14:paraId="6EE177C4" w14:textId="64F5121F" w:rsidR="005830F6" w:rsidRPr="005830F6" w:rsidRDefault="006D304F" w:rsidP="00AD309C">
      <w:pPr>
        <w:pStyle w:val="ListParagraph"/>
        <w:numPr>
          <w:ilvl w:val="0"/>
          <w:numId w:val="114"/>
        </w:numPr>
        <w:spacing w:before="200" w:after="200"/>
        <w:rPr>
          <w:bCs/>
        </w:rPr>
      </w:pPr>
      <w:r w:rsidRPr="005830F6">
        <w:rPr>
          <w:b/>
        </w:rPr>
        <w:t xml:space="preserve">What types of demographic data should </w:t>
      </w:r>
      <w:r w:rsidR="006A7D26">
        <w:rPr>
          <w:b/>
        </w:rPr>
        <w:t>hospitals</w:t>
      </w:r>
      <w:r w:rsidRPr="005830F6">
        <w:rPr>
          <w:b/>
        </w:rPr>
        <w:t xml:space="preserve"> be collecting?</w:t>
      </w:r>
    </w:p>
    <w:p w14:paraId="6EB824AF" w14:textId="7DEA1FC1" w:rsidR="005830F6" w:rsidRPr="00A26035" w:rsidRDefault="0089521F" w:rsidP="00743591">
      <w:pPr>
        <w:pStyle w:val="ListParagraph"/>
        <w:spacing w:before="200" w:after="200"/>
        <w:ind w:left="360"/>
      </w:pPr>
      <w:r>
        <w:rPr>
          <w:bCs/>
        </w:rPr>
        <w:t>At</w:t>
      </w:r>
      <w:r w:rsidR="006D304F" w:rsidRPr="005830F6">
        <w:rPr>
          <w:bCs/>
        </w:rPr>
        <w:t xml:space="preserve"> minimum, </w:t>
      </w:r>
      <w:r w:rsidR="006A7D26">
        <w:rPr>
          <w:bCs/>
        </w:rPr>
        <w:t>hospitals</w:t>
      </w:r>
      <w:r w:rsidR="006D304F" w:rsidRPr="005830F6">
        <w:rPr>
          <w:bCs/>
        </w:rPr>
        <w:t xml:space="preserve"> should collect ethnic</w:t>
      </w:r>
      <w:r>
        <w:rPr>
          <w:bCs/>
        </w:rPr>
        <w:t>ity</w:t>
      </w:r>
      <w:r w:rsidR="006D304F" w:rsidRPr="005830F6">
        <w:rPr>
          <w:bCs/>
        </w:rPr>
        <w:t xml:space="preserve"> and rac</w:t>
      </w:r>
      <w:r>
        <w:rPr>
          <w:bCs/>
        </w:rPr>
        <w:t xml:space="preserve">e data from patients. While </w:t>
      </w:r>
      <w:r w:rsidR="006D304F" w:rsidRPr="005830F6">
        <w:rPr>
          <w:bCs/>
        </w:rPr>
        <w:t xml:space="preserve">the Office of Management and Budget (OMB) </w:t>
      </w:r>
      <w:r w:rsidR="00944067">
        <w:rPr>
          <w:bCs/>
        </w:rPr>
        <w:t xml:space="preserve">has revised </w:t>
      </w:r>
      <w:r w:rsidR="006D304F" w:rsidRPr="005830F6">
        <w:rPr>
          <w:bCs/>
        </w:rPr>
        <w:t>their Standards for</w:t>
      </w:r>
      <w:r w:rsidR="000B6D57" w:rsidRPr="000B6D57">
        <w:t xml:space="preserve"> </w:t>
      </w:r>
      <w:r w:rsidR="000B6D57">
        <w:t>m</w:t>
      </w:r>
      <w:r w:rsidR="000B6D57" w:rsidRPr="00753842">
        <w:t xml:space="preserve">aintaining, </w:t>
      </w:r>
      <w:r w:rsidR="000B6D57">
        <w:t>c</w:t>
      </w:r>
      <w:r w:rsidR="000B6D57" w:rsidRPr="00753842">
        <w:t xml:space="preserve">ollecting, and </w:t>
      </w:r>
      <w:r w:rsidR="000B6D57">
        <w:t>p</w:t>
      </w:r>
      <w:r w:rsidR="000B6D57" w:rsidRPr="00753842">
        <w:t>resenting</w:t>
      </w:r>
      <w:r w:rsidR="000B6D57">
        <w:rPr>
          <w:bCs/>
        </w:rPr>
        <w:t xml:space="preserve"> f</w:t>
      </w:r>
      <w:r w:rsidR="006D304F" w:rsidRPr="005830F6">
        <w:rPr>
          <w:bCs/>
        </w:rPr>
        <w:t xml:space="preserve">ederal </w:t>
      </w:r>
      <w:r w:rsidR="000B6D57">
        <w:rPr>
          <w:bCs/>
        </w:rPr>
        <w:t>d</w:t>
      </w:r>
      <w:r w:rsidR="006D304F" w:rsidRPr="005830F6">
        <w:rPr>
          <w:bCs/>
        </w:rPr>
        <w:t xml:space="preserve">ata on </w:t>
      </w:r>
      <w:r w:rsidR="000B6D57">
        <w:rPr>
          <w:bCs/>
        </w:rPr>
        <w:t>r</w:t>
      </w:r>
      <w:r w:rsidR="006D304F" w:rsidRPr="005830F6">
        <w:rPr>
          <w:bCs/>
        </w:rPr>
        <w:t xml:space="preserve">ace and </w:t>
      </w:r>
      <w:r w:rsidR="000B6D57">
        <w:rPr>
          <w:bCs/>
        </w:rPr>
        <w:t>e</w:t>
      </w:r>
      <w:r w:rsidR="006D304F" w:rsidRPr="005830F6">
        <w:rPr>
          <w:bCs/>
        </w:rPr>
        <w:t>thnicity</w:t>
      </w:r>
      <w:r w:rsidR="00464571">
        <w:rPr>
          <w:bCs/>
        </w:rPr>
        <w:t xml:space="preserve">, hospitals </w:t>
      </w:r>
      <w:r w:rsidR="00464571">
        <w:t>may not have implemented those updates</w:t>
      </w:r>
      <w:r w:rsidR="00464571" w:rsidRPr="002930BF">
        <w:t xml:space="preserve">. </w:t>
      </w:r>
      <w:r w:rsidR="00464571">
        <w:t>However, the following minimum categories should be used:</w:t>
      </w:r>
      <w:r w:rsidR="00012EC4" w:rsidRPr="00012EC4">
        <w:rPr>
          <w:bCs/>
        </w:rPr>
        <w:t xml:space="preserve"> </w:t>
      </w:r>
      <w:r w:rsidR="00012EC4" w:rsidRPr="005830F6">
        <w:rPr>
          <w:bCs/>
        </w:rPr>
        <w:t>American Indian or Alaska Native</w:t>
      </w:r>
      <w:r w:rsidR="00012EC4">
        <w:rPr>
          <w:bCs/>
        </w:rPr>
        <w:t>,</w:t>
      </w:r>
      <w:r w:rsidR="00464571">
        <w:rPr>
          <w:bCs/>
        </w:rPr>
        <w:t xml:space="preserve"> </w:t>
      </w:r>
      <w:r w:rsidR="006D304F" w:rsidRPr="005830F6">
        <w:rPr>
          <w:bCs/>
        </w:rPr>
        <w:t>Asian, Black or African American,</w:t>
      </w:r>
      <w:r w:rsidR="00012EC4">
        <w:rPr>
          <w:bCs/>
        </w:rPr>
        <w:t xml:space="preserve"> </w:t>
      </w:r>
      <w:r w:rsidR="00012EC4" w:rsidRPr="005830F6">
        <w:rPr>
          <w:bCs/>
        </w:rPr>
        <w:t>Hispanic or Latino</w:t>
      </w:r>
      <w:r w:rsidR="00012EC4">
        <w:rPr>
          <w:bCs/>
        </w:rPr>
        <w:t xml:space="preserve">, </w:t>
      </w:r>
      <w:r w:rsidR="006D304F" w:rsidRPr="005830F6">
        <w:rPr>
          <w:bCs/>
        </w:rPr>
        <w:t>Native Hawaiian or Pacific Islander, and White.</w:t>
      </w:r>
    </w:p>
    <w:p w14:paraId="2D5DEB44" w14:textId="5AE2C640" w:rsidR="00F1796F" w:rsidRPr="0022585F" w:rsidRDefault="00F1796F" w:rsidP="004F2BE4">
      <w:pPr>
        <w:pStyle w:val="ListParagraph"/>
        <w:spacing w:before="200" w:after="200"/>
        <w:ind w:left="360"/>
      </w:pPr>
    </w:p>
    <w:p w14:paraId="2EE068D8" w14:textId="6E7C1B10" w:rsidR="000C2612" w:rsidRPr="009D5663" w:rsidRDefault="00B71E51" w:rsidP="00AD309C">
      <w:pPr>
        <w:pStyle w:val="ListParagraph"/>
        <w:numPr>
          <w:ilvl w:val="0"/>
          <w:numId w:val="114"/>
        </w:numPr>
        <w:spacing w:before="200" w:after="200"/>
        <w:rPr>
          <w:bCs/>
        </w:rPr>
      </w:pPr>
      <w:bookmarkStart w:id="134" w:name="directlyfrompatientsfaq"/>
      <w:r>
        <w:rPr>
          <w:b/>
        </w:rPr>
        <w:t>To select any of the patient self-identified demographic data in question #</w:t>
      </w:r>
      <w:r w:rsidR="00F1796F">
        <w:rPr>
          <w:b/>
        </w:rPr>
        <w:t>1</w:t>
      </w:r>
      <w:r>
        <w:rPr>
          <w:b/>
        </w:rPr>
        <w:t>, d</w:t>
      </w:r>
      <w:r w:rsidR="000C2612">
        <w:rPr>
          <w:b/>
        </w:rPr>
        <w:t xml:space="preserve">oes a hospital need to collect </w:t>
      </w:r>
      <w:r>
        <w:rPr>
          <w:b/>
        </w:rPr>
        <w:t xml:space="preserve">the </w:t>
      </w:r>
      <w:r w:rsidR="00F306D2">
        <w:rPr>
          <w:b/>
        </w:rPr>
        <w:t xml:space="preserve">data </w:t>
      </w:r>
      <w:r w:rsidR="000C2612">
        <w:rPr>
          <w:b/>
        </w:rPr>
        <w:t xml:space="preserve">in a particular way? </w:t>
      </w:r>
    </w:p>
    <w:bookmarkEnd w:id="134"/>
    <w:p w14:paraId="543ED648" w14:textId="081E3E5F" w:rsidR="004F2BE4" w:rsidRPr="003430CC" w:rsidRDefault="00233425" w:rsidP="003430CC">
      <w:pPr>
        <w:pStyle w:val="ListParagraph"/>
        <w:spacing w:before="200" w:after="200"/>
        <w:ind w:left="360"/>
        <w:rPr>
          <w:bCs/>
        </w:rPr>
      </w:pPr>
      <w:r>
        <w:rPr>
          <w:bCs/>
        </w:rPr>
        <w:t>H</w:t>
      </w:r>
      <w:r w:rsidR="00B90B78">
        <w:rPr>
          <w:bCs/>
        </w:rPr>
        <w:t xml:space="preserve">ospitals should be </w:t>
      </w:r>
      <w:r w:rsidR="003430CC">
        <w:rPr>
          <w:bCs/>
        </w:rPr>
        <w:t xml:space="preserve">regularly </w:t>
      </w:r>
      <w:r w:rsidR="00B909F1" w:rsidRPr="00B909F1">
        <w:rPr>
          <w:bCs/>
        </w:rPr>
        <w:t>collect</w:t>
      </w:r>
      <w:r w:rsidR="00B90B78">
        <w:rPr>
          <w:bCs/>
        </w:rPr>
        <w:t>ing the information</w:t>
      </w:r>
      <w:r w:rsidR="00B909F1" w:rsidRPr="00B909F1">
        <w:rPr>
          <w:bCs/>
        </w:rPr>
        <w:t xml:space="preserve"> </w:t>
      </w:r>
      <w:r w:rsidR="003430CC">
        <w:rPr>
          <w:bCs/>
        </w:rPr>
        <w:t xml:space="preserve">via registration or a nurse admission assessment </w:t>
      </w:r>
      <w:r w:rsidR="00B909F1" w:rsidRPr="00B909F1">
        <w:rPr>
          <w:bCs/>
        </w:rPr>
        <w:t xml:space="preserve">directly from the patient or, for pediatric and other patients who cannot communicate the information themselves, the </w:t>
      </w:r>
      <w:r w:rsidR="003A5B06">
        <w:rPr>
          <w:bCs/>
        </w:rPr>
        <w:t xml:space="preserve">patient’s </w:t>
      </w:r>
      <w:r w:rsidR="00B909F1" w:rsidRPr="00B909F1">
        <w:rPr>
          <w:bCs/>
        </w:rPr>
        <w:t>legal guardia</w:t>
      </w:r>
      <w:r w:rsidR="003A5B06">
        <w:rPr>
          <w:bCs/>
        </w:rPr>
        <w:t>n</w:t>
      </w:r>
      <w:r w:rsidR="00B909F1" w:rsidRPr="00B909F1">
        <w:rPr>
          <w:bCs/>
        </w:rPr>
        <w:t xml:space="preserve">. Patients or their legal guardians should have the opportunity to provide the information either verbally (in-person or over the phone) or via a paper form or online </w:t>
      </w:r>
      <w:r w:rsidR="003430CC">
        <w:rPr>
          <w:bCs/>
        </w:rPr>
        <w:t xml:space="preserve">patient </w:t>
      </w:r>
      <w:r w:rsidR="00B909F1" w:rsidRPr="00B909F1">
        <w:rPr>
          <w:bCs/>
        </w:rPr>
        <w:t>portal. Information should NOT be collected through observation or other documents (</w:t>
      </w:r>
      <w:r w:rsidR="004530F5">
        <w:rPr>
          <w:bCs/>
        </w:rPr>
        <w:t>e.g</w:t>
      </w:r>
      <w:r w:rsidR="00B909F1" w:rsidRPr="00B909F1">
        <w:rPr>
          <w:bCs/>
        </w:rPr>
        <w:t>., state</w:t>
      </w:r>
      <w:r w:rsidR="006C03EE">
        <w:rPr>
          <w:bCs/>
        </w:rPr>
        <w:t>-</w:t>
      </w:r>
      <w:r w:rsidR="00B909F1" w:rsidRPr="00B909F1">
        <w:rPr>
          <w:bCs/>
        </w:rPr>
        <w:t>issue</w:t>
      </w:r>
      <w:r w:rsidR="006C03EE">
        <w:rPr>
          <w:bCs/>
        </w:rPr>
        <w:t>d</w:t>
      </w:r>
      <w:r w:rsidR="00B909F1" w:rsidRPr="00B909F1">
        <w:rPr>
          <w:bCs/>
        </w:rPr>
        <w:t xml:space="preserve"> ID). </w:t>
      </w:r>
      <w:r w:rsidR="003430CC">
        <w:rPr>
          <w:bCs/>
        </w:rPr>
        <w:t xml:space="preserve">This information should be collected from inpatients and outpatients. </w:t>
      </w:r>
      <w:r w:rsidR="004D1420" w:rsidRPr="003430CC">
        <w:rPr>
          <w:bCs/>
        </w:rPr>
        <w:br/>
      </w:r>
    </w:p>
    <w:p w14:paraId="44891A51" w14:textId="15249C55" w:rsidR="006A7D26" w:rsidRDefault="006A7D26" w:rsidP="00AD309C">
      <w:pPr>
        <w:pStyle w:val="ListParagraph"/>
        <w:numPr>
          <w:ilvl w:val="0"/>
          <w:numId w:val="114"/>
        </w:numPr>
        <w:spacing w:before="200" w:after="200"/>
        <w:rPr>
          <w:b/>
        </w:rPr>
      </w:pPr>
      <w:r>
        <w:rPr>
          <w:b/>
        </w:rPr>
        <w:t>Does Leapfrog have a</w:t>
      </w:r>
      <w:r w:rsidR="00B9561D">
        <w:rPr>
          <w:b/>
        </w:rPr>
        <w:t>n example of how to collect patient self-</w:t>
      </w:r>
      <w:r w:rsidR="00FE369B">
        <w:rPr>
          <w:b/>
        </w:rPr>
        <w:t xml:space="preserve">identified </w:t>
      </w:r>
      <w:r>
        <w:rPr>
          <w:b/>
        </w:rPr>
        <w:t>“sexual orientation”</w:t>
      </w:r>
      <w:r w:rsidR="00FE369B">
        <w:rPr>
          <w:b/>
        </w:rPr>
        <w:t xml:space="preserve"> or “gender identity”</w:t>
      </w:r>
      <w:r>
        <w:rPr>
          <w:b/>
        </w:rPr>
        <w:t xml:space="preserve"> in question #</w:t>
      </w:r>
      <w:r w:rsidR="00F1796F">
        <w:rPr>
          <w:b/>
        </w:rPr>
        <w:t>1</w:t>
      </w:r>
      <w:r>
        <w:rPr>
          <w:b/>
        </w:rPr>
        <w:t>?</w:t>
      </w:r>
    </w:p>
    <w:p w14:paraId="4B522B40" w14:textId="6198851D" w:rsidR="00065E1B" w:rsidRDefault="003F6162" w:rsidP="00F1796F">
      <w:pPr>
        <w:pStyle w:val="ListParagraph"/>
        <w:spacing w:before="200" w:after="200"/>
        <w:ind w:left="360"/>
        <w:rPr>
          <w:bCs/>
        </w:rPr>
      </w:pPr>
      <w:r>
        <w:rPr>
          <w:bCs/>
        </w:rPr>
        <w:t xml:space="preserve">The </w:t>
      </w:r>
      <w:r w:rsidR="00AA3362" w:rsidRPr="005830F6">
        <w:rPr>
          <w:bCs/>
        </w:rPr>
        <w:t>Centers for Disease Control and Prevention</w:t>
      </w:r>
      <w:r w:rsidR="00AA3362">
        <w:rPr>
          <w:bCs/>
        </w:rPr>
        <w:t xml:space="preserve"> (CDC)</w:t>
      </w:r>
      <w:r w:rsidR="00AA3362" w:rsidRPr="005830F6">
        <w:rPr>
          <w:bCs/>
        </w:rPr>
        <w:t xml:space="preserve"> has issued helpful guidance for providers and facilities</w:t>
      </w:r>
      <w:r>
        <w:rPr>
          <w:bCs/>
        </w:rPr>
        <w:t xml:space="preserve"> on their website</w:t>
      </w:r>
      <w:r w:rsidR="001E78A0">
        <w:rPr>
          <w:bCs/>
        </w:rPr>
        <w:t xml:space="preserve"> at</w:t>
      </w:r>
      <w:r w:rsidR="00C74441" w:rsidRPr="00C74441">
        <w:t xml:space="preserve"> </w:t>
      </w:r>
      <w:hyperlink r:id="rId140" w:history="1">
        <w:r w:rsidR="004E078C" w:rsidRPr="00B90D27">
          <w:rPr>
            <w:rStyle w:val="Hyperlink"/>
            <w:bCs/>
          </w:rPr>
          <w:t>https://www.cdc.gov/sti/hcp/clinical-guidance/taking-a-sexual-history.html</w:t>
        </w:r>
      </w:hyperlink>
      <w:r w:rsidR="001E78A0">
        <w:rPr>
          <w:rFonts w:eastAsia="Calibri" w:cs="Arial"/>
        </w:rPr>
        <w:t>.</w:t>
      </w:r>
      <w:r w:rsidR="004E078C">
        <w:rPr>
          <w:rFonts w:eastAsia="Calibri" w:cs="Arial"/>
        </w:rPr>
        <w:t xml:space="preserve"> </w:t>
      </w:r>
      <w:r w:rsidR="006A7D26" w:rsidRPr="00C22614">
        <w:rPr>
          <w:bCs/>
        </w:rPr>
        <w:t xml:space="preserve">This webpage </w:t>
      </w:r>
      <w:r w:rsidR="00A64013">
        <w:rPr>
          <w:bCs/>
        </w:rPr>
        <w:t xml:space="preserve">includes </w:t>
      </w:r>
      <w:r w:rsidR="00DE59F4">
        <w:t xml:space="preserve">guidance </w:t>
      </w:r>
      <w:r w:rsidR="00A64013">
        <w:t>for</w:t>
      </w:r>
      <w:r w:rsidR="00DE59F4">
        <w:t xml:space="preserve"> discussing sexual health, sexual orientation</w:t>
      </w:r>
      <w:r w:rsidR="007C26E7">
        <w:t>,</w:t>
      </w:r>
      <w:r w:rsidR="00DE59F4">
        <w:t xml:space="preserve"> and gender identity. Additionally, they provide</w:t>
      </w:r>
      <w:r w:rsidR="00DE59F4" w:rsidRPr="00C22614" w:rsidDel="00DE59F4">
        <w:rPr>
          <w:bCs/>
        </w:rPr>
        <w:t xml:space="preserve"> </w:t>
      </w:r>
      <w:r w:rsidR="006A7D26" w:rsidRPr="00C22614">
        <w:rPr>
          <w:bCs/>
        </w:rPr>
        <w:t xml:space="preserve">some helpful tips on </w:t>
      </w:r>
      <w:r w:rsidR="00DE59F4">
        <w:rPr>
          <w:bCs/>
        </w:rPr>
        <w:t xml:space="preserve">what questions to ask to collect </w:t>
      </w:r>
      <w:r w:rsidR="006A7D26" w:rsidRPr="00C22614">
        <w:rPr>
          <w:bCs/>
        </w:rPr>
        <w:t>the data</w:t>
      </w:r>
      <w:r w:rsidR="008D57B9">
        <w:rPr>
          <w:bCs/>
        </w:rPr>
        <w:t>.</w:t>
      </w:r>
    </w:p>
    <w:p w14:paraId="19E04A8C" w14:textId="77777777" w:rsidR="008C0634" w:rsidRDefault="008C0634" w:rsidP="00F1796F">
      <w:pPr>
        <w:pStyle w:val="ListParagraph"/>
        <w:spacing w:before="200" w:after="200"/>
        <w:ind w:left="360"/>
        <w:rPr>
          <w:bCs/>
        </w:rPr>
      </w:pPr>
    </w:p>
    <w:p w14:paraId="17F975F9" w14:textId="05A425C7" w:rsidR="008C0634" w:rsidRDefault="0098797D" w:rsidP="00F1796F">
      <w:pPr>
        <w:pStyle w:val="ListParagraph"/>
        <w:spacing w:before="200" w:after="200"/>
        <w:ind w:left="360"/>
        <w:rPr>
          <w:bCs/>
        </w:rPr>
      </w:pPr>
      <w:r>
        <w:rPr>
          <w:rFonts w:eastAsia="Calibri" w:cs="Arial"/>
        </w:rPr>
        <w:t xml:space="preserve">Another great resource is </w:t>
      </w:r>
      <w:r w:rsidRPr="001369A8">
        <w:rPr>
          <w:rFonts w:eastAsia="Calibri" w:cs="Arial"/>
        </w:rPr>
        <w:t>The Nuts and Bolts of SOGI</w:t>
      </w:r>
      <w:r>
        <w:rPr>
          <w:rFonts w:eastAsia="Calibri" w:cs="Arial"/>
        </w:rPr>
        <w:t xml:space="preserve"> </w:t>
      </w:r>
      <w:r w:rsidRPr="001369A8">
        <w:rPr>
          <w:rFonts w:eastAsia="Calibri" w:cs="Arial"/>
        </w:rPr>
        <w:t>Data Implementation:</w:t>
      </w:r>
      <w:r>
        <w:rPr>
          <w:rFonts w:eastAsia="Calibri" w:cs="Arial"/>
        </w:rPr>
        <w:t xml:space="preserve"> </w:t>
      </w:r>
      <w:r w:rsidRPr="003041BC">
        <w:rPr>
          <w:rFonts w:eastAsia="Calibri" w:cs="Arial"/>
          <w:i/>
          <w:iCs/>
        </w:rPr>
        <w:t>A Troubleshooting Toolkit</w:t>
      </w:r>
      <w:r>
        <w:rPr>
          <w:rFonts w:eastAsia="Calibri" w:cs="Arial"/>
          <w:i/>
          <w:iCs/>
        </w:rPr>
        <w:t xml:space="preserve"> </w:t>
      </w:r>
      <w:r>
        <w:rPr>
          <w:rFonts w:eastAsia="Calibri" w:cs="Arial"/>
        </w:rPr>
        <w:t xml:space="preserve">created by The Fenway Institute: </w:t>
      </w:r>
      <w:hyperlink r:id="rId141" w:history="1">
        <w:r w:rsidRPr="00B90D27">
          <w:rPr>
            <w:rStyle w:val="Hyperlink"/>
            <w:rFonts w:eastAsia="Calibri" w:cs="Arial"/>
          </w:rPr>
          <w:t>https://fenwayhealth.org/wp-content/uploads/TFI-54_SOGI-Data-Collection-Series-of-3-Tip-Sheets-for-pride-month_NutsAndBolts.pdf</w:t>
        </w:r>
      </w:hyperlink>
      <w:r>
        <w:rPr>
          <w:rFonts w:eastAsia="Calibri" w:cs="Arial"/>
        </w:rPr>
        <w:t>.</w:t>
      </w:r>
    </w:p>
    <w:p w14:paraId="13395552" w14:textId="77777777" w:rsidR="00065E1B" w:rsidRDefault="00065E1B" w:rsidP="00F1796F">
      <w:pPr>
        <w:pStyle w:val="ListParagraph"/>
        <w:spacing w:before="200" w:after="200"/>
        <w:ind w:left="360"/>
        <w:rPr>
          <w:bCs/>
        </w:rPr>
      </w:pPr>
    </w:p>
    <w:p w14:paraId="7AC27F97" w14:textId="77777777" w:rsidR="004D2C51" w:rsidRPr="009617F5" w:rsidRDefault="004D2C51" w:rsidP="00AD309C">
      <w:pPr>
        <w:pStyle w:val="ListParagraph"/>
        <w:numPr>
          <w:ilvl w:val="0"/>
          <w:numId w:val="114"/>
        </w:numPr>
        <w:spacing w:before="200" w:after="200"/>
        <w:rPr>
          <w:b/>
        </w:rPr>
      </w:pPr>
      <w:bookmarkStart w:id="135" w:name="abilitystatus_1c"/>
      <w:bookmarkEnd w:id="135"/>
      <w:r w:rsidRPr="009617F5">
        <w:rPr>
          <w:b/>
        </w:rPr>
        <w:t>What does Leapfrog mean by “ability status”?</w:t>
      </w:r>
    </w:p>
    <w:p w14:paraId="55A02CDF" w14:textId="00DF30C7" w:rsidR="004D2C51" w:rsidRPr="004D2C51" w:rsidRDefault="004D2C51" w:rsidP="004D2C51">
      <w:pPr>
        <w:pStyle w:val="ListParagraph"/>
        <w:spacing w:before="200" w:after="200"/>
        <w:ind w:left="360"/>
        <w:rPr>
          <w:bCs/>
        </w:rPr>
      </w:pPr>
      <w:r w:rsidRPr="004D2C51">
        <w:rPr>
          <w:bCs/>
        </w:rPr>
        <w:t xml:space="preserve">As described by the </w:t>
      </w:r>
      <w:hyperlink r:id="rId142" w:history="1">
        <w:r w:rsidRPr="006C70BB">
          <w:rPr>
            <w:rStyle w:val="Hyperlink"/>
            <w:bCs/>
          </w:rPr>
          <w:t>CDC</w:t>
        </w:r>
      </w:hyperlink>
      <w:r w:rsidRPr="004D2C51">
        <w:rPr>
          <w:bCs/>
        </w:rPr>
        <w:t xml:space="preserve">, a disability is any condition of the body or mind (impairment) that makes it more difficult for the person with the condition to do certain activities (activity limitation) and interact with the world around them (participation restrictions). More information is available on the CDC website at </w:t>
      </w:r>
      <w:hyperlink r:id="rId143" w:history="1">
        <w:r w:rsidR="00391729" w:rsidRPr="00650CF9">
          <w:rPr>
            <w:rStyle w:val="Hyperlink"/>
            <w:rFonts w:cstheme="minorHAnsi"/>
          </w:rPr>
          <w:t>https://www.cdc.gov/disability-and-health/about/?CDC_AAref_Val=https://www.cdc.gov/ncbddd/disabilityandhealth/disability.html</w:t>
        </w:r>
      </w:hyperlink>
      <w:r w:rsidRPr="004D2C51">
        <w:rPr>
          <w:bCs/>
        </w:rPr>
        <w:t>.</w:t>
      </w:r>
      <w:r>
        <w:rPr>
          <w:bCs/>
        </w:rPr>
        <w:t xml:space="preserve"> </w:t>
      </w:r>
      <w:r w:rsidRPr="004D2C51">
        <w:rPr>
          <w:bCs/>
        </w:rPr>
        <w:t xml:space="preserve">Examples of questions </w:t>
      </w:r>
      <w:r w:rsidR="00CD1E8D">
        <w:rPr>
          <w:bCs/>
        </w:rPr>
        <w:t xml:space="preserve">and ways to </w:t>
      </w:r>
      <w:r w:rsidRPr="004D2C51">
        <w:rPr>
          <w:bCs/>
        </w:rPr>
        <w:t>determine one’s ability status can be found here:</w:t>
      </w:r>
    </w:p>
    <w:p w14:paraId="243BC019" w14:textId="5A4D2831" w:rsidR="0080294B" w:rsidRDefault="0080294B" w:rsidP="00AD309C">
      <w:pPr>
        <w:pStyle w:val="ListParagraph"/>
        <w:numPr>
          <w:ilvl w:val="0"/>
          <w:numId w:val="399"/>
        </w:numPr>
        <w:spacing w:before="200" w:after="200" w:line="276" w:lineRule="auto"/>
      </w:pPr>
      <w:hyperlink r:id="rId144" w:history="1">
        <w:r w:rsidRPr="00650CF9">
          <w:rPr>
            <w:rStyle w:val="Hyperlink"/>
          </w:rPr>
          <w:t>https://www.cdc.gov/dhds/datasets/?CDC_AAref_Val=https://www.cdc.gov/ncbddd/disabilityandhealth/datasets.html</w:t>
        </w:r>
      </w:hyperlink>
      <w:r>
        <w:t xml:space="preserve"> </w:t>
      </w:r>
    </w:p>
    <w:p w14:paraId="2BD0C01D" w14:textId="7E168614" w:rsidR="004D2C51" w:rsidRPr="004D2C51" w:rsidRDefault="004D2C51" w:rsidP="00AD309C">
      <w:pPr>
        <w:pStyle w:val="ListParagraph"/>
        <w:numPr>
          <w:ilvl w:val="0"/>
          <w:numId w:val="399"/>
        </w:numPr>
        <w:spacing w:before="200" w:after="200"/>
        <w:rPr>
          <w:bCs/>
        </w:rPr>
      </w:pPr>
      <w:hyperlink r:id="rId145" w:history="1">
        <w:r w:rsidRPr="00B718A3">
          <w:rPr>
            <w:rStyle w:val="Hyperlink"/>
            <w:bCs/>
          </w:rPr>
          <w:t>https://torontohealthequity.ca/wp-content/uploads/2018/03/Measuring-Health-Equity-Participant-Manual-2018.pdf</w:t>
        </w:r>
      </w:hyperlink>
      <w:r>
        <w:rPr>
          <w:bCs/>
        </w:rPr>
        <w:t xml:space="preserve"> </w:t>
      </w:r>
    </w:p>
    <w:p w14:paraId="1D4DF930" w14:textId="43855D0D" w:rsidR="0060587B" w:rsidRPr="0015241C" w:rsidRDefault="0060587B" w:rsidP="00AD309C">
      <w:pPr>
        <w:pStyle w:val="ListParagraph"/>
        <w:numPr>
          <w:ilvl w:val="0"/>
          <w:numId w:val="399"/>
        </w:numPr>
        <w:spacing w:before="200" w:after="200"/>
      </w:pPr>
      <w:hyperlink r:id="rId146" w:history="1">
        <w:r w:rsidRPr="0060587B">
          <w:rPr>
            <w:rStyle w:val="Hyperlink"/>
          </w:rPr>
          <w:t>Short Set of question</w:t>
        </w:r>
        <w:r w:rsidR="001D1DCB">
          <w:rPr>
            <w:rStyle w:val="Hyperlink"/>
          </w:rPr>
          <w:t>s</w:t>
        </w:r>
        <w:r w:rsidRPr="0060587B">
          <w:rPr>
            <w:rStyle w:val="Hyperlink"/>
          </w:rPr>
          <w:t xml:space="preserve"> on Disability: Data Collection - Washington Group</w:t>
        </w:r>
      </w:hyperlink>
    </w:p>
    <w:p w14:paraId="16406F92" w14:textId="7FC134C3" w:rsidR="005830F6" w:rsidRPr="00A26035" w:rsidRDefault="00351ECD" w:rsidP="00AD309C">
      <w:pPr>
        <w:pStyle w:val="ListParagraph"/>
        <w:numPr>
          <w:ilvl w:val="0"/>
          <w:numId w:val="399"/>
        </w:numPr>
        <w:spacing w:before="200" w:after="200"/>
      </w:pPr>
      <w:hyperlink r:id="rId147" w:history="1">
        <w:r w:rsidRPr="00002F67">
          <w:rPr>
            <w:rStyle w:val="Hyperlink"/>
            <w:bCs/>
          </w:rPr>
          <w:t>Video 2 - Collecting Disability Data</w:t>
        </w:r>
      </w:hyperlink>
      <w:r w:rsidR="000C2612" w:rsidRPr="006A1014">
        <w:rPr>
          <w:bCs/>
        </w:rPr>
        <w:br/>
      </w:r>
    </w:p>
    <w:p w14:paraId="2191D06B" w14:textId="77777777" w:rsidR="005830F6" w:rsidRPr="005830F6" w:rsidRDefault="006D304F" w:rsidP="00AD309C">
      <w:pPr>
        <w:pStyle w:val="ListParagraph"/>
        <w:numPr>
          <w:ilvl w:val="0"/>
          <w:numId w:val="114"/>
        </w:numPr>
        <w:spacing w:before="200" w:after="200"/>
        <w:rPr>
          <w:bCs/>
        </w:rPr>
      </w:pPr>
      <w:r w:rsidRPr="005830F6">
        <w:rPr>
          <w:b/>
        </w:rPr>
        <w:t>How does Leapfrog define “health care disparities?”</w:t>
      </w:r>
    </w:p>
    <w:p w14:paraId="12E9F10D" w14:textId="515AC6FF" w:rsidR="00AD34F0" w:rsidRPr="00A26035" w:rsidRDefault="006D304F" w:rsidP="00D36222">
      <w:pPr>
        <w:pStyle w:val="ListParagraph"/>
        <w:spacing w:before="200" w:after="200"/>
        <w:ind w:left="360"/>
      </w:pPr>
      <w:bookmarkStart w:id="136" w:name="_Hlk67590777"/>
      <w:r>
        <w:t>Leapfrog defines health care disparit</w:t>
      </w:r>
      <w:r w:rsidR="00833D12">
        <w:t>ies</w:t>
      </w:r>
      <w:r>
        <w:t xml:space="preserve"> as </w:t>
      </w:r>
      <w:r w:rsidR="00FD167C" w:rsidRPr="00FD167C">
        <w:t>differences in the quality of health care that are not due to access-related factors or clinical needs, preferences, and appropriateness of intervention</w:t>
      </w:r>
      <w:r>
        <w:t xml:space="preserve">. </w:t>
      </w:r>
      <w:bookmarkEnd w:id="136"/>
      <w:r>
        <w:t>More information is availab</w:t>
      </w:r>
      <w:r w:rsidR="00FD167C">
        <w:t xml:space="preserve">le at </w:t>
      </w:r>
      <w:hyperlink r:id="rId148" w:history="1">
        <w:r w:rsidR="006C03EE" w:rsidRPr="00E61BB2">
          <w:rPr>
            <w:rStyle w:val="Hyperlink"/>
          </w:rPr>
          <w:t>https://www.ihi.org/insights/words-matter-making-sense-health-equity-terminology</w:t>
        </w:r>
      </w:hyperlink>
      <w:r w:rsidR="006C03EE">
        <w:t xml:space="preserve">. </w:t>
      </w:r>
      <w:r w:rsidR="00206F98">
        <w:br/>
      </w:r>
    </w:p>
    <w:p w14:paraId="1505BEEE" w14:textId="67B4C306" w:rsidR="005830F6" w:rsidRPr="005830F6" w:rsidRDefault="006D304F" w:rsidP="00AD309C">
      <w:pPr>
        <w:pStyle w:val="ListParagraph"/>
        <w:numPr>
          <w:ilvl w:val="0"/>
          <w:numId w:val="114"/>
        </w:numPr>
        <w:spacing w:before="200" w:after="200"/>
        <w:rPr>
          <w:bCs/>
        </w:rPr>
      </w:pPr>
      <w:bookmarkStart w:id="137" w:name="inadequatedatafaq"/>
      <w:r w:rsidRPr="005830F6">
        <w:rPr>
          <w:b/>
          <w:bCs/>
        </w:rPr>
        <w:t>In question #</w:t>
      </w:r>
      <w:r w:rsidR="006C4211">
        <w:rPr>
          <w:b/>
          <w:bCs/>
        </w:rPr>
        <w:t>4</w:t>
      </w:r>
      <w:r w:rsidRPr="005830F6">
        <w:rPr>
          <w:b/>
          <w:bCs/>
        </w:rPr>
        <w:t>, what does Leapfrog mean by “inadequate data available to determine if disparities exist</w:t>
      </w:r>
      <w:r w:rsidR="005830F6">
        <w:rPr>
          <w:b/>
          <w:bCs/>
        </w:rPr>
        <w:t>?</w:t>
      </w:r>
      <w:r w:rsidR="001D1DCB">
        <w:rPr>
          <w:b/>
          <w:bCs/>
        </w:rPr>
        <w:t>”</w:t>
      </w:r>
    </w:p>
    <w:p w14:paraId="23CFBB15" w14:textId="505F396F" w:rsidR="005830F6" w:rsidRDefault="006A7D26" w:rsidP="00A26035">
      <w:pPr>
        <w:pStyle w:val="ListParagraph"/>
        <w:spacing w:before="200" w:after="200"/>
        <w:ind w:left="360"/>
      </w:pPr>
      <w:bookmarkStart w:id="138" w:name="_Hlk66267157"/>
      <w:bookmarkEnd w:id="137"/>
      <w:r>
        <w:t>Hospitals</w:t>
      </w:r>
      <w:r w:rsidR="006D304F">
        <w:t xml:space="preserve"> may find that they cannot determine if a health care disparity exists due to small sample size</w:t>
      </w:r>
      <w:r w:rsidR="00833D12">
        <w:t>s</w:t>
      </w:r>
      <w:r w:rsidR="006D304F">
        <w:t xml:space="preserve"> (</w:t>
      </w:r>
      <w:r w:rsidR="00FB77B1">
        <w:t>e.g</w:t>
      </w:r>
      <w:r w:rsidR="006D304F">
        <w:t>., fewer than 25 patients able to be measure</w:t>
      </w:r>
      <w:r w:rsidR="00964E75">
        <w:t>d</w:t>
      </w:r>
      <w:r w:rsidR="006D304F">
        <w:t>)</w:t>
      </w:r>
      <w:r w:rsidR="00B90CB9">
        <w:t>.</w:t>
      </w:r>
    </w:p>
    <w:bookmarkEnd w:id="138"/>
    <w:p w14:paraId="2B5817C4" w14:textId="77777777" w:rsidR="005830F6" w:rsidRPr="00A26035" w:rsidRDefault="005830F6" w:rsidP="005830F6">
      <w:pPr>
        <w:pStyle w:val="ListParagraph"/>
        <w:spacing w:before="200" w:after="200" w:line="276" w:lineRule="auto"/>
        <w:ind w:left="360"/>
        <w:rPr>
          <w:bCs/>
        </w:rPr>
      </w:pPr>
    </w:p>
    <w:p w14:paraId="315C8484" w14:textId="487EA0B4" w:rsidR="00E5096C" w:rsidRPr="002B370C" w:rsidRDefault="00E5096C" w:rsidP="00AD309C">
      <w:pPr>
        <w:pStyle w:val="ListParagraph"/>
        <w:numPr>
          <w:ilvl w:val="0"/>
          <w:numId w:val="114"/>
        </w:numPr>
        <w:spacing w:before="200" w:after="200"/>
        <w:rPr>
          <w:iCs/>
        </w:rPr>
      </w:pPr>
      <w:bookmarkStart w:id="139" w:name="_Hlk66267191"/>
      <w:r w:rsidRPr="002B370C">
        <w:rPr>
          <w:b/>
          <w:bCs/>
        </w:rPr>
        <w:t>Can we report on health system level data in question #</w:t>
      </w:r>
      <w:r w:rsidR="006C4211">
        <w:rPr>
          <w:b/>
          <w:bCs/>
        </w:rPr>
        <w:t>4</w:t>
      </w:r>
      <w:r w:rsidRPr="002B370C">
        <w:rPr>
          <w:b/>
          <w:bCs/>
        </w:rPr>
        <w:t xml:space="preserve"> if </w:t>
      </w:r>
      <w:r>
        <w:rPr>
          <w:b/>
          <w:bCs/>
        </w:rPr>
        <w:t xml:space="preserve">we do not have adequate data to </w:t>
      </w:r>
      <w:r w:rsidRPr="002B370C">
        <w:rPr>
          <w:rFonts w:cs="Arial"/>
          <w:b/>
          <w:bCs/>
          <w:iCs/>
        </w:rPr>
        <w:t>determine if disparities exist?</w:t>
      </w:r>
      <w:r w:rsidRPr="002B370C">
        <w:rPr>
          <w:b/>
          <w:bCs/>
        </w:rPr>
        <w:t xml:space="preserve"> </w:t>
      </w:r>
    </w:p>
    <w:p w14:paraId="45549352" w14:textId="22910752" w:rsidR="00E5096C" w:rsidRDefault="00E5096C" w:rsidP="00A26035">
      <w:pPr>
        <w:pStyle w:val="ListParagraph"/>
        <w:spacing w:before="200" w:after="200"/>
        <w:ind w:left="360"/>
        <w:rPr>
          <w:rFonts w:cs="Arial"/>
        </w:rPr>
      </w:pPr>
      <w:r w:rsidRPr="002B370C">
        <w:rPr>
          <w:iCs/>
        </w:rPr>
        <w:t xml:space="preserve">Yes, </w:t>
      </w:r>
      <w:r w:rsidR="00291690">
        <w:rPr>
          <w:iCs/>
        </w:rPr>
        <w:t xml:space="preserve">individual </w:t>
      </w:r>
      <w:r w:rsidRPr="002B370C">
        <w:rPr>
          <w:iCs/>
        </w:rPr>
        <w:t xml:space="preserve">hospitals that do not have enough data to identify </w:t>
      </w:r>
      <w:r>
        <w:t xml:space="preserve">disparities </w:t>
      </w:r>
      <w:r w:rsidRPr="002B370C">
        <w:rPr>
          <w:rFonts w:cs="Arial"/>
        </w:rPr>
        <w:t xml:space="preserve">among </w:t>
      </w:r>
      <w:r>
        <w:rPr>
          <w:rFonts w:cs="Arial"/>
        </w:rPr>
        <w:t>their</w:t>
      </w:r>
      <w:r w:rsidRPr="002B370C">
        <w:rPr>
          <w:rFonts w:cs="Arial"/>
        </w:rPr>
        <w:t xml:space="preserve"> patients based on the demographic data selected in question #1 can </w:t>
      </w:r>
      <w:r w:rsidR="00B123D6">
        <w:rPr>
          <w:rFonts w:cs="Arial"/>
        </w:rPr>
        <w:t>respond</w:t>
      </w:r>
      <w:r w:rsidRPr="002B370C">
        <w:rPr>
          <w:rFonts w:cs="Arial"/>
        </w:rPr>
        <w:t xml:space="preserve"> “yes” to question #</w:t>
      </w:r>
      <w:r w:rsidR="009A01C9">
        <w:rPr>
          <w:rFonts w:cs="Arial"/>
        </w:rPr>
        <w:t>4</w:t>
      </w:r>
      <w:r>
        <w:rPr>
          <w:rFonts w:cs="Arial"/>
        </w:rPr>
        <w:t xml:space="preserve"> if they</w:t>
      </w:r>
      <w:r w:rsidR="00291690">
        <w:rPr>
          <w:rFonts w:cs="Arial"/>
        </w:rPr>
        <w:t xml:space="preserve"> are aggregating their data for the purposes of analysis with other facilities that are part of their system.</w:t>
      </w:r>
    </w:p>
    <w:p w14:paraId="4EDCC498" w14:textId="77777777" w:rsidR="00E5096C" w:rsidRPr="00A26035" w:rsidRDefault="00E5096C" w:rsidP="00E5096C">
      <w:pPr>
        <w:pStyle w:val="ListParagraph"/>
        <w:spacing w:before="200" w:after="200" w:line="276" w:lineRule="auto"/>
        <w:ind w:left="360"/>
        <w:rPr>
          <w:bCs/>
        </w:rPr>
      </w:pPr>
    </w:p>
    <w:p w14:paraId="05F63EBB" w14:textId="30D290BC" w:rsidR="001B4F0D" w:rsidRDefault="006D304F" w:rsidP="00AD309C">
      <w:pPr>
        <w:pStyle w:val="ListParagraph"/>
        <w:numPr>
          <w:ilvl w:val="0"/>
          <w:numId w:val="114"/>
        </w:numPr>
        <w:spacing w:before="200" w:after="200"/>
      </w:pPr>
      <w:r w:rsidRPr="005830F6">
        <w:rPr>
          <w:b/>
          <w:bCs/>
        </w:rPr>
        <w:t>In question #</w:t>
      </w:r>
      <w:r w:rsidR="007F7FBE">
        <w:rPr>
          <w:b/>
          <w:bCs/>
        </w:rPr>
        <w:t>6</w:t>
      </w:r>
      <w:r w:rsidRPr="005830F6">
        <w:rPr>
          <w:b/>
          <w:bCs/>
        </w:rPr>
        <w:t xml:space="preserve">, is Leapfrog asking whether our hospital is publicly reporting the measures we stratify </w:t>
      </w:r>
      <w:r w:rsidR="003D1390">
        <w:rPr>
          <w:b/>
          <w:bCs/>
        </w:rPr>
        <w:t>from question #3</w:t>
      </w:r>
      <w:r w:rsidRPr="005830F6">
        <w:rPr>
          <w:b/>
          <w:bCs/>
        </w:rPr>
        <w:t xml:space="preserve"> on our website? </w:t>
      </w:r>
      <w:r w:rsidR="00C85BED">
        <w:rPr>
          <w:b/>
          <w:bCs/>
        </w:rPr>
        <w:br/>
      </w:r>
      <w:bookmarkEnd w:id="139"/>
      <w:r w:rsidRPr="006D304F">
        <w:t xml:space="preserve">No. We are trying to assess the extent to which </w:t>
      </w:r>
      <w:r w:rsidR="00964E75">
        <w:t>hospitals</w:t>
      </w:r>
      <w:r w:rsidRPr="006D304F">
        <w:t xml:space="preserve"> are sharing any </w:t>
      </w:r>
      <w:r w:rsidR="00291690">
        <w:t>information</w:t>
      </w:r>
      <w:r w:rsidRPr="006D304F">
        <w:t xml:space="preserve"> on their efforts to </w:t>
      </w:r>
      <w:r w:rsidR="00291690">
        <w:t>identify and reduce</w:t>
      </w:r>
      <w:r w:rsidRPr="006D304F">
        <w:t xml:space="preserve"> health care disparities </w:t>
      </w:r>
      <w:r w:rsidR="005D782F">
        <w:t>based on</w:t>
      </w:r>
      <w:r w:rsidR="005D782F" w:rsidRPr="006D304F">
        <w:t xml:space="preserve"> </w:t>
      </w:r>
      <w:r w:rsidR="005D782F" w:rsidRPr="00DF3F28">
        <w:rPr>
          <w:bCs/>
        </w:rPr>
        <w:t xml:space="preserve">the self-identified demographic data </w:t>
      </w:r>
      <w:r w:rsidR="005D782F">
        <w:rPr>
          <w:bCs/>
        </w:rPr>
        <w:t xml:space="preserve">collected </w:t>
      </w:r>
      <w:r w:rsidR="005D782F" w:rsidRPr="00DF3F28">
        <w:rPr>
          <w:bCs/>
        </w:rPr>
        <w:t>directly from the patient or legal guardian present</w:t>
      </w:r>
      <w:r w:rsidR="005D782F">
        <w:t xml:space="preserve"> </w:t>
      </w:r>
      <w:r w:rsidRPr="006D304F">
        <w:t xml:space="preserve">and the impact of those efforts. This may take the form of sharing quantitative or qualitative data. It may also include a description of </w:t>
      </w:r>
      <w:r w:rsidR="0008279B">
        <w:t xml:space="preserve">the </w:t>
      </w:r>
      <w:r w:rsidRPr="006D304F">
        <w:t>types of demographic data collected and the analys</w:t>
      </w:r>
      <w:r w:rsidR="00494DB2">
        <w:t>e</w:t>
      </w:r>
      <w:r w:rsidRPr="006D304F">
        <w:t xml:space="preserve">s performed, which in some cases demonstrated no apparent health care disparities. </w:t>
      </w:r>
      <w:bookmarkStart w:id="140" w:name="_Hlk66267317"/>
      <w:r w:rsidR="001B4F0D">
        <w:t>Please note that the information on your webpage should be easily accessible. If your hospital is part of a health system, you must provide a link to the system webpage from your hospital’s individual website. Below are examples that meet the criteria for question #6.</w:t>
      </w:r>
    </w:p>
    <w:p w14:paraId="6195DF62" w14:textId="752E2736" w:rsidR="00A40AFF" w:rsidRDefault="001B4F0D" w:rsidP="003962CE">
      <w:pPr>
        <w:pStyle w:val="ListParagraph"/>
        <w:numPr>
          <w:ilvl w:val="0"/>
          <w:numId w:val="387"/>
        </w:numPr>
        <w:spacing w:before="200" w:after="200"/>
      </w:pPr>
      <w:r>
        <w:t xml:space="preserve">Henry Ford Health: </w:t>
      </w:r>
      <w:hyperlink r:id="rId149" w:history="1">
        <w:r w:rsidR="00602970" w:rsidRPr="00A2752F">
          <w:rPr>
            <w:rStyle w:val="Hyperlink"/>
          </w:rPr>
          <w:t>https://www.henryford.com/hcp/research/public-population-research/hdrc/resources/demo-data</w:t>
        </w:r>
      </w:hyperlink>
      <w:r w:rsidR="00602970">
        <w:t xml:space="preserve"> </w:t>
      </w:r>
      <w:r w:rsidR="00A40AFF" w:rsidRPr="00A40AFF">
        <w:t xml:space="preserve"> </w:t>
      </w:r>
    </w:p>
    <w:p w14:paraId="5AC5EFA3" w14:textId="2227BA7C" w:rsidR="00FA374A" w:rsidRDefault="001B4F0D" w:rsidP="003962CE">
      <w:pPr>
        <w:pStyle w:val="ListParagraph"/>
        <w:numPr>
          <w:ilvl w:val="0"/>
          <w:numId w:val="387"/>
        </w:numPr>
        <w:spacing w:before="200" w:after="200"/>
      </w:pPr>
      <w:proofErr w:type="spellStart"/>
      <w:r>
        <w:t>NewYork</w:t>
      </w:r>
      <w:proofErr w:type="spellEnd"/>
      <w:r>
        <w:t xml:space="preserve">-Presbyterian: </w:t>
      </w:r>
      <w:hyperlink r:id="rId150" w:history="1">
        <w:r w:rsidRPr="008B3A78">
          <w:rPr>
            <w:rStyle w:val="Hyperlink"/>
          </w:rPr>
          <w:t>https://www.nyp.org/daliocenter/data-and-infrastructure</w:t>
        </w:r>
      </w:hyperlink>
      <w:r>
        <w:t xml:space="preserve"> </w:t>
      </w:r>
      <w:bookmarkStart w:id="141" w:name="_Informed_Consent"/>
      <w:bookmarkStart w:id="142" w:name="_Ref123646568"/>
      <w:bookmarkEnd w:id="140"/>
      <w:bookmarkEnd w:id="141"/>
    </w:p>
    <w:p w14:paraId="1645640A" w14:textId="14E0A9BE" w:rsidR="009A43CA" w:rsidRDefault="009A43CA" w:rsidP="00AB5B80">
      <w:pPr>
        <w:pStyle w:val="Heading3"/>
      </w:pPr>
      <w:bookmarkStart w:id="143" w:name="_Ref162608984"/>
      <w:bookmarkStart w:id="144" w:name="_Toc225877685"/>
      <w:r>
        <w:t>Informed Consent</w:t>
      </w:r>
      <w:bookmarkEnd w:id="142"/>
      <w:r w:rsidR="00B078B4">
        <w:t xml:space="preserve"> FAQs</w:t>
      </w:r>
      <w:bookmarkEnd w:id="143"/>
      <w:bookmarkEnd w:id="144"/>
    </w:p>
    <w:p w14:paraId="10B22DCB" w14:textId="77777777" w:rsidR="00940046" w:rsidRPr="00A26035" w:rsidRDefault="00940046" w:rsidP="00940046">
      <w:pPr>
        <w:rPr>
          <w:lang w:eastAsia="ja-JP"/>
        </w:rPr>
      </w:pPr>
    </w:p>
    <w:p w14:paraId="743D6949" w14:textId="6FBCFDE7" w:rsidR="00940046" w:rsidRDefault="00940046" w:rsidP="00AD309C">
      <w:pPr>
        <w:pStyle w:val="ListParagraph"/>
        <w:numPr>
          <w:ilvl w:val="0"/>
          <w:numId w:val="114"/>
        </w:numPr>
      </w:pPr>
      <w:r>
        <w:rPr>
          <w:b/>
          <w:bCs/>
        </w:rPr>
        <w:t>In cases where hospitals do not have inform</w:t>
      </w:r>
      <w:r w:rsidR="00DA12D7">
        <w:rPr>
          <w:b/>
          <w:bCs/>
        </w:rPr>
        <w:t>ation</w:t>
      </w:r>
      <w:r>
        <w:rPr>
          <w:b/>
          <w:bCs/>
        </w:rPr>
        <w:t xml:space="preserve"> about informed consent processes that</w:t>
      </w:r>
      <w:r w:rsidRPr="00DD1010">
        <w:rPr>
          <w:b/>
          <w:bCs/>
        </w:rPr>
        <w:t xml:space="preserve"> take place at a clinician</w:t>
      </w:r>
      <w:r>
        <w:rPr>
          <w:b/>
          <w:bCs/>
        </w:rPr>
        <w:t>’s</w:t>
      </w:r>
      <w:r w:rsidRPr="00DD1010">
        <w:rPr>
          <w:b/>
          <w:bCs/>
        </w:rPr>
        <w:t xml:space="preserve"> (e.g., surgeon</w:t>
      </w:r>
      <w:r w:rsidR="00DA12D7">
        <w:rPr>
          <w:b/>
          <w:bCs/>
        </w:rPr>
        <w:t>’s</w:t>
      </w:r>
      <w:r w:rsidRPr="00DD1010">
        <w:rPr>
          <w:b/>
          <w:bCs/>
        </w:rPr>
        <w:t>) office</w:t>
      </w:r>
      <w:r>
        <w:rPr>
          <w:b/>
          <w:bCs/>
        </w:rPr>
        <w:t xml:space="preserve">, or </w:t>
      </w:r>
      <w:r w:rsidR="004C4FE8">
        <w:rPr>
          <w:b/>
          <w:bCs/>
        </w:rPr>
        <w:t xml:space="preserve">if </w:t>
      </w:r>
      <w:r>
        <w:rPr>
          <w:b/>
          <w:bCs/>
        </w:rPr>
        <w:t xml:space="preserve">informed consent processes </w:t>
      </w:r>
      <w:r w:rsidR="00DA12D7">
        <w:rPr>
          <w:b/>
          <w:bCs/>
        </w:rPr>
        <w:t xml:space="preserve">are </w:t>
      </w:r>
      <w:r>
        <w:rPr>
          <w:b/>
          <w:bCs/>
        </w:rPr>
        <w:t xml:space="preserve">conducted by clinicians that are not employed by the hospital, or in other cases where the hospital does not have visibility into the informed consent process, how should hospitals respond to questions in this </w:t>
      </w:r>
      <w:r w:rsidR="00BD453D">
        <w:rPr>
          <w:b/>
          <w:bCs/>
        </w:rPr>
        <w:t>s</w:t>
      </w:r>
      <w:r>
        <w:rPr>
          <w:b/>
          <w:bCs/>
        </w:rPr>
        <w:t>ection?</w:t>
      </w:r>
    </w:p>
    <w:p w14:paraId="1264D932" w14:textId="7B4BB06E" w:rsidR="000068B4" w:rsidRDefault="00985B1F" w:rsidP="00940046">
      <w:pPr>
        <w:pStyle w:val="ListParagraph"/>
        <w:ind w:left="360"/>
      </w:pPr>
      <w:r>
        <w:t xml:space="preserve">Hospitals that do </w:t>
      </w:r>
      <w:r w:rsidR="00940046">
        <w:t>not have input</w:t>
      </w:r>
      <w:r w:rsidR="001710FD">
        <w:t xml:space="preserve"> </w:t>
      </w:r>
      <w:r w:rsidR="00940046">
        <w:t xml:space="preserve">over the consent form or </w:t>
      </w:r>
      <w:r w:rsidR="000068B4">
        <w:t xml:space="preserve">visibility into the informed consent </w:t>
      </w:r>
      <w:r w:rsidR="00940046">
        <w:t>process for procedure</w:t>
      </w:r>
      <w:r w:rsidR="000068B4">
        <w:t>s</w:t>
      </w:r>
      <w:r w:rsidR="00940046">
        <w:t xml:space="preserve"> performed at </w:t>
      </w:r>
      <w:r w:rsidR="00DA12D7">
        <w:t>a</w:t>
      </w:r>
      <w:r w:rsidR="00940046">
        <w:t xml:space="preserve"> hospital, </w:t>
      </w:r>
      <w:r w:rsidR="00C814D9">
        <w:t xml:space="preserve">should select </w:t>
      </w:r>
      <w:r w:rsidR="00DA12D7">
        <w:t>“</w:t>
      </w:r>
      <w:r w:rsidR="00940046">
        <w:t>No</w:t>
      </w:r>
      <w:r w:rsidR="00DA12D7">
        <w:t>”</w:t>
      </w:r>
      <w:r w:rsidR="00940046">
        <w:t xml:space="preserve"> </w:t>
      </w:r>
      <w:r w:rsidR="00C814D9">
        <w:t xml:space="preserve">for the </w:t>
      </w:r>
      <w:r w:rsidR="00940046">
        <w:t xml:space="preserve">questions in this </w:t>
      </w:r>
      <w:r w:rsidR="00C814D9">
        <w:t>s</w:t>
      </w:r>
      <w:r w:rsidR="00940046">
        <w:t xml:space="preserve">ection. </w:t>
      </w:r>
    </w:p>
    <w:p w14:paraId="1895ECB0" w14:textId="77777777" w:rsidR="000068B4" w:rsidRPr="00A26035" w:rsidRDefault="000068B4" w:rsidP="00940046">
      <w:pPr>
        <w:pStyle w:val="ListParagraph"/>
        <w:ind w:left="360"/>
      </w:pPr>
    </w:p>
    <w:p w14:paraId="5BE80EB3" w14:textId="6E08C249" w:rsidR="00804778" w:rsidRPr="00202D75" w:rsidRDefault="00940046" w:rsidP="00A34054">
      <w:pPr>
        <w:pStyle w:val="ListParagraph"/>
        <w:ind w:left="360"/>
        <w:rPr>
          <w:sz w:val="16"/>
          <w:szCs w:val="16"/>
        </w:rPr>
      </w:pPr>
      <w:r>
        <w:lastRenderedPageBreak/>
        <w:t xml:space="preserve">If the hospital does have input over the consent form and </w:t>
      </w:r>
      <w:r w:rsidR="000068B4">
        <w:t xml:space="preserve">visibility into the informed consent </w:t>
      </w:r>
      <w:r>
        <w:t>process for procedures performed at the hospital,</w:t>
      </w:r>
      <w:r w:rsidR="007D2614" w:rsidRPr="007D2614">
        <w:t xml:space="preserve"> </w:t>
      </w:r>
      <w:r w:rsidR="007D2614">
        <w:t>such as through the privileging process to allow clinicians to practice at their facility,</w:t>
      </w:r>
      <w:r>
        <w:t xml:space="preserve"> but the consent </w:t>
      </w:r>
      <w:r w:rsidR="000837F9">
        <w:t xml:space="preserve">forms and the consent process are being completed </w:t>
      </w:r>
      <w:r>
        <w:t xml:space="preserve">at the clinician(s)'s office, the hospital can work with those offices to implement the </w:t>
      </w:r>
      <w:r w:rsidR="006B18C5">
        <w:t xml:space="preserve">requirements </w:t>
      </w:r>
      <w:r>
        <w:t xml:space="preserve">outlined in the questions and, via </w:t>
      </w:r>
      <w:r w:rsidR="006B18C5">
        <w:t xml:space="preserve">an </w:t>
      </w:r>
      <w:r>
        <w:t xml:space="preserve">annual audit, verify that </w:t>
      </w:r>
      <w:r w:rsidR="00114CE4">
        <w:t xml:space="preserve">the forms and process meet the criteria to respond “Yes” to the questions in this section. All documentation should be maintained throughout the Survey Cycle. </w:t>
      </w:r>
      <w:r>
        <w:br/>
      </w:r>
    </w:p>
    <w:p w14:paraId="29F069DC" w14:textId="2F29AB02" w:rsidR="00895382" w:rsidRDefault="00895382" w:rsidP="00AD309C">
      <w:pPr>
        <w:pStyle w:val="ListParagraph"/>
        <w:numPr>
          <w:ilvl w:val="0"/>
          <w:numId w:val="114"/>
        </w:numPr>
        <w:spacing w:before="200" w:after="200"/>
        <w:rPr>
          <w:b/>
        </w:rPr>
      </w:pPr>
      <w:r>
        <w:rPr>
          <w:b/>
        </w:rPr>
        <w:t xml:space="preserve">Are there any examples of patients for whom the informed consent </w:t>
      </w:r>
      <w:r w:rsidR="00AF1A53">
        <w:rPr>
          <w:b/>
        </w:rPr>
        <w:t xml:space="preserve">questions </w:t>
      </w:r>
      <w:r>
        <w:rPr>
          <w:b/>
        </w:rPr>
        <w:t>would not apply?</w:t>
      </w:r>
    </w:p>
    <w:p w14:paraId="7C5320F4" w14:textId="7D9DCD04" w:rsidR="00444BF9" w:rsidRDefault="00AF1A53" w:rsidP="00A26035">
      <w:pPr>
        <w:pStyle w:val="ListParagraph"/>
        <w:ind w:left="360"/>
      </w:pPr>
      <w:r>
        <w:t>When responding to the questions in this subsection, you can exclude p</w:t>
      </w:r>
      <w:r w:rsidR="00895382">
        <w:t xml:space="preserve">atients who are unable to communicate and for whom no </w:t>
      </w:r>
      <w:r w:rsidR="00D42B5B">
        <w:t xml:space="preserve">legal guardian </w:t>
      </w:r>
      <w:r w:rsidR="00895382">
        <w:t>or medical proxy has been identified</w:t>
      </w:r>
      <w:r w:rsidR="00940046">
        <w:t xml:space="preserve"> at least one week prior to the procedure being performed.</w:t>
      </w:r>
    </w:p>
    <w:p w14:paraId="4311D907" w14:textId="77777777" w:rsidR="000418AE" w:rsidRDefault="000418AE" w:rsidP="00A26035">
      <w:pPr>
        <w:pStyle w:val="ListParagraph"/>
        <w:ind w:left="360"/>
      </w:pPr>
    </w:p>
    <w:p w14:paraId="5FE7FA8A" w14:textId="4462587C" w:rsidR="000418AE" w:rsidRDefault="000418AE" w:rsidP="00AD309C">
      <w:pPr>
        <w:pStyle w:val="ListParagraph"/>
        <w:numPr>
          <w:ilvl w:val="0"/>
          <w:numId w:val="114"/>
        </w:numPr>
        <w:rPr>
          <w:b/>
          <w:bCs/>
        </w:rPr>
      </w:pPr>
      <w:r>
        <w:rPr>
          <w:b/>
          <w:bCs/>
        </w:rPr>
        <w:t>Should we consider the term “legal guardian” to be equivalent to the term “legal surrogate decision-maker”?</w:t>
      </w:r>
    </w:p>
    <w:p w14:paraId="73C49621" w14:textId="13441F8A" w:rsidR="00960220" w:rsidRDefault="000418AE" w:rsidP="000418AE">
      <w:pPr>
        <w:pStyle w:val="ListParagraph"/>
        <w:ind w:left="360"/>
      </w:pPr>
      <w:r w:rsidRPr="00381792">
        <w:t xml:space="preserve">Yes, </w:t>
      </w:r>
      <w:r>
        <w:t>for the purposes of the Leapfrog Hospital Survey, these terms are equivalent.</w:t>
      </w:r>
    </w:p>
    <w:p w14:paraId="63321250" w14:textId="77777777" w:rsidR="00D40B38" w:rsidRPr="00A26035" w:rsidRDefault="00D40B38" w:rsidP="004D1420"/>
    <w:p w14:paraId="0599D9F2" w14:textId="346073BC" w:rsidR="00444BF9" w:rsidRPr="00444BF9" w:rsidRDefault="00444BF9" w:rsidP="00AD309C">
      <w:pPr>
        <w:pStyle w:val="ListParagraph"/>
        <w:numPr>
          <w:ilvl w:val="0"/>
          <w:numId w:val="114"/>
        </w:numPr>
      </w:pPr>
      <w:r w:rsidRPr="00444BF9">
        <w:rPr>
          <w:b/>
          <w:bCs/>
        </w:rPr>
        <w:t>What roles and staff levels need to be included in the training program on informed consent included in question #1? What types of training can we use?</w:t>
      </w:r>
    </w:p>
    <w:p w14:paraId="075330A8" w14:textId="1F3C9232" w:rsidR="00444BF9" w:rsidRDefault="00444BF9" w:rsidP="00444BF9">
      <w:pPr>
        <w:pStyle w:val="ListParagraph"/>
        <w:ind w:left="360"/>
      </w:pPr>
      <w:r>
        <w:t xml:space="preserve">As described on page 98 of the </w:t>
      </w:r>
      <w:hyperlink r:id="rId151" w:history="1">
        <w:r w:rsidRPr="0093622E">
          <w:rPr>
            <w:rStyle w:val="Hyperlink"/>
          </w:rPr>
          <w:t>AHRQ’s Making Informed Consent an Informed Choice – Training for Health Care Leaders</w:t>
        </w:r>
      </w:hyperlink>
      <w:r>
        <w:t>, the appropriate roles for training include all the following: hospital leaders, physicians/independent nurse practitioners/independent physician assistants, nurses or other clinical staff, administrative staff</w:t>
      </w:r>
      <w:r w:rsidR="00B721BA">
        <w:t xml:space="preserve"> in a patient-facing role</w:t>
      </w:r>
      <w:r>
        <w:t>, and interpreters. The training may be tailored to only include relevant materials based on the staff role. The goal is for each responsible staff person to be trained in their applicable domains.</w:t>
      </w:r>
      <w:r w:rsidR="00580477">
        <w:t xml:space="preserve"> </w:t>
      </w:r>
      <w:r>
        <w:t>For example:</w:t>
      </w:r>
    </w:p>
    <w:p w14:paraId="1D7E58F1" w14:textId="77777777" w:rsidR="00444BF9" w:rsidRDefault="00444BF9" w:rsidP="00AD309C">
      <w:pPr>
        <w:pStyle w:val="ListParagraph"/>
        <w:numPr>
          <w:ilvl w:val="0"/>
          <w:numId w:val="194"/>
        </w:numPr>
        <w:contextualSpacing w:val="0"/>
      </w:pPr>
      <w:r>
        <w:t>For hospital leaders, training on the definition and principles of informed consent and specifics on the hospital’s informed consent policy is appropriate.</w:t>
      </w:r>
    </w:p>
    <w:p w14:paraId="1326D559" w14:textId="03D65F4E" w:rsidR="00444BF9" w:rsidRDefault="00444BF9" w:rsidP="00AD309C">
      <w:pPr>
        <w:pStyle w:val="ListParagraph"/>
        <w:numPr>
          <w:ilvl w:val="0"/>
          <w:numId w:val="194"/>
        </w:numPr>
        <w:contextualSpacing w:val="0"/>
      </w:pPr>
      <w:r>
        <w:t>Clinical staff such as physicians and nurses should also be trained in strategies for clear communication, for presenting choices, and for documentation</w:t>
      </w:r>
      <w:r w:rsidR="009D09A6">
        <w:t>, if they are responsible for directly conducting the informed consent process</w:t>
      </w:r>
      <w:r>
        <w:t xml:space="preserve">. </w:t>
      </w:r>
    </w:p>
    <w:p w14:paraId="53D361F7" w14:textId="1F11540C" w:rsidR="00444BF9" w:rsidRDefault="00FA6657" w:rsidP="00AD309C">
      <w:pPr>
        <w:pStyle w:val="ListParagraph"/>
        <w:numPr>
          <w:ilvl w:val="0"/>
          <w:numId w:val="194"/>
        </w:numPr>
        <w:contextualSpacing w:val="0"/>
      </w:pPr>
      <w:r>
        <w:t>A</w:t>
      </w:r>
      <w:r w:rsidR="00444BF9">
        <w:t>dministrative staff</w:t>
      </w:r>
      <w:r w:rsidR="00E657CE" w:rsidRPr="00E657CE">
        <w:t xml:space="preserve"> </w:t>
      </w:r>
      <w:r w:rsidR="00E657CE">
        <w:t>in a patient-facing role</w:t>
      </w:r>
      <w:r w:rsidR="00444BF9">
        <w:t xml:space="preserve"> and interpreters</w:t>
      </w:r>
      <w:r>
        <w:t xml:space="preserve"> should also be trained in reviewing and completing documentation</w:t>
      </w:r>
      <w:r w:rsidR="00444BF9">
        <w:t xml:space="preserve"> </w:t>
      </w:r>
      <w:r w:rsidR="00911040">
        <w:t xml:space="preserve">if </w:t>
      </w:r>
      <w:r w:rsidR="00444BF9">
        <w:t xml:space="preserve">participating in the informed consent process. </w:t>
      </w:r>
    </w:p>
    <w:p w14:paraId="6F622821" w14:textId="77777777" w:rsidR="00444BF9" w:rsidRPr="00A26035" w:rsidRDefault="00444BF9" w:rsidP="00444BF9">
      <w:pPr>
        <w:rPr>
          <w:rFonts w:eastAsiaTheme="minorHAnsi"/>
        </w:rPr>
      </w:pPr>
    </w:p>
    <w:p w14:paraId="23AA6D4E" w14:textId="77777777" w:rsidR="00444BF9" w:rsidRDefault="00444BF9" w:rsidP="00444BF9">
      <w:pPr>
        <w:ind w:left="360"/>
      </w:pPr>
      <w:r>
        <w:t>Staff that are not directly employed by the hospital (e.g., medical interpreters who are employed by a contractor) do not need to be trained by the hospital.</w:t>
      </w:r>
    </w:p>
    <w:p w14:paraId="5C3011CA" w14:textId="77777777" w:rsidR="00444BF9" w:rsidRPr="00A26035" w:rsidRDefault="00444BF9" w:rsidP="00444BF9">
      <w:pPr>
        <w:pStyle w:val="ListParagraph"/>
      </w:pPr>
    </w:p>
    <w:p w14:paraId="1DDF2260" w14:textId="6DC1C151" w:rsidR="00355191" w:rsidRPr="00355191" w:rsidRDefault="00261904" w:rsidP="00A90AE6">
      <w:pPr>
        <w:ind w:left="360"/>
      </w:pPr>
      <w:r>
        <w:t>Training does</w:t>
      </w:r>
      <w:r w:rsidR="00444BF9">
        <w:t xml:space="preserve"> not need to be exclusive to informed consent and can be included as </w:t>
      </w:r>
      <w:r w:rsidR="001C7475">
        <w:t xml:space="preserve">a </w:t>
      </w:r>
      <w:r w:rsidR="00444BF9">
        <w:t>component or module in other trainings. Examples of trainings include computer-based training, one-on-one precepting, webinars, and staff meeting presentations, as well as other modalities where learning can be assessed after the content is delivered to the trainee.</w:t>
      </w:r>
    </w:p>
    <w:p w14:paraId="5C91EFE1" w14:textId="25974C6E" w:rsidR="00B65144" w:rsidRDefault="00B65144" w:rsidP="00D57961">
      <w:pPr>
        <w:ind w:left="360"/>
      </w:pPr>
    </w:p>
    <w:p w14:paraId="31B188CD" w14:textId="1E22D529" w:rsidR="00940046" w:rsidRDefault="00940046" w:rsidP="00AD309C">
      <w:pPr>
        <w:pStyle w:val="ListParagraph"/>
        <w:numPr>
          <w:ilvl w:val="0"/>
          <w:numId w:val="114"/>
        </w:numPr>
        <w:rPr>
          <w:b/>
          <w:bCs/>
        </w:rPr>
      </w:pPr>
      <w:r>
        <w:rPr>
          <w:b/>
          <w:bCs/>
        </w:rPr>
        <w:t xml:space="preserve">Should each consent form be customized to include patient- and procedure-specific details to explain </w:t>
      </w:r>
      <w:r w:rsidR="00DA12D7">
        <w:rPr>
          <w:b/>
          <w:bCs/>
        </w:rPr>
        <w:t>expected difficulties and recovery time (question #</w:t>
      </w:r>
      <w:bookmarkStart w:id="145" w:name="_Hlk119680846"/>
      <w:r w:rsidR="00B43989">
        <w:rPr>
          <w:b/>
          <w:bCs/>
        </w:rPr>
        <w:t>2</w:t>
      </w:r>
      <w:r w:rsidR="00DA12D7">
        <w:rPr>
          <w:b/>
          <w:bCs/>
        </w:rPr>
        <w:t>)</w:t>
      </w:r>
      <w:r w:rsidR="00C62199">
        <w:rPr>
          <w:b/>
          <w:bCs/>
        </w:rPr>
        <w:t>?</w:t>
      </w:r>
      <w:bookmarkEnd w:id="145"/>
    </w:p>
    <w:p w14:paraId="561D0091" w14:textId="34730FB0" w:rsidR="00C03993" w:rsidRDefault="00940046" w:rsidP="00F30C3F">
      <w:pPr>
        <w:pStyle w:val="ListParagraph"/>
        <w:ind w:left="360"/>
      </w:pPr>
      <w:r>
        <w:t>No. Instead, the consent form must document that the conversation between the patient and the clinician took place, and that the patient had the opportunity to ask questions. For example, such language might read: “</w:t>
      </w:r>
      <w:r w:rsidR="00835CBF" w:rsidRPr="00E41F2C">
        <w:t>I confirm that the choices for my treatment were explained to me. I understand the risks I may face and the benefits that may happen. I also know about the issues I might face from having the procedure. I understand how long I will take to recover, how I can manage my pain, and any rules to follow while I am in the hospital and after I leave. I also understand why the procedure is being done.</w:t>
      </w:r>
      <w:r w:rsidR="00C128E7">
        <w:t>”</w:t>
      </w:r>
    </w:p>
    <w:p w14:paraId="205607A4" w14:textId="77777777" w:rsidR="00C03993" w:rsidRDefault="00C03993" w:rsidP="00F30C3F">
      <w:pPr>
        <w:pStyle w:val="ListParagraph"/>
        <w:ind w:left="360"/>
      </w:pPr>
    </w:p>
    <w:p w14:paraId="7C44B46B" w14:textId="77777777" w:rsidR="00C62199" w:rsidRPr="00D66BB6" w:rsidRDefault="00C62199" w:rsidP="00AD309C">
      <w:pPr>
        <w:pStyle w:val="ListParagraph"/>
        <w:numPr>
          <w:ilvl w:val="0"/>
          <w:numId w:val="114"/>
        </w:numPr>
        <w:rPr>
          <w:rFonts w:cs="Arial"/>
          <w:b/>
          <w:bCs/>
        </w:rPr>
      </w:pPr>
      <w:r w:rsidRPr="00D66BB6">
        <w:rPr>
          <w:rFonts w:cs="Arial"/>
          <w:b/>
          <w:bCs/>
        </w:rPr>
        <w:t>Does the consent form need to specifically name the assistants and trainees who will be involved in the procedure, the same way the consent form needs to name the clinician performing the procedure?</w:t>
      </w:r>
    </w:p>
    <w:p w14:paraId="72CA5C83" w14:textId="77777777" w:rsidR="00C62199" w:rsidRPr="00D66BB6" w:rsidRDefault="00C62199" w:rsidP="00C62199">
      <w:pPr>
        <w:pStyle w:val="ListParagraph"/>
        <w:ind w:left="360"/>
        <w:rPr>
          <w:rFonts w:cs="Arial"/>
          <w:b/>
          <w:bCs/>
        </w:rPr>
      </w:pPr>
      <w:r w:rsidRPr="002825FE">
        <w:rPr>
          <w:rFonts w:cs="Arial"/>
        </w:rPr>
        <w:t>No. The consent form only needs to indicate that assistants or trainees may be involved, if this applies to the specific procedure the patient is signing the consent form for.</w:t>
      </w:r>
    </w:p>
    <w:p w14:paraId="76B48DC5" w14:textId="77777777" w:rsidR="00C62199" w:rsidRPr="00C8246A" w:rsidRDefault="00C62199" w:rsidP="00C8246A">
      <w:pPr>
        <w:rPr>
          <w:rFonts w:cs="Arial"/>
          <w:b/>
          <w:bCs/>
          <w:color w:val="000000"/>
        </w:rPr>
      </w:pPr>
    </w:p>
    <w:p w14:paraId="07AFABD1" w14:textId="77777777" w:rsidR="00C62199" w:rsidRPr="00D40B38" w:rsidRDefault="00C62199" w:rsidP="00AD309C">
      <w:pPr>
        <w:pStyle w:val="ListParagraph"/>
        <w:numPr>
          <w:ilvl w:val="0"/>
          <w:numId w:val="114"/>
        </w:numPr>
        <w:rPr>
          <w:rFonts w:cs="Arial"/>
          <w:b/>
          <w:bCs/>
          <w:color w:val="000000"/>
        </w:rPr>
      </w:pPr>
      <w:r w:rsidRPr="00D40B38">
        <w:rPr>
          <w:rFonts w:cs="Arial"/>
          <w:b/>
          <w:bCs/>
          <w:color w:val="000000"/>
        </w:rPr>
        <w:lastRenderedPageBreak/>
        <w:t>Why has Leapfrog selected a 6th-grade reading level target for consent forms, and what are some strategies we can use to meet this?</w:t>
      </w:r>
    </w:p>
    <w:p w14:paraId="457A1570" w14:textId="77777777" w:rsidR="00901921" w:rsidRDefault="00C62199" w:rsidP="00C62199">
      <w:pPr>
        <w:ind w:left="360"/>
        <w:rPr>
          <w:rFonts w:cs="Arial"/>
        </w:rPr>
      </w:pPr>
      <w:r w:rsidRPr="00D40B38">
        <w:rPr>
          <w:rFonts w:cs="Arial"/>
        </w:rPr>
        <w:t xml:space="preserve">Just over half of U.S. adults have a reading level that permits them to understand and synthesize information from a complex text. According to </w:t>
      </w:r>
      <w:hyperlink r:id="rId152" w:history="1">
        <w:r w:rsidRPr="00D40B38">
          <w:rPr>
            <w:rStyle w:val="Hyperlink"/>
            <w:rFonts w:cs="Arial"/>
          </w:rPr>
          <w:t>a Gallup analysis</w:t>
        </w:r>
      </w:hyperlink>
      <w:r w:rsidRPr="00D40B38">
        <w:rPr>
          <w:rFonts w:cs="Arial"/>
        </w:rPr>
        <w:t xml:space="preserve">, 54% of Americans between the ages of 16 and 74 read below the equivalent of a sixth-grade level. </w:t>
      </w:r>
      <w:r w:rsidR="00355191">
        <w:rPr>
          <w:rFonts w:cs="Arial"/>
        </w:rPr>
        <w:t xml:space="preserve">A </w:t>
      </w:r>
      <w:hyperlink r:id="rId153" w:history="1">
        <w:r w:rsidR="00355191" w:rsidRPr="00671D9D">
          <w:rPr>
            <w:rStyle w:val="Hyperlink"/>
            <w:rFonts w:cs="Arial"/>
          </w:rPr>
          <w:t>more recent survey by the Organization for Economic Development and Cooperation (OECD)</w:t>
        </w:r>
      </w:hyperlink>
      <w:r w:rsidR="00355191">
        <w:rPr>
          <w:rFonts w:cs="Arial"/>
        </w:rPr>
        <w:t xml:space="preserve"> indicates that literacy in the U.S. has gradually declined since that Gallup analysis, suggesting a still-greater proportion of the population reads below a sixth-grade level today. </w:t>
      </w:r>
    </w:p>
    <w:p w14:paraId="5112DFF4" w14:textId="77777777" w:rsidR="00C62199" w:rsidRPr="00D40B38" w:rsidRDefault="00C62199" w:rsidP="00A90AE6">
      <w:pPr>
        <w:rPr>
          <w:rFonts w:cs="Arial"/>
        </w:rPr>
      </w:pPr>
    </w:p>
    <w:p w14:paraId="5C266E14" w14:textId="4D64508D" w:rsidR="00C62199" w:rsidRPr="00D40B38" w:rsidRDefault="00C62199" w:rsidP="00C62199">
      <w:pPr>
        <w:ind w:left="360"/>
        <w:rPr>
          <w:rFonts w:cs="Arial"/>
        </w:rPr>
      </w:pPr>
      <w:r w:rsidRPr="00D40B38">
        <w:rPr>
          <w:rFonts w:cs="Arial"/>
        </w:rPr>
        <w:t xml:space="preserve">Leapfrog hosted two Town Hall Calls led by AHRQ describing techniques for reducing the written complexity of consent forms. The slides are available on Leapfrog’s </w:t>
      </w:r>
      <w:hyperlink r:id="rId154" w:history="1">
        <w:r w:rsidRPr="00D40B38">
          <w:rPr>
            <w:rStyle w:val="Hyperlink"/>
            <w:rFonts w:cs="Arial"/>
          </w:rPr>
          <w:t>Town Hall Calls webpage</w:t>
        </w:r>
      </w:hyperlink>
      <w:r w:rsidRPr="00D40B38">
        <w:rPr>
          <w:rFonts w:cs="Arial"/>
        </w:rPr>
        <w:t>; please refer to slide</w:t>
      </w:r>
      <w:r w:rsidR="00C274F7">
        <w:rPr>
          <w:rFonts w:cs="Arial"/>
        </w:rPr>
        <w:t>s</w:t>
      </w:r>
      <w:r w:rsidRPr="00D40B38">
        <w:rPr>
          <w:rFonts w:cs="Arial"/>
        </w:rPr>
        <w:t xml:space="preserve"> 40-47 for more information in the “Informed Consent” slide deck and slides 40-45 in the “Health Literacy” deck. Additional resources include:</w:t>
      </w:r>
    </w:p>
    <w:p w14:paraId="4959D852" w14:textId="77777777" w:rsidR="00C62199" w:rsidRPr="00D40B38" w:rsidRDefault="00C62199" w:rsidP="00AD309C">
      <w:pPr>
        <w:pStyle w:val="ListParagraph"/>
        <w:numPr>
          <w:ilvl w:val="0"/>
          <w:numId w:val="223"/>
        </w:numPr>
        <w:ind w:left="1080"/>
        <w:contextualSpacing w:val="0"/>
        <w:rPr>
          <w:rFonts w:cs="Arial"/>
        </w:rPr>
      </w:pPr>
      <w:hyperlink r:id="rId155" w:history="1">
        <w:r w:rsidRPr="00D40B38">
          <w:rPr>
            <w:rStyle w:val="Hyperlink"/>
            <w:rFonts w:cs="Arial"/>
          </w:rPr>
          <w:t>AHRQ Training Module</w:t>
        </w:r>
      </w:hyperlink>
    </w:p>
    <w:p w14:paraId="16CCA094" w14:textId="77777777" w:rsidR="00C62199" w:rsidRPr="00D40B38" w:rsidRDefault="00C62199" w:rsidP="00AD309C">
      <w:pPr>
        <w:pStyle w:val="ListParagraph"/>
        <w:numPr>
          <w:ilvl w:val="0"/>
          <w:numId w:val="223"/>
        </w:numPr>
        <w:ind w:left="1080"/>
        <w:contextualSpacing w:val="0"/>
        <w:rPr>
          <w:rFonts w:cs="Arial"/>
        </w:rPr>
      </w:pPr>
      <w:r w:rsidRPr="00D40B38">
        <w:rPr>
          <w:rFonts w:cs="Arial"/>
        </w:rPr>
        <w:t>The Patient Education Materials Assessment Tool (</w:t>
      </w:r>
      <w:hyperlink r:id="rId156" w:history="1">
        <w:r w:rsidRPr="00D40B38">
          <w:rPr>
            <w:rStyle w:val="Hyperlink"/>
            <w:rFonts w:cs="Arial"/>
          </w:rPr>
          <w:t>PEMAT</w:t>
        </w:r>
      </w:hyperlink>
      <w:r w:rsidRPr="00D40B38">
        <w:rPr>
          <w:rFonts w:cs="Arial"/>
        </w:rPr>
        <w:t>)</w:t>
      </w:r>
    </w:p>
    <w:p w14:paraId="4338F8A0" w14:textId="77777777" w:rsidR="00C62199" w:rsidRPr="00D40B38" w:rsidRDefault="00C62199" w:rsidP="00AD309C">
      <w:pPr>
        <w:pStyle w:val="ListParagraph"/>
        <w:numPr>
          <w:ilvl w:val="0"/>
          <w:numId w:val="223"/>
        </w:numPr>
        <w:ind w:left="1080"/>
        <w:contextualSpacing w:val="0"/>
        <w:rPr>
          <w:rFonts w:cs="Arial"/>
        </w:rPr>
      </w:pPr>
      <w:r w:rsidRPr="00D40B38">
        <w:rPr>
          <w:rFonts w:cs="Arial"/>
        </w:rPr>
        <w:t>Clear Communication Index (</w:t>
      </w:r>
      <w:hyperlink r:id="rId157" w:history="1">
        <w:r w:rsidRPr="00D40B38">
          <w:rPr>
            <w:rStyle w:val="Hyperlink"/>
            <w:rFonts w:cs="Arial"/>
          </w:rPr>
          <w:t>CCI</w:t>
        </w:r>
      </w:hyperlink>
      <w:r w:rsidRPr="00D40B38">
        <w:rPr>
          <w:rFonts w:cs="Arial"/>
        </w:rPr>
        <w:t>)</w:t>
      </w:r>
    </w:p>
    <w:p w14:paraId="40AFF15D" w14:textId="1B9747B9" w:rsidR="00C54C9B" w:rsidRDefault="00C62199" w:rsidP="00C54C9B">
      <w:pPr>
        <w:pStyle w:val="ListParagraph"/>
        <w:numPr>
          <w:ilvl w:val="0"/>
          <w:numId w:val="223"/>
        </w:numPr>
        <w:ind w:left="1080"/>
        <w:contextualSpacing w:val="0"/>
        <w:rPr>
          <w:rFonts w:cs="Arial"/>
        </w:rPr>
      </w:pPr>
      <w:hyperlink r:id="rId158" w:history="1">
        <w:r w:rsidRPr="00D40B38">
          <w:rPr>
            <w:rStyle w:val="Hyperlink"/>
            <w:rFonts w:cs="Arial"/>
          </w:rPr>
          <w:t>CMS Toolkit for Making Written Material Clear and Effective</w:t>
        </w:r>
      </w:hyperlink>
      <w:r w:rsidR="00FB2D5F">
        <w:rPr>
          <w:rStyle w:val="Hyperlink"/>
          <w:rFonts w:cs="Arial"/>
        </w:rPr>
        <w:br/>
      </w:r>
    </w:p>
    <w:p w14:paraId="15A4078D" w14:textId="6E181565" w:rsidR="00C54C9B" w:rsidRPr="006F0F70" w:rsidRDefault="00C54C9B" w:rsidP="006F0F70">
      <w:pPr>
        <w:ind w:left="360"/>
      </w:pPr>
      <w:r w:rsidRPr="006F0F70">
        <w:t xml:space="preserve">In addition, recent research suggests that Large Language Models (e.g. ChatGPT) can be leveraged to </w:t>
      </w:r>
      <w:r w:rsidR="005B0439">
        <w:t>optimize</w:t>
      </w:r>
      <w:r w:rsidRPr="006F0F70">
        <w:t xml:space="preserve"> the reading level of consent forms, while retaining the accuracy and completeness of the medical terminology and descriptions used.</w:t>
      </w:r>
    </w:p>
    <w:p w14:paraId="089DF99A" w14:textId="3D87F9ED" w:rsidR="00C54C9B" w:rsidRPr="00C6237E" w:rsidRDefault="00C54C9B" w:rsidP="00C54C9B">
      <w:pPr>
        <w:pStyle w:val="ListParagraph"/>
        <w:numPr>
          <w:ilvl w:val="0"/>
          <w:numId w:val="452"/>
        </w:numPr>
        <w:rPr>
          <w:rStyle w:val="Hyperlink"/>
          <w:rFonts w:cs="Arial"/>
          <w:color w:val="auto"/>
          <w:u w:val="none"/>
        </w:rPr>
      </w:pPr>
      <w:r w:rsidRPr="00C6237E">
        <w:rPr>
          <w:rStyle w:val="Hyperlink"/>
          <w:rFonts w:cs="Arial"/>
          <w:color w:val="auto"/>
          <w:u w:val="none"/>
        </w:rPr>
        <w:t xml:space="preserve">Ramanathan, Rahul &amp; Kelly, Ryan &amp; Shaw, Jeremy &amp; Gopakumar, Adway &amp; Shannon, Michael &amp; Gonzalez, Christopher &amp; Weinberg, Jacob &amp; </w:t>
      </w:r>
      <w:proofErr w:type="spellStart"/>
      <w:r w:rsidRPr="00C6237E">
        <w:rPr>
          <w:rStyle w:val="Hyperlink"/>
          <w:rFonts w:cs="Arial"/>
          <w:color w:val="auto"/>
          <w:u w:val="none"/>
        </w:rPr>
        <w:t>Bonamer</w:t>
      </w:r>
      <w:proofErr w:type="spellEnd"/>
      <w:r w:rsidRPr="00C6237E">
        <w:rPr>
          <w:rStyle w:val="Hyperlink"/>
          <w:rFonts w:cs="Arial"/>
          <w:color w:val="auto"/>
          <w:u w:val="none"/>
        </w:rPr>
        <w:t xml:space="preserve">, John &amp; </w:t>
      </w:r>
      <w:proofErr w:type="spellStart"/>
      <w:r w:rsidRPr="00C6237E">
        <w:rPr>
          <w:rStyle w:val="Hyperlink"/>
          <w:rFonts w:cs="Arial"/>
          <w:color w:val="auto"/>
          <w:u w:val="none"/>
        </w:rPr>
        <w:t>Wawrose</w:t>
      </w:r>
      <w:proofErr w:type="spellEnd"/>
      <w:r w:rsidRPr="00C6237E">
        <w:rPr>
          <w:rStyle w:val="Hyperlink"/>
          <w:rFonts w:cs="Arial"/>
          <w:color w:val="auto"/>
          <w:u w:val="none"/>
        </w:rPr>
        <w:t>, Richard &amp; Spitnale, Michael &amp; Lee, Joon &amp; Weddle, John. (2026). Reducing Complexity in Surgical Consents: The Role of AI in Patient Communication. Medical Research Archives. 13. 10.18103/mra.v13i12.7178.</w:t>
      </w:r>
    </w:p>
    <w:p w14:paraId="66692E9E" w14:textId="77777777" w:rsidR="00C54C9B" w:rsidRPr="00C54C9B" w:rsidRDefault="00C54C9B" w:rsidP="00C54C9B">
      <w:pPr>
        <w:pStyle w:val="ListParagraph"/>
        <w:rPr>
          <w:rFonts w:cs="Arial"/>
        </w:rPr>
      </w:pPr>
    </w:p>
    <w:p w14:paraId="5CD039E1" w14:textId="0D4B3809" w:rsidR="00C03993" w:rsidRPr="00C03993" w:rsidRDefault="00C03993" w:rsidP="00AD309C">
      <w:pPr>
        <w:pStyle w:val="ListParagraph"/>
        <w:numPr>
          <w:ilvl w:val="0"/>
          <w:numId w:val="114"/>
        </w:numPr>
        <w:rPr>
          <w:b/>
          <w:bCs/>
        </w:rPr>
      </w:pPr>
      <w:bookmarkStart w:id="146" w:name="readinglevel"/>
      <w:r w:rsidRPr="00C03993">
        <w:rPr>
          <w:b/>
          <w:bCs/>
        </w:rPr>
        <w:t>How should the reading level of the consent form be assessed?</w:t>
      </w:r>
    </w:p>
    <w:bookmarkEnd w:id="146"/>
    <w:p w14:paraId="731E0F5C" w14:textId="353F05CD" w:rsidR="00355191" w:rsidRDefault="00355191" w:rsidP="00D36222">
      <w:pPr>
        <w:pStyle w:val="ListParagraph"/>
        <w:ind w:left="360"/>
        <w:rPr>
          <w:rFonts w:cs="Arial"/>
        </w:rPr>
      </w:pPr>
      <w:r>
        <w:t>There are software tools available to assess reading level. For example, consent forms can be edited in Microsoft Word 365, where a readability tool can be used to make this assessment by: (1) on the “File” tab, click the “Options” button; (2) on the “Proofing” tab, under “When correcting spelling and grammar in Word</w:t>
      </w:r>
      <w:r w:rsidR="00C274F7">
        <w:t>,</w:t>
      </w:r>
      <w:r>
        <w:t xml:space="preserve">” select the “Show readability statistics” check box. Exit the window. Then, under the Review tab in your Word document, click the “Editor” button in the far left corner of the ribbon, then click “Insights – Document Stats” on the “Editor” sidebar: Word displays a message box showing you the Flesch-Kincaid readability grade-level: any value less than or equal to 6.9 is considered a “sixth-grade” reading level. </w:t>
      </w:r>
      <w:r w:rsidRPr="001A7FD5">
        <w:rPr>
          <w:rFonts w:cs="Arial"/>
        </w:rPr>
        <w:t>Reading level can also be assessed using online tools, such as those provided at Readable.com, provided those tools use either the Flesch-Kincaid or SMOG readability standard to evaluate the readability of written language.</w:t>
      </w:r>
    </w:p>
    <w:p w14:paraId="79B84DB5" w14:textId="77777777" w:rsidR="00C62199" w:rsidRDefault="00C62199" w:rsidP="00C03993">
      <w:pPr>
        <w:pStyle w:val="ListParagraph"/>
        <w:ind w:left="360"/>
      </w:pPr>
    </w:p>
    <w:p w14:paraId="3C940249" w14:textId="69F2F267" w:rsidR="006C7AB8" w:rsidRDefault="006C7AB8" w:rsidP="006C7AB8">
      <w:pPr>
        <w:pStyle w:val="ListParagraph"/>
        <w:numPr>
          <w:ilvl w:val="0"/>
          <w:numId w:val="114"/>
        </w:numPr>
        <w:rPr>
          <w:rFonts w:cs="Arial"/>
          <w:b/>
          <w:bCs/>
        </w:rPr>
      </w:pPr>
      <w:r>
        <w:rPr>
          <w:rFonts w:cs="Arial"/>
          <w:b/>
          <w:bCs/>
        </w:rPr>
        <w:t>How should the reading level of consent forms be assessed in languages other than English?</w:t>
      </w:r>
    </w:p>
    <w:p w14:paraId="34FBC89A" w14:textId="39C1E5FD" w:rsidR="0089487B" w:rsidRDefault="00052473" w:rsidP="0089487B">
      <w:pPr>
        <w:pStyle w:val="ListParagraph"/>
        <w:ind w:left="360"/>
      </w:pPr>
      <w:r>
        <w:t>To date,</w:t>
      </w:r>
      <w:r w:rsidR="006D43E4">
        <w:t xml:space="preserve"> Leapfrog has </w:t>
      </w:r>
      <w:r>
        <w:t xml:space="preserve">only </w:t>
      </w:r>
      <w:r w:rsidR="006D43E4">
        <w:t>developed readability guidance for Spanish-language consent forms</w:t>
      </w:r>
      <w:r w:rsidR="00DF19A6">
        <w:t xml:space="preserve">. </w:t>
      </w:r>
      <w:r w:rsidR="0089487B">
        <w:t xml:space="preserve">For the Spanish language, Leapfrog considers a score of 55 or above on the INFLESZ Scale to be written at a sixth-grade reading level or </w:t>
      </w:r>
      <w:r w:rsidR="009C78E1">
        <w:t>below</w:t>
      </w:r>
      <w:r w:rsidR="0089487B">
        <w:t>. The INFLESZ Scale, developed and validated in 2008 by Barrio-</w:t>
      </w:r>
      <w:proofErr w:type="spellStart"/>
      <w:r w:rsidR="0089487B">
        <w:t>Cantalejo</w:t>
      </w:r>
      <w:proofErr w:type="spellEnd"/>
      <w:r w:rsidR="0089487B">
        <w:t xml:space="preserve"> et al, is the most widely used in academic research on readability of Spanish-language consent forms (Aponte 2025). The INFLESZ scale is calculated as 206.835 − 62.35 × (total syllables/total words) − (total words/total sentences). A minimum threshold of 55 and above on the INFLESZ scale is considered to be readable by most patients.</w:t>
      </w:r>
    </w:p>
    <w:p w14:paraId="3A4B891F" w14:textId="77777777" w:rsidR="0089487B" w:rsidRDefault="0089487B" w:rsidP="0089487B">
      <w:pPr>
        <w:pStyle w:val="ListParagraph"/>
        <w:ind w:left="360"/>
      </w:pPr>
    </w:p>
    <w:p w14:paraId="7ED8478B" w14:textId="77777777" w:rsidR="0089487B" w:rsidRDefault="0089487B" w:rsidP="0089487B">
      <w:pPr>
        <w:pStyle w:val="ListParagraph"/>
        <w:ind w:left="360"/>
      </w:pPr>
      <w:r>
        <w:t xml:space="preserve">To calculate an INFLESZ score, Leapfrog has provided an online calculator (available at: </w:t>
      </w:r>
      <w:hyperlink r:id="rId159" w:history="1">
        <w:r w:rsidRPr="00545DBA">
          <w:rPr>
            <w:rStyle w:val="Hyperlink"/>
          </w:rPr>
          <w:t>https://readability.leapfroggroup.org/</w:t>
        </w:r>
      </w:hyperlink>
      <w:r>
        <w:t>). You may paste in the text of your consent form or upload a Microsoft Word 365 file: the calculator will provide a score, an indication of pass/fail, and details on the calculation.</w:t>
      </w:r>
    </w:p>
    <w:p w14:paraId="4A3DA52B" w14:textId="77777777" w:rsidR="0089487B" w:rsidRDefault="0089487B" w:rsidP="0089487B">
      <w:pPr>
        <w:pStyle w:val="ListParagraph"/>
        <w:ind w:left="360"/>
      </w:pPr>
    </w:p>
    <w:p w14:paraId="39F63E42" w14:textId="2DF75AB5" w:rsidR="0089487B" w:rsidRDefault="0089487B" w:rsidP="0089487B">
      <w:pPr>
        <w:pStyle w:val="ListParagraph"/>
        <w:ind w:left="360"/>
      </w:pPr>
      <w:r>
        <w:t xml:space="preserve">For languages other than </w:t>
      </w:r>
      <w:r w:rsidR="007F4BD1">
        <w:t xml:space="preserve">English and </w:t>
      </w:r>
      <w:r>
        <w:t>Spanish, Leapfrog has not yet established a scoring methodology.</w:t>
      </w:r>
    </w:p>
    <w:p w14:paraId="36BF4970" w14:textId="77777777" w:rsidR="0089487B" w:rsidRDefault="0089487B" w:rsidP="0089487B">
      <w:pPr>
        <w:pStyle w:val="ListParagraph"/>
        <w:ind w:left="360"/>
      </w:pPr>
    </w:p>
    <w:p w14:paraId="637110E5" w14:textId="77777777" w:rsidR="0089487B" w:rsidRDefault="0089487B" w:rsidP="0089487B">
      <w:pPr>
        <w:pStyle w:val="ListParagraph"/>
        <w:ind w:left="360"/>
      </w:pPr>
      <w:r w:rsidRPr="00693D1C">
        <w:rPr>
          <w:lang w:val="es-ES"/>
        </w:rPr>
        <w:lastRenderedPageBreak/>
        <w:t xml:space="preserve">Barrio-Cantalejo IM, Simón-Lorda P, Melguizo M, Escalona I, </w:t>
      </w:r>
      <w:proofErr w:type="spellStart"/>
      <w:r w:rsidRPr="00693D1C">
        <w:rPr>
          <w:lang w:val="es-ES"/>
        </w:rPr>
        <w:t>Marijuán</w:t>
      </w:r>
      <w:proofErr w:type="spellEnd"/>
      <w:r w:rsidRPr="00693D1C">
        <w:rPr>
          <w:lang w:val="es-ES"/>
        </w:rPr>
        <w:t xml:space="preserve"> MI, Hernando P. Validación de la Escala INFLESZ para evaluar la legibilidad de los textos dirigidos a pacientes [</w:t>
      </w:r>
      <w:proofErr w:type="spellStart"/>
      <w:r w:rsidRPr="00693D1C">
        <w:rPr>
          <w:lang w:val="es-ES"/>
        </w:rPr>
        <w:t>Validation</w:t>
      </w:r>
      <w:proofErr w:type="spellEnd"/>
      <w:r w:rsidRPr="00693D1C">
        <w:rPr>
          <w:lang w:val="es-ES"/>
        </w:rPr>
        <w:t xml:space="preserve"> </w:t>
      </w:r>
      <w:proofErr w:type="spellStart"/>
      <w:r w:rsidRPr="00693D1C">
        <w:rPr>
          <w:lang w:val="es-ES"/>
        </w:rPr>
        <w:t>of</w:t>
      </w:r>
      <w:proofErr w:type="spellEnd"/>
      <w:r w:rsidRPr="00693D1C">
        <w:rPr>
          <w:lang w:val="es-ES"/>
        </w:rPr>
        <w:t xml:space="preserve"> </w:t>
      </w:r>
      <w:proofErr w:type="spellStart"/>
      <w:r w:rsidRPr="00693D1C">
        <w:rPr>
          <w:lang w:val="es-ES"/>
        </w:rPr>
        <w:t>the</w:t>
      </w:r>
      <w:proofErr w:type="spellEnd"/>
      <w:r w:rsidRPr="00693D1C">
        <w:rPr>
          <w:lang w:val="es-ES"/>
        </w:rPr>
        <w:t xml:space="preserve"> INFLESZ </w:t>
      </w:r>
      <w:proofErr w:type="spellStart"/>
      <w:r w:rsidRPr="00693D1C">
        <w:rPr>
          <w:lang w:val="es-ES"/>
        </w:rPr>
        <w:t>scale</w:t>
      </w:r>
      <w:proofErr w:type="spellEnd"/>
      <w:r w:rsidRPr="00693D1C">
        <w:rPr>
          <w:lang w:val="es-ES"/>
        </w:rPr>
        <w:t xml:space="preserve"> </w:t>
      </w:r>
      <w:proofErr w:type="spellStart"/>
      <w:r w:rsidRPr="00693D1C">
        <w:rPr>
          <w:lang w:val="es-ES"/>
        </w:rPr>
        <w:t>to</w:t>
      </w:r>
      <w:proofErr w:type="spellEnd"/>
      <w:r w:rsidRPr="00693D1C">
        <w:rPr>
          <w:lang w:val="es-ES"/>
        </w:rPr>
        <w:t xml:space="preserve"> </w:t>
      </w:r>
      <w:proofErr w:type="spellStart"/>
      <w:r w:rsidRPr="00693D1C">
        <w:rPr>
          <w:lang w:val="es-ES"/>
        </w:rPr>
        <w:t>evaluate</w:t>
      </w:r>
      <w:proofErr w:type="spellEnd"/>
      <w:r w:rsidRPr="00693D1C">
        <w:rPr>
          <w:lang w:val="es-ES"/>
        </w:rPr>
        <w:t xml:space="preserve"> </w:t>
      </w:r>
      <w:proofErr w:type="spellStart"/>
      <w:r w:rsidRPr="00693D1C">
        <w:rPr>
          <w:lang w:val="es-ES"/>
        </w:rPr>
        <w:t>readability</w:t>
      </w:r>
      <w:proofErr w:type="spellEnd"/>
      <w:r w:rsidRPr="00693D1C">
        <w:rPr>
          <w:lang w:val="es-ES"/>
        </w:rPr>
        <w:t xml:space="preserve"> </w:t>
      </w:r>
      <w:proofErr w:type="spellStart"/>
      <w:r w:rsidRPr="00693D1C">
        <w:rPr>
          <w:lang w:val="es-ES"/>
        </w:rPr>
        <w:t>of</w:t>
      </w:r>
      <w:proofErr w:type="spellEnd"/>
      <w:r w:rsidRPr="00693D1C">
        <w:rPr>
          <w:lang w:val="es-ES"/>
        </w:rPr>
        <w:t xml:space="preserve"> </w:t>
      </w:r>
      <w:proofErr w:type="spellStart"/>
      <w:r w:rsidRPr="00693D1C">
        <w:rPr>
          <w:lang w:val="es-ES"/>
        </w:rPr>
        <w:t>texts</w:t>
      </w:r>
      <w:proofErr w:type="spellEnd"/>
      <w:r w:rsidRPr="00693D1C">
        <w:rPr>
          <w:lang w:val="es-ES"/>
        </w:rPr>
        <w:t xml:space="preserve"> </w:t>
      </w:r>
      <w:proofErr w:type="spellStart"/>
      <w:r w:rsidRPr="00693D1C">
        <w:rPr>
          <w:lang w:val="es-ES"/>
        </w:rPr>
        <w:t>aimed</w:t>
      </w:r>
      <w:proofErr w:type="spellEnd"/>
      <w:r w:rsidRPr="00693D1C">
        <w:rPr>
          <w:lang w:val="es-ES"/>
        </w:rPr>
        <w:t xml:space="preserve"> at </w:t>
      </w:r>
      <w:proofErr w:type="spellStart"/>
      <w:r w:rsidRPr="00693D1C">
        <w:rPr>
          <w:lang w:val="es-ES"/>
        </w:rPr>
        <w:t>the</w:t>
      </w:r>
      <w:proofErr w:type="spellEnd"/>
      <w:r w:rsidRPr="00693D1C">
        <w:rPr>
          <w:lang w:val="es-ES"/>
        </w:rPr>
        <w:t xml:space="preserve"> </w:t>
      </w:r>
      <w:proofErr w:type="spellStart"/>
      <w:r w:rsidRPr="00693D1C">
        <w:rPr>
          <w:lang w:val="es-ES"/>
        </w:rPr>
        <w:t>patient</w:t>
      </w:r>
      <w:proofErr w:type="spellEnd"/>
      <w:r w:rsidRPr="00693D1C">
        <w:rPr>
          <w:lang w:val="es-ES"/>
        </w:rPr>
        <w:t xml:space="preserve">]. </w:t>
      </w:r>
      <w:r>
        <w:t>An Sist Sanit Navar. 2008;31(2):135-152. doi:10.4321/s1137-66272008000300004</w:t>
      </w:r>
    </w:p>
    <w:p w14:paraId="03A21EC6" w14:textId="77777777" w:rsidR="0089487B" w:rsidRDefault="0089487B" w:rsidP="0089487B">
      <w:pPr>
        <w:pStyle w:val="ListParagraph"/>
        <w:ind w:left="360"/>
      </w:pPr>
    </w:p>
    <w:p w14:paraId="6EB75BAE" w14:textId="27B6FC6A" w:rsidR="006C7AB8" w:rsidRDefault="0089487B" w:rsidP="0089487B">
      <w:pPr>
        <w:pStyle w:val="ListParagraph"/>
        <w:ind w:left="360"/>
      </w:pPr>
      <w:r>
        <w:t>Aponte J, Tejada K, Figueroa K. Readability Level of Spanish Language Online Health Information: A Systematic Review. Hisp Health Care Int. 2025;23(2):107-122. doi:10.1177/15404153241286720</w:t>
      </w:r>
      <w:r w:rsidR="003A5607">
        <w:t>.</w:t>
      </w:r>
    </w:p>
    <w:p w14:paraId="1871E793" w14:textId="77777777" w:rsidR="0089487B" w:rsidRDefault="0089487B" w:rsidP="0089487B">
      <w:pPr>
        <w:pStyle w:val="ListParagraph"/>
        <w:ind w:left="360"/>
      </w:pPr>
    </w:p>
    <w:p w14:paraId="7605C609" w14:textId="77777777" w:rsidR="00C62199" w:rsidRPr="005E2D35" w:rsidRDefault="00C62199" w:rsidP="00AD309C">
      <w:pPr>
        <w:pStyle w:val="ListParagraph"/>
        <w:numPr>
          <w:ilvl w:val="0"/>
          <w:numId w:val="114"/>
        </w:numPr>
        <w:rPr>
          <w:rFonts w:cs="Arial"/>
          <w:b/>
          <w:bCs/>
        </w:rPr>
      </w:pPr>
      <w:r w:rsidRPr="005E2D35">
        <w:rPr>
          <w:rFonts w:cs="Arial"/>
          <w:b/>
          <w:bCs/>
        </w:rPr>
        <w:t>What information on the consent form can be excluded from the reading level assessment?</w:t>
      </w:r>
    </w:p>
    <w:p w14:paraId="568B4D04" w14:textId="1CD9F15A" w:rsidR="00C62199" w:rsidRDefault="00C62199" w:rsidP="00C62199">
      <w:pPr>
        <w:pStyle w:val="ListParagraph"/>
        <w:ind w:left="360"/>
        <w:rPr>
          <w:rFonts w:cs="Arial"/>
        </w:rPr>
      </w:pPr>
      <w:r w:rsidRPr="005E2D35">
        <w:rPr>
          <w:rFonts w:cs="Arial"/>
        </w:rPr>
        <w:t>The procedure name and description can be excluded from the reading level assessment. In addition, information intended to be read by the provider or administrative staff ONLY, such as instructions for signing and returning the consent form, and information that is written in by an individual provider to give that patient information specific to their condition, can also be excluded.</w:t>
      </w:r>
      <w:r w:rsidR="00355191">
        <w:rPr>
          <w:rFonts w:cs="Arial"/>
        </w:rPr>
        <w:t xml:space="preserve"> Finally, any words where a sixth-grade reading level definition is included with the term can be excluded from the reading level assessment. For example, in the sentence “anesthesia (putting you to sleep)</w:t>
      </w:r>
      <w:r w:rsidR="001272AB">
        <w:rPr>
          <w:rFonts w:cs="Arial"/>
        </w:rPr>
        <w:t>,</w:t>
      </w:r>
      <w:r w:rsidR="00355191">
        <w:rPr>
          <w:rFonts w:cs="Arial"/>
        </w:rPr>
        <w:t>” only “putting you to sleep” needs to be considered in the reading level assessment.</w:t>
      </w:r>
    </w:p>
    <w:p w14:paraId="7AE8878C" w14:textId="77777777" w:rsidR="00F62669" w:rsidRDefault="00F62669" w:rsidP="00C62199">
      <w:pPr>
        <w:pStyle w:val="ListParagraph"/>
        <w:ind w:left="360"/>
        <w:rPr>
          <w:rFonts w:cs="Arial"/>
        </w:rPr>
      </w:pPr>
    </w:p>
    <w:p w14:paraId="43E810F0" w14:textId="3F2C7C30" w:rsidR="00355191" w:rsidRPr="00381792" w:rsidRDefault="00355191" w:rsidP="00AD309C">
      <w:pPr>
        <w:pStyle w:val="ListParagraph"/>
        <w:numPr>
          <w:ilvl w:val="0"/>
          <w:numId w:val="114"/>
        </w:numPr>
        <w:rPr>
          <w:rFonts w:cs="Arial"/>
          <w:b/>
          <w:bCs/>
        </w:rPr>
      </w:pPr>
      <w:bookmarkStart w:id="147" w:name="ICInterpreter"/>
      <w:r w:rsidRPr="00381792">
        <w:rPr>
          <w:rFonts w:cs="Arial"/>
          <w:b/>
          <w:bCs/>
        </w:rPr>
        <w:t>What is a qualified medical interpreter?</w:t>
      </w:r>
    </w:p>
    <w:bookmarkEnd w:id="147"/>
    <w:p w14:paraId="02835DD4" w14:textId="274E134C" w:rsidR="00355191" w:rsidRPr="00D36222" w:rsidRDefault="00355191" w:rsidP="00355191">
      <w:pPr>
        <w:pStyle w:val="ListParagraph"/>
        <w:ind w:left="360"/>
        <w:rPr>
          <w:rFonts w:cs="Arial"/>
          <w:b/>
          <w:bCs/>
        </w:rPr>
      </w:pPr>
      <w:r>
        <w:t xml:space="preserve">In the </w:t>
      </w:r>
      <w:hyperlink r:id="rId160" w:history="1">
        <w:r w:rsidRPr="00F23F41">
          <w:rPr>
            <w:rStyle w:val="Hyperlink"/>
          </w:rPr>
          <w:t>U.S. Department of Health and Human Services 2023 Language Access Plan</w:t>
        </w:r>
      </w:hyperlink>
      <w:r>
        <w:t xml:space="preserve">, a qualified medical interpreter is defined as “A bilingual/multilingual person who has the appropriate training and experience or demonstrated ability to fully understand, analyze, and process and then faithfully render a spoken, written, or signed message in one language into a second language and who abides by a code of professional practice and ethics.” Leapfrog adheres to </w:t>
      </w:r>
      <w:r w:rsidR="007938AE">
        <w:t xml:space="preserve">this </w:t>
      </w:r>
      <w:r>
        <w:t>definition for the purposes of reporting on the Hospital Survey.</w:t>
      </w:r>
    </w:p>
    <w:p w14:paraId="55B6BB90" w14:textId="53CD5D42" w:rsidR="00314E71" w:rsidRPr="00A26035" w:rsidRDefault="00235FDD" w:rsidP="00C62199">
      <w:pPr>
        <w:pStyle w:val="ListParagraph"/>
        <w:ind w:left="360"/>
      </w:pPr>
      <w:r>
        <w:br/>
      </w:r>
    </w:p>
    <w:p w14:paraId="33BCA4AC" w14:textId="7CFD7601" w:rsidR="008507C7" w:rsidRPr="009A5185" w:rsidRDefault="008507C7">
      <w:pPr>
        <w:rPr>
          <w:rFonts w:cs="Arial"/>
        </w:rPr>
        <w:sectPr w:rsidR="008507C7" w:rsidRPr="009A5185" w:rsidSect="00062F69">
          <w:endnotePr>
            <w:numFmt w:val="decimal"/>
          </w:endnotePr>
          <w:type w:val="continuous"/>
          <w:pgSz w:w="12240" w:h="15840"/>
          <w:pgMar w:top="1080" w:right="1440" w:bottom="1080" w:left="1440" w:header="720" w:footer="720" w:gutter="0"/>
          <w:cols w:space="720"/>
          <w:docGrid w:linePitch="272"/>
        </w:sectPr>
      </w:pPr>
    </w:p>
    <w:p w14:paraId="67062C74" w14:textId="77777777" w:rsidR="008507C7" w:rsidRPr="009A5185" w:rsidRDefault="008507C7">
      <w:pPr>
        <w:rPr>
          <w:rFonts w:cs="Arial"/>
          <w:b/>
          <w:snapToGrid w:val="0"/>
          <w:sz w:val="40"/>
          <w:szCs w:val="40"/>
          <w:lang w:eastAsia="ja-JP"/>
        </w:rPr>
      </w:pPr>
    </w:p>
    <w:p w14:paraId="72E45367" w14:textId="77777777" w:rsidR="0060690C" w:rsidRPr="009A5185" w:rsidRDefault="00D34636" w:rsidP="00D32C75">
      <w:pPr>
        <w:pStyle w:val="SectionHeader"/>
      </w:pPr>
      <w:bookmarkStart w:id="148" w:name="_Toc414267200"/>
      <w:bookmarkStart w:id="149" w:name="_Toc225877686"/>
      <w:r w:rsidRPr="009A5185">
        <w:t>Page Intentionally Left Blank</w:t>
      </w:r>
      <w:bookmarkEnd w:id="148"/>
      <w:bookmarkEnd w:id="149"/>
    </w:p>
    <w:p w14:paraId="3C607A86" w14:textId="77777777" w:rsidR="00D34636" w:rsidRPr="009A5185" w:rsidRDefault="00D34636">
      <w:pPr>
        <w:rPr>
          <w:rFonts w:cs="Arial"/>
          <w:b/>
          <w:snapToGrid w:val="0"/>
          <w:color w:val="A6A6A6" w:themeColor="background1" w:themeShade="A6"/>
          <w:sz w:val="40"/>
          <w:szCs w:val="40"/>
          <w:lang w:eastAsia="ja-JP"/>
        </w:rPr>
      </w:pPr>
      <w:r w:rsidRPr="009A5185">
        <w:rPr>
          <w:rFonts w:cs="Arial"/>
          <w:color w:val="A6A6A6" w:themeColor="background1" w:themeShade="A6"/>
        </w:rPr>
        <w:br w:type="page"/>
      </w:r>
    </w:p>
    <w:p w14:paraId="5C4933EE" w14:textId="77777777" w:rsidR="00920EF6" w:rsidRPr="009A5185" w:rsidRDefault="00920EF6" w:rsidP="00D32C75">
      <w:pPr>
        <w:pStyle w:val="SectionHeader"/>
        <w:sectPr w:rsidR="00920EF6" w:rsidRPr="009A5185" w:rsidSect="00062F69">
          <w:headerReference w:type="default" r:id="rId161"/>
          <w:endnotePr>
            <w:numFmt w:val="decimal"/>
          </w:endnotePr>
          <w:pgSz w:w="12240" w:h="15840"/>
          <w:pgMar w:top="1080" w:right="1440" w:bottom="1080" w:left="1440" w:header="720" w:footer="720" w:gutter="0"/>
          <w:cols w:space="720"/>
          <w:docGrid w:linePitch="272"/>
        </w:sectPr>
      </w:pPr>
    </w:p>
    <w:p w14:paraId="7F5A15B6" w14:textId="77777777" w:rsidR="00D34636" w:rsidRPr="009A5185" w:rsidRDefault="00D34636" w:rsidP="006F2E4A"/>
    <w:p w14:paraId="40375068" w14:textId="77777777" w:rsidR="00C83A8C" w:rsidRDefault="00C83A8C">
      <w:bookmarkStart w:id="150" w:name="Sect2"/>
      <w:bookmarkEnd w:id="150"/>
    </w:p>
    <w:p w14:paraId="239B8804" w14:textId="77777777" w:rsidR="00B43F10" w:rsidRDefault="00B43F10"/>
    <w:p w14:paraId="1F2DB7B9" w14:textId="77777777" w:rsidR="00C83A8C" w:rsidRDefault="00C83A8C"/>
    <w:p w14:paraId="59698DD2" w14:textId="77777777" w:rsidR="00C83A8C" w:rsidRDefault="00C83A8C"/>
    <w:p w14:paraId="49F02761" w14:textId="77777777" w:rsidR="00C83A8C" w:rsidRDefault="00C83A8C"/>
    <w:p w14:paraId="49252006" w14:textId="77777777" w:rsidR="00C83A8C" w:rsidRDefault="00C83A8C"/>
    <w:p w14:paraId="7B62FD0C" w14:textId="77777777" w:rsidR="00C83A8C" w:rsidRDefault="00C83A8C"/>
    <w:p w14:paraId="1E1078A1" w14:textId="77777777" w:rsidR="00C83A8C" w:rsidRDefault="00C83A8C"/>
    <w:p w14:paraId="46F64420" w14:textId="77777777" w:rsidR="00C83A8C" w:rsidRDefault="00C83A8C"/>
    <w:p w14:paraId="0FE888A3" w14:textId="77777777" w:rsidR="00C83A8C" w:rsidRDefault="00C83A8C"/>
    <w:p w14:paraId="7AA28775" w14:textId="77777777" w:rsidR="00C83A8C" w:rsidRDefault="00C83A8C"/>
    <w:p w14:paraId="358ABDF9" w14:textId="77777777" w:rsidR="00C83A8C" w:rsidRDefault="00C83A8C"/>
    <w:p w14:paraId="1490B712" w14:textId="77777777" w:rsidR="00C83A8C" w:rsidRDefault="00C83A8C"/>
    <w:p w14:paraId="04D8FC9B" w14:textId="77777777" w:rsidR="00C83A8C" w:rsidRDefault="00C83A8C"/>
    <w:p w14:paraId="5E70E1DA" w14:textId="77777777" w:rsidR="00C83A8C" w:rsidRDefault="00C83A8C"/>
    <w:p w14:paraId="5676CA82" w14:textId="77777777" w:rsidR="00C83A8C" w:rsidRDefault="00C83A8C">
      <w:pPr>
        <w:rPr>
          <w:b/>
          <w:bCs/>
          <w:i/>
          <w:iCs/>
          <w:snapToGrid w:val="0"/>
          <w:sz w:val="40"/>
          <w:szCs w:val="40"/>
          <w:lang w:eastAsia="ja-JP"/>
        </w:rPr>
      </w:pPr>
    </w:p>
    <w:p w14:paraId="2088AE2C" w14:textId="314664FB" w:rsidR="00655B2A" w:rsidRPr="009A5185" w:rsidRDefault="00154F6C" w:rsidP="00D32C75">
      <w:pPr>
        <w:pStyle w:val="SectionHeader"/>
      </w:pPr>
      <w:bookmarkStart w:id="151" w:name="_Toc225877687"/>
      <w:r w:rsidRPr="009A5185">
        <w:t xml:space="preserve">SECTION 2: </w:t>
      </w:r>
      <w:r w:rsidR="00935D6C" w:rsidRPr="009A5185">
        <w:t>MEDICATION SAFETY</w:t>
      </w:r>
      <w:bookmarkEnd w:id="151"/>
    </w:p>
    <w:p w14:paraId="368E8E59" w14:textId="77777777" w:rsidR="0068304F" w:rsidRPr="009A5185" w:rsidRDefault="0068304F" w:rsidP="006F2E4A"/>
    <w:p w14:paraId="15F7C74C" w14:textId="1512061D" w:rsidR="0068304F" w:rsidRPr="009A5185" w:rsidRDefault="0068304F" w:rsidP="0068304F">
      <w:pPr>
        <w:rPr>
          <w:rFonts w:cs="Arial"/>
        </w:rPr>
      </w:pPr>
      <w:r w:rsidRPr="009A5185">
        <w:rPr>
          <w:rFonts w:cs="Arial"/>
        </w:rPr>
        <w:t>This section includes questions and reference information for Section 2</w:t>
      </w:r>
      <w:r w:rsidR="004A4FD0" w:rsidRPr="009A5185">
        <w:rPr>
          <w:rFonts w:cs="Arial"/>
        </w:rPr>
        <w:t>:</w:t>
      </w:r>
      <w:r w:rsidRPr="009A5185">
        <w:rPr>
          <w:rFonts w:cs="Arial"/>
        </w:rPr>
        <w:t xml:space="preserve"> </w:t>
      </w:r>
      <w:r w:rsidR="00E30A9C" w:rsidRPr="009A5185">
        <w:rPr>
          <w:rFonts w:cs="Arial"/>
        </w:rPr>
        <w:t>Medication Safety</w:t>
      </w:r>
      <w:r w:rsidRPr="009A5185">
        <w:rPr>
          <w:rFonts w:cs="Arial"/>
        </w:rPr>
        <w:t xml:space="preserve">. Please carefully review the questions, </w:t>
      </w:r>
      <w:r w:rsidR="00B94757" w:rsidRPr="009A5185">
        <w:rPr>
          <w:rFonts w:cs="Arial"/>
        </w:rPr>
        <w:t>endnotes</w:t>
      </w:r>
      <w:r w:rsidRPr="009A5185">
        <w:rPr>
          <w:rFonts w:cs="Arial"/>
        </w:rPr>
        <w:t>, and reference information (e.g.</w:t>
      </w:r>
      <w:r w:rsidR="00E30A9C" w:rsidRPr="009A5185">
        <w:rPr>
          <w:rFonts w:cs="Arial"/>
        </w:rPr>
        <w:t>,</w:t>
      </w:r>
      <w:r w:rsidRPr="009A5185">
        <w:rPr>
          <w:rFonts w:cs="Arial"/>
        </w:rPr>
        <w:t xml:space="preserve"> measure specifications, notes, and frequen</w:t>
      </w:r>
      <w:r w:rsidR="00217D8D" w:rsidRPr="009A5185">
        <w:rPr>
          <w:rFonts w:cs="Arial"/>
        </w:rPr>
        <w:t>tl</w:t>
      </w:r>
      <w:r w:rsidRPr="009A5185">
        <w:rPr>
          <w:rFonts w:cs="Arial"/>
        </w:rPr>
        <w:t xml:space="preserve">y asked questions) before you begin. Failure to review the reference information could result in inaccurate responses. </w:t>
      </w:r>
    </w:p>
    <w:p w14:paraId="5DA575B7" w14:textId="77777777" w:rsidR="0068304F" w:rsidRPr="009A5185" w:rsidRDefault="0068304F" w:rsidP="006F2E4A"/>
    <w:p w14:paraId="2FA1D5C8" w14:textId="77777777" w:rsidR="00B441E9" w:rsidRPr="009A5185" w:rsidRDefault="0060690C" w:rsidP="00B441E9">
      <w:pPr>
        <w:rPr>
          <w:rFonts w:cs="Arial"/>
        </w:rPr>
      </w:pPr>
      <w:r w:rsidRPr="009A5185">
        <w:rPr>
          <w:rFonts w:cs="Arial"/>
        </w:rPr>
        <w:br w:type="page"/>
      </w:r>
    </w:p>
    <w:p w14:paraId="6E932D80" w14:textId="2F53028E" w:rsidR="00AB2927" w:rsidRPr="009A5185" w:rsidRDefault="00164DB1" w:rsidP="00CF5A6E">
      <w:pPr>
        <w:pStyle w:val="Heading2"/>
      </w:pPr>
      <w:bookmarkStart w:id="152" w:name="_Section_2:_Medication"/>
      <w:bookmarkStart w:id="153" w:name="_Toc225877688"/>
      <w:bookmarkEnd w:id="152"/>
      <w:r w:rsidRPr="009A5185">
        <w:lastRenderedPageBreak/>
        <w:t xml:space="preserve">Section 2: </w:t>
      </w:r>
      <w:r w:rsidR="00935D6C" w:rsidRPr="009A5185">
        <w:t>Medication Safety</w:t>
      </w:r>
      <w:bookmarkEnd w:id="153"/>
    </w:p>
    <w:p w14:paraId="1F456B28" w14:textId="77777777" w:rsidR="000C3BE1" w:rsidRPr="00CB69E1" w:rsidRDefault="000C3BE1">
      <w:pPr>
        <w:rPr>
          <w:rFonts w:cs="Arial"/>
          <w:snapToGrid w:val="0"/>
        </w:rPr>
      </w:pPr>
    </w:p>
    <w:p w14:paraId="5B76138D" w14:textId="1E70CA6A" w:rsidR="00746388" w:rsidRDefault="00AE1385" w:rsidP="00F87A51">
      <w:r>
        <w:rPr>
          <w:rFonts w:cs="Arial"/>
          <w:b/>
          <w:snapToGrid w:val="0"/>
        </w:rPr>
        <w:t>Computerized Physician Order Entry (</w:t>
      </w:r>
      <w:r w:rsidR="000C3BE1" w:rsidRPr="009A5185">
        <w:rPr>
          <w:rFonts w:cs="Arial"/>
          <w:b/>
          <w:snapToGrid w:val="0"/>
        </w:rPr>
        <w:t>CPOE</w:t>
      </w:r>
      <w:r>
        <w:rPr>
          <w:rFonts w:cs="Arial"/>
          <w:b/>
          <w:snapToGrid w:val="0"/>
        </w:rPr>
        <w:t>)</w:t>
      </w:r>
      <w:r w:rsidR="000C3BE1" w:rsidRPr="009A5185">
        <w:rPr>
          <w:rFonts w:cs="Arial"/>
          <w:b/>
          <w:snapToGrid w:val="0"/>
        </w:rPr>
        <w:t xml:space="preserve"> Fact Sheet</w:t>
      </w:r>
      <w:r w:rsidR="009778A5">
        <w:rPr>
          <w:rFonts w:cs="Arial"/>
          <w:b/>
          <w:snapToGrid w:val="0"/>
        </w:rPr>
        <w:t xml:space="preserve"> and Bibliography</w:t>
      </w:r>
      <w:r w:rsidR="000C3BE1" w:rsidRPr="009A5185">
        <w:rPr>
          <w:rFonts w:cs="Arial"/>
          <w:b/>
          <w:snapToGrid w:val="0"/>
        </w:rPr>
        <w:t xml:space="preserve">: </w:t>
      </w:r>
      <w:hyperlink r:id="rId162" w:history="1">
        <w:r w:rsidR="00253947" w:rsidRPr="00A2752F">
          <w:rPr>
            <w:rStyle w:val="Hyperlink"/>
          </w:rPr>
          <w:t>https://ratings.leapfroggroup.org/measure/hospital/2026/safe-medication-ordering</w:t>
        </w:r>
      </w:hyperlink>
    </w:p>
    <w:p w14:paraId="5CF45B48" w14:textId="77777777" w:rsidR="00253947" w:rsidRPr="00CB69E1" w:rsidRDefault="00253947" w:rsidP="00F87A51">
      <w:pPr>
        <w:rPr>
          <w:rStyle w:val="Hyperlink"/>
          <w:rFonts w:cs="Arial"/>
          <w:bCs/>
          <w:snapToGrid w:val="0"/>
        </w:rPr>
      </w:pPr>
    </w:p>
    <w:p w14:paraId="69352AB8" w14:textId="020DAA14" w:rsidR="00253947" w:rsidRDefault="005B4611" w:rsidP="005B4611">
      <w:r w:rsidRPr="009A5185">
        <w:rPr>
          <w:rFonts w:cs="Arial"/>
          <w:b/>
        </w:rPr>
        <w:t>Bar Code Medication Administration</w:t>
      </w:r>
      <w:r>
        <w:rPr>
          <w:rFonts w:cs="Arial"/>
          <w:b/>
        </w:rPr>
        <w:t xml:space="preserve"> </w:t>
      </w:r>
      <w:r w:rsidR="00887F43">
        <w:rPr>
          <w:rFonts w:cs="Arial"/>
          <w:b/>
        </w:rPr>
        <w:t xml:space="preserve">(BCMA) </w:t>
      </w:r>
      <w:r>
        <w:rPr>
          <w:rFonts w:cs="Arial"/>
          <w:b/>
        </w:rPr>
        <w:t xml:space="preserve">Fact Sheet and Bibliography: </w:t>
      </w:r>
      <w:hyperlink r:id="rId163" w:history="1">
        <w:r w:rsidR="00253947" w:rsidRPr="00A2752F">
          <w:rPr>
            <w:rStyle w:val="Hyperlink"/>
          </w:rPr>
          <w:t>https://ratings.leapfroggroup.org/measure/hospital/2026/safe-medication-administration</w:t>
        </w:r>
      </w:hyperlink>
      <w:r w:rsidR="00253947">
        <w:t xml:space="preserve"> </w:t>
      </w:r>
    </w:p>
    <w:p w14:paraId="5D222499" w14:textId="52861438" w:rsidR="00F87A51" w:rsidRDefault="005B4611" w:rsidP="00CB6A32">
      <w:r>
        <w:rPr>
          <w:b/>
          <w:bCs/>
        </w:rPr>
        <w:br/>
        <w:t xml:space="preserve">Medication Reconciliation Fact Sheet: </w:t>
      </w:r>
      <w:hyperlink r:id="rId164" w:history="1">
        <w:r w:rsidR="00253947" w:rsidRPr="00A2752F">
          <w:rPr>
            <w:rStyle w:val="Hyperlink"/>
          </w:rPr>
          <w:t>https://ratings.leapfroggroup.org/measure/hospital/2026/medication-reconciliation</w:t>
        </w:r>
      </w:hyperlink>
      <w:r w:rsidR="00253947">
        <w:t xml:space="preserve"> </w:t>
      </w:r>
    </w:p>
    <w:p w14:paraId="77E83109" w14:textId="77777777" w:rsidR="00CB6A32" w:rsidRPr="00CB69E1" w:rsidRDefault="00CB6A32" w:rsidP="00CB6A32">
      <w:pPr>
        <w:rPr>
          <w:rFonts w:cs="Arial"/>
          <w:b/>
          <w:color w:val="FF0000"/>
        </w:rPr>
      </w:pPr>
    </w:p>
    <w:p w14:paraId="718D4CF2" w14:textId="3D227292" w:rsidR="00B80A71" w:rsidRDefault="001A27A7" w:rsidP="005F595A">
      <w:pPr>
        <w:rPr>
          <w:b/>
          <w:bCs/>
          <w:snapToGrid w:val="0"/>
          <w:color w:val="FF0000"/>
        </w:rPr>
      </w:pPr>
      <w:r>
        <w:rPr>
          <w:b/>
          <w:bCs/>
          <w:snapToGrid w:val="0"/>
          <w:color w:val="FF0000"/>
        </w:rPr>
        <w:t>In Section 2</w:t>
      </w:r>
      <w:r w:rsidR="00301C36">
        <w:rPr>
          <w:b/>
          <w:bCs/>
          <w:snapToGrid w:val="0"/>
          <w:color w:val="FF0000"/>
        </w:rPr>
        <w:t>,</w:t>
      </w:r>
      <w:r w:rsidR="00FB0DBF">
        <w:rPr>
          <w:b/>
          <w:bCs/>
          <w:snapToGrid w:val="0"/>
          <w:color w:val="FF0000"/>
        </w:rPr>
        <w:t xml:space="preserve"> </w:t>
      </w:r>
      <w:r w:rsidR="00A116B1">
        <w:rPr>
          <w:b/>
          <w:bCs/>
          <w:snapToGrid w:val="0"/>
          <w:color w:val="FF0000"/>
        </w:rPr>
        <w:t>p</w:t>
      </w:r>
      <w:r w:rsidR="00FB0DBF">
        <w:rPr>
          <w:b/>
          <w:bCs/>
          <w:snapToGrid w:val="0"/>
          <w:color w:val="FF0000"/>
        </w:rPr>
        <w:t xml:space="preserve">ediatric hospitals should only respond to questions in Sections 2A and 2C. Sections 2B and 2D do not apply to pediatric hospitals. Additionally, </w:t>
      </w:r>
      <w:r w:rsidR="00A116B1">
        <w:rPr>
          <w:b/>
          <w:bCs/>
          <w:snapToGrid w:val="0"/>
          <w:color w:val="FF0000"/>
        </w:rPr>
        <w:t>p</w:t>
      </w:r>
      <w:r w:rsidR="00B80A71" w:rsidRPr="00B80A71">
        <w:rPr>
          <w:b/>
          <w:bCs/>
          <w:snapToGrid w:val="0"/>
          <w:color w:val="FF0000"/>
        </w:rPr>
        <w:t xml:space="preserve">ediatric </w:t>
      </w:r>
      <w:r w:rsidR="00786640">
        <w:rPr>
          <w:b/>
          <w:bCs/>
          <w:snapToGrid w:val="0"/>
          <w:color w:val="FF0000"/>
        </w:rPr>
        <w:t xml:space="preserve">hospitals are not required to complete the </w:t>
      </w:r>
      <w:r w:rsidR="00B80A71" w:rsidRPr="00B80A71">
        <w:rPr>
          <w:b/>
          <w:bCs/>
          <w:snapToGrid w:val="0"/>
          <w:color w:val="FF0000"/>
        </w:rPr>
        <w:t>CPOE Evaluation Tool</w:t>
      </w:r>
      <w:r w:rsidR="00786640">
        <w:rPr>
          <w:b/>
          <w:bCs/>
          <w:snapToGrid w:val="0"/>
          <w:color w:val="FF0000"/>
        </w:rPr>
        <w:t>.</w:t>
      </w:r>
    </w:p>
    <w:p w14:paraId="4396BE17" w14:textId="77777777" w:rsidR="00B80A71" w:rsidRPr="00CB69E1" w:rsidRDefault="00B80A71" w:rsidP="00AF6083">
      <w:pPr>
        <w:pStyle w:val="BodyText3"/>
        <w:rPr>
          <w:rFonts w:cs="Arial"/>
          <w:snapToGrid w:val="0"/>
        </w:rPr>
      </w:pPr>
      <w:bookmarkStart w:id="154" w:name="_Hlk35522617"/>
    </w:p>
    <w:p w14:paraId="66A3C441" w14:textId="33ACDBF0" w:rsidR="003A7DE7" w:rsidRDefault="003A7DE7" w:rsidP="0060690C">
      <w:pPr>
        <w:rPr>
          <w:rFonts w:cs="Arial"/>
          <w:snapToGrid w:val="0"/>
        </w:rPr>
      </w:pPr>
      <w:r w:rsidRPr="009A5185">
        <w:rPr>
          <w:rFonts w:cs="Arial"/>
          <w:snapToGrid w:val="0"/>
        </w:rPr>
        <w:t>Section 2</w:t>
      </w:r>
      <w:r>
        <w:rPr>
          <w:rFonts w:cs="Arial"/>
          <w:snapToGrid w:val="0"/>
        </w:rPr>
        <w:t xml:space="preserve"> </w:t>
      </w:r>
      <w:r w:rsidRPr="009A5185">
        <w:rPr>
          <w:rFonts w:cs="Arial"/>
          <w:snapToGrid w:val="0"/>
        </w:rPr>
        <w:t>includes questions about your hospital’s</w:t>
      </w:r>
      <w:r>
        <w:rPr>
          <w:rFonts w:cs="Arial"/>
          <w:snapToGrid w:val="0"/>
        </w:rPr>
        <w:t xml:space="preserve"> use </w:t>
      </w:r>
      <w:r w:rsidRPr="009A5185">
        <w:rPr>
          <w:rFonts w:cs="Arial"/>
          <w:snapToGrid w:val="0"/>
        </w:rPr>
        <w:t>of CPOE</w:t>
      </w:r>
      <w:r>
        <w:rPr>
          <w:rFonts w:cs="Arial"/>
          <w:snapToGrid w:val="0"/>
        </w:rPr>
        <w:t xml:space="preserve"> and BCMA, and (for adult and general hospitals) questions about your hospital’s medication reconciliation process</w:t>
      </w:r>
      <w:r w:rsidRPr="009A5185">
        <w:rPr>
          <w:rFonts w:cs="Arial"/>
          <w:snapToGrid w:val="0"/>
        </w:rPr>
        <w:t>.</w:t>
      </w:r>
      <w:r>
        <w:rPr>
          <w:rFonts w:cs="Arial"/>
          <w:snapToGrid w:val="0"/>
        </w:rPr>
        <w:t xml:space="preserve"> The EHR application subsection (2B) is only applicable to adult and general hospitals and will not be scored or publicly reported. In 2026, four questions about </w:t>
      </w:r>
      <w:r w:rsidRPr="00392052">
        <w:rPr>
          <w:rFonts w:cs="Arial"/>
        </w:rPr>
        <w:t xml:space="preserve">Artificial Intelligence (AI) </w:t>
      </w:r>
      <w:r>
        <w:rPr>
          <w:rFonts w:cs="Arial"/>
        </w:rPr>
        <w:t>applications were added to subsection 2B</w:t>
      </w:r>
      <w:r w:rsidRPr="00D14699">
        <w:rPr>
          <w:rFonts w:cs="Arial"/>
          <w:snapToGrid w:val="0"/>
        </w:rPr>
        <w:t xml:space="preserve"> – th</w:t>
      </w:r>
      <w:r>
        <w:rPr>
          <w:rFonts w:cs="Arial"/>
          <w:snapToGrid w:val="0"/>
        </w:rPr>
        <w:t>ese questions are</w:t>
      </w:r>
      <w:r w:rsidRPr="00D14699">
        <w:rPr>
          <w:rFonts w:cs="Arial"/>
          <w:snapToGrid w:val="0"/>
        </w:rPr>
        <w:t xml:space="preserve"> </w:t>
      </w:r>
      <w:r>
        <w:rPr>
          <w:rFonts w:cs="Arial"/>
          <w:snapToGrid w:val="0"/>
        </w:rPr>
        <w:t xml:space="preserve">required but </w:t>
      </w:r>
      <w:r w:rsidRPr="00D14699">
        <w:rPr>
          <w:rFonts w:cs="Arial"/>
          <w:snapToGrid w:val="0"/>
        </w:rPr>
        <w:t>will not be scored or publicly reported</w:t>
      </w:r>
      <w:r>
        <w:rPr>
          <w:rFonts w:cs="Arial"/>
          <w:snapToGrid w:val="0"/>
        </w:rPr>
        <w:t>.</w:t>
      </w:r>
    </w:p>
    <w:p w14:paraId="64C16F0A" w14:textId="77777777" w:rsidR="00CF4879" w:rsidRPr="00CB69E1" w:rsidRDefault="00CF4879" w:rsidP="0060690C">
      <w:pPr>
        <w:rPr>
          <w:rFonts w:cs="Arial"/>
          <w:snapToGrid w:val="0"/>
        </w:rPr>
      </w:pPr>
    </w:p>
    <w:p w14:paraId="5EBE74FA" w14:textId="6500E677" w:rsidR="00833D12" w:rsidRPr="00164E4B" w:rsidRDefault="00833D12" w:rsidP="00833D12">
      <w:pPr>
        <w:pStyle w:val="BodyText3"/>
        <w:rPr>
          <w:b/>
          <w:bCs/>
        </w:rPr>
      </w:pPr>
      <w:r w:rsidRPr="00164E4B">
        <w:rPr>
          <w:b/>
          <w:bCs/>
        </w:rPr>
        <w:t xml:space="preserve">Each hospital </w:t>
      </w:r>
      <w:r w:rsidR="009C7BC9" w:rsidRPr="00164E4B">
        <w:rPr>
          <w:b/>
          <w:bCs/>
        </w:rPr>
        <w:t xml:space="preserve">achieving </w:t>
      </w:r>
      <w:r w:rsidR="00B7223B">
        <w:rPr>
          <w:b/>
          <w:bCs/>
        </w:rPr>
        <w:t xml:space="preserve">the standard for Computerized </w:t>
      </w:r>
      <w:r w:rsidR="005B4611">
        <w:rPr>
          <w:b/>
          <w:bCs/>
        </w:rPr>
        <w:t>Physician</w:t>
      </w:r>
      <w:r w:rsidR="00B7223B">
        <w:rPr>
          <w:b/>
          <w:bCs/>
        </w:rPr>
        <w:t xml:space="preserve"> Order Entry (CPOE)</w:t>
      </w:r>
      <w:r w:rsidRPr="00164E4B">
        <w:rPr>
          <w:b/>
          <w:bCs/>
        </w:rPr>
        <w:t xml:space="preserve">: </w:t>
      </w:r>
    </w:p>
    <w:p w14:paraId="4B9A77A8" w14:textId="12B7B2AA" w:rsidR="00833D12" w:rsidRDefault="00833D12" w:rsidP="00AD309C">
      <w:pPr>
        <w:pStyle w:val="BodyText3"/>
        <w:numPr>
          <w:ilvl w:val="0"/>
          <w:numId w:val="158"/>
        </w:numPr>
      </w:pPr>
      <w:bookmarkStart w:id="155" w:name="_Hlk97911925"/>
      <w:r>
        <w:t>Assures that prescribers enter at least 85% of inpatient medication orders via a computer system that includes decision support software to reduce prescribing errors</w:t>
      </w:r>
      <w:r w:rsidR="00C12AD1">
        <w:t>,</w:t>
      </w:r>
      <w:r>
        <w:t xml:space="preserve"> </w:t>
      </w:r>
      <w:r w:rsidRPr="00C12AD1">
        <w:rPr>
          <w:b/>
          <w:bCs/>
        </w:rPr>
        <w:t>and</w:t>
      </w:r>
    </w:p>
    <w:p w14:paraId="050619F1" w14:textId="2F2216C7" w:rsidR="00833D12" w:rsidRPr="00833D12" w:rsidRDefault="00833D12" w:rsidP="00AD309C">
      <w:pPr>
        <w:pStyle w:val="BodyText3"/>
        <w:numPr>
          <w:ilvl w:val="0"/>
          <w:numId w:val="158"/>
        </w:numPr>
        <w:rPr>
          <w:rFonts w:cs="Arial"/>
          <w:snapToGrid w:val="0"/>
        </w:rPr>
      </w:pPr>
      <w:r>
        <w:t>For adult and general hospitals, demonstrates, via a test, that its inpatient CPOE system can alert physicians to at least 60% of frequent serious medication errors known to cause harm to patients.</w:t>
      </w:r>
      <w:bookmarkEnd w:id="155"/>
    </w:p>
    <w:p w14:paraId="22A67225" w14:textId="1FF470F6" w:rsidR="00833D12" w:rsidRPr="00CB69E1" w:rsidRDefault="00833D12" w:rsidP="0060690C">
      <w:pPr>
        <w:rPr>
          <w:rFonts w:cs="Arial"/>
          <w:snapToGrid w:val="0"/>
        </w:rPr>
      </w:pPr>
    </w:p>
    <w:p w14:paraId="190437B9" w14:textId="77777777" w:rsidR="005B4611" w:rsidRPr="009A5185" w:rsidRDefault="005B4611" w:rsidP="005B4611">
      <w:pPr>
        <w:rPr>
          <w:rFonts w:cs="Arial"/>
          <w:b/>
        </w:rPr>
      </w:pPr>
      <w:r w:rsidRPr="009A5185">
        <w:rPr>
          <w:rFonts w:cs="Arial"/>
          <w:b/>
        </w:rPr>
        <w:t xml:space="preserve">Each hospital </w:t>
      </w:r>
      <w:r>
        <w:rPr>
          <w:rFonts w:cs="Arial"/>
          <w:b/>
        </w:rPr>
        <w:t>achieving</w:t>
      </w:r>
      <w:r w:rsidRPr="009A5185">
        <w:rPr>
          <w:rFonts w:cs="Arial"/>
          <w:b/>
        </w:rPr>
        <w:t xml:space="preserve"> th</w:t>
      </w:r>
      <w:r>
        <w:rPr>
          <w:rFonts w:cs="Arial"/>
          <w:b/>
        </w:rPr>
        <w:t>e</w:t>
      </w:r>
      <w:r w:rsidRPr="009A5185">
        <w:rPr>
          <w:rFonts w:cs="Arial"/>
          <w:b/>
        </w:rPr>
        <w:t xml:space="preserve"> standard </w:t>
      </w:r>
      <w:r>
        <w:rPr>
          <w:rFonts w:cs="Arial"/>
          <w:b/>
        </w:rPr>
        <w:t>for Bar Code Medication Administration</w:t>
      </w:r>
      <w:r w:rsidRPr="009A5185">
        <w:rPr>
          <w:rFonts w:cs="Arial"/>
          <w:b/>
        </w:rPr>
        <w:t xml:space="preserve">: </w:t>
      </w:r>
    </w:p>
    <w:p w14:paraId="51DA6788" w14:textId="3798749C" w:rsidR="005B4611" w:rsidRPr="009A5185" w:rsidRDefault="005B4611" w:rsidP="00AD309C">
      <w:pPr>
        <w:pStyle w:val="ListParagraph"/>
        <w:numPr>
          <w:ilvl w:val="0"/>
          <w:numId w:val="45"/>
        </w:numPr>
        <w:rPr>
          <w:rFonts w:cs="Arial"/>
        </w:rPr>
      </w:pPr>
      <w:r w:rsidRPr="009A5185">
        <w:rPr>
          <w:rFonts w:cs="Arial"/>
        </w:rPr>
        <w:t>Has implemented the use of BCMA at the bedside in 100% of applicable units</w:t>
      </w:r>
      <w:r w:rsidR="00BE0C7B">
        <w:rPr>
          <w:rFonts w:cs="Arial"/>
        </w:rPr>
        <w:t>;</w:t>
      </w:r>
      <w:r w:rsidR="00C12AD1">
        <w:rPr>
          <w:rFonts w:cs="Arial"/>
        </w:rPr>
        <w:t xml:space="preserve"> </w:t>
      </w:r>
      <w:r w:rsidR="00C12AD1" w:rsidRPr="00C12AD1">
        <w:rPr>
          <w:rFonts w:cs="Arial"/>
          <w:b/>
          <w:bCs/>
        </w:rPr>
        <w:t>and</w:t>
      </w:r>
    </w:p>
    <w:p w14:paraId="42C2B681" w14:textId="6EBE4D46" w:rsidR="005B4611" w:rsidRPr="009A5185" w:rsidRDefault="005B4611" w:rsidP="00AD309C">
      <w:pPr>
        <w:pStyle w:val="ListParagraph"/>
        <w:numPr>
          <w:ilvl w:val="0"/>
          <w:numId w:val="45"/>
        </w:numPr>
        <w:rPr>
          <w:rFonts w:cs="Arial"/>
        </w:rPr>
      </w:pPr>
      <w:r w:rsidRPr="009A5185">
        <w:rPr>
          <w:rFonts w:cs="Arial"/>
        </w:rPr>
        <w:t>Has achieved at least 95% compliance with scanning patients and medications during administration</w:t>
      </w:r>
      <w:r>
        <w:rPr>
          <w:rFonts w:cs="Arial"/>
        </w:rPr>
        <w:t xml:space="preserve"> </w:t>
      </w:r>
      <w:r w:rsidRPr="00177BDC">
        <w:rPr>
          <w:rFonts w:cs="Arial"/>
        </w:rPr>
        <w:t>in applicable units where BCMA is implemented</w:t>
      </w:r>
      <w:r w:rsidR="00BE0C7B">
        <w:rPr>
          <w:rFonts w:cs="Arial"/>
        </w:rPr>
        <w:t>;</w:t>
      </w:r>
      <w:r w:rsidR="00C12AD1">
        <w:rPr>
          <w:rFonts w:cs="Arial"/>
        </w:rPr>
        <w:t xml:space="preserve"> </w:t>
      </w:r>
      <w:r w:rsidR="00C12AD1" w:rsidRPr="00C12AD1">
        <w:rPr>
          <w:rFonts w:cs="Arial"/>
          <w:b/>
          <w:bCs/>
        </w:rPr>
        <w:t>and</w:t>
      </w:r>
    </w:p>
    <w:p w14:paraId="79C9DA5B" w14:textId="548D55E0" w:rsidR="00363BD0" w:rsidRPr="00363BD0" w:rsidRDefault="005B4611" w:rsidP="00AD309C">
      <w:pPr>
        <w:pStyle w:val="ListParagraph"/>
        <w:numPr>
          <w:ilvl w:val="0"/>
          <w:numId w:val="45"/>
        </w:numPr>
        <w:rPr>
          <w:rFonts w:cs="Arial"/>
        </w:rPr>
      </w:pPr>
      <w:r>
        <w:rPr>
          <w:rFonts w:cs="Arial"/>
        </w:rPr>
        <w:t>Has a BCM</w:t>
      </w:r>
      <w:r w:rsidRPr="009A5185">
        <w:rPr>
          <w:rFonts w:cs="Arial"/>
        </w:rPr>
        <w:t xml:space="preserve">A system that includes </w:t>
      </w:r>
      <w:r w:rsidR="00E46668" w:rsidRPr="009A5185">
        <w:rPr>
          <w:rFonts w:cs="Arial"/>
        </w:rPr>
        <w:t>all</w:t>
      </w:r>
      <w:r w:rsidRPr="009A5185">
        <w:rPr>
          <w:rFonts w:cs="Arial"/>
        </w:rPr>
        <w:t xml:space="preserve"> the following types of decision support: wrong patient, wrong medication, wrong dose, wrong time, and second nurse check needed</w:t>
      </w:r>
      <w:r w:rsidR="00BE0C7B">
        <w:rPr>
          <w:rFonts w:cs="Arial"/>
        </w:rPr>
        <w:t>;</w:t>
      </w:r>
      <w:r w:rsidR="00C12AD1">
        <w:rPr>
          <w:rFonts w:cs="Arial"/>
        </w:rPr>
        <w:t xml:space="preserve"> </w:t>
      </w:r>
      <w:r w:rsidR="00C12AD1" w:rsidRPr="00C12AD1">
        <w:rPr>
          <w:rFonts w:cs="Arial"/>
          <w:b/>
          <w:bCs/>
        </w:rPr>
        <w:t>and</w:t>
      </w:r>
    </w:p>
    <w:p w14:paraId="189B5CAB" w14:textId="7B1C4261" w:rsidR="00887F43" w:rsidRDefault="005B4611" w:rsidP="00AD309C">
      <w:pPr>
        <w:pStyle w:val="ListParagraph"/>
        <w:numPr>
          <w:ilvl w:val="0"/>
          <w:numId w:val="45"/>
        </w:numPr>
        <w:rPr>
          <w:rFonts w:cs="Arial"/>
        </w:rPr>
      </w:pPr>
      <w:r w:rsidRPr="00363BD0">
        <w:rPr>
          <w:rFonts w:cs="Arial"/>
        </w:rPr>
        <w:t xml:space="preserve">Has </w:t>
      </w:r>
      <w:r w:rsidR="00BD7FBF">
        <w:rPr>
          <w:rFonts w:cs="Arial"/>
        </w:rPr>
        <w:t>at least six</w:t>
      </w:r>
      <w:r w:rsidR="00845934">
        <w:rPr>
          <w:rFonts w:cs="Arial"/>
        </w:rPr>
        <w:t>*</w:t>
      </w:r>
      <w:r w:rsidR="00BD7FBF">
        <w:rPr>
          <w:rFonts w:cs="Arial"/>
        </w:rPr>
        <w:t xml:space="preserve"> of the following </w:t>
      </w:r>
      <w:r w:rsidRPr="00363BD0">
        <w:rPr>
          <w:rFonts w:cs="Arial"/>
        </w:rPr>
        <w:t>structures in place to monitor and reduce workarounds</w:t>
      </w:r>
      <w:r w:rsidR="00BD7FBF">
        <w:rPr>
          <w:rFonts w:cs="Arial"/>
        </w:rPr>
        <w:t>:</w:t>
      </w:r>
      <w:r w:rsidRPr="00363BD0">
        <w:rPr>
          <w:rFonts w:cs="Arial"/>
        </w:rPr>
        <w:t xml:space="preserve"> ha</w:t>
      </w:r>
      <w:r w:rsidR="00BD7FBF">
        <w:rPr>
          <w:rFonts w:cs="Arial"/>
        </w:rPr>
        <w:t>s</w:t>
      </w:r>
      <w:r w:rsidRPr="00363BD0">
        <w:rPr>
          <w:rFonts w:cs="Arial"/>
        </w:rPr>
        <w:t xml:space="preserve"> a formal committee that meets routinely to review data reports on BCMA system use, ha</w:t>
      </w:r>
      <w:r w:rsidR="00BD7FBF">
        <w:rPr>
          <w:rFonts w:cs="Arial"/>
        </w:rPr>
        <w:t>s</w:t>
      </w:r>
      <w:r w:rsidRPr="00363BD0">
        <w:rPr>
          <w:rFonts w:cs="Arial"/>
        </w:rPr>
        <w:t xml:space="preserve"> back-up</w:t>
      </w:r>
      <w:r w:rsidR="00EB2622">
        <w:rPr>
          <w:rFonts w:cs="Arial"/>
        </w:rPr>
        <w:t xml:space="preserve"> equipment</w:t>
      </w:r>
      <w:r w:rsidRPr="00363BD0">
        <w:rPr>
          <w:rFonts w:cs="Arial"/>
        </w:rPr>
        <w:t xml:space="preserve"> for hardware failures, ha</w:t>
      </w:r>
      <w:r w:rsidR="00BD7FBF">
        <w:rPr>
          <w:rFonts w:cs="Arial"/>
        </w:rPr>
        <w:t>s</w:t>
      </w:r>
      <w:r w:rsidRPr="00363BD0">
        <w:rPr>
          <w:rFonts w:cs="Arial"/>
        </w:rPr>
        <w:t xml:space="preserve"> a help desk that provides timely responses to urgent BCMA issues in real-time, conducting real-time observations of users using the BCMA system, and engag</w:t>
      </w:r>
      <w:r w:rsidR="00BD7FBF">
        <w:rPr>
          <w:rFonts w:cs="Arial"/>
        </w:rPr>
        <w:t>es</w:t>
      </w:r>
      <w:r w:rsidRPr="00363BD0">
        <w:rPr>
          <w:rFonts w:cs="Arial"/>
        </w:rPr>
        <w:t xml:space="preserve"> nursing leadership at the unit level on BCMA use. Additionally, information from these structures is used to implement quality improvement projects or monitor previous quality improvement projects focusing on the hospital’s BCMA system. Results from the quality improvement projects are evaluated and demonstrate that these projects have resulted in higher adherence to standard medication administration processes. Finally, resolution of system deficiencies and/or problems that may have contributed to the workaround are communicated back to the end user.</w:t>
      </w:r>
    </w:p>
    <w:p w14:paraId="09053893" w14:textId="0B2ACE64" w:rsidR="003D1D21" w:rsidRPr="003D1D21" w:rsidRDefault="003D1D21" w:rsidP="003D1D21">
      <w:pPr>
        <w:ind w:left="360"/>
        <w:rPr>
          <w:rFonts w:cs="Arial"/>
        </w:rPr>
      </w:pPr>
      <w:r w:rsidRPr="003D1D21">
        <w:rPr>
          <w:rFonts w:cs="Arial"/>
        </w:rPr>
        <w:t>*</w:t>
      </w:r>
      <w:r w:rsidRPr="00424D83">
        <w:t xml:space="preserve"> </w:t>
      </w:r>
      <w:r w:rsidRPr="003D1D21">
        <w:rPr>
          <w:rFonts w:cs="Arial"/>
        </w:rPr>
        <w:t>Hospitals responding “Does not apply, hospital has achieved 95% BCMA scanning compliance in all applicable units</w:t>
      </w:r>
      <w:r w:rsidR="00944980">
        <w:rPr>
          <w:rFonts w:cs="Arial"/>
        </w:rPr>
        <w:t xml:space="preserve"> based on quarterly monitoring</w:t>
      </w:r>
      <w:r w:rsidRPr="003D1D21">
        <w:rPr>
          <w:rFonts w:cs="Arial"/>
        </w:rPr>
        <w:t>” to question #21f (implementation/monitoring of quality improvement projects) earn credit for both question #21f and question #21g (evaluation of results from quality improvement projects).</w:t>
      </w:r>
    </w:p>
    <w:p w14:paraId="2BC4571B" w14:textId="766D9000" w:rsidR="00CB69E1" w:rsidRDefault="00CB69E1">
      <w:pPr>
        <w:rPr>
          <w:rFonts w:cs="Arial"/>
        </w:rPr>
      </w:pPr>
      <w:r>
        <w:rPr>
          <w:rFonts w:cs="Arial"/>
        </w:rPr>
        <w:br w:type="page"/>
      </w:r>
    </w:p>
    <w:p w14:paraId="20B75368" w14:textId="77777777" w:rsidR="00887F43" w:rsidRPr="008E75BF" w:rsidRDefault="00887F43" w:rsidP="00887F43">
      <w:pPr>
        <w:pStyle w:val="ListParagraph"/>
        <w:ind w:left="0"/>
        <w:rPr>
          <w:rFonts w:cs="Arial"/>
          <w:b/>
          <w:bCs/>
        </w:rPr>
      </w:pPr>
      <w:r w:rsidRPr="008E75BF">
        <w:rPr>
          <w:rFonts w:cs="Arial"/>
          <w:b/>
          <w:bCs/>
        </w:rPr>
        <w:lastRenderedPageBreak/>
        <w:t>Each hospital achieving the standard for Medication Reconciliation:</w:t>
      </w:r>
    </w:p>
    <w:p w14:paraId="3C11F389" w14:textId="019DEF45" w:rsidR="00887F43" w:rsidRDefault="00887F43" w:rsidP="00AD309C">
      <w:pPr>
        <w:pStyle w:val="ListParagraph"/>
        <w:numPr>
          <w:ilvl w:val="0"/>
          <w:numId w:val="180"/>
        </w:numPr>
        <w:rPr>
          <w:rFonts w:cs="Arial"/>
        </w:rPr>
      </w:pPr>
      <w:r w:rsidRPr="00887F43">
        <w:rPr>
          <w:rFonts w:cs="Arial"/>
        </w:rPr>
        <w:t>Uses a nationally endorsed protocol to collect data on the accuracy of its medication reconciliation process for at least 30 sampled patients and reported the data collected to Leapfrog</w:t>
      </w:r>
      <w:r w:rsidR="00C12AD1">
        <w:rPr>
          <w:rFonts w:cs="Arial"/>
        </w:rPr>
        <w:t xml:space="preserve">, </w:t>
      </w:r>
      <w:r w:rsidR="00C12AD1" w:rsidRPr="00C12AD1">
        <w:rPr>
          <w:rFonts w:cs="Arial"/>
          <w:b/>
          <w:bCs/>
        </w:rPr>
        <w:t>and</w:t>
      </w:r>
    </w:p>
    <w:p w14:paraId="2613BBE5" w14:textId="4E9E3F7F" w:rsidR="00CB69E1" w:rsidRPr="00CB69E1" w:rsidRDefault="00887F43" w:rsidP="00CB69E1">
      <w:pPr>
        <w:pStyle w:val="ListParagraph"/>
        <w:numPr>
          <w:ilvl w:val="0"/>
          <w:numId w:val="180"/>
        </w:numPr>
        <w:rPr>
          <w:snapToGrid w:val="0"/>
        </w:rPr>
      </w:pPr>
      <w:r w:rsidRPr="00887F43">
        <w:rPr>
          <w:rFonts w:cs="Arial"/>
        </w:rPr>
        <w:t>Has a rate of unintentional medication discrepancies that</w:t>
      </w:r>
      <w:r w:rsidRPr="008E75BF">
        <w:rPr>
          <w:rFonts w:cs="Arial"/>
          <w:vertAlign w:val="superscript"/>
        </w:rPr>
        <w:t xml:space="preserve"> </w:t>
      </w:r>
      <w:r w:rsidR="00003FC6">
        <w:rPr>
          <w:rFonts w:cs="Arial"/>
        </w:rPr>
        <w:t>is</w:t>
      </w:r>
      <w:r w:rsidRPr="00887F43">
        <w:rPr>
          <w:rFonts w:cs="Arial"/>
        </w:rPr>
        <w:t xml:space="preserve"> lower than the 50th percentile (where lower performance is better).</w:t>
      </w:r>
    </w:p>
    <w:p w14:paraId="4337023D" w14:textId="77777777" w:rsidR="00CB69E1" w:rsidRPr="00CB69E1" w:rsidRDefault="00CB69E1">
      <w:pPr>
        <w:rPr>
          <w:rFonts w:cs="Arial"/>
          <w:b/>
          <w:sz w:val="16"/>
          <w:szCs w:val="16"/>
        </w:rPr>
      </w:pPr>
    </w:p>
    <w:p w14:paraId="16C9ADFC" w14:textId="27F6D430" w:rsidR="007A627A" w:rsidRDefault="0082085D">
      <w:r w:rsidRPr="009A5185">
        <w:rPr>
          <w:rFonts w:cs="Arial"/>
          <w:b/>
        </w:rPr>
        <w:t xml:space="preserve">Download the </w:t>
      </w:r>
      <w:r w:rsidR="00A236B1">
        <w:rPr>
          <w:rFonts w:cs="Arial"/>
          <w:b/>
        </w:rPr>
        <w:t>202</w:t>
      </w:r>
      <w:r w:rsidR="000A7852">
        <w:rPr>
          <w:rFonts w:cs="Arial"/>
          <w:b/>
        </w:rPr>
        <w:t>6</w:t>
      </w:r>
      <w:r w:rsidR="0043631C" w:rsidRPr="009A5185">
        <w:rPr>
          <w:rFonts w:cs="Arial"/>
          <w:b/>
        </w:rPr>
        <w:t xml:space="preserve"> Leapfrog Hospital Survey</w:t>
      </w:r>
      <w:r w:rsidRPr="009A5185">
        <w:rPr>
          <w:rFonts w:cs="Arial"/>
          <w:b/>
        </w:rPr>
        <w:t xml:space="preserve"> Scoring Algorithm</w:t>
      </w:r>
      <w:r w:rsidR="0043631C" w:rsidRPr="009A5185">
        <w:rPr>
          <w:rFonts w:cs="Arial"/>
          <w:b/>
        </w:rPr>
        <w:t xml:space="preserve"> </w:t>
      </w:r>
      <w:r w:rsidRPr="009A5185">
        <w:rPr>
          <w:rFonts w:cs="Arial"/>
          <w:b/>
        </w:rPr>
        <w:t xml:space="preserve">on the </w:t>
      </w:r>
      <w:hyperlink r:id="rId165" w:history="1">
        <w:r w:rsidRPr="009A5185">
          <w:rPr>
            <w:rStyle w:val="Hyperlink"/>
            <w:rFonts w:cs="Arial"/>
            <w:b/>
          </w:rPr>
          <w:t>Scoring and Results webpage</w:t>
        </w:r>
      </w:hyperlink>
      <w:r w:rsidRPr="009A5185">
        <w:rPr>
          <w:rFonts w:cs="Arial"/>
          <w:b/>
        </w:rPr>
        <w:t>.</w:t>
      </w:r>
      <w:bookmarkEnd w:id="154"/>
    </w:p>
    <w:p w14:paraId="34470790" w14:textId="77777777" w:rsidR="00CF4879" w:rsidRDefault="00CF4879">
      <w:pPr>
        <w:rPr>
          <w:b/>
          <w:snapToGrid w:val="0"/>
          <w:sz w:val="28"/>
          <w:szCs w:val="24"/>
          <w:u w:val="single"/>
          <w:lang w:eastAsia="ja-JP"/>
        </w:rPr>
      </w:pPr>
      <w:r>
        <w:br w:type="page"/>
      </w:r>
    </w:p>
    <w:p w14:paraId="51613BDD" w14:textId="6C8B3A43" w:rsidR="008979F8" w:rsidRDefault="000C2C54" w:rsidP="00CF5A6E">
      <w:pPr>
        <w:pStyle w:val="Heading2"/>
      </w:pPr>
      <w:bookmarkStart w:id="156" w:name="_Toc225877689"/>
      <w:r w:rsidRPr="009A5185">
        <w:lastRenderedPageBreak/>
        <w:t>2</w:t>
      </w:r>
      <w:r>
        <w:t>A</w:t>
      </w:r>
      <w:r w:rsidRPr="009A5185">
        <w:t>: Computerized Physician Order Entry (CPOE)</w:t>
      </w:r>
      <w:bookmarkEnd w:id="156"/>
    </w:p>
    <w:p w14:paraId="768171D8" w14:textId="77777777" w:rsidR="000C2C54" w:rsidRPr="009C4F85" w:rsidRDefault="000C2C54" w:rsidP="00B31B8C">
      <w:pPr>
        <w:rPr>
          <w:rFonts w:cs="Arial"/>
          <w:b/>
          <w:snapToGrid w:val="0"/>
        </w:rPr>
      </w:pPr>
    </w:p>
    <w:p w14:paraId="651B8FA7" w14:textId="1F6944CF" w:rsidR="0003005A" w:rsidRDefault="0003005A" w:rsidP="0003005A">
      <w:pPr>
        <w:rPr>
          <w:rFonts w:cs="Arial"/>
          <w:snapToGrid w:val="0"/>
        </w:rPr>
      </w:pPr>
      <w:r w:rsidRPr="009A5185">
        <w:rPr>
          <w:rFonts w:cs="Arial"/>
          <w:snapToGrid w:val="0"/>
        </w:rPr>
        <w:t xml:space="preserve">Hospitals that share a </w:t>
      </w:r>
      <w:r>
        <w:rPr>
          <w:rFonts w:cs="Arial"/>
          <w:snapToGrid w:val="0"/>
        </w:rPr>
        <w:t>CMS Certification Number</w:t>
      </w:r>
      <w:r w:rsidRPr="009A5185">
        <w:rPr>
          <w:rFonts w:cs="Arial"/>
          <w:snapToGrid w:val="0"/>
        </w:rPr>
        <w:t xml:space="preserve"> are required to report by facility. Please carefully review </w:t>
      </w:r>
      <w:hyperlink r:id="rId166" w:history="1">
        <w:r w:rsidRPr="009A5185">
          <w:rPr>
            <w:rStyle w:val="Hyperlink"/>
            <w:rFonts w:cs="Arial"/>
            <w:snapToGrid w:val="0"/>
          </w:rPr>
          <w:t>Leapfrog’s Multi-Campus Reporting Policy</w:t>
        </w:r>
      </w:hyperlink>
      <w:r w:rsidRPr="009A5185">
        <w:rPr>
          <w:rFonts w:cs="Arial"/>
          <w:snapToGrid w:val="0"/>
        </w:rPr>
        <w:t>.</w:t>
      </w:r>
    </w:p>
    <w:p w14:paraId="4E437BE1" w14:textId="5D694310" w:rsidR="00515C53" w:rsidRPr="009C4F85" w:rsidRDefault="00515C53" w:rsidP="0003005A">
      <w:pPr>
        <w:rPr>
          <w:rFonts w:cs="Arial"/>
          <w:snapToGrid w:val="0"/>
        </w:rPr>
      </w:pPr>
    </w:p>
    <w:p w14:paraId="79EE239A" w14:textId="77777777" w:rsidR="00515C53" w:rsidRDefault="00515C53" w:rsidP="0003005A">
      <w:pPr>
        <w:rPr>
          <w:rFonts w:cs="Arial"/>
          <w:snapToGrid w:val="0"/>
          <w:color w:val="FF0000"/>
        </w:rPr>
      </w:pPr>
      <w:r w:rsidRPr="008E75BF">
        <w:rPr>
          <w:rFonts w:cs="Arial"/>
          <w:b/>
          <w:bCs/>
          <w:snapToGrid w:val="0"/>
          <w:color w:val="FF0000"/>
        </w:rPr>
        <w:t>Important Note</w:t>
      </w:r>
      <w:r>
        <w:rPr>
          <w:rFonts w:cs="Arial"/>
          <w:b/>
          <w:bCs/>
          <w:snapToGrid w:val="0"/>
          <w:color w:val="FF0000"/>
        </w:rPr>
        <w:t>s</w:t>
      </w:r>
      <w:r w:rsidRPr="008E75BF">
        <w:rPr>
          <w:rFonts w:cs="Arial"/>
          <w:b/>
          <w:bCs/>
          <w:snapToGrid w:val="0"/>
          <w:color w:val="FF0000"/>
        </w:rPr>
        <w:t>:</w:t>
      </w:r>
      <w:r w:rsidRPr="008E75BF">
        <w:rPr>
          <w:rFonts w:cs="Arial"/>
          <w:snapToGrid w:val="0"/>
          <w:color w:val="FF0000"/>
        </w:rPr>
        <w:t xml:space="preserve"> </w:t>
      </w:r>
    </w:p>
    <w:p w14:paraId="5D810A54" w14:textId="79A29F77" w:rsidR="00515C53" w:rsidRPr="009C4F85" w:rsidRDefault="00515C53" w:rsidP="0003005A">
      <w:pPr>
        <w:rPr>
          <w:rFonts w:cs="Arial"/>
          <w:snapToGrid w:val="0"/>
          <w:color w:val="FF0000"/>
        </w:rPr>
      </w:pPr>
    </w:p>
    <w:p w14:paraId="2DD62F39" w14:textId="5277BEDC" w:rsidR="00515C53" w:rsidRPr="00F0772B" w:rsidRDefault="00515C53" w:rsidP="00515C53">
      <w:pPr>
        <w:rPr>
          <w:rFonts w:cs="Arial"/>
          <w:snapToGrid w:val="0"/>
        </w:rPr>
      </w:pPr>
      <w:r w:rsidRPr="00F0772B">
        <w:rPr>
          <w:rFonts w:cs="Arial"/>
          <w:snapToGrid w:val="0"/>
        </w:rPr>
        <w:t xml:space="preserve">Note 1: </w:t>
      </w:r>
      <w:r w:rsidRPr="00F0772B">
        <w:rPr>
          <w:rFonts w:cs="Arial"/>
        </w:rPr>
        <w:t xml:space="preserve">“Prescribers” used throughout this </w:t>
      </w:r>
      <w:r w:rsidR="00D623F2" w:rsidRPr="00F0772B">
        <w:rPr>
          <w:rFonts w:cs="Arial"/>
        </w:rPr>
        <w:t>sub</w:t>
      </w:r>
      <w:r w:rsidRPr="00F0772B">
        <w:rPr>
          <w:rFonts w:cs="Arial"/>
        </w:rPr>
        <w:t xml:space="preserve">section refers to all licensed clinicians who are authorized by the state in which the hospital is located to order medications for patients. </w:t>
      </w:r>
      <w:r w:rsidRPr="00F0772B">
        <w:rPr>
          <w:rFonts w:cs="Arial"/>
          <w:snapToGrid w:val="0"/>
        </w:rPr>
        <w:t>This includes residents and interns who are authorized to order medications under their own authority.</w:t>
      </w:r>
    </w:p>
    <w:p w14:paraId="1570D0CA" w14:textId="77777777" w:rsidR="00515C53" w:rsidRPr="009C4F85" w:rsidRDefault="00515C53" w:rsidP="0003005A">
      <w:pPr>
        <w:rPr>
          <w:rFonts w:cs="Arial"/>
          <w:snapToGrid w:val="0"/>
          <w:color w:val="FF0000"/>
        </w:rPr>
      </w:pPr>
    </w:p>
    <w:p w14:paraId="2A3EA796" w14:textId="2F4B4F6B" w:rsidR="00515C53" w:rsidRDefault="00515C53" w:rsidP="0003005A">
      <w:r w:rsidRPr="00F0772B">
        <w:rPr>
          <w:rFonts w:cs="Arial"/>
          <w:snapToGrid w:val="0"/>
        </w:rPr>
        <w:t xml:space="preserve">Note </w:t>
      </w:r>
      <w:r w:rsidR="006B676B" w:rsidRPr="00F0772B">
        <w:rPr>
          <w:rFonts w:cs="Arial"/>
          <w:snapToGrid w:val="0"/>
        </w:rPr>
        <w:t>2</w:t>
      </w:r>
      <w:r w:rsidRPr="00F0772B">
        <w:rPr>
          <w:rFonts w:cs="Arial"/>
          <w:snapToGrid w:val="0"/>
        </w:rPr>
        <w:t>:</w:t>
      </w:r>
      <w:r w:rsidRPr="008E75BF">
        <w:rPr>
          <w:rFonts w:cs="Arial"/>
          <w:snapToGrid w:val="0"/>
        </w:rPr>
        <w:t xml:space="preserve"> </w:t>
      </w:r>
      <w:r>
        <w:t xml:space="preserve">Adult and general hospitals must complete an Adult Inpatient Test at least once per Survey Cycle (April to November). Hospitals are encouraged to ensure that the Adult Inpatient CPOE Test is submitted along with the Survey to meet the deadlines for Leapfrog’s Programs such as Top Hospital, Leapfrog Hospital Safety Grade, etc. </w:t>
      </w:r>
    </w:p>
    <w:p w14:paraId="1E28581C" w14:textId="77777777" w:rsidR="008F70F2" w:rsidRDefault="008F70F2" w:rsidP="0003005A"/>
    <w:p w14:paraId="35CB110D" w14:textId="314D2484" w:rsidR="0003005A" w:rsidRDefault="008F70F2" w:rsidP="003A1D91">
      <w:pPr>
        <w:rPr>
          <w:rFonts w:cs="Arial"/>
        </w:rPr>
      </w:pPr>
      <w:r>
        <w:t xml:space="preserve">Note 3: </w:t>
      </w:r>
      <w:r w:rsidR="00177359" w:rsidRPr="005C1751">
        <w:rPr>
          <w:rFonts w:cs="Arial"/>
        </w:rPr>
        <w:t>Hospitals</w:t>
      </w:r>
      <w:r w:rsidR="00177359">
        <w:rPr>
          <w:rFonts w:cs="Arial"/>
        </w:rPr>
        <w:t xml:space="preserve"> </w:t>
      </w:r>
      <w:r w:rsidR="00177359" w:rsidRPr="005C1751">
        <w:rPr>
          <w:rFonts w:cs="Arial"/>
        </w:rPr>
        <w:t xml:space="preserve">will have access to the CPOE Evaluation Tool </w:t>
      </w:r>
      <w:r w:rsidR="00177359">
        <w:rPr>
          <w:rFonts w:cs="Arial"/>
        </w:rPr>
        <w:t xml:space="preserve">immediately </w:t>
      </w:r>
      <w:r w:rsidR="00177359" w:rsidRPr="005C1751">
        <w:rPr>
          <w:rFonts w:cs="Arial"/>
        </w:rPr>
        <w:t xml:space="preserve">after completing </w:t>
      </w:r>
      <w:r w:rsidR="00177359">
        <w:rPr>
          <w:rFonts w:cs="Arial"/>
        </w:rPr>
        <w:t>the Hospital Profile</w:t>
      </w:r>
      <w:r w:rsidR="00177359" w:rsidRPr="005C1751">
        <w:rPr>
          <w:rFonts w:cs="Arial"/>
        </w:rPr>
        <w:t xml:space="preserve"> in the Online Hospital Survey Tool.</w:t>
      </w:r>
    </w:p>
    <w:p w14:paraId="15E3AD85" w14:textId="77777777" w:rsidR="00177359" w:rsidRPr="009C4F85" w:rsidRDefault="00177359" w:rsidP="003A1D91">
      <w:pPr>
        <w:rPr>
          <w:rFonts w:cs="Arial"/>
          <w:b/>
        </w:rPr>
      </w:pPr>
    </w:p>
    <w:p w14:paraId="1A425CF0" w14:textId="4A329E33" w:rsidR="003A1D91" w:rsidRDefault="003A1D91" w:rsidP="003A1D91">
      <w:pPr>
        <w:rPr>
          <w:rFonts w:cs="Arial"/>
          <w:snapToGrid w:val="0"/>
        </w:rPr>
      </w:pPr>
      <w:r w:rsidRPr="009A5185">
        <w:rPr>
          <w:rFonts w:cs="Arial"/>
          <w:b/>
        </w:rPr>
        <w:t xml:space="preserve">Specifications: </w:t>
      </w:r>
      <w:r w:rsidRPr="009A5185">
        <w:rPr>
          <w:rFonts w:cs="Arial"/>
          <w:snapToGrid w:val="0"/>
        </w:rPr>
        <w:t xml:space="preserve">See </w:t>
      </w:r>
      <w:hyperlink w:anchor="_Medication_Safety_-" w:history="1">
        <w:r w:rsidR="009141C7">
          <w:rPr>
            <w:rStyle w:val="Hyperlink"/>
            <w:rFonts w:cs="Arial"/>
            <w:b/>
            <w:i/>
            <w:snapToGrid w:val="0"/>
          </w:rPr>
          <w:t>Computerized Physician Order Entry (CPOE) Measure Specifications</w:t>
        </w:r>
      </w:hyperlink>
      <w:r w:rsidRPr="009A5185">
        <w:rPr>
          <w:rFonts w:cs="Arial"/>
          <w:snapToGrid w:val="0"/>
        </w:rPr>
        <w:t xml:space="preserve"> in the Reference Information </w:t>
      </w:r>
      <w:r w:rsidR="00C86298">
        <w:rPr>
          <w:rFonts w:cs="Arial"/>
          <w:snapToGrid w:val="0"/>
        </w:rPr>
        <w:t xml:space="preserve">beginning </w:t>
      </w:r>
      <w:r w:rsidRPr="009A5185">
        <w:rPr>
          <w:rFonts w:cs="Arial"/>
          <w:snapToGrid w:val="0"/>
        </w:rPr>
        <w:t xml:space="preserve">on </w:t>
      </w:r>
      <w:r w:rsidR="00C86298">
        <w:rPr>
          <w:rFonts w:cs="Arial"/>
          <w:snapToGrid w:val="0"/>
        </w:rPr>
        <w:t>page</w:t>
      </w:r>
      <w:r w:rsidR="006C5566">
        <w:rPr>
          <w:rFonts w:cs="Arial"/>
          <w:snapToGrid w:val="0"/>
        </w:rPr>
        <w:t xml:space="preserve"> 7</w:t>
      </w:r>
      <w:r w:rsidR="009230CE">
        <w:rPr>
          <w:rFonts w:cs="Arial"/>
          <w:snapToGrid w:val="0"/>
        </w:rPr>
        <w:t>3</w:t>
      </w:r>
      <w:r w:rsidR="00FA29BA">
        <w:rPr>
          <w:rFonts w:cs="Arial"/>
          <w:snapToGrid w:val="0"/>
        </w:rPr>
        <w:t>.</w:t>
      </w:r>
      <w:r w:rsidR="008C7C9F">
        <w:rPr>
          <w:rFonts w:cs="Arial"/>
          <w:snapToGrid w:val="0"/>
        </w:rPr>
        <w:t xml:space="preserve"> </w:t>
      </w:r>
    </w:p>
    <w:p w14:paraId="3ACF96C7" w14:textId="77777777" w:rsidR="0087181B" w:rsidRPr="008C7C9F" w:rsidRDefault="0087181B" w:rsidP="003A1D91">
      <w:pPr>
        <w:rPr>
          <w:rFonts w:cs="Arial"/>
          <w:snapToGrid w:val="0"/>
        </w:rPr>
      </w:pPr>
    </w:p>
    <w:p w14:paraId="78DFA3B8" w14:textId="38A23006" w:rsidR="006C3A34" w:rsidRPr="00D32024" w:rsidRDefault="0087181B">
      <w:pPr>
        <w:rPr>
          <w:rFonts w:cs="Arial"/>
          <w:b/>
          <w:snapToGrid w:val="0"/>
          <w:sz w:val="16"/>
          <w:szCs w:val="16"/>
        </w:rPr>
      </w:pPr>
      <w:r w:rsidRPr="0087181B">
        <w:rPr>
          <w:rFonts w:cs="Arial"/>
          <w:noProof/>
          <w:snapToGrid w:val="0"/>
          <w:color w:val="000000"/>
          <w:sz w:val="16"/>
          <w:szCs w:val="16"/>
        </w:rPr>
        <mc:AlternateContent>
          <mc:Choice Requires="wps">
            <w:drawing>
              <wp:inline distT="0" distB="0" distL="0" distR="0" wp14:anchorId="4119309E" wp14:editId="741387DB">
                <wp:extent cx="6058894" cy="1404620"/>
                <wp:effectExtent l="0" t="0" r="18415" b="16510"/>
                <wp:docPr id="22" name="Text Box 22" descr="P1847TB6#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8894" cy="1404620"/>
                        </a:xfrm>
                        <a:prstGeom prst="rect">
                          <a:avLst/>
                        </a:prstGeom>
                        <a:solidFill>
                          <a:srgbClr val="FFFFFF"/>
                        </a:solidFill>
                        <a:ln w="9525">
                          <a:solidFill>
                            <a:srgbClr val="FF0000"/>
                          </a:solidFill>
                          <a:miter lim="800000"/>
                          <a:headEnd/>
                          <a:tailEnd/>
                        </a:ln>
                      </wps:spPr>
                      <wps:txbx>
                        <w:txbxContent>
                          <w:p w14:paraId="0E144760" w14:textId="1E6DED25" w:rsidR="0087181B" w:rsidRPr="009A5185" w:rsidRDefault="0087181B" w:rsidP="0087181B">
                            <w:pPr>
                              <w:spacing w:before="40"/>
                              <w:rPr>
                                <w:rFonts w:cs="Arial"/>
                                <w:b/>
                                <w:snapToGrid w:val="0"/>
                              </w:rPr>
                            </w:pPr>
                            <w:r w:rsidRPr="009A5185">
                              <w:rPr>
                                <w:rFonts w:cs="Arial"/>
                                <w:b/>
                                <w:snapToGrid w:val="0"/>
                              </w:rPr>
                              <w:t>Reporting Period: 3 months</w:t>
                            </w:r>
                          </w:p>
                          <w:p w14:paraId="3B02F1C3" w14:textId="77777777" w:rsidR="0087181B" w:rsidRDefault="0087181B" w:rsidP="0087181B">
                            <w:pPr>
                              <w:rPr>
                                <w:rFonts w:cs="Arial"/>
                                <w:snapToGrid w:val="0"/>
                              </w:rPr>
                            </w:pPr>
                            <w:r w:rsidRPr="009A5185">
                              <w:rPr>
                                <w:rFonts w:cs="Arial"/>
                                <w:snapToGrid w:val="0"/>
                              </w:rPr>
                              <w:t>Answer questions #1-</w:t>
                            </w:r>
                            <w:r>
                              <w:rPr>
                                <w:rFonts w:cs="Arial"/>
                                <w:snapToGrid w:val="0"/>
                              </w:rPr>
                              <w:t>5</w:t>
                            </w:r>
                            <w:r w:rsidRPr="009A5185">
                              <w:rPr>
                                <w:rFonts w:cs="Arial"/>
                                <w:snapToGrid w:val="0"/>
                              </w:rPr>
                              <w:t xml:space="preserve"> for the latest 3-month period prior to the submission of this section of the Survey.</w:t>
                            </w:r>
                          </w:p>
                          <w:p w14:paraId="7B018F0B" w14:textId="77777777" w:rsidR="0087181B" w:rsidRDefault="0087181B" w:rsidP="0087181B">
                            <w:pPr>
                              <w:rPr>
                                <w:rFonts w:cs="Arial"/>
                                <w:snapToGrid w:val="0"/>
                              </w:rPr>
                            </w:pPr>
                          </w:p>
                          <w:p w14:paraId="49CC2B33" w14:textId="0DA8C3D8" w:rsidR="0087181B" w:rsidRDefault="0087181B" w:rsidP="0087181B">
                            <w:r w:rsidRPr="006547C0">
                              <w:rPr>
                                <w:rFonts w:cs="Arial"/>
                                <w:sz w:val="16"/>
                                <w:szCs w:val="16"/>
                              </w:rPr>
                              <w:t xml:space="preserve">Note: As a reminder, the </w:t>
                            </w:r>
                            <w:hyperlink r:id="rId167" w:history="1">
                              <w:r w:rsidRPr="006547C0">
                                <w:rPr>
                                  <w:rStyle w:val="Hyperlink"/>
                                  <w:rFonts w:cs="Arial"/>
                                  <w:sz w:val="16"/>
                                  <w:szCs w:val="16"/>
                                </w:rPr>
                                <w:t>Corrections Period</w:t>
                              </w:r>
                            </w:hyperlink>
                            <w:r w:rsidRPr="006547C0">
                              <w:rPr>
                                <w:rFonts w:cs="Arial"/>
                                <w:sz w:val="16"/>
                                <w:szCs w:val="16"/>
                              </w:rPr>
                              <w:t xml:space="preserve"> </w:t>
                            </w:r>
                            <w:r w:rsidRPr="00E65E68">
                              <w:rPr>
                                <w:rFonts w:cs="Arial"/>
                                <w:sz w:val="16"/>
                                <w:szCs w:val="16"/>
                              </w:rPr>
                              <w:t>(</w:t>
                            </w:r>
                            <w:r>
                              <w:rPr>
                                <w:rFonts w:cs="Arial"/>
                                <w:sz w:val="16"/>
                                <w:szCs w:val="16"/>
                              </w:rPr>
                              <w:t>December</w:t>
                            </w:r>
                            <w:r w:rsidRPr="00E65E68">
                              <w:rPr>
                                <w:rFonts w:cs="Arial"/>
                                <w:sz w:val="16"/>
                                <w:szCs w:val="16"/>
                              </w:rPr>
                              <w:t xml:space="preserve"> 1-January 31) is reserved for corrections to previously submitted Surveys only. </w:t>
                            </w:r>
                            <w:r w:rsidRPr="00E65E68">
                              <w:rPr>
                                <w:rFonts w:cs="Arial"/>
                                <w:bCs/>
                                <w:snapToGrid w:val="0"/>
                                <w:sz w:val="16"/>
                                <w:szCs w:val="16"/>
                              </w:rPr>
                              <w:t xml:space="preserve">Any updates made to reflect a change in performance must be made prior to the </w:t>
                            </w:r>
                            <w:r>
                              <w:rPr>
                                <w:rFonts w:cs="Arial"/>
                                <w:bCs/>
                                <w:snapToGrid w:val="0"/>
                                <w:sz w:val="16"/>
                                <w:szCs w:val="16"/>
                              </w:rPr>
                              <w:t>November 30</w:t>
                            </w:r>
                            <w:r w:rsidRPr="00E65E68">
                              <w:rPr>
                                <w:rFonts w:cs="Arial"/>
                                <w:bCs/>
                                <w:snapToGrid w:val="0"/>
                                <w:sz w:val="16"/>
                                <w:szCs w:val="16"/>
                              </w:rPr>
                              <w:t xml:space="preserve"> Late Submission </w:t>
                            </w:r>
                            <w:r w:rsidRPr="00AE38C7">
                              <w:rPr>
                                <w:rFonts w:cs="Arial"/>
                                <w:bCs/>
                                <w:snapToGrid w:val="0"/>
                                <w:sz w:val="16"/>
                                <w:szCs w:val="16"/>
                              </w:rPr>
                              <w:t>and Performance Update</w:t>
                            </w:r>
                            <w:r>
                              <w:rPr>
                                <w:rFonts w:cs="Arial"/>
                                <w:bCs/>
                                <w:snapToGrid w:val="0"/>
                                <w:sz w:val="16"/>
                                <w:szCs w:val="16"/>
                              </w:rPr>
                              <w:t xml:space="preserve"> </w:t>
                            </w:r>
                            <w:r w:rsidRPr="00E65E68">
                              <w:rPr>
                                <w:rFonts w:cs="Arial"/>
                                <w:bCs/>
                                <w:snapToGrid w:val="0"/>
                                <w:sz w:val="16"/>
                                <w:szCs w:val="16"/>
                              </w:rPr>
                              <w:t xml:space="preserve">Deadline. Updates made to reflect a change in performance after </w:t>
                            </w:r>
                            <w:r>
                              <w:rPr>
                                <w:rFonts w:cs="Arial"/>
                                <w:bCs/>
                                <w:snapToGrid w:val="0"/>
                                <w:sz w:val="16"/>
                                <w:szCs w:val="16"/>
                              </w:rPr>
                              <w:t>November 30</w:t>
                            </w:r>
                            <w:r w:rsidRPr="00E65E68">
                              <w:rPr>
                                <w:rFonts w:cs="Arial"/>
                                <w:bCs/>
                                <w:snapToGrid w:val="0"/>
                                <w:sz w:val="16"/>
                                <w:szCs w:val="16"/>
                              </w:rPr>
                              <w:t xml:space="preserve"> will not be scored or publicly reported.</w:t>
                            </w:r>
                          </w:p>
                        </w:txbxContent>
                      </wps:txbx>
                      <wps:bodyPr rot="0" vert="horz" wrap="square" lIns="91440" tIns="45720" rIns="91440" bIns="45720" anchor="t" anchorCtr="0">
                        <a:spAutoFit/>
                      </wps:bodyPr>
                    </wps:wsp>
                  </a:graphicData>
                </a:graphic>
              </wp:inline>
            </w:drawing>
          </mc:Choice>
          <mc:Fallback>
            <w:pict>
              <v:shape w14:anchorId="4119309E" id="Text Box 22" o:spid="_x0000_s1033" type="#_x0000_t202" alt="P1847TB6#y1" style="width:477.1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" strokecolor="red">
                <v:textbox style="mso-fit-shape-to-text:t">
                  <w:txbxContent>
                    <w:p w14:paraId="0E144760" w14:textId="1E6DED25" w:rsidR="0087181B" w:rsidRPr="009A5185" w:rsidRDefault="0087181B" w:rsidP="0087181B">
                      <w:pPr>
                        <w:spacing w:before="40"/>
                        <w:rPr>
                          <w:rFonts w:cs="Arial"/>
                          <w:b/>
                          <w:snapToGrid w:val="0"/>
                        </w:rPr>
                      </w:pPr>
                      <w:r w:rsidRPr="009A5185">
                        <w:rPr>
                          <w:rFonts w:cs="Arial"/>
                          <w:b/>
                          <w:snapToGrid w:val="0"/>
                        </w:rPr>
                        <w:t>Reporting Period: 3 months</w:t>
                      </w:r>
                    </w:p>
                    <w:p w14:paraId="3B02F1C3" w14:textId="77777777" w:rsidR="0087181B" w:rsidRDefault="0087181B" w:rsidP="0087181B">
                      <w:pPr>
                        <w:rPr>
                          <w:rFonts w:cs="Arial"/>
                          <w:snapToGrid w:val="0"/>
                        </w:rPr>
                      </w:pPr>
                      <w:r w:rsidRPr="009A5185">
                        <w:rPr>
                          <w:rFonts w:cs="Arial"/>
                          <w:snapToGrid w:val="0"/>
                        </w:rPr>
                        <w:t>Answer questions #1-</w:t>
                      </w:r>
                      <w:r>
                        <w:rPr>
                          <w:rFonts w:cs="Arial"/>
                          <w:snapToGrid w:val="0"/>
                        </w:rPr>
                        <w:t>5</w:t>
                      </w:r>
                      <w:r w:rsidRPr="009A5185">
                        <w:rPr>
                          <w:rFonts w:cs="Arial"/>
                          <w:snapToGrid w:val="0"/>
                        </w:rPr>
                        <w:t xml:space="preserve"> for the latest 3-month period prior to the submission of this section of the Survey.</w:t>
                      </w:r>
                    </w:p>
                    <w:p w14:paraId="7B018F0B" w14:textId="77777777" w:rsidR="0087181B" w:rsidRDefault="0087181B" w:rsidP="0087181B">
                      <w:pPr>
                        <w:rPr>
                          <w:rFonts w:cs="Arial"/>
                          <w:snapToGrid w:val="0"/>
                        </w:rPr>
                      </w:pPr>
                    </w:p>
                    <w:p w14:paraId="49CC2B33" w14:textId="0DA8C3D8" w:rsidR="0087181B" w:rsidRDefault="0087181B" w:rsidP="0087181B">
                      <w:r w:rsidRPr="006547C0">
                        <w:rPr>
                          <w:rFonts w:cs="Arial"/>
                          <w:sz w:val="16"/>
                          <w:szCs w:val="16"/>
                        </w:rPr>
                        <w:t xml:space="preserve">Note: As a reminder, the </w:t>
                      </w:r>
                      <w:hyperlink r:id="rId168" w:history="1">
                        <w:r w:rsidRPr="006547C0">
                          <w:rPr>
                            <w:rStyle w:val="Hyperlink"/>
                            <w:rFonts w:cs="Arial"/>
                            <w:sz w:val="16"/>
                            <w:szCs w:val="16"/>
                          </w:rPr>
                          <w:t>Corrections Period</w:t>
                        </w:r>
                      </w:hyperlink>
                      <w:r w:rsidRPr="006547C0">
                        <w:rPr>
                          <w:rFonts w:cs="Arial"/>
                          <w:sz w:val="16"/>
                          <w:szCs w:val="16"/>
                        </w:rPr>
                        <w:t xml:space="preserve"> </w:t>
                      </w:r>
                      <w:r w:rsidRPr="00E65E68">
                        <w:rPr>
                          <w:rFonts w:cs="Arial"/>
                          <w:sz w:val="16"/>
                          <w:szCs w:val="16"/>
                        </w:rPr>
                        <w:t>(</w:t>
                      </w:r>
                      <w:r>
                        <w:rPr>
                          <w:rFonts w:cs="Arial"/>
                          <w:sz w:val="16"/>
                          <w:szCs w:val="16"/>
                        </w:rPr>
                        <w:t>December</w:t>
                      </w:r>
                      <w:r w:rsidRPr="00E65E68">
                        <w:rPr>
                          <w:rFonts w:cs="Arial"/>
                          <w:sz w:val="16"/>
                          <w:szCs w:val="16"/>
                        </w:rPr>
                        <w:t xml:space="preserve"> 1-January 31) is reserved for corrections to previously submitted Surveys only. </w:t>
                      </w:r>
                      <w:r w:rsidRPr="00E65E68">
                        <w:rPr>
                          <w:rFonts w:cs="Arial"/>
                          <w:bCs/>
                          <w:snapToGrid w:val="0"/>
                          <w:sz w:val="16"/>
                          <w:szCs w:val="16"/>
                        </w:rPr>
                        <w:t xml:space="preserve">Any updates made to reflect a change in performance must be made prior to the </w:t>
                      </w:r>
                      <w:r>
                        <w:rPr>
                          <w:rFonts w:cs="Arial"/>
                          <w:bCs/>
                          <w:snapToGrid w:val="0"/>
                          <w:sz w:val="16"/>
                          <w:szCs w:val="16"/>
                        </w:rPr>
                        <w:t>November 30</w:t>
                      </w:r>
                      <w:r w:rsidRPr="00E65E68">
                        <w:rPr>
                          <w:rFonts w:cs="Arial"/>
                          <w:bCs/>
                          <w:snapToGrid w:val="0"/>
                          <w:sz w:val="16"/>
                          <w:szCs w:val="16"/>
                        </w:rPr>
                        <w:t xml:space="preserve"> Late Submission </w:t>
                      </w:r>
                      <w:r w:rsidRPr="00AE38C7">
                        <w:rPr>
                          <w:rFonts w:cs="Arial"/>
                          <w:bCs/>
                          <w:snapToGrid w:val="0"/>
                          <w:sz w:val="16"/>
                          <w:szCs w:val="16"/>
                        </w:rPr>
                        <w:t>and Performance Update</w:t>
                      </w:r>
                      <w:r>
                        <w:rPr>
                          <w:rFonts w:cs="Arial"/>
                          <w:bCs/>
                          <w:snapToGrid w:val="0"/>
                          <w:sz w:val="16"/>
                          <w:szCs w:val="16"/>
                        </w:rPr>
                        <w:t xml:space="preserve"> </w:t>
                      </w:r>
                      <w:r w:rsidRPr="00E65E68">
                        <w:rPr>
                          <w:rFonts w:cs="Arial"/>
                          <w:bCs/>
                          <w:snapToGrid w:val="0"/>
                          <w:sz w:val="16"/>
                          <w:szCs w:val="16"/>
                        </w:rPr>
                        <w:t xml:space="preserve">Deadline. Updates made to reflect a change in performance after </w:t>
                      </w:r>
                      <w:r>
                        <w:rPr>
                          <w:rFonts w:cs="Arial"/>
                          <w:bCs/>
                          <w:snapToGrid w:val="0"/>
                          <w:sz w:val="16"/>
                          <w:szCs w:val="16"/>
                        </w:rPr>
                        <w:t>November 30</w:t>
                      </w:r>
                      <w:r w:rsidRPr="00E65E68">
                        <w:rPr>
                          <w:rFonts w:cs="Arial"/>
                          <w:bCs/>
                          <w:snapToGrid w:val="0"/>
                          <w:sz w:val="16"/>
                          <w:szCs w:val="16"/>
                        </w:rPr>
                        <w:t xml:space="preserve"> will not be scored or publicly reported.</w:t>
                      </w:r>
                    </w:p>
                  </w:txbxContent>
                </v:textbox>
                <w10:anchorlock/>
              </v:shape>
            </w:pict>
          </mc:Fallback>
        </mc:AlternateContent>
      </w:r>
    </w:p>
    <w:p w14:paraId="471536F3" w14:textId="50BE2DE1" w:rsidR="006C3A34" w:rsidRPr="0087181B" w:rsidRDefault="006C3A34">
      <w:pPr>
        <w:rPr>
          <w:rFonts w:cs="Arial"/>
          <w:snapToGrid w:val="0"/>
          <w:color w:val="000000"/>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15"/>
        <w:gridCol w:w="2520"/>
      </w:tblGrid>
      <w:tr w:rsidR="001C1FD6" w:rsidRPr="009A5185" w14:paraId="3D831002" w14:textId="77777777" w:rsidTr="008F1145">
        <w:trPr>
          <w:trHeight w:val="720"/>
        </w:trPr>
        <w:tc>
          <w:tcPr>
            <w:tcW w:w="7015" w:type="dxa"/>
            <w:vAlign w:val="center"/>
          </w:tcPr>
          <w:p w14:paraId="5F0C1CC5" w14:textId="00F0A9E1" w:rsidR="001C1FD6" w:rsidRPr="009A5185" w:rsidRDefault="001C1FD6" w:rsidP="00481565">
            <w:pPr>
              <w:numPr>
                <w:ilvl w:val="0"/>
                <w:numId w:val="3"/>
              </w:numPr>
              <w:ind w:left="360"/>
              <w:rPr>
                <w:rFonts w:cs="Arial"/>
                <w:snapToGrid w:val="0"/>
                <w:color w:val="000000"/>
              </w:rPr>
            </w:pPr>
            <w:r w:rsidRPr="009A5185">
              <w:rPr>
                <w:rFonts w:cs="Arial"/>
                <w:snapToGrid w:val="0"/>
                <w:color w:val="000000"/>
              </w:rPr>
              <w:t>What is the latest 3-month reporting period for which your hospital is submitting responses to this section? 3-month reporting</w:t>
            </w:r>
            <w:r>
              <w:rPr>
                <w:rFonts w:cs="Arial"/>
                <w:snapToGrid w:val="0"/>
                <w:color w:val="000000"/>
              </w:rPr>
              <w:t xml:space="preserve"> </w:t>
            </w:r>
            <w:r w:rsidRPr="009A5185">
              <w:rPr>
                <w:rFonts w:cs="Arial"/>
                <w:snapToGrid w:val="0"/>
                <w:color w:val="000000"/>
              </w:rPr>
              <w:t>period ending:</w:t>
            </w:r>
          </w:p>
        </w:tc>
        <w:tc>
          <w:tcPr>
            <w:tcW w:w="2520" w:type="dxa"/>
            <w:vAlign w:val="center"/>
          </w:tcPr>
          <w:p w14:paraId="18AE1FDF" w14:textId="77777777" w:rsidR="001C1FD6" w:rsidRPr="009A5185" w:rsidRDefault="001C1FD6" w:rsidP="001C1FD6">
            <w:pPr>
              <w:jc w:val="center"/>
              <w:rPr>
                <w:rFonts w:cs="Arial"/>
                <w:i/>
                <w:snapToGrid w:val="0"/>
              </w:rPr>
            </w:pPr>
            <w:r w:rsidRPr="009A5185">
              <w:rPr>
                <w:rFonts w:cs="Arial"/>
                <w:i/>
                <w:snapToGrid w:val="0"/>
              </w:rPr>
              <w:t>______</w:t>
            </w:r>
          </w:p>
          <w:p w14:paraId="6EB8AAF3" w14:textId="6B097005" w:rsidR="001C1FD6" w:rsidRPr="009A5185" w:rsidRDefault="001C1FD6" w:rsidP="001C1FD6">
            <w:pPr>
              <w:jc w:val="center"/>
              <w:rPr>
                <w:rFonts w:cs="Arial"/>
                <w:i/>
                <w:snapToGrid w:val="0"/>
              </w:rPr>
            </w:pPr>
            <w:r w:rsidRPr="009A5185">
              <w:rPr>
                <w:rFonts w:cs="Arial"/>
                <w:i/>
                <w:snapToGrid w:val="0"/>
                <w:sz w:val="16"/>
                <w:szCs w:val="16"/>
              </w:rPr>
              <w:t xml:space="preserve">Format: </w:t>
            </w:r>
            <w:r>
              <w:rPr>
                <w:rFonts w:cs="Arial"/>
                <w:i/>
                <w:snapToGrid w:val="0"/>
                <w:sz w:val="16"/>
                <w:szCs w:val="16"/>
              </w:rPr>
              <w:t>Month</w:t>
            </w:r>
            <w:r w:rsidRPr="009A5185">
              <w:rPr>
                <w:rFonts w:cs="Arial"/>
                <w:i/>
                <w:snapToGrid w:val="0"/>
                <w:sz w:val="16"/>
                <w:szCs w:val="16"/>
              </w:rPr>
              <w:t>/Y</w:t>
            </w:r>
            <w:r>
              <w:rPr>
                <w:rFonts w:cs="Arial"/>
                <w:i/>
                <w:snapToGrid w:val="0"/>
                <w:sz w:val="16"/>
                <w:szCs w:val="16"/>
              </w:rPr>
              <w:t>ear</w:t>
            </w:r>
          </w:p>
        </w:tc>
      </w:tr>
      <w:tr w:rsidR="00725220" w:rsidRPr="009A5185" w14:paraId="1AAF9474" w14:textId="77777777" w:rsidTr="008F1145">
        <w:trPr>
          <w:trHeight w:val="2160"/>
        </w:trPr>
        <w:tc>
          <w:tcPr>
            <w:tcW w:w="7015" w:type="dxa"/>
            <w:vAlign w:val="center"/>
          </w:tcPr>
          <w:p w14:paraId="1CCA1134" w14:textId="77777777" w:rsidR="00217D8D" w:rsidRPr="009A5185" w:rsidRDefault="00725220" w:rsidP="00481565">
            <w:pPr>
              <w:numPr>
                <w:ilvl w:val="0"/>
                <w:numId w:val="3"/>
              </w:numPr>
              <w:ind w:left="360"/>
              <w:rPr>
                <w:rFonts w:cs="Arial"/>
                <w:snapToGrid w:val="0"/>
                <w:color w:val="000000"/>
              </w:rPr>
            </w:pPr>
            <w:r w:rsidRPr="009A5185">
              <w:rPr>
                <w:rFonts w:cs="Arial"/>
                <w:snapToGrid w:val="0"/>
                <w:color w:val="000000"/>
              </w:rPr>
              <w:t xml:space="preserve">Does your hospital have a functioning CPOE system in one or more </w:t>
            </w:r>
            <w:r w:rsidRPr="009A5185">
              <w:rPr>
                <w:rFonts w:cs="Arial"/>
                <w:snapToGrid w:val="0"/>
                <w:color w:val="000000"/>
                <w:u w:val="single"/>
              </w:rPr>
              <w:t>inpatient</w:t>
            </w:r>
            <w:r w:rsidRPr="009A5185">
              <w:rPr>
                <w:rFonts w:cs="Arial"/>
                <w:snapToGrid w:val="0"/>
                <w:color w:val="000000"/>
              </w:rPr>
              <w:t xml:space="preserve"> units of the hospital</w:t>
            </w:r>
            <w:r w:rsidR="00217D8D" w:rsidRPr="009A5185">
              <w:rPr>
                <w:rFonts w:cs="Arial"/>
                <w:snapToGrid w:val="0"/>
                <w:color w:val="000000"/>
              </w:rPr>
              <w:t xml:space="preserve"> that:</w:t>
            </w:r>
          </w:p>
          <w:p w14:paraId="0F02C598" w14:textId="3DCA4CC3" w:rsidR="00735853" w:rsidRPr="009A5185" w:rsidRDefault="00735853" w:rsidP="00AD309C">
            <w:pPr>
              <w:pStyle w:val="ListParagraph"/>
              <w:numPr>
                <w:ilvl w:val="0"/>
                <w:numId w:val="30"/>
              </w:numPr>
              <w:rPr>
                <w:rFonts w:cs="Arial"/>
                <w:snapToGrid w:val="0"/>
              </w:rPr>
            </w:pPr>
            <w:r w:rsidRPr="009A5185">
              <w:rPr>
                <w:rFonts w:cs="Arial"/>
                <w:snapToGrid w:val="0"/>
              </w:rPr>
              <w:t xml:space="preserve">includes decision support </w:t>
            </w:r>
            <w:r w:rsidRPr="009A5185">
              <w:rPr>
                <w:rFonts w:cs="Arial"/>
              </w:rPr>
              <w:t>software to reduce prescribing errors</w:t>
            </w:r>
            <w:r w:rsidRPr="009A5185">
              <w:rPr>
                <w:rFonts w:cs="Arial"/>
                <w:snapToGrid w:val="0"/>
              </w:rPr>
              <w:t>; and</w:t>
            </w:r>
          </w:p>
          <w:p w14:paraId="7863198E" w14:textId="2FEAFF27" w:rsidR="00725220" w:rsidRDefault="00735853" w:rsidP="00AD309C">
            <w:pPr>
              <w:pStyle w:val="ListParagraph"/>
              <w:numPr>
                <w:ilvl w:val="0"/>
                <w:numId w:val="30"/>
              </w:numPr>
              <w:rPr>
                <w:rFonts w:cs="Arial"/>
                <w:snapToGrid w:val="0"/>
              </w:rPr>
            </w:pPr>
            <w:r w:rsidRPr="009A5185">
              <w:rPr>
                <w:rFonts w:cs="Arial"/>
                <w:snapToGrid w:val="0"/>
              </w:rPr>
              <w:t xml:space="preserve">is </w:t>
            </w:r>
            <w:hyperlink w:anchor="Endnote16_CPOE" w:history="1">
              <w:r w:rsidRPr="009A5185">
                <w:rPr>
                  <w:rStyle w:val="Hyperlink"/>
                  <w:rFonts w:cs="Arial"/>
                  <w:snapToGrid w:val="0"/>
                </w:rPr>
                <w:t>linked</w:t>
              </w:r>
            </w:hyperlink>
            <w:bookmarkStart w:id="157" w:name="_Ref4512529"/>
            <w:r w:rsidR="000F0582">
              <w:rPr>
                <w:rStyle w:val="Hyperlink"/>
                <w:rFonts w:ascii="ZWAdobeF" w:hAnsi="ZWAdobeF" w:cs="ZWAdobeF"/>
                <w:snapToGrid w:val="0"/>
                <w:color w:val="auto"/>
                <w:sz w:val="2"/>
                <w:szCs w:val="2"/>
                <w:u w:val="none"/>
              </w:rPr>
              <w:t>16F</w:t>
            </w:r>
            <w:r w:rsidR="00BF053F">
              <w:rPr>
                <w:rStyle w:val="Hyperlink"/>
                <w:rFonts w:ascii="ZWAdobeF" w:hAnsi="ZWAdobeF" w:cs="ZWAdobeF"/>
                <w:snapToGrid w:val="0"/>
                <w:color w:val="auto"/>
                <w:sz w:val="2"/>
                <w:szCs w:val="2"/>
                <w:u w:val="none"/>
              </w:rPr>
              <w:t>17F</w:t>
            </w:r>
            <w:r w:rsidR="004C7557">
              <w:rPr>
                <w:rStyle w:val="Hyperlink"/>
                <w:rFonts w:ascii="ZWAdobeF" w:hAnsi="ZWAdobeF" w:cs="ZWAdobeF"/>
                <w:snapToGrid w:val="0"/>
                <w:color w:val="auto"/>
                <w:sz w:val="2"/>
                <w:szCs w:val="2"/>
                <w:u w:val="none"/>
              </w:rPr>
              <w:t>17F</w:t>
            </w:r>
            <w:r w:rsidR="00C2087D">
              <w:rPr>
                <w:rStyle w:val="Hyperlink"/>
                <w:rFonts w:ascii="ZWAdobeF" w:hAnsi="ZWAdobeF" w:cs="ZWAdobeF"/>
                <w:snapToGrid w:val="0"/>
                <w:color w:val="auto"/>
                <w:sz w:val="2"/>
                <w:szCs w:val="2"/>
                <w:u w:val="none"/>
              </w:rPr>
              <w:t>17F</w:t>
            </w:r>
            <w:r w:rsidR="00B55C41">
              <w:rPr>
                <w:rStyle w:val="Hyperlink"/>
                <w:rFonts w:ascii="ZWAdobeF" w:hAnsi="ZWAdobeF" w:cs="ZWAdobeF"/>
                <w:snapToGrid w:val="0"/>
                <w:color w:val="auto"/>
                <w:sz w:val="2"/>
                <w:szCs w:val="2"/>
                <w:u w:val="none"/>
              </w:rPr>
              <w:t>17F</w:t>
            </w:r>
            <w:r w:rsidR="006255A6">
              <w:rPr>
                <w:rStyle w:val="Hyperlink"/>
                <w:rFonts w:ascii="ZWAdobeF" w:hAnsi="ZWAdobeF" w:cs="ZWAdobeF"/>
                <w:snapToGrid w:val="0"/>
                <w:color w:val="auto"/>
                <w:sz w:val="2"/>
                <w:szCs w:val="2"/>
                <w:u w:val="none"/>
              </w:rPr>
              <w:t>17F</w:t>
            </w:r>
            <w:r w:rsidR="00E453C7">
              <w:rPr>
                <w:rStyle w:val="Hyperlink"/>
                <w:rFonts w:ascii="ZWAdobeF" w:hAnsi="ZWAdobeF" w:cs="ZWAdobeF"/>
                <w:snapToGrid w:val="0"/>
                <w:color w:val="auto"/>
                <w:sz w:val="2"/>
                <w:szCs w:val="2"/>
                <w:u w:val="none"/>
              </w:rPr>
              <w:t>17F</w:t>
            </w:r>
            <w:r w:rsidR="00953060">
              <w:rPr>
                <w:rStyle w:val="Hyperlink"/>
                <w:rFonts w:ascii="ZWAdobeF" w:hAnsi="ZWAdobeF" w:cs="ZWAdobeF"/>
                <w:snapToGrid w:val="0"/>
                <w:color w:val="auto"/>
                <w:sz w:val="2"/>
                <w:szCs w:val="2"/>
                <w:u w:val="none"/>
              </w:rPr>
              <w:t>17F</w:t>
            </w:r>
            <w:r w:rsidR="00DD04D6">
              <w:rPr>
                <w:rStyle w:val="Hyperlink"/>
                <w:rFonts w:ascii="ZWAdobeF" w:hAnsi="ZWAdobeF" w:cs="ZWAdobeF"/>
                <w:snapToGrid w:val="0"/>
                <w:color w:val="auto"/>
                <w:sz w:val="2"/>
                <w:szCs w:val="2"/>
                <w:u w:val="none"/>
              </w:rPr>
              <w:t>17F</w:t>
            </w:r>
            <w:r w:rsidRPr="009A5185">
              <w:rPr>
                <w:rStyle w:val="EndnoteReference"/>
                <w:rFonts w:cs="Arial"/>
                <w:snapToGrid w:val="0"/>
              </w:rPr>
              <w:endnoteReference w:id="19"/>
            </w:r>
            <w:bookmarkEnd w:id="157"/>
            <w:r w:rsidRPr="009A5185">
              <w:rPr>
                <w:rFonts w:cs="Arial"/>
                <w:snapToGrid w:val="0"/>
              </w:rPr>
              <w:t xml:space="preserve"> to pharmacy, laboratory, and admitting-discharge-transfer (ADT) information in your hospital</w:t>
            </w:r>
            <w:r w:rsidR="004F4E33">
              <w:rPr>
                <w:rFonts w:cs="Arial"/>
                <w:snapToGrid w:val="0"/>
              </w:rPr>
              <w:t>?</w:t>
            </w:r>
          </w:p>
          <w:p w14:paraId="0CD8456A" w14:textId="77777777" w:rsidR="002641B4" w:rsidRDefault="002641B4" w:rsidP="002641B4">
            <w:pPr>
              <w:ind w:left="360"/>
              <w:rPr>
                <w:rFonts w:cs="Arial"/>
                <w:snapToGrid w:val="0"/>
              </w:rPr>
            </w:pPr>
          </w:p>
          <w:p w14:paraId="5FEBAB7A" w14:textId="728DD617" w:rsidR="002641B4" w:rsidRPr="002641B4" w:rsidRDefault="002641B4" w:rsidP="001C5E4D">
            <w:pPr>
              <w:ind w:left="360"/>
              <w:rPr>
                <w:rFonts w:cs="Arial"/>
                <w:i/>
                <w:snapToGrid w:val="0"/>
              </w:rPr>
            </w:pPr>
            <w:r w:rsidRPr="007C0D8D">
              <w:rPr>
                <w:rFonts w:cs="Arial"/>
                <w:i/>
                <w:snapToGrid w:val="0"/>
              </w:rPr>
              <w:t xml:space="preserve">If “no” to question #2, skip </w:t>
            </w:r>
            <w:r w:rsidR="00D145C4">
              <w:rPr>
                <w:rFonts w:cs="Arial"/>
                <w:i/>
                <w:snapToGrid w:val="0"/>
              </w:rPr>
              <w:t xml:space="preserve">the remaining questions in </w:t>
            </w:r>
            <w:r w:rsidR="00F72C9F">
              <w:rPr>
                <w:rFonts w:cs="Arial"/>
                <w:i/>
                <w:snapToGrid w:val="0"/>
              </w:rPr>
              <w:t>Section 2A</w:t>
            </w:r>
            <w:r w:rsidR="00D145C4">
              <w:rPr>
                <w:rFonts w:cs="Arial"/>
                <w:i/>
                <w:snapToGrid w:val="0"/>
              </w:rPr>
              <w:t xml:space="preserve"> and Section 2B</w:t>
            </w:r>
            <w:r w:rsidRPr="007C0D8D">
              <w:rPr>
                <w:rFonts w:cs="Arial"/>
                <w:i/>
                <w:snapToGrid w:val="0"/>
              </w:rPr>
              <w:t xml:space="preserve">, and </w:t>
            </w:r>
            <w:r w:rsidR="00D145C4">
              <w:rPr>
                <w:rFonts w:cs="Arial"/>
                <w:i/>
                <w:snapToGrid w:val="0"/>
              </w:rPr>
              <w:t>continue to</w:t>
            </w:r>
            <w:r w:rsidRPr="007C0D8D">
              <w:rPr>
                <w:rFonts w:cs="Arial"/>
                <w:i/>
                <w:snapToGrid w:val="0"/>
              </w:rPr>
              <w:t xml:space="preserve"> </w:t>
            </w:r>
            <w:r w:rsidR="00D145C4">
              <w:rPr>
                <w:rFonts w:cs="Arial"/>
                <w:i/>
                <w:snapToGrid w:val="0"/>
              </w:rPr>
              <w:t>Section 2C</w:t>
            </w:r>
            <w:r w:rsidRPr="007C0D8D">
              <w:rPr>
                <w:rFonts w:cs="Arial"/>
                <w:i/>
                <w:snapToGrid w:val="0"/>
              </w:rPr>
              <w:t>.</w:t>
            </w:r>
            <w:r w:rsidR="00CE02A6">
              <w:rPr>
                <w:rFonts w:cs="Arial"/>
                <w:i/>
                <w:snapToGrid w:val="0"/>
              </w:rPr>
              <w:t xml:space="preserve"> </w:t>
            </w:r>
            <w:r w:rsidR="00833B3F" w:rsidRPr="00F61E74">
              <w:rPr>
                <w:rFonts w:cs="Arial"/>
                <w:i/>
              </w:rPr>
              <w:t>The hospital will be scored as “Limited Achievement.”</w:t>
            </w:r>
          </w:p>
        </w:tc>
        <w:tc>
          <w:tcPr>
            <w:tcW w:w="2520" w:type="dxa"/>
            <w:vAlign w:val="center"/>
          </w:tcPr>
          <w:p w14:paraId="7AA7862B" w14:textId="6F7F483E" w:rsidR="00414DB9" w:rsidRPr="00CF4879" w:rsidRDefault="00725220" w:rsidP="00AD309C">
            <w:pPr>
              <w:pStyle w:val="ListParagraph"/>
              <w:numPr>
                <w:ilvl w:val="0"/>
                <w:numId w:val="360"/>
              </w:numPr>
              <w:rPr>
                <w:rFonts w:cs="Arial"/>
                <w:iCs/>
                <w:snapToGrid w:val="0"/>
              </w:rPr>
            </w:pPr>
            <w:r w:rsidRPr="00CF4879">
              <w:rPr>
                <w:rFonts w:cs="Arial"/>
                <w:iCs/>
                <w:snapToGrid w:val="0"/>
              </w:rPr>
              <w:t>Yes</w:t>
            </w:r>
          </w:p>
          <w:p w14:paraId="07D32AC4" w14:textId="53256619" w:rsidR="00725220" w:rsidRPr="00CF4879" w:rsidRDefault="00725220" w:rsidP="00AD309C">
            <w:pPr>
              <w:pStyle w:val="ListParagraph"/>
              <w:numPr>
                <w:ilvl w:val="0"/>
                <w:numId w:val="360"/>
              </w:numPr>
              <w:rPr>
                <w:rFonts w:cs="Arial"/>
                <w:iCs/>
                <w:snapToGrid w:val="0"/>
              </w:rPr>
            </w:pPr>
            <w:r w:rsidRPr="00CF4879">
              <w:rPr>
                <w:rFonts w:cs="Arial"/>
                <w:iCs/>
                <w:snapToGrid w:val="0"/>
              </w:rPr>
              <w:t>No</w:t>
            </w:r>
          </w:p>
          <w:p w14:paraId="4B1C6084" w14:textId="77777777" w:rsidR="00414DB9" w:rsidRPr="009A5185" w:rsidRDefault="00414DB9" w:rsidP="004D6EB3">
            <w:pPr>
              <w:rPr>
                <w:rFonts w:cs="Arial"/>
                <w:i/>
                <w:snapToGrid w:val="0"/>
              </w:rPr>
            </w:pPr>
          </w:p>
        </w:tc>
      </w:tr>
      <w:tr w:rsidR="001C1FD6" w:rsidRPr="009A5185" w14:paraId="3ABE435B" w14:textId="77777777" w:rsidTr="008F1145">
        <w:trPr>
          <w:trHeight w:val="720"/>
        </w:trPr>
        <w:tc>
          <w:tcPr>
            <w:tcW w:w="7015" w:type="dxa"/>
            <w:vAlign w:val="center"/>
          </w:tcPr>
          <w:p w14:paraId="26D997CD" w14:textId="5CE2CF2F" w:rsidR="001C1FD6" w:rsidRPr="009A5185" w:rsidRDefault="001C1FD6" w:rsidP="00481565">
            <w:pPr>
              <w:numPr>
                <w:ilvl w:val="0"/>
                <w:numId w:val="3"/>
              </w:numPr>
              <w:ind w:left="360"/>
              <w:rPr>
                <w:rFonts w:cs="Arial"/>
                <w:snapToGrid w:val="0"/>
                <w:color w:val="000000"/>
              </w:rPr>
            </w:pPr>
            <w:r w:rsidRPr="009A5185">
              <w:rPr>
                <w:rFonts w:cs="Arial"/>
                <w:snapToGrid w:val="0"/>
              </w:rPr>
              <w:t xml:space="preserve">Total number of </w:t>
            </w:r>
            <w:r w:rsidRPr="009A5185">
              <w:rPr>
                <w:rFonts w:cs="Arial"/>
                <w:b/>
                <w:snapToGrid w:val="0"/>
              </w:rPr>
              <w:t>inpatient medication orders</w:t>
            </w:r>
            <w:r w:rsidRPr="007D3F13">
              <w:rPr>
                <w:rFonts w:cs="Arial"/>
                <w:snapToGrid w:val="0"/>
              </w:rPr>
              <w:t>, including</w:t>
            </w:r>
            <w:r w:rsidRPr="009A5185">
              <w:rPr>
                <w:rFonts w:cs="Arial"/>
                <w:snapToGrid w:val="0"/>
              </w:rPr>
              <w:t xml:space="preserve"> orders made in units </w:t>
            </w:r>
            <w:r>
              <w:rPr>
                <w:rFonts w:cs="Arial"/>
                <w:snapToGrid w:val="0"/>
              </w:rPr>
              <w:t>that</w:t>
            </w:r>
            <w:r w:rsidRPr="009A5185">
              <w:rPr>
                <w:rFonts w:cs="Arial"/>
                <w:snapToGrid w:val="0"/>
              </w:rPr>
              <w:t xml:space="preserve"> do NOT have a functioning CPOE system.</w:t>
            </w:r>
          </w:p>
        </w:tc>
        <w:tc>
          <w:tcPr>
            <w:tcW w:w="2520" w:type="dxa"/>
            <w:vAlign w:val="center"/>
          </w:tcPr>
          <w:p w14:paraId="04A14AC6" w14:textId="59ADDA2A" w:rsidR="001C1FD6" w:rsidRPr="009A5185" w:rsidRDefault="001C1FD6" w:rsidP="0034532A">
            <w:pPr>
              <w:jc w:val="center"/>
              <w:rPr>
                <w:rFonts w:cs="Arial"/>
                <w:i/>
                <w:snapToGrid w:val="0"/>
              </w:rPr>
            </w:pPr>
            <w:r w:rsidRPr="009A5185">
              <w:rPr>
                <w:rFonts w:cs="Arial"/>
                <w:i/>
                <w:snapToGrid w:val="0"/>
              </w:rPr>
              <w:t>_____</w:t>
            </w:r>
          </w:p>
        </w:tc>
      </w:tr>
      <w:tr w:rsidR="001C1FD6" w:rsidRPr="009A5185" w14:paraId="5310A7F2" w14:textId="77777777" w:rsidTr="00481565">
        <w:trPr>
          <w:trHeight w:val="800"/>
        </w:trPr>
        <w:tc>
          <w:tcPr>
            <w:tcW w:w="7015" w:type="dxa"/>
            <w:vAlign w:val="center"/>
          </w:tcPr>
          <w:p w14:paraId="37300D58" w14:textId="0E3FFC33" w:rsidR="001C1FD6" w:rsidRPr="009A5185" w:rsidRDefault="001C1FD6" w:rsidP="00481565">
            <w:pPr>
              <w:numPr>
                <w:ilvl w:val="0"/>
                <w:numId w:val="3"/>
              </w:numPr>
              <w:ind w:left="360"/>
              <w:rPr>
                <w:rFonts w:cs="Arial"/>
                <w:snapToGrid w:val="0"/>
                <w:color w:val="000000"/>
              </w:rPr>
            </w:pPr>
            <w:r>
              <w:rPr>
                <w:rFonts w:cs="Arial"/>
                <w:snapToGrid w:val="0"/>
              </w:rPr>
              <w:t>Total</w:t>
            </w:r>
            <w:r w:rsidRPr="009A5185">
              <w:rPr>
                <w:rFonts w:cs="Arial"/>
                <w:snapToGrid w:val="0"/>
              </w:rPr>
              <w:t xml:space="preserve"> number </w:t>
            </w:r>
            <w:r w:rsidRPr="006547C0">
              <w:rPr>
                <w:rFonts w:cs="Arial"/>
                <w:snapToGrid w:val="0"/>
              </w:rPr>
              <w:t>of</w:t>
            </w:r>
            <w:r w:rsidRPr="006547C0">
              <w:rPr>
                <w:rFonts w:cs="Arial"/>
                <w:b/>
                <w:snapToGrid w:val="0"/>
              </w:rPr>
              <w:t xml:space="preserve"> inpatient medication</w:t>
            </w:r>
            <w:r>
              <w:rPr>
                <w:rFonts w:cs="Arial"/>
                <w:b/>
                <w:snapToGrid w:val="0"/>
              </w:rPr>
              <w:t xml:space="preserve"> </w:t>
            </w:r>
            <w:r w:rsidRPr="009A5185">
              <w:rPr>
                <w:rFonts w:cs="Arial"/>
                <w:b/>
                <w:snapToGrid w:val="0"/>
              </w:rPr>
              <w:t>orders</w:t>
            </w:r>
            <w:r w:rsidRPr="009A5185">
              <w:rPr>
                <w:rFonts w:cs="Arial"/>
                <w:snapToGrid w:val="0"/>
              </w:rPr>
              <w:t xml:space="preserve"> in question #3 that licensed prescribers entered via a CPOE system that meets the criteria outlined in question #2.</w:t>
            </w:r>
          </w:p>
        </w:tc>
        <w:tc>
          <w:tcPr>
            <w:tcW w:w="2520" w:type="dxa"/>
            <w:vAlign w:val="center"/>
          </w:tcPr>
          <w:p w14:paraId="497CC7FA" w14:textId="5BB3F317" w:rsidR="001C1FD6" w:rsidRPr="009A5185" w:rsidRDefault="001C1FD6" w:rsidP="0034532A">
            <w:pPr>
              <w:jc w:val="center"/>
              <w:rPr>
                <w:rFonts w:cs="Arial"/>
                <w:i/>
                <w:snapToGrid w:val="0"/>
              </w:rPr>
            </w:pPr>
            <w:r w:rsidRPr="009A5185">
              <w:rPr>
                <w:rFonts w:cs="Arial"/>
                <w:i/>
                <w:snapToGrid w:val="0"/>
              </w:rPr>
              <w:t>_____</w:t>
            </w:r>
          </w:p>
        </w:tc>
      </w:tr>
    </w:tbl>
    <w:p w14:paraId="7F9038E3" w14:textId="62ECB79B" w:rsidR="009610FB" w:rsidRPr="009C4F85" w:rsidRDefault="009610FB">
      <w:bookmarkStart w:id="159" w:name="_Hlk35429278"/>
    </w:p>
    <w:p w14:paraId="278F431F" w14:textId="347F42F8" w:rsidR="00D32024" w:rsidRPr="00394CEB" w:rsidRDefault="009610FB">
      <w:pPr>
        <w:rPr>
          <w:i/>
          <w:iCs/>
        </w:rPr>
      </w:pPr>
      <w:r>
        <w:rPr>
          <w:i/>
          <w:iCs/>
        </w:rPr>
        <w:t xml:space="preserve">If “yes” to question #2 and you are an </w:t>
      </w:r>
      <w:r>
        <w:rPr>
          <w:b/>
          <w:bCs/>
          <w:i/>
          <w:iCs/>
        </w:rPr>
        <w:t>adult or general hospital</w:t>
      </w:r>
      <w:r>
        <w:rPr>
          <w:i/>
          <w:iCs/>
        </w:rPr>
        <w:t xml:space="preserve">, </w:t>
      </w:r>
      <w:r w:rsidR="006146FC">
        <w:rPr>
          <w:i/>
          <w:iCs/>
        </w:rPr>
        <w:t xml:space="preserve">use the Take CPOE Tool button on the Survey Dashboard to </w:t>
      </w:r>
      <w:r>
        <w:rPr>
          <w:i/>
          <w:iCs/>
        </w:rPr>
        <w:t xml:space="preserve">access the </w:t>
      </w:r>
      <w:r>
        <w:rPr>
          <w:b/>
          <w:bCs/>
          <w:i/>
          <w:iCs/>
        </w:rPr>
        <w:t>CPOE Evaluation Tool</w:t>
      </w:r>
      <w:r w:rsidR="006146FC">
        <w:rPr>
          <w:b/>
          <w:bCs/>
          <w:i/>
          <w:iCs/>
        </w:rPr>
        <w:t>.</w:t>
      </w:r>
      <w:r>
        <w:rPr>
          <w:i/>
          <w:iCs/>
        </w:rPr>
        <w:t xml:space="preserve"> Question #5 does not apply to pediatric hospitals.</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23"/>
        <w:gridCol w:w="4112"/>
      </w:tblGrid>
      <w:tr w:rsidR="00725220" w:rsidRPr="009A5185" w14:paraId="41D4E8DC" w14:textId="00F49EDC" w:rsidTr="00887DBF">
        <w:trPr>
          <w:trHeight w:val="1296"/>
        </w:trPr>
        <w:tc>
          <w:tcPr>
            <w:tcW w:w="5423" w:type="dxa"/>
            <w:vAlign w:val="center"/>
          </w:tcPr>
          <w:p w14:paraId="3D5D9792" w14:textId="76E00CC3" w:rsidR="00DE5DD5" w:rsidRPr="009A5185" w:rsidRDefault="00BF4F7D" w:rsidP="00481565">
            <w:pPr>
              <w:numPr>
                <w:ilvl w:val="0"/>
                <w:numId w:val="3"/>
              </w:numPr>
              <w:ind w:left="360"/>
              <w:rPr>
                <w:rFonts w:cs="Arial"/>
                <w:snapToGrid w:val="0"/>
                <w:color w:val="000000"/>
              </w:rPr>
            </w:pPr>
            <w:bookmarkStart w:id="160" w:name="_Hlk35429296"/>
            <w:bookmarkEnd w:id="159"/>
            <w:r>
              <w:rPr>
                <w:rFonts w:cs="Arial"/>
                <w:snapToGrid w:val="0"/>
                <w:color w:val="000000"/>
              </w:rPr>
              <w:lastRenderedPageBreak/>
              <w:t>H</w:t>
            </w:r>
            <w:r w:rsidR="00725220" w:rsidRPr="009A5185">
              <w:rPr>
                <w:rFonts w:cs="Arial"/>
                <w:snapToGrid w:val="0"/>
                <w:color w:val="000000"/>
              </w:rPr>
              <w:t>ospital’s score when it tested its CPOE system using the Leapfrog CPOE Evaluation Tool</w:t>
            </w:r>
            <w:r>
              <w:rPr>
                <w:rFonts w:cs="Arial"/>
                <w:snapToGrid w:val="0"/>
                <w:color w:val="000000"/>
              </w:rPr>
              <w:t>:</w:t>
            </w:r>
          </w:p>
          <w:p w14:paraId="0D421738" w14:textId="567CAEE4" w:rsidR="00D6576A" w:rsidRPr="00D24CA5" w:rsidRDefault="00725220" w:rsidP="00D6576A">
            <w:pPr>
              <w:ind w:left="360"/>
              <w:rPr>
                <w:rFonts w:cs="Arial"/>
                <w:b/>
                <w:i/>
                <w:iCs/>
                <w:snapToGrid w:val="0"/>
                <w:color w:val="FF0000"/>
              </w:rPr>
            </w:pPr>
            <w:r w:rsidRPr="009A5185">
              <w:rPr>
                <w:rFonts w:cs="Arial"/>
                <w:snapToGrid w:val="0"/>
                <w:color w:val="000000"/>
              </w:rPr>
              <w:br/>
            </w:r>
            <w:r w:rsidR="009610FB" w:rsidRPr="009610FB">
              <w:rPr>
                <w:b/>
                <w:bCs/>
                <w:i/>
                <w:iCs/>
                <w:snapToGrid w:val="0"/>
                <w:color w:val="FF0000"/>
              </w:rPr>
              <w:t>Adult Inpatient Test must be completed between April 1 and November 30, 202</w:t>
            </w:r>
            <w:r w:rsidR="000A7852">
              <w:rPr>
                <w:b/>
                <w:bCs/>
                <w:i/>
                <w:iCs/>
                <w:snapToGrid w:val="0"/>
                <w:color w:val="FF0000"/>
              </w:rPr>
              <w:t>6</w:t>
            </w:r>
            <w:r w:rsidR="009610FB" w:rsidRPr="009610FB">
              <w:rPr>
                <w:b/>
                <w:bCs/>
                <w:i/>
                <w:iCs/>
                <w:snapToGrid w:val="0"/>
                <w:color w:val="FF0000"/>
              </w:rPr>
              <w:t>.</w:t>
            </w:r>
          </w:p>
        </w:tc>
        <w:tc>
          <w:tcPr>
            <w:tcW w:w="4112" w:type="dxa"/>
            <w:shd w:val="clear" w:color="auto" w:fill="BFBFBF" w:themeFill="background1" w:themeFillShade="BF"/>
            <w:vAlign w:val="center"/>
          </w:tcPr>
          <w:p w14:paraId="6DF3ECEB" w14:textId="37B4FEE4" w:rsidR="00F55291" w:rsidRPr="009A5185" w:rsidRDefault="00120B33" w:rsidP="00913769">
            <w:pPr>
              <w:shd w:val="clear" w:color="auto" w:fill="C0C0C0"/>
              <w:jc w:val="center"/>
              <w:rPr>
                <w:rFonts w:cs="Arial"/>
                <w:i/>
                <w:snapToGrid w:val="0"/>
              </w:rPr>
            </w:pPr>
            <w:r w:rsidRPr="009A5185">
              <w:rPr>
                <w:rFonts w:cs="Arial"/>
                <w:i/>
                <w:snapToGrid w:val="0"/>
              </w:rPr>
              <w:t>No response</w:t>
            </w:r>
            <w:r w:rsidR="00725220" w:rsidRPr="009A5185">
              <w:rPr>
                <w:rFonts w:cs="Arial"/>
                <w:i/>
                <w:snapToGrid w:val="0"/>
              </w:rPr>
              <w:t xml:space="preserve"> required</w:t>
            </w:r>
            <w:r w:rsidRPr="009A5185">
              <w:rPr>
                <w:rFonts w:cs="Arial"/>
                <w:i/>
                <w:snapToGrid w:val="0"/>
              </w:rPr>
              <w:t xml:space="preserve"> here.</w:t>
            </w:r>
            <w:r w:rsidR="009610FB">
              <w:rPr>
                <w:rFonts w:cs="Arial"/>
                <w:i/>
                <w:snapToGrid w:val="0"/>
              </w:rPr>
              <w:t xml:space="preserve"> Determined automatically based on</w:t>
            </w:r>
            <w:r w:rsidR="009610FB" w:rsidRPr="009610FB">
              <w:rPr>
                <w:rFonts w:cs="Arial"/>
                <w:b/>
                <w:bCs/>
                <w:i/>
                <w:snapToGrid w:val="0"/>
              </w:rPr>
              <w:t xml:space="preserve"> separately completin</w:t>
            </w:r>
            <w:r w:rsidR="009610FB" w:rsidRPr="00CD47B7">
              <w:rPr>
                <w:rFonts w:cs="Arial"/>
                <w:b/>
                <w:bCs/>
                <w:i/>
                <w:snapToGrid w:val="0"/>
              </w:rPr>
              <w:t>g</w:t>
            </w:r>
            <w:r w:rsidR="009610FB">
              <w:rPr>
                <w:rFonts w:cs="Arial"/>
                <w:i/>
                <w:snapToGrid w:val="0"/>
              </w:rPr>
              <w:t xml:space="preserve"> a test using the Leapfrog CPOE Evaluation Tool.</w:t>
            </w:r>
          </w:p>
        </w:tc>
      </w:tr>
      <w:bookmarkEnd w:id="160"/>
    </w:tbl>
    <w:p w14:paraId="6BEAA026" w14:textId="77777777" w:rsidR="00D32024" w:rsidRDefault="00D32024">
      <w:pPr>
        <w:rPr>
          <w:b/>
          <w:snapToGrid w:val="0"/>
          <w:sz w:val="28"/>
          <w:szCs w:val="24"/>
          <w:u w:val="single"/>
          <w:lang w:eastAsia="ja-JP"/>
        </w:rPr>
      </w:pPr>
      <w:r>
        <w:br w:type="page"/>
      </w:r>
    </w:p>
    <w:p w14:paraId="783AB9B1" w14:textId="3F2790CB" w:rsidR="00B51D80" w:rsidRDefault="00C7333E" w:rsidP="00CF5A6E">
      <w:pPr>
        <w:pStyle w:val="Heading2"/>
      </w:pPr>
      <w:bookmarkStart w:id="161" w:name="_Toc225877690"/>
      <w:r w:rsidRPr="00BA293B">
        <w:lastRenderedPageBreak/>
        <w:t>2B: EHR Application Information</w:t>
      </w:r>
      <w:bookmarkEnd w:id="161"/>
    </w:p>
    <w:p w14:paraId="04937FBB" w14:textId="77777777" w:rsidR="00C7333E" w:rsidRPr="00C8246A" w:rsidRDefault="00C7333E" w:rsidP="00B51D80">
      <w:pPr>
        <w:rPr>
          <w:rFonts w:cs="Arial"/>
          <w:b/>
          <w:snapToGrid w:val="0"/>
          <w:color w:val="FF0000"/>
          <w:sz w:val="16"/>
          <w:szCs w:val="16"/>
        </w:rPr>
      </w:pPr>
    </w:p>
    <w:p w14:paraId="5928FA68" w14:textId="43B4902E" w:rsidR="00B51D80" w:rsidRDefault="00B05B4B" w:rsidP="00B51D80">
      <w:pPr>
        <w:rPr>
          <w:rFonts w:cs="Arial"/>
          <w:b/>
          <w:bCs/>
          <w:snapToGrid w:val="0"/>
          <w:color w:val="FF0000"/>
        </w:rPr>
      </w:pPr>
      <w:r w:rsidRPr="00B05B4B">
        <w:rPr>
          <w:rFonts w:cs="Arial"/>
          <w:b/>
          <w:bCs/>
          <w:snapToGrid w:val="0"/>
          <w:color w:val="FF0000"/>
        </w:rPr>
        <w:t xml:space="preserve">This section is not applicable to </w:t>
      </w:r>
      <w:r w:rsidR="003B5EC9">
        <w:rPr>
          <w:rFonts w:cs="Arial"/>
          <w:b/>
          <w:bCs/>
          <w:snapToGrid w:val="0"/>
          <w:color w:val="FF0000"/>
        </w:rPr>
        <w:t>p</w:t>
      </w:r>
      <w:r w:rsidRPr="00B05B4B">
        <w:rPr>
          <w:rFonts w:cs="Arial"/>
          <w:b/>
          <w:bCs/>
          <w:snapToGrid w:val="0"/>
          <w:color w:val="FF0000"/>
        </w:rPr>
        <w:t xml:space="preserve">ediatric hospitals. </w:t>
      </w:r>
    </w:p>
    <w:p w14:paraId="010C14C6" w14:textId="3F7410EB" w:rsidR="00EC2FB5" w:rsidRPr="00C8246A" w:rsidRDefault="00EC2FB5" w:rsidP="00B51D80">
      <w:pPr>
        <w:rPr>
          <w:rFonts w:cs="Arial"/>
          <w:b/>
          <w:bCs/>
          <w:snapToGrid w:val="0"/>
          <w:color w:val="FF0000"/>
          <w:sz w:val="16"/>
          <w:szCs w:val="16"/>
        </w:rPr>
      </w:pPr>
    </w:p>
    <w:p w14:paraId="62B9DDE9" w14:textId="02852390" w:rsidR="00EC2FB5" w:rsidRPr="008E75BF" w:rsidRDefault="00EC2FB5" w:rsidP="00B51D80">
      <w:pPr>
        <w:rPr>
          <w:rFonts w:cs="Arial"/>
          <w:snapToGrid w:val="0"/>
        </w:rPr>
      </w:pPr>
      <w:r w:rsidRPr="009A5185">
        <w:rPr>
          <w:rFonts w:cs="Arial"/>
          <w:snapToGrid w:val="0"/>
        </w:rPr>
        <w:t xml:space="preserve">Hospitals that share a </w:t>
      </w:r>
      <w:r>
        <w:rPr>
          <w:rFonts w:cs="Arial"/>
          <w:snapToGrid w:val="0"/>
        </w:rPr>
        <w:t>CMS Certification Number</w:t>
      </w:r>
      <w:r w:rsidRPr="009A5185">
        <w:rPr>
          <w:rFonts w:cs="Arial"/>
          <w:snapToGrid w:val="0"/>
        </w:rPr>
        <w:t xml:space="preserve"> are required to report by facility. Please carefully review </w:t>
      </w:r>
      <w:hyperlink r:id="rId169" w:history="1">
        <w:r w:rsidRPr="009A5185">
          <w:rPr>
            <w:rStyle w:val="Hyperlink"/>
            <w:rFonts w:cs="Arial"/>
            <w:snapToGrid w:val="0"/>
          </w:rPr>
          <w:t>Leapfrog’s Multi-Campus Reporting Policy</w:t>
        </w:r>
      </w:hyperlink>
      <w:r w:rsidRPr="009A5185">
        <w:rPr>
          <w:rFonts w:cs="Arial"/>
          <w:snapToGrid w:val="0"/>
        </w:rPr>
        <w:t>.</w:t>
      </w:r>
    </w:p>
    <w:p w14:paraId="51C66724" w14:textId="3E483B11" w:rsidR="00B51D80" w:rsidRPr="00C8246A" w:rsidRDefault="00B51D80" w:rsidP="00B51D80">
      <w:pPr>
        <w:rPr>
          <w:rFonts w:cs="Arial"/>
          <w:snapToGrid w:val="0"/>
          <w:sz w:val="16"/>
          <w:szCs w:val="16"/>
        </w:rPr>
      </w:pPr>
    </w:p>
    <w:p w14:paraId="740ED4B6" w14:textId="2C366225" w:rsidR="00B51D80" w:rsidRPr="00755AC2" w:rsidRDefault="00E7532A" w:rsidP="00B51D80">
      <w:pPr>
        <w:rPr>
          <w:b/>
          <w:i/>
        </w:rPr>
      </w:pPr>
      <w:r w:rsidRPr="00D145C4">
        <w:rPr>
          <w:rFonts w:cs="Arial"/>
          <w:b/>
          <w:bCs/>
          <w:snapToGrid w:val="0"/>
          <w:color w:val="FF0000"/>
        </w:rPr>
        <w:t>Important Note:</w:t>
      </w:r>
      <w:r w:rsidRPr="00D145C4">
        <w:rPr>
          <w:rFonts w:cs="Arial"/>
          <w:snapToGrid w:val="0"/>
          <w:color w:val="FF0000"/>
        </w:rPr>
        <w:t xml:space="preserve"> </w:t>
      </w:r>
      <w:r w:rsidR="00F0772B">
        <w:rPr>
          <w:rFonts w:cs="Arial"/>
          <w:snapToGrid w:val="0"/>
        </w:rPr>
        <w:t>This subsection</w:t>
      </w:r>
      <w:r w:rsidR="00B51D80">
        <w:rPr>
          <w:rFonts w:cs="Arial"/>
          <w:snapToGrid w:val="0"/>
        </w:rPr>
        <w:t xml:space="preserve"> will not be scored or publicly reported.</w:t>
      </w:r>
      <w:r w:rsidR="00870E09">
        <w:rPr>
          <w:rFonts w:cs="Arial"/>
          <w:snapToGrid w:val="0"/>
        </w:rPr>
        <w:t xml:space="preserve"> The information collected in this subsection is used by the CPOE Evaluation Tool developers </w:t>
      </w:r>
      <w:r w:rsidR="00D75C0F">
        <w:rPr>
          <w:rFonts w:cs="Arial"/>
          <w:snapToGrid w:val="0"/>
        </w:rPr>
        <w:t>for</w:t>
      </w:r>
      <w:r w:rsidR="00870E09">
        <w:rPr>
          <w:rFonts w:cs="Arial"/>
          <w:snapToGrid w:val="0"/>
        </w:rPr>
        <w:t xml:space="preserve"> research and CPOE Evaluation Tool </w:t>
      </w:r>
      <w:r w:rsidR="00D75C0F">
        <w:rPr>
          <w:rFonts w:cs="Arial"/>
          <w:snapToGrid w:val="0"/>
        </w:rPr>
        <w:t>improvements</w:t>
      </w:r>
      <w:r w:rsidR="00870E09">
        <w:rPr>
          <w:rFonts w:cs="Arial"/>
          <w:snapToGrid w:val="0"/>
        </w:rPr>
        <w:t>.</w:t>
      </w:r>
    </w:p>
    <w:p w14:paraId="6274B6EE" w14:textId="77777777" w:rsidR="000B244F" w:rsidRPr="00C8246A" w:rsidRDefault="000B244F" w:rsidP="000B244F">
      <w:pPr>
        <w:rPr>
          <w:rFonts w:cs="Arial"/>
          <w:b/>
          <w:snapToGrid w:val="0"/>
          <w:color w:val="000000"/>
          <w:sz w:val="16"/>
          <w:szCs w:val="16"/>
        </w:rPr>
      </w:pPr>
    </w:p>
    <w:p w14:paraId="329AA6CC" w14:textId="77777777" w:rsidR="000B244F" w:rsidRDefault="000B244F" w:rsidP="000B244F">
      <w:pPr>
        <w:rPr>
          <w:rFonts w:cs="Arial"/>
          <w:b/>
          <w:snapToGrid w:val="0"/>
          <w:color w:val="000000"/>
        </w:rPr>
      </w:pPr>
      <w:r>
        <w:rPr>
          <w:noProof/>
        </w:rPr>
        <mc:AlternateContent>
          <mc:Choice Requires="wps">
            <w:drawing>
              <wp:inline distT="0" distB="0" distL="0" distR="0" wp14:anchorId="5941667C" wp14:editId="0FF74974">
                <wp:extent cx="5924550" cy="971550"/>
                <wp:effectExtent l="0" t="0" r="19050" b="19050"/>
                <wp:docPr id="12" name="Text Box 12" descr="P1883TB7#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971550"/>
                        </a:xfrm>
                        <a:prstGeom prst="rect">
                          <a:avLst/>
                        </a:prstGeom>
                        <a:solidFill>
                          <a:srgbClr val="FFFFFF"/>
                        </a:solidFill>
                        <a:ln w="9525">
                          <a:solidFill>
                            <a:srgbClr val="FF0000"/>
                          </a:solidFill>
                          <a:miter lim="800000"/>
                          <a:headEnd/>
                          <a:tailEnd/>
                        </a:ln>
                      </wps:spPr>
                      <wps:txbx>
                        <w:txbxContent>
                          <w:p w14:paraId="7FBDEA8A" w14:textId="19EBFD02" w:rsidR="000B244F" w:rsidRPr="009C4F85" w:rsidRDefault="000B244F" w:rsidP="000B244F">
                            <w:pPr>
                              <w:rPr>
                                <w:b/>
                              </w:rPr>
                            </w:pPr>
                            <w:r w:rsidRPr="00DF6A41">
                              <w:rPr>
                                <w:b/>
                              </w:rPr>
                              <w:t>Reporting Period</w:t>
                            </w:r>
                            <w:r>
                              <w:rPr>
                                <w:b/>
                              </w:rPr>
                              <w:t xml:space="preserve">: </w:t>
                            </w:r>
                            <w:r>
                              <w:t>Answer questions #1-</w:t>
                            </w:r>
                            <w:r w:rsidR="00EC2FB5">
                              <w:t>6</w:t>
                            </w:r>
                            <w:r>
                              <w:t xml:space="preserve"> based on the</w:t>
                            </w:r>
                            <w:r w:rsidR="00153301">
                              <w:t xml:space="preserve"> EHR application </w:t>
                            </w:r>
                            <w:r>
                              <w:t>currently in place at the time you submit this section of the Survey.</w:t>
                            </w:r>
                          </w:p>
                          <w:p w14:paraId="33DBB4A5" w14:textId="77777777" w:rsidR="000B244F" w:rsidRPr="00C8246A" w:rsidRDefault="000B244F" w:rsidP="000B244F">
                            <w:pPr>
                              <w:rPr>
                                <w:sz w:val="16"/>
                                <w:szCs w:val="16"/>
                              </w:rPr>
                            </w:pPr>
                          </w:p>
                          <w:p w14:paraId="0EADED98" w14:textId="53BE9637" w:rsidR="000B244F" w:rsidRPr="00D20A90" w:rsidRDefault="000B244F" w:rsidP="000B244F">
                            <w:pPr>
                              <w:rPr>
                                <w:b/>
                              </w:rPr>
                            </w:pPr>
                            <w:r w:rsidRPr="006547C0">
                              <w:rPr>
                                <w:rFonts w:cs="Arial"/>
                                <w:sz w:val="16"/>
                                <w:szCs w:val="16"/>
                              </w:rPr>
                              <w:t xml:space="preserve">Note: As a reminder, the </w:t>
                            </w:r>
                            <w:hyperlink r:id="rId170" w:history="1">
                              <w:r w:rsidRPr="006547C0">
                                <w:rPr>
                                  <w:rStyle w:val="Hyperlink"/>
                                  <w:rFonts w:cs="Arial"/>
                                  <w:sz w:val="16"/>
                                  <w:szCs w:val="16"/>
                                </w:rPr>
                                <w:t>Corrections Period</w:t>
                              </w:r>
                            </w:hyperlink>
                            <w:r w:rsidRPr="006547C0">
                              <w:rPr>
                                <w:rFonts w:cs="Arial"/>
                                <w:sz w:val="16"/>
                                <w:szCs w:val="16"/>
                              </w:rPr>
                              <w:t xml:space="preserve"> </w:t>
                            </w:r>
                            <w:r w:rsidRPr="00E65E68">
                              <w:rPr>
                                <w:rFonts w:cs="Arial"/>
                                <w:sz w:val="16"/>
                                <w:szCs w:val="16"/>
                              </w:rPr>
                              <w:t>(</w:t>
                            </w:r>
                            <w:r>
                              <w:rPr>
                                <w:rFonts w:cs="Arial"/>
                                <w:sz w:val="16"/>
                                <w:szCs w:val="16"/>
                              </w:rPr>
                              <w:t>December</w:t>
                            </w:r>
                            <w:r w:rsidRPr="00E65E68">
                              <w:rPr>
                                <w:rFonts w:cs="Arial"/>
                                <w:sz w:val="16"/>
                                <w:szCs w:val="16"/>
                              </w:rPr>
                              <w:t xml:space="preserve"> 1-January 31) is reserved for corrections to previously submitted Surveys only. </w:t>
                            </w:r>
                            <w:r w:rsidRPr="00E65E68">
                              <w:rPr>
                                <w:rFonts w:cs="Arial"/>
                                <w:bCs/>
                                <w:snapToGrid w:val="0"/>
                                <w:sz w:val="16"/>
                                <w:szCs w:val="16"/>
                              </w:rPr>
                              <w:t xml:space="preserve">Any updates made to reflect a change in performance must be made prior to the </w:t>
                            </w:r>
                            <w:r>
                              <w:rPr>
                                <w:rFonts w:cs="Arial"/>
                                <w:bCs/>
                                <w:snapToGrid w:val="0"/>
                                <w:sz w:val="16"/>
                                <w:szCs w:val="16"/>
                              </w:rPr>
                              <w:t>November 30</w:t>
                            </w:r>
                            <w:r w:rsidRPr="00E65E68">
                              <w:rPr>
                                <w:rFonts w:cs="Arial"/>
                                <w:bCs/>
                                <w:snapToGrid w:val="0"/>
                                <w:sz w:val="16"/>
                                <w:szCs w:val="16"/>
                              </w:rPr>
                              <w:t xml:space="preserve"> Late Submission </w:t>
                            </w:r>
                            <w:r w:rsidR="00AE38C7">
                              <w:rPr>
                                <w:rFonts w:cs="Arial"/>
                                <w:bCs/>
                                <w:snapToGrid w:val="0"/>
                                <w:sz w:val="16"/>
                                <w:szCs w:val="16"/>
                              </w:rPr>
                              <w:t xml:space="preserve">and Performance Update </w:t>
                            </w:r>
                            <w:r w:rsidRPr="00E65E68">
                              <w:rPr>
                                <w:rFonts w:cs="Arial"/>
                                <w:bCs/>
                                <w:snapToGrid w:val="0"/>
                                <w:sz w:val="16"/>
                                <w:szCs w:val="16"/>
                              </w:rPr>
                              <w:t xml:space="preserve">Deadline. Updates made to reflect a change in performance after </w:t>
                            </w:r>
                            <w:r>
                              <w:rPr>
                                <w:rFonts w:cs="Arial"/>
                                <w:bCs/>
                                <w:snapToGrid w:val="0"/>
                                <w:sz w:val="16"/>
                                <w:szCs w:val="16"/>
                              </w:rPr>
                              <w:t>November 30</w:t>
                            </w:r>
                            <w:r w:rsidRPr="00E65E68">
                              <w:rPr>
                                <w:rFonts w:cs="Arial"/>
                                <w:bCs/>
                                <w:snapToGrid w:val="0"/>
                                <w:sz w:val="16"/>
                                <w:szCs w:val="16"/>
                              </w:rPr>
                              <w:t xml:space="preserve"> will not be scored or publicly reported.</w:t>
                            </w:r>
                          </w:p>
                        </w:txbxContent>
                      </wps:txbx>
                      <wps:bodyPr rot="0" vert="horz" wrap="square" lIns="91440" tIns="45720" rIns="91440" bIns="45720" anchor="t" anchorCtr="0">
                        <a:noAutofit/>
                      </wps:bodyPr>
                    </wps:wsp>
                  </a:graphicData>
                </a:graphic>
              </wp:inline>
            </w:drawing>
          </mc:Choice>
          <mc:Fallback>
            <w:pict>
              <v:shape w14:anchorId="5941667C" id="Text Box 12" o:spid="_x0000_s1034" type="#_x0000_t202" alt="P1883TB7#y1" style="width:466.5pt;height:7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" strokecolor="red">
                <v:textbox>
                  <w:txbxContent>
                    <w:p w14:paraId="7FBDEA8A" w14:textId="19EBFD02" w:rsidR="000B244F" w:rsidRPr="009C4F85" w:rsidRDefault="000B244F" w:rsidP="000B244F">
                      <w:pPr>
                        <w:rPr>
                          <w:b/>
                        </w:rPr>
                      </w:pPr>
                      <w:r w:rsidRPr="00DF6A41">
                        <w:rPr>
                          <w:b/>
                        </w:rPr>
                        <w:t>Reporting Period</w:t>
                      </w:r>
                      <w:r>
                        <w:rPr>
                          <w:b/>
                        </w:rPr>
                        <w:t xml:space="preserve">: </w:t>
                      </w:r>
                      <w:r>
                        <w:t>Answer questions #1-</w:t>
                      </w:r>
                      <w:r w:rsidR="00EC2FB5">
                        <w:t>6</w:t>
                      </w:r>
                      <w:r>
                        <w:t xml:space="preserve"> based on the</w:t>
                      </w:r>
                      <w:r w:rsidR="00153301">
                        <w:t xml:space="preserve"> EHR application </w:t>
                      </w:r>
                      <w:r>
                        <w:t>currently in place at the time you submit this section of the Survey.</w:t>
                      </w:r>
                    </w:p>
                    <w:p w14:paraId="33DBB4A5" w14:textId="77777777" w:rsidR="000B244F" w:rsidRPr="00C8246A" w:rsidRDefault="000B244F" w:rsidP="000B244F">
                      <w:pPr>
                        <w:rPr>
                          <w:sz w:val="16"/>
                          <w:szCs w:val="16"/>
                        </w:rPr>
                      </w:pPr>
                    </w:p>
                    <w:p w14:paraId="0EADED98" w14:textId="53BE9637" w:rsidR="000B244F" w:rsidRPr="00D20A90" w:rsidRDefault="000B244F" w:rsidP="000B244F">
                      <w:pPr>
                        <w:rPr>
                          <w:b/>
                        </w:rPr>
                      </w:pPr>
                      <w:r w:rsidRPr="006547C0">
                        <w:rPr>
                          <w:rFonts w:cs="Arial"/>
                          <w:sz w:val="16"/>
                          <w:szCs w:val="16"/>
                        </w:rPr>
                        <w:t xml:space="preserve">Note: As a reminder, the </w:t>
                      </w:r>
                      <w:hyperlink r:id="rId171" w:history="1">
                        <w:r w:rsidRPr="006547C0">
                          <w:rPr>
                            <w:rStyle w:val="Hyperlink"/>
                            <w:rFonts w:cs="Arial"/>
                            <w:sz w:val="16"/>
                            <w:szCs w:val="16"/>
                          </w:rPr>
                          <w:t>Corrections Period</w:t>
                        </w:r>
                      </w:hyperlink>
                      <w:r w:rsidRPr="006547C0">
                        <w:rPr>
                          <w:rFonts w:cs="Arial"/>
                          <w:sz w:val="16"/>
                          <w:szCs w:val="16"/>
                        </w:rPr>
                        <w:t xml:space="preserve"> </w:t>
                      </w:r>
                      <w:r w:rsidRPr="00E65E68">
                        <w:rPr>
                          <w:rFonts w:cs="Arial"/>
                          <w:sz w:val="16"/>
                          <w:szCs w:val="16"/>
                        </w:rPr>
                        <w:t>(</w:t>
                      </w:r>
                      <w:r>
                        <w:rPr>
                          <w:rFonts w:cs="Arial"/>
                          <w:sz w:val="16"/>
                          <w:szCs w:val="16"/>
                        </w:rPr>
                        <w:t>December</w:t>
                      </w:r>
                      <w:r w:rsidRPr="00E65E68">
                        <w:rPr>
                          <w:rFonts w:cs="Arial"/>
                          <w:sz w:val="16"/>
                          <w:szCs w:val="16"/>
                        </w:rPr>
                        <w:t xml:space="preserve"> 1-January 31) is reserved for corrections to previously submitted Surveys only. </w:t>
                      </w:r>
                      <w:r w:rsidRPr="00E65E68">
                        <w:rPr>
                          <w:rFonts w:cs="Arial"/>
                          <w:bCs/>
                          <w:snapToGrid w:val="0"/>
                          <w:sz w:val="16"/>
                          <w:szCs w:val="16"/>
                        </w:rPr>
                        <w:t xml:space="preserve">Any updates made to reflect a change in performance must be made prior to the </w:t>
                      </w:r>
                      <w:r>
                        <w:rPr>
                          <w:rFonts w:cs="Arial"/>
                          <w:bCs/>
                          <w:snapToGrid w:val="0"/>
                          <w:sz w:val="16"/>
                          <w:szCs w:val="16"/>
                        </w:rPr>
                        <w:t>November 30</w:t>
                      </w:r>
                      <w:r w:rsidRPr="00E65E68">
                        <w:rPr>
                          <w:rFonts w:cs="Arial"/>
                          <w:bCs/>
                          <w:snapToGrid w:val="0"/>
                          <w:sz w:val="16"/>
                          <w:szCs w:val="16"/>
                        </w:rPr>
                        <w:t xml:space="preserve"> Late Submission </w:t>
                      </w:r>
                      <w:r w:rsidR="00AE38C7">
                        <w:rPr>
                          <w:rFonts w:cs="Arial"/>
                          <w:bCs/>
                          <w:snapToGrid w:val="0"/>
                          <w:sz w:val="16"/>
                          <w:szCs w:val="16"/>
                        </w:rPr>
                        <w:t xml:space="preserve">and Performance Update </w:t>
                      </w:r>
                      <w:r w:rsidRPr="00E65E68">
                        <w:rPr>
                          <w:rFonts w:cs="Arial"/>
                          <w:bCs/>
                          <w:snapToGrid w:val="0"/>
                          <w:sz w:val="16"/>
                          <w:szCs w:val="16"/>
                        </w:rPr>
                        <w:t xml:space="preserve">Deadline. Updates made to reflect a change in performance after </w:t>
                      </w:r>
                      <w:r>
                        <w:rPr>
                          <w:rFonts w:cs="Arial"/>
                          <w:bCs/>
                          <w:snapToGrid w:val="0"/>
                          <w:sz w:val="16"/>
                          <w:szCs w:val="16"/>
                        </w:rPr>
                        <w:t>November 30</w:t>
                      </w:r>
                      <w:r w:rsidRPr="00E65E68">
                        <w:rPr>
                          <w:rFonts w:cs="Arial"/>
                          <w:bCs/>
                          <w:snapToGrid w:val="0"/>
                          <w:sz w:val="16"/>
                          <w:szCs w:val="16"/>
                        </w:rPr>
                        <w:t xml:space="preserve"> will not be scored or publicly reported.</w:t>
                      </w:r>
                    </w:p>
                  </w:txbxContent>
                </v:textbox>
                <w10:anchorlock/>
              </v:shape>
            </w:pict>
          </mc:Fallback>
        </mc:AlternateContent>
      </w:r>
    </w:p>
    <w:p w14:paraId="49585B58" w14:textId="77777777" w:rsidR="000B244F" w:rsidRPr="00C8246A" w:rsidRDefault="000B244F" w:rsidP="000B244F">
      <w:pPr>
        <w:rPr>
          <w:rFonts w:cs="Arial"/>
          <w:b/>
          <w:snapToGrid w:val="0"/>
          <w:color w:val="000000"/>
          <w:sz w:val="16"/>
          <w:szCs w:val="16"/>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05"/>
        <w:gridCol w:w="4230"/>
      </w:tblGrid>
      <w:tr w:rsidR="000B244F" w:rsidRPr="0072326C" w14:paraId="782CEDA0" w14:textId="77777777" w:rsidTr="00CF4879">
        <w:trPr>
          <w:trHeight w:val="1440"/>
        </w:trPr>
        <w:tc>
          <w:tcPr>
            <w:tcW w:w="5305" w:type="dxa"/>
            <w:vAlign w:val="center"/>
          </w:tcPr>
          <w:p w14:paraId="5DB52492" w14:textId="385B277F" w:rsidR="000B244F" w:rsidRPr="00AF440B" w:rsidRDefault="000B244F" w:rsidP="00AD309C">
            <w:pPr>
              <w:pStyle w:val="ListParagraph"/>
              <w:numPr>
                <w:ilvl w:val="0"/>
                <w:numId w:val="161"/>
              </w:numPr>
              <w:rPr>
                <w:rFonts w:cs="Arial"/>
                <w:snapToGrid w:val="0"/>
              </w:rPr>
            </w:pPr>
            <w:r w:rsidRPr="00AF440B">
              <w:rPr>
                <w:rFonts w:ascii="Helvetica" w:hAnsi="Helvetica" w:cs="Helvetica"/>
                <w:shd w:val="clear" w:color="auto" w:fill="FFFFFF"/>
              </w:rPr>
              <w:t>Which EHR source is your hospital currently using?</w:t>
            </w:r>
          </w:p>
          <w:p w14:paraId="0948DA92" w14:textId="77777777" w:rsidR="000B244F" w:rsidRPr="00AF440B" w:rsidRDefault="000B244F" w:rsidP="00392474">
            <w:pPr>
              <w:pStyle w:val="ListParagraph"/>
              <w:rPr>
                <w:rFonts w:ascii="Helvetica" w:hAnsi="Helvetica" w:cs="Helvetica"/>
                <w:shd w:val="clear" w:color="auto" w:fill="FFFFFF"/>
              </w:rPr>
            </w:pPr>
          </w:p>
          <w:p w14:paraId="4AF5CB3C" w14:textId="2998386A" w:rsidR="000B244F" w:rsidRPr="0072326C" w:rsidRDefault="000B244F" w:rsidP="009C1160">
            <w:pPr>
              <w:pStyle w:val="ListParagraph"/>
              <w:ind w:left="360"/>
              <w:rPr>
                <w:rFonts w:cs="Arial"/>
                <w:b/>
                <w:i/>
                <w:iCs/>
                <w:snapToGrid w:val="0"/>
              </w:rPr>
            </w:pPr>
            <w:r w:rsidRPr="00AF440B">
              <w:rPr>
                <w:i/>
                <w:iCs/>
              </w:rPr>
              <w:t>If your hospital purchased a third-party vendor system and substantially altered it on implementation, select “Homegrown App</w:t>
            </w:r>
            <w:r w:rsidR="00346F4C">
              <w:rPr>
                <w:i/>
                <w:iCs/>
              </w:rPr>
              <w:t>,</w:t>
            </w:r>
            <w:r w:rsidRPr="00AF440B">
              <w:rPr>
                <w:i/>
                <w:iCs/>
              </w:rPr>
              <w:t xml:space="preserve">” </w:t>
            </w:r>
            <w:r w:rsidRPr="00AF440B">
              <w:rPr>
                <w:rFonts w:ascii="Helvetica" w:hAnsi="Helvetica" w:cs="Helvetica"/>
                <w:i/>
                <w:iCs/>
                <w:shd w:val="clear" w:color="auto" w:fill="FFFFFF"/>
              </w:rPr>
              <w:t>skip questions #</w:t>
            </w:r>
            <w:r w:rsidR="002208A5">
              <w:rPr>
                <w:rFonts w:ascii="Helvetica" w:hAnsi="Helvetica" w:cs="Helvetica"/>
                <w:i/>
                <w:iCs/>
                <w:shd w:val="clear" w:color="auto" w:fill="FFFFFF"/>
              </w:rPr>
              <w:t>2</w:t>
            </w:r>
            <w:r w:rsidR="00CD47B7">
              <w:rPr>
                <w:rFonts w:ascii="Helvetica" w:hAnsi="Helvetica" w:cs="Helvetica"/>
                <w:i/>
                <w:iCs/>
                <w:shd w:val="clear" w:color="auto" w:fill="FFFFFF"/>
              </w:rPr>
              <w:t>-</w:t>
            </w:r>
            <w:r w:rsidR="002208A5">
              <w:rPr>
                <w:rFonts w:ascii="Helvetica" w:hAnsi="Helvetica" w:cs="Helvetica"/>
                <w:i/>
                <w:iCs/>
                <w:shd w:val="clear" w:color="auto" w:fill="FFFFFF"/>
              </w:rPr>
              <w:t>4</w:t>
            </w:r>
            <w:r w:rsidRPr="00AF440B">
              <w:rPr>
                <w:rFonts w:ascii="Helvetica" w:hAnsi="Helvetica" w:cs="Helvetica"/>
                <w:i/>
                <w:iCs/>
                <w:shd w:val="clear" w:color="auto" w:fill="FFFFFF"/>
              </w:rPr>
              <w:t>, and continue to question #</w:t>
            </w:r>
            <w:r w:rsidR="002208A5">
              <w:rPr>
                <w:rFonts w:ascii="Helvetica" w:hAnsi="Helvetica" w:cs="Helvetica"/>
                <w:i/>
                <w:iCs/>
                <w:shd w:val="clear" w:color="auto" w:fill="FFFFFF"/>
              </w:rPr>
              <w:t>5</w:t>
            </w:r>
            <w:r w:rsidRPr="00AF440B">
              <w:rPr>
                <w:rFonts w:ascii="Helvetica" w:hAnsi="Helvetica" w:cs="Helvetica"/>
                <w:i/>
                <w:iCs/>
                <w:shd w:val="clear" w:color="auto" w:fill="FFFFFF"/>
              </w:rPr>
              <w:t>.</w:t>
            </w:r>
          </w:p>
        </w:tc>
        <w:tc>
          <w:tcPr>
            <w:tcW w:w="4230" w:type="dxa"/>
            <w:vAlign w:val="center"/>
          </w:tcPr>
          <w:p w14:paraId="3D034026" w14:textId="77777777" w:rsidR="00916EC1" w:rsidRPr="00CF4879" w:rsidRDefault="000B244F" w:rsidP="00AD309C">
            <w:pPr>
              <w:pStyle w:val="ListParagraph"/>
              <w:numPr>
                <w:ilvl w:val="0"/>
                <w:numId w:val="338"/>
              </w:numPr>
              <w:rPr>
                <w:rFonts w:cs="Arial"/>
                <w:iCs/>
                <w:snapToGrid w:val="0"/>
                <w:sz w:val="16"/>
                <w:szCs w:val="16"/>
              </w:rPr>
            </w:pPr>
            <w:r w:rsidRPr="00CF4879">
              <w:rPr>
                <w:rFonts w:cs="Arial"/>
                <w:iCs/>
                <w:snapToGrid w:val="0"/>
              </w:rPr>
              <w:t xml:space="preserve">Vendor Application </w:t>
            </w:r>
          </w:p>
          <w:p w14:paraId="52829F7A" w14:textId="41BEDB37" w:rsidR="000B244F" w:rsidRPr="00C8246A" w:rsidRDefault="000B244F" w:rsidP="00AD309C">
            <w:pPr>
              <w:pStyle w:val="ListParagraph"/>
              <w:numPr>
                <w:ilvl w:val="0"/>
                <w:numId w:val="338"/>
              </w:numPr>
              <w:rPr>
                <w:rFonts w:cs="Arial"/>
                <w:iCs/>
                <w:snapToGrid w:val="0"/>
                <w:sz w:val="16"/>
                <w:szCs w:val="16"/>
              </w:rPr>
            </w:pPr>
            <w:r w:rsidRPr="00CF4879">
              <w:rPr>
                <w:rFonts w:cs="Arial"/>
                <w:iCs/>
                <w:snapToGrid w:val="0"/>
              </w:rPr>
              <w:t>Homegrown Application</w:t>
            </w:r>
          </w:p>
        </w:tc>
      </w:tr>
      <w:tr w:rsidR="000B244F" w:rsidRPr="0072326C" w14:paraId="053F01D3" w14:textId="77777777" w:rsidTr="00CF4879">
        <w:trPr>
          <w:trHeight w:val="2880"/>
        </w:trPr>
        <w:tc>
          <w:tcPr>
            <w:tcW w:w="5305" w:type="dxa"/>
            <w:vAlign w:val="center"/>
          </w:tcPr>
          <w:p w14:paraId="6EA4F8F3" w14:textId="77777777" w:rsidR="000B244F" w:rsidRPr="00F24D8B" w:rsidRDefault="000B244F" w:rsidP="00AD309C">
            <w:pPr>
              <w:pStyle w:val="ListParagraph"/>
              <w:numPr>
                <w:ilvl w:val="0"/>
                <w:numId w:val="161"/>
              </w:numPr>
              <w:rPr>
                <w:rFonts w:ascii="Helvetica" w:hAnsi="Helvetica" w:cs="Helvetica"/>
                <w:shd w:val="clear" w:color="auto" w:fill="FFFFFF"/>
              </w:rPr>
            </w:pPr>
            <w:r>
              <w:rPr>
                <w:rFonts w:ascii="Helvetica" w:hAnsi="Helvetica" w:cs="Helvetica"/>
                <w:shd w:val="clear" w:color="auto" w:fill="FFFFFF"/>
              </w:rPr>
              <w:t>Which EHR vendor is your hospital currently using?</w:t>
            </w:r>
          </w:p>
        </w:tc>
        <w:tc>
          <w:tcPr>
            <w:tcW w:w="4230" w:type="dxa"/>
            <w:vAlign w:val="center"/>
          </w:tcPr>
          <w:p w14:paraId="3C3D8C4C" w14:textId="77777777" w:rsidR="008263FB" w:rsidRDefault="008263FB" w:rsidP="00AD309C">
            <w:pPr>
              <w:pStyle w:val="ListParagraph"/>
              <w:numPr>
                <w:ilvl w:val="0"/>
                <w:numId w:val="338"/>
              </w:numPr>
              <w:rPr>
                <w:rFonts w:cs="Arial"/>
                <w:iCs/>
                <w:snapToGrid w:val="0"/>
              </w:rPr>
            </w:pPr>
            <w:r>
              <w:rPr>
                <w:rFonts w:cs="Arial"/>
                <w:iCs/>
                <w:snapToGrid w:val="0"/>
              </w:rPr>
              <w:t>Altera/Allscripts</w:t>
            </w:r>
          </w:p>
          <w:p w14:paraId="203C0FC9" w14:textId="77777777" w:rsidR="008263FB" w:rsidRPr="00AD46BD" w:rsidRDefault="008263FB" w:rsidP="00AD309C">
            <w:pPr>
              <w:pStyle w:val="ListParagraph"/>
              <w:numPr>
                <w:ilvl w:val="0"/>
                <w:numId w:val="338"/>
              </w:numPr>
              <w:rPr>
                <w:rFonts w:cs="Arial"/>
                <w:iCs/>
                <w:snapToGrid w:val="0"/>
              </w:rPr>
            </w:pPr>
            <w:r>
              <w:t>Altera/Digital Health</w:t>
            </w:r>
          </w:p>
          <w:p w14:paraId="49EF7CC9" w14:textId="5DE6E2EC" w:rsidR="000B244F" w:rsidRDefault="003304A1" w:rsidP="00AD309C">
            <w:pPr>
              <w:pStyle w:val="ListParagraph"/>
              <w:numPr>
                <w:ilvl w:val="0"/>
                <w:numId w:val="338"/>
              </w:numPr>
              <w:rPr>
                <w:rFonts w:cs="Arial"/>
                <w:iCs/>
                <w:snapToGrid w:val="0"/>
              </w:rPr>
            </w:pPr>
            <w:r w:rsidRPr="00C8246A">
              <w:rPr>
                <w:rFonts w:cs="Arial"/>
                <w:iCs/>
                <w:snapToGrid w:val="0"/>
              </w:rPr>
              <w:t>Allscripts</w:t>
            </w:r>
            <w:r w:rsidR="000B244F" w:rsidRPr="00C8246A">
              <w:rPr>
                <w:rFonts w:cs="Arial"/>
                <w:iCs/>
                <w:snapToGrid w:val="0"/>
              </w:rPr>
              <w:t>/Eclipsys</w:t>
            </w:r>
          </w:p>
          <w:p w14:paraId="40CCF48F" w14:textId="0A000130" w:rsidR="008263FB" w:rsidRPr="00C8246A" w:rsidRDefault="008263FB" w:rsidP="00AD309C">
            <w:pPr>
              <w:pStyle w:val="ListParagraph"/>
              <w:numPr>
                <w:ilvl w:val="0"/>
                <w:numId w:val="338"/>
              </w:numPr>
              <w:rPr>
                <w:rFonts w:cs="Arial"/>
                <w:iCs/>
                <w:snapToGrid w:val="0"/>
              </w:rPr>
            </w:pPr>
            <w:r>
              <w:t>Altera/Paragon</w:t>
            </w:r>
          </w:p>
          <w:p w14:paraId="03930443" w14:textId="77777777" w:rsidR="000B244F" w:rsidRPr="00C8246A" w:rsidRDefault="000B244F" w:rsidP="00AD309C">
            <w:pPr>
              <w:pStyle w:val="ListParagraph"/>
              <w:numPr>
                <w:ilvl w:val="0"/>
                <w:numId w:val="338"/>
              </w:numPr>
              <w:rPr>
                <w:rFonts w:cs="Arial"/>
                <w:iCs/>
                <w:snapToGrid w:val="0"/>
              </w:rPr>
            </w:pPr>
            <w:proofErr w:type="spellStart"/>
            <w:r w:rsidRPr="00C8246A">
              <w:rPr>
                <w:rFonts w:cs="Arial"/>
                <w:iCs/>
                <w:snapToGrid w:val="0"/>
              </w:rPr>
              <w:t>CareCast</w:t>
            </w:r>
            <w:proofErr w:type="spellEnd"/>
          </w:p>
          <w:p w14:paraId="3A173EA1" w14:textId="77777777" w:rsidR="000B244F" w:rsidRPr="00C8246A" w:rsidRDefault="000B244F" w:rsidP="00AD309C">
            <w:pPr>
              <w:pStyle w:val="ListParagraph"/>
              <w:numPr>
                <w:ilvl w:val="0"/>
                <w:numId w:val="338"/>
              </w:numPr>
              <w:rPr>
                <w:rFonts w:cs="Arial"/>
                <w:iCs/>
                <w:snapToGrid w:val="0"/>
              </w:rPr>
            </w:pPr>
            <w:r w:rsidRPr="00C8246A">
              <w:rPr>
                <w:rFonts w:cs="Arial"/>
                <w:iCs/>
                <w:snapToGrid w:val="0"/>
              </w:rPr>
              <w:t>Cerner</w:t>
            </w:r>
          </w:p>
          <w:p w14:paraId="28CA7A7C" w14:textId="77777777" w:rsidR="000B244F" w:rsidRPr="00C8246A" w:rsidRDefault="000B244F" w:rsidP="00AD309C">
            <w:pPr>
              <w:pStyle w:val="ListParagraph"/>
              <w:numPr>
                <w:ilvl w:val="0"/>
                <w:numId w:val="338"/>
              </w:numPr>
              <w:rPr>
                <w:rFonts w:cs="Arial"/>
                <w:iCs/>
                <w:snapToGrid w:val="0"/>
              </w:rPr>
            </w:pPr>
            <w:r w:rsidRPr="00C8246A">
              <w:rPr>
                <w:rFonts w:cs="Arial"/>
                <w:iCs/>
                <w:snapToGrid w:val="0"/>
              </w:rPr>
              <w:t>CPSI</w:t>
            </w:r>
          </w:p>
          <w:p w14:paraId="7AC9B246" w14:textId="77777777" w:rsidR="000B244F" w:rsidRPr="00C8246A" w:rsidRDefault="000B244F" w:rsidP="00AD309C">
            <w:pPr>
              <w:pStyle w:val="ListParagraph"/>
              <w:numPr>
                <w:ilvl w:val="0"/>
                <w:numId w:val="338"/>
              </w:numPr>
              <w:rPr>
                <w:rFonts w:cs="Arial"/>
                <w:iCs/>
                <w:snapToGrid w:val="0"/>
              </w:rPr>
            </w:pPr>
            <w:r w:rsidRPr="00C8246A">
              <w:rPr>
                <w:rFonts w:cs="Arial"/>
                <w:iCs/>
                <w:snapToGrid w:val="0"/>
              </w:rPr>
              <w:t>Epic</w:t>
            </w:r>
          </w:p>
          <w:p w14:paraId="0A5EED81" w14:textId="77777777" w:rsidR="000B244F" w:rsidRPr="00C8246A" w:rsidRDefault="000B244F" w:rsidP="00AD309C">
            <w:pPr>
              <w:pStyle w:val="ListParagraph"/>
              <w:numPr>
                <w:ilvl w:val="0"/>
                <w:numId w:val="338"/>
              </w:numPr>
              <w:rPr>
                <w:rFonts w:cs="Arial"/>
                <w:iCs/>
                <w:snapToGrid w:val="0"/>
              </w:rPr>
            </w:pPr>
            <w:r w:rsidRPr="00C8246A">
              <w:rPr>
                <w:rFonts w:cs="Arial"/>
                <w:iCs/>
                <w:snapToGrid w:val="0"/>
              </w:rPr>
              <w:t>MEDHOST</w:t>
            </w:r>
          </w:p>
          <w:p w14:paraId="76CA205D" w14:textId="77777777" w:rsidR="000B244F" w:rsidRPr="00C8246A" w:rsidRDefault="000B244F" w:rsidP="00AD309C">
            <w:pPr>
              <w:pStyle w:val="ListParagraph"/>
              <w:numPr>
                <w:ilvl w:val="0"/>
                <w:numId w:val="338"/>
              </w:numPr>
              <w:rPr>
                <w:rFonts w:cs="Arial"/>
                <w:iCs/>
                <w:snapToGrid w:val="0"/>
              </w:rPr>
            </w:pPr>
            <w:r w:rsidRPr="00C8246A">
              <w:rPr>
                <w:rFonts w:cs="Arial"/>
                <w:iCs/>
                <w:snapToGrid w:val="0"/>
              </w:rPr>
              <w:t>MEDITECH</w:t>
            </w:r>
          </w:p>
          <w:p w14:paraId="434879F5" w14:textId="77777777" w:rsidR="000B244F" w:rsidRPr="00C8246A" w:rsidRDefault="000B244F" w:rsidP="00AD309C">
            <w:pPr>
              <w:pStyle w:val="ListParagraph"/>
              <w:numPr>
                <w:ilvl w:val="0"/>
                <w:numId w:val="338"/>
              </w:numPr>
              <w:rPr>
                <w:rFonts w:cs="Arial"/>
                <w:iCs/>
                <w:snapToGrid w:val="0"/>
              </w:rPr>
            </w:pPr>
            <w:proofErr w:type="spellStart"/>
            <w:r w:rsidRPr="00C8246A">
              <w:rPr>
                <w:rFonts w:cs="Arial"/>
                <w:iCs/>
                <w:snapToGrid w:val="0"/>
              </w:rPr>
              <w:t>Quadramed</w:t>
            </w:r>
            <w:proofErr w:type="spellEnd"/>
          </w:p>
          <w:p w14:paraId="7603A788" w14:textId="27068A13" w:rsidR="000B244F" w:rsidRPr="00C8246A" w:rsidRDefault="000B244F" w:rsidP="00AD309C">
            <w:pPr>
              <w:pStyle w:val="ListParagraph"/>
              <w:numPr>
                <w:ilvl w:val="0"/>
                <w:numId w:val="338"/>
              </w:numPr>
              <w:rPr>
                <w:rFonts w:cs="Arial"/>
                <w:iCs/>
                <w:snapToGrid w:val="0"/>
              </w:rPr>
            </w:pPr>
            <w:r w:rsidRPr="00C8246A">
              <w:rPr>
                <w:rFonts w:cs="Arial"/>
                <w:iCs/>
                <w:snapToGrid w:val="0"/>
              </w:rPr>
              <w:t>Other (please specify):</w:t>
            </w:r>
            <w:r w:rsidR="0073561A" w:rsidRPr="00C8246A">
              <w:rPr>
                <w:rFonts w:cs="Arial"/>
                <w:iCs/>
                <w:snapToGrid w:val="0"/>
              </w:rPr>
              <w:t xml:space="preserve"> _____</w:t>
            </w:r>
          </w:p>
        </w:tc>
      </w:tr>
      <w:tr w:rsidR="000A7D76" w:rsidRPr="0072326C" w14:paraId="414979E8" w14:textId="77777777" w:rsidTr="00CF4879">
        <w:trPr>
          <w:trHeight w:val="432"/>
        </w:trPr>
        <w:tc>
          <w:tcPr>
            <w:tcW w:w="5305" w:type="dxa"/>
            <w:vAlign w:val="center"/>
          </w:tcPr>
          <w:p w14:paraId="5D35A10A" w14:textId="77777777" w:rsidR="000A7D76" w:rsidRPr="00F24D8B" w:rsidRDefault="000A7D76" w:rsidP="00AD309C">
            <w:pPr>
              <w:pStyle w:val="ListParagraph"/>
              <w:numPr>
                <w:ilvl w:val="0"/>
                <w:numId w:val="161"/>
              </w:numPr>
              <w:rPr>
                <w:rFonts w:ascii="Helvetica" w:hAnsi="Helvetica" w:cs="Helvetica"/>
                <w:shd w:val="clear" w:color="auto" w:fill="FFFFFF"/>
              </w:rPr>
            </w:pPr>
            <w:r>
              <w:rPr>
                <w:rFonts w:ascii="Helvetica" w:hAnsi="Helvetica" w:cs="Helvetica"/>
                <w:shd w:val="clear" w:color="auto" w:fill="FFFFFF"/>
              </w:rPr>
              <w:t>What EHR version is your hospital currently using?</w:t>
            </w:r>
          </w:p>
        </w:tc>
        <w:tc>
          <w:tcPr>
            <w:tcW w:w="4230" w:type="dxa"/>
            <w:vAlign w:val="center"/>
          </w:tcPr>
          <w:p w14:paraId="01234638" w14:textId="56599B48" w:rsidR="000A7D76" w:rsidRPr="0072326C" w:rsidRDefault="000A7D76" w:rsidP="006E26E4">
            <w:pPr>
              <w:jc w:val="center"/>
              <w:rPr>
                <w:rFonts w:cs="Arial"/>
                <w:i/>
                <w:snapToGrid w:val="0"/>
              </w:rPr>
            </w:pPr>
            <w:r w:rsidRPr="00E64378">
              <w:rPr>
                <w:rFonts w:cs="Arial"/>
                <w:i/>
                <w:snapToGrid w:val="0"/>
              </w:rPr>
              <w:t>_____</w:t>
            </w:r>
          </w:p>
        </w:tc>
      </w:tr>
      <w:tr w:rsidR="000A7D76" w:rsidRPr="0072326C" w14:paraId="2B1318A7" w14:textId="77777777" w:rsidTr="00CF4879">
        <w:trPr>
          <w:trHeight w:val="576"/>
        </w:trPr>
        <w:tc>
          <w:tcPr>
            <w:tcW w:w="5305" w:type="dxa"/>
            <w:vAlign w:val="center"/>
          </w:tcPr>
          <w:p w14:paraId="3AD68F87" w14:textId="062FF9C2" w:rsidR="000A7D76" w:rsidRPr="00F24D8B" w:rsidRDefault="000A7D76" w:rsidP="00AD309C">
            <w:pPr>
              <w:pStyle w:val="ListParagraph"/>
              <w:numPr>
                <w:ilvl w:val="0"/>
                <w:numId w:val="161"/>
              </w:numPr>
              <w:rPr>
                <w:rFonts w:ascii="Helvetica" w:hAnsi="Helvetica" w:cs="Helvetica"/>
                <w:shd w:val="clear" w:color="auto" w:fill="FFFFFF"/>
              </w:rPr>
            </w:pPr>
            <w:r>
              <w:rPr>
                <w:rFonts w:ascii="Helvetica" w:hAnsi="Helvetica" w:cs="Helvetica"/>
                <w:shd w:val="clear" w:color="auto" w:fill="FFFFFF"/>
              </w:rPr>
              <w:t>What is the name of the EHR product that your hospital is currently using?</w:t>
            </w:r>
          </w:p>
        </w:tc>
        <w:tc>
          <w:tcPr>
            <w:tcW w:w="4230" w:type="dxa"/>
            <w:vAlign w:val="center"/>
          </w:tcPr>
          <w:p w14:paraId="14877152" w14:textId="5C803F1E" w:rsidR="000A7D76" w:rsidRPr="0072326C" w:rsidRDefault="000A7D76" w:rsidP="006E26E4">
            <w:pPr>
              <w:jc w:val="center"/>
              <w:rPr>
                <w:rFonts w:cs="Arial"/>
                <w:i/>
                <w:snapToGrid w:val="0"/>
              </w:rPr>
            </w:pPr>
            <w:r w:rsidRPr="00E64378">
              <w:rPr>
                <w:rFonts w:cs="Arial"/>
                <w:i/>
                <w:snapToGrid w:val="0"/>
              </w:rPr>
              <w:t>_____</w:t>
            </w:r>
          </w:p>
        </w:tc>
      </w:tr>
      <w:tr w:rsidR="008D6E32" w:rsidRPr="0072326C" w14:paraId="284E3970" w14:textId="77777777" w:rsidTr="00CF4879">
        <w:trPr>
          <w:trHeight w:val="1008"/>
        </w:trPr>
        <w:tc>
          <w:tcPr>
            <w:tcW w:w="5305" w:type="dxa"/>
            <w:vAlign w:val="center"/>
          </w:tcPr>
          <w:p w14:paraId="08DB490C" w14:textId="77777777" w:rsidR="008D6E32" w:rsidRPr="00F24D8B" w:rsidRDefault="008D6E32" w:rsidP="00AD309C">
            <w:pPr>
              <w:pStyle w:val="ListParagraph"/>
              <w:numPr>
                <w:ilvl w:val="0"/>
                <w:numId w:val="161"/>
              </w:numPr>
              <w:rPr>
                <w:rFonts w:ascii="Helvetica" w:hAnsi="Helvetica" w:cs="Helvetica"/>
                <w:shd w:val="clear" w:color="auto" w:fill="FFFFFF"/>
              </w:rPr>
            </w:pPr>
            <w:r>
              <w:rPr>
                <w:rFonts w:ascii="Helvetica" w:hAnsi="Helvetica" w:cs="Helvetica"/>
                <w:shd w:val="clear" w:color="auto" w:fill="FFFFFF"/>
              </w:rPr>
              <w:t>When was the EHR initially installed at the hospital?</w:t>
            </w:r>
          </w:p>
          <w:p w14:paraId="5F8E0DFA" w14:textId="77777777" w:rsidR="008D6E32" w:rsidRPr="0072326C" w:rsidRDefault="008D6E32" w:rsidP="008D6E32">
            <w:pPr>
              <w:pStyle w:val="ListParagraph"/>
              <w:rPr>
                <w:rFonts w:ascii="Helvetica" w:hAnsi="Helvetica" w:cs="Helvetica"/>
                <w:shd w:val="clear" w:color="auto" w:fill="FFFFFF"/>
              </w:rPr>
            </w:pPr>
          </w:p>
          <w:p w14:paraId="579BD3E1" w14:textId="67BB07A2" w:rsidR="008D6E32" w:rsidRDefault="008D6E32" w:rsidP="008D6E32">
            <w:pPr>
              <w:pStyle w:val="ListParagraph"/>
              <w:ind w:left="360"/>
              <w:rPr>
                <w:rFonts w:ascii="Helvetica" w:hAnsi="Helvetica" w:cs="Helvetica"/>
                <w:shd w:val="clear" w:color="auto" w:fill="FFFFFF"/>
              </w:rPr>
            </w:pPr>
            <w:r w:rsidRPr="0072326C">
              <w:rPr>
                <w:rFonts w:ascii="Helvetica" w:hAnsi="Helvetica" w:cs="Helvetica"/>
                <w:i/>
                <w:iCs/>
                <w:shd w:val="clear" w:color="auto" w:fill="FFFFFF"/>
              </w:rPr>
              <w:t>Enter the month and year the EHR was installed at the hospital.</w:t>
            </w:r>
          </w:p>
        </w:tc>
        <w:tc>
          <w:tcPr>
            <w:tcW w:w="4230" w:type="dxa"/>
            <w:vAlign w:val="center"/>
          </w:tcPr>
          <w:p w14:paraId="19BA7E1A" w14:textId="77777777" w:rsidR="008D6E32" w:rsidRPr="0072326C" w:rsidRDefault="008D6E32" w:rsidP="008D6E32">
            <w:pPr>
              <w:jc w:val="center"/>
              <w:rPr>
                <w:rFonts w:cs="Arial"/>
                <w:i/>
                <w:snapToGrid w:val="0"/>
              </w:rPr>
            </w:pPr>
            <w:r w:rsidRPr="0072326C">
              <w:rPr>
                <w:rFonts w:cs="Arial"/>
                <w:i/>
                <w:snapToGrid w:val="0"/>
              </w:rPr>
              <w:t>______</w:t>
            </w:r>
          </w:p>
          <w:p w14:paraId="101C49F7" w14:textId="228477A6" w:rsidR="008D6E32" w:rsidRDefault="008D6E32" w:rsidP="008D6E32">
            <w:pPr>
              <w:jc w:val="center"/>
              <w:rPr>
                <w:rFonts w:cs="Arial"/>
                <w:i/>
                <w:snapToGrid w:val="0"/>
              </w:rPr>
            </w:pPr>
            <w:r w:rsidRPr="0072326C">
              <w:rPr>
                <w:rFonts w:cs="Arial"/>
                <w:i/>
                <w:snapToGrid w:val="0"/>
                <w:sz w:val="16"/>
                <w:szCs w:val="16"/>
              </w:rPr>
              <w:t>Format:</w:t>
            </w:r>
            <w:r>
              <w:rPr>
                <w:rFonts w:cs="Arial"/>
                <w:i/>
                <w:snapToGrid w:val="0"/>
                <w:sz w:val="16"/>
                <w:szCs w:val="16"/>
              </w:rPr>
              <w:t xml:space="preserve"> Month/</w:t>
            </w:r>
            <w:r w:rsidRPr="0072326C">
              <w:rPr>
                <w:rFonts w:cs="Arial"/>
                <w:i/>
                <w:snapToGrid w:val="0"/>
                <w:sz w:val="16"/>
                <w:szCs w:val="16"/>
              </w:rPr>
              <w:t>Y</w:t>
            </w:r>
            <w:r>
              <w:rPr>
                <w:rFonts w:cs="Arial"/>
                <w:i/>
                <w:snapToGrid w:val="0"/>
                <w:sz w:val="16"/>
                <w:szCs w:val="16"/>
              </w:rPr>
              <w:t>ear</w:t>
            </w:r>
          </w:p>
        </w:tc>
      </w:tr>
      <w:tr w:rsidR="000B244F" w:rsidRPr="0072326C" w14:paraId="103E97E2" w14:textId="77777777" w:rsidTr="00CF4879">
        <w:trPr>
          <w:trHeight w:val="2016"/>
        </w:trPr>
        <w:tc>
          <w:tcPr>
            <w:tcW w:w="5305" w:type="dxa"/>
            <w:vAlign w:val="center"/>
          </w:tcPr>
          <w:p w14:paraId="146CB239" w14:textId="77777777" w:rsidR="000B244F" w:rsidRPr="00F24D8B" w:rsidRDefault="000B244F" w:rsidP="00AD309C">
            <w:pPr>
              <w:pStyle w:val="ListParagraph"/>
              <w:numPr>
                <w:ilvl w:val="0"/>
                <w:numId w:val="161"/>
              </w:numPr>
              <w:rPr>
                <w:rFonts w:ascii="Helvetica" w:hAnsi="Helvetica" w:cs="Helvetica"/>
                <w:shd w:val="clear" w:color="auto" w:fill="FFFFFF"/>
              </w:rPr>
            </w:pPr>
            <w:r>
              <w:rPr>
                <w:rFonts w:ascii="Helvetica" w:hAnsi="Helvetica" w:cs="Helvetica"/>
                <w:shd w:val="clear" w:color="auto" w:fill="FFFFFF"/>
              </w:rPr>
              <w:t xml:space="preserve">Which EHR </w:t>
            </w:r>
            <w:r w:rsidRPr="00F24D8B">
              <w:rPr>
                <w:rFonts w:ascii="Helvetica" w:hAnsi="Helvetica" w:cs="Helvetica"/>
                <w:shd w:val="clear" w:color="auto" w:fill="FFFFFF"/>
              </w:rPr>
              <w:t>Medication Reference Database</w:t>
            </w:r>
            <w:r>
              <w:rPr>
                <w:rFonts w:ascii="Helvetica" w:hAnsi="Helvetica" w:cs="Helvetica"/>
                <w:shd w:val="clear" w:color="auto" w:fill="FFFFFF"/>
              </w:rPr>
              <w:t xml:space="preserve"> is your hospital currently using?</w:t>
            </w:r>
          </w:p>
        </w:tc>
        <w:tc>
          <w:tcPr>
            <w:tcW w:w="4230" w:type="dxa"/>
            <w:vAlign w:val="center"/>
          </w:tcPr>
          <w:p w14:paraId="28FDF260" w14:textId="77777777" w:rsidR="000B244F" w:rsidRPr="00C8246A" w:rsidRDefault="000B244F" w:rsidP="00AD309C">
            <w:pPr>
              <w:pStyle w:val="ListParagraph"/>
              <w:numPr>
                <w:ilvl w:val="0"/>
                <w:numId w:val="339"/>
              </w:numPr>
              <w:rPr>
                <w:rFonts w:cs="Arial"/>
                <w:iCs/>
                <w:snapToGrid w:val="0"/>
              </w:rPr>
            </w:pPr>
            <w:r w:rsidRPr="00C8246A">
              <w:rPr>
                <w:rFonts w:cs="Arial"/>
                <w:iCs/>
                <w:snapToGrid w:val="0"/>
              </w:rPr>
              <w:t>Homegrown</w:t>
            </w:r>
          </w:p>
          <w:p w14:paraId="31481329" w14:textId="77777777" w:rsidR="000B244F" w:rsidRPr="00C8246A" w:rsidRDefault="000B244F" w:rsidP="00AD309C">
            <w:pPr>
              <w:pStyle w:val="ListParagraph"/>
              <w:numPr>
                <w:ilvl w:val="0"/>
                <w:numId w:val="339"/>
              </w:numPr>
              <w:rPr>
                <w:rFonts w:cs="Arial"/>
                <w:iCs/>
                <w:snapToGrid w:val="0"/>
              </w:rPr>
            </w:pPr>
            <w:r w:rsidRPr="00C8246A">
              <w:rPr>
                <w:rFonts w:cs="Arial"/>
                <w:iCs/>
                <w:snapToGrid w:val="0"/>
              </w:rPr>
              <w:t xml:space="preserve">First </w:t>
            </w:r>
            <w:proofErr w:type="spellStart"/>
            <w:r w:rsidRPr="00C8246A">
              <w:rPr>
                <w:rFonts w:cs="Arial"/>
                <w:iCs/>
                <w:snapToGrid w:val="0"/>
              </w:rPr>
              <w:t>DataBank</w:t>
            </w:r>
            <w:proofErr w:type="spellEnd"/>
            <w:r w:rsidRPr="00C8246A">
              <w:rPr>
                <w:rFonts w:cs="Arial"/>
                <w:iCs/>
                <w:snapToGrid w:val="0"/>
              </w:rPr>
              <w:t xml:space="preserve"> (FDB)</w:t>
            </w:r>
          </w:p>
          <w:p w14:paraId="3513CDE8" w14:textId="77777777" w:rsidR="000B244F" w:rsidRPr="00C8246A" w:rsidRDefault="000B244F" w:rsidP="00AD309C">
            <w:pPr>
              <w:pStyle w:val="ListParagraph"/>
              <w:numPr>
                <w:ilvl w:val="0"/>
                <w:numId w:val="339"/>
              </w:numPr>
              <w:rPr>
                <w:rFonts w:cs="Arial"/>
                <w:iCs/>
                <w:snapToGrid w:val="0"/>
              </w:rPr>
            </w:pPr>
            <w:r w:rsidRPr="00C8246A">
              <w:rPr>
                <w:rFonts w:cs="Arial"/>
                <w:iCs/>
                <w:snapToGrid w:val="0"/>
              </w:rPr>
              <w:t>Gold Standard / Elsevier</w:t>
            </w:r>
          </w:p>
          <w:p w14:paraId="53CF1818" w14:textId="77777777" w:rsidR="000B244F" w:rsidRPr="00C8246A" w:rsidRDefault="000B244F" w:rsidP="00AD309C">
            <w:pPr>
              <w:pStyle w:val="ListParagraph"/>
              <w:numPr>
                <w:ilvl w:val="0"/>
                <w:numId w:val="339"/>
              </w:numPr>
              <w:rPr>
                <w:rFonts w:cs="Arial"/>
                <w:iCs/>
                <w:snapToGrid w:val="0"/>
              </w:rPr>
            </w:pPr>
            <w:r w:rsidRPr="00C8246A">
              <w:rPr>
                <w:rFonts w:cs="Arial"/>
                <w:iCs/>
                <w:snapToGrid w:val="0"/>
              </w:rPr>
              <w:t>Lexicomp</w:t>
            </w:r>
          </w:p>
          <w:p w14:paraId="4ADC3041" w14:textId="77777777" w:rsidR="000B244F" w:rsidRDefault="000B244F" w:rsidP="00AD309C">
            <w:pPr>
              <w:pStyle w:val="ListParagraph"/>
              <w:numPr>
                <w:ilvl w:val="0"/>
                <w:numId w:val="339"/>
              </w:numPr>
              <w:rPr>
                <w:rFonts w:cs="Arial"/>
                <w:iCs/>
                <w:snapToGrid w:val="0"/>
              </w:rPr>
            </w:pPr>
            <w:r w:rsidRPr="00C8246A">
              <w:rPr>
                <w:rFonts w:cs="Arial"/>
                <w:iCs/>
                <w:snapToGrid w:val="0"/>
              </w:rPr>
              <w:t>Medi – Span</w:t>
            </w:r>
          </w:p>
          <w:p w14:paraId="384D6670" w14:textId="14EFB0DB" w:rsidR="008263FB" w:rsidRPr="00C8246A" w:rsidRDefault="008263FB" w:rsidP="00AD309C">
            <w:pPr>
              <w:pStyle w:val="ListParagraph"/>
              <w:numPr>
                <w:ilvl w:val="0"/>
                <w:numId w:val="339"/>
              </w:numPr>
              <w:rPr>
                <w:rFonts w:cs="Arial"/>
                <w:iCs/>
                <w:snapToGrid w:val="0"/>
              </w:rPr>
            </w:pPr>
            <w:r>
              <w:rPr>
                <w:rFonts w:cs="Arial"/>
                <w:iCs/>
                <w:snapToGrid w:val="0"/>
              </w:rPr>
              <w:t>Micromed</w:t>
            </w:r>
            <w:r w:rsidR="00E51BB6">
              <w:rPr>
                <w:rFonts w:cs="Arial"/>
                <w:iCs/>
                <w:snapToGrid w:val="0"/>
              </w:rPr>
              <w:t>e</w:t>
            </w:r>
            <w:r>
              <w:rPr>
                <w:rFonts w:cs="Arial"/>
                <w:iCs/>
                <w:snapToGrid w:val="0"/>
              </w:rPr>
              <w:t>x</w:t>
            </w:r>
          </w:p>
          <w:p w14:paraId="7C33F7CA" w14:textId="77777777" w:rsidR="000B244F" w:rsidRPr="00C8246A" w:rsidRDefault="000B244F" w:rsidP="00AD309C">
            <w:pPr>
              <w:pStyle w:val="ListParagraph"/>
              <w:numPr>
                <w:ilvl w:val="0"/>
                <w:numId w:val="339"/>
              </w:numPr>
              <w:rPr>
                <w:rFonts w:cs="Arial"/>
                <w:iCs/>
                <w:snapToGrid w:val="0"/>
              </w:rPr>
            </w:pPr>
            <w:r w:rsidRPr="00C8246A">
              <w:rPr>
                <w:rFonts w:cs="Arial"/>
                <w:iCs/>
                <w:snapToGrid w:val="0"/>
              </w:rPr>
              <w:t>Multum</w:t>
            </w:r>
          </w:p>
          <w:p w14:paraId="70B5F9D7" w14:textId="3F80293D" w:rsidR="000B244F" w:rsidRPr="00916EC1" w:rsidRDefault="000B244F" w:rsidP="00AD309C">
            <w:pPr>
              <w:pStyle w:val="ListParagraph"/>
              <w:numPr>
                <w:ilvl w:val="0"/>
                <w:numId w:val="339"/>
              </w:numPr>
              <w:rPr>
                <w:rFonts w:cs="Arial"/>
                <w:i/>
                <w:snapToGrid w:val="0"/>
              </w:rPr>
            </w:pPr>
            <w:r w:rsidRPr="00C8246A">
              <w:rPr>
                <w:rFonts w:cs="Arial"/>
                <w:iCs/>
                <w:snapToGrid w:val="0"/>
              </w:rPr>
              <w:t>Other (please specify):</w:t>
            </w:r>
            <w:r w:rsidR="0073561A" w:rsidRPr="00C8246A">
              <w:rPr>
                <w:rFonts w:cs="Arial"/>
                <w:iCs/>
                <w:snapToGrid w:val="0"/>
              </w:rPr>
              <w:t xml:space="preserve"> _____</w:t>
            </w:r>
          </w:p>
        </w:tc>
      </w:tr>
      <w:tr w:rsidR="003B47DF" w:rsidRPr="0072326C" w14:paraId="6A6EF626" w14:textId="77777777" w:rsidTr="001631F0">
        <w:trPr>
          <w:trHeight w:val="2016"/>
        </w:trPr>
        <w:tc>
          <w:tcPr>
            <w:tcW w:w="5305" w:type="dxa"/>
          </w:tcPr>
          <w:p w14:paraId="4342497A" w14:textId="1DEA9E57" w:rsidR="003B47DF" w:rsidRPr="00C01758" w:rsidRDefault="003B47DF" w:rsidP="003B47DF">
            <w:pPr>
              <w:pStyle w:val="ListParagraph"/>
              <w:numPr>
                <w:ilvl w:val="0"/>
                <w:numId w:val="442"/>
              </w:numPr>
              <w:rPr>
                <w:rFonts w:cs="Arial"/>
              </w:rPr>
            </w:pPr>
            <w:r w:rsidRPr="00C01758">
              <w:rPr>
                <w:rFonts w:cs="Arial"/>
              </w:rPr>
              <w:lastRenderedPageBreak/>
              <w:t xml:space="preserve">Does your hospital </w:t>
            </w:r>
            <w:r w:rsidRPr="000B3776">
              <w:rPr>
                <w:rFonts w:cs="Arial"/>
              </w:rPr>
              <w:t xml:space="preserve">currently </w:t>
            </w:r>
            <w:r w:rsidRPr="00C01758">
              <w:rPr>
                <w:rFonts w:cs="Arial"/>
              </w:rPr>
              <w:t>use Artificial Intelligence (AI) applications in its medication management</w:t>
            </w:r>
            <w:r w:rsidRPr="000B3776">
              <w:rPr>
                <w:rFonts w:cs="Arial"/>
              </w:rPr>
              <w:t xml:space="preserve"> </w:t>
            </w:r>
            <w:r w:rsidR="00C34C42">
              <w:rPr>
                <w:rFonts w:cs="Arial"/>
              </w:rPr>
              <w:t xml:space="preserve">process </w:t>
            </w:r>
            <w:r w:rsidRPr="000B3776">
              <w:rPr>
                <w:rFonts w:cs="Arial"/>
              </w:rPr>
              <w:t>(including medication-related clinical decision support, medication ordering, BCMA, and medication reconciliation)</w:t>
            </w:r>
            <w:r w:rsidRPr="00C01758">
              <w:rPr>
                <w:rFonts w:cs="Arial"/>
              </w:rPr>
              <w:t xml:space="preserve">? </w:t>
            </w:r>
          </w:p>
          <w:p w14:paraId="61099BC5" w14:textId="77777777" w:rsidR="003B47DF" w:rsidRPr="000B3776" w:rsidRDefault="003B47DF" w:rsidP="003B47DF">
            <w:pPr>
              <w:pStyle w:val="ListParagraph"/>
              <w:ind w:left="360"/>
              <w:rPr>
                <w:rFonts w:cs="Arial"/>
              </w:rPr>
            </w:pPr>
          </w:p>
          <w:p w14:paraId="2079044F" w14:textId="48A9B539" w:rsidR="003B47DF" w:rsidRDefault="003B47DF" w:rsidP="00012D7A">
            <w:pPr>
              <w:pStyle w:val="ListParagraph"/>
              <w:ind w:left="360"/>
              <w:rPr>
                <w:rFonts w:ascii="Helvetica" w:hAnsi="Helvetica" w:cs="Helvetica"/>
                <w:shd w:val="clear" w:color="auto" w:fill="FFFFFF"/>
              </w:rPr>
            </w:pPr>
            <w:r w:rsidRPr="000B3776">
              <w:rPr>
                <w:rFonts w:cs="Arial"/>
                <w:i/>
                <w:iCs/>
              </w:rPr>
              <w:t>If “no” to question #7, skip the remaining questions in Section 2B, and continue to Section 2C.</w:t>
            </w:r>
          </w:p>
        </w:tc>
        <w:tc>
          <w:tcPr>
            <w:tcW w:w="4230" w:type="dxa"/>
            <w:vAlign w:val="center"/>
          </w:tcPr>
          <w:p w14:paraId="0370E896" w14:textId="77777777" w:rsidR="003B47DF" w:rsidRPr="00C01758" w:rsidRDefault="003B47DF" w:rsidP="001631F0">
            <w:pPr>
              <w:pStyle w:val="ListParagraph"/>
              <w:numPr>
                <w:ilvl w:val="0"/>
                <w:numId w:val="396"/>
              </w:numPr>
              <w:rPr>
                <w:rFonts w:cs="Arial"/>
              </w:rPr>
            </w:pPr>
            <w:r w:rsidRPr="00C01758">
              <w:rPr>
                <w:rFonts w:cs="Arial"/>
              </w:rPr>
              <w:t>Yes</w:t>
            </w:r>
          </w:p>
          <w:p w14:paraId="5DA6FE19" w14:textId="1D976616" w:rsidR="003B47DF" w:rsidRPr="00C8246A" w:rsidRDefault="003B47DF" w:rsidP="001631F0">
            <w:pPr>
              <w:pStyle w:val="ListParagraph"/>
              <w:numPr>
                <w:ilvl w:val="0"/>
                <w:numId w:val="339"/>
              </w:numPr>
              <w:rPr>
                <w:rFonts w:cs="Arial"/>
                <w:iCs/>
                <w:snapToGrid w:val="0"/>
              </w:rPr>
            </w:pPr>
            <w:r w:rsidRPr="00C01758">
              <w:rPr>
                <w:rFonts w:cs="Arial"/>
              </w:rPr>
              <w:t>No</w:t>
            </w:r>
          </w:p>
        </w:tc>
      </w:tr>
      <w:tr w:rsidR="003B47DF" w:rsidRPr="0072326C" w14:paraId="3E8D6888" w14:textId="77777777" w:rsidTr="001631F0">
        <w:trPr>
          <w:trHeight w:val="2016"/>
        </w:trPr>
        <w:tc>
          <w:tcPr>
            <w:tcW w:w="5305" w:type="dxa"/>
          </w:tcPr>
          <w:p w14:paraId="5434182F" w14:textId="77777777" w:rsidR="003B47DF" w:rsidRPr="000B3776" w:rsidRDefault="003B47DF" w:rsidP="003B47DF">
            <w:pPr>
              <w:pStyle w:val="ListParagraph"/>
              <w:numPr>
                <w:ilvl w:val="0"/>
                <w:numId w:val="443"/>
              </w:numPr>
              <w:rPr>
                <w:rFonts w:cs="Arial"/>
              </w:rPr>
            </w:pPr>
            <w:r w:rsidRPr="00C01758">
              <w:rPr>
                <w:rFonts w:cs="Arial"/>
              </w:rPr>
              <w:t>In wh</w:t>
            </w:r>
            <w:r w:rsidRPr="000B3776">
              <w:rPr>
                <w:rFonts w:cs="Arial"/>
              </w:rPr>
              <w:t>ich areas</w:t>
            </w:r>
            <w:r w:rsidRPr="00C01758">
              <w:rPr>
                <w:rFonts w:cs="Arial"/>
              </w:rPr>
              <w:t xml:space="preserve"> of the medication management process are Artificial Intelligence (AI) applications used?</w:t>
            </w:r>
          </w:p>
          <w:p w14:paraId="6D9093C5" w14:textId="77777777" w:rsidR="003B47DF" w:rsidRPr="000B3776" w:rsidRDefault="003B47DF" w:rsidP="003B47DF">
            <w:pPr>
              <w:pStyle w:val="ListParagraph"/>
              <w:ind w:left="360"/>
              <w:rPr>
                <w:rFonts w:cs="Arial"/>
              </w:rPr>
            </w:pPr>
          </w:p>
          <w:p w14:paraId="5E81DE75" w14:textId="77777777" w:rsidR="003B47DF" w:rsidRPr="000B3776" w:rsidRDefault="003B47DF" w:rsidP="003B47DF">
            <w:pPr>
              <w:pStyle w:val="ListParagraph"/>
              <w:ind w:left="360"/>
              <w:rPr>
                <w:rFonts w:cs="Arial"/>
                <w:i/>
                <w:iCs/>
              </w:rPr>
            </w:pPr>
            <w:r w:rsidRPr="000B3776">
              <w:rPr>
                <w:rFonts w:cs="Arial"/>
                <w:i/>
                <w:iCs/>
              </w:rPr>
              <w:t>Select all that apply.</w:t>
            </w:r>
          </w:p>
          <w:p w14:paraId="26E03EF8" w14:textId="77777777" w:rsidR="003B47DF" w:rsidRDefault="003B47DF" w:rsidP="008D363B">
            <w:pPr>
              <w:pStyle w:val="ListParagraph"/>
              <w:ind w:left="360"/>
              <w:rPr>
                <w:rFonts w:ascii="Helvetica" w:hAnsi="Helvetica" w:cs="Helvetica"/>
                <w:shd w:val="clear" w:color="auto" w:fill="FFFFFF"/>
              </w:rPr>
            </w:pPr>
          </w:p>
        </w:tc>
        <w:tc>
          <w:tcPr>
            <w:tcW w:w="4230" w:type="dxa"/>
            <w:vAlign w:val="center"/>
          </w:tcPr>
          <w:p w14:paraId="7BEA7438" w14:textId="77777777" w:rsidR="005B0DB7" w:rsidRPr="005B0DB7" w:rsidRDefault="005B0DB7" w:rsidP="001631F0">
            <w:pPr>
              <w:pStyle w:val="ListParagraph"/>
              <w:numPr>
                <w:ilvl w:val="0"/>
                <w:numId w:val="444"/>
              </w:numPr>
              <w:rPr>
                <w:rFonts w:cs="Arial"/>
              </w:rPr>
            </w:pPr>
            <w:r w:rsidRPr="005B0DB7">
              <w:rPr>
                <w:rFonts w:cs="Arial"/>
              </w:rPr>
              <w:t>Medication-related Clinical Decision Support</w:t>
            </w:r>
          </w:p>
          <w:p w14:paraId="0BA71BF1" w14:textId="307639CA" w:rsidR="009F240A" w:rsidRPr="00C01758" w:rsidRDefault="009F240A" w:rsidP="001631F0">
            <w:pPr>
              <w:pStyle w:val="ListParagraph"/>
              <w:numPr>
                <w:ilvl w:val="0"/>
                <w:numId w:val="444"/>
              </w:numPr>
              <w:ind w:left="339"/>
              <w:rPr>
                <w:rFonts w:cs="Arial"/>
              </w:rPr>
            </w:pPr>
            <w:r>
              <w:rPr>
                <w:rFonts w:cs="Arial"/>
              </w:rPr>
              <w:t>Medication Ordering</w:t>
            </w:r>
          </w:p>
          <w:p w14:paraId="28C00B49" w14:textId="77777777" w:rsidR="005B0DB7" w:rsidRDefault="003B47DF" w:rsidP="001631F0">
            <w:pPr>
              <w:pStyle w:val="ListParagraph"/>
              <w:numPr>
                <w:ilvl w:val="0"/>
                <w:numId w:val="444"/>
              </w:numPr>
              <w:ind w:left="339"/>
              <w:rPr>
                <w:rFonts w:cs="Arial"/>
              </w:rPr>
            </w:pPr>
            <w:r w:rsidRPr="00C01758">
              <w:rPr>
                <w:rFonts w:cs="Arial"/>
              </w:rPr>
              <w:t>B</w:t>
            </w:r>
            <w:r w:rsidR="009F240A">
              <w:rPr>
                <w:rFonts w:cs="Arial"/>
              </w:rPr>
              <w:t xml:space="preserve">ar </w:t>
            </w:r>
            <w:r w:rsidRPr="00C01758">
              <w:rPr>
                <w:rFonts w:cs="Arial"/>
              </w:rPr>
              <w:t>C</w:t>
            </w:r>
            <w:r w:rsidR="009F240A">
              <w:rPr>
                <w:rFonts w:cs="Arial"/>
              </w:rPr>
              <w:t xml:space="preserve">ode </w:t>
            </w:r>
            <w:r w:rsidRPr="00C01758">
              <w:rPr>
                <w:rFonts w:cs="Arial"/>
              </w:rPr>
              <w:t>M</w:t>
            </w:r>
            <w:r w:rsidR="009F240A">
              <w:rPr>
                <w:rFonts w:cs="Arial"/>
              </w:rPr>
              <w:t xml:space="preserve">edication </w:t>
            </w:r>
            <w:r w:rsidRPr="00C01758">
              <w:rPr>
                <w:rFonts w:cs="Arial"/>
              </w:rPr>
              <w:t>A</w:t>
            </w:r>
            <w:r w:rsidR="009F240A">
              <w:rPr>
                <w:rFonts w:cs="Arial"/>
              </w:rPr>
              <w:t>dministration (BCMA)</w:t>
            </w:r>
          </w:p>
          <w:p w14:paraId="03DC8956" w14:textId="11F6163E" w:rsidR="003B47DF" w:rsidRPr="005B0DB7" w:rsidRDefault="003B47DF" w:rsidP="001631F0">
            <w:pPr>
              <w:pStyle w:val="ListParagraph"/>
              <w:numPr>
                <w:ilvl w:val="0"/>
                <w:numId w:val="444"/>
              </w:numPr>
              <w:ind w:left="339"/>
              <w:rPr>
                <w:rFonts w:cs="Arial"/>
              </w:rPr>
            </w:pPr>
            <w:r w:rsidRPr="005B0DB7">
              <w:rPr>
                <w:rFonts w:cs="Arial"/>
              </w:rPr>
              <w:t>Medication Reconciliation</w:t>
            </w:r>
          </w:p>
        </w:tc>
      </w:tr>
      <w:tr w:rsidR="003B47DF" w:rsidRPr="0072326C" w14:paraId="7562078E" w14:textId="77777777" w:rsidTr="001631F0">
        <w:trPr>
          <w:trHeight w:val="2016"/>
        </w:trPr>
        <w:tc>
          <w:tcPr>
            <w:tcW w:w="5305" w:type="dxa"/>
          </w:tcPr>
          <w:p w14:paraId="0FC92F0E" w14:textId="77777777" w:rsidR="003B47DF" w:rsidRPr="000B3776" w:rsidRDefault="003B47DF" w:rsidP="003B47DF">
            <w:pPr>
              <w:pStyle w:val="ListParagraph"/>
              <w:numPr>
                <w:ilvl w:val="0"/>
                <w:numId w:val="443"/>
              </w:numPr>
              <w:rPr>
                <w:rFonts w:cs="Arial"/>
              </w:rPr>
            </w:pPr>
            <w:r w:rsidRPr="000B3776">
              <w:rPr>
                <w:rFonts w:cs="Arial"/>
              </w:rPr>
              <w:t>Are the</w:t>
            </w:r>
            <w:r>
              <w:rPr>
                <w:rFonts w:cs="Arial"/>
              </w:rPr>
              <w:t xml:space="preserve"> vendors</w:t>
            </w:r>
            <w:r w:rsidRPr="000B3776">
              <w:rPr>
                <w:rFonts w:cs="Arial"/>
              </w:rPr>
              <w:t xml:space="preserve"> of these AI applications the same as your EHR and medication reference database systems?</w:t>
            </w:r>
          </w:p>
          <w:p w14:paraId="341EE841" w14:textId="77777777" w:rsidR="003B47DF" w:rsidRPr="000B3776" w:rsidRDefault="003B47DF" w:rsidP="003B47DF">
            <w:pPr>
              <w:pStyle w:val="ListParagraph"/>
              <w:ind w:left="360"/>
              <w:rPr>
                <w:rFonts w:cs="Arial"/>
              </w:rPr>
            </w:pPr>
          </w:p>
          <w:p w14:paraId="20C0D9FC" w14:textId="77777777" w:rsidR="003B47DF" w:rsidRPr="00C01758" w:rsidRDefault="003B47DF" w:rsidP="003B47DF">
            <w:pPr>
              <w:ind w:left="360"/>
              <w:rPr>
                <w:rFonts w:cs="Arial"/>
                <w:i/>
                <w:iCs/>
              </w:rPr>
            </w:pPr>
            <w:r w:rsidRPr="00C01758">
              <w:rPr>
                <w:rFonts w:cs="Arial"/>
                <w:i/>
                <w:iCs/>
              </w:rPr>
              <w:t>Select all that apply.</w:t>
            </w:r>
          </w:p>
          <w:p w14:paraId="21776041" w14:textId="77777777" w:rsidR="003B47DF" w:rsidRPr="00C01758" w:rsidRDefault="003B47DF" w:rsidP="003B47DF">
            <w:pPr>
              <w:ind w:left="360"/>
              <w:rPr>
                <w:rFonts w:cs="Arial"/>
                <w:i/>
                <w:iCs/>
              </w:rPr>
            </w:pPr>
          </w:p>
          <w:p w14:paraId="7BB470EE" w14:textId="77777777" w:rsidR="003B47DF" w:rsidRPr="00C01758" w:rsidRDefault="003B47DF" w:rsidP="003B47DF">
            <w:pPr>
              <w:ind w:left="360"/>
              <w:rPr>
                <w:rFonts w:cs="Arial"/>
                <w:i/>
                <w:iCs/>
              </w:rPr>
            </w:pPr>
            <w:r w:rsidRPr="00C01758">
              <w:rPr>
                <w:rFonts w:cs="Arial"/>
                <w:i/>
                <w:iCs/>
              </w:rPr>
              <w:t xml:space="preserve">If “Other </w:t>
            </w:r>
            <w:r>
              <w:rPr>
                <w:rFonts w:cs="Arial"/>
                <w:i/>
                <w:iCs/>
              </w:rPr>
              <w:t>Vendors</w:t>
            </w:r>
            <w:r w:rsidRPr="00C01758">
              <w:rPr>
                <w:rFonts w:cs="Arial"/>
                <w:i/>
                <w:iCs/>
              </w:rPr>
              <w:t xml:space="preserve">” is selected, continue to question #10. Otherwise, skip question #10 and continue to </w:t>
            </w:r>
            <w:r w:rsidRPr="000B3776">
              <w:rPr>
                <w:rFonts w:cs="Arial"/>
                <w:i/>
                <w:iCs/>
              </w:rPr>
              <w:t>Section 2C.</w:t>
            </w:r>
          </w:p>
          <w:p w14:paraId="545D5A10" w14:textId="77777777" w:rsidR="003B47DF" w:rsidRPr="000B3776" w:rsidRDefault="003B47DF" w:rsidP="003B47DF">
            <w:pPr>
              <w:pStyle w:val="ListParagraph"/>
              <w:ind w:left="360"/>
              <w:rPr>
                <w:rFonts w:cs="Arial"/>
              </w:rPr>
            </w:pPr>
          </w:p>
          <w:p w14:paraId="1C54FE8B" w14:textId="77777777" w:rsidR="003B47DF" w:rsidRPr="000B3776" w:rsidRDefault="003B47DF" w:rsidP="003B47DF">
            <w:pPr>
              <w:pStyle w:val="ListParagraph"/>
              <w:ind w:left="360"/>
              <w:rPr>
                <w:rFonts w:cs="Arial"/>
              </w:rPr>
            </w:pPr>
          </w:p>
          <w:p w14:paraId="6E231E7E" w14:textId="77777777" w:rsidR="003B47DF" w:rsidRDefault="003B47DF" w:rsidP="008D363B">
            <w:pPr>
              <w:pStyle w:val="ListParagraph"/>
              <w:ind w:left="360"/>
              <w:rPr>
                <w:rFonts w:ascii="Helvetica" w:hAnsi="Helvetica" w:cs="Helvetica"/>
                <w:shd w:val="clear" w:color="auto" w:fill="FFFFFF"/>
              </w:rPr>
            </w:pPr>
          </w:p>
        </w:tc>
        <w:tc>
          <w:tcPr>
            <w:tcW w:w="4230" w:type="dxa"/>
            <w:vAlign w:val="center"/>
          </w:tcPr>
          <w:p w14:paraId="03B5CF1A" w14:textId="77777777" w:rsidR="003B47DF" w:rsidRPr="00C01758" w:rsidRDefault="003B47DF" w:rsidP="001631F0">
            <w:pPr>
              <w:pStyle w:val="ListParagraph"/>
              <w:numPr>
                <w:ilvl w:val="0"/>
                <w:numId w:val="444"/>
              </w:numPr>
              <w:ind w:left="339"/>
              <w:rPr>
                <w:rFonts w:cs="Arial"/>
              </w:rPr>
            </w:pPr>
            <w:r w:rsidRPr="00C01758">
              <w:rPr>
                <w:rFonts w:cs="Arial"/>
              </w:rPr>
              <w:t>Same as EHR</w:t>
            </w:r>
          </w:p>
          <w:p w14:paraId="70D6B930" w14:textId="6F674EDB" w:rsidR="003B47DF" w:rsidRDefault="003B47DF" w:rsidP="001631F0">
            <w:pPr>
              <w:pStyle w:val="ListParagraph"/>
              <w:numPr>
                <w:ilvl w:val="0"/>
                <w:numId w:val="444"/>
              </w:numPr>
              <w:ind w:left="339"/>
              <w:rPr>
                <w:rFonts w:cs="Arial"/>
              </w:rPr>
            </w:pPr>
            <w:r w:rsidRPr="00C01758">
              <w:rPr>
                <w:rFonts w:cs="Arial"/>
              </w:rPr>
              <w:t>Same as Medication</w:t>
            </w:r>
            <w:r w:rsidR="00623FAB">
              <w:rPr>
                <w:rFonts w:cs="Arial"/>
              </w:rPr>
              <w:t xml:space="preserve"> Safety</w:t>
            </w:r>
            <w:r w:rsidRPr="00C01758">
              <w:rPr>
                <w:rFonts w:cs="Arial"/>
              </w:rPr>
              <w:t xml:space="preserve"> </w:t>
            </w:r>
            <w:r w:rsidR="00623FAB">
              <w:rPr>
                <w:rFonts w:cs="Arial"/>
              </w:rPr>
              <w:t>Reference</w:t>
            </w:r>
            <w:r w:rsidRPr="00C01758">
              <w:rPr>
                <w:rFonts w:cs="Arial"/>
              </w:rPr>
              <w:t xml:space="preserve"> Database</w:t>
            </w:r>
          </w:p>
          <w:p w14:paraId="71D064E7" w14:textId="77777777" w:rsidR="005B0DB7" w:rsidRDefault="003B47DF" w:rsidP="001631F0">
            <w:pPr>
              <w:pStyle w:val="ListParagraph"/>
              <w:numPr>
                <w:ilvl w:val="0"/>
                <w:numId w:val="444"/>
              </w:numPr>
              <w:ind w:left="339"/>
              <w:rPr>
                <w:rFonts w:cs="Arial"/>
              </w:rPr>
            </w:pPr>
            <w:r>
              <w:rPr>
                <w:rFonts w:cs="Arial"/>
              </w:rPr>
              <w:t>Homegrown</w:t>
            </w:r>
          </w:p>
          <w:p w14:paraId="5455A9DB" w14:textId="17C16871" w:rsidR="003B47DF" w:rsidRPr="000B4E35" w:rsidRDefault="003B47DF" w:rsidP="001631F0">
            <w:pPr>
              <w:pStyle w:val="ListParagraph"/>
              <w:numPr>
                <w:ilvl w:val="0"/>
                <w:numId w:val="444"/>
              </w:numPr>
              <w:ind w:left="339"/>
              <w:rPr>
                <w:rFonts w:cs="Arial"/>
              </w:rPr>
            </w:pPr>
            <w:r w:rsidRPr="005B0DB7">
              <w:rPr>
                <w:rFonts w:cs="Arial"/>
              </w:rPr>
              <w:t>Other Vendors</w:t>
            </w:r>
          </w:p>
        </w:tc>
      </w:tr>
      <w:tr w:rsidR="003B47DF" w:rsidRPr="0072326C" w14:paraId="5E84962B" w14:textId="77777777" w:rsidTr="00012D7A">
        <w:trPr>
          <w:trHeight w:val="2016"/>
        </w:trPr>
        <w:tc>
          <w:tcPr>
            <w:tcW w:w="5305" w:type="dxa"/>
          </w:tcPr>
          <w:p w14:paraId="44AD4498" w14:textId="77777777" w:rsidR="003B47DF" w:rsidRPr="00C01758" w:rsidRDefault="003B47DF" w:rsidP="003B47DF">
            <w:pPr>
              <w:pStyle w:val="ListParagraph"/>
              <w:numPr>
                <w:ilvl w:val="0"/>
                <w:numId w:val="443"/>
              </w:numPr>
              <w:rPr>
                <w:rFonts w:cs="Arial"/>
              </w:rPr>
            </w:pPr>
            <w:r w:rsidRPr="00C01758">
              <w:rPr>
                <w:rFonts w:cs="Arial"/>
              </w:rPr>
              <w:t xml:space="preserve">What are the names of the Other </w:t>
            </w:r>
            <w:r>
              <w:rPr>
                <w:rFonts w:cs="Arial"/>
              </w:rPr>
              <w:t>Vendors</w:t>
            </w:r>
            <w:r w:rsidRPr="000B3776">
              <w:rPr>
                <w:rFonts w:cs="Arial"/>
              </w:rPr>
              <w:t xml:space="preserve"> </w:t>
            </w:r>
            <w:r w:rsidRPr="00C01758">
              <w:rPr>
                <w:rFonts w:cs="Arial"/>
              </w:rPr>
              <w:t xml:space="preserve">that your hospital is currently using in </w:t>
            </w:r>
            <w:r w:rsidRPr="000B3776">
              <w:rPr>
                <w:rFonts w:cs="Arial"/>
              </w:rPr>
              <w:t>its</w:t>
            </w:r>
            <w:r w:rsidRPr="00C01758">
              <w:rPr>
                <w:rFonts w:cs="Arial"/>
              </w:rPr>
              <w:t xml:space="preserve"> medication management process from question #</w:t>
            </w:r>
            <w:r w:rsidRPr="000B3776">
              <w:rPr>
                <w:rFonts w:cs="Arial"/>
              </w:rPr>
              <w:t>8</w:t>
            </w:r>
            <w:r w:rsidRPr="00C01758">
              <w:rPr>
                <w:rFonts w:cs="Arial"/>
              </w:rPr>
              <w:t>?</w:t>
            </w:r>
          </w:p>
          <w:p w14:paraId="462D4BFE" w14:textId="77777777" w:rsidR="003B47DF" w:rsidRPr="000B3776" w:rsidRDefault="003B47DF" w:rsidP="003B47DF">
            <w:pPr>
              <w:pStyle w:val="ListParagraph"/>
              <w:ind w:left="360"/>
              <w:rPr>
                <w:rFonts w:cs="Arial"/>
              </w:rPr>
            </w:pPr>
          </w:p>
          <w:p w14:paraId="258D03BC" w14:textId="52C921C5" w:rsidR="003B47DF" w:rsidRDefault="003B47DF" w:rsidP="008D363B">
            <w:pPr>
              <w:pStyle w:val="ListParagraph"/>
              <w:ind w:left="360"/>
              <w:rPr>
                <w:rFonts w:ascii="Helvetica" w:hAnsi="Helvetica" w:cs="Helvetica"/>
                <w:shd w:val="clear" w:color="auto" w:fill="FFFFFF"/>
              </w:rPr>
            </w:pPr>
            <w:r w:rsidRPr="000B3776">
              <w:rPr>
                <w:rFonts w:cs="Arial"/>
                <w:i/>
                <w:iCs/>
              </w:rPr>
              <w:t xml:space="preserve">If entering multiple Other </w:t>
            </w:r>
            <w:r>
              <w:rPr>
                <w:rFonts w:cs="Arial"/>
                <w:i/>
                <w:iCs/>
              </w:rPr>
              <w:t>Vendors</w:t>
            </w:r>
            <w:r w:rsidRPr="000B3776">
              <w:rPr>
                <w:rFonts w:cs="Arial"/>
                <w:i/>
                <w:iCs/>
              </w:rPr>
              <w:t>, separate each by a comma.</w:t>
            </w:r>
          </w:p>
        </w:tc>
        <w:tc>
          <w:tcPr>
            <w:tcW w:w="4230" w:type="dxa"/>
          </w:tcPr>
          <w:p w14:paraId="09215BE2" w14:textId="77777777" w:rsidR="003B47DF" w:rsidRPr="00C01758" w:rsidRDefault="003B47DF" w:rsidP="003B47DF">
            <w:pPr>
              <w:jc w:val="center"/>
              <w:rPr>
                <w:rFonts w:cs="Arial"/>
                <w:b/>
                <w:bCs/>
              </w:rPr>
            </w:pPr>
          </w:p>
          <w:p w14:paraId="5FCEB45B" w14:textId="77777777" w:rsidR="003B47DF" w:rsidRPr="00C01758" w:rsidRDefault="003B47DF" w:rsidP="003B47DF">
            <w:pPr>
              <w:jc w:val="center"/>
              <w:rPr>
                <w:rFonts w:cs="Arial"/>
                <w:b/>
                <w:bCs/>
              </w:rPr>
            </w:pPr>
          </w:p>
          <w:p w14:paraId="2DD4F9EC" w14:textId="17E9FD4C" w:rsidR="003B47DF" w:rsidRPr="00C8246A" w:rsidRDefault="003B47DF" w:rsidP="00563C4B">
            <w:pPr>
              <w:jc w:val="center"/>
              <w:rPr>
                <w:rFonts w:cs="Arial"/>
                <w:iCs/>
                <w:snapToGrid w:val="0"/>
              </w:rPr>
            </w:pPr>
            <w:r w:rsidRPr="00563C4B">
              <w:rPr>
                <w:rFonts w:cs="Arial"/>
                <w:i/>
                <w:snapToGrid w:val="0"/>
              </w:rPr>
              <w:t>_______</w:t>
            </w:r>
          </w:p>
        </w:tc>
      </w:tr>
    </w:tbl>
    <w:p w14:paraId="7F405B6C" w14:textId="77777777" w:rsidR="00FF27F8" w:rsidRDefault="00FF27F8" w:rsidP="00FF27F8">
      <w:pPr>
        <w:rPr>
          <w:rFonts w:cs="Arial"/>
          <w:b/>
          <w:bCs/>
        </w:rPr>
      </w:pPr>
    </w:p>
    <w:p w14:paraId="285E65E3" w14:textId="77777777" w:rsidR="00C30AD9" w:rsidRDefault="00C30AD9">
      <w:r>
        <w:br w:type="page"/>
      </w:r>
    </w:p>
    <w:p w14:paraId="5E4811F6" w14:textId="3D7433A1" w:rsidR="00C3345F" w:rsidRPr="00C7333E" w:rsidRDefault="00C7333E" w:rsidP="00CF5A6E">
      <w:pPr>
        <w:pStyle w:val="Heading2"/>
      </w:pPr>
      <w:bookmarkStart w:id="162" w:name="_Toc225877691"/>
      <w:r>
        <w:lastRenderedPageBreak/>
        <w:t>2C:</w:t>
      </w:r>
      <w:r w:rsidRPr="009A5185">
        <w:t xml:space="preserve"> Bar Code Medication Administration</w:t>
      </w:r>
      <w:r w:rsidR="00F72C9F">
        <w:t xml:space="preserve"> (BCMA)</w:t>
      </w:r>
      <w:bookmarkEnd w:id="162"/>
    </w:p>
    <w:p w14:paraId="4EA56B32" w14:textId="77777777" w:rsidR="00C7333E" w:rsidRDefault="00C7333E" w:rsidP="00C3345F">
      <w:pPr>
        <w:rPr>
          <w:rFonts w:cs="Arial"/>
          <w:snapToGrid w:val="0"/>
        </w:rPr>
      </w:pPr>
    </w:p>
    <w:p w14:paraId="0DE600FB" w14:textId="71CD02EE" w:rsidR="00C3345F" w:rsidRPr="009A5185" w:rsidRDefault="00C3345F" w:rsidP="00C3345F">
      <w:pPr>
        <w:rPr>
          <w:rFonts w:cs="Arial"/>
        </w:rPr>
      </w:pPr>
      <w:r w:rsidRPr="009A5185">
        <w:rPr>
          <w:rFonts w:cs="Arial"/>
          <w:snapToGrid w:val="0"/>
        </w:rPr>
        <w:t xml:space="preserve">Hospitals that share a </w:t>
      </w:r>
      <w:r>
        <w:rPr>
          <w:rFonts w:cs="Arial"/>
          <w:snapToGrid w:val="0"/>
        </w:rPr>
        <w:t xml:space="preserve">CMS Certification Number </w:t>
      </w:r>
      <w:r w:rsidRPr="009A5185">
        <w:rPr>
          <w:rFonts w:cs="Arial"/>
          <w:snapToGrid w:val="0"/>
        </w:rPr>
        <w:t xml:space="preserve">are required to report by facility. Please carefully review </w:t>
      </w:r>
      <w:hyperlink r:id="rId172" w:history="1">
        <w:r w:rsidRPr="009A5185">
          <w:rPr>
            <w:rStyle w:val="Hyperlink"/>
            <w:rFonts w:cs="Arial"/>
            <w:snapToGrid w:val="0"/>
          </w:rPr>
          <w:t>Leapfrog’s Multi-Campus Reporting Policy</w:t>
        </w:r>
      </w:hyperlink>
      <w:r w:rsidRPr="009A5185">
        <w:rPr>
          <w:rFonts w:cs="Arial"/>
          <w:snapToGrid w:val="0"/>
        </w:rPr>
        <w:t>.</w:t>
      </w:r>
    </w:p>
    <w:p w14:paraId="4BC06544" w14:textId="5B2B2760" w:rsidR="00C3345F" w:rsidRDefault="00C3345F" w:rsidP="00C3345F">
      <w:pPr>
        <w:rPr>
          <w:rFonts w:cs="Arial"/>
          <w:b/>
        </w:rPr>
      </w:pPr>
    </w:p>
    <w:p w14:paraId="2DDBF206" w14:textId="769496A9" w:rsidR="001437B5" w:rsidRPr="00D424F6" w:rsidRDefault="00DA1839" w:rsidP="001437B5">
      <w:pPr>
        <w:rPr>
          <w:rFonts w:cs="Arial"/>
        </w:rPr>
      </w:pPr>
      <w:r w:rsidRPr="00873014">
        <w:rPr>
          <w:rFonts w:cs="Arial"/>
          <w:b/>
          <w:snapToGrid w:val="0"/>
          <w:color w:val="FF0000"/>
        </w:rPr>
        <w:t>Important Note:</w:t>
      </w:r>
      <w:r w:rsidR="001437B5">
        <w:rPr>
          <w:rFonts w:cs="Arial"/>
          <w:b/>
          <w:snapToGrid w:val="0"/>
          <w:color w:val="FF0000"/>
        </w:rPr>
        <w:t xml:space="preserve"> </w:t>
      </w:r>
      <w:r w:rsidR="001437B5">
        <w:rPr>
          <w:rFonts w:cs="Arial"/>
          <w:snapToGrid w:val="0"/>
        </w:rPr>
        <w:t>Only include units that were open for the entire reporting period and that remain currently open.</w:t>
      </w:r>
    </w:p>
    <w:p w14:paraId="3331D163" w14:textId="77777777" w:rsidR="00DA1839" w:rsidRDefault="00DA1839" w:rsidP="00F72C9F">
      <w:pPr>
        <w:rPr>
          <w:rFonts w:cs="Arial"/>
          <w:b/>
        </w:rPr>
      </w:pPr>
    </w:p>
    <w:p w14:paraId="2B4CCEF0" w14:textId="14A06857" w:rsidR="00F72C9F" w:rsidRPr="008C7C9F" w:rsidRDefault="00F72C9F" w:rsidP="00F72C9F">
      <w:pPr>
        <w:rPr>
          <w:rFonts w:cs="Arial"/>
          <w:snapToGrid w:val="0"/>
        </w:rPr>
      </w:pPr>
      <w:r w:rsidRPr="009A5185">
        <w:rPr>
          <w:rFonts w:cs="Arial"/>
          <w:b/>
        </w:rPr>
        <w:t xml:space="preserve">Specifications: </w:t>
      </w:r>
      <w:r w:rsidRPr="009A5185">
        <w:rPr>
          <w:rFonts w:cs="Arial"/>
          <w:snapToGrid w:val="0"/>
        </w:rPr>
        <w:t xml:space="preserve">See </w:t>
      </w:r>
      <w:hyperlink w:anchor="_Bar_Code_Medication_1" w:history="1">
        <w:r w:rsidR="00FC0511">
          <w:rPr>
            <w:rStyle w:val="Hyperlink"/>
            <w:rFonts w:cs="Arial"/>
            <w:b/>
            <w:i/>
            <w:snapToGrid w:val="0"/>
          </w:rPr>
          <w:t>Bar Code Medication Administration (BCMA) Measure Specifications</w:t>
        </w:r>
      </w:hyperlink>
      <w:r w:rsidRPr="009A5185">
        <w:rPr>
          <w:rFonts w:cs="Arial"/>
          <w:snapToGrid w:val="0"/>
        </w:rPr>
        <w:t xml:space="preserve"> in the Reference Information </w:t>
      </w:r>
      <w:r w:rsidR="00FA29BA">
        <w:rPr>
          <w:rFonts w:cs="Arial"/>
          <w:snapToGrid w:val="0"/>
        </w:rPr>
        <w:t xml:space="preserve">beginning on page </w:t>
      </w:r>
      <w:r w:rsidR="00FA29BA">
        <w:rPr>
          <w:rFonts w:cs="Arial"/>
          <w:snapToGrid w:val="0"/>
        </w:rPr>
        <w:fldChar w:fldCharType="begin"/>
      </w:r>
      <w:r w:rsidR="00FA29BA">
        <w:rPr>
          <w:rFonts w:cs="Arial"/>
          <w:snapToGrid w:val="0"/>
        </w:rPr>
        <w:instrText xml:space="preserve"> PAGEREF _Ref123646692 \h </w:instrText>
      </w:r>
      <w:r w:rsidR="00FA29BA">
        <w:rPr>
          <w:rFonts w:cs="Arial"/>
          <w:snapToGrid w:val="0"/>
        </w:rPr>
      </w:r>
      <w:r w:rsidR="00FA29BA">
        <w:rPr>
          <w:rFonts w:cs="Arial"/>
          <w:snapToGrid w:val="0"/>
        </w:rPr>
        <w:fldChar w:fldCharType="separate"/>
      </w:r>
      <w:r w:rsidR="007D53A2">
        <w:rPr>
          <w:rFonts w:cs="Arial"/>
          <w:noProof/>
          <w:snapToGrid w:val="0"/>
        </w:rPr>
        <w:t>7</w:t>
      </w:r>
      <w:r w:rsidR="00FA29BA">
        <w:rPr>
          <w:rFonts w:cs="Arial"/>
          <w:snapToGrid w:val="0"/>
        </w:rPr>
        <w:fldChar w:fldCharType="end"/>
      </w:r>
      <w:r w:rsidR="00CF1457">
        <w:rPr>
          <w:rFonts w:cs="Arial"/>
          <w:snapToGrid w:val="0"/>
        </w:rPr>
        <w:t>5</w:t>
      </w:r>
      <w:r w:rsidR="00FA29BA">
        <w:rPr>
          <w:rFonts w:cs="Arial"/>
          <w:snapToGrid w:val="0"/>
        </w:rPr>
        <w:t>.</w:t>
      </w:r>
      <w:r>
        <w:rPr>
          <w:rFonts w:cs="Arial"/>
          <w:snapToGrid w:val="0"/>
        </w:rPr>
        <w:t xml:space="preserve"> </w:t>
      </w:r>
    </w:p>
    <w:p w14:paraId="284D9360" w14:textId="77777777" w:rsidR="006B20FF" w:rsidRPr="009A5185" w:rsidRDefault="006B20FF" w:rsidP="00C3345F">
      <w:pPr>
        <w:rPr>
          <w:rFonts w:cs="Arial"/>
          <w:b/>
        </w:rPr>
      </w:pPr>
    </w:p>
    <w:p w14:paraId="1E3BBA3B" w14:textId="55BFC6F4" w:rsidR="00C3345F" w:rsidRDefault="006B20FF" w:rsidP="00C3345F">
      <w:pPr>
        <w:rPr>
          <w:rFonts w:cs="Arial"/>
        </w:rPr>
      </w:pPr>
      <w:r w:rsidRPr="006B20FF">
        <w:rPr>
          <w:rFonts w:cs="Arial"/>
          <w:noProof/>
        </w:rPr>
        <mc:AlternateContent>
          <mc:Choice Requires="wps">
            <w:drawing>
              <wp:inline distT="0" distB="0" distL="0" distR="0" wp14:anchorId="394066CB" wp14:editId="7E0987E2">
                <wp:extent cx="5915770" cy="1404620"/>
                <wp:effectExtent l="0" t="0" r="27940" b="10160"/>
                <wp:docPr id="23" name="Text Box 23" descr="P1972TB8#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5770" cy="1404620"/>
                        </a:xfrm>
                        <a:prstGeom prst="rect">
                          <a:avLst/>
                        </a:prstGeom>
                        <a:solidFill>
                          <a:srgbClr val="FFFFFF"/>
                        </a:solidFill>
                        <a:ln w="9525">
                          <a:solidFill>
                            <a:srgbClr val="FF0000"/>
                          </a:solidFill>
                          <a:miter lim="800000"/>
                          <a:headEnd/>
                          <a:tailEnd/>
                        </a:ln>
                      </wps:spPr>
                      <wps:txbx>
                        <w:txbxContent>
                          <w:p w14:paraId="41C1F8C9" w14:textId="77777777" w:rsidR="006B20FF" w:rsidRPr="009A5185" w:rsidRDefault="006B20FF" w:rsidP="006B20FF">
                            <w:pPr>
                              <w:spacing w:before="120"/>
                              <w:rPr>
                                <w:rFonts w:cs="Arial"/>
                                <w:b/>
                                <w:snapToGrid w:val="0"/>
                              </w:rPr>
                            </w:pPr>
                            <w:r w:rsidRPr="009A5185">
                              <w:rPr>
                                <w:rFonts w:cs="Arial"/>
                                <w:b/>
                                <w:snapToGrid w:val="0"/>
                              </w:rPr>
                              <w:t>Reporting Period: 3 months</w:t>
                            </w:r>
                          </w:p>
                          <w:p w14:paraId="49720DA3" w14:textId="0AA14F8A" w:rsidR="006B20FF" w:rsidRDefault="006B20FF" w:rsidP="006B20FF">
                            <w:pPr>
                              <w:rPr>
                                <w:rFonts w:cs="Arial"/>
                              </w:rPr>
                            </w:pPr>
                            <w:r w:rsidRPr="009A5185">
                              <w:rPr>
                                <w:rFonts w:cs="Arial"/>
                              </w:rPr>
                              <w:t>Answer questions #1-</w:t>
                            </w:r>
                            <w:r w:rsidR="00183671">
                              <w:rPr>
                                <w:rFonts w:cs="Arial"/>
                              </w:rPr>
                              <w:t>21</w:t>
                            </w:r>
                            <w:r w:rsidRPr="009A5185">
                              <w:rPr>
                                <w:rFonts w:cs="Arial"/>
                              </w:rPr>
                              <w:t xml:space="preserve"> for the latest 3-month period prior to the submission of this section of the Survey. </w:t>
                            </w:r>
                          </w:p>
                          <w:p w14:paraId="3781FF28" w14:textId="77777777" w:rsidR="006B20FF" w:rsidRDefault="006B20FF" w:rsidP="006B20FF">
                            <w:pPr>
                              <w:rPr>
                                <w:rFonts w:cs="Arial"/>
                              </w:rPr>
                            </w:pPr>
                          </w:p>
                          <w:p w14:paraId="384E1542" w14:textId="11266C50" w:rsidR="006B20FF" w:rsidRDefault="006B20FF" w:rsidP="006B20FF">
                            <w:r w:rsidRPr="006547C0">
                              <w:rPr>
                                <w:rFonts w:cs="Arial"/>
                                <w:sz w:val="16"/>
                                <w:szCs w:val="16"/>
                              </w:rPr>
                              <w:t xml:space="preserve">Note: As a reminder, the </w:t>
                            </w:r>
                            <w:hyperlink r:id="rId173" w:history="1">
                              <w:r w:rsidRPr="006547C0">
                                <w:rPr>
                                  <w:rStyle w:val="Hyperlink"/>
                                  <w:rFonts w:cs="Arial"/>
                                  <w:sz w:val="16"/>
                                  <w:szCs w:val="16"/>
                                </w:rPr>
                                <w:t>Corrections Period</w:t>
                              </w:r>
                            </w:hyperlink>
                            <w:r w:rsidRPr="006547C0">
                              <w:rPr>
                                <w:rFonts w:cs="Arial"/>
                                <w:sz w:val="16"/>
                                <w:szCs w:val="16"/>
                              </w:rPr>
                              <w:t xml:space="preserve"> </w:t>
                            </w:r>
                            <w:r w:rsidRPr="00E65E68">
                              <w:rPr>
                                <w:rFonts w:cs="Arial"/>
                                <w:sz w:val="16"/>
                                <w:szCs w:val="16"/>
                              </w:rPr>
                              <w:t>(</w:t>
                            </w:r>
                            <w:r>
                              <w:rPr>
                                <w:rFonts w:cs="Arial"/>
                                <w:sz w:val="16"/>
                                <w:szCs w:val="16"/>
                              </w:rPr>
                              <w:t>December</w:t>
                            </w:r>
                            <w:r w:rsidRPr="00E65E68">
                              <w:rPr>
                                <w:rFonts w:cs="Arial"/>
                                <w:sz w:val="16"/>
                                <w:szCs w:val="16"/>
                              </w:rPr>
                              <w:t xml:space="preserve"> 1-January 31) is reserved for corrections to previously submitted Surveys only. </w:t>
                            </w:r>
                            <w:r w:rsidRPr="00E65E68">
                              <w:rPr>
                                <w:rFonts w:cs="Arial"/>
                                <w:bCs/>
                                <w:snapToGrid w:val="0"/>
                                <w:sz w:val="16"/>
                                <w:szCs w:val="16"/>
                              </w:rPr>
                              <w:t xml:space="preserve">Any updates made to reflect a change in performance must be made prior to the </w:t>
                            </w:r>
                            <w:r>
                              <w:rPr>
                                <w:rFonts w:cs="Arial"/>
                                <w:bCs/>
                                <w:snapToGrid w:val="0"/>
                                <w:sz w:val="16"/>
                                <w:szCs w:val="16"/>
                              </w:rPr>
                              <w:t>November 30</w:t>
                            </w:r>
                            <w:r w:rsidRPr="00E65E68">
                              <w:rPr>
                                <w:rFonts w:cs="Arial"/>
                                <w:bCs/>
                                <w:snapToGrid w:val="0"/>
                                <w:sz w:val="16"/>
                                <w:szCs w:val="16"/>
                              </w:rPr>
                              <w:t xml:space="preserve"> Late Submission </w:t>
                            </w:r>
                            <w:r>
                              <w:rPr>
                                <w:rFonts w:cs="Arial"/>
                                <w:bCs/>
                                <w:snapToGrid w:val="0"/>
                                <w:sz w:val="16"/>
                                <w:szCs w:val="16"/>
                              </w:rPr>
                              <w:t xml:space="preserve">and Performance Update </w:t>
                            </w:r>
                            <w:r w:rsidRPr="00E65E68">
                              <w:rPr>
                                <w:rFonts w:cs="Arial"/>
                                <w:bCs/>
                                <w:snapToGrid w:val="0"/>
                                <w:sz w:val="16"/>
                                <w:szCs w:val="16"/>
                              </w:rPr>
                              <w:t xml:space="preserve">Deadline. Updates made to reflect a change in performance after </w:t>
                            </w:r>
                            <w:r>
                              <w:rPr>
                                <w:rFonts w:cs="Arial"/>
                                <w:bCs/>
                                <w:snapToGrid w:val="0"/>
                                <w:sz w:val="16"/>
                                <w:szCs w:val="16"/>
                              </w:rPr>
                              <w:t>November 30</w:t>
                            </w:r>
                            <w:r w:rsidRPr="00E65E68">
                              <w:rPr>
                                <w:rFonts w:cs="Arial"/>
                                <w:bCs/>
                                <w:snapToGrid w:val="0"/>
                                <w:sz w:val="16"/>
                                <w:szCs w:val="16"/>
                              </w:rPr>
                              <w:t xml:space="preserve"> will not be scored or publicly reported.</w:t>
                            </w:r>
                          </w:p>
                        </w:txbxContent>
                      </wps:txbx>
                      <wps:bodyPr rot="0" vert="horz" wrap="square" lIns="91440" tIns="45720" rIns="91440" bIns="45720" anchor="t" anchorCtr="0">
                        <a:spAutoFit/>
                      </wps:bodyPr>
                    </wps:wsp>
                  </a:graphicData>
                </a:graphic>
              </wp:inline>
            </w:drawing>
          </mc:Choice>
          <mc:Fallback>
            <w:pict>
              <v:shape w14:anchorId="394066CB" id="Text Box 23" o:spid="_x0000_s1035" type="#_x0000_t202" alt="P1972TB8#y1" style="width:465.8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" strokecolor="red">
                <v:textbox style="mso-fit-shape-to-text:t">
                  <w:txbxContent>
                    <w:p w14:paraId="41C1F8C9" w14:textId="77777777" w:rsidR="006B20FF" w:rsidRPr="009A5185" w:rsidRDefault="006B20FF" w:rsidP="006B20FF">
                      <w:pPr>
                        <w:spacing w:before="120"/>
                        <w:rPr>
                          <w:rFonts w:cs="Arial"/>
                          <w:b/>
                          <w:snapToGrid w:val="0"/>
                        </w:rPr>
                      </w:pPr>
                      <w:r w:rsidRPr="009A5185">
                        <w:rPr>
                          <w:rFonts w:cs="Arial"/>
                          <w:b/>
                          <w:snapToGrid w:val="0"/>
                        </w:rPr>
                        <w:t>Reporting Period: 3 months</w:t>
                      </w:r>
                    </w:p>
                    <w:p w14:paraId="49720DA3" w14:textId="0AA14F8A" w:rsidR="006B20FF" w:rsidRDefault="006B20FF" w:rsidP="006B20FF">
                      <w:pPr>
                        <w:rPr>
                          <w:rFonts w:cs="Arial"/>
                        </w:rPr>
                      </w:pPr>
                      <w:r w:rsidRPr="009A5185">
                        <w:rPr>
                          <w:rFonts w:cs="Arial"/>
                        </w:rPr>
                        <w:t>Answer questions #1-</w:t>
                      </w:r>
                      <w:r w:rsidR="00183671">
                        <w:rPr>
                          <w:rFonts w:cs="Arial"/>
                        </w:rPr>
                        <w:t>21</w:t>
                      </w:r>
                      <w:r w:rsidRPr="009A5185">
                        <w:rPr>
                          <w:rFonts w:cs="Arial"/>
                        </w:rPr>
                        <w:t xml:space="preserve"> for the latest 3-month period prior to the submission of this section of the Survey. </w:t>
                      </w:r>
                    </w:p>
                    <w:p w14:paraId="3781FF28" w14:textId="77777777" w:rsidR="006B20FF" w:rsidRDefault="006B20FF" w:rsidP="006B20FF">
                      <w:pPr>
                        <w:rPr>
                          <w:rFonts w:cs="Arial"/>
                        </w:rPr>
                      </w:pPr>
                    </w:p>
                    <w:p w14:paraId="384E1542" w14:textId="11266C50" w:rsidR="006B20FF" w:rsidRDefault="006B20FF" w:rsidP="006B20FF">
                      <w:r w:rsidRPr="006547C0">
                        <w:rPr>
                          <w:rFonts w:cs="Arial"/>
                          <w:sz w:val="16"/>
                          <w:szCs w:val="16"/>
                        </w:rPr>
                        <w:t xml:space="preserve">Note: As a reminder, the </w:t>
                      </w:r>
                      <w:hyperlink r:id="rId174" w:history="1">
                        <w:r w:rsidRPr="006547C0">
                          <w:rPr>
                            <w:rStyle w:val="Hyperlink"/>
                            <w:rFonts w:cs="Arial"/>
                            <w:sz w:val="16"/>
                            <w:szCs w:val="16"/>
                          </w:rPr>
                          <w:t>Corrections Period</w:t>
                        </w:r>
                      </w:hyperlink>
                      <w:r w:rsidRPr="006547C0">
                        <w:rPr>
                          <w:rFonts w:cs="Arial"/>
                          <w:sz w:val="16"/>
                          <w:szCs w:val="16"/>
                        </w:rPr>
                        <w:t xml:space="preserve"> </w:t>
                      </w:r>
                      <w:r w:rsidRPr="00E65E68">
                        <w:rPr>
                          <w:rFonts w:cs="Arial"/>
                          <w:sz w:val="16"/>
                          <w:szCs w:val="16"/>
                        </w:rPr>
                        <w:t>(</w:t>
                      </w:r>
                      <w:r>
                        <w:rPr>
                          <w:rFonts w:cs="Arial"/>
                          <w:sz w:val="16"/>
                          <w:szCs w:val="16"/>
                        </w:rPr>
                        <w:t>December</w:t>
                      </w:r>
                      <w:r w:rsidRPr="00E65E68">
                        <w:rPr>
                          <w:rFonts w:cs="Arial"/>
                          <w:sz w:val="16"/>
                          <w:szCs w:val="16"/>
                        </w:rPr>
                        <w:t xml:space="preserve"> 1-January 31) is reserved for corrections to previously submitted Surveys only. </w:t>
                      </w:r>
                      <w:r w:rsidRPr="00E65E68">
                        <w:rPr>
                          <w:rFonts w:cs="Arial"/>
                          <w:bCs/>
                          <w:snapToGrid w:val="0"/>
                          <w:sz w:val="16"/>
                          <w:szCs w:val="16"/>
                        </w:rPr>
                        <w:t xml:space="preserve">Any updates made to reflect a change in performance must be made prior to the </w:t>
                      </w:r>
                      <w:r>
                        <w:rPr>
                          <w:rFonts w:cs="Arial"/>
                          <w:bCs/>
                          <w:snapToGrid w:val="0"/>
                          <w:sz w:val="16"/>
                          <w:szCs w:val="16"/>
                        </w:rPr>
                        <w:t>November 30</w:t>
                      </w:r>
                      <w:r w:rsidRPr="00E65E68">
                        <w:rPr>
                          <w:rFonts w:cs="Arial"/>
                          <w:bCs/>
                          <w:snapToGrid w:val="0"/>
                          <w:sz w:val="16"/>
                          <w:szCs w:val="16"/>
                        </w:rPr>
                        <w:t xml:space="preserve"> Late Submission </w:t>
                      </w:r>
                      <w:r>
                        <w:rPr>
                          <w:rFonts w:cs="Arial"/>
                          <w:bCs/>
                          <w:snapToGrid w:val="0"/>
                          <w:sz w:val="16"/>
                          <w:szCs w:val="16"/>
                        </w:rPr>
                        <w:t xml:space="preserve">and Performance Update </w:t>
                      </w:r>
                      <w:r w:rsidRPr="00E65E68">
                        <w:rPr>
                          <w:rFonts w:cs="Arial"/>
                          <w:bCs/>
                          <w:snapToGrid w:val="0"/>
                          <w:sz w:val="16"/>
                          <w:szCs w:val="16"/>
                        </w:rPr>
                        <w:t xml:space="preserve">Deadline. Updates made to reflect a change in performance after </w:t>
                      </w:r>
                      <w:r>
                        <w:rPr>
                          <w:rFonts w:cs="Arial"/>
                          <w:bCs/>
                          <w:snapToGrid w:val="0"/>
                          <w:sz w:val="16"/>
                          <w:szCs w:val="16"/>
                        </w:rPr>
                        <w:t>November 30</w:t>
                      </w:r>
                      <w:r w:rsidRPr="00E65E68">
                        <w:rPr>
                          <w:rFonts w:cs="Arial"/>
                          <w:bCs/>
                          <w:snapToGrid w:val="0"/>
                          <w:sz w:val="16"/>
                          <w:szCs w:val="16"/>
                        </w:rPr>
                        <w:t xml:space="preserve"> will not be scored or publicly reported.</w:t>
                      </w:r>
                    </w:p>
                  </w:txbxContent>
                </v:textbox>
                <w10:anchorlock/>
              </v:shape>
            </w:pict>
          </mc:Fallback>
        </mc:AlternateContent>
      </w:r>
    </w:p>
    <w:p w14:paraId="2029E212" w14:textId="77777777" w:rsidR="006B20FF" w:rsidRPr="009A5185" w:rsidRDefault="006B20FF" w:rsidP="00C3345F">
      <w:pPr>
        <w:rPr>
          <w:rFonts w:cs="Arial"/>
        </w:rPr>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704"/>
        <w:gridCol w:w="1651"/>
      </w:tblGrid>
      <w:tr w:rsidR="008D6E32" w:rsidRPr="009A5185" w14:paraId="1DD03FE7" w14:textId="77777777" w:rsidTr="00FF651B">
        <w:trPr>
          <w:trHeight w:val="720"/>
        </w:trPr>
        <w:tc>
          <w:tcPr>
            <w:tcW w:w="7704" w:type="dxa"/>
            <w:vAlign w:val="center"/>
          </w:tcPr>
          <w:p w14:paraId="518E0E29" w14:textId="493D5205" w:rsidR="008D6E32" w:rsidRPr="001C2F78" w:rsidRDefault="008D6E32" w:rsidP="00AD309C">
            <w:pPr>
              <w:pStyle w:val="ListParagraph"/>
              <w:numPr>
                <w:ilvl w:val="0"/>
                <w:numId w:val="41"/>
              </w:numPr>
              <w:spacing w:before="120"/>
              <w:rPr>
                <w:rFonts w:cs="Arial"/>
              </w:rPr>
            </w:pPr>
            <w:r w:rsidRPr="009A5185">
              <w:rPr>
                <w:rFonts w:cs="Arial"/>
                <w:snapToGrid w:val="0"/>
                <w:color w:val="000000"/>
              </w:rPr>
              <w:t xml:space="preserve">What is the latest 3-month reporting period for which your hospital is submitting responses to </w:t>
            </w:r>
            <w:r>
              <w:rPr>
                <w:rFonts w:cs="Arial"/>
                <w:snapToGrid w:val="0"/>
                <w:color w:val="000000"/>
              </w:rPr>
              <w:t>questions #2-</w:t>
            </w:r>
            <w:r w:rsidR="00EE2497">
              <w:rPr>
                <w:rFonts w:cs="Arial"/>
                <w:snapToGrid w:val="0"/>
                <w:color w:val="000000"/>
              </w:rPr>
              <w:t>21</w:t>
            </w:r>
            <w:r w:rsidRPr="009A5185">
              <w:rPr>
                <w:rFonts w:cs="Arial"/>
                <w:snapToGrid w:val="0"/>
                <w:color w:val="000000"/>
              </w:rPr>
              <w:t>? 3-month reporting period ending:</w:t>
            </w:r>
          </w:p>
        </w:tc>
        <w:tc>
          <w:tcPr>
            <w:tcW w:w="1651" w:type="dxa"/>
            <w:vAlign w:val="center"/>
          </w:tcPr>
          <w:p w14:paraId="70F2C5CD" w14:textId="77777777" w:rsidR="008D6E32" w:rsidRPr="009A5185" w:rsidRDefault="008D6E32" w:rsidP="008D6E32">
            <w:pPr>
              <w:jc w:val="center"/>
              <w:rPr>
                <w:rFonts w:cs="Arial"/>
                <w:i/>
                <w:snapToGrid w:val="0"/>
              </w:rPr>
            </w:pPr>
            <w:r w:rsidRPr="009A5185">
              <w:rPr>
                <w:rFonts w:cs="Arial"/>
                <w:i/>
                <w:snapToGrid w:val="0"/>
              </w:rPr>
              <w:t>______</w:t>
            </w:r>
          </w:p>
          <w:p w14:paraId="51C215EF" w14:textId="2C9B3140" w:rsidR="008D6E32" w:rsidRPr="009A5185" w:rsidRDefault="008D6E32" w:rsidP="008D6E32">
            <w:pPr>
              <w:jc w:val="center"/>
              <w:rPr>
                <w:rFonts w:cs="Arial"/>
                <w:i/>
                <w:snapToGrid w:val="0"/>
              </w:rPr>
            </w:pPr>
            <w:r w:rsidRPr="009A5185">
              <w:rPr>
                <w:rFonts w:cs="Arial"/>
                <w:i/>
                <w:snapToGrid w:val="0"/>
                <w:sz w:val="16"/>
                <w:szCs w:val="16"/>
              </w:rPr>
              <w:t>Format: M</w:t>
            </w:r>
            <w:r>
              <w:rPr>
                <w:rFonts w:cs="Arial"/>
                <w:i/>
                <w:snapToGrid w:val="0"/>
                <w:sz w:val="16"/>
                <w:szCs w:val="16"/>
              </w:rPr>
              <w:t>onth</w:t>
            </w:r>
            <w:r w:rsidRPr="009A5185">
              <w:rPr>
                <w:rFonts w:cs="Arial"/>
                <w:i/>
                <w:snapToGrid w:val="0"/>
                <w:sz w:val="16"/>
                <w:szCs w:val="16"/>
              </w:rPr>
              <w:t>/Y</w:t>
            </w:r>
            <w:r>
              <w:rPr>
                <w:rFonts w:cs="Arial"/>
                <w:i/>
                <w:snapToGrid w:val="0"/>
                <w:sz w:val="16"/>
                <w:szCs w:val="16"/>
              </w:rPr>
              <w:t>ear</w:t>
            </w:r>
          </w:p>
        </w:tc>
      </w:tr>
      <w:tr w:rsidR="00C3345F" w:rsidRPr="009A5185" w14:paraId="0D7109EE" w14:textId="77777777" w:rsidTr="00FF651B">
        <w:trPr>
          <w:trHeight w:val="1584"/>
        </w:trPr>
        <w:tc>
          <w:tcPr>
            <w:tcW w:w="7704" w:type="dxa"/>
            <w:vAlign w:val="center"/>
          </w:tcPr>
          <w:p w14:paraId="6A8E8D0D" w14:textId="34BADDDF" w:rsidR="00BD7FBF" w:rsidRPr="00741100" w:rsidRDefault="00C3345F" w:rsidP="00AD309C">
            <w:pPr>
              <w:pStyle w:val="ListParagraph"/>
              <w:numPr>
                <w:ilvl w:val="0"/>
                <w:numId w:val="41"/>
              </w:numPr>
              <w:spacing w:before="120"/>
              <w:rPr>
                <w:rFonts w:cs="Arial"/>
                <w:snapToGrid w:val="0"/>
                <w:color w:val="000000"/>
              </w:rPr>
            </w:pPr>
            <w:r w:rsidRPr="00741100">
              <w:rPr>
                <w:rFonts w:cs="Arial"/>
              </w:rPr>
              <w:t>Does your hospital use a Bar Code Medication Administration (BCMA) system that is linked to the electronic medication administration record (</w:t>
            </w:r>
            <w:proofErr w:type="spellStart"/>
            <w:r w:rsidRPr="00741100">
              <w:rPr>
                <w:rFonts w:cs="Arial"/>
              </w:rPr>
              <w:t>eMAR</w:t>
            </w:r>
            <w:proofErr w:type="spellEnd"/>
            <w:r w:rsidRPr="00741100">
              <w:rPr>
                <w:rFonts w:cs="Arial"/>
              </w:rPr>
              <w:t xml:space="preserve">) when administering medications at the bedside in </w:t>
            </w:r>
            <w:r w:rsidR="00BD7FBF" w:rsidRPr="00741100">
              <w:rPr>
                <w:rFonts w:cs="Arial"/>
              </w:rPr>
              <w:t xml:space="preserve">at least one of the following </w:t>
            </w:r>
            <w:r w:rsidR="00F4721E" w:rsidRPr="00741100">
              <w:rPr>
                <w:rFonts w:cs="Arial"/>
              </w:rPr>
              <w:t xml:space="preserve">adult and/or pediatric </w:t>
            </w:r>
            <w:r w:rsidR="00BD7FBF" w:rsidRPr="00741100">
              <w:rPr>
                <w:rFonts w:cs="Arial"/>
              </w:rPr>
              <w:t>units:</w:t>
            </w:r>
          </w:p>
          <w:p w14:paraId="043F2523" w14:textId="33F6C8FE" w:rsidR="00CB5390" w:rsidRPr="00741100" w:rsidRDefault="00D432E6" w:rsidP="00AD309C">
            <w:pPr>
              <w:pStyle w:val="ListParagraph"/>
              <w:numPr>
                <w:ilvl w:val="0"/>
                <w:numId w:val="384"/>
              </w:numPr>
              <w:spacing w:before="120"/>
              <w:rPr>
                <w:rStyle w:val="Hyperlink"/>
                <w:rFonts w:cs="Arial"/>
                <w:snapToGrid w:val="0"/>
                <w:color w:val="000000"/>
                <w:u w:val="none"/>
              </w:rPr>
            </w:pPr>
            <w:hyperlink w:anchor="generalmedicalsurgicalandneuroicu" w:history="1">
              <w:r w:rsidRPr="00741100">
                <w:rPr>
                  <w:rStyle w:val="Hyperlink"/>
                  <w:rFonts w:cs="Arial"/>
                </w:rPr>
                <w:t>General Medical</w:t>
              </w:r>
              <w:r w:rsidR="00310612" w:rsidRPr="00741100">
                <w:rPr>
                  <w:rStyle w:val="Hyperlink"/>
                  <w:rFonts w:cs="Arial"/>
                </w:rPr>
                <w:t>,</w:t>
              </w:r>
              <w:r w:rsidR="008505A8" w:rsidRPr="00741100">
                <w:rPr>
                  <w:rStyle w:val="Hyperlink"/>
                  <w:rFonts w:cs="Arial"/>
                </w:rPr>
                <w:t xml:space="preserve"> </w:t>
              </w:r>
              <w:r w:rsidR="009C1157" w:rsidRPr="00741100">
                <w:rPr>
                  <w:rStyle w:val="Hyperlink"/>
                  <w:rFonts w:cs="Arial"/>
                </w:rPr>
                <w:t>Surgical</w:t>
              </w:r>
              <w:r w:rsidR="00310612" w:rsidRPr="00741100">
                <w:rPr>
                  <w:rStyle w:val="Hyperlink"/>
                  <w:rFonts w:cs="Arial"/>
                </w:rPr>
                <w:t>, Medical/Surgical</w:t>
              </w:r>
              <w:r w:rsidR="00E84B52" w:rsidRPr="00741100">
                <w:rPr>
                  <w:rStyle w:val="Hyperlink"/>
                  <w:rFonts w:cs="Arial"/>
                </w:rPr>
                <w:t xml:space="preserve">, </w:t>
              </w:r>
              <w:r w:rsidR="00346373" w:rsidRPr="00741100">
                <w:rPr>
                  <w:rStyle w:val="Hyperlink"/>
                  <w:rFonts w:cs="Arial"/>
                </w:rPr>
                <w:t>Neuro</w:t>
              </w:r>
            </w:hyperlink>
            <w:r w:rsidR="00391C07">
              <w:t>,</w:t>
            </w:r>
            <w:r w:rsidR="009A5372" w:rsidRPr="00741100">
              <w:rPr>
                <w:rFonts w:cs="Arial"/>
                <w:vertAlign w:val="superscript"/>
              </w:rPr>
              <w:t>14</w:t>
            </w:r>
            <w:r w:rsidR="00541566" w:rsidRPr="00741100">
              <w:rPr>
                <w:rFonts w:cs="Arial"/>
              </w:rPr>
              <w:t xml:space="preserve"> </w:t>
            </w:r>
            <w:hyperlink w:anchor="neonatalICU" w:history="1">
              <w:r w:rsidR="00CB5390" w:rsidRPr="00741100">
                <w:rPr>
                  <w:rStyle w:val="Hyperlink"/>
                  <w:rFonts w:cs="Arial"/>
                </w:rPr>
                <w:t>Neonatal</w:t>
              </w:r>
              <w:r w:rsidR="00391C07" w:rsidRPr="00741100">
                <w:rPr>
                  <w:rFonts w:cs="Arial"/>
                </w:rPr>
                <w:t>,</w:t>
              </w:r>
              <w:r w:rsidR="00CB5390" w:rsidRPr="00741100">
                <w:rPr>
                  <w:rStyle w:val="Hyperlink"/>
                  <w:rFonts w:cs="Arial"/>
                  <w:color w:val="auto"/>
                  <w:u w:val="none"/>
                  <w:vertAlign w:val="superscript"/>
                </w:rPr>
                <w:t>17</w:t>
              </w:r>
            </w:hyperlink>
            <w:r w:rsidR="00CB5390" w:rsidRPr="00741100">
              <w:rPr>
                <w:rFonts w:cs="Arial"/>
              </w:rPr>
              <w:t xml:space="preserve"> </w:t>
            </w:r>
            <w:r w:rsidR="006D4A13" w:rsidRPr="00741100">
              <w:rPr>
                <w:rFonts w:cs="Arial"/>
              </w:rPr>
              <w:t xml:space="preserve">or </w:t>
            </w:r>
            <w:r w:rsidR="00CB5390" w:rsidRPr="00741100">
              <w:rPr>
                <w:rFonts w:cs="Arial"/>
              </w:rPr>
              <w:t>Specialty ICUs;</w:t>
            </w:r>
          </w:p>
          <w:p w14:paraId="4153C2FF" w14:textId="59F9417D" w:rsidR="00BD7FBF" w:rsidRPr="00741100" w:rsidRDefault="00BD7FBF" w:rsidP="00AD309C">
            <w:pPr>
              <w:pStyle w:val="ListParagraph"/>
              <w:numPr>
                <w:ilvl w:val="0"/>
                <w:numId w:val="384"/>
              </w:numPr>
              <w:spacing w:before="120"/>
              <w:rPr>
                <w:rFonts w:cs="Arial"/>
                <w:snapToGrid w:val="0"/>
                <w:color w:val="000000"/>
              </w:rPr>
            </w:pPr>
            <w:hyperlink w:anchor="MedicalandorSurgicalUnits" w:history="1">
              <w:r w:rsidRPr="00741100">
                <w:rPr>
                  <w:rStyle w:val="Hyperlink"/>
                  <w:rFonts w:cs="Arial"/>
                </w:rPr>
                <w:t>Medical</w:t>
              </w:r>
              <w:r w:rsidR="005C09A3" w:rsidRPr="00741100">
                <w:rPr>
                  <w:rStyle w:val="Hyperlink"/>
                  <w:rFonts w:cs="Arial"/>
                </w:rPr>
                <w:t xml:space="preserve">, </w:t>
              </w:r>
              <w:r w:rsidRPr="00741100">
                <w:rPr>
                  <w:rStyle w:val="Hyperlink"/>
                  <w:rFonts w:cs="Arial"/>
                </w:rPr>
                <w:t>Surgical</w:t>
              </w:r>
              <w:r w:rsidR="00101011" w:rsidRPr="00741100">
                <w:rPr>
                  <w:rStyle w:val="Hyperlink"/>
                  <w:rFonts w:cs="Arial"/>
                </w:rPr>
                <w:t>, or Medical/Surgical</w:t>
              </w:r>
              <w:r w:rsidRPr="00741100">
                <w:rPr>
                  <w:rStyle w:val="Hyperlink"/>
                  <w:rFonts w:cs="Arial"/>
                </w:rPr>
                <w:t xml:space="preserve"> Units (including telemetry units</w:t>
              </w:r>
              <w:r w:rsidR="00D77C22">
                <w:rPr>
                  <w:rStyle w:val="Hyperlink"/>
                  <w:rFonts w:cs="Arial"/>
                </w:rPr>
                <w:t>)</w:t>
              </w:r>
              <w:r w:rsidR="00D77C22" w:rsidRPr="00D77C22">
                <w:rPr>
                  <w:rStyle w:val="Hyperlink"/>
                  <w:rFonts w:cs="Arial"/>
                  <w:color w:val="auto"/>
                  <w:u w:val="none"/>
                </w:rPr>
                <w:t>;</w:t>
              </w:r>
            </w:hyperlink>
            <w:r w:rsidR="00B04A67" w:rsidRPr="00741100">
              <w:rPr>
                <w:rStyle w:val="Hyperlink"/>
                <w:rFonts w:cs="Arial"/>
              </w:rPr>
              <w:fldChar w:fldCharType="begin"/>
            </w:r>
            <w:r w:rsidR="00B04A67" w:rsidRPr="00741100">
              <w:rPr>
                <w:rStyle w:val="Hyperlink"/>
                <w:rFonts w:cs="Arial"/>
              </w:rPr>
              <w:instrText xml:space="preserve"> NOTEREF _Ref158623355 \f \h </w:instrText>
            </w:r>
            <w:r w:rsidR="00033452" w:rsidRPr="00741100">
              <w:rPr>
                <w:rStyle w:val="Hyperlink"/>
                <w:rFonts w:cs="Arial"/>
              </w:rPr>
              <w:instrText xml:space="preserve"> \* MERGEFORMAT </w:instrText>
            </w:r>
            <w:r w:rsidR="00B04A67" w:rsidRPr="00741100">
              <w:rPr>
                <w:rStyle w:val="Hyperlink"/>
                <w:rFonts w:cs="Arial"/>
              </w:rPr>
            </w:r>
            <w:r w:rsidR="00B04A67" w:rsidRPr="00741100">
              <w:rPr>
                <w:rStyle w:val="Hyperlink"/>
                <w:rFonts w:cs="Arial"/>
              </w:rPr>
              <w:fldChar w:fldCharType="separate"/>
            </w:r>
            <w:r w:rsidR="007D53A2" w:rsidRPr="00F06B87">
              <w:rPr>
                <w:rStyle w:val="EndnoteReference"/>
                <w:rFonts w:cs="Arial"/>
              </w:rPr>
              <w:t>19</w:t>
            </w:r>
            <w:r w:rsidR="00B04A67" w:rsidRPr="00741100">
              <w:rPr>
                <w:rStyle w:val="Hyperlink"/>
                <w:rFonts w:cs="Arial"/>
              </w:rPr>
              <w:fldChar w:fldCharType="end"/>
            </w:r>
          </w:p>
          <w:p w14:paraId="7C10BDB0" w14:textId="2C9D79FE" w:rsidR="00DA6F2F" w:rsidRPr="00741100" w:rsidRDefault="00DA6F2F" w:rsidP="00AD309C">
            <w:pPr>
              <w:pStyle w:val="ListParagraph"/>
              <w:numPr>
                <w:ilvl w:val="0"/>
                <w:numId w:val="384"/>
              </w:numPr>
              <w:spacing w:before="120"/>
              <w:rPr>
                <w:rFonts w:cs="Arial"/>
                <w:snapToGrid w:val="0"/>
                <w:color w:val="000000"/>
              </w:rPr>
            </w:pPr>
            <w:hyperlink w:anchor="stepdown_progressiveunits_endnote20" w:history="1">
              <w:r w:rsidRPr="00741100">
                <w:rPr>
                  <w:rStyle w:val="Hyperlink"/>
                  <w:rFonts w:cs="Arial"/>
                </w:rPr>
                <w:t>Step-down/Progressive Units</w:t>
              </w:r>
            </w:hyperlink>
            <w:r w:rsidR="00F31346">
              <w:t>;</w:t>
            </w:r>
            <w:r w:rsidR="00203D33" w:rsidRPr="00741100">
              <w:rPr>
                <w:rStyle w:val="Hyperlink"/>
                <w:rFonts w:cs="Arial"/>
                <w:color w:val="auto"/>
                <w:u w:val="none"/>
                <w:vertAlign w:val="superscript"/>
              </w:rPr>
              <w:t>20</w:t>
            </w:r>
          </w:p>
          <w:p w14:paraId="456C82FC" w14:textId="6C2DCCB4" w:rsidR="00BD7FBF" w:rsidRPr="00741100" w:rsidRDefault="00BD7FBF" w:rsidP="00AD309C">
            <w:pPr>
              <w:pStyle w:val="ListParagraph"/>
              <w:numPr>
                <w:ilvl w:val="0"/>
                <w:numId w:val="384"/>
              </w:numPr>
              <w:spacing w:before="120"/>
              <w:rPr>
                <w:rStyle w:val="Hyperlink"/>
                <w:rFonts w:cs="Arial"/>
                <w:snapToGrid w:val="0"/>
                <w:color w:val="000000"/>
                <w:u w:val="none"/>
              </w:rPr>
            </w:pPr>
            <w:hyperlink w:anchor="LaborandDeliveryUnits" w:history="1">
              <w:r w:rsidRPr="00741100">
                <w:rPr>
                  <w:rStyle w:val="Hyperlink"/>
                  <w:rFonts w:cs="Arial"/>
                </w:rPr>
                <w:t>Labor and Delivery Uni</w:t>
              </w:r>
              <w:r w:rsidR="00F31346">
                <w:rPr>
                  <w:rStyle w:val="Hyperlink"/>
                  <w:rFonts w:cs="Arial"/>
                </w:rPr>
                <w:t>t</w:t>
              </w:r>
              <w:r w:rsidR="00F31346" w:rsidRPr="00741100">
                <w:rPr>
                  <w:rFonts w:cs="Arial"/>
                </w:rPr>
                <w:t>;</w:t>
              </w:r>
            </w:hyperlink>
            <w:r w:rsidR="00B04A67" w:rsidRPr="00741100">
              <w:rPr>
                <w:rFonts w:cs="Arial"/>
              </w:rPr>
              <w:fldChar w:fldCharType="begin"/>
            </w:r>
            <w:r w:rsidR="00B04A67" w:rsidRPr="00741100">
              <w:rPr>
                <w:rFonts w:cs="Arial"/>
              </w:rPr>
              <w:instrText xml:space="preserve"> NOTEREF _Ref158623400 \f \h </w:instrText>
            </w:r>
            <w:r w:rsidR="00F450F8" w:rsidRPr="00741100">
              <w:rPr>
                <w:rFonts w:cs="Arial"/>
              </w:rPr>
              <w:instrText xml:space="preserve"> \* MERGEFORMAT </w:instrText>
            </w:r>
            <w:r w:rsidR="00B04A67" w:rsidRPr="00741100">
              <w:rPr>
                <w:rFonts w:cs="Arial"/>
              </w:rPr>
            </w:r>
            <w:r w:rsidR="00B04A67" w:rsidRPr="00741100">
              <w:rPr>
                <w:rFonts w:cs="Arial"/>
              </w:rPr>
              <w:fldChar w:fldCharType="separate"/>
            </w:r>
            <w:r w:rsidR="007D53A2" w:rsidRPr="00F06B87">
              <w:rPr>
                <w:rStyle w:val="EndnoteReference"/>
                <w:rFonts w:cs="Arial"/>
              </w:rPr>
              <w:t>21</w:t>
            </w:r>
            <w:r w:rsidR="00B04A67" w:rsidRPr="00741100">
              <w:rPr>
                <w:rFonts w:cs="Arial"/>
              </w:rPr>
              <w:fldChar w:fldCharType="end"/>
            </w:r>
            <w:r w:rsidR="00E64EDB" w:rsidRPr="00741100">
              <w:rPr>
                <w:rFonts w:cs="Arial"/>
              </w:rPr>
              <w:t xml:space="preserve"> or</w:t>
            </w:r>
          </w:p>
          <w:p w14:paraId="21A63732" w14:textId="5727BEE8" w:rsidR="00C3345F" w:rsidRPr="00741100" w:rsidRDefault="00B04A67" w:rsidP="00AD309C">
            <w:pPr>
              <w:pStyle w:val="ListParagraph"/>
              <w:numPr>
                <w:ilvl w:val="0"/>
                <w:numId w:val="384"/>
              </w:numPr>
              <w:spacing w:before="120"/>
              <w:rPr>
                <w:rFonts w:cs="Arial"/>
                <w:snapToGrid w:val="0"/>
                <w:color w:val="000000"/>
              </w:rPr>
            </w:pPr>
            <w:hyperlink w:anchor="pacusendnote" w:history="1">
              <w:r w:rsidRPr="00741100">
                <w:rPr>
                  <w:rStyle w:val="Hyperlink"/>
                  <w:rFonts w:cs="Arial"/>
                </w:rPr>
                <w:t>P</w:t>
              </w:r>
              <w:r w:rsidR="00BD7FBF" w:rsidRPr="00741100">
                <w:rPr>
                  <w:rStyle w:val="Hyperlink"/>
                  <w:rFonts w:cs="Arial"/>
                </w:rPr>
                <w:t xml:space="preserve">re-operative and </w:t>
              </w:r>
              <w:r w:rsidRPr="00741100">
                <w:rPr>
                  <w:rStyle w:val="Hyperlink"/>
                  <w:rFonts w:cs="Arial"/>
                </w:rPr>
                <w:t>P</w:t>
              </w:r>
              <w:r w:rsidR="00BD7FBF" w:rsidRPr="00741100">
                <w:rPr>
                  <w:rStyle w:val="Hyperlink"/>
                  <w:rFonts w:cs="Arial"/>
                </w:rPr>
                <w:t xml:space="preserve">ost-anesthesia </w:t>
              </w:r>
              <w:r w:rsidRPr="00741100">
                <w:rPr>
                  <w:rStyle w:val="Hyperlink"/>
                  <w:rFonts w:cs="Arial"/>
                </w:rPr>
                <w:t>C</w:t>
              </w:r>
              <w:r w:rsidR="00BD7FBF" w:rsidRPr="00741100">
                <w:rPr>
                  <w:rStyle w:val="Hyperlink"/>
                  <w:rFonts w:cs="Arial"/>
                </w:rPr>
                <w:t xml:space="preserve">are </w:t>
              </w:r>
              <w:r w:rsidRPr="00741100">
                <w:rPr>
                  <w:rStyle w:val="Hyperlink"/>
                  <w:rFonts w:cs="Arial"/>
                </w:rPr>
                <w:t>U</w:t>
              </w:r>
              <w:r w:rsidR="00BD7FBF" w:rsidRPr="00741100">
                <w:rPr>
                  <w:rStyle w:val="Hyperlink"/>
                  <w:rFonts w:cs="Arial"/>
                </w:rPr>
                <w:t>nits</w:t>
              </w:r>
            </w:hyperlink>
            <w:r w:rsidR="00213E13" w:rsidRPr="00741100">
              <w:rPr>
                <w:rStyle w:val="Hyperlink"/>
                <w:rFonts w:cs="Arial"/>
                <w:color w:val="auto"/>
                <w:u w:val="none"/>
                <w:vertAlign w:val="superscript"/>
              </w:rPr>
              <w:t>22</w:t>
            </w:r>
            <w:r w:rsidR="00BD7FBF" w:rsidRPr="00741100">
              <w:rPr>
                <w:rFonts w:cs="Arial"/>
              </w:rPr>
              <w:t>?</w:t>
            </w:r>
          </w:p>
          <w:p w14:paraId="00A03E8D" w14:textId="77777777" w:rsidR="00C3345F" w:rsidRPr="00741100" w:rsidRDefault="00C3345F">
            <w:pPr>
              <w:pStyle w:val="ListParagraph"/>
              <w:ind w:left="360"/>
              <w:rPr>
                <w:rFonts w:cs="Arial"/>
              </w:rPr>
            </w:pPr>
          </w:p>
          <w:p w14:paraId="1E8C6258" w14:textId="4C4CAAA0" w:rsidR="00C3345F" w:rsidRPr="001C2F78" w:rsidRDefault="00C3345F">
            <w:pPr>
              <w:pStyle w:val="ListParagraph"/>
              <w:ind w:left="360"/>
              <w:rPr>
                <w:rFonts w:cs="Arial"/>
                <w:snapToGrid w:val="0"/>
                <w:color w:val="000000"/>
              </w:rPr>
            </w:pPr>
            <w:r w:rsidRPr="00741100">
              <w:rPr>
                <w:rFonts w:cs="Arial"/>
                <w:i/>
              </w:rPr>
              <w:t>If “no” to question #2, skip questions #3-</w:t>
            </w:r>
            <w:r w:rsidR="00F014DD" w:rsidRPr="00741100">
              <w:rPr>
                <w:rFonts w:cs="Arial"/>
                <w:i/>
              </w:rPr>
              <w:t>21</w:t>
            </w:r>
            <w:r w:rsidRPr="00741100">
              <w:rPr>
                <w:rFonts w:cs="Arial"/>
                <w:i/>
              </w:rPr>
              <w:t xml:space="preserve"> and continue to the next subsection. The hospital will be scored as “Limited Achievement.”</w:t>
            </w:r>
          </w:p>
        </w:tc>
        <w:tc>
          <w:tcPr>
            <w:tcW w:w="1651" w:type="dxa"/>
            <w:vAlign w:val="center"/>
          </w:tcPr>
          <w:p w14:paraId="0AA58983" w14:textId="77777777" w:rsidR="00C3345F" w:rsidRPr="00CF4879" w:rsidRDefault="00C3345F" w:rsidP="00AD309C">
            <w:pPr>
              <w:pStyle w:val="ListParagraph"/>
              <w:numPr>
                <w:ilvl w:val="0"/>
                <w:numId w:val="331"/>
              </w:numPr>
              <w:rPr>
                <w:rFonts w:cs="Arial"/>
                <w:iCs/>
                <w:snapToGrid w:val="0"/>
              </w:rPr>
            </w:pPr>
            <w:r w:rsidRPr="00CF4879">
              <w:rPr>
                <w:rFonts w:cs="Arial"/>
                <w:iCs/>
                <w:snapToGrid w:val="0"/>
              </w:rPr>
              <w:t>Yes</w:t>
            </w:r>
          </w:p>
          <w:p w14:paraId="0B9926C5" w14:textId="77777777" w:rsidR="00C3345F" w:rsidRPr="00CF4879" w:rsidRDefault="00C3345F" w:rsidP="00AD309C">
            <w:pPr>
              <w:pStyle w:val="ListParagraph"/>
              <w:numPr>
                <w:ilvl w:val="0"/>
                <w:numId w:val="331"/>
              </w:numPr>
              <w:rPr>
                <w:rFonts w:cs="Arial"/>
                <w:iCs/>
                <w:snapToGrid w:val="0"/>
              </w:rPr>
            </w:pPr>
            <w:r w:rsidRPr="00CF4879">
              <w:rPr>
                <w:rFonts w:cs="Arial"/>
                <w:iCs/>
                <w:snapToGrid w:val="0"/>
              </w:rPr>
              <w:t>No</w:t>
            </w:r>
          </w:p>
        </w:tc>
      </w:tr>
      <w:tr w:rsidR="00C3345F" w:rsidRPr="009A5185" w14:paraId="7F484609" w14:textId="77777777" w:rsidTr="00FF651B">
        <w:trPr>
          <w:trHeight w:val="1025"/>
        </w:trPr>
        <w:tc>
          <w:tcPr>
            <w:tcW w:w="7704" w:type="dxa"/>
            <w:vAlign w:val="center"/>
          </w:tcPr>
          <w:p w14:paraId="4496ADB0" w14:textId="739CF970" w:rsidR="00C3345F" w:rsidRPr="001C2F78" w:rsidRDefault="00C3345F" w:rsidP="00AD309C">
            <w:pPr>
              <w:pStyle w:val="ListParagraph"/>
              <w:numPr>
                <w:ilvl w:val="0"/>
                <w:numId w:val="41"/>
              </w:numPr>
              <w:rPr>
                <w:rFonts w:cs="Arial"/>
              </w:rPr>
            </w:pPr>
            <w:r w:rsidRPr="001C2F78">
              <w:rPr>
                <w:rFonts w:cs="Arial"/>
              </w:rPr>
              <w:t xml:space="preserve">Does your hospital operate </w:t>
            </w:r>
            <w:r w:rsidR="00420CCF">
              <w:rPr>
                <w:rFonts w:cs="Arial"/>
              </w:rPr>
              <w:t xml:space="preserve">adult and/or pediatric </w:t>
            </w:r>
            <w:hyperlink w:anchor="generalmedicalsurgicalandneuroicu" w:history="1">
              <w:r w:rsidR="008E586A" w:rsidRPr="009A5372">
                <w:rPr>
                  <w:rStyle w:val="Hyperlink"/>
                </w:rPr>
                <w:t>General Medical</w:t>
              </w:r>
              <w:r w:rsidR="007E120A">
                <w:rPr>
                  <w:rStyle w:val="Hyperlink"/>
                </w:rPr>
                <w:t xml:space="preserve">, </w:t>
              </w:r>
              <w:r w:rsidR="008E586A" w:rsidRPr="009A5372">
                <w:rPr>
                  <w:rStyle w:val="Hyperlink"/>
                </w:rPr>
                <w:t>Surgical</w:t>
              </w:r>
              <w:r w:rsidR="007E120A">
                <w:rPr>
                  <w:rStyle w:val="Hyperlink"/>
                </w:rPr>
                <w:t>, Medical/Surgical</w:t>
              </w:r>
              <w:r w:rsidR="003C3D58">
                <w:rPr>
                  <w:rStyle w:val="Hyperlink"/>
                </w:rPr>
                <w:t xml:space="preserve">, </w:t>
              </w:r>
              <w:r w:rsidR="008E586A" w:rsidRPr="009A5372">
                <w:rPr>
                  <w:rStyle w:val="Hyperlink"/>
                </w:rPr>
                <w:t>Neuro</w:t>
              </w:r>
            </w:hyperlink>
            <w:r w:rsidR="004A7E61">
              <w:t>,</w:t>
            </w:r>
            <w:r w:rsidR="008E586A" w:rsidRPr="001F2388">
              <w:rPr>
                <w:vertAlign w:val="superscript"/>
              </w:rPr>
              <w:t>14</w:t>
            </w:r>
            <w:r w:rsidR="000F0582">
              <w:rPr>
                <w:rStyle w:val="Hyperlink"/>
                <w:rFonts w:ascii="ZWAdobeF" w:hAnsi="ZWAdobeF" w:cs="ZWAdobeF"/>
                <w:color w:val="auto"/>
                <w:sz w:val="2"/>
                <w:szCs w:val="2"/>
                <w:u w:val="none"/>
              </w:rPr>
              <w:t>1</w:t>
            </w:r>
            <w:r w:rsidR="002A2764">
              <w:rPr>
                <w:rFonts w:cs="Arial"/>
              </w:rPr>
              <w:t xml:space="preserve"> </w:t>
            </w:r>
            <w:hyperlink w:anchor="neonatalICU" w:history="1">
              <w:r w:rsidR="002A2764" w:rsidRPr="001F2388">
                <w:rPr>
                  <w:rStyle w:val="Hyperlink"/>
                  <w:rFonts w:cs="Arial"/>
                </w:rPr>
                <w:t>Neonatal</w:t>
              </w:r>
              <w:r w:rsidR="004A7E61" w:rsidRPr="004A7E61">
                <w:rPr>
                  <w:rStyle w:val="Hyperlink"/>
                  <w:rFonts w:cs="Arial"/>
                  <w:color w:val="auto"/>
                  <w:u w:val="none"/>
                </w:rPr>
                <w:t>,</w:t>
              </w:r>
              <w:r w:rsidR="002A2764" w:rsidRPr="001F2388">
                <w:rPr>
                  <w:rStyle w:val="Hyperlink"/>
                  <w:rFonts w:cs="Arial"/>
                  <w:color w:val="auto"/>
                  <w:u w:val="none"/>
                  <w:vertAlign w:val="superscript"/>
                </w:rPr>
                <w:t>17</w:t>
              </w:r>
            </w:hyperlink>
            <w:r w:rsidR="009D6217">
              <w:rPr>
                <w:rFonts w:cs="Arial"/>
              </w:rPr>
              <w:t xml:space="preserve"> </w:t>
            </w:r>
            <w:r w:rsidR="002A2764">
              <w:rPr>
                <w:rFonts w:cs="Arial"/>
              </w:rPr>
              <w:t>or Specialty ICUs</w:t>
            </w:r>
            <w:r w:rsidRPr="001C2F78">
              <w:rPr>
                <w:rFonts w:cs="Arial"/>
              </w:rPr>
              <w:t>?</w:t>
            </w:r>
          </w:p>
          <w:p w14:paraId="6392204D" w14:textId="77777777" w:rsidR="00C3345F" w:rsidRPr="001C2F78" w:rsidRDefault="00C3345F">
            <w:pPr>
              <w:pStyle w:val="ListParagraph"/>
              <w:ind w:left="360"/>
              <w:rPr>
                <w:rFonts w:cs="Arial"/>
              </w:rPr>
            </w:pPr>
          </w:p>
          <w:p w14:paraId="77EE0695" w14:textId="05EB3BAF" w:rsidR="00C3345F" w:rsidRPr="001C2F78" w:rsidRDefault="00C3345F">
            <w:pPr>
              <w:pStyle w:val="ListParagraph"/>
              <w:ind w:left="360"/>
              <w:rPr>
                <w:rFonts w:cs="Arial"/>
                <w:i/>
              </w:rPr>
            </w:pPr>
            <w:r w:rsidRPr="001C2F78">
              <w:rPr>
                <w:rFonts w:cs="Arial"/>
                <w:i/>
              </w:rPr>
              <w:t>If “no” to question #3, skip questions #4-5 and continue to question #6.</w:t>
            </w:r>
          </w:p>
        </w:tc>
        <w:tc>
          <w:tcPr>
            <w:tcW w:w="1651" w:type="dxa"/>
            <w:vAlign w:val="center"/>
          </w:tcPr>
          <w:p w14:paraId="017F6F74" w14:textId="77777777" w:rsidR="00C3345F" w:rsidRPr="00CF4879" w:rsidRDefault="00C3345F" w:rsidP="00AD309C">
            <w:pPr>
              <w:pStyle w:val="ListParagraph"/>
              <w:numPr>
                <w:ilvl w:val="0"/>
                <w:numId w:val="331"/>
              </w:numPr>
              <w:rPr>
                <w:rFonts w:cs="Arial"/>
                <w:iCs/>
                <w:snapToGrid w:val="0"/>
              </w:rPr>
            </w:pPr>
            <w:r w:rsidRPr="00CF4879">
              <w:rPr>
                <w:rFonts w:cs="Arial"/>
                <w:iCs/>
                <w:snapToGrid w:val="0"/>
              </w:rPr>
              <w:t>Yes</w:t>
            </w:r>
          </w:p>
          <w:p w14:paraId="10E36938" w14:textId="77777777" w:rsidR="00C3345F" w:rsidRPr="00CF4879" w:rsidRDefault="00C3345F" w:rsidP="00AD309C">
            <w:pPr>
              <w:pStyle w:val="ListParagraph"/>
              <w:numPr>
                <w:ilvl w:val="0"/>
                <w:numId w:val="331"/>
              </w:numPr>
              <w:rPr>
                <w:rFonts w:cs="Arial"/>
                <w:iCs/>
                <w:snapToGrid w:val="0"/>
              </w:rPr>
            </w:pPr>
            <w:r w:rsidRPr="00CF4879">
              <w:rPr>
                <w:rFonts w:cs="Arial"/>
                <w:iCs/>
                <w:snapToGrid w:val="0"/>
              </w:rPr>
              <w:t>No</w:t>
            </w:r>
          </w:p>
        </w:tc>
      </w:tr>
      <w:tr w:rsidR="00C3345F" w:rsidRPr="009A5185" w14:paraId="7017D2AA" w14:textId="77777777" w:rsidTr="00FF651B">
        <w:trPr>
          <w:trHeight w:val="576"/>
        </w:trPr>
        <w:tc>
          <w:tcPr>
            <w:tcW w:w="7704" w:type="dxa"/>
            <w:vAlign w:val="center"/>
          </w:tcPr>
          <w:p w14:paraId="12B3B18F" w14:textId="77777777" w:rsidR="00C3345F" w:rsidRPr="009A5185" w:rsidRDefault="00C3345F" w:rsidP="00AD309C">
            <w:pPr>
              <w:pStyle w:val="ListParagraph"/>
              <w:numPr>
                <w:ilvl w:val="0"/>
                <w:numId w:val="41"/>
              </w:numPr>
              <w:rPr>
                <w:rFonts w:cs="Arial"/>
              </w:rPr>
            </w:pPr>
            <w:r w:rsidRPr="009A5185">
              <w:rPr>
                <w:rFonts w:cs="Arial"/>
              </w:rPr>
              <w:t>If “yes,” how many of this type of unit are open and staffed in the hospital?</w:t>
            </w:r>
          </w:p>
        </w:tc>
        <w:tc>
          <w:tcPr>
            <w:tcW w:w="1651" w:type="dxa"/>
            <w:vAlign w:val="center"/>
          </w:tcPr>
          <w:p w14:paraId="12AF7492" w14:textId="77777777" w:rsidR="00C3345F" w:rsidRPr="009A5185" w:rsidRDefault="00C3345F">
            <w:pPr>
              <w:jc w:val="center"/>
              <w:rPr>
                <w:rFonts w:cs="Arial"/>
                <w:i/>
                <w:snapToGrid w:val="0"/>
              </w:rPr>
            </w:pPr>
            <w:r w:rsidRPr="009A5185">
              <w:rPr>
                <w:rFonts w:cs="Arial"/>
                <w:i/>
                <w:snapToGrid w:val="0"/>
              </w:rPr>
              <w:t>_____</w:t>
            </w:r>
          </w:p>
        </w:tc>
      </w:tr>
      <w:tr w:rsidR="00C3345F" w:rsidRPr="009A5185" w14:paraId="52A32CD0" w14:textId="77777777" w:rsidTr="00FF651B">
        <w:trPr>
          <w:trHeight w:val="720"/>
        </w:trPr>
        <w:tc>
          <w:tcPr>
            <w:tcW w:w="7704" w:type="dxa"/>
            <w:vAlign w:val="center"/>
          </w:tcPr>
          <w:p w14:paraId="5CF9A47D" w14:textId="77777777" w:rsidR="00C3345F" w:rsidRPr="009A5185" w:rsidRDefault="00C3345F" w:rsidP="00AD309C">
            <w:pPr>
              <w:pStyle w:val="ListParagraph"/>
              <w:numPr>
                <w:ilvl w:val="0"/>
                <w:numId w:val="41"/>
              </w:numPr>
              <w:rPr>
                <w:rFonts w:cs="Arial"/>
              </w:rPr>
            </w:pPr>
            <w:r w:rsidRPr="009A5185">
              <w:rPr>
                <w:rFonts w:cs="Arial"/>
              </w:rPr>
              <w:t>How many of the units in question #4 utilized the BCMA/</w:t>
            </w:r>
            <w:proofErr w:type="spellStart"/>
            <w:r w:rsidRPr="009A5185">
              <w:rPr>
                <w:rFonts w:cs="Arial"/>
              </w:rPr>
              <w:t>eMAR</w:t>
            </w:r>
            <w:proofErr w:type="spellEnd"/>
            <w:r w:rsidRPr="009A5185">
              <w:rPr>
                <w:rFonts w:cs="Arial"/>
              </w:rPr>
              <w:t xml:space="preserve"> system when administering medications at the bedside?</w:t>
            </w:r>
          </w:p>
        </w:tc>
        <w:tc>
          <w:tcPr>
            <w:tcW w:w="1651" w:type="dxa"/>
            <w:vAlign w:val="center"/>
          </w:tcPr>
          <w:p w14:paraId="70283C6E" w14:textId="77777777" w:rsidR="00C3345F" w:rsidRPr="009A5185" w:rsidRDefault="00C3345F">
            <w:pPr>
              <w:jc w:val="center"/>
              <w:rPr>
                <w:rFonts w:cs="Arial"/>
                <w:i/>
                <w:snapToGrid w:val="0"/>
              </w:rPr>
            </w:pPr>
            <w:r w:rsidRPr="009A5185">
              <w:rPr>
                <w:rFonts w:cs="Arial"/>
                <w:i/>
                <w:snapToGrid w:val="0"/>
              </w:rPr>
              <w:t>_____</w:t>
            </w:r>
          </w:p>
        </w:tc>
      </w:tr>
      <w:tr w:rsidR="00C3345F" w:rsidRPr="009A5185" w14:paraId="726FC1C8" w14:textId="77777777" w:rsidTr="00FF651B">
        <w:trPr>
          <w:trHeight w:val="1008"/>
        </w:trPr>
        <w:tc>
          <w:tcPr>
            <w:tcW w:w="7704" w:type="dxa"/>
            <w:vAlign w:val="center"/>
          </w:tcPr>
          <w:p w14:paraId="58FB1448" w14:textId="654B4D4A" w:rsidR="00C3345F" w:rsidRPr="009A5185" w:rsidRDefault="00C3345F" w:rsidP="00AD309C">
            <w:pPr>
              <w:pStyle w:val="ListParagraph"/>
              <w:numPr>
                <w:ilvl w:val="0"/>
                <w:numId w:val="41"/>
              </w:numPr>
              <w:rPr>
                <w:rFonts w:cs="Arial"/>
              </w:rPr>
            </w:pPr>
            <w:r w:rsidRPr="009A5185">
              <w:rPr>
                <w:rFonts w:cs="Arial"/>
              </w:rPr>
              <w:t xml:space="preserve">Does your hospital operate </w:t>
            </w:r>
            <w:r w:rsidR="0046325A">
              <w:rPr>
                <w:rFonts w:cs="Arial"/>
              </w:rPr>
              <w:t xml:space="preserve">adult and/or pediatric </w:t>
            </w:r>
            <w:hyperlink w:anchor="MedicalandorSurgicalUnits" w:history="1">
              <w:r w:rsidRPr="009A5185">
                <w:rPr>
                  <w:rStyle w:val="Hyperlink"/>
                  <w:rFonts w:cs="Arial"/>
                </w:rPr>
                <w:t>Medical</w:t>
              </w:r>
              <w:r w:rsidR="00484891">
                <w:rPr>
                  <w:rStyle w:val="Hyperlink"/>
                  <w:rFonts w:cs="Arial"/>
                </w:rPr>
                <w:t xml:space="preserve">, </w:t>
              </w:r>
              <w:r w:rsidRPr="009A5185">
                <w:rPr>
                  <w:rStyle w:val="Hyperlink"/>
                  <w:rFonts w:cs="Arial"/>
                </w:rPr>
                <w:t>Surgical</w:t>
              </w:r>
              <w:r w:rsidR="00BC5D89">
                <w:rPr>
                  <w:rStyle w:val="Hyperlink"/>
                  <w:rFonts w:cs="Arial"/>
                </w:rPr>
                <w:t xml:space="preserve">, or Medical/Surgical </w:t>
              </w:r>
              <w:r w:rsidRPr="009A5185">
                <w:rPr>
                  <w:rStyle w:val="Hyperlink"/>
                  <w:rFonts w:cs="Arial"/>
                </w:rPr>
                <w:t>Units (including telemetry units)</w:t>
              </w:r>
            </w:hyperlink>
            <w:bookmarkStart w:id="163" w:name="_Ref57907818"/>
            <w:r w:rsidR="000012E4">
              <w:t>?</w:t>
            </w:r>
            <w:bookmarkStart w:id="164" w:name="_Ref158623355"/>
            <w:r w:rsidR="00C2087D">
              <w:rPr>
                <w:rFonts w:ascii="ZWAdobeF" w:hAnsi="ZWAdobeF" w:cs="ZWAdobeF"/>
                <w:sz w:val="2"/>
                <w:szCs w:val="2"/>
              </w:rPr>
              <w:t>18F</w:t>
            </w:r>
            <w:r w:rsidR="00B55C41">
              <w:rPr>
                <w:rFonts w:ascii="ZWAdobeF" w:hAnsi="ZWAdobeF" w:cs="ZWAdobeF"/>
                <w:sz w:val="2"/>
                <w:szCs w:val="2"/>
              </w:rPr>
              <w:t>18F</w:t>
            </w:r>
            <w:r w:rsidR="006255A6">
              <w:rPr>
                <w:rFonts w:ascii="ZWAdobeF" w:hAnsi="ZWAdobeF" w:cs="ZWAdobeF"/>
                <w:sz w:val="2"/>
                <w:szCs w:val="2"/>
              </w:rPr>
              <w:t>18F</w:t>
            </w:r>
            <w:r w:rsidR="00E453C7">
              <w:rPr>
                <w:rFonts w:ascii="ZWAdobeF" w:hAnsi="ZWAdobeF" w:cs="ZWAdobeF"/>
                <w:sz w:val="2"/>
                <w:szCs w:val="2"/>
              </w:rPr>
              <w:t>18F</w:t>
            </w:r>
            <w:r w:rsidR="00953060">
              <w:rPr>
                <w:rFonts w:ascii="ZWAdobeF" w:hAnsi="ZWAdobeF" w:cs="ZWAdobeF"/>
                <w:sz w:val="2"/>
                <w:szCs w:val="2"/>
              </w:rPr>
              <w:t>18F</w:t>
            </w:r>
            <w:r w:rsidR="00DD04D6">
              <w:rPr>
                <w:rFonts w:ascii="ZWAdobeF" w:hAnsi="ZWAdobeF" w:cs="ZWAdobeF"/>
                <w:sz w:val="2"/>
                <w:szCs w:val="2"/>
              </w:rPr>
              <w:t>18F</w:t>
            </w:r>
            <w:r w:rsidRPr="000012E4">
              <w:rPr>
                <w:rStyle w:val="EndnoteReference"/>
                <w:rFonts w:cs="Arial"/>
              </w:rPr>
              <w:endnoteReference w:id="20"/>
            </w:r>
            <w:bookmarkEnd w:id="163"/>
            <w:bookmarkEnd w:id="164"/>
          </w:p>
          <w:p w14:paraId="3345FD80" w14:textId="77777777" w:rsidR="00C3345F" w:rsidRPr="009A5185" w:rsidRDefault="00C3345F">
            <w:pPr>
              <w:rPr>
                <w:rFonts w:cs="Arial"/>
                <w:i/>
              </w:rPr>
            </w:pPr>
          </w:p>
          <w:p w14:paraId="1F1AEE32" w14:textId="2C5D67E4" w:rsidR="00C3345F" w:rsidRPr="009A5185" w:rsidRDefault="00C3345F">
            <w:pPr>
              <w:pStyle w:val="ListParagraph"/>
              <w:ind w:left="360"/>
              <w:rPr>
                <w:rFonts w:cs="Arial"/>
                <w:i/>
              </w:rPr>
            </w:pPr>
            <w:r w:rsidRPr="005B1DEA">
              <w:rPr>
                <w:rFonts w:cs="Arial"/>
                <w:i/>
              </w:rPr>
              <w:t>If “no” to question #6, skip questions #7-8 and continue to question #9.</w:t>
            </w:r>
          </w:p>
        </w:tc>
        <w:tc>
          <w:tcPr>
            <w:tcW w:w="1651" w:type="dxa"/>
            <w:vAlign w:val="center"/>
          </w:tcPr>
          <w:p w14:paraId="6730ADB5" w14:textId="77777777" w:rsidR="00C3345F" w:rsidRPr="00CF4879" w:rsidRDefault="00C3345F" w:rsidP="00AD309C">
            <w:pPr>
              <w:pStyle w:val="ListParagraph"/>
              <w:numPr>
                <w:ilvl w:val="0"/>
                <w:numId w:val="332"/>
              </w:numPr>
              <w:rPr>
                <w:rFonts w:cs="Arial"/>
                <w:iCs/>
                <w:snapToGrid w:val="0"/>
              </w:rPr>
            </w:pPr>
            <w:r w:rsidRPr="00CF4879">
              <w:rPr>
                <w:rFonts w:cs="Arial"/>
                <w:iCs/>
                <w:snapToGrid w:val="0"/>
              </w:rPr>
              <w:t>Yes</w:t>
            </w:r>
          </w:p>
          <w:p w14:paraId="5184E5C6" w14:textId="77777777" w:rsidR="00C3345F" w:rsidRPr="005778E2" w:rsidRDefault="00C3345F" w:rsidP="00AD309C">
            <w:pPr>
              <w:pStyle w:val="ListParagraph"/>
              <w:numPr>
                <w:ilvl w:val="0"/>
                <w:numId w:val="332"/>
              </w:numPr>
              <w:rPr>
                <w:rFonts w:cs="Arial"/>
                <w:i/>
                <w:snapToGrid w:val="0"/>
              </w:rPr>
            </w:pPr>
            <w:r w:rsidRPr="00CF4879">
              <w:rPr>
                <w:rFonts w:cs="Arial"/>
                <w:iCs/>
                <w:snapToGrid w:val="0"/>
              </w:rPr>
              <w:t>No</w:t>
            </w:r>
          </w:p>
        </w:tc>
      </w:tr>
      <w:tr w:rsidR="00C3345F" w:rsidRPr="009A5185" w14:paraId="1E59A321" w14:textId="77777777" w:rsidTr="00FF651B">
        <w:trPr>
          <w:trHeight w:val="576"/>
        </w:trPr>
        <w:tc>
          <w:tcPr>
            <w:tcW w:w="7704" w:type="dxa"/>
            <w:vAlign w:val="center"/>
          </w:tcPr>
          <w:p w14:paraId="446A023A" w14:textId="77777777" w:rsidR="00C3345F" w:rsidRPr="009A5185" w:rsidRDefault="00C3345F" w:rsidP="00AD309C">
            <w:pPr>
              <w:pStyle w:val="ListParagraph"/>
              <w:numPr>
                <w:ilvl w:val="0"/>
                <w:numId w:val="41"/>
              </w:numPr>
              <w:rPr>
                <w:rFonts w:cs="Arial"/>
              </w:rPr>
            </w:pPr>
            <w:r w:rsidRPr="009A5185">
              <w:rPr>
                <w:rFonts w:cs="Arial"/>
              </w:rPr>
              <w:t>If “yes,” how many of this type of unit were open and staffed in the hospital?</w:t>
            </w:r>
          </w:p>
        </w:tc>
        <w:tc>
          <w:tcPr>
            <w:tcW w:w="1651" w:type="dxa"/>
            <w:vAlign w:val="center"/>
          </w:tcPr>
          <w:p w14:paraId="31E44C8E" w14:textId="77777777" w:rsidR="00C3345F" w:rsidRPr="009A5185" w:rsidRDefault="00C3345F">
            <w:pPr>
              <w:jc w:val="center"/>
              <w:rPr>
                <w:rFonts w:cs="Arial"/>
                <w:i/>
                <w:snapToGrid w:val="0"/>
              </w:rPr>
            </w:pPr>
            <w:r w:rsidRPr="009A5185">
              <w:rPr>
                <w:rFonts w:cs="Arial"/>
                <w:i/>
                <w:snapToGrid w:val="0"/>
              </w:rPr>
              <w:t>_____</w:t>
            </w:r>
          </w:p>
        </w:tc>
      </w:tr>
      <w:tr w:rsidR="00C3345F" w:rsidRPr="009A5185" w14:paraId="41201FB5" w14:textId="77777777" w:rsidTr="00FF651B">
        <w:trPr>
          <w:trHeight w:val="720"/>
        </w:trPr>
        <w:tc>
          <w:tcPr>
            <w:tcW w:w="7704" w:type="dxa"/>
            <w:vAlign w:val="center"/>
          </w:tcPr>
          <w:p w14:paraId="6FD3DDA9" w14:textId="77777777" w:rsidR="00C3345F" w:rsidRPr="009A5185" w:rsidRDefault="00C3345F" w:rsidP="00AD309C">
            <w:pPr>
              <w:pStyle w:val="ListParagraph"/>
              <w:numPr>
                <w:ilvl w:val="0"/>
                <w:numId w:val="41"/>
              </w:numPr>
              <w:rPr>
                <w:rFonts w:cs="Arial"/>
              </w:rPr>
            </w:pPr>
            <w:r w:rsidRPr="009A5185">
              <w:rPr>
                <w:rFonts w:cs="Arial"/>
              </w:rPr>
              <w:lastRenderedPageBreak/>
              <w:t>How many of the units in question #7 utilized the BCMA/</w:t>
            </w:r>
            <w:proofErr w:type="spellStart"/>
            <w:r w:rsidRPr="009A5185">
              <w:rPr>
                <w:rFonts w:cs="Arial"/>
              </w:rPr>
              <w:t>eMAR</w:t>
            </w:r>
            <w:proofErr w:type="spellEnd"/>
            <w:r w:rsidRPr="009A5185">
              <w:rPr>
                <w:rFonts w:cs="Arial"/>
              </w:rPr>
              <w:t xml:space="preserve"> system when administering medications at the bedside?</w:t>
            </w:r>
          </w:p>
        </w:tc>
        <w:tc>
          <w:tcPr>
            <w:tcW w:w="1651" w:type="dxa"/>
            <w:vAlign w:val="center"/>
          </w:tcPr>
          <w:p w14:paraId="2DEB90D6" w14:textId="77777777" w:rsidR="00C3345F" w:rsidRPr="009A5185" w:rsidRDefault="00C3345F">
            <w:pPr>
              <w:jc w:val="center"/>
              <w:rPr>
                <w:rFonts w:cs="Arial"/>
                <w:i/>
                <w:snapToGrid w:val="0"/>
              </w:rPr>
            </w:pPr>
            <w:r w:rsidRPr="009A5185">
              <w:rPr>
                <w:rFonts w:cs="Arial"/>
                <w:i/>
                <w:snapToGrid w:val="0"/>
              </w:rPr>
              <w:t>_____</w:t>
            </w:r>
          </w:p>
        </w:tc>
      </w:tr>
      <w:tr w:rsidR="00FB2D71" w:rsidRPr="009A5185" w14:paraId="5C27B62B" w14:textId="77777777" w:rsidTr="00FF651B">
        <w:trPr>
          <w:trHeight w:val="720"/>
        </w:trPr>
        <w:tc>
          <w:tcPr>
            <w:tcW w:w="7704" w:type="dxa"/>
            <w:vAlign w:val="center"/>
          </w:tcPr>
          <w:p w14:paraId="1BF1FCB9" w14:textId="14E0ECB9" w:rsidR="00FB2D71" w:rsidRDefault="00FB2D71" w:rsidP="00AD309C">
            <w:pPr>
              <w:pStyle w:val="ListParagraph"/>
              <w:numPr>
                <w:ilvl w:val="0"/>
                <w:numId w:val="41"/>
              </w:numPr>
              <w:rPr>
                <w:rFonts w:cs="Arial"/>
              </w:rPr>
            </w:pPr>
            <w:r>
              <w:rPr>
                <w:rFonts w:cs="Arial"/>
              </w:rPr>
              <w:t xml:space="preserve">Does your hospital operate </w:t>
            </w:r>
            <w:r w:rsidR="009F3F80">
              <w:rPr>
                <w:rFonts w:cs="Arial"/>
              </w:rPr>
              <w:t xml:space="preserve">adult and/or pediatric </w:t>
            </w:r>
            <w:hyperlink w:anchor="stepdown_progressiveunits_endnote20" w:history="1">
              <w:r w:rsidRPr="00553390">
                <w:rPr>
                  <w:rStyle w:val="Hyperlink"/>
                  <w:rFonts w:cs="Arial"/>
                </w:rPr>
                <w:t>Step-down/Progressive Units</w:t>
              </w:r>
            </w:hyperlink>
            <w:r w:rsidR="00BF053F">
              <w:rPr>
                <w:rFonts w:ascii="ZWAdobeF" w:hAnsi="ZWAdobeF" w:cs="ZWAdobeF"/>
                <w:sz w:val="2"/>
                <w:szCs w:val="2"/>
              </w:rPr>
              <w:t>19F</w:t>
            </w:r>
            <w:r w:rsidR="004C7557">
              <w:rPr>
                <w:rFonts w:ascii="ZWAdobeF" w:hAnsi="ZWAdobeF" w:cs="ZWAdobeF"/>
                <w:sz w:val="2"/>
                <w:szCs w:val="2"/>
              </w:rPr>
              <w:t>19F</w:t>
            </w:r>
            <w:r w:rsidR="00C2087D">
              <w:rPr>
                <w:rFonts w:ascii="ZWAdobeF" w:hAnsi="ZWAdobeF" w:cs="ZWAdobeF"/>
                <w:sz w:val="2"/>
                <w:szCs w:val="2"/>
              </w:rPr>
              <w:t>19F</w:t>
            </w:r>
            <w:r w:rsidR="00B55C41">
              <w:rPr>
                <w:rFonts w:ascii="ZWAdobeF" w:hAnsi="ZWAdobeF" w:cs="ZWAdobeF"/>
                <w:sz w:val="2"/>
                <w:szCs w:val="2"/>
              </w:rPr>
              <w:t>19F</w:t>
            </w:r>
            <w:r w:rsidR="006255A6">
              <w:rPr>
                <w:rFonts w:ascii="ZWAdobeF" w:hAnsi="ZWAdobeF" w:cs="ZWAdobeF"/>
                <w:sz w:val="2"/>
                <w:szCs w:val="2"/>
              </w:rPr>
              <w:t>19F</w:t>
            </w:r>
            <w:r w:rsidR="00E453C7">
              <w:rPr>
                <w:rFonts w:ascii="ZWAdobeF" w:hAnsi="ZWAdobeF" w:cs="ZWAdobeF"/>
                <w:sz w:val="2"/>
                <w:szCs w:val="2"/>
              </w:rPr>
              <w:t>19F</w:t>
            </w:r>
            <w:r w:rsidR="00953060">
              <w:rPr>
                <w:rFonts w:ascii="ZWAdobeF" w:hAnsi="ZWAdobeF" w:cs="ZWAdobeF"/>
                <w:sz w:val="2"/>
                <w:szCs w:val="2"/>
              </w:rPr>
              <w:t>19F</w:t>
            </w:r>
            <w:r w:rsidR="00DD04D6">
              <w:rPr>
                <w:rFonts w:ascii="ZWAdobeF" w:hAnsi="ZWAdobeF" w:cs="ZWAdobeF"/>
                <w:sz w:val="2"/>
                <w:szCs w:val="2"/>
              </w:rPr>
              <w:t>19F</w:t>
            </w:r>
            <w:r>
              <w:rPr>
                <w:rStyle w:val="EndnoteReference"/>
              </w:rPr>
              <w:endnoteReference w:id="21"/>
            </w:r>
            <w:r w:rsidR="00BF63EF">
              <w:rPr>
                <w:rFonts w:cs="Arial"/>
              </w:rPr>
              <w:t>?</w:t>
            </w:r>
          </w:p>
          <w:p w14:paraId="2D7905DF" w14:textId="77777777" w:rsidR="00FB2D71" w:rsidRDefault="00FB2D71" w:rsidP="00FB2D71">
            <w:pPr>
              <w:rPr>
                <w:rFonts w:cs="Arial"/>
              </w:rPr>
            </w:pPr>
          </w:p>
          <w:p w14:paraId="16E30C7D" w14:textId="77777777" w:rsidR="00FB2D71" w:rsidRDefault="00FB2D71" w:rsidP="00FB2D71">
            <w:pPr>
              <w:ind w:left="360"/>
              <w:rPr>
                <w:rFonts w:cs="Arial"/>
                <w:i/>
                <w:iCs/>
              </w:rPr>
            </w:pPr>
            <w:r>
              <w:rPr>
                <w:rFonts w:cs="Arial"/>
                <w:i/>
                <w:iCs/>
              </w:rPr>
              <w:t>If “no” to question #9, skip questions #10-11 and continue to question #12.</w:t>
            </w:r>
          </w:p>
          <w:p w14:paraId="46197D97" w14:textId="77777777" w:rsidR="00FB2D71" w:rsidRPr="009A5185" w:rsidRDefault="00FB2D71" w:rsidP="006C0E05">
            <w:pPr>
              <w:pStyle w:val="ListParagraph"/>
              <w:ind w:left="360"/>
              <w:rPr>
                <w:rFonts w:cs="Arial"/>
              </w:rPr>
            </w:pPr>
          </w:p>
        </w:tc>
        <w:tc>
          <w:tcPr>
            <w:tcW w:w="1651" w:type="dxa"/>
            <w:vAlign w:val="center"/>
          </w:tcPr>
          <w:p w14:paraId="4E11C4C3" w14:textId="7EE1AF7F" w:rsidR="00FB2D71" w:rsidRDefault="00FB2D71" w:rsidP="00AD309C">
            <w:pPr>
              <w:pStyle w:val="ListParagraph"/>
              <w:numPr>
                <w:ilvl w:val="0"/>
                <w:numId w:val="333"/>
              </w:numPr>
              <w:rPr>
                <w:rFonts w:cs="Arial"/>
                <w:iCs/>
                <w:snapToGrid w:val="0"/>
              </w:rPr>
            </w:pPr>
            <w:r w:rsidRPr="00CF4879">
              <w:rPr>
                <w:rFonts w:cs="Arial"/>
                <w:iCs/>
                <w:snapToGrid w:val="0"/>
              </w:rPr>
              <w:t>Ye</w:t>
            </w:r>
            <w:r>
              <w:rPr>
                <w:rFonts w:cs="Arial"/>
                <w:iCs/>
                <w:snapToGrid w:val="0"/>
              </w:rPr>
              <w:t>s</w:t>
            </w:r>
          </w:p>
          <w:p w14:paraId="5AF3F5C0" w14:textId="47CAE721" w:rsidR="00FB2D71" w:rsidRPr="006C0E05" w:rsidRDefault="00FB2D71" w:rsidP="00AD309C">
            <w:pPr>
              <w:pStyle w:val="ListParagraph"/>
              <w:numPr>
                <w:ilvl w:val="0"/>
                <w:numId w:val="333"/>
              </w:numPr>
              <w:rPr>
                <w:rFonts w:cs="Arial"/>
                <w:iCs/>
                <w:snapToGrid w:val="0"/>
              </w:rPr>
            </w:pPr>
            <w:r w:rsidRPr="00FB2D71">
              <w:rPr>
                <w:rFonts w:cs="Arial"/>
                <w:iCs/>
                <w:snapToGrid w:val="0"/>
              </w:rPr>
              <w:t>No</w:t>
            </w:r>
          </w:p>
        </w:tc>
      </w:tr>
      <w:tr w:rsidR="00FB2D71" w:rsidRPr="009A5185" w14:paraId="23D4FF12" w14:textId="77777777" w:rsidTr="00FF651B">
        <w:trPr>
          <w:trHeight w:val="720"/>
        </w:trPr>
        <w:tc>
          <w:tcPr>
            <w:tcW w:w="7704" w:type="dxa"/>
            <w:vAlign w:val="center"/>
          </w:tcPr>
          <w:p w14:paraId="3682948E" w14:textId="7EA7CEE6" w:rsidR="00FB2D71" w:rsidRPr="009A5185" w:rsidRDefault="00FB2D71" w:rsidP="00AD309C">
            <w:pPr>
              <w:pStyle w:val="ListParagraph"/>
              <w:numPr>
                <w:ilvl w:val="0"/>
                <w:numId w:val="41"/>
              </w:numPr>
              <w:rPr>
                <w:rFonts w:cs="Arial"/>
              </w:rPr>
            </w:pPr>
            <w:r w:rsidRPr="009A5185">
              <w:rPr>
                <w:rFonts w:cs="Arial"/>
              </w:rPr>
              <w:t>If “yes,” how many of this type of unit were open and staffed in the hospital?</w:t>
            </w:r>
          </w:p>
        </w:tc>
        <w:tc>
          <w:tcPr>
            <w:tcW w:w="1651" w:type="dxa"/>
            <w:vAlign w:val="center"/>
          </w:tcPr>
          <w:p w14:paraId="4A89CEF2" w14:textId="06B93DCD" w:rsidR="00FB2D71" w:rsidRPr="009A5185" w:rsidRDefault="00FB2D71" w:rsidP="00FB2D71">
            <w:pPr>
              <w:jc w:val="center"/>
              <w:rPr>
                <w:rFonts w:cs="Arial"/>
                <w:i/>
                <w:snapToGrid w:val="0"/>
              </w:rPr>
            </w:pPr>
            <w:r w:rsidRPr="009A5185">
              <w:rPr>
                <w:rFonts w:cs="Arial"/>
                <w:i/>
                <w:snapToGrid w:val="0"/>
              </w:rPr>
              <w:t>_____</w:t>
            </w:r>
          </w:p>
        </w:tc>
      </w:tr>
      <w:tr w:rsidR="00FB2D71" w:rsidRPr="009A5185" w14:paraId="4F02D18D" w14:textId="77777777" w:rsidTr="00FF651B">
        <w:trPr>
          <w:trHeight w:val="720"/>
        </w:trPr>
        <w:tc>
          <w:tcPr>
            <w:tcW w:w="7704" w:type="dxa"/>
            <w:vAlign w:val="center"/>
          </w:tcPr>
          <w:p w14:paraId="4DDB14FD" w14:textId="0B8498D9" w:rsidR="00FB2D71" w:rsidRPr="009A5185" w:rsidRDefault="00FB2D71" w:rsidP="00AD309C">
            <w:pPr>
              <w:pStyle w:val="ListParagraph"/>
              <w:numPr>
                <w:ilvl w:val="0"/>
                <w:numId w:val="41"/>
              </w:numPr>
              <w:rPr>
                <w:rFonts w:cs="Arial"/>
              </w:rPr>
            </w:pPr>
            <w:r w:rsidRPr="009A5185">
              <w:rPr>
                <w:rFonts w:cs="Arial"/>
              </w:rPr>
              <w:t>How many of the units in question #10 utilized the BCMA/</w:t>
            </w:r>
            <w:proofErr w:type="spellStart"/>
            <w:r w:rsidRPr="009A5185">
              <w:rPr>
                <w:rFonts w:cs="Arial"/>
              </w:rPr>
              <w:t>eMAR</w:t>
            </w:r>
            <w:proofErr w:type="spellEnd"/>
            <w:r w:rsidRPr="009A5185">
              <w:rPr>
                <w:rFonts w:cs="Arial"/>
              </w:rPr>
              <w:t xml:space="preserve"> system when administering medications at the bedside?</w:t>
            </w:r>
          </w:p>
        </w:tc>
        <w:tc>
          <w:tcPr>
            <w:tcW w:w="1651" w:type="dxa"/>
            <w:vAlign w:val="center"/>
          </w:tcPr>
          <w:p w14:paraId="68C0FEFB" w14:textId="78E87939" w:rsidR="00FB2D71" w:rsidRPr="009A5185" w:rsidRDefault="00FB2D71" w:rsidP="00FB2D71">
            <w:pPr>
              <w:jc w:val="center"/>
              <w:rPr>
                <w:rFonts w:cs="Arial"/>
                <w:i/>
                <w:snapToGrid w:val="0"/>
              </w:rPr>
            </w:pPr>
            <w:r w:rsidRPr="009A5185">
              <w:rPr>
                <w:rFonts w:cs="Arial"/>
                <w:i/>
                <w:snapToGrid w:val="0"/>
              </w:rPr>
              <w:t>_____</w:t>
            </w:r>
          </w:p>
        </w:tc>
      </w:tr>
      <w:tr w:rsidR="00C3345F" w:rsidRPr="009A5185" w14:paraId="0EA3B057" w14:textId="77777777" w:rsidTr="00FF651B">
        <w:trPr>
          <w:trHeight w:val="864"/>
        </w:trPr>
        <w:tc>
          <w:tcPr>
            <w:tcW w:w="7704" w:type="dxa"/>
            <w:vAlign w:val="center"/>
          </w:tcPr>
          <w:p w14:paraId="086D44EA" w14:textId="13E62AB5" w:rsidR="00C3345F" w:rsidRPr="009A5185" w:rsidRDefault="00C3345F" w:rsidP="00AD309C">
            <w:pPr>
              <w:pStyle w:val="ListParagraph"/>
              <w:numPr>
                <w:ilvl w:val="0"/>
                <w:numId w:val="41"/>
              </w:numPr>
              <w:rPr>
                <w:rFonts w:cs="Arial"/>
              </w:rPr>
            </w:pPr>
            <w:r w:rsidRPr="009A5185">
              <w:rPr>
                <w:rFonts w:cs="Arial"/>
              </w:rPr>
              <w:t xml:space="preserve">Does your hospital operate a </w:t>
            </w:r>
            <w:hyperlink w:anchor="LaborandDeliveryUnits" w:history="1">
              <w:r w:rsidRPr="0044327C">
                <w:rPr>
                  <w:rStyle w:val="Hyperlink"/>
                  <w:rFonts w:cs="Arial"/>
                </w:rPr>
                <w:t>Labor and Delivery Unit</w:t>
              </w:r>
            </w:hyperlink>
            <w:r w:rsidR="000F0582">
              <w:rPr>
                <w:rStyle w:val="Hyperlink"/>
                <w:rFonts w:ascii="ZWAdobeF" w:hAnsi="ZWAdobeF" w:cs="ZWAdobeF"/>
                <w:color w:val="auto"/>
                <w:sz w:val="2"/>
                <w:szCs w:val="2"/>
                <w:u w:val="none"/>
              </w:rPr>
              <w:t>19F</w:t>
            </w:r>
            <w:bookmarkStart w:id="167" w:name="_Ref158623400"/>
            <w:r w:rsidR="00BF053F">
              <w:rPr>
                <w:rStyle w:val="Hyperlink"/>
                <w:rFonts w:ascii="ZWAdobeF" w:hAnsi="ZWAdobeF" w:cs="ZWAdobeF"/>
                <w:color w:val="auto"/>
                <w:sz w:val="2"/>
                <w:szCs w:val="2"/>
                <w:u w:val="none"/>
              </w:rPr>
              <w:t>20F</w:t>
            </w:r>
            <w:r w:rsidR="004C7557">
              <w:rPr>
                <w:rStyle w:val="Hyperlink"/>
                <w:rFonts w:ascii="ZWAdobeF" w:hAnsi="ZWAdobeF" w:cs="ZWAdobeF"/>
                <w:color w:val="auto"/>
                <w:sz w:val="2"/>
                <w:szCs w:val="2"/>
                <w:u w:val="none"/>
              </w:rPr>
              <w:t>20F</w:t>
            </w:r>
            <w:r w:rsidR="00C2087D">
              <w:rPr>
                <w:rStyle w:val="Hyperlink"/>
                <w:rFonts w:ascii="ZWAdobeF" w:hAnsi="ZWAdobeF" w:cs="ZWAdobeF"/>
                <w:color w:val="auto"/>
                <w:sz w:val="2"/>
                <w:szCs w:val="2"/>
                <w:u w:val="none"/>
              </w:rPr>
              <w:t>20F</w:t>
            </w:r>
            <w:r w:rsidR="00B55C41">
              <w:rPr>
                <w:rStyle w:val="Hyperlink"/>
                <w:rFonts w:ascii="ZWAdobeF" w:hAnsi="ZWAdobeF" w:cs="ZWAdobeF"/>
                <w:color w:val="auto"/>
                <w:sz w:val="2"/>
                <w:szCs w:val="2"/>
                <w:u w:val="none"/>
              </w:rPr>
              <w:t>20F</w:t>
            </w:r>
            <w:r w:rsidR="006255A6">
              <w:rPr>
                <w:rStyle w:val="Hyperlink"/>
                <w:rFonts w:ascii="ZWAdobeF" w:hAnsi="ZWAdobeF" w:cs="ZWAdobeF"/>
                <w:color w:val="auto"/>
                <w:sz w:val="2"/>
                <w:szCs w:val="2"/>
                <w:u w:val="none"/>
              </w:rPr>
              <w:t>20F</w:t>
            </w:r>
            <w:r w:rsidR="00E453C7">
              <w:rPr>
                <w:rStyle w:val="Hyperlink"/>
                <w:rFonts w:ascii="ZWAdobeF" w:hAnsi="ZWAdobeF" w:cs="ZWAdobeF"/>
                <w:color w:val="auto"/>
                <w:sz w:val="2"/>
                <w:szCs w:val="2"/>
                <w:u w:val="none"/>
              </w:rPr>
              <w:t>20F</w:t>
            </w:r>
            <w:r w:rsidR="00953060">
              <w:rPr>
                <w:rStyle w:val="Hyperlink"/>
                <w:rFonts w:ascii="ZWAdobeF" w:hAnsi="ZWAdobeF" w:cs="ZWAdobeF"/>
                <w:color w:val="auto"/>
                <w:sz w:val="2"/>
                <w:szCs w:val="2"/>
                <w:u w:val="none"/>
              </w:rPr>
              <w:t>20F</w:t>
            </w:r>
            <w:r w:rsidR="00DD04D6">
              <w:rPr>
                <w:rStyle w:val="Hyperlink"/>
                <w:rFonts w:ascii="ZWAdobeF" w:hAnsi="ZWAdobeF" w:cs="ZWAdobeF"/>
                <w:color w:val="auto"/>
                <w:sz w:val="2"/>
                <w:szCs w:val="2"/>
                <w:u w:val="none"/>
              </w:rPr>
              <w:t>20F</w:t>
            </w:r>
            <w:r>
              <w:rPr>
                <w:rStyle w:val="EndnoteReference"/>
              </w:rPr>
              <w:endnoteReference w:id="22"/>
            </w:r>
            <w:bookmarkEnd w:id="167"/>
            <w:r w:rsidRPr="009A5185">
              <w:rPr>
                <w:rFonts w:cs="Arial"/>
              </w:rPr>
              <w:t>?</w:t>
            </w:r>
          </w:p>
          <w:p w14:paraId="62F97689" w14:textId="77777777" w:rsidR="00C3345F" w:rsidRPr="009A5185" w:rsidRDefault="00C3345F">
            <w:pPr>
              <w:pStyle w:val="ListParagraph"/>
              <w:ind w:left="360"/>
              <w:rPr>
                <w:rFonts w:cs="Arial"/>
              </w:rPr>
            </w:pPr>
          </w:p>
          <w:p w14:paraId="17454216" w14:textId="4F16CA4A" w:rsidR="00C3345F" w:rsidRPr="009A5185" w:rsidRDefault="00C3345F">
            <w:pPr>
              <w:pStyle w:val="ListParagraph"/>
              <w:ind w:left="360"/>
              <w:rPr>
                <w:rFonts w:cs="Arial"/>
                <w:i/>
              </w:rPr>
            </w:pPr>
            <w:r w:rsidRPr="008B15F7">
              <w:rPr>
                <w:rFonts w:cs="Arial"/>
                <w:i/>
              </w:rPr>
              <w:t>If “no” to question #</w:t>
            </w:r>
            <w:r w:rsidR="00D220EB">
              <w:rPr>
                <w:rFonts w:cs="Arial"/>
                <w:i/>
              </w:rPr>
              <w:t>12</w:t>
            </w:r>
            <w:r w:rsidRPr="008B15F7">
              <w:rPr>
                <w:rFonts w:cs="Arial"/>
                <w:i/>
              </w:rPr>
              <w:t>, skip questions #1</w:t>
            </w:r>
            <w:r w:rsidR="001A1DD8">
              <w:rPr>
                <w:rFonts w:cs="Arial"/>
                <w:i/>
              </w:rPr>
              <w:t>3</w:t>
            </w:r>
            <w:r w:rsidRPr="008B15F7">
              <w:rPr>
                <w:rFonts w:cs="Arial"/>
                <w:i/>
              </w:rPr>
              <w:t>-1</w:t>
            </w:r>
            <w:r w:rsidR="001A1DD8">
              <w:rPr>
                <w:rFonts w:cs="Arial"/>
                <w:i/>
              </w:rPr>
              <w:t>4</w:t>
            </w:r>
            <w:r w:rsidRPr="008B15F7">
              <w:rPr>
                <w:rFonts w:cs="Arial"/>
                <w:i/>
              </w:rPr>
              <w:t xml:space="preserve"> and continue to question #1</w:t>
            </w:r>
            <w:r w:rsidR="001A1DD8">
              <w:rPr>
                <w:rFonts w:cs="Arial"/>
                <w:i/>
              </w:rPr>
              <w:t>5</w:t>
            </w:r>
            <w:r w:rsidRPr="008B15F7">
              <w:rPr>
                <w:rFonts w:cs="Arial"/>
                <w:i/>
              </w:rPr>
              <w:t>.</w:t>
            </w:r>
          </w:p>
        </w:tc>
        <w:tc>
          <w:tcPr>
            <w:tcW w:w="1651" w:type="dxa"/>
            <w:vAlign w:val="center"/>
          </w:tcPr>
          <w:p w14:paraId="5704F113" w14:textId="77777777" w:rsidR="00C3345F" w:rsidRPr="00CF4879" w:rsidRDefault="00C3345F" w:rsidP="00AD309C">
            <w:pPr>
              <w:pStyle w:val="ListParagraph"/>
              <w:numPr>
                <w:ilvl w:val="0"/>
                <w:numId w:val="333"/>
              </w:numPr>
              <w:rPr>
                <w:rFonts w:cs="Arial"/>
                <w:iCs/>
                <w:snapToGrid w:val="0"/>
              </w:rPr>
            </w:pPr>
            <w:r w:rsidRPr="00CF4879">
              <w:rPr>
                <w:rFonts w:cs="Arial"/>
                <w:iCs/>
                <w:snapToGrid w:val="0"/>
              </w:rPr>
              <w:t>Yes</w:t>
            </w:r>
          </w:p>
          <w:p w14:paraId="73A150BF" w14:textId="77777777" w:rsidR="00C3345F" w:rsidRPr="00CF4879" w:rsidRDefault="00C3345F" w:rsidP="00AD309C">
            <w:pPr>
              <w:pStyle w:val="ListParagraph"/>
              <w:numPr>
                <w:ilvl w:val="0"/>
                <w:numId w:val="333"/>
              </w:numPr>
              <w:rPr>
                <w:rFonts w:cs="Arial"/>
                <w:i/>
                <w:snapToGrid w:val="0"/>
              </w:rPr>
            </w:pPr>
            <w:r w:rsidRPr="00CF4879">
              <w:rPr>
                <w:rFonts w:cs="Arial"/>
                <w:iCs/>
                <w:snapToGrid w:val="0"/>
              </w:rPr>
              <w:t>No</w:t>
            </w:r>
            <w:r w:rsidRPr="00CF4879">
              <w:rPr>
                <w:rFonts w:cs="Arial"/>
                <w:i/>
                <w:snapToGrid w:val="0"/>
              </w:rPr>
              <w:t xml:space="preserve"> </w:t>
            </w:r>
          </w:p>
        </w:tc>
      </w:tr>
      <w:tr w:rsidR="008D6E32" w:rsidRPr="009A5185" w14:paraId="65B59C25" w14:textId="77777777" w:rsidTr="00FF651B">
        <w:trPr>
          <w:trHeight w:val="576"/>
        </w:trPr>
        <w:tc>
          <w:tcPr>
            <w:tcW w:w="7704" w:type="dxa"/>
            <w:vAlign w:val="center"/>
          </w:tcPr>
          <w:p w14:paraId="733DAB83" w14:textId="5E803A2F" w:rsidR="008D6E32" w:rsidRPr="009A5185" w:rsidRDefault="008D6E32" w:rsidP="00AD309C">
            <w:pPr>
              <w:pStyle w:val="ListParagraph"/>
              <w:numPr>
                <w:ilvl w:val="0"/>
                <w:numId w:val="41"/>
              </w:numPr>
              <w:rPr>
                <w:rFonts w:cs="Arial"/>
              </w:rPr>
            </w:pPr>
            <w:r w:rsidRPr="009A5185">
              <w:rPr>
                <w:rFonts w:cs="Arial"/>
              </w:rPr>
              <w:t>If “yes,” how many of this type of unit were open and staffed in the hospital?</w:t>
            </w:r>
          </w:p>
        </w:tc>
        <w:tc>
          <w:tcPr>
            <w:tcW w:w="1651" w:type="dxa"/>
            <w:vAlign w:val="center"/>
          </w:tcPr>
          <w:p w14:paraId="1FE9C19E" w14:textId="631B8451" w:rsidR="008D6E32" w:rsidRPr="009A5185" w:rsidRDefault="008D6E32">
            <w:pPr>
              <w:jc w:val="center"/>
              <w:rPr>
                <w:rFonts w:cs="Arial"/>
                <w:i/>
                <w:snapToGrid w:val="0"/>
              </w:rPr>
            </w:pPr>
            <w:r w:rsidRPr="009A5185">
              <w:rPr>
                <w:rFonts w:cs="Arial"/>
                <w:i/>
                <w:snapToGrid w:val="0"/>
              </w:rPr>
              <w:t>_____</w:t>
            </w:r>
          </w:p>
        </w:tc>
      </w:tr>
      <w:tr w:rsidR="00C3345F" w:rsidRPr="009A5185" w14:paraId="780AFF61" w14:textId="77777777" w:rsidTr="00FF651B">
        <w:trPr>
          <w:trHeight w:val="720"/>
        </w:trPr>
        <w:tc>
          <w:tcPr>
            <w:tcW w:w="7704" w:type="dxa"/>
            <w:vAlign w:val="center"/>
          </w:tcPr>
          <w:p w14:paraId="2A1CBC1A" w14:textId="385B6142" w:rsidR="00C3345F" w:rsidRPr="009A5185" w:rsidRDefault="00C3345F" w:rsidP="00AD309C">
            <w:pPr>
              <w:pStyle w:val="ListParagraph"/>
              <w:numPr>
                <w:ilvl w:val="0"/>
                <w:numId w:val="41"/>
              </w:numPr>
              <w:rPr>
                <w:rFonts w:cs="Arial"/>
              </w:rPr>
            </w:pPr>
            <w:r w:rsidRPr="009A5185">
              <w:rPr>
                <w:rFonts w:cs="Arial"/>
              </w:rPr>
              <w:t>How many of the units in question #1</w:t>
            </w:r>
            <w:r w:rsidR="00253455">
              <w:rPr>
                <w:rFonts w:cs="Arial"/>
              </w:rPr>
              <w:t>3</w:t>
            </w:r>
            <w:r w:rsidRPr="009A5185">
              <w:rPr>
                <w:rFonts w:cs="Arial"/>
              </w:rPr>
              <w:t xml:space="preserve"> utilized the BCMA/</w:t>
            </w:r>
            <w:proofErr w:type="spellStart"/>
            <w:r w:rsidRPr="009A5185">
              <w:rPr>
                <w:rFonts w:cs="Arial"/>
              </w:rPr>
              <w:t>eMAR</w:t>
            </w:r>
            <w:proofErr w:type="spellEnd"/>
            <w:r w:rsidRPr="009A5185">
              <w:rPr>
                <w:rFonts w:cs="Arial"/>
              </w:rPr>
              <w:t xml:space="preserve"> system when administering medications at the bedside?</w:t>
            </w:r>
          </w:p>
        </w:tc>
        <w:tc>
          <w:tcPr>
            <w:tcW w:w="1651" w:type="dxa"/>
            <w:vAlign w:val="center"/>
          </w:tcPr>
          <w:p w14:paraId="2B690C56" w14:textId="77777777" w:rsidR="00C3345F" w:rsidRPr="009A5185" w:rsidRDefault="00C3345F">
            <w:pPr>
              <w:jc w:val="center"/>
              <w:rPr>
                <w:rFonts w:cs="Arial"/>
                <w:i/>
                <w:snapToGrid w:val="0"/>
              </w:rPr>
            </w:pPr>
            <w:r w:rsidRPr="009A5185">
              <w:rPr>
                <w:rFonts w:cs="Arial"/>
                <w:i/>
                <w:snapToGrid w:val="0"/>
              </w:rPr>
              <w:t>_____</w:t>
            </w:r>
          </w:p>
        </w:tc>
      </w:tr>
      <w:tr w:rsidR="005778E2" w:rsidRPr="009A5185" w14:paraId="2CD40080" w14:textId="77777777" w:rsidTr="00FF651B">
        <w:trPr>
          <w:trHeight w:val="720"/>
        </w:trPr>
        <w:tc>
          <w:tcPr>
            <w:tcW w:w="7704" w:type="dxa"/>
            <w:vAlign w:val="center"/>
          </w:tcPr>
          <w:p w14:paraId="04FC267A" w14:textId="00012FC2" w:rsidR="005778E2" w:rsidRPr="0059120C" w:rsidRDefault="005778E2" w:rsidP="00AD309C">
            <w:pPr>
              <w:pStyle w:val="ListParagraph"/>
              <w:numPr>
                <w:ilvl w:val="0"/>
                <w:numId w:val="41"/>
              </w:numPr>
              <w:rPr>
                <w:rFonts w:cs="Arial"/>
              </w:rPr>
            </w:pPr>
            <w:r w:rsidRPr="0059120C">
              <w:rPr>
                <w:rFonts w:cs="Arial"/>
              </w:rPr>
              <w:t xml:space="preserve">Does your hospital operate </w:t>
            </w:r>
            <w:r w:rsidR="001748D3">
              <w:rPr>
                <w:rFonts w:cs="Arial"/>
              </w:rPr>
              <w:t>adult and</w:t>
            </w:r>
            <w:r w:rsidR="00931665">
              <w:rPr>
                <w:rFonts w:cs="Arial"/>
              </w:rPr>
              <w:t>/or</w:t>
            </w:r>
            <w:r w:rsidR="001748D3">
              <w:rPr>
                <w:rFonts w:cs="Arial"/>
              </w:rPr>
              <w:t xml:space="preserve"> pediatric </w:t>
            </w:r>
            <w:hyperlink w:anchor="pacusendnote" w:history="1">
              <w:r w:rsidR="00B04A67">
                <w:rPr>
                  <w:rStyle w:val="Hyperlink"/>
                  <w:rFonts w:cs="Arial"/>
                </w:rPr>
                <w:t>P</w:t>
              </w:r>
              <w:r w:rsidR="00BD7FBF">
                <w:rPr>
                  <w:rStyle w:val="Hyperlink"/>
                  <w:rFonts w:cs="Arial"/>
                </w:rPr>
                <w:t xml:space="preserve">re-operative and </w:t>
              </w:r>
              <w:r w:rsidR="00B04A67">
                <w:rPr>
                  <w:rStyle w:val="Hyperlink"/>
                  <w:rFonts w:cs="Arial"/>
                </w:rPr>
                <w:t>P</w:t>
              </w:r>
              <w:r w:rsidR="00BD7FBF">
                <w:rPr>
                  <w:rStyle w:val="Hyperlink"/>
                  <w:rFonts w:cs="Arial"/>
                </w:rPr>
                <w:t xml:space="preserve">ost-anesthesia </w:t>
              </w:r>
              <w:r w:rsidR="00B04A67">
                <w:rPr>
                  <w:rStyle w:val="Hyperlink"/>
                  <w:rFonts w:cs="Arial"/>
                </w:rPr>
                <w:t>C</w:t>
              </w:r>
              <w:r w:rsidR="00BD7FBF">
                <w:rPr>
                  <w:rStyle w:val="Hyperlink"/>
                  <w:rFonts w:cs="Arial"/>
                </w:rPr>
                <w:t xml:space="preserve">are </w:t>
              </w:r>
              <w:r w:rsidR="00B04A67">
                <w:rPr>
                  <w:rStyle w:val="Hyperlink"/>
                  <w:rFonts w:cs="Arial"/>
                </w:rPr>
                <w:t>U</w:t>
              </w:r>
              <w:r w:rsidR="00BD7FBF">
                <w:rPr>
                  <w:rStyle w:val="Hyperlink"/>
                  <w:rFonts w:cs="Arial"/>
                </w:rPr>
                <w:t>nits</w:t>
              </w:r>
            </w:hyperlink>
            <w:bookmarkStart w:id="169" w:name="_Ref158623544"/>
            <w:r w:rsidR="00BF053F">
              <w:rPr>
                <w:rFonts w:ascii="ZWAdobeF" w:hAnsi="ZWAdobeF" w:cs="ZWAdobeF"/>
                <w:sz w:val="2"/>
                <w:szCs w:val="2"/>
              </w:rPr>
              <w:t>21F</w:t>
            </w:r>
            <w:r w:rsidR="004C7557">
              <w:rPr>
                <w:rFonts w:ascii="ZWAdobeF" w:hAnsi="ZWAdobeF" w:cs="ZWAdobeF"/>
                <w:sz w:val="2"/>
                <w:szCs w:val="2"/>
              </w:rPr>
              <w:t>21F</w:t>
            </w:r>
            <w:r w:rsidR="00C2087D">
              <w:rPr>
                <w:rFonts w:ascii="ZWAdobeF" w:hAnsi="ZWAdobeF" w:cs="ZWAdobeF"/>
                <w:sz w:val="2"/>
                <w:szCs w:val="2"/>
              </w:rPr>
              <w:t>21F</w:t>
            </w:r>
            <w:r w:rsidR="00B55C41">
              <w:rPr>
                <w:rFonts w:ascii="ZWAdobeF" w:hAnsi="ZWAdobeF" w:cs="ZWAdobeF"/>
                <w:sz w:val="2"/>
                <w:szCs w:val="2"/>
              </w:rPr>
              <w:t>21F</w:t>
            </w:r>
            <w:r w:rsidR="006255A6">
              <w:rPr>
                <w:rFonts w:ascii="ZWAdobeF" w:hAnsi="ZWAdobeF" w:cs="ZWAdobeF"/>
                <w:sz w:val="2"/>
                <w:szCs w:val="2"/>
              </w:rPr>
              <w:t>21F</w:t>
            </w:r>
            <w:r w:rsidR="00E453C7">
              <w:rPr>
                <w:rFonts w:ascii="ZWAdobeF" w:hAnsi="ZWAdobeF" w:cs="ZWAdobeF"/>
                <w:sz w:val="2"/>
                <w:szCs w:val="2"/>
              </w:rPr>
              <w:t>21F</w:t>
            </w:r>
            <w:r w:rsidR="00953060">
              <w:rPr>
                <w:rFonts w:ascii="ZWAdobeF" w:hAnsi="ZWAdobeF" w:cs="ZWAdobeF"/>
                <w:sz w:val="2"/>
                <w:szCs w:val="2"/>
              </w:rPr>
              <w:t>21F</w:t>
            </w:r>
            <w:r w:rsidR="00DD04D6">
              <w:rPr>
                <w:rFonts w:ascii="ZWAdobeF" w:hAnsi="ZWAdobeF" w:cs="ZWAdobeF"/>
                <w:sz w:val="2"/>
                <w:szCs w:val="2"/>
              </w:rPr>
              <w:t>21F</w:t>
            </w:r>
            <w:r w:rsidR="00DB5E96">
              <w:rPr>
                <w:rStyle w:val="EndnoteReference"/>
              </w:rPr>
              <w:endnoteReference w:id="23"/>
            </w:r>
            <w:bookmarkEnd w:id="169"/>
            <w:r w:rsidR="00251E1C" w:rsidRPr="006238F7">
              <w:rPr>
                <w:rStyle w:val="Hyperlink"/>
                <w:rFonts w:cs="Arial"/>
                <w:color w:val="auto"/>
                <w:u w:val="none"/>
              </w:rPr>
              <w:t>?</w:t>
            </w:r>
          </w:p>
          <w:p w14:paraId="585CBEC8" w14:textId="77777777" w:rsidR="005778E2" w:rsidRPr="0059120C" w:rsidRDefault="005778E2" w:rsidP="005778E2">
            <w:pPr>
              <w:rPr>
                <w:rFonts w:cs="Arial"/>
              </w:rPr>
            </w:pPr>
          </w:p>
          <w:p w14:paraId="6523C9F6" w14:textId="075618AB" w:rsidR="005778E2" w:rsidRPr="009A5185" w:rsidRDefault="005778E2" w:rsidP="00C8246A">
            <w:pPr>
              <w:pStyle w:val="ListParagraph"/>
              <w:ind w:left="360"/>
              <w:rPr>
                <w:rFonts w:cs="Arial"/>
              </w:rPr>
            </w:pPr>
            <w:r w:rsidRPr="00786EDD">
              <w:rPr>
                <w:rFonts w:cs="Arial"/>
                <w:i/>
                <w:iCs/>
              </w:rPr>
              <w:t>If “no” to question #1</w:t>
            </w:r>
            <w:r w:rsidR="00DE1C2E">
              <w:rPr>
                <w:rFonts w:cs="Arial"/>
                <w:i/>
                <w:iCs/>
              </w:rPr>
              <w:t>5</w:t>
            </w:r>
            <w:r w:rsidRPr="00786EDD">
              <w:rPr>
                <w:rFonts w:cs="Arial"/>
                <w:i/>
                <w:iCs/>
              </w:rPr>
              <w:t>, skip questions #1</w:t>
            </w:r>
            <w:r w:rsidR="00DE1C2E">
              <w:rPr>
                <w:rFonts w:cs="Arial"/>
                <w:i/>
                <w:iCs/>
              </w:rPr>
              <w:t>6</w:t>
            </w:r>
            <w:r w:rsidRPr="00786EDD">
              <w:rPr>
                <w:rFonts w:cs="Arial"/>
                <w:i/>
                <w:iCs/>
              </w:rPr>
              <w:t>-1</w:t>
            </w:r>
            <w:r w:rsidR="00DE1C2E">
              <w:rPr>
                <w:rFonts w:cs="Arial"/>
                <w:i/>
                <w:iCs/>
              </w:rPr>
              <w:t>7</w:t>
            </w:r>
            <w:r w:rsidRPr="00786EDD">
              <w:rPr>
                <w:rFonts w:cs="Arial"/>
                <w:i/>
                <w:iCs/>
              </w:rPr>
              <w:t xml:space="preserve"> and continue to question #1</w:t>
            </w:r>
            <w:r w:rsidR="00DE1C2E">
              <w:rPr>
                <w:rFonts w:cs="Arial"/>
                <w:i/>
                <w:iCs/>
              </w:rPr>
              <w:t>8</w:t>
            </w:r>
            <w:r w:rsidRPr="00786EDD">
              <w:rPr>
                <w:rFonts w:cs="Arial"/>
                <w:i/>
                <w:iCs/>
              </w:rPr>
              <w:t>.</w:t>
            </w:r>
          </w:p>
        </w:tc>
        <w:tc>
          <w:tcPr>
            <w:tcW w:w="1651" w:type="dxa"/>
            <w:vAlign w:val="center"/>
          </w:tcPr>
          <w:p w14:paraId="600840A4" w14:textId="77777777" w:rsidR="005778E2" w:rsidRDefault="005778E2" w:rsidP="00AD309C">
            <w:pPr>
              <w:pStyle w:val="ListParagraph"/>
              <w:numPr>
                <w:ilvl w:val="0"/>
                <w:numId w:val="334"/>
              </w:numPr>
              <w:rPr>
                <w:rFonts w:cs="Arial"/>
                <w:iCs/>
                <w:snapToGrid w:val="0"/>
              </w:rPr>
            </w:pPr>
            <w:r w:rsidRPr="00C8246A">
              <w:rPr>
                <w:rFonts w:cs="Arial"/>
                <w:iCs/>
                <w:snapToGrid w:val="0"/>
              </w:rPr>
              <w:t>Yes</w:t>
            </w:r>
          </w:p>
          <w:p w14:paraId="2907D71B" w14:textId="1F6AD208" w:rsidR="005778E2" w:rsidRPr="00C8246A" w:rsidRDefault="005778E2" w:rsidP="00AD309C">
            <w:pPr>
              <w:pStyle w:val="ListParagraph"/>
              <w:numPr>
                <w:ilvl w:val="0"/>
                <w:numId w:val="334"/>
              </w:numPr>
              <w:rPr>
                <w:rFonts w:cs="Arial"/>
                <w:iCs/>
                <w:snapToGrid w:val="0"/>
              </w:rPr>
            </w:pPr>
            <w:r w:rsidRPr="00C8246A">
              <w:rPr>
                <w:rFonts w:cs="Arial"/>
                <w:iCs/>
                <w:snapToGrid w:val="0"/>
              </w:rPr>
              <w:t>No</w:t>
            </w:r>
          </w:p>
        </w:tc>
      </w:tr>
      <w:tr w:rsidR="005778E2" w:rsidRPr="009A5185" w14:paraId="7CA0B874" w14:textId="77777777" w:rsidTr="00FF651B">
        <w:trPr>
          <w:trHeight w:val="720"/>
        </w:trPr>
        <w:tc>
          <w:tcPr>
            <w:tcW w:w="7704" w:type="dxa"/>
            <w:vAlign w:val="center"/>
          </w:tcPr>
          <w:p w14:paraId="67DDEDAE" w14:textId="0BF67EEE" w:rsidR="005778E2" w:rsidRPr="009A5185" w:rsidRDefault="005778E2" w:rsidP="00AD309C">
            <w:pPr>
              <w:pStyle w:val="ListParagraph"/>
              <w:numPr>
                <w:ilvl w:val="0"/>
                <w:numId w:val="41"/>
              </w:numPr>
              <w:rPr>
                <w:rFonts w:cs="Arial"/>
              </w:rPr>
            </w:pPr>
            <w:r w:rsidRPr="0059120C">
              <w:rPr>
                <w:rFonts w:cs="Arial"/>
              </w:rPr>
              <w:t>If “yes,” how many of this type of unit are open and staffed in the hospital?</w:t>
            </w:r>
          </w:p>
        </w:tc>
        <w:tc>
          <w:tcPr>
            <w:tcW w:w="1651" w:type="dxa"/>
            <w:vAlign w:val="center"/>
          </w:tcPr>
          <w:p w14:paraId="47F4279E" w14:textId="0A7036D2" w:rsidR="005778E2" w:rsidRPr="009A5185" w:rsidRDefault="005778E2" w:rsidP="005778E2">
            <w:pPr>
              <w:jc w:val="center"/>
              <w:rPr>
                <w:rFonts w:cs="Arial"/>
                <w:i/>
                <w:snapToGrid w:val="0"/>
              </w:rPr>
            </w:pPr>
            <w:r w:rsidRPr="009A5185">
              <w:rPr>
                <w:rFonts w:cs="Arial"/>
                <w:i/>
                <w:snapToGrid w:val="0"/>
              </w:rPr>
              <w:t>_____</w:t>
            </w:r>
          </w:p>
        </w:tc>
      </w:tr>
      <w:tr w:rsidR="005778E2" w:rsidRPr="009A5185" w14:paraId="4A3EE8FC" w14:textId="77777777" w:rsidTr="00FF651B">
        <w:trPr>
          <w:trHeight w:val="720"/>
        </w:trPr>
        <w:tc>
          <w:tcPr>
            <w:tcW w:w="7704" w:type="dxa"/>
            <w:vAlign w:val="center"/>
          </w:tcPr>
          <w:p w14:paraId="774EE055" w14:textId="51A87C8D" w:rsidR="005778E2" w:rsidRPr="009A5185" w:rsidRDefault="005778E2" w:rsidP="00AD309C">
            <w:pPr>
              <w:pStyle w:val="ListParagraph"/>
              <w:numPr>
                <w:ilvl w:val="0"/>
                <w:numId w:val="41"/>
              </w:numPr>
              <w:rPr>
                <w:rFonts w:cs="Arial"/>
              </w:rPr>
            </w:pPr>
            <w:r w:rsidRPr="0059120C">
              <w:rPr>
                <w:rFonts w:cs="Arial"/>
              </w:rPr>
              <w:t>How many of the units in question #1</w:t>
            </w:r>
            <w:r w:rsidR="00221801">
              <w:rPr>
                <w:rFonts w:cs="Arial"/>
              </w:rPr>
              <w:t>6</w:t>
            </w:r>
            <w:r w:rsidRPr="0059120C">
              <w:rPr>
                <w:rFonts w:cs="Arial"/>
              </w:rPr>
              <w:t xml:space="preserve"> utilized the BCMA/</w:t>
            </w:r>
            <w:proofErr w:type="spellStart"/>
            <w:r w:rsidRPr="0059120C">
              <w:rPr>
                <w:rFonts w:cs="Arial"/>
              </w:rPr>
              <w:t>eMAR</w:t>
            </w:r>
            <w:proofErr w:type="spellEnd"/>
            <w:r w:rsidRPr="0059120C">
              <w:rPr>
                <w:rFonts w:cs="Arial"/>
              </w:rPr>
              <w:t xml:space="preserve"> system when administering medications at the bedside?</w:t>
            </w:r>
          </w:p>
        </w:tc>
        <w:tc>
          <w:tcPr>
            <w:tcW w:w="1651" w:type="dxa"/>
            <w:vAlign w:val="center"/>
          </w:tcPr>
          <w:p w14:paraId="2801058E" w14:textId="5FC930C2" w:rsidR="005778E2" w:rsidRPr="009A5185" w:rsidRDefault="005778E2" w:rsidP="005778E2">
            <w:pPr>
              <w:jc w:val="center"/>
              <w:rPr>
                <w:rFonts w:cs="Arial"/>
                <w:i/>
                <w:snapToGrid w:val="0"/>
              </w:rPr>
            </w:pPr>
            <w:r w:rsidRPr="009A5185">
              <w:rPr>
                <w:rFonts w:cs="Arial"/>
                <w:i/>
                <w:snapToGrid w:val="0"/>
              </w:rPr>
              <w:t>_____</w:t>
            </w:r>
          </w:p>
        </w:tc>
      </w:tr>
    </w:tbl>
    <w:p w14:paraId="58F418A9" w14:textId="77777777" w:rsidR="00C3345F" w:rsidRPr="009A5185" w:rsidRDefault="00C3345F" w:rsidP="00C3345F">
      <w:pPr>
        <w:spacing w:line="276" w:lineRule="auto"/>
        <w:rPr>
          <w:rFonts w:cs="Arial"/>
        </w:rPr>
      </w:pPr>
    </w:p>
    <w:p w14:paraId="2762DEF1" w14:textId="24EEA1BA" w:rsidR="00C3345F" w:rsidRDefault="00C3345F" w:rsidP="00C3345F">
      <w:pPr>
        <w:spacing w:line="276" w:lineRule="auto"/>
        <w:rPr>
          <w:rFonts w:cs="Arial"/>
          <w:i/>
        </w:rPr>
      </w:pPr>
      <w:r w:rsidRPr="008B15F7">
        <w:rPr>
          <w:rFonts w:cs="Arial"/>
          <w:i/>
        </w:rPr>
        <w:t>If “no” to questions #3, #6, #9</w:t>
      </w:r>
      <w:r w:rsidR="00653074">
        <w:rPr>
          <w:rFonts w:cs="Arial"/>
          <w:i/>
        </w:rPr>
        <w:t>, #12</w:t>
      </w:r>
      <w:r w:rsidR="009A094C">
        <w:rPr>
          <w:rFonts w:cs="Arial"/>
          <w:i/>
        </w:rPr>
        <w:t>, and #1</w:t>
      </w:r>
      <w:r w:rsidR="000879D6">
        <w:rPr>
          <w:rFonts w:cs="Arial"/>
          <w:i/>
        </w:rPr>
        <w:t>5</w:t>
      </w:r>
      <w:r w:rsidRPr="008B15F7">
        <w:rPr>
          <w:rFonts w:cs="Arial"/>
          <w:i/>
        </w:rPr>
        <w:t xml:space="preserve"> above, </w:t>
      </w:r>
      <w:r w:rsidR="000454A4">
        <w:rPr>
          <w:rFonts w:cs="Arial"/>
          <w:i/>
        </w:rPr>
        <w:t>update your response to question #2.</w:t>
      </w:r>
      <w:r w:rsidRPr="009A5185">
        <w:rPr>
          <w:rFonts w:cs="Arial"/>
          <w:i/>
        </w:rPr>
        <w:t xml:space="preserve"> </w:t>
      </w:r>
    </w:p>
    <w:p w14:paraId="4035E272" w14:textId="132C91DA" w:rsidR="008D6E32" w:rsidRDefault="008D6E32" w:rsidP="00C3345F">
      <w:pPr>
        <w:spacing w:line="276" w:lineRule="auto"/>
        <w:rPr>
          <w:rFonts w:cs="Arial"/>
          <w:i/>
        </w:rPr>
      </w:pPr>
    </w:p>
    <w:tbl>
      <w:tblPr>
        <w:tblStyle w:val="TableGrid"/>
        <w:tblW w:w="0" w:type="auto"/>
        <w:tblLook w:val="04A0" w:firstRow="1" w:lastRow="0" w:firstColumn="1" w:lastColumn="0" w:noHBand="0" w:noVBand="1"/>
      </w:tblPr>
      <w:tblGrid>
        <w:gridCol w:w="7735"/>
        <w:gridCol w:w="1615"/>
      </w:tblGrid>
      <w:tr w:rsidR="008D6E32" w14:paraId="5136ECE8" w14:textId="77777777" w:rsidTr="00680456">
        <w:trPr>
          <w:trHeight w:val="935"/>
        </w:trPr>
        <w:tc>
          <w:tcPr>
            <w:tcW w:w="7735" w:type="dxa"/>
            <w:vAlign w:val="center"/>
          </w:tcPr>
          <w:p w14:paraId="77F48301" w14:textId="71BF14B0" w:rsidR="008D6E32" w:rsidRPr="008D6E32" w:rsidRDefault="008D6E32" w:rsidP="00AD309C">
            <w:pPr>
              <w:pStyle w:val="ListParagraph"/>
              <w:numPr>
                <w:ilvl w:val="0"/>
                <w:numId w:val="41"/>
              </w:numPr>
              <w:spacing w:line="276" w:lineRule="auto"/>
              <w:rPr>
                <w:rFonts w:cs="Arial"/>
                <w:i/>
              </w:rPr>
            </w:pPr>
            <w:r w:rsidRPr="008D6E32">
              <w:rPr>
                <w:rFonts w:cs="Arial"/>
              </w:rPr>
              <w:t>The number of scannable medication administrations during the reporting period in those units that utilize BCMA as indicated in questions #5, #8,</w:t>
            </w:r>
            <w:r w:rsidR="00653074">
              <w:rPr>
                <w:rFonts w:cs="Arial"/>
              </w:rPr>
              <w:t xml:space="preserve"> </w:t>
            </w:r>
            <w:r w:rsidRPr="008D6E32">
              <w:rPr>
                <w:rFonts w:cs="Arial"/>
              </w:rPr>
              <w:t>#11</w:t>
            </w:r>
            <w:r w:rsidR="00653074">
              <w:rPr>
                <w:rFonts w:cs="Arial"/>
              </w:rPr>
              <w:t>, #14</w:t>
            </w:r>
            <w:r w:rsidR="001E7EF8">
              <w:rPr>
                <w:rFonts w:cs="Arial"/>
              </w:rPr>
              <w:t>,</w:t>
            </w:r>
            <w:r w:rsidRPr="008D6E32">
              <w:rPr>
                <w:rFonts w:cs="Arial"/>
              </w:rPr>
              <w:t xml:space="preserve"> </w:t>
            </w:r>
            <w:r w:rsidR="00FE7733">
              <w:rPr>
                <w:rFonts w:cs="Arial"/>
              </w:rPr>
              <w:t>and #1</w:t>
            </w:r>
            <w:r w:rsidR="00520909">
              <w:rPr>
                <w:rFonts w:cs="Arial"/>
              </w:rPr>
              <w:t xml:space="preserve">7 </w:t>
            </w:r>
            <w:r w:rsidRPr="008D6E32">
              <w:rPr>
                <w:rFonts w:cs="Arial"/>
              </w:rPr>
              <w:t>above</w:t>
            </w:r>
            <w:r w:rsidR="00521651">
              <w:rPr>
                <w:rFonts w:cs="Arial"/>
              </w:rPr>
              <w:t>:</w:t>
            </w:r>
          </w:p>
        </w:tc>
        <w:tc>
          <w:tcPr>
            <w:tcW w:w="1615" w:type="dxa"/>
            <w:vAlign w:val="center"/>
          </w:tcPr>
          <w:p w14:paraId="7A52B000" w14:textId="38B34BCF" w:rsidR="008D6E32" w:rsidRDefault="008D6E32" w:rsidP="00680456">
            <w:pPr>
              <w:spacing w:line="276" w:lineRule="auto"/>
              <w:jc w:val="center"/>
              <w:rPr>
                <w:rFonts w:cs="Arial"/>
                <w:i/>
              </w:rPr>
            </w:pPr>
            <w:r w:rsidRPr="009A5185">
              <w:rPr>
                <w:rFonts w:cs="Arial"/>
                <w:i/>
                <w:snapToGrid w:val="0"/>
              </w:rPr>
              <w:t>_____</w:t>
            </w:r>
          </w:p>
        </w:tc>
      </w:tr>
      <w:tr w:rsidR="008D6E32" w14:paraId="1FED2D96" w14:textId="77777777" w:rsidTr="00680456">
        <w:trPr>
          <w:trHeight w:val="890"/>
        </w:trPr>
        <w:tc>
          <w:tcPr>
            <w:tcW w:w="7735" w:type="dxa"/>
            <w:vAlign w:val="center"/>
          </w:tcPr>
          <w:p w14:paraId="432B5254" w14:textId="6C7BF60C" w:rsidR="008D6E32" w:rsidRPr="008D6E32" w:rsidRDefault="008D6E32" w:rsidP="00AD309C">
            <w:pPr>
              <w:pStyle w:val="ListParagraph"/>
              <w:numPr>
                <w:ilvl w:val="0"/>
                <w:numId w:val="41"/>
              </w:numPr>
              <w:spacing w:line="276" w:lineRule="auto"/>
              <w:rPr>
                <w:rFonts w:cs="Arial"/>
                <w:i/>
              </w:rPr>
            </w:pPr>
            <w:r w:rsidRPr="008D6E32">
              <w:rPr>
                <w:rFonts w:cs="Arial"/>
              </w:rPr>
              <w:t>The number of medication administrations from question #1</w:t>
            </w:r>
            <w:r w:rsidR="00873F7A">
              <w:rPr>
                <w:rFonts w:cs="Arial"/>
              </w:rPr>
              <w:t>8</w:t>
            </w:r>
            <w:r w:rsidRPr="008D6E32">
              <w:rPr>
                <w:rFonts w:cs="Arial"/>
              </w:rPr>
              <w:t xml:space="preserve"> that had both the patient and the medication scanned during administration with a BCMA system that is linked to the electronic medication administration record (</w:t>
            </w:r>
            <w:proofErr w:type="spellStart"/>
            <w:r w:rsidRPr="008D6E32">
              <w:rPr>
                <w:rFonts w:cs="Arial"/>
              </w:rPr>
              <w:t>eMAR</w:t>
            </w:r>
            <w:proofErr w:type="spellEnd"/>
            <w:r w:rsidRPr="008D6E32">
              <w:rPr>
                <w:rFonts w:cs="Arial"/>
              </w:rPr>
              <w:t>)</w:t>
            </w:r>
            <w:r w:rsidR="00521651">
              <w:rPr>
                <w:rFonts w:cs="Arial"/>
              </w:rPr>
              <w:t>:</w:t>
            </w:r>
          </w:p>
        </w:tc>
        <w:tc>
          <w:tcPr>
            <w:tcW w:w="1615" w:type="dxa"/>
            <w:vAlign w:val="center"/>
          </w:tcPr>
          <w:p w14:paraId="70023661" w14:textId="6F005BDC" w:rsidR="008D6E32" w:rsidRDefault="008D6E32" w:rsidP="00680456">
            <w:pPr>
              <w:spacing w:line="276" w:lineRule="auto"/>
              <w:jc w:val="center"/>
              <w:rPr>
                <w:rFonts w:cs="Arial"/>
                <w:i/>
              </w:rPr>
            </w:pPr>
            <w:r w:rsidRPr="009A5185">
              <w:rPr>
                <w:rFonts w:cs="Arial"/>
                <w:i/>
                <w:snapToGrid w:val="0"/>
              </w:rPr>
              <w:t>_____</w:t>
            </w:r>
          </w:p>
        </w:tc>
      </w:tr>
    </w:tbl>
    <w:p w14:paraId="06920FEF" w14:textId="77777777" w:rsidR="00C3345F" w:rsidRPr="009A5185" w:rsidRDefault="00C3345F" w:rsidP="00C3345F">
      <w:pPr>
        <w:spacing w:line="276" w:lineRule="auto"/>
        <w:rPr>
          <w:rFonts w:cs="Arial"/>
        </w:rPr>
      </w:pPr>
    </w:p>
    <w:tbl>
      <w:tblPr>
        <w:tblStyle w:val="TableGrid"/>
        <w:tblW w:w="0" w:type="auto"/>
        <w:tblLook w:val="04A0" w:firstRow="1" w:lastRow="0" w:firstColumn="1" w:lastColumn="0" w:noHBand="0" w:noVBand="1"/>
      </w:tblPr>
      <w:tblGrid>
        <w:gridCol w:w="394"/>
        <w:gridCol w:w="7251"/>
        <w:gridCol w:w="1705"/>
      </w:tblGrid>
      <w:tr w:rsidR="00C3345F" w:rsidRPr="009A5185" w14:paraId="78BF609E" w14:textId="77777777" w:rsidTr="007C4D5D">
        <w:trPr>
          <w:trHeight w:val="20"/>
        </w:trPr>
        <w:tc>
          <w:tcPr>
            <w:tcW w:w="0" w:type="auto"/>
            <w:gridSpan w:val="3"/>
          </w:tcPr>
          <w:p w14:paraId="682BF0BD" w14:textId="5D79A78E" w:rsidR="00C3345F" w:rsidRPr="00F0772B" w:rsidRDefault="00C3345F" w:rsidP="00AD309C">
            <w:pPr>
              <w:pStyle w:val="ListParagraph"/>
              <w:numPr>
                <w:ilvl w:val="0"/>
                <w:numId w:val="41"/>
              </w:numPr>
              <w:spacing w:before="120" w:line="276" w:lineRule="auto"/>
              <w:jc w:val="both"/>
            </w:pPr>
            <w:r w:rsidRPr="009A5185">
              <w:rPr>
                <w:rFonts w:cs="Arial"/>
              </w:rPr>
              <w:t>What types of decision support does your hospital’s BCMA system provide to users of the system?</w:t>
            </w:r>
          </w:p>
        </w:tc>
      </w:tr>
      <w:tr w:rsidR="00C3345F" w:rsidRPr="009A5185" w14:paraId="1EB74790" w14:textId="77777777" w:rsidTr="00680456">
        <w:tc>
          <w:tcPr>
            <w:tcW w:w="0" w:type="auto"/>
            <w:vAlign w:val="center"/>
          </w:tcPr>
          <w:p w14:paraId="60EA850F" w14:textId="77777777" w:rsidR="00C3345F" w:rsidRPr="009A5185" w:rsidRDefault="00C3345F" w:rsidP="00481565">
            <w:pPr>
              <w:spacing w:line="276" w:lineRule="auto"/>
              <w:rPr>
                <w:rFonts w:cs="Arial"/>
              </w:rPr>
            </w:pPr>
            <w:r w:rsidRPr="009A5185">
              <w:rPr>
                <w:rFonts w:cs="Arial"/>
              </w:rPr>
              <w:t>a)</w:t>
            </w:r>
          </w:p>
        </w:tc>
        <w:tc>
          <w:tcPr>
            <w:tcW w:w="7251" w:type="dxa"/>
            <w:vAlign w:val="center"/>
          </w:tcPr>
          <w:p w14:paraId="1FFF6D70" w14:textId="77777777" w:rsidR="00C3345F" w:rsidRPr="009A5185" w:rsidRDefault="00C3345F" w:rsidP="00481565">
            <w:pPr>
              <w:spacing w:line="276" w:lineRule="auto"/>
              <w:rPr>
                <w:rFonts w:cs="Arial"/>
              </w:rPr>
            </w:pPr>
            <w:r w:rsidRPr="009A5185">
              <w:rPr>
                <w:rFonts w:cs="Arial"/>
              </w:rPr>
              <w:t>Wrong patient</w:t>
            </w:r>
          </w:p>
        </w:tc>
        <w:tc>
          <w:tcPr>
            <w:tcW w:w="1705" w:type="dxa"/>
          </w:tcPr>
          <w:p w14:paraId="25162520" w14:textId="77777777" w:rsidR="00C3345F" w:rsidRPr="00CF4879" w:rsidRDefault="00C3345F" w:rsidP="00AD309C">
            <w:pPr>
              <w:pStyle w:val="ListParagraph"/>
              <w:numPr>
                <w:ilvl w:val="0"/>
                <w:numId w:val="335"/>
              </w:numPr>
              <w:spacing w:line="276" w:lineRule="auto"/>
              <w:rPr>
                <w:rFonts w:cs="Arial"/>
                <w:iCs/>
              </w:rPr>
            </w:pPr>
            <w:r w:rsidRPr="00CF4879">
              <w:rPr>
                <w:rFonts w:cs="Arial"/>
                <w:iCs/>
              </w:rPr>
              <w:t>Yes</w:t>
            </w:r>
          </w:p>
          <w:p w14:paraId="5D9B0262" w14:textId="77777777" w:rsidR="00C3345F" w:rsidRPr="00CF4879" w:rsidRDefault="00C3345F" w:rsidP="00AD309C">
            <w:pPr>
              <w:pStyle w:val="ListParagraph"/>
              <w:numPr>
                <w:ilvl w:val="0"/>
                <w:numId w:val="335"/>
              </w:numPr>
              <w:spacing w:line="276" w:lineRule="auto"/>
              <w:rPr>
                <w:rFonts w:cs="Arial"/>
                <w:iCs/>
              </w:rPr>
            </w:pPr>
            <w:r w:rsidRPr="00CF4879">
              <w:rPr>
                <w:rFonts w:cs="Arial"/>
                <w:iCs/>
              </w:rPr>
              <w:t>No</w:t>
            </w:r>
          </w:p>
        </w:tc>
      </w:tr>
      <w:tr w:rsidR="00C3345F" w:rsidRPr="009A5185" w14:paraId="7855A057" w14:textId="77777777" w:rsidTr="00680456">
        <w:tc>
          <w:tcPr>
            <w:tcW w:w="0" w:type="auto"/>
            <w:vAlign w:val="center"/>
          </w:tcPr>
          <w:p w14:paraId="7841309B" w14:textId="77777777" w:rsidR="00C3345F" w:rsidRPr="009A5185" w:rsidRDefault="00C3345F" w:rsidP="00481565">
            <w:pPr>
              <w:spacing w:line="276" w:lineRule="auto"/>
              <w:rPr>
                <w:rFonts w:cs="Arial"/>
              </w:rPr>
            </w:pPr>
            <w:r w:rsidRPr="009A5185">
              <w:rPr>
                <w:rFonts w:cs="Arial"/>
              </w:rPr>
              <w:t>b)</w:t>
            </w:r>
          </w:p>
        </w:tc>
        <w:tc>
          <w:tcPr>
            <w:tcW w:w="7251" w:type="dxa"/>
            <w:vAlign w:val="center"/>
          </w:tcPr>
          <w:p w14:paraId="77F2AD94" w14:textId="77777777" w:rsidR="00C3345F" w:rsidRPr="009A5185" w:rsidRDefault="00C3345F" w:rsidP="00481565">
            <w:pPr>
              <w:spacing w:line="276" w:lineRule="auto"/>
              <w:rPr>
                <w:rFonts w:cs="Arial"/>
              </w:rPr>
            </w:pPr>
            <w:r w:rsidRPr="009A5185">
              <w:rPr>
                <w:rFonts w:cs="Arial"/>
              </w:rPr>
              <w:t>Wrong medication</w:t>
            </w:r>
          </w:p>
        </w:tc>
        <w:tc>
          <w:tcPr>
            <w:tcW w:w="1705" w:type="dxa"/>
          </w:tcPr>
          <w:p w14:paraId="33FA0FF6" w14:textId="77777777" w:rsidR="00C3345F" w:rsidRPr="00CF4879" w:rsidRDefault="00C3345F" w:rsidP="00AD309C">
            <w:pPr>
              <w:pStyle w:val="ListParagraph"/>
              <w:numPr>
                <w:ilvl w:val="0"/>
                <w:numId w:val="335"/>
              </w:numPr>
              <w:rPr>
                <w:rFonts w:cs="Arial"/>
                <w:iCs/>
              </w:rPr>
            </w:pPr>
            <w:r w:rsidRPr="00CF4879">
              <w:rPr>
                <w:rFonts w:cs="Arial"/>
                <w:iCs/>
              </w:rPr>
              <w:t>Yes</w:t>
            </w:r>
          </w:p>
          <w:p w14:paraId="1B431A53" w14:textId="77777777" w:rsidR="00C3345F" w:rsidRPr="00CF4879" w:rsidRDefault="00C3345F" w:rsidP="00AD309C">
            <w:pPr>
              <w:pStyle w:val="ListParagraph"/>
              <w:numPr>
                <w:ilvl w:val="0"/>
                <w:numId w:val="335"/>
              </w:numPr>
              <w:rPr>
                <w:rFonts w:cs="Arial"/>
                <w:iCs/>
              </w:rPr>
            </w:pPr>
            <w:r w:rsidRPr="00CF4879">
              <w:rPr>
                <w:rFonts w:cs="Arial"/>
                <w:iCs/>
              </w:rPr>
              <w:t>No</w:t>
            </w:r>
          </w:p>
        </w:tc>
      </w:tr>
      <w:tr w:rsidR="00C3345F" w:rsidRPr="009A5185" w14:paraId="275366E2" w14:textId="77777777" w:rsidTr="00680456">
        <w:tc>
          <w:tcPr>
            <w:tcW w:w="0" w:type="auto"/>
            <w:vAlign w:val="center"/>
          </w:tcPr>
          <w:p w14:paraId="07F520AC" w14:textId="77777777" w:rsidR="00C3345F" w:rsidRPr="009A5185" w:rsidRDefault="00C3345F" w:rsidP="00481565">
            <w:pPr>
              <w:spacing w:line="276" w:lineRule="auto"/>
              <w:rPr>
                <w:rFonts w:cs="Arial"/>
              </w:rPr>
            </w:pPr>
            <w:r w:rsidRPr="009A5185">
              <w:rPr>
                <w:rFonts w:cs="Arial"/>
              </w:rPr>
              <w:t>c)</w:t>
            </w:r>
          </w:p>
        </w:tc>
        <w:tc>
          <w:tcPr>
            <w:tcW w:w="7251" w:type="dxa"/>
            <w:vAlign w:val="center"/>
          </w:tcPr>
          <w:p w14:paraId="61F30BB9" w14:textId="77777777" w:rsidR="00C3345F" w:rsidRPr="009A5185" w:rsidRDefault="00C3345F" w:rsidP="00481565">
            <w:pPr>
              <w:spacing w:line="276" w:lineRule="auto"/>
              <w:rPr>
                <w:rFonts w:cs="Arial"/>
              </w:rPr>
            </w:pPr>
            <w:r w:rsidRPr="009A5185">
              <w:rPr>
                <w:rFonts w:cs="Arial"/>
              </w:rPr>
              <w:t>Wrong dose</w:t>
            </w:r>
          </w:p>
        </w:tc>
        <w:tc>
          <w:tcPr>
            <w:tcW w:w="1705" w:type="dxa"/>
          </w:tcPr>
          <w:p w14:paraId="44159C9C" w14:textId="77777777" w:rsidR="00C3345F" w:rsidRPr="00CF4879" w:rsidRDefault="00C3345F" w:rsidP="00AD309C">
            <w:pPr>
              <w:pStyle w:val="ListParagraph"/>
              <w:numPr>
                <w:ilvl w:val="0"/>
                <w:numId w:val="335"/>
              </w:numPr>
              <w:rPr>
                <w:rFonts w:cs="Arial"/>
                <w:iCs/>
              </w:rPr>
            </w:pPr>
            <w:r w:rsidRPr="00CF4879">
              <w:rPr>
                <w:rFonts w:cs="Arial"/>
                <w:iCs/>
              </w:rPr>
              <w:t>Yes</w:t>
            </w:r>
          </w:p>
          <w:p w14:paraId="0C25F5CD" w14:textId="77777777" w:rsidR="00C3345F" w:rsidRPr="008059FF" w:rsidRDefault="00C3345F" w:rsidP="00AD309C">
            <w:pPr>
              <w:pStyle w:val="ListParagraph"/>
              <w:numPr>
                <w:ilvl w:val="0"/>
                <w:numId w:val="335"/>
              </w:numPr>
              <w:rPr>
                <w:rFonts w:cs="Arial"/>
                <w:iCs/>
              </w:rPr>
            </w:pPr>
            <w:r w:rsidRPr="00CF4879">
              <w:rPr>
                <w:rFonts w:cs="Arial"/>
                <w:iCs/>
              </w:rPr>
              <w:t>No</w:t>
            </w:r>
          </w:p>
        </w:tc>
      </w:tr>
      <w:tr w:rsidR="00C3345F" w:rsidRPr="009A5185" w14:paraId="616BFA7E" w14:textId="77777777" w:rsidTr="00680456">
        <w:tc>
          <w:tcPr>
            <w:tcW w:w="0" w:type="auto"/>
            <w:vAlign w:val="center"/>
          </w:tcPr>
          <w:p w14:paraId="459EA26D" w14:textId="77777777" w:rsidR="00C3345F" w:rsidRPr="009A5185" w:rsidRDefault="00C3345F" w:rsidP="00481565">
            <w:pPr>
              <w:spacing w:line="276" w:lineRule="auto"/>
              <w:rPr>
                <w:rFonts w:cs="Arial"/>
              </w:rPr>
            </w:pPr>
            <w:r w:rsidRPr="009A5185">
              <w:rPr>
                <w:rFonts w:cs="Arial"/>
              </w:rPr>
              <w:lastRenderedPageBreak/>
              <w:t xml:space="preserve">d) </w:t>
            </w:r>
          </w:p>
        </w:tc>
        <w:tc>
          <w:tcPr>
            <w:tcW w:w="7251" w:type="dxa"/>
            <w:vAlign w:val="center"/>
          </w:tcPr>
          <w:p w14:paraId="71C9FD85" w14:textId="77777777" w:rsidR="00C3345F" w:rsidRPr="009A5185" w:rsidRDefault="00C3345F" w:rsidP="00481565">
            <w:pPr>
              <w:spacing w:line="276" w:lineRule="auto"/>
              <w:rPr>
                <w:rFonts w:cs="Arial"/>
              </w:rPr>
            </w:pPr>
            <w:r w:rsidRPr="009A5185">
              <w:rPr>
                <w:rFonts w:cs="Arial"/>
              </w:rPr>
              <w:t xml:space="preserve">Wrong time (e.g., early/late warning; warning that medication cannot be administered twice within a given window of time) </w:t>
            </w:r>
          </w:p>
        </w:tc>
        <w:tc>
          <w:tcPr>
            <w:tcW w:w="1705" w:type="dxa"/>
          </w:tcPr>
          <w:p w14:paraId="6D0FD3EB" w14:textId="77777777" w:rsidR="00C3345F" w:rsidRPr="00CF4879" w:rsidRDefault="00C3345F" w:rsidP="00AD309C">
            <w:pPr>
              <w:pStyle w:val="ListParagraph"/>
              <w:numPr>
                <w:ilvl w:val="0"/>
                <w:numId w:val="335"/>
              </w:numPr>
              <w:rPr>
                <w:rFonts w:cs="Arial"/>
                <w:iCs/>
              </w:rPr>
            </w:pPr>
            <w:r w:rsidRPr="00CF4879">
              <w:rPr>
                <w:rFonts w:cs="Arial"/>
                <w:iCs/>
              </w:rPr>
              <w:t>Yes</w:t>
            </w:r>
          </w:p>
          <w:p w14:paraId="1341E146" w14:textId="77777777" w:rsidR="00C3345F" w:rsidRPr="008059FF" w:rsidRDefault="00C3345F" w:rsidP="00AD309C">
            <w:pPr>
              <w:pStyle w:val="ListParagraph"/>
              <w:numPr>
                <w:ilvl w:val="0"/>
                <w:numId w:val="335"/>
              </w:numPr>
              <w:rPr>
                <w:rFonts w:cs="Arial"/>
                <w:iCs/>
              </w:rPr>
            </w:pPr>
            <w:r w:rsidRPr="00CF4879">
              <w:rPr>
                <w:rFonts w:cs="Arial"/>
                <w:iCs/>
              </w:rPr>
              <w:t>No</w:t>
            </w:r>
          </w:p>
        </w:tc>
      </w:tr>
      <w:tr w:rsidR="00C3345F" w:rsidRPr="009A5185" w14:paraId="6FC97D11" w14:textId="77777777" w:rsidTr="00680456">
        <w:tc>
          <w:tcPr>
            <w:tcW w:w="0" w:type="auto"/>
            <w:vAlign w:val="center"/>
          </w:tcPr>
          <w:p w14:paraId="0675993B" w14:textId="77777777" w:rsidR="00C3345F" w:rsidRPr="009A5185" w:rsidRDefault="00C3345F" w:rsidP="00481565">
            <w:pPr>
              <w:spacing w:line="276" w:lineRule="auto"/>
              <w:rPr>
                <w:rFonts w:cs="Arial"/>
              </w:rPr>
            </w:pPr>
            <w:r>
              <w:rPr>
                <w:rFonts w:cs="Arial"/>
              </w:rPr>
              <w:t>e)</w:t>
            </w:r>
          </w:p>
        </w:tc>
        <w:tc>
          <w:tcPr>
            <w:tcW w:w="7251" w:type="dxa"/>
            <w:vAlign w:val="center"/>
          </w:tcPr>
          <w:p w14:paraId="68841DA9" w14:textId="77777777" w:rsidR="00C3345F" w:rsidRPr="009A5185" w:rsidRDefault="00C3345F" w:rsidP="00481565">
            <w:pPr>
              <w:spacing w:line="276" w:lineRule="auto"/>
              <w:rPr>
                <w:rFonts w:cs="Arial"/>
              </w:rPr>
            </w:pPr>
            <w:r w:rsidRPr="009A5185">
              <w:rPr>
                <w:rFonts w:cs="Arial"/>
              </w:rPr>
              <w:t>Second nurse check needed</w:t>
            </w:r>
          </w:p>
        </w:tc>
        <w:tc>
          <w:tcPr>
            <w:tcW w:w="1705" w:type="dxa"/>
          </w:tcPr>
          <w:p w14:paraId="2F72C333" w14:textId="77777777" w:rsidR="00C3345F" w:rsidRPr="00CF4879" w:rsidRDefault="00C3345F" w:rsidP="00AD309C">
            <w:pPr>
              <w:pStyle w:val="ListParagraph"/>
              <w:numPr>
                <w:ilvl w:val="0"/>
                <w:numId w:val="335"/>
              </w:numPr>
              <w:rPr>
                <w:rFonts w:cs="Arial"/>
                <w:iCs/>
              </w:rPr>
            </w:pPr>
            <w:r w:rsidRPr="00CF4879">
              <w:rPr>
                <w:rFonts w:cs="Arial"/>
                <w:iCs/>
              </w:rPr>
              <w:t>Yes</w:t>
            </w:r>
          </w:p>
          <w:p w14:paraId="60B73718" w14:textId="77777777" w:rsidR="00C3345F" w:rsidRPr="00CF4879" w:rsidRDefault="00C3345F" w:rsidP="00AD309C">
            <w:pPr>
              <w:pStyle w:val="ListParagraph"/>
              <w:numPr>
                <w:ilvl w:val="0"/>
                <w:numId w:val="335"/>
              </w:numPr>
              <w:rPr>
                <w:rFonts w:cs="Arial"/>
                <w:iCs/>
              </w:rPr>
            </w:pPr>
            <w:r w:rsidRPr="00CF4879">
              <w:rPr>
                <w:rFonts w:cs="Arial"/>
                <w:iCs/>
              </w:rPr>
              <w:t>No</w:t>
            </w:r>
          </w:p>
        </w:tc>
      </w:tr>
    </w:tbl>
    <w:p w14:paraId="1FCFDDDA" w14:textId="77777777" w:rsidR="00C3345F" w:rsidRPr="009A5185" w:rsidRDefault="00C3345F" w:rsidP="00C3345F">
      <w:pPr>
        <w:rPr>
          <w:rFonts w:cs="Arial"/>
        </w:rPr>
      </w:pPr>
      <w:r w:rsidRPr="009A5185">
        <w:rPr>
          <w:rFonts w:cs="Arial"/>
        </w:rPr>
        <w:t xml:space="preserve"> </w:t>
      </w:r>
    </w:p>
    <w:tbl>
      <w:tblPr>
        <w:tblStyle w:val="TableGrid"/>
        <w:tblW w:w="0" w:type="auto"/>
        <w:tblLook w:val="04A0" w:firstRow="1" w:lastRow="0" w:firstColumn="1" w:lastColumn="0" w:noHBand="0" w:noVBand="1"/>
      </w:tblPr>
      <w:tblGrid>
        <w:gridCol w:w="394"/>
        <w:gridCol w:w="6978"/>
        <w:gridCol w:w="1978"/>
      </w:tblGrid>
      <w:tr w:rsidR="00C3345F" w:rsidRPr="009A5185" w14:paraId="1B79D03B" w14:textId="77777777" w:rsidTr="00C8246A">
        <w:trPr>
          <w:trHeight w:val="20"/>
        </w:trPr>
        <w:tc>
          <w:tcPr>
            <w:tcW w:w="0" w:type="auto"/>
            <w:gridSpan w:val="3"/>
            <w:vAlign w:val="center"/>
          </w:tcPr>
          <w:p w14:paraId="1A8FD8B8" w14:textId="42EE6244" w:rsidR="00C3345F" w:rsidRPr="00F0772B" w:rsidRDefault="00C3345F" w:rsidP="00AD309C">
            <w:pPr>
              <w:pStyle w:val="ListParagraph"/>
              <w:numPr>
                <w:ilvl w:val="0"/>
                <w:numId w:val="41"/>
              </w:numPr>
              <w:spacing w:before="120" w:after="120" w:line="276" w:lineRule="auto"/>
              <w:rPr>
                <w:i/>
              </w:rPr>
            </w:pPr>
            <w:r w:rsidRPr="009A5185">
              <w:rPr>
                <w:rFonts w:cs="Arial"/>
              </w:rPr>
              <w:t>Which of the following mechanisms does your hospital use to reduce and understand potential BCMA system “workarounds</w:t>
            </w:r>
            <w:r w:rsidR="00982A02">
              <w:rPr>
                <w:rFonts w:cs="Arial"/>
              </w:rPr>
              <w:t>?</w:t>
            </w:r>
            <w:r w:rsidRPr="009A5185">
              <w:rPr>
                <w:rFonts w:cs="Arial"/>
              </w:rPr>
              <w:t>”</w:t>
            </w:r>
          </w:p>
        </w:tc>
      </w:tr>
      <w:tr w:rsidR="00C3345F" w:rsidRPr="009A5185" w14:paraId="7A09D58E" w14:textId="77777777" w:rsidTr="00680456">
        <w:tc>
          <w:tcPr>
            <w:tcW w:w="0" w:type="auto"/>
            <w:vAlign w:val="center"/>
          </w:tcPr>
          <w:p w14:paraId="2B36228E" w14:textId="77777777" w:rsidR="00C3345F" w:rsidRPr="009A5185" w:rsidRDefault="00C3345F">
            <w:pPr>
              <w:spacing w:line="276" w:lineRule="auto"/>
              <w:rPr>
                <w:rFonts w:cs="Arial"/>
              </w:rPr>
            </w:pPr>
            <w:r w:rsidRPr="009A5185">
              <w:rPr>
                <w:rFonts w:cs="Arial"/>
              </w:rPr>
              <w:t>a)</w:t>
            </w:r>
          </w:p>
        </w:tc>
        <w:tc>
          <w:tcPr>
            <w:tcW w:w="7251" w:type="dxa"/>
            <w:vAlign w:val="center"/>
          </w:tcPr>
          <w:p w14:paraId="56D86120" w14:textId="77777777" w:rsidR="00C3345F" w:rsidRPr="009A5185" w:rsidRDefault="00C3345F">
            <w:pPr>
              <w:spacing w:line="276" w:lineRule="auto"/>
              <w:rPr>
                <w:rFonts w:cs="Arial"/>
              </w:rPr>
            </w:pPr>
            <w:r w:rsidRPr="009A5185">
              <w:rPr>
                <w:rFonts w:cs="Arial"/>
              </w:rPr>
              <w:t>Has a formal committee that meets routinely to review data reports on BCMA system use</w:t>
            </w:r>
          </w:p>
        </w:tc>
        <w:tc>
          <w:tcPr>
            <w:tcW w:w="1705" w:type="dxa"/>
          </w:tcPr>
          <w:p w14:paraId="4612E3AA" w14:textId="77777777" w:rsidR="00C3345F" w:rsidRPr="00CF4879" w:rsidRDefault="00C3345F" w:rsidP="00AD309C">
            <w:pPr>
              <w:pStyle w:val="ListParagraph"/>
              <w:numPr>
                <w:ilvl w:val="0"/>
                <w:numId w:val="336"/>
              </w:numPr>
              <w:spacing w:line="276" w:lineRule="auto"/>
              <w:rPr>
                <w:rFonts w:cs="Arial"/>
                <w:iCs/>
              </w:rPr>
            </w:pPr>
            <w:r w:rsidRPr="00CF4879">
              <w:rPr>
                <w:rFonts w:cs="Arial"/>
                <w:iCs/>
              </w:rPr>
              <w:t>Yes</w:t>
            </w:r>
          </w:p>
          <w:p w14:paraId="5DB4BED5" w14:textId="77777777" w:rsidR="00C3345F" w:rsidRPr="00CF4879" w:rsidRDefault="00C3345F" w:rsidP="00AD309C">
            <w:pPr>
              <w:pStyle w:val="ListParagraph"/>
              <w:numPr>
                <w:ilvl w:val="0"/>
                <w:numId w:val="336"/>
              </w:numPr>
              <w:spacing w:line="276" w:lineRule="auto"/>
              <w:rPr>
                <w:rFonts w:cs="Arial"/>
                <w:iCs/>
              </w:rPr>
            </w:pPr>
            <w:r w:rsidRPr="00CF4879">
              <w:rPr>
                <w:rFonts w:cs="Arial"/>
                <w:iCs/>
              </w:rPr>
              <w:t>No</w:t>
            </w:r>
          </w:p>
        </w:tc>
      </w:tr>
      <w:tr w:rsidR="00C3345F" w:rsidRPr="009A5185" w14:paraId="68DA48EF" w14:textId="77777777" w:rsidTr="00680456">
        <w:tc>
          <w:tcPr>
            <w:tcW w:w="0" w:type="auto"/>
            <w:vAlign w:val="center"/>
          </w:tcPr>
          <w:p w14:paraId="6652A32B" w14:textId="77777777" w:rsidR="00C3345F" w:rsidRPr="009A5185" w:rsidRDefault="00C3345F">
            <w:pPr>
              <w:spacing w:line="276" w:lineRule="auto"/>
              <w:rPr>
                <w:rFonts w:cs="Arial"/>
              </w:rPr>
            </w:pPr>
            <w:r w:rsidRPr="009A5185">
              <w:rPr>
                <w:rFonts w:cs="Arial"/>
              </w:rPr>
              <w:t>b)</w:t>
            </w:r>
          </w:p>
        </w:tc>
        <w:tc>
          <w:tcPr>
            <w:tcW w:w="7251" w:type="dxa"/>
            <w:vAlign w:val="center"/>
          </w:tcPr>
          <w:p w14:paraId="0B4A88C2" w14:textId="1B5709DC" w:rsidR="00C3345F" w:rsidRPr="009A5185" w:rsidRDefault="00C3345F">
            <w:pPr>
              <w:spacing w:line="276" w:lineRule="auto"/>
              <w:rPr>
                <w:rFonts w:cs="Arial"/>
              </w:rPr>
            </w:pPr>
            <w:r w:rsidRPr="009A5185">
              <w:rPr>
                <w:rFonts w:cs="Arial"/>
              </w:rPr>
              <w:t xml:space="preserve">Has back-up </w:t>
            </w:r>
            <w:r w:rsidR="008D6D1D">
              <w:rPr>
                <w:rFonts w:cs="Arial"/>
              </w:rPr>
              <w:t>equipment</w:t>
            </w:r>
            <w:r w:rsidR="008D6D1D" w:rsidRPr="009A5185">
              <w:rPr>
                <w:rFonts w:cs="Arial"/>
              </w:rPr>
              <w:t xml:space="preserve"> </w:t>
            </w:r>
            <w:r w:rsidR="00B4055D">
              <w:rPr>
                <w:rFonts w:cs="Arial"/>
              </w:rPr>
              <w:t xml:space="preserve">(e.g., extra scanners, portable computers, batteries, and mice) </w:t>
            </w:r>
            <w:r w:rsidRPr="009A5185">
              <w:rPr>
                <w:rFonts w:cs="Arial"/>
              </w:rPr>
              <w:t>for BCMA hardware failures</w:t>
            </w:r>
          </w:p>
        </w:tc>
        <w:tc>
          <w:tcPr>
            <w:tcW w:w="1705" w:type="dxa"/>
          </w:tcPr>
          <w:p w14:paraId="456D2FAD" w14:textId="77777777" w:rsidR="00C3345F" w:rsidRPr="00CF4879" w:rsidRDefault="00C3345F" w:rsidP="00AD309C">
            <w:pPr>
              <w:pStyle w:val="ListParagraph"/>
              <w:numPr>
                <w:ilvl w:val="0"/>
                <w:numId w:val="336"/>
              </w:numPr>
              <w:spacing w:line="276" w:lineRule="auto"/>
              <w:rPr>
                <w:rFonts w:cs="Arial"/>
                <w:iCs/>
              </w:rPr>
            </w:pPr>
            <w:r w:rsidRPr="00CF4879">
              <w:rPr>
                <w:rFonts w:cs="Arial"/>
                <w:iCs/>
              </w:rPr>
              <w:t>Yes</w:t>
            </w:r>
          </w:p>
          <w:p w14:paraId="08CAD857" w14:textId="77777777" w:rsidR="00C3345F" w:rsidRPr="00CF4879" w:rsidRDefault="00C3345F" w:rsidP="00AD309C">
            <w:pPr>
              <w:pStyle w:val="ListParagraph"/>
              <w:numPr>
                <w:ilvl w:val="0"/>
                <w:numId w:val="336"/>
              </w:numPr>
              <w:spacing w:line="276" w:lineRule="auto"/>
              <w:rPr>
                <w:rFonts w:cs="Arial"/>
                <w:iCs/>
              </w:rPr>
            </w:pPr>
            <w:r w:rsidRPr="00CF4879">
              <w:rPr>
                <w:rFonts w:cs="Arial"/>
                <w:iCs/>
              </w:rPr>
              <w:t>No</w:t>
            </w:r>
          </w:p>
        </w:tc>
      </w:tr>
      <w:tr w:rsidR="00C3345F" w:rsidRPr="009A5185" w14:paraId="097EA788" w14:textId="77777777" w:rsidTr="00680456">
        <w:tc>
          <w:tcPr>
            <w:tcW w:w="0" w:type="auto"/>
            <w:vAlign w:val="center"/>
          </w:tcPr>
          <w:p w14:paraId="192CF608" w14:textId="77777777" w:rsidR="00C3345F" w:rsidRPr="009A5185" w:rsidRDefault="00C3345F">
            <w:pPr>
              <w:spacing w:line="276" w:lineRule="auto"/>
              <w:rPr>
                <w:rFonts w:cs="Arial"/>
              </w:rPr>
            </w:pPr>
            <w:r w:rsidRPr="009A5185">
              <w:rPr>
                <w:rFonts w:cs="Arial"/>
              </w:rPr>
              <w:t>c)</w:t>
            </w:r>
          </w:p>
        </w:tc>
        <w:tc>
          <w:tcPr>
            <w:tcW w:w="7251" w:type="dxa"/>
            <w:vAlign w:val="center"/>
          </w:tcPr>
          <w:p w14:paraId="6CE75863" w14:textId="77777777" w:rsidR="00C3345F" w:rsidRPr="009A5185" w:rsidRDefault="00C3345F">
            <w:pPr>
              <w:spacing w:line="276" w:lineRule="auto"/>
              <w:rPr>
                <w:rFonts w:cs="Arial"/>
              </w:rPr>
            </w:pPr>
            <w:r w:rsidRPr="009A5185">
              <w:rPr>
                <w:rFonts w:cs="Arial"/>
              </w:rPr>
              <w:t>Has a Help Desk that provides timely responses to urgent BCMA issues in real-time</w:t>
            </w:r>
          </w:p>
        </w:tc>
        <w:tc>
          <w:tcPr>
            <w:tcW w:w="1705" w:type="dxa"/>
          </w:tcPr>
          <w:p w14:paraId="0236B2BF" w14:textId="77777777" w:rsidR="00C3345F" w:rsidRPr="00CF4879" w:rsidRDefault="00C3345F" w:rsidP="00AD309C">
            <w:pPr>
              <w:pStyle w:val="ListParagraph"/>
              <w:numPr>
                <w:ilvl w:val="0"/>
                <w:numId w:val="336"/>
              </w:numPr>
              <w:spacing w:line="276" w:lineRule="auto"/>
              <w:rPr>
                <w:rFonts w:cs="Arial"/>
                <w:iCs/>
              </w:rPr>
            </w:pPr>
            <w:r w:rsidRPr="00CF4879">
              <w:rPr>
                <w:rFonts w:cs="Arial"/>
                <w:iCs/>
              </w:rPr>
              <w:t>Yes</w:t>
            </w:r>
          </w:p>
          <w:p w14:paraId="077408B4" w14:textId="77777777" w:rsidR="00C3345F" w:rsidRPr="00CF4879" w:rsidRDefault="00C3345F" w:rsidP="00AD309C">
            <w:pPr>
              <w:pStyle w:val="ListParagraph"/>
              <w:numPr>
                <w:ilvl w:val="0"/>
                <w:numId w:val="336"/>
              </w:numPr>
              <w:spacing w:line="276" w:lineRule="auto"/>
              <w:rPr>
                <w:rFonts w:cs="Arial"/>
                <w:iCs/>
              </w:rPr>
            </w:pPr>
            <w:r w:rsidRPr="00CF4879">
              <w:rPr>
                <w:rFonts w:cs="Arial"/>
                <w:iCs/>
              </w:rPr>
              <w:t>No</w:t>
            </w:r>
          </w:p>
        </w:tc>
      </w:tr>
      <w:tr w:rsidR="00C3345F" w:rsidRPr="009A5185" w14:paraId="3513BAC6" w14:textId="77777777" w:rsidTr="00680456">
        <w:tc>
          <w:tcPr>
            <w:tcW w:w="0" w:type="auto"/>
            <w:vAlign w:val="center"/>
          </w:tcPr>
          <w:p w14:paraId="5AEDB11C" w14:textId="77777777" w:rsidR="00C3345F" w:rsidRPr="009A5185" w:rsidRDefault="00C3345F">
            <w:pPr>
              <w:spacing w:line="276" w:lineRule="auto"/>
              <w:rPr>
                <w:rFonts w:cs="Arial"/>
              </w:rPr>
            </w:pPr>
            <w:r w:rsidRPr="009A5185">
              <w:rPr>
                <w:rFonts w:cs="Arial"/>
              </w:rPr>
              <w:t>d)</w:t>
            </w:r>
          </w:p>
        </w:tc>
        <w:tc>
          <w:tcPr>
            <w:tcW w:w="7251" w:type="dxa"/>
            <w:vAlign w:val="center"/>
          </w:tcPr>
          <w:p w14:paraId="6BB07044" w14:textId="77777777" w:rsidR="00C3345F" w:rsidRPr="009A5185" w:rsidRDefault="00C3345F">
            <w:pPr>
              <w:spacing w:line="276" w:lineRule="auto"/>
              <w:rPr>
                <w:rFonts w:cs="Arial"/>
              </w:rPr>
            </w:pPr>
            <w:r w:rsidRPr="009A5185">
              <w:rPr>
                <w:rFonts w:cs="Arial"/>
              </w:rPr>
              <w:t>Conducts real-time observations of users at the unit level using the BCMA system</w:t>
            </w:r>
          </w:p>
        </w:tc>
        <w:tc>
          <w:tcPr>
            <w:tcW w:w="1705" w:type="dxa"/>
          </w:tcPr>
          <w:p w14:paraId="6ACFC5A1" w14:textId="77777777" w:rsidR="00C3345F" w:rsidRPr="00CF4879" w:rsidRDefault="00C3345F" w:rsidP="00AD309C">
            <w:pPr>
              <w:pStyle w:val="ListParagraph"/>
              <w:numPr>
                <w:ilvl w:val="0"/>
                <w:numId w:val="336"/>
              </w:numPr>
              <w:spacing w:line="276" w:lineRule="auto"/>
              <w:rPr>
                <w:rFonts w:cs="Arial"/>
                <w:iCs/>
              </w:rPr>
            </w:pPr>
            <w:r w:rsidRPr="00CF4879">
              <w:rPr>
                <w:rFonts w:cs="Arial"/>
                <w:iCs/>
              </w:rPr>
              <w:t>Yes</w:t>
            </w:r>
          </w:p>
          <w:p w14:paraId="3FDDA51A" w14:textId="77777777" w:rsidR="00C3345F" w:rsidRPr="00CF4879" w:rsidRDefault="00C3345F" w:rsidP="00AD309C">
            <w:pPr>
              <w:pStyle w:val="ListParagraph"/>
              <w:numPr>
                <w:ilvl w:val="0"/>
                <w:numId w:val="336"/>
              </w:numPr>
              <w:spacing w:line="276" w:lineRule="auto"/>
              <w:rPr>
                <w:rFonts w:cs="Arial"/>
                <w:iCs/>
              </w:rPr>
            </w:pPr>
            <w:r w:rsidRPr="00CF4879">
              <w:rPr>
                <w:rFonts w:cs="Arial"/>
                <w:iCs/>
              </w:rPr>
              <w:t>No</w:t>
            </w:r>
          </w:p>
        </w:tc>
      </w:tr>
      <w:tr w:rsidR="00C3345F" w:rsidRPr="009A5185" w14:paraId="68965B7C" w14:textId="77777777" w:rsidTr="00C8246A">
        <w:trPr>
          <w:trHeight w:val="432"/>
        </w:trPr>
        <w:tc>
          <w:tcPr>
            <w:tcW w:w="0" w:type="auto"/>
            <w:vAlign w:val="center"/>
          </w:tcPr>
          <w:p w14:paraId="50F12016" w14:textId="77777777" w:rsidR="00C3345F" w:rsidRPr="009A5185" w:rsidRDefault="00C3345F">
            <w:pPr>
              <w:spacing w:line="276" w:lineRule="auto"/>
              <w:rPr>
                <w:rFonts w:cs="Arial"/>
              </w:rPr>
            </w:pPr>
            <w:r w:rsidRPr="009A5185">
              <w:rPr>
                <w:rFonts w:cs="Arial"/>
              </w:rPr>
              <w:t>e)</w:t>
            </w:r>
          </w:p>
        </w:tc>
        <w:tc>
          <w:tcPr>
            <w:tcW w:w="7251" w:type="dxa"/>
            <w:vAlign w:val="center"/>
          </w:tcPr>
          <w:p w14:paraId="4D68C3E2" w14:textId="77777777" w:rsidR="00C3345F" w:rsidRPr="009A5185" w:rsidRDefault="00C3345F">
            <w:pPr>
              <w:spacing w:line="276" w:lineRule="auto"/>
              <w:rPr>
                <w:rFonts w:cs="Arial"/>
              </w:rPr>
            </w:pPr>
            <w:r w:rsidRPr="009A5185">
              <w:rPr>
                <w:rFonts w:cs="Arial"/>
              </w:rPr>
              <w:t>Engages nursing leadership at the unit level on BCMA use</w:t>
            </w:r>
          </w:p>
        </w:tc>
        <w:tc>
          <w:tcPr>
            <w:tcW w:w="1705" w:type="dxa"/>
          </w:tcPr>
          <w:p w14:paraId="472F916A" w14:textId="77777777" w:rsidR="00C3345F" w:rsidRPr="00CF4879" w:rsidRDefault="00C3345F" w:rsidP="00AD309C">
            <w:pPr>
              <w:pStyle w:val="ListParagraph"/>
              <w:numPr>
                <w:ilvl w:val="0"/>
                <w:numId w:val="336"/>
              </w:numPr>
              <w:spacing w:after="200" w:line="276" w:lineRule="auto"/>
              <w:rPr>
                <w:rFonts w:cs="Arial"/>
                <w:iCs/>
              </w:rPr>
            </w:pPr>
            <w:r w:rsidRPr="00CF4879">
              <w:rPr>
                <w:rFonts w:cs="Arial"/>
                <w:iCs/>
              </w:rPr>
              <w:t>Yes</w:t>
            </w:r>
          </w:p>
          <w:p w14:paraId="06EA60F5" w14:textId="77777777" w:rsidR="00C3345F" w:rsidRPr="00CF4879" w:rsidRDefault="00C3345F" w:rsidP="00AD309C">
            <w:pPr>
              <w:pStyle w:val="ListParagraph"/>
              <w:numPr>
                <w:ilvl w:val="0"/>
                <w:numId w:val="336"/>
              </w:numPr>
              <w:spacing w:line="276" w:lineRule="auto"/>
              <w:rPr>
                <w:rFonts w:cs="Arial"/>
                <w:iCs/>
              </w:rPr>
            </w:pPr>
            <w:r w:rsidRPr="00CF4879">
              <w:rPr>
                <w:rFonts w:cs="Arial"/>
                <w:iCs/>
              </w:rPr>
              <w:t>No</w:t>
            </w:r>
          </w:p>
        </w:tc>
      </w:tr>
      <w:tr w:rsidR="00C3345F" w:rsidRPr="009A5185" w14:paraId="3D755ADB" w14:textId="77777777" w:rsidTr="007C4D5D">
        <w:trPr>
          <w:trHeight w:val="1440"/>
        </w:trPr>
        <w:tc>
          <w:tcPr>
            <w:tcW w:w="0" w:type="auto"/>
            <w:vAlign w:val="center"/>
          </w:tcPr>
          <w:p w14:paraId="6B40A4FF" w14:textId="77777777" w:rsidR="00C3345F" w:rsidRPr="009A5185" w:rsidRDefault="00C3345F">
            <w:pPr>
              <w:spacing w:line="276" w:lineRule="auto"/>
              <w:rPr>
                <w:rFonts w:cs="Arial"/>
              </w:rPr>
            </w:pPr>
            <w:r w:rsidRPr="009A5185">
              <w:rPr>
                <w:rFonts w:cs="Arial"/>
              </w:rPr>
              <w:t>f)</w:t>
            </w:r>
          </w:p>
        </w:tc>
        <w:tc>
          <w:tcPr>
            <w:tcW w:w="7251" w:type="dxa"/>
            <w:vAlign w:val="center"/>
          </w:tcPr>
          <w:p w14:paraId="2A06BBA1" w14:textId="77777777" w:rsidR="00C3345F" w:rsidRDefault="00C3345F">
            <w:pPr>
              <w:spacing w:line="276" w:lineRule="auto"/>
              <w:rPr>
                <w:rFonts w:cs="Arial"/>
              </w:rPr>
            </w:pPr>
            <w:r w:rsidRPr="009A5185">
              <w:rPr>
                <w:rFonts w:cs="Arial"/>
              </w:rPr>
              <w:t xml:space="preserve">In the past 12 months used the data and information obtained through items a-e to implement quality improvement projects that have focused on improving the hospital’s BCMA performance </w:t>
            </w:r>
          </w:p>
          <w:p w14:paraId="2A0B1298" w14:textId="77777777" w:rsidR="00B1257F" w:rsidRPr="009A5185" w:rsidRDefault="00B1257F">
            <w:pPr>
              <w:spacing w:line="276" w:lineRule="auto"/>
              <w:rPr>
                <w:rFonts w:cs="Arial"/>
              </w:rPr>
            </w:pPr>
          </w:p>
          <w:p w14:paraId="5F58E607" w14:textId="77777777" w:rsidR="00C3345F" w:rsidRDefault="00C3345F">
            <w:pPr>
              <w:spacing w:line="276" w:lineRule="auto"/>
              <w:rPr>
                <w:rFonts w:cs="Arial"/>
                <w:b/>
              </w:rPr>
            </w:pPr>
            <w:r w:rsidRPr="009A5185">
              <w:rPr>
                <w:rFonts w:cs="Arial"/>
                <w:b/>
              </w:rPr>
              <w:t>OR</w:t>
            </w:r>
          </w:p>
          <w:p w14:paraId="32567CA6" w14:textId="77777777" w:rsidR="00B1257F" w:rsidRPr="009A5185" w:rsidRDefault="00B1257F">
            <w:pPr>
              <w:spacing w:line="276" w:lineRule="auto"/>
              <w:rPr>
                <w:rFonts w:cs="Arial"/>
              </w:rPr>
            </w:pPr>
          </w:p>
          <w:p w14:paraId="707D92E0" w14:textId="77777777" w:rsidR="00C3345F" w:rsidRPr="009A5185" w:rsidRDefault="00C3345F">
            <w:pPr>
              <w:spacing w:line="276" w:lineRule="auto"/>
              <w:rPr>
                <w:rFonts w:cs="Arial"/>
              </w:rPr>
            </w:pPr>
            <w:r w:rsidRPr="009A5185">
              <w:rPr>
                <w:rFonts w:cs="Arial"/>
              </w:rPr>
              <w:t>In the past 12 months used the data and information obtained through items a-e to monitor a previously implemented quality improvement project focused on improving the hospital’s BCMA performance</w:t>
            </w:r>
          </w:p>
          <w:p w14:paraId="1C7890A4" w14:textId="77777777" w:rsidR="00C3345F" w:rsidRPr="009A5185" w:rsidRDefault="00C3345F">
            <w:pPr>
              <w:spacing w:line="276" w:lineRule="auto"/>
              <w:rPr>
                <w:rFonts w:cs="Arial"/>
              </w:rPr>
            </w:pPr>
          </w:p>
          <w:p w14:paraId="5F8AEDE4" w14:textId="77777777" w:rsidR="00C3345F" w:rsidRDefault="00C3345F">
            <w:pPr>
              <w:spacing w:line="276" w:lineRule="auto"/>
              <w:rPr>
                <w:rFonts w:cs="Arial"/>
                <w:i/>
              </w:rPr>
            </w:pPr>
            <w:r w:rsidRPr="009A5185">
              <w:rPr>
                <w:rFonts w:cs="Arial"/>
                <w:i/>
              </w:rPr>
              <w:t xml:space="preserve">Cannot respond “yes” to this question, unless “yes” to either </w:t>
            </w:r>
            <w:r w:rsidR="00A56754">
              <w:rPr>
                <w:rFonts w:cs="Arial"/>
                <w:i/>
              </w:rPr>
              <w:t>21a, 21</w:t>
            </w:r>
            <w:r w:rsidR="009C15D6">
              <w:rPr>
                <w:rFonts w:cs="Arial"/>
                <w:i/>
              </w:rPr>
              <w:t>d</w:t>
            </w:r>
            <w:r w:rsidRPr="009A5185">
              <w:rPr>
                <w:rFonts w:cs="Arial"/>
                <w:i/>
              </w:rPr>
              <w:t xml:space="preserve"> or </w:t>
            </w:r>
            <w:r w:rsidR="009C15D6">
              <w:rPr>
                <w:rFonts w:cs="Arial"/>
                <w:i/>
              </w:rPr>
              <w:t>21</w:t>
            </w:r>
            <w:r w:rsidRPr="009A5185">
              <w:rPr>
                <w:rFonts w:cs="Arial"/>
                <w:i/>
              </w:rPr>
              <w:t>e.</w:t>
            </w:r>
          </w:p>
          <w:p w14:paraId="6107B673" w14:textId="77777777" w:rsidR="00943898" w:rsidRDefault="00943898">
            <w:pPr>
              <w:spacing w:line="276" w:lineRule="auto"/>
              <w:rPr>
                <w:rFonts w:cs="Arial"/>
                <w:i/>
              </w:rPr>
            </w:pPr>
          </w:p>
          <w:p w14:paraId="5851A165" w14:textId="5F5A3F29" w:rsidR="00943898" w:rsidRPr="00943898" w:rsidRDefault="00943898">
            <w:pPr>
              <w:spacing w:line="276" w:lineRule="auto"/>
              <w:rPr>
                <w:rFonts w:cs="Arial"/>
                <w:i/>
              </w:rPr>
            </w:pPr>
            <w:r w:rsidRPr="00943898">
              <w:rPr>
                <w:rFonts w:cs="Arial"/>
                <w:i/>
              </w:rPr>
              <w:t xml:space="preserve">If “no” or “does </w:t>
            </w:r>
            <w:r w:rsidRPr="0047586B">
              <w:rPr>
                <w:rFonts w:cs="Arial"/>
                <w:i/>
              </w:rPr>
              <w:t>not apply, hospital has achieved 95% BCMA scanning compliance in all applicable units</w:t>
            </w:r>
            <w:r w:rsidR="00774E6D">
              <w:rPr>
                <w:rFonts w:cs="Arial"/>
                <w:i/>
              </w:rPr>
              <w:t xml:space="preserve"> </w:t>
            </w:r>
            <w:r w:rsidR="00774E6D">
              <w:rPr>
                <w:rFonts w:cs="Arial"/>
              </w:rPr>
              <w:t>based on quarterly monitoring</w:t>
            </w:r>
            <w:r w:rsidR="00A63243">
              <w:rPr>
                <w:rFonts w:cs="Arial"/>
                <w:i/>
              </w:rPr>
              <w:t>,</w:t>
            </w:r>
            <w:r w:rsidRPr="0047586B">
              <w:rPr>
                <w:rFonts w:cs="Arial"/>
                <w:i/>
              </w:rPr>
              <w:t>” skip question #21g and continue to question #21h</w:t>
            </w:r>
            <w:r>
              <w:rPr>
                <w:rFonts w:cs="Arial"/>
                <w:i/>
              </w:rPr>
              <w:t>.</w:t>
            </w:r>
          </w:p>
        </w:tc>
        <w:tc>
          <w:tcPr>
            <w:tcW w:w="1705" w:type="dxa"/>
            <w:vAlign w:val="center"/>
          </w:tcPr>
          <w:p w14:paraId="4EA973E9" w14:textId="77777777" w:rsidR="00C3345F" w:rsidRPr="00CF4879" w:rsidRDefault="00C3345F" w:rsidP="00AD309C">
            <w:pPr>
              <w:pStyle w:val="ListParagraph"/>
              <w:numPr>
                <w:ilvl w:val="0"/>
                <w:numId w:val="336"/>
              </w:numPr>
              <w:spacing w:line="276" w:lineRule="auto"/>
              <w:rPr>
                <w:rFonts w:cs="Arial"/>
                <w:iCs/>
              </w:rPr>
            </w:pPr>
            <w:r w:rsidRPr="00CF4879">
              <w:rPr>
                <w:rFonts w:cs="Arial"/>
                <w:iCs/>
              </w:rPr>
              <w:t>Yes</w:t>
            </w:r>
          </w:p>
          <w:p w14:paraId="21BD043C" w14:textId="77777777" w:rsidR="00C3345F" w:rsidRDefault="00C3345F" w:rsidP="00AD309C">
            <w:pPr>
              <w:pStyle w:val="ListParagraph"/>
              <w:numPr>
                <w:ilvl w:val="0"/>
                <w:numId w:val="336"/>
              </w:numPr>
              <w:spacing w:line="276" w:lineRule="auto"/>
              <w:rPr>
                <w:rFonts w:cs="Arial"/>
                <w:iCs/>
              </w:rPr>
            </w:pPr>
            <w:r w:rsidRPr="00CF4879">
              <w:rPr>
                <w:rFonts w:cs="Arial"/>
                <w:iCs/>
              </w:rPr>
              <w:t>No</w:t>
            </w:r>
          </w:p>
          <w:p w14:paraId="55D091C7" w14:textId="77C8D533" w:rsidR="00355C07" w:rsidRPr="00600C4C" w:rsidRDefault="00355C07" w:rsidP="00AD309C">
            <w:pPr>
              <w:pStyle w:val="ListParagraph"/>
              <w:numPr>
                <w:ilvl w:val="0"/>
                <w:numId w:val="336"/>
              </w:numPr>
              <w:spacing w:line="276" w:lineRule="auto"/>
              <w:rPr>
                <w:rFonts w:cs="Arial"/>
                <w:iCs/>
              </w:rPr>
            </w:pPr>
            <w:r w:rsidRPr="00600C4C">
              <w:rPr>
                <w:rFonts w:cs="Arial"/>
                <w:iCs/>
              </w:rPr>
              <w:t xml:space="preserve">Does not apply, hospital has achieved 95% BCMA scanning compliance in </w:t>
            </w:r>
            <w:r w:rsidRPr="00951428">
              <w:rPr>
                <w:rFonts w:cs="Arial"/>
                <w:b/>
                <w:bCs/>
                <w:iCs/>
              </w:rPr>
              <w:t>all</w:t>
            </w:r>
            <w:r w:rsidRPr="00600C4C">
              <w:rPr>
                <w:rFonts w:cs="Arial"/>
                <w:iCs/>
              </w:rPr>
              <w:t xml:space="preserve"> applicable units</w:t>
            </w:r>
            <w:r w:rsidR="00774E6D" w:rsidRPr="00600C4C">
              <w:rPr>
                <w:rFonts w:cs="Arial"/>
                <w:iCs/>
              </w:rPr>
              <w:t xml:space="preserve"> </w:t>
            </w:r>
            <w:r w:rsidR="00774E6D" w:rsidRPr="00600C4C">
              <w:rPr>
                <w:rFonts w:cs="Arial"/>
              </w:rPr>
              <w:t>based on quarterly monitoring</w:t>
            </w:r>
          </w:p>
        </w:tc>
      </w:tr>
      <w:tr w:rsidR="00C3345F" w:rsidRPr="009A5185" w14:paraId="14832564" w14:textId="77777777" w:rsidTr="00E54E24">
        <w:trPr>
          <w:trHeight w:val="3024"/>
        </w:trPr>
        <w:tc>
          <w:tcPr>
            <w:tcW w:w="0" w:type="auto"/>
            <w:vAlign w:val="center"/>
          </w:tcPr>
          <w:p w14:paraId="5A2B5C0C" w14:textId="77777777" w:rsidR="00C3345F" w:rsidRPr="009A5185" w:rsidRDefault="00C3345F">
            <w:pPr>
              <w:spacing w:line="276" w:lineRule="auto"/>
              <w:rPr>
                <w:rFonts w:cs="Arial"/>
              </w:rPr>
            </w:pPr>
            <w:r w:rsidRPr="009A5185">
              <w:rPr>
                <w:rFonts w:cs="Arial"/>
              </w:rPr>
              <w:t>g)</w:t>
            </w:r>
          </w:p>
        </w:tc>
        <w:tc>
          <w:tcPr>
            <w:tcW w:w="7251" w:type="dxa"/>
            <w:vAlign w:val="center"/>
          </w:tcPr>
          <w:p w14:paraId="4C77260E" w14:textId="77777777" w:rsidR="00C3345F" w:rsidRDefault="00C3345F">
            <w:pPr>
              <w:spacing w:line="276" w:lineRule="auto"/>
              <w:rPr>
                <w:rFonts w:cs="Arial"/>
              </w:rPr>
            </w:pPr>
            <w:r w:rsidRPr="009A5185">
              <w:rPr>
                <w:rFonts w:cs="Arial"/>
              </w:rPr>
              <w:t>In the past 12 months evaluated the results of the quality improvement projects (from f) and demonstrated that these projects have resulted in higher adherence to your hospital’s standard medication administration process</w:t>
            </w:r>
          </w:p>
          <w:p w14:paraId="1D7124F3" w14:textId="77777777" w:rsidR="00B1257F" w:rsidRPr="009A5185" w:rsidRDefault="00B1257F">
            <w:pPr>
              <w:spacing w:line="276" w:lineRule="auto"/>
              <w:rPr>
                <w:rFonts w:cs="Arial"/>
              </w:rPr>
            </w:pPr>
          </w:p>
          <w:p w14:paraId="11FBBDEE" w14:textId="77777777" w:rsidR="00C3345F" w:rsidRDefault="00C3345F">
            <w:pPr>
              <w:spacing w:line="276" w:lineRule="auto"/>
              <w:rPr>
                <w:rFonts w:cs="Arial"/>
                <w:b/>
              </w:rPr>
            </w:pPr>
            <w:r w:rsidRPr="009A5185">
              <w:rPr>
                <w:rFonts w:cs="Arial"/>
                <w:b/>
              </w:rPr>
              <w:t>OR</w:t>
            </w:r>
          </w:p>
          <w:p w14:paraId="3F3A398F" w14:textId="77777777" w:rsidR="00B1257F" w:rsidRPr="009A5185" w:rsidRDefault="00B1257F">
            <w:pPr>
              <w:spacing w:line="276" w:lineRule="auto"/>
              <w:rPr>
                <w:rFonts w:cs="Arial"/>
              </w:rPr>
            </w:pPr>
          </w:p>
          <w:p w14:paraId="28C07455" w14:textId="7D6B3B83" w:rsidR="00C3345F" w:rsidRPr="009A5185" w:rsidRDefault="00C3345F">
            <w:pPr>
              <w:spacing w:line="276" w:lineRule="auto"/>
              <w:rPr>
                <w:rFonts w:cs="Arial"/>
              </w:rPr>
            </w:pPr>
            <w:r w:rsidRPr="009A5185">
              <w:rPr>
                <w:rFonts w:cs="Arial"/>
              </w:rPr>
              <w:t>In the past 12 months evaluated the results of the quality improvement projects (from f) and demonstrated continued adherence to your hospital’s standard medication administration process</w:t>
            </w:r>
          </w:p>
          <w:p w14:paraId="7A3BA01E" w14:textId="5E965244" w:rsidR="00C3345F" w:rsidRPr="009A5185" w:rsidRDefault="00C3345F">
            <w:pPr>
              <w:spacing w:line="276" w:lineRule="auto"/>
              <w:rPr>
                <w:rFonts w:cs="Arial"/>
              </w:rPr>
            </w:pPr>
          </w:p>
        </w:tc>
        <w:tc>
          <w:tcPr>
            <w:tcW w:w="1705" w:type="dxa"/>
            <w:vAlign w:val="center"/>
          </w:tcPr>
          <w:p w14:paraId="5C7A9B6E" w14:textId="77777777" w:rsidR="00C3345F" w:rsidRPr="00CF4879" w:rsidRDefault="00C3345F" w:rsidP="00AD309C">
            <w:pPr>
              <w:pStyle w:val="ListParagraph"/>
              <w:numPr>
                <w:ilvl w:val="0"/>
                <w:numId w:val="336"/>
              </w:numPr>
              <w:spacing w:line="276" w:lineRule="auto"/>
              <w:rPr>
                <w:rFonts w:cs="Arial"/>
                <w:iCs/>
              </w:rPr>
            </w:pPr>
            <w:r w:rsidRPr="00CF4879">
              <w:rPr>
                <w:rFonts w:cs="Arial"/>
                <w:iCs/>
              </w:rPr>
              <w:t>Yes</w:t>
            </w:r>
          </w:p>
          <w:p w14:paraId="66A9A09A" w14:textId="77777777" w:rsidR="00C3345F" w:rsidRPr="00CF4879" w:rsidRDefault="00C3345F" w:rsidP="00AD309C">
            <w:pPr>
              <w:pStyle w:val="ListParagraph"/>
              <w:numPr>
                <w:ilvl w:val="0"/>
                <w:numId w:val="336"/>
              </w:numPr>
              <w:spacing w:line="276" w:lineRule="auto"/>
              <w:rPr>
                <w:rFonts w:cs="Arial"/>
                <w:iCs/>
              </w:rPr>
            </w:pPr>
            <w:r w:rsidRPr="00CF4879">
              <w:rPr>
                <w:rFonts w:cs="Arial"/>
                <w:iCs/>
              </w:rPr>
              <w:t>No</w:t>
            </w:r>
          </w:p>
        </w:tc>
      </w:tr>
      <w:tr w:rsidR="00C3345F" w:rsidRPr="009A5185" w14:paraId="4847F074" w14:textId="77777777" w:rsidTr="00E54E24">
        <w:trPr>
          <w:trHeight w:val="1152"/>
        </w:trPr>
        <w:tc>
          <w:tcPr>
            <w:tcW w:w="0" w:type="auto"/>
            <w:vAlign w:val="center"/>
          </w:tcPr>
          <w:p w14:paraId="063E20F5" w14:textId="77777777" w:rsidR="00C3345F" w:rsidRPr="009A5185" w:rsidRDefault="00C3345F">
            <w:pPr>
              <w:spacing w:line="276" w:lineRule="auto"/>
              <w:rPr>
                <w:rFonts w:cs="Arial"/>
              </w:rPr>
            </w:pPr>
            <w:r w:rsidRPr="009A5185">
              <w:rPr>
                <w:rFonts w:cs="Arial"/>
              </w:rPr>
              <w:lastRenderedPageBreak/>
              <w:t>h)</w:t>
            </w:r>
          </w:p>
        </w:tc>
        <w:tc>
          <w:tcPr>
            <w:tcW w:w="7251" w:type="dxa"/>
            <w:vAlign w:val="center"/>
          </w:tcPr>
          <w:p w14:paraId="18831040" w14:textId="77777777" w:rsidR="00C3345F" w:rsidRPr="009A5185" w:rsidRDefault="00C3345F">
            <w:pPr>
              <w:spacing w:line="276" w:lineRule="auto"/>
              <w:rPr>
                <w:rFonts w:cs="Arial"/>
              </w:rPr>
            </w:pPr>
            <w:r w:rsidRPr="009A5185">
              <w:rPr>
                <w:rFonts w:cs="Arial"/>
              </w:rPr>
              <w:t>Communicated back to end users the resolution of any system deficiencies and/or problems that may have contributed to workarounds</w:t>
            </w:r>
          </w:p>
          <w:p w14:paraId="77133865" w14:textId="77777777" w:rsidR="00C3345F" w:rsidRPr="009A5185" w:rsidRDefault="00C3345F">
            <w:pPr>
              <w:spacing w:line="276" w:lineRule="auto"/>
              <w:rPr>
                <w:rFonts w:cs="Arial"/>
              </w:rPr>
            </w:pPr>
          </w:p>
          <w:p w14:paraId="37677008" w14:textId="799ED56F" w:rsidR="00C3345F" w:rsidRPr="009A5185" w:rsidRDefault="00C3345F">
            <w:pPr>
              <w:spacing w:line="276" w:lineRule="auto"/>
              <w:rPr>
                <w:rFonts w:cs="Arial"/>
              </w:rPr>
            </w:pPr>
            <w:r w:rsidRPr="009A5185">
              <w:rPr>
                <w:rFonts w:cs="Arial"/>
                <w:i/>
              </w:rPr>
              <w:t xml:space="preserve">Cannot respond “yes” to this question, unless “yes” to either </w:t>
            </w:r>
            <w:r w:rsidR="00FF1AF1">
              <w:rPr>
                <w:rFonts w:cs="Arial"/>
                <w:i/>
              </w:rPr>
              <w:t>21a, 21</w:t>
            </w:r>
            <w:r w:rsidRPr="009A5185">
              <w:rPr>
                <w:rFonts w:cs="Arial"/>
                <w:i/>
              </w:rPr>
              <w:t>d</w:t>
            </w:r>
            <w:r>
              <w:rPr>
                <w:rFonts w:cs="Arial"/>
                <w:i/>
              </w:rPr>
              <w:t xml:space="preserve"> </w:t>
            </w:r>
            <w:r w:rsidRPr="009A5185">
              <w:rPr>
                <w:rFonts w:cs="Arial"/>
                <w:i/>
              </w:rPr>
              <w:t xml:space="preserve">or </w:t>
            </w:r>
            <w:r w:rsidR="00116D6F">
              <w:rPr>
                <w:rFonts w:cs="Arial"/>
                <w:i/>
              </w:rPr>
              <w:t>21</w:t>
            </w:r>
            <w:r w:rsidRPr="009A5185">
              <w:rPr>
                <w:rFonts w:cs="Arial"/>
                <w:i/>
              </w:rPr>
              <w:t>e.</w:t>
            </w:r>
          </w:p>
        </w:tc>
        <w:tc>
          <w:tcPr>
            <w:tcW w:w="1705" w:type="dxa"/>
            <w:vAlign w:val="center"/>
          </w:tcPr>
          <w:p w14:paraId="1641A7C5" w14:textId="77777777" w:rsidR="00C3345F" w:rsidRPr="00CF4879" w:rsidRDefault="00C3345F" w:rsidP="00AD309C">
            <w:pPr>
              <w:pStyle w:val="ListParagraph"/>
              <w:numPr>
                <w:ilvl w:val="0"/>
                <w:numId w:val="336"/>
              </w:numPr>
              <w:spacing w:line="276" w:lineRule="auto"/>
              <w:rPr>
                <w:rFonts w:cs="Arial"/>
                <w:iCs/>
              </w:rPr>
            </w:pPr>
            <w:r w:rsidRPr="00CF4879">
              <w:rPr>
                <w:rFonts w:cs="Arial"/>
                <w:iCs/>
              </w:rPr>
              <w:t>Yes</w:t>
            </w:r>
          </w:p>
          <w:p w14:paraId="6FCDE144" w14:textId="77777777" w:rsidR="00C3345F" w:rsidRPr="00CF4879" w:rsidRDefault="00C3345F" w:rsidP="00AD309C">
            <w:pPr>
              <w:pStyle w:val="ListParagraph"/>
              <w:numPr>
                <w:ilvl w:val="0"/>
                <w:numId w:val="336"/>
              </w:numPr>
              <w:spacing w:line="276" w:lineRule="auto"/>
              <w:rPr>
                <w:rFonts w:cs="Arial"/>
                <w:iCs/>
              </w:rPr>
            </w:pPr>
            <w:r w:rsidRPr="00CF4879">
              <w:rPr>
                <w:rFonts w:cs="Arial"/>
                <w:iCs/>
              </w:rPr>
              <w:t>No</w:t>
            </w:r>
          </w:p>
        </w:tc>
      </w:tr>
    </w:tbl>
    <w:p w14:paraId="0AE06AA2" w14:textId="77777777" w:rsidR="00C3345F" w:rsidRDefault="00C3345F" w:rsidP="00F750C5"/>
    <w:p w14:paraId="5E67902F" w14:textId="5BB50AED" w:rsidR="00653074" w:rsidRDefault="00653074" w:rsidP="00BD11D8"/>
    <w:p w14:paraId="203EDF9A" w14:textId="162EF0B2" w:rsidR="00653074" w:rsidRDefault="00653074">
      <w:pPr>
        <w:rPr>
          <w:b/>
          <w:snapToGrid w:val="0"/>
          <w:sz w:val="28"/>
          <w:szCs w:val="24"/>
          <w:u w:val="single"/>
          <w:lang w:eastAsia="ja-JP"/>
        </w:rPr>
      </w:pPr>
      <w:r>
        <w:br w:type="page"/>
      </w:r>
    </w:p>
    <w:p w14:paraId="54583FCE" w14:textId="60B1CE29" w:rsidR="00C3345F" w:rsidRDefault="00C7333E" w:rsidP="00CF5A6E">
      <w:pPr>
        <w:pStyle w:val="Heading2"/>
      </w:pPr>
      <w:bookmarkStart w:id="171" w:name="_Toc225877692"/>
      <w:r>
        <w:lastRenderedPageBreak/>
        <w:t>2D</w:t>
      </w:r>
      <w:r w:rsidRPr="009A5185">
        <w:t>: Medication Reconciliation</w:t>
      </w:r>
      <w:bookmarkEnd w:id="171"/>
    </w:p>
    <w:p w14:paraId="42F2AA45" w14:textId="77777777" w:rsidR="00C7333E" w:rsidRDefault="00C7333E" w:rsidP="00C3345F">
      <w:pPr>
        <w:pStyle w:val="BodyText3"/>
        <w:rPr>
          <w:rFonts w:cs="Arial"/>
        </w:rPr>
      </w:pPr>
    </w:p>
    <w:p w14:paraId="58949262" w14:textId="44566670" w:rsidR="00C3345F" w:rsidRDefault="00C3345F" w:rsidP="00C3345F">
      <w:pPr>
        <w:pStyle w:val="BodyText3"/>
        <w:rPr>
          <w:rFonts w:cs="Arial"/>
          <w:b/>
          <w:color w:val="FF0000"/>
        </w:rPr>
      </w:pPr>
      <w:r w:rsidRPr="009A5185">
        <w:rPr>
          <w:rFonts w:cs="Arial"/>
          <w:b/>
          <w:color w:val="FF0000"/>
        </w:rPr>
        <w:t xml:space="preserve">This section is not applicable to </w:t>
      </w:r>
      <w:r>
        <w:rPr>
          <w:rFonts w:cs="Arial"/>
          <w:b/>
          <w:color w:val="FF0000"/>
        </w:rPr>
        <w:t>p</w:t>
      </w:r>
      <w:r w:rsidRPr="009A5185">
        <w:rPr>
          <w:rFonts w:cs="Arial"/>
          <w:b/>
          <w:color w:val="FF0000"/>
        </w:rPr>
        <w:t xml:space="preserve">ediatric hospitals. </w:t>
      </w:r>
    </w:p>
    <w:p w14:paraId="41A4C1D6" w14:textId="03FADD11" w:rsidR="001413FC" w:rsidRDefault="001413FC" w:rsidP="00C3345F">
      <w:pPr>
        <w:pStyle w:val="BodyText3"/>
        <w:rPr>
          <w:rFonts w:cs="Arial"/>
          <w:b/>
          <w:color w:val="FF0000"/>
        </w:rPr>
      </w:pPr>
    </w:p>
    <w:p w14:paraId="49FF7A1D" w14:textId="61525BC8" w:rsidR="001413FC" w:rsidRPr="00620C87" w:rsidRDefault="001413FC" w:rsidP="00620C87">
      <w:pPr>
        <w:rPr>
          <w:rFonts w:cs="Arial"/>
          <w:snapToGrid w:val="0"/>
          <w:color w:val="0000FF"/>
          <w:u w:val="single"/>
        </w:rPr>
      </w:pPr>
      <w:r w:rsidRPr="009A5185">
        <w:rPr>
          <w:rFonts w:cs="Arial"/>
          <w:snapToGrid w:val="0"/>
        </w:rPr>
        <w:t xml:space="preserve">Hospitals that share a </w:t>
      </w:r>
      <w:r>
        <w:rPr>
          <w:rFonts w:cs="Arial"/>
          <w:snapToGrid w:val="0"/>
        </w:rPr>
        <w:t>CMS Certification Number</w:t>
      </w:r>
      <w:r w:rsidRPr="009A5185">
        <w:rPr>
          <w:rFonts w:cs="Arial"/>
          <w:snapToGrid w:val="0"/>
        </w:rPr>
        <w:t xml:space="preserve"> are required to report by facility. Please carefully review </w:t>
      </w:r>
      <w:hyperlink r:id="rId175" w:history="1">
        <w:r w:rsidRPr="009A5185">
          <w:rPr>
            <w:rStyle w:val="Hyperlink"/>
            <w:rFonts w:cs="Arial"/>
            <w:snapToGrid w:val="0"/>
          </w:rPr>
          <w:t>Leapfrog’s Multi-Campus Reporting Policy</w:t>
        </w:r>
      </w:hyperlink>
      <w:r>
        <w:rPr>
          <w:rStyle w:val="Hyperlink"/>
          <w:rFonts w:cs="Arial"/>
          <w:snapToGrid w:val="0"/>
        </w:rPr>
        <w:t>.</w:t>
      </w:r>
    </w:p>
    <w:p w14:paraId="56C09D8E" w14:textId="77777777" w:rsidR="00C3345F" w:rsidRPr="009A5185" w:rsidRDefault="00C3345F" w:rsidP="00C3345F">
      <w:pPr>
        <w:pStyle w:val="BodyText3"/>
        <w:rPr>
          <w:rFonts w:cs="Arial"/>
          <w:color w:val="FF0000"/>
        </w:rPr>
      </w:pPr>
    </w:p>
    <w:p w14:paraId="36693644" w14:textId="489B3CD4" w:rsidR="00C3345F" w:rsidRDefault="00C3345F" w:rsidP="00C3345F">
      <w:pPr>
        <w:rPr>
          <w:rFonts w:cs="Arial"/>
          <w:snapToGrid w:val="0"/>
        </w:rPr>
      </w:pPr>
      <w:r w:rsidRPr="009A5185">
        <w:rPr>
          <w:rFonts w:cs="Arial"/>
          <w:b/>
          <w:snapToGrid w:val="0"/>
        </w:rPr>
        <w:t>Specifications:</w:t>
      </w:r>
      <w:r w:rsidRPr="009A5185">
        <w:rPr>
          <w:rFonts w:cs="Arial"/>
          <w:snapToGrid w:val="0"/>
        </w:rPr>
        <w:t xml:space="preserve"> See </w:t>
      </w:r>
      <w:hyperlink w:anchor="MedRecSpecs" w:history="1">
        <w:r w:rsidRPr="009A5185">
          <w:rPr>
            <w:rStyle w:val="Hyperlink"/>
            <w:rFonts w:cs="Arial"/>
            <w:b/>
            <w:i/>
          </w:rPr>
          <w:t>Medication Reconciliation Measure Specifications</w:t>
        </w:r>
      </w:hyperlink>
      <w:r w:rsidRPr="009A5185">
        <w:rPr>
          <w:rFonts w:cs="Arial"/>
        </w:rPr>
        <w:t xml:space="preserve"> </w:t>
      </w:r>
      <w:r w:rsidRPr="009A5185">
        <w:rPr>
          <w:rFonts w:cs="Arial"/>
          <w:snapToGrid w:val="0"/>
        </w:rPr>
        <w:t xml:space="preserve">in the Reference Information </w:t>
      </w:r>
      <w:r w:rsidR="00FA29BA">
        <w:rPr>
          <w:rFonts w:cs="Arial"/>
          <w:snapToGrid w:val="0"/>
        </w:rPr>
        <w:t>beginning on page</w:t>
      </w:r>
      <w:r w:rsidR="00C92FF9">
        <w:rPr>
          <w:rFonts w:cs="Arial"/>
          <w:snapToGrid w:val="0"/>
        </w:rPr>
        <w:t xml:space="preserve"> </w:t>
      </w:r>
      <w:r w:rsidR="00A274B6">
        <w:rPr>
          <w:rFonts w:cs="Arial"/>
          <w:snapToGrid w:val="0"/>
        </w:rPr>
        <w:t>7</w:t>
      </w:r>
      <w:r w:rsidR="00D07281">
        <w:rPr>
          <w:rFonts w:cs="Arial"/>
          <w:snapToGrid w:val="0"/>
        </w:rPr>
        <w:t>7</w:t>
      </w:r>
      <w:r w:rsidR="00FA29BA">
        <w:rPr>
          <w:rFonts w:cs="Arial"/>
          <w:snapToGrid w:val="0"/>
        </w:rPr>
        <w:t>.</w:t>
      </w:r>
    </w:p>
    <w:p w14:paraId="7701058A" w14:textId="77777777" w:rsidR="006B20FF" w:rsidRPr="009A5185" w:rsidRDefault="006B20FF" w:rsidP="00C3345F">
      <w:pPr>
        <w:rPr>
          <w:rFonts w:cs="Arial"/>
          <w:snapToGrid w:val="0"/>
        </w:rPr>
      </w:pPr>
    </w:p>
    <w:p w14:paraId="2C50B7D8" w14:textId="1E3D009B" w:rsidR="00C3345F" w:rsidRDefault="006B20FF" w:rsidP="00C3345F">
      <w:pPr>
        <w:rPr>
          <w:rStyle w:val="Hyperlink"/>
        </w:rPr>
      </w:pPr>
      <w:r w:rsidRPr="006B20FF">
        <w:rPr>
          <w:rFonts w:cs="Arial"/>
          <w:noProof/>
          <w:snapToGrid w:val="0"/>
        </w:rPr>
        <mc:AlternateContent>
          <mc:Choice Requires="wps">
            <w:drawing>
              <wp:inline distT="0" distB="0" distL="0" distR="0" wp14:anchorId="254CEFE2" wp14:editId="294CEF16">
                <wp:extent cx="6058894" cy="1404620"/>
                <wp:effectExtent l="0" t="0" r="18415" b="16510"/>
                <wp:docPr id="25" name="Text Box 25" descr="P2157TB9#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8894" cy="1404620"/>
                        </a:xfrm>
                        <a:prstGeom prst="rect">
                          <a:avLst/>
                        </a:prstGeom>
                        <a:solidFill>
                          <a:srgbClr val="FFFFFF"/>
                        </a:solidFill>
                        <a:ln w="9525">
                          <a:solidFill>
                            <a:srgbClr val="FF0000"/>
                          </a:solidFill>
                          <a:miter lim="800000"/>
                          <a:headEnd/>
                          <a:tailEnd/>
                        </a:ln>
                      </wps:spPr>
                      <wps:txbx>
                        <w:txbxContent>
                          <w:p w14:paraId="73F0B372" w14:textId="42FBA280" w:rsidR="006B20FF" w:rsidRPr="009A5185" w:rsidRDefault="006B20FF" w:rsidP="006B20FF">
                            <w:pPr>
                              <w:spacing w:before="40"/>
                              <w:rPr>
                                <w:rFonts w:cs="Arial"/>
                                <w:b/>
                                <w:snapToGrid w:val="0"/>
                              </w:rPr>
                            </w:pPr>
                            <w:r w:rsidRPr="009A5185">
                              <w:rPr>
                                <w:rFonts w:cs="Arial"/>
                                <w:b/>
                                <w:snapToGrid w:val="0"/>
                              </w:rPr>
                              <w:t>Reporting Period: 6 months</w:t>
                            </w:r>
                          </w:p>
                          <w:p w14:paraId="7421029D" w14:textId="77777777" w:rsidR="006B20FF" w:rsidRDefault="006B20FF" w:rsidP="006B20FF">
                            <w:pPr>
                              <w:rPr>
                                <w:rFonts w:cs="Arial"/>
                              </w:rPr>
                            </w:pPr>
                            <w:r w:rsidRPr="009A5185">
                              <w:rPr>
                                <w:rFonts w:cs="Arial"/>
                              </w:rPr>
                              <w:t>Answer questions #1-</w:t>
                            </w:r>
                            <w:r>
                              <w:rPr>
                                <w:rFonts w:cs="Arial"/>
                              </w:rPr>
                              <w:t>8</w:t>
                            </w:r>
                            <w:r w:rsidRPr="009A5185">
                              <w:rPr>
                                <w:rFonts w:cs="Arial"/>
                              </w:rPr>
                              <w:t xml:space="preserve"> for the latest 6-month period prior to the submission of this section of the Survey. </w:t>
                            </w:r>
                          </w:p>
                          <w:p w14:paraId="316E37F3" w14:textId="77777777" w:rsidR="006B20FF" w:rsidRDefault="006B20FF" w:rsidP="006B20FF">
                            <w:pPr>
                              <w:rPr>
                                <w:rFonts w:cs="Arial"/>
                              </w:rPr>
                            </w:pPr>
                          </w:p>
                          <w:p w14:paraId="740C7DA4" w14:textId="5A31C912" w:rsidR="006B20FF" w:rsidRDefault="006B20FF" w:rsidP="006B20FF">
                            <w:r w:rsidRPr="006547C0">
                              <w:rPr>
                                <w:rFonts w:cs="Arial"/>
                                <w:sz w:val="16"/>
                                <w:szCs w:val="16"/>
                              </w:rPr>
                              <w:t xml:space="preserve">Note: As a reminder, the </w:t>
                            </w:r>
                            <w:hyperlink r:id="rId176" w:history="1">
                              <w:r w:rsidRPr="006547C0">
                                <w:rPr>
                                  <w:rStyle w:val="Hyperlink"/>
                                  <w:rFonts w:cs="Arial"/>
                                  <w:sz w:val="16"/>
                                  <w:szCs w:val="16"/>
                                </w:rPr>
                                <w:t>Corrections Period</w:t>
                              </w:r>
                            </w:hyperlink>
                            <w:r w:rsidRPr="006547C0">
                              <w:rPr>
                                <w:rFonts w:cs="Arial"/>
                                <w:sz w:val="16"/>
                                <w:szCs w:val="16"/>
                              </w:rPr>
                              <w:t xml:space="preserve"> </w:t>
                            </w:r>
                            <w:r w:rsidRPr="00E65E68">
                              <w:rPr>
                                <w:rFonts w:cs="Arial"/>
                                <w:sz w:val="16"/>
                                <w:szCs w:val="16"/>
                              </w:rPr>
                              <w:t>(</w:t>
                            </w:r>
                            <w:r>
                              <w:rPr>
                                <w:rFonts w:cs="Arial"/>
                                <w:sz w:val="16"/>
                                <w:szCs w:val="16"/>
                              </w:rPr>
                              <w:t>December</w:t>
                            </w:r>
                            <w:r w:rsidRPr="00E65E68">
                              <w:rPr>
                                <w:rFonts w:cs="Arial"/>
                                <w:sz w:val="16"/>
                                <w:szCs w:val="16"/>
                              </w:rPr>
                              <w:t xml:space="preserve"> 1-January 31) is reserved for corrections to previously submitted Surveys only. </w:t>
                            </w:r>
                            <w:r w:rsidRPr="00E65E68">
                              <w:rPr>
                                <w:rFonts w:cs="Arial"/>
                                <w:bCs/>
                                <w:snapToGrid w:val="0"/>
                                <w:sz w:val="16"/>
                                <w:szCs w:val="16"/>
                              </w:rPr>
                              <w:t xml:space="preserve">Any updates made to reflect a change in performance must be made prior to the </w:t>
                            </w:r>
                            <w:r>
                              <w:rPr>
                                <w:rFonts w:cs="Arial"/>
                                <w:bCs/>
                                <w:snapToGrid w:val="0"/>
                                <w:sz w:val="16"/>
                                <w:szCs w:val="16"/>
                              </w:rPr>
                              <w:t>November 30</w:t>
                            </w:r>
                            <w:r w:rsidRPr="00E65E68">
                              <w:rPr>
                                <w:rFonts w:cs="Arial"/>
                                <w:bCs/>
                                <w:snapToGrid w:val="0"/>
                                <w:sz w:val="16"/>
                                <w:szCs w:val="16"/>
                              </w:rPr>
                              <w:t xml:space="preserve"> Late Submission </w:t>
                            </w:r>
                            <w:r>
                              <w:rPr>
                                <w:rFonts w:cs="Arial"/>
                                <w:bCs/>
                                <w:snapToGrid w:val="0"/>
                                <w:sz w:val="16"/>
                                <w:szCs w:val="16"/>
                              </w:rPr>
                              <w:t xml:space="preserve">and Performance Update </w:t>
                            </w:r>
                            <w:r w:rsidRPr="00E65E68">
                              <w:rPr>
                                <w:rFonts w:cs="Arial"/>
                                <w:bCs/>
                                <w:snapToGrid w:val="0"/>
                                <w:sz w:val="16"/>
                                <w:szCs w:val="16"/>
                              </w:rPr>
                              <w:t xml:space="preserve">Deadline. Updates made to reflect a change in performance after </w:t>
                            </w:r>
                            <w:r>
                              <w:rPr>
                                <w:rFonts w:cs="Arial"/>
                                <w:bCs/>
                                <w:snapToGrid w:val="0"/>
                                <w:sz w:val="16"/>
                                <w:szCs w:val="16"/>
                              </w:rPr>
                              <w:t>November 30</w:t>
                            </w:r>
                            <w:r w:rsidRPr="00E65E68">
                              <w:rPr>
                                <w:rFonts w:cs="Arial"/>
                                <w:bCs/>
                                <w:snapToGrid w:val="0"/>
                                <w:sz w:val="16"/>
                                <w:szCs w:val="16"/>
                              </w:rPr>
                              <w:t xml:space="preserve"> will not be scored or publicly reported.</w:t>
                            </w:r>
                          </w:p>
                        </w:txbxContent>
                      </wps:txbx>
                      <wps:bodyPr rot="0" vert="horz" wrap="square" lIns="91440" tIns="45720" rIns="91440" bIns="45720" anchor="t" anchorCtr="0">
                        <a:spAutoFit/>
                      </wps:bodyPr>
                    </wps:wsp>
                  </a:graphicData>
                </a:graphic>
              </wp:inline>
            </w:drawing>
          </mc:Choice>
          <mc:Fallback>
            <w:pict>
              <v:shape w14:anchorId="254CEFE2" id="Text Box 25" o:spid="_x0000_s1036" type="#_x0000_t202" alt="P2157TB9#y1" style="width:477.1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" strokecolor="red">
                <v:textbox style="mso-fit-shape-to-text:t">
                  <w:txbxContent>
                    <w:p w14:paraId="73F0B372" w14:textId="42FBA280" w:rsidR="006B20FF" w:rsidRPr="009A5185" w:rsidRDefault="006B20FF" w:rsidP="006B20FF">
                      <w:pPr>
                        <w:spacing w:before="40"/>
                        <w:rPr>
                          <w:rFonts w:cs="Arial"/>
                          <w:b/>
                          <w:snapToGrid w:val="0"/>
                        </w:rPr>
                      </w:pPr>
                      <w:r w:rsidRPr="009A5185">
                        <w:rPr>
                          <w:rFonts w:cs="Arial"/>
                          <w:b/>
                          <w:snapToGrid w:val="0"/>
                        </w:rPr>
                        <w:t>Reporting Period: 6 months</w:t>
                      </w:r>
                    </w:p>
                    <w:p w14:paraId="7421029D" w14:textId="77777777" w:rsidR="006B20FF" w:rsidRDefault="006B20FF" w:rsidP="006B20FF">
                      <w:pPr>
                        <w:rPr>
                          <w:rFonts w:cs="Arial"/>
                        </w:rPr>
                      </w:pPr>
                      <w:r w:rsidRPr="009A5185">
                        <w:rPr>
                          <w:rFonts w:cs="Arial"/>
                        </w:rPr>
                        <w:t xml:space="preserve">Answer </w:t>
                      </w:r>
                      <w:proofErr w:type="gramStart"/>
                      <w:r w:rsidRPr="009A5185">
                        <w:rPr>
                          <w:rFonts w:cs="Arial"/>
                        </w:rPr>
                        <w:t>questions #1</w:t>
                      </w:r>
                      <w:proofErr w:type="gramEnd"/>
                      <w:r w:rsidRPr="009A5185">
                        <w:rPr>
                          <w:rFonts w:cs="Arial"/>
                        </w:rPr>
                        <w:t>-</w:t>
                      </w:r>
                      <w:r>
                        <w:rPr>
                          <w:rFonts w:cs="Arial"/>
                        </w:rPr>
                        <w:t>8</w:t>
                      </w:r>
                      <w:r w:rsidRPr="009A5185">
                        <w:rPr>
                          <w:rFonts w:cs="Arial"/>
                        </w:rPr>
                        <w:t xml:space="preserve"> for the latest 6-month period prior to the submission of this section of the Survey. </w:t>
                      </w:r>
                    </w:p>
                    <w:p w14:paraId="316E37F3" w14:textId="77777777" w:rsidR="006B20FF" w:rsidRDefault="006B20FF" w:rsidP="006B20FF">
                      <w:pPr>
                        <w:rPr>
                          <w:rFonts w:cs="Arial"/>
                        </w:rPr>
                      </w:pPr>
                    </w:p>
                    <w:p w14:paraId="740C7DA4" w14:textId="5A31C912" w:rsidR="006B20FF" w:rsidRDefault="006B20FF" w:rsidP="006B20FF">
                      <w:r w:rsidRPr="006547C0">
                        <w:rPr>
                          <w:rFonts w:cs="Arial"/>
                          <w:sz w:val="16"/>
                          <w:szCs w:val="16"/>
                        </w:rPr>
                        <w:t xml:space="preserve">Note: As a reminder, the </w:t>
                      </w:r>
                      <w:hyperlink r:id="rId177" w:history="1">
                        <w:r w:rsidRPr="006547C0">
                          <w:rPr>
                            <w:rStyle w:val="Hyperlink"/>
                            <w:rFonts w:cs="Arial"/>
                            <w:sz w:val="16"/>
                            <w:szCs w:val="16"/>
                          </w:rPr>
                          <w:t>Corrections Period</w:t>
                        </w:r>
                      </w:hyperlink>
                      <w:r w:rsidRPr="006547C0">
                        <w:rPr>
                          <w:rFonts w:cs="Arial"/>
                          <w:sz w:val="16"/>
                          <w:szCs w:val="16"/>
                        </w:rPr>
                        <w:t xml:space="preserve"> </w:t>
                      </w:r>
                      <w:r w:rsidRPr="00E65E68">
                        <w:rPr>
                          <w:rFonts w:cs="Arial"/>
                          <w:sz w:val="16"/>
                          <w:szCs w:val="16"/>
                        </w:rPr>
                        <w:t>(</w:t>
                      </w:r>
                      <w:r>
                        <w:rPr>
                          <w:rFonts w:cs="Arial"/>
                          <w:sz w:val="16"/>
                          <w:szCs w:val="16"/>
                        </w:rPr>
                        <w:t>December</w:t>
                      </w:r>
                      <w:r w:rsidRPr="00E65E68">
                        <w:rPr>
                          <w:rFonts w:cs="Arial"/>
                          <w:sz w:val="16"/>
                          <w:szCs w:val="16"/>
                        </w:rPr>
                        <w:t xml:space="preserve"> 1-January 31) is reserved for corrections to previously submitted Surveys only. </w:t>
                      </w:r>
                      <w:r w:rsidRPr="00E65E68">
                        <w:rPr>
                          <w:rFonts w:cs="Arial"/>
                          <w:bCs/>
                          <w:snapToGrid w:val="0"/>
                          <w:sz w:val="16"/>
                          <w:szCs w:val="16"/>
                        </w:rPr>
                        <w:t xml:space="preserve">Any updates made to reflect a change in performance must be made prior to the </w:t>
                      </w:r>
                      <w:r>
                        <w:rPr>
                          <w:rFonts w:cs="Arial"/>
                          <w:bCs/>
                          <w:snapToGrid w:val="0"/>
                          <w:sz w:val="16"/>
                          <w:szCs w:val="16"/>
                        </w:rPr>
                        <w:t>November 30</w:t>
                      </w:r>
                      <w:r w:rsidRPr="00E65E68">
                        <w:rPr>
                          <w:rFonts w:cs="Arial"/>
                          <w:bCs/>
                          <w:snapToGrid w:val="0"/>
                          <w:sz w:val="16"/>
                          <w:szCs w:val="16"/>
                        </w:rPr>
                        <w:t xml:space="preserve"> Late Submission </w:t>
                      </w:r>
                      <w:r>
                        <w:rPr>
                          <w:rFonts w:cs="Arial"/>
                          <w:bCs/>
                          <w:snapToGrid w:val="0"/>
                          <w:sz w:val="16"/>
                          <w:szCs w:val="16"/>
                        </w:rPr>
                        <w:t xml:space="preserve">and Performance Update </w:t>
                      </w:r>
                      <w:r w:rsidRPr="00E65E68">
                        <w:rPr>
                          <w:rFonts w:cs="Arial"/>
                          <w:bCs/>
                          <w:snapToGrid w:val="0"/>
                          <w:sz w:val="16"/>
                          <w:szCs w:val="16"/>
                        </w:rPr>
                        <w:t xml:space="preserve">Deadline. Updates made to reflect a change in performance after </w:t>
                      </w:r>
                      <w:r>
                        <w:rPr>
                          <w:rFonts w:cs="Arial"/>
                          <w:bCs/>
                          <w:snapToGrid w:val="0"/>
                          <w:sz w:val="16"/>
                          <w:szCs w:val="16"/>
                        </w:rPr>
                        <w:t>November 30</w:t>
                      </w:r>
                      <w:r w:rsidRPr="00E65E68">
                        <w:rPr>
                          <w:rFonts w:cs="Arial"/>
                          <w:bCs/>
                          <w:snapToGrid w:val="0"/>
                          <w:sz w:val="16"/>
                          <w:szCs w:val="16"/>
                        </w:rPr>
                        <w:t xml:space="preserve"> will not be scored or publicly reported.</w:t>
                      </w:r>
                    </w:p>
                  </w:txbxContent>
                </v:textbox>
                <w10:anchorlock/>
              </v:shape>
            </w:pict>
          </mc:Fallback>
        </mc:AlternateContent>
      </w:r>
    </w:p>
    <w:p w14:paraId="36D4B72B" w14:textId="65D403BA" w:rsidR="00C3345F" w:rsidRDefault="00C3345F" w:rsidP="00C3345F">
      <w:pPr>
        <w:rPr>
          <w:rFonts w:cs="Arial"/>
          <w:snapToGrid w:val="0"/>
        </w:rPr>
      </w:pPr>
    </w:p>
    <w:p w14:paraId="4C90F97B" w14:textId="77BE6DCF" w:rsidR="00C50965" w:rsidRDefault="00C50965" w:rsidP="00C50965">
      <w:pPr>
        <w:rPr>
          <w:rFonts w:cs="Arial"/>
          <w:b/>
        </w:rPr>
      </w:pPr>
      <w:r w:rsidRPr="00BC2785">
        <w:rPr>
          <w:b/>
          <w:bCs/>
        </w:rPr>
        <w:t>Sufficient Sample:</w:t>
      </w:r>
      <w:r>
        <w:t xml:space="preserve"> See </w:t>
      </w:r>
      <w:hyperlink w:anchor="_Medication_Reconciliation_1" w:history="1">
        <w:r w:rsidR="00B9657D">
          <w:rPr>
            <w:rStyle w:val="Hyperlink"/>
            <w:b/>
            <w:bCs/>
            <w:i/>
            <w:iCs/>
          </w:rPr>
          <w:t>Medication Reconciliation Measure Specifications</w:t>
        </w:r>
      </w:hyperlink>
      <w:r w:rsidRPr="001E2A00">
        <w:rPr>
          <w:rStyle w:val="Hyperlink"/>
          <w:b/>
          <w:i/>
          <w:iCs/>
          <w:u w:val="none"/>
        </w:rPr>
        <w:t xml:space="preserve"> </w:t>
      </w:r>
      <w:r>
        <w:t>for instructions on identifying a sufficient sample for question #</w:t>
      </w:r>
      <w:r w:rsidR="00B9657D">
        <w:t>3</w:t>
      </w:r>
      <w:r>
        <w:t>.</w:t>
      </w:r>
    </w:p>
    <w:p w14:paraId="6DBC079A" w14:textId="77777777" w:rsidR="00C50965" w:rsidRDefault="00C50965" w:rsidP="00C3345F">
      <w:pPr>
        <w:rPr>
          <w:rFonts w:cs="Arial"/>
          <w:snapToGrid w:val="0"/>
        </w:rPr>
      </w:pPr>
    </w:p>
    <w:tbl>
      <w:tblPr>
        <w:tblW w:w="9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717"/>
        <w:gridCol w:w="1823"/>
      </w:tblGrid>
      <w:tr w:rsidR="008D6E32" w:rsidRPr="009A5185" w14:paraId="091924A5" w14:textId="77777777" w:rsidTr="0055100A">
        <w:trPr>
          <w:trHeight w:val="864"/>
        </w:trPr>
        <w:tc>
          <w:tcPr>
            <w:tcW w:w="7717" w:type="dxa"/>
            <w:vAlign w:val="center"/>
          </w:tcPr>
          <w:p w14:paraId="5D5840C8" w14:textId="680A8D37" w:rsidR="008D6E32" w:rsidRPr="002C516E" w:rsidRDefault="008D6E32" w:rsidP="00AD309C">
            <w:pPr>
              <w:pStyle w:val="ListParagraph"/>
              <w:numPr>
                <w:ilvl w:val="0"/>
                <w:numId w:val="51"/>
              </w:numPr>
              <w:spacing w:before="120"/>
              <w:rPr>
                <w:rFonts w:cs="Arial"/>
              </w:rPr>
            </w:pPr>
            <w:r w:rsidRPr="009A5185">
              <w:rPr>
                <w:rFonts w:cs="Arial"/>
              </w:rPr>
              <w:t>What is the latest 6-month reporting period for which your hospital is submitting responses to this section? 6-month reporting period ending:</w:t>
            </w:r>
          </w:p>
        </w:tc>
        <w:tc>
          <w:tcPr>
            <w:tcW w:w="1823" w:type="dxa"/>
            <w:vAlign w:val="center"/>
          </w:tcPr>
          <w:p w14:paraId="0AEC3CBF" w14:textId="77777777" w:rsidR="008D6E32" w:rsidRPr="009A5185" w:rsidRDefault="008D6E32" w:rsidP="008D6E32">
            <w:pPr>
              <w:jc w:val="center"/>
              <w:rPr>
                <w:rFonts w:cs="Arial"/>
                <w:i/>
                <w:snapToGrid w:val="0"/>
              </w:rPr>
            </w:pPr>
            <w:r w:rsidRPr="009A5185">
              <w:rPr>
                <w:rFonts w:cs="Arial"/>
                <w:i/>
                <w:snapToGrid w:val="0"/>
              </w:rPr>
              <w:t>______</w:t>
            </w:r>
          </w:p>
          <w:p w14:paraId="1DBA248E" w14:textId="23E31918" w:rsidR="008D6E32" w:rsidRDefault="008D6E32" w:rsidP="008D6E32">
            <w:pPr>
              <w:jc w:val="center"/>
              <w:rPr>
                <w:rFonts w:cs="Arial"/>
                <w:i/>
                <w:snapToGrid w:val="0"/>
              </w:rPr>
            </w:pPr>
            <w:r w:rsidRPr="009A5185">
              <w:rPr>
                <w:rFonts w:cs="Arial"/>
                <w:i/>
                <w:snapToGrid w:val="0"/>
                <w:sz w:val="16"/>
                <w:szCs w:val="16"/>
              </w:rPr>
              <w:t>Format: M</w:t>
            </w:r>
            <w:r>
              <w:rPr>
                <w:rFonts w:cs="Arial"/>
                <w:i/>
                <w:snapToGrid w:val="0"/>
                <w:sz w:val="16"/>
                <w:szCs w:val="16"/>
              </w:rPr>
              <w:t>onth</w:t>
            </w:r>
            <w:r w:rsidRPr="009A5185">
              <w:rPr>
                <w:rFonts w:cs="Arial"/>
                <w:i/>
                <w:snapToGrid w:val="0"/>
                <w:sz w:val="16"/>
                <w:szCs w:val="16"/>
              </w:rPr>
              <w:t>/Y</w:t>
            </w:r>
            <w:r>
              <w:rPr>
                <w:rFonts w:cs="Arial"/>
                <w:i/>
                <w:snapToGrid w:val="0"/>
                <w:sz w:val="16"/>
                <w:szCs w:val="16"/>
              </w:rPr>
              <w:t>ear</w:t>
            </w:r>
          </w:p>
        </w:tc>
      </w:tr>
      <w:tr w:rsidR="00C3345F" w:rsidRPr="009A5185" w14:paraId="6724E555" w14:textId="77777777" w:rsidTr="0055100A">
        <w:trPr>
          <w:trHeight w:val="4670"/>
        </w:trPr>
        <w:tc>
          <w:tcPr>
            <w:tcW w:w="7717" w:type="dxa"/>
            <w:vAlign w:val="center"/>
          </w:tcPr>
          <w:p w14:paraId="6091D7D0" w14:textId="4891DC53" w:rsidR="00C3345F" w:rsidRPr="002C516E" w:rsidRDefault="00C3345F" w:rsidP="00AD309C">
            <w:pPr>
              <w:pStyle w:val="ListParagraph"/>
              <w:numPr>
                <w:ilvl w:val="0"/>
                <w:numId w:val="51"/>
              </w:numPr>
              <w:spacing w:before="120"/>
              <w:rPr>
                <w:rFonts w:cs="Arial"/>
              </w:rPr>
            </w:pPr>
            <w:r w:rsidRPr="002C516E">
              <w:rPr>
                <w:rFonts w:cs="Arial"/>
              </w:rPr>
              <w:t>During the 6-month reporting period, did your hospital conduct a random sample of adult patients and have a pharmacist</w:t>
            </w:r>
            <w:r>
              <w:rPr>
                <w:rFonts w:cs="Arial"/>
              </w:rPr>
              <w:t xml:space="preserve"> or </w:t>
            </w:r>
            <w:hyperlink w:anchor="CertifiedPharmacyTechnician" w:history="1">
              <w:r w:rsidRPr="00EA3D2A">
                <w:rPr>
                  <w:rStyle w:val="Hyperlink"/>
                  <w:rFonts w:cs="Arial"/>
                </w:rPr>
                <w:t>certified pharmacy technician</w:t>
              </w:r>
            </w:hyperlink>
            <w:bookmarkStart w:id="172" w:name="_Ref59097322"/>
            <w:r w:rsidR="00C2087D">
              <w:rPr>
                <w:rFonts w:ascii="ZWAdobeF" w:hAnsi="ZWAdobeF" w:cs="ZWAdobeF"/>
                <w:sz w:val="2"/>
                <w:szCs w:val="2"/>
              </w:rPr>
              <w:t>22F</w:t>
            </w:r>
            <w:r w:rsidR="00B55C41">
              <w:rPr>
                <w:rFonts w:ascii="ZWAdobeF" w:hAnsi="ZWAdobeF" w:cs="ZWAdobeF"/>
                <w:sz w:val="2"/>
                <w:szCs w:val="2"/>
              </w:rPr>
              <w:t>22F</w:t>
            </w:r>
            <w:r w:rsidR="006255A6">
              <w:rPr>
                <w:rFonts w:ascii="ZWAdobeF" w:hAnsi="ZWAdobeF" w:cs="ZWAdobeF"/>
                <w:sz w:val="2"/>
                <w:szCs w:val="2"/>
              </w:rPr>
              <w:t>22F</w:t>
            </w:r>
            <w:r w:rsidR="00E453C7">
              <w:rPr>
                <w:rFonts w:ascii="ZWAdobeF" w:hAnsi="ZWAdobeF" w:cs="ZWAdobeF"/>
                <w:sz w:val="2"/>
                <w:szCs w:val="2"/>
              </w:rPr>
              <w:t>22F</w:t>
            </w:r>
            <w:r w:rsidR="00953060">
              <w:rPr>
                <w:rFonts w:ascii="ZWAdobeF" w:hAnsi="ZWAdobeF" w:cs="ZWAdobeF"/>
                <w:sz w:val="2"/>
                <w:szCs w:val="2"/>
              </w:rPr>
              <w:t>22F</w:t>
            </w:r>
            <w:r w:rsidR="00DD04D6">
              <w:rPr>
                <w:rFonts w:ascii="ZWAdobeF" w:hAnsi="ZWAdobeF" w:cs="ZWAdobeF"/>
                <w:sz w:val="2"/>
                <w:szCs w:val="2"/>
              </w:rPr>
              <w:t>22F</w:t>
            </w:r>
            <w:r w:rsidRPr="003A1377">
              <w:rPr>
                <w:rStyle w:val="EndnoteReference"/>
                <w:rFonts w:cs="Arial"/>
              </w:rPr>
              <w:endnoteReference w:id="24"/>
            </w:r>
            <w:bookmarkEnd w:id="172"/>
            <w:r w:rsidRPr="002C516E">
              <w:rPr>
                <w:rFonts w:cs="Arial"/>
              </w:rPr>
              <w:t xml:space="preserve"> complete the following steps for each patient included in the sample:</w:t>
            </w:r>
          </w:p>
          <w:p w14:paraId="56111D8E" w14:textId="4784124D" w:rsidR="00C3345F" w:rsidRPr="002C516E" w:rsidRDefault="00C3345F" w:rsidP="00AD309C">
            <w:pPr>
              <w:pStyle w:val="EndnoteText"/>
              <w:numPr>
                <w:ilvl w:val="1"/>
                <w:numId w:val="51"/>
              </w:numPr>
              <w:rPr>
                <w:rFonts w:cs="Arial"/>
              </w:rPr>
            </w:pPr>
            <w:hyperlink w:anchor="Step2_Interview" w:history="1">
              <w:r w:rsidRPr="00811AC5">
                <w:rPr>
                  <w:rStyle w:val="Hyperlink"/>
                  <w:rFonts w:cs="Arial"/>
                </w:rPr>
                <w:t>Interview Patient and Obtain the Gold Standard Medication History</w:t>
              </w:r>
            </w:hyperlink>
            <w:r>
              <w:rPr>
                <w:rStyle w:val="Hyperlink"/>
                <w:rFonts w:cs="Arial"/>
              </w:rPr>
              <w:t xml:space="preserve"> </w:t>
            </w:r>
            <w:r w:rsidRPr="00E442DC">
              <w:rPr>
                <w:rStyle w:val="Hyperlink"/>
                <w:rFonts w:cs="Arial"/>
                <w:color w:val="auto"/>
                <w:u w:val="none"/>
              </w:rPr>
              <w:t>(pharmacist o</w:t>
            </w:r>
            <w:r>
              <w:rPr>
                <w:rStyle w:val="Hyperlink"/>
                <w:rFonts w:cs="Arial"/>
                <w:color w:val="auto"/>
                <w:u w:val="none"/>
              </w:rPr>
              <w:t>r</w:t>
            </w:r>
            <w:r w:rsidRPr="00E442DC">
              <w:rPr>
                <w:rStyle w:val="Hyperlink"/>
                <w:rFonts w:cs="Arial"/>
                <w:color w:val="auto"/>
                <w:u w:val="none"/>
              </w:rPr>
              <w:t xml:space="preserve"> </w:t>
            </w:r>
            <w:hyperlink w:anchor="CertifiedPharmacyTechnician" w:history="1">
              <w:r w:rsidRPr="0057191C">
                <w:rPr>
                  <w:rStyle w:val="Hyperlink"/>
                  <w:rFonts w:cs="Arial"/>
                </w:rPr>
                <w:t>certified pharmacy technician</w:t>
              </w:r>
            </w:hyperlink>
            <w:r>
              <w:rPr>
                <w:rFonts w:cs="Arial"/>
              </w:rPr>
              <w:fldChar w:fldCharType="begin"/>
            </w:r>
            <w:r>
              <w:rPr>
                <w:rFonts w:cs="Arial"/>
              </w:rPr>
              <w:instrText xml:space="preserve"> NOTEREF _Ref59097322 \f \h </w:instrText>
            </w:r>
            <w:r w:rsidR="0055100A">
              <w:rPr>
                <w:rFonts w:cs="Arial"/>
              </w:rPr>
              <w:instrText xml:space="preserve"> \* MERGEFORMAT </w:instrText>
            </w:r>
            <w:r>
              <w:rPr>
                <w:rFonts w:cs="Arial"/>
              </w:rPr>
            </w:r>
            <w:r>
              <w:rPr>
                <w:rFonts w:cs="Arial"/>
              </w:rPr>
              <w:fldChar w:fldCharType="separate"/>
            </w:r>
            <w:r w:rsidR="007D53A2" w:rsidRPr="00F06B87">
              <w:rPr>
                <w:rStyle w:val="EndnoteReference"/>
              </w:rPr>
              <w:t>23</w:t>
            </w:r>
            <w:r>
              <w:rPr>
                <w:rFonts w:cs="Arial"/>
              </w:rPr>
              <w:fldChar w:fldCharType="end"/>
            </w:r>
            <w:r w:rsidRPr="00E442DC">
              <w:rPr>
                <w:rStyle w:val="Hyperlink"/>
                <w:rFonts w:cs="Arial"/>
                <w:color w:val="auto"/>
                <w:u w:val="none"/>
              </w:rPr>
              <w:t>)</w:t>
            </w:r>
            <w:r w:rsidR="00515B0B">
              <w:rPr>
                <w:rStyle w:val="Hyperlink"/>
                <w:rFonts w:cs="Arial"/>
                <w:color w:val="auto"/>
                <w:u w:val="none"/>
              </w:rPr>
              <w:t>;</w:t>
            </w:r>
          </w:p>
          <w:p w14:paraId="69A7A601" w14:textId="0690E7AC" w:rsidR="00C3345F" w:rsidRPr="00E442DC" w:rsidRDefault="00C3345F" w:rsidP="00AD309C">
            <w:pPr>
              <w:pStyle w:val="ListParagraph"/>
              <w:numPr>
                <w:ilvl w:val="1"/>
                <w:numId w:val="51"/>
              </w:numPr>
              <w:rPr>
                <w:rFonts w:cs="Arial"/>
              </w:rPr>
            </w:pPr>
            <w:hyperlink w:anchor="Step3_CompleteWkst" w:history="1">
              <w:r w:rsidRPr="00E442DC">
                <w:rPr>
                  <w:rStyle w:val="Hyperlink"/>
                  <w:rFonts w:cs="Arial"/>
                </w:rPr>
                <w:t xml:space="preserve">Complete a Medication Reconciliation Worksheet for each sampled patient </w:t>
              </w:r>
            </w:hyperlink>
            <w:r w:rsidRPr="00E442DC">
              <w:rPr>
                <w:rStyle w:val="Hyperlink"/>
                <w:rFonts w:cs="Arial"/>
                <w:color w:val="auto"/>
                <w:u w:val="none"/>
              </w:rPr>
              <w:t xml:space="preserve">(pharmacist or </w:t>
            </w:r>
            <w:hyperlink w:anchor="CertifiedPharmacyTechnician" w:history="1">
              <w:r w:rsidRPr="0057191C">
                <w:rPr>
                  <w:rStyle w:val="Hyperlink"/>
                  <w:rFonts w:cs="Arial"/>
                </w:rPr>
                <w:t>certified pharmacy technician</w:t>
              </w:r>
            </w:hyperlink>
            <w:r w:rsidR="00763813" w:rsidRPr="00E77139">
              <w:rPr>
                <w:rFonts w:cs="Arial"/>
                <w:vertAlign w:val="superscript"/>
              </w:rPr>
              <w:t>23</w:t>
            </w:r>
            <w:r w:rsidRPr="00E442DC">
              <w:rPr>
                <w:rStyle w:val="Hyperlink"/>
                <w:rFonts w:cs="Arial"/>
                <w:color w:val="auto"/>
                <w:u w:val="none"/>
              </w:rPr>
              <w:t>)</w:t>
            </w:r>
            <w:r w:rsidR="00515B0B">
              <w:rPr>
                <w:rStyle w:val="Hyperlink"/>
                <w:rFonts w:cs="Arial"/>
                <w:color w:val="auto"/>
                <w:u w:val="none"/>
              </w:rPr>
              <w:t>;</w:t>
            </w:r>
          </w:p>
          <w:p w14:paraId="5F9850E6" w14:textId="00147406" w:rsidR="00C3345F" w:rsidRPr="00E442DC" w:rsidRDefault="00C3345F" w:rsidP="00AD309C">
            <w:pPr>
              <w:pStyle w:val="EndnoteText"/>
              <w:numPr>
                <w:ilvl w:val="1"/>
                <w:numId w:val="51"/>
              </w:numPr>
              <w:rPr>
                <w:rFonts w:cs="Arial"/>
              </w:rPr>
            </w:pPr>
            <w:hyperlink w:anchor="Step4_ComparewAdmissionOrders" w:history="1">
              <w:r w:rsidRPr="00811AC5">
                <w:rPr>
                  <w:rStyle w:val="Hyperlink"/>
                  <w:rFonts w:cs="Arial"/>
                </w:rPr>
                <w:t>Compare Gold Standard Medication History to Admission Orders</w:t>
              </w:r>
            </w:hyperlink>
            <w:r>
              <w:rPr>
                <w:rStyle w:val="Hyperlink"/>
                <w:rFonts w:cs="Arial"/>
              </w:rPr>
              <w:t xml:space="preserve"> </w:t>
            </w:r>
            <w:r w:rsidRPr="00E442DC">
              <w:rPr>
                <w:rStyle w:val="Hyperlink"/>
                <w:rFonts w:cs="Arial"/>
                <w:color w:val="auto"/>
                <w:u w:val="none"/>
              </w:rPr>
              <w:t>(pharmacist only)</w:t>
            </w:r>
            <w:r w:rsidR="003F497E">
              <w:rPr>
                <w:rStyle w:val="Hyperlink"/>
                <w:rFonts w:cs="Arial"/>
                <w:color w:val="auto"/>
                <w:u w:val="none"/>
              </w:rPr>
              <w:t>;</w:t>
            </w:r>
            <w:r w:rsidR="00FA374A">
              <w:rPr>
                <w:rStyle w:val="Hyperlink"/>
                <w:rFonts w:cs="Arial"/>
                <w:color w:val="auto"/>
                <w:u w:val="none"/>
              </w:rPr>
              <w:t xml:space="preserve"> and</w:t>
            </w:r>
          </w:p>
          <w:p w14:paraId="71646DE7" w14:textId="46429446" w:rsidR="00C3345F" w:rsidRPr="002C516E" w:rsidRDefault="00C3345F" w:rsidP="00AD309C">
            <w:pPr>
              <w:pStyle w:val="EndnoteText"/>
              <w:numPr>
                <w:ilvl w:val="1"/>
                <w:numId w:val="51"/>
              </w:numPr>
              <w:rPr>
                <w:rFonts w:cs="Arial"/>
              </w:rPr>
            </w:pPr>
            <w:hyperlink w:anchor="Step5_ComparewDischargeOrders" w:history="1">
              <w:r w:rsidRPr="00811AC5">
                <w:rPr>
                  <w:rStyle w:val="Hyperlink"/>
                </w:rPr>
                <w:t>Compare Gold Standard Medication History to Discharge Orders</w:t>
              </w:r>
            </w:hyperlink>
            <w:r>
              <w:rPr>
                <w:rStyle w:val="Hyperlink"/>
              </w:rPr>
              <w:t xml:space="preserve"> </w:t>
            </w:r>
            <w:r w:rsidRPr="00E442DC">
              <w:rPr>
                <w:rStyle w:val="Hyperlink"/>
                <w:color w:val="auto"/>
                <w:u w:val="none"/>
              </w:rPr>
              <w:t>(pharmacist only)</w:t>
            </w:r>
            <w:r w:rsidR="00FA374A">
              <w:rPr>
                <w:rStyle w:val="Hyperlink"/>
                <w:color w:val="auto"/>
                <w:u w:val="none"/>
              </w:rPr>
              <w:t>?</w:t>
            </w:r>
          </w:p>
          <w:p w14:paraId="34D93BC4" w14:textId="77777777" w:rsidR="00C3345F" w:rsidRPr="002C516E" w:rsidRDefault="00C3345F" w:rsidP="0055100A">
            <w:pPr>
              <w:pStyle w:val="EndnoteText"/>
              <w:ind w:left="540"/>
              <w:rPr>
                <w:rFonts w:cs="Arial"/>
              </w:rPr>
            </w:pPr>
          </w:p>
          <w:p w14:paraId="0CD6A9FE" w14:textId="030B3870" w:rsidR="00C3345F" w:rsidRDefault="00C3345F" w:rsidP="0055100A">
            <w:pPr>
              <w:pStyle w:val="EndnoteText"/>
              <w:ind w:left="540"/>
              <w:rPr>
                <w:rFonts w:cs="Arial"/>
                <w:i/>
              </w:rPr>
            </w:pPr>
            <w:r w:rsidRPr="002C516E">
              <w:rPr>
                <w:rFonts w:cs="Arial"/>
                <w:i/>
              </w:rPr>
              <w:t>If “no” to question #</w:t>
            </w:r>
            <w:r>
              <w:rPr>
                <w:rFonts w:cs="Arial"/>
                <w:i/>
              </w:rPr>
              <w:t>2</w:t>
            </w:r>
            <w:r w:rsidRPr="002C516E">
              <w:rPr>
                <w:rFonts w:cs="Arial"/>
                <w:i/>
              </w:rPr>
              <w:t xml:space="preserve">, skip </w:t>
            </w:r>
            <w:r w:rsidR="00D145C4">
              <w:rPr>
                <w:rFonts w:cs="Arial"/>
                <w:i/>
              </w:rPr>
              <w:t xml:space="preserve">the remaining questions in </w:t>
            </w:r>
            <w:r w:rsidR="00CF7851">
              <w:rPr>
                <w:rFonts w:cs="Arial"/>
                <w:i/>
              </w:rPr>
              <w:t>Section 2</w:t>
            </w:r>
            <w:r w:rsidR="00F72C9F">
              <w:rPr>
                <w:rFonts w:cs="Arial"/>
                <w:i/>
              </w:rPr>
              <w:t>D</w:t>
            </w:r>
            <w:r w:rsidR="00CF7851">
              <w:rPr>
                <w:rFonts w:cs="Arial"/>
                <w:i/>
              </w:rPr>
              <w:t xml:space="preserve"> </w:t>
            </w:r>
            <w:r w:rsidR="00D145C4">
              <w:rPr>
                <w:rFonts w:cs="Arial"/>
                <w:i/>
              </w:rPr>
              <w:t>and go to the Affirmation of Accuracy</w:t>
            </w:r>
            <w:r w:rsidRPr="002C516E">
              <w:rPr>
                <w:rFonts w:cs="Arial"/>
                <w:i/>
              </w:rPr>
              <w:t>.</w:t>
            </w:r>
            <w:r>
              <w:rPr>
                <w:rFonts w:cs="Arial"/>
                <w:i/>
              </w:rPr>
              <w:t xml:space="preserve"> </w:t>
            </w:r>
            <w:r w:rsidRPr="00F61E74">
              <w:rPr>
                <w:rFonts w:cs="Arial"/>
                <w:i/>
              </w:rPr>
              <w:t>The hospital will be scored as “</w:t>
            </w:r>
            <w:r w:rsidR="004D39CE">
              <w:rPr>
                <w:rFonts w:cs="Arial"/>
                <w:i/>
              </w:rPr>
              <w:t>Did Not Measure</w:t>
            </w:r>
            <w:r w:rsidRPr="00F61E74">
              <w:rPr>
                <w:rFonts w:cs="Arial"/>
                <w:i/>
              </w:rPr>
              <w:t>.”</w:t>
            </w:r>
          </w:p>
          <w:p w14:paraId="22443C4F" w14:textId="77777777" w:rsidR="00C3345F" w:rsidRDefault="00C3345F" w:rsidP="0055100A">
            <w:pPr>
              <w:pStyle w:val="EndnoteText"/>
              <w:ind w:left="540"/>
              <w:rPr>
                <w:rFonts w:cs="Arial"/>
                <w:i/>
              </w:rPr>
            </w:pPr>
          </w:p>
          <w:p w14:paraId="2ECA5DAB" w14:textId="45753CAC" w:rsidR="00B9657D" w:rsidRPr="0011459E" w:rsidRDefault="00C3345F" w:rsidP="0055100A">
            <w:pPr>
              <w:pStyle w:val="EndnoteText"/>
              <w:ind w:left="540"/>
              <w:rPr>
                <w:rFonts w:cs="Arial"/>
                <w:i/>
              </w:rPr>
            </w:pPr>
            <w:r>
              <w:rPr>
                <w:rFonts w:cs="Arial"/>
                <w:i/>
              </w:rPr>
              <w:t xml:space="preserve">If “no, had fewer than 30 admissions to medical or med/surg units” to question #2, skip </w:t>
            </w:r>
            <w:r w:rsidR="00D145C4">
              <w:rPr>
                <w:rFonts w:cs="Arial"/>
                <w:i/>
              </w:rPr>
              <w:t xml:space="preserve">the remaining questions in </w:t>
            </w:r>
            <w:r w:rsidR="00CF7851">
              <w:rPr>
                <w:rFonts w:cs="Arial"/>
                <w:i/>
              </w:rPr>
              <w:t>Section 2</w:t>
            </w:r>
            <w:r w:rsidR="00F72C9F">
              <w:rPr>
                <w:rFonts w:cs="Arial"/>
                <w:i/>
              </w:rPr>
              <w:t>D</w:t>
            </w:r>
            <w:r w:rsidR="00CF7851">
              <w:rPr>
                <w:rFonts w:cs="Arial"/>
                <w:i/>
              </w:rPr>
              <w:t xml:space="preserve"> </w:t>
            </w:r>
            <w:r w:rsidR="00D145C4">
              <w:rPr>
                <w:rFonts w:cs="Arial"/>
                <w:i/>
              </w:rPr>
              <w:t>and go to the Affirmation of Accuracy</w:t>
            </w:r>
            <w:r>
              <w:rPr>
                <w:rFonts w:cs="Arial"/>
                <w:i/>
              </w:rPr>
              <w:t>. The hospital will be scored as “Does Not Apply.”</w:t>
            </w:r>
          </w:p>
        </w:tc>
        <w:tc>
          <w:tcPr>
            <w:tcW w:w="1823" w:type="dxa"/>
            <w:vAlign w:val="center"/>
          </w:tcPr>
          <w:p w14:paraId="24784117" w14:textId="77777777" w:rsidR="00C3345F" w:rsidRPr="00CF4879" w:rsidRDefault="00C3345F" w:rsidP="00AD309C">
            <w:pPr>
              <w:pStyle w:val="ListParagraph"/>
              <w:numPr>
                <w:ilvl w:val="0"/>
                <w:numId w:val="234"/>
              </w:numPr>
              <w:rPr>
                <w:rFonts w:cs="Arial"/>
                <w:iCs/>
                <w:snapToGrid w:val="0"/>
              </w:rPr>
            </w:pPr>
            <w:r w:rsidRPr="00CF4879">
              <w:rPr>
                <w:rFonts w:cs="Arial"/>
                <w:iCs/>
                <w:snapToGrid w:val="0"/>
              </w:rPr>
              <w:t>Yes</w:t>
            </w:r>
          </w:p>
          <w:p w14:paraId="3465CC46" w14:textId="77777777" w:rsidR="00C3345F" w:rsidRPr="00CF4879" w:rsidRDefault="00C3345F" w:rsidP="00AD309C">
            <w:pPr>
              <w:pStyle w:val="ListParagraph"/>
              <w:numPr>
                <w:ilvl w:val="0"/>
                <w:numId w:val="234"/>
              </w:numPr>
              <w:rPr>
                <w:rFonts w:cs="Arial"/>
                <w:iCs/>
                <w:snapToGrid w:val="0"/>
              </w:rPr>
            </w:pPr>
            <w:r w:rsidRPr="00CF4879">
              <w:rPr>
                <w:rFonts w:cs="Arial"/>
                <w:iCs/>
                <w:snapToGrid w:val="0"/>
              </w:rPr>
              <w:t>No</w:t>
            </w:r>
          </w:p>
          <w:p w14:paraId="405A66C2" w14:textId="77777777" w:rsidR="00C3345F" w:rsidRPr="00E46668" w:rsidRDefault="00C3345F" w:rsidP="00AD309C">
            <w:pPr>
              <w:pStyle w:val="ListParagraph"/>
              <w:numPr>
                <w:ilvl w:val="0"/>
                <w:numId w:val="234"/>
              </w:numPr>
              <w:rPr>
                <w:rFonts w:cs="Arial"/>
                <w:i/>
                <w:iCs/>
                <w:snapToGrid w:val="0"/>
              </w:rPr>
            </w:pPr>
            <w:r w:rsidRPr="00CF4879">
              <w:rPr>
                <w:iCs/>
              </w:rPr>
              <w:t>No, had fewer than 30 admissions to medical or med/surg units</w:t>
            </w:r>
          </w:p>
        </w:tc>
      </w:tr>
    </w:tbl>
    <w:p w14:paraId="0D7EEB50" w14:textId="77777777" w:rsidR="00C3345F" w:rsidRPr="00B9657D" w:rsidRDefault="00C3345F" w:rsidP="00C3345F">
      <w:pPr>
        <w:rPr>
          <w:rFonts w:cs="Arial"/>
          <w:snapToGrid w:val="0"/>
        </w:rPr>
      </w:pPr>
    </w:p>
    <w:p w14:paraId="59161216" w14:textId="54901933" w:rsidR="00C3345F" w:rsidRPr="00483217" w:rsidRDefault="00C3345F" w:rsidP="00C3345F">
      <w:pPr>
        <w:spacing w:line="276" w:lineRule="auto"/>
        <w:rPr>
          <w:rFonts w:cs="Arial"/>
          <w:i/>
        </w:rPr>
      </w:pPr>
      <w:r w:rsidRPr="00483217">
        <w:rPr>
          <w:rFonts w:cs="Arial"/>
          <w:i/>
        </w:rPr>
        <w:t>For questions #3-8, if the sample is less than 30 patients from the 6-month period, the hospital will be scored as “</w:t>
      </w:r>
      <w:r w:rsidR="0012282F">
        <w:rPr>
          <w:rFonts w:cs="Arial"/>
          <w:i/>
        </w:rPr>
        <w:t>Limited</w:t>
      </w:r>
      <w:r w:rsidRPr="00483217">
        <w:rPr>
          <w:rFonts w:cs="Arial"/>
          <w:i/>
        </w:rPr>
        <w:t xml:space="preserve"> Achievement” and the rate of unintentional discrepancies will not be publicly reported.</w:t>
      </w:r>
    </w:p>
    <w:p w14:paraId="3EC0AE68" w14:textId="77777777" w:rsidR="00C3345F" w:rsidRPr="00B9657D" w:rsidRDefault="00C3345F" w:rsidP="00C3345F">
      <w:pPr>
        <w:rPr>
          <w:rFonts w:cs="Arial"/>
          <w:snapToGrid w:val="0"/>
        </w:rPr>
      </w:pPr>
    </w:p>
    <w:tbl>
      <w:tblPr>
        <w:tblStyle w:val="TableGrid"/>
        <w:tblW w:w="9540" w:type="dxa"/>
        <w:tblLayout w:type="fixed"/>
        <w:tblLook w:val="04A0" w:firstRow="1" w:lastRow="0" w:firstColumn="1" w:lastColumn="0" w:noHBand="0" w:noVBand="1"/>
      </w:tblPr>
      <w:tblGrid>
        <w:gridCol w:w="7783"/>
        <w:gridCol w:w="1757"/>
      </w:tblGrid>
      <w:tr w:rsidR="00C3345F" w:rsidRPr="009A5185" w14:paraId="43341EE9" w14:textId="77777777" w:rsidTr="009E1D23">
        <w:trPr>
          <w:trHeight w:val="864"/>
        </w:trPr>
        <w:tc>
          <w:tcPr>
            <w:tcW w:w="7783" w:type="dxa"/>
            <w:vAlign w:val="center"/>
          </w:tcPr>
          <w:p w14:paraId="00EFB283" w14:textId="1EBE347F" w:rsidR="00C3345F" w:rsidRPr="009A5185" w:rsidRDefault="00C3345F" w:rsidP="00AD309C">
            <w:pPr>
              <w:pStyle w:val="ListParagraph"/>
              <w:numPr>
                <w:ilvl w:val="0"/>
                <w:numId w:val="51"/>
              </w:numPr>
              <w:spacing w:before="120" w:after="120" w:line="276" w:lineRule="auto"/>
              <w:rPr>
                <w:rFonts w:cs="Arial"/>
              </w:rPr>
            </w:pPr>
            <w:r w:rsidRPr="009A5185">
              <w:rPr>
                <w:rFonts w:cs="Arial"/>
              </w:rPr>
              <w:t xml:space="preserve">Number of </w:t>
            </w:r>
            <w:r>
              <w:rPr>
                <w:rFonts w:cs="Arial"/>
              </w:rPr>
              <w:t xml:space="preserve">adult </w:t>
            </w:r>
            <w:r w:rsidRPr="009A5185">
              <w:rPr>
                <w:rFonts w:cs="Arial"/>
              </w:rPr>
              <w:t xml:space="preserve">patients that your hospital </w:t>
            </w:r>
            <w:hyperlink w:anchor="SamplingforMedicationReconciliation" w:history="1">
              <w:r w:rsidRPr="009A5185">
                <w:rPr>
                  <w:rStyle w:val="Hyperlink"/>
                  <w:rFonts w:cs="Arial"/>
                </w:rPr>
                <w:t>sampled</w:t>
              </w:r>
            </w:hyperlink>
            <w:bookmarkStart w:id="174" w:name="_Ref4411174"/>
            <w:r w:rsidR="000F0582">
              <w:rPr>
                <w:rStyle w:val="Hyperlink"/>
                <w:rFonts w:ascii="ZWAdobeF" w:hAnsi="ZWAdobeF" w:cs="ZWAdobeF"/>
                <w:color w:val="auto"/>
                <w:sz w:val="2"/>
                <w:szCs w:val="2"/>
                <w:u w:val="none"/>
              </w:rPr>
              <w:t>21</w:t>
            </w:r>
            <w:r w:rsidR="00C2087D">
              <w:rPr>
                <w:rStyle w:val="Hyperlink"/>
                <w:rFonts w:ascii="ZWAdobeF" w:hAnsi="ZWAdobeF" w:cs="ZWAdobeF"/>
                <w:color w:val="auto"/>
                <w:sz w:val="2"/>
                <w:szCs w:val="2"/>
                <w:u w:val="none"/>
              </w:rPr>
              <w:t>23F</w:t>
            </w:r>
            <w:r w:rsidR="00B55C41">
              <w:rPr>
                <w:rStyle w:val="Hyperlink"/>
                <w:rFonts w:ascii="ZWAdobeF" w:hAnsi="ZWAdobeF" w:cs="ZWAdobeF"/>
                <w:color w:val="auto"/>
                <w:sz w:val="2"/>
                <w:szCs w:val="2"/>
                <w:u w:val="none"/>
              </w:rPr>
              <w:t>23F</w:t>
            </w:r>
            <w:r w:rsidR="006255A6">
              <w:rPr>
                <w:rStyle w:val="Hyperlink"/>
                <w:rFonts w:ascii="ZWAdobeF" w:hAnsi="ZWAdobeF" w:cs="ZWAdobeF"/>
                <w:color w:val="auto"/>
                <w:sz w:val="2"/>
                <w:szCs w:val="2"/>
                <w:u w:val="none"/>
              </w:rPr>
              <w:t>23F</w:t>
            </w:r>
            <w:r w:rsidR="00E453C7">
              <w:rPr>
                <w:rStyle w:val="Hyperlink"/>
                <w:rFonts w:ascii="ZWAdobeF" w:hAnsi="ZWAdobeF" w:cs="ZWAdobeF"/>
                <w:color w:val="auto"/>
                <w:sz w:val="2"/>
                <w:szCs w:val="2"/>
                <w:u w:val="none"/>
              </w:rPr>
              <w:t>23F</w:t>
            </w:r>
            <w:r w:rsidR="00953060">
              <w:rPr>
                <w:rStyle w:val="Hyperlink"/>
                <w:rFonts w:ascii="ZWAdobeF" w:hAnsi="ZWAdobeF" w:cs="ZWAdobeF"/>
                <w:color w:val="auto"/>
                <w:sz w:val="2"/>
                <w:szCs w:val="2"/>
                <w:u w:val="none"/>
              </w:rPr>
              <w:t>23F</w:t>
            </w:r>
            <w:r w:rsidR="00DD04D6">
              <w:rPr>
                <w:rStyle w:val="Hyperlink"/>
                <w:rFonts w:ascii="ZWAdobeF" w:hAnsi="ZWAdobeF" w:cs="ZWAdobeF"/>
                <w:color w:val="auto"/>
                <w:sz w:val="2"/>
                <w:szCs w:val="2"/>
                <w:u w:val="none"/>
              </w:rPr>
              <w:t>23F</w:t>
            </w:r>
            <w:r w:rsidRPr="00386209">
              <w:rPr>
                <w:rStyle w:val="EndnoteReference"/>
                <w:rFonts w:cs="Arial"/>
              </w:rPr>
              <w:endnoteReference w:id="25"/>
            </w:r>
            <w:bookmarkEnd w:id="174"/>
            <w:r w:rsidRPr="00386209">
              <w:rPr>
                <w:rFonts w:cs="Arial"/>
              </w:rPr>
              <w:t>.</w:t>
            </w:r>
          </w:p>
        </w:tc>
        <w:tc>
          <w:tcPr>
            <w:tcW w:w="1757" w:type="dxa"/>
            <w:vAlign w:val="center"/>
          </w:tcPr>
          <w:p w14:paraId="3FC87A0F" w14:textId="77777777" w:rsidR="00C3345F" w:rsidRDefault="00C3345F">
            <w:pPr>
              <w:spacing w:line="276" w:lineRule="auto"/>
              <w:jc w:val="center"/>
              <w:rPr>
                <w:rFonts w:cs="Arial"/>
                <w:i/>
                <w:snapToGrid w:val="0"/>
              </w:rPr>
            </w:pPr>
            <w:r w:rsidRPr="009A5185">
              <w:rPr>
                <w:rFonts w:cs="Arial"/>
                <w:i/>
                <w:snapToGrid w:val="0"/>
              </w:rPr>
              <w:t>_____</w:t>
            </w:r>
          </w:p>
          <w:p w14:paraId="06A00031" w14:textId="7DAC34CD" w:rsidR="008255FE" w:rsidRPr="005149DB" w:rsidRDefault="00E22F88">
            <w:pPr>
              <w:spacing w:line="276" w:lineRule="auto"/>
              <w:jc w:val="center"/>
              <w:rPr>
                <w:rFonts w:cs="Arial"/>
                <w:i/>
                <w:iCs/>
                <w:sz w:val="16"/>
                <w:szCs w:val="16"/>
              </w:rPr>
            </w:pPr>
            <w:r w:rsidRPr="005149DB">
              <w:rPr>
                <w:rFonts w:cs="Arial"/>
                <w:i/>
                <w:iCs/>
                <w:sz w:val="16"/>
                <w:szCs w:val="16"/>
              </w:rPr>
              <w:t>Max value 500</w:t>
            </w:r>
          </w:p>
        </w:tc>
      </w:tr>
      <w:tr w:rsidR="00C3345F" w:rsidRPr="009A5185" w14:paraId="5FDAD28A" w14:textId="77777777">
        <w:tc>
          <w:tcPr>
            <w:tcW w:w="7783" w:type="dxa"/>
            <w:vAlign w:val="center"/>
          </w:tcPr>
          <w:p w14:paraId="41929E14" w14:textId="3DA55F49" w:rsidR="00C3345F" w:rsidRDefault="00C3345F" w:rsidP="00AD309C">
            <w:pPr>
              <w:pStyle w:val="ListParagraph"/>
              <w:numPr>
                <w:ilvl w:val="0"/>
                <w:numId w:val="51"/>
              </w:numPr>
              <w:spacing w:before="120" w:after="120" w:line="276" w:lineRule="auto"/>
              <w:rPr>
                <w:rFonts w:cs="Arial"/>
              </w:rPr>
            </w:pPr>
            <w:r>
              <w:rPr>
                <w:rFonts w:cs="Arial"/>
              </w:rPr>
              <w:lastRenderedPageBreak/>
              <w:t xml:space="preserve">Number of </w:t>
            </w:r>
            <w:r w:rsidR="00481565">
              <w:rPr>
                <w:rFonts w:cs="Arial"/>
              </w:rPr>
              <w:t>patients from question #3 who</w:t>
            </w:r>
            <w:r>
              <w:rPr>
                <w:rFonts w:cs="Arial"/>
              </w:rPr>
              <w:t xml:space="preserve"> had zero (0) Gold Standard Medications. </w:t>
            </w:r>
          </w:p>
          <w:p w14:paraId="30C74028" w14:textId="77777777" w:rsidR="00C3345F" w:rsidRPr="00465976" w:rsidRDefault="00C3345F">
            <w:pPr>
              <w:pStyle w:val="ListParagraph"/>
              <w:spacing w:before="120" w:after="120" w:line="276" w:lineRule="auto"/>
              <w:ind w:left="360"/>
              <w:rPr>
                <w:rFonts w:cs="Arial"/>
                <w:i/>
                <w:iCs/>
              </w:rPr>
            </w:pPr>
            <w:r>
              <w:rPr>
                <w:rFonts w:cs="Arial"/>
              </w:rPr>
              <w:br/>
            </w:r>
            <w:r>
              <w:rPr>
                <w:rFonts w:cs="Arial"/>
                <w:i/>
                <w:iCs/>
              </w:rPr>
              <w:t>If more than 10 out of 30 patients (or one-third) included in the sample had zero (0) Gold Standard Medications, the hospital will be scored as “Unable to Calculate Score.”</w:t>
            </w:r>
          </w:p>
        </w:tc>
        <w:tc>
          <w:tcPr>
            <w:tcW w:w="1757" w:type="dxa"/>
            <w:vAlign w:val="center"/>
          </w:tcPr>
          <w:p w14:paraId="5293FA57" w14:textId="77777777" w:rsidR="00C3345F" w:rsidRDefault="00C3345F">
            <w:pPr>
              <w:spacing w:line="276" w:lineRule="auto"/>
              <w:jc w:val="center"/>
              <w:rPr>
                <w:rFonts w:cs="Arial"/>
                <w:i/>
                <w:snapToGrid w:val="0"/>
              </w:rPr>
            </w:pPr>
            <w:r w:rsidRPr="009A5185">
              <w:rPr>
                <w:rFonts w:cs="Arial"/>
                <w:i/>
                <w:snapToGrid w:val="0"/>
              </w:rPr>
              <w:t>_____</w:t>
            </w:r>
          </w:p>
          <w:p w14:paraId="66F4FEAB" w14:textId="19AD8041" w:rsidR="00E22F88" w:rsidRPr="00E22F88" w:rsidRDefault="00E22F88">
            <w:pPr>
              <w:spacing w:line="276" w:lineRule="auto"/>
              <w:jc w:val="center"/>
              <w:rPr>
                <w:rFonts w:cs="Arial"/>
                <w:i/>
                <w:iCs/>
                <w:snapToGrid w:val="0"/>
              </w:rPr>
            </w:pPr>
          </w:p>
        </w:tc>
      </w:tr>
      <w:tr w:rsidR="00C3345F" w:rsidRPr="009A5185" w14:paraId="0D1ADDB2" w14:textId="77777777">
        <w:tc>
          <w:tcPr>
            <w:tcW w:w="7783" w:type="dxa"/>
            <w:vAlign w:val="center"/>
          </w:tcPr>
          <w:p w14:paraId="68CBF1F7" w14:textId="01F0B366" w:rsidR="00C3345F" w:rsidRPr="009A5185" w:rsidRDefault="00C3345F" w:rsidP="00AD309C">
            <w:pPr>
              <w:pStyle w:val="ListParagraph"/>
              <w:numPr>
                <w:ilvl w:val="0"/>
                <w:numId w:val="51"/>
              </w:numPr>
              <w:spacing w:before="120" w:after="120" w:line="276" w:lineRule="auto"/>
              <w:rPr>
                <w:rFonts w:cs="Arial"/>
              </w:rPr>
            </w:pPr>
            <w:r w:rsidRPr="009A5185">
              <w:rPr>
                <w:rFonts w:cs="Arial"/>
              </w:rPr>
              <w:t>Total number of medications obtained by the pharmacist</w:t>
            </w:r>
            <w:r>
              <w:rPr>
                <w:rFonts w:cs="Arial"/>
              </w:rPr>
              <w:t xml:space="preserve"> or </w:t>
            </w:r>
            <w:hyperlink w:anchor="CertifiedPharmacyTechnician" w:history="1">
              <w:r w:rsidRPr="0057191C">
                <w:rPr>
                  <w:rStyle w:val="Hyperlink"/>
                  <w:rFonts w:cs="Arial"/>
                </w:rPr>
                <w:t>certified pharmacy technician</w:t>
              </w:r>
            </w:hyperlink>
            <w:r w:rsidR="00AA2A3E" w:rsidRPr="00AA2A3E">
              <w:rPr>
                <w:rStyle w:val="Hyperlink"/>
                <w:rFonts w:cs="Arial"/>
                <w:color w:val="auto"/>
                <w:u w:val="none"/>
                <w:vertAlign w:val="superscript"/>
              </w:rPr>
              <w:t>23</w:t>
            </w:r>
            <w:r w:rsidRPr="009A5185">
              <w:rPr>
                <w:rFonts w:cs="Arial"/>
              </w:rPr>
              <w:t xml:space="preserve"> from the </w:t>
            </w:r>
            <w:hyperlink w:anchor="GoldStandardMedicationHistory" w:history="1">
              <w:r w:rsidRPr="002F4839">
                <w:rPr>
                  <w:rStyle w:val="Hyperlink"/>
                  <w:rFonts w:cs="Arial"/>
                </w:rPr>
                <w:t>Gold Standard Medication History</w:t>
              </w:r>
            </w:hyperlink>
            <w:r w:rsidR="000F0582">
              <w:rPr>
                <w:rStyle w:val="Hyperlink"/>
                <w:rFonts w:ascii="ZWAdobeF" w:hAnsi="ZWAdobeF" w:cs="ZWAdobeF"/>
                <w:color w:val="auto"/>
                <w:sz w:val="2"/>
                <w:szCs w:val="2"/>
                <w:u w:val="none"/>
              </w:rPr>
              <w:t>22F</w:t>
            </w:r>
            <w:r w:rsidR="00BF053F">
              <w:rPr>
                <w:rStyle w:val="Hyperlink"/>
                <w:rFonts w:ascii="ZWAdobeF" w:hAnsi="ZWAdobeF" w:cs="ZWAdobeF"/>
                <w:color w:val="auto"/>
                <w:sz w:val="2"/>
                <w:szCs w:val="2"/>
                <w:u w:val="none"/>
              </w:rPr>
              <w:t>24F</w:t>
            </w:r>
            <w:r w:rsidR="004C7557">
              <w:rPr>
                <w:rStyle w:val="Hyperlink"/>
                <w:rFonts w:ascii="ZWAdobeF" w:hAnsi="ZWAdobeF" w:cs="ZWAdobeF"/>
                <w:color w:val="auto"/>
                <w:sz w:val="2"/>
                <w:szCs w:val="2"/>
                <w:u w:val="none"/>
              </w:rPr>
              <w:t>24F</w:t>
            </w:r>
            <w:r w:rsidR="00C2087D">
              <w:rPr>
                <w:rStyle w:val="Hyperlink"/>
                <w:rFonts w:ascii="ZWAdobeF" w:hAnsi="ZWAdobeF" w:cs="ZWAdobeF"/>
                <w:color w:val="auto"/>
                <w:sz w:val="2"/>
                <w:szCs w:val="2"/>
                <w:u w:val="none"/>
              </w:rPr>
              <w:t>24F</w:t>
            </w:r>
            <w:r w:rsidR="00B55C41">
              <w:rPr>
                <w:rStyle w:val="Hyperlink"/>
                <w:rFonts w:ascii="ZWAdobeF" w:hAnsi="ZWAdobeF" w:cs="ZWAdobeF"/>
                <w:color w:val="auto"/>
                <w:sz w:val="2"/>
                <w:szCs w:val="2"/>
                <w:u w:val="none"/>
              </w:rPr>
              <w:t>24F</w:t>
            </w:r>
            <w:r w:rsidR="006255A6">
              <w:rPr>
                <w:rStyle w:val="Hyperlink"/>
                <w:rFonts w:ascii="ZWAdobeF" w:hAnsi="ZWAdobeF" w:cs="ZWAdobeF"/>
                <w:color w:val="auto"/>
                <w:sz w:val="2"/>
                <w:szCs w:val="2"/>
                <w:u w:val="none"/>
              </w:rPr>
              <w:t>24F</w:t>
            </w:r>
            <w:r w:rsidR="00E453C7">
              <w:rPr>
                <w:rStyle w:val="Hyperlink"/>
                <w:rFonts w:ascii="ZWAdobeF" w:hAnsi="ZWAdobeF" w:cs="ZWAdobeF"/>
                <w:color w:val="auto"/>
                <w:sz w:val="2"/>
                <w:szCs w:val="2"/>
                <w:u w:val="none"/>
              </w:rPr>
              <w:t>24F</w:t>
            </w:r>
            <w:r w:rsidR="00953060">
              <w:rPr>
                <w:rStyle w:val="Hyperlink"/>
                <w:rFonts w:ascii="ZWAdobeF" w:hAnsi="ZWAdobeF" w:cs="ZWAdobeF"/>
                <w:color w:val="auto"/>
                <w:sz w:val="2"/>
                <w:szCs w:val="2"/>
                <w:u w:val="none"/>
              </w:rPr>
              <w:t>24F</w:t>
            </w:r>
            <w:r w:rsidR="00DD04D6">
              <w:rPr>
                <w:rStyle w:val="Hyperlink"/>
                <w:rFonts w:ascii="ZWAdobeF" w:hAnsi="ZWAdobeF" w:cs="ZWAdobeF"/>
                <w:color w:val="auto"/>
                <w:sz w:val="2"/>
                <w:szCs w:val="2"/>
                <w:u w:val="none"/>
              </w:rPr>
              <w:t>24F</w:t>
            </w:r>
            <w:r w:rsidRPr="002F4839">
              <w:rPr>
                <w:rStyle w:val="EndnoteReference"/>
              </w:rPr>
              <w:endnoteReference w:id="26"/>
            </w:r>
            <w:r w:rsidRPr="009A5185">
              <w:rPr>
                <w:rFonts w:cs="Arial"/>
              </w:rPr>
              <w:t xml:space="preserve"> fo</w:t>
            </w:r>
            <w:r w:rsidRPr="00140AD4">
              <w:rPr>
                <w:rFonts w:cs="Arial"/>
              </w:rPr>
              <w:t xml:space="preserve">r </w:t>
            </w:r>
            <w:r>
              <w:rPr>
                <w:rFonts w:cs="Arial"/>
              </w:rPr>
              <w:t xml:space="preserve">the </w:t>
            </w:r>
            <w:r w:rsidRPr="00A453B2">
              <w:rPr>
                <w:rFonts w:cs="Arial"/>
              </w:rPr>
              <w:t>adult patients included in the sample.</w:t>
            </w:r>
          </w:p>
        </w:tc>
        <w:tc>
          <w:tcPr>
            <w:tcW w:w="1757" w:type="dxa"/>
            <w:vAlign w:val="center"/>
          </w:tcPr>
          <w:p w14:paraId="730E77E7" w14:textId="77777777" w:rsidR="00C3345F" w:rsidRPr="009A5185" w:rsidRDefault="00C3345F">
            <w:pPr>
              <w:spacing w:line="276" w:lineRule="auto"/>
              <w:jc w:val="center"/>
              <w:rPr>
                <w:rFonts w:cs="Arial"/>
              </w:rPr>
            </w:pPr>
            <w:r w:rsidRPr="009A5185">
              <w:rPr>
                <w:rFonts w:cs="Arial"/>
                <w:i/>
                <w:snapToGrid w:val="0"/>
              </w:rPr>
              <w:t>_____</w:t>
            </w:r>
          </w:p>
        </w:tc>
      </w:tr>
      <w:tr w:rsidR="00C3345F" w:rsidRPr="009A5185" w14:paraId="430FCD93" w14:textId="77777777">
        <w:tc>
          <w:tcPr>
            <w:tcW w:w="7783" w:type="dxa"/>
            <w:vAlign w:val="center"/>
          </w:tcPr>
          <w:p w14:paraId="5AB7A40B" w14:textId="0A1EF992" w:rsidR="00C3345F" w:rsidRPr="009A5185" w:rsidRDefault="00C3345F" w:rsidP="00AD309C">
            <w:pPr>
              <w:pStyle w:val="ListParagraph"/>
              <w:numPr>
                <w:ilvl w:val="0"/>
                <w:numId w:val="51"/>
              </w:numPr>
              <w:spacing w:before="120" w:after="120" w:line="276" w:lineRule="auto"/>
              <w:rPr>
                <w:rFonts w:cs="Arial"/>
              </w:rPr>
            </w:pPr>
            <w:r w:rsidRPr="009A5185">
              <w:rPr>
                <w:rFonts w:cs="Arial"/>
              </w:rPr>
              <w:t xml:space="preserve">Total number of </w:t>
            </w:r>
            <w:hyperlink w:anchor="DiscrepanciesinGoldStandardMedicatio" w:history="1">
              <w:r w:rsidRPr="009A5185">
                <w:rPr>
                  <w:rStyle w:val="Hyperlink"/>
                  <w:rFonts w:cs="Arial"/>
                </w:rPr>
                <w:t>unintentional discrepancies in admission and discharge among the gold standard medications</w:t>
              </w:r>
            </w:hyperlink>
            <w:bookmarkStart w:id="177" w:name="_Ref534639951"/>
            <w:r w:rsidR="000F0582">
              <w:rPr>
                <w:rStyle w:val="Hyperlink"/>
                <w:rFonts w:ascii="ZWAdobeF" w:hAnsi="ZWAdobeF" w:cs="ZWAdobeF"/>
                <w:color w:val="auto"/>
                <w:sz w:val="2"/>
                <w:szCs w:val="2"/>
                <w:u w:val="none"/>
              </w:rPr>
              <w:t>23F</w:t>
            </w:r>
            <w:r w:rsidR="00BF053F">
              <w:rPr>
                <w:rStyle w:val="Hyperlink"/>
                <w:rFonts w:ascii="ZWAdobeF" w:hAnsi="ZWAdobeF" w:cs="ZWAdobeF"/>
                <w:color w:val="auto"/>
                <w:sz w:val="2"/>
                <w:szCs w:val="2"/>
                <w:u w:val="none"/>
              </w:rPr>
              <w:t>25F</w:t>
            </w:r>
            <w:r w:rsidR="004C7557">
              <w:rPr>
                <w:rStyle w:val="Hyperlink"/>
                <w:rFonts w:ascii="ZWAdobeF" w:hAnsi="ZWAdobeF" w:cs="ZWAdobeF"/>
                <w:color w:val="auto"/>
                <w:sz w:val="2"/>
                <w:szCs w:val="2"/>
                <w:u w:val="none"/>
              </w:rPr>
              <w:t>25F</w:t>
            </w:r>
            <w:r w:rsidR="00C2087D">
              <w:rPr>
                <w:rStyle w:val="Hyperlink"/>
                <w:rFonts w:ascii="ZWAdobeF" w:hAnsi="ZWAdobeF" w:cs="ZWAdobeF"/>
                <w:color w:val="auto"/>
                <w:sz w:val="2"/>
                <w:szCs w:val="2"/>
                <w:u w:val="none"/>
              </w:rPr>
              <w:t>25F</w:t>
            </w:r>
            <w:r w:rsidR="00B55C41">
              <w:rPr>
                <w:rStyle w:val="Hyperlink"/>
                <w:rFonts w:ascii="ZWAdobeF" w:hAnsi="ZWAdobeF" w:cs="ZWAdobeF"/>
                <w:color w:val="auto"/>
                <w:sz w:val="2"/>
                <w:szCs w:val="2"/>
                <w:u w:val="none"/>
              </w:rPr>
              <w:t>25F</w:t>
            </w:r>
            <w:r w:rsidR="006255A6">
              <w:rPr>
                <w:rStyle w:val="Hyperlink"/>
                <w:rFonts w:ascii="ZWAdobeF" w:hAnsi="ZWAdobeF" w:cs="ZWAdobeF"/>
                <w:color w:val="auto"/>
                <w:sz w:val="2"/>
                <w:szCs w:val="2"/>
                <w:u w:val="none"/>
              </w:rPr>
              <w:t>25F</w:t>
            </w:r>
            <w:r w:rsidR="00E453C7">
              <w:rPr>
                <w:rStyle w:val="Hyperlink"/>
                <w:rFonts w:ascii="ZWAdobeF" w:hAnsi="ZWAdobeF" w:cs="ZWAdobeF"/>
                <w:color w:val="auto"/>
                <w:sz w:val="2"/>
                <w:szCs w:val="2"/>
                <w:u w:val="none"/>
              </w:rPr>
              <w:t>25F</w:t>
            </w:r>
            <w:r w:rsidR="00953060">
              <w:rPr>
                <w:rStyle w:val="Hyperlink"/>
                <w:rFonts w:ascii="ZWAdobeF" w:hAnsi="ZWAdobeF" w:cs="ZWAdobeF"/>
                <w:color w:val="auto"/>
                <w:sz w:val="2"/>
                <w:szCs w:val="2"/>
                <w:u w:val="none"/>
              </w:rPr>
              <w:t>25F</w:t>
            </w:r>
            <w:r w:rsidR="00DD04D6">
              <w:rPr>
                <w:rStyle w:val="Hyperlink"/>
                <w:rFonts w:ascii="ZWAdobeF" w:hAnsi="ZWAdobeF" w:cs="ZWAdobeF"/>
                <w:color w:val="auto"/>
                <w:sz w:val="2"/>
                <w:szCs w:val="2"/>
                <w:u w:val="none"/>
              </w:rPr>
              <w:t>25F</w:t>
            </w:r>
            <w:r w:rsidRPr="009A5185">
              <w:rPr>
                <w:rStyle w:val="EndnoteReference"/>
                <w:rFonts w:cs="Arial"/>
              </w:rPr>
              <w:endnoteReference w:id="27"/>
            </w:r>
            <w:bookmarkEnd w:id="177"/>
            <w:r w:rsidRPr="009A5185">
              <w:rPr>
                <w:rFonts w:cs="Arial"/>
              </w:rPr>
              <w:t xml:space="preserve"> in question </w:t>
            </w:r>
            <w:r w:rsidRPr="00366BF9">
              <w:rPr>
                <w:rFonts w:cs="Arial"/>
              </w:rPr>
              <w:t>#</w:t>
            </w:r>
            <w:r>
              <w:rPr>
                <w:rFonts w:cs="Arial"/>
              </w:rPr>
              <w:t>5 identified by the pharmacist</w:t>
            </w:r>
            <w:r w:rsidRPr="00366BF9">
              <w:rPr>
                <w:rFonts w:cs="Arial"/>
              </w:rPr>
              <w:t>.</w:t>
            </w:r>
          </w:p>
        </w:tc>
        <w:tc>
          <w:tcPr>
            <w:tcW w:w="1757" w:type="dxa"/>
            <w:vAlign w:val="center"/>
          </w:tcPr>
          <w:p w14:paraId="521D248B" w14:textId="77777777" w:rsidR="00C3345F" w:rsidRPr="009A5185" w:rsidRDefault="00C3345F">
            <w:pPr>
              <w:spacing w:line="276" w:lineRule="auto"/>
              <w:jc w:val="center"/>
              <w:rPr>
                <w:rFonts w:cs="Arial"/>
                <w:i/>
                <w:snapToGrid w:val="0"/>
              </w:rPr>
            </w:pPr>
            <w:r w:rsidRPr="009A5185">
              <w:rPr>
                <w:rFonts w:cs="Arial"/>
                <w:i/>
                <w:snapToGrid w:val="0"/>
              </w:rPr>
              <w:t>_____</w:t>
            </w:r>
          </w:p>
        </w:tc>
      </w:tr>
      <w:tr w:rsidR="00C3345F" w:rsidRPr="009A5185" w14:paraId="18E835B3" w14:textId="77777777">
        <w:tc>
          <w:tcPr>
            <w:tcW w:w="7783" w:type="dxa"/>
            <w:vAlign w:val="center"/>
          </w:tcPr>
          <w:p w14:paraId="504E5B84" w14:textId="6158FB47" w:rsidR="00C3345F" w:rsidRPr="009A5185" w:rsidRDefault="00C3345F" w:rsidP="00AD309C">
            <w:pPr>
              <w:pStyle w:val="ListParagraph"/>
              <w:numPr>
                <w:ilvl w:val="0"/>
                <w:numId w:val="51"/>
              </w:numPr>
              <w:spacing w:before="120" w:after="120" w:line="276" w:lineRule="auto"/>
              <w:rPr>
                <w:rFonts w:cs="Arial"/>
              </w:rPr>
            </w:pPr>
            <w:r w:rsidRPr="009A5185">
              <w:rPr>
                <w:rFonts w:cs="Arial"/>
              </w:rPr>
              <w:t xml:space="preserve">Total number of </w:t>
            </w:r>
            <w:hyperlink w:anchor="unintentaddmeds" w:history="1">
              <w:r w:rsidRPr="009A5185">
                <w:rPr>
                  <w:rStyle w:val="Hyperlink"/>
                  <w:rFonts w:cs="Arial"/>
                </w:rPr>
                <w:t>unintentionally ordered additional medications</w:t>
              </w:r>
            </w:hyperlink>
            <w:r w:rsidR="000F0582">
              <w:rPr>
                <w:rStyle w:val="Hyperlink"/>
                <w:rFonts w:ascii="ZWAdobeF" w:hAnsi="ZWAdobeF" w:cs="ZWAdobeF"/>
                <w:color w:val="auto"/>
                <w:sz w:val="2"/>
                <w:szCs w:val="2"/>
                <w:u w:val="none"/>
              </w:rPr>
              <w:t>24F</w:t>
            </w:r>
            <w:r w:rsidR="00BF053F">
              <w:rPr>
                <w:rStyle w:val="Hyperlink"/>
                <w:rFonts w:ascii="ZWAdobeF" w:hAnsi="ZWAdobeF" w:cs="ZWAdobeF"/>
                <w:color w:val="auto"/>
                <w:sz w:val="2"/>
                <w:szCs w:val="2"/>
                <w:u w:val="none"/>
              </w:rPr>
              <w:t>26F</w:t>
            </w:r>
            <w:r w:rsidR="004C7557">
              <w:rPr>
                <w:rStyle w:val="Hyperlink"/>
                <w:rFonts w:ascii="ZWAdobeF" w:hAnsi="ZWAdobeF" w:cs="ZWAdobeF"/>
                <w:color w:val="auto"/>
                <w:sz w:val="2"/>
                <w:szCs w:val="2"/>
                <w:u w:val="none"/>
              </w:rPr>
              <w:t>26F</w:t>
            </w:r>
            <w:r w:rsidR="00C2087D">
              <w:rPr>
                <w:rStyle w:val="Hyperlink"/>
                <w:rFonts w:ascii="ZWAdobeF" w:hAnsi="ZWAdobeF" w:cs="ZWAdobeF"/>
                <w:color w:val="auto"/>
                <w:sz w:val="2"/>
                <w:szCs w:val="2"/>
                <w:u w:val="none"/>
              </w:rPr>
              <w:t>26F</w:t>
            </w:r>
            <w:r w:rsidR="00B55C41">
              <w:rPr>
                <w:rStyle w:val="Hyperlink"/>
                <w:rFonts w:ascii="ZWAdobeF" w:hAnsi="ZWAdobeF" w:cs="ZWAdobeF"/>
                <w:color w:val="auto"/>
                <w:sz w:val="2"/>
                <w:szCs w:val="2"/>
                <w:u w:val="none"/>
              </w:rPr>
              <w:t>26F</w:t>
            </w:r>
            <w:r w:rsidR="006255A6">
              <w:rPr>
                <w:rStyle w:val="Hyperlink"/>
                <w:rFonts w:ascii="ZWAdobeF" w:hAnsi="ZWAdobeF" w:cs="ZWAdobeF"/>
                <w:color w:val="auto"/>
                <w:sz w:val="2"/>
                <w:szCs w:val="2"/>
                <w:u w:val="none"/>
              </w:rPr>
              <w:t>26F</w:t>
            </w:r>
            <w:r w:rsidR="00E453C7">
              <w:rPr>
                <w:rStyle w:val="Hyperlink"/>
                <w:rFonts w:ascii="ZWAdobeF" w:hAnsi="ZWAdobeF" w:cs="ZWAdobeF"/>
                <w:color w:val="auto"/>
                <w:sz w:val="2"/>
                <w:szCs w:val="2"/>
                <w:u w:val="none"/>
              </w:rPr>
              <w:t>26F</w:t>
            </w:r>
            <w:r w:rsidR="00953060">
              <w:rPr>
                <w:rStyle w:val="Hyperlink"/>
                <w:rFonts w:ascii="ZWAdobeF" w:hAnsi="ZWAdobeF" w:cs="ZWAdobeF"/>
                <w:color w:val="auto"/>
                <w:sz w:val="2"/>
                <w:szCs w:val="2"/>
                <w:u w:val="none"/>
              </w:rPr>
              <w:t>26F</w:t>
            </w:r>
            <w:r w:rsidR="00DD04D6">
              <w:rPr>
                <w:rStyle w:val="Hyperlink"/>
                <w:rFonts w:ascii="ZWAdobeF" w:hAnsi="ZWAdobeF" w:cs="ZWAdobeF"/>
                <w:color w:val="auto"/>
                <w:sz w:val="2"/>
                <w:szCs w:val="2"/>
                <w:u w:val="none"/>
              </w:rPr>
              <w:t>26F</w:t>
            </w:r>
            <w:r w:rsidRPr="009A5185">
              <w:rPr>
                <w:rStyle w:val="EndnoteReference"/>
                <w:rFonts w:cs="Arial"/>
              </w:rPr>
              <w:endnoteReference w:id="28"/>
            </w:r>
            <w:r w:rsidRPr="009A5185">
              <w:rPr>
                <w:rFonts w:cs="Arial"/>
                <w:vertAlign w:val="superscript"/>
              </w:rPr>
              <w:t xml:space="preserve"> </w:t>
            </w:r>
            <w:r w:rsidRPr="009A5185">
              <w:rPr>
                <w:rFonts w:cs="Arial"/>
              </w:rPr>
              <w:t xml:space="preserve">for the </w:t>
            </w:r>
            <w:r>
              <w:rPr>
                <w:rFonts w:cs="Arial"/>
              </w:rPr>
              <w:t xml:space="preserve">adult </w:t>
            </w:r>
            <w:r w:rsidRPr="009A5185">
              <w:rPr>
                <w:rFonts w:cs="Arial"/>
              </w:rPr>
              <w:t>patients</w:t>
            </w:r>
            <w:r>
              <w:rPr>
                <w:rFonts w:cs="Arial"/>
              </w:rPr>
              <w:t xml:space="preserve"> included in the sample </w:t>
            </w:r>
            <w:r w:rsidRPr="009A5185">
              <w:rPr>
                <w:rFonts w:cs="Arial"/>
              </w:rPr>
              <w:t>on admission and/or discharge</w:t>
            </w:r>
            <w:r>
              <w:rPr>
                <w:rFonts w:cs="Arial"/>
              </w:rPr>
              <w:t xml:space="preserve"> identified by the pharmacist</w:t>
            </w:r>
            <w:r w:rsidRPr="009A5185">
              <w:rPr>
                <w:rFonts w:cs="Arial"/>
              </w:rPr>
              <w:t xml:space="preserve">. </w:t>
            </w:r>
          </w:p>
        </w:tc>
        <w:tc>
          <w:tcPr>
            <w:tcW w:w="1757" w:type="dxa"/>
            <w:vAlign w:val="center"/>
          </w:tcPr>
          <w:p w14:paraId="6919ABFF" w14:textId="77777777" w:rsidR="00C3345F" w:rsidRPr="009A5185" w:rsidRDefault="00C3345F">
            <w:pPr>
              <w:spacing w:line="276" w:lineRule="auto"/>
              <w:jc w:val="center"/>
              <w:rPr>
                <w:rFonts w:cs="Arial"/>
                <w:i/>
                <w:snapToGrid w:val="0"/>
                <w:highlight w:val="magenta"/>
              </w:rPr>
            </w:pPr>
            <w:r w:rsidRPr="009A5185">
              <w:rPr>
                <w:rFonts w:cs="Arial"/>
                <w:i/>
                <w:snapToGrid w:val="0"/>
                <w:highlight w:val="magenta"/>
              </w:rPr>
              <w:softHyphen/>
            </w:r>
            <w:r w:rsidRPr="009A5185">
              <w:rPr>
                <w:rFonts w:cs="Arial"/>
                <w:i/>
                <w:snapToGrid w:val="0"/>
                <w:highlight w:val="magenta"/>
              </w:rPr>
              <w:softHyphen/>
            </w:r>
            <w:r w:rsidRPr="009A5185">
              <w:rPr>
                <w:rFonts w:cs="Arial"/>
                <w:i/>
                <w:snapToGrid w:val="0"/>
              </w:rPr>
              <w:t>_____</w:t>
            </w:r>
          </w:p>
        </w:tc>
      </w:tr>
      <w:tr w:rsidR="00C3345F" w:rsidRPr="009A5185" w14:paraId="231979D1" w14:textId="77777777">
        <w:tc>
          <w:tcPr>
            <w:tcW w:w="7783" w:type="dxa"/>
            <w:vAlign w:val="center"/>
          </w:tcPr>
          <w:p w14:paraId="1F60C243" w14:textId="2DACCE31" w:rsidR="00C3345F" w:rsidRPr="009A5185" w:rsidRDefault="00C3345F" w:rsidP="00AD309C">
            <w:pPr>
              <w:pStyle w:val="ListParagraph"/>
              <w:numPr>
                <w:ilvl w:val="0"/>
                <w:numId w:val="51"/>
              </w:numPr>
              <w:spacing w:before="120" w:after="120" w:line="276" w:lineRule="auto"/>
              <w:rPr>
                <w:rFonts w:cs="Arial"/>
              </w:rPr>
            </w:pPr>
            <w:r w:rsidRPr="009A5185">
              <w:rPr>
                <w:rFonts w:cs="Arial"/>
              </w:rPr>
              <w:t xml:space="preserve">Total number of </w:t>
            </w:r>
            <w:hyperlink w:anchor="discrepdueunintentaddmeds" w:history="1">
              <w:r w:rsidRPr="001314B0">
                <w:rPr>
                  <w:rStyle w:val="Hyperlink"/>
                  <w:rFonts w:cs="Arial"/>
                </w:rPr>
                <w:t>discrepancies</w:t>
              </w:r>
              <w:r w:rsidRPr="009A5185">
                <w:rPr>
                  <w:rStyle w:val="Hyperlink"/>
                  <w:rFonts w:cs="Arial"/>
                </w:rPr>
                <w:t xml:space="preserve"> due to unintentionally ordered additional medications</w:t>
              </w:r>
            </w:hyperlink>
            <w:r w:rsidR="000F0582">
              <w:rPr>
                <w:rStyle w:val="Hyperlink"/>
                <w:rFonts w:ascii="ZWAdobeF" w:hAnsi="ZWAdobeF" w:cs="ZWAdobeF"/>
                <w:color w:val="auto"/>
                <w:sz w:val="2"/>
                <w:szCs w:val="2"/>
                <w:u w:val="none"/>
              </w:rPr>
              <w:t>25F</w:t>
            </w:r>
            <w:r w:rsidR="00BF053F">
              <w:rPr>
                <w:rStyle w:val="Hyperlink"/>
                <w:rFonts w:ascii="ZWAdobeF" w:hAnsi="ZWAdobeF" w:cs="ZWAdobeF"/>
                <w:color w:val="auto"/>
                <w:sz w:val="2"/>
                <w:szCs w:val="2"/>
                <w:u w:val="none"/>
              </w:rPr>
              <w:t>27F</w:t>
            </w:r>
            <w:r w:rsidR="004C7557">
              <w:rPr>
                <w:rStyle w:val="Hyperlink"/>
                <w:rFonts w:ascii="ZWAdobeF" w:hAnsi="ZWAdobeF" w:cs="ZWAdobeF"/>
                <w:color w:val="auto"/>
                <w:sz w:val="2"/>
                <w:szCs w:val="2"/>
                <w:u w:val="none"/>
              </w:rPr>
              <w:t>27F</w:t>
            </w:r>
            <w:r w:rsidR="00C2087D">
              <w:rPr>
                <w:rStyle w:val="Hyperlink"/>
                <w:rFonts w:ascii="ZWAdobeF" w:hAnsi="ZWAdobeF" w:cs="ZWAdobeF"/>
                <w:color w:val="auto"/>
                <w:sz w:val="2"/>
                <w:szCs w:val="2"/>
                <w:u w:val="none"/>
              </w:rPr>
              <w:t>27F</w:t>
            </w:r>
            <w:r w:rsidR="00B55C41">
              <w:rPr>
                <w:rStyle w:val="Hyperlink"/>
                <w:rFonts w:ascii="ZWAdobeF" w:hAnsi="ZWAdobeF" w:cs="ZWAdobeF"/>
                <w:color w:val="auto"/>
                <w:sz w:val="2"/>
                <w:szCs w:val="2"/>
                <w:u w:val="none"/>
              </w:rPr>
              <w:t>27F</w:t>
            </w:r>
            <w:r w:rsidR="006255A6">
              <w:rPr>
                <w:rStyle w:val="Hyperlink"/>
                <w:rFonts w:ascii="ZWAdobeF" w:hAnsi="ZWAdobeF" w:cs="ZWAdobeF"/>
                <w:color w:val="auto"/>
                <w:sz w:val="2"/>
                <w:szCs w:val="2"/>
                <w:u w:val="none"/>
              </w:rPr>
              <w:t>27F</w:t>
            </w:r>
            <w:r w:rsidR="00E453C7">
              <w:rPr>
                <w:rStyle w:val="Hyperlink"/>
                <w:rFonts w:ascii="ZWAdobeF" w:hAnsi="ZWAdobeF" w:cs="ZWAdobeF"/>
                <w:color w:val="auto"/>
                <w:sz w:val="2"/>
                <w:szCs w:val="2"/>
                <w:u w:val="none"/>
              </w:rPr>
              <w:t>27F</w:t>
            </w:r>
            <w:r w:rsidR="00953060">
              <w:rPr>
                <w:rStyle w:val="Hyperlink"/>
                <w:rFonts w:ascii="ZWAdobeF" w:hAnsi="ZWAdobeF" w:cs="ZWAdobeF"/>
                <w:color w:val="auto"/>
                <w:sz w:val="2"/>
                <w:szCs w:val="2"/>
                <w:u w:val="none"/>
              </w:rPr>
              <w:t>27F</w:t>
            </w:r>
            <w:r w:rsidR="00DD04D6">
              <w:rPr>
                <w:rStyle w:val="Hyperlink"/>
                <w:rFonts w:ascii="ZWAdobeF" w:hAnsi="ZWAdobeF" w:cs="ZWAdobeF"/>
                <w:color w:val="auto"/>
                <w:sz w:val="2"/>
                <w:szCs w:val="2"/>
                <w:u w:val="none"/>
              </w:rPr>
              <w:t>27F</w:t>
            </w:r>
            <w:r w:rsidRPr="009A5185">
              <w:rPr>
                <w:rStyle w:val="EndnoteReference"/>
                <w:rFonts w:cs="Arial"/>
              </w:rPr>
              <w:endnoteReference w:id="29"/>
            </w:r>
            <w:r w:rsidRPr="009A5185">
              <w:rPr>
                <w:rFonts w:cs="Arial"/>
              </w:rPr>
              <w:t xml:space="preserve"> in questi</w:t>
            </w:r>
            <w:r w:rsidRPr="00366BF9">
              <w:rPr>
                <w:rFonts w:cs="Arial"/>
              </w:rPr>
              <w:t>on #</w:t>
            </w:r>
            <w:r>
              <w:rPr>
                <w:rFonts w:cs="Arial"/>
              </w:rPr>
              <w:t>7 identified by the pharmacist</w:t>
            </w:r>
            <w:r w:rsidRPr="00366BF9">
              <w:rPr>
                <w:rFonts w:cs="Arial"/>
              </w:rPr>
              <w:t>.</w:t>
            </w:r>
            <w:r w:rsidRPr="009A5185">
              <w:rPr>
                <w:rFonts w:cs="Arial"/>
              </w:rPr>
              <w:t xml:space="preserve"> </w:t>
            </w:r>
          </w:p>
        </w:tc>
        <w:tc>
          <w:tcPr>
            <w:tcW w:w="1757" w:type="dxa"/>
            <w:vAlign w:val="center"/>
          </w:tcPr>
          <w:p w14:paraId="5E093A96" w14:textId="77777777" w:rsidR="00C3345F" w:rsidRPr="009A5185" w:rsidRDefault="00C3345F">
            <w:pPr>
              <w:spacing w:line="276" w:lineRule="auto"/>
              <w:jc w:val="center"/>
              <w:rPr>
                <w:rFonts w:cs="Arial"/>
              </w:rPr>
            </w:pPr>
            <w:r w:rsidRPr="009A5185">
              <w:rPr>
                <w:rFonts w:cs="Arial"/>
                <w:i/>
                <w:snapToGrid w:val="0"/>
              </w:rPr>
              <w:t>_____</w:t>
            </w:r>
          </w:p>
        </w:tc>
      </w:tr>
    </w:tbl>
    <w:p w14:paraId="198640EC" w14:textId="77777777" w:rsidR="00C3345F" w:rsidRDefault="00C3345F">
      <w:pPr>
        <w:rPr>
          <w:rFonts w:cs="Arial"/>
          <w:b/>
          <w:snapToGrid w:val="0"/>
          <w:color w:val="000000"/>
        </w:rPr>
      </w:pPr>
    </w:p>
    <w:p w14:paraId="49A3C21A" w14:textId="47950663" w:rsidR="00C3345F" w:rsidRDefault="00C3345F">
      <w:pPr>
        <w:rPr>
          <w:rFonts w:cs="Arial"/>
          <w:b/>
          <w:snapToGrid w:val="0"/>
          <w:color w:val="000000"/>
        </w:rPr>
      </w:pPr>
      <w:r>
        <w:rPr>
          <w:rFonts w:cs="Arial"/>
          <w:b/>
          <w:snapToGrid w:val="0"/>
          <w:color w:val="000000"/>
        </w:rPr>
        <w:br w:type="page"/>
      </w:r>
    </w:p>
    <w:p w14:paraId="5D3700F1" w14:textId="59165ABC" w:rsidR="008910AA" w:rsidRPr="009A5185" w:rsidRDefault="008910AA">
      <w:pPr>
        <w:rPr>
          <w:rFonts w:cs="Arial"/>
          <w:b/>
          <w:snapToGrid w:val="0"/>
          <w:color w:val="000000"/>
        </w:rPr>
      </w:pPr>
      <w:r w:rsidRPr="009A5185">
        <w:rPr>
          <w:rFonts w:cs="Arial"/>
          <w:b/>
          <w:snapToGrid w:val="0"/>
          <w:color w:val="000000"/>
        </w:rPr>
        <w:lastRenderedPageBreak/>
        <w:t>Affirmation of Accuracy</w:t>
      </w:r>
    </w:p>
    <w:p w14:paraId="222C087A" w14:textId="77777777" w:rsidR="008910AA" w:rsidRPr="009A5185" w:rsidRDefault="008910AA">
      <w:pPr>
        <w:rPr>
          <w:rFonts w:cs="Arial"/>
          <w:snapToGrid w:val="0"/>
          <w:color w:val="000000"/>
        </w:rPr>
      </w:pPr>
    </w:p>
    <w:p w14:paraId="0E4DEB84" w14:textId="59B89993" w:rsidR="00456023" w:rsidRPr="00525890" w:rsidRDefault="00456023" w:rsidP="00456023">
      <w:pPr>
        <w:rPr>
          <w:rFonts w:cs="Arial"/>
          <w:color w:val="000000"/>
        </w:rPr>
      </w:pPr>
      <w:r w:rsidRPr="00525890">
        <w:rPr>
          <w:rFonts w:cs="Arial"/>
          <w:color w:val="000000"/>
        </w:rPr>
        <w:t xml:space="preserve">As the hospital CEO or as an employee of the hospital to whom the hospital CEO has delegated responsibility, I have reviewed this information pertaining to the </w:t>
      </w:r>
      <w:r w:rsidR="00F61ED5" w:rsidRPr="00525890">
        <w:rPr>
          <w:rFonts w:cs="Arial"/>
          <w:color w:val="000000"/>
        </w:rPr>
        <w:t>Medication Safety</w:t>
      </w:r>
      <w:r w:rsidRPr="00525890">
        <w:rPr>
          <w:rFonts w:cs="Arial"/>
          <w:color w:val="000000"/>
        </w:rPr>
        <w:t xml:space="preserve"> Section at our hospital, and I hereby </w:t>
      </w:r>
      <w:r w:rsidR="00607094">
        <w:rPr>
          <w:rFonts w:cs="Arial"/>
          <w:color w:val="000000"/>
        </w:rPr>
        <w:t>affirm t</w:t>
      </w:r>
      <w:r w:rsidRPr="00525890">
        <w:rPr>
          <w:rFonts w:cs="Arial"/>
          <w:color w:val="000000"/>
        </w:rPr>
        <w:t>hat this information is true, accurate, and reflect</w:t>
      </w:r>
      <w:r w:rsidR="00B7608D" w:rsidRPr="00525890">
        <w:rPr>
          <w:rFonts w:cs="Arial"/>
          <w:color w:val="000000"/>
        </w:rPr>
        <w:t>s</w:t>
      </w:r>
      <w:r w:rsidRPr="00525890">
        <w:rPr>
          <w:rFonts w:cs="Arial"/>
          <w:color w:val="000000"/>
        </w:rPr>
        <w:t xml:space="preserve"> the current, normal operating circumstances at our hospital. I am authorized to make this </w:t>
      </w:r>
      <w:r w:rsidR="00607094">
        <w:rPr>
          <w:rFonts w:cs="Arial"/>
          <w:color w:val="000000"/>
        </w:rPr>
        <w:t>affirmation</w:t>
      </w:r>
      <w:r w:rsidRPr="00525890">
        <w:rPr>
          <w:rFonts w:cs="Arial"/>
          <w:color w:val="000000"/>
        </w:rPr>
        <w:t xml:space="preserve"> on behalf of our hospital. </w:t>
      </w:r>
    </w:p>
    <w:p w14:paraId="5E50ED76" w14:textId="77777777" w:rsidR="00456023" w:rsidRPr="00525890" w:rsidRDefault="00456023" w:rsidP="00456023">
      <w:pPr>
        <w:rPr>
          <w:rFonts w:cs="Arial"/>
          <w:color w:val="000000"/>
        </w:rPr>
      </w:pPr>
    </w:p>
    <w:p w14:paraId="61B29EC8" w14:textId="61B69EFA" w:rsidR="00456023" w:rsidRPr="009A5185" w:rsidRDefault="003B7E2E" w:rsidP="00456023">
      <w:pPr>
        <w:rPr>
          <w:rFonts w:cs="Arial"/>
          <w:sz w:val="22"/>
          <w:szCs w:val="22"/>
        </w:rPr>
      </w:pPr>
      <w:r w:rsidRPr="009A5185">
        <w:rPr>
          <w:rFonts w:cs="Arial"/>
        </w:rPr>
        <w:t xml:space="preserve">The </w:t>
      </w:r>
      <w:r w:rsidRPr="00534EFC">
        <w:rPr>
          <w:rFonts w:cs="Arial"/>
        </w:rPr>
        <w:t xml:space="preserve">hospital and I </w:t>
      </w:r>
      <w:r>
        <w:rPr>
          <w:rFonts w:cs="Arial"/>
        </w:rPr>
        <w:t>acknowledge</w:t>
      </w:r>
      <w:r w:rsidRPr="00534EFC">
        <w:rPr>
          <w:rFonts w:cs="Arial"/>
        </w:rPr>
        <w:t xml:space="preserve"> that The Leapfrog Group, its members, the public and entities and persons who contract or have other business dealings with The Leapfrog Group are relying on the truth and accuracy of this information. The hospital and I also </w:t>
      </w:r>
      <w:r>
        <w:rPr>
          <w:rFonts w:cs="Arial"/>
        </w:rPr>
        <w:t>acknowledge</w:t>
      </w:r>
      <w:r w:rsidRPr="00534EFC">
        <w:rPr>
          <w:rFonts w:cs="Arial"/>
        </w:rPr>
        <w:t xml:space="preserve"> that </w:t>
      </w:r>
      <w:r>
        <w:rPr>
          <w:rFonts w:cs="Arial"/>
        </w:rPr>
        <w:t xml:space="preserve">analyses and ratings </w:t>
      </w:r>
      <w:r w:rsidRPr="00534EFC">
        <w:rPr>
          <w:rFonts w:cs="Arial"/>
        </w:rPr>
        <w:t>The Leapfrog Group</w:t>
      </w:r>
      <w:r>
        <w:rPr>
          <w:rFonts w:cs="Arial"/>
        </w:rPr>
        <w:t xml:space="preserve"> derives from</w:t>
      </w:r>
      <w:r w:rsidRPr="00534EFC">
        <w:rPr>
          <w:rFonts w:cs="Arial"/>
        </w:rPr>
        <w:t xml:space="preserve"> this information</w:t>
      </w:r>
      <w:r>
        <w:rPr>
          <w:rFonts w:cs="Arial"/>
        </w:rPr>
        <w:t xml:space="preserve"> will be made public on</w:t>
      </w:r>
      <w:r w:rsidRPr="00534EFC">
        <w:rPr>
          <w:rFonts w:cs="Arial"/>
        </w:rPr>
        <w:t xml:space="preserve"> the Survey Results public reporting website, The Leapfrog Group’s Hospital Safety Grade</w:t>
      </w:r>
      <w:r>
        <w:rPr>
          <w:rFonts w:cs="Arial"/>
        </w:rPr>
        <w:t xml:space="preserve"> website</w:t>
      </w:r>
      <w:r w:rsidRPr="00534EFC">
        <w:rPr>
          <w:rFonts w:cs="Arial"/>
        </w:rPr>
        <w:t xml:space="preserve">, and/or other Leapfrog Group </w:t>
      </w:r>
      <w:r>
        <w:rPr>
          <w:rFonts w:cs="Arial"/>
        </w:rPr>
        <w:t xml:space="preserve">published works, </w:t>
      </w:r>
      <w:r w:rsidRPr="00534EFC">
        <w:rPr>
          <w:rFonts w:cs="Arial"/>
        </w:rPr>
        <w:t xml:space="preserve">products and services. </w:t>
      </w:r>
      <w:r>
        <w:rPr>
          <w:rFonts w:cs="Arial"/>
        </w:rPr>
        <w:t>The hospital and I acknowledge that analyses and ratings derived from t</w:t>
      </w:r>
      <w:r w:rsidRPr="00534EFC">
        <w:rPr>
          <w:rFonts w:cs="Arial"/>
        </w:rPr>
        <w:t>his information and all intellectual property rights</w:t>
      </w:r>
      <w:r>
        <w:rPr>
          <w:rFonts w:cs="Arial"/>
        </w:rPr>
        <w:t xml:space="preserve"> related to those analyses and ratings</w:t>
      </w:r>
      <w:r w:rsidRPr="00534EFC">
        <w:rPr>
          <w:rFonts w:cs="Arial"/>
        </w:rPr>
        <w:t xml:space="preserve"> shall be and remain the sole and exclusive property of The Leapfrog Group </w:t>
      </w:r>
      <w:r w:rsidRPr="00534EFC">
        <w:t>in which The Leapfrog Group retains exclusive ownership</w:t>
      </w:r>
      <w:r w:rsidRPr="00534EFC">
        <w:rPr>
          <w:rFonts w:cs="Arial"/>
        </w:rPr>
        <w:t xml:space="preserve">. </w:t>
      </w:r>
      <w:r>
        <w:rPr>
          <w:rFonts w:cs="Arial"/>
        </w:rPr>
        <w:t>I hereby affirm that t</w:t>
      </w:r>
      <w:r w:rsidRPr="00534EFC">
        <w:rPr>
          <w:rFonts w:cs="Arial"/>
        </w:rPr>
        <w:t>his information does not infringe upon any third-party intellectual property rights</w:t>
      </w:r>
      <w:r w:rsidRPr="00534EFC">
        <w:t xml:space="preserve"> or any other third-party rights whatsoever and is free and clear of all encumbrances and liens of any kind</w:t>
      </w:r>
      <w:r w:rsidRPr="00534EFC">
        <w:rPr>
          <w:rFonts w:cs="Arial"/>
        </w:rPr>
        <w:t xml:space="preserve">. The hospital and I acknowledge that The Leapfrog Group may </w:t>
      </w:r>
      <w:r>
        <w:rPr>
          <w:rFonts w:cs="Arial"/>
        </w:rPr>
        <w:t>license</w:t>
      </w:r>
      <w:r w:rsidRPr="00534EFC">
        <w:rPr>
          <w:rFonts w:cs="Arial"/>
        </w:rPr>
        <w:t xml:space="preserve"> </w:t>
      </w:r>
      <w:r>
        <w:rPr>
          <w:rFonts w:cs="Arial"/>
        </w:rPr>
        <w:t xml:space="preserve">analyses and ratings derived from </w:t>
      </w:r>
      <w:r w:rsidRPr="00534EFC">
        <w:rPr>
          <w:rFonts w:cs="Arial"/>
        </w:rPr>
        <w:t xml:space="preserve">this information </w:t>
      </w:r>
      <w:r>
        <w:rPr>
          <w:rFonts w:cs="Arial"/>
        </w:rPr>
        <w:t>to other entities including researchers, not-for-profit entities, and for-profit entities, and the revenue from such licensure will be used solely to support The Leapfrog Group’s not-for-profit mission</w:t>
      </w:r>
      <w:r w:rsidRPr="00534EFC">
        <w:rPr>
          <w:rFonts w:cs="Arial"/>
        </w:rPr>
        <w:t>. The hospital shall be liable for and shall hold harmless and indemnify The Leapfrog Group from any and all damages, demands, costs, or causes of action resulting from any inaccuracies in the information or any misrepresentations in this Affirmation of Accuracy. The Leapfrog Group and its members and entities and persons who contract or have other business dealings with The Leapfrog Group reserve the right to omit or disclaim information that is not current, accurate or truthful.</w:t>
      </w:r>
    </w:p>
    <w:p w14:paraId="1C825379" w14:textId="77777777" w:rsidR="008910AA" w:rsidRPr="009A5185" w:rsidRDefault="008910AA" w:rsidP="000B33B2">
      <w:pPr>
        <w:rPr>
          <w:rFonts w:cs="Arial"/>
          <w:snapToGrid w:val="0"/>
          <w:color w:val="000000"/>
        </w:rPr>
      </w:pPr>
    </w:p>
    <w:p w14:paraId="4EC90340" w14:textId="77777777" w:rsidR="00BA1620" w:rsidRPr="009A5185" w:rsidRDefault="00BA1620" w:rsidP="000B33B2">
      <w:pPr>
        <w:rPr>
          <w:rFonts w:cs="Arial"/>
          <w:snapToGrid w:val="0"/>
          <w:color w:val="000000"/>
        </w:rPr>
      </w:pPr>
    </w:p>
    <w:p w14:paraId="108E943B" w14:textId="77777777" w:rsidR="008910AA" w:rsidRPr="009A5185" w:rsidRDefault="008910AA">
      <w:pPr>
        <w:spacing w:line="240" w:lineRule="exact"/>
        <w:rPr>
          <w:rFonts w:cs="Arial"/>
          <w:snapToGrid w:val="0"/>
          <w:color w:val="000000"/>
        </w:rPr>
      </w:pPr>
      <w:r w:rsidRPr="009A5185">
        <w:rPr>
          <w:rFonts w:cs="Arial"/>
          <w:snapToGrid w:val="0"/>
          <w:color w:val="000000"/>
        </w:rPr>
        <w:t>Affirmed by _____________________, the hospital’s ___________________________,</w:t>
      </w:r>
    </w:p>
    <w:p w14:paraId="48D95714" w14:textId="77777777" w:rsidR="008A631A" w:rsidRPr="009A5185" w:rsidRDefault="008A631A" w:rsidP="008A631A">
      <w:pPr>
        <w:pStyle w:val="BodyText2"/>
        <w:spacing w:line="240" w:lineRule="exact"/>
        <w:rPr>
          <w:rFonts w:cs="Arial"/>
        </w:rPr>
      </w:pPr>
      <w:r w:rsidRPr="009A5185">
        <w:rPr>
          <w:rFonts w:cs="Arial"/>
        </w:rPr>
        <w:tab/>
        <w:t xml:space="preserve"> </w:t>
      </w:r>
      <w:r>
        <w:rPr>
          <w:rFonts w:cs="Arial"/>
        </w:rPr>
        <w:t xml:space="preserve">    </w:t>
      </w:r>
      <w:r w:rsidRPr="009A5185">
        <w:rPr>
          <w:rFonts w:cs="Arial"/>
        </w:rPr>
        <w:t>(</w:t>
      </w:r>
      <w:r>
        <w:rPr>
          <w:rFonts w:cs="Arial"/>
        </w:rPr>
        <w:t xml:space="preserve">first </w:t>
      </w:r>
      <w:r w:rsidRPr="009A5185">
        <w:rPr>
          <w:rFonts w:cs="Arial"/>
        </w:rPr>
        <w:t>name</w:t>
      </w:r>
      <w:r>
        <w:rPr>
          <w:rFonts w:cs="Arial"/>
        </w:rPr>
        <w:t xml:space="preserve"> and last name)</w:t>
      </w:r>
      <w:r>
        <w:rPr>
          <w:rFonts w:cs="Arial"/>
        </w:rPr>
        <w:tab/>
      </w:r>
      <w:r>
        <w:rPr>
          <w:rFonts w:cs="Arial"/>
        </w:rPr>
        <w:tab/>
      </w:r>
      <w:r>
        <w:rPr>
          <w:rFonts w:cs="Arial"/>
        </w:rPr>
        <w:tab/>
      </w:r>
      <w:r>
        <w:rPr>
          <w:rFonts w:cs="Arial"/>
        </w:rPr>
        <w:tab/>
      </w:r>
      <w:r w:rsidRPr="009A5185">
        <w:rPr>
          <w:rFonts w:cs="Arial"/>
        </w:rPr>
        <w:t>(title)</w:t>
      </w:r>
    </w:p>
    <w:p w14:paraId="54EE6438" w14:textId="77777777" w:rsidR="008910AA" w:rsidRPr="009A5185" w:rsidRDefault="008910AA">
      <w:pPr>
        <w:spacing w:line="240" w:lineRule="exact"/>
        <w:rPr>
          <w:rFonts w:cs="Arial"/>
          <w:snapToGrid w:val="0"/>
        </w:rPr>
      </w:pPr>
      <w:r w:rsidRPr="009A5185">
        <w:rPr>
          <w:rFonts w:cs="Arial"/>
          <w:snapToGrid w:val="0"/>
        </w:rPr>
        <w:t>on _______________________.</w:t>
      </w:r>
    </w:p>
    <w:p w14:paraId="58879CE5" w14:textId="77777777" w:rsidR="008910AA" w:rsidRPr="009A5185" w:rsidRDefault="008910AA">
      <w:pPr>
        <w:spacing w:line="240" w:lineRule="exact"/>
        <w:rPr>
          <w:rFonts w:cs="Arial"/>
          <w:i/>
        </w:rPr>
      </w:pPr>
      <w:r w:rsidRPr="009A5185">
        <w:rPr>
          <w:rFonts w:cs="Arial"/>
          <w:i/>
        </w:rPr>
        <w:t xml:space="preserve">                    (date)</w:t>
      </w:r>
    </w:p>
    <w:p w14:paraId="659AF440" w14:textId="77777777" w:rsidR="00F87A51" w:rsidRPr="009A5185" w:rsidRDefault="00F87A51">
      <w:pPr>
        <w:spacing w:line="240" w:lineRule="exact"/>
        <w:rPr>
          <w:rFonts w:cs="Arial"/>
          <w:i/>
        </w:rPr>
      </w:pPr>
    </w:p>
    <w:p w14:paraId="04992D25" w14:textId="109C922F" w:rsidR="00D24F27" w:rsidRDefault="00D24F27">
      <w:pPr>
        <w:rPr>
          <w:rFonts w:cs="Arial"/>
          <w:i/>
        </w:rPr>
      </w:pPr>
      <w:r>
        <w:rPr>
          <w:rFonts w:cs="Arial"/>
          <w:i/>
        </w:rPr>
        <w:br w:type="page"/>
      </w:r>
    </w:p>
    <w:p w14:paraId="03659B85" w14:textId="109C922F" w:rsidR="00C35C80" w:rsidRPr="009A5185" w:rsidRDefault="00C35C80" w:rsidP="00CF5A6E">
      <w:pPr>
        <w:pStyle w:val="Heading2"/>
      </w:pPr>
      <w:bookmarkStart w:id="181" w:name="_Toc383774986"/>
      <w:bookmarkStart w:id="182" w:name="_Toc225877693"/>
      <w:r w:rsidRPr="009A5185">
        <w:lastRenderedPageBreak/>
        <w:t>Section 2</w:t>
      </w:r>
      <w:bookmarkEnd w:id="181"/>
      <w:r w:rsidRPr="009A5185">
        <w:t xml:space="preserve">: </w:t>
      </w:r>
      <w:r w:rsidR="00C34E7F" w:rsidRPr="009A5185">
        <w:t>Medication Safety</w:t>
      </w:r>
      <w:r w:rsidR="000479D5" w:rsidRPr="009A5185">
        <w:t xml:space="preserve"> </w:t>
      </w:r>
      <w:r w:rsidRPr="009A5185">
        <w:t>Reference Information</w:t>
      </w:r>
      <w:bookmarkEnd w:id="182"/>
    </w:p>
    <w:p w14:paraId="1ED8D500" w14:textId="77777777" w:rsidR="00C35C80" w:rsidRPr="009A5185" w:rsidRDefault="00C35C80" w:rsidP="00D24F27">
      <w:pPr>
        <w:rPr>
          <w:rFonts w:cs="Arial"/>
          <w:lang w:eastAsia="ja-JP"/>
        </w:rPr>
      </w:pPr>
    </w:p>
    <w:p w14:paraId="7F702422" w14:textId="2E0D01BD" w:rsidR="00C35C80" w:rsidRDefault="00C35C80" w:rsidP="00AB5B80">
      <w:pPr>
        <w:pStyle w:val="Heading3"/>
      </w:pPr>
      <w:bookmarkStart w:id="183" w:name="_Toc236459172"/>
      <w:bookmarkStart w:id="184" w:name="_Toc383774987"/>
      <w:bookmarkStart w:id="185" w:name="_Toc225877694"/>
      <w:r w:rsidRPr="009A5185">
        <w:t>What’s New</w:t>
      </w:r>
      <w:bookmarkEnd w:id="183"/>
      <w:r w:rsidRPr="009A5185">
        <w:t xml:space="preserve"> in the </w:t>
      </w:r>
      <w:bookmarkEnd w:id="184"/>
      <w:r w:rsidR="00A236B1">
        <w:t>202</w:t>
      </w:r>
      <w:r w:rsidR="003A7091">
        <w:t>6</w:t>
      </w:r>
      <w:r w:rsidR="001A6D91" w:rsidRPr="009A5185">
        <w:t xml:space="preserve"> </w:t>
      </w:r>
      <w:r w:rsidR="004F68CC" w:rsidRPr="009A5185">
        <w:t>Survey</w:t>
      </w:r>
      <w:bookmarkEnd w:id="185"/>
    </w:p>
    <w:p w14:paraId="0EF034FD" w14:textId="77777777" w:rsidR="00D20722" w:rsidRDefault="00D20722" w:rsidP="00D20722">
      <w:pPr>
        <w:rPr>
          <w:lang w:eastAsia="ja-JP"/>
        </w:rPr>
      </w:pPr>
    </w:p>
    <w:p w14:paraId="44B903DD" w14:textId="77777777" w:rsidR="00EC3E45" w:rsidRDefault="00EC3E45" w:rsidP="008248A2">
      <w:pPr>
        <w:pStyle w:val="Heading44"/>
      </w:pPr>
      <w:r w:rsidRPr="00746BAF">
        <w:t xml:space="preserve">CPOE Evaluation Tool </w:t>
      </w:r>
    </w:p>
    <w:p w14:paraId="5E6010F1" w14:textId="5583697A" w:rsidR="00225AB6" w:rsidRDefault="00C238DA" w:rsidP="00C238DA">
      <w:pPr>
        <w:pStyle w:val="Heading44"/>
        <w:rPr>
          <w:b w:val="0"/>
          <w:bCs/>
          <w:sz w:val="20"/>
        </w:rPr>
      </w:pPr>
      <w:r w:rsidRPr="00C238DA">
        <w:rPr>
          <w:b w:val="0"/>
          <w:bCs/>
          <w:sz w:val="20"/>
        </w:rPr>
        <w:t>The developers of the CPOE Evaluation Tool are revising the test medication scenarios to align with updated clinical guidelines and are removing medications that hospitals frequently report as not included in their formularies.</w:t>
      </w:r>
    </w:p>
    <w:p w14:paraId="25A30734" w14:textId="77777777" w:rsidR="00C238DA" w:rsidRDefault="00C238DA" w:rsidP="00C238DA">
      <w:pPr>
        <w:pStyle w:val="Heading44"/>
        <w:rPr>
          <w:b w:val="0"/>
          <w:bCs/>
          <w:sz w:val="20"/>
        </w:rPr>
      </w:pPr>
    </w:p>
    <w:p w14:paraId="63C311FF" w14:textId="4696BC20" w:rsidR="00C238DA" w:rsidRPr="00C238DA" w:rsidRDefault="00750173" w:rsidP="00C238DA">
      <w:pPr>
        <w:pStyle w:val="Heading44"/>
        <w:rPr>
          <w:b w:val="0"/>
          <w:bCs/>
          <w:sz w:val="20"/>
        </w:rPr>
      </w:pPr>
      <w:r>
        <w:rPr>
          <w:b w:val="0"/>
          <w:bCs/>
          <w:sz w:val="20"/>
        </w:rPr>
        <w:t xml:space="preserve">In addition, </w:t>
      </w:r>
      <w:r w:rsidR="00C238DA" w:rsidRPr="00C238DA">
        <w:rPr>
          <w:b w:val="0"/>
          <w:bCs/>
          <w:sz w:val="20"/>
        </w:rPr>
        <w:t xml:space="preserve">after reviewing non-interruptive alerts, Leapfrog’s </w:t>
      </w:r>
      <w:hyperlink r:id="rId178" w:history="1">
        <w:r w:rsidR="00C238DA" w:rsidRPr="00C238DA">
          <w:rPr>
            <w:rStyle w:val="Hyperlink"/>
            <w:b w:val="0"/>
            <w:bCs/>
            <w:sz w:val="20"/>
          </w:rPr>
          <w:t>CPOE Expert Panel</w:t>
        </w:r>
      </w:hyperlink>
      <w:r w:rsidR="00C238DA" w:rsidRPr="00C238DA">
        <w:rPr>
          <w:b w:val="0"/>
          <w:bCs/>
          <w:sz w:val="20"/>
        </w:rPr>
        <w:t xml:space="preserve"> found that these alerts have</w:t>
      </w:r>
      <w:r>
        <w:rPr>
          <w:b w:val="0"/>
          <w:bCs/>
          <w:sz w:val="20"/>
        </w:rPr>
        <w:t xml:space="preserve"> </w:t>
      </w:r>
      <w:r w:rsidR="00C238DA" w:rsidRPr="00C238DA">
        <w:rPr>
          <w:b w:val="0"/>
          <w:bCs/>
          <w:sz w:val="20"/>
        </w:rPr>
        <w:t>become less effective in alerting prescribers to important information about dangerous medication orders. To</w:t>
      </w:r>
      <w:r w:rsidR="00C238DA">
        <w:rPr>
          <w:b w:val="0"/>
          <w:bCs/>
          <w:sz w:val="20"/>
        </w:rPr>
        <w:t xml:space="preserve"> </w:t>
      </w:r>
      <w:r w:rsidR="00C238DA" w:rsidRPr="00C238DA">
        <w:rPr>
          <w:b w:val="0"/>
          <w:bCs/>
          <w:sz w:val="20"/>
        </w:rPr>
        <w:t>address this issue, Leapfrog will launch a multi-phase project to:</w:t>
      </w:r>
    </w:p>
    <w:p w14:paraId="4D964C3C" w14:textId="77777777" w:rsidR="00C238DA" w:rsidRPr="00C238DA" w:rsidRDefault="00C238DA" w:rsidP="00C238DA">
      <w:pPr>
        <w:pStyle w:val="Heading44"/>
        <w:ind w:left="720"/>
        <w:rPr>
          <w:b w:val="0"/>
          <w:bCs/>
          <w:sz w:val="20"/>
        </w:rPr>
      </w:pPr>
      <w:r w:rsidRPr="00C238DA">
        <w:rPr>
          <w:b w:val="0"/>
          <w:bCs/>
          <w:sz w:val="20"/>
        </w:rPr>
        <w:t>• Gather examples and references to strengthen guidance on non-interruptive alerts,</w:t>
      </w:r>
    </w:p>
    <w:p w14:paraId="19F78985" w14:textId="77777777" w:rsidR="00C238DA" w:rsidRPr="00C238DA" w:rsidRDefault="00C238DA" w:rsidP="00C238DA">
      <w:pPr>
        <w:pStyle w:val="Heading44"/>
        <w:ind w:left="720"/>
        <w:rPr>
          <w:b w:val="0"/>
          <w:bCs/>
          <w:sz w:val="20"/>
        </w:rPr>
      </w:pPr>
      <w:r w:rsidRPr="00C238DA">
        <w:rPr>
          <w:b w:val="0"/>
          <w:bCs/>
          <w:sz w:val="20"/>
        </w:rPr>
        <w:t>• Develop educational webinars for hospitals throughout 2026, and</w:t>
      </w:r>
    </w:p>
    <w:p w14:paraId="48636020" w14:textId="77777777" w:rsidR="00C238DA" w:rsidRPr="00C238DA" w:rsidRDefault="00C238DA" w:rsidP="00C238DA">
      <w:pPr>
        <w:pStyle w:val="Heading44"/>
        <w:ind w:left="720"/>
        <w:rPr>
          <w:b w:val="0"/>
          <w:bCs/>
          <w:sz w:val="20"/>
        </w:rPr>
      </w:pPr>
      <w:r w:rsidRPr="00C238DA">
        <w:rPr>
          <w:b w:val="0"/>
          <w:bCs/>
          <w:sz w:val="20"/>
        </w:rPr>
        <w:t>• Prepare hospitals for updated expectations in the 2027 CPOE Tool.</w:t>
      </w:r>
    </w:p>
    <w:p w14:paraId="3535D5FA" w14:textId="77777777" w:rsidR="00C238DA" w:rsidRDefault="00C238DA" w:rsidP="00C238DA">
      <w:pPr>
        <w:pStyle w:val="Heading44"/>
        <w:rPr>
          <w:b w:val="0"/>
          <w:bCs/>
          <w:sz w:val="20"/>
        </w:rPr>
      </w:pPr>
    </w:p>
    <w:p w14:paraId="2CD2C67F" w14:textId="14306B2F" w:rsidR="00C238DA" w:rsidRPr="00C238DA" w:rsidRDefault="00C238DA" w:rsidP="00C238DA">
      <w:pPr>
        <w:pStyle w:val="Heading44"/>
        <w:rPr>
          <w:b w:val="0"/>
          <w:bCs/>
          <w:sz w:val="20"/>
        </w:rPr>
      </w:pPr>
      <w:r w:rsidRPr="00C238DA">
        <w:rPr>
          <w:b w:val="0"/>
          <w:bCs/>
          <w:sz w:val="20"/>
        </w:rPr>
        <w:t>There are no changes to the scoring algorithm for the CPOE Evaluation Tool.</w:t>
      </w:r>
    </w:p>
    <w:p w14:paraId="53CDA9FE" w14:textId="77777777" w:rsidR="00645DD7" w:rsidRPr="008248A2" w:rsidRDefault="00645DD7" w:rsidP="00AF582E">
      <w:pPr>
        <w:pStyle w:val="Heading44"/>
        <w:rPr>
          <w:sz w:val="20"/>
        </w:rPr>
      </w:pPr>
    </w:p>
    <w:p w14:paraId="694BFF3D" w14:textId="23E22160" w:rsidR="00AF582E" w:rsidRDefault="000F0BEB" w:rsidP="008248A2">
      <w:pPr>
        <w:pStyle w:val="Heading44"/>
      </w:pPr>
      <w:r w:rsidRPr="00EC3E45">
        <w:t xml:space="preserve">Section </w:t>
      </w:r>
      <w:r w:rsidR="00FF5A88" w:rsidRPr="00EC3E45">
        <w:t xml:space="preserve">2A: </w:t>
      </w:r>
      <w:r w:rsidR="00AF582E" w:rsidRPr="00EC3E45">
        <w:t>Computerized Physician Order Entry (CPOE)</w:t>
      </w:r>
    </w:p>
    <w:p w14:paraId="6534D917" w14:textId="6D47D3CA" w:rsidR="00225AB6" w:rsidRPr="00225AB6" w:rsidRDefault="00225AB6" w:rsidP="008248A2">
      <w:pPr>
        <w:pStyle w:val="Heading44"/>
        <w:rPr>
          <w:b w:val="0"/>
          <w:bCs/>
          <w:sz w:val="20"/>
        </w:rPr>
      </w:pPr>
      <w:r w:rsidRPr="00225AB6">
        <w:rPr>
          <w:b w:val="0"/>
          <w:bCs/>
          <w:sz w:val="20"/>
        </w:rPr>
        <w:t>There are no changes to this subsection.</w:t>
      </w:r>
    </w:p>
    <w:p w14:paraId="50980F46" w14:textId="77777777" w:rsidR="00AC2F2E" w:rsidRDefault="00AC2F2E" w:rsidP="00AF582E">
      <w:pPr>
        <w:rPr>
          <w:bCs/>
          <w:color w:val="000000"/>
        </w:rPr>
      </w:pPr>
    </w:p>
    <w:p w14:paraId="7C3C1567" w14:textId="5E5654C0" w:rsidR="006D666F" w:rsidRDefault="007D1AB3" w:rsidP="008248A2">
      <w:pPr>
        <w:pStyle w:val="Heading44"/>
      </w:pPr>
      <w:r w:rsidRPr="004E370B">
        <w:t xml:space="preserve">Section 2B: </w:t>
      </w:r>
      <w:r w:rsidRPr="004355D9">
        <w:t>EHR Application Information</w:t>
      </w:r>
    </w:p>
    <w:p w14:paraId="66C83526" w14:textId="418A883E" w:rsidR="006D666F" w:rsidRDefault="00053BB3" w:rsidP="006D666F">
      <w:pPr>
        <w:rPr>
          <w:rFonts w:cstheme="minorHAnsi"/>
        </w:rPr>
      </w:pPr>
      <w:r w:rsidRPr="00053BB3">
        <w:rPr>
          <w:rFonts w:cstheme="minorHAnsi"/>
        </w:rPr>
        <w:t>Leapfrog is continuing to ask questions about Artificial Intelligence (AI) applications used as part of a hospital’s medication management and these questions will be required beginning in 2026. The responses will be used to research AI vendor influence on a hospital’s CPOE Test score. Leapfrog is also updating the definition of AI included in the FAQs to provide more clarity.</w:t>
      </w:r>
    </w:p>
    <w:p w14:paraId="78210020" w14:textId="77777777" w:rsidR="008C53FA" w:rsidRDefault="008C53FA" w:rsidP="006D666F">
      <w:pPr>
        <w:rPr>
          <w:rFonts w:cstheme="minorHAnsi"/>
        </w:rPr>
      </w:pPr>
    </w:p>
    <w:p w14:paraId="3F791117" w14:textId="3CD80C9E" w:rsidR="006D666F" w:rsidRPr="00ED0746" w:rsidRDefault="00782AC6" w:rsidP="006D666F">
      <w:pPr>
        <w:rPr>
          <w:rFonts w:cstheme="minorHAnsi"/>
        </w:rPr>
      </w:pPr>
      <w:r>
        <w:rPr>
          <w:rFonts w:cstheme="minorHAnsi"/>
        </w:rPr>
        <w:t xml:space="preserve">As a reminder, </w:t>
      </w:r>
      <w:r w:rsidR="006D666F" w:rsidRPr="00ED0746">
        <w:rPr>
          <w:rFonts w:cstheme="minorHAnsi"/>
        </w:rPr>
        <w:t>Section 2B: EHR Application Information is not scored or publicly reported.</w:t>
      </w:r>
    </w:p>
    <w:p w14:paraId="42021885" w14:textId="77777777" w:rsidR="001B5B40" w:rsidRDefault="001B5B40" w:rsidP="00D20722">
      <w:pPr>
        <w:rPr>
          <w:lang w:eastAsia="ja-JP"/>
        </w:rPr>
      </w:pPr>
    </w:p>
    <w:p w14:paraId="5F798C35" w14:textId="3B70FDC1" w:rsidR="007843F0" w:rsidRPr="00EA629D" w:rsidRDefault="00D20722" w:rsidP="00EA629D">
      <w:pPr>
        <w:pStyle w:val="Heading44"/>
      </w:pPr>
      <w:r>
        <w:t>Section 2C: Bar Code Medi</w:t>
      </w:r>
      <w:r w:rsidR="005D2C2C">
        <w:t>c</w:t>
      </w:r>
      <w:r>
        <w:t>ation Administration (BCMA)</w:t>
      </w:r>
      <w:r w:rsidR="007843F0" w:rsidRPr="003E4FFD">
        <w:rPr>
          <w:rFonts w:cstheme="minorHAnsi"/>
        </w:rPr>
        <w:t xml:space="preserve"> </w:t>
      </w:r>
    </w:p>
    <w:p w14:paraId="1BFCA2B1" w14:textId="6CF5A91C" w:rsidR="00782AC6" w:rsidRDefault="000A73EE" w:rsidP="0016386D">
      <w:pPr>
        <w:rPr>
          <w:rFonts w:cstheme="minorHAnsi"/>
        </w:rPr>
      </w:pPr>
      <w:r w:rsidRPr="000A73EE">
        <w:rPr>
          <w:rFonts w:cstheme="minorHAnsi"/>
        </w:rPr>
        <w:t>In response to feedback from hospitals participating in the Survey, Leapfrog is updating two of the elements included for Section 2C: BCMA question #21, which asks about mechanisms used to reduce and understand potential BCMA system “workarounds.” The implementation, monitoring, and evaluation of quality improvement projects focused on improving BCMA performance is no longer required for hospitals that have met Leapfrog’s standard of 95% compliance with scanning the patient and medication prior to medication administration if this standard is met in ALL applicable units based on quarterly monitoring. To reflect this change, the response options for question #21f have been updated as outlined below and hospitals will not report on question #21g if they indicate “no” or “does not apply” to question #21f. The requirement of having 6 out of 8 processes/structures to reduce and understand potential BCMA system “workarounds” will be maintained and hospitals responding “does not apply” to question #21f will earn credit for both #21f and #21g for the purposes of scoring and public reporting.</w:t>
      </w:r>
    </w:p>
    <w:p w14:paraId="7CAF874E" w14:textId="77777777" w:rsidR="000A73EE" w:rsidRDefault="000A73EE" w:rsidP="0016386D">
      <w:pPr>
        <w:rPr>
          <w:rFonts w:cstheme="minorHAnsi"/>
        </w:rPr>
      </w:pPr>
    </w:p>
    <w:p w14:paraId="3DC04E8B" w14:textId="3CE842EA" w:rsidR="009C2AB7" w:rsidRDefault="009C2AB7" w:rsidP="0016386D">
      <w:pPr>
        <w:rPr>
          <w:rFonts w:cstheme="minorHAnsi"/>
        </w:rPr>
      </w:pPr>
      <w:r w:rsidRPr="003E4FFD">
        <w:rPr>
          <w:rFonts w:cstheme="minorHAnsi"/>
        </w:rPr>
        <w:t xml:space="preserve">There are no </w:t>
      </w:r>
      <w:r w:rsidR="00782AC6">
        <w:rPr>
          <w:rFonts w:cstheme="minorHAnsi"/>
        </w:rPr>
        <w:t>other</w:t>
      </w:r>
      <w:r w:rsidR="000A73EE">
        <w:rPr>
          <w:rFonts w:cstheme="minorHAnsi"/>
        </w:rPr>
        <w:t xml:space="preserve"> </w:t>
      </w:r>
      <w:r w:rsidRPr="003E4FFD">
        <w:rPr>
          <w:rFonts w:cstheme="minorHAnsi"/>
        </w:rPr>
        <w:t xml:space="preserve">changes to the Scoring Algorithm for Section 2C: BCMA. </w:t>
      </w:r>
    </w:p>
    <w:p w14:paraId="714F7C34" w14:textId="77777777" w:rsidR="0016386D" w:rsidRDefault="0016386D" w:rsidP="007843F0">
      <w:pPr>
        <w:rPr>
          <w:rFonts w:cstheme="minorHAnsi"/>
        </w:rPr>
      </w:pPr>
    </w:p>
    <w:p w14:paraId="2F90A9A0" w14:textId="77777777" w:rsidR="007843F0" w:rsidRDefault="007843F0" w:rsidP="007843F0">
      <w:pPr>
        <w:pStyle w:val="Heading44"/>
      </w:pPr>
      <w:r>
        <w:t>Section 2D: Medication Reconciliation</w:t>
      </w:r>
    </w:p>
    <w:p w14:paraId="4449FFA2" w14:textId="77777777" w:rsidR="00022E65" w:rsidRDefault="000A73EE" w:rsidP="007843F0">
      <w:pPr>
        <w:rPr>
          <w:lang w:eastAsia="ja-JP"/>
        </w:rPr>
      </w:pPr>
      <w:r w:rsidRPr="000A73EE">
        <w:rPr>
          <w:lang w:eastAsia="ja-JP"/>
        </w:rPr>
        <w:t>Leapfrog is updating the measure specifications to clarify that if a pharmacist, pharmacy resident, or certified pharmacy technician creates the pre-admission medication list (PAML) then a different (second) pharmacist, pharmacy resident, or certified pharmacy technician must collect the Gold Standard Medication History.</w:t>
      </w:r>
      <w:r>
        <w:rPr>
          <w:lang w:eastAsia="ja-JP"/>
        </w:rPr>
        <w:t xml:space="preserve"> </w:t>
      </w:r>
      <w:r w:rsidRPr="000A73EE">
        <w:rPr>
          <w:lang w:eastAsia="ja-JP"/>
        </w:rPr>
        <w:t xml:space="preserve">This information was previously clarified in a FAQ. </w:t>
      </w:r>
    </w:p>
    <w:p w14:paraId="79A0BBE7" w14:textId="77777777" w:rsidR="00022E65" w:rsidRDefault="00022E65" w:rsidP="007843F0">
      <w:pPr>
        <w:rPr>
          <w:lang w:eastAsia="ja-JP"/>
        </w:rPr>
      </w:pPr>
    </w:p>
    <w:p w14:paraId="7575DBE0" w14:textId="620B78BF" w:rsidR="000A73EE" w:rsidRDefault="000A73EE" w:rsidP="007843F0">
      <w:pPr>
        <w:rPr>
          <w:lang w:eastAsia="ja-JP"/>
        </w:rPr>
      </w:pPr>
      <w:r w:rsidRPr="000A73EE">
        <w:rPr>
          <w:lang w:eastAsia="ja-JP"/>
        </w:rPr>
        <w:t xml:space="preserve">For ease of reporting, we are providing a flow chart outlining the steps required for data collection which will be available on our Survey materials </w:t>
      </w:r>
      <w:hyperlink r:id="rId179" w:history="1">
        <w:r w:rsidRPr="000A312E">
          <w:rPr>
            <w:rStyle w:val="Hyperlink"/>
            <w:lang w:eastAsia="ja-JP"/>
          </w:rPr>
          <w:t>webpage</w:t>
        </w:r>
      </w:hyperlink>
      <w:r w:rsidRPr="000A73EE">
        <w:rPr>
          <w:lang w:eastAsia="ja-JP"/>
        </w:rPr>
        <w:t xml:space="preserve">. </w:t>
      </w:r>
    </w:p>
    <w:p w14:paraId="055454D9" w14:textId="77777777" w:rsidR="000A73EE" w:rsidRDefault="000A73EE" w:rsidP="007843F0">
      <w:pPr>
        <w:rPr>
          <w:lang w:eastAsia="ja-JP"/>
        </w:rPr>
      </w:pPr>
    </w:p>
    <w:p w14:paraId="4B66B305" w14:textId="6D2171BD" w:rsidR="000A73EE" w:rsidRDefault="000A73EE" w:rsidP="007843F0">
      <w:pPr>
        <w:rPr>
          <w:lang w:eastAsia="ja-JP"/>
        </w:rPr>
      </w:pPr>
      <w:r w:rsidRPr="000A73EE">
        <w:rPr>
          <w:lang w:eastAsia="ja-JP"/>
        </w:rPr>
        <w:lastRenderedPageBreak/>
        <w:t>As a reminder, hospitals can continue to use the 2025 Leapfrog Hospital Survey Measure Specifications for Section 2D: Medication Reconciliation to perform data collection in preparation for the 2026 Leapfrog Hospital Survey.</w:t>
      </w:r>
    </w:p>
    <w:p w14:paraId="1EFD09FB" w14:textId="77777777" w:rsidR="000A312E" w:rsidRDefault="000A312E" w:rsidP="007843F0">
      <w:pPr>
        <w:rPr>
          <w:lang w:eastAsia="ja-JP"/>
        </w:rPr>
      </w:pPr>
    </w:p>
    <w:p w14:paraId="5036A1D3" w14:textId="37155D51" w:rsidR="00D24F27" w:rsidRDefault="00D24F27" w:rsidP="007843F0">
      <w:pPr>
        <w:rPr>
          <w:lang w:eastAsia="ja-JP"/>
        </w:rPr>
      </w:pPr>
      <w:r w:rsidRPr="00D24F27">
        <w:rPr>
          <w:lang w:eastAsia="ja-JP"/>
        </w:rPr>
        <w:t>There are no changes to the scoring algorithm for Section 2D: Medication Reconciliation</w:t>
      </w:r>
    </w:p>
    <w:p w14:paraId="0FE52CD8" w14:textId="77777777" w:rsidR="00D24F27" w:rsidRPr="008248A2" w:rsidRDefault="00D24F27" w:rsidP="007843F0">
      <w:pPr>
        <w:rPr>
          <w:lang w:eastAsia="ja-JP"/>
        </w:rPr>
      </w:pPr>
    </w:p>
    <w:p w14:paraId="3BA5F140" w14:textId="67D9872C" w:rsidR="00C35C80" w:rsidRPr="009A5185" w:rsidRDefault="00C35C80" w:rsidP="00AB5B80">
      <w:pPr>
        <w:pStyle w:val="Heading3"/>
      </w:pPr>
      <w:bookmarkStart w:id="186" w:name="_Toc236459173"/>
      <w:bookmarkStart w:id="187" w:name="_Toc383774988"/>
      <w:bookmarkStart w:id="188" w:name="_Toc225877695"/>
      <w:r w:rsidRPr="009A5185">
        <w:t>Change Summary</w:t>
      </w:r>
      <w:bookmarkEnd w:id="186"/>
      <w:r w:rsidR="001F4B3E">
        <w:t xml:space="preserve"> </w:t>
      </w:r>
      <w:r w:rsidR="00764EEA">
        <w:t>S</w:t>
      </w:r>
      <w:r w:rsidR="001F4B3E">
        <w:t>ince</w:t>
      </w:r>
      <w:r w:rsidRPr="009A5185">
        <w:t xml:space="preserve"> Release</w:t>
      </w:r>
      <w:bookmarkEnd w:id="187"/>
      <w:bookmarkEnd w:id="188"/>
    </w:p>
    <w:p w14:paraId="6824F10D" w14:textId="77777777" w:rsidR="00C35C80" w:rsidRPr="009A5185" w:rsidRDefault="00C35C80" w:rsidP="00C35C80">
      <w:pPr>
        <w:rPr>
          <w:rFonts w:cs="Arial"/>
          <w:lang w:eastAsia="ja-JP"/>
        </w:rPr>
      </w:pPr>
    </w:p>
    <w:p w14:paraId="6C406087" w14:textId="2F416D9B" w:rsidR="00C35C80" w:rsidRPr="009A5185" w:rsidRDefault="00C35C80" w:rsidP="0033316A">
      <w:pPr>
        <w:rPr>
          <w:rFonts w:cs="Arial"/>
          <w:b/>
          <w:sz w:val="28"/>
          <w:szCs w:val="28"/>
          <w:u w:val="single"/>
          <w:lang w:eastAsia="ja-JP"/>
        </w:rPr>
      </w:pPr>
      <w:r w:rsidRPr="009A5185">
        <w:rPr>
          <w:rFonts w:cs="Arial"/>
          <w:lang w:eastAsia="ja-JP"/>
        </w:rPr>
        <w:t xml:space="preserve">None. If substantive changes are made to this section of the </w:t>
      </w:r>
      <w:r w:rsidR="00C14AFF" w:rsidRPr="009A5185">
        <w:rPr>
          <w:rFonts w:cs="Arial"/>
          <w:lang w:eastAsia="ja-JP"/>
        </w:rPr>
        <w:t>Survey</w:t>
      </w:r>
      <w:r w:rsidRPr="009A5185">
        <w:rPr>
          <w:rFonts w:cs="Arial"/>
          <w:lang w:eastAsia="ja-JP"/>
        </w:rPr>
        <w:t xml:space="preserve"> after release on April 1, </w:t>
      </w:r>
      <w:r w:rsidR="00A236B1">
        <w:rPr>
          <w:rFonts w:cs="Arial"/>
          <w:lang w:eastAsia="ja-JP"/>
        </w:rPr>
        <w:t>202</w:t>
      </w:r>
      <w:r w:rsidR="003A7091">
        <w:rPr>
          <w:rFonts w:cs="Arial"/>
          <w:lang w:eastAsia="ja-JP"/>
        </w:rPr>
        <w:t>6</w:t>
      </w:r>
      <w:r w:rsidR="0025210D">
        <w:rPr>
          <w:rFonts w:cs="Arial"/>
          <w:lang w:eastAsia="ja-JP"/>
        </w:rPr>
        <w:t>,</w:t>
      </w:r>
      <w:r w:rsidR="00CE3643" w:rsidRPr="009A5185">
        <w:rPr>
          <w:rFonts w:cs="Arial"/>
          <w:lang w:eastAsia="ja-JP"/>
        </w:rPr>
        <w:t xml:space="preserve"> </w:t>
      </w:r>
      <w:r w:rsidRPr="009A5185">
        <w:rPr>
          <w:rFonts w:cs="Arial"/>
          <w:lang w:eastAsia="ja-JP"/>
        </w:rPr>
        <w:t>they will be documented in this Change Summary section.</w:t>
      </w:r>
      <w:r w:rsidR="0033316A" w:rsidRPr="009A5185">
        <w:rPr>
          <w:rFonts w:cs="Arial"/>
        </w:rPr>
        <w:br w:type="page"/>
      </w:r>
    </w:p>
    <w:p w14:paraId="7CC40EF4" w14:textId="118265B6" w:rsidR="00BE5587" w:rsidRDefault="00E46668" w:rsidP="00CF5A6E">
      <w:pPr>
        <w:pStyle w:val="Heading2"/>
      </w:pPr>
      <w:bookmarkStart w:id="189" w:name="_Medication_Safety_-"/>
      <w:bookmarkStart w:id="190" w:name="_Toc225877696"/>
      <w:bookmarkEnd w:id="189"/>
      <w:r>
        <w:lastRenderedPageBreak/>
        <w:t xml:space="preserve">Section 2: </w:t>
      </w:r>
      <w:r w:rsidR="000C2C54">
        <w:t>Medication Safety</w:t>
      </w:r>
      <w:r w:rsidR="00BE5587" w:rsidRPr="009A5185">
        <w:t xml:space="preserve"> Measure Specifications</w:t>
      </w:r>
      <w:bookmarkEnd w:id="190"/>
    </w:p>
    <w:p w14:paraId="3D3D109B" w14:textId="6AB2D5D6" w:rsidR="000C2C54" w:rsidRPr="00371FEA" w:rsidRDefault="000C2C54" w:rsidP="000C2C54">
      <w:pPr>
        <w:rPr>
          <w:lang w:eastAsia="ja-JP"/>
        </w:rPr>
      </w:pPr>
    </w:p>
    <w:p w14:paraId="69C2502D" w14:textId="55F1966E" w:rsidR="000C2C54" w:rsidRPr="000C2C54" w:rsidRDefault="000C2C54" w:rsidP="00AB5B80">
      <w:pPr>
        <w:pStyle w:val="Heading3"/>
      </w:pPr>
      <w:bookmarkStart w:id="191" w:name="_Ref123646659"/>
      <w:bookmarkStart w:id="192" w:name="_Toc225877697"/>
      <w:r>
        <w:t>Computerized Physician Order Entry (CPOE)</w:t>
      </w:r>
      <w:bookmarkEnd w:id="191"/>
      <w:r w:rsidR="00B078B4">
        <w:t xml:space="preserve"> Measure Specifications</w:t>
      </w:r>
      <w:bookmarkEnd w:id="192"/>
    </w:p>
    <w:p w14:paraId="087EA6D9" w14:textId="77777777" w:rsidR="00BE5587" w:rsidRPr="00371FEA" w:rsidRDefault="00BE5587" w:rsidP="00BE5587">
      <w:pPr>
        <w:rPr>
          <w:rFonts w:cs="Arial"/>
          <w:b/>
          <w:color w:val="FF0000"/>
          <w:lang w:eastAsia="ja-JP"/>
        </w:rPr>
      </w:pPr>
    </w:p>
    <w:p w14:paraId="7DD37E36" w14:textId="77777777" w:rsidR="00BE5587" w:rsidRPr="009A5185" w:rsidRDefault="00BE5587" w:rsidP="00211D8D">
      <w:pPr>
        <w:spacing w:after="120"/>
        <w:rPr>
          <w:rFonts w:cs="Arial"/>
          <w:b/>
          <w:color w:val="FF0000"/>
          <w:lang w:eastAsia="ja-JP"/>
        </w:rPr>
      </w:pPr>
      <w:r w:rsidRPr="009A5185">
        <w:rPr>
          <w:rFonts w:cs="Arial"/>
          <w:b/>
          <w:color w:val="FF0000"/>
          <w:lang w:eastAsia="ja-JP"/>
        </w:rPr>
        <w:t xml:space="preserve">Important Notes: </w:t>
      </w:r>
    </w:p>
    <w:p w14:paraId="359DE457" w14:textId="1ADEAB65" w:rsidR="001D7E24" w:rsidRDefault="00BE5587" w:rsidP="001D7E24">
      <w:pPr>
        <w:rPr>
          <w:rFonts w:cs="Arial"/>
          <w:snapToGrid w:val="0"/>
        </w:rPr>
      </w:pPr>
      <w:r w:rsidRPr="009A5185">
        <w:rPr>
          <w:rFonts w:cs="Arial"/>
          <w:lang w:eastAsia="ja-JP"/>
        </w:rPr>
        <w:t xml:space="preserve">Note 1: </w:t>
      </w:r>
      <w:r w:rsidR="001D7E24" w:rsidRPr="009A5185">
        <w:rPr>
          <w:rFonts w:cs="Arial"/>
          <w:snapToGrid w:val="0"/>
        </w:rPr>
        <w:t xml:space="preserve">Hospitals that share a </w:t>
      </w:r>
      <w:r w:rsidR="00522419">
        <w:rPr>
          <w:rFonts w:cs="Arial"/>
          <w:snapToGrid w:val="0"/>
        </w:rPr>
        <w:t>CMS Certification Number</w:t>
      </w:r>
      <w:r w:rsidR="001D7E24" w:rsidRPr="009A5185">
        <w:rPr>
          <w:rFonts w:cs="Arial"/>
          <w:snapToGrid w:val="0"/>
        </w:rPr>
        <w:t xml:space="preserve"> are required to report by facility. Please carefully review </w:t>
      </w:r>
      <w:hyperlink r:id="rId180" w:history="1">
        <w:r w:rsidR="001D7E24" w:rsidRPr="009A5185">
          <w:rPr>
            <w:rStyle w:val="Hyperlink"/>
            <w:rFonts w:cs="Arial"/>
            <w:snapToGrid w:val="0"/>
          </w:rPr>
          <w:t>Leapfrog’s Multi-Campus Reporting Policy</w:t>
        </w:r>
      </w:hyperlink>
      <w:r w:rsidR="001D7E24" w:rsidRPr="009A5185">
        <w:rPr>
          <w:rFonts w:cs="Arial"/>
          <w:snapToGrid w:val="0"/>
        </w:rPr>
        <w:t>.</w:t>
      </w:r>
    </w:p>
    <w:p w14:paraId="054DA7DD" w14:textId="77777777" w:rsidR="00D217B6" w:rsidRPr="007A60D4" w:rsidRDefault="00D217B6" w:rsidP="001D7E24">
      <w:pPr>
        <w:rPr>
          <w:rFonts w:cs="Arial"/>
          <w:snapToGrid w:val="0"/>
          <w:sz w:val="16"/>
          <w:szCs w:val="16"/>
        </w:rPr>
      </w:pPr>
    </w:p>
    <w:p w14:paraId="0F2D7CFD" w14:textId="77777777" w:rsidR="00914E39" w:rsidRPr="009A5185" w:rsidRDefault="00D217B6" w:rsidP="001D7E24">
      <w:pPr>
        <w:rPr>
          <w:rFonts w:cs="Arial"/>
        </w:rPr>
      </w:pPr>
      <w:r>
        <w:rPr>
          <w:rFonts w:cs="Arial"/>
          <w:snapToGrid w:val="0"/>
        </w:rPr>
        <w:t xml:space="preserve">Note 2: </w:t>
      </w:r>
      <w:r w:rsidR="00914E39" w:rsidRPr="00914E39">
        <w:rPr>
          <w:rFonts w:cs="Arial"/>
          <w:snapToGrid w:val="0"/>
        </w:rPr>
        <w:t>“</w:t>
      </w:r>
      <w:bookmarkStart w:id="193" w:name="Prescriber"/>
      <w:r w:rsidR="006555B4">
        <w:rPr>
          <w:rFonts w:cs="Arial"/>
          <w:snapToGrid w:val="0"/>
        </w:rPr>
        <w:t>Licensed p</w:t>
      </w:r>
      <w:r w:rsidR="0013687D">
        <w:rPr>
          <w:rFonts w:cs="Arial"/>
          <w:snapToGrid w:val="0"/>
        </w:rPr>
        <w:t>rescriber</w:t>
      </w:r>
      <w:bookmarkEnd w:id="193"/>
      <w:r w:rsidR="00914E39" w:rsidRPr="00914E39">
        <w:rPr>
          <w:rFonts w:cs="Arial"/>
          <w:snapToGrid w:val="0"/>
        </w:rPr>
        <w:t xml:space="preserve">” </w:t>
      </w:r>
      <w:r w:rsidRPr="009A5185">
        <w:rPr>
          <w:rFonts w:cs="Arial"/>
        </w:rPr>
        <w:t xml:space="preserve">refers to all licensed clinicians </w:t>
      </w:r>
      <w:r>
        <w:rPr>
          <w:rFonts w:cs="Arial"/>
        </w:rPr>
        <w:t xml:space="preserve">who </w:t>
      </w:r>
      <w:r w:rsidRPr="0013687D">
        <w:rPr>
          <w:rFonts w:cs="Arial"/>
        </w:rPr>
        <w:t>are</w:t>
      </w:r>
      <w:r>
        <w:rPr>
          <w:rFonts w:cs="Arial"/>
        </w:rPr>
        <w:t xml:space="preserve"> </w:t>
      </w:r>
      <w:r w:rsidRPr="009A5185">
        <w:rPr>
          <w:rFonts w:cs="Arial"/>
        </w:rPr>
        <w:t>authorized by the state in which the hospital is located to ord</w:t>
      </w:r>
      <w:r>
        <w:rPr>
          <w:rFonts w:cs="Arial"/>
        </w:rPr>
        <w:t xml:space="preserve">er medications for patients. </w:t>
      </w:r>
      <w:r w:rsidR="00914E39" w:rsidRPr="00914E39">
        <w:rPr>
          <w:rFonts w:cs="Arial"/>
          <w:snapToGrid w:val="0"/>
        </w:rPr>
        <w:t xml:space="preserve">This includes residents and interns who </w:t>
      </w:r>
      <w:r>
        <w:rPr>
          <w:rFonts w:cs="Arial"/>
          <w:snapToGrid w:val="0"/>
        </w:rPr>
        <w:t>are authorized to</w:t>
      </w:r>
      <w:r w:rsidR="00914E39" w:rsidRPr="00914E39">
        <w:rPr>
          <w:rFonts w:cs="Arial"/>
          <w:snapToGrid w:val="0"/>
        </w:rPr>
        <w:t xml:space="preserve"> </w:t>
      </w:r>
      <w:r>
        <w:rPr>
          <w:rFonts w:cs="Arial"/>
          <w:snapToGrid w:val="0"/>
        </w:rPr>
        <w:t>order</w:t>
      </w:r>
      <w:r w:rsidR="00914E39" w:rsidRPr="00914E39">
        <w:rPr>
          <w:rFonts w:cs="Arial"/>
          <w:snapToGrid w:val="0"/>
        </w:rPr>
        <w:t xml:space="preserve"> medications under their own authority.</w:t>
      </w:r>
    </w:p>
    <w:p w14:paraId="5F20B61F" w14:textId="77777777" w:rsidR="00BE5587" w:rsidRPr="00371FEA" w:rsidRDefault="00BE5587" w:rsidP="00BE5587">
      <w:pPr>
        <w:rPr>
          <w:rFonts w:cs="Arial"/>
          <w:b/>
        </w:rPr>
      </w:pPr>
    </w:p>
    <w:tbl>
      <w:tblPr>
        <w:tblW w:w="95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62"/>
      </w:tblGrid>
      <w:tr w:rsidR="002F0E9F" w:rsidRPr="009A5185" w14:paraId="037B9A62" w14:textId="77777777" w:rsidTr="00371FEA">
        <w:trPr>
          <w:trHeight w:val="360"/>
          <w:jc w:val="center"/>
        </w:trPr>
        <w:tc>
          <w:tcPr>
            <w:tcW w:w="9562" w:type="dxa"/>
            <w:vAlign w:val="center"/>
          </w:tcPr>
          <w:p w14:paraId="5567A040" w14:textId="5B73E8C0" w:rsidR="002F0E9F" w:rsidRPr="009A5185" w:rsidRDefault="002F0E9F" w:rsidP="00172407">
            <w:pPr>
              <w:rPr>
                <w:rFonts w:cs="Arial"/>
                <w:b/>
                <w:snapToGrid w:val="0"/>
              </w:rPr>
            </w:pPr>
            <w:r>
              <w:rPr>
                <w:rFonts w:cs="Arial"/>
                <w:b/>
                <w:snapToGrid w:val="0"/>
              </w:rPr>
              <w:t xml:space="preserve">Source: </w:t>
            </w:r>
            <w:r w:rsidRPr="002F0E9F">
              <w:rPr>
                <w:rFonts w:cs="Arial"/>
                <w:bCs/>
                <w:snapToGrid w:val="0"/>
              </w:rPr>
              <w:t>The Leapfrog Group</w:t>
            </w:r>
          </w:p>
        </w:tc>
      </w:tr>
      <w:tr w:rsidR="00BE5587" w:rsidRPr="009A5185" w14:paraId="276C2501" w14:textId="77777777" w:rsidTr="00371FEA">
        <w:trPr>
          <w:trHeight w:val="360"/>
          <w:jc w:val="center"/>
        </w:trPr>
        <w:tc>
          <w:tcPr>
            <w:tcW w:w="9562" w:type="dxa"/>
            <w:vAlign w:val="center"/>
          </w:tcPr>
          <w:p w14:paraId="2E26F405" w14:textId="7398BBC0" w:rsidR="00BE5587" w:rsidRPr="00211D8D" w:rsidRDefault="00BE5587" w:rsidP="00172407">
            <w:pPr>
              <w:rPr>
                <w:rFonts w:cs="Arial"/>
                <w:snapToGrid w:val="0"/>
              </w:rPr>
            </w:pPr>
            <w:r w:rsidRPr="009A5185">
              <w:rPr>
                <w:rFonts w:cs="Arial"/>
                <w:b/>
                <w:snapToGrid w:val="0"/>
              </w:rPr>
              <w:t>Reporting Period:</w:t>
            </w:r>
            <w:r w:rsidRPr="009A5185">
              <w:rPr>
                <w:rFonts w:cs="Arial"/>
                <w:snapToGrid w:val="0"/>
              </w:rPr>
              <w:t xml:space="preserve"> </w:t>
            </w:r>
            <w:r w:rsidR="007B7692">
              <w:rPr>
                <w:rFonts w:cs="Arial"/>
                <w:snapToGrid w:val="0"/>
              </w:rPr>
              <w:t>The</w:t>
            </w:r>
            <w:r w:rsidRPr="009A5185">
              <w:rPr>
                <w:rFonts w:cs="Arial"/>
                <w:snapToGrid w:val="0"/>
              </w:rPr>
              <w:t xml:space="preserve"> latest 3-month period prior to the submission of this section of the </w:t>
            </w:r>
            <w:r w:rsidR="00C14AFF" w:rsidRPr="009A5185">
              <w:rPr>
                <w:rFonts w:cs="Arial"/>
                <w:snapToGrid w:val="0"/>
              </w:rPr>
              <w:t>Survey</w:t>
            </w:r>
            <w:r w:rsidRPr="009A5185">
              <w:rPr>
                <w:rFonts w:cs="Arial"/>
                <w:snapToGrid w:val="0"/>
              </w:rPr>
              <w:t>.</w:t>
            </w:r>
          </w:p>
        </w:tc>
      </w:tr>
      <w:tr w:rsidR="007D4EB4" w:rsidRPr="009A5185" w14:paraId="594DBDA6" w14:textId="77777777" w:rsidTr="00371FEA">
        <w:trPr>
          <w:trHeight w:val="5400"/>
          <w:jc w:val="center"/>
        </w:trPr>
        <w:tc>
          <w:tcPr>
            <w:tcW w:w="9562" w:type="dxa"/>
            <w:vAlign w:val="center"/>
          </w:tcPr>
          <w:p w14:paraId="6E141DE1" w14:textId="7833B448" w:rsidR="007D4EB4" w:rsidRPr="00B56FD2" w:rsidRDefault="007D4EB4" w:rsidP="00172407">
            <w:pPr>
              <w:rPr>
                <w:rFonts w:cs="Arial"/>
                <w:bCs/>
              </w:rPr>
            </w:pPr>
            <w:r w:rsidRPr="00B56FD2">
              <w:rPr>
                <w:rFonts w:cs="Arial"/>
                <w:b/>
              </w:rPr>
              <w:t xml:space="preserve">Medications: </w:t>
            </w:r>
            <w:r w:rsidRPr="00B56FD2">
              <w:rPr>
                <w:rFonts w:cs="Arial"/>
                <w:bCs/>
              </w:rPr>
              <w:t xml:space="preserve">For the purposes of this measure, a </w:t>
            </w:r>
            <w:r w:rsidRPr="00B56FD2">
              <w:rPr>
                <w:rFonts w:cs="Arial"/>
                <w:b/>
              </w:rPr>
              <w:t>medication</w:t>
            </w:r>
            <w:r w:rsidRPr="00B56FD2">
              <w:rPr>
                <w:rFonts w:cs="Arial"/>
                <w:bCs/>
              </w:rPr>
              <w:t xml:space="preserve"> is a substance that is taken into, or placed onto, the body of a person for one or more of the following reasons: </w:t>
            </w:r>
          </w:p>
          <w:p w14:paraId="14CB41EB" w14:textId="77777777" w:rsidR="007D4EB4" w:rsidRPr="00B56FD2" w:rsidRDefault="007D4EB4" w:rsidP="00AD309C">
            <w:pPr>
              <w:pStyle w:val="ListParagraph"/>
              <w:numPr>
                <w:ilvl w:val="0"/>
                <w:numId w:val="153"/>
              </w:numPr>
              <w:rPr>
                <w:rFonts w:cs="Arial"/>
                <w:bCs/>
              </w:rPr>
            </w:pPr>
            <w:r w:rsidRPr="00B56FD2">
              <w:rPr>
                <w:rFonts w:cs="Arial"/>
                <w:bCs/>
              </w:rPr>
              <w:t>as a placebo</w:t>
            </w:r>
          </w:p>
          <w:p w14:paraId="54AC8D8A" w14:textId="77777777" w:rsidR="007D4EB4" w:rsidRPr="00B56FD2" w:rsidRDefault="007D4EB4" w:rsidP="00AD309C">
            <w:pPr>
              <w:pStyle w:val="ListParagraph"/>
              <w:numPr>
                <w:ilvl w:val="0"/>
                <w:numId w:val="153"/>
              </w:numPr>
              <w:rPr>
                <w:rFonts w:cs="Arial"/>
                <w:bCs/>
              </w:rPr>
            </w:pPr>
            <w:r w:rsidRPr="00B56FD2">
              <w:rPr>
                <w:rFonts w:cs="Arial"/>
                <w:bCs/>
              </w:rPr>
              <w:t>to prevent a disease (e.g., flu vaccine)</w:t>
            </w:r>
          </w:p>
          <w:p w14:paraId="7ABED7AC" w14:textId="77777777" w:rsidR="007D4EB4" w:rsidRPr="00B56FD2" w:rsidRDefault="007D4EB4" w:rsidP="00AD309C">
            <w:pPr>
              <w:pStyle w:val="ListParagraph"/>
              <w:numPr>
                <w:ilvl w:val="0"/>
                <w:numId w:val="153"/>
              </w:numPr>
              <w:rPr>
                <w:rFonts w:cs="Arial"/>
                <w:bCs/>
              </w:rPr>
            </w:pPr>
            <w:r w:rsidRPr="00B56FD2">
              <w:rPr>
                <w:rFonts w:cs="Arial"/>
                <w:bCs/>
              </w:rPr>
              <w:t>to make a diagnosis (e.g., contrast dye)</w:t>
            </w:r>
          </w:p>
          <w:p w14:paraId="0664DAF2" w14:textId="77777777" w:rsidR="007D4EB4" w:rsidRPr="00B56FD2" w:rsidRDefault="007D4EB4" w:rsidP="00AD309C">
            <w:pPr>
              <w:pStyle w:val="ListParagraph"/>
              <w:numPr>
                <w:ilvl w:val="0"/>
                <w:numId w:val="153"/>
              </w:numPr>
              <w:rPr>
                <w:rFonts w:cs="Arial"/>
                <w:bCs/>
              </w:rPr>
            </w:pPr>
            <w:r w:rsidRPr="00B56FD2">
              <w:rPr>
                <w:rFonts w:cs="Arial"/>
                <w:bCs/>
              </w:rPr>
              <w:t>to test for the possibility of an adverse effect</w:t>
            </w:r>
          </w:p>
          <w:p w14:paraId="66303A52" w14:textId="5BF15224" w:rsidR="007D4EB4" w:rsidRPr="00B56FD2" w:rsidRDefault="007D4EB4" w:rsidP="00AD309C">
            <w:pPr>
              <w:pStyle w:val="ListParagraph"/>
              <w:numPr>
                <w:ilvl w:val="0"/>
                <w:numId w:val="153"/>
              </w:numPr>
              <w:rPr>
                <w:rFonts w:cs="Arial"/>
                <w:bCs/>
              </w:rPr>
            </w:pPr>
            <w:r w:rsidRPr="00B56FD2">
              <w:rPr>
                <w:rFonts w:cs="Arial"/>
                <w:bCs/>
              </w:rPr>
              <w:t>to modify a physiological, biochemical</w:t>
            </w:r>
            <w:r w:rsidR="00A44686">
              <w:rPr>
                <w:rFonts w:cs="Arial"/>
                <w:bCs/>
              </w:rPr>
              <w:t>,</w:t>
            </w:r>
            <w:r w:rsidRPr="00B56FD2">
              <w:rPr>
                <w:rFonts w:cs="Arial"/>
                <w:bCs/>
              </w:rPr>
              <w:t xml:space="preserve"> or anatomical function or abnormality (e.g., heparin/heparin flushes, statins, antihypertensives, etc.)</w:t>
            </w:r>
          </w:p>
          <w:p w14:paraId="633A55C5" w14:textId="77777777" w:rsidR="007D4EB4" w:rsidRPr="00B56FD2" w:rsidRDefault="007D4EB4" w:rsidP="00AD309C">
            <w:pPr>
              <w:pStyle w:val="ListParagraph"/>
              <w:numPr>
                <w:ilvl w:val="0"/>
                <w:numId w:val="153"/>
              </w:numPr>
              <w:rPr>
                <w:rFonts w:cs="Arial"/>
                <w:bCs/>
              </w:rPr>
            </w:pPr>
            <w:r w:rsidRPr="00B56FD2">
              <w:rPr>
                <w:rFonts w:cs="Arial"/>
                <w:bCs/>
              </w:rPr>
              <w:t>to replace a missing factor (e.g., blood product)</w:t>
            </w:r>
          </w:p>
          <w:p w14:paraId="4FF95BAE" w14:textId="77777777" w:rsidR="007D4EB4" w:rsidRPr="00B56FD2" w:rsidRDefault="007D4EB4" w:rsidP="00AD309C">
            <w:pPr>
              <w:pStyle w:val="ListParagraph"/>
              <w:numPr>
                <w:ilvl w:val="0"/>
                <w:numId w:val="153"/>
              </w:numPr>
              <w:rPr>
                <w:rFonts w:cs="Arial"/>
                <w:bCs/>
              </w:rPr>
            </w:pPr>
            <w:r w:rsidRPr="00B56FD2">
              <w:rPr>
                <w:rFonts w:cs="Arial"/>
                <w:bCs/>
              </w:rPr>
              <w:t>to ameliorate a symptom (e.g., aspirin)</w:t>
            </w:r>
          </w:p>
          <w:p w14:paraId="2C3EF861" w14:textId="77777777" w:rsidR="007D4EB4" w:rsidRPr="00B56FD2" w:rsidRDefault="007D4EB4" w:rsidP="00AD309C">
            <w:pPr>
              <w:pStyle w:val="ListParagraph"/>
              <w:numPr>
                <w:ilvl w:val="0"/>
                <w:numId w:val="153"/>
              </w:numPr>
              <w:rPr>
                <w:rFonts w:cs="Arial"/>
                <w:bCs/>
              </w:rPr>
            </w:pPr>
            <w:r w:rsidRPr="00B56FD2">
              <w:rPr>
                <w:rFonts w:cs="Arial"/>
                <w:bCs/>
              </w:rPr>
              <w:t xml:space="preserve">to treat a disease or condition (including topicals, nasal sprays, eye drops, compounds, inhalants, injectables, patches, etc.) </w:t>
            </w:r>
          </w:p>
          <w:p w14:paraId="06CB76BC" w14:textId="77777777" w:rsidR="007D4EB4" w:rsidRPr="00B56FD2" w:rsidRDefault="007D4EB4" w:rsidP="00AD309C">
            <w:pPr>
              <w:pStyle w:val="ListParagraph"/>
              <w:numPr>
                <w:ilvl w:val="0"/>
                <w:numId w:val="153"/>
              </w:numPr>
              <w:rPr>
                <w:rFonts w:cs="Arial"/>
                <w:bCs/>
              </w:rPr>
            </w:pPr>
            <w:r w:rsidRPr="00B56FD2">
              <w:rPr>
                <w:rFonts w:cs="Arial"/>
                <w:bCs/>
              </w:rPr>
              <w:t>to induce anesthesia</w:t>
            </w:r>
          </w:p>
          <w:p w14:paraId="4696C770" w14:textId="6688FCCF" w:rsidR="007D4EB4" w:rsidRPr="00B56FD2" w:rsidRDefault="007D4EB4" w:rsidP="00AD309C">
            <w:pPr>
              <w:pStyle w:val="ListParagraph"/>
              <w:numPr>
                <w:ilvl w:val="0"/>
                <w:numId w:val="153"/>
              </w:numPr>
              <w:rPr>
                <w:rFonts w:cs="Arial"/>
                <w:bCs/>
              </w:rPr>
            </w:pPr>
            <w:r w:rsidRPr="00B56FD2">
              <w:rPr>
                <w:rFonts w:cs="Arial"/>
                <w:bCs/>
              </w:rPr>
              <w:t xml:space="preserve">to stabilize or hydrate </w:t>
            </w:r>
            <w:r w:rsidR="00BA5976" w:rsidRPr="00B56FD2">
              <w:rPr>
                <w:rFonts w:cs="Arial"/>
                <w:bCs/>
              </w:rPr>
              <w:t>during</w:t>
            </w:r>
            <w:r w:rsidRPr="00B56FD2">
              <w:rPr>
                <w:rFonts w:cs="Arial"/>
                <w:bCs/>
              </w:rPr>
              <w:t xml:space="preserve"> medical treatment or procedures (e.g., IV fluids, normal saline, lactated ringers, etc.) </w:t>
            </w:r>
          </w:p>
          <w:p w14:paraId="216DF5EC" w14:textId="66737084" w:rsidR="007D4EB4" w:rsidRPr="00B56FD2" w:rsidRDefault="007D4EB4" w:rsidP="00AD309C">
            <w:pPr>
              <w:pStyle w:val="ListParagraph"/>
              <w:numPr>
                <w:ilvl w:val="0"/>
                <w:numId w:val="153"/>
              </w:numPr>
              <w:rPr>
                <w:rFonts w:cs="Arial"/>
                <w:bCs/>
              </w:rPr>
            </w:pPr>
            <w:r w:rsidRPr="00B56FD2">
              <w:rPr>
                <w:rFonts w:cs="Arial"/>
                <w:bCs/>
              </w:rPr>
              <w:t>to provide nutrition (e.g., enteral nutrition products, parenteral nutrition products, breast milk [breast milk applies to BCMA measure only])</w:t>
            </w:r>
          </w:p>
          <w:p w14:paraId="7E62A467" w14:textId="77777777" w:rsidR="007D4EB4" w:rsidRDefault="007D4EB4" w:rsidP="00AD309C">
            <w:pPr>
              <w:pStyle w:val="ListParagraph"/>
              <w:numPr>
                <w:ilvl w:val="0"/>
                <w:numId w:val="153"/>
              </w:numPr>
              <w:rPr>
                <w:rFonts w:cs="Arial"/>
                <w:bCs/>
              </w:rPr>
            </w:pPr>
            <w:r w:rsidRPr="00B56FD2">
              <w:rPr>
                <w:rFonts w:cs="Arial"/>
                <w:bCs/>
              </w:rPr>
              <w:t>as a supplement (e.g., iron for a patient with iron deficiency anemia or calcium/vitamin D for a patient with osteoporosis)</w:t>
            </w:r>
          </w:p>
          <w:p w14:paraId="25CB1077" w14:textId="77777777" w:rsidR="00A147FC" w:rsidRPr="009B2D5C" w:rsidRDefault="000C5EC3" w:rsidP="00172407">
            <w:pPr>
              <w:rPr>
                <w:rFonts w:cs="Arial"/>
                <w:bCs/>
              </w:rPr>
            </w:pPr>
            <w:r>
              <w:rPr>
                <w:rFonts w:cs="Arial"/>
                <w:bCs/>
              </w:rPr>
              <w:br/>
            </w:r>
            <w:r w:rsidR="00A147FC" w:rsidRPr="009B2D5C">
              <w:rPr>
                <w:rFonts w:cs="Arial"/>
                <w:bCs/>
              </w:rPr>
              <w:t xml:space="preserve">For the purposes of this measure, the following are </w:t>
            </w:r>
            <w:r w:rsidR="00A147FC" w:rsidRPr="009B2D5C">
              <w:rPr>
                <w:rFonts w:cs="Arial"/>
                <w:b/>
                <w:u w:val="single"/>
              </w:rPr>
              <w:t>not</w:t>
            </w:r>
            <w:r w:rsidR="00A147FC" w:rsidRPr="009B2D5C">
              <w:rPr>
                <w:rFonts w:cs="Arial"/>
                <w:bCs/>
              </w:rPr>
              <w:t xml:space="preserve"> considered medications: </w:t>
            </w:r>
          </w:p>
          <w:p w14:paraId="0D16DBC8" w14:textId="5BC83A10" w:rsidR="00B04A67" w:rsidRDefault="00A147FC" w:rsidP="00AD309C">
            <w:pPr>
              <w:pStyle w:val="ListParagraph"/>
              <w:numPr>
                <w:ilvl w:val="0"/>
                <w:numId w:val="175"/>
              </w:numPr>
              <w:rPr>
                <w:rFonts w:cs="Arial"/>
                <w:bCs/>
              </w:rPr>
            </w:pPr>
            <w:r w:rsidRPr="009B2D5C">
              <w:rPr>
                <w:rFonts w:cs="Arial"/>
                <w:bCs/>
              </w:rPr>
              <w:t>Pre-filled saline flushes and pre-filled heparin flushes</w:t>
            </w:r>
            <w:r w:rsidR="00B04A67">
              <w:rPr>
                <w:rFonts w:cs="Arial"/>
                <w:bCs/>
              </w:rPr>
              <w:t xml:space="preserve"> </w:t>
            </w:r>
            <w:r w:rsidR="00B04A67" w:rsidRPr="002E0EA8">
              <w:rPr>
                <w:rFonts w:cs="Arial"/>
                <w:bCs/>
              </w:rPr>
              <w:t>(i.e., saline and heparin flushes that come from the manufacturer already filled and are not filled by the hospital’s pharmacy)</w:t>
            </w:r>
          </w:p>
          <w:p w14:paraId="40FA4F8D" w14:textId="77777777" w:rsidR="00B04A67" w:rsidRPr="009B2D5C" w:rsidRDefault="00B04A67" w:rsidP="00AD309C">
            <w:pPr>
              <w:pStyle w:val="ListParagraph"/>
              <w:numPr>
                <w:ilvl w:val="0"/>
                <w:numId w:val="175"/>
              </w:numPr>
              <w:rPr>
                <w:rFonts w:cs="Arial"/>
                <w:bCs/>
              </w:rPr>
            </w:pPr>
            <w:r w:rsidRPr="009B2D5C">
              <w:rPr>
                <w:rFonts w:cs="Arial"/>
              </w:rPr>
              <w:t>Chlorhexidine and alcohol preparation pads</w:t>
            </w:r>
          </w:p>
          <w:p w14:paraId="7B2BC5BC" w14:textId="5DCAA5C8" w:rsidR="000C5EC3" w:rsidRPr="00172407" w:rsidRDefault="00B04A67" w:rsidP="00AD309C">
            <w:pPr>
              <w:pStyle w:val="ListParagraph"/>
              <w:numPr>
                <w:ilvl w:val="0"/>
                <w:numId w:val="175"/>
              </w:numPr>
              <w:rPr>
                <w:rFonts w:cs="Arial"/>
                <w:bCs/>
              </w:rPr>
            </w:pPr>
            <w:r>
              <w:rPr>
                <w:rFonts w:cs="Arial"/>
                <w:bCs/>
              </w:rPr>
              <w:t>Intra-op irrigation solutions</w:t>
            </w:r>
          </w:p>
        </w:tc>
      </w:tr>
      <w:tr w:rsidR="00BE5587" w:rsidRPr="009A5185" w14:paraId="3FC8BE4F" w14:textId="77777777" w:rsidTr="00B8601F">
        <w:trPr>
          <w:trHeight w:val="20"/>
          <w:jc w:val="center"/>
        </w:trPr>
        <w:tc>
          <w:tcPr>
            <w:tcW w:w="9562" w:type="dxa"/>
            <w:vAlign w:val="center"/>
          </w:tcPr>
          <w:p w14:paraId="7AD4723F" w14:textId="3AC90550" w:rsidR="0014574C" w:rsidRPr="009A5185" w:rsidRDefault="00BE5587" w:rsidP="00172407">
            <w:pPr>
              <w:rPr>
                <w:rFonts w:cs="Arial"/>
                <w:snapToGrid w:val="0"/>
              </w:rPr>
            </w:pPr>
            <w:r w:rsidRPr="009A5185">
              <w:rPr>
                <w:rFonts w:cs="Arial"/>
                <w:b/>
                <w:bCs/>
              </w:rPr>
              <w:t xml:space="preserve">Question </w:t>
            </w:r>
            <w:r w:rsidR="009E1D23">
              <w:rPr>
                <w:rFonts w:cs="Arial"/>
                <w:b/>
                <w:bCs/>
              </w:rPr>
              <w:t>#</w:t>
            </w:r>
            <w:r w:rsidRPr="009A5185">
              <w:rPr>
                <w:rFonts w:cs="Arial"/>
                <w:b/>
                <w:bCs/>
              </w:rPr>
              <w:t xml:space="preserve">3 (denominator): </w:t>
            </w:r>
            <w:r w:rsidR="00B053C5" w:rsidRPr="009A5185">
              <w:rPr>
                <w:rFonts w:cs="Arial"/>
                <w:bCs/>
              </w:rPr>
              <w:t xml:space="preserve">Total number of </w:t>
            </w:r>
            <w:r w:rsidR="0014574C" w:rsidRPr="009A5185">
              <w:rPr>
                <w:rFonts w:cs="Arial"/>
                <w:lang w:eastAsia="ja-JP"/>
              </w:rPr>
              <w:t xml:space="preserve">inpatient medication orders, </w:t>
            </w:r>
            <w:r w:rsidR="0014574C" w:rsidRPr="009A5185">
              <w:rPr>
                <w:rFonts w:cs="Arial"/>
                <w:snapToGrid w:val="0"/>
              </w:rPr>
              <w:t xml:space="preserve">including </w:t>
            </w:r>
            <w:r w:rsidR="0016004E">
              <w:rPr>
                <w:rFonts w:cs="Arial"/>
                <w:snapToGrid w:val="0"/>
              </w:rPr>
              <w:t xml:space="preserve">medication </w:t>
            </w:r>
            <w:r w:rsidR="0014574C" w:rsidRPr="009A5185">
              <w:rPr>
                <w:rFonts w:cs="Arial"/>
                <w:snapToGrid w:val="0"/>
              </w:rPr>
              <w:t xml:space="preserve">orders made in </w:t>
            </w:r>
            <w:r w:rsidR="009D481F">
              <w:rPr>
                <w:rFonts w:cs="Arial"/>
                <w:snapToGrid w:val="0"/>
              </w:rPr>
              <w:t xml:space="preserve">inpatient </w:t>
            </w:r>
            <w:r w:rsidR="0014574C" w:rsidRPr="009A5185">
              <w:rPr>
                <w:rFonts w:cs="Arial"/>
                <w:snapToGrid w:val="0"/>
              </w:rPr>
              <w:t xml:space="preserve">units </w:t>
            </w:r>
            <w:r w:rsidR="00E015F3">
              <w:rPr>
                <w:rFonts w:cs="Arial"/>
                <w:snapToGrid w:val="0"/>
              </w:rPr>
              <w:t>that</w:t>
            </w:r>
            <w:r w:rsidR="0014574C" w:rsidRPr="009A5185">
              <w:rPr>
                <w:rFonts w:cs="Arial"/>
                <w:snapToGrid w:val="0"/>
              </w:rPr>
              <w:t xml:space="preserve"> do NOT have a functioning CPOE system</w:t>
            </w:r>
            <w:r w:rsidR="0081144B" w:rsidRPr="009A5185">
              <w:rPr>
                <w:rFonts w:cs="Arial"/>
                <w:snapToGrid w:val="0"/>
              </w:rPr>
              <w:t xml:space="preserve">. </w:t>
            </w:r>
          </w:p>
          <w:p w14:paraId="432FE7C1" w14:textId="77777777" w:rsidR="0014574C" w:rsidRPr="007A60D4" w:rsidRDefault="0014574C" w:rsidP="00172407">
            <w:pPr>
              <w:rPr>
                <w:rFonts w:cs="Arial"/>
                <w:snapToGrid w:val="0"/>
                <w:sz w:val="16"/>
                <w:szCs w:val="16"/>
              </w:rPr>
            </w:pPr>
          </w:p>
          <w:p w14:paraId="1FDA9D2C" w14:textId="77777777" w:rsidR="0014574C" w:rsidRPr="009A5185" w:rsidRDefault="0013687D" w:rsidP="00172407">
            <w:pPr>
              <w:rPr>
                <w:rFonts w:cs="Arial"/>
                <w:snapToGrid w:val="0"/>
              </w:rPr>
            </w:pPr>
            <w:r>
              <w:rPr>
                <w:rFonts w:cs="Arial"/>
                <w:b/>
                <w:snapToGrid w:val="0"/>
              </w:rPr>
              <w:t>Include:</w:t>
            </w:r>
          </w:p>
          <w:p w14:paraId="20CC7475" w14:textId="48ED29FD" w:rsidR="0014574C" w:rsidRPr="00FA5679" w:rsidRDefault="0016004E" w:rsidP="00AD309C">
            <w:pPr>
              <w:pStyle w:val="ListParagraph"/>
              <w:numPr>
                <w:ilvl w:val="0"/>
                <w:numId w:val="85"/>
              </w:numPr>
              <w:rPr>
                <w:rFonts w:cs="Arial"/>
                <w:snapToGrid w:val="0"/>
              </w:rPr>
            </w:pPr>
            <w:r>
              <w:rPr>
                <w:rFonts w:cs="Arial"/>
                <w:snapToGrid w:val="0"/>
              </w:rPr>
              <w:t>Medications ordered</w:t>
            </w:r>
            <w:r w:rsidR="0014574C" w:rsidRPr="00155B0B">
              <w:rPr>
                <w:rFonts w:cs="Arial"/>
                <w:snapToGrid w:val="0"/>
              </w:rPr>
              <w:t xml:space="preserve"> for</w:t>
            </w:r>
            <w:r w:rsidR="00155B0B">
              <w:rPr>
                <w:rFonts w:cs="Arial"/>
                <w:snapToGrid w:val="0"/>
              </w:rPr>
              <w:t xml:space="preserve"> </w:t>
            </w:r>
            <w:r w:rsidRPr="00C540B0">
              <w:rPr>
                <w:rFonts w:cs="Arial"/>
                <w:b/>
                <w:bCs/>
                <w:snapToGrid w:val="0"/>
              </w:rPr>
              <w:t>any patient</w:t>
            </w:r>
            <w:r w:rsidR="00155B0B" w:rsidRPr="00C540B0">
              <w:rPr>
                <w:rFonts w:cs="Arial"/>
                <w:b/>
                <w:bCs/>
                <w:snapToGrid w:val="0"/>
              </w:rPr>
              <w:t xml:space="preserve"> with an</w:t>
            </w:r>
            <w:r w:rsidR="0014574C" w:rsidRPr="00C540B0">
              <w:rPr>
                <w:rFonts w:cs="Arial"/>
                <w:b/>
                <w:bCs/>
                <w:snapToGrid w:val="0"/>
              </w:rPr>
              <w:t xml:space="preserve"> inpatient</w:t>
            </w:r>
            <w:r w:rsidR="00155B0B" w:rsidRPr="00C540B0">
              <w:rPr>
                <w:rFonts w:cs="Arial"/>
                <w:b/>
                <w:bCs/>
                <w:snapToGrid w:val="0"/>
              </w:rPr>
              <w:t xml:space="preserve"> status</w:t>
            </w:r>
            <w:r w:rsidR="00155B0B">
              <w:rPr>
                <w:rFonts w:cs="Arial"/>
                <w:snapToGrid w:val="0"/>
              </w:rPr>
              <w:t>, including those with an inpatient status</w:t>
            </w:r>
            <w:r w:rsidR="0014574C" w:rsidRPr="00155B0B">
              <w:rPr>
                <w:rFonts w:cs="Arial"/>
                <w:snapToGrid w:val="0"/>
              </w:rPr>
              <w:t xml:space="preserve"> who may be in an outpatient unit durin</w:t>
            </w:r>
            <w:r w:rsidR="0081144B" w:rsidRPr="00155B0B">
              <w:rPr>
                <w:rFonts w:cs="Arial"/>
                <w:snapToGrid w:val="0"/>
              </w:rPr>
              <w:t xml:space="preserve">g an </w:t>
            </w:r>
            <w:r>
              <w:rPr>
                <w:rFonts w:cs="Arial"/>
                <w:snapToGrid w:val="0"/>
              </w:rPr>
              <w:t>overflow situation</w:t>
            </w:r>
            <w:r w:rsidR="000B24F8" w:rsidRPr="009C2421">
              <w:rPr>
                <w:rFonts w:cs="Arial"/>
                <w:snapToGrid w:val="0"/>
              </w:rPr>
              <w:t>.</w:t>
            </w:r>
          </w:p>
          <w:p w14:paraId="5E9C6D51" w14:textId="77777777" w:rsidR="0016004E" w:rsidRPr="000B24F8" w:rsidRDefault="0016004E" w:rsidP="00AD309C">
            <w:pPr>
              <w:pStyle w:val="ListParagraph"/>
              <w:numPr>
                <w:ilvl w:val="0"/>
                <w:numId w:val="85"/>
              </w:numPr>
              <w:rPr>
                <w:rFonts w:cs="Arial"/>
                <w:snapToGrid w:val="0"/>
              </w:rPr>
            </w:pPr>
            <w:r w:rsidRPr="000B24F8">
              <w:rPr>
                <w:rFonts w:cs="Arial"/>
                <w:snapToGrid w:val="0"/>
              </w:rPr>
              <w:t xml:space="preserve">Medications ordered for any </w:t>
            </w:r>
            <w:r w:rsidR="00C47665" w:rsidRPr="000B24F8">
              <w:rPr>
                <w:rFonts w:cs="Arial"/>
                <w:snapToGrid w:val="0"/>
              </w:rPr>
              <w:t>n</w:t>
            </w:r>
            <w:r w:rsidR="00D217B6" w:rsidRPr="000B24F8">
              <w:rPr>
                <w:rFonts w:cs="Arial"/>
                <w:snapToGrid w:val="0"/>
              </w:rPr>
              <w:t xml:space="preserve">eonatal </w:t>
            </w:r>
            <w:r w:rsidRPr="000B24F8">
              <w:rPr>
                <w:rFonts w:cs="Arial"/>
                <w:snapToGrid w:val="0"/>
              </w:rPr>
              <w:t>ICU patient.</w:t>
            </w:r>
          </w:p>
          <w:p w14:paraId="321A9AD6" w14:textId="77777777" w:rsidR="002E7564" w:rsidRPr="00D217B6" w:rsidRDefault="0016004E" w:rsidP="00AD309C">
            <w:pPr>
              <w:pStyle w:val="ListParagraph"/>
              <w:numPr>
                <w:ilvl w:val="0"/>
                <w:numId w:val="85"/>
              </w:numPr>
              <w:rPr>
                <w:rFonts w:cs="Arial"/>
                <w:snapToGrid w:val="0"/>
              </w:rPr>
            </w:pPr>
            <w:r w:rsidRPr="00D217B6">
              <w:rPr>
                <w:rFonts w:cs="Arial"/>
                <w:snapToGrid w:val="0"/>
              </w:rPr>
              <w:t>Medications</w:t>
            </w:r>
            <w:r w:rsidR="00A01039" w:rsidRPr="00D217B6">
              <w:rPr>
                <w:rFonts w:cs="Arial"/>
                <w:snapToGrid w:val="0"/>
              </w:rPr>
              <w:t xml:space="preserve"> or</w:t>
            </w:r>
            <w:r w:rsidRPr="00D217B6">
              <w:rPr>
                <w:rFonts w:cs="Arial"/>
                <w:snapToGrid w:val="0"/>
              </w:rPr>
              <w:t>dered</w:t>
            </w:r>
            <w:r w:rsidR="002E7564" w:rsidRPr="00D217B6">
              <w:rPr>
                <w:rFonts w:cs="Arial"/>
                <w:snapToGrid w:val="0"/>
              </w:rPr>
              <w:t xml:space="preserve"> by</w:t>
            </w:r>
            <w:r w:rsidR="00155B0B" w:rsidRPr="00D217B6">
              <w:rPr>
                <w:rFonts w:cs="Arial"/>
                <w:snapToGrid w:val="0"/>
              </w:rPr>
              <w:t xml:space="preserve"> </w:t>
            </w:r>
            <w:r w:rsidR="00D217B6" w:rsidRPr="00D217B6">
              <w:rPr>
                <w:rFonts w:cs="Arial"/>
                <w:b/>
                <w:snapToGrid w:val="0"/>
              </w:rPr>
              <w:t>any individual</w:t>
            </w:r>
            <w:r w:rsidR="00D217B6" w:rsidRPr="00B97B9B">
              <w:rPr>
                <w:rFonts w:cs="Arial"/>
                <w:snapToGrid w:val="0"/>
              </w:rPr>
              <w:t>,</w:t>
            </w:r>
            <w:r w:rsidR="00D217B6" w:rsidRPr="00D217B6">
              <w:rPr>
                <w:rFonts w:cs="Arial"/>
                <w:b/>
                <w:snapToGrid w:val="0"/>
              </w:rPr>
              <w:t xml:space="preserve"> </w:t>
            </w:r>
            <w:r w:rsidR="00D217B6" w:rsidRPr="00D217B6">
              <w:rPr>
                <w:rFonts w:cs="Arial"/>
                <w:snapToGrid w:val="0"/>
              </w:rPr>
              <w:t xml:space="preserve">including </w:t>
            </w:r>
            <w:r w:rsidR="00D217B6">
              <w:rPr>
                <w:rFonts w:cs="Arial"/>
                <w:snapToGrid w:val="0"/>
              </w:rPr>
              <w:t>nurses and pharmacists.</w:t>
            </w:r>
            <w:r w:rsidR="00D217B6" w:rsidRPr="00D217B6">
              <w:rPr>
                <w:rFonts w:cs="Arial"/>
                <w:snapToGrid w:val="0"/>
              </w:rPr>
              <w:t xml:space="preserve"> </w:t>
            </w:r>
          </w:p>
          <w:p w14:paraId="41B2D87C" w14:textId="09201B8E" w:rsidR="0014574C" w:rsidRDefault="0016004E" w:rsidP="00AD309C">
            <w:pPr>
              <w:pStyle w:val="ListParagraph"/>
              <w:numPr>
                <w:ilvl w:val="0"/>
                <w:numId w:val="85"/>
              </w:numPr>
              <w:rPr>
                <w:rFonts w:cs="Arial"/>
                <w:snapToGrid w:val="0"/>
              </w:rPr>
            </w:pPr>
            <w:r>
              <w:rPr>
                <w:rFonts w:cs="Arial"/>
                <w:snapToGrid w:val="0"/>
              </w:rPr>
              <w:t>Medications ordered</w:t>
            </w:r>
            <w:r w:rsidR="00D217B6">
              <w:rPr>
                <w:rFonts w:cs="Arial"/>
                <w:snapToGrid w:val="0"/>
              </w:rPr>
              <w:t xml:space="preserve"> </w:t>
            </w:r>
            <w:r w:rsidR="00155B0B">
              <w:rPr>
                <w:rFonts w:cs="Arial"/>
                <w:snapToGrid w:val="0"/>
              </w:rPr>
              <w:t xml:space="preserve">electronically, </w:t>
            </w:r>
            <w:r w:rsidR="008E3337" w:rsidRPr="002F266A">
              <w:rPr>
                <w:rFonts w:cs="Arial"/>
                <w:snapToGrid w:val="0"/>
              </w:rPr>
              <w:t xml:space="preserve">via </w:t>
            </w:r>
            <w:r w:rsidR="0021491F" w:rsidRPr="002F266A">
              <w:rPr>
                <w:rFonts w:eastAsia="Arial" w:cs="Arial"/>
              </w:rPr>
              <w:t>a secure texting platform</w:t>
            </w:r>
            <w:r w:rsidR="008E3337" w:rsidRPr="002F266A">
              <w:rPr>
                <w:rFonts w:cs="Arial"/>
                <w:snapToGrid w:val="0"/>
              </w:rPr>
              <w:t xml:space="preserve">, </w:t>
            </w:r>
            <w:r w:rsidR="00155B0B" w:rsidRPr="002F266A">
              <w:rPr>
                <w:rFonts w:cs="Arial"/>
                <w:snapToGrid w:val="0"/>
              </w:rPr>
              <w:t xml:space="preserve">verbally or </w:t>
            </w:r>
            <w:r w:rsidR="00155B0B">
              <w:rPr>
                <w:rFonts w:cs="Arial"/>
                <w:snapToGrid w:val="0"/>
              </w:rPr>
              <w:t>via paper.</w:t>
            </w:r>
          </w:p>
          <w:p w14:paraId="2C83834A" w14:textId="47944A34" w:rsidR="00E26493" w:rsidRPr="00E26493" w:rsidRDefault="00E26493" w:rsidP="00AD309C">
            <w:pPr>
              <w:pStyle w:val="ListParagraph"/>
              <w:numPr>
                <w:ilvl w:val="0"/>
                <w:numId w:val="85"/>
              </w:numPr>
              <w:rPr>
                <w:rFonts w:cs="Arial"/>
                <w:snapToGrid w:val="0"/>
              </w:rPr>
            </w:pPr>
            <w:r>
              <w:rPr>
                <w:rFonts w:cs="Arial"/>
                <w:snapToGrid w:val="0"/>
              </w:rPr>
              <w:t>Medications ordered verbally during a rapid response (prevention of serious injury, cardiac arrest, and respiratory arrest).</w:t>
            </w:r>
          </w:p>
          <w:p w14:paraId="0527F799" w14:textId="77777777" w:rsidR="0014574C" w:rsidRPr="009A5185" w:rsidRDefault="0013687D" w:rsidP="00172407">
            <w:pPr>
              <w:spacing w:before="120"/>
              <w:rPr>
                <w:rFonts w:cs="Arial"/>
                <w:lang w:eastAsia="ja-JP"/>
              </w:rPr>
            </w:pPr>
            <w:r>
              <w:rPr>
                <w:rFonts w:cs="Arial"/>
                <w:b/>
                <w:lang w:eastAsia="ja-JP"/>
              </w:rPr>
              <w:t>Exclude</w:t>
            </w:r>
            <w:r w:rsidR="0014574C" w:rsidRPr="009A5185">
              <w:rPr>
                <w:rFonts w:cs="Arial"/>
                <w:lang w:eastAsia="ja-JP"/>
              </w:rPr>
              <w:t xml:space="preserve">: </w:t>
            </w:r>
          </w:p>
          <w:p w14:paraId="6952674B" w14:textId="1E37D7A3" w:rsidR="0016004E" w:rsidRPr="00155B0B" w:rsidRDefault="0016004E" w:rsidP="00AD309C">
            <w:pPr>
              <w:pStyle w:val="ListParagraph"/>
              <w:numPr>
                <w:ilvl w:val="0"/>
                <w:numId w:val="86"/>
              </w:numPr>
              <w:rPr>
                <w:rFonts w:cs="Arial"/>
              </w:rPr>
            </w:pPr>
            <w:r w:rsidRPr="00155B0B">
              <w:rPr>
                <w:rFonts w:cs="Arial"/>
                <w:lang w:eastAsia="ja-JP"/>
              </w:rPr>
              <w:t>Medication</w:t>
            </w:r>
            <w:r>
              <w:rPr>
                <w:rFonts w:cs="Arial"/>
                <w:lang w:eastAsia="ja-JP"/>
              </w:rPr>
              <w:t>s ordered</w:t>
            </w:r>
            <w:r w:rsidRPr="00155B0B">
              <w:rPr>
                <w:rFonts w:cs="Arial"/>
                <w:lang w:eastAsia="ja-JP"/>
              </w:rPr>
              <w:t xml:space="preserve"> for </w:t>
            </w:r>
            <w:r>
              <w:rPr>
                <w:rFonts w:cs="Arial"/>
                <w:lang w:eastAsia="ja-JP"/>
              </w:rPr>
              <w:t>any newborn</w:t>
            </w:r>
            <w:r w:rsidRPr="00155B0B">
              <w:rPr>
                <w:rFonts w:cs="Arial"/>
                <w:lang w:eastAsia="ja-JP"/>
              </w:rPr>
              <w:t xml:space="preserve"> </w:t>
            </w:r>
            <w:r>
              <w:rPr>
                <w:rFonts w:cs="Arial"/>
                <w:lang w:eastAsia="ja-JP"/>
              </w:rPr>
              <w:t>in a nursery</w:t>
            </w:r>
            <w:r w:rsidR="00237325">
              <w:rPr>
                <w:rFonts w:cs="Arial"/>
                <w:lang w:eastAsia="ja-JP"/>
              </w:rPr>
              <w:t xml:space="preserve"> or mother’s room</w:t>
            </w:r>
            <w:r w:rsidR="00D54C9A">
              <w:rPr>
                <w:rFonts w:cs="Arial"/>
                <w:lang w:eastAsia="ja-JP"/>
              </w:rPr>
              <w:t>.</w:t>
            </w:r>
          </w:p>
          <w:p w14:paraId="1951A9BA" w14:textId="75B075FB" w:rsidR="0014574C" w:rsidRDefault="0075563C" w:rsidP="00AD309C">
            <w:pPr>
              <w:pStyle w:val="ListParagraph"/>
              <w:numPr>
                <w:ilvl w:val="0"/>
                <w:numId w:val="86"/>
              </w:numPr>
              <w:rPr>
                <w:rFonts w:cs="Arial"/>
                <w:lang w:eastAsia="ja-JP"/>
              </w:rPr>
            </w:pPr>
            <w:r>
              <w:rPr>
                <w:rFonts w:cs="Arial"/>
                <w:lang w:eastAsia="ja-JP"/>
              </w:rPr>
              <w:lastRenderedPageBreak/>
              <w:t>New m</w:t>
            </w:r>
            <w:r w:rsidR="0014574C" w:rsidRPr="00155B0B">
              <w:rPr>
                <w:rFonts w:cs="Arial"/>
                <w:lang w:eastAsia="ja-JP"/>
              </w:rPr>
              <w:t>edication</w:t>
            </w:r>
            <w:r w:rsidR="0016004E">
              <w:rPr>
                <w:rFonts w:cs="Arial"/>
                <w:lang w:eastAsia="ja-JP"/>
              </w:rPr>
              <w:t xml:space="preserve"> orders</w:t>
            </w:r>
            <w:r w:rsidR="0014574C" w:rsidRPr="00155B0B">
              <w:rPr>
                <w:rFonts w:cs="Arial"/>
                <w:lang w:eastAsia="ja-JP"/>
              </w:rPr>
              <w:t xml:space="preserve"> that have been modified from the original order but maintain the in</w:t>
            </w:r>
            <w:r w:rsidR="009D481F">
              <w:rPr>
                <w:rFonts w:cs="Arial"/>
                <w:lang w:eastAsia="ja-JP"/>
              </w:rPr>
              <w:t>tent of the original order (e.g.,</w:t>
            </w:r>
            <w:r w:rsidR="0014574C" w:rsidRPr="00155B0B">
              <w:rPr>
                <w:rFonts w:cs="Arial"/>
                <w:lang w:eastAsia="ja-JP"/>
              </w:rPr>
              <w:t xml:space="preserve"> </w:t>
            </w:r>
            <w:r w:rsidR="0013687D">
              <w:rPr>
                <w:rFonts w:cs="Arial"/>
                <w:lang w:eastAsia="ja-JP"/>
              </w:rPr>
              <w:t xml:space="preserve">“new” medication orders generated when a </w:t>
            </w:r>
            <w:r w:rsidR="0014574C" w:rsidRPr="00155B0B">
              <w:rPr>
                <w:rFonts w:cs="Arial"/>
                <w:lang w:eastAsia="ja-JP"/>
              </w:rPr>
              <w:t>dose, route, frequency</w:t>
            </w:r>
            <w:r w:rsidR="00A44686">
              <w:rPr>
                <w:rFonts w:cs="Arial"/>
                <w:lang w:eastAsia="ja-JP"/>
              </w:rPr>
              <w:t>,</w:t>
            </w:r>
            <w:r w:rsidR="0014574C" w:rsidRPr="00155B0B">
              <w:rPr>
                <w:rFonts w:cs="Arial"/>
                <w:lang w:eastAsia="ja-JP"/>
              </w:rPr>
              <w:t xml:space="preserve"> </w:t>
            </w:r>
            <w:r w:rsidR="0081144B" w:rsidRPr="00155B0B">
              <w:rPr>
                <w:rFonts w:cs="Arial"/>
                <w:lang w:eastAsia="ja-JP"/>
              </w:rPr>
              <w:t>or brand</w:t>
            </w:r>
            <w:r w:rsidR="0013687D">
              <w:rPr>
                <w:rFonts w:cs="Arial"/>
                <w:lang w:eastAsia="ja-JP"/>
              </w:rPr>
              <w:t xml:space="preserve"> are changed).</w:t>
            </w:r>
          </w:p>
          <w:p w14:paraId="185D3E45" w14:textId="75F66D86" w:rsidR="0013687D" w:rsidRDefault="0013687D" w:rsidP="00AD309C">
            <w:pPr>
              <w:pStyle w:val="ListParagraph"/>
              <w:numPr>
                <w:ilvl w:val="0"/>
                <w:numId w:val="86"/>
              </w:numPr>
              <w:spacing w:after="120"/>
              <w:rPr>
                <w:rFonts w:cs="Arial"/>
              </w:rPr>
            </w:pPr>
            <w:r>
              <w:rPr>
                <w:rFonts w:cs="Arial"/>
                <w:lang w:eastAsia="ja-JP"/>
              </w:rPr>
              <w:t>M</w:t>
            </w:r>
            <w:r w:rsidR="009D481F">
              <w:rPr>
                <w:rFonts w:cs="Arial"/>
                <w:lang w:eastAsia="ja-JP"/>
              </w:rPr>
              <w:t>edication</w:t>
            </w:r>
            <w:r>
              <w:rPr>
                <w:rFonts w:cs="Arial"/>
                <w:lang w:eastAsia="ja-JP"/>
              </w:rPr>
              <w:t>s ordered verbally during a “code</w:t>
            </w:r>
            <w:r w:rsidR="00682010">
              <w:rPr>
                <w:rFonts w:cs="Arial"/>
                <w:lang w:eastAsia="ja-JP"/>
              </w:rPr>
              <w:t xml:space="preserve"> blue” (i.e., medication</w:t>
            </w:r>
            <w:r w:rsidR="00A34FE8">
              <w:rPr>
                <w:rFonts w:cs="Arial"/>
                <w:lang w:eastAsia="ja-JP"/>
              </w:rPr>
              <w:t xml:space="preserve">s ordered verbally </w:t>
            </w:r>
            <w:r w:rsidR="00682010">
              <w:rPr>
                <w:rFonts w:cs="Arial"/>
                <w:lang w:eastAsia="ja-JP"/>
              </w:rPr>
              <w:t>when a patient requires</w:t>
            </w:r>
            <w:r w:rsidR="00682010" w:rsidRPr="00682010">
              <w:rPr>
                <w:rFonts w:cs="Arial"/>
                <w:lang w:eastAsia="ja-JP"/>
              </w:rPr>
              <w:t xml:space="preserve"> resuscitation or </w:t>
            </w:r>
            <w:r w:rsidR="00E725B5">
              <w:rPr>
                <w:rFonts w:cs="Arial"/>
                <w:lang w:eastAsia="ja-JP"/>
              </w:rPr>
              <w:t>needs</w:t>
            </w:r>
            <w:r w:rsidR="00682010" w:rsidRPr="00682010">
              <w:rPr>
                <w:rFonts w:cs="Arial"/>
                <w:lang w:eastAsia="ja-JP"/>
              </w:rPr>
              <w:t xml:space="preserve"> immediate medical attention, most often as the result of a respi</w:t>
            </w:r>
            <w:r w:rsidR="000A4FD9">
              <w:rPr>
                <w:rFonts w:cs="Arial"/>
                <w:lang w:eastAsia="ja-JP"/>
              </w:rPr>
              <w:t>ratory arrest or cardiac arrest</w:t>
            </w:r>
            <w:r>
              <w:rPr>
                <w:rFonts w:cs="Arial"/>
                <w:lang w:eastAsia="ja-JP"/>
              </w:rPr>
              <w:t xml:space="preserve">). </w:t>
            </w:r>
          </w:p>
          <w:p w14:paraId="6CE8F340" w14:textId="49EC48DA" w:rsidR="00237325" w:rsidRPr="00211D8D" w:rsidRDefault="007E45FA" w:rsidP="00AD309C">
            <w:pPr>
              <w:pStyle w:val="ListParagraph"/>
              <w:numPr>
                <w:ilvl w:val="0"/>
                <w:numId w:val="86"/>
              </w:numPr>
              <w:spacing w:after="120"/>
              <w:rPr>
                <w:rFonts w:cs="Arial"/>
              </w:rPr>
            </w:pPr>
            <w:r>
              <w:rPr>
                <w:rFonts w:cs="Arial"/>
                <w:lang w:eastAsia="ja-JP"/>
              </w:rPr>
              <w:t>Medications ordered in an operating room or procedur</w:t>
            </w:r>
            <w:r w:rsidR="00504A9D">
              <w:rPr>
                <w:rFonts w:cs="Arial"/>
                <w:lang w:eastAsia="ja-JP"/>
              </w:rPr>
              <w:t>al</w:t>
            </w:r>
            <w:r>
              <w:rPr>
                <w:rFonts w:cs="Arial"/>
                <w:lang w:eastAsia="ja-JP"/>
              </w:rPr>
              <w:t xml:space="preserve"> area.</w:t>
            </w:r>
          </w:p>
        </w:tc>
      </w:tr>
      <w:tr w:rsidR="00BE5587" w:rsidRPr="009A5185" w14:paraId="416295B4" w14:textId="77777777" w:rsidTr="00371FEA">
        <w:trPr>
          <w:trHeight w:val="6048"/>
          <w:jc w:val="center"/>
        </w:trPr>
        <w:tc>
          <w:tcPr>
            <w:tcW w:w="9562" w:type="dxa"/>
            <w:vAlign w:val="center"/>
          </w:tcPr>
          <w:p w14:paraId="1339B172" w14:textId="36341695" w:rsidR="0095599A" w:rsidRPr="00A25B79" w:rsidRDefault="00BE5587" w:rsidP="00172407">
            <w:pPr>
              <w:rPr>
                <w:rFonts w:cs="Arial"/>
                <w:snapToGrid w:val="0"/>
              </w:rPr>
            </w:pPr>
            <w:r w:rsidRPr="00A25B79">
              <w:rPr>
                <w:rFonts w:cs="Arial"/>
                <w:b/>
                <w:bCs/>
              </w:rPr>
              <w:lastRenderedPageBreak/>
              <w:t xml:space="preserve">Question </w:t>
            </w:r>
            <w:r w:rsidR="009E1D23">
              <w:rPr>
                <w:rFonts w:cs="Arial"/>
                <w:b/>
                <w:bCs/>
              </w:rPr>
              <w:t>#</w:t>
            </w:r>
            <w:r w:rsidRPr="00A25B79">
              <w:rPr>
                <w:rFonts w:cs="Arial"/>
                <w:b/>
                <w:bCs/>
              </w:rPr>
              <w:t xml:space="preserve">4 (numerator): </w:t>
            </w:r>
            <w:r w:rsidR="00371FEA">
              <w:rPr>
                <w:rFonts w:cs="Arial"/>
                <w:b/>
                <w:bCs/>
              </w:rPr>
              <w:t xml:space="preserve">Total number of inpatient medication orders in question #3 that </w:t>
            </w:r>
            <w:hyperlink w:anchor="Prescriber" w:history="1">
              <w:r w:rsidR="00371FEA" w:rsidRPr="00207527">
                <w:rPr>
                  <w:rStyle w:val="Hyperlink"/>
                  <w:rFonts w:cs="Arial"/>
                  <w:b/>
                  <w:bCs/>
                </w:rPr>
                <w:t>licensed prescribers</w:t>
              </w:r>
            </w:hyperlink>
            <w:r w:rsidR="00371FEA">
              <w:rPr>
                <w:rFonts w:cs="Arial"/>
                <w:b/>
                <w:bCs/>
              </w:rPr>
              <w:t xml:space="preserve"> entered via a CPOE system that meets the criteria outlined in question #2</w:t>
            </w:r>
            <w:r w:rsidR="000509CE">
              <w:rPr>
                <w:rFonts w:cs="Arial"/>
                <w:b/>
                <w:bCs/>
              </w:rPr>
              <w:t>.</w:t>
            </w:r>
          </w:p>
          <w:p w14:paraId="2759269A" w14:textId="77777777" w:rsidR="0095599A" w:rsidRPr="00A25B79" w:rsidRDefault="0095599A" w:rsidP="00172407">
            <w:pPr>
              <w:rPr>
                <w:rFonts w:cs="Arial"/>
                <w:snapToGrid w:val="0"/>
              </w:rPr>
            </w:pPr>
          </w:p>
          <w:p w14:paraId="222AA0AA" w14:textId="77777777" w:rsidR="0095599A" w:rsidRPr="00A25B79" w:rsidRDefault="0013687D" w:rsidP="00172407">
            <w:pPr>
              <w:rPr>
                <w:rFonts w:cs="Arial"/>
                <w:b/>
                <w:snapToGrid w:val="0"/>
              </w:rPr>
            </w:pPr>
            <w:r w:rsidRPr="00A25B79">
              <w:rPr>
                <w:rFonts w:cs="Arial"/>
                <w:b/>
                <w:snapToGrid w:val="0"/>
              </w:rPr>
              <w:t>Include</w:t>
            </w:r>
            <w:r w:rsidR="0095599A" w:rsidRPr="00A25B79">
              <w:rPr>
                <w:rFonts w:cs="Arial"/>
                <w:b/>
                <w:snapToGrid w:val="0"/>
              </w:rPr>
              <w:t>:</w:t>
            </w:r>
          </w:p>
          <w:p w14:paraId="58624E82" w14:textId="6D1A1A0D" w:rsidR="00A01039" w:rsidRPr="00A25B79" w:rsidRDefault="00A01039" w:rsidP="00AD309C">
            <w:pPr>
              <w:pStyle w:val="ListParagraph"/>
              <w:numPr>
                <w:ilvl w:val="0"/>
                <w:numId w:val="87"/>
              </w:numPr>
              <w:rPr>
                <w:rFonts w:cs="Arial"/>
                <w:lang w:eastAsia="ja-JP"/>
              </w:rPr>
            </w:pPr>
            <w:r w:rsidRPr="00A25B79">
              <w:rPr>
                <w:rFonts w:cs="Arial"/>
                <w:lang w:eastAsia="ja-JP"/>
              </w:rPr>
              <w:t xml:space="preserve">Medication orders entered into the CPOE system by </w:t>
            </w:r>
            <w:r w:rsidR="005874FE" w:rsidRPr="00A25B79">
              <w:rPr>
                <w:rFonts w:cs="Arial"/>
                <w:lang w:eastAsia="ja-JP"/>
              </w:rPr>
              <w:t xml:space="preserve">a </w:t>
            </w:r>
            <w:hyperlink w:anchor="Prescriber" w:history="1">
              <w:r w:rsidR="005874FE" w:rsidRPr="00A25B79">
                <w:rPr>
                  <w:rStyle w:val="Hyperlink"/>
                  <w:rFonts w:cs="Arial"/>
                  <w:b/>
                  <w:lang w:eastAsia="ja-JP"/>
                </w:rPr>
                <w:t>licensed prescriber</w:t>
              </w:r>
            </w:hyperlink>
          </w:p>
          <w:p w14:paraId="4E6AA645" w14:textId="5911F331" w:rsidR="0013687D" w:rsidRPr="00A25B79" w:rsidRDefault="0013687D" w:rsidP="00AD309C">
            <w:pPr>
              <w:pStyle w:val="ListParagraph"/>
              <w:numPr>
                <w:ilvl w:val="0"/>
                <w:numId w:val="87"/>
              </w:numPr>
              <w:rPr>
                <w:rFonts w:cs="Arial"/>
                <w:lang w:eastAsia="ja-JP"/>
              </w:rPr>
            </w:pPr>
            <w:r w:rsidRPr="00A25B79">
              <w:rPr>
                <w:rFonts w:cs="Arial"/>
                <w:lang w:eastAsia="ja-JP"/>
              </w:rPr>
              <w:t>In addition, the following types of medication orders entered in</w:t>
            </w:r>
            <w:r w:rsidR="000509CE">
              <w:rPr>
                <w:rFonts w:cs="Arial"/>
                <w:lang w:eastAsia="ja-JP"/>
              </w:rPr>
              <w:t xml:space="preserve"> </w:t>
            </w:r>
            <w:r w:rsidRPr="00A25B79">
              <w:rPr>
                <w:rFonts w:cs="Arial"/>
                <w:lang w:eastAsia="ja-JP"/>
              </w:rPr>
              <w:t xml:space="preserve">to a CPOE system by a </w:t>
            </w:r>
            <w:r w:rsidRPr="00A25B79">
              <w:rPr>
                <w:rFonts w:cs="Arial"/>
                <w:u w:val="single"/>
                <w:lang w:eastAsia="ja-JP"/>
              </w:rPr>
              <w:t xml:space="preserve">non-licensed </w:t>
            </w:r>
            <w:r w:rsidR="001E3026" w:rsidRPr="00A25B79">
              <w:rPr>
                <w:rFonts w:cs="Arial"/>
                <w:u w:val="single"/>
                <w:lang w:eastAsia="ja-JP"/>
              </w:rPr>
              <w:t>prescriber</w:t>
            </w:r>
            <w:r w:rsidRPr="00A25B79">
              <w:rPr>
                <w:rFonts w:cs="Arial"/>
                <w:lang w:eastAsia="ja-JP"/>
              </w:rPr>
              <w:t>, such as a nurse or pharmacist, can also be included:</w:t>
            </w:r>
          </w:p>
          <w:p w14:paraId="6C79851F" w14:textId="0A0226F4" w:rsidR="001C7A32" w:rsidRPr="00A25B79" w:rsidRDefault="003E6DBC" w:rsidP="00AD309C">
            <w:pPr>
              <w:pStyle w:val="ListParagraph"/>
              <w:numPr>
                <w:ilvl w:val="1"/>
                <w:numId w:val="87"/>
              </w:numPr>
              <w:rPr>
                <w:rFonts w:cs="Arial"/>
                <w:lang w:eastAsia="ja-JP"/>
              </w:rPr>
            </w:pPr>
            <w:hyperlink w:anchor="PerProtocol" w:history="1">
              <w:r w:rsidRPr="00A25B79">
                <w:rPr>
                  <w:rStyle w:val="Hyperlink"/>
                  <w:rFonts w:cs="Arial"/>
                  <w:lang w:eastAsia="ja-JP"/>
                </w:rPr>
                <w:t xml:space="preserve">Per protocol </w:t>
              </w:r>
              <w:r w:rsidR="0013687D" w:rsidRPr="00A25B79">
                <w:rPr>
                  <w:rStyle w:val="Hyperlink"/>
                  <w:rFonts w:cs="Arial"/>
                  <w:lang w:eastAsia="ja-JP"/>
                </w:rPr>
                <w:t xml:space="preserve">medication </w:t>
              </w:r>
              <w:r w:rsidRPr="00A25B79">
                <w:rPr>
                  <w:rStyle w:val="Hyperlink"/>
                  <w:rFonts w:cs="Arial"/>
                  <w:lang w:eastAsia="ja-JP"/>
                </w:rPr>
                <w:t>orders</w:t>
              </w:r>
            </w:hyperlink>
            <w:r w:rsidR="00977C2A" w:rsidRPr="00A25B79">
              <w:rPr>
                <w:rFonts w:cs="Arial"/>
                <w:lang w:eastAsia="ja-JP"/>
              </w:rPr>
              <w:t xml:space="preserve"> (i.e., medication orders with detailed guidance on how to administer, dose or adjust a medication)</w:t>
            </w:r>
            <w:r w:rsidR="001C7A32" w:rsidRPr="00A25B79">
              <w:rPr>
                <w:rFonts w:cs="Arial"/>
                <w:lang w:eastAsia="ja-JP"/>
              </w:rPr>
              <w:t xml:space="preserve"> approved by a medical committee</w:t>
            </w:r>
            <w:r w:rsidR="00977C2A" w:rsidRPr="00A25B79">
              <w:rPr>
                <w:rFonts w:cs="Arial"/>
                <w:lang w:eastAsia="ja-JP"/>
              </w:rPr>
              <w:t xml:space="preserve"> where the implementation of the protocol was authorized by a </w:t>
            </w:r>
            <w:hyperlink w:anchor="Prescriber" w:history="1">
              <w:r w:rsidR="00E62076" w:rsidRPr="00A25B79">
                <w:rPr>
                  <w:rStyle w:val="Hyperlink"/>
                  <w:rFonts w:cs="Arial"/>
                  <w:b/>
                  <w:lang w:eastAsia="ja-JP"/>
                </w:rPr>
                <w:t>licensed prescriber</w:t>
              </w:r>
            </w:hyperlink>
            <w:r w:rsidR="00337791" w:rsidRPr="00A25B79">
              <w:rPr>
                <w:rFonts w:cs="Arial"/>
                <w:lang w:eastAsia="ja-JP"/>
              </w:rPr>
              <w:t xml:space="preserve"> and orders</w:t>
            </w:r>
            <w:r w:rsidR="001C7A32" w:rsidRPr="00A25B79">
              <w:rPr>
                <w:rFonts w:cs="Arial"/>
                <w:lang w:eastAsia="ja-JP"/>
              </w:rPr>
              <w:t xml:space="preserve"> were initiated in the CPOE system.</w:t>
            </w:r>
          </w:p>
          <w:p w14:paraId="2BD6CE08" w14:textId="19B86475" w:rsidR="001C7A32" w:rsidRPr="00A25B79" w:rsidRDefault="001C7A32" w:rsidP="00AD309C">
            <w:pPr>
              <w:pStyle w:val="ListParagraph"/>
              <w:numPr>
                <w:ilvl w:val="1"/>
                <w:numId w:val="87"/>
              </w:numPr>
              <w:rPr>
                <w:rFonts w:cs="Arial"/>
                <w:lang w:eastAsia="ja-JP"/>
              </w:rPr>
            </w:pPr>
            <w:hyperlink w:anchor="StandingOrder" w:history="1">
              <w:r w:rsidRPr="00A25B79">
                <w:rPr>
                  <w:rStyle w:val="Hyperlink"/>
                  <w:rFonts w:cs="Arial"/>
                  <w:lang w:eastAsia="ja-JP"/>
                </w:rPr>
                <w:t>Standing medication orders</w:t>
              </w:r>
            </w:hyperlink>
            <w:r w:rsidRPr="00A25B79">
              <w:rPr>
                <w:rFonts w:cs="Arial"/>
                <w:lang w:eastAsia="ja-JP"/>
              </w:rPr>
              <w:t xml:space="preserve"> </w:t>
            </w:r>
            <w:r w:rsidR="002305D2" w:rsidRPr="00A25B79">
              <w:rPr>
                <w:rFonts w:cs="Arial"/>
                <w:lang w:eastAsia="ja-JP"/>
              </w:rPr>
              <w:t xml:space="preserve">(i.e., orders which can be initiated based on medical staff approval of a screening criteria and indication for all patients that meet the screening criteria) </w:t>
            </w:r>
            <w:r w:rsidRPr="00A25B79">
              <w:rPr>
                <w:rFonts w:cs="Arial"/>
                <w:lang w:eastAsia="ja-JP"/>
              </w:rPr>
              <w:t xml:space="preserve">approved by a medical committee that were initiated in the CPOE system. </w:t>
            </w:r>
          </w:p>
          <w:p w14:paraId="6AAAD6D4" w14:textId="016C3EF7" w:rsidR="008608C4" w:rsidRPr="00A25B79" w:rsidRDefault="002F1A9E" w:rsidP="00AD309C">
            <w:pPr>
              <w:pStyle w:val="ListParagraph"/>
              <w:numPr>
                <w:ilvl w:val="1"/>
                <w:numId w:val="87"/>
              </w:numPr>
              <w:rPr>
                <w:rFonts w:cs="Arial"/>
                <w:snapToGrid w:val="0"/>
              </w:rPr>
            </w:pPr>
            <w:r w:rsidRPr="00A25B79">
              <w:rPr>
                <w:rFonts w:cs="Arial"/>
                <w:lang w:eastAsia="ja-JP"/>
              </w:rPr>
              <w:t xml:space="preserve">Medication orders entered into the CPOE system </w:t>
            </w:r>
            <w:r w:rsidR="008608C4" w:rsidRPr="00A25B79">
              <w:rPr>
                <w:rFonts w:cs="Arial"/>
                <w:lang w:eastAsia="ja-JP"/>
              </w:rPr>
              <w:t xml:space="preserve">that </w:t>
            </w:r>
            <w:r w:rsidR="0013687D" w:rsidRPr="00A25B79">
              <w:rPr>
                <w:rFonts w:cs="Arial"/>
                <w:lang w:eastAsia="ja-JP"/>
              </w:rPr>
              <w:t xml:space="preserve">required </w:t>
            </w:r>
            <w:r w:rsidR="008608C4" w:rsidRPr="00A25B79">
              <w:rPr>
                <w:rFonts w:cs="Arial"/>
                <w:lang w:eastAsia="ja-JP"/>
              </w:rPr>
              <w:t xml:space="preserve">either verbal read back of alerts </w:t>
            </w:r>
            <w:r w:rsidR="00C540B0">
              <w:rPr>
                <w:rFonts w:cs="Arial"/>
                <w:lang w:eastAsia="ja-JP"/>
              </w:rPr>
              <w:t xml:space="preserve">to the licensed prescriber </w:t>
            </w:r>
            <w:r w:rsidR="008608C4" w:rsidRPr="00A25B79">
              <w:rPr>
                <w:rFonts w:cs="Arial"/>
                <w:lang w:eastAsia="ja-JP"/>
              </w:rPr>
              <w:t>or a co-signature by</w:t>
            </w:r>
            <w:r w:rsidR="00B64DF9" w:rsidRPr="00A25B79">
              <w:rPr>
                <w:rFonts w:cs="Arial"/>
                <w:lang w:eastAsia="ja-JP"/>
              </w:rPr>
              <w:t xml:space="preserve"> a</w:t>
            </w:r>
            <w:r w:rsidRPr="00A25B79">
              <w:rPr>
                <w:rFonts w:cs="Arial"/>
                <w:lang w:eastAsia="ja-JP"/>
              </w:rPr>
              <w:t xml:space="preserve"> licensed prescriber </w:t>
            </w:r>
            <w:r w:rsidR="008608C4" w:rsidRPr="00A25B79">
              <w:rPr>
                <w:rFonts w:cs="Arial"/>
                <w:u w:val="single"/>
                <w:lang w:eastAsia="ja-JP"/>
              </w:rPr>
              <w:t>prior to administration</w:t>
            </w:r>
            <w:r w:rsidR="008608C4" w:rsidRPr="00A25B79">
              <w:rPr>
                <w:rFonts w:cs="Arial"/>
                <w:lang w:eastAsia="ja-JP"/>
              </w:rPr>
              <w:t xml:space="preserve"> to ensure that the licensed prescriber </w:t>
            </w:r>
            <w:r w:rsidR="00F13C3D" w:rsidRPr="00A25B79">
              <w:rPr>
                <w:rFonts w:cs="Arial"/>
                <w:lang w:eastAsia="ja-JP"/>
              </w:rPr>
              <w:t>wa</w:t>
            </w:r>
            <w:r w:rsidR="008608C4" w:rsidRPr="00A25B79">
              <w:rPr>
                <w:rFonts w:cs="Arial"/>
                <w:lang w:eastAsia="ja-JP"/>
              </w:rPr>
              <w:t xml:space="preserve">s made aware of all advice/information generated by the CPOE system. </w:t>
            </w:r>
          </w:p>
          <w:p w14:paraId="37007F9F" w14:textId="335ED61C" w:rsidR="0095599A" w:rsidRPr="000D01DA" w:rsidRDefault="0013687D" w:rsidP="00172407">
            <w:pPr>
              <w:spacing w:before="120"/>
              <w:rPr>
                <w:rFonts w:cs="Arial"/>
                <w:bCs/>
                <w:i/>
                <w:iCs/>
                <w:snapToGrid w:val="0"/>
              </w:rPr>
            </w:pPr>
            <w:r w:rsidRPr="00A25B79">
              <w:rPr>
                <w:rFonts w:cs="Arial"/>
                <w:b/>
                <w:snapToGrid w:val="0"/>
              </w:rPr>
              <w:t>Exclude</w:t>
            </w:r>
            <w:r w:rsidR="0095599A" w:rsidRPr="00A25B79">
              <w:rPr>
                <w:rFonts w:cs="Arial"/>
                <w:b/>
                <w:snapToGrid w:val="0"/>
              </w:rPr>
              <w:t xml:space="preserve">: </w:t>
            </w:r>
            <w:r w:rsidR="000D01DA">
              <w:rPr>
                <w:rFonts w:cs="Arial"/>
                <w:b/>
                <w:snapToGrid w:val="0"/>
              </w:rPr>
              <w:t xml:space="preserve">                                                                                                                 </w:t>
            </w:r>
          </w:p>
          <w:p w14:paraId="1DE5AEC0" w14:textId="516F1558" w:rsidR="001C732D" w:rsidRDefault="001C732D" w:rsidP="00AD309C">
            <w:pPr>
              <w:pStyle w:val="ListParagraph"/>
              <w:numPr>
                <w:ilvl w:val="0"/>
                <w:numId w:val="88"/>
              </w:numPr>
              <w:rPr>
                <w:rFonts w:cs="Arial"/>
              </w:rPr>
            </w:pPr>
            <w:r w:rsidRPr="001C732D">
              <w:rPr>
                <w:rFonts w:cs="Arial"/>
              </w:rPr>
              <w:t xml:space="preserve">Medications </w:t>
            </w:r>
            <w:r w:rsidRPr="002F266A">
              <w:rPr>
                <w:rFonts w:cs="Arial"/>
              </w:rPr>
              <w:t>ordered verbally</w:t>
            </w:r>
            <w:r w:rsidR="007670D5" w:rsidRPr="002F266A">
              <w:rPr>
                <w:rFonts w:cs="Arial"/>
              </w:rPr>
              <w:t>,</w:t>
            </w:r>
            <w:r w:rsidRPr="002F266A">
              <w:rPr>
                <w:rFonts w:cs="Arial"/>
              </w:rPr>
              <w:t xml:space="preserve"> </w:t>
            </w:r>
            <w:r w:rsidR="00C72EB9" w:rsidRPr="002F266A">
              <w:rPr>
                <w:rFonts w:cs="Arial"/>
                <w:snapToGrid w:val="0"/>
              </w:rPr>
              <w:t xml:space="preserve">via </w:t>
            </w:r>
            <w:r w:rsidR="00DB110A" w:rsidRPr="002F266A">
              <w:rPr>
                <w:rFonts w:eastAsia="Arial" w:cs="Arial"/>
              </w:rPr>
              <w:t>a secure texting platform</w:t>
            </w:r>
            <w:r w:rsidR="00041CB9" w:rsidRPr="002F266A">
              <w:rPr>
                <w:rFonts w:eastAsia="Arial" w:cs="Arial"/>
              </w:rPr>
              <w:t>,</w:t>
            </w:r>
            <w:r w:rsidR="00041CB9" w:rsidRPr="002F266A">
              <w:rPr>
                <w:rFonts w:cs="Arial"/>
              </w:rPr>
              <w:t xml:space="preserve"> or</w:t>
            </w:r>
            <w:r w:rsidRPr="002F266A">
              <w:rPr>
                <w:rFonts w:cs="Arial"/>
              </w:rPr>
              <w:t xml:space="preserve"> via paper. </w:t>
            </w:r>
          </w:p>
          <w:p w14:paraId="37B01117" w14:textId="74773196" w:rsidR="0013687D" w:rsidRPr="00A25B79" w:rsidRDefault="00B64DF9" w:rsidP="00AD309C">
            <w:pPr>
              <w:pStyle w:val="ListParagraph"/>
              <w:numPr>
                <w:ilvl w:val="0"/>
                <w:numId w:val="88"/>
              </w:numPr>
              <w:rPr>
                <w:rFonts w:cs="Arial"/>
              </w:rPr>
            </w:pPr>
            <w:r w:rsidRPr="00A25B79">
              <w:rPr>
                <w:rFonts w:cs="Arial"/>
              </w:rPr>
              <w:t xml:space="preserve">Medication orders entered </w:t>
            </w:r>
            <w:r w:rsidR="001C732D" w:rsidRPr="00A25B79">
              <w:rPr>
                <w:rFonts w:cs="Arial"/>
              </w:rPr>
              <w:t>in</w:t>
            </w:r>
            <w:r w:rsidR="001C732D">
              <w:rPr>
                <w:rFonts w:cs="Arial"/>
              </w:rPr>
              <w:t>to</w:t>
            </w:r>
            <w:r w:rsidRPr="00A25B79">
              <w:rPr>
                <w:rFonts w:cs="Arial"/>
              </w:rPr>
              <w:t xml:space="preserve"> the CPOE system by a non-licensed prescriber</w:t>
            </w:r>
            <w:r w:rsidR="0013687D" w:rsidRPr="00A25B79">
              <w:rPr>
                <w:rFonts w:cs="Arial"/>
              </w:rPr>
              <w:t>, such as a nurse or pharmacist,</w:t>
            </w:r>
            <w:r w:rsidRPr="00A25B79">
              <w:rPr>
                <w:rFonts w:cs="Arial"/>
              </w:rPr>
              <w:t xml:space="preserve"> that </w:t>
            </w:r>
            <w:r w:rsidR="00DD2422" w:rsidRPr="00A25B79">
              <w:rPr>
                <w:rFonts w:cs="Arial"/>
                <w:lang w:eastAsia="ja-JP"/>
              </w:rPr>
              <w:t xml:space="preserve">were NOT per protocol </w:t>
            </w:r>
            <w:r w:rsidR="00A24380">
              <w:rPr>
                <w:rFonts w:cs="Arial"/>
                <w:lang w:eastAsia="ja-JP"/>
              </w:rPr>
              <w:t xml:space="preserve">medication orders </w:t>
            </w:r>
            <w:r w:rsidR="00DD2422" w:rsidRPr="00A25B79">
              <w:rPr>
                <w:rFonts w:cs="Arial"/>
                <w:lang w:eastAsia="ja-JP"/>
              </w:rPr>
              <w:t>or stand</w:t>
            </w:r>
            <w:r w:rsidR="00A24380">
              <w:rPr>
                <w:rFonts w:cs="Arial"/>
                <w:lang w:eastAsia="ja-JP"/>
              </w:rPr>
              <w:t>ing medication</w:t>
            </w:r>
            <w:r w:rsidR="00DD2422" w:rsidRPr="00A25B79">
              <w:rPr>
                <w:rFonts w:cs="Arial"/>
                <w:lang w:eastAsia="ja-JP"/>
              </w:rPr>
              <w:t xml:space="preserve"> order</w:t>
            </w:r>
            <w:r w:rsidR="00A24380">
              <w:rPr>
                <w:rFonts w:cs="Arial"/>
                <w:lang w:eastAsia="ja-JP"/>
              </w:rPr>
              <w:t>s</w:t>
            </w:r>
            <w:r w:rsidR="0093747F" w:rsidRPr="00A25B79">
              <w:rPr>
                <w:rFonts w:cs="Arial"/>
                <w:lang w:eastAsia="ja-JP"/>
              </w:rPr>
              <w:t>.</w:t>
            </w:r>
          </w:p>
          <w:p w14:paraId="788C81F5" w14:textId="2C627A75" w:rsidR="00BE5587" w:rsidRPr="00A25B79" w:rsidRDefault="0013687D" w:rsidP="00AD309C">
            <w:pPr>
              <w:pStyle w:val="ListParagraph"/>
              <w:numPr>
                <w:ilvl w:val="0"/>
                <w:numId w:val="88"/>
              </w:numPr>
              <w:rPr>
                <w:rFonts w:cs="Arial"/>
              </w:rPr>
            </w:pPr>
            <w:r w:rsidRPr="00A25B79">
              <w:rPr>
                <w:rFonts w:cs="Arial"/>
              </w:rPr>
              <w:t xml:space="preserve">Medication orders entered into the CPOE system by a non-licensed prescriber, such as a nurse or pharmacist, that </w:t>
            </w:r>
            <w:r w:rsidR="00F13C3D" w:rsidRPr="00A25B79">
              <w:rPr>
                <w:rFonts w:cs="Arial"/>
              </w:rPr>
              <w:t>DID</w:t>
            </w:r>
            <w:r w:rsidR="00B64DF9" w:rsidRPr="00A25B79">
              <w:rPr>
                <w:rFonts w:cs="Arial"/>
              </w:rPr>
              <w:t xml:space="preserve"> NOT require </w:t>
            </w:r>
            <w:r w:rsidR="00B64DF9" w:rsidRPr="00A25B79">
              <w:rPr>
                <w:rFonts w:cs="Arial"/>
                <w:lang w:eastAsia="ja-JP"/>
              </w:rPr>
              <w:t>either verbal read back of alerts or a co-signature of a</w:t>
            </w:r>
            <w:r w:rsidR="009D481F" w:rsidRPr="00A25B79">
              <w:rPr>
                <w:rFonts w:cs="Arial"/>
                <w:lang w:eastAsia="ja-JP"/>
              </w:rPr>
              <w:t xml:space="preserve"> licensed prescriber</w:t>
            </w:r>
            <w:r w:rsidR="00B64DF9" w:rsidRPr="00A25B79">
              <w:rPr>
                <w:rFonts w:cs="Arial"/>
                <w:lang w:eastAsia="ja-JP"/>
              </w:rPr>
              <w:t xml:space="preserve"> prior to administration. </w:t>
            </w:r>
          </w:p>
        </w:tc>
      </w:tr>
    </w:tbl>
    <w:p w14:paraId="136F2958" w14:textId="77777777" w:rsidR="0084408C" w:rsidRDefault="0084408C"/>
    <w:p w14:paraId="2DB4312C" w14:textId="651998DB" w:rsidR="00BB7C6E" w:rsidRDefault="0084408C">
      <w:r w:rsidRPr="009A5185">
        <w:rPr>
          <w:rFonts w:cs="Arial"/>
          <w:color w:val="000000"/>
        </w:rPr>
        <w:t>See</w:t>
      </w:r>
      <w:r>
        <w:rPr>
          <w:rFonts w:cs="Arial"/>
          <w:color w:val="000000"/>
        </w:rPr>
        <w:t xml:space="preserve"> </w:t>
      </w:r>
      <w:hyperlink w:anchor="_Computerized_Physician_Order" w:history="1">
        <w:r>
          <w:rPr>
            <w:rStyle w:val="Hyperlink"/>
            <w:rFonts w:cs="Arial"/>
          </w:rPr>
          <w:t>FAQs</w:t>
        </w:r>
      </w:hyperlink>
      <w:r w:rsidRPr="009A5185">
        <w:rPr>
          <w:rFonts w:cs="Arial"/>
          <w:color w:val="000000"/>
        </w:rPr>
        <w:t xml:space="preserve"> for additional information about responding to</w:t>
      </w:r>
      <w:r>
        <w:rPr>
          <w:rFonts w:cs="Arial"/>
          <w:color w:val="000000"/>
        </w:rPr>
        <w:t xml:space="preserve"> the</w:t>
      </w:r>
      <w:r w:rsidRPr="009A5185">
        <w:rPr>
          <w:rFonts w:cs="Arial"/>
          <w:color w:val="000000"/>
        </w:rPr>
        <w:t xml:space="preserve"> questions in this section.</w:t>
      </w:r>
      <w:r w:rsidR="00BB7C6E">
        <w:br w:type="page"/>
      </w:r>
    </w:p>
    <w:p w14:paraId="5F207F38" w14:textId="1882CD22" w:rsidR="00CF7851" w:rsidRDefault="00CF7851" w:rsidP="00AB5B80">
      <w:pPr>
        <w:pStyle w:val="Heading3"/>
      </w:pPr>
      <w:bookmarkStart w:id="194" w:name="_Bar_Code_Medication_1"/>
      <w:bookmarkStart w:id="195" w:name="_Ref123646692"/>
      <w:bookmarkStart w:id="196" w:name="_Toc225877698"/>
      <w:bookmarkEnd w:id="194"/>
      <w:r>
        <w:lastRenderedPageBreak/>
        <w:t xml:space="preserve">Bar Code Medication Administration (BCMA) </w:t>
      </w:r>
      <w:bookmarkEnd w:id="195"/>
      <w:r w:rsidR="00B078B4">
        <w:t>Measure Specifications</w:t>
      </w:r>
      <w:bookmarkEnd w:id="196"/>
    </w:p>
    <w:p w14:paraId="192A4795" w14:textId="00DB687F" w:rsidR="00CF7851" w:rsidRPr="00D36222" w:rsidRDefault="00CF7851" w:rsidP="0093058B"/>
    <w:p w14:paraId="2071CE23" w14:textId="3E38E768" w:rsidR="00FA374A" w:rsidRPr="00EF61CD" w:rsidRDefault="00CF7851" w:rsidP="00EF61CD">
      <w:pPr>
        <w:spacing w:after="120"/>
        <w:rPr>
          <w:rFonts w:cs="Arial"/>
          <w:snapToGrid w:val="0"/>
        </w:rPr>
      </w:pPr>
      <w:r w:rsidRPr="009A5185">
        <w:rPr>
          <w:rFonts w:cs="Arial"/>
          <w:b/>
          <w:color w:val="FF0000"/>
          <w:lang w:eastAsia="ja-JP"/>
        </w:rPr>
        <w:t xml:space="preserve">Important Note: </w:t>
      </w:r>
      <w:r w:rsidRPr="009A5185">
        <w:rPr>
          <w:rFonts w:cs="Arial"/>
          <w:snapToGrid w:val="0"/>
        </w:rPr>
        <w:t xml:space="preserve">Hospitals that share a </w:t>
      </w:r>
      <w:r>
        <w:rPr>
          <w:rFonts w:cs="Arial"/>
          <w:snapToGrid w:val="0"/>
        </w:rPr>
        <w:t>CMS Certification Number</w:t>
      </w:r>
      <w:r w:rsidRPr="009A5185">
        <w:rPr>
          <w:rFonts w:cs="Arial"/>
          <w:snapToGrid w:val="0"/>
        </w:rPr>
        <w:t xml:space="preserve"> are required to report by facility. Please carefully review </w:t>
      </w:r>
      <w:hyperlink r:id="rId181" w:history="1">
        <w:r w:rsidRPr="009A5185">
          <w:rPr>
            <w:rStyle w:val="Hyperlink"/>
            <w:rFonts w:cs="Arial"/>
            <w:snapToGrid w:val="0"/>
          </w:rPr>
          <w:t>Leapfrog’s Multi-Campus Reporting Policy</w:t>
        </w:r>
      </w:hyperlink>
      <w:r w:rsidRPr="009A5185">
        <w:rPr>
          <w:rFonts w:cs="Arial"/>
          <w:snapToGrid w:val="0"/>
        </w:rPr>
        <w:t>.</w:t>
      </w:r>
    </w:p>
    <w:tbl>
      <w:tblPr>
        <w:tblStyle w:val="TableGrid"/>
        <w:tblW w:w="9445" w:type="dxa"/>
        <w:tblLook w:val="04A0" w:firstRow="1" w:lastRow="0" w:firstColumn="1" w:lastColumn="0" w:noHBand="0" w:noVBand="1"/>
      </w:tblPr>
      <w:tblGrid>
        <w:gridCol w:w="9445"/>
      </w:tblGrid>
      <w:tr w:rsidR="003C1039" w14:paraId="16804F6A" w14:textId="77777777" w:rsidTr="00D36222">
        <w:trPr>
          <w:trHeight w:val="288"/>
        </w:trPr>
        <w:tc>
          <w:tcPr>
            <w:tcW w:w="9445" w:type="dxa"/>
            <w:vAlign w:val="center"/>
          </w:tcPr>
          <w:p w14:paraId="7EAB8E55" w14:textId="59F4D3B7" w:rsidR="003C1039" w:rsidRPr="00943EE6" w:rsidRDefault="003C1039" w:rsidP="00245AE3">
            <w:pPr>
              <w:rPr>
                <w:rFonts w:cs="Arial"/>
                <w:bCs/>
                <w:snapToGrid w:val="0"/>
              </w:rPr>
            </w:pPr>
            <w:r>
              <w:rPr>
                <w:rFonts w:cs="Arial"/>
                <w:b/>
                <w:snapToGrid w:val="0"/>
              </w:rPr>
              <w:t xml:space="preserve">Source: </w:t>
            </w:r>
            <w:r>
              <w:rPr>
                <w:rFonts w:cs="Arial"/>
                <w:bCs/>
                <w:snapToGrid w:val="0"/>
              </w:rPr>
              <w:t>The Leapfrog Group</w:t>
            </w:r>
          </w:p>
        </w:tc>
      </w:tr>
      <w:tr w:rsidR="00CF7851" w14:paraId="76BD7D42" w14:textId="77777777" w:rsidTr="00D36222">
        <w:trPr>
          <w:trHeight w:val="288"/>
        </w:trPr>
        <w:tc>
          <w:tcPr>
            <w:tcW w:w="9445" w:type="dxa"/>
            <w:vAlign w:val="center"/>
          </w:tcPr>
          <w:p w14:paraId="3ADB1838" w14:textId="7C2B6DDD" w:rsidR="00CF7851" w:rsidRPr="008206E1" w:rsidRDefault="00CF7851" w:rsidP="00245AE3">
            <w:pPr>
              <w:rPr>
                <w:rFonts w:cs="Arial"/>
                <w:snapToGrid w:val="0"/>
              </w:rPr>
            </w:pPr>
            <w:r w:rsidRPr="009A5185">
              <w:rPr>
                <w:rFonts w:cs="Arial"/>
                <w:b/>
                <w:snapToGrid w:val="0"/>
              </w:rPr>
              <w:t>Reporting Period:</w:t>
            </w:r>
            <w:r w:rsidRPr="009A5185">
              <w:rPr>
                <w:rFonts w:cs="Arial"/>
                <w:snapToGrid w:val="0"/>
              </w:rPr>
              <w:t xml:space="preserve"> </w:t>
            </w:r>
            <w:r w:rsidR="008206E1">
              <w:rPr>
                <w:rFonts w:cs="Arial"/>
                <w:snapToGrid w:val="0"/>
              </w:rPr>
              <w:t>T</w:t>
            </w:r>
            <w:r w:rsidRPr="009A5185">
              <w:rPr>
                <w:rFonts w:cs="Arial"/>
                <w:snapToGrid w:val="0"/>
              </w:rPr>
              <w:t>he latest 3-month period prior to the submission of this section of the Survey.</w:t>
            </w:r>
          </w:p>
        </w:tc>
      </w:tr>
      <w:tr w:rsidR="000461DF" w14:paraId="51328327" w14:textId="77777777" w:rsidTr="00D36222">
        <w:trPr>
          <w:trHeight w:val="288"/>
        </w:trPr>
        <w:tc>
          <w:tcPr>
            <w:tcW w:w="9445" w:type="dxa"/>
            <w:vAlign w:val="center"/>
          </w:tcPr>
          <w:p w14:paraId="12DC286D" w14:textId="2E547901" w:rsidR="00B64B5B" w:rsidRDefault="00B64B5B" w:rsidP="000461DF">
            <w:pPr>
              <w:rPr>
                <w:rFonts w:cs="Arial"/>
                <w:bCs/>
              </w:rPr>
            </w:pPr>
            <w:r>
              <w:rPr>
                <w:rFonts w:cs="Arial"/>
                <w:b/>
              </w:rPr>
              <w:t xml:space="preserve">Included </w:t>
            </w:r>
            <w:r w:rsidR="0093370F">
              <w:rPr>
                <w:rFonts w:cs="Arial"/>
                <w:b/>
              </w:rPr>
              <w:t xml:space="preserve">Adult and/or Pediatric </w:t>
            </w:r>
            <w:r w:rsidR="000461DF">
              <w:rPr>
                <w:rFonts w:cs="Arial"/>
                <w:b/>
              </w:rPr>
              <w:t>Units</w:t>
            </w:r>
            <w:r>
              <w:rPr>
                <w:rFonts w:cs="Arial"/>
                <w:b/>
              </w:rPr>
              <w:t>:</w:t>
            </w:r>
          </w:p>
          <w:p w14:paraId="11EB4161" w14:textId="1CA1A773" w:rsidR="00DA734E" w:rsidRPr="00581C2A" w:rsidRDefault="00DA734E" w:rsidP="00AD309C">
            <w:pPr>
              <w:pStyle w:val="ListParagraph"/>
              <w:numPr>
                <w:ilvl w:val="0"/>
                <w:numId w:val="384"/>
              </w:numPr>
              <w:spacing w:before="120"/>
              <w:rPr>
                <w:rStyle w:val="Hyperlink"/>
                <w:rFonts w:cs="Arial"/>
                <w:snapToGrid w:val="0"/>
                <w:color w:val="000000"/>
                <w:u w:val="none"/>
              </w:rPr>
            </w:pPr>
            <w:hyperlink w:anchor="generalmedicalsurgicalandneuroicu" w:history="1">
              <w:r w:rsidRPr="00A577A6">
                <w:rPr>
                  <w:rStyle w:val="Hyperlink"/>
                </w:rPr>
                <w:t>General Medica</w:t>
              </w:r>
              <w:r w:rsidR="00FC31BF">
                <w:rPr>
                  <w:rStyle w:val="Hyperlink"/>
                </w:rPr>
                <w:t>l</w:t>
              </w:r>
              <w:r w:rsidR="00BD44A2">
                <w:rPr>
                  <w:rStyle w:val="Hyperlink"/>
                </w:rPr>
                <w:t>,</w:t>
              </w:r>
              <w:r w:rsidR="00FC31BF">
                <w:rPr>
                  <w:rStyle w:val="Hyperlink"/>
                </w:rPr>
                <w:t xml:space="preserve"> </w:t>
              </w:r>
              <w:r w:rsidRPr="00A577A6">
                <w:rPr>
                  <w:rStyle w:val="Hyperlink"/>
                </w:rPr>
                <w:t>Surgical</w:t>
              </w:r>
              <w:r w:rsidR="00BD44A2">
                <w:rPr>
                  <w:rStyle w:val="Hyperlink"/>
                </w:rPr>
                <w:t>, Medical/Surgical</w:t>
              </w:r>
              <w:r w:rsidR="00F1310A">
                <w:rPr>
                  <w:rStyle w:val="Hyperlink"/>
                </w:rPr>
                <w:t>,</w:t>
              </w:r>
              <w:r w:rsidRPr="00A577A6">
                <w:rPr>
                  <w:rStyle w:val="Hyperlink"/>
                </w:rPr>
                <w:t xml:space="preserve"> Neuro</w:t>
              </w:r>
            </w:hyperlink>
            <w:r w:rsidR="00A577A6" w:rsidRPr="003301F3">
              <w:rPr>
                <w:vertAlign w:val="superscript"/>
              </w:rPr>
              <w:t>14</w:t>
            </w:r>
            <w:r>
              <w:rPr>
                <w:rFonts w:cs="Arial"/>
              </w:rPr>
              <w:t xml:space="preserve">, </w:t>
            </w:r>
            <w:hyperlink w:anchor="neonatalICU" w:history="1">
              <w:r w:rsidRPr="00A577A6">
                <w:rPr>
                  <w:rStyle w:val="Hyperlink"/>
                  <w:rFonts w:cs="Arial"/>
                </w:rPr>
                <w:t>Neonatal</w:t>
              </w:r>
            </w:hyperlink>
            <w:r w:rsidR="00A577A6" w:rsidRPr="003301F3">
              <w:rPr>
                <w:rFonts w:cs="Arial"/>
                <w:vertAlign w:val="superscript"/>
              </w:rPr>
              <w:t>1</w:t>
            </w:r>
            <w:r w:rsidR="00A577A6" w:rsidRPr="003301F3">
              <w:rPr>
                <w:vertAlign w:val="superscript"/>
              </w:rPr>
              <w:t>7</w:t>
            </w:r>
            <w:r>
              <w:rPr>
                <w:rFonts w:cs="Arial"/>
              </w:rPr>
              <w:t xml:space="preserve">, </w:t>
            </w:r>
            <w:r w:rsidR="000F1D89">
              <w:rPr>
                <w:rFonts w:cs="Arial"/>
              </w:rPr>
              <w:t xml:space="preserve">or </w:t>
            </w:r>
            <w:r>
              <w:rPr>
                <w:rFonts w:cs="Arial"/>
              </w:rPr>
              <w:t>Specialty ICUs</w:t>
            </w:r>
          </w:p>
          <w:p w14:paraId="0937DA78" w14:textId="2CCCD278" w:rsidR="00DA734E" w:rsidRPr="00E75BD3" w:rsidRDefault="00DA734E" w:rsidP="00AD309C">
            <w:pPr>
              <w:pStyle w:val="ListParagraph"/>
              <w:numPr>
                <w:ilvl w:val="0"/>
                <w:numId w:val="384"/>
              </w:numPr>
              <w:spacing w:before="120"/>
              <w:rPr>
                <w:rStyle w:val="Hyperlink"/>
                <w:rFonts w:cs="Arial"/>
                <w:snapToGrid w:val="0"/>
                <w:color w:val="000000"/>
                <w:u w:val="none"/>
              </w:rPr>
            </w:pPr>
            <w:hyperlink w:anchor="MedicalandorSurgicalUnits" w:history="1">
              <w:r w:rsidRPr="009A5185">
                <w:rPr>
                  <w:rStyle w:val="Hyperlink"/>
                  <w:rFonts w:cs="Arial"/>
                </w:rPr>
                <w:t>Medical</w:t>
              </w:r>
              <w:r w:rsidR="00832CEB">
                <w:rPr>
                  <w:rStyle w:val="Hyperlink"/>
                  <w:rFonts w:cs="Arial"/>
                </w:rPr>
                <w:t>,</w:t>
              </w:r>
              <w:r w:rsidRPr="009A5185">
                <w:rPr>
                  <w:rStyle w:val="Hyperlink"/>
                  <w:rFonts w:cs="Arial"/>
                </w:rPr>
                <w:t xml:space="preserve"> Surgical</w:t>
              </w:r>
              <w:r w:rsidR="00832CEB">
                <w:rPr>
                  <w:rStyle w:val="Hyperlink"/>
                  <w:rFonts w:cs="Arial"/>
                </w:rPr>
                <w:t xml:space="preserve">, </w:t>
              </w:r>
              <w:r w:rsidR="003763E7">
                <w:rPr>
                  <w:rStyle w:val="Hyperlink"/>
                  <w:rFonts w:cs="Arial"/>
                </w:rPr>
                <w:t xml:space="preserve">or </w:t>
              </w:r>
              <w:r w:rsidR="00832CEB">
                <w:rPr>
                  <w:rStyle w:val="Hyperlink"/>
                  <w:rFonts w:cs="Arial"/>
                </w:rPr>
                <w:t>Medical/Surgical</w:t>
              </w:r>
              <w:r w:rsidR="003763E7">
                <w:rPr>
                  <w:rStyle w:val="Hyperlink"/>
                  <w:rFonts w:cs="Arial"/>
                </w:rPr>
                <w:t xml:space="preserve"> </w:t>
              </w:r>
              <w:r w:rsidRPr="009A5185">
                <w:rPr>
                  <w:rStyle w:val="Hyperlink"/>
                  <w:rFonts w:cs="Arial"/>
                </w:rPr>
                <w:t>Units (including telemetry units)</w:t>
              </w:r>
            </w:hyperlink>
            <w:r>
              <w:rPr>
                <w:rStyle w:val="Hyperlink"/>
                <w:rFonts w:cs="Arial"/>
              </w:rPr>
              <w:fldChar w:fldCharType="begin"/>
            </w:r>
            <w:r>
              <w:rPr>
                <w:rStyle w:val="Hyperlink"/>
                <w:rFonts w:cs="Arial"/>
              </w:rPr>
              <w:instrText xml:space="preserve"> NOTEREF _Ref158623355 \f \h </w:instrText>
            </w:r>
            <w:r>
              <w:rPr>
                <w:rStyle w:val="Hyperlink"/>
                <w:rFonts w:cs="Arial"/>
              </w:rPr>
            </w:r>
            <w:r>
              <w:rPr>
                <w:rStyle w:val="Hyperlink"/>
                <w:rFonts w:cs="Arial"/>
              </w:rPr>
              <w:fldChar w:fldCharType="separate"/>
            </w:r>
            <w:r w:rsidR="007D53A2" w:rsidRPr="00F06B87">
              <w:rPr>
                <w:rStyle w:val="EndnoteReference"/>
              </w:rPr>
              <w:t>19</w:t>
            </w:r>
            <w:r>
              <w:rPr>
                <w:rStyle w:val="Hyperlink"/>
                <w:rFonts w:cs="Arial"/>
              </w:rPr>
              <w:fldChar w:fldCharType="end"/>
            </w:r>
            <w:r>
              <w:rPr>
                <w:rStyle w:val="Hyperlink"/>
                <w:rFonts w:ascii="ZWAdobeF" w:hAnsi="ZWAdobeF" w:cs="ZWAdobeF"/>
                <w:color w:val="auto"/>
                <w:sz w:val="2"/>
                <w:szCs w:val="2"/>
                <w:u w:val="none"/>
              </w:rPr>
              <w:t xml:space="preserve">18F </w:t>
            </w:r>
            <w:r>
              <w:rPr>
                <w:rStyle w:val="Hyperlink"/>
                <w:rFonts w:cs="Arial"/>
                <w:color w:val="auto"/>
                <w:u w:val="none"/>
              </w:rPr>
              <w:t>,</w:t>
            </w:r>
          </w:p>
          <w:p w14:paraId="6950073C" w14:textId="035827F3" w:rsidR="0060702B" w:rsidRPr="004F4A10" w:rsidRDefault="0060702B" w:rsidP="00AD309C">
            <w:pPr>
              <w:pStyle w:val="ListParagraph"/>
              <w:numPr>
                <w:ilvl w:val="0"/>
                <w:numId w:val="384"/>
              </w:numPr>
              <w:spacing w:before="120"/>
              <w:rPr>
                <w:rFonts w:cs="Arial"/>
                <w:snapToGrid w:val="0"/>
                <w:color w:val="000000"/>
              </w:rPr>
            </w:pPr>
            <w:hyperlink w:anchor="stepdown_progressiveunits_endnote20" w:history="1">
              <w:r w:rsidRPr="0060702B">
                <w:rPr>
                  <w:rStyle w:val="Hyperlink"/>
                </w:rPr>
                <w:t>Step-down/Progressive Units</w:t>
              </w:r>
            </w:hyperlink>
            <w:r w:rsidRPr="003301F3">
              <w:rPr>
                <w:rStyle w:val="Hyperlink"/>
                <w:color w:val="auto"/>
                <w:u w:val="none"/>
                <w:vertAlign w:val="superscript"/>
              </w:rPr>
              <w:t>20</w:t>
            </w:r>
          </w:p>
          <w:p w14:paraId="0479FE43" w14:textId="4E2082E8" w:rsidR="000461DF" w:rsidRPr="00493567" w:rsidRDefault="000461DF" w:rsidP="00AD309C">
            <w:pPr>
              <w:pStyle w:val="ListParagraph"/>
              <w:numPr>
                <w:ilvl w:val="0"/>
                <w:numId w:val="384"/>
              </w:numPr>
              <w:spacing w:before="120"/>
              <w:rPr>
                <w:rFonts w:cs="Arial"/>
                <w:snapToGrid w:val="0"/>
                <w:color w:val="000000"/>
              </w:rPr>
            </w:pPr>
            <w:hyperlink w:anchor="LaborandDeliveryUnits" w:history="1">
              <w:r w:rsidRPr="00B04A67">
                <w:rPr>
                  <w:rStyle w:val="Hyperlink"/>
                  <w:rFonts w:cs="Arial"/>
                </w:rPr>
                <w:t>Labor and Delivery Unit</w:t>
              </w:r>
            </w:hyperlink>
            <w:r w:rsidR="0096213A" w:rsidRPr="003301F3">
              <w:rPr>
                <w:rFonts w:cs="Arial"/>
                <w:vertAlign w:val="superscript"/>
              </w:rPr>
              <w:t>2</w:t>
            </w:r>
            <w:r w:rsidR="0096213A" w:rsidRPr="003301F3">
              <w:rPr>
                <w:vertAlign w:val="superscript"/>
              </w:rPr>
              <w:t>1</w:t>
            </w:r>
          </w:p>
          <w:p w14:paraId="67D9C575" w14:textId="04A3F8DC" w:rsidR="000461DF" w:rsidRPr="008863FC" w:rsidRDefault="000461DF" w:rsidP="00AD309C">
            <w:pPr>
              <w:pStyle w:val="ListParagraph"/>
              <w:numPr>
                <w:ilvl w:val="0"/>
                <w:numId w:val="384"/>
              </w:numPr>
              <w:spacing w:before="120"/>
              <w:rPr>
                <w:rFonts w:cs="Arial"/>
                <w:snapToGrid w:val="0"/>
                <w:color w:val="000000"/>
              </w:rPr>
            </w:pPr>
            <w:hyperlink w:anchor="pacusendnote" w:history="1">
              <w:r w:rsidRPr="00CF76B1">
                <w:rPr>
                  <w:rStyle w:val="Hyperlink"/>
                  <w:rFonts w:cs="Arial"/>
                </w:rPr>
                <w:t>Pre-operative and Post-anesthesia Care Units</w:t>
              </w:r>
            </w:hyperlink>
            <w:r w:rsidRPr="003301F3">
              <w:rPr>
                <w:rStyle w:val="Hyperlink"/>
                <w:rFonts w:cs="Arial"/>
                <w:u w:val="none"/>
              </w:rPr>
              <w:fldChar w:fldCharType="begin"/>
            </w:r>
            <w:r w:rsidRPr="003301F3">
              <w:rPr>
                <w:rStyle w:val="Hyperlink"/>
                <w:rFonts w:cs="Arial"/>
                <w:u w:val="none"/>
              </w:rPr>
              <w:instrText xml:space="preserve"> NOTEREF _Ref158623544 \f \h  \* MERGEFORMAT </w:instrText>
            </w:r>
            <w:r w:rsidRPr="003301F3">
              <w:rPr>
                <w:rStyle w:val="Hyperlink"/>
                <w:rFonts w:cs="Arial"/>
                <w:u w:val="none"/>
              </w:rPr>
            </w:r>
            <w:r w:rsidRPr="003301F3">
              <w:rPr>
                <w:rStyle w:val="Hyperlink"/>
                <w:rFonts w:cs="Arial"/>
                <w:u w:val="none"/>
              </w:rPr>
              <w:fldChar w:fldCharType="separate"/>
            </w:r>
            <w:r w:rsidR="007D53A2" w:rsidRPr="00F06B87">
              <w:rPr>
                <w:rStyle w:val="EndnoteReference"/>
              </w:rPr>
              <w:t>22</w:t>
            </w:r>
            <w:r w:rsidRPr="003301F3">
              <w:rPr>
                <w:rStyle w:val="Hyperlink"/>
                <w:rFonts w:cs="Arial"/>
                <w:u w:val="none"/>
              </w:rPr>
              <w:fldChar w:fldCharType="end"/>
            </w:r>
            <w:r w:rsidR="00202883" w:rsidRPr="003301F3">
              <w:rPr>
                <w:rStyle w:val="Hyperlink"/>
                <w:rFonts w:cs="Arial"/>
                <w:u w:val="none"/>
              </w:rPr>
              <w:t xml:space="preserve"> </w:t>
            </w:r>
            <w:r w:rsidRPr="003301F3">
              <w:rPr>
                <w:rStyle w:val="Hyperlink"/>
                <w:rFonts w:ascii="ZWAdobeF" w:hAnsi="ZWAdobeF" w:cs="ZWAdobeF"/>
                <w:color w:val="auto"/>
                <w:sz w:val="2"/>
                <w:szCs w:val="2"/>
                <w:u w:val="none"/>
              </w:rPr>
              <w:t xml:space="preserve">F </w:t>
            </w:r>
          </w:p>
          <w:p w14:paraId="28791A28" w14:textId="4B4E5B13" w:rsidR="000461DF" w:rsidRPr="00A90AE6" w:rsidRDefault="00B64B5B" w:rsidP="000461DF">
            <w:pPr>
              <w:spacing w:before="120"/>
              <w:rPr>
                <w:rFonts w:cs="Arial"/>
                <w:b/>
                <w:bCs/>
                <w:snapToGrid w:val="0"/>
                <w:color w:val="000000"/>
              </w:rPr>
            </w:pPr>
            <w:r w:rsidRPr="00A90AE6">
              <w:rPr>
                <w:rFonts w:cs="Arial"/>
                <w:b/>
                <w:bCs/>
                <w:snapToGrid w:val="0"/>
                <w:color w:val="000000"/>
              </w:rPr>
              <w:t>Excluded Units</w:t>
            </w:r>
            <w:r w:rsidR="000461DF" w:rsidRPr="00A90AE6">
              <w:rPr>
                <w:rFonts w:cs="Arial"/>
                <w:b/>
                <w:bCs/>
                <w:snapToGrid w:val="0"/>
                <w:color w:val="000000"/>
              </w:rPr>
              <w:t>:</w:t>
            </w:r>
          </w:p>
          <w:p w14:paraId="48ED45A6" w14:textId="77777777" w:rsidR="000461DF" w:rsidRDefault="000461DF" w:rsidP="00AD309C">
            <w:pPr>
              <w:pStyle w:val="ListParagraph"/>
              <w:numPr>
                <w:ilvl w:val="0"/>
                <w:numId w:val="390"/>
              </w:numPr>
              <w:spacing w:before="120"/>
              <w:rPr>
                <w:rFonts w:cs="Arial"/>
                <w:snapToGrid w:val="0"/>
                <w:color w:val="000000"/>
              </w:rPr>
            </w:pPr>
            <w:r>
              <w:rPr>
                <w:rFonts w:cs="Arial"/>
                <w:snapToGrid w:val="0"/>
                <w:color w:val="000000"/>
              </w:rPr>
              <w:t>Emergency departments</w:t>
            </w:r>
          </w:p>
          <w:p w14:paraId="5195D855" w14:textId="77777777" w:rsidR="000461DF" w:rsidRDefault="000461DF" w:rsidP="00AD309C">
            <w:pPr>
              <w:pStyle w:val="ListParagraph"/>
              <w:numPr>
                <w:ilvl w:val="0"/>
                <w:numId w:val="390"/>
              </w:numPr>
              <w:spacing w:before="120"/>
              <w:rPr>
                <w:rFonts w:cs="Arial"/>
                <w:snapToGrid w:val="0"/>
                <w:color w:val="000000"/>
              </w:rPr>
            </w:pPr>
            <w:r>
              <w:rPr>
                <w:rFonts w:cs="Arial"/>
                <w:snapToGrid w:val="0"/>
                <w:color w:val="000000"/>
              </w:rPr>
              <w:t>Operating rooms</w:t>
            </w:r>
          </w:p>
          <w:p w14:paraId="7C990559" w14:textId="77777777" w:rsidR="000461DF" w:rsidRDefault="000461DF" w:rsidP="00AD309C">
            <w:pPr>
              <w:pStyle w:val="ListParagraph"/>
              <w:numPr>
                <w:ilvl w:val="0"/>
                <w:numId w:val="390"/>
              </w:numPr>
              <w:spacing w:before="120"/>
              <w:rPr>
                <w:rFonts w:cs="Arial"/>
                <w:snapToGrid w:val="0"/>
                <w:color w:val="000000"/>
              </w:rPr>
            </w:pPr>
            <w:r>
              <w:rPr>
                <w:rFonts w:cs="Arial"/>
                <w:snapToGrid w:val="0"/>
                <w:color w:val="000000"/>
              </w:rPr>
              <w:t>Procedural and diagnostic areas, such as radiology units, endoscopy units, etc.</w:t>
            </w:r>
          </w:p>
          <w:p w14:paraId="23DC6DC6" w14:textId="77777777" w:rsidR="000461DF" w:rsidRDefault="000461DF" w:rsidP="00AD309C">
            <w:pPr>
              <w:pStyle w:val="ListParagraph"/>
              <w:numPr>
                <w:ilvl w:val="1"/>
                <w:numId w:val="390"/>
              </w:numPr>
              <w:spacing w:before="120"/>
              <w:rPr>
                <w:rFonts w:cs="Arial"/>
                <w:snapToGrid w:val="0"/>
                <w:color w:val="000000"/>
              </w:rPr>
            </w:pPr>
            <w:r>
              <w:rPr>
                <w:rFonts w:cs="Arial"/>
                <w:snapToGrid w:val="0"/>
                <w:color w:val="000000"/>
              </w:rPr>
              <w:t>Note: Pre-operative and post-anesthesia care areas in these units must be included</w:t>
            </w:r>
          </w:p>
          <w:p w14:paraId="54F2E634" w14:textId="388F767D" w:rsidR="008B787F" w:rsidRPr="003301F3" w:rsidRDefault="008B787F" w:rsidP="00AD309C">
            <w:pPr>
              <w:pStyle w:val="ListParagraph"/>
              <w:numPr>
                <w:ilvl w:val="0"/>
                <w:numId w:val="390"/>
              </w:numPr>
              <w:spacing w:before="120"/>
              <w:rPr>
                <w:rFonts w:cs="Arial"/>
                <w:snapToGrid w:val="0"/>
                <w:color w:val="000000"/>
              </w:rPr>
            </w:pPr>
            <w:r>
              <w:rPr>
                <w:rFonts w:cs="Arial"/>
                <w:snapToGrid w:val="0"/>
                <w:color w:val="000000"/>
              </w:rPr>
              <w:t>Units that were not open for the entire reporting period or that are not currently open</w:t>
            </w:r>
          </w:p>
          <w:p w14:paraId="4867CD0F" w14:textId="38671A7C" w:rsidR="008B787F" w:rsidRPr="003301F3" w:rsidRDefault="008B787F" w:rsidP="003301F3">
            <w:pPr>
              <w:spacing w:before="120"/>
              <w:rPr>
                <w:rFonts w:cs="Arial"/>
                <w:snapToGrid w:val="0"/>
                <w:color w:val="000000"/>
              </w:rPr>
            </w:pPr>
            <w:r w:rsidRPr="003301F3">
              <w:rPr>
                <w:rFonts w:cs="Arial"/>
                <w:b/>
                <w:bCs/>
                <w:snapToGrid w:val="0"/>
                <w:color w:val="000000"/>
              </w:rPr>
              <w:t>Important Note:</w:t>
            </w:r>
            <w:r w:rsidRPr="003301F3">
              <w:rPr>
                <w:rFonts w:cs="Arial"/>
                <w:snapToGrid w:val="0"/>
                <w:color w:val="000000"/>
              </w:rPr>
              <w:t xml:space="preserve"> Hospitals should count units as they do internally (i.e., if units are considered separate units despite sharing a space, report the units as two; if they are considered a single combined unit, report the unit as one</w:t>
            </w:r>
            <w:r w:rsidR="00E70234">
              <w:rPr>
                <w:rFonts w:cs="Arial"/>
                <w:snapToGrid w:val="0"/>
                <w:color w:val="000000"/>
              </w:rPr>
              <w:t>)</w:t>
            </w:r>
            <w:r w:rsidRPr="003301F3">
              <w:rPr>
                <w:rFonts w:cs="Arial"/>
                <w:snapToGrid w:val="0"/>
                <w:color w:val="000000"/>
              </w:rPr>
              <w:t>.</w:t>
            </w:r>
          </w:p>
        </w:tc>
      </w:tr>
      <w:tr w:rsidR="00CF7851" w14:paraId="6A91FAC6" w14:textId="77777777" w:rsidTr="00FB2D5F">
        <w:trPr>
          <w:trHeight w:val="5472"/>
        </w:trPr>
        <w:tc>
          <w:tcPr>
            <w:tcW w:w="9445" w:type="dxa"/>
            <w:vAlign w:val="center"/>
          </w:tcPr>
          <w:p w14:paraId="7DAA9147" w14:textId="77777777" w:rsidR="00CF7851" w:rsidRPr="00B56FD2" w:rsidRDefault="00CF7851" w:rsidP="00245AE3">
            <w:pPr>
              <w:rPr>
                <w:rFonts w:cs="Arial"/>
                <w:bCs/>
              </w:rPr>
            </w:pPr>
            <w:r w:rsidRPr="00CF7851">
              <w:rPr>
                <w:rFonts w:cs="Arial"/>
                <w:b/>
              </w:rPr>
              <w:t>Medications:</w:t>
            </w:r>
            <w:r>
              <w:rPr>
                <w:rFonts w:cs="Arial"/>
                <w:bCs/>
              </w:rPr>
              <w:t xml:space="preserve"> </w:t>
            </w:r>
            <w:r w:rsidRPr="00B56FD2">
              <w:rPr>
                <w:rFonts w:cs="Arial"/>
                <w:bCs/>
              </w:rPr>
              <w:t xml:space="preserve">For the purposes of this measure, a </w:t>
            </w:r>
            <w:r w:rsidRPr="00B56FD2">
              <w:rPr>
                <w:rFonts w:cs="Arial"/>
                <w:b/>
              </w:rPr>
              <w:t>medication</w:t>
            </w:r>
            <w:r w:rsidRPr="00B56FD2">
              <w:rPr>
                <w:rFonts w:cs="Arial"/>
                <w:bCs/>
              </w:rPr>
              <w:t xml:space="preserve"> is a substance that is taken into, or placed onto, the body of a person for one or more of the following reasons: </w:t>
            </w:r>
          </w:p>
          <w:p w14:paraId="13945EC9" w14:textId="77777777" w:rsidR="00CF7851" w:rsidRPr="00CF7851" w:rsidRDefault="00CF7851" w:rsidP="00AD309C">
            <w:pPr>
              <w:pStyle w:val="ListParagraph"/>
              <w:numPr>
                <w:ilvl w:val="0"/>
                <w:numId w:val="185"/>
              </w:numPr>
              <w:rPr>
                <w:rFonts w:cs="Arial"/>
                <w:bCs/>
              </w:rPr>
            </w:pPr>
            <w:r w:rsidRPr="00CF7851">
              <w:rPr>
                <w:rFonts w:cs="Arial"/>
                <w:bCs/>
              </w:rPr>
              <w:t>as a placebo</w:t>
            </w:r>
          </w:p>
          <w:p w14:paraId="3E050097" w14:textId="77777777" w:rsidR="00CF7851" w:rsidRPr="00CF7851" w:rsidRDefault="00CF7851" w:rsidP="00AD309C">
            <w:pPr>
              <w:pStyle w:val="ListParagraph"/>
              <w:numPr>
                <w:ilvl w:val="0"/>
                <w:numId w:val="185"/>
              </w:numPr>
              <w:rPr>
                <w:rFonts w:cs="Arial"/>
                <w:bCs/>
              </w:rPr>
            </w:pPr>
            <w:r w:rsidRPr="00CF7851">
              <w:rPr>
                <w:rFonts w:cs="Arial"/>
                <w:bCs/>
              </w:rPr>
              <w:t>to prevent a disease (e.g., flu vaccine)</w:t>
            </w:r>
          </w:p>
          <w:p w14:paraId="60F463D7" w14:textId="77777777" w:rsidR="00CF7851" w:rsidRPr="00CF7851" w:rsidRDefault="00CF7851" w:rsidP="00AD309C">
            <w:pPr>
              <w:pStyle w:val="ListParagraph"/>
              <w:numPr>
                <w:ilvl w:val="0"/>
                <w:numId w:val="185"/>
              </w:numPr>
              <w:rPr>
                <w:rFonts w:cs="Arial"/>
                <w:bCs/>
              </w:rPr>
            </w:pPr>
            <w:r w:rsidRPr="00CF7851">
              <w:rPr>
                <w:rFonts w:cs="Arial"/>
                <w:bCs/>
              </w:rPr>
              <w:t>to make a diagnosis (e.g., contrast dye)</w:t>
            </w:r>
          </w:p>
          <w:p w14:paraId="1AA717C8" w14:textId="77777777" w:rsidR="00CF7851" w:rsidRPr="00CF7851" w:rsidRDefault="00CF7851" w:rsidP="00AD309C">
            <w:pPr>
              <w:pStyle w:val="ListParagraph"/>
              <w:numPr>
                <w:ilvl w:val="0"/>
                <w:numId w:val="185"/>
              </w:numPr>
              <w:rPr>
                <w:rFonts w:cs="Arial"/>
                <w:bCs/>
              </w:rPr>
            </w:pPr>
            <w:r w:rsidRPr="00CF7851">
              <w:rPr>
                <w:rFonts w:cs="Arial"/>
                <w:bCs/>
              </w:rPr>
              <w:t>to test for the possibility of an adverse effect</w:t>
            </w:r>
          </w:p>
          <w:p w14:paraId="174823FB" w14:textId="77777777" w:rsidR="00CF7851" w:rsidRPr="00CF7851" w:rsidRDefault="00CF7851" w:rsidP="00AD309C">
            <w:pPr>
              <w:pStyle w:val="ListParagraph"/>
              <w:numPr>
                <w:ilvl w:val="0"/>
                <w:numId w:val="185"/>
              </w:numPr>
              <w:rPr>
                <w:rFonts w:cs="Arial"/>
                <w:bCs/>
              </w:rPr>
            </w:pPr>
            <w:r w:rsidRPr="00CF7851">
              <w:rPr>
                <w:rFonts w:cs="Arial"/>
                <w:bCs/>
              </w:rPr>
              <w:t>to modify a physiological, biochemical or anatomical function or abnormality (e.g., heparin/heparin flushes, statins, antihypertensives, etc.)</w:t>
            </w:r>
          </w:p>
          <w:p w14:paraId="4599233C" w14:textId="77777777" w:rsidR="00CF7851" w:rsidRPr="00CF7851" w:rsidRDefault="00CF7851" w:rsidP="00AD309C">
            <w:pPr>
              <w:pStyle w:val="ListParagraph"/>
              <w:numPr>
                <w:ilvl w:val="0"/>
                <w:numId w:val="185"/>
              </w:numPr>
              <w:rPr>
                <w:rFonts w:cs="Arial"/>
                <w:bCs/>
              </w:rPr>
            </w:pPr>
            <w:r w:rsidRPr="00CF7851">
              <w:rPr>
                <w:rFonts w:cs="Arial"/>
                <w:bCs/>
              </w:rPr>
              <w:t>to replace a missing factor (e.g., blood product)</w:t>
            </w:r>
          </w:p>
          <w:p w14:paraId="1EE9807A" w14:textId="77777777" w:rsidR="00CF7851" w:rsidRPr="00CF7851" w:rsidRDefault="00CF7851" w:rsidP="00AD309C">
            <w:pPr>
              <w:pStyle w:val="ListParagraph"/>
              <w:numPr>
                <w:ilvl w:val="0"/>
                <w:numId w:val="185"/>
              </w:numPr>
              <w:rPr>
                <w:rFonts w:cs="Arial"/>
                <w:bCs/>
              </w:rPr>
            </w:pPr>
            <w:r w:rsidRPr="00CF7851">
              <w:rPr>
                <w:rFonts w:cs="Arial"/>
                <w:bCs/>
              </w:rPr>
              <w:t>to ameliorate a symptom (e.g., aspirin)</w:t>
            </w:r>
          </w:p>
          <w:p w14:paraId="7EF28D53" w14:textId="77777777" w:rsidR="00CF7851" w:rsidRPr="00CF7851" w:rsidRDefault="00CF7851" w:rsidP="00AD309C">
            <w:pPr>
              <w:pStyle w:val="ListParagraph"/>
              <w:numPr>
                <w:ilvl w:val="0"/>
                <w:numId w:val="185"/>
              </w:numPr>
              <w:rPr>
                <w:rFonts w:cs="Arial"/>
                <w:bCs/>
              </w:rPr>
            </w:pPr>
            <w:r w:rsidRPr="00CF7851">
              <w:rPr>
                <w:rFonts w:cs="Arial"/>
                <w:bCs/>
              </w:rPr>
              <w:t xml:space="preserve">to treat a disease or condition (including topicals, nasal sprays, eye drops, compounds, inhalants, injectables, patches, etc.) </w:t>
            </w:r>
          </w:p>
          <w:p w14:paraId="3A24B485" w14:textId="77777777" w:rsidR="00CF7851" w:rsidRPr="00CF7851" w:rsidRDefault="00CF7851" w:rsidP="00AD309C">
            <w:pPr>
              <w:pStyle w:val="ListParagraph"/>
              <w:numPr>
                <w:ilvl w:val="0"/>
                <w:numId w:val="185"/>
              </w:numPr>
              <w:rPr>
                <w:rFonts w:cs="Arial"/>
                <w:bCs/>
              </w:rPr>
            </w:pPr>
            <w:r w:rsidRPr="00CF7851">
              <w:rPr>
                <w:rFonts w:cs="Arial"/>
                <w:bCs/>
              </w:rPr>
              <w:t>to induce anesthesia</w:t>
            </w:r>
          </w:p>
          <w:p w14:paraId="2D2E2676" w14:textId="77777777" w:rsidR="00CF7851" w:rsidRPr="00CF7851" w:rsidRDefault="00CF7851" w:rsidP="00AD309C">
            <w:pPr>
              <w:pStyle w:val="ListParagraph"/>
              <w:numPr>
                <w:ilvl w:val="0"/>
                <w:numId w:val="185"/>
              </w:numPr>
              <w:rPr>
                <w:rFonts w:cs="Arial"/>
                <w:bCs/>
              </w:rPr>
            </w:pPr>
            <w:r w:rsidRPr="00CF7851">
              <w:rPr>
                <w:rFonts w:cs="Arial"/>
                <w:bCs/>
              </w:rPr>
              <w:t xml:space="preserve">to stabilize or hydrate during medical treatment or procedures (e.g., IV fluids, normal saline, lactated ringers, etc.) </w:t>
            </w:r>
          </w:p>
          <w:p w14:paraId="5E865608" w14:textId="77777777" w:rsidR="00CF7851" w:rsidRPr="00CF7851" w:rsidRDefault="00CF7851" w:rsidP="00AD309C">
            <w:pPr>
              <w:pStyle w:val="ListParagraph"/>
              <w:numPr>
                <w:ilvl w:val="0"/>
                <w:numId w:val="185"/>
              </w:numPr>
              <w:rPr>
                <w:rFonts w:cs="Arial"/>
                <w:bCs/>
              </w:rPr>
            </w:pPr>
            <w:r w:rsidRPr="00CF7851">
              <w:rPr>
                <w:rFonts w:cs="Arial"/>
                <w:bCs/>
              </w:rPr>
              <w:t>to provide nutrition (e.g., enteral nutrition products, parenteral nutrition products, breast milk [breast milk applies to BCMA measure only])</w:t>
            </w:r>
          </w:p>
          <w:p w14:paraId="14E388F9" w14:textId="601871E4" w:rsidR="00CF7851" w:rsidRDefault="00CF7851" w:rsidP="00AD309C">
            <w:pPr>
              <w:pStyle w:val="ListParagraph"/>
              <w:numPr>
                <w:ilvl w:val="0"/>
                <w:numId w:val="185"/>
              </w:numPr>
              <w:rPr>
                <w:rFonts w:cs="Arial"/>
                <w:bCs/>
              </w:rPr>
            </w:pPr>
            <w:r w:rsidRPr="00CF7851">
              <w:rPr>
                <w:rFonts w:cs="Arial"/>
                <w:bCs/>
              </w:rPr>
              <w:t>as a supplement (e.g., iron for a patient with iron deficiency anemia or calcium/vitamin D for a patient with osteoporosis)</w:t>
            </w:r>
          </w:p>
          <w:p w14:paraId="47B7CD85" w14:textId="77777777" w:rsidR="0093058B" w:rsidRPr="00CF4879" w:rsidRDefault="0093058B" w:rsidP="00245AE3">
            <w:pPr>
              <w:rPr>
                <w:rFonts w:cs="Arial"/>
                <w:bCs/>
                <w:sz w:val="10"/>
                <w:szCs w:val="10"/>
              </w:rPr>
            </w:pPr>
          </w:p>
          <w:p w14:paraId="1474AEE2" w14:textId="77777777" w:rsidR="00B04A67" w:rsidRDefault="00CF7851" w:rsidP="00CF4879">
            <w:pPr>
              <w:rPr>
                <w:rFonts w:cs="Arial"/>
                <w:bCs/>
              </w:rPr>
            </w:pPr>
            <w:r w:rsidRPr="005245FF">
              <w:rPr>
                <w:rFonts w:cs="Arial"/>
                <w:bCs/>
              </w:rPr>
              <w:t xml:space="preserve">For the purposes of this measure, the following are </w:t>
            </w:r>
            <w:r w:rsidRPr="005245FF">
              <w:rPr>
                <w:rFonts w:cs="Arial"/>
                <w:b/>
                <w:u w:val="single"/>
              </w:rPr>
              <w:t>not</w:t>
            </w:r>
            <w:r w:rsidRPr="005245FF">
              <w:rPr>
                <w:rFonts w:cs="Arial"/>
                <w:bCs/>
              </w:rPr>
              <w:t xml:space="preserve"> considered medications: </w:t>
            </w:r>
          </w:p>
          <w:p w14:paraId="522FB71F" w14:textId="77777777" w:rsidR="00B04A67" w:rsidRDefault="00CF7851" w:rsidP="00AD309C">
            <w:pPr>
              <w:pStyle w:val="ListParagraph"/>
              <w:numPr>
                <w:ilvl w:val="0"/>
                <w:numId w:val="175"/>
              </w:numPr>
              <w:rPr>
                <w:rFonts w:cs="Arial"/>
                <w:bCs/>
              </w:rPr>
            </w:pPr>
            <w:r w:rsidRPr="00B04A67">
              <w:rPr>
                <w:rFonts w:cs="Arial"/>
                <w:bCs/>
              </w:rPr>
              <w:t>Pre-filled saline flushes and pre-filled heparin flushes</w:t>
            </w:r>
            <w:r w:rsidR="00157FDB" w:rsidRPr="00B04A67">
              <w:rPr>
                <w:rFonts w:cs="Arial"/>
                <w:bCs/>
              </w:rPr>
              <w:t xml:space="preserve"> </w:t>
            </w:r>
            <w:r w:rsidR="00B04A67" w:rsidRPr="002E0EA8">
              <w:rPr>
                <w:rFonts w:cs="Arial"/>
                <w:bCs/>
              </w:rPr>
              <w:t>(i.e., saline and heparin flushes that come from the manufacturer already filled and are not filled by the hospital’s pharmacy)</w:t>
            </w:r>
          </w:p>
          <w:p w14:paraId="0B91032C" w14:textId="77777777" w:rsidR="00B04A67" w:rsidRPr="009B2D5C" w:rsidRDefault="00B04A67" w:rsidP="00AD309C">
            <w:pPr>
              <w:pStyle w:val="ListParagraph"/>
              <w:numPr>
                <w:ilvl w:val="0"/>
                <w:numId w:val="175"/>
              </w:numPr>
              <w:rPr>
                <w:rFonts w:cs="Arial"/>
                <w:bCs/>
              </w:rPr>
            </w:pPr>
            <w:r w:rsidRPr="009B2D5C">
              <w:rPr>
                <w:rFonts w:cs="Arial"/>
              </w:rPr>
              <w:t>Chlorhexidine and alcohol preparation pads</w:t>
            </w:r>
          </w:p>
          <w:p w14:paraId="5E7B32CE" w14:textId="5271861A" w:rsidR="00CF7851" w:rsidRPr="00B04A67" w:rsidRDefault="00B04A67" w:rsidP="00AD309C">
            <w:pPr>
              <w:pStyle w:val="ListParagraph"/>
              <w:numPr>
                <w:ilvl w:val="0"/>
                <w:numId w:val="385"/>
              </w:numPr>
              <w:rPr>
                <w:rFonts w:cs="Arial"/>
                <w:bCs/>
              </w:rPr>
            </w:pPr>
            <w:r>
              <w:rPr>
                <w:rFonts w:cs="Arial"/>
                <w:bCs/>
              </w:rPr>
              <w:t>Intra-op irrigation solutions</w:t>
            </w:r>
          </w:p>
        </w:tc>
      </w:tr>
      <w:tr w:rsidR="00521BFD" w14:paraId="075062DE" w14:textId="77777777" w:rsidTr="00FB2D5F">
        <w:trPr>
          <w:trHeight w:val="1152"/>
        </w:trPr>
        <w:tc>
          <w:tcPr>
            <w:tcW w:w="9445" w:type="dxa"/>
            <w:vAlign w:val="center"/>
          </w:tcPr>
          <w:p w14:paraId="1D938173" w14:textId="39EA0C5B" w:rsidR="004E474D" w:rsidRPr="004E474D" w:rsidRDefault="004E474D" w:rsidP="00245AE3">
            <w:pPr>
              <w:rPr>
                <w:rFonts w:cs="Arial"/>
              </w:rPr>
            </w:pPr>
            <w:r w:rsidRPr="004E474D">
              <w:rPr>
                <w:rFonts w:cs="Arial"/>
                <w:b/>
                <w:bCs/>
              </w:rPr>
              <w:t xml:space="preserve">Question </w:t>
            </w:r>
            <w:r w:rsidR="007C7552" w:rsidRPr="0093058B">
              <w:rPr>
                <w:rFonts w:cs="Arial"/>
                <w:b/>
                <w:bCs/>
              </w:rPr>
              <w:t>#</w:t>
            </w:r>
            <w:r w:rsidRPr="004E474D">
              <w:rPr>
                <w:rFonts w:cs="Arial"/>
                <w:b/>
                <w:bCs/>
              </w:rPr>
              <w:t>1</w:t>
            </w:r>
            <w:r w:rsidR="008846BB">
              <w:rPr>
                <w:rFonts w:cs="Arial"/>
                <w:b/>
                <w:bCs/>
              </w:rPr>
              <w:t>8</w:t>
            </w:r>
            <w:r w:rsidRPr="004E474D">
              <w:rPr>
                <w:rFonts w:cs="Arial"/>
                <w:b/>
                <w:bCs/>
              </w:rPr>
              <w:t xml:space="preserve"> (denominator):</w:t>
            </w:r>
            <w:r w:rsidRPr="004E474D">
              <w:rPr>
                <w:rFonts w:cs="Arial"/>
              </w:rPr>
              <w:t xml:space="preserve"> Total number of scannable medication administrations during the reporting period in those units that utilize BCMA as indicated in questions #5, #8, #11</w:t>
            </w:r>
            <w:r w:rsidR="008059FF">
              <w:rPr>
                <w:rFonts w:cs="Arial"/>
              </w:rPr>
              <w:t xml:space="preserve">, </w:t>
            </w:r>
            <w:r w:rsidR="002332CE">
              <w:rPr>
                <w:rFonts w:cs="Arial"/>
              </w:rPr>
              <w:t xml:space="preserve">#14 </w:t>
            </w:r>
            <w:r w:rsidR="008059FF">
              <w:rPr>
                <w:rFonts w:cs="Arial"/>
              </w:rPr>
              <w:t>and #1</w:t>
            </w:r>
            <w:r w:rsidR="002332CE">
              <w:rPr>
                <w:rFonts w:cs="Arial"/>
              </w:rPr>
              <w:t>7</w:t>
            </w:r>
            <w:r w:rsidRPr="004E474D">
              <w:rPr>
                <w:rFonts w:cs="Arial"/>
              </w:rPr>
              <w:t>. </w:t>
            </w:r>
          </w:p>
          <w:p w14:paraId="3ED9E248" w14:textId="61141156" w:rsidR="004E474D" w:rsidRPr="00CF4879" w:rsidRDefault="004E474D" w:rsidP="00245AE3">
            <w:pPr>
              <w:rPr>
                <w:rFonts w:cs="Arial"/>
                <w:sz w:val="10"/>
                <w:szCs w:val="10"/>
              </w:rPr>
            </w:pPr>
          </w:p>
          <w:p w14:paraId="67381C7B" w14:textId="45E2482B" w:rsidR="004E474D" w:rsidRDefault="004E474D" w:rsidP="00245AE3">
            <w:pPr>
              <w:rPr>
                <w:rFonts w:cs="Arial"/>
              </w:rPr>
            </w:pPr>
            <w:r w:rsidRPr="004E474D">
              <w:rPr>
                <w:rFonts w:cs="Arial"/>
                <w:b/>
                <w:bCs/>
              </w:rPr>
              <w:t>Include</w:t>
            </w:r>
            <w:r w:rsidR="008059FF">
              <w:rPr>
                <w:rFonts w:cs="Arial"/>
              </w:rPr>
              <w:t xml:space="preserve"> a</w:t>
            </w:r>
            <w:r w:rsidRPr="004E474D">
              <w:rPr>
                <w:rFonts w:cs="Arial"/>
              </w:rPr>
              <w:t>ll scannable medication administrations</w:t>
            </w:r>
            <w:r w:rsidR="006C7DF5" w:rsidRPr="004E474D">
              <w:rPr>
                <w:rFonts w:cs="Arial"/>
              </w:rPr>
              <w:t xml:space="preserve"> </w:t>
            </w:r>
            <w:r w:rsidR="006C7DF5">
              <w:rPr>
                <w:rFonts w:cs="Arial"/>
              </w:rPr>
              <w:t xml:space="preserve">(regardless of </w:t>
            </w:r>
            <w:r w:rsidR="00211E25">
              <w:rPr>
                <w:rFonts w:cs="Arial"/>
              </w:rPr>
              <w:t xml:space="preserve">patient’s </w:t>
            </w:r>
            <w:r w:rsidR="006C7DF5">
              <w:rPr>
                <w:rFonts w:cs="Arial"/>
              </w:rPr>
              <w:t>admission status</w:t>
            </w:r>
            <w:r w:rsidR="008035D1">
              <w:rPr>
                <w:rFonts w:cs="Arial"/>
              </w:rPr>
              <w:t xml:space="preserve"> and administering provider</w:t>
            </w:r>
            <w:r w:rsidR="006C7DF5">
              <w:rPr>
                <w:rFonts w:cs="Arial"/>
              </w:rPr>
              <w:t xml:space="preserve">) </w:t>
            </w:r>
            <w:r w:rsidRPr="004E474D">
              <w:rPr>
                <w:rFonts w:cs="Arial"/>
              </w:rPr>
              <w:t xml:space="preserve">in </w:t>
            </w:r>
            <w:r w:rsidR="00DC563C">
              <w:rPr>
                <w:rFonts w:cs="Arial"/>
              </w:rPr>
              <w:t>a</w:t>
            </w:r>
            <w:r w:rsidR="00DC563C">
              <w:t xml:space="preserve">dult and/or pediatric </w:t>
            </w:r>
            <w:r w:rsidR="00B44711">
              <w:rPr>
                <w:rFonts w:cs="Arial"/>
              </w:rPr>
              <w:t>general medical</w:t>
            </w:r>
            <w:r w:rsidR="00BA5781">
              <w:rPr>
                <w:rFonts w:cs="Arial"/>
              </w:rPr>
              <w:t>,</w:t>
            </w:r>
            <w:r w:rsidR="00BA5781">
              <w:t xml:space="preserve"> surgical, medical/</w:t>
            </w:r>
            <w:r w:rsidR="00B44711">
              <w:rPr>
                <w:rFonts w:cs="Arial"/>
              </w:rPr>
              <w:t>surgical</w:t>
            </w:r>
            <w:r w:rsidR="00FF3C88">
              <w:rPr>
                <w:rFonts w:cs="Arial"/>
              </w:rPr>
              <w:t>,</w:t>
            </w:r>
            <w:r w:rsidR="00906D6C">
              <w:rPr>
                <w:rFonts w:cs="Arial"/>
              </w:rPr>
              <w:t xml:space="preserve"> </w:t>
            </w:r>
            <w:r w:rsidR="00B44711">
              <w:rPr>
                <w:rFonts w:cs="Arial"/>
              </w:rPr>
              <w:t>neuro, neonatal</w:t>
            </w:r>
            <w:r w:rsidR="00205371">
              <w:rPr>
                <w:rFonts w:cs="Arial"/>
              </w:rPr>
              <w:t>,</w:t>
            </w:r>
            <w:r w:rsidR="00205371">
              <w:t xml:space="preserve"> and</w:t>
            </w:r>
            <w:r w:rsidR="00205371">
              <w:rPr>
                <w:rFonts w:cs="Arial"/>
              </w:rPr>
              <w:t xml:space="preserve"> </w:t>
            </w:r>
            <w:r w:rsidR="00B44711">
              <w:rPr>
                <w:rFonts w:cs="Arial"/>
              </w:rPr>
              <w:t>specialty ICUs</w:t>
            </w:r>
            <w:r w:rsidR="00A716AE">
              <w:rPr>
                <w:rFonts w:cs="Arial"/>
              </w:rPr>
              <w:t>;</w:t>
            </w:r>
            <w:r w:rsidR="00B44711">
              <w:rPr>
                <w:rFonts w:cs="Arial"/>
              </w:rPr>
              <w:t xml:space="preserve"> </w:t>
            </w:r>
            <w:r w:rsidRPr="004E474D">
              <w:rPr>
                <w:rFonts w:cs="Arial"/>
              </w:rPr>
              <w:t>medical</w:t>
            </w:r>
            <w:r w:rsidR="00A716AE">
              <w:rPr>
                <w:rFonts w:cs="Arial"/>
              </w:rPr>
              <w:t xml:space="preserve">, </w:t>
            </w:r>
            <w:r w:rsidRPr="004E474D">
              <w:rPr>
                <w:rFonts w:cs="Arial"/>
              </w:rPr>
              <w:t>surgical</w:t>
            </w:r>
            <w:r w:rsidR="00A716AE">
              <w:rPr>
                <w:rFonts w:cs="Arial"/>
              </w:rPr>
              <w:t>,</w:t>
            </w:r>
            <w:r w:rsidR="00250BC2">
              <w:rPr>
                <w:rFonts w:cs="Arial"/>
              </w:rPr>
              <w:t xml:space="preserve"> and</w:t>
            </w:r>
            <w:r w:rsidR="00A716AE">
              <w:rPr>
                <w:rFonts w:cs="Arial"/>
              </w:rPr>
              <w:t xml:space="preserve"> medical/surgical</w:t>
            </w:r>
            <w:r w:rsidRPr="004E474D">
              <w:rPr>
                <w:rFonts w:cs="Arial"/>
              </w:rPr>
              <w:t xml:space="preserve"> units (including telemetry units)</w:t>
            </w:r>
            <w:r w:rsidR="00413DBC">
              <w:rPr>
                <w:rFonts w:cs="Arial"/>
              </w:rPr>
              <w:t>;</w:t>
            </w:r>
            <w:r w:rsidRPr="004E474D">
              <w:rPr>
                <w:rFonts w:cs="Arial"/>
              </w:rPr>
              <w:t xml:space="preserve"> </w:t>
            </w:r>
            <w:r w:rsidR="005E3C85">
              <w:rPr>
                <w:rFonts w:cs="Arial"/>
              </w:rPr>
              <w:lastRenderedPageBreak/>
              <w:t>step-down/progressive units</w:t>
            </w:r>
            <w:r w:rsidR="00520CCE">
              <w:rPr>
                <w:rFonts w:cs="Arial"/>
              </w:rPr>
              <w:t>;</w:t>
            </w:r>
            <w:r w:rsidR="005E3C85">
              <w:rPr>
                <w:rFonts w:cs="Arial"/>
              </w:rPr>
              <w:t xml:space="preserve"> </w:t>
            </w:r>
            <w:r w:rsidRPr="004E474D">
              <w:rPr>
                <w:rFonts w:cs="Arial"/>
              </w:rPr>
              <w:t>labor and delivery units</w:t>
            </w:r>
            <w:r w:rsidR="00520CCE">
              <w:rPr>
                <w:rFonts w:cs="Arial"/>
              </w:rPr>
              <w:t>;</w:t>
            </w:r>
            <w:r w:rsidR="008059FF">
              <w:rPr>
                <w:rFonts w:cs="Arial"/>
              </w:rPr>
              <w:t xml:space="preserve"> and </w:t>
            </w:r>
            <w:r w:rsidR="00157FDB">
              <w:rPr>
                <w:rFonts w:cs="Arial"/>
              </w:rPr>
              <w:t>p</w:t>
            </w:r>
            <w:r w:rsidR="008059FF" w:rsidRPr="0059120C">
              <w:rPr>
                <w:rFonts w:cs="Arial"/>
              </w:rPr>
              <w:t>re-</w:t>
            </w:r>
            <w:r w:rsidR="00157FDB">
              <w:rPr>
                <w:rFonts w:cs="Arial"/>
              </w:rPr>
              <w:t>o</w:t>
            </w:r>
            <w:r w:rsidR="008059FF" w:rsidRPr="0059120C">
              <w:rPr>
                <w:rFonts w:cs="Arial"/>
              </w:rPr>
              <w:t xml:space="preserve">perative </w:t>
            </w:r>
            <w:r w:rsidR="00743EE8">
              <w:rPr>
                <w:rFonts w:cs="Arial"/>
              </w:rPr>
              <w:t>and</w:t>
            </w:r>
            <w:r w:rsidR="008059FF" w:rsidRPr="0059120C">
              <w:rPr>
                <w:rFonts w:cs="Arial"/>
              </w:rPr>
              <w:t xml:space="preserve"> </w:t>
            </w:r>
            <w:r w:rsidR="00157FDB">
              <w:rPr>
                <w:rFonts w:cs="Arial"/>
              </w:rPr>
              <w:t>p</w:t>
            </w:r>
            <w:r w:rsidR="008059FF" w:rsidRPr="0059120C">
              <w:rPr>
                <w:rFonts w:cs="Arial"/>
              </w:rPr>
              <w:t>ost-</w:t>
            </w:r>
            <w:r w:rsidR="00157FDB">
              <w:rPr>
                <w:rFonts w:cs="Arial"/>
              </w:rPr>
              <w:t>a</w:t>
            </w:r>
            <w:r w:rsidR="008059FF" w:rsidRPr="0059120C">
              <w:rPr>
                <w:rFonts w:cs="Arial"/>
              </w:rPr>
              <w:t xml:space="preserve">nesthesia </w:t>
            </w:r>
            <w:r w:rsidR="00157FDB">
              <w:rPr>
                <w:rFonts w:cs="Arial"/>
              </w:rPr>
              <w:t>c</w:t>
            </w:r>
            <w:r w:rsidR="008059FF" w:rsidRPr="0059120C">
              <w:rPr>
                <w:rFonts w:cs="Arial"/>
              </w:rPr>
              <w:t xml:space="preserve">are </w:t>
            </w:r>
            <w:r w:rsidR="00157FDB">
              <w:rPr>
                <w:rFonts w:cs="Arial"/>
              </w:rPr>
              <w:t>u</w:t>
            </w:r>
            <w:r w:rsidR="008059FF" w:rsidRPr="0059120C">
              <w:rPr>
                <w:rFonts w:cs="Arial"/>
              </w:rPr>
              <w:t>nits</w:t>
            </w:r>
            <w:r w:rsidR="00FD4276">
              <w:rPr>
                <w:rFonts w:cs="Arial"/>
              </w:rPr>
              <w:t xml:space="preserve"> </w:t>
            </w:r>
            <w:r w:rsidRPr="004E474D">
              <w:rPr>
                <w:rFonts w:cs="Arial"/>
              </w:rPr>
              <w:t>that utilize a BCMA system that is linked to the electronic medication administration record (</w:t>
            </w:r>
            <w:proofErr w:type="spellStart"/>
            <w:r w:rsidRPr="004E474D">
              <w:rPr>
                <w:rFonts w:cs="Arial"/>
              </w:rPr>
              <w:t>eMAR</w:t>
            </w:r>
            <w:proofErr w:type="spellEnd"/>
            <w:r w:rsidRPr="004E474D">
              <w:rPr>
                <w:rFonts w:cs="Arial"/>
              </w:rPr>
              <w:t>)</w:t>
            </w:r>
            <w:r w:rsidR="008059FF">
              <w:rPr>
                <w:rFonts w:cs="Arial"/>
              </w:rPr>
              <w:t>.</w:t>
            </w:r>
          </w:p>
          <w:p w14:paraId="40BFBFE5" w14:textId="77777777" w:rsidR="0093058B" w:rsidRPr="00CF4879" w:rsidRDefault="0093058B" w:rsidP="00245AE3">
            <w:pPr>
              <w:rPr>
                <w:rFonts w:cs="Arial"/>
                <w:b/>
                <w:bCs/>
                <w:sz w:val="10"/>
                <w:szCs w:val="10"/>
              </w:rPr>
            </w:pPr>
          </w:p>
          <w:p w14:paraId="58C83174" w14:textId="0F894491" w:rsidR="000B1C87" w:rsidRDefault="00AD5C39" w:rsidP="000B1C87">
            <w:pPr>
              <w:rPr>
                <w:rFonts w:cs="Arial"/>
              </w:rPr>
            </w:pPr>
            <w:r>
              <w:rPr>
                <w:rFonts w:cs="Arial"/>
              </w:rPr>
              <w:t>Include m</w:t>
            </w:r>
            <w:r w:rsidR="000B1C87">
              <w:rPr>
                <w:rFonts w:cs="Arial"/>
              </w:rPr>
              <w:t>edication administrations during a procedure if the hospital combines their procedural areas with their pre-operative or post-anesthesia care units and is</w:t>
            </w:r>
            <w:r w:rsidR="000B1C87" w:rsidRPr="005B299B">
              <w:rPr>
                <w:rFonts w:cs="Arial"/>
                <w:b/>
                <w:bCs/>
              </w:rPr>
              <w:t xml:space="preserve"> unable</w:t>
            </w:r>
            <w:r w:rsidR="000B1C87">
              <w:rPr>
                <w:rFonts w:cs="Arial"/>
              </w:rPr>
              <w:t xml:space="preserve"> to distinguish between these medication administrations. </w:t>
            </w:r>
          </w:p>
          <w:p w14:paraId="4D48BB3F" w14:textId="224BAA5F" w:rsidR="000B1C87" w:rsidRDefault="000B1C87" w:rsidP="00245AE3">
            <w:pPr>
              <w:rPr>
                <w:rFonts w:cs="Arial"/>
                <w:b/>
                <w:bCs/>
              </w:rPr>
            </w:pPr>
          </w:p>
          <w:p w14:paraId="6EA98D3F" w14:textId="38090670" w:rsidR="004E474D" w:rsidRPr="004E474D" w:rsidRDefault="004E474D" w:rsidP="00245AE3">
            <w:pPr>
              <w:rPr>
                <w:rFonts w:cs="Arial"/>
                <w:b/>
                <w:bCs/>
              </w:rPr>
            </w:pPr>
            <w:r w:rsidRPr="004E474D">
              <w:rPr>
                <w:rFonts w:cs="Arial"/>
                <w:b/>
                <w:bCs/>
              </w:rPr>
              <w:t>Exclude: </w:t>
            </w:r>
          </w:p>
          <w:p w14:paraId="799C9FAC" w14:textId="53D784A8" w:rsidR="004E474D" w:rsidRPr="004E474D" w:rsidRDefault="004E474D" w:rsidP="00AD309C">
            <w:pPr>
              <w:numPr>
                <w:ilvl w:val="0"/>
                <w:numId w:val="188"/>
              </w:numPr>
              <w:rPr>
                <w:rFonts w:cs="Arial"/>
              </w:rPr>
            </w:pPr>
            <w:r w:rsidRPr="004E474D">
              <w:rPr>
                <w:rFonts w:cs="Arial"/>
              </w:rPr>
              <w:t>Medication administrations in units that are not specified in question #5, #8, #11</w:t>
            </w:r>
            <w:r w:rsidR="008059FF">
              <w:rPr>
                <w:rFonts w:cs="Arial"/>
              </w:rPr>
              <w:t xml:space="preserve">, </w:t>
            </w:r>
            <w:r w:rsidR="005F140C">
              <w:rPr>
                <w:rFonts w:cs="Arial"/>
              </w:rPr>
              <w:t xml:space="preserve">#14 </w:t>
            </w:r>
            <w:r w:rsidR="008059FF">
              <w:rPr>
                <w:rFonts w:cs="Arial"/>
              </w:rPr>
              <w:t>or #1</w:t>
            </w:r>
            <w:r w:rsidR="005F140C">
              <w:rPr>
                <w:rFonts w:cs="Arial"/>
              </w:rPr>
              <w:t>7</w:t>
            </w:r>
          </w:p>
          <w:p w14:paraId="08A67802" w14:textId="77777777" w:rsidR="004E474D" w:rsidRPr="004E474D" w:rsidRDefault="004E474D" w:rsidP="00AD309C">
            <w:pPr>
              <w:numPr>
                <w:ilvl w:val="0"/>
                <w:numId w:val="188"/>
              </w:numPr>
              <w:rPr>
                <w:rFonts w:cs="Arial"/>
              </w:rPr>
            </w:pPr>
            <w:r w:rsidRPr="004E474D">
              <w:rPr>
                <w:rFonts w:cs="Arial"/>
              </w:rPr>
              <w:t xml:space="preserve">Medication administrations in units that do not utilize a BCMA system that is linked to the </w:t>
            </w:r>
            <w:proofErr w:type="spellStart"/>
            <w:r w:rsidRPr="004E474D">
              <w:rPr>
                <w:rFonts w:cs="Arial"/>
              </w:rPr>
              <w:t>eMAR</w:t>
            </w:r>
            <w:proofErr w:type="spellEnd"/>
            <w:r w:rsidRPr="004E474D">
              <w:rPr>
                <w:rFonts w:cs="Arial"/>
              </w:rPr>
              <w:t> </w:t>
            </w:r>
          </w:p>
          <w:p w14:paraId="274BD77C" w14:textId="77777777" w:rsidR="00B45B78" w:rsidRDefault="004E474D" w:rsidP="00AD309C">
            <w:pPr>
              <w:numPr>
                <w:ilvl w:val="0"/>
                <w:numId w:val="188"/>
              </w:numPr>
              <w:rPr>
                <w:rFonts w:cs="Arial"/>
              </w:rPr>
            </w:pPr>
            <w:r w:rsidRPr="004E474D">
              <w:rPr>
                <w:rFonts w:cs="Arial"/>
              </w:rPr>
              <w:t>Medication administrations in units that have not been open or staffed for the entire 3-month reporting period </w:t>
            </w:r>
            <w:r w:rsidR="00B45B78">
              <w:rPr>
                <w:rFonts w:cs="Arial"/>
              </w:rPr>
              <w:t>or in units that are not open currently</w:t>
            </w:r>
          </w:p>
          <w:p w14:paraId="239681CC" w14:textId="2F066870" w:rsidR="00B45B78" w:rsidRPr="004E474D" w:rsidRDefault="00B45B78" w:rsidP="00AD309C">
            <w:pPr>
              <w:numPr>
                <w:ilvl w:val="0"/>
                <w:numId w:val="188"/>
              </w:numPr>
              <w:rPr>
                <w:rFonts w:cs="Arial"/>
              </w:rPr>
            </w:pPr>
            <w:r>
              <w:rPr>
                <w:rFonts w:cs="Arial"/>
              </w:rPr>
              <w:t>Medication administrations during a procedure if the hospital combines their procedural areas with their pre-operative or post-anesthesia care units and is able to distinguish between these medication administrations</w:t>
            </w:r>
          </w:p>
          <w:p w14:paraId="4E149978" w14:textId="31A8145B" w:rsidR="00521BFD" w:rsidRPr="007C7552" w:rsidRDefault="004E474D" w:rsidP="00AD309C">
            <w:pPr>
              <w:numPr>
                <w:ilvl w:val="0"/>
                <w:numId w:val="188"/>
              </w:numPr>
              <w:rPr>
                <w:rFonts w:cs="Arial"/>
              </w:rPr>
            </w:pPr>
            <w:r w:rsidRPr="004E474D">
              <w:rPr>
                <w:rFonts w:cs="Arial"/>
              </w:rPr>
              <w:t>Administrations of medications that are not “scannable,” i.e., medications that do not have a bar code and could not be scanned if BCMA were in use </w:t>
            </w:r>
          </w:p>
        </w:tc>
      </w:tr>
      <w:tr w:rsidR="00521BFD" w14:paraId="6E476349" w14:textId="77777777" w:rsidTr="00D36222">
        <w:trPr>
          <w:trHeight w:val="720"/>
        </w:trPr>
        <w:tc>
          <w:tcPr>
            <w:tcW w:w="9445" w:type="dxa"/>
            <w:vAlign w:val="center"/>
          </w:tcPr>
          <w:p w14:paraId="17981AA8" w14:textId="4CF41925" w:rsidR="0093058B" w:rsidRDefault="0093058B" w:rsidP="00245AE3">
            <w:pPr>
              <w:rPr>
                <w:rFonts w:cs="Arial"/>
              </w:rPr>
            </w:pPr>
            <w:r w:rsidRPr="0093058B">
              <w:rPr>
                <w:rFonts w:cs="Arial"/>
                <w:b/>
                <w:bCs/>
              </w:rPr>
              <w:lastRenderedPageBreak/>
              <w:t xml:space="preserve">Question </w:t>
            </w:r>
            <w:r w:rsidR="0089785B">
              <w:rPr>
                <w:rFonts w:cs="Arial"/>
                <w:b/>
                <w:bCs/>
              </w:rPr>
              <w:t>#</w:t>
            </w:r>
            <w:r w:rsidRPr="0093058B">
              <w:rPr>
                <w:rFonts w:cs="Arial"/>
                <w:b/>
                <w:bCs/>
              </w:rPr>
              <w:t>1</w:t>
            </w:r>
            <w:r w:rsidR="009E520D">
              <w:rPr>
                <w:rFonts w:cs="Arial"/>
                <w:b/>
                <w:bCs/>
              </w:rPr>
              <w:t>9</w:t>
            </w:r>
            <w:r w:rsidRPr="0093058B">
              <w:rPr>
                <w:rFonts w:cs="Arial"/>
                <w:b/>
                <w:bCs/>
              </w:rPr>
              <w:t xml:space="preserve"> (numerator): </w:t>
            </w:r>
            <w:r w:rsidRPr="008D7A29">
              <w:rPr>
                <w:rFonts w:cs="Arial"/>
              </w:rPr>
              <w:t xml:space="preserve">Total </w:t>
            </w:r>
            <w:r w:rsidRPr="0093058B">
              <w:rPr>
                <w:rFonts w:cs="Arial"/>
              </w:rPr>
              <w:t>number of medication administrations from question #1</w:t>
            </w:r>
            <w:r w:rsidR="00BE0CF5">
              <w:rPr>
                <w:rFonts w:cs="Arial"/>
              </w:rPr>
              <w:t>8</w:t>
            </w:r>
            <w:r w:rsidRPr="0093058B">
              <w:rPr>
                <w:rFonts w:cs="Arial"/>
              </w:rPr>
              <w:t xml:space="preserve"> that had both the patient and the medication scanned during administration with a BCMA system that is linked to the </w:t>
            </w:r>
            <w:r w:rsidR="00D20722">
              <w:rPr>
                <w:rFonts w:cs="Arial"/>
              </w:rPr>
              <w:t>electronic medication administration record (</w:t>
            </w:r>
            <w:proofErr w:type="spellStart"/>
            <w:r w:rsidR="00D20722" w:rsidRPr="0093058B">
              <w:rPr>
                <w:rFonts w:cs="Arial"/>
              </w:rPr>
              <w:t>eMAR</w:t>
            </w:r>
            <w:proofErr w:type="spellEnd"/>
            <w:r w:rsidR="00D20722">
              <w:rPr>
                <w:rFonts w:cs="Arial"/>
              </w:rPr>
              <w:t>)</w:t>
            </w:r>
            <w:r w:rsidR="00D20722" w:rsidRPr="0093058B">
              <w:rPr>
                <w:rFonts w:cs="Arial"/>
              </w:rPr>
              <w:t>.</w:t>
            </w:r>
          </w:p>
          <w:p w14:paraId="43372AA4" w14:textId="77777777" w:rsidR="0093058B" w:rsidRPr="00CF4879" w:rsidRDefault="0093058B" w:rsidP="00245AE3">
            <w:pPr>
              <w:rPr>
                <w:rFonts w:cs="Arial"/>
                <w:sz w:val="10"/>
                <w:szCs w:val="10"/>
              </w:rPr>
            </w:pPr>
          </w:p>
          <w:p w14:paraId="44FEED32" w14:textId="7F42BC25" w:rsidR="0093058B" w:rsidRDefault="0093058B" w:rsidP="00245AE3">
            <w:pPr>
              <w:rPr>
                <w:rFonts w:cs="Arial"/>
              </w:rPr>
            </w:pPr>
            <w:r w:rsidRPr="0093058B">
              <w:rPr>
                <w:rFonts w:cs="Arial"/>
                <w:b/>
                <w:bCs/>
              </w:rPr>
              <w:t>Include</w:t>
            </w:r>
            <w:r w:rsidR="008059FF">
              <w:rPr>
                <w:rFonts w:cs="Arial"/>
              </w:rPr>
              <w:t xml:space="preserve"> m</w:t>
            </w:r>
            <w:r w:rsidRPr="0093058B">
              <w:rPr>
                <w:rFonts w:cs="Arial"/>
              </w:rPr>
              <w:t xml:space="preserve">edication administrations where both the patient and medication were scanned during administration with a BCMA system that is linked to the </w:t>
            </w:r>
            <w:proofErr w:type="spellStart"/>
            <w:r w:rsidRPr="0093058B">
              <w:rPr>
                <w:rFonts w:cs="Arial"/>
              </w:rPr>
              <w:t>eMAR</w:t>
            </w:r>
            <w:proofErr w:type="spellEnd"/>
            <w:r w:rsidR="008059FF">
              <w:rPr>
                <w:rFonts w:cs="Arial"/>
              </w:rPr>
              <w:t>.</w:t>
            </w:r>
          </w:p>
          <w:p w14:paraId="247CC7BB" w14:textId="77777777" w:rsidR="0093058B" w:rsidRPr="00CF4879" w:rsidRDefault="0093058B" w:rsidP="00245AE3">
            <w:pPr>
              <w:rPr>
                <w:rFonts w:cs="Arial"/>
                <w:b/>
                <w:bCs/>
                <w:sz w:val="10"/>
                <w:szCs w:val="10"/>
              </w:rPr>
            </w:pPr>
          </w:p>
          <w:p w14:paraId="04954A13" w14:textId="4FEDF4FD" w:rsidR="00521BFD" w:rsidRPr="0093058B" w:rsidRDefault="0093058B" w:rsidP="00245AE3">
            <w:pPr>
              <w:rPr>
                <w:rFonts w:cs="Arial"/>
                <w:b/>
                <w:bCs/>
              </w:rPr>
            </w:pPr>
            <w:r w:rsidRPr="0093058B">
              <w:rPr>
                <w:rFonts w:cs="Arial"/>
                <w:b/>
                <w:bCs/>
              </w:rPr>
              <w:t>Exclude</w:t>
            </w:r>
            <w:r w:rsidR="008059FF">
              <w:rPr>
                <w:rFonts w:cs="Arial"/>
              </w:rPr>
              <w:t xml:space="preserve"> m</w:t>
            </w:r>
            <w:r w:rsidRPr="0093058B">
              <w:rPr>
                <w:rFonts w:cs="Arial"/>
              </w:rPr>
              <w:t xml:space="preserve">edication administrations where neither patient nor medication were scanned during administration or only the patient or </w:t>
            </w:r>
            <w:r w:rsidR="008D7A29">
              <w:rPr>
                <w:rFonts w:cs="Arial"/>
              </w:rPr>
              <w:t xml:space="preserve">only the </w:t>
            </w:r>
            <w:r w:rsidRPr="0093058B">
              <w:rPr>
                <w:rFonts w:cs="Arial"/>
              </w:rPr>
              <w:t xml:space="preserve">medication were scanned with a BCMA system that is linked to the </w:t>
            </w:r>
            <w:proofErr w:type="spellStart"/>
            <w:r w:rsidRPr="0093058B">
              <w:rPr>
                <w:rFonts w:cs="Arial"/>
              </w:rPr>
              <w:t>eMAR</w:t>
            </w:r>
            <w:proofErr w:type="spellEnd"/>
            <w:r w:rsidR="008059FF">
              <w:rPr>
                <w:rFonts w:cs="Arial"/>
              </w:rPr>
              <w:t>.</w:t>
            </w:r>
          </w:p>
        </w:tc>
      </w:tr>
    </w:tbl>
    <w:p w14:paraId="34851041" w14:textId="77777777" w:rsidR="008059FF" w:rsidRPr="00C8246A" w:rsidRDefault="008059FF">
      <w:pPr>
        <w:rPr>
          <w:sz w:val="10"/>
          <w:szCs w:val="10"/>
          <w:lang w:eastAsia="ja-JP"/>
        </w:rPr>
      </w:pPr>
    </w:p>
    <w:p w14:paraId="1385468B" w14:textId="4A638E39" w:rsidR="00CF7851" w:rsidRDefault="00CF7851">
      <w:pPr>
        <w:rPr>
          <w:rFonts w:cs="Arial"/>
          <w:b/>
          <w:i/>
          <w:snapToGrid w:val="0"/>
          <w:sz w:val="24"/>
          <w:szCs w:val="24"/>
          <w:lang w:eastAsia="ja-JP"/>
        </w:rPr>
      </w:pPr>
      <w:r w:rsidRPr="009A5185">
        <w:rPr>
          <w:rFonts w:cs="Arial"/>
          <w:color w:val="000000"/>
        </w:rPr>
        <w:t>See</w:t>
      </w:r>
      <w:r>
        <w:rPr>
          <w:rFonts w:cs="Arial"/>
          <w:color w:val="000000"/>
        </w:rPr>
        <w:t xml:space="preserve"> </w:t>
      </w:r>
      <w:hyperlink w:anchor="_Bar_Code_Medication" w:history="1">
        <w:r>
          <w:rPr>
            <w:rStyle w:val="Hyperlink"/>
            <w:rFonts w:cs="Arial"/>
          </w:rPr>
          <w:t>FAQs</w:t>
        </w:r>
      </w:hyperlink>
      <w:bookmarkStart w:id="197" w:name="MedRecSpecs"/>
      <w:r w:rsidRPr="009A5185">
        <w:rPr>
          <w:rFonts w:cs="Arial"/>
          <w:color w:val="000000"/>
        </w:rPr>
        <w:t xml:space="preserve"> for additional information about responding to</w:t>
      </w:r>
      <w:r>
        <w:rPr>
          <w:rFonts w:cs="Arial"/>
          <w:color w:val="000000"/>
        </w:rPr>
        <w:t xml:space="preserve"> the</w:t>
      </w:r>
      <w:r w:rsidRPr="009A5185">
        <w:rPr>
          <w:rFonts w:cs="Arial"/>
          <w:color w:val="000000"/>
        </w:rPr>
        <w:t xml:space="preserve"> questions in this section.</w:t>
      </w:r>
      <w:r>
        <w:br w:type="page"/>
      </w:r>
    </w:p>
    <w:p w14:paraId="51C172C5" w14:textId="3478534D" w:rsidR="0084408C" w:rsidRPr="009A5185" w:rsidRDefault="0084408C" w:rsidP="00AB5B80">
      <w:pPr>
        <w:pStyle w:val="Heading3"/>
      </w:pPr>
      <w:bookmarkStart w:id="198" w:name="_Medication_Reconciliation_1"/>
      <w:bookmarkStart w:id="199" w:name="_Ref123646715"/>
      <w:bookmarkStart w:id="200" w:name="_Toc225877699"/>
      <w:bookmarkEnd w:id="198"/>
      <w:r w:rsidRPr="009A5185">
        <w:lastRenderedPageBreak/>
        <w:t>Medication Reconciliation</w:t>
      </w:r>
      <w:bookmarkEnd w:id="199"/>
      <w:r w:rsidR="00B078B4">
        <w:t xml:space="preserve"> Measure Specifications</w:t>
      </w:r>
      <w:bookmarkEnd w:id="200"/>
    </w:p>
    <w:bookmarkEnd w:id="197"/>
    <w:p w14:paraId="055CCFA1" w14:textId="77777777" w:rsidR="0084408C" w:rsidRPr="009A5185" w:rsidRDefault="0084408C" w:rsidP="0084408C">
      <w:pPr>
        <w:rPr>
          <w:rFonts w:cs="Arial"/>
          <w:lang w:eastAsia="ja-JP"/>
        </w:rPr>
      </w:pPr>
    </w:p>
    <w:p w14:paraId="549601B8" w14:textId="77777777" w:rsidR="0084408C" w:rsidRPr="009A5185" w:rsidRDefault="0084408C" w:rsidP="0084408C">
      <w:pPr>
        <w:rPr>
          <w:rFonts w:cs="Arial"/>
          <w:b/>
          <w:color w:val="FF0000"/>
          <w:lang w:eastAsia="ja-JP"/>
        </w:rPr>
      </w:pPr>
      <w:r w:rsidRPr="009A5185">
        <w:rPr>
          <w:rFonts w:cs="Arial"/>
          <w:b/>
          <w:color w:val="FF0000"/>
          <w:lang w:eastAsia="ja-JP"/>
        </w:rPr>
        <w:t xml:space="preserve">Important Notes: </w:t>
      </w:r>
    </w:p>
    <w:p w14:paraId="19CCCC75" w14:textId="77777777" w:rsidR="0084408C" w:rsidRPr="009A5185" w:rsidRDefault="0084408C" w:rsidP="0084408C">
      <w:pPr>
        <w:rPr>
          <w:rFonts w:cs="Arial"/>
          <w:b/>
          <w:color w:val="FF0000"/>
          <w:lang w:eastAsia="ja-JP"/>
        </w:rPr>
      </w:pPr>
    </w:p>
    <w:p w14:paraId="60CC6B76" w14:textId="43312C43" w:rsidR="0084408C" w:rsidRDefault="0084408C" w:rsidP="0084408C">
      <w:pPr>
        <w:pStyle w:val="BodyText3"/>
        <w:rPr>
          <w:rFonts w:cs="Arial"/>
          <w:color w:val="auto"/>
          <w:lang w:eastAsia="ja-JP"/>
        </w:rPr>
      </w:pPr>
      <w:r w:rsidRPr="009A5185">
        <w:rPr>
          <w:rFonts w:cs="Arial"/>
          <w:color w:val="auto"/>
          <w:lang w:eastAsia="ja-JP"/>
        </w:rPr>
        <w:t>Note 1: This section does not apply to pediatric hospitals.</w:t>
      </w:r>
    </w:p>
    <w:p w14:paraId="507BE74C" w14:textId="0583068C" w:rsidR="0084408C" w:rsidRDefault="0084408C" w:rsidP="0084408C">
      <w:pPr>
        <w:pStyle w:val="BodyText3"/>
        <w:rPr>
          <w:rFonts w:cs="Arial"/>
          <w:color w:val="auto"/>
          <w:lang w:eastAsia="ja-JP"/>
        </w:rPr>
      </w:pPr>
    </w:p>
    <w:p w14:paraId="0E9ED1A0" w14:textId="102D929F" w:rsidR="0084408C" w:rsidRPr="00CF7851" w:rsidRDefault="0084408C" w:rsidP="00CF7851">
      <w:pPr>
        <w:rPr>
          <w:rFonts w:cs="Arial"/>
          <w:snapToGrid w:val="0"/>
        </w:rPr>
      </w:pPr>
      <w:r w:rsidRPr="009A5185">
        <w:rPr>
          <w:rFonts w:cs="Arial"/>
          <w:lang w:eastAsia="ja-JP"/>
        </w:rPr>
        <w:t xml:space="preserve">Note </w:t>
      </w:r>
      <w:r>
        <w:rPr>
          <w:rFonts w:cs="Arial"/>
          <w:lang w:eastAsia="ja-JP"/>
        </w:rPr>
        <w:t>2</w:t>
      </w:r>
      <w:r w:rsidRPr="009A5185">
        <w:rPr>
          <w:rFonts w:cs="Arial"/>
          <w:lang w:eastAsia="ja-JP"/>
        </w:rPr>
        <w:t xml:space="preserve">: </w:t>
      </w:r>
      <w:r w:rsidRPr="009A5185">
        <w:rPr>
          <w:rFonts w:cs="Arial"/>
          <w:snapToGrid w:val="0"/>
        </w:rPr>
        <w:t xml:space="preserve">Hospitals that share a </w:t>
      </w:r>
      <w:r>
        <w:rPr>
          <w:rFonts w:cs="Arial"/>
          <w:snapToGrid w:val="0"/>
        </w:rPr>
        <w:t>CMS Certification Number</w:t>
      </w:r>
      <w:r w:rsidRPr="009A5185">
        <w:rPr>
          <w:rFonts w:cs="Arial"/>
          <w:snapToGrid w:val="0"/>
        </w:rPr>
        <w:t xml:space="preserve"> are required to report by facility. Please carefully review </w:t>
      </w:r>
      <w:hyperlink r:id="rId182" w:history="1">
        <w:r w:rsidRPr="009A5185">
          <w:rPr>
            <w:rStyle w:val="Hyperlink"/>
            <w:rFonts w:cs="Arial"/>
            <w:snapToGrid w:val="0"/>
          </w:rPr>
          <w:t>Leapfrog’s Multi-Campus Reporting Policy</w:t>
        </w:r>
      </w:hyperlink>
      <w:r w:rsidRPr="009A5185">
        <w:rPr>
          <w:rFonts w:cs="Arial"/>
          <w:snapToGrid w:val="0"/>
        </w:rPr>
        <w:t>.</w:t>
      </w:r>
    </w:p>
    <w:p w14:paraId="1D43683C" w14:textId="77777777" w:rsidR="0084408C" w:rsidRPr="009A5185" w:rsidRDefault="0084408C" w:rsidP="0084408C">
      <w:pPr>
        <w:rPr>
          <w:rFonts w:cs="Arial"/>
          <w:b/>
          <w:color w:val="FF0000"/>
          <w:lang w:eastAsia="ja-JP"/>
        </w:rPr>
      </w:pPr>
    </w:p>
    <w:p w14:paraId="3E027B85" w14:textId="74E0EDD3" w:rsidR="0084408C" w:rsidRPr="009A5185" w:rsidRDefault="0084408C" w:rsidP="0084408C">
      <w:pPr>
        <w:rPr>
          <w:rFonts w:cs="Arial"/>
          <w:b/>
          <w:color w:val="FF0000"/>
          <w:lang w:eastAsia="ja-JP"/>
        </w:rPr>
      </w:pPr>
      <w:r w:rsidRPr="009A5185">
        <w:rPr>
          <w:rFonts w:cs="Arial"/>
          <w:lang w:eastAsia="ja-JP"/>
        </w:rPr>
        <w:t xml:space="preserve">Note </w:t>
      </w:r>
      <w:r>
        <w:rPr>
          <w:rFonts w:cs="Arial"/>
          <w:lang w:eastAsia="ja-JP"/>
        </w:rPr>
        <w:t>3</w:t>
      </w:r>
      <w:r w:rsidRPr="009A5185">
        <w:rPr>
          <w:rFonts w:cs="Arial"/>
          <w:lang w:eastAsia="ja-JP"/>
        </w:rPr>
        <w:t xml:space="preserve">: </w:t>
      </w:r>
      <w:r w:rsidRPr="009A5185">
        <w:rPr>
          <w:rFonts w:cs="Arial"/>
        </w:rPr>
        <w:t xml:space="preserve">A hospital pharmacist </w:t>
      </w:r>
      <w:r>
        <w:rPr>
          <w:rFonts w:cs="Arial"/>
        </w:rPr>
        <w:t xml:space="preserve">or </w:t>
      </w:r>
      <w:hyperlink w:anchor="CertifiedPharmacyTechnician" w:history="1">
        <w:r>
          <w:rPr>
            <w:rStyle w:val="Hyperlink"/>
            <w:rFonts w:cs="Arial"/>
          </w:rPr>
          <w:t>certified pharmacy technician</w:t>
        </w:r>
      </w:hyperlink>
      <w:r w:rsidR="00E94620" w:rsidRPr="009617F5">
        <w:rPr>
          <w:rStyle w:val="Hyperlink"/>
          <w:rFonts w:cs="Arial"/>
          <w:color w:val="auto"/>
          <w:u w:val="none"/>
          <w:vertAlign w:val="superscript"/>
        </w:rPr>
        <w:t>2</w:t>
      </w:r>
      <w:r w:rsidR="00E94620" w:rsidRPr="009617F5">
        <w:rPr>
          <w:rFonts w:cs="Arial"/>
          <w:vertAlign w:val="superscript"/>
        </w:rPr>
        <w:t>3</w:t>
      </w:r>
      <w:r>
        <w:rPr>
          <w:rFonts w:cs="Arial"/>
        </w:rPr>
        <w:t xml:space="preserve"> </w:t>
      </w:r>
      <w:r w:rsidRPr="009A5185">
        <w:rPr>
          <w:rFonts w:cs="Arial"/>
        </w:rPr>
        <w:t xml:space="preserve">plays two important roles in data collection for this measure. First, the pharmacist </w:t>
      </w:r>
      <w:r>
        <w:rPr>
          <w:rFonts w:cs="Arial"/>
        </w:rPr>
        <w:t xml:space="preserve">or certified pharmacy technician </w:t>
      </w:r>
      <w:r w:rsidRPr="009A5185">
        <w:rPr>
          <w:rFonts w:cs="Arial"/>
        </w:rPr>
        <w:t>is responsible for obtaining the Gold Standard Medication History from each sampled patient. Second, the pharmacist</w:t>
      </w:r>
      <w:r>
        <w:rPr>
          <w:rFonts w:cs="Arial"/>
        </w:rPr>
        <w:t xml:space="preserve"> </w:t>
      </w:r>
      <w:r w:rsidRPr="009A5185">
        <w:rPr>
          <w:rFonts w:cs="Arial"/>
        </w:rPr>
        <w:t>is responsible for identifying the unintentional discrepancies by comparing the Gold Standard Medication History to admission orders and discharge orders.</w:t>
      </w:r>
    </w:p>
    <w:p w14:paraId="0049803A" w14:textId="77777777" w:rsidR="0084408C" w:rsidRPr="009A5185" w:rsidRDefault="0084408C" w:rsidP="0084408C">
      <w:pPr>
        <w:rPr>
          <w:rFonts w:cs="Arial"/>
          <w:lang w:eastAsia="ja-JP"/>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0"/>
      </w:tblGrid>
      <w:tr w:rsidR="0084408C" w:rsidRPr="009A5185" w14:paraId="1A9BB00E" w14:textId="77777777" w:rsidTr="00C02CE6">
        <w:trPr>
          <w:trHeight w:val="360"/>
        </w:trPr>
        <w:tc>
          <w:tcPr>
            <w:tcW w:w="5000" w:type="pct"/>
            <w:vAlign w:val="center"/>
          </w:tcPr>
          <w:p w14:paraId="1EC8DB8F" w14:textId="77777777" w:rsidR="0084408C" w:rsidRPr="009A5185" w:rsidRDefault="0084408C" w:rsidP="00C02CE6">
            <w:pPr>
              <w:autoSpaceDE w:val="0"/>
              <w:autoSpaceDN w:val="0"/>
              <w:adjustRightInd w:val="0"/>
              <w:rPr>
                <w:rFonts w:cs="Arial"/>
                <w:b/>
              </w:rPr>
            </w:pPr>
            <w:r w:rsidRPr="009A5185">
              <w:rPr>
                <w:rFonts w:cs="Arial"/>
                <w:b/>
              </w:rPr>
              <w:t xml:space="preserve">Source: </w:t>
            </w:r>
            <w:r w:rsidRPr="009A5185">
              <w:rPr>
                <w:rFonts w:cs="Arial"/>
              </w:rPr>
              <w:t>Brigham and Women’s Hospital (NQF #2456)</w:t>
            </w:r>
          </w:p>
        </w:tc>
      </w:tr>
      <w:tr w:rsidR="0084408C" w:rsidRPr="009A5185" w14:paraId="2735AFB9" w14:textId="77777777" w:rsidTr="00C02CE6">
        <w:trPr>
          <w:trHeight w:val="360"/>
        </w:trPr>
        <w:tc>
          <w:tcPr>
            <w:tcW w:w="5000" w:type="pct"/>
            <w:vAlign w:val="center"/>
          </w:tcPr>
          <w:p w14:paraId="486D612C" w14:textId="25890829" w:rsidR="0084408C" w:rsidRPr="009A5185" w:rsidRDefault="0084408C" w:rsidP="00C02CE6">
            <w:pPr>
              <w:autoSpaceDE w:val="0"/>
              <w:autoSpaceDN w:val="0"/>
              <w:adjustRightInd w:val="0"/>
              <w:rPr>
                <w:rFonts w:cs="Arial"/>
                <w:b/>
              </w:rPr>
            </w:pPr>
            <w:r w:rsidRPr="009A5185">
              <w:rPr>
                <w:rFonts w:cs="Arial"/>
                <w:b/>
              </w:rPr>
              <w:t xml:space="preserve">Reporting Period: </w:t>
            </w:r>
            <w:r w:rsidRPr="009A5185">
              <w:rPr>
                <w:rFonts w:cs="Arial"/>
              </w:rPr>
              <w:t xml:space="preserve">The latest </w:t>
            </w:r>
            <w:r>
              <w:rPr>
                <w:rFonts w:cs="Arial"/>
              </w:rPr>
              <w:t>6</w:t>
            </w:r>
            <w:r w:rsidRPr="009A5185">
              <w:rPr>
                <w:rFonts w:cs="Arial"/>
              </w:rPr>
              <w:t xml:space="preserve">-month period prior to submission of this section of the Survey. </w:t>
            </w:r>
          </w:p>
        </w:tc>
      </w:tr>
      <w:tr w:rsidR="0084408C" w:rsidRPr="009A5185" w14:paraId="4725B090" w14:textId="77777777" w:rsidTr="00CF4879">
        <w:trPr>
          <w:trHeight w:val="4752"/>
        </w:trPr>
        <w:tc>
          <w:tcPr>
            <w:tcW w:w="5000" w:type="pct"/>
            <w:vAlign w:val="center"/>
          </w:tcPr>
          <w:p w14:paraId="51A324C6" w14:textId="3850AA80" w:rsidR="0084408C" w:rsidRPr="009A5185" w:rsidRDefault="00496D67" w:rsidP="00C02CE6">
            <w:pPr>
              <w:pStyle w:val="NoSpacing"/>
              <w:rPr>
                <w:rFonts w:ascii="Arial" w:hAnsi="Arial" w:cs="Arial"/>
                <w:b/>
                <w:sz w:val="20"/>
                <w:szCs w:val="20"/>
              </w:rPr>
            </w:pPr>
            <w:r>
              <w:rPr>
                <w:rFonts w:ascii="Arial" w:hAnsi="Arial" w:cs="Arial"/>
                <w:b/>
                <w:sz w:val="20"/>
                <w:szCs w:val="20"/>
              </w:rPr>
              <w:t>Materials for Data Collection</w:t>
            </w:r>
            <w:r w:rsidR="00652EFD">
              <w:rPr>
                <w:rFonts w:ascii="Arial" w:hAnsi="Arial" w:cs="Arial"/>
                <w:b/>
                <w:sz w:val="20"/>
                <w:szCs w:val="20"/>
              </w:rPr>
              <w:t>:</w:t>
            </w:r>
          </w:p>
          <w:p w14:paraId="17E90664" w14:textId="19521B96" w:rsidR="0084408C" w:rsidRPr="009A5185" w:rsidRDefault="0084408C" w:rsidP="00C02CE6">
            <w:pPr>
              <w:pStyle w:val="NoSpacing"/>
              <w:rPr>
                <w:rFonts w:ascii="Arial" w:hAnsi="Arial" w:cs="Arial"/>
                <w:sz w:val="20"/>
                <w:szCs w:val="20"/>
              </w:rPr>
            </w:pPr>
            <w:r w:rsidRPr="009A5185">
              <w:rPr>
                <w:rFonts w:ascii="Arial" w:hAnsi="Arial" w:cs="Arial"/>
                <w:sz w:val="20"/>
                <w:szCs w:val="20"/>
              </w:rPr>
              <w:t>To complete the data collection for this subsection and respond to questions #</w:t>
            </w:r>
            <w:r>
              <w:rPr>
                <w:rFonts w:ascii="Arial" w:hAnsi="Arial" w:cs="Arial"/>
                <w:sz w:val="20"/>
                <w:szCs w:val="20"/>
              </w:rPr>
              <w:t>3-8</w:t>
            </w:r>
            <w:r w:rsidRPr="009A5185">
              <w:rPr>
                <w:rFonts w:ascii="Arial" w:hAnsi="Arial" w:cs="Arial"/>
                <w:sz w:val="20"/>
                <w:szCs w:val="20"/>
              </w:rPr>
              <w:t xml:space="preserve"> hospitals should download four important tools:</w:t>
            </w:r>
          </w:p>
          <w:p w14:paraId="61A6E538" w14:textId="098E0E4F" w:rsidR="0084408C" w:rsidRPr="009A5185" w:rsidRDefault="0084408C" w:rsidP="00AD309C">
            <w:pPr>
              <w:pStyle w:val="ListParagraph"/>
              <w:numPr>
                <w:ilvl w:val="0"/>
                <w:numId w:val="72"/>
              </w:numPr>
              <w:ind w:left="360"/>
              <w:contextualSpacing w:val="0"/>
              <w:rPr>
                <w:rFonts w:cs="Arial"/>
              </w:rPr>
            </w:pPr>
            <w:r w:rsidRPr="009A5185">
              <w:rPr>
                <w:rFonts w:cs="Arial"/>
              </w:rPr>
              <w:t xml:space="preserve">The </w:t>
            </w:r>
            <w:hyperlink r:id="rId183" w:history="1">
              <w:r w:rsidR="00013B13" w:rsidRPr="00013B13">
                <w:rPr>
                  <w:rStyle w:val="Hyperlink"/>
                  <w:rFonts w:cs="Arial"/>
                  <w:b/>
                  <w:bCs/>
                </w:rPr>
                <w:t>Medication Reconciliation Workbook</w:t>
              </w:r>
            </w:hyperlink>
            <w:r w:rsidRPr="009A5185">
              <w:rPr>
                <w:rFonts w:cs="Arial"/>
              </w:rPr>
              <w:t xml:space="preserve"> </w:t>
            </w:r>
            <w:r w:rsidR="00013B13" w:rsidRPr="00013B13">
              <w:rPr>
                <w:rFonts w:cs="Arial"/>
              </w:rPr>
              <w:t>(Excel)</w:t>
            </w:r>
            <w:r w:rsidR="00013B13">
              <w:rPr>
                <w:rFonts w:cs="Arial"/>
              </w:rPr>
              <w:t xml:space="preserve"> </w:t>
            </w:r>
            <w:r w:rsidRPr="009A5185">
              <w:rPr>
                <w:rFonts w:cs="Arial"/>
              </w:rPr>
              <w:t xml:space="preserve">includes 3 tabs: Instructions, Sampling, and Data Entry. This can be used to identify patients to sample and collect data from, as well as calculate the responses to enter into the </w:t>
            </w:r>
            <w:r>
              <w:rPr>
                <w:rFonts w:cs="Arial"/>
              </w:rPr>
              <w:t>Online Hospital Survey Tool</w:t>
            </w:r>
            <w:r w:rsidRPr="009A5185">
              <w:rPr>
                <w:rFonts w:cs="Arial"/>
              </w:rPr>
              <w:t xml:space="preserve"> from the completed Worksheets.</w:t>
            </w:r>
          </w:p>
          <w:p w14:paraId="5AB48CB4" w14:textId="2C57FB26" w:rsidR="0084408C" w:rsidRPr="009A5185" w:rsidRDefault="0084408C" w:rsidP="00AD309C">
            <w:pPr>
              <w:pStyle w:val="ListParagraph"/>
              <w:numPr>
                <w:ilvl w:val="0"/>
                <w:numId w:val="70"/>
              </w:numPr>
              <w:ind w:left="360"/>
              <w:rPr>
                <w:rFonts w:eastAsia="MS Mincho" w:cs="Arial"/>
              </w:rPr>
            </w:pPr>
            <w:r w:rsidRPr="009A5185">
              <w:rPr>
                <w:rFonts w:cs="Arial"/>
              </w:rPr>
              <w:t>The</w:t>
            </w:r>
            <w:r w:rsidRPr="007B5183">
              <w:rPr>
                <w:rFonts w:cs="Arial"/>
              </w:rPr>
              <w:t xml:space="preserve"> </w:t>
            </w:r>
            <w:hyperlink r:id="rId184" w:history="1">
              <w:r w:rsidRPr="007B5183">
                <w:rPr>
                  <w:rStyle w:val="Hyperlink"/>
                  <w:rFonts w:cs="Arial"/>
                  <w:b/>
                </w:rPr>
                <w:t>Medication Reconciliation Worksheet</w:t>
              </w:r>
            </w:hyperlink>
            <w:r w:rsidRPr="009A5185">
              <w:rPr>
                <w:rFonts w:eastAsia="MS Mincho" w:cs="Arial"/>
              </w:rPr>
              <w:t xml:space="preserve"> </w:t>
            </w:r>
            <w:r w:rsidR="00013B13">
              <w:rPr>
                <w:rFonts w:eastAsia="MS Mincho" w:cs="Arial"/>
              </w:rPr>
              <w:t xml:space="preserve">(Word) </w:t>
            </w:r>
            <w:r w:rsidRPr="009A5185">
              <w:rPr>
                <w:rFonts w:cs="Arial"/>
              </w:rPr>
              <w:t xml:space="preserve">can be used by the pharmacist to identify the number of unintentional discrepancies at admission and/or discharge for each sampled patient </w:t>
            </w:r>
            <w:r>
              <w:rPr>
                <w:rFonts w:cs="Arial"/>
              </w:rPr>
              <w:t>(question #6</w:t>
            </w:r>
            <w:r w:rsidRPr="009A5185">
              <w:rPr>
                <w:rFonts w:cs="Arial"/>
              </w:rPr>
              <w:t>). The Medication Reconciliation Worksheet can also be used to track additional medications that were ordered unintentionally at admissio</w:t>
            </w:r>
            <w:r>
              <w:rPr>
                <w:rFonts w:cs="Arial"/>
              </w:rPr>
              <w:t>n and/or discharge (questions #7-8</w:t>
            </w:r>
            <w:r w:rsidRPr="009A5185">
              <w:rPr>
                <w:rFonts w:cs="Arial"/>
              </w:rPr>
              <w:t>).</w:t>
            </w:r>
          </w:p>
          <w:p w14:paraId="5B86BCCA" w14:textId="1C4067B6" w:rsidR="0084408C" w:rsidRPr="009A5185" w:rsidRDefault="0084408C" w:rsidP="00AD309C">
            <w:pPr>
              <w:pStyle w:val="NoSpacing"/>
              <w:numPr>
                <w:ilvl w:val="0"/>
                <w:numId w:val="70"/>
              </w:numPr>
              <w:ind w:left="360"/>
              <w:rPr>
                <w:rFonts w:ascii="Arial" w:hAnsi="Arial" w:cs="Arial"/>
                <w:sz w:val="20"/>
                <w:szCs w:val="20"/>
              </w:rPr>
            </w:pPr>
            <w:r w:rsidRPr="009A5185">
              <w:rPr>
                <w:rFonts w:ascii="Arial" w:hAnsi="Arial" w:cs="Arial"/>
                <w:sz w:val="20"/>
                <w:szCs w:val="20"/>
              </w:rPr>
              <w:t xml:space="preserve">The </w:t>
            </w:r>
            <w:hyperlink r:id="rId185" w:history="1">
              <w:r w:rsidRPr="007B5183">
                <w:rPr>
                  <w:rStyle w:val="Hyperlink"/>
                  <w:rFonts w:ascii="Arial" w:hAnsi="Arial" w:cs="Arial"/>
                  <w:b/>
                  <w:sz w:val="20"/>
                  <w:szCs w:val="20"/>
                </w:rPr>
                <w:t>MARQUIS 2 Best Possible Medication History: Quick Tips</w:t>
              </w:r>
            </w:hyperlink>
            <w:r w:rsidRPr="009A5185">
              <w:rPr>
                <w:rFonts w:ascii="Arial" w:hAnsi="Arial" w:cs="Arial"/>
                <w:b/>
                <w:sz w:val="20"/>
                <w:szCs w:val="20"/>
              </w:rPr>
              <w:t xml:space="preserve"> </w:t>
            </w:r>
            <w:r w:rsidRPr="009A5185">
              <w:rPr>
                <w:rFonts w:ascii="Arial" w:hAnsi="Arial" w:cs="Arial"/>
                <w:sz w:val="20"/>
                <w:szCs w:val="20"/>
              </w:rPr>
              <w:t>tri-fold (PDF) includes important information on how the pharmacist</w:t>
            </w:r>
            <w:r>
              <w:rPr>
                <w:rFonts w:ascii="Arial" w:hAnsi="Arial" w:cs="Arial"/>
                <w:sz w:val="20"/>
                <w:szCs w:val="20"/>
              </w:rPr>
              <w:t xml:space="preserve"> or </w:t>
            </w:r>
            <w:hyperlink w:anchor="CertifiedPharmacyTechnician" w:history="1">
              <w:r w:rsidRPr="00645B8B">
                <w:rPr>
                  <w:rStyle w:val="Hyperlink"/>
                  <w:rFonts w:ascii="Arial" w:hAnsi="Arial" w:cs="Arial"/>
                  <w:sz w:val="20"/>
                  <w:szCs w:val="20"/>
                </w:rPr>
                <w:t>certified pharmacy technician</w:t>
              </w:r>
            </w:hyperlink>
            <w:r w:rsidR="00E94620" w:rsidRPr="009617F5">
              <w:rPr>
                <w:rStyle w:val="Hyperlink"/>
                <w:rFonts w:ascii="Arial" w:hAnsi="Arial" w:cs="Arial"/>
                <w:color w:val="auto"/>
                <w:u w:val="none"/>
                <w:vertAlign w:val="superscript"/>
              </w:rPr>
              <w:t>2</w:t>
            </w:r>
            <w:r w:rsidR="00E94620" w:rsidRPr="009617F5">
              <w:rPr>
                <w:rFonts w:ascii="Arial" w:hAnsi="Arial" w:cs="Arial"/>
                <w:vertAlign w:val="superscript"/>
              </w:rPr>
              <w:t>3</w:t>
            </w:r>
            <w:r w:rsidRPr="009A5185">
              <w:rPr>
                <w:rFonts w:ascii="Arial" w:hAnsi="Arial" w:cs="Arial"/>
                <w:sz w:val="20"/>
                <w:szCs w:val="20"/>
              </w:rPr>
              <w:t xml:space="preserve"> should obtain the Gold Standard Medication History</w:t>
            </w:r>
          </w:p>
          <w:p w14:paraId="5B0584B2" w14:textId="7C707B81" w:rsidR="0084408C" w:rsidRPr="00815D49" w:rsidRDefault="008F5E98" w:rsidP="00AD309C">
            <w:pPr>
              <w:pStyle w:val="NoSpacing"/>
              <w:numPr>
                <w:ilvl w:val="0"/>
                <w:numId w:val="70"/>
              </w:numPr>
              <w:ind w:left="360"/>
              <w:rPr>
                <w:rFonts w:ascii="Arial" w:hAnsi="Arial" w:cs="Arial"/>
                <w:b/>
                <w:sz w:val="20"/>
                <w:szCs w:val="20"/>
              </w:rPr>
            </w:pPr>
            <w:hyperlink r:id="rId186" w:history="1">
              <w:r>
                <w:rPr>
                  <w:rStyle w:val="Hyperlink"/>
                  <w:rFonts w:ascii="Arial" w:hAnsi="Arial" w:cs="Arial"/>
                  <w:b/>
                  <w:bCs/>
                  <w:sz w:val="20"/>
                  <w:szCs w:val="20"/>
                </w:rPr>
                <w:t>Identifying Discrepancies Flow Chart</w:t>
              </w:r>
            </w:hyperlink>
            <w:r w:rsidR="0084408C" w:rsidRPr="009A5185">
              <w:rPr>
                <w:rFonts w:ascii="Arial" w:hAnsi="Arial" w:cs="Arial"/>
                <w:b/>
                <w:sz w:val="20"/>
                <w:szCs w:val="20"/>
              </w:rPr>
              <w:t xml:space="preserve"> </w:t>
            </w:r>
            <w:r w:rsidR="00652EFD" w:rsidRPr="00652EFD">
              <w:rPr>
                <w:rFonts w:ascii="Arial" w:hAnsi="Arial" w:cs="Arial"/>
                <w:bCs/>
                <w:sz w:val="20"/>
                <w:szCs w:val="20"/>
              </w:rPr>
              <w:t xml:space="preserve">(PDF) </w:t>
            </w:r>
            <w:r w:rsidR="0084408C" w:rsidRPr="00652EFD">
              <w:rPr>
                <w:rFonts w:ascii="Arial" w:hAnsi="Arial" w:cs="Arial"/>
                <w:bCs/>
                <w:sz w:val="20"/>
                <w:szCs w:val="20"/>
              </w:rPr>
              <w:t>includes</w:t>
            </w:r>
            <w:r w:rsidR="0084408C" w:rsidRPr="009A5185">
              <w:rPr>
                <w:rFonts w:ascii="Arial" w:hAnsi="Arial" w:cs="Arial"/>
                <w:sz w:val="20"/>
                <w:szCs w:val="20"/>
              </w:rPr>
              <w:t xml:space="preserve"> important information on how the pharmacist</w:t>
            </w:r>
            <w:r w:rsidR="0084408C">
              <w:rPr>
                <w:rFonts w:ascii="Arial" w:hAnsi="Arial" w:cs="Arial"/>
                <w:sz w:val="20"/>
                <w:szCs w:val="20"/>
              </w:rPr>
              <w:t xml:space="preserve"> </w:t>
            </w:r>
            <w:r w:rsidR="0084408C" w:rsidRPr="009A5185">
              <w:rPr>
                <w:rFonts w:ascii="Arial" w:hAnsi="Arial" w:cs="Arial"/>
                <w:sz w:val="20"/>
                <w:szCs w:val="20"/>
              </w:rPr>
              <w:t xml:space="preserve">should identify discrepancies between the Gold Standard Medication History and admission and discharge orders. </w:t>
            </w:r>
          </w:p>
          <w:p w14:paraId="51153DAC" w14:textId="38175180" w:rsidR="00995194" w:rsidRPr="00B9492A" w:rsidRDefault="00995194" w:rsidP="00B9492A">
            <w:pPr>
              <w:pStyle w:val="NoSpacing"/>
              <w:numPr>
                <w:ilvl w:val="0"/>
                <w:numId w:val="70"/>
              </w:numPr>
              <w:ind w:left="360"/>
              <w:rPr>
                <w:rFonts w:ascii="Arial" w:hAnsi="Arial" w:cs="Arial"/>
                <w:b/>
                <w:sz w:val="20"/>
                <w:szCs w:val="20"/>
              </w:rPr>
            </w:pPr>
            <w:hyperlink r:id="rId187" w:history="1">
              <w:r w:rsidRPr="005B3839">
                <w:rPr>
                  <w:rStyle w:val="Hyperlink"/>
                  <w:rFonts w:ascii="Arial" w:hAnsi="Arial" w:cs="Arial"/>
                  <w:b/>
                  <w:bCs/>
                  <w:sz w:val="20"/>
                  <w:szCs w:val="20"/>
                </w:rPr>
                <w:t>Data Collection Flow Chart</w:t>
              </w:r>
            </w:hyperlink>
            <w:r>
              <w:rPr>
                <w:rFonts w:ascii="Arial" w:hAnsi="Arial" w:cs="Arial"/>
                <w:sz w:val="20"/>
                <w:szCs w:val="20"/>
              </w:rPr>
              <w:t xml:space="preserve"> (PDF) includes important information outlining the steps on how the data should be collected for this measure. </w:t>
            </w:r>
            <w:r w:rsidRPr="009A5185">
              <w:rPr>
                <w:rFonts w:ascii="Arial" w:hAnsi="Arial" w:cs="Arial"/>
                <w:sz w:val="20"/>
                <w:szCs w:val="20"/>
              </w:rPr>
              <w:t xml:space="preserve"> </w:t>
            </w:r>
          </w:p>
          <w:p w14:paraId="7DC08F68" w14:textId="77777777" w:rsidR="0084408C" w:rsidRPr="009A5185" w:rsidRDefault="0084408C" w:rsidP="00C02CE6">
            <w:pPr>
              <w:pStyle w:val="NoSpacing"/>
              <w:rPr>
                <w:rFonts w:ascii="Arial" w:hAnsi="Arial" w:cs="Arial"/>
                <w:sz w:val="20"/>
                <w:szCs w:val="20"/>
              </w:rPr>
            </w:pPr>
          </w:p>
          <w:p w14:paraId="466260BB" w14:textId="05E188FB" w:rsidR="00F72C9F" w:rsidRPr="00F72C9F" w:rsidRDefault="0084408C" w:rsidP="00C02CE6">
            <w:pPr>
              <w:pStyle w:val="NoSpacing"/>
              <w:rPr>
                <w:rFonts w:ascii="Arial" w:hAnsi="Arial" w:cs="Arial"/>
                <w:sz w:val="20"/>
                <w:szCs w:val="20"/>
              </w:rPr>
            </w:pPr>
            <w:r w:rsidRPr="009A5185">
              <w:rPr>
                <w:rFonts w:ascii="Arial" w:hAnsi="Arial" w:cs="Arial"/>
                <w:sz w:val="20"/>
                <w:szCs w:val="20"/>
              </w:rPr>
              <w:t xml:space="preserve">All of these tools are available on the </w:t>
            </w:r>
            <w:hyperlink r:id="rId188" w:history="1">
              <w:r w:rsidRPr="009A5185">
                <w:rPr>
                  <w:rStyle w:val="Hyperlink"/>
                  <w:rFonts w:ascii="Arial" w:hAnsi="Arial" w:cs="Arial"/>
                  <w:sz w:val="20"/>
                  <w:szCs w:val="20"/>
                </w:rPr>
                <w:t>Survey and CPOE Materials webpage</w:t>
              </w:r>
            </w:hyperlink>
            <w:r w:rsidRPr="009A5185">
              <w:rPr>
                <w:rFonts w:ascii="Arial" w:hAnsi="Arial" w:cs="Arial"/>
                <w:sz w:val="20"/>
                <w:szCs w:val="20"/>
              </w:rPr>
              <w:t xml:space="preserve"> and should be used when reporting on this measure. </w:t>
            </w:r>
          </w:p>
        </w:tc>
      </w:tr>
    </w:tbl>
    <w:p w14:paraId="0BF35ADC" w14:textId="77777777" w:rsidR="0084408C" w:rsidRPr="009A5185" w:rsidRDefault="0084408C" w:rsidP="0084408C">
      <w:pPr>
        <w:pStyle w:val="EndnoteText"/>
        <w:rPr>
          <w:rFonts w:cs="Arial"/>
        </w:rPr>
      </w:pPr>
    </w:p>
    <w:p w14:paraId="11F15589" w14:textId="457A8C51" w:rsidR="0084408C" w:rsidRPr="009A5185" w:rsidRDefault="0084408C" w:rsidP="0084408C">
      <w:pPr>
        <w:pStyle w:val="EndnoteText"/>
        <w:rPr>
          <w:rFonts w:cs="Arial"/>
        </w:rPr>
      </w:pPr>
      <w:r w:rsidRPr="009A5185">
        <w:rPr>
          <w:rFonts w:cs="Arial"/>
        </w:rPr>
        <w:t xml:space="preserve">The intent of this measure is to calculate your hospital’s rate of unintentional medication </w:t>
      </w:r>
      <w:r>
        <w:rPr>
          <w:rFonts w:cs="Arial"/>
        </w:rPr>
        <w:t>discrepancies per medication</w:t>
      </w:r>
      <w:r w:rsidRPr="00327BB5">
        <w:rPr>
          <w:rFonts w:cs="Arial"/>
        </w:rPr>
        <w:t>.</w:t>
      </w:r>
      <w:r w:rsidRPr="009A5185">
        <w:rPr>
          <w:rFonts w:cs="Arial"/>
        </w:rPr>
        <w:t xml:space="preserve"> </w:t>
      </w:r>
      <w:r w:rsidR="00FA374A">
        <w:rPr>
          <w:rFonts w:cs="Arial"/>
        </w:rPr>
        <w:t xml:space="preserve">Hospitals may perform data collection </w:t>
      </w:r>
      <w:r w:rsidR="00DA0E7A">
        <w:rPr>
          <w:rFonts w:cs="Arial"/>
        </w:rPr>
        <w:t xml:space="preserve">on a regular basis or just </w:t>
      </w:r>
      <w:r w:rsidR="00FA374A">
        <w:rPr>
          <w:rFonts w:cs="Arial"/>
        </w:rPr>
        <w:t>once for the purposes of reporting on this measure to Leapfrog</w:t>
      </w:r>
      <w:r w:rsidR="00DA0E7A">
        <w:rPr>
          <w:rFonts w:cs="Arial"/>
        </w:rPr>
        <w:t>.</w:t>
      </w:r>
    </w:p>
    <w:p w14:paraId="726B114E" w14:textId="251CAF41" w:rsidR="0084408C" w:rsidRPr="002C6DFA" w:rsidRDefault="0084408C" w:rsidP="00AD309C">
      <w:pPr>
        <w:pStyle w:val="EndnoteText"/>
        <w:numPr>
          <w:ilvl w:val="0"/>
          <w:numId w:val="68"/>
        </w:numPr>
        <w:rPr>
          <w:rFonts w:cs="Arial"/>
        </w:rPr>
      </w:pPr>
      <w:r w:rsidRPr="009A5185">
        <w:rPr>
          <w:rFonts w:cs="Arial"/>
        </w:rPr>
        <w:t xml:space="preserve">Hospitals that </w:t>
      </w:r>
      <w:r w:rsidR="00FA374A">
        <w:rPr>
          <w:rFonts w:cs="Arial"/>
        </w:rPr>
        <w:t xml:space="preserve">collect these data on a regular basis and </w:t>
      </w:r>
      <w:r w:rsidR="00DA0E7A">
        <w:rPr>
          <w:rFonts w:cs="Arial"/>
        </w:rPr>
        <w:t>did so</w:t>
      </w:r>
      <w:r w:rsidR="00FA374A">
        <w:rPr>
          <w:rFonts w:cs="Arial"/>
        </w:rPr>
        <w:t xml:space="preserve"> using the previous year’s</w:t>
      </w:r>
      <w:r w:rsidRPr="009A5185">
        <w:rPr>
          <w:rFonts w:cs="Arial"/>
        </w:rPr>
        <w:t xml:space="preserve"> measure specifications can use those data when reporting on this section of the Surve</w:t>
      </w:r>
      <w:r w:rsidR="00EA6EE5">
        <w:rPr>
          <w:rFonts w:cs="Arial"/>
        </w:rPr>
        <w:t>y</w:t>
      </w:r>
      <w:r w:rsidR="00DA0E7A">
        <w:rPr>
          <w:rFonts w:cs="Arial"/>
        </w:rPr>
        <w:t>. For example, if your hospital samples regularly on a quarterly basis and collected data January through March using the previous year’s specifications, you can report those data on the current year’s Survey</w:t>
      </w:r>
      <w:r w:rsidRPr="009A5185">
        <w:rPr>
          <w:rFonts w:cs="Arial"/>
        </w:rPr>
        <w:t xml:space="preserve">. </w:t>
      </w:r>
      <w:r w:rsidR="00FA374A">
        <w:rPr>
          <w:rFonts w:cs="Arial"/>
        </w:rPr>
        <w:t xml:space="preserve">We </w:t>
      </w:r>
      <w:r w:rsidR="00DA0E7A">
        <w:rPr>
          <w:rFonts w:cs="Arial"/>
        </w:rPr>
        <w:t xml:space="preserve">do </w:t>
      </w:r>
      <w:r w:rsidR="00FA374A">
        <w:rPr>
          <w:rFonts w:cs="Arial"/>
        </w:rPr>
        <w:t>ask that you download and use the most recent measure specification</w:t>
      </w:r>
      <w:r w:rsidR="00DA0E7A">
        <w:rPr>
          <w:rFonts w:cs="Arial"/>
        </w:rPr>
        <w:t>s</w:t>
      </w:r>
      <w:r w:rsidR="00FA374A">
        <w:rPr>
          <w:rFonts w:cs="Arial"/>
        </w:rPr>
        <w:t xml:space="preserve"> and materials when they are made available on April 1 each year. </w:t>
      </w:r>
    </w:p>
    <w:p w14:paraId="1083C171" w14:textId="10ECED8F" w:rsidR="0084408C" w:rsidRDefault="0084408C" w:rsidP="00AD309C">
      <w:pPr>
        <w:pStyle w:val="EndnoteText"/>
        <w:numPr>
          <w:ilvl w:val="0"/>
          <w:numId w:val="68"/>
        </w:numPr>
        <w:rPr>
          <w:rFonts w:cs="Arial"/>
        </w:rPr>
      </w:pPr>
      <w:r w:rsidRPr="002C6DFA">
        <w:rPr>
          <w:rFonts w:cs="Arial"/>
        </w:rPr>
        <w:t xml:space="preserve">Hospitals that </w:t>
      </w:r>
      <w:r w:rsidR="00FA374A">
        <w:rPr>
          <w:rFonts w:cs="Arial"/>
        </w:rPr>
        <w:t>do not sample patients on a regular basis</w:t>
      </w:r>
      <w:r w:rsidR="002B0710">
        <w:rPr>
          <w:rFonts w:cs="Arial"/>
        </w:rPr>
        <w:t xml:space="preserve"> (i.e., quarterly)</w:t>
      </w:r>
      <w:r w:rsidR="00FA374A">
        <w:rPr>
          <w:rFonts w:cs="Arial"/>
        </w:rPr>
        <w:t xml:space="preserve"> </w:t>
      </w:r>
      <w:r w:rsidR="00DA0E7A">
        <w:rPr>
          <w:rFonts w:cs="Arial"/>
        </w:rPr>
        <w:t>should</w:t>
      </w:r>
      <w:r w:rsidRPr="002C6DFA">
        <w:rPr>
          <w:rFonts w:cs="Arial"/>
        </w:rPr>
        <w:t xml:space="preserve"> sample in real-time </w:t>
      </w:r>
      <w:r w:rsidR="00FA374A">
        <w:rPr>
          <w:rFonts w:cs="Arial"/>
        </w:rPr>
        <w:t xml:space="preserve">beginning April 1 </w:t>
      </w:r>
      <w:r w:rsidRPr="002C6DFA">
        <w:rPr>
          <w:rFonts w:cs="Arial"/>
        </w:rPr>
        <w:t xml:space="preserve">and </w:t>
      </w:r>
      <w:r w:rsidR="00DA0E7A">
        <w:rPr>
          <w:rFonts w:cs="Arial"/>
        </w:rPr>
        <w:t>can collect data at</w:t>
      </w:r>
      <w:r w:rsidRPr="002C6DFA">
        <w:rPr>
          <w:rFonts w:cs="Arial"/>
        </w:rPr>
        <w:t xml:space="preserve"> </w:t>
      </w:r>
      <w:r w:rsidR="00DA0E7A" w:rsidRPr="002C6DFA">
        <w:rPr>
          <w:rFonts w:cs="Arial"/>
        </w:rPr>
        <w:t>any time</w:t>
      </w:r>
      <w:r w:rsidRPr="002C6DFA">
        <w:rPr>
          <w:rFonts w:cs="Arial"/>
        </w:rPr>
        <w:t xml:space="preserve"> during the Survey Cycle</w:t>
      </w:r>
      <w:r>
        <w:rPr>
          <w:rFonts w:cs="Arial"/>
        </w:rPr>
        <w:t xml:space="preserve"> (April 1 – November 30).</w:t>
      </w:r>
      <w:r w:rsidRPr="002C6DFA">
        <w:rPr>
          <w:rFonts w:cs="Arial"/>
        </w:rPr>
        <w:t xml:space="preserve"> Sampling can be </w:t>
      </w:r>
      <w:r w:rsidR="00DA0E7A">
        <w:rPr>
          <w:rFonts w:cs="Arial"/>
        </w:rPr>
        <w:t>spread out</w:t>
      </w:r>
      <w:r w:rsidR="00DA0E7A" w:rsidRPr="002C6DFA">
        <w:rPr>
          <w:rFonts w:cs="Arial"/>
        </w:rPr>
        <w:t xml:space="preserve"> </w:t>
      </w:r>
      <w:r w:rsidRPr="002C6DFA">
        <w:rPr>
          <w:rFonts w:cs="Arial"/>
        </w:rPr>
        <w:t xml:space="preserve">over the entire </w:t>
      </w:r>
      <w:r w:rsidR="00DA0E7A">
        <w:rPr>
          <w:rFonts w:cs="Arial"/>
        </w:rPr>
        <w:t xml:space="preserve">6-month </w:t>
      </w:r>
      <w:r w:rsidRPr="002C6DFA">
        <w:rPr>
          <w:rFonts w:cs="Arial"/>
        </w:rPr>
        <w:t>reporting period</w:t>
      </w:r>
      <w:r w:rsidR="00DA0E7A">
        <w:rPr>
          <w:rFonts w:cs="Arial"/>
        </w:rPr>
        <w:t xml:space="preserve"> (e.g., five patients per month)</w:t>
      </w:r>
      <w:r w:rsidRPr="002C6DFA">
        <w:rPr>
          <w:rFonts w:cs="Arial"/>
        </w:rPr>
        <w:t xml:space="preserve">, or within a shorter </w:t>
      </w:r>
      <w:r w:rsidR="00DA0E7A">
        <w:rPr>
          <w:rFonts w:cs="Arial"/>
        </w:rPr>
        <w:t>time</w:t>
      </w:r>
      <w:r w:rsidR="00DA0E7A" w:rsidRPr="002C6DFA">
        <w:rPr>
          <w:rFonts w:cs="Arial"/>
        </w:rPr>
        <w:t xml:space="preserve"> </w:t>
      </w:r>
      <w:r w:rsidRPr="002C6DFA">
        <w:rPr>
          <w:rFonts w:cs="Arial"/>
        </w:rPr>
        <w:t xml:space="preserve">period </w:t>
      </w:r>
      <w:r w:rsidR="00DA0E7A">
        <w:rPr>
          <w:rFonts w:cs="Arial"/>
        </w:rPr>
        <w:t xml:space="preserve">within those 6 months </w:t>
      </w:r>
      <w:r w:rsidRPr="002C6DFA">
        <w:rPr>
          <w:rFonts w:cs="Arial"/>
        </w:rPr>
        <w:t>(</w:t>
      </w:r>
      <w:r w:rsidR="00DA0E7A">
        <w:rPr>
          <w:rFonts w:cs="Arial"/>
        </w:rPr>
        <w:t>e.g.</w:t>
      </w:r>
      <w:r w:rsidRPr="002C6DFA">
        <w:rPr>
          <w:rFonts w:cs="Arial"/>
        </w:rPr>
        <w:t xml:space="preserve">, </w:t>
      </w:r>
      <w:r w:rsidR="00DA0E7A">
        <w:rPr>
          <w:rFonts w:cs="Arial"/>
        </w:rPr>
        <w:t xml:space="preserve">30 patients in </w:t>
      </w:r>
      <w:r>
        <w:rPr>
          <w:rFonts w:cs="Arial"/>
        </w:rPr>
        <w:t xml:space="preserve">a </w:t>
      </w:r>
      <w:r w:rsidR="002B0710">
        <w:rPr>
          <w:rFonts w:cs="Arial"/>
        </w:rPr>
        <w:t>two-week</w:t>
      </w:r>
      <w:r>
        <w:rPr>
          <w:rFonts w:cs="Arial"/>
        </w:rPr>
        <w:t xml:space="preserve"> </w:t>
      </w:r>
      <w:r w:rsidR="00DA0E7A">
        <w:rPr>
          <w:rFonts w:cs="Arial"/>
        </w:rPr>
        <w:t>period</w:t>
      </w:r>
      <w:r w:rsidRPr="002C6DFA">
        <w:rPr>
          <w:rFonts w:cs="Arial"/>
        </w:rPr>
        <w:t xml:space="preserve">). </w:t>
      </w:r>
    </w:p>
    <w:p w14:paraId="738438AF" w14:textId="77777777" w:rsidR="002B0710" w:rsidRPr="002C6DFA" w:rsidRDefault="002B0710" w:rsidP="00A90AE6">
      <w:pPr>
        <w:pStyle w:val="EndnoteText"/>
        <w:ind w:left="360"/>
        <w:rPr>
          <w:rFonts w:cs="Arial"/>
        </w:rPr>
      </w:pPr>
    </w:p>
    <w:p w14:paraId="4DDB7789" w14:textId="2C710B62" w:rsidR="00202D75" w:rsidRDefault="0084408C" w:rsidP="00CF4879">
      <w:pPr>
        <w:pStyle w:val="Heading6"/>
      </w:pPr>
      <w:r w:rsidRPr="009A5185">
        <w:lastRenderedPageBreak/>
        <w:t>Follow the steps below to complete data collection for this measure:</w:t>
      </w:r>
    </w:p>
    <w:p w14:paraId="50F0D5AA" w14:textId="77777777" w:rsidR="00C10458" w:rsidRPr="009A5185" w:rsidRDefault="00C10458" w:rsidP="0084408C">
      <w:pPr>
        <w:pStyle w:val="EndnoteText"/>
        <w:rPr>
          <w:rFonts w:cs="Arial"/>
        </w:rPr>
      </w:pPr>
    </w:p>
    <w:p w14:paraId="5AC336FD" w14:textId="77777777" w:rsidR="0084408C" w:rsidRPr="00365263" w:rsidRDefault="0084408C" w:rsidP="0084408C">
      <w:pPr>
        <w:pStyle w:val="EndnoteText"/>
        <w:rPr>
          <w:rFonts w:cs="Arial"/>
          <w:b/>
        </w:rPr>
      </w:pPr>
      <w:r w:rsidRPr="00365263">
        <w:rPr>
          <w:rFonts w:cs="Arial"/>
          <w:b/>
        </w:rPr>
        <w:t>Step 1: Identify Patients to Include in the Sample (Survey Coordinator)</w:t>
      </w:r>
    </w:p>
    <w:p w14:paraId="0E2163DA" w14:textId="42FA838E" w:rsidR="0084408C" w:rsidRPr="00365263" w:rsidRDefault="0084408C" w:rsidP="00AD309C">
      <w:pPr>
        <w:pStyle w:val="EndnoteText"/>
        <w:numPr>
          <w:ilvl w:val="0"/>
          <w:numId w:val="210"/>
        </w:numPr>
        <w:rPr>
          <w:rFonts w:cs="Arial"/>
          <w:bCs/>
        </w:rPr>
      </w:pPr>
      <w:r w:rsidRPr="00365263">
        <w:rPr>
          <w:rFonts w:cs="Arial"/>
          <w:bCs/>
        </w:rPr>
        <w:t>To be scored on the rate of unintentional medication discrepancies, hospitals are required to sample at least 30 patients from a 6-month reporting period. Hospitals that sample fewer than 30 patients during the reporting period will be scored and publicly reported as “</w:t>
      </w:r>
      <w:r w:rsidR="00E46B15">
        <w:rPr>
          <w:rFonts w:cs="Arial"/>
          <w:bCs/>
        </w:rPr>
        <w:t>Limited</w:t>
      </w:r>
      <w:r w:rsidRPr="00365263">
        <w:rPr>
          <w:rFonts w:cs="Arial"/>
          <w:bCs/>
        </w:rPr>
        <w:t xml:space="preserve"> Achievement.” </w:t>
      </w:r>
    </w:p>
    <w:p w14:paraId="320050CD" w14:textId="77777777" w:rsidR="0084408C" w:rsidRPr="00365263" w:rsidRDefault="0084408C" w:rsidP="00AD309C">
      <w:pPr>
        <w:pStyle w:val="EndnoteText"/>
        <w:numPr>
          <w:ilvl w:val="0"/>
          <w:numId w:val="210"/>
        </w:numPr>
        <w:rPr>
          <w:rFonts w:cs="Arial"/>
          <w:bCs/>
        </w:rPr>
      </w:pPr>
      <w:r w:rsidRPr="00365263">
        <w:rPr>
          <w:rFonts w:cs="Arial"/>
          <w:bCs/>
        </w:rPr>
        <w:t xml:space="preserve">All hospitals should exclude patients under 18 years old, patients who were discharged or expired before the Gold Standard Medication History could be obtained, and patients that do not have discharge orders written during the reporting period. </w:t>
      </w:r>
    </w:p>
    <w:p w14:paraId="5128A190" w14:textId="0F8003B0" w:rsidR="0084408C" w:rsidRPr="00365263" w:rsidRDefault="0084408C" w:rsidP="00AD309C">
      <w:pPr>
        <w:pStyle w:val="EndnoteText"/>
        <w:numPr>
          <w:ilvl w:val="0"/>
          <w:numId w:val="210"/>
        </w:numPr>
        <w:rPr>
          <w:rFonts w:cs="Arial"/>
          <w:bCs/>
        </w:rPr>
      </w:pPr>
      <w:r w:rsidRPr="00365263">
        <w:rPr>
          <w:rFonts w:cs="Arial"/>
          <w:bCs/>
        </w:rPr>
        <w:t>Hospitals should sample patients from medical</w:t>
      </w:r>
      <w:r w:rsidR="00DF71CE">
        <w:rPr>
          <w:rFonts w:cs="Arial"/>
          <w:bCs/>
        </w:rPr>
        <w:t>,</w:t>
      </w:r>
      <w:r w:rsidRPr="00365263">
        <w:rPr>
          <w:rFonts w:cs="Arial"/>
          <w:bCs/>
        </w:rPr>
        <w:t xml:space="preserve"> </w:t>
      </w:r>
      <w:r w:rsidR="00DF71CE">
        <w:rPr>
          <w:rFonts w:cs="Arial"/>
          <w:bCs/>
        </w:rPr>
        <w:t>medical/</w:t>
      </w:r>
      <w:r w:rsidRPr="00365263">
        <w:rPr>
          <w:rFonts w:cs="Arial"/>
          <w:bCs/>
        </w:rPr>
        <w:t>surg</w:t>
      </w:r>
      <w:r w:rsidR="00DF71CE">
        <w:rPr>
          <w:rFonts w:cs="Arial"/>
          <w:bCs/>
        </w:rPr>
        <w:t>ical, and step-down/progressive</w:t>
      </w:r>
      <w:r w:rsidRPr="00365263">
        <w:rPr>
          <w:rFonts w:cs="Arial"/>
          <w:bCs/>
        </w:rPr>
        <w:t xml:space="preserve"> units </w:t>
      </w:r>
      <w:r w:rsidR="00E864B0">
        <w:rPr>
          <w:rFonts w:cs="Arial"/>
          <w:bCs/>
        </w:rPr>
        <w:t xml:space="preserve">(adult only) </w:t>
      </w:r>
      <w:r w:rsidRPr="00365263">
        <w:rPr>
          <w:rFonts w:cs="Arial"/>
          <w:bCs/>
        </w:rPr>
        <w:t xml:space="preserve">to reduce the number of sampled patients with zero (0) Gold Standard Medications. However, hospitals may expand their sampling to patients in additional units of the hospitals. </w:t>
      </w:r>
    </w:p>
    <w:p w14:paraId="1ECAEA08" w14:textId="77777777" w:rsidR="0084408C" w:rsidRPr="00365263" w:rsidRDefault="0084408C" w:rsidP="00AD309C">
      <w:pPr>
        <w:pStyle w:val="EndnoteText"/>
        <w:numPr>
          <w:ilvl w:val="0"/>
          <w:numId w:val="210"/>
        </w:numPr>
        <w:rPr>
          <w:rFonts w:cs="Arial"/>
          <w:bCs/>
        </w:rPr>
      </w:pPr>
      <w:r w:rsidRPr="00365263">
        <w:rPr>
          <w:rFonts w:cs="Arial"/>
          <w:bCs/>
        </w:rPr>
        <w:t>Hospitals should sample patients from different days of the week, including patients admitted on the weekend.</w:t>
      </w:r>
    </w:p>
    <w:p w14:paraId="6980EAC7" w14:textId="298C92AD" w:rsidR="0084408C" w:rsidRPr="00365263" w:rsidRDefault="0084408C" w:rsidP="00AD309C">
      <w:pPr>
        <w:pStyle w:val="EndnoteText"/>
        <w:numPr>
          <w:ilvl w:val="0"/>
          <w:numId w:val="210"/>
        </w:numPr>
        <w:rPr>
          <w:rFonts w:cs="Arial"/>
          <w:bCs/>
        </w:rPr>
      </w:pPr>
      <w:r w:rsidRPr="00365263">
        <w:rPr>
          <w:rFonts w:cs="Arial"/>
          <w:bCs/>
        </w:rPr>
        <w:t>On the day of data collection, obtain a list of patients that were admitted the day before to medical and/or med</w:t>
      </w:r>
      <w:r w:rsidR="004C0B42">
        <w:rPr>
          <w:rFonts w:cs="Arial"/>
          <w:bCs/>
        </w:rPr>
        <w:t>ical</w:t>
      </w:r>
      <w:r w:rsidR="00C36887">
        <w:rPr>
          <w:rFonts w:cs="Arial"/>
          <w:bCs/>
        </w:rPr>
        <w:t>/</w:t>
      </w:r>
      <w:r w:rsidRPr="00365263">
        <w:rPr>
          <w:rFonts w:cs="Arial"/>
          <w:bCs/>
        </w:rPr>
        <w:t>surg</w:t>
      </w:r>
      <w:r w:rsidR="00C36887">
        <w:rPr>
          <w:rFonts w:cs="Arial"/>
          <w:bCs/>
        </w:rPr>
        <w:t>ical</w:t>
      </w:r>
      <w:r w:rsidRPr="00365263">
        <w:rPr>
          <w:rFonts w:cs="Arial"/>
          <w:bCs/>
        </w:rPr>
        <w:t xml:space="preserve"> units, in the order that they were admitted.</w:t>
      </w:r>
    </w:p>
    <w:p w14:paraId="11BBC523" w14:textId="77777777" w:rsidR="0084408C" w:rsidRPr="00365263" w:rsidRDefault="0084408C" w:rsidP="00AD309C">
      <w:pPr>
        <w:pStyle w:val="EndnoteText"/>
        <w:numPr>
          <w:ilvl w:val="0"/>
          <w:numId w:val="210"/>
        </w:numPr>
        <w:rPr>
          <w:rFonts w:cs="Arial"/>
          <w:bCs/>
        </w:rPr>
      </w:pPr>
      <w:r w:rsidRPr="00365263">
        <w:rPr>
          <w:rFonts w:cs="Arial"/>
          <w:bCs/>
        </w:rPr>
        <w:t xml:space="preserve">Follow the instructions in the Medication Reconciliation Workbook to randomly sample admitted patients. </w:t>
      </w:r>
    </w:p>
    <w:p w14:paraId="6B869851" w14:textId="77777777" w:rsidR="0084408C" w:rsidRPr="00365263" w:rsidRDefault="0084408C" w:rsidP="00AD309C">
      <w:pPr>
        <w:pStyle w:val="EndnoteText"/>
        <w:numPr>
          <w:ilvl w:val="0"/>
          <w:numId w:val="210"/>
        </w:numPr>
        <w:rPr>
          <w:rFonts w:cs="Arial"/>
          <w:bCs/>
        </w:rPr>
      </w:pPr>
      <w:r w:rsidRPr="00365263">
        <w:rPr>
          <w:rFonts w:cs="Arial"/>
          <w:bCs/>
        </w:rPr>
        <w:t>Send the list of sampled patients to the pharmacist, pharmacy resident, or pharmacy technician so they can schedule an in-person, video, or phone interview with each patient to obtain their Gold Standard Medication History.</w:t>
      </w:r>
    </w:p>
    <w:p w14:paraId="258E5C01" w14:textId="77777777" w:rsidR="0084408C" w:rsidRPr="009A5185" w:rsidRDefault="0084408C" w:rsidP="0084408C">
      <w:pPr>
        <w:pStyle w:val="EndnoteText"/>
        <w:ind w:left="1080"/>
        <w:rPr>
          <w:rFonts w:cs="Arial"/>
        </w:rPr>
      </w:pPr>
    </w:p>
    <w:p w14:paraId="616C6083" w14:textId="3271F84E" w:rsidR="0084408C" w:rsidRPr="009A5185" w:rsidRDefault="0084408C" w:rsidP="0084408C">
      <w:pPr>
        <w:pStyle w:val="EndnoteText"/>
        <w:rPr>
          <w:rFonts w:cs="Arial"/>
          <w:b/>
        </w:rPr>
      </w:pPr>
      <w:bookmarkStart w:id="201" w:name="Step2_Interview"/>
      <w:r w:rsidRPr="009A5185">
        <w:rPr>
          <w:rFonts w:cs="Arial"/>
          <w:b/>
        </w:rPr>
        <w:t xml:space="preserve">Step 2: </w:t>
      </w:r>
      <w:bookmarkEnd w:id="201"/>
      <w:r w:rsidRPr="009A5185">
        <w:rPr>
          <w:rFonts w:cs="Arial"/>
          <w:b/>
        </w:rPr>
        <w:t>Interview Patients and Obtain the Gold Standard Medication History (Pharmacist</w:t>
      </w:r>
      <w:r>
        <w:rPr>
          <w:rFonts w:cs="Arial"/>
          <w:b/>
        </w:rPr>
        <w:t xml:space="preserve"> or </w:t>
      </w:r>
      <w:hyperlink w:anchor="CertifiedPharmacyTechnician" w:history="1">
        <w:r w:rsidRPr="00CC4A99">
          <w:rPr>
            <w:rStyle w:val="Hyperlink"/>
            <w:rFonts w:cs="Arial"/>
            <w:b/>
            <w:bCs/>
          </w:rPr>
          <w:t>Certified Pharmacy Technician</w:t>
        </w:r>
      </w:hyperlink>
      <w:r w:rsidR="00E94620" w:rsidRPr="009617F5">
        <w:rPr>
          <w:rStyle w:val="Hyperlink"/>
          <w:rFonts w:cs="Arial"/>
          <w:color w:val="auto"/>
          <w:u w:val="none"/>
          <w:vertAlign w:val="superscript"/>
        </w:rPr>
        <w:t>2</w:t>
      </w:r>
      <w:r w:rsidR="00E94620" w:rsidRPr="00E94620">
        <w:rPr>
          <w:rFonts w:cs="Arial"/>
          <w:vertAlign w:val="superscript"/>
        </w:rPr>
        <w:t>3</w:t>
      </w:r>
      <w:r w:rsidRPr="009A5185">
        <w:rPr>
          <w:rFonts w:cs="Arial"/>
          <w:b/>
        </w:rPr>
        <w:t>)</w:t>
      </w:r>
    </w:p>
    <w:p w14:paraId="47CEB4CA" w14:textId="77777777" w:rsidR="007E0046" w:rsidRDefault="0084408C" w:rsidP="00AD309C">
      <w:pPr>
        <w:pStyle w:val="EndnoteText"/>
        <w:numPr>
          <w:ilvl w:val="0"/>
          <w:numId w:val="71"/>
        </w:numPr>
        <w:ind w:left="360"/>
        <w:rPr>
          <w:rFonts w:cs="Arial"/>
        </w:rPr>
      </w:pPr>
      <w:r w:rsidRPr="009A5185">
        <w:rPr>
          <w:rFonts w:cs="Arial"/>
        </w:rPr>
        <w:t>A trained pharmacist</w:t>
      </w:r>
      <w:r>
        <w:rPr>
          <w:rFonts w:cs="Arial"/>
        </w:rPr>
        <w:t xml:space="preserve">, </w:t>
      </w:r>
      <w:r w:rsidRPr="009A5185">
        <w:rPr>
          <w:rFonts w:cs="Arial"/>
        </w:rPr>
        <w:t>pharmacy resident</w:t>
      </w:r>
      <w:r>
        <w:rPr>
          <w:rFonts w:cs="Arial"/>
        </w:rPr>
        <w:t xml:space="preserve">, or </w:t>
      </w:r>
      <w:hyperlink w:anchor="CertifiedPharmacyTechnician" w:history="1">
        <w:r w:rsidRPr="0057191C">
          <w:rPr>
            <w:rStyle w:val="Hyperlink"/>
            <w:rFonts w:cs="Arial"/>
          </w:rPr>
          <w:t>certified pharmacy technician</w:t>
        </w:r>
      </w:hyperlink>
      <w:r w:rsidR="00E94620" w:rsidRPr="001F2388">
        <w:rPr>
          <w:rStyle w:val="Hyperlink"/>
          <w:rFonts w:cs="Arial"/>
          <w:u w:val="none"/>
          <w:vertAlign w:val="superscript"/>
        </w:rPr>
        <w:t>2</w:t>
      </w:r>
      <w:r w:rsidR="00E94620" w:rsidRPr="001F2388">
        <w:rPr>
          <w:rFonts w:cs="Arial"/>
          <w:vertAlign w:val="superscript"/>
        </w:rPr>
        <w:t>3</w:t>
      </w:r>
      <w:r w:rsidRPr="009A5185">
        <w:rPr>
          <w:rFonts w:cs="Arial"/>
        </w:rPr>
        <w:t xml:space="preserve"> must interview the patients from Step 1 and obtain the Gold Standard Medication History within 24 hours after admission</w:t>
      </w:r>
      <w:r>
        <w:rPr>
          <w:rFonts w:cs="Arial"/>
        </w:rPr>
        <w:t>, typically the morning after admission</w:t>
      </w:r>
      <w:r w:rsidRPr="009A5185">
        <w:rPr>
          <w:rFonts w:cs="Arial"/>
        </w:rPr>
        <w:t xml:space="preserve">. </w:t>
      </w:r>
    </w:p>
    <w:p w14:paraId="4E23C7B8" w14:textId="6CDB2C14" w:rsidR="00C0321A" w:rsidRDefault="007E0046" w:rsidP="007E0046">
      <w:pPr>
        <w:pStyle w:val="EndnoteText"/>
        <w:numPr>
          <w:ilvl w:val="0"/>
          <w:numId w:val="460"/>
        </w:numPr>
        <w:rPr>
          <w:rFonts w:cs="Arial"/>
        </w:rPr>
      </w:pPr>
      <w:r>
        <w:rPr>
          <w:rFonts w:cs="Arial"/>
        </w:rPr>
        <w:t>T</w:t>
      </w:r>
      <w:r w:rsidR="0084408C" w:rsidRPr="009A5185">
        <w:rPr>
          <w:rFonts w:cs="Arial"/>
        </w:rPr>
        <w:t xml:space="preserve">his </w:t>
      </w:r>
      <w:r>
        <w:rPr>
          <w:rFonts w:cs="Arial"/>
        </w:rPr>
        <w:t xml:space="preserve">interview </w:t>
      </w:r>
      <w:r w:rsidR="0084408C" w:rsidRPr="009A5185">
        <w:rPr>
          <w:rFonts w:cs="Arial"/>
        </w:rPr>
        <w:t>is in addition to, and separate from, any pre-admission medication list that was created as part of normal care</w:t>
      </w:r>
      <w:r w:rsidR="00C0321A">
        <w:rPr>
          <w:rFonts w:cs="Arial"/>
        </w:rPr>
        <w:t xml:space="preserve"> (e.g., PAML obtained by the nurse)</w:t>
      </w:r>
      <w:r w:rsidR="0084408C" w:rsidRPr="009A5185">
        <w:rPr>
          <w:rFonts w:cs="Arial"/>
        </w:rPr>
        <w:t>.</w:t>
      </w:r>
      <w:r w:rsidR="001A19F5">
        <w:rPr>
          <w:rFonts w:cs="Arial"/>
        </w:rPr>
        <w:t xml:space="preserve"> </w:t>
      </w:r>
    </w:p>
    <w:p w14:paraId="15BF6CBD" w14:textId="14564F10" w:rsidR="0084408C" w:rsidRPr="009A5185" w:rsidRDefault="001A19F5" w:rsidP="00C5453C">
      <w:pPr>
        <w:pStyle w:val="EndnoteText"/>
        <w:numPr>
          <w:ilvl w:val="0"/>
          <w:numId w:val="460"/>
        </w:numPr>
        <w:rPr>
          <w:rFonts w:cs="Arial"/>
        </w:rPr>
      </w:pPr>
      <w:r>
        <w:rPr>
          <w:rFonts w:cs="Arial"/>
        </w:rPr>
        <w:t>I</w:t>
      </w:r>
      <w:r w:rsidRPr="00B96852">
        <w:rPr>
          <w:rFonts w:cs="Arial"/>
        </w:rPr>
        <w:t xml:space="preserve">f a pharmacist, pharmacy resident, or </w:t>
      </w:r>
      <w:hyperlink w:anchor="CertifiedPharmacyTechnician" w:history="1">
        <w:r w:rsidRPr="0057191C">
          <w:rPr>
            <w:rStyle w:val="Hyperlink"/>
            <w:rFonts w:cs="Arial"/>
          </w:rPr>
          <w:t>certified pharmacy technician</w:t>
        </w:r>
      </w:hyperlink>
      <w:r w:rsidRPr="006436AC">
        <w:rPr>
          <w:rStyle w:val="Hyperlink"/>
          <w:rFonts w:cs="Arial"/>
          <w:color w:val="auto"/>
          <w:u w:val="none"/>
          <w:vertAlign w:val="superscript"/>
        </w:rPr>
        <w:t>2</w:t>
      </w:r>
      <w:r w:rsidRPr="006436AC">
        <w:rPr>
          <w:rFonts w:cs="Arial"/>
          <w:vertAlign w:val="superscript"/>
        </w:rPr>
        <w:t>3</w:t>
      </w:r>
      <w:r w:rsidRPr="009A5185">
        <w:rPr>
          <w:rFonts w:cs="Arial"/>
        </w:rPr>
        <w:t xml:space="preserve"> </w:t>
      </w:r>
      <w:r w:rsidR="00475AAA">
        <w:rPr>
          <w:rFonts w:cs="Arial"/>
        </w:rPr>
        <w:t>normally obtains</w:t>
      </w:r>
      <w:r w:rsidRPr="00B96852">
        <w:rPr>
          <w:rFonts w:cs="Arial"/>
        </w:rPr>
        <w:t xml:space="preserve"> the </w:t>
      </w:r>
      <w:r>
        <w:rPr>
          <w:rFonts w:cs="Arial"/>
        </w:rPr>
        <w:t>pre-admission medication list</w:t>
      </w:r>
      <w:r w:rsidR="00403850">
        <w:rPr>
          <w:rFonts w:cs="Arial"/>
        </w:rPr>
        <w:t xml:space="preserve"> from patients in medical or med-surg units</w:t>
      </w:r>
      <w:r>
        <w:rPr>
          <w:rFonts w:cs="Arial"/>
        </w:rPr>
        <w:t>,</w:t>
      </w:r>
      <w:r w:rsidRPr="00B96852">
        <w:rPr>
          <w:rFonts w:cs="Arial"/>
        </w:rPr>
        <w:t xml:space="preserve"> a different pharmacist, pharmacy resident, or </w:t>
      </w:r>
      <w:hyperlink w:anchor="CertifiedPharmacyTechnician" w:history="1">
        <w:r w:rsidRPr="0057191C">
          <w:rPr>
            <w:rStyle w:val="Hyperlink"/>
            <w:rFonts w:cs="Arial"/>
          </w:rPr>
          <w:t>certified pharmacy technician</w:t>
        </w:r>
      </w:hyperlink>
      <w:r w:rsidRPr="006436AC">
        <w:rPr>
          <w:rStyle w:val="Hyperlink"/>
          <w:rFonts w:cs="Arial"/>
          <w:color w:val="auto"/>
          <w:u w:val="none"/>
          <w:vertAlign w:val="superscript"/>
        </w:rPr>
        <w:t>2</w:t>
      </w:r>
      <w:r w:rsidRPr="006436AC">
        <w:rPr>
          <w:rFonts w:cs="Arial"/>
          <w:vertAlign w:val="superscript"/>
        </w:rPr>
        <w:t>3</w:t>
      </w:r>
      <w:r w:rsidRPr="009A5185">
        <w:rPr>
          <w:rFonts w:cs="Arial"/>
        </w:rPr>
        <w:t xml:space="preserve"> </w:t>
      </w:r>
      <w:r w:rsidRPr="00B96852">
        <w:rPr>
          <w:rFonts w:cs="Arial"/>
        </w:rPr>
        <w:t>must collect the Gold Standard Medication History.</w:t>
      </w:r>
    </w:p>
    <w:p w14:paraId="6BBB5EC2" w14:textId="1CFC8E29" w:rsidR="0084408C" w:rsidRPr="009A5185" w:rsidRDefault="0084408C" w:rsidP="00AD309C">
      <w:pPr>
        <w:pStyle w:val="EndnoteText"/>
        <w:numPr>
          <w:ilvl w:val="0"/>
          <w:numId w:val="71"/>
        </w:numPr>
        <w:ind w:left="360"/>
        <w:rPr>
          <w:rFonts w:cs="Arial"/>
        </w:rPr>
      </w:pPr>
      <w:r w:rsidRPr="009A5185">
        <w:rPr>
          <w:rFonts w:cs="Arial"/>
        </w:rPr>
        <w:t>The pharmacist</w:t>
      </w:r>
      <w:r>
        <w:rPr>
          <w:rFonts w:cs="Arial"/>
        </w:rPr>
        <w:t>, pharmacy resident,</w:t>
      </w:r>
      <w:r w:rsidRPr="009A5185">
        <w:rPr>
          <w:rFonts w:cs="Arial"/>
        </w:rPr>
        <w:t xml:space="preserve"> </w:t>
      </w:r>
      <w:r>
        <w:rPr>
          <w:rFonts w:cs="Arial"/>
        </w:rPr>
        <w:t xml:space="preserve">or </w:t>
      </w:r>
      <w:hyperlink w:anchor="CertifiedPharmacyTechnician" w:history="1">
        <w:r w:rsidRPr="0057191C">
          <w:rPr>
            <w:rStyle w:val="Hyperlink"/>
            <w:rFonts w:cs="Arial"/>
          </w:rPr>
          <w:t>certified pharmacy technician</w:t>
        </w:r>
      </w:hyperlink>
      <w:r>
        <w:rPr>
          <w:rFonts w:cs="Arial"/>
        </w:rPr>
        <w:fldChar w:fldCharType="begin"/>
      </w:r>
      <w:r>
        <w:rPr>
          <w:rFonts w:cs="Arial"/>
        </w:rPr>
        <w:instrText xml:space="preserve"> NOTEREF _Ref59097322 \f \h </w:instrText>
      </w:r>
      <w:r>
        <w:rPr>
          <w:rFonts w:cs="Arial"/>
        </w:rPr>
      </w:r>
      <w:r>
        <w:rPr>
          <w:rFonts w:cs="Arial"/>
        </w:rPr>
        <w:fldChar w:fldCharType="separate"/>
      </w:r>
      <w:r w:rsidR="007D53A2" w:rsidRPr="00C5453C">
        <w:rPr>
          <w:rStyle w:val="EndnoteReference"/>
        </w:rPr>
        <w:t>23</w:t>
      </w:r>
      <w:r>
        <w:rPr>
          <w:rFonts w:cs="Arial"/>
        </w:rPr>
        <w:fldChar w:fldCharType="end"/>
      </w:r>
      <w:r>
        <w:rPr>
          <w:rFonts w:cs="Arial"/>
        </w:rPr>
        <w:t xml:space="preserve"> </w:t>
      </w:r>
      <w:r w:rsidRPr="009A5185">
        <w:rPr>
          <w:rFonts w:cs="Arial"/>
        </w:rPr>
        <w:t xml:space="preserve">can customize the following script to explain to the patient the reason for the interview: </w:t>
      </w:r>
      <w:r w:rsidRPr="009A5185">
        <w:rPr>
          <w:rFonts w:cs="Arial"/>
          <w:lang w:eastAsia="ja-JP"/>
        </w:rPr>
        <w:t xml:space="preserve">“Hi, I’m </w:t>
      </w:r>
      <w:r w:rsidRPr="009A5185">
        <w:rPr>
          <w:rFonts w:cs="Arial"/>
          <w:i/>
          <w:lang w:eastAsia="ja-JP"/>
        </w:rPr>
        <w:t>(pharmacist’s name)</w:t>
      </w:r>
      <w:r w:rsidRPr="009A5185">
        <w:rPr>
          <w:rFonts w:cs="Arial"/>
          <w:lang w:eastAsia="ja-JP"/>
        </w:rPr>
        <w:t xml:space="preserve">, a pharmacist at </w:t>
      </w:r>
      <w:r w:rsidRPr="009A5185">
        <w:rPr>
          <w:rFonts w:cs="Arial"/>
          <w:i/>
          <w:lang w:eastAsia="ja-JP"/>
        </w:rPr>
        <w:t>(name of hospital)</w:t>
      </w:r>
      <w:r w:rsidRPr="009A5185">
        <w:rPr>
          <w:rFonts w:cs="Arial"/>
          <w:lang w:eastAsia="ja-JP"/>
        </w:rPr>
        <w:t xml:space="preserve">. I know </w:t>
      </w:r>
      <w:r w:rsidRPr="009A5185">
        <w:rPr>
          <w:rFonts w:cs="Arial"/>
          <w:i/>
          <w:lang w:eastAsia="ja-JP"/>
        </w:rPr>
        <w:t>(care team member who may have collected a pre-admission medication list or PAML)</w:t>
      </w:r>
      <w:r w:rsidRPr="009A5185">
        <w:rPr>
          <w:rFonts w:cs="Arial"/>
          <w:lang w:eastAsia="ja-JP"/>
        </w:rPr>
        <w:t xml:space="preserve"> already asked you about the medications you were taking before you were admitted to the hospital. I’m here to ask you about these medication</w:t>
      </w:r>
      <w:r>
        <w:rPr>
          <w:rFonts w:cs="Arial"/>
          <w:lang w:eastAsia="ja-JP"/>
        </w:rPr>
        <w:t>s</w:t>
      </w:r>
      <w:r w:rsidRPr="009A5185">
        <w:rPr>
          <w:rFonts w:cs="Arial"/>
          <w:lang w:eastAsia="ja-JP"/>
        </w:rPr>
        <w:t xml:space="preserve"> again. Our hospital has asked me to collect this information again so I can use it to measure how well we are doing in gathering medication histories. What we learn will help us improve our processes of care in the future and make sure we manage patients’ medications safely when they come into and after they leave the hospital.”</w:t>
      </w:r>
    </w:p>
    <w:p w14:paraId="0E2F18FD" w14:textId="5E6DF618" w:rsidR="0084408C" w:rsidRPr="009A5185" w:rsidRDefault="0084408C" w:rsidP="00AD309C">
      <w:pPr>
        <w:pStyle w:val="EndnoteText"/>
        <w:numPr>
          <w:ilvl w:val="0"/>
          <w:numId w:val="71"/>
        </w:numPr>
        <w:ind w:left="360"/>
        <w:rPr>
          <w:rFonts w:cs="Arial"/>
        </w:rPr>
      </w:pPr>
      <w:r w:rsidRPr="009A5185">
        <w:rPr>
          <w:rFonts w:cs="Arial"/>
        </w:rPr>
        <w:t xml:space="preserve">The Gold Standard Medication History is the list of medications that the patient was taking prior to admission. Best practices for collecting the Gold Standard Medication History can be found in </w:t>
      </w:r>
      <w:r>
        <w:rPr>
          <w:rFonts w:cs="Arial"/>
        </w:rPr>
        <w:t xml:space="preserve">the “Other Supporting Materials” for Section </w:t>
      </w:r>
      <w:r w:rsidR="00F72C9F">
        <w:rPr>
          <w:rFonts w:cs="Arial"/>
        </w:rPr>
        <w:t>2</w:t>
      </w:r>
      <w:r>
        <w:rPr>
          <w:rFonts w:cs="Arial"/>
        </w:rPr>
        <w:t xml:space="preserve"> on the </w:t>
      </w:r>
      <w:hyperlink r:id="rId189" w:history="1">
        <w:r w:rsidRPr="009A5185">
          <w:rPr>
            <w:rStyle w:val="Hyperlink"/>
            <w:rFonts w:cs="Arial"/>
          </w:rPr>
          <w:t>Survey and CPOE Materials webpage</w:t>
        </w:r>
      </w:hyperlink>
      <w:r>
        <w:rPr>
          <w:rFonts w:cs="Arial"/>
        </w:rPr>
        <w:t xml:space="preserve">. </w:t>
      </w:r>
    </w:p>
    <w:p w14:paraId="3FDE5397" w14:textId="690CA826" w:rsidR="0084408C" w:rsidRPr="009A5185" w:rsidRDefault="0084408C" w:rsidP="00AD309C">
      <w:pPr>
        <w:pStyle w:val="EndnoteText"/>
        <w:numPr>
          <w:ilvl w:val="2"/>
          <w:numId w:val="64"/>
        </w:numPr>
        <w:ind w:left="1080"/>
        <w:rPr>
          <w:rFonts w:cs="Arial"/>
        </w:rPr>
      </w:pPr>
      <w:r w:rsidRPr="009A5185">
        <w:rPr>
          <w:rFonts w:cs="Arial"/>
        </w:rPr>
        <w:t>Pharmacists</w:t>
      </w:r>
      <w:r>
        <w:rPr>
          <w:rFonts w:cs="Arial"/>
        </w:rPr>
        <w:t xml:space="preserve">, pharmacy residents, and </w:t>
      </w:r>
      <w:hyperlink w:anchor="CertifiedPharmacyTechnician" w:history="1">
        <w:r>
          <w:rPr>
            <w:rStyle w:val="Hyperlink"/>
            <w:rFonts w:cs="Arial"/>
          </w:rPr>
          <w:t>certified pharmacy technicians</w:t>
        </w:r>
      </w:hyperlink>
      <w:r>
        <w:rPr>
          <w:rFonts w:cs="Arial"/>
        </w:rPr>
        <w:fldChar w:fldCharType="begin"/>
      </w:r>
      <w:r>
        <w:rPr>
          <w:rFonts w:cs="Arial"/>
        </w:rPr>
        <w:instrText xml:space="preserve"> NOTEREF _Ref59097322 \f \h </w:instrText>
      </w:r>
      <w:r>
        <w:rPr>
          <w:rFonts w:cs="Arial"/>
        </w:rPr>
      </w:r>
      <w:r>
        <w:rPr>
          <w:rFonts w:cs="Arial"/>
        </w:rPr>
        <w:fldChar w:fldCharType="separate"/>
      </w:r>
      <w:r w:rsidR="007D53A2" w:rsidRPr="00F06B87">
        <w:rPr>
          <w:rStyle w:val="EndnoteReference"/>
        </w:rPr>
        <w:t>23</w:t>
      </w:r>
      <w:r>
        <w:rPr>
          <w:rFonts w:cs="Arial"/>
        </w:rPr>
        <w:fldChar w:fldCharType="end"/>
      </w:r>
      <w:r w:rsidRPr="009A5185">
        <w:rPr>
          <w:rFonts w:cs="Arial"/>
        </w:rPr>
        <w:t xml:space="preserve"> should try to use two sources of information </w:t>
      </w:r>
      <w:r>
        <w:t>(</w:t>
      </w:r>
      <w:r w:rsidRPr="0009108A">
        <w:t xml:space="preserve">see </w:t>
      </w:r>
      <w:hyperlink r:id="rId190" w:tgtFrame="_blank" w:tooltip="MARQUIS BPMH Tri-Fold Pocket Guide" w:history="1">
        <w:r w:rsidR="00BF78C4">
          <w:rPr>
            <w:rStyle w:val="Hyperlink"/>
          </w:rPr>
          <w:t>MARQUIS 2 Best Possible Medication History: Quick Tips</w:t>
        </w:r>
      </w:hyperlink>
      <w:r>
        <w:t xml:space="preserve"> and </w:t>
      </w:r>
      <w:hyperlink r:id="rId191" w:tgtFrame="_blank" w:history="1">
        <w:r w:rsidRPr="0009108A">
          <w:rPr>
            <w:rStyle w:val="Hyperlink"/>
          </w:rPr>
          <w:t>Medication Reconciliation Implementation Toolkit</w:t>
        </w:r>
      </w:hyperlink>
      <w:r>
        <w:t xml:space="preserve"> for examples)</w:t>
      </w:r>
      <w:r w:rsidRPr="0009108A">
        <w:rPr>
          <w:rFonts w:cs="Arial"/>
        </w:rPr>
        <w:t xml:space="preserve"> </w:t>
      </w:r>
      <w:r w:rsidRPr="009A5185">
        <w:rPr>
          <w:rFonts w:cs="Arial"/>
        </w:rPr>
        <w:t xml:space="preserve">and explore any discrepancies </w:t>
      </w:r>
      <w:r>
        <w:rPr>
          <w:rFonts w:cs="Arial"/>
        </w:rPr>
        <w:t xml:space="preserve">(e.g., </w:t>
      </w:r>
      <w:r w:rsidRPr="00A24DA2">
        <w:rPr>
          <w:rFonts w:cs="Arial"/>
        </w:rPr>
        <w:t>errors related to dose, route, timing, etc</w:t>
      </w:r>
      <w:r>
        <w:rPr>
          <w:rFonts w:cs="Arial"/>
        </w:rPr>
        <w:t>.</w:t>
      </w:r>
      <w:r w:rsidRPr="00A24DA2">
        <w:rPr>
          <w:rFonts w:cs="Arial"/>
        </w:rPr>
        <w:t>)</w:t>
      </w:r>
      <w:r>
        <w:rPr>
          <w:rFonts w:cs="Arial"/>
        </w:rPr>
        <w:t xml:space="preserve"> </w:t>
      </w:r>
      <w:r w:rsidRPr="009A5185">
        <w:rPr>
          <w:rFonts w:cs="Arial"/>
        </w:rPr>
        <w:t>before finalizing the Gold Standard Medication History. Once the pharmacist</w:t>
      </w:r>
      <w:r>
        <w:rPr>
          <w:rFonts w:cs="Arial"/>
        </w:rPr>
        <w:t xml:space="preserve">, pharmacy resident, or </w:t>
      </w:r>
      <w:hyperlink w:anchor="CertifiedPharmacyTechnician" w:history="1">
        <w:r w:rsidRPr="0057191C">
          <w:rPr>
            <w:rStyle w:val="Hyperlink"/>
            <w:rFonts w:cs="Arial"/>
          </w:rPr>
          <w:t>certified pharmacy technician</w:t>
        </w:r>
      </w:hyperlink>
      <w:r>
        <w:rPr>
          <w:rFonts w:cs="Arial"/>
        </w:rPr>
        <w:fldChar w:fldCharType="begin"/>
      </w:r>
      <w:r>
        <w:rPr>
          <w:rFonts w:cs="Arial"/>
        </w:rPr>
        <w:instrText xml:space="preserve"> NOTEREF _Ref59097322 \f \h </w:instrText>
      </w:r>
      <w:r>
        <w:rPr>
          <w:rFonts w:cs="Arial"/>
        </w:rPr>
      </w:r>
      <w:r>
        <w:rPr>
          <w:rFonts w:cs="Arial"/>
        </w:rPr>
        <w:fldChar w:fldCharType="separate"/>
      </w:r>
      <w:r w:rsidR="007D53A2" w:rsidRPr="00F06B87">
        <w:rPr>
          <w:rStyle w:val="EndnoteReference"/>
        </w:rPr>
        <w:t>23</w:t>
      </w:r>
      <w:r>
        <w:rPr>
          <w:rFonts w:cs="Arial"/>
        </w:rPr>
        <w:fldChar w:fldCharType="end"/>
      </w:r>
      <w:r>
        <w:rPr>
          <w:rFonts w:cs="Arial"/>
        </w:rPr>
        <w:t xml:space="preserve"> </w:t>
      </w:r>
      <w:r w:rsidRPr="009A5185">
        <w:rPr>
          <w:rFonts w:cs="Arial"/>
        </w:rPr>
        <w:t>has completed the patient interview, the</w:t>
      </w:r>
      <w:r>
        <w:rPr>
          <w:rFonts w:cs="Arial"/>
        </w:rPr>
        <w:t xml:space="preserve">y </w:t>
      </w:r>
      <w:r w:rsidRPr="009A5185">
        <w:rPr>
          <w:rFonts w:cs="Arial"/>
        </w:rPr>
        <w:t xml:space="preserve">can utilize support from </w:t>
      </w:r>
      <w:r>
        <w:rPr>
          <w:rFonts w:cs="Arial"/>
        </w:rPr>
        <w:t xml:space="preserve">non-certified  </w:t>
      </w:r>
      <w:r w:rsidRPr="009A5185">
        <w:rPr>
          <w:rFonts w:cs="Arial"/>
        </w:rPr>
        <w:t xml:space="preserve">pharmacy technicians, medical assistants, </w:t>
      </w:r>
      <w:r>
        <w:rPr>
          <w:rFonts w:cs="Arial"/>
        </w:rPr>
        <w:t>or</w:t>
      </w:r>
      <w:r w:rsidRPr="009A5185">
        <w:rPr>
          <w:rFonts w:cs="Arial"/>
        </w:rPr>
        <w:t xml:space="preserve"> nurses to investigate s</w:t>
      </w:r>
      <w:r w:rsidR="00CF7851">
        <w:rPr>
          <w:rFonts w:cs="Arial"/>
        </w:rPr>
        <w:t>eco</w:t>
      </w:r>
      <w:r w:rsidRPr="009A5185">
        <w:rPr>
          <w:rFonts w:cs="Arial"/>
        </w:rPr>
        <w:t>nd or third information sources (e.g.,</w:t>
      </w:r>
      <w:r>
        <w:rPr>
          <w:rFonts w:cs="Arial"/>
        </w:rPr>
        <w:t xml:space="preserve"> EHR</w:t>
      </w:r>
      <w:r w:rsidRPr="009A5185">
        <w:rPr>
          <w:rFonts w:cs="Arial"/>
        </w:rPr>
        <w:t xml:space="preserve"> list, pharmacy list, primary or specialty provider information, etc.). However, the pharmacist</w:t>
      </w:r>
      <w:r>
        <w:rPr>
          <w:rFonts w:cs="Arial"/>
        </w:rPr>
        <w:t>, pharmacy resident,</w:t>
      </w:r>
      <w:r w:rsidRPr="009A5185">
        <w:rPr>
          <w:rFonts w:cs="Arial"/>
        </w:rPr>
        <w:t xml:space="preserve"> </w:t>
      </w:r>
      <w:r>
        <w:rPr>
          <w:rFonts w:cs="Arial"/>
        </w:rPr>
        <w:t xml:space="preserve">or </w:t>
      </w:r>
      <w:hyperlink w:anchor="CertifiedPharmacyTechnician" w:history="1">
        <w:r w:rsidRPr="0057191C">
          <w:rPr>
            <w:rStyle w:val="Hyperlink"/>
            <w:rFonts w:cs="Arial"/>
          </w:rPr>
          <w:t>certified pharmacy technician</w:t>
        </w:r>
      </w:hyperlink>
      <w:r w:rsidR="00E94620" w:rsidRPr="009617F5">
        <w:rPr>
          <w:rStyle w:val="Hyperlink"/>
          <w:rFonts w:cs="Arial"/>
          <w:color w:val="auto"/>
          <w:u w:val="none"/>
          <w:vertAlign w:val="superscript"/>
        </w:rPr>
        <w:t>2</w:t>
      </w:r>
      <w:r w:rsidR="00E94620" w:rsidRPr="009617F5">
        <w:rPr>
          <w:rFonts w:cs="Arial"/>
          <w:vertAlign w:val="superscript"/>
        </w:rPr>
        <w:t>3</w:t>
      </w:r>
      <w:r>
        <w:rPr>
          <w:rFonts w:cs="Arial"/>
        </w:rPr>
        <w:t xml:space="preserve"> </w:t>
      </w:r>
      <w:r w:rsidRPr="009A5185">
        <w:rPr>
          <w:rFonts w:cs="Arial"/>
        </w:rPr>
        <w:t xml:space="preserve">must be the one to </w:t>
      </w:r>
      <w:r>
        <w:rPr>
          <w:rFonts w:cs="Arial"/>
        </w:rPr>
        <w:t xml:space="preserve">obtain and </w:t>
      </w:r>
      <w:r w:rsidRPr="009A5185">
        <w:rPr>
          <w:rFonts w:cs="Arial"/>
        </w:rPr>
        <w:t xml:space="preserve">finalize the Gold Standard Medication History.  </w:t>
      </w:r>
    </w:p>
    <w:p w14:paraId="4F398BBD" w14:textId="77777777" w:rsidR="0084408C" w:rsidRPr="009A5185" w:rsidRDefault="0084408C" w:rsidP="00AD309C">
      <w:pPr>
        <w:pStyle w:val="EndnoteText"/>
        <w:numPr>
          <w:ilvl w:val="2"/>
          <w:numId w:val="64"/>
        </w:numPr>
        <w:ind w:left="1080"/>
        <w:rPr>
          <w:rFonts w:cs="Arial"/>
        </w:rPr>
      </w:pPr>
      <w:r w:rsidRPr="009A5185">
        <w:rPr>
          <w:rFonts w:cs="Arial"/>
        </w:rPr>
        <w:lastRenderedPageBreak/>
        <w:t>Medications that a patient is completely non-adherent to</w:t>
      </w:r>
      <w:r>
        <w:rPr>
          <w:rFonts w:cs="Arial"/>
        </w:rPr>
        <w:t xml:space="preserve">, meaning the patient has not taken the medication for at least 30 days, </w:t>
      </w:r>
      <w:r w:rsidRPr="009A5185">
        <w:rPr>
          <w:rFonts w:cs="Arial"/>
        </w:rPr>
        <w:t>should be excluded from the Gold Standard Medication History.</w:t>
      </w:r>
    </w:p>
    <w:p w14:paraId="6DB2C13A" w14:textId="77777777" w:rsidR="0084408C" w:rsidRPr="009A5185" w:rsidRDefault="0084408C" w:rsidP="00AD309C">
      <w:pPr>
        <w:pStyle w:val="EndnoteText"/>
        <w:numPr>
          <w:ilvl w:val="2"/>
          <w:numId w:val="64"/>
        </w:numPr>
        <w:ind w:left="1080"/>
        <w:rPr>
          <w:rFonts w:cs="Arial"/>
        </w:rPr>
      </w:pPr>
      <w:r w:rsidRPr="009A5185">
        <w:rPr>
          <w:rFonts w:cs="Arial"/>
        </w:rPr>
        <w:t>If a patient has been taking a medication differently to how it was prescribed, then the Gold Standard Medication History should list the medication as the patient was taking it.</w:t>
      </w:r>
      <w:r>
        <w:rPr>
          <w:rFonts w:cs="Arial"/>
        </w:rPr>
        <w:t xml:space="preserve"> </w:t>
      </w:r>
    </w:p>
    <w:p w14:paraId="7DABB9AA" w14:textId="6A042496" w:rsidR="0084408C" w:rsidRPr="004430B9" w:rsidRDefault="0084408C" w:rsidP="00AD309C">
      <w:pPr>
        <w:pStyle w:val="EndnoteText"/>
        <w:numPr>
          <w:ilvl w:val="2"/>
          <w:numId w:val="64"/>
        </w:numPr>
        <w:ind w:left="1080"/>
        <w:rPr>
          <w:rFonts w:cs="Arial"/>
        </w:rPr>
      </w:pPr>
      <w:r w:rsidRPr="009A5185">
        <w:rPr>
          <w:rFonts w:cs="Arial"/>
        </w:rPr>
        <w:t xml:space="preserve">Exclude </w:t>
      </w:r>
      <w:r w:rsidR="004A5AA1">
        <w:rPr>
          <w:rFonts w:cs="Arial"/>
        </w:rPr>
        <w:t>OTC/</w:t>
      </w:r>
      <w:r>
        <w:rPr>
          <w:rFonts w:cs="Arial"/>
        </w:rPr>
        <w:t>PRN medications unless they are clinically relevant. This includes topical lo</w:t>
      </w:r>
      <w:r w:rsidR="00B35215">
        <w:rPr>
          <w:rFonts w:cs="Arial"/>
        </w:rPr>
        <w:t>tions</w:t>
      </w:r>
      <w:r>
        <w:rPr>
          <w:rFonts w:cs="Arial"/>
        </w:rPr>
        <w:t xml:space="preserve"> and creams, saline nasal spray and artificial tear eye drops, herbals and supplements, and vitamins. </w:t>
      </w:r>
      <w:r w:rsidRPr="009A5185">
        <w:rPr>
          <w:rFonts w:cs="Arial"/>
        </w:rPr>
        <w:t>Two examples of clinically relevant medications that should not be excluded from the gold standard pre-admission medication list would be iron for a patient with iron-deficiency anemia or calcium/vitamin D for a patient with osteoporosis.</w:t>
      </w:r>
    </w:p>
    <w:p w14:paraId="3FFEA8AB" w14:textId="4668E6BF" w:rsidR="0084408C" w:rsidRDefault="0084408C" w:rsidP="00AD309C">
      <w:pPr>
        <w:pStyle w:val="EndnoteText"/>
        <w:numPr>
          <w:ilvl w:val="2"/>
          <w:numId w:val="64"/>
        </w:numPr>
        <w:ind w:left="1080"/>
        <w:rPr>
          <w:rFonts w:cs="Arial"/>
        </w:rPr>
      </w:pPr>
      <w:r>
        <w:rPr>
          <w:rFonts w:cs="Arial"/>
        </w:rPr>
        <w:t xml:space="preserve">Include </w:t>
      </w:r>
      <w:r w:rsidR="004A5AA1">
        <w:rPr>
          <w:rFonts w:cs="Arial"/>
        </w:rPr>
        <w:t>OTC/</w:t>
      </w:r>
      <w:r>
        <w:rPr>
          <w:rFonts w:cs="Arial"/>
        </w:rPr>
        <w:t xml:space="preserve">PRN medications that are clinically relevant. This includes </w:t>
      </w:r>
      <w:r w:rsidRPr="009A5185">
        <w:rPr>
          <w:rFonts w:cs="Arial"/>
        </w:rPr>
        <w:t xml:space="preserve">inhalers, nitroglycerin, </w:t>
      </w:r>
      <w:r w:rsidRPr="003D09E6">
        <w:rPr>
          <w:rFonts w:cs="Arial"/>
        </w:rPr>
        <w:t>analgesics (opioid and non-opioid)</w:t>
      </w:r>
      <w:r w:rsidRPr="009A5185">
        <w:rPr>
          <w:rFonts w:cs="Arial"/>
        </w:rPr>
        <w:t xml:space="preserve">, muscle relaxants, </w:t>
      </w:r>
      <w:r>
        <w:rPr>
          <w:rFonts w:cs="Arial"/>
        </w:rPr>
        <w:t xml:space="preserve">and </w:t>
      </w:r>
      <w:r w:rsidRPr="009A5185">
        <w:rPr>
          <w:rFonts w:cs="Arial"/>
        </w:rPr>
        <w:t>sedatives</w:t>
      </w:r>
      <w:r>
        <w:rPr>
          <w:rFonts w:cs="Arial"/>
        </w:rPr>
        <w:t>, including medications where sedation is a common side effect (e.g., sedation occurs in more than 10% of individuals).</w:t>
      </w:r>
      <w:r w:rsidRPr="009A5185">
        <w:rPr>
          <w:rFonts w:cs="Arial"/>
        </w:rPr>
        <w:t xml:space="preserve"> </w:t>
      </w:r>
      <w:r>
        <w:rPr>
          <w:rFonts w:cs="Arial"/>
        </w:rPr>
        <w:t xml:space="preserve">This also includes </w:t>
      </w:r>
      <w:r w:rsidRPr="003E0613">
        <w:rPr>
          <w:rFonts w:cs="Arial"/>
        </w:rPr>
        <w:t>topical medications with systemic actions (e.g., lidocaine, triamcinolone, sulfadiazine</w:t>
      </w:r>
      <w:r>
        <w:rPr>
          <w:rFonts w:cs="Arial"/>
        </w:rPr>
        <w:t>, etc.</w:t>
      </w:r>
      <w:r w:rsidRPr="003E0613">
        <w:rPr>
          <w:rFonts w:cs="Arial"/>
        </w:rPr>
        <w:t>)</w:t>
      </w:r>
      <w:r>
        <w:rPr>
          <w:rFonts w:cs="Arial"/>
        </w:rPr>
        <w:t>.</w:t>
      </w:r>
    </w:p>
    <w:p w14:paraId="4EBAEE39" w14:textId="031CF156" w:rsidR="008A4674" w:rsidRPr="003E0613" w:rsidRDefault="008A4674" w:rsidP="00AD309C">
      <w:pPr>
        <w:pStyle w:val="EndnoteText"/>
        <w:numPr>
          <w:ilvl w:val="2"/>
          <w:numId w:val="64"/>
        </w:numPr>
        <w:ind w:left="1080"/>
        <w:rPr>
          <w:rFonts w:cs="Arial"/>
        </w:rPr>
      </w:pPr>
      <w:r>
        <w:rPr>
          <w:rFonts w:cs="Arial"/>
        </w:rPr>
        <w:t xml:space="preserve">Clinically relevant is defined as any </w:t>
      </w:r>
      <w:r w:rsidR="004A5AA1">
        <w:rPr>
          <w:rFonts w:cs="Arial"/>
        </w:rPr>
        <w:t>OTC/</w:t>
      </w:r>
      <w:r>
        <w:rPr>
          <w:rFonts w:cs="Arial"/>
        </w:rPr>
        <w:t>PRN medication that treats a medical condition on the patient’s problem list and/or condition they are being treated for during the visit</w:t>
      </w:r>
      <w:r w:rsidR="00494D79">
        <w:rPr>
          <w:rFonts w:cs="Arial"/>
        </w:rPr>
        <w:t xml:space="preserve"> (i.e., reason for the hospital stay). </w:t>
      </w:r>
    </w:p>
    <w:p w14:paraId="27996FFB" w14:textId="77777777" w:rsidR="0084408C" w:rsidRDefault="0084408C" w:rsidP="0084408C">
      <w:pPr>
        <w:pStyle w:val="EndnoteText"/>
        <w:rPr>
          <w:rFonts w:cs="Arial"/>
          <w:b/>
        </w:rPr>
      </w:pPr>
      <w:bookmarkStart w:id="202" w:name="Step3_CompleteWkst"/>
    </w:p>
    <w:p w14:paraId="24D4EF44" w14:textId="031C83EB" w:rsidR="0084408C" w:rsidRPr="009A5185" w:rsidRDefault="0084408C" w:rsidP="0084408C">
      <w:pPr>
        <w:pStyle w:val="EndnoteText"/>
        <w:rPr>
          <w:rFonts w:cs="Arial"/>
          <w:b/>
        </w:rPr>
      </w:pPr>
      <w:r w:rsidRPr="009A5185">
        <w:rPr>
          <w:rFonts w:cs="Arial"/>
          <w:b/>
        </w:rPr>
        <w:t xml:space="preserve">Step 3: </w:t>
      </w:r>
      <w:bookmarkEnd w:id="202"/>
      <w:r w:rsidRPr="009A5185">
        <w:rPr>
          <w:rFonts w:cs="Arial"/>
          <w:b/>
        </w:rPr>
        <w:t>Complete a Medication Reconciliation Worksheet for each sampled patient (Pharmacist</w:t>
      </w:r>
      <w:r>
        <w:rPr>
          <w:rFonts w:cs="Arial"/>
          <w:b/>
        </w:rPr>
        <w:t xml:space="preserve"> or </w:t>
      </w:r>
      <w:hyperlink w:anchor="CertifiedPharmacyTechnician" w:history="1">
        <w:r w:rsidRPr="00714DB7">
          <w:rPr>
            <w:rStyle w:val="Hyperlink"/>
            <w:rFonts w:cs="Arial"/>
            <w:b/>
          </w:rPr>
          <w:t>Certified Pharmacy Technician</w:t>
        </w:r>
      </w:hyperlink>
      <w:r w:rsidR="00714DB7">
        <w:rPr>
          <w:rFonts w:cs="Arial"/>
          <w:b/>
        </w:rPr>
        <w:fldChar w:fldCharType="begin"/>
      </w:r>
      <w:r w:rsidR="00714DB7">
        <w:rPr>
          <w:rFonts w:cs="Arial"/>
          <w:b/>
        </w:rPr>
        <w:instrText xml:space="preserve"> NOTEREF _Ref59097322 \f \h </w:instrText>
      </w:r>
      <w:r w:rsidR="00714DB7">
        <w:rPr>
          <w:rFonts w:cs="Arial"/>
          <w:b/>
        </w:rPr>
      </w:r>
      <w:r w:rsidR="00714DB7">
        <w:rPr>
          <w:rFonts w:cs="Arial"/>
          <w:b/>
        </w:rPr>
        <w:fldChar w:fldCharType="separate"/>
      </w:r>
      <w:r w:rsidR="007D53A2" w:rsidRPr="00F06B87">
        <w:rPr>
          <w:rStyle w:val="EndnoteReference"/>
        </w:rPr>
        <w:t>23</w:t>
      </w:r>
      <w:r w:rsidR="00714DB7">
        <w:rPr>
          <w:rFonts w:cs="Arial"/>
          <w:b/>
        </w:rPr>
        <w:fldChar w:fldCharType="end"/>
      </w:r>
      <w:r w:rsidRPr="009A5185">
        <w:rPr>
          <w:rFonts w:cs="Arial"/>
          <w:b/>
        </w:rPr>
        <w:t>)</w:t>
      </w:r>
    </w:p>
    <w:p w14:paraId="17EBC4BE" w14:textId="77777777" w:rsidR="0084408C" w:rsidRPr="009A5185" w:rsidRDefault="0084408C" w:rsidP="00AD309C">
      <w:pPr>
        <w:pStyle w:val="EndnoteText"/>
        <w:numPr>
          <w:ilvl w:val="0"/>
          <w:numId w:val="73"/>
        </w:numPr>
        <w:ind w:left="360"/>
        <w:rPr>
          <w:rFonts w:cs="Arial"/>
        </w:rPr>
      </w:pPr>
      <w:r w:rsidRPr="009A5185">
        <w:rPr>
          <w:rFonts w:cs="Arial"/>
        </w:rPr>
        <w:t>Once the Gold Standard Medication History is complete, print out the Medication Reconciliation Worksheet for each sample</w:t>
      </w:r>
      <w:r>
        <w:rPr>
          <w:rFonts w:cs="Arial"/>
        </w:rPr>
        <w:t>d</w:t>
      </w:r>
      <w:r w:rsidRPr="009A5185">
        <w:rPr>
          <w:rFonts w:cs="Arial"/>
        </w:rPr>
        <w:t xml:space="preserve"> patient. </w:t>
      </w:r>
    </w:p>
    <w:p w14:paraId="4AE779F9" w14:textId="77777777" w:rsidR="0084408C" w:rsidRPr="009A5185" w:rsidRDefault="0084408C" w:rsidP="00AD309C">
      <w:pPr>
        <w:pStyle w:val="EndnoteText"/>
        <w:numPr>
          <w:ilvl w:val="0"/>
          <w:numId w:val="73"/>
        </w:numPr>
        <w:ind w:left="360"/>
        <w:rPr>
          <w:rFonts w:cs="Arial"/>
        </w:rPr>
      </w:pPr>
      <w:r w:rsidRPr="009A5185">
        <w:rPr>
          <w:rFonts w:cs="Arial"/>
        </w:rPr>
        <w:t>Page 1 needs to be printed out for each sampled patient. Page 2 needs to be printed for each Gold Standard Medication the patient was taking.</w:t>
      </w:r>
    </w:p>
    <w:p w14:paraId="6CC27432" w14:textId="1B32911A" w:rsidR="0084408C" w:rsidRPr="00365263" w:rsidRDefault="0084408C" w:rsidP="00AD309C">
      <w:pPr>
        <w:pStyle w:val="EndnoteText"/>
        <w:numPr>
          <w:ilvl w:val="0"/>
          <w:numId w:val="73"/>
        </w:numPr>
        <w:ind w:left="360"/>
        <w:rPr>
          <w:rFonts w:cs="Arial"/>
        </w:rPr>
      </w:pPr>
      <w:r w:rsidRPr="009A5185">
        <w:rPr>
          <w:rFonts w:cs="Arial"/>
        </w:rPr>
        <w:t>Complete the “Gold Standard Medication” column highlighted in yellow for each Gold Standard Medication on the list:</w:t>
      </w:r>
    </w:p>
    <w:p w14:paraId="7AF0A30A" w14:textId="77777777" w:rsidR="0084408C" w:rsidRPr="009A5185" w:rsidRDefault="0084408C" w:rsidP="00365263">
      <w:pPr>
        <w:pStyle w:val="EndnoteText"/>
        <w:jc w:val="center"/>
        <w:rPr>
          <w:rFonts w:cs="Arial"/>
        </w:rPr>
      </w:pPr>
      <w:r w:rsidRPr="009A5185">
        <w:rPr>
          <w:rFonts w:cs="Arial"/>
          <w:noProof/>
        </w:rPr>
        <w:drawing>
          <wp:inline distT="0" distB="0" distL="0" distR="0" wp14:anchorId="0CBA592B" wp14:editId="17B134CB">
            <wp:extent cx="2364004" cy="3448050"/>
            <wp:effectExtent l="0" t="0" r="0" b="0"/>
            <wp:docPr id="9" name="Picture 9" descr="P243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P2434#yIS1"/>
                    <pic:cNvPicPr/>
                  </pic:nvPicPr>
                  <pic:blipFill>
                    <a:blip r:embed="rId192"/>
                    <a:srcRect l="1696" r="1696"/>
                    <a:stretch>
                      <a:fillRect/>
                    </a:stretch>
                  </pic:blipFill>
                  <pic:spPr bwMode="auto">
                    <a:xfrm>
                      <a:off x="0" y="0"/>
                      <a:ext cx="2364004" cy="3448050"/>
                    </a:xfrm>
                    <a:prstGeom prst="rect">
                      <a:avLst/>
                    </a:prstGeom>
                    <a:ln>
                      <a:noFill/>
                    </a:ln>
                    <a:extLst>
                      <a:ext uri="{53640926-AAD7-44D8-BBD7-CCE9431645EC}">
                        <a14:shadowObscured xmlns:a14="http://schemas.microsoft.com/office/drawing/2010/main"/>
                      </a:ext>
                    </a:extLst>
                  </pic:spPr>
                </pic:pic>
              </a:graphicData>
            </a:graphic>
          </wp:inline>
        </w:drawing>
      </w:r>
    </w:p>
    <w:p w14:paraId="7CABA0A7" w14:textId="77777777" w:rsidR="0084408C" w:rsidRPr="009A5185" w:rsidRDefault="0084408C" w:rsidP="00365263">
      <w:pPr>
        <w:pStyle w:val="EndnoteText"/>
        <w:rPr>
          <w:rFonts w:cs="Arial"/>
        </w:rPr>
      </w:pPr>
    </w:p>
    <w:p w14:paraId="5F3F27C5" w14:textId="77777777" w:rsidR="0084408C" w:rsidRPr="009A5185" w:rsidRDefault="0084408C" w:rsidP="00AD309C">
      <w:pPr>
        <w:pStyle w:val="EndnoteText"/>
        <w:numPr>
          <w:ilvl w:val="0"/>
          <w:numId w:val="73"/>
        </w:numPr>
        <w:ind w:left="360"/>
        <w:rPr>
          <w:rFonts w:cs="Arial"/>
        </w:rPr>
      </w:pPr>
      <w:r w:rsidRPr="009A5185">
        <w:rPr>
          <w:rFonts w:cs="Arial"/>
        </w:rPr>
        <w:t>If possible, wait until after the patient has been discharged to complete the next steps.</w:t>
      </w:r>
    </w:p>
    <w:p w14:paraId="6731F357" w14:textId="3CEA19A7" w:rsidR="00910741" w:rsidRDefault="00910741">
      <w:pPr>
        <w:rPr>
          <w:rFonts w:cs="Arial"/>
        </w:rPr>
      </w:pPr>
      <w:r>
        <w:rPr>
          <w:rFonts w:cs="Arial"/>
        </w:rPr>
        <w:br w:type="page"/>
      </w:r>
    </w:p>
    <w:p w14:paraId="44CD8B86" w14:textId="77777777" w:rsidR="0084408C" w:rsidRPr="009A5185" w:rsidRDefault="0084408C" w:rsidP="0084408C">
      <w:pPr>
        <w:pStyle w:val="EndnoteText"/>
        <w:rPr>
          <w:rFonts w:cs="Arial"/>
          <w:b/>
        </w:rPr>
      </w:pPr>
      <w:bookmarkStart w:id="203" w:name="Step4_ComparewAdmissionOrders"/>
      <w:r w:rsidRPr="009A5185">
        <w:rPr>
          <w:rFonts w:cs="Arial"/>
          <w:b/>
        </w:rPr>
        <w:lastRenderedPageBreak/>
        <w:t>Step 4:</w:t>
      </w:r>
      <w:bookmarkEnd w:id="203"/>
      <w:r w:rsidRPr="009A5185">
        <w:rPr>
          <w:rFonts w:cs="Arial"/>
          <w:b/>
        </w:rPr>
        <w:t xml:space="preserve"> Compare Gold Standard Medication History to Admission Orders (Pharmacist</w:t>
      </w:r>
      <w:r>
        <w:rPr>
          <w:rFonts w:cs="Arial"/>
          <w:b/>
        </w:rPr>
        <w:t xml:space="preserve"> Only</w:t>
      </w:r>
      <w:r w:rsidRPr="009A5185">
        <w:rPr>
          <w:rFonts w:cs="Arial"/>
          <w:b/>
        </w:rPr>
        <w:t>)</w:t>
      </w:r>
    </w:p>
    <w:p w14:paraId="1C6E6248" w14:textId="77777777" w:rsidR="0084408C" w:rsidRPr="009A5185" w:rsidRDefault="0084408C" w:rsidP="00AD309C">
      <w:pPr>
        <w:pStyle w:val="EndnoteText"/>
        <w:numPr>
          <w:ilvl w:val="0"/>
          <w:numId w:val="74"/>
        </w:numPr>
        <w:ind w:left="360"/>
        <w:rPr>
          <w:rFonts w:cs="Arial"/>
        </w:rPr>
      </w:pPr>
      <w:r w:rsidRPr="009A5185">
        <w:rPr>
          <w:rFonts w:cs="Arial"/>
        </w:rPr>
        <w:t>After the patient has been discharged, obtain the admission and discharge orders for the patient</w:t>
      </w:r>
      <w:r>
        <w:rPr>
          <w:rFonts w:cs="Arial"/>
        </w:rPr>
        <w:t xml:space="preserve"> </w:t>
      </w:r>
      <w:r w:rsidRPr="009A5185">
        <w:rPr>
          <w:rFonts w:cs="Arial"/>
        </w:rPr>
        <w:t>(</w:t>
      </w:r>
      <w:r>
        <w:rPr>
          <w:rFonts w:cs="Arial"/>
        </w:rPr>
        <w:t>i</w:t>
      </w:r>
      <w:r w:rsidRPr="009A5185">
        <w:rPr>
          <w:rFonts w:cs="Arial"/>
        </w:rPr>
        <w:t xml:space="preserve">nstructions for comparing the discharge orders are in Step 5 below). Admission orders include all orders written from the time of admission until 8:00 a.m. the following morning or </w:t>
      </w:r>
      <w:r>
        <w:rPr>
          <w:rFonts w:cs="Arial"/>
        </w:rPr>
        <w:t xml:space="preserve">up </w:t>
      </w:r>
      <w:r w:rsidRPr="009A5185">
        <w:rPr>
          <w:rFonts w:cs="Arial"/>
        </w:rPr>
        <w:t xml:space="preserve">until </w:t>
      </w:r>
      <w:r>
        <w:rPr>
          <w:rFonts w:cs="Arial"/>
        </w:rPr>
        <w:t>12</w:t>
      </w:r>
      <w:r w:rsidRPr="009A5185">
        <w:rPr>
          <w:rFonts w:cs="Arial"/>
        </w:rPr>
        <w:t xml:space="preserve"> hours after the time of admission, whichever comes first.</w:t>
      </w:r>
    </w:p>
    <w:p w14:paraId="51BD2C63" w14:textId="77777777" w:rsidR="0084408C" w:rsidRPr="009A5185" w:rsidRDefault="0084408C" w:rsidP="00AD309C">
      <w:pPr>
        <w:pStyle w:val="EndnoteText"/>
        <w:numPr>
          <w:ilvl w:val="0"/>
          <w:numId w:val="74"/>
        </w:numPr>
        <w:ind w:left="360"/>
        <w:rPr>
          <w:rFonts w:cs="Arial"/>
        </w:rPr>
      </w:pPr>
      <w:r w:rsidRPr="009A5185">
        <w:rPr>
          <w:rFonts w:cs="Arial"/>
        </w:rPr>
        <w:t xml:space="preserve">Compare the admission orders to each Gold Standard Medication on the Medication Reconciliation Worksheet. Note any differences. </w:t>
      </w:r>
    </w:p>
    <w:p w14:paraId="615CAFB3" w14:textId="4C2CEF21" w:rsidR="0084408C" w:rsidRPr="009A5185" w:rsidRDefault="0084408C" w:rsidP="00AD309C">
      <w:pPr>
        <w:pStyle w:val="EndnoteText"/>
        <w:numPr>
          <w:ilvl w:val="2"/>
          <w:numId w:val="180"/>
        </w:numPr>
        <w:ind w:left="1440"/>
        <w:rPr>
          <w:rFonts w:cs="Arial"/>
        </w:rPr>
      </w:pPr>
      <w:r w:rsidRPr="009A5185">
        <w:rPr>
          <w:rFonts w:cs="Arial"/>
        </w:rPr>
        <w:t xml:space="preserve">Review the records for the patient to determine if the differences were intentional or unintentional. Use the </w:t>
      </w:r>
      <w:hyperlink r:id="rId193" w:history="1">
        <w:r w:rsidRPr="00A427B4">
          <w:rPr>
            <w:rStyle w:val="Hyperlink"/>
            <w:rFonts w:cs="Arial"/>
          </w:rPr>
          <w:t>Identifying Discrepancies Flow Charts</w:t>
        </w:r>
      </w:hyperlink>
      <w:r w:rsidRPr="009A5185">
        <w:rPr>
          <w:rFonts w:cs="Arial"/>
        </w:rPr>
        <w:t xml:space="preserve"> to help with this step.</w:t>
      </w:r>
    </w:p>
    <w:p w14:paraId="4D6E09EE" w14:textId="46C2C86C" w:rsidR="0084408C" w:rsidRPr="00365263" w:rsidRDefault="0084408C" w:rsidP="00AD309C">
      <w:pPr>
        <w:pStyle w:val="EndnoteText"/>
        <w:numPr>
          <w:ilvl w:val="2"/>
          <w:numId w:val="180"/>
        </w:numPr>
        <w:ind w:left="1440"/>
        <w:rPr>
          <w:rFonts w:cs="Arial"/>
        </w:rPr>
      </w:pPr>
      <w:r w:rsidRPr="009A5185">
        <w:rPr>
          <w:rFonts w:cs="Arial"/>
        </w:rPr>
        <w:t>If the discrepancy was unintentional, then check the box next to “Yes” highlighted in orange. Otherwise, check “No</w:t>
      </w:r>
      <w:r w:rsidR="00D851DA">
        <w:rPr>
          <w:rFonts w:cs="Arial"/>
        </w:rPr>
        <w:t>.</w:t>
      </w:r>
      <w:r w:rsidRPr="009A5185">
        <w:rPr>
          <w:rFonts w:cs="Arial"/>
        </w:rPr>
        <w:t>”</w:t>
      </w:r>
    </w:p>
    <w:p w14:paraId="117FD12C" w14:textId="77777777" w:rsidR="0084408C" w:rsidRPr="009A5185" w:rsidRDefault="0084408C" w:rsidP="00365263">
      <w:pPr>
        <w:pStyle w:val="EndnoteText"/>
        <w:jc w:val="center"/>
        <w:rPr>
          <w:rFonts w:cs="Arial"/>
        </w:rPr>
      </w:pPr>
      <w:r>
        <w:rPr>
          <w:rFonts w:cs="Arial"/>
          <w:noProof/>
        </w:rPr>
        <w:drawing>
          <wp:inline distT="0" distB="0" distL="0" distR="0" wp14:anchorId="4162846F" wp14:editId="1A7AAC66">
            <wp:extent cx="1999615" cy="3359150"/>
            <wp:effectExtent l="0" t="0" r="635" b="0"/>
            <wp:docPr id="8" name="Picture 8" descr="P244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P2443#yIS1"/>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1999615" cy="3359150"/>
                    </a:xfrm>
                    <a:prstGeom prst="rect">
                      <a:avLst/>
                    </a:prstGeom>
                    <a:noFill/>
                  </pic:spPr>
                </pic:pic>
              </a:graphicData>
            </a:graphic>
          </wp:inline>
        </w:drawing>
      </w:r>
    </w:p>
    <w:p w14:paraId="6F883310" w14:textId="77777777" w:rsidR="0084408C" w:rsidRPr="009A5185" w:rsidRDefault="0084408C" w:rsidP="00365263">
      <w:pPr>
        <w:pStyle w:val="EndnoteText"/>
        <w:jc w:val="center"/>
        <w:rPr>
          <w:rFonts w:cs="Arial"/>
        </w:rPr>
      </w:pPr>
    </w:p>
    <w:p w14:paraId="63B4378B" w14:textId="527B8175" w:rsidR="0084408C" w:rsidRPr="00365263" w:rsidRDefault="0084408C" w:rsidP="00AD309C">
      <w:pPr>
        <w:pStyle w:val="EndnoteText"/>
        <w:numPr>
          <w:ilvl w:val="0"/>
          <w:numId w:val="74"/>
        </w:numPr>
        <w:ind w:left="360"/>
        <w:rPr>
          <w:rFonts w:cs="Arial"/>
        </w:rPr>
      </w:pPr>
      <w:r w:rsidRPr="009A5185">
        <w:rPr>
          <w:rFonts w:cs="Arial"/>
        </w:rPr>
        <w:t xml:space="preserve">Review the admission orders for any medications that were not listed in the Gold Standard Medication History. If any of the additional medications were ordered </w:t>
      </w:r>
      <w:r w:rsidRPr="009A5185">
        <w:rPr>
          <w:rFonts w:cs="Arial"/>
          <w:b/>
        </w:rPr>
        <w:t>unintentionally</w:t>
      </w:r>
      <w:r w:rsidRPr="009A5185">
        <w:rPr>
          <w:rFonts w:cs="Arial"/>
        </w:rPr>
        <w:t>, list it on the first page of the Medication Reconciliation Worksheet in the blue-highlighted column.</w:t>
      </w:r>
      <w:r>
        <w:rPr>
          <w:rFonts w:cs="Arial"/>
        </w:rPr>
        <w:t xml:space="preserve"> </w:t>
      </w:r>
      <w:r w:rsidRPr="009A5185">
        <w:rPr>
          <w:rFonts w:cs="Arial"/>
        </w:rPr>
        <w:t>You may need to contact the Provider to determine if the medication was ordered unintentionally or not.</w:t>
      </w:r>
    </w:p>
    <w:p w14:paraId="5652223F" w14:textId="079BCB7B" w:rsidR="0084408C" w:rsidRPr="009A5185" w:rsidRDefault="0084408C" w:rsidP="00365263">
      <w:pPr>
        <w:pStyle w:val="EndnoteText"/>
        <w:rPr>
          <w:rFonts w:cs="Arial"/>
        </w:rPr>
      </w:pPr>
      <w:r w:rsidRPr="009A5185">
        <w:rPr>
          <w:rFonts w:cs="Arial"/>
          <w:noProof/>
        </w:rPr>
        <w:drawing>
          <wp:inline distT="0" distB="0" distL="0" distR="0" wp14:anchorId="65351373" wp14:editId="4C14BEAA">
            <wp:extent cx="5943600" cy="1905635"/>
            <wp:effectExtent l="0" t="0" r="0" b="0"/>
            <wp:docPr id="10" name="Picture 10" descr="P244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P2446#yIS1"/>
                    <pic:cNvPicPr/>
                  </pic:nvPicPr>
                  <pic:blipFill>
                    <a:blip r:embed="rId195"/>
                    <a:stretch>
                      <a:fillRect/>
                    </a:stretch>
                  </pic:blipFill>
                  <pic:spPr>
                    <a:xfrm>
                      <a:off x="0" y="0"/>
                      <a:ext cx="5943600" cy="1905635"/>
                    </a:xfrm>
                    <a:prstGeom prst="rect">
                      <a:avLst/>
                    </a:prstGeom>
                  </pic:spPr>
                </pic:pic>
              </a:graphicData>
            </a:graphic>
          </wp:inline>
        </w:drawing>
      </w:r>
    </w:p>
    <w:p w14:paraId="27F8B164" w14:textId="77777777" w:rsidR="0084408C" w:rsidRPr="009A5185" w:rsidRDefault="0084408C" w:rsidP="00AD309C">
      <w:pPr>
        <w:pStyle w:val="EndnoteText"/>
        <w:numPr>
          <w:ilvl w:val="0"/>
          <w:numId w:val="74"/>
        </w:numPr>
        <w:ind w:left="360"/>
        <w:rPr>
          <w:rFonts w:cs="Arial"/>
        </w:rPr>
      </w:pPr>
      <w:r w:rsidRPr="009A5185">
        <w:rPr>
          <w:rFonts w:cs="Arial"/>
        </w:rPr>
        <w:t xml:space="preserve">If the pharmacist identifies an unintentional discrepancy in the admission orders </w:t>
      </w:r>
      <w:r w:rsidRPr="009A5185">
        <w:rPr>
          <w:rFonts w:cs="Arial"/>
          <w:u w:val="single"/>
        </w:rPr>
        <w:t>prior to discharge</w:t>
      </w:r>
      <w:r w:rsidRPr="009A5185">
        <w:rPr>
          <w:rFonts w:cs="Arial"/>
        </w:rPr>
        <w:t xml:space="preserve"> and alerts the physician so that the unintentional discrepancy can be corrected prior to discharge, this should be recorded on the Medication Reconciliation Worksheet as an unintentional discrepancy in </w:t>
      </w:r>
      <w:r>
        <w:rPr>
          <w:rFonts w:cs="Arial"/>
        </w:rPr>
        <w:t xml:space="preserve">the </w:t>
      </w:r>
      <w:r w:rsidRPr="009A5185">
        <w:rPr>
          <w:rFonts w:cs="Arial"/>
        </w:rPr>
        <w:t>Admission Comparison</w:t>
      </w:r>
      <w:r>
        <w:rPr>
          <w:rFonts w:cs="Arial"/>
        </w:rPr>
        <w:t xml:space="preserve"> and Discharge Comparison</w:t>
      </w:r>
      <w:r w:rsidRPr="009A5185">
        <w:rPr>
          <w:rFonts w:cs="Arial"/>
        </w:rPr>
        <w:t xml:space="preserve"> column</w:t>
      </w:r>
      <w:r>
        <w:rPr>
          <w:rFonts w:cs="Arial"/>
        </w:rPr>
        <w:t>s</w:t>
      </w:r>
      <w:r w:rsidRPr="009A5185">
        <w:rPr>
          <w:rFonts w:cs="Arial"/>
        </w:rPr>
        <w:t xml:space="preserve"> of the worksheet.</w:t>
      </w:r>
    </w:p>
    <w:p w14:paraId="0ABA0F64" w14:textId="77777777" w:rsidR="0084408C" w:rsidRPr="009A5185" w:rsidRDefault="0084408C" w:rsidP="0084408C">
      <w:pPr>
        <w:pStyle w:val="EndnoteText"/>
        <w:rPr>
          <w:rFonts w:cs="Arial"/>
        </w:rPr>
      </w:pPr>
    </w:p>
    <w:p w14:paraId="1EED1C70" w14:textId="77777777" w:rsidR="0084408C" w:rsidRPr="009A5185" w:rsidRDefault="0084408C" w:rsidP="0084408C">
      <w:pPr>
        <w:pStyle w:val="EndnoteText"/>
        <w:rPr>
          <w:rFonts w:cs="Arial"/>
          <w:b/>
        </w:rPr>
      </w:pPr>
      <w:bookmarkStart w:id="204" w:name="Step5_ComparewDischargeOrders"/>
      <w:r w:rsidRPr="009A5185">
        <w:rPr>
          <w:rFonts w:cs="Arial"/>
          <w:b/>
        </w:rPr>
        <w:t>Step 5:</w:t>
      </w:r>
      <w:bookmarkEnd w:id="204"/>
      <w:r w:rsidRPr="009A5185">
        <w:rPr>
          <w:rFonts w:cs="Arial"/>
          <w:b/>
        </w:rPr>
        <w:t xml:space="preserve"> Compare Gold Standard Medication History to Discharge Orders (Pharmacist</w:t>
      </w:r>
      <w:r>
        <w:rPr>
          <w:rFonts w:cs="Arial"/>
          <w:b/>
        </w:rPr>
        <w:t xml:space="preserve"> Only</w:t>
      </w:r>
      <w:r w:rsidRPr="009A5185">
        <w:rPr>
          <w:rFonts w:cs="Arial"/>
          <w:b/>
        </w:rPr>
        <w:t xml:space="preserve">) </w:t>
      </w:r>
    </w:p>
    <w:p w14:paraId="0968B581" w14:textId="77777777" w:rsidR="0084408C" w:rsidRPr="009A5185" w:rsidRDefault="0084408C" w:rsidP="00AD309C">
      <w:pPr>
        <w:pStyle w:val="EndnoteText"/>
        <w:numPr>
          <w:ilvl w:val="0"/>
          <w:numId w:val="75"/>
        </w:numPr>
        <w:ind w:left="360"/>
        <w:rPr>
          <w:rFonts w:cs="Arial"/>
        </w:rPr>
      </w:pPr>
      <w:r w:rsidRPr="009A5185">
        <w:rPr>
          <w:rFonts w:cs="Arial"/>
        </w:rPr>
        <w:t>Obtain the discharge orders for the patient.</w:t>
      </w:r>
    </w:p>
    <w:p w14:paraId="1107CDEA" w14:textId="373E107C" w:rsidR="0084408C" w:rsidRPr="009A5185" w:rsidRDefault="0084408C" w:rsidP="00AD309C">
      <w:pPr>
        <w:pStyle w:val="EndnoteText"/>
        <w:numPr>
          <w:ilvl w:val="0"/>
          <w:numId w:val="75"/>
        </w:numPr>
        <w:ind w:left="360"/>
        <w:rPr>
          <w:rFonts w:cs="Arial"/>
        </w:rPr>
      </w:pPr>
      <w:r w:rsidRPr="009A5185">
        <w:rPr>
          <w:rFonts w:cs="Arial"/>
        </w:rPr>
        <w:t xml:space="preserve">Perform the comparison between the Gold Standard Medications and the discharge orders using the same steps as the admission comparison. Remember to use the </w:t>
      </w:r>
      <w:hyperlink r:id="rId196" w:history="1">
        <w:r w:rsidRPr="004167F2">
          <w:rPr>
            <w:rStyle w:val="Hyperlink"/>
            <w:rFonts w:cs="Arial"/>
          </w:rPr>
          <w:t>Identifying Discrepancies Flow Charts</w:t>
        </w:r>
      </w:hyperlink>
      <w:r w:rsidRPr="009A5185">
        <w:rPr>
          <w:rFonts w:cs="Arial"/>
        </w:rPr>
        <w:t xml:space="preserve"> to help with this step.</w:t>
      </w:r>
    </w:p>
    <w:p w14:paraId="73733863" w14:textId="77777777" w:rsidR="0084408C" w:rsidRPr="009A5185" w:rsidRDefault="0084408C" w:rsidP="00AD309C">
      <w:pPr>
        <w:pStyle w:val="EndnoteText"/>
        <w:numPr>
          <w:ilvl w:val="0"/>
          <w:numId w:val="75"/>
        </w:numPr>
        <w:ind w:left="360"/>
        <w:rPr>
          <w:rFonts w:cs="Arial"/>
        </w:rPr>
      </w:pPr>
      <w:r w:rsidRPr="009A5185">
        <w:rPr>
          <w:rFonts w:cs="Arial"/>
        </w:rPr>
        <w:t xml:space="preserve">Review the discharge orders for any medications that were not listed in the Gold Standard Medication History. If any of the additional medications were ordered </w:t>
      </w:r>
      <w:r w:rsidRPr="009A5185">
        <w:rPr>
          <w:rFonts w:cs="Arial"/>
          <w:b/>
        </w:rPr>
        <w:t>unintentionally</w:t>
      </w:r>
      <w:r w:rsidRPr="009A5185">
        <w:rPr>
          <w:rFonts w:cs="Arial"/>
        </w:rPr>
        <w:t xml:space="preserve">, list </w:t>
      </w:r>
      <w:r>
        <w:rPr>
          <w:rFonts w:cs="Arial"/>
        </w:rPr>
        <w:t>them</w:t>
      </w:r>
      <w:r w:rsidRPr="009A5185">
        <w:rPr>
          <w:rFonts w:cs="Arial"/>
        </w:rPr>
        <w:t xml:space="preserve"> on the first page of the Medication Reconciliation Worksheet in the blue-highlighted column.</w:t>
      </w:r>
    </w:p>
    <w:p w14:paraId="26471884" w14:textId="77777777" w:rsidR="0084408C" w:rsidRPr="009A5185" w:rsidRDefault="0084408C" w:rsidP="00AD309C">
      <w:pPr>
        <w:pStyle w:val="EndnoteText"/>
        <w:numPr>
          <w:ilvl w:val="0"/>
          <w:numId w:val="76"/>
        </w:numPr>
        <w:ind w:left="1260"/>
        <w:rPr>
          <w:rFonts w:cs="Arial"/>
        </w:rPr>
      </w:pPr>
      <w:r w:rsidRPr="009A5185">
        <w:rPr>
          <w:rFonts w:cs="Arial"/>
        </w:rPr>
        <w:t>If an unintentionally ordered additional medication was only ordered on admission, then check the “Admission” box in the pink-highlighted column.</w:t>
      </w:r>
    </w:p>
    <w:p w14:paraId="10843ED2" w14:textId="77777777" w:rsidR="0084408C" w:rsidRPr="009A5185" w:rsidRDefault="0084408C" w:rsidP="00AD309C">
      <w:pPr>
        <w:pStyle w:val="EndnoteText"/>
        <w:numPr>
          <w:ilvl w:val="0"/>
          <w:numId w:val="76"/>
        </w:numPr>
        <w:ind w:left="1260"/>
        <w:rPr>
          <w:rFonts w:cs="Arial"/>
        </w:rPr>
      </w:pPr>
      <w:r w:rsidRPr="009A5185">
        <w:rPr>
          <w:rFonts w:cs="Arial"/>
        </w:rPr>
        <w:t>If an unintentionally ordered additional medication was only ordered on discharge, then check the “Discharge” box in the pink -highlighted column.</w:t>
      </w:r>
    </w:p>
    <w:p w14:paraId="3C6AC0FA" w14:textId="77777777" w:rsidR="0084408C" w:rsidRPr="009061F3" w:rsidRDefault="0084408C" w:rsidP="00AD309C">
      <w:pPr>
        <w:pStyle w:val="EndnoteText"/>
        <w:numPr>
          <w:ilvl w:val="0"/>
          <w:numId w:val="76"/>
        </w:numPr>
        <w:ind w:left="1260"/>
        <w:rPr>
          <w:rFonts w:cs="Arial"/>
        </w:rPr>
      </w:pPr>
      <w:r w:rsidRPr="009A5185">
        <w:rPr>
          <w:rFonts w:cs="Arial"/>
        </w:rPr>
        <w:t>If the unintentionally ordered additional medication was ordered on both admission and discharge, then check the “Both” box in the pink-highlighted column</w:t>
      </w:r>
      <w:r>
        <w:rPr>
          <w:rFonts w:cs="Arial"/>
        </w:rPr>
        <w:t xml:space="preserve">. </w:t>
      </w:r>
    </w:p>
    <w:p w14:paraId="667A039F" w14:textId="77777777" w:rsidR="0084408C" w:rsidRPr="009A5185" w:rsidRDefault="0084408C" w:rsidP="0084408C">
      <w:pPr>
        <w:pStyle w:val="EndnoteText"/>
        <w:ind w:left="1800"/>
        <w:rPr>
          <w:rFonts w:cs="Arial"/>
        </w:rPr>
      </w:pPr>
    </w:p>
    <w:p w14:paraId="71E9CB91" w14:textId="77777777" w:rsidR="0084408C" w:rsidRPr="009A5185" w:rsidRDefault="0084408C" w:rsidP="0084408C">
      <w:pPr>
        <w:pStyle w:val="EndnoteText"/>
        <w:rPr>
          <w:rFonts w:cs="Arial"/>
          <w:b/>
        </w:rPr>
      </w:pPr>
      <w:r w:rsidRPr="009A5185">
        <w:rPr>
          <w:rFonts w:cs="Arial"/>
          <w:b/>
        </w:rPr>
        <w:t xml:space="preserve">Step 6: Sum the number of medications and discrepancies (Survey Coordinator) </w:t>
      </w:r>
    </w:p>
    <w:p w14:paraId="1D0013B2" w14:textId="72A43EB1" w:rsidR="0084408C" w:rsidRPr="001C0DA5" w:rsidRDefault="0084408C" w:rsidP="00AD309C">
      <w:pPr>
        <w:pStyle w:val="EndnoteText"/>
        <w:numPr>
          <w:ilvl w:val="0"/>
          <w:numId w:val="79"/>
        </w:numPr>
        <w:ind w:left="360"/>
        <w:rPr>
          <w:rFonts w:cs="Arial"/>
        </w:rPr>
      </w:pPr>
      <w:r w:rsidRPr="009A5185">
        <w:rPr>
          <w:rFonts w:cs="Arial"/>
        </w:rPr>
        <w:t>The top of the first page of the Medication Reconciliation Worksheet contains four spaces for you to list the data for the patient.</w:t>
      </w:r>
    </w:p>
    <w:p w14:paraId="553C6DA1" w14:textId="2E74512B" w:rsidR="0084408C" w:rsidRPr="009A5185" w:rsidRDefault="0084408C" w:rsidP="00365263">
      <w:pPr>
        <w:pStyle w:val="EndnoteText"/>
        <w:rPr>
          <w:rFonts w:cs="Arial"/>
        </w:rPr>
      </w:pPr>
      <w:r w:rsidRPr="009A5185">
        <w:rPr>
          <w:rFonts w:cs="Arial"/>
          <w:noProof/>
        </w:rPr>
        <w:drawing>
          <wp:inline distT="0" distB="0" distL="0" distR="0" wp14:anchorId="43A5D43C" wp14:editId="7519A976">
            <wp:extent cx="5138711" cy="2043955"/>
            <wp:effectExtent l="0" t="0" r="5080" b="0"/>
            <wp:docPr id="3" name="Picture 3" descr="P2459#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P2459#yIS1"/>
                    <pic:cNvPicPr/>
                  </pic:nvPicPr>
                  <pic:blipFill>
                    <a:blip r:embed="rId197"/>
                    <a:stretch>
                      <a:fillRect/>
                    </a:stretch>
                  </pic:blipFill>
                  <pic:spPr>
                    <a:xfrm>
                      <a:off x="0" y="0"/>
                      <a:ext cx="5138711" cy="2043955"/>
                    </a:xfrm>
                    <a:prstGeom prst="rect">
                      <a:avLst/>
                    </a:prstGeom>
                  </pic:spPr>
                </pic:pic>
              </a:graphicData>
            </a:graphic>
          </wp:inline>
        </w:drawing>
      </w:r>
    </w:p>
    <w:p w14:paraId="0A46AE15" w14:textId="77777777" w:rsidR="0084408C" w:rsidRPr="009A5185" w:rsidRDefault="0084408C" w:rsidP="00AD309C">
      <w:pPr>
        <w:pStyle w:val="EndnoteText"/>
        <w:numPr>
          <w:ilvl w:val="0"/>
          <w:numId w:val="77"/>
        </w:numPr>
        <w:ind w:left="1260"/>
        <w:rPr>
          <w:rFonts w:cs="Arial"/>
        </w:rPr>
      </w:pPr>
      <w:r w:rsidRPr="009A5185">
        <w:rPr>
          <w:rFonts w:cs="Arial"/>
        </w:rPr>
        <w:t>Find the number of unintentionally ordered additional medications from the blue highlighted column on the same page. Enter in the first space, also highlighted in blue.</w:t>
      </w:r>
    </w:p>
    <w:p w14:paraId="54910104" w14:textId="77777777" w:rsidR="0084408C" w:rsidRPr="009A5185" w:rsidRDefault="0084408C" w:rsidP="00AD309C">
      <w:pPr>
        <w:pStyle w:val="EndnoteText"/>
        <w:numPr>
          <w:ilvl w:val="0"/>
          <w:numId w:val="77"/>
        </w:numPr>
        <w:ind w:left="1260"/>
        <w:rPr>
          <w:rFonts w:cs="Arial"/>
        </w:rPr>
      </w:pPr>
      <w:r w:rsidRPr="009A5185">
        <w:rPr>
          <w:rFonts w:cs="Arial"/>
        </w:rPr>
        <w:t xml:space="preserve">Find the number of </w:t>
      </w:r>
      <w:r w:rsidRPr="009A5185">
        <w:rPr>
          <w:rFonts w:cs="Arial"/>
          <w:b/>
        </w:rPr>
        <w:t>discrepancies</w:t>
      </w:r>
      <w:r w:rsidRPr="009A5185">
        <w:rPr>
          <w:rFonts w:cs="Arial"/>
        </w:rPr>
        <w:t xml:space="preserve"> due to unintentionally ordered additional medications from the pink highlighted column on the same page.</w:t>
      </w:r>
    </w:p>
    <w:p w14:paraId="59E0E8CB" w14:textId="77777777" w:rsidR="0084408C" w:rsidRPr="009A5185" w:rsidRDefault="0084408C" w:rsidP="00AD309C">
      <w:pPr>
        <w:pStyle w:val="EndnoteText"/>
        <w:numPr>
          <w:ilvl w:val="3"/>
          <w:numId w:val="180"/>
        </w:numPr>
        <w:ind w:left="2160"/>
        <w:rPr>
          <w:rFonts w:cs="Arial"/>
        </w:rPr>
      </w:pPr>
      <w:r w:rsidRPr="009A5185">
        <w:rPr>
          <w:rFonts w:cs="Arial"/>
        </w:rPr>
        <w:t>If a medication was only ordered on admission or only ordered on discharge, then this counts as one discrepancy.</w:t>
      </w:r>
    </w:p>
    <w:p w14:paraId="244F94A1" w14:textId="77777777" w:rsidR="0084408C" w:rsidRPr="009A5185" w:rsidRDefault="0084408C" w:rsidP="00AD309C">
      <w:pPr>
        <w:pStyle w:val="EndnoteText"/>
        <w:numPr>
          <w:ilvl w:val="3"/>
          <w:numId w:val="180"/>
        </w:numPr>
        <w:ind w:left="2160"/>
        <w:rPr>
          <w:rFonts w:cs="Arial"/>
        </w:rPr>
      </w:pPr>
      <w:r w:rsidRPr="009A5185">
        <w:rPr>
          <w:rFonts w:cs="Arial"/>
        </w:rPr>
        <w:t xml:space="preserve">If a medication was ordered on </w:t>
      </w:r>
      <w:r w:rsidRPr="009A5185">
        <w:rPr>
          <w:rFonts w:cs="Arial"/>
          <w:b/>
        </w:rPr>
        <w:t>both</w:t>
      </w:r>
      <w:r w:rsidRPr="009A5185">
        <w:rPr>
          <w:rFonts w:cs="Arial"/>
        </w:rPr>
        <w:t xml:space="preserve"> admission and discharge, then this counts as two discrepancies.</w:t>
      </w:r>
    </w:p>
    <w:p w14:paraId="1C05B903" w14:textId="77777777" w:rsidR="0084408C" w:rsidRPr="009A5185" w:rsidRDefault="0084408C" w:rsidP="00AD309C">
      <w:pPr>
        <w:pStyle w:val="EndnoteText"/>
        <w:numPr>
          <w:ilvl w:val="3"/>
          <w:numId w:val="180"/>
        </w:numPr>
        <w:ind w:left="2160"/>
        <w:rPr>
          <w:rFonts w:cs="Arial"/>
        </w:rPr>
      </w:pPr>
      <w:r w:rsidRPr="009A5185">
        <w:rPr>
          <w:rFonts w:cs="Arial"/>
        </w:rPr>
        <w:t>Sum the number of discrepancies across all unintentionally ordered additional medications and enter this number in the pink-highlighted space.</w:t>
      </w:r>
    </w:p>
    <w:p w14:paraId="2297575F" w14:textId="77777777" w:rsidR="0084408C" w:rsidRPr="009A5185" w:rsidRDefault="0084408C" w:rsidP="00AD309C">
      <w:pPr>
        <w:pStyle w:val="EndnoteText"/>
        <w:numPr>
          <w:ilvl w:val="0"/>
          <w:numId w:val="77"/>
        </w:numPr>
        <w:ind w:left="1260"/>
        <w:rPr>
          <w:rFonts w:cs="Arial"/>
        </w:rPr>
      </w:pPr>
      <w:r w:rsidRPr="009A5185">
        <w:rPr>
          <w:rFonts w:cs="Arial"/>
        </w:rPr>
        <w:t>Find the number of Gold Standard Medications and enter this number in the yellow-highlighted space.</w:t>
      </w:r>
    </w:p>
    <w:p w14:paraId="22FFA298" w14:textId="77777777" w:rsidR="0084408C" w:rsidRPr="009A5185" w:rsidRDefault="0084408C" w:rsidP="00AD309C">
      <w:pPr>
        <w:pStyle w:val="EndnoteText"/>
        <w:numPr>
          <w:ilvl w:val="0"/>
          <w:numId w:val="77"/>
        </w:numPr>
        <w:ind w:left="1260"/>
        <w:rPr>
          <w:rFonts w:cs="Arial"/>
        </w:rPr>
      </w:pPr>
      <w:r w:rsidRPr="009A5185">
        <w:rPr>
          <w:rFonts w:cs="Arial"/>
        </w:rPr>
        <w:t>Find the number of discrepancies in the admission and discharge orders for the Gold Standard Medications</w:t>
      </w:r>
    </w:p>
    <w:p w14:paraId="440D54D8" w14:textId="77777777" w:rsidR="0084408C" w:rsidRPr="009A5185" w:rsidRDefault="0084408C" w:rsidP="00AD309C">
      <w:pPr>
        <w:pStyle w:val="EndnoteText"/>
        <w:numPr>
          <w:ilvl w:val="0"/>
          <w:numId w:val="78"/>
        </w:numPr>
        <w:ind w:left="1800"/>
        <w:rPr>
          <w:rFonts w:cs="Arial"/>
        </w:rPr>
      </w:pPr>
      <w:r w:rsidRPr="009A5185">
        <w:rPr>
          <w:rFonts w:cs="Arial"/>
        </w:rPr>
        <w:t>Review the Medication Reconciliation Worksheet for each Gold Standard Medication.</w:t>
      </w:r>
    </w:p>
    <w:p w14:paraId="4E7CC214" w14:textId="77777777" w:rsidR="0084408C" w:rsidRPr="009A5185" w:rsidRDefault="0084408C" w:rsidP="00AD309C">
      <w:pPr>
        <w:pStyle w:val="EndnoteText"/>
        <w:numPr>
          <w:ilvl w:val="0"/>
          <w:numId w:val="78"/>
        </w:numPr>
        <w:ind w:left="1800"/>
        <w:rPr>
          <w:rFonts w:cs="Arial"/>
        </w:rPr>
      </w:pPr>
      <w:r w:rsidRPr="009A5185">
        <w:rPr>
          <w:rFonts w:cs="Arial"/>
        </w:rPr>
        <w:t>Sum the number of times the orange</w:t>
      </w:r>
      <w:r>
        <w:rPr>
          <w:rFonts w:cs="Arial"/>
        </w:rPr>
        <w:t xml:space="preserve"> </w:t>
      </w:r>
      <w:r w:rsidRPr="009A5185">
        <w:rPr>
          <w:rFonts w:cs="Arial"/>
        </w:rPr>
        <w:t>highlighted “Yes” box is checked, indicating an unintentional discrepancy in admission or discharge orders.</w:t>
      </w:r>
    </w:p>
    <w:p w14:paraId="232E4A6A" w14:textId="77777777" w:rsidR="0084408C" w:rsidRPr="009A5185" w:rsidRDefault="0084408C" w:rsidP="00AD309C">
      <w:pPr>
        <w:pStyle w:val="EndnoteText"/>
        <w:numPr>
          <w:ilvl w:val="0"/>
          <w:numId w:val="78"/>
        </w:numPr>
        <w:ind w:left="1800"/>
        <w:rPr>
          <w:rFonts w:cs="Arial"/>
        </w:rPr>
      </w:pPr>
      <w:r w:rsidRPr="009A5185">
        <w:rPr>
          <w:rFonts w:cs="Arial"/>
        </w:rPr>
        <w:t>Enter this sum into the orange-highlighted space on the first page of the Medication Reconciliation Worksheet.</w:t>
      </w:r>
    </w:p>
    <w:p w14:paraId="41E9937C" w14:textId="77777777" w:rsidR="0084408C" w:rsidRPr="009A5185" w:rsidRDefault="0084408C" w:rsidP="0084408C">
      <w:pPr>
        <w:pStyle w:val="EndnoteText"/>
        <w:ind w:left="2520"/>
        <w:rPr>
          <w:rFonts w:cs="Arial"/>
        </w:rPr>
      </w:pPr>
    </w:p>
    <w:p w14:paraId="0048D373" w14:textId="77777777" w:rsidR="00910741" w:rsidRDefault="00910741">
      <w:pPr>
        <w:rPr>
          <w:rFonts w:cs="Arial"/>
          <w:b/>
        </w:rPr>
      </w:pPr>
      <w:r>
        <w:rPr>
          <w:rFonts w:cs="Arial"/>
          <w:b/>
        </w:rPr>
        <w:br w:type="page"/>
      </w:r>
    </w:p>
    <w:p w14:paraId="38CBC0C2" w14:textId="009F7499" w:rsidR="0084408C" w:rsidRPr="009A5185" w:rsidRDefault="0084408C" w:rsidP="0084408C">
      <w:pPr>
        <w:pStyle w:val="EndnoteText"/>
        <w:rPr>
          <w:rFonts w:cs="Arial"/>
          <w:b/>
        </w:rPr>
      </w:pPr>
      <w:r w:rsidRPr="009A5185">
        <w:rPr>
          <w:rFonts w:cs="Arial"/>
          <w:b/>
        </w:rPr>
        <w:lastRenderedPageBreak/>
        <w:t>Step 7: Contact providers if necessary (Pharmacist</w:t>
      </w:r>
      <w:r>
        <w:rPr>
          <w:rFonts w:cs="Arial"/>
          <w:b/>
        </w:rPr>
        <w:t xml:space="preserve"> Only</w:t>
      </w:r>
      <w:r w:rsidRPr="009A5185">
        <w:rPr>
          <w:rFonts w:cs="Arial"/>
          <w:b/>
        </w:rPr>
        <w:t>)</w:t>
      </w:r>
    </w:p>
    <w:p w14:paraId="2A81E3EA" w14:textId="681E9B67" w:rsidR="0084408C" w:rsidRPr="009A5185" w:rsidRDefault="0084408C" w:rsidP="00365263">
      <w:pPr>
        <w:pStyle w:val="EndnoteText"/>
        <w:rPr>
          <w:rFonts w:cs="Arial"/>
        </w:rPr>
      </w:pPr>
      <w:r w:rsidRPr="009A5185">
        <w:rPr>
          <w:rFonts w:cs="Arial"/>
        </w:rPr>
        <w:t xml:space="preserve">If you found any serious discrepancies that could cause the patient harm, you will need to contact the providers. The provider may need to reach out to the patient, PCP, or pharmacies to have the issue corrected. </w:t>
      </w:r>
    </w:p>
    <w:p w14:paraId="54114260" w14:textId="77777777" w:rsidR="0084408C" w:rsidRPr="009A5185" w:rsidRDefault="0084408C" w:rsidP="0084408C">
      <w:pPr>
        <w:pStyle w:val="EndnoteText"/>
        <w:ind w:left="1080"/>
        <w:rPr>
          <w:rFonts w:cs="Arial"/>
        </w:rPr>
      </w:pPr>
    </w:p>
    <w:p w14:paraId="352C49D2" w14:textId="77777777" w:rsidR="0084408C" w:rsidRPr="009A5185" w:rsidRDefault="0084408C" w:rsidP="0084408C">
      <w:pPr>
        <w:pStyle w:val="EndnoteText"/>
        <w:rPr>
          <w:rFonts w:cs="Arial"/>
          <w:b/>
        </w:rPr>
      </w:pPr>
      <w:r w:rsidRPr="009A5185">
        <w:rPr>
          <w:rFonts w:cs="Arial"/>
          <w:b/>
        </w:rPr>
        <w:t xml:space="preserve">Step 8: Enter data into Excel Workbook and </w:t>
      </w:r>
      <w:r>
        <w:rPr>
          <w:rFonts w:cs="Arial"/>
          <w:b/>
        </w:rPr>
        <w:t>Online Hospital Survey Tool</w:t>
      </w:r>
      <w:r w:rsidRPr="009A5185">
        <w:rPr>
          <w:rFonts w:cs="Arial"/>
          <w:b/>
        </w:rPr>
        <w:t xml:space="preserve"> (Survey Coordinator)</w:t>
      </w:r>
    </w:p>
    <w:p w14:paraId="7F18DB2C" w14:textId="0037B92F" w:rsidR="0084408C" w:rsidRPr="009A5185" w:rsidRDefault="0084408C" w:rsidP="00AD309C">
      <w:pPr>
        <w:pStyle w:val="EndnoteText"/>
        <w:numPr>
          <w:ilvl w:val="0"/>
          <w:numId w:val="80"/>
        </w:numPr>
        <w:ind w:left="360"/>
        <w:rPr>
          <w:rFonts w:cs="Arial"/>
        </w:rPr>
      </w:pPr>
      <w:r w:rsidRPr="009A5185">
        <w:rPr>
          <w:rFonts w:cs="Arial"/>
        </w:rPr>
        <w:t xml:space="preserve">Collect </w:t>
      </w:r>
      <w:r w:rsidR="00F36E78" w:rsidRPr="009A5185">
        <w:rPr>
          <w:rFonts w:cs="Arial"/>
        </w:rPr>
        <w:t>all</w:t>
      </w:r>
      <w:r w:rsidRPr="009A5185">
        <w:rPr>
          <w:rFonts w:cs="Arial"/>
        </w:rPr>
        <w:t xml:space="preserve"> the </w:t>
      </w:r>
      <w:r>
        <w:rPr>
          <w:rFonts w:cs="Arial"/>
        </w:rPr>
        <w:t>M</w:t>
      </w:r>
      <w:r w:rsidRPr="009A5185">
        <w:rPr>
          <w:rFonts w:cs="Arial"/>
        </w:rPr>
        <w:t>edication Reconciliation Worksheets from the pharmacists. Open the Data Entry Tab of the Medication Reconciliation Excel Workbook.</w:t>
      </w:r>
    </w:p>
    <w:p w14:paraId="779D17AC" w14:textId="77777777" w:rsidR="0084408C" w:rsidRPr="009A5185" w:rsidRDefault="0084408C" w:rsidP="00AD309C">
      <w:pPr>
        <w:pStyle w:val="EndnoteText"/>
        <w:numPr>
          <w:ilvl w:val="0"/>
          <w:numId w:val="81"/>
        </w:numPr>
        <w:ind w:left="1260"/>
        <w:rPr>
          <w:rFonts w:cs="Arial"/>
        </w:rPr>
      </w:pPr>
      <w:r w:rsidRPr="009A5185">
        <w:rPr>
          <w:rFonts w:cs="Arial"/>
        </w:rPr>
        <w:t>Enter the numbers from the top of each Medication Reconciliation Worksheet into the corresponding columns of the Excel Workbook, for the sampled patient, one patient per row.</w:t>
      </w:r>
    </w:p>
    <w:p w14:paraId="60A228E1" w14:textId="3CB62E39" w:rsidR="0084408C" w:rsidRPr="009A5185" w:rsidRDefault="0084408C" w:rsidP="00AD309C">
      <w:pPr>
        <w:pStyle w:val="EndnoteText"/>
        <w:numPr>
          <w:ilvl w:val="0"/>
          <w:numId w:val="81"/>
        </w:numPr>
        <w:ind w:left="1260"/>
        <w:rPr>
          <w:rFonts w:cs="Arial"/>
        </w:rPr>
      </w:pPr>
      <w:r w:rsidRPr="009A5185">
        <w:rPr>
          <w:rFonts w:cs="Arial"/>
        </w:rPr>
        <w:t xml:space="preserve">As you enter the data, Row 6 (in red) will automatically sum the values entered for each patient. Once you have entered the data for all sampled patients, you will have the final values to enter </w:t>
      </w:r>
      <w:r w:rsidR="00F36E78" w:rsidRPr="009A5185">
        <w:rPr>
          <w:rFonts w:cs="Arial"/>
        </w:rPr>
        <w:t>in</w:t>
      </w:r>
      <w:r w:rsidR="00F36E78">
        <w:rPr>
          <w:rFonts w:cs="Arial"/>
        </w:rPr>
        <w:t>to</w:t>
      </w:r>
      <w:r w:rsidRPr="009A5185">
        <w:rPr>
          <w:rFonts w:cs="Arial"/>
        </w:rPr>
        <w:t xml:space="preserve"> the </w:t>
      </w:r>
      <w:r>
        <w:rPr>
          <w:rFonts w:cs="Arial"/>
        </w:rPr>
        <w:t>Online Hospital Survey Tool</w:t>
      </w:r>
      <w:r w:rsidRPr="009A5185">
        <w:rPr>
          <w:rFonts w:cs="Arial"/>
        </w:rPr>
        <w:t>.</w:t>
      </w:r>
    </w:p>
    <w:p w14:paraId="48072245" w14:textId="77777777" w:rsidR="0084408C" w:rsidRPr="009A5185" w:rsidRDefault="0084408C" w:rsidP="00AD309C">
      <w:pPr>
        <w:pStyle w:val="EndnoteText"/>
        <w:numPr>
          <w:ilvl w:val="0"/>
          <w:numId w:val="81"/>
        </w:numPr>
        <w:ind w:left="1260"/>
        <w:rPr>
          <w:rFonts w:cs="Arial"/>
        </w:rPr>
      </w:pPr>
      <w:r w:rsidRPr="009A5185">
        <w:rPr>
          <w:rFonts w:cs="Arial"/>
        </w:rPr>
        <w:t xml:space="preserve">On the right, your hospital’s </w:t>
      </w:r>
      <w:r w:rsidRPr="00B65D63">
        <w:rPr>
          <w:rFonts w:cs="Arial"/>
        </w:rPr>
        <w:t xml:space="preserve">rate of unintentional medication discrepancies per medication </w:t>
      </w:r>
      <w:r w:rsidRPr="009A5185">
        <w:rPr>
          <w:rFonts w:cs="Arial"/>
        </w:rPr>
        <w:t>will automatically be calculated based on the data entered.</w:t>
      </w:r>
    </w:p>
    <w:p w14:paraId="54BA856F" w14:textId="77777777" w:rsidR="0084408C" w:rsidRPr="009A5185" w:rsidRDefault="0084408C" w:rsidP="0084408C">
      <w:pPr>
        <w:pStyle w:val="EndnoteText"/>
        <w:rPr>
          <w:rFonts w:cs="Arial"/>
        </w:rPr>
      </w:pPr>
    </w:p>
    <w:p w14:paraId="129DE166" w14:textId="77777777" w:rsidR="0084408C" w:rsidRPr="009A5185" w:rsidRDefault="0084408C" w:rsidP="0084408C">
      <w:pPr>
        <w:pStyle w:val="EndnoteText"/>
        <w:rPr>
          <w:rFonts w:cs="Arial"/>
        </w:rPr>
      </w:pPr>
      <w:r w:rsidRPr="009A5185">
        <w:rPr>
          <w:rFonts w:cs="Arial"/>
          <w:b/>
        </w:rPr>
        <w:t>Step 9: Use your hospital’s results in quality improvement (Survey Coordinator and Pharmacist)</w:t>
      </w:r>
    </w:p>
    <w:p w14:paraId="4DDCB303" w14:textId="77777777" w:rsidR="0084408C" w:rsidRPr="009A5185" w:rsidRDefault="0084408C" w:rsidP="0084408C">
      <w:pPr>
        <w:rPr>
          <w:rFonts w:cs="Arial"/>
        </w:rPr>
      </w:pPr>
      <w:r w:rsidRPr="009A5185">
        <w:rPr>
          <w:rFonts w:cs="Arial"/>
        </w:rPr>
        <w:t>The developer of this measure has two toolkits available for hospitals that wish to implement a medication reconciliation program:</w:t>
      </w:r>
    </w:p>
    <w:p w14:paraId="26CC5355" w14:textId="75EF56B6" w:rsidR="0084408C" w:rsidRPr="009A5185" w:rsidRDefault="0084408C" w:rsidP="00AD309C">
      <w:pPr>
        <w:pStyle w:val="ListParagraph"/>
        <w:numPr>
          <w:ilvl w:val="0"/>
          <w:numId w:val="211"/>
        </w:numPr>
        <w:rPr>
          <w:rFonts w:cs="Arial"/>
        </w:rPr>
      </w:pPr>
      <w:hyperlink r:id="rId198" w:history="1">
        <w:r w:rsidRPr="009A5185">
          <w:rPr>
            <w:rStyle w:val="Hyperlink"/>
            <w:rFonts w:cs="Arial"/>
          </w:rPr>
          <w:t>Medication Reconciliation Implementation Toolkit</w:t>
        </w:r>
      </w:hyperlink>
      <w:r w:rsidRPr="009A5185">
        <w:rPr>
          <w:rFonts w:cs="Arial"/>
        </w:rPr>
        <w:t xml:space="preserve"> (free)</w:t>
      </w:r>
    </w:p>
    <w:p w14:paraId="07A5A42C" w14:textId="648D7D51" w:rsidR="0084408C" w:rsidRPr="009A5185" w:rsidRDefault="0084408C" w:rsidP="00AD309C">
      <w:pPr>
        <w:pStyle w:val="ListParagraph"/>
        <w:numPr>
          <w:ilvl w:val="0"/>
          <w:numId w:val="211"/>
        </w:numPr>
        <w:rPr>
          <w:rFonts w:cs="Arial"/>
        </w:rPr>
      </w:pPr>
      <w:hyperlink r:id="rId199" w:history="1">
        <w:r w:rsidRPr="009A5185">
          <w:rPr>
            <w:rStyle w:val="Hyperlink"/>
            <w:rFonts w:cs="Arial"/>
          </w:rPr>
          <w:t>The MARQUIS Collaborative</w:t>
        </w:r>
      </w:hyperlink>
      <w:r w:rsidRPr="009A5185">
        <w:rPr>
          <w:rFonts w:cs="Arial"/>
        </w:rPr>
        <w:t xml:space="preserve"> (fee to participate)</w:t>
      </w:r>
    </w:p>
    <w:p w14:paraId="74844DA0" w14:textId="77777777" w:rsidR="0084408C" w:rsidRDefault="0084408C" w:rsidP="0084408C">
      <w:pPr>
        <w:pStyle w:val="EndnoteText"/>
        <w:rPr>
          <w:rFonts w:cs="Arial"/>
          <w:color w:val="000000"/>
        </w:rPr>
      </w:pPr>
    </w:p>
    <w:p w14:paraId="7FA183F3" w14:textId="553E432F" w:rsidR="00A32EC0" w:rsidRDefault="0084408C" w:rsidP="00CF7851">
      <w:pPr>
        <w:pStyle w:val="EndnoteText"/>
        <w:rPr>
          <w:snapToGrid w:val="0"/>
          <w:lang w:eastAsia="ja-JP"/>
        </w:rPr>
      </w:pPr>
      <w:r w:rsidRPr="009A5185">
        <w:rPr>
          <w:rFonts w:cs="Arial"/>
          <w:color w:val="000000"/>
        </w:rPr>
        <w:t>See</w:t>
      </w:r>
      <w:r>
        <w:rPr>
          <w:rFonts w:cs="Arial"/>
          <w:color w:val="000000"/>
        </w:rPr>
        <w:t xml:space="preserve"> </w:t>
      </w:r>
      <w:hyperlink w:anchor="_Medication_Reconciliation" w:history="1">
        <w:r>
          <w:rPr>
            <w:rStyle w:val="Hyperlink"/>
            <w:rFonts w:cs="Arial"/>
          </w:rPr>
          <w:t>FAQs</w:t>
        </w:r>
      </w:hyperlink>
      <w:r w:rsidRPr="009A5185">
        <w:rPr>
          <w:rFonts w:cs="Arial"/>
          <w:color w:val="000000"/>
        </w:rPr>
        <w:t xml:space="preserve"> for additional information about responding to</w:t>
      </w:r>
      <w:r>
        <w:rPr>
          <w:rFonts w:cs="Arial"/>
          <w:color w:val="000000"/>
        </w:rPr>
        <w:t xml:space="preserve"> the</w:t>
      </w:r>
      <w:r w:rsidRPr="009A5185">
        <w:rPr>
          <w:rFonts w:cs="Arial"/>
          <w:color w:val="000000"/>
        </w:rPr>
        <w:t xml:space="preserve"> questions in this section.</w:t>
      </w:r>
      <w:bookmarkStart w:id="205" w:name="_CPOE_Frequently_Asked"/>
      <w:bookmarkEnd w:id="205"/>
    </w:p>
    <w:p w14:paraId="042C9D56" w14:textId="77777777" w:rsidR="00D4755F" w:rsidRDefault="00D4755F">
      <w:pPr>
        <w:rPr>
          <w:b/>
          <w:snapToGrid w:val="0"/>
          <w:sz w:val="28"/>
          <w:szCs w:val="24"/>
          <w:u w:val="single"/>
          <w:lang w:eastAsia="ja-JP"/>
        </w:rPr>
      </w:pPr>
      <w:r>
        <w:br w:type="page"/>
      </w:r>
    </w:p>
    <w:p w14:paraId="74CF36BA" w14:textId="466FA314" w:rsidR="00C35C80" w:rsidRDefault="00E46668" w:rsidP="00CF5A6E">
      <w:pPr>
        <w:pStyle w:val="Heading2"/>
      </w:pPr>
      <w:bookmarkStart w:id="206" w:name="_Toc225877700"/>
      <w:r>
        <w:lastRenderedPageBreak/>
        <w:t xml:space="preserve">Section 2: </w:t>
      </w:r>
      <w:r w:rsidR="00E9000C">
        <w:t>Medication Safety</w:t>
      </w:r>
      <w:r w:rsidR="00C35C80" w:rsidRPr="009A5185">
        <w:t xml:space="preserve"> Frequently Asked Questions (FAQs)</w:t>
      </w:r>
      <w:bookmarkEnd w:id="206"/>
    </w:p>
    <w:p w14:paraId="08682079" w14:textId="37CC59AB" w:rsidR="00E9000C" w:rsidRDefault="00E9000C" w:rsidP="00E9000C">
      <w:pPr>
        <w:rPr>
          <w:lang w:eastAsia="ja-JP"/>
        </w:rPr>
      </w:pPr>
    </w:p>
    <w:p w14:paraId="3598B958" w14:textId="0FCADB58" w:rsidR="00E9000C" w:rsidRPr="00043DEB" w:rsidRDefault="00E9000C" w:rsidP="00AB5B80">
      <w:pPr>
        <w:pStyle w:val="Heading3"/>
        <w:rPr>
          <w:sz w:val="20"/>
          <w:szCs w:val="20"/>
        </w:rPr>
      </w:pPr>
      <w:bookmarkStart w:id="207" w:name="_Computerized_Physician_Order"/>
      <w:bookmarkStart w:id="208" w:name="_Toc225877701"/>
      <w:bookmarkEnd w:id="207"/>
      <w:r>
        <w:t>Computerized Physician Order Entry (CPOE)</w:t>
      </w:r>
      <w:r w:rsidR="00B078B4">
        <w:t xml:space="preserve"> FAQs</w:t>
      </w:r>
      <w:bookmarkEnd w:id="208"/>
      <w:r w:rsidR="00043DEB">
        <w:br/>
      </w:r>
    </w:p>
    <w:p w14:paraId="24388AA8" w14:textId="3A84A802" w:rsidR="00043DEB" w:rsidRPr="00043DEB" w:rsidRDefault="00043DEB" w:rsidP="00043DEB">
      <w:pPr>
        <w:pStyle w:val="ListParagraph"/>
        <w:ind w:left="0"/>
        <w:rPr>
          <w:rFonts w:cs="Arial"/>
          <w:b/>
        </w:rPr>
      </w:pPr>
      <w:r>
        <w:rPr>
          <w:rFonts w:cs="Arial"/>
          <w:b/>
        </w:rPr>
        <w:t>I</w:t>
      </w:r>
      <w:r w:rsidRPr="002C1FFE">
        <w:rPr>
          <w:rFonts w:cs="Arial"/>
          <w:b/>
        </w:rPr>
        <w:t>nformation specific to the CPOE Evaluation Tool</w:t>
      </w:r>
      <w:r>
        <w:rPr>
          <w:rFonts w:cs="Arial"/>
          <w:b/>
        </w:rPr>
        <w:t xml:space="preserve">, </w:t>
      </w:r>
      <w:r w:rsidRPr="002C1FFE">
        <w:rPr>
          <w:rFonts w:cs="Arial"/>
          <w:b/>
        </w:rPr>
        <w:t>including instructions and FAQs</w:t>
      </w:r>
      <w:r>
        <w:rPr>
          <w:rFonts w:cs="Arial"/>
          <w:b/>
        </w:rPr>
        <w:t>,</w:t>
      </w:r>
      <w:r w:rsidRPr="002C1FFE">
        <w:rPr>
          <w:rFonts w:cs="Arial"/>
          <w:b/>
        </w:rPr>
        <w:t xml:space="preserve"> is available on the </w:t>
      </w:r>
      <w:hyperlink r:id="rId200" w:history="1">
        <w:r w:rsidRPr="002C1FFE">
          <w:rPr>
            <w:rStyle w:val="Hyperlink"/>
            <w:b/>
          </w:rPr>
          <w:t>Survey and CPOE Materials webpage</w:t>
        </w:r>
      </w:hyperlink>
      <w:r w:rsidRPr="002C1FFE">
        <w:rPr>
          <w:rFonts w:cs="Arial"/>
          <w:b/>
        </w:rPr>
        <w:t xml:space="preserve"> and the </w:t>
      </w:r>
      <w:hyperlink r:id="rId201" w:history="1">
        <w:r w:rsidRPr="002C1FFE">
          <w:rPr>
            <w:rStyle w:val="Hyperlink"/>
            <w:rFonts w:cs="Arial"/>
            <w:b/>
          </w:rPr>
          <w:t>Prepare for CPOE Tool webpage.</w:t>
        </w:r>
      </w:hyperlink>
    </w:p>
    <w:p w14:paraId="4C73844A" w14:textId="77777777" w:rsidR="00C35C80" w:rsidRPr="009A5185" w:rsidRDefault="00C35C80" w:rsidP="00CF7851">
      <w:pPr>
        <w:autoSpaceDE w:val="0"/>
        <w:autoSpaceDN w:val="0"/>
        <w:adjustRightInd w:val="0"/>
        <w:rPr>
          <w:rFonts w:cs="Arial"/>
          <w:i/>
        </w:rPr>
      </w:pPr>
    </w:p>
    <w:p w14:paraId="06A6FB81" w14:textId="77777777" w:rsidR="00DA7C62" w:rsidRPr="009A5185" w:rsidRDefault="00DA7C62" w:rsidP="00AD309C">
      <w:pPr>
        <w:pStyle w:val="ListParagraph"/>
        <w:numPr>
          <w:ilvl w:val="0"/>
          <w:numId w:val="56"/>
        </w:numPr>
        <w:rPr>
          <w:rFonts w:cs="Arial"/>
          <w:b/>
          <w:lang w:eastAsia="ja-JP"/>
        </w:rPr>
      </w:pPr>
      <w:r w:rsidRPr="009A5185">
        <w:rPr>
          <w:rFonts w:cs="Arial"/>
          <w:b/>
          <w:lang w:eastAsia="ja-JP"/>
        </w:rPr>
        <w:t>What 3-month reporting period should be used when reporting on this section?</w:t>
      </w:r>
    </w:p>
    <w:p w14:paraId="4F0B3790" w14:textId="7C1CB433" w:rsidR="00CF677D" w:rsidRPr="009A5185" w:rsidRDefault="00B058B5" w:rsidP="00DF13B5">
      <w:pPr>
        <w:pStyle w:val="CommentText"/>
        <w:ind w:left="720"/>
        <w:rPr>
          <w:rFonts w:cs="Arial"/>
        </w:rPr>
      </w:pPr>
      <w:r>
        <w:rPr>
          <w:rFonts w:cs="Arial"/>
        </w:rPr>
        <w:t xml:space="preserve">When responding to </w:t>
      </w:r>
      <w:r w:rsidR="00EE60C9">
        <w:rPr>
          <w:rFonts w:cs="Arial"/>
        </w:rPr>
        <w:t xml:space="preserve">the </w:t>
      </w:r>
      <w:r>
        <w:rPr>
          <w:rFonts w:cs="Arial"/>
        </w:rPr>
        <w:t>questions in Section 2</w:t>
      </w:r>
      <w:r w:rsidR="00F0772B">
        <w:rPr>
          <w:rFonts w:cs="Arial"/>
        </w:rPr>
        <w:t>A</w:t>
      </w:r>
      <w:r>
        <w:rPr>
          <w:rFonts w:cs="Arial"/>
        </w:rPr>
        <w:t>, h</w:t>
      </w:r>
      <w:r w:rsidR="00A00030" w:rsidRPr="009A5185">
        <w:rPr>
          <w:rFonts w:cs="Arial"/>
        </w:rPr>
        <w:t>ospitals s</w:t>
      </w:r>
      <w:r w:rsidR="00096F13" w:rsidRPr="009A5185">
        <w:rPr>
          <w:rFonts w:cs="Arial"/>
        </w:rPr>
        <w:t xml:space="preserve">hould use the most recent </w:t>
      </w:r>
      <w:r w:rsidR="00AC5F12">
        <w:rPr>
          <w:rFonts w:cs="Arial"/>
        </w:rPr>
        <w:t xml:space="preserve">three months prior to submitting the Survey for which </w:t>
      </w:r>
      <w:r w:rsidR="00A44686">
        <w:rPr>
          <w:rFonts w:cs="Arial"/>
        </w:rPr>
        <w:t xml:space="preserve">they </w:t>
      </w:r>
      <w:r w:rsidR="00AC5F12">
        <w:rPr>
          <w:rFonts w:cs="Arial"/>
        </w:rPr>
        <w:t xml:space="preserve">have complete </w:t>
      </w:r>
      <w:r>
        <w:rPr>
          <w:rFonts w:cs="Arial"/>
        </w:rPr>
        <w:t xml:space="preserve">data. </w:t>
      </w:r>
      <w:r w:rsidR="00AC5F12" w:rsidRPr="00AC5F12">
        <w:rPr>
          <w:rFonts w:cs="Arial"/>
        </w:rPr>
        <w:t>For example, if submitting Section 2</w:t>
      </w:r>
      <w:r w:rsidR="00F0772B">
        <w:rPr>
          <w:rFonts w:cs="Arial"/>
        </w:rPr>
        <w:t>A</w:t>
      </w:r>
      <w:r w:rsidR="00AC5F12" w:rsidRPr="00AC5F12">
        <w:rPr>
          <w:rFonts w:cs="Arial"/>
        </w:rPr>
        <w:t xml:space="preserve"> in the month of </w:t>
      </w:r>
      <w:r w:rsidR="00797B62">
        <w:rPr>
          <w:rFonts w:cs="Arial"/>
        </w:rPr>
        <w:t>June</w:t>
      </w:r>
      <w:r w:rsidR="00AC5F12" w:rsidRPr="00AC5F12">
        <w:rPr>
          <w:rFonts w:cs="Arial"/>
        </w:rPr>
        <w:t xml:space="preserve">, the most recent 3-month reporting period for which you have complete data may be </w:t>
      </w:r>
      <w:r w:rsidR="00FF1301">
        <w:rPr>
          <w:rFonts w:cs="Arial"/>
        </w:rPr>
        <w:t>February</w:t>
      </w:r>
      <w:r w:rsidR="00797B62">
        <w:rPr>
          <w:rFonts w:cs="Arial"/>
        </w:rPr>
        <w:t xml:space="preserve">, March, and April or March, April, and May. </w:t>
      </w:r>
      <w:r w:rsidR="00BA2ADD">
        <w:rPr>
          <w:rFonts w:cs="Arial"/>
        </w:rPr>
        <w:t>Hospitals cannot submit d</w:t>
      </w:r>
      <w:r>
        <w:rPr>
          <w:rFonts w:cs="Arial"/>
        </w:rPr>
        <w:t>ata collected for less than three full months</w:t>
      </w:r>
      <w:r w:rsidR="00BA2ADD">
        <w:rPr>
          <w:rFonts w:cs="Arial"/>
        </w:rPr>
        <w:t xml:space="preserve">. </w:t>
      </w:r>
    </w:p>
    <w:p w14:paraId="3C1AC7F8" w14:textId="77777777" w:rsidR="003C5E7D" w:rsidRPr="007879A6" w:rsidRDefault="003C5E7D" w:rsidP="007879A6">
      <w:pPr>
        <w:spacing w:line="252" w:lineRule="auto"/>
        <w:rPr>
          <w:rFonts w:cs="Arial"/>
        </w:rPr>
      </w:pPr>
      <w:bookmarkStart w:id="209" w:name="_Hlk35523141"/>
    </w:p>
    <w:p w14:paraId="753A78DA" w14:textId="2A5D0AA6" w:rsidR="00F72716" w:rsidRPr="00B058B5" w:rsidRDefault="0097058D" w:rsidP="00AD309C">
      <w:pPr>
        <w:pStyle w:val="ListParagraph"/>
        <w:numPr>
          <w:ilvl w:val="0"/>
          <w:numId w:val="56"/>
        </w:numPr>
        <w:spacing w:line="252" w:lineRule="auto"/>
        <w:rPr>
          <w:rFonts w:cs="Arial"/>
        </w:rPr>
      </w:pPr>
      <w:r w:rsidRPr="00B058B5">
        <w:rPr>
          <w:b/>
          <w:bCs/>
        </w:rPr>
        <w:t xml:space="preserve">My hospital </w:t>
      </w:r>
      <w:r w:rsidR="00F72716" w:rsidRPr="00B058B5">
        <w:rPr>
          <w:b/>
          <w:bCs/>
        </w:rPr>
        <w:t>t</w:t>
      </w:r>
      <w:r w:rsidR="00B058B5" w:rsidRPr="00B058B5">
        <w:rPr>
          <w:b/>
          <w:bCs/>
        </w:rPr>
        <w:t xml:space="preserve">ransitioned to a new CPOE </w:t>
      </w:r>
      <w:r w:rsidR="00962463" w:rsidRPr="00B058B5">
        <w:rPr>
          <w:b/>
          <w:bCs/>
        </w:rPr>
        <w:t>system,</w:t>
      </w:r>
      <w:r w:rsidR="00B058B5" w:rsidRPr="00B058B5">
        <w:rPr>
          <w:b/>
          <w:bCs/>
        </w:rPr>
        <w:t xml:space="preserve"> and we have not </w:t>
      </w:r>
      <w:r w:rsidR="00F72716" w:rsidRPr="00B058B5">
        <w:rPr>
          <w:b/>
          <w:bCs/>
        </w:rPr>
        <w:t>been on the new system for a full 3</w:t>
      </w:r>
      <w:r w:rsidR="00B75B1F">
        <w:rPr>
          <w:b/>
          <w:bCs/>
        </w:rPr>
        <w:t xml:space="preserve"> months</w:t>
      </w:r>
      <w:r w:rsidR="00F72716" w:rsidRPr="00B058B5">
        <w:rPr>
          <w:b/>
          <w:bCs/>
        </w:rPr>
        <w:t xml:space="preserve">. </w:t>
      </w:r>
      <w:r w:rsidR="00B058B5">
        <w:rPr>
          <w:b/>
          <w:bCs/>
        </w:rPr>
        <w:t xml:space="preserve">How should we respond to </w:t>
      </w:r>
      <w:r w:rsidR="005B1031">
        <w:rPr>
          <w:b/>
          <w:bCs/>
        </w:rPr>
        <w:t xml:space="preserve">the questions in </w:t>
      </w:r>
      <w:r w:rsidR="00B058B5">
        <w:rPr>
          <w:b/>
          <w:bCs/>
        </w:rPr>
        <w:t>Section 2</w:t>
      </w:r>
      <w:r w:rsidR="00F72C9F">
        <w:rPr>
          <w:b/>
          <w:bCs/>
        </w:rPr>
        <w:t>A-2B</w:t>
      </w:r>
      <w:r w:rsidR="00B058B5">
        <w:rPr>
          <w:b/>
          <w:bCs/>
        </w:rPr>
        <w:t xml:space="preserve">? </w:t>
      </w:r>
    </w:p>
    <w:p w14:paraId="5F3B38E8" w14:textId="68DFB143" w:rsidR="0097058D" w:rsidRPr="00F72716" w:rsidRDefault="00B058B5" w:rsidP="00F72716">
      <w:pPr>
        <w:pStyle w:val="ListParagraph"/>
        <w:spacing w:line="252" w:lineRule="auto"/>
        <w:rPr>
          <w:rFonts w:cs="Arial"/>
        </w:rPr>
      </w:pPr>
      <w:r w:rsidRPr="00B058B5">
        <w:rPr>
          <w:rFonts w:cs="Arial"/>
        </w:rPr>
        <w:t>When responding to questions #3 and #4 in Section 2</w:t>
      </w:r>
      <w:r w:rsidR="005B1031">
        <w:rPr>
          <w:rFonts w:cs="Arial"/>
        </w:rPr>
        <w:t>A</w:t>
      </w:r>
      <w:r w:rsidRPr="00B058B5">
        <w:rPr>
          <w:rFonts w:cs="Arial"/>
        </w:rPr>
        <w:t>, hospital</w:t>
      </w:r>
      <w:r w:rsidR="00114085">
        <w:rPr>
          <w:rFonts w:cs="Arial"/>
        </w:rPr>
        <w:t>s</w:t>
      </w:r>
      <w:r w:rsidRPr="00B058B5">
        <w:rPr>
          <w:rFonts w:cs="Arial"/>
        </w:rPr>
        <w:t xml:space="preserve"> can </w:t>
      </w:r>
      <w:r w:rsidR="00F72716" w:rsidRPr="00B058B5">
        <w:rPr>
          <w:rFonts w:cs="Arial"/>
        </w:rPr>
        <w:t xml:space="preserve">combine </w:t>
      </w:r>
      <w:r w:rsidR="00816726">
        <w:rPr>
          <w:rFonts w:cs="Arial"/>
        </w:rPr>
        <w:t xml:space="preserve">inpatient medication </w:t>
      </w:r>
      <w:r w:rsidR="00F72716" w:rsidRPr="00B058B5">
        <w:rPr>
          <w:rFonts w:cs="Arial"/>
        </w:rPr>
        <w:t>data from their old</w:t>
      </w:r>
      <w:r w:rsidRPr="00B058B5">
        <w:rPr>
          <w:rFonts w:cs="Arial"/>
        </w:rPr>
        <w:t xml:space="preserve"> CPOE system with their new CPOE system</w:t>
      </w:r>
      <w:r w:rsidR="00F72716" w:rsidRPr="00B058B5">
        <w:rPr>
          <w:rFonts w:cs="Arial"/>
        </w:rPr>
        <w:t xml:space="preserve"> </w:t>
      </w:r>
      <w:r w:rsidR="007F20D3" w:rsidRPr="00B058B5">
        <w:rPr>
          <w:rFonts w:cs="Arial"/>
        </w:rPr>
        <w:t>to</w:t>
      </w:r>
      <w:r w:rsidR="00F72716" w:rsidRPr="00B058B5">
        <w:rPr>
          <w:rFonts w:cs="Arial"/>
        </w:rPr>
        <w:t xml:space="preserve"> </w:t>
      </w:r>
      <w:r w:rsidRPr="00B058B5">
        <w:rPr>
          <w:rFonts w:cs="Arial"/>
        </w:rPr>
        <w:t>have three full months of data.</w:t>
      </w:r>
      <w:r>
        <w:rPr>
          <w:rFonts w:cs="Arial"/>
        </w:rPr>
        <w:t xml:space="preserve"> </w:t>
      </w:r>
      <w:r w:rsidR="005B1031">
        <w:rPr>
          <w:rFonts w:cs="Arial"/>
        </w:rPr>
        <w:t>However, ho</w:t>
      </w:r>
      <w:r w:rsidR="008734C9" w:rsidRPr="008734C9">
        <w:rPr>
          <w:rFonts w:cs="Arial"/>
        </w:rPr>
        <w:t xml:space="preserve">spitals should </w:t>
      </w:r>
      <w:r w:rsidR="005B1031">
        <w:rPr>
          <w:rFonts w:cs="Arial"/>
        </w:rPr>
        <w:t xml:space="preserve">respond to the questions in Section 2B based on the new CPOE system and </w:t>
      </w:r>
      <w:r w:rsidR="008734C9" w:rsidRPr="008734C9">
        <w:rPr>
          <w:rFonts w:cs="Arial"/>
        </w:rPr>
        <w:t>take the CPOE Evaluation Tool using the new CPOE system</w:t>
      </w:r>
      <w:r w:rsidR="005B1031">
        <w:rPr>
          <w:rFonts w:cs="Arial"/>
        </w:rPr>
        <w:t xml:space="preserve">. When taking the CPOE Evaluation Tool, hospitals should select a </w:t>
      </w:r>
      <w:r w:rsidR="008734C9" w:rsidRPr="008734C9">
        <w:rPr>
          <w:rFonts w:cs="Arial"/>
        </w:rPr>
        <w:t>licensed prescriber</w:t>
      </w:r>
      <w:r w:rsidR="005B1031">
        <w:rPr>
          <w:rFonts w:cs="Arial"/>
        </w:rPr>
        <w:t xml:space="preserve"> that is </w:t>
      </w:r>
      <w:r w:rsidR="008734C9" w:rsidRPr="008734C9">
        <w:rPr>
          <w:rFonts w:cs="Arial"/>
        </w:rPr>
        <w:t xml:space="preserve">fully trained on the new system. All hospitals are urged to take a Sample Test before </w:t>
      </w:r>
      <w:r w:rsidR="00816726">
        <w:rPr>
          <w:rFonts w:cs="Arial"/>
        </w:rPr>
        <w:t>starting</w:t>
      </w:r>
      <w:r w:rsidR="008734C9" w:rsidRPr="008734C9">
        <w:rPr>
          <w:rFonts w:cs="Arial"/>
        </w:rPr>
        <w:t xml:space="preserve"> the Adult Inpatient Te</w:t>
      </w:r>
      <w:r w:rsidR="008734C9">
        <w:rPr>
          <w:rFonts w:cs="Arial"/>
        </w:rPr>
        <w:t>st.</w:t>
      </w:r>
    </w:p>
    <w:p w14:paraId="6FADCE3D" w14:textId="77777777" w:rsidR="002A733C" w:rsidRPr="002A733C" w:rsidRDefault="002A733C" w:rsidP="002A733C">
      <w:pPr>
        <w:rPr>
          <w:rFonts w:cs="Arial"/>
          <w:b/>
          <w:bCs/>
        </w:rPr>
      </w:pPr>
      <w:bookmarkStart w:id="210" w:name="PerProtocol"/>
      <w:bookmarkEnd w:id="209"/>
      <w:bookmarkEnd w:id="210"/>
    </w:p>
    <w:p w14:paraId="79CDE574" w14:textId="00AFA0D2" w:rsidR="002A733C" w:rsidRDefault="002A733C" w:rsidP="00AD309C">
      <w:pPr>
        <w:pStyle w:val="ListParagraph"/>
        <w:numPr>
          <w:ilvl w:val="0"/>
          <w:numId w:val="56"/>
        </w:numPr>
        <w:rPr>
          <w:rFonts w:cs="Arial"/>
          <w:b/>
          <w:bCs/>
        </w:rPr>
      </w:pPr>
      <w:r>
        <w:rPr>
          <w:rFonts w:cs="Arial"/>
          <w:b/>
          <w:bCs/>
        </w:rPr>
        <w:t xml:space="preserve">Should we include medications ordered verbally or via paper during system downtime </w:t>
      </w:r>
      <w:r w:rsidR="00966270">
        <w:rPr>
          <w:rFonts w:cs="Arial"/>
          <w:b/>
          <w:bCs/>
        </w:rPr>
        <w:t>when responding to question #3</w:t>
      </w:r>
      <w:r w:rsidR="00A824A2">
        <w:rPr>
          <w:rFonts w:cs="Arial"/>
          <w:b/>
          <w:bCs/>
        </w:rPr>
        <w:t xml:space="preserve"> (denominator)</w:t>
      </w:r>
      <w:r w:rsidR="00966270">
        <w:rPr>
          <w:rFonts w:cs="Arial"/>
          <w:b/>
          <w:bCs/>
        </w:rPr>
        <w:t>?</w:t>
      </w:r>
    </w:p>
    <w:p w14:paraId="6AE89789" w14:textId="57CE9F28" w:rsidR="002A733C" w:rsidRDefault="002A733C" w:rsidP="002A733C">
      <w:pPr>
        <w:pStyle w:val="ListParagraph"/>
        <w:rPr>
          <w:rFonts w:cs="Arial"/>
          <w:bCs/>
        </w:rPr>
      </w:pPr>
      <w:r>
        <w:rPr>
          <w:rFonts w:cs="Arial"/>
          <w:bCs/>
        </w:rPr>
        <w:t>Yes.</w:t>
      </w:r>
      <w:r w:rsidR="00275D47">
        <w:rPr>
          <w:rFonts w:cs="Arial"/>
          <w:bCs/>
        </w:rPr>
        <w:t xml:space="preserve"> Count m</w:t>
      </w:r>
      <w:r w:rsidRPr="002A733C">
        <w:rPr>
          <w:rFonts w:cs="Arial"/>
          <w:bCs/>
        </w:rPr>
        <w:t>edication orders entered during system downtime</w:t>
      </w:r>
      <w:r w:rsidR="00275D47">
        <w:rPr>
          <w:rFonts w:cs="Arial"/>
          <w:bCs/>
        </w:rPr>
        <w:t xml:space="preserve"> when responding to question #3. Exclude these orders when responding to question #4. </w:t>
      </w:r>
    </w:p>
    <w:p w14:paraId="00D8ABA8" w14:textId="133DF146" w:rsidR="00A824A2" w:rsidRDefault="00A824A2" w:rsidP="002A733C">
      <w:pPr>
        <w:pStyle w:val="ListParagraph"/>
        <w:rPr>
          <w:rFonts w:cs="Arial"/>
          <w:bCs/>
        </w:rPr>
      </w:pPr>
    </w:p>
    <w:p w14:paraId="0AE09839" w14:textId="04132B85" w:rsidR="00A824A2" w:rsidRDefault="00A824A2" w:rsidP="00AD309C">
      <w:pPr>
        <w:numPr>
          <w:ilvl w:val="0"/>
          <w:numId w:val="56"/>
        </w:numPr>
        <w:rPr>
          <w:rFonts w:cs="Arial"/>
          <w:b/>
        </w:rPr>
      </w:pPr>
      <w:r w:rsidRPr="00874CD2">
        <w:rPr>
          <w:rFonts w:cs="Arial"/>
          <w:b/>
        </w:rPr>
        <w:t xml:space="preserve">We can’t exclude medication orders that originated from an operating room or procedural area from </w:t>
      </w:r>
      <w:r>
        <w:rPr>
          <w:rFonts w:cs="Arial"/>
          <w:b/>
        </w:rPr>
        <w:t>the</w:t>
      </w:r>
      <w:r w:rsidRPr="00874CD2">
        <w:rPr>
          <w:rFonts w:cs="Arial"/>
          <w:b/>
        </w:rPr>
        <w:t xml:space="preserve"> CPOE report that we are using to respond to questions #3 </w:t>
      </w:r>
      <w:r>
        <w:rPr>
          <w:rFonts w:cs="Arial"/>
          <w:b/>
        </w:rPr>
        <w:t xml:space="preserve">(denominator) </w:t>
      </w:r>
      <w:r w:rsidRPr="00874CD2">
        <w:rPr>
          <w:rFonts w:cs="Arial"/>
          <w:b/>
        </w:rPr>
        <w:t>and #4</w:t>
      </w:r>
      <w:r>
        <w:rPr>
          <w:rFonts w:cs="Arial"/>
          <w:b/>
        </w:rPr>
        <w:t xml:space="preserve"> (numerator)</w:t>
      </w:r>
      <w:r w:rsidRPr="00874CD2">
        <w:rPr>
          <w:rFonts w:cs="Arial"/>
          <w:b/>
        </w:rPr>
        <w:t>. Can we include these medication orders?</w:t>
      </w:r>
    </w:p>
    <w:p w14:paraId="4A5DC879" w14:textId="05D05175" w:rsidR="00A824A2" w:rsidRDefault="00A824A2" w:rsidP="00A824A2">
      <w:pPr>
        <w:ind w:left="720"/>
        <w:rPr>
          <w:rFonts w:cs="Arial"/>
          <w:bCs/>
        </w:rPr>
      </w:pPr>
      <w:r w:rsidRPr="00874CD2">
        <w:rPr>
          <w:rFonts w:cs="Arial"/>
          <w:bCs/>
        </w:rPr>
        <w:t xml:space="preserve">Yes, if you are unable to exclude medication orders for inpatients that were ordered from an </w:t>
      </w:r>
      <w:r>
        <w:rPr>
          <w:rFonts w:cs="Arial"/>
          <w:bCs/>
        </w:rPr>
        <w:t>operating room</w:t>
      </w:r>
      <w:r w:rsidRPr="00874CD2">
        <w:rPr>
          <w:rFonts w:cs="Arial"/>
          <w:bCs/>
        </w:rPr>
        <w:t xml:space="preserve"> or procedural area, you can</w:t>
      </w:r>
      <w:r>
        <w:rPr>
          <w:rFonts w:cs="Arial"/>
          <w:bCs/>
        </w:rPr>
        <w:t xml:space="preserve"> count</w:t>
      </w:r>
      <w:r w:rsidRPr="00874CD2">
        <w:rPr>
          <w:rFonts w:cs="Arial"/>
          <w:bCs/>
        </w:rPr>
        <w:t xml:space="preserve"> these orders when responding to questions #3 and #4.</w:t>
      </w:r>
    </w:p>
    <w:p w14:paraId="780A6178" w14:textId="77777777" w:rsidR="002A733C" w:rsidRPr="00645E6B" w:rsidRDefault="002A733C" w:rsidP="00645E6B">
      <w:pPr>
        <w:rPr>
          <w:rFonts w:cs="Arial"/>
          <w:bCs/>
        </w:rPr>
      </w:pPr>
    </w:p>
    <w:p w14:paraId="414A3ECA" w14:textId="263AE047" w:rsidR="00BB7C6E" w:rsidRPr="004C547F" w:rsidRDefault="00BB7C6E" w:rsidP="00AD309C">
      <w:pPr>
        <w:pStyle w:val="ListParagraph"/>
        <w:numPr>
          <w:ilvl w:val="0"/>
          <w:numId w:val="56"/>
        </w:numPr>
        <w:rPr>
          <w:rFonts w:cs="Arial"/>
          <w:b/>
          <w:bCs/>
        </w:rPr>
      </w:pPr>
      <w:r w:rsidRPr="004C547F">
        <w:rPr>
          <w:rFonts w:cs="Arial"/>
          <w:b/>
          <w:bCs/>
        </w:rPr>
        <w:t xml:space="preserve">What </w:t>
      </w:r>
      <w:r w:rsidR="00347A2B">
        <w:rPr>
          <w:rFonts w:cs="Arial"/>
          <w:b/>
          <w:bCs/>
        </w:rPr>
        <w:t>are</w:t>
      </w:r>
      <w:r w:rsidRPr="004C547F">
        <w:rPr>
          <w:rFonts w:cs="Arial"/>
          <w:b/>
          <w:bCs/>
        </w:rPr>
        <w:t xml:space="preserve"> example</w:t>
      </w:r>
      <w:r w:rsidR="00347A2B">
        <w:rPr>
          <w:rFonts w:cs="Arial"/>
          <w:b/>
          <w:bCs/>
        </w:rPr>
        <w:t>s</w:t>
      </w:r>
      <w:r w:rsidRPr="004C547F">
        <w:rPr>
          <w:rFonts w:cs="Arial"/>
          <w:b/>
          <w:bCs/>
        </w:rPr>
        <w:t xml:space="preserve"> of </w:t>
      </w:r>
      <w:r w:rsidRPr="004C547F">
        <w:rPr>
          <w:rFonts w:cs="Arial"/>
          <w:b/>
          <w:bCs/>
          <w:lang w:eastAsia="ja-JP"/>
        </w:rPr>
        <w:t>per protocol order</w:t>
      </w:r>
      <w:r w:rsidR="00347A2B">
        <w:rPr>
          <w:rFonts w:cs="Arial"/>
          <w:b/>
          <w:bCs/>
          <w:lang w:eastAsia="ja-JP"/>
        </w:rPr>
        <w:t>s</w:t>
      </w:r>
      <w:r w:rsidRPr="004C547F">
        <w:rPr>
          <w:rFonts w:cs="Arial"/>
          <w:b/>
          <w:bCs/>
          <w:lang w:eastAsia="ja-JP"/>
        </w:rPr>
        <w:t>?</w:t>
      </w:r>
    </w:p>
    <w:p w14:paraId="5857B182" w14:textId="47C94F9C" w:rsidR="00BB7C6E" w:rsidRDefault="00DD108F" w:rsidP="00BB7C6E">
      <w:pPr>
        <w:pStyle w:val="ListParagraph"/>
        <w:rPr>
          <w:rFonts w:cs="Arial"/>
        </w:rPr>
      </w:pPr>
      <w:r>
        <w:rPr>
          <w:rFonts w:cs="Arial"/>
        </w:rPr>
        <w:t>E</w:t>
      </w:r>
      <w:r w:rsidR="00BB7C6E">
        <w:rPr>
          <w:rFonts w:cs="Arial"/>
        </w:rPr>
        <w:t xml:space="preserve">xamples </w:t>
      </w:r>
      <w:r>
        <w:rPr>
          <w:rFonts w:cs="Arial"/>
        </w:rPr>
        <w:t xml:space="preserve">of per protocol orders include </w:t>
      </w:r>
      <w:r w:rsidR="00BB7C6E">
        <w:rPr>
          <w:rFonts w:cs="Arial"/>
        </w:rPr>
        <w:t>v</w:t>
      </w:r>
      <w:r w:rsidR="00BB7C6E" w:rsidRPr="00490D88">
        <w:rPr>
          <w:rFonts w:cs="Arial"/>
        </w:rPr>
        <w:t>ancomycin dosing per protocol</w:t>
      </w:r>
      <w:r>
        <w:rPr>
          <w:rFonts w:cs="Arial"/>
        </w:rPr>
        <w:t xml:space="preserve"> and</w:t>
      </w:r>
      <w:r w:rsidR="00BB7C6E" w:rsidRPr="00490D88">
        <w:rPr>
          <w:rFonts w:cs="Arial"/>
        </w:rPr>
        <w:t xml:space="preserve"> heparin drip per protocol. </w:t>
      </w:r>
      <w:r>
        <w:rPr>
          <w:rFonts w:cs="Arial"/>
        </w:rPr>
        <w:t xml:space="preserve">Per protocol orders refer to orders </w:t>
      </w:r>
      <w:r w:rsidR="00697D19">
        <w:rPr>
          <w:rFonts w:cs="Arial"/>
        </w:rPr>
        <w:t xml:space="preserve">that </w:t>
      </w:r>
      <w:r w:rsidR="00BB7C6E" w:rsidRPr="00490D88">
        <w:rPr>
          <w:rFonts w:cs="Arial"/>
        </w:rPr>
        <w:t xml:space="preserve">the medical staff </w:t>
      </w:r>
      <w:r>
        <w:rPr>
          <w:rFonts w:cs="Arial"/>
        </w:rPr>
        <w:t xml:space="preserve">has </w:t>
      </w:r>
      <w:r w:rsidR="00BB7C6E" w:rsidRPr="00490D88">
        <w:rPr>
          <w:rFonts w:cs="Arial"/>
        </w:rPr>
        <w:t>approve</w:t>
      </w:r>
      <w:r>
        <w:rPr>
          <w:rFonts w:cs="Arial"/>
        </w:rPr>
        <w:t>d</w:t>
      </w:r>
      <w:r w:rsidR="00BB7C6E" w:rsidRPr="00490D88">
        <w:rPr>
          <w:rFonts w:cs="Arial"/>
        </w:rPr>
        <w:t xml:space="preserve"> the </w:t>
      </w:r>
      <w:r>
        <w:rPr>
          <w:rFonts w:cs="Arial"/>
        </w:rPr>
        <w:t>use of</w:t>
      </w:r>
      <w:r w:rsidR="00697D19">
        <w:rPr>
          <w:rFonts w:cs="Arial"/>
        </w:rPr>
        <w:t xml:space="preserve">, based on </w:t>
      </w:r>
      <w:r w:rsidR="00BB7C6E" w:rsidRPr="00490D88">
        <w:rPr>
          <w:rFonts w:cs="Arial"/>
        </w:rPr>
        <w:t>evidence-based guidance</w:t>
      </w:r>
      <w:r w:rsidR="00697D19">
        <w:rPr>
          <w:rFonts w:cs="Arial"/>
        </w:rPr>
        <w:t>,</w:t>
      </w:r>
      <w:r w:rsidR="00BB7C6E" w:rsidRPr="00490D88">
        <w:rPr>
          <w:rFonts w:cs="Arial"/>
        </w:rPr>
        <w:t xml:space="preserve"> in advance of its use</w:t>
      </w:r>
      <w:r>
        <w:rPr>
          <w:rFonts w:cs="Arial"/>
        </w:rPr>
        <w:t xml:space="preserve">. </w:t>
      </w:r>
      <w:r w:rsidR="00697D19">
        <w:rPr>
          <w:rFonts w:cs="Arial"/>
        </w:rPr>
        <w:t xml:space="preserve">Per protocol orders are often identified by the </w:t>
      </w:r>
      <w:r w:rsidR="00BF6F6C">
        <w:rPr>
          <w:rFonts w:cs="Arial"/>
        </w:rPr>
        <w:t>Pharmacy and Therapeutics (</w:t>
      </w:r>
      <w:r w:rsidR="00BF6F6C" w:rsidRPr="00490D88">
        <w:rPr>
          <w:rFonts w:cs="Arial"/>
        </w:rPr>
        <w:t>P&amp;T</w:t>
      </w:r>
      <w:r w:rsidR="00BF6F6C">
        <w:rPr>
          <w:rFonts w:cs="Arial"/>
        </w:rPr>
        <w:t>)</w:t>
      </w:r>
      <w:r w:rsidR="00BF6F6C" w:rsidRPr="00490D88">
        <w:rPr>
          <w:rFonts w:cs="Arial"/>
        </w:rPr>
        <w:t xml:space="preserve"> committee </w:t>
      </w:r>
      <w:r w:rsidR="00697D19">
        <w:rPr>
          <w:rFonts w:cs="Arial"/>
        </w:rPr>
        <w:t xml:space="preserve">and then recommended to </w:t>
      </w:r>
      <w:r w:rsidR="00BF6F6C" w:rsidRPr="00490D88">
        <w:rPr>
          <w:rFonts w:cs="Arial"/>
        </w:rPr>
        <w:t xml:space="preserve">the </w:t>
      </w:r>
      <w:r w:rsidR="00BF6F6C">
        <w:rPr>
          <w:rFonts w:cs="Arial"/>
        </w:rPr>
        <w:t>Medical Executive Committee (</w:t>
      </w:r>
      <w:r w:rsidR="00BF6F6C" w:rsidRPr="00490D88">
        <w:rPr>
          <w:rFonts w:cs="Arial"/>
        </w:rPr>
        <w:t>MEC</w:t>
      </w:r>
      <w:r w:rsidR="00BF6F6C">
        <w:rPr>
          <w:rFonts w:cs="Arial"/>
        </w:rPr>
        <w:t>)</w:t>
      </w:r>
      <w:r w:rsidR="00697D19">
        <w:rPr>
          <w:rFonts w:cs="Arial"/>
        </w:rPr>
        <w:t xml:space="preserve"> for approval. Once approved, per protocol orders are initiated by a </w:t>
      </w:r>
      <w:hyperlink w:anchor="Prescriber" w:history="1">
        <w:r w:rsidR="00781270" w:rsidRPr="00781270">
          <w:rPr>
            <w:rStyle w:val="Hyperlink"/>
            <w:rFonts w:cs="Arial"/>
            <w:lang w:eastAsia="ja-JP"/>
          </w:rPr>
          <w:t>licensed prescriber</w:t>
        </w:r>
      </w:hyperlink>
      <w:r w:rsidR="00697D19">
        <w:rPr>
          <w:rFonts w:cs="Arial"/>
        </w:rPr>
        <w:t xml:space="preserve">, but then acted on </w:t>
      </w:r>
      <w:r w:rsidR="00BB7C6E" w:rsidRPr="00490D88">
        <w:rPr>
          <w:rFonts w:cs="Arial"/>
        </w:rPr>
        <w:t>by pharmacy, nursing,</w:t>
      </w:r>
      <w:r w:rsidR="00BB7C6E">
        <w:rPr>
          <w:rFonts w:cs="Arial"/>
        </w:rPr>
        <w:t xml:space="preserve"> radiology,</w:t>
      </w:r>
      <w:r w:rsidR="00BB7C6E" w:rsidRPr="00490D88">
        <w:rPr>
          <w:rFonts w:cs="Arial"/>
        </w:rPr>
        <w:t xml:space="preserve"> respiratory therapy, etc.</w:t>
      </w:r>
      <w:r w:rsidR="00BB7C6E">
        <w:rPr>
          <w:rFonts w:cs="Arial"/>
        </w:rPr>
        <w:t xml:space="preserve"> </w:t>
      </w:r>
      <w:r w:rsidR="00A824A2">
        <w:rPr>
          <w:rFonts w:cs="Arial"/>
        </w:rPr>
        <w:t>Count p</w:t>
      </w:r>
      <w:r w:rsidR="00697D19">
        <w:rPr>
          <w:rFonts w:cs="Arial"/>
        </w:rPr>
        <w:t xml:space="preserve">er protocol </w:t>
      </w:r>
      <w:r w:rsidR="00693EAE">
        <w:rPr>
          <w:rFonts w:cs="Arial"/>
        </w:rPr>
        <w:t xml:space="preserve">orders </w:t>
      </w:r>
      <w:r w:rsidR="00697D19">
        <w:rPr>
          <w:rFonts w:cs="Arial"/>
        </w:rPr>
        <w:t xml:space="preserve">when responding to questions </w:t>
      </w:r>
      <w:r w:rsidR="00BB7C6E">
        <w:rPr>
          <w:rFonts w:cs="Arial"/>
        </w:rPr>
        <w:t>#</w:t>
      </w:r>
      <w:r w:rsidR="00697D19">
        <w:rPr>
          <w:rFonts w:cs="Arial"/>
        </w:rPr>
        <w:t xml:space="preserve">3 </w:t>
      </w:r>
      <w:r w:rsidR="00A824A2">
        <w:rPr>
          <w:rFonts w:cs="Arial"/>
        </w:rPr>
        <w:t xml:space="preserve">(denominator) </w:t>
      </w:r>
      <w:r w:rsidR="00697D19">
        <w:rPr>
          <w:rFonts w:cs="Arial"/>
        </w:rPr>
        <w:t>an</w:t>
      </w:r>
      <w:r w:rsidR="00347A2B">
        <w:rPr>
          <w:rFonts w:cs="Arial"/>
        </w:rPr>
        <w:t>d</w:t>
      </w:r>
      <w:r w:rsidR="00697D19">
        <w:rPr>
          <w:rFonts w:cs="Arial"/>
        </w:rPr>
        <w:t xml:space="preserve"> #</w:t>
      </w:r>
      <w:r w:rsidR="00BB7C6E">
        <w:rPr>
          <w:rFonts w:cs="Arial"/>
        </w:rPr>
        <w:t>4</w:t>
      </w:r>
      <w:r w:rsidR="00A824A2">
        <w:rPr>
          <w:rFonts w:cs="Arial"/>
        </w:rPr>
        <w:t xml:space="preserve"> (numerator)</w:t>
      </w:r>
      <w:r w:rsidR="00BB7C6E">
        <w:rPr>
          <w:rFonts w:cs="Arial"/>
        </w:rPr>
        <w:t>.</w:t>
      </w:r>
    </w:p>
    <w:p w14:paraId="51600E5C" w14:textId="77777777" w:rsidR="00DB7F48" w:rsidRDefault="00DB7F48" w:rsidP="00BB7C6E">
      <w:pPr>
        <w:rPr>
          <w:rFonts w:cs="Arial"/>
        </w:rPr>
      </w:pPr>
    </w:p>
    <w:p w14:paraId="2B16A382" w14:textId="53104D4D" w:rsidR="00BB7C6E" w:rsidRPr="004C547F" w:rsidRDefault="00BB7C6E" w:rsidP="00AD309C">
      <w:pPr>
        <w:pStyle w:val="ListParagraph"/>
        <w:numPr>
          <w:ilvl w:val="0"/>
          <w:numId w:val="56"/>
        </w:numPr>
        <w:rPr>
          <w:rFonts w:cs="Arial"/>
          <w:b/>
          <w:bCs/>
        </w:rPr>
      </w:pPr>
      <w:bookmarkStart w:id="211" w:name="StandingOrder"/>
      <w:bookmarkEnd w:id="211"/>
      <w:r w:rsidRPr="004C547F">
        <w:rPr>
          <w:rFonts w:cs="Arial"/>
          <w:b/>
          <w:bCs/>
        </w:rPr>
        <w:t>What are examples of standing orders?</w:t>
      </w:r>
    </w:p>
    <w:p w14:paraId="1E8B7404" w14:textId="6EF837C7" w:rsidR="00BB7C6E" w:rsidRDefault="00816726" w:rsidP="0021044A">
      <w:pPr>
        <w:pStyle w:val="ListParagraph"/>
        <w:rPr>
          <w:rFonts w:cs="Arial"/>
        </w:rPr>
      </w:pPr>
      <w:r>
        <w:t>E</w:t>
      </w:r>
      <w:r w:rsidR="00BB7C6E" w:rsidRPr="00AE36E4">
        <w:t>xamples</w:t>
      </w:r>
      <w:r>
        <w:t xml:space="preserve"> of standing orders include </w:t>
      </w:r>
      <w:r w:rsidR="00BB7C6E" w:rsidRPr="00AE36E4">
        <w:t>influenza vaccine, pneumonia vaccine, hepatitis B vaccine,</w:t>
      </w:r>
      <w:r w:rsidR="00BB7C6E">
        <w:t xml:space="preserve"> or</w:t>
      </w:r>
      <w:r w:rsidR="00BB7C6E" w:rsidRPr="00AE36E4">
        <w:t xml:space="preserve"> erythromycin eye ointmen</w:t>
      </w:r>
      <w:r w:rsidR="00BB7C6E">
        <w:t>t.</w:t>
      </w:r>
      <w:r w:rsidR="00BB7C6E" w:rsidRPr="00AE36E4">
        <w:t xml:space="preserve"> Standing orders </w:t>
      </w:r>
      <w:r w:rsidR="00BB7C6E">
        <w:t>are usually</w:t>
      </w:r>
      <w:r w:rsidR="00BB7C6E" w:rsidRPr="00AE36E4">
        <w:t xml:space="preserve"> rare, limited use situations.</w:t>
      </w:r>
      <w:r w:rsidR="00BB514B">
        <w:t xml:space="preserve"> </w:t>
      </w:r>
      <w:r w:rsidR="00A824A2">
        <w:t>Count s</w:t>
      </w:r>
      <w:r w:rsidR="00347A2B">
        <w:t>tanding orders when responding to questions #3</w:t>
      </w:r>
      <w:r w:rsidR="00A824A2">
        <w:t xml:space="preserve"> (denominator)</w:t>
      </w:r>
      <w:r w:rsidR="00347A2B">
        <w:t xml:space="preserve"> and #4</w:t>
      </w:r>
      <w:r w:rsidR="00A824A2">
        <w:t xml:space="preserve"> (numerator)</w:t>
      </w:r>
      <w:r w:rsidR="00347A2B">
        <w:t xml:space="preserve">. </w:t>
      </w:r>
    </w:p>
    <w:p w14:paraId="66EE835C" w14:textId="77777777" w:rsidR="00BB7C6E" w:rsidRDefault="00BB7C6E" w:rsidP="00DD108F">
      <w:pPr>
        <w:rPr>
          <w:rFonts w:cs="Arial"/>
          <w:b/>
        </w:rPr>
      </w:pPr>
    </w:p>
    <w:p w14:paraId="146157C1" w14:textId="5F47A21B" w:rsidR="00AE4E63" w:rsidRPr="00AE4E63" w:rsidRDefault="006B74CB" w:rsidP="00AD309C">
      <w:pPr>
        <w:numPr>
          <w:ilvl w:val="0"/>
          <w:numId w:val="56"/>
        </w:numPr>
        <w:rPr>
          <w:rFonts w:cs="Arial"/>
          <w:b/>
        </w:rPr>
      </w:pPr>
      <w:bookmarkStart w:id="212" w:name="_Hlk35523404"/>
      <w:r>
        <w:rPr>
          <w:rFonts w:cs="Arial"/>
          <w:b/>
        </w:rPr>
        <w:t xml:space="preserve">My hospital </w:t>
      </w:r>
      <w:r w:rsidR="00AE4E63" w:rsidRPr="00AE4E63">
        <w:rPr>
          <w:rFonts w:cs="Arial"/>
          <w:b/>
        </w:rPr>
        <w:t>require</w:t>
      </w:r>
      <w:r>
        <w:rPr>
          <w:rFonts w:cs="Arial"/>
          <w:b/>
        </w:rPr>
        <w:t>s</w:t>
      </w:r>
      <w:r w:rsidR="00AE4E63" w:rsidRPr="00AE4E63">
        <w:rPr>
          <w:rFonts w:cs="Arial"/>
          <w:b/>
        </w:rPr>
        <w:t xml:space="preserve"> readback for all</w:t>
      </w:r>
      <w:r w:rsidR="00A824A2">
        <w:rPr>
          <w:rFonts w:cs="Arial"/>
          <w:b/>
        </w:rPr>
        <w:t xml:space="preserve"> phone</w:t>
      </w:r>
      <w:r w:rsidR="00AE4E63" w:rsidRPr="00AE4E63">
        <w:rPr>
          <w:rFonts w:cs="Arial"/>
          <w:b/>
        </w:rPr>
        <w:t xml:space="preserve"> orders, but there is no way to document that the readback occurred. How </w:t>
      </w:r>
      <w:r>
        <w:rPr>
          <w:rFonts w:cs="Arial"/>
          <w:b/>
        </w:rPr>
        <w:t xml:space="preserve">can we </w:t>
      </w:r>
      <w:r w:rsidR="00AE4E63" w:rsidRPr="00AE4E63">
        <w:rPr>
          <w:rFonts w:cs="Arial"/>
          <w:b/>
        </w:rPr>
        <w:t xml:space="preserve">include </w:t>
      </w:r>
      <w:r>
        <w:rPr>
          <w:rFonts w:cs="Arial"/>
          <w:b/>
        </w:rPr>
        <w:t>these orders when responding to question #4</w:t>
      </w:r>
      <w:r w:rsidR="00A824A2">
        <w:rPr>
          <w:rFonts w:cs="Arial"/>
          <w:b/>
        </w:rPr>
        <w:t xml:space="preserve"> (numerator)</w:t>
      </w:r>
      <w:r>
        <w:rPr>
          <w:rFonts w:cs="Arial"/>
          <w:b/>
        </w:rPr>
        <w:t>?</w:t>
      </w:r>
    </w:p>
    <w:p w14:paraId="22902ED1" w14:textId="1CEBA8E5" w:rsidR="00AE4E63" w:rsidRPr="00AE4E63" w:rsidRDefault="006B74CB" w:rsidP="00AE4E63">
      <w:pPr>
        <w:ind w:left="720"/>
        <w:rPr>
          <w:rFonts w:cs="Arial"/>
          <w:bCs/>
        </w:rPr>
      </w:pPr>
      <w:r>
        <w:rPr>
          <w:rFonts w:cs="Arial"/>
          <w:bCs/>
        </w:rPr>
        <w:t xml:space="preserve">If your hospital cannot document that </w:t>
      </w:r>
      <w:r w:rsidR="00AE4E63" w:rsidRPr="00AE4E63">
        <w:rPr>
          <w:rFonts w:cs="Arial"/>
          <w:bCs/>
        </w:rPr>
        <w:t>verbal readback on phone orders</w:t>
      </w:r>
      <w:r>
        <w:rPr>
          <w:rFonts w:cs="Arial"/>
          <w:bCs/>
        </w:rPr>
        <w:t xml:space="preserve"> occurred, you should </w:t>
      </w:r>
      <w:r w:rsidR="00AE4E63" w:rsidRPr="00AE4E63">
        <w:rPr>
          <w:rFonts w:cs="Arial"/>
          <w:bCs/>
        </w:rPr>
        <w:t>develop a written policy that outlines training and implementation of this practice</w:t>
      </w:r>
      <w:r>
        <w:rPr>
          <w:rFonts w:cs="Arial"/>
          <w:bCs/>
        </w:rPr>
        <w:t xml:space="preserve"> and perform a </w:t>
      </w:r>
      <w:r w:rsidR="00AE4E63" w:rsidRPr="00AE4E63">
        <w:rPr>
          <w:rFonts w:cs="Arial"/>
          <w:bCs/>
        </w:rPr>
        <w:lastRenderedPageBreak/>
        <w:t>random audit at least annually to ensure the policy is being followed.</w:t>
      </w:r>
      <w:r>
        <w:rPr>
          <w:rFonts w:cs="Arial"/>
          <w:bCs/>
        </w:rPr>
        <w:t xml:space="preserve"> </w:t>
      </w:r>
      <w:r w:rsidR="00A824A2">
        <w:rPr>
          <w:rFonts w:cs="Arial"/>
          <w:bCs/>
        </w:rPr>
        <w:t>Maintain d</w:t>
      </w:r>
      <w:r>
        <w:rPr>
          <w:rFonts w:cs="Arial"/>
          <w:bCs/>
        </w:rPr>
        <w:t>ocumentation of the audit that demonstrates compliance with the policy</w:t>
      </w:r>
      <w:r w:rsidR="00A824A2">
        <w:rPr>
          <w:rFonts w:cs="Arial"/>
          <w:bCs/>
        </w:rPr>
        <w:t xml:space="preserve"> as </w:t>
      </w:r>
      <w:r>
        <w:rPr>
          <w:rFonts w:cs="Arial"/>
          <w:bCs/>
        </w:rPr>
        <w:t>Leapfrog performs monthly documentation requests starting with June 30</w:t>
      </w:r>
      <w:r w:rsidR="00A824A2">
        <w:rPr>
          <w:rFonts w:cs="Arial"/>
          <w:bCs/>
          <w:vertAlign w:val="superscript"/>
        </w:rPr>
        <w:t xml:space="preserve"> </w:t>
      </w:r>
      <w:r>
        <w:rPr>
          <w:rFonts w:cs="Arial"/>
          <w:bCs/>
        </w:rPr>
        <w:t>submissions and continuing until the Survey closes on January 3</w:t>
      </w:r>
      <w:r w:rsidR="00A824A2">
        <w:rPr>
          <w:rFonts w:cs="Arial"/>
          <w:bCs/>
        </w:rPr>
        <w:t>1.</w:t>
      </w:r>
    </w:p>
    <w:p w14:paraId="6D6F64B9" w14:textId="77777777" w:rsidR="00874CD2" w:rsidRDefault="00874CD2" w:rsidP="00DD7A6E">
      <w:pPr>
        <w:rPr>
          <w:rFonts w:cs="Arial"/>
          <w:b/>
        </w:rPr>
      </w:pPr>
    </w:p>
    <w:p w14:paraId="44F915CD" w14:textId="6634A9D9" w:rsidR="00CC43DB" w:rsidRDefault="00046DF3" w:rsidP="00AD309C">
      <w:pPr>
        <w:numPr>
          <w:ilvl w:val="0"/>
          <w:numId w:val="56"/>
        </w:numPr>
        <w:rPr>
          <w:rFonts w:cs="Arial"/>
          <w:b/>
        </w:rPr>
      </w:pPr>
      <w:r>
        <w:rPr>
          <w:rFonts w:cs="Arial"/>
          <w:b/>
        </w:rPr>
        <w:t>When should we take the</w:t>
      </w:r>
      <w:r w:rsidR="002E7564" w:rsidRPr="009A5185">
        <w:rPr>
          <w:rFonts w:cs="Arial"/>
          <w:b/>
        </w:rPr>
        <w:t xml:space="preserve"> CPOE Evaluation Tool?</w:t>
      </w:r>
    </w:p>
    <w:bookmarkEnd w:id="212"/>
    <w:p w14:paraId="7EA9D5B2" w14:textId="46D43A6A" w:rsidR="00C15754" w:rsidRDefault="00C15754" w:rsidP="00C15754">
      <w:pPr>
        <w:ind w:left="720"/>
        <w:rPr>
          <w:rFonts w:ascii="Calibri" w:hAnsi="Calibri"/>
        </w:rPr>
      </w:pPr>
      <w:r>
        <w:t>The CPOE Evaluation Tool is a core element of Leapfrog’s CPOE Standard. Hospitals are urged to ensure that the Adult Inpatient CPOE Test is submitted along with the Survey (i.e.</w:t>
      </w:r>
      <w:r w:rsidR="00B05B4B">
        <w:t>,</w:t>
      </w:r>
      <w:r>
        <w:t xml:space="preserve"> in the same month) in order to meet the </w:t>
      </w:r>
      <w:hyperlink r:id="rId202" w:history="1">
        <w:r w:rsidR="00556D6D">
          <w:rPr>
            <w:rStyle w:val="Hyperlink"/>
          </w:rPr>
          <w:t>deadlines</w:t>
        </w:r>
      </w:hyperlink>
      <w:r>
        <w:t xml:space="preserve"> for </w:t>
      </w:r>
      <w:r w:rsidR="00A64293">
        <w:t xml:space="preserve">the </w:t>
      </w:r>
      <w:r>
        <w:t xml:space="preserve">Leapfrog Hospital Survey and Leapfrog’s other programs such as Top Hospital and the Leapfrog Hospital Safety Grade. </w:t>
      </w:r>
    </w:p>
    <w:p w14:paraId="5477FBE2" w14:textId="77777777" w:rsidR="00C15754" w:rsidRDefault="00C15754" w:rsidP="00C15754">
      <w:pPr>
        <w:ind w:left="720"/>
      </w:pPr>
    </w:p>
    <w:p w14:paraId="1A06EE70" w14:textId="0FBCA145" w:rsidR="00C15754" w:rsidRDefault="00C15754" w:rsidP="00C15754">
      <w:pPr>
        <w:ind w:left="720"/>
      </w:pPr>
      <w:r>
        <w:t xml:space="preserve">Hospitals that submit </w:t>
      </w:r>
      <w:r w:rsidR="00F72C9F">
        <w:t>the Survey</w:t>
      </w:r>
      <w:r>
        <w:t>, but do not submit an Adult Inpatient Test via the CPOE Evaluation Tool, are scored and publicly reported as “</w:t>
      </w:r>
      <w:r w:rsidR="00B60AE6">
        <w:t>Limited Achievement</w:t>
      </w:r>
      <w:r>
        <w:t>” on the CPOE measure.</w:t>
      </w:r>
    </w:p>
    <w:p w14:paraId="16F5F04B" w14:textId="77777777" w:rsidR="00C15754" w:rsidRDefault="00C15754" w:rsidP="00C15754">
      <w:pPr>
        <w:ind w:left="720"/>
      </w:pPr>
    </w:p>
    <w:p w14:paraId="74102A29" w14:textId="77777777" w:rsidR="00C15754" w:rsidRDefault="00C15754" w:rsidP="00C15754">
      <w:pPr>
        <w:ind w:left="720"/>
      </w:pPr>
      <w:r>
        <w:t xml:space="preserve">Within a Survey Cycle (April 1 – November 30), a hospital cannot retake a CPOE Evaluation Tool until at least 120 days have passed since their last test. </w:t>
      </w:r>
    </w:p>
    <w:p w14:paraId="5C72F79B" w14:textId="77777777" w:rsidR="00A022AC" w:rsidRDefault="00A022AC" w:rsidP="00A022AC">
      <w:pPr>
        <w:ind w:left="720"/>
        <w:rPr>
          <w:rFonts w:cs="Arial"/>
        </w:rPr>
      </w:pPr>
    </w:p>
    <w:p w14:paraId="51D3F6C3" w14:textId="77777777" w:rsidR="00A022AC" w:rsidRDefault="00A022AC" w:rsidP="00AD309C">
      <w:pPr>
        <w:pStyle w:val="ListParagraph"/>
        <w:numPr>
          <w:ilvl w:val="0"/>
          <w:numId w:val="56"/>
        </w:numPr>
        <w:rPr>
          <w:rFonts w:cs="Arial"/>
          <w:b/>
        </w:rPr>
      </w:pPr>
      <w:r>
        <w:rPr>
          <w:rFonts w:cs="Arial"/>
          <w:b/>
        </w:rPr>
        <w:t>Should hospitals take the CPOE Test more than once per Survey Cycle?</w:t>
      </w:r>
    </w:p>
    <w:p w14:paraId="4BAE897B" w14:textId="6AD32836" w:rsidR="00A022AC" w:rsidRDefault="00A022AC" w:rsidP="00A022AC">
      <w:pPr>
        <w:pStyle w:val="ListParagraph"/>
        <w:rPr>
          <w:rFonts w:cs="Arial"/>
          <w:bCs/>
        </w:rPr>
      </w:pPr>
      <w:r>
        <w:rPr>
          <w:rFonts w:cs="Arial"/>
          <w:bCs/>
        </w:rPr>
        <w:t xml:space="preserve">Not necessarily. </w:t>
      </w:r>
      <w:r w:rsidRPr="00BB514B">
        <w:rPr>
          <w:rFonts w:cs="Arial"/>
          <w:bCs/>
        </w:rPr>
        <w:t xml:space="preserve">Hospitals have the option of re-taking </w:t>
      </w:r>
      <w:r>
        <w:rPr>
          <w:rFonts w:cs="Arial"/>
          <w:bCs/>
        </w:rPr>
        <w:t xml:space="preserve">a test </w:t>
      </w:r>
      <w:r w:rsidRPr="00BB514B">
        <w:rPr>
          <w:rFonts w:cs="Arial"/>
          <w:bCs/>
        </w:rPr>
        <w:t xml:space="preserve">after 120 days, but if </w:t>
      </w:r>
      <w:r>
        <w:rPr>
          <w:rFonts w:cs="Arial"/>
          <w:bCs/>
        </w:rPr>
        <w:t xml:space="preserve">there </w:t>
      </w:r>
      <w:r w:rsidR="00960C5A">
        <w:rPr>
          <w:rFonts w:cs="Arial"/>
          <w:bCs/>
        </w:rPr>
        <w:t>were</w:t>
      </w:r>
      <w:r>
        <w:rPr>
          <w:rFonts w:cs="Arial"/>
          <w:bCs/>
        </w:rPr>
        <w:t xml:space="preserve"> no</w:t>
      </w:r>
      <w:r w:rsidRPr="00BB514B">
        <w:rPr>
          <w:rFonts w:cs="Arial"/>
          <w:bCs/>
        </w:rPr>
        <w:t xml:space="preserve"> changes </w:t>
      </w:r>
      <w:r>
        <w:rPr>
          <w:rFonts w:cs="Arial"/>
          <w:bCs/>
        </w:rPr>
        <w:t>made to your CPOE system</w:t>
      </w:r>
      <w:r w:rsidR="00960C5A">
        <w:rPr>
          <w:rFonts w:cs="Arial"/>
          <w:bCs/>
        </w:rPr>
        <w:t xml:space="preserve"> after the first test</w:t>
      </w:r>
      <w:r>
        <w:rPr>
          <w:rFonts w:cs="Arial"/>
          <w:bCs/>
        </w:rPr>
        <w:t xml:space="preserve"> </w:t>
      </w:r>
      <w:r w:rsidRPr="00BB514B">
        <w:rPr>
          <w:rFonts w:cs="Arial"/>
          <w:bCs/>
        </w:rPr>
        <w:t>there is likely no reason to retake the test. Hospitals that switch vendors, perform major upgrades, or make significant changes to their decision support settings and/or formulary (</w:t>
      </w:r>
      <w:r>
        <w:rPr>
          <w:rFonts w:cs="Arial"/>
          <w:bCs/>
        </w:rPr>
        <w:t>e.g., expanding</w:t>
      </w:r>
      <w:r w:rsidRPr="00BB514B">
        <w:rPr>
          <w:rFonts w:cs="Arial"/>
          <w:bCs/>
        </w:rPr>
        <w:t xml:space="preserve"> from</w:t>
      </w:r>
      <w:r>
        <w:rPr>
          <w:rFonts w:cs="Arial"/>
          <w:bCs/>
        </w:rPr>
        <w:t xml:space="preserve"> a</w:t>
      </w:r>
      <w:r w:rsidRPr="00BB514B">
        <w:rPr>
          <w:rFonts w:cs="Arial"/>
          <w:bCs/>
        </w:rPr>
        <w:t xml:space="preserve"> limited formulary to </w:t>
      </w:r>
      <w:r>
        <w:rPr>
          <w:rFonts w:cs="Arial"/>
          <w:bCs/>
        </w:rPr>
        <w:t xml:space="preserve">a </w:t>
      </w:r>
      <w:r w:rsidRPr="00BB514B">
        <w:rPr>
          <w:rFonts w:cs="Arial"/>
          <w:bCs/>
        </w:rPr>
        <w:t xml:space="preserve">large formulary) should re-take the test to ensure the results reflect </w:t>
      </w:r>
      <w:r w:rsidR="00960C5A">
        <w:rPr>
          <w:rFonts w:cs="Arial"/>
          <w:bCs/>
        </w:rPr>
        <w:t>their</w:t>
      </w:r>
      <w:r w:rsidRPr="00BB514B">
        <w:rPr>
          <w:rFonts w:cs="Arial"/>
          <w:bCs/>
        </w:rPr>
        <w:t xml:space="preserve"> current system.</w:t>
      </w:r>
    </w:p>
    <w:p w14:paraId="01DD0A14" w14:textId="77777777" w:rsidR="00A022AC" w:rsidRPr="00BB514B" w:rsidRDefault="00A022AC" w:rsidP="00A022AC">
      <w:pPr>
        <w:pStyle w:val="ListParagraph"/>
        <w:rPr>
          <w:rFonts w:cs="Arial"/>
          <w:bCs/>
        </w:rPr>
      </w:pPr>
    </w:p>
    <w:p w14:paraId="17D8654E" w14:textId="77777777" w:rsidR="00A022AC" w:rsidRPr="00046DF3" w:rsidRDefault="00A022AC" w:rsidP="00AD309C">
      <w:pPr>
        <w:pStyle w:val="ListParagraph"/>
        <w:numPr>
          <w:ilvl w:val="0"/>
          <w:numId w:val="56"/>
        </w:numPr>
        <w:rPr>
          <w:rFonts w:cs="Arial"/>
          <w:b/>
        </w:rPr>
      </w:pPr>
      <w:r>
        <w:rPr>
          <w:rFonts w:cs="Arial"/>
          <w:b/>
        </w:rPr>
        <w:t xml:space="preserve">If we </w:t>
      </w:r>
      <w:r w:rsidRPr="00046DF3">
        <w:rPr>
          <w:rFonts w:cs="Arial"/>
          <w:b/>
        </w:rPr>
        <w:t xml:space="preserve">update our responses to questions #3 and #4, do we need to re-take the CPOE Test? </w:t>
      </w:r>
    </w:p>
    <w:p w14:paraId="6C41140C" w14:textId="2B17B236" w:rsidR="00A718E9" w:rsidRDefault="00A022AC" w:rsidP="00CF7851">
      <w:pPr>
        <w:pStyle w:val="ListParagraph"/>
        <w:rPr>
          <w:rFonts w:cs="Arial"/>
        </w:rPr>
      </w:pPr>
      <w:r>
        <w:rPr>
          <w:rFonts w:cs="Arial"/>
        </w:rPr>
        <w:t xml:space="preserve">No. </w:t>
      </w:r>
      <w:r w:rsidRPr="00046DF3">
        <w:rPr>
          <w:rFonts w:cs="Arial"/>
        </w:rPr>
        <w:t>Hospitals</w:t>
      </w:r>
      <w:r w:rsidR="00960C5A">
        <w:rPr>
          <w:rFonts w:cs="Arial"/>
        </w:rPr>
        <w:t xml:space="preserve"> don’t need to </w:t>
      </w:r>
      <w:r w:rsidRPr="00046DF3">
        <w:rPr>
          <w:rFonts w:cs="Arial"/>
        </w:rPr>
        <w:t xml:space="preserve">retake the CPOE Evaluation Tool </w:t>
      </w:r>
      <w:r w:rsidR="00960C5A">
        <w:rPr>
          <w:rFonts w:cs="Arial"/>
        </w:rPr>
        <w:t xml:space="preserve">after submitting </w:t>
      </w:r>
      <w:r w:rsidRPr="00046DF3">
        <w:rPr>
          <w:rFonts w:cs="Arial"/>
        </w:rPr>
        <w:t xml:space="preserve">updates to </w:t>
      </w:r>
      <w:r w:rsidR="00960C5A">
        <w:rPr>
          <w:rFonts w:cs="Arial"/>
        </w:rPr>
        <w:t xml:space="preserve">Section 2 via the Online Survey Tool. </w:t>
      </w:r>
      <w:r w:rsidRPr="00046DF3">
        <w:rPr>
          <w:rFonts w:cs="Arial"/>
        </w:rPr>
        <w:t xml:space="preserve">Retaking a test is only recommended </w:t>
      </w:r>
      <w:r w:rsidR="00960C5A">
        <w:rPr>
          <w:rFonts w:cs="Arial"/>
        </w:rPr>
        <w:t xml:space="preserve">for hospitals that switched vendors, performed major upgrades, or made significant changes to their decision support settings and/or formulary. </w:t>
      </w:r>
    </w:p>
    <w:p w14:paraId="535A4AE7" w14:textId="77777777" w:rsidR="00BB30C4" w:rsidRDefault="00BB30C4" w:rsidP="00CF7851">
      <w:pPr>
        <w:pStyle w:val="ListParagraph"/>
        <w:rPr>
          <w:rFonts w:cs="Arial"/>
        </w:rPr>
      </w:pPr>
    </w:p>
    <w:p w14:paraId="7E25838E" w14:textId="77777777" w:rsidR="003668F5" w:rsidRDefault="003668F5" w:rsidP="00A25F6C">
      <w:pPr>
        <w:pStyle w:val="Heading3"/>
      </w:pPr>
      <w:bookmarkStart w:id="213" w:name="_Toc225877702"/>
      <w:r w:rsidRPr="009617F5">
        <w:t>EHR Application Information FAQs</w:t>
      </w:r>
      <w:bookmarkEnd w:id="213"/>
    </w:p>
    <w:p w14:paraId="0A4C0A2B" w14:textId="77777777" w:rsidR="00543237" w:rsidRDefault="00543237" w:rsidP="003668F5">
      <w:pPr>
        <w:pStyle w:val="Heading44"/>
      </w:pPr>
    </w:p>
    <w:p w14:paraId="76B177C2" w14:textId="5530D74B" w:rsidR="004D459D" w:rsidRPr="001F2388" w:rsidRDefault="00737523" w:rsidP="00AD309C">
      <w:pPr>
        <w:pStyle w:val="ListParagraph"/>
        <w:numPr>
          <w:ilvl w:val="0"/>
          <w:numId w:val="56"/>
        </w:numPr>
        <w:rPr>
          <w:rFonts w:cs="Arial"/>
          <w:b/>
          <w:bCs/>
        </w:rPr>
      </w:pPr>
      <w:r>
        <w:rPr>
          <w:rFonts w:cs="Arial"/>
          <w:b/>
          <w:bCs/>
        </w:rPr>
        <w:t>What is the definition of</w:t>
      </w:r>
      <w:r w:rsidR="004D459D" w:rsidRPr="001F2388">
        <w:rPr>
          <w:rFonts w:cs="Arial"/>
          <w:b/>
          <w:bCs/>
        </w:rPr>
        <w:t xml:space="preserve"> Artificial Intelligence</w:t>
      </w:r>
      <w:r w:rsidR="006C5FD2">
        <w:rPr>
          <w:rFonts w:cs="Arial"/>
          <w:b/>
          <w:bCs/>
        </w:rPr>
        <w:t xml:space="preserve"> in Health Care</w:t>
      </w:r>
      <w:r w:rsidR="004D459D" w:rsidRPr="001F2388">
        <w:rPr>
          <w:rFonts w:cs="Arial"/>
          <w:b/>
          <w:bCs/>
        </w:rPr>
        <w:t>?</w:t>
      </w:r>
    </w:p>
    <w:p w14:paraId="79C6636B" w14:textId="6DDF1A2D" w:rsidR="00543237" w:rsidRDefault="004D459D" w:rsidP="004D459D">
      <w:pPr>
        <w:pStyle w:val="Heading44"/>
        <w:ind w:left="720"/>
        <w:rPr>
          <w:rFonts w:cs="Arial"/>
          <w:b w:val="0"/>
          <w:bCs/>
          <w:sz w:val="20"/>
        </w:rPr>
      </w:pPr>
      <w:r w:rsidRPr="009617F5">
        <w:rPr>
          <w:rFonts w:cs="Arial"/>
          <w:b w:val="0"/>
          <w:bCs/>
          <w:sz w:val="20"/>
        </w:rPr>
        <w:t xml:space="preserve">Artificial Intelligence (AI) </w:t>
      </w:r>
      <w:r w:rsidR="002E1D83" w:rsidRPr="002E1D83">
        <w:rPr>
          <w:rFonts w:cs="Arial"/>
          <w:b w:val="0"/>
          <w:bCs/>
          <w:sz w:val="20"/>
        </w:rPr>
        <w:t xml:space="preserve">in healthcare is the use of machine learning, AI Algorithms, </w:t>
      </w:r>
      <w:r w:rsidR="00DD75C6">
        <w:rPr>
          <w:rFonts w:cs="Arial"/>
          <w:b w:val="0"/>
          <w:bCs/>
          <w:sz w:val="20"/>
        </w:rPr>
        <w:t>l</w:t>
      </w:r>
      <w:r w:rsidR="002E1D83" w:rsidRPr="002E1D83">
        <w:rPr>
          <w:rFonts w:cs="Arial"/>
          <w:b w:val="0"/>
          <w:bCs/>
          <w:sz w:val="20"/>
        </w:rPr>
        <w:t xml:space="preserve">arge </w:t>
      </w:r>
      <w:r w:rsidR="00DD75C6">
        <w:rPr>
          <w:rFonts w:cs="Arial"/>
          <w:b w:val="0"/>
          <w:bCs/>
          <w:sz w:val="20"/>
        </w:rPr>
        <w:t>l</w:t>
      </w:r>
      <w:r w:rsidR="002E1D83" w:rsidRPr="002E1D83">
        <w:rPr>
          <w:rFonts w:cs="Arial"/>
          <w:b w:val="0"/>
          <w:bCs/>
          <w:sz w:val="20"/>
        </w:rPr>
        <w:t xml:space="preserve">anguage </w:t>
      </w:r>
      <w:r w:rsidR="00DD75C6">
        <w:rPr>
          <w:rFonts w:cs="Arial"/>
          <w:b w:val="0"/>
          <w:bCs/>
          <w:sz w:val="20"/>
        </w:rPr>
        <w:t>m</w:t>
      </w:r>
      <w:r w:rsidR="002E1D83" w:rsidRPr="002E1D83">
        <w:rPr>
          <w:rFonts w:cs="Arial"/>
          <w:b w:val="0"/>
          <w:bCs/>
          <w:sz w:val="20"/>
        </w:rPr>
        <w:t xml:space="preserve">odels, AI Agents, </w:t>
      </w:r>
      <w:r w:rsidR="00D040BE">
        <w:rPr>
          <w:rFonts w:cs="Arial"/>
          <w:b w:val="0"/>
          <w:bCs/>
          <w:sz w:val="20"/>
        </w:rPr>
        <w:t>a</w:t>
      </w:r>
      <w:r w:rsidR="002E1D83" w:rsidRPr="002E1D83">
        <w:rPr>
          <w:rFonts w:cs="Arial"/>
          <w:b w:val="0"/>
          <w:bCs/>
          <w:sz w:val="20"/>
        </w:rPr>
        <w:t>gentic AI, chatbots, and other related technologies to analyze health data and assist clinicians in tasks like diagnosis, treatment (including clinical decision support), patient monitoring, administrative work</w:t>
      </w:r>
      <w:r w:rsidR="00E3671A">
        <w:rPr>
          <w:rFonts w:cs="Arial"/>
          <w:b w:val="0"/>
          <w:bCs/>
          <w:sz w:val="20"/>
        </w:rPr>
        <w:t>, and automated workflows</w:t>
      </w:r>
      <w:r w:rsidR="002E1D83" w:rsidRPr="002E1D83">
        <w:rPr>
          <w:rFonts w:cs="Arial"/>
          <w:b w:val="0"/>
          <w:bCs/>
          <w:sz w:val="20"/>
        </w:rPr>
        <w:t>. Its goal is to improve patient outcomes, increase efficiency, and personalize care by providing tools that can identify diseases, streamline workflows, and help predict patient needs.</w:t>
      </w:r>
    </w:p>
    <w:p w14:paraId="58424FD4" w14:textId="568594CB" w:rsidR="003C5271" w:rsidRDefault="00A25F6C" w:rsidP="003C5271">
      <w:pPr>
        <w:tabs>
          <w:tab w:val="left" w:pos="720"/>
        </w:tabs>
        <w:ind w:left="360"/>
        <w:rPr>
          <w:rFonts w:cstheme="minorHAnsi"/>
        </w:rPr>
      </w:pPr>
      <w:r>
        <w:rPr>
          <w:rFonts w:cstheme="minorHAnsi"/>
        </w:rPr>
        <w:tab/>
      </w:r>
    </w:p>
    <w:p w14:paraId="5F29DBB1" w14:textId="3AE030C3" w:rsidR="003C5271" w:rsidRPr="009678E8" w:rsidRDefault="003C5271" w:rsidP="003C5271">
      <w:pPr>
        <w:tabs>
          <w:tab w:val="left" w:pos="720"/>
        </w:tabs>
        <w:ind w:left="360"/>
        <w:rPr>
          <w:rFonts w:cstheme="minorHAnsi"/>
        </w:rPr>
      </w:pPr>
      <w:r>
        <w:rPr>
          <w:rFonts w:cstheme="minorHAnsi"/>
        </w:rPr>
        <w:tab/>
      </w:r>
      <w:r w:rsidRPr="009678E8">
        <w:rPr>
          <w:rFonts w:cstheme="minorHAnsi"/>
        </w:rPr>
        <w:t>Examples of AI applications used in medication management processes are as follows:</w:t>
      </w:r>
    </w:p>
    <w:p w14:paraId="63DE0E29" w14:textId="77777777" w:rsidR="003C5271" w:rsidRPr="003C5271" w:rsidRDefault="003C5271" w:rsidP="00A25F6C">
      <w:pPr>
        <w:pStyle w:val="ListParagraph"/>
        <w:numPr>
          <w:ilvl w:val="0"/>
          <w:numId w:val="456"/>
        </w:numPr>
        <w:tabs>
          <w:tab w:val="left" w:pos="720"/>
        </w:tabs>
        <w:spacing w:line="276" w:lineRule="auto"/>
        <w:ind w:left="1710"/>
        <w:rPr>
          <w:rFonts w:cstheme="minorHAnsi"/>
        </w:rPr>
      </w:pPr>
      <w:r w:rsidRPr="003C5271">
        <w:rPr>
          <w:rFonts w:cstheme="minorHAnsi"/>
        </w:rPr>
        <w:t>AI algorithms that suggest a new medication order’s dosage, frequency, or duration of therapy.</w:t>
      </w:r>
    </w:p>
    <w:p w14:paraId="58D21435" w14:textId="77777777" w:rsidR="003C5271" w:rsidRPr="003C5271" w:rsidRDefault="003C5271" w:rsidP="00A25F6C">
      <w:pPr>
        <w:pStyle w:val="ListParagraph"/>
        <w:numPr>
          <w:ilvl w:val="0"/>
          <w:numId w:val="456"/>
        </w:numPr>
        <w:tabs>
          <w:tab w:val="left" w:pos="720"/>
        </w:tabs>
        <w:spacing w:line="276" w:lineRule="auto"/>
        <w:ind w:left="1710"/>
        <w:rPr>
          <w:rFonts w:cstheme="minorHAnsi"/>
        </w:rPr>
      </w:pPr>
      <w:r w:rsidRPr="003C5271">
        <w:rPr>
          <w:rFonts w:cstheme="minorHAnsi"/>
        </w:rPr>
        <w:t>AI algorithms that suggest a new medication for a patient based on an analysis of the patient’s medical record.</w:t>
      </w:r>
    </w:p>
    <w:p w14:paraId="0E5E22E1" w14:textId="77777777" w:rsidR="003C5271" w:rsidRPr="003C5271" w:rsidRDefault="003C5271" w:rsidP="00A25F6C">
      <w:pPr>
        <w:pStyle w:val="ListParagraph"/>
        <w:numPr>
          <w:ilvl w:val="0"/>
          <w:numId w:val="456"/>
        </w:numPr>
        <w:tabs>
          <w:tab w:val="left" w:pos="720"/>
        </w:tabs>
        <w:spacing w:line="276" w:lineRule="auto"/>
        <w:ind w:left="1710"/>
        <w:rPr>
          <w:rFonts w:cstheme="minorHAnsi"/>
        </w:rPr>
      </w:pPr>
      <w:r w:rsidRPr="003C5271">
        <w:rPr>
          <w:rFonts w:cstheme="minorHAnsi"/>
        </w:rPr>
        <w:t>AI algorithms that suggest changes to an existing medication the patient is on based on an analysis of the patient’s medical records.</w:t>
      </w:r>
    </w:p>
    <w:p w14:paraId="4C6CBB40" w14:textId="77777777" w:rsidR="003C5271" w:rsidRPr="00885A85" w:rsidRDefault="003C5271" w:rsidP="003C5271">
      <w:pPr>
        <w:pStyle w:val="ListParagraph"/>
        <w:numPr>
          <w:ilvl w:val="0"/>
          <w:numId w:val="454"/>
        </w:numPr>
        <w:tabs>
          <w:tab w:val="left" w:pos="720"/>
        </w:tabs>
        <w:spacing w:line="276" w:lineRule="auto"/>
        <w:ind w:left="360"/>
        <w:rPr>
          <w:rFonts w:asciiTheme="minorHAnsi" w:hAnsiTheme="minorHAnsi" w:cstheme="minorHAnsi"/>
        </w:rPr>
      </w:pPr>
      <w:r w:rsidRPr="00885A85">
        <w:rPr>
          <w:rFonts w:asciiTheme="minorHAnsi" w:hAnsiTheme="minorHAnsi" w:cstheme="minorHAnsi"/>
        </w:rPr>
        <w:br w:type="page"/>
      </w:r>
    </w:p>
    <w:p w14:paraId="146DA4F4" w14:textId="1B74F822" w:rsidR="009617F5" w:rsidRPr="00A022AC" w:rsidRDefault="009617F5" w:rsidP="00A022AC">
      <w:pPr>
        <w:rPr>
          <w:rFonts w:cs="Arial"/>
        </w:rPr>
        <w:sectPr w:rsidR="009617F5" w:rsidRPr="00A022AC" w:rsidSect="00062F69">
          <w:headerReference w:type="default" r:id="rId203"/>
          <w:endnotePr>
            <w:numFmt w:val="decimal"/>
          </w:endnotePr>
          <w:type w:val="continuous"/>
          <w:pgSz w:w="12240" w:h="15840"/>
          <w:pgMar w:top="1440" w:right="1440" w:bottom="1440" w:left="1440" w:header="720" w:footer="720" w:gutter="0"/>
          <w:cols w:space="720"/>
          <w:docGrid w:linePitch="272"/>
        </w:sectPr>
      </w:pPr>
    </w:p>
    <w:p w14:paraId="6C7B0B7E" w14:textId="6961D4FD" w:rsidR="00E9000C" w:rsidRDefault="00E9000C" w:rsidP="00AB5B80">
      <w:pPr>
        <w:pStyle w:val="Heading3"/>
      </w:pPr>
      <w:bookmarkStart w:id="214" w:name="_Bar_Code_Medication"/>
      <w:bookmarkStart w:id="215" w:name="_Toc225877703"/>
      <w:bookmarkEnd w:id="214"/>
      <w:r>
        <w:lastRenderedPageBreak/>
        <w:t>Bar Code Medication Administration (BCMA)</w:t>
      </w:r>
      <w:r w:rsidR="00B078B4">
        <w:t xml:space="preserve"> FAQs</w:t>
      </w:r>
      <w:bookmarkEnd w:id="215"/>
    </w:p>
    <w:p w14:paraId="4C605564" w14:textId="77777777" w:rsidR="0065334D" w:rsidRPr="00A1457F" w:rsidRDefault="0065334D" w:rsidP="0065334D">
      <w:pPr>
        <w:rPr>
          <w:rFonts w:cs="Arial"/>
          <w:sz w:val="16"/>
          <w:szCs w:val="16"/>
        </w:rPr>
      </w:pPr>
    </w:p>
    <w:p w14:paraId="26B8BB5D" w14:textId="77777777" w:rsidR="0065334D" w:rsidRPr="009A5185" w:rsidRDefault="0065334D" w:rsidP="00690C11">
      <w:pPr>
        <w:pStyle w:val="Heading44"/>
      </w:pPr>
      <w:r w:rsidRPr="009A5185">
        <w:t>General Questions</w:t>
      </w:r>
    </w:p>
    <w:p w14:paraId="0843DD2F" w14:textId="77777777" w:rsidR="0065334D" w:rsidRPr="00B1398E" w:rsidRDefault="0065334D" w:rsidP="0065334D">
      <w:pPr>
        <w:rPr>
          <w:rFonts w:cs="Arial"/>
          <w:bCs/>
          <w:sz w:val="16"/>
          <w:szCs w:val="16"/>
        </w:rPr>
      </w:pPr>
    </w:p>
    <w:p w14:paraId="2E891783" w14:textId="48383E23" w:rsidR="0065334D" w:rsidRPr="009A5185" w:rsidRDefault="0065334D" w:rsidP="00AD309C">
      <w:pPr>
        <w:pStyle w:val="ListParagraph"/>
        <w:numPr>
          <w:ilvl w:val="0"/>
          <w:numId w:val="56"/>
        </w:numPr>
        <w:rPr>
          <w:rFonts w:cs="Arial"/>
          <w:b/>
        </w:rPr>
      </w:pPr>
      <w:r w:rsidRPr="009A5185">
        <w:rPr>
          <w:rFonts w:cs="Arial"/>
          <w:b/>
        </w:rPr>
        <w:t>Why does the Bar Code Medication Administration system have to be connected to an electronic medication administration record (</w:t>
      </w:r>
      <w:proofErr w:type="spellStart"/>
      <w:r w:rsidRPr="009A5185">
        <w:rPr>
          <w:rFonts w:cs="Arial"/>
          <w:b/>
        </w:rPr>
        <w:t>eMAR</w:t>
      </w:r>
      <w:proofErr w:type="spellEnd"/>
      <w:r w:rsidRPr="009A5185">
        <w:rPr>
          <w:rFonts w:cs="Arial"/>
          <w:b/>
        </w:rPr>
        <w:t>)?</w:t>
      </w:r>
    </w:p>
    <w:p w14:paraId="5C57C259" w14:textId="166E634B" w:rsidR="0065334D" w:rsidRDefault="0065334D" w:rsidP="0065334D">
      <w:pPr>
        <w:pStyle w:val="ListParagraph"/>
        <w:rPr>
          <w:rFonts w:cs="Arial"/>
        </w:rPr>
      </w:pPr>
      <w:r w:rsidRPr="009A5185">
        <w:rPr>
          <w:rFonts w:cs="Arial"/>
        </w:rPr>
        <w:t xml:space="preserve">An </w:t>
      </w:r>
      <w:proofErr w:type="spellStart"/>
      <w:r w:rsidRPr="009A5185">
        <w:rPr>
          <w:rFonts w:cs="Arial"/>
        </w:rPr>
        <w:t>eMAR</w:t>
      </w:r>
      <w:proofErr w:type="spellEnd"/>
      <w:r w:rsidRPr="009A5185">
        <w:rPr>
          <w:rFonts w:cs="Arial"/>
        </w:rPr>
        <w:t xml:space="preserve"> serves as the communication interface that automatically documents the administration of medication into certified Electronic Health Record (EHR) technology. By linking BCMA with the </w:t>
      </w:r>
      <w:proofErr w:type="spellStart"/>
      <w:r w:rsidRPr="009A5185">
        <w:rPr>
          <w:rFonts w:cs="Arial"/>
        </w:rPr>
        <w:t>eMAR</w:t>
      </w:r>
      <w:proofErr w:type="spellEnd"/>
      <w:r w:rsidRPr="009A5185">
        <w:rPr>
          <w:rFonts w:cs="Arial"/>
        </w:rPr>
        <w:t>, information on medication administration is captured in a much timelier manner than a manual documentation process can accomplish.</w:t>
      </w:r>
    </w:p>
    <w:p w14:paraId="2DC7AE4B" w14:textId="77777777" w:rsidR="0065334D" w:rsidRPr="00A1457F" w:rsidRDefault="0065334D" w:rsidP="0065334D">
      <w:pPr>
        <w:pStyle w:val="ListParagraph"/>
        <w:rPr>
          <w:rFonts w:cs="Arial"/>
          <w:sz w:val="16"/>
          <w:szCs w:val="16"/>
        </w:rPr>
      </w:pPr>
    </w:p>
    <w:p w14:paraId="6076448B" w14:textId="77777777" w:rsidR="0065334D" w:rsidRPr="009A5185" w:rsidRDefault="0065334D" w:rsidP="00690C11">
      <w:pPr>
        <w:pStyle w:val="Heading44"/>
      </w:pPr>
      <w:r w:rsidRPr="009A5185">
        <w:t xml:space="preserve">Units </w:t>
      </w:r>
    </w:p>
    <w:p w14:paraId="34306569" w14:textId="77777777" w:rsidR="0065334D" w:rsidRPr="00A1457F" w:rsidRDefault="0065334D" w:rsidP="0065334D">
      <w:pPr>
        <w:pStyle w:val="ListParagraph"/>
        <w:rPr>
          <w:rFonts w:cs="Arial"/>
          <w:b/>
          <w:sz w:val="16"/>
          <w:szCs w:val="16"/>
        </w:rPr>
      </w:pPr>
    </w:p>
    <w:p w14:paraId="3FAF299D" w14:textId="373A8301" w:rsidR="0065334D" w:rsidRPr="009A5185" w:rsidRDefault="0065334D" w:rsidP="00AD309C">
      <w:pPr>
        <w:pStyle w:val="ListParagraph"/>
        <w:numPr>
          <w:ilvl w:val="0"/>
          <w:numId w:val="56"/>
        </w:numPr>
        <w:rPr>
          <w:rFonts w:cs="Arial"/>
          <w:b/>
        </w:rPr>
      </w:pPr>
      <w:r>
        <w:rPr>
          <w:rFonts w:cs="Arial"/>
          <w:b/>
        </w:rPr>
        <w:t>Should a unit that has only been open for part of the 3-month reporting period be included?</w:t>
      </w:r>
    </w:p>
    <w:p w14:paraId="3DDC35EA" w14:textId="7E883843" w:rsidR="0065334D" w:rsidRPr="009A5185" w:rsidRDefault="0065334D" w:rsidP="0065334D">
      <w:pPr>
        <w:pStyle w:val="ListParagraph"/>
        <w:rPr>
          <w:rFonts w:cs="Arial"/>
        </w:rPr>
      </w:pPr>
      <w:r>
        <w:rPr>
          <w:rFonts w:cs="Arial"/>
        </w:rPr>
        <w:t xml:space="preserve">No. </w:t>
      </w:r>
      <w:r w:rsidRPr="009A5185">
        <w:rPr>
          <w:rFonts w:cs="Arial"/>
        </w:rPr>
        <w:t xml:space="preserve">Only include those units that </w:t>
      </w:r>
      <w:r w:rsidR="000A22DC">
        <w:rPr>
          <w:rFonts w:cs="Arial"/>
        </w:rPr>
        <w:t>are currently</w:t>
      </w:r>
      <w:r w:rsidR="00247C6D">
        <w:rPr>
          <w:rFonts w:cs="Arial"/>
        </w:rPr>
        <w:t xml:space="preserve"> </w:t>
      </w:r>
      <w:r w:rsidR="00546AA5">
        <w:rPr>
          <w:rFonts w:cs="Arial"/>
        </w:rPr>
        <w:t xml:space="preserve">open </w:t>
      </w:r>
      <w:r w:rsidR="00247C6D">
        <w:rPr>
          <w:rFonts w:cs="Arial"/>
        </w:rPr>
        <w:t>and</w:t>
      </w:r>
      <w:r w:rsidR="000A22DC">
        <w:rPr>
          <w:rFonts w:cs="Arial"/>
        </w:rPr>
        <w:t xml:space="preserve"> </w:t>
      </w:r>
      <w:r w:rsidRPr="009A5185">
        <w:rPr>
          <w:rFonts w:cs="Arial"/>
        </w:rPr>
        <w:t>have been opened and staffed for the entire 3-month reporting period. For example, if you open a new unit that has only been open and staffed for 1-month out of the 3-month reporting period, you w</w:t>
      </w:r>
      <w:r>
        <w:rPr>
          <w:rFonts w:cs="Arial"/>
        </w:rPr>
        <w:t>ill</w:t>
      </w:r>
      <w:r w:rsidRPr="009A5185">
        <w:rPr>
          <w:rFonts w:cs="Arial"/>
        </w:rPr>
        <w:t xml:space="preserve"> not include that unit when responding to the questions in this section. </w:t>
      </w:r>
    </w:p>
    <w:p w14:paraId="535C739B" w14:textId="77777777" w:rsidR="00463E6E" w:rsidRPr="005B5B75" w:rsidRDefault="00463E6E" w:rsidP="005B5B75">
      <w:pPr>
        <w:rPr>
          <w:rFonts w:cs="Arial"/>
          <w:bCs/>
        </w:rPr>
      </w:pPr>
    </w:p>
    <w:p w14:paraId="62630B37" w14:textId="77777777" w:rsidR="0065334D" w:rsidRPr="009A5185" w:rsidRDefault="0065334D" w:rsidP="00AD309C">
      <w:pPr>
        <w:pStyle w:val="ListParagraph"/>
        <w:numPr>
          <w:ilvl w:val="0"/>
          <w:numId w:val="56"/>
        </w:numPr>
        <w:rPr>
          <w:rFonts w:cs="Arial"/>
          <w:b/>
        </w:rPr>
      </w:pPr>
      <w:r w:rsidRPr="009A5185">
        <w:rPr>
          <w:rFonts w:cs="Arial"/>
          <w:b/>
        </w:rPr>
        <w:t>How should a hospital report if they had BCMA implemented in some units but not all during the reporting period?</w:t>
      </w:r>
    </w:p>
    <w:p w14:paraId="0CB22476" w14:textId="2050ED44" w:rsidR="0065334D" w:rsidRDefault="0065334D" w:rsidP="0065334D">
      <w:pPr>
        <w:pStyle w:val="ListParagraph"/>
        <w:rPr>
          <w:rFonts w:cs="Arial"/>
        </w:rPr>
      </w:pPr>
      <w:r w:rsidRPr="0052278E">
        <w:rPr>
          <w:rFonts w:cs="Arial"/>
        </w:rPr>
        <w:t>To answer “yes” to question #2, your hospital must have a Bar Code Medication Administration (BCMA) system that is linked to the electronic medication administration record (</w:t>
      </w:r>
      <w:proofErr w:type="spellStart"/>
      <w:r w:rsidRPr="0052278E">
        <w:rPr>
          <w:rFonts w:cs="Arial"/>
        </w:rPr>
        <w:t>eMAR</w:t>
      </w:r>
      <w:proofErr w:type="spellEnd"/>
      <w:r w:rsidRPr="0052278E">
        <w:rPr>
          <w:rFonts w:cs="Arial"/>
        </w:rPr>
        <w:t>) when administering medications at the bedside in </w:t>
      </w:r>
      <w:r w:rsidRPr="0052278E">
        <w:rPr>
          <w:rFonts w:cs="Arial"/>
          <w:i/>
          <w:iCs/>
        </w:rPr>
        <w:t>at least one</w:t>
      </w:r>
      <w:r w:rsidR="006C7DF5">
        <w:rPr>
          <w:rFonts w:cs="Arial"/>
        </w:rPr>
        <w:t xml:space="preserve"> of the following </w:t>
      </w:r>
      <w:r w:rsidR="00262D0B">
        <w:rPr>
          <w:rFonts w:cs="Arial"/>
        </w:rPr>
        <w:t xml:space="preserve">adult and/or pediatric </w:t>
      </w:r>
      <w:r w:rsidR="006C7DF5">
        <w:rPr>
          <w:rFonts w:cs="Arial"/>
        </w:rPr>
        <w:t xml:space="preserve">units: </w:t>
      </w:r>
      <w:r w:rsidR="00470E69">
        <w:rPr>
          <w:rFonts w:cs="Arial"/>
        </w:rPr>
        <w:t>general medical</w:t>
      </w:r>
      <w:r w:rsidR="0052491B">
        <w:rPr>
          <w:rFonts w:cs="Arial"/>
        </w:rPr>
        <w:t xml:space="preserve">, surgical, </w:t>
      </w:r>
      <w:r w:rsidR="00EB6967">
        <w:rPr>
          <w:rFonts w:cs="Arial"/>
        </w:rPr>
        <w:t>medical/</w:t>
      </w:r>
      <w:r w:rsidR="00470E69">
        <w:rPr>
          <w:rFonts w:cs="Arial"/>
        </w:rPr>
        <w:t>surgical</w:t>
      </w:r>
      <w:r w:rsidR="003E6215">
        <w:rPr>
          <w:rFonts w:cs="Arial"/>
        </w:rPr>
        <w:t xml:space="preserve">, </w:t>
      </w:r>
      <w:r w:rsidR="00470E69">
        <w:rPr>
          <w:rFonts w:cs="Arial"/>
        </w:rPr>
        <w:t>neuro</w:t>
      </w:r>
      <w:r w:rsidR="000B7550">
        <w:rPr>
          <w:rFonts w:cs="Arial"/>
        </w:rPr>
        <w:t xml:space="preserve">, </w:t>
      </w:r>
      <w:r w:rsidR="00470E69">
        <w:rPr>
          <w:rFonts w:cs="Arial"/>
        </w:rPr>
        <w:t xml:space="preserve">neonatal, </w:t>
      </w:r>
      <w:r w:rsidR="00B6369A">
        <w:rPr>
          <w:rFonts w:cs="Arial"/>
        </w:rPr>
        <w:t xml:space="preserve">or </w:t>
      </w:r>
      <w:r w:rsidR="00470E69">
        <w:rPr>
          <w:rFonts w:cs="Arial"/>
        </w:rPr>
        <w:t>specialty ICU</w:t>
      </w:r>
      <w:r w:rsidR="00AF7834">
        <w:rPr>
          <w:rFonts w:cs="Arial"/>
        </w:rPr>
        <w:t>;</w:t>
      </w:r>
      <w:r w:rsidR="00C2405A">
        <w:rPr>
          <w:rFonts w:cs="Arial"/>
        </w:rPr>
        <w:t xml:space="preserve"> </w:t>
      </w:r>
      <w:r w:rsidR="006C7DF5">
        <w:rPr>
          <w:rFonts w:cs="Arial"/>
        </w:rPr>
        <w:t>medical</w:t>
      </w:r>
      <w:r w:rsidR="00AF7834">
        <w:rPr>
          <w:rFonts w:cs="Arial"/>
        </w:rPr>
        <w:t>,</w:t>
      </w:r>
      <w:r w:rsidR="003A675E">
        <w:rPr>
          <w:rFonts w:cs="Arial"/>
        </w:rPr>
        <w:t xml:space="preserve"> surgical,</w:t>
      </w:r>
      <w:r w:rsidR="006C7DF5">
        <w:rPr>
          <w:rFonts w:cs="Arial"/>
        </w:rPr>
        <w:t xml:space="preserve"> or </w:t>
      </w:r>
      <w:r w:rsidR="003A675E">
        <w:rPr>
          <w:rFonts w:cs="Arial"/>
        </w:rPr>
        <w:t>medical/</w:t>
      </w:r>
      <w:r w:rsidR="006C7DF5">
        <w:rPr>
          <w:rFonts w:cs="Arial"/>
        </w:rPr>
        <w:t>surgical unit (</w:t>
      </w:r>
      <w:r w:rsidR="006C7DF5" w:rsidRPr="00EA7065">
        <w:rPr>
          <w:rFonts w:cs="Arial"/>
        </w:rPr>
        <w:t>including telemetry units)</w:t>
      </w:r>
      <w:r w:rsidR="00947238">
        <w:rPr>
          <w:rFonts w:cs="Arial"/>
        </w:rPr>
        <w:t>;</w:t>
      </w:r>
      <w:r w:rsidR="00E07BED">
        <w:rPr>
          <w:rFonts w:cs="Arial"/>
        </w:rPr>
        <w:t xml:space="preserve"> step-down/progressive unit</w:t>
      </w:r>
      <w:r w:rsidR="00947238">
        <w:rPr>
          <w:rFonts w:cs="Arial"/>
        </w:rPr>
        <w:t>;</w:t>
      </w:r>
      <w:r w:rsidR="00E07BED">
        <w:rPr>
          <w:rFonts w:cs="Arial"/>
        </w:rPr>
        <w:t xml:space="preserve"> </w:t>
      </w:r>
      <w:r w:rsidR="006C7DF5">
        <w:rPr>
          <w:rFonts w:cs="Arial"/>
        </w:rPr>
        <w:t>labor and delivery unit</w:t>
      </w:r>
      <w:r w:rsidR="007642CD">
        <w:rPr>
          <w:rFonts w:cs="Arial"/>
        </w:rPr>
        <w:t>;</w:t>
      </w:r>
      <w:r w:rsidR="006C7DF5">
        <w:rPr>
          <w:rFonts w:cs="Arial"/>
        </w:rPr>
        <w:t xml:space="preserve"> </w:t>
      </w:r>
      <w:r w:rsidR="00DB4EC7">
        <w:rPr>
          <w:rFonts w:cs="Arial"/>
        </w:rPr>
        <w:t xml:space="preserve">or </w:t>
      </w:r>
      <w:r w:rsidR="006C7DF5">
        <w:rPr>
          <w:rFonts w:cs="Arial"/>
        </w:rPr>
        <w:t>pre-operative unit and</w:t>
      </w:r>
      <w:r w:rsidR="00BD4426">
        <w:rPr>
          <w:rFonts w:cs="Arial"/>
        </w:rPr>
        <w:t>/or</w:t>
      </w:r>
      <w:r w:rsidR="006C7DF5">
        <w:rPr>
          <w:rFonts w:cs="Arial"/>
        </w:rPr>
        <w:t xml:space="preserve"> post-anesthesia care unit</w:t>
      </w:r>
      <w:r w:rsidRPr="0052278E">
        <w:rPr>
          <w:rFonts w:cs="Arial"/>
        </w:rPr>
        <w:t>. You should only report on</w:t>
      </w:r>
      <w:r w:rsidR="00157FDB">
        <w:rPr>
          <w:rFonts w:cs="Arial"/>
        </w:rPr>
        <w:t xml:space="preserve"> </w:t>
      </w:r>
      <w:r w:rsidRPr="0052278E">
        <w:rPr>
          <w:rFonts w:cs="Arial"/>
        </w:rPr>
        <w:t>units that</w:t>
      </w:r>
      <w:r w:rsidR="00757BFE">
        <w:rPr>
          <w:rFonts w:cs="Arial"/>
        </w:rPr>
        <w:t xml:space="preserve"> are currently open and</w:t>
      </w:r>
      <w:r w:rsidRPr="0052278E">
        <w:rPr>
          <w:rFonts w:cs="Arial"/>
        </w:rPr>
        <w:t xml:space="preserve"> have been in operation for the entire 3-month reporting period selected in question #1. </w:t>
      </w:r>
      <w:r w:rsidR="00157FDB">
        <w:rPr>
          <w:rFonts w:cs="Arial"/>
        </w:rPr>
        <w:t>For example, i</w:t>
      </w:r>
      <w:r w:rsidRPr="0052278E">
        <w:rPr>
          <w:rFonts w:cs="Arial"/>
        </w:rPr>
        <w:t>f you have 3 surgical units and are only using BCMA in 1 of the 3 units, you will respond 3 in question #7 and 1 in question #8. You should only include medication administrations that were ordered and scannable in the open and staffed units in which a BCMA system was implemented (as indicated in questions #5, #8, #11</w:t>
      </w:r>
      <w:r w:rsidR="008059FF">
        <w:rPr>
          <w:rFonts w:cs="Arial"/>
        </w:rPr>
        <w:t>, and #14</w:t>
      </w:r>
      <w:r w:rsidR="00096542">
        <w:rPr>
          <w:rFonts w:cs="Arial"/>
        </w:rPr>
        <w:t>, and #17</w:t>
      </w:r>
      <w:r w:rsidRPr="0052278E">
        <w:rPr>
          <w:rFonts w:cs="Arial"/>
        </w:rPr>
        <w:t>) when reporting on compliance in questions #</w:t>
      </w:r>
      <w:r w:rsidR="008059FF">
        <w:rPr>
          <w:rFonts w:cs="Arial"/>
        </w:rPr>
        <w:t>1</w:t>
      </w:r>
      <w:r w:rsidR="00096542">
        <w:rPr>
          <w:rFonts w:cs="Arial"/>
        </w:rPr>
        <w:t>8</w:t>
      </w:r>
      <w:r w:rsidR="008059FF">
        <w:rPr>
          <w:rFonts w:cs="Arial"/>
        </w:rPr>
        <w:t>-1</w:t>
      </w:r>
      <w:r w:rsidR="00096542">
        <w:rPr>
          <w:rFonts w:cs="Arial"/>
        </w:rPr>
        <w:t>9</w:t>
      </w:r>
      <w:r w:rsidR="008059FF">
        <w:rPr>
          <w:rFonts w:cs="Arial"/>
        </w:rPr>
        <w:t>.</w:t>
      </w:r>
    </w:p>
    <w:p w14:paraId="7BF2CD78" w14:textId="77777777" w:rsidR="00D20722" w:rsidRDefault="00D20722" w:rsidP="0065334D">
      <w:pPr>
        <w:pStyle w:val="ListParagraph"/>
        <w:rPr>
          <w:rFonts w:cs="Arial"/>
        </w:rPr>
      </w:pPr>
    </w:p>
    <w:p w14:paraId="12D3520E" w14:textId="77777777" w:rsidR="000461DF" w:rsidRDefault="000461DF" w:rsidP="00AD309C">
      <w:pPr>
        <w:pStyle w:val="ListParagraph"/>
        <w:numPr>
          <w:ilvl w:val="0"/>
          <w:numId w:val="56"/>
        </w:numPr>
        <w:rPr>
          <w:rFonts w:cs="Arial"/>
          <w:b/>
        </w:rPr>
      </w:pPr>
      <w:r>
        <w:rPr>
          <w:rFonts w:cs="Arial"/>
          <w:b/>
        </w:rPr>
        <w:t>How should hospitals report if they have a combined pre-operative and post-anesthesia care unit (PACU)?</w:t>
      </w:r>
    </w:p>
    <w:p w14:paraId="4FFFA566" w14:textId="5A4E2649" w:rsidR="000461DF" w:rsidRDefault="000461DF" w:rsidP="000461DF">
      <w:pPr>
        <w:pStyle w:val="ListParagraph"/>
        <w:rPr>
          <w:rFonts w:cs="Arial"/>
          <w:bCs/>
        </w:rPr>
      </w:pPr>
      <w:r>
        <w:rPr>
          <w:rFonts w:cs="Arial"/>
          <w:bCs/>
        </w:rPr>
        <w:t xml:space="preserve">As noted in </w:t>
      </w:r>
      <w:hyperlink w:anchor="pacusendnote" w:history="1">
        <w:r w:rsidRPr="000461DF">
          <w:rPr>
            <w:rStyle w:val="Hyperlink"/>
            <w:rFonts w:cs="Arial"/>
            <w:bCs/>
          </w:rPr>
          <w:t>endnote #2</w:t>
        </w:r>
      </w:hyperlink>
      <w:r w:rsidR="00AE5989">
        <w:rPr>
          <w:rStyle w:val="Hyperlink"/>
          <w:rFonts w:cs="Arial"/>
          <w:bCs/>
        </w:rPr>
        <w:t>2</w:t>
      </w:r>
      <w:r>
        <w:rPr>
          <w:rFonts w:cs="Arial"/>
          <w:bCs/>
        </w:rPr>
        <w:t>, hospitals must include combined pre-operative and post-anesthesia care units when reporting on questions #1</w:t>
      </w:r>
      <w:r w:rsidR="009D5513">
        <w:rPr>
          <w:rFonts w:cs="Arial"/>
          <w:bCs/>
        </w:rPr>
        <w:t>5</w:t>
      </w:r>
      <w:r>
        <w:rPr>
          <w:rFonts w:cs="Arial"/>
          <w:bCs/>
        </w:rPr>
        <w:t>-1</w:t>
      </w:r>
      <w:r w:rsidR="009D5513">
        <w:rPr>
          <w:rFonts w:cs="Arial"/>
          <w:bCs/>
        </w:rPr>
        <w:t>7</w:t>
      </w:r>
      <w:r>
        <w:rPr>
          <w:rFonts w:cs="Arial"/>
          <w:bCs/>
        </w:rPr>
        <w:t>. Th</w:t>
      </w:r>
      <w:r w:rsidR="007E0CC7">
        <w:rPr>
          <w:rFonts w:cs="Arial"/>
          <w:bCs/>
        </w:rPr>
        <w:t>erefore, h</w:t>
      </w:r>
      <w:r>
        <w:rPr>
          <w:rFonts w:cs="Arial"/>
          <w:bCs/>
        </w:rPr>
        <w:t>ospitals should respond “yes” to question #1</w:t>
      </w:r>
      <w:r w:rsidR="009B5A16">
        <w:rPr>
          <w:rFonts w:cs="Arial"/>
          <w:bCs/>
        </w:rPr>
        <w:t>5</w:t>
      </w:r>
      <w:r>
        <w:rPr>
          <w:rFonts w:cs="Arial"/>
          <w:bCs/>
        </w:rPr>
        <w:t xml:space="preserve"> and then report on how many of these units are open and staffed in question #1</w:t>
      </w:r>
      <w:r w:rsidR="009B5A16">
        <w:rPr>
          <w:rFonts w:cs="Arial"/>
          <w:bCs/>
        </w:rPr>
        <w:t>6</w:t>
      </w:r>
      <w:r>
        <w:rPr>
          <w:rFonts w:cs="Arial"/>
          <w:bCs/>
        </w:rPr>
        <w:t xml:space="preserve"> and how many of the units utilize the BCMA/</w:t>
      </w:r>
      <w:proofErr w:type="spellStart"/>
      <w:r>
        <w:rPr>
          <w:rFonts w:cs="Arial"/>
          <w:bCs/>
        </w:rPr>
        <w:t>eMAR</w:t>
      </w:r>
      <w:proofErr w:type="spellEnd"/>
      <w:r>
        <w:rPr>
          <w:rFonts w:cs="Arial"/>
          <w:bCs/>
        </w:rPr>
        <w:t xml:space="preserve"> system in question #1</w:t>
      </w:r>
      <w:r w:rsidR="009B5A16">
        <w:rPr>
          <w:rFonts w:cs="Arial"/>
          <w:bCs/>
        </w:rPr>
        <w:t>7</w:t>
      </w:r>
      <w:r>
        <w:rPr>
          <w:rFonts w:cs="Arial"/>
          <w:bCs/>
        </w:rPr>
        <w:t>. Medication administrations that occurred in these combined pre-operative and post-anesthesia care units must be included when reporting on compliance in question #1</w:t>
      </w:r>
      <w:r w:rsidR="009B5A16">
        <w:rPr>
          <w:rFonts w:cs="Arial"/>
          <w:bCs/>
        </w:rPr>
        <w:t>8</w:t>
      </w:r>
      <w:r>
        <w:rPr>
          <w:rFonts w:cs="Arial"/>
          <w:bCs/>
        </w:rPr>
        <w:t>-1</w:t>
      </w:r>
      <w:r w:rsidR="009B5A16">
        <w:rPr>
          <w:rFonts w:cs="Arial"/>
          <w:bCs/>
        </w:rPr>
        <w:t>9</w:t>
      </w:r>
      <w:r>
        <w:rPr>
          <w:rFonts w:cs="Arial"/>
          <w:bCs/>
        </w:rPr>
        <w:t xml:space="preserve"> provided these units utilize a BCMA system that is linked to the </w:t>
      </w:r>
      <w:proofErr w:type="spellStart"/>
      <w:r>
        <w:rPr>
          <w:rFonts w:cs="Arial"/>
          <w:bCs/>
        </w:rPr>
        <w:t>eMAR</w:t>
      </w:r>
      <w:proofErr w:type="spellEnd"/>
      <w:r>
        <w:rPr>
          <w:rFonts w:cs="Arial"/>
          <w:bCs/>
        </w:rPr>
        <w:t>.</w:t>
      </w:r>
    </w:p>
    <w:p w14:paraId="550CC4EB" w14:textId="77777777" w:rsidR="000461DF" w:rsidRPr="00493567" w:rsidRDefault="000461DF" w:rsidP="000461DF">
      <w:pPr>
        <w:pStyle w:val="ListParagraph"/>
        <w:rPr>
          <w:rFonts w:cs="Arial"/>
          <w:bCs/>
        </w:rPr>
      </w:pPr>
    </w:p>
    <w:p w14:paraId="40E468BB" w14:textId="6F8C22ED" w:rsidR="00157FDB" w:rsidRDefault="00157FDB" w:rsidP="00AD309C">
      <w:pPr>
        <w:pStyle w:val="ListParagraph"/>
        <w:numPr>
          <w:ilvl w:val="0"/>
          <w:numId w:val="56"/>
        </w:numPr>
        <w:rPr>
          <w:rFonts w:cs="Arial"/>
          <w:b/>
        </w:rPr>
      </w:pPr>
      <w:r>
        <w:rPr>
          <w:rFonts w:cs="Arial"/>
          <w:b/>
        </w:rPr>
        <w:t>Should we include pre-operative and post-anesthesia care units that are located in our surgery centers or free-standing hospital outpatient departments that share our hospital’s license or CMS Certification Number (CCN) when reporting on questions #1</w:t>
      </w:r>
      <w:r w:rsidR="009B5A16">
        <w:rPr>
          <w:rFonts w:cs="Arial"/>
          <w:b/>
        </w:rPr>
        <w:t>5</w:t>
      </w:r>
      <w:r>
        <w:rPr>
          <w:rFonts w:cs="Arial"/>
          <w:b/>
        </w:rPr>
        <w:t>-1</w:t>
      </w:r>
      <w:r w:rsidR="009B5A16">
        <w:rPr>
          <w:rFonts w:cs="Arial"/>
          <w:b/>
        </w:rPr>
        <w:t>7</w:t>
      </w:r>
      <w:r>
        <w:rPr>
          <w:rFonts w:cs="Arial"/>
          <w:b/>
        </w:rPr>
        <w:t>?</w:t>
      </w:r>
    </w:p>
    <w:p w14:paraId="04BDF60A" w14:textId="7418D12A" w:rsidR="00157FDB" w:rsidRDefault="00157FDB" w:rsidP="00157FDB">
      <w:pPr>
        <w:pStyle w:val="ListParagraph"/>
        <w:rPr>
          <w:rFonts w:cs="Arial"/>
          <w:bCs/>
        </w:rPr>
      </w:pPr>
      <w:r w:rsidRPr="000B09EA">
        <w:rPr>
          <w:rFonts w:cs="Arial"/>
          <w:bCs/>
        </w:rPr>
        <w:t>No, for the purposes of reporting on Section 2C: BCMA, only include pre-operative and post-anesthesia care units (adult and</w:t>
      </w:r>
      <w:r w:rsidR="006C7DF5">
        <w:rPr>
          <w:rFonts w:cs="Arial"/>
          <w:bCs/>
        </w:rPr>
        <w:t>/</w:t>
      </w:r>
      <w:r w:rsidRPr="000B09EA">
        <w:rPr>
          <w:rFonts w:cs="Arial"/>
          <w:bCs/>
        </w:rPr>
        <w:t xml:space="preserve">or pediatric) that are located in or </w:t>
      </w:r>
      <w:hyperlink w:anchor="colocatedendnote" w:history="1">
        <w:r w:rsidRPr="00157FDB">
          <w:rPr>
            <w:rStyle w:val="Hyperlink"/>
            <w:rFonts w:cs="Arial"/>
            <w:bCs/>
          </w:rPr>
          <w:t>co-located</w:t>
        </w:r>
      </w:hyperlink>
      <w:r w:rsidR="00426581" w:rsidRPr="00426581">
        <w:rPr>
          <w:rFonts w:cs="Arial"/>
          <w:bCs/>
          <w:vertAlign w:val="superscript"/>
        </w:rPr>
        <w:t>31</w:t>
      </w:r>
      <w:r w:rsidRPr="000B09EA">
        <w:rPr>
          <w:rFonts w:cs="Arial"/>
          <w:bCs/>
        </w:rPr>
        <w:t xml:space="preserve"> with your hospital.</w:t>
      </w:r>
    </w:p>
    <w:p w14:paraId="1A7D129B" w14:textId="77777777" w:rsidR="00504834" w:rsidRDefault="00504834" w:rsidP="00157FDB">
      <w:pPr>
        <w:pStyle w:val="ListParagraph"/>
        <w:rPr>
          <w:rFonts w:cs="Arial"/>
          <w:bCs/>
        </w:rPr>
      </w:pPr>
    </w:p>
    <w:p w14:paraId="45A998F1" w14:textId="77777777" w:rsidR="00504834" w:rsidRPr="00504834" w:rsidRDefault="00504834" w:rsidP="00AD309C">
      <w:pPr>
        <w:pStyle w:val="ListParagraph"/>
        <w:numPr>
          <w:ilvl w:val="0"/>
          <w:numId w:val="56"/>
        </w:numPr>
        <w:rPr>
          <w:rFonts w:cs="Arial"/>
          <w:b/>
          <w:bCs/>
        </w:rPr>
      </w:pPr>
      <w:r w:rsidRPr="00504834">
        <w:rPr>
          <w:rFonts w:cs="Arial"/>
          <w:b/>
          <w:bCs/>
        </w:rPr>
        <w:t xml:space="preserve">Certain procedural units in our hospital (e.g., endoscopy, interventional radiology, </w:t>
      </w:r>
      <w:proofErr w:type="spellStart"/>
      <w:r w:rsidRPr="00504834">
        <w:rPr>
          <w:rFonts w:cs="Arial"/>
          <w:b/>
          <w:bCs/>
        </w:rPr>
        <w:t>cath</w:t>
      </w:r>
      <w:proofErr w:type="spellEnd"/>
      <w:r w:rsidRPr="00504834">
        <w:rPr>
          <w:rFonts w:cs="Arial"/>
          <w:b/>
          <w:bCs/>
        </w:rPr>
        <w:t xml:space="preserve"> lab, etc.) encompass the pre-op area, procedural area, and post-anesthesia care area – meaning the same area is used for all three aspects of care. As such, our data includes medications administered pre-operatively, post-operatively, and administered during the procedures. Should we include or exclude these procedural units? </w:t>
      </w:r>
    </w:p>
    <w:p w14:paraId="5C64B161" w14:textId="66B083AD" w:rsidR="00504834" w:rsidRPr="009A5185" w:rsidRDefault="00504834" w:rsidP="00504834">
      <w:pPr>
        <w:pStyle w:val="ListParagraph"/>
        <w:rPr>
          <w:rFonts w:cs="Arial"/>
        </w:rPr>
      </w:pPr>
      <w:r w:rsidRPr="00504834">
        <w:rPr>
          <w:rFonts w:cs="Arial"/>
        </w:rPr>
        <w:t>Please include these units when responding to questions #1</w:t>
      </w:r>
      <w:r w:rsidR="00311FC8">
        <w:rPr>
          <w:rFonts w:cs="Arial"/>
        </w:rPr>
        <w:t>5</w:t>
      </w:r>
      <w:r w:rsidRPr="00504834">
        <w:rPr>
          <w:rFonts w:cs="Arial"/>
        </w:rPr>
        <w:t>-1</w:t>
      </w:r>
      <w:r w:rsidR="00311FC8">
        <w:rPr>
          <w:rFonts w:cs="Arial"/>
        </w:rPr>
        <w:t>7</w:t>
      </w:r>
      <w:r w:rsidRPr="00504834">
        <w:rPr>
          <w:rFonts w:cs="Arial"/>
        </w:rPr>
        <w:t xml:space="preserve"> regarding pre-op/PACUs. </w:t>
      </w:r>
      <w:r w:rsidR="001910EF" w:rsidRPr="00F30DDB">
        <w:rPr>
          <w:rFonts w:cs="Arial"/>
        </w:rPr>
        <w:t xml:space="preserve">If you can separate out the medications that are being administered pre- and post- from those that are </w:t>
      </w:r>
      <w:r w:rsidR="001910EF" w:rsidRPr="00F30DDB">
        <w:rPr>
          <w:rFonts w:cs="Arial"/>
        </w:rPr>
        <w:lastRenderedPageBreak/>
        <w:t xml:space="preserve">administered during </w:t>
      </w:r>
      <w:r w:rsidR="001910EF">
        <w:rPr>
          <w:rFonts w:cs="Arial"/>
        </w:rPr>
        <w:t>a</w:t>
      </w:r>
      <w:r w:rsidR="001910EF" w:rsidRPr="00F30DDB">
        <w:rPr>
          <w:rFonts w:cs="Arial"/>
        </w:rPr>
        <w:t xml:space="preserve"> procedure, exclude medications administered during a procedure when reporting on compliance in questions #18-19.</w:t>
      </w:r>
      <w:r w:rsidR="001910EF">
        <w:rPr>
          <w:rFonts w:cs="Arial"/>
        </w:rPr>
        <w:t xml:space="preserve"> Otherwise, </w:t>
      </w:r>
      <w:r w:rsidRPr="00504834">
        <w:rPr>
          <w:rFonts w:cs="Arial"/>
        </w:rPr>
        <w:t>you can count these medication administrations when responding to questions #1</w:t>
      </w:r>
      <w:r w:rsidR="00162780">
        <w:rPr>
          <w:rFonts w:cs="Arial"/>
        </w:rPr>
        <w:t>8-19</w:t>
      </w:r>
      <w:r w:rsidRPr="00504834">
        <w:rPr>
          <w:rFonts w:cs="Arial"/>
        </w:rPr>
        <w:t>.</w:t>
      </w:r>
    </w:p>
    <w:p w14:paraId="292D706D" w14:textId="77777777" w:rsidR="0065334D" w:rsidRPr="009A5185" w:rsidRDefault="0065334D" w:rsidP="0065334D">
      <w:pPr>
        <w:pStyle w:val="ListParagraph"/>
        <w:rPr>
          <w:rFonts w:cs="Arial"/>
        </w:rPr>
      </w:pPr>
    </w:p>
    <w:p w14:paraId="4F3EC9DB" w14:textId="77777777" w:rsidR="0065334D" w:rsidRPr="009A5185" w:rsidRDefault="0065334D" w:rsidP="00690C11">
      <w:pPr>
        <w:pStyle w:val="Heading44"/>
      </w:pPr>
      <w:r w:rsidRPr="0052278E">
        <w:t>Compliance</w:t>
      </w:r>
    </w:p>
    <w:p w14:paraId="36D2C29B" w14:textId="77777777" w:rsidR="0065334D" w:rsidRDefault="0065334D" w:rsidP="0065334D">
      <w:pPr>
        <w:pStyle w:val="ListParagraph"/>
        <w:rPr>
          <w:rFonts w:cs="Arial"/>
          <w:b/>
        </w:rPr>
      </w:pPr>
    </w:p>
    <w:p w14:paraId="4E808B4D" w14:textId="77777777" w:rsidR="0065334D" w:rsidRPr="009A5185" w:rsidRDefault="0065334D" w:rsidP="00AD309C">
      <w:pPr>
        <w:pStyle w:val="ListParagraph"/>
        <w:numPr>
          <w:ilvl w:val="0"/>
          <w:numId w:val="56"/>
        </w:numPr>
        <w:rPr>
          <w:rFonts w:cs="Arial"/>
          <w:b/>
        </w:rPr>
      </w:pPr>
      <w:r w:rsidRPr="009A5185">
        <w:rPr>
          <w:rFonts w:cs="Arial"/>
          <w:b/>
        </w:rPr>
        <w:t>What is considered a “scannable” medication?</w:t>
      </w:r>
    </w:p>
    <w:p w14:paraId="346CDE64" w14:textId="1CB864E2" w:rsidR="0065334D" w:rsidRPr="001171F0" w:rsidRDefault="0065334D" w:rsidP="0065334D">
      <w:pPr>
        <w:pStyle w:val="ListParagraph"/>
        <w:rPr>
          <w:rFonts w:cs="Arial"/>
        </w:rPr>
      </w:pPr>
      <w:r w:rsidRPr="009925EE">
        <w:rPr>
          <w:rFonts w:cs="Arial"/>
        </w:rPr>
        <w:t>Any medication</w:t>
      </w:r>
      <w:r>
        <w:rPr>
          <w:rFonts w:cs="Arial"/>
        </w:rPr>
        <w:t xml:space="preserve"> (</w:t>
      </w:r>
      <w:hyperlink w:anchor="_Bar_Code_Medication_1" w:history="1">
        <w:r w:rsidRPr="007B5351">
          <w:rPr>
            <w:rStyle w:val="Hyperlink"/>
            <w:rFonts w:cs="Arial"/>
          </w:rPr>
          <w:t>se</w:t>
        </w:r>
        <w:r w:rsidR="007B5351" w:rsidRPr="007B5351">
          <w:rPr>
            <w:rStyle w:val="Hyperlink"/>
            <w:rFonts w:cs="Arial"/>
          </w:rPr>
          <w:t>e measure specifications</w:t>
        </w:r>
      </w:hyperlink>
      <w:r>
        <w:rPr>
          <w:rFonts w:cs="Arial"/>
        </w:rPr>
        <w:t>)</w:t>
      </w:r>
      <w:r w:rsidRPr="009925EE">
        <w:rPr>
          <w:rFonts w:cs="Arial"/>
        </w:rPr>
        <w:t xml:space="preserve"> that has a bar code and could be scanned if BCMA were in use would be considered “scannable.” In question #</w:t>
      </w:r>
      <w:r w:rsidR="008059FF">
        <w:rPr>
          <w:rFonts w:cs="Arial"/>
        </w:rPr>
        <w:t>1</w:t>
      </w:r>
      <w:r w:rsidR="006F084B">
        <w:rPr>
          <w:rFonts w:cs="Arial"/>
        </w:rPr>
        <w:t>8</w:t>
      </w:r>
      <w:r w:rsidR="00881AAA" w:rsidRPr="009925EE">
        <w:rPr>
          <w:rFonts w:cs="Arial"/>
        </w:rPr>
        <w:t xml:space="preserve">, </w:t>
      </w:r>
      <w:r w:rsidRPr="009925EE">
        <w:rPr>
          <w:rFonts w:cs="Arial"/>
        </w:rPr>
        <w:t xml:space="preserve">hospitals should only include ordered and “scannable” medications from the units </w:t>
      </w:r>
      <w:r w:rsidR="00881AAA">
        <w:rPr>
          <w:rFonts w:cs="Arial"/>
        </w:rPr>
        <w:t xml:space="preserve">where </w:t>
      </w:r>
      <w:r w:rsidRPr="009925EE">
        <w:rPr>
          <w:rFonts w:cs="Arial"/>
        </w:rPr>
        <w:t xml:space="preserve">they indicated </w:t>
      </w:r>
      <w:r w:rsidR="00881AAA">
        <w:rPr>
          <w:rFonts w:cs="Arial"/>
        </w:rPr>
        <w:t xml:space="preserve">a </w:t>
      </w:r>
      <w:r w:rsidRPr="009925EE">
        <w:rPr>
          <w:rFonts w:cs="Arial"/>
        </w:rPr>
        <w:t>BCMA system was implemented.</w:t>
      </w:r>
      <w:r w:rsidRPr="009A5185">
        <w:rPr>
          <w:rFonts w:cs="Arial"/>
        </w:rPr>
        <w:t xml:space="preserve"> </w:t>
      </w:r>
    </w:p>
    <w:p w14:paraId="48A608E9" w14:textId="77777777" w:rsidR="00BD2B67" w:rsidRDefault="00BD2B67" w:rsidP="0065334D">
      <w:pPr>
        <w:pStyle w:val="ListParagraph"/>
        <w:rPr>
          <w:rFonts w:cs="Arial"/>
          <w:b/>
        </w:rPr>
      </w:pPr>
    </w:p>
    <w:p w14:paraId="70AEE031" w14:textId="3078C191" w:rsidR="004247FA" w:rsidRPr="00CE4043" w:rsidRDefault="004247FA" w:rsidP="00AD309C">
      <w:pPr>
        <w:pStyle w:val="ListParagraph"/>
        <w:numPr>
          <w:ilvl w:val="0"/>
          <w:numId w:val="56"/>
        </w:numPr>
        <w:rPr>
          <w:rFonts w:ascii="Aptos" w:hAnsi="Aptos"/>
          <w:b/>
          <w:bCs/>
        </w:rPr>
      </w:pPr>
      <w:r w:rsidRPr="00CE4043">
        <w:rPr>
          <w:b/>
          <w:bCs/>
        </w:rPr>
        <w:t>Should we only include inpatient medication administrations when reporting on compliance in questions #1</w:t>
      </w:r>
      <w:r w:rsidR="006F084B">
        <w:rPr>
          <w:b/>
          <w:bCs/>
        </w:rPr>
        <w:t>8</w:t>
      </w:r>
      <w:r w:rsidRPr="00CE4043">
        <w:rPr>
          <w:b/>
          <w:bCs/>
        </w:rPr>
        <w:t>-1</w:t>
      </w:r>
      <w:r w:rsidR="006F084B">
        <w:rPr>
          <w:b/>
          <w:bCs/>
        </w:rPr>
        <w:t>9</w:t>
      </w:r>
      <w:r w:rsidRPr="00CE4043">
        <w:rPr>
          <w:b/>
          <w:bCs/>
        </w:rPr>
        <w:t>?</w:t>
      </w:r>
    </w:p>
    <w:p w14:paraId="7FDBAC63" w14:textId="23A6A381" w:rsidR="004247FA" w:rsidRDefault="004247FA" w:rsidP="004247FA">
      <w:pPr>
        <w:pStyle w:val="ListParagraph"/>
        <w:rPr>
          <w:rFonts w:cs="Arial"/>
          <w:bCs/>
        </w:rPr>
      </w:pPr>
      <w:r w:rsidRPr="00493567">
        <w:rPr>
          <w:rFonts w:cs="Arial"/>
          <w:bCs/>
        </w:rPr>
        <w:t>No, hospitals must include all scannable medication administrations (regardless of the patient’s admission status) from the units in questions #5, #8, #11,</w:t>
      </w:r>
      <w:r w:rsidR="002C1645">
        <w:rPr>
          <w:rFonts w:cs="Arial"/>
          <w:bCs/>
        </w:rPr>
        <w:t xml:space="preserve"> #14</w:t>
      </w:r>
      <w:r w:rsidRPr="00493567">
        <w:rPr>
          <w:rFonts w:cs="Arial"/>
          <w:bCs/>
        </w:rPr>
        <w:t xml:space="preserve"> and #1</w:t>
      </w:r>
      <w:r w:rsidR="002C1645">
        <w:rPr>
          <w:rFonts w:cs="Arial"/>
          <w:bCs/>
        </w:rPr>
        <w:t>7</w:t>
      </w:r>
      <w:r w:rsidRPr="00493567">
        <w:rPr>
          <w:rFonts w:cs="Arial"/>
          <w:bCs/>
        </w:rPr>
        <w:t xml:space="preserve"> that were utilizing a BCMA system linked to the </w:t>
      </w:r>
      <w:proofErr w:type="spellStart"/>
      <w:r w:rsidRPr="00493567">
        <w:rPr>
          <w:rFonts w:cs="Arial"/>
          <w:bCs/>
        </w:rPr>
        <w:t>eMAR</w:t>
      </w:r>
      <w:proofErr w:type="spellEnd"/>
      <w:r w:rsidRPr="00493567">
        <w:rPr>
          <w:rFonts w:cs="Arial"/>
          <w:bCs/>
        </w:rPr>
        <w:t xml:space="preserve"> during the reporting period. This would include scannable medications administered to inpatients, outpatients, observation status patients, etc.</w:t>
      </w:r>
    </w:p>
    <w:p w14:paraId="6FF93F25" w14:textId="77777777" w:rsidR="004247FA" w:rsidRPr="00493567" w:rsidRDefault="004247FA" w:rsidP="004247FA">
      <w:pPr>
        <w:pStyle w:val="ListParagraph"/>
        <w:rPr>
          <w:rFonts w:cs="Arial"/>
          <w:bCs/>
        </w:rPr>
      </w:pPr>
    </w:p>
    <w:p w14:paraId="41BBCAA3" w14:textId="77777777" w:rsidR="0065334D" w:rsidRPr="00270FFD" w:rsidRDefault="0065334D" w:rsidP="00AD309C">
      <w:pPr>
        <w:pStyle w:val="ListParagraph"/>
        <w:numPr>
          <w:ilvl w:val="0"/>
          <w:numId w:val="56"/>
        </w:numPr>
        <w:rPr>
          <w:rFonts w:cs="Arial"/>
          <w:b/>
        </w:rPr>
      </w:pPr>
      <w:r w:rsidRPr="00270FFD">
        <w:rPr>
          <w:rFonts w:cs="Arial"/>
          <w:b/>
        </w:rPr>
        <w:t>Should we exclude medications that were administered in units that are not currently implementing BCMA?</w:t>
      </w:r>
    </w:p>
    <w:p w14:paraId="440C3DD7" w14:textId="47DA0576" w:rsidR="00CF7D7C" w:rsidRPr="00270FFD" w:rsidRDefault="00CF7D7C" w:rsidP="00CF7D7C">
      <w:pPr>
        <w:pStyle w:val="ListParagraph"/>
        <w:rPr>
          <w:rFonts w:cs="Arial"/>
        </w:rPr>
      </w:pPr>
      <w:r w:rsidRPr="009925EE">
        <w:rPr>
          <w:rFonts w:cs="Arial"/>
        </w:rPr>
        <w:t>Yes. Question #</w:t>
      </w:r>
      <w:r w:rsidR="008059FF">
        <w:rPr>
          <w:rFonts w:cs="Arial"/>
        </w:rPr>
        <w:t>1</w:t>
      </w:r>
      <w:r w:rsidR="00A42BA2">
        <w:rPr>
          <w:rFonts w:cs="Arial"/>
        </w:rPr>
        <w:t>8</w:t>
      </w:r>
      <w:r w:rsidRPr="009925EE">
        <w:rPr>
          <w:rFonts w:cs="Arial"/>
        </w:rPr>
        <w:t xml:space="preserve"> </w:t>
      </w:r>
      <w:r w:rsidR="008059FF">
        <w:rPr>
          <w:rFonts w:cs="Arial"/>
        </w:rPr>
        <w:t>is</w:t>
      </w:r>
      <w:r>
        <w:rPr>
          <w:rFonts w:cs="Arial"/>
        </w:rPr>
        <w:t xml:space="preserve"> </w:t>
      </w:r>
      <w:r w:rsidRPr="009925EE">
        <w:rPr>
          <w:rFonts w:cs="Arial"/>
        </w:rPr>
        <w:t xml:space="preserve">asking about medication administrations ordered and scannable in those units that are open and staffed and that have implemented a BCMA system. You should include all scannable medications ordered and administered to patients in the open and staffed units (from questions </w:t>
      </w:r>
      <w:r w:rsidR="008059FF" w:rsidRPr="009925EE">
        <w:rPr>
          <w:rFonts w:cs="Arial"/>
        </w:rPr>
        <w:t>#5, #8, #11</w:t>
      </w:r>
      <w:r w:rsidR="008059FF">
        <w:rPr>
          <w:rFonts w:cs="Arial"/>
        </w:rPr>
        <w:t>, #14</w:t>
      </w:r>
      <w:r w:rsidR="00A42BA2">
        <w:rPr>
          <w:rFonts w:cs="Arial"/>
        </w:rPr>
        <w:t xml:space="preserve"> and #17</w:t>
      </w:r>
      <w:r w:rsidRPr="009925EE">
        <w:rPr>
          <w:rFonts w:cs="Arial"/>
        </w:rPr>
        <w:t>) in which a BCMA system was implemented. Question #</w:t>
      </w:r>
      <w:r w:rsidR="008059FF">
        <w:rPr>
          <w:rFonts w:cs="Arial"/>
        </w:rPr>
        <w:t>1</w:t>
      </w:r>
      <w:r w:rsidR="00330484">
        <w:rPr>
          <w:rFonts w:cs="Arial"/>
        </w:rPr>
        <w:t>8</w:t>
      </w:r>
      <w:r w:rsidR="008059FF">
        <w:rPr>
          <w:rFonts w:cs="Arial"/>
        </w:rPr>
        <w:t xml:space="preserve"> is</w:t>
      </w:r>
      <w:r w:rsidRPr="009925EE">
        <w:rPr>
          <w:rFonts w:cs="Arial"/>
        </w:rPr>
        <w:t xml:space="preserve"> used as the denominator to calculate the rate of compliance and should include administrations whether the medication and/or patient was scanned during the administration. Question #</w:t>
      </w:r>
      <w:r w:rsidR="008059FF">
        <w:rPr>
          <w:rFonts w:cs="Arial"/>
        </w:rPr>
        <w:t>1</w:t>
      </w:r>
      <w:r w:rsidR="00330484">
        <w:rPr>
          <w:rFonts w:cs="Arial"/>
        </w:rPr>
        <w:t>9</w:t>
      </w:r>
      <w:r w:rsidR="008059FF">
        <w:rPr>
          <w:rFonts w:cs="Arial"/>
        </w:rPr>
        <w:t xml:space="preserve"> is</w:t>
      </w:r>
      <w:r w:rsidRPr="009925EE">
        <w:rPr>
          <w:rFonts w:cs="Arial"/>
        </w:rPr>
        <w:t xml:space="preserve"> used as the numerator and</w:t>
      </w:r>
      <w:r>
        <w:rPr>
          <w:rFonts w:cs="Arial"/>
        </w:rPr>
        <w:t xml:space="preserve"> </w:t>
      </w:r>
      <w:r w:rsidR="00D20722">
        <w:rPr>
          <w:rFonts w:cs="Arial"/>
        </w:rPr>
        <w:t>is</w:t>
      </w:r>
      <w:r w:rsidRPr="009925EE">
        <w:rPr>
          <w:rFonts w:cs="Arial"/>
        </w:rPr>
        <w:t xml:space="preserve"> where you would report the number of medication administrations from these units where the patient and medication were scanned during the administration. We would not expect these two responses to be the same</w:t>
      </w:r>
      <w:r>
        <w:rPr>
          <w:rFonts w:cs="Arial"/>
        </w:rPr>
        <w:t>.</w:t>
      </w:r>
    </w:p>
    <w:p w14:paraId="2FD746F2" w14:textId="77777777" w:rsidR="007B5351" w:rsidRPr="004E300A" w:rsidRDefault="007B5351" w:rsidP="0065334D">
      <w:pPr>
        <w:rPr>
          <w:rFonts w:cs="Arial"/>
        </w:rPr>
      </w:pPr>
    </w:p>
    <w:p w14:paraId="2C111051" w14:textId="18C14141" w:rsidR="00946785" w:rsidRDefault="00946785" w:rsidP="00AD309C">
      <w:pPr>
        <w:pStyle w:val="ListParagraph"/>
        <w:numPr>
          <w:ilvl w:val="0"/>
          <w:numId w:val="56"/>
        </w:numPr>
        <w:rPr>
          <w:rFonts w:cs="Arial"/>
          <w:b/>
        </w:rPr>
      </w:pPr>
      <w:r>
        <w:rPr>
          <w:rFonts w:cs="Arial"/>
          <w:b/>
        </w:rPr>
        <w:t xml:space="preserve">Should we </w:t>
      </w:r>
      <w:r w:rsidR="006C7B6A">
        <w:rPr>
          <w:rFonts w:cs="Arial"/>
          <w:b/>
        </w:rPr>
        <w:t>exclude</w:t>
      </w:r>
      <w:r>
        <w:rPr>
          <w:rFonts w:cs="Arial"/>
          <w:b/>
        </w:rPr>
        <w:t xml:space="preserve"> medications that are given during emergencies when responding to questions #</w:t>
      </w:r>
      <w:r w:rsidR="008059FF">
        <w:rPr>
          <w:rFonts w:cs="Arial"/>
          <w:b/>
        </w:rPr>
        <w:t>1</w:t>
      </w:r>
      <w:r w:rsidR="00AB2EBA">
        <w:rPr>
          <w:rFonts w:cs="Arial"/>
          <w:b/>
        </w:rPr>
        <w:t>8</w:t>
      </w:r>
      <w:r w:rsidR="008059FF">
        <w:rPr>
          <w:rFonts w:cs="Arial"/>
          <w:b/>
        </w:rPr>
        <w:t>-1</w:t>
      </w:r>
      <w:r w:rsidR="00AB2EBA">
        <w:rPr>
          <w:rFonts w:cs="Arial"/>
          <w:b/>
        </w:rPr>
        <w:t>9</w:t>
      </w:r>
      <w:r>
        <w:rPr>
          <w:rFonts w:cs="Arial"/>
          <w:b/>
        </w:rPr>
        <w:t>?</w:t>
      </w:r>
    </w:p>
    <w:p w14:paraId="0387D669" w14:textId="66AFEC3E" w:rsidR="00946785" w:rsidRPr="000A6A29" w:rsidRDefault="00946785" w:rsidP="000A6A29">
      <w:pPr>
        <w:pStyle w:val="ListParagraph"/>
      </w:pPr>
      <w:r>
        <w:rPr>
          <w:rFonts w:cs="Arial"/>
        </w:rPr>
        <w:t xml:space="preserve">No. </w:t>
      </w:r>
      <w:r w:rsidRPr="007C221A">
        <w:rPr>
          <w:rFonts w:cs="Arial"/>
        </w:rPr>
        <w:t xml:space="preserve">If the medications are considered "scannable" e.g., any medication that has a bar code and could be scanned if BCMA were in use, they should be included in </w:t>
      </w:r>
      <w:r>
        <w:rPr>
          <w:rFonts w:cs="Arial"/>
        </w:rPr>
        <w:t>q</w:t>
      </w:r>
      <w:r w:rsidRPr="007C221A">
        <w:rPr>
          <w:rFonts w:cs="Arial"/>
        </w:rPr>
        <w:t>uestion #</w:t>
      </w:r>
      <w:r w:rsidR="000A6A29">
        <w:rPr>
          <w:rFonts w:cs="Arial"/>
        </w:rPr>
        <w:t>1</w:t>
      </w:r>
      <w:r w:rsidR="009B72B9">
        <w:rPr>
          <w:rFonts w:cs="Arial"/>
        </w:rPr>
        <w:t>8</w:t>
      </w:r>
      <w:r w:rsidRPr="009925EE">
        <w:rPr>
          <w:rFonts w:cs="Arial"/>
        </w:rPr>
        <w:t xml:space="preserve"> </w:t>
      </w:r>
      <w:r w:rsidRPr="007C221A">
        <w:rPr>
          <w:rFonts w:cs="Arial"/>
        </w:rPr>
        <w:t xml:space="preserve">(the denominator) but would not be counted in </w:t>
      </w:r>
      <w:r>
        <w:rPr>
          <w:rFonts w:cs="Arial"/>
        </w:rPr>
        <w:t>q</w:t>
      </w:r>
      <w:r w:rsidRPr="007C221A">
        <w:rPr>
          <w:rFonts w:cs="Arial"/>
        </w:rPr>
        <w:t>uestion #</w:t>
      </w:r>
      <w:r w:rsidR="000A6A29">
        <w:rPr>
          <w:rFonts w:cs="Arial"/>
        </w:rPr>
        <w:t>1</w:t>
      </w:r>
      <w:r w:rsidR="009B72B9">
        <w:rPr>
          <w:rFonts w:cs="Arial"/>
        </w:rPr>
        <w:t>9</w:t>
      </w:r>
      <w:r w:rsidRPr="007C221A">
        <w:rPr>
          <w:rFonts w:cs="Arial"/>
        </w:rPr>
        <w:t xml:space="preserve"> (the numerator) if </w:t>
      </w:r>
      <w:r>
        <w:rPr>
          <w:rFonts w:cs="Arial"/>
        </w:rPr>
        <w:t xml:space="preserve">the </w:t>
      </w:r>
      <w:r w:rsidRPr="007C221A">
        <w:rPr>
          <w:rFonts w:cs="Arial"/>
        </w:rPr>
        <w:t>patient and medication were not scanned during administ</w:t>
      </w:r>
      <w:r>
        <w:rPr>
          <w:rFonts w:cs="Arial"/>
        </w:rPr>
        <w:t>r</w:t>
      </w:r>
      <w:r w:rsidRPr="007C221A">
        <w:rPr>
          <w:rFonts w:cs="Arial"/>
        </w:rPr>
        <w:t xml:space="preserve">ation, even if due to an emergency. </w:t>
      </w:r>
      <w:r w:rsidRPr="000A6A29">
        <w:t xml:space="preserve">Leapfrog's target rate for compliance is 95% to allow for emergency cases such as these. </w:t>
      </w:r>
    </w:p>
    <w:p w14:paraId="0D393557" w14:textId="77777777" w:rsidR="00946785" w:rsidRPr="00270FFD" w:rsidRDefault="00946785" w:rsidP="00946785">
      <w:pPr>
        <w:pStyle w:val="ListParagraph"/>
        <w:rPr>
          <w:rFonts w:cs="Arial"/>
        </w:rPr>
      </w:pPr>
    </w:p>
    <w:p w14:paraId="66C0111C" w14:textId="566061D4" w:rsidR="00946785" w:rsidRPr="004732CA" w:rsidRDefault="00946785" w:rsidP="00AD309C">
      <w:pPr>
        <w:pStyle w:val="ListParagraph"/>
        <w:numPr>
          <w:ilvl w:val="0"/>
          <w:numId w:val="56"/>
        </w:numPr>
        <w:rPr>
          <w:rFonts w:cs="Arial"/>
          <w:b/>
        </w:rPr>
      </w:pPr>
      <w:r w:rsidRPr="004732CA">
        <w:rPr>
          <w:rFonts w:cs="Arial"/>
          <w:b/>
        </w:rPr>
        <w:t>Should we exclude medications that are given during a system downtime when responding to questions #</w:t>
      </w:r>
      <w:r w:rsidR="008059FF">
        <w:rPr>
          <w:rFonts w:cs="Arial"/>
          <w:b/>
        </w:rPr>
        <w:t>1</w:t>
      </w:r>
      <w:r w:rsidR="009B72B9">
        <w:rPr>
          <w:rFonts w:cs="Arial"/>
          <w:b/>
        </w:rPr>
        <w:t>8</w:t>
      </w:r>
      <w:r w:rsidR="008059FF">
        <w:rPr>
          <w:rFonts w:cs="Arial"/>
          <w:b/>
        </w:rPr>
        <w:t>-1</w:t>
      </w:r>
      <w:r w:rsidR="009B72B9">
        <w:rPr>
          <w:rFonts w:cs="Arial"/>
          <w:b/>
        </w:rPr>
        <w:t>9</w:t>
      </w:r>
      <w:r w:rsidRPr="004732CA">
        <w:rPr>
          <w:rFonts w:cs="Arial"/>
          <w:b/>
        </w:rPr>
        <w:t>?</w:t>
      </w:r>
      <w:r w:rsidR="00D20722">
        <w:rPr>
          <w:rFonts w:cs="Arial"/>
          <w:b/>
        </w:rPr>
        <w:t xml:space="preserve"> </w:t>
      </w:r>
    </w:p>
    <w:p w14:paraId="715D5C73" w14:textId="72E9692D" w:rsidR="00946785" w:rsidRPr="004732CA" w:rsidRDefault="00946785" w:rsidP="00946785">
      <w:pPr>
        <w:pStyle w:val="ListParagraph"/>
        <w:rPr>
          <w:rFonts w:cs="Arial"/>
          <w:bCs/>
        </w:rPr>
      </w:pPr>
      <w:r w:rsidRPr="004732CA">
        <w:rPr>
          <w:rFonts w:cs="Arial"/>
          <w:bCs/>
        </w:rPr>
        <w:t xml:space="preserve">No. Medications administered during a system downtime should be included in </w:t>
      </w:r>
      <w:r>
        <w:rPr>
          <w:rFonts w:cs="Arial"/>
        </w:rPr>
        <w:t>q</w:t>
      </w:r>
      <w:r w:rsidRPr="007C221A">
        <w:rPr>
          <w:rFonts w:cs="Arial"/>
        </w:rPr>
        <w:t>uestion #</w:t>
      </w:r>
      <w:r w:rsidR="008059FF">
        <w:rPr>
          <w:rFonts w:cs="Arial"/>
        </w:rPr>
        <w:t>1</w:t>
      </w:r>
      <w:r w:rsidR="00684135">
        <w:rPr>
          <w:rFonts w:cs="Arial"/>
        </w:rPr>
        <w:t>8</w:t>
      </w:r>
      <w:r w:rsidR="00D20722">
        <w:rPr>
          <w:rFonts w:cs="Arial"/>
        </w:rPr>
        <w:t xml:space="preserve"> </w:t>
      </w:r>
      <w:r w:rsidRPr="007C221A">
        <w:rPr>
          <w:rFonts w:cs="Arial"/>
        </w:rPr>
        <w:t xml:space="preserve">(the denominator) but would not be counted in </w:t>
      </w:r>
      <w:r>
        <w:rPr>
          <w:rFonts w:cs="Arial"/>
        </w:rPr>
        <w:t>q</w:t>
      </w:r>
      <w:r w:rsidRPr="007C221A">
        <w:rPr>
          <w:rFonts w:cs="Arial"/>
        </w:rPr>
        <w:t>uestion</w:t>
      </w:r>
      <w:r>
        <w:rPr>
          <w:rFonts w:cs="Arial"/>
        </w:rPr>
        <w:t>s</w:t>
      </w:r>
      <w:r w:rsidRPr="007C221A">
        <w:rPr>
          <w:rFonts w:cs="Arial"/>
        </w:rPr>
        <w:t xml:space="preserve"> #</w:t>
      </w:r>
      <w:r w:rsidR="008059FF">
        <w:rPr>
          <w:rFonts w:cs="Arial"/>
        </w:rPr>
        <w:t>1</w:t>
      </w:r>
      <w:r w:rsidR="00684135">
        <w:rPr>
          <w:rFonts w:cs="Arial"/>
        </w:rPr>
        <w:t>9</w:t>
      </w:r>
      <w:r w:rsidRPr="007C221A">
        <w:rPr>
          <w:rFonts w:cs="Arial"/>
        </w:rPr>
        <w:t xml:space="preserve"> </w:t>
      </w:r>
      <w:r w:rsidRPr="004732CA">
        <w:rPr>
          <w:rFonts w:cs="Arial"/>
          <w:bCs/>
        </w:rPr>
        <w:t xml:space="preserve">(the numerator) if the patient and medication were not scanned during administration because </w:t>
      </w:r>
      <w:r w:rsidR="00157FDB">
        <w:rPr>
          <w:rFonts w:cs="Arial"/>
          <w:bCs/>
        </w:rPr>
        <w:t>the hospital’s</w:t>
      </w:r>
      <w:r w:rsidRPr="004732CA">
        <w:rPr>
          <w:rFonts w:cs="Arial"/>
          <w:bCs/>
        </w:rPr>
        <w:t xml:space="preserve"> BCMA system was down. </w:t>
      </w:r>
    </w:p>
    <w:p w14:paraId="25B09C98" w14:textId="77777777" w:rsidR="00946785" w:rsidRDefault="00946785" w:rsidP="00946785">
      <w:pPr>
        <w:pStyle w:val="ListParagraph"/>
        <w:rPr>
          <w:rFonts w:cs="Arial"/>
          <w:b/>
        </w:rPr>
      </w:pPr>
    </w:p>
    <w:p w14:paraId="03742D98" w14:textId="77777777" w:rsidR="00946785" w:rsidRPr="00270FFD" w:rsidRDefault="00946785" w:rsidP="00AD309C">
      <w:pPr>
        <w:pStyle w:val="ListParagraph"/>
        <w:numPr>
          <w:ilvl w:val="0"/>
          <w:numId w:val="56"/>
        </w:numPr>
        <w:rPr>
          <w:rFonts w:cs="Arial"/>
          <w:b/>
        </w:rPr>
      </w:pPr>
      <w:r w:rsidRPr="00270FFD">
        <w:rPr>
          <w:rFonts w:cs="Arial"/>
          <w:b/>
        </w:rPr>
        <w:t>Our vendor report provides medication and patient scanning rates separately. How can we report on our compliance if our reports do not provide the number of administrations that had both the medication and patient scanned?</w:t>
      </w:r>
    </w:p>
    <w:p w14:paraId="1B05C071" w14:textId="3BA6E7F7" w:rsidR="00946785" w:rsidRPr="00270FFD" w:rsidRDefault="00946785" w:rsidP="00946785">
      <w:pPr>
        <w:pStyle w:val="ListParagraph"/>
        <w:rPr>
          <w:rFonts w:cs="Arial"/>
        </w:rPr>
      </w:pPr>
      <w:r>
        <w:rPr>
          <w:rFonts w:cs="Arial"/>
        </w:rPr>
        <w:t xml:space="preserve">If </w:t>
      </w:r>
      <w:r w:rsidRPr="00270FFD">
        <w:rPr>
          <w:rFonts w:cs="Arial"/>
        </w:rPr>
        <w:t xml:space="preserve">your vendor’s report only provides the percentage of patients scanned and the percentage of medications scanned separately but does not provide the rate of administrations where both the patient and medication were scanned, please report the lower of the two rates (supply the denominator in </w:t>
      </w:r>
      <w:r>
        <w:rPr>
          <w:rFonts w:cs="Arial"/>
        </w:rPr>
        <w:t>q</w:t>
      </w:r>
      <w:r w:rsidRPr="007C221A">
        <w:rPr>
          <w:rFonts w:cs="Arial"/>
        </w:rPr>
        <w:t>uestion #</w:t>
      </w:r>
      <w:r w:rsidR="008059FF">
        <w:rPr>
          <w:rFonts w:cs="Arial"/>
        </w:rPr>
        <w:t>1</w:t>
      </w:r>
      <w:r w:rsidR="001023DC">
        <w:rPr>
          <w:rFonts w:cs="Arial"/>
        </w:rPr>
        <w:t>8</w:t>
      </w:r>
      <w:r w:rsidRPr="00270FFD">
        <w:rPr>
          <w:rFonts w:cs="Arial"/>
        </w:rPr>
        <w:t xml:space="preserve"> and numerator in </w:t>
      </w:r>
      <w:r>
        <w:rPr>
          <w:rFonts w:cs="Arial"/>
        </w:rPr>
        <w:t>q</w:t>
      </w:r>
      <w:r w:rsidRPr="007C221A">
        <w:rPr>
          <w:rFonts w:cs="Arial"/>
        </w:rPr>
        <w:t>uestion #</w:t>
      </w:r>
      <w:r w:rsidR="008059FF">
        <w:rPr>
          <w:rFonts w:cs="Arial"/>
        </w:rPr>
        <w:t>1</w:t>
      </w:r>
      <w:r w:rsidR="001023DC">
        <w:rPr>
          <w:rFonts w:cs="Arial"/>
        </w:rPr>
        <w:t>9</w:t>
      </w:r>
      <w:r w:rsidRPr="00270FFD">
        <w:rPr>
          <w:rFonts w:cs="Arial"/>
        </w:rPr>
        <w:t xml:space="preserve">), as that would be the maximum possible rate of having both scanned. </w:t>
      </w:r>
    </w:p>
    <w:p w14:paraId="46B46693" w14:textId="77777777" w:rsidR="00946785" w:rsidRPr="00270FFD" w:rsidRDefault="00946785" w:rsidP="00946785">
      <w:pPr>
        <w:pStyle w:val="ListParagraph"/>
        <w:rPr>
          <w:rFonts w:cs="Arial"/>
        </w:rPr>
      </w:pPr>
    </w:p>
    <w:p w14:paraId="11CFDFBC" w14:textId="77777777" w:rsidR="00946785" w:rsidRDefault="00946785" w:rsidP="00946785">
      <w:pPr>
        <w:pStyle w:val="ListParagraph"/>
        <w:rPr>
          <w:rFonts w:cs="Arial"/>
        </w:rPr>
      </w:pPr>
      <w:r w:rsidRPr="00270FFD">
        <w:rPr>
          <w:rFonts w:cs="Arial"/>
        </w:rPr>
        <w:t>Moving forward, we do ask that your hospital work with your vendor to report out the rate of administrations where both the patient and medication are scanned. It is only when both are scanned that safe medication administration can be ensured.</w:t>
      </w:r>
    </w:p>
    <w:p w14:paraId="6EC6E9F7" w14:textId="77777777" w:rsidR="00946785" w:rsidRPr="008E310C" w:rsidRDefault="00946785" w:rsidP="00946785">
      <w:pPr>
        <w:pStyle w:val="ListParagraph"/>
        <w:rPr>
          <w:rFonts w:cs="Arial"/>
        </w:rPr>
      </w:pPr>
    </w:p>
    <w:p w14:paraId="600A8B2F" w14:textId="77777777" w:rsidR="00946785" w:rsidRPr="009A5185" w:rsidRDefault="00946785" w:rsidP="00AD309C">
      <w:pPr>
        <w:pStyle w:val="ListParagraph"/>
        <w:numPr>
          <w:ilvl w:val="0"/>
          <w:numId w:val="56"/>
        </w:numPr>
        <w:rPr>
          <w:rFonts w:cs="Arial"/>
          <w:b/>
        </w:rPr>
      </w:pPr>
      <w:r w:rsidRPr="009A5185">
        <w:rPr>
          <w:rFonts w:cs="Arial"/>
          <w:b/>
        </w:rPr>
        <w:t>Is manual scanning (e.g., in lieu of scanning the patient’s wristband, typing in the patient’s number) something we can count in our BCMA scans</w:t>
      </w:r>
      <w:r w:rsidRPr="009A5185">
        <w:rPr>
          <w:rFonts w:cs="Arial"/>
          <w:b/>
          <w:i/>
        </w:rPr>
        <w:t>?</w:t>
      </w:r>
    </w:p>
    <w:p w14:paraId="0F8A7DFE" w14:textId="77777777" w:rsidR="00946785" w:rsidRPr="009A5185" w:rsidRDefault="00946785" w:rsidP="00946785">
      <w:pPr>
        <w:pStyle w:val="ListParagraph"/>
        <w:rPr>
          <w:rFonts w:cs="Arial"/>
        </w:rPr>
      </w:pPr>
      <w:r w:rsidRPr="009A5185">
        <w:rPr>
          <w:rFonts w:cs="Arial"/>
        </w:rPr>
        <w:t>No. The problem is that the user may type in the wrong patient number, negating the safety benefits. The best practice is to scan the wristband that is on the wrist of the patient.</w:t>
      </w:r>
    </w:p>
    <w:p w14:paraId="4F102CAC" w14:textId="77777777" w:rsidR="00946785" w:rsidRPr="009A5185" w:rsidRDefault="00946785" w:rsidP="00946785">
      <w:pPr>
        <w:pStyle w:val="ListParagraph"/>
        <w:rPr>
          <w:rFonts w:cs="Arial"/>
        </w:rPr>
      </w:pPr>
    </w:p>
    <w:p w14:paraId="3A8EB38D" w14:textId="0D1DB58B" w:rsidR="00946785" w:rsidRPr="003964C1" w:rsidRDefault="00946785" w:rsidP="00AD309C">
      <w:pPr>
        <w:pStyle w:val="ListParagraph"/>
        <w:numPr>
          <w:ilvl w:val="0"/>
          <w:numId w:val="56"/>
        </w:numPr>
        <w:rPr>
          <w:rFonts w:cs="Arial"/>
          <w:b/>
        </w:rPr>
      </w:pPr>
      <w:r w:rsidRPr="003964C1">
        <w:rPr>
          <w:rFonts w:cs="Arial"/>
          <w:b/>
        </w:rPr>
        <w:t xml:space="preserve">Our process is to scan the patient once and then scan each medication. </w:t>
      </w:r>
      <w:r>
        <w:rPr>
          <w:rFonts w:cs="Arial"/>
          <w:b/>
        </w:rPr>
        <w:t>Q</w:t>
      </w:r>
      <w:r w:rsidRPr="003964C1">
        <w:rPr>
          <w:rFonts w:cs="Arial"/>
          <w:b/>
        </w:rPr>
        <w:t>uestion #</w:t>
      </w:r>
      <w:r w:rsidR="008059FF">
        <w:rPr>
          <w:rFonts w:cs="Arial"/>
          <w:b/>
        </w:rPr>
        <w:t>1</w:t>
      </w:r>
      <w:r w:rsidR="00E46D78">
        <w:rPr>
          <w:rFonts w:cs="Arial"/>
          <w:b/>
        </w:rPr>
        <w:t>9</w:t>
      </w:r>
      <w:r w:rsidRPr="00B51AB6">
        <w:rPr>
          <w:rFonts w:cs="Arial"/>
          <w:b/>
        </w:rPr>
        <w:t xml:space="preserve"> </w:t>
      </w:r>
      <w:r w:rsidRPr="003964C1">
        <w:rPr>
          <w:rFonts w:cs="Arial"/>
          <w:b/>
        </w:rPr>
        <w:t>seem</w:t>
      </w:r>
      <w:r w:rsidR="00D20722">
        <w:rPr>
          <w:rFonts w:cs="Arial"/>
          <w:b/>
        </w:rPr>
        <w:t>s</w:t>
      </w:r>
      <w:r w:rsidRPr="003964C1">
        <w:rPr>
          <w:rFonts w:cs="Arial"/>
          <w:b/>
        </w:rPr>
        <w:t xml:space="preserve"> to want each medication and patient scanned with each medication. Can you clarify?</w:t>
      </w:r>
    </w:p>
    <w:p w14:paraId="0F8B05BD" w14:textId="77777777" w:rsidR="00946785" w:rsidRDefault="00946785" w:rsidP="00946785">
      <w:pPr>
        <w:pStyle w:val="ListParagraph"/>
        <w:rPr>
          <w:rFonts w:cs="Arial"/>
        </w:rPr>
      </w:pPr>
      <w:r>
        <w:rPr>
          <w:rFonts w:cs="Arial"/>
        </w:rPr>
        <w:t>H</w:t>
      </w:r>
      <w:r w:rsidRPr="003964C1">
        <w:rPr>
          <w:rFonts w:cs="Arial"/>
        </w:rPr>
        <w:t>ospitals should report on the number of administrations where both the patient and the medication were scanned during the administration. During administrations where multiple medications are administered sequentially, the patient should be scanned first, but does not need to be rescanned before each medication is administered.</w:t>
      </w:r>
    </w:p>
    <w:p w14:paraId="6367CB25" w14:textId="77777777" w:rsidR="00946785" w:rsidRPr="003A37FB" w:rsidRDefault="00946785" w:rsidP="00946785">
      <w:pPr>
        <w:pStyle w:val="ListParagraph"/>
        <w:rPr>
          <w:rFonts w:cs="Arial"/>
        </w:rPr>
      </w:pPr>
    </w:p>
    <w:p w14:paraId="1FE94015" w14:textId="345BC147" w:rsidR="00946785" w:rsidRPr="009A5185" w:rsidRDefault="00946785" w:rsidP="00AD309C">
      <w:pPr>
        <w:pStyle w:val="ListParagraph"/>
        <w:numPr>
          <w:ilvl w:val="0"/>
          <w:numId w:val="56"/>
        </w:numPr>
        <w:rPr>
          <w:rFonts w:cs="Arial"/>
          <w:b/>
        </w:rPr>
      </w:pPr>
      <w:r w:rsidRPr="009A5185">
        <w:rPr>
          <w:rFonts w:cs="Arial"/>
          <w:b/>
        </w:rPr>
        <w:t>In our hospital some medications are ordered and scheduled, but not administered. Should medications that are ordered and scheduled, but not administered be included when responding to q</w:t>
      </w:r>
      <w:r>
        <w:rPr>
          <w:rFonts w:cs="Arial"/>
          <w:b/>
        </w:rPr>
        <w:t>uestions #</w:t>
      </w:r>
      <w:r w:rsidR="008059FF">
        <w:rPr>
          <w:rFonts w:cs="Arial"/>
          <w:b/>
        </w:rPr>
        <w:t>1</w:t>
      </w:r>
      <w:r w:rsidR="00360BC6">
        <w:rPr>
          <w:rFonts w:cs="Arial"/>
          <w:b/>
        </w:rPr>
        <w:t>8</w:t>
      </w:r>
      <w:r w:rsidR="008059FF">
        <w:rPr>
          <w:rFonts w:cs="Arial"/>
          <w:b/>
        </w:rPr>
        <w:t>-1</w:t>
      </w:r>
      <w:r w:rsidR="00360BC6">
        <w:rPr>
          <w:rFonts w:cs="Arial"/>
          <w:b/>
        </w:rPr>
        <w:t>9</w:t>
      </w:r>
      <w:r w:rsidRPr="009A5185">
        <w:rPr>
          <w:rFonts w:cs="Arial"/>
          <w:b/>
        </w:rPr>
        <w:t>?</w:t>
      </w:r>
    </w:p>
    <w:p w14:paraId="524C1FD9" w14:textId="49021C2B" w:rsidR="00946785" w:rsidRPr="009A5185" w:rsidRDefault="00946785" w:rsidP="00946785">
      <w:pPr>
        <w:pStyle w:val="ListParagraph"/>
        <w:rPr>
          <w:rFonts w:cs="Arial"/>
        </w:rPr>
      </w:pPr>
      <w:r w:rsidRPr="009A5185">
        <w:rPr>
          <w:rFonts w:cs="Arial"/>
        </w:rPr>
        <w:t xml:space="preserve">No, medications that are not administered should not be included in </w:t>
      </w:r>
      <w:r w:rsidRPr="00B51AB6">
        <w:rPr>
          <w:rFonts w:cs="Arial"/>
        </w:rPr>
        <w:t>questions #</w:t>
      </w:r>
      <w:r w:rsidR="008059FF">
        <w:rPr>
          <w:rFonts w:cs="Arial"/>
        </w:rPr>
        <w:t>1</w:t>
      </w:r>
      <w:r w:rsidR="00B7038E">
        <w:rPr>
          <w:rFonts w:cs="Arial"/>
        </w:rPr>
        <w:t>8</w:t>
      </w:r>
      <w:r w:rsidR="008059FF">
        <w:rPr>
          <w:rFonts w:cs="Arial"/>
        </w:rPr>
        <w:t>-1</w:t>
      </w:r>
      <w:r w:rsidR="00B7038E">
        <w:rPr>
          <w:rFonts w:cs="Arial"/>
        </w:rPr>
        <w:t>9</w:t>
      </w:r>
      <w:r w:rsidR="008059FF">
        <w:rPr>
          <w:rFonts w:cs="Arial"/>
        </w:rPr>
        <w:t>.</w:t>
      </w:r>
    </w:p>
    <w:p w14:paraId="7D8638BB" w14:textId="77777777" w:rsidR="0065334D" w:rsidRPr="00504834" w:rsidRDefault="0065334D" w:rsidP="0065334D">
      <w:pPr>
        <w:rPr>
          <w:rFonts w:cs="Arial"/>
          <w:sz w:val="16"/>
          <w:szCs w:val="16"/>
        </w:rPr>
      </w:pPr>
    </w:p>
    <w:p w14:paraId="213B6388" w14:textId="77777777" w:rsidR="0065334D" w:rsidRPr="009A5185" w:rsidRDefault="0065334D" w:rsidP="00690C11">
      <w:pPr>
        <w:pStyle w:val="Heading44"/>
      </w:pPr>
      <w:r w:rsidRPr="009A5185">
        <w:t>Decision Support</w:t>
      </w:r>
    </w:p>
    <w:p w14:paraId="7E662D26" w14:textId="77777777" w:rsidR="0065334D" w:rsidRPr="00504834" w:rsidRDefault="0065334D" w:rsidP="0065334D">
      <w:pPr>
        <w:pStyle w:val="ListParagraph"/>
        <w:rPr>
          <w:rFonts w:cs="Arial"/>
          <w:b/>
          <w:sz w:val="14"/>
          <w:szCs w:val="14"/>
        </w:rPr>
      </w:pPr>
    </w:p>
    <w:p w14:paraId="30DEF55B" w14:textId="13F59746" w:rsidR="0065334D" w:rsidRPr="009A5185" w:rsidRDefault="0065334D" w:rsidP="00AD309C">
      <w:pPr>
        <w:pStyle w:val="ListParagraph"/>
        <w:numPr>
          <w:ilvl w:val="0"/>
          <w:numId w:val="56"/>
        </w:numPr>
        <w:rPr>
          <w:rFonts w:cs="Arial"/>
          <w:b/>
        </w:rPr>
      </w:pPr>
      <w:r w:rsidRPr="009A5185">
        <w:rPr>
          <w:rFonts w:cs="Arial"/>
          <w:b/>
        </w:rPr>
        <w:t xml:space="preserve">If an alert is part of the </w:t>
      </w:r>
      <w:proofErr w:type="spellStart"/>
      <w:r w:rsidRPr="009A5185">
        <w:rPr>
          <w:rFonts w:cs="Arial"/>
          <w:b/>
        </w:rPr>
        <w:t>eMAR</w:t>
      </w:r>
      <w:proofErr w:type="spellEnd"/>
      <w:r w:rsidRPr="009A5185">
        <w:rPr>
          <w:rFonts w:cs="Arial"/>
          <w:b/>
        </w:rPr>
        <w:t>, but not the Bar Code Medication Administration system, should we respond “yes” to the decision support elements in question #</w:t>
      </w:r>
      <w:r w:rsidR="004B6D9A">
        <w:rPr>
          <w:rFonts w:cs="Arial"/>
          <w:b/>
        </w:rPr>
        <w:t>20</w:t>
      </w:r>
      <w:r w:rsidRPr="009A5185">
        <w:rPr>
          <w:rFonts w:cs="Arial"/>
          <w:b/>
        </w:rPr>
        <w:t xml:space="preserve">a - </w:t>
      </w:r>
      <w:r>
        <w:rPr>
          <w:rFonts w:cs="Arial"/>
          <w:b/>
        </w:rPr>
        <w:t>e</w:t>
      </w:r>
      <w:r w:rsidRPr="009A5185">
        <w:rPr>
          <w:rFonts w:cs="Arial"/>
          <w:b/>
        </w:rPr>
        <w:t>?</w:t>
      </w:r>
    </w:p>
    <w:p w14:paraId="747762EC" w14:textId="1E4CD673" w:rsidR="0065334D" w:rsidRPr="009A5185" w:rsidRDefault="0065334D" w:rsidP="0065334D">
      <w:pPr>
        <w:pStyle w:val="ListParagraph"/>
        <w:rPr>
          <w:rFonts w:cs="Arial"/>
        </w:rPr>
      </w:pPr>
      <w:r w:rsidRPr="009A5185">
        <w:rPr>
          <w:rFonts w:cs="Arial"/>
        </w:rPr>
        <w:t>If the provider and pharmacist are notified or alerted (e.g., second nurse check), but the nurse or provider administering the medication does not receive an alert at the point of administration, then your hospital should answer “no” to these questions about decision support.</w:t>
      </w:r>
    </w:p>
    <w:p w14:paraId="0121CD74" w14:textId="77777777" w:rsidR="007B5351" w:rsidRPr="000F3B1D" w:rsidRDefault="007B5351" w:rsidP="000F3B1D">
      <w:pPr>
        <w:rPr>
          <w:rFonts w:cs="Arial"/>
          <w:b/>
        </w:rPr>
      </w:pPr>
    </w:p>
    <w:p w14:paraId="592E4BF8" w14:textId="161E72B7" w:rsidR="0065334D" w:rsidRPr="009A5185" w:rsidRDefault="0065334D" w:rsidP="00AD309C">
      <w:pPr>
        <w:pStyle w:val="ListParagraph"/>
        <w:numPr>
          <w:ilvl w:val="0"/>
          <w:numId w:val="56"/>
        </w:numPr>
        <w:rPr>
          <w:rFonts w:cs="Arial"/>
          <w:b/>
        </w:rPr>
      </w:pPr>
      <w:r w:rsidRPr="009A5185">
        <w:rPr>
          <w:rFonts w:cs="Arial"/>
          <w:b/>
        </w:rPr>
        <w:t>My</w:t>
      </w:r>
      <w:r w:rsidRPr="009A5185">
        <w:rPr>
          <w:rFonts w:cs="Arial"/>
          <w:b/>
          <w:bCs/>
        </w:rPr>
        <w:t xml:space="preserve"> hospital’s EHR workflow for medication administration is designed in such a way that our system will never generate a “wrong patient” alert. How should we answer the question in the Survey about whether we have that type of decision support?</w:t>
      </w:r>
    </w:p>
    <w:p w14:paraId="0A7EDF66" w14:textId="2C1319E7" w:rsidR="00D8444A" w:rsidRDefault="0065334D" w:rsidP="00526C4A">
      <w:pPr>
        <w:pStyle w:val="ListParagraph"/>
        <w:rPr>
          <w:rFonts w:cs="Arial"/>
        </w:rPr>
      </w:pPr>
      <w:r w:rsidRPr="009A5185">
        <w:rPr>
          <w:rFonts w:cs="Arial"/>
        </w:rPr>
        <w:t>If your hospital’s EHR workflow is designed so that the nurse scans the patient first, and then the medications, such that the nurse would never receive a “wrong patient” alert, for purposes of the Survey, your hospital should indicate that it has ‘wrong patient’ decision support. The goal of including a</w:t>
      </w:r>
      <w:r>
        <w:rPr>
          <w:rFonts w:cs="Arial"/>
        </w:rPr>
        <w:t xml:space="preserve"> "</w:t>
      </w:r>
      <w:r w:rsidRPr="009A5185">
        <w:rPr>
          <w:rFonts w:cs="Arial"/>
        </w:rPr>
        <w:t>wrong patient” alert is to acknowledge that as a safe practice and to drive organizations to validate the “right patient” in the medication administration process. The workflow described helps ensure that a ‘wrong patient’ is not encountered.</w:t>
      </w:r>
    </w:p>
    <w:p w14:paraId="58CC4546" w14:textId="77777777" w:rsidR="00504834" w:rsidRDefault="00504834" w:rsidP="00526C4A">
      <w:pPr>
        <w:pStyle w:val="ListParagraph"/>
        <w:rPr>
          <w:rFonts w:cs="Arial"/>
        </w:rPr>
      </w:pPr>
    </w:p>
    <w:p w14:paraId="33242266" w14:textId="77777777" w:rsidR="004247FA" w:rsidRPr="00493567" w:rsidRDefault="004247FA" w:rsidP="00AD309C">
      <w:pPr>
        <w:pStyle w:val="ListParagraph"/>
        <w:numPr>
          <w:ilvl w:val="0"/>
          <w:numId w:val="56"/>
        </w:numPr>
        <w:rPr>
          <w:rFonts w:cs="Arial"/>
        </w:rPr>
      </w:pPr>
      <w:r>
        <w:rPr>
          <w:rFonts w:cs="Arial"/>
          <w:b/>
        </w:rPr>
        <w:t>Is the “second nurse check needed” decision support element required for all medications or just certain medication classes in order to answer “yes” to question #17e?</w:t>
      </w:r>
    </w:p>
    <w:p w14:paraId="4D02F0A3" w14:textId="5A36A419" w:rsidR="004247FA" w:rsidRPr="004247FA" w:rsidRDefault="004247FA" w:rsidP="004247FA">
      <w:pPr>
        <w:pStyle w:val="ListParagraph"/>
        <w:rPr>
          <w:rFonts w:cs="Arial"/>
          <w:bCs/>
        </w:rPr>
      </w:pPr>
      <w:r>
        <w:rPr>
          <w:rFonts w:cs="Arial"/>
          <w:bCs/>
        </w:rPr>
        <w:t xml:space="preserve">No. </w:t>
      </w:r>
      <w:r w:rsidR="007B7E7F">
        <w:rPr>
          <w:rFonts w:cs="Arial"/>
          <w:bCs/>
        </w:rPr>
        <w:t>A</w:t>
      </w:r>
      <w:r>
        <w:rPr>
          <w:rFonts w:cs="Arial"/>
          <w:bCs/>
        </w:rPr>
        <w:t xml:space="preserve">n alert for “second nurse check needed” is only required for certain medications and it is up to each hospital to decide which medication classes require this alert during administration. </w:t>
      </w:r>
    </w:p>
    <w:p w14:paraId="13637C77" w14:textId="77777777" w:rsidR="00D8444A" w:rsidRPr="00504834" w:rsidRDefault="00D8444A" w:rsidP="0065334D">
      <w:pPr>
        <w:rPr>
          <w:rFonts w:cs="Arial"/>
          <w:sz w:val="16"/>
          <w:szCs w:val="16"/>
        </w:rPr>
      </w:pPr>
    </w:p>
    <w:p w14:paraId="1F8EF506" w14:textId="77777777" w:rsidR="0065334D" w:rsidRPr="009A5185" w:rsidRDefault="0065334D" w:rsidP="00690C11">
      <w:pPr>
        <w:pStyle w:val="Heading44"/>
      </w:pPr>
      <w:r w:rsidRPr="009A5185">
        <w:t>Workarounds</w:t>
      </w:r>
    </w:p>
    <w:p w14:paraId="4A5AAAD7" w14:textId="77777777" w:rsidR="0065334D" w:rsidRPr="00504834" w:rsidRDefault="0065334D" w:rsidP="0065334D">
      <w:pPr>
        <w:rPr>
          <w:rFonts w:cs="Arial"/>
          <w:sz w:val="16"/>
          <w:szCs w:val="16"/>
        </w:rPr>
      </w:pPr>
    </w:p>
    <w:p w14:paraId="1358D4C6" w14:textId="77777777" w:rsidR="0065334D" w:rsidRPr="009A5185" w:rsidRDefault="0065334D" w:rsidP="00AD309C">
      <w:pPr>
        <w:pStyle w:val="ListParagraph"/>
        <w:numPr>
          <w:ilvl w:val="0"/>
          <w:numId w:val="56"/>
        </w:numPr>
        <w:rPr>
          <w:rFonts w:cs="Arial"/>
        </w:rPr>
      </w:pPr>
      <w:r w:rsidRPr="009A5185">
        <w:rPr>
          <w:rFonts w:cs="Arial"/>
          <w:b/>
          <w:bCs/>
        </w:rPr>
        <w:t>Must a hospital establish a separate committee to meet solely to review data reports on BCMA system use?</w:t>
      </w:r>
    </w:p>
    <w:p w14:paraId="51E75B2A" w14:textId="7D423F93" w:rsidR="0065334D" w:rsidRPr="009A5185" w:rsidRDefault="0065334D" w:rsidP="0065334D">
      <w:pPr>
        <w:pStyle w:val="ListParagraph"/>
        <w:rPr>
          <w:rFonts w:cs="Arial"/>
        </w:rPr>
      </w:pPr>
      <w:r w:rsidRPr="009A5185">
        <w:rPr>
          <w:rFonts w:cs="Arial"/>
        </w:rPr>
        <w:t>While establishing a committee that has the sole purpose of reviewing data reports on BCMA system use is encouraged, it is not required. At a minimum, a pre-existing standing committee that meets on a regular basis could be given the responsibility of reviewing these reports. The committee chosen to review the reports must include individuals whose roles reflect each part of the BCMA process (e.g., pharmacists, nurses, IT personnel, etc.).</w:t>
      </w:r>
    </w:p>
    <w:p w14:paraId="33A12CAE" w14:textId="77777777" w:rsidR="0065334D" w:rsidRPr="009A5185" w:rsidRDefault="0065334D" w:rsidP="0065334D">
      <w:pPr>
        <w:pStyle w:val="ListParagraph"/>
        <w:rPr>
          <w:rFonts w:cs="Arial"/>
        </w:rPr>
      </w:pPr>
    </w:p>
    <w:p w14:paraId="493BE18F" w14:textId="4FB91CFD" w:rsidR="0065334D" w:rsidRPr="009A5185" w:rsidRDefault="0065334D" w:rsidP="00AD309C">
      <w:pPr>
        <w:pStyle w:val="ListParagraph"/>
        <w:numPr>
          <w:ilvl w:val="0"/>
          <w:numId w:val="56"/>
        </w:numPr>
        <w:rPr>
          <w:rFonts w:cs="Arial"/>
        </w:rPr>
      </w:pPr>
      <w:r w:rsidRPr="009A5185">
        <w:rPr>
          <w:rFonts w:cs="Arial"/>
          <w:b/>
          <w:bCs/>
        </w:rPr>
        <w:t xml:space="preserve">What are some examples of “back-up </w:t>
      </w:r>
      <w:r w:rsidR="00BF5D00">
        <w:rPr>
          <w:rFonts w:cs="Arial"/>
          <w:b/>
          <w:bCs/>
        </w:rPr>
        <w:t>equipment</w:t>
      </w:r>
      <w:r w:rsidRPr="009A5185">
        <w:rPr>
          <w:rFonts w:cs="Arial"/>
          <w:b/>
          <w:bCs/>
        </w:rPr>
        <w:t>” for hardware failures?</w:t>
      </w:r>
    </w:p>
    <w:p w14:paraId="374DC2AA" w14:textId="0B99F778" w:rsidR="006E26E4" w:rsidRPr="007B7E7F" w:rsidRDefault="0065334D" w:rsidP="007B7E7F">
      <w:pPr>
        <w:pStyle w:val="ListParagraph"/>
      </w:pPr>
      <w:r w:rsidRPr="009A5185">
        <w:rPr>
          <w:rFonts w:cs="Arial"/>
        </w:rPr>
        <w:t xml:space="preserve">Examples of “back-up </w:t>
      </w:r>
      <w:r w:rsidR="00EE2E8E">
        <w:rPr>
          <w:rFonts w:cs="Arial"/>
        </w:rPr>
        <w:t>equipment</w:t>
      </w:r>
      <w:r w:rsidRPr="009A5185">
        <w:rPr>
          <w:rFonts w:cs="Arial"/>
        </w:rPr>
        <w:t>” include extra BCMA scanners, portable computers, batteries, and mice that are easily accessible to nurses experiencing equipment malfunctions. Quickly replacing malfunctioning equipment is essential to prevent workarounds.</w:t>
      </w:r>
      <w:r w:rsidRPr="009A5185">
        <w:rPr>
          <w:rFonts w:cs="Arial"/>
          <w:highlight w:val="yellow"/>
        </w:rPr>
        <w:t xml:space="preserve"> </w:t>
      </w:r>
    </w:p>
    <w:p w14:paraId="4C889B98" w14:textId="77777777" w:rsidR="006E26E4" w:rsidRDefault="006E26E4" w:rsidP="00463E6E">
      <w:pPr>
        <w:pStyle w:val="ListParagraph"/>
        <w:rPr>
          <w:rFonts w:cs="Arial"/>
        </w:rPr>
      </w:pPr>
    </w:p>
    <w:p w14:paraId="285C93F9" w14:textId="77777777" w:rsidR="00535234" w:rsidRPr="00A1457F" w:rsidRDefault="00535234" w:rsidP="00463E6E">
      <w:pPr>
        <w:pStyle w:val="ListParagraph"/>
        <w:rPr>
          <w:rFonts w:cs="Arial"/>
        </w:rPr>
      </w:pPr>
    </w:p>
    <w:p w14:paraId="14DC1F79" w14:textId="77777777" w:rsidR="0065334D" w:rsidRPr="009A5185" w:rsidRDefault="0065334D" w:rsidP="00AD309C">
      <w:pPr>
        <w:pStyle w:val="ListParagraph"/>
        <w:numPr>
          <w:ilvl w:val="0"/>
          <w:numId w:val="56"/>
        </w:numPr>
        <w:rPr>
          <w:rFonts w:cs="Arial"/>
        </w:rPr>
      </w:pPr>
      <w:r w:rsidRPr="009A5185">
        <w:rPr>
          <w:rFonts w:cs="Arial"/>
          <w:b/>
          <w:bCs/>
        </w:rPr>
        <w:lastRenderedPageBreak/>
        <w:t>What are some examples of “engaging nursing leadership at the unit level on BCMA use?”</w:t>
      </w:r>
    </w:p>
    <w:p w14:paraId="5BB02AF0" w14:textId="77777777" w:rsidR="0065334D" w:rsidRPr="009A5185" w:rsidRDefault="0065334D" w:rsidP="0065334D">
      <w:pPr>
        <w:pStyle w:val="ListParagraph"/>
        <w:rPr>
          <w:rFonts w:cs="Arial"/>
        </w:rPr>
      </w:pPr>
      <w:r w:rsidRPr="009A5185">
        <w:rPr>
          <w:rFonts w:cs="Arial"/>
        </w:rPr>
        <w:t>Engaging nursing leadership on BCMA use should be an active, ongoing process. An engaged leader would actively use BCMA data to coach staff towards safe or desired behaviors. Examples of activities in which nursing leadership could be engaged include, but are not limited to:</w:t>
      </w:r>
    </w:p>
    <w:p w14:paraId="106C2C0E" w14:textId="77777777" w:rsidR="0065334D" w:rsidRPr="009A5185" w:rsidRDefault="0065334D" w:rsidP="00AD309C">
      <w:pPr>
        <w:pStyle w:val="ListParagraph"/>
        <w:numPr>
          <w:ilvl w:val="1"/>
          <w:numId w:val="44"/>
        </w:numPr>
        <w:rPr>
          <w:rFonts w:cs="Arial"/>
        </w:rPr>
      </w:pPr>
      <w:r w:rsidRPr="009A5185">
        <w:rPr>
          <w:rFonts w:cs="Arial"/>
        </w:rPr>
        <w:t>Education sessions in units</w:t>
      </w:r>
    </w:p>
    <w:p w14:paraId="20E2DA06" w14:textId="77777777" w:rsidR="0065334D" w:rsidRPr="009A5185" w:rsidRDefault="0065334D" w:rsidP="00AD309C">
      <w:pPr>
        <w:pStyle w:val="ListParagraph"/>
        <w:numPr>
          <w:ilvl w:val="1"/>
          <w:numId w:val="44"/>
        </w:numPr>
        <w:rPr>
          <w:rFonts w:cs="Arial"/>
        </w:rPr>
      </w:pPr>
      <w:r w:rsidRPr="009A5185">
        <w:rPr>
          <w:rFonts w:cs="Arial"/>
        </w:rPr>
        <w:t>Review of policies regarding use and non-use of BCMA</w:t>
      </w:r>
    </w:p>
    <w:p w14:paraId="39D2CFDA" w14:textId="77777777" w:rsidR="0065334D" w:rsidRPr="009A5185" w:rsidRDefault="0065334D" w:rsidP="00AD309C">
      <w:pPr>
        <w:pStyle w:val="ListParagraph"/>
        <w:numPr>
          <w:ilvl w:val="1"/>
          <w:numId w:val="44"/>
        </w:numPr>
        <w:rPr>
          <w:rFonts w:cs="Arial"/>
        </w:rPr>
      </w:pPr>
      <w:r w:rsidRPr="009A5185">
        <w:rPr>
          <w:rFonts w:cs="Arial"/>
        </w:rPr>
        <w:t>Investigating problems with BCMA specific to the unit</w:t>
      </w:r>
    </w:p>
    <w:p w14:paraId="677CB675" w14:textId="77777777" w:rsidR="0065334D" w:rsidRPr="009A5185" w:rsidRDefault="0065334D" w:rsidP="00AD309C">
      <w:pPr>
        <w:pStyle w:val="ListParagraph"/>
        <w:numPr>
          <w:ilvl w:val="1"/>
          <w:numId w:val="44"/>
        </w:numPr>
        <w:rPr>
          <w:rFonts w:cs="Arial"/>
        </w:rPr>
      </w:pPr>
      <w:r w:rsidRPr="009A5185">
        <w:rPr>
          <w:rFonts w:cs="Arial"/>
        </w:rPr>
        <w:t>Providing a forum for users to report BCMA problems and reasons for workarounds</w:t>
      </w:r>
    </w:p>
    <w:p w14:paraId="3C0E5489" w14:textId="2B1E7DAA" w:rsidR="00690C11" w:rsidRPr="007B5351" w:rsidRDefault="0065334D" w:rsidP="00AD309C">
      <w:pPr>
        <w:pStyle w:val="ListParagraph"/>
        <w:numPr>
          <w:ilvl w:val="1"/>
          <w:numId w:val="44"/>
        </w:numPr>
        <w:rPr>
          <w:rFonts w:cs="Arial"/>
        </w:rPr>
      </w:pPr>
      <w:r w:rsidRPr="009A5185">
        <w:rPr>
          <w:rFonts w:cs="Arial"/>
        </w:rPr>
        <w:t>Providing suggestions for improvements to both technology and process</w:t>
      </w:r>
    </w:p>
    <w:p w14:paraId="2BFD9E61" w14:textId="77777777" w:rsidR="00BD2B67" w:rsidRPr="009A5185" w:rsidRDefault="00BD2B67" w:rsidP="0065334D">
      <w:pPr>
        <w:pStyle w:val="ListParagraph"/>
        <w:ind w:left="1800"/>
        <w:rPr>
          <w:rFonts w:cs="Arial"/>
        </w:rPr>
      </w:pPr>
    </w:p>
    <w:p w14:paraId="218C4785" w14:textId="3C92F646" w:rsidR="0065334D" w:rsidRPr="009A5185" w:rsidRDefault="0065334D" w:rsidP="00AD309C">
      <w:pPr>
        <w:pStyle w:val="ListParagraph"/>
        <w:numPr>
          <w:ilvl w:val="0"/>
          <w:numId w:val="56"/>
        </w:numPr>
        <w:rPr>
          <w:rFonts w:cs="Arial"/>
          <w:b/>
          <w:bCs/>
        </w:rPr>
      </w:pPr>
      <w:r w:rsidRPr="00F40A7C">
        <w:rPr>
          <w:rFonts w:cs="Arial"/>
          <w:b/>
          <w:bCs/>
        </w:rPr>
        <w:t>How often should hospitals conduct real-time observations and what do ‘best practices’ look like?</w:t>
      </w:r>
    </w:p>
    <w:p w14:paraId="1DA0824D" w14:textId="6CFEA109" w:rsidR="0065334D" w:rsidRPr="00F40A7C" w:rsidRDefault="0065334D" w:rsidP="0065334D">
      <w:pPr>
        <w:pStyle w:val="ListParagraph"/>
        <w:rPr>
          <w:rFonts w:cs="Arial"/>
        </w:rPr>
      </w:pPr>
      <w:r w:rsidRPr="00F40A7C">
        <w:rPr>
          <w:rFonts w:cs="Arial"/>
        </w:rPr>
        <w:t xml:space="preserve">At a minimum, the observations should be conducted on each unit at least biannually (2x/year) and should be 30 minutes or 30 medication administrations in length, whichever is shorter. If </w:t>
      </w:r>
      <w:r w:rsidR="006A1E70" w:rsidRPr="00F40A7C">
        <w:rPr>
          <w:rFonts w:cs="Arial"/>
        </w:rPr>
        <w:t>a central team does observations</w:t>
      </w:r>
      <w:r w:rsidRPr="00F40A7C">
        <w:rPr>
          <w:rFonts w:cs="Arial"/>
        </w:rPr>
        <w:t xml:space="preserve">, they should ensure each type of unit is observed within that 6-month period. More frequent observations are appropriate for hospitals that have recently introduced BCMA and/or when safety reports indicate a problem, where observations can be helpful in understanding the root cause of an incident or near miss.  </w:t>
      </w:r>
    </w:p>
    <w:p w14:paraId="31B3744D" w14:textId="77777777" w:rsidR="0065334D" w:rsidRPr="00504834" w:rsidRDefault="0065334D" w:rsidP="0065334D">
      <w:pPr>
        <w:pStyle w:val="ListParagraph"/>
        <w:rPr>
          <w:rFonts w:cs="Arial"/>
          <w:sz w:val="16"/>
          <w:szCs w:val="16"/>
        </w:rPr>
      </w:pPr>
    </w:p>
    <w:p w14:paraId="0F4CCC14" w14:textId="61E586A2" w:rsidR="00FB2D5F" w:rsidRDefault="0065334D" w:rsidP="00504834">
      <w:pPr>
        <w:pStyle w:val="ListParagraph"/>
        <w:rPr>
          <w:rFonts w:cs="Arial"/>
        </w:rPr>
      </w:pPr>
      <w:r w:rsidRPr="00F40A7C">
        <w:rPr>
          <w:rFonts w:cs="Arial"/>
        </w:rPr>
        <w:t>The observations should be direct nurse-BCMA observations, watching how the nurse uses the BCMA system as part of the be</w:t>
      </w:r>
      <w:r>
        <w:rPr>
          <w:rFonts w:cs="Arial"/>
        </w:rPr>
        <w:t>d</w:t>
      </w:r>
      <w:r w:rsidRPr="00F40A7C">
        <w:rPr>
          <w:rFonts w:cs="Arial"/>
        </w:rPr>
        <w:t>side medication administration process. The observer should note if nurses are using any workarounds to compensate for system issues. In addition to observing the nurse-BCMA interaction, the observer should also have conversations with the nurses, as their comments are often a good source for understanding the causes of workarounds. The observations collected from the different units should be aggregated together to understand trends across the hospital and where the hospital should place a priority for addressing BCMA system issues.</w:t>
      </w:r>
    </w:p>
    <w:p w14:paraId="141DCD1C" w14:textId="77777777" w:rsidR="00BE06B6" w:rsidRDefault="00BE06B6" w:rsidP="00504834">
      <w:pPr>
        <w:pStyle w:val="ListParagraph"/>
        <w:rPr>
          <w:rFonts w:cs="Arial"/>
        </w:rPr>
      </w:pPr>
    </w:p>
    <w:p w14:paraId="59F50151" w14:textId="242E2C4E" w:rsidR="00BE06B6" w:rsidRDefault="00BE06B6" w:rsidP="00AD309C">
      <w:pPr>
        <w:pStyle w:val="ListParagraph"/>
        <w:numPr>
          <w:ilvl w:val="0"/>
          <w:numId w:val="56"/>
        </w:numPr>
        <w:rPr>
          <w:rFonts w:cs="Arial"/>
          <w:b/>
          <w:bCs/>
        </w:rPr>
      </w:pPr>
      <w:r>
        <w:rPr>
          <w:rFonts w:cs="Arial"/>
          <w:b/>
          <w:bCs/>
        </w:rPr>
        <w:t>If our hospital meets the 95% compliance target, do we still need to implement or monitor a quality improvement project for question #21f</w:t>
      </w:r>
      <w:r w:rsidR="00D865F4" w:rsidRPr="00D865F4">
        <w:rPr>
          <w:rFonts w:cs="Arial"/>
          <w:b/>
          <w:bCs/>
        </w:rPr>
        <w:t xml:space="preserve"> </w:t>
      </w:r>
      <w:r w:rsidR="00D865F4">
        <w:rPr>
          <w:rFonts w:cs="Arial"/>
          <w:b/>
          <w:bCs/>
        </w:rPr>
        <w:t>and evaluate the results of those projects for #21g</w:t>
      </w:r>
      <w:r>
        <w:rPr>
          <w:rFonts w:cs="Arial"/>
          <w:b/>
          <w:bCs/>
        </w:rPr>
        <w:t>?</w:t>
      </w:r>
    </w:p>
    <w:p w14:paraId="274074A4" w14:textId="3583D7C3" w:rsidR="00BE06B6" w:rsidRDefault="00966175" w:rsidP="00BE06B6">
      <w:pPr>
        <w:pStyle w:val="ListParagraph"/>
        <w:rPr>
          <w:rFonts w:cs="Arial"/>
        </w:rPr>
      </w:pPr>
      <w:r>
        <w:rPr>
          <w:rFonts w:cs="Arial"/>
        </w:rPr>
        <w:t xml:space="preserve">Implementation or monitoring of a quality improvement project and evaluation of that project is only required if one or more applicable units has not achieved 95% BCMA scanning compliance. Otherwise, </w:t>
      </w:r>
      <w:r w:rsidR="00BE06B6">
        <w:rPr>
          <w:rFonts w:cs="Arial"/>
        </w:rPr>
        <w:t xml:space="preserve">the </w:t>
      </w:r>
      <w:r w:rsidR="00BE06B6" w:rsidRPr="001F2388">
        <w:rPr>
          <w:rFonts w:cs="Arial"/>
        </w:rPr>
        <w:t xml:space="preserve">hospital </w:t>
      </w:r>
      <w:r w:rsidR="00B90EA1">
        <w:rPr>
          <w:rFonts w:cs="Arial"/>
        </w:rPr>
        <w:t>does not need to</w:t>
      </w:r>
      <w:r w:rsidR="00BE06B6" w:rsidRPr="001F2388">
        <w:rPr>
          <w:rFonts w:cs="Arial"/>
        </w:rPr>
        <w:t xml:space="preserve"> implement or monitor a quality improvement pro</w:t>
      </w:r>
      <w:r w:rsidR="00BE06B6">
        <w:rPr>
          <w:rFonts w:cs="Arial"/>
        </w:rPr>
        <w:t>ject</w:t>
      </w:r>
      <w:r w:rsidR="00BE06B6" w:rsidRPr="001F2388">
        <w:rPr>
          <w:rFonts w:cs="Arial"/>
        </w:rPr>
        <w:t xml:space="preserve"> </w:t>
      </w:r>
      <w:r w:rsidR="00BF544B">
        <w:rPr>
          <w:rFonts w:cs="Arial"/>
        </w:rPr>
        <w:t xml:space="preserve">or </w:t>
      </w:r>
      <w:r w:rsidR="00233020">
        <w:rPr>
          <w:rFonts w:cs="Arial"/>
        </w:rPr>
        <w:t xml:space="preserve">evaluate that project if they have achieved 95% BCMA scanning compliance in </w:t>
      </w:r>
      <w:r w:rsidR="00233020" w:rsidRPr="00F35982">
        <w:rPr>
          <w:rFonts w:cs="Arial"/>
          <w:b/>
          <w:bCs/>
        </w:rPr>
        <w:t>all</w:t>
      </w:r>
      <w:r w:rsidR="00233020">
        <w:rPr>
          <w:rFonts w:cs="Arial"/>
        </w:rPr>
        <w:t xml:space="preserve"> applicable units based on quarterly monitoring of compliance. </w:t>
      </w:r>
      <w:r w:rsidR="00EA08EE">
        <w:rPr>
          <w:rFonts w:cs="Arial"/>
        </w:rPr>
        <w:t xml:space="preserve">In order to respond that this requirement does not apply, all applicable units must meet the 95% BCMA scanning compliance the quarter prior to submission of this section. </w:t>
      </w:r>
      <w:r w:rsidR="00233020">
        <w:rPr>
          <w:rFonts w:cs="Arial"/>
        </w:rPr>
        <w:t>Hospitals should respond accordingly to question #21f and must maintain quarterly documentation demonstrating their adherence in each unit.</w:t>
      </w:r>
    </w:p>
    <w:p w14:paraId="3102F81B" w14:textId="58FBAC30" w:rsidR="00BE06B6" w:rsidRDefault="00BE06B6" w:rsidP="00504834">
      <w:pPr>
        <w:pStyle w:val="ListParagraph"/>
        <w:rPr>
          <w:rFonts w:cs="Arial"/>
        </w:rPr>
      </w:pPr>
    </w:p>
    <w:p w14:paraId="51444054" w14:textId="1647255D" w:rsidR="0065334D" w:rsidRPr="009A5185" w:rsidRDefault="0065334D" w:rsidP="00AD309C">
      <w:pPr>
        <w:pStyle w:val="ListParagraph"/>
        <w:numPr>
          <w:ilvl w:val="0"/>
          <w:numId w:val="56"/>
        </w:numPr>
        <w:rPr>
          <w:rFonts w:cs="Arial"/>
          <w:b/>
          <w:bCs/>
        </w:rPr>
      </w:pPr>
      <w:r w:rsidRPr="009A5185">
        <w:rPr>
          <w:rFonts w:cs="Arial"/>
          <w:b/>
          <w:bCs/>
        </w:rPr>
        <w:t>What are some appropriate mechanisms for communicating back to end users for question #</w:t>
      </w:r>
      <w:r w:rsidR="00E50D95">
        <w:rPr>
          <w:rFonts w:cs="Arial"/>
          <w:b/>
          <w:bCs/>
        </w:rPr>
        <w:t>21</w:t>
      </w:r>
      <w:r w:rsidRPr="009A5185">
        <w:rPr>
          <w:rFonts w:cs="Arial"/>
          <w:b/>
          <w:bCs/>
        </w:rPr>
        <w:t>h?</w:t>
      </w:r>
    </w:p>
    <w:p w14:paraId="23EF98C2" w14:textId="77777777" w:rsidR="006A1E70" w:rsidRDefault="0065334D" w:rsidP="00CF4879">
      <w:pPr>
        <w:pStyle w:val="ListParagraph"/>
        <w:rPr>
          <w:rFonts w:cs="Arial"/>
        </w:rPr>
      </w:pPr>
      <w:r w:rsidRPr="009A5185">
        <w:rPr>
          <w:rFonts w:cs="Arial"/>
        </w:rPr>
        <w:t xml:space="preserve">Appropriate mechanisms for communicating back to end users would include staff meetings, safety briefings or unit huddles, or sharing in a Nursing Informatics </w:t>
      </w:r>
      <w:proofErr w:type="spellStart"/>
      <w:r w:rsidRPr="009A5185">
        <w:rPr>
          <w:rFonts w:cs="Arial"/>
        </w:rPr>
        <w:t>eNewsletter</w:t>
      </w:r>
      <w:proofErr w:type="spellEnd"/>
      <w:r w:rsidRPr="009A5185">
        <w:rPr>
          <w:rFonts w:cs="Arial"/>
        </w:rPr>
        <w:t>, through a Medication Safety Team, or Quality Committee newsletter/flyer.</w:t>
      </w:r>
    </w:p>
    <w:p w14:paraId="3AB3DC23" w14:textId="77777777" w:rsidR="006A1E70" w:rsidRPr="00504834" w:rsidRDefault="006A1E70" w:rsidP="00CF4879">
      <w:pPr>
        <w:pStyle w:val="ListParagraph"/>
        <w:rPr>
          <w:rFonts w:cs="Arial"/>
          <w:sz w:val="16"/>
          <w:szCs w:val="16"/>
        </w:rPr>
      </w:pPr>
    </w:p>
    <w:p w14:paraId="2E9D0466" w14:textId="397FF97E" w:rsidR="0065334D" w:rsidRPr="009A5185" w:rsidRDefault="0065334D" w:rsidP="00CF4879">
      <w:pPr>
        <w:pStyle w:val="ListParagraph"/>
        <w:rPr>
          <w:b/>
          <w:i/>
        </w:rPr>
        <w:sectPr w:rsidR="0065334D" w:rsidRPr="009A5185" w:rsidSect="00062F69">
          <w:headerReference w:type="default" r:id="rId204"/>
          <w:endnotePr>
            <w:numFmt w:val="decimal"/>
          </w:endnotePr>
          <w:type w:val="continuous"/>
          <w:pgSz w:w="12240" w:h="15840"/>
          <w:pgMar w:top="1080" w:right="1440" w:bottom="1080" w:left="1440" w:header="720" w:footer="720" w:gutter="0"/>
          <w:cols w:space="720"/>
          <w:docGrid w:linePitch="272"/>
        </w:sectPr>
      </w:pPr>
    </w:p>
    <w:p w14:paraId="23731812" w14:textId="44586C3B" w:rsidR="0065334D" w:rsidRPr="009A5185" w:rsidRDefault="0065334D" w:rsidP="00AB5B80">
      <w:pPr>
        <w:pStyle w:val="Heading3"/>
      </w:pPr>
      <w:bookmarkStart w:id="216" w:name="_Medication_Reconciliation"/>
      <w:bookmarkStart w:id="217" w:name="_Toc225877704"/>
      <w:bookmarkEnd w:id="216"/>
      <w:r w:rsidRPr="009A5185">
        <w:t xml:space="preserve">Medication </w:t>
      </w:r>
      <w:r w:rsidR="000C2C54" w:rsidRPr="009A5185">
        <w:t>Reconci</w:t>
      </w:r>
      <w:r w:rsidR="000C2C54">
        <w:t>l</w:t>
      </w:r>
      <w:r w:rsidR="000C2C54" w:rsidRPr="009A5185">
        <w:t>iation</w:t>
      </w:r>
      <w:r w:rsidR="00B078B4">
        <w:t xml:space="preserve"> FAQs</w:t>
      </w:r>
      <w:bookmarkEnd w:id="217"/>
    </w:p>
    <w:p w14:paraId="1B84938E" w14:textId="6CD59AFB" w:rsidR="00910741" w:rsidRDefault="00910741">
      <w:pPr>
        <w:rPr>
          <w:b/>
          <w:color w:val="000000"/>
          <w:sz w:val="22"/>
          <w:lang w:eastAsia="ja-JP"/>
        </w:rPr>
      </w:pPr>
    </w:p>
    <w:p w14:paraId="72CD63DC" w14:textId="2FBA5CBD" w:rsidR="0065334D" w:rsidRPr="009A5185" w:rsidRDefault="0065334D" w:rsidP="00690C11">
      <w:pPr>
        <w:pStyle w:val="Heading44"/>
        <w:rPr>
          <w:lang w:eastAsia="ja-JP"/>
        </w:rPr>
      </w:pPr>
      <w:r w:rsidRPr="009A5185">
        <w:rPr>
          <w:lang w:eastAsia="ja-JP"/>
        </w:rPr>
        <w:t>Sampling</w:t>
      </w:r>
    </w:p>
    <w:p w14:paraId="4C7CD7BF" w14:textId="77777777" w:rsidR="0065334D" w:rsidRPr="00504834" w:rsidRDefault="0065334D" w:rsidP="0065334D">
      <w:pPr>
        <w:rPr>
          <w:rFonts w:cs="Arial"/>
          <w:sz w:val="16"/>
          <w:szCs w:val="16"/>
          <w:lang w:eastAsia="ja-JP"/>
        </w:rPr>
      </w:pPr>
    </w:p>
    <w:p w14:paraId="6C6D98B8" w14:textId="39AA6549" w:rsidR="0065334D" w:rsidRPr="009A5185" w:rsidRDefault="0065334D" w:rsidP="00AD309C">
      <w:pPr>
        <w:pStyle w:val="ListParagraph"/>
        <w:numPr>
          <w:ilvl w:val="0"/>
          <w:numId w:val="56"/>
        </w:numPr>
        <w:rPr>
          <w:rFonts w:cs="Arial"/>
          <w:b/>
        </w:rPr>
      </w:pPr>
      <w:r w:rsidRPr="009A5185">
        <w:rPr>
          <w:rFonts w:cs="Arial"/>
          <w:b/>
        </w:rPr>
        <w:t>Are we required to use Leapfrog's random sampling methodology?</w:t>
      </w:r>
    </w:p>
    <w:p w14:paraId="4388BEFC" w14:textId="77777777" w:rsidR="0065334D" w:rsidRDefault="0065334D" w:rsidP="0065334D">
      <w:pPr>
        <w:pStyle w:val="ListParagraph"/>
        <w:rPr>
          <w:rFonts w:cs="Arial"/>
          <w:lang w:eastAsia="ja-JP"/>
        </w:rPr>
      </w:pPr>
      <w:r>
        <w:rPr>
          <w:rFonts w:cs="Arial"/>
          <w:lang w:eastAsia="ja-JP"/>
        </w:rPr>
        <w:t xml:space="preserve">No. </w:t>
      </w:r>
      <w:r w:rsidRPr="009A5185">
        <w:rPr>
          <w:rFonts w:cs="Arial"/>
          <w:lang w:eastAsia="ja-JP"/>
        </w:rPr>
        <w:t>You may use a different sampling methodology from the methodology provided in the Medication Reconciliation Workbook. However, you should be sure to sample from different days of the week, including weekends.</w:t>
      </w:r>
    </w:p>
    <w:p w14:paraId="70139200" w14:textId="77777777" w:rsidR="0065334D" w:rsidRDefault="0065334D" w:rsidP="0065334D">
      <w:pPr>
        <w:pStyle w:val="ListParagraph"/>
        <w:rPr>
          <w:rFonts w:cs="Arial"/>
          <w:sz w:val="16"/>
          <w:szCs w:val="16"/>
          <w:lang w:eastAsia="ja-JP"/>
        </w:rPr>
      </w:pPr>
    </w:p>
    <w:p w14:paraId="726A369C" w14:textId="77777777" w:rsidR="003B6076" w:rsidRDefault="003B6076" w:rsidP="0065334D">
      <w:pPr>
        <w:pStyle w:val="ListParagraph"/>
        <w:rPr>
          <w:rFonts w:cs="Arial"/>
          <w:sz w:val="16"/>
          <w:szCs w:val="16"/>
          <w:lang w:eastAsia="ja-JP"/>
        </w:rPr>
      </w:pPr>
    </w:p>
    <w:p w14:paraId="654F7B7C" w14:textId="77777777" w:rsidR="003B6076" w:rsidRPr="00504834" w:rsidRDefault="003B6076" w:rsidP="0065334D">
      <w:pPr>
        <w:pStyle w:val="ListParagraph"/>
        <w:rPr>
          <w:rFonts w:cs="Arial"/>
          <w:sz w:val="16"/>
          <w:szCs w:val="16"/>
          <w:lang w:eastAsia="ja-JP"/>
        </w:rPr>
      </w:pPr>
    </w:p>
    <w:p w14:paraId="39D4FCA4" w14:textId="77777777" w:rsidR="0065334D" w:rsidRDefault="0065334D" w:rsidP="00AD309C">
      <w:pPr>
        <w:pStyle w:val="ListParagraph"/>
        <w:numPr>
          <w:ilvl w:val="0"/>
          <w:numId w:val="56"/>
        </w:numPr>
        <w:rPr>
          <w:rFonts w:cs="Arial"/>
          <w:b/>
          <w:lang w:eastAsia="ja-JP"/>
        </w:rPr>
      </w:pPr>
      <w:r w:rsidRPr="00823EF1">
        <w:rPr>
          <w:rFonts w:cs="Arial"/>
          <w:b/>
          <w:lang w:eastAsia="ja-JP"/>
        </w:rPr>
        <w:lastRenderedPageBreak/>
        <w:t>If the first few patients included in the sam</w:t>
      </w:r>
      <w:r>
        <w:rPr>
          <w:rFonts w:cs="Arial"/>
          <w:b/>
          <w:lang w:eastAsia="ja-JP"/>
        </w:rPr>
        <w:t>pl</w:t>
      </w:r>
      <w:r w:rsidRPr="00823EF1">
        <w:rPr>
          <w:rFonts w:cs="Arial"/>
          <w:b/>
          <w:lang w:eastAsia="ja-JP"/>
        </w:rPr>
        <w:t>e have zero gold standard medications, should we sample more than 30 patients?</w:t>
      </w:r>
    </w:p>
    <w:p w14:paraId="3AECF61F" w14:textId="77777777" w:rsidR="0065334D" w:rsidRDefault="0065334D" w:rsidP="0065334D">
      <w:pPr>
        <w:pStyle w:val="ListParagraph"/>
        <w:rPr>
          <w:rFonts w:cs="Arial"/>
          <w:bCs/>
          <w:lang w:eastAsia="ja-JP"/>
        </w:rPr>
      </w:pPr>
      <w:r w:rsidRPr="00823EF1">
        <w:rPr>
          <w:rFonts w:cs="Arial"/>
          <w:bCs/>
          <w:lang w:eastAsia="ja-JP"/>
        </w:rPr>
        <w:t>Yes, hospitals can sample more than 30 patients to ensure their rate of unintentional discrepancies per medication is scored and publicly reported. While 30 is the minimum sample size, hospitals are welcome to sample more than this.</w:t>
      </w:r>
    </w:p>
    <w:p w14:paraId="56DF96B0" w14:textId="77777777" w:rsidR="00B8601F" w:rsidRPr="00D36222" w:rsidRDefault="00B8601F" w:rsidP="001470A3">
      <w:pPr>
        <w:rPr>
          <w:rFonts w:cs="Arial"/>
          <w:b/>
          <w:sz w:val="16"/>
          <w:szCs w:val="16"/>
          <w:lang w:eastAsia="ja-JP"/>
        </w:rPr>
      </w:pPr>
    </w:p>
    <w:p w14:paraId="47C32DB2" w14:textId="77777777" w:rsidR="0065334D" w:rsidRPr="009A5185" w:rsidRDefault="0065334D" w:rsidP="00690C11">
      <w:pPr>
        <w:pStyle w:val="Heading44"/>
        <w:rPr>
          <w:lang w:eastAsia="ja-JP"/>
        </w:rPr>
      </w:pPr>
      <w:r w:rsidRPr="009A5185">
        <w:rPr>
          <w:lang w:eastAsia="ja-JP"/>
        </w:rPr>
        <w:t>Gold Standard Medication History</w:t>
      </w:r>
    </w:p>
    <w:p w14:paraId="25BCE9C5" w14:textId="77777777" w:rsidR="0065334D" w:rsidRPr="00D36222" w:rsidRDefault="0065334D" w:rsidP="0065334D">
      <w:pPr>
        <w:rPr>
          <w:rFonts w:cs="Arial"/>
          <w:sz w:val="16"/>
          <w:szCs w:val="16"/>
          <w:lang w:eastAsia="ja-JP"/>
        </w:rPr>
      </w:pPr>
    </w:p>
    <w:p w14:paraId="5B60F7D1" w14:textId="77777777" w:rsidR="0065334D" w:rsidRPr="009A5185" w:rsidRDefault="0065334D" w:rsidP="00AD309C">
      <w:pPr>
        <w:pStyle w:val="ListParagraph"/>
        <w:numPr>
          <w:ilvl w:val="0"/>
          <w:numId w:val="56"/>
        </w:numPr>
        <w:rPr>
          <w:rFonts w:cs="Arial"/>
        </w:rPr>
      </w:pPr>
      <w:r w:rsidRPr="009A5185">
        <w:rPr>
          <w:rFonts w:cs="Arial"/>
          <w:b/>
        </w:rPr>
        <w:t>A pharmacist</w:t>
      </w:r>
      <w:r>
        <w:rPr>
          <w:rFonts w:cs="Arial"/>
          <w:b/>
        </w:rPr>
        <w:t>, pharmacy resident,</w:t>
      </w:r>
      <w:r w:rsidRPr="009A5185">
        <w:rPr>
          <w:rFonts w:cs="Arial"/>
          <w:b/>
        </w:rPr>
        <w:t xml:space="preserve"> </w:t>
      </w:r>
      <w:r>
        <w:rPr>
          <w:rFonts w:cs="Arial"/>
          <w:b/>
        </w:rPr>
        <w:t xml:space="preserve">or certified pharmacy technician </w:t>
      </w:r>
      <w:r w:rsidRPr="009A5185">
        <w:rPr>
          <w:rFonts w:cs="Arial"/>
          <w:b/>
        </w:rPr>
        <w:t xml:space="preserve">creates the </w:t>
      </w:r>
      <w:r>
        <w:rPr>
          <w:rFonts w:cs="Arial"/>
          <w:b/>
        </w:rPr>
        <w:t>p</w:t>
      </w:r>
      <w:r w:rsidRPr="009A5185">
        <w:rPr>
          <w:rFonts w:cs="Arial"/>
          <w:b/>
        </w:rPr>
        <w:t>re-admission Medical List as part of normal care. Can this be used as the Gold Standard Medication List?</w:t>
      </w:r>
    </w:p>
    <w:p w14:paraId="28A44CE7" w14:textId="42712F3C" w:rsidR="0065334D" w:rsidRDefault="0065334D" w:rsidP="00D36222">
      <w:pPr>
        <w:pStyle w:val="ListParagraph"/>
        <w:rPr>
          <w:rFonts w:cs="Arial"/>
        </w:rPr>
      </w:pPr>
      <w:r w:rsidRPr="009A5185">
        <w:rPr>
          <w:rFonts w:cs="Arial"/>
        </w:rPr>
        <w:t>No, a different trained pharmacist</w:t>
      </w:r>
      <w:r>
        <w:rPr>
          <w:rFonts w:cs="Arial"/>
        </w:rPr>
        <w:t xml:space="preserve">, pharmacy resident, or </w:t>
      </w:r>
      <w:hyperlink w:anchor="CertifiedPharmacyTechnician" w:history="1">
        <w:r w:rsidRPr="0057191C">
          <w:rPr>
            <w:rStyle w:val="Hyperlink"/>
            <w:rFonts w:cs="Arial"/>
          </w:rPr>
          <w:t>certified pharmacy technician</w:t>
        </w:r>
      </w:hyperlink>
      <w:r w:rsidR="00A577A6" w:rsidRPr="00A577A6">
        <w:rPr>
          <w:rFonts w:cs="Arial"/>
          <w:vertAlign w:val="superscript"/>
        </w:rPr>
        <w:t>23</w:t>
      </w:r>
      <w:r w:rsidRPr="009A5185">
        <w:rPr>
          <w:rFonts w:cs="Arial"/>
        </w:rPr>
        <w:t xml:space="preserve"> should collect the Gold Standard Medication List when collecting data for this measure.</w:t>
      </w:r>
    </w:p>
    <w:p w14:paraId="7CD15414" w14:textId="77777777" w:rsidR="00444BB8" w:rsidRDefault="00444BB8" w:rsidP="00D36222">
      <w:pPr>
        <w:pStyle w:val="ListParagraph"/>
        <w:rPr>
          <w:sz w:val="16"/>
          <w:szCs w:val="16"/>
        </w:rPr>
      </w:pPr>
    </w:p>
    <w:p w14:paraId="4226EF91" w14:textId="77777777" w:rsidR="0065334D" w:rsidRPr="009A5185" w:rsidRDefault="0065334D" w:rsidP="00AD309C">
      <w:pPr>
        <w:pStyle w:val="ListParagraph"/>
        <w:numPr>
          <w:ilvl w:val="0"/>
          <w:numId w:val="56"/>
        </w:numPr>
        <w:rPr>
          <w:rFonts w:cs="Arial"/>
          <w:b/>
        </w:rPr>
      </w:pPr>
      <w:r w:rsidRPr="009A5185">
        <w:rPr>
          <w:rFonts w:cs="Arial"/>
          <w:b/>
        </w:rPr>
        <w:t>Does the same pharmacist</w:t>
      </w:r>
      <w:r>
        <w:rPr>
          <w:rFonts w:cs="Arial"/>
          <w:b/>
        </w:rPr>
        <w:t>, pharmacy resident,</w:t>
      </w:r>
      <w:r w:rsidRPr="009A5185">
        <w:rPr>
          <w:rFonts w:cs="Arial"/>
          <w:b/>
        </w:rPr>
        <w:t xml:space="preserve"> </w:t>
      </w:r>
      <w:r>
        <w:rPr>
          <w:rFonts w:cs="Arial"/>
          <w:b/>
        </w:rPr>
        <w:t xml:space="preserve">or certified pharmacy technician who obtains </w:t>
      </w:r>
      <w:r w:rsidRPr="009A5185">
        <w:rPr>
          <w:rFonts w:cs="Arial"/>
          <w:b/>
        </w:rPr>
        <w:t xml:space="preserve">the Gold Standard Medication List </w:t>
      </w:r>
      <w:r>
        <w:rPr>
          <w:rFonts w:cs="Arial"/>
          <w:b/>
        </w:rPr>
        <w:t xml:space="preserve">also need to </w:t>
      </w:r>
      <w:r w:rsidRPr="009A5185">
        <w:rPr>
          <w:rFonts w:cs="Arial"/>
          <w:b/>
        </w:rPr>
        <w:t xml:space="preserve">perform the review to identify unintentional medication discrepancies? </w:t>
      </w:r>
    </w:p>
    <w:p w14:paraId="6AC1699C" w14:textId="0E6A7925" w:rsidR="0065334D" w:rsidRPr="009A5185" w:rsidRDefault="0065334D" w:rsidP="0065334D">
      <w:pPr>
        <w:pStyle w:val="ListParagraph"/>
        <w:rPr>
          <w:rFonts w:cs="Arial"/>
          <w:lang w:eastAsia="ja-JP"/>
        </w:rPr>
      </w:pPr>
      <w:r w:rsidRPr="009A5185">
        <w:rPr>
          <w:rFonts w:cs="Arial"/>
          <w:lang w:eastAsia="ja-JP"/>
        </w:rPr>
        <w:t>No, different pharmacists</w:t>
      </w:r>
      <w:r>
        <w:rPr>
          <w:rFonts w:cs="Arial"/>
          <w:lang w:eastAsia="ja-JP"/>
        </w:rPr>
        <w:t xml:space="preserve"> or pharmacy residents </w:t>
      </w:r>
      <w:r w:rsidRPr="009A5185">
        <w:rPr>
          <w:rFonts w:cs="Arial"/>
          <w:lang w:eastAsia="ja-JP"/>
        </w:rPr>
        <w:t>can play different roles in the data collection process.</w:t>
      </w:r>
      <w:r>
        <w:rPr>
          <w:rFonts w:cs="Arial"/>
          <w:lang w:eastAsia="ja-JP"/>
        </w:rPr>
        <w:t xml:space="preserve"> Only pharmacists and pharmacy residents </w:t>
      </w:r>
      <w:r w:rsidR="00E46668">
        <w:rPr>
          <w:rFonts w:cs="Arial"/>
          <w:lang w:eastAsia="ja-JP"/>
        </w:rPr>
        <w:t>can</w:t>
      </w:r>
      <w:r>
        <w:rPr>
          <w:rFonts w:cs="Arial"/>
          <w:lang w:eastAsia="ja-JP"/>
        </w:rPr>
        <w:t xml:space="preserve"> compare the Gold Standard Medication List to admission and discharge orders to identify unintentional medication discrepancies.</w:t>
      </w:r>
    </w:p>
    <w:p w14:paraId="18FD8102" w14:textId="77777777" w:rsidR="0065334D" w:rsidRPr="00504834" w:rsidRDefault="0065334D" w:rsidP="0065334D">
      <w:pPr>
        <w:rPr>
          <w:rFonts w:cs="Arial"/>
          <w:sz w:val="16"/>
          <w:szCs w:val="16"/>
          <w:lang w:eastAsia="ja-JP"/>
        </w:rPr>
      </w:pPr>
    </w:p>
    <w:p w14:paraId="504ADC74" w14:textId="77777777" w:rsidR="0065334D" w:rsidRPr="009A5185" w:rsidRDefault="0065334D" w:rsidP="00AD309C">
      <w:pPr>
        <w:pStyle w:val="ListParagraph"/>
        <w:numPr>
          <w:ilvl w:val="0"/>
          <w:numId w:val="56"/>
        </w:numPr>
        <w:rPr>
          <w:rFonts w:cs="Arial"/>
          <w:b/>
          <w:lang w:eastAsia="ja-JP"/>
        </w:rPr>
      </w:pPr>
      <w:r w:rsidRPr="009A5185">
        <w:rPr>
          <w:rFonts w:cs="Arial"/>
          <w:b/>
          <w:lang w:eastAsia="ja-JP"/>
        </w:rPr>
        <w:t>We have two differing records of what dose the patient was taking prior to admission, one from the patient and one from the outpatient pharmacy. What do we record as the correct dose for the Gold Standard Medication?</w:t>
      </w:r>
    </w:p>
    <w:p w14:paraId="62F826DB" w14:textId="77777777" w:rsidR="0065334D" w:rsidRPr="009A5185" w:rsidRDefault="0065334D" w:rsidP="0065334D">
      <w:pPr>
        <w:pStyle w:val="ListParagraph"/>
        <w:rPr>
          <w:rFonts w:cs="Arial"/>
          <w:lang w:eastAsia="ja-JP"/>
        </w:rPr>
      </w:pPr>
      <w:r w:rsidRPr="009A5185">
        <w:rPr>
          <w:rFonts w:cs="Arial"/>
          <w:lang w:eastAsia="ja-JP"/>
        </w:rPr>
        <w:t>In cases where the medication history obtained from interviewing the patient does not match other written records, the pharmacist</w:t>
      </w:r>
      <w:r>
        <w:rPr>
          <w:rFonts w:cs="Arial"/>
          <w:lang w:eastAsia="ja-JP"/>
        </w:rPr>
        <w:t xml:space="preserve"> </w:t>
      </w:r>
      <w:r w:rsidRPr="009A5185">
        <w:rPr>
          <w:rFonts w:cs="Arial"/>
          <w:lang w:eastAsia="ja-JP"/>
        </w:rPr>
        <w:t>will need to go back to the patient with the pharmacy records in hand and figure out the source of the discrepancy (e.g., the patient systematically takes it differently than prescribed vs. the patient was just mistaken about the strength of the pill, etc.). If the discrepancy can’t be resolved, then another source will be needed (e.g., caregiver, PCP).</w:t>
      </w:r>
    </w:p>
    <w:p w14:paraId="3E88F4C0" w14:textId="77777777" w:rsidR="006769A2" w:rsidRPr="00504834" w:rsidRDefault="006769A2" w:rsidP="0065334D">
      <w:pPr>
        <w:pStyle w:val="ListParagraph"/>
        <w:rPr>
          <w:rFonts w:cs="Arial"/>
          <w:sz w:val="16"/>
          <w:szCs w:val="16"/>
          <w:lang w:eastAsia="ja-JP"/>
        </w:rPr>
      </w:pPr>
    </w:p>
    <w:p w14:paraId="05550B98" w14:textId="77777777" w:rsidR="0065334D" w:rsidRPr="009A5185" w:rsidRDefault="0065334D" w:rsidP="007B5351">
      <w:pPr>
        <w:pStyle w:val="Heading44"/>
        <w:rPr>
          <w:lang w:eastAsia="ja-JP"/>
        </w:rPr>
      </w:pPr>
      <w:r w:rsidRPr="009A5185">
        <w:rPr>
          <w:lang w:eastAsia="ja-JP"/>
        </w:rPr>
        <w:t>Admission and Discharge Orders</w:t>
      </w:r>
    </w:p>
    <w:p w14:paraId="2AAA6876" w14:textId="77777777" w:rsidR="0065334D" w:rsidRPr="00504834" w:rsidRDefault="0065334D" w:rsidP="0065334D">
      <w:pPr>
        <w:rPr>
          <w:rFonts w:cs="Arial"/>
          <w:sz w:val="16"/>
          <w:szCs w:val="16"/>
          <w:lang w:eastAsia="ja-JP"/>
        </w:rPr>
      </w:pPr>
    </w:p>
    <w:p w14:paraId="66765114" w14:textId="77777777" w:rsidR="0065334D" w:rsidRPr="009A5185" w:rsidRDefault="0065334D" w:rsidP="00AD309C">
      <w:pPr>
        <w:pStyle w:val="ListParagraph"/>
        <w:numPr>
          <w:ilvl w:val="0"/>
          <w:numId w:val="56"/>
        </w:numPr>
        <w:rPr>
          <w:rFonts w:cs="Arial"/>
          <w:b/>
          <w:lang w:eastAsia="ja-JP"/>
        </w:rPr>
      </w:pPr>
      <w:r w:rsidRPr="009A5185">
        <w:rPr>
          <w:rFonts w:cs="Arial"/>
          <w:b/>
          <w:lang w:eastAsia="ja-JP"/>
        </w:rPr>
        <w:t>Are there any types of admission orders that can or should be excluded?</w:t>
      </w:r>
    </w:p>
    <w:p w14:paraId="641160C7" w14:textId="77777777" w:rsidR="0065334D" w:rsidRPr="009A5185" w:rsidRDefault="0065334D" w:rsidP="0065334D">
      <w:pPr>
        <w:pStyle w:val="ListParagraph"/>
        <w:rPr>
          <w:rFonts w:cs="Arial"/>
          <w:lang w:eastAsia="ja-JP"/>
        </w:rPr>
      </w:pPr>
      <w:r w:rsidRPr="009A5185">
        <w:rPr>
          <w:rFonts w:cs="Arial"/>
          <w:lang w:eastAsia="ja-JP"/>
        </w:rPr>
        <w:t xml:space="preserve">Yes, (a) Medication orders that are clearly related to the chief complaint (e.g., levofloxacin for pneumonia when pneumonia is the admitting diagnosis), (b) Medication orders that </w:t>
      </w:r>
      <w:r>
        <w:rPr>
          <w:rFonts w:cs="Arial"/>
          <w:lang w:eastAsia="ja-JP"/>
        </w:rPr>
        <w:t xml:space="preserve">are </w:t>
      </w:r>
      <w:r w:rsidRPr="009A5185">
        <w:rPr>
          <w:rFonts w:cs="Arial"/>
          <w:lang w:eastAsia="ja-JP"/>
        </w:rPr>
        <w:t xml:space="preserve">clearly documented (e.g., </w:t>
      </w:r>
      <w:proofErr w:type="spellStart"/>
      <w:r>
        <w:rPr>
          <w:rFonts w:cs="Arial"/>
          <w:lang w:eastAsia="ja-JP"/>
        </w:rPr>
        <w:t>L</w:t>
      </w:r>
      <w:r w:rsidRPr="009A5185">
        <w:rPr>
          <w:rFonts w:cs="Arial"/>
          <w:lang w:eastAsia="ja-JP"/>
        </w:rPr>
        <w:t>ovenox</w:t>
      </w:r>
      <w:proofErr w:type="spellEnd"/>
      <w:r w:rsidRPr="009A5185">
        <w:rPr>
          <w:rFonts w:cs="Arial"/>
          <w:lang w:eastAsia="ja-JP"/>
        </w:rPr>
        <w:t xml:space="preserve"> for DVT prophylaxis), and (c) Standard PRN orders at your hospital (e.g., Tylenol PM if that is in the standard order set at your hospital).</w:t>
      </w:r>
    </w:p>
    <w:p w14:paraId="363B50F8" w14:textId="77777777" w:rsidR="007B5351" w:rsidRPr="00504834" w:rsidRDefault="007B5351" w:rsidP="0065334D">
      <w:pPr>
        <w:pStyle w:val="ListParagraph"/>
        <w:rPr>
          <w:rFonts w:cs="Arial"/>
          <w:sz w:val="16"/>
          <w:szCs w:val="16"/>
          <w:lang w:eastAsia="ja-JP"/>
        </w:rPr>
      </w:pPr>
    </w:p>
    <w:p w14:paraId="5736C826" w14:textId="77777777" w:rsidR="0065334D" w:rsidRPr="009A5185" w:rsidRDefault="0065334D" w:rsidP="00AD309C">
      <w:pPr>
        <w:pStyle w:val="ListParagraph"/>
        <w:numPr>
          <w:ilvl w:val="0"/>
          <w:numId w:val="56"/>
        </w:numPr>
        <w:rPr>
          <w:rFonts w:cs="Arial"/>
          <w:b/>
          <w:lang w:eastAsia="ja-JP"/>
        </w:rPr>
      </w:pPr>
      <w:r w:rsidRPr="009A5185">
        <w:rPr>
          <w:rFonts w:cs="Arial"/>
          <w:b/>
          <w:lang w:eastAsia="ja-JP"/>
        </w:rPr>
        <w:t xml:space="preserve">Should admission orders that are discontinued prior to discharge be included? </w:t>
      </w:r>
    </w:p>
    <w:p w14:paraId="492A9081" w14:textId="7E540DD9" w:rsidR="00FB2D5F" w:rsidRDefault="0065334D" w:rsidP="00504834">
      <w:pPr>
        <w:ind w:left="720"/>
        <w:rPr>
          <w:rFonts w:cs="Arial"/>
          <w:lang w:eastAsia="ja-JP"/>
        </w:rPr>
      </w:pPr>
      <w:r w:rsidRPr="009A5185">
        <w:rPr>
          <w:rFonts w:cs="Arial"/>
          <w:lang w:eastAsia="ja-JP"/>
        </w:rPr>
        <w:t>Yes. Some of these orders may end up being counted in question #</w:t>
      </w:r>
      <w:r>
        <w:rPr>
          <w:rFonts w:cs="Arial"/>
          <w:lang w:eastAsia="ja-JP"/>
        </w:rPr>
        <w:t>7</w:t>
      </w:r>
      <w:r w:rsidRPr="009A5185">
        <w:rPr>
          <w:rFonts w:cs="Arial"/>
          <w:lang w:eastAsia="ja-JP"/>
        </w:rPr>
        <w:t xml:space="preserve"> (additional medications that were unintentionally ordered). </w:t>
      </w:r>
    </w:p>
    <w:p w14:paraId="2EDF7C97" w14:textId="738D44CD" w:rsidR="00910741" w:rsidRDefault="00910741">
      <w:pPr>
        <w:rPr>
          <w:b/>
          <w:color w:val="000000"/>
          <w:sz w:val="22"/>
          <w:lang w:eastAsia="ja-JP"/>
        </w:rPr>
      </w:pPr>
    </w:p>
    <w:p w14:paraId="4ADFC879" w14:textId="481D80B5" w:rsidR="0065334D" w:rsidRPr="009A5185" w:rsidRDefault="0065334D" w:rsidP="00690C11">
      <w:pPr>
        <w:pStyle w:val="Heading44"/>
        <w:rPr>
          <w:lang w:eastAsia="ja-JP"/>
        </w:rPr>
      </w:pPr>
      <w:r w:rsidRPr="009A5185">
        <w:rPr>
          <w:lang w:eastAsia="ja-JP"/>
        </w:rPr>
        <w:t>Identifying Discrepancies</w:t>
      </w:r>
    </w:p>
    <w:p w14:paraId="061AB615" w14:textId="77777777" w:rsidR="0065334D" w:rsidRPr="00504834" w:rsidRDefault="0065334D" w:rsidP="0065334D">
      <w:pPr>
        <w:pStyle w:val="ListParagraph"/>
        <w:rPr>
          <w:rFonts w:cs="Arial"/>
          <w:b/>
          <w:sz w:val="16"/>
          <w:szCs w:val="16"/>
          <w:lang w:eastAsia="ja-JP"/>
        </w:rPr>
      </w:pPr>
    </w:p>
    <w:p w14:paraId="49C7FB3A" w14:textId="77777777" w:rsidR="0065334D" w:rsidRPr="009A5185" w:rsidRDefault="0065334D" w:rsidP="00AD309C">
      <w:pPr>
        <w:pStyle w:val="ListParagraph"/>
        <w:numPr>
          <w:ilvl w:val="0"/>
          <w:numId w:val="56"/>
        </w:numPr>
        <w:rPr>
          <w:rFonts w:cs="Arial"/>
          <w:b/>
          <w:lang w:eastAsia="ja-JP"/>
        </w:rPr>
      </w:pPr>
      <w:r w:rsidRPr="009A5185">
        <w:rPr>
          <w:rFonts w:cs="Arial"/>
          <w:b/>
          <w:lang w:eastAsia="ja-JP"/>
        </w:rPr>
        <w:t>If a dose and a route discrepancy are found for the same medication, does it count as one or two in the number of unintentional discrepancies?</w:t>
      </w:r>
    </w:p>
    <w:p w14:paraId="17FDB15F" w14:textId="76C3893B" w:rsidR="0065334D" w:rsidRPr="009A5185" w:rsidRDefault="0065334D" w:rsidP="0065334D">
      <w:pPr>
        <w:pStyle w:val="ListParagraph"/>
        <w:rPr>
          <w:rFonts w:cs="Arial"/>
        </w:rPr>
      </w:pPr>
      <w:r w:rsidRPr="009A5185">
        <w:rPr>
          <w:rFonts w:cs="Arial"/>
          <w:lang w:eastAsia="ja-JP"/>
        </w:rPr>
        <w:t xml:space="preserve">The number of unintentional discrepancies is a count of medication orders where an unintentional discrepancy occurred. A medication order may have several errors associated with it (e.g., dose, route, timing, etc.). You should not count the number of errors associated with the same medication order. However, discrepancies </w:t>
      </w:r>
      <w:r w:rsidR="0064401B">
        <w:rPr>
          <w:rFonts w:cs="Arial"/>
          <w:lang w:eastAsia="ja-JP"/>
        </w:rPr>
        <w:t xml:space="preserve">in </w:t>
      </w:r>
      <w:r w:rsidRPr="009A5185">
        <w:rPr>
          <w:rFonts w:cs="Arial"/>
          <w:lang w:eastAsia="ja-JP"/>
        </w:rPr>
        <w:t>admission orders and discharge orders are counted separately. For example,</w:t>
      </w:r>
      <w:r w:rsidRPr="009A5185">
        <w:rPr>
          <w:rFonts w:cs="Arial"/>
        </w:rPr>
        <w:t xml:space="preserve"> if a medication on the </w:t>
      </w:r>
      <w:r>
        <w:rPr>
          <w:rFonts w:cs="Arial"/>
        </w:rPr>
        <w:t>G</w:t>
      </w:r>
      <w:r w:rsidRPr="009A5185">
        <w:rPr>
          <w:rFonts w:cs="Arial"/>
        </w:rPr>
        <w:t xml:space="preserve">old </w:t>
      </w:r>
      <w:r>
        <w:rPr>
          <w:rFonts w:cs="Arial"/>
        </w:rPr>
        <w:t>S</w:t>
      </w:r>
      <w:r w:rsidRPr="009A5185">
        <w:rPr>
          <w:rFonts w:cs="Arial"/>
        </w:rPr>
        <w:t xml:space="preserve">tandard </w:t>
      </w:r>
      <w:r>
        <w:rPr>
          <w:rFonts w:cs="Arial"/>
        </w:rPr>
        <w:t>Medication L</w:t>
      </w:r>
      <w:r w:rsidRPr="009A5185">
        <w:rPr>
          <w:rFonts w:cs="Arial"/>
        </w:rPr>
        <w:t>ist is ordered for a patient on admission with the incorrect dose, this counts as one discrepancy. If this medication is ordered on discharge with the same incorrect dose, this would count as a second discrepancy. But a medication with a dose and frequency discrepancy in admission orders counts as one discrepancy.</w:t>
      </w:r>
    </w:p>
    <w:p w14:paraId="7A8A400E" w14:textId="77777777" w:rsidR="0065334D" w:rsidRDefault="0065334D" w:rsidP="0065334D">
      <w:pPr>
        <w:pStyle w:val="ListParagraph"/>
        <w:rPr>
          <w:rFonts w:cs="Arial"/>
          <w:sz w:val="16"/>
          <w:szCs w:val="16"/>
          <w:lang w:eastAsia="ja-JP"/>
        </w:rPr>
      </w:pPr>
    </w:p>
    <w:p w14:paraId="209702F2" w14:textId="77777777" w:rsidR="003B6076" w:rsidRPr="00504834" w:rsidRDefault="003B6076" w:rsidP="0065334D">
      <w:pPr>
        <w:pStyle w:val="ListParagraph"/>
        <w:rPr>
          <w:rFonts w:cs="Arial"/>
          <w:sz w:val="16"/>
          <w:szCs w:val="16"/>
          <w:lang w:eastAsia="ja-JP"/>
        </w:rPr>
      </w:pPr>
    </w:p>
    <w:p w14:paraId="24C86248" w14:textId="0C18A91D" w:rsidR="0065334D" w:rsidRPr="009A5185" w:rsidRDefault="0065334D" w:rsidP="00AD309C">
      <w:pPr>
        <w:pStyle w:val="ListParagraph"/>
        <w:numPr>
          <w:ilvl w:val="0"/>
          <w:numId w:val="56"/>
        </w:numPr>
        <w:rPr>
          <w:rFonts w:cs="Arial"/>
          <w:lang w:eastAsia="ja-JP"/>
        </w:rPr>
      </w:pPr>
      <w:r w:rsidRPr="009A5185">
        <w:rPr>
          <w:rFonts w:cs="Arial"/>
          <w:b/>
          <w:lang w:eastAsia="ja-JP"/>
        </w:rPr>
        <w:lastRenderedPageBreak/>
        <w:t>Do all the additional medications that were ordered unintentionally in question #</w:t>
      </w:r>
      <w:r>
        <w:rPr>
          <w:rFonts w:cs="Arial"/>
          <w:b/>
          <w:lang w:eastAsia="ja-JP"/>
        </w:rPr>
        <w:t>7</w:t>
      </w:r>
      <w:r w:rsidRPr="009A5185">
        <w:rPr>
          <w:rFonts w:cs="Arial"/>
          <w:b/>
          <w:lang w:eastAsia="ja-JP"/>
        </w:rPr>
        <w:t xml:space="preserve"> count as unintentional discrepancies in #</w:t>
      </w:r>
      <w:r>
        <w:rPr>
          <w:rFonts w:cs="Arial"/>
          <w:b/>
          <w:lang w:eastAsia="ja-JP"/>
        </w:rPr>
        <w:t>8</w:t>
      </w:r>
      <w:r w:rsidRPr="009A5185">
        <w:rPr>
          <w:rFonts w:cs="Arial"/>
          <w:lang w:eastAsia="ja-JP"/>
        </w:rPr>
        <w:t>?</w:t>
      </w:r>
    </w:p>
    <w:p w14:paraId="366F2E1D" w14:textId="77777777" w:rsidR="0065334D" w:rsidRDefault="0065334D" w:rsidP="0065334D">
      <w:pPr>
        <w:pStyle w:val="ListParagraph"/>
        <w:rPr>
          <w:rFonts w:cs="Arial"/>
        </w:rPr>
      </w:pPr>
      <w:r w:rsidRPr="009A5185">
        <w:rPr>
          <w:rFonts w:cs="Arial"/>
          <w:lang w:eastAsia="ja-JP"/>
        </w:rPr>
        <w:t>Yes. I</w:t>
      </w:r>
      <w:r w:rsidRPr="009A5185">
        <w:rPr>
          <w:rFonts w:cs="Arial"/>
        </w:rPr>
        <w:t xml:space="preserve">f a medication is unintentionally ordered at admission, then this counts as one discrepancy. If the same medication is unintentionally ordered </w:t>
      </w:r>
      <w:r w:rsidRPr="009A5185">
        <w:rPr>
          <w:rFonts w:cs="Arial"/>
          <w:lang w:eastAsia="ja-JP"/>
        </w:rPr>
        <w:t>at</w:t>
      </w:r>
      <w:r w:rsidRPr="009A5185">
        <w:rPr>
          <w:rFonts w:cs="Arial"/>
        </w:rPr>
        <w:t xml:space="preserve"> discharge, then this counts as a second discrepancy. If an unintentionally ordered medication in question #</w:t>
      </w:r>
      <w:r>
        <w:rPr>
          <w:rFonts w:cs="Arial"/>
        </w:rPr>
        <w:t>7</w:t>
      </w:r>
      <w:r w:rsidRPr="009A5185">
        <w:rPr>
          <w:rFonts w:cs="Arial"/>
        </w:rPr>
        <w:t xml:space="preserve"> was ordered on both admission and discharge, then this would count as </w:t>
      </w:r>
      <w:r w:rsidRPr="009A5185">
        <w:rPr>
          <w:rFonts w:cs="Arial"/>
          <w:b/>
        </w:rPr>
        <w:t>two</w:t>
      </w:r>
      <w:r w:rsidRPr="009A5185">
        <w:rPr>
          <w:rFonts w:cs="Arial"/>
        </w:rPr>
        <w:t xml:space="preserve"> discrepancies in question #</w:t>
      </w:r>
      <w:r>
        <w:rPr>
          <w:rFonts w:cs="Arial"/>
        </w:rPr>
        <w:t>8</w:t>
      </w:r>
      <w:r w:rsidRPr="009A5185">
        <w:rPr>
          <w:rFonts w:cs="Arial"/>
        </w:rPr>
        <w:t xml:space="preserve"> (but counts as one medication in question #</w:t>
      </w:r>
      <w:r>
        <w:rPr>
          <w:rFonts w:cs="Arial"/>
        </w:rPr>
        <w:t>7</w:t>
      </w:r>
      <w:r w:rsidRPr="009A5185">
        <w:rPr>
          <w:rFonts w:cs="Arial"/>
        </w:rPr>
        <w:t>).</w:t>
      </w:r>
    </w:p>
    <w:p w14:paraId="6248CCB9" w14:textId="77777777" w:rsidR="0065334D" w:rsidRPr="00504834" w:rsidRDefault="0065334D" w:rsidP="0065334D">
      <w:pPr>
        <w:pStyle w:val="ListParagraph"/>
        <w:rPr>
          <w:rFonts w:cs="Arial"/>
          <w:sz w:val="16"/>
          <w:szCs w:val="16"/>
        </w:rPr>
      </w:pPr>
    </w:p>
    <w:p w14:paraId="1DE2CC45" w14:textId="77777777" w:rsidR="0065334D" w:rsidRPr="00ED6831" w:rsidRDefault="0065334D" w:rsidP="00AD309C">
      <w:pPr>
        <w:pStyle w:val="ListParagraph"/>
        <w:numPr>
          <w:ilvl w:val="0"/>
          <w:numId w:val="56"/>
        </w:numPr>
        <w:rPr>
          <w:rFonts w:cs="Arial"/>
          <w:b/>
          <w:bCs/>
        </w:rPr>
      </w:pPr>
      <w:r w:rsidRPr="00ED6831">
        <w:rPr>
          <w:rFonts w:cs="Arial"/>
          <w:b/>
          <w:bCs/>
        </w:rPr>
        <w:t>If there is no documentation of systematic or sporadic nonadherence, why does the pharmacist have to count unintentional discrepancies on admission and discharge?</w:t>
      </w:r>
    </w:p>
    <w:p w14:paraId="20C33E99" w14:textId="77777777" w:rsidR="0065334D" w:rsidRPr="00ED6831" w:rsidRDefault="0065334D" w:rsidP="0065334D">
      <w:pPr>
        <w:pStyle w:val="ListParagraph"/>
        <w:rPr>
          <w:rFonts w:cs="Arial"/>
        </w:rPr>
      </w:pPr>
      <w:r w:rsidRPr="00ED6831">
        <w:rPr>
          <w:rFonts w:cs="Arial"/>
        </w:rPr>
        <w:t xml:space="preserve">Systematically non-adherent means the patient consistently takes the medication differently than prescribed. Lack of appropriate documentation of systematic non-adherence can lead to an adverse drug event. For example, if a patient is prescribed hydralazine 25mg three times a day, but always takes 25mg two times a day this must be documented in the clinical record so the care team can </w:t>
      </w:r>
      <w:r>
        <w:rPr>
          <w:rFonts w:cs="Arial"/>
        </w:rPr>
        <w:t>decide</w:t>
      </w:r>
      <w:r w:rsidRPr="00ED6831">
        <w:rPr>
          <w:rFonts w:cs="Arial"/>
        </w:rPr>
        <w:t xml:space="preserve"> how to order the medication on admission and discharge (i.e., recorded on the Med Rec Worksheet as an intentional discrepancy). If the systematic non-adherence is not documented and the care team is unaware</w:t>
      </w:r>
      <w:r>
        <w:rPr>
          <w:rFonts w:cs="Arial"/>
        </w:rPr>
        <w:t xml:space="preserve"> of</w:t>
      </w:r>
      <w:r w:rsidRPr="00ED6831">
        <w:rPr>
          <w:rFonts w:cs="Arial"/>
        </w:rPr>
        <w:t xml:space="preserve"> how the patient has been taking the medication, they could order and administer it as prescribed and cause, in this example, hypotension in the patient. </w:t>
      </w:r>
    </w:p>
    <w:p w14:paraId="7D452AA7" w14:textId="77777777" w:rsidR="0065334D" w:rsidRPr="00504834" w:rsidRDefault="0065334D" w:rsidP="0065334D">
      <w:pPr>
        <w:pStyle w:val="ListParagraph"/>
        <w:rPr>
          <w:rFonts w:cs="Arial"/>
          <w:sz w:val="16"/>
          <w:szCs w:val="16"/>
        </w:rPr>
      </w:pPr>
    </w:p>
    <w:p w14:paraId="618235E9" w14:textId="77777777" w:rsidR="0065334D" w:rsidRDefault="0065334D" w:rsidP="0065334D">
      <w:pPr>
        <w:pStyle w:val="ListParagraph"/>
        <w:rPr>
          <w:rFonts w:cs="Arial"/>
        </w:rPr>
      </w:pPr>
      <w:r w:rsidRPr="00ED6831">
        <w:rPr>
          <w:rFonts w:cs="Arial"/>
        </w:rPr>
        <w:t>Sporadically non-adherent means that the patient takes the medication as prescribed but, on average, misses two or more doses per week. Lack of appropriate documentation of sporadic non-adherence can lead to an adverse drug event. For example, if a patient is prescribed four antihypertensives, but misses two or more doses per week, this must be documented in the clinical record so the care team can</w:t>
      </w:r>
      <w:r>
        <w:rPr>
          <w:rFonts w:cs="Arial"/>
        </w:rPr>
        <w:t xml:space="preserve"> decide</w:t>
      </w:r>
      <w:r w:rsidRPr="00ED6831">
        <w:rPr>
          <w:rFonts w:cs="Arial"/>
        </w:rPr>
        <w:t xml:space="preserve"> how to order the medication on admission and discharge (i.e., recorded on the Med Rec Worksheet as an intentional discrepancy). If the sporadic non-adherence is not documented and the care team is unaware </w:t>
      </w:r>
      <w:r>
        <w:rPr>
          <w:rFonts w:cs="Arial"/>
        </w:rPr>
        <w:t xml:space="preserve">of </w:t>
      </w:r>
      <w:r w:rsidRPr="00ED6831">
        <w:rPr>
          <w:rFonts w:cs="Arial"/>
        </w:rPr>
        <w:t>how the patient has been taking the medication, they could order and administer it as prescribed and cause, in this example, hypotension in the patient.</w:t>
      </w:r>
    </w:p>
    <w:p w14:paraId="241A28A9" w14:textId="77777777" w:rsidR="006769A2" w:rsidRPr="00504834" w:rsidRDefault="006769A2" w:rsidP="0065334D">
      <w:pPr>
        <w:pStyle w:val="ListParagraph"/>
        <w:rPr>
          <w:rFonts w:cs="Arial"/>
          <w:sz w:val="16"/>
          <w:szCs w:val="16"/>
        </w:rPr>
      </w:pPr>
    </w:p>
    <w:p w14:paraId="52BC805E" w14:textId="062CB59C" w:rsidR="0065334D" w:rsidRPr="008F166F" w:rsidRDefault="0065334D" w:rsidP="00AD309C">
      <w:pPr>
        <w:pStyle w:val="ListParagraph"/>
        <w:numPr>
          <w:ilvl w:val="0"/>
          <w:numId w:val="56"/>
        </w:numPr>
        <w:rPr>
          <w:rFonts w:cs="Arial"/>
          <w:b/>
          <w:bCs/>
        </w:rPr>
      </w:pPr>
      <w:r w:rsidRPr="008F166F">
        <w:rPr>
          <w:rFonts w:cs="Arial"/>
          <w:b/>
          <w:bCs/>
        </w:rPr>
        <w:t>A patient had two medications that were not on our hospital’s formulary. They were not substituted. Do these</w:t>
      </w:r>
      <w:r w:rsidR="00756579">
        <w:rPr>
          <w:rFonts w:cs="Arial"/>
          <w:b/>
          <w:bCs/>
        </w:rPr>
        <w:t xml:space="preserve"> two medications</w:t>
      </w:r>
      <w:r w:rsidRPr="008F166F">
        <w:rPr>
          <w:rFonts w:cs="Arial"/>
          <w:b/>
          <w:bCs/>
        </w:rPr>
        <w:t xml:space="preserve"> count as errors of omission?</w:t>
      </w:r>
    </w:p>
    <w:p w14:paraId="5AEAC596" w14:textId="6AB16F21" w:rsidR="00FB2D5F" w:rsidRDefault="0065334D" w:rsidP="00A90AE6">
      <w:pPr>
        <w:ind w:left="720"/>
        <w:rPr>
          <w:lang w:eastAsia="ja-JP"/>
        </w:rPr>
      </w:pPr>
      <w:r w:rsidRPr="008F166F">
        <w:rPr>
          <w:rFonts w:cs="Arial"/>
        </w:rPr>
        <w:t xml:space="preserve">Yes. If a </w:t>
      </w:r>
      <w:r>
        <w:rPr>
          <w:rFonts w:cs="Arial"/>
        </w:rPr>
        <w:t>G</w:t>
      </w:r>
      <w:r w:rsidRPr="008F166F">
        <w:rPr>
          <w:rFonts w:cs="Arial"/>
        </w:rPr>
        <w:t xml:space="preserve">old </w:t>
      </w:r>
      <w:r>
        <w:rPr>
          <w:rFonts w:cs="Arial"/>
        </w:rPr>
        <w:t>S</w:t>
      </w:r>
      <w:r w:rsidRPr="008F166F">
        <w:rPr>
          <w:rFonts w:cs="Arial"/>
        </w:rPr>
        <w:t xml:space="preserve">tandard </w:t>
      </w:r>
      <w:r>
        <w:rPr>
          <w:rFonts w:cs="Arial"/>
        </w:rPr>
        <w:t>M</w:t>
      </w:r>
      <w:r w:rsidRPr="008F166F">
        <w:rPr>
          <w:rFonts w:cs="Arial"/>
        </w:rPr>
        <w:t xml:space="preserve">edication was not ordered or appropriately substituted on admission and discharge, it would count as </w:t>
      </w:r>
      <w:r>
        <w:rPr>
          <w:rFonts w:cs="Arial"/>
        </w:rPr>
        <w:t>two</w:t>
      </w:r>
      <w:r w:rsidRPr="008F166F">
        <w:rPr>
          <w:rFonts w:cs="Arial"/>
        </w:rPr>
        <w:t xml:space="preserve"> unintentional medication discrepancies </w:t>
      </w:r>
      <w:r>
        <w:rPr>
          <w:rFonts w:cs="Arial"/>
        </w:rPr>
        <w:t xml:space="preserve">for </w:t>
      </w:r>
      <w:r w:rsidRPr="008F166F">
        <w:rPr>
          <w:rFonts w:cs="Arial"/>
        </w:rPr>
        <w:t>each medication that was omitted.</w:t>
      </w:r>
    </w:p>
    <w:p w14:paraId="2CB03357" w14:textId="77777777" w:rsidR="00FB2D5F" w:rsidRPr="00504834" w:rsidRDefault="00FB2D5F" w:rsidP="00690C11">
      <w:pPr>
        <w:pStyle w:val="ListParagraph"/>
        <w:rPr>
          <w:sz w:val="16"/>
          <w:szCs w:val="16"/>
          <w:lang w:eastAsia="ja-JP"/>
        </w:rPr>
      </w:pPr>
    </w:p>
    <w:p w14:paraId="096B417C" w14:textId="2C6F1554" w:rsidR="0065334D" w:rsidRPr="00504834" w:rsidRDefault="0065334D" w:rsidP="00D36222">
      <w:pPr>
        <w:pStyle w:val="Heading44"/>
        <w:rPr>
          <w:sz w:val="14"/>
          <w:szCs w:val="12"/>
        </w:rPr>
      </w:pPr>
      <w:r w:rsidRPr="00504834">
        <w:rPr>
          <w:sz w:val="20"/>
          <w:szCs w:val="18"/>
          <w:lang w:eastAsia="ja-JP"/>
        </w:rPr>
        <w:t>Scoring</w:t>
      </w:r>
      <w:r w:rsidRPr="00504834">
        <w:rPr>
          <w:sz w:val="20"/>
          <w:szCs w:val="18"/>
        </w:rPr>
        <w:br/>
      </w:r>
    </w:p>
    <w:p w14:paraId="72BBDEED" w14:textId="77777777" w:rsidR="0065334D" w:rsidRDefault="0065334D" w:rsidP="00AD309C">
      <w:pPr>
        <w:pStyle w:val="ListParagraph"/>
        <w:numPr>
          <w:ilvl w:val="0"/>
          <w:numId w:val="56"/>
        </w:numPr>
        <w:rPr>
          <w:rFonts w:cs="Arial"/>
          <w:sz w:val="18"/>
          <w:szCs w:val="18"/>
        </w:rPr>
      </w:pPr>
      <w:r w:rsidRPr="00504834">
        <w:rPr>
          <w:rFonts w:cs="Arial"/>
          <w:b/>
          <w:bCs/>
          <w:sz w:val="18"/>
          <w:szCs w:val="18"/>
        </w:rPr>
        <w:t>What questions are used to calculate the numerator and denominator that results in the rate of unintentional medication discrepancies per medication?</w:t>
      </w:r>
      <w:r w:rsidRPr="00504834">
        <w:rPr>
          <w:rFonts w:cs="Arial"/>
          <w:b/>
          <w:bCs/>
          <w:sz w:val="18"/>
          <w:szCs w:val="18"/>
        </w:rPr>
        <w:br/>
      </w:r>
      <w:r w:rsidRPr="00504834">
        <w:rPr>
          <w:rFonts w:cs="Arial"/>
          <w:sz w:val="18"/>
          <w:szCs w:val="18"/>
        </w:rPr>
        <w:t>The rate of unintentional medication discrepancies per medication is calculated using the following formula:</w:t>
      </w:r>
    </w:p>
    <w:p w14:paraId="65F543F4" w14:textId="77777777" w:rsidR="007C38D4" w:rsidRPr="00504834" w:rsidRDefault="007C38D4" w:rsidP="007C38D4">
      <w:pPr>
        <w:pStyle w:val="ListParagraph"/>
        <w:rPr>
          <w:rFonts w:cs="Arial"/>
          <w:sz w:val="18"/>
          <w:szCs w:val="18"/>
        </w:rPr>
      </w:pPr>
    </w:p>
    <w:p w14:paraId="2C6422BC" w14:textId="77777777" w:rsidR="0065334D" w:rsidRPr="00504834" w:rsidRDefault="0065334D" w:rsidP="0065334D">
      <w:pPr>
        <w:ind w:left="2160"/>
        <w:rPr>
          <w:rFonts w:cs="Arial"/>
          <w:sz w:val="14"/>
          <w:szCs w:val="14"/>
        </w:rPr>
      </w:pPr>
      <w:r>
        <w:rPr>
          <w:rFonts w:cs="Arial"/>
        </w:rPr>
        <w:t xml:space="preserve"> </w:t>
      </w:r>
      <w:r w:rsidRPr="00504834">
        <w:rPr>
          <w:rFonts w:cs="Arial"/>
          <w:sz w:val="14"/>
          <w:szCs w:val="14"/>
        </w:rPr>
        <w:t xml:space="preserve">    (Question #6 + Question #8)</w:t>
      </w:r>
    </w:p>
    <w:p w14:paraId="18954ADC" w14:textId="77777777" w:rsidR="0065334D" w:rsidRPr="00504834" w:rsidRDefault="0065334D" w:rsidP="0065334D">
      <w:pPr>
        <w:rPr>
          <w:rFonts w:cs="Arial"/>
          <w:sz w:val="8"/>
          <w:szCs w:val="8"/>
        </w:rPr>
      </w:pPr>
      <w:r w:rsidRPr="00504834">
        <w:rPr>
          <w:noProof/>
          <w:sz w:val="14"/>
          <w:szCs w:val="14"/>
        </w:rPr>
        <mc:AlternateContent>
          <mc:Choice Requires="wps">
            <w:drawing>
              <wp:anchor distT="0" distB="0" distL="114300" distR="114300" simplePos="0" relativeHeight="251658246" behindDoc="0" locked="0" layoutInCell="1" allowOverlap="1" wp14:anchorId="4F66F37A" wp14:editId="0447327C">
                <wp:simplePos x="0" y="0"/>
                <wp:positionH relativeFrom="column">
                  <wp:posOffset>1583055</wp:posOffset>
                </wp:positionH>
                <wp:positionV relativeFrom="paragraph">
                  <wp:posOffset>69215</wp:posOffset>
                </wp:positionV>
                <wp:extent cx="1554480" cy="0"/>
                <wp:effectExtent l="0" t="0" r="0" b="0"/>
                <wp:wrapNone/>
                <wp:docPr id="13" name="Straight Connector 13" descr="P2685#y1"/>
                <wp:cNvGraphicFramePr/>
                <a:graphic xmlns:a="http://schemas.openxmlformats.org/drawingml/2006/main">
                  <a:graphicData uri="http://schemas.microsoft.com/office/word/2010/wordprocessingShape">
                    <wps:wsp>
                      <wps:cNvCnPr/>
                      <wps:spPr>
                        <a:xfrm flipV="1">
                          <a:off x="0" y="0"/>
                          <a:ext cx="1554480" cy="0"/>
                        </a:xfrm>
                        <a:prstGeom prst="line">
                          <a:avLst/>
                        </a:prstGeom>
                        <a:ln w="19050"/>
                        <a:effectLst/>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6E8A3C39" id="Straight Connector 13" o:spid="_x0000_s1026" alt="P2685#y1" style="position:absolute;flip:y;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4.65pt,5.45pt" to="247.0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" strokecolor="black [3200]" strokeweight="1.5pt"/>
            </w:pict>
          </mc:Fallback>
        </mc:AlternateContent>
      </w:r>
      <w:r w:rsidRPr="00504834">
        <w:rPr>
          <w:rFonts w:cs="Arial"/>
          <w:sz w:val="14"/>
          <w:szCs w:val="14"/>
        </w:rPr>
        <w:tab/>
      </w:r>
      <w:r w:rsidRPr="00504834">
        <w:rPr>
          <w:rFonts w:cs="Arial"/>
          <w:sz w:val="14"/>
          <w:szCs w:val="14"/>
        </w:rPr>
        <w:tab/>
      </w:r>
      <w:r w:rsidRPr="00504834">
        <w:rPr>
          <w:rFonts w:cs="Arial"/>
          <w:sz w:val="14"/>
          <w:szCs w:val="14"/>
        </w:rPr>
        <w:tab/>
      </w:r>
      <w:r w:rsidRPr="00504834">
        <w:rPr>
          <w:rFonts w:cs="Arial"/>
          <w:sz w:val="14"/>
          <w:szCs w:val="14"/>
        </w:rPr>
        <w:tab/>
      </w:r>
      <w:r w:rsidRPr="00504834">
        <w:rPr>
          <w:rFonts w:cs="Arial"/>
          <w:sz w:val="14"/>
          <w:szCs w:val="14"/>
        </w:rPr>
        <w:tab/>
      </w:r>
      <w:r w:rsidRPr="00504834">
        <w:rPr>
          <w:rFonts w:cs="Arial"/>
          <w:sz w:val="14"/>
          <w:szCs w:val="14"/>
        </w:rPr>
        <w:tab/>
      </w:r>
      <w:r w:rsidRPr="00504834">
        <w:rPr>
          <w:rFonts w:cs="Arial"/>
          <w:sz w:val="14"/>
          <w:szCs w:val="14"/>
        </w:rPr>
        <w:tab/>
      </w:r>
      <w:r w:rsidRPr="00504834">
        <w:rPr>
          <w:rFonts w:cs="Arial"/>
        </w:rPr>
        <w:t>=</w:t>
      </w:r>
      <w:r w:rsidRPr="00504834">
        <w:rPr>
          <w:rFonts w:cs="Arial"/>
          <w:sz w:val="14"/>
          <w:szCs w:val="14"/>
        </w:rPr>
        <w:t xml:space="preserve"> Rate of unintentional medication discrepancies per medication</w:t>
      </w:r>
    </w:p>
    <w:p w14:paraId="3265951E" w14:textId="77777777" w:rsidR="0065334D" w:rsidRPr="00504834" w:rsidRDefault="0065334D" w:rsidP="0065334D">
      <w:pPr>
        <w:ind w:left="2160"/>
        <w:rPr>
          <w:rFonts w:cs="Arial"/>
          <w:sz w:val="14"/>
          <w:szCs w:val="14"/>
        </w:rPr>
      </w:pPr>
      <w:r w:rsidRPr="00504834">
        <w:rPr>
          <w:rFonts w:cs="Arial"/>
          <w:sz w:val="14"/>
          <w:szCs w:val="14"/>
        </w:rPr>
        <w:t xml:space="preserve">     (Question #5 + Question #7)</w:t>
      </w:r>
    </w:p>
    <w:p w14:paraId="4FD25F94" w14:textId="03CEBA1F" w:rsidR="0065334D" w:rsidRDefault="0065334D" w:rsidP="00A90AE6">
      <w:pPr>
        <w:ind w:left="720"/>
        <w:rPr>
          <w:b/>
          <w:bCs/>
          <w:i/>
          <w:iCs/>
          <w:snapToGrid w:val="0"/>
          <w:sz w:val="40"/>
          <w:szCs w:val="40"/>
          <w:lang w:eastAsia="ja-JP"/>
        </w:rPr>
      </w:pPr>
      <w:r>
        <w:rPr>
          <w:rFonts w:cs="Arial"/>
        </w:rPr>
        <w:br/>
      </w:r>
      <w:r w:rsidRPr="00504834">
        <w:rPr>
          <w:rFonts w:cs="Arial"/>
          <w:sz w:val="14"/>
          <w:szCs w:val="14"/>
        </w:rPr>
        <w:t xml:space="preserve">This rate is calculated for you in the Med Rec Workbook provided on the </w:t>
      </w:r>
      <w:hyperlink r:id="rId205" w:history="1">
        <w:r w:rsidRPr="00504834">
          <w:rPr>
            <w:rStyle w:val="Hyperlink"/>
            <w:rFonts w:cs="Arial"/>
            <w:sz w:val="14"/>
            <w:szCs w:val="14"/>
          </w:rPr>
          <w:t>Survey Materials webpage</w:t>
        </w:r>
      </w:hyperlink>
      <w:r w:rsidRPr="00504834">
        <w:rPr>
          <w:rFonts w:cs="Arial"/>
          <w:sz w:val="14"/>
          <w:szCs w:val="14"/>
        </w:rPr>
        <w:t xml:space="preserve">. </w:t>
      </w:r>
      <w:r w:rsidR="00C10458" w:rsidRPr="00504834">
        <w:rPr>
          <w:rFonts w:cs="Arial"/>
          <w:sz w:val="14"/>
          <w:szCs w:val="14"/>
        </w:rPr>
        <w:t xml:space="preserve">This information is also available in the </w:t>
      </w:r>
      <w:hyperlink r:id="rId206" w:history="1">
        <w:r w:rsidR="00C10458" w:rsidRPr="00504834">
          <w:rPr>
            <w:rStyle w:val="Hyperlink"/>
            <w:rFonts w:cs="Arial"/>
            <w:sz w:val="14"/>
            <w:szCs w:val="14"/>
          </w:rPr>
          <w:t>Scoring Algorithms</w:t>
        </w:r>
      </w:hyperlink>
      <w:r w:rsidR="00C10458" w:rsidRPr="00504834">
        <w:rPr>
          <w:rFonts w:cs="Arial"/>
          <w:sz w:val="14"/>
          <w:szCs w:val="14"/>
        </w:rPr>
        <w:t xml:space="preserve">. </w:t>
      </w:r>
      <w:r>
        <w:br w:type="page"/>
      </w:r>
    </w:p>
    <w:p w14:paraId="6805226D" w14:textId="77777777" w:rsidR="00306EB2" w:rsidRDefault="00306EB2" w:rsidP="00306EB2"/>
    <w:p w14:paraId="279396CA" w14:textId="78F4F26C" w:rsidR="00C35C80" w:rsidRPr="009A5185" w:rsidRDefault="00D42A72" w:rsidP="00CE1BA9">
      <w:pPr>
        <w:pStyle w:val="SectionHeader"/>
      </w:pPr>
      <w:bookmarkStart w:id="218" w:name="_Toc225877705"/>
      <w:r w:rsidRPr="009A5185">
        <w:t>Page Intentionally Left Blank</w:t>
      </w:r>
      <w:bookmarkEnd w:id="218"/>
    </w:p>
    <w:p w14:paraId="640C973A" w14:textId="77777777" w:rsidR="00D42A72" w:rsidRPr="009A5185" w:rsidRDefault="00D42A72">
      <w:pPr>
        <w:rPr>
          <w:rFonts w:cs="Arial"/>
          <w:b/>
          <w:color w:val="A6A6A6" w:themeColor="background1" w:themeShade="A6"/>
          <w:sz w:val="40"/>
          <w:szCs w:val="40"/>
          <w:lang w:eastAsia="ja-JP"/>
        </w:rPr>
      </w:pPr>
      <w:r w:rsidRPr="009A5185">
        <w:rPr>
          <w:rFonts w:cs="Arial"/>
          <w:b/>
          <w:color w:val="A6A6A6" w:themeColor="background1" w:themeShade="A6"/>
          <w:sz w:val="40"/>
          <w:szCs w:val="40"/>
          <w:lang w:eastAsia="ja-JP"/>
        </w:rPr>
        <w:br w:type="page"/>
      </w:r>
    </w:p>
    <w:p w14:paraId="52126FB9" w14:textId="77777777" w:rsidR="00920EF6" w:rsidRPr="009A5185" w:rsidRDefault="00920EF6" w:rsidP="00D42A72">
      <w:pPr>
        <w:rPr>
          <w:rFonts w:cs="Arial"/>
          <w:b/>
          <w:color w:val="A6A6A6" w:themeColor="background1" w:themeShade="A6"/>
          <w:sz w:val="40"/>
          <w:szCs w:val="40"/>
          <w:lang w:eastAsia="ja-JP"/>
        </w:rPr>
        <w:sectPr w:rsidR="00920EF6" w:rsidRPr="009A5185" w:rsidSect="00062F69">
          <w:headerReference w:type="default" r:id="rId207"/>
          <w:endnotePr>
            <w:numFmt w:val="decimal"/>
          </w:endnotePr>
          <w:type w:val="continuous"/>
          <w:pgSz w:w="12240" w:h="15840"/>
          <w:pgMar w:top="1080" w:right="1440" w:bottom="1080" w:left="1440" w:header="720" w:footer="720" w:gutter="0"/>
          <w:cols w:space="720"/>
          <w:docGrid w:linePitch="272"/>
        </w:sectPr>
      </w:pPr>
    </w:p>
    <w:p w14:paraId="2854FC60" w14:textId="77777777" w:rsidR="00F61ED5" w:rsidRPr="009A5185" w:rsidRDefault="00F61ED5" w:rsidP="00F750C5">
      <w:pPr>
        <w:rPr>
          <w:lang w:eastAsia="ja-JP"/>
        </w:rPr>
        <w:sectPr w:rsidR="00F61ED5" w:rsidRPr="009A5185" w:rsidSect="00062F69">
          <w:headerReference w:type="default" r:id="rId208"/>
          <w:endnotePr>
            <w:numFmt w:val="decimal"/>
          </w:endnotePr>
          <w:type w:val="continuous"/>
          <w:pgSz w:w="12240" w:h="15840"/>
          <w:pgMar w:top="1080" w:right="1440" w:bottom="1080" w:left="1440" w:header="720" w:footer="720" w:gutter="0"/>
          <w:cols w:space="720"/>
          <w:docGrid w:linePitch="272"/>
        </w:sectPr>
      </w:pPr>
    </w:p>
    <w:p w14:paraId="690B8CF3" w14:textId="77777777" w:rsidR="008059FF" w:rsidRDefault="008059FF" w:rsidP="00F750C5"/>
    <w:p w14:paraId="5E3AB3C7" w14:textId="77777777" w:rsidR="00B43F10" w:rsidRDefault="00B43F10" w:rsidP="00F750C5"/>
    <w:p w14:paraId="3A508183" w14:textId="77777777" w:rsidR="00C83A8C" w:rsidRDefault="00C83A8C" w:rsidP="00F750C5"/>
    <w:p w14:paraId="29FF8DF7" w14:textId="77777777" w:rsidR="00C83A8C" w:rsidRDefault="00C83A8C" w:rsidP="00F750C5"/>
    <w:p w14:paraId="349B4F36" w14:textId="77777777" w:rsidR="00C83A8C" w:rsidRDefault="00C83A8C" w:rsidP="00F750C5"/>
    <w:p w14:paraId="1B610112" w14:textId="77777777" w:rsidR="00C83A8C" w:rsidRDefault="00C83A8C" w:rsidP="00F750C5"/>
    <w:p w14:paraId="67D95908" w14:textId="77777777" w:rsidR="00C83A8C" w:rsidRDefault="00C83A8C" w:rsidP="00F750C5"/>
    <w:p w14:paraId="40BE2B9C" w14:textId="77777777" w:rsidR="00C83A8C" w:rsidRDefault="00C83A8C" w:rsidP="00F750C5"/>
    <w:p w14:paraId="4C9EF9BA" w14:textId="77777777" w:rsidR="00C83A8C" w:rsidRDefault="00C83A8C" w:rsidP="00F750C5"/>
    <w:p w14:paraId="55FE8B1D" w14:textId="77777777" w:rsidR="00C83A8C" w:rsidRDefault="00C83A8C" w:rsidP="00F750C5"/>
    <w:p w14:paraId="094E4FCD" w14:textId="77777777" w:rsidR="00C83A8C" w:rsidRDefault="00C83A8C" w:rsidP="00F750C5"/>
    <w:p w14:paraId="7316A40C" w14:textId="77777777" w:rsidR="00C83A8C" w:rsidRDefault="00C83A8C" w:rsidP="00F750C5"/>
    <w:p w14:paraId="2047D1CB" w14:textId="77777777" w:rsidR="00C83A8C" w:rsidRDefault="00C83A8C" w:rsidP="00F750C5"/>
    <w:p w14:paraId="61018C22" w14:textId="77777777" w:rsidR="00C83A8C" w:rsidRDefault="00C83A8C" w:rsidP="00F750C5"/>
    <w:p w14:paraId="0A4A0FD3" w14:textId="77777777" w:rsidR="00C83A8C" w:rsidRDefault="00C83A8C" w:rsidP="00F750C5"/>
    <w:p w14:paraId="38C860AA" w14:textId="77777777" w:rsidR="00C83A8C" w:rsidRDefault="00C83A8C" w:rsidP="00F750C5"/>
    <w:p w14:paraId="61EC30CC" w14:textId="77777777" w:rsidR="008059FF" w:rsidRDefault="008059FF" w:rsidP="00F750C5"/>
    <w:p w14:paraId="16634A72" w14:textId="77777777" w:rsidR="00F750C5" w:rsidRPr="009A5185" w:rsidRDefault="00F750C5" w:rsidP="00F72C9F"/>
    <w:p w14:paraId="16626BFD" w14:textId="1C7E839F" w:rsidR="00AB2927" w:rsidRPr="009A5185" w:rsidRDefault="00AB2927" w:rsidP="00D32C75">
      <w:pPr>
        <w:pStyle w:val="SectionHeader"/>
      </w:pPr>
      <w:bookmarkStart w:id="219" w:name="_Toc225877706"/>
      <w:bookmarkStart w:id="220" w:name="InpatientSurg"/>
      <w:r w:rsidRPr="009A5185">
        <w:t xml:space="preserve">SECTION 3: </w:t>
      </w:r>
      <w:r w:rsidR="00B152BD">
        <w:t xml:space="preserve">ADULT AND PEDIATRIC </w:t>
      </w:r>
      <w:r w:rsidR="003D737B">
        <w:t>COMPLEX</w:t>
      </w:r>
      <w:r w:rsidR="002F61F8" w:rsidRPr="009A5185">
        <w:t xml:space="preserve"> SURGERY</w:t>
      </w:r>
      <w:bookmarkEnd w:id="219"/>
    </w:p>
    <w:bookmarkEnd w:id="220"/>
    <w:p w14:paraId="58D573EB" w14:textId="77777777" w:rsidR="0068304F" w:rsidRPr="009A5185" w:rsidRDefault="0068304F" w:rsidP="00F72C9F"/>
    <w:p w14:paraId="0FCCE241" w14:textId="48858B2F" w:rsidR="0068304F" w:rsidRPr="009A5185" w:rsidRDefault="0068304F" w:rsidP="0068304F">
      <w:pPr>
        <w:rPr>
          <w:rFonts w:cs="Arial"/>
        </w:rPr>
      </w:pPr>
      <w:r w:rsidRPr="009A5185">
        <w:rPr>
          <w:rFonts w:cs="Arial"/>
        </w:rPr>
        <w:t>This section includes questions and refer</w:t>
      </w:r>
      <w:r w:rsidR="00432267" w:rsidRPr="009A5185">
        <w:rPr>
          <w:rFonts w:cs="Arial"/>
        </w:rPr>
        <w:t>ence information for Section 3</w:t>
      </w:r>
      <w:r w:rsidR="004A4FD0" w:rsidRPr="009A5185">
        <w:rPr>
          <w:rFonts w:cs="Arial"/>
        </w:rPr>
        <w:t>:</w:t>
      </w:r>
      <w:r w:rsidR="00432267" w:rsidRPr="009A5185">
        <w:rPr>
          <w:rFonts w:cs="Arial"/>
        </w:rPr>
        <w:t xml:space="preserve"> </w:t>
      </w:r>
      <w:r w:rsidR="00B152BD">
        <w:rPr>
          <w:rFonts w:cs="Arial"/>
        </w:rPr>
        <w:t>Adult and Pediatric</w:t>
      </w:r>
      <w:r w:rsidR="003D737B">
        <w:rPr>
          <w:rFonts w:cs="Arial"/>
        </w:rPr>
        <w:t xml:space="preserve"> Complex</w:t>
      </w:r>
      <w:r w:rsidR="002F61F8" w:rsidRPr="009A5185">
        <w:rPr>
          <w:rFonts w:cs="Arial"/>
        </w:rPr>
        <w:t xml:space="preserve"> Surgery</w:t>
      </w:r>
      <w:r w:rsidRPr="009A5185">
        <w:rPr>
          <w:rFonts w:cs="Arial"/>
        </w:rPr>
        <w:t xml:space="preserve">. Please carefully review the questions, </w:t>
      </w:r>
      <w:r w:rsidR="00B94757" w:rsidRPr="009A5185">
        <w:rPr>
          <w:rFonts w:cs="Arial"/>
        </w:rPr>
        <w:t>endnotes</w:t>
      </w:r>
      <w:r w:rsidRPr="009A5185">
        <w:rPr>
          <w:rFonts w:cs="Arial"/>
        </w:rPr>
        <w:t>, and reference information (e.g.</w:t>
      </w:r>
      <w:r w:rsidR="00E77CB0" w:rsidRPr="009A5185">
        <w:rPr>
          <w:rFonts w:cs="Arial"/>
        </w:rPr>
        <w:t>,</w:t>
      </w:r>
      <w:r w:rsidRPr="009A5185">
        <w:rPr>
          <w:rFonts w:cs="Arial"/>
        </w:rPr>
        <w:t xml:space="preserve"> measure specifications, notes, and frequen</w:t>
      </w:r>
      <w:r w:rsidR="00E77CB0" w:rsidRPr="009A5185">
        <w:rPr>
          <w:rFonts w:cs="Arial"/>
        </w:rPr>
        <w:t>tl</w:t>
      </w:r>
      <w:r w:rsidRPr="009A5185">
        <w:rPr>
          <w:rFonts w:cs="Arial"/>
        </w:rPr>
        <w:t>y asked questions) before you begin. Failure to review the reference information could result in inaccurate responses.</w:t>
      </w:r>
    </w:p>
    <w:p w14:paraId="42108FF6" w14:textId="77777777" w:rsidR="0068304F" w:rsidRPr="009A5185" w:rsidRDefault="0068304F" w:rsidP="00F72C9F"/>
    <w:p w14:paraId="106F9AA0" w14:textId="77777777" w:rsidR="00AB2927" w:rsidRPr="009A5185" w:rsidRDefault="00AB2927" w:rsidP="00F72C9F"/>
    <w:p w14:paraId="248B9FD4" w14:textId="77777777" w:rsidR="00C35C80" w:rsidRPr="009A5185" w:rsidRDefault="00AB2927" w:rsidP="00C35C80">
      <w:pPr>
        <w:rPr>
          <w:rFonts w:cs="Arial"/>
          <w:b/>
          <w:snapToGrid w:val="0"/>
          <w:sz w:val="40"/>
          <w:szCs w:val="40"/>
        </w:rPr>
      </w:pPr>
      <w:r w:rsidRPr="009A5185">
        <w:rPr>
          <w:rFonts w:cs="Arial"/>
        </w:rPr>
        <w:br w:type="page"/>
      </w:r>
    </w:p>
    <w:p w14:paraId="1B7F483B" w14:textId="734142D5" w:rsidR="000C3BE1" w:rsidRPr="009A5185" w:rsidRDefault="00164DB1" w:rsidP="00CF5A6E">
      <w:pPr>
        <w:pStyle w:val="Heading2"/>
      </w:pPr>
      <w:bookmarkStart w:id="221" w:name="_Section_3:_Adult"/>
      <w:bookmarkStart w:id="222" w:name="_Toc225877707"/>
      <w:bookmarkEnd w:id="221"/>
      <w:r w:rsidRPr="009A5185">
        <w:lastRenderedPageBreak/>
        <w:t xml:space="preserve">Section 3: </w:t>
      </w:r>
      <w:r w:rsidR="00B152BD">
        <w:t xml:space="preserve">Adult and Pediatric </w:t>
      </w:r>
      <w:r w:rsidR="003D737B">
        <w:t>Complex</w:t>
      </w:r>
      <w:r w:rsidR="00CB2A55" w:rsidRPr="009A5185">
        <w:t xml:space="preserve"> Surgery</w:t>
      </w:r>
      <w:bookmarkEnd w:id="222"/>
    </w:p>
    <w:p w14:paraId="7D02CC75" w14:textId="77777777" w:rsidR="00244710" w:rsidRPr="009A5185" w:rsidRDefault="00244710" w:rsidP="00E51615">
      <w:pPr>
        <w:rPr>
          <w:rFonts w:cs="Arial"/>
          <w:b/>
          <w:snapToGrid w:val="0"/>
        </w:rPr>
      </w:pPr>
    </w:p>
    <w:p w14:paraId="6F6A9A37" w14:textId="25E73D64" w:rsidR="0086770B" w:rsidRDefault="003D737B">
      <w:pPr>
        <w:pStyle w:val="BodyText3"/>
      </w:pPr>
      <w:r>
        <w:rPr>
          <w:rFonts w:cs="Arial"/>
          <w:b/>
          <w:color w:val="auto"/>
        </w:rPr>
        <w:t>Adult and Pediatric Complex</w:t>
      </w:r>
      <w:r w:rsidR="008B03B2" w:rsidRPr="009A5185">
        <w:rPr>
          <w:rFonts w:cs="Arial"/>
          <w:b/>
          <w:color w:val="auto"/>
        </w:rPr>
        <w:t xml:space="preserve"> Surgery Fact Sheet</w:t>
      </w:r>
      <w:r w:rsidR="009778A5">
        <w:rPr>
          <w:rFonts w:cs="Arial"/>
          <w:b/>
          <w:color w:val="auto"/>
        </w:rPr>
        <w:t xml:space="preserve"> and Bibliography</w:t>
      </w:r>
      <w:r w:rsidR="008B03B2" w:rsidRPr="009A5185">
        <w:rPr>
          <w:rFonts w:cs="Arial"/>
          <w:b/>
          <w:color w:val="auto"/>
        </w:rPr>
        <w:t>:</w:t>
      </w:r>
      <w:r w:rsidR="008B03B2" w:rsidRPr="009A5185">
        <w:rPr>
          <w:rFonts w:cs="Arial"/>
          <w:b/>
          <w:color w:val="FF0000"/>
        </w:rPr>
        <w:t xml:space="preserve"> </w:t>
      </w:r>
      <w:hyperlink r:id="rId209" w:history="1">
        <w:r w:rsidR="002972C4" w:rsidRPr="00A2752F">
          <w:rPr>
            <w:rStyle w:val="Hyperlink"/>
          </w:rPr>
          <w:t>https://ratings.leapfroggroup.org/measure/hospital/2026/complex-adult-and-pediatric-surgery</w:t>
        </w:r>
      </w:hyperlink>
      <w:r w:rsidR="002972C4">
        <w:t xml:space="preserve"> </w:t>
      </w:r>
    </w:p>
    <w:p w14:paraId="67AB179B" w14:textId="77777777" w:rsidR="008B03B2" w:rsidRPr="009A5185" w:rsidRDefault="008B03B2">
      <w:pPr>
        <w:pStyle w:val="BodyText3"/>
        <w:rPr>
          <w:rFonts w:cs="Arial"/>
          <w:b/>
          <w:color w:val="FF0000"/>
        </w:rPr>
      </w:pPr>
    </w:p>
    <w:p w14:paraId="0688E545" w14:textId="0A883AE8" w:rsidR="0081727B" w:rsidRPr="009A5185" w:rsidRDefault="0081727B" w:rsidP="0081727B">
      <w:pPr>
        <w:pStyle w:val="BodyText3"/>
        <w:rPr>
          <w:rFonts w:cs="Arial"/>
          <w:b/>
          <w:snapToGrid w:val="0"/>
          <w:color w:val="FF0000"/>
        </w:rPr>
      </w:pPr>
      <w:r>
        <w:rPr>
          <w:rFonts w:cs="Arial"/>
          <w:b/>
          <w:snapToGrid w:val="0"/>
          <w:color w:val="FF0000"/>
        </w:rPr>
        <w:t xml:space="preserve">Section 3 is applicable to </w:t>
      </w:r>
      <w:r w:rsidR="003B5EC9">
        <w:rPr>
          <w:rFonts w:cs="Arial"/>
          <w:b/>
          <w:snapToGrid w:val="0"/>
          <w:color w:val="FF0000"/>
        </w:rPr>
        <w:t>all h</w:t>
      </w:r>
      <w:r w:rsidRPr="009A5185">
        <w:rPr>
          <w:rFonts w:cs="Arial"/>
          <w:b/>
          <w:snapToGrid w:val="0"/>
          <w:color w:val="FF0000"/>
        </w:rPr>
        <w:t>ospitals</w:t>
      </w:r>
      <w:r>
        <w:rPr>
          <w:rFonts w:cs="Arial"/>
          <w:b/>
          <w:snapToGrid w:val="0"/>
          <w:color w:val="FF0000"/>
        </w:rPr>
        <w:t>. Hospitals that do not perform the high-risk procedures included in Section 3A should select “None of the above” in question #2 and</w:t>
      </w:r>
      <w:r w:rsidRPr="009A5185">
        <w:rPr>
          <w:rFonts w:cs="Arial"/>
          <w:b/>
          <w:snapToGrid w:val="0"/>
          <w:color w:val="FF0000"/>
        </w:rPr>
        <w:t xml:space="preserve"> move on to the Affirmation of Accuracy. Your hospital’s results will be displayed as “Does Not Apply” on Leapfrog’s public reporting website.</w:t>
      </w:r>
      <w:r w:rsidR="00163D75">
        <w:rPr>
          <w:rFonts w:cs="Arial"/>
          <w:b/>
          <w:snapToGrid w:val="0"/>
          <w:color w:val="FF0000"/>
        </w:rPr>
        <w:t xml:space="preserve"> </w:t>
      </w:r>
      <w:r w:rsidR="00CE1BA9">
        <w:rPr>
          <w:rFonts w:cs="Arial"/>
          <w:b/>
          <w:snapToGrid w:val="0"/>
          <w:color w:val="FF0000"/>
        </w:rPr>
        <w:t xml:space="preserve">Pediatric hospitals should only report on the Norwood procedure, if applicable. </w:t>
      </w:r>
    </w:p>
    <w:p w14:paraId="1FF49F1D" w14:textId="4CD0315A" w:rsidR="0081727B" w:rsidRDefault="0081727B" w:rsidP="00FB144E">
      <w:pPr>
        <w:pStyle w:val="BodyText3"/>
        <w:rPr>
          <w:rFonts w:cs="Arial"/>
        </w:rPr>
      </w:pPr>
    </w:p>
    <w:p w14:paraId="4C3986F6" w14:textId="2C926813" w:rsidR="00DD2598" w:rsidRDefault="00652583" w:rsidP="00FB144E">
      <w:pPr>
        <w:pStyle w:val="BodyText3"/>
        <w:rPr>
          <w:rFonts w:cs="Arial"/>
        </w:rPr>
      </w:pPr>
      <w:r w:rsidRPr="009A5185">
        <w:rPr>
          <w:rFonts w:cs="Arial"/>
        </w:rPr>
        <w:t>Section 3 includes questions about your hospital</w:t>
      </w:r>
      <w:r w:rsidR="005E7032">
        <w:rPr>
          <w:rFonts w:cs="Arial"/>
        </w:rPr>
        <w:t>’s</w:t>
      </w:r>
      <w:r w:rsidRPr="009A5185">
        <w:rPr>
          <w:rFonts w:cs="Arial"/>
        </w:rPr>
        <w:t xml:space="preserve"> </w:t>
      </w:r>
      <w:r>
        <w:rPr>
          <w:rFonts w:cs="Arial"/>
        </w:rPr>
        <w:t xml:space="preserve">volume and process for privileging surgeons </w:t>
      </w:r>
      <w:r w:rsidRPr="009A5185">
        <w:rPr>
          <w:rFonts w:cs="Arial"/>
        </w:rPr>
        <w:t xml:space="preserve">for </w:t>
      </w:r>
      <w:r>
        <w:rPr>
          <w:rFonts w:cs="Arial"/>
        </w:rPr>
        <w:t>eleven</w:t>
      </w:r>
      <w:r w:rsidRPr="009A5185">
        <w:rPr>
          <w:rFonts w:cs="Arial"/>
        </w:rPr>
        <w:t xml:space="preserve"> high-risk procedures</w:t>
      </w:r>
      <w:r>
        <w:rPr>
          <w:rFonts w:cs="Arial"/>
        </w:rPr>
        <w:t xml:space="preserve">, outcomes for mitral valve repair and replacement, </w:t>
      </w:r>
      <w:r w:rsidR="000F3D1F">
        <w:rPr>
          <w:rFonts w:cs="Arial"/>
        </w:rPr>
        <w:t xml:space="preserve">and </w:t>
      </w:r>
      <w:r>
        <w:rPr>
          <w:rFonts w:cs="Arial"/>
        </w:rPr>
        <w:t>participation in The Society of Thoracic Surgeon’s Congenital Heart Surgery Database for hospitals that perform the Norwood procedure. This section also includes questions about the implementation of a safe surgery checklist.</w:t>
      </w:r>
    </w:p>
    <w:p w14:paraId="4966AE94" w14:textId="77777777" w:rsidR="00652583" w:rsidRPr="009A5185" w:rsidRDefault="00652583" w:rsidP="00FB144E">
      <w:pPr>
        <w:pStyle w:val="BodyText3"/>
        <w:rPr>
          <w:rFonts w:cs="Arial"/>
        </w:rPr>
      </w:pPr>
    </w:p>
    <w:p w14:paraId="44328AA1" w14:textId="7092990F" w:rsidR="008B73A6" w:rsidRPr="009A5185" w:rsidRDefault="00AE186C" w:rsidP="00FB144E">
      <w:pPr>
        <w:pStyle w:val="BodyText3"/>
        <w:rPr>
          <w:rFonts w:cs="Arial"/>
          <w:b/>
        </w:rPr>
      </w:pPr>
      <w:r w:rsidRPr="009A5185">
        <w:rPr>
          <w:rFonts w:cs="Arial"/>
          <w:b/>
        </w:rPr>
        <w:t>Each hospital</w:t>
      </w:r>
      <w:r w:rsidR="00F20FF5" w:rsidRPr="009A5185">
        <w:rPr>
          <w:rFonts w:cs="Arial"/>
          <w:b/>
        </w:rPr>
        <w:t xml:space="preserve"> </w:t>
      </w:r>
      <w:r w:rsidR="00F20FF5">
        <w:rPr>
          <w:rFonts w:cs="Arial"/>
          <w:b/>
        </w:rPr>
        <w:t>achieving</w:t>
      </w:r>
      <w:r w:rsidR="00F20FF5" w:rsidRPr="009A5185">
        <w:rPr>
          <w:rFonts w:cs="Arial"/>
          <w:b/>
        </w:rPr>
        <w:t xml:space="preserve"> th</w:t>
      </w:r>
      <w:r w:rsidR="00F20FF5">
        <w:rPr>
          <w:rFonts w:cs="Arial"/>
          <w:b/>
        </w:rPr>
        <w:t>e</w:t>
      </w:r>
      <w:r w:rsidR="00F20FF5" w:rsidRPr="009A5185">
        <w:rPr>
          <w:rFonts w:cs="Arial"/>
          <w:b/>
        </w:rPr>
        <w:t xml:space="preserve"> standard</w:t>
      </w:r>
      <w:r w:rsidR="00F810B7" w:rsidRPr="009A5185">
        <w:rPr>
          <w:rFonts w:cs="Arial"/>
          <w:b/>
        </w:rPr>
        <w:t xml:space="preserve"> for each </w:t>
      </w:r>
      <w:r w:rsidR="007D2386">
        <w:rPr>
          <w:rFonts w:cs="Arial"/>
          <w:b/>
        </w:rPr>
        <w:t xml:space="preserve">of the </w:t>
      </w:r>
      <w:r w:rsidR="00287EBB">
        <w:rPr>
          <w:rFonts w:cs="Arial"/>
          <w:b/>
        </w:rPr>
        <w:t>nine</w:t>
      </w:r>
      <w:r w:rsidR="007D2386">
        <w:rPr>
          <w:rFonts w:cs="Arial"/>
          <w:b/>
        </w:rPr>
        <w:t xml:space="preserve"> applicable high-risk</w:t>
      </w:r>
      <w:r w:rsidR="00F810B7" w:rsidRPr="009A5185">
        <w:rPr>
          <w:rFonts w:cs="Arial"/>
          <w:b/>
        </w:rPr>
        <w:t xml:space="preserve"> procedures</w:t>
      </w:r>
      <w:r w:rsidR="006A40FB" w:rsidRPr="009A5185">
        <w:rPr>
          <w:rFonts w:cs="Arial"/>
          <w:b/>
        </w:rPr>
        <w:t>:</w:t>
      </w:r>
    </w:p>
    <w:p w14:paraId="61FD0F83" w14:textId="488D59BF" w:rsidR="006A40FB" w:rsidRPr="009A5185" w:rsidRDefault="008B03B2" w:rsidP="00AD309C">
      <w:pPr>
        <w:pStyle w:val="BodyText3"/>
        <w:numPr>
          <w:ilvl w:val="0"/>
          <w:numId w:val="63"/>
        </w:numPr>
        <w:rPr>
          <w:rFonts w:cs="Arial"/>
        </w:rPr>
      </w:pPr>
      <w:r w:rsidRPr="009A5185">
        <w:rPr>
          <w:rFonts w:cs="Arial"/>
        </w:rPr>
        <w:t>Meets the minimum hospita</w:t>
      </w:r>
      <w:r w:rsidR="00F810B7" w:rsidRPr="009A5185">
        <w:rPr>
          <w:rFonts w:cs="Arial"/>
        </w:rPr>
        <w:t>l volume standard for t</w:t>
      </w:r>
      <w:r w:rsidR="007D2386">
        <w:rPr>
          <w:rFonts w:cs="Arial"/>
        </w:rPr>
        <w:t>he</w:t>
      </w:r>
      <w:r w:rsidR="00F810B7" w:rsidRPr="009A5185">
        <w:rPr>
          <w:rFonts w:cs="Arial"/>
        </w:rPr>
        <w:t xml:space="preserve"> procedure</w:t>
      </w:r>
      <w:r w:rsidR="00DD0395">
        <w:rPr>
          <w:rFonts w:cs="Arial"/>
        </w:rPr>
        <w:t xml:space="preserve">, </w:t>
      </w:r>
      <w:r w:rsidR="00DD0395" w:rsidRPr="00DD0395">
        <w:rPr>
          <w:rFonts w:cs="Arial"/>
          <w:b/>
          <w:bCs/>
        </w:rPr>
        <w:t>and</w:t>
      </w:r>
    </w:p>
    <w:p w14:paraId="03AFE612" w14:textId="4187977A" w:rsidR="00D71AA6" w:rsidRDefault="008B03B2" w:rsidP="00AD309C">
      <w:pPr>
        <w:pStyle w:val="BodyText3"/>
        <w:numPr>
          <w:ilvl w:val="0"/>
          <w:numId w:val="63"/>
        </w:numPr>
        <w:rPr>
          <w:rFonts w:cs="Arial"/>
        </w:rPr>
      </w:pPr>
      <w:r w:rsidRPr="009A5185">
        <w:rPr>
          <w:rFonts w:cs="Arial"/>
        </w:rPr>
        <w:t xml:space="preserve">Has a process for privileging surgeons that includes </w:t>
      </w:r>
      <w:r w:rsidR="00F810B7" w:rsidRPr="009A5185">
        <w:rPr>
          <w:rFonts w:cs="Arial"/>
        </w:rPr>
        <w:t xml:space="preserve">the surgeon </w:t>
      </w:r>
      <w:r w:rsidRPr="009A5185">
        <w:rPr>
          <w:rFonts w:cs="Arial"/>
        </w:rPr>
        <w:t xml:space="preserve">meeting or exceeding the minimum </w:t>
      </w:r>
      <w:r w:rsidR="00DC5655">
        <w:rPr>
          <w:rFonts w:cs="Arial"/>
        </w:rPr>
        <w:t xml:space="preserve">annual </w:t>
      </w:r>
      <w:r w:rsidRPr="009A5185">
        <w:rPr>
          <w:rFonts w:cs="Arial"/>
        </w:rPr>
        <w:t>surg</w:t>
      </w:r>
      <w:r w:rsidR="007D2386">
        <w:rPr>
          <w:rFonts w:cs="Arial"/>
        </w:rPr>
        <w:t xml:space="preserve">eon volume standard for the </w:t>
      </w:r>
      <w:r w:rsidR="00F810B7" w:rsidRPr="009A5185">
        <w:rPr>
          <w:rFonts w:cs="Arial"/>
        </w:rPr>
        <w:t>procedure</w:t>
      </w:r>
      <w:r w:rsidR="00DD0395">
        <w:rPr>
          <w:rFonts w:cs="Arial"/>
        </w:rPr>
        <w:t>.</w:t>
      </w:r>
    </w:p>
    <w:p w14:paraId="45EB6F00" w14:textId="740E28A4" w:rsidR="00D71AA6" w:rsidRDefault="00D71AA6" w:rsidP="00D71AA6">
      <w:pPr>
        <w:pStyle w:val="BodyText3"/>
        <w:rPr>
          <w:rFonts w:cs="Arial"/>
        </w:rPr>
      </w:pPr>
    </w:p>
    <w:p w14:paraId="5E3A0D05" w14:textId="6D952B51" w:rsidR="00D71AA6" w:rsidRDefault="00D71AA6" w:rsidP="00D71AA6">
      <w:pPr>
        <w:pStyle w:val="BodyText3"/>
        <w:rPr>
          <w:rFonts w:cs="Arial"/>
          <w:b/>
          <w:bCs/>
        </w:rPr>
      </w:pPr>
      <w:r>
        <w:rPr>
          <w:rFonts w:cs="Arial"/>
          <w:b/>
          <w:bCs/>
        </w:rPr>
        <w:t>Each hospital achieving the standard for mitral valve repair and replacement procedures:</w:t>
      </w:r>
    </w:p>
    <w:p w14:paraId="6CF7BC03" w14:textId="76B8FC76" w:rsidR="00D71AA6" w:rsidRDefault="00D71AA6" w:rsidP="00AD309C">
      <w:pPr>
        <w:pStyle w:val="ListParagraph"/>
        <w:numPr>
          <w:ilvl w:val="0"/>
          <w:numId w:val="140"/>
        </w:numPr>
        <w:rPr>
          <w:rFonts w:cs="Arial"/>
          <w:color w:val="000000"/>
        </w:rPr>
      </w:pPr>
      <w:r>
        <w:rPr>
          <w:rFonts w:cs="Arial"/>
          <w:color w:val="000000"/>
        </w:rPr>
        <w:t>M</w:t>
      </w:r>
      <w:r w:rsidRPr="00B543DA">
        <w:rPr>
          <w:rFonts w:cs="Arial"/>
          <w:color w:val="000000"/>
        </w:rPr>
        <w:t>e</w:t>
      </w:r>
      <w:r>
        <w:rPr>
          <w:rFonts w:cs="Arial"/>
          <w:color w:val="000000"/>
        </w:rPr>
        <w:t>e</w:t>
      </w:r>
      <w:r w:rsidRPr="00B543DA">
        <w:rPr>
          <w:rFonts w:cs="Arial"/>
          <w:color w:val="000000"/>
        </w:rPr>
        <w:t>t</w:t>
      </w:r>
      <w:r>
        <w:rPr>
          <w:rFonts w:cs="Arial"/>
          <w:color w:val="000000"/>
        </w:rPr>
        <w:t>s</w:t>
      </w:r>
      <w:r w:rsidRPr="00B543DA">
        <w:rPr>
          <w:rFonts w:cs="Arial"/>
          <w:color w:val="000000"/>
        </w:rPr>
        <w:t xml:space="preserve"> the minimum hospital volume standard</w:t>
      </w:r>
      <w:r>
        <w:rPr>
          <w:rFonts w:cs="Arial"/>
          <w:color w:val="000000"/>
        </w:rPr>
        <w:t xml:space="preserve"> for the procedure</w:t>
      </w:r>
      <w:r w:rsidR="00DD0395">
        <w:rPr>
          <w:rFonts w:cs="Arial"/>
          <w:color w:val="000000"/>
        </w:rPr>
        <w:t xml:space="preserve">, </w:t>
      </w:r>
      <w:r w:rsidR="00362DFB" w:rsidRPr="00DD0395">
        <w:rPr>
          <w:rFonts w:cs="Arial"/>
          <w:b/>
          <w:bCs/>
        </w:rPr>
        <w:t>and</w:t>
      </w:r>
    </w:p>
    <w:p w14:paraId="76F4A37E" w14:textId="611C33E6" w:rsidR="00D71AA6" w:rsidRDefault="00D71AA6" w:rsidP="00AD309C">
      <w:pPr>
        <w:pStyle w:val="ListParagraph"/>
        <w:numPr>
          <w:ilvl w:val="0"/>
          <w:numId w:val="140"/>
        </w:numPr>
        <w:rPr>
          <w:rFonts w:cs="Arial"/>
          <w:color w:val="000000"/>
        </w:rPr>
      </w:pPr>
      <w:r>
        <w:rPr>
          <w:rFonts w:cs="Arial"/>
          <w:color w:val="000000"/>
        </w:rPr>
        <w:t>Has a p</w:t>
      </w:r>
      <w:r w:rsidRPr="00B543DA">
        <w:rPr>
          <w:rFonts w:cs="Arial"/>
          <w:color w:val="000000"/>
        </w:rPr>
        <w:t xml:space="preserve">rocess for privileging surgeons </w:t>
      </w:r>
      <w:r>
        <w:rPr>
          <w:rFonts w:cs="Arial"/>
          <w:color w:val="000000"/>
        </w:rPr>
        <w:t xml:space="preserve">that </w:t>
      </w:r>
      <w:r w:rsidRPr="00B543DA">
        <w:rPr>
          <w:rFonts w:cs="Arial"/>
          <w:color w:val="000000"/>
        </w:rPr>
        <w:t xml:space="preserve">includes meeting or exceeding the minimum </w:t>
      </w:r>
      <w:r w:rsidR="00DC5655">
        <w:rPr>
          <w:rFonts w:cs="Arial"/>
          <w:color w:val="000000"/>
        </w:rPr>
        <w:t xml:space="preserve">annual </w:t>
      </w:r>
      <w:r w:rsidRPr="00B543DA">
        <w:rPr>
          <w:rFonts w:cs="Arial"/>
          <w:color w:val="000000"/>
        </w:rPr>
        <w:t>surgeon volume standard</w:t>
      </w:r>
      <w:r>
        <w:rPr>
          <w:rFonts w:cs="Arial"/>
          <w:color w:val="000000"/>
        </w:rPr>
        <w:t xml:space="preserve"> for the procedure</w:t>
      </w:r>
      <w:r w:rsidR="00362DFB">
        <w:rPr>
          <w:rFonts w:cs="Arial"/>
          <w:color w:val="000000"/>
        </w:rPr>
        <w:t xml:space="preserve">, </w:t>
      </w:r>
      <w:r w:rsidR="00362DFB" w:rsidRPr="00DD0395">
        <w:rPr>
          <w:rFonts w:cs="Arial"/>
          <w:b/>
          <w:bCs/>
        </w:rPr>
        <w:t>and</w:t>
      </w:r>
    </w:p>
    <w:p w14:paraId="223101E6" w14:textId="4135A4E7" w:rsidR="00D71AA6" w:rsidRDefault="00D71AA6" w:rsidP="00AD309C">
      <w:pPr>
        <w:pStyle w:val="ListParagraph"/>
        <w:numPr>
          <w:ilvl w:val="0"/>
          <w:numId w:val="140"/>
        </w:numPr>
        <w:rPr>
          <w:rFonts w:cs="Arial"/>
          <w:color w:val="000000"/>
        </w:rPr>
      </w:pPr>
      <w:r>
        <w:rPr>
          <w:rFonts w:cs="Arial"/>
          <w:color w:val="000000"/>
        </w:rPr>
        <w:t>P</w:t>
      </w:r>
      <w:r w:rsidRPr="00B543DA">
        <w:rPr>
          <w:rFonts w:cs="Arial"/>
          <w:color w:val="000000"/>
        </w:rPr>
        <w:t>articipates in the Society of Thoracic Surgeons (STS) Adult Cardiac Surgery Database (ACSD)</w:t>
      </w:r>
      <w:r w:rsidR="00362DFB">
        <w:rPr>
          <w:rFonts w:cs="Arial"/>
          <w:color w:val="000000"/>
        </w:rPr>
        <w:t xml:space="preserve">, </w:t>
      </w:r>
      <w:r w:rsidR="00362DFB" w:rsidRPr="00DD0395">
        <w:rPr>
          <w:rFonts w:cs="Arial"/>
          <w:b/>
          <w:bCs/>
        </w:rPr>
        <w:t>and</w:t>
      </w:r>
    </w:p>
    <w:p w14:paraId="4D22A866" w14:textId="28DD5F95" w:rsidR="00D71AA6" w:rsidRDefault="00D71AA6" w:rsidP="00AD309C">
      <w:pPr>
        <w:pStyle w:val="ListParagraph"/>
        <w:numPr>
          <w:ilvl w:val="0"/>
          <w:numId w:val="140"/>
        </w:numPr>
        <w:rPr>
          <w:rFonts w:cs="Arial"/>
          <w:color w:val="000000"/>
        </w:rPr>
      </w:pPr>
      <w:r>
        <w:rPr>
          <w:rFonts w:cs="Arial"/>
          <w:color w:val="000000"/>
        </w:rPr>
        <w:t>Has a</w:t>
      </w:r>
      <w:r w:rsidR="00720A62">
        <w:rPr>
          <w:rFonts w:cs="Arial"/>
          <w:color w:val="000000"/>
        </w:rPr>
        <w:t xml:space="preserve">n STS </w:t>
      </w:r>
      <w:r w:rsidRPr="00B543DA">
        <w:rPr>
          <w:rFonts w:cs="Arial"/>
          <w:color w:val="000000"/>
        </w:rPr>
        <w:t>Mitral Valve Repair/Replacement Composite Score</w:t>
      </w:r>
      <w:r>
        <w:rPr>
          <w:rFonts w:cs="Arial"/>
          <w:color w:val="000000"/>
        </w:rPr>
        <w:t xml:space="preserve"> of 3 Stars</w:t>
      </w:r>
      <w:r w:rsidR="00362DFB">
        <w:rPr>
          <w:rFonts w:cs="Arial"/>
          <w:color w:val="000000"/>
        </w:rPr>
        <w:t>.</w:t>
      </w:r>
    </w:p>
    <w:p w14:paraId="02177888" w14:textId="175FB4CF" w:rsidR="00A217E3" w:rsidRDefault="00A217E3" w:rsidP="00A217E3">
      <w:pPr>
        <w:rPr>
          <w:rFonts w:cs="Arial"/>
          <w:color w:val="000000"/>
        </w:rPr>
      </w:pPr>
    </w:p>
    <w:p w14:paraId="72D6F908" w14:textId="2FF550B8" w:rsidR="00A217E3" w:rsidRDefault="00A217E3" w:rsidP="00A217E3">
      <w:pPr>
        <w:pStyle w:val="BodyText3"/>
        <w:rPr>
          <w:rFonts w:cs="Arial"/>
          <w:b/>
          <w:bCs/>
        </w:rPr>
      </w:pPr>
      <w:r>
        <w:rPr>
          <w:rFonts w:cs="Arial"/>
          <w:b/>
          <w:bCs/>
        </w:rPr>
        <w:t>Each hospital achieving the standard for Norwood procedures:</w:t>
      </w:r>
    </w:p>
    <w:p w14:paraId="3C1CA004" w14:textId="29FE7CCD" w:rsidR="00A217E3" w:rsidRDefault="00A217E3" w:rsidP="00AD309C">
      <w:pPr>
        <w:pStyle w:val="ListParagraph"/>
        <w:numPr>
          <w:ilvl w:val="0"/>
          <w:numId w:val="178"/>
        </w:numPr>
        <w:rPr>
          <w:rFonts w:cs="Arial"/>
          <w:color w:val="000000"/>
        </w:rPr>
      </w:pPr>
      <w:r>
        <w:rPr>
          <w:rFonts w:cs="Arial"/>
          <w:color w:val="000000"/>
        </w:rPr>
        <w:t>M</w:t>
      </w:r>
      <w:r w:rsidRPr="00B543DA">
        <w:rPr>
          <w:rFonts w:cs="Arial"/>
          <w:color w:val="000000"/>
        </w:rPr>
        <w:t>e</w:t>
      </w:r>
      <w:r>
        <w:rPr>
          <w:rFonts w:cs="Arial"/>
          <w:color w:val="000000"/>
        </w:rPr>
        <w:t>e</w:t>
      </w:r>
      <w:r w:rsidRPr="00B543DA">
        <w:rPr>
          <w:rFonts w:cs="Arial"/>
          <w:color w:val="000000"/>
        </w:rPr>
        <w:t>t</w:t>
      </w:r>
      <w:r>
        <w:rPr>
          <w:rFonts w:cs="Arial"/>
          <w:color w:val="000000"/>
        </w:rPr>
        <w:t>s</w:t>
      </w:r>
      <w:r w:rsidRPr="00B543DA">
        <w:rPr>
          <w:rFonts w:cs="Arial"/>
          <w:color w:val="000000"/>
        </w:rPr>
        <w:t xml:space="preserve"> the minimum hospital volume standard</w:t>
      </w:r>
      <w:r>
        <w:rPr>
          <w:rFonts w:cs="Arial"/>
          <w:color w:val="000000"/>
        </w:rPr>
        <w:t xml:space="preserve"> for the procedure</w:t>
      </w:r>
      <w:r w:rsidR="00362DFB">
        <w:rPr>
          <w:rFonts w:cs="Arial"/>
          <w:color w:val="000000"/>
        </w:rPr>
        <w:t xml:space="preserve">, </w:t>
      </w:r>
      <w:r w:rsidR="00362DFB" w:rsidRPr="00DD0395">
        <w:rPr>
          <w:rFonts w:cs="Arial"/>
          <w:b/>
          <w:bCs/>
        </w:rPr>
        <w:t>and</w:t>
      </w:r>
    </w:p>
    <w:p w14:paraId="313399E3" w14:textId="202286DD" w:rsidR="00A217E3" w:rsidRDefault="00A217E3" w:rsidP="00AD309C">
      <w:pPr>
        <w:pStyle w:val="ListParagraph"/>
        <w:numPr>
          <w:ilvl w:val="0"/>
          <w:numId w:val="178"/>
        </w:numPr>
        <w:rPr>
          <w:rFonts w:cs="Arial"/>
          <w:color w:val="000000"/>
        </w:rPr>
      </w:pPr>
      <w:r>
        <w:rPr>
          <w:rFonts w:cs="Arial"/>
          <w:color w:val="000000"/>
        </w:rPr>
        <w:t>Has a p</w:t>
      </w:r>
      <w:r w:rsidRPr="00B543DA">
        <w:rPr>
          <w:rFonts w:cs="Arial"/>
          <w:color w:val="000000"/>
        </w:rPr>
        <w:t xml:space="preserve">rocess for privileging surgeons </w:t>
      </w:r>
      <w:r>
        <w:rPr>
          <w:rFonts w:cs="Arial"/>
          <w:color w:val="000000"/>
        </w:rPr>
        <w:t xml:space="preserve">that </w:t>
      </w:r>
      <w:r w:rsidRPr="00B543DA">
        <w:rPr>
          <w:rFonts w:cs="Arial"/>
          <w:color w:val="000000"/>
        </w:rPr>
        <w:t xml:space="preserve">includes meeting or exceeding the minimum </w:t>
      </w:r>
      <w:r>
        <w:rPr>
          <w:rFonts w:cs="Arial"/>
          <w:color w:val="000000"/>
        </w:rPr>
        <w:t xml:space="preserve">annual </w:t>
      </w:r>
      <w:r w:rsidRPr="00B543DA">
        <w:rPr>
          <w:rFonts w:cs="Arial"/>
          <w:color w:val="000000"/>
        </w:rPr>
        <w:t>surgeon volume standard</w:t>
      </w:r>
      <w:r>
        <w:rPr>
          <w:rFonts w:cs="Arial"/>
          <w:color w:val="000000"/>
        </w:rPr>
        <w:t xml:space="preserve"> for the procedure</w:t>
      </w:r>
      <w:r w:rsidR="00362DFB">
        <w:rPr>
          <w:rFonts w:cs="Arial"/>
          <w:color w:val="000000"/>
        </w:rPr>
        <w:t xml:space="preserve">, </w:t>
      </w:r>
      <w:r w:rsidR="00362DFB" w:rsidRPr="00DD0395">
        <w:rPr>
          <w:rFonts w:cs="Arial"/>
          <w:b/>
          <w:bCs/>
        </w:rPr>
        <w:t>and</w:t>
      </w:r>
    </w:p>
    <w:p w14:paraId="23A36A8A" w14:textId="3BE30544" w:rsidR="00A217E3" w:rsidRDefault="00A217E3" w:rsidP="00AD309C">
      <w:pPr>
        <w:pStyle w:val="ListParagraph"/>
        <w:numPr>
          <w:ilvl w:val="0"/>
          <w:numId w:val="178"/>
        </w:numPr>
        <w:rPr>
          <w:rFonts w:cs="Arial"/>
          <w:color w:val="000000"/>
        </w:rPr>
      </w:pPr>
      <w:r>
        <w:rPr>
          <w:rFonts w:cs="Arial"/>
          <w:color w:val="000000"/>
        </w:rPr>
        <w:t>P</w:t>
      </w:r>
      <w:r w:rsidRPr="00B543DA">
        <w:rPr>
          <w:rFonts w:cs="Arial"/>
          <w:color w:val="000000"/>
        </w:rPr>
        <w:t xml:space="preserve">articipates in the Society of Thoracic Surgeons (STS) </w:t>
      </w:r>
      <w:r>
        <w:rPr>
          <w:rFonts w:cs="Arial"/>
          <w:color w:val="000000"/>
        </w:rPr>
        <w:t>Congenital Heart</w:t>
      </w:r>
      <w:r w:rsidRPr="00B543DA">
        <w:rPr>
          <w:rFonts w:cs="Arial"/>
          <w:color w:val="000000"/>
        </w:rPr>
        <w:t xml:space="preserve"> Surgery Database (</w:t>
      </w:r>
      <w:r>
        <w:rPr>
          <w:rFonts w:cs="Arial"/>
          <w:color w:val="000000"/>
        </w:rPr>
        <w:t>CH</w:t>
      </w:r>
      <w:r w:rsidRPr="00B543DA">
        <w:rPr>
          <w:rFonts w:cs="Arial"/>
          <w:color w:val="000000"/>
        </w:rPr>
        <w:t>SD)</w:t>
      </w:r>
      <w:r w:rsidR="00362DFB">
        <w:rPr>
          <w:rFonts w:cs="Arial"/>
          <w:color w:val="000000"/>
        </w:rPr>
        <w:t>.</w:t>
      </w:r>
    </w:p>
    <w:p w14:paraId="04D21ED9" w14:textId="53DCF226" w:rsidR="002668B5" w:rsidRDefault="002668B5" w:rsidP="002668B5">
      <w:pPr>
        <w:rPr>
          <w:rFonts w:cs="Arial"/>
          <w:color w:val="000000"/>
        </w:rPr>
      </w:pPr>
    </w:p>
    <w:p w14:paraId="5E42775E" w14:textId="4242E0C8" w:rsidR="002668B5" w:rsidRPr="00BC3C78" w:rsidRDefault="002668B5" w:rsidP="002668B5">
      <w:pPr>
        <w:rPr>
          <w:rFonts w:cs="Arial"/>
          <w:b/>
          <w:bCs/>
          <w:color w:val="000000"/>
        </w:rPr>
      </w:pPr>
      <w:r w:rsidRPr="00BC3C78">
        <w:rPr>
          <w:rFonts w:cs="Arial"/>
          <w:b/>
          <w:bCs/>
          <w:color w:val="000000"/>
        </w:rPr>
        <w:t xml:space="preserve">Each hospital achieving the standard for </w:t>
      </w:r>
      <w:r w:rsidR="00B33AFA">
        <w:rPr>
          <w:rFonts w:cs="Arial"/>
          <w:b/>
          <w:bCs/>
          <w:color w:val="000000"/>
        </w:rPr>
        <w:t>the safe surgery checklist</w:t>
      </w:r>
      <w:r w:rsidRPr="00BC3C78">
        <w:rPr>
          <w:rFonts w:cs="Arial"/>
          <w:b/>
          <w:bCs/>
          <w:color w:val="000000"/>
        </w:rPr>
        <w:t>:</w:t>
      </w:r>
    </w:p>
    <w:p w14:paraId="0C8C6CDD" w14:textId="4ABE8427" w:rsidR="0074772E" w:rsidRPr="0074772E" w:rsidRDefault="00720A62" w:rsidP="00AD309C">
      <w:pPr>
        <w:pStyle w:val="ListParagraph"/>
        <w:numPr>
          <w:ilvl w:val="0"/>
          <w:numId w:val="168"/>
        </w:numPr>
        <w:spacing w:after="120" w:line="264" w:lineRule="auto"/>
        <w:rPr>
          <w:rFonts w:cstheme="minorHAnsi"/>
        </w:rPr>
      </w:pPr>
      <w:r w:rsidRPr="00720A62">
        <w:rPr>
          <w:rFonts w:cstheme="minorHAnsi"/>
        </w:rPr>
        <w:t xml:space="preserve">Uses a safe surgery checklist on </w:t>
      </w:r>
      <w:r w:rsidRPr="00720A62">
        <w:rPr>
          <w:rFonts w:cstheme="minorHAnsi"/>
          <w:b/>
          <w:bCs/>
        </w:rPr>
        <w:t xml:space="preserve">all </w:t>
      </w:r>
      <w:r w:rsidRPr="00720A62">
        <w:rPr>
          <w:rFonts w:cstheme="minorHAnsi"/>
        </w:rPr>
        <w:t>patients undergoing an applicable procedure (reported on in Section 3A</w:t>
      </w:r>
      <w:r w:rsidR="001D32A7">
        <w:rPr>
          <w:rFonts w:cstheme="minorHAnsi"/>
        </w:rPr>
        <w:t>, if applicable</w:t>
      </w:r>
      <w:r w:rsidRPr="00720A62">
        <w:rPr>
          <w:rFonts w:cstheme="minorHAnsi"/>
        </w:rPr>
        <w:t>)</w:t>
      </w:r>
      <w:r w:rsidR="0074772E">
        <w:rPr>
          <w:rFonts w:cstheme="minorHAnsi"/>
        </w:rPr>
        <w:t xml:space="preserve"> that </w:t>
      </w:r>
      <w:r>
        <w:t>includes</w:t>
      </w:r>
      <w:r w:rsidRPr="00AD521E">
        <w:t xml:space="preserve"> </w:t>
      </w:r>
      <w:r w:rsidRPr="00D65587">
        <w:rPr>
          <w:b/>
          <w:bCs/>
        </w:rPr>
        <w:t>all</w:t>
      </w:r>
      <w:r w:rsidRPr="00AD521E">
        <w:rPr>
          <w:b/>
          <w:bCs/>
        </w:rPr>
        <w:t xml:space="preserve"> </w:t>
      </w:r>
      <w:r w:rsidRPr="00AD521E">
        <w:t xml:space="preserve">safe </w:t>
      </w:r>
      <w:r>
        <w:t>surgery</w:t>
      </w:r>
      <w:r w:rsidRPr="00AD521E">
        <w:t xml:space="preserve"> checklist elements</w:t>
      </w:r>
      <w:r w:rsidR="00AE6BAB">
        <w:t>;</w:t>
      </w:r>
      <w:r w:rsidR="00362DFB">
        <w:t xml:space="preserve"> </w:t>
      </w:r>
      <w:r w:rsidR="00362DFB" w:rsidRPr="00DD0395">
        <w:rPr>
          <w:rFonts w:cs="Arial"/>
          <w:b/>
          <w:bCs/>
        </w:rPr>
        <w:t>and</w:t>
      </w:r>
    </w:p>
    <w:p w14:paraId="6AB34469" w14:textId="09E0A45D" w:rsidR="00720A62" w:rsidRPr="0074772E" w:rsidRDefault="0074772E" w:rsidP="00AD309C">
      <w:pPr>
        <w:pStyle w:val="ListParagraph"/>
        <w:numPr>
          <w:ilvl w:val="0"/>
          <w:numId w:val="168"/>
        </w:numPr>
        <w:spacing w:after="120" w:line="264" w:lineRule="auto"/>
        <w:rPr>
          <w:rFonts w:cstheme="minorHAnsi"/>
        </w:rPr>
      </w:pPr>
      <w:r>
        <w:rPr>
          <w:rFonts w:cstheme="minorHAnsi"/>
        </w:rPr>
        <w:t xml:space="preserve">Verbalizes </w:t>
      </w:r>
      <w:r w:rsidRPr="002F266A">
        <w:rPr>
          <w:rFonts w:cstheme="minorHAnsi"/>
          <w:b/>
          <w:bCs/>
        </w:rPr>
        <w:t>all</w:t>
      </w:r>
      <w:r>
        <w:rPr>
          <w:rFonts w:cstheme="minorHAnsi"/>
        </w:rPr>
        <w:t xml:space="preserve"> </w:t>
      </w:r>
      <w:r w:rsidR="008B4DBB">
        <w:rPr>
          <w:rFonts w:cstheme="minorHAnsi"/>
        </w:rPr>
        <w:t xml:space="preserve">safe surgery checklist </w:t>
      </w:r>
      <w:r>
        <w:rPr>
          <w:rFonts w:cstheme="minorHAnsi"/>
        </w:rPr>
        <w:t xml:space="preserve">elements </w:t>
      </w:r>
      <w:r w:rsidR="00720A62">
        <w:t>in the presence of the appropriate personnel</w:t>
      </w:r>
      <w:r w:rsidR="00AE6BAB">
        <w:t>;</w:t>
      </w:r>
      <w:r w:rsidR="00362DFB">
        <w:t xml:space="preserve"> </w:t>
      </w:r>
      <w:r w:rsidR="00362DFB" w:rsidRPr="00DD0395">
        <w:rPr>
          <w:rFonts w:cs="Arial"/>
          <w:b/>
          <w:bCs/>
        </w:rPr>
        <w:t>and</w:t>
      </w:r>
    </w:p>
    <w:p w14:paraId="7A5461F5" w14:textId="0A0E2F3F" w:rsidR="00720A62" w:rsidRPr="0090542F" w:rsidRDefault="0074772E" w:rsidP="00AD309C">
      <w:pPr>
        <w:pStyle w:val="ListParagraph"/>
        <w:numPr>
          <w:ilvl w:val="0"/>
          <w:numId w:val="168"/>
        </w:numPr>
        <w:spacing w:after="120" w:line="264" w:lineRule="auto"/>
        <w:rPr>
          <w:rFonts w:cstheme="minorHAnsi"/>
        </w:rPr>
      </w:pPr>
      <w:r>
        <w:t>Completes a</w:t>
      </w:r>
      <w:r w:rsidR="00720A62">
        <w:t>n audit o</w:t>
      </w:r>
      <w:r w:rsidR="00A879E1">
        <w:t xml:space="preserve">n </w:t>
      </w:r>
      <w:r w:rsidR="00D25C4F">
        <w:t>a sufficient sample</w:t>
      </w:r>
      <w:r w:rsidR="00A879E1">
        <w:t xml:space="preserve"> of</w:t>
      </w:r>
      <w:r w:rsidR="00720A62">
        <w:t xml:space="preserve"> patients </w:t>
      </w:r>
      <w:r w:rsidR="00B56A23">
        <w:t xml:space="preserve">to </w:t>
      </w:r>
      <w:r w:rsidR="00720A62">
        <w:t>document adherence</w:t>
      </w:r>
      <w:r w:rsidR="00B56A23">
        <w:t xml:space="preserve"> </w:t>
      </w:r>
      <w:r w:rsidR="00720A62">
        <w:t>to the checklist</w:t>
      </w:r>
      <w:r w:rsidR="00AE6BAB">
        <w:t>;</w:t>
      </w:r>
      <w:r w:rsidR="00362DFB">
        <w:t xml:space="preserve"> </w:t>
      </w:r>
      <w:r w:rsidR="00362DFB" w:rsidRPr="00DD0395">
        <w:rPr>
          <w:rFonts w:cs="Arial"/>
          <w:b/>
          <w:bCs/>
        </w:rPr>
        <w:t>and</w:t>
      </w:r>
    </w:p>
    <w:p w14:paraId="123EF0D6" w14:textId="4E8E6FD6" w:rsidR="00720A62" w:rsidRPr="00501E77" w:rsidRDefault="00B56A23" w:rsidP="00AD309C">
      <w:pPr>
        <w:pStyle w:val="ListParagraph"/>
        <w:numPr>
          <w:ilvl w:val="0"/>
          <w:numId w:val="168"/>
        </w:numPr>
        <w:spacing w:after="120" w:line="264" w:lineRule="auto"/>
        <w:rPr>
          <w:rFonts w:cs="Arial"/>
          <w:b/>
          <w:bCs/>
          <w:szCs w:val="28"/>
        </w:rPr>
      </w:pPr>
      <w:r>
        <w:t>Has documented adherence to the checklist for at least 90% of the patients included in the audit</w:t>
      </w:r>
      <w:r w:rsidR="00362DFB">
        <w:t>.</w:t>
      </w:r>
    </w:p>
    <w:p w14:paraId="411D1386" w14:textId="77777777" w:rsidR="008B03B2" w:rsidRPr="009A5185" w:rsidRDefault="008B03B2" w:rsidP="008B03B2">
      <w:pPr>
        <w:pStyle w:val="BodyText3"/>
        <w:rPr>
          <w:rFonts w:cs="Arial"/>
        </w:rPr>
      </w:pPr>
    </w:p>
    <w:p w14:paraId="1382D692" w14:textId="46B30296" w:rsidR="008B03B2" w:rsidRPr="009A5185" w:rsidRDefault="001E4A76" w:rsidP="008B03B2">
      <w:pPr>
        <w:pStyle w:val="BodyText3"/>
        <w:rPr>
          <w:rFonts w:cs="Arial"/>
          <w:b/>
        </w:rPr>
      </w:pPr>
      <w:r>
        <w:rPr>
          <w:rFonts w:cs="Arial"/>
          <w:b/>
        </w:rPr>
        <w:t xml:space="preserve">Download the </w:t>
      </w:r>
      <w:r w:rsidR="00A236B1">
        <w:rPr>
          <w:rFonts w:cs="Arial"/>
          <w:b/>
        </w:rPr>
        <w:t>202</w:t>
      </w:r>
      <w:r w:rsidR="00F44200">
        <w:rPr>
          <w:rFonts w:cs="Arial"/>
          <w:b/>
        </w:rPr>
        <w:t>6</w:t>
      </w:r>
      <w:r w:rsidR="008B03B2" w:rsidRPr="009A5185">
        <w:rPr>
          <w:rFonts w:cs="Arial"/>
          <w:b/>
        </w:rPr>
        <w:t xml:space="preserve"> Leapfrog Hospital Survey Scoring Algorithm on the </w:t>
      </w:r>
      <w:hyperlink r:id="rId210" w:history="1">
        <w:r w:rsidR="008B03B2" w:rsidRPr="009A5185">
          <w:rPr>
            <w:rStyle w:val="Hyperlink"/>
            <w:rFonts w:cs="Arial"/>
            <w:b/>
          </w:rPr>
          <w:t>Scoring and Results webpage</w:t>
        </w:r>
      </w:hyperlink>
      <w:r w:rsidR="008B03B2" w:rsidRPr="009A5185">
        <w:rPr>
          <w:rFonts w:cs="Arial"/>
          <w:b/>
        </w:rPr>
        <w:t>.</w:t>
      </w:r>
    </w:p>
    <w:p w14:paraId="1D6E5F2E" w14:textId="77777777" w:rsidR="000A3B4F" w:rsidRPr="009A5185" w:rsidRDefault="000A3B4F" w:rsidP="00FB144E">
      <w:pPr>
        <w:pStyle w:val="BodyText3"/>
        <w:rPr>
          <w:rFonts w:cs="Arial"/>
        </w:rPr>
      </w:pPr>
    </w:p>
    <w:p w14:paraId="3D5D872B" w14:textId="77777777" w:rsidR="009B7CE8" w:rsidRDefault="009B7CE8">
      <w:pPr>
        <w:rPr>
          <w:rFonts w:cs="Arial"/>
          <w:b/>
          <w:snapToGrid w:val="0"/>
          <w:color w:val="000000"/>
          <w:sz w:val="24"/>
          <w:szCs w:val="24"/>
        </w:rPr>
      </w:pPr>
      <w:r>
        <w:rPr>
          <w:rFonts w:cs="Arial"/>
          <w:b/>
          <w:snapToGrid w:val="0"/>
          <w:sz w:val="24"/>
          <w:szCs w:val="24"/>
        </w:rPr>
        <w:br w:type="page"/>
      </w:r>
    </w:p>
    <w:p w14:paraId="4E240BDA" w14:textId="77777777" w:rsidR="00306EB2" w:rsidRDefault="00306EB2" w:rsidP="00CF5A6E">
      <w:pPr>
        <w:pStyle w:val="Heading2"/>
      </w:pPr>
      <w:bookmarkStart w:id="223" w:name="_Toc225877708"/>
      <w:r w:rsidRPr="009A5185">
        <w:lastRenderedPageBreak/>
        <w:t>3A: Hospital and Surgeon Volume</w:t>
      </w:r>
      <w:bookmarkEnd w:id="223"/>
    </w:p>
    <w:p w14:paraId="457224DA" w14:textId="56A2EBDE" w:rsidR="0003005A" w:rsidRPr="004F5E10" w:rsidRDefault="00287EBB" w:rsidP="0003005A">
      <w:pPr>
        <w:rPr>
          <w:rFonts w:cs="Arial"/>
        </w:rPr>
      </w:pPr>
      <w:r>
        <w:rPr>
          <w:rFonts w:cs="Arial"/>
          <w:snapToGrid w:val="0"/>
        </w:rPr>
        <w:br/>
      </w:r>
      <w:r w:rsidR="0003005A" w:rsidRPr="004F5E10">
        <w:rPr>
          <w:rFonts w:cs="Arial"/>
          <w:snapToGrid w:val="0"/>
        </w:rPr>
        <w:t xml:space="preserve">Hospitals that share a CMS Certification Number are required to report by facility. Please carefully review </w:t>
      </w:r>
      <w:hyperlink r:id="rId211" w:history="1">
        <w:r w:rsidR="0003005A" w:rsidRPr="004F5E10">
          <w:rPr>
            <w:rFonts w:cs="Arial"/>
            <w:snapToGrid w:val="0"/>
            <w:color w:val="0000FF"/>
            <w:u w:val="single"/>
          </w:rPr>
          <w:t>Leapfrog’s Multi-Campus Reporting Policy</w:t>
        </w:r>
      </w:hyperlink>
      <w:r w:rsidR="0003005A" w:rsidRPr="004F5E10">
        <w:rPr>
          <w:rFonts w:cs="Arial"/>
          <w:snapToGrid w:val="0"/>
        </w:rPr>
        <w:t>.</w:t>
      </w:r>
    </w:p>
    <w:p w14:paraId="7DEB313C" w14:textId="77777777" w:rsidR="00DA12FA" w:rsidRDefault="00DA12FA" w:rsidP="00DA12FA">
      <w:pPr>
        <w:rPr>
          <w:rFonts w:cs="Arial"/>
          <w:b/>
          <w:snapToGrid w:val="0"/>
        </w:rPr>
      </w:pPr>
    </w:p>
    <w:p w14:paraId="533D6EDE" w14:textId="77777777" w:rsidR="00562F04" w:rsidRDefault="00562F04" w:rsidP="00562F04">
      <w:pPr>
        <w:rPr>
          <w:rFonts w:cs="Arial"/>
          <w:b/>
          <w:snapToGrid w:val="0"/>
          <w:color w:val="FF0000"/>
        </w:rPr>
      </w:pPr>
      <w:r w:rsidRPr="00873014">
        <w:rPr>
          <w:rFonts w:cs="Arial"/>
          <w:b/>
          <w:snapToGrid w:val="0"/>
          <w:color w:val="FF0000"/>
        </w:rPr>
        <w:t xml:space="preserve">Important Notes: </w:t>
      </w:r>
    </w:p>
    <w:p w14:paraId="76D3172F" w14:textId="77777777" w:rsidR="00562F04" w:rsidRDefault="00562F04" w:rsidP="00562F04">
      <w:pPr>
        <w:rPr>
          <w:rFonts w:cs="Arial"/>
          <w:b/>
          <w:snapToGrid w:val="0"/>
          <w:color w:val="FF0000"/>
        </w:rPr>
      </w:pPr>
    </w:p>
    <w:p w14:paraId="68F97FC7" w14:textId="3C0CE985" w:rsidR="00D961E6" w:rsidRDefault="00562F04" w:rsidP="00562F04">
      <w:pPr>
        <w:rPr>
          <w:rFonts w:cs="Arial"/>
          <w:snapToGrid w:val="0"/>
        </w:rPr>
      </w:pPr>
      <w:r>
        <w:rPr>
          <w:rFonts w:cs="Arial"/>
          <w:snapToGrid w:val="0"/>
        </w:rPr>
        <w:t xml:space="preserve">Note 1: </w:t>
      </w:r>
      <w:r w:rsidR="00D902EC">
        <w:rPr>
          <w:rFonts w:cs="Arial"/>
          <w:snapToGrid w:val="0"/>
        </w:rPr>
        <w:t>This subsection</w:t>
      </w:r>
      <w:r w:rsidR="00D961E6" w:rsidRPr="00D961E6">
        <w:rPr>
          <w:rFonts w:cs="Arial"/>
          <w:snapToGrid w:val="0"/>
        </w:rPr>
        <w:t xml:space="preserve"> is applicable to </w:t>
      </w:r>
      <w:r w:rsidR="004178CA">
        <w:rPr>
          <w:rFonts w:cs="Arial"/>
          <w:snapToGrid w:val="0"/>
        </w:rPr>
        <w:t>all h</w:t>
      </w:r>
      <w:r w:rsidR="00D961E6" w:rsidRPr="00D961E6">
        <w:rPr>
          <w:rFonts w:cs="Arial"/>
          <w:snapToGrid w:val="0"/>
        </w:rPr>
        <w:t xml:space="preserve">ospitals. Hospitals that do not </w:t>
      </w:r>
      <w:r w:rsidR="00862AE6" w:rsidRPr="00D961E6">
        <w:rPr>
          <w:rFonts w:cs="Arial"/>
          <w:snapToGrid w:val="0"/>
        </w:rPr>
        <w:t>perform</w:t>
      </w:r>
      <w:r w:rsidR="00D961E6" w:rsidRPr="00D961E6">
        <w:rPr>
          <w:rFonts w:cs="Arial"/>
          <w:snapToGrid w:val="0"/>
        </w:rPr>
        <w:t xml:space="preserve"> the procedures included in </w:t>
      </w:r>
      <w:r w:rsidR="00D902EC">
        <w:rPr>
          <w:rFonts w:cs="Arial"/>
          <w:snapToGrid w:val="0"/>
        </w:rPr>
        <w:t>this subsection</w:t>
      </w:r>
      <w:r w:rsidR="00D961E6" w:rsidRPr="00D961E6">
        <w:rPr>
          <w:rFonts w:cs="Arial"/>
          <w:snapToGrid w:val="0"/>
        </w:rPr>
        <w:t xml:space="preserve"> should select “None of the above” in question #2 and move on to the Affirmation of Accuracy. Your hospital’s results will be displayed as “Does Not Apply” on Leapfrog’s public reporting website.</w:t>
      </w:r>
    </w:p>
    <w:p w14:paraId="313A8093" w14:textId="77777777" w:rsidR="00D961E6" w:rsidRDefault="00D961E6" w:rsidP="00562F04">
      <w:pPr>
        <w:rPr>
          <w:rFonts w:cs="Arial"/>
          <w:snapToGrid w:val="0"/>
        </w:rPr>
      </w:pPr>
    </w:p>
    <w:p w14:paraId="1B2D4C6E" w14:textId="41A5B69A" w:rsidR="00562F04" w:rsidRDefault="00D961E6" w:rsidP="00562F04">
      <w:pPr>
        <w:rPr>
          <w:rFonts w:cs="Arial"/>
          <w:lang w:eastAsia="ja-JP"/>
        </w:rPr>
      </w:pPr>
      <w:r>
        <w:rPr>
          <w:rFonts w:cs="Arial"/>
          <w:snapToGrid w:val="0"/>
        </w:rPr>
        <w:t xml:space="preserve">Note 2: </w:t>
      </w:r>
      <w:r w:rsidR="00D71AA6">
        <w:rPr>
          <w:rFonts w:cs="Arial"/>
          <w:lang w:eastAsia="ja-JP"/>
        </w:rPr>
        <w:t xml:space="preserve">Pediatric </w:t>
      </w:r>
      <w:r w:rsidR="004178CA">
        <w:rPr>
          <w:rFonts w:cs="Arial"/>
          <w:lang w:eastAsia="ja-JP"/>
        </w:rPr>
        <w:t>h</w:t>
      </w:r>
      <w:r w:rsidR="00D71AA6">
        <w:rPr>
          <w:rFonts w:cs="Arial"/>
          <w:lang w:eastAsia="ja-JP"/>
        </w:rPr>
        <w:t xml:space="preserve">ospitals should only respond to questions regarding the Norwood procedure, if applicable. </w:t>
      </w:r>
      <w:r w:rsidR="00237325">
        <w:rPr>
          <w:rFonts w:cs="Arial"/>
          <w:lang w:eastAsia="ja-JP"/>
        </w:rPr>
        <w:t xml:space="preserve">If the Norwood procedure is not applicable, select “None of the above” in question </w:t>
      </w:r>
      <w:r w:rsidR="005A3781">
        <w:rPr>
          <w:rFonts w:cs="Arial"/>
          <w:lang w:eastAsia="ja-JP"/>
        </w:rPr>
        <w:t>#</w:t>
      </w:r>
      <w:r w:rsidR="00237325">
        <w:rPr>
          <w:rFonts w:cs="Arial"/>
          <w:lang w:eastAsia="ja-JP"/>
        </w:rPr>
        <w:t xml:space="preserve">2 and move on to the Affirmation of Accuracy. Your hospital’s results will be displayed as “Does Not Apply” on Leapfrog’s public reporting website. </w:t>
      </w:r>
    </w:p>
    <w:p w14:paraId="620E220E" w14:textId="77777777" w:rsidR="00562F04" w:rsidRDefault="00562F04" w:rsidP="00280B57">
      <w:pPr>
        <w:rPr>
          <w:rFonts w:cs="Arial"/>
          <w:b/>
          <w:snapToGrid w:val="0"/>
        </w:rPr>
      </w:pPr>
    </w:p>
    <w:p w14:paraId="535F5C6B" w14:textId="13243B4F" w:rsidR="00417651" w:rsidRPr="003735D9" w:rsidRDefault="00417651" w:rsidP="00280B57">
      <w:pPr>
        <w:rPr>
          <w:rFonts w:cs="Arial"/>
          <w:bCs/>
          <w:snapToGrid w:val="0"/>
        </w:rPr>
      </w:pPr>
      <w:r w:rsidRPr="003735D9">
        <w:rPr>
          <w:rFonts w:cs="Arial"/>
          <w:bCs/>
          <w:snapToGrid w:val="0"/>
        </w:rPr>
        <w:t>Note 3:</w:t>
      </w:r>
      <w:r w:rsidR="008F633C">
        <w:rPr>
          <w:rFonts w:cs="Arial"/>
          <w:bCs/>
          <w:snapToGrid w:val="0"/>
        </w:rPr>
        <w:t xml:space="preserve"> </w:t>
      </w:r>
      <w:r>
        <w:rPr>
          <w:rFonts w:cs="Arial"/>
          <w:bCs/>
          <w:snapToGrid w:val="0"/>
        </w:rPr>
        <w:t>Question #</w:t>
      </w:r>
      <w:r w:rsidR="00C837E6">
        <w:rPr>
          <w:rFonts w:cs="Arial"/>
          <w:bCs/>
          <w:snapToGrid w:val="0"/>
        </w:rPr>
        <w:t>1</w:t>
      </w:r>
      <w:r w:rsidR="00D07281">
        <w:rPr>
          <w:rFonts w:cs="Arial"/>
          <w:bCs/>
          <w:snapToGrid w:val="0"/>
        </w:rPr>
        <w:t>2</w:t>
      </w:r>
      <w:r>
        <w:rPr>
          <w:rFonts w:cs="Arial"/>
          <w:bCs/>
          <w:snapToGrid w:val="0"/>
        </w:rPr>
        <w:t xml:space="preserve"> is optional and will not be used in scoring or public reporting.</w:t>
      </w:r>
    </w:p>
    <w:p w14:paraId="58440F62" w14:textId="77777777" w:rsidR="00417651" w:rsidRDefault="00417651" w:rsidP="00280B57">
      <w:pPr>
        <w:rPr>
          <w:rFonts w:cs="Arial"/>
          <w:b/>
          <w:snapToGrid w:val="0"/>
        </w:rPr>
      </w:pPr>
    </w:p>
    <w:p w14:paraId="42CCD63D" w14:textId="7C8933C5" w:rsidR="00DA12FA" w:rsidRPr="009A5185" w:rsidRDefault="00DA12FA" w:rsidP="00280B57">
      <w:pPr>
        <w:rPr>
          <w:rFonts w:cs="Arial"/>
          <w:snapToGrid w:val="0"/>
        </w:rPr>
      </w:pPr>
      <w:r w:rsidRPr="009A5185">
        <w:rPr>
          <w:rFonts w:cs="Arial"/>
          <w:b/>
          <w:snapToGrid w:val="0"/>
        </w:rPr>
        <w:t>Specifications:</w:t>
      </w:r>
      <w:r w:rsidRPr="009A5185">
        <w:rPr>
          <w:rFonts w:cs="Arial"/>
          <w:snapToGrid w:val="0"/>
        </w:rPr>
        <w:t xml:space="preserve"> See </w:t>
      </w:r>
      <w:hyperlink w:anchor="_Inpatient_Surgery_Measure" w:history="1">
        <w:r w:rsidR="00AC2D85">
          <w:rPr>
            <w:rStyle w:val="Hyperlink"/>
            <w:rFonts w:cs="Arial"/>
            <w:b/>
            <w:i/>
            <w:snapToGrid w:val="0"/>
          </w:rPr>
          <w:t>Hospital and Surgeon Volume Measure Specifications</w:t>
        </w:r>
      </w:hyperlink>
      <w:r w:rsidRPr="009A5185">
        <w:rPr>
          <w:rFonts w:cs="Arial"/>
          <w:snapToGrid w:val="0"/>
        </w:rPr>
        <w:t xml:space="preserve"> in the Reference Information </w:t>
      </w:r>
      <w:r w:rsidR="00962E24">
        <w:rPr>
          <w:rFonts w:cs="Arial"/>
          <w:snapToGrid w:val="0"/>
        </w:rPr>
        <w:t xml:space="preserve">beginning on page </w:t>
      </w:r>
      <w:r w:rsidR="00962E24">
        <w:rPr>
          <w:rFonts w:cs="Arial"/>
          <w:snapToGrid w:val="0"/>
        </w:rPr>
        <w:fldChar w:fldCharType="begin"/>
      </w:r>
      <w:r w:rsidR="00962E24">
        <w:rPr>
          <w:rFonts w:cs="Arial"/>
          <w:snapToGrid w:val="0"/>
        </w:rPr>
        <w:instrText xml:space="preserve"> PAGEREF _Ref123646754 \h </w:instrText>
      </w:r>
      <w:r w:rsidR="00962E24">
        <w:rPr>
          <w:rFonts w:cs="Arial"/>
          <w:snapToGrid w:val="0"/>
        </w:rPr>
      </w:r>
      <w:r w:rsidR="00962E24">
        <w:rPr>
          <w:rFonts w:cs="Arial"/>
          <w:snapToGrid w:val="0"/>
        </w:rPr>
        <w:fldChar w:fldCharType="separate"/>
      </w:r>
      <w:r w:rsidR="007D53A2">
        <w:rPr>
          <w:rFonts w:cs="Arial"/>
          <w:noProof/>
          <w:snapToGrid w:val="0"/>
        </w:rPr>
        <w:t>10</w:t>
      </w:r>
      <w:r w:rsidR="00962E24">
        <w:rPr>
          <w:rFonts w:cs="Arial"/>
          <w:snapToGrid w:val="0"/>
        </w:rPr>
        <w:fldChar w:fldCharType="end"/>
      </w:r>
      <w:r w:rsidR="00D07281">
        <w:rPr>
          <w:rFonts w:cs="Arial"/>
          <w:snapToGrid w:val="0"/>
        </w:rPr>
        <w:t>3</w:t>
      </w:r>
      <w:r w:rsidR="00962E24">
        <w:rPr>
          <w:rFonts w:cs="Arial"/>
          <w:snapToGrid w:val="0"/>
        </w:rPr>
        <w:t>.</w:t>
      </w:r>
    </w:p>
    <w:p w14:paraId="50C29AE8" w14:textId="77777777" w:rsidR="00DA12FA" w:rsidRPr="008D6E32" w:rsidRDefault="00DA12FA" w:rsidP="00100C23">
      <w:pPr>
        <w:rPr>
          <w:rFonts w:cs="Arial"/>
          <w:b/>
          <w:snapToGrid w:val="0"/>
        </w:rPr>
      </w:pPr>
    </w:p>
    <w:p w14:paraId="609CC218" w14:textId="62D699F8" w:rsidR="00DA12FA" w:rsidRDefault="0054290C" w:rsidP="00100C23">
      <w:pPr>
        <w:rPr>
          <w:rFonts w:cs="Arial"/>
          <w:b/>
          <w:snapToGrid w:val="0"/>
        </w:rPr>
      </w:pPr>
      <w:r w:rsidRPr="0054290C">
        <w:rPr>
          <w:rFonts w:cs="Arial"/>
          <w:b/>
          <w:noProof/>
          <w:snapToGrid w:val="0"/>
        </w:rPr>
        <mc:AlternateContent>
          <mc:Choice Requires="wps">
            <w:drawing>
              <wp:inline distT="0" distB="0" distL="0" distR="0" wp14:anchorId="5DDDA7D8" wp14:editId="5B4CAFA2">
                <wp:extent cx="6003235" cy="1404620"/>
                <wp:effectExtent l="0" t="0" r="17145" b="12065"/>
                <wp:docPr id="26" name="Text Box 26" descr="P2762TB10#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3235" cy="1404620"/>
                        </a:xfrm>
                        <a:prstGeom prst="rect">
                          <a:avLst/>
                        </a:prstGeom>
                        <a:solidFill>
                          <a:srgbClr val="FFFFFF"/>
                        </a:solidFill>
                        <a:ln w="9525">
                          <a:solidFill>
                            <a:srgbClr val="FF0000"/>
                          </a:solidFill>
                          <a:miter lim="800000"/>
                          <a:headEnd/>
                          <a:tailEnd/>
                        </a:ln>
                      </wps:spPr>
                      <wps:txbx>
                        <w:txbxContent>
                          <w:p w14:paraId="7BBF3C93" w14:textId="46FA98A5" w:rsidR="0054290C" w:rsidRPr="009A5185" w:rsidRDefault="0054290C" w:rsidP="0054290C">
                            <w:pPr>
                              <w:spacing w:before="40"/>
                              <w:rPr>
                                <w:rFonts w:cs="Arial"/>
                                <w:snapToGrid w:val="0"/>
                              </w:rPr>
                            </w:pPr>
                            <w:r w:rsidRPr="009A5185">
                              <w:rPr>
                                <w:rFonts w:cs="Arial"/>
                                <w:b/>
                                <w:snapToGrid w:val="0"/>
                              </w:rPr>
                              <w:t>Reporting Period:</w:t>
                            </w:r>
                            <w:r w:rsidRPr="009A5185">
                              <w:rPr>
                                <w:rFonts w:cs="Arial"/>
                                <w:snapToGrid w:val="0"/>
                              </w:rPr>
                              <w:t xml:space="preserve"> </w:t>
                            </w:r>
                            <w:r w:rsidRPr="009A5185">
                              <w:rPr>
                                <w:rFonts w:cs="Arial"/>
                                <w:b/>
                                <w:snapToGrid w:val="0"/>
                              </w:rPr>
                              <w:t>12</w:t>
                            </w:r>
                            <w:r>
                              <w:rPr>
                                <w:rFonts w:cs="Arial"/>
                                <w:b/>
                                <w:snapToGrid w:val="0"/>
                              </w:rPr>
                              <w:t xml:space="preserve"> </w:t>
                            </w:r>
                            <w:r w:rsidRPr="009A5185">
                              <w:rPr>
                                <w:rFonts w:cs="Arial"/>
                                <w:b/>
                                <w:snapToGrid w:val="0"/>
                              </w:rPr>
                              <w:t xml:space="preserve">months or </w:t>
                            </w:r>
                            <w:r w:rsidRPr="009A5185">
                              <w:rPr>
                                <w:rFonts w:cs="Arial"/>
                                <w:b/>
                                <w:i/>
                                <w:snapToGrid w:val="0"/>
                              </w:rPr>
                              <w:t>optionally</w:t>
                            </w:r>
                            <w:r w:rsidRPr="009A5185">
                              <w:rPr>
                                <w:rFonts w:cs="Arial"/>
                                <w:b/>
                                <w:snapToGrid w:val="0"/>
                              </w:rPr>
                              <w:t xml:space="preserve"> 24</w:t>
                            </w:r>
                            <w:r>
                              <w:rPr>
                                <w:rFonts w:cs="Arial"/>
                                <w:b/>
                                <w:snapToGrid w:val="0"/>
                              </w:rPr>
                              <w:t xml:space="preserve"> </w:t>
                            </w:r>
                            <w:r w:rsidRPr="009A5185">
                              <w:rPr>
                                <w:rFonts w:cs="Arial"/>
                                <w:b/>
                                <w:snapToGrid w:val="0"/>
                              </w:rPr>
                              <w:t>months (annual average)</w:t>
                            </w:r>
                          </w:p>
                          <w:p w14:paraId="7283BBDA" w14:textId="77777777" w:rsidR="0054290C" w:rsidRPr="00D71AA6" w:rsidRDefault="0054290C" w:rsidP="00AD309C">
                            <w:pPr>
                              <w:pStyle w:val="ListParagraph"/>
                              <w:numPr>
                                <w:ilvl w:val="0"/>
                                <w:numId w:val="29"/>
                              </w:numPr>
                              <w:rPr>
                                <w:rFonts w:cs="Arial"/>
                                <w:i/>
                                <w:snapToGrid w:val="0"/>
                              </w:rPr>
                            </w:pPr>
                            <w:r>
                              <w:rPr>
                                <w:rFonts w:cs="Arial"/>
                                <w:snapToGrid w:val="0"/>
                              </w:rPr>
                              <w:t>Surveys submitted prior to September 1:</w:t>
                            </w:r>
                          </w:p>
                          <w:p w14:paraId="42CA7C20" w14:textId="4350E6BD" w:rsidR="0054290C" w:rsidRPr="009A5185" w:rsidRDefault="0054290C" w:rsidP="00AD309C">
                            <w:pPr>
                              <w:pStyle w:val="ListParagraph"/>
                              <w:numPr>
                                <w:ilvl w:val="1"/>
                                <w:numId w:val="29"/>
                              </w:numPr>
                              <w:rPr>
                                <w:rFonts w:cs="Arial"/>
                                <w:i/>
                                <w:snapToGrid w:val="0"/>
                              </w:rPr>
                            </w:pPr>
                            <w:r>
                              <w:rPr>
                                <w:rFonts w:cs="Arial"/>
                                <w:snapToGrid w:val="0"/>
                              </w:rPr>
                              <w:t>01/01/202</w:t>
                            </w:r>
                            <w:r w:rsidR="00D82E20">
                              <w:rPr>
                                <w:rFonts w:cs="Arial"/>
                                <w:snapToGrid w:val="0"/>
                              </w:rPr>
                              <w:t>5</w:t>
                            </w:r>
                            <w:r>
                              <w:rPr>
                                <w:rFonts w:cs="Arial"/>
                                <w:snapToGrid w:val="0"/>
                              </w:rPr>
                              <w:t xml:space="preserve"> – 12/31/202</w:t>
                            </w:r>
                            <w:r w:rsidR="00D82E20">
                              <w:rPr>
                                <w:rFonts w:cs="Arial"/>
                                <w:snapToGrid w:val="0"/>
                              </w:rPr>
                              <w:t>5</w:t>
                            </w:r>
                            <w:r>
                              <w:rPr>
                                <w:rFonts w:cs="Arial"/>
                                <w:snapToGrid w:val="0"/>
                              </w:rPr>
                              <w:t xml:space="preserve"> (12-month count) or 01/01/202</w:t>
                            </w:r>
                            <w:r w:rsidR="00D82E20">
                              <w:rPr>
                                <w:rFonts w:cs="Arial"/>
                                <w:snapToGrid w:val="0"/>
                              </w:rPr>
                              <w:t>4</w:t>
                            </w:r>
                            <w:r>
                              <w:rPr>
                                <w:rFonts w:cs="Arial"/>
                                <w:snapToGrid w:val="0"/>
                              </w:rPr>
                              <w:t xml:space="preserve"> – 12/31/202</w:t>
                            </w:r>
                            <w:r w:rsidR="00D82E20">
                              <w:rPr>
                                <w:rFonts w:cs="Arial"/>
                                <w:snapToGrid w:val="0"/>
                              </w:rPr>
                              <w:t>5</w:t>
                            </w:r>
                            <w:r>
                              <w:rPr>
                                <w:rFonts w:cs="Arial"/>
                                <w:snapToGrid w:val="0"/>
                              </w:rPr>
                              <w:t xml:space="preserve"> (24-month annual average)</w:t>
                            </w:r>
                          </w:p>
                          <w:p w14:paraId="6D08C10C" w14:textId="77777777" w:rsidR="0054290C" w:rsidRPr="00D71AA6" w:rsidRDefault="0054290C" w:rsidP="00AD309C">
                            <w:pPr>
                              <w:pStyle w:val="ListParagraph"/>
                              <w:numPr>
                                <w:ilvl w:val="0"/>
                                <w:numId w:val="29"/>
                              </w:numPr>
                              <w:rPr>
                                <w:rFonts w:cs="Arial"/>
                                <w:i/>
                                <w:snapToGrid w:val="0"/>
                              </w:rPr>
                            </w:pPr>
                            <w:r w:rsidRPr="009A5185">
                              <w:rPr>
                                <w:rFonts w:cs="Arial"/>
                                <w:snapToGrid w:val="0"/>
                              </w:rPr>
                              <w:t xml:space="preserve">Surveys (re)submitted on or after September 1: </w:t>
                            </w:r>
                          </w:p>
                          <w:p w14:paraId="03E2D902" w14:textId="41A43461" w:rsidR="0054290C" w:rsidRPr="00C75C07" w:rsidRDefault="0054290C" w:rsidP="00AD309C">
                            <w:pPr>
                              <w:pStyle w:val="ListParagraph"/>
                              <w:numPr>
                                <w:ilvl w:val="1"/>
                                <w:numId w:val="29"/>
                              </w:numPr>
                              <w:rPr>
                                <w:rFonts w:cs="Arial"/>
                                <w:i/>
                                <w:snapToGrid w:val="0"/>
                              </w:rPr>
                            </w:pPr>
                            <w:r w:rsidRPr="009A5185">
                              <w:rPr>
                                <w:rFonts w:cs="Arial"/>
                                <w:snapToGrid w:val="0"/>
                              </w:rPr>
                              <w:t>07/01/</w:t>
                            </w:r>
                            <w:r>
                              <w:rPr>
                                <w:rFonts w:cs="Arial"/>
                                <w:snapToGrid w:val="0"/>
                              </w:rPr>
                              <w:t>202</w:t>
                            </w:r>
                            <w:r w:rsidR="00670B35">
                              <w:rPr>
                                <w:rFonts w:cs="Arial"/>
                                <w:snapToGrid w:val="0"/>
                              </w:rPr>
                              <w:t>5</w:t>
                            </w:r>
                            <w:r w:rsidRPr="009A5185">
                              <w:rPr>
                                <w:rFonts w:cs="Arial"/>
                                <w:snapToGrid w:val="0"/>
                              </w:rPr>
                              <w:t xml:space="preserve"> </w:t>
                            </w:r>
                            <w:r>
                              <w:rPr>
                                <w:rFonts w:cs="Arial"/>
                                <w:snapToGrid w:val="0"/>
                              </w:rPr>
                              <w:t>–</w:t>
                            </w:r>
                            <w:r w:rsidRPr="009A5185">
                              <w:rPr>
                                <w:rFonts w:cs="Arial"/>
                                <w:snapToGrid w:val="0"/>
                              </w:rPr>
                              <w:t xml:space="preserve"> 06/30/</w:t>
                            </w:r>
                            <w:r>
                              <w:rPr>
                                <w:rFonts w:cs="Arial"/>
                                <w:snapToGrid w:val="0"/>
                              </w:rPr>
                              <w:t>202</w:t>
                            </w:r>
                            <w:r w:rsidR="00670B35">
                              <w:rPr>
                                <w:rFonts w:cs="Arial"/>
                                <w:snapToGrid w:val="0"/>
                              </w:rPr>
                              <w:t>6</w:t>
                            </w:r>
                            <w:r w:rsidRPr="009A5185">
                              <w:rPr>
                                <w:rFonts w:cs="Arial"/>
                                <w:snapToGrid w:val="0"/>
                              </w:rPr>
                              <w:t xml:space="preserve"> (12-month count) or 07/01/</w:t>
                            </w:r>
                            <w:r>
                              <w:rPr>
                                <w:rFonts w:cs="Arial"/>
                                <w:snapToGrid w:val="0"/>
                              </w:rPr>
                              <w:t>202</w:t>
                            </w:r>
                            <w:r w:rsidR="00670B35">
                              <w:rPr>
                                <w:rFonts w:cs="Arial"/>
                                <w:snapToGrid w:val="0"/>
                              </w:rPr>
                              <w:t>4</w:t>
                            </w:r>
                            <w:r w:rsidRPr="009A5185">
                              <w:rPr>
                                <w:rFonts w:cs="Arial"/>
                                <w:snapToGrid w:val="0"/>
                              </w:rPr>
                              <w:t xml:space="preserve"> – 06/30/</w:t>
                            </w:r>
                            <w:r>
                              <w:rPr>
                                <w:rFonts w:cs="Arial"/>
                                <w:snapToGrid w:val="0"/>
                              </w:rPr>
                              <w:t>202</w:t>
                            </w:r>
                            <w:r w:rsidR="00670B35">
                              <w:rPr>
                                <w:rFonts w:cs="Arial"/>
                                <w:snapToGrid w:val="0"/>
                              </w:rPr>
                              <w:t>6</w:t>
                            </w:r>
                            <w:r w:rsidRPr="009A5185">
                              <w:rPr>
                                <w:rFonts w:cs="Arial"/>
                                <w:snapToGrid w:val="0"/>
                              </w:rPr>
                              <w:t xml:space="preserve"> (24-month annual average)</w:t>
                            </w:r>
                          </w:p>
                          <w:p w14:paraId="30ABC7B7" w14:textId="77777777" w:rsidR="0054290C" w:rsidRPr="00D805E7" w:rsidRDefault="0054290C" w:rsidP="0054290C">
                            <w:pPr>
                              <w:pStyle w:val="ListParagraph"/>
                              <w:ind w:left="1440"/>
                              <w:rPr>
                                <w:rFonts w:cs="Arial"/>
                                <w:i/>
                                <w:snapToGrid w:val="0"/>
                              </w:rPr>
                            </w:pPr>
                          </w:p>
                          <w:p w14:paraId="79D00BF9" w14:textId="2E8532CC" w:rsidR="0054290C" w:rsidRDefault="0054290C" w:rsidP="0054290C">
                            <w:r w:rsidRPr="006547C0">
                              <w:rPr>
                                <w:rFonts w:cs="Arial"/>
                                <w:sz w:val="16"/>
                                <w:szCs w:val="16"/>
                              </w:rPr>
                              <w:t xml:space="preserve">Note: As a reminder, the </w:t>
                            </w:r>
                            <w:hyperlink r:id="rId212" w:history="1">
                              <w:r w:rsidRPr="006547C0">
                                <w:rPr>
                                  <w:rStyle w:val="Hyperlink"/>
                                  <w:rFonts w:cs="Arial"/>
                                  <w:sz w:val="16"/>
                                  <w:szCs w:val="16"/>
                                </w:rPr>
                                <w:t>Corrections Period</w:t>
                              </w:r>
                            </w:hyperlink>
                            <w:r w:rsidRPr="006547C0">
                              <w:rPr>
                                <w:rFonts w:cs="Arial"/>
                                <w:sz w:val="16"/>
                                <w:szCs w:val="16"/>
                              </w:rPr>
                              <w:t xml:space="preserve"> </w:t>
                            </w:r>
                            <w:r w:rsidRPr="00E65E68">
                              <w:rPr>
                                <w:rFonts w:cs="Arial"/>
                                <w:sz w:val="16"/>
                                <w:szCs w:val="16"/>
                              </w:rPr>
                              <w:t>(</w:t>
                            </w:r>
                            <w:r>
                              <w:rPr>
                                <w:rFonts w:cs="Arial"/>
                                <w:sz w:val="16"/>
                                <w:szCs w:val="16"/>
                              </w:rPr>
                              <w:t>December</w:t>
                            </w:r>
                            <w:r w:rsidRPr="00E65E68">
                              <w:rPr>
                                <w:rFonts w:cs="Arial"/>
                                <w:sz w:val="16"/>
                                <w:szCs w:val="16"/>
                              </w:rPr>
                              <w:t xml:space="preserve"> 1-January 31) is reserved for corrections to previously submitted Surveys only. </w:t>
                            </w:r>
                            <w:r w:rsidRPr="00E65E68">
                              <w:rPr>
                                <w:rFonts w:cs="Arial"/>
                                <w:bCs/>
                                <w:snapToGrid w:val="0"/>
                                <w:sz w:val="16"/>
                                <w:szCs w:val="16"/>
                              </w:rPr>
                              <w:t xml:space="preserve">Any updates made to reflect a change in performance must be made prior to the </w:t>
                            </w:r>
                            <w:r>
                              <w:rPr>
                                <w:rFonts w:cs="Arial"/>
                                <w:bCs/>
                                <w:snapToGrid w:val="0"/>
                                <w:sz w:val="16"/>
                                <w:szCs w:val="16"/>
                              </w:rPr>
                              <w:t>November 30</w:t>
                            </w:r>
                            <w:r w:rsidRPr="00E65E68">
                              <w:rPr>
                                <w:rFonts w:cs="Arial"/>
                                <w:bCs/>
                                <w:snapToGrid w:val="0"/>
                                <w:sz w:val="16"/>
                                <w:szCs w:val="16"/>
                              </w:rPr>
                              <w:t xml:space="preserve"> Late Submission </w:t>
                            </w:r>
                            <w:r w:rsidRPr="00AE38C7">
                              <w:rPr>
                                <w:rFonts w:cs="Arial"/>
                                <w:bCs/>
                                <w:snapToGrid w:val="0"/>
                                <w:sz w:val="16"/>
                                <w:szCs w:val="16"/>
                              </w:rPr>
                              <w:t>and Performance Update</w:t>
                            </w:r>
                            <w:r>
                              <w:rPr>
                                <w:rFonts w:cs="Arial"/>
                                <w:bCs/>
                                <w:snapToGrid w:val="0"/>
                                <w:sz w:val="16"/>
                                <w:szCs w:val="16"/>
                              </w:rPr>
                              <w:t xml:space="preserve"> </w:t>
                            </w:r>
                            <w:r w:rsidRPr="00E65E68">
                              <w:rPr>
                                <w:rFonts w:cs="Arial"/>
                                <w:bCs/>
                                <w:snapToGrid w:val="0"/>
                                <w:sz w:val="16"/>
                                <w:szCs w:val="16"/>
                              </w:rPr>
                              <w:t xml:space="preserve">Deadline. Updates made to reflect a change in performance after </w:t>
                            </w:r>
                            <w:r>
                              <w:rPr>
                                <w:rFonts w:cs="Arial"/>
                                <w:bCs/>
                                <w:snapToGrid w:val="0"/>
                                <w:sz w:val="16"/>
                                <w:szCs w:val="16"/>
                              </w:rPr>
                              <w:t>November 30</w:t>
                            </w:r>
                            <w:r w:rsidRPr="00E65E68">
                              <w:rPr>
                                <w:rFonts w:cs="Arial"/>
                                <w:bCs/>
                                <w:snapToGrid w:val="0"/>
                                <w:sz w:val="16"/>
                                <w:szCs w:val="16"/>
                              </w:rPr>
                              <w:t xml:space="preserve"> will not be scored or publicly reported.</w:t>
                            </w:r>
                          </w:p>
                        </w:txbxContent>
                      </wps:txbx>
                      <wps:bodyPr rot="0" vert="horz" wrap="square" lIns="91440" tIns="45720" rIns="91440" bIns="45720" anchor="t" anchorCtr="0">
                        <a:spAutoFit/>
                      </wps:bodyPr>
                    </wps:wsp>
                  </a:graphicData>
                </a:graphic>
              </wp:inline>
            </w:drawing>
          </mc:Choice>
          <mc:Fallback>
            <w:pict>
              <v:shape w14:anchorId="5DDDA7D8" id="Text Box 26" o:spid="_x0000_s1037" type="#_x0000_t202" alt="P2762TB10#y1" style="width:472.7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" strokecolor="red">
                <v:textbox style="mso-fit-shape-to-text:t">
                  <w:txbxContent>
                    <w:p w14:paraId="7BBF3C93" w14:textId="46FA98A5" w:rsidR="0054290C" w:rsidRPr="009A5185" w:rsidRDefault="0054290C" w:rsidP="0054290C">
                      <w:pPr>
                        <w:spacing w:before="40"/>
                        <w:rPr>
                          <w:rFonts w:cs="Arial"/>
                          <w:snapToGrid w:val="0"/>
                        </w:rPr>
                      </w:pPr>
                      <w:r w:rsidRPr="009A5185">
                        <w:rPr>
                          <w:rFonts w:cs="Arial"/>
                          <w:b/>
                          <w:snapToGrid w:val="0"/>
                        </w:rPr>
                        <w:t>Reporting Period:</w:t>
                      </w:r>
                      <w:r w:rsidRPr="009A5185">
                        <w:rPr>
                          <w:rFonts w:cs="Arial"/>
                          <w:snapToGrid w:val="0"/>
                        </w:rPr>
                        <w:t xml:space="preserve"> </w:t>
                      </w:r>
                      <w:r w:rsidRPr="009A5185">
                        <w:rPr>
                          <w:rFonts w:cs="Arial"/>
                          <w:b/>
                          <w:snapToGrid w:val="0"/>
                        </w:rPr>
                        <w:t>12</w:t>
                      </w:r>
                      <w:r>
                        <w:rPr>
                          <w:rFonts w:cs="Arial"/>
                          <w:b/>
                          <w:snapToGrid w:val="0"/>
                        </w:rPr>
                        <w:t xml:space="preserve"> </w:t>
                      </w:r>
                      <w:r w:rsidRPr="009A5185">
                        <w:rPr>
                          <w:rFonts w:cs="Arial"/>
                          <w:b/>
                          <w:snapToGrid w:val="0"/>
                        </w:rPr>
                        <w:t xml:space="preserve">months or </w:t>
                      </w:r>
                      <w:r w:rsidRPr="009A5185">
                        <w:rPr>
                          <w:rFonts w:cs="Arial"/>
                          <w:b/>
                          <w:i/>
                          <w:snapToGrid w:val="0"/>
                        </w:rPr>
                        <w:t>optionally</w:t>
                      </w:r>
                      <w:r w:rsidRPr="009A5185">
                        <w:rPr>
                          <w:rFonts w:cs="Arial"/>
                          <w:b/>
                          <w:snapToGrid w:val="0"/>
                        </w:rPr>
                        <w:t xml:space="preserve"> 24</w:t>
                      </w:r>
                      <w:r>
                        <w:rPr>
                          <w:rFonts w:cs="Arial"/>
                          <w:b/>
                          <w:snapToGrid w:val="0"/>
                        </w:rPr>
                        <w:t xml:space="preserve"> </w:t>
                      </w:r>
                      <w:r w:rsidRPr="009A5185">
                        <w:rPr>
                          <w:rFonts w:cs="Arial"/>
                          <w:b/>
                          <w:snapToGrid w:val="0"/>
                        </w:rPr>
                        <w:t>months (annual average)</w:t>
                      </w:r>
                    </w:p>
                    <w:p w14:paraId="7283BBDA" w14:textId="77777777" w:rsidR="0054290C" w:rsidRPr="00D71AA6" w:rsidRDefault="0054290C" w:rsidP="00AD309C">
                      <w:pPr>
                        <w:pStyle w:val="ListParagraph"/>
                        <w:numPr>
                          <w:ilvl w:val="0"/>
                          <w:numId w:val="29"/>
                        </w:numPr>
                        <w:rPr>
                          <w:rFonts w:cs="Arial"/>
                          <w:i/>
                          <w:snapToGrid w:val="0"/>
                        </w:rPr>
                      </w:pPr>
                      <w:r>
                        <w:rPr>
                          <w:rFonts w:cs="Arial"/>
                          <w:snapToGrid w:val="0"/>
                        </w:rPr>
                        <w:t>Surveys submitted prior to September 1:</w:t>
                      </w:r>
                    </w:p>
                    <w:p w14:paraId="42CA7C20" w14:textId="4350E6BD" w:rsidR="0054290C" w:rsidRPr="009A5185" w:rsidRDefault="0054290C" w:rsidP="00AD309C">
                      <w:pPr>
                        <w:pStyle w:val="ListParagraph"/>
                        <w:numPr>
                          <w:ilvl w:val="1"/>
                          <w:numId w:val="29"/>
                        </w:numPr>
                        <w:rPr>
                          <w:rFonts w:cs="Arial"/>
                          <w:i/>
                          <w:snapToGrid w:val="0"/>
                        </w:rPr>
                      </w:pPr>
                      <w:r>
                        <w:rPr>
                          <w:rFonts w:cs="Arial"/>
                          <w:snapToGrid w:val="0"/>
                        </w:rPr>
                        <w:t>01/01/202</w:t>
                      </w:r>
                      <w:r w:rsidR="00D82E20">
                        <w:rPr>
                          <w:rFonts w:cs="Arial"/>
                          <w:snapToGrid w:val="0"/>
                        </w:rPr>
                        <w:t>5</w:t>
                      </w:r>
                      <w:r>
                        <w:rPr>
                          <w:rFonts w:cs="Arial"/>
                          <w:snapToGrid w:val="0"/>
                        </w:rPr>
                        <w:t xml:space="preserve"> – 12/31/202</w:t>
                      </w:r>
                      <w:r w:rsidR="00D82E20">
                        <w:rPr>
                          <w:rFonts w:cs="Arial"/>
                          <w:snapToGrid w:val="0"/>
                        </w:rPr>
                        <w:t>5</w:t>
                      </w:r>
                      <w:r>
                        <w:rPr>
                          <w:rFonts w:cs="Arial"/>
                          <w:snapToGrid w:val="0"/>
                        </w:rPr>
                        <w:t xml:space="preserve"> (12-month count) or 01/01/202</w:t>
                      </w:r>
                      <w:r w:rsidR="00D82E20">
                        <w:rPr>
                          <w:rFonts w:cs="Arial"/>
                          <w:snapToGrid w:val="0"/>
                        </w:rPr>
                        <w:t>4</w:t>
                      </w:r>
                      <w:r>
                        <w:rPr>
                          <w:rFonts w:cs="Arial"/>
                          <w:snapToGrid w:val="0"/>
                        </w:rPr>
                        <w:t xml:space="preserve"> – 12/31/202</w:t>
                      </w:r>
                      <w:r w:rsidR="00D82E20">
                        <w:rPr>
                          <w:rFonts w:cs="Arial"/>
                          <w:snapToGrid w:val="0"/>
                        </w:rPr>
                        <w:t>5</w:t>
                      </w:r>
                      <w:r>
                        <w:rPr>
                          <w:rFonts w:cs="Arial"/>
                          <w:snapToGrid w:val="0"/>
                        </w:rPr>
                        <w:t xml:space="preserve"> (24-month annual average)</w:t>
                      </w:r>
                    </w:p>
                    <w:p w14:paraId="6D08C10C" w14:textId="77777777" w:rsidR="0054290C" w:rsidRPr="00D71AA6" w:rsidRDefault="0054290C" w:rsidP="00AD309C">
                      <w:pPr>
                        <w:pStyle w:val="ListParagraph"/>
                        <w:numPr>
                          <w:ilvl w:val="0"/>
                          <w:numId w:val="29"/>
                        </w:numPr>
                        <w:rPr>
                          <w:rFonts w:cs="Arial"/>
                          <w:i/>
                          <w:snapToGrid w:val="0"/>
                        </w:rPr>
                      </w:pPr>
                      <w:r w:rsidRPr="009A5185">
                        <w:rPr>
                          <w:rFonts w:cs="Arial"/>
                          <w:snapToGrid w:val="0"/>
                        </w:rPr>
                        <w:t xml:space="preserve">Surveys (re)submitted on or after September 1: </w:t>
                      </w:r>
                    </w:p>
                    <w:p w14:paraId="03E2D902" w14:textId="41A43461" w:rsidR="0054290C" w:rsidRPr="00C75C07" w:rsidRDefault="0054290C" w:rsidP="00AD309C">
                      <w:pPr>
                        <w:pStyle w:val="ListParagraph"/>
                        <w:numPr>
                          <w:ilvl w:val="1"/>
                          <w:numId w:val="29"/>
                        </w:numPr>
                        <w:rPr>
                          <w:rFonts w:cs="Arial"/>
                          <w:i/>
                          <w:snapToGrid w:val="0"/>
                        </w:rPr>
                      </w:pPr>
                      <w:r w:rsidRPr="009A5185">
                        <w:rPr>
                          <w:rFonts w:cs="Arial"/>
                          <w:snapToGrid w:val="0"/>
                        </w:rPr>
                        <w:t>07/01/</w:t>
                      </w:r>
                      <w:r>
                        <w:rPr>
                          <w:rFonts w:cs="Arial"/>
                          <w:snapToGrid w:val="0"/>
                        </w:rPr>
                        <w:t>202</w:t>
                      </w:r>
                      <w:r w:rsidR="00670B35">
                        <w:rPr>
                          <w:rFonts w:cs="Arial"/>
                          <w:snapToGrid w:val="0"/>
                        </w:rPr>
                        <w:t>5</w:t>
                      </w:r>
                      <w:r w:rsidRPr="009A5185">
                        <w:rPr>
                          <w:rFonts w:cs="Arial"/>
                          <w:snapToGrid w:val="0"/>
                        </w:rPr>
                        <w:t xml:space="preserve"> </w:t>
                      </w:r>
                      <w:r>
                        <w:rPr>
                          <w:rFonts w:cs="Arial"/>
                          <w:snapToGrid w:val="0"/>
                        </w:rPr>
                        <w:t>–</w:t>
                      </w:r>
                      <w:r w:rsidRPr="009A5185">
                        <w:rPr>
                          <w:rFonts w:cs="Arial"/>
                          <w:snapToGrid w:val="0"/>
                        </w:rPr>
                        <w:t xml:space="preserve"> 06/30/</w:t>
                      </w:r>
                      <w:r>
                        <w:rPr>
                          <w:rFonts w:cs="Arial"/>
                          <w:snapToGrid w:val="0"/>
                        </w:rPr>
                        <w:t>202</w:t>
                      </w:r>
                      <w:r w:rsidR="00670B35">
                        <w:rPr>
                          <w:rFonts w:cs="Arial"/>
                          <w:snapToGrid w:val="0"/>
                        </w:rPr>
                        <w:t>6</w:t>
                      </w:r>
                      <w:r w:rsidRPr="009A5185">
                        <w:rPr>
                          <w:rFonts w:cs="Arial"/>
                          <w:snapToGrid w:val="0"/>
                        </w:rPr>
                        <w:t xml:space="preserve"> (12-month count) or 07/01/</w:t>
                      </w:r>
                      <w:r>
                        <w:rPr>
                          <w:rFonts w:cs="Arial"/>
                          <w:snapToGrid w:val="0"/>
                        </w:rPr>
                        <w:t>202</w:t>
                      </w:r>
                      <w:r w:rsidR="00670B35">
                        <w:rPr>
                          <w:rFonts w:cs="Arial"/>
                          <w:snapToGrid w:val="0"/>
                        </w:rPr>
                        <w:t>4</w:t>
                      </w:r>
                      <w:r w:rsidRPr="009A5185">
                        <w:rPr>
                          <w:rFonts w:cs="Arial"/>
                          <w:snapToGrid w:val="0"/>
                        </w:rPr>
                        <w:t xml:space="preserve"> – 06/30/</w:t>
                      </w:r>
                      <w:r>
                        <w:rPr>
                          <w:rFonts w:cs="Arial"/>
                          <w:snapToGrid w:val="0"/>
                        </w:rPr>
                        <w:t>202</w:t>
                      </w:r>
                      <w:r w:rsidR="00670B35">
                        <w:rPr>
                          <w:rFonts w:cs="Arial"/>
                          <w:snapToGrid w:val="0"/>
                        </w:rPr>
                        <w:t>6</w:t>
                      </w:r>
                      <w:r w:rsidRPr="009A5185">
                        <w:rPr>
                          <w:rFonts w:cs="Arial"/>
                          <w:snapToGrid w:val="0"/>
                        </w:rPr>
                        <w:t xml:space="preserve"> (24-month annual average)</w:t>
                      </w:r>
                    </w:p>
                    <w:p w14:paraId="30ABC7B7" w14:textId="77777777" w:rsidR="0054290C" w:rsidRPr="00D805E7" w:rsidRDefault="0054290C" w:rsidP="0054290C">
                      <w:pPr>
                        <w:pStyle w:val="ListParagraph"/>
                        <w:ind w:left="1440"/>
                        <w:rPr>
                          <w:rFonts w:cs="Arial"/>
                          <w:i/>
                          <w:snapToGrid w:val="0"/>
                        </w:rPr>
                      </w:pPr>
                    </w:p>
                    <w:p w14:paraId="79D00BF9" w14:textId="2E8532CC" w:rsidR="0054290C" w:rsidRDefault="0054290C" w:rsidP="0054290C">
                      <w:r w:rsidRPr="006547C0">
                        <w:rPr>
                          <w:rFonts w:cs="Arial"/>
                          <w:sz w:val="16"/>
                          <w:szCs w:val="16"/>
                        </w:rPr>
                        <w:t xml:space="preserve">Note: As a reminder, the </w:t>
                      </w:r>
                      <w:hyperlink r:id="rId213" w:history="1">
                        <w:r w:rsidRPr="006547C0">
                          <w:rPr>
                            <w:rStyle w:val="Hyperlink"/>
                            <w:rFonts w:cs="Arial"/>
                            <w:sz w:val="16"/>
                            <w:szCs w:val="16"/>
                          </w:rPr>
                          <w:t>Corrections Period</w:t>
                        </w:r>
                      </w:hyperlink>
                      <w:r w:rsidRPr="006547C0">
                        <w:rPr>
                          <w:rFonts w:cs="Arial"/>
                          <w:sz w:val="16"/>
                          <w:szCs w:val="16"/>
                        </w:rPr>
                        <w:t xml:space="preserve"> </w:t>
                      </w:r>
                      <w:r w:rsidRPr="00E65E68">
                        <w:rPr>
                          <w:rFonts w:cs="Arial"/>
                          <w:sz w:val="16"/>
                          <w:szCs w:val="16"/>
                        </w:rPr>
                        <w:t>(</w:t>
                      </w:r>
                      <w:r>
                        <w:rPr>
                          <w:rFonts w:cs="Arial"/>
                          <w:sz w:val="16"/>
                          <w:szCs w:val="16"/>
                        </w:rPr>
                        <w:t>December</w:t>
                      </w:r>
                      <w:r w:rsidRPr="00E65E68">
                        <w:rPr>
                          <w:rFonts w:cs="Arial"/>
                          <w:sz w:val="16"/>
                          <w:szCs w:val="16"/>
                        </w:rPr>
                        <w:t xml:space="preserve"> 1-January 31) is reserved for corrections to previously submitted Surveys only. </w:t>
                      </w:r>
                      <w:r w:rsidRPr="00E65E68">
                        <w:rPr>
                          <w:rFonts w:cs="Arial"/>
                          <w:bCs/>
                          <w:snapToGrid w:val="0"/>
                          <w:sz w:val="16"/>
                          <w:szCs w:val="16"/>
                        </w:rPr>
                        <w:t xml:space="preserve">Any updates made to reflect a change in performance must be made prior to the </w:t>
                      </w:r>
                      <w:r>
                        <w:rPr>
                          <w:rFonts w:cs="Arial"/>
                          <w:bCs/>
                          <w:snapToGrid w:val="0"/>
                          <w:sz w:val="16"/>
                          <w:szCs w:val="16"/>
                        </w:rPr>
                        <w:t>November 30</w:t>
                      </w:r>
                      <w:r w:rsidRPr="00E65E68">
                        <w:rPr>
                          <w:rFonts w:cs="Arial"/>
                          <w:bCs/>
                          <w:snapToGrid w:val="0"/>
                          <w:sz w:val="16"/>
                          <w:szCs w:val="16"/>
                        </w:rPr>
                        <w:t xml:space="preserve"> Late Submission </w:t>
                      </w:r>
                      <w:r w:rsidRPr="00AE38C7">
                        <w:rPr>
                          <w:rFonts w:cs="Arial"/>
                          <w:bCs/>
                          <w:snapToGrid w:val="0"/>
                          <w:sz w:val="16"/>
                          <w:szCs w:val="16"/>
                        </w:rPr>
                        <w:t>and Performance Update</w:t>
                      </w:r>
                      <w:r>
                        <w:rPr>
                          <w:rFonts w:cs="Arial"/>
                          <w:bCs/>
                          <w:snapToGrid w:val="0"/>
                          <w:sz w:val="16"/>
                          <w:szCs w:val="16"/>
                        </w:rPr>
                        <w:t xml:space="preserve"> </w:t>
                      </w:r>
                      <w:r w:rsidRPr="00E65E68">
                        <w:rPr>
                          <w:rFonts w:cs="Arial"/>
                          <w:bCs/>
                          <w:snapToGrid w:val="0"/>
                          <w:sz w:val="16"/>
                          <w:szCs w:val="16"/>
                        </w:rPr>
                        <w:t xml:space="preserve">Deadline. Updates made to reflect a change in performance after </w:t>
                      </w:r>
                      <w:r>
                        <w:rPr>
                          <w:rFonts w:cs="Arial"/>
                          <w:bCs/>
                          <w:snapToGrid w:val="0"/>
                          <w:sz w:val="16"/>
                          <w:szCs w:val="16"/>
                        </w:rPr>
                        <w:t>November 30</w:t>
                      </w:r>
                      <w:r w:rsidRPr="00E65E68">
                        <w:rPr>
                          <w:rFonts w:cs="Arial"/>
                          <w:bCs/>
                          <w:snapToGrid w:val="0"/>
                          <w:sz w:val="16"/>
                          <w:szCs w:val="16"/>
                        </w:rPr>
                        <w:t xml:space="preserve"> will not be scored or publicly reported.</w:t>
                      </w:r>
                    </w:p>
                  </w:txbxContent>
                </v:textbox>
                <w10:anchorlock/>
              </v:shape>
            </w:pict>
          </mc:Fallback>
        </mc:AlternateContent>
      </w:r>
    </w:p>
    <w:p w14:paraId="1CBCFED9" w14:textId="77777777" w:rsidR="0054290C" w:rsidRPr="008D6E32" w:rsidRDefault="0054290C" w:rsidP="00100C23">
      <w:pPr>
        <w:rPr>
          <w:rFonts w:cs="Arial"/>
          <w:b/>
          <w:snapToGrid w:val="0"/>
        </w:rPr>
      </w:pPr>
    </w:p>
    <w:tbl>
      <w:tblPr>
        <w:tblW w:w="5054"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51"/>
        <w:gridCol w:w="5400"/>
      </w:tblGrid>
      <w:tr w:rsidR="000A3B4F" w:rsidRPr="00DA12FA" w14:paraId="1FA2DE9F" w14:textId="77777777" w:rsidTr="00C06753">
        <w:trPr>
          <w:cantSplit/>
          <w:trHeight w:val="1008"/>
        </w:trPr>
        <w:tc>
          <w:tcPr>
            <w:tcW w:w="2143" w:type="pct"/>
            <w:tcBorders>
              <w:bottom w:val="single" w:sz="4" w:space="0" w:color="auto"/>
            </w:tcBorders>
            <w:vAlign w:val="center"/>
          </w:tcPr>
          <w:p w14:paraId="78CF08BA" w14:textId="7D84C140" w:rsidR="000A3B4F" w:rsidRPr="00D6576A" w:rsidRDefault="000A3B4F" w:rsidP="005F37AA">
            <w:pPr>
              <w:numPr>
                <w:ilvl w:val="0"/>
                <w:numId w:val="2"/>
              </w:numPr>
              <w:rPr>
                <w:rFonts w:cs="Arial"/>
                <w:snapToGrid w:val="0"/>
                <w:color w:val="000000"/>
              </w:rPr>
            </w:pPr>
            <w:bookmarkStart w:id="224" w:name="_3A_High-Risk_Surgical"/>
            <w:bookmarkEnd w:id="224"/>
            <w:r w:rsidRPr="00D6576A">
              <w:rPr>
                <w:rFonts w:cs="Arial"/>
                <w:snapToGrid w:val="0"/>
                <w:color w:val="000000"/>
              </w:rPr>
              <w:t>12-</w:t>
            </w:r>
            <w:r w:rsidR="002E1B8C" w:rsidRPr="00D6576A">
              <w:rPr>
                <w:rFonts w:cs="Arial"/>
                <w:snapToGrid w:val="0"/>
                <w:color w:val="000000"/>
              </w:rPr>
              <w:t xml:space="preserve">month </w:t>
            </w:r>
            <w:r w:rsidR="003615CD" w:rsidRPr="00D6576A">
              <w:rPr>
                <w:rFonts w:cs="Arial"/>
                <w:snapToGrid w:val="0"/>
                <w:color w:val="000000"/>
              </w:rPr>
              <w:t xml:space="preserve">or 24-month </w:t>
            </w:r>
            <w:r w:rsidRPr="00D6576A">
              <w:rPr>
                <w:rFonts w:cs="Arial"/>
                <w:snapToGrid w:val="0"/>
                <w:color w:val="000000"/>
              </w:rPr>
              <w:t>reporting period used:</w:t>
            </w:r>
          </w:p>
        </w:tc>
        <w:tc>
          <w:tcPr>
            <w:tcW w:w="2857" w:type="pct"/>
            <w:tcBorders>
              <w:bottom w:val="single" w:sz="4" w:space="0" w:color="auto"/>
            </w:tcBorders>
            <w:vAlign w:val="center"/>
          </w:tcPr>
          <w:p w14:paraId="0C804C82" w14:textId="11E0C027" w:rsidR="0080169D" w:rsidRPr="00C06753" w:rsidRDefault="0080169D" w:rsidP="00AD309C">
            <w:pPr>
              <w:pStyle w:val="ListParagraph"/>
              <w:numPr>
                <w:ilvl w:val="0"/>
                <w:numId w:val="235"/>
              </w:numPr>
              <w:rPr>
                <w:rFonts w:cs="Arial"/>
                <w:snapToGrid w:val="0"/>
              </w:rPr>
            </w:pPr>
            <w:r w:rsidRPr="00C8246A">
              <w:rPr>
                <w:rFonts w:cs="Arial"/>
                <w:snapToGrid w:val="0"/>
              </w:rPr>
              <w:t>01/01/202</w:t>
            </w:r>
            <w:r w:rsidR="000A7852">
              <w:rPr>
                <w:rFonts w:cs="Arial"/>
                <w:snapToGrid w:val="0"/>
              </w:rPr>
              <w:t>5</w:t>
            </w:r>
            <w:r w:rsidRPr="00C06753">
              <w:rPr>
                <w:rFonts w:cs="Arial"/>
                <w:snapToGrid w:val="0"/>
              </w:rPr>
              <w:t xml:space="preserve"> – 12/31/202</w:t>
            </w:r>
            <w:r w:rsidR="000A7852">
              <w:rPr>
                <w:rFonts w:cs="Arial"/>
                <w:snapToGrid w:val="0"/>
              </w:rPr>
              <w:t>5</w:t>
            </w:r>
            <w:r w:rsidRPr="00C06753">
              <w:rPr>
                <w:rFonts w:cs="Arial"/>
                <w:snapToGrid w:val="0"/>
              </w:rPr>
              <w:t xml:space="preserve"> (12-month count)</w:t>
            </w:r>
          </w:p>
          <w:p w14:paraId="7B45E11D" w14:textId="691C8637" w:rsidR="0080169D" w:rsidRPr="00C06753" w:rsidRDefault="0080169D" w:rsidP="00AD309C">
            <w:pPr>
              <w:pStyle w:val="ListParagraph"/>
              <w:numPr>
                <w:ilvl w:val="0"/>
                <w:numId w:val="235"/>
              </w:numPr>
              <w:rPr>
                <w:rFonts w:cs="Arial"/>
                <w:snapToGrid w:val="0"/>
              </w:rPr>
            </w:pPr>
            <w:r w:rsidRPr="00C06753">
              <w:rPr>
                <w:rFonts w:cs="Arial"/>
                <w:snapToGrid w:val="0"/>
              </w:rPr>
              <w:t>01/01/20</w:t>
            </w:r>
            <w:r w:rsidR="00E93B49" w:rsidRPr="00C06753">
              <w:rPr>
                <w:rFonts w:cs="Arial"/>
                <w:snapToGrid w:val="0"/>
              </w:rPr>
              <w:t>2</w:t>
            </w:r>
            <w:r w:rsidR="000A7852">
              <w:rPr>
                <w:rFonts w:cs="Arial"/>
                <w:snapToGrid w:val="0"/>
              </w:rPr>
              <w:t>4</w:t>
            </w:r>
            <w:r w:rsidRPr="00C06753">
              <w:rPr>
                <w:rFonts w:cs="Arial"/>
                <w:snapToGrid w:val="0"/>
              </w:rPr>
              <w:t xml:space="preserve"> – 12/31/202</w:t>
            </w:r>
            <w:r w:rsidR="000A7852">
              <w:rPr>
                <w:rFonts w:cs="Arial"/>
                <w:snapToGrid w:val="0"/>
              </w:rPr>
              <w:t>5</w:t>
            </w:r>
            <w:r w:rsidRPr="00C06753">
              <w:rPr>
                <w:rFonts w:cs="Arial"/>
                <w:snapToGrid w:val="0"/>
              </w:rPr>
              <w:t xml:space="preserve"> (24-month annual average)</w:t>
            </w:r>
          </w:p>
          <w:p w14:paraId="61001E5F" w14:textId="258144B8" w:rsidR="000A3B4F" w:rsidRPr="00C06753" w:rsidRDefault="000A3B4F" w:rsidP="00AD309C">
            <w:pPr>
              <w:pStyle w:val="ListParagraph"/>
              <w:numPr>
                <w:ilvl w:val="0"/>
                <w:numId w:val="235"/>
              </w:numPr>
              <w:rPr>
                <w:rFonts w:cs="Arial"/>
                <w:snapToGrid w:val="0"/>
              </w:rPr>
            </w:pPr>
            <w:r w:rsidRPr="00C06753">
              <w:rPr>
                <w:rFonts w:cs="Arial"/>
                <w:snapToGrid w:val="0"/>
              </w:rPr>
              <w:t>07/01/</w:t>
            </w:r>
            <w:r w:rsidR="0080169D" w:rsidRPr="00C06753">
              <w:rPr>
                <w:rFonts w:cs="Arial"/>
                <w:snapToGrid w:val="0"/>
              </w:rPr>
              <w:t>202</w:t>
            </w:r>
            <w:r w:rsidR="000A7852">
              <w:rPr>
                <w:rFonts w:cs="Arial"/>
                <w:snapToGrid w:val="0"/>
              </w:rPr>
              <w:t>5</w:t>
            </w:r>
            <w:r w:rsidRPr="00C06753">
              <w:rPr>
                <w:rFonts w:cs="Arial"/>
                <w:snapToGrid w:val="0"/>
              </w:rPr>
              <w:t xml:space="preserve"> – 06/30/</w:t>
            </w:r>
            <w:r w:rsidR="0080169D" w:rsidRPr="00C06753">
              <w:rPr>
                <w:rFonts w:cs="Arial"/>
                <w:snapToGrid w:val="0"/>
              </w:rPr>
              <w:t>202</w:t>
            </w:r>
            <w:r w:rsidR="000A7852">
              <w:rPr>
                <w:rFonts w:cs="Arial"/>
                <w:snapToGrid w:val="0"/>
              </w:rPr>
              <w:t>6</w:t>
            </w:r>
            <w:r w:rsidR="00F810B7" w:rsidRPr="00C06753">
              <w:rPr>
                <w:rFonts w:cs="Arial"/>
                <w:snapToGrid w:val="0"/>
              </w:rPr>
              <w:t xml:space="preserve"> (12-</w:t>
            </w:r>
            <w:r w:rsidRPr="00C06753">
              <w:rPr>
                <w:rFonts w:cs="Arial"/>
                <w:snapToGrid w:val="0"/>
              </w:rPr>
              <w:t>month</w:t>
            </w:r>
            <w:r w:rsidR="001032AF" w:rsidRPr="00C06753">
              <w:rPr>
                <w:rFonts w:cs="Arial"/>
                <w:snapToGrid w:val="0"/>
              </w:rPr>
              <w:t xml:space="preserve"> count</w:t>
            </w:r>
            <w:r w:rsidRPr="00C06753">
              <w:rPr>
                <w:rFonts w:cs="Arial"/>
                <w:snapToGrid w:val="0"/>
              </w:rPr>
              <w:t>)</w:t>
            </w:r>
          </w:p>
          <w:p w14:paraId="5C9A1EF7" w14:textId="13C20B95" w:rsidR="004B5463" w:rsidRPr="00D22736" w:rsidRDefault="004B5463" w:rsidP="00AD309C">
            <w:pPr>
              <w:pStyle w:val="ListParagraph"/>
              <w:numPr>
                <w:ilvl w:val="0"/>
                <w:numId w:val="235"/>
              </w:numPr>
              <w:rPr>
                <w:rFonts w:cs="Arial"/>
                <w:i/>
                <w:snapToGrid w:val="0"/>
              </w:rPr>
            </w:pPr>
            <w:r w:rsidRPr="00C06753">
              <w:rPr>
                <w:rFonts w:cs="Arial"/>
                <w:snapToGrid w:val="0"/>
              </w:rPr>
              <w:t>07/01/</w:t>
            </w:r>
            <w:r w:rsidR="0080169D" w:rsidRPr="00C06753">
              <w:rPr>
                <w:rFonts w:cs="Arial"/>
                <w:snapToGrid w:val="0"/>
              </w:rPr>
              <w:t>20</w:t>
            </w:r>
            <w:r w:rsidR="00E93B49" w:rsidRPr="00C06753">
              <w:rPr>
                <w:rFonts w:cs="Arial"/>
                <w:snapToGrid w:val="0"/>
              </w:rPr>
              <w:t>2</w:t>
            </w:r>
            <w:r w:rsidR="00D82E20">
              <w:rPr>
                <w:rFonts w:cs="Arial"/>
                <w:snapToGrid w:val="0"/>
              </w:rPr>
              <w:t>4</w:t>
            </w:r>
            <w:r w:rsidRPr="00C06753">
              <w:rPr>
                <w:rFonts w:cs="Arial"/>
                <w:snapToGrid w:val="0"/>
              </w:rPr>
              <w:t xml:space="preserve"> – 06/30/</w:t>
            </w:r>
            <w:r w:rsidR="0080169D" w:rsidRPr="00C06753">
              <w:rPr>
                <w:rFonts w:cs="Arial"/>
                <w:snapToGrid w:val="0"/>
              </w:rPr>
              <w:t>202</w:t>
            </w:r>
            <w:r w:rsidR="000A7852">
              <w:rPr>
                <w:rFonts w:cs="Arial"/>
                <w:snapToGrid w:val="0"/>
              </w:rPr>
              <w:t>6</w:t>
            </w:r>
            <w:r w:rsidRPr="00C06753">
              <w:rPr>
                <w:rFonts w:cs="Arial"/>
                <w:snapToGrid w:val="0"/>
              </w:rPr>
              <w:t xml:space="preserve"> (24</w:t>
            </w:r>
            <w:r w:rsidR="00F810B7" w:rsidRPr="00C06753">
              <w:rPr>
                <w:rFonts w:cs="Arial"/>
                <w:snapToGrid w:val="0"/>
              </w:rPr>
              <w:t>-</w:t>
            </w:r>
            <w:r w:rsidRPr="00C06753">
              <w:rPr>
                <w:rFonts w:cs="Arial"/>
                <w:snapToGrid w:val="0"/>
              </w:rPr>
              <w:t>month annual average)</w:t>
            </w:r>
          </w:p>
        </w:tc>
      </w:tr>
      <w:tr w:rsidR="000A3B4F" w:rsidRPr="009A5185" w14:paraId="32C490BA" w14:textId="77777777" w:rsidTr="00C06753">
        <w:trPr>
          <w:cantSplit/>
          <w:trHeight w:val="3600"/>
        </w:trPr>
        <w:tc>
          <w:tcPr>
            <w:tcW w:w="2143" w:type="pct"/>
            <w:vAlign w:val="center"/>
          </w:tcPr>
          <w:p w14:paraId="46433B06" w14:textId="7F1616DC" w:rsidR="000A3B4F" w:rsidRDefault="000A3B4F" w:rsidP="005F37AA">
            <w:pPr>
              <w:numPr>
                <w:ilvl w:val="0"/>
                <w:numId w:val="2"/>
              </w:numPr>
              <w:spacing w:before="120"/>
              <w:rPr>
                <w:rFonts w:cs="Arial"/>
                <w:snapToGrid w:val="0"/>
                <w:color w:val="000000"/>
              </w:rPr>
            </w:pPr>
            <w:r w:rsidRPr="009A5185">
              <w:rPr>
                <w:rFonts w:cs="Arial"/>
                <w:snapToGrid w:val="0"/>
                <w:color w:val="000000"/>
              </w:rPr>
              <w:t>Check all procedures that your hospital performs as defined in</w:t>
            </w:r>
            <w:r w:rsidR="005C50B3">
              <w:rPr>
                <w:rFonts w:cs="Arial"/>
                <w:snapToGrid w:val="0"/>
                <w:color w:val="000000"/>
              </w:rPr>
              <w:t xml:space="preserve"> the</w:t>
            </w:r>
            <w:r w:rsidRPr="009A5185">
              <w:rPr>
                <w:rFonts w:cs="Arial"/>
                <w:snapToGrid w:val="0"/>
                <w:color w:val="000000"/>
              </w:rPr>
              <w:t xml:space="preserve"> </w:t>
            </w:r>
            <w:r w:rsidR="00B152BD" w:rsidRPr="00B24657">
              <w:rPr>
                <w:rFonts w:cs="Arial"/>
                <w:snapToGrid w:val="0"/>
                <w:color w:val="000000"/>
              </w:rPr>
              <w:t>Adult and Pediatric</w:t>
            </w:r>
            <w:r w:rsidR="00B152BD">
              <w:rPr>
                <w:rFonts w:cs="Arial"/>
                <w:snapToGrid w:val="0"/>
                <w:color w:val="000000"/>
              </w:rPr>
              <w:t xml:space="preserve"> </w:t>
            </w:r>
            <w:r w:rsidR="003D737B">
              <w:rPr>
                <w:rFonts w:cs="Arial"/>
                <w:snapToGrid w:val="0"/>
                <w:color w:val="000000"/>
              </w:rPr>
              <w:t>Complex</w:t>
            </w:r>
            <w:r w:rsidR="004E15BE">
              <w:rPr>
                <w:rFonts w:cs="Arial"/>
                <w:snapToGrid w:val="0"/>
                <w:color w:val="000000"/>
              </w:rPr>
              <w:t xml:space="preserve"> </w:t>
            </w:r>
            <w:r w:rsidR="00435122" w:rsidRPr="009A5185">
              <w:rPr>
                <w:rFonts w:cs="Arial"/>
                <w:snapToGrid w:val="0"/>
                <w:color w:val="000000"/>
              </w:rPr>
              <w:t>Surgery Reference Information</w:t>
            </w:r>
            <w:r w:rsidRPr="009A5185">
              <w:rPr>
                <w:rFonts w:cs="Arial"/>
                <w:snapToGrid w:val="0"/>
                <w:color w:val="000000"/>
              </w:rPr>
              <w:t>.</w:t>
            </w:r>
          </w:p>
          <w:p w14:paraId="4FF0B1E9" w14:textId="78136286" w:rsidR="005B4EAD" w:rsidRPr="005B4EAD" w:rsidRDefault="005B4EAD" w:rsidP="005B4EAD">
            <w:pPr>
              <w:spacing w:before="120"/>
              <w:ind w:left="360"/>
              <w:rPr>
                <w:rFonts w:cs="Arial"/>
                <w:i/>
                <w:iCs/>
                <w:snapToGrid w:val="0"/>
                <w:color w:val="000000"/>
              </w:rPr>
            </w:pPr>
            <w:r w:rsidRPr="005B4EAD">
              <w:rPr>
                <w:rFonts w:cs="Arial"/>
                <w:i/>
                <w:iCs/>
                <w:snapToGrid w:val="0"/>
                <w:color w:val="000000"/>
              </w:rPr>
              <w:t>Select all that apply.</w:t>
            </w:r>
          </w:p>
          <w:p w14:paraId="1C3C370A" w14:textId="4F4A6F96" w:rsidR="00CD5114" w:rsidRPr="00B42C53" w:rsidRDefault="003F7454" w:rsidP="005F37AA">
            <w:pPr>
              <w:spacing w:before="120"/>
              <w:ind w:left="360"/>
              <w:rPr>
                <w:rFonts w:cs="Arial"/>
                <w:i/>
              </w:rPr>
            </w:pPr>
            <w:r>
              <w:rPr>
                <w:rFonts w:cs="Arial"/>
                <w:i/>
              </w:rPr>
              <w:t>Do not check the box for a procedure i</w:t>
            </w:r>
            <w:r w:rsidR="00CD5114" w:rsidRPr="00B42C53">
              <w:rPr>
                <w:rFonts w:cs="Arial"/>
                <w:i/>
              </w:rPr>
              <w:t xml:space="preserve">f your hospital ONLY </w:t>
            </w:r>
            <w:r w:rsidR="005B3E47">
              <w:rPr>
                <w:rFonts w:cs="Arial"/>
                <w:i/>
              </w:rPr>
              <w:t xml:space="preserve">performs the procedure </w:t>
            </w:r>
            <w:r w:rsidR="005F2BB7" w:rsidRPr="005F2BB7">
              <w:rPr>
                <w:rFonts w:cs="Arial"/>
                <w:i/>
              </w:rPr>
              <w:t>on an emergency basis or when a patient is too unstable for safe transfer</w:t>
            </w:r>
            <w:r w:rsidR="005D4BAB">
              <w:rPr>
                <w:rFonts w:cs="Arial"/>
                <w:i/>
              </w:rPr>
              <w:t>.</w:t>
            </w:r>
          </w:p>
          <w:p w14:paraId="4D1836A6" w14:textId="314CB1CD" w:rsidR="00FC03E0" w:rsidRPr="009A5185" w:rsidRDefault="00C30515" w:rsidP="005F37AA">
            <w:pPr>
              <w:spacing w:before="120"/>
              <w:ind w:left="360"/>
              <w:rPr>
                <w:rFonts w:cs="Arial"/>
                <w:i/>
                <w:snapToGrid w:val="0"/>
                <w:color w:val="000000"/>
              </w:rPr>
            </w:pPr>
            <w:r w:rsidRPr="00B42C53">
              <w:rPr>
                <w:rFonts w:cs="Arial"/>
                <w:i/>
                <w:snapToGrid w:val="0"/>
                <w:color w:val="000000"/>
              </w:rPr>
              <w:t>If “</w:t>
            </w:r>
            <w:r w:rsidR="004C67AE">
              <w:rPr>
                <w:rFonts w:cs="Arial"/>
                <w:i/>
                <w:snapToGrid w:val="0"/>
                <w:color w:val="000000"/>
              </w:rPr>
              <w:t>n</w:t>
            </w:r>
            <w:r w:rsidRPr="00B42C53">
              <w:rPr>
                <w:rFonts w:cs="Arial"/>
                <w:i/>
                <w:snapToGrid w:val="0"/>
                <w:color w:val="000000"/>
              </w:rPr>
              <w:t xml:space="preserve">one of the above,” skip </w:t>
            </w:r>
            <w:r w:rsidR="00882B66" w:rsidRPr="00B42C53">
              <w:rPr>
                <w:rFonts w:cs="Arial"/>
                <w:i/>
                <w:snapToGrid w:val="0"/>
                <w:color w:val="000000"/>
              </w:rPr>
              <w:t xml:space="preserve">the </w:t>
            </w:r>
            <w:r w:rsidRPr="00B42C53">
              <w:rPr>
                <w:rFonts w:cs="Arial"/>
                <w:i/>
                <w:snapToGrid w:val="0"/>
                <w:color w:val="000000"/>
              </w:rPr>
              <w:t xml:space="preserve">remaining questions in </w:t>
            </w:r>
            <w:r w:rsidR="00396FE6">
              <w:rPr>
                <w:rFonts w:cs="Arial"/>
                <w:i/>
                <w:snapToGrid w:val="0"/>
                <w:color w:val="000000"/>
              </w:rPr>
              <w:t>Section 3</w:t>
            </w:r>
            <w:r w:rsidR="00C73BE8" w:rsidRPr="009A5185">
              <w:rPr>
                <w:rFonts w:cs="Arial"/>
                <w:i/>
                <w:snapToGrid w:val="0"/>
                <w:color w:val="000000"/>
              </w:rPr>
              <w:t xml:space="preserve"> and go to the Affirmation of </w:t>
            </w:r>
            <w:r w:rsidR="00C73BE8" w:rsidRPr="00B14E88">
              <w:rPr>
                <w:rFonts w:cs="Arial"/>
                <w:i/>
                <w:snapToGrid w:val="0"/>
                <w:color w:val="000000"/>
              </w:rPr>
              <w:t>Accuracy.</w:t>
            </w:r>
            <w:r w:rsidR="00D6576A" w:rsidRPr="00B14E88">
              <w:rPr>
                <w:rFonts w:cs="Arial"/>
                <w:i/>
                <w:snapToGrid w:val="0"/>
                <w:color w:val="000000"/>
              </w:rPr>
              <w:t xml:space="preserve"> </w:t>
            </w:r>
            <w:r w:rsidR="00644638" w:rsidRPr="00B14E88">
              <w:rPr>
                <w:rFonts w:cs="Arial"/>
                <w:i/>
                <w:snapToGrid w:val="0"/>
                <w:color w:val="000000"/>
              </w:rPr>
              <w:t>The hospital will be scored as “Does Not Apply.”</w:t>
            </w:r>
          </w:p>
        </w:tc>
        <w:tc>
          <w:tcPr>
            <w:tcW w:w="2857" w:type="pct"/>
            <w:vAlign w:val="center"/>
          </w:tcPr>
          <w:p w14:paraId="34F56B1A" w14:textId="77777777" w:rsidR="000A3B4F" w:rsidRPr="009A5185" w:rsidRDefault="00964B32" w:rsidP="00AD309C">
            <w:pPr>
              <w:pStyle w:val="ListParagraph"/>
              <w:numPr>
                <w:ilvl w:val="0"/>
                <w:numId w:val="35"/>
              </w:numPr>
              <w:rPr>
                <w:rFonts w:cs="Arial"/>
                <w:snapToGrid w:val="0"/>
              </w:rPr>
            </w:pPr>
            <w:r w:rsidRPr="009A5185">
              <w:rPr>
                <w:rFonts w:cs="Arial"/>
                <w:snapToGrid w:val="0"/>
              </w:rPr>
              <w:t>Carotid endarterectomy</w:t>
            </w:r>
          </w:p>
          <w:p w14:paraId="461A9465" w14:textId="77777777" w:rsidR="000A3B4F" w:rsidRPr="009A5185" w:rsidRDefault="00964B32" w:rsidP="00AD309C">
            <w:pPr>
              <w:pStyle w:val="ListParagraph"/>
              <w:numPr>
                <w:ilvl w:val="0"/>
                <w:numId w:val="35"/>
              </w:numPr>
              <w:rPr>
                <w:rFonts w:cs="Arial"/>
                <w:snapToGrid w:val="0"/>
              </w:rPr>
            </w:pPr>
            <w:r w:rsidRPr="009A5185">
              <w:rPr>
                <w:rFonts w:cs="Arial"/>
                <w:snapToGrid w:val="0"/>
              </w:rPr>
              <w:t>Mitral valve repair and replacement</w:t>
            </w:r>
          </w:p>
          <w:p w14:paraId="04BBB944" w14:textId="77777777" w:rsidR="000A3B4F" w:rsidRPr="009A5185" w:rsidRDefault="000A3B4F" w:rsidP="00AD309C">
            <w:pPr>
              <w:pStyle w:val="ListParagraph"/>
              <w:numPr>
                <w:ilvl w:val="0"/>
                <w:numId w:val="35"/>
              </w:numPr>
              <w:rPr>
                <w:rFonts w:cs="Arial"/>
                <w:snapToGrid w:val="0"/>
              </w:rPr>
            </w:pPr>
            <w:r w:rsidRPr="009A5185">
              <w:rPr>
                <w:rFonts w:cs="Arial"/>
                <w:snapToGrid w:val="0"/>
              </w:rPr>
              <w:t xml:space="preserve">Open aortic </w:t>
            </w:r>
            <w:r w:rsidR="00F86049">
              <w:rPr>
                <w:rFonts w:cs="Arial"/>
                <w:snapToGrid w:val="0"/>
              </w:rPr>
              <w:t>procedures</w:t>
            </w:r>
          </w:p>
          <w:p w14:paraId="30BF1FA0" w14:textId="77777777" w:rsidR="000A3B4F" w:rsidRPr="009A5185" w:rsidRDefault="00964B32" w:rsidP="00AD309C">
            <w:pPr>
              <w:pStyle w:val="ListParagraph"/>
              <w:numPr>
                <w:ilvl w:val="0"/>
                <w:numId w:val="35"/>
              </w:numPr>
              <w:rPr>
                <w:rFonts w:cs="Arial"/>
                <w:snapToGrid w:val="0"/>
              </w:rPr>
            </w:pPr>
            <w:r w:rsidRPr="009A5185">
              <w:rPr>
                <w:rFonts w:cs="Arial"/>
                <w:snapToGrid w:val="0"/>
              </w:rPr>
              <w:t>Lung resection</w:t>
            </w:r>
            <w:r w:rsidR="001B3F7E" w:rsidRPr="009A5185">
              <w:rPr>
                <w:rFonts w:cs="Arial"/>
                <w:snapToGrid w:val="0"/>
              </w:rPr>
              <w:t xml:space="preserve"> for cancer</w:t>
            </w:r>
          </w:p>
          <w:p w14:paraId="2F2D0043" w14:textId="77777777" w:rsidR="000A3B4F" w:rsidRPr="009A5185" w:rsidRDefault="00964B32" w:rsidP="00AD309C">
            <w:pPr>
              <w:pStyle w:val="ListParagraph"/>
              <w:numPr>
                <w:ilvl w:val="0"/>
                <w:numId w:val="35"/>
              </w:numPr>
              <w:rPr>
                <w:rFonts w:cs="Arial"/>
                <w:snapToGrid w:val="0"/>
              </w:rPr>
            </w:pPr>
            <w:r w:rsidRPr="009A5185">
              <w:rPr>
                <w:rFonts w:cs="Arial"/>
                <w:snapToGrid w:val="0"/>
              </w:rPr>
              <w:t>Esophageal resection</w:t>
            </w:r>
            <w:r w:rsidR="001B3F7E" w:rsidRPr="009A5185">
              <w:rPr>
                <w:rFonts w:cs="Arial"/>
                <w:snapToGrid w:val="0"/>
              </w:rPr>
              <w:t xml:space="preserve"> for cancer</w:t>
            </w:r>
          </w:p>
          <w:p w14:paraId="6C6FDA96" w14:textId="77777777" w:rsidR="000A3B4F" w:rsidRPr="009A5185" w:rsidRDefault="00964B32" w:rsidP="00AD309C">
            <w:pPr>
              <w:pStyle w:val="ListParagraph"/>
              <w:numPr>
                <w:ilvl w:val="0"/>
                <w:numId w:val="35"/>
              </w:numPr>
              <w:rPr>
                <w:rFonts w:cs="Arial"/>
                <w:snapToGrid w:val="0"/>
              </w:rPr>
            </w:pPr>
            <w:r w:rsidRPr="009A5185">
              <w:rPr>
                <w:rFonts w:cs="Arial"/>
                <w:snapToGrid w:val="0"/>
              </w:rPr>
              <w:t>Pancreatic resection</w:t>
            </w:r>
            <w:r w:rsidR="001B3F7E" w:rsidRPr="009A5185">
              <w:rPr>
                <w:rFonts w:cs="Arial"/>
                <w:snapToGrid w:val="0"/>
              </w:rPr>
              <w:t xml:space="preserve"> for cancer</w:t>
            </w:r>
          </w:p>
          <w:p w14:paraId="1A219AF0" w14:textId="77777777" w:rsidR="000A3B4F" w:rsidRPr="009A5185" w:rsidRDefault="00964B32" w:rsidP="00AD309C">
            <w:pPr>
              <w:pStyle w:val="ListParagraph"/>
              <w:numPr>
                <w:ilvl w:val="0"/>
                <w:numId w:val="35"/>
              </w:numPr>
              <w:rPr>
                <w:rFonts w:cs="Arial"/>
                <w:snapToGrid w:val="0"/>
              </w:rPr>
            </w:pPr>
            <w:r w:rsidRPr="009A5185">
              <w:rPr>
                <w:rFonts w:cs="Arial"/>
                <w:snapToGrid w:val="0"/>
              </w:rPr>
              <w:t>Rectal cancer surgery</w:t>
            </w:r>
          </w:p>
          <w:p w14:paraId="1641B924" w14:textId="77777777" w:rsidR="000A3B4F" w:rsidRDefault="00964B32" w:rsidP="00AD309C">
            <w:pPr>
              <w:pStyle w:val="ListParagraph"/>
              <w:numPr>
                <w:ilvl w:val="0"/>
                <w:numId w:val="35"/>
              </w:numPr>
              <w:rPr>
                <w:rFonts w:cs="Arial"/>
                <w:snapToGrid w:val="0"/>
              </w:rPr>
            </w:pPr>
            <w:r w:rsidRPr="009A5185">
              <w:rPr>
                <w:rFonts w:cs="Arial"/>
                <w:snapToGrid w:val="0"/>
              </w:rPr>
              <w:t>Bariatric surgery for weight loss</w:t>
            </w:r>
          </w:p>
          <w:p w14:paraId="72684648" w14:textId="77777777" w:rsidR="00A02731" w:rsidRDefault="00A02731" w:rsidP="00AD309C">
            <w:pPr>
              <w:pStyle w:val="ListParagraph"/>
              <w:numPr>
                <w:ilvl w:val="0"/>
                <w:numId w:val="35"/>
              </w:numPr>
              <w:rPr>
                <w:rFonts w:cs="Arial"/>
                <w:snapToGrid w:val="0"/>
              </w:rPr>
            </w:pPr>
            <w:r>
              <w:rPr>
                <w:rFonts w:cs="Arial"/>
                <w:snapToGrid w:val="0"/>
              </w:rPr>
              <w:t>Total knee replacement</w:t>
            </w:r>
          </w:p>
          <w:p w14:paraId="255D3ECE" w14:textId="77777777" w:rsidR="00A02731" w:rsidRDefault="00A02731" w:rsidP="00AD309C">
            <w:pPr>
              <w:pStyle w:val="ListParagraph"/>
              <w:numPr>
                <w:ilvl w:val="0"/>
                <w:numId w:val="35"/>
              </w:numPr>
              <w:rPr>
                <w:rFonts w:cs="Arial"/>
                <w:snapToGrid w:val="0"/>
              </w:rPr>
            </w:pPr>
            <w:r>
              <w:rPr>
                <w:rFonts w:cs="Arial"/>
                <w:snapToGrid w:val="0"/>
              </w:rPr>
              <w:t>Total hip replacement</w:t>
            </w:r>
          </w:p>
          <w:p w14:paraId="053F280D" w14:textId="77777777" w:rsidR="00A02731" w:rsidRPr="009A5185" w:rsidRDefault="00A02731" w:rsidP="00AD309C">
            <w:pPr>
              <w:pStyle w:val="ListParagraph"/>
              <w:numPr>
                <w:ilvl w:val="0"/>
                <w:numId w:val="35"/>
              </w:numPr>
              <w:rPr>
                <w:rFonts w:cs="Arial"/>
                <w:snapToGrid w:val="0"/>
              </w:rPr>
            </w:pPr>
            <w:r>
              <w:rPr>
                <w:rFonts w:cs="Arial"/>
                <w:snapToGrid w:val="0"/>
              </w:rPr>
              <w:t xml:space="preserve">Norwood procedure </w:t>
            </w:r>
          </w:p>
          <w:p w14:paraId="62F02B93" w14:textId="77777777" w:rsidR="000A3B4F" w:rsidRPr="009A5185" w:rsidRDefault="000A3B4F" w:rsidP="00AD309C">
            <w:pPr>
              <w:pStyle w:val="ListParagraph"/>
              <w:numPr>
                <w:ilvl w:val="0"/>
                <w:numId w:val="35"/>
              </w:numPr>
              <w:rPr>
                <w:rFonts w:cs="Arial"/>
                <w:snapToGrid w:val="0"/>
              </w:rPr>
            </w:pPr>
            <w:r w:rsidRPr="009A5185">
              <w:rPr>
                <w:rFonts w:cs="Arial"/>
                <w:snapToGrid w:val="0"/>
              </w:rPr>
              <w:t>None of the above</w:t>
            </w:r>
          </w:p>
        </w:tc>
      </w:tr>
    </w:tbl>
    <w:p w14:paraId="62203A85" w14:textId="77777777" w:rsidR="00306EB2" w:rsidRDefault="00306EB2" w:rsidP="000A3B4F">
      <w:pPr>
        <w:pStyle w:val="Header"/>
        <w:tabs>
          <w:tab w:val="clear" w:pos="4320"/>
          <w:tab w:val="clear" w:pos="8640"/>
        </w:tabs>
        <w:rPr>
          <w:rFonts w:cs="Arial"/>
          <w:i/>
          <w:iCs/>
          <w:snapToGrid w:val="0"/>
          <w:color w:val="000000"/>
        </w:rPr>
      </w:pPr>
    </w:p>
    <w:p w14:paraId="2A031146" w14:textId="77777777" w:rsidR="00D22736" w:rsidRDefault="00D22736" w:rsidP="000A3B4F">
      <w:pPr>
        <w:pStyle w:val="Header"/>
        <w:tabs>
          <w:tab w:val="clear" w:pos="4320"/>
          <w:tab w:val="clear" w:pos="8640"/>
        </w:tabs>
        <w:rPr>
          <w:rFonts w:cs="Arial"/>
          <w:i/>
          <w:iCs/>
          <w:snapToGrid w:val="0"/>
          <w:color w:val="000000"/>
        </w:rPr>
      </w:pPr>
    </w:p>
    <w:p w14:paraId="2D1A693A" w14:textId="496BDA97" w:rsidR="0063351C" w:rsidRDefault="00F0772B" w:rsidP="000A3B4F">
      <w:pPr>
        <w:pStyle w:val="Header"/>
        <w:tabs>
          <w:tab w:val="clear" w:pos="4320"/>
          <w:tab w:val="clear" w:pos="8640"/>
        </w:tabs>
        <w:rPr>
          <w:rFonts w:cs="Arial"/>
          <w:i/>
          <w:iCs/>
          <w:snapToGrid w:val="0"/>
          <w:color w:val="000000"/>
        </w:rPr>
      </w:pPr>
      <w:r>
        <w:rPr>
          <w:rFonts w:cs="Arial"/>
          <w:i/>
          <w:iCs/>
          <w:snapToGrid w:val="0"/>
          <w:color w:val="000000"/>
        </w:rPr>
        <w:t>R</w:t>
      </w:r>
      <w:r w:rsidR="00B91D49" w:rsidRPr="00B00E2A">
        <w:rPr>
          <w:rFonts w:cs="Arial"/>
          <w:i/>
          <w:iCs/>
          <w:snapToGrid w:val="0"/>
          <w:color w:val="000000"/>
        </w:rPr>
        <w:t xml:space="preserve">espond to questions #3-11 based on the procedures selected in question #2. </w:t>
      </w:r>
    </w:p>
    <w:p w14:paraId="49ADA174" w14:textId="77777777" w:rsidR="00D25C4F" w:rsidRPr="008D6E32" w:rsidRDefault="00D25C4F" w:rsidP="000A3B4F">
      <w:pPr>
        <w:pStyle w:val="Header"/>
        <w:tabs>
          <w:tab w:val="clear" w:pos="4320"/>
          <w:tab w:val="clear" w:pos="8640"/>
        </w:tabs>
        <w:rPr>
          <w:rFonts w:cs="Arial"/>
          <w:i/>
          <w:iCs/>
          <w:snapToGrid w:val="0"/>
          <w:color w:val="000000"/>
        </w:rPr>
      </w:pPr>
    </w:p>
    <w:tbl>
      <w:tblPr>
        <w:tblW w:w="5054"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20"/>
        <w:gridCol w:w="2610"/>
        <w:gridCol w:w="3421"/>
      </w:tblGrid>
      <w:tr w:rsidR="00351783" w:rsidRPr="009A5185" w14:paraId="48A6EA48" w14:textId="77777777" w:rsidTr="0059119E">
        <w:trPr>
          <w:cantSplit/>
          <w:trHeight w:val="1008"/>
        </w:trPr>
        <w:tc>
          <w:tcPr>
            <w:tcW w:w="5000" w:type="pct"/>
            <w:gridSpan w:val="3"/>
            <w:tcBorders>
              <w:bottom w:val="single" w:sz="4" w:space="0" w:color="auto"/>
            </w:tcBorders>
            <w:vAlign w:val="center"/>
          </w:tcPr>
          <w:p w14:paraId="563301A8" w14:textId="41B96226" w:rsidR="00351783" w:rsidRPr="009A5185" w:rsidRDefault="00351783" w:rsidP="005F37AA">
            <w:pPr>
              <w:pStyle w:val="ListParagraph"/>
              <w:numPr>
                <w:ilvl w:val="0"/>
                <w:numId w:val="2"/>
              </w:numPr>
              <w:rPr>
                <w:rFonts w:cs="Arial"/>
                <w:i/>
                <w:snapToGrid w:val="0"/>
              </w:rPr>
            </w:pPr>
            <w:r w:rsidRPr="009A5185">
              <w:rPr>
                <w:rFonts w:cs="Arial"/>
                <w:snapToGrid w:val="0"/>
              </w:rPr>
              <w:t xml:space="preserve">Total </w:t>
            </w:r>
            <w:r w:rsidRPr="009A5185">
              <w:rPr>
                <w:rFonts w:cs="Arial"/>
                <w:b/>
                <w:snapToGrid w:val="0"/>
              </w:rPr>
              <w:t>hospital</w:t>
            </w:r>
            <w:r w:rsidRPr="009A5185">
              <w:rPr>
                <w:rFonts w:cs="Arial"/>
                <w:snapToGrid w:val="0"/>
              </w:rPr>
              <w:t xml:space="preserve"> volume for each selected procedure during the reporting period:</w:t>
            </w:r>
          </w:p>
          <w:p w14:paraId="7DD372C7" w14:textId="77777777" w:rsidR="00351783" w:rsidRPr="008D6E32" w:rsidRDefault="00351783" w:rsidP="005F37AA">
            <w:pPr>
              <w:pStyle w:val="ListParagraph"/>
              <w:ind w:left="360"/>
              <w:rPr>
                <w:rFonts w:cs="Arial"/>
                <w:i/>
                <w:snapToGrid w:val="0"/>
                <w:sz w:val="16"/>
                <w:szCs w:val="16"/>
              </w:rPr>
            </w:pPr>
          </w:p>
          <w:p w14:paraId="33E739F3" w14:textId="77777777" w:rsidR="00351783" w:rsidRPr="00DF74CA" w:rsidRDefault="00351783" w:rsidP="005F37AA">
            <w:pPr>
              <w:ind w:left="360"/>
              <w:rPr>
                <w:rFonts w:cs="Arial"/>
                <w:i/>
                <w:iCs/>
                <w:color w:val="222222"/>
                <w:shd w:val="clear" w:color="auto" w:fill="FFFFFF"/>
              </w:rPr>
            </w:pPr>
            <w:r w:rsidRPr="009A5185">
              <w:rPr>
                <w:rFonts w:cs="Arial"/>
                <w:i/>
                <w:iCs/>
                <w:color w:val="222222"/>
                <w:shd w:val="clear" w:color="auto" w:fill="FFFFFF"/>
              </w:rPr>
              <w:t>Volume should represent a 12-month count or 24-month annual average consistent with the reporting period selected in question #1.</w:t>
            </w:r>
          </w:p>
        </w:tc>
      </w:tr>
      <w:tr w:rsidR="00351783" w:rsidRPr="009A5185" w14:paraId="11131D99" w14:textId="77777777" w:rsidTr="0059119E">
        <w:trPr>
          <w:cantSplit/>
          <w:trHeight w:val="576"/>
        </w:trPr>
        <w:tc>
          <w:tcPr>
            <w:tcW w:w="1809" w:type="pct"/>
            <w:tcBorders>
              <w:bottom w:val="single" w:sz="4" w:space="0" w:color="auto"/>
            </w:tcBorders>
            <w:vAlign w:val="center"/>
          </w:tcPr>
          <w:p w14:paraId="46769F2D" w14:textId="77777777" w:rsidR="00351783" w:rsidRPr="009A5185" w:rsidRDefault="00351783" w:rsidP="005F37AA">
            <w:pPr>
              <w:jc w:val="center"/>
              <w:rPr>
                <w:rFonts w:cs="Arial"/>
                <w:i/>
                <w:snapToGrid w:val="0"/>
              </w:rPr>
            </w:pPr>
            <w:r w:rsidRPr="009A5185">
              <w:rPr>
                <w:rFonts w:cs="Arial"/>
                <w:i/>
                <w:snapToGrid w:val="0"/>
              </w:rPr>
              <w:t>Procedure</w:t>
            </w:r>
          </w:p>
        </w:tc>
        <w:tc>
          <w:tcPr>
            <w:tcW w:w="1381" w:type="pct"/>
            <w:tcBorders>
              <w:bottom w:val="single" w:sz="4" w:space="0" w:color="auto"/>
            </w:tcBorders>
            <w:vAlign w:val="center"/>
          </w:tcPr>
          <w:p w14:paraId="5043ECA1" w14:textId="7853A9D7" w:rsidR="00351783" w:rsidRDefault="00351783" w:rsidP="005F37AA">
            <w:pPr>
              <w:jc w:val="center"/>
              <w:rPr>
                <w:rFonts w:cs="Arial"/>
                <w:i/>
                <w:snapToGrid w:val="0"/>
              </w:rPr>
            </w:pPr>
            <w:r>
              <w:rPr>
                <w:rFonts w:cs="Arial"/>
                <w:i/>
                <w:snapToGrid w:val="0"/>
              </w:rPr>
              <w:t>Hospital Volume Standard</w:t>
            </w:r>
          </w:p>
        </w:tc>
        <w:tc>
          <w:tcPr>
            <w:tcW w:w="1810" w:type="pct"/>
            <w:tcBorders>
              <w:bottom w:val="single" w:sz="4" w:space="0" w:color="auto"/>
            </w:tcBorders>
            <w:vAlign w:val="center"/>
          </w:tcPr>
          <w:p w14:paraId="4FC56514" w14:textId="6C76C75A" w:rsidR="00351783" w:rsidRPr="009A5185" w:rsidRDefault="00351783" w:rsidP="005F37AA">
            <w:pPr>
              <w:jc w:val="center"/>
              <w:rPr>
                <w:rFonts w:cs="Arial"/>
                <w:i/>
                <w:snapToGrid w:val="0"/>
              </w:rPr>
            </w:pPr>
            <w:r>
              <w:rPr>
                <w:rFonts w:cs="Arial"/>
                <w:i/>
                <w:snapToGrid w:val="0"/>
              </w:rPr>
              <w:t xml:space="preserve">Total </w:t>
            </w:r>
            <w:r w:rsidR="0059119E">
              <w:rPr>
                <w:rFonts w:cs="Arial"/>
                <w:i/>
                <w:snapToGrid w:val="0"/>
              </w:rPr>
              <w:t>H</w:t>
            </w:r>
            <w:r>
              <w:rPr>
                <w:rFonts w:cs="Arial"/>
                <w:i/>
                <w:snapToGrid w:val="0"/>
              </w:rPr>
              <w:t xml:space="preserve">ospital </w:t>
            </w:r>
            <w:r w:rsidR="0059119E">
              <w:rPr>
                <w:rFonts w:cs="Arial"/>
                <w:i/>
                <w:snapToGrid w:val="0"/>
              </w:rPr>
              <w:t>V</w:t>
            </w:r>
            <w:r>
              <w:rPr>
                <w:rFonts w:cs="Arial"/>
                <w:i/>
                <w:snapToGrid w:val="0"/>
              </w:rPr>
              <w:t>olume</w:t>
            </w:r>
          </w:p>
          <w:p w14:paraId="302EDE4E" w14:textId="7674FFA4" w:rsidR="00351783" w:rsidRPr="009A5185" w:rsidRDefault="00351783" w:rsidP="005F37AA">
            <w:pPr>
              <w:jc w:val="center"/>
              <w:rPr>
                <w:rFonts w:cs="Arial"/>
                <w:i/>
                <w:snapToGrid w:val="0"/>
                <w:sz w:val="16"/>
                <w:szCs w:val="16"/>
              </w:rPr>
            </w:pPr>
            <w:r w:rsidRPr="00690C11">
              <w:rPr>
                <w:rFonts w:cs="Arial"/>
                <w:i/>
                <w:snapToGrid w:val="0"/>
                <w:sz w:val="16"/>
                <w:szCs w:val="16"/>
              </w:rPr>
              <w:t>(12-month count or 24-month annual average)</w:t>
            </w:r>
          </w:p>
        </w:tc>
      </w:tr>
      <w:tr w:rsidR="00351783" w:rsidRPr="009A5185" w14:paraId="67922068" w14:textId="77777777" w:rsidTr="0059119E">
        <w:trPr>
          <w:cantSplit/>
          <w:trHeight w:val="288"/>
        </w:trPr>
        <w:tc>
          <w:tcPr>
            <w:tcW w:w="1809" w:type="pct"/>
            <w:tcBorders>
              <w:bottom w:val="single" w:sz="4" w:space="0" w:color="auto"/>
            </w:tcBorders>
            <w:vAlign w:val="center"/>
          </w:tcPr>
          <w:p w14:paraId="25632B99" w14:textId="77777777" w:rsidR="00351783" w:rsidRPr="009A5185" w:rsidRDefault="00351783" w:rsidP="005F37AA">
            <w:pPr>
              <w:rPr>
                <w:rFonts w:cs="Arial"/>
                <w:snapToGrid w:val="0"/>
              </w:rPr>
            </w:pPr>
            <w:r w:rsidRPr="009A5185">
              <w:rPr>
                <w:rFonts w:cs="Arial"/>
                <w:snapToGrid w:val="0"/>
              </w:rPr>
              <w:t>Carotid endarterectomy</w:t>
            </w:r>
          </w:p>
        </w:tc>
        <w:tc>
          <w:tcPr>
            <w:tcW w:w="1381" w:type="pct"/>
            <w:tcBorders>
              <w:bottom w:val="single" w:sz="4" w:space="0" w:color="auto"/>
            </w:tcBorders>
            <w:vAlign w:val="center"/>
          </w:tcPr>
          <w:p w14:paraId="32B32C02" w14:textId="28E8E22E" w:rsidR="00351783" w:rsidRPr="009A5185" w:rsidRDefault="002106C3" w:rsidP="005F37AA">
            <w:pPr>
              <w:jc w:val="center"/>
              <w:rPr>
                <w:rFonts w:cs="Arial"/>
                <w:i/>
                <w:snapToGrid w:val="0"/>
              </w:rPr>
            </w:pPr>
            <w:r>
              <w:rPr>
                <w:rFonts w:cs="Arial"/>
                <w:i/>
                <w:snapToGrid w:val="0"/>
              </w:rPr>
              <w:t>20</w:t>
            </w:r>
          </w:p>
        </w:tc>
        <w:tc>
          <w:tcPr>
            <w:tcW w:w="1810" w:type="pct"/>
            <w:tcBorders>
              <w:bottom w:val="single" w:sz="4" w:space="0" w:color="auto"/>
            </w:tcBorders>
            <w:vAlign w:val="center"/>
          </w:tcPr>
          <w:p w14:paraId="688C4078" w14:textId="58D9B2F4" w:rsidR="00351783" w:rsidRPr="009A5185" w:rsidRDefault="00351783" w:rsidP="005F37AA">
            <w:pPr>
              <w:rPr>
                <w:rFonts w:cs="Arial"/>
                <w:i/>
                <w:snapToGrid w:val="0"/>
              </w:rPr>
            </w:pPr>
          </w:p>
        </w:tc>
      </w:tr>
      <w:tr w:rsidR="00351783" w:rsidRPr="009A5185" w14:paraId="474C0F9A" w14:textId="77777777" w:rsidTr="0059119E">
        <w:trPr>
          <w:cantSplit/>
          <w:trHeight w:val="288"/>
        </w:trPr>
        <w:tc>
          <w:tcPr>
            <w:tcW w:w="1809" w:type="pct"/>
            <w:tcBorders>
              <w:bottom w:val="single" w:sz="4" w:space="0" w:color="auto"/>
            </w:tcBorders>
            <w:vAlign w:val="center"/>
          </w:tcPr>
          <w:p w14:paraId="6BF23203" w14:textId="77777777" w:rsidR="00351783" w:rsidRPr="009A5185" w:rsidRDefault="00351783" w:rsidP="005F37AA">
            <w:pPr>
              <w:rPr>
                <w:rFonts w:cs="Arial"/>
                <w:snapToGrid w:val="0"/>
              </w:rPr>
            </w:pPr>
            <w:r w:rsidRPr="009A5185">
              <w:rPr>
                <w:rFonts w:cs="Arial"/>
                <w:snapToGrid w:val="0"/>
              </w:rPr>
              <w:t>Mitral valve repair and replacement</w:t>
            </w:r>
          </w:p>
        </w:tc>
        <w:tc>
          <w:tcPr>
            <w:tcW w:w="1381" w:type="pct"/>
            <w:tcBorders>
              <w:bottom w:val="single" w:sz="4" w:space="0" w:color="auto"/>
            </w:tcBorders>
            <w:vAlign w:val="center"/>
          </w:tcPr>
          <w:p w14:paraId="4BB1521E" w14:textId="6819B9A7" w:rsidR="00351783" w:rsidRPr="009A5185" w:rsidRDefault="002106C3" w:rsidP="005F37AA">
            <w:pPr>
              <w:jc w:val="center"/>
              <w:rPr>
                <w:rFonts w:cs="Arial"/>
                <w:i/>
                <w:snapToGrid w:val="0"/>
              </w:rPr>
            </w:pPr>
            <w:r>
              <w:rPr>
                <w:rFonts w:cs="Arial"/>
                <w:i/>
                <w:snapToGrid w:val="0"/>
              </w:rPr>
              <w:t>40</w:t>
            </w:r>
          </w:p>
        </w:tc>
        <w:tc>
          <w:tcPr>
            <w:tcW w:w="1810" w:type="pct"/>
            <w:tcBorders>
              <w:bottom w:val="single" w:sz="4" w:space="0" w:color="auto"/>
            </w:tcBorders>
            <w:vAlign w:val="center"/>
          </w:tcPr>
          <w:p w14:paraId="45757D13" w14:textId="1EAC1BC0" w:rsidR="00351783" w:rsidRPr="009A5185" w:rsidRDefault="00351783" w:rsidP="005F37AA">
            <w:pPr>
              <w:rPr>
                <w:rFonts w:cs="Arial"/>
                <w:i/>
                <w:snapToGrid w:val="0"/>
              </w:rPr>
            </w:pPr>
          </w:p>
        </w:tc>
      </w:tr>
      <w:tr w:rsidR="00351783" w:rsidRPr="009A5185" w14:paraId="5FA57576" w14:textId="77777777" w:rsidTr="0059119E">
        <w:trPr>
          <w:cantSplit/>
          <w:trHeight w:val="288"/>
        </w:trPr>
        <w:tc>
          <w:tcPr>
            <w:tcW w:w="1809" w:type="pct"/>
            <w:tcBorders>
              <w:bottom w:val="single" w:sz="4" w:space="0" w:color="auto"/>
            </w:tcBorders>
            <w:vAlign w:val="center"/>
          </w:tcPr>
          <w:p w14:paraId="4BFF6EA5" w14:textId="77777777" w:rsidR="00351783" w:rsidRPr="009A5185" w:rsidRDefault="00351783" w:rsidP="005F37AA">
            <w:pPr>
              <w:rPr>
                <w:rFonts w:cs="Arial"/>
                <w:snapToGrid w:val="0"/>
              </w:rPr>
            </w:pPr>
            <w:r w:rsidRPr="009A5185">
              <w:rPr>
                <w:rFonts w:cs="Arial"/>
                <w:snapToGrid w:val="0"/>
              </w:rPr>
              <w:t xml:space="preserve">Open aortic </w:t>
            </w:r>
            <w:r>
              <w:rPr>
                <w:rFonts w:cs="Arial"/>
                <w:snapToGrid w:val="0"/>
              </w:rPr>
              <w:t>procedures</w:t>
            </w:r>
          </w:p>
        </w:tc>
        <w:tc>
          <w:tcPr>
            <w:tcW w:w="1381" w:type="pct"/>
            <w:tcBorders>
              <w:bottom w:val="single" w:sz="4" w:space="0" w:color="auto"/>
            </w:tcBorders>
            <w:vAlign w:val="center"/>
          </w:tcPr>
          <w:p w14:paraId="07EDADFC" w14:textId="39E10D2C" w:rsidR="00351783" w:rsidRPr="009A5185" w:rsidRDefault="002106C3" w:rsidP="005F37AA">
            <w:pPr>
              <w:jc w:val="center"/>
              <w:rPr>
                <w:rFonts w:cs="Arial"/>
                <w:i/>
                <w:snapToGrid w:val="0"/>
              </w:rPr>
            </w:pPr>
            <w:r>
              <w:rPr>
                <w:rFonts w:cs="Arial"/>
                <w:i/>
                <w:snapToGrid w:val="0"/>
              </w:rPr>
              <w:t>10</w:t>
            </w:r>
          </w:p>
        </w:tc>
        <w:tc>
          <w:tcPr>
            <w:tcW w:w="1810" w:type="pct"/>
            <w:tcBorders>
              <w:bottom w:val="single" w:sz="4" w:space="0" w:color="auto"/>
            </w:tcBorders>
            <w:vAlign w:val="center"/>
          </w:tcPr>
          <w:p w14:paraId="214498C5" w14:textId="6CA819AB" w:rsidR="00351783" w:rsidRPr="009A5185" w:rsidRDefault="00351783" w:rsidP="005F37AA">
            <w:pPr>
              <w:rPr>
                <w:rFonts w:cs="Arial"/>
                <w:i/>
                <w:snapToGrid w:val="0"/>
              </w:rPr>
            </w:pPr>
          </w:p>
        </w:tc>
      </w:tr>
      <w:tr w:rsidR="00351783" w:rsidRPr="009A5185" w14:paraId="676084C7" w14:textId="77777777" w:rsidTr="0059119E">
        <w:trPr>
          <w:cantSplit/>
          <w:trHeight w:val="288"/>
        </w:trPr>
        <w:tc>
          <w:tcPr>
            <w:tcW w:w="1809" w:type="pct"/>
            <w:tcBorders>
              <w:bottom w:val="single" w:sz="4" w:space="0" w:color="auto"/>
            </w:tcBorders>
            <w:vAlign w:val="center"/>
          </w:tcPr>
          <w:p w14:paraId="69981D09" w14:textId="77777777" w:rsidR="00351783" w:rsidRPr="009A5185" w:rsidRDefault="00351783" w:rsidP="005F37AA">
            <w:pPr>
              <w:rPr>
                <w:rFonts w:cs="Arial"/>
                <w:snapToGrid w:val="0"/>
              </w:rPr>
            </w:pPr>
            <w:r w:rsidRPr="009A5185">
              <w:rPr>
                <w:rFonts w:cs="Arial"/>
                <w:snapToGrid w:val="0"/>
              </w:rPr>
              <w:t>Lung resection for cancer</w:t>
            </w:r>
          </w:p>
        </w:tc>
        <w:tc>
          <w:tcPr>
            <w:tcW w:w="1381" w:type="pct"/>
            <w:tcBorders>
              <w:bottom w:val="single" w:sz="4" w:space="0" w:color="auto"/>
            </w:tcBorders>
            <w:vAlign w:val="center"/>
          </w:tcPr>
          <w:p w14:paraId="3F5188A1" w14:textId="39AAE15C" w:rsidR="00351783" w:rsidRPr="009A5185" w:rsidRDefault="002106C3" w:rsidP="005F37AA">
            <w:pPr>
              <w:jc w:val="center"/>
              <w:rPr>
                <w:rFonts w:cs="Arial"/>
                <w:i/>
                <w:snapToGrid w:val="0"/>
              </w:rPr>
            </w:pPr>
            <w:r>
              <w:rPr>
                <w:rFonts w:cs="Arial"/>
                <w:i/>
                <w:snapToGrid w:val="0"/>
              </w:rPr>
              <w:t>40</w:t>
            </w:r>
          </w:p>
        </w:tc>
        <w:tc>
          <w:tcPr>
            <w:tcW w:w="1810" w:type="pct"/>
            <w:tcBorders>
              <w:bottom w:val="single" w:sz="4" w:space="0" w:color="auto"/>
            </w:tcBorders>
            <w:vAlign w:val="center"/>
          </w:tcPr>
          <w:p w14:paraId="0B9ED510" w14:textId="44384F93" w:rsidR="00351783" w:rsidRPr="009A5185" w:rsidRDefault="00351783" w:rsidP="005F37AA">
            <w:pPr>
              <w:rPr>
                <w:rFonts w:cs="Arial"/>
                <w:i/>
                <w:snapToGrid w:val="0"/>
              </w:rPr>
            </w:pPr>
          </w:p>
        </w:tc>
      </w:tr>
      <w:tr w:rsidR="00351783" w:rsidRPr="009A5185" w14:paraId="4B534B82" w14:textId="77777777" w:rsidTr="0059119E">
        <w:trPr>
          <w:cantSplit/>
          <w:trHeight w:val="288"/>
        </w:trPr>
        <w:tc>
          <w:tcPr>
            <w:tcW w:w="1809" w:type="pct"/>
            <w:tcBorders>
              <w:bottom w:val="single" w:sz="4" w:space="0" w:color="auto"/>
            </w:tcBorders>
            <w:vAlign w:val="center"/>
          </w:tcPr>
          <w:p w14:paraId="7CD2A872" w14:textId="77777777" w:rsidR="00351783" w:rsidRPr="009A5185" w:rsidRDefault="00351783" w:rsidP="005F37AA">
            <w:pPr>
              <w:rPr>
                <w:rFonts w:cs="Arial"/>
                <w:snapToGrid w:val="0"/>
              </w:rPr>
            </w:pPr>
            <w:r w:rsidRPr="009A5185">
              <w:rPr>
                <w:rFonts w:cs="Arial"/>
                <w:snapToGrid w:val="0"/>
              </w:rPr>
              <w:t>Esophageal resection for cancer</w:t>
            </w:r>
          </w:p>
        </w:tc>
        <w:tc>
          <w:tcPr>
            <w:tcW w:w="1381" w:type="pct"/>
            <w:tcBorders>
              <w:bottom w:val="single" w:sz="4" w:space="0" w:color="auto"/>
            </w:tcBorders>
            <w:vAlign w:val="center"/>
          </w:tcPr>
          <w:p w14:paraId="52F39A80" w14:textId="3CD87A40" w:rsidR="00351783" w:rsidRPr="009A5185" w:rsidRDefault="002106C3" w:rsidP="005F37AA">
            <w:pPr>
              <w:jc w:val="center"/>
              <w:rPr>
                <w:rFonts w:cs="Arial"/>
                <w:i/>
                <w:snapToGrid w:val="0"/>
              </w:rPr>
            </w:pPr>
            <w:r>
              <w:rPr>
                <w:rFonts w:cs="Arial"/>
                <w:i/>
                <w:snapToGrid w:val="0"/>
              </w:rPr>
              <w:t>20</w:t>
            </w:r>
          </w:p>
        </w:tc>
        <w:tc>
          <w:tcPr>
            <w:tcW w:w="1810" w:type="pct"/>
            <w:tcBorders>
              <w:bottom w:val="single" w:sz="4" w:space="0" w:color="auto"/>
            </w:tcBorders>
            <w:vAlign w:val="center"/>
          </w:tcPr>
          <w:p w14:paraId="38951BAB" w14:textId="35F3543E" w:rsidR="00351783" w:rsidRPr="009A5185" w:rsidRDefault="00351783" w:rsidP="005F37AA">
            <w:pPr>
              <w:rPr>
                <w:rFonts w:cs="Arial"/>
                <w:i/>
                <w:snapToGrid w:val="0"/>
              </w:rPr>
            </w:pPr>
          </w:p>
        </w:tc>
      </w:tr>
      <w:tr w:rsidR="00351783" w:rsidRPr="009A5185" w14:paraId="7AB27F4C" w14:textId="77777777" w:rsidTr="0059119E">
        <w:trPr>
          <w:cantSplit/>
          <w:trHeight w:val="288"/>
        </w:trPr>
        <w:tc>
          <w:tcPr>
            <w:tcW w:w="1809" w:type="pct"/>
            <w:tcBorders>
              <w:bottom w:val="single" w:sz="4" w:space="0" w:color="auto"/>
            </w:tcBorders>
            <w:vAlign w:val="center"/>
          </w:tcPr>
          <w:p w14:paraId="558492A4" w14:textId="77777777" w:rsidR="00351783" w:rsidRPr="009A5185" w:rsidRDefault="00351783" w:rsidP="005F37AA">
            <w:pPr>
              <w:rPr>
                <w:rFonts w:cs="Arial"/>
                <w:snapToGrid w:val="0"/>
              </w:rPr>
            </w:pPr>
            <w:r w:rsidRPr="009A5185">
              <w:rPr>
                <w:rFonts w:cs="Arial"/>
                <w:snapToGrid w:val="0"/>
              </w:rPr>
              <w:t>Pancreatic resection for cancer</w:t>
            </w:r>
          </w:p>
        </w:tc>
        <w:tc>
          <w:tcPr>
            <w:tcW w:w="1381" w:type="pct"/>
            <w:tcBorders>
              <w:bottom w:val="single" w:sz="4" w:space="0" w:color="auto"/>
            </w:tcBorders>
            <w:vAlign w:val="center"/>
          </w:tcPr>
          <w:p w14:paraId="17F0E120" w14:textId="3C3EE5E3" w:rsidR="00351783" w:rsidRPr="009A5185" w:rsidRDefault="002106C3" w:rsidP="005F37AA">
            <w:pPr>
              <w:jc w:val="center"/>
              <w:rPr>
                <w:rFonts w:cs="Arial"/>
                <w:i/>
                <w:snapToGrid w:val="0"/>
              </w:rPr>
            </w:pPr>
            <w:r>
              <w:rPr>
                <w:rFonts w:cs="Arial"/>
                <w:i/>
                <w:snapToGrid w:val="0"/>
              </w:rPr>
              <w:t>20</w:t>
            </w:r>
          </w:p>
        </w:tc>
        <w:tc>
          <w:tcPr>
            <w:tcW w:w="1810" w:type="pct"/>
            <w:tcBorders>
              <w:bottom w:val="single" w:sz="4" w:space="0" w:color="auto"/>
            </w:tcBorders>
            <w:vAlign w:val="center"/>
          </w:tcPr>
          <w:p w14:paraId="59FA844E" w14:textId="667B0161" w:rsidR="00351783" w:rsidRPr="009A5185" w:rsidRDefault="00351783" w:rsidP="005F37AA">
            <w:pPr>
              <w:rPr>
                <w:rFonts w:cs="Arial"/>
                <w:i/>
                <w:snapToGrid w:val="0"/>
              </w:rPr>
            </w:pPr>
          </w:p>
        </w:tc>
      </w:tr>
      <w:tr w:rsidR="00351783" w:rsidRPr="009A5185" w14:paraId="7ACF6D63" w14:textId="77777777" w:rsidTr="0059119E">
        <w:trPr>
          <w:cantSplit/>
          <w:trHeight w:val="288"/>
        </w:trPr>
        <w:tc>
          <w:tcPr>
            <w:tcW w:w="1809" w:type="pct"/>
            <w:tcBorders>
              <w:bottom w:val="single" w:sz="4" w:space="0" w:color="auto"/>
            </w:tcBorders>
            <w:vAlign w:val="center"/>
          </w:tcPr>
          <w:p w14:paraId="2CCA7415" w14:textId="77777777" w:rsidR="00351783" w:rsidRPr="009A5185" w:rsidRDefault="00351783" w:rsidP="005F37AA">
            <w:pPr>
              <w:rPr>
                <w:rFonts w:cs="Arial"/>
                <w:snapToGrid w:val="0"/>
              </w:rPr>
            </w:pPr>
            <w:r w:rsidRPr="009A5185">
              <w:rPr>
                <w:rFonts w:cs="Arial"/>
                <w:snapToGrid w:val="0"/>
              </w:rPr>
              <w:t>Rectal cancer surgery</w:t>
            </w:r>
          </w:p>
        </w:tc>
        <w:tc>
          <w:tcPr>
            <w:tcW w:w="1381" w:type="pct"/>
            <w:tcBorders>
              <w:bottom w:val="single" w:sz="4" w:space="0" w:color="auto"/>
            </w:tcBorders>
            <w:vAlign w:val="center"/>
          </w:tcPr>
          <w:p w14:paraId="09E28A5D" w14:textId="346D31FA" w:rsidR="00351783" w:rsidRPr="009A5185" w:rsidRDefault="002106C3" w:rsidP="005F37AA">
            <w:pPr>
              <w:jc w:val="center"/>
              <w:rPr>
                <w:rFonts w:cs="Arial"/>
                <w:i/>
                <w:snapToGrid w:val="0"/>
              </w:rPr>
            </w:pPr>
            <w:r>
              <w:rPr>
                <w:rFonts w:cs="Arial"/>
                <w:i/>
                <w:snapToGrid w:val="0"/>
              </w:rPr>
              <w:t>16</w:t>
            </w:r>
          </w:p>
        </w:tc>
        <w:tc>
          <w:tcPr>
            <w:tcW w:w="1810" w:type="pct"/>
            <w:tcBorders>
              <w:bottom w:val="single" w:sz="4" w:space="0" w:color="auto"/>
            </w:tcBorders>
            <w:vAlign w:val="center"/>
          </w:tcPr>
          <w:p w14:paraId="6DD40BA3" w14:textId="0EF937E8" w:rsidR="00351783" w:rsidRPr="009A5185" w:rsidRDefault="00351783" w:rsidP="005F37AA">
            <w:pPr>
              <w:rPr>
                <w:rFonts w:cs="Arial"/>
                <w:i/>
                <w:snapToGrid w:val="0"/>
              </w:rPr>
            </w:pPr>
          </w:p>
        </w:tc>
      </w:tr>
      <w:tr w:rsidR="00351783" w:rsidRPr="009A5185" w14:paraId="5401E433" w14:textId="77777777" w:rsidTr="0059119E">
        <w:trPr>
          <w:cantSplit/>
          <w:trHeight w:val="288"/>
        </w:trPr>
        <w:tc>
          <w:tcPr>
            <w:tcW w:w="1809" w:type="pct"/>
            <w:vAlign w:val="center"/>
          </w:tcPr>
          <w:p w14:paraId="02A474DE" w14:textId="77777777" w:rsidR="00351783" w:rsidRPr="009A5185" w:rsidRDefault="00351783" w:rsidP="005F37AA">
            <w:pPr>
              <w:rPr>
                <w:rFonts w:cs="Arial"/>
                <w:snapToGrid w:val="0"/>
              </w:rPr>
            </w:pPr>
            <w:r w:rsidRPr="009A5185">
              <w:rPr>
                <w:rFonts w:cs="Arial"/>
                <w:snapToGrid w:val="0"/>
              </w:rPr>
              <w:t>Bariatric surgery for weight loss</w:t>
            </w:r>
          </w:p>
        </w:tc>
        <w:tc>
          <w:tcPr>
            <w:tcW w:w="1381" w:type="pct"/>
            <w:vAlign w:val="center"/>
          </w:tcPr>
          <w:p w14:paraId="60BC2CC0" w14:textId="74D94025" w:rsidR="00351783" w:rsidRPr="009A5185" w:rsidRDefault="002106C3" w:rsidP="005F37AA">
            <w:pPr>
              <w:jc w:val="center"/>
              <w:rPr>
                <w:rFonts w:cs="Arial"/>
                <w:i/>
                <w:snapToGrid w:val="0"/>
              </w:rPr>
            </w:pPr>
            <w:r>
              <w:rPr>
                <w:rFonts w:cs="Arial"/>
                <w:i/>
                <w:snapToGrid w:val="0"/>
              </w:rPr>
              <w:t>50</w:t>
            </w:r>
          </w:p>
        </w:tc>
        <w:tc>
          <w:tcPr>
            <w:tcW w:w="1810" w:type="pct"/>
            <w:vAlign w:val="center"/>
          </w:tcPr>
          <w:p w14:paraId="7A240C89" w14:textId="52E2C569" w:rsidR="00351783" w:rsidRPr="009A5185" w:rsidRDefault="00351783" w:rsidP="005F37AA">
            <w:pPr>
              <w:rPr>
                <w:rFonts w:cs="Arial"/>
                <w:i/>
                <w:snapToGrid w:val="0"/>
              </w:rPr>
            </w:pPr>
          </w:p>
        </w:tc>
      </w:tr>
      <w:tr w:rsidR="00351783" w:rsidRPr="009A5185" w14:paraId="3D288E65" w14:textId="77777777" w:rsidTr="0059119E">
        <w:trPr>
          <w:cantSplit/>
          <w:trHeight w:val="288"/>
        </w:trPr>
        <w:tc>
          <w:tcPr>
            <w:tcW w:w="1809" w:type="pct"/>
            <w:vAlign w:val="center"/>
          </w:tcPr>
          <w:p w14:paraId="679C4FD1" w14:textId="77777777" w:rsidR="00351783" w:rsidRPr="009A5185" w:rsidRDefault="00351783" w:rsidP="005F37AA">
            <w:pPr>
              <w:rPr>
                <w:rFonts w:cs="Arial"/>
                <w:snapToGrid w:val="0"/>
              </w:rPr>
            </w:pPr>
            <w:r>
              <w:rPr>
                <w:rFonts w:cs="Arial"/>
                <w:snapToGrid w:val="0"/>
              </w:rPr>
              <w:t>Total knee replacement</w:t>
            </w:r>
          </w:p>
        </w:tc>
        <w:tc>
          <w:tcPr>
            <w:tcW w:w="1381" w:type="pct"/>
            <w:vAlign w:val="center"/>
          </w:tcPr>
          <w:p w14:paraId="5F890E50" w14:textId="5D3314E5" w:rsidR="00351783" w:rsidRPr="009A5185" w:rsidRDefault="002106C3" w:rsidP="005F37AA">
            <w:pPr>
              <w:jc w:val="center"/>
              <w:rPr>
                <w:rFonts w:cs="Arial"/>
                <w:i/>
                <w:snapToGrid w:val="0"/>
              </w:rPr>
            </w:pPr>
            <w:r>
              <w:rPr>
                <w:rFonts w:cs="Arial"/>
                <w:i/>
                <w:snapToGrid w:val="0"/>
              </w:rPr>
              <w:t>50</w:t>
            </w:r>
          </w:p>
        </w:tc>
        <w:tc>
          <w:tcPr>
            <w:tcW w:w="1810" w:type="pct"/>
            <w:vAlign w:val="center"/>
          </w:tcPr>
          <w:p w14:paraId="72AEF637" w14:textId="2E0DB943" w:rsidR="00351783" w:rsidRPr="009A5185" w:rsidRDefault="00351783" w:rsidP="005F37AA">
            <w:pPr>
              <w:rPr>
                <w:rFonts w:cs="Arial"/>
                <w:i/>
                <w:snapToGrid w:val="0"/>
              </w:rPr>
            </w:pPr>
          </w:p>
        </w:tc>
      </w:tr>
      <w:tr w:rsidR="00351783" w:rsidRPr="009A5185" w14:paraId="4026C51A" w14:textId="77777777" w:rsidTr="0059119E">
        <w:trPr>
          <w:cantSplit/>
          <w:trHeight w:val="288"/>
        </w:trPr>
        <w:tc>
          <w:tcPr>
            <w:tcW w:w="1809" w:type="pct"/>
            <w:vAlign w:val="center"/>
          </w:tcPr>
          <w:p w14:paraId="57EBA09E" w14:textId="77777777" w:rsidR="00351783" w:rsidRDefault="00351783" w:rsidP="005F37AA">
            <w:pPr>
              <w:rPr>
                <w:rFonts w:cs="Arial"/>
                <w:snapToGrid w:val="0"/>
              </w:rPr>
            </w:pPr>
            <w:r>
              <w:rPr>
                <w:rFonts w:cs="Arial"/>
                <w:snapToGrid w:val="0"/>
              </w:rPr>
              <w:t>Total hip replacement</w:t>
            </w:r>
          </w:p>
        </w:tc>
        <w:tc>
          <w:tcPr>
            <w:tcW w:w="1381" w:type="pct"/>
            <w:vAlign w:val="center"/>
          </w:tcPr>
          <w:p w14:paraId="49804DD8" w14:textId="64AEC3EC" w:rsidR="00351783" w:rsidRPr="009A5185" w:rsidRDefault="002106C3" w:rsidP="005F37AA">
            <w:pPr>
              <w:jc w:val="center"/>
              <w:rPr>
                <w:rFonts w:cs="Arial"/>
                <w:i/>
                <w:snapToGrid w:val="0"/>
              </w:rPr>
            </w:pPr>
            <w:r>
              <w:rPr>
                <w:rFonts w:cs="Arial"/>
                <w:i/>
                <w:snapToGrid w:val="0"/>
              </w:rPr>
              <w:t>50</w:t>
            </w:r>
          </w:p>
        </w:tc>
        <w:tc>
          <w:tcPr>
            <w:tcW w:w="1810" w:type="pct"/>
            <w:vAlign w:val="center"/>
          </w:tcPr>
          <w:p w14:paraId="057DA4C5" w14:textId="27F6FE23" w:rsidR="00351783" w:rsidRPr="009A5185" w:rsidRDefault="00351783" w:rsidP="005F37AA">
            <w:pPr>
              <w:rPr>
                <w:rFonts w:cs="Arial"/>
                <w:i/>
                <w:snapToGrid w:val="0"/>
              </w:rPr>
            </w:pPr>
          </w:p>
        </w:tc>
      </w:tr>
      <w:tr w:rsidR="00351783" w:rsidRPr="009A5185" w14:paraId="0D979F53" w14:textId="77777777" w:rsidTr="0059119E">
        <w:trPr>
          <w:cantSplit/>
          <w:trHeight w:val="288"/>
        </w:trPr>
        <w:tc>
          <w:tcPr>
            <w:tcW w:w="1809" w:type="pct"/>
            <w:vAlign w:val="center"/>
          </w:tcPr>
          <w:p w14:paraId="2A643E61" w14:textId="77777777" w:rsidR="00351783" w:rsidRDefault="00351783" w:rsidP="005F37AA">
            <w:pPr>
              <w:rPr>
                <w:rFonts w:cs="Arial"/>
                <w:snapToGrid w:val="0"/>
              </w:rPr>
            </w:pPr>
            <w:r>
              <w:rPr>
                <w:rFonts w:cs="Arial"/>
                <w:snapToGrid w:val="0"/>
              </w:rPr>
              <w:t>Norwood procedure</w:t>
            </w:r>
          </w:p>
        </w:tc>
        <w:tc>
          <w:tcPr>
            <w:tcW w:w="1381" w:type="pct"/>
            <w:vAlign w:val="center"/>
          </w:tcPr>
          <w:p w14:paraId="140962C0" w14:textId="0ACB1477" w:rsidR="00351783" w:rsidRPr="009A5185" w:rsidRDefault="002106C3" w:rsidP="005F37AA">
            <w:pPr>
              <w:jc w:val="center"/>
              <w:rPr>
                <w:rFonts w:cs="Arial"/>
                <w:i/>
                <w:snapToGrid w:val="0"/>
              </w:rPr>
            </w:pPr>
            <w:r>
              <w:rPr>
                <w:rFonts w:cs="Arial"/>
                <w:i/>
                <w:snapToGrid w:val="0"/>
              </w:rPr>
              <w:t>8</w:t>
            </w:r>
          </w:p>
        </w:tc>
        <w:tc>
          <w:tcPr>
            <w:tcW w:w="1810" w:type="pct"/>
            <w:vAlign w:val="center"/>
          </w:tcPr>
          <w:p w14:paraId="62B9D119" w14:textId="5A373C19" w:rsidR="00351783" w:rsidRPr="009A5185" w:rsidRDefault="00351783" w:rsidP="005F37AA">
            <w:pPr>
              <w:rPr>
                <w:rFonts w:cs="Arial"/>
                <w:i/>
                <w:snapToGrid w:val="0"/>
              </w:rPr>
            </w:pPr>
          </w:p>
        </w:tc>
      </w:tr>
    </w:tbl>
    <w:p w14:paraId="0788C01C" w14:textId="77777777" w:rsidR="00E66427" w:rsidRDefault="00E66427"/>
    <w:tbl>
      <w:tblPr>
        <w:tblStyle w:val="TableGrid"/>
        <w:tblW w:w="5054" w:type="pct"/>
        <w:tblInd w:w="-5" w:type="dxa"/>
        <w:tblLook w:val="04A0" w:firstRow="1" w:lastRow="0" w:firstColumn="1" w:lastColumn="0" w:noHBand="0" w:noVBand="1"/>
      </w:tblPr>
      <w:tblGrid>
        <w:gridCol w:w="4775"/>
        <w:gridCol w:w="4676"/>
      </w:tblGrid>
      <w:tr w:rsidR="00FB49C9" w14:paraId="47FCA6C2" w14:textId="77777777" w:rsidTr="0059119E">
        <w:trPr>
          <w:trHeight w:val="864"/>
        </w:trPr>
        <w:tc>
          <w:tcPr>
            <w:tcW w:w="5000" w:type="pct"/>
            <w:gridSpan w:val="2"/>
            <w:vAlign w:val="center"/>
          </w:tcPr>
          <w:p w14:paraId="4E0C4695" w14:textId="3951D1C9" w:rsidR="00FB49C9" w:rsidRPr="00E1411B" w:rsidRDefault="00FB49C9" w:rsidP="00E66427">
            <w:pPr>
              <w:pStyle w:val="ListParagraph"/>
              <w:numPr>
                <w:ilvl w:val="0"/>
                <w:numId w:val="2"/>
              </w:numPr>
              <w:spacing w:line="276" w:lineRule="auto"/>
              <w:rPr>
                <w:rFonts w:cs="Arial"/>
                <w:i/>
                <w:snapToGrid w:val="0"/>
                <w:color w:val="000000"/>
              </w:rPr>
            </w:pPr>
            <w:r w:rsidRPr="00E1411B">
              <w:rPr>
                <w:rFonts w:cs="Arial"/>
                <w:iCs/>
                <w:snapToGrid w:val="0"/>
                <w:color w:val="000000"/>
              </w:rPr>
              <w:t xml:space="preserve">Does the total hospital volume for </w:t>
            </w:r>
            <w:r w:rsidR="009E6CC1" w:rsidRPr="00E1411B">
              <w:rPr>
                <w:rFonts w:cs="Arial"/>
                <w:iCs/>
                <w:snapToGrid w:val="0"/>
                <w:color w:val="000000"/>
              </w:rPr>
              <w:t>total knee replacement</w:t>
            </w:r>
            <w:r w:rsidR="00F57028">
              <w:rPr>
                <w:rFonts w:cs="Arial"/>
                <w:iCs/>
                <w:snapToGrid w:val="0"/>
                <w:color w:val="000000"/>
              </w:rPr>
              <w:t xml:space="preserve">, </w:t>
            </w:r>
            <w:r w:rsidR="009E6CC1" w:rsidRPr="00E1411B">
              <w:rPr>
                <w:rFonts w:cs="Arial"/>
                <w:iCs/>
                <w:snapToGrid w:val="0"/>
                <w:color w:val="000000"/>
              </w:rPr>
              <w:t>total hip replacement</w:t>
            </w:r>
            <w:r w:rsidR="00F57028">
              <w:rPr>
                <w:rFonts w:cs="Arial"/>
                <w:iCs/>
                <w:snapToGrid w:val="0"/>
                <w:color w:val="000000"/>
              </w:rPr>
              <w:t>, and/or bariatric surgery for weight loss</w:t>
            </w:r>
            <w:r w:rsidRPr="00E1411B">
              <w:rPr>
                <w:rFonts w:cs="Arial"/>
                <w:iCs/>
                <w:snapToGrid w:val="0"/>
                <w:color w:val="000000"/>
              </w:rPr>
              <w:t xml:space="preserve"> reported on in question #3 above include procedures performed on an inpatient basis, outpatient basis, or both?</w:t>
            </w:r>
          </w:p>
        </w:tc>
      </w:tr>
      <w:tr w:rsidR="00FB49C9" w14:paraId="7DC9914C" w14:textId="77777777" w:rsidTr="0059119E">
        <w:tc>
          <w:tcPr>
            <w:tcW w:w="2526" w:type="pct"/>
            <w:vAlign w:val="center"/>
          </w:tcPr>
          <w:p w14:paraId="42963825" w14:textId="77777777" w:rsidR="00FB49C9" w:rsidRPr="00F72C9F" w:rsidRDefault="00FB49C9" w:rsidP="00E66427">
            <w:pPr>
              <w:pStyle w:val="ListParagraph"/>
              <w:spacing w:line="276" w:lineRule="auto"/>
              <w:ind w:left="360"/>
              <w:rPr>
                <w:rFonts w:cs="Arial"/>
                <w:iCs/>
                <w:snapToGrid w:val="0"/>
                <w:color w:val="000000"/>
              </w:rPr>
            </w:pPr>
            <w:r w:rsidRPr="00F72C9F">
              <w:rPr>
                <w:rFonts w:cs="Arial"/>
                <w:iCs/>
                <w:snapToGrid w:val="0"/>
                <w:color w:val="000000"/>
              </w:rPr>
              <w:t>Total knee replacement</w:t>
            </w:r>
          </w:p>
        </w:tc>
        <w:tc>
          <w:tcPr>
            <w:tcW w:w="2474" w:type="pct"/>
            <w:vAlign w:val="center"/>
          </w:tcPr>
          <w:p w14:paraId="17F4AADA" w14:textId="21D68749" w:rsidR="00FB49C9" w:rsidRPr="000F3D1F" w:rsidRDefault="00FB49C9" w:rsidP="00AD309C">
            <w:pPr>
              <w:pStyle w:val="ListParagraph"/>
              <w:numPr>
                <w:ilvl w:val="0"/>
                <w:numId w:val="236"/>
              </w:numPr>
              <w:spacing w:line="276" w:lineRule="auto"/>
              <w:rPr>
                <w:rFonts w:cs="Arial"/>
                <w:iCs/>
                <w:snapToGrid w:val="0"/>
                <w:color w:val="000000"/>
              </w:rPr>
            </w:pPr>
            <w:r w:rsidRPr="000F3D1F">
              <w:rPr>
                <w:rFonts w:cs="Arial"/>
                <w:iCs/>
                <w:snapToGrid w:val="0"/>
                <w:color w:val="000000"/>
              </w:rPr>
              <w:t>Inpatient</w:t>
            </w:r>
          </w:p>
          <w:p w14:paraId="75EA5E3E" w14:textId="77777777" w:rsidR="00FB49C9" w:rsidRPr="000F3D1F" w:rsidRDefault="00FB49C9" w:rsidP="00AD309C">
            <w:pPr>
              <w:pStyle w:val="ListParagraph"/>
              <w:numPr>
                <w:ilvl w:val="0"/>
                <w:numId w:val="236"/>
              </w:numPr>
              <w:spacing w:line="276" w:lineRule="auto"/>
              <w:rPr>
                <w:rFonts w:cs="Arial"/>
                <w:iCs/>
                <w:snapToGrid w:val="0"/>
                <w:color w:val="000000"/>
              </w:rPr>
            </w:pPr>
            <w:r w:rsidRPr="000F3D1F">
              <w:rPr>
                <w:rFonts w:cs="Arial"/>
                <w:iCs/>
                <w:snapToGrid w:val="0"/>
                <w:color w:val="000000"/>
              </w:rPr>
              <w:t>Outpatient</w:t>
            </w:r>
          </w:p>
          <w:p w14:paraId="204B24A5" w14:textId="1A9769BD" w:rsidR="00624B67" w:rsidRPr="000F3D1F" w:rsidRDefault="00624B67" w:rsidP="00AD309C">
            <w:pPr>
              <w:pStyle w:val="ListParagraph"/>
              <w:numPr>
                <w:ilvl w:val="0"/>
                <w:numId w:val="236"/>
              </w:numPr>
              <w:spacing w:line="276" w:lineRule="auto"/>
              <w:rPr>
                <w:rFonts w:cs="Arial"/>
                <w:iCs/>
                <w:snapToGrid w:val="0"/>
                <w:color w:val="000000"/>
              </w:rPr>
            </w:pPr>
            <w:r w:rsidRPr="000F3D1F">
              <w:rPr>
                <w:rFonts w:cs="Arial"/>
                <w:iCs/>
                <w:snapToGrid w:val="0"/>
                <w:color w:val="000000"/>
              </w:rPr>
              <w:t>Both (inpatient and outpatient)</w:t>
            </w:r>
          </w:p>
        </w:tc>
      </w:tr>
      <w:tr w:rsidR="00FB49C9" w14:paraId="29883210" w14:textId="77777777" w:rsidTr="0059119E">
        <w:tc>
          <w:tcPr>
            <w:tcW w:w="2526" w:type="pct"/>
            <w:vAlign w:val="center"/>
          </w:tcPr>
          <w:p w14:paraId="38D81C20" w14:textId="77777777" w:rsidR="00FB49C9" w:rsidRPr="00F72C9F" w:rsidRDefault="00FB49C9" w:rsidP="00E66427">
            <w:pPr>
              <w:pStyle w:val="ListParagraph"/>
              <w:spacing w:line="276" w:lineRule="auto"/>
              <w:ind w:left="360"/>
              <w:rPr>
                <w:rFonts w:cs="Arial"/>
                <w:iCs/>
                <w:snapToGrid w:val="0"/>
                <w:color w:val="000000"/>
              </w:rPr>
            </w:pPr>
            <w:r w:rsidRPr="00F72C9F">
              <w:rPr>
                <w:rFonts w:cs="Arial"/>
                <w:iCs/>
                <w:snapToGrid w:val="0"/>
                <w:color w:val="000000"/>
              </w:rPr>
              <w:t>Total hip replacement</w:t>
            </w:r>
          </w:p>
        </w:tc>
        <w:tc>
          <w:tcPr>
            <w:tcW w:w="2474" w:type="pct"/>
            <w:vAlign w:val="center"/>
          </w:tcPr>
          <w:p w14:paraId="55BBD9DB" w14:textId="3E10C40D" w:rsidR="00FB49C9" w:rsidRPr="000F3D1F" w:rsidRDefault="00FB49C9" w:rsidP="00AD309C">
            <w:pPr>
              <w:pStyle w:val="ListParagraph"/>
              <w:numPr>
                <w:ilvl w:val="0"/>
                <w:numId w:val="236"/>
              </w:numPr>
              <w:spacing w:line="276" w:lineRule="auto"/>
              <w:rPr>
                <w:rFonts w:cs="Arial"/>
                <w:iCs/>
                <w:snapToGrid w:val="0"/>
                <w:color w:val="000000"/>
              </w:rPr>
            </w:pPr>
            <w:r w:rsidRPr="000F3D1F">
              <w:rPr>
                <w:rFonts w:cs="Arial"/>
                <w:iCs/>
                <w:snapToGrid w:val="0"/>
                <w:color w:val="000000"/>
              </w:rPr>
              <w:t>Inpatient</w:t>
            </w:r>
          </w:p>
          <w:p w14:paraId="5C1ADD81" w14:textId="77777777" w:rsidR="00FB49C9" w:rsidRPr="000F3D1F" w:rsidRDefault="00FB49C9" w:rsidP="00AD309C">
            <w:pPr>
              <w:pStyle w:val="ListParagraph"/>
              <w:numPr>
                <w:ilvl w:val="0"/>
                <w:numId w:val="236"/>
              </w:numPr>
              <w:spacing w:line="276" w:lineRule="auto"/>
              <w:rPr>
                <w:rFonts w:cs="Arial"/>
                <w:iCs/>
                <w:snapToGrid w:val="0"/>
                <w:color w:val="000000"/>
              </w:rPr>
            </w:pPr>
            <w:r w:rsidRPr="000F3D1F">
              <w:rPr>
                <w:rFonts w:cs="Arial"/>
                <w:iCs/>
                <w:snapToGrid w:val="0"/>
                <w:color w:val="000000"/>
              </w:rPr>
              <w:t>Outpatient</w:t>
            </w:r>
          </w:p>
          <w:p w14:paraId="22A1856C" w14:textId="1A86E57B" w:rsidR="00624B67" w:rsidRPr="000F3D1F" w:rsidRDefault="00624B67" w:rsidP="00AD309C">
            <w:pPr>
              <w:pStyle w:val="ListParagraph"/>
              <w:numPr>
                <w:ilvl w:val="0"/>
                <w:numId w:val="236"/>
              </w:numPr>
              <w:spacing w:line="276" w:lineRule="auto"/>
              <w:rPr>
                <w:rFonts w:cs="Arial"/>
                <w:iCs/>
                <w:snapToGrid w:val="0"/>
                <w:color w:val="000000"/>
              </w:rPr>
            </w:pPr>
            <w:r w:rsidRPr="000F3D1F">
              <w:rPr>
                <w:rFonts w:cs="Arial"/>
                <w:iCs/>
                <w:snapToGrid w:val="0"/>
                <w:color w:val="000000"/>
              </w:rPr>
              <w:t>Both (inpatient and outpatient)</w:t>
            </w:r>
          </w:p>
        </w:tc>
      </w:tr>
      <w:tr w:rsidR="00F57028" w14:paraId="771A7F82" w14:textId="77777777" w:rsidTr="0059119E">
        <w:tc>
          <w:tcPr>
            <w:tcW w:w="2526" w:type="pct"/>
            <w:vAlign w:val="center"/>
          </w:tcPr>
          <w:p w14:paraId="4720EADA" w14:textId="53E4734D" w:rsidR="00F57028" w:rsidRPr="00F57028" w:rsidRDefault="00F57028" w:rsidP="00E66427">
            <w:pPr>
              <w:pStyle w:val="ListParagraph"/>
              <w:spacing w:line="276" w:lineRule="auto"/>
              <w:ind w:left="360"/>
              <w:rPr>
                <w:rFonts w:cs="Arial"/>
                <w:iCs/>
                <w:snapToGrid w:val="0"/>
                <w:color w:val="000000"/>
              </w:rPr>
            </w:pPr>
            <w:r>
              <w:rPr>
                <w:rFonts w:cs="Arial"/>
                <w:iCs/>
                <w:snapToGrid w:val="0"/>
                <w:color w:val="000000"/>
              </w:rPr>
              <w:t>Bariatric surgery for weight loss</w:t>
            </w:r>
          </w:p>
        </w:tc>
        <w:tc>
          <w:tcPr>
            <w:tcW w:w="2474" w:type="pct"/>
            <w:vAlign w:val="center"/>
          </w:tcPr>
          <w:p w14:paraId="25EF8FA4" w14:textId="77777777" w:rsidR="00F57028" w:rsidRPr="000F3D1F" w:rsidRDefault="00F57028" w:rsidP="00AD309C">
            <w:pPr>
              <w:pStyle w:val="ListParagraph"/>
              <w:numPr>
                <w:ilvl w:val="0"/>
                <w:numId w:val="236"/>
              </w:numPr>
              <w:spacing w:line="276" w:lineRule="auto"/>
              <w:rPr>
                <w:rFonts w:cs="Arial"/>
                <w:iCs/>
                <w:snapToGrid w:val="0"/>
                <w:color w:val="000000"/>
              </w:rPr>
            </w:pPr>
            <w:r w:rsidRPr="000F3D1F">
              <w:rPr>
                <w:rFonts w:cs="Arial"/>
                <w:iCs/>
                <w:snapToGrid w:val="0"/>
                <w:color w:val="000000"/>
              </w:rPr>
              <w:t>Inpatient</w:t>
            </w:r>
          </w:p>
          <w:p w14:paraId="726644FE" w14:textId="77777777" w:rsidR="00F57028" w:rsidRPr="000F3D1F" w:rsidRDefault="00F57028" w:rsidP="00AD309C">
            <w:pPr>
              <w:pStyle w:val="ListParagraph"/>
              <w:numPr>
                <w:ilvl w:val="0"/>
                <w:numId w:val="236"/>
              </w:numPr>
              <w:spacing w:line="276" w:lineRule="auto"/>
              <w:rPr>
                <w:rFonts w:cs="Arial"/>
                <w:iCs/>
                <w:snapToGrid w:val="0"/>
                <w:color w:val="000000"/>
              </w:rPr>
            </w:pPr>
            <w:r w:rsidRPr="000F3D1F">
              <w:rPr>
                <w:rFonts w:cs="Arial"/>
                <w:iCs/>
                <w:snapToGrid w:val="0"/>
                <w:color w:val="000000"/>
              </w:rPr>
              <w:t>Outpatient</w:t>
            </w:r>
          </w:p>
          <w:p w14:paraId="54DE817D" w14:textId="5871A9E0" w:rsidR="00F57028" w:rsidRPr="000F3D1F" w:rsidRDefault="00F57028" w:rsidP="00AD309C">
            <w:pPr>
              <w:pStyle w:val="ListParagraph"/>
              <w:numPr>
                <w:ilvl w:val="0"/>
                <w:numId w:val="236"/>
              </w:numPr>
              <w:spacing w:line="276" w:lineRule="auto"/>
              <w:rPr>
                <w:rFonts w:cs="Arial"/>
                <w:iCs/>
                <w:snapToGrid w:val="0"/>
                <w:color w:val="000000"/>
              </w:rPr>
            </w:pPr>
            <w:r w:rsidRPr="000F3D1F">
              <w:rPr>
                <w:rFonts w:cs="Arial"/>
                <w:iCs/>
                <w:snapToGrid w:val="0"/>
                <w:color w:val="000000"/>
              </w:rPr>
              <w:t>Both (inpatient and outpatient)</w:t>
            </w:r>
          </w:p>
        </w:tc>
      </w:tr>
    </w:tbl>
    <w:p w14:paraId="62B5F7D3" w14:textId="77777777" w:rsidR="00256A22" w:rsidRDefault="00256A22">
      <w:pPr>
        <w:rPr>
          <w:color w:val="000000"/>
        </w:rPr>
      </w:pPr>
    </w:p>
    <w:p w14:paraId="1E2B9710" w14:textId="77777777" w:rsidR="00256A22" w:rsidRPr="000B1607" w:rsidRDefault="00256A22">
      <w:pPr>
        <w:rPr>
          <w:rFonts w:cs="Arial"/>
          <w:snapToGrid w:val="0"/>
          <w:color w:val="000000"/>
        </w:rPr>
      </w:pPr>
    </w:p>
    <w:tbl>
      <w:tblPr>
        <w:tblStyle w:val="TableGrid"/>
        <w:tblW w:w="9450" w:type="dxa"/>
        <w:tblInd w:w="-5" w:type="dxa"/>
        <w:tblLook w:val="04A0" w:firstRow="1" w:lastRow="0" w:firstColumn="1" w:lastColumn="0" w:noHBand="0" w:noVBand="1"/>
      </w:tblPr>
      <w:tblGrid>
        <w:gridCol w:w="3420"/>
        <w:gridCol w:w="3690"/>
        <w:gridCol w:w="2340"/>
      </w:tblGrid>
      <w:tr w:rsidR="004B5463" w:rsidRPr="009A5185" w14:paraId="4A556DF2" w14:textId="77777777" w:rsidTr="0059119E">
        <w:trPr>
          <w:trHeight w:val="576"/>
        </w:trPr>
        <w:tc>
          <w:tcPr>
            <w:tcW w:w="9450" w:type="dxa"/>
            <w:gridSpan w:val="3"/>
            <w:vAlign w:val="center"/>
          </w:tcPr>
          <w:p w14:paraId="6DFE281A" w14:textId="08058EE1" w:rsidR="008D6E32" w:rsidRPr="000B1607" w:rsidRDefault="004B5463" w:rsidP="000B1607">
            <w:pPr>
              <w:pStyle w:val="Header"/>
              <w:numPr>
                <w:ilvl w:val="0"/>
                <w:numId w:val="2"/>
              </w:numPr>
              <w:tabs>
                <w:tab w:val="clear" w:pos="4320"/>
                <w:tab w:val="clear" w:pos="8640"/>
              </w:tabs>
              <w:rPr>
                <w:rFonts w:cs="Arial"/>
                <w:snapToGrid w:val="0"/>
                <w:color w:val="000000"/>
              </w:rPr>
            </w:pPr>
            <w:r w:rsidRPr="009A5185">
              <w:rPr>
                <w:rFonts w:cs="Arial"/>
                <w:snapToGrid w:val="0"/>
                <w:color w:val="000000"/>
              </w:rPr>
              <w:t xml:space="preserve">Does your hospital’s privileging </w:t>
            </w:r>
            <w:r w:rsidR="001B3F7E" w:rsidRPr="009A5185">
              <w:rPr>
                <w:rFonts w:cs="Arial"/>
                <w:snapToGrid w:val="0"/>
                <w:color w:val="000000"/>
              </w:rPr>
              <w:t>process</w:t>
            </w:r>
            <w:r w:rsidRPr="009A5185">
              <w:rPr>
                <w:rFonts w:cs="Arial"/>
                <w:snapToGrid w:val="0"/>
                <w:color w:val="000000"/>
              </w:rPr>
              <w:t xml:space="preserve"> include the surgeon </w:t>
            </w:r>
            <w:r w:rsidR="009F5DD9" w:rsidRPr="009A5185">
              <w:rPr>
                <w:rFonts w:cs="Arial"/>
                <w:snapToGrid w:val="0"/>
                <w:color w:val="000000"/>
              </w:rPr>
              <w:t xml:space="preserve">meeting or exceeding the minimum </w:t>
            </w:r>
            <w:r w:rsidR="00DC5655">
              <w:rPr>
                <w:rFonts w:cs="Arial"/>
                <w:snapToGrid w:val="0"/>
                <w:color w:val="000000"/>
              </w:rPr>
              <w:t xml:space="preserve">annual </w:t>
            </w:r>
            <w:r w:rsidR="009F5DD9" w:rsidRPr="009A5185">
              <w:rPr>
                <w:rFonts w:cs="Arial"/>
                <w:snapToGrid w:val="0"/>
                <w:color w:val="000000"/>
              </w:rPr>
              <w:t xml:space="preserve">surgeon </w:t>
            </w:r>
            <w:r w:rsidRPr="009A5185">
              <w:rPr>
                <w:rFonts w:cs="Arial"/>
                <w:snapToGrid w:val="0"/>
                <w:color w:val="000000"/>
              </w:rPr>
              <w:t>volume standard listed below</w:t>
            </w:r>
            <w:r w:rsidR="009F5DD9" w:rsidRPr="009A5185">
              <w:rPr>
                <w:rFonts w:cs="Arial"/>
                <w:snapToGrid w:val="0"/>
                <w:color w:val="000000"/>
              </w:rPr>
              <w:t>?</w:t>
            </w:r>
          </w:p>
        </w:tc>
      </w:tr>
      <w:tr w:rsidR="004B5463" w:rsidRPr="009A5185" w14:paraId="64C04AE6" w14:textId="77777777" w:rsidTr="000F3D1F">
        <w:trPr>
          <w:trHeight w:val="458"/>
        </w:trPr>
        <w:tc>
          <w:tcPr>
            <w:tcW w:w="3420" w:type="dxa"/>
            <w:vAlign w:val="center"/>
          </w:tcPr>
          <w:p w14:paraId="4A67CA89" w14:textId="77777777" w:rsidR="004B5463" w:rsidRPr="009A5185" w:rsidRDefault="004B5463" w:rsidP="000B1607">
            <w:pPr>
              <w:pStyle w:val="Header"/>
              <w:tabs>
                <w:tab w:val="clear" w:pos="4320"/>
                <w:tab w:val="clear" w:pos="8640"/>
              </w:tabs>
              <w:rPr>
                <w:rFonts w:cs="Arial"/>
                <w:i/>
                <w:snapToGrid w:val="0"/>
                <w:color w:val="000000"/>
              </w:rPr>
            </w:pPr>
            <w:r w:rsidRPr="009A5185">
              <w:rPr>
                <w:rFonts w:cs="Arial"/>
                <w:i/>
                <w:snapToGrid w:val="0"/>
                <w:color w:val="000000"/>
              </w:rPr>
              <w:t>Procedure</w:t>
            </w:r>
          </w:p>
        </w:tc>
        <w:tc>
          <w:tcPr>
            <w:tcW w:w="3690" w:type="dxa"/>
            <w:vAlign w:val="center"/>
          </w:tcPr>
          <w:p w14:paraId="0AD1B9A6" w14:textId="4D16FC22" w:rsidR="004B5463" w:rsidRPr="009A5185" w:rsidRDefault="006D4E56" w:rsidP="00C8246A">
            <w:pPr>
              <w:pStyle w:val="Header"/>
              <w:tabs>
                <w:tab w:val="clear" w:pos="4320"/>
                <w:tab w:val="clear" w:pos="8640"/>
              </w:tabs>
              <w:jc w:val="center"/>
              <w:rPr>
                <w:rFonts w:cs="Arial"/>
                <w:i/>
                <w:snapToGrid w:val="0"/>
                <w:color w:val="000000"/>
              </w:rPr>
            </w:pPr>
            <w:r>
              <w:rPr>
                <w:rFonts w:cs="Arial"/>
                <w:i/>
                <w:snapToGrid w:val="0"/>
                <w:color w:val="000000"/>
              </w:rPr>
              <w:t xml:space="preserve">Annual </w:t>
            </w:r>
            <w:r w:rsidR="004B5463" w:rsidRPr="009A5185">
              <w:rPr>
                <w:rFonts w:cs="Arial"/>
                <w:i/>
                <w:snapToGrid w:val="0"/>
                <w:color w:val="000000"/>
              </w:rPr>
              <w:t>Surgeon Volume Standard</w:t>
            </w:r>
          </w:p>
        </w:tc>
        <w:tc>
          <w:tcPr>
            <w:tcW w:w="2340" w:type="dxa"/>
            <w:vAlign w:val="center"/>
          </w:tcPr>
          <w:p w14:paraId="2ACBBA8C" w14:textId="77777777" w:rsidR="004B5463" w:rsidRPr="009A5185" w:rsidRDefault="004B5463" w:rsidP="000B1607">
            <w:pPr>
              <w:pStyle w:val="Header"/>
              <w:tabs>
                <w:tab w:val="clear" w:pos="4320"/>
                <w:tab w:val="clear" w:pos="8640"/>
              </w:tabs>
              <w:rPr>
                <w:rFonts w:cs="Arial"/>
                <w:snapToGrid w:val="0"/>
                <w:color w:val="000000"/>
              </w:rPr>
            </w:pPr>
          </w:p>
        </w:tc>
      </w:tr>
      <w:tr w:rsidR="004B5463" w:rsidRPr="009A5185" w14:paraId="75FB066B" w14:textId="77777777" w:rsidTr="000F3D1F">
        <w:tc>
          <w:tcPr>
            <w:tcW w:w="3420" w:type="dxa"/>
            <w:vAlign w:val="center"/>
          </w:tcPr>
          <w:p w14:paraId="400642AE" w14:textId="77777777" w:rsidR="004B5463" w:rsidRPr="009A5185" w:rsidRDefault="004B5463" w:rsidP="000B1607">
            <w:pPr>
              <w:pStyle w:val="Header"/>
              <w:tabs>
                <w:tab w:val="clear" w:pos="4320"/>
                <w:tab w:val="clear" w:pos="8640"/>
              </w:tabs>
              <w:rPr>
                <w:rFonts w:cs="Arial"/>
                <w:snapToGrid w:val="0"/>
                <w:color w:val="000000"/>
              </w:rPr>
            </w:pPr>
            <w:r w:rsidRPr="009A5185">
              <w:rPr>
                <w:rFonts w:cs="Arial"/>
                <w:snapToGrid w:val="0"/>
              </w:rPr>
              <w:t>Carotid endarterectomy</w:t>
            </w:r>
          </w:p>
        </w:tc>
        <w:tc>
          <w:tcPr>
            <w:tcW w:w="3690" w:type="dxa"/>
            <w:vAlign w:val="center"/>
          </w:tcPr>
          <w:p w14:paraId="4B38E0FB" w14:textId="77777777" w:rsidR="004B5463" w:rsidRPr="009A5185" w:rsidRDefault="004B5463" w:rsidP="000B1607">
            <w:pPr>
              <w:pStyle w:val="Header"/>
              <w:tabs>
                <w:tab w:val="clear" w:pos="4320"/>
                <w:tab w:val="clear" w:pos="8640"/>
              </w:tabs>
              <w:jc w:val="center"/>
              <w:rPr>
                <w:rFonts w:cs="Arial"/>
                <w:snapToGrid w:val="0"/>
                <w:color w:val="000000"/>
              </w:rPr>
            </w:pPr>
            <w:r w:rsidRPr="009A5185">
              <w:rPr>
                <w:rFonts w:cs="Arial"/>
                <w:i/>
                <w:snapToGrid w:val="0"/>
              </w:rPr>
              <w:t>10</w:t>
            </w:r>
          </w:p>
        </w:tc>
        <w:tc>
          <w:tcPr>
            <w:tcW w:w="2340" w:type="dxa"/>
            <w:vAlign w:val="center"/>
          </w:tcPr>
          <w:p w14:paraId="601BD9DE" w14:textId="77777777" w:rsidR="004B5463" w:rsidRPr="000F3D1F" w:rsidRDefault="004B5463" w:rsidP="00AD309C">
            <w:pPr>
              <w:pStyle w:val="ListParagraph"/>
              <w:numPr>
                <w:ilvl w:val="0"/>
                <w:numId w:val="237"/>
              </w:numPr>
              <w:rPr>
                <w:rFonts w:cs="Arial"/>
                <w:iCs/>
                <w:snapToGrid w:val="0"/>
              </w:rPr>
            </w:pPr>
            <w:r w:rsidRPr="000F3D1F">
              <w:rPr>
                <w:rFonts w:cs="Arial"/>
                <w:iCs/>
                <w:snapToGrid w:val="0"/>
              </w:rPr>
              <w:t>Yes</w:t>
            </w:r>
          </w:p>
          <w:p w14:paraId="435D866E" w14:textId="339393B5" w:rsidR="004B5463" w:rsidRPr="00D22736" w:rsidRDefault="004B5463" w:rsidP="00AD309C">
            <w:pPr>
              <w:pStyle w:val="ListParagraph"/>
              <w:numPr>
                <w:ilvl w:val="0"/>
                <w:numId w:val="237"/>
              </w:numPr>
              <w:rPr>
                <w:rFonts w:cs="Arial"/>
                <w:iCs/>
                <w:snapToGrid w:val="0"/>
                <w:color w:val="000000"/>
              </w:rPr>
            </w:pPr>
            <w:r w:rsidRPr="000F3D1F">
              <w:rPr>
                <w:rFonts w:cs="Arial"/>
                <w:iCs/>
                <w:snapToGrid w:val="0"/>
              </w:rPr>
              <w:t>No</w:t>
            </w:r>
          </w:p>
        </w:tc>
      </w:tr>
      <w:tr w:rsidR="004B5463" w:rsidRPr="009A5185" w14:paraId="5467F3E9" w14:textId="77777777" w:rsidTr="000F3D1F">
        <w:tc>
          <w:tcPr>
            <w:tcW w:w="3420" w:type="dxa"/>
            <w:vAlign w:val="center"/>
          </w:tcPr>
          <w:p w14:paraId="3A323C9E" w14:textId="77777777" w:rsidR="004B5463" w:rsidRPr="009A5185" w:rsidRDefault="004B5463" w:rsidP="000B1607">
            <w:pPr>
              <w:pStyle w:val="Header"/>
              <w:tabs>
                <w:tab w:val="clear" w:pos="4320"/>
                <w:tab w:val="clear" w:pos="8640"/>
              </w:tabs>
              <w:rPr>
                <w:rFonts w:cs="Arial"/>
                <w:snapToGrid w:val="0"/>
                <w:color w:val="000000"/>
              </w:rPr>
            </w:pPr>
            <w:r w:rsidRPr="009A5185">
              <w:rPr>
                <w:rFonts w:cs="Arial"/>
                <w:snapToGrid w:val="0"/>
              </w:rPr>
              <w:t>Mitral valve repair and replacement</w:t>
            </w:r>
          </w:p>
        </w:tc>
        <w:tc>
          <w:tcPr>
            <w:tcW w:w="3690" w:type="dxa"/>
            <w:vAlign w:val="center"/>
          </w:tcPr>
          <w:p w14:paraId="344C5C14" w14:textId="77777777" w:rsidR="004B5463" w:rsidRPr="009A5185" w:rsidRDefault="004B5463" w:rsidP="000B1607">
            <w:pPr>
              <w:pStyle w:val="Header"/>
              <w:tabs>
                <w:tab w:val="clear" w:pos="4320"/>
                <w:tab w:val="clear" w:pos="8640"/>
              </w:tabs>
              <w:jc w:val="center"/>
              <w:rPr>
                <w:rFonts w:cs="Arial"/>
                <w:snapToGrid w:val="0"/>
                <w:color w:val="000000"/>
              </w:rPr>
            </w:pPr>
            <w:r w:rsidRPr="009A5185">
              <w:rPr>
                <w:rFonts w:cs="Arial"/>
                <w:i/>
                <w:snapToGrid w:val="0"/>
              </w:rPr>
              <w:t>20</w:t>
            </w:r>
          </w:p>
        </w:tc>
        <w:tc>
          <w:tcPr>
            <w:tcW w:w="2340" w:type="dxa"/>
            <w:vAlign w:val="center"/>
          </w:tcPr>
          <w:p w14:paraId="70754D92" w14:textId="77777777" w:rsidR="004B5463" w:rsidRPr="000F3D1F" w:rsidRDefault="004B5463" w:rsidP="00AD309C">
            <w:pPr>
              <w:pStyle w:val="ListParagraph"/>
              <w:numPr>
                <w:ilvl w:val="0"/>
                <w:numId w:val="237"/>
              </w:numPr>
              <w:rPr>
                <w:rFonts w:cs="Arial"/>
                <w:iCs/>
                <w:snapToGrid w:val="0"/>
              </w:rPr>
            </w:pPr>
            <w:r w:rsidRPr="000F3D1F">
              <w:rPr>
                <w:rFonts w:cs="Arial"/>
                <w:iCs/>
                <w:snapToGrid w:val="0"/>
              </w:rPr>
              <w:t>Yes</w:t>
            </w:r>
          </w:p>
          <w:p w14:paraId="79267BCA" w14:textId="2FDC5AC9" w:rsidR="004B5463" w:rsidRPr="00D22736" w:rsidRDefault="004B5463" w:rsidP="00AD309C">
            <w:pPr>
              <w:pStyle w:val="ListParagraph"/>
              <w:numPr>
                <w:ilvl w:val="0"/>
                <w:numId w:val="237"/>
              </w:numPr>
              <w:rPr>
                <w:rFonts w:cs="Arial"/>
                <w:iCs/>
                <w:snapToGrid w:val="0"/>
                <w:color w:val="000000"/>
              </w:rPr>
            </w:pPr>
            <w:r w:rsidRPr="000F3D1F">
              <w:rPr>
                <w:rFonts w:cs="Arial"/>
                <w:iCs/>
                <w:snapToGrid w:val="0"/>
              </w:rPr>
              <w:t>No</w:t>
            </w:r>
          </w:p>
        </w:tc>
      </w:tr>
      <w:tr w:rsidR="004B5463" w:rsidRPr="009A5185" w14:paraId="37B38F51" w14:textId="77777777" w:rsidTr="000F3D1F">
        <w:tc>
          <w:tcPr>
            <w:tcW w:w="3420" w:type="dxa"/>
            <w:vAlign w:val="center"/>
          </w:tcPr>
          <w:p w14:paraId="3305117B" w14:textId="77777777" w:rsidR="004B5463" w:rsidRPr="009A5185" w:rsidRDefault="004B5463" w:rsidP="000B1607">
            <w:pPr>
              <w:pStyle w:val="Header"/>
              <w:tabs>
                <w:tab w:val="clear" w:pos="4320"/>
                <w:tab w:val="clear" w:pos="8640"/>
              </w:tabs>
              <w:rPr>
                <w:rFonts w:cs="Arial"/>
                <w:snapToGrid w:val="0"/>
                <w:color w:val="000000"/>
              </w:rPr>
            </w:pPr>
            <w:r w:rsidRPr="009A5185">
              <w:rPr>
                <w:rFonts w:cs="Arial"/>
                <w:snapToGrid w:val="0"/>
              </w:rPr>
              <w:t xml:space="preserve">Open aortic </w:t>
            </w:r>
            <w:r w:rsidR="0064175E">
              <w:rPr>
                <w:rFonts w:cs="Arial"/>
                <w:snapToGrid w:val="0"/>
              </w:rPr>
              <w:t>procedures</w:t>
            </w:r>
          </w:p>
        </w:tc>
        <w:tc>
          <w:tcPr>
            <w:tcW w:w="3690" w:type="dxa"/>
            <w:vAlign w:val="center"/>
          </w:tcPr>
          <w:p w14:paraId="647C5B5F" w14:textId="77777777" w:rsidR="004B5463" w:rsidRPr="009A5185" w:rsidRDefault="0064175E" w:rsidP="000B1607">
            <w:pPr>
              <w:pStyle w:val="Header"/>
              <w:tabs>
                <w:tab w:val="clear" w:pos="4320"/>
                <w:tab w:val="clear" w:pos="8640"/>
              </w:tabs>
              <w:jc w:val="center"/>
              <w:rPr>
                <w:rFonts w:cs="Arial"/>
                <w:snapToGrid w:val="0"/>
                <w:color w:val="000000"/>
              </w:rPr>
            </w:pPr>
            <w:r>
              <w:rPr>
                <w:rFonts w:cs="Arial"/>
                <w:i/>
                <w:snapToGrid w:val="0"/>
              </w:rPr>
              <w:t>7</w:t>
            </w:r>
          </w:p>
        </w:tc>
        <w:tc>
          <w:tcPr>
            <w:tcW w:w="2340" w:type="dxa"/>
            <w:vAlign w:val="center"/>
          </w:tcPr>
          <w:p w14:paraId="11CA347D" w14:textId="77777777" w:rsidR="004B5463" w:rsidRPr="000F3D1F" w:rsidRDefault="004B5463" w:rsidP="00AD309C">
            <w:pPr>
              <w:pStyle w:val="ListParagraph"/>
              <w:numPr>
                <w:ilvl w:val="0"/>
                <w:numId w:val="237"/>
              </w:numPr>
              <w:rPr>
                <w:rFonts w:cs="Arial"/>
                <w:iCs/>
                <w:snapToGrid w:val="0"/>
              </w:rPr>
            </w:pPr>
            <w:r w:rsidRPr="000F3D1F">
              <w:rPr>
                <w:rFonts w:cs="Arial"/>
                <w:iCs/>
                <w:snapToGrid w:val="0"/>
              </w:rPr>
              <w:t>Yes</w:t>
            </w:r>
          </w:p>
          <w:p w14:paraId="2ED4E074" w14:textId="5ED516E6" w:rsidR="004B5463" w:rsidRPr="00D22736" w:rsidRDefault="004B5463" w:rsidP="00AD309C">
            <w:pPr>
              <w:pStyle w:val="ListParagraph"/>
              <w:numPr>
                <w:ilvl w:val="0"/>
                <w:numId w:val="237"/>
              </w:numPr>
              <w:rPr>
                <w:rFonts w:cs="Arial"/>
                <w:iCs/>
                <w:snapToGrid w:val="0"/>
                <w:color w:val="000000"/>
              </w:rPr>
            </w:pPr>
            <w:r w:rsidRPr="000F3D1F">
              <w:rPr>
                <w:rFonts w:cs="Arial"/>
                <w:iCs/>
                <w:snapToGrid w:val="0"/>
              </w:rPr>
              <w:t>No</w:t>
            </w:r>
          </w:p>
        </w:tc>
      </w:tr>
      <w:tr w:rsidR="004B5463" w:rsidRPr="009A5185" w14:paraId="57CD59A8" w14:textId="77777777" w:rsidTr="000F3D1F">
        <w:tc>
          <w:tcPr>
            <w:tcW w:w="3420" w:type="dxa"/>
            <w:vAlign w:val="center"/>
          </w:tcPr>
          <w:p w14:paraId="7E8DF3B5" w14:textId="17916850" w:rsidR="00556D6D" w:rsidRPr="00556D6D" w:rsidRDefault="004B5463" w:rsidP="000B1607">
            <w:pPr>
              <w:pStyle w:val="Header"/>
              <w:tabs>
                <w:tab w:val="clear" w:pos="4320"/>
                <w:tab w:val="clear" w:pos="8640"/>
              </w:tabs>
              <w:rPr>
                <w:rFonts w:cs="Arial"/>
                <w:snapToGrid w:val="0"/>
              </w:rPr>
            </w:pPr>
            <w:r w:rsidRPr="009A5185">
              <w:rPr>
                <w:rFonts w:cs="Arial"/>
                <w:snapToGrid w:val="0"/>
              </w:rPr>
              <w:t>Lung resection</w:t>
            </w:r>
            <w:r w:rsidR="001B3F7E" w:rsidRPr="009A5185">
              <w:rPr>
                <w:rFonts w:cs="Arial"/>
                <w:snapToGrid w:val="0"/>
              </w:rPr>
              <w:t xml:space="preserve"> for cancer</w:t>
            </w:r>
          </w:p>
        </w:tc>
        <w:tc>
          <w:tcPr>
            <w:tcW w:w="3690" w:type="dxa"/>
            <w:vAlign w:val="center"/>
          </w:tcPr>
          <w:p w14:paraId="26CB6C6E" w14:textId="074B7664" w:rsidR="004B5463" w:rsidRPr="009A5185" w:rsidRDefault="004B5463" w:rsidP="000B1607">
            <w:pPr>
              <w:pStyle w:val="Header"/>
              <w:tabs>
                <w:tab w:val="clear" w:pos="4320"/>
                <w:tab w:val="clear" w:pos="8640"/>
              </w:tabs>
              <w:jc w:val="center"/>
              <w:rPr>
                <w:rFonts w:cs="Arial"/>
                <w:snapToGrid w:val="0"/>
                <w:color w:val="000000"/>
              </w:rPr>
            </w:pPr>
            <w:r w:rsidRPr="009A5185">
              <w:rPr>
                <w:rFonts w:cs="Arial"/>
                <w:i/>
                <w:snapToGrid w:val="0"/>
              </w:rPr>
              <w:t>15</w:t>
            </w:r>
          </w:p>
        </w:tc>
        <w:tc>
          <w:tcPr>
            <w:tcW w:w="2340" w:type="dxa"/>
            <w:vAlign w:val="center"/>
          </w:tcPr>
          <w:p w14:paraId="650B6D3C" w14:textId="0E7C6BF6" w:rsidR="004B5463" w:rsidRPr="000F3D1F" w:rsidRDefault="004B5463" w:rsidP="00AD309C">
            <w:pPr>
              <w:pStyle w:val="ListParagraph"/>
              <w:numPr>
                <w:ilvl w:val="0"/>
                <w:numId w:val="237"/>
              </w:numPr>
              <w:rPr>
                <w:rFonts w:cs="Arial"/>
                <w:iCs/>
                <w:snapToGrid w:val="0"/>
              </w:rPr>
            </w:pPr>
            <w:r w:rsidRPr="000F3D1F">
              <w:rPr>
                <w:rFonts w:cs="Arial"/>
                <w:iCs/>
                <w:snapToGrid w:val="0"/>
              </w:rPr>
              <w:t>Yes</w:t>
            </w:r>
          </w:p>
          <w:p w14:paraId="49478530" w14:textId="4BAC374C" w:rsidR="00556D6D" w:rsidRPr="000F3D1F" w:rsidRDefault="004B5463" w:rsidP="00AD309C">
            <w:pPr>
              <w:pStyle w:val="ListParagraph"/>
              <w:numPr>
                <w:ilvl w:val="0"/>
                <w:numId w:val="237"/>
              </w:numPr>
              <w:rPr>
                <w:rFonts w:cs="Arial"/>
                <w:iCs/>
                <w:snapToGrid w:val="0"/>
              </w:rPr>
            </w:pPr>
            <w:r w:rsidRPr="000F3D1F">
              <w:rPr>
                <w:rFonts w:cs="Arial"/>
                <w:iCs/>
                <w:snapToGrid w:val="0"/>
              </w:rPr>
              <w:t>No</w:t>
            </w:r>
          </w:p>
        </w:tc>
      </w:tr>
      <w:tr w:rsidR="004B5463" w:rsidRPr="009A5185" w14:paraId="20D60241" w14:textId="77777777" w:rsidTr="000F3D1F">
        <w:tc>
          <w:tcPr>
            <w:tcW w:w="3420" w:type="dxa"/>
            <w:vAlign w:val="center"/>
          </w:tcPr>
          <w:p w14:paraId="7BF55CFE" w14:textId="2C1B942B" w:rsidR="00606EA3" w:rsidRPr="00606EA3" w:rsidRDefault="004B5463" w:rsidP="000B1607">
            <w:pPr>
              <w:pStyle w:val="Header"/>
              <w:tabs>
                <w:tab w:val="clear" w:pos="4320"/>
                <w:tab w:val="clear" w:pos="8640"/>
              </w:tabs>
              <w:rPr>
                <w:rFonts w:cs="Arial"/>
                <w:snapToGrid w:val="0"/>
              </w:rPr>
            </w:pPr>
            <w:r w:rsidRPr="009A5185">
              <w:rPr>
                <w:rFonts w:cs="Arial"/>
                <w:snapToGrid w:val="0"/>
              </w:rPr>
              <w:t>Esophageal resection</w:t>
            </w:r>
            <w:r w:rsidR="001B3F7E" w:rsidRPr="009A5185">
              <w:rPr>
                <w:rFonts w:cs="Arial"/>
                <w:snapToGrid w:val="0"/>
              </w:rPr>
              <w:t xml:space="preserve"> for cancer</w:t>
            </w:r>
          </w:p>
        </w:tc>
        <w:tc>
          <w:tcPr>
            <w:tcW w:w="3690" w:type="dxa"/>
            <w:vAlign w:val="center"/>
          </w:tcPr>
          <w:p w14:paraId="0EFD69BF" w14:textId="77777777" w:rsidR="004B5463" w:rsidRPr="009A5185" w:rsidRDefault="004B5463" w:rsidP="000B1607">
            <w:pPr>
              <w:pStyle w:val="Header"/>
              <w:tabs>
                <w:tab w:val="clear" w:pos="4320"/>
                <w:tab w:val="clear" w:pos="8640"/>
              </w:tabs>
              <w:jc w:val="center"/>
              <w:rPr>
                <w:rFonts w:cs="Arial"/>
                <w:snapToGrid w:val="0"/>
                <w:color w:val="000000"/>
              </w:rPr>
            </w:pPr>
            <w:r w:rsidRPr="009A5185">
              <w:rPr>
                <w:rFonts w:cs="Arial"/>
                <w:i/>
                <w:snapToGrid w:val="0"/>
              </w:rPr>
              <w:t>7</w:t>
            </w:r>
          </w:p>
        </w:tc>
        <w:tc>
          <w:tcPr>
            <w:tcW w:w="2340" w:type="dxa"/>
            <w:vAlign w:val="center"/>
          </w:tcPr>
          <w:p w14:paraId="2ACE8666" w14:textId="77777777" w:rsidR="004B5463" w:rsidRPr="000F3D1F" w:rsidRDefault="004B5463" w:rsidP="00AD309C">
            <w:pPr>
              <w:pStyle w:val="ListParagraph"/>
              <w:numPr>
                <w:ilvl w:val="0"/>
                <w:numId w:val="237"/>
              </w:numPr>
              <w:rPr>
                <w:rFonts w:cs="Arial"/>
                <w:iCs/>
                <w:snapToGrid w:val="0"/>
              </w:rPr>
            </w:pPr>
            <w:r w:rsidRPr="000F3D1F">
              <w:rPr>
                <w:rFonts w:cs="Arial"/>
                <w:iCs/>
                <w:snapToGrid w:val="0"/>
              </w:rPr>
              <w:t>Yes</w:t>
            </w:r>
          </w:p>
          <w:p w14:paraId="30AE112F" w14:textId="2E7D69A1" w:rsidR="004B5463" w:rsidRPr="00D22736" w:rsidRDefault="004B5463" w:rsidP="00AD309C">
            <w:pPr>
              <w:pStyle w:val="ListParagraph"/>
              <w:numPr>
                <w:ilvl w:val="0"/>
                <w:numId w:val="237"/>
              </w:numPr>
              <w:rPr>
                <w:rFonts w:cs="Arial"/>
                <w:iCs/>
                <w:snapToGrid w:val="0"/>
                <w:color w:val="000000"/>
              </w:rPr>
            </w:pPr>
            <w:r w:rsidRPr="000F3D1F">
              <w:rPr>
                <w:rFonts w:cs="Arial"/>
                <w:iCs/>
                <w:snapToGrid w:val="0"/>
              </w:rPr>
              <w:t>No</w:t>
            </w:r>
          </w:p>
        </w:tc>
      </w:tr>
      <w:tr w:rsidR="004B5463" w:rsidRPr="009A5185" w14:paraId="19EA07D1" w14:textId="77777777" w:rsidTr="000F3D1F">
        <w:tc>
          <w:tcPr>
            <w:tcW w:w="3420" w:type="dxa"/>
            <w:vAlign w:val="center"/>
          </w:tcPr>
          <w:p w14:paraId="4D214AB5" w14:textId="77777777" w:rsidR="004B5463" w:rsidRPr="009A5185" w:rsidRDefault="004B5463" w:rsidP="000B1607">
            <w:pPr>
              <w:pStyle w:val="Header"/>
              <w:tabs>
                <w:tab w:val="clear" w:pos="4320"/>
                <w:tab w:val="clear" w:pos="8640"/>
              </w:tabs>
              <w:rPr>
                <w:rFonts w:cs="Arial"/>
                <w:snapToGrid w:val="0"/>
                <w:color w:val="000000"/>
              </w:rPr>
            </w:pPr>
            <w:r w:rsidRPr="009A5185">
              <w:rPr>
                <w:rFonts w:cs="Arial"/>
                <w:snapToGrid w:val="0"/>
              </w:rPr>
              <w:lastRenderedPageBreak/>
              <w:t>Pancreatic resection</w:t>
            </w:r>
            <w:r w:rsidR="001B3F7E" w:rsidRPr="009A5185">
              <w:rPr>
                <w:rFonts w:cs="Arial"/>
                <w:snapToGrid w:val="0"/>
              </w:rPr>
              <w:t xml:space="preserve"> for cancer</w:t>
            </w:r>
          </w:p>
        </w:tc>
        <w:tc>
          <w:tcPr>
            <w:tcW w:w="3690" w:type="dxa"/>
            <w:vAlign w:val="center"/>
          </w:tcPr>
          <w:p w14:paraId="113BEC74" w14:textId="77777777" w:rsidR="004B5463" w:rsidRPr="009A5185" w:rsidRDefault="004B5463" w:rsidP="000B1607">
            <w:pPr>
              <w:pStyle w:val="Header"/>
              <w:tabs>
                <w:tab w:val="clear" w:pos="4320"/>
                <w:tab w:val="clear" w:pos="8640"/>
              </w:tabs>
              <w:jc w:val="center"/>
              <w:rPr>
                <w:rFonts w:cs="Arial"/>
                <w:snapToGrid w:val="0"/>
                <w:color w:val="000000"/>
              </w:rPr>
            </w:pPr>
            <w:r w:rsidRPr="009A5185">
              <w:rPr>
                <w:rFonts w:cs="Arial"/>
                <w:i/>
                <w:snapToGrid w:val="0"/>
              </w:rPr>
              <w:t>10</w:t>
            </w:r>
          </w:p>
        </w:tc>
        <w:tc>
          <w:tcPr>
            <w:tcW w:w="2340" w:type="dxa"/>
            <w:vAlign w:val="center"/>
          </w:tcPr>
          <w:p w14:paraId="42EAEACB" w14:textId="77777777" w:rsidR="004B5463" w:rsidRPr="000F3D1F" w:rsidRDefault="004B5463" w:rsidP="00AD309C">
            <w:pPr>
              <w:pStyle w:val="ListParagraph"/>
              <w:numPr>
                <w:ilvl w:val="0"/>
                <w:numId w:val="237"/>
              </w:numPr>
              <w:rPr>
                <w:rFonts w:cs="Arial"/>
                <w:iCs/>
                <w:snapToGrid w:val="0"/>
              </w:rPr>
            </w:pPr>
            <w:r w:rsidRPr="000F3D1F">
              <w:rPr>
                <w:rFonts w:cs="Arial"/>
                <w:iCs/>
                <w:snapToGrid w:val="0"/>
              </w:rPr>
              <w:t>Yes</w:t>
            </w:r>
          </w:p>
          <w:p w14:paraId="7441C330" w14:textId="30E0788C" w:rsidR="004B5463" w:rsidRPr="00D22736" w:rsidRDefault="004B5463" w:rsidP="00AD309C">
            <w:pPr>
              <w:pStyle w:val="ListParagraph"/>
              <w:numPr>
                <w:ilvl w:val="0"/>
                <w:numId w:val="237"/>
              </w:numPr>
              <w:rPr>
                <w:rFonts w:cs="Arial"/>
                <w:iCs/>
                <w:snapToGrid w:val="0"/>
                <w:color w:val="000000"/>
              </w:rPr>
            </w:pPr>
            <w:r w:rsidRPr="000F3D1F">
              <w:rPr>
                <w:rFonts w:cs="Arial"/>
                <w:iCs/>
                <w:snapToGrid w:val="0"/>
              </w:rPr>
              <w:t>No</w:t>
            </w:r>
          </w:p>
        </w:tc>
      </w:tr>
      <w:tr w:rsidR="004B5463" w:rsidRPr="009A5185" w14:paraId="3E02DEA3" w14:textId="77777777" w:rsidTr="000F3D1F">
        <w:trPr>
          <w:trHeight w:val="557"/>
        </w:trPr>
        <w:tc>
          <w:tcPr>
            <w:tcW w:w="3420" w:type="dxa"/>
            <w:vAlign w:val="center"/>
          </w:tcPr>
          <w:p w14:paraId="423AAEAC" w14:textId="7270E1C6" w:rsidR="00C7333E" w:rsidRPr="00C7333E" w:rsidRDefault="004B5463" w:rsidP="000B1607">
            <w:pPr>
              <w:pStyle w:val="Header"/>
              <w:tabs>
                <w:tab w:val="clear" w:pos="4320"/>
                <w:tab w:val="clear" w:pos="8640"/>
              </w:tabs>
              <w:rPr>
                <w:rFonts w:cs="Arial"/>
                <w:snapToGrid w:val="0"/>
              </w:rPr>
            </w:pPr>
            <w:r w:rsidRPr="009A5185">
              <w:rPr>
                <w:rFonts w:cs="Arial"/>
                <w:snapToGrid w:val="0"/>
              </w:rPr>
              <w:t>Rectal cancer surgery</w:t>
            </w:r>
          </w:p>
        </w:tc>
        <w:tc>
          <w:tcPr>
            <w:tcW w:w="3690" w:type="dxa"/>
            <w:vAlign w:val="center"/>
          </w:tcPr>
          <w:p w14:paraId="604BDCD7" w14:textId="77777777" w:rsidR="004B5463" w:rsidRPr="009A5185" w:rsidRDefault="004B5463" w:rsidP="000B1607">
            <w:pPr>
              <w:pStyle w:val="Header"/>
              <w:tabs>
                <w:tab w:val="clear" w:pos="4320"/>
                <w:tab w:val="clear" w:pos="8640"/>
              </w:tabs>
              <w:jc w:val="center"/>
              <w:rPr>
                <w:rFonts w:cs="Arial"/>
                <w:snapToGrid w:val="0"/>
                <w:color w:val="000000"/>
              </w:rPr>
            </w:pPr>
            <w:r w:rsidRPr="009A5185">
              <w:rPr>
                <w:rFonts w:cs="Arial"/>
                <w:i/>
                <w:snapToGrid w:val="0"/>
              </w:rPr>
              <w:t>6</w:t>
            </w:r>
          </w:p>
        </w:tc>
        <w:tc>
          <w:tcPr>
            <w:tcW w:w="2340" w:type="dxa"/>
            <w:vAlign w:val="center"/>
          </w:tcPr>
          <w:p w14:paraId="59641492" w14:textId="77777777" w:rsidR="004B5463" w:rsidRPr="00D22736" w:rsidRDefault="004B5463" w:rsidP="00AD309C">
            <w:pPr>
              <w:pStyle w:val="ListParagraph"/>
              <w:numPr>
                <w:ilvl w:val="0"/>
                <w:numId w:val="238"/>
              </w:numPr>
              <w:rPr>
                <w:rFonts w:cs="Arial"/>
                <w:iCs/>
                <w:snapToGrid w:val="0"/>
              </w:rPr>
            </w:pPr>
            <w:r w:rsidRPr="00D22736">
              <w:rPr>
                <w:rFonts w:cs="Arial"/>
                <w:iCs/>
                <w:snapToGrid w:val="0"/>
              </w:rPr>
              <w:t>Yes</w:t>
            </w:r>
          </w:p>
          <w:p w14:paraId="207184DD" w14:textId="19BD6F42" w:rsidR="00C7333E" w:rsidRPr="00D22736" w:rsidRDefault="004B5463" w:rsidP="00AD309C">
            <w:pPr>
              <w:pStyle w:val="ListParagraph"/>
              <w:numPr>
                <w:ilvl w:val="0"/>
                <w:numId w:val="238"/>
              </w:numPr>
              <w:rPr>
                <w:rFonts w:cs="Arial"/>
                <w:iCs/>
                <w:snapToGrid w:val="0"/>
              </w:rPr>
            </w:pPr>
            <w:r w:rsidRPr="00D22736">
              <w:rPr>
                <w:rFonts w:cs="Arial"/>
                <w:iCs/>
                <w:snapToGrid w:val="0"/>
              </w:rPr>
              <w:t>No</w:t>
            </w:r>
          </w:p>
        </w:tc>
      </w:tr>
      <w:tr w:rsidR="004B5463" w:rsidRPr="009A5185" w14:paraId="3BFEFB92" w14:textId="77777777" w:rsidTr="000F3D1F">
        <w:tc>
          <w:tcPr>
            <w:tcW w:w="3420" w:type="dxa"/>
            <w:vAlign w:val="center"/>
          </w:tcPr>
          <w:p w14:paraId="0F23F094" w14:textId="77777777" w:rsidR="004B5463" w:rsidRPr="009A5185" w:rsidRDefault="004B5463" w:rsidP="000B1607">
            <w:pPr>
              <w:pStyle w:val="Header"/>
              <w:tabs>
                <w:tab w:val="clear" w:pos="4320"/>
                <w:tab w:val="clear" w:pos="8640"/>
              </w:tabs>
              <w:rPr>
                <w:rFonts w:cs="Arial"/>
                <w:snapToGrid w:val="0"/>
                <w:color w:val="000000"/>
              </w:rPr>
            </w:pPr>
            <w:r w:rsidRPr="009A5185">
              <w:rPr>
                <w:rFonts w:cs="Arial"/>
                <w:snapToGrid w:val="0"/>
              </w:rPr>
              <w:t>Bariatric surgery for weight loss</w:t>
            </w:r>
          </w:p>
        </w:tc>
        <w:tc>
          <w:tcPr>
            <w:tcW w:w="3690" w:type="dxa"/>
            <w:vAlign w:val="center"/>
          </w:tcPr>
          <w:p w14:paraId="70D11DAD" w14:textId="77777777" w:rsidR="004B5463" w:rsidRPr="009A5185" w:rsidRDefault="004B5463" w:rsidP="000B1607">
            <w:pPr>
              <w:pStyle w:val="Header"/>
              <w:tabs>
                <w:tab w:val="clear" w:pos="4320"/>
                <w:tab w:val="clear" w:pos="8640"/>
              </w:tabs>
              <w:jc w:val="center"/>
              <w:rPr>
                <w:rFonts w:cs="Arial"/>
                <w:snapToGrid w:val="0"/>
                <w:color w:val="000000"/>
              </w:rPr>
            </w:pPr>
            <w:r w:rsidRPr="009A5185">
              <w:rPr>
                <w:rFonts w:cs="Arial"/>
                <w:i/>
                <w:snapToGrid w:val="0"/>
              </w:rPr>
              <w:t>20</w:t>
            </w:r>
          </w:p>
        </w:tc>
        <w:tc>
          <w:tcPr>
            <w:tcW w:w="2340" w:type="dxa"/>
            <w:vAlign w:val="center"/>
          </w:tcPr>
          <w:p w14:paraId="216C73BB" w14:textId="77777777" w:rsidR="004B5463" w:rsidRPr="00D22736" w:rsidRDefault="004B5463" w:rsidP="00AD309C">
            <w:pPr>
              <w:pStyle w:val="ListParagraph"/>
              <w:numPr>
                <w:ilvl w:val="0"/>
                <w:numId w:val="238"/>
              </w:numPr>
              <w:rPr>
                <w:rFonts w:cs="Arial"/>
                <w:iCs/>
                <w:snapToGrid w:val="0"/>
              </w:rPr>
            </w:pPr>
            <w:r w:rsidRPr="00D22736">
              <w:rPr>
                <w:rFonts w:cs="Arial"/>
                <w:iCs/>
                <w:snapToGrid w:val="0"/>
              </w:rPr>
              <w:t>Yes</w:t>
            </w:r>
          </w:p>
          <w:p w14:paraId="21510379" w14:textId="05B1F2F4" w:rsidR="004B5463" w:rsidRPr="00D22736" w:rsidRDefault="004B5463" w:rsidP="00AD309C">
            <w:pPr>
              <w:pStyle w:val="ListParagraph"/>
              <w:numPr>
                <w:ilvl w:val="0"/>
                <w:numId w:val="238"/>
              </w:numPr>
              <w:rPr>
                <w:rFonts w:cs="Arial"/>
                <w:iCs/>
                <w:snapToGrid w:val="0"/>
              </w:rPr>
            </w:pPr>
            <w:r w:rsidRPr="00D22736">
              <w:rPr>
                <w:rFonts w:cs="Arial"/>
                <w:iCs/>
                <w:snapToGrid w:val="0"/>
              </w:rPr>
              <w:t>No</w:t>
            </w:r>
          </w:p>
        </w:tc>
      </w:tr>
      <w:tr w:rsidR="002668B5" w:rsidRPr="009A5185" w14:paraId="220C6407" w14:textId="77777777" w:rsidTr="000F3D1F">
        <w:tc>
          <w:tcPr>
            <w:tcW w:w="3420" w:type="dxa"/>
            <w:vAlign w:val="center"/>
          </w:tcPr>
          <w:p w14:paraId="1A8A42D4" w14:textId="77777777" w:rsidR="002668B5" w:rsidRPr="009A5185" w:rsidRDefault="002668B5" w:rsidP="000B1607">
            <w:pPr>
              <w:pStyle w:val="Header"/>
              <w:tabs>
                <w:tab w:val="clear" w:pos="4320"/>
                <w:tab w:val="clear" w:pos="8640"/>
              </w:tabs>
              <w:rPr>
                <w:rFonts w:cs="Arial"/>
                <w:snapToGrid w:val="0"/>
              </w:rPr>
            </w:pPr>
            <w:r>
              <w:rPr>
                <w:rFonts w:cs="Arial"/>
                <w:snapToGrid w:val="0"/>
              </w:rPr>
              <w:t>Total knee replacement</w:t>
            </w:r>
          </w:p>
        </w:tc>
        <w:tc>
          <w:tcPr>
            <w:tcW w:w="3690" w:type="dxa"/>
            <w:vAlign w:val="center"/>
          </w:tcPr>
          <w:p w14:paraId="453276EA" w14:textId="77777777" w:rsidR="002668B5" w:rsidRPr="009A5185" w:rsidRDefault="002668B5" w:rsidP="000B1607">
            <w:pPr>
              <w:pStyle w:val="Header"/>
              <w:tabs>
                <w:tab w:val="clear" w:pos="4320"/>
                <w:tab w:val="clear" w:pos="8640"/>
              </w:tabs>
              <w:jc w:val="center"/>
              <w:rPr>
                <w:rFonts w:cs="Arial"/>
                <w:i/>
                <w:snapToGrid w:val="0"/>
              </w:rPr>
            </w:pPr>
            <w:r>
              <w:rPr>
                <w:rFonts w:cs="Arial"/>
                <w:i/>
                <w:snapToGrid w:val="0"/>
              </w:rPr>
              <w:t>25</w:t>
            </w:r>
          </w:p>
        </w:tc>
        <w:tc>
          <w:tcPr>
            <w:tcW w:w="2340" w:type="dxa"/>
            <w:vAlign w:val="center"/>
          </w:tcPr>
          <w:p w14:paraId="3C08B5D1" w14:textId="77777777" w:rsidR="002668B5" w:rsidRPr="00D22736" w:rsidRDefault="002668B5" w:rsidP="00AD309C">
            <w:pPr>
              <w:pStyle w:val="ListParagraph"/>
              <w:numPr>
                <w:ilvl w:val="0"/>
                <w:numId w:val="238"/>
              </w:numPr>
              <w:rPr>
                <w:rFonts w:cs="Arial"/>
                <w:iCs/>
                <w:snapToGrid w:val="0"/>
              </w:rPr>
            </w:pPr>
            <w:r w:rsidRPr="00D22736">
              <w:rPr>
                <w:rFonts w:cs="Arial"/>
                <w:iCs/>
                <w:snapToGrid w:val="0"/>
              </w:rPr>
              <w:t>Yes</w:t>
            </w:r>
          </w:p>
          <w:p w14:paraId="3533DF5B" w14:textId="77777777" w:rsidR="002668B5" w:rsidRPr="00D22736" w:rsidRDefault="002668B5" w:rsidP="00AD309C">
            <w:pPr>
              <w:pStyle w:val="ListParagraph"/>
              <w:numPr>
                <w:ilvl w:val="0"/>
                <w:numId w:val="238"/>
              </w:numPr>
              <w:rPr>
                <w:rFonts w:cs="Arial"/>
                <w:iCs/>
                <w:snapToGrid w:val="0"/>
              </w:rPr>
            </w:pPr>
            <w:r w:rsidRPr="00D22736">
              <w:rPr>
                <w:rFonts w:cs="Arial"/>
                <w:iCs/>
                <w:snapToGrid w:val="0"/>
              </w:rPr>
              <w:t>No</w:t>
            </w:r>
          </w:p>
        </w:tc>
      </w:tr>
      <w:tr w:rsidR="002668B5" w:rsidRPr="009A5185" w14:paraId="30960BBD" w14:textId="77777777" w:rsidTr="000F3D1F">
        <w:tc>
          <w:tcPr>
            <w:tcW w:w="3420" w:type="dxa"/>
            <w:vAlign w:val="center"/>
          </w:tcPr>
          <w:p w14:paraId="50661C56" w14:textId="77777777" w:rsidR="002668B5" w:rsidRDefault="002668B5" w:rsidP="000B1607">
            <w:pPr>
              <w:pStyle w:val="Header"/>
              <w:tabs>
                <w:tab w:val="clear" w:pos="4320"/>
                <w:tab w:val="clear" w:pos="8640"/>
              </w:tabs>
              <w:rPr>
                <w:rFonts w:cs="Arial"/>
                <w:snapToGrid w:val="0"/>
              </w:rPr>
            </w:pPr>
            <w:r>
              <w:rPr>
                <w:rFonts w:cs="Arial"/>
                <w:snapToGrid w:val="0"/>
              </w:rPr>
              <w:t>Total hip replacement</w:t>
            </w:r>
          </w:p>
        </w:tc>
        <w:tc>
          <w:tcPr>
            <w:tcW w:w="3690" w:type="dxa"/>
            <w:vAlign w:val="center"/>
          </w:tcPr>
          <w:p w14:paraId="7859E721" w14:textId="77777777" w:rsidR="002668B5" w:rsidRDefault="002668B5" w:rsidP="000B1607">
            <w:pPr>
              <w:pStyle w:val="Header"/>
              <w:tabs>
                <w:tab w:val="clear" w:pos="4320"/>
                <w:tab w:val="clear" w:pos="8640"/>
              </w:tabs>
              <w:jc w:val="center"/>
              <w:rPr>
                <w:rFonts w:cs="Arial"/>
                <w:i/>
                <w:snapToGrid w:val="0"/>
              </w:rPr>
            </w:pPr>
            <w:r>
              <w:rPr>
                <w:rFonts w:cs="Arial"/>
                <w:i/>
                <w:snapToGrid w:val="0"/>
              </w:rPr>
              <w:t>25</w:t>
            </w:r>
          </w:p>
        </w:tc>
        <w:tc>
          <w:tcPr>
            <w:tcW w:w="2340" w:type="dxa"/>
            <w:vAlign w:val="center"/>
          </w:tcPr>
          <w:p w14:paraId="2C04DFAA" w14:textId="77777777" w:rsidR="002668B5" w:rsidRPr="00D22736" w:rsidRDefault="002668B5" w:rsidP="00AD309C">
            <w:pPr>
              <w:pStyle w:val="ListParagraph"/>
              <w:numPr>
                <w:ilvl w:val="0"/>
                <w:numId w:val="238"/>
              </w:numPr>
              <w:rPr>
                <w:rFonts w:cs="Arial"/>
                <w:iCs/>
                <w:snapToGrid w:val="0"/>
              </w:rPr>
            </w:pPr>
            <w:r w:rsidRPr="00D22736">
              <w:rPr>
                <w:rFonts w:cs="Arial"/>
                <w:iCs/>
                <w:snapToGrid w:val="0"/>
              </w:rPr>
              <w:t>Yes</w:t>
            </w:r>
          </w:p>
          <w:p w14:paraId="52054E34" w14:textId="77777777" w:rsidR="002668B5" w:rsidRPr="00D22736" w:rsidRDefault="002668B5" w:rsidP="00AD309C">
            <w:pPr>
              <w:pStyle w:val="ListParagraph"/>
              <w:numPr>
                <w:ilvl w:val="0"/>
                <w:numId w:val="238"/>
              </w:numPr>
              <w:rPr>
                <w:rFonts w:cs="Arial"/>
                <w:iCs/>
                <w:snapToGrid w:val="0"/>
              </w:rPr>
            </w:pPr>
            <w:r w:rsidRPr="00D22736">
              <w:rPr>
                <w:rFonts w:cs="Arial"/>
                <w:iCs/>
                <w:snapToGrid w:val="0"/>
              </w:rPr>
              <w:t>No</w:t>
            </w:r>
          </w:p>
        </w:tc>
      </w:tr>
      <w:tr w:rsidR="002668B5" w:rsidRPr="009A5185" w14:paraId="151DBBE4" w14:textId="77777777" w:rsidTr="000F3D1F">
        <w:tc>
          <w:tcPr>
            <w:tcW w:w="3420" w:type="dxa"/>
            <w:vAlign w:val="center"/>
          </w:tcPr>
          <w:p w14:paraId="074D2C41" w14:textId="77777777" w:rsidR="002668B5" w:rsidRDefault="002668B5" w:rsidP="000B1607">
            <w:pPr>
              <w:pStyle w:val="Header"/>
              <w:tabs>
                <w:tab w:val="clear" w:pos="4320"/>
                <w:tab w:val="clear" w:pos="8640"/>
              </w:tabs>
              <w:rPr>
                <w:rFonts w:cs="Arial"/>
                <w:snapToGrid w:val="0"/>
              </w:rPr>
            </w:pPr>
            <w:r>
              <w:rPr>
                <w:rFonts w:cs="Arial"/>
                <w:snapToGrid w:val="0"/>
              </w:rPr>
              <w:t>Norwood procedure</w:t>
            </w:r>
          </w:p>
        </w:tc>
        <w:tc>
          <w:tcPr>
            <w:tcW w:w="3690" w:type="dxa"/>
            <w:vAlign w:val="center"/>
          </w:tcPr>
          <w:p w14:paraId="36A75DE1" w14:textId="77777777" w:rsidR="002668B5" w:rsidRDefault="002668B5" w:rsidP="000B1607">
            <w:pPr>
              <w:pStyle w:val="Header"/>
              <w:tabs>
                <w:tab w:val="clear" w:pos="4320"/>
                <w:tab w:val="clear" w:pos="8640"/>
              </w:tabs>
              <w:jc w:val="center"/>
              <w:rPr>
                <w:rFonts w:cs="Arial"/>
                <w:i/>
                <w:snapToGrid w:val="0"/>
              </w:rPr>
            </w:pPr>
            <w:r>
              <w:rPr>
                <w:rFonts w:cs="Arial"/>
                <w:i/>
                <w:snapToGrid w:val="0"/>
              </w:rPr>
              <w:t>5</w:t>
            </w:r>
          </w:p>
        </w:tc>
        <w:tc>
          <w:tcPr>
            <w:tcW w:w="2340" w:type="dxa"/>
            <w:vAlign w:val="center"/>
          </w:tcPr>
          <w:p w14:paraId="4DC95748" w14:textId="77777777" w:rsidR="002668B5" w:rsidRPr="00D22736" w:rsidRDefault="002668B5" w:rsidP="00AD309C">
            <w:pPr>
              <w:pStyle w:val="ListParagraph"/>
              <w:numPr>
                <w:ilvl w:val="0"/>
                <w:numId w:val="238"/>
              </w:numPr>
              <w:rPr>
                <w:rFonts w:cs="Arial"/>
                <w:iCs/>
                <w:snapToGrid w:val="0"/>
              </w:rPr>
            </w:pPr>
            <w:r w:rsidRPr="00D22736">
              <w:rPr>
                <w:rFonts w:cs="Arial"/>
                <w:iCs/>
                <w:snapToGrid w:val="0"/>
              </w:rPr>
              <w:t>Yes</w:t>
            </w:r>
          </w:p>
          <w:p w14:paraId="40263721" w14:textId="77777777" w:rsidR="002668B5" w:rsidRPr="00D22736" w:rsidRDefault="002668B5" w:rsidP="00AD309C">
            <w:pPr>
              <w:pStyle w:val="ListParagraph"/>
              <w:numPr>
                <w:ilvl w:val="0"/>
                <w:numId w:val="238"/>
              </w:numPr>
              <w:rPr>
                <w:rFonts w:cs="Arial"/>
                <w:iCs/>
                <w:snapToGrid w:val="0"/>
              </w:rPr>
            </w:pPr>
            <w:r w:rsidRPr="00D22736">
              <w:rPr>
                <w:rFonts w:cs="Arial"/>
                <w:iCs/>
                <w:snapToGrid w:val="0"/>
              </w:rPr>
              <w:t>No</w:t>
            </w:r>
          </w:p>
        </w:tc>
      </w:tr>
    </w:tbl>
    <w:p w14:paraId="48ACFFF9" w14:textId="77777777" w:rsidR="00085618" w:rsidRDefault="00085618" w:rsidP="00085618">
      <w:pPr>
        <w:rPr>
          <w:rFonts w:cs="Arial"/>
          <w:i/>
          <w:snapToGrid w:val="0"/>
          <w:color w:val="000000"/>
        </w:rPr>
      </w:pPr>
    </w:p>
    <w:p w14:paraId="29059CA4" w14:textId="3183B651" w:rsidR="005D2B76" w:rsidRDefault="005D2B76" w:rsidP="00085618">
      <w:pPr>
        <w:rPr>
          <w:rFonts w:cs="Arial"/>
          <w:i/>
          <w:snapToGrid w:val="0"/>
          <w:color w:val="000000"/>
        </w:rPr>
      </w:pPr>
      <w:r w:rsidRPr="005C487E">
        <w:rPr>
          <w:rFonts w:cs="Arial"/>
          <w:i/>
          <w:snapToGrid w:val="0"/>
          <w:color w:val="000000"/>
        </w:rPr>
        <w:t>If your hospital perform</w:t>
      </w:r>
      <w:r>
        <w:rPr>
          <w:rFonts w:cs="Arial"/>
          <w:i/>
          <w:snapToGrid w:val="0"/>
          <w:color w:val="000000"/>
        </w:rPr>
        <w:t>s</w:t>
      </w:r>
      <w:r w:rsidR="0022615A">
        <w:rPr>
          <w:rFonts w:cs="Arial"/>
          <w:i/>
          <w:snapToGrid w:val="0"/>
          <w:color w:val="000000"/>
        </w:rPr>
        <w:t xml:space="preserve"> mitral valve repair and r</w:t>
      </w:r>
      <w:r>
        <w:rPr>
          <w:rFonts w:cs="Arial"/>
          <w:i/>
          <w:snapToGrid w:val="0"/>
          <w:color w:val="000000"/>
        </w:rPr>
        <w:t>eplacement (selected the checkbox in question #2)</w:t>
      </w:r>
      <w:r w:rsidRPr="005C487E">
        <w:rPr>
          <w:rFonts w:cs="Arial"/>
          <w:i/>
          <w:snapToGrid w:val="0"/>
          <w:color w:val="000000"/>
        </w:rPr>
        <w:t xml:space="preserve">, </w:t>
      </w:r>
      <w:r w:rsidR="0022615A">
        <w:rPr>
          <w:rFonts w:cs="Arial"/>
          <w:i/>
          <w:snapToGrid w:val="0"/>
          <w:color w:val="000000"/>
        </w:rPr>
        <w:t>continue</w:t>
      </w:r>
      <w:r w:rsidRPr="005C487E">
        <w:rPr>
          <w:rFonts w:cs="Arial"/>
          <w:i/>
          <w:snapToGrid w:val="0"/>
          <w:color w:val="000000"/>
        </w:rPr>
        <w:t xml:space="preserve"> </w:t>
      </w:r>
      <w:r>
        <w:rPr>
          <w:rFonts w:cs="Arial"/>
          <w:i/>
          <w:snapToGrid w:val="0"/>
          <w:color w:val="000000"/>
        </w:rPr>
        <w:t xml:space="preserve">to </w:t>
      </w:r>
      <w:r w:rsidRPr="005C487E">
        <w:rPr>
          <w:rFonts w:cs="Arial"/>
          <w:i/>
          <w:snapToGrid w:val="0"/>
          <w:color w:val="000000"/>
        </w:rPr>
        <w:t>question</w:t>
      </w:r>
      <w:r>
        <w:rPr>
          <w:rFonts w:cs="Arial"/>
          <w:i/>
          <w:snapToGrid w:val="0"/>
          <w:color w:val="000000"/>
        </w:rPr>
        <w:t xml:space="preserve"> #</w:t>
      </w:r>
      <w:r w:rsidR="00C837E6">
        <w:rPr>
          <w:rFonts w:cs="Arial"/>
          <w:i/>
          <w:snapToGrid w:val="0"/>
          <w:color w:val="000000"/>
        </w:rPr>
        <w:t>6</w:t>
      </w:r>
      <w:r>
        <w:rPr>
          <w:rFonts w:cs="Arial"/>
          <w:i/>
          <w:snapToGrid w:val="0"/>
          <w:color w:val="000000"/>
        </w:rPr>
        <w:t xml:space="preserve">. Otherwise, skip questions </w:t>
      </w:r>
      <w:r w:rsidRPr="008837D6">
        <w:rPr>
          <w:rFonts w:cs="Arial"/>
          <w:i/>
          <w:snapToGrid w:val="0"/>
          <w:color w:val="000000"/>
        </w:rPr>
        <w:t>#</w:t>
      </w:r>
      <w:r w:rsidR="00C837E6">
        <w:rPr>
          <w:rFonts w:cs="Arial"/>
          <w:i/>
          <w:snapToGrid w:val="0"/>
          <w:color w:val="000000"/>
        </w:rPr>
        <w:t>6</w:t>
      </w:r>
      <w:r w:rsidR="008837D6">
        <w:rPr>
          <w:rFonts w:cs="Arial"/>
          <w:i/>
          <w:snapToGrid w:val="0"/>
          <w:color w:val="000000"/>
        </w:rPr>
        <w:t>-</w:t>
      </w:r>
      <w:r w:rsidR="00C837E6">
        <w:rPr>
          <w:rFonts w:cs="Arial"/>
          <w:i/>
          <w:snapToGrid w:val="0"/>
          <w:color w:val="000000"/>
        </w:rPr>
        <w:t>9</w:t>
      </w:r>
      <w:r>
        <w:rPr>
          <w:rFonts w:cs="Arial"/>
          <w:i/>
          <w:snapToGrid w:val="0"/>
          <w:color w:val="000000"/>
        </w:rPr>
        <w:t xml:space="preserve"> and continue to</w:t>
      </w:r>
      <w:r w:rsidR="000735CC">
        <w:rPr>
          <w:rFonts w:cs="Arial"/>
          <w:i/>
          <w:snapToGrid w:val="0"/>
          <w:color w:val="000000"/>
        </w:rPr>
        <w:t xml:space="preserve"> question #</w:t>
      </w:r>
      <w:r w:rsidR="001A32DA">
        <w:rPr>
          <w:rFonts w:cs="Arial"/>
          <w:i/>
          <w:snapToGrid w:val="0"/>
          <w:color w:val="000000"/>
        </w:rPr>
        <w:t>1</w:t>
      </w:r>
      <w:r w:rsidR="00C837E6">
        <w:rPr>
          <w:rFonts w:cs="Arial"/>
          <w:i/>
          <w:snapToGrid w:val="0"/>
          <w:color w:val="000000"/>
        </w:rPr>
        <w:t>0</w:t>
      </w:r>
      <w:r>
        <w:rPr>
          <w:rFonts w:cs="Arial"/>
          <w:i/>
          <w:snapToGrid w:val="0"/>
          <w:color w:val="000000"/>
        </w:rPr>
        <w:t>.</w:t>
      </w:r>
    </w:p>
    <w:p w14:paraId="5264EE5A" w14:textId="77777777" w:rsidR="00571245" w:rsidRDefault="00571245" w:rsidP="00BE2E40">
      <w:pPr>
        <w:rPr>
          <w:rFonts w:cs="Arial"/>
          <w:i/>
          <w:snapToGrid w:val="0"/>
          <w:color w:val="000000"/>
        </w:rPr>
      </w:pPr>
    </w:p>
    <w:p w14:paraId="3AE19979" w14:textId="5FBCCF11" w:rsidR="00E66427" w:rsidRDefault="00E66427" w:rsidP="009E7B22">
      <w:pPr>
        <w:rPr>
          <w:rFonts w:cs="Arial"/>
          <w:i/>
          <w:snapToGrid w:val="0"/>
          <w:color w:val="000000"/>
        </w:rPr>
      </w:pPr>
      <w:r w:rsidRPr="00E66427">
        <w:rPr>
          <w:rFonts w:cs="Arial"/>
          <w:i/>
          <w:noProof/>
          <w:snapToGrid w:val="0"/>
          <w:color w:val="000000"/>
        </w:rPr>
        <mc:AlternateContent>
          <mc:Choice Requires="wps">
            <w:drawing>
              <wp:inline distT="0" distB="0" distL="0" distR="0" wp14:anchorId="45A327C7" wp14:editId="5B8993E8">
                <wp:extent cx="6003235" cy="1404620"/>
                <wp:effectExtent l="0" t="0" r="17145" b="22860"/>
                <wp:docPr id="27" name="Text Box 27" descr="P2928TB11#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3235" cy="1404620"/>
                        </a:xfrm>
                        <a:prstGeom prst="rect">
                          <a:avLst/>
                        </a:prstGeom>
                        <a:solidFill>
                          <a:srgbClr val="FFFFFF"/>
                        </a:solidFill>
                        <a:ln w="9525">
                          <a:solidFill>
                            <a:srgbClr val="FF0000"/>
                          </a:solidFill>
                          <a:miter lim="800000"/>
                          <a:headEnd/>
                          <a:tailEnd/>
                        </a:ln>
                      </wps:spPr>
                      <wps:txbx>
                        <w:txbxContent>
                          <w:p w14:paraId="773A9E81" w14:textId="325847A9" w:rsidR="00E66427" w:rsidRPr="00E66427" w:rsidRDefault="00E66427" w:rsidP="00E66427">
                            <w:pPr>
                              <w:spacing w:before="40"/>
                              <w:rPr>
                                <w:rFonts w:cs="Arial"/>
                              </w:rPr>
                            </w:pPr>
                            <w:bookmarkStart w:id="225" w:name="_Hlk34309410"/>
                            <w:r w:rsidRPr="009A5185">
                              <w:rPr>
                                <w:rFonts w:cs="Arial"/>
                                <w:b/>
                              </w:rPr>
                              <w:t>Reporting Period:</w:t>
                            </w:r>
                            <w:r w:rsidRPr="009A5185">
                              <w:rPr>
                                <w:rFonts w:cs="Arial"/>
                              </w:rPr>
                              <w:t xml:space="preserve"> </w:t>
                            </w:r>
                            <w:bookmarkStart w:id="226" w:name="_Hlk34240732"/>
                            <w:r w:rsidRPr="009A5185">
                              <w:rPr>
                                <w:rFonts w:cs="Arial"/>
                              </w:rPr>
                              <w:t xml:space="preserve">Base your responses on the latest </w:t>
                            </w:r>
                            <w:r w:rsidRPr="0068149B">
                              <w:rPr>
                                <w:rFonts w:cs="Arial"/>
                                <w:b/>
                                <w:bCs/>
                              </w:rPr>
                              <w:t>36-</w:t>
                            </w:r>
                            <w:r w:rsidRPr="009A5185">
                              <w:rPr>
                                <w:rFonts w:cs="Arial"/>
                                <w:b/>
                              </w:rPr>
                              <w:t>month</w:t>
                            </w:r>
                            <w:r w:rsidRPr="009A5185">
                              <w:rPr>
                                <w:rFonts w:cs="Arial"/>
                              </w:rPr>
                              <w:t xml:space="preserve"> report received from the </w:t>
                            </w:r>
                            <w:hyperlink r:id="rId214" w:history="1">
                              <w:r w:rsidRPr="005D2B76">
                                <w:rPr>
                                  <w:rStyle w:val="Hyperlink"/>
                                  <w:rFonts w:cs="Arial"/>
                                  <w:snapToGrid w:val="0"/>
                                </w:rPr>
                                <w:t>Society of Thoracic Surgeons (STS)</w:t>
                              </w:r>
                            </w:hyperlink>
                            <w:r w:rsidRPr="009E7B22">
                              <w:rPr>
                                <w:rFonts w:cs="Arial"/>
                                <w:snapToGrid w:val="0"/>
                                <w:color w:val="000000"/>
                              </w:rPr>
                              <w:t xml:space="preserve"> </w:t>
                            </w:r>
                            <w:r>
                              <w:rPr>
                                <w:rFonts w:cs="Arial"/>
                                <w:snapToGrid w:val="0"/>
                                <w:color w:val="000000"/>
                              </w:rPr>
                              <w:t xml:space="preserve">Adult Cardiac Surgery Database (ACSD) </w:t>
                            </w:r>
                            <w:r w:rsidRPr="00674A75">
                              <w:rPr>
                                <w:rFonts w:cs="Arial"/>
                                <w:bCs/>
                              </w:rPr>
                              <w:t xml:space="preserve">for the </w:t>
                            </w:r>
                            <w:r w:rsidRPr="0068149B">
                              <w:rPr>
                                <w:rFonts w:cs="Arial"/>
                                <w:b/>
                              </w:rPr>
                              <w:t>Mitral Valve Repair/Replacement Composite Score</w:t>
                            </w:r>
                            <w:r>
                              <w:rPr>
                                <w:rFonts w:cs="Arial"/>
                                <w:bCs/>
                              </w:rPr>
                              <w:t>.</w:t>
                            </w:r>
                          </w:p>
                          <w:bookmarkEnd w:id="225"/>
                          <w:bookmarkEnd w:id="226"/>
                          <w:p w14:paraId="1EDFC076" w14:textId="77777777" w:rsidR="00E66427" w:rsidRDefault="00E66427" w:rsidP="00E66427">
                            <w:pPr>
                              <w:rPr>
                                <w:rFonts w:cs="Arial"/>
                              </w:rPr>
                            </w:pPr>
                          </w:p>
                          <w:p w14:paraId="7F7C5526" w14:textId="485CFCBA" w:rsidR="00E66427" w:rsidRDefault="00E66427" w:rsidP="00E66427">
                            <w:r w:rsidRPr="006547C0">
                              <w:rPr>
                                <w:rFonts w:cs="Arial"/>
                                <w:sz w:val="16"/>
                                <w:szCs w:val="16"/>
                              </w:rPr>
                              <w:t xml:space="preserve">Note: As a reminder, the </w:t>
                            </w:r>
                            <w:hyperlink r:id="rId215" w:history="1">
                              <w:r w:rsidRPr="006547C0">
                                <w:rPr>
                                  <w:rStyle w:val="Hyperlink"/>
                                  <w:rFonts w:cs="Arial"/>
                                  <w:sz w:val="16"/>
                                  <w:szCs w:val="16"/>
                                </w:rPr>
                                <w:t>Corrections Period</w:t>
                              </w:r>
                            </w:hyperlink>
                            <w:r w:rsidRPr="006547C0">
                              <w:rPr>
                                <w:rFonts w:cs="Arial"/>
                                <w:sz w:val="16"/>
                                <w:szCs w:val="16"/>
                              </w:rPr>
                              <w:t xml:space="preserve"> </w:t>
                            </w:r>
                            <w:r w:rsidRPr="00E65E68">
                              <w:rPr>
                                <w:rFonts w:cs="Arial"/>
                                <w:sz w:val="16"/>
                                <w:szCs w:val="16"/>
                              </w:rPr>
                              <w:t>(</w:t>
                            </w:r>
                            <w:r>
                              <w:rPr>
                                <w:rFonts w:cs="Arial"/>
                                <w:sz w:val="16"/>
                                <w:szCs w:val="16"/>
                              </w:rPr>
                              <w:t>December</w:t>
                            </w:r>
                            <w:r w:rsidRPr="00E65E68">
                              <w:rPr>
                                <w:rFonts w:cs="Arial"/>
                                <w:sz w:val="16"/>
                                <w:szCs w:val="16"/>
                              </w:rPr>
                              <w:t xml:space="preserve"> 1-January 31) is reserved for corrections to previously submitted Surveys only. </w:t>
                            </w:r>
                            <w:r w:rsidRPr="00E65E68">
                              <w:rPr>
                                <w:rFonts w:cs="Arial"/>
                                <w:bCs/>
                                <w:snapToGrid w:val="0"/>
                                <w:sz w:val="16"/>
                                <w:szCs w:val="16"/>
                              </w:rPr>
                              <w:t xml:space="preserve">Any updates made to reflect a change in performance must be made prior to the </w:t>
                            </w:r>
                            <w:r>
                              <w:rPr>
                                <w:rFonts w:cs="Arial"/>
                                <w:bCs/>
                                <w:snapToGrid w:val="0"/>
                                <w:sz w:val="16"/>
                                <w:szCs w:val="16"/>
                              </w:rPr>
                              <w:t>November 30</w:t>
                            </w:r>
                            <w:r w:rsidRPr="00E65E68">
                              <w:rPr>
                                <w:rFonts w:cs="Arial"/>
                                <w:bCs/>
                                <w:snapToGrid w:val="0"/>
                                <w:sz w:val="16"/>
                                <w:szCs w:val="16"/>
                              </w:rPr>
                              <w:t xml:space="preserve"> Late Submission </w:t>
                            </w:r>
                            <w:r w:rsidRPr="00AE38C7">
                              <w:rPr>
                                <w:rFonts w:cs="Arial"/>
                                <w:bCs/>
                                <w:snapToGrid w:val="0"/>
                                <w:sz w:val="16"/>
                                <w:szCs w:val="16"/>
                              </w:rPr>
                              <w:t>and Performance Update</w:t>
                            </w:r>
                            <w:r>
                              <w:rPr>
                                <w:rFonts w:cs="Arial"/>
                                <w:bCs/>
                                <w:snapToGrid w:val="0"/>
                                <w:sz w:val="16"/>
                                <w:szCs w:val="16"/>
                              </w:rPr>
                              <w:t xml:space="preserve"> </w:t>
                            </w:r>
                            <w:r w:rsidRPr="00E65E68">
                              <w:rPr>
                                <w:rFonts w:cs="Arial"/>
                                <w:bCs/>
                                <w:snapToGrid w:val="0"/>
                                <w:sz w:val="16"/>
                                <w:szCs w:val="16"/>
                              </w:rPr>
                              <w:t xml:space="preserve">Deadline. Updates made to reflect a change in performance after </w:t>
                            </w:r>
                            <w:r>
                              <w:rPr>
                                <w:rFonts w:cs="Arial"/>
                                <w:bCs/>
                                <w:snapToGrid w:val="0"/>
                                <w:sz w:val="16"/>
                                <w:szCs w:val="16"/>
                              </w:rPr>
                              <w:t>November 30</w:t>
                            </w:r>
                            <w:r w:rsidRPr="00E65E68">
                              <w:rPr>
                                <w:rFonts w:cs="Arial"/>
                                <w:bCs/>
                                <w:snapToGrid w:val="0"/>
                                <w:sz w:val="16"/>
                                <w:szCs w:val="16"/>
                              </w:rPr>
                              <w:t xml:space="preserve"> will not be scored or publicly reported.</w:t>
                            </w:r>
                          </w:p>
                        </w:txbxContent>
                      </wps:txbx>
                      <wps:bodyPr rot="0" vert="horz" wrap="square" lIns="91440" tIns="45720" rIns="91440" bIns="45720" anchor="t" anchorCtr="0">
                        <a:spAutoFit/>
                      </wps:bodyPr>
                    </wps:wsp>
                  </a:graphicData>
                </a:graphic>
              </wp:inline>
            </w:drawing>
          </mc:Choice>
          <mc:Fallback>
            <w:pict>
              <v:shape w14:anchorId="45A327C7" id="Text Box 27" o:spid="_x0000_s1038" type="#_x0000_t202" alt="P2928TB11#y1" style="width:472.7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" strokecolor="red">
                <v:textbox style="mso-fit-shape-to-text:t">
                  <w:txbxContent>
                    <w:p w14:paraId="773A9E81" w14:textId="325847A9" w:rsidR="00E66427" w:rsidRPr="00E66427" w:rsidRDefault="00E66427" w:rsidP="00E66427">
                      <w:pPr>
                        <w:spacing w:before="40"/>
                        <w:rPr>
                          <w:rFonts w:cs="Arial"/>
                        </w:rPr>
                      </w:pPr>
                      <w:bookmarkStart w:id="227" w:name="_Hlk34309410"/>
                      <w:r w:rsidRPr="009A5185">
                        <w:rPr>
                          <w:rFonts w:cs="Arial"/>
                          <w:b/>
                        </w:rPr>
                        <w:t>Reporting Period:</w:t>
                      </w:r>
                      <w:r w:rsidRPr="009A5185">
                        <w:rPr>
                          <w:rFonts w:cs="Arial"/>
                        </w:rPr>
                        <w:t xml:space="preserve"> </w:t>
                      </w:r>
                      <w:bookmarkStart w:id="228" w:name="_Hlk34240732"/>
                      <w:r w:rsidRPr="009A5185">
                        <w:rPr>
                          <w:rFonts w:cs="Arial"/>
                        </w:rPr>
                        <w:t xml:space="preserve">Base your responses on the latest </w:t>
                      </w:r>
                      <w:r w:rsidRPr="0068149B">
                        <w:rPr>
                          <w:rFonts w:cs="Arial"/>
                          <w:b/>
                          <w:bCs/>
                        </w:rPr>
                        <w:t>36-</w:t>
                      </w:r>
                      <w:r w:rsidRPr="009A5185">
                        <w:rPr>
                          <w:rFonts w:cs="Arial"/>
                          <w:b/>
                        </w:rPr>
                        <w:t>month</w:t>
                      </w:r>
                      <w:r w:rsidRPr="009A5185">
                        <w:rPr>
                          <w:rFonts w:cs="Arial"/>
                        </w:rPr>
                        <w:t xml:space="preserve"> report received from the </w:t>
                      </w:r>
                      <w:hyperlink r:id="rId216" w:history="1">
                        <w:r w:rsidRPr="005D2B76">
                          <w:rPr>
                            <w:rStyle w:val="Hyperlink"/>
                            <w:rFonts w:cs="Arial"/>
                            <w:snapToGrid w:val="0"/>
                          </w:rPr>
                          <w:t>Society of Thoracic Surgeons (STS)</w:t>
                        </w:r>
                      </w:hyperlink>
                      <w:r w:rsidRPr="009E7B22">
                        <w:rPr>
                          <w:rFonts w:cs="Arial"/>
                          <w:snapToGrid w:val="0"/>
                          <w:color w:val="000000"/>
                        </w:rPr>
                        <w:t xml:space="preserve"> </w:t>
                      </w:r>
                      <w:r>
                        <w:rPr>
                          <w:rFonts w:cs="Arial"/>
                          <w:snapToGrid w:val="0"/>
                          <w:color w:val="000000"/>
                        </w:rPr>
                        <w:t xml:space="preserve">Adult Cardiac Surgery Database (ACSD) </w:t>
                      </w:r>
                      <w:r w:rsidRPr="00674A75">
                        <w:rPr>
                          <w:rFonts w:cs="Arial"/>
                          <w:bCs/>
                        </w:rPr>
                        <w:t xml:space="preserve">for the </w:t>
                      </w:r>
                      <w:r w:rsidRPr="0068149B">
                        <w:rPr>
                          <w:rFonts w:cs="Arial"/>
                          <w:b/>
                        </w:rPr>
                        <w:t>Mitral Valve Repair/Replacement Composite Score</w:t>
                      </w:r>
                      <w:r>
                        <w:rPr>
                          <w:rFonts w:cs="Arial"/>
                          <w:bCs/>
                        </w:rPr>
                        <w:t>.</w:t>
                      </w:r>
                    </w:p>
                    <w:bookmarkEnd w:id="227"/>
                    <w:bookmarkEnd w:id="228"/>
                    <w:p w14:paraId="1EDFC076" w14:textId="77777777" w:rsidR="00E66427" w:rsidRDefault="00E66427" w:rsidP="00E66427">
                      <w:pPr>
                        <w:rPr>
                          <w:rFonts w:cs="Arial"/>
                        </w:rPr>
                      </w:pPr>
                    </w:p>
                    <w:p w14:paraId="7F7C5526" w14:textId="485CFCBA" w:rsidR="00E66427" w:rsidRDefault="00E66427" w:rsidP="00E66427">
                      <w:r w:rsidRPr="006547C0">
                        <w:rPr>
                          <w:rFonts w:cs="Arial"/>
                          <w:sz w:val="16"/>
                          <w:szCs w:val="16"/>
                        </w:rPr>
                        <w:t xml:space="preserve">Note: As a reminder, the </w:t>
                      </w:r>
                      <w:hyperlink r:id="rId217" w:history="1">
                        <w:r w:rsidRPr="006547C0">
                          <w:rPr>
                            <w:rStyle w:val="Hyperlink"/>
                            <w:rFonts w:cs="Arial"/>
                            <w:sz w:val="16"/>
                            <w:szCs w:val="16"/>
                          </w:rPr>
                          <w:t>Corrections Period</w:t>
                        </w:r>
                      </w:hyperlink>
                      <w:r w:rsidRPr="006547C0">
                        <w:rPr>
                          <w:rFonts w:cs="Arial"/>
                          <w:sz w:val="16"/>
                          <w:szCs w:val="16"/>
                        </w:rPr>
                        <w:t xml:space="preserve"> </w:t>
                      </w:r>
                      <w:r w:rsidRPr="00E65E68">
                        <w:rPr>
                          <w:rFonts w:cs="Arial"/>
                          <w:sz w:val="16"/>
                          <w:szCs w:val="16"/>
                        </w:rPr>
                        <w:t>(</w:t>
                      </w:r>
                      <w:r>
                        <w:rPr>
                          <w:rFonts w:cs="Arial"/>
                          <w:sz w:val="16"/>
                          <w:szCs w:val="16"/>
                        </w:rPr>
                        <w:t>December</w:t>
                      </w:r>
                      <w:r w:rsidRPr="00E65E68">
                        <w:rPr>
                          <w:rFonts w:cs="Arial"/>
                          <w:sz w:val="16"/>
                          <w:szCs w:val="16"/>
                        </w:rPr>
                        <w:t xml:space="preserve"> 1-January 31) is reserved for corrections to previously submitted Surveys only. </w:t>
                      </w:r>
                      <w:r w:rsidRPr="00E65E68">
                        <w:rPr>
                          <w:rFonts w:cs="Arial"/>
                          <w:bCs/>
                          <w:snapToGrid w:val="0"/>
                          <w:sz w:val="16"/>
                          <w:szCs w:val="16"/>
                        </w:rPr>
                        <w:t xml:space="preserve">Any updates made to reflect a change in performance must be made prior to the </w:t>
                      </w:r>
                      <w:r>
                        <w:rPr>
                          <w:rFonts w:cs="Arial"/>
                          <w:bCs/>
                          <w:snapToGrid w:val="0"/>
                          <w:sz w:val="16"/>
                          <w:szCs w:val="16"/>
                        </w:rPr>
                        <w:t>November 30</w:t>
                      </w:r>
                      <w:r w:rsidRPr="00E65E68">
                        <w:rPr>
                          <w:rFonts w:cs="Arial"/>
                          <w:bCs/>
                          <w:snapToGrid w:val="0"/>
                          <w:sz w:val="16"/>
                          <w:szCs w:val="16"/>
                        </w:rPr>
                        <w:t xml:space="preserve"> Late Submission </w:t>
                      </w:r>
                      <w:r w:rsidRPr="00AE38C7">
                        <w:rPr>
                          <w:rFonts w:cs="Arial"/>
                          <w:bCs/>
                          <w:snapToGrid w:val="0"/>
                          <w:sz w:val="16"/>
                          <w:szCs w:val="16"/>
                        </w:rPr>
                        <w:t>and Performance Update</w:t>
                      </w:r>
                      <w:r>
                        <w:rPr>
                          <w:rFonts w:cs="Arial"/>
                          <w:bCs/>
                          <w:snapToGrid w:val="0"/>
                          <w:sz w:val="16"/>
                          <w:szCs w:val="16"/>
                        </w:rPr>
                        <w:t xml:space="preserve"> </w:t>
                      </w:r>
                      <w:r w:rsidRPr="00E65E68">
                        <w:rPr>
                          <w:rFonts w:cs="Arial"/>
                          <w:bCs/>
                          <w:snapToGrid w:val="0"/>
                          <w:sz w:val="16"/>
                          <w:szCs w:val="16"/>
                        </w:rPr>
                        <w:t xml:space="preserve">Deadline. Updates made to reflect a change in performance after </w:t>
                      </w:r>
                      <w:r>
                        <w:rPr>
                          <w:rFonts w:cs="Arial"/>
                          <w:bCs/>
                          <w:snapToGrid w:val="0"/>
                          <w:sz w:val="16"/>
                          <w:szCs w:val="16"/>
                        </w:rPr>
                        <w:t>November 30</w:t>
                      </w:r>
                      <w:r w:rsidRPr="00E65E68">
                        <w:rPr>
                          <w:rFonts w:cs="Arial"/>
                          <w:bCs/>
                          <w:snapToGrid w:val="0"/>
                          <w:sz w:val="16"/>
                          <w:szCs w:val="16"/>
                        </w:rPr>
                        <w:t xml:space="preserve"> will not be scored or publicly reported.</w:t>
                      </w:r>
                    </w:p>
                  </w:txbxContent>
                </v:textbox>
                <w10:anchorlock/>
              </v:shape>
            </w:pict>
          </mc:Fallback>
        </mc:AlternateContent>
      </w:r>
    </w:p>
    <w:p w14:paraId="3EE2C630" w14:textId="77777777" w:rsidR="00E66427" w:rsidRDefault="00E66427" w:rsidP="009E7B22">
      <w:pPr>
        <w:rPr>
          <w:rFonts w:cs="Arial"/>
          <w:i/>
          <w:snapToGrid w:val="0"/>
          <w:color w:val="000000"/>
        </w:rPr>
      </w:pPr>
    </w:p>
    <w:tbl>
      <w:tblPr>
        <w:tblW w:w="5054"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21"/>
        <w:gridCol w:w="4230"/>
      </w:tblGrid>
      <w:tr w:rsidR="005D2B76" w:rsidRPr="008750DD" w14:paraId="66599041" w14:textId="77777777" w:rsidTr="00F90188">
        <w:trPr>
          <w:cantSplit/>
          <w:trHeight w:val="2304"/>
        </w:trPr>
        <w:tc>
          <w:tcPr>
            <w:tcW w:w="2762" w:type="pct"/>
            <w:tcBorders>
              <w:top w:val="single" w:sz="4" w:space="0" w:color="auto"/>
              <w:left w:val="single" w:sz="4" w:space="0" w:color="auto"/>
              <w:bottom w:val="single" w:sz="4" w:space="0" w:color="auto"/>
              <w:right w:val="single" w:sz="4" w:space="0" w:color="auto"/>
            </w:tcBorders>
            <w:vAlign w:val="center"/>
          </w:tcPr>
          <w:p w14:paraId="43547118" w14:textId="7F8212C5" w:rsidR="005D2B76" w:rsidRPr="009E7B22" w:rsidRDefault="005D2B76" w:rsidP="0062318E">
            <w:pPr>
              <w:numPr>
                <w:ilvl w:val="0"/>
                <w:numId w:val="2"/>
              </w:numPr>
              <w:spacing w:before="120"/>
              <w:rPr>
                <w:rFonts w:cs="Arial"/>
                <w:snapToGrid w:val="0"/>
                <w:color w:val="000000"/>
              </w:rPr>
            </w:pPr>
            <w:r>
              <w:rPr>
                <w:rFonts w:cs="Arial"/>
                <w:snapToGrid w:val="0"/>
                <w:color w:val="000000"/>
              </w:rPr>
              <w:t>D</w:t>
            </w:r>
            <w:r w:rsidRPr="005D2B76">
              <w:rPr>
                <w:rFonts w:cs="Arial"/>
                <w:snapToGrid w:val="0"/>
                <w:color w:val="000000"/>
              </w:rPr>
              <w:t xml:space="preserve">oes your hospital participate in the </w:t>
            </w:r>
            <w:hyperlink r:id="rId218" w:history="1">
              <w:r w:rsidRPr="005D2B76">
                <w:rPr>
                  <w:rStyle w:val="Hyperlink"/>
                  <w:rFonts w:cs="Arial"/>
                  <w:snapToGrid w:val="0"/>
                </w:rPr>
                <w:t>Society of Thoracic Surgeons (STS)</w:t>
              </w:r>
            </w:hyperlink>
            <w:r w:rsidRPr="009E7B22">
              <w:rPr>
                <w:rFonts w:cs="Arial"/>
                <w:snapToGrid w:val="0"/>
                <w:color w:val="000000"/>
              </w:rPr>
              <w:t xml:space="preserve"> </w:t>
            </w:r>
            <w:r>
              <w:rPr>
                <w:rFonts w:cs="Arial"/>
                <w:snapToGrid w:val="0"/>
                <w:color w:val="000000"/>
              </w:rPr>
              <w:t xml:space="preserve">Adult Cardiac Surgery Database (ACSD) </w:t>
            </w:r>
            <w:r w:rsidR="00C43D8A">
              <w:rPr>
                <w:rFonts w:cs="Arial"/>
                <w:snapToGrid w:val="0"/>
                <w:color w:val="000000"/>
              </w:rPr>
              <w:t xml:space="preserve">and </w:t>
            </w:r>
            <w:r w:rsidRPr="005D2B76">
              <w:rPr>
                <w:rFonts w:cs="Arial"/>
                <w:snapToGrid w:val="0"/>
                <w:color w:val="000000"/>
              </w:rPr>
              <w:t>submit data for all applicable procedures during the most recent 36-month period for which performance reports are available?</w:t>
            </w:r>
            <w:r w:rsidRPr="009E7B22">
              <w:rPr>
                <w:rFonts w:cs="Arial"/>
                <w:snapToGrid w:val="0"/>
                <w:color w:val="000000"/>
              </w:rPr>
              <w:br/>
            </w:r>
            <w:r w:rsidRPr="009E7B22">
              <w:rPr>
                <w:rFonts w:cs="Arial"/>
                <w:snapToGrid w:val="0"/>
                <w:color w:val="000000"/>
              </w:rPr>
              <w:br/>
            </w:r>
            <w:r w:rsidRPr="0022615A">
              <w:rPr>
                <w:rFonts w:cs="Arial"/>
                <w:i/>
                <w:snapToGrid w:val="0"/>
                <w:color w:val="000000"/>
              </w:rPr>
              <w:t>I</w:t>
            </w:r>
            <w:r w:rsidR="0022615A" w:rsidRPr="0022615A">
              <w:rPr>
                <w:rFonts w:cs="Arial"/>
                <w:i/>
                <w:snapToGrid w:val="0"/>
                <w:color w:val="000000"/>
              </w:rPr>
              <w:t>f “no” to question #</w:t>
            </w:r>
            <w:r w:rsidR="005C65C2">
              <w:rPr>
                <w:rFonts w:cs="Arial"/>
                <w:i/>
                <w:snapToGrid w:val="0"/>
                <w:color w:val="000000"/>
              </w:rPr>
              <w:t>6</w:t>
            </w:r>
            <w:r w:rsidR="0022615A" w:rsidRPr="0022615A">
              <w:rPr>
                <w:rFonts w:cs="Arial"/>
                <w:i/>
                <w:snapToGrid w:val="0"/>
                <w:color w:val="000000"/>
              </w:rPr>
              <w:t>, skip questions #</w:t>
            </w:r>
            <w:r w:rsidR="005C65C2">
              <w:rPr>
                <w:rFonts w:cs="Arial"/>
                <w:i/>
                <w:snapToGrid w:val="0"/>
                <w:color w:val="000000"/>
              </w:rPr>
              <w:t>7</w:t>
            </w:r>
            <w:r w:rsidR="008837D6">
              <w:rPr>
                <w:rFonts w:cs="Arial"/>
                <w:i/>
                <w:snapToGrid w:val="0"/>
                <w:color w:val="000000"/>
              </w:rPr>
              <w:t>-</w:t>
            </w:r>
            <w:r w:rsidR="005C65C2">
              <w:rPr>
                <w:rFonts w:cs="Arial"/>
                <w:i/>
                <w:snapToGrid w:val="0"/>
                <w:color w:val="000000"/>
              </w:rPr>
              <w:t>9</w:t>
            </w:r>
            <w:r w:rsidRPr="0022615A">
              <w:rPr>
                <w:rFonts w:cs="Arial"/>
                <w:i/>
                <w:snapToGrid w:val="0"/>
                <w:color w:val="000000"/>
              </w:rPr>
              <w:t xml:space="preserve"> and continue to</w:t>
            </w:r>
            <w:r w:rsidR="0022615A" w:rsidRPr="0022615A">
              <w:rPr>
                <w:rFonts w:cs="Arial"/>
                <w:i/>
                <w:snapToGrid w:val="0"/>
                <w:color w:val="000000"/>
              </w:rPr>
              <w:t xml:space="preserve"> </w:t>
            </w:r>
            <w:r w:rsidR="00F745EA">
              <w:rPr>
                <w:rFonts w:cs="Arial"/>
                <w:i/>
                <w:snapToGrid w:val="0"/>
                <w:color w:val="000000"/>
              </w:rPr>
              <w:t>question #1</w:t>
            </w:r>
            <w:r w:rsidR="005C65C2">
              <w:rPr>
                <w:rFonts w:cs="Arial"/>
                <w:i/>
                <w:snapToGrid w:val="0"/>
                <w:color w:val="000000"/>
              </w:rPr>
              <w:t>0</w:t>
            </w:r>
            <w:r w:rsidRPr="0022615A">
              <w:rPr>
                <w:rFonts w:cs="Arial"/>
                <w:i/>
                <w:snapToGrid w:val="0"/>
                <w:color w:val="000000"/>
              </w:rPr>
              <w:t>.</w:t>
            </w:r>
          </w:p>
        </w:tc>
        <w:tc>
          <w:tcPr>
            <w:tcW w:w="2238" w:type="pct"/>
            <w:tcBorders>
              <w:top w:val="single" w:sz="4" w:space="0" w:color="auto"/>
              <w:left w:val="single" w:sz="4" w:space="0" w:color="auto"/>
              <w:bottom w:val="single" w:sz="4" w:space="0" w:color="auto"/>
              <w:right w:val="single" w:sz="4" w:space="0" w:color="auto"/>
            </w:tcBorders>
            <w:vAlign w:val="center"/>
          </w:tcPr>
          <w:p w14:paraId="67B8DB0D" w14:textId="77777777" w:rsidR="00D22736" w:rsidRDefault="005D2B76" w:rsidP="00F90188">
            <w:pPr>
              <w:pStyle w:val="ListParagraph"/>
              <w:numPr>
                <w:ilvl w:val="0"/>
                <w:numId w:val="240"/>
              </w:numPr>
              <w:rPr>
                <w:rFonts w:cs="Arial"/>
                <w:iCs/>
                <w:snapToGrid w:val="0"/>
              </w:rPr>
            </w:pPr>
            <w:r w:rsidRPr="000F3D1F">
              <w:rPr>
                <w:rFonts w:cs="Arial"/>
                <w:iCs/>
                <w:snapToGrid w:val="0"/>
              </w:rPr>
              <w:t>Yes</w:t>
            </w:r>
          </w:p>
          <w:p w14:paraId="19838A33" w14:textId="7BD0398B" w:rsidR="005D2B76" w:rsidRPr="000F3D1F" w:rsidRDefault="005D2B76" w:rsidP="00F90188">
            <w:pPr>
              <w:pStyle w:val="ListParagraph"/>
              <w:numPr>
                <w:ilvl w:val="0"/>
                <w:numId w:val="240"/>
              </w:numPr>
              <w:rPr>
                <w:rFonts w:cs="Arial"/>
                <w:iCs/>
                <w:snapToGrid w:val="0"/>
              </w:rPr>
            </w:pPr>
            <w:r w:rsidRPr="000F3D1F">
              <w:rPr>
                <w:rFonts w:cs="Arial"/>
                <w:iCs/>
                <w:snapToGrid w:val="0"/>
              </w:rPr>
              <w:t>No</w:t>
            </w:r>
          </w:p>
        </w:tc>
      </w:tr>
      <w:tr w:rsidR="005D2B76" w:rsidRPr="008750DD" w14:paraId="001C4326" w14:textId="77777777" w:rsidTr="00F90188">
        <w:trPr>
          <w:cantSplit/>
          <w:trHeight w:val="864"/>
        </w:trPr>
        <w:tc>
          <w:tcPr>
            <w:tcW w:w="2762" w:type="pct"/>
            <w:tcBorders>
              <w:top w:val="single" w:sz="4" w:space="0" w:color="auto"/>
              <w:left w:val="single" w:sz="4" w:space="0" w:color="auto"/>
              <w:bottom w:val="single" w:sz="4" w:space="0" w:color="auto"/>
              <w:right w:val="single" w:sz="4" w:space="0" w:color="auto"/>
            </w:tcBorders>
            <w:vAlign w:val="center"/>
          </w:tcPr>
          <w:p w14:paraId="150003A1" w14:textId="73508C90" w:rsidR="005D2B76" w:rsidRPr="005E51DC" w:rsidRDefault="005D2B76" w:rsidP="0062318E">
            <w:pPr>
              <w:numPr>
                <w:ilvl w:val="0"/>
                <w:numId w:val="2"/>
              </w:numPr>
              <w:spacing w:before="120"/>
              <w:rPr>
                <w:rFonts w:cs="Arial"/>
                <w:snapToGrid w:val="0"/>
                <w:color w:val="000000"/>
              </w:rPr>
            </w:pPr>
            <w:r w:rsidRPr="005E51DC">
              <w:rPr>
                <w:rFonts w:cs="Arial"/>
                <w:snapToGrid w:val="0"/>
                <w:color w:val="000000"/>
              </w:rPr>
              <w:t>What is the most recent 36-month reporting period for which STS performance reports are available?</w:t>
            </w:r>
            <w:r w:rsidR="00B20811">
              <w:rPr>
                <w:rFonts w:cs="Arial"/>
                <w:snapToGrid w:val="0"/>
                <w:color w:val="000000"/>
              </w:rPr>
              <w:t xml:space="preserve"> Reporting period ending:</w:t>
            </w:r>
          </w:p>
        </w:tc>
        <w:tc>
          <w:tcPr>
            <w:tcW w:w="2238" w:type="pct"/>
            <w:tcBorders>
              <w:top w:val="single" w:sz="4" w:space="0" w:color="auto"/>
              <w:left w:val="single" w:sz="4" w:space="0" w:color="auto"/>
              <w:bottom w:val="single" w:sz="4" w:space="0" w:color="auto"/>
              <w:right w:val="single" w:sz="4" w:space="0" w:color="auto"/>
            </w:tcBorders>
            <w:vAlign w:val="center"/>
          </w:tcPr>
          <w:p w14:paraId="52657C20" w14:textId="77777777" w:rsidR="005D2B76" w:rsidRPr="00F80373" w:rsidRDefault="00B91D49" w:rsidP="00B91D49">
            <w:pPr>
              <w:jc w:val="center"/>
              <w:rPr>
                <w:rFonts w:cs="Arial"/>
                <w:i/>
                <w:snapToGrid w:val="0"/>
                <w:sz w:val="16"/>
                <w:szCs w:val="16"/>
                <w:u w:val="single"/>
              </w:rPr>
            </w:pPr>
            <w:r w:rsidRPr="00F80373">
              <w:rPr>
                <w:rFonts w:cs="Arial"/>
                <w:i/>
                <w:snapToGrid w:val="0"/>
                <w:sz w:val="16"/>
                <w:szCs w:val="16"/>
                <w:u w:val="single"/>
              </w:rPr>
              <w:t>_________</w:t>
            </w:r>
          </w:p>
          <w:p w14:paraId="38B12D1B" w14:textId="38EA1130" w:rsidR="00B91D49" w:rsidRPr="005E51DC" w:rsidRDefault="00B91D49" w:rsidP="00B91D49">
            <w:pPr>
              <w:jc w:val="center"/>
              <w:rPr>
                <w:rFonts w:cs="Arial"/>
                <w:i/>
                <w:snapToGrid w:val="0"/>
                <w:sz w:val="16"/>
                <w:szCs w:val="16"/>
              </w:rPr>
            </w:pPr>
            <w:r>
              <w:rPr>
                <w:rFonts w:cs="Arial"/>
                <w:i/>
                <w:snapToGrid w:val="0"/>
                <w:sz w:val="16"/>
                <w:szCs w:val="16"/>
              </w:rPr>
              <w:t>Format: Month/Year</w:t>
            </w:r>
          </w:p>
        </w:tc>
      </w:tr>
      <w:tr w:rsidR="005D2B76" w:rsidRPr="008750DD" w14:paraId="1D1EF615" w14:textId="77777777" w:rsidTr="00F90188">
        <w:trPr>
          <w:cantSplit/>
          <w:trHeight w:val="1872"/>
        </w:trPr>
        <w:tc>
          <w:tcPr>
            <w:tcW w:w="2762" w:type="pct"/>
            <w:tcBorders>
              <w:top w:val="single" w:sz="4" w:space="0" w:color="auto"/>
              <w:left w:val="single" w:sz="4" w:space="0" w:color="auto"/>
              <w:bottom w:val="single" w:sz="4" w:space="0" w:color="auto"/>
              <w:right w:val="single" w:sz="4" w:space="0" w:color="auto"/>
            </w:tcBorders>
            <w:vAlign w:val="center"/>
          </w:tcPr>
          <w:p w14:paraId="5748B037" w14:textId="596EFE92" w:rsidR="005D2B76" w:rsidRDefault="005D2B76" w:rsidP="0062318E">
            <w:pPr>
              <w:numPr>
                <w:ilvl w:val="0"/>
                <w:numId w:val="2"/>
              </w:numPr>
              <w:spacing w:before="120"/>
              <w:rPr>
                <w:rFonts w:cs="Arial"/>
                <w:snapToGrid w:val="0"/>
                <w:color w:val="000000"/>
              </w:rPr>
            </w:pPr>
            <w:r w:rsidRPr="005D2B76">
              <w:rPr>
                <w:rFonts w:cs="Arial"/>
                <w:snapToGrid w:val="0"/>
                <w:color w:val="000000"/>
              </w:rPr>
              <w:t xml:space="preserve">Does your hospital </w:t>
            </w:r>
            <w:r w:rsidR="00514602">
              <w:rPr>
                <w:rFonts w:cs="Arial"/>
                <w:snapToGrid w:val="0"/>
                <w:color w:val="000000"/>
              </w:rPr>
              <w:t xml:space="preserve">have a Mitral Valve Repair/Replacement Composite Score publicly reported on the STS website and do you </w:t>
            </w:r>
            <w:r w:rsidRPr="005D2B76">
              <w:rPr>
                <w:rFonts w:cs="Arial"/>
                <w:snapToGrid w:val="0"/>
                <w:color w:val="000000"/>
              </w:rPr>
              <w:t>choose to report data from the most recent performance report to this Survey?</w:t>
            </w:r>
            <w:r>
              <w:rPr>
                <w:rFonts w:cs="Arial"/>
                <w:snapToGrid w:val="0"/>
                <w:color w:val="000000"/>
              </w:rPr>
              <w:br/>
            </w:r>
            <w:r>
              <w:rPr>
                <w:rFonts w:cs="Arial"/>
                <w:snapToGrid w:val="0"/>
                <w:color w:val="000000"/>
              </w:rPr>
              <w:br/>
            </w:r>
            <w:r w:rsidRPr="0022615A">
              <w:rPr>
                <w:rFonts w:cs="Arial"/>
                <w:i/>
                <w:snapToGrid w:val="0"/>
                <w:color w:val="000000"/>
              </w:rPr>
              <w:t>If “no” or “yes, but did not meet the</w:t>
            </w:r>
            <w:r w:rsidR="00C46700">
              <w:rPr>
                <w:rFonts w:cs="Arial"/>
                <w:i/>
                <w:snapToGrid w:val="0"/>
                <w:color w:val="000000"/>
              </w:rPr>
              <w:t xml:space="preserve"> STS</w:t>
            </w:r>
            <w:r w:rsidRPr="0022615A">
              <w:rPr>
                <w:rFonts w:cs="Arial"/>
                <w:i/>
                <w:snapToGrid w:val="0"/>
                <w:color w:val="000000"/>
              </w:rPr>
              <w:t xml:space="preserve"> </w:t>
            </w:r>
            <w:hyperlink w:anchor="datacompletenessrequirement" w:history="1">
              <w:r w:rsidRPr="00114290">
                <w:rPr>
                  <w:rStyle w:val="Hyperlink"/>
                  <w:rFonts w:cs="Arial"/>
                  <w:i/>
                  <w:snapToGrid w:val="0"/>
                </w:rPr>
                <w:t>Data Completeness Requirement</w:t>
              </w:r>
              <w:r w:rsidR="000F0582">
                <w:rPr>
                  <w:rStyle w:val="Hyperlink"/>
                  <w:rFonts w:ascii="ZWAdobeF" w:hAnsi="ZWAdobeF" w:cs="ZWAdobeF"/>
                  <w:snapToGrid w:val="0"/>
                  <w:color w:val="auto"/>
                  <w:sz w:val="2"/>
                  <w:szCs w:val="2"/>
                  <w:u w:val="none"/>
                </w:rPr>
                <w:t>26F</w:t>
              </w:r>
              <w:r w:rsidR="00BF053F">
                <w:rPr>
                  <w:rStyle w:val="Hyperlink"/>
                  <w:rFonts w:ascii="ZWAdobeF" w:hAnsi="ZWAdobeF" w:cs="ZWAdobeF"/>
                  <w:snapToGrid w:val="0"/>
                  <w:color w:val="auto"/>
                  <w:sz w:val="2"/>
                  <w:szCs w:val="2"/>
                  <w:u w:val="none"/>
                </w:rPr>
                <w:t>28F</w:t>
              </w:r>
              <w:r w:rsidR="004C7557">
                <w:rPr>
                  <w:rStyle w:val="Hyperlink"/>
                  <w:rFonts w:ascii="ZWAdobeF" w:hAnsi="ZWAdobeF" w:cs="ZWAdobeF"/>
                  <w:snapToGrid w:val="0"/>
                  <w:color w:val="auto"/>
                  <w:sz w:val="2"/>
                  <w:szCs w:val="2"/>
                  <w:u w:val="none"/>
                </w:rPr>
                <w:t>28F</w:t>
              </w:r>
              <w:r w:rsidR="00C2087D">
                <w:rPr>
                  <w:rStyle w:val="Hyperlink"/>
                  <w:rFonts w:ascii="ZWAdobeF" w:hAnsi="ZWAdobeF" w:cs="ZWAdobeF"/>
                  <w:snapToGrid w:val="0"/>
                  <w:color w:val="auto"/>
                  <w:sz w:val="2"/>
                  <w:szCs w:val="2"/>
                  <w:u w:val="none"/>
                </w:rPr>
                <w:t>28F</w:t>
              </w:r>
              <w:r w:rsidR="00B55C41">
                <w:rPr>
                  <w:rStyle w:val="Hyperlink"/>
                  <w:rFonts w:ascii="ZWAdobeF" w:hAnsi="ZWAdobeF" w:cs="ZWAdobeF"/>
                  <w:snapToGrid w:val="0"/>
                  <w:color w:val="auto"/>
                  <w:sz w:val="2"/>
                  <w:szCs w:val="2"/>
                  <w:u w:val="none"/>
                </w:rPr>
                <w:t>28F</w:t>
              </w:r>
              <w:r w:rsidR="006255A6">
                <w:rPr>
                  <w:rStyle w:val="Hyperlink"/>
                  <w:rFonts w:ascii="ZWAdobeF" w:hAnsi="ZWAdobeF" w:cs="ZWAdobeF"/>
                  <w:snapToGrid w:val="0"/>
                  <w:color w:val="auto"/>
                  <w:sz w:val="2"/>
                  <w:szCs w:val="2"/>
                  <w:u w:val="none"/>
                </w:rPr>
                <w:t>28F</w:t>
              </w:r>
              <w:r w:rsidR="00E453C7">
                <w:rPr>
                  <w:rStyle w:val="Hyperlink"/>
                  <w:rFonts w:ascii="ZWAdobeF" w:hAnsi="ZWAdobeF" w:cs="ZWAdobeF"/>
                  <w:snapToGrid w:val="0"/>
                  <w:color w:val="auto"/>
                  <w:sz w:val="2"/>
                  <w:szCs w:val="2"/>
                  <w:u w:val="none"/>
                </w:rPr>
                <w:t>28F</w:t>
              </w:r>
              <w:r w:rsidR="00953060">
                <w:rPr>
                  <w:rStyle w:val="Hyperlink"/>
                  <w:rFonts w:ascii="ZWAdobeF" w:hAnsi="ZWAdobeF" w:cs="ZWAdobeF"/>
                  <w:snapToGrid w:val="0"/>
                  <w:color w:val="auto"/>
                  <w:sz w:val="2"/>
                  <w:szCs w:val="2"/>
                  <w:u w:val="none"/>
                </w:rPr>
                <w:t>28F</w:t>
              </w:r>
              <w:r w:rsidR="00DD04D6">
                <w:rPr>
                  <w:rStyle w:val="Hyperlink"/>
                  <w:rFonts w:ascii="ZWAdobeF" w:hAnsi="ZWAdobeF" w:cs="ZWAdobeF"/>
                  <w:snapToGrid w:val="0"/>
                  <w:color w:val="auto"/>
                  <w:sz w:val="2"/>
                  <w:szCs w:val="2"/>
                  <w:u w:val="none"/>
                </w:rPr>
                <w:t>28F</w:t>
              </w:r>
              <w:r w:rsidR="00DC3693" w:rsidRPr="00785581">
                <w:rPr>
                  <w:rStyle w:val="Hyperlink"/>
                  <w:iCs/>
                  <w:snapToGrid w:val="0"/>
                  <w:color w:val="auto"/>
                  <w:u w:val="none"/>
                  <w:vertAlign w:val="superscript"/>
                </w:rPr>
                <w:endnoteReference w:id="30"/>
              </w:r>
            </w:hyperlink>
            <w:r w:rsidRPr="0022615A">
              <w:rPr>
                <w:rFonts w:cs="Arial"/>
                <w:i/>
                <w:snapToGrid w:val="0"/>
                <w:color w:val="000000"/>
              </w:rPr>
              <w:t>during the reporting period,” skip question #</w:t>
            </w:r>
            <w:r w:rsidR="005C65C2">
              <w:rPr>
                <w:rFonts w:cs="Arial"/>
                <w:i/>
                <w:snapToGrid w:val="0"/>
                <w:color w:val="000000"/>
              </w:rPr>
              <w:t>9</w:t>
            </w:r>
            <w:r w:rsidR="0022615A">
              <w:rPr>
                <w:rFonts w:cs="Arial"/>
                <w:i/>
                <w:snapToGrid w:val="0"/>
                <w:color w:val="000000"/>
              </w:rPr>
              <w:t xml:space="preserve"> and continue to </w:t>
            </w:r>
            <w:r w:rsidR="00AF4066">
              <w:rPr>
                <w:rFonts w:cs="Arial"/>
                <w:i/>
                <w:snapToGrid w:val="0"/>
                <w:color w:val="000000"/>
              </w:rPr>
              <w:t>question #1</w:t>
            </w:r>
            <w:r w:rsidR="005C65C2">
              <w:rPr>
                <w:rFonts w:cs="Arial"/>
                <w:i/>
                <w:snapToGrid w:val="0"/>
                <w:color w:val="000000"/>
              </w:rPr>
              <w:t>0</w:t>
            </w:r>
            <w:r w:rsidRPr="0022615A">
              <w:rPr>
                <w:rFonts w:cs="Arial"/>
                <w:i/>
                <w:snapToGrid w:val="0"/>
                <w:color w:val="000000"/>
              </w:rPr>
              <w:t>.</w:t>
            </w:r>
          </w:p>
        </w:tc>
        <w:tc>
          <w:tcPr>
            <w:tcW w:w="2238" w:type="pct"/>
            <w:tcBorders>
              <w:top w:val="single" w:sz="4" w:space="0" w:color="auto"/>
              <w:left w:val="single" w:sz="4" w:space="0" w:color="auto"/>
              <w:bottom w:val="single" w:sz="4" w:space="0" w:color="auto"/>
              <w:right w:val="single" w:sz="4" w:space="0" w:color="auto"/>
            </w:tcBorders>
            <w:vAlign w:val="center"/>
          </w:tcPr>
          <w:p w14:paraId="1A9D1CA7" w14:textId="77777777" w:rsidR="005D2B76" w:rsidRPr="000F3D1F" w:rsidRDefault="005D2B76" w:rsidP="00AD309C">
            <w:pPr>
              <w:pStyle w:val="ListParagraph"/>
              <w:numPr>
                <w:ilvl w:val="0"/>
                <w:numId w:val="240"/>
              </w:numPr>
              <w:rPr>
                <w:rFonts w:cs="Arial"/>
                <w:iCs/>
                <w:snapToGrid w:val="0"/>
              </w:rPr>
            </w:pPr>
            <w:r w:rsidRPr="000F3D1F">
              <w:rPr>
                <w:rFonts w:cs="Arial"/>
                <w:iCs/>
                <w:snapToGrid w:val="0"/>
              </w:rPr>
              <w:t>Yes</w:t>
            </w:r>
          </w:p>
          <w:p w14:paraId="1860FF66" w14:textId="77777777" w:rsidR="005D2B76" w:rsidRPr="000F3D1F" w:rsidRDefault="005D2B76" w:rsidP="00AD309C">
            <w:pPr>
              <w:pStyle w:val="ListParagraph"/>
              <w:numPr>
                <w:ilvl w:val="0"/>
                <w:numId w:val="240"/>
              </w:numPr>
              <w:rPr>
                <w:rFonts w:cs="Arial"/>
                <w:iCs/>
                <w:snapToGrid w:val="0"/>
              </w:rPr>
            </w:pPr>
            <w:r w:rsidRPr="000F3D1F">
              <w:rPr>
                <w:rFonts w:cs="Arial"/>
                <w:iCs/>
                <w:snapToGrid w:val="0"/>
              </w:rPr>
              <w:t>No</w:t>
            </w:r>
          </w:p>
          <w:p w14:paraId="5C329F87" w14:textId="6CE6E15B" w:rsidR="005D2B76" w:rsidRPr="000F3D1F" w:rsidRDefault="00B20811" w:rsidP="00AD309C">
            <w:pPr>
              <w:pStyle w:val="ListParagraph"/>
              <w:numPr>
                <w:ilvl w:val="0"/>
                <w:numId w:val="240"/>
              </w:numPr>
              <w:rPr>
                <w:rFonts w:cs="Arial"/>
                <w:iCs/>
                <w:snapToGrid w:val="0"/>
              </w:rPr>
            </w:pPr>
            <w:r w:rsidRPr="000F3D1F">
              <w:rPr>
                <w:rFonts w:cs="Arial"/>
                <w:iCs/>
                <w:snapToGrid w:val="0"/>
              </w:rPr>
              <w:t xml:space="preserve">Yes, but did not meet the </w:t>
            </w:r>
            <w:r w:rsidR="00237325" w:rsidRPr="000F3D1F">
              <w:rPr>
                <w:rFonts w:cs="Arial"/>
                <w:iCs/>
                <w:snapToGrid w:val="0"/>
              </w:rPr>
              <w:t xml:space="preserve">STS </w:t>
            </w:r>
            <w:r w:rsidRPr="000F3D1F">
              <w:rPr>
                <w:rFonts w:cs="Arial"/>
                <w:iCs/>
                <w:snapToGrid w:val="0"/>
              </w:rPr>
              <w:t xml:space="preserve">Data Completeness Requirement during the reporting period </w:t>
            </w:r>
          </w:p>
        </w:tc>
      </w:tr>
      <w:tr w:rsidR="00DA53DD" w:rsidRPr="008750DD" w14:paraId="0CE49943" w14:textId="77777777" w:rsidTr="00F90188">
        <w:trPr>
          <w:cantSplit/>
          <w:trHeight w:val="864"/>
        </w:trPr>
        <w:tc>
          <w:tcPr>
            <w:tcW w:w="2762" w:type="pct"/>
            <w:tcBorders>
              <w:bottom w:val="single" w:sz="4" w:space="0" w:color="auto"/>
            </w:tcBorders>
            <w:vAlign w:val="center"/>
          </w:tcPr>
          <w:p w14:paraId="01F6E7E4" w14:textId="3C6919AC" w:rsidR="00DA53DD" w:rsidRPr="003605AA" w:rsidRDefault="00DA53DD" w:rsidP="0062318E">
            <w:pPr>
              <w:pStyle w:val="ListParagraph"/>
              <w:numPr>
                <w:ilvl w:val="0"/>
                <w:numId w:val="2"/>
              </w:numPr>
              <w:rPr>
                <w:rFonts w:cs="Arial"/>
                <w:i/>
                <w:snapToGrid w:val="0"/>
              </w:rPr>
            </w:pPr>
            <w:r>
              <w:rPr>
                <w:rFonts w:cs="Arial"/>
                <w:snapToGrid w:val="0"/>
                <w:color w:val="000000"/>
              </w:rPr>
              <w:t xml:space="preserve">What is your hospital’s Mitral Valve Repair/Replacement Composite Score? </w:t>
            </w:r>
          </w:p>
        </w:tc>
        <w:tc>
          <w:tcPr>
            <w:tcW w:w="2238" w:type="pct"/>
            <w:vAlign w:val="center"/>
          </w:tcPr>
          <w:p w14:paraId="0AA251DF" w14:textId="77777777" w:rsidR="00DA53DD" w:rsidRPr="000F3D1F" w:rsidRDefault="00DA53DD" w:rsidP="00AD309C">
            <w:pPr>
              <w:pStyle w:val="ListParagraph"/>
              <w:numPr>
                <w:ilvl w:val="0"/>
                <w:numId w:val="240"/>
              </w:numPr>
              <w:rPr>
                <w:rFonts w:cs="Arial"/>
                <w:iCs/>
                <w:snapToGrid w:val="0"/>
              </w:rPr>
            </w:pPr>
            <w:r w:rsidRPr="000F3D1F">
              <w:rPr>
                <w:rFonts w:cs="Arial"/>
                <w:iCs/>
                <w:snapToGrid w:val="0"/>
              </w:rPr>
              <w:t>1 star – lower-than-expected performance</w:t>
            </w:r>
          </w:p>
          <w:p w14:paraId="102B8B7E" w14:textId="77777777" w:rsidR="00DA53DD" w:rsidRPr="000F3D1F" w:rsidRDefault="00DA53DD" w:rsidP="00AD309C">
            <w:pPr>
              <w:pStyle w:val="ListParagraph"/>
              <w:numPr>
                <w:ilvl w:val="0"/>
                <w:numId w:val="240"/>
              </w:numPr>
              <w:rPr>
                <w:rFonts w:cs="Arial"/>
                <w:iCs/>
                <w:snapToGrid w:val="0"/>
              </w:rPr>
            </w:pPr>
            <w:r w:rsidRPr="000F3D1F">
              <w:rPr>
                <w:rFonts w:cs="Arial"/>
                <w:iCs/>
                <w:snapToGrid w:val="0"/>
              </w:rPr>
              <w:t>2 stars – as-expected performance</w:t>
            </w:r>
          </w:p>
          <w:p w14:paraId="47D336A8" w14:textId="71930C14" w:rsidR="00DA53DD" w:rsidRPr="000F3D1F" w:rsidRDefault="00DA53DD" w:rsidP="00AD309C">
            <w:pPr>
              <w:pStyle w:val="ListParagraph"/>
              <w:numPr>
                <w:ilvl w:val="0"/>
                <w:numId w:val="240"/>
              </w:numPr>
              <w:rPr>
                <w:rFonts w:cs="Arial"/>
                <w:iCs/>
                <w:snapToGrid w:val="0"/>
              </w:rPr>
            </w:pPr>
            <w:r w:rsidRPr="000F3D1F">
              <w:rPr>
                <w:rFonts w:cs="Arial"/>
                <w:iCs/>
                <w:snapToGrid w:val="0"/>
              </w:rPr>
              <w:t>3 stars – higher-than-expected performance</w:t>
            </w:r>
          </w:p>
        </w:tc>
      </w:tr>
    </w:tbl>
    <w:p w14:paraId="7D3D92B6" w14:textId="77777777" w:rsidR="001A32DA" w:rsidRDefault="001A32DA" w:rsidP="000A3B4F">
      <w:pPr>
        <w:rPr>
          <w:rFonts w:cs="Arial"/>
          <w:snapToGrid w:val="0"/>
          <w:color w:val="000000"/>
        </w:rPr>
      </w:pPr>
    </w:p>
    <w:p w14:paraId="51D73FB2" w14:textId="4D6DF8FA" w:rsidR="001A32DA" w:rsidRDefault="00B20811" w:rsidP="000A3B4F">
      <w:pPr>
        <w:rPr>
          <w:rFonts w:cs="Arial"/>
          <w:snapToGrid w:val="0"/>
          <w:color w:val="000000"/>
        </w:rPr>
      </w:pPr>
      <w:r w:rsidRPr="004F5E10">
        <w:rPr>
          <w:rFonts w:cs="Arial"/>
          <w:i/>
          <w:snapToGrid w:val="0"/>
          <w:color w:val="000000"/>
        </w:rPr>
        <w:lastRenderedPageBreak/>
        <w:t xml:space="preserve">If your hospital performs </w:t>
      </w:r>
      <w:r>
        <w:rPr>
          <w:rFonts w:cs="Arial"/>
          <w:i/>
          <w:snapToGrid w:val="0"/>
          <w:color w:val="000000"/>
        </w:rPr>
        <w:t>the Norwood procedure</w:t>
      </w:r>
      <w:r w:rsidRPr="004F5E10">
        <w:rPr>
          <w:rFonts w:cs="Arial"/>
          <w:i/>
          <w:snapToGrid w:val="0"/>
          <w:color w:val="000000"/>
        </w:rPr>
        <w:t xml:space="preserve"> (selected the checkbox in question #2), continue to question #</w:t>
      </w:r>
      <w:r w:rsidR="001A32DA">
        <w:rPr>
          <w:rFonts w:cs="Arial"/>
          <w:i/>
          <w:snapToGrid w:val="0"/>
          <w:color w:val="000000"/>
        </w:rPr>
        <w:t>1</w:t>
      </w:r>
      <w:r w:rsidR="005C65C2">
        <w:rPr>
          <w:rFonts w:cs="Arial"/>
          <w:i/>
          <w:snapToGrid w:val="0"/>
          <w:color w:val="000000"/>
        </w:rPr>
        <w:t>0</w:t>
      </w:r>
      <w:r w:rsidRPr="004F5E10">
        <w:rPr>
          <w:rFonts w:cs="Arial"/>
          <w:i/>
          <w:snapToGrid w:val="0"/>
          <w:color w:val="000000"/>
        </w:rPr>
        <w:t>. Otherwise, skip questions #</w:t>
      </w:r>
      <w:r w:rsidR="001A32DA">
        <w:rPr>
          <w:rFonts w:cs="Arial"/>
          <w:i/>
          <w:snapToGrid w:val="0"/>
          <w:color w:val="000000"/>
        </w:rPr>
        <w:t>1</w:t>
      </w:r>
      <w:r w:rsidR="005C65C2">
        <w:rPr>
          <w:rFonts w:cs="Arial"/>
          <w:i/>
          <w:snapToGrid w:val="0"/>
          <w:color w:val="000000"/>
        </w:rPr>
        <w:t>0</w:t>
      </w:r>
      <w:r w:rsidR="008837D6">
        <w:rPr>
          <w:rFonts w:cs="Arial"/>
          <w:i/>
          <w:snapToGrid w:val="0"/>
          <w:color w:val="000000"/>
        </w:rPr>
        <w:t>-1</w:t>
      </w:r>
      <w:r w:rsidR="005C65C2">
        <w:rPr>
          <w:rFonts w:cs="Arial"/>
          <w:i/>
          <w:snapToGrid w:val="0"/>
          <w:color w:val="000000"/>
        </w:rPr>
        <w:t>1</w:t>
      </w:r>
      <w:r w:rsidRPr="004F5E10">
        <w:rPr>
          <w:rFonts w:cs="Arial"/>
          <w:i/>
          <w:snapToGrid w:val="0"/>
          <w:color w:val="000000"/>
        </w:rPr>
        <w:t xml:space="preserve"> and continue to the next subsection.</w:t>
      </w:r>
    </w:p>
    <w:p w14:paraId="4CF4330D" w14:textId="77777777" w:rsidR="00B20811" w:rsidRDefault="00B20811" w:rsidP="000A3B4F">
      <w:pPr>
        <w:rPr>
          <w:rFonts w:cs="Arial"/>
          <w:snapToGrid w:val="0"/>
          <w:color w:val="000000"/>
        </w:rPr>
      </w:pPr>
    </w:p>
    <w:tbl>
      <w:tblPr>
        <w:tblW w:w="5102" w:type="pct"/>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97"/>
        <w:gridCol w:w="4244"/>
      </w:tblGrid>
      <w:tr w:rsidR="00B20811" w:rsidRPr="004F5E10" w14:paraId="79F9E017" w14:textId="77777777" w:rsidTr="007A1E6D">
        <w:trPr>
          <w:cantSplit/>
          <w:trHeight w:val="2304"/>
        </w:trPr>
        <w:tc>
          <w:tcPr>
            <w:tcW w:w="2776" w:type="pct"/>
            <w:tcBorders>
              <w:top w:val="single" w:sz="4" w:space="0" w:color="auto"/>
              <w:left w:val="single" w:sz="4" w:space="0" w:color="auto"/>
              <w:bottom w:val="single" w:sz="4" w:space="0" w:color="auto"/>
              <w:right w:val="single" w:sz="4" w:space="0" w:color="auto"/>
            </w:tcBorders>
            <w:vAlign w:val="center"/>
          </w:tcPr>
          <w:p w14:paraId="0DB61BD6" w14:textId="0A027A86" w:rsidR="00B20811" w:rsidRPr="004F5E10" w:rsidRDefault="00B20811" w:rsidP="00322A3C">
            <w:pPr>
              <w:numPr>
                <w:ilvl w:val="0"/>
                <w:numId w:val="2"/>
              </w:numPr>
              <w:spacing w:before="120"/>
              <w:rPr>
                <w:rFonts w:cs="Arial"/>
                <w:snapToGrid w:val="0"/>
                <w:color w:val="000000"/>
              </w:rPr>
            </w:pPr>
            <w:r w:rsidRPr="004F5E10">
              <w:rPr>
                <w:rFonts w:cs="Arial"/>
                <w:snapToGrid w:val="0"/>
                <w:color w:val="000000"/>
              </w:rPr>
              <w:t xml:space="preserve">Does your hospital participate in the </w:t>
            </w:r>
            <w:hyperlink r:id="rId219" w:history="1">
              <w:r w:rsidRPr="004F5E10">
                <w:rPr>
                  <w:rFonts w:cs="Arial"/>
                  <w:snapToGrid w:val="0"/>
                  <w:color w:val="0000FF"/>
                  <w:u w:val="single"/>
                </w:rPr>
                <w:t>Society of Thoracic Surgeons (STS)</w:t>
              </w:r>
            </w:hyperlink>
            <w:r w:rsidRPr="004F5E10">
              <w:rPr>
                <w:rFonts w:cs="Arial"/>
                <w:snapToGrid w:val="0"/>
                <w:color w:val="000000"/>
              </w:rPr>
              <w:t xml:space="preserve"> </w:t>
            </w:r>
            <w:r w:rsidRPr="009D5C89">
              <w:rPr>
                <w:rFonts w:cs="Arial"/>
                <w:snapToGrid w:val="0"/>
                <w:color w:val="000000"/>
              </w:rPr>
              <w:t>Congenital Heart Surgery Database (CHSD)</w:t>
            </w:r>
            <w:r>
              <w:rPr>
                <w:rFonts w:cs="Arial"/>
                <w:snapToGrid w:val="0"/>
                <w:color w:val="000000"/>
              </w:rPr>
              <w:t xml:space="preserve"> </w:t>
            </w:r>
            <w:r w:rsidRPr="004F5E10">
              <w:rPr>
                <w:rFonts w:cs="Arial"/>
                <w:snapToGrid w:val="0"/>
                <w:color w:val="000000"/>
              </w:rPr>
              <w:t xml:space="preserve">and did your hospital submit data for </w:t>
            </w:r>
            <w:r w:rsidR="003D737B">
              <w:rPr>
                <w:rFonts w:cs="Arial"/>
                <w:snapToGrid w:val="0"/>
                <w:color w:val="000000"/>
              </w:rPr>
              <w:t>the Norwood procedure</w:t>
            </w:r>
            <w:r w:rsidRPr="004F5E10">
              <w:rPr>
                <w:rFonts w:cs="Arial"/>
                <w:snapToGrid w:val="0"/>
                <w:color w:val="000000"/>
              </w:rPr>
              <w:t xml:space="preserve"> during the most recent </w:t>
            </w:r>
            <w:r>
              <w:rPr>
                <w:rFonts w:cs="Arial"/>
                <w:snapToGrid w:val="0"/>
                <w:color w:val="000000"/>
              </w:rPr>
              <w:t>48</w:t>
            </w:r>
            <w:r w:rsidRPr="004F5E10">
              <w:rPr>
                <w:rFonts w:cs="Arial"/>
                <w:snapToGrid w:val="0"/>
                <w:color w:val="000000"/>
              </w:rPr>
              <w:t>-month period for which performance reports are available?</w:t>
            </w:r>
            <w:r w:rsidRPr="004F5E10">
              <w:rPr>
                <w:rFonts w:cs="Arial"/>
                <w:snapToGrid w:val="0"/>
                <w:color w:val="000000"/>
              </w:rPr>
              <w:br/>
            </w:r>
            <w:r w:rsidRPr="004F5E10">
              <w:rPr>
                <w:rFonts w:cs="Arial"/>
                <w:snapToGrid w:val="0"/>
                <w:color w:val="000000"/>
              </w:rPr>
              <w:br/>
            </w:r>
            <w:r w:rsidRPr="004F5E10">
              <w:rPr>
                <w:rFonts w:cs="Arial"/>
                <w:i/>
                <w:snapToGrid w:val="0"/>
                <w:color w:val="000000"/>
              </w:rPr>
              <w:t>If “no” to question #</w:t>
            </w:r>
            <w:r w:rsidR="005E7D37">
              <w:rPr>
                <w:rFonts w:cs="Arial"/>
                <w:i/>
                <w:snapToGrid w:val="0"/>
                <w:color w:val="000000"/>
              </w:rPr>
              <w:t>1</w:t>
            </w:r>
            <w:r w:rsidR="00FA2739">
              <w:rPr>
                <w:rFonts w:cs="Arial"/>
                <w:i/>
                <w:snapToGrid w:val="0"/>
                <w:color w:val="000000"/>
              </w:rPr>
              <w:t>0</w:t>
            </w:r>
            <w:r w:rsidRPr="004F5E10">
              <w:rPr>
                <w:rFonts w:cs="Arial"/>
                <w:i/>
                <w:snapToGrid w:val="0"/>
                <w:color w:val="000000"/>
              </w:rPr>
              <w:t>, skip question</w:t>
            </w:r>
            <w:r w:rsidR="00F01904">
              <w:rPr>
                <w:rFonts w:cs="Arial"/>
                <w:i/>
                <w:snapToGrid w:val="0"/>
                <w:color w:val="000000"/>
              </w:rPr>
              <w:t xml:space="preserve"> #1</w:t>
            </w:r>
            <w:r w:rsidR="00FA2739">
              <w:rPr>
                <w:rFonts w:cs="Arial"/>
                <w:i/>
                <w:snapToGrid w:val="0"/>
                <w:color w:val="000000"/>
              </w:rPr>
              <w:t>1</w:t>
            </w:r>
            <w:r w:rsidR="00F01904">
              <w:rPr>
                <w:rFonts w:cs="Arial"/>
                <w:i/>
                <w:snapToGrid w:val="0"/>
                <w:color w:val="000000"/>
              </w:rPr>
              <w:t xml:space="preserve"> </w:t>
            </w:r>
            <w:r w:rsidRPr="004F5E10">
              <w:rPr>
                <w:rFonts w:cs="Arial"/>
                <w:i/>
                <w:snapToGrid w:val="0"/>
                <w:color w:val="000000"/>
              </w:rPr>
              <w:t>and continue to the next subsection.</w:t>
            </w:r>
          </w:p>
        </w:tc>
        <w:tc>
          <w:tcPr>
            <w:tcW w:w="2224" w:type="pct"/>
            <w:tcBorders>
              <w:top w:val="single" w:sz="4" w:space="0" w:color="auto"/>
              <w:left w:val="single" w:sz="4" w:space="0" w:color="auto"/>
              <w:bottom w:val="single" w:sz="4" w:space="0" w:color="auto"/>
              <w:right w:val="single" w:sz="4" w:space="0" w:color="auto"/>
            </w:tcBorders>
            <w:vAlign w:val="center"/>
          </w:tcPr>
          <w:p w14:paraId="251AC462" w14:textId="77777777" w:rsidR="00D22736" w:rsidRDefault="00B20811" w:rsidP="00AD309C">
            <w:pPr>
              <w:pStyle w:val="ListParagraph"/>
              <w:numPr>
                <w:ilvl w:val="0"/>
                <w:numId w:val="241"/>
              </w:numPr>
              <w:rPr>
                <w:rFonts w:cs="Arial"/>
                <w:iCs/>
                <w:snapToGrid w:val="0"/>
              </w:rPr>
            </w:pPr>
            <w:r w:rsidRPr="000F3D1F">
              <w:rPr>
                <w:rFonts w:cs="Arial"/>
                <w:iCs/>
                <w:snapToGrid w:val="0"/>
              </w:rPr>
              <w:t>Yes</w:t>
            </w:r>
          </w:p>
          <w:p w14:paraId="1E5690B3" w14:textId="0A1CB581" w:rsidR="00B20811" w:rsidRPr="000F3D1F" w:rsidRDefault="00B20811" w:rsidP="00AD309C">
            <w:pPr>
              <w:pStyle w:val="ListParagraph"/>
              <w:numPr>
                <w:ilvl w:val="0"/>
                <w:numId w:val="241"/>
              </w:numPr>
              <w:rPr>
                <w:rFonts w:cs="Arial"/>
                <w:iCs/>
                <w:snapToGrid w:val="0"/>
              </w:rPr>
            </w:pPr>
            <w:r w:rsidRPr="000F3D1F">
              <w:rPr>
                <w:rFonts w:cs="Arial"/>
                <w:iCs/>
                <w:snapToGrid w:val="0"/>
              </w:rPr>
              <w:t>No</w:t>
            </w:r>
          </w:p>
        </w:tc>
      </w:tr>
      <w:tr w:rsidR="00B20811" w:rsidRPr="004F5E10" w14:paraId="269989CA" w14:textId="77777777" w:rsidTr="007A1E6D">
        <w:trPr>
          <w:cantSplit/>
          <w:trHeight w:val="1008"/>
        </w:trPr>
        <w:tc>
          <w:tcPr>
            <w:tcW w:w="2776" w:type="pct"/>
            <w:tcBorders>
              <w:top w:val="single" w:sz="4" w:space="0" w:color="auto"/>
              <w:left w:val="single" w:sz="4" w:space="0" w:color="auto"/>
              <w:bottom w:val="single" w:sz="4" w:space="0" w:color="auto"/>
              <w:right w:val="single" w:sz="4" w:space="0" w:color="auto"/>
            </w:tcBorders>
            <w:vAlign w:val="center"/>
          </w:tcPr>
          <w:p w14:paraId="0216D3FC" w14:textId="4A8C8D65" w:rsidR="00B20811" w:rsidRPr="004F5E10" w:rsidRDefault="00B20811" w:rsidP="00322A3C">
            <w:pPr>
              <w:numPr>
                <w:ilvl w:val="0"/>
                <w:numId w:val="2"/>
              </w:numPr>
              <w:spacing w:before="120"/>
              <w:rPr>
                <w:rFonts w:cs="Arial"/>
                <w:snapToGrid w:val="0"/>
                <w:color w:val="000000"/>
              </w:rPr>
            </w:pPr>
            <w:r w:rsidRPr="004F5E10">
              <w:rPr>
                <w:rFonts w:cs="Arial"/>
                <w:snapToGrid w:val="0"/>
                <w:color w:val="000000"/>
              </w:rPr>
              <w:t xml:space="preserve">What is the most recent </w:t>
            </w:r>
            <w:r>
              <w:rPr>
                <w:rFonts w:cs="Arial"/>
                <w:snapToGrid w:val="0"/>
                <w:color w:val="000000"/>
              </w:rPr>
              <w:t>48</w:t>
            </w:r>
            <w:r w:rsidRPr="004F5E10">
              <w:rPr>
                <w:rFonts w:cs="Arial"/>
                <w:snapToGrid w:val="0"/>
                <w:color w:val="000000"/>
              </w:rPr>
              <w:t>-month reporting period for which STS performance reports are available?</w:t>
            </w:r>
            <w:r>
              <w:rPr>
                <w:rFonts w:cs="Arial"/>
                <w:snapToGrid w:val="0"/>
                <w:color w:val="000000"/>
              </w:rPr>
              <w:t xml:space="preserve"> Reporting period ending:</w:t>
            </w:r>
          </w:p>
        </w:tc>
        <w:tc>
          <w:tcPr>
            <w:tcW w:w="2224" w:type="pct"/>
            <w:tcBorders>
              <w:top w:val="single" w:sz="4" w:space="0" w:color="auto"/>
              <w:left w:val="single" w:sz="4" w:space="0" w:color="auto"/>
              <w:bottom w:val="single" w:sz="4" w:space="0" w:color="auto"/>
              <w:right w:val="single" w:sz="4" w:space="0" w:color="auto"/>
            </w:tcBorders>
            <w:vAlign w:val="center"/>
          </w:tcPr>
          <w:p w14:paraId="418687D5" w14:textId="77777777" w:rsidR="00B91D49" w:rsidRPr="000F3D1F" w:rsidRDefault="00B91D49" w:rsidP="00B91D49">
            <w:pPr>
              <w:jc w:val="center"/>
              <w:rPr>
                <w:rFonts w:cs="Arial"/>
                <w:i/>
                <w:snapToGrid w:val="0"/>
                <w:sz w:val="16"/>
                <w:szCs w:val="16"/>
                <w:u w:val="single"/>
              </w:rPr>
            </w:pPr>
            <w:r w:rsidRPr="000F3D1F">
              <w:rPr>
                <w:rFonts w:cs="Arial"/>
                <w:i/>
                <w:snapToGrid w:val="0"/>
                <w:sz w:val="16"/>
                <w:szCs w:val="16"/>
                <w:u w:val="single"/>
              </w:rPr>
              <w:t>_________</w:t>
            </w:r>
          </w:p>
          <w:p w14:paraId="0D08D329" w14:textId="6115C8B9" w:rsidR="00B20811" w:rsidRPr="004F5E10" w:rsidRDefault="00B91D49" w:rsidP="00F72C9F">
            <w:pPr>
              <w:jc w:val="center"/>
              <w:rPr>
                <w:rFonts w:cs="Arial"/>
                <w:i/>
                <w:snapToGrid w:val="0"/>
                <w:sz w:val="16"/>
                <w:szCs w:val="16"/>
              </w:rPr>
            </w:pPr>
            <w:r>
              <w:rPr>
                <w:rFonts w:cs="Arial"/>
                <w:i/>
                <w:snapToGrid w:val="0"/>
                <w:sz w:val="16"/>
                <w:szCs w:val="16"/>
              </w:rPr>
              <w:t>Format: Month/Year</w:t>
            </w:r>
          </w:p>
        </w:tc>
      </w:tr>
    </w:tbl>
    <w:p w14:paraId="42DA3BF0" w14:textId="77777777" w:rsidR="00C837E6" w:rsidRDefault="00C837E6" w:rsidP="00C837E6">
      <w:pPr>
        <w:rPr>
          <w:rFonts w:cs="Arial"/>
          <w:b/>
          <w:i/>
          <w:snapToGrid w:val="0"/>
          <w:color w:val="000000"/>
        </w:rPr>
      </w:pPr>
    </w:p>
    <w:p w14:paraId="6EF17CFA" w14:textId="1AA83A88" w:rsidR="00C837E6" w:rsidRPr="008D20D6" w:rsidRDefault="00C837E6" w:rsidP="00C837E6">
      <w:pPr>
        <w:rPr>
          <w:rFonts w:cs="Arial"/>
          <w:b/>
          <w:i/>
          <w:snapToGrid w:val="0"/>
          <w:color w:val="000000"/>
          <w:sz w:val="22"/>
          <w:szCs w:val="22"/>
        </w:rPr>
      </w:pPr>
      <w:r w:rsidRPr="008D20D6">
        <w:rPr>
          <w:rFonts w:cs="Arial"/>
          <w:b/>
          <w:i/>
          <w:snapToGrid w:val="0"/>
          <w:color w:val="000000"/>
          <w:sz w:val="22"/>
          <w:szCs w:val="22"/>
        </w:rPr>
        <w:t>Additional Question (Optional – Fact-Finding Only)</w:t>
      </w:r>
    </w:p>
    <w:p w14:paraId="4154863F" w14:textId="77777777" w:rsidR="00C837E6" w:rsidRDefault="00C837E6" w:rsidP="00C837E6">
      <w:pPr>
        <w:rPr>
          <w:rFonts w:cs="Arial"/>
          <w:i/>
          <w:snapToGrid w:val="0"/>
          <w:color w:val="000000"/>
        </w:rPr>
      </w:pPr>
    </w:p>
    <w:tbl>
      <w:tblPr>
        <w:tblStyle w:val="TableGrid"/>
        <w:tblW w:w="9540" w:type="dxa"/>
        <w:tblInd w:w="-95" w:type="dxa"/>
        <w:tblLook w:val="04A0" w:firstRow="1" w:lastRow="0" w:firstColumn="1" w:lastColumn="0" w:noHBand="0" w:noVBand="1"/>
      </w:tblPr>
      <w:tblGrid>
        <w:gridCol w:w="5310"/>
        <w:gridCol w:w="4230"/>
      </w:tblGrid>
      <w:tr w:rsidR="00C837E6" w:rsidRPr="00AC38DA" w14:paraId="7CFB458C" w14:textId="77777777" w:rsidTr="00D07281">
        <w:tc>
          <w:tcPr>
            <w:tcW w:w="5310" w:type="dxa"/>
          </w:tcPr>
          <w:p w14:paraId="484B4820" w14:textId="77777777" w:rsidR="00C84450" w:rsidRDefault="00C837E6" w:rsidP="003D4E7F">
            <w:pPr>
              <w:pStyle w:val="ListParagraph"/>
              <w:numPr>
                <w:ilvl w:val="0"/>
                <w:numId w:val="2"/>
              </w:numPr>
              <w:rPr>
                <w:rFonts w:cs="Arial"/>
                <w:snapToGrid w:val="0"/>
                <w:color w:val="000000"/>
              </w:rPr>
            </w:pPr>
            <w:r w:rsidRPr="00AC38DA">
              <w:rPr>
                <w:rFonts w:cs="Arial"/>
                <w:snapToGrid w:val="0"/>
                <w:color w:val="000000"/>
              </w:rPr>
              <w:t xml:space="preserve">Does your hospital have surgeons that perform both total knee replacement and total hip replacement procedures? </w:t>
            </w:r>
          </w:p>
          <w:p w14:paraId="38FCEC99" w14:textId="77777777" w:rsidR="00C84450" w:rsidRDefault="00C84450" w:rsidP="00C84450">
            <w:pPr>
              <w:pStyle w:val="ListParagraph"/>
              <w:ind w:left="360"/>
              <w:rPr>
                <w:rFonts w:cs="Arial"/>
                <w:snapToGrid w:val="0"/>
                <w:color w:val="000000"/>
              </w:rPr>
            </w:pPr>
          </w:p>
          <w:p w14:paraId="62AEE970" w14:textId="19A3B900" w:rsidR="00C837E6" w:rsidRPr="008277D2" w:rsidRDefault="00C837E6" w:rsidP="008277D2">
            <w:pPr>
              <w:pStyle w:val="ListParagraph"/>
              <w:ind w:left="360"/>
              <w:rPr>
                <w:rFonts w:cs="Arial"/>
                <w:i/>
                <w:iCs/>
                <w:snapToGrid w:val="0"/>
                <w:color w:val="000000"/>
              </w:rPr>
            </w:pPr>
            <w:r w:rsidRPr="008277D2">
              <w:rPr>
                <w:rFonts w:cs="Arial"/>
                <w:i/>
                <w:iCs/>
                <w:snapToGrid w:val="0"/>
                <w:color w:val="000000"/>
              </w:rPr>
              <w:t>This question only applies to hospitals that perform both total knee replacement and total hip replacement procedures.</w:t>
            </w:r>
          </w:p>
          <w:p w14:paraId="6B3E639F" w14:textId="77777777" w:rsidR="00C837E6" w:rsidRDefault="00C837E6" w:rsidP="003D4E7F">
            <w:pPr>
              <w:pStyle w:val="ListParagraph"/>
              <w:ind w:left="360"/>
              <w:rPr>
                <w:rFonts w:cs="Arial"/>
                <w:snapToGrid w:val="0"/>
                <w:color w:val="000000"/>
              </w:rPr>
            </w:pPr>
          </w:p>
          <w:p w14:paraId="5380C737" w14:textId="77777777" w:rsidR="00C837E6" w:rsidRPr="00864530" w:rsidRDefault="00C837E6" w:rsidP="003D4E7F">
            <w:pPr>
              <w:pStyle w:val="ListParagraph"/>
              <w:ind w:left="360"/>
              <w:rPr>
                <w:rFonts w:cs="Arial"/>
                <w:i/>
                <w:iCs/>
                <w:snapToGrid w:val="0"/>
                <w:color w:val="000000"/>
              </w:rPr>
            </w:pPr>
            <w:r>
              <w:rPr>
                <w:rFonts w:cs="Arial"/>
                <w:i/>
                <w:iCs/>
                <w:snapToGrid w:val="0"/>
                <w:color w:val="000000"/>
              </w:rPr>
              <w:t>R</w:t>
            </w:r>
            <w:r w:rsidRPr="004F3363">
              <w:rPr>
                <w:rFonts w:cs="Arial"/>
                <w:i/>
                <w:iCs/>
                <w:snapToGrid w:val="0"/>
                <w:color w:val="000000"/>
              </w:rPr>
              <w:t>esponse will not be scored or publicly reported in 202</w:t>
            </w:r>
            <w:r>
              <w:rPr>
                <w:rFonts w:cs="Arial"/>
                <w:i/>
                <w:iCs/>
                <w:snapToGrid w:val="0"/>
                <w:color w:val="000000"/>
              </w:rPr>
              <w:t>6.</w:t>
            </w:r>
          </w:p>
          <w:p w14:paraId="0E677DF2" w14:textId="77777777" w:rsidR="00C837E6" w:rsidRPr="00AC38DA" w:rsidRDefault="00C837E6" w:rsidP="003D4E7F">
            <w:pPr>
              <w:pStyle w:val="ListParagraph"/>
              <w:ind w:left="360"/>
              <w:rPr>
                <w:rFonts w:cs="Arial"/>
                <w:snapToGrid w:val="0"/>
                <w:color w:val="000000"/>
              </w:rPr>
            </w:pPr>
          </w:p>
        </w:tc>
        <w:tc>
          <w:tcPr>
            <w:tcW w:w="4230" w:type="dxa"/>
          </w:tcPr>
          <w:p w14:paraId="33577525" w14:textId="77777777" w:rsidR="00C837E6" w:rsidRDefault="00C837E6" w:rsidP="003D4E7F">
            <w:pPr>
              <w:rPr>
                <w:rFonts w:cs="Arial"/>
                <w:snapToGrid w:val="0"/>
                <w:color w:val="000000"/>
              </w:rPr>
            </w:pPr>
          </w:p>
          <w:p w14:paraId="3D35EA2D" w14:textId="77777777" w:rsidR="00C837E6" w:rsidRDefault="00C837E6" w:rsidP="003D4E7F">
            <w:pPr>
              <w:rPr>
                <w:rFonts w:cs="Arial"/>
                <w:snapToGrid w:val="0"/>
                <w:color w:val="000000"/>
              </w:rPr>
            </w:pPr>
          </w:p>
          <w:p w14:paraId="5865A31A" w14:textId="77777777" w:rsidR="00C837E6" w:rsidRDefault="00C837E6" w:rsidP="003D4E7F">
            <w:pPr>
              <w:pStyle w:val="ListParagraph"/>
              <w:numPr>
                <w:ilvl w:val="0"/>
                <w:numId w:val="241"/>
              </w:numPr>
              <w:rPr>
                <w:rFonts w:cs="Arial"/>
                <w:iCs/>
                <w:snapToGrid w:val="0"/>
              </w:rPr>
            </w:pPr>
            <w:r w:rsidRPr="000F3D1F">
              <w:rPr>
                <w:rFonts w:cs="Arial"/>
                <w:iCs/>
                <w:snapToGrid w:val="0"/>
              </w:rPr>
              <w:t>Yes</w:t>
            </w:r>
          </w:p>
          <w:p w14:paraId="4E2F05B8" w14:textId="77777777" w:rsidR="00C837E6" w:rsidRPr="00AC38DA" w:rsidRDefault="00C837E6" w:rsidP="003D4E7F">
            <w:pPr>
              <w:pStyle w:val="ListParagraph"/>
              <w:numPr>
                <w:ilvl w:val="0"/>
                <w:numId w:val="241"/>
              </w:numPr>
              <w:rPr>
                <w:rFonts w:cs="Arial"/>
                <w:iCs/>
                <w:snapToGrid w:val="0"/>
              </w:rPr>
            </w:pPr>
            <w:r w:rsidRPr="00AC38DA">
              <w:rPr>
                <w:rFonts w:cs="Arial"/>
                <w:iCs/>
                <w:snapToGrid w:val="0"/>
              </w:rPr>
              <w:t>No</w:t>
            </w:r>
          </w:p>
        </w:tc>
      </w:tr>
    </w:tbl>
    <w:p w14:paraId="7528CF11" w14:textId="44DC6AA0" w:rsidR="005B2EEB" w:rsidRPr="009A5185" w:rsidDel="00117DA0" w:rsidRDefault="000A3B4F" w:rsidP="000A3B4F">
      <w:pPr>
        <w:rPr>
          <w:rFonts w:cs="Arial"/>
          <w:snapToGrid w:val="0"/>
          <w:color w:val="000000"/>
        </w:rPr>
      </w:pPr>
      <w:r w:rsidRPr="009A5185">
        <w:rPr>
          <w:rFonts w:cs="Arial"/>
          <w:snapToGrid w:val="0"/>
          <w:color w:val="000000"/>
        </w:rPr>
        <w:br w:type="page"/>
      </w:r>
    </w:p>
    <w:p w14:paraId="31C8F212" w14:textId="0289E1E2" w:rsidR="00B91D49" w:rsidRDefault="00B91D49" w:rsidP="00CF5A6E">
      <w:pPr>
        <w:pStyle w:val="Heading2"/>
      </w:pPr>
      <w:bookmarkStart w:id="228" w:name="_Toc225877709"/>
      <w:r w:rsidRPr="009A5185">
        <w:lastRenderedPageBreak/>
        <w:t>3</w:t>
      </w:r>
      <w:r w:rsidR="00D22736">
        <w:t>B</w:t>
      </w:r>
      <w:r w:rsidRPr="009A5185">
        <w:t>: S</w:t>
      </w:r>
      <w:r>
        <w:t>afe Surgery Checklist for Adult and Pediatric Complex Surgery</w:t>
      </w:r>
      <w:bookmarkEnd w:id="228"/>
    </w:p>
    <w:p w14:paraId="687A2EB4" w14:textId="182841C6" w:rsidR="00ED3FE0" w:rsidRPr="009A5185" w:rsidRDefault="00ED3FE0" w:rsidP="00ED3FE0">
      <w:pPr>
        <w:rPr>
          <w:rFonts w:cs="Arial"/>
        </w:rPr>
      </w:pPr>
      <w:r>
        <w:rPr>
          <w:rFonts w:cs="Arial"/>
          <w:snapToGrid w:val="0"/>
        </w:rPr>
        <w:br/>
      </w:r>
      <w:r w:rsidRPr="009A5185">
        <w:rPr>
          <w:rFonts w:cs="Arial"/>
          <w:snapToGrid w:val="0"/>
        </w:rPr>
        <w:t xml:space="preserve">Hospitals that share a </w:t>
      </w:r>
      <w:r>
        <w:rPr>
          <w:rFonts w:cs="Arial"/>
          <w:snapToGrid w:val="0"/>
        </w:rPr>
        <w:t>CMS Certification Number</w:t>
      </w:r>
      <w:r w:rsidRPr="009A5185">
        <w:rPr>
          <w:rFonts w:cs="Arial"/>
          <w:snapToGrid w:val="0"/>
        </w:rPr>
        <w:t xml:space="preserve"> are required to report by facility. Please carefully review </w:t>
      </w:r>
      <w:hyperlink r:id="rId220" w:history="1">
        <w:r w:rsidRPr="009A5185">
          <w:rPr>
            <w:rStyle w:val="Hyperlink"/>
            <w:rFonts w:cs="Arial"/>
            <w:snapToGrid w:val="0"/>
          </w:rPr>
          <w:t>Leapfrog’s Multi-Campus Reporting Policy</w:t>
        </w:r>
      </w:hyperlink>
      <w:r w:rsidRPr="009A5185">
        <w:rPr>
          <w:rFonts w:cs="Arial"/>
          <w:snapToGrid w:val="0"/>
        </w:rPr>
        <w:t>.</w:t>
      </w:r>
    </w:p>
    <w:p w14:paraId="45093997" w14:textId="017A4B7F" w:rsidR="00D1021F" w:rsidRPr="002C31BB" w:rsidRDefault="00D1021F" w:rsidP="000C331C"/>
    <w:p w14:paraId="4BAB0A66" w14:textId="77777777" w:rsidR="005B7658" w:rsidRPr="00895070" w:rsidRDefault="005B7658" w:rsidP="005B7658">
      <w:pPr>
        <w:pStyle w:val="BodyText3"/>
        <w:rPr>
          <w:rFonts w:cs="Arial"/>
          <w:b/>
          <w:color w:val="FF0000"/>
        </w:rPr>
      </w:pPr>
      <w:r w:rsidRPr="00895070">
        <w:rPr>
          <w:rFonts w:cs="Arial"/>
          <w:b/>
          <w:color w:val="FF0000"/>
        </w:rPr>
        <w:t>Important Notes:</w:t>
      </w:r>
    </w:p>
    <w:p w14:paraId="7BBABC80" w14:textId="77777777" w:rsidR="005B7658" w:rsidRPr="002C31BB" w:rsidRDefault="005B7658" w:rsidP="005B7658"/>
    <w:p w14:paraId="45DE6559" w14:textId="5BEDB39A" w:rsidR="005B7658" w:rsidRPr="00895070" w:rsidRDefault="005B7658" w:rsidP="005B7658">
      <w:pPr>
        <w:rPr>
          <w:rFonts w:cs="Arial"/>
        </w:rPr>
      </w:pPr>
      <w:r w:rsidRPr="00895070">
        <w:rPr>
          <w:rFonts w:cs="Arial"/>
        </w:rPr>
        <w:t xml:space="preserve">Note 1: The elements required for each stage of the safe surgery checklist are adapted from the </w:t>
      </w:r>
      <w:hyperlink r:id="rId221" w:history="1">
        <w:r w:rsidRPr="00895070">
          <w:rPr>
            <w:rStyle w:val="Hyperlink"/>
            <w:rFonts w:cs="Arial"/>
          </w:rPr>
          <w:t>WHO Surgical Safety Checklist</w:t>
        </w:r>
      </w:hyperlink>
      <w:r w:rsidRPr="00895070">
        <w:rPr>
          <w:rFonts w:cs="Arial"/>
        </w:rPr>
        <w:t xml:space="preserve"> and the </w:t>
      </w:r>
      <w:hyperlink r:id="rId222" w:history="1">
        <w:r w:rsidRPr="00895070">
          <w:rPr>
            <w:rStyle w:val="Hyperlink"/>
            <w:rFonts w:cs="Arial"/>
          </w:rPr>
          <w:t>AHRQ Endoscopy Checklist</w:t>
        </w:r>
      </w:hyperlink>
      <w:r w:rsidRPr="00895070">
        <w:rPr>
          <w:rFonts w:cs="Arial"/>
        </w:rPr>
        <w:t>.</w:t>
      </w:r>
    </w:p>
    <w:p w14:paraId="67BA8100" w14:textId="78F3C3B9" w:rsidR="00A3005E" w:rsidRPr="002C31BB" w:rsidRDefault="00A3005E" w:rsidP="005B7658">
      <w:pPr>
        <w:rPr>
          <w:rFonts w:cs="Arial"/>
        </w:rPr>
      </w:pPr>
    </w:p>
    <w:p w14:paraId="60D37EDB" w14:textId="478A8111" w:rsidR="003D1390" w:rsidRDefault="00A3005E" w:rsidP="005B7658">
      <w:pPr>
        <w:rPr>
          <w:bCs/>
        </w:rPr>
      </w:pPr>
      <w:r w:rsidRPr="00722F1B">
        <w:rPr>
          <w:bCs/>
        </w:rPr>
        <w:t xml:space="preserve">Note </w:t>
      </w:r>
      <w:r w:rsidR="00ED3FE0">
        <w:rPr>
          <w:bCs/>
        </w:rPr>
        <w:t>2</w:t>
      </w:r>
      <w:r w:rsidRPr="00722F1B">
        <w:rPr>
          <w:bCs/>
        </w:rPr>
        <w:t xml:space="preserve">: </w:t>
      </w:r>
      <w:r w:rsidR="003D1390">
        <w:rPr>
          <w:bCs/>
        </w:rPr>
        <w:t xml:space="preserve">Question #7 will not be used in scoring or public reporting. </w:t>
      </w:r>
    </w:p>
    <w:p w14:paraId="7222B9F1" w14:textId="77777777" w:rsidR="003D1390" w:rsidRPr="000F3D1F" w:rsidRDefault="003D1390" w:rsidP="005B7658">
      <w:pPr>
        <w:rPr>
          <w:bCs/>
          <w:sz w:val="16"/>
          <w:szCs w:val="16"/>
        </w:rPr>
      </w:pPr>
    </w:p>
    <w:p w14:paraId="3AA89189" w14:textId="2C2C33CC" w:rsidR="00A3005E" w:rsidRDefault="003D1390" w:rsidP="005B7658">
      <w:pPr>
        <w:rPr>
          <w:bCs/>
        </w:rPr>
      </w:pPr>
      <w:r>
        <w:rPr>
          <w:bCs/>
        </w:rPr>
        <w:t xml:space="preserve">Note 3: </w:t>
      </w:r>
      <w:r w:rsidR="00A3005E" w:rsidRPr="00722F1B">
        <w:rPr>
          <w:bCs/>
        </w:rPr>
        <w:t xml:space="preserve">Hyperlinks throughout this subsection refer to </w:t>
      </w:r>
      <w:r w:rsidR="00A3005E">
        <w:rPr>
          <w:bCs/>
        </w:rPr>
        <w:t xml:space="preserve">the </w:t>
      </w:r>
      <w:hyperlink w:anchor="safesurgfaqs3c" w:history="1">
        <w:r w:rsidR="00A3005E">
          <w:rPr>
            <w:rStyle w:val="Hyperlink"/>
            <w:bCs/>
          </w:rPr>
          <w:t xml:space="preserve">Safe Surgery </w:t>
        </w:r>
        <w:r w:rsidR="00F50527">
          <w:rPr>
            <w:rStyle w:val="Hyperlink"/>
            <w:bCs/>
          </w:rPr>
          <w:t>Checklist</w:t>
        </w:r>
        <w:r w:rsidR="00A3005E">
          <w:rPr>
            <w:rStyle w:val="Hyperlink"/>
            <w:bCs/>
          </w:rPr>
          <w:t xml:space="preserve"> for Adult and Pediatric Complex Surgery FAQs</w:t>
        </w:r>
      </w:hyperlink>
      <w:r w:rsidR="00D76BEC" w:rsidRPr="00C0227C">
        <w:rPr>
          <w:rStyle w:val="Hyperlink"/>
          <w:bCs/>
          <w:color w:val="auto"/>
          <w:u w:val="none"/>
        </w:rPr>
        <w:t xml:space="preserve"> beginning on page </w:t>
      </w:r>
      <w:r w:rsidR="00F77A7F">
        <w:rPr>
          <w:bCs/>
        </w:rPr>
        <w:fldChar w:fldCharType="begin"/>
      </w:r>
      <w:r w:rsidR="00F77A7F">
        <w:rPr>
          <w:rStyle w:val="Hyperlink"/>
          <w:bCs/>
        </w:rPr>
        <w:instrText xml:space="preserve"> PAGEREF safesurgfaqs3c \h </w:instrText>
      </w:r>
      <w:r w:rsidR="00F77A7F">
        <w:rPr>
          <w:bCs/>
        </w:rPr>
      </w:r>
      <w:r w:rsidR="00F77A7F">
        <w:rPr>
          <w:bCs/>
        </w:rPr>
        <w:fldChar w:fldCharType="separate"/>
      </w:r>
      <w:r w:rsidR="007D53A2">
        <w:rPr>
          <w:rStyle w:val="Hyperlink"/>
          <w:bCs/>
          <w:noProof/>
        </w:rPr>
        <w:t>14</w:t>
      </w:r>
      <w:r w:rsidR="00F77A7F">
        <w:rPr>
          <w:bCs/>
        </w:rPr>
        <w:fldChar w:fldCharType="end"/>
      </w:r>
      <w:r w:rsidR="004640AB">
        <w:rPr>
          <w:bCs/>
        </w:rPr>
        <w:t>5</w:t>
      </w:r>
      <w:r w:rsidR="001E2464">
        <w:rPr>
          <w:bCs/>
        </w:rPr>
        <w:t>,</w:t>
      </w:r>
      <w:r w:rsidR="00A3005E" w:rsidRPr="004A60F9">
        <w:rPr>
          <w:bCs/>
        </w:rPr>
        <w:t xml:space="preserve"> not to endnotes. These hyperlinks are not include</w:t>
      </w:r>
      <w:r w:rsidR="00A3005E">
        <w:rPr>
          <w:bCs/>
        </w:rPr>
        <w:t>d in the Online Survey Tool</w:t>
      </w:r>
      <w:r w:rsidR="00A3005E" w:rsidRPr="004A60F9">
        <w:rPr>
          <w:bCs/>
        </w:rPr>
        <w:t>.</w:t>
      </w:r>
      <w:r w:rsidR="00A3005E" w:rsidRPr="00722F1B">
        <w:rPr>
          <w:bCs/>
        </w:rPr>
        <w:t xml:space="preserve"> </w:t>
      </w:r>
    </w:p>
    <w:p w14:paraId="42B7678B" w14:textId="110C20FB" w:rsidR="00D24EC5" w:rsidRPr="002C31BB" w:rsidRDefault="00D24EC5" w:rsidP="005B7658">
      <w:pPr>
        <w:rPr>
          <w:bCs/>
        </w:rPr>
      </w:pPr>
    </w:p>
    <w:p w14:paraId="1959FCBA" w14:textId="5992A301" w:rsidR="00D24EC5" w:rsidRPr="00A3005E" w:rsidRDefault="00D24EC5" w:rsidP="005B7658">
      <w:pPr>
        <w:rPr>
          <w:bCs/>
        </w:rPr>
      </w:pPr>
      <w:r w:rsidRPr="00AC2D85">
        <w:rPr>
          <w:b/>
        </w:rPr>
        <w:t>Specifications:</w:t>
      </w:r>
      <w:r>
        <w:rPr>
          <w:bCs/>
        </w:rPr>
        <w:t xml:space="preserve"> See</w:t>
      </w:r>
      <w:r w:rsidR="00ED4ABD">
        <w:rPr>
          <w:bCs/>
        </w:rPr>
        <w:t xml:space="preserve"> </w:t>
      </w:r>
      <w:hyperlink w:anchor="_Safe_Surgery_Checklist_2" w:history="1">
        <w:r w:rsidR="00ED4ABD" w:rsidRPr="00ED4ABD">
          <w:rPr>
            <w:rStyle w:val="Hyperlink"/>
            <w:b/>
            <w:i/>
            <w:iCs/>
          </w:rPr>
          <w:t>Safe Surgery Checklist for Adult and Pediatric Complex Surgery</w:t>
        </w:r>
      </w:hyperlink>
      <w:r w:rsidR="00ED3FE0">
        <w:rPr>
          <w:rStyle w:val="Hyperlink"/>
          <w:b/>
          <w:i/>
          <w:iCs/>
        </w:rPr>
        <w:t xml:space="preserve"> Measure Specifications</w:t>
      </w:r>
      <w:r w:rsidR="00ED4ABD">
        <w:rPr>
          <w:bCs/>
        </w:rPr>
        <w:t xml:space="preserve"> </w:t>
      </w:r>
      <w:r w:rsidRPr="009A5185">
        <w:rPr>
          <w:rFonts w:cs="Arial"/>
          <w:snapToGrid w:val="0"/>
        </w:rPr>
        <w:t xml:space="preserve">in the Reference Information </w:t>
      </w:r>
      <w:r w:rsidR="00F77A7F">
        <w:rPr>
          <w:rFonts w:cs="Arial"/>
          <w:snapToGrid w:val="0"/>
        </w:rPr>
        <w:t>beginning on page</w:t>
      </w:r>
      <w:r w:rsidR="00C35651">
        <w:rPr>
          <w:rFonts w:cs="Arial"/>
          <w:snapToGrid w:val="0"/>
        </w:rPr>
        <w:t xml:space="preserve"> 1</w:t>
      </w:r>
      <w:r w:rsidR="00423A63">
        <w:rPr>
          <w:rFonts w:cs="Arial"/>
          <w:snapToGrid w:val="0"/>
        </w:rPr>
        <w:t>41</w:t>
      </w:r>
      <w:r w:rsidR="00F77A7F">
        <w:rPr>
          <w:rFonts w:cs="Arial"/>
          <w:snapToGrid w:val="0"/>
        </w:rPr>
        <w:t>.</w:t>
      </w:r>
    </w:p>
    <w:p w14:paraId="4655CB42" w14:textId="77777777" w:rsidR="005B7658" w:rsidRPr="00C8246A" w:rsidRDefault="005B7658" w:rsidP="005B7658">
      <w:pPr>
        <w:rPr>
          <w:rFonts w:cs="Arial"/>
          <w:b/>
          <w:sz w:val="16"/>
          <w:szCs w:val="16"/>
        </w:rPr>
      </w:pPr>
    </w:p>
    <w:p w14:paraId="0087DDFC" w14:textId="5AFCB64F" w:rsidR="005B7658" w:rsidRDefault="004914DC" w:rsidP="005B7658">
      <w:pPr>
        <w:rPr>
          <w:rFonts w:cs="Arial"/>
          <w:b/>
        </w:rPr>
      </w:pPr>
      <w:r w:rsidRPr="004914DC">
        <w:rPr>
          <w:rFonts w:cs="Arial"/>
          <w:b/>
          <w:noProof/>
        </w:rPr>
        <mc:AlternateContent>
          <mc:Choice Requires="wps">
            <w:drawing>
              <wp:inline distT="0" distB="0" distL="0" distR="0" wp14:anchorId="2BEAEE02" wp14:editId="2B9C5994">
                <wp:extent cx="5923722" cy="1404620"/>
                <wp:effectExtent l="0" t="0" r="20320" b="22860"/>
                <wp:docPr id="29" name="Text Box 29" descr="P2987TB12#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3722" cy="1404620"/>
                        </a:xfrm>
                        <a:prstGeom prst="rect">
                          <a:avLst/>
                        </a:prstGeom>
                        <a:solidFill>
                          <a:srgbClr val="FFFFFF"/>
                        </a:solidFill>
                        <a:ln w="9525">
                          <a:solidFill>
                            <a:srgbClr val="FF0000"/>
                          </a:solidFill>
                          <a:miter lim="800000"/>
                          <a:headEnd/>
                          <a:tailEnd/>
                        </a:ln>
                      </wps:spPr>
                      <wps:txbx>
                        <w:txbxContent>
                          <w:p w14:paraId="48F91E29" w14:textId="770C24B1" w:rsidR="003D1390" w:rsidRPr="00895070" w:rsidRDefault="004914DC" w:rsidP="003D1390">
                            <w:pPr>
                              <w:spacing w:before="120"/>
                              <w:rPr>
                                <w:rFonts w:cs="Arial"/>
                                <w:b/>
                                <w:snapToGrid w:val="0"/>
                              </w:rPr>
                            </w:pPr>
                            <w:r w:rsidRPr="00895070">
                              <w:rPr>
                                <w:rFonts w:cs="Arial"/>
                                <w:b/>
                                <w:snapToGrid w:val="0"/>
                              </w:rPr>
                              <w:t xml:space="preserve">Reporting Period: </w:t>
                            </w:r>
                            <w:r w:rsidR="003D1390">
                              <w:rPr>
                                <w:rFonts w:cs="Arial"/>
                                <w:b/>
                                <w:snapToGrid w:val="0"/>
                              </w:rPr>
                              <w:t>12</w:t>
                            </w:r>
                            <w:r w:rsidR="003D1390" w:rsidRPr="00895070">
                              <w:rPr>
                                <w:rFonts w:cs="Arial"/>
                                <w:b/>
                                <w:snapToGrid w:val="0"/>
                              </w:rPr>
                              <w:t xml:space="preserve"> months</w:t>
                            </w:r>
                          </w:p>
                          <w:p w14:paraId="293E44D5" w14:textId="77777777" w:rsidR="00B90CB9" w:rsidRPr="00895070" w:rsidRDefault="00B90CB9" w:rsidP="00B90CB9">
                            <w:pPr>
                              <w:rPr>
                                <w:snapToGrid w:val="0"/>
                              </w:rPr>
                            </w:pPr>
                            <w:r w:rsidRPr="00895070">
                              <w:rPr>
                                <w:snapToGrid w:val="0"/>
                              </w:rPr>
                              <w:t>Answer questions #1-</w:t>
                            </w:r>
                            <w:r>
                              <w:rPr>
                                <w:snapToGrid w:val="0"/>
                              </w:rPr>
                              <w:t>9</w:t>
                            </w:r>
                            <w:r w:rsidRPr="00895070">
                              <w:rPr>
                                <w:snapToGrid w:val="0"/>
                              </w:rPr>
                              <w:t xml:space="preserve"> for the latest </w:t>
                            </w:r>
                            <w:r>
                              <w:rPr>
                                <w:snapToGrid w:val="0"/>
                              </w:rPr>
                              <w:t>12</w:t>
                            </w:r>
                            <w:r w:rsidRPr="00895070">
                              <w:rPr>
                                <w:snapToGrid w:val="0"/>
                              </w:rPr>
                              <w:t>-month period prior to submission of this section of the Survey.</w:t>
                            </w:r>
                          </w:p>
                          <w:p w14:paraId="163F3450" w14:textId="77777777" w:rsidR="004914DC" w:rsidRPr="00895070" w:rsidRDefault="004914DC" w:rsidP="00C06753">
                            <w:pPr>
                              <w:rPr>
                                <w:snapToGrid w:val="0"/>
                              </w:rPr>
                            </w:pPr>
                          </w:p>
                          <w:p w14:paraId="3C0EA609" w14:textId="11C6A89F" w:rsidR="004914DC" w:rsidRDefault="004914DC" w:rsidP="004914DC">
                            <w:r w:rsidRPr="00895070">
                              <w:rPr>
                                <w:rFonts w:cs="Arial"/>
                                <w:sz w:val="16"/>
                                <w:szCs w:val="16"/>
                              </w:rPr>
                              <w:t xml:space="preserve">Note: As a reminder, the </w:t>
                            </w:r>
                            <w:hyperlink r:id="rId223" w:history="1">
                              <w:r w:rsidRPr="00895070">
                                <w:rPr>
                                  <w:rStyle w:val="Hyperlink"/>
                                  <w:rFonts w:cs="Arial"/>
                                  <w:sz w:val="16"/>
                                  <w:szCs w:val="16"/>
                                </w:rPr>
                                <w:t>Corrections Period</w:t>
                              </w:r>
                            </w:hyperlink>
                            <w:r w:rsidRPr="00895070">
                              <w:rPr>
                                <w:rFonts w:cs="Arial"/>
                                <w:sz w:val="16"/>
                                <w:szCs w:val="16"/>
                              </w:rPr>
                              <w:t xml:space="preserve"> (December 1-January 31) is reserved for corrections to previously submitted Surveys only. </w:t>
                            </w:r>
                            <w:r w:rsidRPr="00895070">
                              <w:rPr>
                                <w:rFonts w:cs="Arial"/>
                                <w:bCs/>
                                <w:snapToGrid w:val="0"/>
                                <w:sz w:val="16"/>
                                <w:szCs w:val="16"/>
                              </w:rPr>
                              <w:t xml:space="preserve">Any updates made to reflect a change in performance must be made prior to the November 30 Late Submission </w:t>
                            </w:r>
                            <w:r w:rsidRPr="00AE38C7">
                              <w:rPr>
                                <w:rFonts w:cs="Arial"/>
                                <w:bCs/>
                                <w:snapToGrid w:val="0"/>
                                <w:sz w:val="16"/>
                                <w:szCs w:val="16"/>
                              </w:rPr>
                              <w:t>and Performance Update</w:t>
                            </w:r>
                            <w:r>
                              <w:rPr>
                                <w:rFonts w:cs="Arial"/>
                                <w:bCs/>
                                <w:snapToGrid w:val="0"/>
                                <w:sz w:val="16"/>
                                <w:szCs w:val="16"/>
                              </w:rPr>
                              <w:t xml:space="preserve"> </w:t>
                            </w:r>
                            <w:r w:rsidRPr="00895070">
                              <w:rPr>
                                <w:rFonts w:cs="Arial"/>
                                <w:bCs/>
                                <w:snapToGrid w:val="0"/>
                                <w:sz w:val="16"/>
                                <w:szCs w:val="16"/>
                              </w:rPr>
                              <w:t>Deadline. Updates made to reflect a change in performance after November 30 will not be scored or publicly reported.</w:t>
                            </w:r>
                          </w:p>
                        </w:txbxContent>
                      </wps:txbx>
                      <wps:bodyPr rot="0" vert="horz" wrap="square" lIns="91440" tIns="45720" rIns="91440" bIns="45720" anchor="t" anchorCtr="0">
                        <a:spAutoFit/>
                      </wps:bodyPr>
                    </wps:wsp>
                  </a:graphicData>
                </a:graphic>
              </wp:inline>
            </w:drawing>
          </mc:Choice>
          <mc:Fallback>
            <w:pict>
              <v:shape w14:anchorId="2BEAEE02" id="Text Box 29" o:spid="_x0000_s1039" type="#_x0000_t202" alt="P2987TB12#y1" style="width:466.4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" strokecolor="red">
                <v:textbox style="mso-fit-shape-to-text:t">
                  <w:txbxContent>
                    <w:p w14:paraId="48F91E29" w14:textId="770C24B1" w:rsidR="003D1390" w:rsidRPr="00895070" w:rsidRDefault="004914DC" w:rsidP="003D1390">
                      <w:pPr>
                        <w:spacing w:before="120"/>
                        <w:rPr>
                          <w:rFonts w:cs="Arial"/>
                          <w:b/>
                          <w:snapToGrid w:val="0"/>
                        </w:rPr>
                      </w:pPr>
                      <w:r w:rsidRPr="00895070">
                        <w:rPr>
                          <w:rFonts w:cs="Arial"/>
                          <w:b/>
                          <w:snapToGrid w:val="0"/>
                        </w:rPr>
                        <w:t xml:space="preserve">Reporting Period: </w:t>
                      </w:r>
                      <w:r w:rsidR="003D1390">
                        <w:rPr>
                          <w:rFonts w:cs="Arial"/>
                          <w:b/>
                          <w:snapToGrid w:val="0"/>
                        </w:rPr>
                        <w:t>12</w:t>
                      </w:r>
                      <w:r w:rsidR="003D1390" w:rsidRPr="00895070">
                        <w:rPr>
                          <w:rFonts w:cs="Arial"/>
                          <w:b/>
                          <w:snapToGrid w:val="0"/>
                        </w:rPr>
                        <w:t xml:space="preserve"> months</w:t>
                      </w:r>
                    </w:p>
                    <w:p w14:paraId="293E44D5" w14:textId="77777777" w:rsidR="00B90CB9" w:rsidRPr="00895070" w:rsidRDefault="00B90CB9" w:rsidP="00B90CB9">
                      <w:pPr>
                        <w:rPr>
                          <w:snapToGrid w:val="0"/>
                        </w:rPr>
                      </w:pPr>
                      <w:r w:rsidRPr="00895070">
                        <w:rPr>
                          <w:snapToGrid w:val="0"/>
                        </w:rPr>
                        <w:t>Answer questions #1-</w:t>
                      </w:r>
                      <w:r>
                        <w:rPr>
                          <w:snapToGrid w:val="0"/>
                        </w:rPr>
                        <w:t>9</w:t>
                      </w:r>
                      <w:r w:rsidRPr="00895070">
                        <w:rPr>
                          <w:snapToGrid w:val="0"/>
                        </w:rPr>
                        <w:t xml:space="preserve"> for the latest </w:t>
                      </w:r>
                      <w:r>
                        <w:rPr>
                          <w:snapToGrid w:val="0"/>
                        </w:rPr>
                        <w:t>12</w:t>
                      </w:r>
                      <w:r w:rsidRPr="00895070">
                        <w:rPr>
                          <w:snapToGrid w:val="0"/>
                        </w:rPr>
                        <w:t>-month period prior to submission of this section of the Survey.</w:t>
                      </w:r>
                    </w:p>
                    <w:p w14:paraId="163F3450" w14:textId="77777777" w:rsidR="004914DC" w:rsidRPr="00895070" w:rsidRDefault="004914DC" w:rsidP="00C06753">
                      <w:pPr>
                        <w:rPr>
                          <w:snapToGrid w:val="0"/>
                        </w:rPr>
                      </w:pPr>
                    </w:p>
                    <w:p w14:paraId="3C0EA609" w14:textId="11C6A89F" w:rsidR="004914DC" w:rsidRDefault="004914DC" w:rsidP="004914DC">
                      <w:r w:rsidRPr="00895070">
                        <w:rPr>
                          <w:rFonts w:cs="Arial"/>
                          <w:sz w:val="16"/>
                          <w:szCs w:val="16"/>
                        </w:rPr>
                        <w:t xml:space="preserve">Note: As a reminder, the </w:t>
                      </w:r>
                      <w:hyperlink r:id="rId224" w:history="1">
                        <w:r w:rsidRPr="00895070">
                          <w:rPr>
                            <w:rStyle w:val="Hyperlink"/>
                            <w:rFonts w:cs="Arial"/>
                            <w:sz w:val="16"/>
                            <w:szCs w:val="16"/>
                          </w:rPr>
                          <w:t>Corrections Period</w:t>
                        </w:r>
                      </w:hyperlink>
                      <w:r w:rsidRPr="00895070">
                        <w:rPr>
                          <w:rFonts w:cs="Arial"/>
                          <w:sz w:val="16"/>
                          <w:szCs w:val="16"/>
                        </w:rPr>
                        <w:t xml:space="preserve"> (December 1-January 31) is reserved for corrections to previously submitted Surveys only. </w:t>
                      </w:r>
                      <w:r w:rsidRPr="00895070">
                        <w:rPr>
                          <w:rFonts w:cs="Arial"/>
                          <w:bCs/>
                          <w:snapToGrid w:val="0"/>
                          <w:sz w:val="16"/>
                          <w:szCs w:val="16"/>
                        </w:rPr>
                        <w:t xml:space="preserve">Any updates made to reflect a change in performance must be made prior to the November 30 Late Submission </w:t>
                      </w:r>
                      <w:r w:rsidRPr="00AE38C7">
                        <w:rPr>
                          <w:rFonts w:cs="Arial"/>
                          <w:bCs/>
                          <w:snapToGrid w:val="0"/>
                          <w:sz w:val="16"/>
                          <w:szCs w:val="16"/>
                        </w:rPr>
                        <w:t>and Performance Update</w:t>
                      </w:r>
                      <w:r>
                        <w:rPr>
                          <w:rFonts w:cs="Arial"/>
                          <w:bCs/>
                          <w:snapToGrid w:val="0"/>
                          <w:sz w:val="16"/>
                          <w:szCs w:val="16"/>
                        </w:rPr>
                        <w:t xml:space="preserve"> </w:t>
                      </w:r>
                      <w:r w:rsidRPr="00895070">
                        <w:rPr>
                          <w:rFonts w:cs="Arial"/>
                          <w:bCs/>
                          <w:snapToGrid w:val="0"/>
                          <w:sz w:val="16"/>
                          <w:szCs w:val="16"/>
                        </w:rPr>
                        <w:t>Deadline. Updates made to reflect a change in performance after November 30 will not be scored or publicly reported.</w:t>
                      </w:r>
                    </w:p>
                  </w:txbxContent>
                </v:textbox>
                <w10:anchorlock/>
              </v:shape>
            </w:pict>
          </mc:Fallback>
        </mc:AlternateContent>
      </w:r>
    </w:p>
    <w:p w14:paraId="14A072B0" w14:textId="77777777" w:rsidR="004914DC" w:rsidRPr="00C8246A" w:rsidRDefault="004914DC" w:rsidP="005B7658">
      <w:pPr>
        <w:rPr>
          <w:rFonts w:cs="Arial"/>
          <w:b/>
          <w:sz w:val="16"/>
          <w:szCs w:val="16"/>
        </w:rPr>
      </w:pPr>
    </w:p>
    <w:p w14:paraId="687989EE" w14:textId="090251C5" w:rsidR="00ED3FE0" w:rsidRDefault="00ED3FE0" w:rsidP="005B7658">
      <w:pPr>
        <w:rPr>
          <w:rFonts w:cs="Arial"/>
          <w:b/>
        </w:rPr>
      </w:pPr>
      <w:r w:rsidRPr="00BC2785">
        <w:rPr>
          <w:b/>
          <w:bCs/>
        </w:rPr>
        <w:t>Sufficient Sample:</w:t>
      </w:r>
      <w:r>
        <w:t xml:space="preserve"> See </w:t>
      </w:r>
      <w:hyperlink w:anchor="_Safe_Surgery_Checklist_2" w:history="1">
        <w:r w:rsidRPr="00EE35F8">
          <w:rPr>
            <w:rStyle w:val="Hyperlink"/>
            <w:b/>
            <w:bCs/>
            <w:i/>
            <w:iCs/>
          </w:rPr>
          <w:t>Safe Surgery Checklist for Adult and Pediatric Complex Surgery Measure Specifications</w:t>
        </w:r>
      </w:hyperlink>
      <w:r w:rsidRPr="001E2A00">
        <w:rPr>
          <w:rStyle w:val="Hyperlink"/>
          <w:b/>
          <w:i/>
          <w:iCs/>
          <w:u w:val="none"/>
        </w:rPr>
        <w:t xml:space="preserve"> </w:t>
      </w:r>
      <w:r>
        <w:t>for instructions on identifying a sufficient sample for question</w:t>
      </w:r>
      <w:r w:rsidR="00FB67FD">
        <w:t>s</w:t>
      </w:r>
      <w:r>
        <w:t xml:space="preserve"> #6</w:t>
      </w:r>
      <w:r w:rsidR="00FB67FD">
        <w:t>-9</w:t>
      </w:r>
      <w:r>
        <w:t>.</w:t>
      </w:r>
    </w:p>
    <w:p w14:paraId="0F31A69F" w14:textId="77777777" w:rsidR="00ED3FE0" w:rsidRPr="00C8246A" w:rsidRDefault="00ED3FE0" w:rsidP="005B7658">
      <w:pPr>
        <w:rPr>
          <w:rFonts w:cs="Arial"/>
          <w:b/>
          <w:sz w:val="16"/>
          <w:szCs w:val="16"/>
        </w:rPr>
      </w:pPr>
    </w:p>
    <w:tbl>
      <w:tblPr>
        <w:tblStyle w:val="TableGrid"/>
        <w:tblW w:w="0" w:type="auto"/>
        <w:tblLook w:val="04A0" w:firstRow="1" w:lastRow="0" w:firstColumn="1" w:lastColumn="0" w:noHBand="0" w:noVBand="1"/>
      </w:tblPr>
      <w:tblGrid>
        <w:gridCol w:w="6025"/>
        <w:gridCol w:w="3325"/>
      </w:tblGrid>
      <w:tr w:rsidR="00B90CB9" w:rsidRPr="00895070" w14:paraId="1442728F" w14:textId="77777777" w:rsidTr="00D36222">
        <w:trPr>
          <w:trHeight w:val="20"/>
        </w:trPr>
        <w:tc>
          <w:tcPr>
            <w:tcW w:w="6025" w:type="dxa"/>
            <w:tcMar>
              <w:top w:w="72" w:type="dxa"/>
              <w:left w:w="115" w:type="dxa"/>
              <w:bottom w:w="72" w:type="dxa"/>
              <w:right w:w="115" w:type="dxa"/>
            </w:tcMar>
            <w:vAlign w:val="center"/>
          </w:tcPr>
          <w:p w14:paraId="775BCF01" w14:textId="4F1377CE" w:rsidR="00334E46" w:rsidRPr="00FC6695" w:rsidRDefault="00B90CB9" w:rsidP="00AD309C">
            <w:pPr>
              <w:pStyle w:val="ListParagraph"/>
              <w:numPr>
                <w:ilvl w:val="0"/>
                <w:numId w:val="131"/>
              </w:numPr>
              <w:rPr>
                <w:rFonts w:cs="Arial"/>
              </w:rPr>
            </w:pPr>
            <w:r w:rsidRPr="00FC6695">
              <w:rPr>
                <w:rFonts w:cs="Arial"/>
              </w:rPr>
              <w:t>What is the latest 12-month reporting period for which your hospital is submitting responses to questions #2-9? 12-month reporting period ending:</w:t>
            </w:r>
          </w:p>
        </w:tc>
        <w:tc>
          <w:tcPr>
            <w:tcW w:w="3325" w:type="dxa"/>
            <w:tcMar>
              <w:top w:w="72" w:type="dxa"/>
              <w:left w:w="115" w:type="dxa"/>
              <w:bottom w:w="72" w:type="dxa"/>
              <w:right w:w="115" w:type="dxa"/>
            </w:tcMar>
            <w:vAlign w:val="center"/>
          </w:tcPr>
          <w:p w14:paraId="0361E8EC" w14:textId="77777777" w:rsidR="00B90CB9" w:rsidRPr="00572D4C" w:rsidRDefault="00B90CB9" w:rsidP="00B90CB9">
            <w:pPr>
              <w:jc w:val="center"/>
              <w:rPr>
                <w:rFonts w:cs="Arial"/>
                <w:i/>
                <w:snapToGrid w:val="0"/>
                <w:sz w:val="16"/>
                <w:szCs w:val="16"/>
              </w:rPr>
            </w:pPr>
            <w:r w:rsidRPr="00572D4C">
              <w:rPr>
                <w:rFonts w:cs="Arial"/>
                <w:i/>
                <w:snapToGrid w:val="0"/>
                <w:sz w:val="16"/>
                <w:szCs w:val="16"/>
              </w:rPr>
              <w:t>_________</w:t>
            </w:r>
          </w:p>
          <w:p w14:paraId="7B48005A" w14:textId="18D3F45B" w:rsidR="00B90CB9" w:rsidRPr="00895070" w:rsidRDefault="00B90CB9" w:rsidP="00B90CB9">
            <w:pPr>
              <w:jc w:val="center"/>
            </w:pPr>
            <w:r w:rsidRPr="00C8246A">
              <w:rPr>
                <w:rFonts w:cs="Arial"/>
                <w:i/>
                <w:snapToGrid w:val="0"/>
                <w:sz w:val="16"/>
                <w:szCs w:val="16"/>
              </w:rPr>
              <w:t>Format: Month/Year</w:t>
            </w:r>
          </w:p>
        </w:tc>
      </w:tr>
      <w:tr w:rsidR="005B7658" w:rsidRPr="00895070" w14:paraId="4680C85F" w14:textId="77777777" w:rsidTr="00D36222">
        <w:trPr>
          <w:trHeight w:val="20"/>
        </w:trPr>
        <w:tc>
          <w:tcPr>
            <w:tcW w:w="6025" w:type="dxa"/>
            <w:tcMar>
              <w:top w:w="72" w:type="dxa"/>
              <w:left w:w="115" w:type="dxa"/>
              <w:bottom w:w="72" w:type="dxa"/>
              <w:right w:w="115" w:type="dxa"/>
            </w:tcMar>
            <w:vAlign w:val="center"/>
          </w:tcPr>
          <w:p w14:paraId="5431A726" w14:textId="77777777" w:rsidR="005B7658" w:rsidRPr="00895070" w:rsidRDefault="005B7658" w:rsidP="00AD309C">
            <w:pPr>
              <w:pStyle w:val="ListParagraph"/>
              <w:numPr>
                <w:ilvl w:val="0"/>
                <w:numId w:val="131"/>
              </w:numPr>
              <w:rPr>
                <w:rFonts w:cs="Arial"/>
              </w:rPr>
            </w:pPr>
            <w:r w:rsidRPr="00895070">
              <w:rPr>
                <w:rFonts w:cs="Arial"/>
              </w:rPr>
              <w:t xml:space="preserve">Does your hospital utilize a safe surgery checklist on </w:t>
            </w:r>
            <w:r w:rsidRPr="00895070">
              <w:rPr>
                <w:rFonts w:cs="Arial"/>
                <w:u w:val="single"/>
              </w:rPr>
              <w:t>every</w:t>
            </w:r>
            <w:r w:rsidRPr="00895070">
              <w:rPr>
                <w:rFonts w:cs="Arial"/>
              </w:rPr>
              <w:t xml:space="preserve"> patient </w:t>
            </w:r>
            <w:r w:rsidRPr="00895070">
              <w:rPr>
                <w:rFonts w:cs="Arial"/>
                <w:u w:val="single"/>
              </w:rPr>
              <w:t>every</w:t>
            </w:r>
            <w:r w:rsidRPr="00895070">
              <w:rPr>
                <w:rFonts w:cs="Arial"/>
              </w:rPr>
              <w:t xml:space="preserve"> time one of the applicable procedures in Section 3A is performed? </w:t>
            </w:r>
          </w:p>
          <w:p w14:paraId="0FE6366C" w14:textId="77777777" w:rsidR="005B7658" w:rsidRPr="00895070" w:rsidRDefault="005B7658" w:rsidP="00392474">
            <w:pPr>
              <w:pStyle w:val="ListParagraph"/>
              <w:ind w:left="360"/>
              <w:rPr>
                <w:rFonts w:cs="Arial"/>
              </w:rPr>
            </w:pPr>
          </w:p>
          <w:p w14:paraId="0DC28A01" w14:textId="5DB6B2DA" w:rsidR="005B7658" w:rsidRPr="00895070" w:rsidRDefault="005B7658" w:rsidP="00392474">
            <w:pPr>
              <w:pStyle w:val="ListParagraph"/>
              <w:ind w:left="360"/>
              <w:rPr>
                <w:rFonts w:cs="Arial"/>
                <w:i/>
                <w:iCs/>
              </w:rPr>
            </w:pPr>
            <w:r w:rsidRPr="00895070">
              <w:rPr>
                <w:rFonts w:cs="Arial"/>
                <w:i/>
                <w:iCs/>
              </w:rPr>
              <w:t xml:space="preserve">If “no” to question #2, skip </w:t>
            </w:r>
            <w:r w:rsidR="002954E8">
              <w:rPr>
                <w:rFonts w:cs="Arial"/>
                <w:i/>
                <w:iCs/>
              </w:rPr>
              <w:t xml:space="preserve">the remaining </w:t>
            </w:r>
            <w:r w:rsidRPr="00895070">
              <w:rPr>
                <w:rFonts w:cs="Arial"/>
                <w:i/>
                <w:iCs/>
              </w:rPr>
              <w:t xml:space="preserve">questions </w:t>
            </w:r>
            <w:r w:rsidR="002954E8">
              <w:rPr>
                <w:rFonts w:cs="Arial"/>
                <w:i/>
                <w:iCs/>
              </w:rPr>
              <w:t>in Section 3</w:t>
            </w:r>
            <w:r w:rsidR="00263AE4">
              <w:rPr>
                <w:rFonts w:cs="Arial"/>
                <w:i/>
                <w:iCs/>
              </w:rPr>
              <w:t>B</w:t>
            </w:r>
            <w:r w:rsidRPr="00895070">
              <w:rPr>
                <w:rFonts w:cs="Arial"/>
                <w:i/>
                <w:iCs/>
              </w:rPr>
              <w:t xml:space="preserve"> and </w:t>
            </w:r>
            <w:r w:rsidR="00057680">
              <w:rPr>
                <w:rFonts w:cs="Arial"/>
                <w:i/>
                <w:iCs/>
              </w:rPr>
              <w:t>go</w:t>
            </w:r>
            <w:r w:rsidR="004D35BD">
              <w:rPr>
                <w:rFonts w:cs="Arial"/>
                <w:i/>
                <w:iCs/>
              </w:rPr>
              <w:t xml:space="preserve"> </w:t>
            </w:r>
            <w:r w:rsidRPr="00895070">
              <w:rPr>
                <w:rFonts w:cs="Arial"/>
                <w:i/>
                <w:iCs/>
              </w:rPr>
              <w:t>to the Affirmation of Accuracy. The hospital will be scored as “Limited Achievement.”</w:t>
            </w:r>
          </w:p>
        </w:tc>
        <w:tc>
          <w:tcPr>
            <w:tcW w:w="3325" w:type="dxa"/>
            <w:tcMar>
              <w:top w:w="72" w:type="dxa"/>
              <w:left w:w="115" w:type="dxa"/>
              <w:bottom w:w="72" w:type="dxa"/>
              <w:right w:w="115" w:type="dxa"/>
            </w:tcMar>
            <w:vAlign w:val="center"/>
          </w:tcPr>
          <w:p w14:paraId="7B3507C0" w14:textId="77777777" w:rsidR="005B7658" w:rsidRPr="000F3D1F" w:rsidRDefault="005B7658" w:rsidP="00AD309C">
            <w:pPr>
              <w:pStyle w:val="ListParagraph"/>
              <w:numPr>
                <w:ilvl w:val="0"/>
                <w:numId w:val="242"/>
              </w:numPr>
              <w:rPr>
                <w:rFonts w:cs="Arial"/>
                <w:iCs/>
                <w:snapToGrid w:val="0"/>
              </w:rPr>
            </w:pPr>
            <w:r w:rsidRPr="000F3D1F">
              <w:rPr>
                <w:rFonts w:cs="Arial"/>
                <w:iCs/>
                <w:snapToGrid w:val="0"/>
              </w:rPr>
              <w:t>Yes</w:t>
            </w:r>
          </w:p>
          <w:p w14:paraId="3C774437" w14:textId="0788BC5B" w:rsidR="003D3E11" w:rsidRPr="000F3D1F" w:rsidRDefault="005B7658" w:rsidP="00AD309C">
            <w:pPr>
              <w:pStyle w:val="ListParagraph"/>
              <w:numPr>
                <w:ilvl w:val="0"/>
                <w:numId w:val="242"/>
              </w:numPr>
              <w:rPr>
                <w:rFonts w:cs="Arial"/>
                <w:iCs/>
                <w:snapToGrid w:val="0"/>
              </w:rPr>
            </w:pPr>
            <w:r w:rsidRPr="000F3D1F">
              <w:rPr>
                <w:rFonts w:cs="Arial"/>
                <w:iCs/>
                <w:snapToGrid w:val="0"/>
              </w:rPr>
              <w:t>No</w:t>
            </w:r>
          </w:p>
        </w:tc>
      </w:tr>
      <w:tr w:rsidR="005B7658" w:rsidRPr="00895070" w14:paraId="7431EA58" w14:textId="77777777" w:rsidTr="00D36222">
        <w:tc>
          <w:tcPr>
            <w:tcW w:w="6025" w:type="dxa"/>
            <w:tcMar>
              <w:top w:w="72" w:type="dxa"/>
              <w:left w:w="115" w:type="dxa"/>
              <w:bottom w:w="72" w:type="dxa"/>
              <w:right w:w="115" w:type="dxa"/>
            </w:tcMar>
            <w:vAlign w:val="center"/>
          </w:tcPr>
          <w:p w14:paraId="227597CA" w14:textId="3DC3F5F0" w:rsidR="005B7658" w:rsidRPr="006E26E4" w:rsidRDefault="005B7658" w:rsidP="00AD309C">
            <w:pPr>
              <w:pStyle w:val="ListParagraph"/>
              <w:numPr>
                <w:ilvl w:val="0"/>
                <w:numId w:val="131"/>
              </w:numPr>
              <w:rPr>
                <w:rFonts w:cs="Arial"/>
              </w:rPr>
            </w:pPr>
            <w:r w:rsidRPr="00895070">
              <w:rPr>
                <w:rFonts w:cs="Arial"/>
                <w:b/>
              </w:rPr>
              <w:t>Before the induction of anesthesia</w:t>
            </w:r>
            <w:r w:rsidRPr="00895070">
              <w:rPr>
                <w:rFonts w:cs="Arial"/>
                <w:bCs/>
              </w:rPr>
              <w:t xml:space="preserve">, is a safe surgery checklist that includes </w:t>
            </w:r>
            <w:r w:rsidRPr="00895070">
              <w:rPr>
                <w:rFonts w:cs="Arial"/>
                <w:bCs/>
                <w:u w:val="single"/>
              </w:rPr>
              <w:t>all</w:t>
            </w:r>
            <w:r w:rsidRPr="00895070">
              <w:rPr>
                <w:rFonts w:cs="Arial"/>
                <w:bCs/>
              </w:rPr>
              <w:t xml:space="preserve"> the following elements </w:t>
            </w:r>
            <w:r w:rsidRPr="00895070">
              <w:rPr>
                <w:rFonts w:cs="Arial"/>
                <w:bCs/>
                <w:u w:val="single"/>
              </w:rPr>
              <w:t>read aloud</w:t>
            </w:r>
            <w:r w:rsidRPr="00895070">
              <w:rPr>
                <w:rFonts w:cs="Arial"/>
                <w:bCs/>
              </w:rPr>
              <w:t xml:space="preserve"> in the presence of the </w:t>
            </w:r>
            <w:r w:rsidRPr="00895070">
              <w:rPr>
                <w:rFonts w:cs="Arial"/>
                <w:u w:val="single"/>
              </w:rPr>
              <w:t>anesthesia professional and nursing personnel</w:t>
            </w:r>
            <w:r w:rsidRPr="00895070">
              <w:rPr>
                <w:rFonts w:cs="Arial"/>
              </w:rPr>
              <w:t xml:space="preserve">: </w:t>
            </w:r>
          </w:p>
          <w:p w14:paraId="144CDD61" w14:textId="5F35EB82" w:rsidR="005B7658" w:rsidRPr="00895070" w:rsidRDefault="005B7658" w:rsidP="00AD309C">
            <w:pPr>
              <w:pStyle w:val="ListParagraph"/>
              <w:numPr>
                <w:ilvl w:val="0"/>
                <w:numId w:val="132"/>
              </w:numPr>
              <w:rPr>
                <w:rFonts w:cs="Arial"/>
              </w:rPr>
            </w:pPr>
            <w:r w:rsidRPr="00895070">
              <w:rPr>
                <w:rFonts w:cs="Arial"/>
              </w:rPr>
              <w:t>Patient ID</w:t>
            </w:r>
            <w:r w:rsidR="005E3827">
              <w:rPr>
                <w:rFonts w:cs="Arial"/>
              </w:rPr>
              <w:t>;</w:t>
            </w:r>
          </w:p>
          <w:p w14:paraId="63D5802B" w14:textId="2EC0CEFD" w:rsidR="005B7658" w:rsidRPr="00895070" w:rsidRDefault="005B7658" w:rsidP="00AD309C">
            <w:pPr>
              <w:pStyle w:val="ListParagraph"/>
              <w:numPr>
                <w:ilvl w:val="0"/>
                <w:numId w:val="132"/>
              </w:numPr>
              <w:rPr>
                <w:rFonts w:cs="Arial"/>
              </w:rPr>
            </w:pPr>
            <w:r w:rsidRPr="00895070">
              <w:rPr>
                <w:rFonts w:cs="Arial"/>
              </w:rPr>
              <w:t>Confirmation of procedure</w:t>
            </w:r>
            <w:r w:rsidR="005E3827">
              <w:rPr>
                <w:rFonts w:cs="Arial"/>
              </w:rPr>
              <w:t>;</w:t>
            </w:r>
          </w:p>
          <w:p w14:paraId="10A2D8BA" w14:textId="066B478B" w:rsidR="005B7658" w:rsidRPr="00895070" w:rsidRDefault="005B7658" w:rsidP="00AD309C">
            <w:pPr>
              <w:pStyle w:val="ListParagraph"/>
              <w:numPr>
                <w:ilvl w:val="0"/>
                <w:numId w:val="132"/>
              </w:numPr>
              <w:rPr>
                <w:rFonts w:cs="Arial"/>
              </w:rPr>
            </w:pPr>
            <w:r w:rsidRPr="00895070">
              <w:rPr>
                <w:rFonts w:cs="Arial"/>
              </w:rPr>
              <w:t>Patient consent</w:t>
            </w:r>
            <w:r w:rsidR="005E3827">
              <w:rPr>
                <w:rFonts w:cs="Arial"/>
              </w:rPr>
              <w:t>;</w:t>
            </w:r>
          </w:p>
          <w:p w14:paraId="526108A6" w14:textId="18E3D614" w:rsidR="005B7658" w:rsidRPr="00895070" w:rsidRDefault="005B7658" w:rsidP="00AD309C">
            <w:pPr>
              <w:pStyle w:val="ListParagraph"/>
              <w:numPr>
                <w:ilvl w:val="0"/>
                <w:numId w:val="132"/>
              </w:numPr>
              <w:rPr>
                <w:rFonts w:cs="Arial"/>
              </w:rPr>
            </w:pPr>
            <w:r w:rsidRPr="00895070">
              <w:rPr>
                <w:rFonts w:cs="Arial"/>
              </w:rPr>
              <w:t>Site marked, if applicable</w:t>
            </w:r>
            <w:r w:rsidR="005E3827">
              <w:rPr>
                <w:rFonts w:cs="Arial"/>
              </w:rPr>
              <w:t>;</w:t>
            </w:r>
          </w:p>
          <w:p w14:paraId="6F95A12B" w14:textId="1F4157DC" w:rsidR="005B7658" w:rsidRPr="00895070" w:rsidRDefault="005B7658" w:rsidP="00AD309C">
            <w:pPr>
              <w:pStyle w:val="ListParagraph"/>
              <w:numPr>
                <w:ilvl w:val="0"/>
                <w:numId w:val="132"/>
              </w:numPr>
              <w:rPr>
                <w:rFonts w:cs="Arial"/>
              </w:rPr>
            </w:pPr>
            <w:r w:rsidRPr="00895070">
              <w:rPr>
                <w:rFonts w:cs="Arial"/>
              </w:rPr>
              <w:t>Anesthesia/medication check</w:t>
            </w:r>
            <w:r w:rsidR="005E3827">
              <w:rPr>
                <w:rFonts w:cs="Arial"/>
              </w:rPr>
              <w:t>;</w:t>
            </w:r>
          </w:p>
          <w:p w14:paraId="5A54D8CB" w14:textId="0425569B" w:rsidR="005B7658" w:rsidRPr="00895070" w:rsidRDefault="005B7658" w:rsidP="00AD309C">
            <w:pPr>
              <w:pStyle w:val="ListParagraph"/>
              <w:numPr>
                <w:ilvl w:val="0"/>
                <w:numId w:val="132"/>
              </w:numPr>
              <w:rPr>
                <w:rFonts w:cs="Arial"/>
              </w:rPr>
            </w:pPr>
            <w:r w:rsidRPr="00895070">
              <w:rPr>
                <w:rFonts w:cs="Arial"/>
              </w:rPr>
              <w:t>Allergies assessed</w:t>
            </w:r>
            <w:r w:rsidR="005E3827">
              <w:rPr>
                <w:rFonts w:cs="Arial"/>
              </w:rPr>
              <w:t>;</w:t>
            </w:r>
          </w:p>
          <w:p w14:paraId="040DCC6D" w14:textId="609BD6C1" w:rsidR="005B7658" w:rsidRPr="00895070" w:rsidRDefault="005B7658" w:rsidP="00AD309C">
            <w:pPr>
              <w:pStyle w:val="ListParagraph"/>
              <w:numPr>
                <w:ilvl w:val="0"/>
                <w:numId w:val="132"/>
              </w:numPr>
              <w:rPr>
                <w:rFonts w:cs="Arial"/>
              </w:rPr>
            </w:pPr>
            <w:r w:rsidRPr="00895070">
              <w:rPr>
                <w:rFonts w:cs="Arial"/>
              </w:rPr>
              <w:t>Difficult airway/aspiration risk</w:t>
            </w:r>
            <w:r w:rsidR="005E3827">
              <w:rPr>
                <w:rFonts w:cs="Arial"/>
              </w:rPr>
              <w:t>;</w:t>
            </w:r>
          </w:p>
          <w:p w14:paraId="20681B8F" w14:textId="71C3A962" w:rsidR="005B7658" w:rsidRPr="00895070" w:rsidRDefault="005B7658" w:rsidP="00AD309C">
            <w:pPr>
              <w:pStyle w:val="ListParagraph"/>
              <w:numPr>
                <w:ilvl w:val="0"/>
                <w:numId w:val="132"/>
              </w:numPr>
              <w:rPr>
                <w:rFonts w:cs="Arial"/>
              </w:rPr>
            </w:pPr>
            <w:r w:rsidRPr="00895070">
              <w:rPr>
                <w:rFonts w:cs="Arial"/>
              </w:rPr>
              <w:t>Risk of blood loss</w:t>
            </w:r>
            <w:r w:rsidR="00630F4F">
              <w:rPr>
                <w:rFonts w:cs="Arial"/>
              </w:rPr>
              <w:t xml:space="preserve"> (only applicable </w:t>
            </w:r>
            <w:r w:rsidRPr="00895070">
              <w:rPr>
                <w:rFonts w:cs="Arial"/>
              </w:rPr>
              <w:t xml:space="preserve">if </w:t>
            </w:r>
            <w:r w:rsidR="008873FB">
              <w:rPr>
                <w:rFonts w:cs="Arial"/>
              </w:rPr>
              <w:t xml:space="preserve">risk of blood loss is </w:t>
            </w:r>
            <w:r w:rsidR="00D74D10" w:rsidRPr="00D74D10">
              <w:rPr>
                <w:rFonts w:cs="Arial"/>
              </w:rPr>
              <w:t xml:space="preserve">&gt;500ml </w:t>
            </w:r>
            <w:r w:rsidR="00D74D10">
              <w:rPr>
                <w:rFonts w:cs="Arial"/>
              </w:rPr>
              <w:t xml:space="preserve">for adults or </w:t>
            </w:r>
            <w:r w:rsidR="008873FB">
              <w:rPr>
                <w:rFonts w:cs="Arial"/>
              </w:rPr>
              <w:t>&gt;</w:t>
            </w:r>
            <w:r w:rsidR="00D74D10" w:rsidRPr="00D74D10">
              <w:rPr>
                <w:rFonts w:cs="Arial"/>
              </w:rPr>
              <w:t xml:space="preserve">7ml/kg </w:t>
            </w:r>
            <w:r w:rsidR="00D74D10">
              <w:rPr>
                <w:rFonts w:cs="Arial"/>
              </w:rPr>
              <w:t>for children</w:t>
            </w:r>
            <w:r w:rsidR="008873FB">
              <w:rPr>
                <w:rFonts w:cs="Arial"/>
              </w:rPr>
              <w:t>)</w:t>
            </w:r>
            <w:r w:rsidR="005E3827">
              <w:rPr>
                <w:rFonts w:cs="Arial"/>
              </w:rPr>
              <w:t>; and</w:t>
            </w:r>
          </w:p>
          <w:p w14:paraId="7E3727AD" w14:textId="269CF14E" w:rsidR="00BC4E89" w:rsidRPr="003A50A0" w:rsidRDefault="005D782F" w:rsidP="00AD309C">
            <w:pPr>
              <w:pStyle w:val="ListParagraph"/>
              <w:numPr>
                <w:ilvl w:val="0"/>
                <w:numId w:val="132"/>
              </w:numPr>
              <w:rPr>
                <w:rFonts w:cs="Arial"/>
              </w:rPr>
            </w:pPr>
            <w:r>
              <w:rPr>
                <w:rFonts w:cs="Arial"/>
              </w:rPr>
              <w:t>Availability of devices</w:t>
            </w:r>
            <w:r w:rsidR="007803A4" w:rsidRPr="00C8396D">
              <w:rPr>
                <w:rFonts w:cs="Arial"/>
              </w:rPr>
              <w:t xml:space="preserve"> (</w:t>
            </w:r>
            <w:r>
              <w:rPr>
                <w:rFonts w:cs="Arial"/>
              </w:rPr>
              <w:t>applicable to</w:t>
            </w:r>
            <w:r w:rsidR="007803A4" w:rsidRPr="00C8396D">
              <w:rPr>
                <w:rFonts w:cs="Arial"/>
              </w:rPr>
              <w:t xml:space="preserve"> endoscopy procedures only)</w:t>
            </w:r>
            <w:r w:rsidR="007803A4">
              <w:t>?</w:t>
            </w:r>
          </w:p>
        </w:tc>
        <w:tc>
          <w:tcPr>
            <w:tcW w:w="3325" w:type="dxa"/>
            <w:tcMar>
              <w:top w:w="72" w:type="dxa"/>
              <w:left w:w="115" w:type="dxa"/>
              <w:bottom w:w="72" w:type="dxa"/>
              <w:right w:w="115" w:type="dxa"/>
            </w:tcMar>
            <w:vAlign w:val="center"/>
          </w:tcPr>
          <w:p w14:paraId="24FA0339" w14:textId="77777777" w:rsidR="005B7658" w:rsidRPr="000F3D1F" w:rsidRDefault="005B7658" w:rsidP="00AD309C">
            <w:pPr>
              <w:pStyle w:val="ListParagraph"/>
              <w:numPr>
                <w:ilvl w:val="0"/>
                <w:numId w:val="242"/>
              </w:numPr>
              <w:rPr>
                <w:rFonts w:cs="Arial"/>
                <w:iCs/>
                <w:snapToGrid w:val="0"/>
              </w:rPr>
            </w:pPr>
            <w:r w:rsidRPr="000F3D1F">
              <w:rPr>
                <w:rFonts w:cs="Arial"/>
                <w:iCs/>
                <w:snapToGrid w:val="0"/>
              </w:rPr>
              <w:t>Yes</w:t>
            </w:r>
          </w:p>
          <w:p w14:paraId="265A606D" w14:textId="77777777" w:rsidR="005B7658" w:rsidRPr="000F3D1F" w:rsidRDefault="005B7658" w:rsidP="00AD309C">
            <w:pPr>
              <w:pStyle w:val="ListParagraph"/>
              <w:numPr>
                <w:ilvl w:val="0"/>
                <w:numId w:val="242"/>
              </w:numPr>
              <w:rPr>
                <w:rFonts w:cs="Arial"/>
                <w:iCs/>
                <w:snapToGrid w:val="0"/>
              </w:rPr>
            </w:pPr>
            <w:r w:rsidRPr="000F3D1F">
              <w:rPr>
                <w:rFonts w:cs="Arial"/>
                <w:iCs/>
                <w:snapToGrid w:val="0"/>
              </w:rPr>
              <w:t>No</w:t>
            </w:r>
          </w:p>
        </w:tc>
      </w:tr>
      <w:tr w:rsidR="005B7658" w:rsidRPr="00895070" w14:paraId="22749A1E" w14:textId="77777777" w:rsidTr="00D36222">
        <w:tc>
          <w:tcPr>
            <w:tcW w:w="6025" w:type="dxa"/>
            <w:tcMar>
              <w:top w:w="72" w:type="dxa"/>
              <w:left w:w="115" w:type="dxa"/>
              <w:bottom w:w="72" w:type="dxa"/>
              <w:right w:w="115" w:type="dxa"/>
            </w:tcMar>
            <w:vAlign w:val="center"/>
          </w:tcPr>
          <w:p w14:paraId="00F19C03" w14:textId="333FDE85" w:rsidR="005B7658" w:rsidRPr="00C8246A" w:rsidRDefault="005B7658" w:rsidP="00AD309C">
            <w:pPr>
              <w:pStyle w:val="ListParagraph"/>
              <w:numPr>
                <w:ilvl w:val="0"/>
                <w:numId w:val="131"/>
              </w:numPr>
              <w:rPr>
                <w:rFonts w:cs="Arial"/>
                <w:sz w:val="16"/>
                <w:szCs w:val="16"/>
              </w:rPr>
            </w:pPr>
            <w:r w:rsidRPr="00895070">
              <w:rPr>
                <w:rFonts w:cs="Arial"/>
                <w:b/>
                <w:bCs/>
              </w:rPr>
              <w:lastRenderedPageBreak/>
              <w:t>Before the skin incision and/or before the procedure begins</w:t>
            </w:r>
            <w:r w:rsidRPr="00895070">
              <w:rPr>
                <w:rFonts w:cs="Arial"/>
              </w:rPr>
              <w:t xml:space="preserve">, is a safe surgery checklist that includes </w:t>
            </w:r>
            <w:r w:rsidRPr="00895070">
              <w:rPr>
                <w:rFonts w:cs="Arial"/>
                <w:u w:val="single"/>
              </w:rPr>
              <w:t>all</w:t>
            </w:r>
            <w:r w:rsidRPr="00895070">
              <w:rPr>
                <w:rFonts w:cs="Arial"/>
              </w:rPr>
              <w:t xml:space="preserve"> the following elements </w:t>
            </w:r>
            <w:r w:rsidRPr="00895070">
              <w:rPr>
                <w:rFonts w:cs="Arial"/>
                <w:u w:val="single"/>
              </w:rPr>
              <w:t>read aloud</w:t>
            </w:r>
            <w:r w:rsidRPr="00895070">
              <w:rPr>
                <w:rFonts w:cs="Arial"/>
              </w:rPr>
              <w:t xml:space="preserve"> in the presence of the </w:t>
            </w:r>
            <w:hyperlink w:anchor="wholesurgicalteam3b" w:history="1">
              <w:r w:rsidRPr="00895070">
                <w:rPr>
                  <w:rStyle w:val="Hyperlink"/>
                  <w:rFonts w:cs="Arial"/>
                </w:rPr>
                <w:t>whole surgical team</w:t>
              </w:r>
            </w:hyperlink>
            <w:r w:rsidRPr="00895070">
              <w:rPr>
                <w:rFonts w:cs="Arial"/>
                <w:b/>
                <w:bCs/>
              </w:rPr>
              <w:t>:</w:t>
            </w:r>
            <w:r w:rsidRPr="00895070">
              <w:rPr>
                <w:rFonts w:cs="Arial"/>
              </w:rPr>
              <w:t xml:space="preserve"> </w:t>
            </w:r>
          </w:p>
          <w:p w14:paraId="4FFAD44A" w14:textId="0A44F4CC" w:rsidR="005B7658" w:rsidRPr="006E26E4" w:rsidRDefault="005B7658" w:rsidP="00AD309C">
            <w:pPr>
              <w:pStyle w:val="ListParagraph"/>
              <w:numPr>
                <w:ilvl w:val="0"/>
                <w:numId w:val="363"/>
              </w:numPr>
              <w:rPr>
                <w:rFonts w:cs="Arial"/>
              </w:rPr>
            </w:pPr>
            <w:hyperlink w:anchor="clinicalteamintro_3b" w:history="1">
              <w:r w:rsidRPr="00745E20">
                <w:rPr>
                  <w:rStyle w:val="Hyperlink"/>
                  <w:rFonts w:cs="Arial"/>
                </w:rPr>
                <w:t>Clinical team introduction</w:t>
              </w:r>
            </w:hyperlink>
            <w:r w:rsidR="005E3827">
              <w:rPr>
                <w:rFonts w:cs="Arial"/>
              </w:rPr>
              <w:t>;</w:t>
            </w:r>
          </w:p>
          <w:p w14:paraId="64AEF35F" w14:textId="22594120" w:rsidR="005B7658" w:rsidRPr="006E26E4" w:rsidRDefault="005B7658" w:rsidP="00AD309C">
            <w:pPr>
              <w:pStyle w:val="ListParagraph"/>
              <w:numPr>
                <w:ilvl w:val="0"/>
                <w:numId w:val="363"/>
              </w:numPr>
              <w:rPr>
                <w:rFonts w:cs="Arial"/>
              </w:rPr>
            </w:pPr>
            <w:r w:rsidRPr="006E26E4">
              <w:rPr>
                <w:rFonts w:cs="Arial"/>
              </w:rPr>
              <w:t>Confirmation of patient name, procedure, and, if applicable, surgical/incision site</w:t>
            </w:r>
            <w:r w:rsidR="005E3827">
              <w:rPr>
                <w:rFonts w:cs="Arial"/>
              </w:rPr>
              <w:t>;</w:t>
            </w:r>
          </w:p>
          <w:p w14:paraId="26BB7CAC" w14:textId="6B830823" w:rsidR="005B7658" w:rsidRPr="006E26E4" w:rsidRDefault="005B7658" w:rsidP="00AD309C">
            <w:pPr>
              <w:pStyle w:val="ListParagraph"/>
              <w:numPr>
                <w:ilvl w:val="0"/>
                <w:numId w:val="363"/>
              </w:numPr>
              <w:rPr>
                <w:rFonts w:cs="Arial"/>
              </w:rPr>
            </w:pPr>
            <w:r w:rsidRPr="006E26E4">
              <w:rPr>
                <w:rFonts w:cs="Arial"/>
              </w:rPr>
              <w:t>Antibiotic prophylaxis, if applicable</w:t>
            </w:r>
            <w:r w:rsidR="005E3827">
              <w:rPr>
                <w:rFonts w:cs="Arial"/>
              </w:rPr>
              <w:t>;</w:t>
            </w:r>
          </w:p>
          <w:p w14:paraId="01AAA150" w14:textId="1F38580B" w:rsidR="005B7658" w:rsidRPr="006E26E4" w:rsidRDefault="005B7658" w:rsidP="00AD309C">
            <w:pPr>
              <w:pStyle w:val="ListParagraph"/>
              <w:numPr>
                <w:ilvl w:val="0"/>
                <w:numId w:val="363"/>
              </w:numPr>
              <w:rPr>
                <w:rFonts w:cs="Arial"/>
              </w:rPr>
            </w:pPr>
            <w:r w:rsidRPr="006E26E4">
              <w:rPr>
                <w:rFonts w:cs="Arial"/>
              </w:rPr>
              <w:t>Anticipated Critical Events (</w:t>
            </w:r>
            <w:r w:rsidR="00325482" w:rsidRPr="006E26E4">
              <w:rPr>
                <w:rFonts w:cs="Arial"/>
              </w:rPr>
              <w:t xml:space="preserve">i.e., </w:t>
            </w:r>
            <w:r w:rsidRPr="006E26E4">
              <w:rPr>
                <w:rFonts w:cs="Arial"/>
              </w:rPr>
              <w:t>non-routine steps, length of procedure, blood loss, patient-specific concerns, sterility)</w:t>
            </w:r>
            <w:r w:rsidR="005E3827">
              <w:rPr>
                <w:rFonts w:cs="Arial"/>
              </w:rPr>
              <w:t>;</w:t>
            </w:r>
          </w:p>
          <w:p w14:paraId="757D3D42" w14:textId="77777777" w:rsidR="00B87C69" w:rsidRDefault="005B7658" w:rsidP="00AD309C">
            <w:pPr>
              <w:pStyle w:val="ListParagraph"/>
              <w:numPr>
                <w:ilvl w:val="0"/>
                <w:numId w:val="363"/>
              </w:numPr>
              <w:rPr>
                <w:rFonts w:cs="Arial"/>
              </w:rPr>
            </w:pPr>
            <w:r w:rsidRPr="00B87C69">
              <w:rPr>
                <w:rFonts w:cs="Arial"/>
              </w:rPr>
              <w:t>Equipment check/concerns</w:t>
            </w:r>
            <w:r w:rsidR="005E3827" w:rsidRPr="00B87C69">
              <w:rPr>
                <w:rFonts w:cs="Arial"/>
              </w:rPr>
              <w:t>; and</w:t>
            </w:r>
          </w:p>
          <w:p w14:paraId="58F6D487" w14:textId="4A8562B3" w:rsidR="00B96F83" w:rsidRPr="00B87C69" w:rsidRDefault="005B7658" w:rsidP="00AD309C">
            <w:pPr>
              <w:pStyle w:val="ListParagraph"/>
              <w:numPr>
                <w:ilvl w:val="0"/>
                <w:numId w:val="363"/>
              </w:numPr>
              <w:rPr>
                <w:rFonts w:cs="Arial"/>
              </w:rPr>
            </w:pPr>
            <w:r w:rsidRPr="00B87C69">
              <w:rPr>
                <w:rFonts w:cs="Arial"/>
              </w:rPr>
              <w:t>Essential imaging available, if applicable</w:t>
            </w:r>
            <w:r w:rsidR="00E46B59" w:rsidRPr="00B87C69">
              <w:rPr>
                <w:rFonts w:cs="Arial"/>
              </w:rPr>
              <w:t>?</w:t>
            </w:r>
          </w:p>
        </w:tc>
        <w:tc>
          <w:tcPr>
            <w:tcW w:w="3325" w:type="dxa"/>
            <w:tcMar>
              <w:top w:w="72" w:type="dxa"/>
              <w:left w:w="115" w:type="dxa"/>
              <w:bottom w:w="72" w:type="dxa"/>
              <w:right w:w="115" w:type="dxa"/>
            </w:tcMar>
            <w:vAlign w:val="center"/>
          </w:tcPr>
          <w:p w14:paraId="104435CF" w14:textId="77777777" w:rsidR="005B7658" w:rsidRPr="000F3D1F" w:rsidRDefault="005B7658" w:rsidP="00AD309C">
            <w:pPr>
              <w:pStyle w:val="ListParagraph"/>
              <w:numPr>
                <w:ilvl w:val="0"/>
                <w:numId w:val="243"/>
              </w:numPr>
              <w:rPr>
                <w:rFonts w:cs="Arial"/>
                <w:iCs/>
              </w:rPr>
            </w:pPr>
            <w:r w:rsidRPr="000F3D1F">
              <w:rPr>
                <w:rFonts w:cs="Arial"/>
                <w:iCs/>
              </w:rPr>
              <w:t>Yes</w:t>
            </w:r>
          </w:p>
          <w:p w14:paraId="23D0F5DB" w14:textId="77777777" w:rsidR="005B7658" w:rsidRPr="000F3D1F" w:rsidRDefault="005B7658" w:rsidP="00AD309C">
            <w:pPr>
              <w:pStyle w:val="ListParagraph"/>
              <w:numPr>
                <w:ilvl w:val="0"/>
                <w:numId w:val="243"/>
              </w:numPr>
              <w:rPr>
                <w:rFonts w:cs="Arial"/>
                <w:iCs/>
              </w:rPr>
            </w:pPr>
            <w:r w:rsidRPr="000F3D1F">
              <w:rPr>
                <w:rFonts w:cs="Arial"/>
                <w:iCs/>
              </w:rPr>
              <w:t>No</w:t>
            </w:r>
          </w:p>
        </w:tc>
      </w:tr>
      <w:tr w:rsidR="005B7658" w:rsidRPr="00895070" w14:paraId="7DB90336" w14:textId="77777777" w:rsidTr="00D36222">
        <w:tc>
          <w:tcPr>
            <w:tcW w:w="6025" w:type="dxa"/>
            <w:tcMar>
              <w:top w:w="72" w:type="dxa"/>
              <w:left w:w="115" w:type="dxa"/>
              <w:bottom w:w="72" w:type="dxa"/>
              <w:right w:w="115" w:type="dxa"/>
            </w:tcMar>
            <w:vAlign w:val="center"/>
          </w:tcPr>
          <w:p w14:paraId="09B449A4" w14:textId="54D684CB" w:rsidR="005B7658" w:rsidRPr="00C8246A" w:rsidRDefault="005B7658" w:rsidP="00AD309C">
            <w:pPr>
              <w:pStyle w:val="ListParagraph"/>
              <w:numPr>
                <w:ilvl w:val="0"/>
                <w:numId w:val="131"/>
              </w:numPr>
              <w:rPr>
                <w:rFonts w:cs="Arial"/>
                <w:sz w:val="16"/>
                <w:szCs w:val="16"/>
              </w:rPr>
            </w:pPr>
            <w:r w:rsidRPr="00895070">
              <w:rPr>
                <w:rFonts w:cs="Arial"/>
                <w:b/>
              </w:rPr>
              <w:t>Before the patient leaves the operating room and/or procedure room</w:t>
            </w:r>
            <w:r w:rsidRPr="00895070">
              <w:rPr>
                <w:rFonts w:cs="Arial"/>
                <w:bCs/>
              </w:rPr>
              <w:t xml:space="preserve">, is a safe surgery checklist that includes </w:t>
            </w:r>
            <w:r w:rsidRPr="00895070">
              <w:rPr>
                <w:rFonts w:cs="Arial"/>
                <w:bCs/>
                <w:u w:val="single"/>
              </w:rPr>
              <w:t>all</w:t>
            </w:r>
            <w:r w:rsidRPr="00895070">
              <w:rPr>
                <w:rFonts w:cs="Arial"/>
                <w:bCs/>
              </w:rPr>
              <w:t xml:space="preserve"> the following elements </w:t>
            </w:r>
            <w:r w:rsidRPr="00895070">
              <w:rPr>
                <w:rFonts w:cs="Arial"/>
                <w:bCs/>
                <w:u w:val="single"/>
              </w:rPr>
              <w:t>read aloud</w:t>
            </w:r>
            <w:r w:rsidRPr="00895070">
              <w:rPr>
                <w:rFonts w:cs="Arial"/>
                <w:bCs/>
              </w:rPr>
              <w:t xml:space="preserve"> in the presence of the </w:t>
            </w:r>
            <w:hyperlink w:anchor="wholesurgicalteam3b" w:history="1">
              <w:r w:rsidRPr="00895070">
                <w:rPr>
                  <w:rStyle w:val="Hyperlink"/>
                  <w:rFonts w:cs="Arial"/>
                  <w:bCs/>
                </w:rPr>
                <w:t>whole surgical team</w:t>
              </w:r>
            </w:hyperlink>
            <w:r w:rsidRPr="00895070">
              <w:rPr>
                <w:rFonts w:cs="Arial"/>
              </w:rPr>
              <w:t xml:space="preserve">: </w:t>
            </w:r>
          </w:p>
          <w:p w14:paraId="6479D831" w14:textId="61694EF7" w:rsidR="005B7658" w:rsidRPr="00895070" w:rsidRDefault="005B7658" w:rsidP="00AD309C">
            <w:pPr>
              <w:pStyle w:val="ListParagraph"/>
              <w:numPr>
                <w:ilvl w:val="0"/>
                <w:numId w:val="134"/>
              </w:numPr>
              <w:rPr>
                <w:rFonts w:cs="Arial"/>
              </w:rPr>
            </w:pPr>
            <w:r w:rsidRPr="00895070">
              <w:rPr>
                <w:rFonts w:cs="Arial"/>
              </w:rPr>
              <w:t>Confirmation of procedure performed</w:t>
            </w:r>
            <w:r w:rsidR="005E3827">
              <w:rPr>
                <w:rFonts w:cs="Arial"/>
              </w:rPr>
              <w:t>;</w:t>
            </w:r>
            <w:r w:rsidRPr="00895070">
              <w:rPr>
                <w:rFonts w:cs="Arial"/>
              </w:rPr>
              <w:t xml:space="preserve"> </w:t>
            </w:r>
          </w:p>
          <w:p w14:paraId="3167B1CF" w14:textId="40C64EEF" w:rsidR="005B7658" w:rsidRPr="00895070" w:rsidRDefault="005B7658" w:rsidP="00AD309C">
            <w:pPr>
              <w:pStyle w:val="ListParagraph"/>
              <w:numPr>
                <w:ilvl w:val="0"/>
                <w:numId w:val="134"/>
              </w:numPr>
              <w:rPr>
                <w:rFonts w:cs="Arial"/>
              </w:rPr>
            </w:pPr>
            <w:r w:rsidRPr="00895070">
              <w:rPr>
                <w:rFonts w:cs="Arial"/>
              </w:rPr>
              <w:t>Instrument/supply counts</w:t>
            </w:r>
            <w:r w:rsidR="005E3827">
              <w:rPr>
                <w:rFonts w:cs="Arial"/>
              </w:rPr>
              <w:t>;</w:t>
            </w:r>
          </w:p>
          <w:p w14:paraId="721D1C27" w14:textId="23416670" w:rsidR="005B7658" w:rsidRPr="00895070" w:rsidRDefault="005B7658" w:rsidP="00AD309C">
            <w:pPr>
              <w:pStyle w:val="ListParagraph"/>
              <w:numPr>
                <w:ilvl w:val="0"/>
                <w:numId w:val="134"/>
              </w:numPr>
              <w:rPr>
                <w:rFonts w:cs="Arial"/>
              </w:rPr>
            </w:pPr>
            <w:r w:rsidRPr="00895070">
              <w:rPr>
                <w:rFonts w:cs="Arial"/>
              </w:rPr>
              <w:t>Specimen labeling, if applicable</w:t>
            </w:r>
            <w:r w:rsidR="005E3827">
              <w:rPr>
                <w:rFonts w:cs="Arial"/>
              </w:rPr>
              <w:t>;</w:t>
            </w:r>
          </w:p>
          <w:p w14:paraId="61CDE8B8" w14:textId="6DE1FBC0" w:rsidR="005B7658" w:rsidRPr="00895070" w:rsidRDefault="005B7658" w:rsidP="00AD309C">
            <w:pPr>
              <w:pStyle w:val="ListParagraph"/>
              <w:numPr>
                <w:ilvl w:val="0"/>
                <w:numId w:val="134"/>
              </w:numPr>
              <w:rPr>
                <w:rFonts w:cs="Arial"/>
              </w:rPr>
            </w:pPr>
            <w:r w:rsidRPr="00895070">
              <w:rPr>
                <w:rFonts w:cs="Arial"/>
              </w:rPr>
              <w:t>Equipment concerns</w:t>
            </w:r>
            <w:r w:rsidR="005E3827">
              <w:rPr>
                <w:rFonts w:cs="Arial"/>
              </w:rPr>
              <w:t>; and</w:t>
            </w:r>
          </w:p>
          <w:p w14:paraId="64383C8C" w14:textId="495E5E96" w:rsidR="005B7658" w:rsidRPr="00A24B5A" w:rsidRDefault="005B7658" w:rsidP="00AD309C">
            <w:pPr>
              <w:pStyle w:val="ListParagraph"/>
              <w:numPr>
                <w:ilvl w:val="0"/>
                <w:numId w:val="134"/>
              </w:numPr>
              <w:rPr>
                <w:rFonts w:cs="Arial"/>
              </w:rPr>
            </w:pPr>
            <w:r w:rsidRPr="00895070">
              <w:rPr>
                <w:rFonts w:cs="Arial"/>
              </w:rPr>
              <w:t>Patient recovery/management concerns?</w:t>
            </w:r>
          </w:p>
        </w:tc>
        <w:tc>
          <w:tcPr>
            <w:tcW w:w="3325" w:type="dxa"/>
            <w:tcMar>
              <w:top w:w="72" w:type="dxa"/>
              <w:left w:w="115" w:type="dxa"/>
              <w:bottom w:w="72" w:type="dxa"/>
              <w:right w:w="115" w:type="dxa"/>
            </w:tcMar>
            <w:vAlign w:val="center"/>
          </w:tcPr>
          <w:p w14:paraId="5C77C26A" w14:textId="77777777" w:rsidR="005B7658" w:rsidRPr="000F3D1F" w:rsidRDefault="005B7658" w:rsidP="00AD309C">
            <w:pPr>
              <w:pStyle w:val="ListParagraph"/>
              <w:numPr>
                <w:ilvl w:val="0"/>
                <w:numId w:val="243"/>
              </w:numPr>
              <w:rPr>
                <w:rFonts w:cs="Arial"/>
                <w:iCs/>
              </w:rPr>
            </w:pPr>
            <w:r w:rsidRPr="000F3D1F">
              <w:rPr>
                <w:rFonts w:cs="Arial"/>
                <w:iCs/>
              </w:rPr>
              <w:t>Yes</w:t>
            </w:r>
          </w:p>
          <w:p w14:paraId="796A4A80" w14:textId="77777777" w:rsidR="005B7658" w:rsidRPr="000F3D1F" w:rsidRDefault="005B7658" w:rsidP="00AD309C">
            <w:pPr>
              <w:pStyle w:val="ListParagraph"/>
              <w:numPr>
                <w:ilvl w:val="0"/>
                <w:numId w:val="243"/>
              </w:numPr>
              <w:rPr>
                <w:rFonts w:cs="Arial"/>
                <w:iCs/>
              </w:rPr>
            </w:pPr>
            <w:r w:rsidRPr="000F3D1F">
              <w:rPr>
                <w:rFonts w:cs="Arial"/>
                <w:iCs/>
              </w:rPr>
              <w:t>No</w:t>
            </w:r>
          </w:p>
        </w:tc>
      </w:tr>
    </w:tbl>
    <w:p w14:paraId="01D62620" w14:textId="6E7A260F" w:rsidR="002954E8" w:rsidRPr="000C127F" w:rsidRDefault="002954E8">
      <w:pPr>
        <w:rPr>
          <w:rFonts w:cs="Arial"/>
          <w:sz w:val="16"/>
          <w:szCs w:val="16"/>
          <w:lang w:eastAsia="ja-JP"/>
        </w:rPr>
      </w:pPr>
    </w:p>
    <w:p w14:paraId="6644D49F" w14:textId="6F7CBB0D" w:rsidR="00F72C9F" w:rsidRDefault="002954E8">
      <w:pPr>
        <w:rPr>
          <w:rFonts w:cs="Arial"/>
          <w:i/>
          <w:iCs/>
          <w:lang w:eastAsia="ja-JP"/>
        </w:rPr>
      </w:pPr>
      <w:r w:rsidRPr="001E2A00">
        <w:rPr>
          <w:rFonts w:cs="Arial"/>
          <w:i/>
          <w:iCs/>
          <w:lang w:eastAsia="ja-JP"/>
        </w:rPr>
        <w:t>If “no” to question #3, #4, or #5, skip the remaining questions in Section 3</w:t>
      </w:r>
      <w:r w:rsidR="00263AE4">
        <w:rPr>
          <w:rFonts w:cs="Arial"/>
          <w:i/>
          <w:iCs/>
          <w:lang w:eastAsia="ja-JP"/>
        </w:rPr>
        <w:t>B</w:t>
      </w:r>
      <w:r w:rsidRPr="001E2A00">
        <w:rPr>
          <w:rFonts w:cs="Arial"/>
          <w:i/>
          <w:iCs/>
          <w:lang w:eastAsia="ja-JP"/>
        </w:rPr>
        <w:t xml:space="preserve"> and go to the Affirmation of Accuracy. The hospital will be scored as </w:t>
      </w:r>
      <w:r>
        <w:rPr>
          <w:rFonts w:cs="Arial"/>
          <w:i/>
          <w:iCs/>
          <w:lang w:eastAsia="ja-JP"/>
        </w:rPr>
        <w:t>“Limited Achievement.”</w:t>
      </w:r>
    </w:p>
    <w:p w14:paraId="7550B694" w14:textId="34794A19" w:rsidR="00F72C9F" w:rsidRPr="000C127F" w:rsidRDefault="00F72C9F">
      <w:pPr>
        <w:rPr>
          <w:rFonts w:cs="Arial"/>
          <w:i/>
          <w:iCs/>
          <w:sz w:val="16"/>
          <w:szCs w:val="16"/>
          <w:lang w:eastAsia="ja-JP"/>
        </w:rPr>
      </w:pPr>
    </w:p>
    <w:p w14:paraId="2C1C5E26" w14:textId="78A38AEE" w:rsidR="00F72C9F" w:rsidRPr="00F72C9F" w:rsidRDefault="00F72C9F">
      <w:pPr>
        <w:rPr>
          <w:rFonts w:cs="Arial"/>
          <w:i/>
          <w:iCs/>
          <w:lang w:eastAsia="ja-JP"/>
        </w:rPr>
      </w:pPr>
      <w:r>
        <w:rPr>
          <w:rFonts w:cs="Arial"/>
          <w:i/>
          <w:iCs/>
          <w:lang w:eastAsia="ja-JP"/>
        </w:rPr>
        <w:t>Hospitals performing the audit in Section 3</w:t>
      </w:r>
      <w:r w:rsidR="00263AE4">
        <w:rPr>
          <w:rFonts w:cs="Arial"/>
          <w:i/>
          <w:iCs/>
          <w:lang w:eastAsia="ja-JP"/>
        </w:rPr>
        <w:t>B</w:t>
      </w:r>
      <w:r>
        <w:rPr>
          <w:rFonts w:cs="Arial"/>
          <w:i/>
          <w:iCs/>
          <w:lang w:eastAsia="ja-JP"/>
        </w:rPr>
        <w:t xml:space="preserve"> question #6 and the audit in Section 9D question #</w:t>
      </w:r>
      <w:r w:rsidR="000A6A29">
        <w:rPr>
          <w:rFonts w:cs="Arial"/>
          <w:i/>
          <w:iCs/>
          <w:lang w:eastAsia="ja-JP"/>
        </w:rPr>
        <w:t>6</w:t>
      </w:r>
      <w:r w:rsidRPr="00F72C9F">
        <w:rPr>
          <w:rFonts w:cs="Arial"/>
          <w:i/>
          <w:iCs/>
          <w:lang w:eastAsia="ja-JP"/>
        </w:rPr>
        <w:t xml:space="preserve"> </w:t>
      </w:r>
      <w:r w:rsidRPr="00581B5F">
        <w:rPr>
          <w:rFonts w:cs="Arial"/>
          <w:i/>
          <w:iCs/>
          <w:lang w:eastAsia="ja-JP"/>
        </w:rPr>
        <w:t xml:space="preserve">should audit 15 cases who underwent a procedure included in Section 3A and 15 cases who underwent a procedure included in Section </w:t>
      </w:r>
      <w:r>
        <w:rPr>
          <w:rFonts w:cs="Arial"/>
          <w:i/>
          <w:iCs/>
          <w:lang w:eastAsia="ja-JP"/>
        </w:rPr>
        <w:t>9</w:t>
      </w:r>
      <w:r w:rsidRPr="00581B5F">
        <w:rPr>
          <w:rFonts w:cs="Arial"/>
          <w:i/>
          <w:iCs/>
          <w:lang w:eastAsia="ja-JP"/>
        </w:rPr>
        <w:t xml:space="preserve">C. </w:t>
      </w:r>
      <w:r>
        <w:rPr>
          <w:rFonts w:cs="Arial"/>
          <w:i/>
          <w:iCs/>
          <w:lang w:eastAsia="ja-JP"/>
        </w:rPr>
        <w:t>Hospitals only performing the audit in Section 3</w:t>
      </w:r>
      <w:r w:rsidR="00263AE4">
        <w:rPr>
          <w:rFonts w:cs="Arial"/>
          <w:i/>
          <w:iCs/>
          <w:lang w:eastAsia="ja-JP"/>
        </w:rPr>
        <w:t>B</w:t>
      </w:r>
      <w:r>
        <w:rPr>
          <w:rFonts w:cs="Arial"/>
          <w:i/>
          <w:iCs/>
          <w:lang w:eastAsia="ja-JP"/>
        </w:rPr>
        <w:t xml:space="preserve"> question #6 and not in Section 9D question #</w:t>
      </w:r>
      <w:r w:rsidR="000A6A29">
        <w:rPr>
          <w:rFonts w:cs="Arial"/>
          <w:i/>
          <w:iCs/>
          <w:lang w:eastAsia="ja-JP"/>
        </w:rPr>
        <w:t>6</w:t>
      </w:r>
      <w:r>
        <w:rPr>
          <w:rFonts w:cs="Arial"/>
          <w:i/>
          <w:iCs/>
          <w:lang w:eastAsia="ja-JP"/>
        </w:rPr>
        <w:t xml:space="preserve"> </w:t>
      </w:r>
      <w:r w:rsidRPr="00581B5F">
        <w:rPr>
          <w:rFonts w:cs="Arial"/>
          <w:i/>
          <w:iCs/>
          <w:lang w:eastAsia="ja-JP"/>
        </w:rPr>
        <w:t>should audit 30 cases who underwent a procedure included in Section 3A</w:t>
      </w:r>
      <w:r>
        <w:rPr>
          <w:rFonts w:cs="Arial"/>
          <w:i/>
          <w:iCs/>
          <w:lang w:eastAsia="ja-JP"/>
        </w:rPr>
        <w:t>.</w:t>
      </w:r>
    </w:p>
    <w:p w14:paraId="4695F592" w14:textId="77777777" w:rsidR="00C56BFE" w:rsidRPr="000C127F" w:rsidRDefault="00C56BFE">
      <w:pPr>
        <w:rPr>
          <w:rFonts w:cs="Arial"/>
          <w:sz w:val="16"/>
          <w:szCs w:val="16"/>
          <w:lang w:eastAsia="ja-JP"/>
        </w:rPr>
      </w:pPr>
    </w:p>
    <w:tbl>
      <w:tblPr>
        <w:tblStyle w:val="TableGrid"/>
        <w:tblW w:w="0" w:type="auto"/>
        <w:tblLook w:val="04A0" w:firstRow="1" w:lastRow="0" w:firstColumn="1" w:lastColumn="0" w:noHBand="0" w:noVBand="1"/>
      </w:tblPr>
      <w:tblGrid>
        <w:gridCol w:w="6475"/>
        <w:gridCol w:w="2875"/>
      </w:tblGrid>
      <w:tr w:rsidR="002954E8" w14:paraId="7DF2BC8A" w14:textId="77777777" w:rsidTr="004D5AD0">
        <w:trPr>
          <w:trHeight w:val="3312"/>
        </w:trPr>
        <w:tc>
          <w:tcPr>
            <w:tcW w:w="6475" w:type="dxa"/>
            <w:vAlign w:val="center"/>
          </w:tcPr>
          <w:p w14:paraId="49DACBD7" w14:textId="2701F5D2" w:rsidR="002954E8" w:rsidRPr="00895070" w:rsidRDefault="002954E8" w:rsidP="00AD309C">
            <w:pPr>
              <w:pStyle w:val="ListParagraph"/>
              <w:numPr>
                <w:ilvl w:val="0"/>
                <w:numId w:val="131"/>
              </w:numPr>
              <w:rPr>
                <w:rFonts w:cs="Arial"/>
              </w:rPr>
            </w:pPr>
            <w:r w:rsidRPr="00895070">
              <w:rPr>
                <w:rFonts w:cs="Arial"/>
              </w:rPr>
              <w:t xml:space="preserve">Did your hospital perform an audit (either in-person or via the medical record or other EHR data) on </w:t>
            </w:r>
            <w:r w:rsidR="00D25C4F">
              <w:rPr>
                <w:rFonts w:cs="Arial"/>
              </w:rPr>
              <w:t>a sufficient sample</w:t>
            </w:r>
            <w:r w:rsidRPr="00895070">
              <w:rPr>
                <w:rFonts w:cs="Arial"/>
              </w:rPr>
              <w:t xml:space="preserve"> of patients who underwent a procedure included in Section 3A and measure adherence to the safe surgery checklist? </w:t>
            </w:r>
          </w:p>
          <w:p w14:paraId="69CACEB2" w14:textId="77777777" w:rsidR="002954E8" w:rsidRPr="00895070" w:rsidRDefault="002954E8" w:rsidP="002954E8">
            <w:pPr>
              <w:pStyle w:val="ListParagraph"/>
              <w:ind w:left="360"/>
              <w:rPr>
                <w:rFonts w:cs="Arial"/>
              </w:rPr>
            </w:pPr>
          </w:p>
          <w:p w14:paraId="24686978" w14:textId="6940E77F" w:rsidR="002954E8" w:rsidRPr="00895070" w:rsidRDefault="002954E8" w:rsidP="002954E8">
            <w:pPr>
              <w:pStyle w:val="ListParagraph"/>
              <w:ind w:left="360"/>
              <w:rPr>
                <w:rFonts w:cs="Arial"/>
                <w:i/>
                <w:iCs/>
              </w:rPr>
            </w:pPr>
            <w:r w:rsidRPr="00895070">
              <w:rPr>
                <w:rFonts w:cs="Arial"/>
                <w:i/>
                <w:iCs/>
              </w:rPr>
              <w:t xml:space="preserve">Free-standing pediatric hospitals that perform the Norwood Procedure </w:t>
            </w:r>
            <w:r>
              <w:rPr>
                <w:rFonts w:cs="Arial"/>
                <w:i/>
                <w:iCs/>
              </w:rPr>
              <w:t xml:space="preserve">and hospitals that reported a combined total hospital volume of less than </w:t>
            </w:r>
            <w:r w:rsidR="00F72C9F">
              <w:rPr>
                <w:rFonts w:cs="Arial"/>
                <w:i/>
                <w:iCs/>
              </w:rPr>
              <w:t xml:space="preserve">the </w:t>
            </w:r>
            <w:r w:rsidR="00DA07D2">
              <w:rPr>
                <w:rFonts w:cs="Arial"/>
                <w:i/>
                <w:iCs/>
              </w:rPr>
              <w:t>sufficient sample</w:t>
            </w:r>
            <w:r w:rsidR="00F72C9F">
              <w:rPr>
                <w:rFonts w:cs="Arial"/>
                <w:i/>
                <w:iCs/>
              </w:rPr>
              <w:t xml:space="preserve"> </w:t>
            </w:r>
            <w:r>
              <w:rPr>
                <w:rFonts w:cs="Arial"/>
                <w:i/>
                <w:iCs/>
              </w:rPr>
              <w:t xml:space="preserve">for all the procedures in Section 3A </w:t>
            </w:r>
            <w:r w:rsidRPr="00895070">
              <w:rPr>
                <w:rFonts w:cs="Arial"/>
                <w:i/>
                <w:iCs/>
              </w:rPr>
              <w:t xml:space="preserve">can sample any patients that had a procedure performed under general anesthesia. </w:t>
            </w:r>
          </w:p>
          <w:p w14:paraId="19610533" w14:textId="77777777" w:rsidR="002954E8" w:rsidRPr="00895070" w:rsidRDefault="002954E8" w:rsidP="0011459E"/>
          <w:p w14:paraId="43F4D31D" w14:textId="77777777" w:rsidR="00C7333E" w:rsidRDefault="002954E8" w:rsidP="00F72C9F">
            <w:pPr>
              <w:ind w:left="360"/>
              <w:rPr>
                <w:rFonts w:cs="Arial"/>
                <w:i/>
              </w:rPr>
            </w:pPr>
            <w:r w:rsidRPr="00895070">
              <w:rPr>
                <w:rFonts w:cs="Arial"/>
                <w:i/>
              </w:rPr>
              <w:t xml:space="preserve">If “no” to question #6, skip </w:t>
            </w:r>
            <w:r>
              <w:rPr>
                <w:rFonts w:cs="Arial"/>
                <w:i/>
              </w:rPr>
              <w:t>the remaining questions in Section 3</w:t>
            </w:r>
            <w:r w:rsidR="00263AE4">
              <w:rPr>
                <w:rFonts w:cs="Arial"/>
                <w:i/>
              </w:rPr>
              <w:t>B</w:t>
            </w:r>
            <w:r w:rsidRPr="00895070">
              <w:rPr>
                <w:rFonts w:cs="Arial"/>
                <w:i/>
              </w:rPr>
              <w:t xml:space="preserve"> and </w:t>
            </w:r>
            <w:r>
              <w:rPr>
                <w:rFonts w:cs="Arial"/>
                <w:i/>
              </w:rPr>
              <w:t>go</w:t>
            </w:r>
            <w:r w:rsidRPr="00895070">
              <w:rPr>
                <w:rFonts w:cs="Arial"/>
                <w:i/>
              </w:rPr>
              <w:t xml:space="preserve"> to the Affirmation of Accuracy. The hospital will be scored as “Limited Achievement.”</w:t>
            </w:r>
          </w:p>
          <w:p w14:paraId="132570A1" w14:textId="77777777" w:rsidR="009B0840" w:rsidRDefault="009B0840" w:rsidP="00F72C9F">
            <w:pPr>
              <w:ind w:left="360"/>
              <w:rPr>
                <w:rFonts w:cs="Arial"/>
                <w:lang w:eastAsia="ja-JP"/>
              </w:rPr>
            </w:pPr>
          </w:p>
          <w:p w14:paraId="6684F8C6" w14:textId="4594701D" w:rsidR="009B0840" w:rsidRDefault="009B0840" w:rsidP="00F72C9F">
            <w:pPr>
              <w:ind w:left="360"/>
              <w:rPr>
                <w:rFonts w:cs="Arial"/>
                <w:lang w:eastAsia="ja-JP"/>
              </w:rPr>
            </w:pPr>
            <w:r w:rsidRPr="00FD4746">
              <w:rPr>
                <w:rFonts w:cs="Arial"/>
                <w:i/>
                <w:iCs/>
                <w:lang w:eastAsia="ja-JP"/>
              </w:rPr>
              <w:t xml:space="preserve">If “no, </w:t>
            </w:r>
            <w:r w:rsidR="00DE3E15" w:rsidRPr="00FD4746">
              <w:rPr>
                <w:rFonts w:cs="Arial"/>
                <w:i/>
                <w:iCs/>
                <w:lang w:eastAsia="ja-JP"/>
              </w:rPr>
              <w:t xml:space="preserve">performed </w:t>
            </w:r>
            <w:r w:rsidRPr="00FD4746">
              <w:rPr>
                <w:rFonts w:cs="Arial"/>
                <w:i/>
                <w:iCs/>
                <w:lang w:eastAsia="ja-JP"/>
              </w:rPr>
              <w:t xml:space="preserve">fewer than 30 </w:t>
            </w:r>
            <w:r w:rsidR="003B0108">
              <w:rPr>
                <w:rFonts w:cs="Arial"/>
                <w:i/>
                <w:iCs/>
                <w:lang w:eastAsia="ja-JP"/>
              </w:rPr>
              <w:t xml:space="preserve">total </w:t>
            </w:r>
            <w:r w:rsidRPr="00FD4746">
              <w:rPr>
                <w:rFonts w:cs="Arial"/>
                <w:i/>
                <w:iCs/>
                <w:lang w:eastAsia="ja-JP"/>
              </w:rPr>
              <w:t>inpatient procedures</w:t>
            </w:r>
            <w:r w:rsidR="00DE3E15" w:rsidRPr="00FD4746">
              <w:rPr>
                <w:rFonts w:cs="Arial"/>
                <w:i/>
                <w:iCs/>
                <w:lang w:eastAsia="ja-JP"/>
              </w:rPr>
              <w:t xml:space="preserve"> under general anesthesia</w:t>
            </w:r>
            <w:r w:rsidRPr="00FD4746">
              <w:rPr>
                <w:rFonts w:cs="Arial"/>
                <w:i/>
                <w:iCs/>
                <w:lang w:eastAsia="ja-JP"/>
              </w:rPr>
              <w:t>”</w:t>
            </w:r>
            <w:r w:rsidR="00DE3E15" w:rsidRPr="00FD4746">
              <w:rPr>
                <w:rFonts w:cs="Arial"/>
                <w:i/>
                <w:iCs/>
                <w:lang w:eastAsia="ja-JP"/>
              </w:rPr>
              <w:t xml:space="preserve"> to question #6,</w:t>
            </w:r>
            <w:r w:rsidR="00DE3E15">
              <w:rPr>
                <w:rFonts w:cs="Arial"/>
                <w:lang w:eastAsia="ja-JP"/>
              </w:rPr>
              <w:t xml:space="preserve"> </w:t>
            </w:r>
            <w:r w:rsidR="00DE3E15" w:rsidRPr="00895070">
              <w:rPr>
                <w:rFonts w:cs="Arial"/>
                <w:i/>
              </w:rPr>
              <w:t xml:space="preserve">skip </w:t>
            </w:r>
            <w:r w:rsidR="00DE3E15">
              <w:rPr>
                <w:rFonts w:cs="Arial"/>
                <w:i/>
              </w:rPr>
              <w:t>the remaining questions in Section 3B</w:t>
            </w:r>
            <w:r w:rsidR="00DE3E15" w:rsidRPr="00895070">
              <w:rPr>
                <w:rFonts w:cs="Arial"/>
                <w:i/>
              </w:rPr>
              <w:t xml:space="preserve"> and </w:t>
            </w:r>
            <w:r w:rsidR="00DE3E15">
              <w:rPr>
                <w:rFonts w:cs="Arial"/>
                <w:i/>
              </w:rPr>
              <w:t>go</w:t>
            </w:r>
            <w:r w:rsidR="00DE3E15" w:rsidRPr="00895070">
              <w:rPr>
                <w:rFonts w:cs="Arial"/>
                <w:i/>
              </w:rPr>
              <w:t xml:space="preserve"> to the Affirmation of Accuracy</w:t>
            </w:r>
            <w:r w:rsidR="00FD4746">
              <w:rPr>
                <w:rFonts w:cs="Arial"/>
                <w:i/>
              </w:rPr>
              <w:t xml:space="preserve">. </w:t>
            </w:r>
            <w:r w:rsidR="00DE3E15" w:rsidRPr="00895070">
              <w:rPr>
                <w:rFonts w:cs="Arial"/>
                <w:i/>
              </w:rPr>
              <w:t>The hospital will be scored as “</w:t>
            </w:r>
            <w:r w:rsidR="00FD4746">
              <w:rPr>
                <w:rFonts w:cs="Arial"/>
                <w:i/>
              </w:rPr>
              <w:t>Unable to Calculate Score</w:t>
            </w:r>
            <w:r w:rsidR="00DE3E15" w:rsidRPr="00895070">
              <w:rPr>
                <w:rFonts w:cs="Arial"/>
                <w:i/>
              </w:rPr>
              <w:t>.”</w:t>
            </w:r>
          </w:p>
        </w:tc>
        <w:tc>
          <w:tcPr>
            <w:tcW w:w="2875" w:type="dxa"/>
            <w:vAlign w:val="center"/>
          </w:tcPr>
          <w:p w14:paraId="43B18B3F" w14:textId="77777777" w:rsidR="002954E8" w:rsidRPr="000F3D1F" w:rsidRDefault="002954E8" w:rsidP="00AD309C">
            <w:pPr>
              <w:pStyle w:val="ListParagraph"/>
              <w:numPr>
                <w:ilvl w:val="0"/>
                <w:numId w:val="244"/>
              </w:numPr>
              <w:rPr>
                <w:rFonts w:cs="Arial"/>
                <w:iCs/>
                <w:snapToGrid w:val="0"/>
              </w:rPr>
            </w:pPr>
            <w:r w:rsidRPr="000F3D1F">
              <w:rPr>
                <w:rFonts w:cs="Arial"/>
                <w:iCs/>
                <w:snapToGrid w:val="0"/>
              </w:rPr>
              <w:t>Yes</w:t>
            </w:r>
          </w:p>
          <w:p w14:paraId="087E715C" w14:textId="77777777" w:rsidR="002954E8" w:rsidRPr="00FD4746" w:rsidRDefault="002954E8" w:rsidP="00AD309C">
            <w:pPr>
              <w:pStyle w:val="ListParagraph"/>
              <w:numPr>
                <w:ilvl w:val="0"/>
                <w:numId w:val="244"/>
              </w:numPr>
              <w:rPr>
                <w:rFonts w:cs="Arial"/>
                <w:iCs/>
                <w:lang w:eastAsia="ja-JP"/>
              </w:rPr>
            </w:pPr>
            <w:r w:rsidRPr="000F3D1F">
              <w:rPr>
                <w:rFonts w:cs="Arial"/>
                <w:iCs/>
                <w:snapToGrid w:val="0"/>
              </w:rPr>
              <w:t>No</w:t>
            </w:r>
          </w:p>
          <w:p w14:paraId="1648B274" w14:textId="669E5CA1" w:rsidR="00B46C72" w:rsidRPr="00263AE4" w:rsidRDefault="00CB0DE5" w:rsidP="00AD309C">
            <w:pPr>
              <w:pStyle w:val="ListParagraph"/>
              <w:numPr>
                <w:ilvl w:val="0"/>
                <w:numId w:val="244"/>
              </w:numPr>
              <w:rPr>
                <w:rFonts w:cs="Arial"/>
                <w:iCs/>
                <w:lang w:eastAsia="ja-JP"/>
              </w:rPr>
            </w:pPr>
            <w:r>
              <w:rPr>
                <w:rFonts w:cs="Arial"/>
                <w:iCs/>
                <w:lang w:eastAsia="ja-JP"/>
              </w:rPr>
              <w:t xml:space="preserve">No, </w:t>
            </w:r>
            <w:r w:rsidR="00DE3E15">
              <w:rPr>
                <w:rFonts w:cs="Arial"/>
                <w:iCs/>
                <w:lang w:eastAsia="ja-JP"/>
              </w:rPr>
              <w:t xml:space="preserve">performed </w:t>
            </w:r>
            <w:r>
              <w:rPr>
                <w:rFonts w:cs="Arial"/>
                <w:iCs/>
                <w:lang w:eastAsia="ja-JP"/>
              </w:rPr>
              <w:t xml:space="preserve">fewer than 30 </w:t>
            </w:r>
            <w:r w:rsidR="003B0108">
              <w:rPr>
                <w:rFonts w:cs="Arial"/>
                <w:iCs/>
                <w:lang w:eastAsia="ja-JP"/>
              </w:rPr>
              <w:t xml:space="preserve">total </w:t>
            </w:r>
            <w:r>
              <w:rPr>
                <w:rFonts w:cs="Arial"/>
                <w:iCs/>
                <w:lang w:eastAsia="ja-JP"/>
              </w:rPr>
              <w:t>inpatient procedures</w:t>
            </w:r>
            <w:r w:rsidR="00DE3E15">
              <w:rPr>
                <w:rFonts w:cs="Arial"/>
                <w:iCs/>
                <w:lang w:eastAsia="ja-JP"/>
              </w:rPr>
              <w:t xml:space="preserve"> under general anesthesia</w:t>
            </w:r>
          </w:p>
        </w:tc>
      </w:tr>
      <w:tr w:rsidR="00D05526" w14:paraId="211B3129" w14:textId="77777777" w:rsidTr="00357E20">
        <w:trPr>
          <w:trHeight w:val="576"/>
        </w:trPr>
        <w:tc>
          <w:tcPr>
            <w:tcW w:w="6475" w:type="dxa"/>
            <w:vAlign w:val="center"/>
          </w:tcPr>
          <w:p w14:paraId="38FA74FA" w14:textId="4C0E7259" w:rsidR="00D05526" w:rsidRPr="00895070" w:rsidRDefault="00D05526" w:rsidP="00AD309C">
            <w:pPr>
              <w:pStyle w:val="ListParagraph"/>
              <w:numPr>
                <w:ilvl w:val="0"/>
                <w:numId w:val="131"/>
              </w:numPr>
              <w:rPr>
                <w:rFonts w:cs="Arial"/>
              </w:rPr>
            </w:pPr>
            <w:r>
              <w:rPr>
                <w:rFonts w:cs="Arial"/>
              </w:rPr>
              <w:t>How many cases were included in the audit from question #6?</w:t>
            </w:r>
          </w:p>
        </w:tc>
        <w:tc>
          <w:tcPr>
            <w:tcW w:w="2875" w:type="dxa"/>
            <w:tcBorders>
              <w:bottom w:val="single" w:sz="4" w:space="0" w:color="auto"/>
            </w:tcBorders>
            <w:vAlign w:val="center"/>
          </w:tcPr>
          <w:p w14:paraId="096EECC7" w14:textId="77777777" w:rsidR="00D05526" w:rsidRDefault="00D05526" w:rsidP="00C8246A">
            <w:pPr>
              <w:jc w:val="center"/>
              <w:rPr>
                <w:rFonts w:cs="Arial"/>
                <w:snapToGrid w:val="0"/>
              </w:rPr>
            </w:pPr>
            <w:r w:rsidRPr="00B90CB9">
              <w:rPr>
                <w:rFonts w:cs="Arial"/>
                <w:snapToGrid w:val="0"/>
              </w:rPr>
              <w:t>_________</w:t>
            </w:r>
          </w:p>
          <w:p w14:paraId="7B665D6E" w14:textId="574FEF8A" w:rsidR="007620C6" w:rsidRPr="00D83920" w:rsidRDefault="007620C6" w:rsidP="00C8246A">
            <w:pPr>
              <w:jc w:val="center"/>
              <w:rPr>
                <w:rFonts w:cs="Arial"/>
                <w:i/>
                <w:snapToGrid w:val="0"/>
              </w:rPr>
            </w:pPr>
            <w:r w:rsidRPr="005149DB">
              <w:rPr>
                <w:rFonts w:cs="Arial"/>
                <w:i/>
                <w:snapToGrid w:val="0"/>
                <w:sz w:val="16"/>
                <w:szCs w:val="16"/>
              </w:rPr>
              <w:t>Max value 100</w:t>
            </w:r>
          </w:p>
        </w:tc>
      </w:tr>
      <w:tr w:rsidR="00F72C9F" w14:paraId="53022BA7" w14:textId="77777777" w:rsidTr="000F3D1F">
        <w:trPr>
          <w:trHeight w:val="1008"/>
        </w:trPr>
        <w:tc>
          <w:tcPr>
            <w:tcW w:w="6475" w:type="dxa"/>
            <w:tcBorders>
              <w:bottom w:val="single" w:sz="4" w:space="0" w:color="auto"/>
            </w:tcBorders>
            <w:vAlign w:val="center"/>
          </w:tcPr>
          <w:p w14:paraId="41A54278" w14:textId="1184CB13" w:rsidR="00F72C9F" w:rsidRPr="00895070" w:rsidRDefault="00F72C9F" w:rsidP="00AD309C">
            <w:pPr>
              <w:pStyle w:val="ListParagraph"/>
              <w:numPr>
                <w:ilvl w:val="0"/>
                <w:numId w:val="131"/>
              </w:numPr>
              <w:rPr>
                <w:rFonts w:cs="Arial"/>
              </w:rPr>
            </w:pPr>
            <w:r>
              <w:rPr>
                <w:rFonts w:cs="Arial"/>
              </w:rPr>
              <w:lastRenderedPageBreak/>
              <w:t>Wh</w:t>
            </w:r>
            <w:r w:rsidR="00F76918">
              <w:rPr>
                <w:rFonts w:cs="Arial"/>
              </w:rPr>
              <w:t>ich</w:t>
            </w:r>
            <w:r>
              <w:rPr>
                <w:rFonts w:cs="Arial"/>
              </w:rPr>
              <w:t xml:space="preserve"> method was used to perform the audit </w:t>
            </w:r>
            <w:r w:rsidR="00D25C4F">
              <w:rPr>
                <w:rFonts w:cs="Arial"/>
              </w:rPr>
              <w:t xml:space="preserve">on a sufficient sample </w:t>
            </w:r>
            <w:r>
              <w:rPr>
                <w:rFonts w:cs="Arial"/>
              </w:rPr>
              <w:t>in question #6?</w:t>
            </w:r>
          </w:p>
        </w:tc>
        <w:tc>
          <w:tcPr>
            <w:tcW w:w="2875" w:type="dxa"/>
            <w:tcBorders>
              <w:bottom w:val="single" w:sz="4" w:space="0" w:color="auto"/>
            </w:tcBorders>
            <w:vAlign w:val="center"/>
          </w:tcPr>
          <w:p w14:paraId="4F7F63F5" w14:textId="77777777" w:rsidR="00F72C9F" w:rsidRPr="000F3D1F" w:rsidRDefault="00F72C9F" w:rsidP="00AD309C">
            <w:pPr>
              <w:pStyle w:val="ListParagraph"/>
              <w:numPr>
                <w:ilvl w:val="0"/>
                <w:numId w:val="244"/>
              </w:numPr>
              <w:rPr>
                <w:rFonts w:cs="Arial"/>
                <w:iCs/>
                <w:snapToGrid w:val="0"/>
              </w:rPr>
            </w:pPr>
            <w:r w:rsidRPr="000F3D1F">
              <w:rPr>
                <w:rFonts w:cs="Arial"/>
                <w:iCs/>
                <w:snapToGrid w:val="0"/>
              </w:rPr>
              <w:t>In-person observational audit</w:t>
            </w:r>
          </w:p>
          <w:p w14:paraId="652A9A0C" w14:textId="77777777" w:rsidR="00F72C9F" w:rsidRPr="000F3D1F" w:rsidRDefault="00F72C9F" w:rsidP="00AD309C">
            <w:pPr>
              <w:pStyle w:val="ListParagraph"/>
              <w:numPr>
                <w:ilvl w:val="0"/>
                <w:numId w:val="244"/>
              </w:numPr>
              <w:rPr>
                <w:rFonts w:cs="Arial"/>
                <w:iCs/>
                <w:snapToGrid w:val="0"/>
              </w:rPr>
            </w:pPr>
            <w:r w:rsidRPr="000F3D1F">
              <w:rPr>
                <w:rFonts w:cs="Arial"/>
                <w:iCs/>
                <w:snapToGrid w:val="0"/>
              </w:rPr>
              <w:t>Retrospective audit of medical records or EHR data</w:t>
            </w:r>
          </w:p>
          <w:p w14:paraId="7BF3CCBB" w14:textId="2E64BBB7" w:rsidR="00F72C9F" w:rsidRPr="000F3D1F" w:rsidRDefault="00F72C9F" w:rsidP="00AD309C">
            <w:pPr>
              <w:pStyle w:val="ListParagraph"/>
              <w:numPr>
                <w:ilvl w:val="0"/>
                <w:numId w:val="244"/>
              </w:numPr>
              <w:rPr>
                <w:rFonts w:cs="Arial"/>
                <w:iCs/>
                <w:snapToGrid w:val="0"/>
              </w:rPr>
            </w:pPr>
            <w:r w:rsidRPr="000F3D1F">
              <w:rPr>
                <w:rFonts w:cs="Arial"/>
                <w:iCs/>
                <w:snapToGrid w:val="0"/>
              </w:rPr>
              <w:t xml:space="preserve">Both </w:t>
            </w:r>
          </w:p>
        </w:tc>
      </w:tr>
      <w:tr w:rsidR="002954E8" w14:paraId="41A2713E" w14:textId="77777777" w:rsidTr="000F3D1F">
        <w:trPr>
          <w:trHeight w:val="1440"/>
        </w:trPr>
        <w:tc>
          <w:tcPr>
            <w:tcW w:w="6475" w:type="dxa"/>
            <w:tcBorders>
              <w:bottom w:val="single" w:sz="4" w:space="0" w:color="auto"/>
            </w:tcBorders>
            <w:vAlign w:val="center"/>
          </w:tcPr>
          <w:p w14:paraId="6438075F" w14:textId="7D779D01" w:rsidR="002954E8" w:rsidRPr="002954E8" w:rsidRDefault="002954E8" w:rsidP="00AD309C">
            <w:pPr>
              <w:pStyle w:val="ListParagraph"/>
              <w:numPr>
                <w:ilvl w:val="0"/>
                <w:numId w:val="131"/>
              </w:numPr>
              <w:rPr>
                <w:rFonts w:cs="Arial"/>
                <w:lang w:eastAsia="ja-JP"/>
              </w:rPr>
            </w:pPr>
            <w:r w:rsidRPr="002954E8">
              <w:rPr>
                <w:rFonts w:cs="Arial"/>
              </w:rPr>
              <w:t xml:space="preserve">Based on your hospital’s audit (either in-person or via the medical record or other EHR data) on </w:t>
            </w:r>
            <w:r w:rsidR="00DA07D2">
              <w:rPr>
                <w:rFonts w:cs="Arial"/>
              </w:rPr>
              <w:t>a sufficient sample of patients</w:t>
            </w:r>
            <w:r w:rsidRPr="002954E8">
              <w:rPr>
                <w:rFonts w:cs="Arial"/>
              </w:rPr>
              <w:t xml:space="preserve"> who underwent a procedure included in Section 3A, what was your hospital</w:t>
            </w:r>
            <w:r w:rsidR="001E06C7">
              <w:rPr>
                <w:rFonts w:cs="Arial"/>
              </w:rPr>
              <w:t>’</w:t>
            </w:r>
            <w:r w:rsidRPr="002954E8">
              <w:rPr>
                <w:rFonts w:cs="Arial"/>
              </w:rPr>
              <w:t>s documented rate of adherence to the safe surgery checklist (</w:t>
            </w:r>
            <w:r w:rsidR="00797ED4">
              <w:rPr>
                <w:rFonts w:cs="Arial"/>
              </w:rPr>
              <w:t>i</w:t>
            </w:r>
            <w:r w:rsidRPr="002954E8">
              <w:rPr>
                <w:rFonts w:cs="Arial"/>
              </w:rPr>
              <w:t>.</w:t>
            </w:r>
            <w:r w:rsidR="00797ED4">
              <w:rPr>
                <w:rFonts w:cs="Arial"/>
              </w:rPr>
              <w:t>e</w:t>
            </w:r>
            <w:r w:rsidRPr="002954E8">
              <w:rPr>
                <w:rFonts w:cs="Arial"/>
              </w:rPr>
              <w:t xml:space="preserve">., what percentage of the sampled cases had all elements in questions #3, #4, and #5 completed)? </w:t>
            </w:r>
          </w:p>
        </w:tc>
        <w:tc>
          <w:tcPr>
            <w:tcW w:w="2875" w:type="dxa"/>
            <w:tcBorders>
              <w:top w:val="single" w:sz="4" w:space="0" w:color="auto"/>
            </w:tcBorders>
            <w:vAlign w:val="center"/>
          </w:tcPr>
          <w:p w14:paraId="205A1494" w14:textId="77777777" w:rsidR="002954E8" w:rsidRPr="000F3D1F" w:rsidRDefault="002954E8" w:rsidP="00AD309C">
            <w:pPr>
              <w:pStyle w:val="ListParagraph"/>
              <w:numPr>
                <w:ilvl w:val="0"/>
                <w:numId w:val="244"/>
              </w:numPr>
              <w:rPr>
                <w:rFonts w:cs="Arial"/>
                <w:iCs/>
                <w:snapToGrid w:val="0"/>
              </w:rPr>
            </w:pPr>
            <w:r w:rsidRPr="000F3D1F">
              <w:rPr>
                <w:rFonts w:cs="Arial"/>
                <w:iCs/>
                <w:snapToGrid w:val="0"/>
              </w:rPr>
              <w:t>90%-100%</w:t>
            </w:r>
          </w:p>
          <w:p w14:paraId="3AD445E9" w14:textId="77777777" w:rsidR="002954E8" w:rsidRPr="000F3D1F" w:rsidRDefault="002954E8" w:rsidP="00AD309C">
            <w:pPr>
              <w:pStyle w:val="ListParagraph"/>
              <w:numPr>
                <w:ilvl w:val="0"/>
                <w:numId w:val="244"/>
              </w:numPr>
              <w:rPr>
                <w:rFonts w:cs="Arial"/>
                <w:iCs/>
                <w:snapToGrid w:val="0"/>
              </w:rPr>
            </w:pPr>
            <w:r w:rsidRPr="000F3D1F">
              <w:rPr>
                <w:rFonts w:cs="Arial"/>
                <w:iCs/>
                <w:snapToGrid w:val="0"/>
              </w:rPr>
              <w:t>75%-89%</w:t>
            </w:r>
          </w:p>
          <w:p w14:paraId="7C8AD4CE" w14:textId="77777777" w:rsidR="002954E8" w:rsidRPr="000F3D1F" w:rsidRDefault="002954E8" w:rsidP="00AD309C">
            <w:pPr>
              <w:pStyle w:val="ListParagraph"/>
              <w:numPr>
                <w:ilvl w:val="0"/>
                <w:numId w:val="244"/>
              </w:numPr>
              <w:rPr>
                <w:rFonts w:cs="Arial"/>
                <w:iCs/>
                <w:snapToGrid w:val="0"/>
              </w:rPr>
            </w:pPr>
            <w:r w:rsidRPr="000F3D1F">
              <w:rPr>
                <w:rFonts w:cs="Arial"/>
                <w:iCs/>
                <w:snapToGrid w:val="0"/>
              </w:rPr>
              <w:t>50%-74%</w:t>
            </w:r>
          </w:p>
          <w:p w14:paraId="547FB07C" w14:textId="7512E8E1" w:rsidR="002954E8" w:rsidRPr="00263AE4" w:rsidRDefault="002954E8" w:rsidP="00AD309C">
            <w:pPr>
              <w:pStyle w:val="ListParagraph"/>
              <w:numPr>
                <w:ilvl w:val="0"/>
                <w:numId w:val="244"/>
              </w:numPr>
              <w:rPr>
                <w:rFonts w:cs="Arial"/>
                <w:iCs/>
                <w:lang w:eastAsia="ja-JP"/>
              </w:rPr>
            </w:pPr>
            <w:r w:rsidRPr="000F3D1F">
              <w:rPr>
                <w:rFonts w:cs="Arial"/>
                <w:iCs/>
                <w:snapToGrid w:val="0"/>
              </w:rPr>
              <w:t>Less than 50%</w:t>
            </w:r>
          </w:p>
        </w:tc>
      </w:tr>
    </w:tbl>
    <w:p w14:paraId="4EB77C9C" w14:textId="74FAE205" w:rsidR="005B2EEB" w:rsidRPr="009A5185" w:rsidRDefault="00AB1656" w:rsidP="005B2EEB">
      <w:pPr>
        <w:rPr>
          <w:rFonts w:cs="Arial"/>
          <w:b/>
          <w:snapToGrid w:val="0"/>
          <w:color w:val="000000"/>
        </w:rPr>
      </w:pPr>
      <w:r>
        <w:rPr>
          <w:rFonts w:cs="Arial"/>
          <w:b/>
          <w:snapToGrid w:val="0"/>
          <w:color w:val="000000"/>
        </w:rPr>
        <w:br w:type="page"/>
      </w:r>
      <w:r w:rsidR="005B2EEB" w:rsidRPr="009A5185">
        <w:rPr>
          <w:rFonts w:cs="Arial"/>
          <w:b/>
          <w:snapToGrid w:val="0"/>
          <w:color w:val="000000"/>
        </w:rPr>
        <w:lastRenderedPageBreak/>
        <w:t>Affirmation of Accuracy</w:t>
      </w:r>
    </w:p>
    <w:p w14:paraId="70343EDE" w14:textId="77777777" w:rsidR="005B2EEB" w:rsidRPr="009A5185" w:rsidRDefault="005B2EEB" w:rsidP="005B2EEB">
      <w:pPr>
        <w:jc w:val="both"/>
        <w:rPr>
          <w:rFonts w:cs="Arial"/>
          <w:i/>
          <w:iCs/>
        </w:rPr>
      </w:pPr>
    </w:p>
    <w:p w14:paraId="1F5CAE75" w14:textId="1C032246" w:rsidR="00456023" w:rsidRPr="00675EEF" w:rsidRDefault="00456023" w:rsidP="00456023">
      <w:pPr>
        <w:rPr>
          <w:rFonts w:cs="Arial"/>
          <w:color w:val="000000"/>
        </w:rPr>
      </w:pPr>
      <w:r w:rsidRPr="009A5185">
        <w:rPr>
          <w:rFonts w:cs="Arial"/>
          <w:color w:val="000000"/>
        </w:rPr>
        <w:t>As the hospital CEO or as an employee of the hospital to wh</w:t>
      </w:r>
      <w:r w:rsidRPr="00675EEF">
        <w:rPr>
          <w:rFonts w:cs="Arial"/>
          <w:color w:val="000000"/>
        </w:rPr>
        <w:t xml:space="preserve">om the hospital CEO has delegated responsibility, I have reviewed this information pertaining to the </w:t>
      </w:r>
      <w:r w:rsidR="00B152BD" w:rsidRPr="00675EEF">
        <w:rPr>
          <w:rFonts w:cs="Arial"/>
          <w:color w:val="000000"/>
        </w:rPr>
        <w:t xml:space="preserve">Adult and Pediatric </w:t>
      </w:r>
      <w:r w:rsidR="004441DE">
        <w:rPr>
          <w:rFonts w:cs="Arial"/>
          <w:color w:val="000000"/>
        </w:rPr>
        <w:t>Complex</w:t>
      </w:r>
      <w:r w:rsidR="00EE6C8B" w:rsidRPr="00675EEF">
        <w:rPr>
          <w:rFonts w:cs="Arial"/>
          <w:color w:val="000000"/>
        </w:rPr>
        <w:t xml:space="preserve"> Surgery</w:t>
      </w:r>
      <w:r w:rsidRPr="00675EEF">
        <w:rPr>
          <w:rFonts w:cs="Arial"/>
          <w:color w:val="000000"/>
        </w:rPr>
        <w:t xml:space="preserve"> Section at our hospital, and I hereby </w:t>
      </w:r>
      <w:r w:rsidR="00F35C91">
        <w:rPr>
          <w:rFonts w:cs="Arial"/>
          <w:color w:val="000000"/>
        </w:rPr>
        <w:t xml:space="preserve">affirm </w:t>
      </w:r>
      <w:r w:rsidRPr="00675EEF">
        <w:rPr>
          <w:rFonts w:cs="Arial"/>
          <w:color w:val="000000"/>
        </w:rPr>
        <w:t>that this information is true, accurate, and reflect</w:t>
      </w:r>
      <w:r w:rsidR="00B7608D" w:rsidRPr="00675EEF">
        <w:rPr>
          <w:rFonts w:cs="Arial"/>
          <w:color w:val="000000"/>
        </w:rPr>
        <w:t>s</w:t>
      </w:r>
      <w:r w:rsidRPr="00675EEF">
        <w:rPr>
          <w:rFonts w:cs="Arial"/>
          <w:color w:val="000000"/>
        </w:rPr>
        <w:t xml:space="preserve"> the current, normal operating circumstances at our hospital. I am authorized to make this </w:t>
      </w:r>
      <w:r w:rsidR="00F35C91">
        <w:rPr>
          <w:rFonts w:cs="Arial"/>
          <w:color w:val="000000"/>
        </w:rPr>
        <w:t>affirmation</w:t>
      </w:r>
      <w:r w:rsidRPr="00675EEF">
        <w:rPr>
          <w:rFonts w:cs="Arial"/>
          <w:color w:val="000000"/>
        </w:rPr>
        <w:t xml:space="preserve"> on behalf of our hospital. </w:t>
      </w:r>
    </w:p>
    <w:p w14:paraId="419D6FE2" w14:textId="77777777" w:rsidR="00456023" w:rsidRPr="00675EEF" w:rsidRDefault="00456023" w:rsidP="00456023">
      <w:pPr>
        <w:rPr>
          <w:rFonts w:cs="Arial"/>
          <w:color w:val="000000"/>
        </w:rPr>
      </w:pPr>
    </w:p>
    <w:p w14:paraId="04FCFDEC" w14:textId="77777777" w:rsidR="0063715A" w:rsidRPr="009A5185" w:rsidRDefault="0063715A" w:rsidP="0063715A">
      <w:pPr>
        <w:rPr>
          <w:rFonts w:cs="Arial"/>
          <w:sz w:val="22"/>
          <w:szCs w:val="22"/>
        </w:rPr>
      </w:pPr>
      <w:r w:rsidRPr="009A5185">
        <w:rPr>
          <w:rFonts w:cs="Arial"/>
        </w:rPr>
        <w:t xml:space="preserve">The </w:t>
      </w:r>
      <w:r w:rsidRPr="00534EFC">
        <w:rPr>
          <w:rFonts w:cs="Arial"/>
        </w:rPr>
        <w:t xml:space="preserve">hospital and I </w:t>
      </w:r>
      <w:r>
        <w:rPr>
          <w:rFonts w:cs="Arial"/>
        </w:rPr>
        <w:t>acknowledge</w:t>
      </w:r>
      <w:r w:rsidRPr="00534EFC">
        <w:rPr>
          <w:rFonts w:cs="Arial"/>
        </w:rPr>
        <w:t xml:space="preserve"> that The Leapfrog Group, its members, the public and entities and persons who contract or have other business dealings with The Leapfrog Group are relying on the truth and accuracy of this information. The hospital and I also </w:t>
      </w:r>
      <w:r>
        <w:rPr>
          <w:rFonts w:cs="Arial"/>
        </w:rPr>
        <w:t>acknowledge</w:t>
      </w:r>
      <w:r w:rsidRPr="00534EFC">
        <w:rPr>
          <w:rFonts w:cs="Arial"/>
        </w:rPr>
        <w:t xml:space="preserve"> that </w:t>
      </w:r>
      <w:r>
        <w:rPr>
          <w:rFonts w:cs="Arial"/>
        </w:rPr>
        <w:t xml:space="preserve">analyses and ratings </w:t>
      </w:r>
      <w:r w:rsidRPr="00534EFC">
        <w:rPr>
          <w:rFonts w:cs="Arial"/>
        </w:rPr>
        <w:t>The Leapfrog Group</w:t>
      </w:r>
      <w:r>
        <w:rPr>
          <w:rFonts w:cs="Arial"/>
        </w:rPr>
        <w:t xml:space="preserve"> derives from</w:t>
      </w:r>
      <w:r w:rsidRPr="00534EFC">
        <w:rPr>
          <w:rFonts w:cs="Arial"/>
        </w:rPr>
        <w:t xml:space="preserve"> this information</w:t>
      </w:r>
      <w:r>
        <w:rPr>
          <w:rFonts w:cs="Arial"/>
        </w:rPr>
        <w:t xml:space="preserve"> will be made public on</w:t>
      </w:r>
      <w:r w:rsidRPr="00534EFC">
        <w:rPr>
          <w:rFonts w:cs="Arial"/>
        </w:rPr>
        <w:t xml:space="preserve"> the Survey Results public reporting website, The Leapfrog Group’s Hospital Safety Grade</w:t>
      </w:r>
      <w:r>
        <w:rPr>
          <w:rFonts w:cs="Arial"/>
        </w:rPr>
        <w:t xml:space="preserve"> website</w:t>
      </w:r>
      <w:r w:rsidRPr="00534EFC">
        <w:rPr>
          <w:rFonts w:cs="Arial"/>
        </w:rPr>
        <w:t xml:space="preserve">, and/or other Leapfrog Group </w:t>
      </w:r>
      <w:r>
        <w:rPr>
          <w:rFonts w:cs="Arial"/>
        </w:rPr>
        <w:t xml:space="preserve">published works, </w:t>
      </w:r>
      <w:r w:rsidRPr="00534EFC">
        <w:rPr>
          <w:rFonts w:cs="Arial"/>
        </w:rPr>
        <w:t xml:space="preserve">products and services. </w:t>
      </w:r>
      <w:r>
        <w:rPr>
          <w:rFonts w:cs="Arial"/>
        </w:rPr>
        <w:t>The hospital and I acknowledge that analyses and ratings derived from t</w:t>
      </w:r>
      <w:r w:rsidRPr="00534EFC">
        <w:rPr>
          <w:rFonts w:cs="Arial"/>
        </w:rPr>
        <w:t>his information and all intellectual property rights</w:t>
      </w:r>
      <w:r>
        <w:rPr>
          <w:rFonts w:cs="Arial"/>
        </w:rPr>
        <w:t xml:space="preserve"> related to those analyses and ratings</w:t>
      </w:r>
      <w:r w:rsidRPr="00534EFC">
        <w:rPr>
          <w:rFonts w:cs="Arial"/>
        </w:rPr>
        <w:t xml:space="preserve"> shall be and remain the sole and exclusive property of The Leapfrog Group </w:t>
      </w:r>
      <w:r w:rsidRPr="00534EFC">
        <w:t>in which The Leapfrog Group retains exclusive ownership</w:t>
      </w:r>
      <w:r w:rsidRPr="00534EFC">
        <w:rPr>
          <w:rFonts w:cs="Arial"/>
        </w:rPr>
        <w:t xml:space="preserve">. </w:t>
      </w:r>
      <w:r>
        <w:rPr>
          <w:rFonts w:cs="Arial"/>
        </w:rPr>
        <w:t>I hereby affirm that t</w:t>
      </w:r>
      <w:r w:rsidRPr="00534EFC">
        <w:rPr>
          <w:rFonts w:cs="Arial"/>
        </w:rPr>
        <w:t>his information does not infringe upon any third-party intellectual property rights</w:t>
      </w:r>
      <w:r w:rsidRPr="00534EFC">
        <w:t xml:space="preserve"> or any other third-party rights whatsoever and is free and clear of all encumbrances and liens of any kind</w:t>
      </w:r>
      <w:r w:rsidRPr="00534EFC">
        <w:rPr>
          <w:rFonts w:cs="Arial"/>
        </w:rPr>
        <w:t xml:space="preserve">. The hospital and I acknowledge that The Leapfrog Group may </w:t>
      </w:r>
      <w:r>
        <w:rPr>
          <w:rFonts w:cs="Arial"/>
        </w:rPr>
        <w:t>license</w:t>
      </w:r>
      <w:r w:rsidRPr="00534EFC">
        <w:rPr>
          <w:rFonts w:cs="Arial"/>
        </w:rPr>
        <w:t xml:space="preserve"> </w:t>
      </w:r>
      <w:r>
        <w:rPr>
          <w:rFonts w:cs="Arial"/>
        </w:rPr>
        <w:t xml:space="preserve">analyses and ratings derived from </w:t>
      </w:r>
      <w:r w:rsidRPr="00534EFC">
        <w:rPr>
          <w:rFonts w:cs="Arial"/>
        </w:rPr>
        <w:t xml:space="preserve">this information </w:t>
      </w:r>
      <w:r>
        <w:rPr>
          <w:rFonts w:cs="Arial"/>
        </w:rPr>
        <w:t>to other entities including researchers, not-for-profit entities, and for-profit entities, and the revenue from such licensure will be used solely to support The Leapfrog Group’s not-for-profit mission</w:t>
      </w:r>
      <w:r w:rsidRPr="00534EFC">
        <w:rPr>
          <w:rFonts w:cs="Arial"/>
        </w:rPr>
        <w:t>. The hospital shall be liable for and shall hold harmless and indemnify The Leapfrog Group from any and all damages, demands, costs, or causes of action resulting from any inaccuracies in the information or any misrepresentations in this Affirmation of Accuracy. The Leapfrog Group and its members and entities and persons who contract or have other business dealings with The Leapfrog Group reserve the right to omit or disclaim information that is not current, accurate or truthful.</w:t>
      </w:r>
    </w:p>
    <w:p w14:paraId="792AC502" w14:textId="77777777" w:rsidR="005B2EEB" w:rsidRPr="009A5185" w:rsidRDefault="005B2EEB" w:rsidP="005B2EEB">
      <w:pPr>
        <w:rPr>
          <w:rFonts w:cs="Arial"/>
          <w:snapToGrid w:val="0"/>
          <w:color w:val="000000"/>
        </w:rPr>
      </w:pPr>
    </w:p>
    <w:p w14:paraId="78D4C7D2" w14:textId="77777777" w:rsidR="005B2EEB" w:rsidRPr="009A5185" w:rsidRDefault="005B2EEB" w:rsidP="005B2EEB">
      <w:pPr>
        <w:rPr>
          <w:rFonts w:cs="Arial"/>
          <w:snapToGrid w:val="0"/>
          <w:color w:val="000000"/>
        </w:rPr>
      </w:pPr>
    </w:p>
    <w:p w14:paraId="1602CB49" w14:textId="77777777" w:rsidR="005B2EEB" w:rsidRPr="009A5185" w:rsidRDefault="005B2EEB" w:rsidP="005B2EEB">
      <w:pPr>
        <w:spacing w:line="240" w:lineRule="exact"/>
        <w:rPr>
          <w:rFonts w:cs="Arial"/>
          <w:snapToGrid w:val="0"/>
          <w:color w:val="000000"/>
        </w:rPr>
      </w:pPr>
      <w:r w:rsidRPr="009A5185">
        <w:rPr>
          <w:rFonts w:cs="Arial"/>
          <w:snapToGrid w:val="0"/>
          <w:color w:val="000000"/>
        </w:rPr>
        <w:t>Affirmed by _____________________, the hospital’s ___________________________,</w:t>
      </w:r>
    </w:p>
    <w:p w14:paraId="043D7D13" w14:textId="77777777" w:rsidR="008A631A" w:rsidRPr="009A5185" w:rsidRDefault="008A631A" w:rsidP="008A631A">
      <w:pPr>
        <w:pStyle w:val="BodyText2"/>
        <w:spacing w:line="240" w:lineRule="exact"/>
        <w:rPr>
          <w:rFonts w:cs="Arial"/>
        </w:rPr>
      </w:pPr>
      <w:r w:rsidRPr="009A5185">
        <w:rPr>
          <w:rFonts w:cs="Arial"/>
        </w:rPr>
        <w:tab/>
        <w:t xml:space="preserve"> </w:t>
      </w:r>
      <w:r>
        <w:rPr>
          <w:rFonts w:cs="Arial"/>
        </w:rPr>
        <w:t xml:space="preserve">    </w:t>
      </w:r>
      <w:r w:rsidRPr="009A5185">
        <w:rPr>
          <w:rFonts w:cs="Arial"/>
        </w:rPr>
        <w:t>(</w:t>
      </w:r>
      <w:r>
        <w:rPr>
          <w:rFonts w:cs="Arial"/>
        </w:rPr>
        <w:t xml:space="preserve">first </w:t>
      </w:r>
      <w:r w:rsidRPr="009A5185">
        <w:rPr>
          <w:rFonts w:cs="Arial"/>
        </w:rPr>
        <w:t>name</w:t>
      </w:r>
      <w:r>
        <w:rPr>
          <w:rFonts w:cs="Arial"/>
        </w:rPr>
        <w:t xml:space="preserve"> and last name)</w:t>
      </w:r>
      <w:r>
        <w:rPr>
          <w:rFonts w:cs="Arial"/>
        </w:rPr>
        <w:tab/>
      </w:r>
      <w:r>
        <w:rPr>
          <w:rFonts w:cs="Arial"/>
        </w:rPr>
        <w:tab/>
      </w:r>
      <w:r>
        <w:rPr>
          <w:rFonts w:cs="Arial"/>
        </w:rPr>
        <w:tab/>
      </w:r>
      <w:r>
        <w:rPr>
          <w:rFonts w:cs="Arial"/>
        </w:rPr>
        <w:tab/>
      </w:r>
      <w:r w:rsidRPr="009A5185">
        <w:rPr>
          <w:rFonts w:cs="Arial"/>
        </w:rPr>
        <w:t>(title)</w:t>
      </w:r>
    </w:p>
    <w:p w14:paraId="45F3F54E" w14:textId="77777777" w:rsidR="005B2EEB" w:rsidRPr="009A5185" w:rsidRDefault="005B2EEB" w:rsidP="005B2EEB">
      <w:pPr>
        <w:spacing w:line="240" w:lineRule="exact"/>
        <w:rPr>
          <w:rFonts w:cs="Arial"/>
          <w:snapToGrid w:val="0"/>
        </w:rPr>
      </w:pPr>
      <w:r w:rsidRPr="009A5185">
        <w:rPr>
          <w:rFonts w:cs="Arial"/>
          <w:snapToGrid w:val="0"/>
        </w:rPr>
        <w:t>on _______________________.</w:t>
      </w:r>
    </w:p>
    <w:p w14:paraId="3B167C0A" w14:textId="77777777" w:rsidR="005B2EEB" w:rsidRPr="009A5185" w:rsidRDefault="005B2EEB" w:rsidP="005B2EEB">
      <w:pPr>
        <w:spacing w:line="240" w:lineRule="exact"/>
        <w:rPr>
          <w:rFonts w:cs="Arial"/>
          <w:i/>
        </w:rPr>
      </w:pPr>
      <w:r w:rsidRPr="009A5185">
        <w:rPr>
          <w:rFonts w:cs="Arial"/>
          <w:i/>
        </w:rPr>
        <w:t xml:space="preserve">                    (date)</w:t>
      </w:r>
    </w:p>
    <w:p w14:paraId="68A16924" w14:textId="77777777" w:rsidR="006E50EF" w:rsidRPr="009A5185" w:rsidRDefault="006E50EF">
      <w:pPr>
        <w:pStyle w:val="Header"/>
        <w:tabs>
          <w:tab w:val="clear" w:pos="4320"/>
          <w:tab w:val="clear" w:pos="8640"/>
        </w:tabs>
        <w:rPr>
          <w:rFonts w:cs="Arial"/>
          <w:b/>
          <w:snapToGrid w:val="0"/>
          <w:color w:val="000000"/>
          <w:sz w:val="24"/>
        </w:rPr>
      </w:pPr>
    </w:p>
    <w:p w14:paraId="134B7E4C" w14:textId="77777777" w:rsidR="00BE3550" w:rsidRPr="009A5185" w:rsidRDefault="00BE3550">
      <w:pPr>
        <w:rPr>
          <w:rFonts w:cs="Arial"/>
          <w:b/>
          <w:sz w:val="24"/>
        </w:rPr>
      </w:pPr>
      <w:bookmarkStart w:id="229" w:name="_Toc383774992"/>
      <w:r w:rsidRPr="009A5185">
        <w:rPr>
          <w:rFonts w:cs="Arial"/>
        </w:rPr>
        <w:br w:type="page"/>
      </w:r>
    </w:p>
    <w:p w14:paraId="5238D285" w14:textId="40DBD299" w:rsidR="006E50EF" w:rsidRPr="009A5185" w:rsidRDefault="006E50EF" w:rsidP="00CF5A6E">
      <w:pPr>
        <w:pStyle w:val="Heading2"/>
      </w:pPr>
      <w:bookmarkStart w:id="230" w:name="_Toc225877710"/>
      <w:r w:rsidRPr="009A5185">
        <w:lastRenderedPageBreak/>
        <w:t xml:space="preserve">Section 3: </w:t>
      </w:r>
      <w:r w:rsidR="00771F66">
        <w:t xml:space="preserve">Adult and Pediatric </w:t>
      </w:r>
      <w:r w:rsidR="004441DE">
        <w:t>Complex</w:t>
      </w:r>
      <w:r w:rsidR="000A708B" w:rsidRPr="009A5185">
        <w:t xml:space="preserve"> Surgery</w:t>
      </w:r>
      <w:r w:rsidRPr="009A5185">
        <w:t xml:space="preserve"> </w:t>
      </w:r>
      <w:bookmarkEnd w:id="229"/>
      <w:r w:rsidRPr="009A5185">
        <w:t>Reference Information</w:t>
      </w:r>
      <w:bookmarkEnd w:id="230"/>
    </w:p>
    <w:p w14:paraId="68F118E6" w14:textId="77777777" w:rsidR="006E50EF" w:rsidRPr="009A5185" w:rsidRDefault="006E50EF" w:rsidP="00C52666">
      <w:pPr>
        <w:rPr>
          <w:rFonts w:cs="Arial"/>
          <w:lang w:eastAsia="ja-JP"/>
        </w:rPr>
      </w:pPr>
    </w:p>
    <w:p w14:paraId="38DE08A2" w14:textId="30D9530D" w:rsidR="006E50EF" w:rsidRPr="009A5185" w:rsidRDefault="006E50EF" w:rsidP="00AB5B80">
      <w:pPr>
        <w:pStyle w:val="Heading3"/>
      </w:pPr>
      <w:bookmarkStart w:id="231" w:name="_Toc233710551"/>
      <w:bookmarkStart w:id="232" w:name="_Toc383774993"/>
      <w:bookmarkStart w:id="233" w:name="_Toc225877711"/>
      <w:r w:rsidRPr="009A5185">
        <w:t>What’s New</w:t>
      </w:r>
      <w:bookmarkEnd w:id="231"/>
      <w:r w:rsidRPr="009A5185">
        <w:t xml:space="preserve"> in the </w:t>
      </w:r>
      <w:bookmarkEnd w:id="232"/>
      <w:r w:rsidR="00A236B1">
        <w:t>202</w:t>
      </w:r>
      <w:r w:rsidR="003A7091">
        <w:t>6</w:t>
      </w:r>
      <w:r w:rsidR="00CB2FC6" w:rsidRPr="009A5185">
        <w:t xml:space="preserve"> </w:t>
      </w:r>
      <w:r w:rsidR="004F68CC" w:rsidRPr="009A5185">
        <w:t>Survey</w:t>
      </w:r>
      <w:bookmarkEnd w:id="233"/>
    </w:p>
    <w:p w14:paraId="38FDF090" w14:textId="77777777" w:rsidR="006E50EF" w:rsidRPr="009A5185" w:rsidRDefault="006E50EF" w:rsidP="00C52666">
      <w:pPr>
        <w:rPr>
          <w:rFonts w:cs="Arial"/>
          <w:lang w:eastAsia="ja-JP"/>
        </w:rPr>
      </w:pPr>
    </w:p>
    <w:p w14:paraId="18C8CD6B" w14:textId="2A1941E0" w:rsidR="00000815" w:rsidRDefault="00000815" w:rsidP="001B5B40">
      <w:pPr>
        <w:pStyle w:val="Heading44"/>
        <w:rPr>
          <w:lang w:eastAsia="ja-JP"/>
        </w:rPr>
      </w:pPr>
      <w:r>
        <w:rPr>
          <w:lang w:eastAsia="ja-JP"/>
        </w:rPr>
        <w:t>Section 3A: Hospital and Surgeon Volume</w:t>
      </w:r>
    </w:p>
    <w:p w14:paraId="1F116710" w14:textId="75B6CB47" w:rsidR="00E44F90" w:rsidRPr="00E44F90" w:rsidRDefault="00E44F90" w:rsidP="00E44F90">
      <w:pPr>
        <w:pStyle w:val="Heading44"/>
        <w:rPr>
          <w:b w:val="0"/>
          <w:bCs/>
          <w:sz w:val="20"/>
        </w:rPr>
      </w:pPr>
      <w:r w:rsidRPr="00E44F90">
        <w:rPr>
          <w:b w:val="0"/>
          <w:bCs/>
          <w:sz w:val="20"/>
        </w:rPr>
        <w:t xml:space="preserve">Leapfrog’s experts are reviewing the ICD-10 </w:t>
      </w:r>
      <w:r w:rsidR="002F7CC8">
        <w:rPr>
          <w:b w:val="0"/>
          <w:bCs/>
          <w:sz w:val="20"/>
        </w:rPr>
        <w:t xml:space="preserve">and CPT </w:t>
      </w:r>
      <w:r w:rsidRPr="00E44F90">
        <w:rPr>
          <w:b w:val="0"/>
          <w:bCs/>
          <w:sz w:val="20"/>
        </w:rPr>
        <w:t>codes used for hospitals reporting on this subsection and any</w:t>
      </w:r>
      <w:r>
        <w:rPr>
          <w:b w:val="0"/>
          <w:bCs/>
          <w:sz w:val="20"/>
        </w:rPr>
        <w:t xml:space="preserve"> </w:t>
      </w:r>
      <w:r w:rsidRPr="00E44F90">
        <w:rPr>
          <w:b w:val="0"/>
          <w:bCs/>
          <w:sz w:val="20"/>
        </w:rPr>
        <w:t>updates (i.e., additions and removals) will be published separately as their review is still ongoing.</w:t>
      </w:r>
    </w:p>
    <w:p w14:paraId="0BA2E886" w14:textId="77777777" w:rsidR="00E44F90" w:rsidRDefault="00E44F90" w:rsidP="00E44F90">
      <w:pPr>
        <w:pStyle w:val="Heading44"/>
        <w:rPr>
          <w:b w:val="0"/>
          <w:bCs/>
          <w:sz w:val="20"/>
        </w:rPr>
      </w:pPr>
    </w:p>
    <w:p w14:paraId="19BE49E9" w14:textId="38B54646" w:rsidR="00E44F90" w:rsidRDefault="00A906DF" w:rsidP="00E44F90">
      <w:pPr>
        <w:pStyle w:val="Heading44"/>
        <w:rPr>
          <w:b w:val="0"/>
          <w:bCs/>
          <w:sz w:val="20"/>
        </w:rPr>
      </w:pPr>
      <w:r w:rsidRPr="00A906DF">
        <w:rPr>
          <w:b w:val="0"/>
          <w:bCs/>
          <w:sz w:val="20"/>
        </w:rPr>
        <w:t>Leapfrog is also adding an optional, fact-finding question to determine if the hospital has surgeons that perform both total knee replacement and total hip replacement procedures listed in Section 3A. Leapfrog is adding this question to evaluate how common it is to have the same surgeon performing both</w:t>
      </w:r>
      <w:r>
        <w:rPr>
          <w:b w:val="0"/>
          <w:bCs/>
          <w:sz w:val="20"/>
        </w:rPr>
        <w:t xml:space="preserve"> p</w:t>
      </w:r>
      <w:r w:rsidRPr="00A906DF">
        <w:rPr>
          <w:b w:val="0"/>
          <w:bCs/>
          <w:sz w:val="20"/>
        </w:rPr>
        <w:t>rocedures given requests received from hospitals and ambulatory surgery centers to combine total hip and knee replacements into a single volume standard.</w:t>
      </w:r>
    </w:p>
    <w:p w14:paraId="7F0506A1" w14:textId="77777777" w:rsidR="00A906DF" w:rsidRDefault="00A906DF" w:rsidP="00E44F90">
      <w:pPr>
        <w:pStyle w:val="Heading44"/>
        <w:rPr>
          <w:b w:val="0"/>
          <w:bCs/>
          <w:sz w:val="20"/>
        </w:rPr>
      </w:pPr>
    </w:p>
    <w:p w14:paraId="398526C0" w14:textId="0DE8B3FE" w:rsidR="00E44F90" w:rsidRDefault="00E44F90" w:rsidP="00E44F90">
      <w:pPr>
        <w:pStyle w:val="Heading44"/>
        <w:rPr>
          <w:b w:val="0"/>
          <w:bCs/>
          <w:sz w:val="20"/>
        </w:rPr>
      </w:pPr>
      <w:r w:rsidRPr="00E44F90">
        <w:rPr>
          <w:b w:val="0"/>
          <w:bCs/>
          <w:sz w:val="20"/>
        </w:rPr>
        <w:t>This optional, fact-finding question will not be used in scoring or public reporting in 2026. There are no</w:t>
      </w:r>
      <w:r w:rsidR="009F321F">
        <w:rPr>
          <w:b w:val="0"/>
          <w:bCs/>
          <w:sz w:val="20"/>
        </w:rPr>
        <w:t xml:space="preserve"> </w:t>
      </w:r>
      <w:r w:rsidRPr="00E44F90">
        <w:rPr>
          <w:b w:val="0"/>
          <w:bCs/>
          <w:sz w:val="20"/>
        </w:rPr>
        <w:t>changes to the scoring algorithm for Section 3A: Hospital and Surgeon Volume.</w:t>
      </w:r>
    </w:p>
    <w:p w14:paraId="68DEBD4D" w14:textId="77777777" w:rsidR="00E44F90" w:rsidRPr="00E44F90" w:rsidRDefault="00E44F90" w:rsidP="00E44F90">
      <w:pPr>
        <w:pStyle w:val="Heading44"/>
        <w:rPr>
          <w:b w:val="0"/>
          <w:bCs/>
          <w:sz w:val="20"/>
        </w:rPr>
      </w:pPr>
    </w:p>
    <w:p w14:paraId="276287D1" w14:textId="581F9D94" w:rsidR="00BD0BF9" w:rsidRPr="003E6501" w:rsidRDefault="00B90CB9" w:rsidP="001B5B40">
      <w:pPr>
        <w:pStyle w:val="Heading44"/>
      </w:pPr>
      <w:r w:rsidRPr="000F3D1F">
        <w:t xml:space="preserve">Section 3B: </w:t>
      </w:r>
      <w:r w:rsidRPr="001B5B40">
        <w:t>Safe Surgery Checklist for Adult and Pediatric Complex Surgery</w:t>
      </w:r>
    </w:p>
    <w:p w14:paraId="52E20B45" w14:textId="160A621C" w:rsidR="00BB69B3" w:rsidRPr="003E6501" w:rsidRDefault="00BD0BF9" w:rsidP="001B5B40">
      <w:pPr>
        <w:pStyle w:val="Heading44"/>
        <w:rPr>
          <w:b w:val="0"/>
          <w:bCs/>
          <w:sz w:val="20"/>
        </w:rPr>
      </w:pPr>
      <w:r w:rsidRPr="003E6501">
        <w:rPr>
          <w:b w:val="0"/>
          <w:bCs/>
          <w:sz w:val="20"/>
        </w:rPr>
        <w:t>There are no changes to this subsection.</w:t>
      </w:r>
    </w:p>
    <w:p w14:paraId="203D5E03" w14:textId="77777777" w:rsidR="00D75695" w:rsidRPr="009A5185" w:rsidRDefault="00D75695" w:rsidP="00C52666">
      <w:pPr>
        <w:rPr>
          <w:rFonts w:cs="Arial"/>
          <w:lang w:eastAsia="ja-JP"/>
        </w:rPr>
      </w:pPr>
    </w:p>
    <w:p w14:paraId="5715377E" w14:textId="3AEE6A66" w:rsidR="006E50EF" w:rsidRPr="009A5185" w:rsidRDefault="006E50EF" w:rsidP="00AB5B80">
      <w:pPr>
        <w:pStyle w:val="Heading3"/>
      </w:pPr>
      <w:bookmarkStart w:id="234" w:name="_Toc233710552"/>
      <w:bookmarkStart w:id="235" w:name="_Toc383774994"/>
      <w:bookmarkStart w:id="236" w:name="_Toc225877712"/>
      <w:r w:rsidRPr="009A5185">
        <w:t>Change Summary</w:t>
      </w:r>
      <w:bookmarkEnd w:id="234"/>
      <w:r w:rsidRPr="009A5185">
        <w:t xml:space="preserve"> </w:t>
      </w:r>
      <w:r w:rsidR="00F72C9F">
        <w:t>S</w:t>
      </w:r>
      <w:r w:rsidRPr="009A5185">
        <w:t>ince Release</w:t>
      </w:r>
      <w:bookmarkEnd w:id="235"/>
      <w:bookmarkEnd w:id="236"/>
      <w:r w:rsidRPr="009A5185">
        <w:t xml:space="preserve"> </w:t>
      </w:r>
    </w:p>
    <w:p w14:paraId="63FEBA22" w14:textId="77777777" w:rsidR="006E50EF" w:rsidRPr="009A5185" w:rsidRDefault="006E50EF" w:rsidP="00C52666">
      <w:pPr>
        <w:rPr>
          <w:rFonts w:cs="Arial"/>
          <w:lang w:eastAsia="ja-JP"/>
        </w:rPr>
      </w:pPr>
    </w:p>
    <w:p w14:paraId="3EACDBF6" w14:textId="44C60D5D" w:rsidR="00364454" w:rsidRDefault="001B341B" w:rsidP="009573D1">
      <w:pPr>
        <w:rPr>
          <w:rFonts w:cs="Arial"/>
        </w:rPr>
      </w:pPr>
      <w:bookmarkStart w:id="237" w:name="_Toc233710554"/>
      <w:bookmarkStart w:id="238" w:name="_Toc383774996"/>
      <w:r w:rsidRPr="009A5185">
        <w:rPr>
          <w:rFonts w:cs="Arial"/>
          <w:lang w:eastAsia="ja-JP"/>
        </w:rPr>
        <w:t xml:space="preserve">None. If substantive changes are made to this section of the Survey after release on April 1, </w:t>
      </w:r>
      <w:r>
        <w:rPr>
          <w:rFonts w:cs="Arial"/>
          <w:lang w:eastAsia="ja-JP"/>
        </w:rPr>
        <w:t>202</w:t>
      </w:r>
      <w:r w:rsidR="003A7091">
        <w:rPr>
          <w:rFonts w:cs="Arial"/>
          <w:lang w:eastAsia="ja-JP"/>
        </w:rPr>
        <w:t>6</w:t>
      </w:r>
      <w:r>
        <w:rPr>
          <w:rFonts w:cs="Arial"/>
          <w:lang w:eastAsia="ja-JP"/>
        </w:rPr>
        <w:t>,</w:t>
      </w:r>
      <w:r w:rsidRPr="009A5185">
        <w:rPr>
          <w:rFonts w:cs="Arial"/>
          <w:lang w:eastAsia="ja-JP"/>
        </w:rPr>
        <w:t xml:space="preserve"> they will be documented in this Change Summary section.</w:t>
      </w:r>
    </w:p>
    <w:p w14:paraId="087F331A" w14:textId="1F192A83" w:rsidR="00364454" w:rsidRPr="00FE1623" w:rsidRDefault="00364454" w:rsidP="00364454">
      <w:pPr>
        <w:rPr>
          <w:lang w:eastAsia="ja-JP"/>
        </w:rPr>
      </w:pPr>
      <w:r w:rsidRPr="00FE1623">
        <w:rPr>
          <w:lang w:eastAsia="ja-JP"/>
        </w:rPr>
        <w:t xml:space="preserve"> </w:t>
      </w:r>
      <w:r>
        <w:rPr>
          <w:lang w:eastAsia="ja-JP"/>
        </w:rPr>
        <w:t xml:space="preserve"> </w:t>
      </w:r>
    </w:p>
    <w:p w14:paraId="12D831E8" w14:textId="77777777" w:rsidR="00364454" w:rsidRPr="00080756" w:rsidRDefault="00364454" w:rsidP="00364454">
      <w:pPr>
        <w:rPr>
          <w:lang w:eastAsia="ja-JP"/>
        </w:rPr>
      </w:pPr>
      <w:r>
        <w:rPr>
          <w:lang w:eastAsia="ja-JP"/>
        </w:rPr>
        <w:br w:type="page"/>
      </w:r>
    </w:p>
    <w:p w14:paraId="74B44800" w14:textId="3F80CE18" w:rsidR="00A4191D" w:rsidRDefault="00263AE4" w:rsidP="00CF5A6E">
      <w:pPr>
        <w:pStyle w:val="Heading2"/>
      </w:pPr>
      <w:bookmarkStart w:id="239" w:name="_Inpatient_Surgery_Measure"/>
      <w:bookmarkStart w:id="240" w:name="_Ref123646754"/>
      <w:bookmarkStart w:id="241" w:name="_Toc225877713"/>
      <w:bookmarkStart w:id="242" w:name="InpatientSurgSpecs"/>
      <w:bookmarkStart w:id="243" w:name="_Toc383774997"/>
      <w:bookmarkStart w:id="244" w:name="_Toc233710555"/>
      <w:bookmarkEnd w:id="237"/>
      <w:bookmarkEnd w:id="238"/>
      <w:bookmarkEnd w:id="239"/>
      <w:r>
        <w:lastRenderedPageBreak/>
        <w:t xml:space="preserve">Section 3: </w:t>
      </w:r>
      <w:r w:rsidR="00771F66">
        <w:t xml:space="preserve">Adult and Pediatric </w:t>
      </w:r>
      <w:r w:rsidR="004441DE">
        <w:t xml:space="preserve">Complex </w:t>
      </w:r>
      <w:r w:rsidR="00A4191D" w:rsidRPr="009A5185">
        <w:t>Surgery Measure Specifications</w:t>
      </w:r>
      <w:bookmarkEnd w:id="240"/>
      <w:bookmarkEnd w:id="241"/>
      <w:r w:rsidR="0057059D" w:rsidRPr="009A5185">
        <w:t xml:space="preserve"> </w:t>
      </w:r>
    </w:p>
    <w:p w14:paraId="2B8E5459" w14:textId="0E46B1A0" w:rsidR="000C2C54" w:rsidRDefault="000C2C54" w:rsidP="000C2C54">
      <w:pPr>
        <w:rPr>
          <w:lang w:eastAsia="ja-JP"/>
        </w:rPr>
      </w:pPr>
    </w:p>
    <w:p w14:paraId="4919120E" w14:textId="2BC524AF" w:rsidR="000C2C54" w:rsidRPr="000C2C54" w:rsidRDefault="000C2C54" w:rsidP="00AB5B80">
      <w:pPr>
        <w:pStyle w:val="Heading3"/>
      </w:pPr>
      <w:bookmarkStart w:id="245" w:name="_Hospital_and_Surgeon"/>
      <w:bookmarkStart w:id="246" w:name="_Toc225877714"/>
      <w:bookmarkEnd w:id="245"/>
      <w:r w:rsidRPr="009A5185">
        <w:t>Hospital and Surgeon Volume</w:t>
      </w:r>
      <w:r w:rsidR="00B078B4">
        <w:t xml:space="preserve"> Measure Specifications</w:t>
      </w:r>
      <w:bookmarkEnd w:id="246"/>
    </w:p>
    <w:bookmarkEnd w:id="242"/>
    <w:p w14:paraId="433B2E32" w14:textId="77777777" w:rsidR="00A4191D" w:rsidRPr="00D36222" w:rsidRDefault="00A4191D" w:rsidP="00D51874">
      <w:pPr>
        <w:rPr>
          <w:sz w:val="16"/>
          <w:szCs w:val="16"/>
        </w:rPr>
      </w:pPr>
    </w:p>
    <w:p w14:paraId="50681A4A" w14:textId="77777777" w:rsidR="00207D3B" w:rsidRDefault="00B10036" w:rsidP="00DA56A9">
      <w:pPr>
        <w:rPr>
          <w:rFonts w:cs="Arial"/>
          <w:b/>
          <w:snapToGrid w:val="0"/>
          <w:color w:val="FF0000"/>
        </w:rPr>
      </w:pPr>
      <w:r w:rsidRPr="00873014">
        <w:rPr>
          <w:rFonts w:cs="Arial"/>
          <w:b/>
          <w:snapToGrid w:val="0"/>
          <w:color w:val="FF0000"/>
        </w:rPr>
        <w:t xml:space="preserve">Important Notes: </w:t>
      </w:r>
    </w:p>
    <w:p w14:paraId="44C578D3" w14:textId="77777777" w:rsidR="00207D3B" w:rsidRPr="00D36222" w:rsidRDefault="00207D3B" w:rsidP="00DA56A9">
      <w:pPr>
        <w:rPr>
          <w:rFonts w:cs="Arial"/>
          <w:b/>
          <w:snapToGrid w:val="0"/>
          <w:color w:val="FF0000"/>
          <w:sz w:val="16"/>
          <w:szCs w:val="16"/>
        </w:rPr>
      </w:pPr>
    </w:p>
    <w:p w14:paraId="500A4CB8" w14:textId="2CC74A36" w:rsidR="00990B86" w:rsidRPr="004F5E10" w:rsidRDefault="00990B86" w:rsidP="00990B86">
      <w:pPr>
        <w:rPr>
          <w:rFonts w:cs="Arial"/>
          <w:snapToGrid w:val="0"/>
        </w:rPr>
      </w:pPr>
      <w:r w:rsidRPr="004F5E10">
        <w:rPr>
          <w:rFonts w:cs="Arial"/>
          <w:snapToGrid w:val="0"/>
        </w:rPr>
        <w:t xml:space="preserve">Note 1: </w:t>
      </w:r>
      <w:bookmarkStart w:id="247" w:name="_Hlk57906646"/>
      <w:r w:rsidRPr="004F5E10">
        <w:rPr>
          <w:rFonts w:cs="Arial"/>
          <w:snapToGrid w:val="0"/>
        </w:rPr>
        <w:t xml:space="preserve">Hospitals that share a CMS Certification Number are required to report by facility. Please carefully review </w:t>
      </w:r>
      <w:hyperlink r:id="rId225" w:history="1">
        <w:r w:rsidRPr="004F5E10">
          <w:rPr>
            <w:rFonts w:cs="Arial"/>
            <w:snapToGrid w:val="0"/>
            <w:color w:val="0000FF"/>
            <w:u w:val="single"/>
          </w:rPr>
          <w:t>Leapfrog’s Multi-Campus Reporting Policy</w:t>
        </w:r>
      </w:hyperlink>
      <w:r w:rsidRPr="004F5E10">
        <w:rPr>
          <w:rFonts w:cs="Arial"/>
          <w:snapToGrid w:val="0"/>
        </w:rPr>
        <w:t>.</w:t>
      </w:r>
    </w:p>
    <w:bookmarkEnd w:id="247"/>
    <w:p w14:paraId="66DCAADF" w14:textId="77777777" w:rsidR="00207D3B" w:rsidRPr="00D36222" w:rsidRDefault="00207D3B" w:rsidP="00DA56A9">
      <w:pPr>
        <w:rPr>
          <w:rFonts w:cs="Arial"/>
          <w:snapToGrid w:val="0"/>
          <w:sz w:val="16"/>
          <w:szCs w:val="16"/>
        </w:rPr>
      </w:pPr>
    </w:p>
    <w:p w14:paraId="3A941D08" w14:textId="169FA0FB" w:rsidR="00707663" w:rsidRDefault="00207D3B" w:rsidP="00207D3B">
      <w:pPr>
        <w:rPr>
          <w:rFonts w:cs="Arial"/>
          <w:lang w:eastAsia="ja-JP"/>
        </w:rPr>
      </w:pPr>
      <w:r>
        <w:rPr>
          <w:rFonts w:cs="Arial"/>
          <w:snapToGrid w:val="0"/>
        </w:rPr>
        <w:t xml:space="preserve">Note 2: </w:t>
      </w:r>
      <w:r w:rsidR="002C6C10">
        <w:rPr>
          <w:rFonts w:cs="Arial"/>
          <w:lang w:eastAsia="ja-JP"/>
        </w:rPr>
        <w:t xml:space="preserve">For each of the </w:t>
      </w:r>
      <w:r w:rsidR="00B10036">
        <w:rPr>
          <w:rFonts w:cs="Arial"/>
          <w:lang w:eastAsia="ja-JP"/>
        </w:rPr>
        <w:t>eleven</w:t>
      </w:r>
      <w:r w:rsidR="002C6C10">
        <w:rPr>
          <w:rFonts w:cs="Arial"/>
          <w:lang w:eastAsia="ja-JP"/>
        </w:rPr>
        <w:t xml:space="preserve"> high-risk </w:t>
      </w:r>
      <w:r w:rsidRPr="009A5185">
        <w:rPr>
          <w:rFonts w:cs="Arial"/>
          <w:lang w:eastAsia="ja-JP"/>
        </w:rPr>
        <w:t>procedures included in Section 3A</w:t>
      </w:r>
      <w:r w:rsidR="00686FCE">
        <w:rPr>
          <w:rFonts w:cs="Arial"/>
          <w:lang w:eastAsia="ja-JP"/>
        </w:rPr>
        <w:t>:</w:t>
      </w:r>
      <w:r w:rsidRPr="009A5185">
        <w:rPr>
          <w:rFonts w:cs="Arial"/>
          <w:lang w:eastAsia="ja-JP"/>
        </w:rPr>
        <w:t xml:space="preserve"> Hospital and Surgeon Volume, Leapfrog has provided a set of ICD-10 procedure codes, and in some cases an additional set of </w:t>
      </w:r>
      <w:r w:rsidR="00487493">
        <w:rPr>
          <w:rFonts w:cs="Arial"/>
          <w:lang w:eastAsia="ja-JP"/>
        </w:rPr>
        <w:t xml:space="preserve">CPT codes (for Total Hip </w:t>
      </w:r>
      <w:r w:rsidR="00F57028">
        <w:rPr>
          <w:rFonts w:cs="Arial"/>
          <w:lang w:eastAsia="ja-JP"/>
        </w:rPr>
        <w:t xml:space="preserve">Replacement, </w:t>
      </w:r>
      <w:r w:rsidR="00487493">
        <w:rPr>
          <w:rFonts w:cs="Arial"/>
          <w:lang w:eastAsia="ja-JP"/>
        </w:rPr>
        <w:t>Total Knee Replacement</w:t>
      </w:r>
      <w:r w:rsidR="00F57028">
        <w:rPr>
          <w:rFonts w:cs="Arial"/>
          <w:lang w:eastAsia="ja-JP"/>
        </w:rPr>
        <w:t>, and Bariatric Surgery for Weight Loss</w:t>
      </w:r>
      <w:r w:rsidR="00487493">
        <w:rPr>
          <w:rFonts w:cs="Arial"/>
          <w:lang w:eastAsia="ja-JP"/>
        </w:rPr>
        <w:t xml:space="preserve">) or </w:t>
      </w:r>
      <w:r w:rsidRPr="009A5185">
        <w:rPr>
          <w:rFonts w:cs="Arial"/>
          <w:lang w:eastAsia="ja-JP"/>
        </w:rPr>
        <w:t xml:space="preserve">ICD-10 diagnosis codes, for </w:t>
      </w:r>
      <w:r w:rsidRPr="00A34FE8">
        <w:rPr>
          <w:rFonts w:cs="Arial"/>
          <w:lang w:eastAsia="ja-JP"/>
        </w:rPr>
        <w:t xml:space="preserve">counting </w:t>
      </w:r>
      <w:r w:rsidRPr="00A34FE8">
        <w:rPr>
          <w:rFonts w:cs="Arial"/>
          <w:b/>
          <w:lang w:eastAsia="ja-JP"/>
        </w:rPr>
        <w:t>patient</w:t>
      </w:r>
      <w:r w:rsidR="002C6C10" w:rsidRPr="00A34FE8">
        <w:rPr>
          <w:rFonts w:cs="Arial"/>
          <w:b/>
          <w:lang w:eastAsia="ja-JP"/>
        </w:rPr>
        <w:t xml:space="preserve"> discharge</w:t>
      </w:r>
      <w:r w:rsidRPr="00A34FE8">
        <w:rPr>
          <w:rFonts w:cs="Arial"/>
          <w:b/>
          <w:lang w:eastAsia="ja-JP"/>
        </w:rPr>
        <w:t>s</w:t>
      </w:r>
      <w:r w:rsidRPr="00A34FE8">
        <w:rPr>
          <w:rFonts w:cs="Arial"/>
          <w:lang w:eastAsia="ja-JP"/>
        </w:rPr>
        <w:t xml:space="preserve">. </w:t>
      </w:r>
      <w:r w:rsidR="00487493" w:rsidRPr="00487493">
        <w:rPr>
          <w:rFonts w:cs="Arial"/>
          <w:lang w:eastAsia="ja-JP"/>
        </w:rPr>
        <w:t>Please carefully review the measure specifications for each individual procedure to ensure you have the complete list of codes needed.</w:t>
      </w:r>
      <w:r w:rsidR="00684605">
        <w:rPr>
          <w:rFonts w:cs="Arial"/>
          <w:lang w:eastAsia="ja-JP"/>
        </w:rPr>
        <w:t xml:space="preserve"> ICD-10 codes are provided below and are also available in an </w:t>
      </w:r>
      <w:r w:rsidR="0040556C">
        <w:rPr>
          <w:rFonts w:cs="Arial"/>
          <w:lang w:eastAsia="ja-JP"/>
        </w:rPr>
        <w:t>E</w:t>
      </w:r>
      <w:r w:rsidR="00684605">
        <w:rPr>
          <w:rFonts w:cs="Arial"/>
          <w:lang w:eastAsia="ja-JP"/>
        </w:rPr>
        <w:t xml:space="preserve">xcel document on the </w:t>
      </w:r>
      <w:hyperlink r:id="rId226" w:history="1">
        <w:r w:rsidR="00684605" w:rsidRPr="00684605">
          <w:rPr>
            <w:rStyle w:val="Hyperlink"/>
            <w:rFonts w:cs="Arial"/>
            <w:lang w:eastAsia="ja-JP"/>
          </w:rPr>
          <w:t>Survey Materials webpage</w:t>
        </w:r>
      </w:hyperlink>
      <w:r w:rsidR="00684605">
        <w:rPr>
          <w:rFonts w:cs="Arial"/>
          <w:lang w:eastAsia="ja-JP"/>
        </w:rPr>
        <w:t xml:space="preserve">. See Note 3 below for instructions on downloading CPT codes. </w:t>
      </w:r>
    </w:p>
    <w:p w14:paraId="1646852F" w14:textId="2A701193" w:rsidR="00993399" w:rsidRPr="00D36222" w:rsidRDefault="00993399" w:rsidP="00207D3B">
      <w:pPr>
        <w:rPr>
          <w:rFonts w:cs="Arial"/>
          <w:sz w:val="16"/>
          <w:szCs w:val="16"/>
          <w:lang w:eastAsia="ja-JP"/>
        </w:rPr>
      </w:pPr>
    </w:p>
    <w:p w14:paraId="09B7CDD2" w14:textId="08B12754" w:rsidR="007720C6" w:rsidRPr="00D51874" w:rsidRDefault="00993399" w:rsidP="007720C6">
      <w:pPr>
        <w:rPr>
          <w:rFonts w:cs="Arial"/>
          <w:lang w:eastAsia="ja-JP"/>
        </w:rPr>
      </w:pPr>
      <w:r w:rsidRPr="00D25C4F">
        <w:rPr>
          <w:rFonts w:cs="Arial"/>
          <w:lang w:eastAsia="ja-JP"/>
        </w:rPr>
        <w:t xml:space="preserve">Note 3: </w:t>
      </w:r>
      <w:r w:rsidR="007720C6" w:rsidRPr="00D51874">
        <w:rPr>
          <w:rFonts w:cs="Arial"/>
          <w:lang w:eastAsia="ja-JP"/>
        </w:rPr>
        <w:t xml:space="preserve">CPT Codes are provided in downloadable </w:t>
      </w:r>
      <w:r w:rsidR="0040556C">
        <w:rPr>
          <w:rFonts w:cs="Arial"/>
          <w:lang w:eastAsia="ja-JP"/>
        </w:rPr>
        <w:t>E</w:t>
      </w:r>
      <w:r w:rsidR="007720C6" w:rsidRPr="00D51874">
        <w:rPr>
          <w:rFonts w:cs="Arial"/>
          <w:lang w:eastAsia="ja-JP"/>
        </w:rPr>
        <w:t xml:space="preserve">xcel files </w:t>
      </w:r>
      <w:r w:rsidR="007720C6">
        <w:rPr>
          <w:rFonts w:cs="Arial"/>
          <w:lang w:eastAsia="ja-JP"/>
        </w:rPr>
        <w:t>on the Survey Dashboard</w:t>
      </w:r>
      <w:r w:rsidR="007720C6" w:rsidRPr="00D51874">
        <w:rPr>
          <w:rFonts w:cs="Arial"/>
          <w:lang w:eastAsia="ja-JP"/>
        </w:rPr>
        <w:t xml:space="preserve">. To access the files, click the CPT Code Workbook button </w:t>
      </w:r>
      <w:r w:rsidR="007720C6" w:rsidRPr="00D51874">
        <w:rPr>
          <w:rStyle w:val="Hyperlink"/>
          <w:rFonts w:cs="Arial"/>
          <w:color w:val="auto"/>
          <w:u w:val="none"/>
          <w:lang w:eastAsia="ja-JP"/>
        </w:rPr>
        <w:t>next to Section 9</w:t>
      </w:r>
      <w:r w:rsidR="007720C6">
        <w:rPr>
          <w:rStyle w:val="Hyperlink"/>
          <w:rFonts w:cs="Arial"/>
          <w:color w:val="auto"/>
          <w:u w:val="none"/>
          <w:lang w:eastAsia="ja-JP"/>
        </w:rPr>
        <w:t>.</w:t>
      </w:r>
      <w:r w:rsidR="007720C6" w:rsidRPr="00D51874">
        <w:rPr>
          <w:rStyle w:val="Hyperlink"/>
          <w:rFonts w:cs="Arial"/>
          <w:color w:val="auto"/>
          <w:u w:val="none"/>
          <w:lang w:eastAsia="ja-JP"/>
        </w:rPr>
        <w:t xml:space="preserve"> </w:t>
      </w:r>
      <w:r w:rsidR="007720C6">
        <w:rPr>
          <w:rFonts w:cs="Arial"/>
          <w:lang w:eastAsia="ja-JP"/>
        </w:rPr>
        <w:t>Y</w:t>
      </w:r>
      <w:r w:rsidR="007720C6" w:rsidRPr="00D51874">
        <w:rPr>
          <w:rFonts w:cs="Arial"/>
          <w:lang w:eastAsia="ja-JP"/>
        </w:rPr>
        <w:t>ou will be required to complete the American Medical Association’s Terms of Use</w:t>
      </w:r>
      <w:r w:rsidR="007720C6" w:rsidRPr="00D51874">
        <w:rPr>
          <w:lang w:eastAsia="ja-JP"/>
        </w:rPr>
        <w:t xml:space="preserve"> before downloading the </w:t>
      </w:r>
      <w:r w:rsidR="0040556C">
        <w:rPr>
          <w:lang w:eastAsia="ja-JP"/>
        </w:rPr>
        <w:t>E</w:t>
      </w:r>
      <w:r w:rsidR="007720C6" w:rsidRPr="00D51874">
        <w:rPr>
          <w:lang w:eastAsia="ja-JP"/>
        </w:rPr>
        <w:t xml:space="preserve">xcel file and using the individual CPT codes to query </w:t>
      </w:r>
      <w:r w:rsidR="007720C6">
        <w:rPr>
          <w:lang w:eastAsia="ja-JP"/>
        </w:rPr>
        <w:t xml:space="preserve">your </w:t>
      </w:r>
      <w:r w:rsidR="007720C6" w:rsidRPr="00D51874">
        <w:rPr>
          <w:lang w:eastAsia="ja-JP"/>
        </w:rPr>
        <w:t xml:space="preserve">EHR or billing system. </w:t>
      </w:r>
      <w:r w:rsidR="007720C6" w:rsidRPr="00D51874">
        <w:rPr>
          <w:rFonts w:cs="Arial"/>
          <w:lang w:eastAsia="ja-JP"/>
        </w:rPr>
        <w:t xml:space="preserve">You are only required to complete the Terms of Use once per Survey Cycle (April 1 – November 30). </w:t>
      </w:r>
    </w:p>
    <w:p w14:paraId="6B5FA1C4" w14:textId="77777777" w:rsidR="007720C6" w:rsidRPr="00D36222" w:rsidRDefault="007720C6" w:rsidP="007720C6">
      <w:pPr>
        <w:rPr>
          <w:rFonts w:cs="Arial"/>
          <w:sz w:val="16"/>
          <w:szCs w:val="16"/>
          <w:lang w:eastAsia="ja-JP"/>
        </w:rPr>
      </w:pPr>
    </w:p>
    <w:p w14:paraId="47CD134A" w14:textId="7111C410" w:rsidR="007720C6" w:rsidRPr="00FB41BD" w:rsidRDefault="007720C6" w:rsidP="00FB41BD">
      <w:pPr>
        <w:rPr>
          <w:rFonts w:cs="Arial"/>
          <w:lang w:eastAsia="ja-JP"/>
        </w:rPr>
      </w:pPr>
      <w:r>
        <w:rPr>
          <w:rFonts w:cs="Arial"/>
          <w:lang w:eastAsia="ja-JP"/>
        </w:rPr>
        <w:t xml:space="preserve">The </w:t>
      </w:r>
      <w:r w:rsidRPr="00D51874">
        <w:rPr>
          <w:rFonts w:cs="Arial"/>
          <w:lang w:eastAsia="ja-JP"/>
        </w:rPr>
        <w:t>CPT Code Workbook</w:t>
      </w:r>
      <w:r>
        <w:rPr>
          <w:rFonts w:cs="Arial"/>
          <w:lang w:eastAsia="ja-JP"/>
        </w:rPr>
        <w:t>s</w:t>
      </w:r>
      <w:r w:rsidRPr="00D51874">
        <w:rPr>
          <w:rFonts w:cs="Arial"/>
          <w:lang w:eastAsia="ja-JP"/>
        </w:rPr>
        <w:t xml:space="preserve"> (</w:t>
      </w:r>
      <w:r w:rsidR="0040556C">
        <w:rPr>
          <w:rFonts w:cs="Arial"/>
          <w:lang w:eastAsia="ja-JP"/>
        </w:rPr>
        <w:t>E</w:t>
      </w:r>
      <w:r w:rsidRPr="00D51874">
        <w:rPr>
          <w:rFonts w:cs="Arial"/>
          <w:lang w:eastAsia="ja-JP"/>
        </w:rPr>
        <w:t>xcel file</w:t>
      </w:r>
      <w:r>
        <w:rPr>
          <w:rFonts w:cs="Arial"/>
          <w:lang w:eastAsia="ja-JP"/>
        </w:rPr>
        <w:t>s</w:t>
      </w:r>
      <w:r w:rsidRPr="00D51874">
        <w:rPr>
          <w:rFonts w:cs="Arial"/>
          <w:lang w:eastAsia="ja-JP"/>
        </w:rPr>
        <w:t xml:space="preserve">) are labeled </w:t>
      </w:r>
      <w:r>
        <w:rPr>
          <w:rFonts w:cs="Arial"/>
          <w:lang w:eastAsia="ja-JP"/>
        </w:rPr>
        <w:t xml:space="preserve">for </w:t>
      </w:r>
      <w:r w:rsidRPr="00D51874">
        <w:rPr>
          <w:rFonts w:cs="Arial"/>
          <w:lang w:eastAsia="ja-JP"/>
        </w:rPr>
        <w:t>Section 3A: Total Hip Replacement, Total Knee Replacement, and Bariatric Surgery for Weight Loss and Section 9C: Volume of Procedures. Please note</w:t>
      </w:r>
      <w:r w:rsidR="00FB41BD">
        <w:rPr>
          <w:rFonts w:cs="Arial"/>
          <w:lang w:eastAsia="ja-JP"/>
        </w:rPr>
        <w:t>, i</w:t>
      </w:r>
      <w:r w:rsidRPr="00FB41BD">
        <w:rPr>
          <w:rFonts w:cs="Arial"/>
          <w:lang w:eastAsia="ja-JP"/>
        </w:rPr>
        <w:t xml:space="preserve">f you are part of a hospital system, each hospital will need to complete the Terms of Use. This is a requirement of the American Medical Association. </w:t>
      </w:r>
    </w:p>
    <w:p w14:paraId="5F2A8496" w14:textId="729FDBBB" w:rsidR="006D4E85" w:rsidRPr="00D36222" w:rsidRDefault="006D4E85" w:rsidP="007720C6">
      <w:pPr>
        <w:rPr>
          <w:rFonts w:cs="Arial"/>
          <w:snapToGrid w:val="0"/>
          <w:sz w:val="16"/>
          <w:szCs w:val="16"/>
        </w:rPr>
      </w:pPr>
    </w:p>
    <w:tbl>
      <w:tblPr>
        <w:tblStyle w:val="TableGrid"/>
        <w:tblW w:w="9360" w:type="dxa"/>
        <w:tblLook w:val="04A0" w:firstRow="1" w:lastRow="0" w:firstColumn="1" w:lastColumn="0" w:noHBand="0" w:noVBand="1"/>
      </w:tblPr>
      <w:tblGrid>
        <w:gridCol w:w="9360"/>
      </w:tblGrid>
      <w:tr w:rsidR="00365263" w14:paraId="2C3149B4" w14:textId="77777777" w:rsidTr="002C718A">
        <w:trPr>
          <w:trHeight w:val="288"/>
        </w:trPr>
        <w:tc>
          <w:tcPr>
            <w:tcW w:w="9360" w:type="dxa"/>
            <w:vAlign w:val="center"/>
          </w:tcPr>
          <w:p w14:paraId="4DFE3482" w14:textId="45990E36" w:rsidR="00365263" w:rsidRPr="009A5185" w:rsidRDefault="00365263" w:rsidP="006E0344">
            <w:pPr>
              <w:spacing w:before="40"/>
              <w:rPr>
                <w:rFonts w:cs="Arial"/>
                <w:b/>
                <w:snapToGrid w:val="0"/>
              </w:rPr>
            </w:pPr>
            <w:r>
              <w:rPr>
                <w:rFonts w:cs="Arial"/>
                <w:b/>
                <w:snapToGrid w:val="0"/>
              </w:rPr>
              <w:t xml:space="preserve">Source: </w:t>
            </w:r>
            <w:r w:rsidRPr="00365263">
              <w:rPr>
                <w:rFonts w:cs="Arial"/>
                <w:bCs/>
                <w:snapToGrid w:val="0"/>
              </w:rPr>
              <w:t>The Leapfrog Group</w:t>
            </w:r>
            <w:r w:rsidR="00E64C6C">
              <w:rPr>
                <w:rFonts w:cs="Arial"/>
                <w:bCs/>
                <w:snapToGrid w:val="0"/>
              </w:rPr>
              <w:t>, American Medical Association</w:t>
            </w:r>
          </w:p>
        </w:tc>
      </w:tr>
      <w:tr w:rsidR="006D4E85" w14:paraId="1B7989EC" w14:textId="77777777" w:rsidTr="000F3D1F">
        <w:trPr>
          <w:trHeight w:val="1728"/>
        </w:trPr>
        <w:tc>
          <w:tcPr>
            <w:tcW w:w="9360" w:type="dxa"/>
            <w:vAlign w:val="center"/>
          </w:tcPr>
          <w:p w14:paraId="05D7C123" w14:textId="070C10E7" w:rsidR="006D4E85" w:rsidRPr="009A5185" w:rsidRDefault="006D4E85" w:rsidP="006E0344">
            <w:pPr>
              <w:spacing w:before="40"/>
              <w:rPr>
                <w:rFonts w:cs="Arial"/>
                <w:snapToGrid w:val="0"/>
              </w:rPr>
            </w:pPr>
            <w:r w:rsidRPr="009A5185">
              <w:rPr>
                <w:rFonts w:cs="Arial"/>
                <w:b/>
                <w:snapToGrid w:val="0"/>
              </w:rPr>
              <w:t>Reporting Period:</w:t>
            </w:r>
            <w:r w:rsidRPr="009A5185">
              <w:rPr>
                <w:rFonts w:cs="Arial"/>
                <w:snapToGrid w:val="0"/>
              </w:rPr>
              <w:t xml:space="preserve"> </w:t>
            </w:r>
            <w:r w:rsidRPr="009A5185">
              <w:rPr>
                <w:rFonts w:cs="Arial"/>
                <w:b/>
                <w:snapToGrid w:val="0"/>
              </w:rPr>
              <w:t>12</w:t>
            </w:r>
            <w:r w:rsidR="00B75B1F">
              <w:rPr>
                <w:rFonts w:cs="Arial"/>
                <w:b/>
                <w:snapToGrid w:val="0"/>
              </w:rPr>
              <w:t xml:space="preserve"> months</w:t>
            </w:r>
            <w:r w:rsidRPr="009A5185">
              <w:rPr>
                <w:rFonts w:cs="Arial"/>
                <w:b/>
                <w:snapToGrid w:val="0"/>
              </w:rPr>
              <w:t xml:space="preserve"> or </w:t>
            </w:r>
            <w:r w:rsidRPr="009A5185">
              <w:rPr>
                <w:rFonts w:cs="Arial"/>
                <w:b/>
                <w:i/>
                <w:snapToGrid w:val="0"/>
              </w:rPr>
              <w:t>optionally</w:t>
            </w:r>
            <w:r w:rsidRPr="009A5185">
              <w:rPr>
                <w:rFonts w:cs="Arial"/>
                <w:b/>
                <w:snapToGrid w:val="0"/>
              </w:rPr>
              <w:t xml:space="preserve"> 24</w:t>
            </w:r>
            <w:r w:rsidR="00B75B1F">
              <w:rPr>
                <w:rFonts w:cs="Arial"/>
                <w:b/>
                <w:snapToGrid w:val="0"/>
              </w:rPr>
              <w:t xml:space="preserve"> months</w:t>
            </w:r>
            <w:r w:rsidRPr="009A5185">
              <w:rPr>
                <w:rFonts w:cs="Arial"/>
                <w:b/>
                <w:snapToGrid w:val="0"/>
              </w:rPr>
              <w:t xml:space="preserve"> (annual average)</w:t>
            </w:r>
          </w:p>
          <w:p w14:paraId="74747CF8" w14:textId="15B201C2" w:rsidR="00990B86" w:rsidRPr="00990B86" w:rsidRDefault="00990B86" w:rsidP="00AD309C">
            <w:pPr>
              <w:pStyle w:val="ListParagraph"/>
              <w:numPr>
                <w:ilvl w:val="0"/>
                <w:numId w:val="29"/>
              </w:numPr>
              <w:rPr>
                <w:rFonts w:cs="Arial"/>
                <w:i/>
                <w:snapToGrid w:val="0"/>
              </w:rPr>
            </w:pPr>
            <w:r>
              <w:rPr>
                <w:rFonts w:cs="Arial"/>
                <w:snapToGrid w:val="0"/>
              </w:rPr>
              <w:t xml:space="preserve">Surveys submitted </w:t>
            </w:r>
            <w:r w:rsidR="004B3E76">
              <w:rPr>
                <w:rFonts w:cs="Arial"/>
                <w:snapToGrid w:val="0"/>
              </w:rPr>
              <w:t>prior to</w:t>
            </w:r>
            <w:r>
              <w:rPr>
                <w:rFonts w:cs="Arial"/>
                <w:snapToGrid w:val="0"/>
              </w:rPr>
              <w:t xml:space="preserve"> September 1:</w:t>
            </w:r>
          </w:p>
          <w:p w14:paraId="3327A21A" w14:textId="6DD043D4" w:rsidR="00990B86" w:rsidRPr="009A5185" w:rsidRDefault="00990B86" w:rsidP="00AD309C">
            <w:pPr>
              <w:pStyle w:val="ListParagraph"/>
              <w:numPr>
                <w:ilvl w:val="1"/>
                <w:numId w:val="29"/>
              </w:numPr>
              <w:rPr>
                <w:rFonts w:cs="Arial"/>
                <w:i/>
                <w:snapToGrid w:val="0"/>
              </w:rPr>
            </w:pPr>
            <w:r>
              <w:rPr>
                <w:rFonts w:cs="Arial"/>
                <w:iCs/>
                <w:snapToGrid w:val="0"/>
              </w:rPr>
              <w:t>01/01/202</w:t>
            </w:r>
            <w:r w:rsidR="00670B35">
              <w:rPr>
                <w:rFonts w:cs="Arial"/>
                <w:iCs/>
                <w:snapToGrid w:val="0"/>
              </w:rPr>
              <w:t>5</w:t>
            </w:r>
            <w:r>
              <w:rPr>
                <w:rFonts w:cs="Arial"/>
                <w:iCs/>
                <w:snapToGrid w:val="0"/>
              </w:rPr>
              <w:t xml:space="preserve"> – 12/31/202</w:t>
            </w:r>
            <w:r w:rsidR="00670B35">
              <w:rPr>
                <w:rFonts w:cs="Arial"/>
                <w:iCs/>
                <w:snapToGrid w:val="0"/>
              </w:rPr>
              <w:t>5</w:t>
            </w:r>
            <w:r>
              <w:rPr>
                <w:rFonts w:cs="Arial"/>
                <w:iCs/>
                <w:snapToGrid w:val="0"/>
              </w:rPr>
              <w:t xml:space="preserve"> (12-month count) or 01/01/20</w:t>
            </w:r>
            <w:r w:rsidR="009E1521">
              <w:rPr>
                <w:rFonts w:cs="Arial"/>
                <w:iCs/>
                <w:snapToGrid w:val="0"/>
              </w:rPr>
              <w:t>2</w:t>
            </w:r>
            <w:r w:rsidR="00670B35">
              <w:rPr>
                <w:rFonts w:cs="Arial"/>
                <w:iCs/>
                <w:snapToGrid w:val="0"/>
              </w:rPr>
              <w:t>4</w:t>
            </w:r>
            <w:r>
              <w:rPr>
                <w:rFonts w:cs="Arial"/>
                <w:iCs/>
                <w:snapToGrid w:val="0"/>
              </w:rPr>
              <w:t xml:space="preserve"> – 12/31/202</w:t>
            </w:r>
            <w:r w:rsidR="00670B35">
              <w:rPr>
                <w:rFonts w:cs="Arial"/>
                <w:iCs/>
                <w:snapToGrid w:val="0"/>
              </w:rPr>
              <w:t>5</w:t>
            </w:r>
            <w:r>
              <w:rPr>
                <w:rFonts w:cs="Arial"/>
                <w:iCs/>
                <w:snapToGrid w:val="0"/>
              </w:rPr>
              <w:t xml:space="preserve"> (24-month annual average)</w:t>
            </w:r>
          </w:p>
          <w:p w14:paraId="5407735C" w14:textId="60442CAA" w:rsidR="00990B86" w:rsidRPr="00990B86" w:rsidRDefault="006D4E85" w:rsidP="00AD309C">
            <w:pPr>
              <w:pStyle w:val="ListParagraph"/>
              <w:numPr>
                <w:ilvl w:val="0"/>
                <w:numId w:val="29"/>
              </w:numPr>
              <w:rPr>
                <w:rFonts w:cs="Arial"/>
              </w:rPr>
            </w:pPr>
            <w:r w:rsidRPr="006D4E85">
              <w:rPr>
                <w:rFonts w:cs="Arial"/>
                <w:snapToGrid w:val="0"/>
              </w:rPr>
              <w:t xml:space="preserve">Surveys (re)submitted on or after September 1: </w:t>
            </w:r>
          </w:p>
          <w:p w14:paraId="1E1EB7AF" w14:textId="0480319F" w:rsidR="006D4E85" w:rsidRPr="00D51874" w:rsidRDefault="006D4E85" w:rsidP="00AD309C">
            <w:pPr>
              <w:pStyle w:val="ListParagraph"/>
              <w:numPr>
                <w:ilvl w:val="1"/>
                <w:numId w:val="29"/>
              </w:numPr>
              <w:rPr>
                <w:rFonts w:cs="Arial"/>
              </w:rPr>
            </w:pPr>
            <w:r w:rsidRPr="006D4E85">
              <w:rPr>
                <w:rFonts w:cs="Arial"/>
                <w:snapToGrid w:val="0"/>
              </w:rPr>
              <w:t>07/01/</w:t>
            </w:r>
            <w:r w:rsidR="00990B86">
              <w:rPr>
                <w:rFonts w:cs="Arial"/>
                <w:snapToGrid w:val="0"/>
              </w:rPr>
              <w:t>202</w:t>
            </w:r>
            <w:r w:rsidR="00670B35">
              <w:rPr>
                <w:rFonts w:cs="Arial"/>
                <w:snapToGrid w:val="0"/>
              </w:rPr>
              <w:t>5</w:t>
            </w:r>
            <w:r w:rsidRPr="006D4E85">
              <w:rPr>
                <w:rFonts w:cs="Arial"/>
                <w:snapToGrid w:val="0"/>
              </w:rPr>
              <w:t xml:space="preserve"> </w:t>
            </w:r>
            <w:r w:rsidR="00F57028">
              <w:rPr>
                <w:rFonts w:cs="Arial"/>
                <w:snapToGrid w:val="0"/>
              </w:rPr>
              <w:t>–</w:t>
            </w:r>
            <w:r w:rsidRPr="006D4E85">
              <w:rPr>
                <w:rFonts w:cs="Arial"/>
                <w:snapToGrid w:val="0"/>
              </w:rPr>
              <w:t xml:space="preserve"> 06/30/</w:t>
            </w:r>
            <w:r w:rsidR="00990B86">
              <w:rPr>
                <w:rFonts w:cs="Arial"/>
                <w:snapToGrid w:val="0"/>
              </w:rPr>
              <w:t>202</w:t>
            </w:r>
            <w:r w:rsidR="00670B35">
              <w:rPr>
                <w:rFonts w:cs="Arial"/>
                <w:snapToGrid w:val="0"/>
              </w:rPr>
              <w:t>6</w:t>
            </w:r>
            <w:r w:rsidRPr="006D4E85">
              <w:rPr>
                <w:rFonts w:cs="Arial"/>
                <w:snapToGrid w:val="0"/>
              </w:rPr>
              <w:t xml:space="preserve"> (12-month count) or 07/01/</w:t>
            </w:r>
            <w:r w:rsidR="00990B86">
              <w:rPr>
                <w:rFonts w:cs="Arial"/>
                <w:snapToGrid w:val="0"/>
              </w:rPr>
              <w:t>20</w:t>
            </w:r>
            <w:r w:rsidR="009E1521">
              <w:rPr>
                <w:rFonts w:cs="Arial"/>
                <w:snapToGrid w:val="0"/>
              </w:rPr>
              <w:t>2</w:t>
            </w:r>
            <w:r w:rsidR="00670B35">
              <w:rPr>
                <w:rFonts w:cs="Arial"/>
                <w:snapToGrid w:val="0"/>
              </w:rPr>
              <w:t>4</w:t>
            </w:r>
            <w:r w:rsidRPr="006D4E85">
              <w:rPr>
                <w:rFonts w:cs="Arial"/>
                <w:snapToGrid w:val="0"/>
              </w:rPr>
              <w:t xml:space="preserve"> – 06/30/</w:t>
            </w:r>
            <w:r w:rsidR="00990B86">
              <w:rPr>
                <w:rFonts w:cs="Arial"/>
                <w:snapToGrid w:val="0"/>
              </w:rPr>
              <w:t>202</w:t>
            </w:r>
            <w:r w:rsidR="00670B35">
              <w:rPr>
                <w:rFonts w:cs="Arial"/>
                <w:snapToGrid w:val="0"/>
              </w:rPr>
              <w:t>6</w:t>
            </w:r>
            <w:r w:rsidRPr="006D4E85">
              <w:rPr>
                <w:rFonts w:cs="Arial"/>
                <w:snapToGrid w:val="0"/>
              </w:rPr>
              <w:t xml:space="preserve"> (24-month annual average)</w:t>
            </w:r>
          </w:p>
        </w:tc>
      </w:tr>
      <w:tr w:rsidR="006D4E85" w14:paraId="5678D591" w14:textId="77777777" w:rsidTr="00FB41BD">
        <w:trPr>
          <w:trHeight w:val="2592"/>
        </w:trPr>
        <w:tc>
          <w:tcPr>
            <w:tcW w:w="9360" w:type="dxa"/>
            <w:vAlign w:val="center"/>
          </w:tcPr>
          <w:p w14:paraId="20FECEAA" w14:textId="1BD74712" w:rsidR="006D4E85" w:rsidRPr="00D51874" w:rsidRDefault="006D4E85" w:rsidP="006E0344">
            <w:pPr>
              <w:rPr>
                <w:rFonts w:cs="Arial"/>
                <w:sz w:val="16"/>
                <w:szCs w:val="16"/>
              </w:rPr>
            </w:pPr>
            <w:r w:rsidRPr="006D4E85">
              <w:rPr>
                <w:rFonts w:cs="Arial"/>
                <w:b/>
              </w:rPr>
              <w:t xml:space="preserve">Question </w:t>
            </w:r>
            <w:r w:rsidR="00D51874">
              <w:rPr>
                <w:rFonts w:cs="Arial"/>
                <w:b/>
              </w:rPr>
              <w:t>#</w:t>
            </w:r>
            <w:r w:rsidRPr="006D4E85">
              <w:rPr>
                <w:rFonts w:cs="Arial"/>
                <w:b/>
              </w:rPr>
              <w:t xml:space="preserve">2: </w:t>
            </w:r>
            <w:r>
              <w:rPr>
                <w:rFonts w:cs="Arial"/>
              </w:rPr>
              <w:t xml:space="preserve">Check all procedures that your hospital performs as defined in the </w:t>
            </w:r>
            <w:r w:rsidR="00771F66">
              <w:rPr>
                <w:rFonts w:cs="Arial"/>
              </w:rPr>
              <w:t xml:space="preserve">Adult and Pediatric </w:t>
            </w:r>
            <w:r w:rsidR="004441DE">
              <w:rPr>
                <w:rFonts w:cs="Arial"/>
              </w:rPr>
              <w:t>Complex</w:t>
            </w:r>
            <w:r>
              <w:rPr>
                <w:rFonts w:cs="Arial"/>
              </w:rPr>
              <w:t xml:space="preserve"> Surgery Reference Information (listed below):</w:t>
            </w:r>
          </w:p>
          <w:p w14:paraId="0615EE5F" w14:textId="77777777" w:rsidR="006E26E4" w:rsidRDefault="006D4E85" w:rsidP="00AD309C">
            <w:pPr>
              <w:pStyle w:val="ListParagraph"/>
              <w:numPr>
                <w:ilvl w:val="0"/>
                <w:numId w:val="364"/>
              </w:numPr>
              <w:rPr>
                <w:rFonts w:cs="Arial"/>
              </w:rPr>
            </w:pPr>
            <w:r>
              <w:rPr>
                <w:rFonts w:cs="Arial"/>
              </w:rPr>
              <w:t xml:space="preserve">Carotid endarterectomy </w:t>
            </w:r>
          </w:p>
          <w:p w14:paraId="6CE43E4F" w14:textId="2CCE4CBD" w:rsidR="006E26E4" w:rsidRDefault="006D4E85" w:rsidP="00AD309C">
            <w:pPr>
              <w:pStyle w:val="ListParagraph"/>
              <w:numPr>
                <w:ilvl w:val="0"/>
                <w:numId w:val="364"/>
              </w:numPr>
              <w:rPr>
                <w:rFonts w:cs="Arial"/>
              </w:rPr>
            </w:pPr>
            <w:r>
              <w:rPr>
                <w:rFonts w:cs="Arial"/>
              </w:rPr>
              <w:t>Mitral valve repair and replacement</w:t>
            </w:r>
          </w:p>
          <w:p w14:paraId="02BA3C17" w14:textId="0162C847" w:rsidR="006E26E4" w:rsidRDefault="006D4E85" w:rsidP="00AD309C">
            <w:pPr>
              <w:pStyle w:val="ListParagraph"/>
              <w:numPr>
                <w:ilvl w:val="0"/>
                <w:numId w:val="364"/>
              </w:numPr>
              <w:rPr>
                <w:rFonts w:cs="Arial"/>
              </w:rPr>
            </w:pPr>
            <w:r>
              <w:rPr>
                <w:rFonts w:cs="Arial"/>
              </w:rPr>
              <w:t xml:space="preserve">Open aortic </w:t>
            </w:r>
            <w:r w:rsidR="005407C3">
              <w:rPr>
                <w:rFonts w:cs="Arial"/>
              </w:rPr>
              <w:t>procedures</w:t>
            </w:r>
          </w:p>
          <w:p w14:paraId="43334670" w14:textId="45AA088F" w:rsidR="006E26E4" w:rsidRDefault="006D4E85" w:rsidP="00AD309C">
            <w:pPr>
              <w:pStyle w:val="ListParagraph"/>
              <w:numPr>
                <w:ilvl w:val="0"/>
                <w:numId w:val="364"/>
              </w:numPr>
              <w:rPr>
                <w:rFonts w:cs="Arial"/>
              </w:rPr>
            </w:pPr>
            <w:r>
              <w:rPr>
                <w:rFonts w:cs="Arial"/>
              </w:rPr>
              <w:t>Lung resection for cancer</w:t>
            </w:r>
          </w:p>
          <w:p w14:paraId="75FD9FF6" w14:textId="27173BB4" w:rsidR="006E26E4" w:rsidRDefault="006D4E85" w:rsidP="00AD309C">
            <w:pPr>
              <w:pStyle w:val="ListParagraph"/>
              <w:numPr>
                <w:ilvl w:val="0"/>
                <w:numId w:val="364"/>
              </w:numPr>
              <w:rPr>
                <w:rFonts w:cs="Arial"/>
              </w:rPr>
            </w:pPr>
            <w:r>
              <w:rPr>
                <w:rFonts w:cs="Arial"/>
              </w:rPr>
              <w:t>Esophageal resection for cancer</w:t>
            </w:r>
          </w:p>
          <w:p w14:paraId="2E03029E" w14:textId="415A40F5" w:rsidR="006E26E4" w:rsidRDefault="006D4E85" w:rsidP="00AD309C">
            <w:pPr>
              <w:pStyle w:val="ListParagraph"/>
              <w:numPr>
                <w:ilvl w:val="0"/>
                <w:numId w:val="364"/>
              </w:numPr>
              <w:rPr>
                <w:rFonts w:cs="Arial"/>
              </w:rPr>
            </w:pPr>
            <w:r>
              <w:rPr>
                <w:rFonts w:cs="Arial"/>
              </w:rPr>
              <w:t>Pancreatic resection for cancer</w:t>
            </w:r>
          </w:p>
          <w:p w14:paraId="4E51710D" w14:textId="3E7AC54E" w:rsidR="006E26E4" w:rsidRDefault="006D4E85" w:rsidP="00AD309C">
            <w:pPr>
              <w:pStyle w:val="ListParagraph"/>
              <w:numPr>
                <w:ilvl w:val="0"/>
                <w:numId w:val="364"/>
              </w:numPr>
              <w:rPr>
                <w:rFonts w:cs="Arial"/>
              </w:rPr>
            </w:pPr>
            <w:r>
              <w:rPr>
                <w:rFonts w:cs="Arial"/>
              </w:rPr>
              <w:t>Rectal cancer surgery</w:t>
            </w:r>
          </w:p>
          <w:p w14:paraId="6A4B0781" w14:textId="06F01410" w:rsidR="006D4E85" w:rsidRDefault="006D4E85" w:rsidP="00AD309C">
            <w:pPr>
              <w:pStyle w:val="ListParagraph"/>
              <w:numPr>
                <w:ilvl w:val="0"/>
                <w:numId w:val="364"/>
              </w:numPr>
              <w:rPr>
                <w:rFonts w:cs="Arial"/>
              </w:rPr>
            </w:pPr>
            <w:r>
              <w:rPr>
                <w:rFonts w:cs="Arial"/>
              </w:rPr>
              <w:t>Bariatric surgery for weight loss</w:t>
            </w:r>
          </w:p>
          <w:p w14:paraId="5B6BBF19" w14:textId="77777777" w:rsidR="00B10036" w:rsidRPr="006E26E4" w:rsidRDefault="00B10036" w:rsidP="00AD309C">
            <w:pPr>
              <w:pStyle w:val="ListParagraph"/>
              <w:numPr>
                <w:ilvl w:val="0"/>
                <w:numId w:val="364"/>
              </w:numPr>
              <w:rPr>
                <w:rFonts w:cs="Arial"/>
              </w:rPr>
            </w:pPr>
            <w:r w:rsidRPr="006E26E4">
              <w:rPr>
                <w:rFonts w:cs="Arial"/>
              </w:rPr>
              <w:t>Total knee replacement</w:t>
            </w:r>
          </w:p>
          <w:p w14:paraId="4F8EF6C0" w14:textId="77777777" w:rsidR="00B10036" w:rsidRPr="006E26E4" w:rsidRDefault="00B10036" w:rsidP="00AD309C">
            <w:pPr>
              <w:pStyle w:val="ListParagraph"/>
              <w:numPr>
                <w:ilvl w:val="0"/>
                <w:numId w:val="364"/>
              </w:numPr>
              <w:rPr>
                <w:rFonts w:cs="Arial"/>
              </w:rPr>
            </w:pPr>
            <w:r w:rsidRPr="006E26E4">
              <w:rPr>
                <w:rFonts w:cs="Arial"/>
              </w:rPr>
              <w:t>Total hip replacement</w:t>
            </w:r>
          </w:p>
          <w:p w14:paraId="3A9D0755" w14:textId="34DF9FFC" w:rsidR="00B10036" w:rsidRPr="006E26E4" w:rsidRDefault="00B10036" w:rsidP="00AD309C">
            <w:pPr>
              <w:pStyle w:val="ListParagraph"/>
              <w:numPr>
                <w:ilvl w:val="0"/>
                <w:numId w:val="364"/>
              </w:numPr>
              <w:rPr>
                <w:rFonts w:cs="Arial"/>
              </w:rPr>
            </w:pPr>
            <w:r w:rsidRPr="006E26E4">
              <w:rPr>
                <w:rFonts w:cs="Arial"/>
              </w:rPr>
              <w:t>Norwood procedure</w:t>
            </w:r>
          </w:p>
          <w:p w14:paraId="020968A2" w14:textId="3DFFB969" w:rsidR="00BF662A" w:rsidRPr="00D51874" w:rsidRDefault="00BF662A" w:rsidP="006E0344">
            <w:pPr>
              <w:contextualSpacing/>
              <w:rPr>
                <w:rFonts w:cs="Arial"/>
                <w:sz w:val="16"/>
                <w:szCs w:val="16"/>
              </w:rPr>
            </w:pPr>
          </w:p>
          <w:p w14:paraId="7D26403D" w14:textId="503EE5C0" w:rsidR="006E26E4" w:rsidRDefault="00BF662A" w:rsidP="006E0344">
            <w:pPr>
              <w:contextualSpacing/>
              <w:rPr>
                <w:rFonts w:cs="Arial"/>
              </w:rPr>
            </w:pPr>
            <w:r>
              <w:rPr>
                <w:rFonts w:cs="Arial"/>
              </w:rPr>
              <w:t xml:space="preserve">Free-standing </w:t>
            </w:r>
            <w:r w:rsidR="00A116B1">
              <w:rPr>
                <w:rFonts w:cs="Arial"/>
              </w:rPr>
              <w:t>p</w:t>
            </w:r>
            <w:r>
              <w:rPr>
                <w:rFonts w:cs="Arial"/>
              </w:rPr>
              <w:t xml:space="preserve">ediatric </w:t>
            </w:r>
            <w:r w:rsidR="00A116B1">
              <w:rPr>
                <w:rFonts w:cs="Arial"/>
              </w:rPr>
              <w:t>h</w:t>
            </w:r>
            <w:r>
              <w:rPr>
                <w:rFonts w:cs="Arial"/>
              </w:rPr>
              <w:t xml:space="preserve">ospitals should only report on the Norwood procedure, if applicable. </w:t>
            </w:r>
          </w:p>
          <w:p w14:paraId="28A3B9A7" w14:textId="77777777" w:rsidR="003B4CC8" w:rsidRPr="004F5E10" w:rsidRDefault="003B4CC8" w:rsidP="006E0344">
            <w:pPr>
              <w:contextualSpacing/>
              <w:rPr>
                <w:rFonts w:cs="Arial"/>
              </w:rPr>
            </w:pPr>
          </w:p>
          <w:p w14:paraId="68BAE937" w14:textId="77777777" w:rsidR="006D4E85" w:rsidRDefault="006D4E85" w:rsidP="006E0344">
            <w:pPr>
              <w:rPr>
                <w:rFonts w:cs="Arial"/>
              </w:rPr>
            </w:pPr>
            <w:r w:rsidRPr="006D4E85">
              <w:rPr>
                <w:rFonts w:cs="Arial"/>
                <w:u w:val="single"/>
              </w:rPr>
              <w:t>Do not</w:t>
            </w:r>
            <w:r>
              <w:rPr>
                <w:rFonts w:cs="Arial"/>
              </w:rPr>
              <w:t xml:space="preserve"> check the box for the procedure if:</w:t>
            </w:r>
          </w:p>
          <w:p w14:paraId="6591E1E8" w14:textId="5B22BEFE" w:rsidR="006D4E85" w:rsidRDefault="006D4E85" w:rsidP="00AD309C">
            <w:pPr>
              <w:pStyle w:val="ListParagraph"/>
              <w:numPr>
                <w:ilvl w:val="0"/>
                <w:numId w:val="98"/>
              </w:numPr>
              <w:rPr>
                <w:rFonts w:cs="Arial"/>
              </w:rPr>
            </w:pPr>
            <w:r>
              <w:rPr>
                <w:rFonts w:cs="Arial"/>
              </w:rPr>
              <w:t>Y</w:t>
            </w:r>
            <w:r w:rsidRPr="006D4E85">
              <w:rPr>
                <w:rFonts w:cs="Arial"/>
              </w:rPr>
              <w:t>our hospital does not perform the procedure</w:t>
            </w:r>
            <w:r w:rsidR="00D35EB5">
              <w:rPr>
                <w:rFonts w:cs="Arial"/>
              </w:rPr>
              <w:t xml:space="preserve"> </w:t>
            </w:r>
            <w:r w:rsidRPr="006D4E85">
              <w:rPr>
                <w:rFonts w:cs="Arial"/>
              </w:rPr>
              <w:t xml:space="preserve">or </w:t>
            </w:r>
            <w:r w:rsidR="00D35EB5" w:rsidRPr="007A4857">
              <w:rPr>
                <w:rFonts w:cs="Arial"/>
                <w:iCs/>
              </w:rPr>
              <w:t>ONLY performs the procedure on an emergency basis or when a patient is too unstable for safe transfer.</w:t>
            </w:r>
          </w:p>
          <w:p w14:paraId="289475F2" w14:textId="13385387" w:rsidR="006D4E85" w:rsidRPr="006D4E85" w:rsidRDefault="006D4E85" w:rsidP="00AD309C">
            <w:pPr>
              <w:pStyle w:val="ListParagraph"/>
              <w:numPr>
                <w:ilvl w:val="0"/>
                <w:numId w:val="98"/>
              </w:numPr>
              <w:rPr>
                <w:rFonts w:cs="Arial"/>
              </w:rPr>
            </w:pPr>
            <w:r>
              <w:rPr>
                <w:rFonts w:cs="Arial"/>
                <w:lang w:eastAsia="ja-JP"/>
              </w:rPr>
              <w:lastRenderedPageBreak/>
              <w:t>Y</w:t>
            </w:r>
            <w:r w:rsidRPr="006D4E85">
              <w:rPr>
                <w:rFonts w:cs="Arial"/>
                <w:lang w:eastAsia="ja-JP"/>
              </w:rPr>
              <w:t>our hospital has</w:t>
            </w:r>
            <w:r w:rsidR="007A55BC">
              <w:rPr>
                <w:rFonts w:cs="Arial"/>
                <w:lang w:eastAsia="ja-JP"/>
              </w:rPr>
              <w:t xml:space="preserve"> started to perform the procedure in the last 18</w:t>
            </w:r>
            <w:r w:rsidR="00B75B1F">
              <w:rPr>
                <w:rFonts w:cs="Arial"/>
                <w:lang w:eastAsia="ja-JP"/>
              </w:rPr>
              <w:t xml:space="preserve"> months</w:t>
            </w:r>
            <w:r w:rsidR="007A55BC">
              <w:rPr>
                <w:rFonts w:cs="Arial"/>
                <w:lang w:eastAsia="ja-JP"/>
              </w:rPr>
              <w:t xml:space="preserve">. Leapfrog gives hospitals an </w:t>
            </w:r>
            <w:r w:rsidRPr="006D4E85">
              <w:rPr>
                <w:rFonts w:cs="Arial"/>
              </w:rPr>
              <w:t>18-month grace period before having to re</w:t>
            </w:r>
            <w:r w:rsidR="007A55BC">
              <w:rPr>
                <w:rFonts w:cs="Arial"/>
              </w:rPr>
              <w:t>port on hospital</w:t>
            </w:r>
            <w:r w:rsidRPr="006D4E85">
              <w:rPr>
                <w:rFonts w:cs="Arial"/>
              </w:rPr>
              <w:t xml:space="preserve"> volume </w:t>
            </w:r>
            <w:r w:rsidR="007A55BC">
              <w:rPr>
                <w:rFonts w:cs="Arial"/>
              </w:rPr>
              <w:t>and process for privileging surgeons for new service lines</w:t>
            </w:r>
            <w:r>
              <w:rPr>
                <w:rFonts w:cs="Arial"/>
              </w:rPr>
              <w:t>.</w:t>
            </w:r>
            <w:r w:rsidRPr="006D4E85">
              <w:rPr>
                <w:rFonts w:cs="Arial"/>
              </w:rPr>
              <w:t xml:space="preserve"> </w:t>
            </w:r>
          </w:p>
          <w:p w14:paraId="627D97A2" w14:textId="77777777" w:rsidR="006D4E85" w:rsidRDefault="006D4E85" w:rsidP="006E0344">
            <w:pPr>
              <w:rPr>
                <w:rFonts w:cs="Arial"/>
              </w:rPr>
            </w:pPr>
          </w:p>
          <w:p w14:paraId="072F1013" w14:textId="77777777" w:rsidR="006D4E85" w:rsidRDefault="006D4E85" w:rsidP="006E0344">
            <w:pPr>
              <w:rPr>
                <w:rFonts w:cs="Arial"/>
              </w:rPr>
            </w:pPr>
            <w:r w:rsidRPr="006D4E85">
              <w:rPr>
                <w:rFonts w:cs="Arial"/>
                <w:u w:val="single"/>
              </w:rPr>
              <w:t>Do</w:t>
            </w:r>
            <w:r>
              <w:rPr>
                <w:rFonts w:cs="Arial"/>
              </w:rPr>
              <w:t xml:space="preserve"> check the box for the procedure if: </w:t>
            </w:r>
          </w:p>
          <w:p w14:paraId="338863CC" w14:textId="202CAE94" w:rsidR="006D4E85" w:rsidRDefault="006D4E85" w:rsidP="00AD309C">
            <w:pPr>
              <w:pStyle w:val="ListParagraph"/>
              <w:numPr>
                <w:ilvl w:val="0"/>
                <w:numId w:val="99"/>
              </w:numPr>
              <w:rPr>
                <w:rFonts w:cs="Arial"/>
                <w:lang w:eastAsia="ja-JP"/>
              </w:rPr>
            </w:pPr>
            <w:r>
              <w:rPr>
                <w:rFonts w:cs="Arial"/>
                <w:lang w:eastAsia="ja-JP"/>
              </w:rPr>
              <w:t>Y</w:t>
            </w:r>
            <w:r w:rsidRPr="006D4E85">
              <w:rPr>
                <w:rFonts w:cs="Arial"/>
                <w:lang w:eastAsia="ja-JP"/>
              </w:rPr>
              <w:t xml:space="preserve">our hospital </w:t>
            </w:r>
            <w:r w:rsidR="00B55CE5">
              <w:rPr>
                <w:rFonts w:cs="Arial"/>
                <w:lang w:eastAsia="ja-JP"/>
              </w:rPr>
              <w:t xml:space="preserve">would </w:t>
            </w:r>
            <w:r w:rsidRPr="006D4E85">
              <w:rPr>
                <w:rFonts w:cs="Arial"/>
                <w:lang w:eastAsia="ja-JP"/>
              </w:rPr>
              <w:t>perform the procedure but ha</w:t>
            </w:r>
            <w:r w:rsidR="00B55CE5">
              <w:rPr>
                <w:rFonts w:cs="Arial"/>
                <w:lang w:eastAsia="ja-JP"/>
              </w:rPr>
              <w:t>d</w:t>
            </w:r>
            <w:r w:rsidRPr="006D4E85">
              <w:rPr>
                <w:rFonts w:cs="Arial"/>
                <w:lang w:eastAsia="ja-JP"/>
              </w:rPr>
              <w:t xml:space="preserve"> zero cases during the reporting period</w:t>
            </w:r>
            <w:r>
              <w:rPr>
                <w:rFonts w:cs="Arial"/>
                <w:lang w:eastAsia="ja-JP"/>
              </w:rPr>
              <w:t>. S</w:t>
            </w:r>
            <w:r w:rsidRPr="006D4E85">
              <w:rPr>
                <w:rFonts w:cs="Arial"/>
                <w:lang w:eastAsia="ja-JP"/>
              </w:rPr>
              <w:t xml:space="preserve">elect the procedure and indicate </w:t>
            </w:r>
            <w:r w:rsidR="000315F8">
              <w:rPr>
                <w:rFonts w:cs="Arial"/>
                <w:lang w:eastAsia="ja-JP"/>
              </w:rPr>
              <w:t>a</w:t>
            </w:r>
            <w:r w:rsidRPr="006D4E85">
              <w:rPr>
                <w:rFonts w:cs="Arial"/>
                <w:lang w:eastAsia="ja-JP"/>
              </w:rPr>
              <w:t xml:space="preserve"> hospital volume of zero in question #3. Please note that hospitals can elect to report on a 24-month annual average. </w:t>
            </w:r>
          </w:p>
          <w:p w14:paraId="6EB2A535" w14:textId="18E914B5" w:rsidR="006D4E85" w:rsidRPr="00D51874" w:rsidRDefault="006D4E85" w:rsidP="00AD309C">
            <w:pPr>
              <w:pStyle w:val="ListParagraph"/>
              <w:numPr>
                <w:ilvl w:val="0"/>
                <w:numId w:val="99"/>
              </w:numPr>
              <w:rPr>
                <w:rFonts w:cs="Arial"/>
                <w:lang w:eastAsia="ja-JP"/>
              </w:rPr>
            </w:pPr>
            <w:r>
              <w:rPr>
                <w:rFonts w:cs="Arial"/>
                <w:lang w:eastAsia="ja-JP"/>
              </w:rPr>
              <w:t>Your hospital has</w:t>
            </w:r>
            <w:r>
              <w:rPr>
                <w:rFonts w:cs="Arial"/>
              </w:rPr>
              <w:t xml:space="preserve"> reached</w:t>
            </w:r>
            <w:r w:rsidRPr="006D4E85">
              <w:rPr>
                <w:rFonts w:cs="Arial"/>
              </w:rPr>
              <w:t xml:space="preserve"> the end of the 18-month grace period</w:t>
            </w:r>
            <w:r>
              <w:rPr>
                <w:rFonts w:cs="Arial"/>
              </w:rPr>
              <w:t xml:space="preserve"> for a new service line.</w:t>
            </w:r>
            <w:r w:rsidR="00C63946">
              <w:rPr>
                <w:rFonts w:cs="Arial"/>
              </w:rPr>
              <w:t xml:space="preserve"> You will no</w:t>
            </w:r>
            <w:r w:rsidR="00F669BD">
              <w:rPr>
                <w:rFonts w:cs="Arial"/>
              </w:rPr>
              <w:t>w</w:t>
            </w:r>
            <w:r w:rsidR="00C63946">
              <w:rPr>
                <w:rFonts w:cs="Arial"/>
              </w:rPr>
              <w:t xml:space="preserve"> have to report on both hospital volume and your process for privileging surgeons for this procedure. </w:t>
            </w:r>
          </w:p>
        </w:tc>
      </w:tr>
      <w:tr w:rsidR="006D4E85" w14:paraId="2A914277" w14:textId="77777777" w:rsidTr="008F0C5E">
        <w:trPr>
          <w:trHeight w:val="7344"/>
        </w:trPr>
        <w:tc>
          <w:tcPr>
            <w:tcW w:w="9360" w:type="dxa"/>
            <w:vAlign w:val="center"/>
          </w:tcPr>
          <w:p w14:paraId="20ED766A" w14:textId="7588905E" w:rsidR="00207D3B" w:rsidRDefault="006D4E85" w:rsidP="006E0344">
            <w:pPr>
              <w:rPr>
                <w:rFonts w:cs="Arial"/>
              </w:rPr>
            </w:pPr>
            <w:r w:rsidRPr="00207D3B">
              <w:rPr>
                <w:rFonts w:cs="Arial"/>
                <w:b/>
              </w:rPr>
              <w:lastRenderedPageBreak/>
              <w:t xml:space="preserve">Question </w:t>
            </w:r>
            <w:r w:rsidR="00D51874">
              <w:rPr>
                <w:rFonts w:cs="Arial"/>
                <w:b/>
              </w:rPr>
              <w:t>#</w:t>
            </w:r>
            <w:r w:rsidR="004441DE">
              <w:rPr>
                <w:rFonts w:cs="Arial"/>
                <w:b/>
              </w:rPr>
              <w:t>3</w:t>
            </w:r>
            <w:r>
              <w:rPr>
                <w:rFonts w:cs="Arial"/>
              </w:rPr>
              <w:t xml:space="preserve">: Total </w:t>
            </w:r>
            <w:r w:rsidRPr="00207D3B">
              <w:rPr>
                <w:rFonts w:cs="Arial"/>
                <w:b/>
              </w:rPr>
              <w:t>hospital volume</w:t>
            </w:r>
            <w:r>
              <w:rPr>
                <w:rFonts w:cs="Arial"/>
              </w:rPr>
              <w:t xml:space="preserve"> for each </w:t>
            </w:r>
            <w:r w:rsidR="00C63946">
              <w:rPr>
                <w:rFonts w:cs="Arial"/>
              </w:rPr>
              <w:t>selected</w:t>
            </w:r>
            <w:r>
              <w:rPr>
                <w:rFonts w:cs="Arial"/>
              </w:rPr>
              <w:t xml:space="preserve"> procedure (from question #2) during the reporting period</w:t>
            </w:r>
            <w:r w:rsidR="00207D3B">
              <w:rPr>
                <w:rFonts w:cs="Arial"/>
              </w:rPr>
              <w:t>:</w:t>
            </w:r>
          </w:p>
          <w:p w14:paraId="0CB6E3D7" w14:textId="77777777" w:rsidR="006E26E4" w:rsidRPr="000F3D1F" w:rsidRDefault="00207D3B" w:rsidP="00AD309C">
            <w:pPr>
              <w:pStyle w:val="ListParagraph"/>
              <w:numPr>
                <w:ilvl w:val="0"/>
                <w:numId w:val="365"/>
              </w:numPr>
              <w:rPr>
                <w:rFonts w:cs="Arial"/>
                <w:color w:val="0000FF"/>
                <w:u w:val="single"/>
              </w:rPr>
            </w:pPr>
            <w:hyperlink w:anchor="Carotid" w:history="1">
              <w:r w:rsidRPr="00B12E5C">
                <w:rPr>
                  <w:rStyle w:val="Hyperlink"/>
                  <w:rFonts w:cs="Arial"/>
                </w:rPr>
                <w:t>Carotid endarterectomy</w:t>
              </w:r>
            </w:hyperlink>
            <w:r>
              <w:rPr>
                <w:rFonts w:cs="Arial"/>
              </w:rPr>
              <w:t xml:space="preserve"> </w:t>
            </w:r>
            <w:r w:rsidR="002C7355">
              <w:rPr>
                <w:rFonts w:cs="Arial"/>
              </w:rPr>
              <w:t>(Hospital Volume Standard: 20)</w:t>
            </w:r>
          </w:p>
          <w:p w14:paraId="23FE38AA" w14:textId="13175545" w:rsidR="006E26E4" w:rsidRPr="000F3D1F" w:rsidRDefault="00207D3B" w:rsidP="00AD309C">
            <w:pPr>
              <w:pStyle w:val="ListParagraph"/>
              <w:numPr>
                <w:ilvl w:val="0"/>
                <w:numId w:val="365"/>
              </w:numPr>
              <w:rPr>
                <w:rFonts w:cs="Arial"/>
                <w:color w:val="0000FF"/>
                <w:u w:val="single"/>
              </w:rPr>
            </w:pPr>
            <w:hyperlink w:anchor="MitralValve" w:history="1">
              <w:r w:rsidRPr="00B12E5C">
                <w:rPr>
                  <w:rStyle w:val="Hyperlink"/>
                  <w:rFonts w:cs="Arial"/>
                </w:rPr>
                <w:t>Mitral valve repair and replacement</w:t>
              </w:r>
            </w:hyperlink>
            <w:r w:rsidR="002C7355">
              <w:rPr>
                <w:rStyle w:val="Hyperlink"/>
                <w:rFonts w:cs="Arial"/>
              </w:rPr>
              <w:t xml:space="preserve"> </w:t>
            </w:r>
            <w:r w:rsidR="002C7355">
              <w:rPr>
                <w:rFonts w:cs="Arial"/>
              </w:rPr>
              <w:t>(Hospital Volume Standard: 40)</w:t>
            </w:r>
          </w:p>
          <w:p w14:paraId="3D3450A2" w14:textId="012EF9EF" w:rsidR="006E26E4" w:rsidRPr="000F3D1F" w:rsidRDefault="00207D3B" w:rsidP="00AD309C">
            <w:pPr>
              <w:pStyle w:val="ListParagraph"/>
              <w:numPr>
                <w:ilvl w:val="0"/>
                <w:numId w:val="365"/>
              </w:numPr>
              <w:rPr>
                <w:rFonts w:cs="Arial"/>
                <w:color w:val="0000FF"/>
                <w:u w:val="single"/>
              </w:rPr>
            </w:pPr>
            <w:hyperlink w:anchor="Aortic" w:history="1">
              <w:r w:rsidRPr="00B12E5C">
                <w:rPr>
                  <w:rStyle w:val="Hyperlink"/>
                  <w:rFonts w:cs="Arial"/>
                </w:rPr>
                <w:t xml:space="preserve">Open aortic </w:t>
              </w:r>
              <w:r w:rsidR="005407C3" w:rsidRPr="00B12E5C">
                <w:rPr>
                  <w:rStyle w:val="Hyperlink"/>
                  <w:rFonts w:cs="Arial"/>
                </w:rPr>
                <w:t>procedures</w:t>
              </w:r>
            </w:hyperlink>
            <w:r w:rsidR="002C7355">
              <w:rPr>
                <w:rStyle w:val="Hyperlink"/>
                <w:rFonts w:cs="Arial"/>
              </w:rPr>
              <w:t xml:space="preserve"> </w:t>
            </w:r>
            <w:r w:rsidR="002C7355">
              <w:rPr>
                <w:rFonts w:cs="Arial"/>
              </w:rPr>
              <w:t>(Hospital Volume Standard: 10)</w:t>
            </w:r>
          </w:p>
          <w:p w14:paraId="198A31EA" w14:textId="0236EC57" w:rsidR="006E26E4" w:rsidRPr="000F3D1F" w:rsidRDefault="00207D3B" w:rsidP="00AD309C">
            <w:pPr>
              <w:pStyle w:val="ListParagraph"/>
              <w:numPr>
                <w:ilvl w:val="0"/>
                <w:numId w:val="365"/>
              </w:numPr>
              <w:rPr>
                <w:rFonts w:cs="Arial"/>
                <w:color w:val="0000FF"/>
                <w:u w:val="single"/>
              </w:rPr>
            </w:pPr>
            <w:hyperlink w:anchor="LungResection" w:history="1">
              <w:r w:rsidRPr="00B12E5C">
                <w:rPr>
                  <w:rStyle w:val="Hyperlink"/>
                  <w:rFonts w:cs="Arial"/>
                </w:rPr>
                <w:t>Lung resection for cancer</w:t>
              </w:r>
            </w:hyperlink>
            <w:r w:rsidR="002C7355">
              <w:rPr>
                <w:rStyle w:val="Hyperlink"/>
                <w:rFonts w:cs="Arial"/>
              </w:rPr>
              <w:t xml:space="preserve"> </w:t>
            </w:r>
            <w:r w:rsidR="002C7355">
              <w:rPr>
                <w:rFonts w:cs="Arial"/>
              </w:rPr>
              <w:t>(Hospital Volume Standard: 40)</w:t>
            </w:r>
          </w:p>
          <w:p w14:paraId="3E3D048D" w14:textId="10158706" w:rsidR="006E26E4" w:rsidRPr="000F3D1F" w:rsidRDefault="00207D3B" w:rsidP="00AD309C">
            <w:pPr>
              <w:pStyle w:val="ListParagraph"/>
              <w:numPr>
                <w:ilvl w:val="0"/>
                <w:numId w:val="365"/>
              </w:numPr>
              <w:rPr>
                <w:rFonts w:cs="Arial"/>
                <w:color w:val="0000FF"/>
                <w:u w:val="single"/>
              </w:rPr>
            </w:pPr>
            <w:hyperlink w:anchor="EsophagealResection" w:history="1">
              <w:r w:rsidRPr="00B12E5C">
                <w:rPr>
                  <w:rStyle w:val="Hyperlink"/>
                  <w:rFonts w:cs="Arial"/>
                </w:rPr>
                <w:t>Esophageal resection for cancer</w:t>
              </w:r>
            </w:hyperlink>
            <w:r w:rsidR="002C7355">
              <w:rPr>
                <w:rStyle w:val="Hyperlink"/>
                <w:rFonts w:cs="Arial"/>
              </w:rPr>
              <w:t xml:space="preserve"> </w:t>
            </w:r>
            <w:r w:rsidR="002C7355">
              <w:rPr>
                <w:rFonts w:cs="Arial"/>
              </w:rPr>
              <w:t>(Hospital Volume Standard: 20)</w:t>
            </w:r>
          </w:p>
          <w:p w14:paraId="537D06DF" w14:textId="24E99FBF" w:rsidR="006E26E4" w:rsidRPr="000F3D1F" w:rsidRDefault="00207D3B" w:rsidP="00AD309C">
            <w:pPr>
              <w:pStyle w:val="ListParagraph"/>
              <w:numPr>
                <w:ilvl w:val="0"/>
                <w:numId w:val="365"/>
              </w:numPr>
              <w:rPr>
                <w:rFonts w:cs="Arial"/>
                <w:color w:val="0000FF"/>
                <w:u w:val="single"/>
              </w:rPr>
            </w:pPr>
            <w:hyperlink w:anchor="PancreaticResection" w:history="1">
              <w:r w:rsidRPr="00B12E5C">
                <w:rPr>
                  <w:rStyle w:val="Hyperlink"/>
                  <w:rFonts w:cs="Arial"/>
                </w:rPr>
                <w:t>Pancreatic resection for cancer</w:t>
              </w:r>
            </w:hyperlink>
            <w:r w:rsidR="002C7355">
              <w:rPr>
                <w:rStyle w:val="Hyperlink"/>
                <w:rFonts w:cs="Arial"/>
              </w:rPr>
              <w:t xml:space="preserve"> </w:t>
            </w:r>
            <w:r w:rsidR="002C7355">
              <w:rPr>
                <w:rFonts w:cs="Arial"/>
              </w:rPr>
              <w:t>(Hospital Volume Standard: 20)</w:t>
            </w:r>
          </w:p>
          <w:p w14:paraId="094C1811" w14:textId="31A2342C" w:rsidR="006E26E4" w:rsidRPr="000F3D1F" w:rsidRDefault="00207D3B" w:rsidP="00AD309C">
            <w:pPr>
              <w:pStyle w:val="ListParagraph"/>
              <w:numPr>
                <w:ilvl w:val="0"/>
                <w:numId w:val="365"/>
              </w:numPr>
              <w:rPr>
                <w:rFonts w:cs="Arial"/>
                <w:color w:val="0000FF"/>
                <w:u w:val="single"/>
              </w:rPr>
            </w:pPr>
            <w:hyperlink w:anchor="RectalCancer" w:history="1">
              <w:r w:rsidRPr="00B12E5C">
                <w:rPr>
                  <w:rStyle w:val="Hyperlink"/>
                  <w:rFonts w:cs="Arial"/>
                </w:rPr>
                <w:t>Rectal cancer surgery</w:t>
              </w:r>
            </w:hyperlink>
            <w:r w:rsidR="002C7355">
              <w:rPr>
                <w:rStyle w:val="Hyperlink"/>
                <w:rFonts w:cs="Arial"/>
              </w:rPr>
              <w:t xml:space="preserve"> </w:t>
            </w:r>
            <w:r w:rsidR="002C7355">
              <w:rPr>
                <w:rFonts w:cs="Arial"/>
              </w:rPr>
              <w:t>(Hospital Volume Standard: 16)</w:t>
            </w:r>
          </w:p>
          <w:p w14:paraId="50E4970D" w14:textId="36B84CA5" w:rsidR="00207D3B" w:rsidRDefault="00207D3B" w:rsidP="00AD309C">
            <w:pPr>
              <w:pStyle w:val="ListParagraph"/>
              <w:numPr>
                <w:ilvl w:val="0"/>
                <w:numId w:val="365"/>
              </w:numPr>
              <w:rPr>
                <w:rStyle w:val="Hyperlink"/>
                <w:rFonts w:cs="Arial"/>
              </w:rPr>
            </w:pPr>
            <w:hyperlink w:anchor="BariatricSurgery" w:history="1">
              <w:r w:rsidRPr="00B12E5C">
                <w:rPr>
                  <w:rStyle w:val="Hyperlink"/>
                  <w:rFonts w:cs="Arial"/>
                </w:rPr>
                <w:t>Bariatric surgery for weight loss</w:t>
              </w:r>
            </w:hyperlink>
            <w:r w:rsidR="002C7355">
              <w:rPr>
                <w:rStyle w:val="Hyperlink"/>
                <w:rFonts w:cs="Arial"/>
              </w:rPr>
              <w:t xml:space="preserve"> </w:t>
            </w:r>
            <w:r w:rsidR="002C7355">
              <w:rPr>
                <w:rFonts w:cs="Arial"/>
              </w:rPr>
              <w:t>(Hospital Volume Standard: 50)</w:t>
            </w:r>
          </w:p>
          <w:p w14:paraId="6C839FB1" w14:textId="32C769DF" w:rsidR="00B10036" w:rsidRPr="006E26E4" w:rsidRDefault="00B10036" w:rsidP="00AD309C">
            <w:pPr>
              <w:pStyle w:val="ListParagraph"/>
              <w:numPr>
                <w:ilvl w:val="0"/>
                <w:numId w:val="365"/>
              </w:numPr>
              <w:rPr>
                <w:rFonts w:cs="Arial"/>
              </w:rPr>
            </w:pPr>
            <w:hyperlink w:anchor="_Total_Knee_Replacement" w:history="1">
              <w:r w:rsidRPr="006E26E4">
                <w:rPr>
                  <w:rStyle w:val="Hyperlink"/>
                  <w:rFonts w:cs="Arial"/>
                </w:rPr>
                <w:t>Total knee replacement</w:t>
              </w:r>
            </w:hyperlink>
            <w:r w:rsidR="002C7355" w:rsidRPr="006E26E4">
              <w:rPr>
                <w:rStyle w:val="Hyperlink"/>
                <w:rFonts w:cs="Arial"/>
              </w:rPr>
              <w:t xml:space="preserve"> </w:t>
            </w:r>
            <w:r w:rsidR="002C7355" w:rsidRPr="006E26E4">
              <w:rPr>
                <w:rFonts w:cs="Arial"/>
              </w:rPr>
              <w:t>(Hospital Volume Standard: 50)</w:t>
            </w:r>
          </w:p>
          <w:p w14:paraId="10923E91" w14:textId="43A9CA38" w:rsidR="00B10036" w:rsidRPr="006E26E4" w:rsidRDefault="00B10036" w:rsidP="00AD309C">
            <w:pPr>
              <w:pStyle w:val="ListParagraph"/>
              <w:numPr>
                <w:ilvl w:val="0"/>
                <w:numId w:val="365"/>
              </w:numPr>
              <w:rPr>
                <w:rFonts w:cs="Arial"/>
              </w:rPr>
            </w:pPr>
            <w:hyperlink w:anchor="_Total_Hip_Replacement" w:history="1">
              <w:r w:rsidRPr="006E26E4">
                <w:rPr>
                  <w:rStyle w:val="Hyperlink"/>
                  <w:rFonts w:cs="Arial"/>
                </w:rPr>
                <w:t>Total hip replacement</w:t>
              </w:r>
            </w:hyperlink>
            <w:r w:rsidR="002C7355" w:rsidRPr="006E26E4">
              <w:rPr>
                <w:rStyle w:val="Hyperlink"/>
                <w:rFonts w:cs="Arial"/>
              </w:rPr>
              <w:t xml:space="preserve"> </w:t>
            </w:r>
            <w:r w:rsidR="002C7355" w:rsidRPr="006E26E4">
              <w:rPr>
                <w:rFonts w:cs="Arial"/>
              </w:rPr>
              <w:t>(Hospital Volume Standard: 50)</w:t>
            </w:r>
          </w:p>
          <w:p w14:paraId="5576FE7E" w14:textId="4696DD98" w:rsidR="00B10036" w:rsidRPr="006E26E4" w:rsidRDefault="00B10036" w:rsidP="00AD309C">
            <w:pPr>
              <w:pStyle w:val="ListParagraph"/>
              <w:numPr>
                <w:ilvl w:val="0"/>
                <w:numId w:val="365"/>
              </w:numPr>
              <w:rPr>
                <w:rFonts w:cs="Arial"/>
              </w:rPr>
            </w:pPr>
            <w:hyperlink w:anchor="_Norwood_Procedure_Measure" w:history="1">
              <w:r w:rsidRPr="006E26E4">
                <w:rPr>
                  <w:rStyle w:val="Hyperlink"/>
                  <w:rFonts w:cs="Arial"/>
                </w:rPr>
                <w:t>Norwood procedure</w:t>
              </w:r>
            </w:hyperlink>
            <w:r w:rsidR="002C7355" w:rsidRPr="006E26E4">
              <w:rPr>
                <w:rStyle w:val="Hyperlink"/>
                <w:rFonts w:cs="Arial"/>
              </w:rPr>
              <w:t xml:space="preserve"> </w:t>
            </w:r>
            <w:r w:rsidR="002C7355" w:rsidRPr="006E26E4">
              <w:rPr>
                <w:rFonts w:cs="Arial"/>
              </w:rPr>
              <w:t>(Hospital Volume Standard: 8)</w:t>
            </w:r>
          </w:p>
          <w:p w14:paraId="20891F69" w14:textId="77777777" w:rsidR="00207D3B" w:rsidRDefault="00207D3B" w:rsidP="006E0344">
            <w:pPr>
              <w:rPr>
                <w:rFonts w:cs="Arial"/>
              </w:rPr>
            </w:pPr>
          </w:p>
          <w:p w14:paraId="15C16C76" w14:textId="374AE486" w:rsidR="00207D3B" w:rsidRPr="000F3D1F" w:rsidRDefault="00207D3B" w:rsidP="000F3D1F">
            <w:pPr>
              <w:rPr>
                <w:rFonts w:cs="Arial"/>
                <w:color w:val="000000"/>
              </w:rPr>
            </w:pPr>
            <w:r w:rsidRPr="00207D3B">
              <w:rPr>
                <w:rFonts w:cs="Arial"/>
                <w:color w:val="000000"/>
              </w:rPr>
              <w:t xml:space="preserve">When calculating total </w:t>
            </w:r>
            <w:r w:rsidRPr="00207D3B">
              <w:rPr>
                <w:rFonts w:cs="Arial"/>
                <w:b/>
                <w:color w:val="000000"/>
              </w:rPr>
              <w:t>hospital volume</w:t>
            </w:r>
            <w:r w:rsidR="006E26E4">
              <w:rPr>
                <w:rFonts w:cs="Arial"/>
                <w:color w:val="000000"/>
              </w:rPr>
              <w:t xml:space="preserve"> c</w:t>
            </w:r>
            <w:r w:rsidRPr="000F3D1F">
              <w:rPr>
                <w:rFonts w:cs="Arial"/>
                <w:color w:val="000000"/>
              </w:rPr>
              <w:t xml:space="preserve">ount the number of </w:t>
            </w:r>
            <w:r w:rsidRPr="000F3D1F">
              <w:rPr>
                <w:rFonts w:cs="Arial"/>
                <w:b/>
                <w:color w:val="000000"/>
              </w:rPr>
              <w:t>patients</w:t>
            </w:r>
            <w:r w:rsidR="00487493" w:rsidRPr="000F3D1F">
              <w:rPr>
                <w:rFonts w:cs="Arial"/>
                <w:b/>
                <w:color w:val="000000"/>
              </w:rPr>
              <w:t xml:space="preserve"> </w:t>
            </w:r>
            <w:r w:rsidRPr="000F3D1F">
              <w:rPr>
                <w:rFonts w:cs="Arial"/>
                <w:color w:val="000000"/>
              </w:rPr>
              <w:t xml:space="preserve">discharged from your </w:t>
            </w:r>
            <w:r w:rsidR="00261D05" w:rsidRPr="000F3D1F">
              <w:rPr>
                <w:rFonts w:cs="Arial"/>
                <w:color w:val="000000"/>
              </w:rPr>
              <w:t>hospital</w:t>
            </w:r>
            <w:r w:rsidRPr="000F3D1F">
              <w:rPr>
                <w:rFonts w:cs="Arial"/>
                <w:color w:val="000000"/>
              </w:rPr>
              <w:t xml:space="preserve"> within the reporting period with any one or more of the </w:t>
            </w:r>
            <w:r w:rsidR="001C7683" w:rsidRPr="000F3D1F">
              <w:rPr>
                <w:rFonts w:cs="Arial"/>
                <w:color w:val="000000"/>
              </w:rPr>
              <w:t xml:space="preserve">ICD-10 </w:t>
            </w:r>
            <w:r w:rsidRPr="000F3D1F">
              <w:rPr>
                <w:rFonts w:cs="Arial"/>
                <w:color w:val="000000"/>
              </w:rPr>
              <w:t xml:space="preserve">codes </w:t>
            </w:r>
            <w:r w:rsidR="00487493" w:rsidRPr="000F3D1F">
              <w:rPr>
                <w:rFonts w:cs="Arial"/>
                <w:color w:val="000000"/>
              </w:rPr>
              <w:t>or</w:t>
            </w:r>
            <w:r w:rsidR="0033157B" w:rsidRPr="000F3D1F">
              <w:rPr>
                <w:rFonts w:cs="Arial"/>
                <w:color w:val="000000"/>
              </w:rPr>
              <w:t xml:space="preserve"> CPT codes </w:t>
            </w:r>
            <w:r w:rsidR="00487493" w:rsidRPr="000F3D1F">
              <w:rPr>
                <w:rFonts w:cs="Arial"/>
                <w:color w:val="000000"/>
              </w:rPr>
              <w:t>(</w:t>
            </w:r>
            <w:r w:rsidR="00F57028" w:rsidRPr="006E26E4">
              <w:rPr>
                <w:rFonts w:cs="Arial"/>
                <w:lang w:eastAsia="ja-JP"/>
              </w:rPr>
              <w:t>for Total Hip Replacement, Total Knee Replacement, and Bariatric Surgery for Weight Loss</w:t>
            </w:r>
            <w:r w:rsidR="00487493" w:rsidRPr="000F3D1F">
              <w:rPr>
                <w:rFonts w:cs="Arial"/>
                <w:color w:val="000000"/>
              </w:rPr>
              <w:t xml:space="preserve">) </w:t>
            </w:r>
            <w:r w:rsidRPr="000F3D1F">
              <w:rPr>
                <w:rFonts w:cs="Arial"/>
                <w:color w:val="000000"/>
              </w:rPr>
              <w:t>specified for each</w:t>
            </w:r>
            <w:r w:rsidR="001C7683" w:rsidRPr="000F3D1F">
              <w:rPr>
                <w:rFonts w:cs="Arial"/>
                <w:color w:val="000000"/>
              </w:rPr>
              <w:t xml:space="preserve"> procedure, subject to the inclusion </w:t>
            </w:r>
            <w:r w:rsidRPr="000F3D1F">
              <w:rPr>
                <w:rFonts w:cs="Arial"/>
                <w:color w:val="000000"/>
              </w:rPr>
              <w:t>criteria below:</w:t>
            </w:r>
          </w:p>
          <w:p w14:paraId="386AB233" w14:textId="040EFC91" w:rsidR="00207D3B" w:rsidRPr="00207D3B" w:rsidRDefault="00207D3B" w:rsidP="00AD309C">
            <w:pPr>
              <w:pStyle w:val="ListParagraph"/>
              <w:numPr>
                <w:ilvl w:val="0"/>
                <w:numId w:val="100"/>
              </w:numPr>
              <w:rPr>
                <w:rFonts w:cs="Arial"/>
                <w:color w:val="000000"/>
              </w:rPr>
            </w:pPr>
            <w:r w:rsidRPr="00207D3B">
              <w:rPr>
                <w:rFonts w:cs="Arial"/>
                <w:lang w:eastAsia="ja-JP"/>
              </w:rPr>
              <w:t>Only the ICD-10 procedure</w:t>
            </w:r>
            <w:r w:rsidR="00487493">
              <w:rPr>
                <w:rFonts w:cs="Arial"/>
                <w:lang w:eastAsia="ja-JP"/>
              </w:rPr>
              <w:t>, CPT,</w:t>
            </w:r>
            <w:r w:rsidRPr="00207D3B">
              <w:rPr>
                <w:rFonts w:cs="Arial"/>
                <w:lang w:eastAsia="ja-JP"/>
              </w:rPr>
              <w:t xml:space="preserve"> and diagnosis codes provided by Leapfrog should be used to report on </w:t>
            </w:r>
            <w:r w:rsidR="00EF5567">
              <w:rPr>
                <w:rFonts w:cs="Arial"/>
                <w:lang w:eastAsia="ja-JP"/>
              </w:rPr>
              <w:t xml:space="preserve">the </w:t>
            </w:r>
            <w:r w:rsidRPr="00207D3B">
              <w:rPr>
                <w:rFonts w:cs="Arial"/>
                <w:lang w:eastAsia="ja-JP"/>
              </w:rPr>
              <w:t>questions in Section 3A</w:t>
            </w:r>
            <w:r w:rsidR="00BD0C2F">
              <w:rPr>
                <w:rFonts w:cs="Arial"/>
                <w:lang w:eastAsia="ja-JP"/>
              </w:rPr>
              <w:t>:</w:t>
            </w:r>
            <w:r w:rsidR="0098373D">
              <w:rPr>
                <w:rFonts w:cs="Arial"/>
                <w:lang w:eastAsia="ja-JP"/>
              </w:rPr>
              <w:t xml:space="preserve"> Hospital and Surgeon Volume</w:t>
            </w:r>
            <w:r w:rsidRPr="00207D3B">
              <w:rPr>
                <w:rFonts w:cs="Arial"/>
                <w:lang w:eastAsia="ja-JP"/>
              </w:rPr>
              <w:t>.</w:t>
            </w:r>
            <w:r w:rsidR="00AB76CC">
              <w:rPr>
                <w:rFonts w:cs="Arial"/>
                <w:lang w:eastAsia="ja-JP"/>
              </w:rPr>
              <w:t xml:space="preserve"> ICD-10 codes are provided below and are also available in an </w:t>
            </w:r>
            <w:r w:rsidR="0040556C">
              <w:rPr>
                <w:rFonts w:cs="Arial"/>
                <w:lang w:eastAsia="ja-JP"/>
              </w:rPr>
              <w:t>E</w:t>
            </w:r>
            <w:r w:rsidR="00AB76CC">
              <w:rPr>
                <w:rFonts w:cs="Arial"/>
                <w:lang w:eastAsia="ja-JP"/>
              </w:rPr>
              <w:t xml:space="preserve">xcel document on the </w:t>
            </w:r>
            <w:hyperlink r:id="rId227" w:history="1">
              <w:r w:rsidR="00AB76CC" w:rsidRPr="00684605">
                <w:rPr>
                  <w:rStyle w:val="Hyperlink"/>
                  <w:rFonts w:cs="Arial"/>
                  <w:lang w:eastAsia="ja-JP"/>
                </w:rPr>
                <w:t>Survey Materials webpage</w:t>
              </w:r>
            </w:hyperlink>
            <w:r w:rsidR="00AB76CC">
              <w:rPr>
                <w:rFonts w:cs="Arial"/>
                <w:lang w:eastAsia="ja-JP"/>
              </w:rPr>
              <w:t>. See Note 3 above for instructions on downloading CPT codes.</w:t>
            </w:r>
          </w:p>
          <w:p w14:paraId="7043255E" w14:textId="276700AD" w:rsidR="00207D3B" w:rsidRDefault="00207D3B" w:rsidP="00AD309C">
            <w:pPr>
              <w:pStyle w:val="ListParagraph"/>
              <w:numPr>
                <w:ilvl w:val="0"/>
                <w:numId w:val="100"/>
              </w:numPr>
              <w:rPr>
                <w:rFonts w:cs="Arial"/>
                <w:color w:val="000000"/>
              </w:rPr>
            </w:pPr>
            <w:r w:rsidRPr="00207D3B">
              <w:rPr>
                <w:rFonts w:cs="Arial"/>
                <w:color w:val="000000"/>
              </w:rPr>
              <w:t>For procedures that in</w:t>
            </w:r>
            <w:r w:rsidRPr="00755F58">
              <w:rPr>
                <w:rFonts w:cs="Arial"/>
                <w:color w:val="000000"/>
              </w:rPr>
              <w:t xml:space="preserve">clude </w:t>
            </w:r>
            <w:r w:rsidR="006277FC" w:rsidRPr="00755F58">
              <w:rPr>
                <w:rFonts w:cs="Arial"/>
                <w:color w:val="000000"/>
              </w:rPr>
              <w:t>TWO sets of codes</w:t>
            </w:r>
            <w:r w:rsidR="00487493">
              <w:rPr>
                <w:rFonts w:cs="Arial"/>
                <w:color w:val="000000"/>
              </w:rPr>
              <w:t xml:space="preserve"> (one set of procedure codes and one set of diagnosis codes)</w:t>
            </w:r>
            <w:r w:rsidRPr="00755F58">
              <w:rPr>
                <w:rFonts w:cs="Arial"/>
                <w:color w:val="000000"/>
              </w:rPr>
              <w:t xml:space="preserve">, both sets of codes must be used </w:t>
            </w:r>
            <w:r w:rsidR="001C7683" w:rsidRPr="00755F58">
              <w:rPr>
                <w:rFonts w:cs="Arial"/>
                <w:color w:val="000000"/>
              </w:rPr>
              <w:t>for</w:t>
            </w:r>
            <w:r w:rsidRPr="00755F58">
              <w:rPr>
                <w:rFonts w:cs="Arial"/>
                <w:color w:val="000000"/>
              </w:rPr>
              <w:t xml:space="preserve"> counting patient discharges</w:t>
            </w:r>
            <w:r w:rsidR="005407C3" w:rsidRPr="00755F58">
              <w:rPr>
                <w:rFonts w:cs="Arial"/>
                <w:color w:val="000000"/>
              </w:rPr>
              <w:t xml:space="preserve"> (e.g., </w:t>
            </w:r>
            <w:r w:rsidR="001C7683" w:rsidRPr="00755F58">
              <w:rPr>
                <w:rFonts w:cs="Arial"/>
                <w:color w:val="000000"/>
              </w:rPr>
              <w:t xml:space="preserve">at least one procedure code </w:t>
            </w:r>
            <w:r w:rsidR="001C7683" w:rsidRPr="006904F9">
              <w:rPr>
                <w:rFonts w:cs="Arial"/>
                <w:b/>
                <w:bCs/>
                <w:color w:val="000000"/>
              </w:rPr>
              <w:t>AND</w:t>
            </w:r>
            <w:r w:rsidR="001C7683" w:rsidRPr="00755F58">
              <w:rPr>
                <w:rFonts w:cs="Arial"/>
                <w:color w:val="000000"/>
              </w:rPr>
              <w:t xml:space="preserve"> one diagnosis code must be present).</w:t>
            </w:r>
          </w:p>
          <w:p w14:paraId="5AFD74FE" w14:textId="79D7165F" w:rsidR="00207D3B" w:rsidRPr="00207D3B" w:rsidRDefault="00DC04D2" w:rsidP="00AD309C">
            <w:pPr>
              <w:pStyle w:val="ListParagraph"/>
              <w:numPr>
                <w:ilvl w:val="0"/>
                <w:numId w:val="100"/>
              </w:numPr>
              <w:rPr>
                <w:rFonts w:cs="Arial"/>
                <w:color w:val="000000"/>
              </w:rPr>
            </w:pPr>
            <w:r>
              <w:rPr>
                <w:rFonts w:cs="Arial"/>
                <w:color w:val="000000"/>
              </w:rPr>
              <w:t>Except for</w:t>
            </w:r>
            <w:r w:rsidR="00B70395">
              <w:rPr>
                <w:rFonts w:cs="Arial"/>
                <w:color w:val="000000"/>
              </w:rPr>
              <w:t xml:space="preserve"> </w:t>
            </w:r>
            <w:r w:rsidR="00945284" w:rsidRPr="004D01BC">
              <w:rPr>
                <w:rFonts w:cs="Arial"/>
              </w:rPr>
              <w:t>b</w:t>
            </w:r>
            <w:r w:rsidR="001C7683" w:rsidRPr="004D01BC">
              <w:rPr>
                <w:rFonts w:cs="Arial"/>
              </w:rPr>
              <w:t>a</w:t>
            </w:r>
            <w:r w:rsidR="00945284" w:rsidRPr="004D01BC">
              <w:rPr>
                <w:rFonts w:cs="Arial"/>
              </w:rPr>
              <w:t>riatric surgery for weight l</w:t>
            </w:r>
            <w:r w:rsidR="001C7683" w:rsidRPr="004D01BC">
              <w:rPr>
                <w:rFonts w:cs="Arial"/>
              </w:rPr>
              <w:t>oss</w:t>
            </w:r>
            <w:r w:rsidR="004D01BC">
              <w:rPr>
                <w:rFonts w:cs="Arial"/>
              </w:rPr>
              <w:t xml:space="preserve"> (</w:t>
            </w:r>
            <w:r w:rsidR="00B70395">
              <w:rPr>
                <w:rFonts w:cs="Arial"/>
                <w:color w:val="000000"/>
              </w:rPr>
              <w:t xml:space="preserve">where the ICD-10 diagnosis code </w:t>
            </w:r>
            <w:r w:rsidR="001C7683">
              <w:rPr>
                <w:rFonts w:cs="Arial"/>
                <w:color w:val="000000"/>
              </w:rPr>
              <w:t>must be the primary diagnosis</w:t>
            </w:r>
            <w:r w:rsidR="004D01BC">
              <w:rPr>
                <w:rFonts w:cs="Arial"/>
                <w:color w:val="000000"/>
              </w:rPr>
              <w:t>)</w:t>
            </w:r>
            <w:r w:rsidR="001C7683">
              <w:rPr>
                <w:rFonts w:cs="Arial"/>
                <w:color w:val="000000"/>
              </w:rPr>
              <w:t xml:space="preserve"> </w:t>
            </w:r>
            <w:r w:rsidR="004D01BC" w:rsidRPr="00D51874">
              <w:rPr>
                <w:rFonts w:cs="Arial"/>
                <w:color w:val="000000"/>
              </w:rPr>
              <w:t xml:space="preserve">and total knee replacement and total hip replacement (where </w:t>
            </w:r>
            <w:r w:rsidR="001C7683" w:rsidRPr="00D51874">
              <w:rPr>
                <w:rFonts w:cs="Arial"/>
                <w:color w:val="000000"/>
              </w:rPr>
              <w:t>t</w:t>
            </w:r>
            <w:r w:rsidR="00207D3B" w:rsidRPr="00D51874">
              <w:rPr>
                <w:rFonts w:cs="Arial"/>
                <w:color w:val="000000"/>
              </w:rPr>
              <w:t xml:space="preserve">he </w:t>
            </w:r>
            <w:r w:rsidR="004D01BC" w:rsidRPr="00D51874">
              <w:rPr>
                <w:rFonts w:cs="Arial"/>
                <w:color w:val="000000"/>
              </w:rPr>
              <w:t>procedure code must be the primary procedure),</w:t>
            </w:r>
            <w:r w:rsidR="004D01BC">
              <w:rPr>
                <w:rFonts w:cs="Arial"/>
                <w:color w:val="000000"/>
              </w:rPr>
              <w:t xml:space="preserve"> </w:t>
            </w:r>
            <w:r w:rsidR="00207D3B" w:rsidRPr="00207D3B">
              <w:rPr>
                <w:rFonts w:cs="Arial"/>
              </w:rPr>
              <w:t>ICD-10 codes</w:t>
            </w:r>
            <w:r w:rsidR="00B70395">
              <w:rPr>
                <w:rFonts w:cs="Arial"/>
              </w:rPr>
              <w:t xml:space="preserve"> for the other procedures</w:t>
            </w:r>
            <w:r w:rsidR="00207D3B" w:rsidRPr="00207D3B">
              <w:rPr>
                <w:rFonts w:cs="Arial"/>
              </w:rPr>
              <w:t xml:space="preserve"> can appear in </w:t>
            </w:r>
            <w:r w:rsidR="001C7683">
              <w:rPr>
                <w:rFonts w:cs="Arial"/>
              </w:rPr>
              <w:t>ANY procedure field and ANY</w:t>
            </w:r>
            <w:r w:rsidR="00207D3B" w:rsidRPr="00207D3B">
              <w:rPr>
                <w:rFonts w:cs="Arial"/>
              </w:rPr>
              <w:t xml:space="preserve"> </w:t>
            </w:r>
            <w:r w:rsidR="001C7683">
              <w:rPr>
                <w:rFonts w:cs="Arial"/>
              </w:rPr>
              <w:t>diagnosis field</w:t>
            </w:r>
            <w:r w:rsidR="00207D3B" w:rsidRPr="00207D3B">
              <w:rPr>
                <w:rFonts w:cs="Arial"/>
              </w:rPr>
              <w:t>.</w:t>
            </w:r>
          </w:p>
          <w:p w14:paraId="2899AD12" w14:textId="6D56EE2B" w:rsidR="008D611A" w:rsidRPr="00D51874" w:rsidRDefault="00381072" w:rsidP="00AD309C">
            <w:pPr>
              <w:pStyle w:val="ListParagraph"/>
              <w:numPr>
                <w:ilvl w:val="0"/>
                <w:numId w:val="100"/>
              </w:numPr>
              <w:rPr>
                <w:rFonts w:cs="Arial"/>
              </w:rPr>
            </w:pPr>
            <w:r w:rsidRPr="00381072">
              <w:rPr>
                <w:rFonts w:cs="Arial"/>
                <w:color w:val="000000"/>
              </w:rPr>
              <w:t xml:space="preserve">Age restrictions apply – For </w:t>
            </w:r>
            <w:r w:rsidR="00F57028">
              <w:rPr>
                <w:rFonts w:cs="Arial"/>
                <w:color w:val="000000"/>
              </w:rPr>
              <w:t xml:space="preserve">the </w:t>
            </w:r>
            <w:r w:rsidRPr="00381072">
              <w:rPr>
                <w:rFonts w:cs="Arial"/>
                <w:color w:val="000000"/>
              </w:rPr>
              <w:t>Norwood procedure only include discharges for pediatric patients (ages 17 years and younger). For the remaining ten procedures, only include discharges for adult patients (ages 18 years and older).</w:t>
            </w:r>
          </w:p>
        </w:tc>
      </w:tr>
      <w:tr w:rsidR="00F12158" w14:paraId="75951E2A" w14:textId="77777777" w:rsidTr="00FB41BD">
        <w:trPr>
          <w:trHeight w:val="2160"/>
        </w:trPr>
        <w:tc>
          <w:tcPr>
            <w:tcW w:w="9360" w:type="dxa"/>
            <w:vAlign w:val="center"/>
          </w:tcPr>
          <w:p w14:paraId="0246C23F" w14:textId="2B142EB7" w:rsidR="00F12158" w:rsidRPr="00F12158" w:rsidRDefault="00F12158" w:rsidP="006E0344">
            <w:pPr>
              <w:rPr>
                <w:rFonts w:cs="Arial"/>
                <w:bCs/>
              </w:rPr>
            </w:pPr>
            <w:r w:rsidRPr="00F12158">
              <w:rPr>
                <w:rFonts w:cs="Arial"/>
                <w:b/>
              </w:rPr>
              <w:t xml:space="preserve">Question </w:t>
            </w:r>
            <w:r w:rsidR="00D51874">
              <w:rPr>
                <w:rFonts w:cs="Arial"/>
                <w:b/>
              </w:rPr>
              <w:t>#</w:t>
            </w:r>
            <w:r w:rsidRPr="00F12158">
              <w:rPr>
                <w:rFonts w:cs="Arial"/>
                <w:b/>
              </w:rPr>
              <w:t xml:space="preserve">4: </w:t>
            </w:r>
            <w:r w:rsidR="005B7CBC" w:rsidRPr="005B7CBC">
              <w:rPr>
                <w:rFonts w:cs="Arial"/>
                <w:iCs/>
                <w:snapToGrid w:val="0"/>
                <w:color w:val="000000"/>
              </w:rPr>
              <w:t>Does the total hospital volume for total knee replacement</w:t>
            </w:r>
            <w:r w:rsidR="002C7355">
              <w:rPr>
                <w:rFonts w:cs="Arial"/>
                <w:iCs/>
                <w:snapToGrid w:val="0"/>
                <w:color w:val="000000"/>
              </w:rPr>
              <w:t xml:space="preserve">, </w:t>
            </w:r>
            <w:r w:rsidR="005B7CBC" w:rsidRPr="005B7CBC">
              <w:rPr>
                <w:rFonts w:cs="Arial"/>
                <w:iCs/>
                <w:snapToGrid w:val="0"/>
                <w:color w:val="000000"/>
              </w:rPr>
              <w:t>total hip replacement</w:t>
            </w:r>
            <w:r w:rsidR="002C7355">
              <w:rPr>
                <w:rFonts w:cs="Arial"/>
                <w:iCs/>
                <w:snapToGrid w:val="0"/>
                <w:color w:val="000000"/>
              </w:rPr>
              <w:t xml:space="preserve">, </w:t>
            </w:r>
            <w:r w:rsidR="002C7355" w:rsidRPr="005B7CBC">
              <w:rPr>
                <w:rFonts w:cs="Arial"/>
                <w:iCs/>
                <w:snapToGrid w:val="0"/>
                <w:color w:val="000000"/>
              </w:rPr>
              <w:t>and/or</w:t>
            </w:r>
            <w:r w:rsidR="002C7355">
              <w:rPr>
                <w:rFonts w:cs="Arial"/>
                <w:iCs/>
                <w:snapToGrid w:val="0"/>
                <w:color w:val="000000"/>
              </w:rPr>
              <w:t xml:space="preserve"> bariatric surgery for weight loss</w:t>
            </w:r>
            <w:r w:rsidR="005B7CBC" w:rsidRPr="005B7CBC">
              <w:rPr>
                <w:rFonts w:cs="Arial"/>
                <w:iCs/>
                <w:snapToGrid w:val="0"/>
                <w:color w:val="000000"/>
              </w:rPr>
              <w:t xml:space="preserve"> reported on in question #3 above include procedures performed on an inpatient basis, outpatient basis, or both</w:t>
            </w:r>
            <w:r w:rsidR="00EA2AB4">
              <w:rPr>
                <w:rFonts w:cs="Arial"/>
                <w:iCs/>
                <w:snapToGrid w:val="0"/>
                <w:color w:val="000000"/>
              </w:rPr>
              <w:t>?</w:t>
            </w:r>
          </w:p>
          <w:p w14:paraId="6780F6FC" w14:textId="5D454E8B" w:rsidR="00F12158" w:rsidRPr="00F12158" w:rsidRDefault="00F12158" w:rsidP="00AD309C">
            <w:pPr>
              <w:pStyle w:val="ListParagraph"/>
              <w:numPr>
                <w:ilvl w:val="0"/>
                <w:numId w:val="101"/>
              </w:numPr>
              <w:rPr>
                <w:rFonts w:cs="Arial"/>
                <w:bCs/>
              </w:rPr>
            </w:pPr>
            <w:r w:rsidRPr="00F12158">
              <w:rPr>
                <w:rFonts w:cs="Arial"/>
                <w:bCs/>
              </w:rPr>
              <w:t xml:space="preserve">If your hospital only performs </w:t>
            </w:r>
            <w:r w:rsidR="007A4220" w:rsidRPr="005B7CBC">
              <w:rPr>
                <w:rFonts w:cs="Arial"/>
                <w:iCs/>
                <w:snapToGrid w:val="0"/>
                <w:color w:val="000000"/>
              </w:rPr>
              <w:t>total knee replacement</w:t>
            </w:r>
            <w:r w:rsidR="007A4220">
              <w:rPr>
                <w:rFonts w:cs="Arial"/>
                <w:iCs/>
                <w:snapToGrid w:val="0"/>
                <w:color w:val="000000"/>
              </w:rPr>
              <w:t xml:space="preserve">, </w:t>
            </w:r>
            <w:r w:rsidR="007A4220" w:rsidRPr="005B7CBC">
              <w:rPr>
                <w:rFonts w:cs="Arial"/>
                <w:iCs/>
                <w:snapToGrid w:val="0"/>
                <w:color w:val="000000"/>
              </w:rPr>
              <w:t>total hip replacement</w:t>
            </w:r>
            <w:r w:rsidR="007A4220">
              <w:rPr>
                <w:rFonts w:cs="Arial"/>
                <w:iCs/>
                <w:snapToGrid w:val="0"/>
                <w:color w:val="000000"/>
              </w:rPr>
              <w:t xml:space="preserve">, </w:t>
            </w:r>
            <w:r w:rsidR="007A4220" w:rsidRPr="005B7CBC">
              <w:rPr>
                <w:rFonts w:cs="Arial"/>
                <w:iCs/>
                <w:snapToGrid w:val="0"/>
                <w:color w:val="000000"/>
              </w:rPr>
              <w:t>and/or</w:t>
            </w:r>
            <w:r w:rsidR="007A4220">
              <w:rPr>
                <w:rFonts w:cs="Arial"/>
                <w:iCs/>
                <w:snapToGrid w:val="0"/>
                <w:color w:val="000000"/>
              </w:rPr>
              <w:t xml:space="preserve"> bariatric surgery for weight loss</w:t>
            </w:r>
            <w:r w:rsidR="007A4220" w:rsidRPr="005B7CBC">
              <w:rPr>
                <w:rFonts w:cs="Arial"/>
                <w:iCs/>
                <w:snapToGrid w:val="0"/>
                <w:color w:val="000000"/>
              </w:rPr>
              <w:t xml:space="preserve"> </w:t>
            </w:r>
            <w:r w:rsidRPr="00F12158">
              <w:rPr>
                <w:rFonts w:cs="Arial"/>
                <w:bCs/>
              </w:rPr>
              <w:t xml:space="preserve">on an inpatient basis, select inpatient. </w:t>
            </w:r>
          </w:p>
          <w:p w14:paraId="1B848186" w14:textId="0E2F7450" w:rsidR="00F12158" w:rsidRPr="00F12158" w:rsidRDefault="00F12158" w:rsidP="00AD309C">
            <w:pPr>
              <w:pStyle w:val="ListParagraph"/>
              <w:numPr>
                <w:ilvl w:val="0"/>
                <w:numId w:val="101"/>
              </w:numPr>
              <w:rPr>
                <w:rFonts w:cs="Arial"/>
                <w:bCs/>
              </w:rPr>
            </w:pPr>
            <w:r w:rsidRPr="00F12158">
              <w:rPr>
                <w:rFonts w:cs="Arial"/>
                <w:bCs/>
              </w:rPr>
              <w:t xml:space="preserve">If your hospital only performs </w:t>
            </w:r>
            <w:r w:rsidR="007A4220" w:rsidRPr="005B7CBC">
              <w:rPr>
                <w:rFonts w:cs="Arial"/>
                <w:iCs/>
                <w:snapToGrid w:val="0"/>
                <w:color w:val="000000"/>
              </w:rPr>
              <w:t>total knee replacement</w:t>
            </w:r>
            <w:r w:rsidR="007A4220">
              <w:rPr>
                <w:rFonts w:cs="Arial"/>
                <w:iCs/>
                <w:snapToGrid w:val="0"/>
                <w:color w:val="000000"/>
              </w:rPr>
              <w:t xml:space="preserve">, </w:t>
            </w:r>
            <w:r w:rsidR="007A4220" w:rsidRPr="005B7CBC">
              <w:rPr>
                <w:rFonts w:cs="Arial"/>
                <w:iCs/>
                <w:snapToGrid w:val="0"/>
                <w:color w:val="000000"/>
              </w:rPr>
              <w:t>total hip replacement</w:t>
            </w:r>
            <w:r w:rsidR="007A4220">
              <w:rPr>
                <w:rFonts w:cs="Arial"/>
                <w:iCs/>
                <w:snapToGrid w:val="0"/>
                <w:color w:val="000000"/>
              </w:rPr>
              <w:t xml:space="preserve">, </w:t>
            </w:r>
            <w:r w:rsidR="007A4220" w:rsidRPr="005B7CBC">
              <w:rPr>
                <w:rFonts w:cs="Arial"/>
                <w:iCs/>
                <w:snapToGrid w:val="0"/>
                <w:color w:val="000000"/>
              </w:rPr>
              <w:t>and/or</w:t>
            </w:r>
            <w:r w:rsidR="007A4220">
              <w:rPr>
                <w:rFonts w:cs="Arial"/>
                <w:iCs/>
                <w:snapToGrid w:val="0"/>
                <w:color w:val="000000"/>
              </w:rPr>
              <w:t xml:space="preserve"> bariatric surgery for weight loss</w:t>
            </w:r>
            <w:r w:rsidR="007A4220" w:rsidRPr="005B7CBC">
              <w:rPr>
                <w:rFonts w:cs="Arial"/>
                <w:iCs/>
                <w:snapToGrid w:val="0"/>
                <w:color w:val="000000"/>
              </w:rPr>
              <w:t xml:space="preserve"> </w:t>
            </w:r>
            <w:r w:rsidRPr="00F12158">
              <w:rPr>
                <w:rFonts w:cs="Arial"/>
                <w:bCs/>
              </w:rPr>
              <w:t>on an outpatient basis, select outpatient.</w:t>
            </w:r>
          </w:p>
          <w:p w14:paraId="454B51FD" w14:textId="4E3CE98F" w:rsidR="00FB41BD" w:rsidRPr="00FB41BD" w:rsidRDefault="00F12158" w:rsidP="00AD309C">
            <w:pPr>
              <w:pStyle w:val="ListParagraph"/>
              <w:numPr>
                <w:ilvl w:val="0"/>
                <w:numId w:val="101"/>
              </w:numPr>
              <w:rPr>
                <w:rFonts w:cs="Arial"/>
                <w:b/>
              </w:rPr>
            </w:pPr>
            <w:r w:rsidRPr="00F12158">
              <w:rPr>
                <w:rFonts w:cs="Arial"/>
                <w:bCs/>
              </w:rPr>
              <w:t>If your hospital</w:t>
            </w:r>
            <w:r w:rsidR="003B0BBD">
              <w:rPr>
                <w:rFonts w:cs="Arial"/>
                <w:bCs/>
              </w:rPr>
              <w:t xml:space="preserve"> performs</w:t>
            </w:r>
            <w:r w:rsidRPr="00F12158">
              <w:rPr>
                <w:rFonts w:cs="Arial"/>
                <w:bCs/>
              </w:rPr>
              <w:t xml:space="preserve"> </w:t>
            </w:r>
            <w:r w:rsidR="007A4220" w:rsidRPr="005B7CBC">
              <w:rPr>
                <w:rFonts w:cs="Arial"/>
                <w:iCs/>
                <w:snapToGrid w:val="0"/>
                <w:color w:val="000000"/>
              </w:rPr>
              <w:t>total knee replacement</w:t>
            </w:r>
            <w:r w:rsidR="007A4220">
              <w:rPr>
                <w:rFonts w:cs="Arial"/>
                <w:iCs/>
                <w:snapToGrid w:val="0"/>
                <w:color w:val="000000"/>
              </w:rPr>
              <w:t xml:space="preserve">, </w:t>
            </w:r>
            <w:r w:rsidR="007A4220" w:rsidRPr="005B7CBC">
              <w:rPr>
                <w:rFonts w:cs="Arial"/>
                <w:iCs/>
                <w:snapToGrid w:val="0"/>
                <w:color w:val="000000"/>
              </w:rPr>
              <w:t>total hip replacement</w:t>
            </w:r>
            <w:r w:rsidR="007A4220">
              <w:rPr>
                <w:rFonts w:cs="Arial"/>
                <w:iCs/>
                <w:snapToGrid w:val="0"/>
                <w:color w:val="000000"/>
              </w:rPr>
              <w:t xml:space="preserve">, </w:t>
            </w:r>
            <w:r w:rsidR="007A4220" w:rsidRPr="005B7CBC">
              <w:rPr>
                <w:rFonts w:cs="Arial"/>
                <w:iCs/>
                <w:snapToGrid w:val="0"/>
                <w:color w:val="000000"/>
              </w:rPr>
              <w:t>and/or</w:t>
            </w:r>
            <w:r w:rsidR="007A4220">
              <w:rPr>
                <w:rFonts w:cs="Arial"/>
                <w:iCs/>
                <w:snapToGrid w:val="0"/>
                <w:color w:val="000000"/>
              </w:rPr>
              <w:t xml:space="preserve"> bariatric surgery for weight loss</w:t>
            </w:r>
            <w:r w:rsidR="007A4220" w:rsidRPr="005B7CBC">
              <w:rPr>
                <w:rFonts w:cs="Arial"/>
                <w:iCs/>
                <w:snapToGrid w:val="0"/>
                <w:color w:val="000000"/>
              </w:rPr>
              <w:t xml:space="preserve"> </w:t>
            </w:r>
            <w:r w:rsidRPr="00F12158">
              <w:rPr>
                <w:rFonts w:cs="Arial"/>
                <w:bCs/>
              </w:rPr>
              <w:t>on both an inpatient and outpatient basis, select both</w:t>
            </w:r>
            <w:r w:rsidR="007042A5">
              <w:rPr>
                <w:rFonts w:cs="Arial"/>
                <w:bCs/>
              </w:rPr>
              <w:t xml:space="preserve"> (inpatient and outpatient)</w:t>
            </w:r>
            <w:r w:rsidRPr="00F12158">
              <w:rPr>
                <w:rFonts w:cs="Arial"/>
                <w:bCs/>
              </w:rPr>
              <w:t>.</w:t>
            </w:r>
            <w:r w:rsidRPr="00F12158">
              <w:rPr>
                <w:rFonts w:cs="Arial"/>
                <w:b/>
              </w:rPr>
              <w:t xml:space="preserve"> </w:t>
            </w:r>
          </w:p>
        </w:tc>
      </w:tr>
      <w:tr w:rsidR="007D11A4" w14:paraId="72CE1786" w14:textId="77777777" w:rsidTr="005317E8">
        <w:trPr>
          <w:trHeight w:val="4320"/>
        </w:trPr>
        <w:tc>
          <w:tcPr>
            <w:tcW w:w="9360" w:type="dxa"/>
            <w:vAlign w:val="center"/>
          </w:tcPr>
          <w:p w14:paraId="660801FC" w14:textId="186A603C" w:rsidR="007D11A4" w:rsidRDefault="007D11A4" w:rsidP="006E0344">
            <w:pPr>
              <w:rPr>
                <w:rFonts w:cs="Arial"/>
              </w:rPr>
            </w:pPr>
            <w:r>
              <w:rPr>
                <w:rFonts w:cs="Arial"/>
                <w:b/>
              </w:rPr>
              <w:lastRenderedPageBreak/>
              <w:t xml:space="preserve">Question </w:t>
            </w:r>
            <w:r w:rsidR="00D51874">
              <w:rPr>
                <w:rFonts w:cs="Arial"/>
                <w:b/>
              </w:rPr>
              <w:t>#</w:t>
            </w:r>
            <w:r w:rsidR="00F12158">
              <w:rPr>
                <w:rFonts w:cs="Arial"/>
                <w:b/>
              </w:rPr>
              <w:t>5</w:t>
            </w:r>
            <w:r>
              <w:rPr>
                <w:rFonts w:cs="Arial"/>
                <w:b/>
              </w:rPr>
              <w:t xml:space="preserve">: </w:t>
            </w:r>
            <w:r w:rsidRPr="007D11A4">
              <w:rPr>
                <w:rFonts w:cs="Arial"/>
              </w:rPr>
              <w:t xml:space="preserve">Does your hospital’s privileging process include the surgeon meeting or exceeding the minimum </w:t>
            </w:r>
            <w:r w:rsidR="00BD0C2F">
              <w:rPr>
                <w:rFonts w:cs="Arial"/>
              </w:rPr>
              <w:t xml:space="preserve">annual </w:t>
            </w:r>
            <w:r w:rsidRPr="007D11A4">
              <w:rPr>
                <w:rFonts w:cs="Arial"/>
              </w:rPr>
              <w:t>surgeon volume standard listed below?</w:t>
            </w:r>
          </w:p>
          <w:p w14:paraId="19997467" w14:textId="77777777" w:rsidR="006E26E4" w:rsidRDefault="007D11A4" w:rsidP="00AD309C">
            <w:pPr>
              <w:pStyle w:val="ListParagraph"/>
              <w:numPr>
                <w:ilvl w:val="0"/>
                <w:numId w:val="366"/>
              </w:numPr>
              <w:rPr>
                <w:rFonts w:cs="Arial"/>
              </w:rPr>
            </w:pPr>
            <w:r>
              <w:rPr>
                <w:rFonts w:cs="Arial"/>
              </w:rPr>
              <w:t>Carotid endarterectomy</w:t>
            </w:r>
            <w:r w:rsidR="00481FA7">
              <w:rPr>
                <w:rFonts w:cs="Arial"/>
              </w:rPr>
              <w:t xml:space="preserve">: </w:t>
            </w:r>
            <w:r w:rsidR="000825E3">
              <w:rPr>
                <w:rFonts w:cs="Arial"/>
              </w:rPr>
              <w:t xml:space="preserve">10 </w:t>
            </w:r>
          </w:p>
          <w:p w14:paraId="7370CC23" w14:textId="7BD7E9C6" w:rsidR="006E26E4" w:rsidRDefault="007D11A4" w:rsidP="00AD309C">
            <w:pPr>
              <w:pStyle w:val="ListParagraph"/>
              <w:numPr>
                <w:ilvl w:val="0"/>
                <w:numId w:val="366"/>
              </w:numPr>
              <w:rPr>
                <w:rFonts w:cs="Arial"/>
              </w:rPr>
            </w:pPr>
            <w:r>
              <w:rPr>
                <w:rFonts w:cs="Arial"/>
              </w:rPr>
              <w:t>Mitral valve repair and replacement</w:t>
            </w:r>
            <w:r w:rsidR="00481FA7">
              <w:rPr>
                <w:rFonts w:cs="Arial"/>
              </w:rPr>
              <w:t xml:space="preserve">: </w:t>
            </w:r>
            <w:r w:rsidR="000825E3">
              <w:rPr>
                <w:rFonts w:cs="Arial"/>
              </w:rPr>
              <w:t xml:space="preserve">20 </w:t>
            </w:r>
          </w:p>
          <w:p w14:paraId="421A7FB3" w14:textId="25304465" w:rsidR="006E26E4" w:rsidRDefault="007D11A4" w:rsidP="00AD309C">
            <w:pPr>
              <w:pStyle w:val="ListParagraph"/>
              <w:numPr>
                <w:ilvl w:val="0"/>
                <w:numId w:val="366"/>
              </w:numPr>
              <w:rPr>
                <w:rFonts w:cs="Arial"/>
              </w:rPr>
            </w:pPr>
            <w:r>
              <w:rPr>
                <w:rFonts w:cs="Arial"/>
              </w:rPr>
              <w:t xml:space="preserve">Open aortic </w:t>
            </w:r>
            <w:r w:rsidR="005407C3">
              <w:rPr>
                <w:rFonts w:cs="Arial"/>
              </w:rPr>
              <w:t>procedures</w:t>
            </w:r>
            <w:r w:rsidR="00481FA7">
              <w:rPr>
                <w:rFonts w:cs="Arial"/>
              </w:rPr>
              <w:t xml:space="preserve">: </w:t>
            </w:r>
            <w:r w:rsidR="005407C3">
              <w:rPr>
                <w:rFonts w:cs="Arial"/>
              </w:rPr>
              <w:t>7</w:t>
            </w:r>
            <w:r w:rsidR="000825E3">
              <w:rPr>
                <w:rFonts w:cs="Arial"/>
              </w:rPr>
              <w:t xml:space="preserve"> </w:t>
            </w:r>
          </w:p>
          <w:p w14:paraId="5AE36C60" w14:textId="47BCAD15" w:rsidR="006E26E4" w:rsidRDefault="007D11A4" w:rsidP="00AD309C">
            <w:pPr>
              <w:pStyle w:val="ListParagraph"/>
              <w:numPr>
                <w:ilvl w:val="0"/>
                <w:numId w:val="366"/>
              </w:numPr>
              <w:rPr>
                <w:rFonts w:cs="Arial"/>
              </w:rPr>
            </w:pPr>
            <w:r>
              <w:rPr>
                <w:rFonts w:cs="Arial"/>
              </w:rPr>
              <w:t>Lung resection for cancer</w:t>
            </w:r>
            <w:r w:rsidR="00481FA7">
              <w:rPr>
                <w:rFonts w:cs="Arial"/>
              </w:rPr>
              <w:t xml:space="preserve">: </w:t>
            </w:r>
            <w:r w:rsidR="000825E3">
              <w:rPr>
                <w:rFonts w:cs="Arial"/>
              </w:rPr>
              <w:t xml:space="preserve">15 </w:t>
            </w:r>
          </w:p>
          <w:p w14:paraId="6EB1279D" w14:textId="2C48E907" w:rsidR="006E26E4" w:rsidRDefault="007D11A4" w:rsidP="00AD309C">
            <w:pPr>
              <w:pStyle w:val="ListParagraph"/>
              <w:numPr>
                <w:ilvl w:val="0"/>
                <w:numId w:val="366"/>
              </w:numPr>
              <w:rPr>
                <w:rFonts w:cs="Arial"/>
              </w:rPr>
            </w:pPr>
            <w:r>
              <w:rPr>
                <w:rFonts w:cs="Arial"/>
              </w:rPr>
              <w:t>Esophageal resection for cancer</w:t>
            </w:r>
            <w:r w:rsidR="00481FA7">
              <w:rPr>
                <w:rFonts w:cs="Arial"/>
              </w:rPr>
              <w:t xml:space="preserve">: </w:t>
            </w:r>
            <w:r w:rsidR="000825E3">
              <w:rPr>
                <w:rFonts w:cs="Arial"/>
              </w:rPr>
              <w:t xml:space="preserve">7 </w:t>
            </w:r>
          </w:p>
          <w:p w14:paraId="2922EF82" w14:textId="042088B0" w:rsidR="006E26E4" w:rsidRDefault="007D11A4" w:rsidP="00AD309C">
            <w:pPr>
              <w:pStyle w:val="ListParagraph"/>
              <w:numPr>
                <w:ilvl w:val="0"/>
                <w:numId w:val="366"/>
              </w:numPr>
              <w:rPr>
                <w:rFonts w:cs="Arial"/>
              </w:rPr>
            </w:pPr>
            <w:r>
              <w:rPr>
                <w:rFonts w:cs="Arial"/>
              </w:rPr>
              <w:t>Pancreatic resection for cancer</w:t>
            </w:r>
            <w:r w:rsidR="00481FA7">
              <w:rPr>
                <w:rFonts w:cs="Arial"/>
              </w:rPr>
              <w:t xml:space="preserve">: </w:t>
            </w:r>
            <w:r w:rsidR="000825E3">
              <w:rPr>
                <w:rFonts w:cs="Arial"/>
              </w:rPr>
              <w:t xml:space="preserve">10 </w:t>
            </w:r>
          </w:p>
          <w:p w14:paraId="614F5195" w14:textId="6F2884ED" w:rsidR="006E26E4" w:rsidRDefault="007D11A4" w:rsidP="00AD309C">
            <w:pPr>
              <w:pStyle w:val="ListParagraph"/>
              <w:numPr>
                <w:ilvl w:val="0"/>
                <w:numId w:val="366"/>
              </w:numPr>
              <w:rPr>
                <w:rFonts w:cs="Arial"/>
              </w:rPr>
            </w:pPr>
            <w:r>
              <w:rPr>
                <w:rFonts w:cs="Arial"/>
              </w:rPr>
              <w:t>Rectal cancer surgery</w:t>
            </w:r>
            <w:r w:rsidR="00481FA7">
              <w:rPr>
                <w:rFonts w:cs="Arial"/>
              </w:rPr>
              <w:t xml:space="preserve">: </w:t>
            </w:r>
            <w:r w:rsidR="000825E3">
              <w:rPr>
                <w:rFonts w:cs="Arial"/>
              </w:rPr>
              <w:t xml:space="preserve">6 </w:t>
            </w:r>
          </w:p>
          <w:p w14:paraId="5C410001" w14:textId="008072C2" w:rsidR="00A64DE7" w:rsidRDefault="007D11A4" w:rsidP="00AD309C">
            <w:pPr>
              <w:pStyle w:val="ListParagraph"/>
              <w:numPr>
                <w:ilvl w:val="0"/>
                <w:numId w:val="366"/>
              </w:numPr>
              <w:rPr>
                <w:rFonts w:cs="Arial"/>
              </w:rPr>
            </w:pPr>
            <w:r>
              <w:rPr>
                <w:rFonts w:cs="Arial"/>
              </w:rPr>
              <w:t>Bariatric surgery for weight loss</w:t>
            </w:r>
            <w:r w:rsidR="00481FA7">
              <w:rPr>
                <w:rFonts w:cs="Arial"/>
              </w:rPr>
              <w:t xml:space="preserve">: </w:t>
            </w:r>
            <w:r w:rsidR="000825E3">
              <w:rPr>
                <w:rFonts w:cs="Arial"/>
              </w:rPr>
              <w:t>20</w:t>
            </w:r>
          </w:p>
          <w:p w14:paraId="44AA0FF0" w14:textId="77777777" w:rsidR="00A64DE7" w:rsidRPr="006E26E4" w:rsidRDefault="00A64DE7" w:rsidP="00AD309C">
            <w:pPr>
              <w:pStyle w:val="ListParagraph"/>
              <w:numPr>
                <w:ilvl w:val="0"/>
                <w:numId w:val="366"/>
              </w:numPr>
              <w:rPr>
                <w:rFonts w:cs="Arial"/>
              </w:rPr>
            </w:pPr>
            <w:r w:rsidRPr="006E26E4">
              <w:rPr>
                <w:rFonts w:cs="Arial"/>
              </w:rPr>
              <w:t>Total knee replacement: 25</w:t>
            </w:r>
          </w:p>
          <w:p w14:paraId="4B324167" w14:textId="77777777" w:rsidR="00A64DE7" w:rsidRPr="006E26E4" w:rsidRDefault="00A64DE7" w:rsidP="00AD309C">
            <w:pPr>
              <w:pStyle w:val="ListParagraph"/>
              <w:numPr>
                <w:ilvl w:val="0"/>
                <w:numId w:val="366"/>
              </w:numPr>
              <w:rPr>
                <w:rFonts w:cs="Arial"/>
              </w:rPr>
            </w:pPr>
            <w:r w:rsidRPr="006E26E4">
              <w:rPr>
                <w:rFonts w:cs="Arial"/>
              </w:rPr>
              <w:t>Total hip replacement: 25</w:t>
            </w:r>
          </w:p>
          <w:p w14:paraId="6203F6BD" w14:textId="77777777" w:rsidR="00A64DE7" w:rsidRPr="006E26E4" w:rsidRDefault="00A64DE7" w:rsidP="00AD309C">
            <w:pPr>
              <w:pStyle w:val="ListParagraph"/>
              <w:numPr>
                <w:ilvl w:val="0"/>
                <w:numId w:val="366"/>
              </w:numPr>
              <w:rPr>
                <w:rFonts w:cs="Arial"/>
              </w:rPr>
            </w:pPr>
            <w:r w:rsidRPr="006E26E4">
              <w:rPr>
                <w:rFonts w:cs="Arial"/>
              </w:rPr>
              <w:t>Norwood procedure: 5</w:t>
            </w:r>
          </w:p>
          <w:p w14:paraId="4D1DA732" w14:textId="77777777" w:rsidR="007D11A4" w:rsidRPr="007D11A4" w:rsidRDefault="007D11A4" w:rsidP="006E0344">
            <w:pPr>
              <w:rPr>
                <w:rFonts w:cs="Arial"/>
              </w:rPr>
            </w:pPr>
          </w:p>
          <w:p w14:paraId="02A0EDC4" w14:textId="2A57EE13" w:rsidR="008D611A" w:rsidRPr="00686FCE" w:rsidRDefault="007D11A4" w:rsidP="006E0344">
            <w:pPr>
              <w:rPr>
                <w:rFonts w:cs="Arial"/>
              </w:rPr>
            </w:pPr>
            <w:r w:rsidRPr="006C09FD">
              <w:rPr>
                <w:rFonts w:cs="Arial"/>
              </w:rPr>
              <w:t xml:space="preserve">When determining whether surgeons have met or exceeded Leapfrog’s minimum </w:t>
            </w:r>
            <w:r w:rsidR="00BD0C2F" w:rsidRPr="006C09FD">
              <w:rPr>
                <w:rFonts w:cs="Arial"/>
              </w:rPr>
              <w:t xml:space="preserve">annual </w:t>
            </w:r>
            <w:r w:rsidRPr="006C09FD">
              <w:rPr>
                <w:rFonts w:cs="Arial"/>
              </w:rPr>
              <w:t>surgeon volume standards for the purposes of privileging, only refer to the ICD-10 procedure codes</w:t>
            </w:r>
            <w:r w:rsidR="0033157B" w:rsidRPr="006C09FD">
              <w:rPr>
                <w:rFonts w:cs="Arial"/>
              </w:rPr>
              <w:t xml:space="preserve"> and CPT codes</w:t>
            </w:r>
            <w:r w:rsidR="00B74069" w:rsidRPr="006C09FD">
              <w:rPr>
                <w:rFonts w:cs="Arial"/>
              </w:rPr>
              <w:t xml:space="preserve"> (</w:t>
            </w:r>
            <w:r w:rsidR="007A4220">
              <w:rPr>
                <w:rFonts w:cs="Arial"/>
                <w:lang w:eastAsia="ja-JP"/>
              </w:rPr>
              <w:t>for Total Hip Replacement, Total Knee Replacement, and Bariatric Surgery for Weight Loss</w:t>
            </w:r>
            <w:r w:rsidR="00B74069" w:rsidRPr="006C09FD">
              <w:rPr>
                <w:rFonts w:cs="Arial"/>
              </w:rPr>
              <w:t>)</w:t>
            </w:r>
            <w:r w:rsidR="006C09FD" w:rsidRPr="006C09FD">
              <w:rPr>
                <w:rFonts w:cs="Arial"/>
              </w:rPr>
              <w:t xml:space="preserve"> – </w:t>
            </w:r>
            <w:r w:rsidR="006C09FD" w:rsidRPr="006C09FD">
              <w:rPr>
                <w:rFonts w:cs="Arial"/>
                <w:b/>
                <w:bCs/>
              </w:rPr>
              <w:t>diagnosis</w:t>
            </w:r>
            <w:r w:rsidR="006C09FD" w:rsidRPr="006C09FD">
              <w:rPr>
                <w:rFonts w:cs="Arial"/>
              </w:rPr>
              <w:t xml:space="preserve"> codes can be ignored. </w:t>
            </w:r>
          </w:p>
        </w:tc>
      </w:tr>
    </w:tbl>
    <w:p w14:paraId="067C83EE" w14:textId="77777777" w:rsidR="00AF3C38" w:rsidRPr="00B647A1" w:rsidRDefault="00AF3C38">
      <w:pPr>
        <w:rPr>
          <w:sz w:val="16"/>
          <w:szCs w:val="16"/>
        </w:rPr>
      </w:pPr>
    </w:p>
    <w:tbl>
      <w:tblPr>
        <w:tblStyle w:val="TableGrid"/>
        <w:tblW w:w="0" w:type="auto"/>
        <w:tblLook w:val="04A0" w:firstRow="1" w:lastRow="0" w:firstColumn="1" w:lastColumn="0" w:noHBand="0" w:noVBand="1"/>
      </w:tblPr>
      <w:tblGrid>
        <w:gridCol w:w="9350"/>
      </w:tblGrid>
      <w:tr w:rsidR="002D4C04" w14:paraId="26035CCF" w14:textId="77777777" w:rsidTr="00F16E4B">
        <w:trPr>
          <w:trHeight w:val="288"/>
        </w:trPr>
        <w:tc>
          <w:tcPr>
            <w:tcW w:w="9350" w:type="dxa"/>
            <w:vAlign w:val="center"/>
          </w:tcPr>
          <w:p w14:paraId="1FAF6005" w14:textId="0ED2ED3B" w:rsidR="002D4C04" w:rsidRPr="00B647A1" w:rsidRDefault="002D4C04" w:rsidP="006E0344">
            <w:pPr>
              <w:rPr>
                <w:rFonts w:cs="Arial"/>
                <w:b/>
                <w:sz w:val="16"/>
                <w:szCs w:val="16"/>
              </w:rPr>
            </w:pPr>
            <w:r w:rsidRPr="002D4C04">
              <w:rPr>
                <w:rFonts w:cs="Arial"/>
                <w:b/>
              </w:rPr>
              <w:t xml:space="preserve">Source: </w:t>
            </w:r>
            <w:r w:rsidRPr="002D4C04">
              <w:rPr>
                <w:rFonts w:cs="Arial"/>
                <w:bCs/>
              </w:rPr>
              <w:t>The Society of Thoracic Surgeons (STS)</w:t>
            </w:r>
          </w:p>
        </w:tc>
      </w:tr>
      <w:tr w:rsidR="006556E2" w14:paraId="2F389018" w14:textId="77777777" w:rsidTr="00F16E4B">
        <w:trPr>
          <w:trHeight w:val="576"/>
        </w:trPr>
        <w:tc>
          <w:tcPr>
            <w:tcW w:w="9350" w:type="dxa"/>
            <w:vAlign w:val="center"/>
          </w:tcPr>
          <w:p w14:paraId="4C352E28" w14:textId="16F12035" w:rsidR="008D611A" w:rsidRPr="00F16E4B" w:rsidRDefault="006556E2" w:rsidP="006E0344">
            <w:pPr>
              <w:rPr>
                <w:rFonts w:cs="Arial"/>
                <w:b/>
                <w:snapToGrid w:val="0"/>
              </w:rPr>
            </w:pPr>
            <w:r w:rsidRPr="009A5185">
              <w:rPr>
                <w:rFonts w:cs="Arial"/>
                <w:b/>
                <w:snapToGrid w:val="0"/>
              </w:rPr>
              <w:t>Reporting Period:</w:t>
            </w:r>
            <w:r>
              <w:rPr>
                <w:rFonts w:cs="Arial"/>
                <w:b/>
                <w:snapToGrid w:val="0"/>
              </w:rPr>
              <w:t xml:space="preserve"> </w:t>
            </w:r>
            <w:r w:rsidR="005359D6" w:rsidRPr="002F5005">
              <w:rPr>
                <w:rFonts w:cstheme="minorHAnsi"/>
                <w:color w:val="1D1C1D"/>
                <w:shd w:val="clear" w:color="auto" w:fill="FFFFFF"/>
              </w:rPr>
              <w:t xml:space="preserve">Latest </w:t>
            </w:r>
            <w:r w:rsidR="005359D6" w:rsidRPr="002F5005">
              <w:rPr>
                <w:rFonts w:cstheme="minorHAnsi"/>
                <w:b/>
                <w:bCs/>
                <w:color w:val="1D1C1D"/>
                <w:shd w:val="clear" w:color="auto" w:fill="FFFFFF"/>
              </w:rPr>
              <w:t>36-month</w:t>
            </w:r>
            <w:r w:rsidR="005359D6" w:rsidRPr="002F5005">
              <w:rPr>
                <w:rFonts w:cstheme="minorHAnsi"/>
                <w:color w:val="1D1C1D"/>
                <w:shd w:val="clear" w:color="auto" w:fill="FFFFFF"/>
              </w:rPr>
              <w:t xml:space="preserve"> report from </w:t>
            </w:r>
            <w:r w:rsidR="005359D6" w:rsidRPr="002F5005">
              <w:rPr>
                <w:rFonts w:cstheme="minorHAnsi"/>
                <w:color w:val="000000"/>
                <w:shd w:val="clear" w:color="auto" w:fill="FFFFFF"/>
              </w:rPr>
              <w:t>Society of Thoracic Surgeons (STS)</w:t>
            </w:r>
            <w:r w:rsidR="005359D6" w:rsidRPr="002F5005">
              <w:rPr>
                <w:rFonts w:cstheme="minorHAnsi"/>
                <w:color w:val="1D1C1D"/>
                <w:shd w:val="clear" w:color="auto" w:fill="FFFFFF"/>
              </w:rPr>
              <w:t xml:space="preserve"> Adult Cardiac Surgery Database (ACSD) for the </w:t>
            </w:r>
            <w:r w:rsidR="005359D6" w:rsidRPr="002F5005">
              <w:rPr>
                <w:rFonts w:cstheme="minorHAnsi"/>
                <w:b/>
                <w:bCs/>
                <w:color w:val="1D1C1D"/>
                <w:shd w:val="clear" w:color="auto" w:fill="FFFFFF"/>
              </w:rPr>
              <w:t>Mitral Valve Repair/Replacement Composite Score</w:t>
            </w:r>
            <w:r w:rsidR="00F16E4B">
              <w:rPr>
                <w:rFonts w:cstheme="minorHAnsi"/>
                <w:b/>
                <w:bCs/>
                <w:color w:val="1D1C1D"/>
                <w:shd w:val="clear" w:color="auto" w:fill="FFFFFF"/>
              </w:rPr>
              <w:t>.</w:t>
            </w:r>
          </w:p>
        </w:tc>
      </w:tr>
      <w:tr w:rsidR="00704124" w14:paraId="187C812B" w14:textId="77777777" w:rsidTr="00D36222">
        <w:trPr>
          <w:trHeight w:val="1584"/>
        </w:trPr>
        <w:tc>
          <w:tcPr>
            <w:tcW w:w="9350" w:type="dxa"/>
            <w:vAlign w:val="center"/>
          </w:tcPr>
          <w:p w14:paraId="28478D23" w14:textId="0E457574" w:rsidR="00704124" w:rsidRDefault="00704124" w:rsidP="006E0344">
            <w:pPr>
              <w:rPr>
                <w:rFonts w:cs="Arial"/>
                <w:snapToGrid w:val="0"/>
                <w:color w:val="000000"/>
              </w:rPr>
            </w:pPr>
            <w:r w:rsidRPr="00704124">
              <w:rPr>
                <w:rFonts w:cs="Arial"/>
                <w:b/>
              </w:rPr>
              <w:t xml:space="preserve">Question </w:t>
            </w:r>
            <w:r w:rsidR="00D51874">
              <w:rPr>
                <w:rFonts w:cs="Arial"/>
                <w:b/>
              </w:rPr>
              <w:t>#</w:t>
            </w:r>
            <w:r w:rsidR="00F95A07">
              <w:rPr>
                <w:rFonts w:cs="Arial"/>
                <w:b/>
              </w:rPr>
              <w:t>6</w:t>
            </w:r>
            <w:r w:rsidRPr="00704124">
              <w:rPr>
                <w:rFonts w:cs="Arial"/>
                <w:b/>
              </w:rPr>
              <w:t>:</w:t>
            </w:r>
            <w:r>
              <w:rPr>
                <w:rFonts w:cs="Arial"/>
                <w:b/>
              </w:rPr>
              <w:t xml:space="preserve"> </w:t>
            </w:r>
            <w:r>
              <w:rPr>
                <w:rFonts w:cs="Arial"/>
                <w:snapToGrid w:val="0"/>
                <w:color w:val="000000"/>
              </w:rPr>
              <w:t>D</w:t>
            </w:r>
            <w:r w:rsidRPr="005D2B76">
              <w:rPr>
                <w:rFonts w:cs="Arial"/>
                <w:snapToGrid w:val="0"/>
                <w:color w:val="000000"/>
              </w:rPr>
              <w:t xml:space="preserve">oes your hospital participate in the </w:t>
            </w:r>
            <w:hyperlink r:id="rId228" w:history="1">
              <w:r w:rsidRPr="005D2B76">
                <w:rPr>
                  <w:rStyle w:val="Hyperlink"/>
                  <w:rFonts w:cs="Arial"/>
                  <w:snapToGrid w:val="0"/>
                </w:rPr>
                <w:t>Society of Thoracic Surgeons (STS)</w:t>
              </w:r>
            </w:hyperlink>
            <w:r w:rsidRPr="009E7B22">
              <w:rPr>
                <w:rFonts w:cs="Arial"/>
                <w:snapToGrid w:val="0"/>
                <w:color w:val="000000"/>
              </w:rPr>
              <w:t xml:space="preserve"> </w:t>
            </w:r>
            <w:r>
              <w:rPr>
                <w:rFonts w:cs="Arial"/>
                <w:snapToGrid w:val="0"/>
                <w:color w:val="000000"/>
              </w:rPr>
              <w:t>Adult Cardiac Surgery Database (ACSD)</w:t>
            </w:r>
            <w:r w:rsidR="00D16610">
              <w:rPr>
                <w:rFonts w:cs="Arial"/>
                <w:snapToGrid w:val="0"/>
                <w:color w:val="000000"/>
              </w:rPr>
              <w:t xml:space="preserve">, </w:t>
            </w:r>
            <w:r w:rsidR="00F95A07">
              <w:rPr>
                <w:rFonts w:cs="Arial"/>
                <w:snapToGrid w:val="0"/>
                <w:color w:val="000000"/>
              </w:rPr>
              <w:t xml:space="preserve">and </w:t>
            </w:r>
            <w:r w:rsidRPr="005D2B76">
              <w:rPr>
                <w:rFonts w:cs="Arial"/>
                <w:snapToGrid w:val="0"/>
                <w:color w:val="000000"/>
              </w:rPr>
              <w:t>submit data for all applicable procedures during the most recent 36-month period for which performance reports are available?</w:t>
            </w:r>
          </w:p>
          <w:p w14:paraId="6EFBE3FC" w14:textId="50662219" w:rsidR="007015E4" w:rsidRDefault="007015E4" w:rsidP="006E0344">
            <w:pPr>
              <w:rPr>
                <w:rFonts w:cs="Arial"/>
                <w:snapToGrid w:val="0"/>
                <w:color w:val="000000"/>
              </w:rPr>
            </w:pPr>
          </w:p>
          <w:p w14:paraId="40D72392" w14:textId="3E4FA9AF" w:rsidR="00704124" w:rsidRPr="00D51874" w:rsidRDefault="007015E4" w:rsidP="006E0344">
            <w:pPr>
              <w:rPr>
                <w:rFonts w:cs="Arial"/>
                <w:snapToGrid w:val="0"/>
                <w:color w:val="000000"/>
              </w:rPr>
            </w:pPr>
            <w:r>
              <w:rPr>
                <w:rFonts w:cs="Arial"/>
                <w:snapToGrid w:val="0"/>
                <w:color w:val="000000"/>
              </w:rPr>
              <w:t xml:space="preserve">Select “yes” if your hospital participates in the </w:t>
            </w:r>
            <w:hyperlink r:id="rId229" w:history="1">
              <w:r w:rsidRPr="005D2B76">
                <w:rPr>
                  <w:rStyle w:val="Hyperlink"/>
                  <w:rFonts w:cs="Arial"/>
                  <w:snapToGrid w:val="0"/>
                </w:rPr>
                <w:t>Society of Thoracic Surgeons (STS)</w:t>
              </w:r>
            </w:hyperlink>
            <w:r w:rsidRPr="009E7B22">
              <w:rPr>
                <w:rFonts w:cs="Arial"/>
                <w:snapToGrid w:val="0"/>
                <w:color w:val="000000"/>
              </w:rPr>
              <w:t xml:space="preserve"> </w:t>
            </w:r>
            <w:r>
              <w:rPr>
                <w:rFonts w:cs="Arial"/>
                <w:snapToGrid w:val="0"/>
                <w:color w:val="000000"/>
              </w:rPr>
              <w:t>Adult Cardiac Surgery Database (ACSD) and has submitted data for all applicable procedures during the most recent 36-month period.</w:t>
            </w:r>
          </w:p>
        </w:tc>
      </w:tr>
      <w:tr w:rsidR="00704124" w14:paraId="12D62670" w14:textId="77777777" w:rsidTr="00D36222">
        <w:trPr>
          <w:trHeight w:val="1440"/>
        </w:trPr>
        <w:tc>
          <w:tcPr>
            <w:tcW w:w="9350" w:type="dxa"/>
            <w:vAlign w:val="center"/>
          </w:tcPr>
          <w:p w14:paraId="70A637ED" w14:textId="3953BF75" w:rsidR="00704124" w:rsidRDefault="00704124" w:rsidP="006E0344">
            <w:pPr>
              <w:rPr>
                <w:rFonts w:cs="Arial"/>
                <w:bCs/>
              </w:rPr>
            </w:pPr>
            <w:r w:rsidRPr="00704124">
              <w:rPr>
                <w:rFonts w:cs="Arial"/>
                <w:b/>
              </w:rPr>
              <w:t xml:space="preserve">Question </w:t>
            </w:r>
            <w:r w:rsidR="00D51874">
              <w:rPr>
                <w:rFonts w:cs="Arial"/>
                <w:b/>
              </w:rPr>
              <w:t>#</w:t>
            </w:r>
            <w:r w:rsidR="00F95A07">
              <w:rPr>
                <w:rFonts w:cs="Arial"/>
                <w:b/>
              </w:rPr>
              <w:t>7</w:t>
            </w:r>
            <w:r w:rsidRPr="00704124">
              <w:rPr>
                <w:rFonts w:cs="Arial"/>
                <w:b/>
              </w:rPr>
              <w:t>:</w:t>
            </w:r>
            <w:r>
              <w:rPr>
                <w:rFonts w:cs="Arial"/>
                <w:bCs/>
              </w:rPr>
              <w:t xml:space="preserve"> </w:t>
            </w:r>
            <w:r w:rsidRPr="00704124">
              <w:rPr>
                <w:rFonts w:cs="Arial"/>
                <w:bCs/>
              </w:rPr>
              <w:t>What is the most recent 36-month reporting period for which STS performance reports are available?</w:t>
            </w:r>
            <w:r w:rsidR="0033157B">
              <w:rPr>
                <w:rFonts w:cs="Arial"/>
                <w:bCs/>
              </w:rPr>
              <w:t xml:space="preserve"> Reporting period ending:</w:t>
            </w:r>
          </w:p>
          <w:p w14:paraId="5E840023" w14:textId="77777777" w:rsidR="007015E4" w:rsidRDefault="007015E4" w:rsidP="006E0344">
            <w:pPr>
              <w:rPr>
                <w:rFonts w:cs="Arial"/>
                <w:bCs/>
              </w:rPr>
            </w:pPr>
          </w:p>
          <w:p w14:paraId="2B98753B" w14:textId="1AFA18B7" w:rsidR="000032C0" w:rsidRPr="00704124" w:rsidRDefault="00E326A9" w:rsidP="006E0344">
            <w:pPr>
              <w:rPr>
                <w:rFonts w:cs="Arial"/>
                <w:bCs/>
              </w:rPr>
            </w:pPr>
            <w:r>
              <w:rPr>
                <w:rFonts w:cs="Arial"/>
                <w:bCs/>
              </w:rPr>
              <w:t>Select the most recent 36-month reporting period for which STS performance reports are available. The reporting period is displayed when reviewing your “</w:t>
            </w:r>
            <w:r w:rsidRPr="0060193F">
              <w:t>MVRR Composite Quality Ratings</w:t>
            </w:r>
            <w:r>
              <w:rPr>
                <w:rFonts w:cs="Arial"/>
                <w:bCs/>
              </w:rPr>
              <w:t xml:space="preserve">” at </w:t>
            </w:r>
            <w:hyperlink r:id="rId230" w:history="1">
              <w:r w:rsidRPr="008C75EB">
                <w:rPr>
                  <w:rStyle w:val="Hyperlink"/>
                </w:rPr>
                <w:t>https://publicreporting.sts.org/search/acsd</w:t>
              </w:r>
            </w:hyperlink>
            <w:r>
              <w:t>.</w:t>
            </w:r>
            <w:r w:rsidR="007015E4">
              <w:rPr>
                <w:rFonts w:cs="Arial"/>
                <w:bCs/>
              </w:rPr>
              <w:t xml:space="preserve"> See screenshot provided for question #</w:t>
            </w:r>
            <w:r w:rsidR="00EA2AB4">
              <w:rPr>
                <w:rFonts w:cs="Arial"/>
                <w:bCs/>
              </w:rPr>
              <w:t>9</w:t>
            </w:r>
            <w:r w:rsidR="007015E4">
              <w:rPr>
                <w:rFonts w:cs="Arial"/>
                <w:bCs/>
              </w:rPr>
              <w:t xml:space="preserve"> </w:t>
            </w:r>
            <w:hyperlink w:anchor="MVRR_STS" w:history="1">
              <w:r w:rsidR="007015E4" w:rsidRPr="007015E4">
                <w:rPr>
                  <w:rStyle w:val="Hyperlink"/>
                  <w:rFonts w:cs="Arial"/>
                  <w:bCs/>
                </w:rPr>
                <w:t>below</w:t>
              </w:r>
            </w:hyperlink>
            <w:r w:rsidR="007015E4">
              <w:rPr>
                <w:rFonts w:cs="Arial"/>
                <w:bCs/>
              </w:rPr>
              <w:t>.</w:t>
            </w:r>
          </w:p>
        </w:tc>
      </w:tr>
      <w:tr w:rsidR="00704124" w14:paraId="3A3B66EE" w14:textId="77777777" w:rsidTr="005317E8">
        <w:trPr>
          <w:trHeight w:val="1152"/>
        </w:trPr>
        <w:tc>
          <w:tcPr>
            <w:tcW w:w="9350" w:type="dxa"/>
            <w:vAlign w:val="center"/>
          </w:tcPr>
          <w:p w14:paraId="13E4591D" w14:textId="4DDE44E0" w:rsidR="000032C0" w:rsidRPr="00D51874" w:rsidRDefault="00704124" w:rsidP="006E0344">
            <w:pPr>
              <w:rPr>
                <w:rFonts w:cs="Arial"/>
                <w:iCs/>
                <w:snapToGrid w:val="0"/>
                <w:color w:val="000000"/>
              </w:rPr>
            </w:pPr>
            <w:r>
              <w:rPr>
                <w:rFonts w:cs="Arial"/>
                <w:b/>
                <w:bCs/>
                <w:snapToGrid w:val="0"/>
                <w:color w:val="000000"/>
              </w:rPr>
              <w:t xml:space="preserve">Question </w:t>
            </w:r>
            <w:r w:rsidR="00D51874">
              <w:rPr>
                <w:rFonts w:cs="Arial"/>
                <w:b/>
                <w:bCs/>
                <w:snapToGrid w:val="0"/>
                <w:color w:val="000000"/>
              </w:rPr>
              <w:t>#</w:t>
            </w:r>
            <w:r w:rsidR="00F95A07">
              <w:rPr>
                <w:rFonts w:cs="Arial"/>
                <w:b/>
                <w:bCs/>
                <w:snapToGrid w:val="0"/>
                <w:color w:val="000000"/>
              </w:rPr>
              <w:t>8</w:t>
            </w:r>
            <w:r>
              <w:rPr>
                <w:rFonts w:cs="Arial"/>
                <w:b/>
                <w:bCs/>
                <w:snapToGrid w:val="0"/>
                <w:color w:val="000000"/>
              </w:rPr>
              <w:t xml:space="preserve">: </w:t>
            </w:r>
            <w:r w:rsidRPr="005D2B76">
              <w:rPr>
                <w:rFonts w:cs="Arial"/>
                <w:snapToGrid w:val="0"/>
                <w:color w:val="000000"/>
              </w:rPr>
              <w:t xml:space="preserve">Does your hospital </w:t>
            </w:r>
            <w:r w:rsidR="00154C4A">
              <w:rPr>
                <w:rFonts w:cs="Arial"/>
                <w:snapToGrid w:val="0"/>
                <w:color w:val="000000"/>
              </w:rPr>
              <w:t xml:space="preserve">have a Mitral Valve Repair/Replacement Composite Score publicly reported on the STS website and do you </w:t>
            </w:r>
            <w:r w:rsidRPr="005D2B76">
              <w:rPr>
                <w:rFonts w:cs="Arial"/>
                <w:snapToGrid w:val="0"/>
                <w:color w:val="000000"/>
              </w:rPr>
              <w:t>choose to report data from the most recent performance report to this Survey?</w:t>
            </w:r>
            <w:r>
              <w:rPr>
                <w:rFonts w:cs="Arial"/>
                <w:snapToGrid w:val="0"/>
                <w:color w:val="000000"/>
              </w:rPr>
              <w:br/>
            </w:r>
            <w:r>
              <w:rPr>
                <w:rFonts w:cs="Arial"/>
                <w:snapToGrid w:val="0"/>
                <w:color w:val="000000"/>
              </w:rPr>
              <w:br/>
            </w:r>
            <w:r w:rsidR="000032C0">
              <w:rPr>
                <w:rFonts w:cs="Arial"/>
                <w:iCs/>
                <w:snapToGrid w:val="0"/>
                <w:color w:val="000000"/>
              </w:rPr>
              <w:t>Select “yes” if your hospital elects to share the MVRR data from your most recent performance report with Leapfrog.</w:t>
            </w:r>
          </w:p>
        </w:tc>
      </w:tr>
      <w:tr w:rsidR="00704124" w14:paraId="7B2638AD" w14:textId="77777777" w:rsidTr="00081966">
        <w:trPr>
          <w:trHeight w:val="1430"/>
        </w:trPr>
        <w:tc>
          <w:tcPr>
            <w:tcW w:w="9350" w:type="dxa"/>
            <w:vAlign w:val="center"/>
          </w:tcPr>
          <w:p w14:paraId="70A9EF1C" w14:textId="72E93483" w:rsidR="00704124" w:rsidRDefault="00704124" w:rsidP="006E0344">
            <w:pPr>
              <w:rPr>
                <w:rFonts w:cs="Arial"/>
                <w:bCs/>
              </w:rPr>
            </w:pPr>
            <w:bookmarkStart w:id="248" w:name="MVRR_STS"/>
            <w:r w:rsidRPr="00704124">
              <w:rPr>
                <w:rFonts w:cs="Arial"/>
                <w:b/>
              </w:rPr>
              <w:t xml:space="preserve">Question </w:t>
            </w:r>
            <w:bookmarkEnd w:id="248"/>
            <w:r w:rsidR="00D51874">
              <w:rPr>
                <w:rFonts w:cs="Arial"/>
                <w:b/>
              </w:rPr>
              <w:t>#</w:t>
            </w:r>
            <w:r w:rsidR="00F95A07">
              <w:rPr>
                <w:rFonts w:cs="Arial"/>
                <w:b/>
              </w:rPr>
              <w:t>9</w:t>
            </w:r>
            <w:r w:rsidRPr="00704124">
              <w:rPr>
                <w:rFonts w:cs="Arial"/>
                <w:b/>
              </w:rPr>
              <w:t>:</w:t>
            </w:r>
            <w:r>
              <w:rPr>
                <w:rFonts w:cs="Arial"/>
                <w:bCs/>
              </w:rPr>
              <w:t xml:space="preserve"> </w:t>
            </w:r>
            <w:r w:rsidRPr="00704124">
              <w:rPr>
                <w:rFonts w:cs="Arial"/>
                <w:bCs/>
              </w:rPr>
              <w:t xml:space="preserve">What </w:t>
            </w:r>
            <w:r w:rsidR="002E2409">
              <w:rPr>
                <w:rFonts w:cs="Arial"/>
                <w:bCs/>
              </w:rPr>
              <w:t>is</w:t>
            </w:r>
            <w:r w:rsidRPr="00704124">
              <w:rPr>
                <w:rFonts w:cs="Arial"/>
                <w:bCs/>
              </w:rPr>
              <w:t xml:space="preserve"> your hospital’s Mitral Valve Repair/Replacement</w:t>
            </w:r>
            <w:r w:rsidR="002E2409">
              <w:rPr>
                <w:rFonts w:cs="Arial"/>
                <w:bCs/>
              </w:rPr>
              <w:t xml:space="preserve"> Composite Score</w:t>
            </w:r>
            <w:r w:rsidRPr="00704124">
              <w:rPr>
                <w:rFonts w:cs="Arial"/>
                <w:bCs/>
              </w:rPr>
              <w:t>?</w:t>
            </w:r>
          </w:p>
          <w:p w14:paraId="37EB598A" w14:textId="77777777" w:rsidR="00704124" w:rsidRDefault="00704124" w:rsidP="006E0344">
            <w:pPr>
              <w:rPr>
                <w:rFonts w:cs="Arial"/>
                <w:bCs/>
              </w:rPr>
            </w:pPr>
          </w:p>
          <w:p w14:paraId="3BFFD412" w14:textId="1F713844" w:rsidR="00B647A1" w:rsidRDefault="00704124" w:rsidP="006E0344">
            <w:r>
              <w:rPr>
                <w:rFonts w:cs="Arial"/>
                <w:snapToGrid w:val="0"/>
                <w:color w:val="000000"/>
              </w:rPr>
              <w:t xml:space="preserve">Report your Mitral Valve Repair/Replacement </w:t>
            </w:r>
            <w:r w:rsidR="002E2409">
              <w:rPr>
                <w:rFonts w:cs="Arial"/>
                <w:snapToGrid w:val="0"/>
                <w:color w:val="000000"/>
              </w:rPr>
              <w:t>Overall Composite Score</w:t>
            </w:r>
            <w:r w:rsidR="005359D6">
              <w:rPr>
                <w:rFonts w:cs="Arial"/>
                <w:snapToGrid w:val="0"/>
                <w:color w:val="000000"/>
              </w:rPr>
              <w:t xml:space="preserve"> </w:t>
            </w:r>
            <w:r>
              <w:rPr>
                <w:rFonts w:cs="Arial"/>
                <w:snapToGrid w:val="0"/>
                <w:color w:val="000000"/>
              </w:rPr>
              <w:t>from the STS Public Reporting website</w:t>
            </w:r>
            <w:r w:rsidR="003D1AD2">
              <w:rPr>
                <w:rFonts w:cs="Arial"/>
                <w:snapToGrid w:val="0"/>
                <w:color w:val="000000"/>
              </w:rPr>
              <w:t xml:space="preserve">: </w:t>
            </w:r>
            <w:hyperlink r:id="rId231" w:history="1">
              <w:r w:rsidR="00887764" w:rsidRPr="008C75EB">
                <w:rPr>
                  <w:rStyle w:val="Hyperlink"/>
                </w:rPr>
                <w:t>https://publicreporting.sts.org/search/acsd</w:t>
              </w:r>
            </w:hyperlink>
            <w:r w:rsidR="00887764">
              <w:t>.</w:t>
            </w:r>
            <w:r>
              <w:t xml:space="preserve"> </w:t>
            </w:r>
          </w:p>
          <w:p w14:paraId="4EFAFAD6" w14:textId="77777777" w:rsidR="00B647A1" w:rsidRDefault="00B647A1" w:rsidP="006E0344"/>
          <w:p w14:paraId="1FD8BB08" w14:textId="3D3CCD9F" w:rsidR="008D611A" w:rsidRDefault="00887764" w:rsidP="006E0344">
            <w:pPr>
              <w:autoSpaceDE w:val="0"/>
              <w:autoSpaceDN w:val="0"/>
              <w:adjustRightInd w:val="0"/>
              <w:spacing w:line="276" w:lineRule="auto"/>
              <w:rPr>
                <w:rFonts w:cs="Arial"/>
                <w:snapToGrid w:val="0"/>
                <w:color w:val="000000"/>
              </w:rPr>
            </w:pPr>
            <w:r>
              <w:t>Click on “Search All Groups.” Then search for your hospital name/surgery group name in the “Participant Surgery Group Name” field and click your hospital name/surgery group name. On the next page find your “</w:t>
            </w:r>
            <w:r w:rsidRPr="0060193F">
              <w:t>MVRR Composite Quality Rating</w:t>
            </w:r>
            <w:r>
              <w:t>” and your “</w:t>
            </w:r>
            <w:r>
              <w:rPr>
                <w:rFonts w:cs="Arial"/>
                <w:snapToGrid w:val="0"/>
                <w:color w:val="000000"/>
              </w:rPr>
              <w:t>Overall</w:t>
            </w:r>
            <w:r w:rsidRPr="00E8204D">
              <w:rPr>
                <w:rFonts w:cs="Arial"/>
                <w:snapToGrid w:val="0"/>
                <w:color w:val="000000"/>
              </w:rPr>
              <w:t xml:space="preserve"> Composite Score</w:t>
            </w:r>
            <w:r>
              <w:rPr>
                <w:rFonts w:cs="Arial"/>
                <w:snapToGrid w:val="0"/>
                <w:color w:val="000000"/>
              </w:rPr>
              <w:t xml:space="preserve">.” </w:t>
            </w:r>
            <w:r w:rsidRPr="00E8204D">
              <w:rPr>
                <w:rFonts w:cs="Arial"/>
                <w:snapToGrid w:val="0"/>
                <w:color w:val="000000"/>
              </w:rPr>
              <w:t>Report the number of stars displayed for “Overall Composite Score” represented in the screenshot below.</w:t>
            </w:r>
          </w:p>
          <w:p w14:paraId="21A93DA3" w14:textId="6B287590" w:rsidR="00F72FA4" w:rsidRDefault="00F72FA4" w:rsidP="006E0344">
            <w:pPr>
              <w:autoSpaceDE w:val="0"/>
              <w:autoSpaceDN w:val="0"/>
              <w:adjustRightInd w:val="0"/>
              <w:spacing w:line="276" w:lineRule="auto"/>
              <w:rPr>
                <w:rFonts w:cs="Arial"/>
                <w:snapToGrid w:val="0"/>
                <w:color w:val="000000"/>
              </w:rPr>
            </w:pPr>
            <w:r>
              <w:rPr>
                <w:noProof/>
              </w:rPr>
              <w:lastRenderedPageBreak/>
              <mc:AlternateContent>
                <mc:Choice Requires="wps">
                  <w:drawing>
                    <wp:anchor distT="0" distB="0" distL="114300" distR="114300" simplePos="0" relativeHeight="251658244" behindDoc="0" locked="0" layoutInCell="1" allowOverlap="1" wp14:anchorId="63664AF4" wp14:editId="4390E7A0">
                      <wp:simplePos x="0" y="0"/>
                      <wp:positionH relativeFrom="column">
                        <wp:posOffset>5116830</wp:posOffset>
                      </wp:positionH>
                      <wp:positionV relativeFrom="paragraph">
                        <wp:posOffset>315595</wp:posOffset>
                      </wp:positionV>
                      <wp:extent cx="745490" cy="422275"/>
                      <wp:effectExtent l="0" t="0" r="16510" b="15875"/>
                      <wp:wrapNone/>
                      <wp:docPr id="15" name="Rectangle 15" descr="P3200C6T42#y1"/>
                      <wp:cNvGraphicFramePr/>
                      <a:graphic xmlns:a="http://schemas.openxmlformats.org/drawingml/2006/main">
                        <a:graphicData uri="http://schemas.microsoft.com/office/word/2010/wordprocessingShape">
                          <wps:wsp>
                            <wps:cNvSpPr/>
                            <wps:spPr>
                              <a:xfrm>
                                <a:off x="0" y="0"/>
                                <a:ext cx="745490" cy="422275"/>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1737B127" id="Rectangle 15" o:spid="_x0000_s1026" alt="P3200C6T42#y1" style="position:absolute;margin-left:402.9pt;margin-top:24.85pt;width:58.7pt;height:33.2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" filled="f" strokecolor="red" strokeweight="2pt"/>
                  </w:pict>
                </mc:Fallback>
              </mc:AlternateContent>
            </w:r>
            <w:r w:rsidRPr="00F72FA4">
              <w:rPr>
                <w:rFonts w:cs="Arial"/>
                <w:noProof/>
                <w:snapToGrid w:val="0"/>
                <w:color w:val="000000"/>
              </w:rPr>
              <w:drawing>
                <wp:inline distT="0" distB="0" distL="0" distR="0" wp14:anchorId="0D5F08B6" wp14:editId="7AD52268">
                  <wp:extent cx="5943600" cy="742315"/>
                  <wp:effectExtent l="0" t="0" r="0" b="635"/>
                  <wp:docPr id="1400043493" name="Picture 1" descr="P3200C6T4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0043493" name="Picture 1" descr="P3200C6T42#yIS1"/>
                          <pic:cNvPicPr/>
                        </pic:nvPicPr>
                        <pic:blipFill>
                          <a:blip r:embed="rId232"/>
                          <a:stretch>
                            <a:fillRect/>
                          </a:stretch>
                        </pic:blipFill>
                        <pic:spPr>
                          <a:xfrm>
                            <a:off x="0" y="0"/>
                            <a:ext cx="5943600" cy="742315"/>
                          </a:xfrm>
                          <a:prstGeom prst="rect">
                            <a:avLst/>
                          </a:prstGeom>
                        </pic:spPr>
                      </pic:pic>
                    </a:graphicData>
                  </a:graphic>
                </wp:inline>
              </w:drawing>
            </w:r>
          </w:p>
          <w:p w14:paraId="5D0A9C97" w14:textId="2F3A5054" w:rsidR="008D611A" w:rsidRPr="00BC22E2" w:rsidRDefault="008D611A" w:rsidP="00BC22E2">
            <w:pPr>
              <w:autoSpaceDE w:val="0"/>
              <w:autoSpaceDN w:val="0"/>
              <w:adjustRightInd w:val="0"/>
              <w:spacing w:line="276" w:lineRule="auto"/>
              <w:rPr>
                <w:rFonts w:cs="Arial"/>
                <w:snapToGrid w:val="0"/>
                <w:color w:val="000000"/>
              </w:rPr>
            </w:pPr>
          </w:p>
        </w:tc>
      </w:tr>
    </w:tbl>
    <w:p w14:paraId="07AED853" w14:textId="1A7B8922" w:rsidR="00784C78" w:rsidRDefault="00784C78"/>
    <w:tbl>
      <w:tblPr>
        <w:tblStyle w:val="TableGrid"/>
        <w:tblW w:w="0" w:type="auto"/>
        <w:tblLook w:val="04A0" w:firstRow="1" w:lastRow="0" w:firstColumn="1" w:lastColumn="0" w:noHBand="0" w:noVBand="1"/>
      </w:tblPr>
      <w:tblGrid>
        <w:gridCol w:w="9350"/>
      </w:tblGrid>
      <w:tr w:rsidR="0033157B" w:rsidRPr="004F5E10" w14:paraId="6818AED1" w14:textId="77777777" w:rsidTr="006E0344">
        <w:trPr>
          <w:trHeight w:val="395"/>
        </w:trPr>
        <w:tc>
          <w:tcPr>
            <w:tcW w:w="9350" w:type="dxa"/>
            <w:vAlign w:val="center"/>
          </w:tcPr>
          <w:p w14:paraId="56B13A5C" w14:textId="58979F0B" w:rsidR="0033157B" w:rsidRPr="004F5E10" w:rsidRDefault="0033157B" w:rsidP="006E0344">
            <w:pPr>
              <w:rPr>
                <w:rFonts w:cs="Arial"/>
                <w:b/>
              </w:rPr>
            </w:pPr>
            <w:r w:rsidRPr="004F5E10">
              <w:rPr>
                <w:rFonts w:cs="Arial"/>
                <w:b/>
              </w:rPr>
              <w:t xml:space="preserve">Source: </w:t>
            </w:r>
            <w:r w:rsidRPr="004F5E10">
              <w:rPr>
                <w:rFonts w:cs="Arial"/>
                <w:bCs/>
              </w:rPr>
              <w:t>The Society of Thoracic Surgeons (STS)</w:t>
            </w:r>
          </w:p>
        </w:tc>
      </w:tr>
      <w:tr w:rsidR="0033157B" w:rsidRPr="004F5E10" w14:paraId="309B18F3" w14:textId="77777777" w:rsidTr="006E0344">
        <w:trPr>
          <w:trHeight w:val="1772"/>
        </w:trPr>
        <w:tc>
          <w:tcPr>
            <w:tcW w:w="9350" w:type="dxa"/>
            <w:vAlign w:val="center"/>
          </w:tcPr>
          <w:p w14:paraId="6545E5A9" w14:textId="7ACBF822" w:rsidR="0033157B" w:rsidRPr="004F5E10" w:rsidRDefault="0033157B" w:rsidP="006E0344">
            <w:pPr>
              <w:rPr>
                <w:rFonts w:cs="Arial"/>
                <w:snapToGrid w:val="0"/>
                <w:color w:val="000000"/>
              </w:rPr>
            </w:pPr>
            <w:r w:rsidRPr="004F5E10">
              <w:rPr>
                <w:rFonts w:cs="Arial"/>
                <w:b/>
              </w:rPr>
              <w:t xml:space="preserve">Question </w:t>
            </w:r>
            <w:r w:rsidR="00D51874">
              <w:rPr>
                <w:rFonts w:cs="Arial"/>
                <w:b/>
              </w:rPr>
              <w:t>#</w:t>
            </w:r>
            <w:r w:rsidR="00F12158">
              <w:rPr>
                <w:rFonts w:cs="Arial"/>
                <w:b/>
              </w:rPr>
              <w:t>1</w:t>
            </w:r>
            <w:r w:rsidR="00F95A07">
              <w:rPr>
                <w:rFonts w:cs="Arial"/>
                <w:b/>
              </w:rPr>
              <w:t>0</w:t>
            </w:r>
            <w:r w:rsidRPr="004F5E10">
              <w:rPr>
                <w:rFonts w:cs="Arial"/>
                <w:b/>
              </w:rPr>
              <w:t xml:space="preserve">: </w:t>
            </w:r>
            <w:r w:rsidRPr="004F5E10">
              <w:rPr>
                <w:rFonts w:cs="Arial"/>
                <w:snapToGrid w:val="0"/>
                <w:color w:val="000000"/>
              </w:rPr>
              <w:t xml:space="preserve">Does your hospital participate in the </w:t>
            </w:r>
            <w:hyperlink r:id="rId233" w:history="1">
              <w:r w:rsidRPr="004F5E10">
                <w:rPr>
                  <w:rFonts w:cs="Arial"/>
                  <w:snapToGrid w:val="0"/>
                  <w:color w:val="0000FF"/>
                  <w:u w:val="single"/>
                </w:rPr>
                <w:t>Society of Thoracic Surgeons (STS)</w:t>
              </w:r>
            </w:hyperlink>
            <w:r w:rsidRPr="004F5E10">
              <w:rPr>
                <w:rFonts w:cs="Arial"/>
                <w:snapToGrid w:val="0"/>
                <w:color w:val="000000"/>
              </w:rPr>
              <w:t xml:space="preserve"> </w:t>
            </w:r>
            <w:r w:rsidRPr="009D5C89">
              <w:rPr>
                <w:rFonts w:cs="Arial"/>
                <w:snapToGrid w:val="0"/>
                <w:color w:val="000000"/>
              </w:rPr>
              <w:t>Congenital Heart Surgery Database (CHSD)</w:t>
            </w:r>
            <w:r>
              <w:rPr>
                <w:rFonts w:cs="Arial"/>
                <w:snapToGrid w:val="0"/>
                <w:color w:val="000000"/>
              </w:rPr>
              <w:t xml:space="preserve"> </w:t>
            </w:r>
            <w:r w:rsidRPr="004F5E10">
              <w:rPr>
                <w:rFonts w:cs="Arial"/>
                <w:snapToGrid w:val="0"/>
                <w:color w:val="000000"/>
              </w:rPr>
              <w:t xml:space="preserve">and did your hospital submit data for </w:t>
            </w:r>
            <w:r w:rsidR="002E2409">
              <w:rPr>
                <w:rFonts w:cs="Arial"/>
                <w:snapToGrid w:val="0"/>
                <w:color w:val="000000"/>
              </w:rPr>
              <w:t>the Norwood procedure</w:t>
            </w:r>
            <w:r w:rsidRPr="004F5E10">
              <w:rPr>
                <w:rFonts w:cs="Arial"/>
                <w:snapToGrid w:val="0"/>
                <w:color w:val="000000"/>
              </w:rPr>
              <w:t xml:space="preserve"> during the most recent </w:t>
            </w:r>
            <w:r>
              <w:rPr>
                <w:rFonts w:cs="Arial"/>
                <w:snapToGrid w:val="0"/>
                <w:color w:val="000000"/>
              </w:rPr>
              <w:t>48</w:t>
            </w:r>
            <w:r w:rsidRPr="004F5E10">
              <w:rPr>
                <w:rFonts w:cs="Arial"/>
                <w:snapToGrid w:val="0"/>
                <w:color w:val="000000"/>
              </w:rPr>
              <w:t>-month period for which performance reports are available?</w:t>
            </w:r>
          </w:p>
          <w:p w14:paraId="45887E14" w14:textId="77777777" w:rsidR="0033157B" w:rsidRPr="004F5E10" w:rsidRDefault="0033157B" w:rsidP="006E0344">
            <w:pPr>
              <w:rPr>
                <w:rFonts w:cs="Arial"/>
                <w:snapToGrid w:val="0"/>
                <w:color w:val="000000"/>
              </w:rPr>
            </w:pPr>
          </w:p>
          <w:p w14:paraId="2922A184" w14:textId="40C00B91" w:rsidR="0033157B" w:rsidRPr="00D51874" w:rsidRDefault="0033157B" w:rsidP="006E0344">
            <w:pPr>
              <w:rPr>
                <w:rFonts w:cs="Arial"/>
                <w:snapToGrid w:val="0"/>
                <w:color w:val="000000"/>
              </w:rPr>
            </w:pPr>
            <w:r w:rsidRPr="004F5E10">
              <w:rPr>
                <w:rFonts w:cs="Arial"/>
                <w:snapToGrid w:val="0"/>
                <w:color w:val="000000"/>
              </w:rPr>
              <w:t xml:space="preserve">Select “yes” if your hospital participates in the </w:t>
            </w:r>
            <w:hyperlink r:id="rId234" w:history="1">
              <w:r w:rsidRPr="004F5E10">
                <w:rPr>
                  <w:rFonts w:cs="Arial"/>
                  <w:snapToGrid w:val="0"/>
                  <w:color w:val="0000FF"/>
                  <w:u w:val="single"/>
                </w:rPr>
                <w:t>Society of Thoracic Surgeons (STS)</w:t>
              </w:r>
            </w:hyperlink>
            <w:r w:rsidRPr="004F5E10">
              <w:rPr>
                <w:rFonts w:cs="Arial"/>
                <w:snapToGrid w:val="0"/>
                <w:color w:val="000000"/>
              </w:rPr>
              <w:t xml:space="preserve"> </w:t>
            </w:r>
            <w:r w:rsidRPr="009D5C89">
              <w:rPr>
                <w:rFonts w:cs="Arial"/>
                <w:snapToGrid w:val="0"/>
                <w:color w:val="000000"/>
              </w:rPr>
              <w:t>Congenital Heart Surgery Database (CHSD)</w:t>
            </w:r>
            <w:r>
              <w:rPr>
                <w:rFonts w:cs="Arial"/>
                <w:snapToGrid w:val="0"/>
                <w:color w:val="000000"/>
              </w:rPr>
              <w:t xml:space="preserve"> </w:t>
            </w:r>
            <w:r w:rsidRPr="004F5E10">
              <w:rPr>
                <w:rFonts w:cs="Arial"/>
                <w:snapToGrid w:val="0"/>
                <w:color w:val="000000"/>
              </w:rPr>
              <w:t xml:space="preserve">and has submitted data for </w:t>
            </w:r>
            <w:r w:rsidR="002E2409">
              <w:rPr>
                <w:rFonts w:cs="Arial"/>
                <w:snapToGrid w:val="0"/>
                <w:color w:val="000000"/>
              </w:rPr>
              <w:t>the Norwood procedure</w:t>
            </w:r>
            <w:r w:rsidRPr="004F5E10">
              <w:rPr>
                <w:rFonts w:cs="Arial"/>
                <w:snapToGrid w:val="0"/>
                <w:color w:val="000000"/>
              </w:rPr>
              <w:t xml:space="preserve"> during the most recent </w:t>
            </w:r>
            <w:r>
              <w:rPr>
                <w:rFonts w:cs="Arial"/>
                <w:snapToGrid w:val="0"/>
                <w:color w:val="000000"/>
              </w:rPr>
              <w:t>48</w:t>
            </w:r>
            <w:r w:rsidRPr="004F5E10">
              <w:rPr>
                <w:rFonts w:cs="Arial"/>
                <w:snapToGrid w:val="0"/>
                <w:color w:val="000000"/>
              </w:rPr>
              <w:t>-month period.</w:t>
            </w:r>
          </w:p>
        </w:tc>
      </w:tr>
      <w:tr w:rsidR="0033157B" w:rsidRPr="004F5E10" w14:paraId="3166283D" w14:textId="77777777" w:rsidTr="006E0344">
        <w:trPr>
          <w:trHeight w:val="1322"/>
        </w:trPr>
        <w:tc>
          <w:tcPr>
            <w:tcW w:w="9350" w:type="dxa"/>
            <w:vAlign w:val="center"/>
          </w:tcPr>
          <w:p w14:paraId="4918ED81" w14:textId="2723D91D" w:rsidR="0033157B" w:rsidRPr="004F5E10" w:rsidRDefault="0033157B" w:rsidP="006E0344">
            <w:pPr>
              <w:rPr>
                <w:rFonts w:cs="Arial"/>
                <w:bCs/>
              </w:rPr>
            </w:pPr>
            <w:r w:rsidRPr="004F5E10">
              <w:rPr>
                <w:rFonts w:cs="Arial"/>
                <w:b/>
              </w:rPr>
              <w:t xml:space="preserve">Question </w:t>
            </w:r>
            <w:r w:rsidR="00D51874">
              <w:rPr>
                <w:rFonts w:cs="Arial"/>
                <w:b/>
              </w:rPr>
              <w:t>#</w:t>
            </w:r>
            <w:r>
              <w:rPr>
                <w:rFonts w:cs="Arial"/>
                <w:b/>
              </w:rPr>
              <w:t>1</w:t>
            </w:r>
            <w:r w:rsidR="00F95A07">
              <w:rPr>
                <w:rFonts w:cs="Arial"/>
                <w:b/>
              </w:rPr>
              <w:t>1</w:t>
            </w:r>
            <w:r w:rsidRPr="004F5E10">
              <w:rPr>
                <w:rFonts w:cs="Arial"/>
                <w:b/>
              </w:rPr>
              <w:t>:</w:t>
            </w:r>
            <w:r w:rsidRPr="004F5E10">
              <w:rPr>
                <w:rFonts w:cs="Arial"/>
                <w:bCs/>
              </w:rPr>
              <w:t xml:space="preserve"> What is the most recent </w:t>
            </w:r>
            <w:r>
              <w:rPr>
                <w:rFonts w:cs="Arial"/>
                <w:bCs/>
              </w:rPr>
              <w:t>48</w:t>
            </w:r>
            <w:r w:rsidRPr="004F5E10">
              <w:rPr>
                <w:rFonts w:cs="Arial"/>
                <w:bCs/>
              </w:rPr>
              <w:t>-month reporting period for which STS performance reports are available?</w:t>
            </w:r>
            <w:r>
              <w:rPr>
                <w:rFonts w:cs="Arial"/>
                <w:bCs/>
              </w:rPr>
              <w:t xml:space="preserve"> Reporting period ending:</w:t>
            </w:r>
          </w:p>
          <w:p w14:paraId="5C5C55CA" w14:textId="77777777" w:rsidR="0033157B" w:rsidRPr="004F5E10" w:rsidRDefault="0033157B" w:rsidP="006E0344">
            <w:pPr>
              <w:rPr>
                <w:rFonts w:cs="Arial"/>
                <w:bCs/>
              </w:rPr>
            </w:pPr>
          </w:p>
          <w:p w14:paraId="7A3A80A5" w14:textId="5E2E8138" w:rsidR="0033157B" w:rsidRPr="004F5E10" w:rsidRDefault="0033157B" w:rsidP="006E0344">
            <w:pPr>
              <w:rPr>
                <w:rFonts w:cs="Arial"/>
                <w:bCs/>
              </w:rPr>
            </w:pPr>
            <w:r w:rsidRPr="004F5E10">
              <w:rPr>
                <w:rFonts w:cs="Arial"/>
                <w:bCs/>
              </w:rPr>
              <w:t xml:space="preserve">Select the most recent </w:t>
            </w:r>
            <w:r>
              <w:rPr>
                <w:rFonts w:cs="Arial"/>
                <w:bCs/>
              </w:rPr>
              <w:t>48</w:t>
            </w:r>
            <w:r w:rsidRPr="004F5E10">
              <w:rPr>
                <w:rFonts w:cs="Arial"/>
                <w:bCs/>
              </w:rPr>
              <w:t xml:space="preserve">-month reporting period for which STS performance reports are available. The reporting period </w:t>
            </w:r>
            <w:r>
              <w:rPr>
                <w:rFonts w:cs="Arial"/>
                <w:bCs/>
              </w:rPr>
              <w:t xml:space="preserve">should appear at the top of your STS performance report. </w:t>
            </w:r>
          </w:p>
        </w:tc>
      </w:tr>
    </w:tbl>
    <w:p w14:paraId="503B5458" w14:textId="77777777" w:rsidR="00076D6E" w:rsidRPr="009A5185" w:rsidRDefault="00076D6E" w:rsidP="0057059D">
      <w:pPr>
        <w:rPr>
          <w:rFonts w:cs="Arial"/>
          <w:color w:val="000000"/>
        </w:rPr>
      </w:pPr>
    </w:p>
    <w:p w14:paraId="0F1F8B0A" w14:textId="6A25FC6E" w:rsidR="00835CA3" w:rsidRDefault="005E17F5" w:rsidP="0057059D">
      <w:pPr>
        <w:rPr>
          <w:rFonts w:cs="Arial"/>
          <w:color w:val="000000"/>
        </w:rPr>
      </w:pPr>
      <w:r w:rsidRPr="009A5185">
        <w:rPr>
          <w:rFonts w:cs="Arial"/>
          <w:color w:val="000000"/>
        </w:rPr>
        <w:t>See</w:t>
      </w:r>
      <w:r w:rsidR="006925CB">
        <w:rPr>
          <w:rFonts w:cs="Arial"/>
          <w:color w:val="000000"/>
        </w:rPr>
        <w:t xml:space="preserve"> </w:t>
      </w:r>
      <w:hyperlink w:anchor="_Adult_and_Pediatric" w:history="1">
        <w:r w:rsidR="006925CB">
          <w:rPr>
            <w:rStyle w:val="Hyperlink"/>
            <w:rFonts w:cs="Arial"/>
          </w:rPr>
          <w:t>FAQs</w:t>
        </w:r>
      </w:hyperlink>
      <w:r w:rsidRPr="009A5185">
        <w:rPr>
          <w:rFonts w:cs="Arial"/>
          <w:color w:val="000000"/>
        </w:rPr>
        <w:t xml:space="preserve"> for additional inf</w:t>
      </w:r>
      <w:r w:rsidR="007016BC" w:rsidRPr="009A5185">
        <w:rPr>
          <w:rFonts w:cs="Arial"/>
          <w:color w:val="000000"/>
        </w:rPr>
        <w:t>ormation about responding to</w:t>
      </w:r>
      <w:r w:rsidR="00512526">
        <w:rPr>
          <w:rFonts w:cs="Arial"/>
          <w:color w:val="000000"/>
        </w:rPr>
        <w:t xml:space="preserve"> the</w:t>
      </w:r>
      <w:r w:rsidR="007016BC" w:rsidRPr="009A5185">
        <w:rPr>
          <w:rFonts w:cs="Arial"/>
          <w:color w:val="000000"/>
        </w:rPr>
        <w:t xml:space="preserve"> questions in this section.</w:t>
      </w:r>
    </w:p>
    <w:p w14:paraId="4825B4A8" w14:textId="77777777" w:rsidR="00835CA3" w:rsidRDefault="00835CA3">
      <w:pPr>
        <w:rPr>
          <w:rFonts w:cs="Arial"/>
          <w:color w:val="000000"/>
        </w:rPr>
      </w:pPr>
      <w:r>
        <w:rPr>
          <w:rFonts w:cs="Arial"/>
          <w:color w:val="000000"/>
        </w:rPr>
        <w:br w:type="page"/>
      </w:r>
    </w:p>
    <w:p w14:paraId="69906972" w14:textId="768B253F" w:rsidR="00B62930" w:rsidRPr="00532DF4" w:rsidRDefault="00F848EB" w:rsidP="00532DF4">
      <w:pPr>
        <w:pStyle w:val="Heading44"/>
      </w:pPr>
      <w:bookmarkStart w:id="249" w:name="_Toc233710580"/>
      <w:bookmarkStart w:id="250" w:name="_Toc383775016"/>
      <w:bookmarkStart w:id="251" w:name="_Toc447195000"/>
      <w:bookmarkStart w:id="252" w:name="Carotid"/>
      <w:bookmarkStart w:id="253" w:name="MinVolSpecs"/>
      <w:r w:rsidRPr="00532DF4">
        <w:lastRenderedPageBreak/>
        <w:t>Carotid Endarterectomy</w:t>
      </w:r>
      <w:r w:rsidR="00B62930" w:rsidRPr="00532DF4">
        <w:t xml:space="preserve"> Measure </w:t>
      </w:r>
      <w:bookmarkEnd w:id="249"/>
      <w:bookmarkEnd w:id="250"/>
      <w:bookmarkEnd w:id="251"/>
      <w:bookmarkEnd w:id="252"/>
      <w:r w:rsidR="000765C6" w:rsidRPr="00532DF4">
        <w:t>Specifications</w:t>
      </w:r>
    </w:p>
    <w:p w14:paraId="642A2124" w14:textId="77777777" w:rsidR="00B62930" w:rsidRPr="009A5185" w:rsidRDefault="00B62930" w:rsidP="0057059D">
      <w:pPr>
        <w:rPr>
          <w:rFonts w:cs="Arial"/>
        </w:rPr>
      </w:pPr>
    </w:p>
    <w:p w14:paraId="3F463D0B" w14:textId="77777777" w:rsidR="00B62930" w:rsidRPr="009A5185" w:rsidRDefault="007D7468" w:rsidP="00B62930">
      <w:pPr>
        <w:rPr>
          <w:rFonts w:cs="Arial"/>
        </w:rPr>
      </w:pPr>
      <w:r w:rsidRPr="009A5185">
        <w:rPr>
          <w:rFonts w:cs="Arial"/>
        </w:rPr>
        <w:t xml:space="preserve">For </w:t>
      </w:r>
      <w:r w:rsidR="00A77AEC">
        <w:rPr>
          <w:rFonts w:cs="Arial"/>
        </w:rPr>
        <w:t>c</w:t>
      </w:r>
      <w:r w:rsidRPr="009A5185">
        <w:rPr>
          <w:rFonts w:cs="Arial"/>
        </w:rPr>
        <w:t>a</w:t>
      </w:r>
      <w:r w:rsidR="00A77AEC">
        <w:rPr>
          <w:rFonts w:cs="Arial"/>
        </w:rPr>
        <w:t>rotid e</w:t>
      </w:r>
      <w:r w:rsidRPr="009A5185">
        <w:rPr>
          <w:rFonts w:cs="Arial"/>
        </w:rPr>
        <w:t>ndarterectomy, there are two sets of ICD-10</w:t>
      </w:r>
      <w:r w:rsidR="00B62930" w:rsidRPr="009A5185">
        <w:rPr>
          <w:rFonts w:cs="Arial"/>
        </w:rPr>
        <w:t xml:space="preserve"> codes for counting patie</w:t>
      </w:r>
      <w:r w:rsidR="00B24E6B">
        <w:rPr>
          <w:rFonts w:cs="Arial"/>
        </w:rPr>
        <w:t>nt discharges</w:t>
      </w:r>
      <w:r w:rsidR="00B62930" w:rsidRPr="009A5185">
        <w:rPr>
          <w:rFonts w:cs="Arial"/>
        </w:rPr>
        <w:t xml:space="preserve">. The first set of codes is </w:t>
      </w:r>
      <w:r w:rsidRPr="009A5185">
        <w:rPr>
          <w:rFonts w:cs="Arial"/>
        </w:rPr>
        <w:t xml:space="preserve">to identify patients </w:t>
      </w:r>
      <w:r w:rsidR="00B62930" w:rsidRPr="009A5185">
        <w:rPr>
          <w:rFonts w:cs="Arial"/>
        </w:rPr>
        <w:t>who ha</w:t>
      </w:r>
      <w:r w:rsidRPr="009A5185">
        <w:rPr>
          <w:rFonts w:cs="Arial"/>
        </w:rPr>
        <w:t xml:space="preserve">ve had the procedure. </w:t>
      </w:r>
      <w:r w:rsidR="00D7330E" w:rsidRPr="009A5185">
        <w:rPr>
          <w:rFonts w:cs="Arial"/>
        </w:rPr>
        <w:t xml:space="preserve">The second set of codes </w:t>
      </w:r>
      <w:r w:rsidR="00B62930" w:rsidRPr="009A5185">
        <w:rPr>
          <w:rFonts w:cs="Arial"/>
        </w:rPr>
        <w:t xml:space="preserve">is </w:t>
      </w:r>
      <w:r w:rsidRPr="009A5185">
        <w:rPr>
          <w:rFonts w:cs="Arial"/>
        </w:rPr>
        <w:t>to identify patient</w:t>
      </w:r>
      <w:r w:rsidR="009B3ACE" w:rsidRPr="009A5185">
        <w:rPr>
          <w:rFonts w:cs="Arial"/>
        </w:rPr>
        <w:t>s</w:t>
      </w:r>
      <w:r w:rsidRPr="009A5185">
        <w:rPr>
          <w:rFonts w:cs="Arial"/>
        </w:rPr>
        <w:t xml:space="preserve"> with a specific diagnosis.</w:t>
      </w:r>
    </w:p>
    <w:p w14:paraId="04A0961B" w14:textId="77777777" w:rsidR="00B62930" w:rsidRPr="009A5185" w:rsidRDefault="00B62930" w:rsidP="00B62930">
      <w:pPr>
        <w:rPr>
          <w:rFonts w:cs="Arial"/>
        </w:rPr>
      </w:pPr>
    </w:p>
    <w:p w14:paraId="1FAB4BBF" w14:textId="77777777" w:rsidR="00B62930" w:rsidRDefault="00B24E6B" w:rsidP="00B62930">
      <w:pPr>
        <w:rPr>
          <w:rFonts w:cs="Arial"/>
        </w:rPr>
      </w:pPr>
      <w:r>
        <w:rPr>
          <w:rFonts w:cs="Arial"/>
        </w:rPr>
        <w:t>Count the n</w:t>
      </w:r>
      <w:r w:rsidR="00B62930" w:rsidRPr="009A5185">
        <w:rPr>
          <w:rFonts w:cs="Arial"/>
        </w:rPr>
        <w:t>umber of patients, age</w:t>
      </w:r>
      <w:r w:rsidR="00505834">
        <w:rPr>
          <w:rFonts w:cs="Arial"/>
        </w:rPr>
        <w:t>s</w:t>
      </w:r>
      <w:r w:rsidR="00B62930" w:rsidRPr="009A5185">
        <w:rPr>
          <w:rFonts w:cs="Arial"/>
        </w:rPr>
        <w:t xml:space="preserve"> 18 years and older, discharged with the following </w:t>
      </w:r>
      <w:r w:rsidR="00126158" w:rsidRPr="009A5185">
        <w:rPr>
          <w:rFonts w:cs="Arial"/>
        </w:rPr>
        <w:t>ICD-10</w:t>
      </w:r>
      <w:r w:rsidR="00B62930" w:rsidRPr="009A5185">
        <w:rPr>
          <w:rFonts w:cs="Arial"/>
        </w:rPr>
        <w:t xml:space="preserve"> codes </w:t>
      </w:r>
      <w:r w:rsidR="00126158" w:rsidRPr="009A5185">
        <w:rPr>
          <w:rFonts w:cs="Arial"/>
        </w:rPr>
        <w:t xml:space="preserve">in any procedure field </w:t>
      </w:r>
      <w:r w:rsidR="00126158" w:rsidRPr="006904F9">
        <w:rPr>
          <w:rFonts w:cs="Arial"/>
          <w:b/>
          <w:bCs/>
        </w:rPr>
        <w:t>AND</w:t>
      </w:r>
      <w:r w:rsidR="00126158" w:rsidRPr="009A5185">
        <w:rPr>
          <w:rFonts w:cs="Arial"/>
        </w:rPr>
        <w:t xml:space="preserve"> any of the follo</w:t>
      </w:r>
      <w:r w:rsidR="00FD3A55" w:rsidRPr="009A5185">
        <w:rPr>
          <w:rFonts w:cs="Arial"/>
        </w:rPr>
        <w:t>wing ICD-10 codes in any</w:t>
      </w:r>
      <w:r w:rsidR="00126158" w:rsidRPr="009A5185">
        <w:rPr>
          <w:rFonts w:cs="Arial"/>
        </w:rPr>
        <w:t xml:space="preserve"> diagnosis field</w:t>
      </w:r>
      <w:r w:rsidR="00BF2BFF" w:rsidRPr="009A5185">
        <w:rPr>
          <w:rFonts w:cs="Arial"/>
        </w:rPr>
        <w:t>.</w:t>
      </w:r>
    </w:p>
    <w:p w14:paraId="0985B23C" w14:textId="77777777" w:rsidR="00132607" w:rsidRDefault="00132607" w:rsidP="00B62930">
      <w:pPr>
        <w:rPr>
          <w:rFonts w:cs="Arial"/>
        </w:rPr>
      </w:pPr>
    </w:p>
    <w:p w14:paraId="69136516" w14:textId="77777777" w:rsidR="00CE614D" w:rsidRPr="0004317D" w:rsidRDefault="00CE614D" w:rsidP="00CE614D">
      <w:pPr>
        <w:rPr>
          <w:rFonts w:cs="Arial"/>
          <w:b/>
        </w:rPr>
      </w:pPr>
      <w:r w:rsidRPr="0004317D">
        <w:rPr>
          <w:rFonts w:cs="Arial"/>
          <w:b/>
        </w:rPr>
        <w:t xml:space="preserve">ICD-10 Carotid Endarterectomy Procedure Codes </w:t>
      </w:r>
    </w:p>
    <w:p w14:paraId="2819ED29" w14:textId="77777777" w:rsidR="00CE614D" w:rsidRPr="0004317D" w:rsidRDefault="00CE614D" w:rsidP="00CE614D">
      <w:pPr>
        <w:rPr>
          <w:rFonts w:cs="Arial"/>
          <w:b/>
        </w:rPr>
      </w:pPr>
    </w:p>
    <w:tbl>
      <w:tblPr>
        <w:tblStyle w:val="TableGrid"/>
        <w:tblW w:w="9432" w:type="dxa"/>
        <w:tblLook w:val="04A0" w:firstRow="1" w:lastRow="0" w:firstColumn="1" w:lastColumn="0" w:noHBand="0" w:noVBand="1"/>
      </w:tblPr>
      <w:tblGrid>
        <w:gridCol w:w="1872"/>
        <w:gridCol w:w="7560"/>
      </w:tblGrid>
      <w:tr w:rsidR="00CE614D" w:rsidRPr="0004317D" w14:paraId="32E93230" w14:textId="77777777" w:rsidTr="00696E8F">
        <w:trPr>
          <w:trHeight w:val="432"/>
          <w:tblHeader/>
        </w:trPr>
        <w:tc>
          <w:tcPr>
            <w:tcW w:w="1872" w:type="dxa"/>
            <w:shd w:val="clear" w:color="auto" w:fill="A6A6A6" w:themeFill="background1" w:themeFillShade="A6"/>
            <w:vAlign w:val="center"/>
            <w:hideMark/>
          </w:tcPr>
          <w:p w14:paraId="05AC1484" w14:textId="77777777" w:rsidR="00CE614D" w:rsidRPr="0004317D" w:rsidRDefault="00CE614D" w:rsidP="00696E8F">
            <w:pPr>
              <w:rPr>
                <w:rFonts w:cs="Arial"/>
                <w:b/>
                <w:bCs/>
                <w:color w:val="000000"/>
              </w:rPr>
            </w:pPr>
            <w:r w:rsidRPr="0004317D">
              <w:rPr>
                <w:rFonts w:cs="Arial"/>
                <w:b/>
                <w:bCs/>
                <w:color w:val="000000"/>
              </w:rPr>
              <w:t>ICD-10 Procedure Code</w:t>
            </w:r>
          </w:p>
        </w:tc>
        <w:tc>
          <w:tcPr>
            <w:tcW w:w="7560" w:type="dxa"/>
            <w:shd w:val="clear" w:color="auto" w:fill="A6A6A6" w:themeFill="background1" w:themeFillShade="A6"/>
            <w:vAlign w:val="center"/>
            <w:hideMark/>
          </w:tcPr>
          <w:p w14:paraId="359BBE88" w14:textId="77777777" w:rsidR="00CE614D" w:rsidRPr="0004317D" w:rsidRDefault="00CE614D" w:rsidP="00696E8F">
            <w:pPr>
              <w:rPr>
                <w:rFonts w:cs="Arial"/>
                <w:b/>
                <w:bCs/>
                <w:color w:val="000000"/>
              </w:rPr>
            </w:pPr>
            <w:r w:rsidRPr="0004317D">
              <w:rPr>
                <w:rFonts w:cs="Arial"/>
                <w:b/>
                <w:bCs/>
                <w:color w:val="000000"/>
              </w:rPr>
              <w:t>Code Description</w:t>
            </w:r>
          </w:p>
        </w:tc>
      </w:tr>
      <w:tr w:rsidR="00CE614D" w:rsidRPr="00EC5F7F" w14:paraId="200DB85B" w14:textId="77777777" w:rsidTr="00696E8F">
        <w:trPr>
          <w:trHeight w:val="300"/>
        </w:trPr>
        <w:tc>
          <w:tcPr>
            <w:tcW w:w="1872" w:type="dxa"/>
            <w:noWrap/>
            <w:vAlign w:val="center"/>
            <w:hideMark/>
          </w:tcPr>
          <w:p w14:paraId="0519D2F8" w14:textId="77777777" w:rsidR="00CE614D" w:rsidRPr="00EC5F7F" w:rsidRDefault="00CE614D" w:rsidP="00696E8F">
            <w:pPr>
              <w:rPr>
                <w:rFonts w:cs="Arial"/>
                <w:color w:val="000000"/>
              </w:rPr>
            </w:pPr>
            <w:r w:rsidRPr="00EC5F7F">
              <w:rPr>
                <w:rFonts w:cs="Arial"/>
                <w:color w:val="000000"/>
              </w:rPr>
              <w:t>03CH0ZZ</w:t>
            </w:r>
          </w:p>
        </w:tc>
        <w:tc>
          <w:tcPr>
            <w:tcW w:w="7560" w:type="dxa"/>
            <w:noWrap/>
            <w:vAlign w:val="center"/>
            <w:hideMark/>
          </w:tcPr>
          <w:p w14:paraId="4ABF1822" w14:textId="77777777" w:rsidR="00CE614D" w:rsidRPr="00EC5F7F" w:rsidRDefault="00CE614D" w:rsidP="00696E8F">
            <w:pPr>
              <w:rPr>
                <w:rFonts w:cs="Arial"/>
                <w:color w:val="000000"/>
              </w:rPr>
            </w:pPr>
            <w:r w:rsidRPr="00EC5F7F">
              <w:rPr>
                <w:rFonts w:cs="Arial"/>
                <w:color w:val="000000"/>
              </w:rPr>
              <w:t>Extirpation of Matter from Right Common Carotid Artery, Open Approach</w:t>
            </w:r>
          </w:p>
        </w:tc>
      </w:tr>
      <w:tr w:rsidR="00CE614D" w:rsidRPr="00EC5F7F" w14:paraId="2B7DBE1E" w14:textId="77777777" w:rsidTr="00696E8F">
        <w:trPr>
          <w:trHeight w:val="300"/>
        </w:trPr>
        <w:tc>
          <w:tcPr>
            <w:tcW w:w="1872" w:type="dxa"/>
            <w:noWrap/>
            <w:vAlign w:val="center"/>
            <w:hideMark/>
          </w:tcPr>
          <w:p w14:paraId="2654F885" w14:textId="77777777" w:rsidR="00CE614D" w:rsidRPr="00EC5F7F" w:rsidRDefault="00CE614D" w:rsidP="00696E8F">
            <w:pPr>
              <w:rPr>
                <w:rFonts w:cs="Arial"/>
                <w:color w:val="000000"/>
              </w:rPr>
            </w:pPr>
            <w:r w:rsidRPr="00EC5F7F">
              <w:rPr>
                <w:rFonts w:cs="Arial"/>
                <w:color w:val="000000"/>
              </w:rPr>
              <w:t>03CJ0ZZ</w:t>
            </w:r>
          </w:p>
        </w:tc>
        <w:tc>
          <w:tcPr>
            <w:tcW w:w="7560" w:type="dxa"/>
            <w:noWrap/>
            <w:vAlign w:val="center"/>
            <w:hideMark/>
          </w:tcPr>
          <w:p w14:paraId="24CEC58F" w14:textId="77777777" w:rsidR="00CE614D" w:rsidRPr="00EC5F7F" w:rsidRDefault="00CE614D" w:rsidP="00696E8F">
            <w:pPr>
              <w:rPr>
                <w:rFonts w:cs="Arial"/>
                <w:color w:val="000000"/>
              </w:rPr>
            </w:pPr>
            <w:r w:rsidRPr="00EC5F7F">
              <w:rPr>
                <w:rFonts w:cs="Arial"/>
                <w:color w:val="000000"/>
              </w:rPr>
              <w:t>Extirpation of Matter from Left Common Carotid Artery, Open Approach</w:t>
            </w:r>
          </w:p>
        </w:tc>
      </w:tr>
      <w:tr w:rsidR="00CE614D" w:rsidRPr="00EC5F7F" w14:paraId="1B581D23" w14:textId="77777777" w:rsidTr="00696E8F">
        <w:trPr>
          <w:trHeight w:val="300"/>
        </w:trPr>
        <w:tc>
          <w:tcPr>
            <w:tcW w:w="1872" w:type="dxa"/>
            <w:noWrap/>
            <w:vAlign w:val="center"/>
            <w:hideMark/>
          </w:tcPr>
          <w:p w14:paraId="7AE0123F" w14:textId="77777777" w:rsidR="00CE614D" w:rsidRPr="00EC5F7F" w:rsidRDefault="00CE614D" w:rsidP="00696E8F">
            <w:pPr>
              <w:rPr>
                <w:rFonts w:cs="Arial"/>
                <w:color w:val="000000"/>
              </w:rPr>
            </w:pPr>
            <w:r w:rsidRPr="00EC5F7F">
              <w:rPr>
                <w:rFonts w:cs="Arial"/>
                <w:color w:val="000000"/>
              </w:rPr>
              <w:t>03CK0ZZ</w:t>
            </w:r>
          </w:p>
        </w:tc>
        <w:tc>
          <w:tcPr>
            <w:tcW w:w="7560" w:type="dxa"/>
            <w:noWrap/>
            <w:vAlign w:val="center"/>
            <w:hideMark/>
          </w:tcPr>
          <w:p w14:paraId="0128F553" w14:textId="77777777" w:rsidR="00CE614D" w:rsidRPr="00EC5F7F" w:rsidRDefault="00CE614D" w:rsidP="00696E8F">
            <w:pPr>
              <w:rPr>
                <w:rFonts w:cs="Arial"/>
                <w:color w:val="000000"/>
              </w:rPr>
            </w:pPr>
            <w:r w:rsidRPr="00EC5F7F">
              <w:rPr>
                <w:rFonts w:cs="Arial"/>
                <w:color w:val="000000"/>
              </w:rPr>
              <w:t>Extirpation of Matter from Right Internal Carotid Artery, Open Approach</w:t>
            </w:r>
          </w:p>
        </w:tc>
      </w:tr>
      <w:tr w:rsidR="00CE614D" w:rsidRPr="00EC5F7F" w14:paraId="77094ACA" w14:textId="77777777" w:rsidTr="00696E8F">
        <w:trPr>
          <w:trHeight w:val="300"/>
        </w:trPr>
        <w:tc>
          <w:tcPr>
            <w:tcW w:w="1872" w:type="dxa"/>
            <w:noWrap/>
            <w:vAlign w:val="center"/>
            <w:hideMark/>
          </w:tcPr>
          <w:p w14:paraId="6F0B5A6B" w14:textId="77777777" w:rsidR="00CE614D" w:rsidRPr="00EC5F7F" w:rsidRDefault="00CE614D" w:rsidP="00696E8F">
            <w:pPr>
              <w:rPr>
                <w:rFonts w:cs="Arial"/>
                <w:color w:val="000000"/>
              </w:rPr>
            </w:pPr>
            <w:r w:rsidRPr="00EC5F7F">
              <w:rPr>
                <w:rFonts w:cs="Arial"/>
                <w:color w:val="000000"/>
              </w:rPr>
              <w:t>03CL0ZZ</w:t>
            </w:r>
          </w:p>
        </w:tc>
        <w:tc>
          <w:tcPr>
            <w:tcW w:w="7560" w:type="dxa"/>
            <w:noWrap/>
            <w:vAlign w:val="center"/>
            <w:hideMark/>
          </w:tcPr>
          <w:p w14:paraId="21989E9A" w14:textId="77777777" w:rsidR="00CE614D" w:rsidRPr="00EC5F7F" w:rsidRDefault="00CE614D" w:rsidP="00696E8F">
            <w:pPr>
              <w:rPr>
                <w:rFonts w:cs="Arial"/>
                <w:color w:val="000000"/>
              </w:rPr>
            </w:pPr>
            <w:r w:rsidRPr="00EC5F7F">
              <w:rPr>
                <w:rFonts w:cs="Arial"/>
                <w:color w:val="000000"/>
              </w:rPr>
              <w:t>Extirpation of Matter from Left Internal Carotid Artery, Open Approach</w:t>
            </w:r>
          </w:p>
        </w:tc>
      </w:tr>
      <w:tr w:rsidR="00CE614D" w:rsidRPr="00EC5F7F" w14:paraId="4B50F6DC" w14:textId="77777777" w:rsidTr="00696E8F">
        <w:trPr>
          <w:trHeight w:val="300"/>
        </w:trPr>
        <w:tc>
          <w:tcPr>
            <w:tcW w:w="1872" w:type="dxa"/>
            <w:noWrap/>
            <w:vAlign w:val="center"/>
            <w:hideMark/>
          </w:tcPr>
          <w:p w14:paraId="066F7473" w14:textId="77777777" w:rsidR="00CE614D" w:rsidRPr="00EC5F7F" w:rsidRDefault="00CE614D" w:rsidP="00696E8F">
            <w:pPr>
              <w:rPr>
                <w:rFonts w:cs="Arial"/>
                <w:color w:val="000000"/>
              </w:rPr>
            </w:pPr>
            <w:r w:rsidRPr="00EC5F7F">
              <w:rPr>
                <w:rFonts w:cs="Arial"/>
                <w:color w:val="000000"/>
              </w:rPr>
              <w:t>03CM0ZZ</w:t>
            </w:r>
          </w:p>
        </w:tc>
        <w:tc>
          <w:tcPr>
            <w:tcW w:w="7560" w:type="dxa"/>
            <w:noWrap/>
            <w:vAlign w:val="center"/>
            <w:hideMark/>
          </w:tcPr>
          <w:p w14:paraId="7CD32575" w14:textId="77777777" w:rsidR="00CE614D" w:rsidRPr="00EC5F7F" w:rsidRDefault="00CE614D" w:rsidP="00696E8F">
            <w:pPr>
              <w:rPr>
                <w:rFonts w:cs="Arial"/>
                <w:color w:val="000000"/>
              </w:rPr>
            </w:pPr>
            <w:r w:rsidRPr="00EC5F7F">
              <w:rPr>
                <w:rFonts w:cs="Arial"/>
                <w:color w:val="000000"/>
              </w:rPr>
              <w:t>Extirpation of Matter from Right External Carotid Artery, Open Approach</w:t>
            </w:r>
          </w:p>
        </w:tc>
      </w:tr>
      <w:tr w:rsidR="00CE614D" w:rsidRPr="00EC5F7F" w14:paraId="4BF937F5" w14:textId="77777777" w:rsidTr="00696E8F">
        <w:trPr>
          <w:trHeight w:val="300"/>
        </w:trPr>
        <w:tc>
          <w:tcPr>
            <w:tcW w:w="1872" w:type="dxa"/>
            <w:noWrap/>
            <w:vAlign w:val="center"/>
            <w:hideMark/>
          </w:tcPr>
          <w:p w14:paraId="427456A6" w14:textId="77777777" w:rsidR="00CE614D" w:rsidRPr="00EC5F7F" w:rsidRDefault="00CE614D" w:rsidP="00696E8F">
            <w:pPr>
              <w:rPr>
                <w:rFonts w:cs="Arial"/>
                <w:color w:val="000000"/>
              </w:rPr>
            </w:pPr>
            <w:r w:rsidRPr="00EC5F7F">
              <w:rPr>
                <w:rFonts w:cs="Arial"/>
                <w:color w:val="000000"/>
              </w:rPr>
              <w:t>03CN0ZZ</w:t>
            </w:r>
          </w:p>
        </w:tc>
        <w:tc>
          <w:tcPr>
            <w:tcW w:w="7560" w:type="dxa"/>
            <w:noWrap/>
            <w:vAlign w:val="center"/>
            <w:hideMark/>
          </w:tcPr>
          <w:p w14:paraId="042CF680" w14:textId="77777777" w:rsidR="00CE614D" w:rsidRPr="00EC5F7F" w:rsidRDefault="00CE614D" w:rsidP="00696E8F">
            <w:pPr>
              <w:rPr>
                <w:rFonts w:cs="Arial"/>
                <w:color w:val="000000"/>
              </w:rPr>
            </w:pPr>
            <w:r w:rsidRPr="00EC5F7F">
              <w:rPr>
                <w:rFonts w:cs="Arial"/>
                <w:color w:val="000000"/>
              </w:rPr>
              <w:t>Extirpation of Matter from Left External Carotid Artery, Open Approach</w:t>
            </w:r>
          </w:p>
        </w:tc>
      </w:tr>
    </w:tbl>
    <w:p w14:paraId="32E49955" w14:textId="77777777" w:rsidR="00D64B08" w:rsidRPr="0004317D" w:rsidRDefault="00D64B08" w:rsidP="00CE614D">
      <w:pPr>
        <w:rPr>
          <w:rFonts w:cs="Arial"/>
          <w:b/>
        </w:rPr>
      </w:pPr>
    </w:p>
    <w:p w14:paraId="06DB17DE" w14:textId="77777777" w:rsidR="00CE614D" w:rsidRPr="0004317D" w:rsidRDefault="00CE614D" w:rsidP="00CE614D">
      <w:pPr>
        <w:rPr>
          <w:rFonts w:cs="Arial"/>
          <w:b/>
        </w:rPr>
      </w:pPr>
      <w:r w:rsidRPr="0004317D">
        <w:rPr>
          <w:rFonts w:cs="Arial"/>
          <w:b/>
        </w:rPr>
        <w:t>ICD-10 Occlusion and Stenosis and Cerebral Infarction Diagnosis Codes</w:t>
      </w:r>
    </w:p>
    <w:p w14:paraId="1E2F45CA" w14:textId="77777777" w:rsidR="00CE614D" w:rsidRPr="0004317D" w:rsidRDefault="00CE614D" w:rsidP="00CE614D">
      <w:pPr>
        <w:rPr>
          <w:rFonts w:cs="Arial"/>
          <w:b/>
        </w:rPr>
      </w:pPr>
    </w:p>
    <w:tbl>
      <w:tblPr>
        <w:tblStyle w:val="TableGrid"/>
        <w:tblW w:w="9432" w:type="dxa"/>
        <w:tblLook w:val="04A0" w:firstRow="1" w:lastRow="0" w:firstColumn="1" w:lastColumn="0" w:noHBand="0" w:noVBand="1"/>
      </w:tblPr>
      <w:tblGrid>
        <w:gridCol w:w="1172"/>
        <w:gridCol w:w="8267"/>
      </w:tblGrid>
      <w:tr w:rsidR="00CE614D" w:rsidRPr="0004317D" w14:paraId="1E5B1723" w14:textId="77777777" w:rsidTr="002C718A">
        <w:trPr>
          <w:trHeight w:val="432"/>
          <w:tblHeader/>
        </w:trPr>
        <w:tc>
          <w:tcPr>
            <w:tcW w:w="1165" w:type="dxa"/>
            <w:shd w:val="clear" w:color="auto" w:fill="A6A6A6" w:themeFill="background1" w:themeFillShade="A6"/>
            <w:noWrap/>
            <w:vAlign w:val="center"/>
          </w:tcPr>
          <w:p w14:paraId="16951B52" w14:textId="77777777" w:rsidR="00CE614D" w:rsidRPr="00A77AEC" w:rsidRDefault="00CE614D" w:rsidP="00696E8F">
            <w:pPr>
              <w:rPr>
                <w:rFonts w:cs="Arial"/>
                <w:color w:val="000000"/>
              </w:rPr>
            </w:pPr>
            <w:r w:rsidRPr="00A77AEC">
              <w:rPr>
                <w:rFonts w:cs="Arial"/>
                <w:b/>
                <w:bCs/>
                <w:color w:val="000000"/>
              </w:rPr>
              <w:t>ICD-10 Diagnosis Code</w:t>
            </w:r>
          </w:p>
        </w:tc>
        <w:tc>
          <w:tcPr>
            <w:tcW w:w="8267" w:type="dxa"/>
            <w:shd w:val="clear" w:color="auto" w:fill="A6A6A6" w:themeFill="background1" w:themeFillShade="A6"/>
            <w:noWrap/>
            <w:vAlign w:val="center"/>
          </w:tcPr>
          <w:p w14:paraId="7145D075" w14:textId="77777777" w:rsidR="00CE614D" w:rsidRPr="00A77AEC" w:rsidRDefault="00CE614D" w:rsidP="00696E8F">
            <w:pPr>
              <w:rPr>
                <w:rFonts w:cs="Arial"/>
                <w:color w:val="000000"/>
              </w:rPr>
            </w:pPr>
            <w:r w:rsidRPr="00A77AEC">
              <w:rPr>
                <w:rFonts w:cs="Arial"/>
                <w:b/>
              </w:rPr>
              <w:t>Code Description</w:t>
            </w:r>
          </w:p>
        </w:tc>
      </w:tr>
      <w:tr w:rsidR="00CE614D" w:rsidRPr="00A25DE1" w14:paraId="09BB5EAA" w14:textId="77777777" w:rsidTr="002C718A">
        <w:trPr>
          <w:trHeight w:val="300"/>
        </w:trPr>
        <w:tc>
          <w:tcPr>
            <w:tcW w:w="1165" w:type="dxa"/>
            <w:noWrap/>
            <w:vAlign w:val="center"/>
            <w:hideMark/>
          </w:tcPr>
          <w:p w14:paraId="27934C4B" w14:textId="77777777" w:rsidR="00CE614D" w:rsidRPr="00A77AEC" w:rsidRDefault="00CE614D" w:rsidP="00696E8F">
            <w:pPr>
              <w:rPr>
                <w:rFonts w:cs="Arial"/>
                <w:color w:val="000000"/>
              </w:rPr>
            </w:pPr>
            <w:r w:rsidRPr="00A77AEC">
              <w:rPr>
                <w:rFonts w:cs="Arial"/>
                <w:color w:val="000000"/>
              </w:rPr>
              <w:t>I63.031</w:t>
            </w:r>
          </w:p>
        </w:tc>
        <w:tc>
          <w:tcPr>
            <w:tcW w:w="8267" w:type="dxa"/>
            <w:noWrap/>
            <w:vAlign w:val="center"/>
            <w:hideMark/>
          </w:tcPr>
          <w:p w14:paraId="58E2A406" w14:textId="77777777" w:rsidR="00CE614D" w:rsidRPr="00A77AEC" w:rsidRDefault="00CE614D" w:rsidP="00696E8F">
            <w:pPr>
              <w:rPr>
                <w:rFonts w:cs="Arial"/>
                <w:color w:val="000000"/>
              </w:rPr>
            </w:pPr>
            <w:r w:rsidRPr="00A77AEC">
              <w:rPr>
                <w:rFonts w:cs="Arial"/>
                <w:color w:val="000000"/>
              </w:rPr>
              <w:t>Cerebral infarction due to thrombosis of right carotid artery</w:t>
            </w:r>
          </w:p>
        </w:tc>
      </w:tr>
      <w:tr w:rsidR="00CE614D" w:rsidRPr="00A25DE1" w14:paraId="30ED4491" w14:textId="77777777" w:rsidTr="002C718A">
        <w:trPr>
          <w:trHeight w:val="300"/>
        </w:trPr>
        <w:tc>
          <w:tcPr>
            <w:tcW w:w="1165" w:type="dxa"/>
            <w:noWrap/>
            <w:vAlign w:val="center"/>
            <w:hideMark/>
          </w:tcPr>
          <w:p w14:paraId="742B431F" w14:textId="77777777" w:rsidR="00CE614D" w:rsidRPr="00A77AEC" w:rsidRDefault="00CE614D" w:rsidP="00696E8F">
            <w:pPr>
              <w:rPr>
                <w:rFonts w:cs="Arial"/>
                <w:color w:val="000000"/>
              </w:rPr>
            </w:pPr>
            <w:r w:rsidRPr="00A77AEC">
              <w:rPr>
                <w:rFonts w:cs="Arial"/>
                <w:color w:val="000000"/>
              </w:rPr>
              <w:t>I63.032</w:t>
            </w:r>
          </w:p>
        </w:tc>
        <w:tc>
          <w:tcPr>
            <w:tcW w:w="8267" w:type="dxa"/>
            <w:noWrap/>
            <w:vAlign w:val="center"/>
            <w:hideMark/>
          </w:tcPr>
          <w:p w14:paraId="3ABAF246" w14:textId="77777777" w:rsidR="00CE614D" w:rsidRPr="00A77AEC" w:rsidRDefault="00CE614D" w:rsidP="00696E8F">
            <w:pPr>
              <w:rPr>
                <w:rFonts w:cs="Arial"/>
                <w:color w:val="000000"/>
              </w:rPr>
            </w:pPr>
            <w:r w:rsidRPr="00A77AEC">
              <w:rPr>
                <w:rFonts w:cs="Arial"/>
                <w:color w:val="000000"/>
              </w:rPr>
              <w:t>Cerebral infarction due to thrombosis of left carotid artery</w:t>
            </w:r>
          </w:p>
        </w:tc>
      </w:tr>
      <w:tr w:rsidR="00CE614D" w:rsidRPr="00A25DE1" w14:paraId="3ECA32DF" w14:textId="77777777" w:rsidTr="002C718A">
        <w:trPr>
          <w:trHeight w:val="300"/>
        </w:trPr>
        <w:tc>
          <w:tcPr>
            <w:tcW w:w="1165" w:type="dxa"/>
            <w:noWrap/>
            <w:vAlign w:val="center"/>
            <w:hideMark/>
          </w:tcPr>
          <w:p w14:paraId="196C400D" w14:textId="77777777" w:rsidR="00CE614D" w:rsidRPr="00A77AEC" w:rsidRDefault="00CE614D" w:rsidP="00696E8F">
            <w:pPr>
              <w:rPr>
                <w:rFonts w:cs="Arial"/>
                <w:color w:val="000000"/>
              </w:rPr>
            </w:pPr>
            <w:r w:rsidRPr="00A77AEC">
              <w:rPr>
                <w:rFonts w:cs="Arial"/>
                <w:color w:val="000000"/>
              </w:rPr>
              <w:t>I63.033</w:t>
            </w:r>
          </w:p>
        </w:tc>
        <w:tc>
          <w:tcPr>
            <w:tcW w:w="8267" w:type="dxa"/>
            <w:noWrap/>
            <w:vAlign w:val="center"/>
            <w:hideMark/>
          </w:tcPr>
          <w:p w14:paraId="68E1F03D" w14:textId="77777777" w:rsidR="00CE614D" w:rsidRPr="00A77AEC" w:rsidRDefault="00CE614D" w:rsidP="00696E8F">
            <w:pPr>
              <w:rPr>
                <w:rFonts w:cs="Arial"/>
                <w:color w:val="000000"/>
              </w:rPr>
            </w:pPr>
            <w:r w:rsidRPr="00A77AEC">
              <w:rPr>
                <w:rFonts w:cs="Arial"/>
                <w:color w:val="000000"/>
              </w:rPr>
              <w:t>Cerebral infarction due to thrombosis of bilateral carotid arteries</w:t>
            </w:r>
          </w:p>
        </w:tc>
      </w:tr>
      <w:tr w:rsidR="00CE614D" w:rsidRPr="00A25DE1" w14:paraId="44707EEE" w14:textId="77777777" w:rsidTr="002C718A">
        <w:trPr>
          <w:trHeight w:val="300"/>
        </w:trPr>
        <w:tc>
          <w:tcPr>
            <w:tcW w:w="1165" w:type="dxa"/>
            <w:noWrap/>
            <w:vAlign w:val="center"/>
            <w:hideMark/>
          </w:tcPr>
          <w:p w14:paraId="6E0E5F43" w14:textId="77777777" w:rsidR="00CE614D" w:rsidRPr="00A77AEC" w:rsidRDefault="00CE614D" w:rsidP="00696E8F">
            <w:pPr>
              <w:rPr>
                <w:rFonts w:cs="Arial"/>
                <w:color w:val="000000"/>
              </w:rPr>
            </w:pPr>
            <w:r w:rsidRPr="00A77AEC">
              <w:rPr>
                <w:rFonts w:cs="Arial"/>
                <w:color w:val="000000"/>
              </w:rPr>
              <w:t>I63.039</w:t>
            </w:r>
          </w:p>
        </w:tc>
        <w:tc>
          <w:tcPr>
            <w:tcW w:w="8267" w:type="dxa"/>
            <w:noWrap/>
            <w:vAlign w:val="center"/>
            <w:hideMark/>
          </w:tcPr>
          <w:p w14:paraId="38698DC5" w14:textId="77777777" w:rsidR="00CE614D" w:rsidRPr="00A77AEC" w:rsidRDefault="00CE614D" w:rsidP="00696E8F">
            <w:pPr>
              <w:rPr>
                <w:rFonts w:cs="Arial"/>
                <w:color w:val="000000"/>
              </w:rPr>
            </w:pPr>
            <w:r w:rsidRPr="00A77AEC">
              <w:rPr>
                <w:rFonts w:cs="Arial"/>
                <w:color w:val="000000"/>
              </w:rPr>
              <w:t>Cerebral infarction due to thrombosis of unspecified carotid artery</w:t>
            </w:r>
          </w:p>
        </w:tc>
      </w:tr>
      <w:tr w:rsidR="00CE614D" w:rsidRPr="00A25DE1" w14:paraId="3FCEF0B1" w14:textId="77777777" w:rsidTr="002C718A">
        <w:trPr>
          <w:trHeight w:val="300"/>
        </w:trPr>
        <w:tc>
          <w:tcPr>
            <w:tcW w:w="1165" w:type="dxa"/>
            <w:noWrap/>
            <w:vAlign w:val="center"/>
            <w:hideMark/>
          </w:tcPr>
          <w:p w14:paraId="2AC24B6D" w14:textId="77777777" w:rsidR="00CE614D" w:rsidRPr="00A77AEC" w:rsidRDefault="00CE614D" w:rsidP="00696E8F">
            <w:pPr>
              <w:rPr>
                <w:rFonts w:cs="Arial"/>
                <w:color w:val="000000"/>
              </w:rPr>
            </w:pPr>
            <w:r w:rsidRPr="00A77AEC">
              <w:rPr>
                <w:rFonts w:cs="Arial"/>
                <w:color w:val="000000"/>
              </w:rPr>
              <w:t>I63.131</w:t>
            </w:r>
          </w:p>
        </w:tc>
        <w:tc>
          <w:tcPr>
            <w:tcW w:w="8267" w:type="dxa"/>
            <w:noWrap/>
            <w:vAlign w:val="center"/>
            <w:hideMark/>
          </w:tcPr>
          <w:p w14:paraId="7AD45BB4" w14:textId="77777777" w:rsidR="00CE614D" w:rsidRPr="00A77AEC" w:rsidRDefault="00CE614D" w:rsidP="00696E8F">
            <w:pPr>
              <w:rPr>
                <w:rFonts w:cs="Arial"/>
                <w:color w:val="000000"/>
              </w:rPr>
            </w:pPr>
            <w:r w:rsidRPr="00A77AEC">
              <w:rPr>
                <w:rFonts w:cs="Arial"/>
                <w:color w:val="000000"/>
              </w:rPr>
              <w:t>Cerebral infarction due to embolism of right carotid artery</w:t>
            </w:r>
          </w:p>
        </w:tc>
      </w:tr>
      <w:tr w:rsidR="00CE614D" w:rsidRPr="00A25DE1" w14:paraId="6D1F35E3" w14:textId="77777777" w:rsidTr="002C718A">
        <w:trPr>
          <w:trHeight w:val="300"/>
        </w:trPr>
        <w:tc>
          <w:tcPr>
            <w:tcW w:w="1165" w:type="dxa"/>
            <w:noWrap/>
            <w:vAlign w:val="center"/>
            <w:hideMark/>
          </w:tcPr>
          <w:p w14:paraId="00F48A26" w14:textId="77777777" w:rsidR="00CE614D" w:rsidRPr="00A77AEC" w:rsidRDefault="00CE614D" w:rsidP="00696E8F">
            <w:pPr>
              <w:rPr>
                <w:rFonts w:cs="Arial"/>
                <w:color w:val="000000"/>
              </w:rPr>
            </w:pPr>
            <w:r w:rsidRPr="00A77AEC">
              <w:rPr>
                <w:rFonts w:cs="Arial"/>
                <w:color w:val="000000"/>
              </w:rPr>
              <w:t>I63.132</w:t>
            </w:r>
          </w:p>
        </w:tc>
        <w:tc>
          <w:tcPr>
            <w:tcW w:w="8267" w:type="dxa"/>
            <w:noWrap/>
            <w:vAlign w:val="center"/>
            <w:hideMark/>
          </w:tcPr>
          <w:p w14:paraId="40649119" w14:textId="77777777" w:rsidR="00CE614D" w:rsidRPr="00A77AEC" w:rsidRDefault="00CE614D" w:rsidP="00696E8F">
            <w:pPr>
              <w:rPr>
                <w:rFonts w:cs="Arial"/>
                <w:color w:val="000000"/>
              </w:rPr>
            </w:pPr>
            <w:r w:rsidRPr="00A77AEC">
              <w:rPr>
                <w:rFonts w:cs="Arial"/>
                <w:color w:val="000000"/>
              </w:rPr>
              <w:t>Cerebral infarction due to embolism of left carotid artery</w:t>
            </w:r>
          </w:p>
        </w:tc>
      </w:tr>
      <w:tr w:rsidR="00CE614D" w:rsidRPr="00A25DE1" w14:paraId="3E3B16F6" w14:textId="77777777" w:rsidTr="002C718A">
        <w:trPr>
          <w:trHeight w:val="300"/>
        </w:trPr>
        <w:tc>
          <w:tcPr>
            <w:tcW w:w="1165" w:type="dxa"/>
            <w:noWrap/>
            <w:vAlign w:val="center"/>
            <w:hideMark/>
          </w:tcPr>
          <w:p w14:paraId="6163278B" w14:textId="77777777" w:rsidR="00CE614D" w:rsidRPr="00A77AEC" w:rsidRDefault="00CE614D" w:rsidP="00696E8F">
            <w:pPr>
              <w:rPr>
                <w:rFonts w:cs="Arial"/>
                <w:color w:val="000000"/>
              </w:rPr>
            </w:pPr>
            <w:r w:rsidRPr="00A77AEC">
              <w:rPr>
                <w:rFonts w:cs="Arial"/>
                <w:color w:val="000000"/>
              </w:rPr>
              <w:t>I63.133</w:t>
            </w:r>
          </w:p>
        </w:tc>
        <w:tc>
          <w:tcPr>
            <w:tcW w:w="8267" w:type="dxa"/>
            <w:noWrap/>
            <w:vAlign w:val="center"/>
            <w:hideMark/>
          </w:tcPr>
          <w:p w14:paraId="33F0F6DC" w14:textId="77777777" w:rsidR="00CE614D" w:rsidRPr="00A77AEC" w:rsidRDefault="00CE614D" w:rsidP="00696E8F">
            <w:pPr>
              <w:rPr>
                <w:rFonts w:cs="Arial"/>
                <w:color w:val="000000"/>
              </w:rPr>
            </w:pPr>
            <w:r w:rsidRPr="00A77AEC">
              <w:rPr>
                <w:rFonts w:cs="Arial"/>
                <w:color w:val="000000"/>
              </w:rPr>
              <w:t>Cerebral infarction due to embolism of bilateral carotid arteries</w:t>
            </w:r>
          </w:p>
        </w:tc>
      </w:tr>
      <w:tr w:rsidR="00CE614D" w:rsidRPr="00A25DE1" w14:paraId="08B2CF72" w14:textId="77777777" w:rsidTr="002C718A">
        <w:trPr>
          <w:trHeight w:val="300"/>
        </w:trPr>
        <w:tc>
          <w:tcPr>
            <w:tcW w:w="1165" w:type="dxa"/>
            <w:noWrap/>
            <w:vAlign w:val="center"/>
            <w:hideMark/>
          </w:tcPr>
          <w:p w14:paraId="7BECA851" w14:textId="77777777" w:rsidR="00CE614D" w:rsidRPr="00A77AEC" w:rsidRDefault="00CE614D" w:rsidP="00696E8F">
            <w:pPr>
              <w:rPr>
                <w:rFonts w:cs="Arial"/>
                <w:color w:val="000000"/>
              </w:rPr>
            </w:pPr>
            <w:r w:rsidRPr="00A77AEC">
              <w:rPr>
                <w:rFonts w:cs="Arial"/>
                <w:color w:val="000000"/>
              </w:rPr>
              <w:t>I63.139</w:t>
            </w:r>
          </w:p>
        </w:tc>
        <w:tc>
          <w:tcPr>
            <w:tcW w:w="8267" w:type="dxa"/>
            <w:noWrap/>
            <w:vAlign w:val="center"/>
            <w:hideMark/>
          </w:tcPr>
          <w:p w14:paraId="41021A2C" w14:textId="77777777" w:rsidR="00CE614D" w:rsidRPr="00A77AEC" w:rsidRDefault="00CE614D" w:rsidP="00696E8F">
            <w:pPr>
              <w:rPr>
                <w:rFonts w:cs="Arial"/>
                <w:color w:val="000000"/>
              </w:rPr>
            </w:pPr>
            <w:r w:rsidRPr="00A77AEC">
              <w:rPr>
                <w:rFonts w:cs="Arial"/>
                <w:color w:val="000000"/>
              </w:rPr>
              <w:t>Cerebral infarction due to embolism of unspecified carotid artery</w:t>
            </w:r>
          </w:p>
        </w:tc>
      </w:tr>
      <w:tr w:rsidR="00CE614D" w:rsidRPr="00A25DE1" w14:paraId="6D7C4F91" w14:textId="77777777" w:rsidTr="002C718A">
        <w:trPr>
          <w:trHeight w:val="300"/>
        </w:trPr>
        <w:tc>
          <w:tcPr>
            <w:tcW w:w="1165" w:type="dxa"/>
            <w:noWrap/>
            <w:vAlign w:val="center"/>
            <w:hideMark/>
          </w:tcPr>
          <w:p w14:paraId="4ECD0A80" w14:textId="77777777" w:rsidR="00CE614D" w:rsidRPr="00A77AEC" w:rsidRDefault="00CE614D" w:rsidP="00696E8F">
            <w:pPr>
              <w:rPr>
                <w:rFonts w:cs="Arial"/>
                <w:color w:val="000000"/>
              </w:rPr>
            </w:pPr>
            <w:r w:rsidRPr="00A77AEC">
              <w:rPr>
                <w:rFonts w:cs="Arial"/>
                <w:color w:val="000000"/>
              </w:rPr>
              <w:t>I63.231</w:t>
            </w:r>
          </w:p>
        </w:tc>
        <w:tc>
          <w:tcPr>
            <w:tcW w:w="8267" w:type="dxa"/>
            <w:noWrap/>
            <w:vAlign w:val="center"/>
            <w:hideMark/>
          </w:tcPr>
          <w:p w14:paraId="2B18B248" w14:textId="77777777" w:rsidR="00CE614D" w:rsidRPr="00A77AEC" w:rsidRDefault="00CE614D" w:rsidP="00696E8F">
            <w:pPr>
              <w:rPr>
                <w:rFonts w:cs="Arial"/>
                <w:color w:val="000000"/>
              </w:rPr>
            </w:pPr>
            <w:r w:rsidRPr="00A77AEC">
              <w:rPr>
                <w:rFonts w:cs="Arial"/>
                <w:color w:val="000000"/>
              </w:rPr>
              <w:t>Cerebral infarction due to unspecified occlusion or stenosis of right carotid arteries</w:t>
            </w:r>
          </w:p>
        </w:tc>
      </w:tr>
      <w:tr w:rsidR="00CE614D" w:rsidRPr="00A25DE1" w14:paraId="18FC6DB6" w14:textId="77777777" w:rsidTr="002C718A">
        <w:trPr>
          <w:trHeight w:val="300"/>
        </w:trPr>
        <w:tc>
          <w:tcPr>
            <w:tcW w:w="1165" w:type="dxa"/>
            <w:noWrap/>
            <w:vAlign w:val="center"/>
            <w:hideMark/>
          </w:tcPr>
          <w:p w14:paraId="55055E97" w14:textId="77777777" w:rsidR="00CE614D" w:rsidRPr="00A77AEC" w:rsidRDefault="00CE614D" w:rsidP="00696E8F">
            <w:pPr>
              <w:rPr>
                <w:rFonts w:cs="Arial"/>
                <w:color w:val="000000"/>
              </w:rPr>
            </w:pPr>
            <w:r w:rsidRPr="00A77AEC">
              <w:rPr>
                <w:rFonts w:cs="Arial"/>
                <w:color w:val="000000"/>
              </w:rPr>
              <w:t>I63.232</w:t>
            </w:r>
          </w:p>
        </w:tc>
        <w:tc>
          <w:tcPr>
            <w:tcW w:w="8267" w:type="dxa"/>
            <w:noWrap/>
            <w:vAlign w:val="center"/>
            <w:hideMark/>
          </w:tcPr>
          <w:p w14:paraId="4A0ABCDE" w14:textId="77777777" w:rsidR="00CE614D" w:rsidRPr="00A77AEC" w:rsidRDefault="00CE614D" w:rsidP="00696E8F">
            <w:pPr>
              <w:rPr>
                <w:rFonts w:cs="Arial"/>
                <w:color w:val="000000"/>
              </w:rPr>
            </w:pPr>
            <w:r w:rsidRPr="00A77AEC">
              <w:rPr>
                <w:rFonts w:cs="Arial"/>
                <w:color w:val="000000"/>
              </w:rPr>
              <w:t>Cerebral infarction due to unspecified occlusion or stenosis of left carotid arteries</w:t>
            </w:r>
          </w:p>
        </w:tc>
      </w:tr>
      <w:tr w:rsidR="00CE614D" w:rsidRPr="00A25DE1" w14:paraId="352570C3" w14:textId="77777777" w:rsidTr="002C718A">
        <w:trPr>
          <w:trHeight w:val="300"/>
        </w:trPr>
        <w:tc>
          <w:tcPr>
            <w:tcW w:w="1165" w:type="dxa"/>
            <w:noWrap/>
            <w:vAlign w:val="center"/>
            <w:hideMark/>
          </w:tcPr>
          <w:p w14:paraId="2709A986" w14:textId="77777777" w:rsidR="00CE614D" w:rsidRPr="00A77AEC" w:rsidRDefault="00CE614D" w:rsidP="00696E8F">
            <w:pPr>
              <w:rPr>
                <w:rFonts w:cs="Arial"/>
                <w:color w:val="000000"/>
              </w:rPr>
            </w:pPr>
            <w:r w:rsidRPr="00A77AEC">
              <w:rPr>
                <w:rFonts w:cs="Arial"/>
                <w:color w:val="000000"/>
              </w:rPr>
              <w:t>I63.233</w:t>
            </w:r>
          </w:p>
        </w:tc>
        <w:tc>
          <w:tcPr>
            <w:tcW w:w="8267" w:type="dxa"/>
            <w:noWrap/>
            <w:vAlign w:val="center"/>
            <w:hideMark/>
          </w:tcPr>
          <w:p w14:paraId="38B93B51" w14:textId="77777777" w:rsidR="00CE614D" w:rsidRPr="00A77AEC" w:rsidRDefault="00CE614D" w:rsidP="00696E8F">
            <w:pPr>
              <w:rPr>
                <w:rFonts w:cs="Arial"/>
                <w:color w:val="000000"/>
              </w:rPr>
            </w:pPr>
            <w:r w:rsidRPr="00A77AEC">
              <w:rPr>
                <w:rFonts w:cs="Arial"/>
                <w:color w:val="000000"/>
              </w:rPr>
              <w:t>Cerebral infarction due to unspecified occlusion or stenosis of bilateral carotid arteries</w:t>
            </w:r>
          </w:p>
        </w:tc>
      </w:tr>
      <w:tr w:rsidR="00CE614D" w:rsidRPr="00A25DE1" w14:paraId="4E6C452B" w14:textId="77777777" w:rsidTr="002C718A">
        <w:trPr>
          <w:trHeight w:val="300"/>
        </w:trPr>
        <w:tc>
          <w:tcPr>
            <w:tcW w:w="1165" w:type="dxa"/>
            <w:noWrap/>
            <w:vAlign w:val="center"/>
            <w:hideMark/>
          </w:tcPr>
          <w:p w14:paraId="7863B69D" w14:textId="77777777" w:rsidR="00CE614D" w:rsidRPr="00A77AEC" w:rsidRDefault="00CE614D" w:rsidP="00696E8F">
            <w:pPr>
              <w:rPr>
                <w:rFonts w:cs="Arial"/>
                <w:color w:val="000000"/>
              </w:rPr>
            </w:pPr>
            <w:r w:rsidRPr="00A77AEC">
              <w:rPr>
                <w:rFonts w:cs="Arial"/>
                <w:color w:val="000000"/>
              </w:rPr>
              <w:t>I63.239</w:t>
            </w:r>
          </w:p>
        </w:tc>
        <w:tc>
          <w:tcPr>
            <w:tcW w:w="8267" w:type="dxa"/>
            <w:noWrap/>
            <w:vAlign w:val="center"/>
            <w:hideMark/>
          </w:tcPr>
          <w:p w14:paraId="246193B5" w14:textId="77777777" w:rsidR="00CE614D" w:rsidRPr="00E1411B" w:rsidRDefault="00CE614D" w:rsidP="00696E8F">
            <w:pPr>
              <w:rPr>
                <w:rFonts w:cs="Arial"/>
                <w:color w:val="000000"/>
              </w:rPr>
            </w:pPr>
            <w:r w:rsidRPr="00E1411B">
              <w:rPr>
                <w:rFonts w:cs="Arial"/>
                <w:color w:val="000000"/>
              </w:rPr>
              <w:t>Cerebral infarction due to unspecified occlusion or stenosis of unspecified carotid arteries</w:t>
            </w:r>
          </w:p>
        </w:tc>
      </w:tr>
      <w:tr w:rsidR="00CE614D" w:rsidRPr="00A25DE1" w14:paraId="0FEF345C" w14:textId="77777777" w:rsidTr="002C718A">
        <w:trPr>
          <w:trHeight w:val="300"/>
        </w:trPr>
        <w:tc>
          <w:tcPr>
            <w:tcW w:w="1165" w:type="dxa"/>
            <w:noWrap/>
            <w:vAlign w:val="center"/>
            <w:hideMark/>
          </w:tcPr>
          <w:p w14:paraId="2AA6683A" w14:textId="77777777" w:rsidR="00CE614D" w:rsidRPr="00A77AEC" w:rsidRDefault="00CE614D" w:rsidP="00696E8F">
            <w:pPr>
              <w:rPr>
                <w:rFonts w:cs="Arial"/>
                <w:color w:val="000000"/>
              </w:rPr>
            </w:pPr>
            <w:r w:rsidRPr="00A77AEC">
              <w:rPr>
                <w:rFonts w:cs="Arial"/>
                <w:color w:val="000000"/>
              </w:rPr>
              <w:t>I65.21</w:t>
            </w:r>
          </w:p>
        </w:tc>
        <w:tc>
          <w:tcPr>
            <w:tcW w:w="8267" w:type="dxa"/>
            <w:noWrap/>
            <w:vAlign w:val="center"/>
            <w:hideMark/>
          </w:tcPr>
          <w:p w14:paraId="4CF9383C" w14:textId="77777777" w:rsidR="00CE614D" w:rsidRPr="00A77AEC" w:rsidRDefault="00CE614D" w:rsidP="00696E8F">
            <w:pPr>
              <w:rPr>
                <w:rFonts w:cs="Arial"/>
                <w:color w:val="000000"/>
              </w:rPr>
            </w:pPr>
            <w:r w:rsidRPr="00A77AEC">
              <w:rPr>
                <w:rFonts w:cs="Arial"/>
                <w:color w:val="000000"/>
              </w:rPr>
              <w:t>Occlusion and stenosis of right carotid artery</w:t>
            </w:r>
          </w:p>
        </w:tc>
      </w:tr>
      <w:tr w:rsidR="00CE614D" w:rsidRPr="00A25DE1" w14:paraId="3A313E8F" w14:textId="77777777" w:rsidTr="002C718A">
        <w:trPr>
          <w:trHeight w:val="300"/>
        </w:trPr>
        <w:tc>
          <w:tcPr>
            <w:tcW w:w="1165" w:type="dxa"/>
            <w:noWrap/>
            <w:vAlign w:val="center"/>
            <w:hideMark/>
          </w:tcPr>
          <w:p w14:paraId="66B869BD" w14:textId="77777777" w:rsidR="00CE614D" w:rsidRPr="00A77AEC" w:rsidRDefault="00CE614D" w:rsidP="00696E8F">
            <w:pPr>
              <w:rPr>
                <w:rFonts w:cs="Arial"/>
                <w:color w:val="000000"/>
              </w:rPr>
            </w:pPr>
            <w:r w:rsidRPr="00A77AEC">
              <w:rPr>
                <w:rFonts w:cs="Arial"/>
                <w:color w:val="000000"/>
              </w:rPr>
              <w:t>I65.22</w:t>
            </w:r>
          </w:p>
        </w:tc>
        <w:tc>
          <w:tcPr>
            <w:tcW w:w="8267" w:type="dxa"/>
            <w:noWrap/>
            <w:vAlign w:val="center"/>
            <w:hideMark/>
          </w:tcPr>
          <w:p w14:paraId="4BBD59F7" w14:textId="77777777" w:rsidR="00CE614D" w:rsidRPr="00A77AEC" w:rsidRDefault="00CE614D" w:rsidP="00696E8F">
            <w:pPr>
              <w:rPr>
                <w:rFonts w:cs="Arial"/>
                <w:color w:val="000000"/>
              </w:rPr>
            </w:pPr>
            <w:r w:rsidRPr="00A77AEC">
              <w:rPr>
                <w:rFonts w:cs="Arial"/>
                <w:color w:val="000000"/>
              </w:rPr>
              <w:t>Occlusion and stenosis of left carotid artery</w:t>
            </w:r>
          </w:p>
        </w:tc>
      </w:tr>
      <w:tr w:rsidR="00CE614D" w:rsidRPr="00A25DE1" w14:paraId="7EAD68E4" w14:textId="77777777" w:rsidTr="002C718A">
        <w:trPr>
          <w:trHeight w:val="300"/>
        </w:trPr>
        <w:tc>
          <w:tcPr>
            <w:tcW w:w="1165" w:type="dxa"/>
            <w:noWrap/>
            <w:vAlign w:val="center"/>
            <w:hideMark/>
          </w:tcPr>
          <w:p w14:paraId="0E39C806" w14:textId="77777777" w:rsidR="00CE614D" w:rsidRPr="00A77AEC" w:rsidRDefault="00CE614D" w:rsidP="00696E8F">
            <w:pPr>
              <w:rPr>
                <w:rFonts w:cs="Arial"/>
                <w:color w:val="000000"/>
              </w:rPr>
            </w:pPr>
            <w:r w:rsidRPr="00A77AEC">
              <w:rPr>
                <w:rFonts w:cs="Arial"/>
                <w:color w:val="000000"/>
              </w:rPr>
              <w:t>I65.23</w:t>
            </w:r>
          </w:p>
        </w:tc>
        <w:tc>
          <w:tcPr>
            <w:tcW w:w="8267" w:type="dxa"/>
            <w:noWrap/>
            <w:vAlign w:val="center"/>
            <w:hideMark/>
          </w:tcPr>
          <w:p w14:paraId="59BB3A03" w14:textId="77777777" w:rsidR="00CE614D" w:rsidRPr="00A77AEC" w:rsidRDefault="00CE614D" w:rsidP="00696E8F">
            <w:pPr>
              <w:rPr>
                <w:rFonts w:cs="Arial"/>
                <w:color w:val="000000"/>
              </w:rPr>
            </w:pPr>
            <w:r w:rsidRPr="00A77AEC">
              <w:rPr>
                <w:rFonts w:cs="Arial"/>
                <w:color w:val="000000"/>
              </w:rPr>
              <w:t>Occlusion and stenosis of bilateral carotid arteries</w:t>
            </w:r>
          </w:p>
        </w:tc>
      </w:tr>
      <w:tr w:rsidR="00CE614D" w:rsidRPr="00A25DE1" w14:paraId="5E8C9116" w14:textId="77777777" w:rsidTr="002C718A">
        <w:trPr>
          <w:trHeight w:val="300"/>
        </w:trPr>
        <w:tc>
          <w:tcPr>
            <w:tcW w:w="1165" w:type="dxa"/>
            <w:noWrap/>
            <w:vAlign w:val="center"/>
            <w:hideMark/>
          </w:tcPr>
          <w:p w14:paraId="5D9DF0EE" w14:textId="77777777" w:rsidR="00CE614D" w:rsidRPr="00A77AEC" w:rsidRDefault="00CE614D" w:rsidP="00696E8F">
            <w:pPr>
              <w:rPr>
                <w:rFonts w:cs="Arial"/>
                <w:color w:val="000000"/>
              </w:rPr>
            </w:pPr>
            <w:r w:rsidRPr="00A77AEC">
              <w:rPr>
                <w:rFonts w:cs="Arial"/>
                <w:color w:val="000000"/>
              </w:rPr>
              <w:t>I65.29</w:t>
            </w:r>
          </w:p>
        </w:tc>
        <w:tc>
          <w:tcPr>
            <w:tcW w:w="8267" w:type="dxa"/>
            <w:noWrap/>
            <w:vAlign w:val="center"/>
            <w:hideMark/>
          </w:tcPr>
          <w:p w14:paraId="0F30CF47" w14:textId="77777777" w:rsidR="00CE614D" w:rsidRPr="00A77AEC" w:rsidRDefault="00CE614D" w:rsidP="00696E8F">
            <w:pPr>
              <w:rPr>
                <w:rFonts w:cs="Arial"/>
                <w:color w:val="000000"/>
              </w:rPr>
            </w:pPr>
            <w:r w:rsidRPr="00A77AEC">
              <w:rPr>
                <w:rFonts w:cs="Arial"/>
                <w:color w:val="000000"/>
              </w:rPr>
              <w:t>Occlusion and stenosis of unspecified carotid artery</w:t>
            </w:r>
          </w:p>
        </w:tc>
      </w:tr>
      <w:tr w:rsidR="00CE614D" w:rsidRPr="00A25DE1" w14:paraId="59F15966" w14:textId="77777777" w:rsidTr="002C718A">
        <w:trPr>
          <w:trHeight w:val="300"/>
        </w:trPr>
        <w:tc>
          <w:tcPr>
            <w:tcW w:w="1165" w:type="dxa"/>
            <w:noWrap/>
            <w:vAlign w:val="center"/>
            <w:hideMark/>
          </w:tcPr>
          <w:p w14:paraId="51A6DEF8" w14:textId="77777777" w:rsidR="00CE614D" w:rsidRPr="00A77AEC" w:rsidRDefault="00CE614D" w:rsidP="00696E8F">
            <w:pPr>
              <w:rPr>
                <w:rFonts w:cs="Arial"/>
                <w:color w:val="000000"/>
              </w:rPr>
            </w:pPr>
            <w:r w:rsidRPr="00A77AEC">
              <w:rPr>
                <w:rFonts w:cs="Arial"/>
                <w:color w:val="000000"/>
              </w:rPr>
              <w:t>I65.8</w:t>
            </w:r>
          </w:p>
        </w:tc>
        <w:tc>
          <w:tcPr>
            <w:tcW w:w="8267" w:type="dxa"/>
            <w:noWrap/>
            <w:vAlign w:val="center"/>
            <w:hideMark/>
          </w:tcPr>
          <w:p w14:paraId="09C4B21B" w14:textId="77777777" w:rsidR="00CE614D" w:rsidRPr="00A77AEC" w:rsidRDefault="00CE614D" w:rsidP="00696E8F">
            <w:pPr>
              <w:rPr>
                <w:rFonts w:cs="Arial"/>
                <w:color w:val="000000"/>
              </w:rPr>
            </w:pPr>
            <w:r w:rsidRPr="00A77AEC">
              <w:rPr>
                <w:rFonts w:cs="Arial"/>
                <w:color w:val="000000"/>
              </w:rPr>
              <w:t>Occlusion and stenosis of other precerebral arteries</w:t>
            </w:r>
          </w:p>
        </w:tc>
      </w:tr>
      <w:tr w:rsidR="00CE614D" w:rsidRPr="00A25DE1" w14:paraId="2A1DE70B" w14:textId="77777777" w:rsidTr="002C718A">
        <w:trPr>
          <w:trHeight w:val="300"/>
        </w:trPr>
        <w:tc>
          <w:tcPr>
            <w:tcW w:w="1165" w:type="dxa"/>
            <w:noWrap/>
            <w:vAlign w:val="center"/>
            <w:hideMark/>
          </w:tcPr>
          <w:p w14:paraId="1AFF829C" w14:textId="77777777" w:rsidR="00CE614D" w:rsidRPr="00A77AEC" w:rsidRDefault="00CE614D" w:rsidP="00696E8F">
            <w:pPr>
              <w:rPr>
                <w:rFonts w:cs="Arial"/>
                <w:color w:val="000000"/>
              </w:rPr>
            </w:pPr>
            <w:r w:rsidRPr="00A77AEC">
              <w:rPr>
                <w:rFonts w:cs="Arial"/>
                <w:color w:val="000000"/>
              </w:rPr>
              <w:t>I65.9</w:t>
            </w:r>
          </w:p>
        </w:tc>
        <w:tc>
          <w:tcPr>
            <w:tcW w:w="8267" w:type="dxa"/>
            <w:noWrap/>
            <w:vAlign w:val="center"/>
            <w:hideMark/>
          </w:tcPr>
          <w:p w14:paraId="57426B5E" w14:textId="77777777" w:rsidR="00CE614D" w:rsidRPr="00A77AEC" w:rsidRDefault="00CE614D" w:rsidP="00696E8F">
            <w:pPr>
              <w:rPr>
                <w:rFonts w:cs="Arial"/>
                <w:color w:val="000000"/>
              </w:rPr>
            </w:pPr>
            <w:r w:rsidRPr="00A77AEC">
              <w:rPr>
                <w:rFonts w:cs="Arial"/>
                <w:color w:val="000000"/>
              </w:rPr>
              <w:t>Occlusion and stenosis of unspecified precerebral artery</w:t>
            </w:r>
          </w:p>
        </w:tc>
      </w:tr>
    </w:tbl>
    <w:p w14:paraId="58354811" w14:textId="77777777" w:rsidR="00FB29EB" w:rsidRPr="009A5185" w:rsidRDefault="00FB29EB" w:rsidP="00D51874"/>
    <w:p w14:paraId="0F1AA16D" w14:textId="77777777" w:rsidR="00F13A61" w:rsidRPr="009A5185" w:rsidRDefault="00F13A61">
      <w:pPr>
        <w:rPr>
          <w:rFonts w:cs="Arial"/>
          <w:b/>
          <w:i/>
          <w:sz w:val="24"/>
          <w:szCs w:val="24"/>
          <w:lang w:eastAsia="ja-JP"/>
        </w:rPr>
      </w:pPr>
      <w:r w:rsidRPr="009A5185">
        <w:rPr>
          <w:rFonts w:cs="Arial"/>
        </w:rPr>
        <w:br w:type="page"/>
      </w:r>
    </w:p>
    <w:p w14:paraId="0BAF7FA2" w14:textId="2955364D" w:rsidR="00762789" w:rsidRPr="009A5185" w:rsidRDefault="00762789" w:rsidP="000C2C54">
      <w:pPr>
        <w:pStyle w:val="Heading44"/>
      </w:pPr>
      <w:bookmarkStart w:id="254" w:name="MitralValve"/>
      <w:r w:rsidRPr="009A5185">
        <w:lastRenderedPageBreak/>
        <w:t xml:space="preserve">Mitral Valve Repair and Replacement Measure </w:t>
      </w:r>
      <w:r w:rsidR="000765C6">
        <w:t>Specifications</w:t>
      </w:r>
    </w:p>
    <w:bookmarkEnd w:id="254"/>
    <w:p w14:paraId="66C023B2" w14:textId="77777777" w:rsidR="00762789" w:rsidRPr="009A5185" w:rsidRDefault="00762789" w:rsidP="00762789">
      <w:pPr>
        <w:rPr>
          <w:rFonts w:cs="Arial"/>
        </w:rPr>
      </w:pPr>
    </w:p>
    <w:p w14:paraId="74264631" w14:textId="77777777" w:rsidR="00762789" w:rsidRPr="009A5185" w:rsidRDefault="009D1A7B" w:rsidP="00762789">
      <w:pPr>
        <w:rPr>
          <w:rFonts w:cs="Arial"/>
        </w:rPr>
      </w:pPr>
      <w:r>
        <w:rPr>
          <w:rFonts w:cs="Arial"/>
        </w:rPr>
        <w:t>For m</w:t>
      </w:r>
      <w:r w:rsidR="00762789" w:rsidRPr="009A5185">
        <w:rPr>
          <w:rFonts w:cs="Arial"/>
        </w:rPr>
        <w:t xml:space="preserve">itral </w:t>
      </w:r>
      <w:r w:rsidRPr="009A5185">
        <w:rPr>
          <w:rFonts w:cs="Arial"/>
        </w:rPr>
        <w:t>valve repair and replacement</w:t>
      </w:r>
      <w:r w:rsidR="00762789" w:rsidRPr="009A5185">
        <w:rPr>
          <w:rFonts w:cs="Arial"/>
        </w:rPr>
        <w:t>, there is only one set of IC</w:t>
      </w:r>
      <w:r w:rsidR="00F150C8">
        <w:rPr>
          <w:rFonts w:cs="Arial"/>
        </w:rPr>
        <w:t>D-10 codes for counting patient discharges</w:t>
      </w:r>
      <w:r w:rsidR="00762789" w:rsidRPr="009A5185">
        <w:rPr>
          <w:rFonts w:cs="Arial"/>
        </w:rPr>
        <w:t xml:space="preserve">. The set of codes is to identify patients who have had the procedure. </w:t>
      </w:r>
    </w:p>
    <w:p w14:paraId="7B5FC088" w14:textId="77777777" w:rsidR="00762789" w:rsidRPr="009A5185" w:rsidRDefault="00762789" w:rsidP="00762789">
      <w:pPr>
        <w:rPr>
          <w:rFonts w:cs="Arial"/>
        </w:rPr>
      </w:pPr>
    </w:p>
    <w:p w14:paraId="236A0FA1" w14:textId="77777777" w:rsidR="00E8547C" w:rsidRDefault="007550AD" w:rsidP="00762789">
      <w:pPr>
        <w:rPr>
          <w:rFonts w:cs="Arial"/>
        </w:rPr>
      </w:pPr>
      <w:r>
        <w:rPr>
          <w:rFonts w:cs="Arial"/>
        </w:rPr>
        <w:t>Count the n</w:t>
      </w:r>
      <w:r w:rsidR="00762789" w:rsidRPr="009A5185">
        <w:rPr>
          <w:rFonts w:cs="Arial"/>
        </w:rPr>
        <w:t>umber of patients, age</w:t>
      </w:r>
      <w:r w:rsidR="009D1A7B">
        <w:rPr>
          <w:rFonts w:cs="Arial"/>
        </w:rPr>
        <w:t>s</w:t>
      </w:r>
      <w:r w:rsidR="00762789" w:rsidRPr="009A5185">
        <w:rPr>
          <w:rFonts w:cs="Arial"/>
        </w:rPr>
        <w:t xml:space="preserve"> 18 years and older, discharged with the following ICD-10 codes in any procedure field.</w:t>
      </w:r>
    </w:p>
    <w:p w14:paraId="36E64E75" w14:textId="77777777" w:rsidR="00762789" w:rsidRPr="009A5185" w:rsidRDefault="00762789" w:rsidP="00762789">
      <w:pPr>
        <w:rPr>
          <w:rFonts w:cs="Arial"/>
        </w:rPr>
      </w:pPr>
    </w:p>
    <w:p w14:paraId="3C5CB678" w14:textId="77777777" w:rsidR="00762789" w:rsidRPr="009A5185" w:rsidRDefault="00762789" w:rsidP="00762789">
      <w:pPr>
        <w:rPr>
          <w:rFonts w:cs="Arial"/>
          <w:b/>
        </w:rPr>
      </w:pPr>
      <w:r w:rsidRPr="009A5185">
        <w:rPr>
          <w:rFonts w:cs="Arial"/>
          <w:b/>
        </w:rPr>
        <w:t>ICD-10 Mitral Valve Repair and Replacement</w:t>
      </w:r>
      <w:r w:rsidR="00862020" w:rsidRPr="009A5185">
        <w:rPr>
          <w:rFonts w:cs="Arial"/>
          <w:b/>
        </w:rPr>
        <w:t xml:space="preserve"> Procedure Codes</w:t>
      </w:r>
    </w:p>
    <w:p w14:paraId="4BD0FCE0" w14:textId="77777777" w:rsidR="00762789" w:rsidRPr="009A5185" w:rsidRDefault="00762789" w:rsidP="00762789">
      <w:pPr>
        <w:rPr>
          <w:rFonts w:cs="Arial"/>
          <w:b/>
        </w:rPr>
      </w:pPr>
    </w:p>
    <w:tbl>
      <w:tblPr>
        <w:tblStyle w:val="TableGrid"/>
        <w:tblW w:w="9432" w:type="dxa"/>
        <w:tblLook w:val="04A0" w:firstRow="1" w:lastRow="0" w:firstColumn="1" w:lastColumn="0" w:noHBand="0" w:noVBand="1"/>
      </w:tblPr>
      <w:tblGrid>
        <w:gridCol w:w="1615"/>
        <w:gridCol w:w="7817"/>
      </w:tblGrid>
      <w:tr w:rsidR="009D1A7B" w:rsidRPr="0004317D" w14:paraId="077D2E52" w14:textId="77777777" w:rsidTr="002C718A">
        <w:trPr>
          <w:trHeight w:val="432"/>
        </w:trPr>
        <w:tc>
          <w:tcPr>
            <w:tcW w:w="1615" w:type="dxa"/>
            <w:shd w:val="clear" w:color="auto" w:fill="BFBFBF" w:themeFill="background1" w:themeFillShade="BF"/>
            <w:vAlign w:val="center"/>
          </w:tcPr>
          <w:p w14:paraId="2B81EAB4" w14:textId="77777777" w:rsidR="009D1A7B" w:rsidRPr="0004317D" w:rsidRDefault="009D1A7B" w:rsidP="00696E8F">
            <w:pPr>
              <w:rPr>
                <w:rFonts w:cs="Arial"/>
                <w:color w:val="000000"/>
              </w:rPr>
            </w:pPr>
            <w:r w:rsidRPr="0004317D">
              <w:rPr>
                <w:rFonts w:cs="Arial"/>
                <w:b/>
                <w:bCs/>
                <w:color w:val="000000"/>
              </w:rPr>
              <w:t>ICD</w:t>
            </w:r>
            <w:r>
              <w:rPr>
                <w:rFonts w:cs="Arial"/>
                <w:b/>
                <w:bCs/>
                <w:color w:val="000000"/>
              </w:rPr>
              <w:t>-</w:t>
            </w:r>
            <w:r w:rsidRPr="0004317D">
              <w:rPr>
                <w:rFonts w:cs="Arial"/>
                <w:b/>
                <w:bCs/>
                <w:color w:val="000000"/>
              </w:rPr>
              <w:t>10 Procedure Code</w:t>
            </w:r>
          </w:p>
        </w:tc>
        <w:tc>
          <w:tcPr>
            <w:tcW w:w="7817" w:type="dxa"/>
            <w:shd w:val="clear" w:color="auto" w:fill="BFBFBF" w:themeFill="background1" w:themeFillShade="BF"/>
            <w:vAlign w:val="center"/>
          </w:tcPr>
          <w:p w14:paraId="3215C040" w14:textId="77777777" w:rsidR="009D1A7B" w:rsidRPr="0004317D" w:rsidRDefault="009D1A7B" w:rsidP="00696E8F">
            <w:pPr>
              <w:rPr>
                <w:rFonts w:cs="Arial"/>
                <w:color w:val="000000"/>
              </w:rPr>
            </w:pPr>
            <w:r w:rsidRPr="0004317D">
              <w:rPr>
                <w:rFonts w:cs="Arial"/>
                <w:b/>
                <w:bCs/>
                <w:color w:val="000000"/>
              </w:rPr>
              <w:t>Code Description</w:t>
            </w:r>
          </w:p>
        </w:tc>
      </w:tr>
      <w:tr w:rsidR="009D1A7B" w:rsidRPr="00907E04" w14:paraId="59E6918C" w14:textId="77777777" w:rsidTr="002C718A">
        <w:trPr>
          <w:trHeight w:val="300"/>
        </w:trPr>
        <w:tc>
          <w:tcPr>
            <w:tcW w:w="1615" w:type="dxa"/>
            <w:noWrap/>
            <w:vAlign w:val="center"/>
            <w:hideMark/>
          </w:tcPr>
          <w:p w14:paraId="6866B5CF" w14:textId="77777777" w:rsidR="009D1A7B" w:rsidRPr="00907E04" w:rsidRDefault="009D1A7B" w:rsidP="00696E8F">
            <w:pPr>
              <w:rPr>
                <w:rFonts w:cs="Arial"/>
                <w:color w:val="000000"/>
              </w:rPr>
            </w:pPr>
            <w:r w:rsidRPr="00907E04">
              <w:rPr>
                <w:rFonts w:cs="Arial"/>
                <w:color w:val="000000"/>
              </w:rPr>
              <w:t>027G04Z</w:t>
            </w:r>
          </w:p>
        </w:tc>
        <w:tc>
          <w:tcPr>
            <w:tcW w:w="7817" w:type="dxa"/>
            <w:noWrap/>
            <w:vAlign w:val="center"/>
            <w:hideMark/>
          </w:tcPr>
          <w:p w14:paraId="4759C4FA" w14:textId="77777777" w:rsidR="009D1A7B" w:rsidRPr="00907E04" w:rsidRDefault="009D1A7B" w:rsidP="00696E8F">
            <w:pPr>
              <w:rPr>
                <w:rFonts w:cs="Arial"/>
                <w:color w:val="000000"/>
              </w:rPr>
            </w:pPr>
            <w:r w:rsidRPr="00907E04">
              <w:rPr>
                <w:rFonts w:cs="Arial"/>
                <w:color w:val="000000"/>
              </w:rPr>
              <w:t>Dilation of Mitral Valve with Drug-eluting Intraluminal Device, Open Approach</w:t>
            </w:r>
          </w:p>
        </w:tc>
      </w:tr>
      <w:tr w:rsidR="009D1A7B" w:rsidRPr="00907E04" w14:paraId="29E2BDDA" w14:textId="77777777" w:rsidTr="002C718A">
        <w:trPr>
          <w:trHeight w:val="300"/>
        </w:trPr>
        <w:tc>
          <w:tcPr>
            <w:tcW w:w="1615" w:type="dxa"/>
            <w:noWrap/>
            <w:vAlign w:val="center"/>
            <w:hideMark/>
          </w:tcPr>
          <w:p w14:paraId="7D6A82D2" w14:textId="77777777" w:rsidR="009D1A7B" w:rsidRPr="00907E04" w:rsidRDefault="009D1A7B" w:rsidP="00696E8F">
            <w:pPr>
              <w:rPr>
                <w:rFonts w:cs="Arial"/>
                <w:color w:val="000000"/>
              </w:rPr>
            </w:pPr>
            <w:r w:rsidRPr="00907E04">
              <w:rPr>
                <w:rFonts w:cs="Arial"/>
                <w:color w:val="000000"/>
              </w:rPr>
              <w:t>027G0DZ</w:t>
            </w:r>
          </w:p>
        </w:tc>
        <w:tc>
          <w:tcPr>
            <w:tcW w:w="7817" w:type="dxa"/>
            <w:noWrap/>
            <w:vAlign w:val="center"/>
            <w:hideMark/>
          </w:tcPr>
          <w:p w14:paraId="7A299FC2" w14:textId="77777777" w:rsidR="009D1A7B" w:rsidRPr="00907E04" w:rsidRDefault="009D1A7B" w:rsidP="00696E8F">
            <w:pPr>
              <w:rPr>
                <w:rFonts w:cs="Arial"/>
                <w:color w:val="000000"/>
              </w:rPr>
            </w:pPr>
            <w:r w:rsidRPr="00907E04">
              <w:rPr>
                <w:rFonts w:cs="Arial"/>
                <w:color w:val="000000"/>
              </w:rPr>
              <w:t>Dilation of Mitral Valve with Intraluminal Device, Open Approach</w:t>
            </w:r>
          </w:p>
        </w:tc>
      </w:tr>
      <w:tr w:rsidR="009D1A7B" w:rsidRPr="00907E04" w14:paraId="7A702168" w14:textId="77777777" w:rsidTr="002C718A">
        <w:trPr>
          <w:trHeight w:val="300"/>
        </w:trPr>
        <w:tc>
          <w:tcPr>
            <w:tcW w:w="1615" w:type="dxa"/>
            <w:noWrap/>
            <w:vAlign w:val="center"/>
            <w:hideMark/>
          </w:tcPr>
          <w:p w14:paraId="7A9A2F15" w14:textId="77777777" w:rsidR="009D1A7B" w:rsidRPr="00907E04" w:rsidRDefault="009D1A7B" w:rsidP="00696E8F">
            <w:pPr>
              <w:rPr>
                <w:rFonts w:cs="Arial"/>
                <w:color w:val="000000"/>
              </w:rPr>
            </w:pPr>
            <w:r w:rsidRPr="00907E04">
              <w:rPr>
                <w:rFonts w:cs="Arial"/>
                <w:color w:val="000000"/>
              </w:rPr>
              <w:t>027G0ZZ</w:t>
            </w:r>
          </w:p>
        </w:tc>
        <w:tc>
          <w:tcPr>
            <w:tcW w:w="7817" w:type="dxa"/>
            <w:noWrap/>
            <w:vAlign w:val="center"/>
            <w:hideMark/>
          </w:tcPr>
          <w:p w14:paraId="080D1F22" w14:textId="77777777" w:rsidR="009D1A7B" w:rsidRPr="00907E04" w:rsidRDefault="009D1A7B" w:rsidP="00696E8F">
            <w:pPr>
              <w:rPr>
                <w:rFonts w:cs="Arial"/>
                <w:color w:val="000000"/>
              </w:rPr>
            </w:pPr>
            <w:r w:rsidRPr="00907E04">
              <w:rPr>
                <w:rFonts w:cs="Arial"/>
                <w:color w:val="000000"/>
              </w:rPr>
              <w:t>Dilation of Mitral Valve, Open Approach</w:t>
            </w:r>
          </w:p>
        </w:tc>
      </w:tr>
      <w:tr w:rsidR="009D1A7B" w:rsidRPr="00907E04" w14:paraId="20A297C5" w14:textId="77777777" w:rsidTr="002C718A">
        <w:trPr>
          <w:trHeight w:val="300"/>
        </w:trPr>
        <w:tc>
          <w:tcPr>
            <w:tcW w:w="1615" w:type="dxa"/>
            <w:noWrap/>
            <w:vAlign w:val="center"/>
            <w:hideMark/>
          </w:tcPr>
          <w:p w14:paraId="3ABE8C9E" w14:textId="77777777" w:rsidR="009D1A7B" w:rsidRPr="00907E04" w:rsidRDefault="009D1A7B" w:rsidP="00696E8F">
            <w:pPr>
              <w:rPr>
                <w:rFonts w:cs="Arial"/>
                <w:color w:val="000000"/>
              </w:rPr>
            </w:pPr>
            <w:r w:rsidRPr="00907E04">
              <w:rPr>
                <w:rFonts w:cs="Arial"/>
                <w:color w:val="000000"/>
              </w:rPr>
              <w:t>02CG0ZZ</w:t>
            </w:r>
          </w:p>
        </w:tc>
        <w:tc>
          <w:tcPr>
            <w:tcW w:w="7817" w:type="dxa"/>
            <w:noWrap/>
            <w:vAlign w:val="center"/>
            <w:hideMark/>
          </w:tcPr>
          <w:p w14:paraId="3B254A5D" w14:textId="77777777" w:rsidR="009D1A7B" w:rsidRPr="00907E04" w:rsidRDefault="009D1A7B" w:rsidP="00696E8F">
            <w:pPr>
              <w:rPr>
                <w:rFonts w:cs="Arial"/>
                <w:color w:val="000000"/>
              </w:rPr>
            </w:pPr>
            <w:r w:rsidRPr="00907E04">
              <w:rPr>
                <w:rFonts w:cs="Arial"/>
                <w:color w:val="000000"/>
              </w:rPr>
              <w:t>Extirpation of Matter from Mitral Valve, Open Approach</w:t>
            </w:r>
          </w:p>
        </w:tc>
      </w:tr>
      <w:tr w:rsidR="009D1A7B" w:rsidRPr="00907E04" w14:paraId="1A508FFF" w14:textId="77777777" w:rsidTr="002C718A">
        <w:trPr>
          <w:trHeight w:val="300"/>
        </w:trPr>
        <w:tc>
          <w:tcPr>
            <w:tcW w:w="1615" w:type="dxa"/>
            <w:noWrap/>
            <w:vAlign w:val="center"/>
            <w:hideMark/>
          </w:tcPr>
          <w:p w14:paraId="18A52D12" w14:textId="77777777" w:rsidR="009D1A7B" w:rsidRPr="00907E04" w:rsidRDefault="009D1A7B" w:rsidP="00696E8F">
            <w:pPr>
              <w:rPr>
                <w:rFonts w:cs="Arial"/>
                <w:color w:val="000000"/>
              </w:rPr>
            </w:pPr>
            <w:r w:rsidRPr="00907E04">
              <w:rPr>
                <w:rFonts w:cs="Arial"/>
                <w:color w:val="000000"/>
              </w:rPr>
              <w:t>02NG0ZZ</w:t>
            </w:r>
          </w:p>
        </w:tc>
        <w:tc>
          <w:tcPr>
            <w:tcW w:w="7817" w:type="dxa"/>
            <w:noWrap/>
            <w:vAlign w:val="center"/>
            <w:hideMark/>
          </w:tcPr>
          <w:p w14:paraId="13BED07A" w14:textId="77777777" w:rsidR="009D1A7B" w:rsidRPr="00907E04" w:rsidRDefault="009D1A7B" w:rsidP="00696E8F">
            <w:pPr>
              <w:rPr>
                <w:rFonts w:cs="Arial"/>
                <w:color w:val="000000"/>
              </w:rPr>
            </w:pPr>
            <w:r w:rsidRPr="00907E04">
              <w:rPr>
                <w:rFonts w:cs="Arial"/>
                <w:color w:val="000000"/>
              </w:rPr>
              <w:t>Release Mitral Valve, Open Approach</w:t>
            </w:r>
          </w:p>
        </w:tc>
      </w:tr>
      <w:tr w:rsidR="009D1A7B" w:rsidRPr="00907E04" w14:paraId="48CCE1F0" w14:textId="77777777" w:rsidTr="002C718A">
        <w:trPr>
          <w:trHeight w:val="300"/>
        </w:trPr>
        <w:tc>
          <w:tcPr>
            <w:tcW w:w="1615" w:type="dxa"/>
            <w:noWrap/>
            <w:vAlign w:val="center"/>
            <w:hideMark/>
          </w:tcPr>
          <w:p w14:paraId="1FB0DB8B" w14:textId="77777777" w:rsidR="009D1A7B" w:rsidRPr="00907E04" w:rsidRDefault="009D1A7B" w:rsidP="00696E8F">
            <w:pPr>
              <w:rPr>
                <w:rFonts w:cs="Arial"/>
                <w:color w:val="000000"/>
              </w:rPr>
            </w:pPr>
            <w:r w:rsidRPr="00907E04">
              <w:rPr>
                <w:rFonts w:cs="Arial"/>
                <w:color w:val="000000"/>
              </w:rPr>
              <w:t>02QG0ZE</w:t>
            </w:r>
          </w:p>
        </w:tc>
        <w:tc>
          <w:tcPr>
            <w:tcW w:w="7817" w:type="dxa"/>
            <w:noWrap/>
            <w:vAlign w:val="center"/>
            <w:hideMark/>
          </w:tcPr>
          <w:p w14:paraId="5EE315EC" w14:textId="77777777" w:rsidR="009D1A7B" w:rsidRPr="00907E04" w:rsidRDefault="009D1A7B" w:rsidP="00696E8F">
            <w:pPr>
              <w:rPr>
                <w:rFonts w:cs="Arial"/>
                <w:color w:val="000000"/>
              </w:rPr>
            </w:pPr>
            <w:r w:rsidRPr="00907E04">
              <w:rPr>
                <w:rFonts w:cs="Arial"/>
                <w:color w:val="000000"/>
              </w:rPr>
              <w:t>Repair Mitral Valve created from Left Atrioventricular Valve, Open Approach</w:t>
            </w:r>
          </w:p>
        </w:tc>
      </w:tr>
      <w:tr w:rsidR="009D1A7B" w:rsidRPr="00907E04" w14:paraId="4CCC77F7" w14:textId="77777777" w:rsidTr="002C718A">
        <w:trPr>
          <w:trHeight w:val="300"/>
        </w:trPr>
        <w:tc>
          <w:tcPr>
            <w:tcW w:w="1615" w:type="dxa"/>
            <w:noWrap/>
            <w:vAlign w:val="center"/>
            <w:hideMark/>
          </w:tcPr>
          <w:p w14:paraId="7704A0E8" w14:textId="77777777" w:rsidR="009D1A7B" w:rsidRPr="00907E04" w:rsidRDefault="009D1A7B" w:rsidP="00696E8F">
            <w:pPr>
              <w:rPr>
                <w:rFonts w:cs="Arial"/>
                <w:color w:val="000000"/>
              </w:rPr>
            </w:pPr>
            <w:r w:rsidRPr="00907E04">
              <w:rPr>
                <w:rFonts w:cs="Arial"/>
                <w:color w:val="000000"/>
              </w:rPr>
              <w:t>02QG0ZZ</w:t>
            </w:r>
          </w:p>
        </w:tc>
        <w:tc>
          <w:tcPr>
            <w:tcW w:w="7817" w:type="dxa"/>
            <w:noWrap/>
            <w:vAlign w:val="center"/>
            <w:hideMark/>
          </w:tcPr>
          <w:p w14:paraId="079DD3A1" w14:textId="77777777" w:rsidR="009D1A7B" w:rsidRPr="00907E04" w:rsidRDefault="009D1A7B" w:rsidP="00696E8F">
            <w:pPr>
              <w:rPr>
                <w:rFonts w:cs="Arial"/>
                <w:color w:val="000000"/>
              </w:rPr>
            </w:pPr>
            <w:r w:rsidRPr="00907E04">
              <w:rPr>
                <w:rFonts w:cs="Arial"/>
                <w:color w:val="000000"/>
              </w:rPr>
              <w:t>Repair Mitral Valve, Open Approach</w:t>
            </w:r>
          </w:p>
        </w:tc>
      </w:tr>
      <w:tr w:rsidR="009D1A7B" w:rsidRPr="00907E04" w14:paraId="7FE5124F" w14:textId="77777777" w:rsidTr="002C718A">
        <w:trPr>
          <w:trHeight w:val="300"/>
        </w:trPr>
        <w:tc>
          <w:tcPr>
            <w:tcW w:w="1615" w:type="dxa"/>
            <w:noWrap/>
            <w:vAlign w:val="center"/>
            <w:hideMark/>
          </w:tcPr>
          <w:p w14:paraId="5B232C93" w14:textId="77777777" w:rsidR="009D1A7B" w:rsidRPr="00907E04" w:rsidRDefault="009D1A7B" w:rsidP="00696E8F">
            <w:pPr>
              <w:rPr>
                <w:rFonts w:cs="Arial"/>
                <w:color w:val="000000"/>
              </w:rPr>
            </w:pPr>
            <w:r w:rsidRPr="00907E04">
              <w:rPr>
                <w:rFonts w:cs="Arial"/>
                <w:color w:val="000000"/>
              </w:rPr>
              <w:t>02RG07Z</w:t>
            </w:r>
          </w:p>
        </w:tc>
        <w:tc>
          <w:tcPr>
            <w:tcW w:w="7817" w:type="dxa"/>
            <w:noWrap/>
            <w:vAlign w:val="center"/>
            <w:hideMark/>
          </w:tcPr>
          <w:p w14:paraId="6F71E82E" w14:textId="77777777" w:rsidR="009D1A7B" w:rsidRPr="00907E04" w:rsidRDefault="009D1A7B" w:rsidP="00696E8F">
            <w:pPr>
              <w:rPr>
                <w:rFonts w:cs="Arial"/>
                <w:color w:val="000000"/>
              </w:rPr>
            </w:pPr>
            <w:r w:rsidRPr="00907E04">
              <w:rPr>
                <w:rFonts w:cs="Arial"/>
                <w:color w:val="000000"/>
              </w:rPr>
              <w:t>Replacement of Mitral Valve with Autologous Tissue Substitute, Open Approach</w:t>
            </w:r>
          </w:p>
        </w:tc>
      </w:tr>
      <w:tr w:rsidR="009D1A7B" w:rsidRPr="00907E04" w14:paraId="4ACB940F" w14:textId="77777777" w:rsidTr="002C718A">
        <w:trPr>
          <w:trHeight w:val="300"/>
        </w:trPr>
        <w:tc>
          <w:tcPr>
            <w:tcW w:w="1615" w:type="dxa"/>
            <w:noWrap/>
            <w:vAlign w:val="center"/>
            <w:hideMark/>
          </w:tcPr>
          <w:p w14:paraId="11FC6C98" w14:textId="77777777" w:rsidR="009D1A7B" w:rsidRPr="00907E04" w:rsidRDefault="009D1A7B" w:rsidP="00696E8F">
            <w:pPr>
              <w:rPr>
                <w:rFonts w:cs="Arial"/>
                <w:color w:val="000000"/>
              </w:rPr>
            </w:pPr>
            <w:r w:rsidRPr="00907E04">
              <w:rPr>
                <w:rFonts w:cs="Arial"/>
                <w:color w:val="000000"/>
              </w:rPr>
              <w:t>02RG08Z</w:t>
            </w:r>
          </w:p>
        </w:tc>
        <w:tc>
          <w:tcPr>
            <w:tcW w:w="7817" w:type="dxa"/>
            <w:noWrap/>
            <w:vAlign w:val="center"/>
            <w:hideMark/>
          </w:tcPr>
          <w:p w14:paraId="1BDEBB7E" w14:textId="77777777" w:rsidR="009D1A7B" w:rsidRPr="00907E04" w:rsidRDefault="009D1A7B" w:rsidP="00696E8F">
            <w:pPr>
              <w:rPr>
                <w:rFonts w:cs="Arial"/>
                <w:color w:val="000000"/>
              </w:rPr>
            </w:pPr>
            <w:r w:rsidRPr="00907E04">
              <w:rPr>
                <w:rFonts w:cs="Arial"/>
                <w:color w:val="000000"/>
              </w:rPr>
              <w:t xml:space="preserve">Replacement of Mitral Valve with </w:t>
            </w:r>
            <w:proofErr w:type="spellStart"/>
            <w:r w:rsidRPr="00907E04">
              <w:rPr>
                <w:rFonts w:cs="Arial"/>
                <w:color w:val="000000"/>
              </w:rPr>
              <w:t>Zooplastic</w:t>
            </w:r>
            <w:proofErr w:type="spellEnd"/>
            <w:r w:rsidRPr="00907E04">
              <w:rPr>
                <w:rFonts w:cs="Arial"/>
                <w:color w:val="000000"/>
              </w:rPr>
              <w:t xml:space="preserve"> Tissue, Open Approach</w:t>
            </w:r>
          </w:p>
        </w:tc>
      </w:tr>
      <w:tr w:rsidR="009D1A7B" w:rsidRPr="00907E04" w14:paraId="041EEBA3" w14:textId="77777777" w:rsidTr="002C718A">
        <w:trPr>
          <w:trHeight w:val="300"/>
        </w:trPr>
        <w:tc>
          <w:tcPr>
            <w:tcW w:w="1615" w:type="dxa"/>
            <w:noWrap/>
            <w:vAlign w:val="center"/>
            <w:hideMark/>
          </w:tcPr>
          <w:p w14:paraId="7EFBE1A1" w14:textId="77777777" w:rsidR="009D1A7B" w:rsidRPr="00907E04" w:rsidRDefault="009D1A7B" w:rsidP="00696E8F">
            <w:pPr>
              <w:rPr>
                <w:rFonts w:cs="Arial"/>
                <w:color w:val="000000"/>
              </w:rPr>
            </w:pPr>
            <w:r w:rsidRPr="00907E04">
              <w:rPr>
                <w:rFonts w:cs="Arial"/>
                <w:color w:val="000000"/>
              </w:rPr>
              <w:t>02RG0JZ</w:t>
            </w:r>
          </w:p>
        </w:tc>
        <w:tc>
          <w:tcPr>
            <w:tcW w:w="7817" w:type="dxa"/>
            <w:noWrap/>
            <w:vAlign w:val="center"/>
            <w:hideMark/>
          </w:tcPr>
          <w:p w14:paraId="200BEA0E" w14:textId="77777777" w:rsidR="009D1A7B" w:rsidRPr="00907E04" w:rsidRDefault="009D1A7B" w:rsidP="00696E8F">
            <w:pPr>
              <w:rPr>
                <w:rFonts w:cs="Arial"/>
                <w:color w:val="000000"/>
              </w:rPr>
            </w:pPr>
            <w:r w:rsidRPr="00907E04">
              <w:rPr>
                <w:rFonts w:cs="Arial"/>
                <w:color w:val="000000"/>
              </w:rPr>
              <w:t>Replacement of Mitral Valve with Synthetic Substitute, Open Approach</w:t>
            </w:r>
          </w:p>
        </w:tc>
      </w:tr>
      <w:tr w:rsidR="009D1A7B" w:rsidRPr="00907E04" w14:paraId="7C815315" w14:textId="77777777" w:rsidTr="002C718A">
        <w:trPr>
          <w:trHeight w:val="300"/>
        </w:trPr>
        <w:tc>
          <w:tcPr>
            <w:tcW w:w="1615" w:type="dxa"/>
            <w:noWrap/>
            <w:vAlign w:val="center"/>
            <w:hideMark/>
          </w:tcPr>
          <w:p w14:paraId="314289CF" w14:textId="77777777" w:rsidR="009D1A7B" w:rsidRPr="00907E04" w:rsidRDefault="009D1A7B" w:rsidP="00696E8F">
            <w:pPr>
              <w:rPr>
                <w:rFonts w:cs="Arial"/>
                <w:color w:val="000000"/>
              </w:rPr>
            </w:pPr>
            <w:r w:rsidRPr="00907E04">
              <w:rPr>
                <w:rFonts w:cs="Arial"/>
                <w:color w:val="000000"/>
              </w:rPr>
              <w:t>02RG0KZ</w:t>
            </w:r>
          </w:p>
        </w:tc>
        <w:tc>
          <w:tcPr>
            <w:tcW w:w="7817" w:type="dxa"/>
            <w:noWrap/>
            <w:vAlign w:val="center"/>
            <w:hideMark/>
          </w:tcPr>
          <w:p w14:paraId="60AD8983" w14:textId="77777777" w:rsidR="009D1A7B" w:rsidRPr="00907E04" w:rsidRDefault="009D1A7B" w:rsidP="00696E8F">
            <w:pPr>
              <w:rPr>
                <w:rFonts w:cs="Arial"/>
                <w:color w:val="000000"/>
              </w:rPr>
            </w:pPr>
            <w:r w:rsidRPr="00907E04">
              <w:rPr>
                <w:rFonts w:cs="Arial"/>
                <w:color w:val="000000"/>
              </w:rPr>
              <w:t xml:space="preserve">Replacement of Mitral Valve with </w:t>
            </w:r>
            <w:proofErr w:type="spellStart"/>
            <w:r w:rsidRPr="00907E04">
              <w:rPr>
                <w:rFonts w:cs="Arial"/>
                <w:color w:val="000000"/>
              </w:rPr>
              <w:t>Nonautologous</w:t>
            </w:r>
            <w:proofErr w:type="spellEnd"/>
            <w:r w:rsidRPr="00907E04">
              <w:rPr>
                <w:rFonts w:cs="Arial"/>
                <w:color w:val="000000"/>
              </w:rPr>
              <w:t xml:space="preserve"> Tissue Substitute, Open Approach</w:t>
            </w:r>
          </w:p>
        </w:tc>
      </w:tr>
      <w:tr w:rsidR="009D1A7B" w:rsidRPr="00907E04" w14:paraId="29778B7C" w14:textId="77777777" w:rsidTr="002C718A">
        <w:trPr>
          <w:trHeight w:val="300"/>
        </w:trPr>
        <w:tc>
          <w:tcPr>
            <w:tcW w:w="1615" w:type="dxa"/>
            <w:noWrap/>
            <w:vAlign w:val="center"/>
            <w:hideMark/>
          </w:tcPr>
          <w:p w14:paraId="52369A45" w14:textId="77777777" w:rsidR="009D1A7B" w:rsidRPr="00907E04" w:rsidRDefault="009D1A7B" w:rsidP="00696E8F">
            <w:pPr>
              <w:rPr>
                <w:rFonts w:cs="Arial"/>
                <w:color w:val="000000"/>
              </w:rPr>
            </w:pPr>
            <w:r w:rsidRPr="00907E04">
              <w:rPr>
                <w:rFonts w:cs="Arial"/>
                <w:color w:val="000000"/>
              </w:rPr>
              <w:t>02UG07E</w:t>
            </w:r>
          </w:p>
        </w:tc>
        <w:tc>
          <w:tcPr>
            <w:tcW w:w="7817" w:type="dxa"/>
            <w:noWrap/>
            <w:vAlign w:val="center"/>
            <w:hideMark/>
          </w:tcPr>
          <w:p w14:paraId="13C9380A" w14:textId="77777777" w:rsidR="009D1A7B" w:rsidRPr="00907E04" w:rsidRDefault="009D1A7B" w:rsidP="00696E8F">
            <w:pPr>
              <w:rPr>
                <w:rFonts w:cs="Arial"/>
                <w:color w:val="000000"/>
              </w:rPr>
            </w:pPr>
            <w:r w:rsidRPr="00907E04">
              <w:rPr>
                <w:rFonts w:cs="Arial"/>
                <w:color w:val="000000"/>
              </w:rPr>
              <w:t>Supplement Mitral Valve created from Left Atrioventricular Valve with Autologous Tissue Substitute, Open Approach</w:t>
            </w:r>
          </w:p>
        </w:tc>
      </w:tr>
      <w:tr w:rsidR="009D1A7B" w:rsidRPr="00907E04" w14:paraId="12C2642A" w14:textId="77777777" w:rsidTr="002C718A">
        <w:trPr>
          <w:trHeight w:val="300"/>
        </w:trPr>
        <w:tc>
          <w:tcPr>
            <w:tcW w:w="1615" w:type="dxa"/>
            <w:noWrap/>
            <w:vAlign w:val="center"/>
            <w:hideMark/>
          </w:tcPr>
          <w:p w14:paraId="6A2EE232" w14:textId="77777777" w:rsidR="009D1A7B" w:rsidRPr="00907E04" w:rsidRDefault="009D1A7B" w:rsidP="00696E8F">
            <w:pPr>
              <w:rPr>
                <w:rFonts w:cs="Arial"/>
                <w:color w:val="000000"/>
              </w:rPr>
            </w:pPr>
            <w:r w:rsidRPr="00907E04">
              <w:rPr>
                <w:rFonts w:cs="Arial"/>
                <w:color w:val="000000"/>
              </w:rPr>
              <w:t>02UG07Z</w:t>
            </w:r>
          </w:p>
        </w:tc>
        <w:tc>
          <w:tcPr>
            <w:tcW w:w="7817" w:type="dxa"/>
            <w:noWrap/>
            <w:vAlign w:val="center"/>
            <w:hideMark/>
          </w:tcPr>
          <w:p w14:paraId="23A88350" w14:textId="77777777" w:rsidR="009D1A7B" w:rsidRPr="00907E04" w:rsidRDefault="009D1A7B" w:rsidP="00696E8F">
            <w:pPr>
              <w:rPr>
                <w:rFonts w:cs="Arial"/>
                <w:color w:val="000000"/>
              </w:rPr>
            </w:pPr>
            <w:r w:rsidRPr="00907E04">
              <w:rPr>
                <w:rFonts w:cs="Arial"/>
                <w:color w:val="000000"/>
              </w:rPr>
              <w:t>Supplement Mitral Valve with Autologous Tissue Substitute, Open Approach</w:t>
            </w:r>
          </w:p>
        </w:tc>
      </w:tr>
      <w:tr w:rsidR="009D1A7B" w:rsidRPr="00907E04" w14:paraId="567A1EC0" w14:textId="77777777" w:rsidTr="002C718A">
        <w:trPr>
          <w:trHeight w:val="300"/>
        </w:trPr>
        <w:tc>
          <w:tcPr>
            <w:tcW w:w="1615" w:type="dxa"/>
            <w:noWrap/>
            <w:vAlign w:val="center"/>
            <w:hideMark/>
          </w:tcPr>
          <w:p w14:paraId="46895967" w14:textId="77777777" w:rsidR="009D1A7B" w:rsidRPr="00907E04" w:rsidRDefault="009D1A7B" w:rsidP="00696E8F">
            <w:pPr>
              <w:rPr>
                <w:rFonts w:cs="Arial"/>
                <w:color w:val="000000"/>
              </w:rPr>
            </w:pPr>
            <w:r w:rsidRPr="00907E04">
              <w:rPr>
                <w:rFonts w:cs="Arial"/>
                <w:color w:val="000000"/>
              </w:rPr>
              <w:t>02UG08E</w:t>
            </w:r>
          </w:p>
        </w:tc>
        <w:tc>
          <w:tcPr>
            <w:tcW w:w="7817" w:type="dxa"/>
            <w:noWrap/>
            <w:vAlign w:val="center"/>
            <w:hideMark/>
          </w:tcPr>
          <w:p w14:paraId="1E379C76" w14:textId="77777777" w:rsidR="009D1A7B" w:rsidRPr="00907E04" w:rsidRDefault="009D1A7B" w:rsidP="00696E8F">
            <w:pPr>
              <w:rPr>
                <w:rFonts w:cs="Arial"/>
                <w:color w:val="000000"/>
              </w:rPr>
            </w:pPr>
            <w:r w:rsidRPr="00907E04">
              <w:rPr>
                <w:rFonts w:cs="Arial"/>
                <w:color w:val="000000"/>
              </w:rPr>
              <w:t xml:space="preserve">Supplement Mitral Valve created from Left Atrioventricular Valve with </w:t>
            </w:r>
            <w:proofErr w:type="spellStart"/>
            <w:r w:rsidRPr="00907E04">
              <w:rPr>
                <w:rFonts w:cs="Arial"/>
                <w:color w:val="000000"/>
              </w:rPr>
              <w:t>Zooplastic</w:t>
            </w:r>
            <w:proofErr w:type="spellEnd"/>
            <w:r w:rsidRPr="00907E04">
              <w:rPr>
                <w:rFonts w:cs="Arial"/>
                <w:color w:val="000000"/>
              </w:rPr>
              <w:t xml:space="preserve"> Tissue, Open Approach</w:t>
            </w:r>
          </w:p>
        </w:tc>
      </w:tr>
      <w:tr w:rsidR="009D1A7B" w:rsidRPr="00907E04" w14:paraId="2694DFBA" w14:textId="77777777" w:rsidTr="002C718A">
        <w:trPr>
          <w:trHeight w:val="300"/>
        </w:trPr>
        <w:tc>
          <w:tcPr>
            <w:tcW w:w="1615" w:type="dxa"/>
            <w:noWrap/>
            <w:vAlign w:val="center"/>
            <w:hideMark/>
          </w:tcPr>
          <w:p w14:paraId="25FA9B52" w14:textId="77777777" w:rsidR="009D1A7B" w:rsidRPr="00907E04" w:rsidRDefault="009D1A7B" w:rsidP="00696E8F">
            <w:pPr>
              <w:rPr>
                <w:rFonts w:cs="Arial"/>
                <w:color w:val="000000"/>
              </w:rPr>
            </w:pPr>
            <w:r w:rsidRPr="00907E04">
              <w:rPr>
                <w:rFonts w:cs="Arial"/>
                <w:color w:val="000000"/>
              </w:rPr>
              <w:t>02UG08Z</w:t>
            </w:r>
          </w:p>
        </w:tc>
        <w:tc>
          <w:tcPr>
            <w:tcW w:w="7817" w:type="dxa"/>
            <w:noWrap/>
            <w:vAlign w:val="center"/>
            <w:hideMark/>
          </w:tcPr>
          <w:p w14:paraId="1A255E07" w14:textId="77777777" w:rsidR="009D1A7B" w:rsidRPr="00907E04" w:rsidRDefault="009D1A7B" w:rsidP="00696E8F">
            <w:pPr>
              <w:rPr>
                <w:rFonts w:cs="Arial"/>
                <w:color w:val="000000"/>
              </w:rPr>
            </w:pPr>
            <w:r w:rsidRPr="00907E04">
              <w:rPr>
                <w:rFonts w:cs="Arial"/>
                <w:color w:val="000000"/>
              </w:rPr>
              <w:t xml:space="preserve">Supplement Mitral Valve with </w:t>
            </w:r>
            <w:proofErr w:type="spellStart"/>
            <w:r w:rsidRPr="00907E04">
              <w:rPr>
                <w:rFonts w:cs="Arial"/>
                <w:color w:val="000000"/>
              </w:rPr>
              <w:t>Zooplastic</w:t>
            </w:r>
            <w:proofErr w:type="spellEnd"/>
            <w:r w:rsidRPr="00907E04">
              <w:rPr>
                <w:rFonts w:cs="Arial"/>
                <w:color w:val="000000"/>
              </w:rPr>
              <w:t xml:space="preserve"> Tissue, Open Approach</w:t>
            </w:r>
          </w:p>
        </w:tc>
      </w:tr>
      <w:tr w:rsidR="009D1A7B" w:rsidRPr="00907E04" w14:paraId="27DE50AB" w14:textId="77777777" w:rsidTr="002C718A">
        <w:trPr>
          <w:trHeight w:val="300"/>
        </w:trPr>
        <w:tc>
          <w:tcPr>
            <w:tcW w:w="1615" w:type="dxa"/>
            <w:noWrap/>
            <w:vAlign w:val="center"/>
            <w:hideMark/>
          </w:tcPr>
          <w:p w14:paraId="3857AA5A" w14:textId="77777777" w:rsidR="009D1A7B" w:rsidRPr="00907E04" w:rsidRDefault="009D1A7B" w:rsidP="00696E8F">
            <w:pPr>
              <w:rPr>
                <w:rFonts w:cs="Arial"/>
                <w:color w:val="000000"/>
              </w:rPr>
            </w:pPr>
            <w:r w:rsidRPr="00907E04">
              <w:rPr>
                <w:rFonts w:cs="Arial"/>
                <w:color w:val="000000"/>
              </w:rPr>
              <w:t>02UG0JE</w:t>
            </w:r>
          </w:p>
        </w:tc>
        <w:tc>
          <w:tcPr>
            <w:tcW w:w="7817" w:type="dxa"/>
            <w:noWrap/>
            <w:vAlign w:val="center"/>
            <w:hideMark/>
          </w:tcPr>
          <w:p w14:paraId="162F18FD" w14:textId="77777777" w:rsidR="009D1A7B" w:rsidRPr="00907E04" w:rsidRDefault="009D1A7B" w:rsidP="00696E8F">
            <w:pPr>
              <w:rPr>
                <w:rFonts w:cs="Arial"/>
                <w:color w:val="000000"/>
              </w:rPr>
            </w:pPr>
            <w:r w:rsidRPr="00907E04">
              <w:rPr>
                <w:rFonts w:cs="Arial"/>
                <w:color w:val="000000"/>
              </w:rPr>
              <w:t>Supplement Mitral Valve created from Left Atrioventricular Valve with Synthetic Substitute, Open Approach</w:t>
            </w:r>
          </w:p>
        </w:tc>
      </w:tr>
      <w:tr w:rsidR="009D1A7B" w:rsidRPr="00907E04" w14:paraId="050B81C3" w14:textId="77777777" w:rsidTr="002C718A">
        <w:trPr>
          <w:trHeight w:val="300"/>
        </w:trPr>
        <w:tc>
          <w:tcPr>
            <w:tcW w:w="1615" w:type="dxa"/>
            <w:noWrap/>
            <w:vAlign w:val="center"/>
            <w:hideMark/>
          </w:tcPr>
          <w:p w14:paraId="16C970C9" w14:textId="77777777" w:rsidR="009D1A7B" w:rsidRPr="00907E04" w:rsidRDefault="009D1A7B" w:rsidP="00696E8F">
            <w:pPr>
              <w:rPr>
                <w:rFonts w:cs="Arial"/>
                <w:color w:val="000000"/>
              </w:rPr>
            </w:pPr>
            <w:r w:rsidRPr="00907E04">
              <w:rPr>
                <w:rFonts w:cs="Arial"/>
                <w:color w:val="000000"/>
              </w:rPr>
              <w:t>02UG0JZ</w:t>
            </w:r>
          </w:p>
        </w:tc>
        <w:tc>
          <w:tcPr>
            <w:tcW w:w="7817" w:type="dxa"/>
            <w:noWrap/>
            <w:vAlign w:val="center"/>
            <w:hideMark/>
          </w:tcPr>
          <w:p w14:paraId="48F89F7E" w14:textId="77777777" w:rsidR="009D1A7B" w:rsidRPr="00907E04" w:rsidRDefault="009D1A7B" w:rsidP="00696E8F">
            <w:pPr>
              <w:rPr>
                <w:rFonts w:cs="Arial"/>
                <w:color w:val="000000"/>
              </w:rPr>
            </w:pPr>
            <w:r w:rsidRPr="00907E04">
              <w:rPr>
                <w:rFonts w:cs="Arial"/>
                <w:color w:val="000000"/>
              </w:rPr>
              <w:t>Supplement Mitral Valve with Synthetic Substitute, Open Approach</w:t>
            </w:r>
          </w:p>
        </w:tc>
      </w:tr>
      <w:tr w:rsidR="009D1A7B" w:rsidRPr="00907E04" w14:paraId="2C3D852F" w14:textId="77777777" w:rsidTr="002C718A">
        <w:trPr>
          <w:trHeight w:val="300"/>
        </w:trPr>
        <w:tc>
          <w:tcPr>
            <w:tcW w:w="1615" w:type="dxa"/>
            <w:noWrap/>
            <w:vAlign w:val="center"/>
            <w:hideMark/>
          </w:tcPr>
          <w:p w14:paraId="257DD947" w14:textId="77777777" w:rsidR="009D1A7B" w:rsidRPr="00907E04" w:rsidRDefault="009D1A7B" w:rsidP="00696E8F">
            <w:pPr>
              <w:rPr>
                <w:rFonts w:cs="Arial"/>
                <w:color w:val="000000"/>
              </w:rPr>
            </w:pPr>
            <w:r w:rsidRPr="00907E04">
              <w:rPr>
                <w:rFonts w:cs="Arial"/>
                <w:color w:val="000000"/>
              </w:rPr>
              <w:t>02UG0KE</w:t>
            </w:r>
          </w:p>
        </w:tc>
        <w:tc>
          <w:tcPr>
            <w:tcW w:w="7817" w:type="dxa"/>
            <w:noWrap/>
            <w:vAlign w:val="center"/>
            <w:hideMark/>
          </w:tcPr>
          <w:p w14:paraId="68053E8D" w14:textId="77777777" w:rsidR="009D1A7B" w:rsidRPr="00907E04" w:rsidRDefault="009D1A7B" w:rsidP="00696E8F">
            <w:pPr>
              <w:rPr>
                <w:rFonts w:cs="Arial"/>
                <w:color w:val="000000"/>
              </w:rPr>
            </w:pPr>
            <w:r w:rsidRPr="00907E04">
              <w:rPr>
                <w:rFonts w:cs="Arial"/>
                <w:color w:val="000000"/>
              </w:rPr>
              <w:t xml:space="preserve">Supplement Mitral Valve created from Left Atrioventricular Valve with </w:t>
            </w:r>
            <w:proofErr w:type="spellStart"/>
            <w:r w:rsidRPr="00907E04">
              <w:rPr>
                <w:rFonts w:cs="Arial"/>
                <w:color w:val="000000"/>
              </w:rPr>
              <w:t>Nonautologous</w:t>
            </w:r>
            <w:proofErr w:type="spellEnd"/>
            <w:r w:rsidRPr="00907E04">
              <w:rPr>
                <w:rFonts w:cs="Arial"/>
                <w:color w:val="000000"/>
              </w:rPr>
              <w:t xml:space="preserve"> Tissue Substitute, Open Approach</w:t>
            </w:r>
          </w:p>
        </w:tc>
      </w:tr>
      <w:tr w:rsidR="009D1A7B" w:rsidRPr="00907E04" w14:paraId="15CA7C11" w14:textId="77777777" w:rsidTr="002C718A">
        <w:trPr>
          <w:trHeight w:val="300"/>
        </w:trPr>
        <w:tc>
          <w:tcPr>
            <w:tcW w:w="1615" w:type="dxa"/>
            <w:noWrap/>
            <w:vAlign w:val="center"/>
            <w:hideMark/>
          </w:tcPr>
          <w:p w14:paraId="4F2B2D5F" w14:textId="77777777" w:rsidR="009D1A7B" w:rsidRPr="00907E04" w:rsidRDefault="009D1A7B" w:rsidP="00696E8F">
            <w:pPr>
              <w:rPr>
                <w:rFonts w:cs="Arial"/>
                <w:color w:val="000000"/>
              </w:rPr>
            </w:pPr>
            <w:r w:rsidRPr="00907E04">
              <w:rPr>
                <w:rFonts w:cs="Arial"/>
                <w:color w:val="000000"/>
              </w:rPr>
              <w:t>02UG0KZ</w:t>
            </w:r>
          </w:p>
        </w:tc>
        <w:tc>
          <w:tcPr>
            <w:tcW w:w="7817" w:type="dxa"/>
            <w:noWrap/>
            <w:vAlign w:val="center"/>
            <w:hideMark/>
          </w:tcPr>
          <w:p w14:paraId="4678726C" w14:textId="77777777" w:rsidR="009D1A7B" w:rsidRPr="00907E04" w:rsidRDefault="009D1A7B" w:rsidP="00696E8F">
            <w:pPr>
              <w:rPr>
                <w:rFonts w:cs="Arial"/>
                <w:color w:val="000000"/>
              </w:rPr>
            </w:pPr>
            <w:r w:rsidRPr="00907E04">
              <w:rPr>
                <w:rFonts w:cs="Arial"/>
                <w:color w:val="000000"/>
              </w:rPr>
              <w:t xml:space="preserve">Supplement Mitral Valve with </w:t>
            </w:r>
            <w:proofErr w:type="spellStart"/>
            <w:r w:rsidRPr="00907E04">
              <w:rPr>
                <w:rFonts w:cs="Arial"/>
                <w:color w:val="000000"/>
              </w:rPr>
              <w:t>Nonautologous</w:t>
            </w:r>
            <w:proofErr w:type="spellEnd"/>
            <w:r w:rsidRPr="00907E04">
              <w:rPr>
                <w:rFonts w:cs="Arial"/>
                <w:color w:val="000000"/>
              </w:rPr>
              <w:t xml:space="preserve"> Tissue Substitute, Open Approach</w:t>
            </w:r>
          </w:p>
        </w:tc>
      </w:tr>
      <w:tr w:rsidR="009D1A7B" w:rsidRPr="00907E04" w14:paraId="3576EB4E" w14:textId="77777777" w:rsidTr="002C718A">
        <w:trPr>
          <w:trHeight w:val="300"/>
        </w:trPr>
        <w:tc>
          <w:tcPr>
            <w:tcW w:w="1615" w:type="dxa"/>
            <w:noWrap/>
            <w:vAlign w:val="center"/>
            <w:hideMark/>
          </w:tcPr>
          <w:p w14:paraId="1406620F" w14:textId="77777777" w:rsidR="009D1A7B" w:rsidRPr="00907E04" w:rsidRDefault="009D1A7B" w:rsidP="00696E8F">
            <w:pPr>
              <w:rPr>
                <w:rFonts w:cs="Arial"/>
                <w:color w:val="000000"/>
              </w:rPr>
            </w:pPr>
            <w:r w:rsidRPr="00907E04">
              <w:rPr>
                <w:rFonts w:cs="Arial"/>
                <w:color w:val="000000"/>
              </w:rPr>
              <w:t>02VG0ZZ</w:t>
            </w:r>
          </w:p>
        </w:tc>
        <w:tc>
          <w:tcPr>
            <w:tcW w:w="7817" w:type="dxa"/>
            <w:noWrap/>
            <w:vAlign w:val="center"/>
            <w:hideMark/>
          </w:tcPr>
          <w:p w14:paraId="53EC90AC" w14:textId="77777777" w:rsidR="009D1A7B" w:rsidRPr="00907E04" w:rsidRDefault="009D1A7B" w:rsidP="00696E8F">
            <w:pPr>
              <w:rPr>
                <w:rFonts w:cs="Arial"/>
                <w:color w:val="000000"/>
              </w:rPr>
            </w:pPr>
            <w:r w:rsidRPr="00907E04">
              <w:rPr>
                <w:rFonts w:cs="Arial"/>
                <w:color w:val="000000"/>
              </w:rPr>
              <w:t>Restriction of Mitral Valve, Open Approach</w:t>
            </w:r>
          </w:p>
        </w:tc>
      </w:tr>
    </w:tbl>
    <w:p w14:paraId="2E2DDA7E" w14:textId="77777777" w:rsidR="00762789" w:rsidRPr="009A5185" w:rsidRDefault="00762789" w:rsidP="00762789">
      <w:pPr>
        <w:rPr>
          <w:rFonts w:cs="Arial"/>
          <w:b/>
        </w:rPr>
      </w:pPr>
    </w:p>
    <w:p w14:paraId="3023CE5E" w14:textId="77777777" w:rsidR="00F13A61" w:rsidRPr="009A5185" w:rsidRDefault="00F13A61">
      <w:pPr>
        <w:rPr>
          <w:rFonts w:cs="Arial"/>
          <w:b/>
          <w:i/>
          <w:snapToGrid w:val="0"/>
          <w:sz w:val="24"/>
          <w:szCs w:val="24"/>
          <w:lang w:eastAsia="ja-JP"/>
        </w:rPr>
      </w:pPr>
    </w:p>
    <w:p w14:paraId="68B0C7A2" w14:textId="77777777" w:rsidR="007550AD" w:rsidRDefault="007550AD">
      <w:pPr>
        <w:rPr>
          <w:b/>
          <w:i/>
          <w:snapToGrid w:val="0"/>
          <w:sz w:val="24"/>
          <w:szCs w:val="24"/>
          <w:lang w:eastAsia="ja-JP"/>
        </w:rPr>
      </w:pPr>
      <w:r>
        <w:br w:type="page"/>
      </w:r>
    </w:p>
    <w:p w14:paraId="60E789BC" w14:textId="367FB141" w:rsidR="00C80D44" w:rsidRPr="009A5185" w:rsidRDefault="00C80D44" w:rsidP="000C2C54">
      <w:pPr>
        <w:pStyle w:val="Heading44"/>
      </w:pPr>
      <w:bookmarkStart w:id="255" w:name="Aortic"/>
      <w:r w:rsidRPr="009A5185">
        <w:lastRenderedPageBreak/>
        <w:t xml:space="preserve">Open Aortic </w:t>
      </w:r>
      <w:r w:rsidR="004B6F34">
        <w:t>Procedures</w:t>
      </w:r>
      <w:r w:rsidRPr="009A5185">
        <w:t xml:space="preserve"> Measure </w:t>
      </w:r>
      <w:r w:rsidR="000765C6">
        <w:t>Specifications</w:t>
      </w:r>
      <w:bookmarkEnd w:id="255"/>
    </w:p>
    <w:p w14:paraId="2D9BE31D" w14:textId="77777777" w:rsidR="00C80D44" w:rsidRPr="009A5185" w:rsidRDefault="00C80D44" w:rsidP="00C80D44">
      <w:pPr>
        <w:rPr>
          <w:rFonts w:cs="Arial"/>
        </w:rPr>
      </w:pPr>
    </w:p>
    <w:p w14:paraId="5064A600" w14:textId="77777777" w:rsidR="00C80D44" w:rsidRPr="00336B4B" w:rsidRDefault="00C80D44" w:rsidP="00336B4B">
      <w:pPr>
        <w:rPr>
          <w:rFonts w:cs="Arial"/>
        </w:rPr>
      </w:pPr>
      <w:r w:rsidRPr="009A5185">
        <w:rPr>
          <w:rFonts w:cs="Arial"/>
        </w:rPr>
        <w:t xml:space="preserve">For </w:t>
      </w:r>
      <w:r w:rsidR="00D64B08" w:rsidRPr="009A5185">
        <w:rPr>
          <w:rFonts w:cs="Arial"/>
        </w:rPr>
        <w:t xml:space="preserve">open aortic </w:t>
      </w:r>
      <w:r w:rsidR="00D64B08">
        <w:rPr>
          <w:rFonts w:cs="Arial"/>
        </w:rPr>
        <w:t>procedures</w:t>
      </w:r>
      <w:r w:rsidR="00336B4B">
        <w:rPr>
          <w:rFonts w:cs="Arial"/>
        </w:rPr>
        <w:t xml:space="preserve">, </w:t>
      </w:r>
      <w:r w:rsidR="00336B4B" w:rsidRPr="00336B4B">
        <w:rPr>
          <w:rFonts w:cs="Arial"/>
        </w:rPr>
        <w:t>there is only one set of IC</w:t>
      </w:r>
      <w:r w:rsidR="007550AD">
        <w:rPr>
          <w:rFonts w:cs="Arial"/>
        </w:rPr>
        <w:t>D-10 codes for counting patient discharges</w:t>
      </w:r>
      <w:r w:rsidR="00336B4B" w:rsidRPr="00336B4B">
        <w:rPr>
          <w:rFonts w:cs="Arial"/>
        </w:rPr>
        <w:t>. The set of codes is to identify patients who have had the procedure.</w:t>
      </w:r>
    </w:p>
    <w:p w14:paraId="40413F5E" w14:textId="77777777" w:rsidR="00C80D44" w:rsidRPr="009A5185" w:rsidRDefault="00C80D44" w:rsidP="00C80D44">
      <w:pPr>
        <w:rPr>
          <w:rFonts w:cs="Arial"/>
        </w:rPr>
      </w:pPr>
    </w:p>
    <w:p w14:paraId="2228CC2C" w14:textId="77777777" w:rsidR="00C80D44" w:rsidRPr="009A5185" w:rsidRDefault="007550AD" w:rsidP="00C80D44">
      <w:pPr>
        <w:rPr>
          <w:rFonts w:cs="Arial"/>
        </w:rPr>
      </w:pPr>
      <w:r>
        <w:rPr>
          <w:rFonts w:cs="Arial"/>
        </w:rPr>
        <w:t>Count the n</w:t>
      </w:r>
      <w:r w:rsidR="00C80D44" w:rsidRPr="009A5185">
        <w:rPr>
          <w:rFonts w:cs="Arial"/>
        </w:rPr>
        <w:t>umber of patients, age</w:t>
      </w:r>
      <w:r w:rsidR="00D64B08">
        <w:rPr>
          <w:rFonts w:cs="Arial"/>
        </w:rPr>
        <w:t>s</w:t>
      </w:r>
      <w:r w:rsidR="00C80D44" w:rsidRPr="009A5185">
        <w:rPr>
          <w:rFonts w:cs="Arial"/>
        </w:rPr>
        <w:t xml:space="preserve"> 18 years and older, discharged with the following ICD-10 codes in any procedure field</w:t>
      </w:r>
      <w:r w:rsidR="003C3470">
        <w:rPr>
          <w:rFonts w:cs="Arial"/>
        </w:rPr>
        <w:t>.</w:t>
      </w:r>
    </w:p>
    <w:p w14:paraId="122D715B" w14:textId="77777777" w:rsidR="00676C27" w:rsidRPr="009A5185" w:rsidRDefault="00676C27" w:rsidP="00C80D44">
      <w:pPr>
        <w:rPr>
          <w:rFonts w:cs="Arial"/>
        </w:rPr>
      </w:pPr>
    </w:p>
    <w:p w14:paraId="74625A77" w14:textId="77777777" w:rsidR="00C80D44" w:rsidRPr="009A5185" w:rsidRDefault="00C80D44" w:rsidP="00C80D44">
      <w:pPr>
        <w:rPr>
          <w:rFonts w:cs="Arial"/>
          <w:b/>
        </w:rPr>
      </w:pPr>
      <w:r w:rsidRPr="009A5185">
        <w:rPr>
          <w:rFonts w:cs="Arial"/>
          <w:b/>
        </w:rPr>
        <w:t xml:space="preserve">ICD-10 Open Aortic Procedure Codes </w:t>
      </w:r>
    </w:p>
    <w:p w14:paraId="7C358016" w14:textId="77777777" w:rsidR="00C80D44" w:rsidRPr="009A5185" w:rsidRDefault="00C80D44" w:rsidP="00C80D44">
      <w:pPr>
        <w:rPr>
          <w:rFonts w:cs="Arial"/>
          <w:b/>
        </w:rPr>
      </w:pPr>
    </w:p>
    <w:tbl>
      <w:tblPr>
        <w:tblStyle w:val="TableGrid"/>
        <w:tblW w:w="9653" w:type="dxa"/>
        <w:tblLook w:val="04A0" w:firstRow="1" w:lastRow="0" w:firstColumn="1" w:lastColumn="0" w:noHBand="0" w:noVBand="1"/>
      </w:tblPr>
      <w:tblGrid>
        <w:gridCol w:w="1525"/>
        <w:gridCol w:w="8128"/>
      </w:tblGrid>
      <w:tr w:rsidR="00D64B08" w:rsidRPr="0004317D" w14:paraId="14972EA9" w14:textId="77777777" w:rsidTr="002C718A">
        <w:trPr>
          <w:trHeight w:val="432"/>
          <w:tblHeader/>
        </w:trPr>
        <w:tc>
          <w:tcPr>
            <w:tcW w:w="1525" w:type="dxa"/>
            <w:shd w:val="clear" w:color="auto" w:fill="BFBFBF" w:themeFill="background1" w:themeFillShade="BF"/>
            <w:vAlign w:val="center"/>
          </w:tcPr>
          <w:p w14:paraId="2B7FCBBF" w14:textId="77777777" w:rsidR="00D64B08" w:rsidRPr="0004317D" w:rsidRDefault="00D64B08" w:rsidP="00696E8F">
            <w:pPr>
              <w:rPr>
                <w:rFonts w:cs="Arial"/>
                <w:color w:val="000000"/>
              </w:rPr>
            </w:pPr>
            <w:r w:rsidRPr="0004317D">
              <w:rPr>
                <w:rFonts w:cs="Arial"/>
                <w:b/>
                <w:bCs/>
                <w:color w:val="000000"/>
              </w:rPr>
              <w:t>ICD</w:t>
            </w:r>
            <w:r>
              <w:rPr>
                <w:rFonts w:cs="Arial"/>
                <w:b/>
                <w:bCs/>
                <w:color w:val="000000"/>
              </w:rPr>
              <w:t>-</w:t>
            </w:r>
            <w:r w:rsidRPr="0004317D">
              <w:rPr>
                <w:rFonts w:cs="Arial"/>
                <w:b/>
                <w:bCs/>
                <w:color w:val="000000"/>
              </w:rPr>
              <w:t>10 Procedure Code</w:t>
            </w:r>
          </w:p>
        </w:tc>
        <w:tc>
          <w:tcPr>
            <w:tcW w:w="8128" w:type="dxa"/>
            <w:shd w:val="clear" w:color="auto" w:fill="BFBFBF" w:themeFill="background1" w:themeFillShade="BF"/>
            <w:vAlign w:val="center"/>
          </w:tcPr>
          <w:p w14:paraId="60B82CAF" w14:textId="77777777" w:rsidR="00D64B08" w:rsidRPr="0004317D" w:rsidRDefault="00D64B08" w:rsidP="00696E8F">
            <w:pPr>
              <w:rPr>
                <w:rFonts w:cs="Arial"/>
                <w:color w:val="000000"/>
              </w:rPr>
            </w:pPr>
            <w:r w:rsidRPr="0004317D">
              <w:rPr>
                <w:rFonts w:cs="Arial"/>
                <w:b/>
                <w:bCs/>
                <w:color w:val="000000"/>
              </w:rPr>
              <w:t>Code Description</w:t>
            </w:r>
          </w:p>
        </w:tc>
      </w:tr>
      <w:tr w:rsidR="00D64B08" w:rsidRPr="00B83A18" w14:paraId="4CD7FD39" w14:textId="77777777" w:rsidTr="002C718A">
        <w:trPr>
          <w:trHeight w:val="300"/>
        </w:trPr>
        <w:tc>
          <w:tcPr>
            <w:tcW w:w="1525" w:type="dxa"/>
            <w:noWrap/>
            <w:vAlign w:val="center"/>
            <w:hideMark/>
          </w:tcPr>
          <w:p w14:paraId="06E5D141" w14:textId="77777777" w:rsidR="00D64B08" w:rsidRPr="00B83A18" w:rsidRDefault="00D64B08" w:rsidP="00696E8F">
            <w:pPr>
              <w:rPr>
                <w:rFonts w:cs="Arial"/>
                <w:color w:val="000000"/>
              </w:rPr>
            </w:pPr>
            <w:r w:rsidRPr="00B83A18">
              <w:rPr>
                <w:rFonts w:cs="Arial"/>
                <w:color w:val="000000"/>
              </w:rPr>
              <w:t>0410090</w:t>
            </w:r>
          </w:p>
        </w:tc>
        <w:tc>
          <w:tcPr>
            <w:tcW w:w="8128" w:type="dxa"/>
            <w:noWrap/>
            <w:vAlign w:val="center"/>
            <w:hideMark/>
          </w:tcPr>
          <w:p w14:paraId="39996582" w14:textId="77777777" w:rsidR="00D64B08" w:rsidRPr="00B83A18" w:rsidRDefault="00D64B08" w:rsidP="00696E8F">
            <w:pPr>
              <w:rPr>
                <w:rFonts w:cs="Arial"/>
                <w:color w:val="000000"/>
              </w:rPr>
            </w:pPr>
            <w:r w:rsidRPr="00B83A18">
              <w:rPr>
                <w:rFonts w:cs="Arial"/>
                <w:color w:val="000000"/>
              </w:rPr>
              <w:t>Bypass Abdominal Aorta to Abdominal Aorta with Autologous Venous Tissue, Open Approach</w:t>
            </w:r>
          </w:p>
        </w:tc>
      </w:tr>
      <w:tr w:rsidR="00D64B08" w:rsidRPr="00B83A18" w14:paraId="61F8AA01" w14:textId="77777777" w:rsidTr="002C718A">
        <w:trPr>
          <w:trHeight w:val="300"/>
        </w:trPr>
        <w:tc>
          <w:tcPr>
            <w:tcW w:w="1525" w:type="dxa"/>
            <w:noWrap/>
            <w:vAlign w:val="center"/>
            <w:hideMark/>
          </w:tcPr>
          <w:p w14:paraId="151A5B1C" w14:textId="77777777" w:rsidR="00D64B08" w:rsidRPr="00B83A18" w:rsidRDefault="00D64B08" w:rsidP="00696E8F">
            <w:pPr>
              <w:rPr>
                <w:rFonts w:cs="Arial"/>
                <w:color w:val="000000"/>
              </w:rPr>
            </w:pPr>
            <w:r w:rsidRPr="00B83A18">
              <w:rPr>
                <w:rFonts w:cs="Arial"/>
                <w:color w:val="000000"/>
              </w:rPr>
              <w:t>0410091</w:t>
            </w:r>
          </w:p>
        </w:tc>
        <w:tc>
          <w:tcPr>
            <w:tcW w:w="8128" w:type="dxa"/>
            <w:noWrap/>
            <w:vAlign w:val="center"/>
            <w:hideMark/>
          </w:tcPr>
          <w:p w14:paraId="2F260E20" w14:textId="77777777" w:rsidR="00D64B08" w:rsidRPr="00B83A18" w:rsidRDefault="00D64B08" w:rsidP="00696E8F">
            <w:pPr>
              <w:rPr>
                <w:rFonts w:cs="Arial"/>
                <w:color w:val="000000"/>
              </w:rPr>
            </w:pPr>
            <w:r w:rsidRPr="00B83A18">
              <w:rPr>
                <w:rFonts w:cs="Arial"/>
                <w:color w:val="000000"/>
              </w:rPr>
              <w:t>Bypass Abdominal Aorta to Celiac Artery with Autologous Venous Tissue, Open Approach</w:t>
            </w:r>
          </w:p>
        </w:tc>
      </w:tr>
      <w:tr w:rsidR="00D64B08" w:rsidRPr="00B83A18" w14:paraId="291DDDAE" w14:textId="77777777" w:rsidTr="002C718A">
        <w:trPr>
          <w:trHeight w:val="300"/>
        </w:trPr>
        <w:tc>
          <w:tcPr>
            <w:tcW w:w="1525" w:type="dxa"/>
            <w:noWrap/>
            <w:vAlign w:val="center"/>
            <w:hideMark/>
          </w:tcPr>
          <w:p w14:paraId="1B9ED40A" w14:textId="77777777" w:rsidR="00D64B08" w:rsidRPr="00B83A18" w:rsidRDefault="00D64B08" w:rsidP="00696E8F">
            <w:pPr>
              <w:rPr>
                <w:rFonts w:cs="Arial"/>
                <w:color w:val="000000"/>
              </w:rPr>
            </w:pPr>
            <w:r w:rsidRPr="00B83A18">
              <w:rPr>
                <w:rFonts w:cs="Arial"/>
                <w:color w:val="000000"/>
              </w:rPr>
              <w:t>0410092</w:t>
            </w:r>
          </w:p>
        </w:tc>
        <w:tc>
          <w:tcPr>
            <w:tcW w:w="8128" w:type="dxa"/>
            <w:noWrap/>
            <w:vAlign w:val="center"/>
            <w:hideMark/>
          </w:tcPr>
          <w:p w14:paraId="373937C9" w14:textId="77777777" w:rsidR="00D64B08" w:rsidRPr="00B83A18" w:rsidRDefault="00D64B08" w:rsidP="00696E8F">
            <w:pPr>
              <w:rPr>
                <w:rFonts w:cs="Arial"/>
                <w:color w:val="000000"/>
              </w:rPr>
            </w:pPr>
            <w:r w:rsidRPr="00B83A18">
              <w:rPr>
                <w:rFonts w:cs="Arial"/>
                <w:color w:val="000000"/>
              </w:rPr>
              <w:t>Bypass Abdominal Aorta to Mesenteric Artery with Autologous Venous Tissue, Open Approach</w:t>
            </w:r>
          </w:p>
        </w:tc>
      </w:tr>
      <w:tr w:rsidR="00D64B08" w:rsidRPr="00B83A18" w14:paraId="085E22F5" w14:textId="77777777" w:rsidTr="002C718A">
        <w:trPr>
          <w:trHeight w:val="300"/>
        </w:trPr>
        <w:tc>
          <w:tcPr>
            <w:tcW w:w="1525" w:type="dxa"/>
            <w:noWrap/>
            <w:vAlign w:val="center"/>
            <w:hideMark/>
          </w:tcPr>
          <w:p w14:paraId="79CE36DF" w14:textId="77777777" w:rsidR="00D64B08" w:rsidRPr="00B83A18" w:rsidRDefault="00D64B08" w:rsidP="00696E8F">
            <w:pPr>
              <w:rPr>
                <w:rFonts w:cs="Arial"/>
                <w:color w:val="000000"/>
              </w:rPr>
            </w:pPr>
            <w:r w:rsidRPr="00B83A18">
              <w:rPr>
                <w:rFonts w:cs="Arial"/>
                <w:color w:val="000000"/>
              </w:rPr>
              <w:t>0410093</w:t>
            </w:r>
          </w:p>
        </w:tc>
        <w:tc>
          <w:tcPr>
            <w:tcW w:w="8128" w:type="dxa"/>
            <w:noWrap/>
            <w:vAlign w:val="center"/>
            <w:hideMark/>
          </w:tcPr>
          <w:p w14:paraId="771C00F8" w14:textId="77777777" w:rsidR="00D64B08" w:rsidRPr="00B83A18" w:rsidRDefault="00D64B08" w:rsidP="00696E8F">
            <w:pPr>
              <w:rPr>
                <w:rFonts w:cs="Arial"/>
                <w:color w:val="000000"/>
              </w:rPr>
            </w:pPr>
            <w:r w:rsidRPr="00B83A18">
              <w:rPr>
                <w:rFonts w:cs="Arial"/>
                <w:color w:val="000000"/>
              </w:rPr>
              <w:t>Bypass Abdominal Aorta to Right Renal Artery with Autologous Venous Tissue, Open Approach</w:t>
            </w:r>
          </w:p>
        </w:tc>
      </w:tr>
      <w:tr w:rsidR="00D64B08" w:rsidRPr="00B83A18" w14:paraId="28C3251B" w14:textId="77777777" w:rsidTr="002C718A">
        <w:trPr>
          <w:trHeight w:val="300"/>
        </w:trPr>
        <w:tc>
          <w:tcPr>
            <w:tcW w:w="1525" w:type="dxa"/>
            <w:noWrap/>
            <w:vAlign w:val="center"/>
            <w:hideMark/>
          </w:tcPr>
          <w:p w14:paraId="1E6FC408" w14:textId="77777777" w:rsidR="00D64B08" w:rsidRPr="00B83A18" w:rsidRDefault="00D64B08" w:rsidP="00696E8F">
            <w:pPr>
              <w:rPr>
                <w:rFonts w:cs="Arial"/>
                <w:color w:val="000000"/>
              </w:rPr>
            </w:pPr>
            <w:r w:rsidRPr="00B83A18">
              <w:rPr>
                <w:rFonts w:cs="Arial"/>
                <w:color w:val="000000"/>
              </w:rPr>
              <w:t>0410094</w:t>
            </w:r>
          </w:p>
        </w:tc>
        <w:tc>
          <w:tcPr>
            <w:tcW w:w="8128" w:type="dxa"/>
            <w:noWrap/>
            <w:vAlign w:val="center"/>
            <w:hideMark/>
          </w:tcPr>
          <w:p w14:paraId="40C03522" w14:textId="77777777" w:rsidR="00D64B08" w:rsidRPr="00B83A18" w:rsidRDefault="00D64B08" w:rsidP="00696E8F">
            <w:pPr>
              <w:rPr>
                <w:rFonts w:cs="Arial"/>
                <w:color w:val="000000"/>
              </w:rPr>
            </w:pPr>
            <w:r w:rsidRPr="00B83A18">
              <w:rPr>
                <w:rFonts w:cs="Arial"/>
                <w:color w:val="000000"/>
              </w:rPr>
              <w:t>Bypass Abdominal Aorta to Left Renal Artery with Autologous Venous Tissue, Open Approach</w:t>
            </w:r>
          </w:p>
        </w:tc>
      </w:tr>
      <w:tr w:rsidR="00D64B08" w:rsidRPr="00B83A18" w14:paraId="33539D70" w14:textId="77777777" w:rsidTr="002C718A">
        <w:trPr>
          <w:trHeight w:val="300"/>
        </w:trPr>
        <w:tc>
          <w:tcPr>
            <w:tcW w:w="1525" w:type="dxa"/>
            <w:noWrap/>
            <w:vAlign w:val="center"/>
            <w:hideMark/>
          </w:tcPr>
          <w:p w14:paraId="617348C9" w14:textId="77777777" w:rsidR="00D64B08" w:rsidRPr="00B83A18" w:rsidRDefault="00D64B08" w:rsidP="00696E8F">
            <w:pPr>
              <w:rPr>
                <w:rFonts w:cs="Arial"/>
                <w:color w:val="000000"/>
              </w:rPr>
            </w:pPr>
            <w:r w:rsidRPr="00B83A18">
              <w:rPr>
                <w:rFonts w:cs="Arial"/>
                <w:color w:val="000000"/>
              </w:rPr>
              <w:t>0410095</w:t>
            </w:r>
          </w:p>
        </w:tc>
        <w:tc>
          <w:tcPr>
            <w:tcW w:w="8128" w:type="dxa"/>
            <w:noWrap/>
            <w:vAlign w:val="center"/>
            <w:hideMark/>
          </w:tcPr>
          <w:p w14:paraId="1EBC27E7" w14:textId="77777777" w:rsidR="00D64B08" w:rsidRPr="00B83A18" w:rsidRDefault="00D64B08" w:rsidP="00696E8F">
            <w:pPr>
              <w:rPr>
                <w:rFonts w:cs="Arial"/>
                <w:color w:val="000000"/>
              </w:rPr>
            </w:pPr>
            <w:r w:rsidRPr="00B83A18">
              <w:rPr>
                <w:rFonts w:cs="Arial"/>
                <w:color w:val="000000"/>
              </w:rPr>
              <w:t>Bypass Abdominal Aorta to Bilateral Renal Artery with Autologous Venous Tissue, Open Approach</w:t>
            </w:r>
          </w:p>
        </w:tc>
      </w:tr>
      <w:tr w:rsidR="00D64B08" w:rsidRPr="00B83A18" w14:paraId="01B2BAFF" w14:textId="77777777" w:rsidTr="002C718A">
        <w:trPr>
          <w:trHeight w:val="300"/>
        </w:trPr>
        <w:tc>
          <w:tcPr>
            <w:tcW w:w="1525" w:type="dxa"/>
            <w:noWrap/>
            <w:vAlign w:val="center"/>
            <w:hideMark/>
          </w:tcPr>
          <w:p w14:paraId="29CBA755" w14:textId="77777777" w:rsidR="00D64B08" w:rsidRPr="00B83A18" w:rsidRDefault="00D64B08" w:rsidP="00696E8F">
            <w:pPr>
              <w:rPr>
                <w:rFonts w:cs="Arial"/>
                <w:color w:val="000000"/>
              </w:rPr>
            </w:pPr>
            <w:r w:rsidRPr="00B83A18">
              <w:rPr>
                <w:rFonts w:cs="Arial"/>
                <w:color w:val="000000"/>
              </w:rPr>
              <w:t>0410096</w:t>
            </w:r>
          </w:p>
        </w:tc>
        <w:tc>
          <w:tcPr>
            <w:tcW w:w="8128" w:type="dxa"/>
            <w:noWrap/>
            <w:vAlign w:val="center"/>
            <w:hideMark/>
          </w:tcPr>
          <w:p w14:paraId="04DF32F6" w14:textId="77777777" w:rsidR="00D64B08" w:rsidRPr="00B83A18" w:rsidRDefault="00D64B08" w:rsidP="00696E8F">
            <w:pPr>
              <w:rPr>
                <w:rFonts w:cs="Arial"/>
                <w:color w:val="000000"/>
              </w:rPr>
            </w:pPr>
            <w:r w:rsidRPr="00B83A18">
              <w:rPr>
                <w:rFonts w:cs="Arial"/>
                <w:color w:val="000000"/>
              </w:rPr>
              <w:t>Bypass Abdominal Aorta to Right Common Iliac Artery with Autologous Venous Tissue, Open Approach</w:t>
            </w:r>
          </w:p>
        </w:tc>
      </w:tr>
      <w:tr w:rsidR="00D64B08" w:rsidRPr="00B83A18" w14:paraId="2744593B" w14:textId="77777777" w:rsidTr="002C718A">
        <w:trPr>
          <w:trHeight w:val="300"/>
        </w:trPr>
        <w:tc>
          <w:tcPr>
            <w:tcW w:w="1525" w:type="dxa"/>
            <w:noWrap/>
            <w:vAlign w:val="center"/>
            <w:hideMark/>
          </w:tcPr>
          <w:p w14:paraId="40BC81E2" w14:textId="77777777" w:rsidR="00D64B08" w:rsidRPr="00B83A18" w:rsidRDefault="00D64B08" w:rsidP="00696E8F">
            <w:pPr>
              <w:rPr>
                <w:rFonts w:cs="Arial"/>
                <w:color w:val="000000"/>
              </w:rPr>
            </w:pPr>
            <w:r w:rsidRPr="00B83A18">
              <w:rPr>
                <w:rFonts w:cs="Arial"/>
                <w:color w:val="000000"/>
              </w:rPr>
              <w:t>0410097</w:t>
            </w:r>
          </w:p>
        </w:tc>
        <w:tc>
          <w:tcPr>
            <w:tcW w:w="8128" w:type="dxa"/>
            <w:noWrap/>
            <w:vAlign w:val="center"/>
            <w:hideMark/>
          </w:tcPr>
          <w:p w14:paraId="1ACF8C41" w14:textId="77777777" w:rsidR="00D64B08" w:rsidRPr="00B83A18" w:rsidRDefault="00D64B08" w:rsidP="00696E8F">
            <w:pPr>
              <w:rPr>
                <w:rFonts w:cs="Arial"/>
                <w:color w:val="000000"/>
              </w:rPr>
            </w:pPr>
            <w:r w:rsidRPr="00B83A18">
              <w:rPr>
                <w:rFonts w:cs="Arial"/>
                <w:color w:val="000000"/>
              </w:rPr>
              <w:t>Bypass Abdominal Aorta to Left Common Iliac Artery with Autologous Venous Tissue, Open Approach</w:t>
            </w:r>
          </w:p>
        </w:tc>
      </w:tr>
      <w:tr w:rsidR="00D64B08" w:rsidRPr="00B83A18" w14:paraId="2AFC75E6" w14:textId="77777777" w:rsidTr="002C718A">
        <w:trPr>
          <w:trHeight w:val="300"/>
        </w:trPr>
        <w:tc>
          <w:tcPr>
            <w:tcW w:w="1525" w:type="dxa"/>
            <w:noWrap/>
            <w:vAlign w:val="center"/>
            <w:hideMark/>
          </w:tcPr>
          <w:p w14:paraId="041FE815" w14:textId="77777777" w:rsidR="00D64B08" w:rsidRPr="00B83A18" w:rsidRDefault="00D64B08" w:rsidP="00696E8F">
            <w:pPr>
              <w:rPr>
                <w:rFonts w:cs="Arial"/>
                <w:color w:val="000000"/>
              </w:rPr>
            </w:pPr>
            <w:r w:rsidRPr="00B83A18">
              <w:rPr>
                <w:rFonts w:cs="Arial"/>
                <w:color w:val="000000"/>
              </w:rPr>
              <w:t>0410098</w:t>
            </w:r>
          </w:p>
        </w:tc>
        <w:tc>
          <w:tcPr>
            <w:tcW w:w="8128" w:type="dxa"/>
            <w:noWrap/>
            <w:vAlign w:val="center"/>
            <w:hideMark/>
          </w:tcPr>
          <w:p w14:paraId="57171138" w14:textId="77777777" w:rsidR="00D64B08" w:rsidRPr="00B83A18" w:rsidRDefault="00D64B08" w:rsidP="00696E8F">
            <w:pPr>
              <w:rPr>
                <w:rFonts w:cs="Arial"/>
                <w:color w:val="000000"/>
              </w:rPr>
            </w:pPr>
            <w:r w:rsidRPr="00B83A18">
              <w:rPr>
                <w:rFonts w:cs="Arial"/>
                <w:color w:val="000000"/>
              </w:rPr>
              <w:t>Bypass Abdominal Aorta to Bilateral Common Iliac Arteries with Autologous Venous Tissue, Open Approach</w:t>
            </w:r>
          </w:p>
        </w:tc>
      </w:tr>
      <w:tr w:rsidR="00D64B08" w:rsidRPr="00B83A18" w14:paraId="4435D884" w14:textId="77777777" w:rsidTr="002C718A">
        <w:trPr>
          <w:trHeight w:val="300"/>
        </w:trPr>
        <w:tc>
          <w:tcPr>
            <w:tcW w:w="1525" w:type="dxa"/>
            <w:noWrap/>
            <w:vAlign w:val="center"/>
            <w:hideMark/>
          </w:tcPr>
          <w:p w14:paraId="3243C941" w14:textId="77777777" w:rsidR="00D64B08" w:rsidRPr="00B83A18" w:rsidRDefault="00D64B08" w:rsidP="00696E8F">
            <w:pPr>
              <w:rPr>
                <w:rFonts w:cs="Arial"/>
                <w:color w:val="000000"/>
              </w:rPr>
            </w:pPr>
            <w:r w:rsidRPr="00B83A18">
              <w:rPr>
                <w:rFonts w:cs="Arial"/>
                <w:color w:val="000000"/>
              </w:rPr>
              <w:t>0410099</w:t>
            </w:r>
          </w:p>
        </w:tc>
        <w:tc>
          <w:tcPr>
            <w:tcW w:w="8128" w:type="dxa"/>
            <w:noWrap/>
            <w:vAlign w:val="center"/>
            <w:hideMark/>
          </w:tcPr>
          <w:p w14:paraId="6D8C8E23" w14:textId="77777777" w:rsidR="00D64B08" w:rsidRPr="00B83A18" w:rsidRDefault="00D64B08" w:rsidP="00696E8F">
            <w:pPr>
              <w:rPr>
                <w:rFonts w:cs="Arial"/>
                <w:color w:val="000000"/>
              </w:rPr>
            </w:pPr>
            <w:r w:rsidRPr="00B83A18">
              <w:rPr>
                <w:rFonts w:cs="Arial"/>
                <w:color w:val="000000"/>
              </w:rPr>
              <w:t>Bypass Abdominal Aorta to Right Internal Iliac Artery with Autologous Venous Tissue, Open Approach</w:t>
            </w:r>
          </w:p>
        </w:tc>
      </w:tr>
      <w:tr w:rsidR="00F67359" w:rsidRPr="00B83A18" w14:paraId="141FBC01" w14:textId="77777777" w:rsidTr="002C718A">
        <w:trPr>
          <w:trHeight w:val="300"/>
        </w:trPr>
        <w:tc>
          <w:tcPr>
            <w:tcW w:w="1525" w:type="dxa"/>
            <w:noWrap/>
            <w:vAlign w:val="center"/>
          </w:tcPr>
          <w:p w14:paraId="48646A77" w14:textId="25585781" w:rsidR="00F67359" w:rsidRPr="00B83A18" w:rsidRDefault="00F67359" w:rsidP="00696E8F">
            <w:pPr>
              <w:rPr>
                <w:rFonts w:cs="Arial"/>
                <w:color w:val="000000"/>
              </w:rPr>
            </w:pPr>
            <w:r w:rsidRPr="00C76857">
              <w:rPr>
                <w:rFonts w:cstheme="minorHAnsi"/>
                <w:color w:val="000000"/>
              </w:rPr>
              <w:t>021K0ZW</w:t>
            </w:r>
          </w:p>
        </w:tc>
        <w:tc>
          <w:tcPr>
            <w:tcW w:w="8128" w:type="dxa"/>
            <w:noWrap/>
            <w:vAlign w:val="center"/>
          </w:tcPr>
          <w:p w14:paraId="4F553D5B" w14:textId="4921C43B" w:rsidR="00F67359" w:rsidRPr="00B83A18" w:rsidRDefault="00F67359" w:rsidP="00696E8F">
            <w:pPr>
              <w:rPr>
                <w:rFonts w:cs="Arial"/>
                <w:color w:val="000000"/>
              </w:rPr>
            </w:pPr>
            <w:r w:rsidRPr="00C76857">
              <w:rPr>
                <w:rFonts w:cstheme="minorHAnsi"/>
                <w:color w:val="000000"/>
              </w:rPr>
              <w:t>Bypass Right Ventricle to Aorta, Open Approach</w:t>
            </w:r>
          </w:p>
        </w:tc>
      </w:tr>
      <w:tr w:rsidR="00F67359" w:rsidRPr="00B83A18" w14:paraId="57526B92" w14:textId="77777777" w:rsidTr="002C718A">
        <w:trPr>
          <w:trHeight w:val="300"/>
        </w:trPr>
        <w:tc>
          <w:tcPr>
            <w:tcW w:w="1525" w:type="dxa"/>
            <w:noWrap/>
            <w:vAlign w:val="center"/>
          </w:tcPr>
          <w:p w14:paraId="3040F13D" w14:textId="2F71F981" w:rsidR="00F67359" w:rsidRPr="00B83A18" w:rsidRDefault="00F67359" w:rsidP="00696E8F">
            <w:pPr>
              <w:rPr>
                <w:rFonts w:cs="Arial"/>
                <w:color w:val="000000"/>
              </w:rPr>
            </w:pPr>
            <w:r w:rsidRPr="00C76857">
              <w:rPr>
                <w:rFonts w:cstheme="minorHAnsi"/>
                <w:color w:val="000000"/>
              </w:rPr>
              <w:t>021L0ZW</w:t>
            </w:r>
          </w:p>
        </w:tc>
        <w:tc>
          <w:tcPr>
            <w:tcW w:w="8128" w:type="dxa"/>
            <w:noWrap/>
            <w:vAlign w:val="center"/>
          </w:tcPr>
          <w:p w14:paraId="46737B6A" w14:textId="427D9D2F" w:rsidR="00F67359" w:rsidRPr="00B83A18" w:rsidRDefault="00F67359" w:rsidP="00696E8F">
            <w:pPr>
              <w:rPr>
                <w:rFonts w:cs="Arial"/>
                <w:color w:val="000000"/>
              </w:rPr>
            </w:pPr>
            <w:r w:rsidRPr="00C76857">
              <w:rPr>
                <w:rFonts w:cstheme="minorHAnsi"/>
                <w:color w:val="000000"/>
              </w:rPr>
              <w:t>Bypass Left Ventricle to Aorta, Open Approach</w:t>
            </w:r>
          </w:p>
        </w:tc>
      </w:tr>
      <w:tr w:rsidR="00F67359" w:rsidRPr="00B83A18" w14:paraId="107ED88B" w14:textId="77777777" w:rsidTr="002C718A">
        <w:trPr>
          <w:trHeight w:val="300"/>
        </w:trPr>
        <w:tc>
          <w:tcPr>
            <w:tcW w:w="1525" w:type="dxa"/>
            <w:noWrap/>
            <w:vAlign w:val="center"/>
          </w:tcPr>
          <w:p w14:paraId="47814E3F" w14:textId="6803ED50" w:rsidR="00F67359" w:rsidRPr="00B83A18" w:rsidRDefault="00F67359" w:rsidP="00696E8F">
            <w:pPr>
              <w:rPr>
                <w:rFonts w:cs="Arial"/>
                <w:color w:val="000000"/>
              </w:rPr>
            </w:pPr>
            <w:r w:rsidRPr="00C76857">
              <w:rPr>
                <w:rFonts w:cstheme="minorHAnsi"/>
                <w:color w:val="000000"/>
              </w:rPr>
              <w:t>021W08A</w:t>
            </w:r>
          </w:p>
        </w:tc>
        <w:tc>
          <w:tcPr>
            <w:tcW w:w="8128" w:type="dxa"/>
            <w:noWrap/>
            <w:vAlign w:val="center"/>
          </w:tcPr>
          <w:p w14:paraId="46A3AF09" w14:textId="79B3FCB6" w:rsidR="00F67359" w:rsidRPr="00B83A18" w:rsidRDefault="00F67359" w:rsidP="00696E8F">
            <w:pPr>
              <w:rPr>
                <w:rFonts w:cs="Arial"/>
                <w:color w:val="000000"/>
              </w:rPr>
            </w:pPr>
            <w:r w:rsidRPr="00C76857">
              <w:rPr>
                <w:rFonts w:cstheme="minorHAnsi"/>
                <w:color w:val="000000"/>
              </w:rPr>
              <w:t xml:space="preserve">Bypass Thoracic Aorta, Descending to Innominate Artery with </w:t>
            </w:r>
            <w:proofErr w:type="spellStart"/>
            <w:r w:rsidRPr="00C76857">
              <w:rPr>
                <w:rFonts w:cstheme="minorHAnsi"/>
                <w:color w:val="000000"/>
              </w:rPr>
              <w:t>Zooplastic</w:t>
            </w:r>
            <w:proofErr w:type="spellEnd"/>
            <w:r w:rsidRPr="00C76857">
              <w:rPr>
                <w:rFonts w:cstheme="minorHAnsi"/>
                <w:color w:val="000000"/>
              </w:rPr>
              <w:t xml:space="preserve"> Tissue, Open Approach</w:t>
            </w:r>
          </w:p>
        </w:tc>
      </w:tr>
      <w:tr w:rsidR="00F67359" w:rsidRPr="00B83A18" w14:paraId="47D86FD0" w14:textId="77777777" w:rsidTr="002C718A">
        <w:trPr>
          <w:trHeight w:val="300"/>
        </w:trPr>
        <w:tc>
          <w:tcPr>
            <w:tcW w:w="1525" w:type="dxa"/>
            <w:noWrap/>
            <w:vAlign w:val="center"/>
            <w:hideMark/>
          </w:tcPr>
          <w:p w14:paraId="60C006E9" w14:textId="77777777" w:rsidR="00F67359" w:rsidRPr="00B83A18" w:rsidRDefault="00F67359" w:rsidP="00696E8F">
            <w:pPr>
              <w:rPr>
                <w:rFonts w:cs="Arial"/>
                <w:color w:val="000000"/>
              </w:rPr>
            </w:pPr>
            <w:r w:rsidRPr="00B83A18">
              <w:rPr>
                <w:rFonts w:cs="Arial"/>
                <w:color w:val="000000"/>
              </w:rPr>
              <w:t>021W08B</w:t>
            </w:r>
          </w:p>
        </w:tc>
        <w:tc>
          <w:tcPr>
            <w:tcW w:w="8128" w:type="dxa"/>
            <w:noWrap/>
            <w:vAlign w:val="center"/>
            <w:hideMark/>
          </w:tcPr>
          <w:p w14:paraId="41D5F302" w14:textId="77777777" w:rsidR="00F67359" w:rsidRPr="00B83A18" w:rsidRDefault="00F67359" w:rsidP="00696E8F">
            <w:pPr>
              <w:rPr>
                <w:rFonts w:cs="Arial"/>
                <w:color w:val="000000"/>
              </w:rPr>
            </w:pPr>
            <w:r w:rsidRPr="00B83A18">
              <w:rPr>
                <w:rFonts w:cs="Arial"/>
                <w:color w:val="000000"/>
              </w:rPr>
              <w:t xml:space="preserve">Bypass Thoracic Aorta, Descending to Subclavian with </w:t>
            </w:r>
            <w:proofErr w:type="spellStart"/>
            <w:r w:rsidRPr="00B83A18">
              <w:rPr>
                <w:rFonts w:cs="Arial"/>
                <w:color w:val="000000"/>
              </w:rPr>
              <w:t>Zooplastic</w:t>
            </w:r>
            <w:proofErr w:type="spellEnd"/>
            <w:r w:rsidRPr="00B83A18">
              <w:rPr>
                <w:rFonts w:cs="Arial"/>
                <w:color w:val="000000"/>
              </w:rPr>
              <w:t xml:space="preserve"> Tissue, Open Approach</w:t>
            </w:r>
          </w:p>
        </w:tc>
      </w:tr>
      <w:tr w:rsidR="00F67359" w:rsidRPr="00B83A18" w14:paraId="50750D84" w14:textId="77777777" w:rsidTr="002C718A">
        <w:trPr>
          <w:trHeight w:val="300"/>
        </w:trPr>
        <w:tc>
          <w:tcPr>
            <w:tcW w:w="1525" w:type="dxa"/>
            <w:noWrap/>
            <w:vAlign w:val="center"/>
            <w:hideMark/>
          </w:tcPr>
          <w:p w14:paraId="55466178" w14:textId="77777777" w:rsidR="00F67359" w:rsidRPr="00B83A18" w:rsidRDefault="00F67359" w:rsidP="00696E8F">
            <w:pPr>
              <w:rPr>
                <w:rFonts w:cs="Arial"/>
                <w:color w:val="000000"/>
              </w:rPr>
            </w:pPr>
            <w:r w:rsidRPr="00B83A18">
              <w:rPr>
                <w:rFonts w:cs="Arial"/>
                <w:color w:val="000000"/>
              </w:rPr>
              <w:t>021W08D</w:t>
            </w:r>
          </w:p>
        </w:tc>
        <w:tc>
          <w:tcPr>
            <w:tcW w:w="8128" w:type="dxa"/>
            <w:noWrap/>
            <w:vAlign w:val="center"/>
            <w:hideMark/>
          </w:tcPr>
          <w:p w14:paraId="08160972" w14:textId="77777777" w:rsidR="00F67359" w:rsidRPr="00B83A18" w:rsidRDefault="00F67359" w:rsidP="00696E8F">
            <w:pPr>
              <w:rPr>
                <w:rFonts w:cs="Arial"/>
                <w:color w:val="000000"/>
              </w:rPr>
            </w:pPr>
            <w:r w:rsidRPr="00B83A18">
              <w:rPr>
                <w:rFonts w:cs="Arial"/>
                <w:color w:val="000000"/>
              </w:rPr>
              <w:t xml:space="preserve">Bypass Thoracic Aorta, Descending to Carotid with </w:t>
            </w:r>
            <w:proofErr w:type="spellStart"/>
            <w:r w:rsidRPr="00B83A18">
              <w:rPr>
                <w:rFonts w:cs="Arial"/>
                <w:color w:val="000000"/>
              </w:rPr>
              <w:t>Zooplastic</w:t>
            </w:r>
            <w:proofErr w:type="spellEnd"/>
            <w:r w:rsidRPr="00B83A18">
              <w:rPr>
                <w:rFonts w:cs="Arial"/>
                <w:color w:val="000000"/>
              </w:rPr>
              <w:t xml:space="preserve"> Tissue, Open Approach</w:t>
            </w:r>
          </w:p>
        </w:tc>
      </w:tr>
      <w:tr w:rsidR="00F67359" w:rsidRPr="00B83A18" w14:paraId="6DBF1009" w14:textId="77777777" w:rsidTr="002C718A">
        <w:trPr>
          <w:trHeight w:val="300"/>
        </w:trPr>
        <w:tc>
          <w:tcPr>
            <w:tcW w:w="1525" w:type="dxa"/>
            <w:noWrap/>
            <w:vAlign w:val="center"/>
            <w:hideMark/>
          </w:tcPr>
          <w:p w14:paraId="35945626" w14:textId="77777777" w:rsidR="00F67359" w:rsidRPr="00B83A18" w:rsidRDefault="00F67359" w:rsidP="00696E8F">
            <w:pPr>
              <w:rPr>
                <w:rFonts w:cs="Arial"/>
                <w:color w:val="000000"/>
              </w:rPr>
            </w:pPr>
            <w:r w:rsidRPr="00B83A18">
              <w:rPr>
                <w:rFonts w:cs="Arial"/>
                <w:color w:val="000000"/>
              </w:rPr>
              <w:t>021W08F</w:t>
            </w:r>
          </w:p>
        </w:tc>
        <w:tc>
          <w:tcPr>
            <w:tcW w:w="8128" w:type="dxa"/>
            <w:noWrap/>
            <w:vAlign w:val="center"/>
            <w:hideMark/>
          </w:tcPr>
          <w:p w14:paraId="16B9B770" w14:textId="77777777" w:rsidR="00F67359" w:rsidRPr="00B83A18" w:rsidRDefault="00F67359" w:rsidP="00696E8F">
            <w:pPr>
              <w:rPr>
                <w:rFonts w:cs="Arial"/>
                <w:color w:val="000000"/>
              </w:rPr>
            </w:pPr>
            <w:r w:rsidRPr="00B83A18">
              <w:rPr>
                <w:rFonts w:cs="Arial"/>
                <w:color w:val="000000"/>
              </w:rPr>
              <w:t xml:space="preserve">Bypass Thoracic Aorta, Descending to Abdominal Artery with </w:t>
            </w:r>
            <w:proofErr w:type="spellStart"/>
            <w:r w:rsidRPr="00B83A18">
              <w:rPr>
                <w:rFonts w:cs="Arial"/>
                <w:color w:val="000000"/>
              </w:rPr>
              <w:t>Zooplastic</w:t>
            </w:r>
            <w:proofErr w:type="spellEnd"/>
            <w:r w:rsidRPr="00B83A18">
              <w:rPr>
                <w:rFonts w:cs="Arial"/>
                <w:color w:val="000000"/>
              </w:rPr>
              <w:t xml:space="preserve"> Tissue, Open Approach</w:t>
            </w:r>
          </w:p>
        </w:tc>
      </w:tr>
      <w:tr w:rsidR="00F67359" w:rsidRPr="00B83A18" w14:paraId="229CA27B" w14:textId="77777777" w:rsidTr="002C718A">
        <w:trPr>
          <w:trHeight w:val="300"/>
        </w:trPr>
        <w:tc>
          <w:tcPr>
            <w:tcW w:w="1525" w:type="dxa"/>
            <w:noWrap/>
            <w:vAlign w:val="center"/>
            <w:hideMark/>
          </w:tcPr>
          <w:p w14:paraId="55D72CFE" w14:textId="77777777" w:rsidR="00F67359" w:rsidRPr="00B83A18" w:rsidRDefault="00F67359" w:rsidP="00696E8F">
            <w:pPr>
              <w:rPr>
                <w:rFonts w:cs="Arial"/>
                <w:color w:val="000000"/>
              </w:rPr>
            </w:pPr>
            <w:r w:rsidRPr="00B83A18">
              <w:rPr>
                <w:rFonts w:cs="Arial"/>
                <w:color w:val="000000"/>
              </w:rPr>
              <w:t>021W08G</w:t>
            </w:r>
          </w:p>
        </w:tc>
        <w:tc>
          <w:tcPr>
            <w:tcW w:w="8128" w:type="dxa"/>
            <w:noWrap/>
            <w:vAlign w:val="center"/>
            <w:hideMark/>
          </w:tcPr>
          <w:p w14:paraId="3AE5F2B3" w14:textId="77777777" w:rsidR="00F67359" w:rsidRPr="00B83A18" w:rsidRDefault="00F67359" w:rsidP="00696E8F">
            <w:pPr>
              <w:rPr>
                <w:rFonts w:cs="Arial"/>
                <w:color w:val="000000"/>
              </w:rPr>
            </w:pPr>
            <w:r w:rsidRPr="00B83A18">
              <w:rPr>
                <w:rFonts w:cs="Arial"/>
                <w:color w:val="000000"/>
              </w:rPr>
              <w:t xml:space="preserve">Bypass Thoracic Aorta, Descending to Axillary Artery with </w:t>
            </w:r>
            <w:proofErr w:type="spellStart"/>
            <w:r w:rsidRPr="00B83A18">
              <w:rPr>
                <w:rFonts w:cs="Arial"/>
                <w:color w:val="000000"/>
              </w:rPr>
              <w:t>Zooplastic</w:t>
            </w:r>
            <w:proofErr w:type="spellEnd"/>
            <w:r w:rsidRPr="00B83A18">
              <w:rPr>
                <w:rFonts w:cs="Arial"/>
                <w:color w:val="000000"/>
              </w:rPr>
              <w:t xml:space="preserve"> Tissue, Open Approach</w:t>
            </w:r>
          </w:p>
        </w:tc>
      </w:tr>
      <w:tr w:rsidR="00F67359" w:rsidRPr="00B83A18" w14:paraId="19482D5E" w14:textId="77777777" w:rsidTr="002C718A">
        <w:trPr>
          <w:trHeight w:val="300"/>
        </w:trPr>
        <w:tc>
          <w:tcPr>
            <w:tcW w:w="1525" w:type="dxa"/>
            <w:noWrap/>
            <w:vAlign w:val="center"/>
            <w:hideMark/>
          </w:tcPr>
          <w:p w14:paraId="6E122046" w14:textId="77777777" w:rsidR="00F67359" w:rsidRPr="00B83A18" w:rsidRDefault="00F67359" w:rsidP="00696E8F">
            <w:pPr>
              <w:rPr>
                <w:rFonts w:cs="Arial"/>
                <w:color w:val="000000"/>
              </w:rPr>
            </w:pPr>
            <w:r w:rsidRPr="00B83A18">
              <w:rPr>
                <w:rFonts w:cs="Arial"/>
                <w:color w:val="000000"/>
              </w:rPr>
              <w:t>021W08H</w:t>
            </w:r>
          </w:p>
        </w:tc>
        <w:tc>
          <w:tcPr>
            <w:tcW w:w="8128" w:type="dxa"/>
            <w:noWrap/>
            <w:vAlign w:val="center"/>
            <w:hideMark/>
          </w:tcPr>
          <w:p w14:paraId="486D043B" w14:textId="77777777" w:rsidR="00F67359" w:rsidRPr="00B83A18" w:rsidRDefault="00F67359" w:rsidP="00696E8F">
            <w:pPr>
              <w:rPr>
                <w:rFonts w:cs="Arial"/>
                <w:color w:val="000000"/>
              </w:rPr>
            </w:pPr>
            <w:r w:rsidRPr="00B83A18">
              <w:rPr>
                <w:rFonts w:cs="Arial"/>
                <w:color w:val="000000"/>
              </w:rPr>
              <w:t xml:space="preserve">Bypass Thoracic Aorta, Descending to Brachial Artery with </w:t>
            </w:r>
            <w:proofErr w:type="spellStart"/>
            <w:r w:rsidRPr="00B83A18">
              <w:rPr>
                <w:rFonts w:cs="Arial"/>
                <w:color w:val="000000"/>
              </w:rPr>
              <w:t>Zooplastic</w:t>
            </w:r>
            <w:proofErr w:type="spellEnd"/>
            <w:r w:rsidRPr="00B83A18">
              <w:rPr>
                <w:rFonts w:cs="Arial"/>
                <w:color w:val="000000"/>
              </w:rPr>
              <w:t xml:space="preserve"> Tissue, Open Approach</w:t>
            </w:r>
          </w:p>
        </w:tc>
      </w:tr>
      <w:tr w:rsidR="00F67359" w:rsidRPr="00B83A18" w14:paraId="16987BDF" w14:textId="77777777" w:rsidTr="002C718A">
        <w:trPr>
          <w:trHeight w:val="300"/>
        </w:trPr>
        <w:tc>
          <w:tcPr>
            <w:tcW w:w="1525" w:type="dxa"/>
            <w:noWrap/>
            <w:vAlign w:val="center"/>
            <w:hideMark/>
          </w:tcPr>
          <w:p w14:paraId="01013223" w14:textId="77777777" w:rsidR="00F67359" w:rsidRPr="00B83A18" w:rsidRDefault="00F67359" w:rsidP="00696E8F">
            <w:pPr>
              <w:rPr>
                <w:rFonts w:cs="Arial"/>
                <w:color w:val="000000"/>
              </w:rPr>
            </w:pPr>
            <w:r w:rsidRPr="00B83A18">
              <w:rPr>
                <w:rFonts w:cs="Arial"/>
                <w:color w:val="000000"/>
              </w:rPr>
              <w:t>021W08P</w:t>
            </w:r>
          </w:p>
        </w:tc>
        <w:tc>
          <w:tcPr>
            <w:tcW w:w="8128" w:type="dxa"/>
            <w:noWrap/>
            <w:vAlign w:val="center"/>
            <w:hideMark/>
          </w:tcPr>
          <w:p w14:paraId="25ED2B07" w14:textId="77777777" w:rsidR="00F67359" w:rsidRPr="00B83A18" w:rsidRDefault="00F67359" w:rsidP="00696E8F">
            <w:pPr>
              <w:rPr>
                <w:rFonts w:cs="Arial"/>
                <w:color w:val="000000"/>
              </w:rPr>
            </w:pPr>
            <w:r w:rsidRPr="00B83A18">
              <w:rPr>
                <w:rFonts w:cs="Arial"/>
                <w:color w:val="000000"/>
              </w:rPr>
              <w:t xml:space="preserve">Bypass Thoracic Aorta, Descending to Pulmonary Trunk with </w:t>
            </w:r>
            <w:proofErr w:type="spellStart"/>
            <w:r w:rsidRPr="00B83A18">
              <w:rPr>
                <w:rFonts w:cs="Arial"/>
                <w:color w:val="000000"/>
              </w:rPr>
              <w:t>Zooplastic</w:t>
            </w:r>
            <w:proofErr w:type="spellEnd"/>
            <w:r w:rsidRPr="00B83A18">
              <w:rPr>
                <w:rFonts w:cs="Arial"/>
                <w:color w:val="000000"/>
              </w:rPr>
              <w:t xml:space="preserve"> Tissue, Open Approach</w:t>
            </w:r>
          </w:p>
        </w:tc>
      </w:tr>
      <w:tr w:rsidR="00F67359" w:rsidRPr="00B83A18" w14:paraId="737F1B04" w14:textId="77777777" w:rsidTr="002C718A">
        <w:trPr>
          <w:trHeight w:val="300"/>
        </w:trPr>
        <w:tc>
          <w:tcPr>
            <w:tcW w:w="1525" w:type="dxa"/>
            <w:noWrap/>
            <w:vAlign w:val="center"/>
            <w:hideMark/>
          </w:tcPr>
          <w:p w14:paraId="72D4CE32" w14:textId="77777777" w:rsidR="00F67359" w:rsidRPr="00B83A18" w:rsidRDefault="00F67359" w:rsidP="00696E8F">
            <w:pPr>
              <w:rPr>
                <w:rFonts w:cs="Arial"/>
                <w:color w:val="000000"/>
              </w:rPr>
            </w:pPr>
            <w:r w:rsidRPr="00B83A18">
              <w:rPr>
                <w:rFonts w:cs="Arial"/>
                <w:color w:val="000000"/>
              </w:rPr>
              <w:t>021W08Q</w:t>
            </w:r>
          </w:p>
        </w:tc>
        <w:tc>
          <w:tcPr>
            <w:tcW w:w="8128" w:type="dxa"/>
            <w:noWrap/>
            <w:vAlign w:val="center"/>
            <w:hideMark/>
          </w:tcPr>
          <w:p w14:paraId="68F754DA" w14:textId="77777777" w:rsidR="00F67359" w:rsidRPr="00B83A18" w:rsidRDefault="00F67359" w:rsidP="00696E8F">
            <w:pPr>
              <w:rPr>
                <w:rFonts w:cs="Arial"/>
                <w:color w:val="000000"/>
              </w:rPr>
            </w:pPr>
            <w:r w:rsidRPr="00B83A18">
              <w:rPr>
                <w:rFonts w:cs="Arial"/>
                <w:color w:val="000000"/>
              </w:rPr>
              <w:t xml:space="preserve">Bypass Thoracic Aorta, Descending to Right Pulmonary Artery with </w:t>
            </w:r>
            <w:proofErr w:type="spellStart"/>
            <w:r w:rsidRPr="00B83A18">
              <w:rPr>
                <w:rFonts w:cs="Arial"/>
                <w:color w:val="000000"/>
              </w:rPr>
              <w:t>Zooplastic</w:t>
            </w:r>
            <w:proofErr w:type="spellEnd"/>
            <w:r w:rsidRPr="00B83A18">
              <w:rPr>
                <w:rFonts w:cs="Arial"/>
                <w:color w:val="000000"/>
              </w:rPr>
              <w:t xml:space="preserve"> Tissue, Open Approach</w:t>
            </w:r>
          </w:p>
        </w:tc>
      </w:tr>
      <w:tr w:rsidR="00F67359" w:rsidRPr="00B83A18" w14:paraId="4CB36141" w14:textId="77777777" w:rsidTr="002C718A">
        <w:trPr>
          <w:trHeight w:val="300"/>
        </w:trPr>
        <w:tc>
          <w:tcPr>
            <w:tcW w:w="1525" w:type="dxa"/>
            <w:noWrap/>
            <w:vAlign w:val="center"/>
            <w:hideMark/>
          </w:tcPr>
          <w:p w14:paraId="6E3C50E7" w14:textId="77777777" w:rsidR="00F67359" w:rsidRPr="00B83A18" w:rsidRDefault="00F67359" w:rsidP="00696E8F">
            <w:pPr>
              <w:rPr>
                <w:rFonts w:cs="Arial"/>
                <w:color w:val="000000"/>
              </w:rPr>
            </w:pPr>
            <w:r w:rsidRPr="00B83A18">
              <w:rPr>
                <w:rFonts w:cs="Arial"/>
                <w:color w:val="000000"/>
              </w:rPr>
              <w:t>021W08R</w:t>
            </w:r>
          </w:p>
        </w:tc>
        <w:tc>
          <w:tcPr>
            <w:tcW w:w="8128" w:type="dxa"/>
            <w:noWrap/>
            <w:vAlign w:val="center"/>
            <w:hideMark/>
          </w:tcPr>
          <w:p w14:paraId="1AF88FDA" w14:textId="77777777" w:rsidR="00F67359" w:rsidRPr="00B83A18" w:rsidRDefault="00F67359" w:rsidP="00696E8F">
            <w:pPr>
              <w:rPr>
                <w:rFonts w:cs="Arial"/>
                <w:color w:val="000000"/>
              </w:rPr>
            </w:pPr>
            <w:r w:rsidRPr="00B83A18">
              <w:rPr>
                <w:rFonts w:cs="Arial"/>
                <w:color w:val="000000"/>
              </w:rPr>
              <w:t xml:space="preserve">Bypass Thoracic Aorta, Descending to Left Pulmonary Artery with </w:t>
            </w:r>
            <w:proofErr w:type="spellStart"/>
            <w:r w:rsidRPr="00B83A18">
              <w:rPr>
                <w:rFonts w:cs="Arial"/>
                <w:color w:val="000000"/>
              </w:rPr>
              <w:t>Zooplastic</w:t>
            </w:r>
            <w:proofErr w:type="spellEnd"/>
            <w:r w:rsidRPr="00B83A18">
              <w:rPr>
                <w:rFonts w:cs="Arial"/>
                <w:color w:val="000000"/>
              </w:rPr>
              <w:t xml:space="preserve"> Tissue, Open Approach</w:t>
            </w:r>
          </w:p>
        </w:tc>
      </w:tr>
      <w:tr w:rsidR="00F67359" w:rsidRPr="00B83A18" w14:paraId="7C415E22" w14:textId="77777777" w:rsidTr="002C718A">
        <w:trPr>
          <w:trHeight w:val="300"/>
        </w:trPr>
        <w:tc>
          <w:tcPr>
            <w:tcW w:w="1525" w:type="dxa"/>
            <w:noWrap/>
            <w:vAlign w:val="center"/>
            <w:hideMark/>
          </w:tcPr>
          <w:p w14:paraId="18A6EA42" w14:textId="77777777" w:rsidR="00F67359" w:rsidRPr="00B83A18" w:rsidRDefault="00F67359" w:rsidP="00696E8F">
            <w:pPr>
              <w:rPr>
                <w:rFonts w:cs="Arial"/>
                <w:color w:val="000000"/>
              </w:rPr>
            </w:pPr>
            <w:r w:rsidRPr="00B83A18">
              <w:rPr>
                <w:rFonts w:cs="Arial"/>
                <w:color w:val="000000"/>
              </w:rPr>
              <w:t>021W08V</w:t>
            </w:r>
          </w:p>
        </w:tc>
        <w:tc>
          <w:tcPr>
            <w:tcW w:w="8128" w:type="dxa"/>
            <w:noWrap/>
            <w:vAlign w:val="center"/>
            <w:hideMark/>
          </w:tcPr>
          <w:p w14:paraId="5675B22D" w14:textId="77777777" w:rsidR="00F67359" w:rsidRPr="00B83A18" w:rsidRDefault="00F67359" w:rsidP="00696E8F">
            <w:pPr>
              <w:rPr>
                <w:rFonts w:cs="Arial"/>
                <w:color w:val="000000"/>
              </w:rPr>
            </w:pPr>
            <w:r w:rsidRPr="00B83A18">
              <w:rPr>
                <w:rFonts w:cs="Arial"/>
                <w:color w:val="000000"/>
              </w:rPr>
              <w:t xml:space="preserve">Bypass Thoracic Aorta, Descending to Lower Extremity Artery with </w:t>
            </w:r>
            <w:proofErr w:type="spellStart"/>
            <w:r w:rsidRPr="00B83A18">
              <w:rPr>
                <w:rFonts w:cs="Arial"/>
                <w:color w:val="000000"/>
              </w:rPr>
              <w:t>Zooplastic</w:t>
            </w:r>
            <w:proofErr w:type="spellEnd"/>
            <w:r w:rsidRPr="00B83A18">
              <w:rPr>
                <w:rFonts w:cs="Arial"/>
                <w:color w:val="000000"/>
              </w:rPr>
              <w:t xml:space="preserve"> Tissue, Open Approach</w:t>
            </w:r>
          </w:p>
        </w:tc>
      </w:tr>
      <w:tr w:rsidR="00F67359" w:rsidRPr="00B83A18" w14:paraId="5AECC21D" w14:textId="77777777" w:rsidTr="002C718A">
        <w:trPr>
          <w:trHeight w:val="300"/>
        </w:trPr>
        <w:tc>
          <w:tcPr>
            <w:tcW w:w="1525" w:type="dxa"/>
            <w:noWrap/>
            <w:vAlign w:val="center"/>
            <w:hideMark/>
          </w:tcPr>
          <w:p w14:paraId="72C52CDE" w14:textId="77777777" w:rsidR="00F67359" w:rsidRPr="00B83A18" w:rsidRDefault="00F67359" w:rsidP="00696E8F">
            <w:pPr>
              <w:rPr>
                <w:rFonts w:cs="Arial"/>
                <w:color w:val="000000"/>
              </w:rPr>
            </w:pPr>
            <w:r w:rsidRPr="00B83A18">
              <w:rPr>
                <w:rFonts w:cs="Arial"/>
                <w:color w:val="000000"/>
              </w:rPr>
              <w:lastRenderedPageBreak/>
              <w:t>021W09B</w:t>
            </w:r>
          </w:p>
        </w:tc>
        <w:tc>
          <w:tcPr>
            <w:tcW w:w="8128" w:type="dxa"/>
            <w:noWrap/>
            <w:vAlign w:val="center"/>
            <w:hideMark/>
          </w:tcPr>
          <w:p w14:paraId="11573DDB" w14:textId="77777777" w:rsidR="00F67359" w:rsidRPr="00B83A18" w:rsidRDefault="00F67359" w:rsidP="00696E8F">
            <w:pPr>
              <w:rPr>
                <w:rFonts w:cs="Arial"/>
                <w:color w:val="000000"/>
              </w:rPr>
            </w:pPr>
            <w:r w:rsidRPr="00B83A18">
              <w:rPr>
                <w:rFonts w:cs="Arial"/>
                <w:color w:val="000000"/>
              </w:rPr>
              <w:t>Bypass Thoracic Aorta, Descending to Subclavian with Autologous Venous Tissue, Open Approach</w:t>
            </w:r>
          </w:p>
        </w:tc>
      </w:tr>
      <w:tr w:rsidR="00F67359" w:rsidRPr="00B83A18" w14:paraId="1D139828" w14:textId="77777777" w:rsidTr="002C718A">
        <w:trPr>
          <w:trHeight w:val="300"/>
        </w:trPr>
        <w:tc>
          <w:tcPr>
            <w:tcW w:w="1525" w:type="dxa"/>
            <w:noWrap/>
            <w:vAlign w:val="center"/>
          </w:tcPr>
          <w:p w14:paraId="0A83AB64" w14:textId="3A36FD0A" w:rsidR="00F67359" w:rsidRPr="00B83A18" w:rsidRDefault="00F67359" w:rsidP="00696E8F">
            <w:pPr>
              <w:rPr>
                <w:rFonts w:cs="Arial"/>
                <w:color w:val="000000"/>
              </w:rPr>
            </w:pPr>
            <w:r w:rsidRPr="00C76857">
              <w:rPr>
                <w:rFonts w:cstheme="minorHAnsi"/>
                <w:color w:val="000000"/>
              </w:rPr>
              <w:t>021W09A</w:t>
            </w:r>
          </w:p>
        </w:tc>
        <w:tc>
          <w:tcPr>
            <w:tcW w:w="8128" w:type="dxa"/>
            <w:noWrap/>
            <w:vAlign w:val="center"/>
          </w:tcPr>
          <w:p w14:paraId="7852D71E" w14:textId="6A962B77" w:rsidR="00F67359" w:rsidRPr="00B83A18" w:rsidRDefault="00F67359" w:rsidP="00696E8F">
            <w:pPr>
              <w:rPr>
                <w:rFonts w:cs="Arial"/>
                <w:color w:val="000000"/>
              </w:rPr>
            </w:pPr>
            <w:r w:rsidRPr="00C76857">
              <w:rPr>
                <w:rFonts w:cstheme="minorHAnsi"/>
                <w:color w:val="000000"/>
              </w:rPr>
              <w:t>Bypass Thoracic Aorta, Descending to Innominate Artery with Autologous Venous Tissue, Open Approach</w:t>
            </w:r>
          </w:p>
        </w:tc>
      </w:tr>
      <w:tr w:rsidR="00F67359" w:rsidRPr="00B83A18" w14:paraId="5612A01E" w14:textId="77777777" w:rsidTr="002C718A">
        <w:trPr>
          <w:trHeight w:val="300"/>
        </w:trPr>
        <w:tc>
          <w:tcPr>
            <w:tcW w:w="1525" w:type="dxa"/>
            <w:noWrap/>
            <w:vAlign w:val="center"/>
            <w:hideMark/>
          </w:tcPr>
          <w:p w14:paraId="47DFBE48" w14:textId="77777777" w:rsidR="00F67359" w:rsidRPr="00B83A18" w:rsidRDefault="00F67359" w:rsidP="00696E8F">
            <w:pPr>
              <w:rPr>
                <w:rFonts w:cs="Arial"/>
                <w:color w:val="000000"/>
              </w:rPr>
            </w:pPr>
            <w:r w:rsidRPr="00B83A18">
              <w:rPr>
                <w:rFonts w:cs="Arial"/>
                <w:color w:val="000000"/>
              </w:rPr>
              <w:t>021W09D</w:t>
            </w:r>
          </w:p>
        </w:tc>
        <w:tc>
          <w:tcPr>
            <w:tcW w:w="8128" w:type="dxa"/>
            <w:noWrap/>
            <w:vAlign w:val="center"/>
            <w:hideMark/>
          </w:tcPr>
          <w:p w14:paraId="6D93B1A3" w14:textId="77777777" w:rsidR="00F67359" w:rsidRPr="00B83A18" w:rsidRDefault="00F67359" w:rsidP="00696E8F">
            <w:pPr>
              <w:rPr>
                <w:rFonts w:cs="Arial"/>
                <w:color w:val="000000"/>
              </w:rPr>
            </w:pPr>
            <w:r w:rsidRPr="00B83A18">
              <w:rPr>
                <w:rFonts w:cs="Arial"/>
                <w:color w:val="000000"/>
              </w:rPr>
              <w:t>Bypass Thoracic Aorta, Descending to Carotid with Autologous Venous Tissue, Open Approach</w:t>
            </w:r>
          </w:p>
        </w:tc>
      </w:tr>
      <w:tr w:rsidR="00F67359" w:rsidRPr="00B83A18" w14:paraId="4ABD8085" w14:textId="77777777" w:rsidTr="002C718A">
        <w:trPr>
          <w:trHeight w:val="300"/>
        </w:trPr>
        <w:tc>
          <w:tcPr>
            <w:tcW w:w="1525" w:type="dxa"/>
            <w:noWrap/>
            <w:vAlign w:val="center"/>
            <w:hideMark/>
          </w:tcPr>
          <w:p w14:paraId="239579F0" w14:textId="77777777" w:rsidR="00F67359" w:rsidRPr="00B83A18" w:rsidRDefault="00F67359" w:rsidP="00696E8F">
            <w:pPr>
              <w:rPr>
                <w:rFonts w:cs="Arial"/>
                <w:color w:val="000000"/>
              </w:rPr>
            </w:pPr>
            <w:r w:rsidRPr="00B83A18">
              <w:rPr>
                <w:rFonts w:cs="Arial"/>
                <w:color w:val="000000"/>
              </w:rPr>
              <w:t>021W09F</w:t>
            </w:r>
          </w:p>
        </w:tc>
        <w:tc>
          <w:tcPr>
            <w:tcW w:w="8128" w:type="dxa"/>
            <w:noWrap/>
            <w:vAlign w:val="center"/>
            <w:hideMark/>
          </w:tcPr>
          <w:p w14:paraId="3873BA43" w14:textId="77777777" w:rsidR="00F67359" w:rsidRPr="00B83A18" w:rsidRDefault="00F67359" w:rsidP="00696E8F">
            <w:pPr>
              <w:rPr>
                <w:rFonts w:cs="Arial"/>
                <w:color w:val="000000"/>
              </w:rPr>
            </w:pPr>
            <w:r w:rsidRPr="00B83A18">
              <w:rPr>
                <w:rFonts w:cs="Arial"/>
                <w:color w:val="000000"/>
              </w:rPr>
              <w:t>Bypass Thoracic Aorta, Descending to Abdominal Artery with Autologous Venous Tissue, Open Approach</w:t>
            </w:r>
          </w:p>
        </w:tc>
      </w:tr>
      <w:tr w:rsidR="00F67359" w:rsidRPr="00B83A18" w14:paraId="2741B67B" w14:textId="77777777" w:rsidTr="002C718A">
        <w:trPr>
          <w:trHeight w:val="300"/>
        </w:trPr>
        <w:tc>
          <w:tcPr>
            <w:tcW w:w="1525" w:type="dxa"/>
            <w:noWrap/>
            <w:vAlign w:val="center"/>
            <w:hideMark/>
          </w:tcPr>
          <w:p w14:paraId="62F84289" w14:textId="77777777" w:rsidR="00F67359" w:rsidRPr="00B83A18" w:rsidRDefault="00F67359" w:rsidP="00696E8F">
            <w:pPr>
              <w:rPr>
                <w:rFonts w:cs="Arial"/>
                <w:color w:val="000000"/>
              </w:rPr>
            </w:pPr>
            <w:r w:rsidRPr="00B83A18">
              <w:rPr>
                <w:rFonts w:cs="Arial"/>
                <w:color w:val="000000"/>
              </w:rPr>
              <w:t>021W09G</w:t>
            </w:r>
          </w:p>
        </w:tc>
        <w:tc>
          <w:tcPr>
            <w:tcW w:w="8128" w:type="dxa"/>
            <w:noWrap/>
            <w:vAlign w:val="center"/>
            <w:hideMark/>
          </w:tcPr>
          <w:p w14:paraId="691D61E6" w14:textId="77777777" w:rsidR="00F67359" w:rsidRPr="00B83A18" w:rsidRDefault="00F67359" w:rsidP="00696E8F">
            <w:pPr>
              <w:rPr>
                <w:rFonts w:cs="Arial"/>
                <w:color w:val="000000"/>
              </w:rPr>
            </w:pPr>
            <w:r w:rsidRPr="00B83A18">
              <w:rPr>
                <w:rFonts w:cs="Arial"/>
                <w:color w:val="000000"/>
              </w:rPr>
              <w:t>Bypass Thoracic Aorta, Descending to Axillary Artery with Autologous Venous Tissue, Open Approach</w:t>
            </w:r>
          </w:p>
        </w:tc>
      </w:tr>
      <w:tr w:rsidR="00F67359" w:rsidRPr="00B83A18" w14:paraId="4F6E880D" w14:textId="77777777" w:rsidTr="002C718A">
        <w:trPr>
          <w:trHeight w:val="300"/>
        </w:trPr>
        <w:tc>
          <w:tcPr>
            <w:tcW w:w="1525" w:type="dxa"/>
            <w:noWrap/>
            <w:vAlign w:val="center"/>
            <w:hideMark/>
          </w:tcPr>
          <w:p w14:paraId="1F02652D" w14:textId="77777777" w:rsidR="00F67359" w:rsidRPr="00B83A18" w:rsidRDefault="00F67359" w:rsidP="00696E8F">
            <w:pPr>
              <w:rPr>
                <w:rFonts w:cs="Arial"/>
                <w:color w:val="000000"/>
              </w:rPr>
            </w:pPr>
            <w:r w:rsidRPr="00B83A18">
              <w:rPr>
                <w:rFonts w:cs="Arial"/>
                <w:color w:val="000000"/>
              </w:rPr>
              <w:t>021W09H</w:t>
            </w:r>
          </w:p>
        </w:tc>
        <w:tc>
          <w:tcPr>
            <w:tcW w:w="8128" w:type="dxa"/>
            <w:noWrap/>
            <w:vAlign w:val="center"/>
            <w:hideMark/>
          </w:tcPr>
          <w:p w14:paraId="39F036AE" w14:textId="77777777" w:rsidR="00F67359" w:rsidRPr="00B83A18" w:rsidRDefault="00F67359" w:rsidP="00696E8F">
            <w:pPr>
              <w:rPr>
                <w:rFonts w:cs="Arial"/>
                <w:color w:val="000000"/>
              </w:rPr>
            </w:pPr>
            <w:r w:rsidRPr="00B83A18">
              <w:rPr>
                <w:rFonts w:cs="Arial"/>
                <w:color w:val="000000"/>
              </w:rPr>
              <w:t>Bypass Thoracic Aorta, Descending to Brachial Artery with Autologous Venous Tissue, Open Approach</w:t>
            </w:r>
          </w:p>
        </w:tc>
      </w:tr>
      <w:tr w:rsidR="00F67359" w:rsidRPr="00B83A18" w14:paraId="73C292BE" w14:textId="77777777" w:rsidTr="002C718A">
        <w:trPr>
          <w:trHeight w:val="300"/>
        </w:trPr>
        <w:tc>
          <w:tcPr>
            <w:tcW w:w="1525" w:type="dxa"/>
            <w:noWrap/>
            <w:vAlign w:val="center"/>
            <w:hideMark/>
          </w:tcPr>
          <w:p w14:paraId="5E664891" w14:textId="77777777" w:rsidR="00F67359" w:rsidRPr="00B83A18" w:rsidRDefault="00F67359" w:rsidP="00696E8F">
            <w:pPr>
              <w:rPr>
                <w:rFonts w:cs="Arial"/>
                <w:color w:val="000000"/>
              </w:rPr>
            </w:pPr>
            <w:r w:rsidRPr="00B83A18">
              <w:rPr>
                <w:rFonts w:cs="Arial"/>
                <w:color w:val="000000"/>
              </w:rPr>
              <w:t>021W09P</w:t>
            </w:r>
          </w:p>
        </w:tc>
        <w:tc>
          <w:tcPr>
            <w:tcW w:w="8128" w:type="dxa"/>
            <w:noWrap/>
            <w:vAlign w:val="center"/>
            <w:hideMark/>
          </w:tcPr>
          <w:p w14:paraId="14FAC775" w14:textId="77777777" w:rsidR="00F67359" w:rsidRPr="00B83A18" w:rsidRDefault="00F67359" w:rsidP="00696E8F">
            <w:pPr>
              <w:rPr>
                <w:rFonts w:cs="Arial"/>
                <w:color w:val="000000"/>
              </w:rPr>
            </w:pPr>
            <w:r w:rsidRPr="00B83A18">
              <w:rPr>
                <w:rFonts w:cs="Arial"/>
                <w:color w:val="000000"/>
              </w:rPr>
              <w:t>Bypass Thoracic Aorta, Descending to Pulmonary Trunk with Autologous Venous Tissue, Open Approach</w:t>
            </w:r>
          </w:p>
        </w:tc>
      </w:tr>
      <w:tr w:rsidR="00F67359" w:rsidRPr="00B83A18" w14:paraId="1D1F0636" w14:textId="77777777" w:rsidTr="002C718A">
        <w:trPr>
          <w:trHeight w:val="300"/>
        </w:trPr>
        <w:tc>
          <w:tcPr>
            <w:tcW w:w="1525" w:type="dxa"/>
            <w:noWrap/>
            <w:vAlign w:val="center"/>
            <w:hideMark/>
          </w:tcPr>
          <w:p w14:paraId="0A84688E" w14:textId="77777777" w:rsidR="00F67359" w:rsidRPr="00B83A18" w:rsidRDefault="00F67359" w:rsidP="00696E8F">
            <w:pPr>
              <w:rPr>
                <w:rFonts w:cs="Arial"/>
                <w:color w:val="000000"/>
              </w:rPr>
            </w:pPr>
            <w:r w:rsidRPr="00B83A18">
              <w:rPr>
                <w:rFonts w:cs="Arial"/>
                <w:color w:val="000000"/>
              </w:rPr>
              <w:t>021W09Q</w:t>
            </w:r>
          </w:p>
        </w:tc>
        <w:tc>
          <w:tcPr>
            <w:tcW w:w="8128" w:type="dxa"/>
            <w:noWrap/>
            <w:vAlign w:val="center"/>
            <w:hideMark/>
          </w:tcPr>
          <w:p w14:paraId="14ABC7DC" w14:textId="77777777" w:rsidR="00F67359" w:rsidRPr="00B83A18" w:rsidRDefault="00F67359" w:rsidP="00696E8F">
            <w:pPr>
              <w:rPr>
                <w:rFonts w:cs="Arial"/>
                <w:color w:val="000000"/>
              </w:rPr>
            </w:pPr>
            <w:r w:rsidRPr="00B83A18">
              <w:rPr>
                <w:rFonts w:cs="Arial"/>
                <w:color w:val="000000"/>
              </w:rPr>
              <w:t>Bypass Thoracic Aorta, Descending to Right Pulmonary Artery with Autologous Venous Tissue, Open Approach</w:t>
            </w:r>
          </w:p>
        </w:tc>
      </w:tr>
      <w:tr w:rsidR="00F67359" w:rsidRPr="00B83A18" w14:paraId="2E3FD661" w14:textId="77777777" w:rsidTr="002C718A">
        <w:trPr>
          <w:trHeight w:val="300"/>
        </w:trPr>
        <w:tc>
          <w:tcPr>
            <w:tcW w:w="1525" w:type="dxa"/>
            <w:noWrap/>
            <w:vAlign w:val="center"/>
            <w:hideMark/>
          </w:tcPr>
          <w:p w14:paraId="4A3DFD70" w14:textId="77777777" w:rsidR="00F67359" w:rsidRPr="00B83A18" w:rsidRDefault="00F67359" w:rsidP="00696E8F">
            <w:pPr>
              <w:rPr>
                <w:rFonts w:cs="Arial"/>
                <w:color w:val="000000"/>
              </w:rPr>
            </w:pPr>
            <w:r w:rsidRPr="00B83A18">
              <w:rPr>
                <w:rFonts w:cs="Arial"/>
                <w:color w:val="000000"/>
              </w:rPr>
              <w:t>021W09R</w:t>
            </w:r>
          </w:p>
        </w:tc>
        <w:tc>
          <w:tcPr>
            <w:tcW w:w="8128" w:type="dxa"/>
            <w:noWrap/>
            <w:vAlign w:val="center"/>
            <w:hideMark/>
          </w:tcPr>
          <w:p w14:paraId="473097E4" w14:textId="77777777" w:rsidR="00F67359" w:rsidRPr="00B83A18" w:rsidRDefault="00F67359" w:rsidP="00696E8F">
            <w:pPr>
              <w:rPr>
                <w:rFonts w:cs="Arial"/>
                <w:color w:val="000000"/>
              </w:rPr>
            </w:pPr>
            <w:r w:rsidRPr="00B83A18">
              <w:rPr>
                <w:rFonts w:cs="Arial"/>
                <w:color w:val="000000"/>
              </w:rPr>
              <w:t>Bypass Thoracic Aorta, Descending to Left Pulmonary Artery with Autologous Venous Tissue, Open Approach</w:t>
            </w:r>
          </w:p>
        </w:tc>
      </w:tr>
      <w:tr w:rsidR="00F67359" w:rsidRPr="00B83A18" w14:paraId="692458CB" w14:textId="77777777" w:rsidTr="002C718A">
        <w:trPr>
          <w:trHeight w:val="300"/>
        </w:trPr>
        <w:tc>
          <w:tcPr>
            <w:tcW w:w="1525" w:type="dxa"/>
            <w:noWrap/>
            <w:vAlign w:val="center"/>
            <w:hideMark/>
          </w:tcPr>
          <w:p w14:paraId="621004D4" w14:textId="77777777" w:rsidR="00F67359" w:rsidRPr="00B83A18" w:rsidRDefault="00F67359" w:rsidP="00696E8F">
            <w:pPr>
              <w:rPr>
                <w:rFonts w:cs="Arial"/>
                <w:color w:val="000000"/>
              </w:rPr>
            </w:pPr>
            <w:r w:rsidRPr="00B83A18">
              <w:rPr>
                <w:rFonts w:cs="Arial"/>
                <w:color w:val="000000"/>
              </w:rPr>
              <w:t>021W09V</w:t>
            </w:r>
          </w:p>
        </w:tc>
        <w:tc>
          <w:tcPr>
            <w:tcW w:w="8128" w:type="dxa"/>
            <w:noWrap/>
            <w:vAlign w:val="center"/>
            <w:hideMark/>
          </w:tcPr>
          <w:p w14:paraId="1B961EB2" w14:textId="77777777" w:rsidR="00F67359" w:rsidRPr="00B83A18" w:rsidRDefault="00F67359" w:rsidP="00696E8F">
            <w:pPr>
              <w:rPr>
                <w:rFonts w:cs="Arial"/>
                <w:color w:val="000000"/>
              </w:rPr>
            </w:pPr>
            <w:r w:rsidRPr="00B83A18">
              <w:rPr>
                <w:rFonts w:cs="Arial"/>
                <w:color w:val="000000"/>
              </w:rPr>
              <w:t>Bypass Thoracic Aorta, Descending to Lower Extremity Artery with Autologous Venous Tissue, Open Approach</w:t>
            </w:r>
          </w:p>
        </w:tc>
      </w:tr>
      <w:tr w:rsidR="00F67359" w:rsidRPr="00B83A18" w14:paraId="3D2804CD" w14:textId="77777777" w:rsidTr="002C718A">
        <w:trPr>
          <w:trHeight w:val="300"/>
        </w:trPr>
        <w:tc>
          <w:tcPr>
            <w:tcW w:w="1525" w:type="dxa"/>
            <w:noWrap/>
            <w:vAlign w:val="center"/>
          </w:tcPr>
          <w:p w14:paraId="52056576" w14:textId="3AEF14BD" w:rsidR="00F67359" w:rsidRPr="00B83A18" w:rsidRDefault="00F67359" w:rsidP="00696E8F">
            <w:pPr>
              <w:rPr>
                <w:rFonts w:cs="Arial"/>
                <w:color w:val="000000"/>
              </w:rPr>
            </w:pPr>
            <w:r w:rsidRPr="00C76857">
              <w:rPr>
                <w:rFonts w:cstheme="minorHAnsi"/>
                <w:color w:val="000000"/>
              </w:rPr>
              <w:t>021W0AA</w:t>
            </w:r>
          </w:p>
        </w:tc>
        <w:tc>
          <w:tcPr>
            <w:tcW w:w="8128" w:type="dxa"/>
            <w:noWrap/>
            <w:vAlign w:val="center"/>
          </w:tcPr>
          <w:p w14:paraId="34124D30" w14:textId="00FB6FAE" w:rsidR="00F67359" w:rsidRPr="00B83A18" w:rsidRDefault="00F67359" w:rsidP="00696E8F">
            <w:pPr>
              <w:rPr>
                <w:rFonts w:cs="Arial"/>
                <w:color w:val="000000"/>
              </w:rPr>
            </w:pPr>
            <w:r w:rsidRPr="00C76857">
              <w:rPr>
                <w:rFonts w:cstheme="minorHAnsi"/>
                <w:color w:val="000000"/>
              </w:rPr>
              <w:t>Bypass Thoracic Aorta, Descending to Innominate Artery with Autologous Arterial Tissue, Open Approach</w:t>
            </w:r>
          </w:p>
        </w:tc>
      </w:tr>
      <w:tr w:rsidR="00F67359" w:rsidRPr="00B83A18" w14:paraId="6F94BCCA" w14:textId="77777777" w:rsidTr="002C718A">
        <w:trPr>
          <w:trHeight w:val="300"/>
        </w:trPr>
        <w:tc>
          <w:tcPr>
            <w:tcW w:w="1525" w:type="dxa"/>
            <w:noWrap/>
            <w:vAlign w:val="center"/>
            <w:hideMark/>
          </w:tcPr>
          <w:p w14:paraId="326F648D" w14:textId="77777777" w:rsidR="00F67359" w:rsidRPr="00B83A18" w:rsidRDefault="00F67359" w:rsidP="00696E8F">
            <w:pPr>
              <w:rPr>
                <w:rFonts w:cs="Arial"/>
                <w:color w:val="000000"/>
              </w:rPr>
            </w:pPr>
            <w:r w:rsidRPr="00B83A18">
              <w:rPr>
                <w:rFonts w:cs="Arial"/>
                <w:color w:val="000000"/>
              </w:rPr>
              <w:t>021W0AB</w:t>
            </w:r>
          </w:p>
        </w:tc>
        <w:tc>
          <w:tcPr>
            <w:tcW w:w="8128" w:type="dxa"/>
            <w:noWrap/>
            <w:vAlign w:val="center"/>
            <w:hideMark/>
          </w:tcPr>
          <w:p w14:paraId="767131E9" w14:textId="77777777" w:rsidR="00F67359" w:rsidRPr="00B83A18" w:rsidRDefault="00F67359" w:rsidP="00696E8F">
            <w:pPr>
              <w:rPr>
                <w:rFonts w:cs="Arial"/>
                <w:color w:val="000000"/>
              </w:rPr>
            </w:pPr>
            <w:r w:rsidRPr="00B83A18">
              <w:rPr>
                <w:rFonts w:cs="Arial"/>
                <w:color w:val="000000"/>
              </w:rPr>
              <w:t>Bypass Thoracic Aorta, Descending to Subclavian with Autologous Arterial Tissue, Open Approach</w:t>
            </w:r>
          </w:p>
        </w:tc>
      </w:tr>
      <w:tr w:rsidR="00F67359" w:rsidRPr="00B83A18" w14:paraId="2F8751FC" w14:textId="77777777" w:rsidTr="002C718A">
        <w:trPr>
          <w:trHeight w:val="300"/>
        </w:trPr>
        <w:tc>
          <w:tcPr>
            <w:tcW w:w="1525" w:type="dxa"/>
            <w:noWrap/>
            <w:vAlign w:val="center"/>
            <w:hideMark/>
          </w:tcPr>
          <w:p w14:paraId="381B890B" w14:textId="77777777" w:rsidR="00F67359" w:rsidRPr="00B83A18" w:rsidRDefault="00F67359" w:rsidP="00696E8F">
            <w:pPr>
              <w:rPr>
                <w:rFonts w:cs="Arial"/>
                <w:color w:val="000000"/>
              </w:rPr>
            </w:pPr>
            <w:r w:rsidRPr="00B83A18">
              <w:rPr>
                <w:rFonts w:cs="Arial"/>
                <w:color w:val="000000"/>
              </w:rPr>
              <w:t>021W0AD</w:t>
            </w:r>
          </w:p>
        </w:tc>
        <w:tc>
          <w:tcPr>
            <w:tcW w:w="8128" w:type="dxa"/>
            <w:noWrap/>
            <w:vAlign w:val="center"/>
            <w:hideMark/>
          </w:tcPr>
          <w:p w14:paraId="136547FC" w14:textId="77777777" w:rsidR="00F67359" w:rsidRPr="00B83A18" w:rsidRDefault="00F67359" w:rsidP="00696E8F">
            <w:pPr>
              <w:rPr>
                <w:rFonts w:cs="Arial"/>
                <w:color w:val="000000"/>
              </w:rPr>
            </w:pPr>
            <w:r w:rsidRPr="00B83A18">
              <w:rPr>
                <w:rFonts w:cs="Arial"/>
                <w:color w:val="000000"/>
              </w:rPr>
              <w:t>Bypass Thoracic Aorta, Descending to Carotid with Autologous Arterial Tissue, Open Approach</w:t>
            </w:r>
          </w:p>
        </w:tc>
      </w:tr>
      <w:tr w:rsidR="00F67359" w:rsidRPr="00B83A18" w14:paraId="60D6F10E" w14:textId="77777777" w:rsidTr="002C718A">
        <w:trPr>
          <w:trHeight w:val="300"/>
        </w:trPr>
        <w:tc>
          <w:tcPr>
            <w:tcW w:w="1525" w:type="dxa"/>
            <w:noWrap/>
            <w:vAlign w:val="center"/>
            <w:hideMark/>
          </w:tcPr>
          <w:p w14:paraId="7560F64D" w14:textId="77777777" w:rsidR="00F67359" w:rsidRPr="00B83A18" w:rsidRDefault="00F67359" w:rsidP="00696E8F">
            <w:pPr>
              <w:rPr>
                <w:rFonts w:cs="Arial"/>
                <w:color w:val="000000"/>
              </w:rPr>
            </w:pPr>
            <w:r w:rsidRPr="00B83A18">
              <w:rPr>
                <w:rFonts w:cs="Arial"/>
                <w:color w:val="000000"/>
              </w:rPr>
              <w:t>021W0AF</w:t>
            </w:r>
          </w:p>
        </w:tc>
        <w:tc>
          <w:tcPr>
            <w:tcW w:w="8128" w:type="dxa"/>
            <w:noWrap/>
            <w:vAlign w:val="center"/>
            <w:hideMark/>
          </w:tcPr>
          <w:p w14:paraId="23D5EC4C" w14:textId="77777777" w:rsidR="00F67359" w:rsidRPr="00B83A18" w:rsidRDefault="00F67359" w:rsidP="00696E8F">
            <w:pPr>
              <w:rPr>
                <w:rFonts w:cs="Arial"/>
                <w:color w:val="000000"/>
              </w:rPr>
            </w:pPr>
            <w:r w:rsidRPr="00B83A18">
              <w:rPr>
                <w:rFonts w:cs="Arial"/>
                <w:color w:val="000000"/>
              </w:rPr>
              <w:t>Bypass Thoracic Aorta, Descending to Abdominal Artery with Autologous Arterial Tissue, Open Approach</w:t>
            </w:r>
          </w:p>
        </w:tc>
      </w:tr>
      <w:tr w:rsidR="00F67359" w:rsidRPr="00B83A18" w14:paraId="39A7DC23" w14:textId="77777777" w:rsidTr="002C718A">
        <w:trPr>
          <w:trHeight w:val="300"/>
        </w:trPr>
        <w:tc>
          <w:tcPr>
            <w:tcW w:w="1525" w:type="dxa"/>
            <w:noWrap/>
            <w:vAlign w:val="center"/>
            <w:hideMark/>
          </w:tcPr>
          <w:p w14:paraId="30EA90EF" w14:textId="77777777" w:rsidR="00F67359" w:rsidRPr="00B83A18" w:rsidRDefault="00F67359" w:rsidP="00696E8F">
            <w:pPr>
              <w:rPr>
                <w:rFonts w:cs="Arial"/>
                <w:color w:val="000000"/>
              </w:rPr>
            </w:pPr>
            <w:r w:rsidRPr="00B83A18">
              <w:rPr>
                <w:rFonts w:cs="Arial"/>
                <w:color w:val="000000"/>
              </w:rPr>
              <w:t>021W0AG</w:t>
            </w:r>
          </w:p>
        </w:tc>
        <w:tc>
          <w:tcPr>
            <w:tcW w:w="8128" w:type="dxa"/>
            <w:noWrap/>
            <w:vAlign w:val="center"/>
            <w:hideMark/>
          </w:tcPr>
          <w:p w14:paraId="31C6FB6A" w14:textId="77777777" w:rsidR="00F67359" w:rsidRPr="00B83A18" w:rsidRDefault="00F67359" w:rsidP="00696E8F">
            <w:pPr>
              <w:rPr>
                <w:rFonts w:cs="Arial"/>
                <w:color w:val="000000"/>
              </w:rPr>
            </w:pPr>
            <w:r w:rsidRPr="00B83A18">
              <w:rPr>
                <w:rFonts w:cs="Arial"/>
                <w:color w:val="000000"/>
              </w:rPr>
              <w:t>Bypass Thoracic Aorta, Descending to Axillary Artery with Autologous Arterial Tissue, Open Approach</w:t>
            </w:r>
          </w:p>
        </w:tc>
      </w:tr>
      <w:tr w:rsidR="00F67359" w:rsidRPr="00B83A18" w14:paraId="2F29C354" w14:textId="77777777" w:rsidTr="002C718A">
        <w:trPr>
          <w:trHeight w:val="300"/>
        </w:trPr>
        <w:tc>
          <w:tcPr>
            <w:tcW w:w="1525" w:type="dxa"/>
            <w:noWrap/>
            <w:vAlign w:val="center"/>
            <w:hideMark/>
          </w:tcPr>
          <w:p w14:paraId="77B50141" w14:textId="77777777" w:rsidR="00F67359" w:rsidRPr="00B83A18" w:rsidRDefault="00F67359" w:rsidP="00696E8F">
            <w:pPr>
              <w:rPr>
                <w:rFonts w:cs="Arial"/>
                <w:color w:val="000000"/>
              </w:rPr>
            </w:pPr>
            <w:r w:rsidRPr="00B83A18">
              <w:rPr>
                <w:rFonts w:cs="Arial"/>
                <w:color w:val="000000"/>
              </w:rPr>
              <w:t>021W0AH</w:t>
            </w:r>
          </w:p>
        </w:tc>
        <w:tc>
          <w:tcPr>
            <w:tcW w:w="8128" w:type="dxa"/>
            <w:noWrap/>
            <w:vAlign w:val="center"/>
            <w:hideMark/>
          </w:tcPr>
          <w:p w14:paraId="75FE12F2" w14:textId="77777777" w:rsidR="00F67359" w:rsidRPr="00B83A18" w:rsidRDefault="00F67359" w:rsidP="00696E8F">
            <w:pPr>
              <w:rPr>
                <w:rFonts w:cs="Arial"/>
                <w:color w:val="000000"/>
              </w:rPr>
            </w:pPr>
            <w:r w:rsidRPr="00B83A18">
              <w:rPr>
                <w:rFonts w:cs="Arial"/>
                <w:color w:val="000000"/>
              </w:rPr>
              <w:t>Bypass Thoracic Aorta, Descending to Brachial Artery with Autologous Arterial Tissue, Open Approach</w:t>
            </w:r>
          </w:p>
        </w:tc>
      </w:tr>
      <w:tr w:rsidR="00F67359" w:rsidRPr="00B83A18" w14:paraId="4918FF07" w14:textId="77777777" w:rsidTr="002C718A">
        <w:trPr>
          <w:trHeight w:val="300"/>
        </w:trPr>
        <w:tc>
          <w:tcPr>
            <w:tcW w:w="1525" w:type="dxa"/>
            <w:noWrap/>
            <w:vAlign w:val="center"/>
            <w:hideMark/>
          </w:tcPr>
          <w:p w14:paraId="70373944" w14:textId="77777777" w:rsidR="00F67359" w:rsidRPr="00B83A18" w:rsidRDefault="00F67359" w:rsidP="00696E8F">
            <w:pPr>
              <w:rPr>
                <w:rFonts w:cs="Arial"/>
                <w:color w:val="000000"/>
              </w:rPr>
            </w:pPr>
            <w:r w:rsidRPr="00B83A18">
              <w:rPr>
                <w:rFonts w:cs="Arial"/>
                <w:color w:val="000000"/>
              </w:rPr>
              <w:t>021W0AP</w:t>
            </w:r>
          </w:p>
        </w:tc>
        <w:tc>
          <w:tcPr>
            <w:tcW w:w="8128" w:type="dxa"/>
            <w:noWrap/>
            <w:vAlign w:val="center"/>
            <w:hideMark/>
          </w:tcPr>
          <w:p w14:paraId="119CD80C" w14:textId="77777777" w:rsidR="00F67359" w:rsidRPr="00B83A18" w:rsidRDefault="00F67359" w:rsidP="00696E8F">
            <w:pPr>
              <w:rPr>
                <w:rFonts w:cs="Arial"/>
                <w:color w:val="000000"/>
              </w:rPr>
            </w:pPr>
            <w:r w:rsidRPr="00B83A18">
              <w:rPr>
                <w:rFonts w:cs="Arial"/>
                <w:color w:val="000000"/>
              </w:rPr>
              <w:t>Bypass Thoracic Aorta, Descending to Pulmonary Trunk with Autologous Arterial Tissue, Open Approach</w:t>
            </w:r>
          </w:p>
        </w:tc>
      </w:tr>
      <w:tr w:rsidR="00F67359" w:rsidRPr="00B83A18" w14:paraId="4F49563F" w14:textId="77777777" w:rsidTr="002C718A">
        <w:trPr>
          <w:trHeight w:val="300"/>
        </w:trPr>
        <w:tc>
          <w:tcPr>
            <w:tcW w:w="1525" w:type="dxa"/>
            <w:noWrap/>
            <w:vAlign w:val="center"/>
            <w:hideMark/>
          </w:tcPr>
          <w:p w14:paraId="5EFC91FF" w14:textId="77777777" w:rsidR="00F67359" w:rsidRPr="00B83A18" w:rsidRDefault="00F67359" w:rsidP="00696E8F">
            <w:pPr>
              <w:rPr>
                <w:rFonts w:cs="Arial"/>
                <w:color w:val="000000"/>
              </w:rPr>
            </w:pPr>
            <w:r w:rsidRPr="00B83A18">
              <w:rPr>
                <w:rFonts w:cs="Arial"/>
                <w:color w:val="000000"/>
              </w:rPr>
              <w:t>021W0AQ</w:t>
            </w:r>
          </w:p>
        </w:tc>
        <w:tc>
          <w:tcPr>
            <w:tcW w:w="8128" w:type="dxa"/>
            <w:noWrap/>
            <w:vAlign w:val="center"/>
            <w:hideMark/>
          </w:tcPr>
          <w:p w14:paraId="1A79D767" w14:textId="77777777" w:rsidR="00F67359" w:rsidRPr="00B83A18" w:rsidRDefault="00F67359" w:rsidP="00696E8F">
            <w:pPr>
              <w:rPr>
                <w:rFonts w:cs="Arial"/>
                <w:color w:val="000000"/>
              </w:rPr>
            </w:pPr>
            <w:r w:rsidRPr="00B83A18">
              <w:rPr>
                <w:rFonts w:cs="Arial"/>
                <w:color w:val="000000"/>
              </w:rPr>
              <w:t>Bypass Thoracic Aorta, Descending to Right Pulmonary Artery with Autologous Arterial Tissue, Open Approach</w:t>
            </w:r>
          </w:p>
        </w:tc>
      </w:tr>
      <w:tr w:rsidR="00F67359" w:rsidRPr="00B83A18" w14:paraId="0A972AFA" w14:textId="77777777" w:rsidTr="002C718A">
        <w:trPr>
          <w:trHeight w:val="300"/>
        </w:trPr>
        <w:tc>
          <w:tcPr>
            <w:tcW w:w="1525" w:type="dxa"/>
            <w:noWrap/>
            <w:vAlign w:val="center"/>
            <w:hideMark/>
          </w:tcPr>
          <w:p w14:paraId="4B7E81D5" w14:textId="77777777" w:rsidR="00F67359" w:rsidRPr="00B83A18" w:rsidRDefault="00F67359" w:rsidP="00696E8F">
            <w:pPr>
              <w:rPr>
                <w:rFonts w:cs="Arial"/>
                <w:color w:val="000000"/>
              </w:rPr>
            </w:pPr>
            <w:r w:rsidRPr="00B83A18">
              <w:rPr>
                <w:rFonts w:cs="Arial"/>
                <w:color w:val="000000"/>
              </w:rPr>
              <w:t>021W0AR</w:t>
            </w:r>
          </w:p>
        </w:tc>
        <w:tc>
          <w:tcPr>
            <w:tcW w:w="8128" w:type="dxa"/>
            <w:noWrap/>
            <w:vAlign w:val="center"/>
            <w:hideMark/>
          </w:tcPr>
          <w:p w14:paraId="4F47A524" w14:textId="77777777" w:rsidR="00F67359" w:rsidRPr="00B83A18" w:rsidRDefault="00F67359" w:rsidP="00696E8F">
            <w:pPr>
              <w:rPr>
                <w:rFonts w:cs="Arial"/>
                <w:color w:val="000000"/>
              </w:rPr>
            </w:pPr>
            <w:r w:rsidRPr="00B83A18">
              <w:rPr>
                <w:rFonts w:cs="Arial"/>
                <w:color w:val="000000"/>
              </w:rPr>
              <w:t>Bypass Thoracic Aorta, Descending to Left Pulmonary Artery with Autologous Arterial Tissue, Open Approach</w:t>
            </w:r>
          </w:p>
        </w:tc>
      </w:tr>
      <w:tr w:rsidR="00F67359" w:rsidRPr="00B83A18" w14:paraId="519515CF" w14:textId="77777777" w:rsidTr="002C718A">
        <w:trPr>
          <w:trHeight w:val="300"/>
        </w:trPr>
        <w:tc>
          <w:tcPr>
            <w:tcW w:w="1525" w:type="dxa"/>
            <w:noWrap/>
            <w:vAlign w:val="center"/>
            <w:hideMark/>
          </w:tcPr>
          <w:p w14:paraId="64586494" w14:textId="77777777" w:rsidR="00F67359" w:rsidRPr="00B83A18" w:rsidRDefault="00F67359" w:rsidP="00696E8F">
            <w:pPr>
              <w:rPr>
                <w:rFonts w:cs="Arial"/>
                <w:color w:val="000000"/>
              </w:rPr>
            </w:pPr>
            <w:r w:rsidRPr="00B83A18">
              <w:rPr>
                <w:rFonts w:cs="Arial"/>
                <w:color w:val="000000"/>
              </w:rPr>
              <w:t>021W0AV</w:t>
            </w:r>
          </w:p>
        </w:tc>
        <w:tc>
          <w:tcPr>
            <w:tcW w:w="8128" w:type="dxa"/>
            <w:noWrap/>
            <w:vAlign w:val="center"/>
            <w:hideMark/>
          </w:tcPr>
          <w:p w14:paraId="2E175E9A" w14:textId="77777777" w:rsidR="00F67359" w:rsidRPr="00B83A18" w:rsidRDefault="00F67359" w:rsidP="00696E8F">
            <w:pPr>
              <w:rPr>
                <w:rFonts w:cs="Arial"/>
                <w:color w:val="000000"/>
              </w:rPr>
            </w:pPr>
            <w:r w:rsidRPr="00B83A18">
              <w:rPr>
                <w:rFonts w:cs="Arial"/>
                <w:color w:val="000000"/>
              </w:rPr>
              <w:t>Bypass Thoracic Aorta, Descending to Lower Extremity Artery with Autologous Arterial Tissue, Open Approach</w:t>
            </w:r>
          </w:p>
        </w:tc>
      </w:tr>
      <w:tr w:rsidR="00F67359" w:rsidRPr="00B83A18" w14:paraId="7DE20965" w14:textId="77777777" w:rsidTr="002C718A">
        <w:trPr>
          <w:trHeight w:val="300"/>
        </w:trPr>
        <w:tc>
          <w:tcPr>
            <w:tcW w:w="1525" w:type="dxa"/>
            <w:noWrap/>
            <w:vAlign w:val="center"/>
          </w:tcPr>
          <w:p w14:paraId="00647A1E" w14:textId="3292387A" w:rsidR="00F67359" w:rsidRPr="00B83A18" w:rsidRDefault="00F67359" w:rsidP="00696E8F">
            <w:pPr>
              <w:rPr>
                <w:rFonts w:cs="Arial"/>
                <w:color w:val="000000"/>
              </w:rPr>
            </w:pPr>
            <w:r w:rsidRPr="00C76857">
              <w:rPr>
                <w:rFonts w:cstheme="minorHAnsi"/>
                <w:color w:val="000000"/>
              </w:rPr>
              <w:t>021W0JA</w:t>
            </w:r>
          </w:p>
        </w:tc>
        <w:tc>
          <w:tcPr>
            <w:tcW w:w="8128" w:type="dxa"/>
            <w:noWrap/>
            <w:vAlign w:val="center"/>
          </w:tcPr>
          <w:p w14:paraId="29AD7158" w14:textId="2E8D6003" w:rsidR="00F67359" w:rsidRPr="00B83A18" w:rsidRDefault="00F67359" w:rsidP="00696E8F">
            <w:pPr>
              <w:rPr>
                <w:rFonts w:cs="Arial"/>
                <w:color w:val="000000"/>
              </w:rPr>
            </w:pPr>
            <w:r w:rsidRPr="00C76857">
              <w:rPr>
                <w:rFonts w:cstheme="minorHAnsi"/>
                <w:color w:val="000000"/>
              </w:rPr>
              <w:t>Bypass Thoracic Aorta, Descending to Innominate Artery with Synthetic Substitute, Open Approach</w:t>
            </w:r>
          </w:p>
        </w:tc>
      </w:tr>
      <w:tr w:rsidR="00F67359" w:rsidRPr="00B83A18" w14:paraId="79431BFF" w14:textId="77777777" w:rsidTr="002C718A">
        <w:trPr>
          <w:trHeight w:val="300"/>
        </w:trPr>
        <w:tc>
          <w:tcPr>
            <w:tcW w:w="1525" w:type="dxa"/>
            <w:noWrap/>
            <w:vAlign w:val="center"/>
            <w:hideMark/>
          </w:tcPr>
          <w:p w14:paraId="5F727433" w14:textId="77777777" w:rsidR="00F67359" w:rsidRPr="00B83A18" w:rsidRDefault="00F67359" w:rsidP="00696E8F">
            <w:pPr>
              <w:rPr>
                <w:rFonts w:cs="Arial"/>
                <w:color w:val="000000"/>
              </w:rPr>
            </w:pPr>
            <w:r w:rsidRPr="00B83A18">
              <w:rPr>
                <w:rFonts w:cs="Arial"/>
                <w:color w:val="000000"/>
              </w:rPr>
              <w:t>021W0JB</w:t>
            </w:r>
          </w:p>
        </w:tc>
        <w:tc>
          <w:tcPr>
            <w:tcW w:w="8128" w:type="dxa"/>
            <w:noWrap/>
            <w:vAlign w:val="center"/>
            <w:hideMark/>
          </w:tcPr>
          <w:p w14:paraId="44E0A5BD" w14:textId="77777777" w:rsidR="00F67359" w:rsidRPr="00B83A18" w:rsidRDefault="00F67359" w:rsidP="00696E8F">
            <w:pPr>
              <w:rPr>
                <w:rFonts w:cs="Arial"/>
                <w:color w:val="000000"/>
              </w:rPr>
            </w:pPr>
            <w:r w:rsidRPr="00B83A18">
              <w:rPr>
                <w:rFonts w:cs="Arial"/>
                <w:color w:val="000000"/>
              </w:rPr>
              <w:t>Bypass Thoracic Aorta, Descending to Subclavian with Synthetic Substitute, Open Approach</w:t>
            </w:r>
          </w:p>
        </w:tc>
      </w:tr>
      <w:tr w:rsidR="00F67359" w:rsidRPr="00B83A18" w14:paraId="32184ACA" w14:textId="77777777" w:rsidTr="002C718A">
        <w:trPr>
          <w:trHeight w:val="300"/>
        </w:trPr>
        <w:tc>
          <w:tcPr>
            <w:tcW w:w="1525" w:type="dxa"/>
            <w:noWrap/>
            <w:vAlign w:val="center"/>
            <w:hideMark/>
          </w:tcPr>
          <w:p w14:paraId="1E960BC3" w14:textId="77777777" w:rsidR="00F67359" w:rsidRPr="00B83A18" w:rsidRDefault="00F67359" w:rsidP="00696E8F">
            <w:pPr>
              <w:rPr>
                <w:rFonts w:cs="Arial"/>
                <w:color w:val="000000"/>
              </w:rPr>
            </w:pPr>
            <w:r w:rsidRPr="00B83A18">
              <w:rPr>
                <w:rFonts w:cs="Arial"/>
                <w:color w:val="000000"/>
              </w:rPr>
              <w:t>021W0JD</w:t>
            </w:r>
          </w:p>
        </w:tc>
        <w:tc>
          <w:tcPr>
            <w:tcW w:w="8128" w:type="dxa"/>
            <w:noWrap/>
            <w:vAlign w:val="center"/>
            <w:hideMark/>
          </w:tcPr>
          <w:p w14:paraId="7D4DF0B5" w14:textId="77777777" w:rsidR="00F67359" w:rsidRPr="00B83A18" w:rsidRDefault="00F67359" w:rsidP="00696E8F">
            <w:pPr>
              <w:rPr>
                <w:rFonts w:cs="Arial"/>
                <w:color w:val="000000"/>
              </w:rPr>
            </w:pPr>
            <w:r w:rsidRPr="00B83A18">
              <w:rPr>
                <w:rFonts w:cs="Arial"/>
                <w:color w:val="000000"/>
              </w:rPr>
              <w:t>Bypass Thoracic Aorta, Descending to Carotid with Synthetic Substitute, Open Approach</w:t>
            </w:r>
          </w:p>
        </w:tc>
      </w:tr>
      <w:tr w:rsidR="00F67359" w:rsidRPr="00B83A18" w14:paraId="2B08692D" w14:textId="77777777" w:rsidTr="002C718A">
        <w:trPr>
          <w:trHeight w:val="300"/>
        </w:trPr>
        <w:tc>
          <w:tcPr>
            <w:tcW w:w="1525" w:type="dxa"/>
            <w:noWrap/>
            <w:vAlign w:val="center"/>
            <w:hideMark/>
          </w:tcPr>
          <w:p w14:paraId="68F9E4BF" w14:textId="77777777" w:rsidR="00F67359" w:rsidRPr="00B83A18" w:rsidRDefault="00F67359" w:rsidP="00696E8F">
            <w:pPr>
              <w:rPr>
                <w:rFonts w:cs="Arial"/>
                <w:color w:val="000000"/>
              </w:rPr>
            </w:pPr>
            <w:r w:rsidRPr="00B83A18">
              <w:rPr>
                <w:rFonts w:cs="Arial"/>
                <w:color w:val="000000"/>
              </w:rPr>
              <w:t>021W0JF</w:t>
            </w:r>
          </w:p>
        </w:tc>
        <w:tc>
          <w:tcPr>
            <w:tcW w:w="8128" w:type="dxa"/>
            <w:noWrap/>
            <w:vAlign w:val="center"/>
            <w:hideMark/>
          </w:tcPr>
          <w:p w14:paraId="55C96A86" w14:textId="77777777" w:rsidR="00F67359" w:rsidRPr="00B83A18" w:rsidRDefault="00F67359" w:rsidP="00696E8F">
            <w:pPr>
              <w:rPr>
                <w:rFonts w:cs="Arial"/>
                <w:color w:val="000000"/>
              </w:rPr>
            </w:pPr>
            <w:r w:rsidRPr="00B83A18">
              <w:rPr>
                <w:rFonts w:cs="Arial"/>
                <w:color w:val="000000"/>
              </w:rPr>
              <w:t>Bypass Thoracic Aorta, Descending to Abdominal Artery with Synthetic Substitute, Open Approach</w:t>
            </w:r>
          </w:p>
        </w:tc>
      </w:tr>
      <w:tr w:rsidR="00F67359" w:rsidRPr="00B83A18" w14:paraId="7BA7A266" w14:textId="77777777" w:rsidTr="002C718A">
        <w:trPr>
          <w:trHeight w:val="300"/>
        </w:trPr>
        <w:tc>
          <w:tcPr>
            <w:tcW w:w="1525" w:type="dxa"/>
            <w:noWrap/>
            <w:vAlign w:val="center"/>
            <w:hideMark/>
          </w:tcPr>
          <w:p w14:paraId="7CB7BCA9" w14:textId="77777777" w:rsidR="00F67359" w:rsidRPr="00B83A18" w:rsidRDefault="00F67359" w:rsidP="00696E8F">
            <w:pPr>
              <w:rPr>
                <w:rFonts w:cs="Arial"/>
                <w:color w:val="000000"/>
              </w:rPr>
            </w:pPr>
            <w:r w:rsidRPr="00B83A18">
              <w:rPr>
                <w:rFonts w:cs="Arial"/>
                <w:color w:val="000000"/>
              </w:rPr>
              <w:t>021W0JG</w:t>
            </w:r>
          </w:p>
        </w:tc>
        <w:tc>
          <w:tcPr>
            <w:tcW w:w="8128" w:type="dxa"/>
            <w:noWrap/>
            <w:vAlign w:val="center"/>
            <w:hideMark/>
          </w:tcPr>
          <w:p w14:paraId="2FCD8D04" w14:textId="77777777" w:rsidR="00F67359" w:rsidRPr="00B83A18" w:rsidRDefault="00F67359" w:rsidP="00696E8F">
            <w:pPr>
              <w:rPr>
                <w:rFonts w:cs="Arial"/>
                <w:color w:val="000000"/>
              </w:rPr>
            </w:pPr>
            <w:r w:rsidRPr="00B83A18">
              <w:rPr>
                <w:rFonts w:cs="Arial"/>
                <w:color w:val="000000"/>
              </w:rPr>
              <w:t>Bypass Thoracic Aorta, Descending to Axillary Artery with Synthetic Substitute, Open Approach</w:t>
            </w:r>
          </w:p>
        </w:tc>
      </w:tr>
      <w:tr w:rsidR="00F67359" w:rsidRPr="00B83A18" w14:paraId="118B960B" w14:textId="77777777" w:rsidTr="002C718A">
        <w:trPr>
          <w:trHeight w:val="300"/>
        </w:trPr>
        <w:tc>
          <w:tcPr>
            <w:tcW w:w="1525" w:type="dxa"/>
            <w:noWrap/>
            <w:vAlign w:val="center"/>
            <w:hideMark/>
          </w:tcPr>
          <w:p w14:paraId="690E1BFD" w14:textId="77777777" w:rsidR="00F67359" w:rsidRPr="00B83A18" w:rsidRDefault="00F67359" w:rsidP="00696E8F">
            <w:pPr>
              <w:rPr>
                <w:rFonts w:cs="Arial"/>
                <w:color w:val="000000"/>
              </w:rPr>
            </w:pPr>
            <w:r w:rsidRPr="00B83A18">
              <w:rPr>
                <w:rFonts w:cs="Arial"/>
                <w:color w:val="000000"/>
              </w:rPr>
              <w:t>021W0JH</w:t>
            </w:r>
          </w:p>
        </w:tc>
        <w:tc>
          <w:tcPr>
            <w:tcW w:w="8128" w:type="dxa"/>
            <w:noWrap/>
            <w:vAlign w:val="center"/>
            <w:hideMark/>
          </w:tcPr>
          <w:p w14:paraId="5D549957" w14:textId="77777777" w:rsidR="00F67359" w:rsidRPr="00B83A18" w:rsidRDefault="00F67359" w:rsidP="00696E8F">
            <w:pPr>
              <w:rPr>
                <w:rFonts w:cs="Arial"/>
                <w:color w:val="000000"/>
              </w:rPr>
            </w:pPr>
            <w:r w:rsidRPr="00B83A18">
              <w:rPr>
                <w:rFonts w:cs="Arial"/>
                <w:color w:val="000000"/>
              </w:rPr>
              <w:t>Bypass Thoracic Aorta, Descending to Brachial Artery with Synthetic Substitute, Open Approach</w:t>
            </w:r>
          </w:p>
        </w:tc>
      </w:tr>
      <w:tr w:rsidR="00F67359" w:rsidRPr="00B83A18" w14:paraId="58B565EB" w14:textId="77777777" w:rsidTr="002C718A">
        <w:trPr>
          <w:trHeight w:val="300"/>
        </w:trPr>
        <w:tc>
          <w:tcPr>
            <w:tcW w:w="1525" w:type="dxa"/>
            <w:noWrap/>
            <w:vAlign w:val="center"/>
            <w:hideMark/>
          </w:tcPr>
          <w:p w14:paraId="3307EC01" w14:textId="77777777" w:rsidR="00F67359" w:rsidRPr="00B83A18" w:rsidRDefault="00F67359" w:rsidP="00696E8F">
            <w:pPr>
              <w:rPr>
                <w:rFonts w:cs="Arial"/>
                <w:color w:val="000000"/>
              </w:rPr>
            </w:pPr>
            <w:r w:rsidRPr="00B83A18">
              <w:rPr>
                <w:rFonts w:cs="Arial"/>
                <w:color w:val="000000"/>
              </w:rPr>
              <w:t>021W0JP</w:t>
            </w:r>
          </w:p>
        </w:tc>
        <w:tc>
          <w:tcPr>
            <w:tcW w:w="8128" w:type="dxa"/>
            <w:noWrap/>
            <w:vAlign w:val="center"/>
            <w:hideMark/>
          </w:tcPr>
          <w:p w14:paraId="51F5AB31" w14:textId="77777777" w:rsidR="00F67359" w:rsidRPr="00B83A18" w:rsidRDefault="00F67359" w:rsidP="00696E8F">
            <w:pPr>
              <w:rPr>
                <w:rFonts w:cs="Arial"/>
                <w:color w:val="000000"/>
              </w:rPr>
            </w:pPr>
            <w:r w:rsidRPr="00B83A18">
              <w:rPr>
                <w:rFonts w:cs="Arial"/>
                <w:color w:val="000000"/>
              </w:rPr>
              <w:t>Bypass Thoracic Aorta, Descending to Pulmonary Trunk with Synthetic Substitute, Open Approach</w:t>
            </w:r>
          </w:p>
        </w:tc>
      </w:tr>
      <w:tr w:rsidR="00F67359" w:rsidRPr="00B83A18" w14:paraId="088CE865" w14:textId="77777777" w:rsidTr="002C718A">
        <w:trPr>
          <w:trHeight w:val="300"/>
        </w:trPr>
        <w:tc>
          <w:tcPr>
            <w:tcW w:w="1525" w:type="dxa"/>
            <w:noWrap/>
            <w:vAlign w:val="center"/>
            <w:hideMark/>
          </w:tcPr>
          <w:p w14:paraId="4213D086" w14:textId="77777777" w:rsidR="00F67359" w:rsidRPr="00B83A18" w:rsidRDefault="00F67359" w:rsidP="00696E8F">
            <w:pPr>
              <w:rPr>
                <w:rFonts w:cs="Arial"/>
                <w:color w:val="000000"/>
              </w:rPr>
            </w:pPr>
            <w:r w:rsidRPr="00B83A18">
              <w:rPr>
                <w:rFonts w:cs="Arial"/>
                <w:color w:val="000000"/>
              </w:rPr>
              <w:lastRenderedPageBreak/>
              <w:t>021W0JQ</w:t>
            </w:r>
          </w:p>
        </w:tc>
        <w:tc>
          <w:tcPr>
            <w:tcW w:w="8128" w:type="dxa"/>
            <w:noWrap/>
            <w:vAlign w:val="center"/>
            <w:hideMark/>
          </w:tcPr>
          <w:p w14:paraId="0D336A97" w14:textId="77777777" w:rsidR="00F67359" w:rsidRPr="00B83A18" w:rsidRDefault="00F67359" w:rsidP="00696E8F">
            <w:pPr>
              <w:rPr>
                <w:rFonts w:cs="Arial"/>
                <w:color w:val="000000"/>
              </w:rPr>
            </w:pPr>
            <w:r w:rsidRPr="00B83A18">
              <w:rPr>
                <w:rFonts w:cs="Arial"/>
                <w:color w:val="000000"/>
              </w:rPr>
              <w:t>Bypass Thoracic Aorta, Descending to Right Pulmonary Artery with Synthetic Substitute, Open Approach</w:t>
            </w:r>
          </w:p>
        </w:tc>
      </w:tr>
      <w:tr w:rsidR="00F67359" w:rsidRPr="00B83A18" w14:paraId="47465420" w14:textId="77777777" w:rsidTr="002C718A">
        <w:trPr>
          <w:trHeight w:val="300"/>
        </w:trPr>
        <w:tc>
          <w:tcPr>
            <w:tcW w:w="1525" w:type="dxa"/>
            <w:noWrap/>
            <w:vAlign w:val="center"/>
            <w:hideMark/>
          </w:tcPr>
          <w:p w14:paraId="20BC0D63" w14:textId="77777777" w:rsidR="00F67359" w:rsidRPr="00B83A18" w:rsidRDefault="00F67359" w:rsidP="00696E8F">
            <w:pPr>
              <w:rPr>
                <w:rFonts w:cs="Arial"/>
                <w:color w:val="000000"/>
              </w:rPr>
            </w:pPr>
            <w:r w:rsidRPr="00B83A18">
              <w:rPr>
                <w:rFonts w:cs="Arial"/>
                <w:color w:val="000000"/>
              </w:rPr>
              <w:t>021W0JR</w:t>
            </w:r>
          </w:p>
        </w:tc>
        <w:tc>
          <w:tcPr>
            <w:tcW w:w="8128" w:type="dxa"/>
            <w:noWrap/>
            <w:vAlign w:val="center"/>
            <w:hideMark/>
          </w:tcPr>
          <w:p w14:paraId="695A4642" w14:textId="77777777" w:rsidR="00F67359" w:rsidRPr="00B83A18" w:rsidRDefault="00F67359" w:rsidP="00696E8F">
            <w:pPr>
              <w:rPr>
                <w:rFonts w:cs="Arial"/>
                <w:color w:val="000000"/>
              </w:rPr>
            </w:pPr>
            <w:r w:rsidRPr="00B83A18">
              <w:rPr>
                <w:rFonts w:cs="Arial"/>
                <w:color w:val="000000"/>
              </w:rPr>
              <w:t>Bypass Thoracic Aorta, Descending to Left Pulmonary Artery with Synthetic Substitute, Open Approach</w:t>
            </w:r>
          </w:p>
        </w:tc>
      </w:tr>
      <w:tr w:rsidR="00F67359" w:rsidRPr="00B83A18" w14:paraId="646AEBD8" w14:textId="77777777" w:rsidTr="002C718A">
        <w:trPr>
          <w:trHeight w:val="300"/>
        </w:trPr>
        <w:tc>
          <w:tcPr>
            <w:tcW w:w="1525" w:type="dxa"/>
            <w:noWrap/>
            <w:vAlign w:val="center"/>
            <w:hideMark/>
          </w:tcPr>
          <w:p w14:paraId="70163D05" w14:textId="77777777" w:rsidR="00F67359" w:rsidRPr="00B83A18" w:rsidRDefault="00F67359" w:rsidP="00696E8F">
            <w:pPr>
              <w:rPr>
                <w:rFonts w:cs="Arial"/>
                <w:color w:val="000000"/>
              </w:rPr>
            </w:pPr>
            <w:r w:rsidRPr="00B83A18">
              <w:rPr>
                <w:rFonts w:cs="Arial"/>
                <w:color w:val="000000"/>
              </w:rPr>
              <w:t>021W0JV</w:t>
            </w:r>
          </w:p>
        </w:tc>
        <w:tc>
          <w:tcPr>
            <w:tcW w:w="8128" w:type="dxa"/>
            <w:noWrap/>
            <w:vAlign w:val="center"/>
            <w:hideMark/>
          </w:tcPr>
          <w:p w14:paraId="202FCA27" w14:textId="77777777" w:rsidR="00F67359" w:rsidRPr="00B83A18" w:rsidRDefault="00F67359" w:rsidP="00696E8F">
            <w:pPr>
              <w:rPr>
                <w:rFonts w:cs="Arial"/>
                <w:color w:val="000000"/>
              </w:rPr>
            </w:pPr>
            <w:r w:rsidRPr="00B83A18">
              <w:rPr>
                <w:rFonts w:cs="Arial"/>
                <w:color w:val="000000"/>
              </w:rPr>
              <w:t>Bypass Thoracic Aorta, Descending to Lower Extremity Artery with Synthetic Substitute, Open Approach</w:t>
            </w:r>
          </w:p>
        </w:tc>
      </w:tr>
      <w:tr w:rsidR="00265AC7" w:rsidRPr="00B83A18" w14:paraId="370B21E9" w14:textId="77777777" w:rsidTr="002C718A">
        <w:trPr>
          <w:trHeight w:val="300"/>
        </w:trPr>
        <w:tc>
          <w:tcPr>
            <w:tcW w:w="1525" w:type="dxa"/>
            <w:noWrap/>
            <w:vAlign w:val="center"/>
          </w:tcPr>
          <w:p w14:paraId="028D4705" w14:textId="4FD3D400" w:rsidR="00265AC7" w:rsidRPr="00B83A18" w:rsidRDefault="00265AC7" w:rsidP="00696E8F">
            <w:pPr>
              <w:rPr>
                <w:rFonts w:cs="Arial"/>
                <w:color w:val="000000"/>
              </w:rPr>
            </w:pPr>
            <w:r w:rsidRPr="00C76857">
              <w:rPr>
                <w:rFonts w:cstheme="minorHAnsi"/>
                <w:color w:val="000000"/>
              </w:rPr>
              <w:t>021W0KA</w:t>
            </w:r>
          </w:p>
        </w:tc>
        <w:tc>
          <w:tcPr>
            <w:tcW w:w="8128" w:type="dxa"/>
            <w:noWrap/>
            <w:vAlign w:val="center"/>
          </w:tcPr>
          <w:p w14:paraId="00EA4950" w14:textId="0C78E14A" w:rsidR="00265AC7" w:rsidRPr="00B83A18" w:rsidRDefault="00265AC7" w:rsidP="00696E8F">
            <w:pPr>
              <w:rPr>
                <w:rFonts w:cs="Arial"/>
                <w:color w:val="000000"/>
              </w:rPr>
            </w:pPr>
            <w:r w:rsidRPr="00C76857">
              <w:rPr>
                <w:rFonts w:cstheme="minorHAnsi"/>
                <w:color w:val="000000"/>
              </w:rPr>
              <w:t xml:space="preserve">Bypass Thoracic Aorta, Descending to Innominate Artery with </w:t>
            </w:r>
            <w:proofErr w:type="spellStart"/>
            <w:r w:rsidRPr="00C76857">
              <w:rPr>
                <w:rFonts w:cstheme="minorHAnsi"/>
                <w:color w:val="000000"/>
              </w:rPr>
              <w:t>Nonautologous</w:t>
            </w:r>
            <w:proofErr w:type="spellEnd"/>
            <w:r w:rsidRPr="00C76857">
              <w:rPr>
                <w:rFonts w:cstheme="minorHAnsi"/>
                <w:color w:val="000000"/>
              </w:rPr>
              <w:t xml:space="preserve"> Tissue Substitute, Open Approach</w:t>
            </w:r>
          </w:p>
        </w:tc>
      </w:tr>
      <w:tr w:rsidR="00F67359" w:rsidRPr="00B83A18" w14:paraId="21C44309" w14:textId="77777777" w:rsidTr="002C718A">
        <w:trPr>
          <w:trHeight w:val="300"/>
        </w:trPr>
        <w:tc>
          <w:tcPr>
            <w:tcW w:w="1525" w:type="dxa"/>
            <w:noWrap/>
            <w:vAlign w:val="center"/>
            <w:hideMark/>
          </w:tcPr>
          <w:p w14:paraId="74E6A7B7" w14:textId="77777777" w:rsidR="00F67359" w:rsidRPr="00B83A18" w:rsidRDefault="00F67359" w:rsidP="00696E8F">
            <w:pPr>
              <w:rPr>
                <w:rFonts w:cs="Arial"/>
                <w:color w:val="000000"/>
              </w:rPr>
            </w:pPr>
            <w:r w:rsidRPr="00B83A18">
              <w:rPr>
                <w:rFonts w:cs="Arial"/>
                <w:color w:val="000000"/>
              </w:rPr>
              <w:t>021W0KB</w:t>
            </w:r>
          </w:p>
        </w:tc>
        <w:tc>
          <w:tcPr>
            <w:tcW w:w="8128" w:type="dxa"/>
            <w:noWrap/>
            <w:vAlign w:val="center"/>
            <w:hideMark/>
          </w:tcPr>
          <w:p w14:paraId="4FBD070C" w14:textId="77777777" w:rsidR="00F67359" w:rsidRPr="00B83A18" w:rsidRDefault="00F67359" w:rsidP="00696E8F">
            <w:pPr>
              <w:rPr>
                <w:rFonts w:cs="Arial"/>
                <w:color w:val="000000"/>
              </w:rPr>
            </w:pPr>
            <w:r w:rsidRPr="00B83A18">
              <w:rPr>
                <w:rFonts w:cs="Arial"/>
                <w:color w:val="000000"/>
              </w:rPr>
              <w:t xml:space="preserve">Bypass Thoracic Aorta, Descending to Subclavian with </w:t>
            </w:r>
            <w:proofErr w:type="spellStart"/>
            <w:r w:rsidRPr="00B83A18">
              <w:rPr>
                <w:rFonts w:cs="Arial"/>
                <w:color w:val="000000"/>
              </w:rPr>
              <w:t>Nonautologous</w:t>
            </w:r>
            <w:proofErr w:type="spellEnd"/>
            <w:r w:rsidRPr="00B83A18">
              <w:rPr>
                <w:rFonts w:cs="Arial"/>
                <w:color w:val="000000"/>
              </w:rPr>
              <w:t xml:space="preserve"> Tissue Substitute, Open Approach</w:t>
            </w:r>
          </w:p>
        </w:tc>
      </w:tr>
      <w:tr w:rsidR="00F67359" w:rsidRPr="00B83A18" w14:paraId="476D99DB" w14:textId="77777777" w:rsidTr="002C718A">
        <w:trPr>
          <w:trHeight w:val="300"/>
        </w:trPr>
        <w:tc>
          <w:tcPr>
            <w:tcW w:w="1525" w:type="dxa"/>
            <w:noWrap/>
            <w:vAlign w:val="center"/>
            <w:hideMark/>
          </w:tcPr>
          <w:p w14:paraId="014C646C" w14:textId="77777777" w:rsidR="00F67359" w:rsidRPr="00B83A18" w:rsidRDefault="00F67359" w:rsidP="00696E8F">
            <w:pPr>
              <w:rPr>
                <w:rFonts w:cs="Arial"/>
                <w:color w:val="000000"/>
              </w:rPr>
            </w:pPr>
            <w:r w:rsidRPr="00B83A18">
              <w:rPr>
                <w:rFonts w:cs="Arial"/>
                <w:color w:val="000000"/>
              </w:rPr>
              <w:t>021W0KD</w:t>
            </w:r>
          </w:p>
        </w:tc>
        <w:tc>
          <w:tcPr>
            <w:tcW w:w="8128" w:type="dxa"/>
            <w:noWrap/>
            <w:vAlign w:val="center"/>
            <w:hideMark/>
          </w:tcPr>
          <w:p w14:paraId="6AB546E4" w14:textId="77777777" w:rsidR="00F67359" w:rsidRPr="00B83A18" w:rsidRDefault="00F67359" w:rsidP="00696E8F">
            <w:pPr>
              <w:rPr>
                <w:rFonts w:cs="Arial"/>
                <w:color w:val="000000"/>
              </w:rPr>
            </w:pPr>
            <w:r w:rsidRPr="00B83A18">
              <w:rPr>
                <w:rFonts w:cs="Arial"/>
                <w:color w:val="000000"/>
              </w:rPr>
              <w:t xml:space="preserve">Bypass Thoracic Aorta, Descending to Carotid with </w:t>
            </w:r>
            <w:proofErr w:type="spellStart"/>
            <w:r w:rsidRPr="00B83A18">
              <w:rPr>
                <w:rFonts w:cs="Arial"/>
                <w:color w:val="000000"/>
              </w:rPr>
              <w:t>Nonautologous</w:t>
            </w:r>
            <w:proofErr w:type="spellEnd"/>
            <w:r w:rsidRPr="00B83A18">
              <w:rPr>
                <w:rFonts w:cs="Arial"/>
                <w:color w:val="000000"/>
              </w:rPr>
              <w:t xml:space="preserve"> Tissue Substitute, Open Approach</w:t>
            </w:r>
          </w:p>
        </w:tc>
      </w:tr>
      <w:tr w:rsidR="00F67359" w:rsidRPr="00B83A18" w14:paraId="68D43442" w14:textId="77777777" w:rsidTr="002C718A">
        <w:trPr>
          <w:trHeight w:val="300"/>
        </w:trPr>
        <w:tc>
          <w:tcPr>
            <w:tcW w:w="1525" w:type="dxa"/>
            <w:noWrap/>
            <w:vAlign w:val="center"/>
            <w:hideMark/>
          </w:tcPr>
          <w:p w14:paraId="52B4439E" w14:textId="77777777" w:rsidR="00F67359" w:rsidRPr="00B83A18" w:rsidRDefault="00F67359" w:rsidP="00696E8F">
            <w:pPr>
              <w:rPr>
                <w:rFonts w:cs="Arial"/>
                <w:color w:val="000000"/>
              </w:rPr>
            </w:pPr>
            <w:r w:rsidRPr="00B83A18">
              <w:rPr>
                <w:rFonts w:cs="Arial"/>
                <w:color w:val="000000"/>
              </w:rPr>
              <w:t>021W0KF</w:t>
            </w:r>
          </w:p>
        </w:tc>
        <w:tc>
          <w:tcPr>
            <w:tcW w:w="8128" w:type="dxa"/>
            <w:noWrap/>
            <w:vAlign w:val="center"/>
            <w:hideMark/>
          </w:tcPr>
          <w:p w14:paraId="6892F52A" w14:textId="77777777" w:rsidR="00F67359" w:rsidRPr="00B83A18" w:rsidRDefault="00F67359" w:rsidP="00696E8F">
            <w:pPr>
              <w:rPr>
                <w:rFonts w:cs="Arial"/>
                <w:color w:val="000000"/>
              </w:rPr>
            </w:pPr>
            <w:r w:rsidRPr="00B83A18">
              <w:rPr>
                <w:rFonts w:cs="Arial"/>
                <w:color w:val="000000"/>
              </w:rPr>
              <w:t xml:space="preserve">Bypass Thoracic Aorta, Descending to Abdominal Artery with </w:t>
            </w:r>
            <w:proofErr w:type="spellStart"/>
            <w:r w:rsidRPr="00B83A18">
              <w:rPr>
                <w:rFonts w:cs="Arial"/>
                <w:color w:val="000000"/>
              </w:rPr>
              <w:t>Nonautologous</w:t>
            </w:r>
            <w:proofErr w:type="spellEnd"/>
            <w:r w:rsidRPr="00B83A18">
              <w:rPr>
                <w:rFonts w:cs="Arial"/>
                <w:color w:val="000000"/>
              </w:rPr>
              <w:t xml:space="preserve"> Tissue Substitute, Open Approach</w:t>
            </w:r>
          </w:p>
        </w:tc>
      </w:tr>
      <w:tr w:rsidR="00F67359" w:rsidRPr="00B83A18" w14:paraId="2207B86A" w14:textId="77777777" w:rsidTr="002C718A">
        <w:trPr>
          <w:trHeight w:val="300"/>
        </w:trPr>
        <w:tc>
          <w:tcPr>
            <w:tcW w:w="1525" w:type="dxa"/>
            <w:noWrap/>
            <w:vAlign w:val="center"/>
            <w:hideMark/>
          </w:tcPr>
          <w:p w14:paraId="2FE5A650" w14:textId="77777777" w:rsidR="00F67359" w:rsidRPr="00B83A18" w:rsidRDefault="00F67359" w:rsidP="00696E8F">
            <w:pPr>
              <w:rPr>
                <w:rFonts w:cs="Arial"/>
                <w:color w:val="000000"/>
              </w:rPr>
            </w:pPr>
            <w:r w:rsidRPr="00B83A18">
              <w:rPr>
                <w:rFonts w:cs="Arial"/>
                <w:color w:val="000000"/>
              </w:rPr>
              <w:t>021W0KG</w:t>
            </w:r>
          </w:p>
        </w:tc>
        <w:tc>
          <w:tcPr>
            <w:tcW w:w="8128" w:type="dxa"/>
            <w:noWrap/>
            <w:vAlign w:val="center"/>
            <w:hideMark/>
          </w:tcPr>
          <w:p w14:paraId="182A18D7" w14:textId="77777777" w:rsidR="00F67359" w:rsidRPr="00B83A18" w:rsidRDefault="00F67359" w:rsidP="00696E8F">
            <w:pPr>
              <w:rPr>
                <w:rFonts w:cs="Arial"/>
                <w:color w:val="000000"/>
              </w:rPr>
            </w:pPr>
            <w:r w:rsidRPr="00B83A18">
              <w:rPr>
                <w:rFonts w:cs="Arial"/>
                <w:color w:val="000000"/>
              </w:rPr>
              <w:t xml:space="preserve">Bypass Thoracic Aorta, Descending to Axillary Artery with </w:t>
            </w:r>
            <w:proofErr w:type="spellStart"/>
            <w:r w:rsidRPr="00B83A18">
              <w:rPr>
                <w:rFonts w:cs="Arial"/>
                <w:color w:val="000000"/>
              </w:rPr>
              <w:t>Nonautologous</w:t>
            </w:r>
            <w:proofErr w:type="spellEnd"/>
            <w:r w:rsidRPr="00B83A18">
              <w:rPr>
                <w:rFonts w:cs="Arial"/>
                <w:color w:val="000000"/>
              </w:rPr>
              <w:t xml:space="preserve"> Tissue Substitute, Open Approach</w:t>
            </w:r>
          </w:p>
        </w:tc>
      </w:tr>
      <w:tr w:rsidR="00F67359" w:rsidRPr="00B83A18" w14:paraId="5CCDEDE1" w14:textId="77777777" w:rsidTr="002C718A">
        <w:trPr>
          <w:trHeight w:val="300"/>
        </w:trPr>
        <w:tc>
          <w:tcPr>
            <w:tcW w:w="1525" w:type="dxa"/>
            <w:noWrap/>
            <w:vAlign w:val="center"/>
            <w:hideMark/>
          </w:tcPr>
          <w:p w14:paraId="1D3A78DA" w14:textId="77777777" w:rsidR="00F67359" w:rsidRPr="00B83A18" w:rsidRDefault="00F67359" w:rsidP="00696E8F">
            <w:pPr>
              <w:rPr>
                <w:rFonts w:cs="Arial"/>
                <w:color w:val="000000"/>
              </w:rPr>
            </w:pPr>
            <w:r w:rsidRPr="00B83A18">
              <w:rPr>
                <w:rFonts w:cs="Arial"/>
                <w:color w:val="000000"/>
              </w:rPr>
              <w:t>021W0KH</w:t>
            </w:r>
          </w:p>
        </w:tc>
        <w:tc>
          <w:tcPr>
            <w:tcW w:w="8128" w:type="dxa"/>
            <w:noWrap/>
            <w:vAlign w:val="center"/>
            <w:hideMark/>
          </w:tcPr>
          <w:p w14:paraId="673AFB77" w14:textId="77777777" w:rsidR="00F67359" w:rsidRPr="00B83A18" w:rsidRDefault="00F67359" w:rsidP="00696E8F">
            <w:pPr>
              <w:rPr>
                <w:rFonts w:cs="Arial"/>
                <w:color w:val="000000"/>
              </w:rPr>
            </w:pPr>
            <w:r w:rsidRPr="00B83A18">
              <w:rPr>
                <w:rFonts w:cs="Arial"/>
                <w:color w:val="000000"/>
              </w:rPr>
              <w:t xml:space="preserve">Bypass Thoracic Aorta, Descending to Brachial Artery with </w:t>
            </w:r>
            <w:proofErr w:type="spellStart"/>
            <w:r w:rsidRPr="00B83A18">
              <w:rPr>
                <w:rFonts w:cs="Arial"/>
                <w:color w:val="000000"/>
              </w:rPr>
              <w:t>Nonautologous</w:t>
            </w:r>
            <w:proofErr w:type="spellEnd"/>
            <w:r w:rsidRPr="00B83A18">
              <w:rPr>
                <w:rFonts w:cs="Arial"/>
                <w:color w:val="000000"/>
              </w:rPr>
              <w:t xml:space="preserve"> Tissue Substitute, Open Approach</w:t>
            </w:r>
          </w:p>
        </w:tc>
      </w:tr>
      <w:tr w:rsidR="00F67359" w:rsidRPr="00B83A18" w14:paraId="146CBCBD" w14:textId="77777777" w:rsidTr="002C718A">
        <w:trPr>
          <w:trHeight w:val="300"/>
        </w:trPr>
        <w:tc>
          <w:tcPr>
            <w:tcW w:w="1525" w:type="dxa"/>
            <w:noWrap/>
            <w:vAlign w:val="center"/>
            <w:hideMark/>
          </w:tcPr>
          <w:p w14:paraId="632BAEEC" w14:textId="77777777" w:rsidR="00F67359" w:rsidRPr="00B83A18" w:rsidRDefault="00F67359" w:rsidP="00696E8F">
            <w:pPr>
              <w:rPr>
                <w:rFonts w:cs="Arial"/>
                <w:color w:val="000000"/>
              </w:rPr>
            </w:pPr>
            <w:r w:rsidRPr="00B83A18">
              <w:rPr>
                <w:rFonts w:cs="Arial"/>
                <w:color w:val="000000"/>
              </w:rPr>
              <w:t>021W0KP</w:t>
            </w:r>
          </w:p>
        </w:tc>
        <w:tc>
          <w:tcPr>
            <w:tcW w:w="8128" w:type="dxa"/>
            <w:noWrap/>
            <w:vAlign w:val="center"/>
            <w:hideMark/>
          </w:tcPr>
          <w:p w14:paraId="1DE279F0" w14:textId="77777777" w:rsidR="00F67359" w:rsidRPr="00B83A18" w:rsidRDefault="00F67359" w:rsidP="00696E8F">
            <w:pPr>
              <w:rPr>
                <w:rFonts w:cs="Arial"/>
                <w:color w:val="000000"/>
              </w:rPr>
            </w:pPr>
            <w:r w:rsidRPr="00B83A18">
              <w:rPr>
                <w:rFonts w:cs="Arial"/>
                <w:color w:val="000000"/>
              </w:rPr>
              <w:t xml:space="preserve">Bypass Thoracic Aorta, Descending to Pulmonary Trunk with </w:t>
            </w:r>
            <w:proofErr w:type="spellStart"/>
            <w:r w:rsidRPr="00B83A18">
              <w:rPr>
                <w:rFonts w:cs="Arial"/>
                <w:color w:val="000000"/>
              </w:rPr>
              <w:t>Nonautologous</w:t>
            </w:r>
            <w:proofErr w:type="spellEnd"/>
            <w:r w:rsidRPr="00B83A18">
              <w:rPr>
                <w:rFonts w:cs="Arial"/>
                <w:color w:val="000000"/>
              </w:rPr>
              <w:t xml:space="preserve"> Tissue Substitute, Open Approach</w:t>
            </w:r>
          </w:p>
        </w:tc>
      </w:tr>
      <w:tr w:rsidR="00F67359" w:rsidRPr="00B83A18" w14:paraId="29D0B898" w14:textId="77777777" w:rsidTr="002C718A">
        <w:trPr>
          <w:trHeight w:val="300"/>
        </w:trPr>
        <w:tc>
          <w:tcPr>
            <w:tcW w:w="1525" w:type="dxa"/>
            <w:noWrap/>
            <w:vAlign w:val="center"/>
            <w:hideMark/>
          </w:tcPr>
          <w:p w14:paraId="2A915C41" w14:textId="77777777" w:rsidR="00F67359" w:rsidRPr="00B83A18" w:rsidRDefault="00F67359" w:rsidP="00696E8F">
            <w:pPr>
              <w:rPr>
                <w:rFonts w:cs="Arial"/>
                <w:color w:val="000000"/>
              </w:rPr>
            </w:pPr>
            <w:r w:rsidRPr="00B83A18">
              <w:rPr>
                <w:rFonts w:cs="Arial"/>
                <w:color w:val="000000"/>
              </w:rPr>
              <w:t>021W0KQ</w:t>
            </w:r>
          </w:p>
        </w:tc>
        <w:tc>
          <w:tcPr>
            <w:tcW w:w="8128" w:type="dxa"/>
            <w:noWrap/>
            <w:vAlign w:val="center"/>
            <w:hideMark/>
          </w:tcPr>
          <w:p w14:paraId="258CE8EE" w14:textId="77777777" w:rsidR="00F67359" w:rsidRPr="00B83A18" w:rsidRDefault="00F67359" w:rsidP="00696E8F">
            <w:pPr>
              <w:rPr>
                <w:rFonts w:cs="Arial"/>
                <w:color w:val="000000"/>
              </w:rPr>
            </w:pPr>
            <w:r w:rsidRPr="00B83A18">
              <w:rPr>
                <w:rFonts w:cs="Arial"/>
                <w:color w:val="000000"/>
              </w:rPr>
              <w:t xml:space="preserve">Bypass Thoracic Aorta, Descending to Right Pulmonary Artery with </w:t>
            </w:r>
            <w:proofErr w:type="spellStart"/>
            <w:r w:rsidRPr="00B83A18">
              <w:rPr>
                <w:rFonts w:cs="Arial"/>
                <w:color w:val="000000"/>
              </w:rPr>
              <w:t>Nonautologous</w:t>
            </w:r>
            <w:proofErr w:type="spellEnd"/>
            <w:r w:rsidRPr="00B83A18">
              <w:rPr>
                <w:rFonts w:cs="Arial"/>
                <w:color w:val="000000"/>
              </w:rPr>
              <w:t xml:space="preserve"> Tissue Substitute, Open Approach</w:t>
            </w:r>
          </w:p>
        </w:tc>
      </w:tr>
      <w:tr w:rsidR="00F67359" w:rsidRPr="00B83A18" w14:paraId="62EDFBC6" w14:textId="77777777" w:rsidTr="002C718A">
        <w:trPr>
          <w:trHeight w:val="300"/>
        </w:trPr>
        <w:tc>
          <w:tcPr>
            <w:tcW w:w="1525" w:type="dxa"/>
            <w:noWrap/>
            <w:vAlign w:val="center"/>
            <w:hideMark/>
          </w:tcPr>
          <w:p w14:paraId="474679A8" w14:textId="77777777" w:rsidR="00F67359" w:rsidRPr="00B83A18" w:rsidRDefault="00F67359" w:rsidP="00696E8F">
            <w:pPr>
              <w:rPr>
                <w:rFonts w:cs="Arial"/>
                <w:color w:val="000000"/>
              </w:rPr>
            </w:pPr>
            <w:r w:rsidRPr="00B83A18">
              <w:rPr>
                <w:rFonts w:cs="Arial"/>
                <w:color w:val="000000"/>
              </w:rPr>
              <w:t>021W0KR</w:t>
            </w:r>
          </w:p>
        </w:tc>
        <w:tc>
          <w:tcPr>
            <w:tcW w:w="8128" w:type="dxa"/>
            <w:noWrap/>
            <w:vAlign w:val="center"/>
            <w:hideMark/>
          </w:tcPr>
          <w:p w14:paraId="75B60515" w14:textId="77777777" w:rsidR="00F67359" w:rsidRPr="00B83A18" w:rsidRDefault="00F67359" w:rsidP="00696E8F">
            <w:pPr>
              <w:rPr>
                <w:rFonts w:cs="Arial"/>
                <w:color w:val="000000"/>
              </w:rPr>
            </w:pPr>
            <w:r w:rsidRPr="00B83A18">
              <w:rPr>
                <w:rFonts w:cs="Arial"/>
                <w:color w:val="000000"/>
              </w:rPr>
              <w:t xml:space="preserve">Bypass Thoracic Aorta, Descending to Left Pulmonary Artery with </w:t>
            </w:r>
            <w:proofErr w:type="spellStart"/>
            <w:r w:rsidRPr="00B83A18">
              <w:rPr>
                <w:rFonts w:cs="Arial"/>
                <w:color w:val="000000"/>
              </w:rPr>
              <w:t>Nonautologous</w:t>
            </w:r>
            <w:proofErr w:type="spellEnd"/>
            <w:r w:rsidRPr="00B83A18">
              <w:rPr>
                <w:rFonts w:cs="Arial"/>
                <w:color w:val="000000"/>
              </w:rPr>
              <w:t xml:space="preserve"> Tissue Substitute, Open Approach</w:t>
            </w:r>
          </w:p>
        </w:tc>
      </w:tr>
      <w:tr w:rsidR="00F67359" w:rsidRPr="00B83A18" w14:paraId="632B8D08" w14:textId="77777777" w:rsidTr="002C718A">
        <w:trPr>
          <w:trHeight w:val="300"/>
        </w:trPr>
        <w:tc>
          <w:tcPr>
            <w:tcW w:w="1525" w:type="dxa"/>
            <w:noWrap/>
            <w:vAlign w:val="center"/>
            <w:hideMark/>
          </w:tcPr>
          <w:p w14:paraId="5EE0D297" w14:textId="77777777" w:rsidR="00F67359" w:rsidRPr="00B83A18" w:rsidRDefault="00F67359" w:rsidP="00696E8F">
            <w:pPr>
              <w:rPr>
                <w:rFonts w:cs="Arial"/>
                <w:color w:val="000000"/>
              </w:rPr>
            </w:pPr>
            <w:r w:rsidRPr="00B83A18">
              <w:rPr>
                <w:rFonts w:cs="Arial"/>
                <w:color w:val="000000"/>
              </w:rPr>
              <w:t>021W0KV</w:t>
            </w:r>
          </w:p>
        </w:tc>
        <w:tc>
          <w:tcPr>
            <w:tcW w:w="8128" w:type="dxa"/>
            <w:noWrap/>
            <w:vAlign w:val="center"/>
            <w:hideMark/>
          </w:tcPr>
          <w:p w14:paraId="71FBC7C4" w14:textId="77777777" w:rsidR="00F67359" w:rsidRPr="00B83A18" w:rsidRDefault="00F67359" w:rsidP="00696E8F">
            <w:pPr>
              <w:rPr>
                <w:rFonts w:cs="Arial"/>
                <w:color w:val="000000"/>
              </w:rPr>
            </w:pPr>
            <w:r w:rsidRPr="00B83A18">
              <w:rPr>
                <w:rFonts w:cs="Arial"/>
                <w:color w:val="000000"/>
              </w:rPr>
              <w:t xml:space="preserve">Bypass Thoracic Aorta, Descending to Lower Extremity Artery with </w:t>
            </w:r>
            <w:proofErr w:type="spellStart"/>
            <w:r w:rsidRPr="00B83A18">
              <w:rPr>
                <w:rFonts w:cs="Arial"/>
                <w:color w:val="000000"/>
              </w:rPr>
              <w:t>Nonautologous</w:t>
            </w:r>
            <w:proofErr w:type="spellEnd"/>
            <w:r w:rsidRPr="00B83A18">
              <w:rPr>
                <w:rFonts w:cs="Arial"/>
                <w:color w:val="000000"/>
              </w:rPr>
              <w:t xml:space="preserve"> Tissue Substitute, Open Approach</w:t>
            </w:r>
          </w:p>
        </w:tc>
      </w:tr>
      <w:tr w:rsidR="00265AC7" w:rsidRPr="00B83A18" w14:paraId="06D9FD0D" w14:textId="77777777" w:rsidTr="002C718A">
        <w:trPr>
          <w:trHeight w:val="300"/>
        </w:trPr>
        <w:tc>
          <w:tcPr>
            <w:tcW w:w="1525" w:type="dxa"/>
            <w:noWrap/>
            <w:vAlign w:val="center"/>
          </w:tcPr>
          <w:p w14:paraId="0D634661" w14:textId="24E8BD15" w:rsidR="00265AC7" w:rsidRPr="00B83A18" w:rsidRDefault="00265AC7" w:rsidP="00696E8F">
            <w:pPr>
              <w:rPr>
                <w:rFonts w:cs="Arial"/>
                <w:color w:val="000000"/>
              </w:rPr>
            </w:pPr>
            <w:r w:rsidRPr="00C76857">
              <w:rPr>
                <w:rFonts w:cstheme="minorHAnsi"/>
                <w:color w:val="000000"/>
              </w:rPr>
              <w:t>021W0ZA</w:t>
            </w:r>
          </w:p>
        </w:tc>
        <w:tc>
          <w:tcPr>
            <w:tcW w:w="8128" w:type="dxa"/>
            <w:noWrap/>
            <w:vAlign w:val="center"/>
          </w:tcPr>
          <w:p w14:paraId="348FAC83" w14:textId="0FAA9E81" w:rsidR="00265AC7" w:rsidRPr="00B83A18" w:rsidRDefault="00265AC7" w:rsidP="00696E8F">
            <w:pPr>
              <w:rPr>
                <w:rFonts w:cs="Arial"/>
                <w:color w:val="000000"/>
              </w:rPr>
            </w:pPr>
            <w:r w:rsidRPr="00C76857">
              <w:rPr>
                <w:rFonts w:cstheme="minorHAnsi"/>
                <w:color w:val="000000"/>
              </w:rPr>
              <w:t>Bypass Thoracic Aorta, Descending to Innominate Artery, Open Approach</w:t>
            </w:r>
          </w:p>
        </w:tc>
      </w:tr>
      <w:tr w:rsidR="00F67359" w:rsidRPr="00B83A18" w14:paraId="184C6A0A" w14:textId="77777777" w:rsidTr="002C718A">
        <w:trPr>
          <w:trHeight w:val="300"/>
        </w:trPr>
        <w:tc>
          <w:tcPr>
            <w:tcW w:w="1525" w:type="dxa"/>
            <w:noWrap/>
            <w:vAlign w:val="center"/>
            <w:hideMark/>
          </w:tcPr>
          <w:p w14:paraId="18CE5C3A" w14:textId="77777777" w:rsidR="00F67359" w:rsidRPr="00B83A18" w:rsidRDefault="00F67359" w:rsidP="00696E8F">
            <w:pPr>
              <w:rPr>
                <w:rFonts w:cs="Arial"/>
                <w:color w:val="000000"/>
              </w:rPr>
            </w:pPr>
            <w:r w:rsidRPr="00B83A18">
              <w:rPr>
                <w:rFonts w:cs="Arial"/>
                <w:color w:val="000000"/>
              </w:rPr>
              <w:t>021W0ZB</w:t>
            </w:r>
          </w:p>
        </w:tc>
        <w:tc>
          <w:tcPr>
            <w:tcW w:w="8128" w:type="dxa"/>
            <w:noWrap/>
            <w:vAlign w:val="center"/>
            <w:hideMark/>
          </w:tcPr>
          <w:p w14:paraId="3FB4DB43" w14:textId="77777777" w:rsidR="00F67359" w:rsidRPr="00B83A18" w:rsidRDefault="00F67359" w:rsidP="00696E8F">
            <w:pPr>
              <w:rPr>
                <w:rFonts w:cs="Arial"/>
                <w:color w:val="000000"/>
              </w:rPr>
            </w:pPr>
            <w:r w:rsidRPr="00B83A18">
              <w:rPr>
                <w:rFonts w:cs="Arial"/>
                <w:color w:val="000000"/>
              </w:rPr>
              <w:t>Bypass Thoracic Aorta, Descending to Subclavian, Open Approach</w:t>
            </w:r>
          </w:p>
        </w:tc>
      </w:tr>
      <w:tr w:rsidR="00F67359" w:rsidRPr="00B83A18" w14:paraId="0E3332C4" w14:textId="77777777" w:rsidTr="002C718A">
        <w:trPr>
          <w:trHeight w:val="300"/>
        </w:trPr>
        <w:tc>
          <w:tcPr>
            <w:tcW w:w="1525" w:type="dxa"/>
            <w:noWrap/>
            <w:vAlign w:val="center"/>
            <w:hideMark/>
          </w:tcPr>
          <w:p w14:paraId="468CCD29" w14:textId="77777777" w:rsidR="00F67359" w:rsidRPr="00B83A18" w:rsidRDefault="00F67359" w:rsidP="00696E8F">
            <w:pPr>
              <w:rPr>
                <w:rFonts w:cs="Arial"/>
                <w:color w:val="000000"/>
              </w:rPr>
            </w:pPr>
            <w:r w:rsidRPr="00B83A18">
              <w:rPr>
                <w:rFonts w:cs="Arial"/>
                <w:color w:val="000000"/>
              </w:rPr>
              <w:t>021W0ZD</w:t>
            </w:r>
          </w:p>
        </w:tc>
        <w:tc>
          <w:tcPr>
            <w:tcW w:w="8128" w:type="dxa"/>
            <w:noWrap/>
            <w:vAlign w:val="center"/>
            <w:hideMark/>
          </w:tcPr>
          <w:p w14:paraId="22A77B55" w14:textId="77777777" w:rsidR="00F67359" w:rsidRPr="00B83A18" w:rsidRDefault="00F67359" w:rsidP="00696E8F">
            <w:pPr>
              <w:rPr>
                <w:rFonts w:cs="Arial"/>
                <w:color w:val="000000"/>
              </w:rPr>
            </w:pPr>
            <w:r w:rsidRPr="00B83A18">
              <w:rPr>
                <w:rFonts w:cs="Arial"/>
                <w:color w:val="000000"/>
              </w:rPr>
              <w:t>Bypass Thoracic Aorta, Descending to Carotid, Open Approach</w:t>
            </w:r>
          </w:p>
        </w:tc>
      </w:tr>
      <w:tr w:rsidR="00F67359" w:rsidRPr="00B83A18" w14:paraId="7FE214E4" w14:textId="77777777" w:rsidTr="002C718A">
        <w:trPr>
          <w:trHeight w:val="300"/>
        </w:trPr>
        <w:tc>
          <w:tcPr>
            <w:tcW w:w="1525" w:type="dxa"/>
            <w:noWrap/>
            <w:vAlign w:val="center"/>
            <w:hideMark/>
          </w:tcPr>
          <w:p w14:paraId="5D2F363C" w14:textId="77777777" w:rsidR="00F67359" w:rsidRPr="00B83A18" w:rsidRDefault="00F67359" w:rsidP="00696E8F">
            <w:pPr>
              <w:rPr>
                <w:rFonts w:cs="Arial"/>
                <w:color w:val="000000"/>
              </w:rPr>
            </w:pPr>
            <w:r w:rsidRPr="00B83A18">
              <w:rPr>
                <w:rFonts w:cs="Arial"/>
                <w:color w:val="000000"/>
              </w:rPr>
              <w:t>021W0ZP</w:t>
            </w:r>
          </w:p>
        </w:tc>
        <w:tc>
          <w:tcPr>
            <w:tcW w:w="8128" w:type="dxa"/>
            <w:noWrap/>
            <w:vAlign w:val="center"/>
            <w:hideMark/>
          </w:tcPr>
          <w:p w14:paraId="77407C00" w14:textId="77777777" w:rsidR="00F67359" w:rsidRPr="00B83A18" w:rsidRDefault="00F67359" w:rsidP="00696E8F">
            <w:pPr>
              <w:rPr>
                <w:rFonts w:cs="Arial"/>
                <w:color w:val="000000"/>
              </w:rPr>
            </w:pPr>
            <w:r w:rsidRPr="00B83A18">
              <w:rPr>
                <w:rFonts w:cs="Arial"/>
                <w:color w:val="000000"/>
              </w:rPr>
              <w:t>Bypass Thoracic Aorta, Descending to Pulmonary Trunk, Open Approach</w:t>
            </w:r>
          </w:p>
        </w:tc>
      </w:tr>
      <w:tr w:rsidR="00F67359" w:rsidRPr="00B83A18" w14:paraId="5AD9B9E6" w14:textId="77777777" w:rsidTr="002C718A">
        <w:trPr>
          <w:trHeight w:val="300"/>
        </w:trPr>
        <w:tc>
          <w:tcPr>
            <w:tcW w:w="1525" w:type="dxa"/>
            <w:noWrap/>
            <w:vAlign w:val="center"/>
            <w:hideMark/>
          </w:tcPr>
          <w:p w14:paraId="1F4869A3" w14:textId="77777777" w:rsidR="00F67359" w:rsidRPr="00B83A18" w:rsidRDefault="00F67359" w:rsidP="00696E8F">
            <w:pPr>
              <w:rPr>
                <w:rFonts w:cs="Arial"/>
                <w:color w:val="000000"/>
              </w:rPr>
            </w:pPr>
            <w:r w:rsidRPr="00B83A18">
              <w:rPr>
                <w:rFonts w:cs="Arial"/>
                <w:color w:val="000000"/>
              </w:rPr>
              <w:t>021W0ZQ</w:t>
            </w:r>
          </w:p>
        </w:tc>
        <w:tc>
          <w:tcPr>
            <w:tcW w:w="8128" w:type="dxa"/>
            <w:noWrap/>
            <w:vAlign w:val="center"/>
            <w:hideMark/>
          </w:tcPr>
          <w:p w14:paraId="380960F7" w14:textId="77777777" w:rsidR="00F67359" w:rsidRPr="00B83A18" w:rsidRDefault="00F67359" w:rsidP="00696E8F">
            <w:pPr>
              <w:rPr>
                <w:rFonts w:cs="Arial"/>
                <w:color w:val="000000"/>
              </w:rPr>
            </w:pPr>
            <w:r w:rsidRPr="00B83A18">
              <w:rPr>
                <w:rFonts w:cs="Arial"/>
                <w:color w:val="000000"/>
              </w:rPr>
              <w:t>Bypass Thoracic Aorta, Descending to Right Pulmonary Artery, Open Approach</w:t>
            </w:r>
          </w:p>
        </w:tc>
      </w:tr>
      <w:tr w:rsidR="00F67359" w:rsidRPr="00B83A18" w14:paraId="2E42A584" w14:textId="77777777" w:rsidTr="002C718A">
        <w:trPr>
          <w:trHeight w:val="300"/>
        </w:trPr>
        <w:tc>
          <w:tcPr>
            <w:tcW w:w="1525" w:type="dxa"/>
            <w:noWrap/>
            <w:vAlign w:val="center"/>
            <w:hideMark/>
          </w:tcPr>
          <w:p w14:paraId="6DBD820C" w14:textId="77777777" w:rsidR="00F67359" w:rsidRPr="00B83A18" w:rsidRDefault="00F67359" w:rsidP="00696E8F">
            <w:pPr>
              <w:rPr>
                <w:rFonts w:cs="Arial"/>
                <w:color w:val="000000"/>
              </w:rPr>
            </w:pPr>
            <w:r w:rsidRPr="00B83A18">
              <w:rPr>
                <w:rFonts w:cs="Arial"/>
                <w:color w:val="000000"/>
              </w:rPr>
              <w:t>021W0ZR</w:t>
            </w:r>
          </w:p>
        </w:tc>
        <w:tc>
          <w:tcPr>
            <w:tcW w:w="8128" w:type="dxa"/>
            <w:noWrap/>
            <w:vAlign w:val="center"/>
            <w:hideMark/>
          </w:tcPr>
          <w:p w14:paraId="1A32E9DE" w14:textId="77777777" w:rsidR="00F67359" w:rsidRPr="00B83A18" w:rsidRDefault="00F67359" w:rsidP="00696E8F">
            <w:pPr>
              <w:rPr>
                <w:rFonts w:cs="Arial"/>
                <w:color w:val="000000"/>
              </w:rPr>
            </w:pPr>
            <w:r w:rsidRPr="00B83A18">
              <w:rPr>
                <w:rFonts w:cs="Arial"/>
                <w:color w:val="000000"/>
              </w:rPr>
              <w:t>Bypass Thoracic Aorta, Descending to Left Pulmonary Artery, Open Approach</w:t>
            </w:r>
          </w:p>
        </w:tc>
      </w:tr>
      <w:tr w:rsidR="00265AC7" w:rsidRPr="00B83A18" w14:paraId="2B120619" w14:textId="77777777" w:rsidTr="002C718A">
        <w:trPr>
          <w:trHeight w:val="300"/>
        </w:trPr>
        <w:tc>
          <w:tcPr>
            <w:tcW w:w="1525" w:type="dxa"/>
            <w:noWrap/>
            <w:vAlign w:val="center"/>
          </w:tcPr>
          <w:p w14:paraId="78A75E97" w14:textId="773740B3" w:rsidR="00265AC7" w:rsidRPr="00B83A18" w:rsidRDefault="00265AC7" w:rsidP="00696E8F">
            <w:pPr>
              <w:rPr>
                <w:rFonts w:cs="Arial"/>
                <w:color w:val="000000"/>
              </w:rPr>
            </w:pPr>
            <w:r w:rsidRPr="00C76857">
              <w:rPr>
                <w:rFonts w:cstheme="minorHAnsi"/>
                <w:color w:val="000000"/>
              </w:rPr>
              <w:t>021X08A</w:t>
            </w:r>
          </w:p>
        </w:tc>
        <w:tc>
          <w:tcPr>
            <w:tcW w:w="8128" w:type="dxa"/>
            <w:noWrap/>
            <w:vAlign w:val="center"/>
          </w:tcPr>
          <w:p w14:paraId="47E4AEC8" w14:textId="1DBA146E" w:rsidR="00265AC7" w:rsidRPr="00B83A18" w:rsidRDefault="00265AC7" w:rsidP="00696E8F">
            <w:pPr>
              <w:rPr>
                <w:rFonts w:cs="Arial"/>
                <w:color w:val="000000"/>
              </w:rPr>
            </w:pPr>
            <w:r w:rsidRPr="00C76857">
              <w:rPr>
                <w:rFonts w:cstheme="minorHAnsi"/>
                <w:color w:val="000000"/>
              </w:rPr>
              <w:t xml:space="preserve">Bypass Thoracic Aorta, Ascending/Arch to Innominate Artery with </w:t>
            </w:r>
            <w:proofErr w:type="spellStart"/>
            <w:r w:rsidRPr="00C76857">
              <w:rPr>
                <w:rFonts w:cstheme="minorHAnsi"/>
                <w:color w:val="000000"/>
              </w:rPr>
              <w:t>Zooplastic</w:t>
            </w:r>
            <w:proofErr w:type="spellEnd"/>
            <w:r w:rsidRPr="00C76857">
              <w:rPr>
                <w:rFonts w:cstheme="minorHAnsi"/>
                <w:color w:val="000000"/>
              </w:rPr>
              <w:t xml:space="preserve"> Tissue, Open Approach</w:t>
            </w:r>
          </w:p>
        </w:tc>
      </w:tr>
      <w:tr w:rsidR="00265AC7" w:rsidRPr="00B83A18" w14:paraId="75DA0DED" w14:textId="77777777" w:rsidTr="002C718A">
        <w:trPr>
          <w:trHeight w:val="300"/>
        </w:trPr>
        <w:tc>
          <w:tcPr>
            <w:tcW w:w="1525" w:type="dxa"/>
            <w:noWrap/>
            <w:vAlign w:val="center"/>
          </w:tcPr>
          <w:p w14:paraId="1BF02FC0" w14:textId="06AE8E1D" w:rsidR="00265AC7" w:rsidRPr="00B83A18" w:rsidRDefault="00265AC7" w:rsidP="00696E8F">
            <w:pPr>
              <w:rPr>
                <w:rFonts w:cs="Arial"/>
                <w:color w:val="000000"/>
              </w:rPr>
            </w:pPr>
            <w:r w:rsidRPr="00C76857">
              <w:rPr>
                <w:rFonts w:cstheme="minorHAnsi"/>
                <w:color w:val="000000"/>
              </w:rPr>
              <w:t>021X08B</w:t>
            </w:r>
          </w:p>
        </w:tc>
        <w:tc>
          <w:tcPr>
            <w:tcW w:w="8128" w:type="dxa"/>
            <w:noWrap/>
            <w:vAlign w:val="center"/>
          </w:tcPr>
          <w:p w14:paraId="686495F7" w14:textId="718EB351" w:rsidR="00265AC7" w:rsidRPr="00B83A18" w:rsidRDefault="00265AC7" w:rsidP="00696E8F">
            <w:pPr>
              <w:rPr>
                <w:rFonts w:cs="Arial"/>
                <w:color w:val="000000"/>
              </w:rPr>
            </w:pPr>
            <w:r w:rsidRPr="00C76857">
              <w:rPr>
                <w:rFonts w:cstheme="minorHAnsi"/>
                <w:color w:val="000000"/>
              </w:rPr>
              <w:t xml:space="preserve">Bypass Thoracic Aorta, Ascending/Arch to Subclavian with </w:t>
            </w:r>
            <w:proofErr w:type="spellStart"/>
            <w:r w:rsidRPr="00C76857">
              <w:rPr>
                <w:rFonts w:cstheme="minorHAnsi"/>
                <w:color w:val="000000"/>
              </w:rPr>
              <w:t>Zooplastic</w:t>
            </w:r>
            <w:proofErr w:type="spellEnd"/>
            <w:r w:rsidRPr="00C76857">
              <w:rPr>
                <w:rFonts w:cstheme="minorHAnsi"/>
                <w:color w:val="000000"/>
              </w:rPr>
              <w:t xml:space="preserve"> Tissue, Open Approach</w:t>
            </w:r>
          </w:p>
        </w:tc>
      </w:tr>
      <w:tr w:rsidR="00265AC7" w:rsidRPr="00B83A18" w14:paraId="72662D00" w14:textId="77777777" w:rsidTr="002C718A">
        <w:trPr>
          <w:trHeight w:val="300"/>
        </w:trPr>
        <w:tc>
          <w:tcPr>
            <w:tcW w:w="1525" w:type="dxa"/>
            <w:noWrap/>
            <w:vAlign w:val="center"/>
          </w:tcPr>
          <w:p w14:paraId="0A86ABC2" w14:textId="0A8220E4" w:rsidR="00265AC7" w:rsidRPr="00B83A18" w:rsidRDefault="00265AC7" w:rsidP="00696E8F">
            <w:pPr>
              <w:rPr>
                <w:rFonts w:cs="Arial"/>
                <w:color w:val="000000"/>
              </w:rPr>
            </w:pPr>
            <w:r w:rsidRPr="00C76857">
              <w:rPr>
                <w:rFonts w:cstheme="minorHAnsi"/>
                <w:color w:val="000000"/>
              </w:rPr>
              <w:t>021X08D</w:t>
            </w:r>
          </w:p>
        </w:tc>
        <w:tc>
          <w:tcPr>
            <w:tcW w:w="8128" w:type="dxa"/>
            <w:noWrap/>
            <w:vAlign w:val="center"/>
          </w:tcPr>
          <w:p w14:paraId="6B77EA58" w14:textId="3D34850C" w:rsidR="00265AC7" w:rsidRPr="00B83A18" w:rsidRDefault="00265AC7" w:rsidP="00696E8F">
            <w:pPr>
              <w:rPr>
                <w:rFonts w:cs="Arial"/>
                <w:color w:val="000000"/>
              </w:rPr>
            </w:pPr>
            <w:r w:rsidRPr="00C76857">
              <w:rPr>
                <w:rFonts w:cstheme="minorHAnsi"/>
                <w:color w:val="000000"/>
              </w:rPr>
              <w:t xml:space="preserve">Bypass Thoracic Aorta, Ascending/Arch to Carotid with </w:t>
            </w:r>
            <w:proofErr w:type="spellStart"/>
            <w:r w:rsidRPr="00C76857">
              <w:rPr>
                <w:rFonts w:cstheme="minorHAnsi"/>
                <w:color w:val="000000"/>
              </w:rPr>
              <w:t>Zooplastic</w:t>
            </w:r>
            <w:proofErr w:type="spellEnd"/>
            <w:r w:rsidRPr="00C76857">
              <w:rPr>
                <w:rFonts w:cstheme="minorHAnsi"/>
                <w:color w:val="000000"/>
              </w:rPr>
              <w:t xml:space="preserve"> Tissue, Open Approach</w:t>
            </w:r>
          </w:p>
        </w:tc>
      </w:tr>
      <w:tr w:rsidR="00265AC7" w:rsidRPr="00B83A18" w14:paraId="514B0349" w14:textId="77777777" w:rsidTr="002C718A">
        <w:trPr>
          <w:trHeight w:val="300"/>
        </w:trPr>
        <w:tc>
          <w:tcPr>
            <w:tcW w:w="1525" w:type="dxa"/>
            <w:noWrap/>
            <w:vAlign w:val="center"/>
          </w:tcPr>
          <w:p w14:paraId="267A5371" w14:textId="22E0FC5F" w:rsidR="00265AC7" w:rsidRPr="00B83A18" w:rsidRDefault="00265AC7" w:rsidP="00696E8F">
            <w:pPr>
              <w:rPr>
                <w:rFonts w:cs="Arial"/>
                <w:color w:val="000000"/>
              </w:rPr>
            </w:pPr>
            <w:r w:rsidRPr="00C76857">
              <w:rPr>
                <w:rFonts w:cstheme="minorHAnsi"/>
                <w:color w:val="000000"/>
              </w:rPr>
              <w:t>021X08P</w:t>
            </w:r>
          </w:p>
        </w:tc>
        <w:tc>
          <w:tcPr>
            <w:tcW w:w="8128" w:type="dxa"/>
            <w:noWrap/>
            <w:vAlign w:val="center"/>
          </w:tcPr>
          <w:p w14:paraId="3DDFE46D" w14:textId="2C3E8847" w:rsidR="00265AC7" w:rsidRPr="00B83A18" w:rsidRDefault="00265AC7" w:rsidP="00696E8F">
            <w:pPr>
              <w:rPr>
                <w:rFonts w:cs="Arial"/>
                <w:color w:val="000000"/>
              </w:rPr>
            </w:pPr>
            <w:r w:rsidRPr="00C76857">
              <w:rPr>
                <w:rFonts w:cstheme="minorHAnsi"/>
                <w:color w:val="000000"/>
              </w:rPr>
              <w:t xml:space="preserve">Bypass Thoracic Aorta, Ascending/Arch to Pulmonary Trunk with </w:t>
            </w:r>
            <w:proofErr w:type="spellStart"/>
            <w:r w:rsidRPr="00C76857">
              <w:rPr>
                <w:rFonts w:cstheme="minorHAnsi"/>
                <w:color w:val="000000"/>
              </w:rPr>
              <w:t>Zooplastic</w:t>
            </w:r>
            <w:proofErr w:type="spellEnd"/>
            <w:r w:rsidRPr="00C76857">
              <w:rPr>
                <w:rFonts w:cstheme="minorHAnsi"/>
                <w:color w:val="000000"/>
              </w:rPr>
              <w:t xml:space="preserve"> Tissue, Open Approach</w:t>
            </w:r>
          </w:p>
        </w:tc>
      </w:tr>
      <w:tr w:rsidR="00265AC7" w:rsidRPr="00B83A18" w14:paraId="113166CB" w14:textId="77777777" w:rsidTr="002C718A">
        <w:trPr>
          <w:trHeight w:val="300"/>
        </w:trPr>
        <w:tc>
          <w:tcPr>
            <w:tcW w:w="1525" w:type="dxa"/>
            <w:noWrap/>
            <w:vAlign w:val="center"/>
          </w:tcPr>
          <w:p w14:paraId="627BAD9C" w14:textId="75FED55F" w:rsidR="00265AC7" w:rsidRPr="00B83A18" w:rsidRDefault="00265AC7" w:rsidP="00696E8F">
            <w:pPr>
              <w:rPr>
                <w:rFonts w:cs="Arial"/>
                <w:color w:val="000000"/>
              </w:rPr>
            </w:pPr>
            <w:r w:rsidRPr="00C76857">
              <w:rPr>
                <w:rFonts w:cstheme="minorHAnsi"/>
                <w:color w:val="000000"/>
              </w:rPr>
              <w:t>021X08Q</w:t>
            </w:r>
          </w:p>
        </w:tc>
        <w:tc>
          <w:tcPr>
            <w:tcW w:w="8128" w:type="dxa"/>
            <w:noWrap/>
            <w:vAlign w:val="center"/>
          </w:tcPr>
          <w:p w14:paraId="3DC03155" w14:textId="4C4C8596" w:rsidR="00265AC7" w:rsidRPr="00B83A18" w:rsidRDefault="00265AC7" w:rsidP="00696E8F">
            <w:pPr>
              <w:rPr>
                <w:rFonts w:cs="Arial"/>
                <w:color w:val="000000"/>
              </w:rPr>
            </w:pPr>
            <w:r w:rsidRPr="00C76857">
              <w:rPr>
                <w:rFonts w:cstheme="minorHAnsi"/>
                <w:color w:val="000000"/>
              </w:rPr>
              <w:t xml:space="preserve">Bypass Thoracic Aorta, Ascending/Arch to Right Pulmonary Artery with </w:t>
            </w:r>
            <w:proofErr w:type="spellStart"/>
            <w:r w:rsidRPr="00C76857">
              <w:rPr>
                <w:rFonts w:cstheme="minorHAnsi"/>
                <w:color w:val="000000"/>
              </w:rPr>
              <w:t>Zooplastic</w:t>
            </w:r>
            <w:proofErr w:type="spellEnd"/>
            <w:r w:rsidRPr="00C76857">
              <w:rPr>
                <w:rFonts w:cstheme="minorHAnsi"/>
                <w:color w:val="000000"/>
              </w:rPr>
              <w:t xml:space="preserve"> Tissue, Open Approach</w:t>
            </w:r>
          </w:p>
        </w:tc>
      </w:tr>
      <w:tr w:rsidR="00265AC7" w:rsidRPr="00B83A18" w14:paraId="73D23D8A" w14:textId="77777777" w:rsidTr="002C718A">
        <w:trPr>
          <w:trHeight w:val="300"/>
        </w:trPr>
        <w:tc>
          <w:tcPr>
            <w:tcW w:w="1525" w:type="dxa"/>
            <w:noWrap/>
            <w:vAlign w:val="center"/>
          </w:tcPr>
          <w:p w14:paraId="00DDA74C" w14:textId="2EADB0DF" w:rsidR="00265AC7" w:rsidRPr="00B83A18" w:rsidRDefault="00265AC7" w:rsidP="00696E8F">
            <w:pPr>
              <w:rPr>
                <w:rFonts w:cs="Arial"/>
                <w:color w:val="000000"/>
              </w:rPr>
            </w:pPr>
            <w:r w:rsidRPr="00C76857">
              <w:rPr>
                <w:rFonts w:cstheme="minorHAnsi"/>
                <w:color w:val="000000"/>
              </w:rPr>
              <w:t>021X08R</w:t>
            </w:r>
          </w:p>
        </w:tc>
        <w:tc>
          <w:tcPr>
            <w:tcW w:w="8128" w:type="dxa"/>
            <w:noWrap/>
            <w:vAlign w:val="center"/>
          </w:tcPr>
          <w:p w14:paraId="5267D138" w14:textId="58672BA2" w:rsidR="00265AC7" w:rsidRPr="00B83A18" w:rsidRDefault="00265AC7" w:rsidP="00696E8F">
            <w:pPr>
              <w:rPr>
                <w:rFonts w:cs="Arial"/>
                <w:color w:val="000000"/>
              </w:rPr>
            </w:pPr>
            <w:r w:rsidRPr="00C76857">
              <w:rPr>
                <w:rFonts w:cstheme="minorHAnsi"/>
                <w:color w:val="000000"/>
              </w:rPr>
              <w:t xml:space="preserve">Bypass Thoracic Aorta, Ascending/Arch to Left Pulmonary Artery with </w:t>
            </w:r>
            <w:proofErr w:type="spellStart"/>
            <w:r w:rsidRPr="00C76857">
              <w:rPr>
                <w:rFonts w:cstheme="minorHAnsi"/>
                <w:color w:val="000000"/>
              </w:rPr>
              <w:t>Zooplastic</w:t>
            </w:r>
            <w:proofErr w:type="spellEnd"/>
            <w:r w:rsidRPr="00C76857">
              <w:rPr>
                <w:rFonts w:cstheme="minorHAnsi"/>
                <w:color w:val="000000"/>
              </w:rPr>
              <w:t xml:space="preserve"> Tissue, Open Approach</w:t>
            </w:r>
          </w:p>
        </w:tc>
      </w:tr>
      <w:tr w:rsidR="00265AC7" w:rsidRPr="00B83A18" w14:paraId="334906AD" w14:textId="77777777" w:rsidTr="002C718A">
        <w:trPr>
          <w:trHeight w:val="300"/>
        </w:trPr>
        <w:tc>
          <w:tcPr>
            <w:tcW w:w="1525" w:type="dxa"/>
            <w:noWrap/>
            <w:vAlign w:val="center"/>
          </w:tcPr>
          <w:p w14:paraId="4B61C517" w14:textId="0901D0C7" w:rsidR="00265AC7" w:rsidRPr="00B83A18" w:rsidRDefault="00265AC7" w:rsidP="00696E8F">
            <w:pPr>
              <w:rPr>
                <w:rFonts w:cs="Arial"/>
                <w:color w:val="000000"/>
              </w:rPr>
            </w:pPr>
            <w:r w:rsidRPr="00C76857">
              <w:rPr>
                <w:rFonts w:cstheme="minorHAnsi"/>
                <w:color w:val="000000"/>
              </w:rPr>
              <w:t>021X09A</w:t>
            </w:r>
          </w:p>
        </w:tc>
        <w:tc>
          <w:tcPr>
            <w:tcW w:w="8128" w:type="dxa"/>
            <w:noWrap/>
            <w:vAlign w:val="center"/>
          </w:tcPr>
          <w:p w14:paraId="00D2D52E" w14:textId="25B31D7D" w:rsidR="00265AC7" w:rsidRPr="00B83A18" w:rsidRDefault="00265AC7" w:rsidP="00696E8F">
            <w:pPr>
              <w:rPr>
                <w:rFonts w:cs="Arial"/>
                <w:color w:val="000000"/>
              </w:rPr>
            </w:pPr>
            <w:r w:rsidRPr="00C76857">
              <w:rPr>
                <w:rFonts w:cstheme="minorHAnsi"/>
                <w:color w:val="000000"/>
              </w:rPr>
              <w:t>Bypass Thoracic Aorta, Ascending/Arch to Innominate Artery with Autologous Venous Tissue, Open Approach</w:t>
            </w:r>
          </w:p>
        </w:tc>
      </w:tr>
      <w:tr w:rsidR="00265AC7" w:rsidRPr="00B83A18" w14:paraId="299563AE" w14:textId="77777777" w:rsidTr="002C718A">
        <w:trPr>
          <w:trHeight w:val="300"/>
        </w:trPr>
        <w:tc>
          <w:tcPr>
            <w:tcW w:w="1525" w:type="dxa"/>
            <w:noWrap/>
            <w:vAlign w:val="center"/>
          </w:tcPr>
          <w:p w14:paraId="2FA60505" w14:textId="637F0AEA" w:rsidR="00265AC7" w:rsidRPr="00B83A18" w:rsidRDefault="00265AC7" w:rsidP="00696E8F">
            <w:pPr>
              <w:rPr>
                <w:rFonts w:cs="Arial"/>
                <w:color w:val="000000"/>
              </w:rPr>
            </w:pPr>
            <w:r w:rsidRPr="00C76857">
              <w:rPr>
                <w:rFonts w:cstheme="minorHAnsi"/>
                <w:color w:val="000000"/>
              </w:rPr>
              <w:t>021X09B</w:t>
            </w:r>
          </w:p>
        </w:tc>
        <w:tc>
          <w:tcPr>
            <w:tcW w:w="8128" w:type="dxa"/>
            <w:noWrap/>
            <w:vAlign w:val="center"/>
          </w:tcPr>
          <w:p w14:paraId="0F1B68EF" w14:textId="1BD2B04A" w:rsidR="00265AC7" w:rsidRPr="00B83A18" w:rsidRDefault="00265AC7" w:rsidP="00696E8F">
            <w:pPr>
              <w:rPr>
                <w:rFonts w:cs="Arial"/>
                <w:color w:val="000000"/>
              </w:rPr>
            </w:pPr>
            <w:r w:rsidRPr="00C76857">
              <w:rPr>
                <w:rFonts w:cstheme="minorHAnsi"/>
                <w:color w:val="000000"/>
              </w:rPr>
              <w:t>Bypass Thoracic Aorta, Ascending/Arch to Subclavian with Autologous Venous Tissue, Open Approach</w:t>
            </w:r>
          </w:p>
        </w:tc>
      </w:tr>
      <w:tr w:rsidR="00265AC7" w:rsidRPr="00B83A18" w14:paraId="70BD12E4" w14:textId="77777777" w:rsidTr="002C718A">
        <w:trPr>
          <w:trHeight w:val="300"/>
        </w:trPr>
        <w:tc>
          <w:tcPr>
            <w:tcW w:w="1525" w:type="dxa"/>
            <w:noWrap/>
            <w:vAlign w:val="center"/>
          </w:tcPr>
          <w:p w14:paraId="19AE9BDA" w14:textId="7CC1D554" w:rsidR="00265AC7" w:rsidRPr="00B83A18" w:rsidRDefault="00265AC7" w:rsidP="00696E8F">
            <w:pPr>
              <w:rPr>
                <w:rFonts w:cs="Arial"/>
                <w:color w:val="000000"/>
              </w:rPr>
            </w:pPr>
            <w:r w:rsidRPr="00C76857">
              <w:rPr>
                <w:rFonts w:cstheme="minorHAnsi"/>
                <w:color w:val="000000"/>
              </w:rPr>
              <w:t>021X09D</w:t>
            </w:r>
          </w:p>
        </w:tc>
        <w:tc>
          <w:tcPr>
            <w:tcW w:w="8128" w:type="dxa"/>
            <w:noWrap/>
            <w:vAlign w:val="center"/>
          </w:tcPr>
          <w:p w14:paraId="5A9DBF34" w14:textId="3321FE8A" w:rsidR="00265AC7" w:rsidRPr="00B83A18" w:rsidRDefault="00265AC7" w:rsidP="00696E8F">
            <w:pPr>
              <w:rPr>
                <w:rFonts w:cs="Arial"/>
                <w:color w:val="000000"/>
              </w:rPr>
            </w:pPr>
            <w:r w:rsidRPr="00C76857">
              <w:rPr>
                <w:rFonts w:cstheme="minorHAnsi"/>
                <w:color w:val="000000"/>
              </w:rPr>
              <w:t>Bypass Thoracic Aorta, Ascending/Arch to Carotid with Autologous Venous Tissue, Open Approach</w:t>
            </w:r>
          </w:p>
        </w:tc>
      </w:tr>
      <w:tr w:rsidR="00265AC7" w:rsidRPr="00B83A18" w14:paraId="770E419C" w14:textId="77777777" w:rsidTr="002C718A">
        <w:trPr>
          <w:trHeight w:val="300"/>
        </w:trPr>
        <w:tc>
          <w:tcPr>
            <w:tcW w:w="1525" w:type="dxa"/>
            <w:noWrap/>
            <w:vAlign w:val="center"/>
          </w:tcPr>
          <w:p w14:paraId="21CF3573" w14:textId="3A2EB3E6" w:rsidR="00265AC7" w:rsidRPr="00B83A18" w:rsidRDefault="00265AC7" w:rsidP="00696E8F">
            <w:pPr>
              <w:rPr>
                <w:rFonts w:cs="Arial"/>
                <w:color w:val="000000"/>
              </w:rPr>
            </w:pPr>
            <w:r w:rsidRPr="00C76857">
              <w:rPr>
                <w:rFonts w:cstheme="minorHAnsi"/>
                <w:color w:val="000000"/>
              </w:rPr>
              <w:lastRenderedPageBreak/>
              <w:t>021X09P</w:t>
            </w:r>
          </w:p>
        </w:tc>
        <w:tc>
          <w:tcPr>
            <w:tcW w:w="8128" w:type="dxa"/>
            <w:noWrap/>
            <w:vAlign w:val="center"/>
          </w:tcPr>
          <w:p w14:paraId="25422EE8" w14:textId="2CB84823" w:rsidR="00265AC7" w:rsidRPr="00B83A18" w:rsidRDefault="00265AC7" w:rsidP="00696E8F">
            <w:pPr>
              <w:rPr>
                <w:rFonts w:cs="Arial"/>
                <w:color w:val="000000"/>
              </w:rPr>
            </w:pPr>
            <w:r w:rsidRPr="00C76857">
              <w:rPr>
                <w:rFonts w:cstheme="minorHAnsi"/>
                <w:color w:val="000000"/>
              </w:rPr>
              <w:t>Bypass Thoracic Aorta, Ascending/Arch to Pulmonary Trunk with Autologous Venous Tissue, Open Approach</w:t>
            </w:r>
          </w:p>
        </w:tc>
      </w:tr>
      <w:tr w:rsidR="00265AC7" w:rsidRPr="00B83A18" w14:paraId="06DFD72B" w14:textId="77777777" w:rsidTr="002C718A">
        <w:trPr>
          <w:trHeight w:val="300"/>
        </w:trPr>
        <w:tc>
          <w:tcPr>
            <w:tcW w:w="1525" w:type="dxa"/>
            <w:noWrap/>
            <w:vAlign w:val="center"/>
          </w:tcPr>
          <w:p w14:paraId="5ED67731" w14:textId="34B4286E" w:rsidR="00265AC7" w:rsidRPr="00B83A18" w:rsidRDefault="00265AC7" w:rsidP="00696E8F">
            <w:pPr>
              <w:rPr>
                <w:rFonts w:cs="Arial"/>
                <w:color w:val="000000"/>
              </w:rPr>
            </w:pPr>
            <w:r w:rsidRPr="00C76857">
              <w:rPr>
                <w:rFonts w:cstheme="minorHAnsi"/>
                <w:color w:val="000000"/>
              </w:rPr>
              <w:t>021X09Q</w:t>
            </w:r>
          </w:p>
        </w:tc>
        <w:tc>
          <w:tcPr>
            <w:tcW w:w="8128" w:type="dxa"/>
            <w:noWrap/>
            <w:vAlign w:val="center"/>
          </w:tcPr>
          <w:p w14:paraId="64A7727B" w14:textId="7E7FC2E6" w:rsidR="00265AC7" w:rsidRPr="00B83A18" w:rsidRDefault="00265AC7" w:rsidP="00696E8F">
            <w:pPr>
              <w:rPr>
                <w:rFonts w:cs="Arial"/>
                <w:color w:val="000000"/>
              </w:rPr>
            </w:pPr>
            <w:r w:rsidRPr="00C76857">
              <w:rPr>
                <w:rFonts w:cstheme="minorHAnsi"/>
                <w:color w:val="000000"/>
              </w:rPr>
              <w:t>Bypass Thoracic Aorta, Ascending/Arch to Right Pulmonary Artery with Autologous Venous Tissue, Open Approach</w:t>
            </w:r>
          </w:p>
        </w:tc>
      </w:tr>
      <w:tr w:rsidR="00265AC7" w:rsidRPr="00B83A18" w14:paraId="4F36E726" w14:textId="77777777" w:rsidTr="002C718A">
        <w:trPr>
          <w:trHeight w:val="300"/>
        </w:trPr>
        <w:tc>
          <w:tcPr>
            <w:tcW w:w="1525" w:type="dxa"/>
            <w:noWrap/>
            <w:vAlign w:val="center"/>
          </w:tcPr>
          <w:p w14:paraId="7697C524" w14:textId="0664E194" w:rsidR="00265AC7" w:rsidRPr="00B83A18" w:rsidRDefault="00265AC7" w:rsidP="00696E8F">
            <w:pPr>
              <w:rPr>
                <w:rFonts w:cs="Arial"/>
                <w:color w:val="000000"/>
              </w:rPr>
            </w:pPr>
            <w:r w:rsidRPr="00C76857">
              <w:rPr>
                <w:rFonts w:cstheme="minorHAnsi"/>
                <w:color w:val="000000"/>
              </w:rPr>
              <w:t>021X09R</w:t>
            </w:r>
          </w:p>
        </w:tc>
        <w:tc>
          <w:tcPr>
            <w:tcW w:w="8128" w:type="dxa"/>
            <w:noWrap/>
            <w:vAlign w:val="center"/>
          </w:tcPr>
          <w:p w14:paraId="3772EE90" w14:textId="672E8D28" w:rsidR="00265AC7" w:rsidRPr="00B83A18" w:rsidRDefault="00265AC7" w:rsidP="00696E8F">
            <w:pPr>
              <w:rPr>
                <w:rFonts w:cs="Arial"/>
                <w:color w:val="000000"/>
              </w:rPr>
            </w:pPr>
            <w:r w:rsidRPr="00C76857">
              <w:rPr>
                <w:rFonts w:cstheme="minorHAnsi"/>
                <w:color w:val="000000"/>
              </w:rPr>
              <w:t>Bypass Thoracic Aorta, Ascending/Arch to Left Pulmonary Artery with Autologous Venous Tissue, Open Approach</w:t>
            </w:r>
          </w:p>
        </w:tc>
      </w:tr>
      <w:tr w:rsidR="00265AC7" w:rsidRPr="00B83A18" w14:paraId="4C127DAE" w14:textId="77777777" w:rsidTr="002C718A">
        <w:trPr>
          <w:trHeight w:val="300"/>
        </w:trPr>
        <w:tc>
          <w:tcPr>
            <w:tcW w:w="1525" w:type="dxa"/>
            <w:noWrap/>
            <w:vAlign w:val="center"/>
          </w:tcPr>
          <w:p w14:paraId="265B6F71" w14:textId="7FEA1FAE" w:rsidR="00265AC7" w:rsidRPr="00B83A18" w:rsidRDefault="00265AC7" w:rsidP="00696E8F">
            <w:pPr>
              <w:rPr>
                <w:rFonts w:cs="Arial"/>
                <w:color w:val="000000"/>
              </w:rPr>
            </w:pPr>
            <w:r w:rsidRPr="00C76857">
              <w:rPr>
                <w:rFonts w:cstheme="minorHAnsi"/>
                <w:color w:val="000000"/>
              </w:rPr>
              <w:t>021X0AA</w:t>
            </w:r>
          </w:p>
        </w:tc>
        <w:tc>
          <w:tcPr>
            <w:tcW w:w="8128" w:type="dxa"/>
            <w:noWrap/>
            <w:vAlign w:val="center"/>
          </w:tcPr>
          <w:p w14:paraId="1CCEFED2" w14:textId="53CE427B" w:rsidR="00265AC7" w:rsidRPr="00B83A18" w:rsidRDefault="00265AC7" w:rsidP="00696E8F">
            <w:pPr>
              <w:rPr>
                <w:rFonts w:cs="Arial"/>
                <w:color w:val="000000"/>
              </w:rPr>
            </w:pPr>
            <w:r w:rsidRPr="00C76857">
              <w:rPr>
                <w:rFonts w:cstheme="minorHAnsi"/>
                <w:color w:val="000000"/>
              </w:rPr>
              <w:t>Bypass Thoracic Aorta, Ascending/Arch to Innominate Artery with Autologous Arterial Tissue, Open Approach</w:t>
            </w:r>
          </w:p>
        </w:tc>
      </w:tr>
      <w:tr w:rsidR="00265AC7" w:rsidRPr="00B83A18" w14:paraId="5747EE8F" w14:textId="77777777" w:rsidTr="002C718A">
        <w:trPr>
          <w:trHeight w:val="300"/>
        </w:trPr>
        <w:tc>
          <w:tcPr>
            <w:tcW w:w="1525" w:type="dxa"/>
            <w:noWrap/>
            <w:vAlign w:val="center"/>
          </w:tcPr>
          <w:p w14:paraId="59A2E1DE" w14:textId="2AD954A8" w:rsidR="00265AC7" w:rsidRPr="00B83A18" w:rsidRDefault="00265AC7" w:rsidP="00696E8F">
            <w:pPr>
              <w:rPr>
                <w:rFonts w:cs="Arial"/>
                <w:color w:val="000000"/>
              </w:rPr>
            </w:pPr>
            <w:r w:rsidRPr="00C76857">
              <w:rPr>
                <w:rFonts w:cstheme="minorHAnsi"/>
                <w:color w:val="000000"/>
              </w:rPr>
              <w:t>021X0AB</w:t>
            </w:r>
          </w:p>
        </w:tc>
        <w:tc>
          <w:tcPr>
            <w:tcW w:w="8128" w:type="dxa"/>
            <w:noWrap/>
            <w:vAlign w:val="center"/>
          </w:tcPr>
          <w:p w14:paraId="58BFF5DC" w14:textId="6E91810D" w:rsidR="00265AC7" w:rsidRPr="00B83A18" w:rsidRDefault="00265AC7" w:rsidP="00696E8F">
            <w:pPr>
              <w:rPr>
                <w:rFonts w:cs="Arial"/>
                <w:color w:val="000000"/>
              </w:rPr>
            </w:pPr>
            <w:r w:rsidRPr="00C76857">
              <w:rPr>
                <w:rFonts w:cstheme="minorHAnsi"/>
                <w:color w:val="000000"/>
              </w:rPr>
              <w:t>Bypass Thoracic Aorta, Ascending/Arch to Subclavian with Autologous Arterial Tissue, Open Approach</w:t>
            </w:r>
          </w:p>
        </w:tc>
      </w:tr>
      <w:tr w:rsidR="00265AC7" w:rsidRPr="00B83A18" w14:paraId="3CB89A54" w14:textId="77777777" w:rsidTr="002C718A">
        <w:trPr>
          <w:trHeight w:val="300"/>
        </w:trPr>
        <w:tc>
          <w:tcPr>
            <w:tcW w:w="1525" w:type="dxa"/>
            <w:noWrap/>
            <w:vAlign w:val="center"/>
          </w:tcPr>
          <w:p w14:paraId="78402100" w14:textId="5F10CFA0" w:rsidR="00265AC7" w:rsidRPr="00B83A18" w:rsidRDefault="00265AC7" w:rsidP="00696E8F">
            <w:pPr>
              <w:rPr>
                <w:rFonts w:cs="Arial"/>
                <w:color w:val="000000"/>
              </w:rPr>
            </w:pPr>
            <w:r w:rsidRPr="00C76857">
              <w:rPr>
                <w:rFonts w:cstheme="minorHAnsi"/>
                <w:color w:val="000000"/>
              </w:rPr>
              <w:t>021X0AD</w:t>
            </w:r>
          </w:p>
        </w:tc>
        <w:tc>
          <w:tcPr>
            <w:tcW w:w="8128" w:type="dxa"/>
            <w:noWrap/>
            <w:vAlign w:val="center"/>
          </w:tcPr>
          <w:p w14:paraId="4F3EF137" w14:textId="22FA095D" w:rsidR="00265AC7" w:rsidRPr="00B83A18" w:rsidRDefault="00265AC7" w:rsidP="00696E8F">
            <w:pPr>
              <w:rPr>
                <w:rFonts w:cs="Arial"/>
                <w:color w:val="000000"/>
              </w:rPr>
            </w:pPr>
            <w:r w:rsidRPr="00C76857">
              <w:rPr>
                <w:rFonts w:cstheme="minorHAnsi"/>
                <w:color w:val="000000"/>
              </w:rPr>
              <w:t>Bypass Thoracic Aorta, Ascending/Arch to Carotid with Autologous Arterial Tissue, Open Approach</w:t>
            </w:r>
          </w:p>
        </w:tc>
      </w:tr>
      <w:tr w:rsidR="00265AC7" w:rsidRPr="00B83A18" w14:paraId="3AA885AE" w14:textId="77777777" w:rsidTr="002C718A">
        <w:trPr>
          <w:trHeight w:val="300"/>
        </w:trPr>
        <w:tc>
          <w:tcPr>
            <w:tcW w:w="1525" w:type="dxa"/>
            <w:noWrap/>
            <w:vAlign w:val="center"/>
          </w:tcPr>
          <w:p w14:paraId="2841FC19" w14:textId="6D45FF43" w:rsidR="00265AC7" w:rsidRPr="00B83A18" w:rsidRDefault="00265AC7" w:rsidP="00696E8F">
            <w:pPr>
              <w:rPr>
                <w:rFonts w:cs="Arial"/>
                <w:color w:val="000000"/>
              </w:rPr>
            </w:pPr>
            <w:r w:rsidRPr="00C76857">
              <w:rPr>
                <w:rFonts w:cstheme="minorHAnsi"/>
                <w:color w:val="000000"/>
              </w:rPr>
              <w:t>021X0AP</w:t>
            </w:r>
          </w:p>
        </w:tc>
        <w:tc>
          <w:tcPr>
            <w:tcW w:w="8128" w:type="dxa"/>
            <w:noWrap/>
            <w:vAlign w:val="center"/>
          </w:tcPr>
          <w:p w14:paraId="06711112" w14:textId="315E9C4F" w:rsidR="00265AC7" w:rsidRPr="00B83A18" w:rsidRDefault="00265AC7" w:rsidP="00696E8F">
            <w:pPr>
              <w:rPr>
                <w:rFonts w:cs="Arial"/>
                <w:color w:val="000000"/>
              </w:rPr>
            </w:pPr>
            <w:r w:rsidRPr="00C76857">
              <w:rPr>
                <w:rFonts w:cstheme="minorHAnsi"/>
                <w:color w:val="000000"/>
              </w:rPr>
              <w:t>Bypass Thoracic Aorta, Ascending/Arch to Pulmonary Trunk with Autologous Arterial Tissue, Open Approach</w:t>
            </w:r>
          </w:p>
        </w:tc>
      </w:tr>
      <w:tr w:rsidR="00265AC7" w:rsidRPr="00B83A18" w14:paraId="503581DE" w14:textId="77777777" w:rsidTr="002C718A">
        <w:trPr>
          <w:trHeight w:val="300"/>
        </w:trPr>
        <w:tc>
          <w:tcPr>
            <w:tcW w:w="1525" w:type="dxa"/>
            <w:noWrap/>
            <w:vAlign w:val="center"/>
          </w:tcPr>
          <w:p w14:paraId="076BB75E" w14:textId="159F5CFE" w:rsidR="00265AC7" w:rsidRPr="00B83A18" w:rsidRDefault="00265AC7" w:rsidP="00696E8F">
            <w:pPr>
              <w:rPr>
                <w:rFonts w:cs="Arial"/>
                <w:color w:val="000000"/>
              </w:rPr>
            </w:pPr>
            <w:r w:rsidRPr="00C76857">
              <w:rPr>
                <w:rFonts w:cstheme="minorHAnsi"/>
                <w:color w:val="000000"/>
              </w:rPr>
              <w:t>021X0AQ</w:t>
            </w:r>
          </w:p>
        </w:tc>
        <w:tc>
          <w:tcPr>
            <w:tcW w:w="8128" w:type="dxa"/>
            <w:noWrap/>
            <w:vAlign w:val="center"/>
          </w:tcPr>
          <w:p w14:paraId="4A66436D" w14:textId="1DBF2B08" w:rsidR="00265AC7" w:rsidRPr="00B83A18" w:rsidRDefault="00265AC7" w:rsidP="00696E8F">
            <w:pPr>
              <w:rPr>
                <w:rFonts w:cs="Arial"/>
                <w:color w:val="000000"/>
              </w:rPr>
            </w:pPr>
            <w:r w:rsidRPr="00C76857">
              <w:rPr>
                <w:rFonts w:cstheme="minorHAnsi"/>
                <w:color w:val="000000"/>
              </w:rPr>
              <w:t>Bypass Thoracic Aorta, Ascending/Arch to Right Pulmonary Artery with Autologous Arterial Tissue, Open Approach</w:t>
            </w:r>
          </w:p>
        </w:tc>
      </w:tr>
      <w:tr w:rsidR="00265AC7" w:rsidRPr="00B83A18" w14:paraId="530EFD01" w14:textId="77777777" w:rsidTr="002C718A">
        <w:trPr>
          <w:trHeight w:val="300"/>
        </w:trPr>
        <w:tc>
          <w:tcPr>
            <w:tcW w:w="1525" w:type="dxa"/>
            <w:noWrap/>
            <w:vAlign w:val="center"/>
          </w:tcPr>
          <w:p w14:paraId="0F652D1D" w14:textId="49E29292" w:rsidR="00265AC7" w:rsidRPr="00B83A18" w:rsidRDefault="00265AC7" w:rsidP="00696E8F">
            <w:pPr>
              <w:rPr>
                <w:rFonts w:cs="Arial"/>
                <w:color w:val="000000"/>
              </w:rPr>
            </w:pPr>
            <w:r w:rsidRPr="00C76857">
              <w:rPr>
                <w:rFonts w:cstheme="minorHAnsi"/>
                <w:color w:val="000000"/>
              </w:rPr>
              <w:t>021X0AR</w:t>
            </w:r>
          </w:p>
        </w:tc>
        <w:tc>
          <w:tcPr>
            <w:tcW w:w="8128" w:type="dxa"/>
            <w:noWrap/>
            <w:vAlign w:val="center"/>
          </w:tcPr>
          <w:p w14:paraId="378060D1" w14:textId="141DBB84" w:rsidR="00265AC7" w:rsidRPr="00B83A18" w:rsidRDefault="00265AC7" w:rsidP="00696E8F">
            <w:pPr>
              <w:rPr>
                <w:rFonts w:cs="Arial"/>
                <w:color w:val="000000"/>
              </w:rPr>
            </w:pPr>
            <w:r w:rsidRPr="00C76857">
              <w:rPr>
                <w:rFonts w:cstheme="minorHAnsi"/>
                <w:color w:val="000000"/>
              </w:rPr>
              <w:t>Bypass Thoracic Aorta, Ascending/Arch to Left Pulmonary Artery with Autologous Arterial Tissue, Open Approach</w:t>
            </w:r>
          </w:p>
        </w:tc>
      </w:tr>
      <w:tr w:rsidR="00265AC7" w:rsidRPr="00B83A18" w14:paraId="52CA1932" w14:textId="77777777" w:rsidTr="002C718A">
        <w:trPr>
          <w:trHeight w:val="300"/>
        </w:trPr>
        <w:tc>
          <w:tcPr>
            <w:tcW w:w="1525" w:type="dxa"/>
            <w:noWrap/>
            <w:vAlign w:val="center"/>
          </w:tcPr>
          <w:p w14:paraId="73CDA827" w14:textId="53AF6D93" w:rsidR="00265AC7" w:rsidRPr="00B83A18" w:rsidRDefault="00265AC7" w:rsidP="00696E8F">
            <w:pPr>
              <w:rPr>
                <w:rFonts w:cs="Arial"/>
                <w:color w:val="000000"/>
              </w:rPr>
            </w:pPr>
            <w:r w:rsidRPr="00C76857">
              <w:rPr>
                <w:rFonts w:cstheme="minorHAnsi"/>
                <w:color w:val="000000"/>
              </w:rPr>
              <w:t>021X0JA</w:t>
            </w:r>
          </w:p>
        </w:tc>
        <w:tc>
          <w:tcPr>
            <w:tcW w:w="8128" w:type="dxa"/>
            <w:noWrap/>
            <w:vAlign w:val="center"/>
          </w:tcPr>
          <w:p w14:paraId="33B8C77F" w14:textId="0C0B8A34" w:rsidR="00265AC7" w:rsidRPr="00B83A18" w:rsidRDefault="00265AC7" w:rsidP="00696E8F">
            <w:pPr>
              <w:rPr>
                <w:rFonts w:cs="Arial"/>
                <w:color w:val="000000"/>
              </w:rPr>
            </w:pPr>
            <w:r w:rsidRPr="00C76857">
              <w:rPr>
                <w:rFonts w:cstheme="minorHAnsi"/>
                <w:color w:val="000000"/>
              </w:rPr>
              <w:t>Bypass Thoracic Aorta, Ascending/Arch to Innominate Artery with Synthetic Substitute, Open Approach</w:t>
            </w:r>
          </w:p>
        </w:tc>
      </w:tr>
      <w:tr w:rsidR="00265AC7" w:rsidRPr="00B83A18" w14:paraId="7831C3EA" w14:textId="77777777" w:rsidTr="002C718A">
        <w:trPr>
          <w:trHeight w:val="300"/>
        </w:trPr>
        <w:tc>
          <w:tcPr>
            <w:tcW w:w="1525" w:type="dxa"/>
            <w:noWrap/>
            <w:vAlign w:val="center"/>
          </w:tcPr>
          <w:p w14:paraId="74085E8E" w14:textId="31C1B2A6" w:rsidR="00265AC7" w:rsidRPr="00B83A18" w:rsidRDefault="00265AC7" w:rsidP="00696E8F">
            <w:pPr>
              <w:rPr>
                <w:rFonts w:cs="Arial"/>
                <w:color w:val="000000"/>
              </w:rPr>
            </w:pPr>
            <w:r w:rsidRPr="00C76857">
              <w:rPr>
                <w:rFonts w:cstheme="minorHAnsi"/>
                <w:color w:val="000000"/>
              </w:rPr>
              <w:t>021X0JB</w:t>
            </w:r>
          </w:p>
        </w:tc>
        <w:tc>
          <w:tcPr>
            <w:tcW w:w="8128" w:type="dxa"/>
            <w:noWrap/>
            <w:vAlign w:val="center"/>
          </w:tcPr>
          <w:p w14:paraId="002074E9" w14:textId="6EEF6843" w:rsidR="00265AC7" w:rsidRPr="00B83A18" w:rsidRDefault="00265AC7" w:rsidP="00696E8F">
            <w:pPr>
              <w:rPr>
                <w:rFonts w:cs="Arial"/>
                <w:color w:val="000000"/>
              </w:rPr>
            </w:pPr>
            <w:r w:rsidRPr="00C76857">
              <w:rPr>
                <w:rFonts w:cstheme="minorHAnsi"/>
                <w:color w:val="000000"/>
              </w:rPr>
              <w:t>Bypass Thoracic Aorta, Ascending/Arch to Subclavian with Synthetic Substitute, Open Approach</w:t>
            </w:r>
          </w:p>
        </w:tc>
      </w:tr>
      <w:tr w:rsidR="00265AC7" w:rsidRPr="00B83A18" w14:paraId="5838B607" w14:textId="77777777" w:rsidTr="002C718A">
        <w:trPr>
          <w:trHeight w:val="300"/>
        </w:trPr>
        <w:tc>
          <w:tcPr>
            <w:tcW w:w="1525" w:type="dxa"/>
            <w:noWrap/>
            <w:vAlign w:val="center"/>
          </w:tcPr>
          <w:p w14:paraId="3D82EE9B" w14:textId="717FC9FF" w:rsidR="00265AC7" w:rsidRPr="00B83A18" w:rsidRDefault="00265AC7" w:rsidP="00696E8F">
            <w:pPr>
              <w:rPr>
                <w:rFonts w:cs="Arial"/>
                <w:color w:val="000000"/>
              </w:rPr>
            </w:pPr>
            <w:r w:rsidRPr="00C76857">
              <w:rPr>
                <w:rFonts w:cstheme="minorHAnsi"/>
                <w:color w:val="000000"/>
              </w:rPr>
              <w:t>021X0JD</w:t>
            </w:r>
          </w:p>
        </w:tc>
        <w:tc>
          <w:tcPr>
            <w:tcW w:w="8128" w:type="dxa"/>
            <w:noWrap/>
            <w:vAlign w:val="center"/>
          </w:tcPr>
          <w:p w14:paraId="6308808E" w14:textId="4E753EFC" w:rsidR="00265AC7" w:rsidRPr="00B83A18" w:rsidRDefault="00265AC7" w:rsidP="00696E8F">
            <w:pPr>
              <w:rPr>
                <w:rFonts w:cs="Arial"/>
                <w:color w:val="000000"/>
              </w:rPr>
            </w:pPr>
            <w:r w:rsidRPr="00C76857">
              <w:rPr>
                <w:rFonts w:cstheme="minorHAnsi"/>
                <w:color w:val="000000"/>
              </w:rPr>
              <w:t>Bypass Thoracic Aorta, Ascending/Arch to Carotid with Synthetic Substitute, Open Approach</w:t>
            </w:r>
          </w:p>
        </w:tc>
      </w:tr>
      <w:tr w:rsidR="00265AC7" w:rsidRPr="00B83A18" w14:paraId="24435417" w14:textId="77777777" w:rsidTr="002C718A">
        <w:trPr>
          <w:trHeight w:val="300"/>
        </w:trPr>
        <w:tc>
          <w:tcPr>
            <w:tcW w:w="1525" w:type="dxa"/>
            <w:noWrap/>
            <w:vAlign w:val="center"/>
          </w:tcPr>
          <w:p w14:paraId="010BB8E2" w14:textId="02FE336D" w:rsidR="00265AC7" w:rsidRPr="00B83A18" w:rsidRDefault="00265AC7" w:rsidP="00696E8F">
            <w:pPr>
              <w:rPr>
                <w:rFonts w:cs="Arial"/>
                <w:color w:val="000000"/>
              </w:rPr>
            </w:pPr>
            <w:r w:rsidRPr="00C76857">
              <w:rPr>
                <w:rFonts w:cstheme="minorHAnsi"/>
                <w:color w:val="000000"/>
              </w:rPr>
              <w:t>021X0JP</w:t>
            </w:r>
          </w:p>
        </w:tc>
        <w:tc>
          <w:tcPr>
            <w:tcW w:w="8128" w:type="dxa"/>
            <w:noWrap/>
            <w:vAlign w:val="center"/>
          </w:tcPr>
          <w:p w14:paraId="39C06083" w14:textId="6D0782F5" w:rsidR="00265AC7" w:rsidRPr="00B83A18" w:rsidRDefault="00265AC7" w:rsidP="00696E8F">
            <w:pPr>
              <w:rPr>
                <w:rFonts w:cs="Arial"/>
                <w:color w:val="000000"/>
              </w:rPr>
            </w:pPr>
            <w:r w:rsidRPr="00C76857">
              <w:rPr>
                <w:rFonts w:cstheme="minorHAnsi"/>
                <w:color w:val="000000"/>
              </w:rPr>
              <w:t>Bypass Thoracic Aorta, Ascending/Arch to Pulmonary Trunk with Synthetic Substitute, Open Approach</w:t>
            </w:r>
          </w:p>
        </w:tc>
      </w:tr>
      <w:tr w:rsidR="00265AC7" w:rsidRPr="00B83A18" w14:paraId="29CFF8FF" w14:textId="77777777" w:rsidTr="002C718A">
        <w:trPr>
          <w:trHeight w:val="300"/>
        </w:trPr>
        <w:tc>
          <w:tcPr>
            <w:tcW w:w="1525" w:type="dxa"/>
            <w:noWrap/>
            <w:vAlign w:val="center"/>
          </w:tcPr>
          <w:p w14:paraId="12B74B27" w14:textId="5437F135" w:rsidR="00265AC7" w:rsidRPr="00B83A18" w:rsidRDefault="00265AC7" w:rsidP="00696E8F">
            <w:pPr>
              <w:rPr>
                <w:rFonts w:cs="Arial"/>
                <w:color w:val="000000"/>
              </w:rPr>
            </w:pPr>
            <w:r w:rsidRPr="00C76857">
              <w:rPr>
                <w:rFonts w:cstheme="minorHAnsi"/>
                <w:color w:val="000000"/>
              </w:rPr>
              <w:t>021X0JQ</w:t>
            </w:r>
          </w:p>
        </w:tc>
        <w:tc>
          <w:tcPr>
            <w:tcW w:w="8128" w:type="dxa"/>
            <w:noWrap/>
            <w:vAlign w:val="center"/>
          </w:tcPr>
          <w:p w14:paraId="1CCAC40D" w14:textId="012D66EF" w:rsidR="00265AC7" w:rsidRPr="00B83A18" w:rsidRDefault="00265AC7" w:rsidP="00696E8F">
            <w:pPr>
              <w:rPr>
                <w:rFonts w:cs="Arial"/>
                <w:color w:val="000000"/>
              </w:rPr>
            </w:pPr>
            <w:r w:rsidRPr="00C76857">
              <w:rPr>
                <w:rFonts w:cstheme="minorHAnsi"/>
                <w:color w:val="000000"/>
              </w:rPr>
              <w:t>Bypass Thoracic Aorta, Ascending/Arch to Right Pulmonary Artery with Synthetic Substitute, Open Approach</w:t>
            </w:r>
          </w:p>
        </w:tc>
      </w:tr>
      <w:tr w:rsidR="00265AC7" w:rsidRPr="00B83A18" w14:paraId="65AC60BF" w14:textId="77777777" w:rsidTr="002C718A">
        <w:trPr>
          <w:trHeight w:val="300"/>
        </w:trPr>
        <w:tc>
          <w:tcPr>
            <w:tcW w:w="1525" w:type="dxa"/>
            <w:noWrap/>
            <w:vAlign w:val="center"/>
          </w:tcPr>
          <w:p w14:paraId="05961937" w14:textId="45D288C9" w:rsidR="00265AC7" w:rsidRPr="00B83A18" w:rsidRDefault="00265AC7" w:rsidP="00696E8F">
            <w:pPr>
              <w:rPr>
                <w:rFonts w:cs="Arial"/>
                <w:color w:val="000000"/>
              </w:rPr>
            </w:pPr>
            <w:r w:rsidRPr="00C76857">
              <w:rPr>
                <w:rFonts w:cstheme="minorHAnsi"/>
                <w:color w:val="000000"/>
              </w:rPr>
              <w:t>021X0JR</w:t>
            </w:r>
          </w:p>
        </w:tc>
        <w:tc>
          <w:tcPr>
            <w:tcW w:w="8128" w:type="dxa"/>
            <w:noWrap/>
            <w:vAlign w:val="center"/>
          </w:tcPr>
          <w:p w14:paraId="6A51F838" w14:textId="38D65612" w:rsidR="00265AC7" w:rsidRPr="00B83A18" w:rsidRDefault="00265AC7" w:rsidP="00696E8F">
            <w:pPr>
              <w:rPr>
                <w:rFonts w:cs="Arial"/>
                <w:color w:val="000000"/>
              </w:rPr>
            </w:pPr>
            <w:r w:rsidRPr="00C76857">
              <w:rPr>
                <w:rFonts w:cstheme="minorHAnsi"/>
                <w:color w:val="000000"/>
              </w:rPr>
              <w:t>Bypass Thoracic Aorta, Ascending/Arch to Left Pulmonary Artery with Synthetic Substitute, Open Approach</w:t>
            </w:r>
          </w:p>
        </w:tc>
      </w:tr>
      <w:tr w:rsidR="00265AC7" w:rsidRPr="00B83A18" w14:paraId="07D32A6C" w14:textId="77777777" w:rsidTr="002C718A">
        <w:trPr>
          <w:trHeight w:val="300"/>
        </w:trPr>
        <w:tc>
          <w:tcPr>
            <w:tcW w:w="1525" w:type="dxa"/>
            <w:noWrap/>
            <w:vAlign w:val="center"/>
          </w:tcPr>
          <w:p w14:paraId="4A6B0B70" w14:textId="11B0C7AF" w:rsidR="00265AC7" w:rsidRPr="00B83A18" w:rsidRDefault="00265AC7" w:rsidP="00696E8F">
            <w:pPr>
              <w:rPr>
                <w:rFonts w:cs="Arial"/>
                <w:color w:val="000000"/>
              </w:rPr>
            </w:pPr>
            <w:r w:rsidRPr="00C76857">
              <w:rPr>
                <w:rFonts w:cstheme="minorHAnsi"/>
                <w:color w:val="000000"/>
              </w:rPr>
              <w:t>021X0KA</w:t>
            </w:r>
          </w:p>
        </w:tc>
        <w:tc>
          <w:tcPr>
            <w:tcW w:w="8128" w:type="dxa"/>
            <w:noWrap/>
            <w:vAlign w:val="center"/>
          </w:tcPr>
          <w:p w14:paraId="07A2B3AA" w14:textId="45E94191" w:rsidR="00265AC7" w:rsidRPr="00B83A18" w:rsidRDefault="00265AC7" w:rsidP="00696E8F">
            <w:pPr>
              <w:rPr>
                <w:rFonts w:cs="Arial"/>
                <w:color w:val="000000"/>
              </w:rPr>
            </w:pPr>
            <w:r w:rsidRPr="00C76857">
              <w:rPr>
                <w:rFonts w:cstheme="minorHAnsi"/>
                <w:color w:val="000000"/>
              </w:rPr>
              <w:t xml:space="preserve">Bypass Thoracic Aorta, Ascending/Arch to Innominate Artery with </w:t>
            </w:r>
            <w:proofErr w:type="spellStart"/>
            <w:r w:rsidRPr="00C76857">
              <w:rPr>
                <w:rFonts w:cstheme="minorHAnsi"/>
                <w:color w:val="000000"/>
              </w:rPr>
              <w:t>Nonautologous</w:t>
            </w:r>
            <w:proofErr w:type="spellEnd"/>
            <w:r w:rsidRPr="00C76857">
              <w:rPr>
                <w:rFonts w:cstheme="minorHAnsi"/>
                <w:color w:val="000000"/>
              </w:rPr>
              <w:t xml:space="preserve"> Tissue Substitute, Open Approach</w:t>
            </w:r>
          </w:p>
        </w:tc>
      </w:tr>
      <w:tr w:rsidR="00265AC7" w:rsidRPr="00B83A18" w14:paraId="6D33C61D" w14:textId="77777777" w:rsidTr="002C718A">
        <w:trPr>
          <w:trHeight w:val="300"/>
        </w:trPr>
        <w:tc>
          <w:tcPr>
            <w:tcW w:w="1525" w:type="dxa"/>
            <w:noWrap/>
            <w:vAlign w:val="center"/>
          </w:tcPr>
          <w:p w14:paraId="635A4A62" w14:textId="20852BF9" w:rsidR="00265AC7" w:rsidRPr="00B83A18" w:rsidRDefault="00265AC7" w:rsidP="00696E8F">
            <w:pPr>
              <w:rPr>
                <w:rFonts w:cs="Arial"/>
                <w:color w:val="000000"/>
              </w:rPr>
            </w:pPr>
            <w:r w:rsidRPr="00C76857">
              <w:rPr>
                <w:rFonts w:cstheme="minorHAnsi"/>
                <w:color w:val="000000"/>
              </w:rPr>
              <w:t>021X0KB</w:t>
            </w:r>
          </w:p>
        </w:tc>
        <w:tc>
          <w:tcPr>
            <w:tcW w:w="8128" w:type="dxa"/>
            <w:noWrap/>
            <w:vAlign w:val="center"/>
          </w:tcPr>
          <w:p w14:paraId="19E47A47" w14:textId="2FF4B032" w:rsidR="00265AC7" w:rsidRPr="00B83A18" w:rsidRDefault="00265AC7" w:rsidP="00696E8F">
            <w:pPr>
              <w:rPr>
                <w:rFonts w:cs="Arial"/>
                <w:color w:val="000000"/>
              </w:rPr>
            </w:pPr>
            <w:r w:rsidRPr="00C76857">
              <w:rPr>
                <w:rFonts w:cstheme="minorHAnsi"/>
                <w:color w:val="000000"/>
              </w:rPr>
              <w:t xml:space="preserve">Bypass Thoracic Aorta, Ascending/Arch to Subclavian with </w:t>
            </w:r>
            <w:proofErr w:type="spellStart"/>
            <w:r w:rsidRPr="00C76857">
              <w:rPr>
                <w:rFonts w:cstheme="minorHAnsi"/>
                <w:color w:val="000000"/>
              </w:rPr>
              <w:t>Nonautologous</w:t>
            </w:r>
            <w:proofErr w:type="spellEnd"/>
            <w:r w:rsidRPr="00C76857">
              <w:rPr>
                <w:rFonts w:cstheme="minorHAnsi"/>
                <w:color w:val="000000"/>
              </w:rPr>
              <w:t xml:space="preserve"> Tissue Substitute, Open Approach</w:t>
            </w:r>
          </w:p>
        </w:tc>
      </w:tr>
      <w:tr w:rsidR="00265AC7" w:rsidRPr="00B83A18" w14:paraId="5062EC40" w14:textId="77777777" w:rsidTr="002C718A">
        <w:trPr>
          <w:trHeight w:val="300"/>
        </w:trPr>
        <w:tc>
          <w:tcPr>
            <w:tcW w:w="1525" w:type="dxa"/>
            <w:noWrap/>
            <w:vAlign w:val="center"/>
          </w:tcPr>
          <w:p w14:paraId="1E3DA46A" w14:textId="5918459B" w:rsidR="00265AC7" w:rsidRPr="00B83A18" w:rsidRDefault="00265AC7" w:rsidP="00696E8F">
            <w:pPr>
              <w:rPr>
                <w:rFonts w:cs="Arial"/>
                <w:color w:val="000000"/>
              </w:rPr>
            </w:pPr>
            <w:r w:rsidRPr="00C76857">
              <w:rPr>
                <w:rFonts w:cstheme="minorHAnsi"/>
                <w:color w:val="000000"/>
              </w:rPr>
              <w:t>021X0KD</w:t>
            </w:r>
          </w:p>
        </w:tc>
        <w:tc>
          <w:tcPr>
            <w:tcW w:w="8128" w:type="dxa"/>
            <w:noWrap/>
            <w:vAlign w:val="center"/>
          </w:tcPr>
          <w:p w14:paraId="3DD93214" w14:textId="1333242D" w:rsidR="00265AC7" w:rsidRPr="00B83A18" w:rsidRDefault="00265AC7" w:rsidP="00696E8F">
            <w:pPr>
              <w:rPr>
                <w:rFonts w:cs="Arial"/>
                <w:color w:val="000000"/>
              </w:rPr>
            </w:pPr>
            <w:r w:rsidRPr="00C76857">
              <w:rPr>
                <w:rFonts w:cstheme="minorHAnsi"/>
                <w:color w:val="000000"/>
              </w:rPr>
              <w:t xml:space="preserve">Bypass Thoracic Aorta, Ascending/Arch to Carotid with </w:t>
            </w:r>
            <w:proofErr w:type="spellStart"/>
            <w:r w:rsidRPr="00C76857">
              <w:rPr>
                <w:rFonts w:cstheme="minorHAnsi"/>
                <w:color w:val="000000"/>
              </w:rPr>
              <w:t>Nonautologous</w:t>
            </w:r>
            <w:proofErr w:type="spellEnd"/>
            <w:r w:rsidRPr="00C76857">
              <w:rPr>
                <w:rFonts w:cstheme="minorHAnsi"/>
                <w:color w:val="000000"/>
              </w:rPr>
              <w:t xml:space="preserve"> Tissue Substitute, Open Approach</w:t>
            </w:r>
          </w:p>
        </w:tc>
      </w:tr>
      <w:tr w:rsidR="00265AC7" w:rsidRPr="00B83A18" w14:paraId="2E2CEBE9" w14:textId="77777777" w:rsidTr="002C718A">
        <w:trPr>
          <w:trHeight w:val="300"/>
        </w:trPr>
        <w:tc>
          <w:tcPr>
            <w:tcW w:w="1525" w:type="dxa"/>
            <w:noWrap/>
            <w:vAlign w:val="center"/>
          </w:tcPr>
          <w:p w14:paraId="0E92E1E3" w14:textId="2BFF9629" w:rsidR="00265AC7" w:rsidRPr="00B83A18" w:rsidRDefault="00265AC7" w:rsidP="00696E8F">
            <w:pPr>
              <w:rPr>
                <w:rFonts w:cs="Arial"/>
                <w:color w:val="000000"/>
              </w:rPr>
            </w:pPr>
            <w:r w:rsidRPr="00C76857">
              <w:rPr>
                <w:rFonts w:cstheme="minorHAnsi"/>
                <w:color w:val="000000"/>
              </w:rPr>
              <w:t>021X0KP</w:t>
            </w:r>
          </w:p>
        </w:tc>
        <w:tc>
          <w:tcPr>
            <w:tcW w:w="8128" w:type="dxa"/>
            <w:noWrap/>
            <w:vAlign w:val="center"/>
          </w:tcPr>
          <w:p w14:paraId="33F08BB8" w14:textId="07306523" w:rsidR="00265AC7" w:rsidRPr="00B83A18" w:rsidRDefault="00265AC7" w:rsidP="00696E8F">
            <w:pPr>
              <w:rPr>
                <w:rFonts w:cs="Arial"/>
                <w:color w:val="000000"/>
              </w:rPr>
            </w:pPr>
            <w:r w:rsidRPr="00C76857">
              <w:rPr>
                <w:rFonts w:cstheme="minorHAnsi"/>
                <w:color w:val="000000"/>
              </w:rPr>
              <w:t xml:space="preserve">Bypass Thoracic Aorta, Ascending/Arch to Pulmonary Trunk with </w:t>
            </w:r>
            <w:proofErr w:type="spellStart"/>
            <w:r w:rsidRPr="00C76857">
              <w:rPr>
                <w:rFonts w:cstheme="minorHAnsi"/>
                <w:color w:val="000000"/>
              </w:rPr>
              <w:t>Nonautologous</w:t>
            </w:r>
            <w:proofErr w:type="spellEnd"/>
            <w:r w:rsidRPr="00C76857">
              <w:rPr>
                <w:rFonts w:cstheme="minorHAnsi"/>
                <w:color w:val="000000"/>
              </w:rPr>
              <w:t xml:space="preserve"> Tissue Substitute, Open Approach</w:t>
            </w:r>
          </w:p>
        </w:tc>
      </w:tr>
      <w:tr w:rsidR="00265AC7" w:rsidRPr="00B83A18" w14:paraId="5963094B" w14:textId="77777777" w:rsidTr="002C718A">
        <w:trPr>
          <w:trHeight w:val="300"/>
        </w:trPr>
        <w:tc>
          <w:tcPr>
            <w:tcW w:w="1525" w:type="dxa"/>
            <w:noWrap/>
            <w:vAlign w:val="center"/>
          </w:tcPr>
          <w:p w14:paraId="25BD6657" w14:textId="66A492B4" w:rsidR="00265AC7" w:rsidRPr="00B83A18" w:rsidRDefault="00265AC7" w:rsidP="00696E8F">
            <w:pPr>
              <w:rPr>
                <w:rFonts w:cs="Arial"/>
                <w:color w:val="000000"/>
              </w:rPr>
            </w:pPr>
            <w:r w:rsidRPr="00C76857">
              <w:rPr>
                <w:rFonts w:cstheme="minorHAnsi"/>
                <w:color w:val="000000"/>
              </w:rPr>
              <w:t>021X0KQ</w:t>
            </w:r>
          </w:p>
        </w:tc>
        <w:tc>
          <w:tcPr>
            <w:tcW w:w="8128" w:type="dxa"/>
            <w:noWrap/>
            <w:vAlign w:val="center"/>
          </w:tcPr>
          <w:p w14:paraId="6E0BE527" w14:textId="529CFCEC" w:rsidR="00265AC7" w:rsidRPr="00B83A18" w:rsidRDefault="00265AC7" w:rsidP="00696E8F">
            <w:pPr>
              <w:rPr>
                <w:rFonts w:cs="Arial"/>
                <w:color w:val="000000"/>
              </w:rPr>
            </w:pPr>
            <w:r w:rsidRPr="00C76857">
              <w:rPr>
                <w:rFonts w:cstheme="minorHAnsi"/>
                <w:color w:val="000000"/>
              </w:rPr>
              <w:t xml:space="preserve">Bypass Thoracic Aorta, Ascending/Arch to Right Pulmonary Artery with </w:t>
            </w:r>
            <w:proofErr w:type="spellStart"/>
            <w:r w:rsidRPr="00C76857">
              <w:rPr>
                <w:rFonts w:cstheme="minorHAnsi"/>
                <w:color w:val="000000"/>
              </w:rPr>
              <w:t>Nonautologous</w:t>
            </w:r>
            <w:proofErr w:type="spellEnd"/>
            <w:r w:rsidRPr="00C76857">
              <w:rPr>
                <w:rFonts w:cstheme="minorHAnsi"/>
                <w:color w:val="000000"/>
              </w:rPr>
              <w:t xml:space="preserve"> Tissue Substitute, Open Approach</w:t>
            </w:r>
          </w:p>
        </w:tc>
      </w:tr>
      <w:tr w:rsidR="00265AC7" w:rsidRPr="00B83A18" w14:paraId="4F14E4B3" w14:textId="77777777" w:rsidTr="002C718A">
        <w:trPr>
          <w:trHeight w:val="300"/>
        </w:trPr>
        <w:tc>
          <w:tcPr>
            <w:tcW w:w="1525" w:type="dxa"/>
            <w:noWrap/>
            <w:vAlign w:val="center"/>
          </w:tcPr>
          <w:p w14:paraId="47F893BE" w14:textId="6B9FDB66" w:rsidR="00265AC7" w:rsidRPr="00B83A18" w:rsidRDefault="00265AC7" w:rsidP="00696E8F">
            <w:pPr>
              <w:rPr>
                <w:rFonts w:cs="Arial"/>
                <w:color w:val="000000"/>
              </w:rPr>
            </w:pPr>
            <w:r w:rsidRPr="00C76857">
              <w:rPr>
                <w:rFonts w:cstheme="minorHAnsi"/>
                <w:color w:val="000000"/>
              </w:rPr>
              <w:t>021X0KR</w:t>
            </w:r>
          </w:p>
        </w:tc>
        <w:tc>
          <w:tcPr>
            <w:tcW w:w="8128" w:type="dxa"/>
            <w:noWrap/>
            <w:vAlign w:val="center"/>
          </w:tcPr>
          <w:p w14:paraId="2648BA04" w14:textId="6EB0C6F2" w:rsidR="00265AC7" w:rsidRPr="00B83A18" w:rsidRDefault="00265AC7" w:rsidP="00696E8F">
            <w:pPr>
              <w:rPr>
                <w:rFonts w:cs="Arial"/>
                <w:color w:val="000000"/>
              </w:rPr>
            </w:pPr>
            <w:r w:rsidRPr="00C76857">
              <w:rPr>
                <w:rFonts w:cstheme="minorHAnsi"/>
                <w:color w:val="000000"/>
              </w:rPr>
              <w:t xml:space="preserve">Bypass Thoracic Aorta, Ascending/Arch to Left Pulmonary Artery with </w:t>
            </w:r>
            <w:proofErr w:type="spellStart"/>
            <w:r w:rsidRPr="00C76857">
              <w:rPr>
                <w:rFonts w:cstheme="minorHAnsi"/>
                <w:color w:val="000000"/>
              </w:rPr>
              <w:t>Nonautologous</w:t>
            </w:r>
            <w:proofErr w:type="spellEnd"/>
            <w:r w:rsidRPr="00C76857">
              <w:rPr>
                <w:rFonts w:cstheme="minorHAnsi"/>
                <w:color w:val="000000"/>
              </w:rPr>
              <w:t xml:space="preserve"> Tissue Substitute, Open Approach</w:t>
            </w:r>
          </w:p>
        </w:tc>
      </w:tr>
      <w:tr w:rsidR="00265AC7" w:rsidRPr="00B83A18" w14:paraId="15C601E9" w14:textId="77777777" w:rsidTr="002C718A">
        <w:trPr>
          <w:trHeight w:val="300"/>
        </w:trPr>
        <w:tc>
          <w:tcPr>
            <w:tcW w:w="1525" w:type="dxa"/>
            <w:noWrap/>
            <w:vAlign w:val="center"/>
          </w:tcPr>
          <w:p w14:paraId="67EF4F2D" w14:textId="0ECD2B87" w:rsidR="00265AC7" w:rsidRPr="00B83A18" w:rsidRDefault="00265AC7" w:rsidP="00696E8F">
            <w:pPr>
              <w:rPr>
                <w:rFonts w:cs="Arial"/>
                <w:color w:val="000000"/>
              </w:rPr>
            </w:pPr>
            <w:r w:rsidRPr="00C76857">
              <w:rPr>
                <w:rFonts w:cstheme="minorHAnsi"/>
                <w:color w:val="000000"/>
              </w:rPr>
              <w:t>021X0ZA</w:t>
            </w:r>
          </w:p>
        </w:tc>
        <w:tc>
          <w:tcPr>
            <w:tcW w:w="8128" w:type="dxa"/>
            <w:noWrap/>
            <w:vAlign w:val="center"/>
          </w:tcPr>
          <w:p w14:paraId="62BD5DD8" w14:textId="700B8606" w:rsidR="00265AC7" w:rsidRPr="00B83A18" w:rsidRDefault="00265AC7" w:rsidP="00696E8F">
            <w:pPr>
              <w:rPr>
                <w:rFonts w:cs="Arial"/>
                <w:color w:val="000000"/>
              </w:rPr>
            </w:pPr>
            <w:r w:rsidRPr="00C76857">
              <w:rPr>
                <w:rFonts w:cstheme="minorHAnsi"/>
                <w:color w:val="000000"/>
              </w:rPr>
              <w:t>Bypass Thoracic Aorta, Ascending/Arch to Innominate Artery, Open Approach</w:t>
            </w:r>
          </w:p>
        </w:tc>
      </w:tr>
      <w:tr w:rsidR="00265AC7" w:rsidRPr="00B83A18" w14:paraId="26E1E3A5" w14:textId="77777777" w:rsidTr="002C718A">
        <w:trPr>
          <w:trHeight w:val="300"/>
        </w:trPr>
        <w:tc>
          <w:tcPr>
            <w:tcW w:w="1525" w:type="dxa"/>
            <w:noWrap/>
            <w:vAlign w:val="center"/>
          </w:tcPr>
          <w:p w14:paraId="6A22CDAA" w14:textId="052185ED" w:rsidR="00265AC7" w:rsidRPr="00B83A18" w:rsidRDefault="00265AC7" w:rsidP="00696E8F">
            <w:pPr>
              <w:rPr>
                <w:rFonts w:cs="Arial"/>
                <w:color w:val="000000"/>
              </w:rPr>
            </w:pPr>
            <w:r w:rsidRPr="00C76857">
              <w:rPr>
                <w:rFonts w:cstheme="minorHAnsi"/>
                <w:color w:val="000000"/>
              </w:rPr>
              <w:t>021X0ZB</w:t>
            </w:r>
          </w:p>
        </w:tc>
        <w:tc>
          <w:tcPr>
            <w:tcW w:w="8128" w:type="dxa"/>
            <w:noWrap/>
            <w:vAlign w:val="center"/>
          </w:tcPr>
          <w:p w14:paraId="5438ECD1" w14:textId="721B7E61" w:rsidR="00265AC7" w:rsidRPr="00B83A18" w:rsidRDefault="00265AC7" w:rsidP="00696E8F">
            <w:pPr>
              <w:rPr>
                <w:rFonts w:cs="Arial"/>
                <w:color w:val="000000"/>
              </w:rPr>
            </w:pPr>
            <w:r w:rsidRPr="00C76857">
              <w:rPr>
                <w:rFonts w:cstheme="minorHAnsi"/>
                <w:color w:val="000000"/>
              </w:rPr>
              <w:t>Bypass Thoracic Aorta, Ascending/Arch to Subclavian, Open Approach</w:t>
            </w:r>
          </w:p>
        </w:tc>
      </w:tr>
      <w:tr w:rsidR="00265AC7" w:rsidRPr="00B83A18" w14:paraId="431B8FD1" w14:textId="77777777" w:rsidTr="002C718A">
        <w:trPr>
          <w:trHeight w:val="300"/>
        </w:trPr>
        <w:tc>
          <w:tcPr>
            <w:tcW w:w="1525" w:type="dxa"/>
            <w:noWrap/>
            <w:vAlign w:val="center"/>
          </w:tcPr>
          <w:p w14:paraId="78EBFD6E" w14:textId="23CC52AA" w:rsidR="00265AC7" w:rsidRPr="00B83A18" w:rsidRDefault="00265AC7" w:rsidP="00696E8F">
            <w:pPr>
              <w:rPr>
                <w:rFonts w:cs="Arial"/>
                <w:color w:val="000000"/>
              </w:rPr>
            </w:pPr>
            <w:r w:rsidRPr="00C76857">
              <w:rPr>
                <w:rFonts w:cstheme="minorHAnsi"/>
                <w:color w:val="000000"/>
              </w:rPr>
              <w:t>021X0ZD</w:t>
            </w:r>
          </w:p>
        </w:tc>
        <w:tc>
          <w:tcPr>
            <w:tcW w:w="8128" w:type="dxa"/>
            <w:noWrap/>
            <w:vAlign w:val="center"/>
          </w:tcPr>
          <w:p w14:paraId="1066641E" w14:textId="708C0E4F" w:rsidR="00265AC7" w:rsidRPr="00B83A18" w:rsidRDefault="00265AC7" w:rsidP="00696E8F">
            <w:pPr>
              <w:rPr>
                <w:rFonts w:cs="Arial"/>
                <w:color w:val="000000"/>
              </w:rPr>
            </w:pPr>
            <w:r w:rsidRPr="00C76857">
              <w:rPr>
                <w:rFonts w:cstheme="minorHAnsi"/>
                <w:color w:val="000000"/>
              </w:rPr>
              <w:t>Bypass Thoracic Aorta, Ascending/Arch to Carotid, Open Approach</w:t>
            </w:r>
          </w:p>
        </w:tc>
      </w:tr>
      <w:tr w:rsidR="00265AC7" w:rsidRPr="00B83A18" w14:paraId="043B62AD" w14:textId="77777777" w:rsidTr="002C718A">
        <w:trPr>
          <w:trHeight w:val="300"/>
        </w:trPr>
        <w:tc>
          <w:tcPr>
            <w:tcW w:w="1525" w:type="dxa"/>
            <w:noWrap/>
            <w:vAlign w:val="center"/>
          </w:tcPr>
          <w:p w14:paraId="1F4E7AFC" w14:textId="480DE2A3" w:rsidR="00265AC7" w:rsidRPr="00B83A18" w:rsidRDefault="00265AC7" w:rsidP="00696E8F">
            <w:pPr>
              <w:rPr>
                <w:rFonts w:cs="Arial"/>
                <w:color w:val="000000"/>
              </w:rPr>
            </w:pPr>
            <w:r w:rsidRPr="00C76857">
              <w:rPr>
                <w:rFonts w:cstheme="minorHAnsi"/>
                <w:color w:val="000000"/>
              </w:rPr>
              <w:t>021X0ZP</w:t>
            </w:r>
          </w:p>
        </w:tc>
        <w:tc>
          <w:tcPr>
            <w:tcW w:w="8128" w:type="dxa"/>
            <w:noWrap/>
            <w:vAlign w:val="center"/>
          </w:tcPr>
          <w:p w14:paraId="20D0C5A7" w14:textId="57BC5D75" w:rsidR="00265AC7" w:rsidRPr="00B83A18" w:rsidRDefault="00265AC7" w:rsidP="00696E8F">
            <w:pPr>
              <w:rPr>
                <w:rFonts w:cs="Arial"/>
                <w:color w:val="000000"/>
              </w:rPr>
            </w:pPr>
            <w:r w:rsidRPr="00C76857">
              <w:rPr>
                <w:rFonts w:cstheme="minorHAnsi"/>
                <w:color w:val="000000"/>
              </w:rPr>
              <w:t>Bypass Thoracic Aorta, Ascending/Arch to Pulmonary Trunk, Open Approach</w:t>
            </w:r>
          </w:p>
        </w:tc>
      </w:tr>
      <w:tr w:rsidR="00265AC7" w:rsidRPr="00B83A18" w14:paraId="1E2AEF43" w14:textId="77777777" w:rsidTr="002C718A">
        <w:trPr>
          <w:trHeight w:val="300"/>
        </w:trPr>
        <w:tc>
          <w:tcPr>
            <w:tcW w:w="1525" w:type="dxa"/>
            <w:noWrap/>
            <w:vAlign w:val="center"/>
          </w:tcPr>
          <w:p w14:paraId="78DD9052" w14:textId="705A2DF6" w:rsidR="00265AC7" w:rsidRPr="00B83A18" w:rsidRDefault="00265AC7" w:rsidP="00696E8F">
            <w:pPr>
              <w:rPr>
                <w:rFonts w:cs="Arial"/>
                <w:color w:val="000000"/>
              </w:rPr>
            </w:pPr>
            <w:r w:rsidRPr="00C76857">
              <w:rPr>
                <w:rFonts w:cstheme="minorHAnsi"/>
                <w:color w:val="000000"/>
              </w:rPr>
              <w:t>021X0ZQ</w:t>
            </w:r>
          </w:p>
        </w:tc>
        <w:tc>
          <w:tcPr>
            <w:tcW w:w="8128" w:type="dxa"/>
            <w:noWrap/>
            <w:vAlign w:val="center"/>
          </w:tcPr>
          <w:p w14:paraId="66F69E7C" w14:textId="4EA23C1D" w:rsidR="00265AC7" w:rsidRPr="00B83A18" w:rsidRDefault="00265AC7" w:rsidP="00696E8F">
            <w:pPr>
              <w:rPr>
                <w:rFonts w:cs="Arial"/>
                <w:color w:val="000000"/>
              </w:rPr>
            </w:pPr>
            <w:r w:rsidRPr="00C76857">
              <w:rPr>
                <w:rFonts w:cstheme="minorHAnsi"/>
                <w:color w:val="000000"/>
              </w:rPr>
              <w:t>Bypass Thoracic Aorta, Ascending/Arch to Right Pulmonary Artery, Open Approach</w:t>
            </w:r>
          </w:p>
        </w:tc>
      </w:tr>
      <w:tr w:rsidR="00265AC7" w:rsidRPr="00B83A18" w14:paraId="4E56D361" w14:textId="77777777" w:rsidTr="002C718A">
        <w:trPr>
          <w:trHeight w:val="300"/>
        </w:trPr>
        <w:tc>
          <w:tcPr>
            <w:tcW w:w="1525" w:type="dxa"/>
            <w:noWrap/>
            <w:vAlign w:val="center"/>
          </w:tcPr>
          <w:p w14:paraId="574776B8" w14:textId="40E90737" w:rsidR="00265AC7" w:rsidRPr="00B83A18" w:rsidRDefault="00265AC7" w:rsidP="00696E8F">
            <w:pPr>
              <w:rPr>
                <w:rFonts w:cs="Arial"/>
                <w:color w:val="000000"/>
              </w:rPr>
            </w:pPr>
            <w:r w:rsidRPr="00C76857">
              <w:rPr>
                <w:rFonts w:cstheme="minorHAnsi"/>
                <w:color w:val="000000"/>
              </w:rPr>
              <w:t>021X0ZR</w:t>
            </w:r>
          </w:p>
        </w:tc>
        <w:tc>
          <w:tcPr>
            <w:tcW w:w="8128" w:type="dxa"/>
            <w:noWrap/>
            <w:vAlign w:val="center"/>
          </w:tcPr>
          <w:p w14:paraId="6BA259AB" w14:textId="46C6AB49" w:rsidR="00265AC7" w:rsidRPr="00B83A18" w:rsidRDefault="00265AC7" w:rsidP="00696E8F">
            <w:pPr>
              <w:rPr>
                <w:rFonts w:cs="Arial"/>
                <w:color w:val="000000"/>
              </w:rPr>
            </w:pPr>
            <w:r w:rsidRPr="00C76857">
              <w:rPr>
                <w:rFonts w:cstheme="minorHAnsi"/>
                <w:color w:val="000000"/>
              </w:rPr>
              <w:t>Bypass Thoracic Aorta, Ascending/Arch to Left Pulmonary Artery, Open Approach</w:t>
            </w:r>
          </w:p>
        </w:tc>
      </w:tr>
      <w:tr w:rsidR="00265AC7" w:rsidRPr="00B83A18" w14:paraId="3AFE63F0" w14:textId="77777777" w:rsidTr="002C718A">
        <w:trPr>
          <w:trHeight w:val="300"/>
        </w:trPr>
        <w:tc>
          <w:tcPr>
            <w:tcW w:w="1525" w:type="dxa"/>
            <w:noWrap/>
            <w:vAlign w:val="center"/>
            <w:hideMark/>
          </w:tcPr>
          <w:p w14:paraId="4DD497D0" w14:textId="77777777" w:rsidR="00265AC7" w:rsidRPr="00B83A18" w:rsidRDefault="00265AC7" w:rsidP="00696E8F">
            <w:pPr>
              <w:rPr>
                <w:rFonts w:cs="Arial"/>
                <w:color w:val="000000"/>
              </w:rPr>
            </w:pPr>
            <w:r w:rsidRPr="00B83A18">
              <w:rPr>
                <w:rFonts w:cs="Arial"/>
                <w:color w:val="000000"/>
              </w:rPr>
              <w:t>02BW0ZX</w:t>
            </w:r>
          </w:p>
        </w:tc>
        <w:tc>
          <w:tcPr>
            <w:tcW w:w="8128" w:type="dxa"/>
            <w:noWrap/>
            <w:vAlign w:val="center"/>
            <w:hideMark/>
          </w:tcPr>
          <w:p w14:paraId="6FD0DEC0" w14:textId="77777777" w:rsidR="00265AC7" w:rsidRPr="00B83A18" w:rsidRDefault="00265AC7" w:rsidP="00696E8F">
            <w:pPr>
              <w:rPr>
                <w:rFonts w:cs="Arial"/>
                <w:color w:val="000000"/>
              </w:rPr>
            </w:pPr>
            <w:r w:rsidRPr="00B83A18">
              <w:rPr>
                <w:rFonts w:cs="Arial"/>
                <w:color w:val="000000"/>
              </w:rPr>
              <w:t>Excision of Thoracic Aorta, Descending, Open Approach, Diagnostic</w:t>
            </w:r>
          </w:p>
        </w:tc>
      </w:tr>
      <w:tr w:rsidR="00265AC7" w:rsidRPr="00B83A18" w14:paraId="4AB271AB" w14:textId="77777777" w:rsidTr="002C718A">
        <w:trPr>
          <w:trHeight w:val="300"/>
        </w:trPr>
        <w:tc>
          <w:tcPr>
            <w:tcW w:w="1525" w:type="dxa"/>
            <w:noWrap/>
            <w:vAlign w:val="center"/>
            <w:hideMark/>
          </w:tcPr>
          <w:p w14:paraId="4C4CAF26" w14:textId="77777777" w:rsidR="00265AC7" w:rsidRPr="00B83A18" w:rsidRDefault="00265AC7" w:rsidP="00696E8F">
            <w:pPr>
              <w:rPr>
                <w:rFonts w:cs="Arial"/>
                <w:color w:val="000000"/>
              </w:rPr>
            </w:pPr>
            <w:r w:rsidRPr="00B83A18">
              <w:rPr>
                <w:rFonts w:cs="Arial"/>
                <w:color w:val="000000"/>
              </w:rPr>
              <w:t>02BW0ZZ</w:t>
            </w:r>
          </w:p>
        </w:tc>
        <w:tc>
          <w:tcPr>
            <w:tcW w:w="8128" w:type="dxa"/>
            <w:noWrap/>
            <w:vAlign w:val="center"/>
            <w:hideMark/>
          </w:tcPr>
          <w:p w14:paraId="34E83127" w14:textId="77777777" w:rsidR="00265AC7" w:rsidRPr="00B83A18" w:rsidRDefault="00265AC7" w:rsidP="00696E8F">
            <w:pPr>
              <w:rPr>
                <w:rFonts w:cs="Arial"/>
                <w:color w:val="000000"/>
              </w:rPr>
            </w:pPr>
            <w:r w:rsidRPr="00B83A18">
              <w:rPr>
                <w:rFonts w:cs="Arial"/>
                <w:color w:val="000000"/>
              </w:rPr>
              <w:t>Excision of Thoracic Aorta, Descending, Open Approach</w:t>
            </w:r>
          </w:p>
        </w:tc>
      </w:tr>
      <w:tr w:rsidR="007D419B" w:rsidRPr="00B83A18" w14:paraId="700950CE" w14:textId="77777777" w:rsidTr="002C718A">
        <w:trPr>
          <w:trHeight w:val="300"/>
        </w:trPr>
        <w:tc>
          <w:tcPr>
            <w:tcW w:w="1525" w:type="dxa"/>
            <w:noWrap/>
            <w:vAlign w:val="center"/>
          </w:tcPr>
          <w:p w14:paraId="1400F41D" w14:textId="3F5BCE03" w:rsidR="007D419B" w:rsidRPr="00B83A18" w:rsidRDefault="007D419B" w:rsidP="00696E8F">
            <w:pPr>
              <w:rPr>
                <w:rFonts w:cs="Arial"/>
                <w:color w:val="000000"/>
              </w:rPr>
            </w:pPr>
            <w:r w:rsidRPr="00C76857">
              <w:rPr>
                <w:rFonts w:cstheme="minorHAnsi"/>
                <w:color w:val="000000"/>
              </w:rPr>
              <w:lastRenderedPageBreak/>
              <w:t>02BX0ZX</w:t>
            </w:r>
          </w:p>
        </w:tc>
        <w:tc>
          <w:tcPr>
            <w:tcW w:w="8128" w:type="dxa"/>
            <w:noWrap/>
            <w:vAlign w:val="center"/>
          </w:tcPr>
          <w:p w14:paraId="03A1C4D8" w14:textId="3FFB2254" w:rsidR="007D419B" w:rsidRPr="00B83A18" w:rsidRDefault="007D419B" w:rsidP="00696E8F">
            <w:pPr>
              <w:rPr>
                <w:rFonts w:cs="Arial"/>
                <w:color w:val="000000"/>
              </w:rPr>
            </w:pPr>
            <w:r w:rsidRPr="00C76857">
              <w:rPr>
                <w:rFonts w:cstheme="minorHAnsi"/>
                <w:color w:val="000000"/>
              </w:rPr>
              <w:t>Excision of Thoracic Aorta, Ascending/Arch, Open Approach, Diagnostic</w:t>
            </w:r>
          </w:p>
        </w:tc>
      </w:tr>
      <w:tr w:rsidR="007D419B" w:rsidRPr="00B83A18" w14:paraId="66C9C079" w14:textId="77777777" w:rsidTr="002C718A">
        <w:trPr>
          <w:trHeight w:val="300"/>
        </w:trPr>
        <w:tc>
          <w:tcPr>
            <w:tcW w:w="1525" w:type="dxa"/>
            <w:noWrap/>
            <w:vAlign w:val="center"/>
          </w:tcPr>
          <w:p w14:paraId="5BF1A9C2" w14:textId="2060D72B" w:rsidR="007D419B" w:rsidRPr="00B83A18" w:rsidRDefault="007D419B" w:rsidP="00696E8F">
            <w:pPr>
              <w:rPr>
                <w:rFonts w:cs="Arial"/>
                <w:color w:val="000000"/>
              </w:rPr>
            </w:pPr>
            <w:r w:rsidRPr="00C76857">
              <w:rPr>
                <w:rFonts w:cstheme="minorHAnsi"/>
                <w:color w:val="000000"/>
              </w:rPr>
              <w:t>02BX0ZZ</w:t>
            </w:r>
          </w:p>
        </w:tc>
        <w:tc>
          <w:tcPr>
            <w:tcW w:w="8128" w:type="dxa"/>
            <w:noWrap/>
            <w:vAlign w:val="center"/>
          </w:tcPr>
          <w:p w14:paraId="610A64CC" w14:textId="3E2B609E" w:rsidR="007D419B" w:rsidRPr="00B83A18" w:rsidRDefault="007D419B" w:rsidP="00696E8F">
            <w:pPr>
              <w:rPr>
                <w:rFonts w:cs="Arial"/>
                <w:color w:val="000000"/>
              </w:rPr>
            </w:pPr>
            <w:r w:rsidRPr="00C76857">
              <w:rPr>
                <w:rFonts w:cstheme="minorHAnsi"/>
                <w:color w:val="000000"/>
              </w:rPr>
              <w:t>Excision of Thoracic Aorta, Ascending/Arch, Open Approach</w:t>
            </w:r>
          </w:p>
        </w:tc>
      </w:tr>
      <w:tr w:rsidR="007D419B" w:rsidRPr="00B83A18" w14:paraId="7E0F73F2" w14:textId="77777777" w:rsidTr="002C718A">
        <w:trPr>
          <w:trHeight w:val="300"/>
        </w:trPr>
        <w:tc>
          <w:tcPr>
            <w:tcW w:w="1525" w:type="dxa"/>
            <w:noWrap/>
            <w:vAlign w:val="center"/>
            <w:hideMark/>
          </w:tcPr>
          <w:p w14:paraId="62920DA6" w14:textId="77777777" w:rsidR="007D419B" w:rsidRPr="00B83A18" w:rsidRDefault="007D419B" w:rsidP="00696E8F">
            <w:pPr>
              <w:rPr>
                <w:rFonts w:cs="Arial"/>
                <w:color w:val="000000"/>
              </w:rPr>
            </w:pPr>
            <w:r w:rsidRPr="00B83A18">
              <w:rPr>
                <w:rFonts w:cs="Arial"/>
                <w:color w:val="000000"/>
              </w:rPr>
              <w:t>02QW0ZZ</w:t>
            </w:r>
          </w:p>
        </w:tc>
        <w:tc>
          <w:tcPr>
            <w:tcW w:w="8128" w:type="dxa"/>
            <w:noWrap/>
            <w:vAlign w:val="center"/>
            <w:hideMark/>
          </w:tcPr>
          <w:p w14:paraId="18227C83" w14:textId="77777777" w:rsidR="007D419B" w:rsidRPr="00B83A18" w:rsidRDefault="007D419B" w:rsidP="00696E8F">
            <w:pPr>
              <w:rPr>
                <w:rFonts w:cs="Arial"/>
                <w:color w:val="000000"/>
              </w:rPr>
            </w:pPr>
            <w:r w:rsidRPr="00B83A18">
              <w:rPr>
                <w:rFonts w:cs="Arial"/>
                <w:color w:val="000000"/>
              </w:rPr>
              <w:t>Repair Thoracic Aorta, Descending, Open Approach</w:t>
            </w:r>
          </w:p>
        </w:tc>
      </w:tr>
      <w:tr w:rsidR="007D419B" w:rsidRPr="00B83A18" w14:paraId="2DE2CD80" w14:textId="77777777" w:rsidTr="002C718A">
        <w:trPr>
          <w:trHeight w:val="300"/>
        </w:trPr>
        <w:tc>
          <w:tcPr>
            <w:tcW w:w="1525" w:type="dxa"/>
            <w:noWrap/>
            <w:vAlign w:val="center"/>
          </w:tcPr>
          <w:p w14:paraId="7881FD84" w14:textId="7B41218C" w:rsidR="007D419B" w:rsidRPr="00B83A18" w:rsidRDefault="007D419B" w:rsidP="00696E8F">
            <w:pPr>
              <w:rPr>
                <w:rFonts w:cs="Arial"/>
                <w:color w:val="000000"/>
              </w:rPr>
            </w:pPr>
            <w:r w:rsidRPr="00C76857">
              <w:rPr>
                <w:rFonts w:cstheme="minorHAnsi"/>
                <w:color w:val="000000"/>
              </w:rPr>
              <w:t>02QX0ZZ</w:t>
            </w:r>
          </w:p>
        </w:tc>
        <w:tc>
          <w:tcPr>
            <w:tcW w:w="8128" w:type="dxa"/>
            <w:noWrap/>
            <w:vAlign w:val="center"/>
          </w:tcPr>
          <w:p w14:paraId="2DE7BA4C" w14:textId="0CB0FFB5" w:rsidR="007D419B" w:rsidRPr="00B83A18" w:rsidRDefault="007D419B" w:rsidP="00696E8F">
            <w:pPr>
              <w:rPr>
                <w:rFonts w:cs="Arial"/>
                <w:color w:val="000000"/>
              </w:rPr>
            </w:pPr>
            <w:r w:rsidRPr="00C76857">
              <w:rPr>
                <w:rFonts w:cstheme="minorHAnsi"/>
                <w:color w:val="000000"/>
              </w:rPr>
              <w:t>Repair Thoracic Aorta, Ascending/Arch, Open Approach</w:t>
            </w:r>
          </w:p>
        </w:tc>
      </w:tr>
      <w:tr w:rsidR="007D419B" w:rsidRPr="00B83A18" w14:paraId="5C771BC5" w14:textId="77777777" w:rsidTr="002C718A">
        <w:trPr>
          <w:trHeight w:val="300"/>
        </w:trPr>
        <w:tc>
          <w:tcPr>
            <w:tcW w:w="1525" w:type="dxa"/>
            <w:noWrap/>
            <w:vAlign w:val="center"/>
            <w:hideMark/>
          </w:tcPr>
          <w:p w14:paraId="31DFFA42" w14:textId="77777777" w:rsidR="007D419B" w:rsidRPr="00B83A18" w:rsidRDefault="007D419B" w:rsidP="00696E8F">
            <w:pPr>
              <w:rPr>
                <w:rFonts w:cs="Arial"/>
                <w:color w:val="000000"/>
              </w:rPr>
            </w:pPr>
            <w:r w:rsidRPr="00B83A18">
              <w:rPr>
                <w:rFonts w:cs="Arial"/>
                <w:color w:val="000000"/>
              </w:rPr>
              <w:t>02RW07Z</w:t>
            </w:r>
          </w:p>
        </w:tc>
        <w:tc>
          <w:tcPr>
            <w:tcW w:w="8128" w:type="dxa"/>
            <w:noWrap/>
            <w:vAlign w:val="center"/>
            <w:hideMark/>
          </w:tcPr>
          <w:p w14:paraId="78908CD1" w14:textId="77777777" w:rsidR="007D419B" w:rsidRPr="00B83A18" w:rsidRDefault="007D419B" w:rsidP="00696E8F">
            <w:pPr>
              <w:rPr>
                <w:rFonts w:cs="Arial"/>
                <w:color w:val="000000"/>
              </w:rPr>
            </w:pPr>
            <w:r w:rsidRPr="00B83A18">
              <w:rPr>
                <w:rFonts w:cs="Arial"/>
                <w:color w:val="000000"/>
              </w:rPr>
              <w:t>Replacement of Thoracic Aorta, Descending with Autologous Tissue Substitute, Open Approach</w:t>
            </w:r>
          </w:p>
        </w:tc>
      </w:tr>
      <w:tr w:rsidR="007D419B" w:rsidRPr="00B83A18" w14:paraId="0641FC5A" w14:textId="77777777" w:rsidTr="002C718A">
        <w:trPr>
          <w:trHeight w:val="300"/>
        </w:trPr>
        <w:tc>
          <w:tcPr>
            <w:tcW w:w="1525" w:type="dxa"/>
            <w:noWrap/>
            <w:vAlign w:val="center"/>
            <w:hideMark/>
          </w:tcPr>
          <w:p w14:paraId="6071397E" w14:textId="77777777" w:rsidR="007D419B" w:rsidRPr="00B83A18" w:rsidRDefault="007D419B" w:rsidP="00696E8F">
            <w:pPr>
              <w:rPr>
                <w:rFonts w:cs="Arial"/>
                <w:color w:val="000000"/>
              </w:rPr>
            </w:pPr>
            <w:r w:rsidRPr="00B83A18">
              <w:rPr>
                <w:rFonts w:cs="Arial"/>
                <w:color w:val="000000"/>
              </w:rPr>
              <w:t>02RW08Z</w:t>
            </w:r>
          </w:p>
        </w:tc>
        <w:tc>
          <w:tcPr>
            <w:tcW w:w="8128" w:type="dxa"/>
            <w:noWrap/>
            <w:vAlign w:val="center"/>
            <w:hideMark/>
          </w:tcPr>
          <w:p w14:paraId="72B78A4F" w14:textId="77777777" w:rsidR="007D419B" w:rsidRPr="00B83A18" w:rsidRDefault="007D419B" w:rsidP="00696E8F">
            <w:pPr>
              <w:rPr>
                <w:rFonts w:cs="Arial"/>
                <w:color w:val="000000"/>
              </w:rPr>
            </w:pPr>
            <w:r w:rsidRPr="00B83A18">
              <w:rPr>
                <w:rFonts w:cs="Arial"/>
                <w:color w:val="000000"/>
              </w:rPr>
              <w:t xml:space="preserve">Replacement of Thoracic Aorta, Descending with </w:t>
            </w:r>
            <w:proofErr w:type="spellStart"/>
            <w:r w:rsidRPr="00B83A18">
              <w:rPr>
                <w:rFonts w:cs="Arial"/>
                <w:color w:val="000000"/>
              </w:rPr>
              <w:t>Zooplastic</w:t>
            </w:r>
            <w:proofErr w:type="spellEnd"/>
            <w:r w:rsidRPr="00B83A18">
              <w:rPr>
                <w:rFonts w:cs="Arial"/>
                <w:color w:val="000000"/>
              </w:rPr>
              <w:t xml:space="preserve"> Tissue, Open Approach</w:t>
            </w:r>
          </w:p>
        </w:tc>
      </w:tr>
      <w:tr w:rsidR="007D419B" w:rsidRPr="00B83A18" w14:paraId="004D6356" w14:textId="77777777" w:rsidTr="002C718A">
        <w:trPr>
          <w:trHeight w:val="300"/>
        </w:trPr>
        <w:tc>
          <w:tcPr>
            <w:tcW w:w="1525" w:type="dxa"/>
            <w:noWrap/>
            <w:vAlign w:val="center"/>
            <w:hideMark/>
          </w:tcPr>
          <w:p w14:paraId="2C7AC1B8" w14:textId="77777777" w:rsidR="007D419B" w:rsidRPr="00B83A18" w:rsidRDefault="007D419B" w:rsidP="00696E8F">
            <w:pPr>
              <w:rPr>
                <w:rFonts w:cs="Arial"/>
                <w:color w:val="000000"/>
              </w:rPr>
            </w:pPr>
            <w:r w:rsidRPr="00B83A18">
              <w:rPr>
                <w:rFonts w:cs="Arial"/>
                <w:color w:val="000000"/>
              </w:rPr>
              <w:t>02RW0JZ</w:t>
            </w:r>
          </w:p>
        </w:tc>
        <w:tc>
          <w:tcPr>
            <w:tcW w:w="8128" w:type="dxa"/>
            <w:noWrap/>
            <w:vAlign w:val="center"/>
            <w:hideMark/>
          </w:tcPr>
          <w:p w14:paraId="7C666C15" w14:textId="77777777" w:rsidR="007D419B" w:rsidRPr="00B83A18" w:rsidRDefault="007D419B" w:rsidP="00696E8F">
            <w:pPr>
              <w:rPr>
                <w:rFonts w:cs="Arial"/>
                <w:color w:val="000000"/>
              </w:rPr>
            </w:pPr>
            <w:r w:rsidRPr="00B83A18">
              <w:rPr>
                <w:rFonts w:cs="Arial"/>
                <w:color w:val="000000"/>
              </w:rPr>
              <w:t>Replacement of Thoracic Aorta, Descending with Synthetic Substitute, Open Approach</w:t>
            </w:r>
          </w:p>
        </w:tc>
      </w:tr>
      <w:tr w:rsidR="007D419B" w:rsidRPr="00B83A18" w14:paraId="1AEA4918" w14:textId="77777777" w:rsidTr="002C718A">
        <w:trPr>
          <w:trHeight w:val="300"/>
        </w:trPr>
        <w:tc>
          <w:tcPr>
            <w:tcW w:w="1525" w:type="dxa"/>
            <w:noWrap/>
            <w:vAlign w:val="center"/>
            <w:hideMark/>
          </w:tcPr>
          <w:p w14:paraId="33E8778A" w14:textId="77777777" w:rsidR="007D419B" w:rsidRPr="00B83A18" w:rsidRDefault="007D419B" w:rsidP="00696E8F">
            <w:pPr>
              <w:rPr>
                <w:rFonts w:cs="Arial"/>
                <w:color w:val="000000"/>
              </w:rPr>
            </w:pPr>
            <w:r w:rsidRPr="00B83A18">
              <w:rPr>
                <w:rFonts w:cs="Arial"/>
                <w:color w:val="000000"/>
              </w:rPr>
              <w:t>02RW0KZ</w:t>
            </w:r>
          </w:p>
        </w:tc>
        <w:tc>
          <w:tcPr>
            <w:tcW w:w="8128" w:type="dxa"/>
            <w:noWrap/>
            <w:vAlign w:val="center"/>
            <w:hideMark/>
          </w:tcPr>
          <w:p w14:paraId="783EC3CB" w14:textId="77777777" w:rsidR="007D419B" w:rsidRPr="00B83A18" w:rsidRDefault="007D419B" w:rsidP="00696E8F">
            <w:pPr>
              <w:rPr>
                <w:rFonts w:cs="Arial"/>
                <w:color w:val="000000"/>
              </w:rPr>
            </w:pPr>
            <w:r w:rsidRPr="00B83A18">
              <w:rPr>
                <w:rFonts w:cs="Arial"/>
                <w:color w:val="000000"/>
              </w:rPr>
              <w:t xml:space="preserve">Replacement of Thoracic Aorta, Descending with </w:t>
            </w:r>
            <w:proofErr w:type="spellStart"/>
            <w:r w:rsidRPr="00B83A18">
              <w:rPr>
                <w:rFonts w:cs="Arial"/>
                <w:color w:val="000000"/>
              </w:rPr>
              <w:t>Nonautologous</w:t>
            </w:r>
            <w:proofErr w:type="spellEnd"/>
            <w:r w:rsidRPr="00B83A18">
              <w:rPr>
                <w:rFonts w:cs="Arial"/>
                <w:color w:val="000000"/>
              </w:rPr>
              <w:t xml:space="preserve"> Tissue Substitute, Open Approach</w:t>
            </w:r>
          </w:p>
        </w:tc>
      </w:tr>
      <w:tr w:rsidR="007D419B" w:rsidRPr="00B83A18" w14:paraId="03E32300" w14:textId="77777777" w:rsidTr="002C718A">
        <w:trPr>
          <w:trHeight w:val="300"/>
        </w:trPr>
        <w:tc>
          <w:tcPr>
            <w:tcW w:w="1525" w:type="dxa"/>
            <w:noWrap/>
            <w:vAlign w:val="center"/>
          </w:tcPr>
          <w:p w14:paraId="7A8D2C80" w14:textId="636A339A" w:rsidR="007D419B" w:rsidRPr="00B83A18" w:rsidRDefault="007D419B" w:rsidP="00696E8F">
            <w:pPr>
              <w:rPr>
                <w:rFonts w:cs="Arial"/>
                <w:color w:val="000000"/>
              </w:rPr>
            </w:pPr>
            <w:r w:rsidRPr="00C76857">
              <w:rPr>
                <w:rFonts w:cstheme="minorHAnsi"/>
                <w:color w:val="000000"/>
              </w:rPr>
              <w:t>02RX07Z</w:t>
            </w:r>
          </w:p>
        </w:tc>
        <w:tc>
          <w:tcPr>
            <w:tcW w:w="8128" w:type="dxa"/>
            <w:noWrap/>
            <w:vAlign w:val="center"/>
          </w:tcPr>
          <w:p w14:paraId="14F130A0" w14:textId="7C4A996C" w:rsidR="007D419B" w:rsidRPr="00B83A18" w:rsidRDefault="007D419B" w:rsidP="00696E8F">
            <w:pPr>
              <w:rPr>
                <w:rFonts w:cs="Arial"/>
                <w:color w:val="000000"/>
              </w:rPr>
            </w:pPr>
            <w:r w:rsidRPr="00C76857">
              <w:rPr>
                <w:rFonts w:cstheme="minorHAnsi"/>
                <w:color w:val="000000"/>
              </w:rPr>
              <w:t>Replacement of Thoracic Aorta, Ascending/Arch with Autologous Tissue Substitute, Open Approach</w:t>
            </w:r>
          </w:p>
        </w:tc>
      </w:tr>
      <w:tr w:rsidR="007D419B" w:rsidRPr="00B83A18" w14:paraId="7F955562" w14:textId="77777777" w:rsidTr="002C718A">
        <w:trPr>
          <w:trHeight w:val="300"/>
        </w:trPr>
        <w:tc>
          <w:tcPr>
            <w:tcW w:w="1525" w:type="dxa"/>
            <w:noWrap/>
            <w:vAlign w:val="center"/>
          </w:tcPr>
          <w:p w14:paraId="71DC6256" w14:textId="54ECB573" w:rsidR="007D419B" w:rsidRPr="00B83A18" w:rsidRDefault="007D419B" w:rsidP="00696E8F">
            <w:pPr>
              <w:rPr>
                <w:rFonts w:cs="Arial"/>
                <w:color w:val="000000"/>
              </w:rPr>
            </w:pPr>
            <w:r w:rsidRPr="00C76857">
              <w:rPr>
                <w:rFonts w:cstheme="minorHAnsi"/>
                <w:color w:val="000000"/>
              </w:rPr>
              <w:t>02RX08Z</w:t>
            </w:r>
          </w:p>
        </w:tc>
        <w:tc>
          <w:tcPr>
            <w:tcW w:w="8128" w:type="dxa"/>
            <w:noWrap/>
            <w:vAlign w:val="center"/>
          </w:tcPr>
          <w:p w14:paraId="2EB562A0" w14:textId="17F9E84D" w:rsidR="007D419B" w:rsidRPr="00B83A18" w:rsidRDefault="007D419B" w:rsidP="00696E8F">
            <w:pPr>
              <w:rPr>
                <w:rFonts w:cs="Arial"/>
                <w:color w:val="000000"/>
              </w:rPr>
            </w:pPr>
            <w:r w:rsidRPr="00C76857">
              <w:rPr>
                <w:rFonts w:cstheme="minorHAnsi"/>
                <w:color w:val="000000"/>
              </w:rPr>
              <w:t xml:space="preserve">Replacement of Thoracic Aorta, Ascending/Arch with </w:t>
            </w:r>
            <w:proofErr w:type="spellStart"/>
            <w:r w:rsidRPr="00C76857">
              <w:rPr>
                <w:rFonts w:cstheme="minorHAnsi"/>
                <w:color w:val="000000"/>
              </w:rPr>
              <w:t>Zooplastic</w:t>
            </w:r>
            <w:proofErr w:type="spellEnd"/>
            <w:r w:rsidRPr="00C76857">
              <w:rPr>
                <w:rFonts w:cstheme="minorHAnsi"/>
                <w:color w:val="000000"/>
              </w:rPr>
              <w:t xml:space="preserve"> Tissue, Open Approach</w:t>
            </w:r>
          </w:p>
        </w:tc>
      </w:tr>
      <w:tr w:rsidR="007D419B" w:rsidRPr="00B83A18" w14:paraId="538CB72E" w14:textId="77777777" w:rsidTr="002C718A">
        <w:trPr>
          <w:trHeight w:val="300"/>
        </w:trPr>
        <w:tc>
          <w:tcPr>
            <w:tcW w:w="1525" w:type="dxa"/>
            <w:noWrap/>
            <w:vAlign w:val="center"/>
          </w:tcPr>
          <w:p w14:paraId="57B9FE39" w14:textId="69519E8C" w:rsidR="007D419B" w:rsidRPr="00B83A18" w:rsidRDefault="007D419B" w:rsidP="00696E8F">
            <w:pPr>
              <w:rPr>
                <w:rFonts w:cs="Arial"/>
                <w:color w:val="000000"/>
              </w:rPr>
            </w:pPr>
            <w:r w:rsidRPr="00C76857">
              <w:rPr>
                <w:rFonts w:cstheme="minorHAnsi"/>
                <w:color w:val="000000"/>
              </w:rPr>
              <w:t>02RX0JZ</w:t>
            </w:r>
          </w:p>
        </w:tc>
        <w:tc>
          <w:tcPr>
            <w:tcW w:w="8128" w:type="dxa"/>
            <w:noWrap/>
            <w:vAlign w:val="center"/>
          </w:tcPr>
          <w:p w14:paraId="155AB2DE" w14:textId="7B3C531F" w:rsidR="007D419B" w:rsidRPr="00B83A18" w:rsidRDefault="007D419B" w:rsidP="00696E8F">
            <w:pPr>
              <w:rPr>
                <w:rFonts w:cs="Arial"/>
                <w:color w:val="000000"/>
              </w:rPr>
            </w:pPr>
            <w:r w:rsidRPr="00C76857">
              <w:rPr>
                <w:rFonts w:cstheme="minorHAnsi"/>
                <w:color w:val="000000"/>
              </w:rPr>
              <w:t>Replacement of Thoracic Aorta, Ascending/Arch with Synthetic Substitute, Open Approach</w:t>
            </w:r>
          </w:p>
        </w:tc>
      </w:tr>
      <w:tr w:rsidR="007D419B" w:rsidRPr="00B83A18" w14:paraId="24D820CF" w14:textId="77777777" w:rsidTr="002C718A">
        <w:trPr>
          <w:trHeight w:val="300"/>
        </w:trPr>
        <w:tc>
          <w:tcPr>
            <w:tcW w:w="1525" w:type="dxa"/>
            <w:noWrap/>
            <w:vAlign w:val="center"/>
          </w:tcPr>
          <w:p w14:paraId="7C91D860" w14:textId="544DCC8A" w:rsidR="007D419B" w:rsidRPr="00B83A18" w:rsidRDefault="007D419B" w:rsidP="00696E8F">
            <w:pPr>
              <w:rPr>
                <w:rFonts w:cs="Arial"/>
                <w:color w:val="000000"/>
              </w:rPr>
            </w:pPr>
            <w:r w:rsidRPr="00C76857">
              <w:rPr>
                <w:rFonts w:cstheme="minorHAnsi"/>
                <w:color w:val="000000"/>
              </w:rPr>
              <w:t>02RX0KZ</w:t>
            </w:r>
          </w:p>
        </w:tc>
        <w:tc>
          <w:tcPr>
            <w:tcW w:w="8128" w:type="dxa"/>
            <w:noWrap/>
            <w:vAlign w:val="center"/>
          </w:tcPr>
          <w:p w14:paraId="0226C820" w14:textId="47ACA2C6" w:rsidR="007D419B" w:rsidRPr="00B83A18" w:rsidRDefault="007D419B" w:rsidP="00696E8F">
            <w:pPr>
              <w:rPr>
                <w:rFonts w:cs="Arial"/>
                <w:color w:val="000000"/>
              </w:rPr>
            </w:pPr>
            <w:r w:rsidRPr="00C76857">
              <w:rPr>
                <w:rFonts w:cstheme="minorHAnsi"/>
                <w:color w:val="000000"/>
              </w:rPr>
              <w:t xml:space="preserve">Replacement of Thoracic Aorta, Ascending/Arch with </w:t>
            </w:r>
            <w:proofErr w:type="spellStart"/>
            <w:r w:rsidRPr="00C76857">
              <w:rPr>
                <w:rFonts w:cstheme="minorHAnsi"/>
                <w:color w:val="000000"/>
              </w:rPr>
              <w:t>Nonautologous</w:t>
            </w:r>
            <w:proofErr w:type="spellEnd"/>
            <w:r w:rsidRPr="00C76857">
              <w:rPr>
                <w:rFonts w:cstheme="minorHAnsi"/>
                <w:color w:val="000000"/>
              </w:rPr>
              <w:t xml:space="preserve"> Tissue Substitute, Open Approach</w:t>
            </w:r>
          </w:p>
        </w:tc>
      </w:tr>
      <w:tr w:rsidR="007D419B" w:rsidRPr="00B83A18" w14:paraId="700F7CDC" w14:textId="77777777" w:rsidTr="002C718A">
        <w:trPr>
          <w:trHeight w:val="300"/>
        </w:trPr>
        <w:tc>
          <w:tcPr>
            <w:tcW w:w="1525" w:type="dxa"/>
            <w:noWrap/>
            <w:vAlign w:val="center"/>
            <w:hideMark/>
          </w:tcPr>
          <w:p w14:paraId="2902EB6C" w14:textId="77777777" w:rsidR="007D419B" w:rsidRPr="00B83A18" w:rsidRDefault="007D419B" w:rsidP="00696E8F">
            <w:pPr>
              <w:rPr>
                <w:rFonts w:cs="Arial"/>
                <w:color w:val="000000"/>
              </w:rPr>
            </w:pPr>
            <w:r w:rsidRPr="00B83A18">
              <w:rPr>
                <w:rFonts w:cs="Arial"/>
                <w:color w:val="000000"/>
              </w:rPr>
              <w:t>02SW0ZZ</w:t>
            </w:r>
          </w:p>
        </w:tc>
        <w:tc>
          <w:tcPr>
            <w:tcW w:w="8128" w:type="dxa"/>
            <w:noWrap/>
            <w:vAlign w:val="center"/>
            <w:hideMark/>
          </w:tcPr>
          <w:p w14:paraId="700E4F92" w14:textId="77777777" w:rsidR="007D419B" w:rsidRPr="00B83A18" w:rsidRDefault="007D419B" w:rsidP="00696E8F">
            <w:pPr>
              <w:rPr>
                <w:rFonts w:cs="Arial"/>
                <w:color w:val="000000"/>
              </w:rPr>
            </w:pPr>
            <w:r w:rsidRPr="00B83A18">
              <w:rPr>
                <w:rFonts w:cs="Arial"/>
                <w:color w:val="000000"/>
              </w:rPr>
              <w:t>Reposition Thoracic Aorta, Descending, Open Approach</w:t>
            </w:r>
          </w:p>
        </w:tc>
      </w:tr>
      <w:tr w:rsidR="007D419B" w:rsidRPr="00B83A18" w14:paraId="240DB842" w14:textId="77777777" w:rsidTr="002C718A">
        <w:trPr>
          <w:trHeight w:val="300"/>
        </w:trPr>
        <w:tc>
          <w:tcPr>
            <w:tcW w:w="1525" w:type="dxa"/>
            <w:noWrap/>
            <w:vAlign w:val="center"/>
          </w:tcPr>
          <w:p w14:paraId="0C4D1C68" w14:textId="5B3CDAA3" w:rsidR="007D419B" w:rsidRPr="00B83A18" w:rsidRDefault="007D419B" w:rsidP="00696E8F">
            <w:pPr>
              <w:rPr>
                <w:rFonts w:cs="Arial"/>
                <w:color w:val="000000"/>
              </w:rPr>
            </w:pPr>
            <w:r w:rsidRPr="00C76857">
              <w:rPr>
                <w:rFonts w:cstheme="minorHAnsi"/>
                <w:color w:val="000000"/>
              </w:rPr>
              <w:t>02SX0ZZ</w:t>
            </w:r>
          </w:p>
        </w:tc>
        <w:tc>
          <w:tcPr>
            <w:tcW w:w="8128" w:type="dxa"/>
            <w:noWrap/>
            <w:vAlign w:val="center"/>
          </w:tcPr>
          <w:p w14:paraId="054786DE" w14:textId="489C8F62" w:rsidR="007D419B" w:rsidRPr="00B83A18" w:rsidRDefault="007D419B" w:rsidP="00696E8F">
            <w:pPr>
              <w:rPr>
                <w:rFonts w:cs="Arial"/>
                <w:color w:val="000000"/>
              </w:rPr>
            </w:pPr>
            <w:r w:rsidRPr="00C76857">
              <w:rPr>
                <w:rFonts w:cstheme="minorHAnsi"/>
                <w:color w:val="000000"/>
              </w:rPr>
              <w:t>Reposition Thoracic Aorta, Ascending/Arch, Open Approach</w:t>
            </w:r>
          </w:p>
        </w:tc>
      </w:tr>
      <w:tr w:rsidR="007D419B" w:rsidRPr="00B83A18" w14:paraId="32AD1B4F" w14:textId="77777777" w:rsidTr="002C718A">
        <w:trPr>
          <w:trHeight w:val="300"/>
        </w:trPr>
        <w:tc>
          <w:tcPr>
            <w:tcW w:w="1525" w:type="dxa"/>
            <w:noWrap/>
            <w:vAlign w:val="center"/>
            <w:hideMark/>
          </w:tcPr>
          <w:p w14:paraId="1D36089F" w14:textId="77777777" w:rsidR="007D419B" w:rsidRPr="00B83A18" w:rsidRDefault="007D419B" w:rsidP="00696E8F">
            <w:pPr>
              <w:rPr>
                <w:rFonts w:cs="Arial"/>
                <w:color w:val="000000"/>
              </w:rPr>
            </w:pPr>
            <w:r w:rsidRPr="00B83A18">
              <w:rPr>
                <w:rFonts w:cs="Arial"/>
                <w:color w:val="000000"/>
              </w:rPr>
              <w:t>02UW07Z</w:t>
            </w:r>
          </w:p>
        </w:tc>
        <w:tc>
          <w:tcPr>
            <w:tcW w:w="8128" w:type="dxa"/>
            <w:noWrap/>
            <w:vAlign w:val="center"/>
            <w:hideMark/>
          </w:tcPr>
          <w:p w14:paraId="3CF5899D" w14:textId="77777777" w:rsidR="007D419B" w:rsidRPr="00B83A18" w:rsidRDefault="007D419B" w:rsidP="00696E8F">
            <w:pPr>
              <w:rPr>
                <w:rFonts w:cs="Arial"/>
                <w:color w:val="000000"/>
              </w:rPr>
            </w:pPr>
            <w:r w:rsidRPr="00B83A18">
              <w:rPr>
                <w:rFonts w:cs="Arial"/>
                <w:color w:val="000000"/>
              </w:rPr>
              <w:t>Supplement Thoracic Aorta, Descending with Autologous Tissue Substitute, Open Approach</w:t>
            </w:r>
          </w:p>
        </w:tc>
      </w:tr>
      <w:tr w:rsidR="007D419B" w:rsidRPr="00B83A18" w14:paraId="7FBDCC62" w14:textId="77777777" w:rsidTr="002C718A">
        <w:trPr>
          <w:trHeight w:val="300"/>
        </w:trPr>
        <w:tc>
          <w:tcPr>
            <w:tcW w:w="1525" w:type="dxa"/>
            <w:noWrap/>
            <w:vAlign w:val="center"/>
            <w:hideMark/>
          </w:tcPr>
          <w:p w14:paraId="35FD8648" w14:textId="77777777" w:rsidR="007D419B" w:rsidRPr="00B83A18" w:rsidRDefault="007D419B" w:rsidP="00696E8F">
            <w:pPr>
              <w:rPr>
                <w:rFonts w:cs="Arial"/>
                <w:color w:val="000000"/>
              </w:rPr>
            </w:pPr>
            <w:r w:rsidRPr="00B83A18">
              <w:rPr>
                <w:rFonts w:cs="Arial"/>
                <w:color w:val="000000"/>
              </w:rPr>
              <w:t>02UW08Z</w:t>
            </w:r>
          </w:p>
        </w:tc>
        <w:tc>
          <w:tcPr>
            <w:tcW w:w="8128" w:type="dxa"/>
            <w:noWrap/>
            <w:vAlign w:val="center"/>
            <w:hideMark/>
          </w:tcPr>
          <w:p w14:paraId="5A15572A" w14:textId="77777777" w:rsidR="007D419B" w:rsidRPr="00B83A18" w:rsidRDefault="007D419B" w:rsidP="00696E8F">
            <w:pPr>
              <w:rPr>
                <w:rFonts w:cs="Arial"/>
                <w:color w:val="000000"/>
              </w:rPr>
            </w:pPr>
            <w:r w:rsidRPr="00B83A18">
              <w:rPr>
                <w:rFonts w:cs="Arial"/>
                <w:color w:val="000000"/>
              </w:rPr>
              <w:t xml:space="preserve">Supplement Thoracic Aorta, Descending with </w:t>
            </w:r>
            <w:proofErr w:type="spellStart"/>
            <w:r w:rsidRPr="00B83A18">
              <w:rPr>
                <w:rFonts w:cs="Arial"/>
                <w:color w:val="000000"/>
              </w:rPr>
              <w:t>Zooplastic</w:t>
            </w:r>
            <w:proofErr w:type="spellEnd"/>
            <w:r w:rsidRPr="00B83A18">
              <w:rPr>
                <w:rFonts w:cs="Arial"/>
                <w:color w:val="000000"/>
              </w:rPr>
              <w:t xml:space="preserve"> Tissue, Open Approach</w:t>
            </w:r>
          </w:p>
        </w:tc>
      </w:tr>
      <w:tr w:rsidR="007D419B" w:rsidRPr="00B83A18" w14:paraId="3079A516" w14:textId="77777777" w:rsidTr="002C718A">
        <w:trPr>
          <w:trHeight w:val="300"/>
        </w:trPr>
        <w:tc>
          <w:tcPr>
            <w:tcW w:w="1525" w:type="dxa"/>
            <w:noWrap/>
            <w:vAlign w:val="center"/>
            <w:hideMark/>
          </w:tcPr>
          <w:p w14:paraId="2F56BB8C" w14:textId="77777777" w:rsidR="007D419B" w:rsidRPr="00B83A18" w:rsidRDefault="007D419B" w:rsidP="00696E8F">
            <w:pPr>
              <w:rPr>
                <w:rFonts w:cs="Arial"/>
                <w:color w:val="000000"/>
              </w:rPr>
            </w:pPr>
            <w:r w:rsidRPr="00B83A18">
              <w:rPr>
                <w:rFonts w:cs="Arial"/>
                <w:color w:val="000000"/>
              </w:rPr>
              <w:t>02UW0JZ</w:t>
            </w:r>
          </w:p>
        </w:tc>
        <w:tc>
          <w:tcPr>
            <w:tcW w:w="8128" w:type="dxa"/>
            <w:noWrap/>
            <w:vAlign w:val="center"/>
            <w:hideMark/>
          </w:tcPr>
          <w:p w14:paraId="2D65ABB9" w14:textId="77777777" w:rsidR="007D419B" w:rsidRPr="00B83A18" w:rsidRDefault="007D419B" w:rsidP="00696E8F">
            <w:pPr>
              <w:rPr>
                <w:rFonts w:cs="Arial"/>
                <w:color w:val="000000"/>
              </w:rPr>
            </w:pPr>
            <w:r w:rsidRPr="00B83A18">
              <w:rPr>
                <w:rFonts w:cs="Arial"/>
                <w:color w:val="000000"/>
              </w:rPr>
              <w:t>Supplement Thoracic Aorta, Descending with Synthetic Substitute, Open Approach</w:t>
            </w:r>
          </w:p>
        </w:tc>
      </w:tr>
      <w:tr w:rsidR="007D419B" w:rsidRPr="00B83A18" w14:paraId="70F8E2C1" w14:textId="77777777" w:rsidTr="002C718A">
        <w:trPr>
          <w:trHeight w:val="300"/>
        </w:trPr>
        <w:tc>
          <w:tcPr>
            <w:tcW w:w="1525" w:type="dxa"/>
            <w:noWrap/>
            <w:vAlign w:val="center"/>
            <w:hideMark/>
          </w:tcPr>
          <w:p w14:paraId="45BEFE68" w14:textId="77777777" w:rsidR="007D419B" w:rsidRPr="00B83A18" w:rsidRDefault="007D419B" w:rsidP="00696E8F">
            <w:pPr>
              <w:rPr>
                <w:rFonts w:cs="Arial"/>
                <w:color w:val="000000"/>
              </w:rPr>
            </w:pPr>
            <w:r w:rsidRPr="00B83A18">
              <w:rPr>
                <w:rFonts w:cs="Arial"/>
                <w:color w:val="000000"/>
              </w:rPr>
              <w:t>02UW0KZ</w:t>
            </w:r>
          </w:p>
        </w:tc>
        <w:tc>
          <w:tcPr>
            <w:tcW w:w="8128" w:type="dxa"/>
            <w:noWrap/>
            <w:vAlign w:val="center"/>
            <w:hideMark/>
          </w:tcPr>
          <w:p w14:paraId="4B32A536" w14:textId="77777777" w:rsidR="007D419B" w:rsidRPr="00B83A18" w:rsidRDefault="007D419B" w:rsidP="00696E8F">
            <w:pPr>
              <w:rPr>
                <w:rFonts w:cs="Arial"/>
                <w:color w:val="000000"/>
              </w:rPr>
            </w:pPr>
            <w:r w:rsidRPr="00B83A18">
              <w:rPr>
                <w:rFonts w:cs="Arial"/>
                <w:color w:val="000000"/>
              </w:rPr>
              <w:t xml:space="preserve">Supplement Thoracic Aorta, Descending with </w:t>
            </w:r>
            <w:proofErr w:type="spellStart"/>
            <w:r w:rsidRPr="00B83A18">
              <w:rPr>
                <w:rFonts w:cs="Arial"/>
                <w:color w:val="000000"/>
              </w:rPr>
              <w:t>Nonautologous</w:t>
            </w:r>
            <w:proofErr w:type="spellEnd"/>
            <w:r w:rsidRPr="00B83A18">
              <w:rPr>
                <w:rFonts w:cs="Arial"/>
                <w:color w:val="000000"/>
              </w:rPr>
              <w:t xml:space="preserve"> Tissue Substitute, Open Approach</w:t>
            </w:r>
          </w:p>
        </w:tc>
      </w:tr>
      <w:tr w:rsidR="007D419B" w:rsidRPr="00B83A18" w14:paraId="23451177" w14:textId="77777777" w:rsidTr="002C718A">
        <w:trPr>
          <w:trHeight w:val="300"/>
        </w:trPr>
        <w:tc>
          <w:tcPr>
            <w:tcW w:w="1525" w:type="dxa"/>
            <w:noWrap/>
            <w:vAlign w:val="center"/>
          </w:tcPr>
          <w:p w14:paraId="6FDECBB2" w14:textId="29EF33EC" w:rsidR="007D419B" w:rsidRPr="00B83A18" w:rsidRDefault="007D419B" w:rsidP="00696E8F">
            <w:pPr>
              <w:rPr>
                <w:rFonts w:cs="Arial"/>
                <w:color w:val="000000"/>
              </w:rPr>
            </w:pPr>
            <w:r w:rsidRPr="00C76857">
              <w:rPr>
                <w:rFonts w:cstheme="minorHAnsi"/>
                <w:color w:val="000000"/>
              </w:rPr>
              <w:t>02UX08Z</w:t>
            </w:r>
          </w:p>
        </w:tc>
        <w:tc>
          <w:tcPr>
            <w:tcW w:w="8128" w:type="dxa"/>
            <w:noWrap/>
            <w:vAlign w:val="center"/>
          </w:tcPr>
          <w:p w14:paraId="51396E30" w14:textId="58A7B6A1" w:rsidR="007D419B" w:rsidRPr="00B83A18" w:rsidRDefault="007D419B" w:rsidP="00696E8F">
            <w:pPr>
              <w:rPr>
                <w:rFonts w:cs="Arial"/>
                <w:color w:val="000000"/>
              </w:rPr>
            </w:pPr>
            <w:r w:rsidRPr="00C76857">
              <w:rPr>
                <w:rFonts w:cstheme="minorHAnsi"/>
                <w:color w:val="000000"/>
              </w:rPr>
              <w:t xml:space="preserve">Supplement Thoracic Aorta, Ascending/Arch with </w:t>
            </w:r>
            <w:proofErr w:type="spellStart"/>
            <w:r w:rsidRPr="00C76857">
              <w:rPr>
                <w:rFonts w:cstheme="minorHAnsi"/>
                <w:color w:val="000000"/>
              </w:rPr>
              <w:t>Zooplastic</w:t>
            </w:r>
            <w:proofErr w:type="spellEnd"/>
            <w:r w:rsidRPr="00C76857">
              <w:rPr>
                <w:rFonts w:cstheme="minorHAnsi"/>
                <w:color w:val="000000"/>
              </w:rPr>
              <w:t xml:space="preserve"> Tissue, Open Approach</w:t>
            </w:r>
          </w:p>
        </w:tc>
      </w:tr>
      <w:tr w:rsidR="007D419B" w:rsidRPr="00B83A18" w14:paraId="487DE507" w14:textId="77777777" w:rsidTr="002C718A">
        <w:trPr>
          <w:trHeight w:val="300"/>
        </w:trPr>
        <w:tc>
          <w:tcPr>
            <w:tcW w:w="1525" w:type="dxa"/>
            <w:noWrap/>
            <w:vAlign w:val="center"/>
            <w:hideMark/>
          </w:tcPr>
          <w:p w14:paraId="76D27479" w14:textId="77777777" w:rsidR="007D419B" w:rsidRPr="00B83A18" w:rsidRDefault="007D419B" w:rsidP="00696E8F">
            <w:pPr>
              <w:rPr>
                <w:rFonts w:cs="Arial"/>
                <w:color w:val="000000"/>
              </w:rPr>
            </w:pPr>
            <w:r w:rsidRPr="00B83A18">
              <w:rPr>
                <w:rFonts w:cs="Arial"/>
                <w:color w:val="000000"/>
              </w:rPr>
              <w:t>041009B</w:t>
            </w:r>
          </w:p>
        </w:tc>
        <w:tc>
          <w:tcPr>
            <w:tcW w:w="8128" w:type="dxa"/>
            <w:noWrap/>
            <w:vAlign w:val="center"/>
            <w:hideMark/>
          </w:tcPr>
          <w:p w14:paraId="02CB335B" w14:textId="77777777" w:rsidR="007D419B" w:rsidRPr="00B83A18" w:rsidRDefault="007D419B" w:rsidP="00696E8F">
            <w:pPr>
              <w:rPr>
                <w:rFonts w:cs="Arial"/>
                <w:color w:val="000000"/>
              </w:rPr>
            </w:pPr>
            <w:r w:rsidRPr="00B83A18">
              <w:rPr>
                <w:rFonts w:cs="Arial"/>
                <w:color w:val="000000"/>
              </w:rPr>
              <w:t>Bypass Abdominal Aorta to Left Internal Iliac Artery with Autologous Venous Tissue, Open Approach</w:t>
            </w:r>
          </w:p>
        </w:tc>
      </w:tr>
      <w:tr w:rsidR="007D419B" w:rsidRPr="00B83A18" w14:paraId="66E263D9" w14:textId="77777777" w:rsidTr="002C718A">
        <w:trPr>
          <w:trHeight w:val="300"/>
        </w:trPr>
        <w:tc>
          <w:tcPr>
            <w:tcW w:w="1525" w:type="dxa"/>
            <w:noWrap/>
            <w:vAlign w:val="center"/>
            <w:hideMark/>
          </w:tcPr>
          <w:p w14:paraId="20C81583" w14:textId="77777777" w:rsidR="007D419B" w:rsidRPr="00B83A18" w:rsidRDefault="007D419B" w:rsidP="00696E8F">
            <w:pPr>
              <w:rPr>
                <w:rFonts w:cs="Arial"/>
                <w:color w:val="000000"/>
              </w:rPr>
            </w:pPr>
            <w:r w:rsidRPr="00B83A18">
              <w:rPr>
                <w:rFonts w:cs="Arial"/>
                <w:color w:val="000000"/>
              </w:rPr>
              <w:t>041009C</w:t>
            </w:r>
          </w:p>
        </w:tc>
        <w:tc>
          <w:tcPr>
            <w:tcW w:w="8128" w:type="dxa"/>
            <w:noWrap/>
            <w:vAlign w:val="center"/>
            <w:hideMark/>
          </w:tcPr>
          <w:p w14:paraId="36EE1683" w14:textId="77777777" w:rsidR="007D419B" w:rsidRPr="00B83A18" w:rsidRDefault="007D419B" w:rsidP="00696E8F">
            <w:pPr>
              <w:rPr>
                <w:rFonts w:cs="Arial"/>
                <w:color w:val="000000"/>
              </w:rPr>
            </w:pPr>
            <w:r w:rsidRPr="00B83A18">
              <w:rPr>
                <w:rFonts w:cs="Arial"/>
                <w:color w:val="000000"/>
              </w:rPr>
              <w:t>Bypass Abdominal Aorta to Bilateral Internal Iliac Arteries with Autologous Venous Tissue, Open Approach</w:t>
            </w:r>
          </w:p>
        </w:tc>
      </w:tr>
      <w:tr w:rsidR="007D419B" w:rsidRPr="00B83A18" w14:paraId="4F47505A" w14:textId="77777777" w:rsidTr="002C718A">
        <w:trPr>
          <w:trHeight w:val="300"/>
        </w:trPr>
        <w:tc>
          <w:tcPr>
            <w:tcW w:w="1525" w:type="dxa"/>
            <w:noWrap/>
            <w:vAlign w:val="center"/>
            <w:hideMark/>
          </w:tcPr>
          <w:p w14:paraId="161D67E2" w14:textId="77777777" w:rsidR="007D419B" w:rsidRPr="00B83A18" w:rsidRDefault="007D419B" w:rsidP="00696E8F">
            <w:pPr>
              <w:rPr>
                <w:rFonts w:cs="Arial"/>
                <w:color w:val="000000"/>
              </w:rPr>
            </w:pPr>
            <w:r w:rsidRPr="00B83A18">
              <w:rPr>
                <w:rFonts w:cs="Arial"/>
                <w:color w:val="000000"/>
              </w:rPr>
              <w:t>041009D</w:t>
            </w:r>
          </w:p>
        </w:tc>
        <w:tc>
          <w:tcPr>
            <w:tcW w:w="8128" w:type="dxa"/>
            <w:noWrap/>
            <w:vAlign w:val="center"/>
            <w:hideMark/>
          </w:tcPr>
          <w:p w14:paraId="0126F9BC" w14:textId="77777777" w:rsidR="007D419B" w:rsidRPr="00B83A18" w:rsidRDefault="007D419B" w:rsidP="00696E8F">
            <w:pPr>
              <w:rPr>
                <w:rFonts w:cs="Arial"/>
                <w:color w:val="000000"/>
              </w:rPr>
            </w:pPr>
            <w:r w:rsidRPr="00B83A18">
              <w:rPr>
                <w:rFonts w:cs="Arial"/>
                <w:color w:val="000000"/>
              </w:rPr>
              <w:t>Bypass Abdominal Aorta to Right External Iliac Artery with Autologous Venous Tissue, Open Approach</w:t>
            </w:r>
          </w:p>
        </w:tc>
      </w:tr>
      <w:tr w:rsidR="007D419B" w:rsidRPr="00B83A18" w14:paraId="031FE3CC" w14:textId="77777777" w:rsidTr="002C718A">
        <w:trPr>
          <w:trHeight w:val="300"/>
        </w:trPr>
        <w:tc>
          <w:tcPr>
            <w:tcW w:w="1525" w:type="dxa"/>
            <w:noWrap/>
            <w:vAlign w:val="center"/>
            <w:hideMark/>
          </w:tcPr>
          <w:p w14:paraId="7DE2693B" w14:textId="77777777" w:rsidR="007D419B" w:rsidRPr="00B83A18" w:rsidRDefault="007D419B" w:rsidP="00696E8F">
            <w:pPr>
              <w:rPr>
                <w:rFonts w:cs="Arial"/>
                <w:color w:val="000000"/>
              </w:rPr>
            </w:pPr>
            <w:r w:rsidRPr="00B83A18">
              <w:rPr>
                <w:rFonts w:cs="Arial"/>
                <w:color w:val="000000"/>
              </w:rPr>
              <w:t>041009F</w:t>
            </w:r>
          </w:p>
        </w:tc>
        <w:tc>
          <w:tcPr>
            <w:tcW w:w="8128" w:type="dxa"/>
            <w:noWrap/>
            <w:vAlign w:val="center"/>
            <w:hideMark/>
          </w:tcPr>
          <w:p w14:paraId="71EBEE3F" w14:textId="77777777" w:rsidR="007D419B" w:rsidRPr="00B83A18" w:rsidRDefault="007D419B" w:rsidP="00696E8F">
            <w:pPr>
              <w:rPr>
                <w:rFonts w:cs="Arial"/>
                <w:color w:val="000000"/>
              </w:rPr>
            </w:pPr>
            <w:r w:rsidRPr="00B83A18">
              <w:rPr>
                <w:rFonts w:cs="Arial"/>
                <w:color w:val="000000"/>
              </w:rPr>
              <w:t>Bypass Abdominal Aorta to Left External Iliac Artery with Autologous Venous Tissue, Open Approach</w:t>
            </w:r>
          </w:p>
        </w:tc>
      </w:tr>
      <w:tr w:rsidR="007D419B" w:rsidRPr="00B83A18" w14:paraId="3B746F19" w14:textId="77777777" w:rsidTr="002C718A">
        <w:trPr>
          <w:trHeight w:val="300"/>
        </w:trPr>
        <w:tc>
          <w:tcPr>
            <w:tcW w:w="1525" w:type="dxa"/>
            <w:noWrap/>
            <w:vAlign w:val="center"/>
            <w:hideMark/>
          </w:tcPr>
          <w:p w14:paraId="7972B4CA" w14:textId="77777777" w:rsidR="007D419B" w:rsidRPr="00B83A18" w:rsidRDefault="007D419B" w:rsidP="00696E8F">
            <w:pPr>
              <w:rPr>
                <w:rFonts w:cs="Arial"/>
                <w:color w:val="000000"/>
              </w:rPr>
            </w:pPr>
            <w:r w:rsidRPr="00B83A18">
              <w:rPr>
                <w:rFonts w:cs="Arial"/>
                <w:color w:val="000000"/>
              </w:rPr>
              <w:t>041009G</w:t>
            </w:r>
          </w:p>
        </w:tc>
        <w:tc>
          <w:tcPr>
            <w:tcW w:w="8128" w:type="dxa"/>
            <w:noWrap/>
            <w:vAlign w:val="center"/>
            <w:hideMark/>
          </w:tcPr>
          <w:p w14:paraId="408EA59E" w14:textId="77777777" w:rsidR="007D419B" w:rsidRPr="00B83A18" w:rsidRDefault="007D419B" w:rsidP="00696E8F">
            <w:pPr>
              <w:rPr>
                <w:rFonts w:cs="Arial"/>
                <w:color w:val="000000"/>
              </w:rPr>
            </w:pPr>
            <w:r w:rsidRPr="00B83A18">
              <w:rPr>
                <w:rFonts w:cs="Arial"/>
                <w:color w:val="000000"/>
              </w:rPr>
              <w:t>Bypass Abdominal Aorta to Bilateral External Iliac Arteries with Autologous Venous Tissue, Open Approach</w:t>
            </w:r>
          </w:p>
        </w:tc>
      </w:tr>
      <w:tr w:rsidR="007D419B" w:rsidRPr="00B83A18" w14:paraId="614C0421" w14:textId="77777777" w:rsidTr="002C718A">
        <w:trPr>
          <w:trHeight w:val="300"/>
        </w:trPr>
        <w:tc>
          <w:tcPr>
            <w:tcW w:w="1525" w:type="dxa"/>
            <w:noWrap/>
            <w:vAlign w:val="center"/>
            <w:hideMark/>
          </w:tcPr>
          <w:p w14:paraId="7CD6DD9B" w14:textId="77777777" w:rsidR="007D419B" w:rsidRPr="00B83A18" w:rsidRDefault="007D419B" w:rsidP="00696E8F">
            <w:pPr>
              <w:rPr>
                <w:rFonts w:cs="Arial"/>
                <w:color w:val="000000"/>
              </w:rPr>
            </w:pPr>
            <w:r w:rsidRPr="00B83A18">
              <w:rPr>
                <w:rFonts w:cs="Arial"/>
                <w:color w:val="000000"/>
              </w:rPr>
              <w:t>041009H</w:t>
            </w:r>
          </w:p>
        </w:tc>
        <w:tc>
          <w:tcPr>
            <w:tcW w:w="8128" w:type="dxa"/>
            <w:noWrap/>
            <w:vAlign w:val="center"/>
            <w:hideMark/>
          </w:tcPr>
          <w:p w14:paraId="5A00871B" w14:textId="77777777" w:rsidR="007D419B" w:rsidRPr="00B83A18" w:rsidRDefault="007D419B" w:rsidP="00696E8F">
            <w:pPr>
              <w:rPr>
                <w:rFonts w:cs="Arial"/>
                <w:color w:val="000000"/>
              </w:rPr>
            </w:pPr>
            <w:r w:rsidRPr="00B83A18">
              <w:rPr>
                <w:rFonts w:cs="Arial"/>
                <w:color w:val="000000"/>
              </w:rPr>
              <w:t>Bypass Abdominal Aorta to Right Femoral Artery with Autologous Venous Tissue, Open Approach</w:t>
            </w:r>
          </w:p>
        </w:tc>
      </w:tr>
      <w:tr w:rsidR="007D419B" w:rsidRPr="00B83A18" w14:paraId="0AFE1391" w14:textId="77777777" w:rsidTr="002C718A">
        <w:trPr>
          <w:trHeight w:val="300"/>
        </w:trPr>
        <w:tc>
          <w:tcPr>
            <w:tcW w:w="1525" w:type="dxa"/>
            <w:noWrap/>
            <w:vAlign w:val="center"/>
            <w:hideMark/>
          </w:tcPr>
          <w:p w14:paraId="3C47405A" w14:textId="77777777" w:rsidR="007D419B" w:rsidRPr="00B83A18" w:rsidRDefault="007D419B" w:rsidP="00696E8F">
            <w:pPr>
              <w:rPr>
                <w:rFonts w:cs="Arial"/>
                <w:color w:val="000000"/>
              </w:rPr>
            </w:pPr>
            <w:r w:rsidRPr="00B83A18">
              <w:rPr>
                <w:rFonts w:cs="Arial"/>
                <w:color w:val="000000"/>
              </w:rPr>
              <w:t>041009J</w:t>
            </w:r>
          </w:p>
        </w:tc>
        <w:tc>
          <w:tcPr>
            <w:tcW w:w="8128" w:type="dxa"/>
            <w:noWrap/>
            <w:vAlign w:val="center"/>
            <w:hideMark/>
          </w:tcPr>
          <w:p w14:paraId="147C98C9" w14:textId="77777777" w:rsidR="007D419B" w:rsidRPr="00B83A18" w:rsidRDefault="007D419B" w:rsidP="00696E8F">
            <w:pPr>
              <w:rPr>
                <w:rFonts w:cs="Arial"/>
                <w:color w:val="000000"/>
              </w:rPr>
            </w:pPr>
            <w:r w:rsidRPr="00B83A18">
              <w:rPr>
                <w:rFonts w:cs="Arial"/>
                <w:color w:val="000000"/>
              </w:rPr>
              <w:t>Bypass Abdominal Aorta to Left Femoral Artery with Autologous Venous Tissue, Open Approach</w:t>
            </w:r>
          </w:p>
        </w:tc>
      </w:tr>
      <w:tr w:rsidR="007D419B" w:rsidRPr="00B83A18" w14:paraId="2F15909E" w14:textId="77777777" w:rsidTr="002C718A">
        <w:trPr>
          <w:trHeight w:val="300"/>
        </w:trPr>
        <w:tc>
          <w:tcPr>
            <w:tcW w:w="1525" w:type="dxa"/>
            <w:noWrap/>
            <w:vAlign w:val="center"/>
            <w:hideMark/>
          </w:tcPr>
          <w:p w14:paraId="50414C29" w14:textId="77777777" w:rsidR="007D419B" w:rsidRPr="00B83A18" w:rsidRDefault="007D419B" w:rsidP="00696E8F">
            <w:pPr>
              <w:rPr>
                <w:rFonts w:cs="Arial"/>
                <w:color w:val="000000"/>
              </w:rPr>
            </w:pPr>
            <w:r w:rsidRPr="00B83A18">
              <w:rPr>
                <w:rFonts w:cs="Arial"/>
                <w:color w:val="000000"/>
              </w:rPr>
              <w:t>041009K</w:t>
            </w:r>
          </w:p>
        </w:tc>
        <w:tc>
          <w:tcPr>
            <w:tcW w:w="8128" w:type="dxa"/>
            <w:noWrap/>
            <w:vAlign w:val="center"/>
            <w:hideMark/>
          </w:tcPr>
          <w:p w14:paraId="74139A5B" w14:textId="77777777" w:rsidR="007D419B" w:rsidRPr="00B83A18" w:rsidRDefault="007D419B" w:rsidP="00696E8F">
            <w:pPr>
              <w:rPr>
                <w:rFonts w:cs="Arial"/>
                <w:color w:val="000000"/>
              </w:rPr>
            </w:pPr>
            <w:r w:rsidRPr="00B83A18">
              <w:rPr>
                <w:rFonts w:cs="Arial"/>
                <w:color w:val="000000"/>
              </w:rPr>
              <w:t>Bypass Abdominal Aorta to Bilateral Femoral Arteries with Autologous Venous Tissue, Open Approach</w:t>
            </w:r>
          </w:p>
        </w:tc>
      </w:tr>
      <w:tr w:rsidR="007D419B" w:rsidRPr="00B83A18" w14:paraId="6A397B3A" w14:textId="77777777" w:rsidTr="002C718A">
        <w:trPr>
          <w:trHeight w:val="300"/>
        </w:trPr>
        <w:tc>
          <w:tcPr>
            <w:tcW w:w="1525" w:type="dxa"/>
            <w:noWrap/>
            <w:vAlign w:val="center"/>
            <w:hideMark/>
          </w:tcPr>
          <w:p w14:paraId="6959C51A" w14:textId="77777777" w:rsidR="007D419B" w:rsidRPr="00B83A18" w:rsidRDefault="007D419B" w:rsidP="00696E8F">
            <w:pPr>
              <w:rPr>
                <w:rFonts w:cs="Arial"/>
                <w:color w:val="000000"/>
              </w:rPr>
            </w:pPr>
            <w:r w:rsidRPr="00B83A18">
              <w:rPr>
                <w:rFonts w:cs="Arial"/>
                <w:color w:val="000000"/>
              </w:rPr>
              <w:t>041009Q</w:t>
            </w:r>
          </w:p>
        </w:tc>
        <w:tc>
          <w:tcPr>
            <w:tcW w:w="8128" w:type="dxa"/>
            <w:noWrap/>
            <w:vAlign w:val="center"/>
            <w:hideMark/>
          </w:tcPr>
          <w:p w14:paraId="33EB7021" w14:textId="77777777" w:rsidR="007D419B" w:rsidRPr="00B83A18" w:rsidRDefault="007D419B" w:rsidP="00696E8F">
            <w:pPr>
              <w:rPr>
                <w:rFonts w:cs="Arial"/>
                <w:color w:val="000000"/>
              </w:rPr>
            </w:pPr>
            <w:r w:rsidRPr="00B83A18">
              <w:rPr>
                <w:rFonts w:cs="Arial"/>
                <w:color w:val="000000"/>
              </w:rPr>
              <w:t>Bypass Abdominal Aorta to Lower Extremity Artery with Autologous Venous Tissue, Open Approach</w:t>
            </w:r>
          </w:p>
        </w:tc>
      </w:tr>
      <w:tr w:rsidR="007D419B" w:rsidRPr="00B83A18" w14:paraId="3763C51F" w14:textId="77777777" w:rsidTr="002C718A">
        <w:trPr>
          <w:trHeight w:val="300"/>
        </w:trPr>
        <w:tc>
          <w:tcPr>
            <w:tcW w:w="1525" w:type="dxa"/>
            <w:noWrap/>
            <w:vAlign w:val="center"/>
            <w:hideMark/>
          </w:tcPr>
          <w:p w14:paraId="3A3946B9" w14:textId="77777777" w:rsidR="007D419B" w:rsidRPr="00B83A18" w:rsidRDefault="007D419B" w:rsidP="00696E8F">
            <w:pPr>
              <w:rPr>
                <w:rFonts w:cs="Arial"/>
                <w:color w:val="000000"/>
              </w:rPr>
            </w:pPr>
            <w:r w:rsidRPr="00B83A18">
              <w:rPr>
                <w:rFonts w:cs="Arial"/>
                <w:color w:val="000000"/>
              </w:rPr>
              <w:t>041009R</w:t>
            </w:r>
          </w:p>
        </w:tc>
        <w:tc>
          <w:tcPr>
            <w:tcW w:w="8128" w:type="dxa"/>
            <w:noWrap/>
            <w:vAlign w:val="center"/>
            <w:hideMark/>
          </w:tcPr>
          <w:p w14:paraId="425AFB34" w14:textId="77777777" w:rsidR="007D419B" w:rsidRPr="00B83A18" w:rsidRDefault="007D419B" w:rsidP="00696E8F">
            <w:pPr>
              <w:rPr>
                <w:rFonts w:cs="Arial"/>
                <w:color w:val="000000"/>
              </w:rPr>
            </w:pPr>
            <w:r w:rsidRPr="00B83A18">
              <w:rPr>
                <w:rFonts w:cs="Arial"/>
                <w:color w:val="000000"/>
              </w:rPr>
              <w:t>Bypass Abdominal Aorta to Lower Artery with Autologous Venous Tissue, Open Approach</w:t>
            </w:r>
          </w:p>
        </w:tc>
      </w:tr>
      <w:tr w:rsidR="007D419B" w:rsidRPr="00B83A18" w14:paraId="2C8A5EB7" w14:textId="77777777" w:rsidTr="002C718A">
        <w:trPr>
          <w:trHeight w:val="300"/>
        </w:trPr>
        <w:tc>
          <w:tcPr>
            <w:tcW w:w="1525" w:type="dxa"/>
            <w:noWrap/>
            <w:vAlign w:val="center"/>
            <w:hideMark/>
          </w:tcPr>
          <w:p w14:paraId="098DF7D4" w14:textId="77777777" w:rsidR="007D419B" w:rsidRPr="00B83A18" w:rsidRDefault="007D419B" w:rsidP="00696E8F">
            <w:pPr>
              <w:rPr>
                <w:rFonts w:cs="Arial"/>
                <w:color w:val="000000"/>
              </w:rPr>
            </w:pPr>
            <w:r w:rsidRPr="00B83A18">
              <w:rPr>
                <w:rFonts w:cs="Arial"/>
                <w:color w:val="000000"/>
              </w:rPr>
              <w:t>04100A0</w:t>
            </w:r>
          </w:p>
        </w:tc>
        <w:tc>
          <w:tcPr>
            <w:tcW w:w="8128" w:type="dxa"/>
            <w:noWrap/>
            <w:vAlign w:val="center"/>
            <w:hideMark/>
          </w:tcPr>
          <w:p w14:paraId="26693105" w14:textId="77777777" w:rsidR="007D419B" w:rsidRPr="00B83A18" w:rsidRDefault="007D419B" w:rsidP="00696E8F">
            <w:pPr>
              <w:rPr>
                <w:rFonts w:cs="Arial"/>
                <w:color w:val="000000"/>
              </w:rPr>
            </w:pPr>
            <w:r w:rsidRPr="00B83A18">
              <w:rPr>
                <w:rFonts w:cs="Arial"/>
                <w:color w:val="000000"/>
              </w:rPr>
              <w:t>Bypass Abdominal Aorta to Abdominal Aorta with Autologous Arterial Tissue, Open Approach</w:t>
            </w:r>
          </w:p>
        </w:tc>
      </w:tr>
      <w:tr w:rsidR="007D419B" w:rsidRPr="00B83A18" w14:paraId="73F34763" w14:textId="77777777" w:rsidTr="002C718A">
        <w:trPr>
          <w:trHeight w:val="300"/>
        </w:trPr>
        <w:tc>
          <w:tcPr>
            <w:tcW w:w="1525" w:type="dxa"/>
            <w:noWrap/>
            <w:vAlign w:val="center"/>
            <w:hideMark/>
          </w:tcPr>
          <w:p w14:paraId="53605A69" w14:textId="77777777" w:rsidR="007D419B" w:rsidRPr="00B83A18" w:rsidRDefault="007D419B" w:rsidP="00696E8F">
            <w:pPr>
              <w:rPr>
                <w:rFonts w:cs="Arial"/>
                <w:color w:val="000000"/>
              </w:rPr>
            </w:pPr>
            <w:r w:rsidRPr="00B83A18">
              <w:rPr>
                <w:rFonts w:cs="Arial"/>
                <w:color w:val="000000"/>
              </w:rPr>
              <w:lastRenderedPageBreak/>
              <w:t>04100A1</w:t>
            </w:r>
          </w:p>
        </w:tc>
        <w:tc>
          <w:tcPr>
            <w:tcW w:w="8128" w:type="dxa"/>
            <w:noWrap/>
            <w:vAlign w:val="center"/>
            <w:hideMark/>
          </w:tcPr>
          <w:p w14:paraId="3279565F" w14:textId="77777777" w:rsidR="007D419B" w:rsidRPr="00B83A18" w:rsidRDefault="007D419B" w:rsidP="00696E8F">
            <w:pPr>
              <w:rPr>
                <w:rFonts w:cs="Arial"/>
                <w:color w:val="000000"/>
              </w:rPr>
            </w:pPr>
            <w:r w:rsidRPr="00B83A18">
              <w:rPr>
                <w:rFonts w:cs="Arial"/>
                <w:color w:val="000000"/>
              </w:rPr>
              <w:t>Bypass Abdominal Aorta to Celiac Artery with Autologous Arterial Tissue, Open Approach</w:t>
            </w:r>
          </w:p>
        </w:tc>
      </w:tr>
      <w:tr w:rsidR="007D419B" w:rsidRPr="00B83A18" w14:paraId="3772DE27" w14:textId="77777777" w:rsidTr="002C718A">
        <w:trPr>
          <w:trHeight w:val="300"/>
        </w:trPr>
        <w:tc>
          <w:tcPr>
            <w:tcW w:w="1525" w:type="dxa"/>
            <w:noWrap/>
            <w:vAlign w:val="center"/>
            <w:hideMark/>
          </w:tcPr>
          <w:p w14:paraId="570688BD" w14:textId="77777777" w:rsidR="007D419B" w:rsidRPr="00B83A18" w:rsidRDefault="007D419B" w:rsidP="00696E8F">
            <w:pPr>
              <w:rPr>
                <w:rFonts w:cs="Arial"/>
                <w:color w:val="000000"/>
              </w:rPr>
            </w:pPr>
            <w:r w:rsidRPr="00B83A18">
              <w:rPr>
                <w:rFonts w:cs="Arial"/>
                <w:color w:val="000000"/>
              </w:rPr>
              <w:t>04100A2</w:t>
            </w:r>
          </w:p>
        </w:tc>
        <w:tc>
          <w:tcPr>
            <w:tcW w:w="8128" w:type="dxa"/>
            <w:noWrap/>
            <w:vAlign w:val="center"/>
            <w:hideMark/>
          </w:tcPr>
          <w:p w14:paraId="30B8AA88" w14:textId="77777777" w:rsidR="007D419B" w:rsidRPr="00B83A18" w:rsidRDefault="007D419B" w:rsidP="00696E8F">
            <w:pPr>
              <w:rPr>
                <w:rFonts w:cs="Arial"/>
                <w:color w:val="000000"/>
              </w:rPr>
            </w:pPr>
            <w:r w:rsidRPr="00B83A18">
              <w:rPr>
                <w:rFonts w:cs="Arial"/>
                <w:color w:val="000000"/>
              </w:rPr>
              <w:t>Bypass Abdominal Aorta to Mesenteric Artery with Autologous Arterial Tissue, Open Approach</w:t>
            </w:r>
          </w:p>
        </w:tc>
      </w:tr>
      <w:tr w:rsidR="007D419B" w:rsidRPr="00B83A18" w14:paraId="177C61AF" w14:textId="77777777" w:rsidTr="002C718A">
        <w:trPr>
          <w:trHeight w:val="300"/>
        </w:trPr>
        <w:tc>
          <w:tcPr>
            <w:tcW w:w="1525" w:type="dxa"/>
            <w:noWrap/>
            <w:vAlign w:val="center"/>
            <w:hideMark/>
          </w:tcPr>
          <w:p w14:paraId="4CC1413A" w14:textId="77777777" w:rsidR="007D419B" w:rsidRPr="00B83A18" w:rsidRDefault="007D419B" w:rsidP="00696E8F">
            <w:pPr>
              <w:rPr>
                <w:rFonts w:cs="Arial"/>
                <w:color w:val="000000"/>
              </w:rPr>
            </w:pPr>
            <w:r w:rsidRPr="00B83A18">
              <w:rPr>
                <w:rFonts w:cs="Arial"/>
                <w:color w:val="000000"/>
              </w:rPr>
              <w:t>04100A3</w:t>
            </w:r>
          </w:p>
        </w:tc>
        <w:tc>
          <w:tcPr>
            <w:tcW w:w="8128" w:type="dxa"/>
            <w:noWrap/>
            <w:vAlign w:val="center"/>
            <w:hideMark/>
          </w:tcPr>
          <w:p w14:paraId="2CF03DB7" w14:textId="77777777" w:rsidR="007D419B" w:rsidRPr="00B83A18" w:rsidRDefault="007D419B" w:rsidP="00696E8F">
            <w:pPr>
              <w:rPr>
                <w:rFonts w:cs="Arial"/>
                <w:color w:val="000000"/>
              </w:rPr>
            </w:pPr>
            <w:r w:rsidRPr="00B83A18">
              <w:rPr>
                <w:rFonts w:cs="Arial"/>
                <w:color w:val="000000"/>
              </w:rPr>
              <w:t>Bypass Abdominal Aorta to Right Renal Artery with Autologous Arterial Tissue, Open Approach</w:t>
            </w:r>
          </w:p>
        </w:tc>
      </w:tr>
      <w:tr w:rsidR="007D419B" w:rsidRPr="00B83A18" w14:paraId="42E8734C" w14:textId="77777777" w:rsidTr="002C718A">
        <w:trPr>
          <w:trHeight w:val="300"/>
        </w:trPr>
        <w:tc>
          <w:tcPr>
            <w:tcW w:w="1525" w:type="dxa"/>
            <w:noWrap/>
            <w:vAlign w:val="center"/>
            <w:hideMark/>
          </w:tcPr>
          <w:p w14:paraId="19BC4600" w14:textId="77777777" w:rsidR="007D419B" w:rsidRPr="00B83A18" w:rsidRDefault="007D419B" w:rsidP="00696E8F">
            <w:pPr>
              <w:rPr>
                <w:rFonts w:cs="Arial"/>
                <w:color w:val="000000"/>
              </w:rPr>
            </w:pPr>
            <w:r w:rsidRPr="00B83A18">
              <w:rPr>
                <w:rFonts w:cs="Arial"/>
                <w:color w:val="000000"/>
              </w:rPr>
              <w:t>04100A4</w:t>
            </w:r>
          </w:p>
        </w:tc>
        <w:tc>
          <w:tcPr>
            <w:tcW w:w="8128" w:type="dxa"/>
            <w:noWrap/>
            <w:vAlign w:val="center"/>
            <w:hideMark/>
          </w:tcPr>
          <w:p w14:paraId="66D63627" w14:textId="77777777" w:rsidR="007D419B" w:rsidRPr="00B83A18" w:rsidRDefault="007D419B" w:rsidP="00696E8F">
            <w:pPr>
              <w:rPr>
                <w:rFonts w:cs="Arial"/>
                <w:color w:val="000000"/>
              </w:rPr>
            </w:pPr>
            <w:r w:rsidRPr="00B83A18">
              <w:rPr>
                <w:rFonts w:cs="Arial"/>
                <w:color w:val="000000"/>
              </w:rPr>
              <w:t>Bypass Abdominal Aorta to Left Renal Artery with Autologous Arterial Tissue, Open Approach</w:t>
            </w:r>
          </w:p>
        </w:tc>
      </w:tr>
      <w:tr w:rsidR="007D419B" w:rsidRPr="00B83A18" w14:paraId="3E45EB25" w14:textId="77777777" w:rsidTr="002C718A">
        <w:trPr>
          <w:trHeight w:val="300"/>
        </w:trPr>
        <w:tc>
          <w:tcPr>
            <w:tcW w:w="1525" w:type="dxa"/>
            <w:noWrap/>
            <w:vAlign w:val="center"/>
            <w:hideMark/>
          </w:tcPr>
          <w:p w14:paraId="6A9C117C" w14:textId="77777777" w:rsidR="007D419B" w:rsidRPr="00B83A18" w:rsidRDefault="007D419B" w:rsidP="00696E8F">
            <w:pPr>
              <w:rPr>
                <w:rFonts w:cs="Arial"/>
                <w:color w:val="000000"/>
              </w:rPr>
            </w:pPr>
            <w:r w:rsidRPr="00B83A18">
              <w:rPr>
                <w:rFonts w:cs="Arial"/>
                <w:color w:val="000000"/>
              </w:rPr>
              <w:t>04100A5</w:t>
            </w:r>
          </w:p>
        </w:tc>
        <w:tc>
          <w:tcPr>
            <w:tcW w:w="8128" w:type="dxa"/>
            <w:noWrap/>
            <w:vAlign w:val="center"/>
            <w:hideMark/>
          </w:tcPr>
          <w:p w14:paraId="0057AAF3" w14:textId="77777777" w:rsidR="007D419B" w:rsidRPr="00B83A18" w:rsidRDefault="007D419B" w:rsidP="00696E8F">
            <w:pPr>
              <w:rPr>
                <w:rFonts w:cs="Arial"/>
                <w:color w:val="000000"/>
              </w:rPr>
            </w:pPr>
            <w:r w:rsidRPr="00B83A18">
              <w:rPr>
                <w:rFonts w:cs="Arial"/>
                <w:color w:val="000000"/>
              </w:rPr>
              <w:t>Bypass Abdominal Aorta to Bilateral Renal Artery with Autologous Arterial Tissue, Open Approach</w:t>
            </w:r>
          </w:p>
        </w:tc>
      </w:tr>
      <w:tr w:rsidR="007D419B" w:rsidRPr="00B83A18" w14:paraId="13E3E85D" w14:textId="77777777" w:rsidTr="002C718A">
        <w:trPr>
          <w:trHeight w:val="300"/>
        </w:trPr>
        <w:tc>
          <w:tcPr>
            <w:tcW w:w="1525" w:type="dxa"/>
            <w:noWrap/>
            <w:vAlign w:val="center"/>
            <w:hideMark/>
          </w:tcPr>
          <w:p w14:paraId="1B5AAD22" w14:textId="77777777" w:rsidR="007D419B" w:rsidRPr="00B83A18" w:rsidRDefault="007D419B" w:rsidP="00696E8F">
            <w:pPr>
              <w:rPr>
                <w:rFonts w:cs="Arial"/>
                <w:color w:val="000000"/>
              </w:rPr>
            </w:pPr>
            <w:r w:rsidRPr="00B83A18">
              <w:rPr>
                <w:rFonts w:cs="Arial"/>
                <w:color w:val="000000"/>
              </w:rPr>
              <w:t>04100A6</w:t>
            </w:r>
          </w:p>
        </w:tc>
        <w:tc>
          <w:tcPr>
            <w:tcW w:w="8128" w:type="dxa"/>
            <w:noWrap/>
            <w:vAlign w:val="center"/>
            <w:hideMark/>
          </w:tcPr>
          <w:p w14:paraId="00B0A62E" w14:textId="77777777" w:rsidR="007D419B" w:rsidRPr="00B83A18" w:rsidRDefault="007D419B" w:rsidP="00696E8F">
            <w:pPr>
              <w:rPr>
                <w:rFonts w:cs="Arial"/>
                <w:color w:val="000000"/>
              </w:rPr>
            </w:pPr>
            <w:r w:rsidRPr="00B83A18">
              <w:rPr>
                <w:rFonts w:cs="Arial"/>
                <w:color w:val="000000"/>
              </w:rPr>
              <w:t>Bypass Abdominal Aorta to Right Common Iliac Artery with Autologous Arterial Tissue, Open Approach</w:t>
            </w:r>
          </w:p>
        </w:tc>
      </w:tr>
      <w:tr w:rsidR="007D419B" w:rsidRPr="00B83A18" w14:paraId="20648C92" w14:textId="77777777" w:rsidTr="002C718A">
        <w:trPr>
          <w:trHeight w:val="300"/>
        </w:trPr>
        <w:tc>
          <w:tcPr>
            <w:tcW w:w="1525" w:type="dxa"/>
            <w:noWrap/>
            <w:vAlign w:val="center"/>
            <w:hideMark/>
          </w:tcPr>
          <w:p w14:paraId="2955ED5D" w14:textId="77777777" w:rsidR="007D419B" w:rsidRPr="00B83A18" w:rsidRDefault="007D419B" w:rsidP="00696E8F">
            <w:pPr>
              <w:rPr>
                <w:rFonts w:cs="Arial"/>
                <w:color w:val="000000"/>
              </w:rPr>
            </w:pPr>
            <w:r w:rsidRPr="00B83A18">
              <w:rPr>
                <w:rFonts w:cs="Arial"/>
                <w:color w:val="000000"/>
              </w:rPr>
              <w:t>04100A7</w:t>
            </w:r>
          </w:p>
        </w:tc>
        <w:tc>
          <w:tcPr>
            <w:tcW w:w="8128" w:type="dxa"/>
            <w:noWrap/>
            <w:vAlign w:val="center"/>
            <w:hideMark/>
          </w:tcPr>
          <w:p w14:paraId="607FC2E4" w14:textId="77777777" w:rsidR="007D419B" w:rsidRPr="00B83A18" w:rsidRDefault="007D419B" w:rsidP="00696E8F">
            <w:pPr>
              <w:rPr>
                <w:rFonts w:cs="Arial"/>
                <w:color w:val="000000"/>
              </w:rPr>
            </w:pPr>
            <w:r w:rsidRPr="00B83A18">
              <w:rPr>
                <w:rFonts w:cs="Arial"/>
                <w:color w:val="000000"/>
              </w:rPr>
              <w:t>Bypass Abdominal Aorta to Left Common Iliac Artery with Autologous Arterial Tissue, Open Approach</w:t>
            </w:r>
          </w:p>
        </w:tc>
      </w:tr>
      <w:tr w:rsidR="007D419B" w:rsidRPr="00B83A18" w14:paraId="40F99F80" w14:textId="77777777" w:rsidTr="002C718A">
        <w:trPr>
          <w:trHeight w:val="300"/>
        </w:trPr>
        <w:tc>
          <w:tcPr>
            <w:tcW w:w="1525" w:type="dxa"/>
            <w:noWrap/>
            <w:vAlign w:val="center"/>
            <w:hideMark/>
          </w:tcPr>
          <w:p w14:paraId="4C716FD7" w14:textId="77777777" w:rsidR="007D419B" w:rsidRPr="00B83A18" w:rsidRDefault="007D419B" w:rsidP="00696E8F">
            <w:pPr>
              <w:rPr>
                <w:rFonts w:cs="Arial"/>
                <w:color w:val="000000"/>
              </w:rPr>
            </w:pPr>
            <w:r w:rsidRPr="00B83A18">
              <w:rPr>
                <w:rFonts w:cs="Arial"/>
                <w:color w:val="000000"/>
              </w:rPr>
              <w:t>04100A8</w:t>
            </w:r>
          </w:p>
        </w:tc>
        <w:tc>
          <w:tcPr>
            <w:tcW w:w="8128" w:type="dxa"/>
            <w:noWrap/>
            <w:vAlign w:val="center"/>
            <w:hideMark/>
          </w:tcPr>
          <w:p w14:paraId="36DC6ACA" w14:textId="77777777" w:rsidR="007D419B" w:rsidRPr="00B83A18" w:rsidRDefault="007D419B" w:rsidP="00696E8F">
            <w:pPr>
              <w:rPr>
                <w:rFonts w:cs="Arial"/>
                <w:color w:val="000000"/>
              </w:rPr>
            </w:pPr>
            <w:r w:rsidRPr="00B83A18">
              <w:rPr>
                <w:rFonts w:cs="Arial"/>
                <w:color w:val="000000"/>
              </w:rPr>
              <w:t>Bypass Abdominal Aorta to Bilateral Common Iliac Arteries with Autologous Arterial Tissue, Open Approach</w:t>
            </w:r>
          </w:p>
        </w:tc>
      </w:tr>
      <w:tr w:rsidR="007D419B" w:rsidRPr="00B83A18" w14:paraId="6321B50C" w14:textId="77777777" w:rsidTr="002C718A">
        <w:trPr>
          <w:trHeight w:val="300"/>
        </w:trPr>
        <w:tc>
          <w:tcPr>
            <w:tcW w:w="1525" w:type="dxa"/>
            <w:noWrap/>
            <w:vAlign w:val="center"/>
            <w:hideMark/>
          </w:tcPr>
          <w:p w14:paraId="4368BC5A" w14:textId="77777777" w:rsidR="007D419B" w:rsidRPr="00B83A18" w:rsidRDefault="007D419B" w:rsidP="00696E8F">
            <w:pPr>
              <w:rPr>
                <w:rFonts w:cs="Arial"/>
                <w:color w:val="000000"/>
              </w:rPr>
            </w:pPr>
            <w:r w:rsidRPr="00B83A18">
              <w:rPr>
                <w:rFonts w:cs="Arial"/>
                <w:color w:val="000000"/>
              </w:rPr>
              <w:t>04100A9</w:t>
            </w:r>
          </w:p>
        </w:tc>
        <w:tc>
          <w:tcPr>
            <w:tcW w:w="8128" w:type="dxa"/>
            <w:noWrap/>
            <w:vAlign w:val="center"/>
            <w:hideMark/>
          </w:tcPr>
          <w:p w14:paraId="240EB425" w14:textId="77777777" w:rsidR="007D419B" w:rsidRPr="00B83A18" w:rsidRDefault="007D419B" w:rsidP="00696E8F">
            <w:pPr>
              <w:rPr>
                <w:rFonts w:cs="Arial"/>
                <w:color w:val="000000"/>
              </w:rPr>
            </w:pPr>
            <w:r w:rsidRPr="00B83A18">
              <w:rPr>
                <w:rFonts w:cs="Arial"/>
                <w:color w:val="000000"/>
              </w:rPr>
              <w:t>Bypass Abdominal Aorta to Right Internal Iliac Artery with Autologous Arterial Tissue, Open Approach</w:t>
            </w:r>
          </w:p>
        </w:tc>
      </w:tr>
      <w:tr w:rsidR="007D419B" w:rsidRPr="00B83A18" w14:paraId="76F1D342" w14:textId="77777777" w:rsidTr="002C718A">
        <w:trPr>
          <w:trHeight w:val="300"/>
        </w:trPr>
        <w:tc>
          <w:tcPr>
            <w:tcW w:w="1525" w:type="dxa"/>
            <w:noWrap/>
            <w:vAlign w:val="center"/>
            <w:hideMark/>
          </w:tcPr>
          <w:p w14:paraId="1F2B83C0" w14:textId="77777777" w:rsidR="007D419B" w:rsidRPr="00B83A18" w:rsidRDefault="007D419B" w:rsidP="00696E8F">
            <w:pPr>
              <w:rPr>
                <w:rFonts w:cs="Arial"/>
                <w:color w:val="000000"/>
              </w:rPr>
            </w:pPr>
            <w:r w:rsidRPr="00B83A18">
              <w:rPr>
                <w:rFonts w:cs="Arial"/>
                <w:color w:val="000000"/>
              </w:rPr>
              <w:t>04100AB</w:t>
            </w:r>
          </w:p>
        </w:tc>
        <w:tc>
          <w:tcPr>
            <w:tcW w:w="8128" w:type="dxa"/>
            <w:noWrap/>
            <w:vAlign w:val="center"/>
            <w:hideMark/>
          </w:tcPr>
          <w:p w14:paraId="636A0FED" w14:textId="77777777" w:rsidR="007D419B" w:rsidRPr="00B83A18" w:rsidRDefault="007D419B" w:rsidP="00696E8F">
            <w:pPr>
              <w:rPr>
                <w:rFonts w:cs="Arial"/>
                <w:color w:val="000000"/>
              </w:rPr>
            </w:pPr>
            <w:r w:rsidRPr="00B83A18">
              <w:rPr>
                <w:rFonts w:cs="Arial"/>
                <w:color w:val="000000"/>
              </w:rPr>
              <w:t>Bypass Abdominal Aorta to Left Internal Iliac Artery with Autologous Arterial Tissue, Open Approach</w:t>
            </w:r>
          </w:p>
        </w:tc>
      </w:tr>
      <w:tr w:rsidR="007D419B" w:rsidRPr="00B83A18" w14:paraId="70326671" w14:textId="77777777" w:rsidTr="002C718A">
        <w:trPr>
          <w:trHeight w:val="300"/>
        </w:trPr>
        <w:tc>
          <w:tcPr>
            <w:tcW w:w="1525" w:type="dxa"/>
            <w:noWrap/>
            <w:vAlign w:val="center"/>
            <w:hideMark/>
          </w:tcPr>
          <w:p w14:paraId="364274DA" w14:textId="77777777" w:rsidR="007D419B" w:rsidRPr="00B83A18" w:rsidRDefault="007D419B" w:rsidP="00696E8F">
            <w:pPr>
              <w:rPr>
                <w:rFonts w:cs="Arial"/>
                <w:color w:val="000000"/>
              </w:rPr>
            </w:pPr>
            <w:r w:rsidRPr="00B83A18">
              <w:rPr>
                <w:rFonts w:cs="Arial"/>
                <w:color w:val="000000"/>
              </w:rPr>
              <w:t>04100AC</w:t>
            </w:r>
          </w:p>
        </w:tc>
        <w:tc>
          <w:tcPr>
            <w:tcW w:w="8128" w:type="dxa"/>
            <w:noWrap/>
            <w:vAlign w:val="center"/>
            <w:hideMark/>
          </w:tcPr>
          <w:p w14:paraId="2E899C00" w14:textId="77777777" w:rsidR="007D419B" w:rsidRPr="00B83A18" w:rsidRDefault="007D419B" w:rsidP="00696E8F">
            <w:pPr>
              <w:rPr>
                <w:rFonts w:cs="Arial"/>
                <w:color w:val="000000"/>
              </w:rPr>
            </w:pPr>
            <w:r w:rsidRPr="00B83A18">
              <w:rPr>
                <w:rFonts w:cs="Arial"/>
                <w:color w:val="000000"/>
              </w:rPr>
              <w:t>Bypass Abdominal Aorta to Bilateral Internal Iliac Arteries with Autologous Arterial Tissue, Open Approach</w:t>
            </w:r>
          </w:p>
        </w:tc>
      </w:tr>
      <w:tr w:rsidR="007D419B" w:rsidRPr="00B83A18" w14:paraId="7E0A6BB5" w14:textId="77777777" w:rsidTr="002C718A">
        <w:trPr>
          <w:trHeight w:val="300"/>
        </w:trPr>
        <w:tc>
          <w:tcPr>
            <w:tcW w:w="1525" w:type="dxa"/>
            <w:noWrap/>
            <w:vAlign w:val="center"/>
            <w:hideMark/>
          </w:tcPr>
          <w:p w14:paraId="5890F0F7" w14:textId="77777777" w:rsidR="007D419B" w:rsidRPr="00B83A18" w:rsidRDefault="007D419B" w:rsidP="00696E8F">
            <w:pPr>
              <w:rPr>
                <w:rFonts w:cs="Arial"/>
                <w:color w:val="000000"/>
              </w:rPr>
            </w:pPr>
            <w:r w:rsidRPr="00B83A18">
              <w:rPr>
                <w:rFonts w:cs="Arial"/>
                <w:color w:val="000000"/>
              </w:rPr>
              <w:t>04100AD</w:t>
            </w:r>
          </w:p>
        </w:tc>
        <w:tc>
          <w:tcPr>
            <w:tcW w:w="8128" w:type="dxa"/>
            <w:noWrap/>
            <w:vAlign w:val="center"/>
            <w:hideMark/>
          </w:tcPr>
          <w:p w14:paraId="4B790D92" w14:textId="77777777" w:rsidR="007D419B" w:rsidRPr="00B83A18" w:rsidRDefault="007D419B" w:rsidP="00696E8F">
            <w:pPr>
              <w:rPr>
                <w:rFonts w:cs="Arial"/>
                <w:color w:val="000000"/>
              </w:rPr>
            </w:pPr>
            <w:r w:rsidRPr="00B83A18">
              <w:rPr>
                <w:rFonts w:cs="Arial"/>
                <w:color w:val="000000"/>
              </w:rPr>
              <w:t>Bypass Abdominal Aorta to Right External Iliac Artery with Autologous Arterial Tissue, Open Approach</w:t>
            </w:r>
          </w:p>
        </w:tc>
      </w:tr>
      <w:tr w:rsidR="007D419B" w:rsidRPr="00B83A18" w14:paraId="1DE100D7" w14:textId="77777777" w:rsidTr="002C718A">
        <w:trPr>
          <w:trHeight w:val="300"/>
        </w:trPr>
        <w:tc>
          <w:tcPr>
            <w:tcW w:w="1525" w:type="dxa"/>
            <w:noWrap/>
            <w:vAlign w:val="center"/>
            <w:hideMark/>
          </w:tcPr>
          <w:p w14:paraId="70D2FE81" w14:textId="77777777" w:rsidR="007D419B" w:rsidRPr="00B83A18" w:rsidRDefault="007D419B" w:rsidP="00696E8F">
            <w:pPr>
              <w:rPr>
                <w:rFonts w:cs="Arial"/>
                <w:color w:val="000000"/>
              </w:rPr>
            </w:pPr>
            <w:r w:rsidRPr="00B83A18">
              <w:rPr>
                <w:rFonts w:cs="Arial"/>
                <w:color w:val="000000"/>
              </w:rPr>
              <w:t>04100AF</w:t>
            </w:r>
          </w:p>
        </w:tc>
        <w:tc>
          <w:tcPr>
            <w:tcW w:w="8128" w:type="dxa"/>
            <w:noWrap/>
            <w:vAlign w:val="center"/>
            <w:hideMark/>
          </w:tcPr>
          <w:p w14:paraId="697A8F86" w14:textId="77777777" w:rsidR="007D419B" w:rsidRPr="00B83A18" w:rsidRDefault="007D419B" w:rsidP="00696E8F">
            <w:pPr>
              <w:rPr>
                <w:rFonts w:cs="Arial"/>
                <w:color w:val="000000"/>
              </w:rPr>
            </w:pPr>
            <w:r w:rsidRPr="00B83A18">
              <w:rPr>
                <w:rFonts w:cs="Arial"/>
                <w:color w:val="000000"/>
              </w:rPr>
              <w:t>Bypass Abdominal Aorta to Left External Iliac Artery with Autologous Arterial Tissue, Open Approach</w:t>
            </w:r>
          </w:p>
        </w:tc>
      </w:tr>
      <w:tr w:rsidR="007D419B" w:rsidRPr="00B83A18" w14:paraId="1AFB7FF5" w14:textId="77777777" w:rsidTr="002C718A">
        <w:trPr>
          <w:trHeight w:val="300"/>
        </w:trPr>
        <w:tc>
          <w:tcPr>
            <w:tcW w:w="1525" w:type="dxa"/>
            <w:noWrap/>
            <w:vAlign w:val="center"/>
            <w:hideMark/>
          </w:tcPr>
          <w:p w14:paraId="5BEA06EE" w14:textId="77777777" w:rsidR="007D419B" w:rsidRPr="00B83A18" w:rsidRDefault="007D419B" w:rsidP="00696E8F">
            <w:pPr>
              <w:rPr>
                <w:rFonts w:cs="Arial"/>
                <w:color w:val="000000"/>
              </w:rPr>
            </w:pPr>
            <w:r w:rsidRPr="00B83A18">
              <w:rPr>
                <w:rFonts w:cs="Arial"/>
                <w:color w:val="000000"/>
              </w:rPr>
              <w:t>04100AG</w:t>
            </w:r>
          </w:p>
        </w:tc>
        <w:tc>
          <w:tcPr>
            <w:tcW w:w="8128" w:type="dxa"/>
            <w:noWrap/>
            <w:vAlign w:val="center"/>
            <w:hideMark/>
          </w:tcPr>
          <w:p w14:paraId="3C18B599" w14:textId="77777777" w:rsidR="007D419B" w:rsidRPr="00B83A18" w:rsidRDefault="007D419B" w:rsidP="00696E8F">
            <w:pPr>
              <w:rPr>
                <w:rFonts w:cs="Arial"/>
                <w:color w:val="000000"/>
              </w:rPr>
            </w:pPr>
            <w:r w:rsidRPr="00B83A18">
              <w:rPr>
                <w:rFonts w:cs="Arial"/>
                <w:color w:val="000000"/>
              </w:rPr>
              <w:t>Bypass Abdominal Aorta to Bilateral External Iliac Arteries with Autologous Arterial Tissue, Open Approach</w:t>
            </w:r>
          </w:p>
        </w:tc>
      </w:tr>
      <w:tr w:rsidR="007D419B" w:rsidRPr="00B83A18" w14:paraId="6BFFDECB" w14:textId="77777777" w:rsidTr="002C718A">
        <w:trPr>
          <w:trHeight w:val="300"/>
        </w:trPr>
        <w:tc>
          <w:tcPr>
            <w:tcW w:w="1525" w:type="dxa"/>
            <w:noWrap/>
            <w:vAlign w:val="center"/>
            <w:hideMark/>
          </w:tcPr>
          <w:p w14:paraId="3D689785" w14:textId="77777777" w:rsidR="007D419B" w:rsidRPr="00B83A18" w:rsidRDefault="007D419B" w:rsidP="00696E8F">
            <w:pPr>
              <w:rPr>
                <w:rFonts w:cs="Arial"/>
                <w:color w:val="000000"/>
              </w:rPr>
            </w:pPr>
            <w:r w:rsidRPr="00B83A18">
              <w:rPr>
                <w:rFonts w:cs="Arial"/>
                <w:color w:val="000000"/>
              </w:rPr>
              <w:t>04100AH</w:t>
            </w:r>
          </w:p>
        </w:tc>
        <w:tc>
          <w:tcPr>
            <w:tcW w:w="8128" w:type="dxa"/>
            <w:noWrap/>
            <w:vAlign w:val="center"/>
            <w:hideMark/>
          </w:tcPr>
          <w:p w14:paraId="7089A806" w14:textId="77777777" w:rsidR="007D419B" w:rsidRPr="00B83A18" w:rsidRDefault="007D419B" w:rsidP="00696E8F">
            <w:pPr>
              <w:rPr>
                <w:rFonts w:cs="Arial"/>
                <w:color w:val="000000"/>
              </w:rPr>
            </w:pPr>
            <w:r w:rsidRPr="00B83A18">
              <w:rPr>
                <w:rFonts w:cs="Arial"/>
                <w:color w:val="000000"/>
              </w:rPr>
              <w:t>Bypass Abdominal Aorta to Right Femoral Artery with Autologous Arterial Tissue, Open Approach</w:t>
            </w:r>
          </w:p>
        </w:tc>
      </w:tr>
      <w:tr w:rsidR="007D419B" w:rsidRPr="00B83A18" w14:paraId="3777931A" w14:textId="77777777" w:rsidTr="002C718A">
        <w:trPr>
          <w:trHeight w:val="300"/>
        </w:trPr>
        <w:tc>
          <w:tcPr>
            <w:tcW w:w="1525" w:type="dxa"/>
            <w:noWrap/>
            <w:vAlign w:val="center"/>
            <w:hideMark/>
          </w:tcPr>
          <w:p w14:paraId="5213123F" w14:textId="77777777" w:rsidR="007D419B" w:rsidRPr="00B83A18" w:rsidRDefault="007D419B" w:rsidP="00696E8F">
            <w:pPr>
              <w:rPr>
                <w:rFonts w:cs="Arial"/>
                <w:color w:val="000000"/>
              </w:rPr>
            </w:pPr>
            <w:r w:rsidRPr="00B83A18">
              <w:rPr>
                <w:rFonts w:cs="Arial"/>
                <w:color w:val="000000"/>
              </w:rPr>
              <w:t>04100AJ</w:t>
            </w:r>
          </w:p>
        </w:tc>
        <w:tc>
          <w:tcPr>
            <w:tcW w:w="8128" w:type="dxa"/>
            <w:noWrap/>
            <w:vAlign w:val="center"/>
            <w:hideMark/>
          </w:tcPr>
          <w:p w14:paraId="40AFE882" w14:textId="77777777" w:rsidR="007D419B" w:rsidRPr="00B83A18" w:rsidRDefault="007D419B" w:rsidP="00696E8F">
            <w:pPr>
              <w:rPr>
                <w:rFonts w:cs="Arial"/>
                <w:color w:val="000000"/>
              </w:rPr>
            </w:pPr>
            <w:r w:rsidRPr="00B83A18">
              <w:rPr>
                <w:rFonts w:cs="Arial"/>
                <w:color w:val="000000"/>
              </w:rPr>
              <w:t>Bypass Abdominal Aorta to Left Femoral Artery with Autologous Arterial Tissue, Open Approach</w:t>
            </w:r>
          </w:p>
        </w:tc>
      </w:tr>
      <w:tr w:rsidR="007D419B" w:rsidRPr="00B83A18" w14:paraId="6895E9F7" w14:textId="77777777" w:rsidTr="002C718A">
        <w:trPr>
          <w:trHeight w:val="300"/>
        </w:trPr>
        <w:tc>
          <w:tcPr>
            <w:tcW w:w="1525" w:type="dxa"/>
            <w:noWrap/>
            <w:vAlign w:val="center"/>
            <w:hideMark/>
          </w:tcPr>
          <w:p w14:paraId="0153180D" w14:textId="77777777" w:rsidR="007D419B" w:rsidRPr="00B83A18" w:rsidRDefault="007D419B" w:rsidP="00696E8F">
            <w:pPr>
              <w:rPr>
                <w:rFonts w:cs="Arial"/>
                <w:color w:val="000000"/>
              </w:rPr>
            </w:pPr>
            <w:r w:rsidRPr="00B83A18">
              <w:rPr>
                <w:rFonts w:cs="Arial"/>
                <w:color w:val="000000"/>
              </w:rPr>
              <w:t>04100AK</w:t>
            </w:r>
          </w:p>
        </w:tc>
        <w:tc>
          <w:tcPr>
            <w:tcW w:w="8128" w:type="dxa"/>
            <w:noWrap/>
            <w:vAlign w:val="center"/>
            <w:hideMark/>
          </w:tcPr>
          <w:p w14:paraId="6BCE68C3" w14:textId="77777777" w:rsidR="007D419B" w:rsidRPr="00B83A18" w:rsidRDefault="007D419B" w:rsidP="00696E8F">
            <w:pPr>
              <w:rPr>
                <w:rFonts w:cs="Arial"/>
                <w:color w:val="000000"/>
              </w:rPr>
            </w:pPr>
            <w:r w:rsidRPr="00B83A18">
              <w:rPr>
                <w:rFonts w:cs="Arial"/>
                <w:color w:val="000000"/>
              </w:rPr>
              <w:t>Bypass Abdominal Aorta to Bilateral Femoral Arteries with Autologous Arterial Tissue, Open Approach</w:t>
            </w:r>
          </w:p>
        </w:tc>
      </w:tr>
      <w:tr w:rsidR="007D419B" w:rsidRPr="00B83A18" w14:paraId="3ECE776B" w14:textId="77777777" w:rsidTr="002C718A">
        <w:trPr>
          <w:trHeight w:val="300"/>
        </w:trPr>
        <w:tc>
          <w:tcPr>
            <w:tcW w:w="1525" w:type="dxa"/>
            <w:noWrap/>
            <w:vAlign w:val="center"/>
            <w:hideMark/>
          </w:tcPr>
          <w:p w14:paraId="5A3D881D" w14:textId="77777777" w:rsidR="007D419B" w:rsidRPr="00B83A18" w:rsidRDefault="007D419B" w:rsidP="00696E8F">
            <w:pPr>
              <w:rPr>
                <w:rFonts w:cs="Arial"/>
                <w:color w:val="000000"/>
              </w:rPr>
            </w:pPr>
            <w:r w:rsidRPr="00B83A18">
              <w:rPr>
                <w:rFonts w:cs="Arial"/>
                <w:color w:val="000000"/>
              </w:rPr>
              <w:t>04100AQ</w:t>
            </w:r>
          </w:p>
        </w:tc>
        <w:tc>
          <w:tcPr>
            <w:tcW w:w="8128" w:type="dxa"/>
            <w:noWrap/>
            <w:vAlign w:val="center"/>
            <w:hideMark/>
          </w:tcPr>
          <w:p w14:paraId="059BA325" w14:textId="77777777" w:rsidR="007D419B" w:rsidRPr="00B83A18" w:rsidRDefault="007D419B" w:rsidP="00696E8F">
            <w:pPr>
              <w:rPr>
                <w:rFonts w:cs="Arial"/>
                <w:color w:val="000000"/>
              </w:rPr>
            </w:pPr>
            <w:r w:rsidRPr="00B83A18">
              <w:rPr>
                <w:rFonts w:cs="Arial"/>
                <w:color w:val="000000"/>
              </w:rPr>
              <w:t>Bypass Abdominal Aorta to Lower Extremity Artery with Autologous Arterial Tissue, Open Approach</w:t>
            </w:r>
          </w:p>
        </w:tc>
      </w:tr>
      <w:tr w:rsidR="007D419B" w:rsidRPr="00B83A18" w14:paraId="52FC653F" w14:textId="77777777" w:rsidTr="002C718A">
        <w:trPr>
          <w:trHeight w:val="300"/>
        </w:trPr>
        <w:tc>
          <w:tcPr>
            <w:tcW w:w="1525" w:type="dxa"/>
            <w:noWrap/>
            <w:vAlign w:val="center"/>
            <w:hideMark/>
          </w:tcPr>
          <w:p w14:paraId="11C80776" w14:textId="77777777" w:rsidR="007D419B" w:rsidRPr="00B83A18" w:rsidRDefault="007D419B" w:rsidP="00696E8F">
            <w:pPr>
              <w:rPr>
                <w:rFonts w:cs="Arial"/>
                <w:color w:val="000000"/>
              </w:rPr>
            </w:pPr>
            <w:r w:rsidRPr="00B83A18">
              <w:rPr>
                <w:rFonts w:cs="Arial"/>
                <w:color w:val="000000"/>
              </w:rPr>
              <w:t>04100AR</w:t>
            </w:r>
          </w:p>
        </w:tc>
        <w:tc>
          <w:tcPr>
            <w:tcW w:w="8128" w:type="dxa"/>
            <w:noWrap/>
            <w:vAlign w:val="center"/>
            <w:hideMark/>
          </w:tcPr>
          <w:p w14:paraId="41D2E733" w14:textId="77777777" w:rsidR="007D419B" w:rsidRPr="00B83A18" w:rsidRDefault="007D419B" w:rsidP="00696E8F">
            <w:pPr>
              <w:rPr>
                <w:rFonts w:cs="Arial"/>
                <w:color w:val="000000"/>
              </w:rPr>
            </w:pPr>
            <w:r w:rsidRPr="00B83A18">
              <w:rPr>
                <w:rFonts w:cs="Arial"/>
                <w:color w:val="000000"/>
              </w:rPr>
              <w:t>Bypass Abdominal Aorta to Lower Artery with Autologous Arterial Tissue, Open Approach</w:t>
            </w:r>
          </w:p>
        </w:tc>
      </w:tr>
      <w:tr w:rsidR="007D419B" w:rsidRPr="00B83A18" w14:paraId="32817F49" w14:textId="77777777" w:rsidTr="002C718A">
        <w:trPr>
          <w:trHeight w:val="300"/>
        </w:trPr>
        <w:tc>
          <w:tcPr>
            <w:tcW w:w="1525" w:type="dxa"/>
            <w:noWrap/>
            <w:vAlign w:val="center"/>
            <w:hideMark/>
          </w:tcPr>
          <w:p w14:paraId="37C4F3EF" w14:textId="77777777" w:rsidR="007D419B" w:rsidRPr="00B83A18" w:rsidRDefault="007D419B" w:rsidP="00696E8F">
            <w:pPr>
              <w:rPr>
                <w:rFonts w:cs="Arial"/>
                <w:color w:val="000000"/>
              </w:rPr>
            </w:pPr>
            <w:r w:rsidRPr="00B83A18">
              <w:rPr>
                <w:rFonts w:cs="Arial"/>
                <w:color w:val="000000"/>
              </w:rPr>
              <w:t>04100J0</w:t>
            </w:r>
          </w:p>
        </w:tc>
        <w:tc>
          <w:tcPr>
            <w:tcW w:w="8128" w:type="dxa"/>
            <w:noWrap/>
            <w:vAlign w:val="center"/>
            <w:hideMark/>
          </w:tcPr>
          <w:p w14:paraId="19CEEDB2" w14:textId="77777777" w:rsidR="007D419B" w:rsidRPr="00B83A18" w:rsidRDefault="007D419B" w:rsidP="00696E8F">
            <w:pPr>
              <w:rPr>
                <w:rFonts w:cs="Arial"/>
                <w:color w:val="000000"/>
              </w:rPr>
            </w:pPr>
            <w:r w:rsidRPr="00B83A18">
              <w:rPr>
                <w:rFonts w:cs="Arial"/>
                <w:color w:val="000000"/>
              </w:rPr>
              <w:t>Bypass Abdominal Aorta to Abdominal Aorta with Synthetic Substitute, Open Approach</w:t>
            </w:r>
          </w:p>
        </w:tc>
      </w:tr>
      <w:tr w:rsidR="007D419B" w:rsidRPr="00B83A18" w14:paraId="107669EF" w14:textId="77777777" w:rsidTr="002C718A">
        <w:trPr>
          <w:trHeight w:val="300"/>
        </w:trPr>
        <w:tc>
          <w:tcPr>
            <w:tcW w:w="1525" w:type="dxa"/>
            <w:noWrap/>
            <w:vAlign w:val="center"/>
            <w:hideMark/>
          </w:tcPr>
          <w:p w14:paraId="2CFCE126" w14:textId="77777777" w:rsidR="007D419B" w:rsidRPr="00B83A18" w:rsidRDefault="007D419B" w:rsidP="00696E8F">
            <w:pPr>
              <w:rPr>
                <w:rFonts w:cs="Arial"/>
                <w:color w:val="000000"/>
              </w:rPr>
            </w:pPr>
            <w:r w:rsidRPr="00B83A18">
              <w:rPr>
                <w:rFonts w:cs="Arial"/>
                <w:color w:val="000000"/>
              </w:rPr>
              <w:t>04100J1</w:t>
            </w:r>
          </w:p>
        </w:tc>
        <w:tc>
          <w:tcPr>
            <w:tcW w:w="8128" w:type="dxa"/>
            <w:noWrap/>
            <w:vAlign w:val="center"/>
            <w:hideMark/>
          </w:tcPr>
          <w:p w14:paraId="7C56292C" w14:textId="77777777" w:rsidR="007D419B" w:rsidRPr="00B83A18" w:rsidRDefault="007D419B" w:rsidP="00696E8F">
            <w:pPr>
              <w:rPr>
                <w:rFonts w:cs="Arial"/>
                <w:color w:val="000000"/>
              </w:rPr>
            </w:pPr>
            <w:r w:rsidRPr="00B83A18">
              <w:rPr>
                <w:rFonts w:cs="Arial"/>
                <w:color w:val="000000"/>
              </w:rPr>
              <w:t>Bypass Abdominal Aorta to Celiac Artery with Synthetic Substitute, Open Approach</w:t>
            </w:r>
          </w:p>
        </w:tc>
      </w:tr>
      <w:tr w:rsidR="007D419B" w:rsidRPr="00B83A18" w14:paraId="35CB7D35" w14:textId="77777777" w:rsidTr="002C718A">
        <w:trPr>
          <w:trHeight w:val="300"/>
        </w:trPr>
        <w:tc>
          <w:tcPr>
            <w:tcW w:w="1525" w:type="dxa"/>
            <w:noWrap/>
            <w:vAlign w:val="center"/>
            <w:hideMark/>
          </w:tcPr>
          <w:p w14:paraId="29CAAD7F" w14:textId="77777777" w:rsidR="007D419B" w:rsidRPr="00B83A18" w:rsidRDefault="007D419B" w:rsidP="00696E8F">
            <w:pPr>
              <w:rPr>
                <w:rFonts w:cs="Arial"/>
                <w:color w:val="000000"/>
              </w:rPr>
            </w:pPr>
            <w:r w:rsidRPr="00B83A18">
              <w:rPr>
                <w:rFonts w:cs="Arial"/>
                <w:color w:val="000000"/>
              </w:rPr>
              <w:t>04100J2</w:t>
            </w:r>
          </w:p>
        </w:tc>
        <w:tc>
          <w:tcPr>
            <w:tcW w:w="8128" w:type="dxa"/>
            <w:noWrap/>
            <w:vAlign w:val="center"/>
            <w:hideMark/>
          </w:tcPr>
          <w:p w14:paraId="5F6EB967" w14:textId="77777777" w:rsidR="007D419B" w:rsidRPr="00B83A18" w:rsidRDefault="007D419B" w:rsidP="00696E8F">
            <w:pPr>
              <w:rPr>
                <w:rFonts w:cs="Arial"/>
                <w:color w:val="000000"/>
              </w:rPr>
            </w:pPr>
            <w:r w:rsidRPr="00B83A18">
              <w:rPr>
                <w:rFonts w:cs="Arial"/>
                <w:color w:val="000000"/>
              </w:rPr>
              <w:t>Bypass Abdominal Aorta to Mesenteric Artery with Synthetic Substitute, Open Approach</w:t>
            </w:r>
          </w:p>
        </w:tc>
      </w:tr>
      <w:tr w:rsidR="007D419B" w:rsidRPr="00B83A18" w14:paraId="5803E00D" w14:textId="77777777" w:rsidTr="002C718A">
        <w:trPr>
          <w:trHeight w:val="300"/>
        </w:trPr>
        <w:tc>
          <w:tcPr>
            <w:tcW w:w="1525" w:type="dxa"/>
            <w:noWrap/>
            <w:vAlign w:val="center"/>
            <w:hideMark/>
          </w:tcPr>
          <w:p w14:paraId="5A8F3D75" w14:textId="77777777" w:rsidR="007D419B" w:rsidRPr="00B83A18" w:rsidRDefault="007D419B" w:rsidP="00696E8F">
            <w:pPr>
              <w:rPr>
                <w:rFonts w:cs="Arial"/>
                <w:color w:val="000000"/>
              </w:rPr>
            </w:pPr>
            <w:r w:rsidRPr="00B83A18">
              <w:rPr>
                <w:rFonts w:cs="Arial"/>
                <w:color w:val="000000"/>
              </w:rPr>
              <w:t>04100J3</w:t>
            </w:r>
          </w:p>
        </w:tc>
        <w:tc>
          <w:tcPr>
            <w:tcW w:w="8128" w:type="dxa"/>
            <w:noWrap/>
            <w:vAlign w:val="center"/>
            <w:hideMark/>
          </w:tcPr>
          <w:p w14:paraId="44359E3A" w14:textId="77777777" w:rsidR="007D419B" w:rsidRPr="00B83A18" w:rsidRDefault="007D419B" w:rsidP="00696E8F">
            <w:pPr>
              <w:rPr>
                <w:rFonts w:cs="Arial"/>
                <w:color w:val="000000"/>
              </w:rPr>
            </w:pPr>
            <w:r w:rsidRPr="00B83A18">
              <w:rPr>
                <w:rFonts w:cs="Arial"/>
                <w:color w:val="000000"/>
              </w:rPr>
              <w:t>Bypass Abdominal Aorta to Right Renal Artery with Synthetic Substitute, Open Approach</w:t>
            </w:r>
          </w:p>
        </w:tc>
      </w:tr>
      <w:tr w:rsidR="007D419B" w:rsidRPr="00B83A18" w14:paraId="386F7A87" w14:textId="77777777" w:rsidTr="002C718A">
        <w:trPr>
          <w:trHeight w:val="300"/>
        </w:trPr>
        <w:tc>
          <w:tcPr>
            <w:tcW w:w="1525" w:type="dxa"/>
            <w:noWrap/>
            <w:vAlign w:val="center"/>
            <w:hideMark/>
          </w:tcPr>
          <w:p w14:paraId="27B7296B" w14:textId="77777777" w:rsidR="007D419B" w:rsidRPr="00B83A18" w:rsidRDefault="007D419B" w:rsidP="00696E8F">
            <w:pPr>
              <w:rPr>
                <w:rFonts w:cs="Arial"/>
                <w:color w:val="000000"/>
              </w:rPr>
            </w:pPr>
            <w:r w:rsidRPr="00B83A18">
              <w:rPr>
                <w:rFonts w:cs="Arial"/>
                <w:color w:val="000000"/>
              </w:rPr>
              <w:t>04100J4</w:t>
            </w:r>
          </w:p>
        </w:tc>
        <w:tc>
          <w:tcPr>
            <w:tcW w:w="8128" w:type="dxa"/>
            <w:noWrap/>
            <w:vAlign w:val="center"/>
            <w:hideMark/>
          </w:tcPr>
          <w:p w14:paraId="38BCA76B" w14:textId="77777777" w:rsidR="007D419B" w:rsidRPr="00B83A18" w:rsidRDefault="007D419B" w:rsidP="00696E8F">
            <w:pPr>
              <w:rPr>
                <w:rFonts w:cs="Arial"/>
                <w:color w:val="000000"/>
              </w:rPr>
            </w:pPr>
            <w:r w:rsidRPr="00B83A18">
              <w:rPr>
                <w:rFonts w:cs="Arial"/>
                <w:color w:val="000000"/>
              </w:rPr>
              <w:t>Bypass Abdominal Aorta to Left Renal Artery with Synthetic Substitute, Open Approach</w:t>
            </w:r>
          </w:p>
        </w:tc>
      </w:tr>
      <w:tr w:rsidR="007D419B" w:rsidRPr="00B83A18" w14:paraId="1FC2FC40" w14:textId="77777777" w:rsidTr="002C718A">
        <w:trPr>
          <w:trHeight w:val="300"/>
        </w:trPr>
        <w:tc>
          <w:tcPr>
            <w:tcW w:w="1525" w:type="dxa"/>
            <w:noWrap/>
            <w:vAlign w:val="center"/>
            <w:hideMark/>
          </w:tcPr>
          <w:p w14:paraId="27BC71E6" w14:textId="77777777" w:rsidR="007D419B" w:rsidRPr="00B83A18" w:rsidRDefault="007D419B" w:rsidP="00696E8F">
            <w:pPr>
              <w:rPr>
                <w:rFonts w:cs="Arial"/>
                <w:color w:val="000000"/>
              </w:rPr>
            </w:pPr>
            <w:r w:rsidRPr="00B83A18">
              <w:rPr>
                <w:rFonts w:cs="Arial"/>
                <w:color w:val="000000"/>
              </w:rPr>
              <w:t>04100J5</w:t>
            </w:r>
          </w:p>
        </w:tc>
        <w:tc>
          <w:tcPr>
            <w:tcW w:w="8128" w:type="dxa"/>
            <w:noWrap/>
            <w:vAlign w:val="center"/>
            <w:hideMark/>
          </w:tcPr>
          <w:p w14:paraId="036A4AC4" w14:textId="77777777" w:rsidR="007D419B" w:rsidRPr="00B83A18" w:rsidRDefault="007D419B" w:rsidP="00696E8F">
            <w:pPr>
              <w:rPr>
                <w:rFonts w:cs="Arial"/>
                <w:color w:val="000000"/>
              </w:rPr>
            </w:pPr>
            <w:r w:rsidRPr="00B83A18">
              <w:rPr>
                <w:rFonts w:cs="Arial"/>
                <w:color w:val="000000"/>
              </w:rPr>
              <w:t>Bypass Abdominal Aorta to Bilateral Renal Artery with Synthetic Substitute, Open Approach</w:t>
            </w:r>
          </w:p>
        </w:tc>
      </w:tr>
      <w:tr w:rsidR="007D419B" w:rsidRPr="00B83A18" w14:paraId="64A9977A" w14:textId="77777777" w:rsidTr="002C718A">
        <w:trPr>
          <w:trHeight w:val="300"/>
        </w:trPr>
        <w:tc>
          <w:tcPr>
            <w:tcW w:w="1525" w:type="dxa"/>
            <w:noWrap/>
            <w:vAlign w:val="center"/>
            <w:hideMark/>
          </w:tcPr>
          <w:p w14:paraId="1653DBD3" w14:textId="77777777" w:rsidR="007D419B" w:rsidRPr="00B83A18" w:rsidRDefault="007D419B" w:rsidP="00696E8F">
            <w:pPr>
              <w:rPr>
                <w:rFonts w:cs="Arial"/>
                <w:color w:val="000000"/>
              </w:rPr>
            </w:pPr>
            <w:r w:rsidRPr="00B83A18">
              <w:rPr>
                <w:rFonts w:cs="Arial"/>
                <w:color w:val="000000"/>
              </w:rPr>
              <w:t>04100J6</w:t>
            </w:r>
          </w:p>
        </w:tc>
        <w:tc>
          <w:tcPr>
            <w:tcW w:w="8128" w:type="dxa"/>
            <w:noWrap/>
            <w:vAlign w:val="center"/>
            <w:hideMark/>
          </w:tcPr>
          <w:p w14:paraId="2A24E673" w14:textId="77777777" w:rsidR="007D419B" w:rsidRPr="00B83A18" w:rsidRDefault="007D419B" w:rsidP="00696E8F">
            <w:pPr>
              <w:rPr>
                <w:rFonts w:cs="Arial"/>
                <w:color w:val="000000"/>
              </w:rPr>
            </w:pPr>
            <w:r w:rsidRPr="00B83A18">
              <w:rPr>
                <w:rFonts w:cs="Arial"/>
                <w:color w:val="000000"/>
              </w:rPr>
              <w:t>Bypass Abdominal Aorta to Right Common Iliac Artery with Synthetic Substitute, Open Approach</w:t>
            </w:r>
          </w:p>
        </w:tc>
      </w:tr>
      <w:tr w:rsidR="007D419B" w:rsidRPr="00B83A18" w14:paraId="02401CD8" w14:textId="77777777" w:rsidTr="002C718A">
        <w:trPr>
          <w:trHeight w:val="300"/>
        </w:trPr>
        <w:tc>
          <w:tcPr>
            <w:tcW w:w="1525" w:type="dxa"/>
            <w:noWrap/>
            <w:vAlign w:val="center"/>
            <w:hideMark/>
          </w:tcPr>
          <w:p w14:paraId="59250B05" w14:textId="77777777" w:rsidR="007D419B" w:rsidRPr="00B83A18" w:rsidRDefault="007D419B" w:rsidP="00696E8F">
            <w:pPr>
              <w:rPr>
                <w:rFonts w:cs="Arial"/>
                <w:color w:val="000000"/>
              </w:rPr>
            </w:pPr>
            <w:r w:rsidRPr="00B83A18">
              <w:rPr>
                <w:rFonts w:cs="Arial"/>
                <w:color w:val="000000"/>
              </w:rPr>
              <w:t>04100J7</w:t>
            </w:r>
          </w:p>
        </w:tc>
        <w:tc>
          <w:tcPr>
            <w:tcW w:w="8128" w:type="dxa"/>
            <w:noWrap/>
            <w:vAlign w:val="center"/>
            <w:hideMark/>
          </w:tcPr>
          <w:p w14:paraId="7D24A7A3" w14:textId="77777777" w:rsidR="007D419B" w:rsidRPr="00B83A18" w:rsidRDefault="007D419B" w:rsidP="00696E8F">
            <w:pPr>
              <w:rPr>
                <w:rFonts w:cs="Arial"/>
                <w:color w:val="000000"/>
              </w:rPr>
            </w:pPr>
            <w:r w:rsidRPr="00B83A18">
              <w:rPr>
                <w:rFonts w:cs="Arial"/>
                <w:color w:val="000000"/>
              </w:rPr>
              <w:t>Bypass Abdominal Aorta to Left Common Iliac Artery with Synthetic Substitute, Open Approach</w:t>
            </w:r>
          </w:p>
        </w:tc>
      </w:tr>
      <w:tr w:rsidR="007D419B" w:rsidRPr="00B83A18" w14:paraId="37D5B483" w14:textId="77777777" w:rsidTr="002C718A">
        <w:trPr>
          <w:trHeight w:val="300"/>
        </w:trPr>
        <w:tc>
          <w:tcPr>
            <w:tcW w:w="1525" w:type="dxa"/>
            <w:noWrap/>
            <w:vAlign w:val="center"/>
            <w:hideMark/>
          </w:tcPr>
          <w:p w14:paraId="709F2B0F" w14:textId="77777777" w:rsidR="007D419B" w:rsidRPr="00B83A18" w:rsidRDefault="007D419B" w:rsidP="00696E8F">
            <w:pPr>
              <w:rPr>
                <w:rFonts w:cs="Arial"/>
                <w:color w:val="000000"/>
              </w:rPr>
            </w:pPr>
            <w:r w:rsidRPr="00B83A18">
              <w:rPr>
                <w:rFonts w:cs="Arial"/>
                <w:color w:val="000000"/>
              </w:rPr>
              <w:t>04100J8</w:t>
            </w:r>
          </w:p>
        </w:tc>
        <w:tc>
          <w:tcPr>
            <w:tcW w:w="8128" w:type="dxa"/>
            <w:noWrap/>
            <w:vAlign w:val="center"/>
            <w:hideMark/>
          </w:tcPr>
          <w:p w14:paraId="2543DF2E" w14:textId="77777777" w:rsidR="007D419B" w:rsidRPr="00B83A18" w:rsidRDefault="007D419B" w:rsidP="00696E8F">
            <w:pPr>
              <w:rPr>
                <w:rFonts w:cs="Arial"/>
                <w:color w:val="000000"/>
              </w:rPr>
            </w:pPr>
            <w:r w:rsidRPr="00B83A18">
              <w:rPr>
                <w:rFonts w:cs="Arial"/>
                <w:color w:val="000000"/>
              </w:rPr>
              <w:t>Bypass Abdominal Aorta to Bilateral Common Iliac Arteries with Synthetic Substitute, Open Approach</w:t>
            </w:r>
          </w:p>
        </w:tc>
      </w:tr>
      <w:tr w:rsidR="007D419B" w:rsidRPr="00B83A18" w14:paraId="51E8A812" w14:textId="77777777" w:rsidTr="002C718A">
        <w:trPr>
          <w:trHeight w:val="300"/>
        </w:trPr>
        <w:tc>
          <w:tcPr>
            <w:tcW w:w="1525" w:type="dxa"/>
            <w:noWrap/>
            <w:vAlign w:val="center"/>
            <w:hideMark/>
          </w:tcPr>
          <w:p w14:paraId="1C7AE666" w14:textId="77777777" w:rsidR="007D419B" w:rsidRPr="00B83A18" w:rsidRDefault="007D419B" w:rsidP="00696E8F">
            <w:pPr>
              <w:rPr>
                <w:rFonts w:cs="Arial"/>
                <w:color w:val="000000"/>
              </w:rPr>
            </w:pPr>
            <w:r w:rsidRPr="00B83A18">
              <w:rPr>
                <w:rFonts w:cs="Arial"/>
                <w:color w:val="000000"/>
              </w:rPr>
              <w:lastRenderedPageBreak/>
              <w:t>04100J9</w:t>
            </w:r>
          </w:p>
        </w:tc>
        <w:tc>
          <w:tcPr>
            <w:tcW w:w="8128" w:type="dxa"/>
            <w:noWrap/>
            <w:vAlign w:val="center"/>
            <w:hideMark/>
          </w:tcPr>
          <w:p w14:paraId="31E5A49B" w14:textId="77777777" w:rsidR="007D419B" w:rsidRPr="00B83A18" w:rsidRDefault="007D419B" w:rsidP="00696E8F">
            <w:pPr>
              <w:rPr>
                <w:rFonts w:cs="Arial"/>
                <w:color w:val="000000"/>
              </w:rPr>
            </w:pPr>
            <w:r w:rsidRPr="00B83A18">
              <w:rPr>
                <w:rFonts w:cs="Arial"/>
                <w:color w:val="000000"/>
              </w:rPr>
              <w:t>Bypass Abdominal Aorta to Right Internal Iliac Artery with Synthetic Substitute, Open Approach</w:t>
            </w:r>
          </w:p>
        </w:tc>
      </w:tr>
      <w:tr w:rsidR="007D419B" w:rsidRPr="00B83A18" w14:paraId="0F1BE425" w14:textId="77777777" w:rsidTr="002C718A">
        <w:trPr>
          <w:trHeight w:val="300"/>
        </w:trPr>
        <w:tc>
          <w:tcPr>
            <w:tcW w:w="1525" w:type="dxa"/>
            <w:noWrap/>
            <w:vAlign w:val="center"/>
            <w:hideMark/>
          </w:tcPr>
          <w:p w14:paraId="6584AB9B" w14:textId="77777777" w:rsidR="007D419B" w:rsidRPr="00B83A18" w:rsidRDefault="007D419B" w:rsidP="00696E8F">
            <w:pPr>
              <w:rPr>
                <w:rFonts w:cs="Arial"/>
                <w:color w:val="000000"/>
              </w:rPr>
            </w:pPr>
            <w:r w:rsidRPr="00B83A18">
              <w:rPr>
                <w:rFonts w:cs="Arial"/>
                <w:color w:val="000000"/>
              </w:rPr>
              <w:t>04100JB</w:t>
            </w:r>
          </w:p>
        </w:tc>
        <w:tc>
          <w:tcPr>
            <w:tcW w:w="8128" w:type="dxa"/>
            <w:noWrap/>
            <w:vAlign w:val="center"/>
            <w:hideMark/>
          </w:tcPr>
          <w:p w14:paraId="2DB836D2" w14:textId="77777777" w:rsidR="007D419B" w:rsidRPr="00B83A18" w:rsidRDefault="007D419B" w:rsidP="00696E8F">
            <w:pPr>
              <w:rPr>
                <w:rFonts w:cs="Arial"/>
                <w:color w:val="000000"/>
              </w:rPr>
            </w:pPr>
            <w:r w:rsidRPr="00B83A18">
              <w:rPr>
                <w:rFonts w:cs="Arial"/>
                <w:color w:val="000000"/>
              </w:rPr>
              <w:t>Bypass Abdominal Aorta to Left Internal Iliac Artery with Synthetic Substitute, Open Approach</w:t>
            </w:r>
          </w:p>
        </w:tc>
      </w:tr>
      <w:tr w:rsidR="007D419B" w:rsidRPr="00B83A18" w14:paraId="5CD393CD" w14:textId="77777777" w:rsidTr="002C718A">
        <w:trPr>
          <w:trHeight w:val="300"/>
        </w:trPr>
        <w:tc>
          <w:tcPr>
            <w:tcW w:w="1525" w:type="dxa"/>
            <w:noWrap/>
            <w:vAlign w:val="center"/>
            <w:hideMark/>
          </w:tcPr>
          <w:p w14:paraId="3C0C085A" w14:textId="77777777" w:rsidR="007D419B" w:rsidRPr="00B83A18" w:rsidRDefault="007D419B" w:rsidP="00696E8F">
            <w:pPr>
              <w:rPr>
                <w:rFonts w:cs="Arial"/>
                <w:color w:val="000000"/>
              </w:rPr>
            </w:pPr>
            <w:r w:rsidRPr="00B83A18">
              <w:rPr>
                <w:rFonts w:cs="Arial"/>
                <w:color w:val="000000"/>
              </w:rPr>
              <w:t>04100JC</w:t>
            </w:r>
          </w:p>
        </w:tc>
        <w:tc>
          <w:tcPr>
            <w:tcW w:w="8128" w:type="dxa"/>
            <w:noWrap/>
            <w:vAlign w:val="center"/>
            <w:hideMark/>
          </w:tcPr>
          <w:p w14:paraId="34A94547" w14:textId="77777777" w:rsidR="007D419B" w:rsidRPr="00B83A18" w:rsidRDefault="007D419B" w:rsidP="00696E8F">
            <w:pPr>
              <w:rPr>
                <w:rFonts w:cs="Arial"/>
                <w:color w:val="000000"/>
              </w:rPr>
            </w:pPr>
            <w:r w:rsidRPr="00B83A18">
              <w:rPr>
                <w:rFonts w:cs="Arial"/>
                <w:color w:val="000000"/>
              </w:rPr>
              <w:t>Bypass Abdominal Aorta to Bilateral Internal Iliac Arteries with Synthetic Substitute, Open Approach</w:t>
            </w:r>
          </w:p>
        </w:tc>
      </w:tr>
      <w:tr w:rsidR="007D419B" w:rsidRPr="00B83A18" w14:paraId="78D532C0" w14:textId="77777777" w:rsidTr="002C718A">
        <w:trPr>
          <w:trHeight w:val="300"/>
        </w:trPr>
        <w:tc>
          <w:tcPr>
            <w:tcW w:w="1525" w:type="dxa"/>
            <w:noWrap/>
            <w:vAlign w:val="center"/>
            <w:hideMark/>
          </w:tcPr>
          <w:p w14:paraId="3BDA059A" w14:textId="77777777" w:rsidR="007D419B" w:rsidRPr="00B83A18" w:rsidRDefault="007D419B" w:rsidP="00696E8F">
            <w:pPr>
              <w:rPr>
                <w:rFonts w:cs="Arial"/>
                <w:color w:val="000000"/>
              </w:rPr>
            </w:pPr>
            <w:r w:rsidRPr="00B83A18">
              <w:rPr>
                <w:rFonts w:cs="Arial"/>
                <w:color w:val="000000"/>
              </w:rPr>
              <w:t>04100JD</w:t>
            </w:r>
          </w:p>
        </w:tc>
        <w:tc>
          <w:tcPr>
            <w:tcW w:w="8128" w:type="dxa"/>
            <w:noWrap/>
            <w:vAlign w:val="center"/>
            <w:hideMark/>
          </w:tcPr>
          <w:p w14:paraId="3615AE87" w14:textId="77777777" w:rsidR="007D419B" w:rsidRPr="00B83A18" w:rsidRDefault="007D419B" w:rsidP="00696E8F">
            <w:pPr>
              <w:rPr>
                <w:rFonts w:cs="Arial"/>
                <w:color w:val="000000"/>
              </w:rPr>
            </w:pPr>
            <w:r w:rsidRPr="00B83A18">
              <w:rPr>
                <w:rFonts w:cs="Arial"/>
                <w:color w:val="000000"/>
              </w:rPr>
              <w:t>Bypass Abdominal Aorta to Right External Iliac Artery with Synthetic Substitute, Open Approach</w:t>
            </w:r>
          </w:p>
        </w:tc>
      </w:tr>
      <w:tr w:rsidR="007D419B" w:rsidRPr="00B83A18" w14:paraId="7F2160B8" w14:textId="77777777" w:rsidTr="002C718A">
        <w:trPr>
          <w:trHeight w:val="300"/>
        </w:trPr>
        <w:tc>
          <w:tcPr>
            <w:tcW w:w="1525" w:type="dxa"/>
            <w:noWrap/>
            <w:vAlign w:val="center"/>
            <w:hideMark/>
          </w:tcPr>
          <w:p w14:paraId="2608FB6B" w14:textId="77777777" w:rsidR="007D419B" w:rsidRPr="00B83A18" w:rsidRDefault="007D419B" w:rsidP="00696E8F">
            <w:pPr>
              <w:rPr>
                <w:rFonts w:cs="Arial"/>
                <w:color w:val="000000"/>
              </w:rPr>
            </w:pPr>
            <w:r w:rsidRPr="00B83A18">
              <w:rPr>
                <w:rFonts w:cs="Arial"/>
                <w:color w:val="000000"/>
              </w:rPr>
              <w:t>04100JF</w:t>
            </w:r>
          </w:p>
        </w:tc>
        <w:tc>
          <w:tcPr>
            <w:tcW w:w="8128" w:type="dxa"/>
            <w:noWrap/>
            <w:vAlign w:val="center"/>
            <w:hideMark/>
          </w:tcPr>
          <w:p w14:paraId="41A20187" w14:textId="77777777" w:rsidR="007D419B" w:rsidRPr="00B83A18" w:rsidRDefault="007D419B" w:rsidP="00696E8F">
            <w:pPr>
              <w:rPr>
                <w:rFonts w:cs="Arial"/>
                <w:color w:val="000000"/>
              </w:rPr>
            </w:pPr>
            <w:r w:rsidRPr="00B83A18">
              <w:rPr>
                <w:rFonts w:cs="Arial"/>
                <w:color w:val="000000"/>
              </w:rPr>
              <w:t>Bypass Abdominal Aorta to Left External Iliac Artery with Synthetic Substitute, Open Approach</w:t>
            </w:r>
          </w:p>
        </w:tc>
      </w:tr>
      <w:tr w:rsidR="007D419B" w:rsidRPr="00B83A18" w14:paraId="74D22673" w14:textId="77777777" w:rsidTr="002C718A">
        <w:trPr>
          <w:trHeight w:val="300"/>
        </w:trPr>
        <w:tc>
          <w:tcPr>
            <w:tcW w:w="1525" w:type="dxa"/>
            <w:noWrap/>
            <w:vAlign w:val="center"/>
            <w:hideMark/>
          </w:tcPr>
          <w:p w14:paraId="3E887A64" w14:textId="77777777" w:rsidR="007D419B" w:rsidRPr="00B83A18" w:rsidRDefault="007D419B" w:rsidP="00696E8F">
            <w:pPr>
              <w:rPr>
                <w:rFonts w:cs="Arial"/>
                <w:color w:val="000000"/>
              </w:rPr>
            </w:pPr>
            <w:r w:rsidRPr="00B83A18">
              <w:rPr>
                <w:rFonts w:cs="Arial"/>
                <w:color w:val="000000"/>
              </w:rPr>
              <w:t>04100JG</w:t>
            </w:r>
          </w:p>
        </w:tc>
        <w:tc>
          <w:tcPr>
            <w:tcW w:w="8128" w:type="dxa"/>
            <w:noWrap/>
            <w:vAlign w:val="center"/>
            <w:hideMark/>
          </w:tcPr>
          <w:p w14:paraId="14CC186F" w14:textId="77777777" w:rsidR="007D419B" w:rsidRPr="00B83A18" w:rsidRDefault="007D419B" w:rsidP="00696E8F">
            <w:pPr>
              <w:rPr>
                <w:rFonts w:cs="Arial"/>
                <w:color w:val="000000"/>
              </w:rPr>
            </w:pPr>
            <w:r w:rsidRPr="00B83A18">
              <w:rPr>
                <w:rFonts w:cs="Arial"/>
                <w:color w:val="000000"/>
              </w:rPr>
              <w:t>Bypass Abdominal Aorta to Bilateral External Iliac Arteries with Synthetic Substitute, Open Approach</w:t>
            </w:r>
          </w:p>
        </w:tc>
      </w:tr>
      <w:tr w:rsidR="007D419B" w:rsidRPr="00B83A18" w14:paraId="721C9B2F" w14:textId="77777777" w:rsidTr="002C718A">
        <w:trPr>
          <w:trHeight w:val="300"/>
        </w:trPr>
        <w:tc>
          <w:tcPr>
            <w:tcW w:w="1525" w:type="dxa"/>
            <w:noWrap/>
            <w:vAlign w:val="center"/>
            <w:hideMark/>
          </w:tcPr>
          <w:p w14:paraId="3D19F899" w14:textId="77777777" w:rsidR="007D419B" w:rsidRPr="00B83A18" w:rsidRDefault="007D419B" w:rsidP="00696E8F">
            <w:pPr>
              <w:rPr>
                <w:rFonts w:cs="Arial"/>
                <w:color w:val="000000"/>
              </w:rPr>
            </w:pPr>
            <w:r w:rsidRPr="00B83A18">
              <w:rPr>
                <w:rFonts w:cs="Arial"/>
                <w:color w:val="000000"/>
              </w:rPr>
              <w:t>04100JH</w:t>
            </w:r>
          </w:p>
        </w:tc>
        <w:tc>
          <w:tcPr>
            <w:tcW w:w="8128" w:type="dxa"/>
            <w:noWrap/>
            <w:vAlign w:val="center"/>
            <w:hideMark/>
          </w:tcPr>
          <w:p w14:paraId="2862D1F0" w14:textId="77777777" w:rsidR="007D419B" w:rsidRPr="00B83A18" w:rsidRDefault="007D419B" w:rsidP="00696E8F">
            <w:pPr>
              <w:rPr>
                <w:rFonts w:cs="Arial"/>
                <w:color w:val="000000"/>
              </w:rPr>
            </w:pPr>
            <w:r w:rsidRPr="00B83A18">
              <w:rPr>
                <w:rFonts w:cs="Arial"/>
                <w:color w:val="000000"/>
              </w:rPr>
              <w:t>Bypass Abdominal Aorta to Right Femoral Artery with Synthetic Substitute, Open Approach</w:t>
            </w:r>
          </w:p>
        </w:tc>
      </w:tr>
      <w:tr w:rsidR="007D419B" w:rsidRPr="00B83A18" w14:paraId="7B5C9B51" w14:textId="77777777" w:rsidTr="002C718A">
        <w:trPr>
          <w:trHeight w:val="300"/>
        </w:trPr>
        <w:tc>
          <w:tcPr>
            <w:tcW w:w="1525" w:type="dxa"/>
            <w:noWrap/>
            <w:vAlign w:val="center"/>
            <w:hideMark/>
          </w:tcPr>
          <w:p w14:paraId="4E7A405A" w14:textId="77777777" w:rsidR="007D419B" w:rsidRPr="00B83A18" w:rsidRDefault="007D419B" w:rsidP="00696E8F">
            <w:pPr>
              <w:rPr>
                <w:rFonts w:cs="Arial"/>
                <w:color w:val="000000"/>
              </w:rPr>
            </w:pPr>
            <w:r w:rsidRPr="00B83A18">
              <w:rPr>
                <w:rFonts w:cs="Arial"/>
                <w:color w:val="000000"/>
              </w:rPr>
              <w:t>04100JJ</w:t>
            </w:r>
          </w:p>
        </w:tc>
        <w:tc>
          <w:tcPr>
            <w:tcW w:w="8128" w:type="dxa"/>
            <w:noWrap/>
            <w:vAlign w:val="center"/>
            <w:hideMark/>
          </w:tcPr>
          <w:p w14:paraId="43039449" w14:textId="77777777" w:rsidR="007D419B" w:rsidRPr="00B83A18" w:rsidRDefault="007D419B" w:rsidP="00696E8F">
            <w:pPr>
              <w:rPr>
                <w:rFonts w:cs="Arial"/>
                <w:color w:val="000000"/>
              </w:rPr>
            </w:pPr>
            <w:r w:rsidRPr="00B83A18">
              <w:rPr>
                <w:rFonts w:cs="Arial"/>
                <w:color w:val="000000"/>
              </w:rPr>
              <w:t>Bypass Abdominal Aorta to Left Femoral Artery with Synthetic Substitute, Open Approach</w:t>
            </w:r>
          </w:p>
        </w:tc>
      </w:tr>
      <w:tr w:rsidR="007D419B" w:rsidRPr="00B83A18" w14:paraId="6E9CF658" w14:textId="77777777" w:rsidTr="002C718A">
        <w:trPr>
          <w:trHeight w:val="300"/>
        </w:trPr>
        <w:tc>
          <w:tcPr>
            <w:tcW w:w="1525" w:type="dxa"/>
            <w:noWrap/>
            <w:vAlign w:val="center"/>
            <w:hideMark/>
          </w:tcPr>
          <w:p w14:paraId="2ABF7AB9" w14:textId="77777777" w:rsidR="007D419B" w:rsidRPr="00B83A18" w:rsidRDefault="007D419B" w:rsidP="00696E8F">
            <w:pPr>
              <w:rPr>
                <w:rFonts w:cs="Arial"/>
                <w:color w:val="000000"/>
              </w:rPr>
            </w:pPr>
            <w:r w:rsidRPr="00B83A18">
              <w:rPr>
                <w:rFonts w:cs="Arial"/>
                <w:color w:val="000000"/>
              </w:rPr>
              <w:t>04100JK</w:t>
            </w:r>
          </w:p>
        </w:tc>
        <w:tc>
          <w:tcPr>
            <w:tcW w:w="8128" w:type="dxa"/>
            <w:noWrap/>
            <w:vAlign w:val="center"/>
            <w:hideMark/>
          </w:tcPr>
          <w:p w14:paraId="0ED3CE45" w14:textId="77777777" w:rsidR="007D419B" w:rsidRPr="00B83A18" w:rsidRDefault="007D419B" w:rsidP="00696E8F">
            <w:pPr>
              <w:rPr>
                <w:rFonts w:cs="Arial"/>
                <w:color w:val="000000"/>
              </w:rPr>
            </w:pPr>
            <w:r w:rsidRPr="00B83A18">
              <w:rPr>
                <w:rFonts w:cs="Arial"/>
                <w:color w:val="000000"/>
              </w:rPr>
              <w:t>Bypass Abdominal Aorta to Bilateral Femoral Arteries with Synthetic Substitute, Open Approach</w:t>
            </w:r>
          </w:p>
        </w:tc>
      </w:tr>
      <w:tr w:rsidR="007D419B" w:rsidRPr="00B83A18" w14:paraId="64FD4130" w14:textId="77777777" w:rsidTr="002C718A">
        <w:trPr>
          <w:trHeight w:val="300"/>
        </w:trPr>
        <w:tc>
          <w:tcPr>
            <w:tcW w:w="1525" w:type="dxa"/>
            <w:noWrap/>
            <w:vAlign w:val="center"/>
            <w:hideMark/>
          </w:tcPr>
          <w:p w14:paraId="16A38089" w14:textId="77777777" w:rsidR="007D419B" w:rsidRPr="00B83A18" w:rsidRDefault="007D419B" w:rsidP="00696E8F">
            <w:pPr>
              <w:rPr>
                <w:rFonts w:cs="Arial"/>
                <w:color w:val="000000"/>
              </w:rPr>
            </w:pPr>
            <w:r w:rsidRPr="00B83A18">
              <w:rPr>
                <w:rFonts w:cs="Arial"/>
                <w:color w:val="000000"/>
              </w:rPr>
              <w:t>04100JQ</w:t>
            </w:r>
          </w:p>
        </w:tc>
        <w:tc>
          <w:tcPr>
            <w:tcW w:w="8128" w:type="dxa"/>
            <w:noWrap/>
            <w:vAlign w:val="center"/>
            <w:hideMark/>
          </w:tcPr>
          <w:p w14:paraId="1986D745" w14:textId="77777777" w:rsidR="007D419B" w:rsidRPr="00B83A18" w:rsidRDefault="007D419B" w:rsidP="00696E8F">
            <w:pPr>
              <w:rPr>
                <w:rFonts w:cs="Arial"/>
                <w:color w:val="000000"/>
              </w:rPr>
            </w:pPr>
            <w:r w:rsidRPr="00B83A18">
              <w:rPr>
                <w:rFonts w:cs="Arial"/>
                <w:color w:val="000000"/>
              </w:rPr>
              <w:t>Bypass Abdominal Aorta to Lower Extremity Artery with Synthetic Substitute, Open Approach</w:t>
            </w:r>
          </w:p>
        </w:tc>
      </w:tr>
      <w:tr w:rsidR="007D419B" w:rsidRPr="00B83A18" w14:paraId="4B042A23" w14:textId="77777777" w:rsidTr="002C718A">
        <w:trPr>
          <w:trHeight w:val="300"/>
        </w:trPr>
        <w:tc>
          <w:tcPr>
            <w:tcW w:w="1525" w:type="dxa"/>
            <w:noWrap/>
            <w:vAlign w:val="center"/>
            <w:hideMark/>
          </w:tcPr>
          <w:p w14:paraId="62BAC772" w14:textId="77777777" w:rsidR="007D419B" w:rsidRPr="00B83A18" w:rsidRDefault="007D419B" w:rsidP="00696E8F">
            <w:pPr>
              <w:rPr>
                <w:rFonts w:cs="Arial"/>
                <w:color w:val="000000"/>
              </w:rPr>
            </w:pPr>
            <w:r w:rsidRPr="00B83A18">
              <w:rPr>
                <w:rFonts w:cs="Arial"/>
                <w:color w:val="000000"/>
              </w:rPr>
              <w:t>04100JR</w:t>
            </w:r>
          </w:p>
        </w:tc>
        <w:tc>
          <w:tcPr>
            <w:tcW w:w="8128" w:type="dxa"/>
            <w:noWrap/>
            <w:vAlign w:val="center"/>
            <w:hideMark/>
          </w:tcPr>
          <w:p w14:paraId="328247AB" w14:textId="77777777" w:rsidR="007D419B" w:rsidRPr="00B83A18" w:rsidRDefault="007D419B" w:rsidP="00696E8F">
            <w:pPr>
              <w:rPr>
                <w:rFonts w:cs="Arial"/>
                <w:color w:val="000000"/>
              </w:rPr>
            </w:pPr>
            <w:r w:rsidRPr="00B83A18">
              <w:rPr>
                <w:rFonts w:cs="Arial"/>
                <w:color w:val="000000"/>
              </w:rPr>
              <w:t>Bypass Abdominal Aorta to Lower Artery with Synthetic Substitute, Open Approach</w:t>
            </w:r>
          </w:p>
        </w:tc>
      </w:tr>
      <w:tr w:rsidR="007D419B" w:rsidRPr="00B83A18" w14:paraId="652C9BE3" w14:textId="77777777" w:rsidTr="002C718A">
        <w:trPr>
          <w:trHeight w:val="300"/>
        </w:trPr>
        <w:tc>
          <w:tcPr>
            <w:tcW w:w="1525" w:type="dxa"/>
            <w:noWrap/>
            <w:vAlign w:val="center"/>
            <w:hideMark/>
          </w:tcPr>
          <w:p w14:paraId="79D15156" w14:textId="77777777" w:rsidR="007D419B" w:rsidRPr="00B83A18" w:rsidRDefault="007D419B" w:rsidP="00696E8F">
            <w:pPr>
              <w:rPr>
                <w:rFonts w:cs="Arial"/>
                <w:color w:val="000000"/>
              </w:rPr>
            </w:pPr>
            <w:r w:rsidRPr="00B83A18">
              <w:rPr>
                <w:rFonts w:cs="Arial"/>
                <w:color w:val="000000"/>
              </w:rPr>
              <w:t>04100K0</w:t>
            </w:r>
          </w:p>
        </w:tc>
        <w:tc>
          <w:tcPr>
            <w:tcW w:w="8128" w:type="dxa"/>
            <w:noWrap/>
            <w:vAlign w:val="center"/>
            <w:hideMark/>
          </w:tcPr>
          <w:p w14:paraId="6E2A3B2A" w14:textId="77777777" w:rsidR="007D419B" w:rsidRPr="00B83A18" w:rsidRDefault="007D419B" w:rsidP="00696E8F">
            <w:pPr>
              <w:rPr>
                <w:rFonts w:cs="Arial"/>
                <w:color w:val="000000"/>
              </w:rPr>
            </w:pPr>
            <w:r w:rsidRPr="00B83A18">
              <w:rPr>
                <w:rFonts w:cs="Arial"/>
                <w:color w:val="000000"/>
              </w:rPr>
              <w:t xml:space="preserve">Bypass Abdominal Aorta to Abdominal Aorta with </w:t>
            </w:r>
            <w:proofErr w:type="spellStart"/>
            <w:r w:rsidRPr="00B83A18">
              <w:rPr>
                <w:rFonts w:cs="Arial"/>
                <w:color w:val="000000"/>
              </w:rPr>
              <w:t>Nonautologous</w:t>
            </w:r>
            <w:proofErr w:type="spellEnd"/>
            <w:r w:rsidRPr="00B83A18">
              <w:rPr>
                <w:rFonts w:cs="Arial"/>
                <w:color w:val="000000"/>
              </w:rPr>
              <w:t xml:space="preserve"> Tissue Substitute, Open Approach</w:t>
            </w:r>
          </w:p>
        </w:tc>
      </w:tr>
      <w:tr w:rsidR="007D419B" w:rsidRPr="00B83A18" w14:paraId="25A1A738" w14:textId="77777777" w:rsidTr="002C718A">
        <w:trPr>
          <w:trHeight w:val="300"/>
        </w:trPr>
        <w:tc>
          <w:tcPr>
            <w:tcW w:w="1525" w:type="dxa"/>
            <w:noWrap/>
            <w:vAlign w:val="center"/>
            <w:hideMark/>
          </w:tcPr>
          <w:p w14:paraId="7B654760" w14:textId="77777777" w:rsidR="007D419B" w:rsidRPr="00B83A18" w:rsidRDefault="007D419B" w:rsidP="00696E8F">
            <w:pPr>
              <w:rPr>
                <w:rFonts w:cs="Arial"/>
                <w:color w:val="000000"/>
              </w:rPr>
            </w:pPr>
            <w:r w:rsidRPr="00B83A18">
              <w:rPr>
                <w:rFonts w:cs="Arial"/>
                <w:color w:val="000000"/>
              </w:rPr>
              <w:t>04100K1</w:t>
            </w:r>
          </w:p>
        </w:tc>
        <w:tc>
          <w:tcPr>
            <w:tcW w:w="8128" w:type="dxa"/>
            <w:noWrap/>
            <w:vAlign w:val="center"/>
            <w:hideMark/>
          </w:tcPr>
          <w:p w14:paraId="77702E00" w14:textId="77777777" w:rsidR="007D419B" w:rsidRPr="00B83A18" w:rsidRDefault="007D419B" w:rsidP="00696E8F">
            <w:pPr>
              <w:rPr>
                <w:rFonts w:cs="Arial"/>
                <w:color w:val="000000"/>
              </w:rPr>
            </w:pPr>
            <w:r w:rsidRPr="00B83A18">
              <w:rPr>
                <w:rFonts w:cs="Arial"/>
                <w:color w:val="000000"/>
              </w:rPr>
              <w:t xml:space="preserve">Bypass Abdominal Aorta to Celiac Artery with </w:t>
            </w:r>
            <w:proofErr w:type="spellStart"/>
            <w:r w:rsidRPr="00B83A18">
              <w:rPr>
                <w:rFonts w:cs="Arial"/>
                <w:color w:val="000000"/>
              </w:rPr>
              <w:t>Nonautologous</w:t>
            </w:r>
            <w:proofErr w:type="spellEnd"/>
            <w:r w:rsidRPr="00B83A18">
              <w:rPr>
                <w:rFonts w:cs="Arial"/>
                <w:color w:val="000000"/>
              </w:rPr>
              <w:t xml:space="preserve"> Tissue Substitute, Open Approach</w:t>
            </w:r>
          </w:p>
        </w:tc>
      </w:tr>
      <w:tr w:rsidR="007D419B" w:rsidRPr="00B83A18" w14:paraId="60322BF4" w14:textId="77777777" w:rsidTr="002C718A">
        <w:trPr>
          <w:trHeight w:val="300"/>
        </w:trPr>
        <w:tc>
          <w:tcPr>
            <w:tcW w:w="1525" w:type="dxa"/>
            <w:noWrap/>
            <w:vAlign w:val="center"/>
            <w:hideMark/>
          </w:tcPr>
          <w:p w14:paraId="4598D481" w14:textId="77777777" w:rsidR="007D419B" w:rsidRPr="00B83A18" w:rsidRDefault="007D419B" w:rsidP="00696E8F">
            <w:pPr>
              <w:rPr>
                <w:rFonts w:cs="Arial"/>
                <w:color w:val="000000"/>
              </w:rPr>
            </w:pPr>
            <w:r w:rsidRPr="00B83A18">
              <w:rPr>
                <w:rFonts w:cs="Arial"/>
                <w:color w:val="000000"/>
              </w:rPr>
              <w:t>04100K2</w:t>
            </w:r>
          </w:p>
        </w:tc>
        <w:tc>
          <w:tcPr>
            <w:tcW w:w="8128" w:type="dxa"/>
            <w:noWrap/>
            <w:vAlign w:val="center"/>
            <w:hideMark/>
          </w:tcPr>
          <w:p w14:paraId="131D2571" w14:textId="77777777" w:rsidR="007D419B" w:rsidRPr="00B83A18" w:rsidRDefault="007D419B" w:rsidP="00696E8F">
            <w:pPr>
              <w:rPr>
                <w:rFonts w:cs="Arial"/>
                <w:color w:val="000000"/>
              </w:rPr>
            </w:pPr>
            <w:r w:rsidRPr="00B83A18">
              <w:rPr>
                <w:rFonts w:cs="Arial"/>
                <w:color w:val="000000"/>
              </w:rPr>
              <w:t xml:space="preserve">Bypass Abdominal Aorta to Mesenteric Artery with </w:t>
            </w:r>
            <w:proofErr w:type="spellStart"/>
            <w:r w:rsidRPr="00B83A18">
              <w:rPr>
                <w:rFonts w:cs="Arial"/>
                <w:color w:val="000000"/>
              </w:rPr>
              <w:t>Nonautologous</w:t>
            </w:r>
            <w:proofErr w:type="spellEnd"/>
            <w:r w:rsidRPr="00B83A18">
              <w:rPr>
                <w:rFonts w:cs="Arial"/>
                <w:color w:val="000000"/>
              </w:rPr>
              <w:t xml:space="preserve"> Tissue Substitute, Open Approach</w:t>
            </w:r>
          </w:p>
        </w:tc>
      </w:tr>
      <w:tr w:rsidR="007D419B" w:rsidRPr="00B83A18" w14:paraId="75DC3769" w14:textId="77777777" w:rsidTr="002C718A">
        <w:trPr>
          <w:trHeight w:val="300"/>
        </w:trPr>
        <w:tc>
          <w:tcPr>
            <w:tcW w:w="1525" w:type="dxa"/>
            <w:noWrap/>
            <w:vAlign w:val="center"/>
            <w:hideMark/>
          </w:tcPr>
          <w:p w14:paraId="7FCD098D" w14:textId="77777777" w:rsidR="007D419B" w:rsidRPr="00B83A18" w:rsidRDefault="007D419B" w:rsidP="00696E8F">
            <w:pPr>
              <w:rPr>
                <w:rFonts w:cs="Arial"/>
                <w:color w:val="000000"/>
              </w:rPr>
            </w:pPr>
            <w:r w:rsidRPr="00B83A18">
              <w:rPr>
                <w:rFonts w:cs="Arial"/>
                <w:color w:val="000000"/>
              </w:rPr>
              <w:t>04100K3</w:t>
            </w:r>
          </w:p>
        </w:tc>
        <w:tc>
          <w:tcPr>
            <w:tcW w:w="8128" w:type="dxa"/>
            <w:noWrap/>
            <w:vAlign w:val="center"/>
            <w:hideMark/>
          </w:tcPr>
          <w:p w14:paraId="77F46539" w14:textId="77777777" w:rsidR="007D419B" w:rsidRPr="00B83A18" w:rsidRDefault="007D419B" w:rsidP="00696E8F">
            <w:pPr>
              <w:rPr>
                <w:rFonts w:cs="Arial"/>
                <w:color w:val="000000"/>
              </w:rPr>
            </w:pPr>
            <w:r w:rsidRPr="00B83A18">
              <w:rPr>
                <w:rFonts w:cs="Arial"/>
                <w:color w:val="000000"/>
              </w:rPr>
              <w:t xml:space="preserve">Bypass Abdominal Aorta to Right Renal Artery with </w:t>
            </w:r>
            <w:proofErr w:type="spellStart"/>
            <w:r w:rsidRPr="00B83A18">
              <w:rPr>
                <w:rFonts w:cs="Arial"/>
                <w:color w:val="000000"/>
              </w:rPr>
              <w:t>Nonautologous</w:t>
            </w:r>
            <w:proofErr w:type="spellEnd"/>
            <w:r w:rsidRPr="00B83A18">
              <w:rPr>
                <w:rFonts w:cs="Arial"/>
                <w:color w:val="000000"/>
              </w:rPr>
              <w:t xml:space="preserve"> Tissue Substitute, Open Approach</w:t>
            </w:r>
          </w:p>
        </w:tc>
      </w:tr>
      <w:tr w:rsidR="007D419B" w:rsidRPr="00B83A18" w14:paraId="27B9ECC0" w14:textId="77777777" w:rsidTr="002C718A">
        <w:trPr>
          <w:trHeight w:val="300"/>
        </w:trPr>
        <w:tc>
          <w:tcPr>
            <w:tcW w:w="1525" w:type="dxa"/>
            <w:noWrap/>
            <w:vAlign w:val="center"/>
            <w:hideMark/>
          </w:tcPr>
          <w:p w14:paraId="1C46B327" w14:textId="77777777" w:rsidR="007D419B" w:rsidRPr="00B83A18" w:rsidRDefault="007D419B" w:rsidP="00696E8F">
            <w:pPr>
              <w:rPr>
                <w:rFonts w:cs="Arial"/>
                <w:color w:val="000000"/>
              </w:rPr>
            </w:pPr>
            <w:r w:rsidRPr="00B83A18">
              <w:rPr>
                <w:rFonts w:cs="Arial"/>
                <w:color w:val="000000"/>
              </w:rPr>
              <w:t>04100K4</w:t>
            </w:r>
          </w:p>
        </w:tc>
        <w:tc>
          <w:tcPr>
            <w:tcW w:w="8128" w:type="dxa"/>
            <w:noWrap/>
            <w:vAlign w:val="center"/>
            <w:hideMark/>
          </w:tcPr>
          <w:p w14:paraId="5F53AA52" w14:textId="77777777" w:rsidR="007D419B" w:rsidRPr="00B83A18" w:rsidRDefault="007D419B" w:rsidP="00696E8F">
            <w:pPr>
              <w:rPr>
                <w:rFonts w:cs="Arial"/>
                <w:color w:val="000000"/>
              </w:rPr>
            </w:pPr>
            <w:r w:rsidRPr="00B83A18">
              <w:rPr>
                <w:rFonts w:cs="Arial"/>
                <w:color w:val="000000"/>
              </w:rPr>
              <w:t xml:space="preserve">Bypass Abdominal Aorta to Left Renal Artery with </w:t>
            </w:r>
            <w:proofErr w:type="spellStart"/>
            <w:r w:rsidRPr="00B83A18">
              <w:rPr>
                <w:rFonts w:cs="Arial"/>
                <w:color w:val="000000"/>
              </w:rPr>
              <w:t>Nonautologous</w:t>
            </w:r>
            <w:proofErr w:type="spellEnd"/>
            <w:r w:rsidRPr="00B83A18">
              <w:rPr>
                <w:rFonts w:cs="Arial"/>
                <w:color w:val="000000"/>
              </w:rPr>
              <w:t xml:space="preserve"> Tissue Substitute, Open Approach</w:t>
            </w:r>
          </w:p>
        </w:tc>
      </w:tr>
      <w:tr w:rsidR="007D419B" w:rsidRPr="00B83A18" w14:paraId="61394301" w14:textId="77777777" w:rsidTr="002C718A">
        <w:trPr>
          <w:trHeight w:val="300"/>
        </w:trPr>
        <w:tc>
          <w:tcPr>
            <w:tcW w:w="1525" w:type="dxa"/>
            <w:noWrap/>
            <w:vAlign w:val="center"/>
            <w:hideMark/>
          </w:tcPr>
          <w:p w14:paraId="22BC36E0" w14:textId="77777777" w:rsidR="007D419B" w:rsidRPr="00B83A18" w:rsidRDefault="007D419B" w:rsidP="00696E8F">
            <w:pPr>
              <w:rPr>
                <w:rFonts w:cs="Arial"/>
                <w:color w:val="000000"/>
              </w:rPr>
            </w:pPr>
            <w:r w:rsidRPr="00B83A18">
              <w:rPr>
                <w:rFonts w:cs="Arial"/>
                <w:color w:val="000000"/>
              </w:rPr>
              <w:t>04100K5</w:t>
            </w:r>
          </w:p>
        </w:tc>
        <w:tc>
          <w:tcPr>
            <w:tcW w:w="8128" w:type="dxa"/>
            <w:noWrap/>
            <w:vAlign w:val="center"/>
            <w:hideMark/>
          </w:tcPr>
          <w:p w14:paraId="299200E6" w14:textId="77777777" w:rsidR="007D419B" w:rsidRPr="00B83A18" w:rsidRDefault="007D419B" w:rsidP="00696E8F">
            <w:pPr>
              <w:rPr>
                <w:rFonts w:cs="Arial"/>
                <w:color w:val="000000"/>
              </w:rPr>
            </w:pPr>
            <w:r w:rsidRPr="00B83A18">
              <w:rPr>
                <w:rFonts w:cs="Arial"/>
                <w:color w:val="000000"/>
              </w:rPr>
              <w:t xml:space="preserve">Bypass Abdominal Aorta to Bilateral Renal Artery with </w:t>
            </w:r>
            <w:proofErr w:type="spellStart"/>
            <w:r w:rsidRPr="00B83A18">
              <w:rPr>
                <w:rFonts w:cs="Arial"/>
                <w:color w:val="000000"/>
              </w:rPr>
              <w:t>Nonautologous</w:t>
            </w:r>
            <w:proofErr w:type="spellEnd"/>
            <w:r w:rsidRPr="00B83A18">
              <w:rPr>
                <w:rFonts w:cs="Arial"/>
                <w:color w:val="000000"/>
              </w:rPr>
              <w:t xml:space="preserve"> Tissue Substitute, Open Approach</w:t>
            </w:r>
          </w:p>
        </w:tc>
      </w:tr>
      <w:tr w:rsidR="007D419B" w:rsidRPr="00B83A18" w14:paraId="5CE593B7" w14:textId="77777777" w:rsidTr="002C718A">
        <w:trPr>
          <w:trHeight w:val="300"/>
        </w:trPr>
        <w:tc>
          <w:tcPr>
            <w:tcW w:w="1525" w:type="dxa"/>
            <w:noWrap/>
            <w:vAlign w:val="center"/>
            <w:hideMark/>
          </w:tcPr>
          <w:p w14:paraId="6CCC7A31" w14:textId="77777777" w:rsidR="007D419B" w:rsidRPr="00B83A18" w:rsidRDefault="007D419B" w:rsidP="00696E8F">
            <w:pPr>
              <w:rPr>
                <w:rFonts w:cs="Arial"/>
                <w:color w:val="000000"/>
              </w:rPr>
            </w:pPr>
            <w:r w:rsidRPr="00B83A18">
              <w:rPr>
                <w:rFonts w:cs="Arial"/>
                <w:color w:val="000000"/>
              </w:rPr>
              <w:t>04100K6</w:t>
            </w:r>
          </w:p>
        </w:tc>
        <w:tc>
          <w:tcPr>
            <w:tcW w:w="8128" w:type="dxa"/>
            <w:noWrap/>
            <w:vAlign w:val="center"/>
            <w:hideMark/>
          </w:tcPr>
          <w:p w14:paraId="7B789B2A" w14:textId="77777777" w:rsidR="007D419B" w:rsidRPr="00B83A18" w:rsidRDefault="007D419B" w:rsidP="00696E8F">
            <w:pPr>
              <w:rPr>
                <w:rFonts w:cs="Arial"/>
                <w:color w:val="000000"/>
              </w:rPr>
            </w:pPr>
            <w:r w:rsidRPr="00B83A18">
              <w:rPr>
                <w:rFonts w:cs="Arial"/>
                <w:color w:val="000000"/>
              </w:rPr>
              <w:t xml:space="preserve">Bypass Abdominal Aorta to Right Common Iliac Artery with </w:t>
            </w:r>
            <w:proofErr w:type="spellStart"/>
            <w:r w:rsidRPr="00B83A18">
              <w:rPr>
                <w:rFonts w:cs="Arial"/>
                <w:color w:val="000000"/>
              </w:rPr>
              <w:t>Nonautologous</w:t>
            </w:r>
            <w:proofErr w:type="spellEnd"/>
            <w:r w:rsidRPr="00B83A18">
              <w:rPr>
                <w:rFonts w:cs="Arial"/>
                <w:color w:val="000000"/>
              </w:rPr>
              <w:t xml:space="preserve"> Tissue Substitute, Open Approach</w:t>
            </w:r>
          </w:p>
        </w:tc>
      </w:tr>
      <w:tr w:rsidR="007D419B" w:rsidRPr="00B83A18" w14:paraId="2409A78C" w14:textId="77777777" w:rsidTr="002C718A">
        <w:trPr>
          <w:trHeight w:val="300"/>
        </w:trPr>
        <w:tc>
          <w:tcPr>
            <w:tcW w:w="1525" w:type="dxa"/>
            <w:noWrap/>
            <w:vAlign w:val="center"/>
            <w:hideMark/>
          </w:tcPr>
          <w:p w14:paraId="6E60BE40" w14:textId="77777777" w:rsidR="007D419B" w:rsidRPr="00B83A18" w:rsidRDefault="007D419B" w:rsidP="00696E8F">
            <w:pPr>
              <w:rPr>
                <w:rFonts w:cs="Arial"/>
                <w:color w:val="000000"/>
              </w:rPr>
            </w:pPr>
            <w:r w:rsidRPr="00B83A18">
              <w:rPr>
                <w:rFonts w:cs="Arial"/>
                <w:color w:val="000000"/>
              </w:rPr>
              <w:t>04100K7</w:t>
            </w:r>
          </w:p>
        </w:tc>
        <w:tc>
          <w:tcPr>
            <w:tcW w:w="8128" w:type="dxa"/>
            <w:noWrap/>
            <w:vAlign w:val="center"/>
            <w:hideMark/>
          </w:tcPr>
          <w:p w14:paraId="106F973D" w14:textId="77777777" w:rsidR="007D419B" w:rsidRPr="00B83A18" w:rsidRDefault="007D419B" w:rsidP="00696E8F">
            <w:pPr>
              <w:rPr>
                <w:rFonts w:cs="Arial"/>
                <w:color w:val="000000"/>
              </w:rPr>
            </w:pPr>
            <w:r w:rsidRPr="00B83A18">
              <w:rPr>
                <w:rFonts w:cs="Arial"/>
                <w:color w:val="000000"/>
              </w:rPr>
              <w:t xml:space="preserve">Bypass Abdominal Aorta to Left Common Iliac Artery with </w:t>
            </w:r>
            <w:proofErr w:type="spellStart"/>
            <w:r w:rsidRPr="00B83A18">
              <w:rPr>
                <w:rFonts w:cs="Arial"/>
                <w:color w:val="000000"/>
              </w:rPr>
              <w:t>Nonautologous</w:t>
            </w:r>
            <w:proofErr w:type="spellEnd"/>
            <w:r w:rsidRPr="00B83A18">
              <w:rPr>
                <w:rFonts w:cs="Arial"/>
                <w:color w:val="000000"/>
              </w:rPr>
              <w:t xml:space="preserve"> Tissue Substitute, Open Approach</w:t>
            </w:r>
          </w:p>
        </w:tc>
      </w:tr>
      <w:tr w:rsidR="007D419B" w:rsidRPr="00B83A18" w14:paraId="1627B2C7" w14:textId="77777777" w:rsidTr="002C718A">
        <w:trPr>
          <w:trHeight w:val="300"/>
        </w:trPr>
        <w:tc>
          <w:tcPr>
            <w:tcW w:w="1525" w:type="dxa"/>
            <w:noWrap/>
            <w:vAlign w:val="center"/>
            <w:hideMark/>
          </w:tcPr>
          <w:p w14:paraId="216D7C07" w14:textId="77777777" w:rsidR="007D419B" w:rsidRPr="00B83A18" w:rsidRDefault="007D419B" w:rsidP="00696E8F">
            <w:pPr>
              <w:rPr>
                <w:rFonts w:cs="Arial"/>
                <w:color w:val="000000"/>
              </w:rPr>
            </w:pPr>
            <w:r w:rsidRPr="00B83A18">
              <w:rPr>
                <w:rFonts w:cs="Arial"/>
                <w:color w:val="000000"/>
              </w:rPr>
              <w:t>04100K8</w:t>
            </w:r>
          </w:p>
        </w:tc>
        <w:tc>
          <w:tcPr>
            <w:tcW w:w="8128" w:type="dxa"/>
            <w:noWrap/>
            <w:vAlign w:val="center"/>
            <w:hideMark/>
          </w:tcPr>
          <w:p w14:paraId="003BEE0A" w14:textId="77777777" w:rsidR="007D419B" w:rsidRPr="00B83A18" w:rsidRDefault="007D419B" w:rsidP="00696E8F">
            <w:pPr>
              <w:rPr>
                <w:rFonts w:cs="Arial"/>
                <w:color w:val="000000"/>
              </w:rPr>
            </w:pPr>
            <w:r w:rsidRPr="00B83A18">
              <w:rPr>
                <w:rFonts w:cs="Arial"/>
                <w:color w:val="000000"/>
              </w:rPr>
              <w:t xml:space="preserve">Bypass Abdominal Aorta to Bilateral Common Iliac Arteries with </w:t>
            </w:r>
            <w:proofErr w:type="spellStart"/>
            <w:r w:rsidRPr="00B83A18">
              <w:rPr>
                <w:rFonts w:cs="Arial"/>
                <w:color w:val="000000"/>
              </w:rPr>
              <w:t>Nonautologous</w:t>
            </w:r>
            <w:proofErr w:type="spellEnd"/>
            <w:r w:rsidRPr="00B83A18">
              <w:rPr>
                <w:rFonts w:cs="Arial"/>
                <w:color w:val="000000"/>
              </w:rPr>
              <w:t xml:space="preserve"> Tissue Substitute, Open Approach</w:t>
            </w:r>
          </w:p>
        </w:tc>
      </w:tr>
      <w:tr w:rsidR="007D419B" w:rsidRPr="00B83A18" w14:paraId="1EC10282" w14:textId="77777777" w:rsidTr="002C718A">
        <w:trPr>
          <w:trHeight w:val="300"/>
        </w:trPr>
        <w:tc>
          <w:tcPr>
            <w:tcW w:w="1525" w:type="dxa"/>
            <w:noWrap/>
            <w:vAlign w:val="center"/>
            <w:hideMark/>
          </w:tcPr>
          <w:p w14:paraId="0C02382A" w14:textId="77777777" w:rsidR="007D419B" w:rsidRPr="00B83A18" w:rsidRDefault="007D419B" w:rsidP="00696E8F">
            <w:pPr>
              <w:rPr>
                <w:rFonts w:cs="Arial"/>
                <w:color w:val="000000"/>
              </w:rPr>
            </w:pPr>
            <w:r w:rsidRPr="00B83A18">
              <w:rPr>
                <w:rFonts w:cs="Arial"/>
                <w:color w:val="000000"/>
              </w:rPr>
              <w:t>04100K9</w:t>
            </w:r>
          </w:p>
        </w:tc>
        <w:tc>
          <w:tcPr>
            <w:tcW w:w="8128" w:type="dxa"/>
            <w:noWrap/>
            <w:vAlign w:val="center"/>
            <w:hideMark/>
          </w:tcPr>
          <w:p w14:paraId="4C316A1F" w14:textId="77777777" w:rsidR="007D419B" w:rsidRPr="00B83A18" w:rsidRDefault="007D419B" w:rsidP="00696E8F">
            <w:pPr>
              <w:rPr>
                <w:rFonts w:cs="Arial"/>
                <w:color w:val="000000"/>
              </w:rPr>
            </w:pPr>
            <w:r w:rsidRPr="00B83A18">
              <w:rPr>
                <w:rFonts w:cs="Arial"/>
                <w:color w:val="000000"/>
              </w:rPr>
              <w:t xml:space="preserve">Bypass Abdominal Aorta to Right Internal Iliac Artery with </w:t>
            </w:r>
            <w:proofErr w:type="spellStart"/>
            <w:r w:rsidRPr="00B83A18">
              <w:rPr>
                <w:rFonts w:cs="Arial"/>
                <w:color w:val="000000"/>
              </w:rPr>
              <w:t>Nonautologous</w:t>
            </w:r>
            <w:proofErr w:type="spellEnd"/>
            <w:r w:rsidRPr="00B83A18">
              <w:rPr>
                <w:rFonts w:cs="Arial"/>
                <w:color w:val="000000"/>
              </w:rPr>
              <w:t xml:space="preserve"> Tissue Substitute, Open Approach</w:t>
            </w:r>
          </w:p>
        </w:tc>
      </w:tr>
      <w:tr w:rsidR="007D419B" w:rsidRPr="00B83A18" w14:paraId="12A50B76" w14:textId="77777777" w:rsidTr="002C718A">
        <w:trPr>
          <w:trHeight w:val="300"/>
        </w:trPr>
        <w:tc>
          <w:tcPr>
            <w:tcW w:w="1525" w:type="dxa"/>
            <w:noWrap/>
            <w:vAlign w:val="center"/>
            <w:hideMark/>
          </w:tcPr>
          <w:p w14:paraId="6D89F9B5" w14:textId="77777777" w:rsidR="007D419B" w:rsidRPr="00B83A18" w:rsidRDefault="007D419B" w:rsidP="00696E8F">
            <w:pPr>
              <w:rPr>
                <w:rFonts w:cs="Arial"/>
                <w:color w:val="000000"/>
              </w:rPr>
            </w:pPr>
            <w:r w:rsidRPr="00B83A18">
              <w:rPr>
                <w:rFonts w:cs="Arial"/>
                <w:color w:val="000000"/>
              </w:rPr>
              <w:t>04100KB</w:t>
            </w:r>
          </w:p>
        </w:tc>
        <w:tc>
          <w:tcPr>
            <w:tcW w:w="8128" w:type="dxa"/>
            <w:noWrap/>
            <w:vAlign w:val="center"/>
            <w:hideMark/>
          </w:tcPr>
          <w:p w14:paraId="613D95B4" w14:textId="77777777" w:rsidR="007D419B" w:rsidRPr="00B83A18" w:rsidRDefault="007D419B" w:rsidP="00696E8F">
            <w:pPr>
              <w:rPr>
                <w:rFonts w:cs="Arial"/>
                <w:color w:val="000000"/>
              </w:rPr>
            </w:pPr>
            <w:r w:rsidRPr="00B83A18">
              <w:rPr>
                <w:rFonts w:cs="Arial"/>
                <w:color w:val="000000"/>
              </w:rPr>
              <w:t xml:space="preserve">Bypass Abdominal Aorta to Left Internal Iliac Artery with </w:t>
            </w:r>
            <w:proofErr w:type="spellStart"/>
            <w:r w:rsidRPr="00B83A18">
              <w:rPr>
                <w:rFonts w:cs="Arial"/>
                <w:color w:val="000000"/>
              </w:rPr>
              <w:t>Nonautologous</w:t>
            </w:r>
            <w:proofErr w:type="spellEnd"/>
            <w:r w:rsidRPr="00B83A18">
              <w:rPr>
                <w:rFonts w:cs="Arial"/>
                <w:color w:val="000000"/>
              </w:rPr>
              <w:t xml:space="preserve"> Tissue Substitute, Open Approach</w:t>
            </w:r>
          </w:p>
        </w:tc>
      </w:tr>
      <w:tr w:rsidR="007D419B" w:rsidRPr="00B83A18" w14:paraId="213E379D" w14:textId="77777777" w:rsidTr="002C718A">
        <w:trPr>
          <w:trHeight w:val="300"/>
        </w:trPr>
        <w:tc>
          <w:tcPr>
            <w:tcW w:w="1525" w:type="dxa"/>
            <w:noWrap/>
            <w:vAlign w:val="center"/>
            <w:hideMark/>
          </w:tcPr>
          <w:p w14:paraId="60B56503" w14:textId="77777777" w:rsidR="007D419B" w:rsidRPr="00B83A18" w:rsidRDefault="007D419B" w:rsidP="00696E8F">
            <w:pPr>
              <w:rPr>
                <w:rFonts w:cs="Arial"/>
                <w:color w:val="000000"/>
              </w:rPr>
            </w:pPr>
            <w:r w:rsidRPr="00B83A18">
              <w:rPr>
                <w:rFonts w:cs="Arial"/>
                <w:color w:val="000000"/>
              </w:rPr>
              <w:t>04100KC</w:t>
            </w:r>
          </w:p>
        </w:tc>
        <w:tc>
          <w:tcPr>
            <w:tcW w:w="8128" w:type="dxa"/>
            <w:noWrap/>
            <w:vAlign w:val="center"/>
            <w:hideMark/>
          </w:tcPr>
          <w:p w14:paraId="29F1184E" w14:textId="77777777" w:rsidR="007D419B" w:rsidRPr="00B83A18" w:rsidRDefault="007D419B" w:rsidP="00696E8F">
            <w:pPr>
              <w:rPr>
                <w:rFonts w:cs="Arial"/>
                <w:color w:val="000000"/>
              </w:rPr>
            </w:pPr>
            <w:r w:rsidRPr="00B83A18">
              <w:rPr>
                <w:rFonts w:cs="Arial"/>
                <w:color w:val="000000"/>
              </w:rPr>
              <w:t xml:space="preserve">Bypass Abdominal Aorta to Bilateral Internal Iliac Arteries with </w:t>
            </w:r>
            <w:proofErr w:type="spellStart"/>
            <w:r w:rsidRPr="00B83A18">
              <w:rPr>
                <w:rFonts w:cs="Arial"/>
                <w:color w:val="000000"/>
              </w:rPr>
              <w:t>Nonautologous</w:t>
            </w:r>
            <w:proofErr w:type="spellEnd"/>
            <w:r w:rsidRPr="00B83A18">
              <w:rPr>
                <w:rFonts w:cs="Arial"/>
                <w:color w:val="000000"/>
              </w:rPr>
              <w:t xml:space="preserve"> Tissue Substitute, Open Approach</w:t>
            </w:r>
          </w:p>
        </w:tc>
      </w:tr>
      <w:tr w:rsidR="007D419B" w:rsidRPr="00B83A18" w14:paraId="762681E3" w14:textId="77777777" w:rsidTr="002C718A">
        <w:trPr>
          <w:trHeight w:val="300"/>
        </w:trPr>
        <w:tc>
          <w:tcPr>
            <w:tcW w:w="1525" w:type="dxa"/>
            <w:noWrap/>
            <w:vAlign w:val="center"/>
            <w:hideMark/>
          </w:tcPr>
          <w:p w14:paraId="6AE83C41" w14:textId="77777777" w:rsidR="007D419B" w:rsidRPr="00B83A18" w:rsidRDefault="007D419B" w:rsidP="00696E8F">
            <w:pPr>
              <w:rPr>
                <w:rFonts w:cs="Arial"/>
                <w:color w:val="000000"/>
              </w:rPr>
            </w:pPr>
            <w:r w:rsidRPr="00B83A18">
              <w:rPr>
                <w:rFonts w:cs="Arial"/>
                <w:color w:val="000000"/>
              </w:rPr>
              <w:t>04100KD</w:t>
            </w:r>
          </w:p>
        </w:tc>
        <w:tc>
          <w:tcPr>
            <w:tcW w:w="8128" w:type="dxa"/>
            <w:noWrap/>
            <w:vAlign w:val="center"/>
            <w:hideMark/>
          </w:tcPr>
          <w:p w14:paraId="6A5C689F" w14:textId="77777777" w:rsidR="007D419B" w:rsidRPr="00B83A18" w:rsidRDefault="007D419B" w:rsidP="00696E8F">
            <w:pPr>
              <w:rPr>
                <w:rFonts w:cs="Arial"/>
                <w:color w:val="000000"/>
              </w:rPr>
            </w:pPr>
            <w:r w:rsidRPr="00B83A18">
              <w:rPr>
                <w:rFonts w:cs="Arial"/>
                <w:color w:val="000000"/>
              </w:rPr>
              <w:t xml:space="preserve">Bypass Abdominal Aorta to Right External Iliac Artery with </w:t>
            </w:r>
            <w:proofErr w:type="spellStart"/>
            <w:r w:rsidRPr="00B83A18">
              <w:rPr>
                <w:rFonts w:cs="Arial"/>
                <w:color w:val="000000"/>
              </w:rPr>
              <w:t>Nonautologous</w:t>
            </w:r>
            <w:proofErr w:type="spellEnd"/>
            <w:r w:rsidRPr="00B83A18">
              <w:rPr>
                <w:rFonts w:cs="Arial"/>
                <w:color w:val="000000"/>
              </w:rPr>
              <w:t xml:space="preserve"> Tissue Substitute, Open Approach</w:t>
            </w:r>
          </w:p>
        </w:tc>
      </w:tr>
      <w:tr w:rsidR="007D419B" w:rsidRPr="00B83A18" w14:paraId="73A4F89A" w14:textId="77777777" w:rsidTr="002C718A">
        <w:trPr>
          <w:trHeight w:val="300"/>
        </w:trPr>
        <w:tc>
          <w:tcPr>
            <w:tcW w:w="1525" w:type="dxa"/>
            <w:noWrap/>
            <w:vAlign w:val="center"/>
            <w:hideMark/>
          </w:tcPr>
          <w:p w14:paraId="3E51D168" w14:textId="77777777" w:rsidR="007D419B" w:rsidRPr="00B83A18" w:rsidRDefault="007D419B" w:rsidP="00696E8F">
            <w:pPr>
              <w:rPr>
                <w:rFonts w:cs="Arial"/>
                <w:color w:val="000000"/>
              </w:rPr>
            </w:pPr>
            <w:r w:rsidRPr="00B83A18">
              <w:rPr>
                <w:rFonts w:cs="Arial"/>
                <w:color w:val="000000"/>
              </w:rPr>
              <w:t>04100KF</w:t>
            </w:r>
          </w:p>
        </w:tc>
        <w:tc>
          <w:tcPr>
            <w:tcW w:w="8128" w:type="dxa"/>
            <w:noWrap/>
            <w:vAlign w:val="center"/>
            <w:hideMark/>
          </w:tcPr>
          <w:p w14:paraId="63DB6B01" w14:textId="77777777" w:rsidR="007D419B" w:rsidRPr="00B83A18" w:rsidRDefault="007D419B" w:rsidP="00696E8F">
            <w:pPr>
              <w:rPr>
                <w:rFonts w:cs="Arial"/>
                <w:color w:val="000000"/>
              </w:rPr>
            </w:pPr>
            <w:r w:rsidRPr="00B83A18">
              <w:rPr>
                <w:rFonts w:cs="Arial"/>
                <w:color w:val="000000"/>
              </w:rPr>
              <w:t xml:space="preserve">Bypass Abdominal Aorta to Left External Iliac Artery with </w:t>
            </w:r>
            <w:proofErr w:type="spellStart"/>
            <w:r w:rsidRPr="00B83A18">
              <w:rPr>
                <w:rFonts w:cs="Arial"/>
                <w:color w:val="000000"/>
              </w:rPr>
              <w:t>Nonautologous</w:t>
            </w:r>
            <w:proofErr w:type="spellEnd"/>
            <w:r w:rsidRPr="00B83A18">
              <w:rPr>
                <w:rFonts w:cs="Arial"/>
                <w:color w:val="000000"/>
              </w:rPr>
              <w:t xml:space="preserve"> Tissue Substitute, Open Approach</w:t>
            </w:r>
          </w:p>
        </w:tc>
      </w:tr>
      <w:tr w:rsidR="007D419B" w:rsidRPr="00B83A18" w14:paraId="2CB34C3A" w14:textId="77777777" w:rsidTr="002C718A">
        <w:trPr>
          <w:trHeight w:val="300"/>
        </w:trPr>
        <w:tc>
          <w:tcPr>
            <w:tcW w:w="1525" w:type="dxa"/>
            <w:noWrap/>
            <w:vAlign w:val="center"/>
            <w:hideMark/>
          </w:tcPr>
          <w:p w14:paraId="1AE213B9" w14:textId="77777777" w:rsidR="007D419B" w:rsidRPr="00B83A18" w:rsidRDefault="007D419B" w:rsidP="00696E8F">
            <w:pPr>
              <w:rPr>
                <w:rFonts w:cs="Arial"/>
                <w:color w:val="000000"/>
              </w:rPr>
            </w:pPr>
            <w:r w:rsidRPr="00B83A18">
              <w:rPr>
                <w:rFonts w:cs="Arial"/>
                <w:color w:val="000000"/>
              </w:rPr>
              <w:t>04100KG</w:t>
            </w:r>
          </w:p>
        </w:tc>
        <w:tc>
          <w:tcPr>
            <w:tcW w:w="8128" w:type="dxa"/>
            <w:noWrap/>
            <w:vAlign w:val="center"/>
            <w:hideMark/>
          </w:tcPr>
          <w:p w14:paraId="6E1B69B6" w14:textId="77777777" w:rsidR="007D419B" w:rsidRPr="00B83A18" w:rsidRDefault="007D419B" w:rsidP="00696E8F">
            <w:pPr>
              <w:rPr>
                <w:rFonts w:cs="Arial"/>
                <w:color w:val="000000"/>
              </w:rPr>
            </w:pPr>
            <w:r w:rsidRPr="00B83A18">
              <w:rPr>
                <w:rFonts w:cs="Arial"/>
                <w:color w:val="000000"/>
              </w:rPr>
              <w:t xml:space="preserve">Bypass Abdominal Aorta to Bilateral External Iliac Arteries with </w:t>
            </w:r>
            <w:proofErr w:type="spellStart"/>
            <w:r w:rsidRPr="00B83A18">
              <w:rPr>
                <w:rFonts w:cs="Arial"/>
                <w:color w:val="000000"/>
              </w:rPr>
              <w:t>Nonautologous</w:t>
            </w:r>
            <w:proofErr w:type="spellEnd"/>
            <w:r w:rsidRPr="00B83A18">
              <w:rPr>
                <w:rFonts w:cs="Arial"/>
                <w:color w:val="000000"/>
              </w:rPr>
              <w:t xml:space="preserve"> Tissue Substitute, Open Approach</w:t>
            </w:r>
          </w:p>
        </w:tc>
      </w:tr>
      <w:tr w:rsidR="007D419B" w:rsidRPr="00B83A18" w14:paraId="55666034" w14:textId="77777777" w:rsidTr="002C718A">
        <w:trPr>
          <w:trHeight w:val="300"/>
        </w:trPr>
        <w:tc>
          <w:tcPr>
            <w:tcW w:w="1525" w:type="dxa"/>
            <w:noWrap/>
            <w:vAlign w:val="center"/>
            <w:hideMark/>
          </w:tcPr>
          <w:p w14:paraId="75801021" w14:textId="77777777" w:rsidR="007D419B" w:rsidRPr="00B83A18" w:rsidRDefault="007D419B" w:rsidP="00696E8F">
            <w:pPr>
              <w:rPr>
                <w:rFonts w:cs="Arial"/>
                <w:color w:val="000000"/>
              </w:rPr>
            </w:pPr>
            <w:r w:rsidRPr="00B83A18">
              <w:rPr>
                <w:rFonts w:cs="Arial"/>
                <w:color w:val="000000"/>
              </w:rPr>
              <w:t>04100KH</w:t>
            </w:r>
          </w:p>
        </w:tc>
        <w:tc>
          <w:tcPr>
            <w:tcW w:w="8128" w:type="dxa"/>
            <w:noWrap/>
            <w:vAlign w:val="center"/>
            <w:hideMark/>
          </w:tcPr>
          <w:p w14:paraId="4CF7B1A2" w14:textId="77777777" w:rsidR="007D419B" w:rsidRPr="00B83A18" w:rsidRDefault="007D419B" w:rsidP="00696E8F">
            <w:pPr>
              <w:rPr>
                <w:rFonts w:cs="Arial"/>
                <w:color w:val="000000"/>
              </w:rPr>
            </w:pPr>
            <w:r w:rsidRPr="00B83A18">
              <w:rPr>
                <w:rFonts w:cs="Arial"/>
                <w:color w:val="000000"/>
              </w:rPr>
              <w:t xml:space="preserve">Bypass Abdominal Aorta to Right Femoral Artery with </w:t>
            </w:r>
            <w:proofErr w:type="spellStart"/>
            <w:r w:rsidRPr="00B83A18">
              <w:rPr>
                <w:rFonts w:cs="Arial"/>
                <w:color w:val="000000"/>
              </w:rPr>
              <w:t>Nonautologous</w:t>
            </w:r>
            <w:proofErr w:type="spellEnd"/>
            <w:r w:rsidRPr="00B83A18">
              <w:rPr>
                <w:rFonts w:cs="Arial"/>
                <w:color w:val="000000"/>
              </w:rPr>
              <w:t xml:space="preserve"> Tissue Substitute, Open Approach</w:t>
            </w:r>
          </w:p>
        </w:tc>
      </w:tr>
      <w:tr w:rsidR="007D419B" w:rsidRPr="00B83A18" w14:paraId="6A1A438F" w14:textId="77777777" w:rsidTr="002C718A">
        <w:trPr>
          <w:trHeight w:val="300"/>
        </w:trPr>
        <w:tc>
          <w:tcPr>
            <w:tcW w:w="1525" w:type="dxa"/>
            <w:noWrap/>
            <w:vAlign w:val="center"/>
            <w:hideMark/>
          </w:tcPr>
          <w:p w14:paraId="53858840" w14:textId="77777777" w:rsidR="007D419B" w:rsidRPr="00B83A18" w:rsidRDefault="007D419B" w:rsidP="00696E8F">
            <w:pPr>
              <w:rPr>
                <w:rFonts w:cs="Arial"/>
                <w:color w:val="000000"/>
              </w:rPr>
            </w:pPr>
            <w:r w:rsidRPr="00B83A18">
              <w:rPr>
                <w:rFonts w:cs="Arial"/>
                <w:color w:val="000000"/>
              </w:rPr>
              <w:lastRenderedPageBreak/>
              <w:t>04100KJ</w:t>
            </w:r>
          </w:p>
        </w:tc>
        <w:tc>
          <w:tcPr>
            <w:tcW w:w="8128" w:type="dxa"/>
            <w:noWrap/>
            <w:vAlign w:val="center"/>
            <w:hideMark/>
          </w:tcPr>
          <w:p w14:paraId="44C8E587" w14:textId="77777777" w:rsidR="007D419B" w:rsidRPr="00B83A18" w:rsidRDefault="007D419B" w:rsidP="00696E8F">
            <w:pPr>
              <w:rPr>
                <w:rFonts w:cs="Arial"/>
                <w:color w:val="000000"/>
              </w:rPr>
            </w:pPr>
            <w:r w:rsidRPr="00B83A18">
              <w:rPr>
                <w:rFonts w:cs="Arial"/>
                <w:color w:val="000000"/>
              </w:rPr>
              <w:t xml:space="preserve">Bypass Abdominal Aorta to Left Femoral Artery with </w:t>
            </w:r>
            <w:proofErr w:type="spellStart"/>
            <w:r w:rsidRPr="00B83A18">
              <w:rPr>
                <w:rFonts w:cs="Arial"/>
                <w:color w:val="000000"/>
              </w:rPr>
              <w:t>Nonautologous</w:t>
            </w:r>
            <w:proofErr w:type="spellEnd"/>
            <w:r w:rsidRPr="00B83A18">
              <w:rPr>
                <w:rFonts w:cs="Arial"/>
                <w:color w:val="000000"/>
              </w:rPr>
              <w:t xml:space="preserve"> Tissue Substitute, Open Approach</w:t>
            </w:r>
          </w:p>
        </w:tc>
      </w:tr>
      <w:tr w:rsidR="007D419B" w:rsidRPr="00B83A18" w14:paraId="3A5172BB" w14:textId="77777777" w:rsidTr="002C718A">
        <w:trPr>
          <w:trHeight w:val="300"/>
        </w:trPr>
        <w:tc>
          <w:tcPr>
            <w:tcW w:w="1525" w:type="dxa"/>
            <w:noWrap/>
            <w:vAlign w:val="center"/>
            <w:hideMark/>
          </w:tcPr>
          <w:p w14:paraId="0C9EA4C9" w14:textId="77777777" w:rsidR="007D419B" w:rsidRPr="00B83A18" w:rsidRDefault="007D419B" w:rsidP="00696E8F">
            <w:pPr>
              <w:rPr>
                <w:rFonts w:cs="Arial"/>
                <w:color w:val="000000"/>
              </w:rPr>
            </w:pPr>
            <w:r w:rsidRPr="00B83A18">
              <w:rPr>
                <w:rFonts w:cs="Arial"/>
                <w:color w:val="000000"/>
              </w:rPr>
              <w:t>04100KK</w:t>
            </w:r>
          </w:p>
        </w:tc>
        <w:tc>
          <w:tcPr>
            <w:tcW w:w="8128" w:type="dxa"/>
            <w:noWrap/>
            <w:vAlign w:val="center"/>
            <w:hideMark/>
          </w:tcPr>
          <w:p w14:paraId="3D2472B6" w14:textId="77777777" w:rsidR="007D419B" w:rsidRPr="00B83A18" w:rsidRDefault="007D419B" w:rsidP="00696E8F">
            <w:pPr>
              <w:rPr>
                <w:rFonts w:cs="Arial"/>
                <w:color w:val="000000"/>
              </w:rPr>
            </w:pPr>
            <w:r w:rsidRPr="00B83A18">
              <w:rPr>
                <w:rFonts w:cs="Arial"/>
                <w:color w:val="000000"/>
              </w:rPr>
              <w:t xml:space="preserve">Bypass Abdominal Aorta to Bilateral Femoral Arteries with </w:t>
            </w:r>
            <w:proofErr w:type="spellStart"/>
            <w:r w:rsidRPr="00B83A18">
              <w:rPr>
                <w:rFonts w:cs="Arial"/>
                <w:color w:val="000000"/>
              </w:rPr>
              <w:t>Nonautologous</w:t>
            </w:r>
            <w:proofErr w:type="spellEnd"/>
            <w:r w:rsidRPr="00B83A18">
              <w:rPr>
                <w:rFonts w:cs="Arial"/>
                <w:color w:val="000000"/>
              </w:rPr>
              <w:t xml:space="preserve"> Tissue Substitute, Open Approach</w:t>
            </w:r>
          </w:p>
        </w:tc>
      </w:tr>
      <w:tr w:rsidR="007D419B" w:rsidRPr="00B83A18" w14:paraId="60123687" w14:textId="77777777" w:rsidTr="002C718A">
        <w:trPr>
          <w:trHeight w:val="300"/>
        </w:trPr>
        <w:tc>
          <w:tcPr>
            <w:tcW w:w="1525" w:type="dxa"/>
            <w:noWrap/>
            <w:vAlign w:val="center"/>
            <w:hideMark/>
          </w:tcPr>
          <w:p w14:paraId="61AB35C4" w14:textId="77777777" w:rsidR="007D419B" w:rsidRPr="00B83A18" w:rsidRDefault="007D419B" w:rsidP="00696E8F">
            <w:pPr>
              <w:rPr>
                <w:rFonts w:cs="Arial"/>
                <w:color w:val="000000"/>
              </w:rPr>
            </w:pPr>
            <w:r w:rsidRPr="00B83A18">
              <w:rPr>
                <w:rFonts w:cs="Arial"/>
                <w:color w:val="000000"/>
              </w:rPr>
              <w:t>04100KQ</w:t>
            </w:r>
          </w:p>
        </w:tc>
        <w:tc>
          <w:tcPr>
            <w:tcW w:w="8128" w:type="dxa"/>
            <w:noWrap/>
            <w:vAlign w:val="center"/>
            <w:hideMark/>
          </w:tcPr>
          <w:p w14:paraId="003A8523" w14:textId="77777777" w:rsidR="007D419B" w:rsidRPr="00B83A18" w:rsidRDefault="007D419B" w:rsidP="00696E8F">
            <w:pPr>
              <w:rPr>
                <w:rFonts w:cs="Arial"/>
                <w:color w:val="000000"/>
              </w:rPr>
            </w:pPr>
            <w:r w:rsidRPr="00B83A18">
              <w:rPr>
                <w:rFonts w:cs="Arial"/>
                <w:color w:val="000000"/>
              </w:rPr>
              <w:t xml:space="preserve">Bypass Abdominal Aorta to Lower Extremity Artery with </w:t>
            </w:r>
            <w:proofErr w:type="spellStart"/>
            <w:r w:rsidRPr="00B83A18">
              <w:rPr>
                <w:rFonts w:cs="Arial"/>
                <w:color w:val="000000"/>
              </w:rPr>
              <w:t>Nonautologous</w:t>
            </w:r>
            <w:proofErr w:type="spellEnd"/>
            <w:r w:rsidRPr="00B83A18">
              <w:rPr>
                <w:rFonts w:cs="Arial"/>
                <w:color w:val="000000"/>
              </w:rPr>
              <w:t xml:space="preserve"> Tissue Substitute, Open Approach</w:t>
            </w:r>
          </w:p>
        </w:tc>
      </w:tr>
      <w:tr w:rsidR="007D419B" w:rsidRPr="00B83A18" w14:paraId="7D30C875" w14:textId="77777777" w:rsidTr="002C718A">
        <w:trPr>
          <w:trHeight w:val="300"/>
        </w:trPr>
        <w:tc>
          <w:tcPr>
            <w:tcW w:w="1525" w:type="dxa"/>
            <w:noWrap/>
            <w:vAlign w:val="center"/>
            <w:hideMark/>
          </w:tcPr>
          <w:p w14:paraId="35C2B655" w14:textId="77777777" w:rsidR="007D419B" w:rsidRPr="00B83A18" w:rsidRDefault="007D419B" w:rsidP="00696E8F">
            <w:pPr>
              <w:rPr>
                <w:rFonts w:cs="Arial"/>
                <w:color w:val="000000"/>
              </w:rPr>
            </w:pPr>
            <w:r w:rsidRPr="00B83A18">
              <w:rPr>
                <w:rFonts w:cs="Arial"/>
                <w:color w:val="000000"/>
              </w:rPr>
              <w:t>04100KR</w:t>
            </w:r>
          </w:p>
        </w:tc>
        <w:tc>
          <w:tcPr>
            <w:tcW w:w="8128" w:type="dxa"/>
            <w:noWrap/>
            <w:vAlign w:val="center"/>
            <w:hideMark/>
          </w:tcPr>
          <w:p w14:paraId="09D9A237" w14:textId="77777777" w:rsidR="007D419B" w:rsidRPr="00B83A18" w:rsidRDefault="007D419B" w:rsidP="00696E8F">
            <w:pPr>
              <w:rPr>
                <w:rFonts w:cs="Arial"/>
                <w:color w:val="000000"/>
              </w:rPr>
            </w:pPr>
            <w:r w:rsidRPr="00B83A18">
              <w:rPr>
                <w:rFonts w:cs="Arial"/>
                <w:color w:val="000000"/>
              </w:rPr>
              <w:t xml:space="preserve">Bypass Abdominal Aorta to Lower Artery with </w:t>
            </w:r>
            <w:proofErr w:type="spellStart"/>
            <w:r w:rsidRPr="00B83A18">
              <w:rPr>
                <w:rFonts w:cs="Arial"/>
                <w:color w:val="000000"/>
              </w:rPr>
              <w:t>Nonautologous</w:t>
            </w:r>
            <w:proofErr w:type="spellEnd"/>
            <w:r w:rsidRPr="00B83A18">
              <w:rPr>
                <w:rFonts w:cs="Arial"/>
                <w:color w:val="000000"/>
              </w:rPr>
              <w:t xml:space="preserve"> Tissue Substitute, Open Approach</w:t>
            </w:r>
          </w:p>
        </w:tc>
      </w:tr>
      <w:tr w:rsidR="007D419B" w:rsidRPr="00B83A18" w14:paraId="109CD485" w14:textId="77777777" w:rsidTr="002C718A">
        <w:trPr>
          <w:trHeight w:val="300"/>
        </w:trPr>
        <w:tc>
          <w:tcPr>
            <w:tcW w:w="1525" w:type="dxa"/>
            <w:noWrap/>
            <w:vAlign w:val="center"/>
            <w:hideMark/>
          </w:tcPr>
          <w:p w14:paraId="53871E59" w14:textId="77777777" w:rsidR="007D419B" w:rsidRPr="00B83A18" w:rsidRDefault="007D419B" w:rsidP="00696E8F">
            <w:pPr>
              <w:rPr>
                <w:rFonts w:cs="Arial"/>
                <w:color w:val="000000"/>
              </w:rPr>
            </w:pPr>
            <w:r w:rsidRPr="00B83A18">
              <w:rPr>
                <w:rFonts w:cs="Arial"/>
                <w:color w:val="000000"/>
              </w:rPr>
              <w:t>04100Z0</w:t>
            </w:r>
          </w:p>
        </w:tc>
        <w:tc>
          <w:tcPr>
            <w:tcW w:w="8128" w:type="dxa"/>
            <w:noWrap/>
            <w:vAlign w:val="center"/>
            <w:hideMark/>
          </w:tcPr>
          <w:p w14:paraId="01A42144" w14:textId="77777777" w:rsidR="007D419B" w:rsidRPr="00B83A18" w:rsidRDefault="007D419B" w:rsidP="00696E8F">
            <w:pPr>
              <w:rPr>
                <w:rFonts w:cs="Arial"/>
                <w:color w:val="000000"/>
              </w:rPr>
            </w:pPr>
            <w:r w:rsidRPr="00B83A18">
              <w:rPr>
                <w:rFonts w:cs="Arial"/>
                <w:color w:val="000000"/>
              </w:rPr>
              <w:t>Bypass Abdominal Aorta to Abdominal Aorta, Open Approach</w:t>
            </w:r>
          </w:p>
        </w:tc>
      </w:tr>
      <w:tr w:rsidR="007D419B" w:rsidRPr="00B83A18" w14:paraId="4E6BDB6B" w14:textId="77777777" w:rsidTr="002C718A">
        <w:trPr>
          <w:trHeight w:val="300"/>
        </w:trPr>
        <w:tc>
          <w:tcPr>
            <w:tcW w:w="1525" w:type="dxa"/>
            <w:noWrap/>
            <w:vAlign w:val="center"/>
            <w:hideMark/>
          </w:tcPr>
          <w:p w14:paraId="6B91A93D" w14:textId="77777777" w:rsidR="007D419B" w:rsidRPr="00B83A18" w:rsidRDefault="007D419B" w:rsidP="00696E8F">
            <w:pPr>
              <w:rPr>
                <w:rFonts w:cs="Arial"/>
                <w:color w:val="000000"/>
              </w:rPr>
            </w:pPr>
            <w:r w:rsidRPr="00B83A18">
              <w:rPr>
                <w:rFonts w:cs="Arial"/>
                <w:color w:val="000000"/>
              </w:rPr>
              <w:t>04100Z1</w:t>
            </w:r>
          </w:p>
        </w:tc>
        <w:tc>
          <w:tcPr>
            <w:tcW w:w="8128" w:type="dxa"/>
            <w:noWrap/>
            <w:vAlign w:val="center"/>
            <w:hideMark/>
          </w:tcPr>
          <w:p w14:paraId="4E1673F8" w14:textId="77777777" w:rsidR="007D419B" w:rsidRPr="00B83A18" w:rsidRDefault="007D419B" w:rsidP="00696E8F">
            <w:pPr>
              <w:rPr>
                <w:rFonts w:cs="Arial"/>
                <w:color w:val="000000"/>
              </w:rPr>
            </w:pPr>
            <w:r w:rsidRPr="00B83A18">
              <w:rPr>
                <w:rFonts w:cs="Arial"/>
                <w:color w:val="000000"/>
              </w:rPr>
              <w:t>Bypass Abdominal Aorta to Celiac Artery, Open Approach</w:t>
            </w:r>
          </w:p>
        </w:tc>
      </w:tr>
      <w:tr w:rsidR="007D419B" w:rsidRPr="00B83A18" w14:paraId="6164D6E0" w14:textId="77777777" w:rsidTr="002C718A">
        <w:trPr>
          <w:trHeight w:val="300"/>
        </w:trPr>
        <w:tc>
          <w:tcPr>
            <w:tcW w:w="1525" w:type="dxa"/>
            <w:noWrap/>
            <w:vAlign w:val="center"/>
            <w:hideMark/>
          </w:tcPr>
          <w:p w14:paraId="1ACD680C" w14:textId="77777777" w:rsidR="007D419B" w:rsidRPr="00B83A18" w:rsidRDefault="007D419B" w:rsidP="00696E8F">
            <w:pPr>
              <w:rPr>
                <w:rFonts w:cs="Arial"/>
                <w:color w:val="000000"/>
              </w:rPr>
            </w:pPr>
            <w:r w:rsidRPr="00B83A18">
              <w:rPr>
                <w:rFonts w:cs="Arial"/>
                <w:color w:val="000000"/>
              </w:rPr>
              <w:t>04100Z2</w:t>
            </w:r>
          </w:p>
        </w:tc>
        <w:tc>
          <w:tcPr>
            <w:tcW w:w="8128" w:type="dxa"/>
            <w:noWrap/>
            <w:vAlign w:val="center"/>
            <w:hideMark/>
          </w:tcPr>
          <w:p w14:paraId="551D5579" w14:textId="77777777" w:rsidR="007D419B" w:rsidRPr="00B83A18" w:rsidRDefault="007D419B" w:rsidP="00696E8F">
            <w:pPr>
              <w:rPr>
                <w:rFonts w:cs="Arial"/>
                <w:color w:val="000000"/>
              </w:rPr>
            </w:pPr>
            <w:r w:rsidRPr="00B83A18">
              <w:rPr>
                <w:rFonts w:cs="Arial"/>
                <w:color w:val="000000"/>
              </w:rPr>
              <w:t>Bypass Abdominal Aorta to Mesenteric Artery, Open Approach</w:t>
            </w:r>
          </w:p>
        </w:tc>
      </w:tr>
      <w:tr w:rsidR="007D419B" w:rsidRPr="00B83A18" w14:paraId="113C2BB8" w14:textId="77777777" w:rsidTr="002C718A">
        <w:trPr>
          <w:trHeight w:val="300"/>
        </w:trPr>
        <w:tc>
          <w:tcPr>
            <w:tcW w:w="1525" w:type="dxa"/>
            <w:noWrap/>
            <w:vAlign w:val="center"/>
            <w:hideMark/>
          </w:tcPr>
          <w:p w14:paraId="749439FF" w14:textId="77777777" w:rsidR="007D419B" w:rsidRPr="00B83A18" w:rsidRDefault="007D419B" w:rsidP="00696E8F">
            <w:pPr>
              <w:rPr>
                <w:rFonts w:cs="Arial"/>
                <w:color w:val="000000"/>
              </w:rPr>
            </w:pPr>
            <w:r w:rsidRPr="00B83A18">
              <w:rPr>
                <w:rFonts w:cs="Arial"/>
                <w:color w:val="000000"/>
              </w:rPr>
              <w:t>04100Z3</w:t>
            </w:r>
          </w:p>
        </w:tc>
        <w:tc>
          <w:tcPr>
            <w:tcW w:w="8128" w:type="dxa"/>
            <w:noWrap/>
            <w:vAlign w:val="center"/>
            <w:hideMark/>
          </w:tcPr>
          <w:p w14:paraId="7581D7AE" w14:textId="77777777" w:rsidR="007D419B" w:rsidRPr="00B83A18" w:rsidRDefault="007D419B" w:rsidP="00696E8F">
            <w:pPr>
              <w:rPr>
                <w:rFonts w:cs="Arial"/>
                <w:color w:val="000000"/>
              </w:rPr>
            </w:pPr>
            <w:r w:rsidRPr="00B83A18">
              <w:rPr>
                <w:rFonts w:cs="Arial"/>
                <w:color w:val="000000"/>
              </w:rPr>
              <w:t>Bypass Abdominal Aorta to Right Renal Artery, Open Approach</w:t>
            </w:r>
          </w:p>
        </w:tc>
      </w:tr>
      <w:tr w:rsidR="007D419B" w:rsidRPr="00B83A18" w14:paraId="61861643" w14:textId="77777777" w:rsidTr="002C718A">
        <w:trPr>
          <w:trHeight w:val="300"/>
        </w:trPr>
        <w:tc>
          <w:tcPr>
            <w:tcW w:w="1525" w:type="dxa"/>
            <w:noWrap/>
            <w:vAlign w:val="center"/>
            <w:hideMark/>
          </w:tcPr>
          <w:p w14:paraId="4C65EEE9" w14:textId="77777777" w:rsidR="007D419B" w:rsidRPr="00B83A18" w:rsidRDefault="007D419B" w:rsidP="00696E8F">
            <w:pPr>
              <w:rPr>
                <w:rFonts w:cs="Arial"/>
                <w:color w:val="000000"/>
              </w:rPr>
            </w:pPr>
            <w:r w:rsidRPr="00B83A18">
              <w:rPr>
                <w:rFonts w:cs="Arial"/>
                <w:color w:val="000000"/>
              </w:rPr>
              <w:t>04100Z4</w:t>
            </w:r>
          </w:p>
        </w:tc>
        <w:tc>
          <w:tcPr>
            <w:tcW w:w="8128" w:type="dxa"/>
            <w:noWrap/>
            <w:vAlign w:val="center"/>
            <w:hideMark/>
          </w:tcPr>
          <w:p w14:paraId="7D8B3BE7" w14:textId="77777777" w:rsidR="007D419B" w:rsidRPr="00B83A18" w:rsidRDefault="007D419B" w:rsidP="00696E8F">
            <w:pPr>
              <w:rPr>
                <w:rFonts w:cs="Arial"/>
                <w:color w:val="000000"/>
              </w:rPr>
            </w:pPr>
            <w:r w:rsidRPr="00B83A18">
              <w:rPr>
                <w:rFonts w:cs="Arial"/>
                <w:color w:val="000000"/>
              </w:rPr>
              <w:t>Bypass Abdominal Aorta to Left Renal Artery, Open Approach</w:t>
            </w:r>
          </w:p>
        </w:tc>
      </w:tr>
      <w:tr w:rsidR="007D419B" w:rsidRPr="00B83A18" w14:paraId="3D3D57D6" w14:textId="77777777" w:rsidTr="002C718A">
        <w:trPr>
          <w:trHeight w:val="300"/>
        </w:trPr>
        <w:tc>
          <w:tcPr>
            <w:tcW w:w="1525" w:type="dxa"/>
            <w:noWrap/>
            <w:vAlign w:val="center"/>
            <w:hideMark/>
          </w:tcPr>
          <w:p w14:paraId="7010E03A" w14:textId="77777777" w:rsidR="007D419B" w:rsidRPr="00B83A18" w:rsidRDefault="007D419B" w:rsidP="00696E8F">
            <w:pPr>
              <w:rPr>
                <w:rFonts w:cs="Arial"/>
                <w:color w:val="000000"/>
              </w:rPr>
            </w:pPr>
            <w:r w:rsidRPr="00B83A18">
              <w:rPr>
                <w:rFonts w:cs="Arial"/>
                <w:color w:val="000000"/>
              </w:rPr>
              <w:t>04100Z5</w:t>
            </w:r>
          </w:p>
        </w:tc>
        <w:tc>
          <w:tcPr>
            <w:tcW w:w="8128" w:type="dxa"/>
            <w:noWrap/>
            <w:vAlign w:val="center"/>
            <w:hideMark/>
          </w:tcPr>
          <w:p w14:paraId="527713BF" w14:textId="77777777" w:rsidR="007D419B" w:rsidRPr="00B83A18" w:rsidRDefault="007D419B" w:rsidP="00696E8F">
            <w:pPr>
              <w:rPr>
                <w:rFonts w:cs="Arial"/>
                <w:color w:val="000000"/>
              </w:rPr>
            </w:pPr>
            <w:r w:rsidRPr="00B83A18">
              <w:rPr>
                <w:rFonts w:cs="Arial"/>
                <w:color w:val="000000"/>
              </w:rPr>
              <w:t>Bypass Abdominal Aorta to Bilateral Renal Artery, Open Approach</w:t>
            </w:r>
          </w:p>
        </w:tc>
      </w:tr>
      <w:tr w:rsidR="007D419B" w:rsidRPr="00B83A18" w14:paraId="11F8561A" w14:textId="77777777" w:rsidTr="002C718A">
        <w:trPr>
          <w:trHeight w:val="300"/>
        </w:trPr>
        <w:tc>
          <w:tcPr>
            <w:tcW w:w="1525" w:type="dxa"/>
            <w:noWrap/>
            <w:vAlign w:val="center"/>
            <w:hideMark/>
          </w:tcPr>
          <w:p w14:paraId="755F7139" w14:textId="77777777" w:rsidR="007D419B" w:rsidRPr="00B83A18" w:rsidRDefault="007D419B" w:rsidP="00696E8F">
            <w:pPr>
              <w:rPr>
                <w:rFonts w:cs="Arial"/>
                <w:color w:val="000000"/>
              </w:rPr>
            </w:pPr>
            <w:r w:rsidRPr="00B83A18">
              <w:rPr>
                <w:rFonts w:cs="Arial"/>
                <w:color w:val="000000"/>
              </w:rPr>
              <w:t>04100Z6</w:t>
            </w:r>
          </w:p>
        </w:tc>
        <w:tc>
          <w:tcPr>
            <w:tcW w:w="8128" w:type="dxa"/>
            <w:noWrap/>
            <w:vAlign w:val="center"/>
            <w:hideMark/>
          </w:tcPr>
          <w:p w14:paraId="698798A8" w14:textId="77777777" w:rsidR="007D419B" w:rsidRPr="00B83A18" w:rsidRDefault="007D419B" w:rsidP="00696E8F">
            <w:pPr>
              <w:rPr>
                <w:rFonts w:cs="Arial"/>
                <w:color w:val="000000"/>
              </w:rPr>
            </w:pPr>
            <w:r w:rsidRPr="00B83A18">
              <w:rPr>
                <w:rFonts w:cs="Arial"/>
                <w:color w:val="000000"/>
              </w:rPr>
              <w:t>Bypass Abdominal Aorta to Right Common Iliac Artery, Open Approach</w:t>
            </w:r>
          </w:p>
        </w:tc>
      </w:tr>
      <w:tr w:rsidR="007D419B" w:rsidRPr="00B83A18" w14:paraId="655ACCE3" w14:textId="77777777" w:rsidTr="002C718A">
        <w:trPr>
          <w:trHeight w:val="300"/>
        </w:trPr>
        <w:tc>
          <w:tcPr>
            <w:tcW w:w="1525" w:type="dxa"/>
            <w:noWrap/>
            <w:vAlign w:val="center"/>
            <w:hideMark/>
          </w:tcPr>
          <w:p w14:paraId="7F0BDA97" w14:textId="77777777" w:rsidR="007D419B" w:rsidRPr="00B83A18" w:rsidRDefault="007D419B" w:rsidP="00696E8F">
            <w:pPr>
              <w:rPr>
                <w:rFonts w:cs="Arial"/>
                <w:color w:val="000000"/>
              </w:rPr>
            </w:pPr>
            <w:r w:rsidRPr="00B83A18">
              <w:rPr>
                <w:rFonts w:cs="Arial"/>
                <w:color w:val="000000"/>
              </w:rPr>
              <w:t>04100Z7</w:t>
            </w:r>
          </w:p>
        </w:tc>
        <w:tc>
          <w:tcPr>
            <w:tcW w:w="8128" w:type="dxa"/>
            <w:noWrap/>
            <w:vAlign w:val="center"/>
            <w:hideMark/>
          </w:tcPr>
          <w:p w14:paraId="04CDC713" w14:textId="77777777" w:rsidR="007D419B" w:rsidRPr="00B83A18" w:rsidRDefault="007D419B" w:rsidP="00696E8F">
            <w:pPr>
              <w:rPr>
                <w:rFonts w:cs="Arial"/>
                <w:color w:val="000000"/>
              </w:rPr>
            </w:pPr>
            <w:r w:rsidRPr="00B83A18">
              <w:rPr>
                <w:rFonts w:cs="Arial"/>
                <w:color w:val="000000"/>
              </w:rPr>
              <w:t>Bypass Abdominal Aorta to Left Common Iliac Artery, Open Approach</w:t>
            </w:r>
          </w:p>
        </w:tc>
      </w:tr>
      <w:tr w:rsidR="007D419B" w:rsidRPr="00B83A18" w14:paraId="0C6E5C1C" w14:textId="77777777" w:rsidTr="002C718A">
        <w:trPr>
          <w:trHeight w:val="300"/>
        </w:trPr>
        <w:tc>
          <w:tcPr>
            <w:tcW w:w="1525" w:type="dxa"/>
            <w:noWrap/>
            <w:vAlign w:val="center"/>
            <w:hideMark/>
          </w:tcPr>
          <w:p w14:paraId="67730803" w14:textId="77777777" w:rsidR="007D419B" w:rsidRPr="00B83A18" w:rsidRDefault="007D419B" w:rsidP="00696E8F">
            <w:pPr>
              <w:rPr>
                <w:rFonts w:cs="Arial"/>
                <w:color w:val="000000"/>
              </w:rPr>
            </w:pPr>
            <w:r w:rsidRPr="00B83A18">
              <w:rPr>
                <w:rFonts w:cs="Arial"/>
                <w:color w:val="000000"/>
              </w:rPr>
              <w:t>04100Z8</w:t>
            </w:r>
          </w:p>
        </w:tc>
        <w:tc>
          <w:tcPr>
            <w:tcW w:w="8128" w:type="dxa"/>
            <w:noWrap/>
            <w:vAlign w:val="center"/>
            <w:hideMark/>
          </w:tcPr>
          <w:p w14:paraId="43075C57" w14:textId="77777777" w:rsidR="007D419B" w:rsidRPr="00B83A18" w:rsidRDefault="007D419B" w:rsidP="00696E8F">
            <w:pPr>
              <w:rPr>
                <w:rFonts w:cs="Arial"/>
                <w:color w:val="000000"/>
              </w:rPr>
            </w:pPr>
            <w:r w:rsidRPr="00B83A18">
              <w:rPr>
                <w:rFonts w:cs="Arial"/>
                <w:color w:val="000000"/>
              </w:rPr>
              <w:t>Bypass Abdominal Aorta to Bilateral Common Iliac Arteries, Open Approach</w:t>
            </w:r>
          </w:p>
        </w:tc>
      </w:tr>
      <w:tr w:rsidR="007D419B" w:rsidRPr="00B83A18" w14:paraId="42BCCB18" w14:textId="77777777" w:rsidTr="002C718A">
        <w:trPr>
          <w:trHeight w:val="300"/>
        </w:trPr>
        <w:tc>
          <w:tcPr>
            <w:tcW w:w="1525" w:type="dxa"/>
            <w:noWrap/>
            <w:vAlign w:val="center"/>
            <w:hideMark/>
          </w:tcPr>
          <w:p w14:paraId="00D0643C" w14:textId="77777777" w:rsidR="007D419B" w:rsidRPr="00B83A18" w:rsidRDefault="007D419B" w:rsidP="00696E8F">
            <w:pPr>
              <w:rPr>
                <w:rFonts w:cs="Arial"/>
                <w:color w:val="000000"/>
              </w:rPr>
            </w:pPr>
            <w:r w:rsidRPr="00B83A18">
              <w:rPr>
                <w:rFonts w:cs="Arial"/>
                <w:color w:val="000000"/>
              </w:rPr>
              <w:t>04100Z9</w:t>
            </w:r>
          </w:p>
        </w:tc>
        <w:tc>
          <w:tcPr>
            <w:tcW w:w="8128" w:type="dxa"/>
            <w:noWrap/>
            <w:vAlign w:val="center"/>
            <w:hideMark/>
          </w:tcPr>
          <w:p w14:paraId="55A1FEE7" w14:textId="77777777" w:rsidR="007D419B" w:rsidRPr="00B83A18" w:rsidRDefault="007D419B" w:rsidP="00696E8F">
            <w:pPr>
              <w:rPr>
                <w:rFonts w:cs="Arial"/>
                <w:color w:val="000000"/>
              </w:rPr>
            </w:pPr>
            <w:r w:rsidRPr="00B83A18">
              <w:rPr>
                <w:rFonts w:cs="Arial"/>
                <w:color w:val="000000"/>
              </w:rPr>
              <w:t>Bypass Abdominal Aorta to Right Internal Iliac Artery, Open Approach</w:t>
            </w:r>
          </w:p>
        </w:tc>
      </w:tr>
      <w:tr w:rsidR="007D419B" w:rsidRPr="00B83A18" w14:paraId="4A278DC1" w14:textId="77777777" w:rsidTr="002C718A">
        <w:trPr>
          <w:trHeight w:val="300"/>
        </w:trPr>
        <w:tc>
          <w:tcPr>
            <w:tcW w:w="1525" w:type="dxa"/>
            <w:noWrap/>
            <w:vAlign w:val="center"/>
            <w:hideMark/>
          </w:tcPr>
          <w:p w14:paraId="5FC84197" w14:textId="77777777" w:rsidR="007D419B" w:rsidRPr="00B83A18" w:rsidRDefault="007D419B" w:rsidP="00696E8F">
            <w:pPr>
              <w:rPr>
                <w:rFonts w:cs="Arial"/>
                <w:color w:val="000000"/>
              </w:rPr>
            </w:pPr>
            <w:r w:rsidRPr="00B83A18">
              <w:rPr>
                <w:rFonts w:cs="Arial"/>
                <w:color w:val="000000"/>
              </w:rPr>
              <w:t>04100ZB</w:t>
            </w:r>
          </w:p>
        </w:tc>
        <w:tc>
          <w:tcPr>
            <w:tcW w:w="8128" w:type="dxa"/>
            <w:noWrap/>
            <w:vAlign w:val="center"/>
            <w:hideMark/>
          </w:tcPr>
          <w:p w14:paraId="208930F3" w14:textId="77777777" w:rsidR="007D419B" w:rsidRPr="00B83A18" w:rsidRDefault="007D419B" w:rsidP="00696E8F">
            <w:pPr>
              <w:rPr>
                <w:rFonts w:cs="Arial"/>
                <w:color w:val="000000"/>
              </w:rPr>
            </w:pPr>
            <w:r w:rsidRPr="00B83A18">
              <w:rPr>
                <w:rFonts w:cs="Arial"/>
                <w:color w:val="000000"/>
              </w:rPr>
              <w:t>Bypass Abdominal Aorta to Left Internal Iliac Artery, Open Approach</w:t>
            </w:r>
          </w:p>
        </w:tc>
      </w:tr>
      <w:tr w:rsidR="007D419B" w:rsidRPr="00B83A18" w14:paraId="11C4C85F" w14:textId="77777777" w:rsidTr="002C718A">
        <w:trPr>
          <w:trHeight w:val="300"/>
        </w:trPr>
        <w:tc>
          <w:tcPr>
            <w:tcW w:w="1525" w:type="dxa"/>
            <w:noWrap/>
            <w:vAlign w:val="center"/>
            <w:hideMark/>
          </w:tcPr>
          <w:p w14:paraId="6A75F6C8" w14:textId="77777777" w:rsidR="007D419B" w:rsidRPr="00B83A18" w:rsidRDefault="007D419B" w:rsidP="00696E8F">
            <w:pPr>
              <w:rPr>
                <w:rFonts w:cs="Arial"/>
                <w:color w:val="000000"/>
              </w:rPr>
            </w:pPr>
            <w:r w:rsidRPr="00B83A18">
              <w:rPr>
                <w:rFonts w:cs="Arial"/>
                <w:color w:val="000000"/>
              </w:rPr>
              <w:t>04100ZC</w:t>
            </w:r>
          </w:p>
        </w:tc>
        <w:tc>
          <w:tcPr>
            <w:tcW w:w="8128" w:type="dxa"/>
            <w:noWrap/>
            <w:vAlign w:val="center"/>
            <w:hideMark/>
          </w:tcPr>
          <w:p w14:paraId="4A895669" w14:textId="77777777" w:rsidR="007D419B" w:rsidRPr="00B83A18" w:rsidRDefault="007D419B" w:rsidP="00696E8F">
            <w:pPr>
              <w:rPr>
                <w:rFonts w:cs="Arial"/>
                <w:color w:val="000000"/>
              </w:rPr>
            </w:pPr>
            <w:r w:rsidRPr="00B83A18">
              <w:rPr>
                <w:rFonts w:cs="Arial"/>
                <w:color w:val="000000"/>
              </w:rPr>
              <w:t>Bypass Abdominal Aorta to Bilateral Internal Iliac Arteries, Open Approach</w:t>
            </w:r>
          </w:p>
        </w:tc>
      </w:tr>
      <w:tr w:rsidR="007D419B" w:rsidRPr="00B83A18" w14:paraId="7E21B017" w14:textId="77777777" w:rsidTr="002C718A">
        <w:trPr>
          <w:trHeight w:val="300"/>
        </w:trPr>
        <w:tc>
          <w:tcPr>
            <w:tcW w:w="1525" w:type="dxa"/>
            <w:noWrap/>
            <w:vAlign w:val="center"/>
            <w:hideMark/>
          </w:tcPr>
          <w:p w14:paraId="4547B044" w14:textId="77777777" w:rsidR="007D419B" w:rsidRPr="00B83A18" w:rsidRDefault="007D419B" w:rsidP="00696E8F">
            <w:pPr>
              <w:rPr>
                <w:rFonts w:cs="Arial"/>
                <w:color w:val="000000"/>
              </w:rPr>
            </w:pPr>
            <w:r w:rsidRPr="00B83A18">
              <w:rPr>
                <w:rFonts w:cs="Arial"/>
                <w:color w:val="000000"/>
              </w:rPr>
              <w:t>04100ZD</w:t>
            </w:r>
          </w:p>
        </w:tc>
        <w:tc>
          <w:tcPr>
            <w:tcW w:w="8128" w:type="dxa"/>
            <w:noWrap/>
            <w:vAlign w:val="center"/>
            <w:hideMark/>
          </w:tcPr>
          <w:p w14:paraId="6A41ECAE" w14:textId="77777777" w:rsidR="007D419B" w:rsidRPr="00B83A18" w:rsidRDefault="007D419B" w:rsidP="00696E8F">
            <w:pPr>
              <w:rPr>
                <w:rFonts w:cs="Arial"/>
                <w:color w:val="000000"/>
              </w:rPr>
            </w:pPr>
            <w:r w:rsidRPr="00B83A18">
              <w:rPr>
                <w:rFonts w:cs="Arial"/>
                <w:color w:val="000000"/>
              </w:rPr>
              <w:t>Bypass Abdominal Aorta to Right External Iliac Artery, Open Approach</w:t>
            </w:r>
          </w:p>
        </w:tc>
      </w:tr>
      <w:tr w:rsidR="007D419B" w:rsidRPr="00B83A18" w14:paraId="40A423FD" w14:textId="77777777" w:rsidTr="002C718A">
        <w:trPr>
          <w:trHeight w:val="300"/>
        </w:trPr>
        <w:tc>
          <w:tcPr>
            <w:tcW w:w="1525" w:type="dxa"/>
            <w:noWrap/>
            <w:vAlign w:val="center"/>
            <w:hideMark/>
          </w:tcPr>
          <w:p w14:paraId="6D6D5D3C" w14:textId="77777777" w:rsidR="007D419B" w:rsidRPr="00B83A18" w:rsidRDefault="007D419B" w:rsidP="00696E8F">
            <w:pPr>
              <w:rPr>
                <w:rFonts w:cs="Arial"/>
                <w:color w:val="000000"/>
              </w:rPr>
            </w:pPr>
            <w:r w:rsidRPr="00B83A18">
              <w:rPr>
                <w:rFonts w:cs="Arial"/>
                <w:color w:val="000000"/>
              </w:rPr>
              <w:t>04100ZF</w:t>
            </w:r>
          </w:p>
        </w:tc>
        <w:tc>
          <w:tcPr>
            <w:tcW w:w="8128" w:type="dxa"/>
            <w:noWrap/>
            <w:vAlign w:val="center"/>
            <w:hideMark/>
          </w:tcPr>
          <w:p w14:paraId="179EC2CE" w14:textId="77777777" w:rsidR="007D419B" w:rsidRPr="00B83A18" w:rsidRDefault="007D419B" w:rsidP="00696E8F">
            <w:pPr>
              <w:rPr>
                <w:rFonts w:cs="Arial"/>
                <w:color w:val="000000"/>
              </w:rPr>
            </w:pPr>
            <w:r w:rsidRPr="00B83A18">
              <w:rPr>
                <w:rFonts w:cs="Arial"/>
                <w:color w:val="000000"/>
              </w:rPr>
              <w:t>Bypass Abdominal Aorta to Left External Iliac Artery, Open Approach</w:t>
            </w:r>
          </w:p>
        </w:tc>
      </w:tr>
      <w:tr w:rsidR="007D419B" w:rsidRPr="00B83A18" w14:paraId="3B22F950" w14:textId="77777777" w:rsidTr="002C718A">
        <w:trPr>
          <w:trHeight w:val="300"/>
        </w:trPr>
        <w:tc>
          <w:tcPr>
            <w:tcW w:w="1525" w:type="dxa"/>
            <w:noWrap/>
            <w:vAlign w:val="center"/>
            <w:hideMark/>
          </w:tcPr>
          <w:p w14:paraId="740581DD" w14:textId="77777777" w:rsidR="007D419B" w:rsidRPr="00B83A18" w:rsidRDefault="007D419B" w:rsidP="00696E8F">
            <w:pPr>
              <w:rPr>
                <w:rFonts w:cs="Arial"/>
                <w:color w:val="000000"/>
              </w:rPr>
            </w:pPr>
            <w:r w:rsidRPr="00B83A18">
              <w:rPr>
                <w:rFonts w:cs="Arial"/>
                <w:color w:val="000000"/>
              </w:rPr>
              <w:t>04100ZG</w:t>
            </w:r>
          </w:p>
        </w:tc>
        <w:tc>
          <w:tcPr>
            <w:tcW w:w="8128" w:type="dxa"/>
            <w:noWrap/>
            <w:vAlign w:val="center"/>
            <w:hideMark/>
          </w:tcPr>
          <w:p w14:paraId="1253FD24" w14:textId="77777777" w:rsidR="007D419B" w:rsidRPr="00B83A18" w:rsidRDefault="007D419B" w:rsidP="00696E8F">
            <w:pPr>
              <w:rPr>
                <w:rFonts w:cs="Arial"/>
                <w:color w:val="000000"/>
              </w:rPr>
            </w:pPr>
            <w:r w:rsidRPr="00B83A18">
              <w:rPr>
                <w:rFonts w:cs="Arial"/>
                <w:color w:val="000000"/>
              </w:rPr>
              <w:t>Bypass Abdominal Aorta to Bilateral External Iliac Arteries, Open Approach</w:t>
            </w:r>
          </w:p>
        </w:tc>
      </w:tr>
      <w:tr w:rsidR="007D419B" w:rsidRPr="00B83A18" w14:paraId="5C52BD11" w14:textId="77777777" w:rsidTr="002C718A">
        <w:trPr>
          <w:trHeight w:val="300"/>
        </w:trPr>
        <w:tc>
          <w:tcPr>
            <w:tcW w:w="1525" w:type="dxa"/>
            <w:noWrap/>
            <w:vAlign w:val="center"/>
            <w:hideMark/>
          </w:tcPr>
          <w:p w14:paraId="47C3447C" w14:textId="77777777" w:rsidR="007D419B" w:rsidRPr="00B83A18" w:rsidRDefault="007D419B" w:rsidP="00696E8F">
            <w:pPr>
              <w:rPr>
                <w:rFonts w:cs="Arial"/>
                <w:color w:val="000000"/>
              </w:rPr>
            </w:pPr>
            <w:r w:rsidRPr="00B83A18">
              <w:rPr>
                <w:rFonts w:cs="Arial"/>
                <w:color w:val="000000"/>
              </w:rPr>
              <w:t>04100ZH</w:t>
            </w:r>
          </w:p>
        </w:tc>
        <w:tc>
          <w:tcPr>
            <w:tcW w:w="8128" w:type="dxa"/>
            <w:noWrap/>
            <w:vAlign w:val="center"/>
            <w:hideMark/>
          </w:tcPr>
          <w:p w14:paraId="29271B65" w14:textId="77777777" w:rsidR="007D419B" w:rsidRPr="00B83A18" w:rsidRDefault="007D419B" w:rsidP="00696E8F">
            <w:pPr>
              <w:rPr>
                <w:rFonts w:cs="Arial"/>
                <w:color w:val="000000"/>
              </w:rPr>
            </w:pPr>
            <w:r w:rsidRPr="00B83A18">
              <w:rPr>
                <w:rFonts w:cs="Arial"/>
                <w:color w:val="000000"/>
              </w:rPr>
              <w:t>Bypass Abdominal Aorta to Right Femoral Artery, Open Approach</w:t>
            </w:r>
          </w:p>
        </w:tc>
      </w:tr>
      <w:tr w:rsidR="007D419B" w:rsidRPr="00B83A18" w14:paraId="775CFE1F" w14:textId="77777777" w:rsidTr="002C718A">
        <w:trPr>
          <w:trHeight w:val="300"/>
        </w:trPr>
        <w:tc>
          <w:tcPr>
            <w:tcW w:w="1525" w:type="dxa"/>
            <w:noWrap/>
            <w:vAlign w:val="center"/>
            <w:hideMark/>
          </w:tcPr>
          <w:p w14:paraId="6D2C2B09" w14:textId="77777777" w:rsidR="007D419B" w:rsidRPr="00B83A18" w:rsidRDefault="007D419B" w:rsidP="00696E8F">
            <w:pPr>
              <w:rPr>
                <w:rFonts w:cs="Arial"/>
                <w:color w:val="000000"/>
              </w:rPr>
            </w:pPr>
            <w:r w:rsidRPr="00B83A18">
              <w:rPr>
                <w:rFonts w:cs="Arial"/>
                <w:color w:val="000000"/>
              </w:rPr>
              <w:t>04100ZJ</w:t>
            </w:r>
          </w:p>
        </w:tc>
        <w:tc>
          <w:tcPr>
            <w:tcW w:w="8128" w:type="dxa"/>
            <w:noWrap/>
            <w:vAlign w:val="center"/>
            <w:hideMark/>
          </w:tcPr>
          <w:p w14:paraId="527BEDC2" w14:textId="77777777" w:rsidR="007D419B" w:rsidRPr="00B83A18" w:rsidRDefault="007D419B" w:rsidP="00696E8F">
            <w:pPr>
              <w:rPr>
                <w:rFonts w:cs="Arial"/>
                <w:color w:val="000000"/>
              </w:rPr>
            </w:pPr>
            <w:r w:rsidRPr="00B83A18">
              <w:rPr>
                <w:rFonts w:cs="Arial"/>
                <w:color w:val="000000"/>
              </w:rPr>
              <w:t>Bypass Abdominal Aorta to Left Femoral Artery, Open Approach</w:t>
            </w:r>
          </w:p>
        </w:tc>
      </w:tr>
      <w:tr w:rsidR="007D419B" w:rsidRPr="00B83A18" w14:paraId="48504A75" w14:textId="77777777" w:rsidTr="002C718A">
        <w:trPr>
          <w:trHeight w:val="300"/>
        </w:trPr>
        <w:tc>
          <w:tcPr>
            <w:tcW w:w="1525" w:type="dxa"/>
            <w:noWrap/>
            <w:vAlign w:val="center"/>
            <w:hideMark/>
          </w:tcPr>
          <w:p w14:paraId="458DD283" w14:textId="77777777" w:rsidR="007D419B" w:rsidRPr="00B83A18" w:rsidRDefault="007D419B" w:rsidP="00696E8F">
            <w:pPr>
              <w:rPr>
                <w:rFonts w:cs="Arial"/>
                <w:color w:val="000000"/>
              </w:rPr>
            </w:pPr>
            <w:r w:rsidRPr="00B83A18">
              <w:rPr>
                <w:rFonts w:cs="Arial"/>
                <w:color w:val="000000"/>
              </w:rPr>
              <w:t>04100ZK</w:t>
            </w:r>
          </w:p>
        </w:tc>
        <w:tc>
          <w:tcPr>
            <w:tcW w:w="8128" w:type="dxa"/>
            <w:noWrap/>
            <w:vAlign w:val="center"/>
            <w:hideMark/>
          </w:tcPr>
          <w:p w14:paraId="6CD1D11E" w14:textId="77777777" w:rsidR="007D419B" w:rsidRPr="00B83A18" w:rsidRDefault="007D419B" w:rsidP="00696E8F">
            <w:pPr>
              <w:rPr>
                <w:rFonts w:cs="Arial"/>
                <w:color w:val="000000"/>
              </w:rPr>
            </w:pPr>
            <w:r w:rsidRPr="00B83A18">
              <w:rPr>
                <w:rFonts w:cs="Arial"/>
                <w:color w:val="000000"/>
              </w:rPr>
              <w:t>Bypass Abdominal Aorta to Bilateral Femoral Arteries, Open Approach</w:t>
            </w:r>
          </w:p>
        </w:tc>
      </w:tr>
      <w:tr w:rsidR="007D419B" w:rsidRPr="00B83A18" w14:paraId="7955D0D8" w14:textId="77777777" w:rsidTr="002C718A">
        <w:trPr>
          <w:trHeight w:val="300"/>
        </w:trPr>
        <w:tc>
          <w:tcPr>
            <w:tcW w:w="1525" w:type="dxa"/>
            <w:noWrap/>
            <w:vAlign w:val="center"/>
            <w:hideMark/>
          </w:tcPr>
          <w:p w14:paraId="4B454D55" w14:textId="77777777" w:rsidR="007D419B" w:rsidRPr="00B83A18" w:rsidRDefault="007D419B" w:rsidP="00696E8F">
            <w:pPr>
              <w:rPr>
                <w:rFonts w:cs="Arial"/>
                <w:color w:val="000000"/>
              </w:rPr>
            </w:pPr>
            <w:r w:rsidRPr="00B83A18">
              <w:rPr>
                <w:rFonts w:cs="Arial"/>
                <w:color w:val="000000"/>
              </w:rPr>
              <w:t>04100ZQ</w:t>
            </w:r>
          </w:p>
        </w:tc>
        <w:tc>
          <w:tcPr>
            <w:tcW w:w="8128" w:type="dxa"/>
            <w:noWrap/>
            <w:vAlign w:val="center"/>
            <w:hideMark/>
          </w:tcPr>
          <w:p w14:paraId="3CB4A61F" w14:textId="77777777" w:rsidR="007D419B" w:rsidRPr="00B83A18" w:rsidRDefault="007D419B" w:rsidP="00696E8F">
            <w:pPr>
              <w:rPr>
                <w:rFonts w:cs="Arial"/>
                <w:color w:val="000000"/>
              </w:rPr>
            </w:pPr>
            <w:r w:rsidRPr="00B83A18">
              <w:rPr>
                <w:rFonts w:cs="Arial"/>
                <w:color w:val="000000"/>
              </w:rPr>
              <w:t>Bypass Abdominal Aorta to Lower Extremity Artery, Open Approach</w:t>
            </w:r>
          </w:p>
        </w:tc>
      </w:tr>
      <w:tr w:rsidR="007D419B" w:rsidRPr="00B83A18" w14:paraId="266C3753" w14:textId="77777777" w:rsidTr="002C718A">
        <w:trPr>
          <w:trHeight w:val="300"/>
        </w:trPr>
        <w:tc>
          <w:tcPr>
            <w:tcW w:w="1525" w:type="dxa"/>
            <w:noWrap/>
            <w:vAlign w:val="center"/>
            <w:hideMark/>
          </w:tcPr>
          <w:p w14:paraId="6C39E9A6" w14:textId="77777777" w:rsidR="007D419B" w:rsidRPr="00B83A18" w:rsidRDefault="007D419B" w:rsidP="00696E8F">
            <w:pPr>
              <w:rPr>
                <w:rFonts w:cs="Arial"/>
                <w:color w:val="000000"/>
              </w:rPr>
            </w:pPr>
            <w:r w:rsidRPr="00B83A18">
              <w:rPr>
                <w:rFonts w:cs="Arial"/>
                <w:color w:val="000000"/>
              </w:rPr>
              <w:t>04100ZR</w:t>
            </w:r>
          </w:p>
        </w:tc>
        <w:tc>
          <w:tcPr>
            <w:tcW w:w="8128" w:type="dxa"/>
            <w:noWrap/>
            <w:vAlign w:val="center"/>
            <w:hideMark/>
          </w:tcPr>
          <w:p w14:paraId="04C576D3" w14:textId="77777777" w:rsidR="007D419B" w:rsidRPr="00B83A18" w:rsidRDefault="007D419B" w:rsidP="00696E8F">
            <w:pPr>
              <w:rPr>
                <w:rFonts w:cs="Arial"/>
                <w:color w:val="000000"/>
              </w:rPr>
            </w:pPr>
            <w:r w:rsidRPr="00B83A18">
              <w:rPr>
                <w:rFonts w:cs="Arial"/>
                <w:color w:val="000000"/>
              </w:rPr>
              <w:t>Bypass Abdominal Aorta to Lower Artery, Open Approach</w:t>
            </w:r>
          </w:p>
        </w:tc>
      </w:tr>
      <w:tr w:rsidR="007D419B" w:rsidRPr="00B83A18" w14:paraId="0FB507B7" w14:textId="77777777" w:rsidTr="002C718A">
        <w:trPr>
          <w:trHeight w:val="300"/>
        </w:trPr>
        <w:tc>
          <w:tcPr>
            <w:tcW w:w="1525" w:type="dxa"/>
            <w:noWrap/>
            <w:vAlign w:val="center"/>
            <w:hideMark/>
          </w:tcPr>
          <w:p w14:paraId="2093273F" w14:textId="77777777" w:rsidR="007D419B" w:rsidRPr="00B83A18" w:rsidRDefault="007D419B" w:rsidP="00696E8F">
            <w:pPr>
              <w:rPr>
                <w:rFonts w:cs="Arial"/>
                <w:color w:val="000000"/>
              </w:rPr>
            </w:pPr>
            <w:r w:rsidRPr="00B83A18">
              <w:rPr>
                <w:rFonts w:cs="Arial"/>
                <w:color w:val="000000"/>
              </w:rPr>
              <w:t>041C090</w:t>
            </w:r>
          </w:p>
        </w:tc>
        <w:tc>
          <w:tcPr>
            <w:tcW w:w="8128" w:type="dxa"/>
            <w:noWrap/>
            <w:vAlign w:val="center"/>
            <w:hideMark/>
          </w:tcPr>
          <w:p w14:paraId="4855694A" w14:textId="77777777" w:rsidR="007D419B" w:rsidRPr="00B83A18" w:rsidRDefault="007D419B" w:rsidP="00696E8F">
            <w:pPr>
              <w:rPr>
                <w:rFonts w:cs="Arial"/>
                <w:color w:val="000000"/>
              </w:rPr>
            </w:pPr>
            <w:r w:rsidRPr="00B83A18">
              <w:rPr>
                <w:rFonts w:cs="Arial"/>
                <w:color w:val="000000"/>
              </w:rPr>
              <w:t>Bypass Right Common Iliac Artery to Abdominal Aorta with Autologous Venous Tissue, Open Approach</w:t>
            </w:r>
          </w:p>
        </w:tc>
      </w:tr>
      <w:tr w:rsidR="007D419B" w:rsidRPr="00B83A18" w14:paraId="486B9A4C" w14:textId="77777777" w:rsidTr="002C718A">
        <w:trPr>
          <w:trHeight w:val="300"/>
        </w:trPr>
        <w:tc>
          <w:tcPr>
            <w:tcW w:w="1525" w:type="dxa"/>
            <w:noWrap/>
            <w:vAlign w:val="center"/>
            <w:hideMark/>
          </w:tcPr>
          <w:p w14:paraId="2EF5A410" w14:textId="77777777" w:rsidR="007D419B" w:rsidRPr="00B83A18" w:rsidRDefault="007D419B" w:rsidP="00696E8F">
            <w:pPr>
              <w:rPr>
                <w:rFonts w:cs="Arial"/>
                <w:color w:val="000000"/>
              </w:rPr>
            </w:pPr>
            <w:r w:rsidRPr="00B83A18">
              <w:rPr>
                <w:rFonts w:cs="Arial"/>
                <w:color w:val="000000"/>
              </w:rPr>
              <w:t>041C0A0</w:t>
            </w:r>
          </w:p>
        </w:tc>
        <w:tc>
          <w:tcPr>
            <w:tcW w:w="8128" w:type="dxa"/>
            <w:noWrap/>
            <w:vAlign w:val="center"/>
            <w:hideMark/>
          </w:tcPr>
          <w:p w14:paraId="20A3D693" w14:textId="77777777" w:rsidR="007D419B" w:rsidRPr="00B83A18" w:rsidRDefault="007D419B" w:rsidP="00696E8F">
            <w:pPr>
              <w:rPr>
                <w:rFonts w:cs="Arial"/>
                <w:color w:val="000000"/>
              </w:rPr>
            </w:pPr>
            <w:r w:rsidRPr="00B83A18">
              <w:rPr>
                <w:rFonts w:cs="Arial"/>
                <w:color w:val="000000"/>
              </w:rPr>
              <w:t>Bypass Right Common Iliac Artery to Abdominal Aorta with Autologous Arterial Tissue, Open Approach</w:t>
            </w:r>
          </w:p>
        </w:tc>
      </w:tr>
      <w:tr w:rsidR="007D419B" w:rsidRPr="00B83A18" w14:paraId="231D1A6E" w14:textId="77777777" w:rsidTr="002C718A">
        <w:trPr>
          <w:trHeight w:val="300"/>
        </w:trPr>
        <w:tc>
          <w:tcPr>
            <w:tcW w:w="1525" w:type="dxa"/>
            <w:noWrap/>
            <w:vAlign w:val="center"/>
            <w:hideMark/>
          </w:tcPr>
          <w:p w14:paraId="630B27BB" w14:textId="77777777" w:rsidR="007D419B" w:rsidRPr="00B83A18" w:rsidRDefault="007D419B" w:rsidP="00696E8F">
            <w:pPr>
              <w:rPr>
                <w:rFonts w:cs="Arial"/>
                <w:color w:val="000000"/>
              </w:rPr>
            </w:pPr>
            <w:r w:rsidRPr="00B83A18">
              <w:rPr>
                <w:rFonts w:cs="Arial"/>
                <w:color w:val="000000"/>
              </w:rPr>
              <w:t>041C0J0</w:t>
            </w:r>
          </w:p>
        </w:tc>
        <w:tc>
          <w:tcPr>
            <w:tcW w:w="8128" w:type="dxa"/>
            <w:noWrap/>
            <w:vAlign w:val="center"/>
            <w:hideMark/>
          </w:tcPr>
          <w:p w14:paraId="3E000DC5" w14:textId="77777777" w:rsidR="007D419B" w:rsidRPr="00B83A18" w:rsidRDefault="007D419B" w:rsidP="00696E8F">
            <w:pPr>
              <w:rPr>
                <w:rFonts w:cs="Arial"/>
                <w:color w:val="000000"/>
              </w:rPr>
            </w:pPr>
            <w:r w:rsidRPr="00B83A18">
              <w:rPr>
                <w:rFonts w:cs="Arial"/>
                <w:color w:val="000000"/>
              </w:rPr>
              <w:t>Bypass Right Common Iliac Artery to Abdominal Aorta with Synthetic Substitute, Open Approach</w:t>
            </w:r>
          </w:p>
        </w:tc>
      </w:tr>
      <w:tr w:rsidR="007D419B" w:rsidRPr="00B83A18" w14:paraId="17946B1C" w14:textId="77777777" w:rsidTr="002C718A">
        <w:trPr>
          <w:trHeight w:val="300"/>
        </w:trPr>
        <w:tc>
          <w:tcPr>
            <w:tcW w:w="1525" w:type="dxa"/>
            <w:noWrap/>
            <w:vAlign w:val="center"/>
            <w:hideMark/>
          </w:tcPr>
          <w:p w14:paraId="2E8BBBF6" w14:textId="77777777" w:rsidR="007D419B" w:rsidRPr="00B83A18" w:rsidRDefault="007D419B" w:rsidP="00696E8F">
            <w:pPr>
              <w:rPr>
                <w:rFonts w:cs="Arial"/>
                <w:color w:val="000000"/>
              </w:rPr>
            </w:pPr>
            <w:r w:rsidRPr="00B83A18">
              <w:rPr>
                <w:rFonts w:cs="Arial"/>
                <w:color w:val="000000"/>
              </w:rPr>
              <w:t>041C0K0</w:t>
            </w:r>
          </w:p>
        </w:tc>
        <w:tc>
          <w:tcPr>
            <w:tcW w:w="8128" w:type="dxa"/>
            <w:noWrap/>
            <w:vAlign w:val="center"/>
            <w:hideMark/>
          </w:tcPr>
          <w:p w14:paraId="41B6A994" w14:textId="77777777" w:rsidR="007D419B" w:rsidRPr="00B83A18" w:rsidRDefault="007D419B" w:rsidP="00696E8F">
            <w:pPr>
              <w:rPr>
                <w:rFonts w:cs="Arial"/>
                <w:color w:val="000000"/>
              </w:rPr>
            </w:pPr>
            <w:r w:rsidRPr="00B83A18">
              <w:rPr>
                <w:rFonts w:cs="Arial"/>
                <w:color w:val="000000"/>
              </w:rPr>
              <w:t xml:space="preserve">Bypass Right Common Iliac Artery to Abdominal Aorta with </w:t>
            </w:r>
            <w:proofErr w:type="spellStart"/>
            <w:r w:rsidRPr="00B83A18">
              <w:rPr>
                <w:rFonts w:cs="Arial"/>
                <w:color w:val="000000"/>
              </w:rPr>
              <w:t>Nonautologous</w:t>
            </w:r>
            <w:proofErr w:type="spellEnd"/>
            <w:r w:rsidRPr="00B83A18">
              <w:rPr>
                <w:rFonts w:cs="Arial"/>
                <w:color w:val="000000"/>
              </w:rPr>
              <w:t xml:space="preserve"> Tissue Substitute, Open Approach</w:t>
            </w:r>
          </w:p>
        </w:tc>
      </w:tr>
      <w:tr w:rsidR="007D419B" w:rsidRPr="00B83A18" w14:paraId="46B72E92" w14:textId="77777777" w:rsidTr="002C718A">
        <w:trPr>
          <w:trHeight w:val="300"/>
        </w:trPr>
        <w:tc>
          <w:tcPr>
            <w:tcW w:w="1525" w:type="dxa"/>
            <w:noWrap/>
            <w:vAlign w:val="center"/>
            <w:hideMark/>
          </w:tcPr>
          <w:p w14:paraId="33DDCA91" w14:textId="77777777" w:rsidR="007D419B" w:rsidRPr="00B83A18" w:rsidRDefault="007D419B" w:rsidP="00696E8F">
            <w:pPr>
              <w:rPr>
                <w:rFonts w:cs="Arial"/>
                <w:color w:val="000000"/>
              </w:rPr>
            </w:pPr>
            <w:r w:rsidRPr="00B83A18">
              <w:rPr>
                <w:rFonts w:cs="Arial"/>
                <w:color w:val="000000"/>
              </w:rPr>
              <w:t>041C0Z0</w:t>
            </w:r>
          </w:p>
        </w:tc>
        <w:tc>
          <w:tcPr>
            <w:tcW w:w="8128" w:type="dxa"/>
            <w:noWrap/>
            <w:vAlign w:val="center"/>
            <w:hideMark/>
          </w:tcPr>
          <w:p w14:paraId="5EB0FBC2" w14:textId="77777777" w:rsidR="007D419B" w:rsidRPr="00B83A18" w:rsidRDefault="007D419B" w:rsidP="00696E8F">
            <w:pPr>
              <w:rPr>
                <w:rFonts w:cs="Arial"/>
                <w:color w:val="000000"/>
              </w:rPr>
            </w:pPr>
            <w:r w:rsidRPr="00B83A18">
              <w:rPr>
                <w:rFonts w:cs="Arial"/>
                <w:color w:val="000000"/>
              </w:rPr>
              <w:t>Bypass Right Common Iliac Artery to Abdominal Aorta, Open Approach</w:t>
            </w:r>
          </w:p>
        </w:tc>
      </w:tr>
      <w:tr w:rsidR="007D419B" w:rsidRPr="00B83A18" w14:paraId="64779071" w14:textId="77777777" w:rsidTr="002C718A">
        <w:trPr>
          <w:trHeight w:val="300"/>
        </w:trPr>
        <w:tc>
          <w:tcPr>
            <w:tcW w:w="1525" w:type="dxa"/>
            <w:noWrap/>
            <w:vAlign w:val="center"/>
            <w:hideMark/>
          </w:tcPr>
          <w:p w14:paraId="7C8282DC" w14:textId="77777777" w:rsidR="007D419B" w:rsidRPr="00B83A18" w:rsidRDefault="007D419B" w:rsidP="00696E8F">
            <w:pPr>
              <w:rPr>
                <w:rFonts w:cs="Arial"/>
                <w:color w:val="000000"/>
              </w:rPr>
            </w:pPr>
            <w:r w:rsidRPr="00B83A18">
              <w:rPr>
                <w:rFonts w:cs="Arial"/>
                <w:color w:val="000000"/>
              </w:rPr>
              <w:t>041D090</w:t>
            </w:r>
          </w:p>
        </w:tc>
        <w:tc>
          <w:tcPr>
            <w:tcW w:w="8128" w:type="dxa"/>
            <w:noWrap/>
            <w:vAlign w:val="center"/>
            <w:hideMark/>
          </w:tcPr>
          <w:p w14:paraId="35E31A5F" w14:textId="77777777" w:rsidR="007D419B" w:rsidRPr="00B83A18" w:rsidRDefault="007D419B" w:rsidP="00696E8F">
            <w:pPr>
              <w:rPr>
                <w:rFonts w:cs="Arial"/>
                <w:color w:val="000000"/>
              </w:rPr>
            </w:pPr>
            <w:r w:rsidRPr="00B83A18">
              <w:rPr>
                <w:rFonts w:cs="Arial"/>
                <w:color w:val="000000"/>
              </w:rPr>
              <w:t>Bypass Left Common Iliac Artery to Abdominal Aorta with Autologous Venous Tissue, Open Approach</w:t>
            </w:r>
          </w:p>
        </w:tc>
      </w:tr>
      <w:tr w:rsidR="007D419B" w:rsidRPr="00B83A18" w14:paraId="2D690B42" w14:textId="77777777" w:rsidTr="002C718A">
        <w:trPr>
          <w:trHeight w:val="300"/>
        </w:trPr>
        <w:tc>
          <w:tcPr>
            <w:tcW w:w="1525" w:type="dxa"/>
            <w:noWrap/>
            <w:vAlign w:val="center"/>
            <w:hideMark/>
          </w:tcPr>
          <w:p w14:paraId="59ED2866" w14:textId="77777777" w:rsidR="007D419B" w:rsidRPr="00B83A18" w:rsidRDefault="007D419B" w:rsidP="00696E8F">
            <w:pPr>
              <w:rPr>
                <w:rFonts w:cs="Arial"/>
                <w:color w:val="000000"/>
              </w:rPr>
            </w:pPr>
            <w:r w:rsidRPr="00B83A18">
              <w:rPr>
                <w:rFonts w:cs="Arial"/>
                <w:color w:val="000000"/>
              </w:rPr>
              <w:t>041D0A0</w:t>
            </w:r>
          </w:p>
        </w:tc>
        <w:tc>
          <w:tcPr>
            <w:tcW w:w="8128" w:type="dxa"/>
            <w:noWrap/>
            <w:vAlign w:val="center"/>
            <w:hideMark/>
          </w:tcPr>
          <w:p w14:paraId="7A33B9BA" w14:textId="77777777" w:rsidR="007D419B" w:rsidRPr="00B83A18" w:rsidRDefault="007D419B" w:rsidP="00696E8F">
            <w:pPr>
              <w:rPr>
                <w:rFonts w:cs="Arial"/>
                <w:color w:val="000000"/>
              </w:rPr>
            </w:pPr>
            <w:r w:rsidRPr="00B83A18">
              <w:rPr>
                <w:rFonts w:cs="Arial"/>
                <w:color w:val="000000"/>
              </w:rPr>
              <w:t>Bypass Left Common Iliac Artery to Abdominal Aorta with Autologous Arterial Tissue, Open Approach</w:t>
            </w:r>
          </w:p>
        </w:tc>
      </w:tr>
      <w:tr w:rsidR="007D419B" w:rsidRPr="00B83A18" w14:paraId="15CB89B8" w14:textId="77777777" w:rsidTr="002C718A">
        <w:trPr>
          <w:trHeight w:val="300"/>
        </w:trPr>
        <w:tc>
          <w:tcPr>
            <w:tcW w:w="1525" w:type="dxa"/>
            <w:noWrap/>
            <w:vAlign w:val="center"/>
            <w:hideMark/>
          </w:tcPr>
          <w:p w14:paraId="31E1B207" w14:textId="77777777" w:rsidR="007D419B" w:rsidRPr="00B83A18" w:rsidRDefault="007D419B" w:rsidP="00696E8F">
            <w:pPr>
              <w:rPr>
                <w:rFonts w:cs="Arial"/>
                <w:color w:val="000000"/>
              </w:rPr>
            </w:pPr>
            <w:r w:rsidRPr="00B83A18">
              <w:rPr>
                <w:rFonts w:cs="Arial"/>
                <w:color w:val="000000"/>
              </w:rPr>
              <w:t>041D0J0</w:t>
            </w:r>
          </w:p>
        </w:tc>
        <w:tc>
          <w:tcPr>
            <w:tcW w:w="8128" w:type="dxa"/>
            <w:noWrap/>
            <w:vAlign w:val="center"/>
            <w:hideMark/>
          </w:tcPr>
          <w:p w14:paraId="3A778239" w14:textId="77777777" w:rsidR="007D419B" w:rsidRPr="00B83A18" w:rsidRDefault="007D419B" w:rsidP="00696E8F">
            <w:pPr>
              <w:rPr>
                <w:rFonts w:cs="Arial"/>
                <w:color w:val="000000"/>
              </w:rPr>
            </w:pPr>
            <w:r w:rsidRPr="00B83A18">
              <w:rPr>
                <w:rFonts w:cs="Arial"/>
                <w:color w:val="000000"/>
              </w:rPr>
              <w:t>Bypass Left Common Iliac Artery to Abdominal Aorta with Synthetic Substitute, Open Approach</w:t>
            </w:r>
          </w:p>
        </w:tc>
      </w:tr>
      <w:tr w:rsidR="007D419B" w:rsidRPr="00B83A18" w14:paraId="7F899BF6" w14:textId="77777777" w:rsidTr="002C718A">
        <w:trPr>
          <w:trHeight w:val="300"/>
        </w:trPr>
        <w:tc>
          <w:tcPr>
            <w:tcW w:w="1525" w:type="dxa"/>
            <w:noWrap/>
            <w:vAlign w:val="center"/>
            <w:hideMark/>
          </w:tcPr>
          <w:p w14:paraId="3C6F167C" w14:textId="77777777" w:rsidR="007D419B" w:rsidRPr="00B83A18" w:rsidRDefault="007D419B" w:rsidP="00696E8F">
            <w:pPr>
              <w:rPr>
                <w:rFonts w:cs="Arial"/>
                <w:color w:val="000000"/>
              </w:rPr>
            </w:pPr>
            <w:r w:rsidRPr="00B83A18">
              <w:rPr>
                <w:rFonts w:cs="Arial"/>
                <w:color w:val="000000"/>
              </w:rPr>
              <w:t>041D0K0</w:t>
            </w:r>
          </w:p>
        </w:tc>
        <w:tc>
          <w:tcPr>
            <w:tcW w:w="8128" w:type="dxa"/>
            <w:noWrap/>
            <w:vAlign w:val="center"/>
            <w:hideMark/>
          </w:tcPr>
          <w:p w14:paraId="0CBE6732" w14:textId="77777777" w:rsidR="007D419B" w:rsidRPr="00B83A18" w:rsidRDefault="007D419B" w:rsidP="00696E8F">
            <w:pPr>
              <w:rPr>
                <w:rFonts w:cs="Arial"/>
                <w:color w:val="000000"/>
              </w:rPr>
            </w:pPr>
            <w:r w:rsidRPr="00B83A18">
              <w:rPr>
                <w:rFonts w:cs="Arial"/>
                <w:color w:val="000000"/>
              </w:rPr>
              <w:t xml:space="preserve">Bypass Left Common Iliac Artery to Abdominal Aorta with </w:t>
            </w:r>
            <w:proofErr w:type="spellStart"/>
            <w:r w:rsidRPr="00B83A18">
              <w:rPr>
                <w:rFonts w:cs="Arial"/>
                <w:color w:val="000000"/>
              </w:rPr>
              <w:t>Nonautologous</w:t>
            </w:r>
            <w:proofErr w:type="spellEnd"/>
            <w:r w:rsidRPr="00B83A18">
              <w:rPr>
                <w:rFonts w:cs="Arial"/>
                <w:color w:val="000000"/>
              </w:rPr>
              <w:t xml:space="preserve"> Tissue Substitute, Open Approach</w:t>
            </w:r>
          </w:p>
        </w:tc>
      </w:tr>
      <w:tr w:rsidR="007D419B" w:rsidRPr="00B83A18" w14:paraId="03BD78DA" w14:textId="77777777" w:rsidTr="002C718A">
        <w:trPr>
          <w:trHeight w:val="300"/>
        </w:trPr>
        <w:tc>
          <w:tcPr>
            <w:tcW w:w="1525" w:type="dxa"/>
            <w:noWrap/>
            <w:vAlign w:val="center"/>
            <w:hideMark/>
          </w:tcPr>
          <w:p w14:paraId="5D31326A" w14:textId="77777777" w:rsidR="007D419B" w:rsidRPr="00B83A18" w:rsidRDefault="007D419B" w:rsidP="00696E8F">
            <w:pPr>
              <w:rPr>
                <w:rFonts w:cs="Arial"/>
                <w:color w:val="000000"/>
              </w:rPr>
            </w:pPr>
            <w:r w:rsidRPr="00B83A18">
              <w:rPr>
                <w:rFonts w:cs="Arial"/>
                <w:color w:val="000000"/>
              </w:rPr>
              <w:t>041D0Z0</w:t>
            </w:r>
          </w:p>
        </w:tc>
        <w:tc>
          <w:tcPr>
            <w:tcW w:w="8128" w:type="dxa"/>
            <w:noWrap/>
            <w:vAlign w:val="center"/>
            <w:hideMark/>
          </w:tcPr>
          <w:p w14:paraId="4367E4B3" w14:textId="77777777" w:rsidR="007D419B" w:rsidRPr="00B83A18" w:rsidRDefault="007D419B" w:rsidP="00696E8F">
            <w:pPr>
              <w:rPr>
                <w:rFonts w:cs="Arial"/>
                <w:color w:val="000000"/>
              </w:rPr>
            </w:pPr>
            <w:r w:rsidRPr="00B83A18">
              <w:rPr>
                <w:rFonts w:cs="Arial"/>
                <w:color w:val="000000"/>
              </w:rPr>
              <w:t>Bypass Left Common Iliac Artery to Abdominal Aorta, Open Approach</w:t>
            </w:r>
          </w:p>
        </w:tc>
      </w:tr>
      <w:tr w:rsidR="007D419B" w:rsidRPr="00B83A18" w14:paraId="33A2AA3E" w14:textId="77777777" w:rsidTr="002C718A">
        <w:trPr>
          <w:trHeight w:val="300"/>
        </w:trPr>
        <w:tc>
          <w:tcPr>
            <w:tcW w:w="1525" w:type="dxa"/>
            <w:noWrap/>
            <w:vAlign w:val="center"/>
            <w:hideMark/>
          </w:tcPr>
          <w:p w14:paraId="16D20429" w14:textId="77777777" w:rsidR="007D419B" w:rsidRPr="00B83A18" w:rsidRDefault="007D419B" w:rsidP="00696E8F">
            <w:pPr>
              <w:rPr>
                <w:rFonts w:cs="Arial"/>
                <w:color w:val="000000"/>
              </w:rPr>
            </w:pPr>
            <w:r w:rsidRPr="00B83A18">
              <w:rPr>
                <w:rFonts w:cs="Arial"/>
                <w:color w:val="000000"/>
              </w:rPr>
              <w:lastRenderedPageBreak/>
              <w:t>04B00ZX</w:t>
            </w:r>
          </w:p>
        </w:tc>
        <w:tc>
          <w:tcPr>
            <w:tcW w:w="8128" w:type="dxa"/>
            <w:noWrap/>
            <w:vAlign w:val="center"/>
            <w:hideMark/>
          </w:tcPr>
          <w:p w14:paraId="11F65EE1" w14:textId="77777777" w:rsidR="007D419B" w:rsidRPr="00B83A18" w:rsidRDefault="007D419B" w:rsidP="00696E8F">
            <w:pPr>
              <w:rPr>
                <w:rFonts w:cs="Arial"/>
                <w:color w:val="000000"/>
              </w:rPr>
            </w:pPr>
            <w:r w:rsidRPr="00B83A18">
              <w:rPr>
                <w:rFonts w:cs="Arial"/>
                <w:color w:val="000000"/>
              </w:rPr>
              <w:t>Excision of Abdominal Aorta, Open Approach, Diagnostic</w:t>
            </w:r>
          </w:p>
        </w:tc>
      </w:tr>
      <w:tr w:rsidR="007D419B" w:rsidRPr="00B83A18" w14:paraId="6BB2AD66" w14:textId="77777777" w:rsidTr="002C718A">
        <w:trPr>
          <w:trHeight w:val="300"/>
        </w:trPr>
        <w:tc>
          <w:tcPr>
            <w:tcW w:w="1525" w:type="dxa"/>
            <w:noWrap/>
            <w:vAlign w:val="center"/>
            <w:hideMark/>
          </w:tcPr>
          <w:p w14:paraId="0269D176" w14:textId="77777777" w:rsidR="007D419B" w:rsidRPr="00B83A18" w:rsidRDefault="007D419B" w:rsidP="00696E8F">
            <w:pPr>
              <w:rPr>
                <w:rFonts w:cs="Arial"/>
                <w:color w:val="000000"/>
              </w:rPr>
            </w:pPr>
            <w:r w:rsidRPr="00B83A18">
              <w:rPr>
                <w:rFonts w:cs="Arial"/>
                <w:color w:val="000000"/>
              </w:rPr>
              <w:t>04B00ZZ</w:t>
            </w:r>
          </w:p>
        </w:tc>
        <w:tc>
          <w:tcPr>
            <w:tcW w:w="8128" w:type="dxa"/>
            <w:noWrap/>
            <w:vAlign w:val="center"/>
            <w:hideMark/>
          </w:tcPr>
          <w:p w14:paraId="3095538A" w14:textId="77777777" w:rsidR="007D419B" w:rsidRPr="00B83A18" w:rsidRDefault="007D419B" w:rsidP="00696E8F">
            <w:pPr>
              <w:rPr>
                <w:rFonts w:cs="Arial"/>
                <w:color w:val="000000"/>
              </w:rPr>
            </w:pPr>
            <w:r w:rsidRPr="00B83A18">
              <w:rPr>
                <w:rFonts w:cs="Arial"/>
                <w:color w:val="000000"/>
              </w:rPr>
              <w:t>Excision of Abdominal Aorta, Open Approach</w:t>
            </w:r>
          </w:p>
        </w:tc>
      </w:tr>
      <w:tr w:rsidR="007D419B" w:rsidRPr="00B83A18" w14:paraId="4AB22A77" w14:textId="77777777" w:rsidTr="002C718A">
        <w:trPr>
          <w:trHeight w:val="300"/>
        </w:trPr>
        <w:tc>
          <w:tcPr>
            <w:tcW w:w="1525" w:type="dxa"/>
            <w:noWrap/>
            <w:vAlign w:val="center"/>
            <w:hideMark/>
          </w:tcPr>
          <w:p w14:paraId="42CE0D08" w14:textId="77777777" w:rsidR="007D419B" w:rsidRPr="00B83A18" w:rsidRDefault="007D419B" w:rsidP="00696E8F">
            <w:pPr>
              <w:rPr>
                <w:rFonts w:cs="Arial"/>
                <w:color w:val="000000"/>
              </w:rPr>
            </w:pPr>
            <w:r w:rsidRPr="00B83A18">
              <w:rPr>
                <w:rFonts w:cs="Arial"/>
                <w:color w:val="000000"/>
              </w:rPr>
              <w:t>04Q00ZZ</w:t>
            </w:r>
          </w:p>
        </w:tc>
        <w:tc>
          <w:tcPr>
            <w:tcW w:w="8128" w:type="dxa"/>
            <w:noWrap/>
            <w:vAlign w:val="center"/>
            <w:hideMark/>
          </w:tcPr>
          <w:p w14:paraId="75D6C0DF" w14:textId="77777777" w:rsidR="007D419B" w:rsidRPr="00B83A18" w:rsidRDefault="007D419B" w:rsidP="00696E8F">
            <w:pPr>
              <w:rPr>
                <w:rFonts w:cs="Arial"/>
                <w:color w:val="000000"/>
              </w:rPr>
            </w:pPr>
            <w:r w:rsidRPr="00B83A18">
              <w:rPr>
                <w:rFonts w:cs="Arial"/>
                <w:color w:val="000000"/>
              </w:rPr>
              <w:t>Repair Abdominal Aorta, Open Approach</w:t>
            </w:r>
          </w:p>
        </w:tc>
      </w:tr>
      <w:tr w:rsidR="007D419B" w:rsidRPr="00B83A18" w14:paraId="7D0B5389" w14:textId="77777777" w:rsidTr="002C718A">
        <w:trPr>
          <w:trHeight w:val="300"/>
        </w:trPr>
        <w:tc>
          <w:tcPr>
            <w:tcW w:w="1525" w:type="dxa"/>
            <w:noWrap/>
            <w:vAlign w:val="center"/>
            <w:hideMark/>
          </w:tcPr>
          <w:p w14:paraId="3013F006" w14:textId="77777777" w:rsidR="007D419B" w:rsidRPr="00B83A18" w:rsidRDefault="007D419B" w:rsidP="00696E8F">
            <w:pPr>
              <w:rPr>
                <w:rFonts w:cs="Arial"/>
                <w:color w:val="000000"/>
              </w:rPr>
            </w:pPr>
            <w:r w:rsidRPr="00B83A18">
              <w:rPr>
                <w:rFonts w:cs="Arial"/>
                <w:color w:val="000000"/>
              </w:rPr>
              <w:t>04R007Z</w:t>
            </w:r>
          </w:p>
        </w:tc>
        <w:tc>
          <w:tcPr>
            <w:tcW w:w="8128" w:type="dxa"/>
            <w:noWrap/>
            <w:vAlign w:val="center"/>
            <w:hideMark/>
          </w:tcPr>
          <w:p w14:paraId="07EBD306" w14:textId="77777777" w:rsidR="007D419B" w:rsidRPr="00B83A18" w:rsidRDefault="007D419B" w:rsidP="00696E8F">
            <w:pPr>
              <w:rPr>
                <w:rFonts w:cs="Arial"/>
                <w:color w:val="000000"/>
              </w:rPr>
            </w:pPr>
            <w:r w:rsidRPr="00B83A18">
              <w:rPr>
                <w:rFonts w:cs="Arial"/>
                <w:color w:val="000000"/>
              </w:rPr>
              <w:t>Replacement of Abdominal Aorta with Autologous Tissue Substitute, Open Approach</w:t>
            </w:r>
          </w:p>
        </w:tc>
      </w:tr>
      <w:tr w:rsidR="007D419B" w:rsidRPr="00B83A18" w14:paraId="7B8571B7" w14:textId="77777777" w:rsidTr="002C718A">
        <w:trPr>
          <w:trHeight w:val="300"/>
        </w:trPr>
        <w:tc>
          <w:tcPr>
            <w:tcW w:w="1525" w:type="dxa"/>
            <w:noWrap/>
            <w:vAlign w:val="center"/>
            <w:hideMark/>
          </w:tcPr>
          <w:p w14:paraId="36909E1D" w14:textId="77777777" w:rsidR="007D419B" w:rsidRPr="00B83A18" w:rsidRDefault="007D419B" w:rsidP="00696E8F">
            <w:pPr>
              <w:rPr>
                <w:rFonts w:cs="Arial"/>
                <w:color w:val="000000"/>
              </w:rPr>
            </w:pPr>
            <w:r w:rsidRPr="00B83A18">
              <w:rPr>
                <w:rFonts w:cs="Arial"/>
                <w:color w:val="000000"/>
              </w:rPr>
              <w:t>04R00JZ</w:t>
            </w:r>
          </w:p>
        </w:tc>
        <w:tc>
          <w:tcPr>
            <w:tcW w:w="8128" w:type="dxa"/>
            <w:noWrap/>
            <w:vAlign w:val="center"/>
            <w:hideMark/>
          </w:tcPr>
          <w:p w14:paraId="650E9560" w14:textId="77777777" w:rsidR="007D419B" w:rsidRPr="00B83A18" w:rsidRDefault="007D419B" w:rsidP="00696E8F">
            <w:pPr>
              <w:rPr>
                <w:rFonts w:cs="Arial"/>
                <w:color w:val="000000"/>
              </w:rPr>
            </w:pPr>
            <w:r w:rsidRPr="00B83A18">
              <w:rPr>
                <w:rFonts w:cs="Arial"/>
                <w:color w:val="000000"/>
              </w:rPr>
              <w:t>Replacement of Abdominal Aorta with Synthetic Substitute, Open Approach</w:t>
            </w:r>
          </w:p>
        </w:tc>
      </w:tr>
      <w:tr w:rsidR="007D419B" w:rsidRPr="00B83A18" w14:paraId="336E8E2F" w14:textId="77777777" w:rsidTr="002C718A">
        <w:trPr>
          <w:trHeight w:val="300"/>
        </w:trPr>
        <w:tc>
          <w:tcPr>
            <w:tcW w:w="1525" w:type="dxa"/>
            <w:noWrap/>
            <w:vAlign w:val="center"/>
            <w:hideMark/>
          </w:tcPr>
          <w:p w14:paraId="4968849F" w14:textId="77777777" w:rsidR="007D419B" w:rsidRPr="00B83A18" w:rsidRDefault="007D419B" w:rsidP="00696E8F">
            <w:pPr>
              <w:rPr>
                <w:rFonts w:cs="Arial"/>
                <w:color w:val="000000"/>
              </w:rPr>
            </w:pPr>
            <w:r w:rsidRPr="00B83A18">
              <w:rPr>
                <w:rFonts w:cs="Arial"/>
                <w:color w:val="000000"/>
              </w:rPr>
              <w:t>04R00KZ</w:t>
            </w:r>
          </w:p>
        </w:tc>
        <w:tc>
          <w:tcPr>
            <w:tcW w:w="8128" w:type="dxa"/>
            <w:noWrap/>
            <w:vAlign w:val="center"/>
            <w:hideMark/>
          </w:tcPr>
          <w:p w14:paraId="49B4AD70" w14:textId="77777777" w:rsidR="007D419B" w:rsidRPr="00B83A18" w:rsidRDefault="007D419B" w:rsidP="00696E8F">
            <w:pPr>
              <w:rPr>
                <w:rFonts w:cs="Arial"/>
                <w:color w:val="000000"/>
              </w:rPr>
            </w:pPr>
            <w:r w:rsidRPr="00B83A18">
              <w:rPr>
                <w:rFonts w:cs="Arial"/>
                <w:color w:val="000000"/>
              </w:rPr>
              <w:t xml:space="preserve">Replacement of Abdominal Aorta with </w:t>
            </w:r>
            <w:proofErr w:type="spellStart"/>
            <w:r w:rsidRPr="00B83A18">
              <w:rPr>
                <w:rFonts w:cs="Arial"/>
                <w:color w:val="000000"/>
              </w:rPr>
              <w:t>Nonautologous</w:t>
            </w:r>
            <w:proofErr w:type="spellEnd"/>
            <w:r w:rsidRPr="00B83A18">
              <w:rPr>
                <w:rFonts w:cs="Arial"/>
                <w:color w:val="000000"/>
              </w:rPr>
              <w:t xml:space="preserve"> Tissue Substitute, Open Approach</w:t>
            </w:r>
          </w:p>
        </w:tc>
      </w:tr>
      <w:tr w:rsidR="007D419B" w:rsidRPr="00B83A18" w14:paraId="44347480" w14:textId="77777777" w:rsidTr="002C718A">
        <w:trPr>
          <w:trHeight w:val="300"/>
        </w:trPr>
        <w:tc>
          <w:tcPr>
            <w:tcW w:w="1525" w:type="dxa"/>
            <w:noWrap/>
            <w:vAlign w:val="center"/>
          </w:tcPr>
          <w:p w14:paraId="167E68AC" w14:textId="06870E32" w:rsidR="007D419B" w:rsidRPr="00B83A18" w:rsidRDefault="007D419B" w:rsidP="00696E8F">
            <w:pPr>
              <w:rPr>
                <w:rFonts w:cs="Arial"/>
                <w:color w:val="000000"/>
              </w:rPr>
            </w:pPr>
            <w:r w:rsidRPr="00C76857">
              <w:rPr>
                <w:rFonts w:cstheme="minorHAnsi"/>
                <w:color w:val="000000"/>
              </w:rPr>
              <w:t>04S00ZZ</w:t>
            </w:r>
          </w:p>
        </w:tc>
        <w:tc>
          <w:tcPr>
            <w:tcW w:w="8128" w:type="dxa"/>
            <w:noWrap/>
            <w:vAlign w:val="center"/>
          </w:tcPr>
          <w:p w14:paraId="0A824F9A" w14:textId="06383FA0" w:rsidR="007D419B" w:rsidRPr="00B83A18" w:rsidRDefault="007D419B" w:rsidP="00696E8F">
            <w:pPr>
              <w:rPr>
                <w:rFonts w:cs="Arial"/>
                <w:color w:val="000000"/>
              </w:rPr>
            </w:pPr>
            <w:r w:rsidRPr="00C76857">
              <w:rPr>
                <w:rFonts w:cstheme="minorHAnsi"/>
                <w:color w:val="000000"/>
              </w:rPr>
              <w:t>Reposition Abdominal Aorta, Open Approach</w:t>
            </w:r>
          </w:p>
        </w:tc>
      </w:tr>
      <w:tr w:rsidR="007D419B" w:rsidRPr="00B83A18" w14:paraId="01561FBB" w14:textId="77777777" w:rsidTr="002C718A">
        <w:trPr>
          <w:trHeight w:val="300"/>
        </w:trPr>
        <w:tc>
          <w:tcPr>
            <w:tcW w:w="1525" w:type="dxa"/>
            <w:noWrap/>
            <w:vAlign w:val="center"/>
            <w:hideMark/>
          </w:tcPr>
          <w:p w14:paraId="33517B84" w14:textId="77777777" w:rsidR="007D419B" w:rsidRPr="00B83A18" w:rsidRDefault="007D419B" w:rsidP="00696E8F">
            <w:pPr>
              <w:rPr>
                <w:rFonts w:cs="Arial"/>
                <w:color w:val="000000"/>
              </w:rPr>
            </w:pPr>
            <w:r w:rsidRPr="00B83A18">
              <w:rPr>
                <w:rFonts w:cs="Arial"/>
                <w:color w:val="000000"/>
              </w:rPr>
              <w:t>04U007Z</w:t>
            </w:r>
          </w:p>
        </w:tc>
        <w:tc>
          <w:tcPr>
            <w:tcW w:w="8128" w:type="dxa"/>
            <w:noWrap/>
            <w:vAlign w:val="center"/>
            <w:hideMark/>
          </w:tcPr>
          <w:p w14:paraId="57FC33A5" w14:textId="77777777" w:rsidR="007D419B" w:rsidRPr="00B83A18" w:rsidRDefault="007D419B" w:rsidP="00696E8F">
            <w:pPr>
              <w:rPr>
                <w:rFonts w:cs="Arial"/>
                <w:color w:val="000000"/>
              </w:rPr>
            </w:pPr>
            <w:r w:rsidRPr="00B83A18">
              <w:rPr>
                <w:rFonts w:cs="Arial"/>
                <w:color w:val="000000"/>
              </w:rPr>
              <w:t>Supplement Abdominal Aorta with Autologous Tissue Substitute, Open Approach</w:t>
            </w:r>
          </w:p>
        </w:tc>
      </w:tr>
      <w:tr w:rsidR="007D419B" w:rsidRPr="00B83A18" w14:paraId="6E4CBA5A" w14:textId="77777777" w:rsidTr="002C718A">
        <w:trPr>
          <w:trHeight w:val="300"/>
        </w:trPr>
        <w:tc>
          <w:tcPr>
            <w:tcW w:w="1525" w:type="dxa"/>
            <w:noWrap/>
            <w:vAlign w:val="center"/>
            <w:hideMark/>
          </w:tcPr>
          <w:p w14:paraId="600BF3CA" w14:textId="77777777" w:rsidR="007D419B" w:rsidRPr="00B83A18" w:rsidRDefault="007D419B" w:rsidP="00696E8F">
            <w:pPr>
              <w:rPr>
                <w:rFonts w:cs="Arial"/>
                <w:color w:val="000000"/>
              </w:rPr>
            </w:pPr>
            <w:r w:rsidRPr="00B83A18">
              <w:rPr>
                <w:rFonts w:cs="Arial"/>
                <w:color w:val="000000"/>
              </w:rPr>
              <w:t>04U00JZ</w:t>
            </w:r>
          </w:p>
        </w:tc>
        <w:tc>
          <w:tcPr>
            <w:tcW w:w="8128" w:type="dxa"/>
            <w:noWrap/>
            <w:vAlign w:val="center"/>
            <w:hideMark/>
          </w:tcPr>
          <w:p w14:paraId="459488B1" w14:textId="77777777" w:rsidR="007D419B" w:rsidRPr="00B83A18" w:rsidRDefault="007D419B" w:rsidP="00696E8F">
            <w:pPr>
              <w:rPr>
                <w:rFonts w:cs="Arial"/>
                <w:color w:val="000000"/>
              </w:rPr>
            </w:pPr>
            <w:r w:rsidRPr="00B83A18">
              <w:rPr>
                <w:rFonts w:cs="Arial"/>
                <w:color w:val="000000"/>
              </w:rPr>
              <w:t>Supplement Abdominal Aorta with Synthetic Substitute, Open Approach</w:t>
            </w:r>
          </w:p>
        </w:tc>
      </w:tr>
      <w:tr w:rsidR="007D419B" w:rsidRPr="00B83A18" w14:paraId="40E15EBC" w14:textId="77777777" w:rsidTr="002C718A">
        <w:trPr>
          <w:trHeight w:val="300"/>
        </w:trPr>
        <w:tc>
          <w:tcPr>
            <w:tcW w:w="1525" w:type="dxa"/>
            <w:noWrap/>
            <w:vAlign w:val="center"/>
            <w:hideMark/>
          </w:tcPr>
          <w:p w14:paraId="1095F68D" w14:textId="77777777" w:rsidR="007D419B" w:rsidRPr="00B83A18" w:rsidRDefault="007D419B" w:rsidP="00696E8F">
            <w:pPr>
              <w:rPr>
                <w:rFonts w:cs="Arial"/>
                <w:color w:val="000000"/>
              </w:rPr>
            </w:pPr>
            <w:r w:rsidRPr="00B83A18">
              <w:rPr>
                <w:rFonts w:cs="Arial"/>
                <w:color w:val="000000"/>
              </w:rPr>
              <w:t>04U00KZ</w:t>
            </w:r>
          </w:p>
        </w:tc>
        <w:tc>
          <w:tcPr>
            <w:tcW w:w="8128" w:type="dxa"/>
            <w:noWrap/>
            <w:vAlign w:val="center"/>
            <w:hideMark/>
          </w:tcPr>
          <w:p w14:paraId="64202968" w14:textId="77777777" w:rsidR="007D419B" w:rsidRPr="00B83A18" w:rsidRDefault="007D419B" w:rsidP="00696E8F">
            <w:pPr>
              <w:rPr>
                <w:rFonts w:cs="Arial"/>
                <w:color w:val="000000"/>
              </w:rPr>
            </w:pPr>
            <w:r w:rsidRPr="00B83A18">
              <w:rPr>
                <w:rFonts w:cs="Arial"/>
                <w:color w:val="000000"/>
              </w:rPr>
              <w:t xml:space="preserve">Supplement Abdominal Aorta with </w:t>
            </w:r>
            <w:proofErr w:type="spellStart"/>
            <w:r w:rsidRPr="00B83A18">
              <w:rPr>
                <w:rFonts w:cs="Arial"/>
                <w:color w:val="000000"/>
              </w:rPr>
              <w:t>Nonautologous</w:t>
            </w:r>
            <w:proofErr w:type="spellEnd"/>
            <w:r w:rsidRPr="00B83A18">
              <w:rPr>
                <w:rFonts w:cs="Arial"/>
                <w:color w:val="000000"/>
              </w:rPr>
              <w:t xml:space="preserve"> Tissue Substitute, Open Approach</w:t>
            </w:r>
          </w:p>
        </w:tc>
      </w:tr>
      <w:tr w:rsidR="00B574C8" w:rsidRPr="00B83A18" w14:paraId="3D92B9FA" w14:textId="77777777" w:rsidTr="002C718A">
        <w:trPr>
          <w:trHeight w:val="300"/>
        </w:trPr>
        <w:tc>
          <w:tcPr>
            <w:tcW w:w="1525" w:type="dxa"/>
            <w:noWrap/>
            <w:vAlign w:val="center"/>
          </w:tcPr>
          <w:p w14:paraId="4337DE0B" w14:textId="0799E83D" w:rsidR="00B574C8" w:rsidRPr="00B83A18" w:rsidRDefault="00B574C8" w:rsidP="00696E8F">
            <w:pPr>
              <w:rPr>
                <w:rFonts w:cs="Arial"/>
                <w:color w:val="000000"/>
              </w:rPr>
            </w:pPr>
            <w:r w:rsidRPr="00B574C8">
              <w:rPr>
                <w:rFonts w:cs="Arial"/>
                <w:color w:val="000000"/>
              </w:rPr>
              <w:t>X2RX0N7</w:t>
            </w:r>
          </w:p>
        </w:tc>
        <w:tc>
          <w:tcPr>
            <w:tcW w:w="8128" w:type="dxa"/>
            <w:noWrap/>
            <w:vAlign w:val="center"/>
          </w:tcPr>
          <w:p w14:paraId="514E229D" w14:textId="702A95A9" w:rsidR="00B574C8" w:rsidRPr="00B83A18" w:rsidRDefault="00B574C8" w:rsidP="00696E8F">
            <w:pPr>
              <w:rPr>
                <w:rFonts w:cs="Arial"/>
                <w:color w:val="000000"/>
              </w:rPr>
            </w:pPr>
            <w:r w:rsidRPr="00B574C8">
              <w:rPr>
                <w:rFonts w:cs="Arial"/>
                <w:color w:val="000000"/>
              </w:rPr>
              <w:t>Replacement of Thoracic Aorta, Arch using Branched Synthetic Substitute with Intraluminal Device, Open Approach, New Technology Group 7</w:t>
            </w:r>
          </w:p>
        </w:tc>
      </w:tr>
    </w:tbl>
    <w:p w14:paraId="20FC37FA" w14:textId="77777777" w:rsidR="00C80D44" w:rsidRPr="009A5185" w:rsidRDefault="00C80D44" w:rsidP="00E61F41">
      <w:pPr>
        <w:rPr>
          <w:rFonts w:cs="Arial"/>
        </w:rPr>
      </w:pPr>
    </w:p>
    <w:p w14:paraId="06FC37F5" w14:textId="77777777" w:rsidR="00D86DAD" w:rsidRPr="009A5185" w:rsidRDefault="00D86DAD" w:rsidP="00D86DAD">
      <w:pPr>
        <w:rPr>
          <w:rFonts w:cs="Arial"/>
          <w:snapToGrid w:val="0"/>
        </w:rPr>
      </w:pPr>
    </w:p>
    <w:p w14:paraId="14FB6615" w14:textId="77777777" w:rsidR="00F13A61" w:rsidRPr="009A5185" w:rsidRDefault="00F13A61">
      <w:pPr>
        <w:rPr>
          <w:rFonts w:cs="Arial"/>
          <w:b/>
          <w:i/>
          <w:snapToGrid w:val="0"/>
          <w:sz w:val="24"/>
          <w:szCs w:val="24"/>
          <w:lang w:eastAsia="ja-JP"/>
        </w:rPr>
      </w:pPr>
      <w:r w:rsidRPr="009A5185">
        <w:rPr>
          <w:rFonts w:cs="Arial"/>
          <w:snapToGrid w:val="0"/>
        </w:rPr>
        <w:br w:type="page"/>
      </w:r>
    </w:p>
    <w:p w14:paraId="0B87F053" w14:textId="6C4D0091" w:rsidR="00D86DAD" w:rsidRPr="009A5185" w:rsidRDefault="00D86DAD" w:rsidP="000C2C54">
      <w:pPr>
        <w:pStyle w:val="Heading44"/>
      </w:pPr>
      <w:bookmarkStart w:id="256" w:name="LungResection"/>
      <w:r w:rsidRPr="009A5185">
        <w:lastRenderedPageBreak/>
        <w:t xml:space="preserve">Lung Resection </w:t>
      </w:r>
      <w:r w:rsidR="00C508E1" w:rsidRPr="009A5185">
        <w:t xml:space="preserve">for Cancer </w:t>
      </w:r>
      <w:r w:rsidRPr="009A5185">
        <w:t xml:space="preserve">Measure </w:t>
      </w:r>
      <w:r w:rsidR="000765C6">
        <w:t>Specifications</w:t>
      </w:r>
      <w:bookmarkEnd w:id="256"/>
    </w:p>
    <w:p w14:paraId="791B5892" w14:textId="77777777" w:rsidR="00D86DAD" w:rsidRPr="009A5185" w:rsidRDefault="00D86DAD" w:rsidP="00D86DAD">
      <w:pPr>
        <w:rPr>
          <w:rFonts w:cs="Arial"/>
        </w:rPr>
      </w:pPr>
    </w:p>
    <w:p w14:paraId="2921D0A0" w14:textId="77777777" w:rsidR="00D86DAD" w:rsidRPr="009A5185" w:rsidRDefault="00D86DAD" w:rsidP="00D86DAD">
      <w:pPr>
        <w:rPr>
          <w:rFonts w:cs="Arial"/>
        </w:rPr>
      </w:pPr>
      <w:r w:rsidRPr="009A5185">
        <w:rPr>
          <w:rFonts w:cs="Arial"/>
        </w:rPr>
        <w:t xml:space="preserve">For </w:t>
      </w:r>
      <w:r w:rsidR="00F310BA" w:rsidRPr="009A5185">
        <w:rPr>
          <w:rFonts w:cs="Arial"/>
        </w:rPr>
        <w:t>lung resection for cancer</w:t>
      </w:r>
      <w:r w:rsidRPr="009A5185">
        <w:rPr>
          <w:rFonts w:cs="Arial"/>
        </w:rPr>
        <w:t>, there are two sets of IC</w:t>
      </w:r>
      <w:r w:rsidR="007550AD">
        <w:rPr>
          <w:rFonts w:cs="Arial"/>
        </w:rPr>
        <w:t>D-10 codes for counting patient discharges</w:t>
      </w:r>
      <w:r w:rsidRPr="009A5185">
        <w:rPr>
          <w:rFonts w:cs="Arial"/>
        </w:rPr>
        <w:t>. The first set of codes is to identify patients who have had the procedure. The second set of codes is to identify patient</w:t>
      </w:r>
      <w:r w:rsidR="009B3ACE" w:rsidRPr="009A5185">
        <w:rPr>
          <w:rFonts w:cs="Arial"/>
        </w:rPr>
        <w:t>s</w:t>
      </w:r>
      <w:r w:rsidRPr="009A5185">
        <w:rPr>
          <w:rFonts w:cs="Arial"/>
        </w:rPr>
        <w:t xml:space="preserve"> with a specific diagnosis.</w:t>
      </w:r>
    </w:p>
    <w:p w14:paraId="114D6012" w14:textId="77777777" w:rsidR="00D86DAD" w:rsidRPr="009A5185" w:rsidRDefault="00D86DAD" w:rsidP="00D86DAD">
      <w:pPr>
        <w:rPr>
          <w:rFonts w:cs="Arial"/>
        </w:rPr>
      </w:pPr>
    </w:p>
    <w:p w14:paraId="606B5320" w14:textId="77777777" w:rsidR="00D86DAD" w:rsidRPr="009A5185" w:rsidRDefault="007550AD" w:rsidP="00D86DAD">
      <w:pPr>
        <w:rPr>
          <w:rFonts w:cs="Arial"/>
        </w:rPr>
      </w:pPr>
      <w:r>
        <w:rPr>
          <w:rFonts w:cs="Arial"/>
        </w:rPr>
        <w:t>Count the n</w:t>
      </w:r>
      <w:r w:rsidR="00D86DAD" w:rsidRPr="009A5185">
        <w:rPr>
          <w:rFonts w:cs="Arial"/>
        </w:rPr>
        <w:t>umber of patients, age</w:t>
      </w:r>
      <w:r w:rsidR="00F310BA">
        <w:rPr>
          <w:rFonts w:cs="Arial"/>
        </w:rPr>
        <w:t>s</w:t>
      </w:r>
      <w:r w:rsidR="00D86DAD" w:rsidRPr="009A5185">
        <w:rPr>
          <w:rFonts w:cs="Arial"/>
        </w:rPr>
        <w:t xml:space="preserve"> 18 years and older, discharged with the following ICD-10 codes in any procedure field </w:t>
      </w:r>
      <w:r w:rsidR="00D86DAD" w:rsidRPr="006904F9">
        <w:rPr>
          <w:rFonts w:cs="Arial"/>
          <w:b/>
          <w:bCs/>
        </w:rPr>
        <w:t>AND</w:t>
      </w:r>
      <w:r w:rsidR="00D86DAD" w:rsidRPr="009A5185">
        <w:rPr>
          <w:rFonts w:cs="Arial"/>
        </w:rPr>
        <w:t xml:space="preserve"> any of the follo</w:t>
      </w:r>
      <w:r w:rsidR="00396D2C" w:rsidRPr="009A5185">
        <w:rPr>
          <w:rFonts w:cs="Arial"/>
        </w:rPr>
        <w:t>wing ICD-10 codes in any</w:t>
      </w:r>
      <w:r w:rsidR="00D86DAD" w:rsidRPr="009A5185">
        <w:rPr>
          <w:rFonts w:cs="Arial"/>
        </w:rPr>
        <w:t xml:space="preserve"> diagnosis field</w:t>
      </w:r>
      <w:r w:rsidR="00BF2BFF" w:rsidRPr="009A5185">
        <w:rPr>
          <w:rFonts w:cs="Arial"/>
        </w:rPr>
        <w:t>.</w:t>
      </w:r>
    </w:p>
    <w:p w14:paraId="1060E27F" w14:textId="77777777" w:rsidR="0071568E" w:rsidRPr="009A5185" w:rsidRDefault="0071568E" w:rsidP="00D86DAD">
      <w:pPr>
        <w:rPr>
          <w:rFonts w:cs="Arial"/>
        </w:rPr>
      </w:pPr>
    </w:p>
    <w:p w14:paraId="6FDDDCE1" w14:textId="77777777" w:rsidR="00D86DAD" w:rsidRPr="009A5185" w:rsidRDefault="00D86DAD" w:rsidP="00D86DAD">
      <w:pPr>
        <w:rPr>
          <w:rFonts w:cs="Arial"/>
          <w:b/>
        </w:rPr>
      </w:pPr>
      <w:r w:rsidRPr="009A5185">
        <w:rPr>
          <w:rFonts w:cs="Arial"/>
          <w:b/>
        </w:rPr>
        <w:t xml:space="preserve">ICD-10 Lung Resection </w:t>
      </w:r>
      <w:r w:rsidR="00C508E1" w:rsidRPr="009A5185">
        <w:rPr>
          <w:rFonts w:cs="Arial"/>
          <w:b/>
        </w:rPr>
        <w:t xml:space="preserve">for Cancer </w:t>
      </w:r>
      <w:r w:rsidRPr="009A5185">
        <w:rPr>
          <w:rFonts w:cs="Arial"/>
          <w:b/>
        </w:rPr>
        <w:t xml:space="preserve">Procedure Codes </w:t>
      </w:r>
    </w:p>
    <w:p w14:paraId="2D6F8D2A" w14:textId="77777777" w:rsidR="00D86DAD" w:rsidRPr="009A5185" w:rsidRDefault="00D86DAD" w:rsidP="00D86DAD">
      <w:pPr>
        <w:rPr>
          <w:rFonts w:cs="Arial"/>
          <w:b/>
        </w:rPr>
      </w:pPr>
    </w:p>
    <w:tbl>
      <w:tblPr>
        <w:tblStyle w:val="TableGrid"/>
        <w:tblW w:w="9432" w:type="dxa"/>
        <w:tblLook w:val="04A0" w:firstRow="1" w:lastRow="0" w:firstColumn="1" w:lastColumn="0" w:noHBand="0" w:noVBand="1"/>
      </w:tblPr>
      <w:tblGrid>
        <w:gridCol w:w="1872"/>
        <w:gridCol w:w="7560"/>
      </w:tblGrid>
      <w:tr w:rsidR="00F310BA" w:rsidRPr="0004317D" w14:paraId="60B9E38E" w14:textId="77777777" w:rsidTr="00696E8F">
        <w:trPr>
          <w:trHeight w:val="432"/>
          <w:tblHeader/>
        </w:trPr>
        <w:tc>
          <w:tcPr>
            <w:tcW w:w="1872" w:type="dxa"/>
            <w:shd w:val="clear" w:color="auto" w:fill="BFBFBF" w:themeFill="background1" w:themeFillShade="BF"/>
            <w:vAlign w:val="center"/>
          </w:tcPr>
          <w:p w14:paraId="2B874D9D" w14:textId="77777777" w:rsidR="00F310BA" w:rsidRPr="0004317D" w:rsidRDefault="00F310BA" w:rsidP="00696E8F">
            <w:pPr>
              <w:rPr>
                <w:rFonts w:cs="Arial"/>
                <w:color w:val="000000"/>
              </w:rPr>
            </w:pPr>
            <w:r w:rsidRPr="0004317D">
              <w:rPr>
                <w:rFonts w:cs="Arial"/>
                <w:b/>
                <w:bCs/>
                <w:color w:val="000000"/>
              </w:rPr>
              <w:t>ICD</w:t>
            </w:r>
            <w:r>
              <w:rPr>
                <w:rFonts w:cs="Arial"/>
                <w:b/>
                <w:bCs/>
                <w:color w:val="000000"/>
              </w:rPr>
              <w:t>-</w:t>
            </w:r>
            <w:r w:rsidRPr="0004317D">
              <w:rPr>
                <w:rFonts w:cs="Arial"/>
                <w:b/>
                <w:bCs/>
                <w:color w:val="000000"/>
              </w:rPr>
              <w:t>10 Procedure Code</w:t>
            </w:r>
          </w:p>
        </w:tc>
        <w:tc>
          <w:tcPr>
            <w:tcW w:w="7560" w:type="dxa"/>
            <w:shd w:val="clear" w:color="auto" w:fill="BFBFBF" w:themeFill="background1" w:themeFillShade="BF"/>
            <w:vAlign w:val="center"/>
          </w:tcPr>
          <w:p w14:paraId="00B95336" w14:textId="77777777" w:rsidR="00F310BA" w:rsidRPr="0004317D" w:rsidRDefault="00F310BA" w:rsidP="00696E8F">
            <w:pPr>
              <w:rPr>
                <w:rFonts w:cs="Arial"/>
                <w:color w:val="000000"/>
              </w:rPr>
            </w:pPr>
            <w:r w:rsidRPr="0004317D">
              <w:rPr>
                <w:rFonts w:cs="Arial"/>
                <w:b/>
                <w:bCs/>
                <w:color w:val="000000"/>
              </w:rPr>
              <w:t>Code Description</w:t>
            </w:r>
          </w:p>
        </w:tc>
      </w:tr>
      <w:tr w:rsidR="00F310BA" w:rsidRPr="00787679" w14:paraId="2A9CBAF2" w14:textId="77777777" w:rsidTr="00696E8F">
        <w:trPr>
          <w:trHeight w:val="300"/>
        </w:trPr>
        <w:tc>
          <w:tcPr>
            <w:tcW w:w="1872" w:type="dxa"/>
            <w:noWrap/>
            <w:vAlign w:val="center"/>
            <w:hideMark/>
          </w:tcPr>
          <w:p w14:paraId="565BAD7B" w14:textId="77777777" w:rsidR="00F310BA" w:rsidRPr="00787679" w:rsidRDefault="00F310BA" w:rsidP="00696E8F">
            <w:pPr>
              <w:rPr>
                <w:rFonts w:cs="Arial"/>
                <w:color w:val="000000"/>
              </w:rPr>
            </w:pPr>
            <w:r w:rsidRPr="00787679">
              <w:rPr>
                <w:rFonts w:cs="Arial"/>
                <w:color w:val="000000"/>
              </w:rPr>
              <w:t>0BBC0ZZ</w:t>
            </w:r>
          </w:p>
        </w:tc>
        <w:tc>
          <w:tcPr>
            <w:tcW w:w="7560" w:type="dxa"/>
            <w:noWrap/>
            <w:vAlign w:val="center"/>
            <w:hideMark/>
          </w:tcPr>
          <w:p w14:paraId="161B2665" w14:textId="77777777" w:rsidR="00F310BA" w:rsidRPr="00787679" w:rsidRDefault="00F310BA" w:rsidP="00696E8F">
            <w:pPr>
              <w:rPr>
                <w:rFonts w:cs="Arial"/>
                <w:color w:val="000000"/>
              </w:rPr>
            </w:pPr>
            <w:r w:rsidRPr="00787679">
              <w:rPr>
                <w:rFonts w:cs="Arial"/>
                <w:color w:val="000000"/>
              </w:rPr>
              <w:t>Excision of Right Upper Lung Lobe, Open Approach</w:t>
            </w:r>
          </w:p>
        </w:tc>
      </w:tr>
      <w:tr w:rsidR="00F310BA" w:rsidRPr="00787679" w14:paraId="498E4615" w14:textId="77777777" w:rsidTr="00696E8F">
        <w:trPr>
          <w:trHeight w:val="300"/>
        </w:trPr>
        <w:tc>
          <w:tcPr>
            <w:tcW w:w="1872" w:type="dxa"/>
            <w:noWrap/>
            <w:vAlign w:val="center"/>
            <w:hideMark/>
          </w:tcPr>
          <w:p w14:paraId="59BCAFFA" w14:textId="77777777" w:rsidR="00F310BA" w:rsidRPr="00787679" w:rsidRDefault="00F310BA" w:rsidP="00696E8F">
            <w:pPr>
              <w:rPr>
                <w:rFonts w:cs="Arial"/>
                <w:color w:val="000000"/>
              </w:rPr>
            </w:pPr>
            <w:r w:rsidRPr="00787679">
              <w:rPr>
                <w:rFonts w:cs="Arial"/>
                <w:color w:val="000000"/>
              </w:rPr>
              <w:t>0BBC3ZZ</w:t>
            </w:r>
          </w:p>
        </w:tc>
        <w:tc>
          <w:tcPr>
            <w:tcW w:w="7560" w:type="dxa"/>
            <w:noWrap/>
            <w:vAlign w:val="center"/>
            <w:hideMark/>
          </w:tcPr>
          <w:p w14:paraId="36B7F066" w14:textId="77777777" w:rsidR="00F310BA" w:rsidRPr="00787679" w:rsidRDefault="00F310BA" w:rsidP="00696E8F">
            <w:pPr>
              <w:rPr>
                <w:rFonts w:cs="Arial"/>
                <w:color w:val="000000"/>
              </w:rPr>
            </w:pPr>
            <w:r w:rsidRPr="00787679">
              <w:rPr>
                <w:rFonts w:cs="Arial"/>
                <w:color w:val="000000"/>
              </w:rPr>
              <w:t>Excision of Right Upper Lung Lobe, Percutaneous Approach</w:t>
            </w:r>
          </w:p>
        </w:tc>
      </w:tr>
      <w:tr w:rsidR="00F310BA" w:rsidRPr="00787679" w14:paraId="517D2F8D" w14:textId="77777777" w:rsidTr="00696E8F">
        <w:trPr>
          <w:trHeight w:val="300"/>
        </w:trPr>
        <w:tc>
          <w:tcPr>
            <w:tcW w:w="1872" w:type="dxa"/>
            <w:noWrap/>
            <w:vAlign w:val="center"/>
            <w:hideMark/>
          </w:tcPr>
          <w:p w14:paraId="722362FA" w14:textId="77777777" w:rsidR="00F310BA" w:rsidRPr="00787679" w:rsidRDefault="00F310BA" w:rsidP="00696E8F">
            <w:pPr>
              <w:rPr>
                <w:rFonts w:cs="Arial"/>
                <w:color w:val="000000"/>
              </w:rPr>
            </w:pPr>
            <w:r w:rsidRPr="00787679">
              <w:rPr>
                <w:rFonts w:cs="Arial"/>
                <w:color w:val="000000"/>
              </w:rPr>
              <w:t>0BBC4ZZ</w:t>
            </w:r>
          </w:p>
        </w:tc>
        <w:tc>
          <w:tcPr>
            <w:tcW w:w="7560" w:type="dxa"/>
            <w:noWrap/>
            <w:vAlign w:val="center"/>
            <w:hideMark/>
          </w:tcPr>
          <w:p w14:paraId="5298F85F" w14:textId="77777777" w:rsidR="00F310BA" w:rsidRPr="00787679" w:rsidRDefault="00F310BA" w:rsidP="00696E8F">
            <w:pPr>
              <w:rPr>
                <w:rFonts w:cs="Arial"/>
                <w:color w:val="000000"/>
              </w:rPr>
            </w:pPr>
            <w:r w:rsidRPr="00787679">
              <w:rPr>
                <w:rFonts w:cs="Arial"/>
                <w:color w:val="000000"/>
              </w:rPr>
              <w:t>Excision of Right Upper Lung Lobe, Percutaneous Endoscopic Approach</w:t>
            </w:r>
          </w:p>
        </w:tc>
      </w:tr>
      <w:tr w:rsidR="00F310BA" w:rsidRPr="00787679" w14:paraId="5AC8769A" w14:textId="77777777" w:rsidTr="00696E8F">
        <w:trPr>
          <w:trHeight w:val="300"/>
        </w:trPr>
        <w:tc>
          <w:tcPr>
            <w:tcW w:w="1872" w:type="dxa"/>
            <w:noWrap/>
            <w:vAlign w:val="center"/>
            <w:hideMark/>
          </w:tcPr>
          <w:p w14:paraId="4A96024C" w14:textId="77777777" w:rsidR="00F310BA" w:rsidRPr="00787679" w:rsidRDefault="00F310BA" w:rsidP="00696E8F">
            <w:pPr>
              <w:rPr>
                <w:rFonts w:cs="Arial"/>
                <w:color w:val="000000"/>
              </w:rPr>
            </w:pPr>
            <w:r w:rsidRPr="00787679">
              <w:rPr>
                <w:rFonts w:cs="Arial"/>
                <w:color w:val="000000"/>
              </w:rPr>
              <w:t>0BBD0ZZ</w:t>
            </w:r>
          </w:p>
        </w:tc>
        <w:tc>
          <w:tcPr>
            <w:tcW w:w="7560" w:type="dxa"/>
            <w:noWrap/>
            <w:vAlign w:val="center"/>
            <w:hideMark/>
          </w:tcPr>
          <w:p w14:paraId="77E301C9" w14:textId="77777777" w:rsidR="00F310BA" w:rsidRPr="00787679" w:rsidRDefault="00F310BA" w:rsidP="00696E8F">
            <w:pPr>
              <w:rPr>
                <w:rFonts w:cs="Arial"/>
                <w:color w:val="000000"/>
              </w:rPr>
            </w:pPr>
            <w:r w:rsidRPr="00787679">
              <w:rPr>
                <w:rFonts w:cs="Arial"/>
                <w:color w:val="000000"/>
              </w:rPr>
              <w:t>Excision of Right Middle Lung Lobe, Open Approach</w:t>
            </w:r>
          </w:p>
        </w:tc>
      </w:tr>
      <w:tr w:rsidR="00F310BA" w:rsidRPr="00787679" w14:paraId="54C3B181" w14:textId="77777777" w:rsidTr="00696E8F">
        <w:trPr>
          <w:trHeight w:val="300"/>
        </w:trPr>
        <w:tc>
          <w:tcPr>
            <w:tcW w:w="1872" w:type="dxa"/>
            <w:noWrap/>
            <w:vAlign w:val="center"/>
            <w:hideMark/>
          </w:tcPr>
          <w:p w14:paraId="577AD214" w14:textId="77777777" w:rsidR="00F310BA" w:rsidRPr="00787679" w:rsidRDefault="00F310BA" w:rsidP="00696E8F">
            <w:pPr>
              <w:rPr>
                <w:rFonts w:cs="Arial"/>
                <w:color w:val="000000"/>
              </w:rPr>
            </w:pPr>
            <w:r w:rsidRPr="00787679">
              <w:rPr>
                <w:rFonts w:cs="Arial"/>
                <w:color w:val="000000"/>
              </w:rPr>
              <w:t>0BBD3ZZ</w:t>
            </w:r>
          </w:p>
        </w:tc>
        <w:tc>
          <w:tcPr>
            <w:tcW w:w="7560" w:type="dxa"/>
            <w:noWrap/>
            <w:vAlign w:val="center"/>
            <w:hideMark/>
          </w:tcPr>
          <w:p w14:paraId="1DDA24D5" w14:textId="77777777" w:rsidR="00F310BA" w:rsidRPr="00787679" w:rsidRDefault="00F310BA" w:rsidP="00696E8F">
            <w:pPr>
              <w:rPr>
                <w:rFonts w:cs="Arial"/>
                <w:color w:val="000000"/>
              </w:rPr>
            </w:pPr>
            <w:r w:rsidRPr="00787679">
              <w:rPr>
                <w:rFonts w:cs="Arial"/>
                <w:color w:val="000000"/>
              </w:rPr>
              <w:t>Excision of Right Middle Lung Lobe, Percutaneous Approach</w:t>
            </w:r>
          </w:p>
        </w:tc>
      </w:tr>
      <w:tr w:rsidR="00F310BA" w:rsidRPr="00787679" w14:paraId="54DE2E4D" w14:textId="77777777" w:rsidTr="00696E8F">
        <w:trPr>
          <w:trHeight w:val="300"/>
        </w:trPr>
        <w:tc>
          <w:tcPr>
            <w:tcW w:w="1872" w:type="dxa"/>
            <w:noWrap/>
            <w:vAlign w:val="center"/>
            <w:hideMark/>
          </w:tcPr>
          <w:p w14:paraId="727D8F8E" w14:textId="77777777" w:rsidR="00F310BA" w:rsidRPr="00787679" w:rsidRDefault="00F310BA" w:rsidP="00696E8F">
            <w:pPr>
              <w:rPr>
                <w:rFonts w:cs="Arial"/>
                <w:color w:val="000000"/>
              </w:rPr>
            </w:pPr>
            <w:r w:rsidRPr="00787679">
              <w:rPr>
                <w:rFonts w:cs="Arial"/>
                <w:color w:val="000000"/>
              </w:rPr>
              <w:t>0BBD4ZZ</w:t>
            </w:r>
          </w:p>
        </w:tc>
        <w:tc>
          <w:tcPr>
            <w:tcW w:w="7560" w:type="dxa"/>
            <w:noWrap/>
            <w:vAlign w:val="center"/>
            <w:hideMark/>
          </w:tcPr>
          <w:p w14:paraId="55F937CA" w14:textId="77777777" w:rsidR="00F310BA" w:rsidRPr="00787679" w:rsidRDefault="00F310BA" w:rsidP="00696E8F">
            <w:pPr>
              <w:rPr>
                <w:rFonts w:cs="Arial"/>
                <w:color w:val="000000"/>
              </w:rPr>
            </w:pPr>
            <w:r w:rsidRPr="00787679">
              <w:rPr>
                <w:rFonts w:cs="Arial"/>
                <w:color w:val="000000"/>
              </w:rPr>
              <w:t>Excision of Right Middle Lung Lobe, Percutaneous Endoscopic Approach</w:t>
            </w:r>
          </w:p>
        </w:tc>
      </w:tr>
      <w:tr w:rsidR="00F310BA" w:rsidRPr="00787679" w14:paraId="3FDF3D0E" w14:textId="77777777" w:rsidTr="00696E8F">
        <w:trPr>
          <w:trHeight w:val="300"/>
        </w:trPr>
        <w:tc>
          <w:tcPr>
            <w:tcW w:w="1872" w:type="dxa"/>
            <w:noWrap/>
            <w:vAlign w:val="center"/>
            <w:hideMark/>
          </w:tcPr>
          <w:p w14:paraId="6AA32BB8" w14:textId="77777777" w:rsidR="00F310BA" w:rsidRPr="00787679" w:rsidRDefault="00F310BA" w:rsidP="00696E8F">
            <w:pPr>
              <w:rPr>
                <w:rFonts w:cs="Arial"/>
                <w:color w:val="000000"/>
              </w:rPr>
            </w:pPr>
            <w:r w:rsidRPr="00787679">
              <w:rPr>
                <w:rFonts w:cs="Arial"/>
                <w:color w:val="000000"/>
              </w:rPr>
              <w:t>0BBF0ZZ</w:t>
            </w:r>
          </w:p>
        </w:tc>
        <w:tc>
          <w:tcPr>
            <w:tcW w:w="7560" w:type="dxa"/>
            <w:noWrap/>
            <w:vAlign w:val="center"/>
            <w:hideMark/>
          </w:tcPr>
          <w:p w14:paraId="10D11354" w14:textId="77777777" w:rsidR="00F310BA" w:rsidRPr="00787679" w:rsidRDefault="00F310BA" w:rsidP="00696E8F">
            <w:pPr>
              <w:rPr>
                <w:rFonts w:cs="Arial"/>
                <w:color w:val="000000"/>
              </w:rPr>
            </w:pPr>
            <w:r w:rsidRPr="00787679">
              <w:rPr>
                <w:rFonts w:cs="Arial"/>
                <w:color w:val="000000"/>
              </w:rPr>
              <w:t>Excision of Right Lower Lung Lobe, Open Approach</w:t>
            </w:r>
          </w:p>
        </w:tc>
      </w:tr>
      <w:tr w:rsidR="00F310BA" w:rsidRPr="00787679" w14:paraId="5028115B" w14:textId="77777777" w:rsidTr="00696E8F">
        <w:trPr>
          <w:trHeight w:val="300"/>
        </w:trPr>
        <w:tc>
          <w:tcPr>
            <w:tcW w:w="1872" w:type="dxa"/>
            <w:noWrap/>
            <w:vAlign w:val="center"/>
            <w:hideMark/>
          </w:tcPr>
          <w:p w14:paraId="72361D1F" w14:textId="77777777" w:rsidR="00F310BA" w:rsidRPr="00787679" w:rsidRDefault="00F310BA" w:rsidP="00696E8F">
            <w:pPr>
              <w:rPr>
                <w:rFonts w:cs="Arial"/>
                <w:color w:val="000000"/>
              </w:rPr>
            </w:pPr>
            <w:r w:rsidRPr="00787679">
              <w:rPr>
                <w:rFonts w:cs="Arial"/>
                <w:color w:val="000000"/>
              </w:rPr>
              <w:t>0BBF3ZZ</w:t>
            </w:r>
          </w:p>
        </w:tc>
        <w:tc>
          <w:tcPr>
            <w:tcW w:w="7560" w:type="dxa"/>
            <w:noWrap/>
            <w:vAlign w:val="center"/>
            <w:hideMark/>
          </w:tcPr>
          <w:p w14:paraId="210822B4" w14:textId="77777777" w:rsidR="00F310BA" w:rsidRPr="00787679" w:rsidRDefault="00F310BA" w:rsidP="00696E8F">
            <w:pPr>
              <w:rPr>
                <w:rFonts w:cs="Arial"/>
                <w:color w:val="000000"/>
              </w:rPr>
            </w:pPr>
            <w:r w:rsidRPr="00787679">
              <w:rPr>
                <w:rFonts w:cs="Arial"/>
                <w:color w:val="000000"/>
              </w:rPr>
              <w:t>Excision of Right Lower Lung Lobe, Percutaneous Approach</w:t>
            </w:r>
          </w:p>
        </w:tc>
      </w:tr>
      <w:tr w:rsidR="00F310BA" w:rsidRPr="00787679" w14:paraId="0B08AA54" w14:textId="77777777" w:rsidTr="00696E8F">
        <w:trPr>
          <w:trHeight w:val="300"/>
        </w:trPr>
        <w:tc>
          <w:tcPr>
            <w:tcW w:w="1872" w:type="dxa"/>
            <w:noWrap/>
            <w:vAlign w:val="center"/>
            <w:hideMark/>
          </w:tcPr>
          <w:p w14:paraId="2C2EB237" w14:textId="77777777" w:rsidR="00F310BA" w:rsidRPr="00787679" w:rsidRDefault="00F310BA" w:rsidP="00696E8F">
            <w:pPr>
              <w:rPr>
                <w:rFonts w:cs="Arial"/>
                <w:color w:val="000000"/>
              </w:rPr>
            </w:pPr>
            <w:r w:rsidRPr="00787679">
              <w:rPr>
                <w:rFonts w:cs="Arial"/>
                <w:color w:val="000000"/>
              </w:rPr>
              <w:t>0BBF4ZZ</w:t>
            </w:r>
          </w:p>
        </w:tc>
        <w:tc>
          <w:tcPr>
            <w:tcW w:w="7560" w:type="dxa"/>
            <w:noWrap/>
            <w:vAlign w:val="center"/>
            <w:hideMark/>
          </w:tcPr>
          <w:p w14:paraId="1677BFE0" w14:textId="77777777" w:rsidR="00F310BA" w:rsidRPr="00787679" w:rsidRDefault="00F310BA" w:rsidP="00696E8F">
            <w:pPr>
              <w:rPr>
                <w:rFonts w:cs="Arial"/>
                <w:color w:val="000000"/>
              </w:rPr>
            </w:pPr>
            <w:r w:rsidRPr="00787679">
              <w:rPr>
                <w:rFonts w:cs="Arial"/>
                <w:color w:val="000000"/>
              </w:rPr>
              <w:t>Excision of Right Lower Lung Lobe, Percutaneous Endoscopic Approach</w:t>
            </w:r>
          </w:p>
        </w:tc>
      </w:tr>
      <w:tr w:rsidR="00F310BA" w:rsidRPr="00787679" w14:paraId="4DFF298C" w14:textId="77777777" w:rsidTr="00696E8F">
        <w:trPr>
          <w:trHeight w:val="300"/>
        </w:trPr>
        <w:tc>
          <w:tcPr>
            <w:tcW w:w="1872" w:type="dxa"/>
            <w:noWrap/>
            <w:vAlign w:val="center"/>
            <w:hideMark/>
          </w:tcPr>
          <w:p w14:paraId="667B0399" w14:textId="77777777" w:rsidR="00F310BA" w:rsidRPr="00787679" w:rsidRDefault="00F310BA" w:rsidP="00696E8F">
            <w:pPr>
              <w:rPr>
                <w:rFonts w:cs="Arial"/>
                <w:color w:val="000000"/>
              </w:rPr>
            </w:pPr>
            <w:r w:rsidRPr="00787679">
              <w:rPr>
                <w:rFonts w:cs="Arial"/>
                <w:color w:val="000000"/>
              </w:rPr>
              <w:t>0BBG0ZZ</w:t>
            </w:r>
          </w:p>
        </w:tc>
        <w:tc>
          <w:tcPr>
            <w:tcW w:w="7560" w:type="dxa"/>
            <w:noWrap/>
            <w:vAlign w:val="center"/>
            <w:hideMark/>
          </w:tcPr>
          <w:p w14:paraId="1845EF6F" w14:textId="77777777" w:rsidR="00F310BA" w:rsidRPr="00787679" w:rsidRDefault="00F310BA" w:rsidP="00696E8F">
            <w:pPr>
              <w:rPr>
                <w:rFonts w:cs="Arial"/>
                <w:color w:val="000000"/>
              </w:rPr>
            </w:pPr>
            <w:r w:rsidRPr="00787679">
              <w:rPr>
                <w:rFonts w:cs="Arial"/>
                <w:color w:val="000000"/>
              </w:rPr>
              <w:t>Excision of Left Upper Lung Lobe, Open Approach</w:t>
            </w:r>
          </w:p>
        </w:tc>
      </w:tr>
      <w:tr w:rsidR="00F310BA" w:rsidRPr="00787679" w14:paraId="11FB51A3" w14:textId="77777777" w:rsidTr="00696E8F">
        <w:trPr>
          <w:trHeight w:val="300"/>
        </w:trPr>
        <w:tc>
          <w:tcPr>
            <w:tcW w:w="1872" w:type="dxa"/>
            <w:noWrap/>
            <w:vAlign w:val="center"/>
            <w:hideMark/>
          </w:tcPr>
          <w:p w14:paraId="50E9D0DA" w14:textId="77777777" w:rsidR="00F310BA" w:rsidRPr="00787679" w:rsidRDefault="00F310BA" w:rsidP="00696E8F">
            <w:pPr>
              <w:rPr>
                <w:rFonts w:cs="Arial"/>
                <w:color w:val="000000"/>
              </w:rPr>
            </w:pPr>
            <w:r w:rsidRPr="00787679">
              <w:rPr>
                <w:rFonts w:cs="Arial"/>
                <w:color w:val="000000"/>
              </w:rPr>
              <w:t>0BBG3ZZ</w:t>
            </w:r>
          </w:p>
        </w:tc>
        <w:tc>
          <w:tcPr>
            <w:tcW w:w="7560" w:type="dxa"/>
            <w:noWrap/>
            <w:vAlign w:val="center"/>
            <w:hideMark/>
          </w:tcPr>
          <w:p w14:paraId="34FE11BD" w14:textId="77777777" w:rsidR="00F310BA" w:rsidRPr="00787679" w:rsidRDefault="00F310BA" w:rsidP="00696E8F">
            <w:pPr>
              <w:rPr>
                <w:rFonts w:cs="Arial"/>
                <w:color w:val="000000"/>
              </w:rPr>
            </w:pPr>
            <w:r w:rsidRPr="00787679">
              <w:rPr>
                <w:rFonts w:cs="Arial"/>
                <w:color w:val="000000"/>
              </w:rPr>
              <w:t>Excision of Left Upper Lung Lobe, Percutaneous Approach</w:t>
            </w:r>
          </w:p>
        </w:tc>
      </w:tr>
      <w:tr w:rsidR="00F310BA" w:rsidRPr="00787679" w14:paraId="783515CE" w14:textId="77777777" w:rsidTr="00696E8F">
        <w:trPr>
          <w:trHeight w:val="300"/>
        </w:trPr>
        <w:tc>
          <w:tcPr>
            <w:tcW w:w="1872" w:type="dxa"/>
            <w:noWrap/>
            <w:vAlign w:val="center"/>
            <w:hideMark/>
          </w:tcPr>
          <w:p w14:paraId="717782C0" w14:textId="77777777" w:rsidR="00F310BA" w:rsidRPr="00787679" w:rsidRDefault="00F310BA" w:rsidP="00696E8F">
            <w:pPr>
              <w:rPr>
                <w:rFonts w:cs="Arial"/>
                <w:color w:val="000000"/>
              </w:rPr>
            </w:pPr>
            <w:r w:rsidRPr="00787679">
              <w:rPr>
                <w:rFonts w:cs="Arial"/>
                <w:color w:val="000000"/>
              </w:rPr>
              <w:t>0BBG4ZZ</w:t>
            </w:r>
          </w:p>
        </w:tc>
        <w:tc>
          <w:tcPr>
            <w:tcW w:w="7560" w:type="dxa"/>
            <w:noWrap/>
            <w:vAlign w:val="center"/>
            <w:hideMark/>
          </w:tcPr>
          <w:p w14:paraId="10DFE3DB" w14:textId="77777777" w:rsidR="00F310BA" w:rsidRPr="00787679" w:rsidRDefault="00F310BA" w:rsidP="00696E8F">
            <w:pPr>
              <w:rPr>
                <w:rFonts w:cs="Arial"/>
                <w:color w:val="000000"/>
              </w:rPr>
            </w:pPr>
            <w:r w:rsidRPr="00787679">
              <w:rPr>
                <w:rFonts w:cs="Arial"/>
                <w:color w:val="000000"/>
              </w:rPr>
              <w:t>Excision of Left Upper Lung Lobe, Percutaneous Endoscopic Approach</w:t>
            </w:r>
          </w:p>
        </w:tc>
      </w:tr>
      <w:tr w:rsidR="00F310BA" w:rsidRPr="00787679" w14:paraId="2A19B545" w14:textId="77777777" w:rsidTr="00696E8F">
        <w:trPr>
          <w:trHeight w:val="300"/>
        </w:trPr>
        <w:tc>
          <w:tcPr>
            <w:tcW w:w="1872" w:type="dxa"/>
            <w:noWrap/>
            <w:vAlign w:val="center"/>
            <w:hideMark/>
          </w:tcPr>
          <w:p w14:paraId="27928A75" w14:textId="77777777" w:rsidR="00F310BA" w:rsidRPr="00787679" w:rsidRDefault="00F310BA" w:rsidP="00696E8F">
            <w:pPr>
              <w:rPr>
                <w:rFonts w:cs="Arial"/>
                <w:color w:val="000000"/>
              </w:rPr>
            </w:pPr>
            <w:r w:rsidRPr="00787679">
              <w:rPr>
                <w:rFonts w:cs="Arial"/>
                <w:color w:val="000000"/>
              </w:rPr>
              <w:t>0BBH0ZZ</w:t>
            </w:r>
          </w:p>
        </w:tc>
        <w:tc>
          <w:tcPr>
            <w:tcW w:w="7560" w:type="dxa"/>
            <w:noWrap/>
            <w:vAlign w:val="center"/>
            <w:hideMark/>
          </w:tcPr>
          <w:p w14:paraId="3BD65F7B" w14:textId="77777777" w:rsidR="00F310BA" w:rsidRPr="00787679" w:rsidRDefault="00F310BA" w:rsidP="00696E8F">
            <w:pPr>
              <w:rPr>
                <w:rFonts w:cs="Arial"/>
                <w:color w:val="000000"/>
              </w:rPr>
            </w:pPr>
            <w:r w:rsidRPr="00787679">
              <w:rPr>
                <w:rFonts w:cs="Arial"/>
                <w:color w:val="000000"/>
              </w:rPr>
              <w:t>Excision of Lung Lingula, Open Approach</w:t>
            </w:r>
          </w:p>
        </w:tc>
      </w:tr>
      <w:tr w:rsidR="00F310BA" w:rsidRPr="00787679" w14:paraId="0397D900" w14:textId="77777777" w:rsidTr="00696E8F">
        <w:trPr>
          <w:trHeight w:val="300"/>
        </w:trPr>
        <w:tc>
          <w:tcPr>
            <w:tcW w:w="1872" w:type="dxa"/>
            <w:noWrap/>
            <w:vAlign w:val="center"/>
            <w:hideMark/>
          </w:tcPr>
          <w:p w14:paraId="374BEBC3" w14:textId="77777777" w:rsidR="00F310BA" w:rsidRPr="00787679" w:rsidRDefault="00F310BA" w:rsidP="00696E8F">
            <w:pPr>
              <w:rPr>
                <w:rFonts w:cs="Arial"/>
                <w:color w:val="000000"/>
              </w:rPr>
            </w:pPr>
            <w:r w:rsidRPr="00787679">
              <w:rPr>
                <w:rFonts w:cs="Arial"/>
                <w:color w:val="000000"/>
              </w:rPr>
              <w:t>0BBH3ZZ</w:t>
            </w:r>
          </w:p>
        </w:tc>
        <w:tc>
          <w:tcPr>
            <w:tcW w:w="7560" w:type="dxa"/>
            <w:noWrap/>
            <w:vAlign w:val="center"/>
            <w:hideMark/>
          </w:tcPr>
          <w:p w14:paraId="76A06D8E" w14:textId="77777777" w:rsidR="00F310BA" w:rsidRPr="00787679" w:rsidRDefault="00F310BA" w:rsidP="00696E8F">
            <w:pPr>
              <w:rPr>
                <w:rFonts w:cs="Arial"/>
                <w:color w:val="000000"/>
              </w:rPr>
            </w:pPr>
            <w:r w:rsidRPr="00787679">
              <w:rPr>
                <w:rFonts w:cs="Arial"/>
                <w:color w:val="000000"/>
              </w:rPr>
              <w:t>Excision of Lung Lingula, Percutaneous Approach</w:t>
            </w:r>
          </w:p>
        </w:tc>
      </w:tr>
      <w:tr w:rsidR="00F310BA" w:rsidRPr="00787679" w14:paraId="6586447F" w14:textId="77777777" w:rsidTr="00696E8F">
        <w:trPr>
          <w:trHeight w:val="300"/>
        </w:trPr>
        <w:tc>
          <w:tcPr>
            <w:tcW w:w="1872" w:type="dxa"/>
            <w:noWrap/>
            <w:vAlign w:val="center"/>
            <w:hideMark/>
          </w:tcPr>
          <w:p w14:paraId="736C8494" w14:textId="77777777" w:rsidR="00F310BA" w:rsidRPr="00787679" w:rsidRDefault="00F310BA" w:rsidP="00696E8F">
            <w:pPr>
              <w:rPr>
                <w:rFonts w:cs="Arial"/>
                <w:color w:val="000000"/>
              </w:rPr>
            </w:pPr>
            <w:r w:rsidRPr="00787679">
              <w:rPr>
                <w:rFonts w:cs="Arial"/>
                <w:color w:val="000000"/>
              </w:rPr>
              <w:t>0BBH4ZZ</w:t>
            </w:r>
          </w:p>
        </w:tc>
        <w:tc>
          <w:tcPr>
            <w:tcW w:w="7560" w:type="dxa"/>
            <w:noWrap/>
            <w:vAlign w:val="center"/>
            <w:hideMark/>
          </w:tcPr>
          <w:p w14:paraId="252708B8" w14:textId="77777777" w:rsidR="00F310BA" w:rsidRPr="00787679" w:rsidRDefault="00F310BA" w:rsidP="00696E8F">
            <w:pPr>
              <w:rPr>
                <w:rFonts w:cs="Arial"/>
                <w:color w:val="000000"/>
              </w:rPr>
            </w:pPr>
            <w:r w:rsidRPr="00787679">
              <w:rPr>
                <w:rFonts w:cs="Arial"/>
                <w:color w:val="000000"/>
              </w:rPr>
              <w:t>Excision of Lung Lingula, Percutaneous Endoscopic Approach</w:t>
            </w:r>
          </w:p>
        </w:tc>
      </w:tr>
      <w:tr w:rsidR="00F310BA" w:rsidRPr="00787679" w14:paraId="7BCEEF4B" w14:textId="77777777" w:rsidTr="00696E8F">
        <w:trPr>
          <w:trHeight w:val="300"/>
        </w:trPr>
        <w:tc>
          <w:tcPr>
            <w:tcW w:w="1872" w:type="dxa"/>
            <w:noWrap/>
            <w:vAlign w:val="center"/>
            <w:hideMark/>
          </w:tcPr>
          <w:p w14:paraId="6AFEAB2E" w14:textId="77777777" w:rsidR="00F310BA" w:rsidRPr="00787679" w:rsidRDefault="00F310BA" w:rsidP="00696E8F">
            <w:pPr>
              <w:rPr>
                <w:rFonts w:cs="Arial"/>
                <w:color w:val="000000"/>
              </w:rPr>
            </w:pPr>
            <w:r w:rsidRPr="00787679">
              <w:rPr>
                <w:rFonts w:cs="Arial"/>
                <w:color w:val="000000"/>
              </w:rPr>
              <w:t>0BBJ0ZZ</w:t>
            </w:r>
          </w:p>
        </w:tc>
        <w:tc>
          <w:tcPr>
            <w:tcW w:w="7560" w:type="dxa"/>
            <w:noWrap/>
            <w:vAlign w:val="center"/>
            <w:hideMark/>
          </w:tcPr>
          <w:p w14:paraId="46F9E4E5" w14:textId="77777777" w:rsidR="00F310BA" w:rsidRPr="00787679" w:rsidRDefault="00F310BA" w:rsidP="00696E8F">
            <w:pPr>
              <w:rPr>
                <w:rFonts w:cs="Arial"/>
                <w:color w:val="000000"/>
              </w:rPr>
            </w:pPr>
            <w:r w:rsidRPr="00787679">
              <w:rPr>
                <w:rFonts w:cs="Arial"/>
                <w:color w:val="000000"/>
              </w:rPr>
              <w:t>Excision of Left Lower Lung Lobe, Open Approach</w:t>
            </w:r>
          </w:p>
        </w:tc>
      </w:tr>
      <w:tr w:rsidR="00F310BA" w:rsidRPr="00787679" w14:paraId="5774AC2D" w14:textId="77777777" w:rsidTr="00696E8F">
        <w:trPr>
          <w:trHeight w:val="300"/>
        </w:trPr>
        <w:tc>
          <w:tcPr>
            <w:tcW w:w="1872" w:type="dxa"/>
            <w:noWrap/>
            <w:vAlign w:val="center"/>
            <w:hideMark/>
          </w:tcPr>
          <w:p w14:paraId="4CBF02BC" w14:textId="77777777" w:rsidR="00F310BA" w:rsidRPr="00787679" w:rsidRDefault="00F310BA" w:rsidP="00696E8F">
            <w:pPr>
              <w:rPr>
                <w:rFonts w:cs="Arial"/>
                <w:color w:val="000000"/>
              </w:rPr>
            </w:pPr>
            <w:r w:rsidRPr="00787679">
              <w:rPr>
                <w:rFonts w:cs="Arial"/>
                <w:color w:val="000000"/>
              </w:rPr>
              <w:t>0BBJ3ZZ</w:t>
            </w:r>
          </w:p>
        </w:tc>
        <w:tc>
          <w:tcPr>
            <w:tcW w:w="7560" w:type="dxa"/>
            <w:noWrap/>
            <w:vAlign w:val="center"/>
            <w:hideMark/>
          </w:tcPr>
          <w:p w14:paraId="56D8D51D" w14:textId="77777777" w:rsidR="00F310BA" w:rsidRPr="00787679" w:rsidRDefault="00F310BA" w:rsidP="00696E8F">
            <w:pPr>
              <w:rPr>
                <w:rFonts w:cs="Arial"/>
                <w:color w:val="000000"/>
              </w:rPr>
            </w:pPr>
            <w:r w:rsidRPr="00787679">
              <w:rPr>
                <w:rFonts w:cs="Arial"/>
                <w:color w:val="000000"/>
              </w:rPr>
              <w:t>Excision of Left Lower Lung Lobe, Percutaneous Approach</w:t>
            </w:r>
          </w:p>
        </w:tc>
      </w:tr>
      <w:tr w:rsidR="00F310BA" w:rsidRPr="00787679" w14:paraId="5A62CF97" w14:textId="77777777" w:rsidTr="00696E8F">
        <w:trPr>
          <w:trHeight w:val="300"/>
        </w:trPr>
        <w:tc>
          <w:tcPr>
            <w:tcW w:w="1872" w:type="dxa"/>
            <w:noWrap/>
            <w:vAlign w:val="center"/>
            <w:hideMark/>
          </w:tcPr>
          <w:p w14:paraId="31FE10BE" w14:textId="77777777" w:rsidR="00F310BA" w:rsidRPr="00787679" w:rsidRDefault="00F310BA" w:rsidP="00696E8F">
            <w:pPr>
              <w:rPr>
                <w:rFonts w:cs="Arial"/>
                <w:color w:val="000000"/>
              </w:rPr>
            </w:pPr>
            <w:r w:rsidRPr="00787679">
              <w:rPr>
                <w:rFonts w:cs="Arial"/>
                <w:color w:val="000000"/>
              </w:rPr>
              <w:t>0BBJ4ZZ</w:t>
            </w:r>
          </w:p>
        </w:tc>
        <w:tc>
          <w:tcPr>
            <w:tcW w:w="7560" w:type="dxa"/>
            <w:noWrap/>
            <w:vAlign w:val="center"/>
            <w:hideMark/>
          </w:tcPr>
          <w:p w14:paraId="7AD50D0E" w14:textId="77777777" w:rsidR="00F310BA" w:rsidRPr="00787679" w:rsidRDefault="00F310BA" w:rsidP="00696E8F">
            <w:pPr>
              <w:rPr>
                <w:rFonts w:cs="Arial"/>
                <w:color w:val="000000"/>
              </w:rPr>
            </w:pPr>
            <w:r w:rsidRPr="00787679">
              <w:rPr>
                <w:rFonts w:cs="Arial"/>
                <w:color w:val="000000"/>
              </w:rPr>
              <w:t>Excision of Left Lower Lung Lobe, Percutaneous Endoscopic Approach</w:t>
            </w:r>
          </w:p>
        </w:tc>
      </w:tr>
      <w:tr w:rsidR="00F310BA" w:rsidRPr="00787679" w14:paraId="10EE49A4" w14:textId="77777777" w:rsidTr="00696E8F">
        <w:trPr>
          <w:trHeight w:val="300"/>
        </w:trPr>
        <w:tc>
          <w:tcPr>
            <w:tcW w:w="1872" w:type="dxa"/>
            <w:noWrap/>
            <w:vAlign w:val="center"/>
            <w:hideMark/>
          </w:tcPr>
          <w:p w14:paraId="1BC2B74A" w14:textId="77777777" w:rsidR="00F310BA" w:rsidRPr="00787679" w:rsidRDefault="00F310BA" w:rsidP="00696E8F">
            <w:pPr>
              <w:rPr>
                <w:rFonts w:cs="Arial"/>
                <w:color w:val="000000"/>
              </w:rPr>
            </w:pPr>
            <w:r w:rsidRPr="00787679">
              <w:rPr>
                <w:rFonts w:cs="Arial"/>
                <w:color w:val="000000"/>
              </w:rPr>
              <w:t>0BBK0ZZ</w:t>
            </w:r>
          </w:p>
        </w:tc>
        <w:tc>
          <w:tcPr>
            <w:tcW w:w="7560" w:type="dxa"/>
            <w:noWrap/>
            <w:vAlign w:val="center"/>
            <w:hideMark/>
          </w:tcPr>
          <w:p w14:paraId="17FE46C9" w14:textId="77777777" w:rsidR="00F310BA" w:rsidRPr="00787679" w:rsidRDefault="00F310BA" w:rsidP="00696E8F">
            <w:pPr>
              <w:rPr>
                <w:rFonts w:cs="Arial"/>
                <w:color w:val="000000"/>
              </w:rPr>
            </w:pPr>
            <w:r w:rsidRPr="00787679">
              <w:rPr>
                <w:rFonts w:cs="Arial"/>
                <w:color w:val="000000"/>
              </w:rPr>
              <w:t>Excision of Right Lung, Open Approach</w:t>
            </w:r>
          </w:p>
        </w:tc>
      </w:tr>
      <w:tr w:rsidR="00F310BA" w:rsidRPr="00787679" w14:paraId="7C42EED1" w14:textId="77777777" w:rsidTr="00696E8F">
        <w:trPr>
          <w:trHeight w:val="300"/>
        </w:trPr>
        <w:tc>
          <w:tcPr>
            <w:tcW w:w="1872" w:type="dxa"/>
            <w:noWrap/>
            <w:vAlign w:val="center"/>
            <w:hideMark/>
          </w:tcPr>
          <w:p w14:paraId="208BCA08" w14:textId="77777777" w:rsidR="00F310BA" w:rsidRPr="00787679" w:rsidRDefault="00F310BA" w:rsidP="00696E8F">
            <w:pPr>
              <w:rPr>
                <w:rFonts w:cs="Arial"/>
                <w:color w:val="000000"/>
              </w:rPr>
            </w:pPr>
            <w:r w:rsidRPr="00787679">
              <w:rPr>
                <w:rFonts w:cs="Arial"/>
                <w:color w:val="000000"/>
              </w:rPr>
              <w:t>0BBK3ZZ</w:t>
            </w:r>
          </w:p>
        </w:tc>
        <w:tc>
          <w:tcPr>
            <w:tcW w:w="7560" w:type="dxa"/>
            <w:noWrap/>
            <w:vAlign w:val="center"/>
            <w:hideMark/>
          </w:tcPr>
          <w:p w14:paraId="2DD26A40" w14:textId="77777777" w:rsidR="00F310BA" w:rsidRPr="00787679" w:rsidRDefault="00F310BA" w:rsidP="00696E8F">
            <w:pPr>
              <w:rPr>
                <w:rFonts w:cs="Arial"/>
                <w:color w:val="000000"/>
              </w:rPr>
            </w:pPr>
            <w:r w:rsidRPr="00787679">
              <w:rPr>
                <w:rFonts w:cs="Arial"/>
                <w:color w:val="000000"/>
              </w:rPr>
              <w:t>Excision of Right Lung, Percutaneous Approach</w:t>
            </w:r>
          </w:p>
        </w:tc>
      </w:tr>
      <w:tr w:rsidR="00F310BA" w:rsidRPr="00787679" w14:paraId="455FF75D" w14:textId="77777777" w:rsidTr="00696E8F">
        <w:trPr>
          <w:trHeight w:val="300"/>
        </w:trPr>
        <w:tc>
          <w:tcPr>
            <w:tcW w:w="1872" w:type="dxa"/>
            <w:noWrap/>
            <w:vAlign w:val="center"/>
            <w:hideMark/>
          </w:tcPr>
          <w:p w14:paraId="2ED0B266" w14:textId="77777777" w:rsidR="00F310BA" w:rsidRPr="00787679" w:rsidRDefault="00F310BA" w:rsidP="00696E8F">
            <w:pPr>
              <w:rPr>
                <w:rFonts w:cs="Arial"/>
                <w:color w:val="000000"/>
              </w:rPr>
            </w:pPr>
            <w:r w:rsidRPr="00787679">
              <w:rPr>
                <w:rFonts w:cs="Arial"/>
                <w:color w:val="000000"/>
              </w:rPr>
              <w:t>0BBK4ZZ</w:t>
            </w:r>
          </w:p>
        </w:tc>
        <w:tc>
          <w:tcPr>
            <w:tcW w:w="7560" w:type="dxa"/>
            <w:noWrap/>
            <w:vAlign w:val="center"/>
            <w:hideMark/>
          </w:tcPr>
          <w:p w14:paraId="1758D13E" w14:textId="77777777" w:rsidR="00F310BA" w:rsidRPr="00787679" w:rsidRDefault="00F310BA" w:rsidP="00696E8F">
            <w:pPr>
              <w:rPr>
                <w:rFonts w:cs="Arial"/>
                <w:color w:val="000000"/>
              </w:rPr>
            </w:pPr>
            <w:r w:rsidRPr="00787679">
              <w:rPr>
                <w:rFonts w:cs="Arial"/>
                <w:color w:val="000000"/>
              </w:rPr>
              <w:t>Excision of Right Lung, Percutaneous Endoscopic Approach</w:t>
            </w:r>
          </w:p>
        </w:tc>
      </w:tr>
      <w:tr w:rsidR="00F310BA" w:rsidRPr="00787679" w14:paraId="71D4840E" w14:textId="77777777" w:rsidTr="00696E8F">
        <w:trPr>
          <w:trHeight w:val="300"/>
        </w:trPr>
        <w:tc>
          <w:tcPr>
            <w:tcW w:w="1872" w:type="dxa"/>
            <w:noWrap/>
            <w:vAlign w:val="center"/>
            <w:hideMark/>
          </w:tcPr>
          <w:p w14:paraId="0DA17B56" w14:textId="77777777" w:rsidR="00F310BA" w:rsidRPr="00787679" w:rsidRDefault="00F310BA" w:rsidP="00696E8F">
            <w:pPr>
              <w:rPr>
                <w:rFonts w:cs="Arial"/>
                <w:color w:val="000000"/>
              </w:rPr>
            </w:pPr>
            <w:r w:rsidRPr="00787679">
              <w:rPr>
                <w:rFonts w:cs="Arial"/>
                <w:color w:val="000000"/>
              </w:rPr>
              <w:t>0BBL0ZZ</w:t>
            </w:r>
          </w:p>
        </w:tc>
        <w:tc>
          <w:tcPr>
            <w:tcW w:w="7560" w:type="dxa"/>
            <w:noWrap/>
            <w:vAlign w:val="center"/>
            <w:hideMark/>
          </w:tcPr>
          <w:p w14:paraId="07054FD6" w14:textId="77777777" w:rsidR="00F310BA" w:rsidRPr="00787679" w:rsidRDefault="00F310BA" w:rsidP="00696E8F">
            <w:pPr>
              <w:rPr>
                <w:rFonts w:cs="Arial"/>
                <w:color w:val="000000"/>
              </w:rPr>
            </w:pPr>
            <w:r w:rsidRPr="00787679">
              <w:rPr>
                <w:rFonts w:cs="Arial"/>
                <w:color w:val="000000"/>
              </w:rPr>
              <w:t>Excision of Left Lung, Open Approach</w:t>
            </w:r>
          </w:p>
        </w:tc>
      </w:tr>
      <w:tr w:rsidR="00F310BA" w:rsidRPr="00787679" w14:paraId="4C80D4BB" w14:textId="77777777" w:rsidTr="00696E8F">
        <w:trPr>
          <w:trHeight w:val="300"/>
        </w:trPr>
        <w:tc>
          <w:tcPr>
            <w:tcW w:w="1872" w:type="dxa"/>
            <w:noWrap/>
            <w:vAlign w:val="center"/>
            <w:hideMark/>
          </w:tcPr>
          <w:p w14:paraId="00DAF996" w14:textId="77777777" w:rsidR="00F310BA" w:rsidRPr="00787679" w:rsidRDefault="00F310BA" w:rsidP="00696E8F">
            <w:pPr>
              <w:rPr>
                <w:rFonts w:cs="Arial"/>
                <w:color w:val="000000"/>
              </w:rPr>
            </w:pPr>
            <w:r w:rsidRPr="00787679">
              <w:rPr>
                <w:rFonts w:cs="Arial"/>
                <w:color w:val="000000"/>
              </w:rPr>
              <w:t>0BBL3ZZ</w:t>
            </w:r>
          </w:p>
        </w:tc>
        <w:tc>
          <w:tcPr>
            <w:tcW w:w="7560" w:type="dxa"/>
            <w:noWrap/>
            <w:vAlign w:val="center"/>
            <w:hideMark/>
          </w:tcPr>
          <w:p w14:paraId="6BA5A391" w14:textId="77777777" w:rsidR="00F310BA" w:rsidRPr="00787679" w:rsidRDefault="00F310BA" w:rsidP="00696E8F">
            <w:pPr>
              <w:rPr>
                <w:rFonts w:cs="Arial"/>
                <w:color w:val="000000"/>
              </w:rPr>
            </w:pPr>
            <w:r w:rsidRPr="00787679">
              <w:rPr>
                <w:rFonts w:cs="Arial"/>
                <w:color w:val="000000"/>
              </w:rPr>
              <w:t>Excision of Left Lung, Percutaneous Approach</w:t>
            </w:r>
          </w:p>
        </w:tc>
      </w:tr>
      <w:tr w:rsidR="00F310BA" w:rsidRPr="00787679" w14:paraId="4D829148" w14:textId="77777777" w:rsidTr="00696E8F">
        <w:trPr>
          <w:trHeight w:val="300"/>
        </w:trPr>
        <w:tc>
          <w:tcPr>
            <w:tcW w:w="1872" w:type="dxa"/>
            <w:noWrap/>
            <w:vAlign w:val="center"/>
            <w:hideMark/>
          </w:tcPr>
          <w:p w14:paraId="056DF443" w14:textId="77777777" w:rsidR="00F310BA" w:rsidRPr="00787679" w:rsidRDefault="00F310BA" w:rsidP="00696E8F">
            <w:pPr>
              <w:rPr>
                <w:rFonts w:cs="Arial"/>
                <w:color w:val="000000"/>
              </w:rPr>
            </w:pPr>
            <w:r w:rsidRPr="00787679">
              <w:rPr>
                <w:rFonts w:cs="Arial"/>
                <w:color w:val="000000"/>
              </w:rPr>
              <w:t>0BBL4ZZ</w:t>
            </w:r>
          </w:p>
        </w:tc>
        <w:tc>
          <w:tcPr>
            <w:tcW w:w="7560" w:type="dxa"/>
            <w:noWrap/>
            <w:vAlign w:val="center"/>
            <w:hideMark/>
          </w:tcPr>
          <w:p w14:paraId="66405826" w14:textId="77777777" w:rsidR="00F310BA" w:rsidRPr="00787679" w:rsidRDefault="00F310BA" w:rsidP="00696E8F">
            <w:pPr>
              <w:rPr>
                <w:rFonts w:cs="Arial"/>
                <w:color w:val="000000"/>
              </w:rPr>
            </w:pPr>
            <w:r w:rsidRPr="00787679">
              <w:rPr>
                <w:rFonts w:cs="Arial"/>
                <w:color w:val="000000"/>
              </w:rPr>
              <w:t>Excision of Left Lung, Percutaneous Endoscopic Approach</w:t>
            </w:r>
          </w:p>
        </w:tc>
      </w:tr>
      <w:tr w:rsidR="00F310BA" w:rsidRPr="00787679" w14:paraId="65D2BAB9" w14:textId="77777777" w:rsidTr="00696E8F">
        <w:trPr>
          <w:trHeight w:val="300"/>
        </w:trPr>
        <w:tc>
          <w:tcPr>
            <w:tcW w:w="1872" w:type="dxa"/>
            <w:noWrap/>
            <w:vAlign w:val="center"/>
            <w:hideMark/>
          </w:tcPr>
          <w:p w14:paraId="250C4B14" w14:textId="77777777" w:rsidR="00F310BA" w:rsidRPr="00787679" w:rsidRDefault="00F310BA" w:rsidP="00696E8F">
            <w:pPr>
              <w:rPr>
                <w:rFonts w:cs="Arial"/>
                <w:color w:val="000000"/>
              </w:rPr>
            </w:pPr>
            <w:r w:rsidRPr="00787679">
              <w:rPr>
                <w:rFonts w:cs="Arial"/>
                <w:color w:val="000000"/>
              </w:rPr>
              <w:t>0BBL7ZZ</w:t>
            </w:r>
          </w:p>
        </w:tc>
        <w:tc>
          <w:tcPr>
            <w:tcW w:w="7560" w:type="dxa"/>
            <w:noWrap/>
            <w:vAlign w:val="center"/>
            <w:hideMark/>
          </w:tcPr>
          <w:p w14:paraId="63A90286" w14:textId="77777777" w:rsidR="00F310BA" w:rsidRPr="00787679" w:rsidRDefault="00F310BA" w:rsidP="00696E8F">
            <w:pPr>
              <w:rPr>
                <w:rFonts w:cs="Arial"/>
                <w:color w:val="000000"/>
              </w:rPr>
            </w:pPr>
            <w:r w:rsidRPr="00787679">
              <w:rPr>
                <w:rFonts w:cs="Arial"/>
                <w:color w:val="000000"/>
              </w:rPr>
              <w:t>Excision of Left Lung, Via Natural or Artificial Opening</w:t>
            </w:r>
          </w:p>
        </w:tc>
      </w:tr>
      <w:tr w:rsidR="006118E2" w:rsidRPr="00787679" w14:paraId="2A018F79" w14:textId="77777777" w:rsidTr="00696E8F">
        <w:trPr>
          <w:trHeight w:val="300"/>
        </w:trPr>
        <w:tc>
          <w:tcPr>
            <w:tcW w:w="1872" w:type="dxa"/>
            <w:noWrap/>
            <w:vAlign w:val="center"/>
            <w:hideMark/>
          </w:tcPr>
          <w:p w14:paraId="6052488F" w14:textId="77777777" w:rsidR="006118E2" w:rsidRPr="00787679" w:rsidRDefault="006118E2" w:rsidP="00696E8F">
            <w:pPr>
              <w:rPr>
                <w:rFonts w:cs="Arial"/>
                <w:color w:val="000000"/>
              </w:rPr>
            </w:pPr>
            <w:r w:rsidRPr="00787679">
              <w:rPr>
                <w:rFonts w:cs="Arial"/>
                <w:color w:val="000000"/>
              </w:rPr>
              <w:t>0BTC0ZZ</w:t>
            </w:r>
          </w:p>
        </w:tc>
        <w:tc>
          <w:tcPr>
            <w:tcW w:w="7560" w:type="dxa"/>
            <w:noWrap/>
            <w:vAlign w:val="center"/>
            <w:hideMark/>
          </w:tcPr>
          <w:p w14:paraId="4FB691BB" w14:textId="77777777" w:rsidR="006118E2" w:rsidRPr="00787679" w:rsidRDefault="006118E2" w:rsidP="00696E8F">
            <w:pPr>
              <w:rPr>
                <w:rFonts w:cs="Arial"/>
                <w:color w:val="000000"/>
              </w:rPr>
            </w:pPr>
            <w:r w:rsidRPr="00787679">
              <w:rPr>
                <w:rFonts w:cs="Arial"/>
                <w:color w:val="000000"/>
              </w:rPr>
              <w:t>Resection of Right Upper Lung Lobe, Open Approach</w:t>
            </w:r>
          </w:p>
        </w:tc>
      </w:tr>
      <w:tr w:rsidR="006118E2" w:rsidRPr="00787679" w14:paraId="241CF2C5" w14:textId="77777777" w:rsidTr="00696E8F">
        <w:trPr>
          <w:trHeight w:val="300"/>
        </w:trPr>
        <w:tc>
          <w:tcPr>
            <w:tcW w:w="1872" w:type="dxa"/>
            <w:noWrap/>
            <w:vAlign w:val="center"/>
            <w:hideMark/>
          </w:tcPr>
          <w:p w14:paraId="18E9D4F3" w14:textId="77777777" w:rsidR="006118E2" w:rsidRPr="00787679" w:rsidRDefault="006118E2" w:rsidP="00696E8F">
            <w:pPr>
              <w:rPr>
                <w:rFonts w:cs="Arial"/>
                <w:color w:val="000000"/>
              </w:rPr>
            </w:pPr>
            <w:r w:rsidRPr="00787679">
              <w:rPr>
                <w:rFonts w:cs="Arial"/>
                <w:color w:val="000000"/>
              </w:rPr>
              <w:t>0BTC4ZZ</w:t>
            </w:r>
          </w:p>
        </w:tc>
        <w:tc>
          <w:tcPr>
            <w:tcW w:w="7560" w:type="dxa"/>
            <w:noWrap/>
            <w:vAlign w:val="center"/>
            <w:hideMark/>
          </w:tcPr>
          <w:p w14:paraId="5D9B2666" w14:textId="77777777" w:rsidR="006118E2" w:rsidRPr="00787679" w:rsidRDefault="006118E2" w:rsidP="00696E8F">
            <w:pPr>
              <w:rPr>
                <w:rFonts w:cs="Arial"/>
                <w:color w:val="000000"/>
              </w:rPr>
            </w:pPr>
            <w:r w:rsidRPr="00787679">
              <w:rPr>
                <w:rFonts w:cs="Arial"/>
                <w:color w:val="000000"/>
              </w:rPr>
              <w:t>Resection of Right Upper Lung Lobe, Percutaneous Endoscopic Approach</w:t>
            </w:r>
          </w:p>
        </w:tc>
      </w:tr>
      <w:tr w:rsidR="006118E2" w:rsidRPr="00787679" w14:paraId="4223AD24" w14:textId="77777777" w:rsidTr="00696E8F">
        <w:trPr>
          <w:trHeight w:val="300"/>
        </w:trPr>
        <w:tc>
          <w:tcPr>
            <w:tcW w:w="1872" w:type="dxa"/>
            <w:noWrap/>
            <w:vAlign w:val="center"/>
            <w:hideMark/>
          </w:tcPr>
          <w:p w14:paraId="059A2FA2" w14:textId="77777777" w:rsidR="006118E2" w:rsidRPr="00787679" w:rsidRDefault="006118E2" w:rsidP="00696E8F">
            <w:pPr>
              <w:rPr>
                <w:rFonts w:cs="Arial"/>
                <w:color w:val="000000"/>
              </w:rPr>
            </w:pPr>
            <w:r w:rsidRPr="00787679">
              <w:rPr>
                <w:rFonts w:cs="Arial"/>
                <w:color w:val="000000"/>
              </w:rPr>
              <w:t>0BTD0ZZ</w:t>
            </w:r>
          </w:p>
        </w:tc>
        <w:tc>
          <w:tcPr>
            <w:tcW w:w="7560" w:type="dxa"/>
            <w:noWrap/>
            <w:vAlign w:val="center"/>
            <w:hideMark/>
          </w:tcPr>
          <w:p w14:paraId="072218F2" w14:textId="77777777" w:rsidR="006118E2" w:rsidRPr="00787679" w:rsidRDefault="006118E2" w:rsidP="00696E8F">
            <w:pPr>
              <w:rPr>
                <w:rFonts w:cs="Arial"/>
                <w:color w:val="000000"/>
              </w:rPr>
            </w:pPr>
            <w:r w:rsidRPr="00787679">
              <w:rPr>
                <w:rFonts w:cs="Arial"/>
                <w:color w:val="000000"/>
              </w:rPr>
              <w:t>Resection of Right Middle Lung Lobe, Open Approach</w:t>
            </w:r>
          </w:p>
        </w:tc>
      </w:tr>
      <w:tr w:rsidR="006118E2" w:rsidRPr="00787679" w14:paraId="5E60628B" w14:textId="77777777" w:rsidTr="00696E8F">
        <w:trPr>
          <w:trHeight w:val="300"/>
        </w:trPr>
        <w:tc>
          <w:tcPr>
            <w:tcW w:w="1872" w:type="dxa"/>
            <w:noWrap/>
            <w:vAlign w:val="center"/>
            <w:hideMark/>
          </w:tcPr>
          <w:p w14:paraId="6DB624E1" w14:textId="77777777" w:rsidR="006118E2" w:rsidRPr="00787679" w:rsidRDefault="006118E2" w:rsidP="00696E8F">
            <w:pPr>
              <w:rPr>
                <w:rFonts w:cs="Arial"/>
                <w:color w:val="000000"/>
              </w:rPr>
            </w:pPr>
            <w:r w:rsidRPr="00787679">
              <w:rPr>
                <w:rFonts w:cs="Arial"/>
                <w:color w:val="000000"/>
              </w:rPr>
              <w:t>0BTD4ZZ</w:t>
            </w:r>
          </w:p>
        </w:tc>
        <w:tc>
          <w:tcPr>
            <w:tcW w:w="7560" w:type="dxa"/>
            <w:noWrap/>
            <w:vAlign w:val="center"/>
            <w:hideMark/>
          </w:tcPr>
          <w:p w14:paraId="7FB1ADAA" w14:textId="77777777" w:rsidR="006118E2" w:rsidRPr="00787679" w:rsidRDefault="006118E2" w:rsidP="00696E8F">
            <w:pPr>
              <w:rPr>
                <w:rFonts w:cs="Arial"/>
                <w:color w:val="000000"/>
              </w:rPr>
            </w:pPr>
            <w:r w:rsidRPr="00787679">
              <w:rPr>
                <w:rFonts w:cs="Arial"/>
                <w:color w:val="000000"/>
              </w:rPr>
              <w:t>Resection of Right Middle Lung Lobe, Percutaneous Endoscopic Approach</w:t>
            </w:r>
          </w:p>
        </w:tc>
      </w:tr>
      <w:tr w:rsidR="006118E2" w:rsidRPr="00787679" w14:paraId="73E89E78" w14:textId="77777777" w:rsidTr="00696E8F">
        <w:trPr>
          <w:trHeight w:val="300"/>
        </w:trPr>
        <w:tc>
          <w:tcPr>
            <w:tcW w:w="1872" w:type="dxa"/>
            <w:noWrap/>
            <w:vAlign w:val="center"/>
            <w:hideMark/>
          </w:tcPr>
          <w:p w14:paraId="32B15E37" w14:textId="77777777" w:rsidR="006118E2" w:rsidRPr="00787679" w:rsidRDefault="006118E2" w:rsidP="00696E8F">
            <w:pPr>
              <w:rPr>
                <w:rFonts w:cs="Arial"/>
                <w:color w:val="000000"/>
              </w:rPr>
            </w:pPr>
            <w:r w:rsidRPr="00787679">
              <w:rPr>
                <w:rFonts w:cs="Arial"/>
                <w:color w:val="000000"/>
              </w:rPr>
              <w:t>0BTF0ZZ</w:t>
            </w:r>
          </w:p>
        </w:tc>
        <w:tc>
          <w:tcPr>
            <w:tcW w:w="7560" w:type="dxa"/>
            <w:noWrap/>
            <w:vAlign w:val="center"/>
            <w:hideMark/>
          </w:tcPr>
          <w:p w14:paraId="59783726" w14:textId="77777777" w:rsidR="006118E2" w:rsidRPr="00787679" w:rsidRDefault="006118E2" w:rsidP="00696E8F">
            <w:pPr>
              <w:rPr>
                <w:rFonts w:cs="Arial"/>
                <w:color w:val="000000"/>
              </w:rPr>
            </w:pPr>
            <w:r w:rsidRPr="00787679">
              <w:rPr>
                <w:rFonts w:cs="Arial"/>
                <w:color w:val="000000"/>
              </w:rPr>
              <w:t>Resection of Right Lower Lung Lobe, Open Approach</w:t>
            </w:r>
          </w:p>
        </w:tc>
      </w:tr>
      <w:tr w:rsidR="006118E2" w:rsidRPr="00787679" w14:paraId="11B3654E" w14:textId="77777777" w:rsidTr="00696E8F">
        <w:trPr>
          <w:trHeight w:val="300"/>
        </w:trPr>
        <w:tc>
          <w:tcPr>
            <w:tcW w:w="1872" w:type="dxa"/>
            <w:noWrap/>
            <w:vAlign w:val="center"/>
            <w:hideMark/>
          </w:tcPr>
          <w:p w14:paraId="3E14507D" w14:textId="77777777" w:rsidR="006118E2" w:rsidRPr="00787679" w:rsidRDefault="006118E2" w:rsidP="00696E8F">
            <w:pPr>
              <w:rPr>
                <w:rFonts w:cs="Arial"/>
                <w:color w:val="000000"/>
              </w:rPr>
            </w:pPr>
            <w:r w:rsidRPr="00787679">
              <w:rPr>
                <w:rFonts w:cs="Arial"/>
                <w:color w:val="000000"/>
              </w:rPr>
              <w:t>0BTF4ZZ</w:t>
            </w:r>
          </w:p>
        </w:tc>
        <w:tc>
          <w:tcPr>
            <w:tcW w:w="7560" w:type="dxa"/>
            <w:noWrap/>
            <w:vAlign w:val="center"/>
            <w:hideMark/>
          </w:tcPr>
          <w:p w14:paraId="2C609EA8" w14:textId="77777777" w:rsidR="006118E2" w:rsidRPr="00787679" w:rsidRDefault="006118E2" w:rsidP="00696E8F">
            <w:pPr>
              <w:rPr>
                <w:rFonts w:cs="Arial"/>
                <w:color w:val="000000"/>
              </w:rPr>
            </w:pPr>
            <w:r w:rsidRPr="00787679">
              <w:rPr>
                <w:rFonts w:cs="Arial"/>
                <w:color w:val="000000"/>
              </w:rPr>
              <w:t>Resection of Right Lower Lung Lobe, Percutaneous Endoscopic Approach</w:t>
            </w:r>
          </w:p>
        </w:tc>
      </w:tr>
      <w:tr w:rsidR="006118E2" w:rsidRPr="00787679" w14:paraId="3E6DEF7A" w14:textId="77777777" w:rsidTr="00696E8F">
        <w:trPr>
          <w:trHeight w:val="300"/>
        </w:trPr>
        <w:tc>
          <w:tcPr>
            <w:tcW w:w="1872" w:type="dxa"/>
            <w:noWrap/>
            <w:vAlign w:val="center"/>
            <w:hideMark/>
          </w:tcPr>
          <w:p w14:paraId="2A4225BF" w14:textId="77777777" w:rsidR="006118E2" w:rsidRPr="00787679" w:rsidRDefault="006118E2" w:rsidP="00696E8F">
            <w:pPr>
              <w:rPr>
                <w:rFonts w:cs="Arial"/>
                <w:color w:val="000000"/>
              </w:rPr>
            </w:pPr>
            <w:r w:rsidRPr="00787679">
              <w:rPr>
                <w:rFonts w:cs="Arial"/>
                <w:color w:val="000000"/>
              </w:rPr>
              <w:t>0BTG0ZZ</w:t>
            </w:r>
          </w:p>
        </w:tc>
        <w:tc>
          <w:tcPr>
            <w:tcW w:w="7560" w:type="dxa"/>
            <w:noWrap/>
            <w:vAlign w:val="center"/>
            <w:hideMark/>
          </w:tcPr>
          <w:p w14:paraId="46AEE402" w14:textId="77777777" w:rsidR="006118E2" w:rsidRPr="00787679" w:rsidRDefault="006118E2" w:rsidP="00696E8F">
            <w:pPr>
              <w:rPr>
                <w:rFonts w:cs="Arial"/>
                <w:color w:val="000000"/>
              </w:rPr>
            </w:pPr>
            <w:r w:rsidRPr="00787679">
              <w:rPr>
                <w:rFonts w:cs="Arial"/>
                <w:color w:val="000000"/>
              </w:rPr>
              <w:t>Resection of Left Upper Lung Lobe, Open Approach</w:t>
            </w:r>
          </w:p>
        </w:tc>
      </w:tr>
      <w:tr w:rsidR="006118E2" w:rsidRPr="00787679" w14:paraId="63790A6C" w14:textId="77777777" w:rsidTr="00696E8F">
        <w:trPr>
          <w:trHeight w:val="300"/>
        </w:trPr>
        <w:tc>
          <w:tcPr>
            <w:tcW w:w="1872" w:type="dxa"/>
            <w:noWrap/>
            <w:vAlign w:val="center"/>
            <w:hideMark/>
          </w:tcPr>
          <w:p w14:paraId="1A88F17E" w14:textId="77777777" w:rsidR="006118E2" w:rsidRPr="00787679" w:rsidRDefault="006118E2" w:rsidP="00696E8F">
            <w:pPr>
              <w:rPr>
                <w:rFonts w:cs="Arial"/>
                <w:color w:val="000000"/>
              </w:rPr>
            </w:pPr>
            <w:r w:rsidRPr="00787679">
              <w:rPr>
                <w:rFonts w:cs="Arial"/>
                <w:color w:val="000000"/>
              </w:rPr>
              <w:t>0BTG4ZZ</w:t>
            </w:r>
          </w:p>
        </w:tc>
        <w:tc>
          <w:tcPr>
            <w:tcW w:w="7560" w:type="dxa"/>
            <w:noWrap/>
            <w:vAlign w:val="center"/>
            <w:hideMark/>
          </w:tcPr>
          <w:p w14:paraId="12A51DE8" w14:textId="77777777" w:rsidR="006118E2" w:rsidRPr="00787679" w:rsidRDefault="006118E2" w:rsidP="00696E8F">
            <w:pPr>
              <w:rPr>
                <w:rFonts w:cs="Arial"/>
                <w:color w:val="000000"/>
              </w:rPr>
            </w:pPr>
            <w:r w:rsidRPr="00787679">
              <w:rPr>
                <w:rFonts w:cs="Arial"/>
                <w:color w:val="000000"/>
              </w:rPr>
              <w:t>Resection of Left Upper Lung Lobe, Percutaneous Endoscopic Approach</w:t>
            </w:r>
          </w:p>
        </w:tc>
      </w:tr>
      <w:tr w:rsidR="006118E2" w:rsidRPr="00787679" w14:paraId="317C398C" w14:textId="77777777" w:rsidTr="00696E8F">
        <w:trPr>
          <w:trHeight w:val="300"/>
        </w:trPr>
        <w:tc>
          <w:tcPr>
            <w:tcW w:w="1872" w:type="dxa"/>
            <w:noWrap/>
            <w:vAlign w:val="center"/>
            <w:hideMark/>
          </w:tcPr>
          <w:p w14:paraId="3591B377" w14:textId="77777777" w:rsidR="006118E2" w:rsidRPr="00787679" w:rsidRDefault="006118E2" w:rsidP="00696E8F">
            <w:pPr>
              <w:rPr>
                <w:rFonts w:cs="Arial"/>
                <w:color w:val="000000"/>
              </w:rPr>
            </w:pPr>
            <w:r w:rsidRPr="00787679">
              <w:rPr>
                <w:rFonts w:cs="Arial"/>
                <w:color w:val="000000"/>
              </w:rPr>
              <w:lastRenderedPageBreak/>
              <w:t>0BTH0ZZ</w:t>
            </w:r>
          </w:p>
        </w:tc>
        <w:tc>
          <w:tcPr>
            <w:tcW w:w="7560" w:type="dxa"/>
            <w:noWrap/>
            <w:vAlign w:val="center"/>
            <w:hideMark/>
          </w:tcPr>
          <w:p w14:paraId="319EBB17" w14:textId="77777777" w:rsidR="006118E2" w:rsidRPr="00787679" w:rsidRDefault="006118E2" w:rsidP="00696E8F">
            <w:pPr>
              <w:rPr>
                <w:rFonts w:cs="Arial"/>
                <w:color w:val="000000"/>
              </w:rPr>
            </w:pPr>
            <w:r w:rsidRPr="00787679">
              <w:rPr>
                <w:rFonts w:cs="Arial"/>
                <w:color w:val="000000"/>
              </w:rPr>
              <w:t>Resection of Lung Lingula, Open Approach</w:t>
            </w:r>
          </w:p>
        </w:tc>
      </w:tr>
      <w:tr w:rsidR="006118E2" w:rsidRPr="00787679" w14:paraId="35808F1E" w14:textId="77777777" w:rsidTr="00696E8F">
        <w:trPr>
          <w:trHeight w:val="300"/>
        </w:trPr>
        <w:tc>
          <w:tcPr>
            <w:tcW w:w="1872" w:type="dxa"/>
            <w:noWrap/>
            <w:vAlign w:val="center"/>
            <w:hideMark/>
          </w:tcPr>
          <w:p w14:paraId="05B881AF" w14:textId="77777777" w:rsidR="006118E2" w:rsidRPr="00787679" w:rsidRDefault="006118E2" w:rsidP="00696E8F">
            <w:pPr>
              <w:rPr>
                <w:rFonts w:cs="Arial"/>
                <w:color w:val="000000"/>
              </w:rPr>
            </w:pPr>
            <w:r w:rsidRPr="00787679">
              <w:rPr>
                <w:rFonts w:cs="Arial"/>
                <w:color w:val="000000"/>
              </w:rPr>
              <w:t>0BTH4ZZ</w:t>
            </w:r>
          </w:p>
        </w:tc>
        <w:tc>
          <w:tcPr>
            <w:tcW w:w="7560" w:type="dxa"/>
            <w:noWrap/>
            <w:vAlign w:val="center"/>
            <w:hideMark/>
          </w:tcPr>
          <w:p w14:paraId="1253D78A" w14:textId="77777777" w:rsidR="006118E2" w:rsidRPr="00787679" w:rsidRDefault="006118E2" w:rsidP="00696E8F">
            <w:pPr>
              <w:rPr>
                <w:rFonts w:cs="Arial"/>
                <w:color w:val="000000"/>
              </w:rPr>
            </w:pPr>
            <w:r w:rsidRPr="00787679">
              <w:rPr>
                <w:rFonts w:cs="Arial"/>
                <w:color w:val="000000"/>
              </w:rPr>
              <w:t>Resection of Lung Lingula, Percutaneous Endoscopic Approach</w:t>
            </w:r>
          </w:p>
        </w:tc>
      </w:tr>
      <w:tr w:rsidR="006118E2" w:rsidRPr="00787679" w14:paraId="763EECBA" w14:textId="77777777" w:rsidTr="00696E8F">
        <w:trPr>
          <w:trHeight w:val="300"/>
        </w:trPr>
        <w:tc>
          <w:tcPr>
            <w:tcW w:w="1872" w:type="dxa"/>
            <w:noWrap/>
            <w:vAlign w:val="center"/>
            <w:hideMark/>
          </w:tcPr>
          <w:p w14:paraId="1FFF3E67" w14:textId="77777777" w:rsidR="006118E2" w:rsidRPr="00787679" w:rsidRDefault="006118E2" w:rsidP="00696E8F">
            <w:pPr>
              <w:rPr>
                <w:rFonts w:cs="Arial"/>
                <w:color w:val="000000"/>
              </w:rPr>
            </w:pPr>
            <w:r w:rsidRPr="00787679">
              <w:rPr>
                <w:rFonts w:cs="Arial"/>
                <w:color w:val="000000"/>
              </w:rPr>
              <w:t>0BTJ0ZZ</w:t>
            </w:r>
          </w:p>
        </w:tc>
        <w:tc>
          <w:tcPr>
            <w:tcW w:w="7560" w:type="dxa"/>
            <w:noWrap/>
            <w:vAlign w:val="center"/>
            <w:hideMark/>
          </w:tcPr>
          <w:p w14:paraId="1E09BA5B" w14:textId="77777777" w:rsidR="006118E2" w:rsidRPr="00787679" w:rsidRDefault="006118E2" w:rsidP="00696E8F">
            <w:pPr>
              <w:rPr>
                <w:rFonts w:cs="Arial"/>
                <w:color w:val="000000"/>
              </w:rPr>
            </w:pPr>
            <w:r w:rsidRPr="00787679">
              <w:rPr>
                <w:rFonts w:cs="Arial"/>
                <w:color w:val="000000"/>
              </w:rPr>
              <w:t>Resection of Left Lower Lung Lobe, Open Approach</w:t>
            </w:r>
          </w:p>
        </w:tc>
      </w:tr>
      <w:tr w:rsidR="006118E2" w:rsidRPr="00787679" w14:paraId="18B51960" w14:textId="77777777" w:rsidTr="00696E8F">
        <w:trPr>
          <w:trHeight w:val="300"/>
        </w:trPr>
        <w:tc>
          <w:tcPr>
            <w:tcW w:w="1872" w:type="dxa"/>
            <w:noWrap/>
            <w:vAlign w:val="center"/>
            <w:hideMark/>
          </w:tcPr>
          <w:p w14:paraId="670C9A32" w14:textId="77777777" w:rsidR="006118E2" w:rsidRPr="00787679" w:rsidRDefault="006118E2" w:rsidP="00696E8F">
            <w:pPr>
              <w:rPr>
                <w:rFonts w:cs="Arial"/>
                <w:color w:val="000000"/>
              </w:rPr>
            </w:pPr>
            <w:r w:rsidRPr="00787679">
              <w:rPr>
                <w:rFonts w:cs="Arial"/>
                <w:color w:val="000000"/>
              </w:rPr>
              <w:t>0BTJ4ZZ</w:t>
            </w:r>
          </w:p>
        </w:tc>
        <w:tc>
          <w:tcPr>
            <w:tcW w:w="7560" w:type="dxa"/>
            <w:noWrap/>
            <w:vAlign w:val="center"/>
            <w:hideMark/>
          </w:tcPr>
          <w:p w14:paraId="69846F77" w14:textId="77777777" w:rsidR="006118E2" w:rsidRPr="00787679" w:rsidRDefault="006118E2" w:rsidP="00696E8F">
            <w:pPr>
              <w:rPr>
                <w:rFonts w:cs="Arial"/>
                <w:color w:val="000000"/>
              </w:rPr>
            </w:pPr>
            <w:r w:rsidRPr="00787679">
              <w:rPr>
                <w:rFonts w:cs="Arial"/>
                <w:color w:val="000000"/>
              </w:rPr>
              <w:t>Resection of Left Lower Lung Lobe, Percutaneous Endoscopic Approach</w:t>
            </w:r>
          </w:p>
        </w:tc>
      </w:tr>
      <w:tr w:rsidR="006118E2" w:rsidRPr="00787679" w14:paraId="49DFC503" w14:textId="77777777" w:rsidTr="00696E8F">
        <w:trPr>
          <w:trHeight w:val="300"/>
        </w:trPr>
        <w:tc>
          <w:tcPr>
            <w:tcW w:w="1872" w:type="dxa"/>
            <w:noWrap/>
            <w:vAlign w:val="center"/>
            <w:hideMark/>
          </w:tcPr>
          <w:p w14:paraId="769B35FD" w14:textId="77777777" w:rsidR="006118E2" w:rsidRPr="00787679" w:rsidRDefault="006118E2" w:rsidP="00696E8F">
            <w:pPr>
              <w:rPr>
                <w:rFonts w:cs="Arial"/>
                <w:color w:val="000000"/>
              </w:rPr>
            </w:pPr>
            <w:r w:rsidRPr="00787679">
              <w:rPr>
                <w:rFonts w:cs="Arial"/>
                <w:color w:val="000000"/>
              </w:rPr>
              <w:t>0BTK0ZZ</w:t>
            </w:r>
          </w:p>
        </w:tc>
        <w:tc>
          <w:tcPr>
            <w:tcW w:w="7560" w:type="dxa"/>
            <w:noWrap/>
            <w:vAlign w:val="center"/>
            <w:hideMark/>
          </w:tcPr>
          <w:p w14:paraId="3B731B01" w14:textId="77777777" w:rsidR="006118E2" w:rsidRPr="00787679" w:rsidRDefault="006118E2" w:rsidP="00696E8F">
            <w:pPr>
              <w:rPr>
                <w:rFonts w:cs="Arial"/>
                <w:color w:val="000000"/>
              </w:rPr>
            </w:pPr>
            <w:r w:rsidRPr="00787679">
              <w:rPr>
                <w:rFonts w:cs="Arial"/>
                <w:color w:val="000000"/>
              </w:rPr>
              <w:t>Resection of Right Lung, Open Approach</w:t>
            </w:r>
          </w:p>
        </w:tc>
      </w:tr>
      <w:tr w:rsidR="006118E2" w:rsidRPr="00787679" w14:paraId="18BE4C0B" w14:textId="77777777" w:rsidTr="00696E8F">
        <w:trPr>
          <w:trHeight w:val="300"/>
        </w:trPr>
        <w:tc>
          <w:tcPr>
            <w:tcW w:w="1872" w:type="dxa"/>
            <w:noWrap/>
            <w:vAlign w:val="center"/>
            <w:hideMark/>
          </w:tcPr>
          <w:p w14:paraId="2895E127" w14:textId="77777777" w:rsidR="006118E2" w:rsidRPr="00787679" w:rsidRDefault="006118E2" w:rsidP="00696E8F">
            <w:pPr>
              <w:rPr>
                <w:rFonts w:cs="Arial"/>
                <w:color w:val="000000"/>
              </w:rPr>
            </w:pPr>
            <w:r w:rsidRPr="00787679">
              <w:rPr>
                <w:rFonts w:cs="Arial"/>
                <w:color w:val="000000"/>
              </w:rPr>
              <w:t>0BTK4ZZ</w:t>
            </w:r>
          </w:p>
        </w:tc>
        <w:tc>
          <w:tcPr>
            <w:tcW w:w="7560" w:type="dxa"/>
            <w:noWrap/>
            <w:vAlign w:val="center"/>
            <w:hideMark/>
          </w:tcPr>
          <w:p w14:paraId="18EB5F93" w14:textId="77777777" w:rsidR="006118E2" w:rsidRPr="00787679" w:rsidRDefault="006118E2" w:rsidP="00696E8F">
            <w:pPr>
              <w:rPr>
                <w:rFonts w:cs="Arial"/>
                <w:color w:val="000000"/>
              </w:rPr>
            </w:pPr>
            <w:r w:rsidRPr="00787679">
              <w:rPr>
                <w:rFonts w:cs="Arial"/>
                <w:color w:val="000000"/>
              </w:rPr>
              <w:t>Resection of Right Lung, Percutaneous Endoscopic Approach</w:t>
            </w:r>
          </w:p>
        </w:tc>
      </w:tr>
      <w:tr w:rsidR="006118E2" w:rsidRPr="00787679" w14:paraId="6E066F51" w14:textId="77777777" w:rsidTr="00696E8F">
        <w:trPr>
          <w:trHeight w:val="300"/>
        </w:trPr>
        <w:tc>
          <w:tcPr>
            <w:tcW w:w="1872" w:type="dxa"/>
            <w:noWrap/>
            <w:vAlign w:val="center"/>
            <w:hideMark/>
          </w:tcPr>
          <w:p w14:paraId="5777F9F7" w14:textId="77777777" w:rsidR="006118E2" w:rsidRPr="00787679" w:rsidRDefault="006118E2" w:rsidP="00696E8F">
            <w:pPr>
              <w:rPr>
                <w:rFonts w:cs="Arial"/>
                <w:color w:val="000000"/>
              </w:rPr>
            </w:pPr>
            <w:r w:rsidRPr="00787679">
              <w:rPr>
                <w:rFonts w:cs="Arial"/>
                <w:color w:val="000000"/>
              </w:rPr>
              <w:t>0BTL0ZZ</w:t>
            </w:r>
          </w:p>
        </w:tc>
        <w:tc>
          <w:tcPr>
            <w:tcW w:w="7560" w:type="dxa"/>
            <w:noWrap/>
            <w:vAlign w:val="center"/>
            <w:hideMark/>
          </w:tcPr>
          <w:p w14:paraId="30BD6CDF" w14:textId="77777777" w:rsidR="006118E2" w:rsidRPr="00787679" w:rsidRDefault="006118E2" w:rsidP="00696E8F">
            <w:pPr>
              <w:rPr>
                <w:rFonts w:cs="Arial"/>
                <w:color w:val="000000"/>
              </w:rPr>
            </w:pPr>
            <w:r w:rsidRPr="00787679">
              <w:rPr>
                <w:rFonts w:cs="Arial"/>
                <w:color w:val="000000"/>
              </w:rPr>
              <w:t>Resection of Left Lung, Open Approach</w:t>
            </w:r>
          </w:p>
        </w:tc>
      </w:tr>
      <w:tr w:rsidR="006118E2" w:rsidRPr="00787679" w14:paraId="78E4C068" w14:textId="77777777" w:rsidTr="00696E8F">
        <w:trPr>
          <w:trHeight w:val="300"/>
        </w:trPr>
        <w:tc>
          <w:tcPr>
            <w:tcW w:w="1872" w:type="dxa"/>
            <w:noWrap/>
            <w:vAlign w:val="center"/>
            <w:hideMark/>
          </w:tcPr>
          <w:p w14:paraId="07E95B22" w14:textId="77777777" w:rsidR="006118E2" w:rsidRPr="00787679" w:rsidRDefault="006118E2" w:rsidP="00696E8F">
            <w:pPr>
              <w:rPr>
                <w:rFonts w:cs="Arial"/>
                <w:color w:val="000000"/>
              </w:rPr>
            </w:pPr>
            <w:r w:rsidRPr="00787679">
              <w:rPr>
                <w:rFonts w:cs="Arial"/>
                <w:color w:val="000000"/>
              </w:rPr>
              <w:t>0BTL4ZZ</w:t>
            </w:r>
          </w:p>
        </w:tc>
        <w:tc>
          <w:tcPr>
            <w:tcW w:w="7560" w:type="dxa"/>
            <w:noWrap/>
            <w:vAlign w:val="center"/>
            <w:hideMark/>
          </w:tcPr>
          <w:p w14:paraId="1E59DFA0" w14:textId="77777777" w:rsidR="006118E2" w:rsidRPr="00787679" w:rsidRDefault="006118E2" w:rsidP="00696E8F">
            <w:pPr>
              <w:rPr>
                <w:rFonts w:cs="Arial"/>
                <w:color w:val="000000"/>
              </w:rPr>
            </w:pPr>
            <w:r w:rsidRPr="00787679">
              <w:rPr>
                <w:rFonts w:cs="Arial"/>
                <w:color w:val="000000"/>
              </w:rPr>
              <w:t>Resection of Left Lung, Percutaneous Endoscopic Approach</w:t>
            </w:r>
          </w:p>
        </w:tc>
      </w:tr>
    </w:tbl>
    <w:p w14:paraId="7AB65A53" w14:textId="77777777" w:rsidR="00D86DAD" w:rsidRPr="009A5185" w:rsidRDefault="00D86DAD" w:rsidP="00D86DAD">
      <w:pPr>
        <w:rPr>
          <w:rFonts w:cs="Arial"/>
          <w:b/>
        </w:rPr>
      </w:pPr>
    </w:p>
    <w:p w14:paraId="40B42ECB" w14:textId="77777777" w:rsidR="00D86DAD" w:rsidRPr="009A5185" w:rsidRDefault="000E1EAA" w:rsidP="00D86DAD">
      <w:pPr>
        <w:rPr>
          <w:rFonts w:cs="Arial"/>
          <w:b/>
        </w:rPr>
      </w:pPr>
      <w:r w:rsidRPr="009A5185">
        <w:rPr>
          <w:rFonts w:cs="Arial"/>
          <w:b/>
        </w:rPr>
        <w:t>ICD-10 Malignant Tumor</w:t>
      </w:r>
      <w:r w:rsidR="00F350F1">
        <w:rPr>
          <w:rFonts w:cs="Arial"/>
          <w:b/>
        </w:rPr>
        <w:t xml:space="preserve"> and Cancer </w:t>
      </w:r>
      <w:r w:rsidR="00083E6D">
        <w:rPr>
          <w:rFonts w:cs="Arial"/>
          <w:b/>
        </w:rPr>
        <w:t>in</w:t>
      </w:r>
      <w:r w:rsidR="00F350F1">
        <w:rPr>
          <w:rFonts w:cs="Arial"/>
          <w:b/>
        </w:rPr>
        <w:t xml:space="preserve"> Situ</w:t>
      </w:r>
      <w:r w:rsidR="00D86DAD" w:rsidRPr="009A5185">
        <w:rPr>
          <w:rFonts w:cs="Arial"/>
          <w:b/>
        </w:rPr>
        <w:t xml:space="preserve"> Diagnosis Codes</w:t>
      </w:r>
    </w:p>
    <w:p w14:paraId="5B73F956" w14:textId="77777777" w:rsidR="00D86DAD" w:rsidRPr="009A5185" w:rsidRDefault="00D86DAD" w:rsidP="00D86DAD">
      <w:pPr>
        <w:rPr>
          <w:rFonts w:cs="Arial"/>
          <w:b/>
        </w:rPr>
      </w:pPr>
    </w:p>
    <w:tbl>
      <w:tblPr>
        <w:tblStyle w:val="TableGrid"/>
        <w:tblW w:w="9432" w:type="dxa"/>
        <w:tblLook w:val="04A0" w:firstRow="1" w:lastRow="0" w:firstColumn="1" w:lastColumn="0" w:noHBand="0" w:noVBand="1"/>
      </w:tblPr>
      <w:tblGrid>
        <w:gridCol w:w="1872"/>
        <w:gridCol w:w="7560"/>
      </w:tblGrid>
      <w:tr w:rsidR="00F310BA" w:rsidRPr="0004317D" w14:paraId="3DAEEF73" w14:textId="77777777" w:rsidTr="00696E8F">
        <w:trPr>
          <w:trHeight w:val="432"/>
        </w:trPr>
        <w:tc>
          <w:tcPr>
            <w:tcW w:w="1872" w:type="dxa"/>
            <w:shd w:val="clear" w:color="auto" w:fill="BFBFBF" w:themeFill="background1" w:themeFillShade="BF"/>
            <w:noWrap/>
            <w:vAlign w:val="center"/>
          </w:tcPr>
          <w:p w14:paraId="0B313F0C" w14:textId="77777777" w:rsidR="00F310BA" w:rsidRPr="0004317D" w:rsidRDefault="00F310BA" w:rsidP="00696E8F">
            <w:pPr>
              <w:rPr>
                <w:rFonts w:cs="Arial"/>
                <w:color w:val="000000"/>
              </w:rPr>
            </w:pPr>
            <w:r w:rsidRPr="0004317D">
              <w:rPr>
                <w:rFonts w:cs="Arial"/>
                <w:b/>
                <w:bCs/>
                <w:color w:val="000000"/>
              </w:rPr>
              <w:t>ICD</w:t>
            </w:r>
            <w:r>
              <w:rPr>
                <w:rFonts w:cs="Arial"/>
                <w:b/>
                <w:bCs/>
                <w:color w:val="000000"/>
              </w:rPr>
              <w:t>-</w:t>
            </w:r>
            <w:r w:rsidRPr="0004317D">
              <w:rPr>
                <w:rFonts w:cs="Arial"/>
                <w:b/>
                <w:bCs/>
                <w:color w:val="000000"/>
              </w:rPr>
              <w:t>10 Diagnosis Code</w:t>
            </w:r>
          </w:p>
        </w:tc>
        <w:tc>
          <w:tcPr>
            <w:tcW w:w="7560" w:type="dxa"/>
            <w:shd w:val="clear" w:color="auto" w:fill="BFBFBF" w:themeFill="background1" w:themeFillShade="BF"/>
            <w:noWrap/>
            <w:vAlign w:val="center"/>
          </w:tcPr>
          <w:p w14:paraId="7B4C6AED" w14:textId="77777777" w:rsidR="00F310BA" w:rsidRPr="0004317D" w:rsidRDefault="00F310BA" w:rsidP="00696E8F">
            <w:pPr>
              <w:rPr>
                <w:rFonts w:cs="Arial"/>
                <w:color w:val="000000"/>
              </w:rPr>
            </w:pPr>
            <w:r w:rsidRPr="0004317D">
              <w:rPr>
                <w:rFonts w:cs="Arial"/>
                <w:b/>
              </w:rPr>
              <w:t>Code Description</w:t>
            </w:r>
          </w:p>
        </w:tc>
      </w:tr>
      <w:tr w:rsidR="006343C6" w:rsidRPr="00787679" w14:paraId="039CC932" w14:textId="77777777" w:rsidTr="00696E8F">
        <w:trPr>
          <w:trHeight w:val="300"/>
        </w:trPr>
        <w:tc>
          <w:tcPr>
            <w:tcW w:w="1872" w:type="dxa"/>
            <w:noWrap/>
            <w:vAlign w:val="center"/>
          </w:tcPr>
          <w:p w14:paraId="7B24D13C" w14:textId="77777777" w:rsidR="006343C6" w:rsidRPr="00787679" w:rsidRDefault="006343C6" w:rsidP="00696E8F">
            <w:pPr>
              <w:rPr>
                <w:rFonts w:cs="Arial"/>
                <w:color w:val="000000"/>
              </w:rPr>
            </w:pPr>
            <w:r w:rsidRPr="00843DE8">
              <w:rPr>
                <w:rFonts w:cs="Arial"/>
                <w:color w:val="000000"/>
              </w:rPr>
              <w:t>C7A.090</w:t>
            </w:r>
          </w:p>
        </w:tc>
        <w:tc>
          <w:tcPr>
            <w:tcW w:w="7560" w:type="dxa"/>
            <w:noWrap/>
            <w:vAlign w:val="center"/>
          </w:tcPr>
          <w:p w14:paraId="4E7BEF6B" w14:textId="77777777" w:rsidR="006343C6" w:rsidRPr="00787679" w:rsidRDefault="006343C6" w:rsidP="00696E8F">
            <w:pPr>
              <w:rPr>
                <w:rFonts w:cs="Arial"/>
                <w:color w:val="000000"/>
              </w:rPr>
            </w:pPr>
            <w:r w:rsidRPr="00843DE8">
              <w:rPr>
                <w:rFonts w:cs="Arial"/>
                <w:color w:val="000000"/>
              </w:rPr>
              <w:t>Malignant carcinoid tumor of the bronchus and lung</w:t>
            </w:r>
          </w:p>
        </w:tc>
      </w:tr>
      <w:tr w:rsidR="006343C6" w:rsidRPr="00787679" w14:paraId="7CB66CDF" w14:textId="77777777" w:rsidTr="00696E8F">
        <w:trPr>
          <w:trHeight w:val="300"/>
        </w:trPr>
        <w:tc>
          <w:tcPr>
            <w:tcW w:w="1872" w:type="dxa"/>
            <w:noWrap/>
            <w:vAlign w:val="center"/>
          </w:tcPr>
          <w:p w14:paraId="30DF372A" w14:textId="77777777" w:rsidR="006343C6" w:rsidRPr="00787679" w:rsidRDefault="006343C6" w:rsidP="00696E8F">
            <w:pPr>
              <w:rPr>
                <w:rFonts w:cs="Arial"/>
                <w:color w:val="000000"/>
              </w:rPr>
            </w:pPr>
            <w:r w:rsidRPr="00843DE8">
              <w:rPr>
                <w:rFonts w:cs="Arial"/>
                <w:color w:val="000000"/>
              </w:rPr>
              <w:t>C7A.1</w:t>
            </w:r>
          </w:p>
        </w:tc>
        <w:tc>
          <w:tcPr>
            <w:tcW w:w="7560" w:type="dxa"/>
            <w:noWrap/>
            <w:vAlign w:val="center"/>
          </w:tcPr>
          <w:p w14:paraId="7E542257" w14:textId="77777777" w:rsidR="006343C6" w:rsidRPr="00787679" w:rsidRDefault="006343C6" w:rsidP="00696E8F">
            <w:pPr>
              <w:rPr>
                <w:rFonts w:cs="Arial"/>
                <w:color w:val="000000"/>
              </w:rPr>
            </w:pPr>
            <w:r w:rsidRPr="00843DE8">
              <w:rPr>
                <w:rFonts w:cs="Arial"/>
                <w:color w:val="000000"/>
              </w:rPr>
              <w:t>Malignant poorly differentiated neuroendocrine tumors</w:t>
            </w:r>
          </w:p>
        </w:tc>
      </w:tr>
      <w:tr w:rsidR="006343C6" w:rsidRPr="00787679" w14:paraId="4A68AF20" w14:textId="77777777" w:rsidTr="00696E8F">
        <w:trPr>
          <w:trHeight w:val="300"/>
        </w:trPr>
        <w:tc>
          <w:tcPr>
            <w:tcW w:w="1872" w:type="dxa"/>
            <w:noWrap/>
            <w:vAlign w:val="center"/>
          </w:tcPr>
          <w:p w14:paraId="7D7B9E38" w14:textId="77777777" w:rsidR="006343C6" w:rsidRPr="00787679" w:rsidRDefault="006343C6" w:rsidP="00696E8F">
            <w:pPr>
              <w:rPr>
                <w:rFonts w:cs="Arial"/>
                <w:color w:val="000000"/>
              </w:rPr>
            </w:pPr>
            <w:r w:rsidRPr="00843DE8">
              <w:rPr>
                <w:rFonts w:cs="Arial"/>
                <w:color w:val="000000"/>
              </w:rPr>
              <w:t>C7A.8</w:t>
            </w:r>
          </w:p>
        </w:tc>
        <w:tc>
          <w:tcPr>
            <w:tcW w:w="7560" w:type="dxa"/>
            <w:noWrap/>
            <w:vAlign w:val="center"/>
          </w:tcPr>
          <w:p w14:paraId="0A71CA40" w14:textId="77777777" w:rsidR="006343C6" w:rsidRPr="00787679" w:rsidRDefault="006343C6" w:rsidP="00696E8F">
            <w:pPr>
              <w:rPr>
                <w:rFonts w:cs="Arial"/>
                <w:color w:val="000000"/>
              </w:rPr>
            </w:pPr>
            <w:r w:rsidRPr="00843DE8">
              <w:rPr>
                <w:rFonts w:cs="Arial"/>
                <w:color w:val="000000"/>
              </w:rPr>
              <w:t>Other malignant neuroendocrine tumors</w:t>
            </w:r>
          </w:p>
        </w:tc>
      </w:tr>
      <w:tr w:rsidR="00F310BA" w:rsidRPr="00787679" w14:paraId="1001F1BA" w14:textId="77777777" w:rsidTr="00696E8F">
        <w:trPr>
          <w:trHeight w:val="300"/>
        </w:trPr>
        <w:tc>
          <w:tcPr>
            <w:tcW w:w="1872" w:type="dxa"/>
            <w:noWrap/>
            <w:vAlign w:val="center"/>
            <w:hideMark/>
          </w:tcPr>
          <w:p w14:paraId="2D13291B" w14:textId="77777777" w:rsidR="00F310BA" w:rsidRPr="00787679" w:rsidRDefault="00F310BA" w:rsidP="00696E8F">
            <w:pPr>
              <w:rPr>
                <w:rFonts w:cs="Arial"/>
                <w:color w:val="000000"/>
              </w:rPr>
            </w:pPr>
            <w:r w:rsidRPr="00787679">
              <w:rPr>
                <w:rFonts w:cs="Arial"/>
                <w:color w:val="000000"/>
              </w:rPr>
              <w:t>C34.00</w:t>
            </w:r>
          </w:p>
        </w:tc>
        <w:tc>
          <w:tcPr>
            <w:tcW w:w="7560" w:type="dxa"/>
            <w:noWrap/>
            <w:vAlign w:val="center"/>
            <w:hideMark/>
          </w:tcPr>
          <w:p w14:paraId="531CB96A" w14:textId="77777777" w:rsidR="00F310BA" w:rsidRPr="00787679" w:rsidRDefault="00F310BA" w:rsidP="00696E8F">
            <w:pPr>
              <w:rPr>
                <w:rFonts w:cs="Arial"/>
                <w:color w:val="000000"/>
              </w:rPr>
            </w:pPr>
            <w:r w:rsidRPr="00787679">
              <w:rPr>
                <w:rFonts w:cs="Arial"/>
                <w:color w:val="000000"/>
              </w:rPr>
              <w:t>Malignant neoplasm of main bronchus</w:t>
            </w:r>
          </w:p>
        </w:tc>
      </w:tr>
      <w:tr w:rsidR="00F310BA" w:rsidRPr="00787679" w14:paraId="539D0B5A" w14:textId="77777777" w:rsidTr="00696E8F">
        <w:trPr>
          <w:trHeight w:val="300"/>
        </w:trPr>
        <w:tc>
          <w:tcPr>
            <w:tcW w:w="1872" w:type="dxa"/>
            <w:noWrap/>
            <w:vAlign w:val="center"/>
            <w:hideMark/>
          </w:tcPr>
          <w:p w14:paraId="35A3145C" w14:textId="77777777" w:rsidR="00F310BA" w:rsidRPr="00787679" w:rsidRDefault="00F310BA" w:rsidP="00696E8F">
            <w:pPr>
              <w:rPr>
                <w:rFonts w:cs="Arial"/>
                <w:color w:val="000000"/>
              </w:rPr>
            </w:pPr>
            <w:r w:rsidRPr="00787679">
              <w:rPr>
                <w:rFonts w:cs="Arial"/>
                <w:color w:val="000000"/>
              </w:rPr>
              <w:t>C34.01</w:t>
            </w:r>
          </w:p>
        </w:tc>
        <w:tc>
          <w:tcPr>
            <w:tcW w:w="7560" w:type="dxa"/>
            <w:noWrap/>
            <w:vAlign w:val="center"/>
            <w:hideMark/>
          </w:tcPr>
          <w:p w14:paraId="4C50D235" w14:textId="77777777" w:rsidR="00F310BA" w:rsidRPr="00787679" w:rsidRDefault="00F310BA" w:rsidP="00696E8F">
            <w:pPr>
              <w:rPr>
                <w:rFonts w:cs="Arial"/>
                <w:color w:val="000000"/>
              </w:rPr>
            </w:pPr>
            <w:r w:rsidRPr="00787679">
              <w:rPr>
                <w:rFonts w:cs="Arial"/>
                <w:color w:val="000000"/>
              </w:rPr>
              <w:t>Malignant neoplasm of right main bronchus</w:t>
            </w:r>
          </w:p>
        </w:tc>
      </w:tr>
      <w:tr w:rsidR="00F310BA" w:rsidRPr="00787679" w14:paraId="06C0AAB7" w14:textId="77777777" w:rsidTr="00696E8F">
        <w:trPr>
          <w:trHeight w:val="300"/>
        </w:trPr>
        <w:tc>
          <w:tcPr>
            <w:tcW w:w="1872" w:type="dxa"/>
            <w:noWrap/>
            <w:vAlign w:val="center"/>
            <w:hideMark/>
          </w:tcPr>
          <w:p w14:paraId="4AC95C34" w14:textId="77777777" w:rsidR="00F310BA" w:rsidRPr="00787679" w:rsidRDefault="00F310BA" w:rsidP="00696E8F">
            <w:pPr>
              <w:rPr>
                <w:rFonts w:cs="Arial"/>
                <w:color w:val="000000"/>
              </w:rPr>
            </w:pPr>
            <w:r w:rsidRPr="00787679">
              <w:rPr>
                <w:rFonts w:cs="Arial"/>
                <w:color w:val="000000"/>
              </w:rPr>
              <w:t>C34.02</w:t>
            </w:r>
          </w:p>
        </w:tc>
        <w:tc>
          <w:tcPr>
            <w:tcW w:w="7560" w:type="dxa"/>
            <w:noWrap/>
            <w:vAlign w:val="center"/>
            <w:hideMark/>
          </w:tcPr>
          <w:p w14:paraId="29E30EEF" w14:textId="77777777" w:rsidR="00F310BA" w:rsidRPr="00787679" w:rsidRDefault="00F310BA" w:rsidP="00696E8F">
            <w:pPr>
              <w:rPr>
                <w:rFonts w:cs="Arial"/>
                <w:color w:val="000000"/>
              </w:rPr>
            </w:pPr>
            <w:r w:rsidRPr="00787679">
              <w:rPr>
                <w:rFonts w:cs="Arial"/>
                <w:color w:val="000000"/>
              </w:rPr>
              <w:t>Malignant neoplasm of left main bronchus</w:t>
            </w:r>
          </w:p>
        </w:tc>
      </w:tr>
      <w:tr w:rsidR="00F310BA" w:rsidRPr="00787679" w14:paraId="0C3C0383" w14:textId="77777777" w:rsidTr="00696E8F">
        <w:trPr>
          <w:trHeight w:val="300"/>
        </w:trPr>
        <w:tc>
          <w:tcPr>
            <w:tcW w:w="1872" w:type="dxa"/>
            <w:noWrap/>
            <w:vAlign w:val="center"/>
            <w:hideMark/>
          </w:tcPr>
          <w:p w14:paraId="2861D153" w14:textId="77777777" w:rsidR="00F310BA" w:rsidRPr="00787679" w:rsidRDefault="00F310BA" w:rsidP="00696E8F">
            <w:pPr>
              <w:rPr>
                <w:rFonts w:cs="Arial"/>
                <w:color w:val="000000"/>
              </w:rPr>
            </w:pPr>
            <w:r w:rsidRPr="00787679">
              <w:rPr>
                <w:rFonts w:cs="Arial"/>
                <w:color w:val="000000"/>
              </w:rPr>
              <w:t>C34.10</w:t>
            </w:r>
          </w:p>
        </w:tc>
        <w:tc>
          <w:tcPr>
            <w:tcW w:w="7560" w:type="dxa"/>
            <w:noWrap/>
            <w:vAlign w:val="center"/>
            <w:hideMark/>
          </w:tcPr>
          <w:p w14:paraId="4BA82263" w14:textId="77777777" w:rsidR="00F310BA" w:rsidRPr="00787679" w:rsidRDefault="00F310BA" w:rsidP="00696E8F">
            <w:pPr>
              <w:rPr>
                <w:rFonts w:cs="Arial"/>
                <w:color w:val="000000"/>
              </w:rPr>
            </w:pPr>
            <w:r w:rsidRPr="00787679">
              <w:rPr>
                <w:rFonts w:cs="Arial"/>
                <w:color w:val="000000"/>
              </w:rPr>
              <w:t>Malignant neoplasm of upper lobe, unspecified bronchus or lung</w:t>
            </w:r>
          </w:p>
        </w:tc>
      </w:tr>
      <w:tr w:rsidR="00F310BA" w:rsidRPr="00787679" w14:paraId="22C20BAB" w14:textId="77777777" w:rsidTr="00696E8F">
        <w:trPr>
          <w:trHeight w:val="300"/>
        </w:trPr>
        <w:tc>
          <w:tcPr>
            <w:tcW w:w="1872" w:type="dxa"/>
            <w:noWrap/>
            <w:vAlign w:val="center"/>
            <w:hideMark/>
          </w:tcPr>
          <w:p w14:paraId="755F805E" w14:textId="77777777" w:rsidR="00F310BA" w:rsidRPr="00787679" w:rsidRDefault="00F310BA" w:rsidP="00696E8F">
            <w:pPr>
              <w:rPr>
                <w:rFonts w:cs="Arial"/>
                <w:color w:val="000000"/>
              </w:rPr>
            </w:pPr>
            <w:r w:rsidRPr="00787679">
              <w:rPr>
                <w:rFonts w:cs="Arial"/>
                <w:color w:val="000000"/>
              </w:rPr>
              <w:t>C34.11</w:t>
            </w:r>
          </w:p>
        </w:tc>
        <w:tc>
          <w:tcPr>
            <w:tcW w:w="7560" w:type="dxa"/>
            <w:noWrap/>
            <w:vAlign w:val="center"/>
            <w:hideMark/>
          </w:tcPr>
          <w:p w14:paraId="6BCC96CC" w14:textId="77777777" w:rsidR="00F310BA" w:rsidRPr="00787679" w:rsidRDefault="00F310BA" w:rsidP="00696E8F">
            <w:pPr>
              <w:rPr>
                <w:rFonts w:cs="Arial"/>
                <w:color w:val="000000"/>
              </w:rPr>
            </w:pPr>
            <w:r w:rsidRPr="00787679">
              <w:rPr>
                <w:rFonts w:cs="Arial"/>
                <w:color w:val="000000"/>
              </w:rPr>
              <w:t>Malignant neoplasm of upper lobe, right bronchus or lung</w:t>
            </w:r>
          </w:p>
        </w:tc>
      </w:tr>
      <w:tr w:rsidR="00F310BA" w:rsidRPr="00787679" w14:paraId="74710A7B" w14:textId="77777777" w:rsidTr="00696E8F">
        <w:trPr>
          <w:trHeight w:val="300"/>
        </w:trPr>
        <w:tc>
          <w:tcPr>
            <w:tcW w:w="1872" w:type="dxa"/>
            <w:noWrap/>
            <w:vAlign w:val="center"/>
            <w:hideMark/>
          </w:tcPr>
          <w:p w14:paraId="094666D5" w14:textId="77777777" w:rsidR="00F310BA" w:rsidRPr="00787679" w:rsidRDefault="00F310BA" w:rsidP="00696E8F">
            <w:pPr>
              <w:rPr>
                <w:rFonts w:cs="Arial"/>
                <w:color w:val="000000"/>
              </w:rPr>
            </w:pPr>
            <w:r w:rsidRPr="00787679">
              <w:rPr>
                <w:rFonts w:cs="Arial"/>
                <w:color w:val="000000"/>
              </w:rPr>
              <w:t>C34.12</w:t>
            </w:r>
          </w:p>
        </w:tc>
        <w:tc>
          <w:tcPr>
            <w:tcW w:w="7560" w:type="dxa"/>
            <w:noWrap/>
            <w:vAlign w:val="center"/>
            <w:hideMark/>
          </w:tcPr>
          <w:p w14:paraId="6CE3A655" w14:textId="77777777" w:rsidR="00F310BA" w:rsidRPr="00787679" w:rsidRDefault="00F310BA" w:rsidP="00696E8F">
            <w:pPr>
              <w:rPr>
                <w:rFonts w:cs="Arial"/>
                <w:color w:val="000000"/>
              </w:rPr>
            </w:pPr>
            <w:r w:rsidRPr="00787679">
              <w:rPr>
                <w:rFonts w:cs="Arial"/>
                <w:color w:val="000000"/>
              </w:rPr>
              <w:t>Malignant neoplasm of upper lobe, left bronchus or lung</w:t>
            </w:r>
          </w:p>
        </w:tc>
      </w:tr>
      <w:tr w:rsidR="00F310BA" w:rsidRPr="00787679" w14:paraId="5F40A326" w14:textId="77777777" w:rsidTr="00696E8F">
        <w:trPr>
          <w:trHeight w:val="300"/>
        </w:trPr>
        <w:tc>
          <w:tcPr>
            <w:tcW w:w="1872" w:type="dxa"/>
            <w:noWrap/>
            <w:vAlign w:val="center"/>
            <w:hideMark/>
          </w:tcPr>
          <w:p w14:paraId="2FABF769" w14:textId="77777777" w:rsidR="00F310BA" w:rsidRPr="00787679" w:rsidRDefault="00F310BA" w:rsidP="00696E8F">
            <w:pPr>
              <w:rPr>
                <w:rFonts w:cs="Arial"/>
                <w:color w:val="000000"/>
              </w:rPr>
            </w:pPr>
            <w:r w:rsidRPr="00787679">
              <w:rPr>
                <w:rFonts w:cs="Arial"/>
                <w:color w:val="000000"/>
              </w:rPr>
              <w:t>C34.2</w:t>
            </w:r>
          </w:p>
        </w:tc>
        <w:tc>
          <w:tcPr>
            <w:tcW w:w="7560" w:type="dxa"/>
            <w:noWrap/>
            <w:vAlign w:val="center"/>
            <w:hideMark/>
          </w:tcPr>
          <w:p w14:paraId="733F522E" w14:textId="77777777" w:rsidR="00F310BA" w:rsidRPr="00787679" w:rsidRDefault="00F310BA" w:rsidP="00696E8F">
            <w:pPr>
              <w:rPr>
                <w:rFonts w:cs="Arial"/>
                <w:color w:val="000000"/>
              </w:rPr>
            </w:pPr>
            <w:r w:rsidRPr="00787679">
              <w:rPr>
                <w:rFonts w:cs="Arial"/>
                <w:color w:val="000000"/>
              </w:rPr>
              <w:t>Malignant neoplasm of middle lobe, bronchus or lung</w:t>
            </w:r>
          </w:p>
        </w:tc>
      </w:tr>
      <w:tr w:rsidR="00F310BA" w:rsidRPr="00787679" w14:paraId="34B51A1E" w14:textId="77777777" w:rsidTr="00696E8F">
        <w:trPr>
          <w:trHeight w:val="300"/>
        </w:trPr>
        <w:tc>
          <w:tcPr>
            <w:tcW w:w="1872" w:type="dxa"/>
            <w:noWrap/>
            <w:vAlign w:val="center"/>
            <w:hideMark/>
          </w:tcPr>
          <w:p w14:paraId="4DBFCD22" w14:textId="77777777" w:rsidR="00F310BA" w:rsidRPr="00787679" w:rsidRDefault="00F310BA" w:rsidP="00696E8F">
            <w:pPr>
              <w:rPr>
                <w:rFonts w:cs="Arial"/>
                <w:color w:val="000000"/>
              </w:rPr>
            </w:pPr>
            <w:r w:rsidRPr="00787679">
              <w:rPr>
                <w:rFonts w:cs="Arial"/>
                <w:color w:val="000000"/>
              </w:rPr>
              <w:t>C34.30</w:t>
            </w:r>
          </w:p>
        </w:tc>
        <w:tc>
          <w:tcPr>
            <w:tcW w:w="7560" w:type="dxa"/>
            <w:noWrap/>
            <w:vAlign w:val="center"/>
            <w:hideMark/>
          </w:tcPr>
          <w:p w14:paraId="522D7382" w14:textId="77777777" w:rsidR="00F310BA" w:rsidRPr="00787679" w:rsidRDefault="00F310BA" w:rsidP="00696E8F">
            <w:pPr>
              <w:rPr>
                <w:rFonts w:cs="Arial"/>
                <w:color w:val="000000"/>
              </w:rPr>
            </w:pPr>
            <w:r w:rsidRPr="00787679">
              <w:rPr>
                <w:rFonts w:cs="Arial"/>
                <w:color w:val="000000"/>
              </w:rPr>
              <w:t>Malignant neoplasm of lower lobe, unspecified bronchus or lung</w:t>
            </w:r>
          </w:p>
        </w:tc>
      </w:tr>
      <w:tr w:rsidR="00F310BA" w:rsidRPr="00787679" w14:paraId="73E6EAA8" w14:textId="77777777" w:rsidTr="00696E8F">
        <w:trPr>
          <w:trHeight w:val="300"/>
        </w:trPr>
        <w:tc>
          <w:tcPr>
            <w:tcW w:w="1872" w:type="dxa"/>
            <w:noWrap/>
            <w:vAlign w:val="center"/>
            <w:hideMark/>
          </w:tcPr>
          <w:p w14:paraId="22B7CD36" w14:textId="77777777" w:rsidR="00F310BA" w:rsidRPr="00787679" w:rsidRDefault="00F310BA" w:rsidP="00696E8F">
            <w:pPr>
              <w:rPr>
                <w:rFonts w:cs="Arial"/>
                <w:color w:val="000000"/>
              </w:rPr>
            </w:pPr>
            <w:r w:rsidRPr="00787679">
              <w:rPr>
                <w:rFonts w:cs="Arial"/>
                <w:color w:val="000000"/>
              </w:rPr>
              <w:t>C34.31</w:t>
            </w:r>
          </w:p>
        </w:tc>
        <w:tc>
          <w:tcPr>
            <w:tcW w:w="7560" w:type="dxa"/>
            <w:noWrap/>
            <w:vAlign w:val="center"/>
            <w:hideMark/>
          </w:tcPr>
          <w:p w14:paraId="00486212" w14:textId="77777777" w:rsidR="00F310BA" w:rsidRPr="00787679" w:rsidRDefault="00F310BA" w:rsidP="00696E8F">
            <w:pPr>
              <w:rPr>
                <w:rFonts w:cs="Arial"/>
                <w:color w:val="000000"/>
              </w:rPr>
            </w:pPr>
            <w:r w:rsidRPr="00787679">
              <w:rPr>
                <w:rFonts w:cs="Arial"/>
                <w:color w:val="000000"/>
              </w:rPr>
              <w:t>Malignant neoplasm of lower lobe, right bronchus or lung</w:t>
            </w:r>
          </w:p>
        </w:tc>
      </w:tr>
      <w:tr w:rsidR="00F310BA" w:rsidRPr="00787679" w14:paraId="1B34D902" w14:textId="77777777" w:rsidTr="00696E8F">
        <w:trPr>
          <w:trHeight w:val="300"/>
        </w:trPr>
        <w:tc>
          <w:tcPr>
            <w:tcW w:w="1872" w:type="dxa"/>
            <w:noWrap/>
            <w:vAlign w:val="center"/>
            <w:hideMark/>
          </w:tcPr>
          <w:p w14:paraId="7CC52FFB" w14:textId="77777777" w:rsidR="00F310BA" w:rsidRPr="00787679" w:rsidRDefault="00F310BA" w:rsidP="00696E8F">
            <w:pPr>
              <w:rPr>
                <w:rFonts w:cs="Arial"/>
                <w:color w:val="000000"/>
              </w:rPr>
            </w:pPr>
            <w:r w:rsidRPr="00787679">
              <w:rPr>
                <w:rFonts w:cs="Arial"/>
                <w:color w:val="000000"/>
              </w:rPr>
              <w:t>C34.32</w:t>
            </w:r>
          </w:p>
        </w:tc>
        <w:tc>
          <w:tcPr>
            <w:tcW w:w="7560" w:type="dxa"/>
            <w:noWrap/>
            <w:vAlign w:val="center"/>
            <w:hideMark/>
          </w:tcPr>
          <w:p w14:paraId="33CEAFA3" w14:textId="77777777" w:rsidR="00F310BA" w:rsidRPr="00787679" w:rsidRDefault="00F310BA" w:rsidP="00696E8F">
            <w:pPr>
              <w:rPr>
                <w:rFonts w:cs="Arial"/>
                <w:color w:val="000000"/>
              </w:rPr>
            </w:pPr>
            <w:r w:rsidRPr="00787679">
              <w:rPr>
                <w:rFonts w:cs="Arial"/>
                <w:color w:val="000000"/>
              </w:rPr>
              <w:t>Malignant neoplasm of lower lobe, left bronchus or lung</w:t>
            </w:r>
          </w:p>
        </w:tc>
      </w:tr>
      <w:tr w:rsidR="00F310BA" w:rsidRPr="00787679" w14:paraId="5BEE0B09" w14:textId="77777777" w:rsidTr="00696E8F">
        <w:trPr>
          <w:trHeight w:val="300"/>
        </w:trPr>
        <w:tc>
          <w:tcPr>
            <w:tcW w:w="1872" w:type="dxa"/>
            <w:noWrap/>
            <w:vAlign w:val="center"/>
            <w:hideMark/>
          </w:tcPr>
          <w:p w14:paraId="5575DE91" w14:textId="77777777" w:rsidR="00F310BA" w:rsidRPr="00787679" w:rsidRDefault="00F310BA" w:rsidP="00696E8F">
            <w:pPr>
              <w:rPr>
                <w:rFonts w:cs="Arial"/>
                <w:color w:val="000000"/>
              </w:rPr>
            </w:pPr>
            <w:r w:rsidRPr="00787679">
              <w:rPr>
                <w:rFonts w:cs="Arial"/>
                <w:color w:val="000000"/>
              </w:rPr>
              <w:t>C34.80</w:t>
            </w:r>
          </w:p>
        </w:tc>
        <w:tc>
          <w:tcPr>
            <w:tcW w:w="7560" w:type="dxa"/>
            <w:noWrap/>
            <w:vAlign w:val="center"/>
            <w:hideMark/>
          </w:tcPr>
          <w:p w14:paraId="25E84D66" w14:textId="77777777" w:rsidR="00F310BA" w:rsidRPr="00787679" w:rsidRDefault="00F310BA" w:rsidP="00696E8F">
            <w:pPr>
              <w:rPr>
                <w:rFonts w:cs="Arial"/>
                <w:color w:val="000000"/>
              </w:rPr>
            </w:pPr>
            <w:r w:rsidRPr="00787679">
              <w:rPr>
                <w:rFonts w:cs="Arial"/>
                <w:color w:val="000000"/>
              </w:rPr>
              <w:t>Malignant neoplasm of overlapping sites of unspecified bronchus and lung</w:t>
            </w:r>
          </w:p>
        </w:tc>
      </w:tr>
      <w:tr w:rsidR="00F310BA" w:rsidRPr="00787679" w14:paraId="7B4B3172" w14:textId="77777777" w:rsidTr="00696E8F">
        <w:trPr>
          <w:trHeight w:val="300"/>
        </w:trPr>
        <w:tc>
          <w:tcPr>
            <w:tcW w:w="1872" w:type="dxa"/>
            <w:noWrap/>
            <w:vAlign w:val="center"/>
            <w:hideMark/>
          </w:tcPr>
          <w:p w14:paraId="562A2EF6" w14:textId="77777777" w:rsidR="00F310BA" w:rsidRPr="00787679" w:rsidRDefault="00F310BA" w:rsidP="00696E8F">
            <w:pPr>
              <w:rPr>
                <w:rFonts w:cs="Arial"/>
                <w:color w:val="000000"/>
              </w:rPr>
            </w:pPr>
            <w:r w:rsidRPr="00787679">
              <w:rPr>
                <w:rFonts w:cs="Arial"/>
                <w:color w:val="000000"/>
              </w:rPr>
              <w:t>C34.81</w:t>
            </w:r>
          </w:p>
        </w:tc>
        <w:tc>
          <w:tcPr>
            <w:tcW w:w="7560" w:type="dxa"/>
            <w:noWrap/>
            <w:vAlign w:val="center"/>
            <w:hideMark/>
          </w:tcPr>
          <w:p w14:paraId="2B587347" w14:textId="77777777" w:rsidR="00F310BA" w:rsidRPr="00787679" w:rsidRDefault="00F310BA" w:rsidP="00696E8F">
            <w:pPr>
              <w:rPr>
                <w:rFonts w:cs="Arial"/>
                <w:color w:val="000000"/>
              </w:rPr>
            </w:pPr>
            <w:r w:rsidRPr="00787679">
              <w:rPr>
                <w:rFonts w:cs="Arial"/>
                <w:color w:val="000000"/>
              </w:rPr>
              <w:t>Malignant neoplasm of overlapping sites of right bronchus and lung</w:t>
            </w:r>
          </w:p>
        </w:tc>
      </w:tr>
      <w:tr w:rsidR="00F310BA" w:rsidRPr="00787679" w14:paraId="697FAE98" w14:textId="77777777" w:rsidTr="00696E8F">
        <w:trPr>
          <w:trHeight w:val="300"/>
        </w:trPr>
        <w:tc>
          <w:tcPr>
            <w:tcW w:w="1872" w:type="dxa"/>
            <w:noWrap/>
            <w:vAlign w:val="center"/>
            <w:hideMark/>
          </w:tcPr>
          <w:p w14:paraId="0EB4EDA2" w14:textId="77777777" w:rsidR="00F310BA" w:rsidRPr="00787679" w:rsidRDefault="00F310BA" w:rsidP="00696E8F">
            <w:pPr>
              <w:rPr>
                <w:rFonts w:cs="Arial"/>
                <w:color w:val="000000"/>
              </w:rPr>
            </w:pPr>
            <w:r w:rsidRPr="00787679">
              <w:rPr>
                <w:rFonts w:cs="Arial"/>
                <w:color w:val="000000"/>
              </w:rPr>
              <w:t>C34.82</w:t>
            </w:r>
          </w:p>
        </w:tc>
        <w:tc>
          <w:tcPr>
            <w:tcW w:w="7560" w:type="dxa"/>
            <w:noWrap/>
            <w:vAlign w:val="center"/>
            <w:hideMark/>
          </w:tcPr>
          <w:p w14:paraId="4E0D2635" w14:textId="77777777" w:rsidR="00F310BA" w:rsidRPr="00787679" w:rsidRDefault="00F310BA" w:rsidP="00696E8F">
            <w:pPr>
              <w:rPr>
                <w:rFonts w:cs="Arial"/>
                <w:color w:val="000000"/>
              </w:rPr>
            </w:pPr>
            <w:r w:rsidRPr="00787679">
              <w:rPr>
                <w:rFonts w:cs="Arial"/>
                <w:color w:val="000000"/>
              </w:rPr>
              <w:t>Malignant neoplasm of overlapping sites of left bronchus and lung</w:t>
            </w:r>
          </w:p>
        </w:tc>
      </w:tr>
      <w:tr w:rsidR="00F310BA" w:rsidRPr="00787679" w14:paraId="169BE344" w14:textId="77777777" w:rsidTr="00696E8F">
        <w:trPr>
          <w:trHeight w:val="300"/>
        </w:trPr>
        <w:tc>
          <w:tcPr>
            <w:tcW w:w="1872" w:type="dxa"/>
            <w:noWrap/>
            <w:vAlign w:val="center"/>
            <w:hideMark/>
          </w:tcPr>
          <w:p w14:paraId="6259FA46" w14:textId="77777777" w:rsidR="00F310BA" w:rsidRPr="00787679" w:rsidRDefault="00F310BA" w:rsidP="00696E8F">
            <w:pPr>
              <w:rPr>
                <w:rFonts w:cs="Arial"/>
                <w:color w:val="000000"/>
              </w:rPr>
            </w:pPr>
            <w:r w:rsidRPr="00787679">
              <w:rPr>
                <w:rFonts w:cs="Arial"/>
                <w:color w:val="000000"/>
              </w:rPr>
              <w:t>C34.90</w:t>
            </w:r>
          </w:p>
        </w:tc>
        <w:tc>
          <w:tcPr>
            <w:tcW w:w="7560" w:type="dxa"/>
            <w:noWrap/>
            <w:vAlign w:val="center"/>
            <w:hideMark/>
          </w:tcPr>
          <w:p w14:paraId="30E32F57" w14:textId="77777777" w:rsidR="00F310BA" w:rsidRPr="00787679" w:rsidRDefault="00F310BA" w:rsidP="00696E8F">
            <w:pPr>
              <w:rPr>
                <w:rFonts w:cs="Arial"/>
                <w:color w:val="000000"/>
              </w:rPr>
            </w:pPr>
            <w:r w:rsidRPr="00787679">
              <w:rPr>
                <w:rFonts w:cs="Arial"/>
                <w:color w:val="000000"/>
              </w:rPr>
              <w:t>Malignant neoplasm of unspecified part of unspecified bronchus or lung</w:t>
            </w:r>
          </w:p>
        </w:tc>
      </w:tr>
      <w:tr w:rsidR="00F310BA" w:rsidRPr="00787679" w14:paraId="4B67E7FE" w14:textId="77777777" w:rsidTr="00696E8F">
        <w:trPr>
          <w:trHeight w:val="300"/>
        </w:trPr>
        <w:tc>
          <w:tcPr>
            <w:tcW w:w="1872" w:type="dxa"/>
            <w:noWrap/>
            <w:vAlign w:val="center"/>
            <w:hideMark/>
          </w:tcPr>
          <w:p w14:paraId="756A6631" w14:textId="77777777" w:rsidR="00F310BA" w:rsidRPr="00787679" w:rsidRDefault="00F310BA" w:rsidP="00696E8F">
            <w:pPr>
              <w:rPr>
                <w:rFonts w:cs="Arial"/>
                <w:color w:val="000000"/>
              </w:rPr>
            </w:pPr>
            <w:r w:rsidRPr="00787679">
              <w:rPr>
                <w:rFonts w:cs="Arial"/>
                <w:color w:val="000000"/>
              </w:rPr>
              <w:t>C34.91</w:t>
            </w:r>
          </w:p>
        </w:tc>
        <w:tc>
          <w:tcPr>
            <w:tcW w:w="7560" w:type="dxa"/>
            <w:noWrap/>
            <w:vAlign w:val="center"/>
            <w:hideMark/>
          </w:tcPr>
          <w:p w14:paraId="0DDF5260" w14:textId="77777777" w:rsidR="00F310BA" w:rsidRPr="00787679" w:rsidRDefault="00F310BA" w:rsidP="00696E8F">
            <w:pPr>
              <w:rPr>
                <w:rFonts w:cs="Arial"/>
                <w:color w:val="000000"/>
              </w:rPr>
            </w:pPr>
            <w:r w:rsidRPr="00787679">
              <w:rPr>
                <w:rFonts w:cs="Arial"/>
                <w:color w:val="000000"/>
              </w:rPr>
              <w:t>Malignant neoplasm of unspecified part of right bronchus or lung</w:t>
            </w:r>
          </w:p>
        </w:tc>
      </w:tr>
      <w:tr w:rsidR="00F310BA" w:rsidRPr="00787679" w14:paraId="6910E21D" w14:textId="77777777" w:rsidTr="00696E8F">
        <w:trPr>
          <w:trHeight w:val="300"/>
        </w:trPr>
        <w:tc>
          <w:tcPr>
            <w:tcW w:w="1872" w:type="dxa"/>
            <w:noWrap/>
            <w:vAlign w:val="center"/>
            <w:hideMark/>
          </w:tcPr>
          <w:p w14:paraId="6C3BE12C" w14:textId="77777777" w:rsidR="00F310BA" w:rsidRPr="00787679" w:rsidRDefault="00F310BA" w:rsidP="00696E8F">
            <w:pPr>
              <w:rPr>
                <w:rFonts w:cs="Arial"/>
                <w:color w:val="000000"/>
              </w:rPr>
            </w:pPr>
            <w:r w:rsidRPr="00787679">
              <w:rPr>
                <w:rFonts w:cs="Arial"/>
                <w:color w:val="000000"/>
              </w:rPr>
              <w:t>C34.92</w:t>
            </w:r>
          </w:p>
        </w:tc>
        <w:tc>
          <w:tcPr>
            <w:tcW w:w="7560" w:type="dxa"/>
            <w:noWrap/>
            <w:vAlign w:val="center"/>
            <w:hideMark/>
          </w:tcPr>
          <w:p w14:paraId="503A5663" w14:textId="77777777" w:rsidR="00F310BA" w:rsidRPr="00787679" w:rsidRDefault="00F310BA" w:rsidP="00696E8F">
            <w:pPr>
              <w:rPr>
                <w:rFonts w:cs="Arial"/>
                <w:color w:val="000000"/>
              </w:rPr>
            </w:pPr>
            <w:r w:rsidRPr="00787679">
              <w:rPr>
                <w:rFonts w:cs="Arial"/>
                <w:color w:val="000000"/>
              </w:rPr>
              <w:t>Malignant neoplasm of unspecified part of left bronchus or lung</w:t>
            </w:r>
          </w:p>
        </w:tc>
      </w:tr>
      <w:tr w:rsidR="00F310BA" w:rsidRPr="00787679" w14:paraId="4393F0FE" w14:textId="77777777" w:rsidTr="00696E8F">
        <w:trPr>
          <w:trHeight w:val="300"/>
        </w:trPr>
        <w:tc>
          <w:tcPr>
            <w:tcW w:w="1872" w:type="dxa"/>
            <w:noWrap/>
            <w:vAlign w:val="center"/>
            <w:hideMark/>
          </w:tcPr>
          <w:p w14:paraId="47BF5DAF" w14:textId="77777777" w:rsidR="00F310BA" w:rsidRPr="00787679" w:rsidRDefault="00F310BA" w:rsidP="00696E8F">
            <w:pPr>
              <w:rPr>
                <w:rFonts w:cs="Arial"/>
                <w:color w:val="000000"/>
              </w:rPr>
            </w:pPr>
            <w:r w:rsidRPr="00787679">
              <w:rPr>
                <w:rFonts w:cs="Arial"/>
                <w:color w:val="000000"/>
              </w:rPr>
              <w:t>D02</w:t>
            </w:r>
            <w:r w:rsidR="00681689">
              <w:rPr>
                <w:rFonts w:cs="Arial"/>
                <w:color w:val="000000"/>
              </w:rPr>
              <w:t>.</w:t>
            </w:r>
            <w:r w:rsidRPr="00787679">
              <w:rPr>
                <w:rFonts w:cs="Arial"/>
                <w:color w:val="000000"/>
              </w:rPr>
              <w:t xml:space="preserve">20 </w:t>
            </w:r>
          </w:p>
        </w:tc>
        <w:tc>
          <w:tcPr>
            <w:tcW w:w="7560" w:type="dxa"/>
            <w:noWrap/>
            <w:vAlign w:val="center"/>
            <w:hideMark/>
          </w:tcPr>
          <w:p w14:paraId="1379D2AD" w14:textId="77777777" w:rsidR="00F310BA" w:rsidRPr="00787679" w:rsidRDefault="00F310BA" w:rsidP="00696E8F">
            <w:pPr>
              <w:rPr>
                <w:rFonts w:cs="Arial"/>
                <w:color w:val="000000"/>
              </w:rPr>
            </w:pPr>
            <w:r w:rsidRPr="00787679">
              <w:rPr>
                <w:rFonts w:cs="Arial"/>
                <w:color w:val="000000"/>
              </w:rPr>
              <w:t>Carcinoma in situ of unspecified bronchus and lung</w:t>
            </w:r>
          </w:p>
        </w:tc>
      </w:tr>
      <w:tr w:rsidR="00F310BA" w:rsidRPr="00787679" w14:paraId="63128944" w14:textId="77777777" w:rsidTr="003B4CC8">
        <w:trPr>
          <w:trHeight w:val="300"/>
        </w:trPr>
        <w:tc>
          <w:tcPr>
            <w:tcW w:w="1872" w:type="dxa"/>
            <w:noWrap/>
            <w:vAlign w:val="center"/>
            <w:hideMark/>
          </w:tcPr>
          <w:p w14:paraId="1D911851" w14:textId="77777777" w:rsidR="00F310BA" w:rsidRPr="00787679" w:rsidRDefault="00F310BA" w:rsidP="00696E8F">
            <w:pPr>
              <w:rPr>
                <w:rFonts w:cs="Arial"/>
                <w:color w:val="000000"/>
              </w:rPr>
            </w:pPr>
            <w:r w:rsidRPr="00787679">
              <w:rPr>
                <w:rFonts w:cs="Arial"/>
                <w:color w:val="000000"/>
              </w:rPr>
              <w:t>D02</w:t>
            </w:r>
            <w:r w:rsidR="00681689">
              <w:rPr>
                <w:rFonts w:cs="Arial"/>
                <w:color w:val="000000"/>
              </w:rPr>
              <w:t>.</w:t>
            </w:r>
            <w:r w:rsidRPr="00787679">
              <w:rPr>
                <w:rFonts w:cs="Arial"/>
                <w:color w:val="000000"/>
              </w:rPr>
              <w:t xml:space="preserve">21 </w:t>
            </w:r>
          </w:p>
        </w:tc>
        <w:tc>
          <w:tcPr>
            <w:tcW w:w="7560" w:type="dxa"/>
            <w:tcBorders>
              <w:bottom w:val="single" w:sz="4" w:space="0" w:color="auto"/>
            </w:tcBorders>
            <w:noWrap/>
            <w:vAlign w:val="center"/>
            <w:hideMark/>
          </w:tcPr>
          <w:p w14:paraId="625E9F4F" w14:textId="77777777" w:rsidR="00F310BA" w:rsidRPr="00787679" w:rsidRDefault="00F310BA" w:rsidP="00696E8F">
            <w:pPr>
              <w:rPr>
                <w:rFonts w:cs="Arial"/>
                <w:color w:val="000000"/>
              </w:rPr>
            </w:pPr>
            <w:r w:rsidRPr="00787679">
              <w:rPr>
                <w:rFonts w:cs="Arial"/>
                <w:color w:val="000000"/>
              </w:rPr>
              <w:t>Carcinoma in situ of right bronchus and lung</w:t>
            </w:r>
          </w:p>
        </w:tc>
      </w:tr>
      <w:tr w:rsidR="00F310BA" w:rsidRPr="00787679" w14:paraId="1EFE281A" w14:textId="77777777" w:rsidTr="003B4CC8">
        <w:trPr>
          <w:trHeight w:val="300"/>
        </w:trPr>
        <w:tc>
          <w:tcPr>
            <w:tcW w:w="1872" w:type="dxa"/>
            <w:noWrap/>
            <w:vAlign w:val="center"/>
            <w:hideMark/>
          </w:tcPr>
          <w:p w14:paraId="5928E14D" w14:textId="77777777" w:rsidR="00F310BA" w:rsidRPr="00787679" w:rsidRDefault="00F310BA" w:rsidP="00696E8F">
            <w:pPr>
              <w:rPr>
                <w:rFonts w:cs="Arial"/>
                <w:color w:val="000000"/>
              </w:rPr>
            </w:pPr>
            <w:r w:rsidRPr="00787679">
              <w:rPr>
                <w:rFonts w:cs="Arial"/>
                <w:color w:val="000000"/>
              </w:rPr>
              <w:t>D02</w:t>
            </w:r>
            <w:r w:rsidR="00681689">
              <w:rPr>
                <w:rFonts w:cs="Arial"/>
                <w:color w:val="000000"/>
              </w:rPr>
              <w:t>.</w:t>
            </w:r>
            <w:r w:rsidRPr="00787679">
              <w:rPr>
                <w:rFonts w:cs="Arial"/>
                <w:color w:val="000000"/>
              </w:rPr>
              <w:t xml:space="preserve">22 </w:t>
            </w:r>
          </w:p>
        </w:tc>
        <w:tc>
          <w:tcPr>
            <w:tcW w:w="7560" w:type="dxa"/>
            <w:tcBorders>
              <w:bottom w:val="single" w:sz="4" w:space="0" w:color="auto"/>
            </w:tcBorders>
            <w:noWrap/>
            <w:vAlign w:val="center"/>
            <w:hideMark/>
          </w:tcPr>
          <w:p w14:paraId="10581A85" w14:textId="77777777" w:rsidR="00F310BA" w:rsidRPr="00787679" w:rsidRDefault="00F310BA" w:rsidP="00696E8F">
            <w:pPr>
              <w:rPr>
                <w:rFonts w:cs="Arial"/>
                <w:color w:val="000000"/>
              </w:rPr>
            </w:pPr>
            <w:r w:rsidRPr="00787679">
              <w:rPr>
                <w:rFonts w:cs="Arial"/>
                <w:color w:val="000000"/>
              </w:rPr>
              <w:t>Carcinoma in situ of left bronchus and lung</w:t>
            </w:r>
          </w:p>
        </w:tc>
      </w:tr>
    </w:tbl>
    <w:p w14:paraId="42B41D84" w14:textId="67F0AE22" w:rsidR="00F13A61" w:rsidRPr="009A5185" w:rsidRDefault="00F13A61">
      <w:pPr>
        <w:rPr>
          <w:rFonts w:cs="Arial"/>
          <w:b/>
          <w:i/>
          <w:snapToGrid w:val="0"/>
          <w:sz w:val="24"/>
          <w:szCs w:val="24"/>
          <w:lang w:eastAsia="ja-JP"/>
        </w:rPr>
      </w:pPr>
    </w:p>
    <w:p w14:paraId="48277D95" w14:textId="77777777" w:rsidR="00485817" w:rsidRDefault="00485817" w:rsidP="00D51874">
      <w:bookmarkStart w:id="257" w:name="EsophagealResection"/>
    </w:p>
    <w:p w14:paraId="3C01329B" w14:textId="7A9F2E4A" w:rsidR="00485817" w:rsidRDefault="00485817" w:rsidP="00D51874"/>
    <w:p w14:paraId="47BFD40E" w14:textId="253CEB8F" w:rsidR="00485817" w:rsidRDefault="00485817" w:rsidP="00485817">
      <w:pPr>
        <w:rPr>
          <w:lang w:eastAsia="ja-JP"/>
        </w:rPr>
      </w:pPr>
    </w:p>
    <w:p w14:paraId="2D258FF0" w14:textId="77777777" w:rsidR="00485817" w:rsidRPr="00485817" w:rsidRDefault="00485817" w:rsidP="00485817">
      <w:pPr>
        <w:rPr>
          <w:lang w:eastAsia="ja-JP"/>
        </w:rPr>
      </w:pPr>
    </w:p>
    <w:p w14:paraId="50BA50A2" w14:textId="77777777" w:rsidR="00B615AA" w:rsidRDefault="00B615AA">
      <w:pPr>
        <w:rPr>
          <w:b/>
          <w:i/>
          <w:snapToGrid w:val="0"/>
          <w:sz w:val="24"/>
          <w:szCs w:val="24"/>
          <w:lang w:eastAsia="ja-JP"/>
        </w:rPr>
      </w:pPr>
      <w:r>
        <w:br w:type="page"/>
      </w:r>
    </w:p>
    <w:p w14:paraId="12DD216E" w14:textId="33C2A336" w:rsidR="00862093" w:rsidRPr="009A5185" w:rsidRDefault="00862093" w:rsidP="000C2C54">
      <w:pPr>
        <w:pStyle w:val="Heading44"/>
      </w:pPr>
      <w:r w:rsidRPr="009A5185">
        <w:lastRenderedPageBreak/>
        <w:t xml:space="preserve">Esophageal Resection </w:t>
      </w:r>
      <w:r w:rsidR="00C508E1" w:rsidRPr="009A5185">
        <w:t xml:space="preserve">for Cancer </w:t>
      </w:r>
      <w:r w:rsidRPr="009A5185">
        <w:t xml:space="preserve">Measure </w:t>
      </w:r>
      <w:r w:rsidR="000765C6">
        <w:t>Specifications</w:t>
      </w:r>
    </w:p>
    <w:bookmarkEnd w:id="257"/>
    <w:p w14:paraId="48582F95" w14:textId="77777777" w:rsidR="00862093" w:rsidRPr="009A5185" w:rsidRDefault="00862093" w:rsidP="00862093">
      <w:pPr>
        <w:rPr>
          <w:rFonts w:cs="Arial"/>
        </w:rPr>
      </w:pPr>
    </w:p>
    <w:p w14:paraId="7A2650ED" w14:textId="77777777" w:rsidR="00862093" w:rsidRPr="009A5185" w:rsidRDefault="00862093" w:rsidP="00862093">
      <w:pPr>
        <w:rPr>
          <w:rFonts w:cs="Arial"/>
        </w:rPr>
      </w:pPr>
      <w:r w:rsidRPr="009A5185">
        <w:rPr>
          <w:rFonts w:cs="Arial"/>
        </w:rPr>
        <w:t xml:space="preserve">For </w:t>
      </w:r>
      <w:r w:rsidR="00595F71" w:rsidRPr="009A5185">
        <w:rPr>
          <w:rFonts w:cs="Arial"/>
        </w:rPr>
        <w:t>esophageal resection for cancer</w:t>
      </w:r>
      <w:r w:rsidRPr="009A5185">
        <w:rPr>
          <w:rFonts w:cs="Arial"/>
        </w:rPr>
        <w:t>, there are two sets of IC</w:t>
      </w:r>
      <w:r w:rsidR="007550AD">
        <w:rPr>
          <w:rFonts w:cs="Arial"/>
        </w:rPr>
        <w:t>D-10 codes for counting patient discharges</w:t>
      </w:r>
      <w:r w:rsidRPr="009A5185">
        <w:rPr>
          <w:rFonts w:cs="Arial"/>
        </w:rPr>
        <w:t xml:space="preserve">. The first set of codes is to identify patients who have had the procedure. </w:t>
      </w:r>
      <w:r w:rsidR="00D7330E" w:rsidRPr="009A5185">
        <w:rPr>
          <w:rFonts w:cs="Arial"/>
        </w:rPr>
        <w:t xml:space="preserve">The second set of codes </w:t>
      </w:r>
      <w:r w:rsidRPr="009A5185">
        <w:rPr>
          <w:rFonts w:cs="Arial"/>
        </w:rPr>
        <w:t>is to identify patient</w:t>
      </w:r>
      <w:r w:rsidR="009B3ACE" w:rsidRPr="009A5185">
        <w:rPr>
          <w:rFonts w:cs="Arial"/>
        </w:rPr>
        <w:t>s</w:t>
      </w:r>
      <w:r w:rsidRPr="009A5185">
        <w:rPr>
          <w:rFonts w:cs="Arial"/>
        </w:rPr>
        <w:t xml:space="preserve"> with a specific diagnosis.</w:t>
      </w:r>
    </w:p>
    <w:p w14:paraId="2AFB8039" w14:textId="77777777" w:rsidR="00862093" w:rsidRPr="009A5185" w:rsidRDefault="00862093" w:rsidP="00862093">
      <w:pPr>
        <w:rPr>
          <w:rFonts w:cs="Arial"/>
        </w:rPr>
      </w:pPr>
    </w:p>
    <w:p w14:paraId="0D72C262" w14:textId="77777777" w:rsidR="00862093" w:rsidRPr="009A5185" w:rsidRDefault="007550AD" w:rsidP="00862093">
      <w:pPr>
        <w:rPr>
          <w:rFonts w:cs="Arial"/>
        </w:rPr>
      </w:pPr>
      <w:r>
        <w:rPr>
          <w:rFonts w:cs="Arial"/>
        </w:rPr>
        <w:t>Count the n</w:t>
      </w:r>
      <w:r w:rsidR="00862093" w:rsidRPr="009A5185">
        <w:rPr>
          <w:rFonts w:cs="Arial"/>
        </w:rPr>
        <w:t>umber of patients, age</w:t>
      </w:r>
      <w:r w:rsidR="00595F71">
        <w:rPr>
          <w:rFonts w:cs="Arial"/>
        </w:rPr>
        <w:t>s</w:t>
      </w:r>
      <w:r w:rsidR="00862093" w:rsidRPr="009A5185">
        <w:rPr>
          <w:rFonts w:cs="Arial"/>
        </w:rPr>
        <w:t xml:space="preserve"> 18 years and older, discharged with the following ICD-10 codes in any procedure field </w:t>
      </w:r>
      <w:r w:rsidR="00862093" w:rsidRPr="006904F9">
        <w:rPr>
          <w:rFonts w:cs="Arial"/>
          <w:b/>
          <w:bCs/>
        </w:rPr>
        <w:t>AND</w:t>
      </w:r>
      <w:r w:rsidR="00862093" w:rsidRPr="009A5185">
        <w:rPr>
          <w:rFonts w:cs="Arial"/>
        </w:rPr>
        <w:t xml:space="preserve"> any of the follo</w:t>
      </w:r>
      <w:r w:rsidR="00CA2BC0" w:rsidRPr="009A5185">
        <w:rPr>
          <w:rFonts w:cs="Arial"/>
        </w:rPr>
        <w:t>wing ICD-10 codes in any</w:t>
      </w:r>
      <w:r w:rsidR="00862093" w:rsidRPr="009A5185">
        <w:rPr>
          <w:rFonts w:cs="Arial"/>
        </w:rPr>
        <w:t xml:space="preserve"> diagnosis field</w:t>
      </w:r>
      <w:r w:rsidR="00BF2BFF" w:rsidRPr="009A5185">
        <w:rPr>
          <w:rFonts w:cs="Arial"/>
        </w:rPr>
        <w:t>.</w:t>
      </w:r>
    </w:p>
    <w:p w14:paraId="0697DB82" w14:textId="77777777" w:rsidR="0071568E" w:rsidRPr="009A5185" w:rsidRDefault="0071568E" w:rsidP="00862093">
      <w:pPr>
        <w:rPr>
          <w:rFonts w:cs="Arial"/>
        </w:rPr>
      </w:pPr>
    </w:p>
    <w:p w14:paraId="0ACCBCA8" w14:textId="77777777" w:rsidR="00862093" w:rsidRPr="009A5185" w:rsidRDefault="00862093" w:rsidP="00862093">
      <w:pPr>
        <w:rPr>
          <w:rFonts w:cs="Arial"/>
          <w:b/>
        </w:rPr>
      </w:pPr>
      <w:r w:rsidRPr="009A5185">
        <w:rPr>
          <w:rFonts w:cs="Arial"/>
          <w:b/>
        </w:rPr>
        <w:t xml:space="preserve">ICD-10 Esophageal Resection </w:t>
      </w:r>
      <w:r w:rsidR="00C508E1" w:rsidRPr="009A5185">
        <w:rPr>
          <w:rFonts w:cs="Arial"/>
          <w:b/>
        </w:rPr>
        <w:t xml:space="preserve">for Cancer </w:t>
      </w:r>
      <w:r w:rsidRPr="009A5185">
        <w:rPr>
          <w:rFonts w:cs="Arial"/>
          <w:b/>
        </w:rPr>
        <w:t xml:space="preserve">Procedure Codes </w:t>
      </w:r>
    </w:p>
    <w:p w14:paraId="6B6E35DF" w14:textId="77777777" w:rsidR="00862093" w:rsidRDefault="00862093" w:rsidP="00862093">
      <w:pPr>
        <w:rPr>
          <w:rFonts w:cs="Arial"/>
          <w:b/>
        </w:rPr>
      </w:pPr>
    </w:p>
    <w:tbl>
      <w:tblPr>
        <w:tblStyle w:val="TableGrid"/>
        <w:tblW w:w="9432" w:type="dxa"/>
        <w:tblLook w:val="04A0" w:firstRow="1" w:lastRow="0" w:firstColumn="1" w:lastColumn="0" w:noHBand="0" w:noVBand="1"/>
      </w:tblPr>
      <w:tblGrid>
        <w:gridCol w:w="1872"/>
        <w:gridCol w:w="7560"/>
      </w:tblGrid>
      <w:tr w:rsidR="00595F71" w:rsidRPr="0004317D" w14:paraId="6585B36E" w14:textId="77777777" w:rsidTr="00696E8F">
        <w:trPr>
          <w:trHeight w:val="432"/>
          <w:tblHeader/>
        </w:trPr>
        <w:tc>
          <w:tcPr>
            <w:tcW w:w="1872" w:type="dxa"/>
            <w:shd w:val="clear" w:color="auto" w:fill="BFBFBF" w:themeFill="background1" w:themeFillShade="BF"/>
            <w:vAlign w:val="center"/>
          </w:tcPr>
          <w:p w14:paraId="7E1598BB" w14:textId="77777777" w:rsidR="00595F71" w:rsidRPr="0004317D" w:rsidRDefault="00595F71" w:rsidP="00696E8F">
            <w:pPr>
              <w:rPr>
                <w:rFonts w:cs="Arial"/>
                <w:color w:val="000000"/>
              </w:rPr>
            </w:pPr>
            <w:r w:rsidRPr="0004317D">
              <w:rPr>
                <w:rFonts w:cs="Arial"/>
                <w:b/>
                <w:bCs/>
                <w:color w:val="000000"/>
              </w:rPr>
              <w:t>ICD</w:t>
            </w:r>
            <w:r>
              <w:rPr>
                <w:rFonts w:cs="Arial"/>
                <w:b/>
                <w:bCs/>
                <w:color w:val="000000"/>
              </w:rPr>
              <w:t>-</w:t>
            </w:r>
            <w:r w:rsidRPr="0004317D">
              <w:rPr>
                <w:rFonts w:cs="Arial"/>
                <w:b/>
                <w:bCs/>
                <w:color w:val="000000"/>
              </w:rPr>
              <w:t>10 Procedure Code</w:t>
            </w:r>
          </w:p>
        </w:tc>
        <w:tc>
          <w:tcPr>
            <w:tcW w:w="7560" w:type="dxa"/>
            <w:shd w:val="clear" w:color="auto" w:fill="BFBFBF" w:themeFill="background1" w:themeFillShade="BF"/>
            <w:vAlign w:val="center"/>
          </w:tcPr>
          <w:p w14:paraId="1D912D5B" w14:textId="77777777" w:rsidR="00595F71" w:rsidRPr="0004317D" w:rsidRDefault="00595F71" w:rsidP="00696E8F">
            <w:pPr>
              <w:rPr>
                <w:rFonts w:cs="Arial"/>
                <w:color w:val="000000"/>
              </w:rPr>
            </w:pPr>
            <w:r w:rsidRPr="0004317D">
              <w:rPr>
                <w:rFonts w:cs="Arial"/>
                <w:b/>
                <w:bCs/>
                <w:color w:val="000000"/>
              </w:rPr>
              <w:t>Code Description</w:t>
            </w:r>
          </w:p>
        </w:tc>
      </w:tr>
      <w:tr w:rsidR="00595F71" w:rsidRPr="00E97D2C" w14:paraId="0857FBD3" w14:textId="77777777" w:rsidTr="00696E8F">
        <w:trPr>
          <w:trHeight w:val="300"/>
        </w:trPr>
        <w:tc>
          <w:tcPr>
            <w:tcW w:w="1872" w:type="dxa"/>
            <w:noWrap/>
            <w:vAlign w:val="center"/>
            <w:hideMark/>
          </w:tcPr>
          <w:p w14:paraId="554165B7" w14:textId="77777777" w:rsidR="00595F71" w:rsidRPr="00E97D2C" w:rsidRDefault="00595F71" w:rsidP="00696E8F">
            <w:pPr>
              <w:rPr>
                <w:rFonts w:cs="Arial"/>
                <w:color w:val="000000"/>
              </w:rPr>
            </w:pPr>
            <w:r w:rsidRPr="00E97D2C">
              <w:rPr>
                <w:rFonts w:cs="Arial"/>
                <w:color w:val="000000"/>
              </w:rPr>
              <w:t>0D11074</w:t>
            </w:r>
          </w:p>
        </w:tc>
        <w:tc>
          <w:tcPr>
            <w:tcW w:w="7560" w:type="dxa"/>
            <w:noWrap/>
            <w:vAlign w:val="center"/>
            <w:hideMark/>
          </w:tcPr>
          <w:p w14:paraId="48E806C1" w14:textId="77777777" w:rsidR="00595F71" w:rsidRPr="00E97D2C" w:rsidRDefault="00595F71" w:rsidP="00696E8F">
            <w:pPr>
              <w:rPr>
                <w:rFonts w:cs="Arial"/>
                <w:color w:val="000000"/>
              </w:rPr>
            </w:pPr>
            <w:r w:rsidRPr="00E97D2C">
              <w:rPr>
                <w:rFonts w:cs="Arial"/>
                <w:color w:val="000000"/>
              </w:rPr>
              <w:t>Bypass Upper Esophagus to Cutaneous with Autologous Tissue Substitute, Open Approach</w:t>
            </w:r>
          </w:p>
        </w:tc>
      </w:tr>
      <w:tr w:rsidR="00595F71" w:rsidRPr="00E97D2C" w14:paraId="12E484A9" w14:textId="77777777" w:rsidTr="00696E8F">
        <w:trPr>
          <w:trHeight w:val="300"/>
        </w:trPr>
        <w:tc>
          <w:tcPr>
            <w:tcW w:w="1872" w:type="dxa"/>
            <w:noWrap/>
            <w:vAlign w:val="center"/>
            <w:hideMark/>
          </w:tcPr>
          <w:p w14:paraId="32647BBC" w14:textId="77777777" w:rsidR="00595F71" w:rsidRPr="00E97D2C" w:rsidRDefault="00595F71" w:rsidP="00696E8F">
            <w:pPr>
              <w:rPr>
                <w:rFonts w:cs="Arial"/>
                <w:color w:val="000000"/>
              </w:rPr>
            </w:pPr>
            <w:r w:rsidRPr="00E97D2C">
              <w:rPr>
                <w:rFonts w:cs="Arial"/>
                <w:color w:val="000000"/>
              </w:rPr>
              <w:t>0D11076</w:t>
            </w:r>
          </w:p>
        </w:tc>
        <w:tc>
          <w:tcPr>
            <w:tcW w:w="7560" w:type="dxa"/>
            <w:noWrap/>
            <w:vAlign w:val="center"/>
            <w:hideMark/>
          </w:tcPr>
          <w:p w14:paraId="53EBA9F8" w14:textId="77777777" w:rsidR="00595F71" w:rsidRPr="00E97D2C" w:rsidRDefault="00595F71" w:rsidP="00696E8F">
            <w:pPr>
              <w:rPr>
                <w:rFonts w:cs="Arial"/>
                <w:color w:val="000000"/>
              </w:rPr>
            </w:pPr>
            <w:r w:rsidRPr="00E97D2C">
              <w:rPr>
                <w:rFonts w:cs="Arial"/>
                <w:color w:val="000000"/>
              </w:rPr>
              <w:t>Bypass Upper Esophagus to Stomach with Autologous Tissue Substitute, Open Approach</w:t>
            </w:r>
          </w:p>
        </w:tc>
      </w:tr>
      <w:tr w:rsidR="00595F71" w:rsidRPr="00E97D2C" w14:paraId="1BE6EB4B" w14:textId="77777777" w:rsidTr="00696E8F">
        <w:trPr>
          <w:trHeight w:val="300"/>
        </w:trPr>
        <w:tc>
          <w:tcPr>
            <w:tcW w:w="1872" w:type="dxa"/>
            <w:noWrap/>
            <w:vAlign w:val="center"/>
            <w:hideMark/>
          </w:tcPr>
          <w:p w14:paraId="63C1FAA5" w14:textId="77777777" w:rsidR="00595F71" w:rsidRPr="00E97D2C" w:rsidRDefault="00595F71" w:rsidP="00696E8F">
            <w:pPr>
              <w:rPr>
                <w:rFonts w:cs="Arial"/>
                <w:color w:val="000000"/>
              </w:rPr>
            </w:pPr>
            <w:r w:rsidRPr="00E97D2C">
              <w:rPr>
                <w:rFonts w:cs="Arial"/>
                <w:color w:val="000000"/>
              </w:rPr>
              <w:t>0D11079</w:t>
            </w:r>
          </w:p>
        </w:tc>
        <w:tc>
          <w:tcPr>
            <w:tcW w:w="7560" w:type="dxa"/>
            <w:noWrap/>
            <w:vAlign w:val="center"/>
            <w:hideMark/>
          </w:tcPr>
          <w:p w14:paraId="23B96F13" w14:textId="77777777" w:rsidR="00595F71" w:rsidRPr="00E97D2C" w:rsidRDefault="00595F71" w:rsidP="00696E8F">
            <w:pPr>
              <w:rPr>
                <w:rFonts w:cs="Arial"/>
                <w:color w:val="000000"/>
              </w:rPr>
            </w:pPr>
            <w:r w:rsidRPr="00E97D2C">
              <w:rPr>
                <w:rFonts w:cs="Arial"/>
                <w:color w:val="000000"/>
              </w:rPr>
              <w:t>Bypass Upper Esophagus to Duodenum with Autologous Tissue Substitute, Open Approach</w:t>
            </w:r>
          </w:p>
        </w:tc>
      </w:tr>
      <w:tr w:rsidR="00595F71" w:rsidRPr="00E97D2C" w14:paraId="758C30BB" w14:textId="77777777" w:rsidTr="00696E8F">
        <w:trPr>
          <w:trHeight w:val="300"/>
        </w:trPr>
        <w:tc>
          <w:tcPr>
            <w:tcW w:w="1872" w:type="dxa"/>
            <w:noWrap/>
            <w:vAlign w:val="center"/>
            <w:hideMark/>
          </w:tcPr>
          <w:p w14:paraId="04DD695A" w14:textId="77777777" w:rsidR="00595F71" w:rsidRPr="00E97D2C" w:rsidRDefault="00595F71" w:rsidP="00696E8F">
            <w:pPr>
              <w:rPr>
                <w:rFonts w:cs="Arial"/>
                <w:color w:val="000000"/>
              </w:rPr>
            </w:pPr>
            <w:r w:rsidRPr="00E97D2C">
              <w:rPr>
                <w:rFonts w:cs="Arial"/>
                <w:color w:val="000000"/>
              </w:rPr>
              <w:t>0D1107A</w:t>
            </w:r>
          </w:p>
        </w:tc>
        <w:tc>
          <w:tcPr>
            <w:tcW w:w="7560" w:type="dxa"/>
            <w:noWrap/>
            <w:vAlign w:val="center"/>
            <w:hideMark/>
          </w:tcPr>
          <w:p w14:paraId="3D1F51A6" w14:textId="77777777" w:rsidR="00595F71" w:rsidRPr="00E97D2C" w:rsidRDefault="00595F71" w:rsidP="00696E8F">
            <w:pPr>
              <w:rPr>
                <w:rFonts w:cs="Arial"/>
                <w:color w:val="000000"/>
              </w:rPr>
            </w:pPr>
            <w:r w:rsidRPr="00E97D2C">
              <w:rPr>
                <w:rFonts w:cs="Arial"/>
                <w:color w:val="000000"/>
              </w:rPr>
              <w:t>Bypass Upper Esophagus to Jejunum with Autologous Tissue Substitute, Open Approach</w:t>
            </w:r>
          </w:p>
        </w:tc>
      </w:tr>
      <w:tr w:rsidR="00595F71" w:rsidRPr="00E97D2C" w14:paraId="462BC105" w14:textId="77777777" w:rsidTr="00696E8F">
        <w:trPr>
          <w:trHeight w:val="300"/>
        </w:trPr>
        <w:tc>
          <w:tcPr>
            <w:tcW w:w="1872" w:type="dxa"/>
            <w:noWrap/>
            <w:vAlign w:val="center"/>
            <w:hideMark/>
          </w:tcPr>
          <w:p w14:paraId="1E367790" w14:textId="77777777" w:rsidR="00595F71" w:rsidRPr="00E97D2C" w:rsidRDefault="00595F71" w:rsidP="00696E8F">
            <w:pPr>
              <w:rPr>
                <w:rFonts w:cs="Arial"/>
                <w:color w:val="000000"/>
              </w:rPr>
            </w:pPr>
            <w:r w:rsidRPr="00E97D2C">
              <w:rPr>
                <w:rFonts w:cs="Arial"/>
                <w:color w:val="000000"/>
              </w:rPr>
              <w:t>0D1107B</w:t>
            </w:r>
          </w:p>
        </w:tc>
        <w:tc>
          <w:tcPr>
            <w:tcW w:w="7560" w:type="dxa"/>
            <w:noWrap/>
            <w:vAlign w:val="center"/>
            <w:hideMark/>
          </w:tcPr>
          <w:p w14:paraId="2A958C15" w14:textId="77777777" w:rsidR="00595F71" w:rsidRPr="00E97D2C" w:rsidRDefault="00595F71" w:rsidP="00696E8F">
            <w:pPr>
              <w:rPr>
                <w:rFonts w:cs="Arial"/>
                <w:color w:val="000000"/>
              </w:rPr>
            </w:pPr>
            <w:r w:rsidRPr="00E97D2C">
              <w:rPr>
                <w:rFonts w:cs="Arial"/>
                <w:color w:val="000000"/>
              </w:rPr>
              <w:t>Bypass Upper Esophagus to Ileum with Autologous Tissue Substitute, Open Approach</w:t>
            </w:r>
          </w:p>
        </w:tc>
      </w:tr>
      <w:tr w:rsidR="00595F71" w:rsidRPr="00E97D2C" w14:paraId="702BAD5D" w14:textId="77777777" w:rsidTr="00696E8F">
        <w:trPr>
          <w:trHeight w:val="300"/>
        </w:trPr>
        <w:tc>
          <w:tcPr>
            <w:tcW w:w="1872" w:type="dxa"/>
            <w:noWrap/>
            <w:vAlign w:val="center"/>
            <w:hideMark/>
          </w:tcPr>
          <w:p w14:paraId="1798A9EC" w14:textId="77777777" w:rsidR="00595F71" w:rsidRPr="00E97D2C" w:rsidRDefault="00595F71" w:rsidP="00696E8F">
            <w:pPr>
              <w:rPr>
                <w:rFonts w:cs="Arial"/>
                <w:color w:val="000000"/>
              </w:rPr>
            </w:pPr>
            <w:r w:rsidRPr="00E97D2C">
              <w:rPr>
                <w:rFonts w:cs="Arial"/>
                <w:color w:val="000000"/>
              </w:rPr>
              <w:t>0D110J4</w:t>
            </w:r>
          </w:p>
        </w:tc>
        <w:tc>
          <w:tcPr>
            <w:tcW w:w="7560" w:type="dxa"/>
            <w:noWrap/>
            <w:vAlign w:val="center"/>
            <w:hideMark/>
          </w:tcPr>
          <w:p w14:paraId="56BB72B0" w14:textId="77777777" w:rsidR="00595F71" w:rsidRPr="00E97D2C" w:rsidRDefault="00595F71" w:rsidP="00696E8F">
            <w:pPr>
              <w:rPr>
                <w:rFonts w:cs="Arial"/>
                <w:color w:val="000000"/>
              </w:rPr>
            </w:pPr>
            <w:r w:rsidRPr="00E97D2C">
              <w:rPr>
                <w:rFonts w:cs="Arial"/>
                <w:color w:val="000000"/>
              </w:rPr>
              <w:t>Bypass Upper Esophagus to Cutaneous with Synthetic Substitute, Open Approach</w:t>
            </w:r>
          </w:p>
        </w:tc>
      </w:tr>
      <w:tr w:rsidR="00595F71" w:rsidRPr="00E97D2C" w14:paraId="162DC02F" w14:textId="77777777" w:rsidTr="00696E8F">
        <w:trPr>
          <w:trHeight w:val="300"/>
        </w:trPr>
        <w:tc>
          <w:tcPr>
            <w:tcW w:w="1872" w:type="dxa"/>
            <w:noWrap/>
            <w:vAlign w:val="center"/>
            <w:hideMark/>
          </w:tcPr>
          <w:p w14:paraId="56A6CA69" w14:textId="77777777" w:rsidR="00595F71" w:rsidRPr="00E97D2C" w:rsidRDefault="00595F71" w:rsidP="00696E8F">
            <w:pPr>
              <w:rPr>
                <w:rFonts w:cs="Arial"/>
                <w:color w:val="000000"/>
              </w:rPr>
            </w:pPr>
            <w:r w:rsidRPr="00E97D2C">
              <w:rPr>
                <w:rFonts w:cs="Arial"/>
                <w:color w:val="000000"/>
              </w:rPr>
              <w:t>0D110J6</w:t>
            </w:r>
          </w:p>
        </w:tc>
        <w:tc>
          <w:tcPr>
            <w:tcW w:w="7560" w:type="dxa"/>
            <w:noWrap/>
            <w:vAlign w:val="center"/>
            <w:hideMark/>
          </w:tcPr>
          <w:p w14:paraId="57B00146" w14:textId="77777777" w:rsidR="00595F71" w:rsidRPr="00E97D2C" w:rsidRDefault="00595F71" w:rsidP="00696E8F">
            <w:pPr>
              <w:rPr>
                <w:rFonts w:cs="Arial"/>
                <w:color w:val="000000"/>
              </w:rPr>
            </w:pPr>
            <w:r w:rsidRPr="00E97D2C">
              <w:rPr>
                <w:rFonts w:cs="Arial"/>
                <w:color w:val="000000"/>
              </w:rPr>
              <w:t>Bypass Upper Esophagus to Stomach with Synthetic Substitute, Open Approach</w:t>
            </w:r>
          </w:p>
        </w:tc>
      </w:tr>
      <w:tr w:rsidR="00595F71" w:rsidRPr="00E97D2C" w14:paraId="572C7930" w14:textId="77777777" w:rsidTr="00696E8F">
        <w:trPr>
          <w:trHeight w:val="300"/>
        </w:trPr>
        <w:tc>
          <w:tcPr>
            <w:tcW w:w="1872" w:type="dxa"/>
            <w:noWrap/>
            <w:vAlign w:val="center"/>
            <w:hideMark/>
          </w:tcPr>
          <w:p w14:paraId="7432982C" w14:textId="77777777" w:rsidR="00595F71" w:rsidRPr="00E97D2C" w:rsidRDefault="00595F71" w:rsidP="00696E8F">
            <w:pPr>
              <w:rPr>
                <w:rFonts w:cs="Arial"/>
                <w:color w:val="000000"/>
              </w:rPr>
            </w:pPr>
            <w:r w:rsidRPr="00E97D2C">
              <w:rPr>
                <w:rFonts w:cs="Arial"/>
                <w:color w:val="000000"/>
              </w:rPr>
              <w:t>0D110J9</w:t>
            </w:r>
          </w:p>
        </w:tc>
        <w:tc>
          <w:tcPr>
            <w:tcW w:w="7560" w:type="dxa"/>
            <w:noWrap/>
            <w:vAlign w:val="center"/>
            <w:hideMark/>
          </w:tcPr>
          <w:p w14:paraId="5404CCAA" w14:textId="77777777" w:rsidR="00595F71" w:rsidRPr="00E97D2C" w:rsidRDefault="00595F71" w:rsidP="00696E8F">
            <w:pPr>
              <w:rPr>
                <w:rFonts w:cs="Arial"/>
                <w:color w:val="000000"/>
              </w:rPr>
            </w:pPr>
            <w:r w:rsidRPr="00E97D2C">
              <w:rPr>
                <w:rFonts w:cs="Arial"/>
                <w:color w:val="000000"/>
              </w:rPr>
              <w:t>Bypass Upper Esophagus to Duodenum with Synthetic Substitute, Open Approach</w:t>
            </w:r>
          </w:p>
        </w:tc>
      </w:tr>
      <w:tr w:rsidR="00595F71" w:rsidRPr="00E97D2C" w14:paraId="0E7E0B8C" w14:textId="77777777" w:rsidTr="00696E8F">
        <w:trPr>
          <w:trHeight w:val="300"/>
        </w:trPr>
        <w:tc>
          <w:tcPr>
            <w:tcW w:w="1872" w:type="dxa"/>
            <w:noWrap/>
            <w:vAlign w:val="center"/>
            <w:hideMark/>
          </w:tcPr>
          <w:p w14:paraId="603201B3" w14:textId="77777777" w:rsidR="00595F71" w:rsidRPr="00E97D2C" w:rsidRDefault="00595F71" w:rsidP="00696E8F">
            <w:pPr>
              <w:rPr>
                <w:rFonts w:cs="Arial"/>
                <w:color w:val="000000"/>
              </w:rPr>
            </w:pPr>
            <w:r w:rsidRPr="00E97D2C">
              <w:rPr>
                <w:rFonts w:cs="Arial"/>
                <w:color w:val="000000"/>
              </w:rPr>
              <w:t>0D110JA</w:t>
            </w:r>
          </w:p>
        </w:tc>
        <w:tc>
          <w:tcPr>
            <w:tcW w:w="7560" w:type="dxa"/>
            <w:noWrap/>
            <w:vAlign w:val="center"/>
            <w:hideMark/>
          </w:tcPr>
          <w:p w14:paraId="79781301" w14:textId="77777777" w:rsidR="00595F71" w:rsidRPr="00E97D2C" w:rsidRDefault="00595F71" w:rsidP="00696E8F">
            <w:pPr>
              <w:rPr>
                <w:rFonts w:cs="Arial"/>
                <w:color w:val="000000"/>
              </w:rPr>
            </w:pPr>
            <w:r w:rsidRPr="00E97D2C">
              <w:rPr>
                <w:rFonts w:cs="Arial"/>
                <w:color w:val="000000"/>
              </w:rPr>
              <w:t>Bypass Upper Esophagus to Jejunum with Synthetic Substitute, Open Approach</w:t>
            </w:r>
          </w:p>
        </w:tc>
      </w:tr>
      <w:tr w:rsidR="00595F71" w:rsidRPr="00E97D2C" w14:paraId="3AB351F5" w14:textId="77777777" w:rsidTr="00696E8F">
        <w:trPr>
          <w:trHeight w:val="300"/>
        </w:trPr>
        <w:tc>
          <w:tcPr>
            <w:tcW w:w="1872" w:type="dxa"/>
            <w:noWrap/>
            <w:vAlign w:val="center"/>
            <w:hideMark/>
          </w:tcPr>
          <w:p w14:paraId="148DA8D8" w14:textId="77777777" w:rsidR="00595F71" w:rsidRPr="00E97D2C" w:rsidRDefault="00595F71" w:rsidP="00696E8F">
            <w:pPr>
              <w:rPr>
                <w:rFonts w:cs="Arial"/>
                <w:color w:val="000000"/>
              </w:rPr>
            </w:pPr>
            <w:r w:rsidRPr="00E97D2C">
              <w:rPr>
                <w:rFonts w:cs="Arial"/>
                <w:color w:val="000000"/>
              </w:rPr>
              <w:t>0D110JB</w:t>
            </w:r>
          </w:p>
        </w:tc>
        <w:tc>
          <w:tcPr>
            <w:tcW w:w="7560" w:type="dxa"/>
            <w:noWrap/>
            <w:vAlign w:val="center"/>
            <w:hideMark/>
          </w:tcPr>
          <w:p w14:paraId="199315AD" w14:textId="77777777" w:rsidR="00595F71" w:rsidRPr="00E97D2C" w:rsidRDefault="00595F71" w:rsidP="00696E8F">
            <w:pPr>
              <w:rPr>
                <w:rFonts w:cs="Arial"/>
                <w:color w:val="000000"/>
              </w:rPr>
            </w:pPr>
            <w:r w:rsidRPr="00E97D2C">
              <w:rPr>
                <w:rFonts w:cs="Arial"/>
                <w:color w:val="000000"/>
              </w:rPr>
              <w:t>Bypass Upper Esophagus to Ileum with Synthetic Substitute, Open Approach</w:t>
            </w:r>
          </w:p>
        </w:tc>
      </w:tr>
      <w:tr w:rsidR="00595F71" w:rsidRPr="00E97D2C" w14:paraId="1E4CE73D" w14:textId="77777777" w:rsidTr="00696E8F">
        <w:trPr>
          <w:trHeight w:val="300"/>
        </w:trPr>
        <w:tc>
          <w:tcPr>
            <w:tcW w:w="1872" w:type="dxa"/>
            <w:noWrap/>
            <w:vAlign w:val="center"/>
            <w:hideMark/>
          </w:tcPr>
          <w:p w14:paraId="0C5C021E" w14:textId="77777777" w:rsidR="00595F71" w:rsidRPr="00E97D2C" w:rsidRDefault="00595F71" w:rsidP="00696E8F">
            <w:pPr>
              <w:rPr>
                <w:rFonts w:cs="Arial"/>
                <w:color w:val="000000"/>
              </w:rPr>
            </w:pPr>
            <w:r w:rsidRPr="00E97D2C">
              <w:rPr>
                <w:rFonts w:cs="Arial"/>
                <w:color w:val="000000"/>
              </w:rPr>
              <w:t>0D110K4</w:t>
            </w:r>
          </w:p>
        </w:tc>
        <w:tc>
          <w:tcPr>
            <w:tcW w:w="7560" w:type="dxa"/>
            <w:noWrap/>
            <w:vAlign w:val="center"/>
            <w:hideMark/>
          </w:tcPr>
          <w:p w14:paraId="40C9F1C5" w14:textId="77777777" w:rsidR="00595F71" w:rsidRPr="00E97D2C" w:rsidRDefault="00595F71" w:rsidP="00696E8F">
            <w:pPr>
              <w:rPr>
                <w:rFonts w:cs="Arial"/>
                <w:color w:val="000000"/>
              </w:rPr>
            </w:pPr>
            <w:r w:rsidRPr="00E97D2C">
              <w:rPr>
                <w:rFonts w:cs="Arial"/>
                <w:color w:val="000000"/>
              </w:rPr>
              <w:t xml:space="preserve">Bypass Upper Esophagus to Cutaneous with </w:t>
            </w:r>
            <w:proofErr w:type="spellStart"/>
            <w:r w:rsidRPr="00E97D2C">
              <w:rPr>
                <w:rFonts w:cs="Arial"/>
                <w:color w:val="000000"/>
              </w:rPr>
              <w:t>Nonautologous</w:t>
            </w:r>
            <w:proofErr w:type="spellEnd"/>
            <w:r w:rsidRPr="00E97D2C">
              <w:rPr>
                <w:rFonts w:cs="Arial"/>
                <w:color w:val="000000"/>
              </w:rPr>
              <w:t xml:space="preserve"> Tissue Substitute, Open Approach</w:t>
            </w:r>
          </w:p>
        </w:tc>
      </w:tr>
      <w:tr w:rsidR="00595F71" w:rsidRPr="00E97D2C" w14:paraId="5C857BA4" w14:textId="77777777" w:rsidTr="00696E8F">
        <w:trPr>
          <w:trHeight w:val="300"/>
        </w:trPr>
        <w:tc>
          <w:tcPr>
            <w:tcW w:w="1872" w:type="dxa"/>
            <w:noWrap/>
            <w:vAlign w:val="center"/>
            <w:hideMark/>
          </w:tcPr>
          <w:p w14:paraId="074FCC61" w14:textId="77777777" w:rsidR="00595F71" w:rsidRPr="00E97D2C" w:rsidRDefault="00595F71" w:rsidP="00696E8F">
            <w:pPr>
              <w:rPr>
                <w:rFonts w:cs="Arial"/>
                <w:color w:val="000000"/>
              </w:rPr>
            </w:pPr>
            <w:r w:rsidRPr="00E97D2C">
              <w:rPr>
                <w:rFonts w:cs="Arial"/>
                <w:color w:val="000000"/>
              </w:rPr>
              <w:t>0D110K6</w:t>
            </w:r>
          </w:p>
        </w:tc>
        <w:tc>
          <w:tcPr>
            <w:tcW w:w="7560" w:type="dxa"/>
            <w:noWrap/>
            <w:vAlign w:val="center"/>
            <w:hideMark/>
          </w:tcPr>
          <w:p w14:paraId="1B606814" w14:textId="77777777" w:rsidR="00595F71" w:rsidRPr="00E97D2C" w:rsidRDefault="00595F71" w:rsidP="00696E8F">
            <w:pPr>
              <w:rPr>
                <w:rFonts w:cs="Arial"/>
                <w:color w:val="000000"/>
              </w:rPr>
            </w:pPr>
            <w:r w:rsidRPr="00E97D2C">
              <w:rPr>
                <w:rFonts w:cs="Arial"/>
                <w:color w:val="000000"/>
              </w:rPr>
              <w:t xml:space="preserve">Bypass Upper Esophagus to Stomach with </w:t>
            </w:r>
            <w:proofErr w:type="spellStart"/>
            <w:r w:rsidRPr="00E97D2C">
              <w:rPr>
                <w:rFonts w:cs="Arial"/>
                <w:color w:val="000000"/>
              </w:rPr>
              <w:t>Nonautologous</w:t>
            </w:r>
            <w:proofErr w:type="spellEnd"/>
            <w:r w:rsidRPr="00E97D2C">
              <w:rPr>
                <w:rFonts w:cs="Arial"/>
                <w:color w:val="000000"/>
              </w:rPr>
              <w:t xml:space="preserve"> Tissue Substitute, Open Approach</w:t>
            </w:r>
          </w:p>
        </w:tc>
      </w:tr>
      <w:tr w:rsidR="00595F71" w:rsidRPr="00E97D2C" w14:paraId="26DAD3BF" w14:textId="77777777" w:rsidTr="00696E8F">
        <w:trPr>
          <w:trHeight w:val="300"/>
        </w:trPr>
        <w:tc>
          <w:tcPr>
            <w:tcW w:w="1872" w:type="dxa"/>
            <w:noWrap/>
            <w:vAlign w:val="center"/>
            <w:hideMark/>
          </w:tcPr>
          <w:p w14:paraId="07E51B26" w14:textId="77777777" w:rsidR="00595F71" w:rsidRPr="00E97D2C" w:rsidRDefault="00595F71" w:rsidP="00696E8F">
            <w:pPr>
              <w:rPr>
                <w:rFonts w:cs="Arial"/>
                <w:color w:val="000000"/>
              </w:rPr>
            </w:pPr>
            <w:r w:rsidRPr="00E97D2C">
              <w:rPr>
                <w:rFonts w:cs="Arial"/>
                <w:color w:val="000000"/>
              </w:rPr>
              <w:t>0D110K9</w:t>
            </w:r>
          </w:p>
        </w:tc>
        <w:tc>
          <w:tcPr>
            <w:tcW w:w="7560" w:type="dxa"/>
            <w:noWrap/>
            <w:vAlign w:val="center"/>
            <w:hideMark/>
          </w:tcPr>
          <w:p w14:paraId="7B4F28BD" w14:textId="77777777" w:rsidR="00595F71" w:rsidRPr="00E97D2C" w:rsidRDefault="00595F71" w:rsidP="00696E8F">
            <w:pPr>
              <w:rPr>
                <w:rFonts w:cs="Arial"/>
                <w:color w:val="000000"/>
              </w:rPr>
            </w:pPr>
            <w:r w:rsidRPr="00E97D2C">
              <w:rPr>
                <w:rFonts w:cs="Arial"/>
                <w:color w:val="000000"/>
              </w:rPr>
              <w:t xml:space="preserve">Bypass Upper Esophagus to Duodenum with </w:t>
            </w:r>
            <w:proofErr w:type="spellStart"/>
            <w:r w:rsidRPr="00E97D2C">
              <w:rPr>
                <w:rFonts w:cs="Arial"/>
                <w:color w:val="000000"/>
              </w:rPr>
              <w:t>Nonautologous</w:t>
            </w:r>
            <w:proofErr w:type="spellEnd"/>
            <w:r w:rsidRPr="00E97D2C">
              <w:rPr>
                <w:rFonts w:cs="Arial"/>
                <w:color w:val="000000"/>
              </w:rPr>
              <w:t xml:space="preserve"> Tissue Substitute, Open Approach</w:t>
            </w:r>
          </w:p>
        </w:tc>
      </w:tr>
      <w:tr w:rsidR="00595F71" w:rsidRPr="00E97D2C" w14:paraId="1A4566A8" w14:textId="77777777" w:rsidTr="00696E8F">
        <w:trPr>
          <w:trHeight w:val="300"/>
        </w:trPr>
        <w:tc>
          <w:tcPr>
            <w:tcW w:w="1872" w:type="dxa"/>
            <w:noWrap/>
            <w:vAlign w:val="center"/>
            <w:hideMark/>
          </w:tcPr>
          <w:p w14:paraId="33FA0E3E" w14:textId="77777777" w:rsidR="00595F71" w:rsidRPr="00E97D2C" w:rsidRDefault="00595F71" w:rsidP="00696E8F">
            <w:pPr>
              <w:rPr>
                <w:rFonts w:cs="Arial"/>
                <w:color w:val="000000"/>
              </w:rPr>
            </w:pPr>
            <w:r w:rsidRPr="00E97D2C">
              <w:rPr>
                <w:rFonts w:cs="Arial"/>
                <w:color w:val="000000"/>
              </w:rPr>
              <w:t>0D110KA</w:t>
            </w:r>
          </w:p>
        </w:tc>
        <w:tc>
          <w:tcPr>
            <w:tcW w:w="7560" w:type="dxa"/>
            <w:noWrap/>
            <w:vAlign w:val="center"/>
            <w:hideMark/>
          </w:tcPr>
          <w:p w14:paraId="1B0141C8" w14:textId="77777777" w:rsidR="00595F71" w:rsidRPr="00E97D2C" w:rsidRDefault="00595F71" w:rsidP="00696E8F">
            <w:pPr>
              <w:rPr>
                <w:rFonts w:cs="Arial"/>
                <w:color w:val="000000"/>
              </w:rPr>
            </w:pPr>
            <w:r w:rsidRPr="00E97D2C">
              <w:rPr>
                <w:rFonts w:cs="Arial"/>
                <w:color w:val="000000"/>
              </w:rPr>
              <w:t xml:space="preserve">Bypass Upper Esophagus to Jejunum with </w:t>
            </w:r>
            <w:proofErr w:type="spellStart"/>
            <w:r w:rsidRPr="00E97D2C">
              <w:rPr>
                <w:rFonts w:cs="Arial"/>
                <w:color w:val="000000"/>
              </w:rPr>
              <w:t>Nonautologous</w:t>
            </w:r>
            <w:proofErr w:type="spellEnd"/>
            <w:r w:rsidRPr="00E97D2C">
              <w:rPr>
                <w:rFonts w:cs="Arial"/>
                <w:color w:val="000000"/>
              </w:rPr>
              <w:t xml:space="preserve"> Tissue Substitute, Open Approach</w:t>
            </w:r>
          </w:p>
        </w:tc>
      </w:tr>
      <w:tr w:rsidR="00595F71" w:rsidRPr="00E97D2C" w14:paraId="6D23A93A" w14:textId="77777777" w:rsidTr="00696E8F">
        <w:trPr>
          <w:trHeight w:val="300"/>
        </w:trPr>
        <w:tc>
          <w:tcPr>
            <w:tcW w:w="1872" w:type="dxa"/>
            <w:noWrap/>
            <w:vAlign w:val="center"/>
            <w:hideMark/>
          </w:tcPr>
          <w:p w14:paraId="737FFC11" w14:textId="77777777" w:rsidR="00595F71" w:rsidRPr="00E97D2C" w:rsidRDefault="00595F71" w:rsidP="00696E8F">
            <w:pPr>
              <w:rPr>
                <w:rFonts w:cs="Arial"/>
                <w:color w:val="000000"/>
              </w:rPr>
            </w:pPr>
            <w:r w:rsidRPr="00E97D2C">
              <w:rPr>
                <w:rFonts w:cs="Arial"/>
                <w:color w:val="000000"/>
              </w:rPr>
              <w:t>0D110KB</w:t>
            </w:r>
          </w:p>
        </w:tc>
        <w:tc>
          <w:tcPr>
            <w:tcW w:w="7560" w:type="dxa"/>
            <w:noWrap/>
            <w:vAlign w:val="center"/>
            <w:hideMark/>
          </w:tcPr>
          <w:p w14:paraId="0FF60B7E" w14:textId="77777777" w:rsidR="00595F71" w:rsidRPr="00E97D2C" w:rsidRDefault="00595F71" w:rsidP="00696E8F">
            <w:pPr>
              <w:rPr>
                <w:rFonts w:cs="Arial"/>
                <w:color w:val="000000"/>
              </w:rPr>
            </w:pPr>
            <w:r w:rsidRPr="00E97D2C">
              <w:rPr>
                <w:rFonts w:cs="Arial"/>
                <w:color w:val="000000"/>
              </w:rPr>
              <w:t xml:space="preserve">Bypass Upper Esophagus to Ileum with </w:t>
            </w:r>
            <w:proofErr w:type="spellStart"/>
            <w:r w:rsidRPr="00E97D2C">
              <w:rPr>
                <w:rFonts w:cs="Arial"/>
                <w:color w:val="000000"/>
              </w:rPr>
              <w:t>Nonautologous</w:t>
            </w:r>
            <w:proofErr w:type="spellEnd"/>
            <w:r w:rsidRPr="00E97D2C">
              <w:rPr>
                <w:rFonts w:cs="Arial"/>
                <w:color w:val="000000"/>
              </w:rPr>
              <w:t xml:space="preserve"> Tissue Substitute, Open Approach</w:t>
            </w:r>
          </w:p>
        </w:tc>
      </w:tr>
      <w:tr w:rsidR="00595F71" w:rsidRPr="00E97D2C" w14:paraId="0FEE995F" w14:textId="77777777" w:rsidTr="00696E8F">
        <w:trPr>
          <w:trHeight w:val="300"/>
        </w:trPr>
        <w:tc>
          <w:tcPr>
            <w:tcW w:w="1872" w:type="dxa"/>
            <w:noWrap/>
            <w:vAlign w:val="center"/>
            <w:hideMark/>
          </w:tcPr>
          <w:p w14:paraId="0C2008B7" w14:textId="77777777" w:rsidR="00595F71" w:rsidRPr="00E97D2C" w:rsidRDefault="00595F71" w:rsidP="00696E8F">
            <w:pPr>
              <w:rPr>
                <w:rFonts w:cs="Arial"/>
                <w:color w:val="000000"/>
              </w:rPr>
            </w:pPr>
            <w:r w:rsidRPr="00E97D2C">
              <w:rPr>
                <w:rFonts w:cs="Arial"/>
                <w:color w:val="000000"/>
              </w:rPr>
              <w:t>0D110Z4</w:t>
            </w:r>
          </w:p>
        </w:tc>
        <w:tc>
          <w:tcPr>
            <w:tcW w:w="7560" w:type="dxa"/>
            <w:noWrap/>
            <w:vAlign w:val="center"/>
            <w:hideMark/>
          </w:tcPr>
          <w:p w14:paraId="43FB04A9" w14:textId="77777777" w:rsidR="00595F71" w:rsidRPr="00E97D2C" w:rsidRDefault="00595F71" w:rsidP="00696E8F">
            <w:pPr>
              <w:rPr>
                <w:rFonts w:cs="Arial"/>
                <w:color w:val="000000"/>
              </w:rPr>
            </w:pPr>
            <w:r w:rsidRPr="00E97D2C">
              <w:rPr>
                <w:rFonts w:cs="Arial"/>
                <w:color w:val="000000"/>
              </w:rPr>
              <w:t>Bypass Upper Esophagus to Cutaneous, Open Approach</w:t>
            </w:r>
          </w:p>
        </w:tc>
      </w:tr>
      <w:tr w:rsidR="00595F71" w:rsidRPr="00E97D2C" w14:paraId="6DF45C7B" w14:textId="77777777" w:rsidTr="00696E8F">
        <w:trPr>
          <w:trHeight w:val="300"/>
        </w:trPr>
        <w:tc>
          <w:tcPr>
            <w:tcW w:w="1872" w:type="dxa"/>
            <w:noWrap/>
            <w:vAlign w:val="center"/>
            <w:hideMark/>
          </w:tcPr>
          <w:p w14:paraId="4F7E7A0C" w14:textId="77777777" w:rsidR="00595F71" w:rsidRPr="00E97D2C" w:rsidRDefault="00595F71" w:rsidP="00696E8F">
            <w:pPr>
              <w:rPr>
                <w:rFonts w:cs="Arial"/>
                <w:color w:val="000000"/>
              </w:rPr>
            </w:pPr>
            <w:r w:rsidRPr="00E97D2C">
              <w:rPr>
                <w:rFonts w:cs="Arial"/>
                <w:color w:val="000000"/>
              </w:rPr>
              <w:t>0D110Z6</w:t>
            </w:r>
          </w:p>
        </w:tc>
        <w:tc>
          <w:tcPr>
            <w:tcW w:w="7560" w:type="dxa"/>
            <w:noWrap/>
            <w:vAlign w:val="center"/>
            <w:hideMark/>
          </w:tcPr>
          <w:p w14:paraId="421D0277" w14:textId="77777777" w:rsidR="00595F71" w:rsidRPr="00E97D2C" w:rsidRDefault="00595F71" w:rsidP="00696E8F">
            <w:pPr>
              <w:rPr>
                <w:rFonts w:cs="Arial"/>
                <w:color w:val="000000"/>
              </w:rPr>
            </w:pPr>
            <w:r w:rsidRPr="00E97D2C">
              <w:rPr>
                <w:rFonts w:cs="Arial"/>
                <w:color w:val="000000"/>
              </w:rPr>
              <w:t>Bypass Upper Esophagus to Stomach, Open Approach</w:t>
            </w:r>
          </w:p>
        </w:tc>
      </w:tr>
      <w:tr w:rsidR="00595F71" w:rsidRPr="00E97D2C" w14:paraId="35D076A1" w14:textId="77777777" w:rsidTr="00696E8F">
        <w:trPr>
          <w:trHeight w:val="300"/>
        </w:trPr>
        <w:tc>
          <w:tcPr>
            <w:tcW w:w="1872" w:type="dxa"/>
            <w:noWrap/>
            <w:vAlign w:val="center"/>
            <w:hideMark/>
          </w:tcPr>
          <w:p w14:paraId="528CBEF0" w14:textId="77777777" w:rsidR="00595F71" w:rsidRPr="00E97D2C" w:rsidRDefault="00595F71" w:rsidP="00696E8F">
            <w:pPr>
              <w:rPr>
                <w:rFonts w:cs="Arial"/>
                <w:color w:val="000000"/>
              </w:rPr>
            </w:pPr>
            <w:r w:rsidRPr="00E97D2C">
              <w:rPr>
                <w:rFonts w:cs="Arial"/>
                <w:color w:val="000000"/>
              </w:rPr>
              <w:t>0D110Z9</w:t>
            </w:r>
          </w:p>
        </w:tc>
        <w:tc>
          <w:tcPr>
            <w:tcW w:w="7560" w:type="dxa"/>
            <w:noWrap/>
            <w:vAlign w:val="center"/>
            <w:hideMark/>
          </w:tcPr>
          <w:p w14:paraId="7C85D886" w14:textId="77777777" w:rsidR="00595F71" w:rsidRPr="00E97D2C" w:rsidRDefault="00595F71" w:rsidP="00696E8F">
            <w:pPr>
              <w:rPr>
                <w:rFonts w:cs="Arial"/>
                <w:color w:val="000000"/>
              </w:rPr>
            </w:pPr>
            <w:r w:rsidRPr="00E97D2C">
              <w:rPr>
                <w:rFonts w:cs="Arial"/>
                <w:color w:val="000000"/>
              </w:rPr>
              <w:t>Bypass Upper Esophagus to Duodenum, Open Approach</w:t>
            </w:r>
          </w:p>
        </w:tc>
      </w:tr>
      <w:tr w:rsidR="00595F71" w:rsidRPr="00E97D2C" w14:paraId="109A5394" w14:textId="77777777" w:rsidTr="00696E8F">
        <w:trPr>
          <w:trHeight w:val="300"/>
        </w:trPr>
        <w:tc>
          <w:tcPr>
            <w:tcW w:w="1872" w:type="dxa"/>
            <w:noWrap/>
            <w:vAlign w:val="center"/>
            <w:hideMark/>
          </w:tcPr>
          <w:p w14:paraId="1963D256" w14:textId="77777777" w:rsidR="00595F71" w:rsidRPr="00E97D2C" w:rsidRDefault="00595F71" w:rsidP="00696E8F">
            <w:pPr>
              <w:rPr>
                <w:rFonts w:cs="Arial"/>
                <w:color w:val="000000"/>
              </w:rPr>
            </w:pPr>
            <w:r w:rsidRPr="00E97D2C">
              <w:rPr>
                <w:rFonts w:cs="Arial"/>
                <w:color w:val="000000"/>
              </w:rPr>
              <w:t>0D110ZA</w:t>
            </w:r>
          </w:p>
        </w:tc>
        <w:tc>
          <w:tcPr>
            <w:tcW w:w="7560" w:type="dxa"/>
            <w:noWrap/>
            <w:vAlign w:val="center"/>
            <w:hideMark/>
          </w:tcPr>
          <w:p w14:paraId="2588EA89" w14:textId="77777777" w:rsidR="00595F71" w:rsidRPr="00E97D2C" w:rsidRDefault="00595F71" w:rsidP="00696E8F">
            <w:pPr>
              <w:rPr>
                <w:rFonts w:cs="Arial"/>
                <w:color w:val="000000"/>
              </w:rPr>
            </w:pPr>
            <w:r w:rsidRPr="00E97D2C">
              <w:rPr>
                <w:rFonts w:cs="Arial"/>
                <w:color w:val="000000"/>
              </w:rPr>
              <w:t>Bypass Upper Esophagus to Jejunum, Open Approach</w:t>
            </w:r>
          </w:p>
        </w:tc>
      </w:tr>
      <w:tr w:rsidR="00595F71" w:rsidRPr="00E97D2C" w14:paraId="6ECC0241" w14:textId="77777777" w:rsidTr="00696E8F">
        <w:trPr>
          <w:trHeight w:val="300"/>
        </w:trPr>
        <w:tc>
          <w:tcPr>
            <w:tcW w:w="1872" w:type="dxa"/>
            <w:noWrap/>
            <w:vAlign w:val="center"/>
            <w:hideMark/>
          </w:tcPr>
          <w:p w14:paraId="0B850506" w14:textId="77777777" w:rsidR="00595F71" w:rsidRPr="00E97D2C" w:rsidRDefault="00595F71" w:rsidP="00696E8F">
            <w:pPr>
              <w:rPr>
                <w:rFonts w:cs="Arial"/>
                <w:color w:val="000000"/>
              </w:rPr>
            </w:pPr>
            <w:r w:rsidRPr="00E97D2C">
              <w:rPr>
                <w:rFonts w:cs="Arial"/>
                <w:color w:val="000000"/>
              </w:rPr>
              <w:t>0D110ZB</w:t>
            </w:r>
          </w:p>
        </w:tc>
        <w:tc>
          <w:tcPr>
            <w:tcW w:w="7560" w:type="dxa"/>
            <w:noWrap/>
            <w:vAlign w:val="center"/>
            <w:hideMark/>
          </w:tcPr>
          <w:p w14:paraId="091E69C3" w14:textId="77777777" w:rsidR="00595F71" w:rsidRPr="00E97D2C" w:rsidRDefault="00595F71" w:rsidP="00696E8F">
            <w:pPr>
              <w:rPr>
                <w:rFonts w:cs="Arial"/>
                <w:color w:val="000000"/>
              </w:rPr>
            </w:pPr>
            <w:r w:rsidRPr="00E97D2C">
              <w:rPr>
                <w:rFonts w:cs="Arial"/>
                <w:color w:val="000000"/>
              </w:rPr>
              <w:t>Bypass Upper Esophagus to Ileum, Open Approach</w:t>
            </w:r>
          </w:p>
        </w:tc>
      </w:tr>
      <w:tr w:rsidR="00595F71" w:rsidRPr="00E97D2C" w14:paraId="688BC14B" w14:textId="77777777" w:rsidTr="00696E8F">
        <w:trPr>
          <w:trHeight w:val="300"/>
        </w:trPr>
        <w:tc>
          <w:tcPr>
            <w:tcW w:w="1872" w:type="dxa"/>
            <w:noWrap/>
            <w:vAlign w:val="center"/>
            <w:hideMark/>
          </w:tcPr>
          <w:p w14:paraId="237F5C18" w14:textId="77777777" w:rsidR="00595F71" w:rsidRPr="00E97D2C" w:rsidRDefault="00595F71" w:rsidP="00696E8F">
            <w:pPr>
              <w:rPr>
                <w:rFonts w:cs="Arial"/>
                <w:color w:val="000000"/>
              </w:rPr>
            </w:pPr>
            <w:r w:rsidRPr="00E97D2C">
              <w:rPr>
                <w:rFonts w:cs="Arial"/>
                <w:color w:val="000000"/>
              </w:rPr>
              <w:t>0D113J4</w:t>
            </w:r>
          </w:p>
        </w:tc>
        <w:tc>
          <w:tcPr>
            <w:tcW w:w="7560" w:type="dxa"/>
            <w:noWrap/>
            <w:vAlign w:val="center"/>
            <w:hideMark/>
          </w:tcPr>
          <w:p w14:paraId="67FCCE85" w14:textId="77777777" w:rsidR="00595F71" w:rsidRPr="00E97D2C" w:rsidRDefault="00595F71" w:rsidP="00696E8F">
            <w:pPr>
              <w:rPr>
                <w:rFonts w:cs="Arial"/>
                <w:color w:val="000000"/>
              </w:rPr>
            </w:pPr>
            <w:r w:rsidRPr="00E97D2C">
              <w:rPr>
                <w:rFonts w:cs="Arial"/>
                <w:color w:val="000000"/>
              </w:rPr>
              <w:t>Bypass Upper Esophagus to Cutaneous with Synthetic Substitute, Percutaneous Approach</w:t>
            </w:r>
          </w:p>
        </w:tc>
      </w:tr>
      <w:tr w:rsidR="00595F71" w:rsidRPr="00E97D2C" w14:paraId="3A3D817B" w14:textId="77777777" w:rsidTr="00696E8F">
        <w:trPr>
          <w:trHeight w:val="300"/>
        </w:trPr>
        <w:tc>
          <w:tcPr>
            <w:tcW w:w="1872" w:type="dxa"/>
            <w:noWrap/>
            <w:vAlign w:val="center"/>
            <w:hideMark/>
          </w:tcPr>
          <w:p w14:paraId="5483598C" w14:textId="77777777" w:rsidR="00595F71" w:rsidRPr="00E97D2C" w:rsidRDefault="00595F71" w:rsidP="00696E8F">
            <w:pPr>
              <w:rPr>
                <w:rFonts w:cs="Arial"/>
                <w:color w:val="000000"/>
              </w:rPr>
            </w:pPr>
            <w:r w:rsidRPr="00E97D2C">
              <w:rPr>
                <w:rFonts w:cs="Arial"/>
                <w:color w:val="000000"/>
              </w:rPr>
              <w:t>0D11474</w:t>
            </w:r>
          </w:p>
        </w:tc>
        <w:tc>
          <w:tcPr>
            <w:tcW w:w="7560" w:type="dxa"/>
            <w:noWrap/>
            <w:vAlign w:val="center"/>
            <w:hideMark/>
          </w:tcPr>
          <w:p w14:paraId="4E0F4100" w14:textId="77777777" w:rsidR="00595F71" w:rsidRPr="00E97D2C" w:rsidRDefault="00595F71" w:rsidP="00696E8F">
            <w:pPr>
              <w:rPr>
                <w:rFonts w:cs="Arial"/>
                <w:color w:val="000000"/>
              </w:rPr>
            </w:pPr>
            <w:r w:rsidRPr="00E97D2C">
              <w:rPr>
                <w:rFonts w:cs="Arial"/>
                <w:color w:val="000000"/>
              </w:rPr>
              <w:t>Bypass Upper Esophagus to Cutaneous with Autologous Tissue Substitute, Percutaneous Endoscopic Approach</w:t>
            </w:r>
          </w:p>
        </w:tc>
      </w:tr>
      <w:tr w:rsidR="00595F71" w:rsidRPr="00E97D2C" w14:paraId="59C20297" w14:textId="77777777" w:rsidTr="00696E8F">
        <w:trPr>
          <w:trHeight w:val="300"/>
        </w:trPr>
        <w:tc>
          <w:tcPr>
            <w:tcW w:w="1872" w:type="dxa"/>
            <w:noWrap/>
            <w:vAlign w:val="center"/>
            <w:hideMark/>
          </w:tcPr>
          <w:p w14:paraId="649D1569" w14:textId="77777777" w:rsidR="00595F71" w:rsidRPr="00E97D2C" w:rsidRDefault="00595F71" w:rsidP="00696E8F">
            <w:pPr>
              <w:rPr>
                <w:rFonts w:cs="Arial"/>
                <w:color w:val="000000"/>
              </w:rPr>
            </w:pPr>
            <w:r w:rsidRPr="00E97D2C">
              <w:rPr>
                <w:rFonts w:cs="Arial"/>
                <w:color w:val="000000"/>
              </w:rPr>
              <w:t>0D11476</w:t>
            </w:r>
          </w:p>
        </w:tc>
        <w:tc>
          <w:tcPr>
            <w:tcW w:w="7560" w:type="dxa"/>
            <w:noWrap/>
            <w:vAlign w:val="center"/>
            <w:hideMark/>
          </w:tcPr>
          <w:p w14:paraId="794B5327" w14:textId="77777777" w:rsidR="00595F71" w:rsidRPr="00E97D2C" w:rsidRDefault="00595F71" w:rsidP="00696E8F">
            <w:pPr>
              <w:rPr>
                <w:rFonts w:cs="Arial"/>
                <w:color w:val="000000"/>
              </w:rPr>
            </w:pPr>
            <w:r w:rsidRPr="00E97D2C">
              <w:rPr>
                <w:rFonts w:cs="Arial"/>
                <w:color w:val="000000"/>
              </w:rPr>
              <w:t>Bypass Upper Esophagus to Stomach with Autologous Tissue Substitute, Percutaneous Endoscopic Approach</w:t>
            </w:r>
          </w:p>
        </w:tc>
      </w:tr>
      <w:tr w:rsidR="00595F71" w:rsidRPr="00E97D2C" w14:paraId="0024BCF6" w14:textId="77777777" w:rsidTr="00696E8F">
        <w:trPr>
          <w:trHeight w:val="300"/>
        </w:trPr>
        <w:tc>
          <w:tcPr>
            <w:tcW w:w="1872" w:type="dxa"/>
            <w:noWrap/>
            <w:vAlign w:val="center"/>
            <w:hideMark/>
          </w:tcPr>
          <w:p w14:paraId="02EA4BC7" w14:textId="77777777" w:rsidR="00595F71" w:rsidRPr="00E97D2C" w:rsidRDefault="00595F71" w:rsidP="00696E8F">
            <w:pPr>
              <w:rPr>
                <w:rFonts w:cs="Arial"/>
                <w:color w:val="000000"/>
              </w:rPr>
            </w:pPr>
            <w:r w:rsidRPr="00E97D2C">
              <w:rPr>
                <w:rFonts w:cs="Arial"/>
                <w:color w:val="000000"/>
              </w:rPr>
              <w:t>0D11479</w:t>
            </w:r>
          </w:p>
        </w:tc>
        <w:tc>
          <w:tcPr>
            <w:tcW w:w="7560" w:type="dxa"/>
            <w:noWrap/>
            <w:vAlign w:val="center"/>
            <w:hideMark/>
          </w:tcPr>
          <w:p w14:paraId="7169BA80" w14:textId="77777777" w:rsidR="00595F71" w:rsidRPr="00E97D2C" w:rsidRDefault="00595F71" w:rsidP="00696E8F">
            <w:pPr>
              <w:rPr>
                <w:rFonts w:cs="Arial"/>
                <w:color w:val="000000"/>
              </w:rPr>
            </w:pPr>
            <w:r w:rsidRPr="00E97D2C">
              <w:rPr>
                <w:rFonts w:cs="Arial"/>
                <w:color w:val="000000"/>
              </w:rPr>
              <w:t>Bypass Upper Esophagus to Duodenum with Autologous Tissue Substitute, Percutaneous Endoscopic Approach</w:t>
            </w:r>
          </w:p>
        </w:tc>
      </w:tr>
      <w:tr w:rsidR="00595F71" w:rsidRPr="00E97D2C" w14:paraId="6B56FFCC" w14:textId="77777777" w:rsidTr="00696E8F">
        <w:trPr>
          <w:trHeight w:val="300"/>
        </w:trPr>
        <w:tc>
          <w:tcPr>
            <w:tcW w:w="1872" w:type="dxa"/>
            <w:noWrap/>
            <w:vAlign w:val="center"/>
            <w:hideMark/>
          </w:tcPr>
          <w:p w14:paraId="1C71E889" w14:textId="77777777" w:rsidR="00595F71" w:rsidRPr="00E97D2C" w:rsidRDefault="00595F71" w:rsidP="00696E8F">
            <w:pPr>
              <w:rPr>
                <w:rFonts w:cs="Arial"/>
                <w:color w:val="000000"/>
              </w:rPr>
            </w:pPr>
            <w:r w:rsidRPr="00E97D2C">
              <w:rPr>
                <w:rFonts w:cs="Arial"/>
                <w:color w:val="000000"/>
              </w:rPr>
              <w:t>0D1147A</w:t>
            </w:r>
          </w:p>
        </w:tc>
        <w:tc>
          <w:tcPr>
            <w:tcW w:w="7560" w:type="dxa"/>
            <w:noWrap/>
            <w:vAlign w:val="center"/>
            <w:hideMark/>
          </w:tcPr>
          <w:p w14:paraId="58F287F7" w14:textId="77777777" w:rsidR="00595F71" w:rsidRPr="00E97D2C" w:rsidRDefault="00595F71" w:rsidP="00696E8F">
            <w:pPr>
              <w:rPr>
                <w:rFonts w:cs="Arial"/>
                <w:color w:val="000000"/>
              </w:rPr>
            </w:pPr>
            <w:r w:rsidRPr="00E97D2C">
              <w:rPr>
                <w:rFonts w:cs="Arial"/>
                <w:color w:val="000000"/>
              </w:rPr>
              <w:t>Bypass Upper Esophagus to Jejunum with Autologous Tissue Substitute, Percutaneous Endoscopic Approach</w:t>
            </w:r>
          </w:p>
        </w:tc>
      </w:tr>
      <w:tr w:rsidR="00595F71" w:rsidRPr="00E97D2C" w14:paraId="5B50F54F" w14:textId="77777777" w:rsidTr="00696E8F">
        <w:trPr>
          <w:trHeight w:val="300"/>
        </w:trPr>
        <w:tc>
          <w:tcPr>
            <w:tcW w:w="1872" w:type="dxa"/>
            <w:noWrap/>
            <w:vAlign w:val="center"/>
            <w:hideMark/>
          </w:tcPr>
          <w:p w14:paraId="03A012A0" w14:textId="77777777" w:rsidR="00595F71" w:rsidRPr="00E97D2C" w:rsidRDefault="00595F71" w:rsidP="00696E8F">
            <w:pPr>
              <w:rPr>
                <w:rFonts w:cs="Arial"/>
                <w:color w:val="000000"/>
              </w:rPr>
            </w:pPr>
            <w:r w:rsidRPr="00E97D2C">
              <w:rPr>
                <w:rFonts w:cs="Arial"/>
                <w:color w:val="000000"/>
              </w:rPr>
              <w:lastRenderedPageBreak/>
              <w:t>0D1147B</w:t>
            </w:r>
          </w:p>
        </w:tc>
        <w:tc>
          <w:tcPr>
            <w:tcW w:w="7560" w:type="dxa"/>
            <w:noWrap/>
            <w:vAlign w:val="center"/>
            <w:hideMark/>
          </w:tcPr>
          <w:p w14:paraId="2EF72B9D" w14:textId="77777777" w:rsidR="00595F71" w:rsidRPr="00E97D2C" w:rsidRDefault="00595F71" w:rsidP="00696E8F">
            <w:pPr>
              <w:rPr>
                <w:rFonts w:cs="Arial"/>
                <w:color w:val="000000"/>
              </w:rPr>
            </w:pPr>
            <w:r w:rsidRPr="00E97D2C">
              <w:rPr>
                <w:rFonts w:cs="Arial"/>
                <w:color w:val="000000"/>
              </w:rPr>
              <w:t>Bypass Upper Esophagus to Ileum with Autologous Tissue Substitute, Percutaneous Endoscopic Approach</w:t>
            </w:r>
          </w:p>
        </w:tc>
      </w:tr>
      <w:tr w:rsidR="00595F71" w:rsidRPr="00E97D2C" w14:paraId="7B410E62" w14:textId="77777777" w:rsidTr="00696E8F">
        <w:trPr>
          <w:trHeight w:val="300"/>
        </w:trPr>
        <w:tc>
          <w:tcPr>
            <w:tcW w:w="1872" w:type="dxa"/>
            <w:noWrap/>
            <w:vAlign w:val="center"/>
            <w:hideMark/>
          </w:tcPr>
          <w:p w14:paraId="4BDFB848" w14:textId="77777777" w:rsidR="00595F71" w:rsidRPr="00E97D2C" w:rsidRDefault="00595F71" w:rsidP="00696E8F">
            <w:pPr>
              <w:rPr>
                <w:rFonts w:cs="Arial"/>
                <w:color w:val="000000"/>
              </w:rPr>
            </w:pPr>
            <w:r w:rsidRPr="00E97D2C">
              <w:rPr>
                <w:rFonts w:cs="Arial"/>
                <w:color w:val="000000"/>
              </w:rPr>
              <w:t>0D114J4</w:t>
            </w:r>
          </w:p>
        </w:tc>
        <w:tc>
          <w:tcPr>
            <w:tcW w:w="7560" w:type="dxa"/>
            <w:noWrap/>
            <w:vAlign w:val="center"/>
            <w:hideMark/>
          </w:tcPr>
          <w:p w14:paraId="60AD812A" w14:textId="77777777" w:rsidR="00595F71" w:rsidRPr="00E97D2C" w:rsidRDefault="00595F71" w:rsidP="00696E8F">
            <w:pPr>
              <w:rPr>
                <w:rFonts w:cs="Arial"/>
                <w:color w:val="000000"/>
              </w:rPr>
            </w:pPr>
            <w:r w:rsidRPr="00E97D2C">
              <w:rPr>
                <w:rFonts w:cs="Arial"/>
                <w:color w:val="000000"/>
              </w:rPr>
              <w:t>Bypass Upper Esophagus to Cutaneous with Synthetic Substitute, Percutaneous Endoscopic Approach</w:t>
            </w:r>
          </w:p>
        </w:tc>
      </w:tr>
      <w:tr w:rsidR="00595F71" w:rsidRPr="00E97D2C" w14:paraId="0B99EF16" w14:textId="77777777" w:rsidTr="00696E8F">
        <w:trPr>
          <w:trHeight w:val="300"/>
        </w:trPr>
        <w:tc>
          <w:tcPr>
            <w:tcW w:w="1872" w:type="dxa"/>
            <w:noWrap/>
            <w:vAlign w:val="center"/>
            <w:hideMark/>
          </w:tcPr>
          <w:p w14:paraId="09D1B58C" w14:textId="77777777" w:rsidR="00595F71" w:rsidRPr="00E97D2C" w:rsidRDefault="00595F71" w:rsidP="00696E8F">
            <w:pPr>
              <w:rPr>
                <w:rFonts w:cs="Arial"/>
                <w:color w:val="000000"/>
              </w:rPr>
            </w:pPr>
            <w:r w:rsidRPr="00E97D2C">
              <w:rPr>
                <w:rFonts w:cs="Arial"/>
                <w:color w:val="000000"/>
              </w:rPr>
              <w:t>0D114J6</w:t>
            </w:r>
          </w:p>
        </w:tc>
        <w:tc>
          <w:tcPr>
            <w:tcW w:w="7560" w:type="dxa"/>
            <w:noWrap/>
            <w:vAlign w:val="center"/>
            <w:hideMark/>
          </w:tcPr>
          <w:p w14:paraId="4D2E7DB9" w14:textId="77777777" w:rsidR="00595F71" w:rsidRPr="00E97D2C" w:rsidRDefault="00595F71" w:rsidP="00696E8F">
            <w:pPr>
              <w:rPr>
                <w:rFonts w:cs="Arial"/>
                <w:color w:val="000000"/>
              </w:rPr>
            </w:pPr>
            <w:r w:rsidRPr="00E97D2C">
              <w:rPr>
                <w:rFonts w:cs="Arial"/>
                <w:color w:val="000000"/>
              </w:rPr>
              <w:t>Bypass Upper Esophagus to Stomach with Synthetic Substitute, Percutaneous Endoscopic Approach</w:t>
            </w:r>
          </w:p>
        </w:tc>
      </w:tr>
      <w:tr w:rsidR="00595F71" w:rsidRPr="00E97D2C" w14:paraId="706A54C1" w14:textId="77777777" w:rsidTr="00696E8F">
        <w:trPr>
          <w:trHeight w:val="300"/>
        </w:trPr>
        <w:tc>
          <w:tcPr>
            <w:tcW w:w="1872" w:type="dxa"/>
            <w:noWrap/>
            <w:vAlign w:val="center"/>
            <w:hideMark/>
          </w:tcPr>
          <w:p w14:paraId="2B75E068" w14:textId="77777777" w:rsidR="00595F71" w:rsidRPr="00E97D2C" w:rsidRDefault="00595F71" w:rsidP="00696E8F">
            <w:pPr>
              <w:rPr>
                <w:rFonts w:cs="Arial"/>
                <w:color w:val="000000"/>
              </w:rPr>
            </w:pPr>
            <w:r w:rsidRPr="00E97D2C">
              <w:rPr>
                <w:rFonts w:cs="Arial"/>
                <w:color w:val="000000"/>
              </w:rPr>
              <w:t>0D114J9</w:t>
            </w:r>
          </w:p>
        </w:tc>
        <w:tc>
          <w:tcPr>
            <w:tcW w:w="7560" w:type="dxa"/>
            <w:noWrap/>
            <w:vAlign w:val="center"/>
            <w:hideMark/>
          </w:tcPr>
          <w:p w14:paraId="642EBF36" w14:textId="77777777" w:rsidR="00595F71" w:rsidRPr="00E97D2C" w:rsidRDefault="00595F71" w:rsidP="00696E8F">
            <w:pPr>
              <w:rPr>
                <w:rFonts w:cs="Arial"/>
                <w:color w:val="000000"/>
              </w:rPr>
            </w:pPr>
            <w:r w:rsidRPr="00E97D2C">
              <w:rPr>
                <w:rFonts w:cs="Arial"/>
                <w:color w:val="000000"/>
              </w:rPr>
              <w:t>Bypass Upper Esophagus to Duodenum with Synthetic Substitute, Percutaneous Endoscopic Approach</w:t>
            </w:r>
          </w:p>
        </w:tc>
      </w:tr>
      <w:tr w:rsidR="00595F71" w:rsidRPr="00E97D2C" w14:paraId="3FE24A70" w14:textId="77777777" w:rsidTr="00696E8F">
        <w:trPr>
          <w:trHeight w:val="300"/>
        </w:trPr>
        <w:tc>
          <w:tcPr>
            <w:tcW w:w="1872" w:type="dxa"/>
            <w:noWrap/>
            <w:vAlign w:val="center"/>
            <w:hideMark/>
          </w:tcPr>
          <w:p w14:paraId="3A425DA9" w14:textId="77777777" w:rsidR="00595F71" w:rsidRPr="00E97D2C" w:rsidRDefault="00595F71" w:rsidP="00696E8F">
            <w:pPr>
              <w:rPr>
                <w:rFonts w:cs="Arial"/>
                <w:color w:val="000000"/>
              </w:rPr>
            </w:pPr>
            <w:r w:rsidRPr="00E97D2C">
              <w:rPr>
                <w:rFonts w:cs="Arial"/>
                <w:color w:val="000000"/>
              </w:rPr>
              <w:t>0D114JA</w:t>
            </w:r>
          </w:p>
        </w:tc>
        <w:tc>
          <w:tcPr>
            <w:tcW w:w="7560" w:type="dxa"/>
            <w:noWrap/>
            <w:vAlign w:val="center"/>
            <w:hideMark/>
          </w:tcPr>
          <w:p w14:paraId="1F0FE574" w14:textId="77777777" w:rsidR="00595F71" w:rsidRPr="00E97D2C" w:rsidRDefault="00595F71" w:rsidP="00696E8F">
            <w:pPr>
              <w:rPr>
                <w:rFonts w:cs="Arial"/>
                <w:color w:val="000000"/>
              </w:rPr>
            </w:pPr>
            <w:r w:rsidRPr="00E97D2C">
              <w:rPr>
                <w:rFonts w:cs="Arial"/>
                <w:color w:val="000000"/>
              </w:rPr>
              <w:t>Bypass Upper Esophagus to Jejunum with Synthetic Substitute, Percutaneous Endoscopic Approach</w:t>
            </w:r>
          </w:p>
        </w:tc>
      </w:tr>
      <w:tr w:rsidR="00595F71" w:rsidRPr="00E97D2C" w14:paraId="21320708" w14:textId="77777777" w:rsidTr="00696E8F">
        <w:trPr>
          <w:trHeight w:val="300"/>
        </w:trPr>
        <w:tc>
          <w:tcPr>
            <w:tcW w:w="1872" w:type="dxa"/>
            <w:noWrap/>
            <w:vAlign w:val="center"/>
            <w:hideMark/>
          </w:tcPr>
          <w:p w14:paraId="674E8679" w14:textId="77777777" w:rsidR="00595F71" w:rsidRPr="00E97D2C" w:rsidRDefault="00595F71" w:rsidP="00696E8F">
            <w:pPr>
              <w:rPr>
                <w:rFonts w:cs="Arial"/>
                <w:color w:val="000000"/>
              </w:rPr>
            </w:pPr>
            <w:r w:rsidRPr="00E97D2C">
              <w:rPr>
                <w:rFonts w:cs="Arial"/>
                <w:color w:val="000000"/>
              </w:rPr>
              <w:t>0D114JB</w:t>
            </w:r>
          </w:p>
        </w:tc>
        <w:tc>
          <w:tcPr>
            <w:tcW w:w="7560" w:type="dxa"/>
            <w:noWrap/>
            <w:vAlign w:val="center"/>
            <w:hideMark/>
          </w:tcPr>
          <w:p w14:paraId="4A89BD5A" w14:textId="77777777" w:rsidR="00595F71" w:rsidRPr="00E97D2C" w:rsidRDefault="00595F71" w:rsidP="00696E8F">
            <w:pPr>
              <w:rPr>
                <w:rFonts w:cs="Arial"/>
                <w:color w:val="000000"/>
              </w:rPr>
            </w:pPr>
            <w:r w:rsidRPr="00E97D2C">
              <w:rPr>
                <w:rFonts w:cs="Arial"/>
                <w:color w:val="000000"/>
              </w:rPr>
              <w:t>Bypass Upper Esophagus to Ileum with Synthetic Substitute, Percutaneous Endoscopic Approach</w:t>
            </w:r>
          </w:p>
        </w:tc>
      </w:tr>
      <w:tr w:rsidR="00595F71" w:rsidRPr="00E97D2C" w14:paraId="5F84958D" w14:textId="77777777" w:rsidTr="00696E8F">
        <w:trPr>
          <w:trHeight w:val="300"/>
        </w:trPr>
        <w:tc>
          <w:tcPr>
            <w:tcW w:w="1872" w:type="dxa"/>
            <w:noWrap/>
            <w:vAlign w:val="center"/>
            <w:hideMark/>
          </w:tcPr>
          <w:p w14:paraId="17446F83" w14:textId="77777777" w:rsidR="00595F71" w:rsidRPr="00E97D2C" w:rsidRDefault="00595F71" w:rsidP="00696E8F">
            <w:pPr>
              <w:rPr>
                <w:rFonts w:cs="Arial"/>
                <w:color w:val="000000"/>
              </w:rPr>
            </w:pPr>
            <w:r w:rsidRPr="00E97D2C">
              <w:rPr>
                <w:rFonts w:cs="Arial"/>
                <w:color w:val="000000"/>
              </w:rPr>
              <w:t>0D114K4</w:t>
            </w:r>
          </w:p>
        </w:tc>
        <w:tc>
          <w:tcPr>
            <w:tcW w:w="7560" w:type="dxa"/>
            <w:noWrap/>
            <w:vAlign w:val="center"/>
            <w:hideMark/>
          </w:tcPr>
          <w:p w14:paraId="3776B182" w14:textId="77777777" w:rsidR="00595F71" w:rsidRPr="00E97D2C" w:rsidRDefault="00595F71" w:rsidP="00696E8F">
            <w:pPr>
              <w:rPr>
                <w:rFonts w:cs="Arial"/>
                <w:color w:val="000000"/>
              </w:rPr>
            </w:pPr>
            <w:r w:rsidRPr="00E97D2C">
              <w:rPr>
                <w:rFonts w:cs="Arial"/>
                <w:color w:val="000000"/>
              </w:rPr>
              <w:t xml:space="preserve">Bypass Upper Esophagus to Cutaneous with </w:t>
            </w:r>
            <w:proofErr w:type="spellStart"/>
            <w:r w:rsidRPr="00E97D2C">
              <w:rPr>
                <w:rFonts w:cs="Arial"/>
                <w:color w:val="000000"/>
              </w:rPr>
              <w:t>Nonautologous</w:t>
            </w:r>
            <w:proofErr w:type="spellEnd"/>
            <w:r w:rsidRPr="00E97D2C">
              <w:rPr>
                <w:rFonts w:cs="Arial"/>
                <w:color w:val="000000"/>
              </w:rPr>
              <w:t xml:space="preserve"> Tissue Substitute, Percutaneous Endoscopic Approach</w:t>
            </w:r>
          </w:p>
        </w:tc>
      </w:tr>
      <w:tr w:rsidR="00595F71" w:rsidRPr="00E97D2C" w14:paraId="0B9C5C39" w14:textId="77777777" w:rsidTr="00696E8F">
        <w:trPr>
          <w:trHeight w:val="300"/>
        </w:trPr>
        <w:tc>
          <w:tcPr>
            <w:tcW w:w="1872" w:type="dxa"/>
            <w:noWrap/>
            <w:vAlign w:val="center"/>
            <w:hideMark/>
          </w:tcPr>
          <w:p w14:paraId="7C6A2D71" w14:textId="77777777" w:rsidR="00595F71" w:rsidRPr="00E97D2C" w:rsidRDefault="00595F71" w:rsidP="00696E8F">
            <w:pPr>
              <w:rPr>
                <w:rFonts w:cs="Arial"/>
                <w:color w:val="000000"/>
              </w:rPr>
            </w:pPr>
            <w:r w:rsidRPr="00E97D2C">
              <w:rPr>
                <w:rFonts w:cs="Arial"/>
                <w:color w:val="000000"/>
              </w:rPr>
              <w:t>0D114K6</w:t>
            </w:r>
          </w:p>
        </w:tc>
        <w:tc>
          <w:tcPr>
            <w:tcW w:w="7560" w:type="dxa"/>
            <w:noWrap/>
            <w:vAlign w:val="center"/>
            <w:hideMark/>
          </w:tcPr>
          <w:p w14:paraId="105E457C" w14:textId="77777777" w:rsidR="00595F71" w:rsidRPr="00E97D2C" w:rsidRDefault="00595F71" w:rsidP="00696E8F">
            <w:pPr>
              <w:rPr>
                <w:rFonts w:cs="Arial"/>
                <w:color w:val="000000"/>
              </w:rPr>
            </w:pPr>
            <w:r w:rsidRPr="00E97D2C">
              <w:rPr>
                <w:rFonts w:cs="Arial"/>
                <w:color w:val="000000"/>
              </w:rPr>
              <w:t xml:space="preserve">Bypass Upper Esophagus to Stomach with </w:t>
            </w:r>
            <w:proofErr w:type="spellStart"/>
            <w:r w:rsidRPr="00E97D2C">
              <w:rPr>
                <w:rFonts w:cs="Arial"/>
                <w:color w:val="000000"/>
              </w:rPr>
              <w:t>Nonautologous</w:t>
            </w:r>
            <w:proofErr w:type="spellEnd"/>
            <w:r w:rsidRPr="00E97D2C">
              <w:rPr>
                <w:rFonts w:cs="Arial"/>
                <w:color w:val="000000"/>
              </w:rPr>
              <w:t xml:space="preserve"> Tissue Substitute, Percutaneous Endoscopic Approach</w:t>
            </w:r>
          </w:p>
        </w:tc>
      </w:tr>
      <w:tr w:rsidR="00595F71" w:rsidRPr="00E97D2C" w14:paraId="3E58F284" w14:textId="77777777" w:rsidTr="00696E8F">
        <w:trPr>
          <w:trHeight w:val="300"/>
        </w:trPr>
        <w:tc>
          <w:tcPr>
            <w:tcW w:w="1872" w:type="dxa"/>
            <w:noWrap/>
            <w:vAlign w:val="center"/>
            <w:hideMark/>
          </w:tcPr>
          <w:p w14:paraId="088AB6B3" w14:textId="77777777" w:rsidR="00595F71" w:rsidRPr="00E97D2C" w:rsidRDefault="00595F71" w:rsidP="00696E8F">
            <w:pPr>
              <w:rPr>
                <w:rFonts w:cs="Arial"/>
                <w:color w:val="000000"/>
              </w:rPr>
            </w:pPr>
            <w:r w:rsidRPr="00E97D2C">
              <w:rPr>
                <w:rFonts w:cs="Arial"/>
                <w:color w:val="000000"/>
              </w:rPr>
              <w:t>0D114K9</w:t>
            </w:r>
          </w:p>
        </w:tc>
        <w:tc>
          <w:tcPr>
            <w:tcW w:w="7560" w:type="dxa"/>
            <w:noWrap/>
            <w:vAlign w:val="center"/>
            <w:hideMark/>
          </w:tcPr>
          <w:p w14:paraId="4C8FA926" w14:textId="77777777" w:rsidR="00595F71" w:rsidRPr="00E97D2C" w:rsidRDefault="00595F71" w:rsidP="00696E8F">
            <w:pPr>
              <w:rPr>
                <w:rFonts w:cs="Arial"/>
                <w:color w:val="000000"/>
              </w:rPr>
            </w:pPr>
            <w:r w:rsidRPr="00E97D2C">
              <w:rPr>
                <w:rFonts w:cs="Arial"/>
                <w:color w:val="000000"/>
              </w:rPr>
              <w:t xml:space="preserve">Bypass Upper Esophagus to Duodenum with </w:t>
            </w:r>
            <w:proofErr w:type="spellStart"/>
            <w:r w:rsidRPr="00E97D2C">
              <w:rPr>
                <w:rFonts w:cs="Arial"/>
                <w:color w:val="000000"/>
              </w:rPr>
              <w:t>Nonautologous</w:t>
            </w:r>
            <w:proofErr w:type="spellEnd"/>
            <w:r w:rsidRPr="00E97D2C">
              <w:rPr>
                <w:rFonts w:cs="Arial"/>
                <w:color w:val="000000"/>
              </w:rPr>
              <w:t xml:space="preserve"> Tissue Substitute, Percutaneous Endoscopic Approach</w:t>
            </w:r>
          </w:p>
        </w:tc>
      </w:tr>
      <w:tr w:rsidR="00595F71" w:rsidRPr="00E97D2C" w14:paraId="705DAC0A" w14:textId="77777777" w:rsidTr="00696E8F">
        <w:trPr>
          <w:trHeight w:val="300"/>
        </w:trPr>
        <w:tc>
          <w:tcPr>
            <w:tcW w:w="1872" w:type="dxa"/>
            <w:noWrap/>
            <w:vAlign w:val="center"/>
            <w:hideMark/>
          </w:tcPr>
          <w:p w14:paraId="755C9861" w14:textId="77777777" w:rsidR="00595F71" w:rsidRPr="00E97D2C" w:rsidRDefault="00595F71" w:rsidP="00696E8F">
            <w:pPr>
              <w:rPr>
                <w:rFonts w:cs="Arial"/>
                <w:color w:val="000000"/>
              </w:rPr>
            </w:pPr>
            <w:r w:rsidRPr="00E97D2C">
              <w:rPr>
                <w:rFonts w:cs="Arial"/>
                <w:color w:val="000000"/>
              </w:rPr>
              <w:t>0D114KA</w:t>
            </w:r>
          </w:p>
        </w:tc>
        <w:tc>
          <w:tcPr>
            <w:tcW w:w="7560" w:type="dxa"/>
            <w:noWrap/>
            <w:vAlign w:val="center"/>
            <w:hideMark/>
          </w:tcPr>
          <w:p w14:paraId="7C4EA6B0" w14:textId="77777777" w:rsidR="00595F71" w:rsidRPr="00E97D2C" w:rsidRDefault="00595F71" w:rsidP="00696E8F">
            <w:pPr>
              <w:rPr>
                <w:rFonts w:cs="Arial"/>
                <w:color w:val="000000"/>
              </w:rPr>
            </w:pPr>
            <w:r w:rsidRPr="00E97D2C">
              <w:rPr>
                <w:rFonts w:cs="Arial"/>
                <w:color w:val="000000"/>
              </w:rPr>
              <w:t xml:space="preserve">Bypass Upper Esophagus to Jejunum with </w:t>
            </w:r>
            <w:proofErr w:type="spellStart"/>
            <w:r w:rsidRPr="00E97D2C">
              <w:rPr>
                <w:rFonts w:cs="Arial"/>
                <w:color w:val="000000"/>
              </w:rPr>
              <w:t>Nonautologous</w:t>
            </w:r>
            <w:proofErr w:type="spellEnd"/>
            <w:r w:rsidRPr="00E97D2C">
              <w:rPr>
                <w:rFonts w:cs="Arial"/>
                <w:color w:val="000000"/>
              </w:rPr>
              <w:t xml:space="preserve"> Tissue Substitute, Percutaneous Endoscopic Approach</w:t>
            </w:r>
          </w:p>
        </w:tc>
      </w:tr>
      <w:tr w:rsidR="00595F71" w:rsidRPr="00E97D2C" w14:paraId="01AA4664" w14:textId="77777777" w:rsidTr="00696E8F">
        <w:trPr>
          <w:trHeight w:val="300"/>
        </w:trPr>
        <w:tc>
          <w:tcPr>
            <w:tcW w:w="1872" w:type="dxa"/>
            <w:noWrap/>
            <w:vAlign w:val="center"/>
            <w:hideMark/>
          </w:tcPr>
          <w:p w14:paraId="549DF072" w14:textId="77777777" w:rsidR="00595F71" w:rsidRPr="00E97D2C" w:rsidRDefault="00595F71" w:rsidP="00696E8F">
            <w:pPr>
              <w:rPr>
                <w:rFonts w:cs="Arial"/>
                <w:color w:val="000000"/>
              </w:rPr>
            </w:pPr>
            <w:r w:rsidRPr="00E97D2C">
              <w:rPr>
                <w:rFonts w:cs="Arial"/>
                <w:color w:val="000000"/>
              </w:rPr>
              <w:t>0D114KB</w:t>
            </w:r>
          </w:p>
        </w:tc>
        <w:tc>
          <w:tcPr>
            <w:tcW w:w="7560" w:type="dxa"/>
            <w:noWrap/>
            <w:vAlign w:val="center"/>
            <w:hideMark/>
          </w:tcPr>
          <w:p w14:paraId="4A1E2625" w14:textId="77777777" w:rsidR="00595F71" w:rsidRPr="00E97D2C" w:rsidRDefault="00595F71" w:rsidP="00696E8F">
            <w:pPr>
              <w:rPr>
                <w:rFonts w:cs="Arial"/>
                <w:color w:val="000000"/>
              </w:rPr>
            </w:pPr>
            <w:r w:rsidRPr="00E97D2C">
              <w:rPr>
                <w:rFonts w:cs="Arial"/>
                <w:color w:val="000000"/>
              </w:rPr>
              <w:t xml:space="preserve">Bypass Upper Esophagus to Ileum with </w:t>
            </w:r>
            <w:proofErr w:type="spellStart"/>
            <w:r w:rsidRPr="00E97D2C">
              <w:rPr>
                <w:rFonts w:cs="Arial"/>
                <w:color w:val="000000"/>
              </w:rPr>
              <w:t>Nonautologous</w:t>
            </w:r>
            <w:proofErr w:type="spellEnd"/>
            <w:r w:rsidRPr="00E97D2C">
              <w:rPr>
                <w:rFonts w:cs="Arial"/>
                <w:color w:val="000000"/>
              </w:rPr>
              <w:t xml:space="preserve"> Tissue Substitute, Percutaneous Endoscopic Approach</w:t>
            </w:r>
          </w:p>
        </w:tc>
      </w:tr>
      <w:tr w:rsidR="00595F71" w:rsidRPr="00E97D2C" w14:paraId="43EC6B40" w14:textId="77777777" w:rsidTr="00696E8F">
        <w:trPr>
          <w:trHeight w:val="300"/>
        </w:trPr>
        <w:tc>
          <w:tcPr>
            <w:tcW w:w="1872" w:type="dxa"/>
            <w:noWrap/>
            <w:vAlign w:val="center"/>
            <w:hideMark/>
          </w:tcPr>
          <w:p w14:paraId="7C5B21D9" w14:textId="77777777" w:rsidR="00595F71" w:rsidRPr="00E97D2C" w:rsidRDefault="00595F71" w:rsidP="00696E8F">
            <w:pPr>
              <w:rPr>
                <w:rFonts w:cs="Arial"/>
                <w:color w:val="000000"/>
              </w:rPr>
            </w:pPr>
            <w:r w:rsidRPr="00E97D2C">
              <w:rPr>
                <w:rFonts w:cs="Arial"/>
                <w:color w:val="000000"/>
              </w:rPr>
              <w:t>0D114Z4</w:t>
            </w:r>
          </w:p>
        </w:tc>
        <w:tc>
          <w:tcPr>
            <w:tcW w:w="7560" w:type="dxa"/>
            <w:noWrap/>
            <w:vAlign w:val="center"/>
            <w:hideMark/>
          </w:tcPr>
          <w:p w14:paraId="4F2E7286" w14:textId="77777777" w:rsidR="00595F71" w:rsidRPr="00E97D2C" w:rsidRDefault="00595F71" w:rsidP="00696E8F">
            <w:pPr>
              <w:rPr>
                <w:rFonts w:cs="Arial"/>
                <w:color w:val="000000"/>
              </w:rPr>
            </w:pPr>
            <w:r w:rsidRPr="00E97D2C">
              <w:rPr>
                <w:rFonts w:cs="Arial"/>
                <w:color w:val="000000"/>
              </w:rPr>
              <w:t>Bypass Upper Esophagus to Cutaneous, Percutaneous Endoscopic Approach</w:t>
            </w:r>
          </w:p>
        </w:tc>
      </w:tr>
      <w:tr w:rsidR="00595F71" w:rsidRPr="00E97D2C" w14:paraId="391830E4" w14:textId="77777777" w:rsidTr="00696E8F">
        <w:trPr>
          <w:trHeight w:val="300"/>
        </w:trPr>
        <w:tc>
          <w:tcPr>
            <w:tcW w:w="1872" w:type="dxa"/>
            <w:noWrap/>
            <w:vAlign w:val="center"/>
            <w:hideMark/>
          </w:tcPr>
          <w:p w14:paraId="5FDB57A8" w14:textId="77777777" w:rsidR="00595F71" w:rsidRPr="00E97D2C" w:rsidRDefault="00595F71" w:rsidP="00696E8F">
            <w:pPr>
              <w:rPr>
                <w:rFonts w:cs="Arial"/>
                <w:color w:val="000000"/>
              </w:rPr>
            </w:pPr>
            <w:r w:rsidRPr="00E97D2C">
              <w:rPr>
                <w:rFonts w:cs="Arial"/>
                <w:color w:val="000000"/>
              </w:rPr>
              <w:t>0D114Z6</w:t>
            </w:r>
          </w:p>
        </w:tc>
        <w:tc>
          <w:tcPr>
            <w:tcW w:w="7560" w:type="dxa"/>
            <w:noWrap/>
            <w:vAlign w:val="center"/>
            <w:hideMark/>
          </w:tcPr>
          <w:p w14:paraId="7CBEA6F6" w14:textId="77777777" w:rsidR="00595F71" w:rsidRPr="00E97D2C" w:rsidRDefault="00595F71" w:rsidP="00696E8F">
            <w:pPr>
              <w:rPr>
                <w:rFonts w:cs="Arial"/>
                <w:color w:val="000000"/>
              </w:rPr>
            </w:pPr>
            <w:r w:rsidRPr="00E97D2C">
              <w:rPr>
                <w:rFonts w:cs="Arial"/>
                <w:color w:val="000000"/>
              </w:rPr>
              <w:t>Bypass Upper Esophagus to Stomach, Percutaneous Endoscopic Approach</w:t>
            </w:r>
          </w:p>
        </w:tc>
      </w:tr>
      <w:tr w:rsidR="00595F71" w:rsidRPr="00E97D2C" w14:paraId="5DBD37C7" w14:textId="77777777" w:rsidTr="00696E8F">
        <w:trPr>
          <w:trHeight w:val="300"/>
        </w:trPr>
        <w:tc>
          <w:tcPr>
            <w:tcW w:w="1872" w:type="dxa"/>
            <w:noWrap/>
            <w:vAlign w:val="center"/>
            <w:hideMark/>
          </w:tcPr>
          <w:p w14:paraId="701868AD" w14:textId="77777777" w:rsidR="00595F71" w:rsidRPr="00E97D2C" w:rsidRDefault="00595F71" w:rsidP="00696E8F">
            <w:pPr>
              <w:rPr>
                <w:rFonts w:cs="Arial"/>
                <w:color w:val="000000"/>
              </w:rPr>
            </w:pPr>
            <w:r w:rsidRPr="00E97D2C">
              <w:rPr>
                <w:rFonts w:cs="Arial"/>
                <w:color w:val="000000"/>
              </w:rPr>
              <w:t>0D114Z9</w:t>
            </w:r>
          </w:p>
        </w:tc>
        <w:tc>
          <w:tcPr>
            <w:tcW w:w="7560" w:type="dxa"/>
            <w:noWrap/>
            <w:vAlign w:val="center"/>
            <w:hideMark/>
          </w:tcPr>
          <w:p w14:paraId="7374AA7B" w14:textId="77777777" w:rsidR="00595F71" w:rsidRPr="00E97D2C" w:rsidRDefault="00595F71" w:rsidP="00696E8F">
            <w:pPr>
              <w:rPr>
                <w:rFonts w:cs="Arial"/>
                <w:color w:val="000000"/>
              </w:rPr>
            </w:pPr>
            <w:r w:rsidRPr="00E97D2C">
              <w:rPr>
                <w:rFonts w:cs="Arial"/>
                <w:color w:val="000000"/>
              </w:rPr>
              <w:t>Bypass Upper Esophagus to Duodenum, Percutaneous Endoscopic Approach</w:t>
            </w:r>
          </w:p>
        </w:tc>
      </w:tr>
      <w:tr w:rsidR="00595F71" w:rsidRPr="00E97D2C" w14:paraId="05DCC495" w14:textId="77777777" w:rsidTr="00696E8F">
        <w:trPr>
          <w:trHeight w:val="300"/>
        </w:trPr>
        <w:tc>
          <w:tcPr>
            <w:tcW w:w="1872" w:type="dxa"/>
            <w:noWrap/>
            <w:vAlign w:val="center"/>
            <w:hideMark/>
          </w:tcPr>
          <w:p w14:paraId="3F11BA50" w14:textId="77777777" w:rsidR="00595F71" w:rsidRPr="00E97D2C" w:rsidRDefault="00595F71" w:rsidP="00696E8F">
            <w:pPr>
              <w:rPr>
                <w:rFonts w:cs="Arial"/>
                <w:color w:val="000000"/>
              </w:rPr>
            </w:pPr>
            <w:r w:rsidRPr="00E97D2C">
              <w:rPr>
                <w:rFonts w:cs="Arial"/>
                <w:color w:val="000000"/>
              </w:rPr>
              <w:t>0D114ZA</w:t>
            </w:r>
          </w:p>
        </w:tc>
        <w:tc>
          <w:tcPr>
            <w:tcW w:w="7560" w:type="dxa"/>
            <w:noWrap/>
            <w:vAlign w:val="center"/>
            <w:hideMark/>
          </w:tcPr>
          <w:p w14:paraId="262573EB" w14:textId="77777777" w:rsidR="00595F71" w:rsidRPr="00E97D2C" w:rsidRDefault="00595F71" w:rsidP="00696E8F">
            <w:pPr>
              <w:rPr>
                <w:rFonts w:cs="Arial"/>
                <w:color w:val="000000"/>
              </w:rPr>
            </w:pPr>
            <w:r w:rsidRPr="00E97D2C">
              <w:rPr>
                <w:rFonts w:cs="Arial"/>
                <w:color w:val="000000"/>
              </w:rPr>
              <w:t>Bypass Upper Esophagus to Jejunum, Percutaneous Endoscopic Approach</w:t>
            </w:r>
          </w:p>
        </w:tc>
      </w:tr>
      <w:tr w:rsidR="00595F71" w:rsidRPr="00E97D2C" w14:paraId="58CF8F88" w14:textId="77777777" w:rsidTr="00696E8F">
        <w:trPr>
          <w:trHeight w:val="300"/>
        </w:trPr>
        <w:tc>
          <w:tcPr>
            <w:tcW w:w="1872" w:type="dxa"/>
            <w:noWrap/>
            <w:vAlign w:val="center"/>
            <w:hideMark/>
          </w:tcPr>
          <w:p w14:paraId="016E432D" w14:textId="77777777" w:rsidR="00595F71" w:rsidRPr="00E97D2C" w:rsidRDefault="00595F71" w:rsidP="00696E8F">
            <w:pPr>
              <w:rPr>
                <w:rFonts w:cs="Arial"/>
                <w:color w:val="000000"/>
              </w:rPr>
            </w:pPr>
            <w:r w:rsidRPr="00E97D2C">
              <w:rPr>
                <w:rFonts w:cs="Arial"/>
                <w:color w:val="000000"/>
              </w:rPr>
              <w:t>0D114ZB</w:t>
            </w:r>
          </w:p>
        </w:tc>
        <w:tc>
          <w:tcPr>
            <w:tcW w:w="7560" w:type="dxa"/>
            <w:noWrap/>
            <w:vAlign w:val="center"/>
            <w:hideMark/>
          </w:tcPr>
          <w:p w14:paraId="7E13CDEA" w14:textId="77777777" w:rsidR="00595F71" w:rsidRPr="00E97D2C" w:rsidRDefault="00595F71" w:rsidP="00696E8F">
            <w:pPr>
              <w:rPr>
                <w:rFonts w:cs="Arial"/>
                <w:color w:val="000000"/>
              </w:rPr>
            </w:pPr>
            <w:r w:rsidRPr="00E97D2C">
              <w:rPr>
                <w:rFonts w:cs="Arial"/>
                <w:color w:val="000000"/>
              </w:rPr>
              <w:t>Bypass Upper Esophagus to Ileum, Percutaneous Endoscopic Approach</w:t>
            </w:r>
          </w:p>
        </w:tc>
      </w:tr>
      <w:tr w:rsidR="00595F71" w:rsidRPr="00E97D2C" w14:paraId="693D1036" w14:textId="77777777" w:rsidTr="00696E8F">
        <w:trPr>
          <w:trHeight w:val="300"/>
        </w:trPr>
        <w:tc>
          <w:tcPr>
            <w:tcW w:w="1872" w:type="dxa"/>
            <w:noWrap/>
            <w:vAlign w:val="center"/>
            <w:hideMark/>
          </w:tcPr>
          <w:p w14:paraId="2DC22DA6" w14:textId="77777777" w:rsidR="00595F71" w:rsidRPr="00E97D2C" w:rsidRDefault="00595F71" w:rsidP="00696E8F">
            <w:pPr>
              <w:rPr>
                <w:rFonts w:cs="Arial"/>
                <w:color w:val="000000"/>
              </w:rPr>
            </w:pPr>
            <w:r w:rsidRPr="00E97D2C">
              <w:rPr>
                <w:rFonts w:cs="Arial"/>
                <w:color w:val="000000"/>
              </w:rPr>
              <w:t>0D11874</w:t>
            </w:r>
          </w:p>
        </w:tc>
        <w:tc>
          <w:tcPr>
            <w:tcW w:w="7560" w:type="dxa"/>
            <w:noWrap/>
            <w:vAlign w:val="center"/>
            <w:hideMark/>
          </w:tcPr>
          <w:p w14:paraId="0D5DF999" w14:textId="77777777" w:rsidR="00595F71" w:rsidRPr="00E97D2C" w:rsidRDefault="00595F71" w:rsidP="00696E8F">
            <w:pPr>
              <w:rPr>
                <w:rFonts w:cs="Arial"/>
                <w:color w:val="000000"/>
              </w:rPr>
            </w:pPr>
            <w:r w:rsidRPr="00E97D2C">
              <w:rPr>
                <w:rFonts w:cs="Arial"/>
                <w:color w:val="000000"/>
              </w:rPr>
              <w:t>Bypass Upper Esophagus to Cutaneous with Autologous Tissue Substitute, Via Natural or Artificial Opening Endoscopic</w:t>
            </w:r>
          </w:p>
        </w:tc>
      </w:tr>
      <w:tr w:rsidR="00595F71" w:rsidRPr="00E97D2C" w14:paraId="7EB6F213" w14:textId="77777777" w:rsidTr="00696E8F">
        <w:trPr>
          <w:trHeight w:val="300"/>
        </w:trPr>
        <w:tc>
          <w:tcPr>
            <w:tcW w:w="1872" w:type="dxa"/>
            <w:noWrap/>
            <w:vAlign w:val="center"/>
            <w:hideMark/>
          </w:tcPr>
          <w:p w14:paraId="66A3D935" w14:textId="77777777" w:rsidR="00595F71" w:rsidRPr="00E97D2C" w:rsidRDefault="00595F71" w:rsidP="00696E8F">
            <w:pPr>
              <w:rPr>
                <w:rFonts w:cs="Arial"/>
                <w:color w:val="000000"/>
              </w:rPr>
            </w:pPr>
            <w:r w:rsidRPr="00E97D2C">
              <w:rPr>
                <w:rFonts w:cs="Arial"/>
                <w:color w:val="000000"/>
              </w:rPr>
              <w:t>0D11876</w:t>
            </w:r>
          </w:p>
        </w:tc>
        <w:tc>
          <w:tcPr>
            <w:tcW w:w="7560" w:type="dxa"/>
            <w:noWrap/>
            <w:vAlign w:val="center"/>
            <w:hideMark/>
          </w:tcPr>
          <w:p w14:paraId="36D0AE2E" w14:textId="77777777" w:rsidR="00595F71" w:rsidRPr="00E97D2C" w:rsidRDefault="00595F71" w:rsidP="00696E8F">
            <w:pPr>
              <w:rPr>
                <w:rFonts w:cs="Arial"/>
                <w:color w:val="000000"/>
              </w:rPr>
            </w:pPr>
            <w:r w:rsidRPr="00E97D2C">
              <w:rPr>
                <w:rFonts w:cs="Arial"/>
                <w:color w:val="000000"/>
              </w:rPr>
              <w:t>Bypass Upper Esophagus to Stomach with Autologous Tissue Substitute, Via Natural or Artificial Opening Endoscopic</w:t>
            </w:r>
          </w:p>
        </w:tc>
      </w:tr>
      <w:tr w:rsidR="00595F71" w:rsidRPr="00E97D2C" w14:paraId="7E31B388" w14:textId="77777777" w:rsidTr="00696E8F">
        <w:trPr>
          <w:trHeight w:val="300"/>
        </w:trPr>
        <w:tc>
          <w:tcPr>
            <w:tcW w:w="1872" w:type="dxa"/>
            <w:noWrap/>
            <w:vAlign w:val="center"/>
            <w:hideMark/>
          </w:tcPr>
          <w:p w14:paraId="4B71BB29" w14:textId="77777777" w:rsidR="00595F71" w:rsidRPr="00E97D2C" w:rsidRDefault="00595F71" w:rsidP="00696E8F">
            <w:pPr>
              <w:rPr>
                <w:rFonts w:cs="Arial"/>
                <w:color w:val="000000"/>
              </w:rPr>
            </w:pPr>
            <w:r w:rsidRPr="00E97D2C">
              <w:rPr>
                <w:rFonts w:cs="Arial"/>
                <w:color w:val="000000"/>
              </w:rPr>
              <w:t>0D11879</w:t>
            </w:r>
          </w:p>
        </w:tc>
        <w:tc>
          <w:tcPr>
            <w:tcW w:w="7560" w:type="dxa"/>
            <w:noWrap/>
            <w:vAlign w:val="center"/>
            <w:hideMark/>
          </w:tcPr>
          <w:p w14:paraId="65260243" w14:textId="77777777" w:rsidR="00595F71" w:rsidRPr="00E97D2C" w:rsidRDefault="00595F71" w:rsidP="00696E8F">
            <w:pPr>
              <w:rPr>
                <w:rFonts w:cs="Arial"/>
                <w:color w:val="000000"/>
              </w:rPr>
            </w:pPr>
            <w:r w:rsidRPr="00E97D2C">
              <w:rPr>
                <w:rFonts w:cs="Arial"/>
                <w:color w:val="000000"/>
              </w:rPr>
              <w:t>Bypass Upper Esophagus to Duodenum with Autologous Tissue Substitute, Via Natural or Artificial Opening Endoscopic</w:t>
            </w:r>
          </w:p>
        </w:tc>
      </w:tr>
      <w:tr w:rsidR="00595F71" w:rsidRPr="00E97D2C" w14:paraId="449B6C28" w14:textId="77777777" w:rsidTr="00696E8F">
        <w:trPr>
          <w:trHeight w:val="300"/>
        </w:trPr>
        <w:tc>
          <w:tcPr>
            <w:tcW w:w="1872" w:type="dxa"/>
            <w:noWrap/>
            <w:vAlign w:val="center"/>
            <w:hideMark/>
          </w:tcPr>
          <w:p w14:paraId="53C15786" w14:textId="77777777" w:rsidR="00595F71" w:rsidRPr="00E97D2C" w:rsidRDefault="00595F71" w:rsidP="00696E8F">
            <w:pPr>
              <w:rPr>
                <w:rFonts w:cs="Arial"/>
                <w:color w:val="000000"/>
              </w:rPr>
            </w:pPr>
            <w:r w:rsidRPr="00E97D2C">
              <w:rPr>
                <w:rFonts w:cs="Arial"/>
                <w:color w:val="000000"/>
              </w:rPr>
              <w:t>0D1187A</w:t>
            </w:r>
          </w:p>
        </w:tc>
        <w:tc>
          <w:tcPr>
            <w:tcW w:w="7560" w:type="dxa"/>
            <w:noWrap/>
            <w:vAlign w:val="center"/>
            <w:hideMark/>
          </w:tcPr>
          <w:p w14:paraId="3B4797E8" w14:textId="77777777" w:rsidR="00595F71" w:rsidRPr="00E97D2C" w:rsidRDefault="00595F71" w:rsidP="00696E8F">
            <w:pPr>
              <w:rPr>
                <w:rFonts w:cs="Arial"/>
                <w:color w:val="000000"/>
              </w:rPr>
            </w:pPr>
            <w:r w:rsidRPr="00E97D2C">
              <w:rPr>
                <w:rFonts w:cs="Arial"/>
                <w:color w:val="000000"/>
              </w:rPr>
              <w:t>Bypass Upper Esophagus to Jejunum with Autologous Tissue Substitute, Via Natural or Artificial Opening Endoscopic</w:t>
            </w:r>
          </w:p>
        </w:tc>
      </w:tr>
      <w:tr w:rsidR="00595F71" w:rsidRPr="00E97D2C" w14:paraId="31D19E21" w14:textId="77777777" w:rsidTr="00696E8F">
        <w:trPr>
          <w:trHeight w:val="300"/>
        </w:trPr>
        <w:tc>
          <w:tcPr>
            <w:tcW w:w="1872" w:type="dxa"/>
            <w:noWrap/>
            <w:vAlign w:val="center"/>
            <w:hideMark/>
          </w:tcPr>
          <w:p w14:paraId="1991224F" w14:textId="77777777" w:rsidR="00595F71" w:rsidRPr="00E97D2C" w:rsidRDefault="00595F71" w:rsidP="00696E8F">
            <w:pPr>
              <w:rPr>
                <w:rFonts w:cs="Arial"/>
                <w:color w:val="000000"/>
              </w:rPr>
            </w:pPr>
            <w:r w:rsidRPr="00E97D2C">
              <w:rPr>
                <w:rFonts w:cs="Arial"/>
                <w:color w:val="000000"/>
              </w:rPr>
              <w:t>0D1187B</w:t>
            </w:r>
          </w:p>
        </w:tc>
        <w:tc>
          <w:tcPr>
            <w:tcW w:w="7560" w:type="dxa"/>
            <w:noWrap/>
            <w:vAlign w:val="center"/>
            <w:hideMark/>
          </w:tcPr>
          <w:p w14:paraId="6FDDFA20" w14:textId="77777777" w:rsidR="00595F71" w:rsidRPr="00E97D2C" w:rsidRDefault="00595F71" w:rsidP="00696E8F">
            <w:pPr>
              <w:rPr>
                <w:rFonts w:cs="Arial"/>
                <w:color w:val="000000"/>
              </w:rPr>
            </w:pPr>
            <w:r w:rsidRPr="00E97D2C">
              <w:rPr>
                <w:rFonts w:cs="Arial"/>
                <w:color w:val="000000"/>
              </w:rPr>
              <w:t>Bypass Upper Esophagus to Ileum with Autologous Tissue Substitute, Via Natural or Artificial Opening Endoscopic</w:t>
            </w:r>
          </w:p>
        </w:tc>
      </w:tr>
      <w:tr w:rsidR="00595F71" w:rsidRPr="00E97D2C" w14:paraId="13C69B72" w14:textId="77777777" w:rsidTr="00696E8F">
        <w:trPr>
          <w:trHeight w:val="300"/>
        </w:trPr>
        <w:tc>
          <w:tcPr>
            <w:tcW w:w="1872" w:type="dxa"/>
            <w:noWrap/>
            <w:vAlign w:val="center"/>
            <w:hideMark/>
          </w:tcPr>
          <w:p w14:paraId="51AC1F3F" w14:textId="77777777" w:rsidR="00595F71" w:rsidRPr="00E97D2C" w:rsidRDefault="00595F71" w:rsidP="00696E8F">
            <w:pPr>
              <w:rPr>
                <w:rFonts w:cs="Arial"/>
                <w:color w:val="000000"/>
              </w:rPr>
            </w:pPr>
            <w:r w:rsidRPr="00E97D2C">
              <w:rPr>
                <w:rFonts w:cs="Arial"/>
                <w:color w:val="000000"/>
              </w:rPr>
              <w:t>0D118J4</w:t>
            </w:r>
          </w:p>
        </w:tc>
        <w:tc>
          <w:tcPr>
            <w:tcW w:w="7560" w:type="dxa"/>
            <w:noWrap/>
            <w:vAlign w:val="center"/>
            <w:hideMark/>
          </w:tcPr>
          <w:p w14:paraId="533783C2" w14:textId="77777777" w:rsidR="00595F71" w:rsidRPr="00E97D2C" w:rsidRDefault="00595F71" w:rsidP="00696E8F">
            <w:pPr>
              <w:rPr>
                <w:rFonts w:cs="Arial"/>
                <w:color w:val="000000"/>
              </w:rPr>
            </w:pPr>
            <w:r w:rsidRPr="00E97D2C">
              <w:rPr>
                <w:rFonts w:cs="Arial"/>
                <w:color w:val="000000"/>
              </w:rPr>
              <w:t>Bypass Upper Esophagus to Cutaneous with Synthetic Substitute, Via Natural or Artificial Opening Endoscopic</w:t>
            </w:r>
          </w:p>
        </w:tc>
      </w:tr>
      <w:tr w:rsidR="00595F71" w:rsidRPr="00E97D2C" w14:paraId="7D64F578" w14:textId="77777777" w:rsidTr="00696E8F">
        <w:trPr>
          <w:trHeight w:val="300"/>
        </w:trPr>
        <w:tc>
          <w:tcPr>
            <w:tcW w:w="1872" w:type="dxa"/>
            <w:noWrap/>
            <w:vAlign w:val="center"/>
            <w:hideMark/>
          </w:tcPr>
          <w:p w14:paraId="45462274" w14:textId="77777777" w:rsidR="00595F71" w:rsidRPr="00E97D2C" w:rsidRDefault="00595F71" w:rsidP="00696E8F">
            <w:pPr>
              <w:rPr>
                <w:rFonts w:cs="Arial"/>
                <w:color w:val="000000"/>
              </w:rPr>
            </w:pPr>
            <w:r w:rsidRPr="00E97D2C">
              <w:rPr>
                <w:rFonts w:cs="Arial"/>
                <w:color w:val="000000"/>
              </w:rPr>
              <w:t>0D118J6</w:t>
            </w:r>
          </w:p>
        </w:tc>
        <w:tc>
          <w:tcPr>
            <w:tcW w:w="7560" w:type="dxa"/>
            <w:noWrap/>
            <w:vAlign w:val="center"/>
            <w:hideMark/>
          </w:tcPr>
          <w:p w14:paraId="2EA4A544" w14:textId="77777777" w:rsidR="00595F71" w:rsidRPr="00E97D2C" w:rsidRDefault="00595F71" w:rsidP="00696E8F">
            <w:pPr>
              <w:rPr>
                <w:rFonts w:cs="Arial"/>
                <w:color w:val="000000"/>
              </w:rPr>
            </w:pPr>
            <w:r w:rsidRPr="00E97D2C">
              <w:rPr>
                <w:rFonts w:cs="Arial"/>
                <w:color w:val="000000"/>
              </w:rPr>
              <w:t>Bypass Upper Esophagus to Stomach with Synthetic Substitute, Via Natural or Artificial Opening Endoscopic</w:t>
            </w:r>
          </w:p>
        </w:tc>
      </w:tr>
      <w:tr w:rsidR="00595F71" w:rsidRPr="00E97D2C" w14:paraId="7A193CC2" w14:textId="77777777" w:rsidTr="00696E8F">
        <w:trPr>
          <w:trHeight w:val="300"/>
        </w:trPr>
        <w:tc>
          <w:tcPr>
            <w:tcW w:w="1872" w:type="dxa"/>
            <w:noWrap/>
            <w:vAlign w:val="center"/>
            <w:hideMark/>
          </w:tcPr>
          <w:p w14:paraId="2529FFA5" w14:textId="77777777" w:rsidR="00595F71" w:rsidRPr="00E97D2C" w:rsidRDefault="00595F71" w:rsidP="00696E8F">
            <w:pPr>
              <w:rPr>
                <w:rFonts w:cs="Arial"/>
                <w:color w:val="000000"/>
              </w:rPr>
            </w:pPr>
            <w:r w:rsidRPr="00E97D2C">
              <w:rPr>
                <w:rFonts w:cs="Arial"/>
                <w:color w:val="000000"/>
              </w:rPr>
              <w:t>0D118J9</w:t>
            </w:r>
          </w:p>
        </w:tc>
        <w:tc>
          <w:tcPr>
            <w:tcW w:w="7560" w:type="dxa"/>
            <w:noWrap/>
            <w:vAlign w:val="center"/>
            <w:hideMark/>
          </w:tcPr>
          <w:p w14:paraId="57412AF1" w14:textId="77777777" w:rsidR="00595F71" w:rsidRPr="00E97D2C" w:rsidRDefault="00595F71" w:rsidP="00696E8F">
            <w:pPr>
              <w:rPr>
                <w:rFonts w:cs="Arial"/>
                <w:color w:val="000000"/>
              </w:rPr>
            </w:pPr>
            <w:r w:rsidRPr="00E97D2C">
              <w:rPr>
                <w:rFonts w:cs="Arial"/>
                <w:color w:val="000000"/>
              </w:rPr>
              <w:t>Bypass Upper Esophagus to Duodenum with Synthetic Substitute, Via Natural or Artificial Opening Endoscopic</w:t>
            </w:r>
          </w:p>
        </w:tc>
      </w:tr>
      <w:tr w:rsidR="00595F71" w:rsidRPr="00E97D2C" w14:paraId="7F5A738B" w14:textId="77777777" w:rsidTr="00696E8F">
        <w:trPr>
          <w:trHeight w:val="300"/>
        </w:trPr>
        <w:tc>
          <w:tcPr>
            <w:tcW w:w="1872" w:type="dxa"/>
            <w:noWrap/>
            <w:vAlign w:val="center"/>
            <w:hideMark/>
          </w:tcPr>
          <w:p w14:paraId="353CDD2E" w14:textId="77777777" w:rsidR="00595F71" w:rsidRPr="00E97D2C" w:rsidRDefault="00595F71" w:rsidP="00696E8F">
            <w:pPr>
              <w:rPr>
                <w:rFonts w:cs="Arial"/>
                <w:color w:val="000000"/>
              </w:rPr>
            </w:pPr>
            <w:r w:rsidRPr="00E97D2C">
              <w:rPr>
                <w:rFonts w:cs="Arial"/>
                <w:color w:val="000000"/>
              </w:rPr>
              <w:t>0D118JA</w:t>
            </w:r>
          </w:p>
        </w:tc>
        <w:tc>
          <w:tcPr>
            <w:tcW w:w="7560" w:type="dxa"/>
            <w:noWrap/>
            <w:vAlign w:val="center"/>
            <w:hideMark/>
          </w:tcPr>
          <w:p w14:paraId="7AFE0D8A" w14:textId="77777777" w:rsidR="00595F71" w:rsidRPr="00E97D2C" w:rsidRDefault="00595F71" w:rsidP="00696E8F">
            <w:pPr>
              <w:rPr>
                <w:rFonts w:cs="Arial"/>
                <w:color w:val="000000"/>
              </w:rPr>
            </w:pPr>
            <w:r w:rsidRPr="00E97D2C">
              <w:rPr>
                <w:rFonts w:cs="Arial"/>
                <w:color w:val="000000"/>
              </w:rPr>
              <w:t>Bypass Upper Esophagus to Jejunum with Synthetic Substitute, Via Natural or Artificial Opening Endoscopic</w:t>
            </w:r>
          </w:p>
        </w:tc>
      </w:tr>
      <w:tr w:rsidR="00595F71" w:rsidRPr="00E97D2C" w14:paraId="1DB534FC" w14:textId="77777777" w:rsidTr="00696E8F">
        <w:trPr>
          <w:trHeight w:val="300"/>
        </w:trPr>
        <w:tc>
          <w:tcPr>
            <w:tcW w:w="1872" w:type="dxa"/>
            <w:noWrap/>
            <w:vAlign w:val="center"/>
            <w:hideMark/>
          </w:tcPr>
          <w:p w14:paraId="4C0FAAFC" w14:textId="77777777" w:rsidR="00595F71" w:rsidRPr="00E97D2C" w:rsidRDefault="00595F71" w:rsidP="00696E8F">
            <w:pPr>
              <w:rPr>
                <w:rFonts w:cs="Arial"/>
                <w:color w:val="000000"/>
              </w:rPr>
            </w:pPr>
            <w:r w:rsidRPr="00E97D2C">
              <w:rPr>
                <w:rFonts w:cs="Arial"/>
                <w:color w:val="000000"/>
              </w:rPr>
              <w:t>0D118JB</w:t>
            </w:r>
          </w:p>
        </w:tc>
        <w:tc>
          <w:tcPr>
            <w:tcW w:w="7560" w:type="dxa"/>
            <w:noWrap/>
            <w:vAlign w:val="center"/>
            <w:hideMark/>
          </w:tcPr>
          <w:p w14:paraId="101F5965" w14:textId="77777777" w:rsidR="00595F71" w:rsidRPr="00E97D2C" w:rsidRDefault="00595F71" w:rsidP="00696E8F">
            <w:pPr>
              <w:rPr>
                <w:rFonts w:cs="Arial"/>
                <w:color w:val="000000"/>
              </w:rPr>
            </w:pPr>
            <w:r w:rsidRPr="00E97D2C">
              <w:rPr>
                <w:rFonts w:cs="Arial"/>
                <w:color w:val="000000"/>
              </w:rPr>
              <w:t>Bypass Upper Esophagus to Ileum with Synthetic Substitute, Via Natural or Artificial Opening Endoscopic</w:t>
            </w:r>
          </w:p>
        </w:tc>
      </w:tr>
      <w:tr w:rsidR="00595F71" w:rsidRPr="00E97D2C" w14:paraId="3CEEB601" w14:textId="77777777" w:rsidTr="00696E8F">
        <w:trPr>
          <w:trHeight w:val="300"/>
        </w:trPr>
        <w:tc>
          <w:tcPr>
            <w:tcW w:w="1872" w:type="dxa"/>
            <w:noWrap/>
            <w:vAlign w:val="center"/>
            <w:hideMark/>
          </w:tcPr>
          <w:p w14:paraId="4BBE715A" w14:textId="77777777" w:rsidR="00595F71" w:rsidRPr="00E97D2C" w:rsidRDefault="00595F71" w:rsidP="00696E8F">
            <w:pPr>
              <w:rPr>
                <w:rFonts w:cs="Arial"/>
                <w:color w:val="000000"/>
              </w:rPr>
            </w:pPr>
            <w:r w:rsidRPr="00E97D2C">
              <w:rPr>
                <w:rFonts w:cs="Arial"/>
                <w:color w:val="000000"/>
              </w:rPr>
              <w:t>0D118K4</w:t>
            </w:r>
          </w:p>
        </w:tc>
        <w:tc>
          <w:tcPr>
            <w:tcW w:w="7560" w:type="dxa"/>
            <w:noWrap/>
            <w:vAlign w:val="center"/>
            <w:hideMark/>
          </w:tcPr>
          <w:p w14:paraId="640F604F" w14:textId="77777777" w:rsidR="00595F71" w:rsidRPr="00E97D2C" w:rsidRDefault="00595F71" w:rsidP="00696E8F">
            <w:pPr>
              <w:rPr>
                <w:rFonts w:cs="Arial"/>
                <w:color w:val="000000"/>
              </w:rPr>
            </w:pPr>
            <w:r w:rsidRPr="00E97D2C">
              <w:rPr>
                <w:rFonts w:cs="Arial"/>
                <w:color w:val="000000"/>
              </w:rPr>
              <w:t xml:space="preserve">Bypass Upper Esophagus to Cutaneous with </w:t>
            </w:r>
            <w:proofErr w:type="spellStart"/>
            <w:r w:rsidRPr="00E97D2C">
              <w:rPr>
                <w:rFonts w:cs="Arial"/>
                <w:color w:val="000000"/>
              </w:rPr>
              <w:t>Nonautologous</w:t>
            </w:r>
            <w:proofErr w:type="spellEnd"/>
            <w:r w:rsidRPr="00E97D2C">
              <w:rPr>
                <w:rFonts w:cs="Arial"/>
                <w:color w:val="000000"/>
              </w:rPr>
              <w:t xml:space="preserve"> Tissue Substitute, Via Natural or Artificial Opening Endoscopic</w:t>
            </w:r>
          </w:p>
        </w:tc>
      </w:tr>
      <w:tr w:rsidR="00595F71" w:rsidRPr="00E97D2C" w14:paraId="728C83AD" w14:textId="77777777" w:rsidTr="00696E8F">
        <w:trPr>
          <w:trHeight w:val="300"/>
        </w:trPr>
        <w:tc>
          <w:tcPr>
            <w:tcW w:w="1872" w:type="dxa"/>
            <w:noWrap/>
            <w:vAlign w:val="center"/>
            <w:hideMark/>
          </w:tcPr>
          <w:p w14:paraId="2CC90F25" w14:textId="77777777" w:rsidR="00595F71" w:rsidRPr="00E97D2C" w:rsidRDefault="00595F71" w:rsidP="00696E8F">
            <w:pPr>
              <w:rPr>
                <w:rFonts w:cs="Arial"/>
                <w:color w:val="000000"/>
              </w:rPr>
            </w:pPr>
            <w:r w:rsidRPr="00E97D2C">
              <w:rPr>
                <w:rFonts w:cs="Arial"/>
                <w:color w:val="000000"/>
              </w:rPr>
              <w:t>0D118K6</w:t>
            </w:r>
          </w:p>
        </w:tc>
        <w:tc>
          <w:tcPr>
            <w:tcW w:w="7560" w:type="dxa"/>
            <w:noWrap/>
            <w:vAlign w:val="center"/>
            <w:hideMark/>
          </w:tcPr>
          <w:p w14:paraId="3856BC8F" w14:textId="77777777" w:rsidR="00595F71" w:rsidRPr="00E97D2C" w:rsidRDefault="00595F71" w:rsidP="00696E8F">
            <w:pPr>
              <w:rPr>
                <w:rFonts w:cs="Arial"/>
                <w:color w:val="000000"/>
              </w:rPr>
            </w:pPr>
            <w:r w:rsidRPr="00E97D2C">
              <w:rPr>
                <w:rFonts w:cs="Arial"/>
                <w:color w:val="000000"/>
              </w:rPr>
              <w:t xml:space="preserve">Bypass Upper Esophagus to Stomach with </w:t>
            </w:r>
            <w:proofErr w:type="spellStart"/>
            <w:r w:rsidRPr="00E97D2C">
              <w:rPr>
                <w:rFonts w:cs="Arial"/>
                <w:color w:val="000000"/>
              </w:rPr>
              <w:t>Nonautologous</w:t>
            </w:r>
            <w:proofErr w:type="spellEnd"/>
            <w:r w:rsidRPr="00E97D2C">
              <w:rPr>
                <w:rFonts w:cs="Arial"/>
                <w:color w:val="000000"/>
              </w:rPr>
              <w:t xml:space="preserve"> Tissue Substitute, Via Natural or Artificial Opening Endoscopic</w:t>
            </w:r>
          </w:p>
        </w:tc>
      </w:tr>
      <w:tr w:rsidR="00595F71" w:rsidRPr="00E97D2C" w14:paraId="68CB72D2" w14:textId="77777777" w:rsidTr="00696E8F">
        <w:trPr>
          <w:trHeight w:val="300"/>
        </w:trPr>
        <w:tc>
          <w:tcPr>
            <w:tcW w:w="1872" w:type="dxa"/>
            <w:noWrap/>
            <w:vAlign w:val="center"/>
            <w:hideMark/>
          </w:tcPr>
          <w:p w14:paraId="13A479DD" w14:textId="77777777" w:rsidR="00595F71" w:rsidRPr="00E97D2C" w:rsidRDefault="00595F71" w:rsidP="00696E8F">
            <w:pPr>
              <w:rPr>
                <w:rFonts w:cs="Arial"/>
                <w:color w:val="000000"/>
              </w:rPr>
            </w:pPr>
            <w:r w:rsidRPr="00E97D2C">
              <w:rPr>
                <w:rFonts w:cs="Arial"/>
                <w:color w:val="000000"/>
              </w:rPr>
              <w:lastRenderedPageBreak/>
              <w:t>0D118K9</w:t>
            </w:r>
          </w:p>
        </w:tc>
        <w:tc>
          <w:tcPr>
            <w:tcW w:w="7560" w:type="dxa"/>
            <w:noWrap/>
            <w:vAlign w:val="center"/>
            <w:hideMark/>
          </w:tcPr>
          <w:p w14:paraId="27E3CA0F" w14:textId="77777777" w:rsidR="00595F71" w:rsidRPr="00E97D2C" w:rsidRDefault="00595F71" w:rsidP="00696E8F">
            <w:pPr>
              <w:rPr>
                <w:rFonts w:cs="Arial"/>
                <w:color w:val="000000"/>
              </w:rPr>
            </w:pPr>
            <w:r w:rsidRPr="00E97D2C">
              <w:rPr>
                <w:rFonts w:cs="Arial"/>
                <w:color w:val="000000"/>
              </w:rPr>
              <w:t xml:space="preserve">Bypass Upper Esophagus to Duodenum with </w:t>
            </w:r>
            <w:proofErr w:type="spellStart"/>
            <w:r w:rsidRPr="00E97D2C">
              <w:rPr>
                <w:rFonts w:cs="Arial"/>
                <w:color w:val="000000"/>
              </w:rPr>
              <w:t>Nonautologous</w:t>
            </w:r>
            <w:proofErr w:type="spellEnd"/>
            <w:r w:rsidRPr="00E97D2C">
              <w:rPr>
                <w:rFonts w:cs="Arial"/>
                <w:color w:val="000000"/>
              </w:rPr>
              <w:t xml:space="preserve"> Tissue Substitute, Via Natural or Artificial Opening Endoscopic</w:t>
            </w:r>
          </w:p>
        </w:tc>
      </w:tr>
      <w:tr w:rsidR="00595F71" w:rsidRPr="00E97D2C" w14:paraId="7BC70D21" w14:textId="77777777" w:rsidTr="00696E8F">
        <w:trPr>
          <w:trHeight w:val="300"/>
        </w:trPr>
        <w:tc>
          <w:tcPr>
            <w:tcW w:w="1872" w:type="dxa"/>
            <w:noWrap/>
            <w:vAlign w:val="center"/>
            <w:hideMark/>
          </w:tcPr>
          <w:p w14:paraId="6000C62B" w14:textId="77777777" w:rsidR="00595F71" w:rsidRPr="00E97D2C" w:rsidRDefault="00595F71" w:rsidP="00696E8F">
            <w:pPr>
              <w:rPr>
                <w:rFonts w:cs="Arial"/>
                <w:color w:val="000000"/>
              </w:rPr>
            </w:pPr>
            <w:r w:rsidRPr="00E97D2C">
              <w:rPr>
                <w:rFonts w:cs="Arial"/>
                <w:color w:val="000000"/>
              </w:rPr>
              <w:t>0D118KA</w:t>
            </w:r>
          </w:p>
        </w:tc>
        <w:tc>
          <w:tcPr>
            <w:tcW w:w="7560" w:type="dxa"/>
            <w:noWrap/>
            <w:vAlign w:val="center"/>
            <w:hideMark/>
          </w:tcPr>
          <w:p w14:paraId="18BF3E55" w14:textId="77777777" w:rsidR="00595F71" w:rsidRPr="00E97D2C" w:rsidRDefault="00595F71" w:rsidP="00696E8F">
            <w:pPr>
              <w:rPr>
                <w:rFonts w:cs="Arial"/>
                <w:color w:val="000000"/>
              </w:rPr>
            </w:pPr>
            <w:r w:rsidRPr="00E97D2C">
              <w:rPr>
                <w:rFonts w:cs="Arial"/>
                <w:color w:val="000000"/>
              </w:rPr>
              <w:t xml:space="preserve">Bypass Upper Esophagus to Jejunum with </w:t>
            </w:r>
            <w:proofErr w:type="spellStart"/>
            <w:r w:rsidRPr="00E97D2C">
              <w:rPr>
                <w:rFonts w:cs="Arial"/>
                <w:color w:val="000000"/>
              </w:rPr>
              <w:t>Nonautologous</w:t>
            </w:r>
            <w:proofErr w:type="spellEnd"/>
            <w:r w:rsidRPr="00E97D2C">
              <w:rPr>
                <w:rFonts w:cs="Arial"/>
                <w:color w:val="000000"/>
              </w:rPr>
              <w:t xml:space="preserve"> Tissue Substitute, Via Natural or Artificial Opening Endoscopic</w:t>
            </w:r>
          </w:p>
        </w:tc>
      </w:tr>
      <w:tr w:rsidR="00595F71" w:rsidRPr="00E97D2C" w14:paraId="6D2D20C2" w14:textId="77777777" w:rsidTr="00696E8F">
        <w:trPr>
          <w:trHeight w:val="300"/>
        </w:trPr>
        <w:tc>
          <w:tcPr>
            <w:tcW w:w="1872" w:type="dxa"/>
            <w:noWrap/>
            <w:vAlign w:val="center"/>
            <w:hideMark/>
          </w:tcPr>
          <w:p w14:paraId="1E4FAB6B" w14:textId="77777777" w:rsidR="00595F71" w:rsidRPr="00E97D2C" w:rsidRDefault="00595F71" w:rsidP="00696E8F">
            <w:pPr>
              <w:rPr>
                <w:rFonts w:cs="Arial"/>
                <w:color w:val="000000"/>
              </w:rPr>
            </w:pPr>
            <w:r w:rsidRPr="00E97D2C">
              <w:rPr>
                <w:rFonts w:cs="Arial"/>
                <w:color w:val="000000"/>
              </w:rPr>
              <w:t>0D118KB</w:t>
            </w:r>
          </w:p>
        </w:tc>
        <w:tc>
          <w:tcPr>
            <w:tcW w:w="7560" w:type="dxa"/>
            <w:noWrap/>
            <w:vAlign w:val="center"/>
            <w:hideMark/>
          </w:tcPr>
          <w:p w14:paraId="716FE83B" w14:textId="77777777" w:rsidR="00595F71" w:rsidRPr="00E97D2C" w:rsidRDefault="00595F71" w:rsidP="00696E8F">
            <w:pPr>
              <w:rPr>
                <w:rFonts w:cs="Arial"/>
                <w:color w:val="000000"/>
              </w:rPr>
            </w:pPr>
            <w:r w:rsidRPr="00E97D2C">
              <w:rPr>
                <w:rFonts w:cs="Arial"/>
                <w:color w:val="000000"/>
              </w:rPr>
              <w:t xml:space="preserve">Bypass Upper Esophagus to Ileum with </w:t>
            </w:r>
            <w:proofErr w:type="spellStart"/>
            <w:r w:rsidRPr="00E97D2C">
              <w:rPr>
                <w:rFonts w:cs="Arial"/>
                <w:color w:val="000000"/>
              </w:rPr>
              <w:t>Nonautologous</w:t>
            </w:r>
            <w:proofErr w:type="spellEnd"/>
            <w:r w:rsidRPr="00E97D2C">
              <w:rPr>
                <w:rFonts w:cs="Arial"/>
                <w:color w:val="000000"/>
              </w:rPr>
              <w:t xml:space="preserve"> Tissue Substitute, Via Natural or Artificial Opening Endoscopic</w:t>
            </w:r>
          </w:p>
        </w:tc>
      </w:tr>
      <w:tr w:rsidR="00595F71" w:rsidRPr="00E97D2C" w14:paraId="7E27988C" w14:textId="77777777" w:rsidTr="00696E8F">
        <w:trPr>
          <w:trHeight w:val="300"/>
        </w:trPr>
        <w:tc>
          <w:tcPr>
            <w:tcW w:w="1872" w:type="dxa"/>
            <w:noWrap/>
            <w:vAlign w:val="center"/>
            <w:hideMark/>
          </w:tcPr>
          <w:p w14:paraId="774EA018" w14:textId="77777777" w:rsidR="00595F71" w:rsidRPr="00E97D2C" w:rsidRDefault="00595F71" w:rsidP="00696E8F">
            <w:pPr>
              <w:rPr>
                <w:rFonts w:cs="Arial"/>
                <w:color w:val="000000"/>
              </w:rPr>
            </w:pPr>
            <w:r w:rsidRPr="00E97D2C">
              <w:rPr>
                <w:rFonts w:cs="Arial"/>
                <w:color w:val="000000"/>
              </w:rPr>
              <w:t>0D118Z4</w:t>
            </w:r>
          </w:p>
        </w:tc>
        <w:tc>
          <w:tcPr>
            <w:tcW w:w="7560" w:type="dxa"/>
            <w:noWrap/>
            <w:vAlign w:val="center"/>
            <w:hideMark/>
          </w:tcPr>
          <w:p w14:paraId="1E60AF08" w14:textId="77777777" w:rsidR="00595F71" w:rsidRPr="00E97D2C" w:rsidRDefault="00595F71" w:rsidP="00696E8F">
            <w:pPr>
              <w:rPr>
                <w:rFonts w:cs="Arial"/>
                <w:color w:val="000000"/>
              </w:rPr>
            </w:pPr>
            <w:r w:rsidRPr="00E97D2C">
              <w:rPr>
                <w:rFonts w:cs="Arial"/>
                <w:color w:val="000000"/>
              </w:rPr>
              <w:t>Bypass Upper Esophagus to Cutaneous, Via Natural or Artificial Opening Endoscopic</w:t>
            </w:r>
          </w:p>
        </w:tc>
      </w:tr>
      <w:tr w:rsidR="00595F71" w:rsidRPr="00E97D2C" w14:paraId="23953E9C" w14:textId="77777777" w:rsidTr="00696E8F">
        <w:trPr>
          <w:trHeight w:val="300"/>
        </w:trPr>
        <w:tc>
          <w:tcPr>
            <w:tcW w:w="1872" w:type="dxa"/>
            <w:noWrap/>
            <w:vAlign w:val="center"/>
            <w:hideMark/>
          </w:tcPr>
          <w:p w14:paraId="50144079" w14:textId="77777777" w:rsidR="00595F71" w:rsidRPr="00E97D2C" w:rsidRDefault="00595F71" w:rsidP="00696E8F">
            <w:pPr>
              <w:rPr>
                <w:rFonts w:cs="Arial"/>
                <w:color w:val="000000"/>
              </w:rPr>
            </w:pPr>
            <w:r w:rsidRPr="00E97D2C">
              <w:rPr>
                <w:rFonts w:cs="Arial"/>
                <w:color w:val="000000"/>
              </w:rPr>
              <w:t>0D118Z6</w:t>
            </w:r>
          </w:p>
        </w:tc>
        <w:tc>
          <w:tcPr>
            <w:tcW w:w="7560" w:type="dxa"/>
            <w:noWrap/>
            <w:vAlign w:val="center"/>
            <w:hideMark/>
          </w:tcPr>
          <w:p w14:paraId="33FA477C" w14:textId="77777777" w:rsidR="00595F71" w:rsidRPr="00E97D2C" w:rsidRDefault="00595F71" w:rsidP="00696E8F">
            <w:pPr>
              <w:rPr>
                <w:rFonts w:cs="Arial"/>
                <w:color w:val="000000"/>
              </w:rPr>
            </w:pPr>
            <w:r w:rsidRPr="00E97D2C">
              <w:rPr>
                <w:rFonts w:cs="Arial"/>
                <w:color w:val="000000"/>
              </w:rPr>
              <w:t>Bypass Upper Esophagus to Stomach, Via Natural or Artificial Opening Endoscopic</w:t>
            </w:r>
          </w:p>
        </w:tc>
      </w:tr>
      <w:tr w:rsidR="00595F71" w:rsidRPr="00E97D2C" w14:paraId="473171CF" w14:textId="77777777" w:rsidTr="00696E8F">
        <w:trPr>
          <w:trHeight w:val="300"/>
        </w:trPr>
        <w:tc>
          <w:tcPr>
            <w:tcW w:w="1872" w:type="dxa"/>
            <w:noWrap/>
            <w:vAlign w:val="center"/>
            <w:hideMark/>
          </w:tcPr>
          <w:p w14:paraId="2F8FA2FE" w14:textId="77777777" w:rsidR="00595F71" w:rsidRPr="00E97D2C" w:rsidRDefault="00595F71" w:rsidP="00696E8F">
            <w:pPr>
              <w:rPr>
                <w:rFonts w:cs="Arial"/>
                <w:color w:val="000000"/>
              </w:rPr>
            </w:pPr>
            <w:r w:rsidRPr="00E97D2C">
              <w:rPr>
                <w:rFonts w:cs="Arial"/>
                <w:color w:val="000000"/>
              </w:rPr>
              <w:t>0D118Z9</w:t>
            </w:r>
          </w:p>
        </w:tc>
        <w:tc>
          <w:tcPr>
            <w:tcW w:w="7560" w:type="dxa"/>
            <w:noWrap/>
            <w:vAlign w:val="center"/>
            <w:hideMark/>
          </w:tcPr>
          <w:p w14:paraId="346CA638" w14:textId="77777777" w:rsidR="00595F71" w:rsidRPr="00E97D2C" w:rsidRDefault="00595F71" w:rsidP="00696E8F">
            <w:pPr>
              <w:rPr>
                <w:rFonts w:cs="Arial"/>
                <w:color w:val="000000"/>
              </w:rPr>
            </w:pPr>
            <w:r w:rsidRPr="00E97D2C">
              <w:rPr>
                <w:rFonts w:cs="Arial"/>
                <w:color w:val="000000"/>
              </w:rPr>
              <w:t>Bypass Upper Esophagus to Duodenum, Via Natural or Artificial Opening Endoscopic</w:t>
            </w:r>
          </w:p>
        </w:tc>
      </w:tr>
      <w:tr w:rsidR="00595F71" w:rsidRPr="00E97D2C" w14:paraId="25786925" w14:textId="77777777" w:rsidTr="00696E8F">
        <w:trPr>
          <w:trHeight w:val="300"/>
        </w:trPr>
        <w:tc>
          <w:tcPr>
            <w:tcW w:w="1872" w:type="dxa"/>
            <w:noWrap/>
            <w:vAlign w:val="center"/>
            <w:hideMark/>
          </w:tcPr>
          <w:p w14:paraId="4EE7E645" w14:textId="77777777" w:rsidR="00595F71" w:rsidRPr="00E97D2C" w:rsidRDefault="00595F71" w:rsidP="00696E8F">
            <w:pPr>
              <w:rPr>
                <w:rFonts w:cs="Arial"/>
                <w:color w:val="000000"/>
              </w:rPr>
            </w:pPr>
            <w:r w:rsidRPr="00E97D2C">
              <w:rPr>
                <w:rFonts w:cs="Arial"/>
                <w:color w:val="000000"/>
              </w:rPr>
              <w:t>0D118ZA</w:t>
            </w:r>
          </w:p>
        </w:tc>
        <w:tc>
          <w:tcPr>
            <w:tcW w:w="7560" w:type="dxa"/>
            <w:noWrap/>
            <w:vAlign w:val="center"/>
            <w:hideMark/>
          </w:tcPr>
          <w:p w14:paraId="3179B744" w14:textId="77777777" w:rsidR="00595F71" w:rsidRPr="00E97D2C" w:rsidRDefault="00595F71" w:rsidP="00696E8F">
            <w:pPr>
              <w:rPr>
                <w:rFonts w:cs="Arial"/>
                <w:color w:val="000000"/>
              </w:rPr>
            </w:pPr>
            <w:r w:rsidRPr="00E97D2C">
              <w:rPr>
                <w:rFonts w:cs="Arial"/>
                <w:color w:val="000000"/>
              </w:rPr>
              <w:t>Bypass Upper Esophagus to Jejunum, Via Natural or Artificial Opening Endoscopic</w:t>
            </w:r>
          </w:p>
        </w:tc>
      </w:tr>
      <w:tr w:rsidR="00595F71" w:rsidRPr="00E97D2C" w14:paraId="6D72B277" w14:textId="77777777" w:rsidTr="00696E8F">
        <w:trPr>
          <w:trHeight w:val="300"/>
        </w:trPr>
        <w:tc>
          <w:tcPr>
            <w:tcW w:w="1872" w:type="dxa"/>
            <w:noWrap/>
            <w:vAlign w:val="center"/>
            <w:hideMark/>
          </w:tcPr>
          <w:p w14:paraId="1766882F" w14:textId="77777777" w:rsidR="00595F71" w:rsidRPr="00E97D2C" w:rsidRDefault="00595F71" w:rsidP="00696E8F">
            <w:pPr>
              <w:rPr>
                <w:rFonts w:cs="Arial"/>
                <w:color w:val="000000"/>
              </w:rPr>
            </w:pPr>
            <w:r w:rsidRPr="00E97D2C">
              <w:rPr>
                <w:rFonts w:cs="Arial"/>
                <w:color w:val="000000"/>
              </w:rPr>
              <w:t>0D118ZB</w:t>
            </w:r>
          </w:p>
        </w:tc>
        <w:tc>
          <w:tcPr>
            <w:tcW w:w="7560" w:type="dxa"/>
            <w:noWrap/>
            <w:vAlign w:val="center"/>
            <w:hideMark/>
          </w:tcPr>
          <w:p w14:paraId="53834173" w14:textId="77777777" w:rsidR="00595F71" w:rsidRPr="00E97D2C" w:rsidRDefault="00595F71" w:rsidP="00696E8F">
            <w:pPr>
              <w:rPr>
                <w:rFonts w:cs="Arial"/>
                <w:color w:val="000000"/>
              </w:rPr>
            </w:pPr>
            <w:r w:rsidRPr="00E97D2C">
              <w:rPr>
                <w:rFonts w:cs="Arial"/>
                <w:color w:val="000000"/>
              </w:rPr>
              <w:t>Bypass Upper Esophagus to Ileum, Via Natural or Artificial Opening Endoscopic</w:t>
            </w:r>
          </w:p>
        </w:tc>
      </w:tr>
      <w:tr w:rsidR="00595F71" w:rsidRPr="00E97D2C" w14:paraId="2E978848" w14:textId="77777777" w:rsidTr="00696E8F">
        <w:trPr>
          <w:trHeight w:val="300"/>
        </w:trPr>
        <w:tc>
          <w:tcPr>
            <w:tcW w:w="1872" w:type="dxa"/>
            <w:noWrap/>
            <w:vAlign w:val="center"/>
            <w:hideMark/>
          </w:tcPr>
          <w:p w14:paraId="64356954" w14:textId="77777777" w:rsidR="00595F71" w:rsidRPr="00E97D2C" w:rsidRDefault="00595F71" w:rsidP="00696E8F">
            <w:pPr>
              <w:rPr>
                <w:rFonts w:cs="Arial"/>
                <w:color w:val="000000"/>
              </w:rPr>
            </w:pPr>
            <w:r w:rsidRPr="00E97D2C">
              <w:rPr>
                <w:rFonts w:cs="Arial"/>
                <w:color w:val="000000"/>
              </w:rPr>
              <w:t>0D12074</w:t>
            </w:r>
          </w:p>
        </w:tc>
        <w:tc>
          <w:tcPr>
            <w:tcW w:w="7560" w:type="dxa"/>
            <w:noWrap/>
            <w:vAlign w:val="center"/>
            <w:hideMark/>
          </w:tcPr>
          <w:p w14:paraId="70169D25" w14:textId="77777777" w:rsidR="00595F71" w:rsidRPr="00E97D2C" w:rsidRDefault="00595F71" w:rsidP="00696E8F">
            <w:pPr>
              <w:rPr>
                <w:rFonts w:cs="Arial"/>
                <w:color w:val="000000"/>
              </w:rPr>
            </w:pPr>
            <w:r w:rsidRPr="00E97D2C">
              <w:rPr>
                <w:rFonts w:cs="Arial"/>
                <w:color w:val="000000"/>
              </w:rPr>
              <w:t>Bypass Middle Esophagus to Cutaneous with Autologous Tissue Substitute, Open Approach</w:t>
            </w:r>
          </w:p>
        </w:tc>
      </w:tr>
      <w:tr w:rsidR="00595F71" w:rsidRPr="00E97D2C" w14:paraId="27A02D26" w14:textId="77777777" w:rsidTr="00696E8F">
        <w:trPr>
          <w:trHeight w:val="300"/>
        </w:trPr>
        <w:tc>
          <w:tcPr>
            <w:tcW w:w="1872" w:type="dxa"/>
            <w:noWrap/>
            <w:vAlign w:val="center"/>
            <w:hideMark/>
          </w:tcPr>
          <w:p w14:paraId="0654051B" w14:textId="77777777" w:rsidR="00595F71" w:rsidRPr="00E97D2C" w:rsidRDefault="00595F71" w:rsidP="00696E8F">
            <w:pPr>
              <w:rPr>
                <w:rFonts w:cs="Arial"/>
                <w:color w:val="000000"/>
              </w:rPr>
            </w:pPr>
            <w:r w:rsidRPr="00E97D2C">
              <w:rPr>
                <w:rFonts w:cs="Arial"/>
                <w:color w:val="000000"/>
              </w:rPr>
              <w:t>0D12076</w:t>
            </w:r>
          </w:p>
        </w:tc>
        <w:tc>
          <w:tcPr>
            <w:tcW w:w="7560" w:type="dxa"/>
            <w:noWrap/>
            <w:vAlign w:val="center"/>
            <w:hideMark/>
          </w:tcPr>
          <w:p w14:paraId="60549334" w14:textId="77777777" w:rsidR="00595F71" w:rsidRPr="00E97D2C" w:rsidRDefault="00595F71" w:rsidP="00696E8F">
            <w:pPr>
              <w:rPr>
                <w:rFonts w:cs="Arial"/>
                <w:color w:val="000000"/>
              </w:rPr>
            </w:pPr>
            <w:r w:rsidRPr="00E97D2C">
              <w:rPr>
                <w:rFonts w:cs="Arial"/>
                <w:color w:val="000000"/>
              </w:rPr>
              <w:t>Bypass Middle Esophagus to Stomach with Autologous Tissue Substitute, Open Approach</w:t>
            </w:r>
          </w:p>
        </w:tc>
      </w:tr>
      <w:tr w:rsidR="00595F71" w:rsidRPr="00E97D2C" w14:paraId="538C48AF" w14:textId="77777777" w:rsidTr="00696E8F">
        <w:trPr>
          <w:trHeight w:val="300"/>
        </w:trPr>
        <w:tc>
          <w:tcPr>
            <w:tcW w:w="1872" w:type="dxa"/>
            <w:noWrap/>
            <w:vAlign w:val="center"/>
            <w:hideMark/>
          </w:tcPr>
          <w:p w14:paraId="46F0DCED" w14:textId="77777777" w:rsidR="00595F71" w:rsidRPr="00E97D2C" w:rsidRDefault="00595F71" w:rsidP="00696E8F">
            <w:pPr>
              <w:rPr>
                <w:rFonts w:cs="Arial"/>
                <w:color w:val="000000"/>
              </w:rPr>
            </w:pPr>
            <w:r w:rsidRPr="00E97D2C">
              <w:rPr>
                <w:rFonts w:cs="Arial"/>
                <w:color w:val="000000"/>
              </w:rPr>
              <w:t>0D12079</w:t>
            </w:r>
          </w:p>
        </w:tc>
        <w:tc>
          <w:tcPr>
            <w:tcW w:w="7560" w:type="dxa"/>
            <w:noWrap/>
            <w:vAlign w:val="center"/>
            <w:hideMark/>
          </w:tcPr>
          <w:p w14:paraId="21584CF0" w14:textId="77777777" w:rsidR="00595F71" w:rsidRPr="00E97D2C" w:rsidRDefault="00595F71" w:rsidP="00696E8F">
            <w:pPr>
              <w:rPr>
                <w:rFonts w:cs="Arial"/>
                <w:color w:val="000000"/>
              </w:rPr>
            </w:pPr>
            <w:r w:rsidRPr="00E97D2C">
              <w:rPr>
                <w:rFonts w:cs="Arial"/>
                <w:color w:val="000000"/>
              </w:rPr>
              <w:t>Bypass Middle Esophagus to Duodenum with Autologous Tissue Substitute, Open Approach</w:t>
            </w:r>
          </w:p>
        </w:tc>
      </w:tr>
      <w:tr w:rsidR="00595F71" w:rsidRPr="00E97D2C" w14:paraId="1E49E266" w14:textId="77777777" w:rsidTr="00696E8F">
        <w:trPr>
          <w:trHeight w:val="300"/>
        </w:trPr>
        <w:tc>
          <w:tcPr>
            <w:tcW w:w="1872" w:type="dxa"/>
            <w:noWrap/>
            <w:vAlign w:val="center"/>
            <w:hideMark/>
          </w:tcPr>
          <w:p w14:paraId="47CD55F0" w14:textId="77777777" w:rsidR="00595F71" w:rsidRPr="00E97D2C" w:rsidRDefault="00595F71" w:rsidP="00696E8F">
            <w:pPr>
              <w:rPr>
                <w:rFonts w:cs="Arial"/>
                <w:color w:val="000000"/>
              </w:rPr>
            </w:pPr>
            <w:r w:rsidRPr="00E97D2C">
              <w:rPr>
                <w:rFonts w:cs="Arial"/>
                <w:color w:val="000000"/>
              </w:rPr>
              <w:t>0D1207A</w:t>
            </w:r>
          </w:p>
        </w:tc>
        <w:tc>
          <w:tcPr>
            <w:tcW w:w="7560" w:type="dxa"/>
            <w:noWrap/>
            <w:vAlign w:val="center"/>
            <w:hideMark/>
          </w:tcPr>
          <w:p w14:paraId="2B66B566" w14:textId="77777777" w:rsidR="00595F71" w:rsidRPr="00E97D2C" w:rsidRDefault="00595F71" w:rsidP="00696E8F">
            <w:pPr>
              <w:rPr>
                <w:rFonts w:cs="Arial"/>
                <w:color w:val="000000"/>
              </w:rPr>
            </w:pPr>
            <w:r w:rsidRPr="00E97D2C">
              <w:rPr>
                <w:rFonts w:cs="Arial"/>
                <w:color w:val="000000"/>
              </w:rPr>
              <w:t>Bypass Middle Esophagus to Jejunum with Autologous Tissue Substitute, Open Approach</w:t>
            </w:r>
          </w:p>
        </w:tc>
      </w:tr>
      <w:tr w:rsidR="00595F71" w:rsidRPr="00E97D2C" w14:paraId="77725304" w14:textId="77777777" w:rsidTr="00696E8F">
        <w:trPr>
          <w:trHeight w:val="300"/>
        </w:trPr>
        <w:tc>
          <w:tcPr>
            <w:tcW w:w="1872" w:type="dxa"/>
            <w:noWrap/>
            <w:vAlign w:val="center"/>
            <w:hideMark/>
          </w:tcPr>
          <w:p w14:paraId="137F1C74" w14:textId="77777777" w:rsidR="00595F71" w:rsidRPr="00E97D2C" w:rsidRDefault="00595F71" w:rsidP="00696E8F">
            <w:pPr>
              <w:rPr>
                <w:rFonts w:cs="Arial"/>
                <w:color w:val="000000"/>
              </w:rPr>
            </w:pPr>
            <w:r w:rsidRPr="00E97D2C">
              <w:rPr>
                <w:rFonts w:cs="Arial"/>
                <w:color w:val="000000"/>
              </w:rPr>
              <w:t>0D1207B</w:t>
            </w:r>
          </w:p>
        </w:tc>
        <w:tc>
          <w:tcPr>
            <w:tcW w:w="7560" w:type="dxa"/>
            <w:noWrap/>
            <w:vAlign w:val="center"/>
            <w:hideMark/>
          </w:tcPr>
          <w:p w14:paraId="0E7346DD" w14:textId="77777777" w:rsidR="00595F71" w:rsidRPr="00E97D2C" w:rsidRDefault="00595F71" w:rsidP="00696E8F">
            <w:pPr>
              <w:rPr>
                <w:rFonts w:cs="Arial"/>
                <w:color w:val="000000"/>
              </w:rPr>
            </w:pPr>
            <w:r w:rsidRPr="00E97D2C">
              <w:rPr>
                <w:rFonts w:cs="Arial"/>
                <w:color w:val="000000"/>
              </w:rPr>
              <w:t>Bypass Middle Esophagus to Ileum with Autologous Tissue Substitute, Open Approach</w:t>
            </w:r>
          </w:p>
        </w:tc>
      </w:tr>
      <w:tr w:rsidR="00595F71" w:rsidRPr="00E97D2C" w14:paraId="6E913676" w14:textId="77777777" w:rsidTr="00696E8F">
        <w:trPr>
          <w:trHeight w:val="300"/>
        </w:trPr>
        <w:tc>
          <w:tcPr>
            <w:tcW w:w="1872" w:type="dxa"/>
            <w:noWrap/>
            <w:vAlign w:val="center"/>
            <w:hideMark/>
          </w:tcPr>
          <w:p w14:paraId="77E7AC46" w14:textId="77777777" w:rsidR="00595F71" w:rsidRPr="00E97D2C" w:rsidRDefault="00595F71" w:rsidP="00696E8F">
            <w:pPr>
              <w:rPr>
                <w:rFonts w:cs="Arial"/>
                <w:color w:val="000000"/>
              </w:rPr>
            </w:pPr>
            <w:r w:rsidRPr="00E97D2C">
              <w:rPr>
                <w:rFonts w:cs="Arial"/>
                <w:color w:val="000000"/>
              </w:rPr>
              <w:t>0D120J4</w:t>
            </w:r>
          </w:p>
        </w:tc>
        <w:tc>
          <w:tcPr>
            <w:tcW w:w="7560" w:type="dxa"/>
            <w:noWrap/>
            <w:vAlign w:val="center"/>
            <w:hideMark/>
          </w:tcPr>
          <w:p w14:paraId="0DC8E1F5" w14:textId="77777777" w:rsidR="00595F71" w:rsidRPr="00E97D2C" w:rsidRDefault="00595F71" w:rsidP="00696E8F">
            <w:pPr>
              <w:rPr>
                <w:rFonts w:cs="Arial"/>
                <w:color w:val="000000"/>
              </w:rPr>
            </w:pPr>
            <w:r w:rsidRPr="00E97D2C">
              <w:rPr>
                <w:rFonts w:cs="Arial"/>
                <w:color w:val="000000"/>
              </w:rPr>
              <w:t>Bypass Middle Esophagus to Cutaneous with Synthetic Substitute, Open Approach</w:t>
            </w:r>
          </w:p>
        </w:tc>
      </w:tr>
      <w:tr w:rsidR="00595F71" w:rsidRPr="00E97D2C" w14:paraId="47E0814C" w14:textId="77777777" w:rsidTr="00696E8F">
        <w:trPr>
          <w:trHeight w:val="300"/>
        </w:trPr>
        <w:tc>
          <w:tcPr>
            <w:tcW w:w="1872" w:type="dxa"/>
            <w:noWrap/>
            <w:vAlign w:val="center"/>
            <w:hideMark/>
          </w:tcPr>
          <w:p w14:paraId="53E3517D" w14:textId="77777777" w:rsidR="00595F71" w:rsidRPr="00E97D2C" w:rsidRDefault="00595F71" w:rsidP="00696E8F">
            <w:pPr>
              <w:rPr>
                <w:rFonts w:cs="Arial"/>
                <w:color w:val="000000"/>
              </w:rPr>
            </w:pPr>
            <w:r w:rsidRPr="00E97D2C">
              <w:rPr>
                <w:rFonts w:cs="Arial"/>
                <w:color w:val="000000"/>
              </w:rPr>
              <w:t>0D120J6</w:t>
            </w:r>
          </w:p>
        </w:tc>
        <w:tc>
          <w:tcPr>
            <w:tcW w:w="7560" w:type="dxa"/>
            <w:noWrap/>
            <w:vAlign w:val="center"/>
            <w:hideMark/>
          </w:tcPr>
          <w:p w14:paraId="52BA15BB" w14:textId="77777777" w:rsidR="00595F71" w:rsidRPr="00E97D2C" w:rsidRDefault="00595F71" w:rsidP="00696E8F">
            <w:pPr>
              <w:rPr>
                <w:rFonts w:cs="Arial"/>
                <w:color w:val="000000"/>
              </w:rPr>
            </w:pPr>
            <w:r w:rsidRPr="00E97D2C">
              <w:rPr>
                <w:rFonts w:cs="Arial"/>
                <w:color w:val="000000"/>
              </w:rPr>
              <w:t>Bypass Middle Esophagus to Stomach with Synthetic Substitute, Open Approach</w:t>
            </w:r>
          </w:p>
        </w:tc>
      </w:tr>
      <w:tr w:rsidR="00595F71" w:rsidRPr="00E97D2C" w14:paraId="2472A0E4" w14:textId="77777777" w:rsidTr="00696E8F">
        <w:trPr>
          <w:trHeight w:val="300"/>
        </w:trPr>
        <w:tc>
          <w:tcPr>
            <w:tcW w:w="1872" w:type="dxa"/>
            <w:noWrap/>
            <w:vAlign w:val="center"/>
            <w:hideMark/>
          </w:tcPr>
          <w:p w14:paraId="0ACD1CB3" w14:textId="77777777" w:rsidR="00595F71" w:rsidRPr="00E97D2C" w:rsidRDefault="00595F71" w:rsidP="00696E8F">
            <w:pPr>
              <w:rPr>
                <w:rFonts w:cs="Arial"/>
                <w:color w:val="000000"/>
              </w:rPr>
            </w:pPr>
            <w:r w:rsidRPr="00E97D2C">
              <w:rPr>
                <w:rFonts w:cs="Arial"/>
                <w:color w:val="000000"/>
              </w:rPr>
              <w:t>0D120J9</w:t>
            </w:r>
          </w:p>
        </w:tc>
        <w:tc>
          <w:tcPr>
            <w:tcW w:w="7560" w:type="dxa"/>
            <w:noWrap/>
            <w:vAlign w:val="center"/>
            <w:hideMark/>
          </w:tcPr>
          <w:p w14:paraId="79D2BB91" w14:textId="77777777" w:rsidR="00595F71" w:rsidRPr="00E97D2C" w:rsidRDefault="00595F71" w:rsidP="00696E8F">
            <w:pPr>
              <w:rPr>
                <w:rFonts w:cs="Arial"/>
                <w:color w:val="000000"/>
              </w:rPr>
            </w:pPr>
            <w:r w:rsidRPr="00E97D2C">
              <w:rPr>
                <w:rFonts w:cs="Arial"/>
                <w:color w:val="000000"/>
              </w:rPr>
              <w:t>Bypass Middle Esophagus to Duodenum with Synthetic Substitute, Open Approach</w:t>
            </w:r>
          </w:p>
        </w:tc>
      </w:tr>
      <w:tr w:rsidR="00595F71" w:rsidRPr="00E97D2C" w14:paraId="1416268E" w14:textId="77777777" w:rsidTr="00696E8F">
        <w:trPr>
          <w:trHeight w:val="300"/>
        </w:trPr>
        <w:tc>
          <w:tcPr>
            <w:tcW w:w="1872" w:type="dxa"/>
            <w:noWrap/>
            <w:vAlign w:val="center"/>
            <w:hideMark/>
          </w:tcPr>
          <w:p w14:paraId="5C92FE01" w14:textId="77777777" w:rsidR="00595F71" w:rsidRPr="00E97D2C" w:rsidRDefault="00595F71" w:rsidP="00696E8F">
            <w:pPr>
              <w:rPr>
                <w:rFonts w:cs="Arial"/>
                <w:color w:val="000000"/>
              </w:rPr>
            </w:pPr>
            <w:r w:rsidRPr="00E97D2C">
              <w:rPr>
                <w:rFonts w:cs="Arial"/>
                <w:color w:val="000000"/>
              </w:rPr>
              <w:t>0D120JA</w:t>
            </w:r>
          </w:p>
        </w:tc>
        <w:tc>
          <w:tcPr>
            <w:tcW w:w="7560" w:type="dxa"/>
            <w:noWrap/>
            <w:vAlign w:val="center"/>
            <w:hideMark/>
          </w:tcPr>
          <w:p w14:paraId="0E274887" w14:textId="77777777" w:rsidR="00595F71" w:rsidRPr="00E97D2C" w:rsidRDefault="00595F71" w:rsidP="00696E8F">
            <w:pPr>
              <w:rPr>
                <w:rFonts w:cs="Arial"/>
                <w:color w:val="000000"/>
              </w:rPr>
            </w:pPr>
            <w:r w:rsidRPr="00E97D2C">
              <w:rPr>
                <w:rFonts w:cs="Arial"/>
                <w:color w:val="000000"/>
              </w:rPr>
              <w:t>Bypass Middle Esophagus to Jejunum with Synthetic Substitute, Open Approach</w:t>
            </w:r>
          </w:p>
        </w:tc>
      </w:tr>
      <w:tr w:rsidR="00595F71" w:rsidRPr="00E97D2C" w14:paraId="099D9F98" w14:textId="77777777" w:rsidTr="00696E8F">
        <w:trPr>
          <w:trHeight w:val="300"/>
        </w:trPr>
        <w:tc>
          <w:tcPr>
            <w:tcW w:w="1872" w:type="dxa"/>
            <w:noWrap/>
            <w:vAlign w:val="center"/>
            <w:hideMark/>
          </w:tcPr>
          <w:p w14:paraId="30D1E250" w14:textId="77777777" w:rsidR="00595F71" w:rsidRPr="00E97D2C" w:rsidRDefault="00595F71" w:rsidP="00696E8F">
            <w:pPr>
              <w:rPr>
                <w:rFonts w:cs="Arial"/>
                <w:color w:val="000000"/>
              </w:rPr>
            </w:pPr>
            <w:r w:rsidRPr="00E97D2C">
              <w:rPr>
                <w:rFonts w:cs="Arial"/>
                <w:color w:val="000000"/>
              </w:rPr>
              <w:t>0D120JB</w:t>
            </w:r>
          </w:p>
        </w:tc>
        <w:tc>
          <w:tcPr>
            <w:tcW w:w="7560" w:type="dxa"/>
            <w:noWrap/>
            <w:vAlign w:val="center"/>
            <w:hideMark/>
          </w:tcPr>
          <w:p w14:paraId="7EE3F0E6" w14:textId="77777777" w:rsidR="00595F71" w:rsidRPr="00E97D2C" w:rsidRDefault="00595F71" w:rsidP="00696E8F">
            <w:pPr>
              <w:rPr>
                <w:rFonts w:cs="Arial"/>
                <w:color w:val="000000"/>
              </w:rPr>
            </w:pPr>
            <w:r w:rsidRPr="00E97D2C">
              <w:rPr>
                <w:rFonts w:cs="Arial"/>
                <w:color w:val="000000"/>
              </w:rPr>
              <w:t>Bypass Middle Esophagus to Ileum with Synthetic Substitute, Open Approach</w:t>
            </w:r>
          </w:p>
        </w:tc>
      </w:tr>
      <w:tr w:rsidR="00595F71" w:rsidRPr="00E97D2C" w14:paraId="0345C039" w14:textId="77777777" w:rsidTr="00696E8F">
        <w:trPr>
          <w:trHeight w:val="300"/>
        </w:trPr>
        <w:tc>
          <w:tcPr>
            <w:tcW w:w="1872" w:type="dxa"/>
            <w:noWrap/>
            <w:vAlign w:val="center"/>
            <w:hideMark/>
          </w:tcPr>
          <w:p w14:paraId="7F003D64" w14:textId="77777777" w:rsidR="00595F71" w:rsidRPr="00E97D2C" w:rsidRDefault="00595F71" w:rsidP="00696E8F">
            <w:pPr>
              <w:rPr>
                <w:rFonts w:cs="Arial"/>
                <w:color w:val="000000"/>
              </w:rPr>
            </w:pPr>
            <w:r w:rsidRPr="00E97D2C">
              <w:rPr>
                <w:rFonts w:cs="Arial"/>
                <w:color w:val="000000"/>
              </w:rPr>
              <w:t>0D120K4</w:t>
            </w:r>
          </w:p>
        </w:tc>
        <w:tc>
          <w:tcPr>
            <w:tcW w:w="7560" w:type="dxa"/>
            <w:noWrap/>
            <w:vAlign w:val="center"/>
            <w:hideMark/>
          </w:tcPr>
          <w:p w14:paraId="474027DA" w14:textId="77777777" w:rsidR="00595F71" w:rsidRPr="00E97D2C" w:rsidRDefault="00595F71" w:rsidP="00696E8F">
            <w:pPr>
              <w:rPr>
                <w:rFonts w:cs="Arial"/>
                <w:color w:val="000000"/>
              </w:rPr>
            </w:pPr>
            <w:r w:rsidRPr="00E97D2C">
              <w:rPr>
                <w:rFonts w:cs="Arial"/>
                <w:color w:val="000000"/>
              </w:rPr>
              <w:t xml:space="preserve">Bypass Middle Esophagus to Cutaneous with </w:t>
            </w:r>
            <w:proofErr w:type="spellStart"/>
            <w:r w:rsidRPr="00E97D2C">
              <w:rPr>
                <w:rFonts w:cs="Arial"/>
                <w:color w:val="000000"/>
              </w:rPr>
              <w:t>Nonautologous</w:t>
            </w:r>
            <w:proofErr w:type="spellEnd"/>
            <w:r w:rsidRPr="00E97D2C">
              <w:rPr>
                <w:rFonts w:cs="Arial"/>
                <w:color w:val="000000"/>
              </w:rPr>
              <w:t xml:space="preserve"> Tissue Substitute, Open Approach</w:t>
            </w:r>
          </w:p>
        </w:tc>
      </w:tr>
      <w:tr w:rsidR="00595F71" w:rsidRPr="00E97D2C" w14:paraId="23DF7694" w14:textId="77777777" w:rsidTr="00696E8F">
        <w:trPr>
          <w:trHeight w:val="300"/>
        </w:trPr>
        <w:tc>
          <w:tcPr>
            <w:tcW w:w="1872" w:type="dxa"/>
            <w:noWrap/>
            <w:vAlign w:val="center"/>
            <w:hideMark/>
          </w:tcPr>
          <w:p w14:paraId="25EBFF02" w14:textId="77777777" w:rsidR="00595F71" w:rsidRPr="00E97D2C" w:rsidRDefault="00595F71" w:rsidP="00696E8F">
            <w:pPr>
              <w:rPr>
                <w:rFonts w:cs="Arial"/>
                <w:color w:val="000000"/>
              </w:rPr>
            </w:pPr>
            <w:r w:rsidRPr="00E97D2C">
              <w:rPr>
                <w:rFonts w:cs="Arial"/>
                <w:color w:val="000000"/>
              </w:rPr>
              <w:t>0D120K6</w:t>
            </w:r>
          </w:p>
        </w:tc>
        <w:tc>
          <w:tcPr>
            <w:tcW w:w="7560" w:type="dxa"/>
            <w:noWrap/>
            <w:vAlign w:val="center"/>
            <w:hideMark/>
          </w:tcPr>
          <w:p w14:paraId="69A2C153" w14:textId="77777777" w:rsidR="00595F71" w:rsidRPr="00E97D2C" w:rsidRDefault="00595F71" w:rsidP="00696E8F">
            <w:pPr>
              <w:rPr>
                <w:rFonts w:cs="Arial"/>
                <w:color w:val="000000"/>
              </w:rPr>
            </w:pPr>
            <w:r w:rsidRPr="00E97D2C">
              <w:rPr>
                <w:rFonts w:cs="Arial"/>
                <w:color w:val="000000"/>
              </w:rPr>
              <w:t xml:space="preserve">Bypass Middle Esophagus to Stomach with </w:t>
            </w:r>
            <w:proofErr w:type="spellStart"/>
            <w:r w:rsidRPr="00E97D2C">
              <w:rPr>
                <w:rFonts w:cs="Arial"/>
                <w:color w:val="000000"/>
              </w:rPr>
              <w:t>Nonautologous</w:t>
            </w:r>
            <w:proofErr w:type="spellEnd"/>
            <w:r w:rsidRPr="00E97D2C">
              <w:rPr>
                <w:rFonts w:cs="Arial"/>
                <w:color w:val="000000"/>
              </w:rPr>
              <w:t xml:space="preserve"> Tissue Substitute, Open Approach</w:t>
            </w:r>
          </w:p>
        </w:tc>
      </w:tr>
      <w:tr w:rsidR="00595F71" w:rsidRPr="00E97D2C" w14:paraId="0B5BD8BD" w14:textId="77777777" w:rsidTr="00696E8F">
        <w:trPr>
          <w:trHeight w:val="300"/>
        </w:trPr>
        <w:tc>
          <w:tcPr>
            <w:tcW w:w="1872" w:type="dxa"/>
            <w:noWrap/>
            <w:vAlign w:val="center"/>
            <w:hideMark/>
          </w:tcPr>
          <w:p w14:paraId="4ED4D50B" w14:textId="77777777" w:rsidR="00595F71" w:rsidRPr="00E97D2C" w:rsidRDefault="00595F71" w:rsidP="00696E8F">
            <w:pPr>
              <w:rPr>
                <w:rFonts w:cs="Arial"/>
                <w:color w:val="000000"/>
              </w:rPr>
            </w:pPr>
            <w:r w:rsidRPr="00E97D2C">
              <w:rPr>
                <w:rFonts w:cs="Arial"/>
                <w:color w:val="000000"/>
              </w:rPr>
              <w:t>0D120K9</w:t>
            </w:r>
          </w:p>
        </w:tc>
        <w:tc>
          <w:tcPr>
            <w:tcW w:w="7560" w:type="dxa"/>
            <w:noWrap/>
            <w:vAlign w:val="center"/>
            <w:hideMark/>
          </w:tcPr>
          <w:p w14:paraId="55FDF98F" w14:textId="77777777" w:rsidR="00595F71" w:rsidRPr="00E97D2C" w:rsidRDefault="00595F71" w:rsidP="00696E8F">
            <w:pPr>
              <w:rPr>
                <w:rFonts w:cs="Arial"/>
                <w:color w:val="000000"/>
              </w:rPr>
            </w:pPr>
            <w:r w:rsidRPr="00E97D2C">
              <w:rPr>
                <w:rFonts w:cs="Arial"/>
                <w:color w:val="000000"/>
              </w:rPr>
              <w:t xml:space="preserve">Bypass Middle Esophagus to Duodenum with </w:t>
            </w:r>
            <w:proofErr w:type="spellStart"/>
            <w:r w:rsidRPr="00E97D2C">
              <w:rPr>
                <w:rFonts w:cs="Arial"/>
                <w:color w:val="000000"/>
              </w:rPr>
              <w:t>Nonautologous</w:t>
            </w:r>
            <w:proofErr w:type="spellEnd"/>
            <w:r w:rsidRPr="00E97D2C">
              <w:rPr>
                <w:rFonts w:cs="Arial"/>
                <w:color w:val="000000"/>
              </w:rPr>
              <w:t xml:space="preserve"> Tissue Substitute, Open Approach</w:t>
            </w:r>
          </w:p>
        </w:tc>
      </w:tr>
      <w:tr w:rsidR="00595F71" w:rsidRPr="00E97D2C" w14:paraId="1B24972E" w14:textId="77777777" w:rsidTr="00696E8F">
        <w:trPr>
          <w:trHeight w:val="300"/>
        </w:trPr>
        <w:tc>
          <w:tcPr>
            <w:tcW w:w="1872" w:type="dxa"/>
            <w:noWrap/>
            <w:vAlign w:val="center"/>
            <w:hideMark/>
          </w:tcPr>
          <w:p w14:paraId="5D9692D1" w14:textId="77777777" w:rsidR="00595F71" w:rsidRPr="00E97D2C" w:rsidRDefault="00595F71" w:rsidP="00696E8F">
            <w:pPr>
              <w:rPr>
                <w:rFonts w:cs="Arial"/>
                <w:color w:val="000000"/>
              </w:rPr>
            </w:pPr>
            <w:r w:rsidRPr="00E97D2C">
              <w:rPr>
                <w:rFonts w:cs="Arial"/>
                <w:color w:val="000000"/>
              </w:rPr>
              <w:t>0D120KA</w:t>
            </w:r>
          </w:p>
        </w:tc>
        <w:tc>
          <w:tcPr>
            <w:tcW w:w="7560" w:type="dxa"/>
            <w:noWrap/>
            <w:vAlign w:val="center"/>
            <w:hideMark/>
          </w:tcPr>
          <w:p w14:paraId="748B32B1" w14:textId="77777777" w:rsidR="00595F71" w:rsidRPr="00E97D2C" w:rsidRDefault="00595F71" w:rsidP="00696E8F">
            <w:pPr>
              <w:rPr>
                <w:rFonts w:cs="Arial"/>
                <w:color w:val="000000"/>
              </w:rPr>
            </w:pPr>
            <w:r w:rsidRPr="00E97D2C">
              <w:rPr>
                <w:rFonts w:cs="Arial"/>
                <w:color w:val="000000"/>
              </w:rPr>
              <w:t xml:space="preserve">Bypass Middle Esophagus to Jejunum with </w:t>
            </w:r>
            <w:proofErr w:type="spellStart"/>
            <w:r w:rsidRPr="00E97D2C">
              <w:rPr>
                <w:rFonts w:cs="Arial"/>
                <w:color w:val="000000"/>
              </w:rPr>
              <w:t>Nonautologous</w:t>
            </w:r>
            <w:proofErr w:type="spellEnd"/>
            <w:r w:rsidRPr="00E97D2C">
              <w:rPr>
                <w:rFonts w:cs="Arial"/>
                <w:color w:val="000000"/>
              </w:rPr>
              <w:t xml:space="preserve"> Tissue Substitute, Open Approach</w:t>
            </w:r>
          </w:p>
        </w:tc>
      </w:tr>
      <w:tr w:rsidR="00595F71" w:rsidRPr="00E97D2C" w14:paraId="21A0FB7A" w14:textId="77777777" w:rsidTr="00696E8F">
        <w:trPr>
          <w:trHeight w:val="300"/>
        </w:trPr>
        <w:tc>
          <w:tcPr>
            <w:tcW w:w="1872" w:type="dxa"/>
            <w:noWrap/>
            <w:vAlign w:val="center"/>
            <w:hideMark/>
          </w:tcPr>
          <w:p w14:paraId="65C88252" w14:textId="77777777" w:rsidR="00595F71" w:rsidRPr="00E97D2C" w:rsidRDefault="00595F71" w:rsidP="00696E8F">
            <w:pPr>
              <w:rPr>
                <w:rFonts w:cs="Arial"/>
                <w:color w:val="000000"/>
              </w:rPr>
            </w:pPr>
            <w:r w:rsidRPr="00E97D2C">
              <w:rPr>
                <w:rFonts w:cs="Arial"/>
                <w:color w:val="000000"/>
              </w:rPr>
              <w:t>0D120KB</w:t>
            </w:r>
          </w:p>
        </w:tc>
        <w:tc>
          <w:tcPr>
            <w:tcW w:w="7560" w:type="dxa"/>
            <w:noWrap/>
            <w:vAlign w:val="center"/>
            <w:hideMark/>
          </w:tcPr>
          <w:p w14:paraId="583C6FFC" w14:textId="77777777" w:rsidR="00595F71" w:rsidRPr="00E97D2C" w:rsidRDefault="00595F71" w:rsidP="00696E8F">
            <w:pPr>
              <w:rPr>
                <w:rFonts w:cs="Arial"/>
                <w:color w:val="000000"/>
              </w:rPr>
            </w:pPr>
            <w:r w:rsidRPr="00E97D2C">
              <w:rPr>
                <w:rFonts w:cs="Arial"/>
                <w:color w:val="000000"/>
              </w:rPr>
              <w:t xml:space="preserve">Bypass Middle Esophagus to Ileum with </w:t>
            </w:r>
            <w:proofErr w:type="spellStart"/>
            <w:r w:rsidRPr="00E97D2C">
              <w:rPr>
                <w:rFonts w:cs="Arial"/>
                <w:color w:val="000000"/>
              </w:rPr>
              <w:t>Nonautologous</w:t>
            </w:r>
            <w:proofErr w:type="spellEnd"/>
            <w:r w:rsidRPr="00E97D2C">
              <w:rPr>
                <w:rFonts w:cs="Arial"/>
                <w:color w:val="000000"/>
              </w:rPr>
              <w:t xml:space="preserve"> Tissue Substitute, Open Approach</w:t>
            </w:r>
          </w:p>
        </w:tc>
      </w:tr>
      <w:tr w:rsidR="00595F71" w:rsidRPr="00E97D2C" w14:paraId="67D6A38B" w14:textId="77777777" w:rsidTr="00696E8F">
        <w:trPr>
          <w:trHeight w:val="300"/>
        </w:trPr>
        <w:tc>
          <w:tcPr>
            <w:tcW w:w="1872" w:type="dxa"/>
            <w:noWrap/>
            <w:vAlign w:val="center"/>
            <w:hideMark/>
          </w:tcPr>
          <w:p w14:paraId="37DC447F" w14:textId="77777777" w:rsidR="00595F71" w:rsidRPr="00E97D2C" w:rsidRDefault="00595F71" w:rsidP="00696E8F">
            <w:pPr>
              <w:rPr>
                <w:rFonts w:cs="Arial"/>
                <w:color w:val="000000"/>
              </w:rPr>
            </w:pPr>
            <w:r w:rsidRPr="00E97D2C">
              <w:rPr>
                <w:rFonts w:cs="Arial"/>
                <w:color w:val="000000"/>
              </w:rPr>
              <w:t>0D120Z4</w:t>
            </w:r>
          </w:p>
        </w:tc>
        <w:tc>
          <w:tcPr>
            <w:tcW w:w="7560" w:type="dxa"/>
            <w:noWrap/>
            <w:vAlign w:val="center"/>
            <w:hideMark/>
          </w:tcPr>
          <w:p w14:paraId="183C996D" w14:textId="77777777" w:rsidR="00595F71" w:rsidRPr="00E97D2C" w:rsidRDefault="00595F71" w:rsidP="00696E8F">
            <w:pPr>
              <w:rPr>
                <w:rFonts w:cs="Arial"/>
                <w:color w:val="000000"/>
              </w:rPr>
            </w:pPr>
            <w:r w:rsidRPr="00E97D2C">
              <w:rPr>
                <w:rFonts w:cs="Arial"/>
                <w:color w:val="000000"/>
              </w:rPr>
              <w:t>Bypass Middle Esophagus to Cutaneous, Open Approach</w:t>
            </w:r>
          </w:p>
        </w:tc>
      </w:tr>
      <w:tr w:rsidR="00595F71" w:rsidRPr="00E97D2C" w14:paraId="274908C6" w14:textId="77777777" w:rsidTr="00696E8F">
        <w:trPr>
          <w:trHeight w:val="300"/>
        </w:trPr>
        <w:tc>
          <w:tcPr>
            <w:tcW w:w="1872" w:type="dxa"/>
            <w:noWrap/>
            <w:vAlign w:val="center"/>
            <w:hideMark/>
          </w:tcPr>
          <w:p w14:paraId="304CE722" w14:textId="77777777" w:rsidR="00595F71" w:rsidRPr="00E97D2C" w:rsidRDefault="00595F71" w:rsidP="00696E8F">
            <w:pPr>
              <w:rPr>
                <w:rFonts w:cs="Arial"/>
                <w:color w:val="000000"/>
              </w:rPr>
            </w:pPr>
            <w:r w:rsidRPr="00E97D2C">
              <w:rPr>
                <w:rFonts w:cs="Arial"/>
                <w:color w:val="000000"/>
              </w:rPr>
              <w:t>0D120Z6</w:t>
            </w:r>
          </w:p>
        </w:tc>
        <w:tc>
          <w:tcPr>
            <w:tcW w:w="7560" w:type="dxa"/>
            <w:noWrap/>
            <w:vAlign w:val="center"/>
            <w:hideMark/>
          </w:tcPr>
          <w:p w14:paraId="114BE2D0" w14:textId="77777777" w:rsidR="00595F71" w:rsidRPr="00E97D2C" w:rsidRDefault="00595F71" w:rsidP="00696E8F">
            <w:pPr>
              <w:rPr>
                <w:rFonts w:cs="Arial"/>
                <w:color w:val="000000"/>
              </w:rPr>
            </w:pPr>
            <w:r w:rsidRPr="00E97D2C">
              <w:rPr>
                <w:rFonts w:cs="Arial"/>
                <w:color w:val="000000"/>
              </w:rPr>
              <w:t>Bypass Middle Esophagus to Stomach, Open Approach</w:t>
            </w:r>
          </w:p>
        </w:tc>
      </w:tr>
      <w:tr w:rsidR="00595F71" w:rsidRPr="00E97D2C" w14:paraId="0D01B361" w14:textId="77777777" w:rsidTr="00696E8F">
        <w:trPr>
          <w:trHeight w:val="300"/>
        </w:trPr>
        <w:tc>
          <w:tcPr>
            <w:tcW w:w="1872" w:type="dxa"/>
            <w:noWrap/>
            <w:vAlign w:val="center"/>
            <w:hideMark/>
          </w:tcPr>
          <w:p w14:paraId="37E26B26" w14:textId="77777777" w:rsidR="00595F71" w:rsidRPr="00E97D2C" w:rsidRDefault="00595F71" w:rsidP="00696E8F">
            <w:pPr>
              <w:rPr>
                <w:rFonts w:cs="Arial"/>
                <w:color w:val="000000"/>
              </w:rPr>
            </w:pPr>
            <w:r w:rsidRPr="00E97D2C">
              <w:rPr>
                <w:rFonts w:cs="Arial"/>
                <w:color w:val="000000"/>
              </w:rPr>
              <w:t>0D120Z9</w:t>
            </w:r>
          </w:p>
        </w:tc>
        <w:tc>
          <w:tcPr>
            <w:tcW w:w="7560" w:type="dxa"/>
            <w:noWrap/>
            <w:vAlign w:val="center"/>
            <w:hideMark/>
          </w:tcPr>
          <w:p w14:paraId="043554C5" w14:textId="77777777" w:rsidR="00595F71" w:rsidRPr="00E97D2C" w:rsidRDefault="00595F71" w:rsidP="00696E8F">
            <w:pPr>
              <w:rPr>
                <w:rFonts w:cs="Arial"/>
                <w:color w:val="000000"/>
              </w:rPr>
            </w:pPr>
            <w:r w:rsidRPr="00E97D2C">
              <w:rPr>
                <w:rFonts w:cs="Arial"/>
                <w:color w:val="000000"/>
              </w:rPr>
              <w:t>Bypass Middle Esophagus to Duodenum, Open Approach</w:t>
            </w:r>
          </w:p>
        </w:tc>
      </w:tr>
      <w:tr w:rsidR="00595F71" w:rsidRPr="00E97D2C" w14:paraId="1D831AA9" w14:textId="77777777" w:rsidTr="00696E8F">
        <w:trPr>
          <w:trHeight w:val="300"/>
        </w:trPr>
        <w:tc>
          <w:tcPr>
            <w:tcW w:w="1872" w:type="dxa"/>
            <w:noWrap/>
            <w:vAlign w:val="center"/>
            <w:hideMark/>
          </w:tcPr>
          <w:p w14:paraId="154B515B" w14:textId="77777777" w:rsidR="00595F71" w:rsidRPr="00E97D2C" w:rsidRDefault="00595F71" w:rsidP="00696E8F">
            <w:pPr>
              <w:rPr>
                <w:rFonts w:cs="Arial"/>
                <w:color w:val="000000"/>
              </w:rPr>
            </w:pPr>
            <w:r w:rsidRPr="00E97D2C">
              <w:rPr>
                <w:rFonts w:cs="Arial"/>
                <w:color w:val="000000"/>
              </w:rPr>
              <w:t>0D120ZA</w:t>
            </w:r>
          </w:p>
        </w:tc>
        <w:tc>
          <w:tcPr>
            <w:tcW w:w="7560" w:type="dxa"/>
            <w:noWrap/>
            <w:vAlign w:val="center"/>
            <w:hideMark/>
          </w:tcPr>
          <w:p w14:paraId="057CBD9E" w14:textId="77777777" w:rsidR="00595F71" w:rsidRPr="00E97D2C" w:rsidRDefault="00595F71" w:rsidP="00696E8F">
            <w:pPr>
              <w:rPr>
                <w:rFonts w:cs="Arial"/>
                <w:color w:val="000000"/>
              </w:rPr>
            </w:pPr>
            <w:r w:rsidRPr="00E97D2C">
              <w:rPr>
                <w:rFonts w:cs="Arial"/>
                <w:color w:val="000000"/>
              </w:rPr>
              <w:t>Bypass Middle Esophagus to Jejunum, Open Approach</w:t>
            </w:r>
          </w:p>
        </w:tc>
      </w:tr>
      <w:tr w:rsidR="00595F71" w:rsidRPr="00E97D2C" w14:paraId="4FD99A65" w14:textId="77777777" w:rsidTr="00696E8F">
        <w:trPr>
          <w:trHeight w:val="300"/>
        </w:trPr>
        <w:tc>
          <w:tcPr>
            <w:tcW w:w="1872" w:type="dxa"/>
            <w:noWrap/>
            <w:vAlign w:val="center"/>
            <w:hideMark/>
          </w:tcPr>
          <w:p w14:paraId="49A28B14" w14:textId="77777777" w:rsidR="00595F71" w:rsidRPr="00E97D2C" w:rsidRDefault="00595F71" w:rsidP="00696E8F">
            <w:pPr>
              <w:rPr>
                <w:rFonts w:cs="Arial"/>
                <w:color w:val="000000"/>
              </w:rPr>
            </w:pPr>
            <w:r w:rsidRPr="00E97D2C">
              <w:rPr>
                <w:rFonts w:cs="Arial"/>
                <w:color w:val="000000"/>
              </w:rPr>
              <w:t>0D120ZB</w:t>
            </w:r>
          </w:p>
        </w:tc>
        <w:tc>
          <w:tcPr>
            <w:tcW w:w="7560" w:type="dxa"/>
            <w:noWrap/>
            <w:vAlign w:val="center"/>
            <w:hideMark/>
          </w:tcPr>
          <w:p w14:paraId="7BBE5541" w14:textId="77777777" w:rsidR="00595F71" w:rsidRPr="00E97D2C" w:rsidRDefault="00595F71" w:rsidP="00696E8F">
            <w:pPr>
              <w:rPr>
                <w:rFonts w:cs="Arial"/>
                <w:color w:val="000000"/>
              </w:rPr>
            </w:pPr>
            <w:r w:rsidRPr="00E97D2C">
              <w:rPr>
                <w:rFonts w:cs="Arial"/>
                <w:color w:val="000000"/>
              </w:rPr>
              <w:t>Bypass Middle Esophagus to Ileum, Open Approach</w:t>
            </w:r>
          </w:p>
        </w:tc>
      </w:tr>
      <w:tr w:rsidR="00595F71" w:rsidRPr="00E97D2C" w14:paraId="592D21B8" w14:textId="77777777" w:rsidTr="00696E8F">
        <w:trPr>
          <w:trHeight w:val="300"/>
        </w:trPr>
        <w:tc>
          <w:tcPr>
            <w:tcW w:w="1872" w:type="dxa"/>
            <w:noWrap/>
            <w:vAlign w:val="center"/>
            <w:hideMark/>
          </w:tcPr>
          <w:p w14:paraId="6A04F13A" w14:textId="77777777" w:rsidR="00595F71" w:rsidRPr="00E97D2C" w:rsidRDefault="00595F71" w:rsidP="00696E8F">
            <w:pPr>
              <w:rPr>
                <w:rFonts w:cs="Arial"/>
                <w:color w:val="000000"/>
              </w:rPr>
            </w:pPr>
            <w:r w:rsidRPr="00E97D2C">
              <w:rPr>
                <w:rFonts w:cs="Arial"/>
                <w:color w:val="000000"/>
              </w:rPr>
              <w:t>0D123J4</w:t>
            </w:r>
          </w:p>
        </w:tc>
        <w:tc>
          <w:tcPr>
            <w:tcW w:w="7560" w:type="dxa"/>
            <w:noWrap/>
            <w:vAlign w:val="center"/>
            <w:hideMark/>
          </w:tcPr>
          <w:p w14:paraId="5AA7246C" w14:textId="77777777" w:rsidR="00595F71" w:rsidRPr="00E97D2C" w:rsidRDefault="00595F71" w:rsidP="00696E8F">
            <w:pPr>
              <w:rPr>
                <w:rFonts w:cs="Arial"/>
                <w:color w:val="000000"/>
              </w:rPr>
            </w:pPr>
            <w:r w:rsidRPr="00E97D2C">
              <w:rPr>
                <w:rFonts w:cs="Arial"/>
                <w:color w:val="000000"/>
              </w:rPr>
              <w:t>Bypass Middle Esophagus to Cutaneous with Synthetic Substitute, Percutaneous Approach</w:t>
            </w:r>
          </w:p>
        </w:tc>
      </w:tr>
      <w:tr w:rsidR="00595F71" w:rsidRPr="00E97D2C" w14:paraId="79EA118A" w14:textId="77777777" w:rsidTr="00696E8F">
        <w:trPr>
          <w:trHeight w:val="300"/>
        </w:trPr>
        <w:tc>
          <w:tcPr>
            <w:tcW w:w="1872" w:type="dxa"/>
            <w:noWrap/>
            <w:vAlign w:val="center"/>
            <w:hideMark/>
          </w:tcPr>
          <w:p w14:paraId="33736B8F" w14:textId="77777777" w:rsidR="00595F71" w:rsidRPr="00E97D2C" w:rsidRDefault="00595F71" w:rsidP="00696E8F">
            <w:pPr>
              <w:rPr>
                <w:rFonts w:cs="Arial"/>
                <w:color w:val="000000"/>
              </w:rPr>
            </w:pPr>
            <w:r w:rsidRPr="00E97D2C">
              <w:rPr>
                <w:rFonts w:cs="Arial"/>
                <w:color w:val="000000"/>
              </w:rPr>
              <w:t>0D12474</w:t>
            </w:r>
          </w:p>
        </w:tc>
        <w:tc>
          <w:tcPr>
            <w:tcW w:w="7560" w:type="dxa"/>
            <w:noWrap/>
            <w:vAlign w:val="center"/>
            <w:hideMark/>
          </w:tcPr>
          <w:p w14:paraId="6DF20D03" w14:textId="77777777" w:rsidR="00595F71" w:rsidRPr="00E97D2C" w:rsidRDefault="00595F71" w:rsidP="00696E8F">
            <w:pPr>
              <w:rPr>
                <w:rFonts w:cs="Arial"/>
                <w:color w:val="000000"/>
              </w:rPr>
            </w:pPr>
            <w:r w:rsidRPr="00E97D2C">
              <w:rPr>
                <w:rFonts w:cs="Arial"/>
                <w:color w:val="000000"/>
              </w:rPr>
              <w:t>Bypass Middle Esophagus to Cutaneous with Autologous Tissue Substitute, Percutaneous Endoscopic Approach</w:t>
            </w:r>
          </w:p>
        </w:tc>
      </w:tr>
      <w:tr w:rsidR="00595F71" w:rsidRPr="00E97D2C" w14:paraId="734F8C54" w14:textId="77777777" w:rsidTr="00696E8F">
        <w:trPr>
          <w:trHeight w:val="300"/>
        </w:trPr>
        <w:tc>
          <w:tcPr>
            <w:tcW w:w="1872" w:type="dxa"/>
            <w:noWrap/>
            <w:vAlign w:val="center"/>
            <w:hideMark/>
          </w:tcPr>
          <w:p w14:paraId="23AFD93D" w14:textId="77777777" w:rsidR="00595F71" w:rsidRPr="00E97D2C" w:rsidRDefault="00595F71" w:rsidP="00696E8F">
            <w:pPr>
              <w:rPr>
                <w:rFonts w:cs="Arial"/>
                <w:color w:val="000000"/>
              </w:rPr>
            </w:pPr>
            <w:r w:rsidRPr="00E97D2C">
              <w:rPr>
                <w:rFonts w:cs="Arial"/>
                <w:color w:val="000000"/>
              </w:rPr>
              <w:lastRenderedPageBreak/>
              <w:t>0D12476</w:t>
            </w:r>
          </w:p>
        </w:tc>
        <w:tc>
          <w:tcPr>
            <w:tcW w:w="7560" w:type="dxa"/>
            <w:noWrap/>
            <w:vAlign w:val="center"/>
            <w:hideMark/>
          </w:tcPr>
          <w:p w14:paraId="2C2DC79D" w14:textId="77777777" w:rsidR="00595F71" w:rsidRPr="00E97D2C" w:rsidRDefault="00595F71" w:rsidP="00696E8F">
            <w:pPr>
              <w:rPr>
                <w:rFonts w:cs="Arial"/>
                <w:color w:val="000000"/>
              </w:rPr>
            </w:pPr>
            <w:r w:rsidRPr="00E97D2C">
              <w:rPr>
                <w:rFonts w:cs="Arial"/>
                <w:color w:val="000000"/>
              </w:rPr>
              <w:t>Bypass Middle Esophagus to Stomach with Autologous Tissue Substitute, Percutaneous Endoscopic Approach</w:t>
            </w:r>
          </w:p>
        </w:tc>
      </w:tr>
      <w:tr w:rsidR="00595F71" w:rsidRPr="00E97D2C" w14:paraId="1225917C" w14:textId="77777777" w:rsidTr="00696E8F">
        <w:trPr>
          <w:trHeight w:val="300"/>
        </w:trPr>
        <w:tc>
          <w:tcPr>
            <w:tcW w:w="1872" w:type="dxa"/>
            <w:noWrap/>
            <w:vAlign w:val="center"/>
            <w:hideMark/>
          </w:tcPr>
          <w:p w14:paraId="4DC7587E" w14:textId="77777777" w:rsidR="00595F71" w:rsidRPr="00E97D2C" w:rsidRDefault="00595F71" w:rsidP="00696E8F">
            <w:pPr>
              <w:rPr>
                <w:rFonts w:cs="Arial"/>
                <w:color w:val="000000"/>
              </w:rPr>
            </w:pPr>
            <w:r w:rsidRPr="00E97D2C">
              <w:rPr>
                <w:rFonts w:cs="Arial"/>
                <w:color w:val="000000"/>
              </w:rPr>
              <w:t>0D12479</w:t>
            </w:r>
          </w:p>
        </w:tc>
        <w:tc>
          <w:tcPr>
            <w:tcW w:w="7560" w:type="dxa"/>
            <w:noWrap/>
            <w:vAlign w:val="center"/>
            <w:hideMark/>
          </w:tcPr>
          <w:p w14:paraId="739ABBDA" w14:textId="77777777" w:rsidR="00595F71" w:rsidRPr="00E97D2C" w:rsidRDefault="00595F71" w:rsidP="00696E8F">
            <w:pPr>
              <w:rPr>
                <w:rFonts w:cs="Arial"/>
                <w:color w:val="000000"/>
              </w:rPr>
            </w:pPr>
            <w:r w:rsidRPr="00E97D2C">
              <w:rPr>
                <w:rFonts w:cs="Arial"/>
                <w:color w:val="000000"/>
              </w:rPr>
              <w:t>Bypass Middle Esophagus to Duodenum with Autologous Tissue Substitute, Percutaneous Endoscopic Approach</w:t>
            </w:r>
          </w:p>
        </w:tc>
      </w:tr>
      <w:tr w:rsidR="00595F71" w:rsidRPr="00E97D2C" w14:paraId="1321A777" w14:textId="77777777" w:rsidTr="00696E8F">
        <w:trPr>
          <w:trHeight w:val="300"/>
        </w:trPr>
        <w:tc>
          <w:tcPr>
            <w:tcW w:w="1872" w:type="dxa"/>
            <w:noWrap/>
            <w:vAlign w:val="center"/>
            <w:hideMark/>
          </w:tcPr>
          <w:p w14:paraId="464AFC1E" w14:textId="77777777" w:rsidR="00595F71" w:rsidRPr="00E97D2C" w:rsidRDefault="00595F71" w:rsidP="00696E8F">
            <w:pPr>
              <w:rPr>
                <w:rFonts w:cs="Arial"/>
                <w:color w:val="000000"/>
              </w:rPr>
            </w:pPr>
            <w:r w:rsidRPr="00E97D2C">
              <w:rPr>
                <w:rFonts w:cs="Arial"/>
                <w:color w:val="000000"/>
              </w:rPr>
              <w:t>0D1247A</w:t>
            </w:r>
          </w:p>
        </w:tc>
        <w:tc>
          <w:tcPr>
            <w:tcW w:w="7560" w:type="dxa"/>
            <w:noWrap/>
            <w:vAlign w:val="center"/>
            <w:hideMark/>
          </w:tcPr>
          <w:p w14:paraId="45B6DBF9" w14:textId="77777777" w:rsidR="00595F71" w:rsidRPr="00E97D2C" w:rsidRDefault="00595F71" w:rsidP="00696E8F">
            <w:pPr>
              <w:rPr>
                <w:rFonts w:cs="Arial"/>
                <w:color w:val="000000"/>
              </w:rPr>
            </w:pPr>
            <w:r w:rsidRPr="00E97D2C">
              <w:rPr>
                <w:rFonts w:cs="Arial"/>
                <w:color w:val="000000"/>
              </w:rPr>
              <w:t>Bypass Middle Esophagus to Jejunum with Autologous Tissue Substitute, Percutaneous Endoscopic Approach</w:t>
            </w:r>
          </w:p>
        </w:tc>
      </w:tr>
      <w:tr w:rsidR="00595F71" w:rsidRPr="00E97D2C" w14:paraId="474AA9D3" w14:textId="77777777" w:rsidTr="00696E8F">
        <w:trPr>
          <w:trHeight w:val="300"/>
        </w:trPr>
        <w:tc>
          <w:tcPr>
            <w:tcW w:w="1872" w:type="dxa"/>
            <w:noWrap/>
            <w:vAlign w:val="center"/>
            <w:hideMark/>
          </w:tcPr>
          <w:p w14:paraId="0D224910" w14:textId="77777777" w:rsidR="00595F71" w:rsidRPr="00E97D2C" w:rsidRDefault="00595F71" w:rsidP="00696E8F">
            <w:pPr>
              <w:rPr>
                <w:rFonts w:cs="Arial"/>
                <w:color w:val="000000"/>
              </w:rPr>
            </w:pPr>
            <w:r w:rsidRPr="00E97D2C">
              <w:rPr>
                <w:rFonts w:cs="Arial"/>
                <w:color w:val="000000"/>
              </w:rPr>
              <w:t>0D1247B</w:t>
            </w:r>
          </w:p>
        </w:tc>
        <w:tc>
          <w:tcPr>
            <w:tcW w:w="7560" w:type="dxa"/>
            <w:noWrap/>
            <w:vAlign w:val="center"/>
            <w:hideMark/>
          </w:tcPr>
          <w:p w14:paraId="7759B391" w14:textId="77777777" w:rsidR="00595F71" w:rsidRPr="00E97D2C" w:rsidRDefault="00595F71" w:rsidP="00696E8F">
            <w:pPr>
              <w:rPr>
                <w:rFonts w:cs="Arial"/>
                <w:color w:val="000000"/>
              </w:rPr>
            </w:pPr>
            <w:r w:rsidRPr="00E97D2C">
              <w:rPr>
                <w:rFonts w:cs="Arial"/>
                <w:color w:val="000000"/>
              </w:rPr>
              <w:t>Bypass Middle Esophagus to Ileum with Autologous Tissue Substitute, Percutaneous Endoscopic Approach</w:t>
            </w:r>
          </w:p>
        </w:tc>
      </w:tr>
      <w:tr w:rsidR="00595F71" w:rsidRPr="00E97D2C" w14:paraId="346A0FB0" w14:textId="77777777" w:rsidTr="00696E8F">
        <w:trPr>
          <w:trHeight w:val="300"/>
        </w:trPr>
        <w:tc>
          <w:tcPr>
            <w:tcW w:w="1872" w:type="dxa"/>
            <w:noWrap/>
            <w:vAlign w:val="center"/>
            <w:hideMark/>
          </w:tcPr>
          <w:p w14:paraId="1661F014" w14:textId="77777777" w:rsidR="00595F71" w:rsidRPr="00E97D2C" w:rsidRDefault="00595F71" w:rsidP="00696E8F">
            <w:pPr>
              <w:rPr>
                <w:rFonts w:cs="Arial"/>
                <w:color w:val="000000"/>
              </w:rPr>
            </w:pPr>
            <w:r w:rsidRPr="00E97D2C">
              <w:rPr>
                <w:rFonts w:cs="Arial"/>
                <w:color w:val="000000"/>
              </w:rPr>
              <w:t>0D124J4</w:t>
            </w:r>
          </w:p>
        </w:tc>
        <w:tc>
          <w:tcPr>
            <w:tcW w:w="7560" w:type="dxa"/>
            <w:noWrap/>
            <w:vAlign w:val="center"/>
            <w:hideMark/>
          </w:tcPr>
          <w:p w14:paraId="4643DC5F" w14:textId="77777777" w:rsidR="00595F71" w:rsidRPr="00E97D2C" w:rsidRDefault="00595F71" w:rsidP="00696E8F">
            <w:pPr>
              <w:rPr>
                <w:rFonts w:cs="Arial"/>
                <w:color w:val="000000"/>
              </w:rPr>
            </w:pPr>
            <w:r w:rsidRPr="00E97D2C">
              <w:rPr>
                <w:rFonts w:cs="Arial"/>
                <w:color w:val="000000"/>
              </w:rPr>
              <w:t>Bypass Middle Esophagus to Cutaneous with Synthetic Substitute, Percutaneous Endoscopic Approach</w:t>
            </w:r>
          </w:p>
        </w:tc>
      </w:tr>
      <w:tr w:rsidR="00595F71" w:rsidRPr="00E97D2C" w14:paraId="21535B74" w14:textId="77777777" w:rsidTr="00696E8F">
        <w:trPr>
          <w:trHeight w:val="300"/>
        </w:trPr>
        <w:tc>
          <w:tcPr>
            <w:tcW w:w="1872" w:type="dxa"/>
            <w:noWrap/>
            <w:vAlign w:val="center"/>
            <w:hideMark/>
          </w:tcPr>
          <w:p w14:paraId="63E8B158" w14:textId="77777777" w:rsidR="00595F71" w:rsidRPr="00E97D2C" w:rsidRDefault="00595F71" w:rsidP="00696E8F">
            <w:pPr>
              <w:rPr>
                <w:rFonts w:cs="Arial"/>
                <w:color w:val="000000"/>
              </w:rPr>
            </w:pPr>
            <w:r w:rsidRPr="00E97D2C">
              <w:rPr>
                <w:rFonts w:cs="Arial"/>
                <w:color w:val="000000"/>
              </w:rPr>
              <w:t>0D124J6</w:t>
            </w:r>
          </w:p>
        </w:tc>
        <w:tc>
          <w:tcPr>
            <w:tcW w:w="7560" w:type="dxa"/>
            <w:noWrap/>
            <w:vAlign w:val="center"/>
            <w:hideMark/>
          </w:tcPr>
          <w:p w14:paraId="70E87813" w14:textId="77777777" w:rsidR="00595F71" w:rsidRPr="00E97D2C" w:rsidRDefault="00595F71" w:rsidP="00696E8F">
            <w:pPr>
              <w:rPr>
                <w:rFonts w:cs="Arial"/>
                <w:color w:val="000000"/>
              </w:rPr>
            </w:pPr>
            <w:r w:rsidRPr="00E97D2C">
              <w:rPr>
                <w:rFonts w:cs="Arial"/>
                <w:color w:val="000000"/>
              </w:rPr>
              <w:t>Bypass Middle Esophagus to Stomach with Synthetic Substitute, Percutaneous Endoscopic Approach</w:t>
            </w:r>
          </w:p>
        </w:tc>
      </w:tr>
      <w:tr w:rsidR="00595F71" w:rsidRPr="00E97D2C" w14:paraId="4DD2D24F" w14:textId="77777777" w:rsidTr="00696E8F">
        <w:trPr>
          <w:trHeight w:val="300"/>
        </w:trPr>
        <w:tc>
          <w:tcPr>
            <w:tcW w:w="1872" w:type="dxa"/>
            <w:noWrap/>
            <w:vAlign w:val="center"/>
            <w:hideMark/>
          </w:tcPr>
          <w:p w14:paraId="15E83002" w14:textId="77777777" w:rsidR="00595F71" w:rsidRPr="00E97D2C" w:rsidRDefault="00595F71" w:rsidP="00696E8F">
            <w:pPr>
              <w:rPr>
                <w:rFonts w:cs="Arial"/>
                <w:color w:val="000000"/>
              </w:rPr>
            </w:pPr>
            <w:r w:rsidRPr="00E97D2C">
              <w:rPr>
                <w:rFonts w:cs="Arial"/>
                <w:color w:val="000000"/>
              </w:rPr>
              <w:t>0D124J9</w:t>
            </w:r>
          </w:p>
        </w:tc>
        <w:tc>
          <w:tcPr>
            <w:tcW w:w="7560" w:type="dxa"/>
            <w:noWrap/>
            <w:vAlign w:val="center"/>
            <w:hideMark/>
          </w:tcPr>
          <w:p w14:paraId="07867F6B" w14:textId="77777777" w:rsidR="00595F71" w:rsidRPr="00E97D2C" w:rsidRDefault="00595F71" w:rsidP="00696E8F">
            <w:pPr>
              <w:rPr>
                <w:rFonts w:cs="Arial"/>
                <w:color w:val="000000"/>
              </w:rPr>
            </w:pPr>
            <w:r w:rsidRPr="00E97D2C">
              <w:rPr>
                <w:rFonts w:cs="Arial"/>
                <w:color w:val="000000"/>
              </w:rPr>
              <w:t>Bypass Middle Esophagus to Duodenum with Synthetic Substitute, Percutaneous Endoscopic Approach</w:t>
            </w:r>
          </w:p>
        </w:tc>
      </w:tr>
      <w:tr w:rsidR="00595F71" w:rsidRPr="00E97D2C" w14:paraId="1E459D0F" w14:textId="77777777" w:rsidTr="00696E8F">
        <w:trPr>
          <w:trHeight w:val="300"/>
        </w:trPr>
        <w:tc>
          <w:tcPr>
            <w:tcW w:w="1872" w:type="dxa"/>
            <w:noWrap/>
            <w:vAlign w:val="center"/>
            <w:hideMark/>
          </w:tcPr>
          <w:p w14:paraId="2BDB0182" w14:textId="77777777" w:rsidR="00595F71" w:rsidRPr="00E97D2C" w:rsidRDefault="00595F71" w:rsidP="00696E8F">
            <w:pPr>
              <w:rPr>
                <w:rFonts w:cs="Arial"/>
                <w:color w:val="000000"/>
              </w:rPr>
            </w:pPr>
            <w:r w:rsidRPr="00E97D2C">
              <w:rPr>
                <w:rFonts w:cs="Arial"/>
                <w:color w:val="000000"/>
              </w:rPr>
              <w:t>0D124JA</w:t>
            </w:r>
          </w:p>
        </w:tc>
        <w:tc>
          <w:tcPr>
            <w:tcW w:w="7560" w:type="dxa"/>
            <w:noWrap/>
            <w:vAlign w:val="center"/>
            <w:hideMark/>
          </w:tcPr>
          <w:p w14:paraId="0BD5A5C8" w14:textId="77777777" w:rsidR="00595F71" w:rsidRPr="00E97D2C" w:rsidRDefault="00595F71" w:rsidP="00696E8F">
            <w:pPr>
              <w:rPr>
                <w:rFonts w:cs="Arial"/>
                <w:color w:val="000000"/>
              </w:rPr>
            </w:pPr>
            <w:r w:rsidRPr="00E97D2C">
              <w:rPr>
                <w:rFonts w:cs="Arial"/>
                <w:color w:val="000000"/>
              </w:rPr>
              <w:t>Bypass Middle Esophagus to Jejunum with Synthetic Substitute, Percutaneous Endoscopic Approach</w:t>
            </w:r>
          </w:p>
        </w:tc>
      </w:tr>
      <w:tr w:rsidR="00595F71" w:rsidRPr="00E97D2C" w14:paraId="68058D0F" w14:textId="77777777" w:rsidTr="00696E8F">
        <w:trPr>
          <w:trHeight w:val="300"/>
        </w:trPr>
        <w:tc>
          <w:tcPr>
            <w:tcW w:w="1872" w:type="dxa"/>
            <w:noWrap/>
            <w:vAlign w:val="center"/>
            <w:hideMark/>
          </w:tcPr>
          <w:p w14:paraId="6FA71326" w14:textId="77777777" w:rsidR="00595F71" w:rsidRPr="00E97D2C" w:rsidRDefault="00595F71" w:rsidP="00696E8F">
            <w:pPr>
              <w:rPr>
                <w:rFonts w:cs="Arial"/>
                <w:color w:val="000000"/>
              </w:rPr>
            </w:pPr>
            <w:r w:rsidRPr="00E97D2C">
              <w:rPr>
                <w:rFonts w:cs="Arial"/>
                <w:color w:val="000000"/>
              </w:rPr>
              <w:t>0D124JB</w:t>
            </w:r>
          </w:p>
        </w:tc>
        <w:tc>
          <w:tcPr>
            <w:tcW w:w="7560" w:type="dxa"/>
            <w:noWrap/>
            <w:vAlign w:val="center"/>
            <w:hideMark/>
          </w:tcPr>
          <w:p w14:paraId="77969CAD" w14:textId="77777777" w:rsidR="00595F71" w:rsidRPr="00E97D2C" w:rsidRDefault="00595F71" w:rsidP="00696E8F">
            <w:pPr>
              <w:rPr>
                <w:rFonts w:cs="Arial"/>
                <w:color w:val="000000"/>
              </w:rPr>
            </w:pPr>
            <w:r w:rsidRPr="00E97D2C">
              <w:rPr>
                <w:rFonts w:cs="Arial"/>
                <w:color w:val="000000"/>
              </w:rPr>
              <w:t>Bypass Middle Esophagus to Ileum with Synthetic Substitute, Percutaneous Endoscopic Approach</w:t>
            </w:r>
          </w:p>
        </w:tc>
      </w:tr>
      <w:tr w:rsidR="00595F71" w:rsidRPr="00E97D2C" w14:paraId="5E26AA4D" w14:textId="77777777" w:rsidTr="00696E8F">
        <w:trPr>
          <w:trHeight w:val="300"/>
        </w:trPr>
        <w:tc>
          <w:tcPr>
            <w:tcW w:w="1872" w:type="dxa"/>
            <w:noWrap/>
            <w:vAlign w:val="center"/>
            <w:hideMark/>
          </w:tcPr>
          <w:p w14:paraId="38016E2A" w14:textId="77777777" w:rsidR="00595F71" w:rsidRPr="00E97D2C" w:rsidRDefault="00595F71" w:rsidP="00696E8F">
            <w:pPr>
              <w:rPr>
                <w:rFonts w:cs="Arial"/>
                <w:color w:val="000000"/>
              </w:rPr>
            </w:pPr>
            <w:r w:rsidRPr="00E97D2C">
              <w:rPr>
                <w:rFonts w:cs="Arial"/>
                <w:color w:val="000000"/>
              </w:rPr>
              <w:t>0D124K4</w:t>
            </w:r>
          </w:p>
        </w:tc>
        <w:tc>
          <w:tcPr>
            <w:tcW w:w="7560" w:type="dxa"/>
            <w:noWrap/>
            <w:vAlign w:val="center"/>
            <w:hideMark/>
          </w:tcPr>
          <w:p w14:paraId="29EC0272" w14:textId="77777777" w:rsidR="00595F71" w:rsidRPr="00E97D2C" w:rsidRDefault="00595F71" w:rsidP="00696E8F">
            <w:pPr>
              <w:rPr>
                <w:rFonts w:cs="Arial"/>
                <w:color w:val="000000"/>
              </w:rPr>
            </w:pPr>
            <w:r w:rsidRPr="00E97D2C">
              <w:rPr>
                <w:rFonts w:cs="Arial"/>
                <w:color w:val="000000"/>
              </w:rPr>
              <w:t xml:space="preserve">Bypass Middle Esophagus to Cutaneous with </w:t>
            </w:r>
            <w:proofErr w:type="spellStart"/>
            <w:r w:rsidRPr="00E97D2C">
              <w:rPr>
                <w:rFonts w:cs="Arial"/>
                <w:color w:val="000000"/>
              </w:rPr>
              <w:t>Nonautologous</w:t>
            </w:r>
            <w:proofErr w:type="spellEnd"/>
            <w:r w:rsidRPr="00E97D2C">
              <w:rPr>
                <w:rFonts w:cs="Arial"/>
                <w:color w:val="000000"/>
              </w:rPr>
              <w:t xml:space="preserve"> Tissue Substitute, Percutaneous Endoscopic Approach</w:t>
            </w:r>
          </w:p>
        </w:tc>
      </w:tr>
      <w:tr w:rsidR="00595F71" w:rsidRPr="00E97D2C" w14:paraId="1BE8B4B6" w14:textId="77777777" w:rsidTr="00696E8F">
        <w:trPr>
          <w:trHeight w:val="300"/>
        </w:trPr>
        <w:tc>
          <w:tcPr>
            <w:tcW w:w="1872" w:type="dxa"/>
            <w:noWrap/>
            <w:vAlign w:val="center"/>
            <w:hideMark/>
          </w:tcPr>
          <w:p w14:paraId="0C60327A" w14:textId="77777777" w:rsidR="00595F71" w:rsidRPr="00E97D2C" w:rsidRDefault="00595F71" w:rsidP="00696E8F">
            <w:pPr>
              <w:rPr>
                <w:rFonts w:cs="Arial"/>
                <w:color w:val="000000"/>
              </w:rPr>
            </w:pPr>
            <w:r w:rsidRPr="00E97D2C">
              <w:rPr>
                <w:rFonts w:cs="Arial"/>
                <w:color w:val="000000"/>
              </w:rPr>
              <w:t>0D124K6</w:t>
            </w:r>
          </w:p>
        </w:tc>
        <w:tc>
          <w:tcPr>
            <w:tcW w:w="7560" w:type="dxa"/>
            <w:noWrap/>
            <w:vAlign w:val="center"/>
            <w:hideMark/>
          </w:tcPr>
          <w:p w14:paraId="617D3860" w14:textId="77777777" w:rsidR="00595F71" w:rsidRPr="00E97D2C" w:rsidRDefault="00595F71" w:rsidP="00696E8F">
            <w:pPr>
              <w:rPr>
                <w:rFonts w:cs="Arial"/>
                <w:color w:val="000000"/>
              </w:rPr>
            </w:pPr>
            <w:r w:rsidRPr="00E97D2C">
              <w:rPr>
                <w:rFonts w:cs="Arial"/>
                <w:color w:val="000000"/>
              </w:rPr>
              <w:t xml:space="preserve">Bypass Middle Esophagus to Stomach with </w:t>
            </w:r>
            <w:proofErr w:type="spellStart"/>
            <w:r w:rsidRPr="00E97D2C">
              <w:rPr>
                <w:rFonts w:cs="Arial"/>
                <w:color w:val="000000"/>
              </w:rPr>
              <w:t>Nonautologous</w:t>
            </w:r>
            <w:proofErr w:type="spellEnd"/>
            <w:r w:rsidRPr="00E97D2C">
              <w:rPr>
                <w:rFonts w:cs="Arial"/>
                <w:color w:val="000000"/>
              </w:rPr>
              <w:t xml:space="preserve"> Tissue Substitute, Percutaneous Endoscopic Approach</w:t>
            </w:r>
          </w:p>
        </w:tc>
      </w:tr>
      <w:tr w:rsidR="00595F71" w:rsidRPr="00E97D2C" w14:paraId="3D05E1C2" w14:textId="77777777" w:rsidTr="00696E8F">
        <w:trPr>
          <w:trHeight w:val="300"/>
        </w:trPr>
        <w:tc>
          <w:tcPr>
            <w:tcW w:w="1872" w:type="dxa"/>
            <w:noWrap/>
            <w:vAlign w:val="center"/>
            <w:hideMark/>
          </w:tcPr>
          <w:p w14:paraId="49696AEE" w14:textId="77777777" w:rsidR="00595F71" w:rsidRPr="00E97D2C" w:rsidRDefault="00595F71" w:rsidP="00696E8F">
            <w:pPr>
              <w:rPr>
                <w:rFonts w:cs="Arial"/>
                <w:color w:val="000000"/>
              </w:rPr>
            </w:pPr>
            <w:r w:rsidRPr="00E97D2C">
              <w:rPr>
                <w:rFonts w:cs="Arial"/>
                <w:color w:val="000000"/>
              </w:rPr>
              <w:t>0D124K9</w:t>
            </w:r>
          </w:p>
        </w:tc>
        <w:tc>
          <w:tcPr>
            <w:tcW w:w="7560" w:type="dxa"/>
            <w:noWrap/>
            <w:vAlign w:val="center"/>
            <w:hideMark/>
          </w:tcPr>
          <w:p w14:paraId="6C380ADE" w14:textId="77777777" w:rsidR="00595F71" w:rsidRPr="00E97D2C" w:rsidRDefault="00595F71" w:rsidP="00696E8F">
            <w:pPr>
              <w:rPr>
                <w:rFonts w:cs="Arial"/>
                <w:color w:val="000000"/>
              </w:rPr>
            </w:pPr>
            <w:r w:rsidRPr="00E97D2C">
              <w:rPr>
                <w:rFonts w:cs="Arial"/>
                <w:color w:val="000000"/>
              </w:rPr>
              <w:t xml:space="preserve">Bypass Middle Esophagus to Duodenum with </w:t>
            </w:r>
            <w:proofErr w:type="spellStart"/>
            <w:r w:rsidRPr="00E97D2C">
              <w:rPr>
                <w:rFonts w:cs="Arial"/>
                <w:color w:val="000000"/>
              </w:rPr>
              <w:t>Nonautologous</w:t>
            </w:r>
            <w:proofErr w:type="spellEnd"/>
            <w:r w:rsidRPr="00E97D2C">
              <w:rPr>
                <w:rFonts w:cs="Arial"/>
                <w:color w:val="000000"/>
              </w:rPr>
              <w:t xml:space="preserve"> Tissue Substitute, Percutaneous Endoscopic Approach</w:t>
            </w:r>
          </w:p>
        </w:tc>
      </w:tr>
      <w:tr w:rsidR="00595F71" w:rsidRPr="00E97D2C" w14:paraId="2F5429F6" w14:textId="77777777" w:rsidTr="00696E8F">
        <w:trPr>
          <w:trHeight w:val="300"/>
        </w:trPr>
        <w:tc>
          <w:tcPr>
            <w:tcW w:w="1872" w:type="dxa"/>
            <w:noWrap/>
            <w:vAlign w:val="center"/>
            <w:hideMark/>
          </w:tcPr>
          <w:p w14:paraId="25B293BD" w14:textId="77777777" w:rsidR="00595F71" w:rsidRPr="00E97D2C" w:rsidRDefault="00595F71" w:rsidP="00696E8F">
            <w:pPr>
              <w:rPr>
                <w:rFonts w:cs="Arial"/>
                <w:color w:val="000000"/>
              </w:rPr>
            </w:pPr>
            <w:r w:rsidRPr="00E97D2C">
              <w:rPr>
                <w:rFonts w:cs="Arial"/>
                <w:color w:val="000000"/>
              </w:rPr>
              <w:t>0D124KA</w:t>
            </w:r>
          </w:p>
        </w:tc>
        <w:tc>
          <w:tcPr>
            <w:tcW w:w="7560" w:type="dxa"/>
            <w:noWrap/>
            <w:vAlign w:val="center"/>
            <w:hideMark/>
          </w:tcPr>
          <w:p w14:paraId="4EDA7F58" w14:textId="77777777" w:rsidR="00595F71" w:rsidRPr="00E97D2C" w:rsidRDefault="00595F71" w:rsidP="00696E8F">
            <w:pPr>
              <w:rPr>
                <w:rFonts w:cs="Arial"/>
                <w:color w:val="000000"/>
              </w:rPr>
            </w:pPr>
            <w:r w:rsidRPr="00E97D2C">
              <w:rPr>
                <w:rFonts w:cs="Arial"/>
                <w:color w:val="000000"/>
              </w:rPr>
              <w:t xml:space="preserve">Bypass Middle Esophagus to Jejunum with </w:t>
            </w:r>
            <w:proofErr w:type="spellStart"/>
            <w:r w:rsidRPr="00E97D2C">
              <w:rPr>
                <w:rFonts w:cs="Arial"/>
                <w:color w:val="000000"/>
              </w:rPr>
              <w:t>Nonautologous</w:t>
            </w:r>
            <w:proofErr w:type="spellEnd"/>
            <w:r w:rsidRPr="00E97D2C">
              <w:rPr>
                <w:rFonts w:cs="Arial"/>
                <w:color w:val="000000"/>
              </w:rPr>
              <w:t xml:space="preserve"> Tissue Substitute, Percutaneous Endoscopic Approach</w:t>
            </w:r>
          </w:p>
        </w:tc>
      </w:tr>
      <w:tr w:rsidR="00595F71" w:rsidRPr="00E97D2C" w14:paraId="2B1CEBF1" w14:textId="77777777" w:rsidTr="00696E8F">
        <w:trPr>
          <w:trHeight w:val="300"/>
        </w:trPr>
        <w:tc>
          <w:tcPr>
            <w:tcW w:w="1872" w:type="dxa"/>
            <w:noWrap/>
            <w:vAlign w:val="center"/>
            <w:hideMark/>
          </w:tcPr>
          <w:p w14:paraId="4ADA97C9" w14:textId="77777777" w:rsidR="00595F71" w:rsidRPr="00E97D2C" w:rsidRDefault="00595F71" w:rsidP="00696E8F">
            <w:pPr>
              <w:rPr>
                <w:rFonts w:cs="Arial"/>
                <w:color w:val="000000"/>
              </w:rPr>
            </w:pPr>
            <w:r w:rsidRPr="00E97D2C">
              <w:rPr>
                <w:rFonts w:cs="Arial"/>
                <w:color w:val="000000"/>
              </w:rPr>
              <w:t>0D124KB</w:t>
            </w:r>
          </w:p>
        </w:tc>
        <w:tc>
          <w:tcPr>
            <w:tcW w:w="7560" w:type="dxa"/>
            <w:noWrap/>
            <w:vAlign w:val="center"/>
            <w:hideMark/>
          </w:tcPr>
          <w:p w14:paraId="3EFDD68E" w14:textId="77777777" w:rsidR="00595F71" w:rsidRPr="00E97D2C" w:rsidRDefault="00595F71" w:rsidP="00696E8F">
            <w:pPr>
              <w:rPr>
                <w:rFonts w:cs="Arial"/>
                <w:color w:val="000000"/>
              </w:rPr>
            </w:pPr>
            <w:r w:rsidRPr="00E97D2C">
              <w:rPr>
                <w:rFonts w:cs="Arial"/>
                <w:color w:val="000000"/>
              </w:rPr>
              <w:t xml:space="preserve">Bypass Middle Esophagus to Ileum with </w:t>
            </w:r>
            <w:proofErr w:type="spellStart"/>
            <w:r w:rsidRPr="00E97D2C">
              <w:rPr>
                <w:rFonts w:cs="Arial"/>
                <w:color w:val="000000"/>
              </w:rPr>
              <w:t>Nonautologous</w:t>
            </w:r>
            <w:proofErr w:type="spellEnd"/>
            <w:r w:rsidRPr="00E97D2C">
              <w:rPr>
                <w:rFonts w:cs="Arial"/>
                <w:color w:val="000000"/>
              </w:rPr>
              <w:t xml:space="preserve"> Tissue Substitute, Percutaneous Endoscopic Approach</w:t>
            </w:r>
          </w:p>
        </w:tc>
      </w:tr>
      <w:tr w:rsidR="00595F71" w:rsidRPr="00E97D2C" w14:paraId="25EA1298" w14:textId="77777777" w:rsidTr="00696E8F">
        <w:trPr>
          <w:trHeight w:val="300"/>
        </w:trPr>
        <w:tc>
          <w:tcPr>
            <w:tcW w:w="1872" w:type="dxa"/>
            <w:noWrap/>
            <w:vAlign w:val="center"/>
            <w:hideMark/>
          </w:tcPr>
          <w:p w14:paraId="0F9434AD" w14:textId="77777777" w:rsidR="00595F71" w:rsidRPr="00E97D2C" w:rsidRDefault="00595F71" w:rsidP="00696E8F">
            <w:pPr>
              <w:rPr>
                <w:rFonts w:cs="Arial"/>
                <w:color w:val="000000"/>
              </w:rPr>
            </w:pPr>
            <w:r w:rsidRPr="00E97D2C">
              <w:rPr>
                <w:rFonts w:cs="Arial"/>
                <w:color w:val="000000"/>
              </w:rPr>
              <w:t>0D124Z4</w:t>
            </w:r>
          </w:p>
        </w:tc>
        <w:tc>
          <w:tcPr>
            <w:tcW w:w="7560" w:type="dxa"/>
            <w:noWrap/>
            <w:vAlign w:val="center"/>
            <w:hideMark/>
          </w:tcPr>
          <w:p w14:paraId="43B58632" w14:textId="77777777" w:rsidR="00595F71" w:rsidRPr="00E97D2C" w:rsidRDefault="00595F71" w:rsidP="00696E8F">
            <w:pPr>
              <w:rPr>
                <w:rFonts w:cs="Arial"/>
                <w:color w:val="000000"/>
              </w:rPr>
            </w:pPr>
            <w:r w:rsidRPr="00E97D2C">
              <w:rPr>
                <w:rFonts w:cs="Arial"/>
                <w:color w:val="000000"/>
              </w:rPr>
              <w:t>Bypass Middle Esophagus to Cutaneous, Percutaneous Endoscopic Approach</w:t>
            </w:r>
          </w:p>
        </w:tc>
      </w:tr>
      <w:tr w:rsidR="00595F71" w:rsidRPr="00E97D2C" w14:paraId="1157C3B0" w14:textId="77777777" w:rsidTr="00696E8F">
        <w:trPr>
          <w:trHeight w:val="300"/>
        </w:trPr>
        <w:tc>
          <w:tcPr>
            <w:tcW w:w="1872" w:type="dxa"/>
            <w:noWrap/>
            <w:vAlign w:val="center"/>
            <w:hideMark/>
          </w:tcPr>
          <w:p w14:paraId="1FD81050" w14:textId="77777777" w:rsidR="00595F71" w:rsidRPr="00E97D2C" w:rsidRDefault="00595F71" w:rsidP="00696E8F">
            <w:pPr>
              <w:rPr>
                <w:rFonts w:cs="Arial"/>
                <w:color w:val="000000"/>
              </w:rPr>
            </w:pPr>
            <w:r w:rsidRPr="00E97D2C">
              <w:rPr>
                <w:rFonts w:cs="Arial"/>
                <w:color w:val="000000"/>
              </w:rPr>
              <w:t>0D124Z6</w:t>
            </w:r>
          </w:p>
        </w:tc>
        <w:tc>
          <w:tcPr>
            <w:tcW w:w="7560" w:type="dxa"/>
            <w:noWrap/>
            <w:vAlign w:val="center"/>
            <w:hideMark/>
          </w:tcPr>
          <w:p w14:paraId="3EF67E4A" w14:textId="77777777" w:rsidR="00595F71" w:rsidRPr="00E97D2C" w:rsidRDefault="00595F71" w:rsidP="00696E8F">
            <w:pPr>
              <w:rPr>
                <w:rFonts w:cs="Arial"/>
                <w:color w:val="000000"/>
              </w:rPr>
            </w:pPr>
            <w:r w:rsidRPr="00E97D2C">
              <w:rPr>
                <w:rFonts w:cs="Arial"/>
                <w:color w:val="000000"/>
              </w:rPr>
              <w:t>Bypass Middle Esophagus to Stomach, Percutaneous Endoscopic Approach</w:t>
            </w:r>
          </w:p>
        </w:tc>
      </w:tr>
      <w:tr w:rsidR="00595F71" w:rsidRPr="00E97D2C" w14:paraId="34B18871" w14:textId="77777777" w:rsidTr="00696E8F">
        <w:trPr>
          <w:trHeight w:val="300"/>
        </w:trPr>
        <w:tc>
          <w:tcPr>
            <w:tcW w:w="1872" w:type="dxa"/>
            <w:noWrap/>
            <w:vAlign w:val="center"/>
            <w:hideMark/>
          </w:tcPr>
          <w:p w14:paraId="6EFAF281" w14:textId="77777777" w:rsidR="00595F71" w:rsidRPr="00E97D2C" w:rsidRDefault="00595F71" w:rsidP="00696E8F">
            <w:pPr>
              <w:rPr>
                <w:rFonts w:cs="Arial"/>
                <w:color w:val="000000"/>
              </w:rPr>
            </w:pPr>
            <w:r w:rsidRPr="00E97D2C">
              <w:rPr>
                <w:rFonts w:cs="Arial"/>
                <w:color w:val="000000"/>
              </w:rPr>
              <w:t>0D124Z9</w:t>
            </w:r>
          </w:p>
        </w:tc>
        <w:tc>
          <w:tcPr>
            <w:tcW w:w="7560" w:type="dxa"/>
            <w:noWrap/>
            <w:vAlign w:val="center"/>
            <w:hideMark/>
          </w:tcPr>
          <w:p w14:paraId="2C362837" w14:textId="77777777" w:rsidR="00595F71" w:rsidRPr="00E97D2C" w:rsidRDefault="00595F71" w:rsidP="00696E8F">
            <w:pPr>
              <w:rPr>
                <w:rFonts w:cs="Arial"/>
                <w:color w:val="000000"/>
              </w:rPr>
            </w:pPr>
            <w:r w:rsidRPr="00E97D2C">
              <w:rPr>
                <w:rFonts w:cs="Arial"/>
                <w:color w:val="000000"/>
              </w:rPr>
              <w:t>Bypass Middle Esophagus to Duodenum, Percutaneous Endoscopic Approach</w:t>
            </w:r>
          </w:p>
        </w:tc>
      </w:tr>
      <w:tr w:rsidR="00595F71" w:rsidRPr="00E97D2C" w14:paraId="2F95AB71" w14:textId="77777777" w:rsidTr="00696E8F">
        <w:trPr>
          <w:trHeight w:val="300"/>
        </w:trPr>
        <w:tc>
          <w:tcPr>
            <w:tcW w:w="1872" w:type="dxa"/>
            <w:noWrap/>
            <w:vAlign w:val="center"/>
            <w:hideMark/>
          </w:tcPr>
          <w:p w14:paraId="19CC3550" w14:textId="77777777" w:rsidR="00595F71" w:rsidRPr="00E97D2C" w:rsidRDefault="00595F71" w:rsidP="00696E8F">
            <w:pPr>
              <w:rPr>
                <w:rFonts w:cs="Arial"/>
                <w:color w:val="000000"/>
              </w:rPr>
            </w:pPr>
            <w:r w:rsidRPr="00E97D2C">
              <w:rPr>
                <w:rFonts w:cs="Arial"/>
                <w:color w:val="000000"/>
              </w:rPr>
              <w:t>0D124ZA</w:t>
            </w:r>
          </w:p>
        </w:tc>
        <w:tc>
          <w:tcPr>
            <w:tcW w:w="7560" w:type="dxa"/>
            <w:noWrap/>
            <w:vAlign w:val="center"/>
            <w:hideMark/>
          </w:tcPr>
          <w:p w14:paraId="4A2604DF" w14:textId="77777777" w:rsidR="00595F71" w:rsidRPr="00E97D2C" w:rsidRDefault="00595F71" w:rsidP="00696E8F">
            <w:pPr>
              <w:rPr>
                <w:rFonts w:cs="Arial"/>
                <w:color w:val="000000"/>
              </w:rPr>
            </w:pPr>
            <w:r w:rsidRPr="00E97D2C">
              <w:rPr>
                <w:rFonts w:cs="Arial"/>
                <w:color w:val="000000"/>
              </w:rPr>
              <w:t>Bypass Middle Esophagus to Jejunum, Percutaneous Endoscopic Approach</w:t>
            </w:r>
          </w:p>
        </w:tc>
      </w:tr>
      <w:tr w:rsidR="00595F71" w:rsidRPr="00E97D2C" w14:paraId="01D61391" w14:textId="77777777" w:rsidTr="00696E8F">
        <w:trPr>
          <w:trHeight w:val="300"/>
        </w:trPr>
        <w:tc>
          <w:tcPr>
            <w:tcW w:w="1872" w:type="dxa"/>
            <w:noWrap/>
            <w:vAlign w:val="center"/>
            <w:hideMark/>
          </w:tcPr>
          <w:p w14:paraId="1BDECC05" w14:textId="77777777" w:rsidR="00595F71" w:rsidRPr="00E97D2C" w:rsidRDefault="00595F71" w:rsidP="00696E8F">
            <w:pPr>
              <w:rPr>
                <w:rFonts w:cs="Arial"/>
                <w:color w:val="000000"/>
              </w:rPr>
            </w:pPr>
            <w:r w:rsidRPr="00E97D2C">
              <w:rPr>
                <w:rFonts w:cs="Arial"/>
                <w:color w:val="000000"/>
              </w:rPr>
              <w:t>0D124ZB</w:t>
            </w:r>
          </w:p>
        </w:tc>
        <w:tc>
          <w:tcPr>
            <w:tcW w:w="7560" w:type="dxa"/>
            <w:noWrap/>
            <w:vAlign w:val="center"/>
            <w:hideMark/>
          </w:tcPr>
          <w:p w14:paraId="4D45979C" w14:textId="77777777" w:rsidR="00595F71" w:rsidRPr="00E97D2C" w:rsidRDefault="00595F71" w:rsidP="00696E8F">
            <w:pPr>
              <w:rPr>
                <w:rFonts w:cs="Arial"/>
                <w:color w:val="000000"/>
              </w:rPr>
            </w:pPr>
            <w:r w:rsidRPr="00E97D2C">
              <w:rPr>
                <w:rFonts w:cs="Arial"/>
                <w:color w:val="000000"/>
              </w:rPr>
              <w:t>Bypass Middle Esophagus to Ileum, Percutaneous Endoscopic Approach</w:t>
            </w:r>
          </w:p>
        </w:tc>
      </w:tr>
      <w:tr w:rsidR="00595F71" w:rsidRPr="00E97D2C" w14:paraId="2962F0E2" w14:textId="77777777" w:rsidTr="00696E8F">
        <w:trPr>
          <w:trHeight w:val="300"/>
        </w:trPr>
        <w:tc>
          <w:tcPr>
            <w:tcW w:w="1872" w:type="dxa"/>
            <w:noWrap/>
            <w:vAlign w:val="center"/>
            <w:hideMark/>
          </w:tcPr>
          <w:p w14:paraId="0CB957A1" w14:textId="77777777" w:rsidR="00595F71" w:rsidRPr="00E97D2C" w:rsidRDefault="00595F71" w:rsidP="00696E8F">
            <w:pPr>
              <w:rPr>
                <w:rFonts w:cs="Arial"/>
                <w:color w:val="000000"/>
              </w:rPr>
            </w:pPr>
            <w:r w:rsidRPr="00E97D2C">
              <w:rPr>
                <w:rFonts w:cs="Arial"/>
                <w:color w:val="000000"/>
              </w:rPr>
              <w:t>0D12874</w:t>
            </w:r>
          </w:p>
        </w:tc>
        <w:tc>
          <w:tcPr>
            <w:tcW w:w="7560" w:type="dxa"/>
            <w:noWrap/>
            <w:vAlign w:val="center"/>
            <w:hideMark/>
          </w:tcPr>
          <w:p w14:paraId="3D636693" w14:textId="77777777" w:rsidR="00595F71" w:rsidRPr="00E97D2C" w:rsidRDefault="00595F71" w:rsidP="00696E8F">
            <w:pPr>
              <w:rPr>
                <w:rFonts w:cs="Arial"/>
                <w:color w:val="000000"/>
              </w:rPr>
            </w:pPr>
            <w:r w:rsidRPr="00E97D2C">
              <w:rPr>
                <w:rFonts w:cs="Arial"/>
                <w:color w:val="000000"/>
              </w:rPr>
              <w:t>Bypass Middle Esophagus to Cutaneous with Autologous Tissue Substitute, Via Natural or Artificial Opening Endoscopic</w:t>
            </w:r>
          </w:p>
        </w:tc>
      </w:tr>
      <w:tr w:rsidR="00595F71" w:rsidRPr="00E97D2C" w14:paraId="56E94A89" w14:textId="77777777" w:rsidTr="00696E8F">
        <w:trPr>
          <w:trHeight w:val="300"/>
        </w:trPr>
        <w:tc>
          <w:tcPr>
            <w:tcW w:w="1872" w:type="dxa"/>
            <w:noWrap/>
            <w:vAlign w:val="center"/>
            <w:hideMark/>
          </w:tcPr>
          <w:p w14:paraId="53BFD056" w14:textId="77777777" w:rsidR="00595F71" w:rsidRPr="00E97D2C" w:rsidRDefault="00595F71" w:rsidP="00696E8F">
            <w:pPr>
              <w:rPr>
                <w:rFonts w:cs="Arial"/>
                <w:color w:val="000000"/>
              </w:rPr>
            </w:pPr>
            <w:r w:rsidRPr="00E97D2C">
              <w:rPr>
                <w:rFonts w:cs="Arial"/>
                <w:color w:val="000000"/>
              </w:rPr>
              <w:t>0D12876</w:t>
            </w:r>
          </w:p>
        </w:tc>
        <w:tc>
          <w:tcPr>
            <w:tcW w:w="7560" w:type="dxa"/>
            <w:noWrap/>
            <w:vAlign w:val="center"/>
            <w:hideMark/>
          </w:tcPr>
          <w:p w14:paraId="00A862F7" w14:textId="77777777" w:rsidR="00595F71" w:rsidRPr="00E97D2C" w:rsidRDefault="00595F71" w:rsidP="00696E8F">
            <w:pPr>
              <w:rPr>
                <w:rFonts w:cs="Arial"/>
                <w:color w:val="000000"/>
              </w:rPr>
            </w:pPr>
            <w:r w:rsidRPr="00E97D2C">
              <w:rPr>
                <w:rFonts w:cs="Arial"/>
                <w:color w:val="000000"/>
              </w:rPr>
              <w:t>Bypass Middle Esophagus to Stomach with Autologous Tissue Substitute, Via Natural or Artificial Opening Endoscopic</w:t>
            </w:r>
          </w:p>
        </w:tc>
      </w:tr>
      <w:tr w:rsidR="00595F71" w:rsidRPr="00E97D2C" w14:paraId="170C23CE" w14:textId="77777777" w:rsidTr="00696E8F">
        <w:trPr>
          <w:trHeight w:val="300"/>
        </w:trPr>
        <w:tc>
          <w:tcPr>
            <w:tcW w:w="1872" w:type="dxa"/>
            <w:noWrap/>
            <w:vAlign w:val="center"/>
            <w:hideMark/>
          </w:tcPr>
          <w:p w14:paraId="4EDD5B70" w14:textId="77777777" w:rsidR="00595F71" w:rsidRPr="00E97D2C" w:rsidRDefault="00595F71" w:rsidP="00696E8F">
            <w:pPr>
              <w:rPr>
                <w:rFonts w:cs="Arial"/>
                <w:color w:val="000000"/>
              </w:rPr>
            </w:pPr>
            <w:r w:rsidRPr="00E97D2C">
              <w:rPr>
                <w:rFonts w:cs="Arial"/>
                <w:color w:val="000000"/>
              </w:rPr>
              <w:t>0D12879</w:t>
            </w:r>
          </w:p>
        </w:tc>
        <w:tc>
          <w:tcPr>
            <w:tcW w:w="7560" w:type="dxa"/>
            <w:noWrap/>
            <w:vAlign w:val="center"/>
            <w:hideMark/>
          </w:tcPr>
          <w:p w14:paraId="1D09ABAF" w14:textId="77777777" w:rsidR="00595F71" w:rsidRPr="00E97D2C" w:rsidRDefault="00595F71" w:rsidP="00696E8F">
            <w:pPr>
              <w:rPr>
                <w:rFonts w:cs="Arial"/>
                <w:color w:val="000000"/>
              </w:rPr>
            </w:pPr>
            <w:r w:rsidRPr="00E97D2C">
              <w:rPr>
                <w:rFonts w:cs="Arial"/>
                <w:color w:val="000000"/>
              </w:rPr>
              <w:t>Bypass Middle Esophagus to Duodenum with Autologous Tissue Substitute, Via Natural or Artificial Opening Endoscopic</w:t>
            </w:r>
          </w:p>
        </w:tc>
      </w:tr>
      <w:tr w:rsidR="00595F71" w:rsidRPr="00E97D2C" w14:paraId="5309F021" w14:textId="77777777" w:rsidTr="00696E8F">
        <w:trPr>
          <w:trHeight w:val="300"/>
        </w:trPr>
        <w:tc>
          <w:tcPr>
            <w:tcW w:w="1872" w:type="dxa"/>
            <w:noWrap/>
            <w:vAlign w:val="center"/>
            <w:hideMark/>
          </w:tcPr>
          <w:p w14:paraId="47C65766" w14:textId="77777777" w:rsidR="00595F71" w:rsidRPr="00E97D2C" w:rsidRDefault="00595F71" w:rsidP="00696E8F">
            <w:pPr>
              <w:rPr>
                <w:rFonts w:cs="Arial"/>
                <w:color w:val="000000"/>
              </w:rPr>
            </w:pPr>
            <w:r w:rsidRPr="00E97D2C">
              <w:rPr>
                <w:rFonts w:cs="Arial"/>
                <w:color w:val="000000"/>
              </w:rPr>
              <w:t>0D1287A</w:t>
            </w:r>
          </w:p>
        </w:tc>
        <w:tc>
          <w:tcPr>
            <w:tcW w:w="7560" w:type="dxa"/>
            <w:noWrap/>
            <w:vAlign w:val="center"/>
            <w:hideMark/>
          </w:tcPr>
          <w:p w14:paraId="1F13BB6C" w14:textId="77777777" w:rsidR="00595F71" w:rsidRPr="00E97D2C" w:rsidRDefault="00595F71" w:rsidP="00696E8F">
            <w:pPr>
              <w:rPr>
                <w:rFonts w:cs="Arial"/>
                <w:color w:val="000000"/>
              </w:rPr>
            </w:pPr>
            <w:r w:rsidRPr="00E97D2C">
              <w:rPr>
                <w:rFonts w:cs="Arial"/>
                <w:color w:val="000000"/>
              </w:rPr>
              <w:t>Bypass Middle Esophagus to Jejunum with Autologous Tissue Substitute, Via Natural or Artificial Opening Endoscopic</w:t>
            </w:r>
          </w:p>
        </w:tc>
      </w:tr>
      <w:tr w:rsidR="00595F71" w:rsidRPr="00E97D2C" w14:paraId="3D3DB67A" w14:textId="77777777" w:rsidTr="00696E8F">
        <w:trPr>
          <w:trHeight w:val="300"/>
        </w:trPr>
        <w:tc>
          <w:tcPr>
            <w:tcW w:w="1872" w:type="dxa"/>
            <w:noWrap/>
            <w:vAlign w:val="center"/>
            <w:hideMark/>
          </w:tcPr>
          <w:p w14:paraId="3F4E1048" w14:textId="77777777" w:rsidR="00595F71" w:rsidRPr="00E97D2C" w:rsidRDefault="00595F71" w:rsidP="00696E8F">
            <w:pPr>
              <w:rPr>
                <w:rFonts w:cs="Arial"/>
                <w:color w:val="000000"/>
              </w:rPr>
            </w:pPr>
            <w:r w:rsidRPr="00E97D2C">
              <w:rPr>
                <w:rFonts w:cs="Arial"/>
                <w:color w:val="000000"/>
              </w:rPr>
              <w:t>0D1287B</w:t>
            </w:r>
          </w:p>
        </w:tc>
        <w:tc>
          <w:tcPr>
            <w:tcW w:w="7560" w:type="dxa"/>
            <w:noWrap/>
            <w:vAlign w:val="center"/>
            <w:hideMark/>
          </w:tcPr>
          <w:p w14:paraId="30D38262" w14:textId="77777777" w:rsidR="00595F71" w:rsidRPr="00E97D2C" w:rsidRDefault="00595F71" w:rsidP="00696E8F">
            <w:pPr>
              <w:rPr>
                <w:rFonts w:cs="Arial"/>
                <w:color w:val="000000"/>
              </w:rPr>
            </w:pPr>
            <w:r w:rsidRPr="00E97D2C">
              <w:rPr>
                <w:rFonts w:cs="Arial"/>
                <w:color w:val="000000"/>
              </w:rPr>
              <w:t>Bypass Middle Esophagus to Ileum with Autologous Tissue Substitute, Via Natural or Artificial Opening Endoscopic</w:t>
            </w:r>
          </w:p>
        </w:tc>
      </w:tr>
      <w:tr w:rsidR="00595F71" w:rsidRPr="00E97D2C" w14:paraId="70A321BA" w14:textId="77777777" w:rsidTr="00696E8F">
        <w:trPr>
          <w:trHeight w:val="300"/>
        </w:trPr>
        <w:tc>
          <w:tcPr>
            <w:tcW w:w="1872" w:type="dxa"/>
            <w:noWrap/>
            <w:vAlign w:val="center"/>
            <w:hideMark/>
          </w:tcPr>
          <w:p w14:paraId="038E4E1A" w14:textId="77777777" w:rsidR="00595F71" w:rsidRPr="00E97D2C" w:rsidRDefault="00595F71" w:rsidP="00696E8F">
            <w:pPr>
              <w:rPr>
                <w:rFonts w:cs="Arial"/>
                <w:color w:val="000000"/>
              </w:rPr>
            </w:pPr>
            <w:r w:rsidRPr="00E97D2C">
              <w:rPr>
                <w:rFonts w:cs="Arial"/>
                <w:color w:val="000000"/>
              </w:rPr>
              <w:t>0D128J4</w:t>
            </w:r>
          </w:p>
        </w:tc>
        <w:tc>
          <w:tcPr>
            <w:tcW w:w="7560" w:type="dxa"/>
            <w:noWrap/>
            <w:vAlign w:val="center"/>
            <w:hideMark/>
          </w:tcPr>
          <w:p w14:paraId="0556DE84" w14:textId="77777777" w:rsidR="00595F71" w:rsidRPr="00E97D2C" w:rsidRDefault="00595F71" w:rsidP="00696E8F">
            <w:pPr>
              <w:rPr>
                <w:rFonts w:cs="Arial"/>
                <w:color w:val="000000"/>
              </w:rPr>
            </w:pPr>
            <w:r w:rsidRPr="00E97D2C">
              <w:rPr>
                <w:rFonts w:cs="Arial"/>
                <w:color w:val="000000"/>
              </w:rPr>
              <w:t>Bypass Middle Esophagus to Cutaneous with Synthetic Substitute, Via Natural or Artificial Opening Endoscopic</w:t>
            </w:r>
          </w:p>
        </w:tc>
      </w:tr>
      <w:tr w:rsidR="00595F71" w:rsidRPr="00E97D2C" w14:paraId="3E5BD34D" w14:textId="77777777" w:rsidTr="00696E8F">
        <w:trPr>
          <w:trHeight w:val="300"/>
        </w:trPr>
        <w:tc>
          <w:tcPr>
            <w:tcW w:w="1872" w:type="dxa"/>
            <w:noWrap/>
            <w:vAlign w:val="center"/>
            <w:hideMark/>
          </w:tcPr>
          <w:p w14:paraId="3D51CA1E" w14:textId="77777777" w:rsidR="00595F71" w:rsidRPr="00E97D2C" w:rsidRDefault="00595F71" w:rsidP="00696E8F">
            <w:pPr>
              <w:rPr>
                <w:rFonts w:cs="Arial"/>
                <w:color w:val="000000"/>
              </w:rPr>
            </w:pPr>
            <w:r w:rsidRPr="00E97D2C">
              <w:rPr>
                <w:rFonts w:cs="Arial"/>
                <w:color w:val="000000"/>
              </w:rPr>
              <w:t>0D128J6</w:t>
            </w:r>
          </w:p>
        </w:tc>
        <w:tc>
          <w:tcPr>
            <w:tcW w:w="7560" w:type="dxa"/>
            <w:noWrap/>
            <w:vAlign w:val="center"/>
            <w:hideMark/>
          </w:tcPr>
          <w:p w14:paraId="05C3A9F5" w14:textId="77777777" w:rsidR="00595F71" w:rsidRPr="00E97D2C" w:rsidRDefault="00595F71" w:rsidP="00696E8F">
            <w:pPr>
              <w:rPr>
                <w:rFonts w:cs="Arial"/>
                <w:color w:val="000000"/>
              </w:rPr>
            </w:pPr>
            <w:r w:rsidRPr="00E97D2C">
              <w:rPr>
                <w:rFonts w:cs="Arial"/>
                <w:color w:val="000000"/>
              </w:rPr>
              <w:t>Bypass Middle Esophagus to Stomach with Synthetic Substitute, Via Natural or Artificial Opening Endoscopic</w:t>
            </w:r>
          </w:p>
        </w:tc>
      </w:tr>
      <w:tr w:rsidR="00595F71" w:rsidRPr="00E97D2C" w14:paraId="36A55B58" w14:textId="77777777" w:rsidTr="00696E8F">
        <w:trPr>
          <w:trHeight w:val="300"/>
        </w:trPr>
        <w:tc>
          <w:tcPr>
            <w:tcW w:w="1872" w:type="dxa"/>
            <w:noWrap/>
            <w:vAlign w:val="center"/>
            <w:hideMark/>
          </w:tcPr>
          <w:p w14:paraId="63C60CC2" w14:textId="77777777" w:rsidR="00595F71" w:rsidRPr="00E97D2C" w:rsidRDefault="00595F71" w:rsidP="00696E8F">
            <w:pPr>
              <w:rPr>
                <w:rFonts w:cs="Arial"/>
                <w:color w:val="000000"/>
              </w:rPr>
            </w:pPr>
            <w:r w:rsidRPr="00E97D2C">
              <w:rPr>
                <w:rFonts w:cs="Arial"/>
                <w:color w:val="000000"/>
              </w:rPr>
              <w:t>0D128J9</w:t>
            </w:r>
          </w:p>
        </w:tc>
        <w:tc>
          <w:tcPr>
            <w:tcW w:w="7560" w:type="dxa"/>
            <w:noWrap/>
            <w:vAlign w:val="center"/>
            <w:hideMark/>
          </w:tcPr>
          <w:p w14:paraId="3FE45BDF" w14:textId="77777777" w:rsidR="00595F71" w:rsidRPr="00E97D2C" w:rsidRDefault="00595F71" w:rsidP="00696E8F">
            <w:pPr>
              <w:rPr>
                <w:rFonts w:cs="Arial"/>
                <w:color w:val="000000"/>
              </w:rPr>
            </w:pPr>
            <w:r w:rsidRPr="00E97D2C">
              <w:rPr>
                <w:rFonts w:cs="Arial"/>
                <w:color w:val="000000"/>
              </w:rPr>
              <w:t>Bypass Middle Esophagus to Duodenum with Synthetic Substitute, Via Natural or Artificial Opening Endoscopic</w:t>
            </w:r>
          </w:p>
        </w:tc>
      </w:tr>
      <w:tr w:rsidR="00595F71" w:rsidRPr="00E97D2C" w14:paraId="2F678323" w14:textId="77777777" w:rsidTr="00696E8F">
        <w:trPr>
          <w:trHeight w:val="300"/>
        </w:trPr>
        <w:tc>
          <w:tcPr>
            <w:tcW w:w="1872" w:type="dxa"/>
            <w:noWrap/>
            <w:vAlign w:val="center"/>
            <w:hideMark/>
          </w:tcPr>
          <w:p w14:paraId="00AE16F0" w14:textId="77777777" w:rsidR="00595F71" w:rsidRPr="00E97D2C" w:rsidRDefault="00595F71" w:rsidP="00696E8F">
            <w:pPr>
              <w:rPr>
                <w:rFonts w:cs="Arial"/>
                <w:color w:val="000000"/>
              </w:rPr>
            </w:pPr>
            <w:r w:rsidRPr="00E97D2C">
              <w:rPr>
                <w:rFonts w:cs="Arial"/>
                <w:color w:val="000000"/>
              </w:rPr>
              <w:t>0D128JA</w:t>
            </w:r>
          </w:p>
        </w:tc>
        <w:tc>
          <w:tcPr>
            <w:tcW w:w="7560" w:type="dxa"/>
            <w:noWrap/>
            <w:vAlign w:val="center"/>
            <w:hideMark/>
          </w:tcPr>
          <w:p w14:paraId="31B2B21B" w14:textId="77777777" w:rsidR="00595F71" w:rsidRPr="00E97D2C" w:rsidRDefault="00595F71" w:rsidP="00696E8F">
            <w:pPr>
              <w:rPr>
                <w:rFonts w:cs="Arial"/>
                <w:color w:val="000000"/>
              </w:rPr>
            </w:pPr>
            <w:r w:rsidRPr="00E97D2C">
              <w:rPr>
                <w:rFonts w:cs="Arial"/>
                <w:color w:val="000000"/>
              </w:rPr>
              <w:t>Bypass Middle Esophagus to Jejunum with Synthetic Substitute, Via Natural or Artificial Opening Endoscopic</w:t>
            </w:r>
          </w:p>
        </w:tc>
      </w:tr>
      <w:tr w:rsidR="00595F71" w:rsidRPr="00E97D2C" w14:paraId="51AEE632" w14:textId="77777777" w:rsidTr="00696E8F">
        <w:trPr>
          <w:trHeight w:val="300"/>
        </w:trPr>
        <w:tc>
          <w:tcPr>
            <w:tcW w:w="1872" w:type="dxa"/>
            <w:noWrap/>
            <w:vAlign w:val="center"/>
            <w:hideMark/>
          </w:tcPr>
          <w:p w14:paraId="311EA614" w14:textId="77777777" w:rsidR="00595F71" w:rsidRPr="00E97D2C" w:rsidRDefault="00595F71" w:rsidP="00696E8F">
            <w:pPr>
              <w:rPr>
                <w:rFonts w:cs="Arial"/>
                <w:color w:val="000000"/>
              </w:rPr>
            </w:pPr>
            <w:r w:rsidRPr="00E97D2C">
              <w:rPr>
                <w:rFonts w:cs="Arial"/>
                <w:color w:val="000000"/>
              </w:rPr>
              <w:lastRenderedPageBreak/>
              <w:t>0D128JB</w:t>
            </w:r>
          </w:p>
        </w:tc>
        <w:tc>
          <w:tcPr>
            <w:tcW w:w="7560" w:type="dxa"/>
            <w:noWrap/>
            <w:vAlign w:val="center"/>
            <w:hideMark/>
          </w:tcPr>
          <w:p w14:paraId="7FD60C9D" w14:textId="77777777" w:rsidR="00595F71" w:rsidRPr="00E97D2C" w:rsidRDefault="00595F71" w:rsidP="00696E8F">
            <w:pPr>
              <w:rPr>
                <w:rFonts w:cs="Arial"/>
                <w:color w:val="000000"/>
              </w:rPr>
            </w:pPr>
            <w:r w:rsidRPr="00E97D2C">
              <w:rPr>
                <w:rFonts w:cs="Arial"/>
                <w:color w:val="000000"/>
              </w:rPr>
              <w:t>Bypass Middle Esophagus to Ileum with Synthetic Substitute, Via Natural or Artificial Opening Endoscopic</w:t>
            </w:r>
          </w:p>
        </w:tc>
      </w:tr>
      <w:tr w:rsidR="00595F71" w:rsidRPr="00E97D2C" w14:paraId="1F1652A4" w14:textId="77777777" w:rsidTr="00696E8F">
        <w:trPr>
          <w:trHeight w:val="300"/>
        </w:trPr>
        <w:tc>
          <w:tcPr>
            <w:tcW w:w="1872" w:type="dxa"/>
            <w:noWrap/>
            <w:vAlign w:val="center"/>
            <w:hideMark/>
          </w:tcPr>
          <w:p w14:paraId="3DC1F7D6" w14:textId="77777777" w:rsidR="00595F71" w:rsidRPr="00E97D2C" w:rsidRDefault="00595F71" w:rsidP="00696E8F">
            <w:pPr>
              <w:rPr>
                <w:rFonts w:cs="Arial"/>
                <w:color w:val="000000"/>
              </w:rPr>
            </w:pPr>
            <w:r w:rsidRPr="00E97D2C">
              <w:rPr>
                <w:rFonts w:cs="Arial"/>
                <w:color w:val="000000"/>
              </w:rPr>
              <w:t>0D128K4</w:t>
            </w:r>
          </w:p>
        </w:tc>
        <w:tc>
          <w:tcPr>
            <w:tcW w:w="7560" w:type="dxa"/>
            <w:noWrap/>
            <w:vAlign w:val="center"/>
            <w:hideMark/>
          </w:tcPr>
          <w:p w14:paraId="554DA741" w14:textId="77777777" w:rsidR="00595F71" w:rsidRPr="00E97D2C" w:rsidRDefault="00595F71" w:rsidP="00696E8F">
            <w:pPr>
              <w:rPr>
                <w:rFonts w:cs="Arial"/>
                <w:color w:val="000000"/>
              </w:rPr>
            </w:pPr>
            <w:r w:rsidRPr="00E97D2C">
              <w:rPr>
                <w:rFonts w:cs="Arial"/>
                <w:color w:val="000000"/>
              </w:rPr>
              <w:t xml:space="preserve">Bypass Middle Esophagus to Cutaneous with </w:t>
            </w:r>
            <w:proofErr w:type="spellStart"/>
            <w:r w:rsidRPr="00E97D2C">
              <w:rPr>
                <w:rFonts w:cs="Arial"/>
                <w:color w:val="000000"/>
              </w:rPr>
              <w:t>Nonautologous</w:t>
            </w:r>
            <w:proofErr w:type="spellEnd"/>
            <w:r w:rsidRPr="00E97D2C">
              <w:rPr>
                <w:rFonts w:cs="Arial"/>
                <w:color w:val="000000"/>
              </w:rPr>
              <w:t xml:space="preserve"> Tissue Substitute, Via Natural or Artificial Opening Endoscopic</w:t>
            </w:r>
          </w:p>
        </w:tc>
      </w:tr>
      <w:tr w:rsidR="00595F71" w:rsidRPr="00E97D2C" w14:paraId="5386D3AA" w14:textId="77777777" w:rsidTr="00696E8F">
        <w:trPr>
          <w:trHeight w:val="300"/>
        </w:trPr>
        <w:tc>
          <w:tcPr>
            <w:tcW w:w="1872" w:type="dxa"/>
            <w:noWrap/>
            <w:vAlign w:val="center"/>
            <w:hideMark/>
          </w:tcPr>
          <w:p w14:paraId="366D11E1" w14:textId="77777777" w:rsidR="00595F71" w:rsidRPr="00E97D2C" w:rsidRDefault="00595F71" w:rsidP="00696E8F">
            <w:pPr>
              <w:rPr>
                <w:rFonts w:cs="Arial"/>
                <w:color w:val="000000"/>
              </w:rPr>
            </w:pPr>
            <w:r w:rsidRPr="00E97D2C">
              <w:rPr>
                <w:rFonts w:cs="Arial"/>
                <w:color w:val="000000"/>
              </w:rPr>
              <w:t>0D128K6</w:t>
            </w:r>
          </w:p>
        </w:tc>
        <w:tc>
          <w:tcPr>
            <w:tcW w:w="7560" w:type="dxa"/>
            <w:noWrap/>
            <w:vAlign w:val="center"/>
            <w:hideMark/>
          </w:tcPr>
          <w:p w14:paraId="1153B657" w14:textId="77777777" w:rsidR="00595F71" w:rsidRPr="00E97D2C" w:rsidRDefault="00595F71" w:rsidP="00696E8F">
            <w:pPr>
              <w:rPr>
                <w:rFonts w:cs="Arial"/>
                <w:color w:val="000000"/>
              </w:rPr>
            </w:pPr>
            <w:r w:rsidRPr="00E97D2C">
              <w:rPr>
                <w:rFonts w:cs="Arial"/>
                <w:color w:val="000000"/>
              </w:rPr>
              <w:t xml:space="preserve">Bypass Middle Esophagus to Stomach with </w:t>
            </w:r>
            <w:proofErr w:type="spellStart"/>
            <w:r w:rsidRPr="00E97D2C">
              <w:rPr>
                <w:rFonts w:cs="Arial"/>
                <w:color w:val="000000"/>
              </w:rPr>
              <w:t>Nonautologous</w:t>
            </w:r>
            <w:proofErr w:type="spellEnd"/>
            <w:r w:rsidRPr="00E97D2C">
              <w:rPr>
                <w:rFonts w:cs="Arial"/>
                <w:color w:val="000000"/>
              </w:rPr>
              <w:t xml:space="preserve"> Tissue Substitute, Via Natural or Artificial Opening Endoscopic</w:t>
            </w:r>
          </w:p>
        </w:tc>
      </w:tr>
      <w:tr w:rsidR="00595F71" w:rsidRPr="00E97D2C" w14:paraId="1AC3E717" w14:textId="77777777" w:rsidTr="00696E8F">
        <w:trPr>
          <w:trHeight w:val="300"/>
        </w:trPr>
        <w:tc>
          <w:tcPr>
            <w:tcW w:w="1872" w:type="dxa"/>
            <w:noWrap/>
            <w:vAlign w:val="center"/>
            <w:hideMark/>
          </w:tcPr>
          <w:p w14:paraId="7672F31A" w14:textId="77777777" w:rsidR="00595F71" w:rsidRPr="00E97D2C" w:rsidRDefault="00595F71" w:rsidP="00696E8F">
            <w:pPr>
              <w:rPr>
                <w:rFonts w:cs="Arial"/>
                <w:color w:val="000000"/>
              </w:rPr>
            </w:pPr>
            <w:r w:rsidRPr="00E97D2C">
              <w:rPr>
                <w:rFonts w:cs="Arial"/>
                <w:color w:val="000000"/>
              </w:rPr>
              <w:t>0D128K9</w:t>
            </w:r>
          </w:p>
        </w:tc>
        <w:tc>
          <w:tcPr>
            <w:tcW w:w="7560" w:type="dxa"/>
            <w:noWrap/>
            <w:vAlign w:val="center"/>
            <w:hideMark/>
          </w:tcPr>
          <w:p w14:paraId="32E51E30" w14:textId="77777777" w:rsidR="00595F71" w:rsidRPr="00E97D2C" w:rsidRDefault="00595F71" w:rsidP="00696E8F">
            <w:pPr>
              <w:rPr>
                <w:rFonts w:cs="Arial"/>
                <w:color w:val="000000"/>
              </w:rPr>
            </w:pPr>
            <w:r w:rsidRPr="00E97D2C">
              <w:rPr>
                <w:rFonts w:cs="Arial"/>
                <w:color w:val="000000"/>
              </w:rPr>
              <w:t xml:space="preserve">Bypass Middle Esophagus to Duodenum with </w:t>
            </w:r>
            <w:proofErr w:type="spellStart"/>
            <w:r w:rsidRPr="00E97D2C">
              <w:rPr>
                <w:rFonts w:cs="Arial"/>
                <w:color w:val="000000"/>
              </w:rPr>
              <w:t>Nonautologous</w:t>
            </w:r>
            <w:proofErr w:type="spellEnd"/>
            <w:r w:rsidRPr="00E97D2C">
              <w:rPr>
                <w:rFonts w:cs="Arial"/>
                <w:color w:val="000000"/>
              </w:rPr>
              <w:t xml:space="preserve"> Tissue Substitute, Via Natural or Artificial Opening Endoscopic</w:t>
            </w:r>
          </w:p>
        </w:tc>
      </w:tr>
      <w:tr w:rsidR="00595F71" w:rsidRPr="00E97D2C" w14:paraId="617ACE69" w14:textId="77777777" w:rsidTr="00696E8F">
        <w:trPr>
          <w:trHeight w:val="300"/>
        </w:trPr>
        <w:tc>
          <w:tcPr>
            <w:tcW w:w="1872" w:type="dxa"/>
            <w:noWrap/>
            <w:vAlign w:val="center"/>
            <w:hideMark/>
          </w:tcPr>
          <w:p w14:paraId="6885140D" w14:textId="77777777" w:rsidR="00595F71" w:rsidRPr="00E97D2C" w:rsidRDefault="00595F71" w:rsidP="00696E8F">
            <w:pPr>
              <w:rPr>
                <w:rFonts w:cs="Arial"/>
                <w:color w:val="000000"/>
              </w:rPr>
            </w:pPr>
            <w:r w:rsidRPr="00E97D2C">
              <w:rPr>
                <w:rFonts w:cs="Arial"/>
                <w:color w:val="000000"/>
              </w:rPr>
              <w:t>0D128KA</w:t>
            </w:r>
          </w:p>
        </w:tc>
        <w:tc>
          <w:tcPr>
            <w:tcW w:w="7560" w:type="dxa"/>
            <w:noWrap/>
            <w:vAlign w:val="center"/>
            <w:hideMark/>
          </w:tcPr>
          <w:p w14:paraId="545F277D" w14:textId="77777777" w:rsidR="00595F71" w:rsidRPr="00E97D2C" w:rsidRDefault="00595F71" w:rsidP="00696E8F">
            <w:pPr>
              <w:rPr>
                <w:rFonts w:cs="Arial"/>
                <w:color w:val="000000"/>
              </w:rPr>
            </w:pPr>
            <w:r w:rsidRPr="00E97D2C">
              <w:rPr>
                <w:rFonts w:cs="Arial"/>
                <w:color w:val="000000"/>
              </w:rPr>
              <w:t xml:space="preserve">Bypass Middle Esophagus to Jejunum with </w:t>
            </w:r>
            <w:proofErr w:type="spellStart"/>
            <w:r w:rsidRPr="00E97D2C">
              <w:rPr>
                <w:rFonts w:cs="Arial"/>
                <w:color w:val="000000"/>
              </w:rPr>
              <w:t>Nonautologous</w:t>
            </w:r>
            <w:proofErr w:type="spellEnd"/>
            <w:r w:rsidRPr="00E97D2C">
              <w:rPr>
                <w:rFonts w:cs="Arial"/>
                <w:color w:val="000000"/>
              </w:rPr>
              <w:t xml:space="preserve"> Tissue Substitute, Via Natural or Artificial Opening Endoscopic</w:t>
            </w:r>
          </w:p>
        </w:tc>
      </w:tr>
      <w:tr w:rsidR="00595F71" w:rsidRPr="00E97D2C" w14:paraId="07DC332D" w14:textId="77777777" w:rsidTr="00696E8F">
        <w:trPr>
          <w:trHeight w:val="300"/>
        </w:trPr>
        <w:tc>
          <w:tcPr>
            <w:tcW w:w="1872" w:type="dxa"/>
            <w:noWrap/>
            <w:vAlign w:val="center"/>
            <w:hideMark/>
          </w:tcPr>
          <w:p w14:paraId="3F4D707B" w14:textId="77777777" w:rsidR="00595F71" w:rsidRPr="00E97D2C" w:rsidRDefault="00595F71" w:rsidP="00696E8F">
            <w:pPr>
              <w:rPr>
                <w:rFonts w:cs="Arial"/>
                <w:color w:val="000000"/>
              </w:rPr>
            </w:pPr>
            <w:r w:rsidRPr="00E97D2C">
              <w:rPr>
                <w:rFonts w:cs="Arial"/>
                <w:color w:val="000000"/>
              </w:rPr>
              <w:t>0D128KB</w:t>
            </w:r>
          </w:p>
        </w:tc>
        <w:tc>
          <w:tcPr>
            <w:tcW w:w="7560" w:type="dxa"/>
            <w:noWrap/>
            <w:vAlign w:val="center"/>
            <w:hideMark/>
          </w:tcPr>
          <w:p w14:paraId="18E0EC76" w14:textId="77777777" w:rsidR="00595F71" w:rsidRPr="00E97D2C" w:rsidRDefault="00595F71" w:rsidP="00696E8F">
            <w:pPr>
              <w:rPr>
                <w:rFonts w:cs="Arial"/>
                <w:color w:val="000000"/>
              </w:rPr>
            </w:pPr>
            <w:r w:rsidRPr="00E97D2C">
              <w:rPr>
                <w:rFonts w:cs="Arial"/>
                <w:color w:val="000000"/>
              </w:rPr>
              <w:t xml:space="preserve">Bypass Middle Esophagus to Ileum with </w:t>
            </w:r>
            <w:proofErr w:type="spellStart"/>
            <w:r w:rsidRPr="00E97D2C">
              <w:rPr>
                <w:rFonts w:cs="Arial"/>
                <w:color w:val="000000"/>
              </w:rPr>
              <w:t>Nonautologous</w:t>
            </w:r>
            <w:proofErr w:type="spellEnd"/>
            <w:r w:rsidRPr="00E97D2C">
              <w:rPr>
                <w:rFonts w:cs="Arial"/>
                <w:color w:val="000000"/>
              </w:rPr>
              <w:t xml:space="preserve"> Tissue Substitute, Via Natural or Artificial Opening Endoscopic</w:t>
            </w:r>
          </w:p>
        </w:tc>
      </w:tr>
      <w:tr w:rsidR="00595F71" w:rsidRPr="00E97D2C" w14:paraId="2C95ABB1" w14:textId="77777777" w:rsidTr="00696E8F">
        <w:trPr>
          <w:trHeight w:val="300"/>
        </w:trPr>
        <w:tc>
          <w:tcPr>
            <w:tcW w:w="1872" w:type="dxa"/>
            <w:noWrap/>
            <w:vAlign w:val="center"/>
            <w:hideMark/>
          </w:tcPr>
          <w:p w14:paraId="25A403B1" w14:textId="77777777" w:rsidR="00595F71" w:rsidRPr="00E97D2C" w:rsidRDefault="00595F71" w:rsidP="00696E8F">
            <w:pPr>
              <w:rPr>
                <w:rFonts w:cs="Arial"/>
                <w:color w:val="000000"/>
              </w:rPr>
            </w:pPr>
            <w:r w:rsidRPr="00E97D2C">
              <w:rPr>
                <w:rFonts w:cs="Arial"/>
                <w:color w:val="000000"/>
              </w:rPr>
              <w:t>0D128Z4</w:t>
            </w:r>
          </w:p>
        </w:tc>
        <w:tc>
          <w:tcPr>
            <w:tcW w:w="7560" w:type="dxa"/>
            <w:noWrap/>
            <w:vAlign w:val="center"/>
            <w:hideMark/>
          </w:tcPr>
          <w:p w14:paraId="202E5593" w14:textId="77777777" w:rsidR="00595F71" w:rsidRPr="00E97D2C" w:rsidRDefault="00595F71" w:rsidP="00696E8F">
            <w:pPr>
              <w:rPr>
                <w:rFonts w:cs="Arial"/>
                <w:color w:val="000000"/>
              </w:rPr>
            </w:pPr>
            <w:r w:rsidRPr="00E97D2C">
              <w:rPr>
                <w:rFonts w:cs="Arial"/>
                <w:color w:val="000000"/>
              </w:rPr>
              <w:t>Bypass Middle Esophagus to Cutaneous, Via Natural or Artificial Opening Endoscopic</w:t>
            </w:r>
          </w:p>
        </w:tc>
      </w:tr>
      <w:tr w:rsidR="00595F71" w:rsidRPr="00E97D2C" w14:paraId="553A29C7" w14:textId="77777777" w:rsidTr="00696E8F">
        <w:trPr>
          <w:trHeight w:val="300"/>
        </w:trPr>
        <w:tc>
          <w:tcPr>
            <w:tcW w:w="1872" w:type="dxa"/>
            <w:noWrap/>
            <w:vAlign w:val="center"/>
            <w:hideMark/>
          </w:tcPr>
          <w:p w14:paraId="04E85D20" w14:textId="77777777" w:rsidR="00595F71" w:rsidRPr="00E97D2C" w:rsidRDefault="00595F71" w:rsidP="00696E8F">
            <w:pPr>
              <w:rPr>
                <w:rFonts w:cs="Arial"/>
                <w:color w:val="000000"/>
              </w:rPr>
            </w:pPr>
            <w:r w:rsidRPr="00E97D2C">
              <w:rPr>
                <w:rFonts w:cs="Arial"/>
                <w:color w:val="000000"/>
              </w:rPr>
              <w:t>0D128Z6</w:t>
            </w:r>
          </w:p>
        </w:tc>
        <w:tc>
          <w:tcPr>
            <w:tcW w:w="7560" w:type="dxa"/>
            <w:noWrap/>
            <w:vAlign w:val="center"/>
            <w:hideMark/>
          </w:tcPr>
          <w:p w14:paraId="61495476" w14:textId="77777777" w:rsidR="00595F71" w:rsidRPr="00E97D2C" w:rsidRDefault="00595F71" w:rsidP="00696E8F">
            <w:pPr>
              <w:rPr>
                <w:rFonts w:cs="Arial"/>
                <w:color w:val="000000"/>
              </w:rPr>
            </w:pPr>
            <w:r w:rsidRPr="00E97D2C">
              <w:rPr>
                <w:rFonts w:cs="Arial"/>
                <w:color w:val="000000"/>
              </w:rPr>
              <w:t>Bypass Middle Esophagus to Stomach, Via Natural or Artificial Opening Endoscopic</w:t>
            </w:r>
          </w:p>
        </w:tc>
      </w:tr>
      <w:tr w:rsidR="00595F71" w:rsidRPr="00E97D2C" w14:paraId="4F1571CF" w14:textId="77777777" w:rsidTr="00696E8F">
        <w:trPr>
          <w:trHeight w:val="300"/>
        </w:trPr>
        <w:tc>
          <w:tcPr>
            <w:tcW w:w="1872" w:type="dxa"/>
            <w:noWrap/>
            <w:vAlign w:val="center"/>
            <w:hideMark/>
          </w:tcPr>
          <w:p w14:paraId="33619B40" w14:textId="77777777" w:rsidR="00595F71" w:rsidRPr="00E97D2C" w:rsidRDefault="00595F71" w:rsidP="00696E8F">
            <w:pPr>
              <w:rPr>
                <w:rFonts w:cs="Arial"/>
                <w:color w:val="000000"/>
              </w:rPr>
            </w:pPr>
            <w:r w:rsidRPr="00E97D2C">
              <w:rPr>
                <w:rFonts w:cs="Arial"/>
                <w:color w:val="000000"/>
              </w:rPr>
              <w:t>0D128Z9</w:t>
            </w:r>
          </w:p>
        </w:tc>
        <w:tc>
          <w:tcPr>
            <w:tcW w:w="7560" w:type="dxa"/>
            <w:noWrap/>
            <w:vAlign w:val="center"/>
            <w:hideMark/>
          </w:tcPr>
          <w:p w14:paraId="428DA591" w14:textId="77777777" w:rsidR="00595F71" w:rsidRPr="00E97D2C" w:rsidRDefault="00595F71" w:rsidP="00696E8F">
            <w:pPr>
              <w:rPr>
                <w:rFonts w:cs="Arial"/>
                <w:color w:val="000000"/>
              </w:rPr>
            </w:pPr>
            <w:r w:rsidRPr="00E97D2C">
              <w:rPr>
                <w:rFonts w:cs="Arial"/>
                <w:color w:val="000000"/>
              </w:rPr>
              <w:t>Bypass Middle Esophagus to Duodenum, Via Natural or Artificial Opening Endoscopic</w:t>
            </w:r>
          </w:p>
        </w:tc>
      </w:tr>
      <w:tr w:rsidR="00595F71" w:rsidRPr="00E97D2C" w14:paraId="0A4D91DB" w14:textId="77777777" w:rsidTr="00696E8F">
        <w:trPr>
          <w:trHeight w:val="300"/>
        </w:trPr>
        <w:tc>
          <w:tcPr>
            <w:tcW w:w="1872" w:type="dxa"/>
            <w:noWrap/>
            <w:vAlign w:val="center"/>
            <w:hideMark/>
          </w:tcPr>
          <w:p w14:paraId="04BBECA4" w14:textId="77777777" w:rsidR="00595F71" w:rsidRPr="00E97D2C" w:rsidRDefault="00595F71" w:rsidP="00696E8F">
            <w:pPr>
              <w:rPr>
                <w:rFonts w:cs="Arial"/>
                <w:color w:val="000000"/>
              </w:rPr>
            </w:pPr>
            <w:r w:rsidRPr="00E97D2C">
              <w:rPr>
                <w:rFonts w:cs="Arial"/>
                <w:color w:val="000000"/>
              </w:rPr>
              <w:t>0D128ZA</w:t>
            </w:r>
          </w:p>
        </w:tc>
        <w:tc>
          <w:tcPr>
            <w:tcW w:w="7560" w:type="dxa"/>
            <w:noWrap/>
            <w:vAlign w:val="center"/>
            <w:hideMark/>
          </w:tcPr>
          <w:p w14:paraId="38720C45" w14:textId="77777777" w:rsidR="00595F71" w:rsidRPr="00E97D2C" w:rsidRDefault="00595F71" w:rsidP="00696E8F">
            <w:pPr>
              <w:rPr>
                <w:rFonts w:cs="Arial"/>
                <w:color w:val="000000"/>
              </w:rPr>
            </w:pPr>
            <w:r w:rsidRPr="00E97D2C">
              <w:rPr>
                <w:rFonts w:cs="Arial"/>
                <w:color w:val="000000"/>
              </w:rPr>
              <w:t>Bypass Middle Esophagus to Jejunum, Via Natural or Artificial Opening Endoscopic</w:t>
            </w:r>
          </w:p>
        </w:tc>
      </w:tr>
      <w:tr w:rsidR="00595F71" w:rsidRPr="00E97D2C" w14:paraId="7CAAE983" w14:textId="77777777" w:rsidTr="00696E8F">
        <w:trPr>
          <w:trHeight w:val="300"/>
        </w:trPr>
        <w:tc>
          <w:tcPr>
            <w:tcW w:w="1872" w:type="dxa"/>
            <w:noWrap/>
            <w:vAlign w:val="center"/>
            <w:hideMark/>
          </w:tcPr>
          <w:p w14:paraId="5CE1296B" w14:textId="77777777" w:rsidR="00595F71" w:rsidRPr="00E97D2C" w:rsidRDefault="00595F71" w:rsidP="00696E8F">
            <w:pPr>
              <w:rPr>
                <w:rFonts w:cs="Arial"/>
                <w:color w:val="000000"/>
              </w:rPr>
            </w:pPr>
            <w:r w:rsidRPr="00E97D2C">
              <w:rPr>
                <w:rFonts w:cs="Arial"/>
                <w:color w:val="000000"/>
              </w:rPr>
              <w:t>0D128ZB</w:t>
            </w:r>
          </w:p>
        </w:tc>
        <w:tc>
          <w:tcPr>
            <w:tcW w:w="7560" w:type="dxa"/>
            <w:noWrap/>
            <w:vAlign w:val="center"/>
            <w:hideMark/>
          </w:tcPr>
          <w:p w14:paraId="44FEC3D0" w14:textId="77777777" w:rsidR="00595F71" w:rsidRPr="00E97D2C" w:rsidRDefault="00595F71" w:rsidP="00696E8F">
            <w:pPr>
              <w:rPr>
                <w:rFonts w:cs="Arial"/>
                <w:color w:val="000000"/>
              </w:rPr>
            </w:pPr>
            <w:r w:rsidRPr="00E97D2C">
              <w:rPr>
                <w:rFonts w:cs="Arial"/>
                <w:color w:val="000000"/>
              </w:rPr>
              <w:t>Bypass Middle Esophagus to Ileum, Via Natural or Artificial Opening Endoscopic</w:t>
            </w:r>
          </w:p>
        </w:tc>
      </w:tr>
      <w:tr w:rsidR="00595F71" w:rsidRPr="00E97D2C" w14:paraId="7FC6B4F7" w14:textId="77777777" w:rsidTr="00696E8F">
        <w:trPr>
          <w:trHeight w:val="300"/>
        </w:trPr>
        <w:tc>
          <w:tcPr>
            <w:tcW w:w="1872" w:type="dxa"/>
            <w:noWrap/>
            <w:vAlign w:val="center"/>
            <w:hideMark/>
          </w:tcPr>
          <w:p w14:paraId="43CD3675" w14:textId="77777777" w:rsidR="00595F71" w:rsidRPr="00E97D2C" w:rsidRDefault="00595F71" w:rsidP="00696E8F">
            <w:pPr>
              <w:rPr>
                <w:rFonts w:cs="Arial"/>
                <w:color w:val="000000"/>
              </w:rPr>
            </w:pPr>
            <w:r w:rsidRPr="00E97D2C">
              <w:rPr>
                <w:rFonts w:cs="Arial"/>
                <w:color w:val="000000"/>
              </w:rPr>
              <w:t>0D13074</w:t>
            </w:r>
          </w:p>
        </w:tc>
        <w:tc>
          <w:tcPr>
            <w:tcW w:w="7560" w:type="dxa"/>
            <w:noWrap/>
            <w:vAlign w:val="center"/>
            <w:hideMark/>
          </w:tcPr>
          <w:p w14:paraId="32AF07B0" w14:textId="77777777" w:rsidR="00595F71" w:rsidRPr="00E97D2C" w:rsidRDefault="00595F71" w:rsidP="00696E8F">
            <w:pPr>
              <w:rPr>
                <w:rFonts w:cs="Arial"/>
                <w:color w:val="000000"/>
              </w:rPr>
            </w:pPr>
            <w:r w:rsidRPr="00E97D2C">
              <w:rPr>
                <w:rFonts w:cs="Arial"/>
                <w:color w:val="000000"/>
              </w:rPr>
              <w:t>Bypass Lower Esophagus to Cutaneous with Autologous Tissue Substitute, Open Approach</w:t>
            </w:r>
          </w:p>
        </w:tc>
      </w:tr>
      <w:tr w:rsidR="00595F71" w:rsidRPr="00E97D2C" w14:paraId="6AEC5092" w14:textId="77777777" w:rsidTr="00696E8F">
        <w:trPr>
          <w:trHeight w:val="300"/>
        </w:trPr>
        <w:tc>
          <w:tcPr>
            <w:tcW w:w="1872" w:type="dxa"/>
            <w:noWrap/>
            <w:vAlign w:val="center"/>
            <w:hideMark/>
          </w:tcPr>
          <w:p w14:paraId="05195342" w14:textId="77777777" w:rsidR="00595F71" w:rsidRPr="00E97D2C" w:rsidRDefault="00595F71" w:rsidP="00696E8F">
            <w:pPr>
              <w:rPr>
                <w:rFonts w:cs="Arial"/>
                <w:color w:val="000000"/>
              </w:rPr>
            </w:pPr>
            <w:r w:rsidRPr="00E97D2C">
              <w:rPr>
                <w:rFonts w:cs="Arial"/>
                <w:color w:val="000000"/>
              </w:rPr>
              <w:t>0D13076</w:t>
            </w:r>
          </w:p>
        </w:tc>
        <w:tc>
          <w:tcPr>
            <w:tcW w:w="7560" w:type="dxa"/>
            <w:noWrap/>
            <w:vAlign w:val="center"/>
            <w:hideMark/>
          </w:tcPr>
          <w:p w14:paraId="379BB144" w14:textId="77777777" w:rsidR="00595F71" w:rsidRPr="00E97D2C" w:rsidRDefault="00595F71" w:rsidP="00696E8F">
            <w:pPr>
              <w:rPr>
                <w:rFonts w:cs="Arial"/>
                <w:color w:val="000000"/>
              </w:rPr>
            </w:pPr>
            <w:r w:rsidRPr="00E97D2C">
              <w:rPr>
                <w:rFonts w:cs="Arial"/>
                <w:color w:val="000000"/>
              </w:rPr>
              <w:t>Bypass Lower Esophagus to Stomach with Autologous Tissue Substitute, Open Approach</w:t>
            </w:r>
          </w:p>
        </w:tc>
      </w:tr>
      <w:tr w:rsidR="00595F71" w:rsidRPr="00E97D2C" w14:paraId="0A0A4655" w14:textId="77777777" w:rsidTr="00696E8F">
        <w:trPr>
          <w:trHeight w:val="300"/>
        </w:trPr>
        <w:tc>
          <w:tcPr>
            <w:tcW w:w="1872" w:type="dxa"/>
            <w:noWrap/>
            <w:vAlign w:val="center"/>
            <w:hideMark/>
          </w:tcPr>
          <w:p w14:paraId="06DBED33" w14:textId="77777777" w:rsidR="00595F71" w:rsidRPr="00E97D2C" w:rsidRDefault="00595F71" w:rsidP="00696E8F">
            <w:pPr>
              <w:rPr>
                <w:rFonts w:cs="Arial"/>
                <w:color w:val="000000"/>
              </w:rPr>
            </w:pPr>
            <w:r w:rsidRPr="00E97D2C">
              <w:rPr>
                <w:rFonts w:cs="Arial"/>
                <w:color w:val="000000"/>
              </w:rPr>
              <w:t>0D13079</w:t>
            </w:r>
          </w:p>
        </w:tc>
        <w:tc>
          <w:tcPr>
            <w:tcW w:w="7560" w:type="dxa"/>
            <w:noWrap/>
            <w:vAlign w:val="center"/>
            <w:hideMark/>
          </w:tcPr>
          <w:p w14:paraId="3E277041" w14:textId="77777777" w:rsidR="00595F71" w:rsidRPr="00E97D2C" w:rsidRDefault="00595F71" w:rsidP="00696E8F">
            <w:pPr>
              <w:rPr>
                <w:rFonts w:cs="Arial"/>
                <w:color w:val="000000"/>
              </w:rPr>
            </w:pPr>
            <w:r w:rsidRPr="00E97D2C">
              <w:rPr>
                <w:rFonts w:cs="Arial"/>
                <w:color w:val="000000"/>
              </w:rPr>
              <w:t>Bypass Lower Esophagus to Duodenum with Autologous Tissue Substitute, Open Approach</w:t>
            </w:r>
          </w:p>
        </w:tc>
      </w:tr>
      <w:tr w:rsidR="00595F71" w:rsidRPr="00E97D2C" w14:paraId="33568DD3" w14:textId="77777777" w:rsidTr="00696E8F">
        <w:trPr>
          <w:trHeight w:val="300"/>
        </w:trPr>
        <w:tc>
          <w:tcPr>
            <w:tcW w:w="1872" w:type="dxa"/>
            <w:noWrap/>
            <w:vAlign w:val="center"/>
            <w:hideMark/>
          </w:tcPr>
          <w:p w14:paraId="4738E0C1" w14:textId="77777777" w:rsidR="00595F71" w:rsidRPr="00E97D2C" w:rsidRDefault="00595F71" w:rsidP="00696E8F">
            <w:pPr>
              <w:rPr>
                <w:rFonts w:cs="Arial"/>
                <w:color w:val="000000"/>
              </w:rPr>
            </w:pPr>
            <w:r w:rsidRPr="00E97D2C">
              <w:rPr>
                <w:rFonts w:cs="Arial"/>
                <w:color w:val="000000"/>
              </w:rPr>
              <w:t>0D1307A</w:t>
            </w:r>
          </w:p>
        </w:tc>
        <w:tc>
          <w:tcPr>
            <w:tcW w:w="7560" w:type="dxa"/>
            <w:noWrap/>
            <w:vAlign w:val="center"/>
            <w:hideMark/>
          </w:tcPr>
          <w:p w14:paraId="6C131697" w14:textId="77777777" w:rsidR="00595F71" w:rsidRPr="00E97D2C" w:rsidRDefault="00595F71" w:rsidP="00696E8F">
            <w:pPr>
              <w:rPr>
                <w:rFonts w:cs="Arial"/>
                <w:color w:val="000000"/>
              </w:rPr>
            </w:pPr>
            <w:r w:rsidRPr="00E97D2C">
              <w:rPr>
                <w:rFonts w:cs="Arial"/>
                <w:color w:val="000000"/>
              </w:rPr>
              <w:t>Bypass Lower Esophagus to Jejunum with Autologous Tissue Substitute, Open Approach</w:t>
            </w:r>
          </w:p>
        </w:tc>
      </w:tr>
      <w:tr w:rsidR="00595F71" w:rsidRPr="00E97D2C" w14:paraId="48356A26" w14:textId="77777777" w:rsidTr="00696E8F">
        <w:trPr>
          <w:trHeight w:val="300"/>
        </w:trPr>
        <w:tc>
          <w:tcPr>
            <w:tcW w:w="1872" w:type="dxa"/>
            <w:noWrap/>
            <w:vAlign w:val="center"/>
            <w:hideMark/>
          </w:tcPr>
          <w:p w14:paraId="1A8BB1F2" w14:textId="77777777" w:rsidR="00595F71" w:rsidRPr="00E97D2C" w:rsidRDefault="00595F71" w:rsidP="00696E8F">
            <w:pPr>
              <w:rPr>
                <w:rFonts w:cs="Arial"/>
                <w:color w:val="000000"/>
              </w:rPr>
            </w:pPr>
            <w:r w:rsidRPr="00E97D2C">
              <w:rPr>
                <w:rFonts w:cs="Arial"/>
                <w:color w:val="000000"/>
              </w:rPr>
              <w:t>0D1307B</w:t>
            </w:r>
          </w:p>
        </w:tc>
        <w:tc>
          <w:tcPr>
            <w:tcW w:w="7560" w:type="dxa"/>
            <w:noWrap/>
            <w:vAlign w:val="center"/>
            <w:hideMark/>
          </w:tcPr>
          <w:p w14:paraId="7C363FAA" w14:textId="77777777" w:rsidR="00595F71" w:rsidRPr="00E97D2C" w:rsidRDefault="00595F71" w:rsidP="00696E8F">
            <w:pPr>
              <w:rPr>
                <w:rFonts w:cs="Arial"/>
                <w:color w:val="000000"/>
              </w:rPr>
            </w:pPr>
            <w:r w:rsidRPr="00E97D2C">
              <w:rPr>
                <w:rFonts w:cs="Arial"/>
                <w:color w:val="000000"/>
              </w:rPr>
              <w:t>Bypass Lower Esophagus to Ileum with Autologous Tissue Substitute, Open Approach</w:t>
            </w:r>
          </w:p>
        </w:tc>
      </w:tr>
      <w:tr w:rsidR="00595F71" w:rsidRPr="00E97D2C" w14:paraId="4957C9FB" w14:textId="77777777" w:rsidTr="00696E8F">
        <w:trPr>
          <w:trHeight w:val="300"/>
        </w:trPr>
        <w:tc>
          <w:tcPr>
            <w:tcW w:w="1872" w:type="dxa"/>
            <w:noWrap/>
            <w:vAlign w:val="center"/>
            <w:hideMark/>
          </w:tcPr>
          <w:p w14:paraId="4436045A" w14:textId="77777777" w:rsidR="00595F71" w:rsidRPr="00E97D2C" w:rsidRDefault="00595F71" w:rsidP="00696E8F">
            <w:pPr>
              <w:rPr>
                <w:rFonts w:cs="Arial"/>
                <w:color w:val="000000"/>
              </w:rPr>
            </w:pPr>
            <w:r w:rsidRPr="00E97D2C">
              <w:rPr>
                <w:rFonts w:cs="Arial"/>
                <w:color w:val="000000"/>
              </w:rPr>
              <w:t>0D130J4</w:t>
            </w:r>
          </w:p>
        </w:tc>
        <w:tc>
          <w:tcPr>
            <w:tcW w:w="7560" w:type="dxa"/>
            <w:noWrap/>
            <w:vAlign w:val="center"/>
            <w:hideMark/>
          </w:tcPr>
          <w:p w14:paraId="6751D4A6" w14:textId="77777777" w:rsidR="00595F71" w:rsidRPr="00E97D2C" w:rsidRDefault="00595F71" w:rsidP="00696E8F">
            <w:pPr>
              <w:rPr>
                <w:rFonts w:cs="Arial"/>
                <w:color w:val="000000"/>
              </w:rPr>
            </w:pPr>
            <w:r w:rsidRPr="00E97D2C">
              <w:rPr>
                <w:rFonts w:cs="Arial"/>
                <w:color w:val="000000"/>
              </w:rPr>
              <w:t>Bypass Lower Esophagus to Cutaneous with Synthetic Substitute, Open Approach</w:t>
            </w:r>
          </w:p>
        </w:tc>
      </w:tr>
      <w:tr w:rsidR="00595F71" w:rsidRPr="00E97D2C" w14:paraId="4F095A5C" w14:textId="77777777" w:rsidTr="00696E8F">
        <w:trPr>
          <w:trHeight w:val="300"/>
        </w:trPr>
        <w:tc>
          <w:tcPr>
            <w:tcW w:w="1872" w:type="dxa"/>
            <w:noWrap/>
            <w:vAlign w:val="center"/>
            <w:hideMark/>
          </w:tcPr>
          <w:p w14:paraId="47EC8EAE" w14:textId="77777777" w:rsidR="00595F71" w:rsidRPr="00E97D2C" w:rsidRDefault="00595F71" w:rsidP="00696E8F">
            <w:pPr>
              <w:rPr>
                <w:rFonts w:cs="Arial"/>
                <w:color w:val="000000"/>
              </w:rPr>
            </w:pPr>
            <w:r w:rsidRPr="00E97D2C">
              <w:rPr>
                <w:rFonts w:cs="Arial"/>
                <w:color w:val="000000"/>
              </w:rPr>
              <w:t>0D130J6</w:t>
            </w:r>
          </w:p>
        </w:tc>
        <w:tc>
          <w:tcPr>
            <w:tcW w:w="7560" w:type="dxa"/>
            <w:noWrap/>
            <w:vAlign w:val="center"/>
            <w:hideMark/>
          </w:tcPr>
          <w:p w14:paraId="592A83A6" w14:textId="77777777" w:rsidR="00595F71" w:rsidRPr="00E97D2C" w:rsidRDefault="00595F71" w:rsidP="00696E8F">
            <w:pPr>
              <w:rPr>
                <w:rFonts w:cs="Arial"/>
                <w:color w:val="000000"/>
              </w:rPr>
            </w:pPr>
            <w:r w:rsidRPr="00E97D2C">
              <w:rPr>
                <w:rFonts w:cs="Arial"/>
                <w:color w:val="000000"/>
              </w:rPr>
              <w:t>Bypass Lower Esophagus to Stomach with Synthetic Substitute, Open Approach</w:t>
            </w:r>
          </w:p>
        </w:tc>
      </w:tr>
      <w:tr w:rsidR="00595F71" w:rsidRPr="00E97D2C" w14:paraId="5BEA4243" w14:textId="77777777" w:rsidTr="00696E8F">
        <w:trPr>
          <w:trHeight w:val="300"/>
        </w:trPr>
        <w:tc>
          <w:tcPr>
            <w:tcW w:w="1872" w:type="dxa"/>
            <w:noWrap/>
            <w:vAlign w:val="center"/>
            <w:hideMark/>
          </w:tcPr>
          <w:p w14:paraId="34DC5A35" w14:textId="77777777" w:rsidR="00595F71" w:rsidRPr="00E97D2C" w:rsidRDefault="00595F71" w:rsidP="00696E8F">
            <w:pPr>
              <w:rPr>
                <w:rFonts w:cs="Arial"/>
                <w:color w:val="000000"/>
              </w:rPr>
            </w:pPr>
            <w:r w:rsidRPr="00E97D2C">
              <w:rPr>
                <w:rFonts w:cs="Arial"/>
                <w:color w:val="000000"/>
              </w:rPr>
              <w:t>0D130J9</w:t>
            </w:r>
          </w:p>
        </w:tc>
        <w:tc>
          <w:tcPr>
            <w:tcW w:w="7560" w:type="dxa"/>
            <w:noWrap/>
            <w:vAlign w:val="center"/>
            <w:hideMark/>
          </w:tcPr>
          <w:p w14:paraId="047D747B" w14:textId="77777777" w:rsidR="00595F71" w:rsidRPr="00E97D2C" w:rsidRDefault="00595F71" w:rsidP="00696E8F">
            <w:pPr>
              <w:rPr>
                <w:rFonts w:cs="Arial"/>
                <w:color w:val="000000"/>
              </w:rPr>
            </w:pPr>
            <w:r w:rsidRPr="00E97D2C">
              <w:rPr>
                <w:rFonts w:cs="Arial"/>
                <w:color w:val="000000"/>
              </w:rPr>
              <w:t>Bypass Lower Esophagus to Duodenum with Synthetic Substitute, Open Approach</w:t>
            </w:r>
          </w:p>
        </w:tc>
      </w:tr>
      <w:tr w:rsidR="00595F71" w:rsidRPr="00E97D2C" w14:paraId="3CDB57DC" w14:textId="77777777" w:rsidTr="00696E8F">
        <w:trPr>
          <w:trHeight w:val="300"/>
        </w:trPr>
        <w:tc>
          <w:tcPr>
            <w:tcW w:w="1872" w:type="dxa"/>
            <w:noWrap/>
            <w:vAlign w:val="center"/>
            <w:hideMark/>
          </w:tcPr>
          <w:p w14:paraId="44FCEB4B" w14:textId="77777777" w:rsidR="00595F71" w:rsidRPr="00E97D2C" w:rsidRDefault="00595F71" w:rsidP="00696E8F">
            <w:pPr>
              <w:rPr>
                <w:rFonts w:cs="Arial"/>
                <w:color w:val="000000"/>
              </w:rPr>
            </w:pPr>
            <w:r w:rsidRPr="00E97D2C">
              <w:rPr>
                <w:rFonts w:cs="Arial"/>
                <w:color w:val="000000"/>
              </w:rPr>
              <w:t>0D130JA</w:t>
            </w:r>
          </w:p>
        </w:tc>
        <w:tc>
          <w:tcPr>
            <w:tcW w:w="7560" w:type="dxa"/>
            <w:noWrap/>
            <w:vAlign w:val="center"/>
            <w:hideMark/>
          </w:tcPr>
          <w:p w14:paraId="35DB65C0" w14:textId="77777777" w:rsidR="00595F71" w:rsidRPr="00E97D2C" w:rsidRDefault="00595F71" w:rsidP="00696E8F">
            <w:pPr>
              <w:rPr>
                <w:rFonts w:cs="Arial"/>
                <w:color w:val="000000"/>
              </w:rPr>
            </w:pPr>
            <w:r w:rsidRPr="00E97D2C">
              <w:rPr>
                <w:rFonts w:cs="Arial"/>
                <w:color w:val="000000"/>
              </w:rPr>
              <w:t>Bypass Lower Esophagus to Jejunum with Synthetic Substitute, Open Approach</w:t>
            </w:r>
          </w:p>
        </w:tc>
      </w:tr>
      <w:tr w:rsidR="00595F71" w:rsidRPr="00E97D2C" w14:paraId="1DCB2A38" w14:textId="77777777" w:rsidTr="00696E8F">
        <w:trPr>
          <w:trHeight w:val="300"/>
        </w:trPr>
        <w:tc>
          <w:tcPr>
            <w:tcW w:w="1872" w:type="dxa"/>
            <w:noWrap/>
            <w:vAlign w:val="center"/>
            <w:hideMark/>
          </w:tcPr>
          <w:p w14:paraId="45C655FC" w14:textId="77777777" w:rsidR="00595F71" w:rsidRPr="00E97D2C" w:rsidRDefault="00595F71" w:rsidP="00696E8F">
            <w:pPr>
              <w:rPr>
                <w:rFonts w:cs="Arial"/>
                <w:color w:val="000000"/>
              </w:rPr>
            </w:pPr>
            <w:r w:rsidRPr="00E97D2C">
              <w:rPr>
                <w:rFonts w:cs="Arial"/>
                <w:color w:val="000000"/>
              </w:rPr>
              <w:t>0D130JB</w:t>
            </w:r>
          </w:p>
        </w:tc>
        <w:tc>
          <w:tcPr>
            <w:tcW w:w="7560" w:type="dxa"/>
            <w:noWrap/>
            <w:vAlign w:val="center"/>
            <w:hideMark/>
          </w:tcPr>
          <w:p w14:paraId="64DD6DD3" w14:textId="77777777" w:rsidR="00595F71" w:rsidRPr="00E97D2C" w:rsidRDefault="00595F71" w:rsidP="00696E8F">
            <w:pPr>
              <w:rPr>
                <w:rFonts w:cs="Arial"/>
                <w:color w:val="000000"/>
              </w:rPr>
            </w:pPr>
            <w:r w:rsidRPr="00E97D2C">
              <w:rPr>
                <w:rFonts w:cs="Arial"/>
                <w:color w:val="000000"/>
              </w:rPr>
              <w:t>Bypass Lower Esophagus to Ileum with Synthetic Substitute, Open Approach</w:t>
            </w:r>
          </w:p>
        </w:tc>
      </w:tr>
      <w:tr w:rsidR="00595F71" w:rsidRPr="00E97D2C" w14:paraId="240865FA" w14:textId="77777777" w:rsidTr="00696E8F">
        <w:trPr>
          <w:trHeight w:val="300"/>
        </w:trPr>
        <w:tc>
          <w:tcPr>
            <w:tcW w:w="1872" w:type="dxa"/>
            <w:noWrap/>
            <w:vAlign w:val="center"/>
            <w:hideMark/>
          </w:tcPr>
          <w:p w14:paraId="161F75C5" w14:textId="77777777" w:rsidR="00595F71" w:rsidRPr="00E97D2C" w:rsidRDefault="00595F71" w:rsidP="00696E8F">
            <w:pPr>
              <w:rPr>
                <w:rFonts w:cs="Arial"/>
                <w:color w:val="000000"/>
              </w:rPr>
            </w:pPr>
            <w:r w:rsidRPr="00E97D2C">
              <w:rPr>
                <w:rFonts w:cs="Arial"/>
                <w:color w:val="000000"/>
              </w:rPr>
              <w:t>0D130K4</w:t>
            </w:r>
          </w:p>
        </w:tc>
        <w:tc>
          <w:tcPr>
            <w:tcW w:w="7560" w:type="dxa"/>
            <w:noWrap/>
            <w:vAlign w:val="center"/>
            <w:hideMark/>
          </w:tcPr>
          <w:p w14:paraId="4FF5CEB9" w14:textId="77777777" w:rsidR="00595F71" w:rsidRPr="00E97D2C" w:rsidRDefault="00595F71" w:rsidP="00696E8F">
            <w:pPr>
              <w:rPr>
                <w:rFonts w:cs="Arial"/>
                <w:color w:val="000000"/>
              </w:rPr>
            </w:pPr>
            <w:r w:rsidRPr="00E97D2C">
              <w:rPr>
                <w:rFonts w:cs="Arial"/>
                <w:color w:val="000000"/>
              </w:rPr>
              <w:t xml:space="preserve">Bypass Lower Esophagus to Cutaneous with </w:t>
            </w:r>
            <w:proofErr w:type="spellStart"/>
            <w:r w:rsidRPr="00E97D2C">
              <w:rPr>
                <w:rFonts w:cs="Arial"/>
                <w:color w:val="000000"/>
              </w:rPr>
              <w:t>Nonautologous</w:t>
            </w:r>
            <w:proofErr w:type="spellEnd"/>
            <w:r w:rsidRPr="00E97D2C">
              <w:rPr>
                <w:rFonts w:cs="Arial"/>
                <w:color w:val="000000"/>
              </w:rPr>
              <w:t xml:space="preserve"> Tissue Substitute, Open Approach</w:t>
            </w:r>
          </w:p>
        </w:tc>
      </w:tr>
      <w:tr w:rsidR="00595F71" w:rsidRPr="00E97D2C" w14:paraId="3A13D086" w14:textId="77777777" w:rsidTr="00696E8F">
        <w:trPr>
          <w:trHeight w:val="300"/>
        </w:trPr>
        <w:tc>
          <w:tcPr>
            <w:tcW w:w="1872" w:type="dxa"/>
            <w:noWrap/>
            <w:vAlign w:val="center"/>
            <w:hideMark/>
          </w:tcPr>
          <w:p w14:paraId="713CE855" w14:textId="77777777" w:rsidR="00595F71" w:rsidRPr="00E97D2C" w:rsidRDefault="00595F71" w:rsidP="00696E8F">
            <w:pPr>
              <w:rPr>
                <w:rFonts w:cs="Arial"/>
                <w:color w:val="000000"/>
              </w:rPr>
            </w:pPr>
            <w:r w:rsidRPr="00E97D2C">
              <w:rPr>
                <w:rFonts w:cs="Arial"/>
                <w:color w:val="000000"/>
              </w:rPr>
              <w:t>0D130K6</w:t>
            </w:r>
          </w:p>
        </w:tc>
        <w:tc>
          <w:tcPr>
            <w:tcW w:w="7560" w:type="dxa"/>
            <w:noWrap/>
            <w:vAlign w:val="center"/>
            <w:hideMark/>
          </w:tcPr>
          <w:p w14:paraId="48A9EDC7" w14:textId="77777777" w:rsidR="00595F71" w:rsidRPr="00E97D2C" w:rsidRDefault="00595F71" w:rsidP="00696E8F">
            <w:pPr>
              <w:rPr>
                <w:rFonts w:cs="Arial"/>
                <w:color w:val="000000"/>
              </w:rPr>
            </w:pPr>
            <w:r w:rsidRPr="00E97D2C">
              <w:rPr>
                <w:rFonts w:cs="Arial"/>
                <w:color w:val="000000"/>
              </w:rPr>
              <w:t xml:space="preserve">Bypass Lower Esophagus to Stomach with </w:t>
            </w:r>
            <w:proofErr w:type="spellStart"/>
            <w:r w:rsidRPr="00E97D2C">
              <w:rPr>
                <w:rFonts w:cs="Arial"/>
                <w:color w:val="000000"/>
              </w:rPr>
              <w:t>Nonautologous</w:t>
            </w:r>
            <w:proofErr w:type="spellEnd"/>
            <w:r w:rsidRPr="00E97D2C">
              <w:rPr>
                <w:rFonts w:cs="Arial"/>
                <w:color w:val="000000"/>
              </w:rPr>
              <w:t xml:space="preserve"> Tissue Substitute, Open Approach</w:t>
            </w:r>
          </w:p>
        </w:tc>
      </w:tr>
      <w:tr w:rsidR="00595F71" w:rsidRPr="00E97D2C" w14:paraId="72E84415" w14:textId="77777777" w:rsidTr="00696E8F">
        <w:trPr>
          <w:trHeight w:val="300"/>
        </w:trPr>
        <w:tc>
          <w:tcPr>
            <w:tcW w:w="1872" w:type="dxa"/>
            <w:noWrap/>
            <w:vAlign w:val="center"/>
            <w:hideMark/>
          </w:tcPr>
          <w:p w14:paraId="2533675E" w14:textId="77777777" w:rsidR="00595F71" w:rsidRPr="00E97D2C" w:rsidRDefault="00595F71" w:rsidP="00696E8F">
            <w:pPr>
              <w:rPr>
                <w:rFonts w:cs="Arial"/>
                <w:color w:val="000000"/>
              </w:rPr>
            </w:pPr>
            <w:r w:rsidRPr="00E97D2C">
              <w:rPr>
                <w:rFonts w:cs="Arial"/>
                <w:color w:val="000000"/>
              </w:rPr>
              <w:t>0D130K9</w:t>
            </w:r>
          </w:p>
        </w:tc>
        <w:tc>
          <w:tcPr>
            <w:tcW w:w="7560" w:type="dxa"/>
            <w:noWrap/>
            <w:vAlign w:val="center"/>
            <w:hideMark/>
          </w:tcPr>
          <w:p w14:paraId="40114DF3" w14:textId="77777777" w:rsidR="00595F71" w:rsidRPr="00E97D2C" w:rsidRDefault="00595F71" w:rsidP="00696E8F">
            <w:pPr>
              <w:rPr>
                <w:rFonts w:cs="Arial"/>
                <w:color w:val="000000"/>
              </w:rPr>
            </w:pPr>
            <w:r w:rsidRPr="00E97D2C">
              <w:rPr>
                <w:rFonts w:cs="Arial"/>
                <w:color w:val="000000"/>
              </w:rPr>
              <w:t xml:space="preserve">Bypass Lower Esophagus to Duodenum with </w:t>
            </w:r>
            <w:proofErr w:type="spellStart"/>
            <w:r w:rsidRPr="00E97D2C">
              <w:rPr>
                <w:rFonts w:cs="Arial"/>
                <w:color w:val="000000"/>
              </w:rPr>
              <w:t>Nonautologous</w:t>
            </w:r>
            <w:proofErr w:type="spellEnd"/>
            <w:r w:rsidRPr="00E97D2C">
              <w:rPr>
                <w:rFonts w:cs="Arial"/>
                <w:color w:val="000000"/>
              </w:rPr>
              <w:t xml:space="preserve"> Tissue Substitute, Open Approach</w:t>
            </w:r>
          </w:p>
        </w:tc>
      </w:tr>
      <w:tr w:rsidR="00595F71" w:rsidRPr="00E97D2C" w14:paraId="7EEBDFE9" w14:textId="77777777" w:rsidTr="00696E8F">
        <w:trPr>
          <w:trHeight w:val="300"/>
        </w:trPr>
        <w:tc>
          <w:tcPr>
            <w:tcW w:w="1872" w:type="dxa"/>
            <w:noWrap/>
            <w:vAlign w:val="center"/>
            <w:hideMark/>
          </w:tcPr>
          <w:p w14:paraId="5388CD8B" w14:textId="77777777" w:rsidR="00595F71" w:rsidRPr="00E97D2C" w:rsidRDefault="00595F71" w:rsidP="00696E8F">
            <w:pPr>
              <w:rPr>
                <w:rFonts w:cs="Arial"/>
                <w:color w:val="000000"/>
              </w:rPr>
            </w:pPr>
            <w:r w:rsidRPr="00E97D2C">
              <w:rPr>
                <w:rFonts w:cs="Arial"/>
                <w:color w:val="000000"/>
              </w:rPr>
              <w:t>0D130KA</w:t>
            </w:r>
          </w:p>
        </w:tc>
        <w:tc>
          <w:tcPr>
            <w:tcW w:w="7560" w:type="dxa"/>
            <w:noWrap/>
            <w:vAlign w:val="center"/>
            <w:hideMark/>
          </w:tcPr>
          <w:p w14:paraId="42422756" w14:textId="77777777" w:rsidR="00595F71" w:rsidRPr="00E97D2C" w:rsidRDefault="00595F71" w:rsidP="00696E8F">
            <w:pPr>
              <w:rPr>
                <w:rFonts w:cs="Arial"/>
                <w:color w:val="000000"/>
              </w:rPr>
            </w:pPr>
            <w:r w:rsidRPr="00E97D2C">
              <w:rPr>
                <w:rFonts w:cs="Arial"/>
                <w:color w:val="000000"/>
              </w:rPr>
              <w:t xml:space="preserve">Bypass Lower Esophagus to Jejunum with </w:t>
            </w:r>
            <w:proofErr w:type="spellStart"/>
            <w:r w:rsidRPr="00E97D2C">
              <w:rPr>
                <w:rFonts w:cs="Arial"/>
                <w:color w:val="000000"/>
              </w:rPr>
              <w:t>Nonautologous</w:t>
            </w:r>
            <w:proofErr w:type="spellEnd"/>
            <w:r w:rsidRPr="00E97D2C">
              <w:rPr>
                <w:rFonts w:cs="Arial"/>
                <w:color w:val="000000"/>
              </w:rPr>
              <w:t xml:space="preserve"> Tissue Substitute, Open Approach</w:t>
            </w:r>
          </w:p>
        </w:tc>
      </w:tr>
      <w:tr w:rsidR="00595F71" w:rsidRPr="00E97D2C" w14:paraId="7BECE5C7" w14:textId="77777777" w:rsidTr="00696E8F">
        <w:trPr>
          <w:trHeight w:val="300"/>
        </w:trPr>
        <w:tc>
          <w:tcPr>
            <w:tcW w:w="1872" w:type="dxa"/>
            <w:noWrap/>
            <w:vAlign w:val="center"/>
            <w:hideMark/>
          </w:tcPr>
          <w:p w14:paraId="39F9ED66" w14:textId="77777777" w:rsidR="00595F71" w:rsidRPr="00E97D2C" w:rsidRDefault="00595F71" w:rsidP="00696E8F">
            <w:pPr>
              <w:rPr>
                <w:rFonts w:cs="Arial"/>
                <w:color w:val="000000"/>
              </w:rPr>
            </w:pPr>
            <w:r w:rsidRPr="00E97D2C">
              <w:rPr>
                <w:rFonts w:cs="Arial"/>
                <w:color w:val="000000"/>
              </w:rPr>
              <w:t>0D130KB</w:t>
            </w:r>
          </w:p>
        </w:tc>
        <w:tc>
          <w:tcPr>
            <w:tcW w:w="7560" w:type="dxa"/>
            <w:noWrap/>
            <w:vAlign w:val="center"/>
            <w:hideMark/>
          </w:tcPr>
          <w:p w14:paraId="4415305B" w14:textId="77777777" w:rsidR="00595F71" w:rsidRPr="00E97D2C" w:rsidRDefault="00595F71" w:rsidP="00696E8F">
            <w:pPr>
              <w:rPr>
                <w:rFonts w:cs="Arial"/>
                <w:color w:val="000000"/>
              </w:rPr>
            </w:pPr>
            <w:r w:rsidRPr="00E97D2C">
              <w:rPr>
                <w:rFonts w:cs="Arial"/>
                <w:color w:val="000000"/>
              </w:rPr>
              <w:t xml:space="preserve">Bypass Lower Esophagus to Ileum with </w:t>
            </w:r>
            <w:proofErr w:type="spellStart"/>
            <w:r w:rsidRPr="00E97D2C">
              <w:rPr>
                <w:rFonts w:cs="Arial"/>
                <w:color w:val="000000"/>
              </w:rPr>
              <w:t>Nonautologous</w:t>
            </w:r>
            <w:proofErr w:type="spellEnd"/>
            <w:r w:rsidRPr="00E97D2C">
              <w:rPr>
                <w:rFonts w:cs="Arial"/>
                <w:color w:val="000000"/>
              </w:rPr>
              <w:t xml:space="preserve"> Tissue Substitute, Open Approach</w:t>
            </w:r>
          </w:p>
        </w:tc>
      </w:tr>
      <w:tr w:rsidR="00595F71" w:rsidRPr="00E97D2C" w14:paraId="2B24A8B4" w14:textId="77777777" w:rsidTr="00696E8F">
        <w:trPr>
          <w:trHeight w:val="300"/>
        </w:trPr>
        <w:tc>
          <w:tcPr>
            <w:tcW w:w="1872" w:type="dxa"/>
            <w:noWrap/>
            <w:vAlign w:val="center"/>
            <w:hideMark/>
          </w:tcPr>
          <w:p w14:paraId="4A37F183" w14:textId="77777777" w:rsidR="00595F71" w:rsidRPr="00E97D2C" w:rsidRDefault="00595F71" w:rsidP="00696E8F">
            <w:pPr>
              <w:rPr>
                <w:rFonts w:cs="Arial"/>
                <w:color w:val="000000"/>
              </w:rPr>
            </w:pPr>
            <w:r w:rsidRPr="00E97D2C">
              <w:rPr>
                <w:rFonts w:cs="Arial"/>
                <w:color w:val="000000"/>
              </w:rPr>
              <w:t>0D130Z4</w:t>
            </w:r>
          </w:p>
        </w:tc>
        <w:tc>
          <w:tcPr>
            <w:tcW w:w="7560" w:type="dxa"/>
            <w:noWrap/>
            <w:vAlign w:val="center"/>
            <w:hideMark/>
          </w:tcPr>
          <w:p w14:paraId="5F390FEC" w14:textId="77777777" w:rsidR="00595F71" w:rsidRPr="00E97D2C" w:rsidRDefault="00595F71" w:rsidP="00696E8F">
            <w:pPr>
              <w:rPr>
                <w:rFonts w:cs="Arial"/>
                <w:color w:val="000000"/>
              </w:rPr>
            </w:pPr>
            <w:r w:rsidRPr="00E97D2C">
              <w:rPr>
                <w:rFonts w:cs="Arial"/>
                <w:color w:val="000000"/>
              </w:rPr>
              <w:t>Bypass Lower Esophagus to Cutaneous, Open Approach</w:t>
            </w:r>
          </w:p>
        </w:tc>
      </w:tr>
      <w:tr w:rsidR="00595F71" w:rsidRPr="00E97D2C" w14:paraId="7BDC9366" w14:textId="77777777" w:rsidTr="00696E8F">
        <w:trPr>
          <w:trHeight w:val="300"/>
        </w:trPr>
        <w:tc>
          <w:tcPr>
            <w:tcW w:w="1872" w:type="dxa"/>
            <w:noWrap/>
            <w:vAlign w:val="center"/>
            <w:hideMark/>
          </w:tcPr>
          <w:p w14:paraId="3868BE4F" w14:textId="77777777" w:rsidR="00595F71" w:rsidRPr="00E97D2C" w:rsidRDefault="00595F71" w:rsidP="00696E8F">
            <w:pPr>
              <w:rPr>
                <w:rFonts w:cs="Arial"/>
                <w:color w:val="000000"/>
              </w:rPr>
            </w:pPr>
            <w:r w:rsidRPr="00E97D2C">
              <w:rPr>
                <w:rFonts w:cs="Arial"/>
                <w:color w:val="000000"/>
              </w:rPr>
              <w:t>0D130Z6</w:t>
            </w:r>
          </w:p>
        </w:tc>
        <w:tc>
          <w:tcPr>
            <w:tcW w:w="7560" w:type="dxa"/>
            <w:noWrap/>
            <w:vAlign w:val="center"/>
            <w:hideMark/>
          </w:tcPr>
          <w:p w14:paraId="2559AA07" w14:textId="77777777" w:rsidR="00595F71" w:rsidRPr="00E97D2C" w:rsidRDefault="00595F71" w:rsidP="00696E8F">
            <w:pPr>
              <w:rPr>
                <w:rFonts w:cs="Arial"/>
                <w:color w:val="000000"/>
              </w:rPr>
            </w:pPr>
            <w:r w:rsidRPr="00E97D2C">
              <w:rPr>
                <w:rFonts w:cs="Arial"/>
                <w:color w:val="000000"/>
              </w:rPr>
              <w:t>Bypass Lower Esophagus to Stomach, Open Approach</w:t>
            </w:r>
          </w:p>
        </w:tc>
      </w:tr>
      <w:tr w:rsidR="00595F71" w:rsidRPr="00E97D2C" w14:paraId="6A5D1C7B" w14:textId="77777777" w:rsidTr="00696E8F">
        <w:trPr>
          <w:trHeight w:val="300"/>
        </w:trPr>
        <w:tc>
          <w:tcPr>
            <w:tcW w:w="1872" w:type="dxa"/>
            <w:noWrap/>
            <w:vAlign w:val="center"/>
            <w:hideMark/>
          </w:tcPr>
          <w:p w14:paraId="580FAD7C" w14:textId="77777777" w:rsidR="00595F71" w:rsidRPr="00E97D2C" w:rsidRDefault="00595F71" w:rsidP="00696E8F">
            <w:pPr>
              <w:rPr>
                <w:rFonts w:cs="Arial"/>
                <w:color w:val="000000"/>
              </w:rPr>
            </w:pPr>
            <w:r w:rsidRPr="00E97D2C">
              <w:rPr>
                <w:rFonts w:cs="Arial"/>
                <w:color w:val="000000"/>
              </w:rPr>
              <w:t>0D130Z9</w:t>
            </w:r>
          </w:p>
        </w:tc>
        <w:tc>
          <w:tcPr>
            <w:tcW w:w="7560" w:type="dxa"/>
            <w:noWrap/>
            <w:vAlign w:val="center"/>
            <w:hideMark/>
          </w:tcPr>
          <w:p w14:paraId="6C7F4A95" w14:textId="77777777" w:rsidR="00595F71" w:rsidRPr="00E97D2C" w:rsidRDefault="00595F71" w:rsidP="00696E8F">
            <w:pPr>
              <w:rPr>
                <w:rFonts w:cs="Arial"/>
                <w:color w:val="000000"/>
              </w:rPr>
            </w:pPr>
            <w:r w:rsidRPr="00E97D2C">
              <w:rPr>
                <w:rFonts w:cs="Arial"/>
                <w:color w:val="000000"/>
              </w:rPr>
              <w:t>Bypass Lower Esophagus to Duodenum, Open Approach</w:t>
            </w:r>
          </w:p>
        </w:tc>
      </w:tr>
      <w:tr w:rsidR="00595F71" w:rsidRPr="00E97D2C" w14:paraId="6B357116" w14:textId="77777777" w:rsidTr="00696E8F">
        <w:trPr>
          <w:trHeight w:val="300"/>
        </w:trPr>
        <w:tc>
          <w:tcPr>
            <w:tcW w:w="1872" w:type="dxa"/>
            <w:noWrap/>
            <w:vAlign w:val="center"/>
            <w:hideMark/>
          </w:tcPr>
          <w:p w14:paraId="111A7952" w14:textId="77777777" w:rsidR="00595F71" w:rsidRPr="00E97D2C" w:rsidRDefault="00595F71" w:rsidP="00696E8F">
            <w:pPr>
              <w:rPr>
                <w:rFonts w:cs="Arial"/>
                <w:color w:val="000000"/>
              </w:rPr>
            </w:pPr>
            <w:r w:rsidRPr="00E97D2C">
              <w:rPr>
                <w:rFonts w:cs="Arial"/>
                <w:color w:val="000000"/>
              </w:rPr>
              <w:t>0D130ZA</w:t>
            </w:r>
          </w:p>
        </w:tc>
        <w:tc>
          <w:tcPr>
            <w:tcW w:w="7560" w:type="dxa"/>
            <w:noWrap/>
            <w:vAlign w:val="center"/>
            <w:hideMark/>
          </w:tcPr>
          <w:p w14:paraId="3FAD0213" w14:textId="77777777" w:rsidR="00595F71" w:rsidRPr="00E97D2C" w:rsidRDefault="00595F71" w:rsidP="00696E8F">
            <w:pPr>
              <w:rPr>
                <w:rFonts w:cs="Arial"/>
                <w:color w:val="000000"/>
              </w:rPr>
            </w:pPr>
            <w:r w:rsidRPr="00E97D2C">
              <w:rPr>
                <w:rFonts w:cs="Arial"/>
                <w:color w:val="000000"/>
              </w:rPr>
              <w:t>Bypass Lower Esophagus to Jejunum, Open Approach</w:t>
            </w:r>
          </w:p>
        </w:tc>
      </w:tr>
      <w:tr w:rsidR="00595F71" w:rsidRPr="00E97D2C" w14:paraId="7310F725" w14:textId="77777777" w:rsidTr="00696E8F">
        <w:trPr>
          <w:trHeight w:val="300"/>
        </w:trPr>
        <w:tc>
          <w:tcPr>
            <w:tcW w:w="1872" w:type="dxa"/>
            <w:noWrap/>
            <w:vAlign w:val="center"/>
            <w:hideMark/>
          </w:tcPr>
          <w:p w14:paraId="7C403F31" w14:textId="77777777" w:rsidR="00595F71" w:rsidRPr="00E97D2C" w:rsidRDefault="00595F71" w:rsidP="00696E8F">
            <w:pPr>
              <w:rPr>
                <w:rFonts w:cs="Arial"/>
                <w:color w:val="000000"/>
              </w:rPr>
            </w:pPr>
            <w:r w:rsidRPr="00E97D2C">
              <w:rPr>
                <w:rFonts w:cs="Arial"/>
                <w:color w:val="000000"/>
              </w:rPr>
              <w:t>0D130ZB</w:t>
            </w:r>
          </w:p>
        </w:tc>
        <w:tc>
          <w:tcPr>
            <w:tcW w:w="7560" w:type="dxa"/>
            <w:noWrap/>
            <w:vAlign w:val="center"/>
            <w:hideMark/>
          </w:tcPr>
          <w:p w14:paraId="47C531B6" w14:textId="77777777" w:rsidR="00595F71" w:rsidRPr="00E97D2C" w:rsidRDefault="00595F71" w:rsidP="00696E8F">
            <w:pPr>
              <w:rPr>
                <w:rFonts w:cs="Arial"/>
                <w:color w:val="000000"/>
              </w:rPr>
            </w:pPr>
            <w:r w:rsidRPr="00E97D2C">
              <w:rPr>
                <w:rFonts w:cs="Arial"/>
                <w:color w:val="000000"/>
              </w:rPr>
              <w:t>Bypass Lower Esophagus to Ileum, Open Approach</w:t>
            </w:r>
          </w:p>
        </w:tc>
      </w:tr>
      <w:tr w:rsidR="00595F71" w:rsidRPr="00E97D2C" w14:paraId="59209FC7" w14:textId="77777777" w:rsidTr="00696E8F">
        <w:trPr>
          <w:trHeight w:val="300"/>
        </w:trPr>
        <w:tc>
          <w:tcPr>
            <w:tcW w:w="1872" w:type="dxa"/>
            <w:noWrap/>
            <w:vAlign w:val="center"/>
            <w:hideMark/>
          </w:tcPr>
          <w:p w14:paraId="6CE63316" w14:textId="77777777" w:rsidR="00595F71" w:rsidRPr="00E97D2C" w:rsidRDefault="00595F71" w:rsidP="00696E8F">
            <w:pPr>
              <w:rPr>
                <w:rFonts w:cs="Arial"/>
                <w:color w:val="000000"/>
              </w:rPr>
            </w:pPr>
            <w:r w:rsidRPr="00E97D2C">
              <w:rPr>
                <w:rFonts w:cs="Arial"/>
                <w:color w:val="000000"/>
              </w:rPr>
              <w:lastRenderedPageBreak/>
              <w:t>0D133J4</w:t>
            </w:r>
          </w:p>
        </w:tc>
        <w:tc>
          <w:tcPr>
            <w:tcW w:w="7560" w:type="dxa"/>
            <w:noWrap/>
            <w:vAlign w:val="center"/>
            <w:hideMark/>
          </w:tcPr>
          <w:p w14:paraId="5642BB84" w14:textId="77777777" w:rsidR="00595F71" w:rsidRPr="00E97D2C" w:rsidRDefault="00595F71" w:rsidP="00696E8F">
            <w:pPr>
              <w:rPr>
                <w:rFonts w:cs="Arial"/>
                <w:color w:val="000000"/>
              </w:rPr>
            </w:pPr>
            <w:r w:rsidRPr="00E97D2C">
              <w:rPr>
                <w:rFonts w:cs="Arial"/>
                <w:color w:val="000000"/>
              </w:rPr>
              <w:t>Bypass Lower Esophagus to Cutaneous with Synthetic Substitute, Percutaneous Approach</w:t>
            </w:r>
          </w:p>
        </w:tc>
      </w:tr>
      <w:tr w:rsidR="00595F71" w:rsidRPr="00E97D2C" w14:paraId="73DE501E" w14:textId="77777777" w:rsidTr="00696E8F">
        <w:trPr>
          <w:trHeight w:val="300"/>
        </w:trPr>
        <w:tc>
          <w:tcPr>
            <w:tcW w:w="1872" w:type="dxa"/>
            <w:noWrap/>
            <w:vAlign w:val="center"/>
            <w:hideMark/>
          </w:tcPr>
          <w:p w14:paraId="539E738D" w14:textId="77777777" w:rsidR="00595F71" w:rsidRPr="00E97D2C" w:rsidRDefault="00595F71" w:rsidP="00696E8F">
            <w:pPr>
              <w:rPr>
                <w:rFonts w:cs="Arial"/>
                <w:color w:val="000000"/>
              </w:rPr>
            </w:pPr>
            <w:r w:rsidRPr="00E97D2C">
              <w:rPr>
                <w:rFonts w:cs="Arial"/>
                <w:color w:val="000000"/>
              </w:rPr>
              <w:t>0D13474</w:t>
            </w:r>
          </w:p>
        </w:tc>
        <w:tc>
          <w:tcPr>
            <w:tcW w:w="7560" w:type="dxa"/>
            <w:noWrap/>
            <w:vAlign w:val="center"/>
            <w:hideMark/>
          </w:tcPr>
          <w:p w14:paraId="00C3D566" w14:textId="77777777" w:rsidR="00595F71" w:rsidRPr="00E97D2C" w:rsidRDefault="00595F71" w:rsidP="00696E8F">
            <w:pPr>
              <w:rPr>
                <w:rFonts w:cs="Arial"/>
                <w:color w:val="000000"/>
              </w:rPr>
            </w:pPr>
            <w:r w:rsidRPr="00E97D2C">
              <w:rPr>
                <w:rFonts w:cs="Arial"/>
                <w:color w:val="000000"/>
              </w:rPr>
              <w:t>Bypass Lower Esophagus to Cutaneous with Autologous Tissue Substitute, Percutaneous Endoscopic Approach</w:t>
            </w:r>
          </w:p>
        </w:tc>
      </w:tr>
      <w:tr w:rsidR="00595F71" w:rsidRPr="00E97D2C" w14:paraId="7D10C6EA" w14:textId="77777777" w:rsidTr="00696E8F">
        <w:trPr>
          <w:trHeight w:val="300"/>
        </w:trPr>
        <w:tc>
          <w:tcPr>
            <w:tcW w:w="1872" w:type="dxa"/>
            <w:noWrap/>
            <w:vAlign w:val="center"/>
            <w:hideMark/>
          </w:tcPr>
          <w:p w14:paraId="32B4733B" w14:textId="77777777" w:rsidR="00595F71" w:rsidRPr="00E97D2C" w:rsidRDefault="00595F71" w:rsidP="00696E8F">
            <w:pPr>
              <w:rPr>
                <w:rFonts w:cs="Arial"/>
                <w:color w:val="000000"/>
              </w:rPr>
            </w:pPr>
            <w:r w:rsidRPr="00E97D2C">
              <w:rPr>
                <w:rFonts w:cs="Arial"/>
                <w:color w:val="000000"/>
              </w:rPr>
              <w:t>0D13476</w:t>
            </w:r>
          </w:p>
        </w:tc>
        <w:tc>
          <w:tcPr>
            <w:tcW w:w="7560" w:type="dxa"/>
            <w:noWrap/>
            <w:vAlign w:val="center"/>
            <w:hideMark/>
          </w:tcPr>
          <w:p w14:paraId="4FB565D7" w14:textId="77777777" w:rsidR="00595F71" w:rsidRPr="00E97D2C" w:rsidRDefault="00595F71" w:rsidP="00696E8F">
            <w:pPr>
              <w:rPr>
                <w:rFonts w:cs="Arial"/>
                <w:color w:val="000000"/>
              </w:rPr>
            </w:pPr>
            <w:r w:rsidRPr="00E97D2C">
              <w:rPr>
                <w:rFonts w:cs="Arial"/>
                <w:color w:val="000000"/>
              </w:rPr>
              <w:t>Bypass Lower Esophagus to Stomach with Autologous Tissue Substitute, Percutaneous Endoscopic Approach</w:t>
            </w:r>
          </w:p>
        </w:tc>
      </w:tr>
      <w:tr w:rsidR="00595F71" w:rsidRPr="00E97D2C" w14:paraId="141394F2" w14:textId="77777777" w:rsidTr="00696E8F">
        <w:trPr>
          <w:trHeight w:val="300"/>
        </w:trPr>
        <w:tc>
          <w:tcPr>
            <w:tcW w:w="1872" w:type="dxa"/>
            <w:noWrap/>
            <w:vAlign w:val="center"/>
            <w:hideMark/>
          </w:tcPr>
          <w:p w14:paraId="07ABE8BC" w14:textId="77777777" w:rsidR="00595F71" w:rsidRPr="00E97D2C" w:rsidRDefault="00595F71" w:rsidP="00696E8F">
            <w:pPr>
              <w:rPr>
                <w:rFonts w:cs="Arial"/>
                <w:color w:val="000000"/>
              </w:rPr>
            </w:pPr>
            <w:r w:rsidRPr="00E97D2C">
              <w:rPr>
                <w:rFonts w:cs="Arial"/>
                <w:color w:val="000000"/>
              </w:rPr>
              <w:t>0D13479</w:t>
            </w:r>
          </w:p>
        </w:tc>
        <w:tc>
          <w:tcPr>
            <w:tcW w:w="7560" w:type="dxa"/>
            <w:noWrap/>
            <w:vAlign w:val="center"/>
            <w:hideMark/>
          </w:tcPr>
          <w:p w14:paraId="690C3329" w14:textId="77777777" w:rsidR="00595F71" w:rsidRPr="00E97D2C" w:rsidRDefault="00595F71" w:rsidP="00696E8F">
            <w:pPr>
              <w:rPr>
                <w:rFonts w:cs="Arial"/>
                <w:color w:val="000000"/>
              </w:rPr>
            </w:pPr>
            <w:r w:rsidRPr="00E97D2C">
              <w:rPr>
                <w:rFonts w:cs="Arial"/>
                <w:color w:val="000000"/>
              </w:rPr>
              <w:t>Bypass Lower Esophagus to Duodenum with Autologous Tissue Substitute, Percutaneous Endoscopic Approach</w:t>
            </w:r>
          </w:p>
        </w:tc>
      </w:tr>
      <w:tr w:rsidR="00595F71" w:rsidRPr="00E97D2C" w14:paraId="22815170" w14:textId="77777777" w:rsidTr="00696E8F">
        <w:trPr>
          <w:trHeight w:val="300"/>
        </w:trPr>
        <w:tc>
          <w:tcPr>
            <w:tcW w:w="1872" w:type="dxa"/>
            <w:noWrap/>
            <w:vAlign w:val="center"/>
            <w:hideMark/>
          </w:tcPr>
          <w:p w14:paraId="4E45D4B7" w14:textId="77777777" w:rsidR="00595F71" w:rsidRPr="00E97D2C" w:rsidRDefault="00595F71" w:rsidP="00696E8F">
            <w:pPr>
              <w:rPr>
                <w:rFonts w:cs="Arial"/>
                <w:color w:val="000000"/>
              </w:rPr>
            </w:pPr>
            <w:r w:rsidRPr="00E97D2C">
              <w:rPr>
                <w:rFonts w:cs="Arial"/>
                <w:color w:val="000000"/>
              </w:rPr>
              <w:t>0D1347A</w:t>
            </w:r>
          </w:p>
        </w:tc>
        <w:tc>
          <w:tcPr>
            <w:tcW w:w="7560" w:type="dxa"/>
            <w:noWrap/>
            <w:vAlign w:val="center"/>
            <w:hideMark/>
          </w:tcPr>
          <w:p w14:paraId="67FE5149" w14:textId="77777777" w:rsidR="00595F71" w:rsidRPr="00E97D2C" w:rsidRDefault="00595F71" w:rsidP="00696E8F">
            <w:pPr>
              <w:rPr>
                <w:rFonts w:cs="Arial"/>
                <w:color w:val="000000"/>
              </w:rPr>
            </w:pPr>
            <w:r w:rsidRPr="00E97D2C">
              <w:rPr>
                <w:rFonts w:cs="Arial"/>
                <w:color w:val="000000"/>
              </w:rPr>
              <w:t>Bypass Lower Esophagus to Jejunum with Autologous Tissue Substitute, Percutaneous Endoscopic Approach</w:t>
            </w:r>
          </w:p>
        </w:tc>
      </w:tr>
      <w:tr w:rsidR="00595F71" w:rsidRPr="00E97D2C" w14:paraId="628436F5" w14:textId="77777777" w:rsidTr="00696E8F">
        <w:trPr>
          <w:trHeight w:val="300"/>
        </w:trPr>
        <w:tc>
          <w:tcPr>
            <w:tcW w:w="1872" w:type="dxa"/>
            <w:noWrap/>
            <w:vAlign w:val="center"/>
            <w:hideMark/>
          </w:tcPr>
          <w:p w14:paraId="561DE916" w14:textId="77777777" w:rsidR="00595F71" w:rsidRPr="00E97D2C" w:rsidRDefault="00595F71" w:rsidP="00696E8F">
            <w:pPr>
              <w:rPr>
                <w:rFonts w:cs="Arial"/>
                <w:color w:val="000000"/>
              </w:rPr>
            </w:pPr>
            <w:r w:rsidRPr="00E97D2C">
              <w:rPr>
                <w:rFonts w:cs="Arial"/>
                <w:color w:val="000000"/>
              </w:rPr>
              <w:t>0D1347B</w:t>
            </w:r>
          </w:p>
        </w:tc>
        <w:tc>
          <w:tcPr>
            <w:tcW w:w="7560" w:type="dxa"/>
            <w:noWrap/>
            <w:vAlign w:val="center"/>
            <w:hideMark/>
          </w:tcPr>
          <w:p w14:paraId="5483E20F" w14:textId="77777777" w:rsidR="00595F71" w:rsidRPr="00E97D2C" w:rsidRDefault="00595F71" w:rsidP="00696E8F">
            <w:pPr>
              <w:rPr>
                <w:rFonts w:cs="Arial"/>
                <w:color w:val="000000"/>
              </w:rPr>
            </w:pPr>
            <w:r w:rsidRPr="00E97D2C">
              <w:rPr>
                <w:rFonts w:cs="Arial"/>
                <w:color w:val="000000"/>
              </w:rPr>
              <w:t>Bypass Lower Esophagus to Ileum with Autologous Tissue Substitute, Percutaneous Endoscopic Approach</w:t>
            </w:r>
          </w:p>
        </w:tc>
      </w:tr>
      <w:tr w:rsidR="00595F71" w:rsidRPr="00E97D2C" w14:paraId="6A6D65FB" w14:textId="77777777" w:rsidTr="00696E8F">
        <w:trPr>
          <w:trHeight w:val="300"/>
        </w:trPr>
        <w:tc>
          <w:tcPr>
            <w:tcW w:w="1872" w:type="dxa"/>
            <w:noWrap/>
            <w:vAlign w:val="center"/>
            <w:hideMark/>
          </w:tcPr>
          <w:p w14:paraId="053D4939" w14:textId="77777777" w:rsidR="00595F71" w:rsidRPr="00E97D2C" w:rsidRDefault="00595F71" w:rsidP="00696E8F">
            <w:pPr>
              <w:rPr>
                <w:rFonts w:cs="Arial"/>
                <w:color w:val="000000"/>
              </w:rPr>
            </w:pPr>
            <w:r w:rsidRPr="00E97D2C">
              <w:rPr>
                <w:rFonts w:cs="Arial"/>
                <w:color w:val="000000"/>
              </w:rPr>
              <w:t>0D134J4</w:t>
            </w:r>
          </w:p>
        </w:tc>
        <w:tc>
          <w:tcPr>
            <w:tcW w:w="7560" w:type="dxa"/>
            <w:noWrap/>
            <w:vAlign w:val="center"/>
            <w:hideMark/>
          </w:tcPr>
          <w:p w14:paraId="1B2EB89F" w14:textId="77777777" w:rsidR="00595F71" w:rsidRPr="00E97D2C" w:rsidRDefault="00595F71" w:rsidP="00696E8F">
            <w:pPr>
              <w:rPr>
                <w:rFonts w:cs="Arial"/>
                <w:color w:val="000000"/>
              </w:rPr>
            </w:pPr>
            <w:r w:rsidRPr="00E97D2C">
              <w:rPr>
                <w:rFonts w:cs="Arial"/>
                <w:color w:val="000000"/>
              </w:rPr>
              <w:t>Bypass Lower Esophagus to Cutaneous with Synthetic Substitute, Percutaneous Endoscopic Approach</w:t>
            </w:r>
          </w:p>
        </w:tc>
      </w:tr>
      <w:tr w:rsidR="00595F71" w:rsidRPr="00E97D2C" w14:paraId="60D2F20B" w14:textId="77777777" w:rsidTr="00696E8F">
        <w:trPr>
          <w:trHeight w:val="300"/>
        </w:trPr>
        <w:tc>
          <w:tcPr>
            <w:tcW w:w="1872" w:type="dxa"/>
            <w:noWrap/>
            <w:vAlign w:val="center"/>
            <w:hideMark/>
          </w:tcPr>
          <w:p w14:paraId="01EE2D32" w14:textId="77777777" w:rsidR="00595F71" w:rsidRPr="00E97D2C" w:rsidRDefault="00595F71" w:rsidP="00696E8F">
            <w:pPr>
              <w:rPr>
                <w:rFonts w:cs="Arial"/>
                <w:color w:val="000000"/>
              </w:rPr>
            </w:pPr>
            <w:r w:rsidRPr="00E97D2C">
              <w:rPr>
                <w:rFonts w:cs="Arial"/>
                <w:color w:val="000000"/>
              </w:rPr>
              <w:t>0D134J6</w:t>
            </w:r>
          </w:p>
        </w:tc>
        <w:tc>
          <w:tcPr>
            <w:tcW w:w="7560" w:type="dxa"/>
            <w:noWrap/>
            <w:vAlign w:val="center"/>
            <w:hideMark/>
          </w:tcPr>
          <w:p w14:paraId="294896EE" w14:textId="77777777" w:rsidR="00595F71" w:rsidRPr="00E97D2C" w:rsidRDefault="00595F71" w:rsidP="00696E8F">
            <w:pPr>
              <w:rPr>
                <w:rFonts w:cs="Arial"/>
                <w:color w:val="000000"/>
              </w:rPr>
            </w:pPr>
            <w:r w:rsidRPr="00E97D2C">
              <w:rPr>
                <w:rFonts w:cs="Arial"/>
                <w:color w:val="000000"/>
              </w:rPr>
              <w:t>Bypass Lower Esophagus to Stomach with Synthetic Substitute, Percutaneous Endoscopic Approach</w:t>
            </w:r>
          </w:p>
        </w:tc>
      </w:tr>
      <w:tr w:rsidR="00595F71" w:rsidRPr="00E97D2C" w14:paraId="08506F8B" w14:textId="77777777" w:rsidTr="00696E8F">
        <w:trPr>
          <w:trHeight w:val="300"/>
        </w:trPr>
        <w:tc>
          <w:tcPr>
            <w:tcW w:w="1872" w:type="dxa"/>
            <w:noWrap/>
            <w:vAlign w:val="center"/>
            <w:hideMark/>
          </w:tcPr>
          <w:p w14:paraId="179C68B7" w14:textId="77777777" w:rsidR="00595F71" w:rsidRPr="00E97D2C" w:rsidRDefault="00595F71" w:rsidP="00696E8F">
            <w:pPr>
              <w:rPr>
                <w:rFonts w:cs="Arial"/>
                <w:color w:val="000000"/>
              </w:rPr>
            </w:pPr>
            <w:r w:rsidRPr="00E97D2C">
              <w:rPr>
                <w:rFonts w:cs="Arial"/>
                <w:color w:val="000000"/>
              </w:rPr>
              <w:t>0D134J9</w:t>
            </w:r>
          </w:p>
        </w:tc>
        <w:tc>
          <w:tcPr>
            <w:tcW w:w="7560" w:type="dxa"/>
            <w:noWrap/>
            <w:vAlign w:val="center"/>
            <w:hideMark/>
          </w:tcPr>
          <w:p w14:paraId="6669EA5A" w14:textId="77777777" w:rsidR="00595F71" w:rsidRPr="00E97D2C" w:rsidRDefault="00595F71" w:rsidP="00696E8F">
            <w:pPr>
              <w:rPr>
                <w:rFonts w:cs="Arial"/>
                <w:color w:val="000000"/>
              </w:rPr>
            </w:pPr>
            <w:r w:rsidRPr="00E97D2C">
              <w:rPr>
                <w:rFonts w:cs="Arial"/>
                <w:color w:val="000000"/>
              </w:rPr>
              <w:t>Bypass Lower Esophagus to Duodenum with Synthetic Substitute, Percutaneous Endoscopic Approach</w:t>
            </w:r>
          </w:p>
        </w:tc>
      </w:tr>
      <w:tr w:rsidR="00595F71" w:rsidRPr="00E97D2C" w14:paraId="1E592C87" w14:textId="77777777" w:rsidTr="00696E8F">
        <w:trPr>
          <w:trHeight w:val="300"/>
        </w:trPr>
        <w:tc>
          <w:tcPr>
            <w:tcW w:w="1872" w:type="dxa"/>
            <w:noWrap/>
            <w:vAlign w:val="center"/>
            <w:hideMark/>
          </w:tcPr>
          <w:p w14:paraId="10D3C9BE" w14:textId="77777777" w:rsidR="00595F71" w:rsidRPr="00E97D2C" w:rsidRDefault="00595F71" w:rsidP="00696E8F">
            <w:pPr>
              <w:rPr>
                <w:rFonts w:cs="Arial"/>
                <w:color w:val="000000"/>
              </w:rPr>
            </w:pPr>
            <w:r w:rsidRPr="00E97D2C">
              <w:rPr>
                <w:rFonts w:cs="Arial"/>
                <w:color w:val="000000"/>
              </w:rPr>
              <w:t>0D134JA</w:t>
            </w:r>
          </w:p>
        </w:tc>
        <w:tc>
          <w:tcPr>
            <w:tcW w:w="7560" w:type="dxa"/>
            <w:noWrap/>
            <w:vAlign w:val="center"/>
            <w:hideMark/>
          </w:tcPr>
          <w:p w14:paraId="27EF31E0" w14:textId="77777777" w:rsidR="00595F71" w:rsidRPr="00E97D2C" w:rsidRDefault="00595F71" w:rsidP="00696E8F">
            <w:pPr>
              <w:rPr>
                <w:rFonts w:cs="Arial"/>
                <w:color w:val="000000"/>
              </w:rPr>
            </w:pPr>
            <w:r w:rsidRPr="00E97D2C">
              <w:rPr>
                <w:rFonts w:cs="Arial"/>
                <w:color w:val="000000"/>
              </w:rPr>
              <w:t>Bypass Lower Esophagus to Jejunum with Synthetic Substitute, Percutaneous Endoscopic Approach</w:t>
            </w:r>
          </w:p>
        </w:tc>
      </w:tr>
      <w:tr w:rsidR="00595F71" w:rsidRPr="00E97D2C" w14:paraId="08AA6D0C" w14:textId="77777777" w:rsidTr="00696E8F">
        <w:trPr>
          <w:trHeight w:val="300"/>
        </w:trPr>
        <w:tc>
          <w:tcPr>
            <w:tcW w:w="1872" w:type="dxa"/>
            <w:noWrap/>
            <w:vAlign w:val="center"/>
            <w:hideMark/>
          </w:tcPr>
          <w:p w14:paraId="5E0DFBD3" w14:textId="77777777" w:rsidR="00595F71" w:rsidRPr="00E97D2C" w:rsidRDefault="00595F71" w:rsidP="00696E8F">
            <w:pPr>
              <w:rPr>
                <w:rFonts w:cs="Arial"/>
                <w:color w:val="000000"/>
              </w:rPr>
            </w:pPr>
            <w:r w:rsidRPr="00E97D2C">
              <w:rPr>
                <w:rFonts w:cs="Arial"/>
                <w:color w:val="000000"/>
              </w:rPr>
              <w:t>0D134JB</w:t>
            </w:r>
          </w:p>
        </w:tc>
        <w:tc>
          <w:tcPr>
            <w:tcW w:w="7560" w:type="dxa"/>
            <w:noWrap/>
            <w:vAlign w:val="center"/>
            <w:hideMark/>
          </w:tcPr>
          <w:p w14:paraId="5982C41D" w14:textId="77777777" w:rsidR="00595F71" w:rsidRPr="00E97D2C" w:rsidRDefault="00595F71" w:rsidP="00696E8F">
            <w:pPr>
              <w:rPr>
                <w:rFonts w:cs="Arial"/>
                <w:color w:val="000000"/>
              </w:rPr>
            </w:pPr>
            <w:r w:rsidRPr="00E97D2C">
              <w:rPr>
                <w:rFonts w:cs="Arial"/>
                <w:color w:val="000000"/>
              </w:rPr>
              <w:t>Bypass Lower Esophagus to Ileum with Synthetic Substitute, Percutaneous Endoscopic Approach</w:t>
            </w:r>
          </w:p>
        </w:tc>
      </w:tr>
      <w:tr w:rsidR="00595F71" w:rsidRPr="00E97D2C" w14:paraId="28241D86" w14:textId="77777777" w:rsidTr="00696E8F">
        <w:trPr>
          <w:trHeight w:val="300"/>
        </w:trPr>
        <w:tc>
          <w:tcPr>
            <w:tcW w:w="1872" w:type="dxa"/>
            <w:noWrap/>
            <w:vAlign w:val="center"/>
            <w:hideMark/>
          </w:tcPr>
          <w:p w14:paraId="0D26170A" w14:textId="77777777" w:rsidR="00595F71" w:rsidRPr="00E97D2C" w:rsidRDefault="00595F71" w:rsidP="00696E8F">
            <w:pPr>
              <w:rPr>
                <w:rFonts w:cs="Arial"/>
                <w:color w:val="000000"/>
              </w:rPr>
            </w:pPr>
            <w:r w:rsidRPr="00E97D2C">
              <w:rPr>
                <w:rFonts w:cs="Arial"/>
                <w:color w:val="000000"/>
              </w:rPr>
              <w:t>0D134K4</w:t>
            </w:r>
          </w:p>
        </w:tc>
        <w:tc>
          <w:tcPr>
            <w:tcW w:w="7560" w:type="dxa"/>
            <w:noWrap/>
            <w:vAlign w:val="center"/>
            <w:hideMark/>
          </w:tcPr>
          <w:p w14:paraId="094E9E86" w14:textId="77777777" w:rsidR="00595F71" w:rsidRPr="00E97D2C" w:rsidRDefault="00595F71" w:rsidP="00696E8F">
            <w:pPr>
              <w:rPr>
                <w:rFonts w:cs="Arial"/>
                <w:color w:val="000000"/>
              </w:rPr>
            </w:pPr>
            <w:r w:rsidRPr="00E97D2C">
              <w:rPr>
                <w:rFonts w:cs="Arial"/>
                <w:color w:val="000000"/>
              </w:rPr>
              <w:t xml:space="preserve">Bypass Lower Esophagus to Cutaneous with </w:t>
            </w:r>
            <w:proofErr w:type="spellStart"/>
            <w:r w:rsidRPr="00E97D2C">
              <w:rPr>
                <w:rFonts w:cs="Arial"/>
                <w:color w:val="000000"/>
              </w:rPr>
              <w:t>Nonautologous</w:t>
            </w:r>
            <w:proofErr w:type="spellEnd"/>
            <w:r w:rsidRPr="00E97D2C">
              <w:rPr>
                <w:rFonts w:cs="Arial"/>
                <w:color w:val="000000"/>
              </w:rPr>
              <w:t xml:space="preserve"> Tissue Substitute, Percutaneous Endoscopic Approach</w:t>
            </w:r>
          </w:p>
        </w:tc>
      </w:tr>
      <w:tr w:rsidR="00595F71" w:rsidRPr="00E97D2C" w14:paraId="71BBD55D" w14:textId="77777777" w:rsidTr="00696E8F">
        <w:trPr>
          <w:trHeight w:val="300"/>
        </w:trPr>
        <w:tc>
          <w:tcPr>
            <w:tcW w:w="1872" w:type="dxa"/>
            <w:noWrap/>
            <w:vAlign w:val="center"/>
            <w:hideMark/>
          </w:tcPr>
          <w:p w14:paraId="0C8D62EB" w14:textId="77777777" w:rsidR="00595F71" w:rsidRPr="00E97D2C" w:rsidRDefault="00595F71" w:rsidP="00696E8F">
            <w:pPr>
              <w:rPr>
                <w:rFonts w:cs="Arial"/>
                <w:color w:val="000000"/>
              </w:rPr>
            </w:pPr>
            <w:r w:rsidRPr="00E97D2C">
              <w:rPr>
                <w:rFonts w:cs="Arial"/>
                <w:color w:val="000000"/>
              </w:rPr>
              <w:t>0D134K6</w:t>
            </w:r>
          </w:p>
        </w:tc>
        <w:tc>
          <w:tcPr>
            <w:tcW w:w="7560" w:type="dxa"/>
            <w:noWrap/>
            <w:vAlign w:val="center"/>
            <w:hideMark/>
          </w:tcPr>
          <w:p w14:paraId="27187E8E" w14:textId="77777777" w:rsidR="00595F71" w:rsidRPr="00E97D2C" w:rsidRDefault="00595F71" w:rsidP="00696E8F">
            <w:pPr>
              <w:rPr>
                <w:rFonts w:cs="Arial"/>
                <w:color w:val="000000"/>
              </w:rPr>
            </w:pPr>
            <w:r w:rsidRPr="00E97D2C">
              <w:rPr>
                <w:rFonts w:cs="Arial"/>
                <w:color w:val="000000"/>
              </w:rPr>
              <w:t xml:space="preserve">Bypass Lower Esophagus to Stomach with </w:t>
            </w:r>
            <w:proofErr w:type="spellStart"/>
            <w:r w:rsidRPr="00E97D2C">
              <w:rPr>
                <w:rFonts w:cs="Arial"/>
                <w:color w:val="000000"/>
              </w:rPr>
              <w:t>Nonautologous</w:t>
            </w:r>
            <w:proofErr w:type="spellEnd"/>
            <w:r w:rsidRPr="00E97D2C">
              <w:rPr>
                <w:rFonts w:cs="Arial"/>
                <w:color w:val="000000"/>
              </w:rPr>
              <w:t xml:space="preserve"> Tissue Substitute, Percutaneous Endoscopic Approach</w:t>
            </w:r>
          </w:p>
        </w:tc>
      </w:tr>
      <w:tr w:rsidR="00595F71" w:rsidRPr="00E97D2C" w14:paraId="1BA847BC" w14:textId="77777777" w:rsidTr="00696E8F">
        <w:trPr>
          <w:trHeight w:val="300"/>
        </w:trPr>
        <w:tc>
          <w:tcPr>
            <w:tcW w:w="1872" w:type="dxa"/>
            <w:noWrap/>
            <w:vAlign w:val="center"/>
            <w:hideMark/>
          </w:tcPr>
          <w:p w14:paraId="4DF55170" w14:textId="77777777" w:rsidR="00595F71" w:rsidRPr="00E97D2C" w:rsidRDefault="00595F71" w:rsidP="00696E8F">
            <w:pPr>
              <w:rPr>
                <w:rFonts w:cs="Arial"/>
                <w:color w:val="000000"/>
              </w:rPr>
            </w:pPr>
            <w:r w:rsidRPr="00E97D2C">
              <w:rPr>
                <w:rFonts w:cs="Arial"/>
                <w:color w:val="000000"/>
              </w:rPr>
              <w:t>0D134K9</w:t>
            </w:r>
          </w:p>
        </w:tc>
        <w:tc>
          <w:tcPr>
            <w:tcW w:w="7560" w:type="dxa"/>
            <w:noWrap/>
            <w:vAlign w:val="center"/>
            <w:hideMark/>
          </w:tcPr>
          <w:p w14:paraId="57420AE1" w14:textId="77777777" w:rsidR="00595F71" w:rsidRPr="00E97D2C" w:rsidRDefault="00595F71" w:rsidP="00696E8F">
            <w:pPr>
              <w:rPr>
                <w:rFonts w:cs="Arial"/>
                <w:color w:val="000000"/>
              </w:rPr>
            </w:pPr>
            <w:r w:rsidRPr="00E97D2C">
              <w:rPr>
                <w:rFonts w:cs="Arial"/>
                <w:color w:val="000000"/>
              </w:rPr>
              <w:t xml:space="preserve">Bypass Lower Esophagus to Duodenum with </w:t>
            </w:r>
            <w:proofErr w:type="spellStart"/>
            <w:r w:rsidRPr="00E97D2C">
              <w:rPr>
                <w:rFonts w:cs="Arial"/>
                <w:color w:val="000000"/>
              </w:rPr>
              <w:t>Nonautologous</w:t>
            </w:r>
            <w:proofErr w:type="spellEnd"/>
            <w:r w:rsidRPr="00E97D2C">
              <w:rPr>
                <w:rFonts w:cs="Arial"/>
                <w:color w:val="000000"/>
              </w:rPr>
              <w:t xml:space="preserve"> Tissue Substitute, Percutaneous Endoscopic Approach</w:t>
            </w:r>
          </w:p>
        </w:tc>
      </w:tr>
      <w:tr w:rsidR="00595F71" w:rsidRPr="00E97D2C" w14:paraId="32EE2409" w14:textId="77777777" w:rsidTr="00696E8F">
        <w:trPr>
          <w:trHeight w:val="300"/>
        </w:trPr>
        <w:tc>
          <w:tcPr>
            <w:tcW w:w="1872" w:type="dxa"/>
            <w:noWrap/>
            <w:vAlign w:val="center"/>
            <w:hideMark/>
          </w:tcPr>
          <w:p w14:paraId="21D4C3A7" w14:textId="77777777" w:rsidR="00595F71" w:rsidRPr="00E97D2C" w:rsidRDefault="00595F71" w:rsidP="00696E8F">
            <w:pPr>
              <w:rPr>
                <w:rFonts w:cs="Arial"/>
                <w:color w:val="000000"/>
              </w:rPr>
            </w:pPr>
            <w:r w:rsidRPr="00E97D2C">
              <w:rPr>
                <w:rFonts w:cs="Arial"/>
                <w:color w:val="000000"/>
              </w:rPr>
              <w:t>0D134KA</w:t>
            </w:r>
          </w:p>
        </w:tc>
        <w:tc>
          <w:tcPr>
            <w:tcW w:w="7560" w:type="dxa"/>
            <w:noWrap/>
            <w:vAlign w:val="center"/>
            <w:hideMark/>
          </w:tcPr>
          <w:p w14:paraId="7A6294A9" w14:textId="77777777" w:rsidR="00595F71" w:rsidRPr="00E97D2C" w:rsidRDefault="00595F71" w:rsidP="00696E8F">
            <w:pPr>
              <w:rPr>
                <w:rFonts w:cs="Arial"/>
                <w:color w:val="000000"/>
              </w:rPr>
            </w:pPr>
            <w:r w:rsidRPr="00E97D2C">
              <w:rPr>
                <w:rFonts w:cs="Arial"/>
                <w:color w:val="000000"/>
              </w:rPr>
              <w:t xml:space="preserve">Bypass Lower Esophagus to Jejunum with </w:t>
            </w:r>
            <w:proofErr w:type="spellStart"/>
            <w:r w:rsidRPr="00E97D2C">
              <w:rPr>
                <w:rFonts w:cs="Arial"/>
                <w:color w:val="000000"/>
              </w:rPr>
              <w:t>Nonautologous</w:t>
            </w:r>
            <w:proofErr w:type="spellEnd"/>
            <w:r w:rsidRPr="00E97D2C">
              <w:rPr>
                <w:rFonts w:cs="Arial"/>
                <w:color w:val="000000"/>
              </w:rPr>
              <w:t xml:space="preserve"> Tissue Substitute, Percutaneous Endoscopic Approach</w:t>
            </w:r>
          </w:p>
        </w:tc>
      </w:tr>
      <w:tr w:rsidR="00595F71" w:rsidRPr="00E97D2C" w14:paraId="0820A524" w14:textId="77777777" w:rsidTr="00696E8F">
        <w:trPr>
          <w:trHeight w:val="300"/>
        </w:trPr>
        <w:tc>
          <w:tcPr>
            <w:tcW w:w="1872" w:type="dxa"/>
            <w:noWrap/>
            <w:vAlign w:val="center"/>
            <w:hideMark/>
          </w:tcPr>
          <w:p w14:paraId="74E944DC" w14:textId="77777777" w:rsidR="00595F71" w:rsidRPr="00E97D2C" w:rsidRDefault="00595F71" w:rsidP="00696E8F">
            <w:pPr>
              <w:rPr>
                <w:rFonts w:cs="Arial"/>
                <w:color w:val="000000"/>
              </w:rPr>
            </w:pPr>
            <w:r w:rsidRPr="00E97D2C">
              <w:rPr>
                <w:rFonts w:cs="Arial"/>
                <w:color w:val="000000"/>
              </w:rPr>
              <w:t>0D134KB</w:t>
            </w:r>
          </w:p>
        </w:tc>
        <w:tc>
          <w:tcPr>
            <w:tcW w:w="7560" w:type="dxa"/>
            <w:noWrap/>
            <w:vAlign w:val="center"/>
            <w:hideMark/>
          </w:tcPr>
          <w:p w14:paraId="340392B9" w14:textId="77777777" w:rsidR="00595F71" w:rsidRPr="00E97D2C" w:rsidRDefault="00595F71" w:rsidP="00696E8F">
            <w:pPr>
              <w:rPr>
                <w:rFonts w:cs="Arial"/>
                <w:color w:val="000000"/>
              </w:rPr>
            </w:pPr>
            <w:r w:rsidRPr="00E97D2C">
              <w:rPr>
                <w:rFonts w:cs="Arial"/>
                <w:color w:val="000000"/>
              </w:rPr>
              <w:t xml:space="preserve">Bypass Lower Esophagus to Ileum with </w:t>
            </w:r>
            <w:proofErr w:type="spellStart"/>
            <w:r w:rsidRPr="00E97D2C">
              <w:rPr>
                <w:rFonts w:cs="Arial"/>
                <w:color w:val="000000"/>
              </w:rPr>
              <w:t>Nonautologous</w:t>
            </w:r>
            <w:proofErr w:type="spellEnd"/>
            <w:r w:rsidRPr="00E97D2C">
              <w:rPr>
                <w:rFonts w:cs="Arial"/>
                <w:color w:val="000000"/>
              </w:rPr>
              <w:t xml:space="preserve"> Tissue Substitute, Percutaneous Endoscopic Approach</w:t>
            </w:r>
          </w:p>
        </w:tc>
      </w:tr>
      <w:tr w:rsidR="00595F71" w:rsidRPr="00E97D2C" w14:paraId="5E9782BB" w14:textId="77777777" w:rsidTr="00696E8F">
        <w:trPr>
          <w:trHeight w:val="300"/>
        </w:trPr>
        <w:tc>
          <w:tcPr>
            <w:tcW w:w="1872" w:type="dxa"/>
            <w:noWrap/>
            <w:vAlign w:val="center"/>
            <w:hideMark/>
          </w:tcPr>
          <w:p w14:paraId="676C1910" w14:textId="77777777" w:rsidR="00595F71" w:rsidRPr="00E97D2C" w:rsidRDefault="00595F71" w:rsidP="00696E8F">
            <w:pPr>
              <w:rPr>
                <w:rFonts w:cs="Arial"/>
                <w:color w:val="000000"/>
              </w:rPr>
            </w:pPr>
            <w:r w:rsidRPr="00E97D2C">
              <w:rPr>
                <w:rFonts w:cs="Arial"/>
                <w:color w:val="000000"/>
              </w:rPr>
              <w:t>0D134Z4</w:t>
            </w:r>
          </w:p>
        </w:tc>
        <w:tc>
          <w:tcPr>
            <w:tcW w:w="7560" w:type="dxa"/>
            <w:noWrap/>
            <w:vAlign w:val="center"/>
            <w:hideMark/>
          </w:tcPr>
          <w:p w14:paraId="390A637D" w14:textId="77777777" w:rsidR="00595F71" w:rsidRPr="00E97D2C" w:rsidRDefault="00595F71" w:rsidP="00696E8F">
            <w:pPr>
              <w:rPr>
                <w:rFonts w:cs="Arial"/>
                <w:color w:val="000000"/>
              </w:rPr>
            </w:pPr>
            <w:r w:rsidRPr="00E97D2C">
              <w:rPr>
                <w:rFonts w:cs="Arial"/>
                <w:color w:val="000000"/>
              </w:rPr>
              <w:t>Bypass Lower Esophagus to Cutaneous, Percutaneous Endoscopic Approach</w:t>
            </w:r>
          </w:p>
        </w:tc>
      </w:tr>
      <w:tr w:rsidR="00595F71" w:rsidRPr="00E97D2C" w14:paraId="0A992F41" w14:textId="77777777" w:rsidTr="00696E8F">
        <w:trPr>
          <w:trHeight w:val="300"/>
        </w:trPr>
        <w:tc>
          <w:tcPr>
            <w:tcW w:w="1872" w:type="dxa"/>
            <w:noWrap/>
            <w:vAlign w:val="center"/>
            <w:hideMark/>
          </w:tcPr>
          <w:p w14:paraId="757F3558" w14:textId="77777777" w:rsidR="00595F71" w:rsidRPr="00E97D2C" w:rsidRDefault="00595F71" w:rsidP="00696E8F">
            <w:pPr>
              <w:rPr>
                <w:rFonts w:cs="Arial"/>
                <w:color w:val="000000"/>
              </w:rPr>
            </w:pPr>
            <w:r w:rsidRPr="00E97D2C">
              <w:rPr>
                <w:rFonts w:cs="Arial"/>
                <w:color w:val="000000"/>
              </w:rPr>
              <w:t>0D134Z6</w:t>
            </w:r>
          </w:p>
        </w:tc>
        <w:tc>
          <w:tcPr>
            <w:tcW w:w="7560" w:type="dxa"/>
            <w:noWrap/>
            <w:vAlign w:val="center"/>
            <w:hideMark/>
          </w:tcPr>
          <w:p w14:paraId="2C2E6303" w14:textId="77777777" w:rsidR="00595F71" w:rsidRPr="00E97D2C" w:rsidRDefault="00595F71" w:rsidP="00696E8F">
            <w:pPr>
              <w:rPr>
                <w:rFonts w:cs="Arial"/>
                <w:color w:val="000000"/>
              </w:rPr>
            </w:pPr>
            <w:r w:rsidRPr="00E97D2C">
              <w:rPr>
                <w:rFonts w:cs="Arial"/>
                <w:color w:val="000000"/>
              </w:rPr>
              <w:t>Bypass Lower Esophagus to Stomach, Percutaneous Endoscopic Approach</w:t>
            </w:r>
          </w:p>
        </w:tc>
      </w:tr>
      <w:tr w:rsidR="00595F71" w:rsidRPr="00E97D2C" w14:paraId="5F210749" w14:textId="77777777" w:rsidTr="00696E8F">
        <w:trPr>
          <w:trHeight w:val="300"/>
        </w:trPr>
        <w:tc>
          <w:tcPr>
            <w:tcW w:w="1872" w:type="dxa"/>
            <w:noWrap/>
            <w:vAlign w:val="center"/>
            <w:hideMark/>
          </w:tcPr>
          <w:p w14:paraId="31B676D4" w14:textId="77777777" w:rsidR="00595F71" w:rsidRPr="00E97D2C" w:rsidRDefault="00595F71" w:rsidP="00696E8F">
            <w:pPr>
              <w:rPr>
                <w:rFonts w:cs="Arial"/>
                <w:color w:val="000000"/>
              </w:rPr>
            </w:pPr>
            <w:r w:rsidRPr="00E97D2C">
              <w:rPr>
                <w:rFonts w:cs="Arial"/>
                <w:color w:val="000000"/>
              </w:rPr>
              <w:t>0D134Z9</w:t>
            </w:r>
          </w:p>
        </w:tc>
        <w:tc>
          <w:tcPr>
            <w:tcW w:w="7560" w:type="dxa"/>
            <w:noWrap/>
            <w:vAlign w:val="center"/>
            <w:hideMark/>
          </w:tcPr>
          <w:p w14:paraId="3FF96EEB" w14:textId="77777777" w:rsidR="00595F71" w:rsidRPr="00E97D2C" w:rsidRDefault="00595F71" w:rsidP="00696E8F">
            <w:pPr>
              <w:rPr>
                <w:rFonts w:cs="Arial"/>
                <w:color w:val="000000"/>
              </w:rPr>
            </w:pPr>
            <w:r w:rsidRPr="00E97D2C">
              <w:rPr>
                <w:rFonts w:cs="Arial"/>
                <w:color w:val="000000"/>
              </w:rPr>
              <w:t>Bypass Lower Esophagus to Duodenum, Percutaneous Endoscopic Approach</w:t>
            </w:r>
          </w:p>
        </w:tc>
      </w:tr>
      <w:tr w:rsidR="00595F71" w:rsidRPr="00E97D2C" w14:paraId="7C42DFDB" w14:textId="77777777" w:rsidTr="00696E8F">
        <w:trPr>
          <w:trHeight w:val="300"/>
        </w:trPr>
        <w:tc>
          <w:tcPr>
            <w:tcW w:w="1872" w:type="dxa"/>
            <w:noWrap/>
            <w:vAlign w:val="center"/>
            <w:hideMark/>
          </w:tcPr>
          <w:p w14:paraId="1121542A" w14:textId="77777777" w:rsidR="00595F71" w:rsidRPr="00E97D2C" w:rsidRDefault="00595F71" w:rsidP="00696E8F">
            <w:pPr>
              <w:rPr>
                <w:rFonts w:cs="Arial"/>
                <w:color w:val="000000"/>
              </w:rPr>
            </w:pPr>
            <w:r w:rsidRPr="00E97D2C">
              <w:rPr>
                <w:rFonts w:cs="Arial"/>
                <w:color w:val="000000"/>
              </w:rPr>
              <w:t>0D134ZA</w:t>
            </w:r>
          </w:p>
        </w:tc>
        <w:tc>
          <w:tcPr>
            <w:tcW w:w="7560" w:type="dxa"/>
            <w:noWrap/>
            <w:vAlign w:val="center"/>
            <w:hideMark/>
          </w:tcPr>
          <w:p w14:paraId="46A67E2A" w14:textId="77777777" w:rsidR="00595F71" w:rsidRPr="00E97D2C" w:rsidRDefault="00595F71" w:rsidP="00696E8F">
            <w:pPr>
              <w:rPr>
                <w:rFonts w:cs="Arial"/>
                <w:color w:val="000000"/>
              </w:rPr>
            </w:pPr>
            <w:r w:rsidRPr="00E97D2C">
              <w:rPr>
                <w:rFonts w:cs="Arial"/>
                <w:color w:val="000000"/>
              </w:rPr>
              <w:t>Bypass Lower Esophagus to Jejunum, Percutaneous Endoscopic Approach</w:t>
            </w:r>
          </w:p>
        </w:tc>
      </w:tr>
      <w:tr w:rsidR="00595F71" w:rsidRPr="00E97D2C" w14:paraId="0E0B5CAD" w14:textId="77777777" w:rsidTr="00696E8F">
        <w:trPr>
          <w:trHeight w:val="300"/>
        </w:trPr>
        <w:tc>
          <w:tcPr>
            <w:tcW w:w="1872" w:type="dxa"/>
            <w:noWrap/>
            <w:vAlign w:val="center"/>
            <w:hideMark/>
          </w:tcPr>
          <w:p w14:paraId="2C92C327" w14:textId="77777777" w:rsidR="00595F71" w:rsidRPr="00E97D2C" w:rsidRDefault="00595F71" w:rsidP="00696E8F">
            <w:pPr>
              <w:rPr>
                <w:rFonts w:cs="Arial"/>
                <w:color w:val="000000"/>
              </w:rPr>
            </w:pPr>
            <w:r w:rsidRPr="00E97D2C">
              <w:rPr>
                <w:rFonts w:cs="Arial"/>
                <w:color w:val="000000"/>
              </w:rPr>
              <w:t>0D134ZB</w:t>
            </w:r>
          </w:p>
        </w:tc>
        <w:tc>
          <w:tcPr>
            <w:tcW w:w="7560" w:type="dxa"/>
            <w:noWrap/>
            <w:vAlign w:val="center"/>
            <w:hideMark/>
          </w:tcPr>
          <w:p w14:paraId="15558CE8" w14:textId="77777777" w:rsidR="00595F71" w:rsidRPr="00E97D2C" w:rsidRDefault="00595F71" w:rsidP="00696E8F">
            <w:pPr>
              <w:rPr>
                <w:rFonts w:cs="Arial"/>
                <w:color w:val="000000"/>
              </w:rPr>
            </w:pPr>
            <w:r w:rsidRPr="00E97D2C">
              <w:rPr>
                <w:rFonts w:cs="Arial"/>
                <w:color w:val="000000"/>
              </w:rPr>
              <w:t>Bypass Lower Esophagus to Ileum, Percutaneous Endoscopic Approach</w:t>
            </w:r>
          </w:p>
        </w:tc>
      </w:tr>
      <w:tr w:rsidR="00595F71" w:rsidRPr="00E97D2C" w14:paraId="1F34B685" w14:textId="77777777" w:rsidTr="00696E8F">
        <w:trPr>
          <w:trHeight w:val="300"/>
        </w:trPr>
        <w:tc>
          <w:tcPr>
            <w:tcW w:w="1872" w:type="dxa"/>
            <w:noWrap/>
            <w:vAlign w:val="center"/>
            <w:hideMark/>
          </w:tcPr>
          <w:p w14:paraId="64EF1BC2" w14:textId="77777777" w:rsidR="00595F71" w:rsidRPr="00E97D2C" w:rsidRDefault="00595F71" w:rsidP="00696E8F">
            <w:pPr>
              <w:rPr>
                <w:rFonts w:cs="Arial"/>
                <w:color w:val="000000"/>
              </w:rPr>
            </w:pPr>
            <w:r w:rsidRPr="00E97D2C">
              <w:rPr>
                <w:rFonts w:cs="Arial"/>
                <w:color w:val="000000"/>
              </w:rPr>
              <w:t>0D13874</w:t>
            </w:r>
          </w:p>
        </w:tc>
        <w:tc>
          <w:tcPr>
            <w:tcW w:w="7560" w:type="dxa"/>
            <w:noWrap/>
            <w:vAlign w:val="center"/>
            <w:hideMark/>
          </w:tcPr>
          <w:p w14:paraId="4408C32F" w14:textId="77777777" w:rsidR="00595F71" w:rsidRPr="00E97D2C" w:rsidRDefault="00595F71" w:rsidP="00696E8F">
            <w:pPr>
              <w:rPr>
                <w:rFonts w:cs="Arial"/>
                <w:color w:val="000000"/>
              </w:rPr>
            </w:pPr>
            <w:r w:rsidRPr="00E97D2C">
              <w:rPr>
                <w:rFonts w:cs="Arial"/>
                <w:color w:val="000000"/>
              </w:rPr>
              <w:t>Bypass Lower Esophagus to Cutaneous with Autologous Tissue Substitute, Via Natural or Artificial Opening Endoscopic</w:t>
            </w:r>
          </w:p>
        </w:tc>
      </w:tr>
      <w:tr w:rsidR="00595F71" w:rsidRPr="00E97D2C" w14:paraId="116B2893" w14:textId="77777777" w:rsidTr="00696E8F">
        <w:trPr>
          <w:trHeight w:val="300"/>
        </w:trPr>
        <w:tc>
          <w:tcPr>
            <w:tcW w:w="1872" w:type="dxa"/>
            <w:noWrap/>
            <w:vAlign w:val="center"/>
            <w:hideMark/>
          </w:tcPr>
          <w:p w14:paraId="444ADAFE" w14:textId="77777777" w:rsidR="00595F71" w:rsidRPr="00E97D2C" w:rsidRDefault="00595F71" w:rsidP="00696E8F">
            <w:pPr>
              <w:rPr>
                <w:rFonts w:cs="Arial"/>
                <w:color w:val="000000"/>
              </w:rPr>
            </w:pPr>
            <w:r w:rsidRPr="00E97D2C">
              <w:rPr>
                <w:rFonts w:cs="Arial"/>
                <w:color w:val="000000"/>
              </w:rPr>
              <w:t>0D13876</w:t>
            </w:r>
          </w:p>
        </w:tc>
        <w:tc>
          <w:tcPr>
            <w:tcW w:w="7560" w:type="dxa"/>
            <w:noWrap/>
            <w:vAlign w:val="center"/>
            <w:hideMark/>
          </w:tcPr>
          <w:p w14:paraId="06C0117A" w14:textId="77777777" w:rsidR="00595F71" w:rsidRPr="00E97D2C" w:rsidRDefault="00595F71" w:rsidP="00696E8F">
            <w:pPr>
              <w:rPr>
                <w:rFonts w:cs="Arial"/>
                <w:color w:val="000000"/>
              </w:rPr>
            </w:pPr>
            <w:r w:rsidRPr="00E97D2C">
              <w:rPr>
                <w:rFonts w:cs="Arial"/>
                <w:color w:val="000000"/>
              </w:rPr>
              <w:t>Bypass Lower Esophagus to Stomach with Autologous Tissue Substitute, Via Natural or Artificial Opening Endoscopic</w:t>
            </w:r>
          </w:p>
        </w:tc>
      </w:tr>
      <w:tr w:rsidR="00595F71" w:rsidRPr="00E97D2C" w14:paraId="0B6376FB" w14:textId="77777777" w:rsidTr="00696E8F">
        <w:trPr>
          <w:trHeight w:val="300"/>
        </w:trPr>
        <w:tc>
          <w:tcPr>
            <w:tcW w:w="1872" w:type="dxa"/>
            <w:noWrap/>
            <w:vAlign w:val="center"/>
            <w:hideMark/>
          </w:tcPr>
          <w:p w14:paraId="57004C2B" w14:textId="77777777" w:rsidR="00595F71" w:rsidRPr="00E97D2C" w:rsidRDefault="00595F71" w:rsidP="00696E8F">
            <w:pPr>
              <w:rPr>
                <w:rFonts w:cs="Arial"/>
                <w:color w:val="000000"/>
              </w:rPr>
            </w:pPr>
            <w:r w:rsidRPr="00E97D2C">
              <w:rPr>
                <w:rFonts w:cs="Arial"/>
                <w:color w:val="000000"/>
              </w:rPr>
              <w:t>0D13879</w:t>
            </w:r>
          </w:p>
        </w:tc>
        <w:tc>
          <w:tcPr>
            <w:tcW w:w="7560" w:type="dxa"/>
            <w:noWrap/>
            <w:vAlign w:val="center"/>
            <w:hideMark/>
          </w:tcPr>
          <w:p w14:paraId="4176F360" w14:textId="77777777" w:rsidR="00595F71" w:rsidRPr="00E97D2C" w:rsidRDefault="00595F71" w:rsidP="00696E8F">
            <w:pPr>
              <w:rPr>
                <w:rFonts w:cs="Arial"/>
                <w:color w:val="000000"/>
              </w:rPr>
            </w:pPr>
            <w:r w:rsidRPr="00E97D2C">
              <w:rPr>
                <w:rFonts w:cs="Arial"/>
                <w:color w:val="000000"/>
              </w:rPr>
              <w:t>Bypass Lower Esophagus to Duodenum with Autologous Tissue Substitute, Via Natural or Artificial Opening Endoscopic</w:t>
            </w:r>
          </w:p>
        </w:tc>
      </w:tr>
      <w:tr w:rsidR="00595F71" w:rsidRPr="00E97D2C" w14:paraId="412D83B5" w14:textId="77777777" w:rsidTr="00696E8F">
        <w:trPr>
          <w:trHeight w:val="300"/>
        </w:trPr>
        <w:tc>
          <w:tcPr>
            <w:tcW w:w="1872" w:type="dxa"/>
            <w:noWrap/>
            <w:vAlign w:val="center"/>
            <w:hideMark/>
          </w:tcPr>
          <w:p w14:paraId="01D82B24" w14:textId="77777777" w:rsidR="00595F71" w:rsidRPr="00E97D2C" w:rsidRDefault="00595F71" w:rsidP="00696E8F">
            <w:pPr>
              <w:rPr>
                <w:rFonts w:cs="Arial"/>
                <w:color w:val="000000"/>
              </w:rPr>
            </w:pPr>
            <w:r w:rsidRPr="00E97D2C">
              <w:rPr>
                <w:rFonts w:cs="Arial"/>
                <w:color w:val="000000"/>
              </w:rPr>
              <w:t>0D1387A</w:t>
            </w:r>
          </w:p>
        </w:tc>
        <w:tc>
          <w:tcPr>
            <w:tcW w:w="7560" w:type="dxa"/>
            <w:noWrap/>
            <w:vAlign w:val="center"/>
            <w:hideMark/>
          </w:tcPr>
          <w:p w14:paraId="5CFBC125" w14:textId="77777777" w:rsidR="00595F71" w:rsidRPr="00E97D2C" w:rsidRDefault="00595F71" w:rsidP="00696E8F">
            <w:pPr>
              <w:rPr>
                <w:rFonts w:cs="Arial"/>
                <w:color w:val="000000"/>
              </w:rPr>
            </w:pPr>
            <w:r w:rsidRPr="00E97D2C">
              <w:rPr>
                <w:rFonts w:cs="Arial"/>
                <w:color w:val="000000"/>
              </w:rPr>
              <w:t>Bypass Lower Esophagus to Jejunum with Autologous Tissue Substitute, Via Natural or Artificial Opening Endoscopic</w:t>
            </w:r>
          </w:p>
        </w:tc>
      </w:tr>
      <w:tr w:rsidR="00595F71" w:rsidRPr="00E97D2C" w14:paraId="684BF74A" w14:textId="77777777" w:rsidTr="00696E8F">
        <w:trPr>
          <w:trHeight w:val="300"/>
        </w:trPr>
        <w:tc>
          <w:tcPr>
            <w:tcW w:w="1872" w:type="dxa"/>
            <w:noWrap/>
            <w:vAlign w:val="center"/>
            <w:hideMark/>
          </w:tcPr>
          <w:p w14:paraId="0A228A61" w14:textId="77777777" w:rsidR="00595F71" w:rsidRPr="00E97D2C" w:rsidRDefault="00595F71" w:rsidP="00696E8F">
            <w:pPr>
              <w:rPr>
                <w:rFonts w:cs="Arial"/>
                <w:color w:val="000000"/>
              </w:rPr>
            </w:pPr>
            <w:r w:rsidRPr="00E97D2C">
              <w:rPr>
                <w:rFonts w:cs="Arial"/>
                <w:color w:val="000000"/>
              </w:rPr>
              <w:t>0D1387B</w:t>
            </w:r>
          </w:p>
        </w:tc>
        <w:tc>
          <w:tcPr>
            <w:tcW w:w="7560" w:type="dxa"/>
            <w:noWrap/>
            <w:vAlign w:val="center"/>
            <w:hideMark/>
          </w:tcPr>
          <w:p w14:paraId="6A23539F" w14:textId="77777777" w:rsidR="00595F71" w:rsidRPr="00E97D2C" w:rsidRDefault="00595F71" w:rsidP="00696E8F">
            <w:pPr>
              <w:rPr>
                <w:rFonts w:cs="Arial"/>
                <w:color w:val="000000"/>
              </w:rPr>
            </w:pPr>
            <w:r w:rsidRPr="00E97D2C">
              <w:rPr>
                <w:rFonts w:cs="Arial"/>
                <w:color w:val="000000"/>
              </w:rPr>
              <w:t>Bypass Lower Esophagus to Ileum with Autologous Tissue Substitute, Via Natural or Artificial Opening Endoscopic</w:t>
            </w:r>
          </w:p>
        </w:tc>
      </w:tr>
      <w:tr w:rsidR="00595F71" w:rsidRPr="00E97D2C" w14:paraId="07B3C07E" w14:textId="77777777" w:rsidTr="00696E8F">
        <w:trPr>
          <w:trHeight w:val="300"/>
        </w:trPr>
        <w:tc>
          <w:tcPr>
            <w:tcW w:w="1872" w:type="dxa"/>
            <w:noWrap/>
            <w:vAlign w:val="center"/>
            <w:hideMark/>
          </w:tcPr>
          <w:p w14:paraId="455ACDBD" w14:textId="77777777" w:rsidR="00595F71" w:rsidRPr="00E97D2C" w:rsidRDefault="00595F71" w:rsidP="00696E8F">
            <w:pPr>
              <w:rPr>
                <w:rFonts w:cs="Arial"/>
                <w:color w:val="000000"/>
              </w:rPr>
            </w:pPr>
            <w:r w:rsidRPr="00E97D2C">
              <w:rPr>
                <w:rFonts w:cs="Arial"/>
                <w:color w:val="000000"/>
              </w:rPr>
              <w:t>0D138J4</w:t>
            </w:r>
          </w:p>
        </w:tc>
        <w:tc>
          <w:tcPr>
            <w:tcW w:w="7560" w:type="dxa"/>
            <w:noWrap/>
            <w:vAlign w:val="center"/>
            <w:hideMark/>
          </w:tcPr>
          <w:p w14:paraId="4793AF2A" w14:textId="77777777" w:rsidR="00595F71" w:rsidRPr="00E97D2C" w:rsidRDefault="00595F71" w:rsidP="00696E8F">
            <w:pPr>
              <w:rPr>
                <w:rFonts w:cs="Arial"/>
                <w:color w:val="000000"/>
              </w:rPr>
            </w:pPr>
            <w:r w:rsidRPr="00E97D2C">
              <w:rPr>
                <w:rFonts w:cs="Arial"/>
                <w:color w:val="000000"/>
              </w:rPr>
              <w:t>Bypass Lower Esophagus to Cutaneous with Synthetic Substitute, Via Natural or Artificial Opening Endoscopic</w:t>
            </w:r>
          </w:p>
        </w:tc>
      </w:tr>
      <w:tr w:rsidR="00595F71" w:rsidRPr="00E97D2C" w14:paraId="3E8172CC" w14:textId="77777777" w:rsidTr="00696E8F">
        <w:trPr>
          <w:trHeight w:val="300"/>
        </w:trPr>
        <w:tc>
          <w:tcPr>
            <w:tcW w:w="1872" w:type="dxa"/>
            <w:noWrap/>
            <w:vAlign w:val="center"/>
            <w:hideMark/>
          </w:tcPr>
          <w:p w14:paraId="15EC5A46" w14:textId="77777777" w:rsidR="00595F71" w:rsidRPr="00E97D2C" w:rsidRDefault="00595F71" w:rsidP="00696E8F">
            <w:pPr>
              <w:rPr>
                <w:rFonts w:cs="Arial"/>
                <w:color w:val="000000"/>
              </w:rPr>
            </w:pPr>
            <w:r w:rsidRPr="00E97D2C">
              <w:rPr>
                <w:rFonts w:cs="Arial"/>
                <w:color w:val="000000"/>
              </w:rPr>
              <w:t>0D138J6</w:t>
            </w:r>
          </w:p>
        </w:tc>
        <w:tc>
          <w:tcPr>
            <w:tcW w:w="7560" w:type="dxa"/>
            <w:noWrap/>
            <w:vAlign w:val="center"/>
            <w:hideMark/>
          </w:tcPr>
          <w:p w14:paraId="274FE142" w14:textId="77777777" w:rsidR="00595F71" w:rsidRPr="00E97D2C" w:rsidRDefault="00595F71" w:rsidP="00696E8F">
            <w:pPr>
              <w:rPr>
                <w:rFonts w:cs="Arial"/>
                <w:color w:val="000000"/>
              </w:rPr>
            </w:pPr>
            <w:r w:rsidRPr="00E97D2C">
              <w:rPr>
                <w:rFonts w:cs="Arial"/>
                <w:color w:val="000000"/>
              </w:rPr>
              <w:t>Bypass Lower Esophagus to Stomach with Synthetic Substitute, Via Natural or Artificial Opening Endoscopic</w:t>
            </w:r>
          </w:p>
        </w:tc>
      </w:tr>
      <w:tr w:rsidR="00595F71" w:rsidRPr="00E97D2C" w14:paraId="5C0563FC" w14:textId="77777777" w:rsidTr="00696E8F">
        <w:trPr>
          <w:trHeight w:val="300"/>
        </w:trPr>
        <w:tc>
          <w:tcPr>
            <w:tcW w:w="1872" w:type="dxa"/>
            <w:noWrap/>
            <w:vAlign w:val="center"/>
            <w:hideMark/>
          </w:tcPr>
          <w:p w14:paraId="071DE370" w14:textId="77777777" w:rsidR="00595F71" w:rsidRPr="00E97D2C" w:rsidRDefault="00595F71" w:rsidP="00696E8F">
            <w:pPr>
              <w:rPr>
                <w:rFonts w:cs="Arial"/>
                <w:color w:val="000000"/>
              </w:rPr>
            </w:pPr>
            <w:r w:rsidRPr="00E97D2C">
              <w:rPr>
                <w:rFonts w:cs="Arial"/>
                <w:color w:val="000000"/>
              </w:rPr>
              <w:lastRenderedPageBreak/>
              <w:t>0D138J9</w:t>
            </w:r>
          </w:p>
        </w:tc>
        <w:tc>
          <w:tcPr>
            <w:tcW w:w="7560" w:type="dxa"/>
            <w:noWrap/>
            <w:vAlign w:val="center"/>
            <w:hideMark/>
          </w:tcPr>
          <w:p w14:paraId="20AB05AC" w14:textId="77777777" w:rsidR="00595F71" w:rsidRPr="00E97D2C" w:rsidRDefault="00595F71" w:rsidP="00696E8F">
            <w:pPr>
              <w:rPr>
                <w:rFonts w:cs="Arial"/>
                <w:color w:val="000000"/>
              </w:rPr>
            </w:pPr>
            <w:r w:rsidRPr="00E97D2C">
              <w:rPr>
                <w:rFonts w:cs="Arial"/>
                <w:color w:val="000000"/>
              </w:rPr>
              <w:t>Bypass Lower Esophagus to Duodenum with Synthetic Substitute, Via Natural or Artificial Opening Endoscopic</w:t>
            </w:r>
          </w:p>
        </w:tc>
      </w:tr>
      <w:tr w:rsidR="00595F71" w:rsidRPr="00E97D2C" w14:paraId="632A8621" w14:textId="77777777" w:rsidTr="00696E8F">
        <w:trPr>
          <w:trHeight w:val="300"/>
        </w:trPr>
        <w:tc>
          <w:tcPr>
            <w:tcW w:w="1872" w:type="dxa"/>
            <w:noWrap/>
            <w:vAlign w:val="center"/>
            <w:hideMark/>
          </w:tcPr>
          <w:p w14:paraId="55D9A5D8" w14:textId="77777777" w:rsidR="00595F71" w:rsidRPr="00E97D2C" w:rsidRDefault="00595F71" w:rsidP="00696E8F">
            <w:pPr>
              <w:rPr>
                <w:rFonts w:cs="Arial"/>
                <w:color w:val="000000"/>
              </w:rPr>
            </w:pPr>
            <w:r w:rsidRPr="00E97D2C">
              <w:rPr>
                <w:rFonts w:cs="Arial"/>
                <w:color w:val="000000"/>
              </w:rPr>
              <w:t>0D138JA</w:t>
            </w:r>
          </w:p>
        </w:tc>
        <w:tc>
          <w:tcPr>
            <w:tcW w:w="7560" w:type="dxa"/>
            <w:noWrap/>
            <w:vAlign w:val="center"/>
            <w:hideMark/>
          </w:tcPr>
          <w:p w14:paraId="19BC2D82" w14:textId="77777777" w:rsidR="00595F71" w:rsidRPr="00E97D2C" w:rsidRDefault="00595F71" w:rsidP="00696E8F">
            <w:pPr>
              <w:rPr>
                <w:rFonts w:cs="Arial"/>
                <w:color w:val="000000"/>
              </w:rPr>
            </w:pPr>
            <w:r w:rsidRPr="00E97D2C">
              <w:rPr>
                <w:rFonts w:cs="Arial"/>
                <w:color w:val="000000"/>
              </w:rPr>
              <w:t>Bypass Lower Esophagus to Jejunum with Synthetic Substitute, Via Natural or Artificial Opening Endoscopic</w:t>
            </w:r>
          </w:p>
        </w:tc>
      </w:tr>
      <w:tr w:rsidR="00595F71" w:rsidRPr="00E97D2C" w14:paraId="041FEDDD" w14:textId="77777777" w:rsidTr="00696E8F">
        <w:trPr>
          <w:trHeight w:val="300"/>
        </w:trPr>
        <w:tc>
          <w:tcPr>
            <w:tcW w:w="1872" w:type="dxa"/>
            <w:noWrap/>
            <w:vAlign w:val="center"/>
            <w:hideMark/>
          </w:tcPr>
          <w:p w14:paraId="716878C7" w14:textId="77777777" w:rsidR="00595F71" w:rsidRPr="00E97D2C" w:rsidRDefault="00595F71" w:rsidP="00696E8F">
            <w:pPr>
              <w:rPr>
                <w:rFonts w:cs="Arial"/>
                <w:color w:val="000000"/>
              </w:rPr>
            </w:pPr>
            <w:r w:rsidRPr="00E97D2C">
              <w:rPr>
                <w:rFonts w:cs="Arial"/>
                <w:color w:val="000000"/>
              </w:rPr>
              <w:t>0D138JB</w:t>
            </w:r>
          </w:p>
        </w:tc>
        <w:tc>
          <w:tcPr>
            <w:tcW w:w="7560" w:type="dxa"/>
            <w:noWrap/>
            <w:vAlign w:val="center"/>
            <w:hideMark/>
          </w:tcPr>
          <w:p w14:paraId="4FEE4D7F" w14:textId="77777777" w:rsidR="00595F71" w:rsidRPr="00E97D2C" w:rsidRDefault="00595F71" w:rsidP="00696E8F">
            <w:pPr>
              <w:rPr>
                <w:rFonts w:cs="Arial"/>
                <w:color w:val="000000"/>
              </w:rPr>
            </w:pPr>
            <w:r w:rsidRPr="00E97D2C">
              <w:rPr>
                <w:rFonts w:cs="Arial"/>
                <w:color w:val="000000"/>
              </w:rPr>
              <w:t>Bypass Lower Esophagus to Ileum with Synthetic Substitute, Via Natural or Artificial Opening Endoscopic</w:t>
            </w:r>
          </w:p>
        </w:tc>
      </w:tr>
      <w:tr w:rsidR="00595F71" w:rsidRPr="00E97D2C" w14:paraId="410CC595" w14:textId="77777777" w:rsidTr="00696E8F">
        <w:trPr>
          <w:trHeight w:val="300"/>
        </w:trPr>
        <w:tc>
          <w:tcPr>
            <w:tcW w:w="1872" w:type="dxa"/>
            <w:noWrap/>
            <w:vAlign w:val="center"/>
            <w:hideMark/>
          </w:tcPr>
          <w:p w14:paraId="57F4D9E7" w14:textId="77777777" w:rsidR="00595F71" w:rsidRPr="00E97D2C" w:rsidRDefault="00595F71" w:rsidP="00696E8F">
            <w:pPr>
              <w:rPr>
                <w:rFonts w:cs="Arial"/>
                <w:color w:val="000000"/>
              </w:rPr>
            </w:pPr>
            <w:r w:rsidRPr="00E97D2C">
              <w:rPr>
                <w:rFonts w:cs="Arial"/>
                <w:color w:val="000000"/>
              </w:rPr>
              <w:t>0D138K4</w:t>
            </w:r>
          </w:p>
        </w:tc>
        <w:tc>
          <w:tcPr>
            <w:tcW w:w="7560" w:type="dxa"/>
            <w:noWrap/>
            <w:vAlign w:val="center"/>
            <w:hideMark/>
          </w:tcPr>
          <w:p w14:paraId="6758499C" w14:textId="77777777" w:rsidR="00595F71" w:rsidRPr="00E97D2C" w:rsidRDefault="00595F71" w:rsidP="00696E8F">
            <w:pPr>
              <w:rPr>
                <w:rFonts w:cs="Arial"/>
                <w:color w:val="000000"/>
              </w:rPr>
            </w:pPr>
            <w:r w:rsidRPr="00E97D2C">
              <w:rPr>
                <w:rFonts w:cs="Arial"/>
                <w:color w:val="000000"/>
              </w:rPr>
              <w:t xml:space="preserve">Bypass Lower Esophagus to Cutaneous with </w:t>
            </w:r>
            <w:proofErr w:type="spellStart"/>
            <w:r w:rsidRPr="00E97D2C">
              <w:rPr>
                <w:rFonts w:cs="Arial"/>
                <w:color w:val="000000"/>
              </w:rPr>
              <w:t>Nonautologous</w:t>
            </w:r>
            <w:proofErr w:type="spellEnd"/>
            <w:r w:rsidRPr="00E97D2C">
              <w:rPr>
                <w:rFonts w:cs="Arial"/>
                <w:color w:val="000000"/>
              </w:rPr>
              <w:t xml:space="preserve"> Tissue Substitute, Via Natural or Artificial Opening Endoscopic</w:t>
            </w:r>
          </w:p>
        </w:tc>
      </w:tr>
      <w:tr w:rsidR="00595F71" w:rsidRPr="00E97D2C" w14:paraId="1929B196" w14:textId="77777777" w:rsidTr="00696E8F">
        <w:trPr>
          <w:trHeight w:val="300"/>
        </w:trPr>
        <w:tc>
          <w:tcPr>
            <w:tcW w:w="1872" w:type="dxa"/>
            <w:noWrap/>
            <w:vAlign w:val="center"/>
            <w:hideMark/>
          </w:tcPr>
          <w:p w14:paraId="2204ABCA" w14:textId="77777777" w:rsidR="00595F71" w:rsidRPr="00E97D2C" w:rsidRDefault="00595F71" w:rsidP="00696E8F">
            <w:pPr>
              <w:rPr>
                <w:rFonts w:cs="Arial"/>
                <w:color w:val="000000"/>
              </w:rPr>
            </w:pPr>
            <w:r w:rsidRPr="00E97D2C">
              <w:rPr>
                <w:rFonts w:cs="Arial"/>
                <w:color w:val="000000"/>
              </w:rPr>
              <w:t>0D138K6</w:t>
            </w:r>
          </w:p>
        </w:tc>
        <w:tc>
          <w:tcPr>
            <w:tcW w:w="7560" w:type="dxa"/>
            <w:noWrap/>
            <w:vAlign w:val="center"/>
            <w:hideMark/>
          </w:tcPr>
          <w:p w14:paraId="283F22E0" w14:textId="77777777" w:rsidR="00595F71" w:rsidRPr="00E97D2C" w:rsidRDefault="00595F71" w:rsidP="00696E8F">
            <w:pPr>
              <w:rPr>
                <w:rFonts w:cs="Arial"/>
                <w:color w:val="000000"/>
              </w:rPr>
            </w:pPr>
            <w:r w:rsidRPr="00E97D2C">
              <w:rPr>
                <w:rFonts w:cs="Arial"/>
                <w:color w:val="000000"/>
              </w:rPr>
              <w:t xml:space="preserve">Bypass Lower Esophagus to Stomach with </w:t>
            </w:r>
            <w:proofErr w:type="spellStart"/>
            <w:r w:rsidRPr="00E97D2C">
              <w:rPr>
                <w:rFonts w:cs="Arial"/>
                <w:color w:val="000000"/>
              </w:rPr>
              <w:t>Nonautologous</w:t>
            </w:r>
            <w:proofErr w:type="spellEnd"/>
            <w:r w:rsidRPr="00E97D2C">
              <w:rPr>
                <w:rFonts w:cs="Arial"/>
                <w:color w:val="000000"/>
              </w:rPr>
              <w:t xml:space="preserve"> Tissue Substitute, Via Natural or Artificial Opening Endoscopic</w:t>
            </w:r>
          </w:p>
        </w:tc>
      </w:tr>
      <w:tr w:rsidR="00595F71" w:rsidRPr="00E97D2C" w14:paraId="364BF8A0" w14:textId="77777777" w:rsidTr="00696E8F">
        <w:trPr>
          <w:trHeight w:val="300"/>
        </w:trPr>
        <w:tc>
          <w:tcPr>
            <w:tcW w:w="1872" w:type="dxa"/>
            <w:noWrap/>
            <w:vAlign w:val="center"/>
            <w:hideMark/>
          </w:tcPr>
          <w:p w14:paraId="6F8E8288" w14:textId="77777777" w:rsidR="00595F71" w:rsidRPr="00E97D2C" w:rsidRDefault="00595F71" w:rsidP="00696E8F">
            <w:pPr>
              <w:rPr>
                <w:rFonts w:cs="Arial"/>
                <w:color w:val="000000"/>
              </w:rPr>
            </w:pPr>
            <w:r w:rsidRPr="00E97D2C">
              <w:rPr>
                <w:rFonts w:cs="Arial"/>
                <w:color w:val="000000"/>
              </w:rPr>
              <w:t>0D138K9</w:t>
            </w:r>
          </w:p>
        </w:tc>
        <w:tc>
          <w:tcPr>
            <w:tcW w:w="7560" w:type="dxa"/>
            <w:noWrap/>
            <w:vAlign w:val="center"/>
            <w:hideMark/>
          </w:tcPr>
          <w:p w14:paraId="4932A0B4" w14:textId="77777777" w:rsidR="00595F71" w:rsidRPr="00E97D2C" w:rsidRDefault="00595F71" w:rsidP="00696E8F">
            <w:pPr>
              <w:rPr>
                <w:rFonts w:cs="Arial"/>
                <w:color w:val="000000"/>
              </w:rPr>
            </w:pPr>
            <w:r w:rsidRPr="00E97D2C">
              <w:rPr>
                <w:rFonts w:cs="Arial"/>
                <w:color w:val="000000"/>
              </w:rPr>
              <w:t xml:space="preserve">Bypass Lower Esophagus to Duodenum with </w:t>
            </w:r>
            <w:proofErr w:type="spellStart"/>
            <w:r w:rsidRPr="00E97D2C">
              <w:rPr>
                <w:rFonts w:cs="Arial"/>
                <w:color w:val="000000"/>
              </w:rPr>
              <w:t>Nonautologous</w:t>
            </w:r>
            <w:proofErr w:type="spellEnd"/>
            <w:r w:rsidRPr="00E97D2C">
              <w:rPr>
                <w:rFonts w:cs="Arial"/>
                <w:color w:val="000000"/>
              </w:rPr>
              <w:t xml:space="preserve"> Tissue Substitute, Via Natural or Artificial Opening Endoscopic</w:t>
            </w:r>
          </w:p>
        </w:tc>
      </w:tr>
      <w:tr w:rsidR="00595F71" w:rsidRPr="00E97D2C" w14:paraId="66C6A25A" w14:textId="77777777" w:rsidTr="00696E8F">
        <w:trPr>
          <w:trHeight w:val="300"/>
        </w:trPr>
        <w:tc>
          <w:tcPr>
            <w:tcW w:w="1872" w:type="dxa"/>
            <w:noWrap/>
            <w:vAlign w:val="center"/>
            <w:hideMark/>
          </w:tcPr>
          <w:p w14:paraId="1B8DE6CC" w14:textId="77777777" w:rsidR="00595F71" w:rsidRPr="00E97D2C" w:rsidRDefault="00595F71" w:rsidP="00696E8F">
            <w:pPr>
              <w:rPr>
                <w:rFonts w:cs="Arial"/>
                <w:color w:val="000000"/>
              </w:rPr>
            </w:pPr>
            <w:r w:rsidRPr="00E97D2C">
              <w:rPr>
                <w:rFonts w:cs="Arial"/>
                <w:color w:val="000000"/>
              </w:rPr>
              <w:t>0D138KA</w:t>
            </w:r>
          </w:p>
        </w:tc>
        <w:tc>
          <w:tcPr>
            <w:tcW w:w="7560" w:type="dxa"/>
            <w:noWrap/>
            <w:vAlign w:val="center"/>
            <w:hideMark/>
          </w:tcPr>
          <w:p w14:paraId="2DDBDD54" w14:textId="77777777" w:rsidR="00595F71" w:rsidRPr="00E97D2C" w:rsidRDefault="00595F71" w:rsidP="00696E8F">
            <w:pPr>
              <w:rPr>
                <w:rFonts w:cs="Arial"/>
                <w:color w:val="000000"/>
              </w:rPr>
            </w:pPr>
            <w:r w:rsidRPr="00E97D2C">
              <w:rPr>
                <w:rFonts w:cs="Arial"/>
                <w:color w:val="000000"/>
              </w:rPr>
              <w:t xml:space="preserve">Bypass Lower Esophagus to Jejunum with </w:t>
            </w:r>
            <w:proofErr w:type="spellStart"/>
            <w:r w:rsidRPr="00E97D2C">
              <w:rPr>
                <w:rFonts w:cs="Arial"/>
                <w:color w:val="000000"/>
              </w:rPr>
              <w:t>Nonautologous</w:t>
            </w:r>
            <w:proofErr w:type="spellEnd"/>
            <w:r w:rsidRPr="00E97D2C">
              <w:rPr>
                <w:rFonts w:cs="Arial"/>
                <w:color w:val="000000"/>
              </w:rPr>
              <w:t xml:space="preserve"> Tissue Substitute, Via Natural or Artificial Opening Endoscopic</w:t>
            </w:r>
          </w:p>
        </w:tc>
      </w:tr>
      <w:tr w:rsidR="00595F71" w:rsidRPr="00E97D2C" w14:paraId="2E5AC448" w14:textId="77777777" w:rsidTr="00696E8F">
        <w:trPr>
          <w:trHeight w:val="300"/>
        </w:trPr>
        <w:tc>
          <w:tcPr>
            <w:tcW w:w="1872" w:type="dxa"/>
            <w:noWrap/>
            <w:vAlign w:val="center"/>
            <w:hideMark/>
          </w:tcPr>
          <w:p w14:paraId="6D4F316E" w14:textId="77777777" w:rsidR="00595F71" w:rsidRPr="00E97D2C" w:rsidRDefault="00595F71" w:rsidP="00696E8F">
            <w:pPr>
              <w:rPr>
                <w:rFonts w:cs="Arial"/>
                <w:color w:val="000000"/>
              </w:rPr>
            </w:pPr>
            <w:r w:rsidRPr="00E97D2C">
              <w:rPr>
                <w:rFonts w:cs="Arial"/>
                <w:color w:val="000000"/>
              </w:rPr>
              <w:t>0D138KB</w:t>
            </w:r>
          </w:p>
        </w:tc>
        <w:tc>
          <w:tcPr>
            <w:tcW w:w="7560" w:type="dxa"/>
            <w:noWrap/>
            <w:vAlign w:val="center"/>
            <w:hideMark/>
          </w:tcPr>
          <w:p w14:paraId="122847E5" w14:textId="77777777" w:rsidR="00595F71" w:rsidRPr="00E97D2C" w:rsidRDefault="00595F71" w:rsidP="00696E8F">
            <w:pPr>
              <w:rPr>
                <w:rFonts w:cs="Arial"/>
                <w:color w:val="000000"/>
              </w:rPr>
            </w:pPr>
            <w:r w:rsidRPr="00E97D2C">
              <w:rPr>
                <w:rFonts w:cs="Arial"/>
                <w:color w:val="000000"/>
              </w:rPr>
              <w:t xml:space="preserve">Bypass Lower Esophagus to Ileum with </w:t>
            </w:r>
            <w:proofErr w:type="spellStart"/>
            <w:r w:rsidRPr="00E97D2C">
              <w:rPr>
                <w:rFonts w:cs="Arial"/>
                <w:color w:val="000000"/>
              </w:rPr>
              <w:t>Nonautologous</w:t>
            </w:r>
            <w:proofErr w:type="spellEnd"/>
            <w:r w:rsidRPr="00E97D2C">
              <w:rPr>
                <w:rFonts w:cs="Arial"/>
                <w:color w:val="000000"/>
              </w:rPr>
              <w:t xml:space="preserve"> Tissue Substitute, Via Natural or Artificial Opening Endoscopic</w:t>
            </w:r>
          </w:p>
        </w:tc>
      </w:tr>
      <w:tr w:rsidR="00595F71" w:rsidRPr="00E97D2C" w14:paraId="68D24331" w14:textId="77777777" w:rsidTr="00696E8F">
        <w:trPr>
          <w:trHeight w:val="300"/>
        </w:trPr>
        <w:tc>
          <w:tcPr>
            <w:tcW w:w="1872" w:type="dxa"/>
            <w:noWrap/>
            <w:vAlign w:val="center"/>
            <w:hideMark/>
          </w:tcPr>
          <w:p w14:paraId="6B28B873" w14:textId="77777777" w:rsidR="00595F71" w:rsidRPr="00E97D2C" w:rsidRDefault="00595F71" w:rsidP="00696E8F">
            <w:pPr>
              <w:rPr>
                <w:rFonts w:cs="Arial"/>
                <w:color w:val="000000"/>
              </w:rPr>
            </w:pPr>
            <w:r w:rsidRPr="00E97D2C">
              <w:rPr>
                <w:rFonts w:cs="Arial"/>
                <w:color w:val="000000"/>
              </w:rPr>
              <w:t>0D138Z4</w:t>
            </w:r>
          </w:p>
        </w:tc>
        <w:tc>
          <w:tcPr>
            <w:tcW w:w="7560" w:type="dxa"/>
            <w:noWrap/>
            <w:vAlign w:val="center"/>
            <w:hideMark/>
          </w:tcPr>
          <w:p w14:paraId="1438F9C2" w14:textId="77777777" w:rsidR="00595F71" w:rsidRPr="00E97D2C" w:rsidRDefault="00595F71" w:rsidP="00696E8F">
            <w:pPr>
              <w:rPr>
                <w:rFonts w:cs="Arial"/>
                <w:color w:val="000000"/>
              </w:rPr>
            </w:pPr>
            <w:r w:rsidRPr="00E97D2C">
              <w:rPr>
                <w:rFonts w:cs="Arial"/>
                <w:color w:val="000000"/>
              </w:rPr>
              <w:t>Bypass Lower Esophagus to Cutaneous, Via Natural or Artificial Opening Endoscopic</w:t>
            </w:r>
          </w:p>
        </w:tc>
      </w:tr>
      <w:tr w:rsidR="00595F71" w:rsidRPr="00E97D2C" w14:paraId="123D78AC" w14:textId="77777777" w:rsidTr="00696E8F">
        <w:trPr>
          <w:trHeight w:val="300"/>
        </w:trPr>
        <w:tc>
          <w:tcPr>
            <w:tcW w:w="1872" w:type="dxa"/>
            <w:noWrap/>
            <w:vAlign w:val="center"/>
            <w:hideMark/>
          </w:tcPr>
          <w:p w14:paraId="6568A616" w14:textId="77777777" w:rsidR="00595F71" w:rsidRPr="00E97D2C" w:rsidRDefault="00595F71" w:rsidP="00696E8F">
            <w:pPr>
              <w:rPr>
                <w:rFonts w:cs="Arial"/>
                <w:color w:val="000000"/>
              </w:rPr>
            </w:pPr>
            <w:r w:rsidRPr="00E97D2C">
              <w:rPr>
                <w:rFonts w:cs="Arial"/>
                <w:color w:val="000000"/>
              </w:rPr>
              <w:t>0D138Z6</w:t>
            </w:r>
          </w:p>
        </w:tc>
        <w:tc>
          <w:tcPr>
            <w:tcW w:w="7560" w:type="dxa"/>
            <w:noWrap/>
            <w:vAlign w:val="center"/>
            <w:hideMark/>
          </w:tcPr>
          <w:p w14:paraId="7AB87A6C" w14:textId="77777777" w:rsidR="00595F71" w:rsidRPr="00E97D2C" w:rsidRDefault="00595F71" w:rsidP="00696E8F">
            <w:pPr>
              <w:rPr>
                <w:rFonts w:cs="Arial"/>
                <w:color w:val="000000"/>
              </w:rPr>
            </w:pPr>
            <w:r w:rsidRPr="00E97D2C">
              <w:rPr>
                <w:rFonts w:cs="Arial"/>
                <w:color w:val="000000"/>
              </w:rPr>
              <w:t>Bypass Lower Esophagus to Stomach, Via Natural or Artificial Opening Endoscopic</w:t>
            </w:r>
          </w:p>
        </w:tc>
      </w:tr>
      <w:tr w:rsidR="00595F71" w:rsidRPr="00E97D2C" w14:paraId="087C6ED9" w14:textId="77777777" w:rsidTr="00696E8F">
        <w:trPr>
          <w:trHeight w:val="300"/>
        </w:trPr>
        <w:tc>
          <w:tcPr>
            <w:tcW w:w="1872" w:type="dxa"/>
            <w:noWrap/>
            <w:vAlign w:val="center"/>
            <w:hideMark/>
          </w:tcPr>
          <w:p w14:paraId="5B4B26A4" w14:textId="77777777" w:rsidR="00595F71" w:rsidRPr="00E97D2C" w:rsidRDefault="00595F71" w:rsidP="00696E8F">
            <w:pPr>
              <w:rPr>
                <w:rFonts w:cs="Arial"/>
                <w:color w:val="000000"/>
              </w:rPr>
            </w:pPr>
            <w:r w:rsidRPr="00E97D2C">
              <w:rPr>
                <w:rFonts w:cs="Arial"/>
                <w:color w:val="000000"/>
              </w:rPr>
              <w:t>0D138Z9</w:t>
            </w:r>
          </w:p>
        </w:tc>
        <w:tc>
          <w:tcPr>
            <w:tcW w:w="7560" w:type="dxa"/>
            <w:noWrap/>
            <w:vAlign w:val="center"/>
            <w:hideMark/>
          </w:tcPr>
          <w:p w14:paraId="6D163858" w14:textId="77777777" w:rsidR="00595F71" w:rsidRPr="00E97D2C" w:rsidRDefault="00595F71" w:rsidP="00696E8F">
            <w:pPr>
              <w:rPr>
                <w:rFonts w:cs="Arial"/>
                <w:color w:val="000000"/>
              </w:rPr>
            </w:pPr>
            <w:r w:rsidRPr="00E97D2C">
              <w:rPr>
                <w:rFonts w:cs="Arial"/>
                <w:color w:val="000000"/>
              </w:rPr>
              <w:t>Bypass Lower Esophagus to Duodenum, Via Natural or Artificial Opening Endoscopic</w:t>
            </w:r>
          </w:p>
        </w:tc>
      </w:tr>
      <w:tr w:rsidR="00595F71" w:rsidRPr="00E97D2C" w14:paraId="2AC6C9D1" w14:textId="77777777" w:rsidTr="00696E8F">
        <w:trPr>
          <w:trHeight w:val="300"/>
        </w:trPr>
        <w:tc>
          <w:tcPr>
            <w:tcW w:w="1872" w:type="dxa"/>
            <w:noWrap/>
            <w:vAlign w:val="center"/>
            <w:hideMark/>
          </w:tcPr>
          <w:p w14:paraId="28B53D72" w14:textId="77777777" w:rsidR="00595F71" w:rsidRPr="00E97D2C" w:rsidRDefault="00595F71" w:rsidP="00696E8F">
            <w:pPr>
              <w:rPr>
                <w:rFonts w:cs="Arial"/>
                <w:color w:val="000000"/>
              </w:rPr>
            </w:pPr>
            <w:r w:rsidRPr="00E97D2C">
              <w:rPr>
                <w:rFonts w:cs="Arial"/>
                <w:color w:val="000000"/>
              </w:rPr>
              <w:t>0D138ZA</w:t>
            </w:r>
          </w:p>
        </w:tc>
        <w:tc>
          <w:tcPr>
            <w:tcW w:w="7560" w:type="dxa"/>
            <w:noWrap/>
            <w:vAlign w:val="center"/>
            <w:hideMark/>
          </w:tcPr>
          <w:p w14:paraId="4C03043F" w14:textId="77777777" w:rsidR="00595F71" w:rsidRPr="00E97D2C" w:rsidRDefault="00595F71" w:rsidP="00696E8F">
            <w:pPr>
              <w:rPr>
                <w:rFonts w:cs="Arial"/>
                <w:color w:val="000000"/>
              </w:rPr>
            </w:pPr>
            <w:r w:rsidRPr="00E97D2C">
              <w:rPr>
                <w:rFonts w:cs="Arial"/>
                <w:color w:val="000000"/>
              </w:rPr>
              <w:t>Bypass Lower Esophagus to Jejunum, Via Natural or Artificial Opening Endoscopic</w:t>
            </w:r>
          </w:p>
        </w:tc>
      </w:tr>
      <w:tr w:rsidR="00595F71" w:rsidRPr="00E97D2C" w14:paraId="447CA33E" w14:textId="77777777" w:rsidTr="00696E8F">
        <w:trPr>
          <w:trHeight w:val="300"/>
        </w:trPr>
        <w:tc>
          <w:tcPr>
            <w:tcW w:w="1872" w:type="dxa"/>
            <w:noWrap/>
            <w:vAlign w:val="center"/>
            <w:hideMark/>
          </w:tcPr>
          <w:p w14:paraId="2739241B" w14:textId="77777777" w:rsidR="00595F71" w:rsidRPr="00E97D2C" w:rsidRDefault="00595F71" w:rsidP="00696E8F">
            <w:pPr>
              <w:rPr>
                <w:rFonts w:cs="Arial"/>
                <w:color w:val="000000"/>
              </w:rPr>
            </w:pPr>
            <w:r w:rsidRPr="00E97D2C">
              <w:rPr>
                <w:rFonts w:cs="Arial"/>
                <w:color w:val="000000"/>
              </w:rPr>
              <w:t>0D138ZB</w:t>
            </w:r>
          </w:p>
        </w:tc>
        <w:tc>
          <w:tcPr>
            <w:tcW w:w="7560" w:type="dxa"/>
            <w:noWrap/>
            <w:vAlign w:val="center"/>
            <w:hideMark/>
          </w:tcPr>
          <w:p w14:paraId="562AD6BB" w14:textId="77777777" w:rsidR="00595F71" w:rsidRPr="00E97D2C" w:rsidRDefault="00595F71" w:rsidP="00696E8F">
            <w:pPr>
              <w:rPr>
                <w:rFonts w:cs="Arial"/>
                <w:color w:val="000000"/>
              </w:rPr>
            </w:pPr>
            <w:r w:rsidRPr="00E97D2C">
              <w:rPr>
                <w:rFonts w:cs="Arial"/>
                <w:color w:val="000000"/>
              </w:rPr>
              <w:t>Bypass Lower Esophagus to Ileum, Via Natural or Artificial Opening Endoscopic</w:t>
            </w:r>
          </w:p>
        </w:tc>
      </w:tr>
      <w:tr w:rsidR="00595F71" w:rsidRPr="00E97D2C" w14:paraId="4AD3DF6B" w14:textId="77777777" w:rsidTr="00696E8F">
        <w:trPr>
          <w:trHeight w:val="300"/>
        </w:trPr>
        <w:tc>
          <w:tcPr>
            <w:tcW w:w="1872" w:type="dxa"/>
            <w:noWrap/>
            <w:vAlign w:val="center"/>
            <w:hideMark/>
          </w:tcPr>
          <w:p w14:paraId="7C8F5D28" w14:textId="77777777" w:rsidR="00595F71" w:rsidRPr="00E97D2C" w:rsidRDefault="00595F71" w:rsidP="00696E8F">
            <w:pPr>
              <w:rPr>
                <w:rFonts w:cs="Arial"/>
                <w:color w:val="000000"/>
              </w:rPr>
            </w:pPr>
            <w:r w:rsidRPr="00E97D2C">
              <w:rPr>
                <w:rFonts w:cs="Arial"/>
                <w:color w:val="000000"/>
              </w:rPr>
              <w:t>0D15074</w:t>
            </w:r>
          </w:p>
        </w:tc>
        <w:tc>
          <w:tcPr>
            <w:tcW w:w="7560" w:type="dxa"/>
            <w:noWrap/>
            <w:vAlign w:val="center"/>
            <w:hideMark/>
          </w:tcPr>
          <w:p w14:paraId="22F5CD5B" w14:textId="77777777" w:rsidR="00595F71" w:rsidRPr="00E97D2C" w:rsidRDefault="00595F71" w:rsidP="00696E8F">
            <w:pPr>
              <w:rPr>
                <w:rFonts w:cs="Arial"/>
                <w:color w:val="000000"/>
              </w:rPr>
            </w:pPr>
            <w:r w:rsidRPr="00E97D2C">
              <w:rPr>
                <w:rFonts w:cs="Arial"/>
                <w:color w:val="000000"/>
              </w:rPr>
              <w:t>Bypass Esophagus to Cutaneous with Autologous Tissue Substitute, Open Approach</w:t>
            </w:r>
          </w:p>
        </w:tc>
      </w:tr>
      <w:tr w:rsidR="00595F71" w:rsidRPr="00E97D2C" w14:paraId="7B90BC42" w14:textId="77777777" w:rsidTr="00696E8F">
        <w:trPr>
          <w:trHeight w:val="300"/>
        </w:trPr>
        <w:tc>
          <w:tcPr>
            <w:tcW w:w="1872" w:type="dxa"/>
            <w:noWrap/>
            <w:vAlign w:val="center"/>
            <w:hideMark/>
          </w:tcPr>
          <w:p w14:paraId="3D2EF106" w14:textId="77777777" w:rsidR="00595F71" w:rsidRPr="00E97D2C" w:rsidRDefault="00595F71" w:rsidP="00696E8F">
            <w:pPr>
              <w:rPr>
                <w:rFonts w:cs="Arial"/>
                <w:color w:val="000000"/>
              </w:rPr>
            </w:pPr>
            <w:r w:rsidRPr="00E97D2C">
              <w:rPr>
                <w:rFonts w:cs="Arial"/>
                <w:color w:val="000000"/>
              </w:rPr>
              <w:t>0D15076</w:t>
            </w:r>
          </w:p>
        </w:tc>
        <w:tc>
          <w:tcPr>
            <w:tcW w:w="7560" w:type="dxa"/>
            <w:noWrap/>
            <w:vAlign w:val="center"/>
            <w:hideMark/>
          </w:tcPr>
          <w:p w14:paraId="4CE15543" w14:textId="77777777" w:rsidR="00595F71" w:rsidRPr="00E97D2C" w:rsidRDefault="00595F71" w:rsidP="00696E8F">
            <w:pPr>
              <w:rPr>
                <w:rFonts w:cs="Arial"/>
                <w:color w:val="000000"/>
              </w:rPr>
            </w:pPr>
            <w:r w:rsidRPr="00E97D2C">
              <w:rPr>
                <w:rFonts w:cs="Arial"/>
                <w:color w:val="000000"/>
              </w:rPr>
              <w:t>Bypass Esophagus to Stomach with Autologous Tissue Substitute, Open Approach</w:t>
            </w:r>
          </w:p>
        </w:tc>
      </w:tr>
      <w:tr w:rsidR="00595F71" w:rsidRPr="00E97D2C" w14:paraId="7E809D50" w14:textId="77777777" w:rsidTr="00696E8F">
        <w:trPr>
          <w:trHeight w:val="300"/>
        </w:trPr>
        <w:tc>
          <w:tcPr>
            <w:tcW w:w="1872" w:type="dxa"/>
            <w:noWrap/>
            <w:vAlign w:val="center"/>
            <w:hideMark/>
          </w:tcPr>
          <w:p w14:paraId="7A9336C5" w14:textId="77777777" w:rsidR="00595F71" w:rsidRPr="00E97D2C" w:rsidRDefault="00595F71" w:rsidP="00696E8F">
            <w:pPr>
              <w:rPr>
                <w:rFonts w:cs="Arial"/>
                <w:color w:val="000000"/>
              </w:rPr>
            </w:pPr>
            <w:r w:rsidRPr="00E97D2C">
              <w:rPr>
                <w:rFonts w:cs="Arial"/>
                <w:color w:val="000000"/>
              </w:rPr>
              <w:t>0D15079</w:t>
            </w:r>
          </w:p>
        </w:tc>
        <w:tc>
          <w:tcPr>
            <w:tcW w:w="7560" w:type="dxa"/>
            <w:noWrap/>
            <w:vAlign w:val="center"/>
            <w:hideMark/>
          </w:tcPr>
          <w:p w14:paraId="7CA91B13" w14:textId="77777777" w:rsidR="00595F71" w:rsidRPr="00E97D2C" w:rsidRDefault="00595F71" w:rsidP="00696E8F">
            <w:pPr>
              <w:rPr>
                <w:rFonts w:cs="Arial"/>
                <w:color w:val="000000"/>
              </w:rPr>
            </w:pPr>
            <w:r w:rsidRPr="00E97D2C">
              <w:rPr>
                <w:rFonts w:cs="Arial"/>
                <w:color w:val="000000"/>
              </w:rPr>
              <w:t>Bypass Esophagus to Duodenum with Autologous Tissue Substitute, Open Approach</w:t>
            </w:r>
          </w:p>
        </w:tc>
      </w:tr>
      <w:tr w:rsidR="00595F71" w:rsidRPr="00E97D2C" w14:paraId="37A2C8B1" w14:textId="77777777" w:rsidTr="00696E8F">
        <w:trPr>
          <w:trHeight w:val="300"/>
        </w:trPr>
        <w:tc>
          <w:tcPr>
            <w:tcW w:w="1872" w:type="dxa"/>
            <w:noWrap/>
            <w:vAlign w:val="center"/>
            <w:hideMark/>
          </w:tcPr>
          <w:p w14:paraId="271FF82E" w14:textId="77777777" w:rsidR="00595F71" w:rsidRPr="00E97D2C" w:rsidRDefault="00595F71" w:rsidP="00696E8F">
            <w:pPr>
              <w:rPr>
                <w:rFonts w:cs="Arial"/>
                <w:color w:val="000000"/>
              </w:rPr>
            </w:pPr>
            <w:r w:rsidRPr="00E97D2C">
              <w:rPr>
                <w:rFonts w:cs="Arial"/>
                <w:color w:val="000000"/>
              </w:rPr>
              <w:t>0D1507A</w:t>
            </w:r>
          </w:p>
        </w:tc>
        <w:tc>
          <w:tcPr>
            <w:tcW w:w="7560" w:type="dxa"/>
            <w:noWrap/>
            <w:vAlign w:val="center"/>
            <w:hideMark/>
          </w:tcPr>
          <w:p w14:paraId="1080C8C4" w14:textId="77777777" w:rsidR="00595F71" w:rsidRPr="00E97D2C" w:rsidRDefault="00595F71" w:rsidP="00696E8F">
            <w:pPr>
              <w:rPr>
                <w:rFonts w:cs="Arial"/>
                <w:color w:val="000000"/>
              </w:rPr>
            </w:pPr>
            <w:r w:rsidRPr="00E97D2C">
              <w:rPr>
                <w:rFonts w:cs="Arial"/>
                <w:color w:val="000000"/>
              </w:rPr>
              <w:t>Bypass Esophagus to Jejunum with Autologous Tissue Substitute, Open Approach</w:t>
            </w:r>
          </w:p>
        </w:tc>
      </w:tr>
      <w:tr w:rsidR="00595F71" w:rsidRPr="00E97D2C" w14:paraId="7C5B66EA" w14:textId="77777777" w:rsidTr="00696E8F">
        <w:trPr>
          <w:trHeight w:val="300"/>
        </w:trPr>
        <w:tc>
          <w:tcPr>
            <w:tcW w:w="1872" w:type="dxa"/>
            <w:noWrap/>
            <w:vAlign w:val="center"/>
            <w:hideMark/>
          </w:tcPr>
          <w:p w14:paraId="7AF9FEB2" w14:textId="77777777" w:rsidR="00595F71" w:rsidRPr="00E97D2C" w:rsidRDefault="00595F71" w:rsidP="00696E8F">
            <w:pPr>
              <w:rPr>
                <w:rFonts w:cs="Arial"/>
                <w:color w:val="000000"/>
              </w:rPr>
            </w:pPr>
            <w:r w:rsidRPr="00E97D2C">
              <w:rPr>
                <w:rFonts w:cs="Arial"/>
                <w:color w:val="000000"/>
              </w:rPr>
              <w:t>0D1507B</w:t>
            </w:r>
          </w:p>
        </w:tc>
        <w:tc>
          <w:tcPr>
            <w:tcW w:w="7560" w:type="dxa"/>
            <w:noWrap/>
            <w:vAlign w:val="center"/>
            <w:hideMark/>
          </w:tcPr>
          <w:p w14:paraId="63ACEF0B" w14:textId="77777777" w:rsidR="00595F71" w:rsidRPr="00E97D2C" w:rsidRDefault="00595F71" w:rsidP="00696E8F">
            <w:pPr>
              <w:rPr>
                <w:rFonts w:cs="Arial"/>
                <w:color w:val="000000"/>
              </w:rPr>
            </w:pPr>
            <w:r w:rsidRPr="00E97D2C">
              <w:rPr>
                <w:rFonts w:cs="Arial"/>
                <w:color w:val="000000"/>
              </w:rPr>
              <w:t>Bypass Esophagus to Ileum with Autologous Tissue Substitute, Open Approach</w:t>
            </w:r>
          </w:p>
        </w:tc>
      </w:tr>
      <w:tr w:rsidR="00595F71" w:rsidRPr="00E97D2C" w14:paraId="5EF8BFDC" w14:textId="77777777" w:rsidTr="00696E8F">
        <w:trPr>
          <w:trHeight w:val="300"/>
        </w:trPr>
        <w:tc>
          <w:tcPr>
            <w:tcW w:w="1872" w:type="dxa"/>
            <w:noWrap/>
            <w:vAlign w:val="center"/>
            <w:hideMark/>
          </w:tcPr>
          <w:p w14:paraId="59880AC1" w14:textId="77777777" w:rsidR="00595F71" w:rsidRPr="00E97D2C" w:rsidRDefault="00595F71" w:rsidP="00696E8F">
            <w:pPr>
              <w:rPr>
                <w:rFonts w:cs="Arial"/>
                <w:color w:val="000000"/>
              </w:rPr>
            </w:pPr>
            <w:r w:rsidRPr="00E97D2C">
              <w:rPr>
                <w:rFonts w:cs="Arial"/>
                <w:color w:val="000000"/>
              </w:rPr>
              <w:t>0D150J4</w:t>
            </w:r>
          </w:p>
        </w:tc>
        <w:tc>
          <w:tcPr>
            <w:tcW w:w="7560" w:type="dxa"/>
            <w:noWrap/>
            <w:vAlign w:val="center"/>
            <w:hideMark/>
          </w:tcPr>
          <w:p w14:paraId="53116FBE" w14:textId="77777777" w:rsidR="00595F71" w:rsidRPr="00E97D2C" w:rsidRDefault="00595F71" w:rsidP="00696E8F">
            <w:pPr>
              <w:rPr>
                <w:rFonts w:cs="Arial"/>
                <w:color w:val="000000"/>
              </w:rPr>
            </w:pPr>
            <w:r w:rsidRPr="00E97D2C">
              <w:rPr>
                <w:rFonts w:cs="Arial"/>
                <w:color w:val="000000"/>
              </w:rPr>
              <w:t>Bypass Esophagus to Cutaneous with Synthetic Substitute, Open Approach</w:t>
            </w:r>
          </w:p>
        </w:tc>
      </w:tr>
      <w:tr w:rsidR="00595F71" w:rsidRPr="00E97D2C" w14:paraId="7C34D746" w14:textId="77777777" w:rsidTr="00696E8F">
        <w:trPr>
          <w:trHeight w:val="300"/>
        </w:trPr>
        <w:tc>
          <w:tcPr>
            <w:tcW w:w="1872" w:type="dxa"/>
            <w:noWrap/>
            <w:vAlign w:val="center"/>
            <w:hideMark/>
          </w:tcPr>
          <w:p w14:paraId="07E55416" w14:textId="77777777" w:rsidR="00595F71" w:rsidRPr="00E97D2C" w:rsidRDefault="00595F71" w:rsidP="00696E8F">
            <w:pPr>
              <w:rPr>
                <w:rFonts w:cs="Arial"/>
                <w:color w:val="000000"/>
              </w:rPr>
            </w:pPr>
            <w:r w:rsidRPr="00E97D2C">
              <w:rPr>
                <w:rFonts w:cs="Arial"/>
                <w:color w:val="000000"/>
              </w:rPr>
              <w:t>0D150J6</w:t>
            </w:r>
          </w:p>
        </w:tc>
        <w:tc>
          <w:tcPr>
            <w:tcW w:w="7560" w:type="dxa"/>
            <w:noWrap/>
            <w:vAlign w:val="center"/>
            <w:hideMark/>
          </w:tcPr>
          <w:p w14:paraId="03D77875" w14:textId="77777777" w:rsidR="00595F71" w:rsidRPr="00E97D2C" w:rsidRDefault="00595F71" w:rsidP="00696E8F">
            <w:pPr>
              <w:rPr>
                <w:rFonts w:cs="Arial"/>
                <w:color w:val="000000"/>
              </w:rPr>
            </w:pPr>
            <w:r w:rsidRPr="00E97D2C">
              <w:rPr>
                <w:rFonts w:cs="Arial"/>
                <w:color w:val="000000"/>
              </w:rPr>
              <w:t>Bypass Esophagus to Stomach with Synthetic Substitute, Open Approach</w:t>
            </w:r>
          </w:p>
        </w:tc>
      </w:tr>
      <w:tr w:rsidR="00595F71" w:rsidRPr="00E97D2C" w14:paraId="15D6002B" w14:textId="77777777" w:rsidTr="00696E8F">
        <w:trPr>
          <w:trHeight w:val="300"/>
        </w:trPr>
        <w:tc>
          <w:tcPr>
            <w:tcW w:w="1872" w:type="dxa"/>
            <w:noWrap/>
            <w:vAlign w:val="center"/>
            <w:hideMark/>
          </w:tcPr>
          <w:p w14:paraId="1233902B" w14:textId="77777777" w:rsidR="00595F71" w:rsidRPr="00E97D2C" w:rsidRDefault="00595F71" w:rsidP="00696E8F">
            <w:pPr>
              <w:rPr>
                <w:rFonts w:cs="Arial"/>
                <w:color w:val="000000"/>
              </w:rPr>
            </w:pPr>
            <w:r w:rsidRPr="00E97D2C">
              <w:rPr>
                <w:rFonts w:cs="Arial"/>
                <w:color w:val="000000"/>
              </w:rPr>
              <w:t>0D150J9</w:t>
            </w:r>
          </w:p>
        </w:tc>
        <w:tc>
          <w:tcPr>
            <w:tcW w:w="7560" w:type="dxa"/>
            <w:noWrap/>
            <w:vAlign w:val="center"/>
            <w:hideMark/>
          </w:tcPr>
          <w:p w14:paraId="5F2E7F49" w14:textId="77777777" w:rsidR="00595F71" w:rsidRPr="00E97D2C" w:rsidRDefault="00595F71" w:rsidP="00696E8F">
            <w:pPr>
              <w:rPr>
                <w:rFonts w:cs="Arial"/>
                <w:color w:val="000000"/>
              </w:rPr>
            </w:pPr>
            <w:r w:rsidRPr="00E97D2C">
              <w:rPr>
                <w:rFonts w:cs="Arial"/>
                <w:color w:val="000000"/>
              </w:rPr>
              <w:t>Bypass Esophagus to Duodenum with Synthetic Substitute, Open Approach</w:t>
            </w:r>
          </w:p>
        </w:tc>
      </w:tr>
      <w:tr w:rsidR="00595F71" w:rsidRPr="00E97D2C" w14:paraId="1371614B" w14:textId="77777777" w:rsidTr="00696E8F">
        <w:trPr>
          <w:trHeight w:val="300"/>
        </w:trPr>
        <w:tc>
          <w:tcPr>
            <w:tcW w:w="1872" w:type="dxa"/>
            <w:noWrap/>
            <w:vAlign w:val="center"/>
            <w:hideMark/>
          </w:tcPr>
          <w:p w14:paraId="4DD133A2" w14:textId="77777777" w:rsidR="00595F71" w:rsidRPr="00E97D2C" w:rsidRDefault="00595F71" w:rsidP="00696E8F">
            <w:pPr>
              <w:rPr>
                <w:rFonts w:cs="Arial"/>
                <w:color w:val="000000"/>
              </w:rPr>
            </w:pPr>
            <w:r w:rsidRPr="00E97D2C">
              <w:rPr>
                <w:rFonts w:cs="Arial"/>
                <w:color w:val="000000"/>
              </w:rPr>
              <w:t>0D150JA</w:t>
            </w:r>
          </w:p>
        </w:tc>
        <w:tc>
          <w:tcPr>
            <w:tcW w:w="7560" w:type="dxa"/>
            <w:noWrap/>
            <w:vAlign w:val="center"/>
            <w:hideMark/>
          </w:tcPr>
          <w:p w14:paraId="6DB6A8AA" w14:textId="77777777" w:rsidR="00595F71" w:rsidRPr="00E97D2C" w:rsidRDefault="00595F71" w:rsidP="00696E8F">
            <w:pPr>
              <w:rPr>
                <w:rFonts w:cs="Arial"/>
                <w:color w:val="000000"/>
              </w:rPr>
            </w:pPr>
            <w:r w:rsidRPr="00E97D2C">
              <w:rPr>
                <w:rFonts w:cs="Arial"/>
                <w:color w:val="000000"/>
              </w:rPr>
              <w:t>Bypass Esophagus to Jejunum with Synthetic Substitute, Open Approach</w:t>
            </w:r>
          </w:p>
        </w:tc>
      </w:tr>
      <w:tr w:rsidR="00595F71" w:rsidRPr="00E97D2C" w14:paraId="5AFCC70A" w14:textId="77777777" w:rsidTr="00696E8F">
        <w:trPr>
          <w:trHeight w:val="300"/>
        </w:trPr>
        <w:tc>
          <w:tcPr>
            <w:tcW w:w="1872" w:type="dxa"/>
            <w:noWrap/>
            <w:vAlign w:val="center"/>
            <w:hideMark/>
          </w:tcPr>
          <w:p w14:paraId="7FAE447F" w14:textId="77777777" w:rsidR="00595F71" w:rsidRPr="00E97D2C" w:rsidRDefault="00595F71" w:rsidP="00696E8F">
            <w:pPr>
              <w:rPr>
                <w:rFonts w:cs="Arial"/>
                <w:color w:val="000000"/>
              </w:rPr>
            </w:pPr>
            <w:r w:rsidRPr="00E97D2C">
              <w:rPr>
                <w:rFonts w:cs="Arial"/>
                <w:color w:val="000000"/>
              </w:rPr>
              <w:t>0D150JB</w:t>
            </w:r>
          </w:p>
        </w:tc>
        <w:tc>
          <w:tcPr>
            <w:tcW w:w="7560" w:type="dxa"/>
            <w:noWrap/>
            <w:vAlign w:val="center"/>
            <w:hideMark/>
          </w:tcPr>
          <w:p w14:paraId="5B86BC90" w14:textId="77777777" w:rsidR="00595F71" w:rsidRPr="00E97D2C" w:rsidRDefault="00595F71" w:rsidP="00696E8F">
            <w:pPr>
              <w:rPr>
                <w:rFonts w:cs="Arial"/>
                <w:color w:val="000000"/>
              </w:rPr>
            </w:pPr>
            <w:r w:rsidRPr="00E97D2C">
              <w:rPr>
                <w:rFonts w:cs="Arial"/>
                <w:color w:val="000000"/>
              </w:rPr>
              <w:t>Bypass Esophagus to Ileum with Synthetic Substitute, Open Approach</w:t>
            </w:r>
          </w:p>
        </w:tc>
      </w:tr>
      <w:tr w:rsidR="00595F71" w:rsidRPr="00E97D2C" w14:paraId="07F6393E" w14:textId="77777777" w:rsidTr="00696E8F">
        <w:trPr>
          <w:trHeight w:val="300"/>
        </w:trPr>
        <w:tc>
          <w:tcPr>
            <w:tcW w:w="1872" w:type="dxa"/>
            <w:noWrap/>
            <w:vAlign w:val="center"/>
            <w:hideMark/>
          </w:tcPr>
          <w:p w14:paraId="2E6CA599" w14:textId="77777777" w:rsidR="00595F71" w:rsidRPr="00E97D2C" w:rsidRDefault="00595F71" w:rsidP="00696E8F">
            <w:pPr>
              <w:rPr>
                <w:rFonts w:cs="Arial"/>
                <w:color w:val="000000"/>
              </w:rPr>
            </w:pPr>
            <w:r w:rsidRPr="00E97D2C">
              <w:rPr>
                <w:rFonts w:cs="Arial"/>
                <w:color w:val="000000"/>
              </w:rPr>
              <w:t>0D150K4</w:t>
            </w:r>
          </w:p>
        </w:tc>
        <w:tc>
          <w:tcPr>
            <w:tcW w:w="7560" w:type="dxa"/>
            <w:noWrap/>
            <w:vAlign w:val="center"/>
            <w:hideMark/>
          </w:tcPr>
          <w:p w14:paraId="1919A5B1" w14:textId="77777777" w:rsidR="00595F71" w:rsidRPr="00E97D2C" w:rsidRDefault="00595F71" w:rsidP="00696E8F">
            <w:pPr>
              <w:rPr>
                <w:rFonts w:cs="Arial"/>
                <w:color w:val="000000"/>
              </w:rPr>
            </w:pPr>
            <w:r w:rsidRPr="00E97D2C">
              <w:rPr>
                <w:rFonts w:cs="Arial"/>
                <w:color w:val="000000"/>
              </w:rPr>
              <w:t xml:space="preserve">Bypass Esophagus to Cutaneous with </w:t>
            </w:r>
            <w:proofErr w:type="spellStart"/>
            <w:r w:rsidRPr="00E97D2C">
              <w:rPr>
                <w:rFonts w:cs="Arial"/>
                <w:color w:val="000000"/>
              </w:rPr>
              <w:t>Nonautologous</w:t>
            </w:r>
            <w:proofErr w:type="spellEnd"/>
            <w:r w:rsidRPr="00E97D2C">
              <w:rPr>
                <w:rFonts w:cs="Arial"/>
                <w:color w:val="000000"/>
              </w:rPr>
              <w:t xml:space="preserve"> Tissue Substitute, Open Approach</w:t>
            </w:r>
          </w:p>
        </w:tc>
      </w:tr>
      <w:tr w:rsidR="00595F71" w:rsidRPr="00E97D2C" w14:paraId="61F5009E" w14:textId="77777777" w:rsidTr="00696E8F">
        <w:trPr>
          <w:trHeight w:val="300"/>
        </w:trPr>
        <w:tc>
          <w:tcPr>
            <w:tcW w:w="1872" w:type="dxa"/>
            <w:noWrap/>
            <w:vAlign w:val="center"/>
            <w:hideMark/>
          </w:tcPr>
          <w:p w14:paraId="0BFEAD02" w14:textId="77777777" w:rsidR="00595F71" w:rsidRPr="00E97D2C" w:rsidRDefault="00595F71" w:rsidP="00696E8F">
            <w:pPr>
              <w:rPr>
                <w:rFonts w:cs="Arial"/>
                <w:color w:val="000000"/>
              </w:rPr>
            </w:pPr>
            <w:r w:rsidRPr="00E97D2C">
              <w:rPr>
                <w:rFonts w:cs="Arial"/>
                <w:color w:val="000000"/>
              </w:rPr>
              <w:t>0D150K6</w:t>
            </w:r>
          </w:p>
        </w:tc>
        <w:tc>
          <w:tcPr>
            <w:tcW w:w="7560" w:type="dxa"/>
            <w:noWrap/>
            <w:vAlign w:val="center"/>
            <w:hideMark/>
          </w:tcPr>
          <w:p w14:paraId="443FE305" w14:textId="77777777" w:rsidR="00595F71" w:rsidRPr="00E97D2C" w:rsidRDefault="00595F71" w:rsidP="00696E8F">
            <w:pPr>
              <w:rPr>
                <w:rFonts w:cs="Arial"/>
                <w:color w:val="000000"/>
              </w:rPr>
            </w:pPr>
            <w:r w:rsidRPr="00E97D2C">
              <w:rPr>
                <w:rFonts w:cs="Arial"/>
                <w:color w:val="000000"/>
              </w:rPr>
              <w:t xml:space="preserve">Bypass Esophagus to Stomach with </w:t>
            </w:r>
            <w:proofErr w:type="spellStart"/>
            <w:r w:rsidRPr="00E97D2C">
              <w:rPr>
                <w:rFonts w:cs="Arial"/>
                <w:color w:val="000000"/>
              </w:rPr>
              <w:t>Nonautologous</w:t>
            </w:r>
            <w:proofErr w:type="spellEnd"/>
            <w:r w:rsidRPr="00E97D2C">
              <w:rPr>
                <w:rFonts w:cs="Arial"/>
                <w:color w:val="000000"/>
              </w:rPr>
              <w:t xml:space="preserve"> Tissue Substitute, Open Approach</w:t>
            </w:r>
          </w:p>
        </w:tc>
      </w:tr>
      <w:tr w:rsidR="00595F71" w:rsidRPr="00E97D2C" w14:paraId="0DA6C37E" w14:textId="77777777" w:rsidTr="00696E8F">
        <w:trPr>
          <w:trHeight w:val="300"/>
        </w:trPr>
        <w:tc>
          <w:tcPr>
            <w:tcW w:w="1872" w:type="dxa"/>
            <w:noWrap/>
            <w:vAlign w:val="center"/>
            <w:hideMark/>
          </w:tcPr>
          <w:p w14:paraId="0F25AA62" w14:textId="77777777" w:rsidR="00595F71" w:rsidRPr="00E97D2C" w:rsidRDefault="00595F71" w:rsidP="00696E8F">
            <w:pPr>
              <w:rPr>
                <w:rFonts w:cs="Arial"/>
                <w:color w:val="000000"/>
              </w:rPr>
            </w:pPr>
            <w:r w:rsidRPr="00E97D2C">
              <w:rPr>
                <w:rFonts w:cs="Arial"/>
                <w:color w:val="000000"/>
              </w:rPr>
              <w:t>0D150K9</w:t>
            </w:r>
          </w:p>
        </w:tc>
        <w:tc>
          <w:tcPr>
            <w:tcW w:w="7560" w:type="dxa"/>
            <w:noWrap/>
            <w:vAlign w:val="center"/>
            <w:hideMark/>
          </w:tcPr>
          <w:p w14:paraId="3306242E" w14:textId="77777777" w:rsidR="00595F71" w:rsidRPr="00E97D2C" w:rsidRDefault="00595F71" w:rsidP="00696E8F">
            <w:pPr>
              <w:rPr>
                <w:rFonts w:cs="Arial"/>
                <w:color w:val="000000"/>
              </w:rPr>
            </w:pPr>
            <w:r w:rsidRPr="00E97D2C">
              <w:rPr>
                <w:rFonts w:cs="Arial"/>
                <w:color w:val="000000"/>
              </w:rPr>
              <w:t xml:space="preserve">Bypass Esophagus to Duodenum with </w:t>
            </w:r>
            <w:proofErr w:type="spellStart"/>
            <w:r w:rsidRPr="00E97D2C">
              <w:rPr>
                <w:rFonts w:cs="Arial"/>
                <w:color w:val="000000"/>
              </w:rPr>
              <w:t>Nonautologous</w:t>
            </w:r>
            <w:proofErr w:type="spellEnd"/>
            <w:r w:rsidRPr="00E97D2C">
              <w:rPr>
                <w:rFonts w:cs="Arial"/>
                <w:color w:val="000000"/>
              </w:rPr>
              <w:t xml:space="preserve"> Tissue Substitute, Open Approach</w:t>
            </w:r>
          </w:p>
        </w:tc>
      </w:tr>
      <w:tr w:rsidR="00595F71" w:rsidRPr="00E97D2C" w14:paraId="7E398798" w14:textId="77777777" w:rsidTr="00696E8F">
        <w:trPr>
          <w:trHeight w:val="300"/>
        </w:trPr>
        <w:tc>
          <w:tcPr>
            <w:tcW w:w="1872" w:type="dxa"/>
            <w:noWrap/>
            <w:vAlign w:val="center"/>
            <w:hideMark/>
          </w:tcPr>
          <w:p w14:paraId="51A676E3" w14:textId="77777777" w:rsidR="00595F71" w:rsidRPr="00E97D2C" w:rsidRDefault="00595F71" w:rsidP="00696E8F">
            <w:pPr>
              <w:rPr>
                <w:rFonts w:cs="Arial"/>
                <w:color w:val="000000"/>
              </w:rPr>
            </w:pPr>
            <w:r w:rsidRPr="00E97D2C">
              <w:rPr>
                <w:rFonts w:cs="Arial"/>
                <w:color w:val="000000"/>
              </w:rPr>
              <w:t>0D150KA</w:t>
            </w:r>
          </w:p>
        </w:tc>
        <w:tc>
          <w:tcPr>
            <w:tcW w:w="7560" w:type="dxa"/>
            <w:noWrap/>
            <w:vAlign w:val="center"/>
            <w:hideMark/>
          </w:tcPr>
          <w:p w14:paraId="7A2BD28E" w14:textId="77777777" w:rsidR="00595F71" w:rsidRPr="00E97D2C" w:rsidRDefault="00595F71" w:rsidP="00696E8F">
            <w:pPr>
              <w:rPr>
                <w:rFonts w:cs="Arial"/>
                <w:color w:val="000000"/>
              </w:rPr>
            </w:pPr>
            <w:r w:rsidRPr="00E97D2C">
              <w:rPr>
                <w:rFonts w:cs="Arial"/>
                <w:color w:val="000000"/>
              </w:rPr>
              <w:t xml:space="preserve">Bypass Esophagus to Jejunum with </w:t>
            </w:r>
            <w:proofErr w:type="spellStart"/>
            <w:r w:rsidRPr="00E97D2C">
              <w:rPr>
                <w:rFonts w:cs="Arial"/>
                <w:color w:val="000000"/>
              </w:rPr>
              <w:t>Nonautologous</w:t>
            </w:r>
            <w:proofErr w:type="spellEnd"/>
            <w:r w:rsidRPr="00E97D2C">
              <w:rPr>
                <w:rFonts w:cs="Arial"/>
                <w:color w:val="000000"/>
              </w:rPr>
              <w:t xml:space="preserve"> Tissue Substitute, Open Approach</w:t>
            </w:r>
          </w:p>
        </w:tc>
      </w:tr>
      <w:tr w:rsidR="00595F71" w:rsidRPr="00E97D2C" w14:paraId="166F92BC" w14:textId="77777777" w:rsidTr="00696E8F">
        <w:trPr>
          <w:trHeight w:val="300"/>
        </w:trPr>
        <w:tc>
          <w:tcPr>
            <w:tcW w:w="1872" w:type="dxa"/>
            <w:noWrap/>
            <w:vAlign w:val="center"/>
            <w:hideMark/>
          </w:tcPr>
          <w:p w14:paraId="0013D5B9" w14:textId="77777777" w:rsidR="00595F71" w:rsidRPr="00E97D2C" w:rsidRDefault="00595F71" w:rsidP="00696E8F">
            <w:pPr>
              <w:rPr>
                <w:rFonts w:cs="Arial"/>
                <w:color w:val="000000"/>
              </w:rPr>
            </w:pPr>
            <w:r w:rsidRPr="00E97D2C">
              <w:rPr>
                <w:rFonts w:cs="Arial"/>
                <w:color w:val="000000"/>
              </w:rPr>
              <w:t>0D150KB</w:t>
            </w:r>
          </w:p>
        </w:tc>
        <w:tc>
          <w:tcPr>
            <w:tcW w:w="7560" w:type="dxa"/>
            <w:noWrap/>
            <w:vAlign w:val="center"/>
            <w:hideMark/>
          </w:tcPr>
          <w:p w14:paraId="13FAC54B" w14:textId="77777777" w:rsidR="00595F71" w:rsidRPr="00E97D2C" w:rsidRDefault="00595F71" w:rsidP="00696E8F">
            <w:pPr>
              <w:rPr>
                <w:rFonts w:cs="Arial"/>
                <w:color w:val="000000"/>
              </w:rPr>
            </w:pPr>
            <w:r w:rsidRPr="00E97D2C">
              <w:rPr>
                <w:rFonts w:cs="Arial"/>
                <w:color w:val="000000"/>
              </w:rPr>
              <w:t xml:space="preserve">Bypass Esophagus to Ileum with </w:t>
            </w:r>
            <w:proofErr w:type="spellStart"/>
            <w:r w:rsidRPr="00E97D2C">
              <w:rPr>
                <w:rFonts w:cs="Arial"/>
                <w:color w:val="000000"/>
              </w:rPr>
              <w:t>Nonautologous</w:t>
            </w:r>
            <w:proofErr w:type="spellEnd"/>
            <w:r w:rsidRPr="00E97D2C">
              <w:rPr>
                <w:rFonts w:cs="Arial"/>
                <w:color w:val="000000"/>
              </w:rPr>
              <w:t xml:space="preserve"> Tissue Substitute, Open Approach</w:t>
            </w:r>
          </w:p>
        </w:tc>
      </w:tr>
      <w:tr w:rsidR="00595F71" w:rsidRPr="00E97D2C" w14:paraId="697A4CCB" w14:textId="77777777" w:rsidTr="00696E8F">
        <w:trPr>
          <w:trHeight w:val="300"/>
        </w:trPr>
        <w:tc>
          <w:tcPr>
            <w:tcW w:w="1872" w:type="dxa"/>
            <w:noWrap/>
            <w:vAlign w:val="center"/>
            <w:hideMark/>
          </w:tcPr>
          <w:p w14:paraId="515CF82D" w14:textId="77777777" w:rsidR="00595F71" w:rsidRPr="00E97D2C" w:rsidRDefault="00595F71" w:rsidP="00696E8F">
            <w:pPr>
              <w:rPr>
                <w:rFonts w:cs="Arial"/>
                <w:color w:val="000000"/>
              </w:rPr>
            </w:pPr>
            <w:r w:rsidRPr="00E97D2C">
              <w:rPr>
                <w:rFonts w:cs="Arial"/>
                <w:color w:val="000000"/>
              </w:rPr>
              <w:t>0D150Z4</w:t>
            </w:r>
          </w:p>
        </w:tc>
        <w:tc>
          <w:tcPr>
            <w:tcW w:w="7560" w:type="dxa"/>
            <w:noWrap/>
            <w:vAlign w:val="center"/>
            <w:hideMark/>
          </w:tcPr>
          <w:p w14:paraId="76A9C1BC" w14:textId="77777777" w:rsidR="00595F71" w:rsidRPr="00E97D2C" w:rsidRDefault="00595F71" w:rsidP="00696E8F">
            <w:pPr>
              <w:rPr>
                <w:rFonts w:cs="Arial"/>
                <w:color w:val="000000"/>
              </w:rPr>
            </w:pPr>
            <w:r w:rsidRPr="00E97D2C">
              <w:rPr>
                <w:rFonts w:cs="Arial"/>
                <w:color w:val="000000"/>
              </w:rPr>
              <w:t>Bypass Esophagus to Cutaneous, Open Approach</w:t>
            </w:r>
          </w:p>
        </w:tc>
      </w:tr>
      <w:tr w:rsidR="00595F71" w:rsidRPr="00E97D2C" w14:paraId="02E0DDEB" w14:textId="77777777" w:rsidTr="00696E8F">
        <w:trPr>
          <w:trHeight w:val="300"/>
        </w:trPr>
        <w:tc>
          <w:tcPr>
            <w:tcW w:w="1872" w:type="dxa"/>
            <w:noWrap/>
            <w:vAlign w:val="center"/>
            <w:hideMark/>
          </w:tcPr>
          <w:p w14:paraId="13E0FF8F" w14:textId="77777777" w:rsidR="00595F71" w:rsidRPr="00E97D2C" w:rsidRDefault="00595F71" w:rsidP="00696E8F">
            <w:pPr>
              <w:rPr>
                <w:rFonts w:cs="Arial"/>
                <w:color w:val="000000"/>
              </w:rPr>
            </w:pPr>
            <w:r w:rsidRPr="00E97D2C">
              <w:rPr>
                <w:rFonts w:cs="Arial"/>
                <w:color w:val="000000"/>
              </w:rPr>
              <w:t>0D150Z6</w:t>
            </w:r>
          </w:p>
        </w:tc>
        <w:tc>
          <w:tcPr>
            <w:tcW w:w="7560" w:type="dxa"/>
            <w:noWrap/>
            <w:vAlign w:val="center"/>
            <w:hideMark/>
          </w:tcPr>
          <w:p w14:paraId="39B8D56F" w14:textId="77777777" w:rsidR="00595F71" w:rsidRPr="00E97D2C" w:rsidRDefault="00595F71" w:rsidP="00696E8F">
            <w:pPr>
              <w:rPr>
                <w:rFonts w:cs="Arial"/>
                <w:color w:val="000000"/>
              </w:rPr>
            </w:pPr>
            <w:r w:rsidRPr="00E97D2C">
              <w:rPr>
                <w:rFonts w:cs="Arial"/>
                <w:color w:val="000000"/>
              </w:rPr>
              <w:t>Bypass Esophagus to Stomach, Open Approach</w:t>
            </w:r>
          </w:p>
        </w:tc>
      </w:tr>
      <w:tr w:rsidR="00595F71" w:rsidRPr="00E97D2C" w14:paraId="73F39670" w14:textId="77777777" w:rsidTr="00696E8F">
        <w:trPr>
          <w:trHeight w:val="300"/>
        </w:trPr>
        <w:tc>
          <w:tcPr>
            <w:tcW w:w="1872" w:type="dxa"/>
            <w:noWrap/>
            <w:vAlign w:val="center"/>
            <w:hideMark/>
          </w:tcPr>
          <w:p w14:paraId="07AE24A4" w14:textId="77777777" w:rsidR="00595F71" w:rsidRPr="00E97D2C" w:rsidRDefault="00595F71" w:rsidP="00696E8F">
            <w:pPr>
              <w:rPr>
                <w:rFonts w:cs="Arial"/>
                <w:color w:val="000000"/>
              </w:rPr>
            </w:pPr>
            <w:r w:rsidRPr="00E97D2C">
              <w:rPr>
                <w:rFonts w:cs="Arial"/>
                <w:color w:val="000000"/>
              </w:rPr>
              <w:t>0D150Z9</w:t>
            </w:r>
          </w:p>
        </w:tc>
        <w:tc>
          <w:tcPr>
            <w:tcW w:w="7560" w:type="dxa"/>
            <w:noWrap/>
            <w:vAlign w:val="center"/>
            <w:hideMark/>
          </w:tcPr>
          <w:p w14:paraId="3EC057C2" w14:textId="77777777" w:rsidR="00595F71" w:rsidRPr="00E97D2C" w:rsidRDefault="00595F71" w:rsidP="00696E8F">
            <w:pPr>
              <w:rPr>
                <w:rFonts w:cs="Arial"/>
                <w:color w:val="000000"/>
              </w:rPr>
            </w:pPr>
            <w:r w:rsidRPr="00E97D2C">
              <w:rPr>
                <w:rFonts w:cs="Arial"/>
                <w:color w:val="000000"/>
              </w:rPr>
              <w:t>Bypass Esophagus to Duodenum, Open Approach</w:t>
            </w:r>
          </w:p>
        </w:tc>
      </w:tr>
      <w:tr w:rsidR="00595F71" w:rsidRPr="00E97D2C" w14:paraId="4FDC7F68" w14:textId="77777777" w:rsidTr="00696E8F">
        <w:trPr>
          <w:trHeight w:val="300"/>
        </w:trPr>
        <w:tc>
          <w:tcPr>
            <w:tcW w:w="1872" w:type="dxa"/>
            <w:noWrap/>
            <w:vAlign w:val="center"/>
            <w:hideMark/>
          </w:tcPr>
          <w:p w14:paraId="62DF49F6" w14:textId="77777777" w:rsidR="00595F71" w:rsidRPr="00E97D2C" w:rsidRDefault="00595F71" w:rsidP="00696E8F">
            <w:pPr>
              <w:rPr>
                <w:rFonts w:cs="Arial"/>
                <w:color w:val="000000"/>
              </w:rPr>
            </w:pPr>
            <w:r w:rsidRPr="00E97D2C">
              <w:rPr>
                <w:rFonts w:cs="Arial"/>
                <w:color w:val="000000"/>
              </w:rPr>
              <w:lastRenderedPageBreak/>
              <w:t>0D150ZA</w:t>
            </w:r>
          </w:p>
        </w:tc>
        <w:tc>
          <w:tcPr>
            <w:tcW w:w="7560" w:type="dxa"/>
            <w:noWrap/>
            <w:vAlign w:val="center"/>
            <w:hideMark/>
          </w:tcPr>
          <w:p w14:paraId="2B254533" w14:textId="77777777" w:rsidR="00595F71" w:rsidRPr="00E97D2C" w:rsidRDefault="00595F71" w:rsidP="00696E8F">
            <w:pPr>
              <w:rPr>
                <w:rFonts w:cs="Arial"/>
                <w:color w:val="000000"/>
              </w:rPr>
            </w:pPr>
            <w:r w:rsidRPr="00E97D2C">
              <w:rPr>
                <w:rFonts w:cs="Arial"/>
                <w:color w:val="000000"/>
              </w:rPr>
              <w:t>Bypass Esophagus to Jejunum, Open Approach</w:t>
            </w:r>
          </w:p>
        </w:tc>
      </w:tr>
      <w:tr w:rsidR="00595F71" w:rsidRPr="00E97D2C" w14:paraId="0978BD40" w14:textId="77777777" w:rsidTr="00696E8F">
        <w:trPr>
          <w:trHeight w:val="300"/>
        </w:trPr>
        <w:tc>
          <w:tcPr>
            <w:tcW w:w="1872" w:type="dxa"/>
            <w:noWrap/>
            <w:vAlign w:val="center"/>
            <w:hideMark/>
          </w:tcPr>
          <w:p w14:paraId="5910965E" w14:textId="77777777" w:rsidR="00595F71" w:rsidRPr="00E97D2C" w:rsidRDefault="00595F71" w:rsidP="00696E8F">
            <w:pPr>
              <w:rPr>
                <w:rFonts w:cs="Arial"/>
                <w:color w:val="000000"/>
              </w:rPr>
            </w:pPr>
            <w:r w:rsidRPr="00E97D2C">
              <w:rPr>
                <w:rFonts w:cs="Arial"/>
                <w:color w:val="000000"/>
              </w:rPr>
              <w:t>0D150ZB</w:t>
            </w:r>
          </w:p>
        </w:tc>
        <w:tc>
          <w:tcPr>
            <w:tcW w:w="7560" w:type="dxa"/>
            <w:noWrap/>
            <w:vAlign w:val="center"/>
            <w:hideMark/>
          </w:tcPr>
          <w:p w14:paraId="6C6568F7" w14:textId="77777777" w:rsidR="00595F71" w:rsidRPr="00E97D2C" w:rsidRDefault="00595F71" w:rsidP="00696E8F">
            <w:pPr>
              <w:rPr>
                <w:rFonts w:cs="Arial"/>
                <w:color w:val="000000"/>
              </w:rPr>
            </w:pPr>
            <w:r w:rsidRPr="00E97D2C">
              <w:rPr>
                <w:rFonts w:cs="Arial"/>
                <w:color w:val="000000"/>
              </w:rPr>
              <w:t>Bypass Esophagus to Ileum, Open Approach</w:t>
            </w:r>
          </w:p>
        </w:tc>
      </w:tr>
      <w:tr w:rsidR="00595F71" w:rsidRPr="00E97D2C" w14:paraId="16B1F192" w14:textId="77777777" w:rsidTr="00696E8F">
        <w:trPr>
          <w:trHeight w:val="300"/>
        </w:trPr>
        <w:tc>
          <w:tcPr>
            <w:tcW w:w="1872" w:type="dxa"/>
            <w:noWrap/>
            <w:vAlign w:val="center"/>
            <w:hideMark/>
          </w:tcPr>
          <w:p w14:paraId="7800FAEA" w14:textId="77777777" w:rsidR="00595F71" w:rsidRPr="00E97D2C" w:rsidRDefault="00595F71" w:rsidP="00696E8F">
            <w:pPr>
              <w:rPr>
                <w:rFonts w:cs="Arial"/>
                <w:color w:val="000000"/>
              </w:rPr>
            </w:pPr>
            <w:r w:rsidRPr="00E97D2C">
              <w:rPr>
                <w:rFonts w:cs="Arial"/>
                <w:color w:val="000000"/>
              </w:rPr>
              <w:t>0D153J4</w:t>
            </w:r>
          </w:p>
        </w:tc>
        <w:tc>
          <w:tcPr>
            <w:tcW w:w="7560" w:type="dxa"/>
            <w:noWrap/>
            <w:vAlign w:val="center"/>
            <w:hideMark/>
          </w:tcPr>
          <w:p w14:paraId="58A6EBD3" w14:textId="77777777" w:rsidR="00595F71" w:rsidRPr="00E97D2C" w:rsidRDefault="00595F71" w:rsidP="00696E8F">
            <w:pPr>
              <w:rPr>
                <w:rFonts w:cs="Arial"/>
                <w:color w:val="000000"/>
              </w:rPr>
            </w:pPr>
            <w:r w:rsidRPr="00E97D2C">
              <w:rPr>
                <w:rFonts w:cs="Arial"/>
                <w:color w:val="000000"/>
              </w:rPr>
              <w:t>Bypass Esophagus to Cutaneous with Synthetic Substitute, Percutaneous Approach</w:t>
            </w:r>
          </w:p>
        </w:tc>
      </w:tr>
      <w:tr w:rsidR="00595F71" w:rsidRPr="00E97D2C" w14:paraId="3897E7A0" w14:textId="77777777" w:rsidTr="00696E8F">
        <w:trPr>
          <w:trHeight w:val="300"/>
        </w:trPr>
        <w:tc>
          <w:tcPr>
            <w:tcW w:w="1872" w:type="dxa"/>
            <w:noWrap/>
            <w:vAlign w:val="center"/>
            <w:hideMark/>
          </w:tcPr>
          <w:p w14:paraId="438D2171" w14:textId="77777777" w:rsidR="00595F71" w:rsidRPr="00E97D2C" w:rsidRDefault="00595F71" w:rsidP="00696E8F">
            <w:pPr>
              <w:rPr>
                <w:rFonts w:cs="Arial"/>
                <w:color w:val="000000"/>
              </w:rPr>
            </w:pPr>
            <w:r w:rsidRPr="00E97D2C">
              <w:rPr>
                <w:rFonts w:cs="Arial"/>
                <w:color w:val="000000"/>
              </w:rPr>
              <w:t>0D15474</w:t>
            </w:r>
          </w:p>
        </w:tc>
        <w:tc>
          <w:tcPr>
            <w:tcW w:w="7560" w:type="dxa"/>
            <w:noWrap/>
            <w:vAlign w:val="center"/>
            <w:hideMark/>
          </w:tcPr>
          <w:p w14:paraId="1848B6C2" w14:textId="77777777" w:rsidR="00595F71" w:rsidRPr="00E97D2C" w:rsidRDefault="00595F71" w:rsidP="00696E8F">
            <w:pPr>
              <w:rPr>
                <w:rFonts w:cs="Arial"/>
                <w:color w:val="000000"/>
              </w:rPr>
            </w:pPr>
            <w:r w:rsidRPr="00E97D2C">
              <w:rPr>
                <w:rFonts w:cs="Arial"/>
                <w:color w:val="000000"/>
              </w:rPr>
              <w:t>Bypass Esophagus to Cutaneous with Autologous Tissue Substitute, Percutaneous Endoscopic Approach</w:t>
            </w:r>
          </w:p>
        </w:tc>
      </w:tr>
      <w:tr w:rsidR="00595F71" w:rsidRPr="00E97D2C" w14:paraId="0EF2A94E" w14:textId="77777777" w:rsidTr="00696E8F">
        <w:trPr>
          <w:trHeight w:val="300"/>
        </w:trPr>
        <w:tc>
          <w:tcPr>
            <w:tcW w:w="1872" w:type="dxa"/>
            <w:noWrap/>
            <w:vAlign w:val="center"/>
            <w:hideMark/>
          </w:tcPr>
          <w:p w14:paraId="369DB2FA" w14:textId="77777777" w:rsidR="00595F71" w:rsidRPr="00E97D2C" w:rsidRDefault="00595F71" w:rsidP="00696E8F">
            <w:pPr>
              <w:rPr>
                <w:rFonts w:cs="Arial"/>
                <w:color w:val="000000"/>
              </w:rPr>
            </w:pPr>
            <w:r w:rsidRPr="00E97D2C">
              <w:rPr>
                <w:rFonts w:cs="Arial"/>
                <w:color w:val="000000"/>
              </w:rPr>
              <w:t>0D15476</w:t>
            </w:r>
          </w:p>
        </w:tc>
        <w:tc>
          <w:tcPr>
            <w:tcW w:w="7560" w:type="dxa"/>
            <w:noWrap/>
            <w:vAlign w:val="center"/>
            <w:hideMark/>
          </w:tcPr>
          <w:p w14:paraId="5AE7F018" w14:textId="77777777" w:rsidR="00595F71" w:rsidRPr="00E97D2C" w:rsidRDefault="00595F71" w:rsidP="00696E8F">
            <w:pPr>
              <w:rPr>
                <w:rFonts w:cs="Arial"/>
                <w:color w:val="000000"/>
              </w:rPr>
            </w:pPr>
            <w:r w:rsidRPr="00E97D2C">
              <w:rPr>
                <w:rFonts w:cs="Arial"/>
                <w:color w:val="000000"/>
              </w:rPr>
              <w:t>Bypass Esophagus to Stomach with Autologous Tissue Substitute, Percutaneous Endoscopic Approach</w:t>
            </w:r>
          </w:p>
        </w:tc>
      </w:tr>
      <w:tr w:rsidR="00595F71" w:rsidRPr="00E97D2C" w14:paraId="089B52A5" w14:textId="77777777" w:rsidTr="00696E8F">
        <w:trPr>
          <w:trHeight w:val="300"/>
        </w:trPr>
        <w:tc>
          <w:tcPr>
            <w:tcW w:w="1872" w:type="dxa"/>
            <w:noWrap/>
            <w:vAlign w:val="center"/>
            <w:hideMark/>
          </w:tcPr>
          <w:p w14:paraId="0E55CDFC" w14:textId="77777777" w:rsidR="00595F71" w:rsidRPr="00E97D2C" w:rsidRDefault="00595F71" w:rsidP="00696E8F">
            <w:pPr>
              <w:rPr>
                <w:rFonts w:cs="Arial"/>
                <w:color w:val="000000"/>
              </w:rPr>
            </w:pPr>
            <w:r w:rsidRPr="00E97D2C">
              <w:rPr>
                <w:rFonts w:cs="Arial"/>
                <w:color w:val="000000"/>
              </w:rPr>
              <w:t>0D15479</w:t>
            </w:r>
          </w:p>
        </w:tc>
        <w:tc>
          <w:tcPr>
            <w:tcW w:w="7560" w:type="dxa"/>
            <w:noWrap/>
            <w:vAlign w:val="center"/>
            <w:hideMark/>
          </w:tcPr>
          <w:p w14:paraId="0CCBFC50" w14:textId="77777777" w:rsidR="00595F71" w:rsidRPr="00E97D2C" w:rsidRDefault="00595F71" w:rsidP="00696E8F">
            <w:pPr>
              <w:rPr>
                <w:rFonts w:cs="Arial"/>
                <w:color w:val="000000"/>
              </w:rPr>
            </w:pPr>
            <w:r w:rsidRPr="00E97D2C">
              <w:rPr>
                <w:rFonts w:cs="Arial"/>
                <w:color w:val="000000"/>
              </w:rPr>
              <w:t>Bypass Esophagus to Duodenum with Autologous Tissue Substitute, Percutaneous Endoscopic Approach</w:t>
            </w:r>
          </w:p>
        </w:tc>
      </w:tr>
      <w:tr w:rsidR="00595F71" w:rsidRPr="00E97D2C" w14:paraId="732FA61C" w14:textId="77777777" w:rsidTr="00696E8F">
        <w:trPr>
          <w:trHeight w:val="300"/>
        </w:trPr>
        <w:tc>
          <w:tcPr>
            <w:tcW w:w="1872" w:type="dxa"/>
            <w:noWrap/>
            <w:vAlign w:val="center"/>
            <w:hideMark/>
          </w:tcPr>
          <w:p w14:paraId="49BE45A7" w14:textId="77777777" w:rsidR="00595F71" w:rsidRPr="00E97D2C" w:rsidRDefault="00595F71" w:rsidP="00696E8F">
            <w:pPr>
              <w:rPr>
                <w:rFonts w:cs="Arial"/>
                <w:color w:val="000000"/>
              </w:rPr>
            </w:pPr>
            <w:r w:rsidRPr="00E97D2C">
              <w:rPr>
                <w:rFonts w:cs="Arial"/>
                <w:color w:val="000000"/>
              </w:rPr>
              <w:t>0D1547A</w:t>
            </w:r>
          </w:p>
        </w:tc>
        <w:tc>
          <w:tcPr>
            <w:tcW w:w="7560" w:type="dxa"/>
            <w:noWrap/>
            <w:vAlign w:val="center"/>
            <w:hideMark/>
          </w:tcPr>
          <w:p w14:paraId="2382FCF9" w14:textId="77777777" w:rsidR="00595F71" w:rsidRPr="00E97D2C" w:rsidRDefault="00595F71" w:rsidP="00696E8F">
            <w:pPr>
              <w:rPr>
                <w:rFonts w:cs="Arial"/>
                <w:color w:val="000000"/>
              </w:rPr>
            </w:pPr>
            <w:r w:rsidRPr="00E97D2C">
              <w:rPr>
                <w:rFonts w:cs="Arial"/>
                <w:color w:val="000000"/>
              </w:rPr>
              <w:t>Bypass Esophagus to Jejunum with Autologous Tissue Substitute, Percutaneous Endoscopic Approach</w:t>
            </w:r>
          </w:p>
        </w:tc>
      </w:tr>
      <w:tr w:rsidR="00595F71" w:rsidRPr="00E97D2C" w14:paraId="64CD3F07" w14:textId="77777777" w:rsidTr="00696E8F">
        <w:trPr>
          <w:trHeight w:val="300"/>
        </w:trPr>
        <w:tc>
          <w:tcPr>
            <w:tcW w:w="1872" w:type="dxa"/>
            <w:noWrap/>
            <w:vAlign w:val="center"/>
            <w:hideMark/>
          </w:tcPr>
          <w:p w14:paraId="06046F38" w14:textId="77777777" w:rsidR="00595F71" w:rsidRPr="00E97D2C" w:rsidRDefault="00595F71" w:rsidP="00696E8F">
            <w:pPr>
              <w:rPr>
                <w:rFonts w:cs="Arial"/>
                <w:color w:val="000000"/>
              </w:rPr>
            </w:pPr>
            <w:r w:rsidRPr="00E97D2C">
              <w:rPr>
                <w:rFonts w:cs="Arial"/>
                <w:color w:val="000000"/>
              </w:rPr>
              <w:t>0D1547B</w:t>
            </w:r>
          </w:p>
        </w:tc>
        <w:tc>
          <w:tcPr>
            <w:tcW w:w="7560" w:type="dxa"/>
            <w:noWrap/>
            <w:vAlign w:val="center"/>
            <w:hideMark/>
          </w:tcPr>
          <w:p w14:paraId="732B724F" w14:textId="77777777" w:rsidR="00595F71" w:rsidRPr="00E97D2C" w:rsidRDefault="00595F71" w:rsidP="00696E8F">
            <w:pPr>
              <w:rPr>
                <w:rFonts w:cs="Arial"/>
                <w:color w:val="000000"/>
              </w:rPr>
            </w:pPr>
            <w:r w:rsidRPr="00E97D2C">
              <w:rPr>
                <w:rFonts w:cs="Arial"/>
                <w:color w:val="000000"/>
              </w:rPr>
              <w:t>Bypass Esophagus to Ileum with Autologous Tissue Substitute, Percutaneous Endoscopic Approach</w:t>
            </w:r>
          </w:p>
        </w:tc>
      </w:tr>
      <w:tr w:rsidR="00595F71" w:rsidRPr="00E97D2C" w14:paraId="0561F6D4" w14:textId="77777777" w:rsidTr="00696E8F">
        <w:trPr>
          <w:trHeight w:val="300"/>
        </w:trPr>
        <w:tc>
          <w:tcPr>
            <w:tcW w:w="1872" w:type="dxa"/>
            <w:noWrap/>
            <w:vAlign w:val="center"/>
            <w:hideMark/>
          </w:tcPr>
          <w:p w14:paraId="30F7D2F9" w14:textId="77777777" w:rsidR="00595F71" w:rsidRPr="00E97D2C" w:rsidRDefault="00595F71" w:rsidP="00696E8F">
            <w:pPr>
              <w:rPr>
                <w:rFonts w:cs="Arial"/>
                <w:color w:val="000000"/>
              </w:rPr>
            </w:pPr>
            <w:r w:rsidRPr="00E97D2C">
              <w:rPr>
                <w:rFonts w:cs="Arial"/>
                <w:color w:val="000000"/>
              </w:rPr>
              <w:t>0D154J4</w:t>
            </w:r>
          </w:p>
        </w:tc>
        <w:tc>
          <w:tcPr>
            <w:tcW w:w="7560" w:type="dxa"/>
            <w:noWrap/>
            <w:vAlign w:val="center"/>
            <w:hideMark/>
          </w:tcPr>
          <w:p w14:paraId="2E6575B9" w14:textId="77777777" w:rsidR="00595F71" w:rsidRPr="00E97D2C" w:rsidRDefault="00595F71" w:rsidP="00696E8F">
            <w:pPr>
              <w:rPr>
                <w:rFonts w:cs="Arial"/>
                <w:color w:val="000000"/>
              </w:rPr>
            </w:pPr>
            <w:r w:rsidRPr="00E97D2C">
              <w:rPr>
                <w:rFonts w:cs="Arial"/>
                <w:color w:val="000000"/>
              </w:rPr>
              <w:t>Bypass Esophagus to Cutaneous with Synthetic Substitute, Percutaneous Endoscopic Approach</w:t>
            </w:r>
          </w:p>
        </w:tc>
      </w:tr>
      <w:tr w:rsidR="00595F71" w:rsidRPr="00E97D2C" w14:paraId="2062D0C2" w14:textId="77777777" w:rsidTr="00696E8F">
        <w:trPr>
          <w:trHeight w:val="300"/>
        </w:trPr>
        <w:tc>
          <w:tcPr>
            <w:tcW w:w="1872" w:type="dxa"/>
            <w:noWrap/>
            <w:vAlign w:val="center"/>
            <w:hideMark/>
          </w:tcPr>
          <w:p w14:paraId="1A46D479" w14:textId="77777777" w:rsidR="00595F71" w:rsidRPr="00E97D2C" w:rsidRDefault="00595F71" w:rsidP="00696E8F">
            <w:pPr>
              <w:rPr>
                <w:rFonts w:cs="Arial"/>
                <w:color w:val="000000"/>
              </w:rPr>
            </w:pPr>
            <w:r w:rsidRPr="00E97D2C">
              <w:rPr>
                <w:rFonts w:cs="Arial"/>
                <w:color w:val="000000"/>
              </w:rPr>
              <w:t>0D154J6</w:t>
            </w:r>
          </w:p>
        </w:tc>
        <w:tc>
          <w:tcPr>
            <w:tcW w:w="7560" w:type="dxa"/>
            <w:noWrap/>
            <w:vAlign w:val="center"/>
            <w:hideMark/>
          </w:tcPr>
          <w:p w14:paraId="2A51D4F0" w14:textId="77777777" w:rsidR="00595F71" w:rsidRPr="00E97D2C" w:rsidRDefault="00595F71" w:rsidP="00696E8F">
            <w:pPr>
              <w:rPr>
                <w:rFonts w:cs="Arial"/>
                <w:color w:val="000000"/>
              </w:rPr>
            </w:pPr>
            <w:r w:rsidRPr="00E97D2C">
              <w:rPr>
                <w:rFonts w:cs="Arial"/>
                <w:color w:val="000000"/>
              </w:rPr>
              <w:t>Bypass Esophagus to Stomach with Synthetic Substitute, Percutaneous Endoscopic Approach</w:t>
            </w:r>
          </w:p>
        </w:tc>
      </w:tr>
      <w:tr w:rsidR="00595F71" w:rsidRPr="00E97D2C" w14:paraId="5B50012E" w14:textId="77777777" w:rsidTr="00696E8F">
        <w:trPr>
          <w:trHeight w:val="300"/>
        </w:trPr>
        <w:tc>
          <w:tcPr>
            <w:tcW w:w="1872" w:type="dxa"/>
            <w:noWrap/>
            <w:vAlign w:val="center"/>
            <w:hideMark/>
          </w:tcPr>
          <w:p w14:paraId="09EF6697" w14:textId="77777777" w:rsidR="00595F71" w:rsidRPr="00E97D2C" w:rsidRDefault="00595F71" w:rsidP="00696E8F">
            <w:pPr>
              <w:rPr>
                <w:rFonts w:cs="Arial"/>
                <w:color w:val="000000"/>
              </w:rPr>
            </w:pPr>
            <w:r w:rsidRPr="00E97D2C">
              <w:rPr>
                <w:rFonts w:cs="Arial"/>
                <w:color w:val="000000"/>
              </w:rPr>
              <w:t>0D154J9</w:t>
            </w:r>
          </w:p>
        </w:tc>
        <w:tc>
          <w:tcPr>
            <w:tcW w:w="7560" w:type="dxa"/>
            <w:noWrap/>
            <w:vAlign w:val="center"/>
            <w:hideMark/>
          </w:tcPr>
          <w:p w14:paraId="403F669A" w14:textId="77777777" w:rsidR="00595F71" w:rsidRPr="00E97D2C" w:rsidRDefault="00595F71" w:rsidP="00696E8F">
            <w:pPr>
              <w:rPr>
                <w:rFonts w:cs="Arial"/>
                <w:color w:val="000000"/>
              </w:rPr>
            </w:pPr>
            <w:r w:rsidRPr="00E97D2C">
              <w:rPr>
                <w:rFonts w:cs="Arial"/>
                <w:color w:val="000000"/>
              </w:rPr>
              <w:t>Bypass Esophagus to Duodenum with Synthetic Substitute, Percutaneous Endoscopic Approach</w:t>
            </w:r>
          </w:p>
        </w:tc>
      </w:tr>
      <w:tr w:rsidR="00595F71" w:rsidRPr="00E97D2C" w14:paraId="7B93BD1F" w14:textId="77777777" w:rsidTr="00696E8F">
        <w:trPr>
          <w:trHeight w:val="300"/>
        </w:trPr>
        <w:tc>
          <w:tcPr>
            <w:tcW w:w="1872" w:type="dxa"/>
            <w:noWrap/>
            <w:vAlign w:val="center"/>
            <w:hideMark/>
          </w:tcPr>
          <w:p w14:paraId="274A1662" w14:textId="77777777" w:rsidR="00595F71" w:rsidRPr="00E97D2C" w:rsidRDefault="00595F71" w:rsidP="00696E8F">
            <w:pPr>
              <w:rPr>
                <w:rFonts w:cs="Arial"/>
                <w:color w:val="000000"/>
              </w:rPr>
            </w:pPr>
            <w:r w:rsidRPr="00E97D2C">
              <w:rPr>
                <w:rFonts w:cs="Arial"/>
                <w:color w:val="000000"/>
              </w:rPr>
              <w:t>0D154JA</w:t>
            </w:r>
          </w:p>
        </w:tc>
        <w:tc>
          <w:tcPr>
            <w:tcW w:w="7560" w:type="dxa"/>
            <w:noWrap/>
            <w:vAlign w:val="center"/>
            <w:hideMark/>
          </w:tcPr>
          <w:p w14:paraId="60496AD1" w14:textId="77777777" w:rsidR="00595F71" w:rsidRPr="00E97D2C" w:rsidRDefault="00595F71" w:rsidP="00696E8F">
            <w:pPr>
              <w:rPr>
                <w:rFonts w:cs="Arial"/>
                <w:color w:val="000000"/>
              </w:rPr>
            </w:pPr>
            <w:r w:rsidRPr="00E97D2C">
              <w:rPr>
                <w:rFonts w:cs="Arial"/>
                <w:color w:val="000000"/>
              </w:rPr>
              <w:t>Bypass Esophagus to Jejunum with Synthetic Substitute, Percutaneous Endoscopic Approach</w:t>
            </w:r>
          </w:p>
        </w:tc>
      </w:tr>
      <w:tr w:rsidR="00595F71" w:rsidRPr="00E97D2C" w14:paraId="2C7BD9F1" w14:textId="77777777" w:rsidTr="00696E8F">
        <w:trPr>
          <w:trHeight w:val="300"/>
        </w:trPr>
        <w:tc>
          <w:tcPr>
            <w:tcW w:w="1872" w:type="dxa"/>
            <w:noWrap/>
            <w:vAlign w:val="center"/>
            <w:hideMark/>
          </w:tcPr>
          <w:p w14:paraId="6DCB4F5C" w14:textId="77777777" w:rsidR="00595F71" w:rsidRPr="00E97D2C" w:rsidRDefault="00595F71" w:rsidP="00696E8F">
            <w:pPr>
              <w:rPr>
                <w:rFonts w:cs="Arial"/>
                <w:color w:val="000000"/>
              </w:rPr>
            </w:pPr>
            <w:r w:rsidRPr="00E97D2C">
              <w:rPr>
                <w:rFonts w:cs="Arial"/>
                <w:color w:val="000000"/>
              </w:rPr>
              <w:t>0D154JB</w:t>
            </w:r>
          </w:p>
        </w:tc>
        <w:tc>
          <w:tcPr>
            <w:tcW w:w="7560" w:type="dxa"/>
            <w:noWrap/>
            <w:vAlign w:val="center"/>
            <w:hideMark/>
          </w:tcPr>
          <w:p w14:paraId="2BB07B6D" w14:textId="77777777" w:rsidR="00595F71" w:rsidRPr="00E97D2C" w:rsidRDefault="00595F71" w:rsidP="00696E8F">
            <w:pPr>
              <w:rPr>
                <w:rFonts w:cs="Arial"/>
                <w:color w:val="000000"/>
              </w:rPr>
            </w:pPr>
            <w:r w:rsidRPr="00E97D2C">
              <w:rPr>
                <w:rFonts w:cs="Arial"/>
                <w:color w:val="000000"/>
              </w:rPr>
              <w:t>Bypass Esophagus to Ileum with Synthetic Substitute, Percutaneous Endoscopic Approach</w:t>
            </w:r>
          </w:p>
        </w:tc>
      </w:tr>
      <w:tr w:rsidR="00595F71" w:rsidRPr="00E97D2C" w14:paraId="4ACD479F" w14:textId="77777777" w:rsidTr="00696E8F">
        <w:trPr>
          <w:trHeight w:val="300"/>
        </w:trPr>
        <w:tc>
          <w:tcPr>
            <w:tcW w:w="1872" w:type="dxa"/>
            <w:noWrap/>
            <w:vAlign w:val="center"/>
            <w:hideMark/>
          </w:tcPr>
          <w:p w14:paraId="2664C81F" w14:textId="77777777" w:rsidR="00595F71" w:rsidRPr="00E97D2C" w:rsidRDefault="00595F71" w:rsidP="00696E8F">
            <w:pPr>
              <w:rPr>
                <w:rFonts w:cs="Arial"/>
                <w:color w:val="000000"/>
              </w:rPr>
            </w:pPr>
            <w:r w:rsidRPr="00E97D2C">
              <w:rPr>
                <w:rFonts w:cs="Arial"/>
                <w:color w:val="000000"/>
              </w:rPr>
              <w:t>0D154K4</w:t>
            </w:r>
          </w:p>
        </w:tc>
        <w:tc>
          <w:tcPr>
            <w:tcW w:w="7560" w:type="dxa"/>
            <w:noWrap/>
            <w:vAlign w:val="center"/>
            <w:hideMark/>
          </w:tcPr>
          <w:p w14:paraId="035E1160" w14:textId="77777777" w:rsidR="00595F71" w:rsidRPr="00E97D2C" w:rsidRDefault="00595F71" w:rsidP="00696E8F">
            <w:pPr>
              <w:rPr>
                <w:rFonts w:cs="Arial"/>
                <w:color w:val="000000"/>
              </w:rPr>
            </w:pPr>
            <w:r w:rsidRPr="00E97D2C">
              <w:rPr>
                <w:rFonts w:cs="Arial"/>
                <w:color w:val="000000"/>
              </w:rPr>
              <w:t xml:space="preserve">Bypass Esophagus to Cutaneous with </w:t>
            </w:r>
            <w:proofErr w:type="spellStart"/>
            <w:r w:rsidRPr="00E97D2C">
              <w:rPr>
                <w:rFonts w:cs="Arial"/>
                <w:color w:val="000000"/>
              </w:rPr>
              <w:t>Nonautologous</w:t>
            </w:r>
            <w:proofErr w:type="spellEnd"/>
            <w:r w:rsidRPr="00E97D2C">
              <w:rPr>
                <w:rFonts w:cs="Arial"/>
                <w:color w:val="000000"/>
              </w:rPr>
              <w:t xml:space="preserve"> Tissue Substitute, Percutaneous Endoscopic Approach</w:t>
            </w:r>
          </w:p>
        </w:tc>
      </w:tr>
      <w:tr w:rsidR="00595F71" w:rsidRPr="00E97D2C" w14:paraId="1FF9B7EB" w14:textId="77777777" w:rsidTr="00696E8F">
        <w:trPr>
          <w:trHeight w:val="300"/>
        </w:trPr>
        <w:tc>
          <w:tcPr>
            <w:tcW w:w="1872" w:type="dxa"/>
            <w:noWrap/>
            <w:vAlign w:val="center"/>
            <w:hideMark/>
          </w:tcPr>
          <w:p w14:paraId="40417DFF" w14:textId="77777777" w:rsidR="00595F71" w:rsidRPr="00E97D2C" w:rsidRDefault="00595F71" w:rsidP="00696E8F">
            <w:pPr>
              <w:rPr>
                <w:rFonts w:cs="Arial"/>
                <w:color w:val="000000"/>
              </w:rPr>
            </w:pPr>
            <w:r w:rsidRPr="00E97D2C">
              <w:rPr>
                <w:rFonts w:cs="Arial"/>
                <w:color w:val="000000"/>
              </w:rPr>
              <w:t>0D154K6</w:t>
            </w:r>
          </w:p>
        </w:tc>
        <w:tc>
          <w:tcPr>
            <w:tcW w:w="7560" w:type="dxa"/>
            <w:noWrap/>
            <w:vAlign w:val="center"/>
            <w:hideMark/>
          </w:tcPr>
          <w:p w14:paraId="2B8B744F" w14:textId="77777777" w:rsidR="00595F71" w:rsidRPr="00E97D2C" w:rsidRDefault="00595F71" w:rsidP="00696E8F">
            <w:pPr>
              <w:rPr>
                <w:rFonts w:cs="Arial"/>
                <w:color w:val="000000"/>
              </w:rPr>
            </w:pPr>
            <w:r w:rsidRPr="00E97D2C">
              <w:rPr>
                <w:rFonts w:cs="Arial"/>
                <w:color w:val="000000"/>
              </w:rPr>
              <w:t xml:space="preserve">Bypass Esophagus to Stomach with </w:t>
            </w:r>
            <w:proofErr w:type="spellStart"/>
            <w:r w:rsidRPr="00E97D2C">
              <w:rPr>
                <w:rFonts w:cs="Arial"/>
                <w:color w:val="000000"/>
              </w:rPr>
              <w:t>Nonautologous</w:t>
            </w:r>
            <w:proofErr w:type="spellEnd"/>
            <w:r w:rsidRPr="00E97D2C">
              <w:rPr>
                <w:rFonts w:cs="Arial"/>
                <w:color w:val="000000"/>
              </w:rPr>
              <w:t xml:space="preserve"> Tissue Substitute, Percutaneous Endoscopic Approach</w:t>
            </w:r>
          </w:p>
        </w:tc>
      </w:tr>
      <w:tr w:rsidR="00595F71" w:rsidRPr="00E97D2C" w14:paraId="5DF884D6" w14:textId="77777777" w:rsidTr="00696E8F">
        <w:trPr>
          <w:trHeight w:val="300"/>
        </w:trPr>
        <w:tc>
          <w:tcPr>
            <w:tcW w:w="1872" w:type="dxa"/>
            <w:noWrap/>
            <w:vAlign w:val="center"/>
            <w:hideMark/>
          </w:tcPr>
          <w:p w14:paraId="4A117535" w14:textId="77777777" w:rsidR="00595F71" w:rsidRPr="00E97D2C" w:rsidRDefault="00595F71" w:rsidP="00696E8F">
            <w:pPr>
              <w:rPr>
                <w:rFonts w:cs="Arial"/>
                <w:color w:val="000000"/>
              </w:rPr>
            </w:pPr>
            <w:r w:rsidRPr="00E97D2C">
              <w:rPr>
                <w:rFonts w:cs="Arial"/>
                <w:color w:val="000000"/>
              </w:rPr>
              <w:t>0D154K9</w:t>
            </w:r>
          </w:p>
        </w:tc>
        <w:tc>
          <w:tcPr>
            <w:tcW w:w="7560" w:type="dxa"/>
            <w:noWrap/>
            <w:vAlign w:val="center"/>
            <w:hideMark/>
          </w:tcPr>
          <w:p w14:paraId="1ACA4CFF" w14:textId="77777777" w:rsidR="00595F71" w:rsidRPr="00E97D2C" w:rsidRDefault="00595F71" w:rsidP="00696E8F">
            <w:pPr>
              <w:rPr>
                <w:rFonts w:cs="Arial"/>
                <w:color w:val="000000"/>
              </w:rPr>
            </w:pPr>
            <w:r w:rsidRPr="00E97D2C">
              <w:rPr>
                <w:rFonts w:cs="Arial"/>
                <w:color w:val="000000"/>
              </w:rPr>
              <w:t xml:space="preserve">Bypass Esophagus to Duodenum with </w:t>
            </w:r>
            <w:proofErr w:type="spellStart"/>
            <w:r w:rsidRPr="00E97D2C">
              <w:rPr>
                <w:rFonts w:cs="Arial"/>
                <w:color w:val="000000"/>
              </w:rPr>
              <w:t>Nonautologous</w:t>
            </w:r>
            <w:proofErr w:type="spellEnd"/>
            <w:r w:rsidRPr="00E97D2C">
              <w:rPr>
                <w:rFonts w:cs="Arial"/>
                <w:color w:val="000000"/>
              </w:rPr>
              <w:t xml:space="preserve"> Tissue Substitute, Percutaneous Endoscopic Approach</w:t>
            </w:r>
          </w:p>
        </w:tc>
      </w:tr>
      <w:tr w:rsidR="00595F71" w:rsidRPr="00E97D2C" w14:paraId="02A42EB9" w14:textId="77777777" w:rsidTr="00696E8F">
        <w:trPr>
          <w:trHeight w:val="300"/>
        </w:trPr>
        <w:tc>
          <w:tcPr>
            <w:tcW w:w="1872" w:type="dxa"/>
            <w:noWrap/>
            <w:vAlign w:val="center"/>
            <w:hideMark/>
          </w:tcPr>
          <w:p w14:paraId="220CFA68" w14:textId="77777777" w:rsidR="00595F71" w:rsidRPr="00E97D2C" w:rsidRDefault="00595F71" w:rsidP="00696E8F">
            <w:pPr>
              <w:rPr>
                <w:rFonts w:cs="Arial"/>
                <w:color w:val="000000"/>
              </w:rPr>
            </w:pPr>
            <w:r w:rsidRPr="00E97D2C">
              <w:rPr>
                <w:rFonts w:cs="Arial"/>
                <w:color w:val="000000"/>
              </w:rPr>
              <w:t>0D154KA</w:t>
            </w:r>
          </w:p>
        </w:tc>
        <w:tc>
          <w:tcPr>
            <w:tcW w:w="7560" w:type="dxa"/>
            <w:noWrap/>
            <w:vAlign w:val="center"/>
            <w:hideMark/>
          </w:tcPr>
          <w:p w14:paraId="66EF3A80" w14:textId="77777777" w:rsidR="00595F71" w:rsidRPr="00E97D2C" w:rsidRDefault="00595F71" w:rsidP="00696E8F">
            <w:pPr>
              <w:rPr>
                <w:rFonts w:cs="Arial"/>
                <w:color w:val="000000"/>
              </w:rPr>
            </w:pPr>
            <w:r w:rsidRPr="00E97D2C">
              <w:rPr>
                <w:rFonts w:cs="Arial"/>
                <w:color w:val="000000"/>
              </w:rPr>
              <w:t xml:space="preserve">Bypass Esophagus to Jejunum with </w:t>
            </w:r>
            <w:proofErr w:type="spellStart"/>
            <w:r w:rsidRPr="00E97D2C">
              <w:rPr>
                <w:rFonts w:cs="Arial"/>
                <w:color w:val="000000"/>
              </w:rPr>
              <w:t>Nonautologous</w:t>
            </w:r>
            <w:proofErr w:type="spellEnd"/>
            <w:r w:rsidRPr="00E97D2C">
              <w:rPr>
                <w:rFonts w:cs="Arial"/>
                <w:color w:val="000000"/>
              </w:rPr>
              <w:t xml:space="preserve"> Tissue Substitute, Percutaneous Endoscopic Approach</w:t>
            </w:r>
          </w:p>
        </w:tc>
      </w:tr>
      <w:tr w:rsidR="00595F71" w:rsidRPr="00E97D2C" w14:paraId="62C00574" w14:textId="77777777" w:rsidTr="00696E8F">
        <w:trPr>
          <w:trHeight w:val="300"/>
        </w:trPr>
        <w:tc>
          <w:tcPr>
            <w:tcW w:w="1872" w:type="dxa"/>
            <w:noWrap/>
            <w:vAlign w:val="center"/>
            <w:hideMark/>
          </w:tcPr>
          <w:p w14:paraId="6FA12A19" w14:textId="77777777" w:rsidR="00595F71" w:rsidRPr="00E97D2C" w:rsidRDefault="00595F71" w:rsidP="00696E8F">
            <w:pPr>
              <w:rPr>
                <w:rFonts w:cs="Arial"/>
                <w:color w:val="000000"/>
              </w:rPr>
            </w:pPr>
            <w:r w:rsidRPr="00E97D2C">
              <w:rPr>
                <w:rFonts w:cs="Arial"/>
                <w:color w:val="000000"/>
              </w:rPr>
              <w:t>0D154KB</w:t>
            </w:r>
          </w:p>
        </w:tc>
        <w:tc>
          <w:tcPr>
            <w:tcW w:w="7560" w:type="dxa"/>
            <w:noWrap/>
            <w:vAlign w:val="center"/>
            <w:hideMark/>
          </w:tcPr>
          <w:p w14:paraId="14D8F873" w14:textId="77777777" w:rsidR="00595F71" w:rsidRPr="00E97D2C" w:rsidRDefault="00595F71" w:rsidP="00696E8F">
            <w:pPr>
              <w:rPr>
                <w:rFonts w:cs="Arial"/>
                <w:color w:val="000000"/>
              </w:rPr>
            </w:pPr>
            <w:r w:rsidRPr="00E97D2C">
              <w:rPr>
                <w:rFonts w:cs="Arial"/>
                <w:color w:val="000000"/>
              </w:rPr>
              <w:t xml:space="preserve">Bypass Esophagus to Ileum with </w:t>
            </w:r>
            <w:proofErr w:type="spellStart"/>
            <w:r w:rsidRPr="00E97D2C">
              <w:rPr>
                <w:rFonts w:cs="Arial"/>
                <w:color w:val="000000"/>
              </w:rPr>
              <w:t>Nonautologous</w:t>
            </w:r>
            <w:proofErr w:type="spellEnd"/>
            <w:r w:rsidRPr="00E97D2C">
              <w:rPr>
                <w:rFonts w:cs="Arial"/>
                <w:color w:val="000000"/>
              </w:rPr>
              <w:t xml:space="preserve"> Tissue Substitute, Percutaneous Endoscopic Approach</w:t>
            </w:r>
          </w:p>
        </w:tc>
      </w:tr>
      <w:tr w:rsidR="00595F71" w:rsidRPr="00E97D2C" w14:paraId="0103A315" w14:textId="77777777" w:rsidTr="00696E8F">
        <w:trPr>
          <w:trHeight w:val="300"/>
        </w:trPr>
        <w:tc>
          <w:tcPr>
            <w:tcW w:w="1872" w:type="dxa"/>
            <w:noWrap/>
            <w:vAlign w:val="center"/>
            <w:hideMark/>
          </w:tcPr>
          <w:p w14:paraId="7B9E1D63" w14:textId="77777777" w:rsidR="00595F71" w:rsidRPr="00E97D2C" w:rsidRDefault="00595F71" w:rsidP="00696E8F">
            <w:pPr>
              <w:rPr>
                <w:rFonts w:cs="Arial"/>
                <w:color w:val="000000"/>
              </w:rPr>
            </w:pPr>
            <w:r w:rsidRPr="00E97D2C">
              <w:rPr>
                <w:rFonts w:cs="Arial"/>
                <w:color w:val="000000"/>
              </w:rPr>
              <w:t>0D154Z4</w:t>
            </w:r>
          </w:p>
        </w:tc>
        <w:tc>
          <w:tcPr>
            <w:tcW w:w="7560" w:type="dxa"/>
            <w:noWrap/>
            <w:vAlign w:val="center"/>
            <w:hideMark/>
          </w:tcPr>
          <w:p w14:paraId="7BDA4E88" w14:textId="77777777" w:rsidR="00595F71" w:rsidRPr="00E97D2C" w:rsidRDefault="00595F71" w:rsidP="00696E8F">
            <w:pPr>
              <w:rPr>
                <w:rFonts w:cs="Arial"/>
                <w:color w:val="000000"/>
              </w:rPr>
            </w:pPr>
            <w:r w:rsidRPr="00E97D2C">
              <w:rPr>
                <w:rFonts w:cs="Arial"/>
                <w:color w:val="000000"/>
              </w:rPr>
              <w:t>Bypass Esophagus to Cutaneous, Percutaneous Endoscopic Approach</w:t>
            </w:r>
          </w:p>
        </w:tc>
      </w:tr>
      <w:tr w:rsidR="00595F71" w:rsidRPr="00E97D2C" w14:paraId="4EDE4F7A" w14:textId="77777777" w:rsidTr="00696E8F">
        <w:trPr>
          <w:trHeight w:val="300"/>
        </w:trPr>
        <w:tc>
          <w:tcPr>
            <w:tcW w:w="1872" w:type="dxa"/>
            <w:noWrap/>
            <w:vAlign w:val="center"/>
            <w:hideMark/>
          </w:tcPr>
          <w:p w14:paraId="039410DC" w14:textId="77777777" w:rsidR="00595F71" w:rsidRPr="00E97D2C" w:rsidRDefault="00595F71" w:rsidP="00696E8F">
            <w:pPr>
              <w:rPr>
                <w:rFonts w:cs="Arial"/>
                <w:color w:val="000000"/>
              </w:rPr>
            </w:pPr>
            <w:r w:rsidRPr="00E97D2C">
              <w:rPr>
                <w:rFonts w:cs="Arial"/>
                <w:color w:val="000000"/>
              </w:rPr>
              <w:t>0D154Z6</w:t>
            </w:r>
          </w:p>
        </w:tc>
        <w:tc>
          <w:tcPr>
            <w:tcW w:w="7560" w:type="dxa"/>
            <w:noWrap/>
            <w:vAlign w:val="center"/>
            <w:hideMark/>
          </w:tcPr>
          <w:p w14:paraId="62576C30" w14:textId="77777777" w:rsidR="00595F71" w:rsidRPr="00E97D2C" w:rsidRDefault="00595F71" w:rsidP="00696E8F">
            <w:pPr>
              <w:rPr>
                <w:rFonts w:cs="Arial"/>
                <w:color w:val="000000"/>
              </w:rPr>
            </w:pPr>
            <w:r w:rsidRPr="00E97D2C">
              <w:rPr>
                <w:rFonts w:cs="Arial"/>
                <w:color w:val="000000"/>
              </w:rPr>
              <w:t>Bypass Esophagus to Stomach, Percutaneous Endoscopic Approach</w:t>
            </w:r>
          </w:p>
        </w:tc>
      </w:tr>
      <w:tr w:rsidR="00595F71" w:rsidRPr="00E97D2C" w14:paraId="7F1EA244" w14:textId="77777777" w:rsidTr="00696E8F">
        <w:trPr>
          <w:trHeight w:val="300"/>
        </w:trPr>
        <w:tc>
          <w:tcPr>
            <w:tcW w:w="1872" w:type="dxa"/>
            <w:noWrap/>
            <w:vAlign w:val="center"/>
            <w:hideMark/>
          </w:tcPr>
          <w:p w14:paraId="419BD456" w14:textId="77777777" w:rsidR="00595F71" w:rsidRPr="00E97D2C" w:rsidRDefault="00595F71" w:rsidP="00696E8F">
            <w:pPr>
              <w:rPr>
                <w:rFonts w:cs="Arial"/>
                <w:color w:val="000000"/>
              </w:rPr>
            </w:pPr>
            <w:r w:rsidRPr="00E97D2C">
              <w:rPr>
                <w:rFonts w:cs="Arial"/>
                <w:color w:val="000000"/>
              </w:rPr>
              <w:t>0D154Z9</w:t>
            </w:r>
          </w:p>
        </w:tc>
        <w:tc>
          <w:tcPr>
            <w:tcW w:w="7560" w:type="dxa"/>
            <w:noWrap/>
            <w:vAlign w:val="center"/>
            <w:hideMark/>
          </w:tcPr>
          <w:p w14:paraId="122DB8FE" w14:textId="77777777" w:rsidR="00595F71" w:rsidRPr="00E97D2C" w:rsidRDefault="00595F71" w:rsidP="00696E8F">
            <w:pPr>
              <w:rPr>
                <w:rFonts w:cs="Arial"/>
                <w:color w:val="000000"/>
              </w:rPr>
            </w:pPr>
            <w:r w:rsidRPr="00E97D2C">
              <w:rPr>
                <w:rFonts w:cs="Arial"/>
                <w:color w:val="000000"/>
              </w:rPr>
              <w:t>Bypass Esophagus to Duodenum, Percutaneous Endoscopic Approach</w:t>
            </w:r>
          </w:p>
        </w:tc>
      </w:tr>
      <w:tr w:rsidR="00595F71" w:rsidRPr="00E97D2C" w14:paraId="39A667DD" w14:textId="77777777" w:rsidTr="00696E8F">
        <w:trPr>
          <w:trHeight w:val="300"/>
        </w:trPr>
        <w:tc>
          <w:tcPr>
            <w:tcW w:w="1872" w:type="dxa"/>
            <w:noWrap/>
            <w:vAlign w:val="center"/>
            <w:hideMark/>
          </w:tcPr>
          <w:p w14:paraId="5543FB2B" w14:textId="77777777" w:rsidR="00595F71" w:rsidRPr="00E97D2C" w:rsidRDefault="00595F71" w:rsidP="00696E8F">
            <w:pPr>
              <w:rPr>
                <w:rFonts w:cs="Arial"/>
                <w:color w:val="000000"/>
              </w:rPr>
            </w:pPr>
            <w:r w:rsidRPr="00E97D2C">
              <w:rPr>
                <w:rFonts w:cs="Arial"/>
                <w:color w:val="000000"/>
              </w:rPr>
              <w:t>0D154ZA</w:t>
            </w:r>
          </w:p>
        </w:tc>
        <w:tc>
          <w:tcPr>
            <w:tcW w:w="7560" w:type="dxa"/>
            <w:noWrap/>
            <w:vAlign w:val="center"/>
            <w:hideMark/>
          </w:tcPr>
          <w:p w14:paraId="2C079330" w14:textId="77777777" w:rsidR="00595F71" w:rsidRPr="00E97D2C" w:rsidRDefault="00595F71" w:rsidP="00696E8F">
            <w:pPr>
              <w:rPr>
                <w:rFonts w:cs="Arial"/>
                <w:color w:val="000000"/>
              </w:rPr>
            </w:pPr>
            <w:r w:rsidRPr="00E97D2C">
              <w:rPr>
                <w:rFonts w:cs="Arial"/>
                <w:color w:val="000000"/>
              </w:rPr>
              <w:t>Bypass Esophagus to Jejunum, Percutaneous Endoscopic Approach</w:t>
            </w:r>
          </w:p>
        </w:tc>
      </w:tr>
      <w:tr w:rsidR="00595F71" w:rsidRPr="00E97D2C" w14:paraId="39CA62CE" w14:textId="77777777" w:rsidTr="00696E8F">
        <w:trPr>
          <w:trHeight w:val="300"/>
        </w:trPr>
        <w:tc>
          <w:tcPr>
            <w:tcW w:w="1872" w:type="dxa"/>
            <w:noWrap/>
            <w:vAlign w:val="center"/>
            <w:hideMark/>
          </w:tcPr>
          <w:p w14:paraId="3FEB5171" w14:textId="77777777" w:rsidR="00595F71" w:rsidRPr="00E97D2C" w:rsidRDefault="00595F71" w:rsidP="00696E8F">
            <w:pPr>
              <w:rPr>
                <w:rFonts w:cs="Arial"/>
                <w:color w:val="000000"/>
              </w:rPr>
            </w:pPr>
            <w:r w:rsidRPr="00E97D2C">
              <w:rPr>
                <w:rFonts w:cs="Arial"/>
                <w:color w:val="000000"/>
              </w:rPr>
              <w:t>0D154ZB</w:t>
            </w:r>
          </w:p>
        </w:tc>
        <w:tc>
          <w:tcPr>
            <w:tcW w:w="7560" w:type="dxa"/>
            <w:noWrap/>
            <w:vAlign w:val="center"/>
            <w:hideMark/>
          </w:tcPr>
          <w:p w14:paraId="41A032D1" w14:textId="77777777" w:rsidR="00595F71" w:rsidRPr="00E97D2C" w:rsidRDefault="00595F71" w:rsidP="00696E8F">
            <w:pPr>
              <w:rPr>
                <w:rFonts w:cs="Arial"/>
                <w:color w:val="000000"/>
              </w:rPr>
            </w:pPr>
            <w:r w:rsidRPr="00E97D2C">
              <w:rPr>
                <w:rFonts w:cs="Arial"/>
                <w:color w:val="000000"/>
              </w:rPr>
              <w:t>Bypass Esophagus to Ileum, Percutaneous Endoscopic Approach</w:t>
            </w:r>
          </w:p>
        </w:tc>
      </w:tr>
      <w:tr w:rsidR="00595F71" w:rsidRPr="00E97D2C" w14:paraId="288C8BB6" w14:textId="77777777" w:rsidTr="00696E8F">
        <w:trPr>
          <w:trHeight w:val="300"/>
        </w:trPr>
        <w:tc>
          <w:tcPr>
            <w:tcW w:w="1872" w:type="dxa"/>
            <w:noWrap/>
            <w:vAlign w:val="center"/>
            <w:hideMark/>
          </w:tcPr>
          <w:p w14:paraId="243D3B60" w14:textId="77777777" w:rsidR="00595F71" w:rsidRPr="00E97D2C" w:rsidRDefault="00595F71" w:rsidP="00696E8F">
            <w:pPr>
              <w:rPr>
                <w:rFonts w:cs="Arial"/>
                <w:color w:val="000000"/>
              </w:rPr>
            </w:pPr>
            <w:r w:rsidRPr="00E97D2C">
              <w:rPr>
                <w:rFonts w:cs="Arial"/>
                <w:color w:val="000000"/>
              </w:rPr>
              <w:t>0D15874</w:t>
            </w:r>
          </w:p>
        </w:tc>
        <w:tc>
          <w:tcPr>
            <w:tcW w:w="7560" w:type="dxa"/>
            <w:noWrap/>
            <w:vAlign w:val="center"/>
            <w:hideMark/>
          </w:tcPr>
          <w:p w14:paraId="5C1B90BD" w14:textId="77777777" w:rsidR="00595F71" w:rsidRPr="00E97D2C" w:rsidRDefault="00595F71" w:rsidP="00696E8F">
            <w:pPr>
              <w:rPr>
                <w:rFonts w:cs="Arial"/>
                <w:color w:val="000000"/>
              </w:rPr>
            </w:pPr>
            <w:r w:rsidRPr="00E97D2C">
              <w:rPr>
                <w:rFonts w:cs="Arial"/>
                <w:color w:val="000000"/>
              </w:rPr>
              <w:t>Bypass Esophagus to Cutaneous with Autologous Tissue Substitute, Via Natural or Artificial Opening Endoscopic</w:t>
            </w:r>
          </w:p>
        </w:tc>
      </w:tr>
      <w:tr w:rsidR="00595F71" w:rsidRPr="00E97D2C" w14:paraId="1D334344" w14:textId="77777777" w:rsidTr="00696E8F">
        <w:trPr>
          <w:trHeight w:val="300"/>
        </w:trPr>
        <w:tc>
          <w:tcPr>
            <w:tcW w:w="1872" w:type="dxa"/>
            <w:noWrap/>
            <w:vAlign w:val="center"/>
            <w:hideMark/>
          </w:tcPr>
          <w:p w14:paraId="32D891EB" w14:textId="77777777" w:rsidR="00595F71" w:rsidRPr="00E97D2C" w:rsidRDefault="00595F71" w:rsidP="00696E8F">
            <w:pPr>
              <w:rPr>
                <w:rFonts w:cs="Arial"/>
                <w:color w:val="000000"/>
              </w:rPr>
            </w:pPr>
            <w:r w:rsidRPr="00E97D2C">
              <w:rPr>
                <w:rFonts w:cs="Arial"/>
                <w:color w:val="000000"/>
              </w:rPr>
              <w:t>0D15876</w:t>
            </w:r>
          </w:p>
        </w:tc>
        <w:tc>
          <w:tcPr>
            <w:tcW w:w="7560" w:type="dxa"/>
            <w:noWrap/>
            <w:vAlign w:val="center"/>
            <w:hideMark/>
          </w:tcPr>
          <w:p w14:paraId="3962C52E" w14:textId="77777777" w:rsidR="00595F71" w:rsidRPr="00E97D2C" w:rsidRDefault="00595F71" w:rsidP="00696E8F">
            <w:pPr>
              <w:rPr>
                <w:rFonts w:cs="Arial"/>
                <w:color w:val="000000"/>
              </w:rPr>
            </w:pPr>
            <w:r w:rsidRPr="00E97D2C">
              <w:rPr>
                <w:rFonts w:cs="Arial"/>
                <w:color w:val="000000"/>
              </w:rPr>
              <w:t>Bypass Esophagus to Stomach with Autologous Tissue Substitute, Via Natural or Artificial Opening Endoscopic</w:t>
            </w:r>
          </w:p>
        </w:tc>
      </w:tr>
      <w:tr w:rsidR="00595F71" w:rsidRPr="00E97D2C" w14:paraId="0EA7901B" w14:textId="77777777" w:rsidTr="00696E8F">
        <w:trPr>
          <w:trHeight w:val="300"/>
        </w:trPr>
        <w:tc>
          <w:tcPr>
            <w:tcW w:w="1872" w:type="dxa"/>
            <w:noWrap/>
            <w:vAlign w:val="center"/>
            <w:hideMark/>
          </w:tcPr>
          <w:p w14:paraId="52A83B1A" w14:textId="77777777" w:rsidR="00595F71" w:rsidRPr="00E97D2C" w:rsidRDefault="00595F71" w:rsidP="00696E8F">
            <w:pPr>
              <w:rPr>
                <w:rFonts w:cs="Arial"/>
                <w:color w:val="000000"/>
              </w:rPr>
            </w:pPr>
            <w:r w:rsidRPr="00E97D2C">
              <w:rPr>
                <w:rFonts w:cs="Arial"/>
                <w:color w:val="000000"/>
              </w:rPr>
              <w:t>0D15879</w:t>
            </w:r>
          </w:p>
        </w:tc>
        <w:tc>
          <w:tcPr>
            <w:tcW w:w="7560" w:type="dxa"/>
            <w:noWrap/>
            <w:vAlign w:val="center"/>
            <w:hideMark/>
          </w:tcPr>
          <w:p w14:paraId="1AF04584" w14:textId="77777777" w:rsidR="00595F71" w:rsidRPr="00E97D2C" w:rsidRDefault="00595F71" w:rsidP="00696E8F">
            <w:pPr>
              <w:rPr>
                <w:rFonts w:cs="Arial"/>
                <w:color w:val="000000"/>
              </w:rPr>
            </w:pPr>
            <w:r w:rsidRPr="00E97D2C">
              <w:rPr>
                <w:rFonts w:cs="Arial"/>
                <w:color w:val="000000"/>
              </w:rPr>
              <w:t>Bypass Esophagus to Duodenum with Autologous Tissue Substitute, Via Natural or Artificial Opening Endoscopic</w:t>
            </w:r>
          </w:p>
        </w:tc>
      </w:tr>
      <w:tr w:rsidR="00595F71" w:rsidRPr="00E97D2C" w14:paraId="0D6E43B0" w14:textId="77777777" w:rsidTr="00696E8F">
        <w:trPr>
          <w:trHeight w:val="300"/>
        </w:trPr>
        <w:tc>
          <w:tcPr>
            <w:tcW w:w="1872" w:type="dxa"/>
            <w:noWrap/>
            <w:vAlign w:val="center"/>
            <w:hideMark/>
          </w:tcPr>
          <w:p w14:paraId="4D50034C" w14:textId="77777777" w:rsidR="00595F71" w:rsidRPr="00E97D2C" w:rsidRDefault="00595F71" w:rsidP="00696E8F">
            <w:pPr>
              <w:rPr>
                <w:rFonts w:cs="Arial"/>
                <w:color w:val="000000"/>
              </w:rPr>
            </w:pPr>
            <w:r w:rsidRPr="00E97D2C">
              <w:rPr>
                <w:rFonts w:cs="Arial"/>
                <w:color w:val="000000"/>
              </w:rPr>
              <w:t>0D1587A</w:t>
            </w:r>
          </w:p>
        </w:tc>
        <w:tc>
          <w:tcPr>
            <w:tcW w:w="7560" w:type="dxa"/>
            <w:noWrap/>
            <w:vAlign w:val="center"/>
            <w:hideMark/>
          </w:tcPr>
          <w:p w14:paraId="119B49E3" w14:textId="77777777" w:rsidR="00595F71" w:rsidRPr="00E97D2C" w:rsidRDefault="00595F71" w:rsidP="00696E8F">
            <w:pPr>
              <w:rPr>
                <w:rFonts w:cs="Arial"/>
                <w:color w:val="000000"/>
              </w:rPr>
            </w:pPr>
            <w:r w:rsidRPr="00E97D2C">
              <w:rPr>
                <w:rFonts w:cs="Arial"/>
                <w:color w:val="000000"/>
              </w:rPr>
              <w:t>Bypass Esophagus to Jejunum with Autologous Tissue Substitute, Via Natural or Artificial Opening Endoscopic</w:t>
            </w:r>
          </w:p>
        </w:tc>
      </w:tr>
      <w:tr w:rsidR="00595F71" w:rsidRPr="00E97D2C" w14:paraId="6867E68E" w14:textId="77777777" w:rsidTr="00696E8F">
        <w:trPr>
          <w:trHeight w:val="300"/>
        </w:trPr>
        <w:tc>
          <w:tcPr>
            <w:tcW w:w="1872" w:type="dxa"/>
            <w:noWrap/>
            <w:vAlign w:val="center"/>
            <w:hideMark/>
          </w:tcPr>
          <w:p w14:paraId="5A276F95" w14:textId="77777777" w:rsidR="00595F71" w:rsidRPr="00E97D2C" w:rsidRDefault="00595F71" w:rsidP="00696E8F">
            <w:pPr>
              <w:rPr>
                <w:rFonts w:cs="Arial"/>
                <w:color w:val="000000"/>
              </w:rPr>
            </w:pPr>
            <w:r w:rsidRPr="00E97D2C">
              <w:rPr>
                <w:rFonts w:cs="Arial"/>
                <w:color w:val="000000"/>
              </w:rPr>
              <w:t>0D1587B</w:t>
            </w:r>
          </w:p>
        </w:tc>
        <w:tc>
          <w:tcPr>
            <w:tcW w:w="7560" w:type="dxa"/>
            <w:noWrap/>
            <w:vAlign w:val="center"/>
            <w:hideMark/>
          </w:tcPr>
          <w:p w14:paraId="35F08D42" w14:textId="77777777" w:rsidR="00595F71" w:rsidRPr="00E97D2C" w:rsidRDefault="00595F71" w:rsidP="00696E8F">
            <w:pPr>
              <w:rPr>
                <w:rFonts w:cs="Arial"/>
                <w:color w:val="000000"/>
              </w:rPr>
            </w:pPr>
            <w:r w:rsidRPr="00E97D2C">
              <w:rPr>
                <w:rFonts w:cs="Arial"/>
                <w:color w:val="000000"/>
              </w:rPr>
              <w:t>Bypass Esophagus to Ileum with Autologous Tissue Substitute, Via Natural or Artificial Opening Endoscopic</w:t>
            </w:r>
          </w:p>
        </w:tc>
      </w:tr>
      <w:tr w:rsidR="00595F71" w:rsidRPr="00E97D2C" w14:paraId="079B59B0" w14:textId="77777777" w:rsidTr="00696E8F">
        <w:trPr>
          <w:trHeight w:val="300"/>
        </w:trPr>
        <w:tc>
          <w:tcPr>
            <w:tcW w:w="1872" w:type="dxa"/>
            <w:noWrap/>
            <w:vAlign w:val="center"/>
            <w:hideMark/>
          </w:tcPr>
          <w:p w14:paraId="7504BDA9" w14:textId="77777777" w:rsidR="00595F71" w:rsidRPr="00E97D2C" w:rsidRDefault="00595F71" w:rsidP="00696E8F">
            <w:pPr>
              <w:rPr>
                <w:rFonts w:cs="Arial"/>
                <w:color w:val="000000"/>
              </w:rPr>
            </w:pPr>
            <w:r w:rsidRPr="00E97D2C">
              <w:rPr>
                <w:rFonts w:cs="Arial"/>
                <w:color w:val="000000"/>
              </w:rPr>
              <w:t>0D158J4</w:t>
            </w:r>
          </w:p>
        </w:tc>
        <w:tc>
          <w:tcPr>
            <w:tcW w:w="7560" w:type="dxa"/>
            <w:noWrap/>
            <w:vAlign w:val="center"/>
            <w:hideMark/>
          </w:tcPr>
          <w:p w14:paraId="51ECE1B2" w14:textId="77777777" w:rsidR="00595F71" w:rsidRPr="00E97D2C" w:rsidRDefault="00595F71" w:rsidP="00696E8F">
            <w:pPr>
              <w:rPr>
                <w:rFonts w:cs="Arial"/>
                <w:color w:val="000000"/>
              </w:rPr>
            </w:pPr>
            <w:r w:rsidRPr="00E97D2C">
              <w:rPr>
                <w:rFonts w:cs="Arial"/>
                <w:color w:val="000000"/>
              </w:rPr>
              <w:t>Bypass Esophagus to Cutaneous with Synthetic Substitute, Via Natural or Artificial Opening Endoscopic</w:t>
            </w:r>
          </w:p>
        </w:tc>
      </w:tr>
      <w:tr w:rsidR="00595F71" w:rsidRPr="00E97D2C" w14:paraId="48821137" w14:textId="77777777" w:rsidTr="00696E8F">
        <w:trPr>
          <w:trHeight w:val="300"/>
        </w:trPr>
        <w:tc>
          <w:tcPr>
            <w:tcW w:w="1872" w:type="dxa"/>
            <w:noWrap/>
            <w:vAlign w:val="center"/>
            <w:hideMark/>
          </w:tcPr>
          <w:p w14:paraId="6DCC5741" w14:textId="77777777" w:rsidR="00595F71" w:rsidRPr="00E97D2C" w:rsidRDefault="00595F71" w:rsidP="00696E8F">
            <w:pPr>
              <w:rPr>
                <w:rFonts w:cs="Arial"/>
                <w:color w:val="000000"/>
              </w:rPr>
            </w:pPr>
            <w:r w:rsidRPr="00E97D2C">
              <w:rPr>
                <w:rFonts w:cs="Arial"/>
                <w:color w:val="000000"/>
              </w:rPr>
              <w:lastRenderedPageBreak/>
              <w:t>0D158J6</w:t>
            </w:r>
          </w:p>
        </w:tc>
        <w:tc>
          <w:tcPr>
            <w:tcW w:w="7560" w:type="dxa"/>
            <w:noWrap/>
            <w:vAlign w:val="center"/>
            <w:hideMark/>
          </w:tcPr>
          <w:p w14:paraId="533C39CB" w14:textId="77777777" w:rsidR="00595F71" w:rsidRPr="00E97D2C" w:rsidRDefault="00595F71" w:rsidP="00696E8F">
            <w:pPr>
              <w:rPr>
                <w:rFonts w:cs="Arial"/>
                <w:color w:val="000000"/>
              </w:rPr>
            </w:pPr>
            <w:r w:rsidRPr="00E97D2C">
              <w:rPr>
                <w:rFonts w:cs="Arial"/>
                <w:color w:val="000000"/>
              </w:rPr>
              <w:t>Bypass Esophagus to Stomach with Synthetic Substitute, Via Natural or Artificial Opening Endoscopic</w:t>
            </w:r>
          </w:p>
        </w:tc>
      </w:tr>
      <w:tr w:rsidR="00595F71" w:rsidRPr="00E97D2C" w14:paraId="4224EDC4" w14:textId="77777777" w:rsidTr="00696E8F">
        <w:trPr>
          <w:trHeight w:val="300"/>
        </w:trPr>
        <w:tc>
          <w:tcPr>
            <w:tcW w:w="1872" w:type="dxa"/>
            <w:noWrap/>
            <w:vAlign w:val="center"/>
            <w:hideMark/>
          </w:tcPr>
          <w:p w14:paraId="40DB371C" w14:textId="77777777" w:rsidR="00595F71" w:rsidRPr="00E97D2C" w:rsidRDefault="00595F71" w:rsidP="00696E8F">
            <w:pPr>
              <w:rPr>
                <w:rFonts w:cs="Arial"/>
                <w:color w:val="000000"/>
              </w:rPr>
            </w:pPr>
            <w:r w:rsidRPr="00E97D2C">
              <w:rPr>
                <w:rFonts w:cs="Arial"/>
                <w:color w:val="000000"/>
              </w:rPr>
              <w:t>0D158J9</w:t>
            </w:r>
          </w:p>
        </w:tc>
        <w:tc>
          <w:tcPr>
            <w:tcW w:w="7560" w:type="dxa"/>
            <w:noWrap/>
            <w:vAlign w:val="center"/>
            <w:hideMark/>
          </w:tcPr>
          <w:p w14:paraId="34DDF5A1" w14:textId="77777777" w:rsidR="00595F71" w:rsidRPr="00E97D2C" w:rsidRDefault="00595F71" w:rsidP="00696E8F">
            <w:pPr>
              <w:rPr>
                <w:rFonts w:cs="Arial"/>
                <w:color w:val="000000"/>
              </w:rPr>
            </w:pPr>
            <w:r w:rsidRPr="00E97D2C">
              <w:rPr>
                <w:rFonts w:cs="Arial"/>
                <w:color w:val="000000"/>
              </w:rPr>
              <w:t>Bypass Esophagus to Duodenum with Synthetic Substitute, Via Natural or Artificial Opening Endoscopic</w:t>
            </w:r>
          </w:p>
        </w:tc>
      </w:tr>
      <w:tr w:rsidR="00595F71" w:rsidRPr="00E97D2C" w14:paraId="46870F8A" w14:textId="77777777" w:rsidTr="00696E8F">
        <w:trPr>
          <w:trHeight w:val="300"/>
        </w:trPr>
        <w:tc>
          <w:tcPr>
            <w:tcW w:w="1872" w:type="dxa"/>
            <w:noWrap/>
            <w:vAlign w:val="center"/>
            <w:hideMark/>
          </w:tcPr>
          <w:p w14:paraId="1DC24E99" w14:textId="77777777" w:rsidR="00595F71" w:rsidRPr="00E97D2C" w:rsidRDefault="00595F71" w:rsidP="00696E8F">
            <w:pPr>
              <w:rPr>
                <w:rFonts w:cs="Arial"/>
                <w:color w:val="000000"/>
              </w:rPr>
            </w:pPr>
            <w:r w:rsidRPr="00E97D2C">
              <w:rPr>
                <w:rFonts w:cs="Arial"/>
                <w:color w:val="000000"/>
              </w:rPr>
              <w:t>0D158JA</w:t>
            </w:r>
          </w:p>
        </w:tc>
        <w:tc>
          <w:tcPr>
            <w:tcW w:w="7560" w:type="dxa"/>
            <w:noWrap/>
            <w:vAlign w:val="center"/>
            <w:hideMark/>
          </w:tcPr>
          <w:p w14:paraId="424E079E" w14:textId="77777777" w:rsidR="00595F71" w:rsidRPr="00E97D2C" w:rsidRDefault="00595F71" w:rsidP="00696E8F">
            <w:pPr>
              <w:rPr>
                <w:rFonts w:cs="Arial"/>
                <w:color w:val="000000"/>
              </w:rPr>
            </w:pPr>
            <w:r w:rsidRPr="00E97D2C">
              <w:rPr>
                <w:rFonts w:cs="Arial"/>
                <w:color w:val="000000"/>
              </w:rPr>
              <w:t>Bypass Esophagus to Jejunum with Synthetic Substitute, Via Natural or Artificial Opening Endoscopic</w:t>
            </w:r>
          </w:p>
        </w:tc>
      </w:tr>
      <w:tr w:rsidR="00595F71" w:rsidRPr="00E97D2C" w14:paraId="2A9BF77E" w14:textId="77777777" w:rsidTr="00696E8F">
        <w:trPr>
          <w:trHeight w:val="300"/>
        </w:trPr>
        <w:tc>
          <w:tcPr>
            <w:tcW w:w="1872" w:type="dxa"/>
            <w:noWrap/>
            <w:vAlign w:val="center"/>
            <w:hideMark/>
          </w:tcPr>
          <w:p w14:paraId="466C047D" w14:textId="77777777" w:rsidR="00595F71" w:rsidRPr="00E97D2C" w:rsidRDefault="00595F71" w:rsidP="00696E8F">
            <w:pPr>
              <w:rPr>
                <w:rFonts w:cs="Arial"/>
                <w:color w:val="000000"/>
              </w:rPr>
            </w:pPr>
            <w:r w:rsidRPr="00E97D2C">
              <w:rPr>
                <w:rFonts w:cs="Arial"/>
                <w:color w:val="000000"/>
              </w:rPr>
              <w:t>0D158JB</w:t>
            </w:r>
          </w:p>
        </w:tc>
        <w:tc>
          <w:tcPr>
            <w:tcW w:w="7560" w:type="dxa"/>
            <w:noWrap/>
            <w:vAlign w:val="center"/>
            <w:hideMark/>
          </w:tcPr>
          <w:p w14:paraId="38F503B5" w14:textId="77777777" w:rsidR="00595F71" w:rsidRPr="00E97D2C" w:rsidRDefault="00595F71" w:rsidP="00696E8F">
            <w:pPr>
              <w:rPr>
                <w:rFonts w:cs="Arial"/>
                <w:color w:val="000000"/>
              </w:rPr>
            </w:pPr>
            <w:r w:rsidRPr="00E97D2C">
              <w:rPr>
                <w:rFonts w:cs="Arial"/>
                <w:color w:val="000000"/>
              </w:rPr>
              <w:t>Bypass Esophagus to Ileum with Synthetic Substitute, Via Natural or Artificial Opening Endoscopic</w:t>
            </w:r>
          </w:p>
        </w:tc>
      </w:tr>
      <w:tr w:rsidR="00595F71" w:rsidRPr="00E97D2C" w14:paraId="149B5AA5" w14:textId="77777777" w:rsidTr="00696E8F">
        <w:trPr>
          <w:trHeight w:val="300"/>
        </w:trPr>
        <w:tc>
          <w:tcPr>
            <w:tcW w:w="1872" w:type="dxa"/>
            <w:noWrap/>
            <w:vAlign w:val="center"/>
            <w:hideMark/>
          </w:tcPr>
          <w:p w14:paraId="3C727437" w14:textId="77777777" w:rsidR="00595F71" w:rsidRPr="00E97D2C" w:rsidRDefault="00595F71" w:rsidP="00696E8F">
            <w:pPr>
              <w:rPr>
                <w:rFonts w:cs="Arial"/>
                <w:color w:val="000000"/>
              </w:rPr>
            </w:pPr>
            <w:r w:rsidRPr="00E97D2C">
              <w:rPr>
                <w:rFonts w:cs="Arial"/>
                <w:color w:val="000000"/>
              </w:rPr>
              <w:t>0D158K4</w:t>
            </w:r>
          </w:p>
        </w:tc>
        <w:tc>
          <w:tcPr>
            <w:tcW w:w="7560" w:type="dxa"/>
            <w:noWrap/>
            <w:vAlign w:val="center"/>
            <w:hideMark/>
          </w:tcPr>
          <w:p w14:paraId="0DE13AD9" w14:textId="77777777" w:rsidR="00595F71" w:rsidRPr="00E97D2C" w:rsidRDefault="00595F71" w:rsidP="00696E8F">
            <w:pPr>
              <w:rPr>
                <w:rFonts w:cs="Arial"/>
                <w:color w:val="000000"/>
              </w:rPr>
            </w:pPr>
            <w:r w:rsidRPr="00E97D2C">
              <w:rPr>
                <w:rFonts w:cs="Arial"/>
                <w:color w:val="000000"/>
              </w:rPr>
              <w:t xml:space="preserve">Bypass Esophagus to Cutaneous with </w:t>
            </w:r>
            <w:proofErr w:type="spellStart"/>
            <w:r w:rsidRPr="00E97D2C">
              <w:rPr>
                <w:rFonts w:cs="Arial"/>
                <w:color w:val="000000"/>
              </w:rPr>
              <w:t>Nonautologous</w:t>
            </w:r>
            <w:proofErr w:type="spellEnd"/>
            <w:r w:rsidRPr="00E97D2C">
              <w:rPr>
                <w:rFonts w:cs="Arial"/>
                <w:color w:val="000000"/>
              </w:rPr>
              <w:t xml:space="preserve"> Tissue Substitute, Via Natural or Artificial Opening Endoscopic</w:t>
            </w:r>
          </w:p>
        </w:tc>
      </w:tr>
      <w:tr w:rsidR="00595F71" w:rsidRPr="00E97D2C" w14:paraId="515CB358" w14:textId="77777777" w:rsidTr="00696E8F">
        <w:trPr>
          <w:trHeight w:val="300"/>
        </w:trPr>
        <w:tc>
          <w:tcPr>
            <w:tcW w:w="1872" w:type="dxa"/>
            <w:noWrap/>
            <w:vAlign w:val="center"/>
            <w:hideMark/>
          </w:tcPr>
          <w:p w14:paraId="26F12E2E" w14:textId="77777777" w:rsidR="00595F71" w:rsidRPr="00E97D2C" w:rsidRDefault="00595F71" w:rsidP="00696E8F">
            <w:pPr>
              <w:rPr>
                <w:rFonts w:cs="Arial"/>
                <w:color w:val="000000"/>
              </w:rPr>
            </w:pPr>
            <w:r w:rsidRPr="00E97D2C">
              <w:rPr>
                <w:rFonts w:cs="Arial"/>
                <w:color w:val="000000"/>
              </w:rPr>
              <w:t>0D158K6</w:t>
            </w:r>
          </w:p>
        </w:tc>
        <w:tc>
          <w:tcPr>
            <w:tcW w:w="7560" w:type="dxa"/>
            <w:noWrap/>
            <w:vAlign w:val="center"/>
            <w:hideMark/>
          </w:tcPr>
          <w:p w14:paraId="0D856412" w14:textId="77777777" w:rsidR="00595F71" w:rsidRPr="00E97D2C" w:rsidRDefault="00595F71" w:rsidP="00696E8F">
            <w:pPr>
              <w:rPr>
                <w:rFonts w:cs="Arial"/>
                <w:color w:val="000000"/>
              </w:rPr>
            </w:pPr>
            <w:r w:rsidRPr="00E97D2C">
              <w:rPr>
                <w:rFonts w:cs="Arial"/>
                <w:color w:val="000000"/>
              </w:rPr>
              <w:t xml:space="preserve">Bypass Esophagus to Stomach with </w:t>
            </w:r>
            <w:proofErr w:type="spellStart"/>
            <w:r w:rsidRPr="00E97D2C">
              <w:rPr>
                <w:rFonts w:cs="Arial"/>
                <w:color w:val="000000"/>
              </w:rPr>
              <w:t>Nonautologous</w:t>
            </w:r>
            <w:proofErr w:type="spellEnd"/>
            <w:r w:rsidRPr="00E97D2C">
              <w:rPr>
                <w:rFonts w:cs="Arial"/>
                <w:color w:val="000000"/>
              </w:rPr>
              <w:t xml:space="preserve"> Tissue Substitute, Via Natural or Artificial Opening Endoscopic</w:t>
            </w:r>
          </w:p>
        </w:tc>
      </w:tr>
      <w:tr w:rsidR="00595F71" w:rsidRPr="00E97D2C" w14:paraId="3A141BA2" w14:textId="77777777" w:rsidTr="00696E8F">
        <w:trPr>
          <w:trHeight w:val="300"/>
        </w:trPr>
        <w:tc>
          <w:tcPr>
            <w:tcW w:w="1872" w:type="dxa"/>
            <w:noWrap/>
            <w:vAlign w:val="center"/>
            <w:hideMark/>
          </w:tcPr>
          <w:p w14:paraId="6C5928A2" w14:textId="77777777" w:rsidR="00595F71" w:rsidRPr="00E97D2C" w:rsidRDefault="00595F71" w:rsidP="00696E8F">
            <w:pPr>
              <w:rPr>
                <w:rFonts w:cs="Arial"/>
                <w:color w:val="000000"/>
              </w:rPr>
            </w:pPr>
            <w:r w:rsidRPr="00E97D2C">
              <w:rPr>
                <w:rFonts w:cs="Arial"/>
                <w:color w:val="000000"/>
              </w:rPr>
              <w:t>0D158K9</w:t>
            </w:r>
          </w:p>
        </w:tc>
        <w:tc>
          <w:tcPr>
            <w:tcW w:w="7560" w:type="dxa"/>
            <w:noWrap/>
            <w:vAlign w:val="center"/>
            <w:hideMark/>
          </w:tcPr>
          <w:p w14:paraId="3378BDBF" w14:textId="77777777" w:rsidR="00595F71" w:rsidRPr="00E97D2C" w:rsidRDefault="00595F71" w:rsidP="00696E8F">
            <w:pPr>
              <w:rPr>
                <w:rFonts w:cs="Arial"/>
                <w:color w:val="000000"/>
              </w:rPr>
            </w:pPr>
            <w:r w:rsidRPr="00E97D2C">
              <w:rPr>
                <w:rFonts w:cs="Arial"/>
                <w:color w:val="000000"/>
              </w:rPr>
              <w:t xml:space="preserve">Bypass Esophagus to Duodenum with </w:t>
            </w:r>
            <w:proofErr w:type="spellStart"/>
            <w:r w:rsidRPr="00E97D2C">
              <w:rPr>
                <w:rFonts w:cs="Arial"/>
                <w:color w:val="000000"/>
              </w:rPr>
              <w:t>Nonautologous</w:t>
            </w:r>
            <w:proofErr w:type="spellEnd"/>
            <w:r w:rsidRPr="00E97D2C">
              <w:rPr>
                <w:rFonts w:cs="Arial"/>
                <w:color w:val="000000"/>
              </w:rPr>
              <w:t xml:space="preserve"> Tissue Substitute, Via Natural or Artificial Opening Endoscopic</w:t>
            </w:r>
          </w:p>
        </w:tc>
      </w:tr>
      <w:tr w:rsidR="00595F71" w:rsidRPr="00E97D2C" w14:paraId="7EE1A4E3" w14:textId="77777777" w:rsidTr="00696E8F">
        <w:trPr>
          <w:trHeight w:val="300"/>
        </w:trPr>
        <w:tc>
          <w:tcPr>
            <w:tcW w:w="1872" w:type="dxa"/>
            <w:noWrap/>
            <w:vAlign w:val="center"/>
            <w:hideMark/>
          </w:tcPr>
          <w:p w14:paraId="3074E820" w14:textId="77777777" w:rsidR="00595F71" w:rsidRPr="00E97D2C" w:rsidRDefault="00595F71" w:rsidP="00696E8F">
            <w:pPr>
              <w:rPr>
                <w:rFonts w:cs="Arial"/>
                <w:color w:val="000000"/>
              </w:rPr>
            </w:pPr>
            <w:r w:rsidRPr="00E97D2C">
              <w:rPr>
                <w:rFonts w:cs="Arial"/>
                <w:color w:val="000000"/>
              </w:rPr>
              <w:t>0D158KA</w:t>
            </w:r>
          </w:p>
        </w:tc>
        <w:tc>
          <w:tcPr>
            <w:tcW w:w="7560" w:type="dxa"/>
            <w:noWrap/>
            <w:vAlign w:val="center"/>
            <w:hideMark/>
          </w:tcPr>
          <w:p w14:paraId="0FF9D80A" w14:textId="77777777" w:rsidR="00595F71" w:rsidRPr="00E97D2C" w:rsidRDefault="00595F71" w:rsidP="00696E8F">
            <w:pPr>
              <w:rPr>
                <w:rFonts w:cs="Arial"/>
                <w:color w:val="000000"/>
              </w:rPr>
            </w:pPr>
            <w:r w:rsidRPr="00E97D2C">
              <w:rPr>
                <w:rFonts w:cs="Arial"/>
                <w:color w:val="000000"/>
              </w:rPr>
              <w:t xml:space="preserve">Bypass Esophagus to Jejunum with </w:t>
            </w:r>
            <w:proofErr w:type="spellStart"/>
            <w:r w:rsidRPr="00E97D2C">
              <w:rPr>
                <w:rFonts w:cs="Arial"/>
                <w:color w:val="000000"/>
              </w:rPr>
              <w:t>Nonautologous</w:t>
            </w:r>
            <w:proofErr w:type="spellEnd"/>
            <w:r w:rsidRPr="00E97D2C">
              <w:rPr>
                <w:rFonts w:cs="Arial"/>
                <w:color w:val="000000"/>
              </w:rPr>
              <w:t xml:space="preserve"> Tissue Substitute, Via Natural or Artificial Opening Endoscopic</w:t>
            </w:r>
          </w:p>
        </w:tc>
      </w:tr>
      <w:tr w:rsidR="00595F71" w:rsidRPr="00E97D2C" w14:paraId="649C5230" w14:textId="77777777" w:rsidTr="00696E8F">
        <w:trPr>
          <w:trHeight w:val="300"/>
        </w:trPr>
        <w:tc>
          <w:tcPr>
            <w:tcW w:w="1872" w:type="dxa"/>
            <w:noWrap/>
            <w:vAlign w:val="center"/>
            <w:hideMark/>
          </w:tcPr>
          <w:p w14:paraId="317F8D94" w14:textId="77777777" w:rsidR="00595F71" w:rsidRPr="00E97D2C" w:rsidRDefault="00595F71" w:rsidP="00696E8F">
            <w:pPr>
              <w:rPr>
                <w:rFonts w:cs="Arial"/>
                <w:color w:val="000000"/>
              </w:rPr>
            </w:pPr>
            <w:r w:rsidRPr="00E97D2C">
              <w:rPr>
                <w:rFonts w:cs="Arial"/>
                <w:color w:val="000000"/>
              </w:rPr>
              <w:t>0D158KB</w:t>
            </w:r>
          </w:p>
        </w:tc>
        <w:tc>
          <w:tcPr>
            <w:tcW w:w="7560" w:type="dxa"/>
            <w:noWrap/>
            <w:vAlign w:val="center"/>
            <w:hideMark/>
          </w:tcPr>
          <w:p w14:paraId="05673D03" w14:textId="77777777" w:rsidR="00595F71" w:rsidRPr="00E97D2C" w:rsidRDefault="00595F71" w:rsidP="00696E8F">
            <w:pPr>
              <w:rPr>
                <w:rFonts w:cs="Arial"/>
                <w:color w:val="000000"/>
              </w:rPr>
            </w:pPr>
            <w:r w:rsidRPr="00E97D2C">
              <w:rPr>
                <w:rFonts w:cs="Arial"/>
                <w:color w:val="000000"/>
              </w:rPr>
              <w:t xml:space="preserve">Bypass Esophagus to Ileum with </w:t>
            </w:r>
            <w:proofErr w:type="spellStart"/>
            <w:r w:rsidRPr="00E97D2C">
              <w:rPr>
                <w:rFonts w:cs="Arial"/>
                <w:color w:val="000000"/>
              </w:rPr>
              <w:t>Nonautologous</w:t>
            </w:r>
            <w:proofErr w:type="spellEnd"/>
            <w:r w:rsidRPr="00E97D2C">
              <w:rPr>
                <w:rFonts w:cs="Arial"/>
                <w:color w:val="000000"/>
              </w:rPr>
              <w:t xml:space="preserve"> Tissue Substitute, Via Natural or Artificial Opening Endoscopic</w:t>
            </w:r>
          </w:p>
        </w:tc>
      </w:tr>
      <w:tr w:rsidR="00595F71" w:rsidRPr="00E97D2C" w14:paraId="3F560888" w14:textId="77777777" w:rsidTr="00696E8F">
        <w:trPr>
          <w:trHeight w:val="300"/>
        </w:trPr>
        <w:tc>
          <w:tcPr>
            <w:tcW w:w="1872" w:type="dxa"/>
            <w:noWrap/>
            <w:vAlign w:val="center"/>
            <w:hideMark/>
          </w:tcPr>
          <w:p w14:paraId="5C09DAD2" w14:textId="77777777" w:rsidR="00595F71" w:rsidRPr="00E97D2C" w:rsidRDefault="00595F71" w:rsidP="00696E8F">
            <w:pPr>
              <w:rPr>
                <w:rFonts w:cs="Arial"/>
                <w:color w:val="000000"/>
              </w:rPr>
            </w:pPr>
            <w:r w:rsidRPr="00E97D2C">
              <w:rPr>
                <w:rFonts w:cs="Arial"/>
                <w:color w:val="000000"/>
              </w:rPr>
              <w:t>0D158Z4</w:t>
            </w:r>
          </w:p>
        </w:tc>
        <w:tc>
          <w:tcPr>
            <w:tcW w:w="7560" w:type="dxa"/>
            <w:noWrap/>
            <w:vAlign w:val="center"/>
            <w:hideMark/>
          </w:tcPr>
          <w:p w14:paraId="011C8CE6" w14:textId="77777777" w:rsidR="00595F71" w:rsidRPr="00E97D2C" w:rsidRDefault="00595F71" w:rsidP="00696E8F">
            <w:pPr>
              <w:rPr>
                <w:rFonts w:cs="Arial"/>
                <w:color w:val="000000"/>
              </w:rPr>
            </w:pPr>
            <w:r w:rsidRPr="00E97D2C">
              <w:rPr>
                <w:rFonts w:cs="Arial"/>
                <w:color w:val="000000"/>
              </w:rPr>
              <w:t>Bypass Esophagus to Cutaneous, Via Natural or Artificial Opening Endoscopic</w:t>
            </w:r>
          </w:p>
        </w:tc>
      </w:tr>
      <w:tr w:rsidR="00595F71" w:rsidRPr="00E97D2C" w14:paraId="379FAF07" w14:textId="77777777" w:rsidTr="00696E8F">
        <w:trPr>
          <w:trHeight w:val="300"/>
        </w:trPr>
        <w:tc>
          <w:tcPr>
            <w:tcW w:w="1872" w:type="dxa"/>
            <w:noWrap/>
            <w:vAlign w:val="center"/>
            <w:hideMark/>
          </w:tcPr>
          <w:p w14:paraId="62920CFE" w14:textId="77777777" w:rsidR="00595F71" w:rsidRPr="00E97D2C" w:rsidRDefault="00595F71" w:rsidP="00696E8F">
            <w:pPr>
              <w:rPr>
                <w:rFonts w:cs="Arial"/>
                <w:color w:val="000000"/>
              </w:rPr>
            </w:pPr>
            <w:r w:rsidRPr="00E97D2C">
              <w:rPr>
                <w:rFonts w:cs="Arial"/>
                <w:color w:val="000000"/>
              </w:rPr>
              <w:t>0D158Z6</w:t>
            </w:r>
          </w:p>
        </w:tc>
        <w:tc>
          <w:tcPr>
            <w:tcW w:w="7560" w:type="dxa"/>
            <w:noWrap/>
            <w:vAlign w:val="center"/>
            <w:hideMark/>
          </w:tcPr>
          <w:p w14:paraId="18094B6F" w14:textId="77777777" w:rsidR="00595F71" w:rsidRPr="00E97D2C" w:rsidRDefault="00595F71" w:rsidP="00696E8F">
            <w:pPr>
              <w:rPr>
                <w:rFonts w:cs="Arial"/>
                <w:color w:val="000000"/>
              </w:rPr>
            </w:pPr>
            <w:r w:rsidRPr="00E97D2C">
              <w:rPr>
                <w:rFonts w:cs="Arial"/>
                <w:color w:val="000000"/>
              </w:rPr>
              <w:t>Bypass Esophagus to Stomach, Via Natural or Artificial Opening Endoscopic</w:t>
            </w:r>
          </w:p>
        </w:tc>
      </w:tr>
      <w:tr w:rsidR="00595F71" w:rsidRPr="00E97D2C" w14:paraId="5BD7F292" w14:textId="77777777" w:rsidTr="00696E8F">
        <w:trPr>
          <w:trHeight w:val="300"/>
        </w:trPr>
        <w:tc>
          <w:tcPr>
            <w:tcW w:w="1872" w:type="dxa"/>
            <w:noWrap/>
            <w:vAlign w:val="center"/>
            <w:hideMark/>
          </w:tcPr>
          <w:p w14:paraId="040A60E2" w14:textId="77777777" w:rsidR="00595F71" w:rsidRPr="00E97D2C" w:rsidRDefault="00595F71" w:rsidP="00696E8F">
            <w:pPr>
              <w:rPr>
                <w:rFonts w:cs="Arial"/>
                <w:color w:val="000000"/>
              </w:rPr>
            </w:pPr>
            <w:r w:rsidRPr="00E97D2C">
              <w:rPr>
                <w:rFonts w:cs="Arial"/>
                <w:color w:val="000000"/>
              </w:rPr>
              <w:t>0D158Z9</w:t>
            </w:r>
          </w:p>
        </w:tc>
        <w:tc>
          <w:tcPr>
            <w:tcW w:w="7560" w:type="dxa"/>
            <w:noWrap/>
            <w:vAlign w:val="center"/>
            <w:hideMark/>
          </w:tcPr>
          <w:p w14:paraId="1D338091" w14:textId="77777777" w:rsidR="00595F71" w:rsidRPr="00E97D2C" w:rsidRDefault="00595F71" w:rsidP="00696E8F">
            <w:pPr>
              <w:rPr>
                <w:rFonts w:cs="Arial"/>
                <w:color w:val="000000"/>
              </w:rPr>
            </w:pPr>
            <w:r w:rsidRPr="00E97D2C">
              <w:rPr>
                <w:rFonts w:cs="Arial"/>
                <w:color w:val="000000"/>
              </w:rPr>
              <w:t>Bypass Esophagus to Duodenum, Via Natural or Artificial Opening Endoscopic</w:t>
            </w:r>
          </w:p>
        </w:tc>
      </w:tr>
      <w:tr w:rsidR="00595F71" w:rsidRPr="00E97D2C" w14:paraId="342ED653" w14:textId="77777777" w:rsidTr="00696E8F">
        <w:trPr>
          <w:trHeight w:val="300"/>
        </w:trPr>
        <w:tc>
          <w:tcPr>
            <w:tcW w:w="1872" w:type="dxa"/>
            <w:noWrap/>
            <w:vAlign w:val="center"/>
            <w:hideMark/>
          </w:tcPr>
          <w:p w14:paraId="0681B837" w14:textId="77777777" w:rsidR="00595F71" w:rsidRPr="00E97D2C" w:rsidRDefault="00595F71" w:rsidP="00696E8F">
            <w:pPr>
              <w:rPr>
                <w:rFonts w:cs="Arial"/>
                <w:color w:val="000000"/>
              </w:rPr>
            </w:pPr>
            <w:r w:rsidRPr="00E97D2C">
              <w:rPr>
                <w:rFonts w:cs="Arial"/>
                <w:color w:val="000000"/>
              </w:rPr>
              <w:t>0D158ZA</w:t>
            </w:r>
          </w:p>
        </w:tc>
        <w:tc>
          <w:tcPr>
            <w:tcW w:w="7560" w:type="dxa"/>
            <w:noWrap/>
            <w:vAlign w:val="center"/>
            <w:hideMark/>
          </w:tcPr>
          <w:p w14:paraId="3984BC0B" w14:textId="77777777" w:rsidR="00595F71" w:rsidRPr="00E97D2C" w:rsidRDefault="00595F71" w:rsidP="00696E8F">
            <w:pPr>
              <w:rPr>
                <w:rFonts w:cs="Arial"/>
                <w:color w:val="000000"/>
              </w:rPr>
            </w:pPr>
            <w:r w:rsidRPr="00E97D2C">
              <w:rPr>
                <w:rFonts w:cs="Arial"/>
                <w:color w:val="000000"/>
              </w:rPr>
              <w:t>Bypass Esophagus to Jejunum, Via Natural or Artificial Opening Endoscopic</w:t>
            </w:r>
          </w:p>
        </w:tc>
      </w:tr>
      <w:tr w:rsidR="00595F71" w:rsidRPr="00E97D2C" w14:paraId="4174432B" w14:textId="77777777" w:rsidTr="00696E8F">
        <w:trPr>
          <w:trHeight w:val="300"/>
        </w:trPr>
        <w:tc>
          <w:tcPr>
            <w:tcW w:w="1872" w:type="dxa"/>
            <w:noWrap/>
            <w:vAlign w:val="center"/>
            <w:hideMark/>
          </w:tcPr>
          <w:p w14:paraId="03E11050" w14:textId="77777777" w:rsidR="00595F71" w:rsidRPr="00E97D2C" w:rsidRDefault="00595F71" w:rsidP="00696E8F">
            <w:pPr>
              <w:rPr>
                <w:rFonts w:cs="Arial"/>
                <w:color w:val="000000"/>
              </w:rPr>
            </w:pPr>
            <w:r w:rsidRPr="00E97D2C">
              <w:rPr>
                <w:rFonts w:cs="Arial"/>
                <w:color w:val="000000"/>
              </w:rPr>
              <w:t>0D158ZB</w:t>
            </w:r>
          </w:p>
        </w:tc>
        <w:tc>
          <w:tcPr>
            <w:tcW w:w="7560" w:type="dxa"/>
            <w:noWrap/>
            <w:vAlign w:val="center"/>
            <w:hideMark/>
          </w:tcPr>
          <w:p w14:paraId="6C3B7E96" w14:textId="77777777" w:rsidR="00595F71" w:rsidRPr="00E97D2C" w:rsidRDefault="00595F71" w:rsidP="00696E8F">
            <w:pPr>
              <w:rPr>
                <w:rFonts w:cs="Arial"/>
                <w:color w:val="000000"/>
              </w:rPr>
            </w:pPr>
            <w:r w:rsidRPr="00E97D2C">
              <w:rPr>
                <w:rFonts w:cs="Arial"/>
                <w:color w:val="000000"/>
              </w:rPr>
              <w:t>Bypass Esophagus to Ileum, Via Natural or Artificial Opening Endoscopic</w:t>
            </w:r>
          </w:p>
        </w:tc>
      </w:tr>
      <w:tr w:rsidR="00595F71" w:rsidRPr="00E97D2C" w14:paraId="0789E5C6" w14:textId="77777777" w:rsidTr="00696E8F">
        <w:trPr>
          <w:trHeight w:val="300"/>
        </w:trPr>
        <w:tc>
          <w:tcPr>
            <w:tcW w:w="1872" w:type="dxa"/>
            <w:noWrap/>
            <w:vAlign w:val="center"/>
            <w:hideMark/>
          </w:tcPr>
          <w:p w14:paraId="24419A12" w14:textId="77777777" w:rsidR="00595F71" w:rsidRPr="00E97D2C" w:rsidRDefault="00595F71" w:rsidP="00696E8F">
            <w:pPr>
              <w:rPr>
                <w:rFonts w:cs="Arial"/>
                <w:color w:val="000000"/>
              </w:rPr>
            </w:pPr>
            <w:r w:rsidRPr="00E97D2C">
              <w:rPr>
                <w:rFonts w:cs="Arial"/>
                <w:color w:val="000000"/>
              </w:rPr>
              <w:t>0DB10ZZ</w:t>
            </w:r>
          </w:p>
        </w:tc>
        <w:tc>
          <w:tcPr>
            <w:tcW w:w="7560" w:type="dxa"/>
            <w:noWrap/>
            <w:vAlign w:val="center"/>
            <w:hideMark/>
          </w:tcPr>
          <w:p w14:paraId="03C06907" w14:textId="77777777" w:rsidR="00595F71" w:rsidRPr="00E97D2C" w:rsidRDefault="00595F71" w:rsidP="00696E8F">
            <w:pPr>
              <w:rPr>
                <w:rFonts w:cs="Arial"/>
                <w:color w:val="000000"/>
              </w:rPr>
            </w:pPr>
            <w:r w:rsidRPr="00E97D2C">
              <w:rPr>
                <w:rFonts w:cs="Arial"/>
                <w:color w:val="000000"/>
              </w:rPr>
              <w:t>Excision of Upper Esophagus, Open Approach</w:t>
            </w:r>
          </w:p>
        </w:tc>
      </w:tr>
      <w:tr w:rsidR="00595F71" w:rsidRPr="00E97D2C" w14:paraId="56E4BEB9" w14:textId="77777777" w:rsidTr="00696E8F">
        <w:trPr>
          <w:trHeight w:val="300"/>
        </w:trPr>
        <w:tc>
          <w:tcPr>
            <w:tcW w:w="1872" w:type="dxa"/>
            <w:noWrap/>
            <w:vAlign w:val="center"/>
            <w:hideMark/>
          </w:tcPr>
          <w:p w14:paraId="50408132" w14:textId="77777777" w:rsidR="00595F71" w:rsidRPr="00E97D2C" w:rsidRDefault="00595F71" w:rsidP="00696E8F">
            <w:pPr>
              <w:rPr>
                <w:rFonts w:cs="Arial"/>
                <w:color w:val="000000"/>
              </w:rPr>
            </w:pPr>
            <w:r w:rsidRPr="00E97D2C">
              <w:rPr>
                <w:rFonts w:cs="Arial"/>
                <w:color w:val="000000"/>
              </w:rPr>
              <w:t>0DB13ZZ</w:t>
            </w:r>
          </w:p>
        </w:tc>
        <w:tc>
          <w:tcPr>
            <w:tcW w:w="7560" w:type="dxa"/>
            <w:noWrap/>
            <w:vAlign w:val="center"/>
            <w:hideMark/>
          </w:tcPr>
          <w:p w14:paraId="55A931B5" w14:textId="77777777" w:rsidR="00595F71" w:rsidRPr="00E97D2C" w:rsidRDefault="00595F71" w:rsidP="00696E8F">
            <w:pPr>
              <w:rPr>
                <w:rFonts w:cs="Arial"/>
                <w:color w:val="000000"/>
              </w:rPr>
            </w:pPr>
            <w:r w:rsidRPr="00E97D2C">
              <w:rPr>
                <w:rFonts w:cs="Arial"/>
                <w:color w:val="000000"/>
              </w:rPr>
              <w:t>Excision of Upper Esophagus, Percutaneous Approach</w:t>
            </w:r>
          </w:p>
        </w:tc>
      </w:tr>
      <w:tr w:rsidR="00A8755F" w:rsidRPr="00E97D2C" w14:paraId="53DE8F4C" w14:textId="77777777" w:rsidTr="00696E8F">
        <w:trPr>
          <w:trHeight w:val="300"/>
        </w:trPr>
        <w:tc>
          <w:tcPr>
            <w:tcW w:w="1872" w:type="dxa"/>
            <w:noWrap/>
            <w:vAlign w:val="center"/>
          </w:tcPr>
          <w:p w14:paraId="5051D504" w14:textId="481D7BE0" w:rsidR="00A8755F" w:rsidRPr="00E97D2C" w:rsidRDefault="00A8755F" w:rsidP="00696E8F">
            <w:pPr>
              <w:rPr>
                <w:rFonts w:cs="Arial"/>
                <w:color w:val="000000"/>
              </w:rPr>
            </w:pPr>
            <w:r w:rsidRPr="00F30D82">
              <w:t>0DB14ZZ</w:t>
            </w:r>
          </w:p>
        </w:tc>
        <w:tc>
          <w:tcPr>
            <w:tcW w:w="7560" w:type="dxa"/>
            <w:noWrap/>
            <w:vAlign w:val="center"/>
          </w:tcPr>
          <w:p w14:paraId="6E65D663" w14:textId="2E261F29" w:rsidR="00A8755F" w:rsidRPr="00E97D2C" w:rsidRDefault="00A8755F" w:rsidP="00696E8F">
            <w:pPr>
              <w:rPr>
                <w:rFonts w:cs="Arial"/>
                <w:color w:val="000000"/>
              </w:rPr>
            </w:pPr>
            <w:r w:rsidRPr="00F30D82">
              <w:t>Excision of Upper Esophagus, Percutaneous Endoscopic Approach</w:t>
            </w:r>
          </w:p>
        </w:tc>
      </w:tr>
      <w:tr w:rsidR="00595F71" w:rsidRPr="00E97D2C" w14:paraId="38C6F747" w14:textId="77777777" w:rsidTr="00696E8F">
        <w:trPr>
          <w:trHeight w:val="300"/>
        </w:trPr>
        <w:tc>
          <w:tcPr>
            <w:tcW w:w="1872" w:type="dxa"/>
            <w:noWrap/>
            <w:vAlign w:val="center"/>
            <w:hideMark/>
          </w:tcPr>
          <w:p w14:paraId="2075B479" w14:textId="77777777" w:rsidR="00595F71" w:rsidRPr="00E97D2C" w:rsidRDefault="00595F71" w:rsidP="00696E8F">
            <w:pPr>
              <w:rPr>
                <w:rFonts w:cs="Arial"/>
                <w:color w:val="000000"/>
              </w:rPr>
            </w:pPr>
            <w:r w:rsidRPr="00E97D2C">
              <w:rPr>
                <w:rFonts w:cs="Arial"/>
                <w:color w:val="000000"/>
              </w:rPr>
              <w:t>0DB17ZZ</w:t>
            </w:r>
          </w:p>
        </w:tc>
        <w:tc>
          <w:tcPr>
            <w:tcW w:w="7560" w:type="dxa"/>
            <w:noWrap/>
            <w:vAlign w:val="center"/>
            <w:hideMark/>
          </w:tcPr>
          <w:p w14:paraId="5E9943B2" w14:textId="77777777" w:rsidR="00595F71" w:rsidRPr="00E97D2C" w:rsidRDefault="00595F71" w:rsidP="00696E8F">
            <w:pPr>
              <w:rPr>
                <w:rFonts w:cs="Arial"/>
                <w:color w:val="000000"/>
              </w:rPr>
            </w:pPr>
            <w:r w:rsidRPr="00E97D2C">
              <w:rPr>
                <w:rFonts w:cs="Arial"/>
                <w:color w:val="000000"/>
              </w:rPr>
              <w:t>Excision of Upper Esophagus, Via Natural or Artificial Opening</w:t>
            </w:r>
          </w:p>
        </w:tc>
      </w:tr>
      <w:tr w:rsidR="00EA7A8D" w:rsidRPr="00E97D2C" w14:paraId="34D8DBD1" w14:textId="77777777" w:rsidTr="00696E8F">
        <w:trPr>
          <w:trHeight w:val="300"/>
        </w:trPr>
        <w:tc>
          <w:tcPr>
            <w:tcW w:w="1872" w:type="dxa"/>
            <w:noWrap/>
            <w:vAlign w:val="center"/>
          </w:tcPr>
          <w:p w14:paraId="18C97512" w14:textId="29725E3F" w:rsidR="00EA7A8D" w:rsidRPr="00E97D2C" w:rsidRDefault="00EA7A8D" w:rsidP="00696E8F">
            <w:pPr>
              <w:rPr>
                <w:rFonts w:cs="Arial"/>
                <w:color w:val="000000"/>
              </w:rPr>
            </w:pPr>
            <w:r w:rsidRPr="00EA7A8D">
              <w:rPr>
                <w:rFonts w:cs="Arial"/>
                <w:color w:val="000000"/>
              </w:rPr>
              <w:t>0DB18ZZ</w:t>
            </w:r>
          </w:p>
        </w:tc>
        <w:tc>
          <w:tcPr>
            <w:tcW w:w="7560" w:type="dxa"/>
            <w:noWrap/>
            <w:vAlign w:val="center"/>
          </w:tcPr>
          <w:p w14:paraId="039CE3B9" w14:textId="2821AACB" w:rsidR="00EA7A8D" w:rsidRPr="00E97D2C" w:rsidRDefault="00EA7A8D" w:rsidP="00696E8F">
            <w:pPr>
              <w:rPr>
                <w:rFonts w:cs="Arial"/>
                <w:color w:val="000000"/>
              </w:rPr>
            </w:pPr>
            <w:r w:rsidRPr="00EA7A8D">
              <w:rPr>
                <w:rFonts w:cs="Arial"/>
                <w:color w:val="000000"/>
              </w:rPr>
              <w:t>Excision of Upper Esophagus, Via Natural or Artificial Opening Endoscopic</w:t>
            </w:r>
          </w:p>
        </w:tc>
      </w:tr>
      <w:tr w:rsidR="00595F71" w:rsidRPr="00E97D2C" w14:paraId="5AFB1CDF" w14:textId="77777777" w:rsidTr="00696E8F">
        <w:trPr>
          <w:trHeight w:val="300"/>
        </w:trPr>
        <w:tc>
          <w:tcPr>
            <w:tcW w:w="1872" w:type="dxa"/>
            <w:noWrap/>
            <w:vAlign w:val="center"/>
            <w:hideMark/>
          </w:tcPr>
          <w:p w14:paraId="4409430C" w14:textId="77777777" w:rsidR="00595F71" w:rsidRPr="00E97D2C" w:rsidRDefault="00595F71" w:rsidP="00696E8F">
            <w:pPr>
              <w:rPr>
                <w:rFonts w:cs="Arial"/>
                <w:color w:val="000000"/>
              </w:rPr>
            </w:pPr>
            <w:r w:rsidRPr="00E97D2C">
              <w:rPr>
                <w:rFonts w:cs="Arial"/>
                <w:color w:val="000000"/>
              </w:rPr>
              <w:t>0DB20ZZ</w:t>
            </w:r>
          </w:p>
        </w:tc>
        <w:tc>
          <w:tcPr>
            <w:tcW w:w="7560" w:type="dxa"/>
            <w:noWrap/>
            <w:vAlign w:val="center"/>
            <w:hideMark/>
          </w:tcPr>
          <w:p w14:paraId="325DFE8C" w14:textId="77777777" w:rsidR="00595F71" w:rsidRPr="00E97D2C" w:rsidRDefault="00595F71" w:rsidP="00696E8F">
            <w:pPr>
              <w:rPr>
                <w:rFonts w:cs="Arial"/>
                <w:color w:val="000000"/>
              </w:rPr>
            </w:pPr>
            <w:r w:rsidRPr="00E97D2C">
              <w:rPr>
                <w:rFonts w:cs="Arial"/>
                <w:color w:val="000000"/>
              </w:rPr>
              <w:t>Excision of Middle Esophagus, Open Approach</w:t>
            </w:r>
          </w:p>
        </w:tc>
      </w:tr>
      <w:tr w:rsidR="00595F71" w:rsidRPr="00E97D2C" w14:paraId="0F1EAF21" w14:textId="77777777" w:rsidTr="00696E8F">
        <w:trPr>
          <w:trHeight w:val="300"/>
        </w:trPr>
        <w:tc>
          <w:tcPr>
            <w:tcW w:w="1872" w:type="dxa"/>
            <w:noWrap/>
            <w:vAlign w:val="center"/>
            <w:hideMark/>
          </w:tcPr>
          <w:p w14:paraId="6E8F72F2" w14:textId="77777777" w:rsidR="00595F71" w:rsidRPr="00E97D2C" w:rsidRDefault="00595F71" w:rsidP="00696E8F">
            <w:pPr>
              <w:rPr>
                <w:rFonts w:cs="Arial"/>
                <w:color w:val="000000"/>
              </w:rPr>
            </w:pPr>
            <w:r w:rsidRPr="00E97D2C">
              <w:rPr>
                <w:rFonts w:cs="Arial"/>
                <w:color w:val="000000"/>
              </w:rPr>
              <w:t>0DB23ZZ</w:t>
            </w:r>
          </w:p>
        </w:tc>
        <w:tc>
          <w:tcPr>
            <w:tcW w:w="7560" w:type="dxa"/>
            <w:noWrap/>
            <w:vAlign w:val="center"/>
            <w:hideMark/>
          </w:tcPr>
          <w:p w14:paraId="1039A940" w14:textId="77777777" w:rsidR="00595F71" w:rsidRPr="00E97D2C" w:rsidRDefault="00595F71" w:rsidP="00696E8F">
            <w:pPr>
              <w:rPr>
                <w:rFonts w:cs="Arial"/>
                <w:color w:val="000000"/>
              </w:rPr>
            </w:pPr>
            <w:r w:rsidRPr="00E97D2C">
              <w:rPr>
                <w:rFonts w:cs="Arial"/>
                <w:color w:val="000000"/>
              </w:rPr>
              <w:t>Excision of Middle Esophagus, Percutaneous Approach</w:t>
            </w:r>
          </w:p>
        </w:tc>
      </w:tr>
      <w:tr w:rsidR="00A8755F" w:rsidRPr="00E97D2C" w14:paraId="04A1DDC0" w14:textId="77777777" w:rsidTr="00696E8F">
        <w:trPr>
          <w:trHeight w:val="300"/>
        </w:trPr>
        <w:tc>
          <w:tcPr>
            <w:tcW w:w="1872" w:type="dxa"/>
            <w:noWrap/>
            <w:vAlign w:val="center"/>
          </w:tcPr>
          <w:p w14:paraId="0A68640F" w14:textId="09AA1DCA" w:rsidR="00A8755F" w:rsidRPr="00E97D2C" w:rsidRDefault="00A8755F" w:rsidP="00696E8F">
            <w:pPr>
              <w:rPr>
                <w:rFonts w:cs="Arial"/>
                <w:color w:val="000000"/>
              </w:rPr>
            </w:pPr>
            <w:r w:rsidRPr="00200CD4">
              <w:t>0DB24ZZ</w:t>
            </w:r>
          </w:p>
        </w:tc>
        <w:tc>
          <w:tcPr>
            <w:tcW w:w="7560" w:type="dxa"/>
            <w:noWrap/>
            <w:vAlign w:val="center"/>
          </w:tcPr>
          <w:p w14:paraId="61D35CF4" w14:textId="5E4572CC" w:rsidR="00A8755F" w:rsidRPr="00E97D2C" w:rsidRDefault="00A8755F" w:rsidP="00696E8F">
            <w:pPr>
              <w:rPr>
                <w:rFonts w:cs="Arial"/>
                <w:color w:val="000000"/>
              </w:rPr>
            </w:pPr>
            <w:r w:rsidRPr="00200CD4">
              <w:t>Excision of Middle Esophagus, Percutaneous Endoscopic Approach</w:t>
            </w:r>
          </w:p>
        </w:tc>
      </w:tr>
      <w:tr w:rsidR="00595F71" w:rsidRPr="00E97D2C" w14:paraId="0EFB789D" w14:textId="77777777" w:rsidTr="00696E8F">
        <w:trPr>
          <w:trHeight w:val="300"/>
        </w:trPr>
        <w:tc>
          <w:tcPr>
            <w:tcW w:w="1872" w:type="dxa"/>
            <w:noWrap/>
            <w:vAlign w:val="center"/>
            <w:hideMark/>
          </w:tcPr>
          <w:p w14:paraId="27314547" w14:textId="77777777" w:rsidR="00595F71" w:rsidRPr="00E97D2C" w:rsidRDefault="00595F71" w:rsidP="00696E8F">
            <w:pPr>
              <w:rPr>
                <w:rFonts w:cs="Arial"/>
                <w:color w:val="000000"/>
              </w:rPr>
            </w:pPr>
            <w:r w:rsidRPr="00E97D2C">
              <w:rPr>
                <w:rFonts w:cs="Arial"/>
                <w:color w:val="000000"/>
              </w:rPr>
              <w:t>0DB27ZZ</w:t>
            </w:r>
          </w:p>
        </w:tc>
        <w:tc>
          <w:tcPr>
            <w:tcW w:w="7560" w:type="dxa"/>
            <w:noWrap/>
            <w:vAlign w:val="center"/>
            <w:hideMark/>
          </w:tcPr>
          <w:p w14:paraId="283B88CA" w14:textId="77777777" w:rsidR="00595F71" w:rsidRPr="00E97D2C" w:rsidRDefault="00595F71" w:rsidP="00696E8F">
            <w:pPr>
              <w:rPr>
                <w:rFonts w:cs="Arial"/>
                <w:color w:val="000000"/>
              </w:rPr>
            </w:pPr>
            <w:r w:rsidRPr="00E97D2C">
              <w:rPr>
                <w:rFonts w:cs="Arial"/>
                <w:color w:val="000000"/>
              </w:rPr>
              <w:t>Excision of Middle Esophagus, Via Natural or Artificial Opening</w:t>
            </w:r>
          </w:p>
        </w:tc>
      </w:tr>
      <w:tr w:rsidR="00EA7A8D" w:rsidRPr="00E97D2C" w14:paraId="685CA414" w14:textId="77777777" w:rsidTr="00696E8F">
        <w:trPr>
          <w:trHeight w:val="300"/>
        </w:trPr>
        <w:tc>
          <w:tcPr>
            <w:tcW w:w="1872" w:type="dxa"/>
            <w:noWrap/>
            <w:vAlign w:val="center"/>
          </w:tcPr>
          <w:p w14:paraId="518BE2A2" w14:textId="42461D8C" w:rsidR="00EA7A8D" w:rsidRPr="00E97D2C" w:rsidRDefault="00EA7A8D" w:rsidP="00696E8F">
            <w:pPr>
              <w:rPr>
                <w:rFonts w:cs="Arial"/>
                <w:color w:val="000000"/>
              </w:rPr>
            </w:pPr>
            <w:r w:rsidRPr="00EA7A8D">
              <w:rPr>
                <w:rFonts w:cs="Arial"/>
                <w:color w:val="000000"/>
              </w:rPr>
              <w:t xml:space="preserve">0DB28ZZ </w:t>
            </w:r>
          </w:p>
        </w:tc>
        <w:tc>
          <w:tcPr>
            <w:tcW w:w="7560" w:type="dxa"/>
            <w:noWrap/>
            <w:vAlign w:val="center"/>
          </w:tcPr>
          <w:p w14:paraId="7E8250A4" w14:textId="16E86D83" w:rsidR="00EA7A8D" w:rsidRPr="00E97D2C" w:rsidRDefault="00EA7A8D" w:rsidP="00696E8F">
            <w:pPr>
              <w:rPr>
                <w:rFonts w:cs="Arial"/>
                <w:color w:val="000000"/>
              </w:rPr>
            </w:pPr>
            <w:r w:rsidRPr="00EA7A8D">
              <w:rPr>
                <w:rFonts w:cs="Arial"/>
                <w:color w:val="000000"/>
              </w:rPr>
              <w:t>Excision of Middle Esophagus, Via Natural or Artificial Opening Endoscopic</w:t>
            </w:r>
          </w:p>
        </w:tc>
      </w:tr>
      <w:tr w:rsidR="00595F71" w:rsidRPr="00E97D2C" w14:paraId="3F95502D" w14:textId="77777777" w:rsidTr="00696E8F">
        <w:trPr>
          <w:trHeight w:val="300"/>
        </w:trPr>
        <w:tc>
          <w:tcPr>
            <w:tcW w:w="1872" w:type="dxa"/>
            <w:noWrap/>
            <w:vAlign w:val="center"/>
            <w:hideMark/>
          </w:tcPr>
          <w:p w14:paraId="604EE099" w14:textId="77777777" w:rsidR="00595F71" w:rsidRPr="00E97D2C" w:rsidRDefault="00595F71" w:rsidP="00696E8F">
            <w:pPr>
              <w:rPr>
                <w:rFonts w:cs="Arial"/>
                <w:color w:val="000000"/>
              </w:rPr>
            </w:pPr>
            <w:r w:rsidRPr="00E97D2C">
              <w:rPr>
                <w:rFonts w:cs="Arial"/>
                <w:color w:val="000000"/>
              </w:rPr>
              <w:t>0DB30ZZ</w:t>
            </w:r>
          </w:p>
        </w:tc>
        <w:tc>
          <w:tcPr>
            <w:tcW w:w="7560" w:type="dxa"/>
            <w:noWrap/>
            <w:vAlign w:val="center"/>
            <w:hideMark/>
          </w:tcPr>
          <w:p w14:paraId="4D0B24F3" w14:textId="77777777" w:rsidR="00595F71" w:rsidRPr="00E97D2C" w:rsidRDefault="00595F71" w:rsidP="00696E8F">
            <w:pPr>
              <w:rPr>
                <w:rFonts w:cs="Arial"/>
                <w:color w:val="000000"/>
              </w:rPr>
            </w:pPr>
            <w:r w:rsidRPr="00E97D2C">
              <w:rPr>
                <w:rFonts w:cs="Arial"/>
                <w:color w:val="000000"/>
              </w:rPr>
              <w:t>Excision of Lower Esophagus, Open Approach</w:t>
            </w:r>
          </w:p>
        </w:tc>
      </w:tr>
      <w:tr w:rsidR="00595F71" w:rsidRPr="00E97D2C" w14:paraId="6C102EB1" w14:textId="77777777" w:rsidTr="00696E8F">
        <w:trPr>
          <w:trHeight w:val="300"/>
        </w:trPr>
        <w:tc>
          <w:tcPr>
            <w:tcW w:w="1872" w:type="dxa"/>
            <w:noWrap/>
            <w:vAlign w:val="center"/>
            <w:hideMark/>
          </w:tcPr>
          <w:p w14:paraId="5E319647" w14:textId="77777777" w:rsidR="00595F71" w:rsidRPr="00E97D2C" w:rsidRDefault="00595F71" w:rsidP="00696E8F">
            <w:pPr>
              <w:rPr>
                <w:rFonts w:cs="Arial"/>
                <w:color w:val="000000"/>
              </w:rPr>
            </w:pPr>
            <w:r w:rsidRPr="00E97D2C">
              <w:rPr>
                <w:rFonts w:cs="Arial"/>
                <w:color w:val="000000"/>
              </w:rPr>
              <w:t>0DB33ZZ</w:t>
            </w:r>
          </w:p>
        </w:tc>
        <w:tc>
          <w:tcPr>
            <w:tcW w:w="7560" w:type="dxa"/>
            <w:noWrap/>
            <w:vAlign w:val="center"/>
            <w:hideMark/>
          </w:tcPr>
          <w:p w14:paraId="2F5F0A05" w14:textId="77777777" w:rsidR="00595F71" w:rsidRPr="00E97D2C" w:rsidRDefault="00595F71" w:rsidP="00696E8F">
            <w:pPr>
              <w:rPr>
                <w:rFonts w:cs="Arial"/>
                <w:color w:val="000000"/>
              </w:rPr>
            </w:pPr>
            <w:r w:rsidRPr="00E97D2C">
              <w:rPr>
                <w:rFonts w:cs="Arial"/>
                <w:color w:val="000000"/>
              </w:rPr>
              <w:t>Excision of Lower Esophagus, Percutaneous Approach</w:t>
            </w:r>
          </w:p>
        </w:tc>
      </w:tr>
      <w:tr w:rsidR="00A8755F" w:rsidRPr="00E97D2C" w14:paraId="7650357B" w14:textId="77777777" w:rsidTr="00696E8F">
        <w:trPr>
          <w:trHeight w:val="300"/>
        </w:trPr>
        <w:tc>
          <w:tcPr>
            <w:tcW w:w="1872" w:type="dxa"/>
            <w:noWrap/>
            <w:vAlign w:val="center"/>
          </w:tcPr>
          <w:p w14:paraId="3C65AC24" w14:textId="35CD9983" w:rsidR="00A8755F" w:rsidRPr="00E97D2C" w:rsidRDefault="00A8755F" w:rsidP="00696E8F">
            <w:pPr>
              <w:rPr>
                <w:rFonts w:cs="Arial"/>
                <w:color w:val="000000"/>
              </w:rPr>
            </w:pPr>
            <w:r w:rsidRPr="005F11C9">
              <w:rPr>
                <w:rFonts w:cs="Arial"/>
                <w:color w:val="000000"/>
              </w:rPr>
              <w:t>0DB34ZZ</w:t>
            </w:r>
          </w:p>
        </w:tc>
        <w:tc>
          <w:tcPr>
            <w:tcW w:w="7560" w:type="dxa"/>
            <w:noWrap/>
            <w:vAlign w:val="center"/>
          </w:tcPr>
          <w:p w14:paraId="2389BE24" w14:textId="2B8717C6" w:rsidR="00A8755F" w:rsidRPr="00E97D2C" w:rsidRDefault="00A8755F" w:rsidP="00696E8F">
            <w:pPr>
              <w:rPr>
                <w:rFonts w:cs="Arial"/>
                <w:color w:val="000000"/>
              </w:rPr>
            </w:pPr>
            <w:r w:rsidRPr="00E97D2C">
              <w:rPr>
                <w:rFonts w:cs="Arial"/>
                <w:color w:val="000000"/>
              </w:rPr>
              <w:t xml:space="preserve">Excision of </w:t>
            </w:r>
            <w:r>
              <w:rPr>
                <w:rFonts w:cs="Arial"/>
                <w:color w:val="000000"/>
              </w:rPr>
              <w:t>Lower</w:t>
            </w:r>
            <w:r w:rsidRPr="00E97D2C">
              <w:rPr>
                <w:rFonts w:cs="Arial"/>
                <w:color w:val="000000"/>
              </w:rPr>
              <w:t xml:space="preserve"> Esophagus, Percutaneous </w:t>
            </w:r>
            <w:r>
              <w:rPr>
                <w:rFonts w:cs="Arial"/>
                <w:color w:val="000000"/>
              </w:rPr>
              <w:t xml:space="preserve">Endoscopic </w:t>
            </w:r>
            <w:r w:rsidRPr="00E97D2C">
              <w:rPr>
                <w:rFonts w:cs="Arial"/>
                <w:color w:val="000000"/>
              </w:rPr>
              <w:t>Approach</w:t>
            </w:r>
          </w:p>
        </w:tc>
      </w:tr>
      <w:tr w:rsidR="00EA7A8D" w:rsidRPr="00E97D2C" w14:paraId="3877193C" w14:textId="77777777" w:rsidTr="00696E8F">
        <w:trPr>
          <w:trHeight w:val="300"/>
        </w:trPr>
        <w:tc>
          <w:tcPr>
            <w:tcW w:w="1872" w:type="dxa"/>
            <w:noWrap/>
            <w:vAlign w:val="center"/>
          </w:tcPr>
          <w:p w14:paraId="691F0B36" w14:textId="1CF21F6E" w:rsidR="00EA7A8D" w:rsidRPr="005F11C9" w:rsidRDefault="00EA7A8D" w:rsidP="00696E8F">
            <w:pPr>
              <w:rPr>
                <w:rFonts w:cs="Arial"/>
                <w:color w:val="000000"/>
              </w:rPr>
            </w:pPr>
            <w:r w:rsidRPr="00E97D2C">
              <w:rPr>
                <w:rFonts w:cs="Arial"/>
                <w:color w:val="000000"/>
              </w:rPr>
              <w:t>0DB37ZZ</w:t>
            </w:r>
          </w:p>
        </w:tc>
        <w:tc>
          <w:tcPr>
            <w:tcW w:w="7560" w:type="dxa"/>
            <w:noWrap/>
            <w:vAlign w:val="center"/>
          </w:tcPr>
          <w:p w14:paraId="66FDFA45" w14:textId="0FAC8745" w:rsidR="00EA7A8D" w:rsidRPr="00E97D2C" w:rsidRDefault="00EA7A8D" w:rsidP="00696E8F">
            <w:pPr>
              <w:rPr>
                <w:rFonts w:cs="Arial"/>
                <w:color w:val="000000"/>
              </w:rPr>
            </w:pPr>
            <w:r w:rsidRPr="00E97D2C">
              <w:rPr>
                <w:rFonts w:cs="Arial"/>
                <w:color w:val="000000"/>
              </w:rPr>
              <w:t>Excision of Lower Esophagus, Via Natural or Artificial Opening</w:t>
            </w:r>
          </w:p>
        </w:tc>
      </w:tr>
      <w:tr w:rsidR="00EA7A8D" w:rsidRPr="00E97D2C" w14:paraId="720252AC" w14:textId="77777777" w:rsidTr="00696E8F">
        <w:trPr>
          <w:trHeight w:val="300"/>
        </w:trPr>
        <w:tc>
          <w:tcPr>
            <w:tcW w:w="1872" w:type="dxa"/>
            <w:noWrap/>
            <w:vAlign w:val="center"/>
          </w:tcPr>
          <w:p w14:paraId="43DC2414" w14:textId="17DEC8A9" w:rsidR="00EA7A8D" w:rsidRPr="00E97D2C" w:rsidRDefault="00EA7A8D" w:rsidP="00696E8F">
            <w:pPr>
              <w:rPr>
                <w:rFonts w:cs="Arial"/>
                <w:color w:val="000000"/>
              </w:rPr>
            </w:pPr>
            <w:r w:rsidRPr="00EA7A8D">
              <w:rPr>
                <w:rFonts w:cs="Arial"/>
                <w:color w:val="000000"/>
              </w:rPr>
              <w:t>0DB38ZZ</w:t>
            </w:r>
          </w:p>
        </w:tc>
        <w:tc>
          <w:tcPr>
            <w:tcW w:w="7560" w:type="dxa"/>
            <w:noWrap/>
            <w:vAlign w:val="center"/>
          </w:tcPr>
          <w:p w14:paraId="6F60DCC5" w14:textId="7CC8888C" w:rsidR="00EA7A8D" w:rsidRPr="00E97D2C" w:rsidRDefault="00EA7A8D" w:rsidP="00696E8F">
            <w:pPr>
              <w:rPr>
                <w:rFonts w:cs="Arial"/>
                <w:color w:val="000000"/>
              </w:rPr>
            </w:pPr>
            <w:r w:rsidRPr="00EA7A8D">
              <w:rPr>
                <w:rFonts w:cs="Arial"/>
                <w:color w:val="000000"/>
              </w:rPr>
              <w:t>Excision of Lower Esophagus, Via Natural or Artificial Opening Endoscopic</w:t>
            </w:r>
          </w:p>
        </w:tc>
      </w:tr>
      <w:tr w:rsidR="00EA7A8D" w:rsidRPr="00E97D2C" w14:paraId="21C7382C" w14:textId="77777777" w:rsidTr="00696E8F">
        <w:trPr>
          <w:trHeight w:val="300"/>
        </w:trPr>
        <w:tc>
          <w:tcPr>
            <w:tcW w:w="1872" w:type="dxa"/>
            <w:noWrap/>
            <w:vAlign w:val="center"/>
            <w:hideMark/>
          </w:tcPr>
          <w:p w14:paraId="5E2A79E8" w14:textId="77777777" w:rsidR="00EA7A8D" w:rsidRPr="00E97D2C" w:rsidRDefault="00EA7A8D" w:rsidP="00696E8F">
            <w:pPr>
              <w:rPr>
                <w:rFonts w:cs="Arial"/>
                <w:color w:val="000000"/>
              </w:rPr>
            </w:pPr>
            <w:r w:rsidRPr="00E97D2C">
              <w:rPr>
                <w:rFonts w:cs="Arial"/>
                <w:color w:val="000000"/>
              </w:rPr>
              <w:t>0DB50ZZ</w:t>
            </w:r>
          </w:p>
        </w:tc>
        <w:tc>
          <w:tcPr>
            <w:tcW w:w="7560" w:type="dxa"/>
            <w:noWrap/>
            <w:vAlign w:val="center"/>
            <w:hideMark/>
          </w:tcPr>
          <w:p w14:paraId="1E93A900" w14:textId="77777777" w:rsidR="00EA7A8D" w:rsidRPr="00E97D2C" w:rsidRDefault="00EA7A8D" w:rsidP="00696E8F">
            <w:pPr>
              <w:rPr>
                <w:rFonts w:cs="Arial"/>
                <w:color w:val="000000"/>
              </w:rPr>
            </w:pPr>
            <w:r w:rsidRPr="00E97D2C">
              <w:rPr>
                <w:rFonts w:cs="Arial"/>
                <w:color w:val="000000"/>
              </w:rPr>
              <w:t>Excision of Esophagus, Open Approach</w:t>
            </w:r>
          </w:p>
        </w:tc>
      </w:tr>
      <w:tr w:rsidR="00EA7A8D" w:rsidRPr="00E97D2C" w14:paraId="61D68BC0" w14:textId="77777777" w:rsidTr="00696E8F">
        <w:trPr>
          <w:trHeight w:val="300"/>
        </w:trPr>
        <w:tc>
          <w:tcPr>
            <w:tcW w:w="1872" w:type="dxa"/>
            <w:noWrap/>
            <w:vAlign w:val="center"/>
            <w:hideMark/>
          </w:tcPr>
          <w:p w14:paraId="72C2BB49" w14:textId="77777777" w:rsidR="00EA7A8D" w:rsidRPr="00E97D2C" w:rsidRDefault="00EA7A8D" w:rsidP="00696E8F">
            <w:pPr>
              <w:rPr>
                <w:rFonts w:cs="Arial"/>
                <w:color w:val="000000"/>
              </w:rPr>
            </w:pPr>
            <w:r w:rsidRPr="00E97D2C">
              <w:rPr>
                <w:rFonts w:cs="Arial"/>
                <w:color w:val="000000"/>
              </w:rPr>
              <w:t>0DB53ZZ</w:t>
            </w:r>
          </w:p>
        </w:tc>
        <w:tc>
          <w:tcPr>
            <w:tcW w:w="7560" w:type="dxa"/>
            <w:noWrap/>
            <w:vAlign w:val="center"/>
            <w:hideMark/>
          </w:tcPr>
          <w:p w14:paraId="3397CE6A" w14:textId="77777777" w:rsidR="00EA7A8D" w:rsidRPr="00E97D2C" w:rsidRDefault="00EA7A8D" w:rsidP="00696E8F">
            <w:pPr>
              <w:rPr>
                <w:rFonts w:cs="Arial"/>
                <w:color w:val="000000"/>
              </w:rPr>
            </w:pPr>
            <w:r w:rsidRPr="00E97D2C">
              <w:rPr>
                <w:rFonts w:cs="Arial"/>
                <w:color w:val="000000"/>
              </w:rPr>
              <w:t>Excision of Esophagus, Percutaneous Approach</w:t>
            </w:r>
          </w:p>
        </w:tc>
      </w:tr>
      <w:tr w:rsidR="00EA7A8D" w:rsidRPr="00E97D2C" w14:paraId="198D4505" w14:textId="77777777" w:rsidTr="00696E8F">
        <w:trPr>
          <w:trHeight w:val="300"/>
        </w:trPr>
        <w:tc>
          <w:tcPr>
            <w:tcW w:w="1872" w:type="dxa"/>
            <w:noWrap/>
            <w:vAlign w:val="center"/>
          </w:tcPr>
          <w:p w14:paraId="55A643D4" w14:textId="2F885490" w:rsidR="00EA7A8D" w:rsidRPr="00E97D2C" w:rsidRDefault="00EA7A8D" w:rsidP="00696E8F">
            <w:pPr>
              <w:rPr>
                <w:rFonts w:cs="Arial"/>
                <w:color w:val="000000"/>
              </w:rPr>
            </w:pPr>
            <w:r w:rsidRPr="00EA7A8D">
              <w:rPr>
                <w:rFonts w:cs="Arial"/>
                <w:color w:val="000000"/>
              </w:rPr>
              <w:t>0DB54ZZ</w:t>
            </w:r>
          </w:p>
        </w:tc>
        <w:tc>
          <w:tcPr>
            <w:tcW w:w="7560" w:type="dxa"/>
            <w:noWrap/>
            <w:vAlign w:val="center"/>
          </w:tcPr>
          <w:p w14:paraId="66850E95" w14:textId="2534DF81" w:rsidR="00EA7A8D" w:rsidRPr="00E97D2C" w:rsidRDefault="00EA7A8D" w:rsidP="00696E8F">
            <w:pPr>
              <w:rPr>
                <w:rFonts w:cs="Arial"/>
                <w:color w:val="000000"/>
              </w:rPr>
            </w:pPr>
            <w:r w:rsidRPr="00EA7A8D">
              <w:rPr>
                <w:rFonts w:cs="Arial"/>
                <w:color w:val="000000"/>
              </w:rPr>
              <w:t>Excision of Esophagus, Percutaneous Endoscopic Approach</w:t>
            </w:r>
          </w:p>
        </w:tc>
      </w:tr>
      <w:tr w:rsidR="00EA7A8D" w:rsidRPr="00E97D2C" w14:paraId="0AD30D93" w14:textId="77777777" w:rsidTr="00696E8F">
        <w:trPr>
          <w:trHeight w:val="300"/>
        </w:trPr>
        <w:tc>
          <w:tcPr>
            <w:tcW w:w="1872" w:type="dxa"/>
            <w:noWrap/>
            <w:vAlign w:val="center"/>
            <w:hideMark/>
          </w:tcPr>
          <w:p w14:paraId="7EBC3D62" w14:textId="77777777" w:rsidR="00EA7A8D" w:rsidRPr="00E97D2C" w:rsidRDefault="00EA7A8D" w:rsidP="00696E8F">
            <w:pPr>
              <w:rPr>
                <w:rFonts w:cs="Arial"/>
                <w:color w:val="000000"/>
              </w:rPr>
            </w:pPr>
            <w:r w:rsidRPr="00E97D2C">
              <w:rPr>
                <w:rFonts w:cs="Arial"/>
                <w:color w:val="000000"/>
              </w:rPr>
              <w:t>0DB57ZZ</w:t>
            </w:r>
          </w:p>
        </w:tc>
        <w:tc>
          <w:tcPr>
            <w:tcW w:w="7560" w:type="dxa"/>
            <w:noWrap/>
            <w:vAlign w:val="center"/>
            <w:hideMark/>
          </w:tcPr>
          <w:p w14:paraId="168BC361" w14:textId="77777777" w:rsidR="00EA7A8D" w:rsidRPr="00E97D2C" w:rsidRDefault="00EA7A8D" w:rsidP="00696E8F">
            <w:pPr>
              <w:rPr>
                <w:rFonts w:cs="Arial"/>
                <w:color w:val="000000"/>
              </w:rPr>
            </w:pPr>
            <w:r w:rsidRPr="00E97D2C">
              <w:rPr>
                <w:rFonts w:cs="Arial"/>
                <w:color w:val="000000"/>
              </w:rPr>
              <w:t>Excision of Esophagus, Via Natural or Artificial Opening</w:t>
            </w:r>
          </w:p>
        </w:tc>
      </w:tr>
      <w:tr w:rsidR="00EA7A8D" w:rsidRPr="00E97D2C" w14:paraId="496AD308" w14:textId="77777777" w:rsidTr="00696E8F">
        <w:trPr>
          <w:trHeight w:val="300"/>
        </w:trPr>
        <w:tc>
          <w:tcPr>
            <w:tcW w:w="1872" w:type="dxa"/>
            <w:noWrap/>
            <w:vAlign w:val="center"/>
          </w:tcPr>
          <w:p w14:paraId="69A74B17" w14:textId="74A0650A" w:rsidR="00EA7A8D" w:rsidRPr="00E97D2C" w:rsidRDefault="00EA7A8D" w:rsidP="00696E8F">
            <w:pPr>
              <w:rPr>
                <w:rFonts w:cs="Arial"/>
                <w:color w:val="000000"/>
              </w:rPr>
            </w:pPr>
            <w:r w:rsidRPr="00EA7A8D">
              <w:rPr>
                <w:rFonts w:cs="Arial"/>
                <w:color w:val="000000"/>
              </w:rPr>
              <w:t>0DB58ZZ</w:t>
            </w:r>
          </w:p>
        </w:tc>
        <w:tc>
          <w:tcPr>
            <w:tcW w:w="7560" w:type="dxa"/>
            <w:noWrap/>
            <w:vAlign w:val="center"/>
          </w:tcPr>
          <w:p w14:paraId="51F89B4E" w14:textId="3515E9D9" w:rsidR="00EA7A8D" w:rsidRPr="00E97D2C" w:rsidRDefault="00EA7A8D" w:rsidP="00696E8F">
            <w:pPr>
              <w:rPr>
                <w:rFonts w:cs="Arial"/>
                <w:color w:val="000000"/>
              </w:rPr>
            </w:pPr>
            <w:r w:rsidRPr="00EA7A8D">
              <w:rPr>
                <w:rFonts w:cs="Arial"/>
                <w:color w:val="000000"/>
              </w:rPr>
              <w:t>Excision of Esophagus, Via Natural or Artificial Opening Endoscopic</w:t>
            </w:r>
          </w:p>
        </w:tc>
      </w:tr>
      <w:tr w:rsidR="00EA7A8D" w:rsidRPr="00E97D2C" w14:paraId="3916E58C" w14:textId="77777777" w:rsidTr="00696E8F">
        <w:trPr>
          <w:trHeight w:val="300"/>
        </w:trPr>
        <w:tc>
          <w:tcPr>
            <w:tcW w:w="1872" w:type="dxa"/>
            <w:noWrap/>
            <w:vAlign w:val="center"/>
            <w:hideMark/>
          </w:tcPr>
          <w:p w14:paraId="5DBC6FC1" w14:textId="77777777" w:rsidR="00EA7A8D" w:rsidRPr="00E97D2C" w:rsidRDefault="00EA7A8D" w:rsidP="00696E8F">
            <w:pPr>
              <w:rPr>
                <w:rFonts w:cs="Arial"/>
                <w:color w:val="000000"/>
              </w:rPr>
            </w:pPr>
            <w:r w:rsidRPr="00E97D2C">
              <w:rPr>
                <w:rFonts w:cs="Arial"/>
                <w:color w:val="000000"/>
              </w:rPr>
              <w:t>0DT10ZZ</w:t>
            </w:r>
          </w:p>
        </w:tc>
        <w:tc>
          <w:tcPr>
            <w:tcW w:w="7560" w:type="dxa"/>
            <w:noWrap/>
            <w:vAlign w:val="center"/>
            <w:hideMark/>
          </w:tcPr>
          <w:p w14:paraId="21183786" w14:textId="77777777" w:rsidR="00EA7A8D" w:rsidRPr="00E97D2C" w:rsidRDefault="00EA7A8D" w:rsidP="00696E8F">
            <w:pPr>
              <w:rPr>
                <w:rFonts w:cs="Arial"/>
                <w:color w:val="000000"/>
              </w:rPr>
            </w:pPr>
            <w:r w:rsidRPr="00E97D2C">
              <w:rPr>
                <w:rFonts w:cs="Arial"/>
                <w:color w:val="000000"/>
              </w:rPr>
              <w:t>Resection of Upper Esophagus, Open Approach</w:t>
            </w:r>
          </w:p>
        </w:tc>
      </w:tr>
      <w:tr w:rsidR="00EA7A8D" w:rsidRPr="00E97D2C" w14:paraId="5FE21873" w14:textId="77777777" w:rsidTr="00696E8F">
        <w:trPr>
          <w:trHeight w:val="300"/>
        </w:trPr>
        <w:tc>
          <w:tcPr>
            <w:tcW w:w="1872" w:type="dxa"/>
            <w:noWrap/>
            <w:vAlign w:val="center"/>
            <w:hideMark/>
          </w:tcPr>
          <w:p w14:paraId="3E710BD8" w14:textId="77777777" w:rsidR="00EA7A8D" w:rsidRPr="00E97D2C" w:rsidRDefault="00EA7A8D" w:rsidP="00696E8F">
            <w:pPr>
              <w:rPr>
                <w:rFonts w:cs="Arial"/>
                <w:color w:val="000000"/>
              </w:rPr>
            </w:pPr>
            <w:r w:rsidRPr="00E97D2C">
              <w:rPr>
                <w:rFonts w:cs="Arial"/>
                <w:color w:val="000000"/>
              </w:rPr>
              <w:t>0DT14ZZ</w:t>
            </w:r>
          </w:p>
        </w:tc>
        <w:tc>
          <w:tcPr>
            <w:tcW w:w="7560" w:type="dxa"/>
            <w:noWrap/>
            <w:vAlign w:val="center"/>
            <w:hideMark/>
          </w:tcPr>
          <w:p w14:paraId="11E02B19" w14:textId="77777777" w:rsidR="00EA7A8D" w:rsidRPr="00E97D2C" w:rsidRDefault="00EA7A8D" w:rsidP="00696E8F">
            <w:pPr>
              <w:rPr>
                <w:rFonts w:cs="Arial"/>
                <w:color w:val="000000"/>
              </w:rPr>
            </w:pPr>
            <w:r w:rsidRPr="00E97D2C">
              <w:rPr>
                <w:rFonts w:cs="Arial"/>
                <w:color w:val="000000"/>
              </w:rPr>
              <w:t>Resection of Upper Esophagus, Percutaneous Endoscopic Approach</w:t>
            </w:r>
          </w:p>
        </w:tc>
      </w:tr>
      <w:tr w:rsidR="00EA7A8D" w:rsidRPr="00E97D2C" w14:paraId="2F991E20" w14:textId="77777777" w:rsidTr="00696E8F">
        <w:trPr>
          <w:trHeight w:val="300"/>
        </w:trPr>
        <w:tc>
          <w:tcPr>
            <w:tcW w:w="1872" w:type="dxa"/>
            <w:noWrap/>
            <w:vAlign w:val="center"/>
            <w:hideMark/>
          </w:tcPr>
          <w:p w14:paraId="7FD0E0B8" w14:textId="77777777" w:rsidR="00EA7A8D" w:rsidRPr="00E97D2C" w:rsidRDefault="00EA7A8D" w:rsidP="00696E8F">
            <w:pPr>
              <w:rPr>
                <w:rFonts w:cs="Arial"/>
                <w:color w:val="000000"/>
              </w:rPr>
            </w:pPr>
            <w:r w:rsidRPr="00E97D2C">
              <w:rPr>
                <w:rFonts w:cs="Arial"/>
                <w:color w:val="000000"/>
              </w:rPr>
              <w:lastRenderedPageBreak/>
              <w:t>0DT17ZZ</w:t>
            </w:r>
          </w:p>
        </w:tc>
        <w:tc>
          <w:tcPr>
            <w:tcW w:w="7560" w:type="dxa"/>
            <w:noWrap/>
            <w:vAlign w:val="center"/>
            <w:hideMark/>
          </w:tcPr>
          <w:p w14:paraId="0B49F719" w14:textId="77777777" w:rsidR="00EA7A8D" w:rsidRPr="00E97D2C" w:rsidRDefault="00EA7A8D" w:rsidP="00696E8F">
            <w:pPr>
              <w:rPr>
                <w:rFonts w:cs="Arial"/>
                <w:color w:val="000000"/>
              </w:rPr>
            </w:pPr>
            <w:r w:rsidRPr="00E97D2C">
              <w:rPr>
                <w:rFonts w:cs="Arial"/>
                <w:color w:val="000000"/>
              </w:rPr>
              <w:t>Resection of Upper Esophagus, Via Natural or Artificial Opening</w:t>
            </w:r>
          </w:p>
        </w:tc>
      </w:tr>
      <w:tr w:rsidR="00EA7A8D" w:rsidRPr="00E97D2C" w14:paraId="09374DA0" w14:textId="77777777" w:rsidTr="00696E8F">
        <w:trPr>
          <w:trHeight w:val="300"/>
        </w:trPr>
        <w:tc>
          <w:tcPr>
            <w:tcW w:w="1872" w:type="dxa"/>
            <w:noWrap/>
            <w:vAlign w:val="center"/>
            <w:hideMark/>
          </w:tcPr>
          <w:p w14:paraId="20257344" w14:textId="77777777" w:rsidR="00EA7A8D" w:rsidRPr="00E97D2C" w:rsidRDefault="00EA7A8D" w:rsidP="00696E8F">
            <w:pPr>
              <w:rPr>
                <w:rFonts w:cs="Arial"/>
                <w:color w:val="000000"/>
              </w:rPr>
            </w:pPr>
            <w:r w:rsidRPr="00E97D2C">
              <w:rPr>
                <w:rFonts w:cs="Arial"/>
                <w:color w:val="000000"/>
              </w:rPr>
              <w:t>0DT18ZZ</w:t>
            </w:r>
          </w:p>
        </w:tc>
        <w:tc>
          <w:tcPr>
            <w:tcW w:w="7560" w:type="dxa"/>
            <w:noWrap/>
            <w:vAlign w:val="center"/>
            <w:hideMark/>
          </w:tcPr>
          <w:p w14:paraId="57C3AFAC" w14:textId="77777777" w:rsidR="00EA7A8D" w:rsidRPr="00E97D2C" w:rsidRDefault="00EA7A8D" w:rsidP="00696E8F">
            <w:pPr>
              <w:rPr>
                <w:rFonts w:cs="Arial"/>
                <w:color w:val="000000"/>
              </w:rPr>
            </w:pPr>
            <w:r w:rsidRPr="00E97D2C">
              <w:rPr>
                <w:rFonts w:cs="Arial"/>
                <w:color w:val="000000"/>
              </w:rPr>
              <w:t>Resection of Upper Esophagus, Via Natural or Artificial Opening Endoscopic</w:t>
            </w:r>
          </w:p>
        </w:tc>
      </w:tr>
      <w:tr w:rsidR="00EA7A8D" w:rsidRPr="00E97D2C" w14:paraId="5B650B64" w14:textId="77777777" w:rsidTr="00696E8F">
        <w:trPr>
          <w:trHeight w:val="300"/>
        </w:trPr>
        <w:tc>
          <w:tcPr>
            <w:tcW w:w="1872" w:type="dxa"/>
            <w:noWrap/>
            <w:vAlign w:val="center"/>
            <w:hideMark/>
          </w:tcPr>
          <w:p w14:paraId="29A9BB6F" w14:textId="77777777" w:rsidR="00EA7A8D" w:rsidRPr="00E97D2C" w:rsidRDefault="00EA7A8D" w:rsidP="00696E8F">
            <w:pPr>
              <w:rPr>
                <w:rFonts w:cs="Arial"/>
                <w:color w:val="000000"/>
              </w:rPr>
            </w:pPr>
            <w:r w:rsidRPr="00E97D2C">
              <w:rPr>
                <w:rFonts w:cs="Arial"/>
                <w:color w:val="000000"/>
              </w:rPr>
              <w:t>0DT20ZZ</w:t>
            </w:r>
          </w:p>
        </w:tc>
        <w:tc>
          <w:tcPr>
            <w:tcW w:w="7560" w:type="dxa"/>
            <w:noWrap/>
            <w:vAlign w:val="center"/>
            <w:hideMark/>
          </w:tcPr>
          <w:p w14:paraId="6F884FA9" w14:textId="77777777" w:rsidR="00EA7A8D" w:rsidRPr="00E97D2C" w:rsidRDefault="00EA7A8D" w:rsidP="00696E8F">
            <w:pPr>
              <w:rPr>
                <w:rFonts w:cs="Arial"/>
                <w:color w:val="000000"/>
              </w:rPr>
            </w:pPr>
            <w:r w:rsidRPr="00E97D2C">
              <w:rPr>
                <w:rFonts w:cs="Arial"/>
                <w:color w:val="000000"/>
              </w:rPr>
              <w:t>Resection of Middle Esophagus, Open Approach</w:t>
            </w:r>
          </w:p>
        </w:tc>
      </w:tr>
      <w:tr w:rsidR="00EA7A8D" w:rsidRPr="00E97D2C" w14:paraId="69C35B74" w14:textId="77777777" w:rsidTr="00696E8F">
        <w:trPr>
          <w:trHeight w:val="300"/>
        </w:trPr>
        <w:tc>
          <w:tcPr>
            <w:tcW w:w="1872" w:type="dxa"/>
            <w:noWrap/>
            <w:vAlign w:val="center"/>
            <w:hideMark/>
          </w:tcPr>
          <w:p w14:paraId="4E72E50D" w14:textId="77777777" w:rsidR="00EA7A8D" w:rsidRPr="00E97D2C" w:rsidRDefault="00EA7A8D" w:rsidP="00696E8F">
            <w:pPr>
              <w:rPr>
                <w:rFonts w:cs="Arial"/>
                <w:color w:val="000000"/>
              </w:rPr>
            </w:pPr>
            <w:r w:rsidRPr="00E97D2C">
              <w:rPr>
                <w:rFonts w:cs="Arial"/>
                <w:color w:val="000000"/>
              </w:rPr>
              <w:t>0DT24ZZ</w:t>
            </w:r>
          </w:p>
        </w:tc>
        <w:tc>
          <w:tcPr>
            <w:tcW w:w="7560" w:type="dxa"/>
            <w:noWrap/>
            <w:vAlign w:val="center"/>
            <w:hideMark/>
          </w:tcPr>
          <w:p w14:paraId="28CA08E1" w14:textId="77777777" w:rsidR="00EA7A8D" w:rsidRPr="00E97D2C" w:rsidRDefault="00EA7A8D" w:rsidP="00696E8F">
            <w:pPr>
              <w:rPr>
                <w:rFonts w:cs="Arial"/>
                <w:color w:val="000000"/>
              </w:rPr>
            </w:pPr>
            <w:r w:rsidRPr="00E97D2C">
              <w:rPr>
                <w:rFonts w:cs="Arial"/>
                <w:color w:val="000000"/>
              </w:rPr>
              <w:t>Resection of Middle Esophagus, Percutaneous Endoscopic Approach</w:t>
            </w:r>
          </w:p>
        </w:tc>
      </w:tr>
      <w:tr w:rsidR="00EA7A8D" w:rsidRPr="00E97D2C" w14:paraId="152049FB" w14:textId="77777777" w:rsidTr="00696E8F">
        <w:trPr>
          <w:trHeight w:val="300"/>
        </w:trPr>
        <w:tc>
          <w:tcPr>
            <w:tcW w:w="1872" w:type="dxa"/>
            <w:noWrap/>
            <w:vAlign w:val="center"/>
            <w:hideMark/>
          </w:tcPr>
          <w:p w14:paraId="0698686E" w14:textId="77777777" w:rsidR="00EA7A8D" w:rsidRPr="00E97D2C" w:rsidRDefault="00EA7A8D" w:rsidP="00696E8F">
            <w:pPr>
              <w:rPr>
                <w:rFonts w:cs="Arial"/>
                <w:color w:val="000000"/>
              </w:rPr>
            </w:pPr>
            <w:r w:rsidRPr="00E97D2C">
              <w:rPr>
                <w:rFonts w:cs="Arial"/>
                <w:color w:val="000000"/>
              </w:rPr>
              <w:t>0DT27ZZ</w:t>
            </w:r>
          </w:p>
        </w:tc>
        <w:tc>
          <w:tcPr>
            <w:tcW w:w="7560" w:type="dxa"/>
            <w:noWrap/>
            <w:vAlign w:val="center"/>
            <w:hideMark/>
          </w:tcPr>
          <w:p w14:paraId="1FEAFE08" w14:textId="77777777" w:rsidR="00EA7A8D" w:rsidRPr="00E97D2C" w:rsidRDefault="00EA7A8D" w:rsidP="00696E8F">
            <w:pPr>
              <w:rPr>
                <w:rFonts w:cs="Arial"/>
                <w:color w:val="000000"/>
              </w:rPr>
            </w:pPr>
            <w:r w:rsidRPr="00E97D2C">
              <w:rPr>
                <w:rFonts w:cs="Arial"/>
                <w:color w:val="000000"/>
              </w:rPr>
              <w:t>Resection of Middle Esophagus, Via Natural or Artificial Opening</w:t>
            </w:r>
          </w:p>
        </w:tc>
      </w:tr>
      <w:tr w:rsidR="00EA7A8D" w:rsidRPr="00E97D2C" w14:paraId="2600699C" w14:textId="77777777" w:rsidTr="00696E8F">
        <w:trPr>
          <w:trHeight w:val="300"/>
        </w:trPr>
        <w:tc>
          <w:tcPr>
            <w:tcW w:w="1872" w:type="dxa"/>
            <w:noWrap/>
            <w:vAlign w:val="center"/>
            <w:hideMark/>
          </w:tcPr>
          <w:p w14:paraId="12C2EA31" w14:textId="77777777" w:rsidR="00EA7A8D" w:rsidRPr="00E97D2C" w:rsidRDefault="00EA7A8D" w:rsidP="00696E8F">
            <w:pPr>
              <w:rPr>
                <w:rFonts w:cs="Arial"/>
                <w:color w:val="000000"/>
              </w:rPr>
            </w:pPr>
            <w:r w:rsidRPr="00E97D2C">
              <w:rPr>
                <w:rFonts w:cs="Arial"/>
                <w:color w:val="000000"/>
              </w:rPr>
              <w:t>0DT28ZZ</w:t>
            </w:r>
          </w:p>
        </w:tc>
        <w:tc>
          <w:tcPr>
            <w:tcW w:w="7560" w:type="dxa"/>
            <w:noWrap/>
            <w:vAlign w:val="center"/>
            <w:hideMark/>
          </w:tcPr>
          <w:p w14:paraId="5A9F22A1" w14:textId="77777777" w:rsidR="00EA7A8D" w:rsidRPr="00E97D2C" w:rsidRDefault="00EA7A8D" w:rsidP="00696E8F">
            <w:pPr>
              <w:rPr>
                <w:rFonts w:cs="Arial"/>
                <w:color w:val="000000"/>
              </w:rPr>
            </w:pPr>
            <w:r w:rsidRPr="00E97D2C">
              <w:rPr>
                <w:rFonts w:cs="Arial"/>
                <w:color w:val="000000"/>
              </w:rPr>
              <w:t>Resection of Middle Esophagus, Via Natural or Artificial Opening Endoscopic</w:t>
            </w:r>
          </w:p>
        </w:tc>
      </w:tr>
      <w:tr w:rsidR="00EA7A8D" w:rsidRPr="00E97D2C" w14:paraId="6FF57AE6" w14:textId="77777777" w:rsidTr="00696E8F">
        <w:trPr>
          <w:trHeight w:val="300"/>
        </w:trPr>
        <w:tc>
          <w:tcPr>
            <w:tcW w:w="1872" w:type="dxa"/>
            <w:noWrap/>
            <w:vAlign w:val="center"/>
            <w:hideMark/>
          </w:tcPr>
          <w:p w14:paraId="78E04775" w14:textId="77777777" w:rsidR="00EA7A8D" w:rsidRPr="00E97D2C" w:rsidRDefault="00EA7A8D" w:rsidP="00696E8F">
            <w:pPr>
              <w:rPr>
                <w:rFonts w:cs="Arial"/>
                <w:color w:val="000000"/>
              </w:rPr>
            </w:pPr>
            <w:r w:rsidRPr="00E97D2C">
              <w:rPr>
                <w:rFonts w:cs="Arial"/>
                <w:color w:val="000000"/>
              </w:rPr>
              <w:t>0DT30ZZ</w:t>
            </w:r>
          </w:p>
        </w:tc>
        <w:tc>
          <w:tcPr>
            <w:tcW w:w="7560" w:type="dxa"/>
            <w:noWrap/>
            <w:vAlign w:val="center"/>
            <w:hideMark/>
          </w:tcPr>
          <w:p w14:paraId="4F223FC6" w14:textId="77777777" w:rsidR="00EA7A8D" w:rsidRPr="00E97D2C" w:rsidRDefault="00EA7A8D" w:rsidP="00696E8F">
            <w:pPr>
              <w:rPr>
                <w:rFonts w:cs="Arial"/>
                <w:color w:val="000000"/>
              </w:rPr>
            </w:pPr>
            <w:r w:rsidRPr="00E97D2C">
              <w:rPr>
                <w:rFonts w:cs="Arial"/>
                <w:color w:val="000000"/>
              </w:rPr>
              <w:t>Resection of Lower Esophagus, Open Approach</w:t>
            </w:r>
          </w:p>
        </w:tc>
      </w:tr>
      <w:tr w:rsidR="00EA7A8D" w:rsidRPr="00E97D2C" w14:paraId="74550084" w14:textId="77777777" w:rsidTr="00696E8F">
        <w:trPr>
          <w:trHeight w:val="300"/>
        </w:trPr>
        <w:tc>
          <w:tcPr>
            <w:tcW w:w="1872" w:type="dxa"/>
            <w:noWrap/>
            <w:vAlign w:val="center"/>
            <w:hideMark/>
          </w:tcPr>
          <w:p w14:paraId="3778BFF1" w14:textId="77777777" w:rsidR="00EA7A8D" w:rsidRPr="00E97D2C" w:rsidRDefault="00EA7A8D" w:rsidP="00696E8F">
            <w:pPr>
              <w:rPr>
                <w:rFonts w:cs="Arial"/>
                <w:color w:val="000000"/>
              </w:rPr>
            </w:pPr>
            <w:r w:rsidRPr="00E97D2C">
              <w:rPr>
                <w:rFonts w:cs="Arial"/>
                <w:color w:val="000000"/>
              </w:rPr>
              <w:t>0DT34ZZ</w:t>
            </w:r>
          </w:p>
        </w:tc>
        <w:tc>
          <w:tcPr>
            <w:tcW w:w="7560" w:type="dxa"/>
            <w:noWrap/>
            <w:vAlign w:val="center"/>
            <w:hideMark/>
          </w:tcPr>
          <w:p w14:paraId="2E685A17" w14:textId="77777777" w:rsidR="00EA7A8D" w:rsidRPr="00E97D2C" w:rsidRDefault="00EA7A8D" w:rsidP="00696E8F">
            <w:pPr>
              <w:rPr>
                <w:rFonts w:cs="Arial"/>
                <w:color w:val="000000"/>
              </w:rPr>
            </w:pPr>
            <w:r w:rsidRPr="00E97D2C">
              <w:rPr>
                <w:rFonts w:cs="Arial"/>
                <w:color w:val="000000"/>
              </w:rPr>
              <w:t>Resection of Lower Esophagus, Percutaneous Endoscopic Approach</w:t>
            </w:r>
          </w:p>
        </w:tc>
      </w:tr>
      <w:tr w:rsidR="00EA7A8D" w:rsidRPr="00E97D2C" w14:paraId="43E3D8CF" w14:textId="77777777" w:rsidTr="00696E8F">
        <w:trPr>
          <w:trHeight w:val="300"/>
        </w:trPr>
        <w:tc>
          <w:tcPr>
            <w:tcW w:w="1872" w:type="dxa"/>
            <w:noWrap/>
            <w:vAlign w:val="center"/>
            <w:hideMark/>
          </w:tcPr>
          <w:p w14:paraId="7C01B1D3" w14:textId="77777777" w:rsidR="00EA7A8D" w:rsidRPr="00E97D2C" w:rsidRDefault="00EA7A8D" w:rsidP="00696E8F">
            <w:pPr>
              <w:rPr>
                <w:rFonts w:cs="Arial"/>
                <w:color w:val="000000"/>
              </w:rPr>
            </w:pPr>
            <w:r w:rsidRPr="00E97D2C">
              <w:rPr>
                <w:rFonts w:cs="Arial"/>
                <w:color w:val="000000"/>
              </w:rPr>
              <w:t>0DT37ZZ</w:t>
            </w:r>
          </w:p>
        </w:tc>
        <w:tc>
          <w:tcPr>
            <w:tcW w:w="7560" w:type="dxa"/>
            <w:noWrap/>
            <w:vAlign w:val="center"/>
            <w:hideMark/>
          </w:tcPr>
          <w:p w14:paraId="680FDED1" w14:textId="77777777" w:rsidR="00EA7A8D" w:rsidRPr="00E97D2C" w:rsidRDefault="00EA7A8D" w:rsidP="00696E8F">
            <w:pPr>
              <w:rPr>
                <w:rFonts w:cs="Arial"/>
                <w:color w:val="000000"/>
              </w:rPr>
            </w:pPr>
            <w:r w:rsidRPr="00E97D2C">
              <w:rPr>
                <w:rFonts w:cs="Arial"/>
                <w:color w:val="000000"/>
              </w:rPr>
              <w:t>Resection of Lower Esophagus, Via Natural or Artificial Opening</w:t>
            </w:r>
          </w:p>
        </w:tc>
      </w:tr>
      <w:tr w:rsidR="00EA7A8D" w:rsidRPr="00E97D2C" w14:paraId="7012E77C" w14:textId="77777777" w:rsidTr="00696E8F">
        <w:trPr>
          <w:trHeight w:val="300"/>
        </w:trPr>
        <w:tc>
          <w:tcPr>
            <w:tcW w:w="1872" w:type="dxa"/>
            <w:noWrap/>
            <w:vAlign w:val="center"/>
            <w:hideMark/>
          </w:tcPr>
          <w:p w14:paraId="170151B9" w14:textId="77777777" w:rsidR="00EA7A8D" w:rsidRPr="00E97D2C" w:rsidRDefault="00EA7A8D" w:rsidP="00696E8F">
            <w:pPr>
              <w:rPr>
                <w:rFonts w:cs="Arial"/>
                <w:color w:val="000000"/>
              </w:rPr>
            </w:pPr>
            <w:r w:rsidRPr="00E97D2C">
              <w:rPr>
                <w:rFonts w:cs="Arial"/>
                <w:color w:val="000000"/>
              </w:rPr>
              <w:t>0DT38ZZ</w:t>
            </w:r>
          </w:p>
        </w:tc>
        <w:tc>
          <w:tcPr>
            <w:tcW w:w="7560" w:type="dxa"/>
            <w:noWrap/>
            <w:vAlign w:val="center"/>
            <w:hideMark/>
          </w:tcPr>
          <w:p w14:paraId="28A8D57D" w14:textId="77777777" w:rsidR="00EA7A8D" w:rsidRPr="00E97D2C" w:rsidRDefault="00EA7A8D" w:rsidP="00696E8F">
            <w:pPr>
              <w:rPr>
                <w:rFonts w:cs="Arial"/>
                <w:color w:val="000000"/>
              </w:rPr>
            </w:pPr>
            <w:r w:rsidRPr="00E97D2C">
              <w:rPr>
                <w:rFonts w:cs="Arial"/>
                <w:color w:val="000000"/>
              </w:rPr>
              <w:t>Resection of Lower Esophagus, Via Natural or Artificial Opening Endoscopic</w:t>
            </w:r>
          </w:p>
        </w:tc>
      </w:tr>
      <w:tr w:rsidR="00EA7A8D" w:rsidRPr="00E97D2C" w14:paraId="12B8133E" w14:textId="77777777" w:rsidTr="00696E8F">
        <w:trPr>
          <w:trHeight w:val="300"/>
        </w:trPr>
        <w:tc>
          <w:tcPr>
            <w:tcW w:w="1872" w:type="dxa"/>
            <w:noWrap/>
            <w:vAlign w:val="center"/>
          </w:tcPr>
          <w:p w14:paraId="4DF66538" w14:textId="3A6D9BBC" w:rsidR="00EA7A8D" w:rsidRPr="00E97D2C" w:rsidRDefault="00EA7A8D" w:rsidP="00696E8F">
            <w:pPr>
              <w:rPr>
                <w:rFonts w:cs="Arial"/>
                <w:color w:val="000000"/>
              </w:rPr>
            </w:pPr>
            <w:r w:rsidRPr="00E003EA">
              <w:rPr>
                <w:rFonts w:cs="Arial"/>
                <w:color w:val="000000"/>
              </w:rPr>
              <w:t>0DT44ZZ</w:t>
            </w:r>
          </w:p>
        </w:tc>
        <w:tc>
          <w:tcPr>
            <w:tcW w:w="7560" w:type="dxa"/>
            <w:noWrap/>
            <w:vAlign w:val="center"/>
          </w:tcPr>
          <w:p w14:paraId="0095ED2A" w14:textId="19FC5B95" w:rsidR="00EA7A8D" w:rsidRPr="00E97D2C" w:rsidRDefault="00EA7A8D" w:rsidP="00696E8F">
            <w:pPr>
              <w:rPr>
                <w:rFonts w:cs="Arial"/>
                <w:color w:val="000000"/>
              </w:rPr>
            </w:pPr>
            <w:r w:rsidRPr="00E003EA">
              <w:rPr>
                <w:rFonts w:cs="Arial"/>
                <w:color w:val="000000"/>
              </w:rPr>
              <w:t>Resection of Esophagogastric Junction, Percutaneous Endoscopic Approach</w:t>
            </w:r>
          </w:p>
        </w:tc>
      </w:tr>
      <w:tr w:rsidR="00EA7A8D" w:rsidRPr="00E97D2C" w14:paraId="43F732C7" w14:textId="77777777" w:rsidTr="00696E8F">
        <w:trPr>
          <w:trHeight w:val="300"/>
        </w:trPr>
        <w:tc>
          <w:tcPr>
            <w:tcW w:w="1872" w:type="dxa"/>
            <w:noWrap/>
            <w:vAlign w:val="center"/>
            <w:hideMark/>
          </w:tcPr>
          <w:p w14:paraId="20478067" w14:textId="77777777" w:rsidR="00EA7A8D" w:rsidRPr="00E97D2C" w:rsidRDefault="00EA7A8D" w:rsidP="00696E8F">
            <w:pPr>
              <w:rPr>
                <w:rFonts w:cs="Arial"/>
                <w:color w:val="000000"/>
              </w:rPr>
            </w:pPr>
            <w:r w:rsidRPr="00E97D2C">
              <w:rPr>
                <w:rFonts w:cs="Arial"/>
                <w:color w:val="000000"/>
              </w:rPr>
              <w:t>0DT50ZZ</w:t>
            </w:r>
          </w:p>
        </w:tc>
        <w:tc>
          <w:tcPr>
            <w:tcW w:w="7560" w:type="dxa"/>
            <w:noWrap/>
            <w:vAlign w:val="center"/>
            <w:hideMark/>
          </w:tcPr>
          <w:p w14:paraId="7215A8BC" w14:textId="77777777" w:rsidR="00EA7A8D" w:rsidRPr="00E97D2C" w:rsidRDefault="00EA7A8D" w:rsidP="00696E8F">
            <w:pPr>
              <w:rPr>
                <w:rFonts w:cs="Arial"/>
                <w:color w:val="000000"/>
              </w:rPr>
            </w:pPr>
            <w:r w:rsidRPr="00E97D2C">
              <w:rPr>
                <w:rFonts w:cs="Arial"/>
                <w:color w:val="000000"/>
              </w:rPr>
              <w:t>Resection of Esophagus, Open Approach</w:t>
            </w:r>
          </w:p>
        </w:tc>
      </w:tr>
      <w:tr w:rsidR="00EA7A8D" w:rsidRPr="00E97D2C" w14:paraId="44AA0D96" w14:textId="77777777" w:rsidTr="00696E8F">
        <w:trPr>
          <w:trHeight w:val="300"/>
        </w:trPr>
        <w:tc>
          <w:tcPr>
            <w:tcW w:w="1872" w:type="dxa"/>
            <w:noWrap/>
            <w:vAlign w:val="center"/>
            <w:hideMark/>
          </w:tcPr>
          <w:p w14:paraId="7D63C725" w14:textId="77777777" w:rsidR="00EA7A8D" w:rsidRPr="00E97D2C" w:rsidRDefault="00EA7A8D" w:rsidP="00696E8F">
            <w:pPr>
              <w:rPr>
                <w:rFonts w:cs="Arial"/>
                <w:color w:val="000000"/>
              </w:rPr>
            </w:pPr>
            <w:r w:rsidRPr="00E97D2C">
              <w:rPr>
                <w:rFonts w:cs="Arial"/>
                <w:color w:val="000000"/>
              </w:rPr>
              <w:t>0DT54ZZ</w:t>
            </w:r>
          </w:p>
        </w:tc>
        <w:tc>
          <w:tcPr>
            <w:tcW w:w="7560" w:type="dxa"/>
            <w:noWrap/>
            <w:vAlign w:val="center"/>
            <w:hideMark/>
          </w:tcPr>
          <w:p w14:paraId="77DBC1E3" w14:textId="77777777" w:rsidR="00EA7A8D" w:rsidRPr="00E97D2C" w:rsidRDefault="00EA7A8D" w:rsidP="00696E8F">
            <w:pPr>
              <w:rPr>
                <w:rFonts w:cs="Arial"/>
                <w:color w:val="000000"/>
              </w:rPr>
            </w:pPr>
            <w:r w:rsidRPr="00E97D2C">
              <w:rPr>
                <w:rFonts w:cs="Arial"/>
                <w:color w:val="000000"/>
              </w:rPr>
              <w:t>Resection of Esophagus, Percutaneous Endoscopic Approach</w:t>
            </w:r>
          </w:p>
        </w:tc>
      </w:tr>
      <w:tr w:rsidR="00EA7A8D" w:rsidRPr="00E97D2C" w14:paraId="5620EF7D" w14:textId="77777777" w:rsidTr="00696E8F">
        <w:trPr>
          <w:trHeight w:val="300"/>
        </w:trPr>
        <w:tc>
          <w:tcPr>
            <w:tcW w:w="1872" w:type="dxa"/>
            <w:noWrap/>
            <w:vAlign w:val="center"/>
            <w:hideMark/>
          </w:tcPr>
          <w:p w14:paraId="4AD81187" w14:textId="77777777" w:rsidR="00EA7A8D" w:rsidRPr="00E97D2C" w:rsidRDefault="00EA7A8D" w:rsidP="00696E8F">
            <w:pPr>
              <w:rPr>
                <w:rFonts w:cs="Arial"/>
                <w:color w:val="000000"/>
              </w:rPr>
            </w:pPr>
            <w:r w:rsidRPr="00E97D2C">
              <w:rPr>
                <w:rFonts w:cs="Arial"/>
                <w:color w:val="000000"/>
              </w:rPr>
              <w:t>0DT57ZZ</w:t>
            </w:r>
          </w:p>
        </w:tc>
        <w:tc>
          <w:tcPr>
            <w:tcW w:w="7560" w:type="dxa"/>
            <w:noWrap/>
            <w:vAlign w:val="center"/>
            <w:hideMark/>
          </w:tcPr>
          <w:p w14:paraId="5E25404F" w14:textId="77777777" w:rsidR="00EA7A8D" w:rsidRPr="00E97D2C" w:rsidRDefault="00EA7A8D" w:rsidP="00696E8F">
            <w:pPr>
              <w:rPr>
                <w:rFonts w:cs="Arial"/>
                <w:color w:val="000000"/>
              </w:rPr>
            </w:pPr>
            <w:r w:rsidRPr="00E97D2C">
              <w:rPr>
                <w:rFonts w:cs="Arial"/>
                <w:color w:val="000000"/>
              </w:rPr>
              <w:t>Resection of Esophagus, Via Natural or Artificial Opening</w:t>
            </w:r>
          </w:p>
        </w:tc>
      </w:tr>
      <w:tr w:rsidR="00EA7A8D" w:rsidRPr="00E97D2C" w14:paraId="4C4F5B75" w14:textId="77777777" w:rsidTr="00696E8F">
        <w:trPr>
          <w:trHeight w:val="300"/>
        </w:trPr>
        <w:tc>
          <w:tcPr>
            <w:tcW w:w="1872" w:type="dxa"/>
            <w:noWrap/>
            <w:vAlign w:val="center"/>
            <w:hideMark/>
          </w:tcPr>
          <w:p w14:paraId="4890719D" w14:textId="77777777" w:rsidR="00EA7A8D" w:rsidRPr="00E97D2C" w:rsidRDefault="00EA7A8D" w:rsidP="00696E8F">
            <w:pPr>
              <w:rPr>
                <w:rFonts w:cs="Arial"/>
                <w:color w:val="000000"/>
              </w:rPr>
            </w:pPr>
            <w:r w:rsidRPr="00E97D2C">
              <w:rPr>
                <w:rFonts w:cs="Arial"/>
                <w:color w:val="000000"/>
              </w:rPr>
              <w:t>0DT58ZZ</w:t>
            </w:r>
          </w:p>
        </w:tc>
        <w:tc>
          <w:tcPr>
            <w:tcW w:w="7560" w:type="dxa"/>
            <w:noWrap/>
            <w:vAlign w:val="center"/>
            <w:hideMark/>
          </w:tcPr>
          <w:p w14:paraId="686380C1" w14:textId="77777777" w:rsidR="00EA7A8D" w:rsidRPr="00E97D2C" w:rsidRDefault="00EA7A8D" w:rsidP="00696E8F">
            <w:pPr>
              <w:rPr>
                <w:rFonts w:cs="Arial"/>
                <w:color w:val="000000"/>
              </w:rPr>
            </w:pPr>
            <w:r w:rsidRPr="00E97D2C">
              <w:rPr>
                <w:rFonts w:cs="Arial"/>
                <w:color w:val="000000"/>
              </w:rPr>
              <w:t>Resection of Esophagus, Via Natural or Artificial Opening Endoscopic</w:t>
            </w:r>
          </w:p>
        </w:tc>
      </w:tr>
      <w:tr w:rsidR="00EA7A8D" w:rsidRPr="00E97D2C" w14:paraId="0D0A2390" w14:textId="77777777" w:rsidTr="00696E8F">
        <w:trPr>
          <w:trHeight w:val="300"/>
        </w:trPr>
        <w:tc>
          <w:tcPr>
            <w:tcW w:w="1872" w:type="dxa"/>
            <w:noWrap/>
            <w:vAlign w:val="center"/>
            <w:hideMark/>
          </w:tcPr>
          <w:p w14:paraId="1B746E33" w14:textId="77777777" w:rsidR="00EA7A8D" w:rsidRPr="00E97D2C" w:rsidRDefault="00EA7A8D" w:rsidP="00696E8F">
            <w:pPr>
              <w:rPr>
                <w:rFonts w:cs="Arial"/>
                <w:color w:val="000000"/>
              </w:rPr>
            </w:pPr>
            <w:r w:rsidRPr="00E97D2C">
              <w:rPr>
                <w:rFonts w:cs="Arial"/>
                <w:color w:val="000000"/>
              </w:rPr>
              <w:t>0DT60ZZ</w:t>
            </w:r>
          </w:p>
        </w:tc>
        <w:tc>
          <w:tcPr>
            <w:tcW w:w="7560" w:type="dxa"/>
            <w:noWrap/>
            <w:vAlign w:val="center"/>
            <w:hideMark/>
          </w:tcPr>
          <w:p w14:paraId="5CB45412" w14:textId="77777777" w:rsidR="00EA7A8D" w:rsidRPr="00E97D2C" w:rsidRDefault="00EA7A8D" w:rsidP="00696E8F">
            <w:pPr>
              <w:rPr>
                <w:rFonts w:cs="Arial"/>
                <w:color w:val="000000"/>
              </w:rPr>
            </w:pPr>
            <w:r w:rsidRPr="00E97D2C">
              <w:rPr>
                <w:rFonts w:cs="Arial"/>
                <w:color w:val="000000"/>
              </w:rPr>
              <w:t>Resection of Stomach, Open Approach</w:t>
            </w:r>
          </w:p>
        </w:tc>
      </w:tr>
      <w:tr w:rsidR="00EA7A8D" w:rsidRPr="00E97D2C" w14:paraId="4C6E8967" w14:textId="77777777" w:rsidTr="00696E8F">
        <w:trPr>
          <w:trHeight w:val="300"/>
        </w:trPr>
        <w:tc>
          <w:tcPr>
            <w:tcW w:w="1872" w:type="dxa"/>
            <w:noWrap/>
            <w:vAlign w:val="center"/>
            <w:hideMark/>
          </w:tcPr>
          <w:p w14:paraId="590309CD" w14:textId="77777777" w:rsidR="00EA7A8D" w:rsidRPr="00E97D2C" w:rsidRDefault="00EA7A8D" w:rsidP="00696E8F">
            <w:pPr>
              <w:rPr>
                <w:rFonts w:cs="Arial"/>
                <w:color w:val="000000"/>
              </w:rPr>
            </w:pPr>
            <w:r w:rsidRPr="00E97D2C">
              <w:rPr>
                <w:rFonts w:cs="Arial"/>
                <w:color w:val="000000"/>
              </w:rPr>
              <w:t>0DT64ZZ</w:t>
            </w:r>
          </w:p>
        </w:tc>
        <w:tc>
          <w:tcPr>
            <w:tcW w:w="7560" w:type="dxa"/>
            <w:noWrap/>
            <w:vAlign w:val="center"/>
            <w:hideMark/>
          </w:tcPr>
          <w:p w14:paraId="649BEA0B" w14:textId="77777777" w:rsidR="00EA7A8D" w:rsidRPr="00E97D2C" w:rsidRDefault="00EA7A8D" w:rsidP="00696E8F">
            <w:pPr>
              <w:rPr>
                <w:rFonts w:cs="Arial"/>
                <w:color w:val="000000"/>
              </w:rPr>
            </w:pPr>
            <w:r w:rsidRPr="00E97D2C">
              <w:rPr>
                <w:rFonts w:cs="Arial"/>
                <w:color w:val="000000"/>
              </w:rPr>
              <w:t>Resection of Stomach, Percutaneous Endoscopic Approach</w:t>
            </w:r>
          </w:p>
        </w:tc>
      </w:tr>
      <w:tr w:rsidR="00EA7A8D" w:rsidRPr="00E97D2C" w14:paraId="02429943" w14:textId="77777777" w:rsidTr="00696E8F">
        <w:trPr>
          <w:trHeight w:val="300"/>
        </w:trPr>
        <w:tc>
          <w:tcPr>
            <w:tcW w:w="1872" w:type="dxa"/>
            <w:noWrap/>
            <w:vAlign w:val="center"/>
            <w:hideMark/>
          </w:tcPr>
          <w:p w14:paraId="479A135A" w14:textId="77777777" w:rsidR="00EA7A8D" w:rsidRPr="00E97D2C" w:rsidRDefault="00EA7A8D" w:rsidP="00696E8F">
            <w:pPr>
              <w:rPr>
                <w:rFonts w:cs="Arial"/>
                <w:color w:val="000000"/>
              </w:rPr>
            </w:pPr>
            <w:r w:rsidRPr="00E97D2C">
              <w:rPr>
                <w:rFonts w:cs="Arial"/>
                <w:color w:val="000000"/>
              </w:rPr>
              <w:t>0DT67ZZ</w:t>
            </w:r>
          </w:p>
        </w:tc>
        <w:tc>
          <w:tcPr>
            <w:tcW w:w="7560" w:type="dxa"/>
            <w:noWrap/>
            <w:vAlign w:val="center"/>
            <w:hideMark/>
          </w:tcPr>
          <w:p w14:paraId="7CE542DA" w14:textId="77777777" w:rsidR="00EA7A8D" w:rsidRPr="00E97D2C" w:rsidRDefault="00EA7A8D" w:rsidP="00696E8F">
            <w:pPr>
              <w:rPr>
                <w:rFonts w:cs="Arial"/>
                <w:color w:val="000000"/>
              </w:rPr>
            </w:pPr>
            <w:r w:rsidRPr="00E97D2C">
              <w:rPr>
                <w:rFonts w:cs="Arial"/>
                <w:color w:val="000000"/>
              </w:rPr>
              <w:t>Resection of Stomach, Via Natural or Artificial Opening</w:t>
            </w:r>
          </w:p>
        </w:tc>
      </w:tr>
      <w:tr w:rsidR="00EA7A8D" w:rsidRPr="00E97D2C" w14:paraId="65BFE6A3" w14:textId="77777777" w:rsidTr="00696E8F">
        <w:trPr>
          <w:trHeight w:val="300"/>
        </w:trPr>
        <w:tc>
          <w:tcPr>
            <w:tcW w:w="1872" w:type="dxa"/>
            <w:noWrap/>
            <w:vAlign w:val="center"/>
            <w:hideMark/>
          </w:tcPr>
          <w:p w14:paraId="4FFE60C0" w14:textId="77777777" w:rsidR="00EA7A8D" w:rsidRPr="00E97D2C" w:rsidRDefault="00EA7A8D" w:rsidP="00696E8F">
            <w:pPr>
              <w:rPr>
                <w:rFonts w:cs="Arial"/>
                <w:color w:val="000000"/>
              </w:rPr>
            </w:pPr>
            <w:r w:rsidRPr="00E97D2C">
              <w:rPr>
                <w:rFonts w:cs="Arial"/>
                <w:color w:val="000000"/>
              </w:rPr>
              <w:t>0DT68ZZ</w:t>
            </w:r>
          </w:p>
        </w:tc>
        <w:tc>
          <w:tcPr>
            <w:tcW w:w="7560" w:type="dxa"/>
            <w:noWrap/>
            <w:vAlign w:val="center"/>
            <w:hideMark/>
          </w:tcPr>
          <w:p w14:paraId="6CD2958B" w14:textId="77777777" w:rsidR="00EA7A8D" w:rsidRPr="00E97D2C" w:rsidRDefault="00EA7A8D" w:rsidP="00696E8F">
            <w:pPr>
              <w:rPr>
                <w:rFonts w:cs="Arial"/>
                <w:color w:val="000000"/>
              </w:rPr>
            </w:pPr>
            <w:r w:rsidRPr="00E97D2C">
              <w:rPr>
                <w:rFonts w:cs="Arial"/>
                <w:color w:val="000000"/>
              </w:rPr>
              <w:t>Resection of Stomach, Via Natural or Artificial Opening Endoscopic</w:t>
            </w:r>
          </w:p>
        </w:tc>
      </w:tr>
      <w:tr w:rsidR="00EA7A8D" w:rsidRPr="00E97D2C" w14:paraId="770BBB1E" w14:textId="77777777" w:rsidTr="00696E8F">
        <w:trPr>
          <w:trHeight w:val="300"/>
        </w:trPr>
        <w:tc>
          <w:tcPr>
            <w:tcW w:w="1872" w:type="dxa"/>
            <w:noWrap/>
            <w:vAlign w:val="center"/>
            <w:hideMark/>
          </w:tcPr>
          <w:p w14:paraId="0DFFDFD9" w14:textId="77777777" w:rsidR="00EA7A8D" w:rsidRPr="00E97D2C" w:rsidRDefault="00EA7A8D" w:rsidP="00696E8F">
            <w:pPr>
              <w:rPr>
                <w:rFonts w:cs="Arial"/>
                <w:color w:val="000000"/>
              </w:rPr>
            </w:pPr>
            <w:r w:rsidRPr="00E97D2C">
              <w:rPr>
                <w:rFonts w:cs="Arial"/>
                <w:color w:val="000000"/>
              </w:rPr>
              <w:t>0DX60Z5</w:t>
            </w:r>
          </w:p>
        </w:tc>
        <w:tc>
          <w:tcPr>
            <w:tcW w:w="7560" w:type="dxa"/>
            <w:noWrap/>
            <w:vAlign w:val="center"/>
            <w:hideMark/>
          </w:tcPr>
          <w:p w14:paraId="2C3B3923" w14:textId="77777777" w:rsidR="00EA7A8D" w:rsidRPr="00E97D2C" w:rsidRDefault="00EA7A8D" w:rsidP="00696E8F">
            <w:pPr>
              <w:rPr>
                <w:rFonts w:cs="Arial"/>
                <w:color w:val="000000"/>
              </w:rPr>
            </w:pPr>
            <w:r w:rsidRPr="00E97D2C">
              <w:rPr>
                <w:rFonts w:cs="Arial"/>
                <w:color w:val="000000"/>
              </w:rPr>
              <w:t>Transfer Stomach to Esophagus, Open Approach</w:t>
            </w:r>
          </w:p>
        </w:tc>
      </w:tr>
      <w:tr w:rsidR="00EA7A8D" w:rsidRPr="00E97D2C" w14:paraId="4AB41D7E" w14:textId="77777777" w:rsidTr="00696E8F">
        <w:trPr>
          <w:trHeight w:val="300"/>
        </w:trPr>
        <w:tc>
          <w:tcPr>
            <w:tcW w:w="1872" w:type="dxa"/>
            <w:noWrap/>
            <w:vAlign w:val="center"/>
            <w:hideMark/>
          </w:tcPr>
          <w:p w14:paraId="18167213" w14:textId="77777777" w:rsidR="00EA7A8D" w:rsidRPr="00E97D2C" w:rsidRDefault="00EA7A8D" w:rsidP="00696E8F">
            <w:pPr>
              <w:rPr>
                <w:rFonts w:cs="Arial"/>
                <w:color w:val="000000"/>
              </w:rPr>
            </w:pPr>
            <w:r w:rsidRPr="00E97D2C">
              <w:rPr>
                <w:rFonts w:cs="Arial"/>
                <w:color w:val="000000"/>
              </w:rPr>
              <w:t>0DX64Z5</w:t>
            </w:r>
          </w:p>
        </w:tc>
        <w:tc>
          <w:tcPr>
            <w:tcW w:w="7560" w:type="dxa"/>
            <w:noWrap/>
            <w:vAlign w:val="center"/>
            <w:hideMark/>
          </w:tcPr>
          <w:p w14:paraId="30230644" w14:textId="77777777" w:rsidR="00EA7A8D" w:rsidRPr="00E97D2C" w:rsidRDefault="00EA7A8D" w:rsidP="00696E8F">
            <w:pPr>
              <w:rPr>
                <w:rFonts w:cs="Arial"/>
                <w:color w:val="000000"/>
              </w:rPr>
            </w:pPr>
            <w:r w:rsidRPr="00E97D2C">
              <w:rPr>
                <w:rFonts w:cs="Arial"/>
                <w:color w:val="000000"/>
              </w:rPr>
              <w:t>Transfer Stomach to Esophagus, Percutaneous Endoscopic Approach</w:t>
            </w:r>
          </w:p>
        </w:tc>
      </w:tr>
      <w:tr w:rsidR="00EA7A8D" w:rsidRPr="00E97D2C" w14:paraId="0FD2D51F" w14:textId="77777777" w:rsidTr="00696E8F">
        <w:trPr>
          <w:trHeight w:val="300"/>
        </w:trPr>
        <w:tc>
          <w:tcPr>
            <w:tcW w:w="1872" w:type="dxa"/>
            <w:noWrap/>
            <w:vAlign w:val="center"/>
            <w:hideMark/>
          </w:tcPr>
          <w:p w14:paraId="7ADC4CDA" w14:textId="77777777" w:rsidR="00EA7A8D" w:rsidRPr="00E97D2C" w:rsidRDefault="00EA7A8D" w:rsidP="00696E8F">
            <w:pPr>
              <w:rPr>
                <w:rFonts w:cs="Arial"/>
                <w:color w:val="000000"/>
              </w:rPr>
            </w:pPr>
            <w:r w:rsidRPr="00E97D2C">
              <w:rPr>
                <w:rFonts w:cs="Arial"/>
                <w:color w:val="000000"/>
              </w:rPr>
              <w:t>0DX80Z5</w:t>
            </w:r>
          </w:p>
        </w:tc>
        <w:tc>
          <w:tcPr>
            <w:tcW w:w="7560" w:type="dxa"/>
            <w:noWrap/>
            <w:vAlign w:val="center"/>
            <w:hideMark/>
          </w:tcPr>
          <w:p w14:paraId="707D3E7B" w14:textId="77777777" w:rsidR="00EA7A8D" w:rsidRPr="00E97D2C" w:rsidRDefault="00EA7A8D" w:rsidP="00696E8F">
            <w:pPr>
              <w:rPr>
                <w:rFonts w:cs="Arial"/>
                <w:color w:val="000000"/>
              </w:rPr>
            </w:pPr>
            <w:r w:rsidRPr="00E97D2C">
              <w:rPr>
                <w:rFonts w:cs="Arial"/>
                <w:color w:val="000000"/>
              </w:rPr>
              <w:t>Transfer Small Intestine to Esophagus, Open Approach</w:t>
            </w:r>
          </w:p>
        </w:tc>
      </w:tr>
      <w:tr w:rsidR="00EA7A8D" w:rsidRPr="00E97D2C" w14:paraId="6797EFF3" w14:textId="77777777" w:rsidTr="00696E8F">
        <w:trPr>
          <w:trHeight w:val="300"/>
        </w:trPr>
        <w:tc>
          <w:tcPr>
            <w:tcW w:w="1872" w:type="dxa"/>
            <w:noWrap/>
            <w:vAlign w:val="center"/>
            <w:hideMark/>
          </w:tcPr>
          <w:p w14:paraId="2646B10C" w14:textId="77777777" w:rsidR="00EA7A8D" w:rsidRPr="00E97D2C" w:rsidRDefault="00EA7A8D" w:rsidP="00696E8F">
            <w:pPr>
              <w:rPr>
                <w:rFonts w:cs="Arial"/>
                <w:color w:val="000000"/>
              </w:rPr>
            </w:pPr>
            <w:r w:rsidRPr="00E97D2C">
              <w:rPr>
                <w:rFonts w:cs="Arial"/>
                <w:color w:val="000000"/>
              </w:rPr>
              <w:t>0DX84Z5</w:t>
            </w:r>
          </w:p>
        </w:tc>
        <w:tc>
          <w:tcPr>
            <w:tcW w:w="7560" w:type="dxa"/>
            <w:noWrap/>
            <w:vAlign w:val="center"/>
            <w:hideMark/>
          </w:tcPr>
          <w:p w14:paraId="0102E857" w14:textId="77777777" w:rsidR="00EA7A8D" w:rsidRPr="00E97D2C" w:rsidRDefault="00EA7A8D" w:rsidP="00696E8F">
            <w:pPr>
              <w:rPr>
                <w:rFonts w:cs="Arial"/>
                <w:color w:val="000000"/>
              </w:rPr>
            </w:pPr>
            <w:r w:rsidRPr="00E97D2C">
              <w:rPr>
                <w:rFonts w:cs="Arial"/>
                <w:color w:val="000000"/>
              </w:rPr>
              <w:t>Transfer Small Intestine to Esophagus, Percutaneous Endoscopic Approach</w:t>
            </w:r>
          </w:p>
        </w:tc>
      </w:tr>
      <w:tr w:rsidR="00EA7A8D" w:rsidRPr="00E97D2C" w14:paraId="2C14300B" w14:textId="77777777" w:rsidTr="00696E8F">
        <w:trPr>
          <w:trHeight w:val="300"/>
        </w:trPr>
        <w:tc>
          <w:tcPr>
            <w:tcW w:w="1872" w:type="dxa"/>
            <w:noWrap/>
            <w:vAlign w:val="center"/>
            <w:hideMark/>
          </w:tcPr>
          <w:p w14:paraId="4ADD2CC5" w14:textId="77777777" w:rsidR="00EA7A8D" w:rsidRPr="00E97D2C" w:rsidRDefault="00EA7A8D" w:rsidP="00696E8F">
            <w:pPr>
              <w:rPr>
                <w:rFonts w:cs="Arial"/>
                <w:color w:val="000000"/>
              </w:rPr>
            </w:pPr>
            <w:r w:rsidRPr="00E97D2C">
              <w:rPr>
                <w:rFonts w:cs="Arial"/>
                <w:color w:val="000000"/>
              </w:rPr>
              <w:t>0DXE0Z5</w:t>
            </w:r>
          </w:p>
        </w:tc>
        <w:tc>
          <w:tcPr>
            <w:tcW w:w="7560" w:type="dxa"/>
            <w:noWrap/>
            <w:vAlign w:val="center"/>
            <w:hideMark/>
          </w:tcPr>
          <w:p w14:paraId="220B71A9" w14:textId="77777777" w:rsidR="00EA7A8D" w:rsidRPr="00E97D2C" w:rsidRDefault="00EA7A8D" w:rsidP="00696E8F">
            <w:pPr>
              <w:rPr>
                <w:rFonts w:cs="Arial"/>
                <w:color w:val="000000"/>
              </w:rPr>
            </w:pPr>
            <w:r w:rsidRPr="00E97D2C">
              <w:rPr>
                <w:rFonts w:cs="Arial"/>
                <w:color w:val="000000"/>
              </w:rPr>
              <w:t>Transfer Large Intestine to Esophagus, Open Approach</w:t>
            </w:r>
          </w:p>
        </w:tc>
      </w:tr>
      <w:tr w:rsidR="00EA7A8D" w:rsidRPr="00E97D2C" w14:paraId="0EFAA333" w14:textId="77777777" w:rsidTr="00696E8F">
        <w:trPr>
          <w:trHeight w:val="300"/>
        </w:trPr>
        <w:tc>
          <w:tcPr>
            <w:tcW w:w="1872" w:type="dxa"/>
            <w:noWrap/>
            <w:vAlign w:val="center"/>
            <w:hideMark/>
          </w:tcPr>
          <w:p w14:paraId="1D83F30F" w14:textId="77777777" w:rsidR="00EA7A8D" w:rsidRPr="00E97D2C" w:rsidRDefault="00EA7A8D" w:rsidP="00696E8F">
            <w:pPr>
              <w:rPr>
                <w:rFonts w:cs="Arial"/>
                <w:color w:val="000000"/>
              </w:rPr>
            </w:pPr>
            <w:r w:rsidRPr="00E97D2C">
              <w:rPr>
                <w:rFonts w:cs="Arial"/>
                <w:color w:val="000000"/>
              </w:rPr>
              <w:t>0DXE4Z5</w:t>
            </w:r>
          </w:p>
        </w:tc>
        <w:tc>
          <w:tcPr>
            <w:tcW w:w="7560" w:type="dxa"/>
            <w:noWrap/>
            <w:vAlign w:val="center"/>
            <w:hideMark/>
          </w:tcPr>
          <w:p w14:paraId="6A1050DA" w14:textId="77777777" w:rsidR="00EA7A8D" w:rsidRPr="00E97D2C" w:rsidRDefault="00EA7A8D" w:rsidP="00696E8F">
            <w:pPr>
              <w:rPr>
                <w:rFonts w:cs="Arial"/>
                <w:color w:val="000000"/>
              </w:rPr>
            </w:pPr>
            <w:r w:rsidRPr="00E97D2C">
              <w:rPr>
                <w:rFonts w:cs="Arial"/>
                <w:color w:val="000000"/>
              </w:rPr>
              <w:t>Transfer Large Intestine to Esophagus, Percutaneous End</w:t>
            </w:r>
          </w:p>
        </w:tc>
      </w:tr>
    </w:tbl>
    <w:p w14:paraId="40539380" w14:textId="77777777" w:rsidR="00862093" w:rsidRPr="009A5185" w:rsidRDefault="00862093" w:rsidP="00862093">
      <w:pPr>
        <w:rPr>
          <w:rFonts w:cs="Arial"/>
          <w:b/>
        </w:rPr>
      </w:pPr>
    </w:p>
    <w:p w14:paraId="614E6346" w14:textId="77777777" w:rsidR="00862093" w:rsidRPr="009A5185" w:rsidRDefault="000E1EAA" w:rsidP="00862093">
      <w:pPr>
        <w:rPr>
          <w:rFonts w:cs="Arial"/>
          <w:b/>
        </w:rPr>
      </w:pPr>
      <w:r w:rsidRPr="009A5185">
        <w:rPr>
          <w:rFonts w:cs="Arial"/>
          <w:b/>
        </w:rPr>
        <w:t xml:space="preserve">ICD-10 Malignant Tumor </w:t>
      </w:r>
      <w:r w:rsidR="006015E0">
        <w:rPr>
          <w:rFonts w:cs="Arial"/>
          <w:b/>
        </w:rPr>
        <w:t xml:space="preserve">and Carcinoma in Situ </w:t>
      </w:r>
      <w:r w:rsidR="00862093" w:rsidRPr="009A5185">
        <w:rPr>
          <w:rFonts w:cs="Arial"/>
          <w:b/>
        </w:rPr>
        <w:t>Diagnosis Codes</w:t>
      </w:r>
      <w:r w:rsidR="00763340" w:rsidRPr="009A5185">
        <w:rPr>
          <w:rFonts w:cs="Arial"/>
          <w:b/>
        </w:rPr>
        <w:t xml:space="preserve"> </w:t>
      </w:r>
    </w:p>
    <w:p w14:paraId="1743631A" w14:textId="77777777" w:rsidR="00862093" w:rsidRPr="009A5185" w:rsidRDefault="00862093" w:rsidP="00862093">
      <w:pPr>
        <w:rPr>
          <w:rFonts w:cs="Arial"/>
          <w:b/>
        </w:rPr>
      </w:pPr>
    </w:p>
    <w:tbl>
      <w:tblPr>
        <w:tblStyle w:val="TableGrid"/>
        <w:tblW w:w="9432" w:type="dxa"/>
        <w:tblLook w:val="04A0" w:firstRow="1" w:lastRow="0" w:firstColumn="1" w:lastColumn="0" w:noHBand="0" w:noVBand="1"/>
      </w:tblPr>
      <w:tblGrid>
        <w:gridCol w:w="1872"/>
        <w:gridCol w:w="7560"/>
      </w:tblGrid>
      <w:tr w:rsidR="009A7901" w:rsidRPr="0004317D" w14:paraId="3361C351" w14:textId="77777777" w:rsidTr="00696E8F">
        <w:trPr>
          <w:trHeight w:val="432"/>
        </w:trPr>
        <w:tc>
          <w:tcPr>
            <w:tcW w:w="1872" w:type="dxa"/>
            <w:shd w:val="clear" w:color="auto" w:fill="BFBFBF" w:themeFill="background1" w:themeFillShade="BF"/>
            <w:noWrap/>
            <w:vAlign w:val="center"/>
          </w:tcPr>
          <w:p w14:paraId="0F3D9ACA" w14:textId="77777777" w:rsidR="009A7901" w:rsidRPr="0004317D" w:rsidRDefault="009A7901" w:rsidP="00696E8F">
            <w:pPr>
              <w:rPr>
                <w:rFonts w:cs="Arial"/>
                <w:color w:val="000000"/>
              </w:rPr>
            </w:pPr>
            <w:r w:rsidRPr="0004317D">
              <w:rPr>
                <w:rFonts w:cs="Arial"/>
                <w:b/>
                <w:bCs/>
                <w:color w:val="000000"/>
              </w:rPr>
              <w:t>ICD</w:t>
            </w:r>
            <w:r>
              <w:rPr>
                <w:rFonts w:cs="Arial"/>
                <w:b/>
                <w:bCs/>
                <w:color w:val="000000"/>
              </w:rPr>
              <w:t>-</w:t>
            </w:r>
            <w:r w:rsidRPr="0004317D">
              <w:rPr>
                <w:rFonts w:cs="Arial"/>
                <w:b/>
                <w:bCs/>
                <w:color w:val="000000"/>
              </w:rPr>
              <w:t>10 Diagnosis Code</w:t>
            </w:r>
          </w:p>
        </w:tc>
        <w:tc>
          <w:tcPr>
            <w:tcW w:w="7560" w:type="dxa"/>
            <w:shd w:val="clear" w:color="auto" w:fill="BFBFBF" w:themeFill="background1" w:themeFillShade="BF"/>
            <w:vAlign w:val="center"/>
          </w:tcPr>
          <w:p w14:paraId="4967EFA7" w14:textId="77777777" w:rsidR="009A7901" w:rsidRPr="0004317D" w:rsidRDefault="009A7901" w:rsidP="00696E8F">
            <w:pPr>
              <w:rPr>
                <w:rFonts w:cs="Arial"/>
                <w:color w:val="000000"/>
              </w:rPr>
            </w:pPr>
            <w:r w:rsidRPr="0004317D">
              <w:rPr>
                <w:rFonts w:cs="Arial"/>
                <w:b/>
              </w:rPr>
              <w:t>Code Description</w:t>
            </w:r>
          </w:p>
        </w:tc>
      </w:tr>
      <w:tr w:rsidR="009A7901" w:rsidRPr="006227B9" w14:paraId="6F5F67EC" w14:textId="77777777" w:rsidTr="00696E8F">
        <w:trPr>
          <w:trHeight w:val="300"/>
        </w:trPr>
        <w:tc>
          <w:tcPr>
            <w:tcW w:w="1872" w:type="dxa"/>
            <w:noWrap/>
            <w:vAlign w:val="center"/>
            <w:hideMark/>
          </w:tcPr>
          <w:p w14:paraId="488ED89C" w14:textId="77777777" w:rsidR="009A7901" w:rsidRPr="006227B9" w:rsidRDefault="009A7901" w:rsidP="00696E8F">
            <w:pPr>
              <w:rPr>
                <w:rFonts w:cs="Arial"/>
                <w:color w:val="000000"/>
              </w:rPr>
            </w:pPr>
            <w:bookmarkStart w:id="258" w:name="RANGE!B42"/>
            <w:r w:rsidRPr="006227B9">
              <w:rPr>
                <w:rFonts w:cs="Arial"/>
                <w:color w:val="000000"/>
              </w:rPr>
              <w:t>C15.3</w:t>
            </w:r>
          </w:p>
        </w:tc>
        <w:tc>
          <w:tcPr>
            <w:tcW w:w="7560" w:type="dxa"/>
            <w:noWrap/>
            <w:vAlign w:val="center"/>
            <w:hideMark/>
          </w:tcPr>
          <w:p w14:paraId="2B18BEE0" w14:textId="77777777" w:rsidR="009A7901" w:rsidRPr="006227B9" w:rsidRDefault="009A7901" w:rsidP="00696E8F">
            <w:pPr>
              <w:rPr>
                <w:rFonts w:cs="Arial"/>
                <w:color w:val="000000"/>
              </w:rPr>
            </w:pPr>
            <w:r w:rsidRPr="006227B9">
              <w:rPr>
                <w:rFonts w:cs="Arial"/>
                <w:color w:val="000000"/>
              </w:rPr>
              <w:t>Malignant neoplasm of upper third of esophagus</w:t>
            </w:r>
          </w:p>
        </w:tc>
      </w:tr>
      <w:tr w:rsidR="009A7901" w:rsidRPr="006227B9" w14:paraId="5EE15045" w14:textId="77777777" w:rsidTr="00696E8F">
        <w:trPr>
          <w:trHeight w:val="300"/>
        </w:trPr>
        <w:tc>
          <w:tcPr>
            <w:tcW w:w="1872" w:type="dxa"/>
            <w:noWrap/>
            <w:vAlign w:val="center"/>
            <w:hideMark/>
          </w:tcPr>
          <w:p w14:paraId="3A22ACB0" w14:textId="77777777" w:rsidR="009A7901" w:rsidRPr="006227B9" w:rsidRDefault="009A7901" w:rsidP="00696E8F">
            <w:pPr>
              <w:rPr>
                <w:rFonts w:cs="Arial"/>
                <w:color w:val="000000"/>
              </w:rPr>
            </w:pPr>
            <w:r w:rsidRPr="006227B9">
              <w:rPr>
                <w:rFonts w:cs="Arial"/>
                <w:color w:val="000000"/>
              </w:rPr>
              <w:t>C15.4</w:t>
            </w:r>
          </w:p>
        </w:tc>
        <w:tc>
          <w:tcPr>
            <w:tcW w:w="7560" w:type="dxa"/>
            <w:noWrap/>
            <w:vAlign w:val="center"/>
            <w:hideMark/>
          </w:tcPr>
          <w:p w14:paraId="5F47C1C3" w14:textId="77777777" w:rsidR="009A7901" w:rsidRPr="006227B9" w:rsidRDefault="009A7901" w:rsidP="00696E8F">
            <w:pPr>
              <w:rPr>
                <w:rFonts w:cs="Arial"/>
                <w:color w:val="000000"/>
              </w:rPr>
            </w:pPr>
            <w:r w:rsidRPr="006227B9">
              <w:rPr>
                <w:rFonts w:cs="Arial"/>
                <w:color w:val="000000"/>
              </w:rPr>
              <w:t>Malignant neoplasm of middle third of esophagus</w:t>
            </w:r>
          </w:p>
        </w:tc>
      </w:tr>
      <w:tr w:rsidR="009A7901" w:rsidRPr="006227B9" w14:paraId="2CE96234" w14:textId="77777777" w:rsidTr="00696E8F">
        <w:trPr>
          <w:trHeight w:val="300"/>
        </w:trPr>
        <w:tc>
          <w:tcPr>
            <w:tcW w:w="1872" w:type="dxa"/>
            <w:noWrap/>
            <w:vAlign w:val="center"/>
            <w:hideMark/>
          </w:tcPr>
          <w:p w14:paraId="04D15FA1" w14:textId="77777777" w:rsidR="009A7901" w:rsidRPr="006227B9" w:rsidRDefault="009A7901" w:rsidP="00696E8F">
            <w:pPr>
              <w:rPr>
                <w:rFonts w:cs="Arial"/>
                <w:color w:val="000000"/>
              </w:rPr>
            </w:pPr>
            <w:r w:rsidRPr="006227B9">
              <w:rPr>
                <w:rFonts w:cs="Arial"/>
                <w:color w:val="000000"/>
              </w:rPr>
              <w:t>C15.5</w:t>
            </w:r>
          </w:p>
        </w:tc>
        <w:tc>
          <w:tcPr>
            <w:tcW w:w="7560" w:type="dxa"/>
            <w:noWrap/>
            <w:vAlign w:val="center"/>
            <w:hideMark/>
          </w:tcPr>
          <w:p w14:paraId="6F4E60ED" w14:textId="77777777" w:rsidR="009A7901" w:rsidRPr="006227B9" w:rsidRDefault="009A7901" w:rsidP="00696E8F">
            <w:pPr>
              <w:rPr>
                <w:rFonts w:cs="Arial"/>
                <w:color w:val="000000"/>
              </w:rPr>
            </w:pPr>
            <w:r w:rsidRPr="006227B9">
              <w:rPr>
                <w:rFonts w:cs="Arial"/>
                <w:color w:val="000000"/>
              </w:rPr>
              <w:t>Malignant neoplasm of lower third of esophagus</w:t>
            </w:r>
          </w:p>
        </w:tc>
      </w:tr>
      <w:tr w:rsidR="009A7901" w:rsidRPr="006227B9" w14:paraId="667CFD51" w14:textId="77777777" w:rsidTr="00696E8F">
        <w:trPr>
          <w:trHeight w:val="300"/>
        </w:trPr>
        <w:tc>
          <w:tcPr>
            <w:tcW w:w="1872" w:type="dxa"/>
            <w:noWrap/>
            <w:vAlign w:val="center"/>
            <w:hideMark/>
          </w:tcPr>
          <w:p w14:paraId="10693358" w14:textId="77777777" w:rsidR="009A7901" w:rsidRPr="006227B9" w:rsidRDefault="009A7901" w:rsidP="00696E8F">
            <w:pPr>
              <w:rPr>
                <w:rFonts w:cs="Arial"/>
                <w:color w:val="000000"/>
              </w:rPr>
            </w:pPr>
            <w:r w:rsidRPr="006227B9">
              <w:rPr>
                <w:rFonts w:cs="Arial"/>
                <w:color w:val="000000"/>
              </w:rPr>
              <w:t>C15.8</w:t>
            </w:r>
          </w:p>
        </w:tc>
        <w:tc>
          <w:tcPr>
            <w:tcW w:w="7560" w:type="dxa"/>
            <w:noWrap/>
            <w:vAlign w:val="center"/>
            <w:hideMark/>
          </w:tcPr>
          <w:p w14:paraId="2EE37144" w14:textId="77777777" w:rsidR="009A7901" w:rsidRPr="006227B9" w:rsidRDefault="009A7901" w:rsidP="00696E8F">
            <w:pPr>
              <w:rPr>
                <w:rFonts w:cs="Arial"/>
                <w:color w:val="000000"/>
              </w:rPr>
            </w:pPr>
            <w:r w:rsidRPr="006227B9">
              <w:rPr>
                <w:rFonts w:cs="Arial"/>
                <w:color w:val="000000"/>
              </w:rPr>
              <w:t>Malignant neoplasm of overlapping sites of esophagus</w:t>
            </w:r>
          </w:p>
        </w:tc>
      </w:tr>
      <w:tr w:rsidR="009A7901" w:rsidRPr="006227B9" w14:paraId="7A3EA258" w14:textId="77777777" w:rsidTr="00696E8F">
        <w:trPr>
          <w:trHeight w:val="300"/>
        </w:trPr>
        <w:tc>
          <w:tcPr>
            <w:tcW w:w="1872" w:type="dxa"/>
            <w:noWrap/>
            <w:vAlign w:val="center"/>
            <w:hideMark/>
          </w:tcPr>
          <w:p w14:paraId="640EEE6E" w14:textId="77777777" w:rsidR="009A7901" w:rsidRPr="006227B9" w:rsidRDefault="009A7901" w:rsidP="00696E8F">
            <w:pPr>
              <w:rPr>
                <w:rFonts w:cs="Arial"/>
                <w:color w:val="000000"/>
              </w:rPr>
            </w:pPr>
            <w:r w:rsidRPr="006227B9">
              <w:rPr>
                <w:rFonts w:cs="Arial"/>
                <w:color w:val="000000"/>
              </w:rPr>
              <w:t>C15.9</w:t>
            </w:r>
          </w:p>
        </w:tc>
        <w:tc>
          <w:tcPr>
            <w:tcW w:w="7560" w:type="dxa"/>
            <w:noWrap/>
            <w:vAlign w:val="center"/>
            <w:hideMark/>
          </w:tcPr>
          <w:p w14:paraId="2BDDE248" w14:textId="77777777" w:rsidR="009A7901" w:rsidRPr="006227B9" w:rsidRDefault="009A7901" w:rsidP="00696E8F">
            <w:pPr>
              <w:rPr>
                <w:rFonts w:cs="Arial"/>
                <w:color w:val="000000"/>
              </w:rPr>
            </w:pPr>
            <w:r w:rsidRPr="006227B9">
              <w:rPr>
                <w:rFonts w:cs="Arial"/>
                <w:color w:val="000000"/>
              </w:rPr>
              <w:t>Malignant neoplasm of esophagus, unspecified</w:t>
            </w:r>
          </w:p>
        </w:tc>
      </w:tr>
      <w:tr w:rsidR="009A7901" w:rsidRPr="006227B9" w14:paraId="0A066EA2" w14:textId="77777777" w:rsidTr="00696E8F">
        <w:trPr>
          <w:trHeight w:val="300"/>
        </w:trPr>
        <w:tc>
          <w:tcPr>
            <w:tcW w:w="1872" w:type="dxa"/>
            <w:noWrap/>
            <w:vAlign w:val="center"/>
            <w:hideMark/>
          </w:tcPr>
          <w:p w14:paraId="4FE70107" w14:textId="77777777" w:rsidR="009A7901" w:rsidRPr="006227B9" w:rsidRDefault="009A7901" w:rsidP="00696E8F">
            <w:pPr>
              <w:rPr>
                <w:rFonts w:cs="Arial"/>
                <w:color w:val="000000"/>
              </w:rPr>
            </w:pPr>
            <w:r w:rsidRPr="006227B9">
              <w:rPr>
                <w:rFonts w:cs="Arial"/>
                <w:color w:val="000000"/>
              </w:rPr>
              <w:t>C16.0</w:t>
            </w:r>
          </w:p>
        </w:tc>
        <w:tc>
          <w:tcPr>
            <w:tcW w:w="7560" w:type="dxa"/>
            <w:noWrap/>
            <w:vAlign w:val="center"/>
            <w:hideMark/>
          </w:tcPr>
          <w:p w14:paraId="6C1F5B82" w14:textId="77777777" w:rsidR="009A7901" w:rsidRPr="006227B9" w:rsidRDefault="009A7901" w:rsidP="00696E8F">
            <w:pPr>
              <w:rPr>
                <w:rFonts w:cs="Arial"/>
                <w:color w:val="000000"/>
              </w:rPr>
            </w:pPr>
            <w:r w:rsidRPr="006227B9">
              <w:rPr>
                <w:rFonts w:cs="Arial"/>
                <w:color w:val="000000"/>
              </w:rPr>
              <w:t>Malignancy of the cardio-esophageal junction</w:t>
            </w:r>
          </w:p>
        </w:tc>
      </w:tr>
      <w:tr w:rsidR="009A7901" w:rsidRPr="006227B9" w14:paraId="1D85A486" w14:textId="77777777" w:rsidTr="00696E8F">
        <w:trPr>
          <w:trHeight w:val="300"/>
        </w:trPr>
        <w:tc>
          <w:tcPr>
            <w:tcW w:w="1872" w:type="dxa"/>
            <w:noWrap/>
            <w:vAlign w:val="center"/>
            <w:hideMark/>
          </w:tcPr>
          <w:p w14:paraId="33CEFF9D" w14:textId="77777777" w:rsidR="009A7901" w:rsidRPr="006227B9" w:rsidRDefault="009A7901" w:rsidP="00696E8F">
            <w:pPr>
              <w:rPr>
                <w:rFonts w:cs="Arial"/>
                <w:color w:val="000000"/>
              </w:rPr>
            </w:pPr>
            <w:r w:rsidRPr="006227B9">
              <w:rPr>
                <w:rFonts w:cs="Arial"/>
                <w:color w:val="000000"/>
              </w:rPr>
              <w:t>D00</w:t>
            </w:r>
            <w:r w:rsidR="00534704">
              <w:rPr>
                <w:rFonts w:cs="Arial"/>
                <w:color w:val="000000"/>
              </w:rPr>
              <w:t>.</w:t>
            </w:r>
            <w:r w:rsidRPr="006227B9">
              <w:rPr>
                <w:rFonts w:cs="Arial"/>
                <w:color w:val="000000"/>
              </w:rPr>
              <w:t xml:space="preserve">1 </w:t>
            </w:r>
          </w:p>
        </w:tc>
        <w:tc>
          <w:tcPr>
            <w:tcW w:w="7560" w:type="dxa"/>
            <w:noWrap/>
            <w:vAlign w:val="center"/>
            <w:hideMark/>
          </w:tcPr>
          <w:p w14:paraId="2730FDCF" w14:textId="77777777" w:rsidR="009A7901" w:rsidRPr="006227B9" w:rsidRDefault="009A7901" w:rsidP="00696E8F">
            <w:pPr>
              <w:rPr>
                <w:rFonts w:cs="Arial"/>
                <w:color w:val="000000"/>
              </w:rPr>
            </w:pPr>
            <w:r w:rsidRPr="006227B9">
              <w:rPr>
                <w:rFonts w:cs="Arial"/>
                <w:color w:val="000000"/>
              </w:rPr>
              <w:t>Carcinoma in situ of esophagus</w:t>
            </w:r>
          </w:p>
        </w:tc>
      </w:tr>
      <w:bookmarkEnd w:id="258"/>
    </w:tbl>
    <w:p w14:paraId="2B05769B" w14:textId="77777777" w:rsidR="00862093" w:rsidRPr="009A5185" w:rsidRDefault="00862093" w:rsidP="00862093">
      <w:pPr>
        <w:rPr>
          <w:rFonts w:cs="Arial"/>
        </w:rPr>
      </w:pPr>
    </w:p>
    <w:p w14:paraId="0BA3EE8E" w14:textId="77777777" w:rsidR="00E95DF5" w:rsidRPr="009A5185" w:rsidRDefault="00E95DF5" w:rsidP="00862093">
      <w:pPr>
        <w:rPr>
          <w:rFonts w:cs="Arial"/>
        </w:rPr>
      </w:pPr>
    </w:p>
    <w:p w14:paraId="2B0373B0" w14:textId="77777777" w:rsidR="00F13A61" w:rsidRPr="009A5185" w:rsidRDefault="00F13A61">
      <w:pPr>
        <w:rPr>
          <w:rFonts w:cs="Arial"/>
          <w:b/>
          <w:i/>
          <w:snapToGrid w:val="0"/>
          <w:sz w:val="24"/>
          <w:szCs w:val="24"/>
          <w:lang w:eastAsia="ja-JP"/>
        </w:rPr>
      </w:pPr>
      <w:r w:rsidRPr="009A5185">
        <w:rPr>
          <w:rFonts w:cs="Arial"/>
          <w:snapToGrid w:val="0"/>
        </w:rPr>
        <w:br w:type="page"/>
      </w:r>
    </w:p>
    <w:p w14:paraId="3E79DFF5" w14:textId="3944B10C" w:rsidR="00E95DF5" w:rsidRPr="009A5185" w:rsidRDefault="00E95DF5" w:rsidP="000C2C54">
      <w:pPr>
        <w:pStyle w:val="Heading44"/>
      </w:pPr>
      <w:bookmarkStart w:id="259" w:name="PancreaticResection"/>
      <w:r w:rsidRPr="009A5185">
        <w:lastRenderedPageBreak/>
        <w:t>Pancreatic Resection</w:t>
      </w:r>
      <w:r w:rsidR="00C508E1" w:rsidRPr="009A5185">
        <w:t xml:space="preserve"> for Cancer</w:t>
      </w:r>
      <w:r w:rsidRPr="009A5185">
        <w:t xml:space="preserve"> Measure </w:t>
      </w:r>
      <w:r w:rsidR="000765C6">
        <w:t>Specifications</w:t>
      </w:r>
    </w:p>
    <w:bookmarkEnd w:id="259"/>
    <w:p w14:paraId="64919C9C" w14:textId="77777777" w:rsidR="00E95DF5" w:rsidRPr="00E1411B" w:rsidRDefault="00E95DF5" w:rsidP="00E95DF5">
      <w:pPr>
        <w:rPr>
          <w:rFonts w:cs="Arial"/>
          <w:sz w:val="16"/>
          <w:szCs w:val="16"/>
        </w:rPr>
      </w:pPr>
    </w:p>
    <w:p w14:paraId="4131E802" w14:textId="77777777" w:rsidR="00E95DF5" w:rsidRPr="009A5185" w:rsidRDefault="00E95DF5" w:rsidP="00E95DF5">
      <w:pPr>
        <w:rPr>
          <w:rFonts w:cs="Arial"/>
        </w:rPr>
      </w:pPr>
      <w:r w:rsidRPr="009A5185">
        <w:rPr>
          <w:rFonts w:cs="Arial"/>
        </w:rPr>
        <w:t xml:space="preserve">For </w:t>
      </w:r>
      <w:r w:rsidR="00E2557B" w:rsidRPr="009A5185">
        <w:rPr>
          <w:rFonts w:cs="Arial"/>
        </w:rPr>
        <w:t>pancreatic resection for cancer</w:t>
      </w:r>
      <w:r w:rsidRPr="009A5185">
        <w:rPr>
          <w:rFonts w:cs="Arial"/>
        </w:rPr>
        <w:t>, there are two sets of IC</w:t>
      </w:r>
      <w:r w:rsidR="007550AD">
        <w:rPr>
          <w:rFonts w:cs="Arial"/>
        </w:rPr>
        <w:t>D-10 codes for counting patient discharges</w:t>
      </w:r>
      <w:r w:rsidRPr="009A5185">
        <w:rPr>
          <w:rFonts w:cs="Arial"/>
        </w:rPr>
        <w:t xml:space="preserve">. The first set of codes is to identify patients who have had the procedure. </w:t>
      </w:r>
      <w:r w:rsidR="00D7330E" w:rsidRPr="009A5185">
        <w:rPr>
          <w:rFonts w:cs="Arial"/>
        </w:rPr>
        <w:t xml:space="preserve">The second set of codes </w:t>
      </w:r>
      <w:r w:rsidRPr="009A5185">
        <w:rPr>
          <w:rFonts w:cs="Arial"/>
        </w:rPr>
        <w:t>is to identify patient</w:t>
      </w:r>
      <w:r w:rsidR="009B3ACE" w:rsidRPr="009A5185">
        <w:rPr>
          <w:rFonts w:cs="Arial"/>
        </w:rPr>
        <w:t>s</w:t>
      </w:r>
      <w:r w:rsidRPr="009A5185">
        <w:rPr>
          <w:rFonts w:cs="Arial"/>
        </w:rPr>
        <w:t xml:space="preserve"> with a specific diagnosis.</w:t>
      </w:r>
    </w:p>
    <w:p w14:paraId="329E7EAD" w14:textId="77777777" w:rsidR="00E95DF5" w:rsidRPr="00E1411B" w:rsidRDefault="00E95DF5" w:rsidP="00E95DF5">
      <w:pPr>
        <w:rPr>
          <w:rFonts w:cs="Arial"/>
          <w:sz w:val="16"/>
          <w:szCs w:val="16"/>
        </w:rPr>
      </w:pPr>
    </w:p>
    <w:p w14:paraId="056E868C" w14:textId="77777777" w:rsidR="00E95DF5" w:rsidRPr="009A5185" w:rsidRDefault="007550AD" w:rsidP="00E95DF5">
      <w:pPr>
        <w:rPr>
          <w:rFonts w:cs="Arial"/>
        </w:rPr>
      </w:pPr>
      <w:r>
        <w:rPr>
          <w:rFonts w:cs="Arial"/>
        </w:rPr>
        <w:t>Count the n</w:t>
      </w:r>
      <w:r w:rsidR="00E95DF5" w:rsidRPr="009A5185">
        <w:rPr>
          <w:rFonts w:cs="Arial"/>
        </w:rPr>
        <w:t>umber of patients, age</w:t>
      </w:r>
      <w:r w:rsidR="00E2557B">
        <w:rPr>
          <w:rFonts w:cs="Arial"/>
        </w:rPr>
        <w:t>s</w:t>
      </w:r>
      <w:r w:rsidR="00E95DF5" w:rsidRPr="009A5185">
        <w:rPr>
          <w:rFonts w:cs="Arial"/>
        </w:rPr>
        <w:t xml:space="preserve"> 18 years and older, discharged with the following ICD-10 codes in any procedure field </w:t>
      </w:r>
      <w:r w:rsidR="00E95DF5" w:rsidRPr="006904F9">
        <w:rPr>
          <w:rFonts w:cs="Arial"/>
          <w:b/>
          <w:bCs/>
        </w:rPr>
        <w:t>AND</w:t>
      </w:r>
      <w:r w:rsidR="00E95DF5" w:rsidRPr="009A5185">
        <w:rPr>
          <w:rFonts w:cs="Arial"/>
        </w:rPr>
        <w:t xml:space="preserve"> any of the follo</w:t>
      </w:r>
      <w:r w:rsidR="001E2896" w:rsidRPr="009A5185">
        <w:rPr>
          <w:rFonts w:cs="Arial"/>
        </w:rPr>
        <w:t>wing ICD-10 codes in any</w:t>
      </w:r>
      <w:r w:rsidR="00E95DF5" w:rsidRPr="009A5185">
        <w:rPr>
          <w:rFonts w:cs="Arial"/>
        </w:rPr>
        <w:t xml:space="preserve"> diagnosis field</w:t>
      </w:r>
      <w:r w:rsidR="00BF2BFF" w:rsidRPr="009A5185">
        <w:rPr>
          <w:rFonts w:cs="Arial"/>
        </w:rPr>
        <w:t>.</w:t>
      </w:r>
    </w:p>
    <w:p w14:paraId="7C2C5836" w14:textId="77777777" w:rsidR="0071568E" w:rsidRPr="00E1411B" w:rsidRDefault="0071568E" w:rsidP="00E95DF5">
      <w:pPr>
        <w:rPr>
          <w:rFonts w:cs="Arial"/>
          <w:sz w:val="16"/>
          <w:szCs w:val="16"/>
        </w:rPr>
      </w:pPr>
    </w:p>
    <w:p w14:paraId="4C410807" w14:textId="77777777" w:rsidR="00E95DF5" w:rsidRPr="009A5185" w:rsidRDefault="00E95DF5" w:rsidP="00E95DF5">
      <w:pPr>
        <w:rPr>
          <w:rFonts w:cs="Arial"/>
          <w:b/>
        </w:rPr>
      </w:pPr>
      <w:r w:rsidRPr="009A5185">
        <w:rPr>
          <w:rFonts w:cs="Arial"/>
          <w:b/>
        </w:rPr>
        <w:t xml:space="preserve">ICD-10 Pancreatic Resection </w:t>
      </w:r>
      <w:r w:rsidR="00C508E1" w:rsidRPr="009A5185">
        <w:rPr>
          <w:rFonts w:cs="Arial"/>
          <w:b/>
        </w:rPr>
        <w:t xml:space="preserve">for Cancer </w:t>
      </w:r>
      <w:r w:rsidRPr="009A5185">
        <w:rPr>
          <w:rFonts w:cs="Arial"/>
          <w:b/>
        </w:rPr>
        <w:t xml:space="preserve">Procedure Codes </w:t>
      </w:r>
    </w:p>
    <w:p w14:paraId="75DDCA7C" w14:textId="77777777" w:rsidR="00E95DF5" w:rsidRPr="00E1411B" w:rsidRDefault="00E95DF5" w:rsidP="00E95DF5">
      <w:pPr>
        <w:rPr>
          <w:rFonts w:cs="Arial"/>
          <w:b/>
          <w:sz w:val="16"/>
          <w:szCs w:val="16"/>
        </w:rPr>
      </w:pPr>
    </w:p>
    <w:tbl>
      <w:tblPr>
        <w:tblStyle w:val="TableGrid"/>
        <w:tblW w:w="9432" w:type="dxa"/>
        <w:tblLook w:val="04A0" w:firstRow="1" w:lastRow="0" w:firstColumn="1" w:lastColumn="0" w:noHBand="0" w:noVBand="1"/>
      </w:tblPr>
      <w:tblGrid>
        <w:gridCol w:w="1872"/>
        <w:gridCol w:w="7560"/>
      </w:tblGrid>
      <w:tr w:rsidR="00E2557B" w:rsidRPr="0004317D" w14:paraId="740A48B5" w14:textId="77777777" w:rsidTr="00696E8F">
        <w:trPr>
          <w:trHeight w:val="432"/>
        </w:trPr>
        <w:tc>
          <w:tcPr>
            <w:tcW w:w="1872" w:type="dxa"/>
            <w:shd w:val="clear" w:color="auto" w:fill="BFBFBF" w:themeFill="background1" w:themeFillShade="BF"/>
            <w:vAlign w:val="center"/>
          </w:tcPr>
          <w:p w14:paraId="58ADDDFF" w14:textId="77777777" w:rsidR="00E2557B" w:rsidRPr="0004317D" w:rsidRDefault="00E2557B" w:rsidP="00696E8F">
            <w:pPr>
              <w:rPr>
                <w:rFonts w:cs="Arial"/>
                <w:color w:val="000000"/>
              </w:rPr>
            </w:pPr>
            <w:r w:rsidRPr="0004317D">
              <w:rPr>
                <w:rFonts w:cs="Arial"/>
                <w:b/>
                <w:bCs/>
                <w:color w:val="000000"/>
              </w:rPr>
              <w:t>ICD</w:t>
            </w:r>
            <w:r>
              <w:rPr>
                <w:rFonts w:cs="Arial"/>
                <w:b/>
                <w:bCs/>
                <w:color w:val="000000"/>
              </w:rPr>
              <w:t>-</w:t>
            </w:r>
            <w:r w:rsidRPr="0004317D">
              <w:rPr>
                <w:rFonts w:cs="Arial"/>
                <w:b/>
                <w:bCs/>
                <w:color w:val="000000"/>
              </w:rPr>
              <w:t>10 Procedure Code</w:t>
            </w:r>
          </w:p>
        </w:tc>
        <w:tc>
          <w:tcPr>
            <w:tcW w:w="7560" w:type="dxa"/>
            <w:shd w:val="clear" w:color="auto" w:fill="BFBFBF" w:themeFill="background1" w:themeFillShade="BF"/>
            <w:vAlign w:val="center"/>
          </w:tcPr>
          <w:p w14:paraId="212A6FA8" w14:textId="77777777" w:rsidR="00E2557B" w:rsidRPr="0004317D" w:rsidRDefault="00E2557B" w:rsidP="00696E8F">
            <w:pPr>
              <w:rPr>
                <w:rFonts w:cs="Arial"/>
                <w:color w:val="000000"/>
              </w:rPr>
            </w:pPr>
            <w:r w:rsidRPr="0004317D">
              <w:rPr>
                <w:rFonts w:cs="Arial"/>
                <w:b/>
                <w:bCs/>
                <w:color w:val="000000"/>
              </w:rPr>
              <w:t>Code Description</w:t>
            </w:r>
          </w:p>
        </w:tc>
      </w:tr>
      <w:tr w:rsidR="00E2557B" w:rsidRPr="00614ED2" w14:paraId="44235665" w14:textId="77777777" w:rsidTr="00696E8F">
        <w:trPr>
          <w:trHeight w:val="300"/>
        </w:trPr>
        <w:tc>
          <w:tcPr>
            <w:tcW w:w="1872" w:type="dxa"/>
            <w:noWrap/>
            <w:vAlign w:val="center"/>
            <w:hideMark/>
          </w:tcPr>
          <w:p w14:paraId="49944F4D" w14:textId="77777777" w:rsidR="00E2557B" w:rsidRPr="00614ED2" w:rsidRDefault="00E2557B" w:rsidP="00696E8F">
            <w:pPr>
              <w:rPr>
                <w:rFonts w:cs="Arial"/>
                <w:color w:val="000000"/>
              </w:rPr>
            </w:pPr>
            <w:r w:rsidRPr="00614ED2">
              <w:rPr>
                <w:rFonts w:cs="Arial"/>
                <w:color w:val="000000"/>
              </w:rPr>
              <w:t>0DB90ZZ</w:t>
            </w:r>
          </w:p>
        </w:tc>
        <w:tc>
          <w:tcPr>
            <w:tcW w:w="7560" w:type="dxa"/>
            <w:noWrap/>
            <w:vAlign w:val="center"/>
            <w:hideMark/>
          </w:tcPr>
          <w:p w14:paraId="59B30713" w14:textId="77777777" w:rsidR="00E2557B" w:rsidRPr="00614ED2" w:rsidRDefault="00E2557B" w:rsidP="00696E8F">
            <w:pPr>
              <w:rPr>
                <w:rFonts w:cs="Arial"/>
                <w:color w:val="000000"/>
              </w:rPr>
            </w:pPr>
            <w:r w:rsidRPr="00614ED2">
              <w:rPr>
                <w:rFonts w:cs="Arial"/>
                <w:color w:val="000000"/>
              </w:rPr>
              <w:t>Excision of Duodenum, Open Approach</w:t>
            </w:r>
          </w:p>
        </w:tc>
      </w:tr>
      <w:tr w:rsidR="00E2557B" w:rsidRPr="00614ED2" w14:paraId="3BC6F306" w14:textId="77777777" w:rsidTr="00696E8F">
        <w:trPr>
          <w:trHeight w:val="300"/>
        </w:trPr>
        <w:tc>
          <w:tcPr>
            <w:tcW w:w="1872" w:type="dxa"/>
            <w:noWrap/>
            <w:vAlign w:val="center"/>
            <w:hideMark/>
          </w:tcPr>
          <w:p w14:paraId="1AB62926" w14:textId="77777777" w:rsidR="00E2557B" w:rsidRPr="00614ED2" w:rsidRDefault="00E2557B" w:rsidP="00696E8F">
            <w:pPr>
              <w:rPr>
                <w:rFonts w:cs="Arial"/>
                <w:color w:val="000000"/>
              </w:rPr>
            </w:pPr>
            <w:r w:rsidRPr="00614ED2">
              <w:rPr>
                <w:rFonts w:cs="Arial"/>
                <w:color w:val="000000"/>
              </w:rPr>
              <w:t>0DB93ZZ</w:t>
            </w:r>
          </w:p>
        </w:tc>
        <w:tc>
          <w:tcPr>
            <w:tcW w:w="7560" w:type="dxa"/>
            <w:noWrap/>
            <w:vAlign w:val="center"/>
            <w:hideMark/>
          </w:tcPr>
          <w:p w14:paraId="59556315" w14:textId="77777777" w:rsidR="00E2557B" w:rsidRPr="00614ED2" w:rsidRDefault="00E2557B" w:rsidP="00696E8F">
            <w:pPr>
              <w:rPr>
                <w:rFonts w:cs="Arial"/>
                <w:color w:val="000000"/>
              </w:rPr>
            </w:pPr>
            <w:r w:rsidRPr="00614ED2">
              <w:rPr>
                <w:rFonts w:cs="Arial"/>
                <w:color w:val="000000"/>
              </w:rPr>
              <w:t>Excision of Duodenum, Percutaneous Approach</w:t>
            </w:r>
          </w:p>
        </w:tc>
      </w:tr>
      <w:tr w:rsidR="00E2557B" w:rsidRPr="00614ED2" w14:paraId="1ECF629E" w14:textId="77777777" w:rsidTr="00696E8F">
        <w:trPr>
          <w:trHeight w:val="300"/>
        </w:trPr>
        <w:tc>
          <w:tcPr>
            <w:tcW w:w="1872" w:type="dxa"/>
            <w:noWrap/>
            <w:vAlign w:val="center"/>
            <w:hideMark/>
          </w:tcPr>
          <w:p w14:paraId="5A65F137" w14:textId="77777777" w:rsidR="00E2557B" w:rsidRPr="00614ED2" w:rsidRDefault="00E2557B" w:rsidP="00696E8F">
            <w:pPr>
              <w:rPr>
                <w:rFonts w:cs="Arial"/>
                <w:color w:val="000000"/>
              </w:rPr>
            </w:pPr>
            <w:r w:rsidRPr="00614ED2">
              <w:rPr>
                <w:rFonts w:cs="Arial"/>
                <w:color w:val="000000"/>
              </w:rPr>
              <w:t>0DB94ZZ</w:t>
            </w:r>
          </w:p>
        </w:tc>
        <w:tc>
          <w:tcPr>
            <w:tcW w:w="7560" w:type="dxa"/>
            <w:noWrap/>
            <w:vAlign w:val="center"/>
            <w:hideMark/>
          </w:tcPr>
          <w:p w14:paraId="13E3A220" w14:textId="77777777" w:rsidR="00E2557B" w:rsidRPr="00614ED2" w:rsidRDefault="00E2557B" w:rsidP="00696E8F">
            <w:pPr>
              <w:rPr>
                <w:rFonts w:cs="Arial"/>
                <w:color w:val="000000"/>
              </w:rPr>
            </w:pPr>
            <w:r w:rsidRPr="00614ED2">
              <w:rPr>
                <w:rFonts w:cs="Arial"/>
                <w:color w:val="000000"/>
              </w:rPr>
              <w:t>Excision of Duodenum, Percutaneous Endoscopic Approach</w:t>
            </w:r>
          </w:p>
        </w:tc>
      </w:tr>
      <w:tr w:rsidR="00E2557B" w:rsidRPr="00614ED2" w14:paraId="392012DC" w14:textId="77777777" w:rsidTr="00696E8F">
        <w:trPr>
          <w:trHeight w:val="300"/>
        </w:trPr>
        <w:tc>
          <w:tcPr>
            <w:tcW w:w="1872" w:type="dxa"/>
            <w:noWrap/>
            <w:vAlign w:val="center"/>
            <w:hideMark/>
          </w:tcPr>
          <w:p w14:paraId="15071BB2" w14:textId="77777777" w:rsidR="00E2557B" w:rsidRPr="00614ED2" w:rsidRDefault="00E2557B" w:rsidP="00696E8F">
            <w:pPr>
              <w:rPr>
                <w:rFonts w:cs="Arial"/>
                <w:color w:val="000000"/>
              </w:rPr>
            </w:pPr>
            <w:r w:rsidRPr="00614ED2">
              <w:rPr>
                <w:rFonts w:cs="Arial"/>
                <w:color w:val="000000"/>
              </w:rPr>
              <w:t>0DB97ZZ</w:t>
            </w:r>
          </w:p>
        </w:tc>
        <w:tc>
          <w:tcPr>
            <w:tcW w:w="7560" w:type="dxa"/>
            <w:noWrap/>
            <w:vAlign w:val="center"/>
            <w:hideMark/>
          </w:tcPr>
          <w:p w14:paraId="4CBE3C67" w14:textId="77777777" w:rsidR="00E2557B" w:rsidRPr="00614ED2" w:rsidRDefault="00E2557B" w:rsidP="00696E8F">
            <w:pPr>
              <w:rPr>
                <w:rFonts w:cs="Arial"/>
                <w:color w:val="000000"/>
              </w:rPr>
            </w:pPr>
            <w:r w:rsidRPr="00614ED2">
              <w:rPr>
                <w:rFonts w:cs="Arial"/>
                <w:color w:val="000000"/>
              </w:rPr>
              <w:t>Excision of Duodenum, Via Natural or Artificial Opening</w:t>
            </w:r>
          </w:p>
        </w:tc>
      </w:tr>
      <w:tr w:rsidR="00E2557B" w:rsidRPr="00614ED2" w14:paraId="38452F67" w14:textId="77777777" w:rsidTr="00696E8F">
        <w:trPr>
          <w:trHeight w:val="300"/>
        </w:trPr>
        <w:tc>
          <w:tcPr>
            <w:tcW w:w="1872" w:type="dxa"/>
            <w:noWrap/>
            <w:vAlign w:val="center"/>
            <w:hideMark/>
          </w:tcPr>
          <w:p w14:paraId="1E805ACA" w14:textId="77777777" w:rsidR="00E2557B" w:rsidRPr="00614ED2" w:rsidRDefault="00E2557B" w:rsidP="00696E8F">
            <w:pPr>
              <w:rPr>
                <w:rFonts w:cs="Arial"/>
                <w:color w:val="000000"/>
              </w:rPr>
            </w:pPr>
            <w:r w:rsidRPr="00614ED2">
              <w:rPr>
                <w:rFonts w:cs="Arial"/>
                <w:color w:val="000000"/>
              </w:rPr>
              <w:t>0DB98ZZ</w:t>
            </w:r>
          </w:p>
        </w:tc>
        <w:tc>
          <w:tcPr>
            <w:tcW w:w="7560" w:type="dxa"/>
            <w:noWrap/>
            <w:vAlign w:val="center"/>
            <w:hideMark/>
          </w:tcPr>
          <w:p w14:paraId="3D27BB32" w14:textId="77777777" w:rsidR="00E2557B" w:rsidRPr="00614ED2" w:rsidRDefault="00E2557B" w:rsidP="00696E8F">
            <w:pPr>
              <w:rPr>
                <w:rFonts w:cs="Arial"/>
                <w:color w:val="000000"/>
              </w:rPr>
            </w:pPr>
            <w:r w:rsidRPr="00614ED2">
              <w:rPr>
                <w:rFonts w:cs="Arial"/>
                <w:color w:val="000000"/>
              </w:rPr>
              <w:t>Excision of Duodenum, Via Natural or Artificial Opening Endoscopic</w:t>
            </w:r>
          </w:p>
        </w:tc>
      </w:tr>
      <w:tr w:rsidR="00E2557B" w:rsidRPr="00614ED2" w14:paraId="11ECB6C0" w14:textId="77777777" w:rsidTr="00696E8F">
        <w:trPr>
          <w:trHeight w:val="300"/>
        </w:trPr>
        <w:tc>
          <w:tcPr>
            <w:tcW w:w="1872" w:type="dxa"/>
            <w:noWrap/>
            <w:vAlign w:val="center"/>
            <w:hideMark/>
          </w:tcPr>
          <w:p w14:paraId="51384BC6" w14:textId="77777777" w:rsidR="00E2557B" w:rsidRPr="00614ED2" w:rsidRDefault="00E2557B" w:rsidP="00696E8F">
            <w:pPr>
              <w:rPr>
                <w:rFonts w:cs="Arial"/>
                <w:color w:val="000000"/>
              </w:rPr>
            </w:pPr>
            <w:r w:rsidRPr="00614ED2">
              <w:rPr>
                <w:rFonts w:cs="Arial"/>
                <w:color w:val="000000"/>
              </w:rPr>
              <w:t>0DT90ZZ</w:t>
            </w:r>
          </w:p>
        </w:tc>
        <w:tc>
          <w:tcPr>
            <w:tcW w:w="7560" w:type="dxa"/>
            <w:noWrap/>
            <w:vAlign w:val="center"/>
            <w:hideMark/>
          </w:tcPr>
          <w:p w14:paraId="77BFBE19" w14:textId="77777777" w:rsidR="00E2557B" w:rsidRPr="00614ED2" w:rsidRDefault="00E2557B" w:rsidP="00696E8F">
            <w:pPr>
              <w:rPr>
                <w:rFonts w:cs="Arial"/>
                <w:color w:val="000000"/>
              </w:rPr>
            </w:pPr>
            <w:r w:rsidRPr="00614ED2">
              <w:rPr>
                <w:rFonts w:cs="Arial"/>
                <w:color w:val="000000"/>
              </w:rPr>
              <w:t>Resection of Duodenum, Open Approach</w:t>
            </w:r>
          </w:p>
        </w:tc>
      </w:tr>
      <w:tr w:rsidR="00E2557B" w:rsidRPr="00614ED2" w14:paraId="1F8AC095" w14:textId="77777777" w:rsidTr="00696E8F">
        <w:trPr>
          <w:trHeight w:val="300"/>
        </w:trPr>
        <w:tc>
          <w:tcPr>
            <w:tcW w:w="1872" w:type="dxa"/>
            <w:noWrap/>
            <w:vAlign w:val="center"/>
            <w:hideMark/>
          </w:tcPr>
          <w:p w14:paraId="412BAC5B" w14:textId="77777777" w:rsidR="00E2557B" w:rsidRPr="00614ED2" w:rsidRDefault="00E2557B" w:rsidP="00696E8F">
            <w:pPr>
              <w:rPr>
                <w:rFonts w:cs="Arial"/>
                <w:color w:val="000000"/>
              </w:rPr>
            </w:pPr>
            <w:r w:rsidRPr="00614ED2">
              <w:rPr>
                <w:rFonts w:cs="Arial"/>
                <w:color w:val="000000"/>
              </w:rPr>
              <w:t>0DT94ZZ</w:t>
            </w:r>
          </w:p>
        </w:tc>
        <w:tc>
          <w:tcPr>
            <w:tcW w:w="7560" w:type="dxa"/>
            <w:noWrap/>
            <w:vAlign w:val="center"/>
            <w:hideMark/>
          </w:tcPr>
          <w:p w14:paraId="437FF946" w14:textId="77777777" w:rsidR="00E2557B" w:rsidRPr="00614ED2" w:rsidRDefault="00E2557B" w:rsidP="00696E8F">
            <w:pPr>
              <w:rPr>
                <w:rFonts w:cs="Arial"/>
                <w:color w:val="000000"/>
              </w:rPr>
            </w:pPr>
            <w:r w:rsidRPr="00614ED2">
              <w:rPr>
                <w:rFonts w:cs="Arial"/>
                <w:color w:val="000000"/>
              </w:rPr>
              <w:t>Resection of Duodenum, Percutaneous Endoscopic Approach</w:t>
            </w:r>
          </w:p>
        </w:tc>
      </w:tr>
      <w:tr w:rsidR="00E2557B" w:rsidRPr="00614ED2" w14:paraId="79D74150" w14:textId="77777777" w:rsidTr="00696E8F">
        <w:trPr>
          <w:trHeight w:val="300"/>
        </w:trPr>
        <w:tc>
          <w:tcPr>
            <w:tcW w:w="1872" w:type="dxa"/>
            <w:noWrap/>
            <w:vAlign w:val="center"/>
            <w:hideMark/>
          </w:tcPr>
          <w:p w14:paraId="290AD8EA" w14:textId="77777777" w:rsidR="00E2557B" w:rsidRPr="00614ED2" w:rsidRDefault="00E2557B" w:rsidP="00696E8F">
            <w:pPr>
              <w:rPr>
                <w:rFonts w:cs="Arial"/>
                <w:color w:val="000000"/>
              </w:rPr>
            </w:pPr>
            <w:r w:rsidRPr="00614ED2">
              <w:rPr>
                <w:rFonts w:cs="Arial"/>
                <w:color w:val="000000"/>
              </w:rPr>
              <w:t>0DT97ZZ</w:t>
            </w:r>
          </w:p>
        </w:tc>
        <w:tc>
          <w:tcPr>
            <w:tcW w:w="7560" w:type="dxa"/>
            <w:noWrap/>
            <w:vAlign w:val="center"/>
            <w:hideMark/>
          </w:tcPr>
          <w:p w14:paraId="2030591C" w14:textId="77777777" w:rsidR="00E2557B" w:rsidRPr="00614ED2" w:rsidRDefault="00E2557B" w:rsidP="00696E8F">
            <w:pPr>
              <w:rPr>
                <w:rFonts w:cs="Arial"/>
                <w:color w:val="000000"/>
              </w:rPr>
            </w:pPr>
            <w:r w:rsidRPr="00614ED2">
              <w:rPr>
                <w:rFonts w:cs="Arial"/>
                <w:color w:val="000000"/>
              </w:rPr>
              <w:t>Resection of Duodenum, Via Natural or Artificial Opening</w:t>
            </w:r>
          </w:p>
        </w:tc>
      </w:tr>
      <w:tr w:rsidR="00E2557B" w:rsidRPr="00614ED2" w14:paraId="218FD2C3" w14:textId="77777777" w:rsidTr="00696E8F">
        <w:trPr>
          <w:trHeight w:val="300"/>
        </w:trPr>
        <w:tc>
          <w:tcPr>
            <w:tcW w:w="1872" w:type="dxa"/>
            <w:noWrap/>
            <w:vAlign w:val="center"/>
            <w:hideMark/>
          </w:tcPr>
          <w:p w14:paraId="51F19877" w14:textId="77777777" w:rsidR="00E2557B" w:rsidRPr="00614ED2" w:rsidRDefault="00E2557B" w:rsidP="00696E8F">
            <w:pPr>
              <w:rPr>
                <w:rFonts w:cs="Arial"/>
                <w:color w:val="000000"/>
              </w:rPr>
            </w:pPr>
            <w:r w:rsidRPr="00614ED2">
              <w:rPr>
                <w:rFonts w:cs="Arial"/>
                <w:color w:val="000000"/>
              </w:rPr>
              <w:t>0DT98ZZ</w:t>
            </w:r>
          </w:p>
        </w:tc>
        <w:tc>
          <w:tcPr>
            <w:tcW w:w="7560" w:type="dxa"/>
            <w:noWrap/>
            <w:vAlign w:val="center"/>
            <w:hideMark/>
          </w:tcPr>
          <w:p w14:paraId="3C72F78E" w14:textId="77777777" w:rsidR="00E2557B" w:rsidRPr="00614ED2" w:rsidRDefault="00E2557B" w:rsidP="00696E8F">
            <w:pPr>
              <w:rPr>
                <w:rFonts w:cs="Arial"/>
                <w:color w:val="000000"/>
              </w:rPr>
            </w:pPr>
            <w:r w:rsidRPr="00614ED2">
              <w:rPr>
                <w:rFonts w:cs="Arial"/>
                <w:color w:val="000000"/>
              </w:rPr>
              <w:t>Resection of Duodenum, Via Natural or Artificial Opening Endoscopic</w:t>
            </w:r>
          </w:p>
        </w:tc>
      </w:tr>
      <w:tr w:rsidR="00E2557B" w:rsidRPr="00614ED2" w14:paraId="02944794" w14:textId="77777777" w:rsidTr="00696E8F">
        <w:trPr>
          <w:trHeight w:val="300"/>
        </w:trPr>
        <w:tc>
          <w:tcPr>
            <w:tcW w:w="1872" w:type="dxa"/>
            <w:noWrap/>
            <w:vAlign w:val="center"/>
            <w:hideMark/>
          </w:tcPr>
          <w:p w14:paraId="259543F4" w14:textId="77777777" w:rsidR="00E2557B" w:rsidRPr="00614ED2" w:rsidRDefault="00E2557B" w:rsidP="00696E8F">
            <w:pPr>
              <w:rPr>
                <w:rFonts w:cs="Arial"/>
                <w:color w:val="000000"/>
              </w:rPr>
            </w:pPr>
            <w:r w:rsidRPr="00614ED2">
              <w:rPr>
                <w:rFonts w:cs="Arial"/>
                <w:color w:val="000000"/>
              </w:rPr>
              <w:t>0FBG0ZZ</w:t>
            </w:r>
          </w:p>
        </w:tc>
        <w:tc>
          <w:tcPr>
            <w:tcW w:w="7560" w:type="dxa"/>
            <w:noWrap/>
            <w:vAlign w:val="center"/>
            <w:hideMark/>
          </w:tcPr>
          <w:p w14:paraId="6A5CBB8F" w14:textId="77777777" w:rsidR="00E2557B" w:rsidRPr="00614ED2" w:rsidRDefault="00E2557B" w:rsidP="00696E8F">
            <w:pPr>
              <w:rPr>
                <w:rFonts w:cs="Arial"/>
                <w:color w:val="000000"/>
              </w:rPr>
            </w:pPr>
            <w:r w:rsidRPr="00614ED2">
              <w:rPr>
                <w:rFonts w:cs="Arial"/>
                <w:color w:val="000000"/>
              </w:rPr>
              <w:t>Excision of Pancreas, Open Approach</w:t>
            </w:r>
          </w:p>
        </w:tc>
      </w:tr>
      <w:tr w:rsidR="00E2557B" w:rsidRPr="00614ED2" w14:paraId="312461F8" w14:textId="77777777" w:rsidTr="00696E8F">
        <w:trPr>
          <w:trHeight w:val="300"/>
        </w:trPr>
        <w:tc>
          <w:tcPr>
            <w:tcW w:w="1872" w:type="dxa"/>
            <w:noWrap/>
            <w:vAlign w:val="center"/>
            <w:hideMark/>
          </w:tcPr>
          <w:p w14:paraId="0D8A9817" w14:textId="77777777" w:rsidR="00E2557B" w:rsidRPr="00614ED2" w:rsidRDefault="00E2557B" w:rsidP="00696E8F">
            <w:pPr>
              <w:rPr>
                <w:rFonts w:cs="Arial"/>
                <w:color w:val="000000"/>
              </w:rPr>
            </w:pPr>
            <w:r w:rsidRPr="00614ED2">
              <w:rPr>
                <w:rFonts w:cs="Arial"/>
                <w:color w:val="000000"/>
              </w:rPr>
              <w:t>0FBG3ZZ</w:t>
            </w:r>
          </w:p>
        </w:tc>
        <w:tc>
          <w:tcPr>
            <w:tcW w:w="7560" w:type="dxa"/>
            <w:noWrap/>
            <w:vAlign w:val="center"/>
            <w:hideMark/>
          </w:tcPr>
          <w:p w14:paraId="18F95AFD" w14:textId="77777777" w:rsidR="00E2557B" w:rsidRPr="00614ED2" w:rsidRDefault="00E2557B" w:rsidP="00696E8F">
            <w:pPr>
              <w:rPr>
                <w:rFonts w:cs="Arial"/>
                <w:color w:val="000000"/>
              </w:rPr>
            </w:pPr>
            <w:r w:rsidRPr="00614ED2">
              <w:rPr>
                <w:rFonts w:cs="Arial"/>
                <w:color w:val="000000"/>
              </w:rPr>
              <w:t>Excision of Pancreas, Percutaneous Approach</w:t>
            </w:r>
          </w:p>
        </w:tc>
      </w:tr>
      <w:tr w:rsidR="006C2BE7" w:rsidRPr="00614ED2" w14:paraId="6EA4BA15" w14:textId="77777777" w:rsidTr="00696E8F">
        <w:trPr>
          <w:trHeight w:val="300"/>
        </w:trPr>
        <w:tc>
          <w:tcPr>
            <w:tcW w:w="1872" w:type="dxa"/>
            <w:noWrap/>
            <w:vAlign w:val="center"/>
          </w:tcPr>
          <w:p w14:paraId="5F72FF42" w14:textId="7B62172B" w:rsidR="006C2BE7" w:rsidRPr="00614ED2" w:rsidRDefault="0034179B" w:rsidP="00696E8F">
            <w:pPr>
              <w:rPr>
                <w:rFonts w:cs="Arial"/>
                <w:color w:val="000000"/>
              </w:rPr>
            </w:pPr>
            <w:r w:rsidRPr="0034179B">
              <w:rPr>
                <w:rFonts w:cs="Arial"/>
                <w:color w:val="000000"/>
              </w:rPr>
              <w:t>0FBG4ZG</w:t>
            </w:r>
          </w:p>
        </w:tc>
        <w:tc>
          <w:tcPr>
            <w:tcW w:w="7560" w:type="dxa"/>
            <w:noWrap/>
            <w:vAlign w:val="center"/>
          </w:tcPr>
          <w:p w14:paraId="59B778DE" w14:textId="52863482" w:rsidR="006C2BE7" w:rsidRPr="00614ED2" w:rsidRDefault="00274E16" w:rsidP="00696E8F">
            <w:pPr>
              <w:rPr>
                <w:rFonts w:cs="Arial"/>
                <w:color w:val="000000"/>
              </w:rPr>
            </w:pPr>
            <w:r w:rsidRPr="00274E16">
              <w:rPr>
                <w:rFonts w:cs="Arial"/>
                <w:color w:val="000000"/>
              </w:rPr>
              <w:t>Excision of Pancreas, Percutaneous Endoscopic Approach, Hand-Assisted</w:t>
            </w:r>
          </w:p>
        </w:tc>
      </w:tr>
      <w:tr w:rsidR="00E2557B" w:rsidRPr="00614ED2" w14:paraId="6E6ED2D1" w14:textId="77777777" w:rsidTr="00696E8F">
        <w:trPr>
          <w:trHeight w:val="300"/>
        </w:trPr>
        <w:tc>
          <w:tcPr>
            <w:tcW w:w="1872" w:type="dxa"/>
            <w:noWrap/>
            <w:vAlign w:val="center"/>
            <w:hideMark/>
          </w:tcPr>
          <w:p w14:paraId="5BCF3A90" w14:textId="77777777" w:rsidR="00E2557B" w:rsidRPr="00614ED2" w:rsidRDefault="00E2557B" w:rsidP="00696E8F">
            <w:pPr>
              <w:rPr>
                <w:rFonts w:cs="Arial"/>
                <w:color w:val="000000"/>
              </w:rPr>
            </w:pPr>
            <w:r w:rsidRPr="00614ED2">
              <w:rPr>
                <w:rFonts w:cs="Arial"/>
                <w:color w:val="000000"/>
              </w:rPr>
              <w:t>0FBG4ZZ</w:t>
            </w:r>
          </w:p>
        </w:tc>
        <w:tc>
          <w:tcPr>
            <w:tcW w:w="7560" w:type="dxa"/>
            <w:noWrap/>
            <w:vAlign w:val="center"/>
            <w:hideMark/>
          </w:tcPr>
          <w:p w14:paraId="38068D7D" w14:textId="77777777" w:rsidR="00E2557B" w:rsidRPr="00614ED2" w:rsidRDefault="00E2557B" w:rsidP="00696E8F">
            <w:pPr>
              <w:rPr>
                <w:rFonts w:cs="Arial"/>
                <w:color w:val="000000"/>
              </w:rPr>
            </w:pPr>
            <w:r w:rsidRPr="00614ED2">
              <w:rPr>
                <w:rFonts w:cs="Arial"/>
                <w:color w:val="000000"/>
              </w:rPr>
              <w:t>Excision of Pancreas, Percutaneous Endoscopic Approach</w:t>
            </w:r>
          </w:p>
        </w:tc>
      </w:tr>
      <w:tr w:rsidR="00A8755F" w:rsidRPr="00614ED2" w14:paraId="17A6F991" w14:textId="77777777" w:rsidTr="00696E8F">
        <w:trPr>
          <w:trHeight w:val="300"/>
        </w:trPr>
        <w:tc>
          <w:tcPr>
            <w:tcW w:w="1872" w:type="dxa"/>
            <w:noWrap/>
            <w:vAlign w:val="center"/>
          </w:tcPr>
          <w:p w14:paraId="2A8731B2" w14:textId="4092D6DF" w:rsidR="00A8755F" w:rsidRPr="00614ED2" w:rsidRDefault="00A8755F" w:rsidP="00696E8F">
            <w:pPr>
              <w:rPr>
                <w:rFonts w:cs="Arial"/>
                <w:color w:val="000000"/>
              </w:rPr>
            </w:pPr>
            <w:r w:rsidRPr="009F7FB4">
              <w:t>0FBG8ZZ</w:t>
            </w:r>
          </w:p>
        </w:tc>
        <w:tc>
          <w:tcPr>
            <w:tcW w:w="7560" w:type="dxa"/>
            <w:noWrap/>
            <w:vAlign w:val="center"/>
          </w:tcPr>
          <w:p w14:paraId="1F8A4C89" w14:textId="5C4A040C" w:rsidR="00A8755F" w:rsidRPr="00614ED2" w:rsidRDefault="00A8755F" w:rsidP="00696E8F">
            <w:pPr>
              <w:rPr>
                <w:rFonts w:cs="Arial"/>
                <w:color w:val="000000"/>
              </w:rPr>
            </w:pPr>
            <w:r w:rsidRPr="009F7FB4">
              <w:t>Excision of Pancreas, Via Natural or Artificial Opening Endoscopic</w:t>
            </w:r>
          </w:p>
        </w:tc>
      </w:tr>
      <w:tr w:rsidR="00E2557B" w:rsidRPr="00614ED2" w14:paraId="576B3F17" w14:textId="77777777" w:rsidTr="00696E8F">
        <w:trPr>
          <w:trHeight w:val="300"/>
        </w:trPr>
        <w:tc>
          <w:tcPr>
            <w:tcW w:w="1872" w:type="dxa"/>
            <w:noWrap/>
            <w:vAlign w:val="center"/>
            <w:hideMark/>
          </w:tcPr>
          <w:p w14:paraId="2C9A9709" w14:textId="77777777" w:rsidR="00E2557B" w:rsidRPr="00614ED2" w:rsidRDefault="00E2557B" w:rsidP="00696E8F">
            <w:pPr>
              <w:rPr>
                <w:rFonts w:cs="Arial"/>
                <w:color w:val="000000"/>
              </w:rPr>
            </w:pPr>
            <w:r w:rsidRPr="00614ED2">
              <w:rPr>
                <w:rFonts w:cs="Arial"/>
                <w:color w:val="000000"/>
              </w:rPr>
              <w:t>0FTG0ZZ</w:t>
            </w:r>
          </w:p>
        </w:tc>
        <w:tc>
          <w:tcPr>
            <w:tcW w:w="7560" w:type="dxa"/>
            <w:noWrap/>
            <w:vAlign w:val="center"/>
            <w:hideMark/>
          </w:tcPr>
          <w:p w14:paraId="41A0F888" w14:textId="77777777" w:rsidR="00E2557B" w:rsidRPr="00614ED2" w:rsidRDefault="00E2557B" w:rsidP="00696E8F">
            <w:pPr>
              <w:rPr>
                <w:rFonts w:cs="Arial"/>
                <w:color w:val="000000"/>
              </w:rPr>
            </w:pPr>
            <w:r w:rsidRPr="00614ED2">
              <w:rPr>
                <w:rFonts w:cs="Arial"/>
                <w:color w:val="000000"/>
              </w:rPr>
              <w:t>Resection of Pancreas, Open Approach</w:t>
            </w:r>
          </w:p>
        </w:tc>
      </w:tr>
      <w:tr w:rsidR="000617B3" w:rsidRPr="00614ED2" w14:paraId="61290102" w14:textId="77777777" w:rsidTr="00696E8F">
        <w:trPr>
          <w:trHeight w:val="300"/>
        </w:trPr>
        <w:tc>
          <w:tcPr>
            <w:tcW w:w="1872" w:type="dxa"/>
            <w:noWrap/>
            <w:vAlign w:val="center"/>
          </w:tcPr>
          <w:p w14:paraId="5350E7B4" w14:textId="4238402D" w:rsidR="000617B3" w:rsidRPr="00614ED2" w:rsidRDefault="006C2BE7" w:rsidP="00696E8F">
            <w:pPr>
              <w:rPr>
                <w:rFonts w:cs="Arial"/>
                <w:color w:val="000000"/>
              </w:rPr>
            </w:pPr>
            <w:r w:rsidRPr="006C2BE7">
              <w:rPr>
                <w:rFonts w:cs="Arial"/>
                <w:color w:val="000000"/>
              </w:rPr>
              <w:t>0FTG4ZG</w:t>
            </w:r>
          </w:p>
        </w:tc>
        <w:tc>
          <w:tcPr>
            <w:tcW w:w="7560" w:type="dxa"/>
            <w:noWrap/>
            <w:vAlign w:val="center"/>
          </w:tcPr>
          <w:p w14:paraId="61D5C665" w14:textId="55F86397" w:rsidR="000617B3" w:rsidRPr="00614ED2" w:rsidRDefault="000617B3" w:rsidP="00696E8F">
            <w:pPr>
              <w:rPr>
                <w:rFonts w:cs="Arial"/>
                <w:color w:val="000000"/>
              </w:rPr>
            </w:pPr>
            <w:r w:rsidRPr="000617B3">
              <w:rPr>
                <w:rFonts w:cs="Arial"/>
                <w:color w:val="000000"/>
              </w:rPr>
              <w:t>Resection of Pancreas, Percutaneous Endoscopic Approach, Hand-Assisted</w:t>
            </w:r>
          </w:p>
        </w:tc>
      </w:tr>
      <w:tr w:rsidR="00E2557B" w:rsidRPr="00614ED2" w14:paraId="7E0BCD48" w14:textId="77777777" w:rsidTr="00696E8F">
        <w:trPr>
          <w:trHeight w:val="300"/>
        </w:trPr>
        <w:tc>
          <w:tcPr>
            <w:tcW w:w="1872" w:type="dxa"/>
            <w:noWrap/>
            <w:vAlign w:val="center"/>
            <w:hideMark/>
          </w:tcPr>
          <w:p w14:paraId="48602C59" w14:textId="77777777" w:rsidR="00E2557B" w:rsidRPr="00614ED2" w:rsidRDefault="00E2557B" w:rsidP="00696E8F">
            <w:pPr>
              <w:rPr>
                <w:rFonts w:cs="Arial"/>
                <w:color w:val="000000"/>
              </w:rPr>
            </w:pPr>
            <w:r w:rsidRPr="00614ED2">
              <w:rPr>
                <w:rFonts w:cs="Arial"/>
                <w:color w:val="000000"/>
              </w:rPr>
              <w:t>0FTG4ZZ</w:t>
            </w:r>
          </w:p>
        </w:tc>
        <w:tc>
          <w:tcPr>
            <w:tcW w:w="7560" w:type="dxa"/>
            <w:noWrap/>
            <w:vAlign w:val="center"/>
            <w:hideMark/>
          </w:tcPr>
          <w:p w14:paraId="2C9227C0" w14:textId="77777777" w:rsidR="00E2557B" w:rsidRPr="00614ED2" w:rsidRDefault="00E2557B" w:rsidP="00696E8F">
            <w:pPr>
              <w:rPr>
                <w:rFonts w:cs="Arial"/>
                <w:color w:val="000000"/>
              </w:rPr>
            </w:pPr>
            <w:r w:rsidRPr="00614ED2">
              <w:rPr>
                <w:rFonts w:cs="Arial"/>
                <w:color w:val="000000"/>
              </w:rPr>
              <w:t>Resection of Pancreas, Percutaneous Endoscopic Approach</w:t>
            </w:r>
          </w:p>
        </w:tc>
      </w:tr>
    </w:tbl>
    <w:p w14:paraId="25CF4FE0" w14:textId="77777777" w:rsidR="00E95DF5" w:rsidRPr="00E1411B" w:rsidRDefault="00E95DF5" w:rsidP="00E95DF5">
      <w:pPr>
        <w:rPr>
          <w:rFonts w:cs="Arial"/>
          <w:b/>
          <w:sz w:val="16"/>
          <w:szCs w:val="16"/>
        </w:rPr>
      </w:pPr>
    </w:p>
    <w:p w14:paraId="78B6D313" w14:textId="77777777" w:rsidR="002911AD" w:rsidRPr="004F5E10" w:rsidRDefault="002911AD" w:rsidP="002911AD">
      <w:pPr>
        <w:rPr>
          <w:rFonts w:cs="Arial"/>
          <w:b/>
        </w:rPr>
      </w:pPr>
      <w:r w:rsidRPr="004F5E10">
        <w:rPr>
          <w:rFonts w:cs="Arial"/>
          <w:b/>
        </w:rPr>
        <w:t>ICD-10 Malignant Tumor Diagnosis Codes</w:t>
      </w:r>
    </w:p>
    <w:p w14:paraId="07E42F98" w14:textId="77777777" w:rsidR="00E95DF5" w:rsidRPr="00E1411B" w:rsidRDefault="00E95DF5" w:rsidP="00E95DF5">
      <w:pPr>
        <w:rPr>
          <w:rFonts w:cs="Arial"/>
          <w:b/>
          <w:sz w:val="16"/>
          <w:szCs w:val="16"/>
        </w:rPr>
      </w:pPr>
    </w:p>
    <w:tbl>
      <w:tblPr>
        <w:tblStyle w:val="TableGrid"/>
        <w:tblW w:w="9432" w:type="dxa"/>
        <w:tblLook w:val="04A0" w:firstRow="1" w:lastRow="0" w:firstColumn="1" w:lastColumn="0" w:noHBand="0" w:noVBand="1"/>
      </w:tblPr>
      <w:tblGrid>
        <w:gridCol w:w="1872"/>
        <w:gridCol w:w="7560"/>
      </w:tblGrid>
      <w:tr w:rsidR="00E2557B" w:rsidRPr="0004317D" w14:paraId="0034354B" w14:textId="77777777" w:rsidTr="00696E8F">
        <w:trPr>
          <w:trHeight w:val="432"/>
          <w:tblHeader/>
        </w:trPr>
        <w:tc>
          <w:tcPr>
            <w:tcW w:w="1872" w:type="dxa"/>
            <w:shd w:val="clear" w:color="auto" w:fill="BFBFBF" w:themeFill="background1" w:themeFillShade="BF"/>
            <w:noWrap/>
            <w:vAlign w:val="center"/>
          </w:tcPr>
          <w:p w14:paraId="5802920A" w14:textId="77777777" w:rsidR="00E2557B" w:rsidRPr="0004317D" w:rsidRDefault="00E2557B" w:rsidP="00696E8F">
            <w:pPr>
              <w:rPr>
                <w:rFonts w:cs="Arial"/>
                <w:color w:val="000000"/>
              </w:rPr>
            </w:pPr>
            <w:r w:rsidRPr="0004317D">
              <w:rPr>
                <w:rFonts w:cs="Arial"/>
                <w:b/>
                <w:bCs/>
                <w:color w:val="000000"/>
              </w:rPr>
              <w:t>ICD</w:t>
            </w:r>
            <w:r>
              <w:rPr>
                <w:rFonts w:cs="Arial"/>
                <w:b/>
                <w:bCs/>
                <w:color w:val="000000"/>
              </w:rPr>
              <w:t>-</w:t>
            </w:r>
            <w:r w:rsidRPr="0004317D">
              <w:rPr>
                <w:rFonts w:cs="Arial"/>
                <w:b/>
                <w:bCs/>
                <w:color w:val="000000"/>
              </w:rPr>
              <w:t>10 Diagnosis Code</w:t>
            </w:r>
          </w:p>
        </w:tc>
        <w:tc>
          <w:tcPr>
            <w:tcW w:w="7560" w:type="dxa"/>
            <w:shd w:val="clear" w:color="auto" w:fill="BFBFBF" w:themeFill="background1" w:themeFillShade="BF"/>
            <w:vAlign w:val="center"/>
          </w:tcPr>
          <w:p w14:paraId="75A96FD5" w14:textId="77777777" w:rsidR="00E2557B" w:rsidRPr="0004317D" w:rsidRDefault="00E2557B" w:rsidP="00696E8F">
            <w:pPr>
              <w:rPr>
                <w:rFonts w:cs="Arial"/>
                <w:color w:val="000000"/>
              </w:rPr>
            </w:pPr>
            <w:r w:rsidRPr="0004317D">
              <w:rPr>
                <w:rFonts w:cs="Arial"/>
                <w:b/>
              </w:rPr>
              <w:t>Code Description</w:t>
            </w:r>
          </w:p>
        </w:tc>
      </w:tr>
      <w:tr w:rsidR="006472C6" w:rsidRPr="00614ED2" w14:paraId="0E357BA6" w14:textId="77777777" w:rsidTr="00696E8F">
        <w:trPr>
          <w:trHeight w:val="300"/>
        </w:trPr>
        <w:tc>
          <w:tcPr>
            <w:tcW w:w="1872" w:type="dxa"/>
            <w:noWrap/>
            <w:vAlign w:val="center"/>
          </w:tcPr>
          <w:p w14:paraId="6DED3BE9" w14:textId="77777777" w:rsidR="006472C6" w:rsidRPr="00614ED2" w:rsidRDefault="006472C6" w:rsidP="00696E8F">
            <w:pPr>
              <w:rPr>
                <w:rFonts w:cs="Arial"/>
                <w:color w:val="000000"/>
              </w:rPr>
            </w:pPr>
            <w:r w:rsidRPr="00843DE8">
              <w:rPr>
                <w:rFonts w:cs="Arial"/>
                <w:color w:val="000000"/>
              </w:rPr>
              <w:t>C7A</w:t>
            </w:r>
            <w:r>
              <w:rPr>
                <w:rFonts w:cs="Arial"/>
                <w:color w:val="000000"/>
              </w:rPr>
              <w:t>.</w:t>
            </w:r>
            <w:r w:rsidRPr="00843DE8">
              <w:rPr>
                <w:rFonts w:cs="Arial"/>
                <w:color w:val="000000"/>
              </w:rPr>
              <w:t>1</w:t>
            </w:r>
          </w:p>
        </w:tc>
        <w:tc>
          <w:tcPr>
            <w:tcW w:w="7560" w:type="dxa"/>
            <w:noWrap/>
            <w:vAlign w:val="center"/>
          </w:tcPr>
          <w:p w14:paraId="4120464B" w14:textId="77777777" w:rsidR="006472C6" w:rsidRPr="00614ED2" w:rsidRDefault="006472C6" w:rsidP="00696E8F">
            <w:pPr>
              <w:rPr>
                <w:rFonts w:cs="Arial"/>
                <w:color w:val="000000"/>
              </w:rPr>
            </w:pPr>
            <w:r w:rsidRPr="00843DE8">
              <w:rPr>
                <w:rFonts w:cs="Arial"/>
                <w:color w:val="000000"/>
              </w:rPr>
              <w:t>Malignant poorly differentiated neuroendocrine tumors</w:t>
            </w:r>
          </w:p>
        </w:tc>
      </w:tr>
      <w:tr w:rsidR="006472C6" w:rsidRPr="00614ED2" w14:paraId="06C48B7C" w14:textId="77777777" w:rsidTr="00696E8F">
        <w:trPr>
          <w:trHeight w:val="300"/>
        </w:trPr>
        <w:tc>
          <w:tcPr>
            <w:tcW w:w="1872" w:type="dxa"/>
            <w:noWrap/>
            <w:vAlign w:val="center"/>
          </w:tcPr>
          <w:p w14:paraId="34D53EF6" w14:textId="77777777" w:rsidR="006472C6" w:rsidRPr="00614ED2" w:rsidRDefault="006472C6" w:rsidP="00696E8F">
            <w:pPr>
              <w:rPr>
                <w:rFonts w:cs="Arial"/>
                <w:color w:val="000000"/>
              </w:rPr>
            </w:pPr>
            <w:r w:rsidRPr="00843DE8">
              <w:rPr>
                <w:rFonts w:cs="Arial"/>
                <w:color w:val="000000"/>
              </w:rPr>
              <w:t>C7A</w:t>
            </w:r>
            <w:r>
              <w:rPr>
                <w:rFonts w:cs="Arial"/>
                <w:color w:val="000000"/>
              </w:rPr>
              <w:t>.</w:t>
            </w:r>
            <w:r w:rsidRPr="00843DE8">
              <w:rPr>
                <w:rFonts w:cs="Arial"/>
                <w:color w:val="000000"/>
              </w:rPr>
              <w:t>8</w:t>
            </w:r>
          </w:p>
        </w:tc>
        <w:tc>
          <w:tcPr>
            <w:tcW w:w="7560" w:type="dxa"/>
            <w:noWrap/>
            <w:vAlign w:val="center"/>
          </w:tcPr>
          <w:p w14:paraId="73DD2AEC" w14:textId="77777777" w:rsidR="006472C6" w:rsidRPr="00614ED2" w:rsidRDefault="006472C6" w:rsidP="00696E8F">
            <w:pPr>
              <w:rPr>
                <w:rFonts w:cs="Arial"/>
                <w:color w:val="000000"/>
              </w:rPr>
            </w:pPr>
            <w:r w:rsidRPr="00843DE8">
              <w:rPr>
                <w:rFonts w:cs="Arial"/>
                <w:color w:val="000000"/>
              </w:rPr>
              <w:t>Other malignant neuroendocrine tumors</w:t>
            </w:r>
          </w:p>
        </w:tc>
      </w:tr>
      <w:tr w:rsidR="00E2557B" w:rsidRPr="00614ED2" w14:paraId="7FF327B6" w14:textId="77777777" w:rsidTr="00696E8F">
        <w:trPr>
          <w:trHeight w:val="300"/>
        </w:trPr>
        <w:tc>
          <w:tcPr>
            <w:tcW w:w="1872" w:type="dxa"/>
            <w:noWrap/>
            <w:vAlign w:val="center"/>
            <w:hideMark/>
          </w:tcPr>
          <w:p w14:paraId="3D27CF51" w14:textId="77777777" w:rsidR="00E2557B" w:rsidRPr="00614ED2" w:rsidRDefault="00E2557B" w:rsidP="00696E8F">
            <w:pPr>
              <w:rPr>
                <w:rFonts w:cs="Arial"/>
                <w:color w:val="000000"/>
              </w:rPr>
            </w:pPr>
            <w:r w:rsidRPr="00614ED2">
              <w:rPr>
                <w:rFonts w:cs="Arial"/>
                <w:color w:val="000000"/>
              </w:rPr>
              <w:t>C17.0</w:t>
            </w:r>
          </w:p>
        </w:tc>
        <w:tc>
          <w:tcPr>
            <w:tcW w:w="7560" w:type="dxa"/>
            <w:noWrap/>
            <w:vAlign w:val="center"/>
            <w:hideMark/>
          </w:tcPr>
          <w:p w14:paraId="3B4923E7" w14:textId="77777777" w:rsidR="00E2557B" w:rsidRPr="00614ED2" w:rsidRDefault="00E2557B" w:rsidP="00696E8F">
            <w:pPr>
              <w:rPr>
                <w:rFonts w:cs="Arial"/>
                <w:color w:val="000000"/>
              </w:rPr>
            </w:pPr>
            <w:r w:rsidRPr="00614ED2">
              <w:rPr>
                <w:rFonts w:cs="Arial"/>
                <w:color w:val="000000"/>
              </w:rPr>
              <w:t>Malignant neoplasm of duodenum</w:t>
            </w:r>
          </w:p>
        </w:tc>
      </w:tr>
      <w:tr w:rsidR="00E2557B" w:rsidRPr="00614ED2" w14:paraId="3E554254" w14:textId="77777777" w:rsidTr="00696E8F">
        <w:trPr>
          <w:trHeight w:val="300"/>
        </w:trPr>
        <w:tc>
          <w:tcPr>
            <w:tcW w:w="1872" w:type="dxa"/>
            <w:noWrap/>
            <w:vAlign w:val="center"/>
            <w:hideMark/>
          </w:tcPr>
          <w:p w14:paraId="2E47664E" w14:textId="77777777" w:rsidR="00E2557B" w:rsidRPr="00614ED2" w:rsidRDefault="00E2557B" w:rsidP="00696E8F">
            <w:pPr>
              <w:rPr>
                <w:rFonts w:cs="Arial"/>
                <w:color w:val="000000"/>
              </w:rPr>
            </w:pPr>
            <w:r w:rsidRPr="00614ED2">
              <w:rPr>
                <w:rFonts w:cs="Arial"/>
                <w:color w:val="000000"/>
              </w:rPr>
              <w:t>C24.0</w:t>
            </w:r>
          </w:p>
        </w:tc>
        <w:tc>
          <w:tcPr>
            <w:tcW w:w="7560" w:type="dxa"/>
            <w:noWrap/>
            <w:vAlign w:val="center"/>
            <w:hideMark/>
          </w:tcPr>
          <w:p w14:paraId="042C9B7A" w14:textId="77777777" w:rsidR="00E2557B" w:rsidRPr="00614ED2" w:rsidRDefault="00E2557B" w:rsidP="00696E8F">
            <w:pPr>
              <w:rPr>
                <w:rFonts w:cs="Arial"/>
                <w:color w:val="000000"/>
              </w:rPr>
            </w:pPr>
            <w:r w:rsidRPr="00614ED2">
              <w:rPr>
                <w:rFonts w:cs="Arial"/>
                <w:color w:val="000000"/>
              </w:rPr>
              <w:t>Malignant neoplasm of extrahepatic bile duct</w:t>
            </w:r>
          </w:p>
        </w:tc>
      </w:tr>
      <w:tr w:rsidR="00E2557B" w:rsidRPr="00614ED2" w14:paraId="71BBAAAB" w14:textId="77777777" w:rsidTr="00696E8F">
        <w:trPr>
          <w:trHeight w:val="300"/>
        </w:trPr>
        <w:tc>
          <w:tcPr>
            <w:tcW w:w="1872" w:type="dxa"/>
            <w:noWrap/>
            <w:vAlign w:val="center"/>
            <w:hideMark/>
          </w:tcPr>
          <w:p w14:paraId="67DE7465" w14:textId="77777777" w:rsidR="00E2557B" w:rsidRPr="00614ED2" w:rsidRDefault="00E2557B" w:rsidP="00696E8F">
            <w:pPr>
              <w:rPr>
                <w:rFonts w:cs="Arial"/>
                <w:color w:val="000000"/>
              </w:rPr>
            </w:pPr>
            <w:r w:rsidRPr="00614ED2">
              <w:rPr>
                <w:rFonts w:cs="Arial"/>
                <w:color w:val="000000"/>
              </w:rPr>
              <w:t>C24.1</w:t>
            </w:r>
          </w:p>
        </w:tc>
        <w:tc>
          <w:tcPr>
            <w:tcW w:w="7560" w:type="dxa"/>
            <w:noWrap/>
            <w:vAlign w:val="center"/>
            <w:hideMark/>
          </w:tcPr>
          <w:p w14:paraId="5C242566" w14:textId="77777777" w:rsidR="00E2557B" w:rsidRPr="00614ED2" w:rsidRDefault="00E2557B" w:rsidP="00696E8F">
            <w:pPr>
              <w:rPr>
                <w:rFonts w:cs="Arial"/>
                <w:color w:val="000000"/>
              </w:rPr>
            </w:pPr>
            <w:r w:rsidRPr="00614ED2">
              <w:rPr>
                <w:rFonts w:cs="Arial"/>
                <w:color w:val="000000"/>
              </w:rPr>
              <w:t>Malignant neoplasm of ampulla of Vater</w:t>
            </w:r>
          </w:p>
        </w:tc>
      </w:tr>
      <w:tr w:rsidR="00E2557B" w:rsidRPr="00614ED2" w14:paraId="26C60475" w14:textId="77777777" w:rsidTr="00696E8F">
        <w:trPr>
          <w:trHeight w:val="300"/>
        </w:trPr>
        <w:tc>
          <w:tcPr>
            <w:tcW w:w="1872" w:type="dxa"/>
            <w:noWrap/>
            <w:vAlign w:val="center"/>
            <w:hideMark/>
          </w:tcPr>
          <w:p w14:paraId="478F628C" w14:textId="77777777" w:rsidR="00E2557B" w:rsidRPr="00614ED2" w:rsidRDefault="00E2557B" w:rsidP="00696E8F">
            <w:pPr>
              <w:rPr>
                <w:rFonts w:cs="Arial"/>
                <w:color w:val="000000"/>
              </w:rPr>
            </w:pPr>
            <w:r w:rsidRPr="00614ED2">
              <w:rPr>
                <w:rFonts w:cs="Arial"/>
                <w:color w:val="000000"/>
              </w:rPr>
              <w:t>C24.8</w:t>
            </w:r>
          </w:p>
        </w:tc>
        <w:tc>
          <w:tcPr>
            <w:tcW w:w="7560" w:type="dxa"/>
            <w:noWrap/>
            <w:vAlign w:val="center"/>
            <w:hideMark/>
          </w:tcPr>
          <w:p w14:paraId="62C47B96" w14:textId="77777777" w:rsidR="00E2557B" w:rsidRPr="00614ED2" w:rsidRDefault="00E2557B" w:rsidP="00696E8F">
            <w:pPr>
              <w:rPr>
                <w:rFonts w:cs="Arial"/>
                <w:color w:val="000000"/>
              </w:rPr>
            </w:pPr>
            <w:r w:rsidRPr="00614ED2">
              <w:rPr>
                <w:rFonts w:cs="Arial"/>
                <w:color w:val="000000"/>
              </w:rPr>
              <w:t>Malignant neoplasm of overlapping sites of biliary tract</w:t>
            </w:r>
          </w:p>
        </w:tc>
      </w:tr>
      <w:tr w:rsidR="00E2557B" w:rsidRPr="00614ED2" w14:paraId="372D674D" w14:textId="77777777" w:rsidTr="00696E8F">
        <w:trPr>
          <w:trHeight w:val="300"/>
        </w:trPr>
        <w:tc>
          <w:tcPr>
            <w:tcW w:w="1872" w:type="dxa"/>
            <w:noWrap/>
            <w:vAlign w:val="center"/>
            <w:hideMark/>
          </w:tcPr>
          <w:p w14:paraId="15A5C39D" w14:textId="77777777" w:rsidR="00E2557B" w:rsidRPr="00614ED2" w:rsidRDefault="00E2557B" w:rsidP="00696E8F">
            <w:pPr>
              <w:rPr>
                <w:rFonts w:cs="Arial"/>
                <w:color w:val="000000"/>
              </w:rPr>
            </w:pPr>
            <w:r w:rsidRPr="00614ED2">
              <w:rPr>
                <w:rFonts w:cs="Arial"/>
                <w:color w:val="000000"/>
              </w:rPr>
              <w:t>C24.9</w:t>
            </w:r>
          </w:p>
        </w:tc>
        <w:tc>
          <w:tcPr>
            <w:tcW w:w="7560" w:type="dxa"/>
            <w:noWrap/>
            <w:vAlign w:val="center"/>
            <w:hideMark/>
          </w:tcPr>
          <w:p w14:paraId="134E1FFA" w14:textId="77777777" w:rsidR="00E2557B" w:rsidRPr="00614ED2" w:rsidRDefault="00E2557B" w:rsidP="00696E8F">
            <w:pPr>
              <w:rPr>
                <w:rFonts w:cs="Arial"/>
                <w:color w:val="000000"/>
              </w:rPr>
            </w:pPr>
            <w:r w:rsidRPr="00614ED2">
              <w:rPr>
                <w:rFonts w:cs="Arial"/>
                <w:color w:val="000000"/>
              </w:rPr>
              <w:t>Malignant neoplasm of biliary tract, unspecified</w:t>
            </w:r>
          </w:p>
        </w:tc>
      </w:tr>
      <w:tr w:rsidR="00E2557B" w:rsidRPr="00614ED2" w14:paraId="053EADDE" w14:textId="77777777" w:rsidTr="00696E8F">
        <w:trPr>
          <w:trHeight w:val="300"/>
        </w:trPr>
        <w:tc>
          <w:tcPr>
            <w:tcW w:w="1872" w:type="dxa"/>
            <w:noWrap/>
            <w:vAlign w:val="center"/>
            <w:hideMark/>
          </w:tcPr>
          <w:p w14:paraId="63E0D8A0" w14:textId="77777777" w:rsidR="00E2557B" w:rsidRPr="00614ED2" w:rsidRDefault="00E2557B" w:rsidP="00696E8F">
            <w:pPr>
              <w:rPr>
                <w:rFonts w:cs="Arial"/>
                <w:color w:val="000000"/>
              </w:rPr>
            </w:pPr>
            <w:r w:rsidRPr="00614ED2">
              <w:rPr>
                <w:rFonts w:cs="Arial"/>
                <w:color w:val="000000"/>
              </w:rPr>
              <w:t>C25.0</w:t>
            </w:r>
          </w:p>
        </w:tc>
        <w:tc>
          <w:tcPr>
            <w:tcW w:w="7560" w:type="dxa"/>
            <w:noWrap/>
            <w:vAlign w:val="center"/>
            <w:hideMark/>
          </w:tcPr>
          <w:p w14:paraId="43E3624B" w14:textId="77777777" w:rsidR="00E2557B" w:rsidRPr="00614ED2" w:rsidRDefault="00E2557B" w:rsidP="00696E8F">
            <w:pPr>
              <w:rPr>
                <w:rFonts w:cs="Arial"/>
                <w:color w:val="000000"/>
              </w:rPr>
            </w:pPr>
            <w:r w:rsidRPr="00614ED2">
              <w:rPr>
                <w:rFonts w:cs="Arial"/>
                <w:color w:val="000000"/>
              </w:rPr>
              <w:t>Malignant neoplasm of head of pancreas</w:t>
            </w:r>
          </w:p>
        </w:tc>
      </w:tr>
      <w:tr w:rsidR="00E2557B" w:rsidRPr="00614ED2" w14:paraId="5A10684F" w14:textId="77777777" w:rsidTr="00696E8F">
        <w:trPr>
          <w:trHeight w:val="300"/>
        </w:trPr>
        <w:tc>
          <w:tcPr>
            <w:tcW w:w="1872" w:type="dxa"/>
            <w:noWrap/>
            <w:vAlign w:val="center"/>
            <w:hideMark/>
          </w:tcPr>
          <w:p w14:paraId="50A0D039" w14:textId="77777777" w:rsidR="00E2557B" w:rsidRPr="00614ED2" w:rsidRDefault="00E2557B" w:rsidP="00696E8F">
            <w:pPr>
              <w:rPr>
                <w:rFonts w:cs="Arial"/>
                <w:color w:val="000000"/>
              </w:rPr>
            </w:pPr>
            <w:r w:rsidRPr="00614ED2">
              <w:rPr>
                <w:rFonts w:cs="Arial"/>
                <w:color w:val="000000"/>
              </w:rPr>
              <w:t>C25.1</w:t>
            </w:r>
          </w:p>
        </w:tc>
        <w:tc>
          <w:tcPr>
            <w:tcW w:w="7560" w:type="dxa"/>
            <w:noWrap/>
            <w:vAlign w:val="center"/>
            <w:hideMark/>
          </w:tcPr>
          <w:p w14:paraId="44610BD9" w14:textId="77777777" w:rsidR="00E2557B" w:rsidRPr="00614ED2" w:rsidRDefault="00E2557B" w:rsidP="00696E8F">
            <w:pPr>
              <w:rPr>
                <w:rFonts w:cs="Arial"/>
                <w:color w:val="000000"/>
              </w:rPr>
            </w:pPr>
            <w:r w:rsidRPr="00614ED2">
              <w:rPr>
                <w:rFonts w:cs="Arial"/>
                <w:color w:val="000000"/>
              </w:rPr>
              <w:t>Malignant neoplasm of body of pancreas</w:t>
            </w:r>
          </w:p>
        </w:tc>
      </w:tr>
      <w:tr w:rsidR="00E2557B" w:rsidRPr="00614ED2" w14:paraId="7AC5ECC0" w14:textId="77777777" w:rsidTr="00696E8F">
        <w:trPr>
          <w:trHeight w:val="300"/>
        </w:trPr>
        <w:tc>
          <w:tcPr>
            <w:tcW w:w="1872" w:type="dxa"/>
            <w:noWrap/>
            <w:vAlign w:val="center"/>
            <w:hideMark/>
          </w:tcPr>
          <w:p w14:paraId="427E8ECB" w14:textId="77777777" w:rsidR="00E2557B" w:rsidRPr="00614ED2" w:rsidRDefault="00E2557B" w:rsidP="00696E8F">
            <w:pPr>
              <w:rPr>
                <w:rFonts w:cs="Arial"/>
                <w:color w:val="000000"/>
              </w:rPr>
            </w:pPr>
            <w:r w:rsidRPr="00614ED2">
              <w:rPr>
                <w:rFonts w:cs="Arial"/>
                <w:color w:val="000000"/>
              </w:rPr>
              <w:t>C25.2</w:t>
            </w:r>
          </w:p>
        </w:tc>
        <w:tc>
          <w:tcPr>
            <w:tcW w:w="7560" w:type="dxa"/>
            <w:noWrap/>
            <w:vAlign w:val="center"/>
            <w:hideMark/>
          </w:tcPr>
          <w:p w14:paraId="0C38D166" w14:textId="77777777" w:rsidR="00E2557B" w:rsidRPr="00614ED2" w:rsidRDefault="00E2557B" w:rsidP="00696E8F">
            <w:pPr>
              <w:rPr>
                <w:rFonts w:cs="Arial"/>
                <w:color w:val="000000"/>
              </w:rPr>
            </w:pPr>
            <w:r w:rsidRPr="00614ED2">
              <w:rPr>
                <w:rFonts w:cs="Arial"/>
                <w:color w:val="000000"/>
              </w:rPr>
              <w:t>Malignant neoplasm of tail of pancreas</w:t>
            </w:r>
          </w:p>
        </w:tc>
      </w:tr>
      <w:tr w:rsidR="00E2557B" w:rsidRPr="00614ED2" w14:paraId="436963D9" w14:textId="77777777" w:rsidTr="00696E8F">
        <w:trPr>
          <w:trHeight w:val="300"/>
        </w:trPr>
        <w:tc>
          <w:tcPr>
            <w:tcW w:w="1872" w:type="dxa"/>
            <w:noWrap/>
            <w:vAlign w:val="center"/>
            <w:hideMark/>
          </w:tcPr>
          <w:p w14:paraId="16187285" w14:textId="77777777" w:rsidR="00E2557B" w:rsidRPr="00614ED2" w:rsidRDefault="00E2557B" w:rsidP="00696E8F">
            <w:pPr>
              <w:rPr>
                <w:rFonts w:cs="Arial"/>
                <w:color w:val="000000"/>
              </w:rPr>
            </w:pPr>
            <w:r w:rsidRPr="00614ED2">
              <w:rPr>
                <w:rFonts w:cs="Arial"/>
                <w:color w:val="000000"/>
              </w:rPr>
              <w:t>C25.3</w:t>
            </w:r>
          </w:p>
        </w:tc>
        <w:tc>
          <w:tcPr>
            <w:tcW w:w="7560" w:type="dxa"/>
            <w:noWrap/>
            <w:vAlign w:val="center"/>
            <w:hideMark/>
          </w:tcPr>
          <w:p w14:paraId="42EE1A07" w14:textId="77777777" w:rsidR="00E2557B" w:rsidRPr="00614ED2" w:rsidRDefault="00E2557B" w:rsidP="00696E8F">
            <w:pPr>
              <w:rPr>
                <w:rFonts w:cs="Arial"/>
                <w:color w:val="000000"/>
              </w:rPr>
            </w:pPr>
            <w:r w:rsidRPr="00614ED2">
              <w:rPr>
                <w:rFonts w:cs="Arial"/>
                <w:color w:val="000000"/>
              </w:rPr>
              <w:t>Malignant neoplasm of pancreatic duct</w:t>
            </w:r>
          </w:p>
        </w:tc>
      </w:tr>
      <w:tr w:rsidR="00E2557B" w:rsidRPr="00614ED2" w14:paraId="5DAA7489" w14:textId="77777777" w:rsidTr="00696E8F">
        <w:trPr>
          <w:trHeight w:val="300"/>
        </w:trPr>
        <w:tc>
          <w:tcPr>
            <w:tcW w:w="1872" w:type="dxa"/>
            <w:noWrap/>
            <w:vAlign w:val="center"/>
            <w:hideMark/>
          </w:tcPr>
          <w:p w14:paraId="3D28457D" w14:textId="77777777" w:rsidR="00E2557B" w:rsidRPr="00614ED2" w:rsidRDefault="00E2557B" w:rsidP="00696E8F">
            <w:pPr>
              <w:rPr>
                <w:rFonts w:cs="Arial"/>
                <w:color w:val="000000"/>
              </w:rPr>
            </w:pPr>
            <w:r w:rsidRPr="00614ED2">
              <w:rPr>
                <w:rFonts w:cs="Arial"/>
                <w:color w:val="000000"/>
              </w:rPr>
              <w:t>C25.4</w:t>
            </w:r>
          </w:p>
        </w:tc>
        <w:tc>
          <w:tcPr>
            <w:tcW w:w="7560" w:type="dxa"/>
            <w:noWrap/>
            <w:vAlign w:val="center"/>
            <w:hideMark/>
          </w:tcPr>
          <w:p w14:paraId="4CFE9517" w14:textId="77777777" w:rsidR="00E2557B" w:rsidRPr="00614ED2" w:rsidRDefault="00E2557B" w:rsidP="00696E8F">
            <w:pPr>
              <w:rPr>
                <w:rFonts w:cs="Arial"/>
                <w:color w:val="000000"/>
              </w:rPr>
            </w:pPr>
            <w:r w:rsidRPr="00614ED2">
              <w:rPr>
                <w:rFonts w:cs="Arial"/>
                <w:color w:val="000000"/>
              </w:rPr>
              <w:t>Malignant neoplasm of endocrine pancreas</w:t>
            </w:r>
          </w:p>
        </w:tc>
      </w:tr>
      <w:tr w:rsidR="00E2557B" w:rsidRPr="00614ED2" w14:paraId="6B3D2185" w14:textId="77777777" w:rsidTr="00696E8F">
        <w:trPr>
          <w:trHeight w:val="300"/>
        </w:trPr>
        <w:tc>
          <w:tcPr>
            <w:tcW w:w="1872" w:type="dxa"/>
            <w:noWrap/>
            <w:vAlign w:val="center"/>
            <w:hideMark/>
          </w:tcPr>
          <w:p w14:paraId="6F459C29" w14:textId="77777777" w:rsidR="00E2557B" w:rsidRPr="00614ED2" w:rsidRDefault="00E2557B" w:rsidP="00696E8F">
            <w:pPr>
              <w:rPr>
                <w:rFonts w:cs="Arial"/>
                <w:color w:val="000000"/>
              </w:rPr>
            </w:pPr>
            <w:r w:rsidRPr="00614ED2">
              <w:rPr>
                <w:rFonts w:cs="Arial"/>
                <w:color w:val="000000"/>
              </w:rPr>
              <w:t>C25.7</w:t>
            </w:r>
          </w:p>
        </w:tc>
        <w:tc>
          <w:tcPr>
            <w:tcW w:w="7560" w:type="dxa"/>
            <w:noWrap/>
            <w:vAlign w:val="center"/>
            <w:hideMark/>
          </w:tcPr>
          <w:p w14:paraId="5C84BC6A" w14:textId="77777777" w:rsidR="00E2557B" w:rsidRPr="00614ED2" w:rsidRDefault="00E2557B" w:rsidP="00696E8F">
            <w:pPr>
              <w:rPr>
                <w:rFonts w:cs="Arial"/>
                <w:color w:val="000000"/>
              </w:rPr>
            </w:pPr>
            <w:r w:rsidRPr="00614ED2">
              <w:rPr>
                <w:rFonts w:cs="Arial"/>
                <w:color w:val="000000"/>
              </w:rPr>
              <w:t>Malignant neoplasm of other parts of pancreas</w:t>
            </w:r>
          </w:p>
        </w:tc>
      </w:tr>
      <w:tr w:rsidR="00E2557B" w:rsidRPr="00614ED2" w14:paraId="7E6DF135" w14:textId="77777777" w:rsidTr="00696E8F">
        <w:trPr>
          <w:trHeight w:val="300"/>
        </w:trPr>
        <w:tc>
          <w:tcPr>
            <w:tcW w:w="1872" w:type="dxa"/>
            <w:noWrap/>
            <w:vAlign w:val="center"/>
            <w:hideMark/>
          </w:tcPr>
          <w:p w14:paraId="233BE48D" w14:textId="77777777" w:rsidR="00E2557B" w:rsidRPr="00614ED2" w:rsidRDefault="00E2557B" w:rsidP="00696E8F">
            <w:pPr>
              <w:rPr>
                <w:rFonts w:cs="Arial"/>
                <w:color w:val="000000"/>
              </w:rPr>
            </w:pPr>
            <w:r w:rsidRPr="00614ED2">
              <w:rPr>
                <w:rFonts w:cs="Arial"/>
                <w:color w:val="000000"/>
              </w:rPr>
              <w:lastRenderedPageBreak/>
              <w:t>C25.8</w:t>
            </w:r>
          </w:p>
        </w:tc>
        <w:tc>
          <w:tcPr>
            <w:tcW w:w="7560" w:type="dxa"/>
            <w:noWrap/>
            <w:vAlign w:val="center"/>
            <w:hideMark/>
          </w:tcPr>
          <w:p w14:paraId="4BBBCB2A" w14:textId="77777777" w:rsidR="00E2557B" w:rsidRPr="00614ED2" w:rsidRDefault="00E2557B" w:rsidP="00696E8F">
            <w:pPr>
              <w:rPr>
                <w:rFonts w:cs="Arial"/>
                <w:color w:val="000000"/>
              </w:rPr>
            </w:pPr>
            <w:r w:rsidRPr="00614ED2">
              <w:rPr>
                <w:rFonts w:cs="Arial"/>
                <w:color w:val="000000"/>
              </w:rPr>
              <w:t>Malignant neoplasm of overlapping sites of pancreas</w:t>
            </w:r>
          </w:p>
        </w:tc>
      </w:tr>
      <w:tr w:rsidR="00E2557B" w:rsidRPr="00614ED2" w14:paraId="164EEB72" w14:textId="77777777" w:rsidTr="00696E8F">
        <w:trPr>
          <w:trHeight w:val="300"/>
        </w:trPr>
        <w:tc>
          <w:tcPr>
            <w:tcW w:w="1872" w:type="dxa"/>
            <w:noWrap/>
            <w:vAlign w:val="center"/>
            <w:hideMark/>
          </w:tcPr>
          <w:p w14:paraId="5ACB6E1F" w14:textId="77777777" w:rsidR="00E2557B" w:rsidRPr="00614ED2" w:rsidRDefault="00E2557B" w:rsidP="00696E8F">
            <w:pPr>
              <w:rPr>
                <w:rFonts w:cs="Arial"/>
                <w:color w:val="000000"/>
              </w:rPr>
            </w:pPr>
            <w:r w:rsidRPr="00614ED2">
              <w:rPr>
                <w:rFonts w:cs="Arial"/>
                <w:color w:val="000000"/>
              </w:rPr>
              <w:t>C25.9</w:t>
            </w:r>
          </w:p>
        </w:tc>
        <w:tc>
          <w:tcPr>
            <w:tcW w:w="7560" w:type="dxa"/>
            <w:noWrap/>
            <w:vAlign w:val="center"/>
            <w:hideMark/>
          </w:tcPr>
          <w:p w14:paraId="494C7C72" w14:textId="77777777" w:rsidR="00E2557B" w:rsidRPr="00614ED2" w:rsidRDefault="00E2557B" w:rsidP="00696E8F">
            <w:pPr>
              <w:rPr>
                <w:rFonts w:cs="Arial"/>
                <w:color w:val="000000"/>
              </w:rPr>
            </w:pPr>
            <w:r w:rsidRPr="00614ED2">
              <w:rPr>
                <w:rFonts w:cs="Arial"/>
                <w:color w:val="000000"/>
              </w:rPr>
              <w:t>Malignant neoplasm of pancreas, unspecified</w:t>
            </w:r>
          </w:p>
        </w:tc>
      </w:tr>
    </w:tbl>
    <w:p w14:paraId="6CAB3992" w14:textId="5437FF10" w:rsidR="000E1EAA" w:rsidRPr="009A5185" w:rsidRDefault="000E1EAA" w:rsidP="000C2C54">
      <w:pPr>
        <w:pStyle w:val="Heading44"/>
      </w:pPr>
      <w:bookmarkStart w:id="260" w:name="RectalCancer"/>
      <w:r w:rsidRPr="009A5185">
        <w:t xml:space="preserve">Rectal Cancer Surgery Measure </w:t>
      </w:r>
      <w:r w:rsidR="000765C6">
        <w:t>Specifications</w:t>
      </w:r>
    </w:p>
    <w:bookmarkEnd w:id="260"/>
    <w:p w14:paraId="7FCC88FA" w14:textId="77777777" w:rsidR="000E1EAA" w:rsidRPr="009A5185" w:rsidRDefault="000E1EAA" w:rsidP="000E1EAA">
      <w:pPr>
        <w:rPr>
          <w:rFonts w:cs="Arial"/>
        </w:rPr>
      </w:pPr>
    </w:p>
    <w:p w14:paraId="64AFD13C" w14:textId="77777777" w:rsidR="000E1EAA" w:rsidRPr="009A5185" w:rsidRDefault="000E1EAA" w:rsidP="000E1EAA">
      <w:pPr>
        <w:rPr>
          <w:rFonts w:cs="Arial"/>
        </w:rPr>
      </w:pPr>
      <w:r w:rsidRPr="009A5185">
        <w:rPr>
          <w:rFonts w:cs="Arial"/>
        </w:rPr>
        <w:t xml:space="preserve">For </w:t>
      </w:r>
      <w:r w:rsidR="00715FAA" w:rsidRPr="009A5185">
        <w:rPr>
          <w:rFonts w:cs="Arial"/>
        </w:rPr>
        <w:t>rectal cancer surgery</w:t>
      </w:r>
      <w:r w:rsidRPr="009A5185">
        <w:rPr>
          <w:rFonts w:cs="Arial"/>
        </w:rPr>
        <w:t>, there are two sets of IC</w:t>
      </w:r>
      <w:r w:rsidR="007550AD">
        <w:rPr>
          <w:rFonts w:cs="Arial"/>
        </w:rPr>
        <w:t>D-10 codes for counting patient discharges</w:t>
      </w:r>
      <w:r w:rsidRPr="009A5185">
        <w:rPr>
          <w:rFonts w:cs="Arial"/>
        </w:rPr>
        <w:t xml:space="preserve">. The first set of codes is to identify patients who have had the procedure. </w:t>
      </w:r>
      <w:r w:rsidR="00D7330E" w:rsidRPr="009A5185">
        <w:rPr>
          <w:rFonts w:cs="Arial"/>
        </w:rPr>
        <w:t xml:space="preserve">The second set of codes </w:t>
      </w:r>
      <w:r w:rsidRPr="009A5185">
        <w:rPr>
          <w:rFonts w:cs="Arial"/>
        </w:rPr>
        <w:t>is to identify patient</w:t>
      </w:r>
      <w:r w:rsidR="00FB0165">
        <w:rPr>
          <w:rFonts w:cs="Arial"/>
        </w:rPr>
        <w:t>s</w:t>
      </w:r>
      <w:r w:rsidRPr="009A5185">
        <w:rPr>
          <w:rFonts w:cs="Arial"/>
        </w:rPr>
        <w:t xml:space="preserve"> with a specific diagnosis.</w:t>
      </w:r>
    </w:p>
    <w:p w14:paraId="47FAD2B9" w14:textId="77777777" w:rsidR="000E1EAA" w:rsidRPr="009A5185" w:rsidRDefault="000E1EAA" w:rsidP="000E1EAA">
      <w:pPr>
        <w:rPr>
          <w:rFonts w:cs="Arial"/>
        </w:rPr>
      </w:pPr>
    </w:p>
    <w:p w14:paraId="7C72DA92" w14:textId="77777777" w:rsidR="000E1EAA" w:rsidRDefault="007550AD" w:rsidP="000E1EAA">
      <w:pPr>
        <w:rPr>
          <w:rFonts w:cs="Arial"/>
        </w:rPr>
      </w:pPr>
      <w:r>
        <w:rPr>
          <w:rFonts w:cs="Arial"/>
        </w:rPr>
        <w:t>Count the n</w:t>
      </w:r>
      <w:r w:rsidR="000E1EAA" w:rsidRPr="009A5185">
        <w:rPr>
          <w:rFonts w:cs="Arial"/>
        </w:rPr>
        <w:t>umber of patients, age</w:t>
      </w:r>
      <w:r w:rsidR="00715FAA">
        <w:rPr>
          <w:rFonts w:cs="Arial"/>
        </w:rPr>
        <w:t>s</w:t>
      </w:r>
      <w:r w:rsidR="000E1EAA" w:rsidRPr="009A5185">
        <w:rPr>
          <w:rFonts w:cs="Arial"/>
        </w:rPr>
        <w:t xml:space="preserve"> 18 years and older, discharged with the following ICD-10 codes in any procedure field </w:t>
      </w:r>
      <w:r w:rsidR="000E1EAA" w:rsidRPr="006904F9">
        <w:rPr>
          <w:rFonts w:cs="Arial"/>
          <w:b/>
          <w:bCs/>
        </w:rPr>
        <w:t>AND</w:t>
      </w:r>
      <w:r w:rsidR="000E1EAA" w:rsidRPr="009A5185">
        <w:rPr>
          <w:rFonts w:cs="Arial"/>
        </w:rPr>
        <w:t xml:space="preserve"> any of the follo</w:t>
      </w:r>
      <w:r w:rsidR="00F66DDE" w:rsidRPr="009A5185">
        <w:rPr>
          <w:rFonts w:cs="Arial"/>
        </w:rPr>
        <w:t>wing ICD-10 codes in any</w:t>
      </w:r>
      <w:r w:rsidR="000E1EAA" w:rsidRPr="009A5185">
        <w:rPr>
          <w:rFonts w:cs="Arial"/>
        </w:rPr>
        <w:t xml:space="preserve"> diagnosis field</w:t>
      </w:r>
      <w:r>
        <w:rPr>
          <w:rFonts w:cs="Arial"/>
        </w:rPr>
        <w:t>.</w:t>
      </w:r>
    </w:p>
    <w:p w14:paraId="5D380B4C" w14:textId="77777777" w:rsidR="000E1EAA" w:rsidRPr="009A5185" w:rsidRDefault="000E1EAA" w:rsidP="000E1EAA">
      <w:pPr>
        <w:rPr>
          <w:rFonts w:cs="Arial"/>
        </w:rPr>
      </w:pPr>
    </w:p>
    <w:p w14:paraId="4A1650FA" w14:textId="77777777" w:rsidR="000E1EAA" w:rsidRPr="009A5185" w:rsidRDefault="000E1EAA" w:rsidP="000E1EAA">
      <w:pPr>
        <w:rPr>
          <w:rFonts w:cs="Arial"/>
          <w:b/>
        </w:rPr>
      </w:pPr>
      <w:r w:rsidRPr="009A5185">
        <w:rPr>
          <w:rFonts w:cs="Arial"/>
          <w:b/>
        </w:rPr>
        <w:t xml:space="preserve">ICD-10 Rectal Cancer Surgery Procedure Codes </w:t>
      </w:r>
    </w:p>
    <w:p w14:paraId="552D7603" w14:textId="77777777" w:rsidR="000E1EAA" w:rsidRPr="009A5185" w:rsidRDefault="000E1EAA" w:rsidP="000E1EAA">
      <w:pPr>
        <w:rPr>
          <w:rFonts w:cs="Arial"/>
          <w:b/>
        </w:rPr>
      </w:pPr>
    </w:p>
    <w:tbl>
      <w:tblPr>
        <w:tblStyle w:val="TableGrid"/>
        <w:tblW w:w="9432" w:type="dxa"/>
        <w:tblLook w:val="04A0" w:firstRow="1" w:lastRow="0" w:firstColumn="1" w:lastColumn="0" w:noHBand="0" w:noVBand="1"/>
      </w:tblPr>
      <w:tblGrid>
        <w:gridCol w:w="1872"/>
        <w:gridCol w:w="7560"/>
      </w:tblGrid>
      <w:tr w:rsidR="00715FAA" w:rsidRPr="0004317D" w14:paraId="36D470B1" w14:textId="77777777" w:rsidTr="00696E8F">
        <w:trPr>
          <w:trHeight w:val="432"/>
        </w:trPr>
        <w:tc>
          <w:tcPr>
            <w:tcW w:w="1872" w:type="dxa"/>
            <w:shd w:val="clear" w:color="auto" w:fill="BFBFBF" w:themeFill="background1" w:themeFillShade="BF"/>
            <w:noWrap/>
            <w:vAlign w:val="center"/>
          </w:tcPr>
          <w:p w14:paraId="4C154035" w14:textId="77777777" w:rsidR="00715FAA" w:rsidRPr="0004317D" w:rsidRDefault="00715FAA" w:rsidP="00696E8F">
            <w:pPr>
              <w:rPr>
                <w:rFonts w:cs="Arial"/>
                <w:color w:val="000000"/>
              </w:rPr>
            </w:pPr>
            <w:r w:rsidRPr="0004317D">
              <w:rPr>
                <w:rFonts w:cs="Arial"/>
                <w:b/>
                <w:bCs/>
                <w:color w:val="000000"/>
              </w:rPr>
              <w:t>ICD</w:t>
            </w:r>
            <w:r>
              <w:rPr>
                <w:rFonts w:cs="Arial"/>
                <w:b/>
                <w:bCs/>
                <w:color w:val="000000"/>
              </w:rPr>
              <w:t>-</w:t>
            </w:r>
            <w:r w:rsidRPr="0004317D">
              <w:rPr>
                <w:rFonts w:cs="Arial"/>
                <w:b/>
                <w:bCs/>
                <w:color w:val="000000"/>
              </w:rPr>
              <w:t>10 Procedure Code</w:t>
            </w:r>
          </w:p>
        </w:tc>
        <w:tc>
          <w:tcPr>
            <w:tcW w:w="7560" w:type="dxa"/>
            <w:shd w:val="clear" w:color="auto" w:fill="BFBFBF" w:themeFill="background1" w:themeFillShade="BF"/>
            <w:noWrap/>
            <w:vAlign w:val="center"/>
          </w:tcPr>
          <w:p w14:paraId="664D1967" w14:textId="77777777" w:rsidR="00715FAA" w:rsidRPr="0004317D" w:rsidRDefault="00715FAA" w:rsidP="00696E8F">
            <w:pPr>
              <w:rPr>
                <w:rFonts w:cs="Arial"/>
                <w:color w:val="000000"/>
              </w:rPr>
            </w:pPr>
            <w:r w:rsidRPr="0004317D">
              <w:rPr>
                <w:rFonts w:cs="Arial"/>
                <w:b/>
                <w:bCs/>
                <w:color w:val="000000"/>
              </w:rPr>
              <w:t>Code Description</w:t>
            </w:r>
          </w:p>
        </w:tc>
      </w:tr>
      <w:tr w:rsidR="00715FAA" w:rsidRPr="00614ED2" w14:paraId="45B1B4C5" w14:textId="77777777" w:rsidTr="00696E8F">
        <w:trPr>
          <w:trHeight w:val="300"/>
        </w:trPr>
        <w:tc>
          <w:tcPr>
            <w:tcW w:w="1872" w:type="dxa"/>
            <w:noWrap/>
            <w:vAlign w:val="center"/>
            <w:hideMark/>
          </w:tcPr>
          <w:p w14:paraId="0EF3FBD6" w14:textId="77777777" w:rsidR="00715FAA" w:rsidRPr="00614ED2" w:rsidRDefault="00715FAA" w:rsidP="00696E8F">
            <w:pPr>
              <w:rPr>
                <w:rFonts w:cs="Arial"/>
                <w:color w:val="000000"/>
              </w:rPr>
            </w:pPr>
            <w:r w:rsidRPr="00614ED2">
              <w:rPr>
                <w:rFonts w:cs="Arial"/>
                <w:color w:val="000000"/>
              </w:rPr>
              <w:t>0DBP0ZZ</w:t>
            </w:r>
          </w:p>
        </w:tc>
        <w:tc>
          <w:tcPr>
            <w:tcW w:w="7560" w:type="dxa"/>
            <w:noWrap/>
            <w:vAlign w:val="center"/>
            <w:hideMark/>
          </w:tcPr>
          <w:p w14:paraId="411109CC" w14:textId="77777777" w:rsidR="00715FAA" w:rsidRPr="00614ED2" w:rsidRDefault="00715FAA" w:rsidP="00696E8F">
            <w:pPr>
              <w:rPr>
                <w:rFonts w:cs="Arial"/>
                <w:color w:val="000000"/>
              </w:rPr>
            </w:pPr>
            <w:r w:rsidRPr="00614ED2">
              <w:rPr>
                <w:rFonts w:cs="Arial"/>
                <w:color w:val="000000"/>
              </w:rPr>
              <w:t>Excision of Rectum, Open Approach</w:t>
            </w:r>
          </w:p>
        </w:tc>
      </w:tr>
      <w:tr w:rsidR="00715FAA" w:rsidRPr="00614ED2" w14:paraId="696082AF" w14:textId="77777777" w:rsidTr="00696E8F">
        <w:trPr>
          <w:trHeight w:val="300"/>
        </w:trPr>
        <w:tc>
          <w:tcPr>
            <w:tcW w:w="1872" w:type="dxa"/>
            <w:noWrap/>
            <w:vAlign w:val="center"/>
            <w:hideMark/>
          </w:tcPr>
          <w:p w14:paraId="4D70C55A" w14:textId="77777777" w:rsidR="00715FAA" w:rsidRPr="00614ED2" w:rsidRDefault="00715FAA" w:rsidP="00696E8F">
            <w:pPr>
              <w:rPr>
                <w:rFonts w:cs="Arial"/>
                <w:color w:val="000000"/>
              </w:rPr>
            </w:pPr>
            <w:r w:rsidRPr="00614ED2">
              <w:rPr>
                <w:rFonts w:cs="Arial"/>
                <w:color w:val="000000"/>
              </w:rPr>
              <w:t>0DBP3ZZ</w:t>
            </w:r>
          </w:p>
        </w:tc>
        <w:tc>
          <w:tcPr>
            <w:tcW w:w="7560" w:type="dxa"/>
            <w:noWrap/>
            <w:vAlign w:val="center"/>
            <w:hideMark/>
          </w:tcPr>
          <w:p w14:paraId="7A4FFB16" w14:textId="77777777" w:rsidR="00715FAA" w:rsidRPr="00614ED2" w:rsidRDefault="00715FAA" w:rsidP="00696E8F">
            <w:pPr>
              <w:rPr>
                <w:rFonts w:cs="Arial"/>
                <w:color w:val="000000"/>
              </w:rPr>
            </w:pPr>
            <w:r w:rsidRPr="00614ED2">
              <w:rPr>
                <w:rFonts w:cs="Arial"/>
                <w:color w:val="000000"/>
              </w:rPr>
              <w:t>Excision of Rectum, Percutaneous Approach</w:t>
            </w:r>
          </w:p>
        </w:tc>
      </w:tr>
      <w:tr w:rsidR="00715FAA" w:rsidRPr="00614ED2" w14:paraId="5F9A71BE" w14:textId="77777777" w:rsidTr="00696E8F">
        <w:trPr>
          <w:trHeight w:val="300"/>
        </w:trPr>
        <w:tc>
          <w:tcPr>
            <w:tcW w:w="1872" w:type="dxa"/>
            <w:noWrap/>
            <w:vAlign w:val="center"/>
            <w:hideMark/>
          </w:tcPr>
          <w:p w14:paraId="368271FB" w14:textId="77777777" w:rsidR="00715FAA" w:rsidRPr="00614ED2" w:rsidRDefault="00715FAA" w:rsidP="00696E8F">
            <w:pPr>
              <w:rPr>
                <w:rFonts w:cs="Arial"/>
                <w:color w:val="000000"/>
              </w:rPr>
            </w:pPr>
            <w:r w:rsidRPr="00614ED2">
              <w:rPr>
                <w:rFonts w:cs="Arial"/>
                <w:color w:val="000000"/>
              </w:rPr>
              <w:t>0DBP4ZZ</w:t>
            </w:r>
          </w:p>
        </w:tc>
        <w:tc>
          <w:tcPr>
            <w:tcW w:w="7560" w:type="dxa"/>
            <w:noWrap/>
            <w:vAlign w:val="center"/>
            <w:hideMark/>
          </w:tcPr>
          <w:p w14:paraId="455B6E12" w14:textId="77777777" w:rsidR="00715FAA" w:rsidRPr="00614ED2" w:rsidRDefault="00715FAA" w:rsidP="00696E8F">
            <w:pPr>
              <w:rPr>
                <w:rFonts w:cs="Arial"/>
                <w:color w:val="000000"/>
              </w:rPr>
            </w:pPr>
            <w:r w:rsidRPr="00614ED2">
              <w:rPr>
                <w:rFonts w:cs="Arial"/>
                <w:color w:val="000000"/>
              </w:rPr>
              <w:t>Excision of Rectum, Percutaneous Endoscopic Approach</w:t>
            </w:r>
          </w:p>
        </w:tc>
      </w:tr>
      <w:tr w:rsidR="00715FAA" w:rsidRPr="00614ED2" w14:paraId="0FD3027C" w14:textId="77777777" w:rsidTr="00696E8F">
        <w:trPr>
          <w:trHeight w:val="300"/>
        </w:trPr>
        <w:tc>
          <w:tcPr>
            <w:tcW w:w="1872" w:type="dxa"/>
            <w:noWrap/>
            <w:vAlign w:val="center"/>
            <w:hideMark/>
          </w:tcPr>
          <w:p w14:paraId="430A719F" w14:textId="77777777" w:rsidR="00715FAA" w:rsidRPr="00614ED2" w:rsidRDefault="00715FAA" w:rsidP="00696E8F">
            <w:pPr>
              <w:rPr>
                <w:rFonts w:cs="Arial"/>
                <w:color w:val="000000"/>
              </w:rPr>
            </w:pPr>
            <w:r w:rsidRPr="00614ED2">
              <w:rPr>
                <w:rFonts w:cs="Arial"/>
                <w:color w:val="000000"/>
              </w:rPr>
              <w:t>0DBP7ZZ</w:t>
            </w:r>
          </w:p>
        </w:tc>
        <w:tc>
          <w:tcPr>
            <w:tcW w:w="7560" w:type="dxa"/>
            <w:noWrap/>
            <w:vAlign w:val="center"/>
            <w:hideMark/>
          </w:tcPr>
          <w:p w14:paraId="02B5B450" w14:textId="77777777" w:rsidR="00715FAA" w:rsidRPr="00614ED2" w:rsidRDefault="00715FAA" w:rsidP="00696E8F">
            <w:pPr>
              <w:rPr>
                <w:rFonts w:cs="Arial"/>
                <w:color w:val="000000"/>
              </w:rPr>
            </w:pPr>
            <w:r w:rsidRPr="00614ED2">
              <w:rPr>
                <w:rFonts w:cs="Arial"/>
                <w:color w:val="000000"/>
              </w:rPr>
              <w:t>Excision of Rectum, Via Natural or Artificial Opening</w:t>
            </w:r>
          </w:p>
        </w:tc>
      </w:tr>
      <w:tr w:rsidR="00715FAA" w:rsidRPr="00614ED2" w14:paraId="5BB169B9" w14:textId="77777777" w:rsidTr="00696E8F">
        <w:trPr>
          <w:trHeight w:val="300"/>
        </w:trPr>
        <w:tc>
          <w:tcPr>
            <w:tcW w:w="1872" w:type="dxa"/>
            <w:noWrap/>
            <w:vAlign w:val="center"/>
            <w:hideMark/>
          </w:tcPr>
          <w:p w14:paraId="2D1302FA" w14:textId="77777777" w:rsidR="00715FAA" w:rsidRPr="00614ED2" w:rsidRDefault="00715FAA" w:rsidP="00696E8F">
            <w:pPr>
              <w:rPr>
                <w:rFonts w:cs="Arial"/>
                <w:color w:val="000000"/>
              </w:rPr>
            </w:pPr>
            <w:r w:rsidRPr="00614ED2">
              <w:rPr>
                <w:rFonts w:cs="Arial"/>
                <w:color w:val="000000"/>
              </w:rPr>
              <w:t>0DBP8ZZ</w:t>
            </w:r>
          </w:p>
        </w:tc>
        <w:tc>
          <w:tcPr>
            <w:tcW w:w="7560" w:type="dxa"/>
            <w:noWrap/>
            <w:vAlign w:val="center"/>
            <w:hideMark/>
          </w:tcPr>
          <w:p w14:paraId="4D65F694" w14:textId="77777777" w:rsidR="00715FAA" w:rsidRPr="00614ED2" w:rsidRDefault="00715FAA" w:rsidP="00696E8F">
            <w:pPr>
              <w:rPr>
                <w:rFonts w:cs="Arial"/>
                <w:color w:val="000000"/>
              </w:rPr>
            </w:pPr>
            <w:r w:rsidRPr="00614ED2">
              <w:rPr>
                <w:rFonts w:cs="Arial"/>
                <w:color w:val="000000"/>
              </w:rPr>
              <w:t>Excision of rectum, via natural or artificial opening endoscopic</w:t>
            </w:r>
          </w:p>
        </w:tc>
      </w:tr>
      <w:tr w:rsidR="00715FAA" w:rsidRPr="00614ED2" w14:paraId="702B8AC7" w14:textId="77777777" w:rsidTr="00696E8F">
        <w:trPr>
          <w:trHeight w:val="300"/>
        </w:trPr>
        <w:tc>
          <w:tcPr>
            <w:tcW w:w="1872" w:type="dxa"/>
            <w:noWrap/>
            <w:vAlign w:val="center"/>
            <w:hideMark/>
          </w:tcPr>
          <w:p w14:paraId="4031D5DE" w14:textId="77777777" w:rsidR="00715FAA" w:rsidRPr="00614ED2" w:rsidRDefault="00715FAA" w:rsidP="00696E8F">
            <w:pPr>
              <w:rPr>
                <w:rFonts w:cs="Arial"/>
                <w:color w:val="000000"/>
              </w:rPr>
            </w:pPr>
            <w:r w:rsidRPr="00614ED2">
              <w:rPr>
                <w:rFonts w:cs="Arial"/>
                <w:color w:val="000000"/>
              </w:rPr>
              <w:t>0DTP0ZZ</w:t>
            </w:r>
          </w:p>
        </w:tc>
        <w:tc>
          <w:tcPr>
            <w:tcW w:w="7560" w:type="dxa"/>
            <w:noWrap/>
            <w:vAlign w:val="center"/>
            <w:hideMark/>
          </w:tcPr>
          <w:p w14:paraId="52E6828F" w14:textId="77777777" w:rsidR="00715FAA" w:rsidRPr="00614ED2" w:rsidRDefault="00715FAA" w:rsidP="00696E8F">
            <w:pPr>
              <w:rPr>
                <w:rFonts w:cs="Arial"/>
                <w:color w:val="000000"/>
              </w:rPr>
            </w:pPr>
            <w:r w:rsidRPr="00614ED2">
              <w:rPr>
                <w:rFonts w:cs="Arial"/>
                <w:color w:val="000000"/>
              </w:rPr>
              <w:t>Resection of Rectum, Open Approach</w:t>
            </w:r>
          </w:p>
        </w:tc>
      </w:tr>
      <w:tr w:rsidR="00715FAA" w:rsidRPr="00614ED2" w14:paraId="01B5EC9F" w14:textId="77777777" w:rsidTr="00696E8F">
        <w:trPr>
          <w:trHeight w:val="300"/>
        </w:trPr>
        <w:tc>
          <w:tcPr>
            <w:tcW w:w="1872" w:type="dxa"/>
            <w:noWrap/>
            <w:vAlign w:val="center"/>
            <w:hideMark/>
          </w:tcPr>
          <w:p w14:paraId="5177E489" w14:textId="77777777" w:rsidR="00715FAA" w:rsidRPr="00614ED2" w:rsidRDefault="00715FAA" w:rsidP="00696E8F">
            <w:pPr>
              <w:rPr>
                <w:rFonts w:cs="Arial"/>
                <w:color w:val="000000"/>
              </w:rPr>
            </w:pPr>
            <w:r w:rsidRPr="00614ED2">
              <w:rPr>
                <w:rFonts w:cs="Arial"/>
                <w:color w:val="000000"/>
              </w:rPr>
              <w:t>0DTP4ZZ</w:t>
            </w:r>
          </w:p>
        </w:tc>
        <w:tc>
          <w:tcPr>
            <w:tcW w:w="7560" w:type="dxa"/>
            <w:noWrap/>
            <w:vAlign w:val="center"/>
            <w:hideMark/>
          </w:tcPr>
          <w:p w14:paraId="7F873980" w14:textId="77777777" w:rsidR="00715FAA" w:rsidRPr="00614ED2" w:rsidRDefault="00715FAA" w:rsidP="00696E8F">
            <w:pPr>
              <w:rPr>
                <w:rFonts w:cs="Arial"/>
                <w:color w:val="000000"/>
              </w:rPr>
            </w:pPr>
            <w:r w:rsidRPr="00614ED2">
              <w:rPr>
                <w:rFonts w:cs="Arial"/>
                <w:color w:val="000000"/>
              </w:rPr>
              <w:t>Resection of Rectum, Percutaneous Endoscopic Approach</w:t>
            </w:r>
          </w:p>
        </w:tc>
      </w:tr>
      <w:tr w:rsidR="00715FAA" w:rsidRPr="00614ED2" w14:paraId="7B018107" w14:textId="77777777" w:rsidTr="00696E8F">
        <w:trPr>
          <w:trHeight w:val="300"/>
        </w:trPr>
        <w:tc>
          <w:tcPr>
            <w:tcW w:w="1872" w:type="dxa"/>
            <w:noWrap/>
            <w:vAlign w:val="center"/>
            <w:hideMark/>
          </w:tcPr>
          <w:p w14:paraId="3B4352D3" w14:textId="77777777" w:rsidR="00715FAA" w:rsidRPr="00614ED2" w:rsidRDefault="00715FAA" w:rsidP="00696E8F">
            <w:pPr>
              <w:rPr>
                <w:rFonts w:cs="Arial"/>
                <w:color w:val="000000"/>
              </w:rPr>
            </w:pPr>
            <w:r w:rsidRPr="00614ED2">
              <w:rPr>
                <w:rFonts w:cs="Arial"/>
                <w:color w:val="000000"/>
              </w:rPr>
              <w:t>0DTP7ZZ</w:t>
            </w:r>
          </w:p>
        </w:tc>
        <w:tc>
          <w:tcPr>
            <w:tcW w:w="7560" w:type="dxa"/>
            <w:noWrap/>
            <w:vAlign w:val="center"/>
            <w:hideMark/>
          </w:tcPr>
          <w:p w14:paraId="20CD31F0" w14:textId="77777777" w:rsidR="00715FAA" w:rsidRPr="00614ED2" w:rsidRDefault="00715FAA" w:rsidP="00696E8F">
            <w:pPr>
              <w:rPr>
                <w:rFonts w:cs="Arial"/>
                <w:color w:val="000000"/>
              </w:rPr>
            </w:pPr>
            <w:r w:rsidRPr="00614ED2">
              <w:rPr>
                <w:rFonts w:cs="Arial"/>
                <w:color w:val="000000"/>
              </w:rPr>
              <w:t>Resection of Rectum, Via Natural or Artificial Opening</w:t>
            </w:r>
          </w:p>
        </w:tc>
      </w:tr>
      <w:tr w:rsidR="00715FAA" w:rsidRPr="00614ED2" w14:paraId="18156B24" w14:textId="77777777" w:rsidTr="00696E8F">
        <w:trPr>
          <w:trHeight w:val="300"/>
        </w:trPr>
        <w:tc>
          <w:tcPr>
            <w:tcW w:w="1872" w:type="dxa"/>
            <w:noWrap/>
            <w:vAlign w:val="center"/>
            <w:hideMark/>
          </w:tcPr>
          <w:p w14:paraId="03BFD645" w14:textId="77777777" w:rsidR="00715FAA" w:rsidRPr="00614ED2" w:rsidRDefault="00715FAA" w:rsidP="00696E8F">
            <w:pPr>
              <w:rPr>
                <w:rFonts w:cs="Arial"/>
                <w:color w:val="000000"/>
              </w:rPr>
            </w:pPr>
            <w:r w:rsidRPr="00614ED2">
              <w:rPr>
                <w:rFonts w:cs="Arial"/>
                <w:color w:val="000000"/>
              </w:rPr>
              <w:t>0DTP8ZZ</w:t>
            </w:r>
          </w:p>
        </w:tc>
        <w:tc>
          <w:tcPr>
            <w:tcW w:w="7560" w:type="dxa"/>
            <w:noWrap/>
            <w:vAlign w:val="center"/>
            <w:hideMark/>
          </w:tcPr>
          <w:p w14:paraId="718BB7C1" w14:textId="77777777" w:rsidR="00715FAA" w:rsidRPr="00614ED2" w:rsidRDefault="00715FAA" w:rsidP="00696E8F">
            <w:pPr>
              <w:rPr>
                <w:rFonts w:cs="Arial"/>
                <w:color w:val="000000"/>
              </w:rPr>
            </w:pPr>
            <w:r w:rsidRPr="00614ED2">
              <w:rPr>
                <w:rFonts w:cs="Arial"/>
                <w:color w:val="000000"/>
              </w:rPr>
              <w:t>Resection of Rectum, Via Natural or Artificial Opening Endoscopic</w:t>
            </w:r>
          </w:p>
        </w:tc>
      </w:tr>
    </w:tbl>
    <w:p w14:paraId="08BBF9A8" w14:textId="77777777" w:rsidR="000E1EAA" w:rsidRPr="009A5185" w:rsidRDefault="000E1EAA" w:rsidP="000E1EAA">
      <w:pPr>
        <w:rPr>
          <w:rFonts w:cs="Arial"/>
          <w:b/>
        </w:rPr>
      </w:pPr>
    </w:p>
    <w:p w14:paraId="2E6550A3" w14:textId="77777777" w:rsidR="000E1EAA" w:rsidRPr="009A5185" w:rsidRDefault="000E1EAA" w:rsidP="000E1EAA">
      <w:pPr>
        <w:rPr>
          <w:rFonts w:cs="Arial"/>
          <w:b/>
        </w:rPr>
      </w:pPr>
      <w:r w:rsidRPr="009A5185">
        <w:rPr>
          <w:rFonts w:cs="Arial"/>
          <w:b/>
        </w:rPr>
        <w:t>ICD-10 Malignant Tumor</w:t>
      </w:r>
      <w:r w:rsidR="003A2BAB">
        <w:rPr>
          <w:rFonts w:cs="Arial"/>
          <w:b/>
        </w:rPr>
        <w:t xml:space="preserve"> and Carcinoma in Situ</w:t>
      </w:r>
      <w:r w:rsidRPr="009A5185">
        <w:rPr>
          <w:rFonts w:cs="Arial"/>
          <w:b/>
        </w:rPr>
        <w:t xml:space="preserve"> Diagnosis Codes</w:t>
      </w:r>
    </w:p>
    <w:p w14:paraId="7FD3564D" w14:textId="77777777" w:rsidR="000E1EAA" w:rsidRPr="009A5185" w:rsidRDefault="000E1EAA" w:rsidP="000E1EAA">
      <w:pPr>
        <w:rPr>
          <w:rFonts w:cs="Arial"/>
          <w:b/>
        </w:rPr>
      </w:pPr>
    </w:p>
    <w:tbl>
      <w:tblPr>
        <w:tblStyle w:val="TableGrid"/>
        <w:tblW w:w="9432" w:type="dxa"/>
        <w:tblLook w:val="04A0" w:firstRow="1" w:lastRow="0" w:firstColumn="1" w:lastColumn="0" w:noHBand="0" w:noVBand="1"/>
      </w:tblPr>
      <w:tblGrid>
        <w:gridCol w:w="1872"/>
        <w:gridCol w:w="7560"/>
      </w:tblGrid>
      <w:tr w:rsidR="00715FAA" w:rsidRPr="0004317D" w14:paraId="38DFBCD9" w14:textId="77777777" w:rsidTr="00696E8F">
        <w:trPr>
          <w:trHeight w:val="432"/>
        </w:trPr>
        <w:tc>
          <w:tcPr>
            <w:tcW w:w="1872" w:type="dxa"/>
            <w:shd w:val="clear" w:color="auto" w:fill="BFBFBF" w:themeFill="background1" w:themeFillShade="BF"/>
            <w:noWrap/>
            <w:vAlign w:val="center"/>
          </w:tcPr>
          <w:p w14:paraId="69A2C70C" w14:textId="77777777" w:rsidR="00715FAA" w:rsidRPr="0004317D" w:rsidRDefault="00715FAA" w:rsidP="00696E8F">
            <w:pPr>
              <w:rPr>
                <w:rFonts w:cs="Arial"/>
                <w:color w:val="000000"/>
              </w:rPr>
            </w:pPr>
            <w:r w:rsidRPr="0004317D">
              <w:rPr>
                <w:rFonts w:cs="Arial"/>
                <w:b/>
                <w:bCs/>
                <w:color w:val="000000"/>
              </w:rPr>
              <w:t>ICD</w:t>
            </w:r>
            <w:r>
              <w:rPr>
                <w:rFonts w:cs="Arial"/>
                <w:b/>
                <w:bCs/>
                <w:color w:val="000000"/>
              </w:rPr>
              <w:t>-</w:t>
            </w:r>
            <w:r w:rsidRPr="0004317D">
              <w:rPr>
                <w:rFonts w:cs="Arial"/>
                <w:b/>
                <w:bCs/>
                <w:color w:val="000000"/>
              </w:rPr>
              <w:t>10 Diagnosis Code</w:t>
            </w:r>
          </w:p>
        </w:tc>
        <w:tc>
          <w:tcPr>
            <w:tcW w:w="7560" w:type="dxa"/>
            <w:shd w:val="clear" w:color="auto" w:fill="BFBFBF" w:themeFill="background1" w:themeFillShade="BF"/>
            <w:vAlign w:val="center"/>
          </w:tcPr>
          <w:p w14:paraId="24BB19F6" w14:textId="77777777" w:rsidR="00715FAA" w:rsidRPr="0004317D" w:rsidRDefault="00715FAA" w:rsidP="00696E8F">
            <w:pPr>
              <w:rPr>
                <w:rFonts w:cs="Arial"/>
                <w:color w:val="000000"/>
              </w:rPr>
            </w:pPr>
            <w:r w:rsidRPr="0004317D">
              <w:rPr>
                <w:rFonts w:cs="Arial"/>
                <w:b/>
              </w:rPr>
              <w:t>Code Description</w:t>
            </w:r>
          </w:p>
        </w:tc>
      </w:tr>
      <w:tr w:rsidR="00715FAA" w:rsidRPr="00614ED2" w14:paraId="71A86711" w14:textId="77777777" w:rsidTr="00696E8F">
        <w:trPr>
          <w:trHeight w:val="300"/>
        </w:trPr>
        <w:tc>
          <w:tcPr>
            <w:tcW w:w="1872" w:type="dxa"/>
            <w:noWrap/>
            <w:vAlign w:val="center"/>
            <w:hideMark/>
          </w:tcPr>
          <w:p w14:paraId="7A5C996F" w14:textId="77777777" w:rsidR="00715FAA" w:rsidRPr="00614ED2" w:rsidRDefault="00715FAA" w:rsidP="00696E8F">
            <w:pPr>
              <w:rPr>
                <w:rFonts w:cs="Arial"/>
                <w:color w:val="000000"/>
              </w:rPr>
            </w:pPr>
            <w:r w:rsidRPr="00614ED2">
              <w:rPr>
                <w:rFonts w:cs="Arial"/>
                <w:color w:val="000000"/>
              </w:rPr>
              <w:t>C19</w:t>
            </w:r>
          </w:p>
        </w:tc>
        <w:tc>
          <w:tcPr>
            <w:tcW w:w="7560" w:type="dxa"/>
            <w:noWrap/>
            <w:vAlign w:val="center"/>
            <w:hideMark/>
          </w:tcPr>
          <w:p w14:paraId="4D7737E7" w14:textId="77777777" w:rsidR="00715FAA" w:rsidRPr="00614ED2" w:rsidRDefault="00715FAA" w:rsidP="00696E8F">
            <w:pPr>
              <w:rPr>
                <w:rFonts w:cs="Arial"/>
                <w:color w:val="000000"/>
              </w:rPr>
            </w:pPr>
            <w:r w:rsidRPr="00614ED2">
              <w:rPr>
                <w:rFonts w:cs="Arial"/>
                <w:color w:val="000000"/>
              </w:rPr>
              <w:t>Malignant neoplasm of rectosigmoid junction</w:t>
            </w:r>
          </w:p>
        </w:tc>
      </w:tr>
      <w:tr w:rsidR="00715FAA" w:rsidRPr="00614ED2" w14:paraId="5389E980" w14:textId="77777777" w:rsidTr="00696E8F">
        <w:trPr>
          <w:trHeight w:val="300"/>
        </w:trPr>
        <w:tc>
          <w:tcPr>
            <w:tcW w:w="1872" w:type="dxa"/>
            <w:noWrap/>
            <w:vAlign w:val="center"/>
            <w:hideMark/>
          </w:tcPr>
          <w:p w14:paraId="6486E252" w14:textId="77777777" w:rsidR="00715FAA" w:rsidRPr="00614ED2" w:rsidRDefault="00715FAA" w:rsidP="00696E8F">
            <w:pPr>
              <w:rPr>
                <w:rFonts w:cs="Arial"/>
                <w:color w:val="000000"/>
              </w:rPr>
            </w:pPr>
            <w:r w:rsidRPr="00614ED2">
              <w:rPr>
                <w:rFonts w:cs="Arial"/>
                <w:color w:val="000000"/>
              </w:rPr>
              <w:t>C20</w:t>
            </w:r>
          </w:p>
        </w:tc>
        <w:tc>
          <w:tcPr>
            <w:tcW w:w="7560" w:type="dxa"/>
            <w:noWrap/>
            <w:vAlign w:val="center"/>
            <w:hideMark/>
          </w:tcPr>
          <w:p w14:paraId="25A55A67" w14:textId="77777777" w:rsidR="00715FAA" w:rsidRPr="00614ED2" w:rsidRDefault="00715FAA" w:rsidP="00696E8F">
            <w:pPr>
              <w:rPr>
                <w:rFonts w:cs="Arial"/>
                <w:color w:val="000000"/>
              </w:rPr>
            </w:pPr>
            <w:r w:rsidRPr="00614ED2">
              <w:rPr>
                <w:rFonts w:cs="Arial"/>
                <w:color w:val="000000"/>
              </w:rPr>
              <w:t>Malignant neoplasm of rectum</w:t>
            </w:r>
          </w:p>
        </w:tc>
      </w:tr>
      <w:tr w:rsidR="00715FAA" w:rsidRPr="00614ED2" w14:paraId="65EA73D5" w14:textId="77777777" w:rsidTr="00696E8F">
        <w:trPr>
          <w:trHeight w:val="300"/>
        </w:trPr>
        <w:tc>
          <w:tcPr>
            <w:tcW w:w="1872" w:type="dxa"/>
            <w:noWrap/>
            <w:vAlign w:val="center"/>
            <w:hideMark/>
          </w:tcPr>
          <w:p w14:paraId="6CCFA34C" w14:textId="77777777" w:rsidR="00715FAA" w:rsidRPr="00614ED2" w:rsidRDefault="00715FAA" w:rsidP="00696E8F">
            <w:pPr>
              <w:rPr>
                <w:rFonts w:cs="Arial"/>
                <w:color w:val="000000"/>
              </w:rPr>
            </w:pPr>
            <w:r w:rsidRPr="00614ED2">
              <w:rPr>
                <w:rFonts w:cs="Arial"/>
                <w:color w:val="000000"/>
              </w:rPr>
              <w:t>C21.0</w:t>
            </w:r>
          </w:p>
        </w:tc>
        <w:tc>
          <w:tcPr>
            <w:tcW w:w="7560" w:type="dxa"/>
            <w:noWrap/>
            <w:vAlign w:val="center"/>
            <w:hideMark/>
          </w:tcPr>
          <w:p w14:paraId="74B8859B" w14:textId="77777777" w:rsidR="00715FAA" w:rsidRPr="00614ED2" w:rsidRDefault="00715FAA" w:rsidP="00696E8F">
            <w:pPr>
              <w:rPr>
                <w:rFonts w:cs="Arial"/>
                <w:color w:val="000000"/>
              </w:rPr>
            </w:pPr>
            <w:r w:rsidRPr="00614ED2">
              <w:rPr>
                <w:rFonts w:cs="Arial"/>
                <w:color w:val="000000"/>
              </w:rPr>
              <w:t>Malignant neoplasm of anus, unspecified</w:t>
            </w:r>
          </w:p>
        </w:tc>
      </w:tr>
      <w:tr w:rsidR="00715FAA" w:rsidRPr="00614ED2" w14:paraId="0DCCB721" w14:textId="77777777" w:rsidTr="00696E8F">
        <w:trPr>
          <w:trHeight w:val="300"/>
        </w:trPr>
        <w:tc>
          <w:tcPr>
            <w:tcW w:w="1872" w:type="dxa"/>
            <w:noWrap/>
            <w:vAlign w:val="center"/>
            <w:hideMark/>
          </w:tcPr>
          <w:p w14:paraId="6E6A9B33" w14:textId="77777777" w:rsidR="00715FAA" w:rsidRPr="00614ED2" w:rsidRDefault="00715FAA" w:rsidP="00696E8F">
            <w:pPr>
              <w:rPr>
                <w:rFonts w:cs="Arial"/>
              </w:rPr>
            </w:pPr>
            <w:r w:rsidRPr="00614ED2">
              <w:rPr>
                <w:rFonts w:cs="Arial"/>
              </w:rPr>
              <w:t>C21.1    </w:t>
            </w:r>
          </w:p>
        </w:tc>
        <w:tc>
          <w:tcPr>
            <w:tcW w:w="7560" w:type="dxa"/>
            <w:noWrap/>
            <w:vAlign w:val="center"/>
            <w:hideMark/>
          </w:tcPr>
          <w:p w14:paraId="0AD0F827" w14:textId="77777777" w:rsidR="00715FAA" w:rsidRPr="00614ED2" w:rsidRDefault="00715FAA" w:rsidP="00696E8F">
            <w:pPr>
              <w:rPr>
                <w:rFonts w:cs="Arial"/>
                <w:color w:val="000000"/>
              </w:rPr>
            </w:pPr>
            <w:r w:rsidRPr="00614ED2">
              <w:rPr>
                <w:rFonts w:cs="Arial"/>
                <w:color w:val="000000"/>
              </w:rPr>
              <w:t>Malignant neoplasm of anal canal</w:t>
            </w:r>
          </w:p>
        </w:tc>
      </w:tr>
      <w:tr w:rsidR="00715FAA" w:rsidRPr="00614ED2" w14:paraId="7185CA8A" w14:textId="77777777" w:rsidTr="00696E8F">
        <w:trPr>
          <w:trHeight w:val="300"/>
        </w:trPr>
        <w:tc>
          <w:tcPr>
            <w:tcW w:w="1872" w:type="dxa"/>
            <w:noWrap/>
            <w:vAlign w:val="center"/>
            <w:hideMark/>
          </w:tcPr>
          <w:p w14:paraId="019A20FE" w14:textId="77777777" w:rsidR="00715FAA" w:rsidRPr="00614ED2" w:rsidRDefault="00715FAA" w:rsidP="00696E8F">
            <w:pPr>
              <w:rPr>
                <w:rFonts w:cs="Arial"/>
              </w:rPr>
            </w:pPr>
            <w:r w:rsidRPr="00614ED2">
              <w:rPr>
                <w:rFonts w:cs="Arial"/>
              </w:rPr>
              <w:t>C21.2    </w:t>
            </w:r>
          </w:p>
        </w:tc>
        <w:tc>
          <w:tcPr>
            <w:tcW w:w="7560" w:type="dxa"/>
            <w:noWrap/>
            <w:vAlign w:val="center"/>
            <w:hideMark/>
          </w:tcPr>
          <w:p w14:paraId="10F06600" w14:textId="77777777" w:rsidR="00715FAA" w:rsidRPr="00614ED2" w:rsidRDefault="00715FAA" w:rsidP="00696E8F">
            <w:pPr>
              <w:rPr>
                <w:rFonts w:cs="Arial"/>
                <w:color w:val="000000"/>
              </w:rPr>
            </w:pPr>
            <w:r w:rsidRPr="00614ED2">
              <w:rPr>
                <w:rFonts w:cs="Arial"/>
                <w:color w:val="000000"/>
              </w:rPr>
              <w:t xml:space="preserve">Malignant neoplasm of </w:t>
            </w:r>
            <w:proofErr w:type="spellStart"/>
            <w:r w:rsidRPr="00614ED2">
              <w:rPr>
                <w:rFonts w:cs="Arial"/>
                <w:color w:val="000000"/>
              </w:rPr>
              <w:t>cloacogenic</w:t>
            </w:r>
            <w:proofErr w:type="spellEnd"/>
            <w:r w:rsidRPr="00614ED2">
              <w:rPr>
                <w:rFonts w:cs="Arial"/>
                <w:color w:val="000000"/>
              </w:rPr>
              <w:t xml:space="preserve"> zone</w:t>
            </w:r>
          </w:p>
        </w:tc>
      </w:tr>
      <w:tr w:rsidR="00715FAA" w:rsidRPr="00614ED2" w14:paraId="6ACE098A" w14:textId="77777777" w:rsidTr="00696E8F">
        <w:trPr>
          <w:trHeight w:val="300"/>
        </w:trPr>
        <w:tc>
          <w:tcPr>
            <w:tcW w:w="1872" w:type="dxa"/>
            <w:noWrap/>
            <w:vAlign w:val="center"/>
            <w:hideMark/>
          </w:tcPr>
          <w:p w14:paraId="34B812D9" w14:textId="77777777" w:rsidR="00715FAA" w:rsidRPr="00614ED2" w:rsidRDefault="00715FAA" w:rsidP="00696E8F">
            <w:pPr>
              <w:rPr>
                <w:rFonts w:cs="Arial"/>
                <w:color w:val="000000"/>
              </w:rPr>
            </w:pPr>
            <w:r w:rsidRPr="00614ED2">
              <w:rPr>
                <w:rFonts w:cs="Arial"/>
                <w:color w:val="000000"/>
              </w:rPr>
              <w:t>C21.8</w:t>
            </w:r>
          </w:p>
        </w:tc>
        <w:tc>
          <w:tcPr>
            <w:tcW w:w="7560" w:type="dxa"/>
            <w:noWrap/>
            <w:vAlign w:val="center"/>
            <w:hideMark/>
          </w:tcPr>
          <w:p w14:paraId="14B7D0B2" w14:textId="77777777" w:rsidR="00715FAA" w:rsidRPr="00614ED2" w:rsidRDefault="00715FAA" w:rsidP="00696E8F">
            <w:pPr>
              <w:rPr>
                <w:rFonts w:cs="Arial"/>
                <w:color w:val="000000"/>
              </w:rPr>
            </w:pPr>
            <w:r w:rsidRPr="00614ED2">
              <w:rPr>
                <w:rFonts w:cs="Arial"/>
                <w:color w:val="000000"/>
              </w:rPr>
              <w:t>Malignant neoplasm of overlapping sites of rectum, anus and anal canal</w:t>
            </w:r>
          </w:p>
        </w:tc>
      </w:tr>
      <w:tr w:rsidR="00715FAA" w:rsidRPr="00614ED2" w14:paraId="4B8C20FC" w14:textId="77777777" w:rsidTr="00696E8F">
        <w:trPr>
          <w:trHeight w:val="300"/>
        </w:trPr>
        <w:tc>
          <w:tcPr>
            <w:tcW w:w="1872" w:type="dxa"/>
            <w:noWrap/>
            <w:vAlign w:val="center"/>
            <w:hideMark/>
          </w:tcPr>
          <w:p w14:paraId="7D50DAE8" w14:textId="77777777" w:rsidR="00715FAA" w:rsidRPr="00614ED2" w:rsidRDefault="00715FAA" w:rsidP="00696E8F">
            <w:pPr>
              <w:rPr>
                <w:rFonts w:cs="Arial"/>
                <w:color w:val="000000"/>
              </w:rPr>
            </w:pPr>
            <w:r w:rsidRPr="00614ED2">
              <w:rPr>
                <w:rFonts w:cs="Arial"/>
                <w:color w:val="000000"/>
              </w:rPr>
              <w:t>C78.5</w:t>
            </w:r>
          </w:p>
        </w:tc>
        <w:tc>
          <w:tcPr>
            <w:tcW w:w="7560" w:type="dxa"/>
            <w:noWrap/>
            <w:vAlign w:val="center"/>
            <w:hideMark/>
          </w:tcPr>
          <w:p w14:paraId="21EAE627" w14:textId="77777777" w:rsidR="00715FAA" w:rsidRPr="00614ED2" w:rsidRDefault="00715FAA" w:rsidP="00696E8F">
            <w:pPr>
              <w:rPr>
                <w:rFonts w:cs="Arial"/>
                <w:color w:val="000000"/>
              </w:rPr>
            </w:pPr>
            <w:r w:rsidRPr="00614ED2">
              <w:rPr>
                <w:rFonts w:cs="Arial"/>
                <w:color w:val="000000"/>
              </w:rPr>
              <w:t>Secondary malignant neoplasm of large intestine and rectum</w:t>
            </w:r>
          </w:p>
        </w:tc>
      </w:tr>
      <w:tr w:rsidR="00715FAA" w:rsidRPr="00614ED2" w14:paraId="662857B1" w14:textId="77777777" w:rsidTr="00696E8F">
        <w:trPr>
          <w:trHeight w:val="300"/>
        </w:trPr>
        <w:tc>
          <w:tcPr>
            <w:tcW w:w="1872" w:type="dxa"/>
            <w:noWrap/>
            <w:vAlign w:val="center"/>
            <w:hideMark/>
          </w:tcPr>
          <w:p w14:paraId="59DA53F0" w14:textId="77777777" w:rsidR="00715FAA" w:rsidRPr="00614ED2" w:rsidRDefault="00715FAA" w:rsidP="00696E8F">
            <w:pPr>
              <w:rPr>
                <w:rFonts w:cs="Arial"/>
                <w:color w:val="000000"/>
              </w:rPr>
            </w:pPr>
            <w:r w:rsidRPr="00614ED2">
              <w:rPr>
                <w:rFonts w:cs="Arial"/>
                <w:color w:val="000000"/>
              </w:rPr>
              <w:t>D01</w:t>
            </w:r>
            <w:r w:rsidR="00381638">
              <w:rPr>
                <w:rFonts w:cs="Arial"/>
                <w:color w:val="000000"/>
              </w:rPr>
              <w:t>.</w:t>
            </w:r>
            <w:r w:rsidRPr="00614ED2">
              <w:rPr>
                <w:rFonts w:cs="Arial"/>
                <w:color w:val="000000"/>
              </w:rPr>
              <w:t>1</w:t>
            </w:r>
          </w:p>
        </w:tc>
        <w:tc>
          <w:tcPr>
            <w:tcW w:w="7560" w:type="dxa"/>
            <w:noWrap/>
            <w:vAlign w:val="center"/>
            <w:hideMark/>
          </w:tcPr>
          <w:p w14:paraId="27D309B6" w14:textId="77777777" w:rsidR="00715FAA" w:rsidRPr="00614ED2" w:rsidRDefault="00715FAA" w:rsidP="00696E8F">
            <w:pPr>
              <w:rPr>
                <w:rFonts w:cs="Arial"/>
                <w:color w:val="000000"/>
              </w:rPr>
            </w:pPr>
            <w:r w:rsidRPr="00614ED2">
              <w:rPr>
                <w:rFonts w:cs="Arial"/>
                <w:color w:val="000000"/>
              </w:rPr>
              <w:t>Carcinoma in situ of rectosigmoid junction</w:t>
            </w:r>
          </w:p>
        </w:tc>
      </w:tr>
      <w:tr w:rsidR="00715FAA" w:rsidRPr="00614ED2" w14:paraId="4E02287F" w14:textId="77777777" w:rsidTr="00696E8F">
        <w:trPr>
          <w:trHeight w:val="300"/>
        </w:trPr>
        <w:tc>
          <w:tcPr>
            <w:tcW w:w="1872" w:type="dxa"/>
            <w:noWrap/>
            <w:vAlign w:val="center"/>
            <w:hideMark/>
          </w:tcPr>
          <w:p w14:paraId="34B91391" w14:textId="77777777" w:rsidR="00715FAA" w:rsidRPr="00614ED2" w:rsidRDefault="00715FAA" w:rsidP="00696E8F">
            <w:pPr>
              <w:rPr>
                <w:rFonts w:cs="Arial"/>
                <w:color w:val="000000"/>
              </w:rPr>
            </w:pPr>
            <w:r w:rsidRPr="00614ED2">
              <w:rPr>
                <w:rFonts w:cs="Arial"/>
                <w:color w:val="000000"/>
              </w:rPr>
              <w:t>D01</w:t>
            </w:r>
            <w:r w:rsidR="00381638">
              <w:rPr>
                <w:rFonts w:cs="Arial"/>
                <w:color w:val="000000"/>
              </w:rPr>
              <w:t>.</w:t>
            </w:r>
            <w:r w:rsidRPr="00614ED2">
              <w:rPr>
                <w:rFonts w:cs="Arial"/>
                <w:color w:val="000000"/>
              </w:rPr>
              <w:t>2</w:t>
            </w:r>
          </w:p>
        </w:tc>
        <w:tc>
          <w:tcPr>
            <w:tcW w:w="7560" w:type="dxa"/>
            <w:noWrap/>
            <w:vAlign w:val="center"/>
            <w:hideMark/>
          </w:tcPr>
          <w:p w14:paraId="3B307B97" w14:textId="77777777" w:rsidR="00715FAA" w:rsidRPr="00614ED2" w:rsidRDefault="00715FAA" w:rsidP="00696E8F">
            <w:pPr>
              <w:rPr>
                <w:rFonts w:cs="Arial"/>
                <w:color w:val="000000"/>
              </w:rPr>
            </w:pPr>
            <w:r w:rsidRPr="00614ED2">
              <w:rPr>
                <w:rFonts w:cs="Arial"/>
                <w:color w:val="000000"/>
              </w:rPr>
              <w:t>Carcinoma in situ of rectum</w:t>
            </w:r>
          </w:p>
        </w:tc>
      </w:tr>
      <w:tr w:rsidR="00715FAA" w:rsidRPr="00614ED2" w14:paraId="0DBC18D6" w14:textId="77777777" w:rsidTr="00696E8F">
        <w:trPr>
          <w:trHeight w:val="300"/>
        </w:trPr>
        <w:tc>
          <w:tcPr>
            <w:tcW w:w="1872" w:type="dxa"/>
            <w:noWrap/>
            <w:vAlign w:val="center"/>
            <w:hideMark/>
          </w:tcPr>
          <w:p w14:paraId="43D86568" w14:textId="77777777" w:rsidR="00715FAA" w:rsidRPr="00614ED2" w:rsidRDefault="00715FAA" w:rsidP="00696E8F">
            <w:pPr>
              <w:rPr>
                <w:rFonts w:cs="Arial"/>
                <w:color w:val="000000"/>
              </w:rPr>
            </w:pPr>
            <w:r w:rsidRPr="00614ED2">
              <w:rPr>
                <w:rFonts w:cs="Arial"/>
                <w:color w:val="000000"/>
              </w:rPr>
              <w:t>D01</w:t>
            </w:r>
            <w:r w:rsidR="00381638">
              <w:rPr>
                <w:rFonts w:cs="Arial"/>
                <w:color w:val="000000"/>
              </w:rPr>
              <w:t>.</w:t>
            </w:r>
            <w:r w:rsidRPr="00614ED2">
              <w:rPr>
                <w:rFonts w:cs="Arial"/>
                <w:color w:val="000000"/>
              </w:rPr>
              <w:t>3</w:t>
            </w:r>
          </w:p>
        </w:tc>
        <w:tc>
          <w:tcPr>
            <w:tcW w:w="7560" w:type="dxa"/>
            <w:noWrap/>
            <w:vAlign w:val="center"/>
            <w:hideMark/>
          </w:tcPr>
          <w:p w14:paraId="5FB71561" w14:textId="77777777" w:rsidR="00715FAA" w:rsidRPr="00614ED2" w:rsidRDefault="00715FAA" w:rsidP="00696E8F">
            <w:pPr>
              <w:rPr>
                <w:rFonts w:cs="Arial"/>
                <w:color w:val="000000"/>
              </w:rPr>
            </w:pPr>
            <w:r w:rsidRPr="00614ED2">
              <w:rPr>
                <w:rFonts w:cs="Arial"/>
                <w:color w:val="000000"/>
              </w:rPr>
              <w:t>Carcinoma in situ of anus and anal canal</w:t>
            </w:r>
          </w:p>
        </w:tc>
      </w:tr>
    </w:tbl>
    <w:p w14:paraId="0411811E" w14:textId="77777777" w:rsidR="000E1EAA" w:rsidRPr="009A5185" w:rsidRDefault="000E1EAA" w:rsidP="000E1EAA">
      <w:pPr>
        <w:rPr>
          <w:rFonts w:cs="Arial"/>
        </w:rPr>
      </w:pPr>
    </w:p>
    <w:p w14:paraId="2E93184B" w14:textId="77777777" w:rsidR="000E1EAA" w:rsidRPr="009A5185" w:rsidRDefault="000E1EAA" w:rsidP="000E1EAA">
      <w:pPr>
        <w:rPr>
          <w:rFonts w:cs="Arial"/>
        </w:rPr>
      </w:pPr>
    </w:p>
    <w:p w14:paraId="5C17B828" w14:textId="77777777" w:rsidR="00F13A61" w:rsidRPr="009A5185" w:rsidRDefault="00F13A61">
      <w:pPr>
        <w:rPr>
          <w:rFonts w:cs="Arial"/>
          <w:b/>
          <w:i/>
          <w:sz w:val="24"/>
          <w:szCs w:val="24"/>
          <w:lang w:eastAsia="ja-JP"/>
        </w:rPr>
      </w:pPr>
      <w:r w:rsidRPr="009A5185">
        <w:rPr>
          <w:rFonts w:cs="Arial"/>
        </w:rPr>
        <w:br w:type="page"/>
      </w:r>
    </w:p>
    <w:p w14:paraId="1500B83E" w14:textId="399B3C18" w:rsidR="00BC1491" w:rsidRPr="009A5185" w:rsidRDefault="00BC1491" w:rsidP="000C2C54">
      <w:pPr>
        <w:pStyle w:val="Heading44"/>
      </w:pPr>
      <w:bookmarkStart w:id="261" w:name="BariatricSurgery"/>
      <w:r w:rsidRPr="009A5185">
        <w:lastRenderedPageBreak/>
        <w:t xml:space="preserve">Bariatric Surgery for Weight Loss Measure </w:t>
      </w:r>
      <w:r w:rsidR="000765C6">
        <w:t>Specifications</w:t>
      </w:r>
    </w:p>
    <w:bookmarkEnd w:id="261"/>
    <w:p w14:paraId="57A8D09A" w14:textId="77777777" w:rsidR="00BC1491" w:rsidRPr="009A5185" w:rsidRDefault="00BC1491" w:rsidP="00BC1491">
      <w:pPr>
        <w:rPr>
          <w:rFonts w:cs="Arial"/>
        </w:rPr>
      </w:pPr>
    </w:p>
    <w:p w14:paraId="025798FD" w14:textId="6C1AEB88" w:rsidR="00BC1491" w:rsidRPr="009A5185" w:rsidRDefault="00BC1491" w:rsidP="00BC1491">
      <w:pPr>
        <w:rPr>
          <w:rFonts w:cs="Arial"/>
        </w:rPr>
      </w:pPr>
      <w:r w:rsidRPr="009A5185">
        <w:rPr>
          <w:rFonts w:cs="Arial"/>
        </w:rPr>
        <w:t xml:space="preserve">For </w:t>
      </w:r>
      <w:r w:rsidR="00363287" w:rsidRPr="009A5185">
        <w:rPr>
          <w:rFonts w:cs="Arial"/>
        </w:rPr>
        <w:t>bariatric surgery</w:t>
      </w:r>
      <w:r w:rsidR="00363287">
        <w:rPr>
          <w:rFonts w:cs="Arial"/>
        </w:rPr>
        <w:t xml:space="preserve"> for weight loss</w:t>
      </w:r>
      <w:r w:rsidRPr="009A5185">
        <w:rPr>
          <w:rFonts w:cs="Arial"/>
        </w:rPr>
        <w:t>, there are t</w:t>
      </w:r>
      <w:r w:rsidR="00541516">
        <w:rPr>
          <w:rFonts w:cs="Arial"/>
        </w:rPr>
        <w:t>hree</w:t>
      </w:r>
      <w:r w:rsidRPr="009A5185">
        <w:rPr>
          <w:rFonts w:cs="Arial"/>
        </w:rPr>
        <w:t xml:space="preserve"> sets of </w:t>
      </w:r>
      <w:r w:rsidR="006234F0">
        <w:rPr>
          <w:rFonts w:cs="Arial"/>
        </w:rPr>
        <w:t>codes</w:t>
      </w:r>
      <w:r w:rsidR="00541516">
        <w:rPr>
          <w:rFonts w:cs="Arial"/>
        </w:rPr>
        <w:t>. One set of ICD-10 codes</w:t>
      </w:r>
      <w:r w:rsidR="006234F0">
        <w:rPr>
          <w:rFonts w:cs="Arial"/>
        </w:rPr>
        <w:t xml:space="preserve"> for counting </w:t>
      </w:r>
      <w:r w:rsidR="00541516">
        <w:rPr>
          <w:rFonts w:cs="Arial"/>
        </w:rPr>
        <w:t>in</w:t>
      </w:r>
      <w:r w:rsidR="006234F0">
        <w:rPr>
          <w:rFonts w:cs="Arial"/>
        </w:rPr>
        <w:t>patient discharges</w:t>
      </w:r>
      <w:r w:rsidR="00541516">
        <w:rPr>
          <w:rFonts w:cs="Arial"/>
        </w:rPr>
        <w:t xml:space="preserve"> and one set of CPT codes for counting outpatient discharges</w:t>
      </w:r>
      <w:r w:rsidRPr="009A5185">
        <w:rPr>
          <w:rFonts w:cs="Arial"/>
        </w:rPr>
        <w:t xml:space="preserve">. The first </w:t>
      </w:r>
      <w:r w:rsidR="00541516">
        <w:rPr>
          <w:rFonts w:cs="Arial"/>
        </w:rPr>
        <w:t xml:space="preserve">two </w:t>
      </w:r>
      <w:r w:rsidRPr="009A5185">
        <w:rPr>
          <w:rFonts w:cs="Arial"/>
        </w:rPr>
        <w:t>set</w:t>
      </w:r>
      <w:r w:rsidR="00541516">
        <w:rPr>
          <w:rFonts w:cs="Arial"/>
        </w:rPr>
        <w:t>s</w:t>
      </w:r>
      <w:r w:rsidRPr="009A5185">
        <w:rPr>
          <w:rFonts w:cs="Arial"/>
        </w:rPr>
        <w:t xml:space="preserve"> of codes </w:t>
      </w:r>
      <w:r w:rsidR="00541516">
        <w:rPr>
          <w:rFonts w:cs="Arial"/>
        </w:rPr>
        <w:t>are</w:t>
      </w:r>
      <w:r w:rsidRPr="009A5185">
        <w:rPr>
          <w:rFonts w:cs="Arial"/>
        </w:rPr>
        <w:t xml:space="preserve"> to identify patients who have had the procedure. </w:t>
      </w:r>
      <w:r w:rsidR="00D7330E" w:rsidRPr="009A5185">
        <w:rPr>
          <w:rFonts w:cs="Arial"/>
        </w:rPr>
        <w:t xml:space="preserve">The </w:t>
      </w:r>
      <w:r w:rsidR="00541516">
        <w:rPr>
          <w:rFonts w:cs="Arial"/>
        </w:rPr>
        <w:t>third</w:t>
      </w:r>
      <w:r w:rsidR="00541516" w:rsidRPr="009A5185">
        <w:rPr>
          <w:rFonts w:cs="Arial"/>
        </w:rPr>
        <w:t xml:space="preserve"> </w:t>
      </w:r>
      <w:r w:rsidR="00D7330E" w:rsidRPr="009A5185">
        <w:rPr>
          <w:rFonts w:cs="Arial"/>
        </w:rPr>
        <w:t xml:space="preserve">set of codes </w:t>
      </w:r>
      <w:r w:rsidR="00541516">
        <w:rPr>
          <w:rFonts w:cs="Arial"/>
        </w:rPr>
        <w:t xml:space="preserve">(ICD-10 diagnosis codes) </w:t>
      </w:r>
      <w:r w:rsidRPr="009A5185">
        <w:rPr>
          <w:rFonts w:cs="Arial"/>
        </w:rPr>
        <w:t>is to identify patient</w:t>
      </w:r>
      <w:r w:rsidR="009B3ACE" w:rsidRPr="009A5185">
        <w:rPr>
          <w:rFonts w:cs="Arial"/>
        </w:rPr>
        <w:t>s</w:t>
      </w:r>
      <w:r w:rsidRPr="009A5185">
        <w:rPr>
          <w:rFonts w:cs="Arial"/>
        </w:rPr>
        <w:t xml:space="preserve"> with a specific diagnosis.</w:t>
      </w:r>
    </w:p>
    <w:p w14:paraId="7594CABE" w14:textId="77777777" w:rsidR="007648E6" w:rsidRPr="009A5185" w:rsidRDefault="007648E6" w:rsidP="00BC1491">
      <w:pPr>
        <w:rPr>
          <w:rFonts w:cs="Arial"/>
        </w:rPr>
      </w:pPr>
    </w:p>
    <w:p w14:paraId="6832DB00" w14:textId="77777777" w:rsidR="00434A36" w:rsidRPr="009A5185" w:rsidRDefault="00434A36" w:rsidP="007648E6">
      <w:pPr>
        <w:rPr>
          <w:rFonts w:cs="Arial"/>
          <w:iCs/>
        </w:rPr>
      </w:pPr>
      <w:r w:rsidRPr="009A5185">
        <w:rPr>
          <w:rFonts w:cs="Arial"/>
          <w:iCs/>
        </w:rPr>
        <w:t xml:space="preserve">To determine the </w:t>
      </w:r>
      <w:r w:rsidR="006234F0">
        <w:rPr>
          <w:rFonts w:cs="Arial"/>
        </w:rPr>
        <w:t>n</w:t>
      </w:r>
      <w:r w:rsidR="006234F0" w:rsidRPr="009A5185">
        <w:rPr>
          <w:rFonts w:cs="Arial"/>
        </w:rPr>
        <w:t>umber of patients, age</w:t>
      </w:r>
      <w:r w:rsidR="00363287">
        <w:rPr>
          <w:rFonts w:cs="Arial"/>
        </w:rPr>
        <w:t>s</w:t>
      </w:r>
      <w:r w:rsidR="006234F0" w:rsidRPr="009A5185">
        <w:rPr>
          <w:rFonts w:cs="Arial"/>
        </w:rPr>
        <w:t xml:space="preserve"> 18 years and older, discharged</w:t>
      </w:r>
      <w:r w:rsidR="00707663">
        <w:rPr>
          <w:rFonts w:cs="Arial"/>
          <w:iCs/>
        </w:rPr>
        <w:t xml:space="preserve"> </w:t>
      </w:r>
      <w:r w:rsidR="009B3ACE" w:rsidRPr="009A5185">
        <w:rPr>
          <w:rFonts w:cs="Arial"/>
          <w:iCs/>
        </w:rPr>
        <w:t xml:space="preserve">for </w:t>
      </w:r>
      <w:r w:rsidR="007648E6" w:rsidRPr="009A5185">
        <w:rPr>
          <w:rFonts w:cs="Arial"/>
          <w:iCs/>
        </w:rPr>
        <w:t xml:space="preserve">this procedure, </w:t>
      </w:r>
      <w:r w:rsidRPr="009A5185">
        <w:rPr>
          <w:rFonts w:cs="Arial"/>
          <w:iCs/>
        </w:rPr>
        <w:t>hospitals have two options:</w:t>
      </w:r>
    </w:p>
    <w:p w14:paraId="02088936" w14:textId="16146CC6" w:rsidR="00434A36" w:rsidRPr="009A5185" w:rsidRDefault="00741EC4" w:rsidP="00AD309C">
      <w:pPr>
        <w:pStyle w:val="ListParagraph"/>
        <w:numPr>
          <w:ilvl w:val="0"/>
          <w:numId w:val="69"/>
        </w:numPr>
        <w:rPr>
          <w:rFonts w:cs="Arial"/>
          <w:i/>
          <w:iCs/>
        </w:rPr>
      </w:pPr>
      <w:r>
        <w:rPr>
          <w:rFonts w:cs="Arial"/>
          <w:iCs/>
        </w:rPr>
        <w:t>Count the n</w:t>
      </w:r>
      <w:r w:rsidR="00434A36" w:rsidRPr="009A5185">
        <w:rPr>
          <w:rFonts w:cs="Arial"/>
          <w:iCs/>
        </w:rPr>
        <w:t>umber of patients, age</w:t>
      </w:r>
      <w:r w:rsidR="00363287">
        <w:rPr>
          <w:rFonts w:cs="Arial"/>
          <w:iCs/>
        </w:rPr>
        <w:t>s</w:t>
      </w:r>
      <w:r w:rsidR="00434A36" w:rsidRPr="009A5185">
        <w:rPr>
          <w:rFonts w:cs="Arial"/>
          <w:iCs/>
        </w:rPr>
        <w:t xml:space="preserve"> 18 years and older, discharged with </w:t>
      </w:r>
      <w:r w:rsidR="00434A36" w:rsidRPr="009A5185">
        <w:rPr>
          <w:rFonts w:cs="Arial"/>
        </w:rPr>
        <w:t xml:space="preserve">the following ICD-10 codes </w:t>
      </w:r>
      <w:r w:rsidR="00541516">
        <w:rPr>
          <w:rFonts w:cs="Arial"/>
        </w:rPr>
        <w:t xml:space="preserve">or the CPT Codes </w:t>
      </w:r>
      <w:r w:rsidR="00434A36" w:rsidRPr="009A5185">
        <w:rPr>
          <w:rFonts w:cs="Arial"/>
        </w:rPr>
        <w:t xml:space="preserve">in any procedure field </w:t>
      </w:r>
      <w:r w:rsidR="00434A36" w:rsidRPr="006904F9">
        <w:rPr>
          <w:rFonts w:cs="Arial"/>
          <w:b/>
          <w:bCs/>
        </w:rPr>
        <w:t>AND</w:t>
      </w:r>
      <w:r w:rsidR="00434A36" w:rsidRPr="009A5185">
        <w:rPr>
          <w:rFonts w:cs="Arial"/>
        </w:rPr>
        <w:t xml:space="preserve"> any of the following ICD-10 codes in the </w:t>
      </w:r>
      <w:r w:rsidR="00434A36" w:rsidRPr="009A5185">
        <w:rPr>
          <w:rFonts w:cs="Arial"/>
          <w:b/>
          <w:u w:val="single"/>
        </w:rPr>
        <w:t>primary</w:t>
      </w:r>
      <w:r w:rsidR="00434A36" w:rsidRPr="009A5185">
        <w:rPr>
          <w:rFonts w:cs="Arial"/>
        </w:rPr>
        <w:t xml:space="preserve"> diagnosis field. This method does not require chart review.</w:t>
      </w:r>
    </w:p>
    <w:p w14:paraId="1C8499E9" w14:textId="15B1F803" w:rsidR="007648E6" w:rsidRPr="009A5185" w:rsidRDefault="00741EC4" w:rsidP="00AD309C">
      <w:pPr>
        <w:pStyle w:val="ListParagraph"/>
        <w:numPr>
          <w:ilvl w:val="0"/>
          <w:numId w:val="69"/>
        </w:numPr>
        <w:rPr>
          <w:rFonts w:cs="Arial"/>
          <w:i/>
          <w:iCs/>
        </w:rPr>
      </w:pPr>
      <w:r>
        <w:rPr>
          <w:rFonts w:cs="Arial"/>
        </w:rPr>
        <w:t>Count the n</w:t>
      </w:r>
      <w:r w:rsidR="00434A36" w:rsidRPr="009A5185">
        <w:rPr>
          <w:rFonts w:cs="Arial"/>
        </w:rPr>
        <w:t>umber of patients, age</w:t>
      </w:r>
      <w:r w:rsidR="00363287">
        <w:rPr>
          <w:rFonts w:cs="Arial"/>
        </w:rPr>
        <w:t>s</w:t>
      </w:r>
      <w:r w:rsidR="00434A36" w:rsidRPr="009A5185">
        <w:rPr>
          <w:rFonts w:cs="Arial"/>
        </w:rPr>
        <w:t xml:space="preserve"> 18 years and older, discharged with the following ICD-10 codes </w:t>
      </w:r>
      <w:r w:rsidR="00541516">
        <w:rPr>
          <w:rFonts w:cs="Arial"/>
        </w:rPr>
        <w:t xml:space="preserve">or the CPT Codes </w:t>
      </w:r>
      <w:r w:rsidR="00434A36" w:rsidRPr="009A5185">
        <w:rPr>
          <w:rFonts w:cs="Arial"/>
        </w:rPr>
        <w:t xml:space="preserve">in any procedure field </w:t>
      </w:r>
      <w:r w:rsidR="00434A36" w:rsidRPr="006904F9">
        <w:rPr>
          <w:rFonts w:cs="Arial"/>
          <w:b/>
          <w:bCs/>
        </w:rPr>
        <w:t>AND</w:t>
      </w:r>
      <w:r w:rsidR="00434A36" w:rsidRPr="009A5185">
        <w:rPr>
          <w:rFonts w:cs="Arial"/>
        </w:rPr>
        <w:t xml:space="preserve"> any of the following ICD-10 codes in any diagnosis field</w:t>
      </w:r>
      <w:r w:rsidR="00434A36" w:rsidRPr="009A5185">
        <w:rPr>
          <w:rFonts w:cs="Arial"/>
          <w:iCs/>
        </w:rPr>
        <w:t xml:space="preserve">. </w:t>
      </w:r>
      <w:r w:rsidR="007648E6" w:rsidRPr="009A5185">
        <w:rPr>
          <w:rFonts w:cs="Arial"/>
          <w:iCs/>
        </w:rPr>
        <w:t xml:space="preserve">In addition, the procedure must have been done </w:t>
      </w:r>
      <w:r w:rsidR="007648E6" w:rsidRPr="009A5185">
        <w:rPr>
          <w:rFonts w:cs="Arial"/>
          <w:b/>
          <w:bCs/>
          <w:iCs/>
        </w:rPr>
        <w:t>explicitly for weight</w:t>
      </w:r>
      <w:r w:rsidR="009B3ACE" w:rsidRPr="009A5185">
        <w:rPr>
          <w:rFonts w:cs="Arial"/>
          <w:b/>
          <w:bCs/>
          <w:iCs/>
        </w:rPr>
        <w:t xml:space="preserve"> </w:t>
      </w:r>
      <w:r w:rsidR="007648E6" w:rsidRPr="009A5185">
        <w:rPr>
          <w:rFonts w:cs="Arial"/>
          <w:b/>
          <w:bCs/>
          <w:iCs/>
        </w:rPr>
        <w:t>loss purposes</w:t>
      </w:r>
      <w:r w:rsidR="007648E6" w:rsidRPr="009A5185">
        <w:rPr>
          <w:rFonts w:cs="Arial"/>
          <w:iCs/>
        </w:rPr>
        <w:t xml:space="preserve"> </w:t>
      </w:r>
      <w:r w:rsidR="009B3ACE" w:rsidRPr="009A5185">
        <w:rPr>
          <w:rFonts w:cs="Arial"/>
          <w:iCs/>
        </w:rPr>
        <w:t>(</w:t>
      </w:r>
      <w:r w:rsidR="000A554A" w:rsidRPr="009A5185">
        <w:rPr>
          <w:rFonts w:cs="Arial"/>
          <w:iCs/>
        </w:rPr>
        <w:t>i.e.,</w:t>
      </w:r>
      <w:r w:rsidR="007648E6" w:rsidRPr="009A5185">
        <w:rPr>
          <w:rFonts w:cs="Arial"/>
          <w:iCs/>
        </w:rPr>
        <w:t xml:space="preserve"> presence of one of the diagnosis codes is necessary, but not sufficient for inclusion</w:t>
      </w:r>
      <w:r w:rsidR="009B3ACE" w:rsidRPr="009A5185">
        <w:rPr>
          <w:rFonts w:cs="Arial"/>
          <w:iCs/>
        </w:rPr>
        <w:t>)</w:t>
      </w:r>
      <w:r w:rsidR="00434A36" w:rsidRPr="009A5185">
        <w:rPr>
          <w:rFonts w:cs="Arial"/>
          <w:iCs/>
        </w:rPr>
        <w:t>. This method requires chart review to ensure the procedure was performed explicitly for weight</w:t>
      </w:r>
      <w:r w:rsidR="009B3ACE" w:rsidRPr="009A5185">
        <w:rPr>
          <w:rFonts w:cs="Arial"/>
          <w:iCs/>
        </w:rPr>
        <w:t xml:space="preserve"> </w:t>
      </w:r>
      <w:r w:rsidR="00434A36" w:rsidRPr="009A5185">
        <w:rPr>
          <w:rFonts w:cs="Arial"/>
          <w:iCs/>
        </w:rPr>
        <w:t xml:space="preserve">loss purposes. </w:t>
      </w:r>
    </w:p>
    <w:p w14:paraId="26114974" w14:textId="77777777" w:rsidR="0071568E" w:rsidRDefault="0071568E" w:rsidP="00BC1491">
      <w:pPr>
        <w:rPr>
          <w:rFonts w:cs="Arial"/>
          <w:b/>
        </w:rPr>
      </w:pPr>
    </w:p>
    <w:p w14:paraId="003BAE67" w14:textId="77777777" w:rsidR="00BC1491" w:rsidRPr="009A5185" w:rsidRDefault="00BC1491" w:rsidP="00BC1491">
      <w:pPr>
        <w:rPr>
          <w:rFonts w:cs="Arial"/>
          <w:b/>
        </w:rPr>
      </w:pPr>
      <w:r w:rsidRPr="009A5185">
        <w:rPr>
          <w:rFonts w:cs="Arial"/>
          <w:b/>
        </w:rPr>
        <w:t>ICD-10 Bariatric Surgery Procedure Codes</w:t>
      </w:r>
    </w:p>
    <w:p w14:paraId="0C9E4EEF" w14:textId="77777777" w:rsidR="00BC1491" w:rsidRPr="009A5185" w:rsidRDefault="00BC1491" w:rsidP="00BC1491">
      <w:pPr>
        <w:rPr>
          <w:rFonts w:cs="Arial"/>
          <w:b/>
        </w:rPr>
      </w:pPr>
    </w:p>
    <w:tbl>
      <w:tblPr>
        <w:tblStyle w:val="TableGrid"/>
        <w:tblW w:w="5044" w:type="pct"/>
        <w:tblLook w:val="04A0" w:firstRow="1" w:lastRow="0" w:firstColumn="1" w:lastColumn="0" w:noHBand="0" w:noVBand="1"/>
      </w:tblPr>
      <w:tblGrid>
        <w:gridCol w:w="1872"/>
        <w:gridCol w:w="7560"/>
      </w:tblGrid>
      <w:tr w:rsidR="00363287" w:rsidRPr="0004317D" w14:paraId="16F8C04D" w14:textId="77777777" w:rsidTr="00696E8F">
        <w:trPr>
          <w:trHeight w:val="432"/>
        </w:trPr>
        <w:tc>
          <w:tcPr>
            <w:tcW w:w="1872" w:type="dxa"/>
            <w:shd w:val="clear" w:color="auto" w:fill="BFBFBF" w:themeFill="background1" w:themeFillShade="BF"/>
            <w:noWrap/>
            <w:vAlign w:val="center"/>
          </w:tcPr>
          <w:p w14:paraId="3046CC11" w14:textId="77777777" w:rsidR="00363287" w:rsidRPr="0004317D" w:rsidRDefault="00363287" w:rsidP="00696E8F">
            <w:pPr>
              <w:rPr>
                <w:rFonts w:cs="Arial"/>
                <w:color w:val="000000"/>
              </w:rPr>
            </w:pPr>
            <w:r w:rsidRPr="0004317D">
              <w:rPr>
                <w:rFonts w:cs="Arial"/>
                <w:b/>
                <w:bCs/>
                <w:color w:val="000000"/>
              </w:rPr>
              <w:t>ICD</w:t>
            </w:r>
            <w:r>
              <w:rPr>
                <w:rFonts w:cs="Arial"/>
                <w:b/>
                <w:bCs/>
                <w:color w:val="000000"/>
              </w:rPr>
              <w:t>-</w:t>
            </w:r>
            <w:r w:rsidRPr="0004317D">
              <w:rPr>
                <w:rFonts w:cs="Arial"/>
                <w:b/>
                <w:bCs/>
                <w:color w:val="000000"/>
              </w:rPr>
              <w:t>10 Procedure Code</w:t>
            </w:r>
          </w:p>
        </w:tc>
        <w:tc>
          <w:tcPr>
            <w:tcW w:w="7560" w:type="dxa"/>
            <w:shd w:val="clear" w:color="auto" w:fill="BFBFBF" w:themeFill="background1" w:themeFillShade="BF"/>
            <w:noWrap/>
            <w:vAlign w:val="center"/>
          </w:tcPr>
          <w:p w14:paraId="270F7498" w14:textId="77777777" w:rsidR="00363287" w:rsidRPr="0004317D" w:rsidRDefault="00363287" w:rsidP="00696E8F">
            <w:pPr>
              <w:rPr>
                <w:rFonts w:cs="Arial"/>
                <w:color w:val="000000"/>
              </w:rPr>
            </w:pPr>
            <w:r w:rsidRPr="0004317D">
              <w:rPr>
                <w:rFonts w:cs="Arial"/>
                <w:b/>
                <w:bCs/>
                <w:color w:val="000000"/>
              </w:rPr>
              <w:t>Code Description</w:t>
            </w:r>
          </w:p>
        </w:tc>
      </w:tr>
      <w:tr w:rsidR="00363287" w:rsidRPr="00614ED2" w14:paraId="30EBE7FB" w14:textId="77777777" w:rsidTr="00696E8F">
        <w:trPr>
          <w:trHeight w:val="300"/>
        </w:trPr>
        <w:tc>
          <w:tcPr>
            <w:tcW w:w="1872" w:type="dxa"/>
            <w:noWrap/>
            <w:vAlign w:val="center"/>
            <w:hideMark/>
          </w:tcPr>
          <w:p w14:paraId="5FF61A55" w14:textId="77777777" w:rsidR="00363287" w:rsidRPr="00614ED2" w:rsidRDefault="00363287" w:rsidP="00696E8F">
            <w:pPr>
              <w:rPr>
                <w:rFonts w:cs="Arial"/>
                <w:color w:val="000000"/>
              </w:rPr>
            </w:pPr>
            <w:r w:rsidRPr="00614ED2">
              <w:rPr>
                <w:rFonts w:cs="Arial"/>
                <w:color w:val="000000"/>
              </w:rPr>
              <w:t>0D16079</w:t>
            </w:r>
          </w:p>
        </w:tc>
        <w:tc>
          <w:tcPr>
            <w:tcW w:w="7560" w:type="dxa"/>
            <w:noWrap/>
            <w:vAlign w:val="center"/>
            <w:hideMark/>
          </w:tcPr>
          <w:p w14:paraId="7F5D1497" w14:textId="77777777" w:rsidR="00363287" w:rsidRPr="00614ED2" w:rsidRDefault="00363287" w:rsidP="00696E8F">
            <w:pPr>
              <w:rPr>
                <w:rFonts w:cs="Arial"/>
                <w:color w:val="000000"/>
              </w:rPr>
            </w:pPr>
            <w:r w:rsidRPr="00614ED2">
              <w:rPr>
                <w:rFonts w:cs="Arial"/>
                <w:color w:val="000000"/>
              </w:rPr>
              <w:t>Bypass Stomach to Duodenum with Autologous Tissue Substitute, Open Approach</w:t>
            </w:r>
          </w:p>
        </w:tc>
      </w:tr>
      <w:tr w:rsidR="00363287" w:rsidRPr="00614ED2" w14:paraId="72467894" w14:textId="77777777" w:rsidTr="00696E8F">
        <w:trPr>
          <w:trHeight w:val="300"/>
        </w:trPr>
        <w:tc>
          <w:tcPr>
            <w:tcW w:w="1872" w:type="dxa"/>
            <w:noWrap/>
            <w:vAlign w:val="center"/>
            <w:hideMark/>
          </w:tcPr>
          <w:p w14:paraId="652F5D3A" w14:textId="77777777" w:rsidR="00363287" w:rsidRPr="00614ED2" w:rsidRDefault="00363287" w:rsidP="00696E8F">
            <w:pPr>
              <w:rPr>
                <w:rFonts w:cs="Arial"/>
                <w:color w:val="000000"/>
              </w:rPr>
            </w:pPr>
            <w:r w:rsidRPr="00614ED2">
              <w:rPr>
                <w:rFonts w:cs="Arial"/>
                <w:color w:val="000000"/>
              </w:rPr>
              <w:t>0D1607A</w:t>
            </w:r>
          </w:p>
        </w:tc>
        <w:tc>
          <w:tcPr>
            <w:tcW w:w="7560" w:type="dxa"/>
            <w:noWrap/>
            <w:vAlign w:val="center"/>
            <w:hideMark/>
          </w:tcPr>
          <w:p w14:paraId="65185A20" w14:textId="77777777" w:rsidR="00363287" w:rsidRPr="00614ED2" w:rsidRDefault="00363287" w:rsidP="00696E8F">
            <w:pPr>
              <w:rPr>
                <w:rFonts w:cs="Arial"/>
                <w:color w:val="000000"/>
              </w:rPr>
            </w:pPr>
            <w:r w:rsidRPr="00614ED2">
              <w:rPr>
                <w:rFonts w:cs="Arial"/>
                <w:color w:val="000000"/>
              </w:rPr>
              <w:t>Bypass Stomach to Jejunum with Autologous Tissue Substitute, Open Approach</w:t>
            </w:r>
          </w:p>
        </w:tc>
      </w:tr>
      <w:tr w:rsidR="00363287" w:rsidRPr="00614ED2" w14:paraId="62B9628C" w14:textId="77777777" w:rsidTr="00696E8F">
        <w:trPr>
          <w:trHeight w:val="300"/>
        </w:trPr>
        <w:tc>
          <w:tcPr>
            <w:tcW w:w="1872" w:type="dxa"/>
            <w:noWrap/>
            <w:vAlign w:val="center"/>
            <w:hideMark/>
          </w:tcPr>
          <w:p w14:paraId="148CC8BE" w14:textId="77777777" w:rsidR="00363287" w:rsidRPr="00614ED2" w:rsidRDefault="00363287" w:rsidP="00696E8F">
            <w:pPr>
              <w:rPr>
                <w:rFonts w:cs="Arial"/>
                <w:color w:val="000000"/>
              </w:rPr>
            </w:pPr>
            <w:r w:rsidRPr="00614ED2">
              <w:rPr>
                <w:rFonts w:cs="Arial"/>
                <w:color w:val="000000"/>
              </w:rPr>
              <w:t>0D1607B</w:t>
            </w:r>
          </w:p>
        </w:tc>
        <w:tc>
          <w:tcPr>
            <w:tcW w:w="7560" w:type="dxa"/>
            <w:noWrap/>
            <w:vAlign w:val="center"/>
            <w:hideMark/>
          </w:tcPr>
          <w:p w14:paraId="77FDE7FA" w14:textId="77777777" w:rsidR="00363287" w:rsidRPr="00614ED2" w:rsidRDefault="00363287" w:rsidP="00696E8F">
            <w:pPr>
              <w:rPr>
                <w:rFonts w:cs="Arial"/>
                <w:color w:val="000000"/>
              </w:rPr>
            </w:pPr>
            <w:r w:rsidRPr="00614ED2">
              <w:rPr>
                <w:rFonts w:cs="Arial"/>
                <w:color w:val="000000"/>
              </w:rPr>
              <w:t>Bypass Stomach to Ileum with Autologous Tissue Substitute, Open Approach</w:t>
            </w:r>
          </w:p>
        </w:tc>
      </w:tr>
      <w:tr w:rsidR="008530D5" w:rsidRPr="00614ED2" w14:paraId="3AB81E18" w14:textId="77777777" w:rsidTr="009617F5">
        <w:trPr>
          <w:trHeight w:val="300"/>
        </w:trPr>
        <w:tc>
          <w:tcPr>
            <w:tcW w:w="1872" w:type="dxa"/>
            <w:noWrap/>
            <w:vAlign w:val="bottom"/>
          </w:tcPr>
          <w:p w14:paraId="61E58368" w14:textId="0D33E72E" w:rsidR="008530D5" w:rsidRPr="00614ED2" w:rsidRDefault="008530D5" w:rsidP="008530D5">
            <w:pPr>
              <w:rPr>
                <w:rFonts w:cs="Arial"/>
                <w:color w:val="000000"/>
              </w:rPr>
            </w:pPr>
            <w:r w:rsidRPr="001C4276">
              <w:rPr>
                <w:rFonts w:cstheme="minorHAnsi"/>
                <w:color w:val="000000"/>
              </w:rPr>
              <w:t>0D160J9</w:t>
            </w:r>
          </w:p>
        </w:tc>
        <w:tc>
          <w:tcPr>
            <w:tcW w:w="7560" w:type="dxa"/>
            <w:noWrap/>
            <w:vAlign w:val="bottom"/>
          </w:tcPr>
          <w:p w14:paraId="3CEF12FC" w14:textId="1B3879D3" w:rsidR="008530D5" w:rsidRPr="00614ED2" w:rsidRDefault="008530D5" w:rsidP="008530D5">
            <w:pPr>
              <w:rPr>
                <w:rFonts w:cs="Arial"/>
                <w:color w:val="000000"/>
              </w:rPr>
            </w:pPr>
            <w:r w:rsidRPr="001C4276">
              <w:rPr>
                <w:rFonts w:cstheme="minorHAnsi"/>
                <w:color w:val="000000"/>
              </w:rPr>
              <w:t>Bypass Stomach to Duodenum with Synthetic Substitute, Open Approach</w:t>
            </w:r>
          </w:p>
        </w:tc>
      </w:tr>
      <w:tr w:rsidR="008530D5" w:rsidRPr="00614ED2" w14:paraId="28F778EC" w14:textId="77777777" w:rsidTr="009617F5">
        <w:trPr>
          <w:trHeight w:val="300"/>
        </w:trPr>
        <w:tc>
          <w:tcPr>
            <w:tcW w:w="1872" w:type="dxa"/>
            <w:noWrap/>
            <w:vAlign w:val="bottom"/>
          </w:tcPr>
          <w:p w14:paraId="4F633E2B" w14:textId="60A64A46" w:rsidR="008530D5" w:rsidRPr="00614ED2" w:rsidRDefault="008530D5" w:rsidP="008530D5">
            <w:pPr>
              <w:rPr>
                <w:rFonts w:cs="Arial"/>
                <w:color w:val="000000"/>
              </w:rPr>
            </w:pPr>
            <w:r w:rsidRPr="001C4276">
              <w:rPr>
                <w:rFonts w:cstheme="minorHAnsi"/>
                <w:color w:val="000000"/>
              </w:rPr>
              <w:t>0D160JA</w:t>
            </w:r>
          </w:p>
        </w:tc>
        <w:tc>
          <w:tcPr>
            <w:tcW w:w="7560" w:type="dxa"/>
            <w:noWrap/>
            <w:vAlign w:val="bottom"/>
          </w:tcPr>
          <w:p w14:paraId="2D54CADE" w14:textId="667C493A" w:rsidR="008530D5" w:rsidRPr="00614ED2" w:rsidRDefault="008530D5" w:rsidP="008530D5">
            <w:pPr>
              <w:rPr>
                <w:rFonts w:cs="Arial"/>
                <w:color w:val="000000"/>
              </w:rPr>
            </w:pPr>
            <w:r w:rsidRPr="001C4276">
              <w:rPr>
                <w:rFonts w:cstheme="minorHAnsi"/>
                <w:color w:val="000000"/>
              </w:rPr>
              <w:t>Bypass Stomach to Jejunum with Synthetic Substitute, Open Approach</w:t>
            </w:r>
          </w:p>
        </w:tc>
      </w:tr>
      <w:tr w:rsidR="008530D5" w:rsidRPr="00614ED2" w14:paraId="5E314674" w14:textId="77777777" w:rsidTr="009617F5">
        <w:trPr>
          <w:trHeight w:val="300"/>
        </w:trPr>
        <w:tc>
          <w:tcPr>
            <w:tcW w:w="1872" w:type="dxa"/>
            <w:noWrap/>
            <w:vAlign w:val="bottom"/>
          </w:tcPr>
          <w:p w14:paraId="24D31705" w14:textId="49122231" w:rsidR="008530D5" w:rsidRPr="00614ED2" w:rsidRDefault="008530D5" w:rsidP="008530D5">
            <w:pPr>
              <w:rPr>
                <w:rFonts w:cs="Arial"/>
                <w:color w:val="000000"/>
              </w:rPr>
            </w:pPr>
            <w:r w:rsidRPr="001C4276">
              <w:rPr>
                <w:rFonts w:cstheme="minorHAnsi"/>
                <w:color w:val="000000"/>
              </w:rPr>
              <w:t>0D160JB</w:t>
            </w:r>
          </w:p>
        </w:tc>
        <w:tc>
          <w:tcPr>
            <w:tcW w:w="7560" w:type="dxa"/>
            <w:noWrap/>
            <w:vAlign w:val="bottom"/>
          </w:tcPr>
          <w:p w14:paraId="5126F27B" w14:textId="57B68FC2" w:rsidR="008530D5" w:rsidRPr="00614ED2" w:rsidRDefault="008530D5" w:rsidP="008530D5">
            <w:pPr>
              <w:rPr>
                <w:rFonts w:cs="Arial"/>
                <w:color w:val="000000"/>
              </w:rPr>
            </w:pPr>
            <w:r w:rsidRPr="001C4276">
              <w:rPr>
                <w:rFonts w:cstheme="minorHAnsi"/>
                <w:color w:val="000000"/>
              </w:rPr>
              <w:t>Bypass Stomach to Ileum with Synthetic Substitute, Open Approach</w:t>
            </w:r>
          </w:p>
        </w:tc>
      </w:tr>
      <w:tr w:rsidR="008530D5" w:rsidRPr="00614ED2" w14:paraId="4D7620AE" w14:textId="77777777" w:rsidTr="009617F5">
        <w:trPr>
          <w:trHeight w:val="300"/>
        </w:trPr>
        <w:tc>
          <w:tcPr>
            <w:tcW w:w="1872" w:type="dxa"/>
            <w:noWrap/>
            <w:vAlign w:val="bottom"/>
          </w:tcPr>
          <w:p w14:paraId="7DAA4CD8" w14:textId="11B5FD24" w:rsidR="008530D5" w:rsidRPr="00614ED2" w:rsidRDefault="008530D5" w:rsidP="008530D5">
            <w:pPr>
              <w:rPr>
                <w:rFonts w:cs="Arial"/>
                <w:color w:val="000000"/>
              </w:rPr>
            </w:pPr>
            <w:r w:rsidRPr="001C4276">
              <w:rPr>
                <w:rFonts w:cstheme="minorHAnsi"/>
                <w:color w:val="000000"/>
              </w:rPr>
              <w:t>0D160K9</w:t>
            </w:r>
          </w:p>
        </w:tc>
        <w:tc>
          <w:tcPr>
            <w:tcW w:w="7560" w:type="dxa"/>
            <w:noWrap/>
            <w:vAlign w:val="bottom"/>
          </w:tcPr>
          <w:p w14:paraId="0952EDB6" w14:textId="0DBD04A1" w:rsidR="008530D5" w:rsidRPr="00614ED2" w:rsidRDefault="008530D5" w:rsidP="008530D5">
            <w:pPr>
              <w:rPr>
                <w:rFonts w:cs="Arial"/>
                <w:color w:val="000000"/>
              </w:rPr>
            </w:pPr>
            <w:r w:rsidRPr="001C4276">
              <w:rPr>
                <w:rFonts w:cstheme="minorHAnsi"/>
                <w:color w:val="000000"/>
              </w:rPr>
              <w:t xml:space="preserve">Bypass Stomach to Duodenum with </w:t>
            </w:r>
            <w:proofErr w:type="spellStart"/>
            <w:r w:rsidRPr="001C4276">
              <w:rPr>
                <w:rFonts w:cstheme="minorHAnsi"/>
                <w:color w:val="000000"/>
              </w:rPr>
              <w:t>Nonautologous</w:t>
            </w:r>
            <w:proofErr w:type="spellEnd"/>
            <w:r w:rsidRPr="001C4276">
              <w:rPr>
                <w:rFonts w:cstheme="minorHAnsi"/>
                <w:color w:val="000000"/>
              </w:rPr>
              <w:t xml:space="preserve"> Tissue Substitute, Open Approach</w:t>
            </w:r>
          </w:p>
        </w:tc>
      </w:tr>
      <w:tr w:rsidR="008530D5" w:rsidRPr="00614ED2" w14:paraId="3F3EC31F" w14:textId="77777777" w:rsidTr="009617F5">
        <w:trPr>
          <w:trHeight w:val="300"/>
        </w:trPr>
        <w:tc>
          <w:tcPr>
            <w:tcW w:w="1872" w:type="dxa"/>
            <w:noWrap/>
            <w:vAlign w:val="bottom"/>
          </w:tcPr>
          <w:p w14:paraId="0E62A9A5" w14:textId="276750F5" w:rsidR="008530D5" w:rsidRPr="00614ED2" w:rsidRDefault="008530D5" w:rsidP="008530D5">
            <w:pPr>
              <w:rPr>
                <w:rFonts w:cs="Arial"/>
                <w:color w:val="000000"/>
              </w:rPr>
            </w:pPr>
            <w:r w:rsidRPr="001C4276">
              <w:rPr>
                <w:rFonts w:cstheme="minorHAnsi"/>
                <w:color w:val="000000"/>
              </w:rPr>
              <w:t>0D160KA</w:t>
            </w:r>
          </w:p>
        </w:tc>
        <w:tc>
          <w:tcPr>
            <w:tcW w:w="7560" w:type="dxa"/>
            <w:noWrap/>
            <w:vAlign w:val="bottom"/>
          </w:tcPr>
          <w:p w14:paraId="7A12D33D" w14:textId="419990E2" w:rsidR="008530D5" w:rsidRPr="00614ED2" w:rsidRDefault="008530D5" w:rsidP="008530D5">
            <w:pPr>
              <w:rPr>
                <w:rFonts w:cs="Arial"/>
                <w:color w:val="000000"/>
              </w:rPr>
            </w:pPr>
            <w:r w:rsidRPr="001C4276">
              <w:rPr>
                <w:rFonts w:cstheme="minorHAnsi"/>
                <w:color w:val="000000"/>
              </w:rPr>
              <w:t xml:space="preserve">Bypass Stomach to Jejunum with </w:t>
            </w:r>
            <w:proofErr w:type="spellStart"/>
            <w:r w:rsidRPr="001C4276">
              <w:rPr>
                <w:rFonts w:cstheme="minorHAnsi"/>
                <w:color w:val="000000"/>
              </w:rPr>
              <w:t>Nonautologous</w:t>
            </w:r>
            <w:proofErr w:type="spellEnd"/>
            <w:r w:rsidRPr="001C4276">
              <w:rPr>
                <w:rFonts w:cstheme="minorHAnsi"/>
                <w:color w:val="000000"/>
              </w:rPr>
              <w:t xml:space="preserve"> Tissue Substitute, Open Approach</w:t>
            </w:r>
          </w:p>
        </w:tc>
      </w:tr>
      <w:tr w:rsidR="008530D5" w:rsidRPr="00614ED2" w14:paraId="192E13F9" w14:textId="77777777" w:rsidTr="009617F5">
        <w:trPr>
          <w:trHeight w:val="300"/>
        </w:trPr>
        <w:tc>
          <w:tcPr>
            <w:tcW w:w="1872" w:type="dxa"/>
            <w:noWrap/>
            <w:vAlign w:val="bottom"/>
          </w:tcPr>
          <w:p w14:paraId="2CF549C5" w14:textId="3B580BB0" w:rsidR="008530D5" w:rsidRPr="00614ED2" w:rsidRDefault="008530D5" w:rsidP="008530D5">
            <w:pPr>
              <w:rPr>
                <w:rFonts w:cs="Arial"/>
                <w:color w:val="000000"/>
              </w:rPr>
            </w:pPr>
            <w:r w:rsidRPr="001C4276">
              <w:rPr>
                <w:rFonts w:cstheme="minorHAnsi"/>
                <w:color w:val="000000"/>
              </w:rPr>
              <w:t>0D160KB</w:t>
            </w:r>
          </w:p>
        </w:tc>
        <w:tc>
          <w:tcPr>
            <w:tcW w:w="7560" w:type="dxa"/>
            <w:noWrap/>
            <w:vAlign w:val="bottom"/>
          </w:tcPr>
          <w:p w14:paraId="591BC3A9" w14:textId="3BC533C2" w:rsidR="008530D5" w:rsidRPr="00614ED2" w:rsidRDefault="008530D5" w:rsidP="008530D5">
            <w:pPr>
              <w:rPr>
                <w:rFonts w:cs="Arial"/>
                <w:color w:val="000000"/>
              </w:rPr>
            </w:pPr>
            <w:r w:rsidRPr="001C4276">
              <w:rPr>
                <w:rFonts w:cstheme="minorHAnsi"/>
                <w:color w:val="000000"/>
              </w:rPr>
              <w:t xml:space="preserve">Bypass Stomach to Ileum with </w:t>
            </w:r>
            <w:proofErr w:type="spellStart"/>
            <w:r w:rsidRPr="001C4276">
              <w:rPr>
                <w:rFonts w:cstheme="minorHAnsi"/>
                <w:color w:val="000000"/>
              </w:rPr>
              <w:t>Nonautologous</w:t>
            </w:r>
            <w:proofErr w:type="spellEnd"/>
            <w:r w:rsidRPr="001C4276">
              <w:rPr>
                <w:rFonts w:cstheme="minorHAnsi"/>
                <w:color w:val="000000"/>
              </w:rPr>
              <w:t xml:space="preserve"> Tissue Substitute, Open Approach</w:t>
            </w:r>
          </w:p>
        </w:tc>
      </w:tr>
      <w:tr w:rsidR="00363287" w:rsidRPr="00614ED2" w14:paraId="1EF5DB12" w14:textId="77777777" w:rsidTr="00696E8F">
        <w:trPr>
          <w:trHeight w:val="300"/>
        </w:trPr>
        <w:tc>
          <w:tcPr>
            <w:tcW w:w="1872" w:type="dxa"/>
            <w:noWrap/>
            <w:vAlign w:val="center"/>
            <w:hideMark/>
          </w:tcPr>
          <w:p w14:paraId="7D067118" w14:textId="77777777" w:rsidR="00363287" w:rsidRPr="00614ED2" w:rsidRDefault="00363287" w:rsidP="00696E8F">
            <w:pPr>
              <w:rPr>
                <w:rFonts w:cs="Arial"/>
                <w:color w:val="000000"/>
              </w:rPr>
            </w:pPr>
            <w:r w:rsidRPr="00614ED2">
              <w:rPr>
                <w:rFonts w:cs="Arial"/>
                <w:color w:val="000000"/>
              </w:rPr>
              <w:t>0D160Z9</w:t>
            </w:r>
          </w:p>
        </w:tc>
        <w:tc>
          <w:tcPr>
            <w:tcW w:w="7560" w:type="dxa"/>
            <w:noWrap/>
            <w:vAlign w:val="center"/>
            <w:hideMark/>
          </w:tcPr>
          <w:p w14:paraId="7B2D968F" w14:textId="7B0FDF97" w:rsidR="00363287" w:rsidRPr="00614ED2" w:rsidRDefault="00363287" w:rsidP="00696E8F">
            <w:pPr>
              <w:rPr>
                <w:rFonts w:cs="Arial"/>
                <w:color w:val="000000"/>
              </w:rPr>
            </w:pPr>
            <w:r w:rsidRPr="00614ED2">
              <w:rPr>
                <w:rFonts w:cs="Arial"/>
                <w:color w:val="000000"/>
              </w:rPr>
              <w:t>Bypass Stomach to Duodenum, Open Approach</w:t>
            </w:r>
          </w:p>
        </w:tc>
      </w:tr>
      <w:tr w:rsidR="00363287" w:rsidRPr="00614ED2" w14:paraId="07ED4C07" w14:textId="77777777" w:rsidTr="00696E8F">
        <w:trPr>
          <w:trHeight w:val="300"/>
        </w:trPr>
        <w:tc>
          <w:tcPr>
            <w:tcW w:w="1872" w:type="dxa"/>
            <w:noWrap/>
            <w:vAlign w:val="center"/>
            <w:hideMark/>
          </w:tcPr>
          <w:p w14:paraId="58E20366" w14:textId="77777777" w:rsidR="00363287" w:rsidRPr="00614ED2" w:rsidRDefault="00363287" w:rsidP="00696E8F">
            <w:pPr>
              <w:rPr>
                <w:rFonts w:cs="Arial"/>
                <w:color w:val="000000"/>
              </w:rPr>
            </w:pPr>
            <w:r w:rsidRPr="00614ED2">
              <w:rPr>
                <w:rFonts w:cs="Arial"/>
                <w:color w:val="000000"/>
              </w:rPr>
              <w:t>0D160ZA</w:t>
            </w:r>
          </w:p>
        </w:tc>
        <w:tc>
          <w:tcPr>
            <w:tcW w:w="7560" w:type="dxa"/>
            <w:noWrap/>
            <w:vAlign w:val="center"/>
            <w:hideMark/>
          </w:tcPr>
          <w:p w14:paraId="71A9534B" w14:textId="77777777" w:rsidR="00363287" w:rsidRPr="00614ED2" w:rsidRDefault="00363287" w:rsidP="00696E8F">
            <w:pPr>
              <w:rPr>
                <w:rFonts w:cs="Arial"/>
                <w:color w:val="000000"/>
              </w:rPr>
            </w:pPr>
            <w:r w:rsidRPr="00614ED2">
              <w:rPr>
                <w:rFonts w:cs="Arial"/>
                <w:color w:val="000000"/>
              </w:rPr>
              <w:t>Bypass Stomach to Jejunum, Open Approach</w:t>
            </w:r>
          </w:p>
        </w:tc>
      </w:tr>
      <w:tr w:rsidR="00363287" w:rsidRPr="00614ED2" w14:paraId="5E2B51A2" w14:textId="77777777" w:rsidTr="00696E8F">
        <w:trPr>
          <w:trHeight w:val="300"/>
        </w:trPr>
        <w:tc>
          <w:tcPr>
            <w:tcW w:w="1872" w:type="dxa"/>
            <w:noWrap/>
            <w:vAlign w:val="center"/>
            <w:hideMark/>
          </w:tcPr>
          <w:p w14:paraId="358A4BAF" w14:textId="77777777" w:rsidR="00363287" w:rsidRPr="00614ED2" w:rsidRDefault="00363287" w:rsidP="00696E8F">
            <w:pPr>
              <w:rPr>
                <w:rFonts w:cs="Arial"/>
                <w:color w:val="000000"/>
              </w:rPr>
            </w:pPr>
            <w:r w:rsidRPr="00614ED2">
              <w:rPr>
                <w:rFonts w:cs="Arial"/>
                <w:color w:val="000000"/>
              </w:rPr>
              <w:t>0D160ZB</w:t>
            </w:r>
          </w:p>
        </w:tc>
        <w:tc>
          <w:tcPr>
            <w:tcW w:w="7560" w:type="dxa"/>
            <w:noWrap/>
            <w:vAlign w:val="center"/>
            <w:hideMark/>
          </w:tcPr>
          <w:p w14:paraId="158659AF" w14:textId="77777777" w:rsidR="00363287" w:rsidRPr="00614ED2" w:rsidRDefault="00363287" w:rsidP="00696E8F">
            <w:pPr>
              <w:rPr>
                <w:rFonts w:cs="Arial"/>
                <w:color w:val="000000"/>
              </w:rPr>
            </w:pPr>
            <w:r w:rsidRPr="00614ED2">
              <w:rPr>
                <w:rFonts w:cs="Arial"/>
                <w:color w:val="000000"/>
              </w:rPr>
              <w:t>Bypass Stomach to Ileum, Open Approach</w:t>
            </w:r>
          </w:p>
        </w:tc>
      </w:tr>
      <w:tr w:rsidR="00363287" w:rsidRPr="00614ED2" w14:paraId="3357D808" w14:textId="77777777" w:rsidTr="00696E8F">
        <w:trPr>
          <w:trHeight w:val="300"/>
        </w:trPr>
        <w:tc>
          <w:tcPr>
            <w:tcW w:w="1872" w:type="dxa"/>
            <w:noWrap/>
            <w:vAlign w:val="center"/>
            <w:hideMark/>
          </w:tcPr>
          <w:p w14:paraId="3EE7A37F" w14:textId="77777777" w:rsidR="00363287" w:rsidRPr="00614ED2" w:rsidRDefault="00363287" w:rsidP="00696E8F">
            <w:pPr>
              <w:rPr>
                <w:rFonts w:cs="Arial"/>
                <w:color w:val="000000"/>
              </w:rPr>
            </w:pPr>
            <w:r w:rsidRPr="00614ED2">
              <w:rPr>
                <w:rFonts w:cs="Arial"/>
                <w:color w:val="000000"/>
              </w:rPr>
              <w:t>0D16479</w:t>
            </w:r>
          </w:p>
        </w:tc>
        <w:tc>
          <w:tcPr>
            <w:tcW w:w="7560" w:type="dxa"/>
            <w:noWrap/>
            <w:vAlign w:val="center"/>
            <w:hideMark/>
          </w:tcPr>
          <w:p w14:paraId="57780B56" w14:textId="77777777" w:rsidR="00363287" w:rsidRPr="00614ED2" w:rsidRDefault="00363287" w:rsidP="00696E8F">
            <w:pPr>
              <w:rPr>
                <w:rFonts w:cs="Arial"/>
                <w:color w:val="000000"/>
              </w:rPr>
            </w:pPr>
            <w:r w:rsidRPr="00614ED2">
              <w:rPr>
                <w:rFonts w:cs="Arial"/>
                <w:color w:val="000000"/>
              </w:rPr>
              <w:t>Bypass Stomach to Duodenum with Autologous Tissue Substitute, Percutaneous Endoscopic Approach</w:t>
            </w:r>
          </w:p>
        </w:tc>
      </w:tr>
      <w:tr w:rsidR="00363287" w:rsidRPr="00614ED2" w14:paraId="31542BA5" w14:textId="77777777" w:rsidTr="00696E8F">
        <w:trPr>
          <w:trHeight w:val="300"/>
        </w:trPr>
        <w:tc>
          <w:tcPr>
            <w:tcW w:w="1872" w:type="dxa"/>
            <w:noWrap/>
            <w:vAlign w:val="center"/>
            <w:hideMark/>
          </w:tcPr>
          <w:p w14:paraId="4C077310" w14:textId="77777777" w:rsidR="00363287" w:rsidRPr="00614ED2" w:rsidRDefault="00363287" w:rsidP="00696E8F">
            <w:pPr>
              <w:rPr>
                <w:rFonts w:cs="Arial"/>
                <w:color w:val="000000"/>
              </w:rPr>
            </w:pPr>
            <w:r w:rsidRPr="00614ED2">
              <w:rPr>
                <w:rFonts w:cs="Arial"/>
                <w:color w:val="000000"/>
              </w:rPr>
              <w:t>0D1647A</w:t>
            </w:r>
          </w:p>
        </w:tc>
        <w:tc>
          <w:tcPr>
            <w:tcW w:w="7560" w:type="dxa"/>
            <w:noWrap/>
            <w:vAlign w:val="center"/>
            <w:hideMark/>
          </w:tcPr>
          <w:p w14:paraId="54D60394" w14:textId="77777777" w:rsidR="00363287" w:rsidRPr="00614ED2" w:rsidRDefault="00363287" w:rsidP="00696E8F">
            <w:pPr>
              <w:rPr>
                <w:rFonts w:cs="Arial"/>
                <w:color w:val="000000"/>
              </w:rPr>
            </w:pPr>
            <w:r w:rsidRPr="00614ED2">
              <w:rPr>
                <w:rFonts w:cs="Arial"/>
                <w:color w:val="000000"/>
              </w:rPr>
              <w:t>Bypass Stomach to Jejunum with Autologous Tissue Substitute, Percutaneous Endoscopic Approach</w:t>
            </w:r>
          </w:p>
        </w:tc>
      </w:tr>
      <w:tr w:rsidR="00363287" w:rsidRPr="00614ED2" w14:paraId="405A6FE9" w14:textId="77777777" w:rsidTr="00696E8F">
        <w:trPr>
          <w:trHeight w:val="300"/>
        </w:trPr>
        <w:tc>
          <w:tcPr>
            <w:tcW w:w="1872" w:type="dxa"/>
            <w:noWrap/>
            <w:vAlign w:val="center"/>
            <w:hideMark/>
          </w:tcPr>
          <w:p w14:paraId="051B1B7B" w14:textId="77777777" w:rsidR="00363287" w:rsidRPr="00614ED2" w:rsidRDefault="00363287" w:rsidP="00696E8F">
            <w:pPr>
              <w:rPr>
                <w:rFonts w:cs="Arial"/>
                <w:color w:val="000000"/>
              </w:rPr>
            </w:pPr>
            <w:r w:rsidRPr="00614ED2">
              <w:rPr>
                <w:rFonts w:cs="Arial"/>
                <w:color w:val="000000"/>
              </w:rPr>
              <w:t>0D1647B</w:t>
            </w:r>
          </w:p>
        </w:tc>
        <w:tc>
          <w:tcPr>
            <w:tcW w:w="7560" w:type="dxa"/>
            <w:noWrap/>
            <w:vAlign w:val="center"/>
            <w:hideMark/>
          </w:tcPr>
          <w:p w14:paraId="7BF9FC8C" w14:textId="77777777" w:rsidR="00363287" w:rsidRPr="00614ED2" w:rsidRDefault="00363287" w:rsidP="00696E8F">
            <w:pPr>
              <w:rPr>
                <w:rFonts w:cs="Arial"/>
                <w:color w:val="000000"/>
              </w:rPr>
            </w:pPr>
            <w:r w:rsidRPr="00614ED2">
              <w:rPr>
                <w:rFonts w:cs="Arial"/>
                <w:color w:val="000000"/>
              </w:rPr>
              <w:t>Bypass Stomach to Ileum with Autologous Tissue Substitute, Percutaneous Endoscopic Approach</w:t>
            </w:r>
          </w:p>
        </w:tc>
      </w:tr>
      <w:tr w:rsidR="003E1F5B" w:rsidRPr="00614ED2" w14:paraId="1A093B00" w14:textId="77777777" w:rsidTr="009617F5">
        <w:trPr>
          <w:trHeight w:val="300"/>
        </w:trPr>
        <w:tc>
          <w:tcPr>
            <w:tcW w:w="1872" w:type="dxa"/>
            <w:noWrap/>
            <w:vAlign w:val="bottom"/>
          </w:tcPr>
          <w:p w14:paraId="293B0704" w14:textId="229B5228" w:rsidR="003E1F5B" w:rsidRPr="00614ED2" w:rsidRDefault="003E1F5B" w:rsidP="003E1F5B">
            <w:pPr>
              <w:rPr>
                <w:rFonts w:cs="Arial"/>
                <w:color w:val="000000"/>
              </w:rPr>
            </w:pPr>
            <w:r w:rsidRPr="001C4276">
              <w:rPr>
                <w:rFonts w:cstheme="minorHAnsi"/>
                <w:color w:val="000000"/>
              </w:rPr>
              <w:t>0D164J9</w:t>
            </w:r>
          </w:p>
        </w:tc>
        <w:tc>
          <w:tcPr>
            <w:tcW w:w="7560" w:type="dxa"/>
            <w:noWrap/>
            <w:vAlign w:val="bottom"/>
          </w:tcPr>
          <w:p w14:paraId="5888FAC5" w14:textId="3BAB7E8E" w:rsidR="003E1F5B" w:rsidRPr="00614ED2" w:rsidRDefault="003E1F5B" w:rsidP="003E1F5B">
            <w:pPr>
              <w:rPr>
                <w:rFonts w:cs="Arial"/>
                <w:color w:val="000000"/>
              </w:rPr>
            </w:pPr>
            <w:r w:rsidRPr="001C4276">
              <w:rPr>
                <w:rFonts w:cstheme="minorHAnsi"/>
                <w:color w:val="000000"/>
              </w:rPr>
              <w:t>Bypass Stomach to Duodenum with Synthetic Substitute, Percutaneous Endoscopic Approach</w:t>
            </w:r>
          </w:p>
        </w:tc>
      </w:tr>
      <w:tr w:rsidR="003E1F5B" w:rsidRPr="00614ED2" w14:paraId="2FD8BDCB" w14:textId="77777777" w:rsidTr="009617F5">
        <w:trPr>
          <w:trHeight w:val="300"/>
        </w:trPr>
        <w:tc>
          <w:tcPr>
            <w:tcW w:w="1872" w:type="dxa"/>
            <w:noWrap/>
            <w:vAlign w:val="bottom"/>
          </w:tcPr>
          <w:p w14:paraId="18643177" w14:textId="3D22E600" w:rsidR="003E1F5B" w:rsidRPr="00614ED2" w:rsidRDefault="003E1F5B" w:rsidP="003E1F5B">
            <w:pPr>
              <w:rPr>
                <w:rFonts w:cs="Arial"/>
                <w:color w:val="000000"/>
              </w:rPr>
            </w:pPr>
            <w:r w:rsidRPr="001C4276">
              <w:rPr>
                <w:rFonts w:cstheme="minorHAnsi"/>
                <w:color w:val="000000"/>
              </w:rPr>
              <w:t>0D164JA</w:t>
            </w:r>
          </w:p>
        </w:tc>
        <w:tc>
          <w:tcPr>
            <w:tcW w:w="7560" w:type="dxa"/>
            <w:noWrap/>
            <w:vAlign w:val="bottom"/>
          </w:tcPr>
          <w:p w14:paraId="56CA7433" w14:textId="7EDE74B9" w:rsidR="003E1F5B" w:rsidRPr="00614ED2" w:rsidRDefault="003E1F5B" w:rsidP="003E1F5B">
            <w:pPr>
              <w:rPr>
                <w:rFonts w:cs="Arial"/>
                <w:color w:val="000000"/>
              </w:rPr>
            </w:pPr>
            <w:r w:rsidRPr="001C4276">
              <w:rPr>
                <w:rFonts w:cstheme="minorHAnsi"/>
                <w:color w:val="000000"/>
              </w:rPr>
              <w:t>Bypass Stomach to Jejunum with Synthetic Substitute, Percutaneous Endoscopic Approach</w:t>
            </w:r>
          </w:p>
        </w:tc>
      </w:tr>
      <w:tr w:rsidR="003E1F5B" w:rsidRPr="00614ED2" w14:paraId="75DE8447" w14:textId="77777777" w:rsidTr="009617F5">
        <w:trPr>
          <w:trHeight w:val="300"/>
        </w:trPr>
        <w:tc>
          <w:tcPr>
            <w:tcW w:w="1872" w:type="dxa"/>
            <w:noWrap/>
            <w:vAlign w:val="bottom"/>
          </w:tcPr>
          <w:p w14:paraId="40BD86AD" w14:textId="3730DE89" w:rsidR="003E1F5B" w:rsidRPr="00614ED2" w:rsidRDefault="003E1F5B" w:rsidP="003E1F5B">
            <w:pPr>
              <w:rPr>
                <w:rFonts w:cs="Arial"/>
                <w:color w:val="000000"/>
              </w:rPr>
            </w:pPr>
            <w:r w:rsidRPr="001C4276">
              <w:rPr>
                <w:rFonts w:cstheme="minorHAnsi"/>
                <w:color w:val="000000"/>
              </w:rPr>
              <w:t>0D164JB</w:t>
            </w:r>
          </w:p>
        </w:tc>
        <w:tc>
          <w:tcPr>
            <w:tcW w:w="7560" w:type="dxa"/>
            <w:noWrap/>
            <w:vAlign w:val="bottom"/>
          </w:tcPr>
          <w:p w14:paraId="41E47EBA" w14:textId="68D5F506" w:rsidR="003E1F5B" w:rsidRPr="00614ED2" w:rsidRDefault="003E1F5B" w:rsidP="003E1F5B">
            <w:pPr>
              <w:rPr>
                <w:rFonts w:cs="Arial"/>
                <w:color w:val="000000"/>
              </w:rPr>
            </w:pPr>
            <w:r w:rsidRPr="001C4276">
              <w:rPr>
                <w:rFonts w:cstheme="minorHAnsi"/>
                <w:color w:val="000000"/>
              </w:rPr>
              <w:t>Bypass Stomach to Ileum with Synthetic Substitute, Percutaneous Endoscopic Approach</w:t>
            </w:r>
          </w:p>
        </w:tc>
      </w:tr>
      <w:tr w:rsidR="003E1F5B" w:rsidRPr="00614ED2" w14:paraId="1B1E02E3" w14:textId="77777777" w:rsidTr="009617F5">
        <w:trPr>
          <w:trHeight w:val="300"/>
        </w:trPr>
        <w:tc>
          <w:tcPr>
            <w:tcW w:w="1872" w:type="dxa"/>
            <w:noWrap/>
            <w:vAlign w:val="bottom"/>
          </w:tcPr>
          <w:p w14:paraId="0AEEB6BA" w14:textId="7325DD6A" w:rsidR="003E1F5B" w:rsidRPr="00614ED2" w:rsidRDefault="003E1F5B" w:rsidP="003E1F5B">
            <w:pPr>
              <w:rPr>
                <w:rFonts w:cs="Arial"/>
                <w:color w:val="000000"/>
              </w:rPr>
            </w:pPr>
            <w:r w:rsidRPr="001C4276">
              <w:rPr>
                <w:rFonts w:cstheme="minorHAnsi"/>
                <w:color w:val="000000"/>
              </w:rPr>
              <w:t>0D164K9</w:t>
            </w:r>
          </w:p>
        </w:tc>
        <w:tc>
          <w:tcPr>
            <w:tcW w:w="7560" w:type="dxa"/>
            <w:noWrap/>
            <w:vAlign w:val="bottom"/>
          </w:tcPr>
          <w:p w14:paraId="02E4B5C5" w14:textId="0EAC1D7A" w:rsidR="003E1F5B" w:rsidRPr="00614ED2" w:rsidRDefault="003E1F5B" w:rsidP="003E1F5B">
            <w:pPr>
              <w:rPr>
                <w:rFonts w:cs="Arial"/>
                <w:color w:val="000000"/>
              </w:rPr>
            </w:pPr>
            <w:r w:rsidRPr="001C4276">
              <w:rPr>
                <w:rFonts w:cstheme="minorHAnsi"/>
                <w:color w:val="000000"/>
              </w:rPr>
              <w:t xml:space="preserve">Bypass Stomach to Duodenum with </w:t>
            </w:r>
            <w:proofErr w:type="spellStart"/>
            <w:r w:rsidRPr="001C4276">
              <w:rPr>
                <w:rFonts w:cstheme="minorHAnsi"/>
                <w:color w:val="000000"/>
              </w:rPr>
              <w:t>Nonautologous</w:t>
            </w:r>
            <w:proofErr w:type="spellEnd"/>
            <w:r w:rsidRPr="001C4276">
              <w:rPr>
                <w:rFonts w:cstheme="minorHAnsi"/>
                <w:color w:val="000000"/>
              </w:rPr>
              <w:t xml:space="preserve"> Tissue Substitute, Percutaneous Endoscopic Approach</w:t>
            </w:r>
          </w:p>
        </w:tc>
      </w:tr>
      <w:tr w:rsidR="003E1F5B" w:rsidRPr="00614ED2" w14:paraId="634FC502" w14:textId="77777777" w:rsidTr="009617F5">
        <w:trPr>
          <w:trHeight w:val="300"/>
        </w:trPr>
        <w:tc>
          <w:tcPr>
            <w:tcW w:w="1872" w:type="dxa"/>
            <w:noWrap/>
            <w:vAlign w:val="bottom"/>
          </w:tcPr>
          <w:p w14:paraId="3B60FB19" w14:textId="7BF38F6F" w:rsidR="003E1F5B" w:rsidRPr="00614ED2" w:rsidRDefault="003E1F5B" w:rsidP="003E1F5B">
            <w:pPr>
              <w:rPr>
                <w:rFonts w:cs="Arial"/>
                <w:color w:val="000000"/>
              </w:rPr>
            </w:pPr>
            <w:r w:rsidRPr="001C4276">
              <w:rPr>
                <w:rFonts w:cstheme="minorHAnsi"/>
                <w:color w:val="000000"/>
              </w:rPr>
              <w:t>0D164KA</w:t>
            </w:r>
          </w:p>
        </w:tc>
        <w:tc>
          <w:tcPr>
            <w:tcW w:w="7560" w:type="dxa"/>
            <w:noWrap/>
            <w:vAlign w:val="bottom"/>
          </w:tcPr>
          <w:p w14:paraId="128DC1C8" w14:textId="49D2856B" w:rsidR="003E1F5B" w:rsidRPr="00614ED2" w:rsidRDefault="003E1F5B" w:rsidP="003E1F5B">
            <w:pPr>
              <w:rPr>
                <w:rFonts w:cs="Arial"/>
                <w:color w:val="000000"/>
              </w:rPr>
            </w:pPr>
            <w:r w:rsidRPr="001C4276">
              <w:rPr>
                <w:rFonts w:cstheme="minorHAnsi"/>
                <w:color w:val="000000"/>
              </w:rPr>
              <w:t xml:space="preserve">Bypass Stomach to Jejunum with </w:t>
            </w:r>
            <w:proofErr w:type="spellStart"/>
            <w:r w:rsidRPr="001C4276">
              <w:rPr>
                <w:rFonts w:cstheme="minorHAnsi"/>
                <w:color w:val="000000"/>
              </w:rPr>
              <w:t>Nonautologous</w:t>
            </w:r>
            <w:proofErr w:type="spellEnd"/>
            <w:r w:rsidRPr="001C4276">
              <w:rPr>
                <w:rFonts w:cstheme="minorHAnsi"/>
                <w:color w:val="000000"/>
              </w:rPr>
              <w:t xml:space="preserve"> Tissue Substitute, Percutaneous Endoscopic Approach</w:t>
            </w:r>
          </w:p>
        </w:tc>
      </w:tr>
      <w:tr w:rsidR="003E1F5B" w:rsidRPr="00614ED2" w14:paraId="2BD2BDEC" w14:textId="77777777" w:rsidTr="009617F5">
        <w:trPr>
          <w:trHeight w:val="300"/>
        </w:trPr>
        <w:tc>
          <w:tcPr>
            <w:tcW w:w="1872" w:type="dxa"/>
            <w:noWrap/>
            <w:vAlign w:val="bottom"/>
          </w:tcPr>
          <w:p w14:paraId="1A21F958" w14:textId="2C552985" w:rsidR="003E1F5B" w:rsidRPr="00614ED2" w:rsidRDefault="003E1F5B" w:rsidP="003E1F5B">
            <w:pPr>
              <w:rPr>
                <w:rFonts w:cs="Arial"/>
                <w:color w:val="000000"/>
              </w:rPr>
            </w:pPr>
            <w:r w:rsidRPr="001C4276">
              <w:rPr>
                <w:rFonts w:cstheme="minorHAnsi"/>
                <w:color w:val="000000"/>
              </w:rPr>
              <w:lastRenderedPageBreak/>
              <w:t>0D164KB</w:t>
            </w:r>
          </w:p>
        </w:tc>
        <w:tc>
          <w:tcPr>
            <w:tcW w:w="7560" w:type="dxa"/>
            <w:noWrap/>
            <w:vAlign w:val="bottom"/>
          </w:tcPr>
          <w:p w14:paraId="2467591F" w14:textId="5A26B060" w:rsidR="003E1F5B" w:rsidRPr="00614ED2" w:rsidRDefault="003E1F5B" w:rsidP="003E1F5B">
            <w:pPr>
              <w:rPr>
                <w:rFonts w:cs="Arial"/>
                <w:color w:val="000000"/>
              </w:rPr>
            </w:pPr>
            <w:r w:rsidRPr="001C4276">
              <w:rPr>
                <w:rFonts w:cstheme="minorHAnsi"/>
                <w:color w:val="000000"/>
              </w:rPr>
              <w:t xml:space="preserve">Bypass Stomach to Ileum with </w:t>
            </w:r>
            <w:proofErr w:type="spellStart"/>
            <w:r w:rsidRPr="001C4276">
              <w:rPr>
                <w:rFonts w:cstheme="minorHAnsi"/>
                <w:color w:val="000000"/>
              </w:rPr>
              <w:t>Nonautologous</w:t>
            </w:r>
            <w:proofErr w:type="spellEnd"/>
            <w:r w:rsidRPr="001C4276">
              <w:rPr>
                <w:rFonts w:cstheme="minorHAnsi"/>
                <w:color w:val="000000"/>
              </w:rPr>
              <w:t xml:space="preserve"> Tissue Substitute, Percutaneous Endoscopic Approach</w:t>
            </w:r>
          </w:p>
        </w:tc>
      </w:tr>
      <w:tr w:rsidR="00363287" w:rsidRPr="00614ED2" w14:paraId="4516640A" w14:textId="77777777" w:rsidTr="00696E8F">
        <w:trPr>
          <w:trHeight w:val="300"/>
        </w:trPr>
        <w:tc>
          <w:tcPr>
            <w:tcW w:w="1872" w:type="dxa"/>
            <w:noWrap/>
            <w:vAlign w:val="center"/>
            <w:hideMark/>
          </w:tcPr>
          <w:p w14:paraId="68840A98" w14:textId="77777777" w:rsidR="00363287" w:rsidRPr="00614ED2" w:rsidRDefault="00363287" w:rsidP="00696E8F">
            <w:pPr>
              <w:rPr>
                <w:rFonts w:cs="Arial"/>
                <w:color w:val="000000"/>
              </w:rPr>
            </w:pPr>
            <w:r w:rsidRPr="00614ED2">
              <w:rPr>
                <w:rFonts w:cs="Arial"/>
                <w:color w:val="000000"/>
              </w:rPr>
              <w:t>0D164Z9</w:t>
            </w:r>
          </w:p>
        </w:tc>
        <w:tc>
          <w:tcPr>
            <w:tcW w:w="7560" w:type="dxa"/>
            <w:noWrap/>
            <w:vAlign w:val="center"/>
            <w:hideMark/>
          </w:tcPr>
          <w:p w14:paraId="2C9757F7" w14:textId="77777777" w:rsidR="00363287" w:rsidRPr="00614ED2" w:rsidRDefault="00363287" w:rsidP="00696E8F">
            <w:pPr>
              <w:rPr>
                <w:rFonts w:cs="Arial"/>
                <w:color w:val="000000"/>
              </w:rPr>
            </w:pPr>
            <w:r w:rsidRPr="00614ED2">
              <w:rPr>
                <w:rFonts w:cs="Arial"/>
                <w:color w:val="000000"/>
              </w:rPr>
              <w:t>Bypass Stomach to Duodenum, Percutaneous Endoscopic Approach</w:t>
            </w:r>
          </w:p>
        </w:tc>
      </w:tr>
      <w:tr w:rsidR="00363287" w:rsidRPr="00614ED2" w14:paraId="6E77CEE4" w14:textId="77777777" w:rsidTr="00696E8F">
        <w:trPr>
          <w:trHeight w:val="300"/>
        </w:trPr>
        <w:tc>
          <w:tcPr>
            <w:tcW w:w="1872" w:type="dxa"/>
            <w:noWrap/>
            <w:vAlign w:val="center"/>
            <w:hideMark/>
          </w:tcPr>
          <w:p w14:paraId="0708AE26" w14:textId="77777777" w:rsidR="00363287" w:rsidRPr="00614ED2" w:rsidRDefault="00363287" w:rsidP="00696E8F">
            <w:pPr>
              <w:rPr>
                <w:rFonts w:cs="Arial"/>
                <w:color w:val="000000"/>
              </w:rPr>
            </w:pPr>
            <w:r w:rsidRPr="00614ED2">
              <w:rPr>
                <w:rFonts w:cs="Arial"/>
                <w:color w:val="000000"/>
              </w:rPr>
              <w:t>0D164ZA</w:t>
            </w:r>
          </w:p>
        </w:tc>
        <w:tc>
          <w:tcPr>
            <w:tcW w:w="7560" w:type="dxa"/>
            <w:noWrap/>
            <w:vAlign w:val="center"/>
            <w:hideMark/>
          </w:tcPr>
          <w:p w14:paraId="730DAB76" w14:textId="77777777" w:rsidR="00363287" w:rsidRPr="00614ED2" w:rsidRDefault="00363287" w:rsidP="00696E8F">
            <w:pPr>
              <w:rPr>
                <w:rFonts w:cs="Arial"/>
                <w:color w:val="000000"/>
              </w:rPr>
            </w:pPr>
            <w:r w:rsidRPr="00614ED2">
              <w:rPr>
                <w:rFonts w:cs="Arial"/>
                <w:color w:val="000000"/>
              </w:rPr>
              <w:t>Bypass Stomach to Jejunum, Percutaneous Endoscopic Approach</w:t>
            </w:r>
          </w:p>
        </w:tc>
      </w:tr>
      <w:tr w:rsidR="00363287" w:rsidRPr="00614ED2" w14:paraId="492F77D5" w14:textId="77777777" w:rsidTr="00696E8F">
        <w:trPr>
          <w:trHeight w:val="300"/>
        </w:trPr>
        <w:tc>
          <w:tcPr>
            <w:tcW w:w="1872" w:type="dxa"/>
            <w:noWrap/>
            <w:vAlign w:val="center"/>
            <w:hideMark/>
          </w:tcPr>
          <w:p w14:paraId="0548F8F1" w14:textId="77777777" w:rsidR="00363287" w:rsidRPr="00614ED2" w:rsidRDefault="00363287" w:rsidP="00696E8F">
            <w:pPr>
              <w:rPr>
                <w:rFonts w:cs="Arial"/>
                <w:color w:val="000000"/>
              </w:rPr>
            </w:pPr>
            <w:r w:rsidRPr="00614ED2">
              <w:rPr>
                <w:rFonts w:cs="Arial"/>
                <w:color w:val="000000"/>
              </w:rPr>
              <w:t>0D164ZB</w:t>
            </w:r>
          </w:p>
        </w:tc>
        <w:tc>
          <w:tcPr>
            <w:tcW w:w="7560" w:type="dxa"/>
            <w:noWrap/>
            <w:vAlign w:val="center"/>
            <w:hideMark/>
          </w:tcPr>
          <w:p w14:paraId="5B82EF9E" w14:textId="77777777" w:rsidR="00363287" w:rsidRPr="00614ED2" w:rsidRDefault="00363287" w:rsidP="00696E8F">
            <w:pPr>
              <w:rPr>
                <w:rFonts w:cs="Arial"/>
                <w:color w:val="000000"/>
              </w:rPr>
            </w:pPr>
            <w:r w:rsidRPr="00614ED2">
              <w:rPr>
                <w:rFonts w:cs="Arial"/>
                <w:color w:val="000000"/>
              </w:rPr>
              <w:t>Bypass Stomach to Ileum, Percutaneous Endoscopic Approach</w:t>
            </w:r>
          </w:p>
        </w:tc>
      </w:tr>
      <w:tr w:rsidR="00375038" w:rsidRPr="00614ED2" w14:paraId="2307F937" w14:textId="77777777" w:rsidTr="009617F5">
        <w:trPr>
          <w:trHeight w:val="300"/>
        </w:trPr>
        <w:tc>
          <w:tcPr>
            <w:tcW w:w="1872" w:type="dxa"/>
            <w:noWrap/>
            <w:vAlign w:val="bottom"/>
          </w:tcPr>
          <w:p w14:paraId="01DBAD74" w14:textId="40DA95C6" w:rsidR="00375038" w:rsidRPr="00614ED2" w:rsidRDefault="00375038" w:rsidP="00375038">
            <w:pPr>
              <w:rPr>
                <w:rFonts w:cs="Arial"/>
                <w:color w:val="000000"/>
              </w:rPr>
            </w:pPr>
            <w:r w:rsidRPr="001C4276">
              <w:rPr>
                <w:rFonts w:cstheme="minorHAnsi"/>
                <w:color w:val="000000"/>
              </w:rPr>
              <w:t>0D16879</w:t>
            </w:r>
          </w:p>
        </w:tc>
        <w:tc>
          <w:tcPr>
            <w:tcW w:w="7560" w:type="dxa"/>
            <w:noWrap/>
            <w:vAlign w:val="bottom"/>
          </w:tcPr>
          <w:p w14:paraId="6399EC38" w14:textId="1CB0B0F6" w:rsidR="00375038" w:rsidRPr="00614ED2" w:rsidRDefault="00375038" w:rsidP="00375038">
            <w:pPr>
              <w:rPr>
                <w:rFonts w:cs="Arial"/>
                <w:color w:val="000000"/>
              </w:rPr>
            </w:pPr>
            <w:r w:rsidRPr="001C4276">
              <w:rPr>
                <w:rFonts w:cstheme="minorHAnsi"/>
                <w:color w:val="000000"/>
              </w:rPr>
              <w:t>Bypass Stomach to Duodenum with Autologous Tissue Substitute, Via Natural or Artificial Opening Endoscopic</w:t>
            </w:r>
          </w:p>
        </w:tc>
      </w:tr>
      <w:tr w:rsidR="00375038" w:rsidRPr="00614ED2" w14:paraId="2191E4E8" w14:textId="77777777" w:rsidTr="009617F5">
        <w:trPr>
          <w:trHeight w:val="300"/>
        </w:trPr>
        <w:tc>
          <w:tcPr>
            <w:tcW w:w="1872" w:type="dxa"/>
            <w:noWrap/>
            <w:vAlign w:val="bottom"/>
          </w:tcPr>
          <w:p w14:paraId="45129761" w14:textId="418193A6" w:rsidR="00375038" w:rsidRPr="00614ED2" w:rsidRDefault="00375038" w:rsidP="00375038">
            <w:pPr>
              <w:rPr>
                <w:rFonts w:cs="Arial"/>
                <w:color w:val="000000"/>
              </w:rPr>
            </w:pPr>
            <w:r w:rsidRPr="001C4276">
              <w:rPr>
                <w:rFonts w:cstheme="minorHAnsi"/>
                <w:color w:val="000000"/>
              </w:rPr>
              <w:t>0D1687A</w:t>
            </w:r>
          </w:p>
        </w:tc>
        <w:tc>
          <w:tcPr>
            <w:tcW w:w="7560" w:type="dxa"/>
            <w:noWrap/>
            <w:vAlign w:val="bottom"/>
          </w:tcPr>
          <w:p w14:paraId="754635FB" w14:textId="230A2FAF" w:rsidR="00375038" w:rsidRPr="00614ED2" w:rsidRDefault="00375038" w:rsidP="00375038">
            <w:pPr>
              <w:rPr>
                <w:rFonts w:cs="Arial"/>
                <w:color w:val="000000"/>
              </w:rPr>
            </w:pPr>
            <w:r w:rsidRPr="001C4276">
              <w:rPr>
                <w:rFonts w:cstheme="minorHAnsi"/>
                <w:color w:val="000000"/>
              </w:rPr>
              <w:t>Bypass Stomach to Jejunum with Autologous Tissue Substitute, Via Natural or Artificial Opening Endoscopic</w:t>
            </w:r>
          </w:p>
        </w:tc>
      </w:tr>
      <w:tr w:rsidR="00375038" w:rsidRPr="00614ED2" w14:paraId="353D577E" w14:textId="77777777" w:rsidTr="009617F5">
        <w:trPr>
          <w:trHeight w:val="300"/>
        </w:trPr>
        <w:tc>
          <w:tcPr>
            <w:tcW w:w="1872" w:type="dxa"/>
            <w:noWrap/>
            <w:vAlign w:val="bottom"/>
          </w:tcPr>
          <w:p w14:paraId="6EA5CEC3" w14:textId="58D40106" w:rsidR="00375038" w:rsidRPr="00614ED2" w:rsidRDefault="00375038" w:rsidP="00375038">
            <w:pPr>
              <w:rPr>
                <w:rFonts w:cs="Arial"/>
                <w:color w:val="000000"/>
              </w:rPr>
            </w:pPr>
            <w:r w:rsidRPr="001C4276">
              <w:rPr>
                <w:rFonts w:cstheme="minorHAnsi"/>
                <w:color w:val="000000"/>
              </w:rPr>
              <w:t>0D1687B</w:t>
            </w:r>
          </w:p>
        </w:tc>
        <w:tc>
          <w:tcPr>
            <w:tcW w:w="7560" w:type="dxa"/>
            <w:noWrap/>
            <w:vAlign w:val="bottom"/>
          </w:tcPr>
          <w:p w14:paraId="69F9F51D" w14:textId="583822B6" w:rsidR="00375038" w:rsidRPr="00614ED2" w:rsidRDefault="00375038" w:rsidP="00375038">
            <w:pPr>
              <w:rPr>
                <w:rFonts w:cs="Arial"/>
                <w:color w:val="000000"/>
              </w:rPr>
            </w:pPr>
            <w:r w:rsidRPr="001C4276">
              <w:rPr>
                <w:rFonts w:cstheme="minorHAnsi"/>
                <w:color w:val="000000"/>
              </w:rPr>
              <w:t>Bypass Stomach to Ileum with Autologous Tissue Substitute, Via Natural or Artificial Opening Endoscopic</w:t>
            </w:r>
          </w:p>
        </w:tc>
      </w:tr>
      <w:tr w:rsidR="00375038" w:rsidRPr="00614ED2" w14:paraId="342D8E1E" w14:textId="77777777" w:rsidTr="009617F5">
        <w:trPr>
          <w:trHeight w:val="300"/>
        </w:trPr>
        <w:tc>
          <w:tcPr>
            <w:tcW w:w="1872" w:type="dxa"/>
            <w:noWrap/>
            <w:vAlign w:val="bottom"/>
          </w:tcPr>
          <w:p w14:paraId="0A57DF2D" w14:textId="7C9890A8" w:rsidR="00375038" w:rsidRPr="00614ED2" w:rsidRDefault="00375038" w:rsidP="00375038">
            <w:pPr>
              <w:rPr>
                <w:rFonts w:cs="Arial"/>
                <w:color w:val="000000"/>
              </w:rPr>
            </w:pPr>
            <w:r w:rsidRPr="001C4276">
              <w:rPr>
                <w:rFonts w:cstheme="minorHAnsi"/>
                <w:color w:val="000000"/>
              </w:rPr>
              <w:t>0D168J9</w:t>
            </w:r>
          </w:p>
        </w:tc>
        <w:tc>
          <w:tcPr>
            <w:tcW w:w="7560" w:type="dxa"/>
            <w:noWrap/>
            <w:vAlign w:val="bottom"/>
          </w:tcPr>
          <w:p w14:paraId="6819786B" w14:textId="03F2767E" w:rsidR="00375038" w:rsidRPr="00614ED2" w:rsidRDefault="00375038" w:rsidP="00375038">
            <w:pPr>
              <w:rPr>
                <w:rFonts w:cs="Arial"/>
                <w:color w:val="000000"/>
              </w:rPr>
            </w:pPr>
            <w:r w:rsidRPr="001C4276">
              <w:rPr>
                <w:rFonts w:cstheme="minorHAnsi"/>
                <w:color w:val="000000"/>
              </w:rPr>
              <w:t>Bypass Stomach to Duodenum with Synthetic Substitute, Via Natural or Artificial Opening Endoscopic</w:t>
            </w:r>
          </w:p>
        </w:tc>
      </w:tr>
      <w:tr w:rsidR="00375038" w:rsidRPr="00614ED2" w14:paraId="378C7BBA" w14:textId="77777777" w:rsidTr="009617F5">
        <w:trPr>
          <w:trHeight w:val="300"/>
        </w:trPr>
        <w:tc>
          <w:tcPr>
            <w:tcW w:w="1872" w:type="dxa"/>
            <w:noWrap/>
            <w:vAlign w:val="bottom"/>
          </w:tcPr>
          <w:p w14:paraId="4753276A" w14:textId="07B88430" w:rsidR="00375038" w:rsidRPr="00614ED2" w:rsidRDefault="00375038" w:rsidP="00375038">
            <w:pPr>
              <w:rPr>
                <w:rFonts w:cs="Arial"/>
                <w:color w:val="000000"/>
              </w:rPr>
            </w:pPr>
            <w:r w:rsidRPr="001C4276">
              <w:rPr>
                <w:rFonts w:cstheme="minorHAnsi"/>
                <w:color w:val="000000"/>
              </w:rPr>
              <w:t>0D168JA</w:t>
            </w:r>
          </w:p>
        </w:tc>
        <w:tc>
          <w:tcPr>
            <w:tcW w:w="7560" w:type="dxa"/>
            <w:noWrap/>
            <w:vAlign w:val="bottom"/>
          </w:tcPr>
          <w:p w14:paraId="5C1BF4D5" w14:textId="4CB3D2B2" w:rsidR="00375038" w:rsidRPr="00614ED2" w:rsidRDefault="00375038" w:rsidP="00375038">
            <w:pPr>
              <w:rPr>
                <w:rFonts w:cs="Arial"/>
                <w:color w:val="000000"/>
              </w:rPr>
            </w:pPr>
            <w:r w:rsidRPr="001C4276">
              <w:rPr>
                <w:rFonts w:cstheme="minorHAnsi"/>
                <w:color w:val="000000"/>
              </w:rPr>
              <w:t>Bypass Stomach to Jejunum with Synthetic Substitute, Via Natural or Artificial Opening Endoscopic</w:t>
            </w:r>
          </w:p>
        </w:tc>
      </w:tr>
      <w:tr w:rsidR="00375038" w:rsidRPr="00614ED2" w14:paraId="25D0F083" w14:textId="77777777" w:rsidTr="009617F5">
        <w:trPr>
          <w:trHeight w:val="300"/>
        </w:trPr>
        <w:tc>
          <w:tcPr>
            <w:tcW w:w="1872" w:type="dxa"/>
            <w:noWrap/>
            <w:vAlign w:val="bottom"/>
          </w:tcPr>
          <w:p w14:paraId="3A33D061" w14:textId="29A6C56A" w:rsidR="00375038" w:rsidRPr="00614ED2" w:rsidRDefault="00375038" w:rsidP="00375038">
            <w:pPr>
              <w:rPr>
                <w:rFonts w:cs="Arial"/>
                <w:color w:val="000000"/>
              </w:rPr>
            </w:pPr>
            <w:r w:rsidRPr="001C4276">
              <w:rPr>
                <w:rFonts w:cstheme="minorHAnsi"/>
                <w:color w:val="000000"/>
              </w:rPr>
              <w:t>0D168JB</w:t>
            </w:r>
          </w:p>
        </w:tc>
        <w:tc>
          <w:tcPr>
            <w:tcW w:w="7560" w:type="dxa"/>
            <w:noWrap/>
            <w:vAlign w:val="bottom"/>
          </w:tcPr>
          <w:p w14:paraId="70CDE4D7" w14:textId="7DF049AC" w:rsidR="00375038" w:rsidRPr="00614ED2" w:rsidRDefault="00375038" w:rsidP="00375038">
            <w:pPr>
              <w:rPr>
                <w:rFonts w:cs="Arial"/>
                <w:color w:val="000000"/>
              </w:rPr>
            </w:pPr>
            <w:r w:rsidRPr="001C4276">
              <w:rPr>
                <w:rFonts w:cstheme="minorHAnsi"/>
                <w:color w:val="000000"/>
              </w:rPr>
              <w:t>Bypass Stomach to Ileum with Synthetic Substitute, Via Natural or Artificial Opening Endoscopic</w:t>
            </w:r>
          </w:p>
        </w:tc>
      </w:tr>
      <w:tr w:rsidR="00375038" w:rsidRPr="00614ED2" w14:paraId="56CA34D0" w14:textId="77777777" w:rsidTr="009617F5">
        <w:trPr>
          <w:trHeight w:val="300"/>
        </w:trPr>
        <w:tc>
          <w:tcPr>
            <w:tcW w:w="1872" w:type="dxa"/>
            <w:noWrap/>
            <w:vAlign w:val="bottom"/>
          </w:tcPr>
          <w:p w14:paraId="325435EB" w14:textId="06474758" w:rsidR="00375038" w:rsidRPr="00614ED2" w:rsidRDefault="00375038" w:rsidP="00375038">
            <w:pPr>
              <w:rPr>
                <w:rFonts w:cs="Arial"/>
                <w:color w:val="000000"/>
              </w:rPr>
            </w:pPr>
            <w:r w:rsidRPr="001C4276">
              <w:rPr>
                <w:rFonts w:cstheme="minorHAnsi"/>
                <w:color w:val="000000"/>
              </w:rPr>
              <w:t>0D168K9</w:t>
            </w:r>
          </w:p>
        </w:tc>
        <w:tc>
          <w:tcPr>
            <w:tcW w:w="7560" w:type="dxa"/>
            <w:noWrap/>
            <w:vAlign w:val="bottom"/>
          </w:tcPr>
          <w:p w14:paraId="63A5480E" w14:textId="7788B82F" w:rsidR="00375038" w:rsidRPr="00614ED2" w:rsidRDefault="00375038" w:rsidP="00375038">
            <w:pPr>
              <w:rPr>
                <w:rFonts w:cs="Arial"/>
                <w:color w:val="000000"/>
              </w:rPr>
            </w:pPr>
            <w:r w:rsidRPr="001C4276">
              <w:rPr>
                <w:rFonts w:cstheme="minorHAnsi"/>
                <w:color w:val="000000"/>
              </w:rPr>
              <w:t xml:space="preserve">Bypass Stomach to Duodenum with </w:t>
            </w:r>
            <w:proofErr w:type="spellStart"/>
            <w:r w:rsidRPr="001C4276">
              <w:rPr>
                <w:rFonts w:cstheme="minorHAnsi"/>
                <w:color w:val="000000"/>
              </w:rPr>
              <w:t>Nonautologous</w:t>
            </w:r>
            <w:proofErr w:type="spellEnd"/>
            <w:r w:rsidRPr="001C4276">
              <w:rPr>
                <w:rFonts w:cstheme="minorHAnsi"/>
                <w:color w:val="000000"/>
              </w:rPr>
              <w:t xml:space="preserve"> Tissue Substitute, Via Natural or Artificial Opening Endoscopic</w:t>
            </w:r>
          </w:p>
        </w:tc>
      </w:tr>
      <w:tr w:rsidR="00375038" w:rsidRPr="00614ED2" w14:paraId="07953C20" w14:textId="77777777" w:rsidTr="009617F5">
        <w:trPr>
          <w:trHeight w:val="300"/>
        </w:trPr>
        <w:tc>
          <w:tcPr>
            <w:tcW w:w="1872" w:type="dxa"/>
            <w:noWrap/>
            <w:vAlign w:val="bottom"/>
          </w:tcPr>
          <w:p w14:paraId="52A35B50" w14:textId="530ECC46" w:rsidR="00375038" w:rsidRPr="00614ED2" w:rsidRDefault="00375038" w:rsidP="00375038">
            <w:pPr>
              <w:rPr>
                <w:rFonts w:cs="Arial"/>
                <w:color w:val="000000"/>
              </w:rPr>
            </w:pPr>
            <w:r w:rsidRPr="001C4276">
              <w:rPr>
                <w:rFonts w:cstheme="minorHAnsi"/>
                <w:color w:val="000000"/>
              </w:rPr>
              <w:t>0D168KA</w:t>
            </w:r>
          </w:p>
        </w:tc>
        <w:tc>
          <w:tcPr>
            <w:tcW w:w="7560" w:type="dxa"/>
            <w:noWrap/>
            <w:vAlign w:val="bottom"/>
          </w:tcPr>
          <w:p w14:paraId="5FF2FB08" w14:textId="79BF742A" w:rsidR="00375038" w:rsidRPr="00614ED2" w:rsidRDefault="00375038" w:rsidP="00375038">
            <w:pPr>
              <w:rPr>
                <w:rFonts w:cs="Arial"/>
                <w:color w:val="000000"/>
              </w:rPr>
            </w:pPr>
            <w:r w:rsidRPr="001C4276">
              <w:rPr>
                <w:rFonts w:cstheme="minorHAnsi"/>
                <w:color w:val="000000"/>
              </w:rPr>
              <w:t xml:space="preserve">Bypass Stomach to Jejunum with </w:t>
            </w:r>
            <w:proofErr w:type="spellStart"/>
            <w:r w:rsidRPr="001C4276">
              <w:rPr>
                <w:rFonts w:cstheme="minorHAnsi"/>
                <w:color w:val="000000"/>
              </w:rPr>
              <w:t>Nonautologous</w:t>
            </w:r>
            <w:proofErr w:type="spellEnd"/>
            <w:r w:rsidRPr="001C4276">
              <w:rPr>
                <w:rFonts w:cstheme="minorHAnsi"/>
                <w:color w:val="000000"/>
              </w:rPr>
              <w:t xml:space="preserve"> Tissue Substitute, Via Natural or Artificial Opening Endoscopic</w:t>
            </w:r>
          </w:p>
        </w:tc>
      </w:tr>
      <w:tr w:rsidR="00375038" w:rsidRPr="00614ED2" w14:paraId="466C186C" w14:textId="77777777" w:rsidTr="009617F5">
        <w:trPr>
          <w:trHeight w:val="300"/>
        </w:trPr>
        <w:tc>
          <w:tcPr>
            <w:tcW w:w="1872" w:type="dxa"/>
            <w:noWrap/>
            <w:vAlign w:val="bottom"/>
          </w:tcPr>
          <w:p w14:paraId="35A8AD8F" w14:textId="40D86E30" w:rsidR="00375038" w:rsidRPr="00614ED2" w:rsidRDefault="00375038" w:rsidP="00375038">
            <w:pPr>
              <w:rPr>
                <w:rFonts w:cs="Arial"/>
                <w:color w:val="000000"/>
              </w:rPr>
            </w:pPr>
            <w:r w:rsidRPr="001C4276">
              <w:rPr>
                <w:rFonts w:cstheme="minorHAnsi"/>
                <w:color w:val="000000"/>
              </w:rPr>
              <w:t>0D168KB</w:t>
            </w:r>
          </w:p>
        </w:tc>
        <w:tc>
          <w:tcPr>
            <w:tcW w:w="7560" w:type="dxa"/>
            <w:noWrap/>
            <w:vAlign w:val="bottom"/>
          </w:tcPr>
          <w:p w14:paraId="23170D75" w14:textId="4A07F5E3" w:rsidR="00375038" w:rsidRPr="00614ED2" w:rsidRDefault="00375038" w:rsidP="00375038">
            <w:pPr>
              <w:rPr>
                <w:rFonts w:cs="Arial"/>
                <w:color w:val="000000"/>
              </w:rPr>
            </w:pPr>
            <w:r w:rsidRPr="001C4276">
              <w:rPr>
                <w:rFonts w:cstheme="minorHAnsi"/>
                <w:color w:val="000000"/>
              </w:rPr>
              <w:t xml:space="preserve">Bypass Stomach to Ileum with </w:t>
            </w:r>
            <w:proofErr w:type="spellStart"/>
            <w:r w:rsidRPr="001C4276">
              <w:rPr>
                <w:rFonts w:cstheme="minorHAnsi"/>
                <w:color w:val="000000"/>
              </w:rPr>
              <w:t>Nonautologous</w:t>
            </w:r>
            <w:proofErr w:type="spellEnd"/>
            <w:r w:rsidRPr="001C4276">
              <w:rPr>
                <w:rFonts w:cstheme="minorHAnsi"/>
                <w:color w:val="000000"/>
              </w:rPr>
              <w:t xml:space="preserve"> Tissue Substitute, Via Natural or Artificial Opening Endoscopic</w:t>
            </w:r>
          </w:p>
        </w:tc>
      </w:tr>
      <w:tr w:rsidR="00375038" w:rsidRPr="00614ED2" w14:paraId="498F7F96" w14:textId="77777777" w:rsidTr="009617F5">
        <w:trPr>
          <w:trHeight w:val="300"/>
        </w:trPr>
        <w:tc>
          <w:tcPr>
            <w:tcW w:w="1872" w:type="dxa"/>
            <w:noWrap/>
            <w:vAlign w:val="bottom"/>
          </w:tcPr>
          <w:p w14:paraId="58A5D40B" w14:textId="2E70E620" w:rsidR="00375038" w:rsidRPr="00614ED2" w:rsidRDefault="00375038" w:rsidP="00375038">
            <w:pPr>
              <w:rPr>
                <w:rFonts w:cs="Arial"/>
                <w:color w:val="000000"/>
              </w:rPr>
            </w:pPr>
            <w:r w:rsidRPr="001C4276">
              <w:rPr>
                <w:rFonts w:cstheme="minorHAnsi"/>
                <w:color w:val="000000"/>
              </w:rPr>
              <w:t>0D168Z9</w:t>
            </w:r>
          </w:p>
        </w:tc>
        <w:tc>
          <w:tcPr>
            <w:tcW w:w="7560" w:type="dxa"/>
            <w:noWrap/>
            <w:vAlign w:val="bottom"/>
          </w:tcPr>
          <w:p w14:paraId="6CC480D6" w14:textId="3C39193D" w:rsidR="00375038" w:rsidRPr="00614ED2" w:rsidRDefault="00375038" w:rsidP="00375038">
            <w:pPr>
              <w:rPr>
                <w:rFonts w:cs="Arial"/>
                <w:color w:val="000000"/>
              </w:rPr>
            </w:pPr>
            <w:r w:rsidRPr="001C4276">
              <w:rPr>
                <w:rFonts w:cstheme="minorHAnsi"/>
                <w:color w:val="000000"/>
              </w:rPr>
              <w:t>Bypass Stomach to Duodenum, Via Natural or Artificial Opening Endoscopic</w:t>
            </w:r>
          </w:p>
        </w:tc>
      </w:tr>
      <w:tr w:rsidR="00375038" w:rsidRPr="00614ED2" w14:paraId="22BE558F" w14:textId="77777777" w:rsidTr="009617F5">
        <w:trPr>
          <w:trHeight w:val="300"/>
        </w:trPr>
        <w:tc>
          <w:tcPr>
            <w:tcW w:w="1872" w:type="dxa"/>
            <w:noWrap/>
            <w:vAlign w:val="bottom"/>
          </w:tcPr>
          <w:p w14:paraId="4239B1A2" w14:textId="758A1B2A" w:rsidR="00375038" w:rsidRPr="00614ED2" w:rsidRDefault="00375038" w:rsidP="00375038">
            <w:pPr>
              <w:rPr>
                <w:rFonts w:cs="Arial"/>
                <w:color w:val="000000"/>
              </w:rPr>
            </w:pPr>
            <w:r w:rsidRPr="001C4276">
              <w:rPr>
                <w:rFonts w:cstheme="minorHAnsi"/>
                <w:color w:val="000000"/>
              </w:rPr>
              <w:t>0D168ZA</w:t>
            </w:r>
          </w:p>
        </w:tc>
        <w:tc>
          <w:tcPr>
            <w:tcW w:w="7560" w:type="dxa"/>
            <w:noWrap/>
            <w:vAlign w:val="bottom"/>
          </w:tcPr>
          <w:p w14:paraId="3A607D93" w14:textId="4E410A93" w:rsidR="00375038" w:rsidRPr="00614ED2" w:rsidRDefault="00375038" w:rsidP="00375038">
            <w:pPr>
              <w:rPr>
                <w:rFonts w:cs="Arial"/>
                <w:color w:val="000000"/>
              </w:rPr>
            </w:pPr>
            <w:r w:rsidRPr="001C4276">
              <w:rPr>
                <w:rFonts w:cstheme="minorHAnsi"/>
                <w:color w:val="000000"/>
              </w:rPr>
              <w:t>Bypass Stomach to Jejunum, Via Natural or Artificial Opening Endoscopic</w:t>
            </w:r>
          </w:p>
        </w:tc>
      </w:tr>
      <w:tr w:rsidR="00375038" w:rsidRPr="00614ED2" w14:paraId="64443FCD" w14:textId="77777777" w:rsidTr="009617F5">
        <w:trPr>
          <w:trHeight w:val="300"/>
        </w:trPr>
        <w:tc>
          <w:tcPr>
            <w:tcW w:w="1872" w:type="dxa"/>
            <w:noWrap/>
            <w:vAlign w:val="bottom"/>
          </w:tcPr>
          <w:p w14:paraId="347A1903" w14:textId="303F8E08" w:rsidR="00375038" w:rsidRPr="00614ED2" w:rsidRDefault="00375038" w:rsidP="00375038">
            <w:pPr>
              <w:rPr>
                <w:rFonts w:cs="Arial"/>
                <w:color w:val="000000"/>
              </w:rPr>
            </w:pPr>
            <w:r w:rsidRPr="001C4276">
              <w:rPr>
                <w:rFonts w:cstheme="minorHAnsi"/>
                <w:color w:val="000000"/>
              </w:rPr>
              <w:t>0D168ZB</w:t>
            </w:r>
          </w:p>
        </w:tc>
        <w:tc>
          <w:tcPr>
            <w:tcW w:w="7560" w:type="dxa"/>
            <w:noWrap/>
            <w:vAlign w:val="bottom"/>
          </w:tcPr>
          <w:p w14:paraId="4B1E4B86" w14:textId="1138A093" w:rsidR="00375038" w:rsidRPr="00614ED2" w:rsidRDefault="00375038" w:rsidP="00375038">
            <w:pPr>
              <w:rPr>
                <w:rFonts w:cs="Arial"/>
                <w:color w:val="000000"/>
              </w:rPr>
            </w:pPr>
            <w:r w:rsidRPr="001C4276">
              <w:rPr>
                <w:rFonts w:cstheme="minorHAnsi"/>
                <w:color w:val="000000"/>
              </w:rPr>
              <w:t>Bypass Stomach to Ileum, Via Natural or Artificial Opening Endoscopic</w:t>
            </w:r>
          </w:p>
        </w:tc>
      </w:tr>
      <w:tr w:rsidR="00363287" w:rsidRPr="00614ED2" w14:paraId="15A066E3" w14:textId="77777777" w:rsidTr="00696E8F">
        <w:trPr>
          <w:trHeight w:val="300"/>
        </w:trPr>
        <w:tc>
          <w:tcPr>
            <w:tcW w:w="1872" w:type="dxa"/>
            <w:noWrap/>
            <w:vAlign w:val="center"/>
            <w:hideMark/>
          </w:tcPr>
          <w:p w14:paraId="3D1514C0" w14:textId="77777777" w:rsidR="00363287" w:rsidRPr="00614ED2" w:rsidRDefault="00363287" w:rsidP="00696E8F">
            <w:pPr>
              <w:rPr>
                <w:rFonts w:cs="Arial"/>
                <w:color w:val="000000"/>
              </w:rPr>
            </w:pPr>
            <w:r w:rsidRPr="00614ED2">
              <w:rPr>
                <w:rFonts w:cs="Arial"/>
                <w:color w:val="000000"/>
              </w:rPr>
              <w:t>0DB60Z3</w:t>
            </w:r>
          </w:p>
        </w:tc>
        <w:tc>
          <w:tcPr>
            <w:tcW w:w="7560" w:type="dxa"/>
            <w:noWrap/>
            <w:vAlign w:val="center"/>
            <w:hideMark/>
          </w:tcPr>
          <w:p w14:paraId="6CC9D294" w14:textId="77777777" w:rsidR="00363287" w:rsidRPr="00614ED2" w:rsidRDefault="00363287" w:rsidP="00696E8F">
            <w:pPr>
              <w:rPr>
                <w:rFonts w:cs="Arial"/>
                <w:color w:val="000000"/>
              </w:rPr>
            </w:pPr>
            <w:r w:rsidRPr="00614ED2">
              <w:rPr>
                <w:rFonts w:cs="Arial"/>
                <w:color w:val="000000"/>
              </w:rPr>
              <w:t>Excision of Stomach, Open Approach, Vertical</w:t>
            </w:r>
          </w:p>
        </w:tc>
      </w:tr>
      <w:tr w:rsidR="00363287" w:rsidRPr="00614ED2" w14:paraId="1FC04F1B" w14:textId="77777777" w:rsidTr="00696E8F">
        <w:trPr>
          <w:trHeight w:val="300"/>
        </w:trPr>
        <w:tc>
          <w:tcPr>
            <w:tcW w:w="1872" w:type="dxa"/>
            <w:noWrap/>
            <w:vAlign w:val="center"/>
            <w:hideMark/>
          </w:tcPr>
          <w:p w14:paraId="4597D454" w14:textId="77777777" w:rsidR="00363287" w:rsidRPr="00614ED2" w:rsidRDefault="00363287" w:rsidP="00696E8F">
            <w:pPr>
              <w:rPr>
                <w:rFonts w:cs="Arial"/>
                <w:color w:val="000000"/>
              </w:rPr>
            </w:pPr>
            <w:r w:rsidRPr="00614ED2">
              <w:rPr>
                <w:rFonts w:cs="Arial"/>
                <w:color w:val="000000"/>
              </w:rPr>
              <w:t>0DB60ZZ</w:t>
            </w:r>
          </w:p>
        </w:tc>
        <w:tc>
          <w:tcPr>
            <w:tcW w:w="7560" w:type="dxa"/>
            <w:noWrap/>
            <w:vAlign w:val="center"/>
            <w:hideMark/>
          </w:tcPr>
          <w:p w14:paraId="6CB96764" w14:textId="77777777" w:rsidR="00363287" w:rsidRPr="00614ED2" w:rsidRDefault="00363287" w:rsidP="00696E8F">
            <w:pPr>
              <w:rPr>
                <w:rFonts w:cs="Arial"/>
                <w:color w:val="000000"/>
              </w:rPr>
            </w:pPr>
            <w:r w:rsidRPr="00614ED2">
              <w:rPr>
                <w:rFonts w:cs="Arial"/>
                <w:color w:val="000000"/>
              </w:rPr>
              <w:t>Excision of Stomach, Open Approach</w:t>
            </w:r>
          </w:p>
        </w:tc>
      </w:tr>
      <w:tr w:rsidR="00363287" w:rsidRPr="00614ED2" w14:paraId="3601C90C" w14:textId="77777777" w:rsidTr="00696E8F">
        <w:trPr>
          <w:trHeight w:val="300"/>
        </w:trPr>
        <w:tc>
          <w:tcPr>
            <w:tcW w:w="1872" w:type="dxa"/>
            <w:noWrap/>
            <w:vAlign w:val="center"/>
            <w:hideMark/>
          </w:tcPr>
          <w:p w14:paraId="2FA78851" w14:textId="77777777" w:rsidR="00363287" w:rsidRPr="00614ED2" w:rsidRDefault="00363287" w:rsidP="00696E8F">
            <w:pPr>
              <w:rPr>
                <w:rFonts w:cs="Arial"/>
                <w:color w:val="000000"/>
              </w:rPr>
            </w:pPr>
            <w:r w:rsidRPr="00614ED2">
              <w:rPr>
                <w:rFonts w:cs="Arial"/>
                <w:color w:val="000000"/>
              </w:rPr>
              <w:t>0DB63Z3</w:t>
            </w:r>
          </w:p>
        </w:tc>
        <w:tc>
          <w:tcPr>
            <w:tcW w:w="7560" w:type="dxa"/>
            <w:noWrap/>
            <w:vAlign w:val="center"/>
            <w:hideMark/>
          </w:tcPr>
          <w:p w14:paraId="4925462B" w14:textId="77777777" w:rsidR="00363287" w:rsidRPr="00614ED2" w:rsidRDefault="00363287" w:rsidP="00696E8F">
            <w:pPr>
              <w:rPr>
                <w:rFonts w:cs="Arial"/>
                <w:color w:val="000000"/>
              </w:rPr>
            </w:pPr>
            <w:r w:rsidRPr="00614ED2">
              <w:rPr>
                <w:rFonts w:cs="Arial"/>
                <w:color w:val="000000"/>
              </w:rPr>
              <w:t>Excision of Stomach, Percutaneous Approach, Vertical</w:t>
            </w:r>
          </w:p>
        </w:tc>
      </w:tr>
      <w:tr w:rsidR="00363287" w:rsidRPr="00614ED2" w14:paraId="4F5D3528" w14:textId="77777777" w:rsidTr="00696E8F">
        <w:trPr>
          <w:trHeight w:val="300"/>
        </w:trPr>
        <w:tc>
          <w:tcPr>
            <w:tcW w:w="1872" w:type="dxa"/>
            <w:noWrap/>
            <w:vAlign w:val="center"/>
            <w:hideMark/>
          </w:tcPr>
          <w:p w14:paraId="7D8A9AA3" w14:textId="77777777" w:rsidR="00363287" w:rsidRPr="00614ED2" w:rsidRDefault="00363287" w:rsidP="00696E8F">
            <w:pPr>
              <w:rPr>
                <w:rFonts w:cs="Arial"/>
                <w:color w:val="000000"/>
              </w:rPr>
            </w:pPr>
            <w:r w:rsidRPr="00614ED2">
              <w:rPr>
                <w:rFonts w:cs="Arial"/>
                <w:color w:val="000000"/>
              </w:rPr>
              <w:t>0DB63ZZ</w:t>
            </w:r>
          </w:p>
        </w:tc>
        <w:tc>
          <w:tcPr>
            <w:tcW w:w="7560" w:type="dxa"/>
            <w:noWrap/>
            <w:vAlign w:val="center"/>
            <w:hideMark/>
          </w:tcPr>
          <w:p w14:paraId="495B51C8" w14:textId="77777777" w:rsidR="00363287" w:rsidRPr="00614ED2" w:rsidRDefault="00363287" w:rsidP="00696E8F">
            <w:pPr>
              <w:rPr>
                <w:rFonts w:cs="Arial"/>
                <w:color w:val="000000"/>
              </w:rPr>
            </w:pPr>
            <w:r w:rsidRPr="00614ED2">
              <w:rPr>
                <w:rFonts w:cs="Arial"/>
                <w:color w:val="000000"/>
              </w:rPr>
              <w:t>Excision of Stomach, Percutaneous Approach</w:t>
            </w:r>
          </w:p>
        </w:tc>
      </w:tr>
      <w:tr w:rsidR="00363287" w:rsidRPr="00614ED2" w14:paraId="3F247519" w14:textId="77777777" w:rsidTr="00696E8F">
        <w:trPr>
          <w:trHeight w:val="300"/>
        </w:trPr>
        <w:tc>
          <w:tcPr>
            <w:tcW w:w="1872" w:type="dxa"/>
            <w:noWrap/>
            <w:vAlign w:val="center"/>
            <w:hideMark/>
          </w:tcPr>
          <w:p w14:paraId="45CD0EA8" w14:textId="77777777" w:rsidR="00363287" w:rsidRPr="00614ED2" w:rsidRDefault="00363287" w:rsidP="00696E8F">
            <w:pPr>
              <w:rPr>
                <w:rFonts w:cs="Arial"/>
                <w:color w:val="000000"/>
              </w:rPr>
            </w:pPr>
            <w:r w:rsidRPr="00614ED2">
              <w:rPr>
                <w:rFonts w:cs="Arial"/>
                <w:color w:val="000000"/>
              </w:rPr>
              <w:t>0DB64Z3</w:t>
            </w:r>
          </w:p>
        </w:tc>
        <w:tc>
          <w:tcPr>
            <w:tcW w:w="7560" w:type="dxa"/>
            <w:noWrap/>
            <w:vAlign w:val="center"/>
            <w:hideMark/>
          </w:tcPr>
          <w:p w14:paraId="66B815AD" w14:textId="77777777" w:rsidR="00363287" w:rsidRPr="00614ED2" w:rsidRDefault="00363287" w:rsidP="00696E8F">
            <w:pPr>
              <w:rPr>
                <w:rFonts w:cs="Arial"/>
                <w:color w:val="000000"/>
              </w:rPr>
            </w:pPr>
            <w:r w:rsidRPr="00614ED2">
              <w:rPr>
                <w:rFonts w:cs="Arial"/>
                <w:color w:val="000000"/>
              </w:rPr>
              <w:t>Excision of Stomach, Percutaneous Endoscopic Approach, Vertical</w:t>
            </w:r>
          </w:p>
        </w:tc>
      </w:tr>
      <w:tr w:rsidR="00A8755F" w:rsidRPr="00614ED2" w14:paraId="63F0602F" w14:textId="77777777" w:rsidTr="00696E8F">
        <w:trPr>
          <w:trHeight w:val="300"/>
        </w:trPr>
        <w:tc>
          <w:tcPr>
            <w:tcW w:w="1872" w:type="dxa"/>
            <w:noWrap/>
            <w:vAlign w:val="center"/>
          </w:tcPr>
          <w:p w14:paraId="64951525" w14:textId="0188369E" w:rsidR="00A8755F" w:rsidRPr="00614ED2" w:rsidRDefault="00A8755F" w:rsidP="00696E8F">
            <w:pPr>
              <w:rPr>
                <w:rFonts w:cs="Arial"/>
                <w:color w:val="000000"/>
              </w:rPr>
            </w:pPr>
            <w:r w:rsidRPr="004115DE">
              <w:t>0DB64ZZ</w:t>
            </w:r>
          </w:p>
        </w:tc>
        <w:tc>
          <w:tcPr>
            <w:tcW w:w="7560" w:type="dxa"/>
            <w:noWrap/>
            <w:vAlign w:val="center"/>
          </w:tcPr>
          <w:p w14:paraId="46591E68" w14:textId="61A4095D" w:rsidR="00A8755F" w:rsidRPr="00614ED2" w:rsidRDefault="00A8755F" w:rsidP="00696E8F">
            <w:pPr>
              <w:rPr>
                <w:rFonts w:cs="Arial"/>
                <w:color w:val="000000"/>
              </w:rPr>
            </w:pPr>
            <w:r w:rsidRPr="004115DE">
              <w:t>Excision of Stomach, Percutaneous Endoscopic Approach</w:t>
            </w:r>
          </w:p>
        </w:tc>
      </w:tr>
    </w:tbl>
    <w:p w14:paraId="74AD2575" w14:textId="77777777" w:rsidR="00862093" w:rsidRPr="009A5185" w:rsidRDefault="00862093" w:rsidP="00FB29EB">
      <w:pPr>
        <w:rPr>
          <w:rFonts w:cs="Arial"/>
        </w:rPr>
      </w:pPr>
    </w:p>
    <w:p w14:paraId="3182F07E" w14:textId="77777777" w:rsidR="00BC1491" w:rsidRPr="009A5185" w:rsidRDefault="00BC1491" w:rsidP="00BC1491">
      <w:pPr>
        <w:rPr>
          <w:rFonts w:cs="Arial"/>
          <w:b/>
        </w:rPr>
      </w:pPr>
      <w:r w:rsidRPr="009A5185">
        <w:rPr>
          <w:rFonts w:cs="Arial"/>
          <w:b/>
        </w:rPr>
        <w:t>ICD-10 Morbid Obesity Diagnosis Codes</w:t>
      </w:r>
    </w:p>
    <w:p w14:paraId="0750D656" w14:textId="77777777" w:rsidR="00BC1491" w:rsidRDefault="00BC1491" w:rsidP="00BC1491">
      <w:pPr>
        <w:rPr>
          <w:rFonts w:cs="Arial"/>
          <w:b/>
        </w:rPr>
      </w:pPr>
    </w:p>
    <w:tbl>
      <w:tblPr>
        <w:tblStyle w:val="TableGrid"/>
        <w:tblW w:w="9432" w:type="dxa"/>
        <w:tblLook w:val="04A0" w:firstRow="1" w:lastRow="0" w:firstColumn="1" w:lastColumn="0" w:noHBand="0" w:noVBand="1"/>
      </w:tblPr>
      <w:tblGrid>
        <w:gridCol w:w="1872"/>
        <w:gridCol w:w="7560"/>
      </w:tblGrid>
      <w:tr w:rsidR="00363287" w:rsidRPr="0004317D" w14:paraId="18928415" w14:textId="77777777" w:rsidTr="00696E8F">
        <w:trPr>
          <w:trHeight w:val="432"/>
          <w:tblHeader/>
        </w:trPr>
        <w:tc>
          <w:tcPr>
            <w:tcW w:w="1872" w:type="dxa"/>
            <w:shd w:val="clear" w:color="auto" w:fill="BFBFBF" w:themeFill="background1" w:themeFillShade="BF"/>
            <w:noWrap/>
            <w:vAlign w:val="center"/>
          </w:tcPr>
          <w:p w14:paraId="433B5C70" w14:textId="77777777" w:rsidR="00363287" w:rsidRPr="0004317D" w:rsidRDefault="00363287" w:rsidP="00696E8F">
            <w:pPr>
              <w:rPr>
                <w:rFonts w:cs="Arial"/>
                <w:color w:val="000000"/>
              </w:rPr>
            </w:pPr>
            <w:r w:rsidRPr="0004317D">
              <w:rPr>
                <w:rFonts w:cs="Arial"/>
                <w:b/>
                <w:bCs/>
                <w:color w:val="000000"/>
              </w:rPr>
              <w:t>ICD</w:t>
            </w:r>
            <w:r>
              <w:rPr>
                <w:rFonts w:cs="Arial"/>
                <w:b/>
                <w:bCs/>
                <w:color w:val="000000"/>
              </w:rPr>
              <w:t>-</w:t>
            </w:r>
            <w:r w:rsidRPr="0004317D">
              <w:rPr>
                <w:rFonts w:cs="Arial"/>
                <w:b/>
                <w:bCs/>
                <w:color w:val="000000"/>
              </w:rPr>
              <w:t>10 Diagnosis Code</w:t>
            </w:r>
          </w:p>
        </w:tc>
        <w:tc>
          <w:tcPr>
            <w:tcW w:w="7560" w:type="dxa"/>
            <w:shd w:val="clear" w:color="auto" w:fill="BFBFBF" w:themeFill="background1" w:themeFillShade="BF"/>
            <w:noWrap/>
            <w:vAlign w:val="center"/>
          </w:tcPr>
          <w:p w14:paraId="5755FB32" w14:textId="77777777" w:rsidR="00363287" w:rsidRPr="0004317D" w:rsidRDefault="00363287" w:rsidP="00696E8F">
            <w:pPr>
              <w:rPr>
                <w:rFonts w:cs="Arial"/>
                <w:color w:val="000000"/>
              </w:rPr>
            </w:pPr>
            <w:r w:rsidRPr="0004317D">
              <w:rPr>
                <w:rFonts w:cs="Arial"/>
                <w:b/>
                <w:bCs/>
                <w:color w:val="000000"/>
              </w:rPr>
              <w:t>Code Description</w:t>
            </w:r>
          </w:p>
        </w:tc>
      </w:tr>
      <w:tr w:rsidR="00363287" w:rsidRPr="00E040C2" w14:paraId="1BB56EB7" w14:textId="77777777" w:rsidTr="00FB2D5F">
        <w:trPr>
          <w:trHeight w:val="300"/>
        </w:trPr>
        <w:tc>
          <w:tcPr>
            <w:tcW w:w="1872" w:type="dxa"/>
            <w:noWrap/>
            <w:vAlign w:val="center"/>
            <w:hideMark/>
          </w:tcPr>
          <w:p w14:paraId="47E1E814" w14:textId="77777777" w:rsidR="00363287" w:rsidRPr="00E040C2" w:rsidRDefault="00363287" w:rsidP="00696E8F">
            <w:pPr>
              <w:rPr>
                <w:rFonts w:cs="Arial"/>
                <w:color w:val="000000"/>
              </w:rPr>
            </w:pPr>
            <w:r w:rsidRPr="00E040C2">
              <w:rPr>
                <w:rFonts w:cs="Arial"/>
                <w:color w:val="000000"/>
              </w:rPr>
              <w:t xml:space="preserve">E66.01 </w:t>
            </w:r>
          </w:p>
        </w:tc>
        <w:tc>
          <w:tcPr>
            <w:tcW w:w="7560" w:type="dxa"/>
            <w:tcBorders>
              <w:bottom w:val="single" w:sz="4" w:space="0" w:color="auto"/>
            </w:tcBorders>
            <w:noWrap/>
            <w:vAlign w:val="center"/>
            <w:hideMark/>
          </w:tcPr>
          <w:p w14:paraId="409127EC" w14:textId="77777777" w:rsidR="00363287" w:rsidRPr="00E040C2" w:rsidRDefault="00363287" w:rsidP="00696E8F">
            <w:pPr>
              <w:rPr>
                <w:rFonts w:cs="Arial"/>
                <w:color w:val="000000"/>
              </w:rPr>
            </w:pPr>
            <w:r w:rsidRPr="00E040C2">
              <w:rPr>
                <w:rFonts w:cs="Arial"/>
                <w:color w:val="000000"/>
              </w:rPr>
              <w:t>Morbid (severe) obesity due to excess calories</w:t>
            </w:r>
          </w:p>
        </w:tc>
      </w:tr>
      <w:tr w:rsidR="00363287" w:rsidRPr="00E040C2" w14:paraId="4F2EC152" w14:textId="77777777" w:rsidTr="00FB2D5F">
        <w:trPr>
          <w:trHeight w:val="300"/>
        </w:trPr>
        <w:tc>
          <w:tcPr>
            <w:tcW w:w="1872" w:type="dxa"/>
            <w:noWrap/>
            <w:vAlign w:val="center"/>
            <w:hideMark/>
          </w:tcPr>
          <w:p w14:paraId="1A651E20" w14:textId="77777777" w:rsidR="00363287" w:rsidRPr="00E040C2" w:rsidRDefault="00363287" w:rsidP="00696E8F">
            <w:pPr>
              <w:rPr>
                <w:rFonts w:cs="Arial"/>
                <w:color w:val="000000"/>
              </w:rPr>
            </w:pPr>
            <w:r w:rsidRPr="00E040C2">
              <w:rPr>
                <w:rFonts w:cs="Arial"/>
                <w:color w:val="000000"/>
              </w:rPr>
              <w:t>E66.09</w:t>
            </w:r>
          </w:p>
        </w:tc>
        <w:tc>
          <w:tcPr>
            <w:tcW w:w="7560" w:type="dxa"/>
            <w:tcBorders>
              <w:bottom w:val="single" w:sz="4" w:space="0" w:color="auto"/>
            </w:tcBorders>
            <w:noWrap/>
            <w:vAlign w:val="center"/>
            <w:hideMark/>
          </w:tcPr>
          <w:p w14:paraId="34417B95" w14:textId="77777777" w:rsidR="00363287" w:rsidRPr="00E040C2" w:rsidRDefault="00363287" w:rsidP="00696E8F">
            <w:pPr>
              <w:rPr>
                <w:rFonts w:cs="Arial"/>
                <w:color w:val="000000"/>
              </w:rPr>
            </w:pPr>
            <w:r w:rsidRPr="00E040C2">
              <w:rPr>
                <w:rFonts w:cs="Arial"/>
                <w:color w:val="000000"/>
              </w:rPr>
              <w:t>Other obesity due to excess calories</w:t>
            </w:r>
          </w:p>
        </w:tc>
      </w:tr>
      <w:tr w:rsidR="00634A38" w:rsidRPr="00E040C2" w14:paraId="4DD9A685" w14:textId="77777777" w:rsidTr="00FB2D5F">
        <w:trPr>
          <w:trHeight w:val="300"/>
        </w:trPr>
        <w:tc>
          <w:tcPr>
            <w:tcW w:w="1872" w:type="dxa"/>
            <w:noWrap/>
            <w:vAlign w:val="center"/>
          </w:tcPr>
          <w:p w14:paraId="16F923C4" w14:textId="7C3EEE0D" w:rsidR="00634A38" w:rsidRPr="00E040C2" w:rsidRDefault="00634A38" w:rsidP="00634A38">
            <w:pPr>
              <w:rPr>
                <w:rFonts w:cs="Arial"/>
                <w:color w:val="000000"/>
              </w:rPr>
            </w:pPr>
            <w:r w:rsidRPr="001A7FD5">
              <w:rPr>
                <w:rFonts w:cs="Arial"/>
              </w:rPr>
              <w:t>E66.1</w:t>
            </w:r>
          </w:p>
        </w:tc>
        <w:tc>
          <w:tcPr>
            <w:tcW w:w="7560" w:type="dxa"/>
            <w:tcBorders>
              <w:top w:val="single" w:sz="4" w:space="0" w:color="auto"/>
            </w:tcBorders>
            <w:noWrap/>
            <w:vAlign w:val="center"/>
          </w:tcPr>
          <w:p w14:paraId="6EDDCBA0" w14:textId="153F6C13" w:rsidR="00634A38" w:rsidRPr="00E040C2" w:rsidRDefault="00634A38" w:rsidP="00634A38">
            <w:pPr>
              <w:rPr>
                <w:rFonts w:cs="Arial"/>
                <w:color w:val="000000"/>
              </w:rPr>
            </w:pPr>
            <w:r w:rsidRPr="001A7FD5">
              <w:rPr>
                <w:rFonts w:cs="Arial"/>
              </w:rPr>
              <w:t>Drug induced obesity</w:t>
            </w:r>
          </w:p>
        </w:tc>
      </w:tr>
      <w:tr w:rsidR="00634A38" w:rsidRPr="00E040C2" w14:paraId="6861604A" w14:textId="77777777" w:rsidTr="002C718A">
        <w:trPr>
          <w:trHeight w:val="300"/>
        </w:trPr>
        <w:tc>
          <w:tcPr>
            <w:tcW w:w="1872" w:type="dxa"/>
            <w:noWrap/>
            <w:vAlign w:val="center"/>
          </w:tcPr>
          <w:p w14:paraId="35C6E498" w14:textId="3D21D86A" w:rsidR="00634A38" w:rsidRPr="00E040C2" w:rsidRDefault="00634A38" w:rsidP="00634A38">
            <w:pPr>
              <w:rPr>
                <w:rFonts w:cs="Arial"/>
                <w:color w:val="000000"/>
              </w:rPr>
            </w:pPr>
            <w:r w:rsidRPr="001A7FD5">
              <w:rPr>
                <w:rFonts w:cs="Arial"/>
              </w:rPr>
              <w:t xml:space="preserve">E66.2 </w:t>
            </w:r>
          </w:p>
        </w:tc>
        <w:tc>
          <w:tcPr>
            <w:tcW w:w="7560" w:type="dxa"/>
            <w:noWrap/>
            <w:vAlign w:val="center"/>
          </w:tcPr>
          <w:p w14:paraId="2A3C5A4F" w14:textId="5678273C" w:rsidR="00634A38" w:rsidRPr="00E040C2" w:rsidRDefault="00634A38" w:rsidP="00634A38">
            <w:pPr>
              <w:rPr>
                <w:rFonts w:cs="Arial"/>
                <w:color w:val="000000"/>
              </w:rPr>
            </w:pPr>
            <w:r w:rsidRPr="001A7FD5">
              <w:rPr>
                <w:rFonts w:cs="Arial"/>
              </w:rPr>
              <w:t>Morbid (severe) obesity with alveolar hypoventilation</w:t>
            </w:r>
          </w:p>
        </w:tc>
      </w:tr>
      <w:tr w:rsidR="00634A38" w:rsidRPr="00E040C2" w14:paraId="074AD7FA" w14:textId="77777777" w:rsidTr="002C718A">
        <w:trPr>
          <w:trHeight w:val="300"/>
        </w:trPr>
        <w:tc>
          <w:tcPr>
            <w:tcW w:w="1872" w:type="dxa"/>
            <w:noWrap/>
            <w:vAlign w:val="center"/>
          </w:tcPr>
          <w:p w14:paraId="1DCA5FF6" w14:textId="5A8602A2" w:rsidR="00634A38" w:rsidRPr="00E040C2" w:rsidRDefault="00634A38" w:rsidP="00634A38">
            <w:pPr>
              <w:rPr>
                <w:rFonts w:cs="Arial"/>
                <w:color w:val="000000"/>
              </w:rPr>
            </w:pPr>
            <w:r w:rsidRPr="001A7FD5">
              <w:rPr>
                <w:rFonts w:cs="Arial"/>
              </w:rPr>
              <w:t xml:space="preserve">E66.3 </w:t>
            </w:r>
          </w:p>
        </w:tc>
        <w:tc>
          <w:tcPr>
            <w:tcW w:w="7560" w:type="dxa"/>
            <w:noWrap/>
            <w:vAlign w:val="center"/>
          </w:tcPr>
          <w:p w14:paraId="77D025E6" w14:textId="621FF8E3" w:rsidR="00634A38" w:rsidRPr="00E040C2" w:rsidRDefault="00634A38" w:rsidP="00634A38">
            <w:pPr>
              <w:rPr>
                <w:rFonts w:cs="Arial"/>
                <w:color w:val="000000"/>
              </w:rPr>
            </w:pPr>
            <w:r w:rsidRPr="001A7FD5">
              <w:rPr>
                <w:rFonts w:cs="Arial"/>
              </w:rPr>
              <w:t>Overweight</w:t>
            </w:r>
          </w:p>
        </w:tc>
      </w:tr>
      <w:tr w:rsidR="00163AA4" w:rsidRPr="00E040C2" w14:paraId="1BBCDCF1" w14:textId="77777777" w:rsidTr="002C718A">
        <w:trPr>
          <w:trHeight w:val="300"/>
        </w:trPr>
        <w:tc>
          <w:tcPr>
            <w:tcW w:w="1872" w:type="dxa"/>
            <w:noWrap/>
            <w:vAlign w:val="center"/>
          </w:tcPr>
          <w:p w14:paraId="78588813" w14:textId="151DE852" w:rsidR="00163AA4" w:rsidRPr="00163AA4" w:rsidRDefault="00163AA4" w:rsidP="00634A38">
            <w:pPr>
              <w:rPr>
                <w:rFonts w:cs="Arial"/>
                <w:color w:val="000000"/>
              </w:rPr>
            </w:pPr>
            <w:r w:rsidRPr="00163AA4">
              <w:rPr>
                <w:rFonts w:cs="Arial"/>
                <w:color w:val="000000"/>
              </w:rPr>
              <w:t>E66.8</w:t>
            </w:r>
          </w:p>
        </w:tc>
        <w:tc>
          <w:tcPr>
            <w:tcW w:w="7560" w:type="dxa"/>
            <w:noWrap/>
            <w:vAlign w:val="center"/>
          </w:tcPr>
          <w:p w14:paraId="77693FAE" w14:textId="01AF44F7" w:rsidR="00163AA4" w:rsidRPr="00163AA4" w:rsidRDefault="003A078E" w:rsidP="00634A38">
            <w:pPr>
              <w:rPr>
                <w:rFonts w:cs="Arial"/>
                <w:color w:val="000000"/>
              </w:rPr>
            </w:pPr>
            <w:r w:rsidRPr="003A078E">
              <w:rPr>
                <w:rFonts w:cs="Arial"/>
                <w:color w:val="000000"/>
              </w:rPr>
              <w:t>Other obesity</w:t>
            </w:r>
          </w:p>
        </w:tc>
      </w:tr>
      <w:tr w:rsidR="00634A38" w:rsidRPr="00E040C2" w14:paraId="7E21B19F" w14:textId="77777777" w:rsidTr="002C718A">
        <w:trPr>
          <w:trHeight w:val="300"/>
        </w:trPr>
        <w:tc>
          <w:tcPr>
            <w:tcW w:w="1872" w:type="dxa"/>
            <w:noWrap/>
            <w:vAlign w:val="center"/>
            <w:hideMark/>
          </w:tcPr>
          <w:p w14:paraId="4FBB377C" w14:textId="3057C853" w:rsidR="00634A38" w:rsidRPr="00450B70" w:rsidRDefault="00634A38" w:rsidP="00634A38">
            <w:pPr>
              <w:rPr>
                <w:rFonts w:cs="Arial"/>
                <w:color w:val="000000"/>
              </w:rPr>
            </w:pPr>
            <w:r w:rsidRPr="00450B70">
              <w:rPr>
                <w:rFonts w:cs="Arial"/>
                <w:color w:val="000000"/>
              </w:rPr>
              <w:t>E66.8</w:t>
            </w:r>
            <w:r w:rsidR="00F94891" w:rsidRPr="00450B70">
              <w:rPr>
                <w:rFonts w:cs="Arial"/>
                <w:color w:val="000000"/>
              </w:rPr>
              <w:t>11</w:t>
            </w:r>
          </w:p>
        </w:tc>
        <w:tc>
          <w:tcPr>
            <w:tcW w:w="7560" w:type="dxa"/>
            <w:noWrap/>
            <w:vAlign w:val="center"/>
            <w:hideMark/>
          </w:tcPr>
          <w:p w14:paraId="5C4C81F0" w14:textId="29C288CF" w:rsidR="00634A38" w:rsidRPr="00450B70" w:rsidRDefault="00BF765B" w:rsidP="00634A38">
            <w:pPr>
              <w:rPr>
                <w:rFonts w:cs="Arial"/>
                <w:color w:val="000000"/>
              </w:rPr>
            </w:pPr>
            <w:r w:rsidRPr="00450B70">
              <w:rPr>
                <w:rFonts w:cs="Arial"/>
                <w:color w:val="000000"/>
              </w:rPr>
              <w:t>Obesity, class 1</w:t>
            </w:r>
          </w:p>
        </w:tc>
      </w:tr>
      <w:tr w:rsidR="00F94891" w:rsidRPr="00E040C2" w14:paraId="755AD60C" w14:textId="77777777" w:rsidTr="002C718A">
        <w:trPr>
          <w:trHeight w:val="300"/>
        </w:trPr>
        <w:tc>
          <w:tcPr>
            <w:tcW w:w="1872" w:type="dxa"/>
            <w:noWrap/>
            <w:vAlign w:val="center"/>
          </w:tcPr>
          <w:p w14:paraId="2D5592F2" w14:textId="5225C67A" w:rsidR="00F94891" w:rsidRPr="00450B70" w:rsidRDefault="00F94891" w:rsidP="00F94891">
            <w:pPr>
              <w:rPr>
                <w:rFonts w:cs="Arial"/>
                <w:color w:val="000000"/>
              </w:rPr>
            </w:pPr>
            <w:r w:rsidRPr="00450B70">
              <w:rPr>
                <w:rFonts w:cs="Arial"/>
                <w:color w:val="000000"/>
              </w:rPr>
              <w:t>E66.812</w:t>
            </w:r>
          </w:p>
        </w:tc>
        <w:tc>
          <w:tcPr>
            <w:tcW w:w="7560" w:type="dxa"/>
            <w:noWrap/>
            <w:vAlign w:val="center"/>
          </w:tcPr>
          <w:p w14:paraId="46F30D87" w14:textId="55EF7830" w:rsidR="00F94891" w:rsidRPr="00450B70" w:rsidRDefault="00BF765B" w:rsidP="00F94891">
            <w:pPr>
              <w:rPr>
                <w:rFonts w:cs="Arial"/>
                <w:color w:val="000000"/>
              </w:rPr>
            </w:pPr>
            <w:r w:rsidRPr="00450B70">
              <w:rPr>
                <w:rFonts w:cs="Arial"/>
                <w:color w:val="000000"/>
              </w:rPr>
              <w:t>Obesity, class 2</w:t>
            </w:r>
          </w:p>
        </w:tc>
      </w:tr>
      <w:tr w:rsidR="00F94891" w:rsidRPr="00E040C2" w14:paraId="5A1713FA" w14:textId="77777777" w:rsidTr="002C718A">
        <w:trPr>
          <w:trHeight w:val="300"/>
        </w:trPr>
        <w:tc>
          <w:tcPr>
            <w:tcW w:w="1872" w:type="dxa"/>
            <w:noWrap/>
            <w:vAlign w:val="center"/>
          </w:tcPr>
          <w:p w14:paraId="4292D6FD" w14:textId="2F8CFA5B" w:rsidR="00F94891" w:rsidRPr="00450B70" w:rsidRDefault="00F94891" w:rsidP="00F94891">
            <w:pPr>
              <w:rPr>
                <w:rFonts w:cs="Arial"/>
                <w:color w:val="000000"/>
              </w:rPr>
            </w:pPr>
            <w:r w:rsidRPr="00450B70">
              <w:rPr>
                <w:rFonts w:cs="Arial"/>
                <w:color w:val="000000"/>
              </w:rPr>
              <w:t>E66.813</w:t>
            </w:r>
          </w:p>
        </w:tc>
        <w:tc>
          <w:tcPr>
            <w:tcW w:w="7560" w:type="dxa"/>
            <w:noWrap/>
            <w:vAlign w:val="center"/>
          </w:tcPr>
          <w:p w14:paraId="164E6F78" w14:textId="721DDBCB" w:rsidR="00F94891" w:rsidRPr="00450B70" w:rsidRDefault="00BF765B" w:rsidP="00F94891">
            <w:pPr>
              <w:rPr>
                <w:rFonts w:cs="Arial"/>
                <w:color w:val="000000"/>
              </w:rPr>
            </w:pPr>
            <w:r w:rsidRPr="00450B70">
              <w:rPr>
                <w:rFonts w:cs="Arial"/>
                <w:color w:val="000000"/>
              </w:rPr>
              <w:t>Obesity, class 3</w:t>
            </w:r>
          </w:p>
        </w:tc>
      </w:tr>
      <w:tr w:rsidR="00F94891" w:rsidRPr="00E040C2" w14:paraId="3BE28E4F" w14:textId="77777777" w:rsidTr="002C718A">
        <w:trPr>
          <w:trHeight w:val="300"/>
        </w:trPr>
        <w:tc>
          <w:tcPr>
            <w:tcW w:w="1872" w:type="dxa"/>
            <w:noWrap/>
            <w:vAlign w:val="center"/>
          </w:tcPr>
          <w:p w14:paraId="3353366A" w14:textId="655D47B6" w:rsidR="00F94891" w:rsidRPr="00450B70" w:rsidRDefault="00F94891" w:rsidP="00F94891">
            <w:pPr>
              <w:rPr>
                <w:rFonts w:cs="Arial"/>
                <w:color w:val="000000"/>
              </w:rPr>
            </w:pPr>
            <w:r w:rsidRPr="00450B70">
              <w:rPr>
                <w:rFonts w:cs="Arial"/>
                <w:color w:val="000000"/>
              </w:rPr>
              <w:t>E66.89</w:t>
            </w:r>
          </w:p>
        </w:tc>
        <w:tc>
          <w:tcPr>
            <w:tcW w:w="7560" w:type="dxa"/>
            <w:noWrap/>
            <w:vAlign w:val="center"/>
          </w:tcPr>
          <w:p w14:paraId="1A5B4E96" w14:textId="61641FFB" w:rsidR="00F94891" w:rsidRPr="00450B70" w:rsidRDefault="00F94891" w:rsidP="00F94891">
            <w:pPr>
              <w:rPr>
                <w:rFonts w:cs="Arial"/>
                <w:color w:val="000000"/>
              </w:rPr>
            </w:pPr>
            <w:r w:rsidRPr="00450B70">
              <w:rPr>
                <w:rFonts w:cs="Arial"/>
                <w:color w:val="000000"/>
              </w:rPr>
              <w:t>Other obesity</w:t>
            </w:r>
            <w:r w:rsidR="00BF765B" w:rsidRPr="00450B70">
              <w:rPr>
                <w:rFonts w:cs="Arial"/>
                <w:color w:val="000000"/>
              </w:rPr>
              <w:t xml:space="preserve"> not elsewhere classified</w:t>
            </w:r>
          </w:p>
        </w:tc>
      </w:tr>
      <w:tr w:rsidR="00F94891" w:rsidRPr="00E040C2" w14:paraId="5ABA9BB7" w14:textId="77777777" w:rsidTr="002C718A">
        <w:trPr>
          <w:trHeight w:val="300"/>
        </w:trPr>
        <w:tc>
          <w:tcPr>
            <w:tcW w:w="1872" w:type="dxa"/>
            <w:noWrap/>
            <w:vAlign w:val="center"/>
          </w:tcPr>
          <w:p w14:paraId="3778C689" w14:textId="6E6F4269" w:rsidR="00F94891" w:rsidRPr="00450B70" w:rsidRDefault="00F94891" w:rsidP="00F94891">
            <w:pPr>
              <w:rPr>
                <w:rFonts w:cs="Arial"/>
                <w:color w:val="000000"/>
              </w:rPr>
            </w:pPr>
            <w:r w:rsidRPr="00450B70">
              <w:rPr>
                <w:rFonts w:cs="Arial"/>
              </w:rPr>
              <w:t>E66.9</w:t>
            </w:r>
          </w:p>
        </w:tc>
        <w:tc>
          <w:tcPr>
            <w:tcW w:w="7560" w:type="dxa"/>
            <w:noWrap/>
            <w:vAlign w:val="center"/>
          </w:tcPr>
          <w:p w14:paraId="2F6542A6" w14:textId="3D53A9AF" w:rsidR="00F94891" w:rsidRPr="00450B70" w:rsidRDefault="00F94891" w:rsidP="00F94891">
            <w:pPr>
              <w:rPr>
                <w:rFonts w:cs="Arial"/>
                <w:color w:val="000000"/>
              </w:rPr>
            </w:pPr>
            <w:r w:rsidRPr="00450B70">
              <w:rPr>
                <w:rFonts w:cs="Arial"/>
              </w:rPr>
              <w:t>Obesity, unspecified</w:t>
            </w:r>
          </w:p>
        </w:tc>
      </w:tr>
      <w:tr w:rsidR="003B2BF2" w:rsidRPr="00E040C2" w14:paraId="392821E0" w14:textId="77777777" w:rsidTr="002C718A">
        <w:trPr>
          <w:trHeight w:val="300"/>
        </w:trPr>
        <w:tc>
          <w:tcPr>
            <w:tcW w:w="1872" w:type="dxa"/>
            <w:noWrap/>
            <w:vAlign w:val="center"/>
          </w:tcPr>
          <w:p w14:paraId="7197627D" w14:textId="30223FED" w:rsidR="003B2BF2" w:rsidRPr="00450B70" w:rsidRDefault="002E7F42" w:rsidP="00F94891">
            <w:pPr>
              <w:rPr>
                <w:rFonts w:cs="Arial"/>
              </w:rPr>
            </w:pPr>
            <w:r w:rsidRPr="002E7F42">
              <w:rPr>
                <w:rFonts w:cs="Arial"/>
              </w:rPr>
              <w:lastRenderedPageBreak/>
              <w:t xml:space="preserve">E88.82      </w:t>
            </w:r>
          </w:p>
        </w:tc>
        <w:tc>
          <w:tcPr>
            <w:tcW w:w="7560" w:type="dxa"/>
            <w:noWrap/>
            <w:vAlign w:val="center"/>
          </w:tcPr>
          <w:p w14:paraId="57AA3E62" w14:textId="2EF04A67" w:rsidR="003B2BF2" w:rsidRPr="00450B70" w:rsidRDefault="00305435" w:rsidP="00F94891">
            <w:pPr>
              <w:rPr>
                <w:rFonts w:cs="Arial"/>
              </w:rPr>
            </w:pPr>
            <w:r w:rsidRPr="00305435">
              <w:rPr>
                <w:rFonts w:cs="Arial"/>
              </w:rPr>
              <w:t>Obesity due to disruption of MC4R pathway</w:t>
            </w:r>
          </w:p>
        </w:tc>
      </w:tr>
      <w:tr w:rsidR="00F94891" w:rsidRPr="00E040C2" w14:paraId="7EE4E348" w14:textId="77777777" w:rsidTr="00696E8F">
        <w:trPr>
          <w:trHeight w:val="300"/>
        </w:trPr>
        <w:tc>
          <w:tcPr>
            <w:tcW w:w="1872" w:type="dxa"/>
            <w:noWrap/>
            <w:vAlign w:val="center"/>
            <w:hideMark/>
          </w:tcPr>
          <w:p w14:paraId="6DA80E01" w14:textId="77777777" w:rsidR="00F94891" w:rsidRPr="00E040C2" w:rsidRDefault="00F94891" w:rsidP="00F94891">
            <w:pPr>
              <w:rPr>
                <w:rFonts w:cs="Arial"/>
                <w:color w:val="000000"/>
              </w:rPr>
            </w:pPr>
            <w:r w:rsidRPr="00E040C2">
              <w:rPr>
                <w:rFonts w:cs="Arial"/>
                <w:color w:val="000000"/>
              </w:rPr>
              <w:t>Z68.35</w:t>
            </w:r>
          </w:p>
        </w:tc>
        <w:tc>
          <w:tcPr>
            <w:tcW w:w="7560" w:type="dxa"/>
            <w:noWrap/>
            <w:vAlign w:val="center"/>
            <w:hideMark/>
          </w:tcPr>
          <w:p w14:paraId="632E3645" w14:textId="77777777" w:rsidR="00F94891" w:rsidRPr="00E040C2" w:rsidRDefault="00F94891" w:rsidP="00F94891">
            <w:pPr>
              <w:rPr>
                <w:rFonts w:cs="Arial"/>
                <w:color w:val="000000"/>
              </w:rPr>
            </w:pPr>
            <w:r w:rsidRPr="00E040C2">
              <w:rPr>
                <w:rFonts w:cs="Arial"/>
                <w:color w:val="000000"/>
              </w:rPr>
              <w:t>Body mass index (BMI) 35.0-35.9, adult</w:t>
            </w:r>
          </w:p>
        </w:tc>
      </w:tr>
      <w:tr w:rsidR="00F94891" w:rsidRPr="00E040C2" w14:paraId="7C9D7D06" w14:textId="77777777" w:rsidTr="00696E8F">
        <w:trPr>
          <w:trHeight w:val="300"/>
        </w:trPr>
        <w:tc>
          <w:tcPr>
            <w:tcW w:w="1872" w:type="dxa"/>
            <w:noWrap/>
            <w:vAlign w:val="center"/>
            <w:hideMark/>
          </w:tcPr>
          <w:p w14:paraId="2DF048C7" w14:textId="77777777" w:rsidR="00F94891" w:rsidRPr="00E040C2" w:rsidRDefault="00F94891" w:rsidP="00F94891">
            <w:pPr>
              <w:rPr>
                <w:rFonts w:cs="Arial"/>
                <w:color w:val="000000"/>
              </w:rPr>
            </w:pPr>
            <w:r w:rsidRPr="00E040C2">
              <w:rPr>
                <w:rFonts w:cs="Arial"/>
                <w:color w:val="000000"/>
              </w:rPr>
              <w:t>Z68.36</w:t>
            </w:r>
          </w:p>
        </w:tc>
        <w:tc>
          <w:tcPr>
            <w:tcW w:w="7560" w:type="dxa"/>
            <w:noWrap/>
            <w:vAlign w:val="center"/>
            <w:hideMark/>
          </w:tcPr>
          <w:p w14:paraId="7624CB70" w14:textId="77777777" w:rsidR="00F94891" w:rsidRPr="00E040C2" w:rsidRDefault="00F94891" w:rsidP="00F94891">
            <w:pPr>
              <w:rPr>
                <w:rFonts w:cs="Arial"/>
                <w:color w:val="000000"/>
              </w:rPr>
            </w:pPr>
            <w:r w:rsidRPr="00E040C2">
              <w:rPr>
                <w:rFonts w:cs="Arial"/>
                <w:color w:val="000000"/>
              </w:rPr>
              <w:t>Body mass index (BMI) 36.0-36.9, adult</w:t>
            </w:r>
          </w:p>
        </w:tc>
      </w:tr>
      <w:tr w:rsidR="00F94891" w:rsidRPr="00E040C2" w14:paraId="06AD494F" w14:textId="77777777" w:rsidTr="00696E8F">
        <w:trPr>
          <w:trHeight w:val="300"/>
        </w:trPr>
        <w:tc>
          <w:tcPr>
            <w:tcW w:w="1872" w:type="dxa"/>
            <w:noWrap/>
            <w:vAlign w:val="center"/>
            <w:hideMark/>
          </w:tcPr>
          <w:p w14:paraId="40D23A67" w14:textId="77777777" w:rsidR="00F94891" w:rsidRPr="00E040C2" w:rsidRDefault="00F94891" w:rsidP="00F94891">
            <w:pPr>
              <w:rPr>
                <w:rFonts w:cs="Arial"/>
                <w:color w:val="000000"/>
              </w:rPr>
            </w:pPr>
            <w:r w:rsidRPr="00E040C2">
              <w:rPr>
                <w:rFonts w:cs="Arial"/>
                <w:color w:val="000000"/>
              </w:rPr>
              <w:t>Z68.37</w:t>
            </w:r>
          </w:p>
        </w:tc>
        <w:tc>
          <w:tcPr>
            <w:tcW w:w="7560" w:type="dxa"/>
            <w:noWrap/>
            <w:vAlign w:val="center"/>
            <w:hideMark/>
          </w:tcPr>
          <w:p w14:paraId="5C17588F" w14:textId="77777777" w:rsidR="00F94891" w:rsidRPr="00E040C2" w:rsidRDefault="00F94891" w:rsidP="00F94891">
            <w:pPr>
              <w:rPr>
                <w:rFonts w:cs="Arial"/>
                <w:color w:val="000000"/>
              </w:rPr>
            </w:pPr>
            <w:r w:rsidRPr="00E040C2">
              <w:rPr>
                <w:rFonts w:cs="Arial"/>
                <w:color w:val="000000"/>
              </w:rPr>
              <w:t>Body mass index (BMI) 37.0-37.9, adult</w:t>
            </w:r>
          </w:p>
        </w:tc>
      </w:tr>
      <w:tr w:rsidR="00F94891" w:rsidRPr="00E040C2" w14:paraId="7FBF144B" w14:textId="77777777" w:rsidTr="00696E8F">
        <w:trPr>
          <w:trHeight w:val="300"/>
        </w:trPr>
        <w:tc>
          <w:tcPr>
            <w:tcW w:w="1872" w:type="dxa"/>
            <w:noWrap/>
            <w:vAlign w:val="center"/>
            <w:hideMark/>
          </w:tcPr>
          <w:p w14:paraId="40E209A1" w14:textId="77777777" w:rsidR="00F94891" w:rsidRPr="00E040C2" w:rsidRDefault="00F94891" w:rsidP="00F94891">
            <w:pPr>
              <w:rPr>
                <w:rFonts w:cs="Arial"/>
                <w:color w:val="000000"/>
              </w:rPr>
            </w:pPr>
            <w:r w:rsidRPr="00E040C2">
              <w:rPr>
                <w:rFonts w:cs="Arial"/>
                <w:color w:val="000000"/>
              </w:rPr>
              <w:t>Z68.38</w:t>
            </w:r>
          </w:p>
        </w:tc>
        <w:tc>
          <w:tcPr>
            <w:tcW w:w="7560" w:type="dxa"/>
            <w:noWrap/>
            <w:vAlign w:val="center"/>
            <w:hideMark/>
          </w:tcPr>
          <w:p w14:paraId="3A984C97" w14:textId="77777777" w:rsidR="00F94891" w:rsidRPr="00E040C2" w:rsidRDefault="00F94891" w:rsidP="00F94891">
            <w:pPr>
              <w:rPr>
                <w:rFonts w:cs="Arial"/>
                <w:color w:val="000000"/>
              </w:rPr>
            </w:pPr>
            <w:r w:rsidRPr="00E040C2">
              <w:rPr>
                <w:rFonts w:cs="Arial"/>
                <w:color w:val="000000"/>
              </w:rPr>
              <w:t>Body mass index (BMI) 38.0-38.9, adult</w:t>
            </w:r>
          </w:p>
        </w:tc>
      </w:tr>
      <w:tr w:rsidR="00F94891" w:rsidRPr="00E040C2" w14:paraId="41D57654" w14:textId="77777777" w:rsidTr="00696E8F">
        <w:trPr>
          <w:trHeight w:val="300"/>
        </w:trPr>
        <w:tc>
          <w:tcPr>
            <w:tcW w:w="1872" w:type="dxa"/>
            <w:noWrap/>
            <w:vAlign w:val="center"/>
            <w:hideMark/>
          </w:tcPr>
          <w:p w14:paraId="607A8079" w14:textId="77777777" w:rsidR="00F94891" w:rsidRPr="00E040C2" w:rsidRDefault="00F94891" w:rsidP="00F94891">
            <w:pPr>
              <w:rPr>
                <w:rFonts w:cs="Arial"/>
                <w:color w:val="000000"/>
              </w:rPr>
            </w:pPr>
            <w:r w:rsidRPr="00E040C2">
              <w:rPr>
                <w:rFonts w:cs="Arial"/>
                <w:color w:val="000000"/>
              </w:rPr>
              <w:t>Z68.39</w:t>
            </w:r>
          </w:p>
        </w:tc>
        <w:tc>
          <w:tcPr>
            <w:tcW w:w="7560" w:type="dxa"/>
            <w:noWrap/>
            <w:vAlign w:val="center"/>
            <w:hideMark/>
          </w:tcPr>
          <w:p w14:paraId="569F8C47" w14:textId="77777777" w:rsidR="00F94891" w:rsidRPr="00E040C2" w:rsidRDefault="00F94891" w:rsidP="00F94891">
            <w:pPr>
              <w:rPr>
                <w:rFonts w:cs="Arial"/>
                <w:color w:val="000000"/>
              </w:rPr>
            </w:pPr>
            <w:r w:rsidRPr="00E040C2">
              <w:rPr>
                <w:rFonts w:cs="Arial"/>
                <w:color w:val="000000"/>
              </w:rPr>
              <w:t>Body mass index (BMI) 39.0-39.9, adult</w:t>
            </w:r>
          </w:p>
        </w:tc>
      </w:tr>
      <w:tr w:rsidR="00F94891" w:rsidRPr="00E040C2" w14:paraId="3510896D" w14:textId="77777777" w:rsidTr="00696E8F">
        <w:trPr>
          <w:trHeight w:val="300"/>
        </w:trPr>
        <w:tc>
          <w:tcPr>
            <w:tcW w:w="1872" w:type="dxa"/>
            <w:noWrap/>
            <w:vAlign w:val="center"/>
            <w:hideMark/>
          </w:tcPr>
          <w:p w14:paraId="35295BFE" w14:textId="77777777" w:rsidR="00F94891" w:rsidRPr="00E040C2" w:rsidRDefault="00F94891" w:rsidP="00F94891">
            <w:pPr>
              <w:rPr>
                <w:rFonts w:cs="Arial"/>
                <w:color w:val="000000"/>
              </w:rPr>
            </w:pPr>
            <w:r w:rsidRPr="00E040C2">
              <w:rPr>
                <w:rFonts w:cs="Arial"/>
                <w:color w:val="000000"/>
              </w:rPr>
              <w:t>Z68.41</w:t>
            </w:r>
          </w:p>
        </w:tc>
        <w:tc>
          <w:tcPr>
            <w:tcW w:w="7560" w:type="dxa"/>
            <w:noWrap/>
            <w:vAlign w:val="center"/>
            <w:hideMark/>
          </w:tcPr>
          <w:p w14:paraId="0EBAF332" w14:textId="77777777" w:rsidR="00F94891" w:rsidRPr="00E040C2" w:rsidRDefault="00F94891" w:rsidP="00F94891">
            <w:pPr>
              <w:rPr>
                <w:rFonts w:cs="Arial"/>
                <w:color w:val="000000"/>
              </w:rPr>
            </w:pPr>
            <w:r w:rsidRPr="00E040C2">
              <w:rPr>
                <w:rFonts w:cs="Arial"/>
                <w:color w:val="000000"/>
              </w:rPr>
              <w:t>Body mass index (BMI) 40.0-44.9, adult</w:t>
            </w:r>
          </w:p>
        </w:tc>
      </w:tr>
      <w:tr w:rsidR="00F94891" w:rsidRPr="00E040C2" w14:paraId="3FB1E439" w14:textId="77777777" w:rsidTr="00696E8F">
        <w:trPr>
          <w:trHeight w:val="300"/>
        </w:trPr>
        <w:tc>
          <w:tcPr>
            <w:tcW w:w="1872" w:type="dxa"/>
            <w:noWrap/>
            <w:vAlign w:val="center"/>
            <w:hideMark/>
          </w:tcPr>
          <w:p w14:paraId="5674E048" w14:textId="77777777" w:rsidR="00F94891" w:rsidRPr="00E040C2" w:rsidRDefault="00F94891" w:rsidP="00F94891">
            <w:pPr>
              <w:rPr>
                <w:rFonts w:cs="Arial"/>
                <w:color w:val="000000"/>
              </w:rPr>
            </w:pPr>
            <w:r w:rsidRPr="00E040C2">
              <w:rPr>
                <w:rFonts w:cs="Arial"/>
                <w:color w:val="000000"/>
              </w:rPr>
              <w:t>Z68.42</w:t>
            </w:r>
          </w:p>
        </w:tc>
        <w:tc>
          <w:tcPr>
            <w:tcW w:w="7560" w:type="dxa"/>
            <w:noWrap/>
            <w:vAlign w:val="center"/>
            <w:hideMark/>
          </w:tcPr>
          <w:p w14:paraId="5CCD0126" w14:textId="77777777" w:rsidR="00F94891" w:rsidRPr="00E040C2" w:rsidRDefault="00F94891" w:rsidP="00F94891">
            <w:pPr>
              <w:rPr>
                <w:rFonts w:cs="Arial"/>
                <w:color w:val="000000"/>
              </w:rPr>
            </w:pPr>
            <w:r w:rsidRPr="00E040C2">
              <w:rPr>
                <w:rFonts w:cs="Arial"/>
                <w:color w:val="000000"/>
              </w:rPr>
              <w:t>Body mass index (BMI) 45.0-49.9, adult</w:t>
            </w:r>
          </w:p>
        </w:tc>
      </w:tr>
      <w:tr w:rsidR="00F94891" w:rsidRPr="00E040C2" w14:paraId="4BD032DC" w14:textId="77777777" w:rsidTr="00696E8F">
        <w:trPr>
          <w:trHeight w:val="300"/>
        </w:trPr>
        <w:tc>
          <w:tcPr>
            <w:tcW w:w="1872" w:type="dxa"/>
            <w:noWrap/>
            <w:vAlign w:val="center"/>
            <w:hideMark/>
          </w:tcPr>
          <w:p w14:paraId="268D3B3F" w14:textId="77777777" w:rsidR="00F94891" w:rsidRPr="00E040C2" w:rsidRDefault="00F94891" w:rsidP="00F94891">
            <w:pPr>
              <w:rPr>
                <w:rFonts w:cs="Arial"/>
                <w:color w:val="000000"/>
              </w:rPr>
            </w:pPr>
            <w:r w:rsidRPr="00E040C2">
              <w:rPr>
                <w:rFonts w:cs="Arial"/>
                <w:color w:val="000000"/>
              </w:rPr>
              <w:t>Z68.43</w:t>
            </w:r>
          </w:p>
        </w:tc>
        <w:tc>
          <w:tcPr>
            <w:tcW w:w="7560" w:type="dxa"/>
            <w:noWrap/>
            <w:vAlign w:val="center"/>
            <w:hideMark/>
          </w:tcPr>
          <w:p w14:paraId="13269FE1" w14:textId="385FA56E" w:rsidR="00F94891" w:rsidRPr="00E040C2" w:rsidRDefault="00F94891" w:rsidP="00F94891">
            <w:pPr>
              <w:rPr>
                <w:rFonts w:cs="Arial"/>
                <w:color w:val="000000"/>
              </w:rPr>
            </w:pPr>
            <w:r w:rsidRPr="00E040C2">
              <w:rPr>
                <w:rFonts w:cs="Arial"/>
                <w:color w:val="000000"/>
              </w:rPr>
              <w:t>Body mass inde</w:t>
            </w:r>
            <w:r>
              <w:rPr>
                <w:rFonts w:cs="Arial"/>
                <w:color w:val="000000"/>
              </w:rPr>
              <w:t>x (BMI) 50.0-59.9</w:t>
            </w:r>
            <w:r w:rsidRPr="00E040C2">
              <w:rPr>
                <w:rFonts w:cs="Arial"/>
                <w:color w:val="000000"/>
              </w:rPr>
              <w:t>, adult</w:t>
            </w:r>
          </w:p>
        </w:tc>
      </w:tr>
      <w:tr w:rsidR="00F94891" w:rsidRPr="00E040C2" w14:paraId="6D29873E" w14:textId="77777777" w:rsidTr="00696E8F">
        <w:trPr>
          <w:trHeight w:val="300"/>
        </w:trPr>
        <w:tc>
          <w:tcPr>
            <w:tcW w:w="1872" w:type="dxa"/>
            <w:noWrap/>
            <w:vAlign w:val="center"/>
            <w:hideMark/>
          </w:tcPr>
          <w:p w14:paraId="0D3BFDA3" w14:textId="77777777" w:rsidR="00F94891" w:rsidRPr="00E040C2" w:rsidRDefault="00F94891" w:rsidP="00F94891">
            <w:pPr>
              <w:rPr>
                <w:rFonts w:cs="Arial"/>
                <w:color w:val="000000"/>
              </w:rPr>
            </w:pPr>
            <w:r w:rsidRPr="00E040C2">
              <w:rPr>
                <w:rFonts w:cs="Arial"/>
                <w:color w:val="000000"/>
              </w:rPr>
              <w:t>Z68.44</w:t>
            </w:r>
          </w:p>
        </w:tc>
        <w:tc>
          <w:tcPr>
            <w:tcW w:w="7560" w:type="dxa"/>
            <w:noWrap/>
            <w:vAlign w:val="center"/>
            <w:hideMark/>
          </w:tcPr>
          <w:p w14:paraId="517E1647" w14:textId="77777777" w:rsidR="00F94891" w:rsidRPr="00E040C2" w:rsidRDefault="00F94891" w:rsidP="00F94891">
            <w:pPr>
              <w:rPr>
                <w:rFonts w:cs="Arial"/>
                <w:color w:val="000000"/>
              </w:rPr>
            </w:pPr>
            <w:r w:rsidRPr="00E040C2">
              <w:rPr>
                <w:rFonts w:cs="Arial"/>
                <w:color w:val="000000"/>
              </w:rPr>
              <w:t>Body mass index (BMI) 60.0-69.9, adult</w:t>
            </w:r>
          </w:p>
        </w:tc>
      </w:tr>
      <w:tr w:rsidR="00F94891" w:rsidRPr="00E040C2" w14:paraId="5E50A523" w14:textId="77777777" w:rsidTr="00696E8F">
        <w:trPr>
          <w:trHeight w:val="300"/>
        </w:trPr>
        <w:tc>
          <w:tcPr>
            <w:tcW w:w="1872" w:type="dxa"/>
            <w:noWrap/>
            <w:vAlign w:val="center"/>
            <w:hideMark/>
          </w:tcPr>
          <w:p w14:paraId="6D36537A" w14:textId="77777777" w:rsidR="00F94891" w:rsidRPr="00E040C2" w:rsidRDefault="00F94891" w:rsidP="00F94891">
            <w:pPr>
              <w:rPr>
                <w:rFonts w:cs="Arial"/>
                <w:color w:val="000000"/>
              </w:rPr>
            </w:pPr>
            <w:r w:rsidRPr="00E040C2">
              <w:rPr>
                <w:rFonts w:cs="Arial"/>
                <w:color w:val="000000"/>
              </w:rPr>
              <w:t>Z68.45</w:t>
            </w:r>
          </w:p>
        </w:tc>
        <w:tc>
          <w:tcPr>
            <w:tcW w:w="7560" w:type="dxa"/>
            <w:noWrap/>
            <w:vAlign w:val="center"/>
            <w:hideMark/>
          </w:tcPr>
          <w:p w14:paraId="582D5632" w14:textId="77777777" w:rsidR="00F94891" w:rsidRPr="00E040C2" w:rsidRDefault="00F94891" w:rsidP="00F94891">
            <w:pPr>
              <w:rPr>
                <w:rFonts w:cs="Arial"/>
                <w:color w:val="000000"/>
              </w:rPr>
            </w:pPr>
            <w:r w:rsidRPr="00E040C2">
              <w:rPr>
                <w:rFonts w:cs="Arial"/>
                <w:color w:val="000000"/>
              </w:rPr>
              <w:t>Body mass index (BMI) 70 or greater, adult</w:t>
            </w:r>
          </w:p>
        </w:tc>
      </w:tr>
    </w:tbl>
    <w:p w14:paraId="56DC1BE9" w14:textId="77777777" w:rsidR="00A05F36" w:rsidRDefault="00A05F36" w:rsidP="00BC1491">
      <w:pPr>
        <w:rPr>
          <w:rFonts w:cs="Arial"/>
          <w:b/>
        </w:rPr>
      </w:pPr>
    </w:p>
    <w:p w14:paraId="798B14E6" w14:textId="124BB998" w:rsidR="00D51874" w:rsidRDefault="00D51874">
      <w:pPr>
        <w:rPr>
          <w:rFonts w:cs="Arial"/>
          <w:b/>
        </w:rPr>
      </w:pPr>
      <w:r w:rsidRPr="002911AD">
        <w:rPr>
          <w:rFonts w:cs="Arial"/>
          <w:b/>
        </w:rPr>
        <w:t xml:space="preserve">CPT </w:t>
      </w:r>
      <w:r>
        <w:rPr>
          <w:rFonts w:cs="Arial"/>
          <w:b/>
        </w:rPr>
        <w:t>Bariatric Surgery for Weight Loss</w:t>
      </w:r>
      <w:r w:rsidRPr="002911AD">
        <w:rPr>
          <w:rFonts w:cs="Arial"/>
          <w:b/>
        </w:rPr>
        <w:t xml:space="preserve"> Procedure Code</w:t>
      </w:r>
      <w:r>
        <w:rPr>
          <w:rFonts w:cs="Arial"/>
          <w:b/>
        </w:rPr>
        <w:t xml:space="preserve">s </w:t>
      </w:r>
    </w:p>
    <w:p w14:paraId="7827E37D" w14:textId="77777777" w:rsidR="00D51874" w:rsidRDefault="00D51874">
      <w:pPr>
        <w:rPr>
          <w:rFonts w:cs="Arial"/>
          <w:b/>
        </w:rPr>
      </w:pPr>
    </w:p>
    <w:p w14:paraId="77FF9A03" w14:textId="20FCF46E" w:rsidR="0046185E" w:rsidRDefault="0046185E" w:rsidP="0046185E">
      <w:pPr>
        <w:rPr>
          <w:lang w:eastAsia="ja-JP"/>
        </w:rPr>
      </w:pPr>
      <w:r w:rsidRPr="00222413">
        <w:rPr>
          <w:lang w:eastAsia="ja-JP"/>
        </w:rPr>
        <w:t>Leapfrog has provi</w:t>
      </w:r>
      <w:r>
        <w:rPr>
          <w:lang w:eastAsia="ja-JP"/>
        </w:rPr>
        <w:t>ded a set of CPT codes</w:t>
      </w:r>
      <w:r w:rsidRPr="00222413">
        <w:rPr>
          <w:lang w:eastAsia="ja-JP"/>
        </w:rPr>
        <w:t xml:space="preserve"> for counting </w:t>
      </w:r>
      <w:r w:rsidRPr="00222413">
        <w:rPr>
          <w:b/>
          <w:lang w:eastAsia="ja-JP"/>
        </w:rPr>
        <w:t>patients</w:t>
      </w:r>
      <w:r>
        <w:rPr>
          <w:lang w:eastAsia="ja-JP"/>
        </w:rPr>
        <w:t xml:space="preserve"> </w:t>
      </w:r>
      <w:r w:rsidRPr="00222413">
        <w:rPr>
          <w:lang w:eastAsia="ja-JP"/>
        </w:rPr>
        <w:t xml:space="preserve">discharged from your </w:t>
      </w:r>
      <w:r>
        <w:rPr>
          <w:lang w:eastAsia="ja-JP"/>
        </w:rPr>
        <w:t>hospital</w:t>
      </w:r>
      <w:r w:rsidRPr="00222413">
        <w:rPr>
          <w:lang w:eastAsia="ja-JP"/>
        </w:rPr>
        <w:t xml:space="preserve"> who have undergone </w:t>
      </w:r>
      <w:r>
        <w:rPr>
          <w:lang w:eastAsia="ja-JP"/>
        </w:rPr>
        <w:t>the procedure</w:t>
      </w:r>
      <w:r w:rsidRPr="00222413">
        <w:rPr>
          <w:lang w:eastAsia="ja-JP"/>
        </w:rPr>
        <w:t xml:space="preserve"> during the reporting period</w:t>
      </w:r>
      <w:r>
        <w:rPr>
          <w:lang w:eastAsia="ja-JP"/>
        </w:rPr>
        <w:t xml:space="preserve"> on an outpatient basis</w:t>
      </w:r>
      <w:r w:rsidRPr="00222413">
        <w:rPr>
          <w:lang w:eastAsia="ja-JP"/>
        </w:rPr>
        <w:t xml:space="preserve">. </w:t>
      </w:r>
    </w:p>
    <w:p w14:paraId="23C4697C" w14:textId="77777777" w:rsidR="0046185E" w:rsidRDefault="0046185E" w:rsidP="0046185E">
      <w:pPr>
        <w:rPr>
          <w:lang w:eastAsia="ja-JP"/>
        </w:rPr>
      </w:pPr>
    </w:p>
    <w:p w14:paraId="410F7F35" w14:textId="53EE875A" w:rsidR="0046185E" w:rsidRPr="00D51874" w:rsidRDefault="0046185E" w:rsidP="0046185E">
      <w:pPr>
        <w:rPr>
          <w:rFonts w:cs="Arial"/>
          <w:lang w:eastAsia="ja-JP"/>
        </w:rPr>
      </w:pPr>
      <w:bookmarkStart w:id="262" w:name="_Hlk123123892"/>
      <w:r w:rsidRPr="00D51874">
        <w:rPr>
          <w:rFonts w:cs="Arial"/>
          <w:lang w:eastAsia="ja-JP"/>
        </w:rPr>
        <w:t xml:space="preserve">CPT Codes are provided in downloadable </w:t>
      </w:r>
      <w:r w:rsidR="0040556C">
        <w:rPr>
          <w:rFonts w:cs="Arial"/>
          <w:lang w:eastAsia="ja-JP"/>
        </w:rPr>
        <w:t>E</w:t>
      </w:r>
      <w:r w:rsidRPr="00D51874">
        <w:rPr>
          <w:rFonts w:cs="Arial"/>
          <w:lang w:eastAsia="ja-JP"/>
        </w:rPr>
        <w:t xml:space="preserve">xcel files </w:t>
      </w:r>
      <w:r>
        <w:rPr>
          <w:rFonts w:cs="Arial"/>
          <w:lang w:eastAsia="ja-JP"/>
        </w:rPr>
        <w:t>on the Survey Dashboard</w:t>
      </w:r>
      <w:r w:rsidRPr="00D51874">
        <w:rPr>
          <w:rFonts w:cs="Arial"/>
          <w:lang w:eastAsia="ja-JP"/>
        </w:rPr>
        <w:t xml:space="preserve">. To access the files, click the CPT Code Workbook button </w:t>
      </w:r>
      <w:r w:rsidRPr="00D51874">
        <w:rPr>
          <w:rStyle w:val="Hyperlink"/>
          <w:rFonts w:cs="Arial"/>
          <w:color w:val="auto"/>
          <w:u w:val="none"/>
          <w:lang w:eastAsia="ja-JP"/>
        </w:rPr>
        <w:t>next to Section 9</w:t>
      </w:r>
      <w:r>
        <w:rPr>
          <w:rStyle w:val="Hyperlink"/>
          <w:rFonts w:cs="Arial"/>
          <w:color w:val="auto"/>
          <w:u w:val="none"/>
          <w:lang w:eastAsia="ja-JP"/>
        </w:rPr>
        <w:t>.</w:t>
      </w:r>
      <w:r w:rsidRPr="00D51874">
        <w:rPr>
          <w:rStyle w:val="Hyperlink"/>
          <w:rFonts w:cs="Arial"/>
          <w:color w:val="auto"/>
          <w:u w:val="none"/>
          <w:lang w:eastAsia="ja-JP"/>
        </w:rPr>
        <w:t xml:space="preserve"> </w:t>
      </w:r>
      <w:r>
        <w:rPr>
          <w:rFonts w:cs="Arial"/>
          <w:lang w:eastAsia="ja-JP"/>
        </w:rPr>
        <w:t>Y</w:t>
      </w:r>
      <w:r w:rsidRPr="00D51874">
        <w:rPr>
          <w:rFonts w:cs="Arial"/>
          <w:lang w:eastAsia="ja-JP"/>
        </w:rPr>
        <w:t>ou will be required to complete the American Medical Association’s Terms of Use</w:t>
      </w:r>
      <w:r w:rsidRPr="00D51874">
        <w:rPr>
          <w:lang w:eastAsia="ja-JP"/>
        </w:rPr>
        <w:t xml:space="preserve"> before downloading the </w:t>
      </w:r>
      <w:r w:rsidR="0040556C">
        <w:rPr>
          <w:lang w:eastAsia="ja-JP"/>
        </w:rPr>
        <w:t>E</w:t>
      </w:r>
      <w:r w:rsidRPr="00D51874">
        <w:rPr>
          <w:lang w:eastAsia="ja-JP"/>
        </w:rPr>
        <w:t xml:space="preserve">xcel file and using the individual CPT codes to query </w:t>
      </w:r>
      <w:r>
        <w:rPr>
          <w:lang w:eastAsia="ja-JP"/>
        </w:rPr>
        <w:t xml:space="preserve">your </w:t>
      </w:r>
      <w:r w:rsidRPr="00D51874">
        <w:rPr>
          <w:lang w:eastAsia="ja-JP"/>
        </w:rPr>
        <w:t xml:space="preserve">EHR or billing system. </w:t>
      </w:r>
      <w:r w:rsidRPr="00D51874">
        <w:rPr>
          <w:rFonts w:cs="Arial"/>
          <w:lang w:eastAsia="ja-JP"/>
        </w:rPr>
        <w:t xml:space="preserve">You are only required to complete the Terms of Use once per Survey Cycle (April 1 – November 30). </w:t>
      </w:r>
    </w:p>
    <w:p w14:paraId="0A8FE0D6" w14:textId="77777777" w:rsidR="0046185E" w:rsidRPr="00D51874" w:rsidRDefault="0046185E" w:rsidP="0046185E">
      <w:pPr>
        <w:rPr>
          <w:rFonts w:cs="Arial"/>
          <w:lang w:eastAsia="ja-JP"/>
        </w:rPr>
      </w:pPr>
    </w:p>
    <w:p w14:paraId="1F8A43AA" w14:textId="24918542" w:rsidR="00D51874" w:rsidRDefault="0046185E" w:rsidP="00FB41BD">
      <w:pPr>
        <w:rPr>
          <w:rFonts w:cs="Arial"/>
          <w:lang w:eastAsia="ja-JP"/>
        </w:rPr>
      </w:pPr>
      <w:r>
        <w:rPr>
          <w:rFonts w:cs="Arial"/>
          <w:lang w:eastAsia="ja-JP"/>
        </w:rPr>
        <w:t xml:space="preserve">The </w:t>
      </w:r>
      <w:r w:rsidRPr="00D51874">
        <w:rPr>
          <w:rFonts w:cs="Arial"/>
          <w:lang w:eastAsia="ja-JP"/>
        </w:rPr>
        <w:t>CPT Code Workbook</w:t>
      </w:r>
      <w:r>
        <w:rPr>
          <w:rFonts w:cs="Arial"/>
          <w:lang w:eastAsia="ja-JP"/>
        </w:rPr>
        <w:t>s</w:t>
      </w:r>
      <w:r w:rsidRPr="00D51874">
        <w:rPr>
          <w:rFonts w:cs="Arial"/>
          <w:lang w:eastAsia="ja-JP"/>
        </w:rPr>
        <w:t xml:space="preserve"> (</w:t>
      </w:r>
      <w:r w:rsidR="0040556C">
        <w:rPr>
          <w:rFonts w:cs="Arial"/>
          <w:lang w:eastAsia="ja-JP"/>
        </w:rPr>
        <w:t>E</w:t>
      </w:r>
      <w:r w:rsidRPr="00D51874">
        <w:rPr>
          <w:rFonts w:cs="Arial"/>
          <w:lang w:eastAsia="ja-JP"/>
        </w:rPr>
        <w:t>xcel file</w:t>
      </w:r>
      <w:r>
        <w:rPr>
          <w:rFonts w:cs="Arial"/>
          <w:lang w:eastAsia="ja-JP"/>
        </w:rPr>
        <w:t>s</w:t>
      </w:r>
      <w:r w:rsidRPr="00D51874">
        <w:rPr>
          <w:rFonts w:cs="Arial"/>
          <w:lang w:eastAsia="ja-JP"/>
        </w:rPr>
        <w:t xml:space="preserve">) are labeled </w:t>
      </w:r>
      <w:r>
        <w:rPr>
          <w:rFonts w:cs="Arial"/>
          <w:lang w:eastAsia="ja-JP"/>
        </w:rPr>
        <w:t xml:space="preserve">for </w:t>
      </w:r>
      <w:r w:rsidRPr="00D51874">
        <w:rPr>
          <w:rFonts w:cs="Arial"/>
          <w:lang w:eastAsia="ja-JP"/>
        </w:rPr>
        <w:t xml:space="preserve">Section 3A: Total Hip Replacement, Total Knee Replacement, and Bariatric Surgery for Weight Loss and Section 9C: Volume of Procedures. </w:t>
      </w:r>
      <w:bookmarkEnd w:id="262"/>
      <w:r w:rsidR="00FB41BD" w:rsidRPr="00D51874">
        <w:rPr>
          <w:rFonts w:cs="Arial"/>
          <w:lang w:eastAsia="ja-JP"/>
        </w:rPr>
        <w:t>Please note</w:t>
      </w:r>
      <w:r w:rsidR="00FB41BD">
        <w:rPr>
          <w:rFonts w:cs="Arial"/>
          <w:lang w:eastAsia="ja-JP"/>
        </w:rPr>
        <w:t>, i</w:t>
      </w:r>
      <w:r w:rsidR="00FB41BD" w:rsidRPr="00FB41BD">
        <w:rPr>
          <w:rFonts w:cs="Arial"/>
          <w:lang w:eastAsia="ja-JP"/>
        </w:rPr>
        <w:t>f you are part of a hospital system, each hospital will need to complete the Terms of Use. This is a requirement of the American Medical Association.</w:t>
      </w:r>
    </w:p>
    <w:p w14:paraId="30403882" w14:textId="77777777" w:rsidR="00FB41BD" w:rsidRPr="00222413" w:rsidRDefault="00FB41BD" w:rsidP="00FB41BD">
      <w:pPr>
        <w:rPr>
          <w:lang w:eastAsia="ja-JP"/>
        </w:rPr>
      </w:pPr>
    </w:p>
    <w:p w14:paraId="16529937" w14:textId="7845B8D5" w:rsidR="00D51874" w:rsidRPr="00222413" w:rsidRDefault="00D51874" w:rsidP="00D51874">
      <w:pPr>
        <w:rPr>
          <w:lang w:eastAsia="ja-JP"/>
        </w:rPr>
      </w:pPr>
      <w:r>
        <w:rPr>
          <w:lang w:eastAsia="ja-JP"/>
        </w:rPr>
        <w:t>Using the CPT codes found for Bariatric Surgery for Weight Loss in the “Instructions” sheet, count t</w:t>
      </w:r>
      <w:r w:rsidRPr="00222413">
        <w:rPr>
          <w:lang w:eastAsia="ja-JP"/>
        </w:rPr>
        <w:t xml:space="preserve">he total number of adult (18 years of age or older) patients discharged </w:t>
      </w:r>
      <w:r>
        <w:rPr>
          <w:lang w:eastAsia="ja-JP"/>
        </w:rPr>
        <w:t xml:space="preserve">for the procedures </w:t>
      </w:r>
      <w:r w:rsidRPr="00222413">
        <w:rPr>
          <w:lang w:eastAsia="ja-JP"/>
        </w:rPr>
        <w:t xml:space="preserve">with </w:t>
      </w:r>
      <w:r>
        <w:rPr>
          <w:lang w:eastAsia="ja-JP"/>
        </w:rPr>
        <w:t>the</w:t>
      </w:r>
      <w:r w:rsidRPr="00222413">
        <w:rPr>
          <w:lang w:eastAsia="ja-JP"/>
        </w:rPr>
        <w:t xml:space="preserve"> CPT code</w:t>
      </w:r>
      <w:r>
        <w:rPr>
          <w:lang w:eastAsia="ja-JP"/>
        </w:rPr>
        <w:t>s</w:t>
      </w:r>
      <w:r w:rsidRPr="00222413">
        <w:rPr>
          <w:lang w:eastAsia="ja-JP"/>
        </w:rPr>
        <w:t xml:space="preserve"> listed</w:t>
      </w:r>
      <w:r w:rsidR="007A2370">
        <w:rPr>
          <w:lang w:eastAsia="ja-JP"/>
        </w:rPr>
        <w:t xml:space="preserve"> </w:t>
      </w:r>
      <w:r w:rsidR="007A2370" w:rsidRPr="006904F9">
        <w:rPr>
          <w:rFonts w:cs="Arial"/>
          <w:b/>
          <w:bCs/>
        </w:rPr>
        <w:t>AND</w:t>
      </w:r>
      <w:r w:rsidR="007A2370" w:rsidRPr="009A5185">
        <w:rPr>
          <w:rFonts w:cs="Arial"/>
        </w:rPr>
        <w:t xml:space="preserve"> any of the </w:t>
      </w:r>
      <w:r w:rsidR="00407E32">
        <w:rPr>
          <w:rFonts w:cs="Arial"/>
        </w:rPr>
        <w:t>above</w:t>
      </w:r>
      <w:r w:rsidR="007A2370" w:rsidRPr="009A5185">
        <w:rPr>
          <w:rFonts w:cs="Arial"/>
        </w:rPr>
        <w:t xml:space="preserve"> ICD-10 </w:t>
      </w:r>
      <w:r w:rsidR="00407E32">
        <w:rPr>
          <w:rFonts w:cs="Arial"/>
        </w:rPr>
        <w:t xml:space="preserve">diagnosis </w:t>
      </w:r>
      <w:r w:rsidR="007A2370" w:rsidRPr="009A5185">
        <w:rPr>
          <w:rFonts w:cs="Arial"/>
        </w:rPr>
        <w:t xml:space="preserve">codes in the </w:t>
      </w:r>
      <w:r w:rsidR="007A2370" w:rsidRPr="009A5185">
        <w:rPr>
          <w:rFonts w:cs="Arial"/>
          <w:b/>
          <w:u w:val="single"/>
        </w:rPr>
        <w:t>primary</w:t>
      </w:r>
      <w:r w:rsidR="007A2370" w:rsidRPr="009A5185">
        <w:rPr>
          <w:rFonts w:cs="Arial"/>
        </w:rPr>
        <w:t xml:space="preserve"> diagnosis field.</w:t>
      </w:r>
      <w:r w:rsidRPr="00222413">
        <w:rPr>
          <w:lang w:eastAsia="ja-JP"/>
        </w:rPr>
        <w:t xml:space="preserve"> The CPT code</w:t>
      </w:r>
      <w:r>
        <w:rPr>
          <w:lang w:eastAsia="ja-JP"/>
        </w:rPr>
        <w:t>s</w:t>
      </w:r>
      <w:r w:rsidRPr="00222413">
        <w:rPr>
          <w:lang w:eastAsia="ja-JP"/>
        </w:rPr>
        <w:t xml:space="preserve"> can be in any procedure field.</w:t>
      </w:r>
    </w:p>
    <w:p w14:paraId="55279E92" w14:textId="2E678623" w:rsidR="00A05F36" w:rsidRDefault="00A05F36">
      <w:pPr>
        <w:rPr>
          <w:rFonts w:cs="Arial"/>
          <w:b/>
        </w:rPr>
      </w:pPr>
    </w:p>
    <w:p w14:paraId="6BFB3A93" w14:textId="5491C534" w:rsidR="00A05F36" w:rsidRPr="009A5185" w:rsidRDefault="00A05F36" w:rsidP="000C2C54">
      <w:pPr>
        <w:pStyle w:val="Heading44"/>
      </w:pPr>
      <w:bookmarkStart w:id="263" w:name="_Total_Knee_Replacement"/>
      <w:bookmarkEnd w:id="263"/>
      <w:r>
        <w:t>Total Knee Replacement</w:t>
      </w:r>
      <w:r w:rsidRPr="009A5185">
        <w:t xml:space="preserve"> Measure </w:t>
      </w:r>
      <w:r w:rsidR="000765C6">
        <w:t>Specifications</w:t>
      </w:r>
    </w:p>
    <w:p w14:paraId="20031D0E" w14:textId="77777777" w:rsidR="00A05F36" w:rsidRPr="009A5185" w:rsidRDefault="00A05F36" w:rsidP="00A05F36">
      <w:pPr>
        <w:rPr>
          <w:rFonts w:cs="Arial"/>
        </w:rPr>
      </w:pPr>
    </w:p>
    <w:p w14:paraId="327E5B1C" w14:textId="57C31E2F" w:rsidR="00A05F36" w:rsidRPr="009A5185" w:rsidRDefault="00A05F36" w:rsidP="00A05F36">
      <w:pPr>
        <w:rPr>
          <w:rFonts w:cs="Arial"/>
        </w:rPr>
      </w:pPr>
      <w:bookmarkStart w:id="264" w:name="_Hlk57906836"/>
      <w:r w:rsidRPr="009A5185">
        <w:rPr>
          <w:rFonts w:cs="Arial"/>
        </w:rPr>
        <w:t xml:space="preserve">For </w:t>
      </w:r>
      <w:r>
        <w:rPr>
          <w:rFonts w:cs="Arial"/>
        </w:rPr>
        <w:t>total knee replacement</w:t>
      </w:r>
      <w:r w:rsidRPr="009A5185">
        <w:rPr>
          <w:rFonts w:cs="Arial"/>
        </w:rPr>
        <w:t xml:space="preserve">, </w:t>
      </w:r>
      <w:r w:rsidRPr="00873014">
        <w:rPr>
          <w:rFonts w:cs="Arial"/>
        </w:rPr>
        <w:t xml:space="preserve">there </w:t>
      </w:r>
      <w:r w:rsidR="005665EE">
        <w:rPr>
          <w:rFonts w:cs="Arial"/>
        </w:rPr>
        <w:t xml:space="preserve">are two sets of codes. One </w:t>
      </w:r>
      <w:r w:rsidRPr="00873014">
        <w:rPr>
          <w:rFonts w:cs="Arial"/>
        </w:rPr>
        <w:t>set of ICD-10 codes</w:t>
      </w:r>
      <w:r w:rsidR="005665EE">
        <w:rPr>
          <w:rFonts w:cs="Arial"/>
        </w:rPr>
        <w:t xml:space="preserve"> for counting inpatient discharges and one</w:t>
      </w:r>
      <w:r w:rsidR="002911AD">
        <w:rPr>
          <w:rFonts w:cs="Arial"/>
        </w:rPr>
        <w:t xml:space="preserve"> CPT code</w:t>
      </w:r>
      <w:r w:rsidRPr="00873014">
        <w:rPr>
          <w:rFonts w:cs="Arial"/>
        </w:rPr>
        <w:t xml:space="preserve"> for counting </w:t>
      </w:r>
      <w:r w:rsidR="002911AD">
        <w:rPr>
          <w:rFonts w:cs="Arial"/>
        </w:rPr>
        <w:t xml:space="preserve">outpatient </w:t>
      </w:r>
      <w:r w:rsidRPr="00873014">
        <w:rPr>
          <w:rFonts w:cs="Arial"/>
        </w:rPr>
        <w:t xml:space="preserve">discharges. The </w:t>
      </w:r>
      <w:r w:rsidR="005665EE">
        <w:rPr>
          <w:rFonts w:cs="Arial"/>
        </w:rPr>
        <w:t xml:space="preserve">two </w:t>
      </w:r>
      <w:r w:rsidRPr="00873014">
        <w:rPr>
          <w:rFonts w:cs="Arial"/>
        </w:rPr>
        <w:t>set</w:t>
      </w:r>
      <w:r w:rsidR="005665EE">
        <w:rPr>
          <w:rFonts w:cs="Arial"/>
        </w:rPr>
        <w:t>s</w:t>
      </w:r>
      <w:r w:rsidRPr="00873014">
        <w:rPr>
          <w:rFonts w:cs="Arial"/>
        </w:rPr>
        <w:t xml:space="preserve"> of codes </w:t>
      </w:r>
      <w:r w:rsidR="005665EE">
        <w:rPr>
          <w:rFonts w:cs="Arial"/>
        </w:rPr>
        <w:t xml:space="preserve">are </w:t>
      </w:r>
      <w:r w:rsidRPr="00873014">
        <w:rPr>
          <w:rFonts w:cs="Arial"/>
        </w:rPr>
        <w:t>to identify patients who have had the procedure.</w:t>
      </w:r>
    </w:p>
    <w:p w14:paraId="3479FD6A" w14:textId="77777777" w:rsidR="00A05F36" w:rsidRPr="009A5185" w:rsidRDefault="00A05F36" w:rsidP="00A05F36">
      <w:pPr>
        <w:rPr>
          <w:rFonts w:cs="Arial"/>
        </w:rPr>
      </w:pPr>
    </w:p>
    <w:bookmarkEnd w:id="264"/>
    <w:p w14:paraId="38D11943" w14:textId="77777777" w:rsidR="00DE7E98" w:rsidRPr="00D51874" w:rsidRDefault="00DE7E98" w:rsidP="00DE7E98">
      <w:pPr>
        <w:rPr>
          <w:rFonts w:cs="Arial"/>
        </w:rPr>
      </w:pPr>
      <w:r w:rsidRPr="00D51874">
        <w:rPr>
          <w:rFonts w:cs="Arial"/>
        </w:rPr>
        <w:t>To determine the number of patients, ages 18 years and older, discharged for this procedure, hospitals have two options:</w:t>
      </w:r>
    </w:p>
    <w:p w14:paraId="48C2F2E2" w14:textId="4C690F41" w:rsidR="00DE7E98" w:rsidRPr="00D51874" w:rsidRDefault="00DE7E98" w:rsidP="00AD309C">
      <w:pPr>
        <w:pStyle w:val="ListParagraph"/>
        <w:numPr>
          <w:ilvl w:val="0"/>
          <w:numId w:val="177"/>
        </w:numPr>
        <w:rPr>
          <w:rFonts w:cs="Arial"/>
        </w:rPr>
      </w:pPr>
      <w:r w:rsidRPr="00D51874">
        <w:rPr>
          <w:rFonts w:cs="Arial"/>
        </w:rPr>
        <w:t xml:space="preserve">Count the number of patients, ages 18 years and older, discharged with any of the following ICD-10 codes in the </w:t>
      </w:r>
      <w:r w:rsidRPr="00D51874">
        <w:rPr>
          <w:rFonts w:cs="Arial"/>
          <w:b/>
          <w:bCs/>
          <w:u w:val="single"/>
        </w:rPr>
        <w:t>primary</w:t>
      </w:r>
      <w:r w:rsidRPr="00D51874">
        <w:rPr>
          <w:rFonts w:cs="Arial"/>
        </w:rPr>
        <w:t xml:space="preserve"> procedure field</w:t>
      </w:r>
      <w:r w:rsidR="00544757">
        <w:rPr>
          <w:rFonts w:cs="Arial"/>
        </w:rPr>
        <w:t xml:space="preserve"> or the CPT Code </w:t>
      </w:r>
      <w:r w:rsidR="00544757" w:rsidRPr="009A5185">
        <w:rPr>
          <w:rFonts w:cs="Arial"/>
        </w:rPr>
        <w:t>in any procedure field</w:t>
      </w:r>
      <w:r w:rsidRPr="00D51874">
        <w:rPr>
          <w:rFonts w:cs="Arial"/>
        </w:rPr>
        <w:t xml:space="preserve">. This method does not require chart review. Hospitals should report on total knee replacement procedures performed in the outpatient locations included in Section </w:t>
      </w:r>
      <w:r w:rsidR="000B1028">
        <w:rPr>
          <w:rFonts w:cs="Arial"/>
        </w:rPr>
        <w:t>9</w:t>
      </w:r>
      <w:r w:rsidRPr="00D51874">
        <w:rPr>
          <w:rFonts w:cs="Arial"/>
        </w:rPr>
        <w:t>: Outpatient Procedures.</w:t>
      </w:r>
    </w:p>
    <w:p w14:paraId="79ECB63E" w14:textId="310A83A0" w:rsidR="00DE7E98" w:rsidRPr="00541516" w:rsidRDefault="00DE7E98" w:rsidP="00AD309C">
      <w:pPr>
        <w:pStyle w:val="ListParagraph"/>
        <w:numPr>
          <w:ilvl w:val="0"/>
          <w:numId w:val="177"/>
        </w:numPr>
        <w:rPr>
          <w:rFonts w:cs="Arial"/>
        </w:rPr>
      </w:pPr>
      <w:r w:rsidRPr="00D51874">
        <w:rPr>
          <w:rFonts w:cs="Arial"/>
        </w:rPr>
        <w:t xml:space="preserve">Count the number of patients, ages 18 years and older, discharged with any of the following ICD-10 codes </w:t>
      </w:r>
      <w:r w:rsidR="00544757">
        <w:rPr>
          <w:rFonts w:cs="Arial"/>
        </w:rPr>
        <w:t xml:space="preserve">or CPT Code </w:t>
      </w:r>
      <w:r w:rsidRPr="00D51874">
        <w:rPr>
          <w:rFonts w:cs="Arial"/>
        </w:rPr>
        <w:t xml:space="preserve">in any procedure field. </w:t>
      </w:r>
      <w:r w:rsidR="00544757">
        <w:rPr>
          <w:rFonts w:cs="Arial"/>
          <w:b/>
          <w:bCs/>
        </w:rPr>
        <w:t xml:space="preserve">For </w:t>
      </w:r>
      <w:r w:rsidR="00D803A4">
        <w:rPr>
          <w:rFonts w:cs="Arial"/>
          <w:b/>
          <w:bCs/>
        </w:rPr>
        <w:t xml:space="preserve">inpatient </w:t>
      </w:r>
      <w:r w:rsidR="00544757">
        <w:rPr>
          <w:rFonts w:cs="Arial"/>
          <w:b/>
          <w:bCs/>
        </w:rPr>
        <w:t xml:space="preserve">cases </w:t>
      </w:r>
      <w:r w:rsidR="00D803A4">
        <w:rPr>
          <w:rFonts w:cs="Arial"/>
          <w:b/>
          <w:bCs/>
        </w:rPr>
        <w:t>using</w:t>
      </w:r>
      <w:r w:rsidR="00544757">
        <w:rPr>
          <w:rFonts w:cs="Arial"/>
          <w:b/>
          <w:bCs/>
        </w:rPr>
        <w:t xml:space="preserve"> ICD-10 codes, e</w:t>
      </w:r>
      <w:r w:rsidRPr="00D51874">
        <w:rPr>
          <w:rFonts w:cs="Arial"/>
          <w:b/>
          <w:bCs/>
        </w:rPr>
        <w:t>xclude any patients where the procedure was done as a revision</w:t>
      </w:r>
      <w:r w:rsidRPr="00D51874">
        <w:rPr>
          <w:rFonts w:cs="Arial"/>
        </w:rPr>
        <w:t xml:space="preserve"> (i.e., the presence of one of the procedure codes is necessary, but not sufficient for inclusion). This method requires chart review </w:t>
      </w:r>
      <w:r w:rsidR="00D803A4">
        <w:rPr>
          <w:rFonts w:cs="Arial"/>
        </w:rPr>
        <w:t xml:space="preserve">of inpatient cases </w:t>
      </w:r>
      <w:r w:rsidRPr="00D51874">
        <w:rPr>
          <w:rFonts w:cs="Arial"/>
        </w:rPr>
        <w:t xml:space="preserve">to ensure that revisions are not included. </w:t>
      </w:r>
      <w:r w:rsidR="00544757">
        <w:rPr>
          <w:rFonts w:cs="Arial"/>
        </w:rPr>
        <w:t xml:space="preserve">Chart review is not required for </w:t>
      </w:r>
      <w:r w:rsidR="00D803A4">
        <w:rPr>
          <w:rFonts w:cs="Arial"/>
        </w:rPr>
        <w:t xml:space="preserve">outpatient </w:t>
      </w:r>
      <w:r w:rsidR="00544757">
        <w:rPr>
          <w:rFonts w:cs="Arial"/>
        </w:rPr>
        <w:t xml:space="preserve">cases </w:t>
      </w:r>
      <w:r w:rsidR="00D803A4">
        <w:rPr>
          <w:rFonts w:cs="Arial"/>
        </w:rPr>
        <w:t>using</w:t>
      </w:r>
      <w:r w:rsidR="00544757">
        <w:rPr>
          <w:rFonts w:cs="Arial"/>
        </w:rPr>
        <w:t xml:space="preserve"> the specified CPT Code. </w:t>
      </w:r>
      <w:r w:rsidRPr="00D51874">
        <w:rPr>
          <w:rFonts w:cs="Arial"/>
        </w:rPr>
        <w:t xml:space="preserve">Hospitals should report on total knee </w:t>
      </w:r>
      <w:r w:rsidRPr="00D51874">
        <w:rPr>
          <w:rFonts w:cs="Arial"/>
        </w:rPr>
        <w:lastRenderedPageBreak/>
        <w:t xml:space="preserve">replacement procedures performed in the outpatient locations included in Section </w:t>
      </w:r>
      <w:r w:rsidR="000B1028">
        <w:rPr>
          <w:rFonts w:cs="Arial"/>
        </w:rPr>
        <w:t>9</w:t>
      </w:r>
      <w:r w:rsidRPr="00D51874">
        <w:rPr>
          <w:rFonts w:cs="Arial"/>
        </w:rPr>
        <w:t>: Outpatient Procedures.</w:t>
      </w:r>
      <w:r w:rsidR="00544757">
        <w:rPr>
          <w:rFonts w:cs="Arial"/>
        </w:rPr>
        <w:t xml:space="preserve"> </w:t>
      </w:r>
    </w:p>
    <w:p w14:paraId="3F3C966B" w14:textId="77777777" w:rsidR="00A05F36" w:rsidRPr="009A5185" w:rsidRDefault="00A05F36" w:rsidP="00A05F36">
      <w:pPr>
        <w:rPr>
          <w:rFonts w:cs="Arial"/>
        </w:rPr>
      </w:pPr>
    </w:p>
    <w:p w14:paraId="12635A92" w14:textId="4D30821D" w:rsidR="00A05F36" w:rsidRDefault="00A05F36" w:rsidP="00A05F36">
      <w:pPr>
        <w:rPr>
          <w:rFonts w:cs="Arial"/>
          <w:b/>
        </w:rPr>
      </w:pPr>
      <w:r w:rsidRPr="009A5185">
        <w:rPr>
          <w:rFonts w:cs="Arial"/>
          <w:b/>
        </w:rPr>
        <w:t xml:space="preserve">ICD-10 </w:t>
      </w:r>
      <w:r>
        <w:rPr>
          <w:rFonts w:cs="Arial"/>
          <w:b/>
        </w:rPr>
        <w:t>Total Knee Replacement</w:t>
      </w:r>
      <w:r w:rsidRPr="009A5185">
        <w:rPr>
          <w:rFonts w:cs="Arial"/>
          <w:b/>
        </w:rPr>
        <w:t xml:space="preserve"> Procedure Codes </w:t>
      </w:r>
    </w:p>
    <w:p w14:paraId="58FC7F2E" w14:textId="69A7F015" w:rsidR="004F7F0B" w:rsidRDefault="004F7F0B" w:rsidP="00A05F36">
      <w:pPr>
        <w:rPr>
          <w:rFonts w:cs="Arial"/>
          <w:b/>
        </w:rPr>
      </w:pPr>
    </w:p>
    <w:tbl>
      <w:tblPr>
        <w:tblStyle w:val="TableGrid"/>
        <w:tblW w:w="9360" w:type="dxa"/>
        <w:jc w:val="center"/>
        <w:tblLook w:val="04A0" w:firstRow="1" w:lastRow="0" w:firstColumn="1" w:lastColumn="0" w:noHBand="0" w:noVBand="1"/>
      </w:tblPr>
      <w:tblGrid>
        <w:gridCol w:w="1722"/>
        <w:gridCol w:w="7638"/>
      </w:tblGrid>
      <w:tr w:rsidR="004F7F0B" w:rsidRPr="00F43C2F" w14:paraId="24266366" w14:textId="77777777" w:rsidTr="00696E8F">
        <w:trPr>
          <w:trHeight w:val="300"/>
          <w:jc w:val="center"/>
        </w:trPr>
        <w:tc>
          <w:tcPr>
            <w:tcW w:w="1722" w:type="dxa"/>
            <w:shd w:val="clear" w:color="auto" w:fill="BFBFBF"/>
            <w:noWrap/>
            <w:vAlign w:val="center"/>
          </w:tcPr>
          <w:p w14:paraId="56B8FC5E" w14:textId="77777777" w:rsidR="004F7F0B" w:rsidRPr="00F43C2F" w:rsidRDefault="004F7F0B" w:rsidP="00696E8F">
            <w:pPr>
              <w:rPr>
                <w:rFonts w:cs="Arial"/>
                <w:color w:val="000000"/>
              </w:rPr>
            </w:pPr>
            <w:r w:rsidRPr="00F43C2F">
              <w:rPr>
                <w:rFonts w:cs="Arial"/>
                <w:b/>
                <w:bCs/>
                <w:color w:val="000000"/>
              </w:rPr>
              <w:t>ICD10 Procedure Code</w:t>
            </w:r>
          </w:p>
        </w:tc>
        <w:tc>
          <w:tcPr>
            <w:tcW w:w="7638" w:type="dxa"/>
            <w:shd w:val="clear" w:color="auto" w:fill="BFBFBF"/>
            <w:noWrap/>
            <w:vAlign w:val="center"/>
          </w:tcPr>
          <w:p w14:paraId="11B692B2" w14:textId="77777777" w:rsidR="004F7F0B" w:rsidRPr="00F43C2F" w:rsidRDefault="004F7F0B" w:rsidP="00696E8F">
            <w:pPr>
              <w:rPr>
                <w:rFonts w:cs="Arial"/>
                <w:color w:val="000000"/>
              </w:rPr>
            </w:pPr>
            <w:r w:rsidRPr="00F43C2F">
              <w:rPr>
                <w:rFonts w:cs="Arial"/>
                <w:b/>
                <w:bCs/>
                <w:color w:val="000000"/>
              </w:rPr>
              <w:t>Code Description</w:t>
            </w:r>
          </w:p>
        </w:tc>
      </w:tr>
      <w:tr w:rsidR="004F7F0B" w:rsidRPr="00F43C2F" w14:paraId="10B13C22" w14:textId="77777777" w:rsidTr="00696E8F">
        <w:trPr>
          <w:trHeight w:val="300"/>
          <w:jc w:val="center"/>
        </w:trPr>
        <w:tc>
          <w:tcPr>
            <w:tcW w:w="1722" w:type="dxa"/>
            <w:noWrap/>
            <w:vAlign w:val="center"/>
            <w:hideMark/>
          </w:tcPr>
          <w:p w14:paraId="6FC00463" w14:textId="77777777" w:rsidR="004F7F0B" w:rsidRPr="00F43C2F" w:rsidRDefault="004F7F0B" w:rsidP="00696E8F">
            <w:pPr>
              <w:rPr>
                <w:rFonts w:cs="Arial"/>
                <w:color w:val="000000"/>
              </w:rPr>
            </w:pPr>
            <w:r w:rsidRPr="00F43C2F">
              <w:rPr>
                <w:rFonts w:cs="Arial"/>
                <w:color w:val="000000"/>
              </w:rPr>
              <w:t>0SRC0J9</w:t>
            </w:r>
          </w:p>
        </w:tc>
        <w:tc>
          <w:tcPr>
            <w:tcW w:w="7638" w:type="dxa"/>
            <w:noWrap/>
            <w:vAlign w:val="center"/>
            <w:hideMark/>
          </w:tcPr>
          <w:p w14:paraId="34753CFB" w14:textId="77777777" w:rsidR="004F7F0B" w:rsidRPr="00F43C2F" w:rsidRDefault="004F7F0B" w:rsidP="00696E8F">
            <w:pPr>
              <w:rPr>
                <w:rFonts w:cs="Arial"/>
                <w:color w:val="000000"/>
              </w:rPr>
            </w:pPr>
            <w:r w:rsidRPr="00F43C2F">
              <w:rPr>
                <w:rFonts w:cs="Arial"/>
                <w:color w:val="000000"/>
              </w:rPr>
              <w:t>Replacement of Right Knee Joint with Synthetic Substitute, Cemented, Open Approach</w:t>
            </w:r>
          </w:p>
        </w:tc>
      </w:tr>
      <w:tr w:rsidR="004F7F0B" w:rsidRPr="00F43C2F" w14:paraId="7C856822" w14:textId="77777777" w:rsidTr="00696E8F">
        <w:trPr>
          <w:trHeight w:val="300"/>
          <w:jc w:val="center"/>
        </w:trPr>
        <w:tc>
          <w:tcPr>
            <w:tcW w:w="1722" w:type="dxa"/>
            <w:noWrap/>
            <w:vAlign w:val="center"/>
            <w:hideMark/>
          </w:tcPr>
          <w:p w14:paraId="7A5C9ABF" w14:textId="77777777" w:rsidR="004F7F0B" w:rsidRPr="00F43C2F" w:rsidRDefault="004F7F0B" w:rsidP="00696E8F">
            <w:pPr>
              <w:rPr>
                <w:rFonts w:cs="Arial"/>
                <w:color w:val="000000"/>
              </w:rPr>
            </w:pPr>
            <w:r w:rsidRPr="00F43C2F">
              <w:rPr>
                <w:rFonts w:cs="Arial"/>
                <w:color w:val="000000"/>
              </w:rPr>
              <w:t>0SRC0JA</w:t>
            </w:r>
          </w:p>
        </w:tc>
        <w:tc>
          <w:tcPr>
            <w:tcW w:w="7638" w:type="dxa"/>
            <w:noWrap/>
            <w:vAlign w:val="center"/>
            <w:hideMark/>
          </w:tcPr>
          <w:p w14:paraId="4DA98CA5" w14:textId="77777777" w:rsidR="004F7F0B" w:rsidRPr="00F43C2F" w:rsidRDefault="004F7F0B" w:rsidP="00696E8F">
            <w:pPr>
              <w:rPr>
                <w:rFonts w:cs="Arial"/>
                <w:color w:val="000000"/>
              </w:rPr>
            </w:pPr>
            <w:r w:rsidRPr="00F43C2F">
              <w:rPr>
                <w:rFonts w:cs="Arial"/>
                <w:color w:val="000000"/>
              </w:rPr>
              <w:t>Replacement of Right Knee Joint with Synthetic Substitute, Uncemented, Open Approach</w:t>
            </w:r>
          </w:p>
        </w:tc>
      </w:tr>
      <w:tr w:rsidR="004F7F0B" w:rsidRPr="00F43C2F" w14:paraId="358CB5D3" w14:textId="77777777" w:rsidTr="00696E8F">
        <w:trPr>
          <w:trHeight w:val="300"/>
          <w:jc w:val="center"/>
        </w:trPr>
        <w:tc>
          <w:tcPr>
            <w:tcW w:w="1722" w:type="dxa"/>
            <w:noWrap/>
            <w:vAlign w:val="center"/>
            <w:hideMark/>
          </w:tcPr>
          <w:p w14:paraId="24F8EA85" w14:textId="77777777" w:rsidR="004F7F0B" w:rsidRPr="00F43C2F" w:rsidRDefault="004F7F0B" w:rsidP="00696E8F">
            <w:pPr>
              <w:rPr>
                <w:rFonts w:cs="Arial"/>
                <w:color w:val="000000"/>
              </w:rPr>
            </w:pPr>
            <w:r w:rsidRPr="00F43C2F">
              <w:rPr>
                <w:rFonts w:cs="Arial"/>
                <w:color w:val="000000"/>
              </w:rPr>
              <w:t>0SRC0JZ</w:t>
            </w:r>
          </w:p>
        </w:tc>
        <w:tc>
          <w:tcPr>
            <w:tcW w:w="7638" w:type="dxa"/>
            <w:noWrap/>
            <w:vAlign w:val="center"/>
            <w:hideMark/>
          </w:tcPr>
          <w:p w14:paraId="7C49C80E" w14:textId="77777777" w:rsidR="004F7F0B" w:rsidRPr="00F43C2F" w:rsidRDefault="004F7F0B" w:rsidP="00696E8F">
            <w:pPr>
              <w:rPr>
                <w:rFonts w:cs="Arial"/>
                <w:color w:val="000000"/>
              </w:rPr>
            </w:pPr>
            <w:r w:rsidRPr="00F43C2F">
              <w:rPr>
                <w:rFonts w:cs="Arial"/>
                <w:color w:val="000000"/>
              </w:rPr>
              <w:t>Replacement of Right Knee Joint with Synthetic Substitute, Open Approach</w:t>
            </w:r>
          </w:p>
        </w:tc>
      </w:tr>
      <w:tr w:rsidR="004F7F0B" w:rsidRPr="00F43C2F" w14:paraId="04DDB6F5" w14:textId="77777777" w:rsidTr="00696E8F">
        <w:trPr>
          <w:trHeight w:val="300"/>
          <w:jc w:val="center"/>
        </w:trPr>
        <w:tc>
          <w:tcPr>
            <w:tcW w:w="1722" w:type="dxa"/>
            <w:noWrap/>
            <w:vAlign w:val="center"/>
            <w:hideMark/>
          </w:tcPr>
          <w:p w14:paraId="7228397D" w14:textId="77777777" w:rsidR="004F7F0B" w:rsidRPr="00F43C2F" w:rsidRDefault="004F7F0B" w:rsidP="00696E8F">
            <w:pPr>
              <w:rPr>
                <w:rFonts w:cs="Arial"/>
                <w:color w:val="000000"/>
              </w:rPr>
            </w:pPr>
            <w:r w:rsidRPr="00F43C2F">
              <w:rPr>
                <w:rFonts w:cs="Arial"/>
                <w:color w:val="000000"/>
              </w:rPr>
              <w:t>0SRD0J9</w:t>
            </w:r>
          </w:p>
        </w:tc>
        <w:tc>
          <w:tcPr>
            <w:tcW w:w="7638" w:type="dxa"/>
            <w:noWrap/>
            <w:vAlign w:val="center"/>
            <w:hideMark/>
          </w:tcPr>
          <w:p w14:paraId="0C326873" w14:textId="77777777" w:rsidR="004F7F0B" w:rsidRPr="00F43C2F" w:rsidRDefault="004F7F0B" w:rsidP="00696E8F">
            <w:pPr>
              <w:rPr>
                <w:rFonts w:cs="Arial"/>
                <w:color w:val="000000"/>
              </w:rPr>
            </w:pPr>
            <w:r w:rsidRPr="00F43C2F">
              <w:rPr>
                <w:rFonts w:cs="Arial"/>
                <w:color w:val="000000"/>
              </w:rPr>
              <w:t>Replacement of Left Knee Joint with Synthetic Substitute, Cemented, Open Approach</w:t>
            </w:r>
          </w:p>
        </w:tc>
      </w:tr>
      <w:tr w:rsidR="004F7F0B" w:rsidRPr="00F43C2F" w14:paraId="2F0E570F" w14:textId="77777777" w:rsidTr="00696E8F">
        <w:trPr>
          <w:trHeight w:val="300"/>
          <w:jc w:val="center"/>
        </w:trPr>
        <w:tc>
          <w:tcPr>
            <w:tcW w:w="1722" w:type="dxa"/>
            <w:noWrap/>
            <w:vAlign w:val="center"/>
            <w:hideMark/>
          </w:tcPr>
          <w:p w14:paraId="48C08ACD" w14:textId="77777777" w:rsidR="004F7F0B" w:rsidRPr="00F43C2F" w:rsidRDefault="004F7F0B" w:rsidP="00696E8F">
            <w:pPr>
              <w:rPr>
                <w:rFonts w:cs="Arial"/>
                <w:color w:val="000000"/>
              </w:rPr>
            </w:pPr>
            <w:r w:rsidRPr="00F43C2F">
              <w:rPr>
                <w:rFonts w:cs="Arial"/>
                <w:color w:val="000000"/>
              </w:rPr>
              <w:t>0SRD0JA</w:t>
            </w:r>
          </w:p>
        </w:tc>
        <w:tc>
          <w:tcPr>
            <w:tcW w:w="7638" w:type="dxa"/>
            <w:noWrap/>
            <w:vAlign w:val="center"/>
            <w:hideMark/>
          </w:tcPr>
          <w:p w14:paraId="1D99C459" w14:textId="77777777" w:rsidR="004F7F0B" w:rsidRPr="00F43C2F" w:rsidRDefault="004F7F0B" w:rsidP="00696E8F">
            <w:pPr>
              <w:rPr>
                <w:rFonts w:cs="Arial"/>
                <w:color w:val="000000"/>
              </w:rPr>
            </w:pPr>
            <w:r w:rsidRPr="00F43C2F">
              <w:rPr>
                <w:rFonts w:cs="Arial"/>
                <w:color w:val="000000"/>
              </w:rPr>
              <w:t>Replacement of Left Knee Joint with Synthetic Substitute, Uncemented, Open Approach</w:t>
            </w:r>
          </w:p>
        </w:tc>
      </w:tr>
      <w:tr w:rsidR="004F7F0B" w:rsidRPr="00F43C2F" w14:paraId="5ED0BCF9" w14:textId="77777777" w:rsidTr="00696E8F">
        <w:trPr>
          <w:trHeight w:val="300"/>
          <w:jc w:val="center"/>
        </w:trPr>
        <w:tc>
          <w:tcPr>
            <w:tcW w:w="1722" w:type="dxa"/>
            <w:noWrap/>
            <w:vAlign w:val="center"/>
            <w:hideMark/>
          </w:tcPr>
          <w:p w14:paraId="542EB44A" w14:textId="77777777" w:rsidR="004F7F0B" w:rsidRPr="00F43C2F" w:rsidRDefault="004F7F0B" w:rsidP="00696E8F">
            <w:pPr>
              <w:rPr>
                <w:rFonts w:cs="Arial"/>
                <w:color w:val="000000"/>
              </w:rPr>
            </w:pPr>
            <w:r w:rsidRPr="00F43C2F">
              <w:rPr>
                <w:rFonts w:cs="Arial"/>
                <w:color w:val="000000"/>
              </w:rPr>
              <w:t>0SRD0JZ</w:t>
            </w:r>
          </w:p>
        </w:tc>
        <w:tc>
          <w:tcPr>
            <w:tcW w:w="7638" w:type="dxa"/>
            <w:noWrap/>
            <w:vAlign w:val="center"/>
            <w:hideMark/>
          </w:tcPr>
          <w:p w14:paraId="1EC74C8F" w14:textId="77777777" w:rsidR="004F7F0B" w:rsidRPr="00F43C2F" w:rsidRDefault="004F7F0B" w:rsidP="00696E8F">
            <w:pPr>
              <w:rPr>
                <w:rFonts w:cs="Arial"/>
                <w:color w:val="000000"/>
              </w:rPr>
            </w:pPr>
            <w:r w:rsidRPr="00F43C2F">
              <w:rPr>
                <w:rFonts w:cs="Arial"/>
                <w:color w:val="000000"/>
              </w:rPr>
              <w:t>Replacement of Left Knee Joint with Synthetic Substitute, Open Approach</w:t>
            </w:r>
          </w:p>
        </w:tc>
      </w:tr>
      <w:tr w:rsidR="002911AD" w:rsidRPr="00F43C2F" w14:paraId="451CEC35" w14:textId="77777777" w:rsidTr="00696E8F">
        <w:trPr>
          <w:trHeight w:val="300"/>
          <w:jc w:val="center"/>
        </w:trPr>
        <w:tc>
          <w:tcPr>
            <w:tcW w:w="1722" w:type="dxa"/>
            <w:noWrap/>
            <w:vAlign w:val="center"/>
          </w:tcPr>
          <w:p w14:paraId="25E3C172" w14:textId="5708FBE5" w:rsidR="002911AD" w:rsidRPr="00F43C2F" w:rsidRDefault="002911AD" w:rsidP="00696E8F">
            <w:pPr>
              <w:rPr>
                <w:rFonts w:cs="Arial"/>
                <w:color w:val="000000"/>
              </w:rPr>
            </w:pPr>
            <w:r w:rsidRPr="00F02B7E">
              <w:rPr>
                <w:rFonts w:eastAsia="Calibri" w:cs="Arial"/>
                <w:color w:val="000000"/>
                <w:bdr w:val="none" w:sz="0" w:space="0" w:color="auto" w:frame="1"/>
              </w:rPr>
              <w:t>0SRC069</w:t>
            </w:r>
          </w:p>
        </w:tc>
        <w:tc>
          <w:tcPr>
            <w:tcW w:w="7638" w:type="dxa"/>
            <w:noWrap/>
            <w:vAlign w:val="center"/>
          </w:tcPr>
          <w:p w14:paraId="2D80E6A4" w14:textId="0EB47682" w:rsidR="002911AD" w:rsidRPr="00F43C2F" w:rsidRDefault="002911AD" w:rsidP="00696E8F">
            <w:pPr>
              <w:rPr>
                <w:rFonts w:cs="Arial"/>
                <w:color w:val="000000"/>
              </w:rPr>
            </w:pPr>
            <w:r w:rsidRPr="00F02B7E">
              <w:rPr>
                <w:rFonts w:eastAsia="Calibri" w:cs="Arial"/>
                <w:color w:val="000000"/>
                <w:bdr w:val="none" w:sz="0" w:space="0" w:color="auto" w:frame="1"/>
              </w:rPr>
              <w:t>Replacement of Right Knee Joint with Oxidized Zirconium on Polyethylene Synthetic Substitute, Cemented, Open Approach</w:t>
            </w:r>
          </w:p>
        </w:tc>
      </w:tr>
      <w:tr w:rsidR="002911AD" w:rsidRPr="00F43C2F" w14:paraId="482E0958" w14:textId="77777777" w:rsidTr="00696E8F">
        <w:trPr>
          <w:trHeight w:val="300"/>
          <w:jc w:val="center"/>
        </w:trPr>
        <w:tc>
          <w:tcPr>
            <w:tcW w:w="1722" w:type="dxa"/>
            <w:noWrap/>
            <w:vAlign w:val="center"/>
          </w:tcPr>
          <w:p w14:paraId="73D72387" w14:textId="3C33056F" w:rsidR="002911AD" w:rsidRPr="00F43C2F" w:rsidRDefault="002911AD" w:rsidP="00696E8F">
            <w:pPr>
              <w:rPr>
                <w:rFonts w:cs="Arial"/>
                <w:color w:val="000000"/>
              </w:rPr>
            </w:pPr>
            <w:r w:rsidRPr="00F02B7E">
              <w:rPr>
                <w:rFonts w:eastAsia="Calibri" w:cs="Arial"/>
                <w:color w:val="000000"/>
                <w:bdr w:val="none" w:sz="0" w:space="0" w:color="auto" w:frame="1"/>
              </w:rPr>
              <w:t>0SRC06A</w:t>
            </w:r>
          </w:p>
        </w:tc>
        <w:tc>
          <w:tcPr>
            <w:tcW w:w="7638" w:type="dxa"/>
            <w:noWrap/>
            <w:vAlign w:val="center"/>
          </w:tcPr>
          <w:p w14:paraId="1F7AE19D" w14:textId="0C64539C" w:rsidR="002911AD" w:rsidRPr="00F43C2F" w:rsidRDefault="002911AD" w:rsidP="00696E8F">
            <w:pPr>
              <w:rPr>
                <w:rFonts w:cs="Arial"/>
                <w:color w:val="000000"/>
              </w:rPr>
            </w:pPr>
            <w:r w:rsidRPr="00F02B7E">
              <w:rPr>
                <w:rFonts w:eastAsia="Calibri" w:cs="Arial"/>
                <w:color w:val="000000"/>
                <w:bdr w:val="none" w:sz="0" w:space="0" w:color="auto" w:frame="1"/>
              </w:rPr>
              <w:t>Replacement of Right Knee Joint with Oxidized Zirconium on Polyethylene Synthetic Substitute, Uncemented, Open Approach</w:t>
            </w:r>
          </w:p>
        </w:tc>
      </w:tr>
      <w:tr w:rsidR="002911AD" w:rsidRPr="00F43C2F" w14:paraId="3ECA8104" w14:textId="77777777" w:rsidTr="00696E8F">
        <w:trPr>
          <w:trHeight w:val="300"/>
          <w:jc w:val="center"/>
        </w:trPr>
        <w:tc>
          <w:tcPr>
            <w:tcW w:w="1722" w:type="dxa"/>
            <w:noWrap/>
            <w:vAlign w:val="center"/>
          </w:tcPr>
          <w:p w14:paraId="5E5CF96A" w14:textId="7FE84ACE" w:rsidR="002911AD" w:rsidRPr="00F43C2F" w:rsidRDefault="002911AD" w:rsidP="00696E8F">
            <w:pPr>
              <w:rPr>
                <w:rFonts w:cs="Arial"/>
                <w:color w:val="000000"/>
              </w:rPr>
            </w:pPr>
            <w:r w:rsidRPr="00F02B7E">
              <w:rPr>
                <w:rFonts w:eastAsia="Calibri" w:cs="Arial"/>
                <w:color w:val="000000"/>
                <w:bdr w:val="none" w:sz="0" w:space="0" w:color="auto" w:frame="1"/>
              </w:rPr>
              <w:t>0SRC06Z</w:t>
            </w:r>
          </w:p>
        </w:tc>
        <w:tc>
          <w:tcPr>
            <w:tcW w:w="7638" w:type="dxa"/>
            <w:noWrap/>
            <w:vAlign w:val="center"/>
          </w:tcPr>
          <w:p w14:paraId="2FD94F78" w14:textId="0D8AB773" w:rsidR="002911AD" w:rsidRPr="00F43C2F" w:rsidRDefault="002911AD" w:rsidP="00696E8F">
            <w:pPr>
              <w:rPr>
                <w:rFonts w:cs="Arial"/>
                <w:color w:val="000000"/>
              </w:rPr>
            </w:pPr>
            <w:r w:rsidRPr="00F02B7E">
              <w:rPr>
                <w:rFonts w:eastAsia="Calibri" w:cs="Arial"/>
                <w:color w:val="000000"/>
                <w:bdr w:val="none" w:sz="0" w:space="0" w:color="auto" w:frame="1"/>
              </w:rPr>
              <w:t>Replacement of Right Knee Joint with Oxidized Zirconium on Polyethylene Synthetic Substitute, Open Approach</w:t>
            </w:r>
          </w:p>
        </w:tc>
      </w:tr>
      <w:tr w:rsidR="002911AD" w:rsidRPr="00F43C2F" w14:paraId="5EE2467A" w14:textId="77777777" w:rsidTr="00696E8F">
        <w:trPr>
          <w:trHeight w:val="300"/>
          <w:jc w:val="center"/>
        </w:trPr>
        <w:tc>
          <w:tcPr>
            <w:tcW w:w="1722" w:type="dxa"/>
            <w:noWrap/>
            <w:vAlign w:val="center"/>
          </w:tcPr>
          <w:p w14:paraId="5C0F20BB" w14:textId="2FE2F17F" w:rsidR="002911AD" w:rsidRPr="00F02B7E" w:rsidRDefault="002911AD" w:rsidP="00696E8F">
            <w:pPr>
              <w:rPr>
                <w:rFonts w:eastAsia="Calibri" w:cs="Arial"/>
                <w:color w:val="000000"/>
                <w:bdr w:val="none" w:sz="0" w:space="0" w:color="auto" w:frame="1"/>
              </w:rPr>
            </w:pPr>
            <w:r w:rsidRPr="00F02B7E">
              <w:rPr>
                <w:rFonts w:eastAsia="Calibri" w:cs="Arial"/>
                <w:color w:val="000000"/>
                <w:bdr w:val="none" w:sz="0" w:space="0" w:color="auto" w:frame="1"/>
              </w:rPr>
              <w:t>0SRD069</w:t>
            </w:r>
          </w:p>
        </w:tc>
        <w:tc>
          <w:tcPr>
            <w:tcW w:w="7638" w:type="dxa"/>
            <w:noWrap/>
            <w:vAlign w:val="center"/>
          </w:tcPr>
          <w:p w14:paraId="4B678EE8" w14:textId="305758F3" w:rsidR="002911AD" w:rsidRPr="00F02B7E" w:rsidRDefault="002911AD" w:rsidP="00696E8F">
            <w:pPr>
              <w:rPr>
                <w:rFonts w:eastAsia="Calibri" w:cs="Arial"/>
                <w:color w:val="000000"/>
                <w:bdr w:val="none" w:sz="0" w:space="0" w:color="auto" w:frame="1"/>
              </w:rPr>
            </w:pPr>
            <w:r w:rsidRPr="00F02B7E">
              <w:rPr>
                <w:rFonts w:eastAsia="Calibri" w:cs="Arial"/>
                <w:color w:val="000000"/>
                <w:bdr w:val="none" w:sz="0" w:space="0" w:color="auto" w:frame="1"/>
              </w:rPr>
              <w:t>Replacement of Left Knee Joint with Oxidized Zirconium on Polyethylene Synthetic Substitute, Cemented, Open Approach</w:t>
            </w:r>
          </w:p>
        </w:tc>
      </w:tr>
      <w:tr w:rsidR="002911AD" w:rsidRPr="00F43C2F" w14:paraId="68FD01C8" w14:textId="77777777" w:rsidTr="00696E8F">
        <w:trPr>
          <w:trHeight w:val="300"/>
          <w:jc w:val="center"/>
        </w:trPr>
        <w:tc>
          <w:tcPr>
            <w:tcW w:w="1722" w:type="dxa"/>
            <w:noWrap/>
            <w:vAlign w:val="center"/>
          </w:tcPr>
          <w:p w14:paraId="7AE639E1" w14:textId="21FC2484" w:rsidR="002911AD" w:rsidRPr="00F02B7E" w:rsidRDefault="002911AD" w:rsidP="00696E8F">
            <w:pPr>
              <w:rPr>
                <w:rFonts w:eastAsia="Calibri" w:cs="Arial"/>
                <w:color w:val="000000"/>
                <w:bdr w:val="none" w:sz="0" w:space="0" w:color="auto" w:frame="1"/>
              </w:rPr>
            </w:pPr>
            <w:r w:rsidRPr="00F02B7E">
              <w:rPr>
                <w:rFonts w:eastAsia="Calibri" w:cs="Arial"/>
              </w:rPr>
              <w:t>0SRD06A</w:t>
            </w:r>
          </w:p>
        </w:tc>
        <w:tc>
          <w:tcPr>
            <w:tcW w:w="7638" w:type="dxa"/>
            <w:noWrap/>
            <w:vAlign w:val="center"/>
          </w:tcPr>
          <w:p w14:paraId="6D477268" w14:textId="6111A54E" w:rsidR="002911AD" w:rsidRPr="00F02B7E" w:rsidRDefault="002911AD" w:rsidP="00696E8F">
            <w:pPr>
              <w:rPr>
                <w:rFonts w:eastAsia="Calibri" w:cs="Arial"/>
                <w:color w:val="000000"/>
                <w:bdr w:val="none" w:sz="0" w:space="0" w:color="auto" w:frame="1"/>
              </w:rPr>
            </w:pPr>
            <w:r w:rsidRPr="00F02B7E">
              <w:rPr>
                <w:rFonts w:eastAsia="Calibri" w:cs="Arial"/>
              </w:rPr>
              <w:t>Replacement of Left Knee Joint with Oxidized Zirconium on Polyethylene Synthetic Substitute, Uncemented, Open Approach</w:t>
            </w:r>
          </w:p>
        </w:tc>
      </w:tr>
      <w:tr w:rsidR="002911AD" w:rsidRPr="00F43C2F" w14:paraId="25111E6D" w14:textId="77777777" w:rsidTr="00696E8F">
        <w:trPr>
          <w:trHeight w:val="300"/>
          <w:jc w:val="center"/>
        </w:trPr>
        <w:tc>
          <w:tcPr>
            <w:tcW w:w="1722" w:type="dxa"/>
            <w:noWrap/>
            <w:vAlign w:val="center"/>
          </w:tcPr>
          <w:p w14:paraId="153D0A48" w14:textId="7CFF9ADE" w:rsidR="002911AD" w:rsidRPr="00F02B7E" w:rsidRDefault="002911AD" w:rsidP="00696E8F">
            <w:pPr>
              <w:rPr>
                <w:rFonts w:eastAsia="Calibri" w:cs="Arial"/>
                <w:color w:val="000000"/>
                <w:bdr w:val="none" w:sz="0" w:space="0" w:color="auto" w:frame="1"/>
              </w:rPr>
            </w:pPr>
            <w:r w:rsidRPr="00F02B7E">
              <w:rPr>
                <w:rFonts w:eastAsia="Calibri" w:cs="Arial"/>
              </w:rPr>
              <w:t>0SRD06Z</w:t>
            </w:r>
          </w:p>
        </w:tc>
        <w:tc>
          <w:tcPr>
            <w:tcW w:w="7638" w:type="dxa"/>
            <w:noWrap/>
            <w:vAlign w:val="center"/>
          </w:tcPr>
          <w:p w14:paraId="61C0307D" w14:textId="74E52850" w:rsidR="002911AD" w:rsidRPr="00F02B7E" w:rsidRDefault="002911AD" w:rsidP="00696E8F">
            <w:pPr>
              <w:rPr>
                <w:rFonts w:eastAsia="Calibri" w:cs="Arial"/>
                <w:color w:val="000000"/>
                <w:bdr w:val="none" w:sz="0" w:space="0" w:color="auto" w:frame="1"/>
              </w:rPr>
            </w:pPr>
            <w:r w:rsidRPr="00F02B7E">
              <w:rPr>
                <w:rFonts w:eastAsia="Calibri" w:cs="Arial"/>
              </w:rPr>
              <w:t>Replacement of Left Knee Joint with Oxidized Zirconium on Polyethylene Synthetic Substitute, Open Approach</w:t>
            </w:r>
          </w:p>
        </w:tc>
      </w:tr>
    </w:tbl>
    <w:p w14:paraId="51721D36" w14:textId="77777777" w:rsidR="00A05F36" w:rsidRDefault="00A05F36" w:rsidP="00BC1491">
      <w:pPr>
        <w:rPr>
          <w:rFonts w:cs="Arial"/>
          <w:b/>
        </w:rPr>
      </w:pPr>
    </w:p>
    <w:p w14:paraId="35F7CEAD" w14:textId="6FA634E0" w:rsidR="002911AD" w:rsidRPr="002911AD" w:rsidRDefault="002911AD" w:rsidP="002911AD">
      <w:pPr>
        <w:rPr>
          <w:rFonts w:cs="Arial"/>
          <w:b/>
        </w:rPr>
      </w:pPr>
      <w:r w:rsidRPr="002911AD">
        <w:rPr>
          <w:rFonts w:cs="Arial"/>
          <w:b/>
        </w:rPr>
        <w:t>CPT Total Knee Replacement Procedure Code</w:t>
      </w:r>
    </w:p>
    <w:p w14:paraId="7EC09B56" w14:textId="77777777" w:rsidR="002911AD" w:rsidRPr="002911AD" w:rsidRDefault="002911AD" w:rsidP="002911AD">
      <w:pPr>
        <w:rPr>
          <w:rFonts w:cs="Arial"/>
          <w:b/>
        </w:rPr>
      </w:pPr>
    </w:p>
    <w:p w14:paraId="252F6C39" w14:textId="77777777" w:rsidR="00790082" w:rsidRDefault="00790082" w:rsidP="00790082">
      <w:pPr>
        <w:rPr>
          <w:lang w:eastAsia="ja-JP"/>
        </w:rPr>
      </w:pPr>
      <w:r w:rsidRPr="00222413">
        <w:rPr>
          <w:lang w:eastAsia="ja-JP"/>
        </w:rPr>
        <w:t>Leapfrog has provi</w:t>
      </w:r>
      <w:r>
        <w:rPr>
          <w:lang w:eastAsia="ja-JP"/>
        </w:rPr>
        <w:t>ded a CPT code</w:t>
      </w:r>
      <w:r w:rsidRPr="00222413">
        <w:rPr>
          <w:lang w:eastAsia="ja-JP"/>
        </w:rPr>
        <w:t xml:space="preserve"> for counting </w:t>
      </w:r>
      <w:r w:rsidRPr="00222413">
        <w:rPr>
          <w:b/>
          <w:lang w:eastAsia="ja-JP"/>
        </w:rPr>
        <w:t>patients</w:t>
      </w:r>
      <w:r>
        <w:rPr>
          <w:lang w:eastAsia="ja-JP"/>
        </w:rPr>
        <w:t xml:space="preserve"> </w:t>
      </w:r>
      <w:r w:rsidRPr="00222413">
        <w:rPr>
          <w:lang w:eastAsia="ja-JP"/>
        </w:rPr>
        <w:t xml:space="preserve">discharged from your </w:t>
      </w:r>
      <w:r>
        <w:rPr>
          <w:lang w:eastAsia="ja-JP"/>
        </w:rPr>
        <w:t>hospital</w:t>
      </w:r>
      <w:r w:rsidRPr="00222413">
        <w:rPr>
          <w:lang w:eastAsia="ja-JP"/>
        </w:rPr>
        <w:t xml:space="preserve"> who have undergone </w:t>
      </w:r>
      <w:r>
        <w:rPr>
          <w:lang w:eastAsia="ja-JP"/>
        </w:rPr>
        <w:t>the procedure</w:t>
      </w:r>
      <w:r w:rsidRPr="00222413">
        <w:rPr>
          <w:lang w:eastAsia="ja-JP"/>
        </w:rPr>
        <w:t xml:space="preserve"> during the reporting period</w:t>
      </w:r>
      <w:r>
        <w:rPr>
          <w:lang w:eastAsia="ja-JP"/>
        </w:rPr>
        <w:t xml:space="preserve"> on an outpatient basis</w:t>
      </w:r>
      <w:r w:rsidRPr="00222413">
        <w:rPr>
          <w:lang w:eastAsia="ja-JP"/>
        </w:rPr>
        <w:t xml:space="preserve">. </w:t>
      </w:r>
    </w:p>
    <w:p w14:paraId="27578A5E" w14:textId="77777777" w:rsidR="00790082" w:rsidRDefault="00790082" w:rsidP="00790082">
      <w:pPr>
        <w:rPr>
          <w:lang w:eastAsia="ja-JP"/>
        </w:rPr>
      </w:pPr>
    </w:p>
    <w:p w14:paraId="646412CF" w14:textId="591EFD68" w:rsidR="00790082" w:rsidRPr="00D51874" w:rsidRDefault="00790082" w:rsidP="00790082">
      <w:pPr>
        <w:rPr>
          <w:rFonts w:cs="Arial"/>
          <w:lang w:eastAsia="ja-JP"/>
        </w:rPr>
      </w:pPr>
      <w:r w:rsidRPr="00D51874">
        <w:rPr>
          <w:rFonts w:cs="Arial"/>
          <w:lang w:eastAsia="ja-JP"/>
        </w:rPr>
        <w:t xml:space="preserve">CPT Codes are provided in downloadable </w:t>
      </w:r>
      <w:r w:rsidR="0040556C">
        <w:rPr>
          <w:rFonts w:cs="Arial"/>
          <w:lang w:eastAsia="ja-JP"/>
        </w:rPr>
        <w:t>E</w:t>
      </w:r>
      <w:r w:rsidRPr="00D51874">
        <w:rPr>
          <w:rFonts w:cs="Arial"/>
          <w:lang w:eastAsia="ja-JP"/>
        </w:rPr>
        <w:t xml:space="preserve">xcel files </w:t>
      </w:r>
      <w:r>
        <w:rPr>
          <w:rFonts w:cs="Arial"/>
          <w:lang w:eastAsia="ja-JP"/>
        </w:rPr>
        <w:t>on the Survey Dashboard</w:t>
      </w:r>
      <w:r w:rsidRPr="00D51874">
        <w:rPr>
          <w:rFonts w:cs="Arial"/>
          <w:lang w:eastAsia="ja-JP"/>
        </w:rPr>
        <w:t xml:space="preserve">. To access the files, click the CPT Code Workbook button </w:t>
      </w:r>
      <w:r w:rsidRPr="00D51874">
        <w:rPr>
          <w:rStyle w:val="Hyperlink"/>
          <w:rFonts w:cs="Arial"/>
          <w:color w:val="auto"/>
          <w:u w:val="none"/>
          <w:lang w:eastAsia="ja-JP"/>
        </w:rPr>
        <w:t>next to Section 9</w:t>
      </w:r>
      <w:r>
        <w:rPr>
          <w:rStyle w:val="Hyperlink"/>
          <w:rFonts w:cs="Arial"/>
          <w:color w:val="auto"/>
          <w:u w:val="none"/>
          <w:lang w:eastAsia="ja-JP"/>
        </w:rPr>
        <w:t>.</w:t>
      </w:r>
      <w:r w:rsidRPr="00D51874">
        <w:rPr>
          <w:rStyle w:val="Hyperlink"/>
          <w:rFonts w:cs="Arial"/>
          <w:color w:val="auto"/>
          <w:u w:val="none"/>
          <w:lang w:eastAsia="ja-JP"/>
        </w:rPr>
        <w:t xml:space="preserve"> </w:t>
      </w:r>
      <w:r>
        <w:rPr>
          <w:rFonts w:cs="Arial"/>
          <w:lang w:eastAsia="ja-JP"/>
        </w:rPr>
        <w:t>Y</w:t>
      </w:r>
      <w:r w:rsidRPr="00D51874">
        <w:rPr>
          <w:rFonts w:cs="Arial"/>
          <w:lang w:eastAsia="ja-JP"/>
        </w:rPr>
        <w:t>ou will be required to complete the American Medical Association’s Terms of Use</w:t>
      </w:r>
      <w:r w:rsidRPr="00D51874">
        <w:rPr>
          <w:lang w:eastAsia="ja-JP"/>
        </w:rPr>
        <w:t xml:space="preserve"> before downloading the </w:t>
      </w:r>
      <w:r w:rsidR="0040556C">
        <w:rPr>
          <w:lang w:eastAsia="ja-JP"/>
        </w:rPr>
        <w:t>E</w:t>
      </w:r>
      <w:r w:rsidRPr="00D51874">
        <w:rPr>
          <w:lang w:eastAsia="ja-JP"/>
        </w:rPr>
        <w:t xml:space="preserve">xcel file and using the individual CPT codes to query </w:t>
      </w:r>
      <w:r>
        <w:rPr>
          <w:lang w:eastAsia="ja-JP"/>
        </w:rPr>
        <w:t xml:space="preserve">your </w:t>
      </w:r>
      <w:r w:rsidRPr="00D51874">
        <w:rPr>
          <w:lang w:eastAsia="ja-JP"/>
        </w:rPr>
        <w:t xml:space="preserve">EHR or billing system. </w:t>
      </w:r>
      <w:r w:rsidRPr="00D51874">
        <w:rPr>
          <w:rFonts w:cs="Arial"/>
          <w:lang w:eastAsia="ja-JP"/>
        </w:rPr>
        <w:t xml:space="preserve">You are only required to complete the Terms of Use once per Survey Cycle (April 1 – November 30). </w:t>
      </w:r>
    </w:p>
    <w:p w14:paraId="6E328728" w14:textId="77777777" w:rsidR="00790082" w:rsidRPr="00D51874" w:rsidRDefault="00790082" w:rsidP="00790082">
      <w:pPr>
        <w:rPr>
          <w:rFonts w:cs="Arial"/>
          <w:lang w:eastAsia="ja-JP"/>
        </w:rPr>
      </w:pPr>
    </w:p>
    <w:p w14:paraId="4269D22B" w14:textId="4B4F2C9C" w:rsidR="00CD4E66" w:rsidRDefault="00790082" w:rsidP="00FB41BD">
      <w:pPr>
        <w:rPr>
          <w:rFonts w:cs="Arial"/>
          <w:lang w:eastAsia="ja-JP"/>
        </w:rPr>
      </w:pPr>
      <w:r>
        <w:rPr>
          <w:rFonts w:cs="Arial"/>
          <w:lang w:eastAsia="ja-JP"/>
        </w:rPr>
        <w:t xml:space="preserve">The </w:t>
      </w:r>
      <w:r w:rsidRPr="00D51874">
        <w:rPr>
          <w:rFonts w:cs="Arial"/>
          <w:lang w:eastAsia="ja-JP"/>
        </w:rPr>
        <w:t>CPT Code Workbook</w:t>
      </w:r>
      <w:r>
        <w:rPr>
          <w:rFonts w:cs="Arial"/>
          <w:lang w:eastAsia="ja-JP"/>
        </w:rPr>
        <w:t>s</w:t>
      </w:r>
      <w:r w:rsidRPr="00D51874">
        <w:rPr>
          <w:rFonts w:cs="Arial"/>
          <w:lang w:eastAsia="ja-JP"/>
        </w:rPr>
        <w:t xml:space="preserve"> (</w:t>
      </w:r>
      <w:r w:rsidR="0040556C">
        <w:rPr>
          <w:rFonts w:cs="Arial"/>
          <w:lang w:eastAsia="ja-JP"/>
        </w:rPr>
        <w:t>E</w:t>
      </w:r>
      <w:r w:rsidRPr="00D51874">
        <w:rPr>
          <w:rFonts w:cs="Arial"/>
          <w:lang w:eastAsia="ja-JP"/>
        </w:rPr>
        <w:t>xcel file</w:t>
      </w:r>
      <w:r>
        <w:rPr>
          <w:rFonts w:cs="Arial"/>
          <w:lang w:eastAsia="ja-JP"/>
        </w:rPr>
        <w:t>s</w:t>
      </w:r>
      <w:r w:rsidRPr="00D51874">
        <w:rPr>
          <w:rFonts w:cs="Arial"/>
          <w:lang w:eastAsia="ja-JP"/>
        </w:rPr>
        <w:t xml:space="preserve">) are labeled </w:t>
      </w:r>
      <w:r>
        <w:rPr>
          <w:rFonts w:cs="Arial"/>
          <w:lang w:eastAsia="ja-JP"/>
        </w:rPr>
        <w:t xml:space="preserve">for </w:t>
      </w:r>
      <w:r w:rsidRPr="00D51874">
        <w:rPr>
          <w:rFonts w:cs="Arial"/>
          <w:lang w:eastAsia="ja-JP"/>
        </w:rPr>
        <w:t xml:space="preserve">Section 3A: Total Hip Replacement, Total Knee Replacement, and Bariatric Surgery for Weight Loss and Section 9C: Volume of Procedures. </w:t>
      </w:r>
      <w:r w:rsidR="00FB41BD" w:rsidRPr="00D51874">
        <w:rPr>
          <w:rFonts w:cs="Arial"/>
          <w:lang w:eastAsia="ja-JP"/>
        </w:rPr>
        <w:t>Please note</w:t>
      </w:r>
      <w:r w:rsidR="00FB41BD">
        <w:rPr>
          <w:rFonts w:cs="Arial"/>
          <w:lang w:eastAsia="ja-JP"/>
        </w:rPr>
        <w:t>, i</w:t>
      </w:r>
      <w:r w:rsidR="00FB41BD" w:rsidRPr="00FB41BD">
        <w:rPr>
          <w:rFonts w:cs="Arial"/>
          <w:lang w:eastAsia="ja-JP"/>
        </w:rPr>
        <w:t>f you are part of a hospital system, each hospital will need to complete the Terms of Use. This is a requirement of the American Medical Association.</w:t>
      </w:r>
    </w:p>
    <w:p w14:paraId="43AFED0D" w14:textId="77777777" w:rsidR="00FB41BD" w:rsidRPr="00222413" w:rsidRDefault="00FB41BD" w:rsidP="00FB41BD">
      <w:pPr>
        <w:rPr>
          <w:lang w:eastAsia="ja-JP"/>
        </w:rPr>
      </w:pPr>
    </w:p>
    <w:p w14:paraId="06DC5692" w14:textId="34E2A329" w:rsidR="00CD4E66" w:rsidRPr="00222413" w:rsidRDefault="00CD4E66" w:rsidP="00CD4E66">
      <w:pPr>
        <w:rPr>
          <w:lang w:eastAsia="ja-JP"/>
        </w:rPr>
      </w:pPr>
      <w:r>
        <w:rPr>
          <w:lang w:eastAsia="ja-JP"/>
        </w:rPr>
        <w:t>Using the</w:t>
      </w:r>
      <w:r w:rsidR="004C226A">
        <w:rPr>
          <w:lang w:eastAsia="ja-JP"/>
        </w:rPr>
        <w:t xml:space="preserve"> CPT code found for Total Knee Replacement in the</w:t>
      </w:r>
      <w:r>
        <w:rPr>
          <w:lang w:eastAsia="ja-JP"/>
        </w:rPr>
        <w:t xml:space="preserve"> “</w:t>
      </w:r>
      <w:r w:rsidR="004C226A">
        <w:rPr>
          <w:lang w:eastAsia="ja-JP"/>
        </w:rPr>
        <w:t>Instructions</w:t>
      </w:r>
      <w:r>
        <w:rPr>
          <w:lang w:eastAsia="ja-JP"/>
        </w:rPr>
        <w:t>” sheet, count t</w:t>
      </w:r>
      <w:r w:rsidRPr="00222413">
        <w:rPr>
          <w:lang w:eastAsia="ja-JP"/>
        </w:rPr>
        <w:t xml:space="preserve">he total number of adult (18 years of age or older) patients discharged </w:t>
      </w:r>
      <w:r>
        <w:rPr>
          <w:lang w:eastAsia="ja-JP"/>
        </w:rPr>
        <w:t xml:space="preserve">for </w:t>
      </w:r>
      <w:r w:rsidR="00D51874">
        <w:rPr>
          <w:lang w:eastAsia="ja-JP"/>
        </w:rPr>
        <w:t>the</w:t>
      </w:r>
      <w:r>
        <w:rPr>
          <w:lang w:eastAsia="ja-JP"/>
        </w:rPr>
        <w:t xml:space="preserve"> procedure </w:t>
      </w:r>
      <w:r w:rsidRPr="00222413">
        <w:rPr>
          <w:lang w:eastAsia="ja-JP"/>
        </w:rPr>
        <w:t xml:space="preserve">with </w:t>
      </w:r>
      <w:r w:rsidR="004C226A">
        <w:rPr>
          <w:lang w:eastAsia="ja-JP"/>
        </w:rPr>
        <w:t>the</w:t>
      </w:r>
      <w:r w:rsidRPr="00222413">
        <w:rPr>
          <w:lang w:eastAsia="ja-JP"/>
        </w:rPr>
        <w:t xml:space="preserve"> CPT code listed. The CPT code can be in any procedure field.</w:t>
      </w:r>
    </w:p>
    <w:p w14:paraId="4DF1D270" w14:textId="77777777" w:rsidR="00CD4E66" w:rsidRDefault="00CD4E66" w:rsidP="00CD4E66">
      <w:pPr>
        <w:rPr>
          <w:lang w:eastAsia="ja-JP"/>
        </w:rPr>
      </w:pPr>
    </w:p>
    <w:p w14:paraId="21D78DA4" w14:textId="606870C1" w:rsidR="00A05F36" w:rsidRDefault="00D65C69">
      <w:pPr>
        <w:rPr>
          <w:rFonts w:cs="Arial"/>
          <w:b/>
        </w:rPr>
      </w:pPr>
      <w:r>
        <w:rPr>
          <w:rFonts w:cs="Arial"/>
          <w:b/>
        </w:rPr>
        <w:br w:type="page"/>
      </w:r>
    </w:p>
    <w:p w14:paraId="65618B11" w14:textId="0534DF70" w:rsidR="00A05F36" w:rsidRPr="009A5185" w:rsidRDefault="00A05F36" w:rsidP="000C2C54">
      <w:pPr>
        <w:pStyle w:val="Heading44"/>
      </w:pPr>
      <w:bookmarkStart w:id="265" w:name="_Total_Hip_Replacement"/>
      <w:bookmarkEnd w:id="265"/>
      <w:r>
        <w:lastRenderedPageBreak/>
        <w:t>Total Hip Replacement</w:t>
      </w:r>
      <w:r w:rsidRPr="009A5185">
        <w:t xml:space="preserve"> Measure </w:t>
      </w:r>
      <w:r w:rsidR="000765C6">
        <w:t>Specifications</w:t>
      </w:r>
    </w:p>
    <w:p w14:paraId="6A20F7BF" w14:textId="77777777" w:rsidR="00A05F36" w:rsidRPr="009A5185" w:rsidRDefault="00A05F36" w:rsidP="00A05F36">
      <w:pPr>
        <w:rPr>
          <w:rFonts w:cs="Arial"/>
        </w:rPr>
      </w:pPr>
    </w:p>
    <w:p w14:paraId="0DCD3BCC" w14:textId="5717C18C" w:rsidR="00A05F36" w:rsidRPr="009A5185" w:rsidRDefault="00A05F36" w:rsidP="00A05F36">
      <w:pPr>
        <w:rPr>
          <w:rFonts w:cs="Arial"/>
        </w:rPr>
      </w:pPr>
      <w:r w:rsidRPr="009A5185">
        <w:rPr>
          <w:rFonts w:cs="Arial"/>
        </w:rPr>
        <w:t xml:space="preserve">For </w:t>
      </w:r>
      <w:r>
        <w:rPr>
          <w:rFonts w:cs="Arial"/>
        </w:rPr>
        <w:t>total hip replacement</w:t>
      </w:r>
      <w:r w:rsidRPr="009A5185">
        <w:rPr>
          <w:rFonts w:cs="Arial"/>
        </w:rPr>
        <w:t xml:space="preserve">, </w:t>
      </w:r>
      <w:r w:rsidRPr="00873014">
        <w:rPr>
          <w:rFonts w:cs="Arial"/>
        </w:rPr>
        <w:t xml:space="preserve">there </w:t>
      </w:r>
      <w:r w:rsidR="0086457E">
        <w:rPr>
          <w:rFonts w:cs="Arial"/>
        </w:rPr>
        <w:t>are two sets of codes. One set of ICD-10 codes for counting inpatient discharges and one CPT code for counting outpatient discharges.</w:t>
      </w:r>
      <w:r w:rsidRPr="00873014">
        <w:rPr>
          <w:rFonts w:cs="Arial"/>
        </w:rPr>
        <w:t xml:space="preserve"> The </w:t>
      </w:r>
      <w:r w:rsidR="0086457E">
        <w:rPr>
          <w:rFonts w:cs="Arial"/>
        </w:rPr>
        <w:t xml:space="preserve">two </w:t>
      </w:r>
      <w:r w:rsidRPr="00873014">
        <w:rPr>
          <w:rFonts w:cs="Arial"/>
        </w:rPr>
        <w:t>set</w:t>
      </w:r>
      <w:r w:rsidR="0086457E">
        <w:rPr>
          <w:rFonts w:cs="Arial"/>
        </w:rPr>
        <w:t>s</w:t>
      </w:r>
      <w:r w:rsidRPr="00873014">
        <w:rPr>
          <w:rFonts w:cs="Arial"/>
        </w:rPr>
        <w:t xml:space="preserve"> of codes </w:t>
      </w:r>
      <w:r w:rsidR="0086457E">
        <w:rPr>
          <w:rFonts w:cs="Arial"/>
        </w:rPr>
        <w:t>are</w:t>
      </w:r>
      <w:r w:rsidRPr="00873014">
        <w:rPr>
          <w:rFonts w:cs="Arial"/>
        </w:rPr>
        <w:t xml:space="preserve"> to identify patients who have had the procedure.</w:t>
      </w:r>
    </w:p>
    <w:p w14:paraId="157BB9AF" w14:textId="77777777" w:rsidR="00A05F36" w:rsidRPr="009A5185" w:rsidRDefault="00A05F36" w:rsidP="00A05F36">
      <w:pPr>
        <w:rPr>
          <w:rFonts w:cs="Arial"/>
        </w:rPr>
      </w:pPr>
    </w:p>
    <w:p w14:paraId="46C7654A" w14:textId="77777777" w:rsidR="00DE7E98" w:rsidRPr="00D51874" w:rsidRDefault="00DE7E98" w:rsidP="00DE7E98">
      <w:pPr>
        <w:rPr>
          <w:rFonts w:cs="Arial"/>
        </w:rPr>
      </w:pPr>
      <w:r w:rsidRPr="00D51874">
        <w:rPr>
          <w:rFonts w:cs="Arial"/>
        </w:rPr>
        <w:t>To determine the number of patients, ages 18 years and older, discharged for this procedure, hospitals have two options:</w:t>
      </w:r>
    </w:p>
    <w:p w14:paraId="6A85AC96" w14:textId="3A8332FF" w:rsidR="00DE7E98" w:rsidRPr="00D51874" w:rsidRDefault="00DE7E98" w:rsidP="00AD309C">
      <w:pPr>
        <w:pStyle w:val="ListParagraph"/>
        <w:numPr>
          <w:ilvl w:val="0"/>
          <w:numId w:val="177"/>
        </w:numPr>
        <w:rPr>
          <w:rFonts w:cs="Arial"/>
        </w:rPr>
      </w:pPr>
      <w:r w:rsidRPr="00D51874">
        <w:rPr>
          <w:rFonts w:cs="Arial"/>
        </w:rPr>
        <w:t xml:space="preserve">Count the number of patients, ages 18 years and older, discharged with any of the following ICD-10 codes in the </w:t>
      </w:r>
      <w:r w:rsidRPr="00D51874">
        <w:rPr>
          <w:rFonts w:cs="Arial"/>
          <w:b/>
          <w:bCs/>
          <w:u w:val="single"/>
        </w:rPr>
        <w:t>primary</w:t>
      </w:r>
      <w:r w:rsidRPr="00D51874">
        <w:rPr>
          <w:rFonts w:cs="Arial"/>
        </w:rPr>
        <w:t xml:space="preserve"> procedure field</w:t>
      </w:r>
      <w:r w:rsidR="00544757">
        <w:rPr>
          <w:rFonts w:cs="Arial"/>
        </w:rPr>
        <w:t xml:space="preserve"> </w:t>
      </w:r>
      <w:r w:rsidR="00544757" w:rsidRPr="00D51874">
        <w:rPr>
          <w:rFonts w:cs="Arial"/>
        </w:rPr>
        <w:t>or the CPT code</w:t>
      </w:r>
      <w:r w:rsidR="00544757">
        <w:rPr>
          <w:rFonts w:cs="Arial"/>
        </w:rPr>
        <w:t xml:space="preserve"> in any procedure field</w:t>
      </w:r>
      <w:r w:rsidRPr="00D51874">
        <w:rPr>
          <w:rFonts w:cs="Arial"/>
        </w:rPr>
        <w:t xml:space="preserve">. This method does not require chart review. Hospitals should report on total hip replacement procedures performed in the outpatient locations included in Section </w:t>
      </w:r>
      <w:r w:rsidR="000B1028">
        <w:rPr>
          <w:rFonts w:cs="Arial"/>
        </w:rPr>
        <w:t>9</w:t>
      </w:r>
      <w:r w:rsidRPr="00D51874">
        <w:rPr>
          <w:rFonts w:cs="Arial"/>
        </w:rPr>
        <w:t>: Outpatient Procedures.</w:t>
      </w:r>
    </w:p>
    <w:p w14:paraId="253AD521" w14:textId="5B4CE6DF" w:rsidR="00DE7E98" w:rsidRPr="00933DE8" w:rsidRDefault="00DE7E98" w:rsidP="00AD309C">
      <w:pPr>
        <w:pStyle w:val="ListParagraph"/>
        <w:numPr>
          <w:ilvl w:val="0"/>
          <w:numId w:val="177"/>
        </w:numPr>
        <w:rPr>
          <w:rFonts w:cs="Arial"/>
        </w:rPr>
      </w:pPr>
      <w:r w:rsidRPr="00D51874">
        <w:rPr>
          <w:rFonts w:cs="Arial"/>
        </w:rPr>
        <w:t xml:space="preserve">Count the number of patients, ages 18 years and older, discharged with any of the following ICD-10 codes or the CPT code in any procedure field. </w:t>
      </w:r>
      <w:r w:rsidR="00D803A4">
        <w:rPr>
          <w:rFonts w:cs="Arial"/>
          <w:b/>
          <w:bCs/>
        </w:rPr>
        <w:t>For inpatient cases using ICD-10 codes, e</w:t>
      </w:r>
      <w:r w:rsidR="00D803A4" w:rsidRPr="00D51874">
        <w:rPr>
          <w:rFonts w:cs="Arial"/>
          <w:b/>
          <w:bCs/>
        </w:rPr>
        <w:t>xclude any patients where the procedure was done as a revision</w:t>
      </w:r>
      <w:r w:rsidR="00D803A4" w:rsidRPr="00D51874">
        <w:rPr>
          <w:rFonts w:cs="Arial"/>
        </w:rPr>
        <w:t xml:space="preserve"> (i.e., the presence of one of the procedure codes is necessary, but not sufficient for inclusion). This method requires chart review </w:t>
      </w:r>
      <w:r w:rsidR="00D803A4">
        <w:rPr>
          <w:rFonts w:cs="Arial"/>
        </w:rPr>
        <w:t xml:space="preserve">of inpatient cases </w:t>
      </w:r>
      <w:r w:rsidR="00D803A4" w:rsidRPr="00D51874">
        <w:rPr>
          <w:rFonts w:cs="Arial"/>
        </w:rPr>
        <w:t xml:space="preserve">to ensure that revisions are not included. </w:t>
      </w:r>
      <w:r w:rsidR="00D803A4">
        <w:rPr>
          <w:rFonts w:cs="Arial"/>
        </w:rPr>
        <w:t>Chart review is not required for outpatient cases using the specified CPT Code.</w:t>
      </w:r>
      <w:r w:rsidRPr="00D51874">
        <w:rPr>
          <w:rFonts w:cs="Arial"/>
        </w:rPr>
        <w:t xml:space="preserve"> Hospitals should report on total hip replacement procedures performed in the outpatient locations included in Section </w:t>
      </w:r>
      <w:r w:rsidR="000B1028">
        <w:rPr>
          <w:rFonts w:cs="Arial"/>
        </w:rPr>
        <w:t>9</w:t>
      </w:r>
      <w:r w:rsidRPr="00D51874">
        <w:rPr>
          <w:rFonts w:cs="Arial"/>
        </w:rPr>
        <w:t>: Outpatient Procedures.</w:t>
      </w:r>
    </w:p>
    <w:p w14:paraId="7CE63535" w14:textId="77777777" w:rsidR="00A05F36" w:rsidRPr="009A5185" w:rsidRDefault="00A05F36" w:rsidP="00A05F36">
      <w:pPr>
        <w:rPr>
          <w:rFonts w:cs="Arial"/>
        </w:rPr>
      </w:pPr>
    </w:p>
    <w:p w14:paraId="26944052" w14:textId="77777777" w:rsidR="00A05F36" w:rsidRPr="009A5185" w:rsidRDefault="00A05F36" w:rsidP="00A05F36">
      <w:pPr>
        <w:rPr>
          <w:rFonts w:cs="Arial"/>
          <w:b/>
        </w:rPr>
      </w:pPr>
      <w:r w:rsidRPr="009A5185">
        <w:rPr>
          <w:rFonts w:cs="Arial"/>
          <w:b/>
        </w:rPr>
        <w:t xml:space="preserve">ICD-10 </w:t>
      </w:r>
      <w:r>
        <w:rPr>
          <w:rFonts w:cs="Arial"/>
          <w:b/>
        </w:rPr>
        <w:t>Total Hip Replacement</w:t>
      </w:r>
      <w:r w:rsidRPr="009A5185">
        <w:rPr>
          <w:rFonts w:cs="Arial"/>
          <w:b/>
        </w:rPr>
        <w:t xml:space="preserve"> Procedure Codes </w:t>
      </w:r>
    </w:p>
    <w:p w14:paraId="20744C41" w14:textId="77777777" w:rsidR="00A05F36" w:rsidRPr="00F43C2F" w:rsidRDefault="00A05F36" w:rsidP="00A05F36">
      <w:pPr>
        <w:rPr>
          <w:b/>
        </w:rPr>
      </w:pPr>
    </w:p>
    <w:tbl>
      <w:tblPr>
        <w:tblStyle w:val="TableGrid"/>
        <w:tblW w:w="9446" w:type="dxa"/>
        <w:jc w:val="center"/>
        <w:tblLook w:val="04A0" w:firstRow="1" w:lastRow="0" w:firstColumn="1" w:lastColumn="0" w:noHBand="0" w:noVBand="1"/>
      </w:tblPr>
      <w:tblGrid>
        <w:gridCol w:w="1890"/>
        <w:gridCol w:w="7556"/>
      </w:tblGrid>
      <w:tr w:rsidR="004F7F0B" w:rsidRPr="000264DB" w14:paraId="7B1F5984" w14:textId="77777777" w:rsidTr="00696E8F">
        <w:trPr>
          <w:trHeight w:val="300"/>
          <w:jc w:val="center"/>
        </w:trPr>
        <w:tc>
          <w:tcPr>
            <w:tcW w:w="1890" w:type="dxa"/>
            <w:shd w:val="clear" w:color="auto" w:fill="BFBFBF"/>
            <w:noWrap/>
            <w:vAlign w:val="center"/>
          </w:tcPr>
          <w:p w14:paraId="01536BA5" w14:textId="77777777" w:rsidR="004F7F0B" w:rsidRPr="000264DB" w:rsidRDefault="004F7F0B" w:rsidP="00696E8F">
            <w:pPr>
              <w:rPr>
                <w:rFonts w:cs="Arial"/>
                <w:color w:val="000000"/>
              </w:rPr>
            </w:pPr>
            <w:r w:rsidRPr="000264DB">
              <w:rPr>
                <w:rFonts w:cs="Arial"/>
                <w:b/>
                <w:bCs/>
                <w:color w:val="000000"/>
              </w:rPr>
              <w:t>ICD10 Procedure Code</w:t>
            </w:r>
          </w:p>
        </w:tc>
        <w:tc>
          <w:tcPr>
            <w:tcW w:w="7556" w:type="dxa"/>
            <w:shd w:val="clear" w:color="auto" w:fill="BFBFBF"/>
            <w:noWrap/>
            <w:vAlign w:val="center"/>
          </w:tcPr>
          <w:p w14:paraId="78554AB1" w14:textId="77777777" w:rsidR="004F7F0B" w:rsidRPr="000264DB" w:rsidRDefault="004F7F0B" w:rsidP="00696E8F">
            <w:pPr>
              <w:rPr>
                <w:rFonts w:cs="Arial"/>
                <w:color w:val="000000"/>
              </w:rPr>
            </w:pPr>
            <w:r w:rsidRPr="000264DB">
              <w:rPr>
                <w:rFonts w:cs="Arial"/>
                <w:b/>
                <w:bCs/>
                <w:color w:val="000000"/>
              </w:rPr>
              <w:t>Code Description</w:t>
            </w:r>
          </w:p>
        </w:tc>
      </w:tr>
      <w:tr w:rsidR="004F7F0B" w:rsidRPr="000264DB" w14:paraId="26C86291" w14:textId="77777777" w:rsidTr="00696E8F">
        <w:trPr>
          <w:trHeight w:val="300"/>
          <w:jc w:val="center"/>
        </w:trPr>
        <w:tc>
          <w:tcPr>
            <w:tcW w:w="1890" w:type="dxa"/>
            <w:noWrap/>
            <w:vAlign w:val="center"/>
          </w:tcPr>
          <w:p w14:paraId="7CBA1403" w14:textId="77777777" w:rsidR="004F7F0B" w:rsidRPr="000264DB" w:rsidRDefault="004F7F0B" w:rsidP="00696E8F">
            <w:pPr>
              <w:rPr>
                <w:rFonts w:cs="Arial"/>
                <w:color w:val="000000"/>
              </w:rPr>
            </w:pPr>
            <w:r w:rsidRPr="000264DB">
              <w:rPr>
                <w:rFonts w:cs="Arial"/>
                <w:color w:val="000000"/>
              </w:rPr>
              <w:t>0SR9019</w:t>
            </w:r>
          </w:p>
        </w:tc>
        <w:tc>
          <w:tcPr>
            <w:tcW w:w="7556" w:type="dxa"/>
            <w:noWrap/>
            <w:vAlign w:val="center"/>
          </w:tcPr>
          <w:p w14:paraId="099EA90F" w14:textId="77777777" w:rsidR="004F7F0B" w:rsidRPr="000264DB" w:rsidRDefault="004F7F0B" w:rsidP="00696E8F">
            <w:pPr>
              <w:rPr>
                <w:rFonts w:cs="Arial"/>
                <w:color w:val="000000"/>
              </w:rPr>
            </w:pPr>
            <w:r w:rsidRPr="000264DB">
              <w:rPr>
                <w:rFonts w:cs="Arial"/>
                <w:color w:val="000000"/>
              </w:rPr>
              <w:t>Replacement of Right Hip Joint with Metal Synthetic Substitute, Cemented, Open Approach</w:t>
            </w:r>
          </w:p>
        </w:tc>
      </w:tr>
      <w:tr w:rsidR="004F7F0B" w:rsidRPr="000264DB" w14:paraId="0573981A" w14:textId="77777777" w:rsidTr="00696E8F">
        <w:trPr>
          <w:trHeight w:val="300"/>
          <w:jc w:val="center"/>
        </w:trPr>
        <w:tc>
          <w:tcPr>
            <w:tcW w:w="1890" w:type="dxa"/>
            <w:noWrap/>
            <w:vAlign w:val="center"/>
          </w:tcPr>
          <w:p w14:paraId="707A1E67" w14:textId="77777777" w:rsidR="004F7F0B" w:rsidRPr="000264DB" w:rsidRDefault="004F7F0B" w:rsidP="00696E8F">
            <w:pPr>
              <w:rPr>
                <w:rFonts w:cs="Arial"/>
                <w:color w:val="000000"/>
              </w:rPr>
            </w:pPr>
            <w:r w:rsidRPr="000264DB">
              <w:rPr>
                <w:rFonts w:cs="Arial"/>
                <w:color w:val="000000"/>
              </w:rPr>
              <w:t>0SR901A</w:t>
            </w:r>
          </w:p>
        </w:tc>
        <w:tc>
          <w:tcPr>
            <w:tcW w:w="7556" w:type="dxa"/>
            <w:noWrap/>
            <w:vAlign w:val="center"/>
          </w:tcPr>
          <w:p w14:paraId="17ED4B6F" w14:textId="77777777" w:rsidR="004F7F0B" w:rsidRPr="000264DB" w:rsidRDefault="004F7F0B" w:rsidP="00696E8F">
            <w:pPr>
              <w:rPr>
                <w:rFonts w:cs="Arial"/>
                <w:color w:val="000000"/>
              </w:rPr>
            </w:pPr>
            <w:r w:rsidRPr="000264DB">
              <w:rPr>
                <w:rFonts w:cs="Arial"/>
                <w:color w:val="000000"/>
              </w:rPr>
              <w:t>Replacement of Right Hip Joint with Metal Synthetic Substitute, Uncemented, Open Approach</w:t>
            </w:r>
          </w:p>
        </w:tc>
      </w:tr>
      <w:tr w:rsidR="004F7F0B" w:rsidRPr="000264DB" w14:paraId="0FC41487" w14:textId="77777777" w:rsidTr="00696E8F">
        <w:trPr>
          <w:trHeight w:val="300"/>
          <w:jc w:val="center"/>
        </w:trPr>
        <w:tc>
          <w:tcPr>
            <w:tcW w:w="1890" w:type="dxa"/>
            <w:noWrap/>
            <w:vAlign w:val="center"/>
          </w:tcPr>
          <w:p w14:paraId="3E9EC874" w14:textId="77777777" w:rsidR="004F7F0B" w:rsidRPr="000264DB" w:rsidRDefault="004F7F0B" w:rsidP="00696E8F">
            <w:pPr>
              <w:rPr>
                <w:rFonts w:cs="Arial"/>
                <w:color w:val="000000"/>
              </w:rPr>
            </w:pPr>
            <w:r w:rsidRPr="000264DB">
              <w:rPr>
                <w:rFonts w:cs="Arial"/>
                <w:color w:val="000000"/>
              </w:rPr>
              <w:t>0SR901Z</w:t>
            </w:r>
          </w:p>
        </w:tc>
        <w:tc>
          <w:tcPr>
            <w:tcW w:w="7556" w:type="dxa"/>
            <w:noWrap/>
            <w:vAlign w:val="center"/>
          </w:tcPr>
          <w:p w14:paraId="6C7CEE05" w14:textId="77777777" w:rsidR="004F7F0B" w:rsidRPr="000264DB" w:rsidRDefault="004F7F0B" w:rsidP="00696E8F">
            <w:pPr>
              <w:rPr>
                <w:rFonts w:cs="Arial"/>
                <w:color w:val="000000"/>
              </w:rPr>
            </w:pPr>
            <w:r w:rsidRPr="000264DB">
              <w:rPr>
                <w:rFonts w:cs="Arial"/>
                <w:color w:val="000000"/>
              </w:rPr>
              <w:t>Replacement of Right Hip Joint with Metal Synthetic Substitute, Open Approach</w:t>
            </w:r>
          </w:p>
        </w:tc>
      </w:tr>
      <w:tr w:rsidR="004F7F0B" w:rsidRPr="000264DB" w14:paraId="6F152735" w14:textId="77777777" w:rsidTr="00696E8F">
        <w:trPr>
          <w:trHeight w:val="300"/>
          <w:jc w:val="center"/>
        </w:trPr>
        <w:tc>
          <w:tcPr>
            <w:tcW w:w="1890" w:type="dxa"/>
            <w:noWrap/>
            <w:vAlign w:val="center"/>
          </w:tcPr>
          <w:p w14:paraId="7054494B" w14:textId="77777777" w:rsidR="004F7F0B" w:rsidRPr="000264DB" w:rsidRDefault="004F7F0B" w:rsidP="00696E8F">
            <w:pPr>
              <w:rPr>
                <w:rFonts w:cs="Arial"/>
                <w:color w:val="000000"/>
              </w:rPr>
            </w:pPr>
            <w:r w:rsidRPr="000264DB">
              <w:rPr>
                <w:rFonts w:cs="Arial"/>
                <w:color w:val="000000"/>
              </w:rPr>
              <w:t>0SR9029</w:t>
            </w:r>
          </w:p>
        </w:tc>
        <w:tc>
          <w:tcPr>
            <w:tcW w:w="7556" w:type="dxa"/>
            <w:noWrap/>
            <w:vAlign w:val="center"/>
          </w:tcPr>
          <w:p w14:paraId="6C8CC2AC" w14:textId="77777777" w:rsidR="004F7F0B" w:rsidRPr="000264DB" w:rsidRDefault="004F7F0B" w:rsidP="00696E8F">
            <w:pPr>
              <w:rPr>
                <w:rFonts w:cs="Arial"/>
                <w:color w:val="000000"/>
              </w:rPr>
            </w:pPr>
            <w:r w:rsidRPr="000264DB">
              <w:rPr>
                <w:rFonts w:cs="Arial"/>
                <w:color w:val="000000"/>
              </w:rPr>
              <w:t>Replacement of Right Hip Joint with Metal on Polyethylene Synthetic Substitute, Cemented, Open Approach</w:t>
            </w:r>
          </w:p>
        </w:tc>
      </w:tr>
      <w:tr w:rsidR="004F7F0B" w:rsidRPr="000264DB" w14:paraId="3A1FC3DC" w14:textId="77777777" w:rsidTr="00696E8F">
        <w:trPr>
          <w:trHeight w:val="300"/>
          <w:jc w:val="center"/>
        </w:trPr>
        <w:tc>
          <w:tcPr>
            <w:tcW w:w="1890" w:type="dxa"/>
            <w:noWrap/>
            <w:vAlign w:val="center"/>
          </w:tcPr>
          <w:p w14:paraId="198E1DA8" w14:textId="77777777" w:rsidR="004F7F0B" w:rsidRPr="000264DB" w:rsidRDefault="004F7F0B" w:rsidP="00696E8F">
            <w:pPr>
              <w:rPr>
                <w:rFonts w:cs="Arial"/>
                <w:color w:val="000000"/>
              </w:rPr>
            </w:pPr>
            <w:r w:rsidRPr="000264DB">
              <w:rPr>
                <w:rFonts w:cs="Arial"/>
                <w:color w:val="000000"/>
              </w:rPr>
              <w:t>0SR902A </w:t>
            </w:r>
          </w:p>
        </w:tc>
        <w:tc>
          <w:tcPr>
            <w:tcW w:w="7556" w:type="dxa"/>
            <w:noWrap/>
            <w:vAlign w:val="center"/>
          </w:tcPr>
          <w:p w14:paraId="7C14842E" w14:textId="77777777" w:rsidR="004F7F0B" w:rsidRPr="000264DB" w:rsidRDefault="004F7F0B" w:rsidP="00696E8F">
            <w:pPr>
              <w:rPr>
                <w:rFonts w:cs="Arial"/>
                <w:color w:val="000000"/>
              </w:rPr>
            </w:pPr>
            <w:r w:rsidRPr="000264DB">
              <w:rPr>
                <w:rFonts w:cs="Arial"/>
                <w:color w:val="000000"/>
              </w:rPr>
              <w:t>Replacement of Right Hip Joint with Metal on Polyethylene Synthetic Substitute, Uncemented, Open Approach</w:t>
            </w:r>
          </w:p>
        </w:tc>
      </w:tr>
      <w:tr w:rsidR="004F7F0B" w:rsidRPr="000264DB" w14:paraId="58EA1320" w14:textId="77777777" w:rsidTr="00696E8F">
        <w:trPr>
          <w:trHeight w:val="300"/>
          <w:jc w:val="center"/>
        </w:trPr>
        <w:tc>
          <w:tcPr>
            <w:tcW w:w="1890" w:type="dxa"/>
            <w:noWrap/>
            <w:vAlign w:val="center"/>
          </w:tcPr>
          <w:p w14:paraId="6FA99F2B" w14:textId="77777777" w:rsidR="004F7F0B" w:rsidRPr="000264DB" w:rsidRDefault="004F7F0B" w:rsidP="00696E8F">
            <w:pPr>
              <w:rPr>
                <w:rFonts w:cs="Arial"/>
                <w:color w:val="000000"/>
              </w:rPr>
            </w:pPr>
            <w:r w:rsidRPr="000264DB">
              <w:rPr>
                <w:rFonts w:cs="Arial"/>
                <w:color w:val="000000"/>
              </w:rPr>
              <w:t>0SR902Z</w:t>
            </w:r>
          </w:p>
        </w:tc>
        <w:tc>
          <w:tcPr>
            <w:tcW w:w="7556" w:type="dxa"/>
            <w:noWrap/>
            <w:vAlign w:val="center"/>
          </w:tcPr>
          <w:p w14:paraId="594C2310" w14:textId="77777777" w:rsidR="004F7F0B" w:rsidRPr="000264DB" w:rsidRDefault="004F7F0B" w:rsidP="00696E8F">
            <w:pPr>
              <w:rPr>
                <w:rFonts w:cs="Arial"/>
                <w:color w:val="000000"/>
              </w:rPr>
            </w:pPr>
            <w:r w:rsidRPr="000264DB">
              <w:rPr>
                <w:rFonts w:cs="Arial"/>
                <w:color w:val="000000"/>
              </w:rPr>
              <w:t>Replacement of Right Hip Joint with Metal on Polyethylene Synthetic Substitute, Open Approach</w:t>
            </w:r>
          </w:p>
        </w:tc>
      </w:tr>
      <w:tr w:rsidR="004F7F0B" w:rsidRPr="000264DB" w14:paraId="605D91E9" w14:textId="77777777" w:rsidTr="00696E8F">
        <w:trPr>
          <w:trHeight w:val="300"/>
          <w:jc w:val="center"/>
        </w:trPr>
        <w:tc>
          <w:tcPr>
            <w:tcW w:w="1890" w:type="dxa"/>
            <w:noWrap/>
            <w:vAlign w:val="center"/>
          </w:tcPr>
          <w:p w14:paraId="26EC8533" w14:textId="77777777" w:rsidR="004F7F0B" w:rsidRPr="000264DB" w:rsidRDefault="004F7F0B" w:rsidP="00696E8F">
            <w:pPr>
              <w:rPr>
                <w:rFonts w:cs="Arial"/>
                <w:color w:val="000000"/>
              </w:rPr>
            </w:pPr>
            <w:r w:rsidRPr="000264DB">
              <w:rPr>
                <w:rFonts w:cs="Arial"/>
                <w:color w:val="000000"/>
              </w:rPr>
              <w:t>0SR9039</w:t>
            </w:r>
          </w:p>
        </w:tc>
        <w:tc>
          <w:tcPr>
            <w:tcW w:w="7556" w:type="dxa"/>
            <w:noWrap/>
            <w:vAlign w:val="center"/>
          </w:tcPr>
          <w:p w14:paraId="5ABEAF72" w14:textId="77777777" w:rsidR="004F7F0B" w:rsidRPr="000264DB" w:rsidRDefault="004F7F0B" w:rsidP="00696E8F">
            <w:pPr>
              <w:rPr>
                <w:rFonts w:cs="Arial"/>
                <w:color w:val="000000"/>
              </w:rPr>
            </w:pPr>
            <w:r w:rsidRPr="000264DB">
              <w:rPr>
                <w:rFonts w:cs="Arial"/>
                <w:color w:val="000000"/>
              </w:rPr>
              <w:t>Replacement of Right Hip Joint with Ceramic Synthetic Substitute, Cemented, Open Approach</w:t>
            </w:r>
          </w:p>
        </w:tc>
      </w:tr>
      <w:tr w:rsidR="004F7F0B" w:rsidRPr="000264DB" w14:paraId="5EA4093F" w14:textId="77777777" w:rsidTr="00696E8F">
        <w:trPr>
          <w:trHeight w:val="300"/>
          <w:jc w:val="center"/>
        </w:trPr>
        <w:tc>
          <w:tcPr>
            <w:tcW w:w="1890" w:type="dxa"/>
            <w:noWrap/>
            <w:vAlign w:val="center"/>
          </w:tcPr>
          <w:p w14:paraId="00B38E43" w14:textId="77777777" w:rsidR="004F7F0B" w:rsidRPr="000264DB" w:rsidRDefault="004F7F0B" w:rsidP="00696E8F">
            <w:pPr>
              <w:rPr>
                <w:rFonts w:cs="Arial"/>
                <w:color w:val="000000"/>
              </w:rPr>
            </w:pPr>
            <w:r w:rsidRPr="000264DB">
              <w:rPr>
                <w:rFonts w:cs="Arial"/>
                <w:color w:val="000000"/>
              </w:rPr>
              <w:t>0SR903A</w:t>
            </w:r>
          </w:p>
        </w:tc>
        <w:tc>
          <w:tcPr>
            <w:tcW w:w="7556" w:type="dxa"/>
            <w:noWrap/>
            <w:vAlign w:val="center"/>
          </w:tcPr>
          <w:p w14:paraId="03654210" w14:textId="77777777" w:rsidR="004F7F0B" w:rsidRPr="000264DB" w:rsidRDefault="004F7F0B" w:rsidP="00696E8F">
            <w:pPr>
              <w:rPr>
                <w:rFonts w:cs="Arial"/>
                <w:color w:val="000000"/>
              </w:rPr>
            </w:pPr>
            <w:r w:rsidRPr="000264DB">
              <w:rPr>
                <w:rFonts w:cs="Arial"/>
                <w:color w:val="000000"/>
              </w:rPr>
              <w:t>Replacement of Right Hip Joint with Ceramic Synthetic Substitute, Uncemented, Open Approach</w:t>
            </w:r>
          </w:p>
        </w:tc>
      </w:tr>
      <w:tr w:rsidR="004F7F0B" w:rsidRPr="000264DB" w14:paraId="1AD46E70" w14:textId="77777777" w:rsidTr="00696E8F">
        <w:trPr>
          <w:trHeight w:val="300"/>
          <w:jc w:val="center"/>
        </w:trPr>
        <w:tc>
          <w:tcPr>
            <w:tcW w:w="1890" w:type="dxa"/>
            <w:noWrap/>
            <w:vAlign w:val="center"/>
          </w:tcPr>
          <w:p w14:paraId="5603AC61" w14:textId="77777777" w:rsidR="004F7F0B" w:rsidRPr="000264DB" w:rsidRDefault="004F7F0B" w:rsidP="00696E8F">
            <w:pPr>
              <w:rPr>
                <w:rFonts w:cs="Arial"/>
                <w:color w:val="000000"/>
              </w:rPr>
            </w:pPr>
            <w:r w:rsidRPr="000264DB">
              <w:rPr>
                <w:rFonts w:cs="Arial"/>
                <w:color w:val="000000"/>
              </w:rPr>
              <w:t>0SR903Z</w:t>
            </w:r>
          </w:p>
        </w:tc>
        <w:tc>
          <w:tcPr>
            <w:tcW w:w="7556" w:type="dxa"/>
            <w:noWrap/>
            <w:vAlign w:val="center"/>
          </w:tcPr>
          <w:p w14:paraId="65F8F4CE" w14:textId="77777777" w:rsidR="004F7F0B" w:rsidRPr="000264DB" w:rsidRDefault="004F7F0B" w:rsidP="00696E8F">
            <w:pPr>
              <w:rPr>
                <w:rFonts w:cs="Arial"/>
                <w:color w:val="000000"/>
              </w:rPr>
            </w:pPr>
            <w:r w:rsidRPr="000264DB">
              <w:rPr>
                <w:rFonts w:cs="Arial"/>
                <w:color w:val="000000"/>
              </w:rPr>
              <w:t>Replacement of Right Hip Joint with Ceramic Synthetic Substitute, Open Approach</w:t>
            </w:r>
          </w:p>
        </w:tc>
      </w:tr>
      <w:tr w:rsidR="004F7F0B" w:rsidRPr="000264DB" w14:paraId="50F77309" w14:textId="77777777" w:rsidTr="00696E8F">
        <w:trPr>
          <w:trHeight w:val="300"/>
          <w:jc w:val="center"/>
        </w:trPr>
        <w:tc>
          <w:tcPr>
            <w:tcW w:w="1890" w:type="dxa"/>
            <w:noWrap/>
            <w:vAlign w:val="center"/>
            <w:hideMark/>
          </w:tcPr>
          <w:p w14:paraId="629D6BDE" w14:textId="77777777" w:rsidR="004F7F0B" w:rsidRPr="000264DB" w:rsidRDefault="004F7F0B" w:rsidP="00696E8F">
            <w:pPr>
              <w:rPr>
                <w:rFonts w:cs="Arial"/>
                <w:color w:val="000000"/>
              </w:rPr>
            </w:pPr>
            <w:r w:rsidRPr="000264DB">
              <w:rPr>
                <w:rFonts w:cs="Arial"/>
                <w:color w:val="000000"/>
              </w:rPr>
              <w:t>0SR9049</w:t>
            </w:r>
          </w:p>
        </w:tc>
        <w:tc>
          <w:tcPr>
            <w:tcW w:w="7556" w:type="dxa"/>
            <w:noWrap/>
            <w:vAlign w:val="center"/>
            <w:hideMark/>
          </w:tcPr>
          <w:p w14:paraId="4C4011CB" w14:textId="77777777" w:rsidR="004F7F0B" w:rsidRPr="000264DB" w:rsidRDefault="004F7F0B" w:rsidP="00696E8F">
            <w:pPr>
              <w:rPr>
                <w:rFonts w:cs="Arial"/>
                <w:color w:val="000000"/>
              </w:rPr>
            </w:pPr>
            <w:r w:rsidRPr="000264DB">
              <w:rPr>
                <w:rFonts w:cs="Arial"/>
                <w:color w:val="000000"/>
              </w:rPr>
              <w:t>Replacement of Right Hip Joint with Ceramic on Polyethylene Synthetic Substitute, Cemented, Open Approach</w:t>
            </w:r>
          </w:p>
        </w:tc>
      </w:tr>
      <w:tr w:rsidR="004F7F0B" w:rsidRPr="000264DB" w14:paraId="49F389BF" w14:textId="77777777" w:rsidTr="00696E8F">
        <w:trPr>
          <w:trHeight w:val="300"/>
          <w:jc w:val="center"/>
        </w:trPr>
        <w:tc>
          <w:tcPr>
            <w:tcW w:w="1890" w:type="dxa"/>
            <w:noWrap/>
            <w:vAlign w:val="center"/>
            <w:hideMark/>
          </w:tcPr>
          <w:p w14:paraId="4004F563" w14:textId="77777777" w:rsidR="004F7F0B" w:rsidRPr="000264DB" w:rsidRDefault="004F7F0B" w:rsidP="00696E8F">
            <w:pPr>
              <w:rPr>
                <w:rFonts w:cs="Arial"/>
                <w:color w:val="000000"/>
              </w:rPr>
            </w:pPr>
            <w:r w:rsidRPr="000264DB">
              <w:rPr>
                <w:rFonts w:cs="Arial"/>
                <w:color w:val="000000"/>
              </w:rPr>
              <w:t>0SR904A</w:t>
            </w:r>
          </w:p>
        </w:tc>
        <w:tc>
          <w:tcPr>
            <w:tcW w:w="7556" w:type="dxa"/>
            <w:noWrap/>
            <w:vAlign w:val="center"/>
            <w:hideMark/>
          </w:tcPr>
          <w:p w14:paraId="1946BDFE" w14:textId="77777777" w:rsidR="004F7F0B" w:rsidRPr="000264DB" w:rsidRDefault="004F7F0B" w:rsidP="00696E8F">
            <w:pPr>
              <w:rPr>
                <w:rFonts w:cs="Arial"/>
                <w:color w:val="000000"/>
              </w:rPr>
            </w:pPr>
            <w:r w:rsidRPr="000264DB">
              <w:rPr>
                <w:rFonts w:cs="Arial"/>
                <w:color w:val="000000"/>
              </w:rPr>
              <w:t>Replacement of Right Hip Joint with Ceramic on Polyethylene Synthetic Substitute, Uncemented, Open Approach</w:t>
            </w:r>
          </w:p>
        </w:tc>
      </w:tr>
      <w:tr w:rsidR="004F7F0B" w:rsidRPr="000264DB" w14:paraId="138199D3" w14:textId="77777777" w:rsidTr="00696E8F">
        <w:trPr>
          <w:trHeight w:val="300"/>
          <w:jc w:val="center"/>
        </w:trPr>
        <w:tc>
          <w:tcPr>
            <w:tcW w:w="1890" w:type="dxa"/>
            <w:noWrap/>
            <w:vAlign w:val="center"/>
            <w:hideMark/>
          </w:tcPr>
          <w:p w14:paraId="1EF84160" w14:textId="77777777" w:rsidR="004F7F0B" w:rsidRPr="000264DB" w:rsidRDefault="004F7F0B" w:rsidP="00696E8F">
            <w:pPr>
              <w:rPr>
                <w:rFonts w:cs="Arial"/>
                <w:color w:val="000000"/>
              </w:rPr>
            </w:pPr>
            <w:r w:rsidRPr="000264DB">
              <w:rPr>
                <w:rFonts w:cs="Arial"/>
                <w:color w:val="000000"/>
              </w:rPr>
              <w:t>0SR904Z</w:t>
            </w:r>
          </w:p>
        </w:tc>
        <w:tc>
          <w:tcPr>
            <w:tcW w:w="7556" w:type="dxa"/>
            <w:noWrap/>
            <w:vAlign w:val="center"/>
            <w:hideMark/>
          </w:tcPr>
          <w:p w14:paraId="34F0C350" w14:textId="77777777" w:rsidR="004F7F0B" w:rsidRPr="000264DB" w:rsidRDefault="004F7F0B" w:rsidP="00696E8F">
            <w:pPr>
              <w:rPr>
                <w:rFonts w:cs="Arial"/>
                <w:color w:val="000000"/>
              </w:rPr>
            </w:pPr>
            <w:r w:rsidRPr="000264DB">
              <w:rPr>
                <w:rFonts w:cs="Arial"/>
                <w:color w:val="000000"/>
              </w:rPr>
              <w:t>Replacement of Right Hip Joint with Ceramic on Polyethylene Synthetic Substitute, Open Approach</w:t>
            </w:r>
          </w:p>
        </w:tc>
      </w:tr>
      <w:tr w:rsidR="004F7F0B" w:rsidRPr="000264DB" w14:paraId="3D1322D9" w14:textId="77777777" w:rsidTr="00696E8F">
        <w:trPr>
          <w:trHeight w:val="300"/>
          <w:jc w:val="center"/>
        </w:trPr>
        <w:tc>
          <w:tcPr>
            <w:tcW w:w="1890" w:type="dxa"/>
            <w:noWrap/>
            <w:vAlign w:val="center"/>
          </w:tcPr>
          <w:p w14:paraId="6DF6EB3F" w14:textId="77777777" w:rsidR="004F7F0B" w:rsidRPr="000264DB" w:rsidRDefault="004F7F0B" w:rsidP="00696E8F">
            <w:pPr>
              <w:rPr>
                <w:rFonts w:cs="Arial"/>
              </w:rPr>
            </w:pPr>
            <w:r w:rsidRPr="000264DB">
              <w:rPr>
                <w:rFonts w:cs="Arial"/>
              </w:rPr>
              <w:t>0SR90J9 </w:t>
            </w:r>
          </w:p>
        </w:tc>
        <w:tc>
          <w:tcPr>
            <w:tcW w:w="7556" w:type="dxa"/>
            <w:noWrap/>
            <w:vAlign w:val="center"/>
          </w:tcPr>
          <w:p w14:paraId="34ABC78C" w14:textId="77777777" w:rsidR="004F7F0B" w:rsidRPr="000264DB" w:rsidRDefault="004F7F0B" w:rsidP="00696E8F">
            <w:pPr>
              <w:rPr>
                <w:rFonts w:cs="Arial"/>
              </w:rPr>
            </w:pPr>
            <w:r w:rsidRPr="000264DB">
              <w:rPr>
                <w:rFonts w:cs="Arial"/>
              </w:rPr>
              <w:t>Replacement of Right Hip Joint with Synthetic Substitute, Cemented, Open Approach</w:t>
            </w:r>
          </w:p>
        </w:tc>
      </w:tr>
      <w:tr w:rsidR="004F7F0B" w:rsidRPr="000264DB" w14:paraId="075EDA9E" w14:textId="77777777" w:rsidTr="00696E8F">
        <w:trPr>
          <w:trHeight w:val="300"/>
          <w:jc w:val="center"/>
        </w:trPr>
        <w:tc>
          <w:tcPr>
            <w:tcW w:w="1890" w:type="dxa"/>
            <w:noWrap/>
            <w:vAlign w:val="center"/>
          </w:tcPr>
          <w:p w14:paraId="222CA245" w14:textId="77777777" w:rsidR="004F7F0B" w:rsidRPr="000264DB" w:rsidRDefault="004F7F0B" w:rsidP="00696E8F">
            <w:pPr>
              <w:rPr>
                <w:rFonts w:cs="Arial"/>
                <w:color w:val="000000"/>
              </w:rPr>
            </w:pPr>
            <w:r w:rsidRPr="000264DB">
              <w:rPr>
                <w:rFonts w:cs="Arial"/>
                <w:color w:val="000000"/>
              </w:rPr>
              <w:t>0SR90JA</w:t>
            </w:r>
          </w:p>
        </w:tc>
        <w:tc>
          <w:tcPr>
            <w:tcW w:w="7556" w:type="dxa"/>
            <w:noWrap/>
            <w:vAlign w:val="center"/>
          </w:tcPr>
          <w:p w14:paraId="2559F6D4" w14:textId="77777777" w:rsidR="004F7F0B" w:rsidRPr="000264DB" w:rsidRDefault="004F7F0B" w:rsidP="00696E8F">
            <w:pPr>
              <w:rPr>
                <w:rFonts w:cs="Arial"/>
                <w:color w:val="000000"/>
              </w:rPr>
            </w:pPr>
            <w:r w:rsidRPr="000264DB">
              <w:rPr>
                <w:rFonts w:cs="Arial"/>
                <w:color w:val="000000"/>
              </w:rPr>
              <w:t>Replacement of Right Hip Joint with Synthetic Substitute, Uncemented, Open Approach</w:t>
            </w:r>
          </w:p>
        </w:tc>
      </w:tr>
      <w:tr w:rsidR="004F7F0B" w:rsidRPr="000264DB" w14:paraId="79D91736" w14:textId="77777777" w:rsidTr="00696E8F">
        <w:trPr>
          <w:trHeight w:val="300"/>
          <w:jc w:val="center"/>
        </w:trPr>
        <w:tc>
          <w:tcPr>
            <w:tcW w:w="1890" w:type="dxa"/>
            <w:noWrap/>
            <w:vAlign w:val="center"/>
          </w:tcPr>
          <w:p w14:paraId="5CF58A55" w14:textId="77777777" w:rsidR="004F7F0B" w:rsidRPr="000264DB" w:rsidRDefault="004F7F0B" w:rsidP="00696E8F">
            <w:pPr>
              <w:rPr>
                <w:rFonts w:cs="Arial"/>
                <w:color w:val="000000"/>
              </w:rPr>
            </w:pPr>
            <w:r w:rsidRPr="000264DB">
              <w:rPr>
                <w:rFonts w:cs="Arial"/>
                <w:color w:val="000000"/>
              </w:rPr>
              <w:t>0SR90JZ</w:t>
            </w:r>
          </w:p>
        </w:tc>
        <w:tc>
          <w:tcPr>
            <w:tcW w:w="7556" w:type="dxa"/>
            <w:noWrap/>
            <w:vAlign w:val="center"/>
          </w:tcPr>
          <w:p w14:paraId="52C8BBCA" w14:textId="77777777" w:rsidR="004F7F0B" w:rsidRPr="000264DB" w:rsidRDefault="004F7F0B" w:rsidP="00696E8F">
            <w:pPr>
              <w:rPr>
                <w:rFonts w:cs="Arial"/>
                <w:color w:val="000000"/>
              </w:rPr>
            </w:pPr>
            <w:r w:rsidRPr="000264DB">
              <w:rPr>
                <w:rFonts w:cs="Arial"/>
                <w:color w:val="000000"/>
              </w:rPr>
              <w:t>Replacement of Right Hip Joint with Synthetic Substitute, Open Approach</w:t>
            </w:r>
          </w:p>
        </w:tc>
      </w:tr>
      <w:tr w:rsidR="004F7F0B" w:rsidRPr="000264DB" w14:paraId="3B4D62CA" w14:textId="77777777" w:rsidTr="00696E8F">
        <w:trPr>
          <w:trHeight w:val="300"/>
          <w:jc w:val="center"/>
        </w:trPr>
        <w:tc>
          <w:tcPr>
            <w:tcW w:w="1890" w:type="dxa"/>
            <w:noWrap/>
            <w:vAlign w:val="center"/>
          </w:tcPr>
          <w:p w14:paraId="185C62DD" w14:textId="77777777" w:rsidR="004F7F0B" w:rsidRPr="000264DB" w:rsidRDefault="004F7F0B" w:rsidP="00696E8F">
            <w:pPr>
              <w:rPr>
                <w:rFonts w:cs="Arial"/>
                <w:color w:val="000000"/>
              </w:rPr>
            </w:pPr>
            <w:r w:rsidRPr="000264DB">
              <w:rPr>
                <w:rFonts w:cs="Arial"/>
                <w:color w:val="000000"/>
              </w:rPr>
              <w:t>0SRA009</w:t>
            </w:r>
          </w:p>
        </w:tc>
        <w:tc>
          <w:tcPr>
            <w:tcW w:w="7556" w:type="dxa"/>
            <w:noWrap/>
            <w:vAlign w:val="center"/>
          </w:tcPr>
          <w:p w14:paraId="2B496FA9" w14:textId="77777777" w:rsidR="004F7F0B" w:rsidRPr="000264DB" w:rsidRDefault="004F7F0B" w:rsidP="00696E8F">
            <w:pPr>
              <w:rPr>
                <w:rFonts w:cs="Arial"/>
                <w:color w:val="000000"/>
              </w:rPr>
            </w:pPr>
            <w:r w:rsidRPr="000264DB">
              <w:rPr>
                <w:rFonts w:cs="Arial"/>
                <w:color w:val="000000"/>
              </w:rPr>
              <w:t>Replacement of Right Hip Joint, Acetabular Surface with Polyethylene Synthetic Substitute, Cemented, Open Approach</w:t>
            </w:r>
          </w:p>
        </w:tc>
      </w:tr>
      <w:tr w:rsidR="004F7F0B" w:rsidRPr="000264DB" w14:paraId="7C2C7D15" w14:textId="77777777" w:rsidTr="00696E8F">
        <w:trPr>
          <w:trHeight w:val="300"/>
          <w:jc w:val="center"/>
        </w:trPr>
        <w:tc>
          <w:tcPr>
            <w:tcW w:w="1890" w:type="dxa"/>
            <w:noWrap/>
            <w:vAlign w:val="center"/>
          </w:tcPr>
          <w:p w14:paraId="22D3A24C" w14:textId="77777777" w:rsidR="004F7F0B" w:rsidRPr="000264DB" w:rsidRDefault="004F7F0B" w:rsidP="00696E8F">
            <w:pPr>
              <w:rPr>
                <w:rFonts w:cs="Arial"/>
                <w:color w:val="000000"/>
              </w:rPr>
            </w:pPr>
            <w:r w:rsidRPr="000264DB">
              <w:rPr>
                <w:rFonts w:cs="Arial"/>
                <w:color w:val="000000"/>
              </w:rPr>
              <w:t>0SRA00A</w:t>
            </w:r>
          </w:p>
        </w:tc>
        <w:tc>
          <w:tcPr>
            <w:tcW w:w="7556" w:type="dxa"/>
            <w:noWrap/>
            <w:vAlign w:val="center"/>
          </w:tcPr>
          <w:p w14:paraId="2C05F8F4" w14:textId="77777777" w:rsidR="004F7F0B" w:rsidRPr="000264DB" w:rsidRDefault="004F7F0B" w:rsidP="00696E8F">
            <w:pPr>
              <w:rPr>
                <w:rFonts w:cs="Arial"/>
                <w:color w:val="000000"/>
              </w:rPr>
            </w:pPr>
            <w:r w:rsidRPr="000264DB">
              <w:rPr>
                <w:rFonts w:cs="Arial"/>
                <w:color w:val="000000"/>
              </w:rPr>
              <w:t>Replacement of Right Hip Joint, Acetabular Surface with Polyethylene Synthetic Substitute, Uncemented, Open Approach</w:t>
            </w:r>
          </w:p>
        </w:tc>
      </w:tr>
      <w:tr w:rsidR="004F7F0B" w:rsidRPr="000264DB" w14:paraId="6AEC1124" w14:textId="77777777" w:rsidTr="00696E8F">
        <w:trPr>
          <w:trHeight w:val="300"/>
          <w:jc w:val="center"/>
        </w:trPr>
        <w:tc>
          <w:tcPr>
            <w:tcW w:w="1890" w:type="dxa"/>
            <w:noWrap/>
            <w:vAlign w:val="center"/>
          </w:tcPr>
          <w:p w14:paraId="51C783AB" w14:textId="77777777" w:rsidR="004F7F0B" w:rsidRPr="000264DB" w:rsidRDefault="004F7F0B" w:rsidP="00696E8F">
            <w:pPr>
              <w:rPr>
                <w:rFonts w:cs="Arial"/>
                <w:color w:val="000000"/>
              </w:rPr>
            </w:pPr>
            <w:r w:rsidRPr="000264DB">
              <w:rPr>
                <w:rFonts w:cs="Arial"/>
                <w:color w:val="000000"/>
              </w:rPr>
              <w:lastRenderedPageBreak/>
              <w:t>0SRA00Z</w:t>
            </w:r>
          </w:p>
        </w:tc>
        <w:tc>
          <w:tcPr>
            <w:tcW w:w="7556" w:type="dxa"/>
            <w:noWrap/>
            <w:vAlign w:val="center"/>
          </w:tcPr>
          <w:p w14:paraId="6E130678" w14:textId="77777777" w:rsidR="004F7F0B" w:rsidRPr="000264DB" w:rsidRDefault="004F7F0B" w:rsidP="00696E8F">
            <w:pPr>
              <w:rPr>
                <w:rFonts w:cs="Arial"/>
                <w:color w:val="000000"/>
              </w:rPr>
            </w:pPr>
            <w:r w:rsidRPr="000264DB">
              <w:rPr>
                <w:rFonts w:cs="Arial"/>
                <w:color w:val="000000"/>
              </w:rPr>
              <w:t>Replacement of Right Hip Joint, Acetabular Surface with Polyethylene Synthetic Substitute, Open Approach</w:t>
            </w:r>
          </w:p>
        </w:tc>
      </w:tr>
      <w:tr w:rsidR="004F7F0B" w:rsidRPr="000264DB" w14:paraId="10120D9B" w14:textId="77777777" w:rsidTr="00696E8F">
        <w:trPr>
          <w:trHeight w:val="300"/>
          <w:jc w:val="center"/>
        </w:trPr>
        <w:tc>
          <w:tcPr>
            <w:tcW w:w="1890" w:type="dxa"/>
            <w:noWrap/>
            <w:vAlign w:val="center"/>
          </w:tcPr>
          <w:p w14:paraId="7D5A937A" w14:textId="77777777" w:rsidR="004F7F0B" w:rsidRPr="000264DB" w:rsidRDefault="004F7F0B" w:rsidP="00696E8F">
            <w:pPr>
              <w:rPr>
                <w:rFonts w:cs="Arial"/>
                <w:color w:val="000000"/>
              </w:rPr>
            </w:pPr>
            <w:r w:rsidRPr="000264DB">
              <w:rPr>
                <w:rFonts w:cs="Arial"/>
                <w:color w:val="000000"/>
              </w:rPr>
              <w:t>0SRA019</w:t>
            </w:r>
          </w:p>
        </w:tc>
        <w:tc>
          <w:tcPr>
            <w:tcW w:w="7556" w:type="dxa"/>
            <w:noWrap/>
            <w:vAlign w:val="center"/>
          </w:tcPr>
          <w:p w14:paraId="16D8A3D6" w14:textId="77777777" w:rsidR="004F7F0B" w:rsidRPr="000264DB" w:rsidRDefault="004F7F0B" w:rsidP="00696E8F">
            <w:pPr>
              <w:rPr>
                <w:rFonts w:cs="Arial"/>
                <w:color w:val="000000"/>
              </w:rPr>
            </w:pPr>
            <w:r w:rsidRPr="000264DB">
              <w:rPr>
                <w:rFonts w:cs="Arial"/>
                <w:color w:val="000000"/>
              </w:rPr>
              <w:t>Replacement of Right Hip Joint, Acetabular Surface with Metal Synthetic Substitute, Cemented, Open Approach</w:t>
            </w:r>
          </w:p>
        </w:tc>
      </w:tr>
      <w:tr w:rsidR="004F7F0B" w:rsidRPr="000264DB" w14:paraId="32E397BD" w14:textId="77777777" w:rsidTr="00696E8F">
        <w:trPr>
          <w:trHeight w:val="300"/>
          <w:jc w:val="center"/>
        </w:trPr>
        <w:tc>
          <w:tcPr>
            <w:tcW w:w="1890" w:type="dxa"/>
            <w:noWrap/>
            <w:vAlign w:val="center"/>
          </w:tcPr>
          <w:p w14:paraId="1FA0A404" w14:textId="77777777" w:rsidR="004F7F0B" w:rsidRPr="000264DB" w:rsidRDefault="004F7F0B" w:rsidP="00696E8F">
            <w:pPr>
              <w:rPr>
                <w:rFonts w:cs="Arial"/>
                <w:color w:val="000000"/>
              </w:rPr>
            </w:pPr>
            <w:r w:rsidRPr="000264DB">
              <w:rPr>
                <w:rFonts w:cs="Arial"/>
                <w:color w:val="000000"/>
              </w:rPr>
              <w:t>0SRA01A</w:t>
            </w:r>
          </w:p>
        </w:tc>
        <w:tc>
          <w:tcPr>
            <w:tcW w:w="7556" w:type="dxa"/>
            <w:noWrap/>
            <w:vAlign w:val="center"/>
          </w:tcPr>
          <w:p w14:paraId="70C0E379" w14:textId="77777777" w:rsidR="004F7F0B" w:rsidRPr="000264DB" w:rsidRDefault="004F7F0B" w:rsidP="00696E8F">
            <w:pPr>
              <w:rPr>
                <w:rFonts w:cs="Arial"/>
                <w:color w:val="000000"/>
              </w:rPr>
            </w:pPr>
            <w:r w:rsidRPr="000264DB">
              <w:rPr>
                <w:rFonts w:cs="Arial"/>
                <w:color w:val="000000"/>
              </w:rPr>
              <w:t>Replacement of Right Hip Joint, Acetabular Surface with Metal Synthetic Substitute, Uncemented, Open Approach</w:t>
            </w:r>
          </w:p>
        </w:tc>
      </w:tr>
      <w:tr w:rsidR="004F7F0B" w:rsidRPr="000264DB" w14:paraId="0E684D8D" w14:textId="77777777" w:rsidTr="00696E8F">
        <w:trPr>
          <w:trHeight w:val="300"/>
          <w:jc w:val="center"/>
        </w:trPr>
        <w:tc>
          <w:tcPr>
            <w:tcW w:w="1890" w:type="dxa"/>
            <w:noWrap/>
            <w:vAlign w:val="center"/>
          </w:tcPr>
          <w:p w14:paraId="6040EE06" w14:textId="77777777" w:rsidR="004F7F0B" w:rsidRPr="000264DB" w:rsidRDefault="004F7F0B" w:rsidP="00696E8F">
            <w:pPr>
              <w:rPr>
                <w:rFonts w:cs="Arial"/>
                <w:color w:val="000000"/>
              </w:rPr>
            </w:pPr>
            <w:r w:rsidRPr="000264DB">
              <w:rPr>
                <w:rFonts w:cs="Arial"/>
                <w:color w:val="000000"/>
              </w:rPr>
              <w:t>0SRA01Z</w:t>
            </w:r>
          </w:p>
        </w:tc>
        <w:tc>
          <w:tcPr>
            <w:tcW w:w="7556" w:type="dxa"/>
            <w:noWrap/>
            <w:vAlign w:val="center"/>
          </w:tcPr>
          <w:p w14:paraId="35F83725" w14:textId="77777777" w:rsidR="004F7F0B" w:rsidRPr="000264DB" w:rsidRDefault="004F7F0B" w:rsidP="00696E8F">
            <w:pPr>
              <w:rPr>
                <w:rFonts w:cs="Arial"/>
                <w:color w:val="000000"/>
              </w:rPr>
            </w:pPr>
            <w:r w:rsidRPr="000264DB">
              <w:rPr>
                <w:rFonts w:cs="Arial"/>
                <w:color w:val="000000"/>
              </w:rPr>
              <w:t>Replacement of Right Hip Joint, Acetabular Surface with Metal Synthetic Substitute, Open Approach</w:t>
            </w:r>
          </w:p>
        </w:tc>
      </w:tr>
      <w:tr w:rsidR="004F7F0B" w:rsidRPr="000264DB" w14:paraId="2C410A51" w14:textId="77777777" w:rsidTr="00696E8F">
        <w:trPr>
          <w:trHeight w:val="300"/>
          <w:jc w:val="center"/>
        </w:trPr>
        <w:tc>
          <w:tcPr>
            <w:tcW w:w="1890" w:type="dxa"/>
            <w:noWrap/>
            <w:vAlign w:val="center"/>
          </w:tcPr>
          <w:p w14:paraId="5273DC29" w14:textId="77777777" w:rsidR="004F7F0B" w:rsidRPr="000264DB" w:rsidRDefault="004F7F0B" w:rsidP="00696E8F">
            <w:pPr>
              <w:rPr>
                <w:rFonts w:cs="Arial"/>
                <w:color w:val="000000"/>
              </w:rPr>
            </w:pPr>
            <w:r w:rsidRPr="000264DB">
              <w:rPr>
                <w:rFonts w:cs="Arial"/>
                <w:color w:val="000000"/>
              </w:rPr>
              <w:t>0SRA039</w:t>
            </w:r>
          </w:p>
        </w:tc>
        <w:tc>
          <w:tcPr>
            <w:tcW w:w="7556" w:type="dxa"/>
            <w:noWrap/>
            <w:vAlign w:val="center"/>
          </w:tcPr>
          <w:p w14:paraId="41D1E4BD" w14:textId="77777777" w:rsidR="004F7F0B" w:rsidRPr="000264DB" w:rsidRDefault="004F7F0B" w:rsidP="00696E8F">
            <w:pPr>
              <w:rPr>
                <w:rFonts w:cs="Arial"/>
                <w:color w:val="000000"/>
              </w:rPr>
            </w:pPr>
            <w:r w:rsidRPr="000264DB">
              <w:rPr>
                <w:rFonts w:cs="Arial"/>
                <w:color w:val="000000"/>
              </w:rPr>
              <w:t>Replacement of Right Hip Joint, Acetabular Surface with Ceramic Synthetic Substitute, Cemented, Open Approach</w:t>
            </w:r>
          </w:p>
        </w:tc>
      </w:tr>
      <w:tr w:rsidR="004F7F0B" w:rsidRPr="000264DB" w14:paraId="156348AA" w14:textId="77777777" w:rsidTr="00696E8F">
        <w:trPr>
          <w:trHeight w:val="300"/>
          <w:jc w:val="center"/>
        </w:trPr>
        <w:tc>
          <w:tcPr>
            <w:tcW w:w="1890" w:type="dxa"/>
            <w:noWrap/>
            <w:vAlign w:val="center"/>
          </w:tcPr>
          <w:p w14:paraId="56358F3B" w14:textId="77777777" w:rsidR="004F7F0B" w:rsidRPr="000264DB" w:rsidRDefault="004F7F0B" w:rsidP="00696E8F">
            <w:pPr>
              <w:rPr>
                <w:rFonts w:cs="Arial"/>
                <w:color w:val="000000"/>
              </w:rPr>
            </w:pPr>
            <w:r w:rsidRPr="000264DB">
              <w:rPr>
                <w:rFonts w:cs="Arial"/>
                <w:color w:val="000000"/>
              </w:rPr>
              <w:t>0SRA03A</w:t>
            </w:r>
          </w:p>
        </w:tc>
        <w:tc>
          <w:tcPr>
            <w:tcW w:w="7556" w:type="dxa"/>
            <w:noWrap/>
            <w:vAlign w:val="center"/>
          </w:tcPr>
          <w:p w14:paraId="5FC4A10D" w14:textId="77777777" w:rsidR="004F7F0B" w:rsidRPr="000264DB" w:rsidRDefault="004F7F0B" w:rsidP="00696E8F">
            <w:pPr>
              <w:rPr>
                <w:rFonts w:cs="Arial"/>
                <w:color w:val="000000"/>
              </w:rPr>
            </w:pPr>
            <w:r w:rsidRPr="000264DB">
              <w:rPr>
                <w:rFonts w:cs="Arial"/>
                <w:color w:val="000000"/>
              </w:rPr>
              <w:t>Replacement of Right Hip Joint, Acetabular Surface with Ceramic Synthetic Substitute, Uncemented, Open Approach</w:t>
            </w:r>
          </w:p>
        </w:tc>
      </w:tr>
      <w:tr w:rsidR="004F7F0B" w:rsidRPr="000264DB" w14:paraId="0CB268FC" w14:textId="77777777" w:rsidTr="00696E8F">
        <w:trPr>
          <w:trHeight w:val="300"/>
          <w:jc w:val="center"/>
        </w:trPr>
        <w:tc>
          <w:tcPr>
            <w:tcW w:w="1890" w:type="dxa"/>
            <w:noWrap/>
            <w:vAlign w:val="center"/>
          </w:tcPr>
          <w:p w14:paraId="1CE76C8A" w14:textId="77777777" w:rsidR="004F7F0B" w:rsidRPr="000264DB" w:rsidRDefault="004F7F0B" w:rsidP="00696E8F">
            <w:pPr>
              <w:rPr>
                <w:rFonts w:cs="Arial"/>
                <w:color w:val="000000"/>
              </w:rPr>
            </w:pPr>
            <w:r w:rsidRPr="000264DB">
              <w:rPr>
                <w:rFonts w:cs="Arial"/>
                <w:color w:val="000000"/>
              </w:rPr>
              <w:t>0SRA03Z</w:t>
            </w:r>
          </w:p>
        </w:tc>
        <w:tc>
          <w:tcPr>
            <w:tcW w:w="7556" w:type="dxa"/>
            <w:noWrap/>
            <w:vAlign w:val="center"/>
          </w:tcPr>
          <w:p w14:paraId="753BA83F" w14:textId="77777777" w:rsidR="004F7F0B" w:rsidRPr="000264DB" w:rsidRDefault="004F7F0B" w:rsidP="00696E8F">
            <w:pPr>
              <w:rPr>
                <w:rFonts w:cs="Arial"/>
                <w:color w:val="000000"/>
              </w:rPr>
            </w:pPr>
            <w:r w:rsidRPr="000264DB">
              <w:rPr>
                <w:rFonts w:cs="Arial"/>
                <w:color w:val="000000"/>
              </w:rPr>
              <w:t>Replacement of Right Hip Joint, Acetabular Surface with Ceramic Synthetic Substitute, Open Approach</w:t>
            </w:r>
          </w:p>
        </w:tc>
      </w:tr>
      <w:tr w:rsidR="004F7F0B" w:rsidRPr="000264DB" w14:paraId="21213575" w14:textId="77777777" w:rsidTr="00696E8F">
        <w:trPr>
          <w:trHeight w:val="300"/>
          <w:jc w:val="center"/>
        </w:trPr>
        <w:tc>
          <w:tcPr>
            <w:tcW w:w="1890" w:type="dxa"/>
            <w:noWrap/>
            <w:vAlign w:val="center"/>
          </w:tcPr>
          <w:p w14:paraId="337234D5" w14:textId="77777777" w:rsidR="004F7F0B" w:rsidRPr="000264DB" w:rsidRDefault="004F7F0B" w:rsidP="00696E8F">
            <w:pPr>
              <w:rPr>
                <w:rFonts w:cs="Arial"/>
                <w:color w:val="000000"/>
              </w:rPr>
            </w:pPr>
            <w:r w:rsidRPr="000264DB">
              <w:rPr>
                <w:rFonts w:cs="Arial"/>
                <w:color w:val="000000"/>
              </w:rPr>
              <w:t>0SRA0J9</w:t>
            </w:r>
          </w:p>
        </w:tc>
        <w:tc>
          <w:tcPr>
            <w:tcW w:w="7556" w:type="dxa"/>
            <w:noWrap/>
            <w:vAlign w:val="center"/>
          </w:tcPr>
          <w:p w14:paraId="3F61AC71" w14:textId="77777777" w:rsidR="004F7F0B" w:rsidRPr="000264DB" w:rsidRDefault="004F7F0B" w:rsidP="00696E8F">
            <w:pPr>
              <w:rPr>
                <w:rFonts w:cs="Arial"/>
                <w:color w:val="000000"/>
              </w:rPr>
            </w:pPr>
            <w:r w:rsidRPr="000264DB">
              <w:rPr>
                <w:rFonts w:cs="Arial"/>
                <w:color w:val="000000"/>
              </w:rPr>
              <w:t>Replacement of Right Hip Joint, Acetabular Surface with Synthetic Substitute, Cemented, Open Approach</w:t>
            </w:r>
          </w:p>
        </w:tc>
      </w:tr>
      <w:tr w:rsidR="004F7F0B" w:rsidRPr="000264DB" w14:paraId="4A292A48" w14:textId="77777777" w:rsidTr="00696E8F">
        <w:trPr>
          <w:trHeight w:val="300"/>
          <w:jc w:val="center"/>
        </w:trPr>
        <w:tc>
          <w:tcPr>
            <w:tcW w:w="1890" w:type="dxa"/>
            <w:noWrap/>
            <w:vAlign w:val="center"/>
          </w:tcPr>
          <w:p w14:paraId="120C8B25" w14:textId="77777777" w:rsidR="004F7F0B" w:rsidRPr="000264DB" w:rsidRDefault="004F7F0B" w:rsidP="00696E8F">
            <w:pPr>
              <w:rPr>
                <w:rFonts w:cs="Arial"/>
                <w:color w:val="000000"/>
              </w:rPr>
            </w:pPr>
            <w:r w:rsidRPr="000264DB">
              <w:rPr>
                <w:rFonts w:cs="Arial"/>
                <w:color w:val="000000"/>
              </w:rPr>
              <w:t>0SRA0JA</w:t>
            </w:r>
          </w:p>
        </w:tc>
        <w:tc>
          <w:tcPr>
            <w:tcW w:w="7556" w:type="dxa"/>
            <w:noWrap/>
            <w:vAlign w:val="center"/>
          </w:tcPr>
          <w:p w14:paraId="0642C26B" w14:textId="77777777" w:rsidR="004F7F0B" w:rsidRPr="000264DB" w:rsidRDefault="004F7F0B" w:rsidP="00696E8F">
            <w:pPr>
              <w:rPr>
                <w:rFonts w:cs="Arial"/>
                <w:color w:val="000000"/>
              </w:rPr>
            </w:pPr>
            <w:r w:rsidRPr="000264DB">
              <w:rPr>
                <w:rFonts w:cs="Arial"/>
                <w:color w:val="000000"/>
              </w:rPr>
              <w:t>Replacement of Right Hip Joint, Acetabular Surface with Synthetic Substitute, Uncemented, Open Approach</w:t>
            </w:r>
          </w:p>
        </w:tc>
      </w:tr>
      <w:tr w:rsidR="004F7F0B" w:rsidRPr="000264DB" w14:paraId="5FCD62B1" w14:textId="77777777" w:rsidTr="00696E8F">
        <w:trPr>
          <w:trHeight w:val="300"/>
          <w:jc w:val="center"/>
        </w:trPr>
        <w:tc>
          <w:tcPr>
            <w:tcW w:w="1890" w:type="dxa"/>
            <w:noWrap/>
            <w:vAlign w:val="center"/>
          </w:tcPr>
          <w:p w14:paraId="2847FAD4" w14:textId="77777777" w:rsidR="004F7F0B" w:rsidRPr="000264DB" w:rsidRDefault="004F7F0B" w:rsidP="00696E8F">
            <w:pPr>
              <w:rPr>
                <w:rFonts w:cs="Arial"/>
                <w:color w:val="000000"/>
              </w:rPr>
            </w:pPr>
            <w:r w:rsidRPr="000264DB">
              <w:rPr>
                <w:rFonts w:cs="Arial"/>
                <w:color w:val="000000"/>
              </w:rPr>
              <w:t>0SRA0JZ</w:t>
            </w:r>
          </w:p>
        </w:tc>
        <w:tc>
          <w:tcPr>
            <w:tcW w:w="7556" w:type="dxa"/>
            <w:noWrap/>
            <w:vAlign w:val="center"/>
          </w:tcPr>
          <w:p w14:paraId="6C6E555B" w14:textId="77777777" w:rsidR="004F7F0B" w:rsidRPr="000264DB" w:rsidRDefault="004F7F0B" w:rsidP="00696E8F">
            <w:pPr>
              <w:rPr>
                <w:rFonts w:cs="Arial"/>
                <w:color w:val="000000"/>
              </w:rPr>
            </w:pPr>
            <w:r w:rsidRPr="000264DB">
              <w:rPr>
                <w:rFonts w:cs="Arial"/>
                <w:color w:val="000000"/>
              </w:rPr>
              <w:t>Replacement of Right Hip Joint, Acetabular Surface with Synthetic Substitute, Open Approach</w:t>
            </w:r>
          </w:p>
        </w:tc>
      </w:tr>
      <w:tr w:rsidR="004F7F0B" w:rsidRPr="000264DB" w14:paraId="147837F7" w14:textId="77777777" w:rsidTr="00696E8F">
        <w:trPr>
          <w:trHeight w:val="300"/>
          <w:jc w:val="center"/>
        </w:trPr>
        <w:tc>
          <w:tcPr>
            <w:tcW w:w="1890" w:type="dxa"/>
            <w:noWrap/>
            <w:vAlign w:val="center"/>
          </w:tcPr>
          <w:p w14:paraId="65500A06" w14:textId="77777777" w:rsidR="004F7F0B" w:rsidRPr="000264DB" w:rsidRDefault="004F7F0B" w:rsidP="00696E8F">
            <w:pPr>
              <w:rPr>
                <w:rFonts w:cs="Arial"/>
                <w:color w:val="000000"/>
              </w:rPr>
            </w:pPr>
            <w:r w:rsidRPr="000264DB">
              <w:rPr>
                <w:rFonts w:cs="Arial"/>
                <w:color w:val="000000"/>
              </w:rPr>
              <w:t>0SRB019</w:t>
            </w:r>
          </w:p>
        </w:tc>
        <w:tc>
          <w:tcPr>
            <w:tcW w:w="7556" w:type="dxa"/>
            <w:noWrap/>
            <w:vAlign w:val="center"/>
          </w:tcPr>
          <w:p w14:paraId="4A9D6D55" w14:textId="77777777" w:rsidR="004F7F0B" w:rsidRPr="000264DB" w:rsidRDefault="004F7F0B" w:rsidP="00696E8F">
            <w:pPr>
              <w:rPr>
                <w:rFonts w:cs="Arial"/>
                <w:color w:val="000000"/>
              </w:rPr>
            </w:pPr>
            <w:r w:rsidRPr="000264DB">
              <w:rPr>
                <w:rFonts w:cs="Arial"/>
                <w:color w:val="000000"/>
              </w:rPr>
              <w:t>Replacement of Left Hip Joint with Metal Synthetic Substitute, Cemented, Open Approach</w:t>
            </w:r>
          </w:p>
        </w:tc>
      </w:tr>
      <w:tr w:rsidR="004F7F0B" w:rsidRPr="000264DB" w14:paraId="01406081" w14:textId="77777777" w:rsidTr="00696E8F">
        <w:trPr>
          <w:trHeight w:val="300"/>
          <w:jc w:val="center"/>
        </w:trPr>
        <w:tc>
          <w:tcPr>
            <w:tcW w:w="1890" w:type="dxa"/>
            <w:noWrap/>
            <w:vAlign w:val="center"/>
          </w:tcPr>
          <w:p w14:paraId="6307A94A" w14:textId="77777777" w:rsidR="004F7F0B" w:rsidRPr="000264DB" w:rsidRDefault="004F7F0B" w:rsidP="00696E8F">
            <w:pPr>
              <w:rPr>
                <w:rFonts w:cs="Arial"/>
                <w:color w:val="000000"/>
              </w:rPr>
            </w:pPr>
            <w:r w:rsidRPr="000264DB">
              <w:rPr>
                <w:rFonts w:cs="Arial"/>
                <w:color w:val="000000"/>
              </w:rPr>
              <w:t>0SRB01A</w:t>
            </w:r>
          </w:p>
        </w:tc>
        <w:tc>
          <w:tcPr>
            <w:tcW w:w="7556" w:type="dxa"/>
            <w:noWrap/>
            <w:vAlign w:val="center"/>
          </w:tcPr>
          <w:p w14:paraId="37F65C51" w14:textId="77777777" w:rsidR="004F7F0B" w:rsidRPr="000264DB" w:rsidRDefault="004F7F0B" w:rsidP="00696E8F">
            <w:pPr>
              <w:rPr>
                <w:rFonts w:cs="Arial"/>
                <w:color w:val="000000"/>
              </w:rPr>
            </w:pPr>
            <w:r w:rsidRPr="000264DB">
              <w:rPr>
                <w:rFonts w:cs="Arial"/>
                <w:color w:val="000000"/>
              </w:rPr>
              <w:t>Replacement of Left Hip Joint with Metal Synthetic Substitute, Uncemented, Open Approach</w:t>
            </w:r>
          </w:p>
        </w:tc>
      </w:tr>
      <w:tr w:rsidR="004F7F0B" w:rsidRPr="000264DB" w14:paraId="1FD7CDB5" w14:textId="77777777" w:rsidTr="00696E8F">
        <w:trPr>
          <w:trHeight w:val="300"/>
          <w:jc w:val="center"/>
        </w:trPr>
        <w:tc>
          <w:tcPr>
            <w:tcW w:w="1890" w:type="dxa"/>
            <w:noWrap/>
            <w:vAlign w:val="center"/>
          </w:tcPr>
          <w:p w14:paraId="1DC2D682" w14:textId="77777777" w:rsidR="004F7F0B" w:rsidRPr="000264DB" w:rsidRDefault="004F7F0B" w:rsidP="00696E8F">
            <w:pPr>
              <w:rPr>
                <w:rFonts w:cs="Arial"/>
                <w:color w:val="000000"/>
              </w:rPr>
            </w:pPr>
            <w:r w:rsidRPr="000264DB">
              <w:rPr>
                <w:rFonts w:cs="Arial"/>
                <w:color w:val="000000"/>
              </w:rPr>
              <w:t>0SRB01Z</w:t>
            </w:r>
          </w:p>
        </w:tc>
        <w:tc>
          <w:tcPr>
            <w:tcW w:w="7556" w:type="dxa"/>
            <w:noWrap/>
            <w:vAlign w:val="center"/>
          </w:tcPr>
          <w:p w14:paraId="56AC020F" w14:textId="77777777" w:rsidR="004F7F0B" w:rsidRPr="000264DB" w:rsidRDefault="004F7F0B" w:rsidP="00696E8F">
            <w:pPr>
              <w:rPr>
                <w:rFonts w:cs="Arial"/>
                <w:color w:val="000000"/>
              </w:rPr>
            </w:pPr>
            <w:r w:rsidRPr="000264DB">
              <w:rPr>
                <w:rFonts w:cs="Arial"/>
                <w:color w:val="000000"/>
              </w:rPr>
              <w:t>Replacement of Left Hip Joint with Metal Synthetic Substitute, Open Approach</w:t>
            </w:r>
          </w:p>
        </w:tc>
      </w:tr>
      <w:tr w:rsidR="004F7F0B" w:rsidRPr="000264DB" w14:paraId="31E209E3" w14:textId="77777777" w:rsidTr="00696E8F">
        <w:trPr>
          <w:trHeight w:val="300"/>
          <w:jc w:val="center"/>
        </w:trPr>
        <w:tc>
          <w:tcPr>
            <w:tcW w:w="1890" w:type="dxa"/>
            <w:noWrap/>
            <w:vAlign w:val="center"/>
          </w:tcPr>
          <w:p w14:paraId="34FB693A" w14:textId="77777777" w:rsidR="004F7F0B" w:rsidRPr="000264DB" w:rsidRDefault="004F7F0B" w:rsidP="00696E8F">
            <w:pPr>
              <w:rPr>
                <w:rFonts w:cs="Arial"/>
                <w:color w:val="000000"/>
              </w:rPr>
            </w:pPr>
            <w:r w:rsidRPr="000264DB">
              <w:rPr>
                <w:rFonts w:cs="Arial"/>
                <w:color w:val="000000"/>
              </w:rPr>
              <w:t>0SRB029 </w:t>
            </w:r>
          </w:p>
        </w:tc>
        <w:tc>
          <w:tcPr>
            <w:tcW w:w="7556" w:type="dxa"/>
            <w:noWrap/>
            <w:vAlign w:val="center"/>
          </w:tcPr>
          <w:p w14:paraId="2C00B30F" w14:textId="77777777" w:rsidR="004F7F0B" w:rsidRPr="000264DB" w:rsidRDefault="004F7F0B" w:rsidP="00696E8F">
            <w:pPr>
              <w:rPr>
                <w:rFonts w:cs="Arial"/>
                <w:color w:val="000000"/>
              </w:rPr>
            </w:pPr>
            <w:r w:rsidRPr="000264DB">
              <w:rPr>
                <w:rFonts w:cs="Arial"/>
                <w:color w:val="000000"/>
              </w:rPr>
              <w:t>Replacement of Left Hip Joint with Metal on Polyethylene Synthetic Substitute, Cemented, Open Approach</w:t>
            </w:r>
          </w:p>
        </w:tc>
      </w:tr>
      <w:tr w:rsidR="004F7F0B" w:rsidRPr="000264DB" w14:paraId="33AE006B" w14:textId="77777777" w:rsidTr="00696E8F">
        <w:trPr>
          <w:trHeight w:val="300"/>
          <w:jc w:val="center"/>
        </w:trPr>
        <w:tc>
          <w:tcPr>
            <w:tcW w:w="1890" w:type="dxa"/>
            <w:noWrap/>
            <w:vAlign w:val="center"/>
          </w:tcPr>
          <w:p w14:paraId="47A20F39" w14:textId="77777777" w:rsidR="004F7F0B" w:rsidRPr="000264DB" w:rsidRDefault="004F7F0B" w:rsidP="00696E8F">
            <w:pPr>
              <w:rPr>
                <w:rFonts w:cs="Arial"/>
                <w:color w:val="000000"/>
              </w:rPr>
            </w:pPr>
            <w:r w:rsidRPr="000264DB">
              <w:rPr>
                <w:rFonts w:cs="Arial"/>
                <w:color w:val="000000"/>
              </w:rPr>
              <w:t>0SRB02A</w:t>
            </w:r>
          </w:p>
        </w:tc>
        <w:tc>
          <w:tcPr>
            <w:tcW w:w="7556" w:type="dxa"/>
            <w:noWrap/>
            <w:vAlign w:val="center"/>
          </w:tcPr>
          <w:p w14:paraId="2F2EDBAB" w14:textId="77777777" w:rsidR="004F7F0B" w:rsidRPr="000264DB" w:rsidRDefault="004F7F0B" w:rsidP="00696E8F">
            <w:pPr>
              <w:rPr>
                <w:rFonts w:cs="Arial"/>
                <w:color w:val="000000"/>
              </w:rPr>
            </w:pPr>
            <w:r w:rsidRPr="000264DB">
              <w:rPr>
                <w:rFonts w:cs="Arial"/>
                <w:color w:val="000000"/>
              </w:rPr>
              <w:t>Replacement of Left Hip Joint with Metal on Polyethylene Synthetic Substitute, Uncemented, Open Approach</w:t>
            </w:r>
          </w:p>
        </w:tc>
      </w:tr>
      <w:tr w:rsidR="004F7F0B" w:rsidRPr="000264DB" w14:paraId="4259E14A" w14:textId="77777777" w:rsidTr="00696E8F">
        <w:trPr>
          <w:trHeight w:val="300"/>
          <w:jc w:val="center"/>
        </w:trPr>
        <w:tc>
          <w:tcPr>
            <w:tcW w:w="1890" w:type="dxa"/>
            <w:noWrap/>
            <w:vAlign w:val="center"/>
          </w:tcPr>
          <w:p w14:paraId="3552E5C8" w14:textId="77777777" w:rsidR="004F7F0B" w:rsidRPr="000264DB" w:rsidRDefault="004F7F0B" w:rsidP="00696E8F">
            <w:pPr>
              <w:rPr>
                <w:rFonts w:cs="Arial"/>
                <w:color w:val="000000"/>
              </w:rPr>
            </w:pPr>
            <w:r w:rsidRPr="000264DB">
              <w:rPr>
                <w:rFonts w:cs="Arial"/>
                <w:color w:val="000000"/>
              </w:rPr>
              <w:t>0SRB02Z</w:t>
            </w:r>
          </w:p>
        </w:tc>
        <w:tc>
          <w:tcPr>
            <w:tcW w:w="7556" w:type="dxa"/>
            <w:noWrap/>
            <w:vAlign w:val="center"/>
          </w:tcPr>
          <w:p w14:paraId="48460C7D" w14:textId="77777777" w:rsidR="004F7F0B" w:rsidRPr="000264DB" w:rsidRDefault="004F7F0B" w:rsidP="00696E8F">
            <w:pPr>
              <w:rPr>
                <w:rFonts w:cs="Arial"/>
                <w:color w:val="000000"/>
              </w:rPr>
            </w:pPr>
            <w:r w:rsidRPr="000264DB">
              <w:rPr>
                <w:rFonts w:cs="Arial"/>
                <w:color w:val="000000"/>
              </w:rPr>
              <w:t>Replacement of Left Hip Joint with Metal on Polyethylene Synthetic Substitute, Open Approach</w:t>
            </w:r>
          </w:p>
        </w:tc>
      </w:tr>
      <w:tr w:rsidR="004F7F0B" w:rsidRPr="000264DB" w14:paraId="7FAA36A8" w14:textId="77777777" w:rsidTr="00696E8F">
        <w:trPr>
          <w:trHeight w:val="300"/>
          <w:jc w:val="center"/>
        </w:trPr>
        <w:tc>
          <w:tcPr>
            <w:tcW w:w="1890" w:type="dxa"/>
            <w:noWrap/>
            <w:vAlign w:val="center"/>
          </w:tcPr>
          <w:p w14:paraId="0D24B179" w14:textId="77777777" w:rsidR="004F7F0B" w:rsidRPr="000264DB" w:rsidRDefault="004F7F0B" w:rsidP="00696E8F">
            <w:pPr>
              <w:rPr>
                <w:rFonts w:cs="Arial"/>
                <w:color w:val="000000"/>
              </w:rPr>
            </w:pPr>
            <w:r w:rsidRPr="000264DB">
              <w:rPr>
                <w:rFonts w:cs="Arial"/>
                <w:color w:val="000000"/>
              </w:rPr>
              <w:t>0SRB039</w:t>
            </w:r>
          </w:p>
        </w:tc>
        <w:tc>
          <w:tcPr>
            <w:tcW w:w="7556" w:type="dxa"/>
            <w:noWrap/>
            <w:vAlign w:val="center"/>
          </w:tcPr>
          <w:p w14:paraId="53B91D69" w14:textId="77777777" w:rsidR="004F7F0B" w:rsidRPr="000264DB" w:rsidRDefault="004F7F0B" w:rsidP="00696E8F">
            <w:pPr>
              <w:rPr>
                <w:rFonts w:cs="Arial"/>
                <w:color w:val="000000"/>
              </w:rPr>
            </w:pPr>
            <w:r w:rsidRPr="000264DB">
              <w:rPr>
                <w:rFonts w:cs="Arial"/>
                <w:color w:val="000000"/>
              </w:rPr>
              <w:t>Replacement of Left Hip Joint with Ceramic Synthetic Substitute, Cemented, Open Approach</w:t>
            </w:r>
          </w:p>
        </w:tc>
      </w:tr>
      <w:tr w:rsidR="004F7F0B" w:rsidRPr="000264DB" w14:paraId="28A17657" w14:textId="77777777" w:rsidTr="00696E8F">
        <w:trPr>
          <w:trHeight w:val="300"/>
          <w:jc w:val="center"/>
        </w:trPr>
        <w:tc>
          <w:tcPr>
            <w:tcW w:w="1890" w:type="dxa"/>
            <w:noWrap/>
            <w:vAlign w:val="center"/>
          </w:tcPr>
          <w:p w14:paraId="3FFFD25A" w14:textId="77777777" w:rsidR="004F7F0B" w:rsidRPr="000264DB" w:rsidRDefault="004F7F0B" w:rsidP="00696E8F">
            <w:pPr>
              <w:rPr>
                <w:rFonts w:cs="Arial"/>
                <w:color w:val="000000"/>
              </w:rPr>
            </w:pPr>
            <w:r w:rsidRPr="000264DB">
              <w:rPr>
                <w:rFonts w:cs="Arial"/>
                <w:color w:val="000000"/>
              </w:rPr>
              <w:t>0SRB03A</w:t>
            </w:r>
          </w:p>
        </w:tc>
        <w:tc>
          <w:tcPr>
            <w:tcW w:w="7556" w:type="dxa"/>
            <w:noWrap/>
            <w:vAlign w:val="center"/>
          </w:tcPr>
          <w:p w14:paraId="5435A255" w14:textId="77777777" w:rsidR="004F7F0B" w:rsidRPr="000264DB" w:rsidRDefault="004F7F0B" w:rsidP="00696E8F">
            <w:pPr>
              <w:rPr>
                <w:rFonts w:cs="Arial"/>
                <w:color w:val="000000"/>
              </w:rPr>
            </w:pPr>
            <w:r w:rsidRPr="000264DB">
              <w:rPr>
                <w:rFonts w:cs="Arial"/>
                <w:color w:val="000000"/>
              </w:rPr>
              <w:t>Replacement of Left Hip Joint with Ceramic Synthetic Substitute, Uncemented, Open Approach</w:t>
            </w:r>
          </w:p>
        </w:tc>
      </w:tr>
      <w:tr w:rsidR="004F7F0B" w:rsidRPr="000264DB" w14:paraId="4067AE67" w14:textId="77777777" w:rsidTr="00696E8F">
        <w:trPr>
          <w:trHeight w:val="300"/>
          <w:jc w:val="center"/>
        </w:trPr>
        <w:tc>
          <w:tcPr>
            <w:tcW w:w="1890" w:type="dxa"/>
            <w:noWrap/>
            <w:vAlign w:val="center"/>
          </w:tcPr>
          <w:p w14:paraId="5545AAD1" w14:textId="77777777" w:rsidR="004F7F0B" w:rsidRPr="000264DB" w:rsidRDefault="004F7F0B" w:rsidP="00696E8F">
            <w:pPr>
              <w:rPr>
                <w:rFonts w:cs="Arial"/>
                <w:color w:val="000000"/>
              </w:rPr>
            </w:pPr>
            <w:r w:rsidRPr="000264DB">
              <w:rPr>
                <w:rFonts w:cs="Arial"/>
                <w:color w:val="000000"/>
              </w:rPr>
              <w:t>0SRB03Z</w:t>
            </w:r>
          </w:p>
        </w:tc>
        <w:tc>
          <w:tcPr>
            <w:tcW w:w="7556" w:type="dxa"/>
            <w:noWrap/>
            <w:vAlign w:val="center"/>
          </w:tcPr>
          <w:p w14:paraId="6CB6EB24" w14:textId="77777777" w:rsidR="004F7F0B" w:rsidRPr="000264DB" w:rsidRDefault="004F7F0B" w:rsidP="00696E8F">
            <w:pPr>
              <w:rPr>
                <w:rFonts w:cs="Arial"/>
                <w:color w:val="000000"/>
              </w:rPr>
            </w:pPr>
            <w:r w:rsidRPr="000264DB">
              <w:rPr>
                <w:rFonts w:cs="Arial"/>
                <w:color w:val="000000"/>
              </w:rPr>
              <w:t>Replacement of Left Hip Joint with Ceramic Synthetic Substitute, Open Approach</w:t>
            </w:r>
          </w:p>
        </w:tc>
      </w:tr>
      <w:tr w:rsidR="004F7F0B" w:rsidRPr="000264DB" w14:paraId="7C1F3FB0" w14:textId="77777777" w:rsidTr="00696E8F">
        <w:trPr>
          <w:trHeight w:val="300"/>
          <w:jc w:val="center"/>
        </w:trPr>
        <w:tc>
          <w:tcPr>
            <w:tcW w:w="1890" w:type="dxa"/>
            <w:noWrap/>
            <w:vAlign w:val="center"/>
            <w:hideMark/>
          </w:tcPr>
          <w:p w14:paraId="649A75AA" w14:textId="77777777" w:rsidR="004F7F0B" w:rsidRPr="000264DB" w:rsidRDefault="004F7F0B" w:rsidP="00696E8F">
            <w:pPr>
              <w:rPr>
                <w:rFonts w:cs="Arial"/>
                <w:color w:val="000000"/>
              </w:rPr>
            </w:pPr>
            <w:r w:rsidRPr="000264DB">
              <w:rPr>
                <w:rFonts w:cs="Arial"/>
                <w:color w:val="000000"/>
              </w:rPr>
              <w:t>0SRB049</w:t>
            </w:r>
          </w:p>
        </w:tc>
        <w:tc>
          <w:tcPr>
            <w:tcW w:w="7556" w:type="dxa"/>
            <w:noWrap/>
            <w:vAlign w:val="center"/>
            <w:hideMark/>
          </w:tcPr>
          <w:p w14:paraId="14A0E935" w14:textId="77777777" w:rsidR="004F7F0B" w:rsidRPr="000264DB" w:rsidRDefault="004F7F0B" w:rsidP="00696E8F">
            <w:pPr>
              <w:rPr>
                <w:rFonts w:cs="Arial"/>
                <w:color w:val="000000"/>
              </w:rPr>
            </w:pPr>
            <w:r w:rsidRPr="000264DB">
              <w:rPr>
                <w:rFonts w:cs="Arial"/>
                <w:color w:val="000000"/>
              </w:rPr>
              <w:t>Replacement of Left Hip Joint with Ceramic on Polyethylene Synthetic Substitute, Cemented, Open Approach</w:t>
            </w:r>
          </w:p>
        </w:tc>
      </w:tr>
      <w:tr w:rsidR="004F7F0B" w:rsidRPr="000264DB" w14:paraId="0392C916" w14:textId="77777777" w:rsidTr="00696E8F">
        <w:trPr>
          <w:trHeight w:val="300"/>
          <w:jc w:val="center"/>
        </w:trPr>
        <w:tc>
          <w:tcPr>
            <w:tcW w:w="1890" w:type="dxa"/>
            <w:noWrap/>
            <w:vAlign w:val="center"/>
            <w:hideMark/>
          </w:tcPr>
          <w:p w14:paraId="55DB2DEF" w14:textId="77777777" w:rsidR="004F7F0B" w:rsidRPr="000264DB" w:rsidRDefault="004F7F0B" w:rsidP="00696E8F">
            <w:pPr>
              <w:rPr>
                <w:rFonts w:cs="Arial"/>
                <w:color w:val="000000"/>
              </w:rPr>
            </w:pPr>
            <w:r w:rsidRPr="000264DB">
              <w:rPr>
                <w:rFonts w:cs="Arial"/>
                <w:color w:val="000000"/>
              </w:rPr>
              <w:t>0SRB04A</w:t>
            </w:r>
          </w:p>
        </w:tc>
        <w:tc>
          <w:tcPr>
            <w:tcW w:w="7556" w:type="dxa"/>
            <w:noWrap/>
            <w:vAlign w:val="center"/>
            <w:hideMark/>
          </w:tcPr>
          <w:p w14:paraId="547E1259" w14:textId="77777777" w:rsidR="004F7F0B" w:rsidRPr="000264DB" w:rsidRDefault="004F7F0B" w:rsidP="00696E8F">
            <w:pPr>
              <w:rPr>
                <w:rFonts w:cs="Arial"/>
                <w:color w:val="000000"/>
              </w:rPr>
            </w:pPr>
            <w:r w:rsidRPr="000264DB">
              <w:rPr>
                <w:rFonts w:cs="Arial"/>
                <w:color w:val="000000"/>
              </w:rPr>
              <w:t>Replacement of Left Hip Joint with Ceramic on Polyethylene Synthetic Substitute, Uncemented, Open Approach</w:t>
            </w:r>
          </w:p>
        </w:tc>
      </w:tr>
      <w:tr w:rsidR="004F7F0B" w:rsidRPr="000264DB" w14:paraId="1C1396D0" w14:textId="77777777" w:rsidTr="00696E8F">
        <w:trPr>
          <w:trHeight w:val="300"/>
          <w:jc w:val="center"/>
        </w:trPr>
        <w:tc>
          <w:tcPr>
            <w:tcW w:w="1890" w:type="dxa"/>
            <w:noWrap/>
            <w:vAlign w:val="center"/>
            <w:hideMark/>
          </w:tcPr>
          <w:p w14:paraId="313901EC" w14:textId="77777777" w:rsidR="004F7F0B" w:rsidRPr="000264DB" w:rsidRDefault="004F7F0B" w:rsidP="00696E8F">
            <w:pPr>
              <w:rPr>
                <w:rFonts w:cs="Arial"/>
                <w:color w:val="000000"/>
              </w:rPr>
            </w:pPr>
            <w:r w:rsidRPr="000264DB">
              <w:rPr>
                <w:rFonts w:cs="Arial"/>
                <w:color w:val="000000"/>
              </w:rPr>
              <w:t>0SRB04Z</w:t>
            </w:r>
          </w:p>
        </w:tc>
        <w:tc>
          <w:tcPr>
            <w:tcW w:w="7556" w:type="dxa"/>
            <w:noWrap/>
            <w:vAlign w:val="center"/>
            <w:hideMark/>
          </w:tcPr>
          <w:p w14:paraId="730B85A9" w14:textId="77777777" w:rsidR="004F7F0B" w:rsidRPr="000264DB" w:rsidRDefault="004F7F0B" w:rsidP="00696E8F">
            <w:pPr>
              <w:rPr>
                <w:rFonts w:cs="Arial"/>
                <w:color w:val="000000"/>
              </w:rPr>
            </w:pPr>
            <w:r w:rsidRPr="000264DB">
              <w:rPr>
                <w:rFonts w:cs="Arial"/>
                <w:color w:val="000000"/>
              </w:rPr>
              <w:t>Replacement of Left Hip Joint with Ceramic on Polyethylene Synthetic Substitute, Open Approach</w:t>
            </w:r>
          </w:p>
        </w:tc>
      </w:tr>
      <w:tr w:rsidR="004F7F0B" w:rsidRPr="000264DB" w14:paraId="20AEBF2C" w14:textId="77777777" w:rsidTr="00696E8F">
        <w:trPr>
          <w:trHeight w:val="300"/>
          <w:jc w:val="center"/>
        </w:trPr>
        <w:tc>
          <w:tcPr>
            <w:tcW w:w="1890" w:type="dxa"/>
            <w:noWrap/>
            <w:vAlign w:val="center"/>
          </w:tcPr>
          <w:p w14:paraId="368D6B20" w14:textId="77777777" w:rsidR="004F7F0B" w:rsidRPr="000264DB" w:rsidRDefault="004F7F0B" w:rsidP="00696E8F">
            <w:pPr>
              <w:rPr>
                <w:rFonts w:cs="Arial"/>
                <w:color w:val="000000"/>
              </w:rPr>
            </w:pPr>
            <w:r w:rsidRPr="000264DB">
              <w:rPr>
                <w:rFonts w:cs="Arial"/>
                <w:color w:val="000000"/>
              </w:rPr>
              <w:t>0SRB0J9</w:t>
            </w:r>
          </w:p>
        </w:tc>
        <w:tc>
          <w:tcPr>
            <w:tcW w:w="7556" w:type="dxa"/>
            <w:noWrap/>
            <w:vAlign w:val="center"/>
          </w:tcPr>
          <w:p w14:paraId="6A5381FD" w14:textId="77777777" w:rsidR="004F7F0B" w:rsidRPr="000264DB" w:rsidRDefault="004F7F0B" w:rsidP="00696E8F">
            <w:pPr>
              <w:rPr>
                <w:rFonts w:cs="Arial"/>
                <w:color w:val="000000"/>
              </w:rPr>
            </w:pPr>
            <w:r w:rsidRPr="000264DB">
              <w:rPr>
                <w:rFonts w:cs="Arial"/>
                <w:color w:val="000000"/>
              </w:rPr>
              <w:t>Replacement of Left Hip Joint with Synthetic Substitute, Cemented, Open Approach</w:t>
            </w:r>
          </w:p>
        </w:tc>
      </w:tr>
      <w:tr w:rsidR="004F7F0B" w:rsidRPr="000264DB" w14:paraId="207391C0" w14:textId="77777777" w:rsidTr="00696E8F">
        <w:trPr>
          <w:trHeight w:val="300"/>
          <w:jc w:val="center"/>
        </w:trPr>
        <w:tc>
          <w:tcPr>
            <w:tcW w:w="1890" w:type="dxa"/>
            <w:noWrap/>
            <w:vAlign w:val="center"/>
          </w:tcPr>
          <w:p w14:paraId="6AE8C2EA" w14:textId="77777777" w:rsidR="004F7F0B" w:rsidRPr="000264DB" w:rsidRDefault="004F7F0B" w:rsidP="00696E8F">
            <w:pPr>
              <w:rPr>
                <w:rFonts w:cs="Arial"/>
              </w:rPr>
            </w:pPr>
            <w:r w:rsidRPr="000264DB">
              <w:rPr>
                <w:rFonts w:cs="Arial"/>
              </w:rPr>
              <w:t>0SRB0JA </w:t>
            </w:r>
          </w:p>
        </w:tc>
        <w:tc>
          <w:tcPr>
            <w:tcW w:w="7556" w:type="dxa"/>
            <w:noWrap/>
            <w:vAlign w:val="center"/>
          </w:tcPr>
          <w:p w14:paraId="7E8A733B" w14:textId="77777777" w:rsidR="004F7F0B" w:rsidRPr="000264DB" w:rsidRDefault="004F7F0B" w:rsidP="00696E8F">
            <w:pPr>
              <w:rPr>
                <w:rFonts w:cs="Arial"/>
              </w:rPr>
            </w:pPr>
            <w:r w:rsidRPr="000264DB">
              <w:rPr>
                <w:rFonts w:cs="Arial"/>
              </w:rPr>
              <w:t>Replacement of Left Hip Joint with Synthetic Substitute, Uncemented, Open Approach</w:t>
            </w:r>
          </w:p>
        </w:tc>
      </w:tr>
      <w:tr w:rsidR="004F7F0B" w:rsidRPr="000264DB" w14:paraId="67B833CC" w14:textId="77777777" w:rsidTr="00696E8F">
        <w:trPr>
          <w:trHeight w:val="300"/>
          <w:jc w:val="center"/>
        </w:trPr>
        <w:tc>
          <w:tcPr>
            <w:tcW w:w="1890" w:type="dxa"/>
            <w:noWrap/>
            <w:vAlign w:val="center"/>
          </w:tcPr>
          <w:p w14:paraId="0CAB3B36" w14:textId="77777777" w:rsidR="004F7F0B" w:rsidRPr="000264DB" w:rsidRDefault="004F7F0B" w:rsidP="00696E8F">
            <w:pPr>
              <w:rPr>
                <w:rFonts w:cs="Arial"/>
              </w:rPr>
            </w:pPr>
            <w:r w:rsidRPr="000264DB">
              <w:rPr>
                <w:rFonts w:cs="Arial"/>
              </w:rPr>
              <w:t>0SRB0JZ</w:t>
            </w:r>
          </w:p>
        </w:tc>
        <w:tc>
          <w:tcPr>
            <w:tcW w:w="7556" w:type="dxa"/>
            <w:noWrap/>
            <w:vAlign w:val="center"/>
          </w:tcPr>
          <w:p w14:paraId="200B2C88" w14:textId="77777777" w:rsidR="004F7F0B" w:rsidRPr="000264DB" w:rsidRDefault="004F7F0B" w:rsidP="00696E8F">
            <w:pPr>
              <w:rPr>
                <w:rFonts w:cs="Arial"/>
              </w:rPr>
            </w:pPr>
            <w:r w:rsidRPr="000264DB">
              <w:rPr>
                <w:rFonts w:cs="Arial"/>
              </w:rPr>
              <w:t>Replacement of Left Hip Joint with Synthetic Substitute, Open Approach</w:t>
            </w:r>
          </w:p>
        </w:tc>
      </w:tr>
      <w:tr w:rsidR="004F7F0B" w:rsidRPr="000264DB" w14:paraId="2D261E81" w14:textId="77777777" w:rsidTr="00696E8F">
        <w:trPr>
          <w:trHeight w:val="300"/>
          <w:jc w:val="center"/>
        </w:trPr>
        <w:tc>
          <w:tcPr>
            <w:tcW w:w="1890" w:type="dxa"/>
            <w:noWrap/>
            <w:vAlign w:val="center"/>
          </w:tcPr>
          <w:p w14:paraId="20A80383" w14:textId="77777777" w:rsidR="004F7F0B" w:rsidRPr="000264DB" w:rsidRDefault="004F7F0B" w:rsidP="00696E8F">
            <w:pPr>
              <w:rPr>
                <w:rFonts w:cs="Arial"/>
                <w:color w:val="000000"/>
              </w:rPr>
            </w:pPr>
            <w:r w:rsidRPr="000264DB">
              <w:rPr>
                <w:rFonts w:cs="Arial"/>
                <w:color w:val="000000"/>
              </w:rPr>
              <w:t>0SRE009</w:t>
            </w:r>
          </w:p>
        </w:tc>
        <w:tc>
          <w:tcPr>
            <w:tcW w:w="7556" w:type="dxa"/>
            <w:noWrap/>
            <w:vAlign w:val="center"/>
          </w:tcPr>
          <w:p w14:paraId="689B695E" w14:textId="77777777" w:rsidR="004F7F0B" w:rsidRPr="000264DB" w:rsidRDefault="004F7F0B" w:rsidP="00696E8F">
            <w:pPr>
              <w:rPr>
                <w:rFonts w:cs="Arial"/>
                <w:color w:val="000000"/>
              </w:rPr>
            </w:pPr>
            <w:r w:rsidRPr="000264DB">
              <w:rPr>
                <w:rFonts w:cs="Arial"/>
                <w:color w:val="000000"/>
              </w:rPr>
              <w:t>Replacement of Left Hip Joint, Acetabular Surface with Polyethylene Synthetic Substitute, Cemented, Open Approach</w:t>
            </w:r>
          </w:p>
        </w:tc>
      </w:tr>
      <w:tr w:rsidR="004F7F0B" w:rsidRPr="000264DB" w14:paraId="43B4164B" w14:textId="77777777" w:rsidTr="00696E8F">
        <w:trPr>
          <w:trHeight w:val="300"/>
          <w:jc w:val="center"/>
        </w:trPr>
        <w:tc>
          <w:tcPr>
            <w:tcW w:w="1890" w:type="dxa"/>
            <w:noWrap/>
            <w:vAlign w:val="center"/>
          </w:tcPr>
          <w:p w14:paraId="2A6D0F29" w14:textId="77777777" w:rsidR="004F7F0B" w:rsidRPr="000264DB" w:rsidRDefault="004F7F0B" w:rsidP="00696E8F">
            <w:pPr>
              <w:rPr>
                <w:rFonts w:cs="Arial"/>
                <w:color w:val="000000"/>
              </w:rPr>
            </w:pPr>
            <w:r w:rsidRPr="000264DB">
              <w:rPr>
                <w:rFonts w:cs="Arial"/>
                <w:color w:val="000000"/>
              </w:rPr>
              <w:t>0SRE00A</w:t>
            </w:r>
          </w:p>
        </w:tc>
        <w:tc>
          <w:tcPr>
            <w:tcW w:w="7556" w:type="dxa"/>
            <w:noWrap/>
            <w:vAlign w:val="center"/>
          </w:tcPr>
          <w:p w14:paraId="34EB58A2" w14:textId="77777777" w:rsidR="004F7F0B" w:rsidRPr="000264DB" w:rsidRDefault="004F7F0B" w:rsidP="00696E8F">
            <w:pPr>
              <w:rPr>
                <w:rFonts w:cs="Arial"/>
                <w:color w:val="000000"/>
              </w:rPr>
            </w:pPr>
            <w:r w:rsidRPr="000264DB">
              <w:rPr>
                <w:rFonts w:cs="Arial"/>
                <w:color w:val="000000"/>
              </w:rPr>
              <w:t>Replacement of Left Hip Joint, Acetabular Surface with Polyethylene Synthetic Substitute, Uncemented, Open Approach</w:t>
            </w:r>
          </w:p>
        </w:tc>
      </w:tr>
      <w:tr w:rsidR="004F7F0B" w:rsidRPr="000264DB" w14:paraId="1854F8A5" w14:textId="77777777" w:rsidTr="00696E8F">
        <w:trPr>
          <w:trHeight w:val="300"/>
          <w:jc w:val="center"/>
        </w:trPr>
        <w:tc>
          <w:tcPr>
            <w:tcW w:w="1890" w:type="dxa"/>
            <w:noWrap/>
            <w:vAlign w:val="center"/>
          </w:tcPr>
          <w:p w14:paraId="6EC8141C" w14:textId="77777777" w:rsidR="004F7F0B" w:rsidRPr="000264DB" w:rsidRDefault="004F7F0B" w:rsidP="00696E8F">
            <w:pPr>
              <w:rPr>
                <w:rFonts w:cs="Arial"/>
                <w:color w:val="000000"/>
              </w:rPr>
            </w:pPr>
            <w:r w:rsidRPr="000264DB">
              <w:rPr>
                <w:rFonts w:cs="Arial"/>
                <w:color w:val="000000"/>
              </w:rPr>
              <w:t>0SRE00Z</w:t>
            </w:r>
          </w:p>
        </w:tc>
        <w:tc>
          <w:tcPr>
            <w:tcW w:w="7556" w:type="dxa"/>
            <w:noWrap/>
            <w:vAlign w:val="center"/>
          </w:tcPr>
          <w:p w14:paraId="0CB86059" w14:textId="77777777" w:rsidR="004F7F0B" w:rsidRPr="000264DB" w:rsidRDefault="004F7F0B" w:rsidP="00696E8F">
            <w:pPr>
              <w:rPr>
                <w:rFonts w:cs="Arial"/>
                <w:color w:val="000000"/>
              </w:rPr>
            </w:pPr>
            <w:r w:rsidRPr="000264DB">
              <w:rPr>
                <w:rFonts w:cs="Arial"/>
                <w:color w:val="000000"/>
              </w:rPr>
              <w:t>Replacement of Left Hip Joint, Acetabular Surface with Polyethylene Synthetic Substitute, Open Approach</w:t>
            </w:r>
          </w:p>
        </w:tc>
      </w:tr>
      <w:tr w:rsidR="004F7F0B" w:rsidRPr="000264DB" w14:paraId="1D228CCB" w14:textId="77777777" w:rsidTr="00696E8F">
        <w:trPr>
          <w:trHeight w:val="300"/>
          <w:jc w:val="center"/>
        </w:trPr>
        <w:tc>
          <w:tcPr>
            <w:tcW w:w="1890" w:type="dxa"/>
            <w:noWrap/>
            <w:vAlign w:val="center"/>
          </w:tcPr>
          <w:p w14:paraId="0ED3A245" w14:textId="77777777" w:rsidR="004F7F0B" w:rsidRPr="000264DB" w:rsidRDefault="004F7F0B" w:rsidP="00696E8F">
            <w:pPr>
              <w:rPr>
                <w:rFonts w:cs="Arial"/>
                <w:color w:val="000000"/>
              </w:rPr>
            </w:pPr>
            <w:r w:rsidRPr="000264DB">
              <w:rPr>
                <w:rFonts w:cs="Arial"/>
                <w:color w:val="000000"/>
              </w:rPr>
              <w:t>0SRE019</w:t>
            </w:r>
          </w:p>
        </w:tc>
        <w:tc>
          <w:tcPr>
            <w:tcW w:w="7556" w:type="dxa"/>
            <w:noWrap/>
            <w:vAlign w:val="center"/>
          </w:tcPr>
          <w:p w14:paraId="6804D9C0" w14:textId="77777777" w:rsidR="004F7F0B" w:rsidRPr="000264DB" w:rsidRDefault="004F7F0B" w:rsidP="00696E8F">
            <w:pPr>
              <w:rPr>
                <w:rFonts w:cs="Arial"/>
                <w:color w:val="000000"/>
              </w:rPr>
            </w:pPr>
            <w:r w:rsidRPr="000264DB">
              <w:rPr>
                <w:rFonts w:cs="Arial"/>
                <w:color w:val="000000"/>
              </w:rPr>
              <w:t>Replacement of Left Hip Joint, Acetabular Surface with Metal Synthetic Substitute, Cemented, Open Approach</w:t>
            </w:r>
          </w:p>
        </w:tc>
      </w:tr>
      <w:tr w:rsidR="004F7F0B" w:rsidRPr="000264DB" w14:paraId="28ADAC0B" w14:textId="77777777" w:rsidTr="00696E8F">
        <w:trPr>
          <w:trHeight w:val="300"/>
          <w:jc w:val="center"/>
        </w:trPr>
        <w:tc>
          <w:tcPr>
            <w:tcW w:w="1890" w:type="dxa"/>
            <w:noWrap/>
            <w:vAlign w:val="center"/>
          </w:tcPr>
          <w:p w14:paraId="51800CC1" w14:textId="77777777" w:rsidR="004F7F0B" w:rsidRPr="000264DB" w:rsidRDefault="004F7F0B" w:rsidP="00696E8F">
            <w:pPr>
              <w:rPr>
                <w:rFonts w:cs="Arial"/>
                <w:color w:val="000000"/>
              </w:rPr>
            </w:pPr>
            <w:r w:rsidRPr="000264DB">
              <w:rPr>
                <w:rFonts w:cs="Arial"/>
                <w:color w:val="000000"/>
              </w:rPr>
              <w:lastRenderedPageBreak/>
              <w:t>0SRE01A</w:t>
            </w:r>
          </w:p>
        </w:tc>
        <w:tc>
          <w:tcPr>
            <w:tcW w:w="7556" w:type="dxa"/>
            <w:noWrap/>
            <w:vAlign w:val="center"/>
          </w:tcPr>
          <w:p w14:paraId="38762D1E" w14:textId="77777777" w:rsidR="004F7F0B" w:rsidRPr="000264DB" w:rsidRDefault="004F7F0B" w:rsidP="00696E8F">
            <w:pPr>
              <w:rPr>
                <w:rFonts w:cs="Arial"/>
                <w:color w:val="000000"/>
              </w:rPr>
            </w:pPr>
            <w:r w:rsidRPr="000264DB">
              <w:rPr>
                <w:rFonts w:cs="Arial"/>
                <w:color w:val="000000"/>
              </w:rPr>
              <w:t>Replacement of Left Hip Joint, Acetabular Surface with Metal Synthetic Substitute, Uncemented, Open Approach</w:t>
            </w:r>
          </w:p>
        </w:tc>
      </w:tr>
      <w:tr w:rsidR="004F7F0B" w:rsidRPr="000264DB" w14:paraId="348C8CE2" w14:textId="77777777" w:rsidTr="00696E8F">
        <w:trPr>
          <w:trHeight w:val="300"/>
          <w:jc w:val="center"/>
        </w:trPr>
        <w:tc>
          <w:tcPr>
            <w:tcW w:w="1890" w:type="dxa"/>
            <w:noWrap/>
            <w:vAlign w:val="center"/>
          </w:tcPr>
          <w:p w14:paraId="29ADFB2A" w14:textId="77777777" w:rsidR="004F7F0B" w:rsidRPr="000264DB" w:rsidRDefault="004F7F0B" w:rsidP="00696E8F">
            <w:pPr>
              <w:rPr>
                <w:rFonts w:cs="Arial"/>
                <w:color w:val="000000"/>
              </w:rPr>
            </w:pPr>
            <w:r w:rsidRPr="000264DB">
              <w:rPr>
                <w:rFonts w:cs="Arial"/>
                <w:color w:val="000000"/>
              </w:rPr>
              <w:t>0SRE01Z</w:t>
            </w:r>
          </w:p>
        </w:tc>
        <w:tc>
          <w:tcPr>
            <w:tcW w:w="7556" w:type="dxa"/>
            <w:noWrap/>
            <w:vAlign w:val="center"/>
          </w:tcPr>
          <w:p w14:paraId="12893395" w14:textId="77777777" w:rsidR="004F7F0B" w:rsidRPr="000264DB" w:rsidRDefault="004F7F0B" w:rsidP="00696E8F">
            <w:pPr>
              <w:rPr>
                <w:rFonts w:cs="Arial"/>
                <w:color w:val="000000"/>
              </w:rPr>
            </w:pPr>
            <w:r w:rsidRPr="000264DB">
              <w:rPr>
                <w:rFonts w:cs="Arial"/>
                <w:color w:val="000000"/>
              </w:rPr>
              <w:t>Replacement of Left Hip Joint, Acetabular Surface with Metal Synthetic Substitute, Open Approach</w:t>
            </w:r>
          </w:p>
        </w:tc>
      </w:tr>
      <w:tr w:rsidR="004F7F0B" w:rsidRPr="000264DB" w14:paraId="2E3AE7F7" w14:textId="77777777" w:rsidTr="00696E8F">
        <w:trPr>
          <w:trHeight w:val="300"/>
          <w:jc w:val="center"/>
        </w:trPr>
        <w:tc>
          <w:tcPr>
            <w:tcW w:w="1890" w:type="dxa"/>
            <w:noWrap/>
            <w:vAlign w:val="center"/>
          </w:tcPr>
          <w:p w14:paraId="0F0584F5" w14:textId="77777777" w:rsidR="004F7F0B" w:rsidRPr="000264DB" w:rsidRDefault="004F7F0B" w:rsidP="00696E8F">
            <w:pPr>
              <w:rPr>
                <w:rFonts w:cs="Arial"/>
                <w:color w:val="000000"/>
              </w:rPr>
            </w:pPr>
            <w:r w:rsidRPr="000264DB">
              <w:rPr>
                <w:rFonts w:cs="Arial"/>
                <w:color w:val="000000"/>
              </w:rPr>
              <w:t>0SRE039</w:t>
            </w:r>
          </w:p>
        </w:tc>
        <w:tc>
          <w:tcPr>
            <w:tcW w:w="7556" w:type="dxa"/>
            <w:noWrap/>
            <w:vAlign w:val="center"/>
          </w:tcPr>
          <w:p w14:paraId="61CA7016" w14:textId="77777777" w:rsidR="004F7F0B" w:rsidRPr="000264DB" w:rsidRDefault="004F7F0B" w:rsidP="00696E8F">
            <w:pPr>
              <w:rPr>
                <w:rFonts w:cs="Arial"/>
                <w:color w:val="000000"/>
              </w:rPr>
            </w:pPr>
            <w:r w:rsidRPr="000264DB">
              <w:rPr>
                <w:rFonts w:cs="Arial"/>
                <w:color w:val="000000"/>
              </w:rPr>
              <w:t>Replacement of Left Hip Joint, Acetabular Surface with Ceramic Synthetic Substitute, Cemented, Open Approach</w:t>
            </w:r>
          </w:p>
        </w:tc>
      </w:tr>
      <w:tr w:rsidR="004F7F0B" w:rsidRPr="000264DB" w14:paraId="0D14A1D5" w14:textId="77777777" w:rsidTr="00696E8F">
        <w:trPr>
          <w:trHeight w:val="300"/>
          <w:jc w:val="center"/>
        </w:trPr>
        <w:tc>
          <w:tcPr>
            <w:tcW w:w="1890" w:type="dxa"/>
            <w:noWrap/>
            <w:vAlign w:val="center"/>
          </w:tcPr>
          <w:p w14:paraId="24E1BEC2" w14:textId="77777777" w:rsidR="004F7F0B" w:rsidRPr="000264DB" w:rsidRDefault="004F7F0B" w:rsidP="00696E8F">
            <w:pPr>
              <w:rPr>
                <w:rFonts w:cs="Arial"/>
                <w:color w:val="000000"/>
              </w:rPr>
            </w:pPr>
            <w:r w:rsidRPr="000264DB">
              <w:rPr>
                <w:rFonts w:cs="Arial"/>
                <w:color w:val="000000"/>
              </w:rPr>
              <w:t>0SRE03A</w:t>
            </w:r>
          </w:p>
        </w:tc>
        <w:tc>
          <w:tcPr>
            <w:tcW w:w="7556" w:type="dxa"/>
            <w:noWrap/>
            <w:vAlign w:val="center"/>
          </w:tcPr>
          <w:p w14:paraId="035FCBA8" w14:textId="77777777" w:rsidR="004F7F0B" w:rsidRPr="000264DB" w:rsidRDefault="004F7F0B" w:rsidP="00696E8F">
            <w:pPr>
              <w:rPr>
                <w:rFonts w:cs="Arial"/>
                <w:color w:val="000000"/>
              </w:rPr>
            </w:pPr>
            <w:r w:rsidRPr="000264DB">
              <w:rPr>
                <w:rFonts w:cs="Arial"/>
                <w:color w:val="000000"/>
              </w:rPr>
              <w:t>Replacement of Left Hip Joint, Acetabular Surface with Ceramic Synthetic Substitute, Uncemented, Open Approach</w:t>
            </w:r>
          </w:p>
        </w:tc>
      </w:tr>
      <w:tr w:rsidR="004F7F0B" w:rsidRPr="000264DB" w14:paraId="2A959F6D" w14:textId="77777777" w:rsidTr="00696E8F">
        <w:trPr>
          <w:trHeight w:val="300"/>
          <w:jc w:val="center"/>
        </w:trPr>
        <w:tc>
          <w:tcPr>
            <w:tcW w:w="1890" w:type="dxa"/>
            <w:noWrap/>
            <w:vAlign w:val="center"/>
          </w:tcPr>
          <w:p w14:paraId="6B912BE3" w14:textId="77777777" w:rsidR="004F7F0B" w:rsidRPr="000264DB" w:rsidRDefault="004F7F0B" w:rsidP="00696E8F">
            <w:pPr>
              <w:rPr>
                <w:rFonts w:cs="Arial"/>
                <w:color w:val="000000"/>
              </w:rPr>
            </w:pPr>
            <w:r w:rsidRPr="000264DB">
              <w:rPr>
                <w:rFonts w:cs="Arial"/>
                <w:color w:val="000000"/>
              </w:rPr>
              <w:t>0SRE03Z</w:t>
            </w:r>
          </w:p>
        </w:tc>
        <w:tc>
          <w:tcPr>
            <w:tcW w:w="7556" w:type="dxa"/>
            <w:noWrap/>
            <w:vAlign w:val="center"/>
          </w:tcPr>
          <w:p w14:paraId="3B4D968E" w14:textId="77777777" w:rsidR="004F7F0B" w:rsidRPr="000264DB" w:rsidRDefault="004F7F0B" w:rsidP="00696E8F">
            <w:pPr>
              <w:rPr>
                <w:rFonts w:cs="Arial"/>
                <w:color w:val="000000"/>
              </w:rPr>
            </w:pPr>
            <w:r w:rsidRPr="000264DB">
              <w:rPr>
                <w:rFonts w:cs="Arial"/>
                <w:color w:val="000000"/>
              </w:rPr>
              <w:t>Replacement of Left Hip Joint, Acetabular Surface with Ceramic Synthetic Substitute, Open Approach</w:t>
            </w:r>
          </w:p>
        </w:tc>
      </w:tr>
      <w:tr w:rsidR="004F7F0B" w:rsidRPr="000264DB" w14:paraId="127D80BB" w14:textId="77777777" w:rsidTr="00696E8F">
        <w:trPr>
          <w:trHeight w:val="300"/>
          <w:jc w:val="center"/>
        </w:trPr>
        <w:tc>
          <w:tcPr>
            <w:tcW w:w="1890" w:type="dxa"/>
            <w:noWrap/>
            <w:vAlign w:val="center"/>
          </w:tcPr>
          <w:p w14:paraId="4911EA45" w14:textId="77777777" w:rsidR="004F7F0B" w:rsidRPr="000264DB" w:rsidRDefault="004F7F0B" w:rsidP="00696E8F">
            <w:pPr>
              <w:rPr>
                <w:rFonts w:cs="Arial"/>
                <w:color w:val="000000"/>
              </w:rPr>
            </w:pPr>
            <w:r w:rsidRPr="000264DB">
              <w:rPr>
                <w:rFonts w:cs="Arial"/>
                <w:color w:val="000000"/>
              </w:rPr>
              <w:t>0SRE0J9</w:t>
            </w:r>
          </w:p>
        </w:tc>
        <w:tc>
          <w:tcPr>
            <w:tcW w:w="7556" w:type="dxa"/>
            <w:noWrap/>
            <w:vAlign w:val="center"/>
          </w:tcPr>
          <w:p w14:paraId="4F553275" w14:textId="77777777" w:rsidR="004F7F0B" w:rsidRPr="000264DB" w:rsidRDefault="004F7F0B" w:rsidP="00696E8F">
            <w:pPr>
              <w:rPr>
                <w:rFonts w:cs="Arial"/>
                <w:color w:val="000000"/>
              </w:rPr>
            </w:pPr>
            <w:r w:rsidRPr="000264DB">
              <w:rPr>
                <w:rFonts w:cs="Arial"/>
                <w:color w:val="000000"/>
              </w:rPr>
              <w:t>Replacement of Left Hip Joint, Acetabular Surface with Synthetic Substitute, Cemented, Open Approach</w:t>
            </w:r>
          </w:p>
        </w:tc>
      </w:tr>
      <w:tr w:rsidR="004F7F0B" w:rsidRPr="000264DB" w14:paraId="15992A0B" w14:textId="77777777" w:rsidTr="00696E8F">
        <w:trPr>
          <w:trHeight w:val="300"/>
          <w:jc w:val="center"/>
        </w:trPr>
        <w:tc>
          <w:tcPr>
            <w:tcW w:w="1890" w:type="dxa"/>
            <w:noWrap/>
            <w:vAlign w:val="center"/>
          </w:tcPr>
          <w:p w14:paraId="73C051AF" w14:textId="77777777" w:rsidR="004F7F0B" w:rsidRPr="000264DB" w:rsidRDefault="004F7F0B" w:rsidP="00696E8F">
            <w:pPr>
              <w:rPr>
                <w:rFonts w:cs="Arial"/>
                <w:color w:val="000000"/>
              </w:rPr>
            </w:pPr>
            <w:r w:rsidRPr="000264DB">
              <w:rPr>
                <w:rFonts w:cs="Arial"/>
                <w:color w:val="000000"/>
              </w:rPr>
              <w:t>0SRE0JA</w:t>
            </w:r>
          </w:p>
        </w:tc>
        <w:tc>
          <w:tcPr>
            <w:tcW w:w="7556" w:type="dxa"/>
            <w:noWrap/>
            <w:vAlign w:val="center"/>
          </w:tcPr>
          <w:p w14:paraId="340A98EA" w14:textId="77777777" w:rsidR="004F7F0B" w:rsidRPr="000264DB" w:rsidRDefault="004F7F0B" w:rsidP="00696E8F">
            <w:pPr>
              <w:rPr>
                <w:rFonts w:cs="Arial"/>
                <w:color w:val="000000"/>
              </w:rPr>
            </w:pPr>
            <w:r w:rsidRPr="000264DB">
              <w:rPr>
                <w:rFonts w:cs="Arial"/>
                <w:color w:val="000000"/>
              </w:rPr>
              <w:t>Replacement of Left Hip Joint, Acetabular Surface with Synthetic Substitute, Uncemented, Open Approach</w:t>
            </w:r>
          </w:p>
        </w:tc>
      </w:tr>
      <w:tr w:rsidR="004F7F0B" w:rsidRPr="000264DB" w14:paraId="06DD854F" w14:textId="77777777" w:rsidTr="00696E8F">
        <w:trPr>
          <w:trHeight w:val="300"/>
          <w:jc w:val="center"/>
        </w:trPr>
        <w:tc>
          <w:tcPr>
            <w:tcW w:w="1890" w:type="dxa"/>
            <w:noWrap/>
            <w:vAlign w:val="center"/>
          </w:tcPr>
          <w:p w14:paraId="2FEEA417" w14:textId="77777777" w:rsidR="004F7F0B" w:rsidRPr="000264DB" w:rsidRDefault="004F7F0B" w:rsidP="00696E8F">
            <w:pPr>
              <w:rPr>
                <w:rFonts w:cs="Arial"/>
                <w:color w:val="000000"/>
              </w:rPr>
            </w:pPr>
            <w:r w:rsidRPr="000264DB">
              <w:rPr>
                <w:rFonts w:cs="Arial"/>
                <w:color w:val="000000"/>
              </w:rPr>
              <w:t>0SRE0JZ</w:t>
            </w:r>
          </w:p>
        </w:tc>
        <w:tc>
          <w:tcPr>
            <w:tcW w:w="7556" w:type="dxa"/>
            <w:noWrap/>
            <w:vAlign w:val="center"/>
          </w:tcPr>
          <w:p w14:paraId="7119D3C1" w14:textId="77777777" w:rsidR="004F7F0B" w:rsidRPr="000264DB" w:rsidRDefault="004F7F0B" w:rsidP="00696E8F">
            <w:pPr>
              <w:rPr>
                <w:rFonts w:cs="Arial"/>
                <w:color w:val="000000"/>
              </w:rPr>
            </w:pPr>
            <w:r w:rsidRPr="000264DB">
              <w:rPr>
                <w:rFonts w:cs="Arial"/>
                <w:color w:val="000000"/>
              </w:rPr>
              <w:t>Replacement of Left Hip Joint, Acetabular Surface with Synthetic Substitute, Open Approach</w:t>
            </w:r>
          </w:p>
        </w:tc>
      </w:tr>
      <w:tr w:rsidR="002911AD" w:rsidRPr="000264DB" w14:paraId="067EC369" w14:textId="77777777" w:rsidTr="00696E8F">
        <w:trPr>
          <w:trHeight w:val="300"/>
          <w:jc w:val="center"/>
        </w:trPr>
        <w:tc>
          <w:tcPr>
            <w:tcW w:w="1890" w:type="dxa"/>
            <w:noWrap/>
            <w:vAlign w:val="center"/>
          </w:tcPr>
          <w:p w14:paraId="329762F9" w14:textId="66FE86A8" w:rsidR="002911AD" w:rsidRPr="000264DB" w:rsidRDefault="002911AD" w:rsidP="00696E8F">
            <w:pPr>
              <w:rPr>
                <w:rFonts w:cs="Arial"/>
                <w:color w:val="000000"/>
              </w:rPr>
            </w:pPr>
            <w:r w:rsidRPr="00F02B7E">
              <w:rPr>
                <w:rFonts w:cs="Arial"/>
              </w:rPr>
              <w:t>0SR9069</w:t>
            </w:r>
          </w:p>
        </w:tc>
        <w:tc>
          <w:tcPr>
            <w:tcW w:w="7556" w:type="dxa"/>
            <w:noWrap/>
            <w:vAlign w:val="center"/>
          </w:tcPr>
          <w:p w14:paraId="74BCB528" w14:textId="4D80D95C" w:rsidR="002911AD" w:rsidRPr="000264DB" w:rsidRDefault="002911AD" w:rsidP="00696E8F">
            <w:pPr>
              <w:rPr>
                <w:rFonts w:cs="Arial"/>
                <w:color w:val="000000"/>
              </w:rPr>
            </w:pPr>
            <w:r w:rsidRPr="00F02B7E">
              <w:rPr>
                <w:rFonts w:cs="Arial"/>
              </w:rPr>
              <w:t>Replacement of Right Hip Joint with Oxidized Zirconium on Polyethylene Synthetic Substitute, Cemented, Open Approach</w:t>
            </w:r>
          </w:p>
        </w:tc>
      </w:tr>
      <w:tr w:rsidR="002911AD" w:rsidRPr="000264DB" w14:paraId="5EDC5477" w14:textId="77777777" w:rsidTr="00696E8F">
        <w:trPr>
          <w:trHeight w:val="300"/>
          <w:jc w:val="center"/>
        </w:trPr>
        <w:tc>
          <w:tcPr>
            <w:tcW w:w="1890" w:type="dxa"/>
            <w:noWrap/>
            <w:vAlign w:val="center"/>
          </w:tcPr>
          <w:p w14:paraId="76013434" w14:textId="631F81B3" w:rsidR="002911AD" w:rsidRPr="000264DB" w:rsidRDefault="002911AD" w:rsidP="00696E8F">
            <w:pPr>
              <w:rPr>
                <w:rFonts w:cs="Arial"/>
                <w:color w:val="000000"/>
              </w:rPr>
            </w:pPr>
            <w:r w:rsidRPr="00F02B7E">
              <w:rPr>
                <w:rFonts w:cs="Arial"/>
              </w:rPr>
              <w:t>0SR906A</w:t>
            </w:r>
          </w:p>
        </w:tc>
        <w:tc>
          <w:tcPr>
            <w:tcW w:w="7556" w:type="dxa"/>
            <w:noWrap/>
            <w:vAlign w:val="center"/>
          </w:tcPr>
          <w:p w14:paraId="273CB444" w14:textId="4ABFA3B7" w:rsidR="002911AD" w:rsidRPr="000264DB" w:rsidRDefault="002911AD" w:rsidP="00696E8F">
            <w:pPr>
              <w:rPr>
                <w:rFonts w:cs="Arial"/>
                <w:color w:val="000000"/>
              </w:rPr>
            </w:pPr>
            <w:r w:rsidRPr="00F02B7E">
              <w:rPr>
                <w:rFonts w:cs="Arial"/>
              </w:rPr>
              <w:t>Replacement of Right Hip Joint with Oxidized Zirconium on Polyethylene Synthetic Substitute, Uncemented, Open Approach</w:t>
            </w:r>
          </w:p>
        </w:tc>
      </w:tr>
      <w:tr w:rsidR="002911AD" w:rsidRPr="000264DB" w14:paraId="13136C40" w14:textId="77777777" w:rsidTr="00696E8F">
        <w:trPr>
          <w:trHeight w:val="300"/>
          <w:jc w:val="center"/>
        </w:trPr>
        <w:tc>
          <w:tcPr>
            <w:tcW w:w="1890" w:type="dxa"/>
            <w:noWrap/>
            <w:vAlign w:val="center"/>
          </w:tcPr>
          <w:p w14:paraId="0BABF5C1" w14:textId="34F88EB4" w:rsidR="002911AD" w:rsidRPr="000264DB" w:rsidRDefault="002911AD" w:rsidP="00696E8F">
            <w:pPr>
              <w:rPr>
                <w:rFonts w:cs="Arial"/>
                <w:color w:val="000000"/>
              </w:rPr>
            </w:pPr>
            <w:r w:rsidRPr="00F02B7E">
              <w:rPr>
                <w:rFonts w:cs="Arial"/>
              </w:rPr>
              <w:t>0SR906Z</w:t>
            </w:r>
          </w:p>
        </w:tc>
        <w:tc>
          <w:tcPr>
            <w:tcW w:w="7556" w:type="dxa"/>
            <w:noWrap/>
            <w:vAlign w:val="center"/>
          </w:tcPr>
          <w:p w14:paraId="5EFFB6C4" w14:textId="3E876675" w:rsidR="002911AD" w:rsidRPr="000264DB" w:rsidRDefault="002911AD" w:rsidP="00696E8F">
            <w:pPr>
              <w:rPr>
                <w:rFonts w:cs="Arial"/>
                <w:color w:val="000000"/>
              </w:rPr>
            </w:pPr>
            <w:r w:rsidRPr="00F02B7E">
              <w:rPr>
                <w:rFonts w:cs="Arial"/>
              </w:rPr>
              <w:t>Replacement of Right Hip Joint with Oxidized Zirconium on Polyethylene Synthetic Substitute, Open Approach</w:t>
            </w:r>
          </w:p>
        </w:tc>
      </w:tr>
      <w:tr w:rsidR="002911AD" w:rsidRPr="000264DB" w14:paraId="37B594B6" w14:textId="77777777" w:rsidTr="00696E8F">
        <w:trPr>
          <w:trHeight w:val="300"/>
          <w:jc w:val="center"/>
        </w:trPr>
        <w:tc>
          <w:tcPr>
            <w:tcW w:w="1890" w:type="dxa"/>
            <w:noWrap/>
            <w:vAlign w:val="center"/>
          </w:tcPr>
          <w:p w14:paraId="38FC3033" w14:textId="6B7272E3" w:rsidR="002911AD" w:rsidRPr="000264DB" w:rsidRDefault="002911AD" w:rsidP="00696E8F">
            <w:pPr>
              <w:rPr>
                <w:rFonts w:cs="Arial"/>
                <w:color w:val="000000"/>
              </w:rPr>
            </w:pPr>
            <w:r w:rsidRPr="00F02B7E">
              <w:rPr>
                <w:rFonts w:cs="Arial"/>
              </w:rPr>
              <w:t>0SRB069</w:t>
            </w:r>
          </w:p>
        </w:tc>
        <w:tc>
          <w:tcPr>
            <w:tcW w:w="7556" w:type="dxa"/>
            <w:noWrap/>
            <w:vAlign w:val="center"/>
          </w:tcPr>
          <w:p w14:paraId="3DD1E11B" w14:textId="20AE6D3F" w:rsidR="002911AD" w:rsidRPr="000264DB" w:rsidRDefault="002911AD" w:rsidP="00696E8F">
            <w:pPr>
              <w:rPr>
                <w:rFonts w:cs="Arial"/>
                <w:color w:val="000000"/>
              </w:rPr>
            </w:pPr>
            <w:r w:rsidRPr="00F02B7E">
              <w:rPr>
                <w:rFonts w:cs="Arial"/>
              </w:rPr>
              <w:t>Replacement of Left Hip Joint with Oxidized Zirconium on Polyethylene Synthetic Substitute, Cemented, Open Approach</w:t>
            </w:r>
          </w:p>
        </w:tc>
      </w:tr>
      <w:tr w:rsidR="002911AD" w:rsidRPr="000264DB" w14:paraId="6C7CD415" w14:textId="77777777" w:rsidTr="00696E8F">
        <w:trPr>
          <w:trHeight w:val="300"/>
          <w:jc w:val="center"/>
        </w:trPr>
        <w:tc>
          <w:tcPr>
            <w:tcW w:w="1890" w:type="dxa"/>
            <w:noWrap/>
            <w:vAlign w:val="center"/>
          </w:tcPr>
          <w:p w14:paraId="452AD321" w14:textId="5EA1CA40" w:rsidR="002911AD" w:rsidRPr="000264DB" w:rsidRDefault="002911AD" w:rsidP="00696E8F">
            <w:pPr>
              <w:rPr>
                <w:rFonts w:cs="Arial"/>
                <w:color w:val="000000"/>
              </w:rPr>
            </w:pPr>
            <w:r w:rsidRPr="00F02B7E">
              <w:rPr>
                <w:rFonts w:cs="Arial"/>
              </w:rPr>
              <w:t>0SRB06A</w:t>
            </w:r>
          </w:p>
        </w:tc>
        <w:tc>
          <w:tcPr>
            <w:tcW w:w="7556" w:type="dxa"/>
            <w:noWrap/>
            <w:vAlign w:val="center"/>
          </w:tcPr>
          <w:p w14:paraId="16F26797" w14:textId="7FD8D436" w:rsidR="002911AD" w:rsidRPr="000264DB" w:rsidRDefault="002911AD" w:rsidP="00696E8F">
            <w:pPr>
              <w:rPr>
                <w:rFonts w:cs="Arial"/>
                <w:color w:val="000000"/>
              </w:rPr>
            </w:pPr>
            <w:r w:rsidRPr="00F02B7E">
              <w:rPr>
                <w:rFonts w:cs="Arial"/>
              </w:rPr>
              <w:t>Replacement of Left Hip Joint with Oxidized Zirconium on Polyethylene Synthetic Substitute, Uncemented, Open Approach</w:t>
            </w:r>
          </w:p>
        </w:tc>
      </w:tr>
      <w:tr w:rsidR="002911AD" w:rsidRPr="000264DB" w14:paraId="641437FB" w14:textId="77777777" w:rsidTr="00696E8F">
        <w:trPr>
          <w:trHeight w:val="300"/>
          <w:jc w:val="center"/>
        </w:trPr>
        <w:tc>
          <w:tcPr>
            <w:tcW w:w="1890" w:type="dxa"/>
            <w:noWrap/>
            <w:vAlign w:val="center"/>
          </w:tcPr>
          <w:p w14:paraId="2ABC084D" w14:textId="3C520917" w:rsidR="002911AD" w:rsidRPr="000264DB" w:rsidRDefault="002911AD" w:rsidP="00696E8F">
            <w:pPr>
              <w:rPr>
                <w:rFonts w:cs="Arial"/>
                <w:color w:val="000000"/>
              </w:rPr>
            </w:pPr>
            <w:r w:rsidRPr="00F02B7E">
              <w:rPr>
                <w:rFonts w:cs="Arial"/>
              </w:rPr>
              <w:t>0SRB06Z</w:t>
            </w:r>
          </w:p>
        </w:tc>
        <w:tc>
          <w:tcPr>
            <w:tcW w:w="7556" w:type="dxa"/>
            <w:noWrap/>
            <w:vAlign w:val="center"/>
          </w:tcPr>
          <w:p w14:paraId="0A972933" w14:textId="3233795E" w:rsidR="002911AD" w:rsidRPr="000264DB" w:rsidRDefault="002911AD" w:rsidP="00696E8F">
            <w:pPr>
              <w:rPr>
                <w:rFonts w:cs="Arial"/>
                <w:color w:val="000000"/>
              </w:rPr>
            </w:pPr>
            <w:r w:rsidRPr="00F02B7E">
              <w:rPr>
                <w:rFonts w:cs="Arial"/>
              </w:rPr>
              <w:t>Replacement of Left Hip Joint with Oxidized Zirconium on Polyethylene Synthetic Substitute, Open Approach</w:t>
            </w:r>
          </w:p>
        </w:tc>
      </w:tr>
    </w:tbl>
    <w:p w14:paraId="3900C606" w14:textId="77777777" w:rsidR="00A05F36" w:rsidRDefault="00A05F36" w:rsidP="00BC1491">
      <w:pPr>
        <w:rPr>
          <w:rFonts w:cs="Arial"/>
          <w:b/>
        </w:rPr>
      </w:pPr>
    </w:p>
    <w:p w14:paraId="12484F09" w14:textId="7CDB6A94" w:rsidR="002911AD" w:rsidRPr="002911AD" w:rsidRDefault="002911AD" w:rsidP="002911AD">
      <w:pPr>
        <w:rPr>
          <w:rFonts w:cs="Arial"/>
          <w:b/>
        </w:rPr>
      </w:pPr>
      <w:r w:rsidRPr="002911AD">
        <w:rPr>
          <w:rFonts w:cs="Arial"/>
          <w:b/>
        </w:rPr>
        <w:t>CPT Total Hip Replacement Procedure Code</w:t>
      </w:r>
    </w:p>
    <w:p w14:paraId="7B0CCD27" w14:textId="77777777" w:rsidR="002911AD" w:rsidRPr="002911AD" w:rsidRDefault="002911AD" w:rsidP="002911AD">
      <w:pPr>
        <w:rPr>
          <w:rFonts w:cs="Arial"/>
          <w:b/>
        </w:rPr>
      </w:pPr>
    </w:p>
    <w:p w14:paraId="1EBFDF91" w14:textId="2BBF1D3F" w:rsidR="00D51874" w:rsidRDefault="00D51874" w:rsidP="00D51874">
      <w:pPr>
        <w:rPr>
          <w:lang w:eastAsia="ja-JP"/>
        </w:rPr>
      </w:pPr>
      <w:r w:rsidRPr="00222413">
        <w:rPr>
          <w:lang w:eastAsia="ja-JP"/>
        </w:rPr>
        <w:t>Leapfrog has provi</w:t>
      </w:r>
      <w:r>
        <w:rPr>
          <w:lang w:eastAsia="ja-JP"/>
        </w:rPr>
        <w:t>ded a CPT code</w:t>
      </w:r>
      <w:r w:rsidRPr="00222413">
        <w:rPr>
          <w:lang w:eastAsia="ja-JP"/>
        </w:rPr>
        <w:t xml:space="preserve"> for counting </w:t>
      </w:r>
      <w:r w:rsidRPr="00222413">
        <w:rPr>
          <w:b/>
          <w:lang w:eastAsia="ja-JP"/>
        </w:rPr>
        <w:t>patients</w:t>
      </w:r>
      <w:r>
        <w:rPr>
          <w:lang w:eastAsia="ja-JP"/>
        </w:rPr>
        <w:t xml:space="preserve"> </w:t>
      </w:r>
      <w:r w:rsidRPr="00222413">
        <w:rPr>
          <w:lang w:eastAsia="ja-JP"/>
        </w:rPr>
        <w:t xml:space="preserve">discharged from your </w:t>
      </w:r>
      <w:r>
        <w:rPr>
          <w:lang w:eastAsia="ja-JP"/>
        </w:rPr>
        <w:t>hospital</w:t>
      </w:r>
      <w:r w:rsidRPr="00222413">
        <w:rPr>
          <w:lang w:eastAsia="ja-JP"/>
        </w:rPr>
        <w:t xml:space="preserve"> who have undergone </w:t>
      </w:r>
      <w:r>
        <w:rPr>
          <w:lang w:eastAsia="ja-JP"/>
        </w:rPr>
        <w:t>the procedure</w:t>
      </w:r>
      <w:r w:rsidRPr="00222413">
        <w:rPr>
          <w:lang w:eastAsia="ja-JP"/>
        </w:rPr>
        <w:t xml:space="preserve"> during the reporting period</w:t>
      </w:r>
      <w:r w:rsidR="00205F20">
        <w:rPr>
          <w:lang w:eastAsia="ja-JP"/>
        </w:rPr>
        <w:t xml:space="preserve"> on an outpatient basis</w:t>
      </w:r>
      <w:r w:rsidRPr="00222413">
        <w:rPr>
          <w:lang w:eastAsia="ja-JP"/>
        </w:rPr>
        <w:t xml:space="preserve">. </w:t>
      </w:r>
    </w:p>
    <w:p w14:paraId="41F08A1A" w14:textId="77777777" w:rsidR="00D51874" w:rsidRDefault="00D51874" w:rsidP="00D51874">
      <w:pPr>
        <w:rPr>
          <w:lang w:eastAsia="ja-JP"/>
        </w:rPr>
      </w:pPr>
    </w:p>
    <w:p w14:paraId="43EEEBC6" w14:textId="2FE8ECD1" w:rsidR="00D51874" w:rsidRPr="00D51874" w:rsidRDefault="00D51874" w:rsidP="00D51874">
      <w:pPr>
        <w:rPr>
          <w:rFonts w:cs="Arial"/>
          <w:lang w:eastAsia="ja-JP"/>
        </w:rPr>
      </w:pPr>
      <w:r w:rsidRPr="00D51874">
        <w:rPr>
          <w:rFonts w:cs="Arial"/>
          <w:lang w:eastAsia="ja-JP"/>
        </w:rPr>
        <w:t xml:space="preserve">CPT Codes are provided in downloadable </w:t>
      </w:r>
      <w:r w:rsidR="0040556C">
        <w:rPr>
          <w:rFonts w:cs="Arial"/>
          <w:lang w:eastAsia="ja-JP"/>
        </w:rPr>
        <w:t>E</w:t>
      </w:r>
      <w:r w:rsidRPr="00D51874">
        <w:rPr>
          <w:rFonts w:cs="Arial"/>
          <w:lang w:eastAsia="ja-JP"/>
        </w:rPr>
        <w:t xml:space="preserve">xcel files </w:t>
      </w:r>
      <w:r w:rsidR="002F0A2E">
        <w:rPr>
          <w:rFonts w:cs="Arial"/>
          <w:lang w:eastAsia="ja-JP"/>
        </w:rPr>
        <w:t>on the Survey Dashboard</w:t>
      </w:r>
      <w:r w:rsidRPr="00D51874">
        <w:rPr>
          <w:rFonts w:cs="Arial"/>
          <w:lang w:eastAsia="ja-JP"/>
        </w:rPr>
        <w:t xml:space="preserve">. To access the files, click the CPT Code Workbook button </w:t>
      </w:r>
      <w:r w:rsidRPr="00D51874">
        <w:rPr>
          <w:rStyle w:val="Hyperlink"/>
          <w:rFonts w:cs="Arial"/>
          <w:color w:val="auto"/>
          <w:u w:val="none"/>
          <w:lang w:eastAsia="ja-JP"/>
        </w:rPr>
        <w:t>next to Section 9</w:t>
      </w:r>
      <w:r w:rsidR="001878B5">
        <w:rPr>
          <w:rStyle w:val="Hyperlink"/>
          <w:rFonts w:cs="Arial"/>
          <w:color w:val="auto"/>
          <w:u w:val="none"/>
          <w:lang w:eastAsia="ja-JP"/>
        </w:rPr>
        <w:t>.</w:t>
      </w:r>
      <w:r w:rsidRPr="00D51874">
        <w:rPr>
          <w:rStyle w:val="Hyperlink"/>
          <w:rFonts w:cs="Arial"/>
          <w:color w:val="auto"/>
          <w:u w:val="none"/>
          <w:lang w:eastAsia="ja-JP"/>
        </w:rPr>
        <w:t xml:space="preserve"> </w:t>
      </w:r>
      <w:r w:rsidR="00205F20">
        <w:rPr>
          <w:rFonts w:cs="Arial"/>
          <w:lang w:eastAsia="ja-JP"/>
        </w:rPr>
        <w:t>Y</w:t>
      </w:r>
      <w:r w:rsidRPr="00D51874">
        <w:rPr>
          <w:rFonts w:cs="Arial"/>
          <w:lang w:eastAsia="ja-JP"/>
        </w:rPr>
        <w:t>ou will be required to complete the American Medical Association’s Terms of Use</w:t>
      </w:r>
      <w:r w:rsidRPr="00D51874">
        <w:rPr>
          <w:lang w:eastAsia="ja-JP"/>
        </w:rPr>
        <w:t xml:space="preserve"> before downloading the </w:t>
      </w:r>
      <w:r w:rsidR="0040556C">
        <w:rPr>
          <w:lang w:eastAsia="ja-JP"/>
        </w:rPr>
        <w:t>E</w:t>
      </w:r>
      <w:r w:rsidRPr="00D51874">
        <w:rPr>
          <w:lang w:eastAsia="ja-JP"/>
        </w:rPr>
        <w:t xml:space="preserve">xcel file and using the individual CPT codes to query </w:t>
      </w:r>
      <w:r w:rsidR="0054340E">
        <w:rPr>
          <w:lang w:eastAsia="ja-JP"/>
        </w:rPr>
        <w:t xml:space="preserve">your </w:t>
      </w:r>
      <w:r w:rsidRPr="00D51874">
        <w:rPr>
          <w:lang w:eastAsia="ja-JP"/>
        </w:rPr>
        <w:t xml:space="preserve">EHR or billing system. </w:t>
      </w:r>
      <w:r w:rsidRPr="00D51874">
        <w:rPr>
          <w:rFonts w:cs="Arial"/>
          <w:lang w:eastAsia="ja-JP"/>
        </w:rPr>
        <w:t xml:space="preserve">You are only required to complete the Terms of Use once per Survey Cycle (April 1 – November 30). </w:t>
      </w:r>
    </w:p>
    <w:p w14:paraId="3FD7ED16" w14:textId="77777777" w:rsidR="00D51874" w:rsidRPr="00D51874" w:rsidRDefault="00D51874" w:rsidP="00D51874">
      <w:pPr>
        <w:rPr>
          <w:rFonts w:cs="Arial"/>
          <w:lang w:eastAsia="ja-JP"/>
        </w:rPr>
      </w:pPr>
    </w:p>
    <w:p w14:paraId="6B786E25" w14:textId="6BB3371F" w:rsidR="00D51874" w:rsidRDefault="009F5014" w:rsidP="00FB41BD">
      <w:pPr>
        <w:rPr>
          <w:rFonts w:cs="Arial"/>
          <w:lang w:eastAsia="ja-JP"/>
        </w:rPr>
      </w:pPr>
      <w:r>
        <w:rPr>
          <w:rFonts w:cs="Arial"/>
          <w:lang w:eastAsia="ja-JP"/>
        </w:rPr>
        <w:t xml:space="preserve">The </w:t>
      </w:r>
      <w:r w:rsidR="00D51874" w:rsidRPr="00D51874">
        <w:rPr>
          <w:rFonts w:cs="Arial"/>
          <w:lang w:eastAsia="ja-JP"/>
        </w:rPr>
        <w:t>CPT Code Workbook</w:t>
      </w:r>
      <w:r>
        <w:rPr>
          <w:rFonts w:cs="Arial"/>
          <w:lang w:eastAsia="ja-JP"/>
        </w:rPr>
        <w:t>s</w:t>
      </w:r>
      <w:r w:rsidR="00D51874" w:rsidRPr="00D51874">
        <w:rPr>
          <w:rFonts w:cs="Arial"/>
          <w:lang w:eastAsia="ja-JP"/>
        </w:rPr>
        <w:t xml:space="preserve"> (</w:t>
      </w:r>
      <w:r w:rsidR="0040556C">
        <w:rPr>
          <w:rFonts w:cs="Arial"/>
          <w:lang w:eastAsia="ja-JP"/>
        </w:rPr>
        <w:t>E</w:t>
      </w:r>
      <w:r w:rsidR="00D51874" w:rsidRPr="00D51874">
        <w:rPr>
          <w:rFonts w:cs="Arial"/>
          <w:lang w:eastAsia="ja-JP"/>
        </w:rPr>
        <w:t>xcel file</w:t>
      </w:r>
      <w:r>
        <w:rPr>
          <w:rFonts w:cs="Arial"/>
          <w:lang w:eastAsia="ja-JP"/>
        </w:rPr>
        <w:t>s</w:t>
      </w:r>
      <w:r w:rsidR="00D51874" w:rsidRPr="00D51874">
        <w:rPr>
          <w:rFonts w:cs="Arial"/>
          <w:lang w:eastAsia="ja-JP"/>
        </w:rPr>
        <w:t xml:space="preserve">) are </w:t>
      </w:r>
      <w:r w:rsidR="00A879E1" w:rsidRPr="00D51874">
        <w:rPr>
          <w:rFonts w:cs="Arial"/>
          <w:lang w:eastAsia="ja-JP"/>
        </w:rPr>
        <w:t>labeled</w:t>
      </w:r>
      <w:r w:rsidR="00D51874" w:rsidRPr="00D51874">
        <w:rPr>
          <w:rFonts w:cs="Arial"/>
          <w:lang w:eastAsia="ja-JP"/>
        </w:rPr>
        <w:t xml:space="preserve"> </w:t>
      </w:r>
      <w:r>
        <w:rPr>
          <w:rFonts w:cs="Arial"/>
          <w:lang w:eastAsia="ja-JP"/>
        </w:rPr>
        <w:t xml:space="preserve">for </w:t>
      </w:r>
      <w:r w:rsidR="00D51874" w:rsidRPr="00D51874">
        <w:rPr>
          <w:rFonts w:cs="Arial"/>
          <w:lang w:eastAsia="ja-JP"/>
        </w:rPr>
        <w:t xml:space="preserve">Section 3A: Total Hip Replacement, Total Knee Replacement, and Bariatric Surgery for Weight Loss and Section 9C: Volume of Procedures. </w:t>
      </w:r>
      <w:r w:rsidR="00FB41BD" w:rsidRPr="00D51874">
        <w:rPr>
          <w:rFonts w:cs="Arial"/>
          <w:lang w:eastAsia="ja-JP"/>
        </w:rPr>
        <w:t>Please note</w:t>
      </w:r>
      <w:r w:rsidR="00FB41BD">
        <w:rPr>
          <w:rFonts w:cs="Arial"/>
          <w:lang w:eastAsia="ja-JP"/>
        </w:rPr>
        <w:t>, i</w:t>
      </w:r>
      <w:r w:rsidR="00FB41BD" w:rsidRPr="00FB41BD">
        <w:rPr>
          <w:rFonts w:cs="Arial"/>
          <w:lang w:eastAsia="ja-JP"/>
        </w:rPr>
        <w:t>f you are part of a hospital system, each hospital will need to complete the Terms of Use. This is a requirement of the American Medical Association.</w:t>
      </w:r>
    </w:p>
    <w:p w14:paraId="76B2EE6C" w14:textId="77777777" w:rsidR="00FB41BD" w:rsidRPr="00222413" w:rsidRDefault="00FB41BD" w:rsidP="00FB41BD">
      <w:pPr>
        <w:rPr>
          <w:lang w:eastAsia="ja-JP"/>
        </w:rPr>
      </w:pPr>
    </w:p>
    <w:p w14:paraId="1E0FE5A6" w14:textId="1681559E" w:rsidR="002911AD" w:rsidRPr="00D51874" w:rsidRDefault="00D51874" w:rsidP="002911AD">
      <w:pPr>
        <w:rPr>
          <w:lang w:eastAsia="ja-JP"/>
        </w:rPr>
      </w:pPr>
      <w:r>
        <w:rPr>
          <w:lang w:eastAsia="ja-JP"/>
        </w:rPr>
        <w:t>Using the CPT code found for Total Hip Replacement in the “Instructions” sheet, count t</w:t>
      </w:r>
      <w:r w:rsidRPr="00222413">
        <w:rPr>
          <w:lang w:eastAsia="ja-JP"/>
        </w:rPr>
        <w:t xml:space="preserve">he total number of adult (18 years of age or older) patients discharged </w:t>
      </w:r>
      <w:r>
        <w:rPr>
          <w:lang w:eastAsia="ja-JP"/>
        </w:rPr>
        <w:t xml:space="preserve">for the procedure </w:t>
      </w:r>
      <w:r w:rsidRPr="00222413">
        <w:rPr>
          <w:lang w:eastAsia="ja-JP"/>
        </w:rPr>
        <w:t xml:space="preserve">with </w:t>
      </w:r>
      <w:r>
        <w:rPr>
          <w:lang w:eastAsia="ja-JP"/>
        </w:rPr>
        <w:t>the</w:t>
      </w:r>
      <w:r w:rsidRPr="00222413">
        <w:rPr>
          <w:lang w:eastAsia="ja-JP"/>
        </w:rPr>
        <w:t xml:space="preserve"> CPT code listed. The CPT code can be in any procedure field.</w:t>
      </w:r>
    </w:p>
    <w:p w14:paraId="6DB9A0FB" w14:textId="3A8E099A" w:rsidR="00A05F36" w:rsidRDefault="00A05F36">
      <w:pPr>
        <w:rPr>
          <w:rFonts w:cs="Arial"/>
          <w:b/>
        </w:rPr>
      </w:pPr>
    </w:p>
    <w:p w14:paraId="0D0D4531" w14:textId="77777777" w:rsidR="00790082" w:rsidRDefault="00790082">
      <w:pPr>
        <w:rPr>
          <w:b/>
          <w:color w:val="000000"/>
          <w:sz w:val="22"/>
        </w:rPr>
      </w:pPr>
      <w:bookmarkStart w:id="266" w:name="_Norwood_Procedure_Measure"/>
      <w:bookmarkEnd w:id="266"/>
      <w:r>
        <w:br w:type="page"/>
      </w:r>
    </w:p>
    <w:p w14:paraId="05619DFF" w14:textId="0EE89E4A" w:rsidR="00A05F36" w:rsidRPr="007F33BF" w:rsidRDefault="00A05F36" w:rsidP="000C2C54">
      <w:pPr>
        <w:pStyle w:val="Heading44"/>
      </w:pPr>
      <w:r w:rsidRPr="007F33BF">
        <w:lastRenderedPageBreak/>
        <w:t xml:space="preserve">Norwood Procedure Measure </w:t>
      </w:r>
      <w:r w:rsidR="000765C6">
        <w:t>Specifications</w:t>
      </w:r>
    </w:p>
    <w:p w14:paraId="0CF6E6D4" w14:textId="77777777" w:rsidR="00A05F36" w:rsidRDefault="00A05F36" w:rsidP="00D51874">
      <w:pPr>
        <w:rPr>
          <w:lang w:eastAsia="ja-JP"/>
        </w:rPr>
      </w:pPr>
    </w:p>
    <w:p w14:paraId="169FBA3B" w14:textId="5D84C2A1" w:rsidR="004B119C" w:rsidRPr="00FA06B0" w:rsidRDefault="00A05F36" w:rsidP="004B119C">
      <w:pPr>
        <w:rPr>
          <w:rFonts w:cs="Arial"/>
        </w:rPr>
      </w:pPr>
      <w:r w:rsidRPr="00FA06B0">
        <w:rPr>
          <w:rFonts w:cs="Arial"/>
        </w:rPr>
        <w:t xml:space="preserve">For Norwood procedure, </w:t>
      </w:r>
      <w:r w:rsidR="004B119C" w:rsidRPr="00FA06B0">
        <w:rPr>
          <w:rFonts w:cs="Arial"/>
        </w:rPr>
        <w:t xml:space="preserve">there are two sets of ICD-10 procedure codes for counting patient discharges. For a patient to be counted, they must have at least one ICD-10 </w:t>
      </w:r>
      <w:r w:rsidR="00824064" w:rsidRPr="00FA06B0">
        <w:rPr>
          <w:rFonts w:cs="Arial"/>
        </w:rPr>
        <w:t xml:space="preserve">procedure </w:t>
      </w:r>
      <w:r w:rsidR="004B119C" w:rsidRPr="00FA06B0">
        <w:rPr>
          <w:rFonts w:cs="Arial"/>
        </w:rPr>
        <w:t>code from each list.</w:t>
      </w:r>
    </w:p>
    <w:p w14:paraId="19DB0C96" w14:textId="77777777" w:rsidR="004B119C" w:rsidRPr="00FA06B0" w:rsidRDefault="004B119C" w:rsidP="004B119C">
      <w:pPr>
        <w:rPr>
          <w:rFonts w:cs="Arial"/>
        </w:rPr>
      </w:pPr>
    </w:p>
    <w:p w14:paraId="25628340" w14:textId="7B517FA7" w:rsidR="004B119C" w:rsidRPr="00FA06B0" w:rsidRDefault="004B119C" w:rsidP="004B119C">
      <w:pPr>
        <w:rPr>
          <w:rFonts w:cs="Arial"/>
        </w:rPr>
      </w:pPr>
      <w:r w:rsidRPr="00FA06B0">
        <w:rPr>
          <w:rFonts w:cs="Arial"/>
        </w:rPr>
        <w:t>The first set of codes is to identify patients who have had an arch repair. The second set of codes is to identify patients who have had a shunt.</w:t>
      </w:r>
    </w:p>
    <w:p w14:paraId="009B2441" w14:textId="77777777" w:rsidR="004B119C" w:rsidRPr="00FA06B0" w:rsidRDefault="004B119C" w:rsidP="004B119C">
      <w:pPr>
        <w:rPr>
          <w:rFonts w:cs="Arial"/>
        </w:rPr>
      </w:pPr>
    </w:p>
    <w:p w14:paraId="4F51E758" w14:textId="1BCFED63" w:rsidR="004B119C" w:rsidRDefault="004B119C" w:rsidP="004B119C">
      <w:pPr>
        <w:rPr>
          <w:rFonts w:cs="Arial"/>
        </w:rPr>
      </w:pPr>
      <w:r w:rsidRPr="00FA06B0">
        <w:rPr>
          <w:rFonts w:cs="Arial"/>
        </w:rPr>
        <w:t>Count the number of patients</w:t>
      </w:r>
      <w:r w:rsidR="00CC1602" w:rsidRPr="00CC1602">
        <w:rPr>
          <w:rFonts w:cs="Arial"/>
        </w:rPr>
        <w:t xml:space="preserve">, ages 17 years and younger, </w:t>
      </w:r>
      <w:r w:rsidRPr="00FA06B0">
        <w:rPr>
          <w:rFonts w:cs="Arial"/>
        </w:rPr>
        <w:t xml:space="preserve">discharged with </w:t>
      </w:r>
      <w:r w:rsidR="00824064" w:rsidRPr="00FA06B0">
        <w:rPr>
          <w:rFonts w:cs="Arial"/>
        </w:rPr>
        <w:t xml:space="preserve">at least </w:t>
      </w:r>
      <w:r w:rsidRPr="00FA06B0">
        <w:rPr>
          <w:rFonts w:cs="Arial"/>
        </w:rPr>
        <w:t xml:space="preserve">one of the following ICD-10 procedure codes from each list in any procedure field </w:t>
      </w:r>
      <w:r w:rsidR="00824064" w:rsidRPr="00FA06B0">
        <w:rPr>
          <w:rFonts w:cs="Arial"/>
        </w:rPr>
        <w:t>(</w:t>
      </w:r>
      <w:r w:rsidRPr="00FA06B0">
        <w:rPr>
          <w:rFonts w:cs="Arial"/>
        </w:rPr>
        <w:t>i.e.,</w:t>
      </w:r>
      <w:r w:rsidRPr="00FA06B0">
        <w:t xml:space="preserve"> </w:t>
      </w:r>
      <w:r w:rsidRPr="00FA06B0">
        <w:rPr>
          <w:rFonts w:cs="Arial"/>
        </w:rPr>
        <w:t xml:space="preserve">each patient discharge will need to have at least one ICD-10 </w:t>
      </w:r>
      <w:r w:rsidR="00824064" w:rsidRPr="00FA06B0">
        <w:rPr>
          <w:rFonts w:cs="Arial"/>
        </w:rPr>
        <w:t xml:space="preserve">procedure </w:t>
      </w:r>
      <w:r w:rsidRPr="00FA06B0">
        <w:rPr>
          <w:rFonts w:cs="Arial"/>
        </w:rPr>
        <w:t xml:space="preserve">code from the arch repair set </w:t>
      </w:r>
      <w:r w:rsidRPr="006904F9">
        <w:rPr>
          <w:rFonts w:cs="Arial"/>
          <w:b/>
          <w:bCs/>
        </w:rPr>
        <w:t>AND</w:t>
      </w:r>
      <w:r w:rsidRPr="00FA06B0">
        <w:rPr>
          <w:rFonts w:cs="Arial"/>
        </w:rPr>
        <w:t xml:space="preserve"> at least one ICD-10 </w:t>
      </w:r>
      <w:r w:rsidR="00824064" w:rsidRPr="00FA06B0">
        <w:rPr>
          <w:rFonts w:cs="Arial"/>
        </w:rPr>
        <w:t xml:space="preserve">procedure </w:t>
      </w:r>
      <w:r w:rsidRPr="00FA06B0">
        <w:rPr>
          <w:rFonts w:cs="Arial"/>
        </w:rPr>
        <w:t>code from the shunt set</w:t>
      </w:r>
      <w:r w:rsidR="00824064" w:rsidRPr="00FA06B0">
        <w:rPr>
          <w:rFonts w:cs="Arial"/>
        </w:rPr>
        <w:t>)</w:t>
      </w:r>
      <w:r w:rsidRPr="00FA06B0">
        <w:rPr>
          <w:rFonts w:cs="Arial"/>
        </w:rPr>
        <w:t>. Both procedures would need to be done as part of the same operative session.</w:t>
      </w:r>
    </w:p>
    <w:p w14:paraId="7CDA5BBA" w14:textId="1425048C" w:rsidR="00A05F36" w:rsidRDefault="00A05F36" w:rsidP="004B119C">
      <w:pPr>
        <w:rPr>
          <w:b/>
          <w:sz w:val="28"/>
          <w:szCs w:val="24"/>
          <w:u w:val="single"/>
          <w:lang w:eastAsia="ja-JP"/>
        </w:rPr>
      </w:pPr>
    </w:p>
    <w:p w14:paraId="5FFDE016" w14:textId="1E7B47A6" w:rsidR="00A05F36" w:rsidRDefault="00A05F36" w:rsidP="00A05F36">
      <w:pPr>
        <w:rPr>
          <w:b/>
        </w:rPr>
      </w:pPr>
      <w:r w:rsidRPr="00F43C2F">
        <w:rPr>
          <w:b/>
        </w:rPr>
        <w:t xml:space="preserve">ICD-10 </w:t>
      </w:r>
      <w:r w:rsidR="004B119C" w:rsidRPr="004B119C">
        <w:rPr>
          <w:b/>
        </w:rPr>
        <w:t>Arch Repair Procedure Codes</w:t>
      </w:r>
    </w:p>
    <w:p w14:paraId="77A632EA" w14:textId="77777777" w:rsidR="004B119C" w:rsidRPr="0004317D" w:rsidRDefault="004B119C" w:rsidP="004B119C">
      <w:pPr>
        <w:rPr>
          <w:rFonts w:cs="Arial"/>
          <w:b/>
        </w:rPr>
      </w:pPr>
    </w:p>
    <w:tbl>
      <w:tblPr>
        <w:tblStyle w:val="TableGrid"/>
        <w:tblW w:w="9432" w:type="dxa"/>
        <w:tblLook w:val="04A0" w:firstRow="1" w:lastRow="0" w:firstColumn="1" w:lastColumn="0" w:noHBand="0" w:noVBand="1"/>
      </w:tblPr>
      <w:tblGrid>
        <w:gridCol w:w="1872"/>
        <w:gridCol w:w="7560"/>
      </w:tblGrid>
      <w:tr w:rsidR="004B119C" w:rsidRPr="0004317D" w14:paraId="6C857219" w14:textId="77777777" w:rsidTr="00696E8F">
        <w:trPr>
          <w:trHeight w:val="432"/>
          <w:tblHeader/>
        </w:trPr>
        <w:tc>
          <w:tcPr>
            <w:tcW w:w="1872" w:type="dxa"/>
            <w:shd w:val="clear" w:color="auto" w:fill="A6A6A6" w:themeFill="background1" w:themeFillShade="A6"/>
            <w:vAlign w:val="center"/>
            <w:hideMark/>
          </w:tcPr>
          <w:p w14:paraId="3DFC26AE" w14:textId="77777777" w:rsidR="004B119C" w:rsidRPr="0004317D" w:rsidRDefault="004B119C" w:rsidP="00696E8F">
            <w:pPr>
              <w:rPr>
                <w:rFonts w:cs="Arial"/>
                <w:b/>
                <w:bCs/>
                <w:color w:val="000000"/>
              </w:rPr>
            </w:pPr>
            <w:r w:rsidRPr="0004317D">
              <w:rPr>
                <w:rFonts w:cs="Arial"/>
                <w:b/>
                <w:bCs/>
                <w:color w:val="000000"/>
              </w:rPr>
              <w:t>ICD-10 Procedure Code</w:t>
            </w:r>
          </w:p>
        </w:tc>
        <w:tc>
          <w:tcPr>
            <w:tcW w:w="7560" w:type="dxa"/>
            <w:shd w:val="clear" w:color="auto" w:fill="A6A6A6" w:themeFill="background1" w:themeFillShade="A6"/>
            <w:vAlign w:val="center"/>
            <w:hideMark/>
          </w:tcPr>
          <w:p w14:paraId="0D64BBCD" w14:textId="77777777" w:rsidR="004B119C" w:rsidRPr="0004317D" w:rsidRDefault="004B119C" w:rsidP="00696E8F">
            <w:pPr>
              <w:rPr>
                <w:rFonts w:cs="Arial"/>
                <w:b/>
                <w:bCs/>
                <w:color w:val="000000"/>
              </w:rPr>
            </w:pPr>
            <w:r w:rsidRPr="0004317D">
              <w:rPr>
                <w:rFonts w:cs="Arial"/>
                <w:b/>
                <w:bCs/>
                <w:color w:val="000000"/>
              </w:rPr>
              <w:t>Code Description</w:t>
            </w:r>
          </w:p>
        </w:tc>
      </w:tr>
      <w:tr w:rsidR="004B119C" w:rsidRPr="00EC5F7F" w14:paraId="793E88DE" w14:textId="77777777" w:rsidTr="00696E8F">
        <w:trPr>
          <w:trHeight w:val="300"/>
        </w:trPr>
        <w:tc>
          <w:tcPr>
            <w:tcW w:w="1872" w:type="dxa"/>
            <w:noWrap/>
            <w:vAlign w:val="center"/>
          </w:tcPr>
          <w:p w14:paraId="567725FD" w14:textId="3EA20963" w:rsidR="004B119C" w:rsidRPr="004B119C" w:rsidRDefault="004B119C" w:rsidP="00696E8F">
            <w:pPr>
              <w:rPr>
                <w:rFonts w:cs="Arial"/>
                <w:color w:val="000000"/>
              </w:rPr>
            </w:pPr>
            <w:r w:rsidRPr="004B119C">
              <w:rPr>
                <w:rFonts w:cstheme="minorHAnsi"/>
              </w:rPr>
              <w:t xml:space="preserve">02UX07Z  </w:t>
            </w:r>
          </w:p>
        </w:tc>
        <w:tc>
          <w:tcPr>
            <w:tcW w:w="7560" w:type="dxa"/>
            <w:noWrap/>
            <w:vAlign w:val="center"/>
          </w:tcPr>
          <w:p w14:paraId="33F92CF5" w14:textId="694EFDB8" w:rsidR="004B119C" w:rsidRPr="004B119C" w:rsidRDefault="004B119C" w:rsidP="00696E8F">
            <w:pPr>
              <w:rPr>
                <w:rFonts w:cs="Arial"/>
                <w:color w:val="000000"/>
              </w:rPr>
            </w:pPr>
            <w:r w:rsidRPr="004B119C">
              <w:rPr>
                <w:rFonts w:cstheme="minorHAnsi"/>
              </w:rPr>
              <w:t>Supplement Thoracic Aorta, Ascending/Arch with Autologous Tissue Substitute, Open Approach</w:t>
            </w:r>
          </w:p>
        </w:tc>
      </w:tr>
      <w:tr w:rsidR="004B119C" w:rsidRPr="00EC5F7F" w14:paraId="19AD0105" w14:textId="77777777" w:rsidTr="00696E8F">
        <w:trPr>
          <w:trHeight w:val="300"/>
        </w:trPr>
        <w:tc>
          <w:tcPr>
            <w:tcW w:w="1872" w:type="dxa"/>
            <w:noWrap/>
            <w:vAlign w:val="center"/>
          </w:tcPr>
          <w:p w14:paraId="6F15B2FE" w14:textId="1668651F" w:rsidR="004B119C" w:rsidRPr="004B119C" w:rsidRDefault="004B119C" w:rsidP="00696E8F">
            <w:pPr>
              <w:rPr>
                <w:rFonts w:cs="Arial"/>
                <w:color w:val="000000"/>
              </w:rPr>
            </w:pPr>
            <w:r w:rsidRPr="004B119C">
              <w:rPr>
                <w:rFonts w:cstheme="minorHAnsi"/>
              </w:rPr>
              <w:t xml:space="preserve">02UX0JZ   </w:t>
            </w:r>
          </w:p>
        </w:tc>
        <w:tc>
          <w:tcPr>
            <w:tcW w:w="7560" w:type="dxa"/>
            <w:noWrap/>
            <w:vAlign w:val="center"/>
          </w:tcPr>
          <w:p w14:paraId="2E80AE57" w14:textId="3DFC119B" w:rsidR="004B119C" w:rsidRPr="004B119C" w:rsidRDefault="004B119C" w:rsidP="00696E8F">
            <w:pPr>
              <w:rPr>
                <w:rFonts w:cs="Arial"/>
                <w:color w:val="000000"/>
              </w:rPr>
            </w:pPr>
            <w:r w:rsidRPr="004B119C">
              <w:rPr>
                <w:rFonts w:cstheme="minorHAnsi"/>
              </w:rPr>
              <w:t>Supplement Thoracic Aorta, Ascending/Arch with Synthetic Substitute, Open Approach</w:t>
            </w:r>
          </w:p>
        </w:tc>
      </w:tr>
      <w:tr w:rsidR="004B119C" w:rsidRPr="00EC5F7F" w14:paraId="3037A8BA" w14:textId="77777777" w:rsidTr="00696E8F">
        <w:trPr>
          <w:trHeight w:val="300"/>
        </w:trPr>
        <w:tc>
          <w:tcPr>
            <w:tcW w:w="1872" w:type="dxa"/>
            <w:noWrap/>
            <w:vAlign w:val="center"/>
          </w:tcPr>
          <w:p w14:paraId="1D0CE640" w14:textId="0A3C3BC2" w:rsidR="004B119C" w:rsidRPr="004B119C" w:rsidRDefault="004B119C" w:rsidP="00696E8F">
            <w:pPr>
              <w:rPr>
                <w:rFonts w:cs="Arial"/>
                <w:color w:val="000000"/>
              </w:rPr>
            </w:pPr>
            <w:r w:rsidRPr="004B119C">
              <w:rPr>
                <w:rFonts w:cstheme="minorHAnsi"/>
              </w:rPr>
              <w:t xml:space="preserve">02UX0KZ  </w:t>
            </w:r>
          </w:p>
        </w:tc>
        <w:tc>
          <w:tcPr>
            <w:tcW w:w="7560" w:type="dxa"/>
            <w:noWrap/>
            <w:vAlign w:val="center"/>
          </w:tcPr>
          <w:p w14:paraId="12E9D907" w14:textId="43CD29CA" w:rsidR="004B119C" w:rsidRPr="004B119C" w:rsidRDefault="004B119C" w:rsidP="00696E8F">
            <w:pPr>
              <w:rPr>
                <w:rFonts w:cs="Arial"/>
                <w:color w:val="000000"/>
              </w:rPr>
            </w:pPr>
            <w:r w:rsidRPr="004B119C">
              <w:rPr>
                <w:rFonts w:cstheme="minorHAnsi"/>
              </w:rPr>
              <w:t xml:space="preserve">Supplement Thoracic Aorta, Ascending/Arch with </w:t>
            </w:r>
            <w:proofErr w:type="spellStart"/>
            <w:r w:rsidRPr="004B119C">
              <w:rPr>
                <w:rFonts w:cstheme="minorHAnsi"/>
              </w:rPr>
              <w:t>Nonautologous</w:t>
            </w:r>
            <w:proofErr w:type="spellEnd"/>
            <w:r w:rsidRPr="004B119C">
              <w:rPr>
                <w:rFonts w:cstheme="minorHAnsi"/>
              </w:rPr>
              <w:t xml:space="preserve"> Tissue Substitute, Open Approach</w:t>
            </w:r>
          </w:p>
        </w:tc>
      </w:tr>
    </w:tbl>
    <w:p w14:paraId="287C65B3" w14:textId="77777777" w:rsidR="004B119C" w:rsidRPr="0004317D" w:rsidRDefault="004B119C" w:rsidP="004B119C">
      <w:pPr>
        <w:rPr>
          <w:rFonts w:cs="Arial"/>
          <w:b/>
        </w:rPr>
      </w:pPr>
    </w:p>
    <w:p w14:paraId="652CBC80" w14:textId="77777777" w:rsidR="004536D7" w:rsidRPr="0004317D" w:rsidRDefault="004536D7" w:rsidP="004536D7">
      <w:pPr>
        <w:rPr>
          <w:rFonts w:cs="Arial"/>
          <w:b/>
        </w:rPr>
      </w:pPr>
      <w:r w:rsidRPr="0004317D">
        <w:rPr>
          <w:rFonts w:cs="Arial"/>
          <w:b/>
        </w:rPr>
        <w:t xml:space="preserve">ICD-10 </w:t>
      </w:r>
      <w:r w:rsidRPr="004B119C">
        <w:rPr>
          <w:rFonts w:cs="Arial"/>
          <w:b/>
        </w:rPr>
        <w:t>Shunt Procedure Codes</w:t>
      </w:r>
    </w:p>
    <w:p w14:paraId="5409059A" w14:textId="77777777" w:rsidR="004B119C" w:rsidRPr="0004317D" w:rsidRDefault="004B119C" w:rsidP="004B119C">
      <w:pPr>
        <w:rPr>
          <w:rFonts w:cs="Arial"/>
          <w:b/>
        </w:rPr>
      </w:pPr>
    </w:p>
    <w:tbl>
      <w:tblPr>
        <w:tblStyle w:val="TableGrid"/>
        <w:tblW w:w="9432" w:type="dxa"/>
        <w:tblLook w:val="04A0" w:firstRow="1" w:lastRow="0" w:firstColumn="1" w:lastColumn="0" w:noHBand="0" w:noVBand="1"/>
      </w:tblPr>
      <w:tblGrid>
        <w:gridCol w:w="1872"/>
        <w:gridCol w:w="7560"/>
      </w:tblGrid>
      <w:tr w:rsidR="004B119C" w:rsidRPr="0004317D" w14:paraId="6E623DB7" w14:textId="77777777" w:rsidTr="00696E8F">
        <w:trPr>
          <w:trHeight w:val="432"/>
          <w:tblHeader/>
        </w:trPr>
        <w:tc>
          <w:tcPr>
            <w:tcW w:w="1872" w:type="dxa"/>
            <w:shd w:val="clear" w:color="auto" w:fill="A6A6A6" w:themeFill="background1" w:themeFillShade="A6"/>
            <w:noWrap/>
            <w:vAlign w:val="center"/>
          </w:tcPr>
          <w:p w14:paraId="7928B68A" w14:textId="1378238F" w:rsidR="004B119C" w:rsidRPr="00A77AEC" w:rsidRDefault="004B119C" w:rsidP="00696E8F">
            <w:pPr>
              <w:rPr>
                <w:rFonts w:cs="Arial"/>
                <w:color w:val="000000"/>
              </w:rPr>
            </w:pPr>
            <w:r w:rsidRPr="00A77AEC">
              <w:rPr>
                <w:rFonts w:cs="Arial"/>
                <w:b/>
                <w:bCs/>
                <w:color w:val="000000"/>
              </w:rPr>
              <w:t xml:space="preserve">ICD-10 </w:t>
            </w:r>
            <w:r w:rsidR="00FF40AE">
              <w:rPr>
                <w:rFonts w:cs="Arial"/>
                <w:b/>
                <w:bCs/>
                <w:color w:val="000000"/>
              </w:rPr>
              <w:t>Procedure</w:t>
            </w:r>
            <w:r w:rsidRPr="00A77AEC">
              <w:rPr>
                <w:rFonts w:cs="Arial"/>
                <w:b/>
                <w:bCs/>
                <w:color w:val="000000"/>
              </w:rPr>
              <w:t xml:space="preserve"> Code</w:t>
            </w:r>
          </w:p>
        </w:tc>
        <w:tc>
          <w:tcPr>
            <w:tcW w:w="7560" w:type="dxa"/>
            <w:shd w:val="clear" w:color="auto" w:fill="A6A6A6" w:themeFill="background1" w:themeFillShade="A6"/>
            <w:noWrap/>
            <w:vAlign w:val="center"/>
          </w:tcPr>
          <w:p w14:paraId="29EFC4EB" w14:textId="77777777" w:rsidR="004B119C" w:rsidRPr="00A77AEC" w:rsidRDefault="004B119C" w:rsidP="00696E8F">
            <w:pPr>
              <w:rPr>
                <w:rFonts w:cs="Arial"/>
                <w:color w:val="000000"/>
              </w:rPr>
            </w:pPr>
            <w:r w:rsidRPr="00A77AEC">
              <w:rPr>
                <w:rFonts w:cs="Arial"/>
                <w:b/>
              </w:rPr>
              <w:t>Code Description</w:t>
            </w:r>
          </w:p>
        </w:tc>
      </w:tr>
      <w:tr w:rsidR="004B119C" w:rsidRPr="00A25DE1" w14:paraId="0DE3311F" w14:textId="77777777" w:rsidTr="00696E8F">
        <w:trPr>
          <w:trHeight w:val="300"/>
        </w:trPr>
        <w:tc>
          <w:tcPr>
            <w:tcW w:w="1872" w:type="dxa"/>
            <w:noWrap/>
            <w:vAlign w:val="center"/>
          </w:tcPr>
          <w:p w14:paraId="49E68739" w14:textId="14C4DC24" w:rsidR="004B119C" w:rsidRPr="004B119C" w:rsidRDefault="004B119C" w:rsidP="00696E8F">
            <w:pPr>
              <w:rPr>
                <w:rFonts w:cs="Arial"/>
                <w:color w:val="000000"/>
              </w:rPr>
            </w:pPr>
            <w:r w:rsidRPr="004B119C">
              <w:rPr>
                <w:rFonts w:cs="Arial"/>
              </w:rPr>
              <w:t xml:space="preserve">021K08P </w:t>
            </w:r>
          </w:p>
        </w:tc>
        <w:tc>
          <w:tcPr>
            <w:tcW w:w="7560" w:type="dxa"/>
            <w:noWrap/>
            <w:vAlign w:val="center"/>
          </w:tcPr>
          <w:p w14:paraId="2BDE655B" w14:textId="5F3E0D8B" w:rsidR="004B119C" w:rsidRPr="004B119C" w:rsidRDefault="004B119C" w:rsidP="00696E8F">
            <w:pPr>
              <w:rPr>
                <w:rFonts w:cs="Arial"/>
                <w:color w:val="000000"/>
              </w:rPr>
            </w:pPr>
            <w:r w:rsidRPr="004B119C">
              <w:rPr>
                <w:rFonts w:cs="Arial"/>
              </w:rPr>
              <w:t xml:space="preserve">Bypass Right Ventricle to Pulmonary Trunk with </w:t>
            </w:r>
            <w:proofErr w:type="spellStart"/>
            <w:r w:rsidRPr="004B119C">
              <w:rPr>
                <w:rFonts w:cs="Arial"/>
              </w:rPr>
              <w:t>Zooplastic</w:t>
            </w:r>
            <w:proofErr w:type="spellEnd"/>
            <w:r w:rsidRPr="004B119C">
              <w:rPr>
                <w:rFonts w:cs="Arial"/>
              </w:rPr>
              <w:t xml:space="preserve"> Tissue Substitute, Open Approach</w:t>
            </w:r>
          </w:p>
        </w:tc>
      </w:tr>
      <w:tr w:rsidR="004B119C" w:rsidRPr="00A25DE1" w14:paraId="394959F8" w14:textId="77777777" w:rsidTr="00696E8F">
        <w:trPr>
          <w:trHeight w:val="300"/>
        </w:trPr>
        <w:tc>
          <w:tcPr>
            <w:tcW w:w="1872" w:type="dxa"/>
            <w:noWrap/>
            <w:vAlign w:val="center"/>
          </w:tcPr>
          <w:p w14:paraId="50B6E748" w14:textId="6A9A7DBD" w:rsidR="004B119C" w:rsidRPr="004B119C" w:rsidRDefault="004B119C" w:rsidP="00696E8F">
            <w:pPr>
              <w:rPr>
                <w:rFonts w:cs="Arial"/>
                <w:color w:val="000000"/>
              </w:rPr>
            </w:pPr>
            <w:r w:rsidRPr="004B119C">
              <w:rPr>
                <w:rFonts w:cs="Arial"/>
              </w:rPr>
              <w:t xml:space="preserve">021K08Q  </w:t>
            </w:r>
          </w:p>
        </w:tc>
        <w:tc>
          <w:tcPr>
            <w:tcW w:w="7560" w:type="dxa"/>
            <w:noWrap/>
            <w:vAlign w:val="center"/>
          </w:tcPr>
          <w:p w14:paraId="13D3A40E" w14:textId="43D6993F" w:rsidR="004B119C" w:rsidRPr="004B119C" w:rsidRDefault="004B119C" w:rsidP="00696E8F">
            <w:pPr>
              <w:rPr>
                <w:rFonts w:cs="Arial"/>
                <w:color w:val="000000"/>
              </w:rPr>
            </w:pPr>
            <w:r w:rsidRPr="004B119C">
              <w:rPr>
                <w:rFonts w:cs="Arial"/>
              </w:rPr>
              <w:t xml:space="preserve">Bypass Right Ventricle to Right Pulmonary Artery with </w:t>
            </w:r>
            <w:proofErr w:type="spellStart"/>
            <w:r w:rsidRPr="004B119C">
              <w:rPr>
                <w:rFonts w:cs="Arial"/>
              </w:rPr>
              <w:t>Zooplastic</w:t>
            </w:r>
            <w:proofErr w:type="spellEnd"/>
            <w:r w:rsidRPr="004B119C">
              <w:rPr>
                <w:rFonts w:cs="Arial"/>
              </w:rPr>
              <w:t xml:space="preserve"> Tissue Substitute, Open Approach</w:t>
            </w:r>
          </w:p>
        </w:tc>
      </w:tr>
      <w:tr w:rsidR="004B119C" w:rsidRPr="00A25DE1" w14:paraId="17ED1AA1" w14:textId="77777777" w:rsidTr="00696E8F">
        <w:trPr>
          <w:trHeight w:val="300"/>
        </w:trPr>
        <w:tc>
          <w:tcPr>
            <w:tcW w:w="1872" w:type="dxa"/>
            <w:noWrap/>
            <w:vAlign w:val="center"/>
          </w:tcPr>
          <w:p w14:paraId="7C810C91" w14:textId="1AC1DAB5" w:rsidR="004B119C" w:rsidRPr="004B119C" w:rsidRDefault="004B119C" w:rsidP="00696E8F">
            <w:pPr>
              <w:rPr>
                <w:rFonts w:cs="Arial"/>
                <w:color w:val="000000"/>
              </w:rPr>
            </w:pPr>
            <w:r w:rsidRPr="004B119C">
              <w:rPr>
                <w:rFonts w:cs="Arial"/>
              </w:rPr>
              <w:t xml:space="preserve">021K08R  </w:t>
            </w:r>
          </w:p>
        </w:tc>
        <w:tc>
          <w:tcPr>
            <w:tcW w:w="7560" w:type="dxa"/>
            <w:noWrap/>
            <w:vAlign w:val="center"/>
          </w:tcPr>
          <w:p w14:paraId="7DCC0BC9" w14:textId="140F62A7" w:rsidR="004B119C" w:rsidRPr="004B119C" w:rsidRDefault="004B119C" w:rsidP="00696E8F">
            <w:pPr>
              <w:rPr>
                <w:rFonts w:cs="Arial"/>
                <w:color w:val="000000"/>
              </w:rPr>
            </w:pPr>
            <w:r w:rsidRPr="004B119C">
              <w:rPr>
                <w:rFonts w:cs="Arial"/>
              </w:rPr>
              <w:t xml:space="preserve">Bypass Right Ventricle to </w:t>
            </w:r>
            <w:r w:rsidR="007205B6">
              <w:rPr>
                <w:rFonts w:cs="Arial"/>
              </w:rPr>
              <w:t>Left</w:t>
            </w:r>
            <w:r w:rsidRPr="004B119C">
              <w:rPr>
                <w:rFonts w:cs="Arial"/>
              </w:rPr>
              <w:t xml:space="preserve"> Pulmonary Artery with </w:t>
            </w:r>
            <w:proofErr w:type="spellStart"/>
            <w:r w:rsidRPr="004B119C">
              <w:rPr>
                <w:rFonts w:cs="Arial"/>
              </w:rPr>
              <w:t>Zooplastic</w:t>
            </w:r>
            <w:proofErr w:type="spellEnd"/>
            <w:r w:rsidRPr="004B119C">
              <w:rPr>
                <w:rFonts w:cs="Arial"/>
              </w:rPr>
              <w:t xml:space="preserve"> Tissue Substitute, Open Approach</w:t>
            </w:r>
          </w:p>
        </w:tc>
      </w:tr>
      <w:tr w:rsidR="004B119C" w:rsidRPr="00A25DE1" w14:paraId="79D1EB90" w14:textId="77777777" w:rsidTr="00696E8F">
        <w:trPr>
          <w:trHeight w:val="300"/>
        </w:trPr>
        <w:tc>
          <w:tcPr>
            <w:tcW w:w="1872" w:type="dxa"/>
            <w:noWrap/>
            <w:vAlign w:val="center"/>
          </w:tcPr>
          <w:p w14:paraId="725DBB05" w14:textId="2B91D13D" w:rsidR="004B119C" w:rsidRPr="004B119C" w:rsidRDefault="004B119C" w:rsidP="00696E8F">
            <w:pPr>
              <w:rPr>
                <w:rFonts w:cs="Arial"/>
                <w:color w:val="000000"/>
              </w:rPr>
            </w:pPr>
            <w:r w:rsidRPr="004B119C">
              <w:rPr>
                <w:rFonts w:cs="Arial"/>
              </w:rPr>
              <w:t xml:space="preserve">021K09P </w:t>
            </w:r>
          </w:p>
        </w:tc>
        <w:tc>
          <w:tcPr>
            <w:tcW w:w="7560" w:type="dxa"/>
            <w:noWrap/>
            <w:vAlign w:val="center"/>
          </w:tcPr>
          <w:p w14:paraId="10DC9878" w14:textId="1414ECA7" w:rsidR="004B119C" w:rsidRPr="004B119C" w:rsidRDefault="004B119C" w:rsidP="00696E8F">
            <w:pPr>
              <w:rPr>
                <w:rFonts w:cs="Arial"/>
                <w:color w:val="000000"/>
              </w:rPr>
            </w:pPr>
            <w:r w:rsidRPr="004B119C">
              <w:rPr>
                <w:rFonts w:cs="Arial"/>
              </w:rPr>
              <w:t>Bypass Right Ventricle to Pulmonary Trunk with Autologous Venous Tissue, Open Approach</w:t>
            </w:r>
          </w:p>
        </w:tc>
      </w:tr>
      <w:tr w:rsidR="004B119C" w:rsidRPr="00A25DE1" w14:paraId="692C6775" w14:textId="77777777" w:rsidTr="00696E8F">
        <w:trPr>
          <w:trHeight w:val="300"/>
        </w:trPr>
        <w:tc>
          <w:tcPr>
            <w:tcW w:w="1872" w:type="dxa"/>
            <w:noWrap/>
            <w:vAlign w:val="center"/>
          </w:tcPr>
          <w:p w14:paraId="458B5ADC" w14:textId="01C76DD5" w:rsidR="004B119C" w:rsidRPr="004B119C" w:rsidRDefault="004B119C" w:rsidP="00696E8F">
            <w:pPr>
              <w:rPr>
                <w:rFonts w:cs="Arial"/>
                <w:color w:val="000000"/>
              </w:rPr>
            </w:pPr>
            <w:r w:rsidRPr="004B119C">
              <w:rPr>
                <w:rFonts w:cs="Arial"/>
              </w:rPr>
              <w:t xml:space="preserve">021K09Q  </w:t>
            </w:r>
          </w:p>
        </w:tc>
        <w:tc>
          <w:tcPr>
            <w:tcW w:w="7560" w:type="dxa"/>
            <w:noWrap/>
            <w:vAlign w:val="center"/>
          </w:tcPr>
          <w:p w14:paraId="0E298051" w14:textId="5ACD2978" w:rsidR="004B119C" w:rsidRPr="004B119C" w:rsidRDefault="004B119C" w:rsidP="00696E8F">
            <w:pPr>
              <w:rPr>
                <w:rFonts w:cs="Arial"/>
                <w:color w:val="000000"/>
              </w:rPr>
            </w:pPr>
            <w:r w:rsidRPr="004B119C">
              <w:rPr>
                <w:rFonts w:cs="Arial"/>
              </w:rPr>
              <w:t>Bypass Right Ventricle to Right Pulmonary Artery with Autologous Venous Tissue, Open Approach</w:t>
            </w:r>
          </w:p>
        </w:tc>
      </w:tr>
      <w:tr w:rsidR="004B119C" w:rsidRPr="00A25DE1" w14:paraId="0383CF30" w14:textId="77777777" w:rsidTr="00696E8F">
        <w:trPr>
          <w:trHeight w:val="300"/>
        </w:trPr>
        <w:tc>
          <w:tcPr>
            <w:tcW w:w="1872" w:type="dxa"/>
            <w:noWrap/>
            <w:vAlign w:val="center"/>
          </w:tcPr>
          <w:p w14:paraId="5535A2EC" w14:textId="0BBCB711" w:rsidR="004B119C" w:rsidRPr="004B119C" w:rsidRDefault="004B119C" w:rsidP="00696E8F">
            <w:pPr>
              <w:rPr>
                <w:rFonts w:cs="Arial"/>
                <w:color w:val="000000"/>
              </w:rPr>
            </w:pPr>
            <w:r w:rsidRPr="004B119C">
              <w:rPr>
                <w:rFonts w:cs="Arial"/>
              </w:rPr>
              <w:t xml:space="preserve">021K09R  </w:t>
            </w:r>
          </w:p>
        </w:tc>
        <w:tc>
          <w:tcPr>
            <w:tcW w:w="7560" w:type="dxa"/>
            <w:noWrap/>
            <w:vAlign w:val="center"/>
          </w:tcPr>
          <w:p w14:paraId="05B81ED7" w14:textId="61C7C2D1" w:rsidR="004B119C" w:rsidRPr="004B119C" w:rsidRDefault="004B119C" w:rsidP="00696E8F">
            <w:pPr>
              <w:rPr>
                <w:rFonts w:cs="Arial"/>
                <w:color w:val="000000"/>
              </w:rPr>
            </w:pPr>
            <w:r w:rsidRPr="004B119C">
              <w:rPr>
                <w:rFonts w:cs="Arial"/>
              </w:rPr>
              <w:t>Bypass Right Ventricle to Right Pulmonary Artery with Autologous Venous Tissue, Open Approach</w:t>
            </w:r>
          </w:p>
        </w:tc>
      </w:tr>
      <w:tr w:rsidR="004B119C" w:rsidRPr="00A25DE1" w14:paraId="161274D5" w14:textId="77777777" w:rsidTr="00696E8F">
        <w:trPr>
          <w:trHeight w:val="300"/>
        </w:trPr>
        <w:tc>
          <w:tcPr>
            <w:tcW w:w="1872" w:type="dxa"/>
            <w:noWrap/>
            <w:vAlign w:val="center"/>
          </w:tcPr>
          <w:p w14:paraId="33C1B519" w14:textId="4789BC3E" w:rsidR="004B119C" w:rsidRPr="004B119C" w:rsidRDefault="004B119C" w:rsidP="00696E8F">
            <w:pPr>
              <w:rPr>
                <w:rFonts w:cs="Arial"/>
                <w:color w:val="000000"/>
              </w:rPr>
            </w:pPr>
            <w:r w:rsidRPr="004B119C">
              <w:rPr>
                <w:rFonts w:cs="Arial"/>
              </w:rPr>
              <w:t xml:space="preserve">021K0AP </w:t>
            </w:r>
          </w:p>
        </w:tc>
        <w:tc>
          <w:tcPr>
            <w:tcW w:w="7560" w:type="dxa"/>
            <w:noWrap/>
            <w:vAlign w:val="center"/>
          </w:tcPr>
          <w:p w14:paraId="294D5068" w14:textId="0A077B15" w:rsidR="004B119C" w:rsidRPr="004B119C" w:rsidRDefault="004B119C" w:rsidP="00696E8F">
            <w:pPr>
              <w:rPr>
                <w:rFonts w:cs="Arial"/>
                <w:color w:val="000000"/>
              </w:rPr>
            </w:pPr>
            <w:r w:rsidRPr="004B119C">
              <w:rPr>
                <w:rFonts w:cs="Arial"/>
              </w:rPr>
              <w:t>Bypass Right Ventricle to Pulmonary Trunk with Autologous Arterial Tissue, Open Approach</w:t>
            </w:r>
          </w:p>
        </w:tc>
      </w:tr>
      <w:tr w:rsidR="004B119C" w:rsidRPr="00A25DE1" w14:paraId="45C13CAD" w14:textId="77777777" w:rsidTr="00696E8F">
        <w:trPr>
          <w:trHeight w:val="300"/>
        </w:trPr>
        <w:tc>
          <w:tcPr>
            <w:tcW w:w="1872" w:type="dxa"/>
            <w:noWrap/>
            <w:vAlign w:val="center"/>
          </w:tcPr>
          <w:p w14:paraId="015DD483" w14:textId="5C097EF6" w:rsidR="004B119C" w:rsidRPr="004B119C" w:rsidRDefault="004B119C" w:rsidP="00696E8F">
            <w:pPr>
              <w:rPr>
                <w:rFonts w:cs="Arial"/>
                <w:color w:val="000000"/>
              </w:rPr>
            </w:pPr>
            <w:r w:rsidRPr="004B119C">
              <w:rPr>
                <w:rFonts w:cs="Arial"/>
              </w:rPr>
              <w:t xml:space="preserve">021K0AQ  </w:t>
            </w:r>
          </w:p>
        </w:tc>
        <w:tc>
          <w:tcPr>
            <w:tcW w:w="7560" w:type="dxa"/>
            <w:noWrap/>
            <w:vAlign w:val="center"/>
          </w:tcPr>
          <w:p w14:paraId="07AE5360" w14:textId="73589541" w:rsidR="004B119C" w:rsidRPr="004B119C" w:rsidRDefault="004B119C" w:rsidP="00696E8F">
            <w:pPr>
              <w:rPr>
                <w:rFonts w:cs="Arial"/>
                <w:color w:val="000000"/>
              </w:rPr>
            </w:pPr>
            <w:r w:rsidRPr="004B119C">
              <w:rPr>
                <w:rFonts w:cs="Arial"/>
              </w:rPr>
              <w:t>Bypass Right Ventricle to Right Pulmonary Artery with Autologous Arterial Tissue, Open Approach</w:t>
            </w:r>
          </w:p>
        </w:tc>
      </w:tr>
      <w:tr w:rsidR="004B119C" w:rsidRPr="00A25DE1" w14:paraId="41DC49D0" w14:textId="77777777" w:rsidTr="00696E8F">
        <w:trPr>
          <w:trHeight w:val="300"/>
        </w:trPr>
        <w:tc>
          <w:tcPr>
            <w:tcW w:w="1872" w:type="dxa"/>
            <w:noWrap/>
            <w:vAlign w:val="center"/>
          </w:tcPr>
          <w:p w14:paraId="5FE03CAA" w14:textId="2862E26A" w:rsidR="004B119C" w:rsidRPr="004B119C" w:rsidRDefault="004B119C" w:rsidP="00696E8F">
            <w:pPr>
              <w:rPr>
                <w:rFonts w:cs="Arial"/>
                <w:color w:val="000000"/>
              </w:rPr>
            </w:pPr>
            <w:r w:rsidRPr="004B119C">
              <w:rPr>
                <w:rFonts w:cs="Arial"/>
              </w:rPr>
              <w:t xml:space="preserve">021K0AR  </w:t>
            </w:r>
          </w:p>
        </w:tc>
        <w:tc>
          <w:tcPr>
            <w:tcW w:w="7560" w:type="dxa"/>
            <w:noWrap/>
            <w:vAlign w:val="center"/>
          </w:tcPr>
          <w:p w14:paraId="38842DC2" w14:textId="7494C376" w:rsidR="004B119C" w:rsidRPr="004B119C" w:rsidRDefault="004B119C" w:rsidP="00696E8F">
            <w:pPr>
              <w:rPr>
                <w:rFonts w:cs="Arial"/>
                <w:color w:val="000000"/>
              </w:rPr>
            </w:pPr>
            <w:r w:rsidRPr="004B119C">
              <w:rPr>
                <w:rFonts w:cs="Arial"/>
              </w:rPr>
              <w:t>Bypass Right Ventricle to Right Pulmonary Artery with Autologous Arterial Tissue, Open Approach</w:t>
            </w:r>
          </w:p>
        </w:tc>
      </w:tr>
      <w:tr w:rsidR="004B119C" w:rsidRPr="00A25DE1" w14:paraId="1BD7B642" w14:textId="77777777" w:rsidTr="00696E8F">
        <w:trPr>
          <w:trHeight w:val="300"/>
        </w:trPr>
        <w:tc>
          <w:tcPr>
            <w:tcW w:w="1872" w:type="dxa"/>
            <w:noWrap/>
            <w:vAlign w:val="center"/>
          </w:tcPr>
          <w:p w14:paraId="43FCE246" w14:textId="0A1B8699" w:rsidR="004B119C" w:rsidRPr="004B119C" w:rsidRDefault="004B119C" w:rsidP="00696E8F">
            <w:pPr>
              <w:rPr>
                <w:rFonts w:cs="Arial"/>
              </w:rPr>
            </w:pPr>
            <w:r w:rsidRPr="004B119C">
              <w:rPr>
                <w:rFonts w:cs="Arial"/>
              </w:rPr>
              <w:t>021K0JP</w:t>
            </w:r>
          </w:p>
        </w:tc>
        <w:tc>
          <w:tcPr>
            <w:tcW w:w="7560" w:type="dxa"/>
            <w:noWrap/>
            <w:vAlign w:val="center"/>
          </w:tcPr>
          <w:p w14:paraId="578170F8" w14:textId="5D075174" w:rsidR="004B119C" w:rsidRPr="004B119C" w:rsidRDefault="004B119C" w:rsidP="00696E8F">
            <w:pPr>
              <w:rPr>
                <w:rFonts w:cs="Arial"/>
              </w:rPr>
            </w:pPr>
            <w:r w:rsidRPr="004B119C">
              <w:rPr>
                <w:rFonts w:cs="Arial"/>
              </w:rPr>
              <w:t>Bypass Right Ventricle to Pulmonary Trunk with Synthetic Substitute, Open Approach</w:t>
            </w:r>
          </w:p>
        </w:tc>
      </w:tr>
      <w:tr w:rsidR="004B119C" w:rsidRPr="00A25DE1" w14:paraId="4C05275E" w14:textId="77777777" w:rsidTr="00696E8F">
        <w:trPr>
          <w:trHeight w:val="300"/>
        </w:trPr>
        <w:tc>
          <w:tcPr>
            <w:tcW w:w="1872" w:type="dxa"/>
            <w:noWrap/>
            <w:vAlign w:val="center"/>
          </w:tcPr>
          <w:p w14:paraId="4E312D8E" w14:textId="7CCCBFFB" w:rsidR="004B119C" w:rsidRPr="004B119C" w:rsidRDefault="004B119C" w:rsidP="00696E8F">
            <w:pPr>
              <w:rPr>
                <w:rFonts w:cs="Arial"/>
              </w:rPr>
            </w:pPr>
            <w:r w:rsidRPr="004B119C">
              <w:rPr>
                <w:rFonts w:cs="Arial"/>
              </w:rPr>
              <w:t>021K0JQ</w:t>
            </w:r>
          </w:p>
        </w:tc>
        <w:tc>
          <w:tcPr>
            <w:tcW w:w="7560" w:type="dxa"/>
            <w:noWrap/>
            <w:vAlign w:val="center"/>
          </w:tcPr>
          <w:p w14:paraId="4FAD7242" w14:textId="55EDEF27" w:rsidR="004B119C" w:rsidRPr="004B119C" w:rsidRDefault="004B119C" w:rsidP="00696E8F">
            <w:pPr>
              <w:rPr>
                <w:rFonts w:cs="Arial"/>
              </w:rPr>
            </w:pPr>
            <w:r w:rsidRPr="004B119C">
              <w:rPr>
                <w:rFonts w:cs="Arial"/>
              </w:rPr>
              <w:t>Bypass Right Ventricle to Right Pulmonary Artery with Synthetic Substitute, Open Approach</w:t>
            </w:r>
          </w:p>
        </w:tc>
      </w:tr>
      <w:tr w:rsidR="004B119C" w:rsidRPr="00A25DE1" w14:paraId="644E25F1" w14:textId="77777777" w:rsidTr="00696E8F">
        <w:trPr>
          <w:trHeight w:val="300"/>
        </w:trPr>
        <w:tc>
          <w:tcPr>
            <w:tcW w:w="1872" w:type="dxa"/>
            <w:noWrap/>
            <w:vAlign w:val="center"/>
          </w:tcPr>
          <w:p w14:paraId="62DB698A" w14:textId="23FC8575" w:rsidR="004B119C" w:rsidRPr="004B119C" w:rsidRDefault="004B119C" w:rsidP="00696E8F">
            <w:pPr>
              <w:rPr>
                <w:rFonts w:cs="Arial"/>
              </w:rPr>
            </w:pPr>
            <w:r w:rsidRPr="004B119C">
              <w:rPr>
                <w:rFonts w:cs="Arial"/>
              </w:rPr>
              <w:t>021K0JR</w:t>
            </w:r>
          </w:p>
        </w:tc>
        <w:tc>
          <w:tcPr>
            <w:tcW w:w="7560" w:type="dxa"/>
            <w:noWrap/>
            <w:vAlign w:val="center"/>
          </w:tcPr>
          <w:p w14:paraId="166CBAFC" w14:textId="2998AEA0" w:rsidR="004B119C" w:rsidRPr="004B119C" w:rsidRDefault="004B119C" w:rsidP="00696E8F">
            <w:pPr>
              <w:rPr>
                <w:rFonts w:cs="Arial"/>
              </w:rPr>
            </w:pPr>
            <w:r w:rsidRPr="004B119C">
              <w:rPr>
                <w:rFonts w:cs="Arial"/>
              </w:rPr>
              <w:t>Bypass Right Ventricle to Left Pulmonary Artery with Synthetic Substitute, Open Approach</w:t>
            </w:r>
          </w:p>
        </w:tc>
      </w:tr>
      <w:tr w:rsidR="004B119C" w:rsidRPr="00A25DE1" w14:paraId="5A7F9985" w14:textId="77777777" w:rsidTr="00696E8F">
        <w:trPr>
          <w:trHeight w:val="300"/>
        </w:trPr>
        <w:tc>
          <w:tcPr>
            <w:tcW w:w="1872" w:type="dxa"/>
            <w:noWrap/>
            <w:vAlign w:val="center"/>
          </w:tcPr>
          <w:p w14:paraId="73C306FB" w14:textId="616FF0C9" w:rsidR="004B119C" w:rsidRPr="004B119C" w:rsidRDefault="004B119C" w:rsidP="00696E8F">
            <w:pPr>
              <w:rPr>
                <w:rFonts w:cs="Arial"/>
              </w:rPr>
            </w:pPr>
            <w:r w:rsidRPr="004B119C">
              <w:rPr>
                <w:rFonts w:cs="Arial"/>
              </w:rPr>
              <w:t xml:space="preserve">021K0KP </w:t>
            </w:r>
          </w:p>
        </w:tc>
        <w:tc>
          <w:tcPr>
            <w:tcW w:w="7560" w:type="dxa"/>
            <w:noWrap/>
            <w:vAlign w:val="center"/>
          </w:tcPr>
          <w:p w14:paraId="1BEFD308" w14:textId="1E7545DC" w:rsidR="004B119C" w:rsidRPr="004B119C" w:rsidRDefault="004B119C" w:rsidP="00696E8F">
            <w:pPr>
              <w:rPr>
                <w:rFonts w:cs="Arial"/>
              </w:rPr>
            </w:pPr>
            <w:r w:rsidRPr="004B119C">
              <w:rPr>
                <w:rFonts w:cs="Arial"/>
              </w:rPr>
              <w:t xml:space="preserve">Bypass Right Ventricle to Pulmonary Trunk with </w:t>
            </w:r>
            <w:proofErr w:type="spellStart"/>
            <w:r w:rsidRPr="004B119C">
              <w:rPr>
                <w:rFonts w:cs="Arial"/>
              </w:rPr>
              <w:t>Nonautologous</w:t>
            </w:r>
            <w:proofErr w:type="spellEnd"/>
            <w:r w:rsidRPr="004B119C">
              <w:rPr>
                <w:rFonts w:cs="Arial"/>
              </w:rPr>
              <w:t xml:space="preserve"> Tissue Substitute, Open Approach</w:t>
            </w:r>
          </w:p>
        </w:tc>
      </w:tr>
      <w:tr w:rsidR="004B119C" w:rsidRPr="00A25DE1" w14:paraId="0ADE919E" w14:textId="77777777" w:rsidTr="00696E8F">
        <w:trPr>
          <w:trHeight w:val="300"/>
        </w:trPr>
        <w:tc>
          <w:tcPr>
            <w:tcW w:w="1872" w:type="dxa"/>
            <w:noWrap/>
            <w:vAlign w:val="center"/>
          </w:tcPr>
          <w:p w14:paraId="77304F6F" w14:textId="1405BF8C" w:rsidR="004B119C" w:rsidRPr="004B119C" w:rsidRDefault="004B119C" w:rsidP="00696E8F">
            <w:pPr>
              <w:rPr>
                <w:rFonts w:cs="Arial"/>
              </w:rPr>
            </w:pPr>
            <w:r w:rsidRPr="004B119C">
              <w:rPr>
                <w:rFonts w:cs="Arial"/>
              </w:rPr>
              <w:t xml:space="preserve">021K0KQ  </w:t>
            </w:r>
          </w:p>
        </w:tc>
        <w:tc>
          <w:tcPr>
            <w:tcW w:w="7560" w:type="dxa"/>
            <w:noWrap/>
            <w:vAlign w:val="center"/>
          </w:tcPr>
          <w:p w14:paraId="1364535B" w14:textId="3B92214C" w:rsidR="004B119C" w:rsidRPr="004B119C" w:rsidRDefault="004B119C" w:rsidP="00696E8F">
            <w:pPr>
              <w:rPr>
                <w:rFonts w:cs="Arial"/>
              </w:rPr>
            </w:pPr>
            <w:r w:rsidRPr="004B119C">
              <w:rPr>
                <w:rFonts w:cs="Arial"/>
              </w:rPr>
              <w:t xml:space="preserve">Bypass Right Ventricle to Right Pulmonary Artery with </w:t>
            </w:r>
            <w:proofErr w:type="spellStart"/>
            <w:r w:rsidRPr="004B119C">
              <w:rPr>
                <w:rFonts w:cs="Arial"/>
              </w:rPr>
              <w:t>Nonautologous</w:t>
            </w:r>
            <w:proofErr w:type="spellEnd"/>
            <w:r w:rsidRPr="004B119C">
              <w:rPr>
                <w:rFonts w:cs="Arial"/>
              </w:rPr>
              <w:t xml:space="preserve"> Tissue Substitute, Open Approach</w:t>
            </w:r>
          </w:p>
        </w:tc>
      </w:tr>
      <w:tr w:rsidR="004B119C" w:rsidRPr="00A25DE1" w14:paraId="38B2D3C3" w14:textId="77777777" w:rsidTr="00696E8F">
        <w:trPr>
          <w:trHeight w:val="300"/>
        </w:trPr>
        <w:tc>
          <w:tcPr>
            <w:tcW w:w="1872" w:type="dxa"/>
            <w:noWrap/>
            <w:vAlign w:val="center"/>
          </w:tcPr>
          <w:p w14:paraId="3667AD9E" w14:textId="7014265D" w:rsidR="004B119C" w:rsidRPr="004B119C" w:rsidRDefault="004B119C" w:rsidP="00696E8F">
            <w:pPr>
              <w:rPr>
                <w:rFonts w:cs="Arial"/>
              </w:rPr>
            </w:pPr>
            <w:r w:rsidRPr="004B119C">
              <w:rPr>
                <w:rFonts w:cs="Arial"/>
              </w:rPr>
              <w:lastRenderedPageBreak/>
              <w:t xml:space="preserve">021K0KR  </w:t>
            </w:r>
          </w:p>
        </w:tc>
        <w:tc>
          <w:tcPr>
            <w:tcW w:w="7560" w:type="dxa"/>
            <w:noWrap/>
            <w:vAlign w:val="center"/>
          </w:tcPr>
          <w:p w14:paraId="427C6170" w14:textId="5010C21C" w:rsidR="004B119C" w:rsidRPr="004B119C" w:rsidRDefault="004B119C" w:rsidP="00696E8F">
            <w:pPr>
              <w:rPr>
                <w:rFonts w:cs="Arial"/>
              </w:rPr>
            </w:pPr>
            <w:r w:rsidRPr="004B119C">
              <w:rPr>
                <w:rFonts w:cs="Arial"/>
              </w:rPr>
              <w:t xml:space="preserve">Bypass Right Ventricle to Right Pulmonary Artery with </w:t>
            </w:r>
            <w:proofErr w:type="spellStart"/>
            <w:r w:rsidRPr="004B119C">
              <w:rPr>
                <w:rFonts w:cs="Arial"/>
              </w:rPr>
              <w:t>Nonautologous</w:t>
            </w:r>
            <w:proofErr w:type="spellEnd"/>
            <w:r w:rsidRPr="004B119C">
              <w:rPr>
                <w:rFonts w:cs="Arial"/>
              </w:rPr>
              <w:t xml:space="preserve"> Tissue Substitute, Open Approach</w:t>
            </w:r>
          </w:p>
        </w:tc>
      </w:tr>
      <w:tr w:rsidR="004B119C" w:rsidRPr="00A25DE1" w14:paraId="052700AE" w14:textId="77777777" w:rsidTr="00696E8F">
        <w:trPr>
          <w:trHeight w:val="300"/>
        </w:trPr>
        <w:tc>
          <w:tcPr>
            <w:tcW w:w="1872" w:type="dxa"/>
            <w:noWrap/>
            <w:vAlign w:val="center"/>
          </w:tcPr>
          <w:p w14:paraId="3AC4E167" w14:textId="2DF37D9F" w:rsidR="004B119C" w:rsidRPr="004B119C" w:rsidRDefault="004B119C" w:rsidP="00696E8F">
            <w:pPr>
              <w:rPr>
                <w:rFonts w:cs="Arial"/>
              </w:rPr>
            </w:pPr>
            <w:r w:rsidRPr="004B119C">
              <w:rPr>
                <w:rFonts w:cs="Arial"/>
              </w:rPr>
              <w:t>021Q08A</w:t>
            </w:r>
          </w:p>
        </w:tc>
        <w:tc>
          <w:tcPr>
            <w:tcW w:w="7560" w:type="dxa"/>
            <w:noWrap/>
            <w:vAlign w:val="center"/>
          </w:tcPr>
          <w:p w14:paraId="2E0807FB" w14:textId="7127013E" w:rsidR="004B119C" w:rsidRPr="004B119C" w:rsidRDefault="004B119C" w:rsidP="00696E8F">
            <w:pPr>
              <w:rPr>
                <w:rFonts w:cs="Arial"/>
              </w:rPr>
            </w:pPr>
            <w:r w:rsidRPr="004B119C">
              <w:rPr>
                <w:rFonts w:cs="Arial"/>
              </w:rPr>
              <w:t xml:space="preserve">Bypass Right Pulmonary Artery from Innominate Artery with </w:t>
            </w:r>
            <w:proofErr w:type="spellStart"/>
            <w:r w:rsidRPr="004B119C">
              <w:rPr>
                <w:rFonts w:cs="Arial"/>
              </w:rPr>
              <w:t>Zooplastic</w:t>
            </w:r>
            <w:proofErr w:type="spellEnd"/>
            <w:r w:rsidRPr="004B119C">
              <w:rPr>
                <w:rFonts w:cs="Arial"/>
              </w:rPr>
              <w:t xml:space="preserve"> Tissue, Open Approach</w:t>
            </w:r>
          </w:p>
        </w:tc>
      </w:tr>
      <w:tr w:rsidR="004B119C" w:rsidRPr="00A25DE1" w14:paraId="16D8883F" w14:textId="77777777" w:rsidTr="00696E8F">
        <w:trPr>
          <w:trHeight w:val="300"/>
        </w:trPr>
        <w:tc>
          <w:tcPr>
            <w:tcW w:w="1872" w:type="dxa"/>
            <w:noWrap/>
            <w:vAlign w:val="center"/>
          </w:tcPr>
          <w:p w14:paraId="21195212" w14:textId="0067A87B" w:rsidR="004B119C" w:rsidRPr="004B119C" w:rsidRDefault="004B119C" w:rsidP="00696E8F">
            <w:pPr>
              <w:rPr>
                <w:rFonts w:cs="Arial"/>
              </w:rPr>
            </w:pPr>
            <w:r w:rsidRPr="004B119C">
              <w:rPr>
                <w:rFonts w:cs="Arial"/>
              </w:rPr>
              <w:t xml:space="preserve">021Q08B </w:t>
            </w:r>
          </w:p>
        </w:tc>
        <w:tc>
          <w:tcPr>
            <w:tcW w:w="7560" w:type="dxa"/>
            <w:noWrap/>
            <w:vAlign w:val="center"/>
          </w:tcPr>
          <w:p w14:paraId="636E3AF4" w14:textId="23B71B07" w:rsidR="004B119C" w:rsidRPr="004B119C" w:rsidRDefault="004B119C" w:rsidP="00696E8F">
            <w:pPr>
              <w:rPr>
                <w:rFonts w:cs="Arial"/>
              </w:rPr>
            </w:pPr>
            <w:r w:rsidRPr="004B119C">
              <w:rPr>
                <w:rFonts w:cs="Arial"/>
              </w:rPr>
              <w:t xml:space="preserve">Bypass Right Pulmonary Artery from Subclavian with </w:t>
            </w:r>
            <w:proofErr w:type="spellStart"/>
            <w:r w:rsidRPr="004B119C">
              <w:rPr>
                <w:rFonts w:cs="Arial"/>
              </w:rPr>
              <w:t>Zooplastic</w:t>
            </w:r>
            <w:proofErr w:type="spellEnd"/>
            <w:r w:rsidRPr="004B119C">
              <w:rPr>
                <w:rFonts w:cs="Arial"/>
              </w:rPr>
              <w:t xml:space="preserve"> Tissue, Open Approach</w:t>
            </w:r>
          </w:p>
        </w:tc>
      </w:tr>
      <w:tr w:rsidR="004B119C" w:rsidRPr="00A25DE1" w14:paraId="3C829AA7" w14:textId="77777777" w:rsidTr="00696E8F">
        <w:trPr>
          <w:trHeight w:val="300"/>
        </w:trPr>
        <w:tc>
          <w:tcPr>
            <w:tcW w:w="1872" w:type="dxa"/>
            <w:noWrap/>
            <w:vAlign w:val="center"/>
          </w:tcPr>
          <w:p w14:paraId="4CD5F1D6" w14:textId="429492B1" w:rsidR="004B119C" w:rsidRPr="004B119C" w:rsidRDefault="004B119C" w:rsidP="00696E8F">
            <w:pPr>
              <w:rPr>
                <w:rFonts w:cs="Arial"/>
              </w:rPr>
            </w:pPr>
            <w:r w:rsidRPr="004B119C">
              <w:rPr>
                <w:rFonts w:cs="Arial"/>
              </w:rPr>
              <w:t>021Q08D</w:t>
            </w:r>
          </w:p>
        </w:tc>
        <w:tc>
          <w:tcPr>
            <w:tcW w:w="7560" w:type="dxa"/>
            <w:noWrap/>
            <w:vAlign w:val="center"/>
          </w:tcPr>
          <w:p w14:paraId="46AB810D" w14:textId="58CC6C89" w:rsidR="004B119C" w:rsidRPr="004B119C" w:rsidRDefault="004B119C" w:rsidP="00696E8F">
            <w:pPr>
              <w:rPr>
                <w:rFonts w:cs="Arial"/>
              </w:rPr>
            </w:pPr>
            <w:r w:rsidRPr="004B119C">
              <w:rPr>
                <w:rFonts w:cs="Arial"/>
              </w:rPr>
              <w:t xml:space="preserve">Bypass Right Pulmonary Artery from Carotid with </w:t>
            </w:r>
            <w:proofErr w:type="spellStart"/>
            <w:r w:rsidRPr="004B119C">
              <w:rPr>
                <w:rFonts w:cs="Arial"/>
              </w:rPr>
              <w:t>Zooplastic</w:t>
            </w:r>
            <w:proofErr w:type="spellEnd"/>
            <w:r w:rsidRPr="004B119C">
              <w:rPr>
                <w:rFonts w:cs="Arial"/>
              </w:rPr>
              <w:t xml:space="preserve"> Tissue, Open Approach</w:t>
            </w:r>
          </w:p>
        </w:tc>
      </w:tr>
      <w:tr w:rsidR="004B119C" w:rsidRPr="00A25DE1" w14:paraId="3BC780B8" w14:textId="77777777" w:rsidTr="00696E8F">
        <w:trPr>
          <w:trHeight w:val="300"/>
        </w:trPr>
        <w:tc>
          <w:tcPr>
            <w:tcW w:w="1872" w:type="dxa"/>
            <w:noWrap/>
            <w:vAlign w:val="center"/>
          </w:tcPr>
          <w:p w14:paraId="0A90B337" w14:textId="356CB49D" w:rsidR="004B119C" w:rsidRPr="004B119C" w:rsidRDefault="004B119C" w:rsidP="00696E8F">
            <w:pPr>
              <w:rPr>
                <w:rFonts w:cs="Arial"/>
              </w:rPr>
            </w:pPr>
            <w:r w:rsidRPr="004B119C">
              <w:rPr>
                <w:rFonts w:cs="Arial"/>
              </w:rPr>
              <w:t>021Q09A</w:t>
            </w:r>
          </w:p>
        </w:tc>
        <w:tc>
          <w:tcPr>
            <w:tcW w:w="7560" w:type="dxa"/>
            <w:noWrap/>
            <w:vAlign w:val="center"/>
          </w:tcPr>
          <w:p w14:paraId="6C380292" w14:textId="2659B3A4" w:rsidR="004B119C" w:rsidRPr="004B119C" w:rsidRDefault="004B119C" w:rsidP="00696E8F">
            <w:pPr>
              <w:rPr>
                <w:rFonts w:cs="Arial"/>
              </w:rPr>
            </w:pPr>
            <w:r w:rsidRPr="004B119C">
              <w:rPr>
                <w:rFonts w:cs="Arial"/>
              </w:rPr>
              <w:t>Bypass Right Pulmonary Artery from Innominate Artery with Autologous Venous Tissue, Open Approach</w:t>
            </w:r>
          </w:p>
        </w:tc>
      </w:tr>
      <w:tr w:rsidR="004B119C" w:rsidRPr="00A25DE1" w14:paraId="768487E4" w14:textId="77777777" w:rsidTr="00696E8F">
        <w:trPr>
          <w:trHeight w:val="300"/>
        </w:trPr>
        <w:tc>
          <w:tcPr>
            <w:tcW w:w="1872" w:type="dxa"/>
            <w:noWrap/>
            <w:vAlign w:val="center"/>
          </w:tcPr>
          <w:p w14:paraId="2D3535ED" w14:textId="5A4D74CA" w:rsidR="004B119C" w:rsidRPr="004B119C" w:rsidRDefault="004B119C" w:rsidP="00696E8F">
            <w:pPr>
              <w:rPr>
                <w:rFonts w:cs="Arial"/>
              </w:rPr>
            </w:pPr>
            <w:r w:rsidRPr="004B119C">
              <w:rPr>
                <w:rFonts w:cs="Arial"/>
              </w:rPr>
              <w:t>021Q09B</w:t>
            </w:r>
          </w:p>
        </w:tc>
        <w:tc>
          <w:tcPr>
            <w:tcW w:w="7560" w:type="dxa"/>
            <w:noWrap/>
            <w:vAlign w:val="center"/>
          </w:tcPr>
          <w:p w14:paraId="6D627DE4" w14:textId="68865DE5" w:rsidR="004B119C" w:rsidRPr="004B119C" w:rsidRDefault="004B119C" w:rsidP="00696E8F">
            <w:pPr>
              <w:rPr>
                <w:rFonts w:cs="Arial"/>
              </w:rPr>
            </w:pPr>
            <w:r w:rsidRPr="004B119C">
              <w:rPr>
                <w:rFonts w:cs="Arial"/>
              </w:rPr>
              <w:t>Bypass Right Pulmonary Artery from Subclavian with Autologous Venous Tissue, Open Approach</w:t>
            </w:r>
          </w:p>
        </w:tc>
      </w:tr>
      <w:tr w:rsidR="004B119C" w:rsidRPr="00A25DE1" w14:paraId="5175B137" w14:textId="77777777" w:rsidTr="00696E8F">
        <w:trPr>
          <w:trHeight w:val="300"/>
        </w:trPr>
        <w:tc>
          <w:tcPr>
            <w:tcW w:w="1872" w:type="dxa"/>
            <w:noWrap/>
            <w:vAlign w:val="center"/>
          </w:tcPr>
          <w:p w14:paraId="7500E8AB" w14:textId="05CD0558" w:rsidR="004B119C" w:rsidRPr="004B119C" w:rsidRDefault="004B119C" w:rsidP="00696E8F">
            <w:pPr>
              <w:rPr>
                <w:rFonts w:cs="Arial"/>
              </w:rPr>
            </w:pPr>
            <w:r w:rsidRPr="004B119C">
              <w:rPr>
                <w:rFonts w:cs="Arial"/>
              </w:rPr>
              <w:t>021Q09D</w:t>
            </w:r>
          </w:p>
        </w:tc>
        <w:tc>
          <w:tcPr>
            <w:tcW w:w="7560" w:type="dxa"/>
            <w:noWrap/>
            <w:vAlign w:val="center"/>
          </w:tcPr>
          <w:p w14:paraId="3EEAD18C" w14:textId="2552AAB5" w:rsidR="004B119C" w:rsidRPr="004B119C" w:rsidRDefault="004B119C" w:rsidP="00696E8F">
            <w:pPr>
              <w:rPr>
                <w:rFonts w:cs="Arial"/>
              </w:rPr>
            </w:pPr>
            <w:r w:rsidRPr="004B119C">
              <w:rPr>
                <w:rFonts w:cs="Arial"/>
              </w:rPr>
              <w:t>Bypass Right Pulmonary Artery from Carotid with Autologous Venous Tissue, Open Approach</w:t>
            </w:r>
          </w:p>
        </w:tc>
      </w:tr>
      <w:tr w:rsidR="004B119C" w:rsidRPr="00A25DE1" w14:paraId="24683C4E" w14:textId="77777777" w:rsidTr="00696E8F">
        <w:trPr>
          <w:trHeight w:val="300"/>
        </w:trPr>
        <w:tc>
          <w:tcPr>
            <w:tcW w:w="1872" w:type="dxa"/>
            <w:noWrap/>
            <w:vAlign w:val="center"/>
          </w:tcPr>
          <w:p w14:paraId="21C1EF7D" w14:textId="6F6B9BE5" w:rsidR="004B119C" w:rsidRPr="004B119C" w:rsidRDefault="004B119C" w:rsidP="00696E8F">
            <w:pPr>
              <w:rPr>
                <w:rFonts w:cs="Arial"/>
              </w:rPr>
            </w:pPr>
            <w:r w:rsidRPr="004B119C">
              <w:rPr>
                <w:rFonts w:cs="Arial"/>
              </w:rPr>
              <w:t>021Q0AA</w:t>
            </w:r>
          </w:p>
        </w:tc>
        <w:tc>
          <w:tcPr>
            <w:tcW w:w="7560" w:type="dxa"/>
            <w:noWrap/>
            <w:vAlign w:val="center"/>
          </w:tcPr>
          <w:p w14:paraId="280D61A8" w14:textId="0E489E99" w:rsidR="004B119C" w:rsidRPr="004B119C" w:rsidRDefault="004B119C" w:rsidP="00696E8F">
            <w:pPr>
              <w:rPr>
                <w:rFonts w:cs="Arial"/>
              </w:rPr>
            </w:pPr>
            <w:r w:rsidRPr="004B119C">
              <w:rPr>
                <w:rFonts w:cs="Arial"/>
              </w:rPr>
              <w:t>Bypass Right Pulmonary Artery from Innominate Artery with Autologous Arterial Tissue, Open Approach</w:t>
            </w:r>
          </w:p>
        </w:tc>
      </w:tr>
      <w:tr w:rsidR="004B119C" w:rsidRPr="00A25DE1" w14:paraId="53F428E7" w14:textId="77777777" w:rsidTr="00696E8F">
        <w:trPr>
          <w:trHeight w:val="300"/>
        </w:trPr>
        <w:tc>
          <w:tcPr>
            <w:tcW w:w="1872" w:type="dxa"/>
            <w:noWrap/>
            <w:vAlign w:val="center"/>
          </w:tcPr>
          <w:p w14:paraId="18EE227B" w14:textId="12F9178C" w:rsidR="004B119C" w:rsidRPr="004B119C" w:rsidRDefault="004B119C" w:rsidP="00696E8F">
            <w:pPr>
              <w:rPr>
                <w:rFonts w:cs="Arial"/>
              </w:rPr>
            </w:pPr>
            <w:r w:rsidRPr="004B119C">
              <w:rPr>
                <w:rFonts w:cs="Arial"/>
              </w:rPr>
              <w:t>021Q0AB</w:t>
            </w:r>
          </w:p>
        </w:tc>
        <w:tc>
          <w:tcPr>
            <w:tcW w:w="7560" w:type="dxa"/>
            <w:noWrap/>
            <w:vAlign w:val="center"/>
          </w:tcPr>
          <w:p w14:paraId="02AD787E" w14:textId="7908FFAB" w:rsidR="004B119C" w:rsidRPr="004B119C" w:rsidRDefault="004B119C" w:rsidP="00696E8F">
            <w:pPr>
              <w:rPr>
                <w:rFonts w:cs="Arial"/>
              </w:rPr>
            </w:pPr>
            <w:r w:rsidRPr="004B119C">
              <w:rPr>
                <w:rFonts w:cs="Arial"/>
              </w:rPr>
              <w:t>Bypass Right Pulmonary Artery from Subclavian with Autologous Arterial Tissue, Open Approach</w:t>
            </w:r>
          </w:p>
        </w:tc>
      </w:tr>
      <w:tr w:rsidR="004B119C" w:rsidRPr="00A25DE1" w14:paraId="767DDEED" w14:textId="77777777" w:rsidTr="00696E8F">
        <w:trPr>
          <w:trHeight w:val="300"/>
        </w:trPr>
        <w:tc>
          <w:tcPr>
            <w:tcW w:w="1872" w:type="dxa"/>
            <w:noWrap/>
            <w:vAlign w:val="center"/>
          </w:tcPr>
          <w:p w14:paraId="4D346A63" w14:textId="69452A98" w:rsidR="004B119C" w:rsidRPr="004B119C" w:rsidRDefault="004B119C" w:rsidP="00696E8F">
            <w:pPr>
              <w:rPr>
                <w:rFonts w:cs="Arial"/>
              </w:rPr>
            </w:pPr>
            <w:r w:rsidRPr="004B119C">
              <w:rPr>
                <w:rFonts w:cs="Arial"/>
              </w:rPr>
              <w:t>021Q0AD</w:t>
            </w:r>
          </w:p>
        </w:tc>
        <w:tc>
          <w:tcPr>
            <w:tcW w:w="7560" w:type="dxa"/>
            <w:noWrap/>
            <w:vAlign w:val="center"/>
          </w:tcPr>
          <w:p w14:paraId="6EE230FA" w14:textId="1D800394" w:rsidR="004B119C" w:rsidRPr="004B119C" w:rsidRDefault="004B119C" w:rsidP="00696E8F">
            <w:pPr>
              <w:rPr>
                <w:rFonts w:cs="Arial"/>
              </w:rPr>
            </w:pPr>
            <w:r w:rsidRPr="004B119C">
              <w:rPr>
                <w:rFonts w:cs="Arial"/>
              </w:rPr>
              <w:t>Bypass Right Pulmonary Artery from Carotid with Autologous Arterial Tissue, Open Approach</w:t>
            </w:r>
          </w:p>
        </w:tc>
      </w:tr>
      <w:tr w:rsidR="004536D7" w:rsidRPr="00A25DE1" w14:paraId="10702B3D" w14:textId="77777777" w:rsidTr="00696E8F">
        <w:trPr>
          <w:trHeight w:val="300"/>
        </w:trPr>
        <w:tc>
          <w:tcPr>
            <w:tcW w:w="1872" w:type="dxa"/>
            <w:noWrap/>
            <w:vAlign w:val="center"/>
          </w:tcPr>
          <w:p w14:paraId="3F28E295" w14:textId="5EEC37F7" w:rsidR="004536D7" w:rsidRPr="004B119C" w:rsidRDefault="004536D7" w:rsidP="00696E8F">
            <w:pPr>
              <w:rPr>
                <w:rFonts w:cs="Arial"/>
              </w:rPr>
            </w:pPr>
            <w:r w:rsidRPr="004B119C">
              <w:rPr>
                <w:rFonts w:cs="Arial"/>
              </w:rPr>
              <w:t>021Q0JA</w:t>
            </w:r>
          </w:p>
        </w:tc>
        <w:tc>
          <w:tcPr>
            <w:tcW w:w="7560" w:type="dxa"/>
            <w:noWrap/>
            <w:vAlign w:val="center"/>
          </w:tcPr>
          <w:p w14:paraId="1E8932D7" w14:textId="589BC526" w:rsidR="004536D7" w:rsidRPr="004B119C" w:rsidRDefault="004536D7" w:rsidP="00696E8F">
            <w:pPr>
              <w:rPr>
                <w:rFonts w:cs="Arial"/>
              </w:rPr>
            </w:pPr>
            <w:r w:rsidRPr="004B119C">
              <w:rPr>
                <w:rFonts w:cs="Arial"/>
              </w:rPr>
              <w:t xml:space="preserve">Bypass Right Pulmonary Artery from </w:t>
            </w:r>
            <w:r>
              <w:rPr>
                <w:rFonts w:cs="Arial"/>
              </w:rPr>
              <w:t>I</w:t>
            </w:r>
            <w:r w:rsidRPr="004B119C">
              <w:rPr>
                <w:rFonts w:cs="Arial"/>
              </w:rPr>
              <w:t>nnominate w</w:t>
            </w:r>
            <w:r>
              <w:rPr>
                <w:rFonts w:cs="Arial"/>
              </w:rPr>
              <w:t>ith S</w:t>
            </w:r>
            <w:r w:rsidRPr="004B119C">
              <w:rPr>
                <w:rFonts w:cs="Arial"/>
              </w:rPr>
              <w:t xml:space="preserve">ynthetic </w:t>
            </w:r>
            <w:r>
              <w:rPr>
                <w:rFonts w:cs="Arial"/>
              </w:rPr>
              <w:t>S</w:t>
            </w:r>
            <w:r w:rsidRPr="004B119C">
              <w:rPr>
                <w:rFonts w:cs="Arial"/>
              </w:rPr>
              <w:t xml:space="preserve">ubstitute, </w:t>
            </w:r>
            <w:r>
              <w:rPr>
                <w:rFonts w:cs="Arial"/>
              </w:rPr>
              <w:t>O</w:t>
            </w:r>
            <w:r w:rsidRPr="004B119C">
              <w:rPr>
                <w:rFonts w:cs="Arial"/>
              </w:rPr>
              <w:t xml:space="preserve">pen </w:t>
            </w:r>
            <w:r>
              <w:rPr>
                <w:rFonts w:cs="Arial"/>
              </w:rPr>
              <w:t>A</w:t>
            </w:r>
            <w:r w:rsidRPr="004B119C">
              <w:rPr>
                <w:rFonts w:cs="Arial"/>
              </w:rPr>
              <w:t>pproach</w:t>
            </w:r>
          </w:p>
        </w:tc>
      </w:tr>
      <w:tr w:rsidR="004536D7" w:rsidRPr="00A25DE1" w14:paraId="20B3C3C8" w14:textId="77777777" w:rsidTr="00696E8F">
        <w:trPr>
          <w:trHeight w:val="300"/>
        </w:trPr>
        <w:tc>
          <w:tcPr>
            <w:tcW w:w="1872" w:type="dxa"/>
            <w:noWrap/>
            <w:vAlign w:val="center"/>
          </w:tcPr>
          <w:p w14:paraId="382F9A1C" w14:textId="4161FF2C" w:rsidR="004536D7" w:rsidRPr="004B119C" w:rsidRDefault="004536D7" w:rsidP="00696E8F">
            <w:pPr>
              <w:rPr>
                <w:rFonts w:cs="Arial"/>
              </w:rPr>
            </w:pPr>
            <w:r w:rsidRPr="004B119C">
              <w:rPr>
                <w:rFonts w:cs="Arial"/>
              </w:rPr>
              <w:t>021Q0JB</w:t>
            </w:r>
          </w:p>
        </w:tc>
        <w:tc>
          <w:tcPr>
            <w:tcW w:w="7560" w:type="dxa"/>
            <w:noWrap/>
            <w:vAlign w:val="center"/>
          </w:tcPr>
          <w:p w14:paraId="1538020F" w14:textId="426AC904" w:rsidR="004536D7" w:rsidRPr="004B119C" w:rsidRDefault="004536D7" w:rsidP="00696E8F">
            <w:pPr>
              <w:rPr>
                <w:rFonts w:cs="Arial"/>
              </w:rPr>
            </w:pPr>
            <w:r w:rsidRPr="004B119C">
              <w:rPr>
                <w:rFonts w:cs="Arial"/>
              </w:rPr>
              <w:t xml:space="preserve">Bypass Right Pulmonary Artery from </w:t>
            </w:r>
            <w:r>
              <w:rPr>
                <w:rFonts w:cs="Arial"/>
              </w:rPr>
              <w:t>S</w:t>
            </w:r>
            <w:r w:rsidRPr="004B119C">
              <w:rPr>
                <w:rFonts w:cs="Arial"/>
              </w:rPr>
              <w:t>ubclavian w</w:t>
            </w:r>
            <w:r>
              <w:rPr>
                <w:rFonts w:cs="Arial"/>
              </w:rPr>
              <w:t>ith S</w:t>
            </w:r>
            <w:r w:rsidRPr="004B119C">
              <w:rPr>
                <w:rFonts w:cs="Arial"/>
              </w:rPr>
              <w:t xml:space="preserve">ynthetic </w:t>
            </w:r>
            <w:r>
              <w:rPr>
                <w:rFonts w:cs="Arial"/>
              </w:rPr>
              <w:t>S</w:t>
            </w:r>
            <w:r w:rsidRPr="004B119C">
              <w:rPr>
                <w:rFonts w:cs="Arial"/>
              </w:rPr>
              <w:t xml:space="preserve">ubstitute, </w:t>
            </w:r>
            <w:r>
              <w:rPr>
                <w:rFonts w:cs="Arial"/>
              </w:rPr>
              <w:t>O</w:t>
            </w:r>
            <w:r w:rsidRPr="004B119C">
              <w:rPr>
                <w:rFonts w:cs="Arial"/>
              </w:rPr>
              <w:t xml:space="preserve">pen </w:t>
            </w:r>
            <w:r>
              <w:rPr>
                <w:rFonts w:cs="Arial"/>
              </w:rPr>
              <w:t>A</w:t>
            </w:r>
            <w:r w:rsidRPr="004B119C">
              <w:rPr>
                <w:rFonts w:cs="Arial"/>
              </w:rPr>
              <w:t>pproach</w:t>
            </w:r>
          </w:p>
        </w:tc>
      </w:tr>
      <w:tr w:rsidR="004536D7" w:rsidRPr="00A25DE1" w14:paraId="0E9CCEE2" w14:textId="77777777" w:rsidTr="00696E8F">
        <w:trPr>
          <w:trHeight w:val="300"/>
        </w:trPr>
        <w:tc>
          <w:tcPr>
            <w:tcW w:w="1872" w:type="dxa"/>
            <w:noWrap/>
            <w:vAlign w:val="center"/>
          </w:tcPr>
          <w:p w14:paraId="6A0B5212" w14:textId="624C5B47" w:rsidR="004536D7" w:rsidRPr="004B119C" w:rsidRDefault="004536D7" w:rsidP="00696E8F">
            <w:pPr>
              <w:rPr>
                <w:rFonts w:cs="Arial"/>
              </w:rPr>
            </w:pPr>
            <w:r w:rsidRPr="004B119C">
              <w:rPr>
                <w:rFonts w:cs="Arial"/>
              </w:rPr>
              <w:t>021Q0JD</w:t>
            </w:r>
          </w:p>
        </w:tc>
        <w:tc>
          <w:tcPr>
            <w:tcW w:w="7560" w:type="dxa"/>
            <w:noWrap/>
            <w:vAlign w:val="center"/>
          </w:tcPr>
          <w:p w14:paraId="4F586EBB" w14:textId="63355F50" w:rsidR="004536D7" w:rsidRPr="004B119C" w:rsidRDefault="004536D7" w:rsidP="00696E8F">
            <w:pPr>
              <w:rPr>
                <w:rFonts w:cs="Arial"/>
              </w:rPr>
            </w:pPr>
            <w:r w:rsidRPr="004B119C">
              <w:rPr>
                <w:rFonts w:cs="Arial"/>
              </w:rPr>
              <w:t xml:space="preserve">Bypass Right Pulmonary Artery from </w:t>
            </w:r>
            <w:r>
              <w:rPr>
                <w:rFonts w:cs="Arial"/>
              </w:rPr>
              <w:t>C</w:t>
            </w:r>
            <w:r w:rsidRPr="004B119C">
              <w:rPr>
                <w:rFonts w:cs="Arial"/>
              </w:rPr>
              <w:t>arotid w</w:t>
            </w:r>
            <w:r>
              <w:rPr>
                <w:rFonts w:cs="Arial"/>
              </w:rPr>
              <w:t>ith S</w:t>
            </w:r>
            <w:r w:rsidRPr="004B119C">
              <w:rPr>
                <w:rFonts w:cs="Arial"/>
              </w:rPr>
              <w:t xml:space="preserve">ynthetic </w:t>
            </w:r>
            <w:r>
              <w:rPr>
                <w:rFonts w:cs="Arial"/>
              </w:rPr>
              <w:t>S</w:t>
            </w:r>
            <w:r w:rsidRPr="004B119C">
              <w:rPr>
                <w:rFonts w:cs="Arial"/>
              </w:rPr>
              <w:t xml:space="preserve">ubstitute, </w:t>
            </w:r>
            <w:r>
              <w:rPr>
                <w:rFonts w:cs="Arial"/>
              </w:rPr>
              <w:t>O</w:t>
            </w:r>
            <w:r w:rsidRPr="004B119C">
              <w:rPr>
                <w:rFonts w:cs="Arial"/>
              </w:rPr>
              <w:t xml:space="preserve">pen </w:t>
            </w:r>
            <w:r>
              <w:rPr>
                <w:rFonts w:cs="Arial"/>
              </w:rPr>
              <w:t>A</w:t>
            </w:r>
            <w:r w:rsidRPr="004B119C">
              <w:rPr>
                <w:rFonts w:cs="Arial"/>
              </w:rPr>
              <w:t>pproach</w:t>
            </w:r>
          </w:p>
        </w:tc>
      </w:tr>
      <w:tr w:rsidR="004536D7" w:rsidRPr="00A25DE1" w14:paraId="1F5F39FE" w14:textId="77777777" w:rsidTr="00696E8F">
        <w:trPr>
          <w:trHeight w:val="300"/>
        </w:trPr>
        <w:tc>
          <w:tcPr>
            <w:tcW w:w="1872" w:type="dxa"/>
            <w:noWrap/>
            <w:vAlign w:val="center"/>
          </w:tcPr>
          <w:p w14:paraId="710545CF" w14:textId="5225EC04" w:rsidR="004536D7" w:rsidRPr="004B119C" w:rsidRDefault="004536D7" w:rsidP="00696E8F">
            <w:pPr>
              <w:rPr>
                <w:rFonts w:cs="Arial"/>
              </w:rPr>
            </w:pPr>
            <w:r w:rsidRPr="004B119C">
              <w:rPr>
                <w:rFonts w:cs="Arial"/>
              </w:rPr>
              <w:t>021Q0KA</w:t>
            </w:r>
          </w:p>
        </w:tc>
        <w:tc>
          <w:tcPr>
            <w:tcW w:w="7560" w:type="dxa"/>
            <w:noWrap/>
            <w:vAlign w:val="center"/>
          </w:tcPr>
          <w:p w14:paraId="72541965" w14:textId="0461FBA4" w:rsidR="004536D7" w:rsidRPr="004B119C" w:rsidRDefault="004536D7" w:rsidP="00696E8F">
            <w:pPr>
              <w:rPr>
                <w:rFonts w:cs="Arial"/>
              </w:rPr>
            </w:pPr>
            <w:r w:rsidRPr="004B119C">
              <w:rPr>
                <w:rFonts w:cs="Arial"/>
              </w:rPr>
              <w:t xml:space="preserve">Bypass Right Pulmonary Artery from Innominate Artery with </w:t>
            </w:r>
            <w:proofErr w:type="spellStart"/>
            <w:r w:rsidRPr="004B119C">
              <w:rPr>
                <w:rFonts w:cs="Arial"/>
              </w:rPr>
              <w:t>Nonautologous</w:t>
            </w:r>
            <w:proofErr w:type="spellEnd"/>
            <w:r w:rsidRPr="004B119C">
              <w:rPr>
                <w:rFonts w:cs="Arial"/>
              </w:rPr>
              <w:t xml:space="preserve"> Tissue Substitute, Open Approach</w:t>
            </w:r>
          </w:p>
        </w:tc>
      </w:tr>
      <w:tr w:rsidR="004536D7" w:rsidRPr="00A25DE1" w14:paraId="6A05144B" w14:textId="77777777" w:rsidTr="00696E8F">
        <w:trPr>
          <w:trHeight w:val="300"/>
        </w:trPr>
        <w:tc>
          <w:tcPr>
            <w:tcW w:w="1872" w:type="dxa"/>
            <w:noWrap/>
            <w:vAlign w:val="center"/>
          </w:tcPr>
          <w:p w14:paraId="6F126AA3" w14:textId="0D7A7C16" w:rsidR="004536D7" w:rsidRPr="004B119C" w:rsidRDefault="004536D7" w:rsidP="00696E8F">
            <w:pPr>
              <w:rPr>
                <w:rFonts w:cs="Arial"/>
              </w:rPr>
            </w:pPr>
            <w:r w:rsidRPr="004B119C">
              <w:rPr>
                <w:rFonts w:cs="Arial"/>
              </w:rPr>
              <w:t>021Q0KB</w:t>
            </w:r>
          </w:p>
        </w:tc>
        <w:tc>
          <w:tcPr>
            <w:tcW w:w="7560" w:type="dxa"/>
            <w:noWrap/>
            <w:vAlign w:val="center"/>
          </w:tcPr>
          <w:p w14:paraId="3091F231" w14:textId="59262DBE" w:rsidR="004536D7" w:rsidRPr="004B119C" w:rsidRDefault="004536D7" w:rsidP="00696E8F">
            <w:pPr>
              <w:rPr>
                <w:rFonts w:cs="Arial"/>
              </w:rPr>
            </w:pPr>
            <w:r w:rsidRPr="004B119C">
              <w:rPr>
                <w:rFonts w:cs="Arial"/>
              </w:rPr>
              <w:t xml:space="preserve">Bypass Right Pulmonary Artery from Subclavian with </w:t>
            </w:r>
            <w:proofErr w:type="spellStart"/>
            <w:r w:rsidRPr="004B119C">
              <w:rPr>
                <w:rFonts w:cs="Arial"/>
              </w:rPr>
              <w:t>Nonautologous</w:t>
            </w:r>
            <w:proofErr w:type="spellEnd"/>
            <w:r w:rsidRPr="004B119C">
              <w:rPr>
                <w:rFonts w:cs="Arial"/>
              </w:rPr>
              <w:t xml:space="preserve"> Tissue Substitute, Open Approach</w:t>
            </w:r>
          </w:p>
        </w:tc>
      </w:tr>
      <w:tr w:rsidR="004536D7" w:rsidRPr="00A25DE1" w14:paraId="7ABB1EBD" w14:textId="77777777" w:rsidTr="00696E8F">
        <w:trPr>
          <w:trHeight w:val="300"/>
        </w:trPr>
        <w:tc>
          <w:tcPr>
            <w:tcW w:w="1872" w:type="dxa"/>
            <w:noWrap/>
            <w:vAlign w:val="center"/>
          </w:tcPr>
          <w:p w14:paraId="1AD431EF" w14:textId="603824CC" w:rsidR="004536D7" w:rsidRPr="004B119C" w:rsidRDefault="004536D7" w:rsidP="00696E8F">
            <w:pPr>
              <w:rPr>
                <w:rFonts w:cs="Arial"/>
              </w:rPr>
            </w:pPr>
            <w:r w:rsidRPr="004B119C">
              <w:rPr>
                <w:rFonts w:cs="Arial"/>
              </w:rPr>
              <w:t>021Q0KD</w:t>
            </w:r>
          </w:p>
        </w:tc>
        <w:tc>
          <w:tcPr>
            <w:tcW w:w="7560" w:type="dxa"/>
            <w:noWrap/>
            <w:vAlign w:val="center"/>
          </w:tcPr>
          <w:p w14:paraId="598C6993" w14:textId="46536105" w:rsidR="004536D7" w:rsidRPr="004B119C" w:rsidRDefault="004536D7" w:rsidP="00696E8F">
            <w:pPr>
              <w:rPr>
                <w:rFonts w:cs="Arial"/>
              </w:rPr>
            </w:pPr>
            <w:r w:rsidRPr="004B119C">
              <w:rPr>
                <w:rFonts w:cs="Arial"/>
              </w:rPr>
              <w:t xml:space="preserve">Bypass Right Pulmonary Artery from Carotid with </w:t>
            </w:r>
            <w:proofErr w:type="spellStart"/>
            <w:r w:rsidRPr="004B119C">
              <w:rPr>
                <w:rFonts w:cs="Arial"/>
              </w:rPr>
              <w:t>Nonautologous</w:t>
            </w:r>
            <w:proofErr w:type="spellEnd"/>
            <w:r w:rsidRPr="004B119C">
              <w:rPr>
                <w:rFonts w:cs="Arial"/>
              </w:rPr>
              <w:t xml:space="preserve"> Tissue Substitute, Open Approach</w:t>
            </w:r>
          </w:p>
        </w:tc>
      </w:tr>
      <w:tr w:rsidR="004536D7" w:rsidRPr="00A25DE1" w14:paraId="3D6C8068" w14:textId="77777777" w:rsidTr="00696E8F">
        <w:trPr>
          <w:trHeight w:val="300"/>
        </w:trPr>
        <w:tc>
          <w:tcPr>
            <w:tcW w:w="1872" w:type="dxa"/>
            <w:noWrap/>
            <w:vAlign w:val="center"/>
          </w:tcPr>
          <w:p w14:paraId="1C4C1D10" w14:textId="1731901B" w:rsidR="004536D7" w:rsidRPr="004B119C" w:rsidRDefault="004536D7" w:rsidP="00696E8F">
            <w:pPr>
              <w:rPr>
                <w:rFonts w:cs="Arial"/>
              </w:rPr>
            </w:pPr>
            <w:r w:rsidRPr="004B119C">
              <w:rPr>
                <w:rFonts w:cs="Arial"/>
              </w:rPr>
              <w:t xml:space="preserve">021V0ZP  </w:t>
            </w:r>
          </w:p>
        </w:tc>
        <w:tc>
          <w:tcPr>
            <w:tcW w:w="7560" w:type="dxa"/>
            <w:noWrap/>
            <w:vAlign w:val="center"/>
          </w:tcPr>
          <w:p w14:paraId="2F03BCBE" w14:textId="2A56AE78" w:rsidR="004536D7" w:rsidRPr="004B119C" w:rsidRDefault="004536D7" w:rsidP="00696E8F">
            <w:pPr>
              <w:rPr>
                <w:rFonts w:cs="Arial"/>
              </w:rPr>
            </w:pPr>
            <w:r w:rsidRPr="004B119C">
              <w:rPr>
                <w:rFonts w:cs="Arial"/>
              </w:rPr>
              <w:t xml:space="preserve">Bypass Superior Vena Cava to Pulmonary Trunk, Open Approach </w:t>
            </w:r>
          </w:p>
        </w:tc>
      </w:tr>
      <w:tr w:rsidR="004536D7" w:rsidRPr="00A25DE1" w14:paraId="5EC6CDE7" w14:textId="77777777" w:rsidTr="00696E8F">
        <w:trPr>
          <w:trHeight w:val="300"/>
        </w:trPr>
        <w:tc>
          <w:tcPr>
            <w:tcW w:w="1872" w:type="dxa"/>
            <w:noWrap/>
            <w:vAlign w:val="center"/>
          </w:tcPr>
          <w:p w14:paraId="34E1338F" w14:textId="1403DA93" w:rsidR="004536D7" w:rsidRPr="004B119C" w:rsidRDefault="004536D7" w:rsidP="00696E8F">
            <w:pPr>
              <w:rPr>
                <w:rFonts w:cs="Arial"/>
              </w:rPr>
            </w:pPr>
            <w:r w:rsidRPr="004B119C">
              <w:rPr>
                <w:rFonts w:cs="Arial"/>
              </w:rPr>
              <w:t xml:space="preserve">021V0ZQ  </w:t>
            </w:r>
          </w:p>
        </w:tc>
        <w:tc>
          <w:tcPr>
            <w:tcW w:w="7560" w:type="dxa"/>
            <w:noWrap/>
            <w:vAlign w:val="center"/>
          </w:tcPr>
          <w:p w14:paraId="3E83BBC2" w14:textId="52914EB9" w:rsidR="004536D7" w:rsidRPr="004B119C" w:rsidRDefault="004536D7" w:rsidP="00696E8F">
            <w:pPr>
              <w:rPr>
                <w:rFonts w:cs="Arial"/>
              </w:rPr>
            </w:pPr>
            <w:r w:rsidRPr="004B119C">
              <w:rPr>
                <w:rFonts w:cs="Arial"/>
              </w:rPr>
              <w:t>Bypass Superior Vena Cava to Right Pulmonary Artery, Open Approach</w:t>
            </w:r>
          </w:p>
        </w:tc>
      </w:tr>
      <w:tr w:rsidR="004536D7" w:rsidRPr="00A25DE1" w14:paraId="2711B2BE" w14:textId="77777777" w:rsidTr="00696E8F">
        <w:trPr>
          <w:trHeight w:val="300"/>
        </w:trPr>
        <w:tc>
          <w:tcPr>
            <w:tcW w:w="1872" w:type="dxa"/>
            <w:noWrap/>
            <w:vAlign w:val="center"/>
          </w:tcPr>
          <w:p w14:paraId="4CCDB7E3" w14:textId="49B7D523" w:rsidR="004536D7" w:rsidRPr="004B119C" w:rsidRDefault="004536D7" w:rsidP="00696E8F">
            <w:pPr>
              <w:rPr>
                <w:rFonts w:cs="Arial"/>
              </w:rPr>
            </w:pPr>
            <w:r w:rsidRPr="004B119C">
              <w:rPr>
                <w:rFonts w:cs="Arial"/>
              </w:rPr>
              <w:t xml:space="preserve">021V0ZR  </w:t>
            </w:r>
          </w:p>
        </w:tc>
        <w:tc>
          <w:tcPr>
            <w:tcW w:w="7560" w:type="dxa"/>
            <w:noWrap/>
            <w:vAlign w:val="center"/>
          </w:tcPr>
          <w:p w14:paraId="0B145BC8" w14:textId="25044C73" w:rsidR="004536D7" w:rsidRPr="004B119C" w:rsidRDefault="004536D7" w:rsidP="00696E8F">
            <w:pPr>
              <w:rPr>
                <w:rFonts w:cs="Arial"/>
              </w:rPr>
            </w:pPr>
            <w:r w:rsidRPr="004B119C">
              <w:rPr>
                <w:rFonts w:cs="Arial"/>
              </w:rPr>
              <w:t>Bypass Superior Vena Cava to Left Pulmonary Artery, Open Approach</w:t>
            </w:r>
          </w:p>
        </w:tc>
      </w:tr>
    </w:tbl>
    <w:p w14:paraId="664587F9" w14:textId="77777777" w:rsidR="004B119C" w:rsidRDefault="004B119C" w:rsidP="00A05F36">
      <w:pPr>
        <w:rPr>
          <w:b/>
        </w:rPr>
      </w:pPr>
    </w:p>
    <w:p w14:paraId="298A8D07" w14:textId="77777777" w:rsidR="00A05F36" w:rsidRPr="009A5185" w:rsidRDefault="00A05F36" w:rsidP="00BC1491">
      <w:pPr>
        <w:rPr>
          <w:rFonts w:cs="Arial"/>
          <w:b/>
        </w:rPr>
      </w:pPr>
    </w:p>
    <w:p w14:paraId="6AB4049C" w14:textId="77777777" w:rsidR="00ED4ABD" w:rsidRDefault="00ED4ABD">
      <w:pPr>
        <w:rPr>
          <w:rFonts w:cs="Arial"/>
          <w:b/>
          <w:i/>
          <w:snapToGrid w:val="0"/>
          <w:sz w:val="24"/>
          <w:szCs w:val="24"/>
          <w:lang w:eastAsia="ja-JP"/>
        </w:rPr>
      </w:pPr>
      <w:bookmarkStart w:id="267" w:name="_Inpatient_Surgery_Frequently"/>
      <w:bookmarkStart w:id="268" w:name="_Ref99636785"/>
      <w:bookmarkEnd w:id="267"/>
      <w:r>
        <w:br w:type="page"/>
      </w:r>
    </w:p>
    <w:p w14:paraId="2A5760ED" w14:textId="16D80481" w:rsidR="00ED4ABD" w:rsidRDefault="00ED4ABD" w:rsidP="00AB5B80">
      <w:pPr>
        <w:pStyle w:val="Heading3"/>
      </w:pPr>
      <w:bookmarkStart w:id="269" w:name="_Safe_Surgery_Checklist_2"/>
      <w:bookmarkStart w:id="270" w:name="_Ref123646841"/>
      <w:bookmarkStart w:id="271" w:name="_Toc225877715"/>
      <w:bookmarkEnd w:id="269"/>
      <w:r>
        <w:lastRenderedPageBreak/>
        <w:t>Safe Surgery Checklist for Adult and Pediatric Complex Surgery</w:t>
      </w:r>
      <w:r w:rsidR="00B078B4">
        <w:t xml:space="preserve"> Measure Specifications</w:t>
      </w:r>
      <w:bookmarkEnd w:id="268"/>
      <w:bookmarkEnd w:id="270"/>
      <w:bookmarkEnd w:id="271"/>
    </w:p>
    <w:p w14:paraId="414A054C" w14:textId="36CBE196" w:rsidR="00B66F3F" w:rsidRPr="00D51874" w:rsidRDefault="00B66F3F" w:rsidP="00B66F3F">
      <w:pPr>
        <w:rPr>
          <w:rFonts w:cs="Arial"/>
          <w:b/>
          <w:snapToGrid w:val="0"/>
          <w:color w:val="FF0000"/>
        </w:rPr>
      </w:pPr>
      <w:r>
        <w:rPr>
          <w:rFonts w:cs="Arial"/>
          <w:b/>
          <w:snapToGrid w:val="0"/>
          <w:color w:val="FF0000"/>
        </w:rPr>
        <w:br/>
      </w:r>
      <w:r w:rsidRPr="00873014">
        <w:rPr>
          <w:rFonts w:cs="Arial"/>
          <w:b/>
          <w:snapToGrid w:val="0"/>
          <w:color w:val="FF0000"/>
        </w:rPr>
        <w:t>Important Note:</w:t>
      </w:r>
      <w:r>
        <w:rPr>
          <w:rFonts w:cs="Arial"/>
          <w:b/>
          <w:snapToGrid w:val="0"/>
          <w:color w:val="FF0000"/>
        </w:rPr>
        <w:t xml:space="preserve"> </w:t>
      </w:r>
      <w:r w:rsidRPr="004F5E10">
        <w:rPr>
          <w:rFonts w:cs="Arial"/>
          <w:snapToGrid w:val="0"/>
        </w:rPr>
        <w:t xml:space="preserve">Hospitals that share a CMS Certification Number are required to report by facility. Please carefully review </w:t>
      </w:r>
      <w:hyperlink r:id="rId235" w:history="1">
        <w:r w:rsidRPr="004F5E10">
          <w:rPr>
            <w:rFonts w:cs="Arial"/>
            <w:snapToGrid w:val="0"/>
            <w:color w:val="0000FF"/>
            <w:u w:val="single"/>
          </w:rPr>
          <w:t>Leapfrog’s Multi-Campus Reporting Policy</w:t>
        </w:r>
      </w:hyperlink>
      <w:r w:rsidRPr="004F5E10">
        <w:rPr>
          <w:rFonts w:cs="Arial"/>
          <w:snapToGrid w:val="0"/>
        </w:rPr>
        <w:t>.</w:t>
      </w:r>
    </w:p>
    <w:p w14:paraId="752E1D1D" w14:textId="77777777" w:rsidR="00ED4ABD" w:rsidRPr="00273DF1" w:rsidRDefault="00ED4ABD" w:rsidP="00ED4ABD">
      <w:pPr>
        <w:rPr>
          <w:sz w:val="16"/>
          <w:szCs w:val="16"/>
        </w:rPr>
      </w:pPr>
    </w:p>
    <w:tbl>
      <w:tblPr>
        <w:tblStyle w:val="TableGrid"/>
        <w:tblW w:w="0" w:type="auto"/>
        <w:tblLook w:val="04A0" w:firstRow="1" w:lastRow="0" w:firstColumn="1" w:lastColumn="0" w:noHBand="0" w:noVBand="1"/>
      </w:tblPr>
      <w:tblGrid>
        <w:gridCol w:w="9350"/>
      </w:tblGrid>
      <w:tr w:rsidR="00ED4ABD" w14:paraId="34743234" w14:textId="77777777" w:rsidTr="00273DF1">
        <w:trPr>
          <w:trHeight w:val="288"/>
        </w:trPr>
        <w:tc>
          <w:tcPr>
            <w:tcW w:w="9350" w:type="dxa"/>
            <w:vAlign w:val="center"/>
          </w:tcPr>
          <w:p w14:paraId="051FEA82" w14:textId="218B05DC" w:rsidR="00ED4ABD" w:rsidRPr="00EA6AEE" w:rsidRDefault="00ED4ABD" w:rsidP="00C03512">
            <w:pPr>
              <w:contextualSpacing/>
            </w:pPr>
            <w:r w:rsidRPr="00EA6AEE">
              <w:rPr>
                <w:b/>
                <w:bCs/>
              </w:rPr>
              <w:t>Source</w:t>
            </w:r>
            <w:r w:rsidRPr="00EA6AEE">
              <w:t xml:space="preserve">: </w:t>
            </w:r>
            <w:r w:rsidRPr="00574A8F">
              <w:t>The Leapfrog Group</w:t>
            </w:r>
            <w:r>
              <w:t xml:space="preserve">, </w:t>
            </w:r>
            <w:hyperlink r:id="rId236" w:history="1">
              <w:r w:rsidR="00A05B85" w:rsidRPr="00A05B85">
                <w:rPr>
                  <w:rStyle w:val="Hyperlink"/>
                </w:rPr>
                <w:t>WHO Surgical Safety Checklist</w:t>
              </w:r>
            </w:hyperlink>
            <w:r w:rsidR="00A05B85" w:rsidRPr="00A05B85">
              <w:t xml:space="preserve"> and </w:t>
            </w:r>
            <w:hyperlink r:id="rId237" w:history="1">
              <w:r w:rsidR="00A05B85" w:rsidRPr="00A05B85">
                <w:rPr>
                  <w:rStyle w:val="Hyperlink"/>
                </w:rPr>
                <w:t>Implementation Manual</w:t>
              </w:r>
            </w:hyperlink>
            <w:r>
              <w:t xml:space="preserve">, </w:t>
            </w:r>
            <w:hyperlink r:id="rId238" w:history="1">
              <w:r w:rsidRPr="005D782F">
                <w:rPr>
                  <w:rStyle w:val="Hyperlink"/>
                </w:rPr>
                <w:t>AHRQ Endoscopy Checklist</w:t>
              </w:r>
            </w:hyperlink>
          </w:p>
        </w:tc>
      </w:tr>
      <w:tr w:rsidR="00ED4ABD" w14:paraId="44CFF404" w14:textId="77777777" w:rsidTr="00273DF1">
        <w:trPr>
          <w:trHeight w:val="288"/>
        </w:trPr>
        <w:tc>
          <w:tcPr>
            <w:tcW w:w="9350" w:type="dxa"/>
            <w:vAlign w:val="center"/>
          </w:tcPr>
          <w:p w14:paraId="000CDBAD" w14:textId="59531564" w:rsidR="00430AE0" w:rsidRDefault="00ED4ABD" w:rsidP="00C03512">
            <w:pPr>
              <w:contextualSpacing/>
            </w:pPr>
            <w:r w:rsidRPr="00EA6AEE">
              <w:rPr>
                <w:b/>
                <w:bCs/>
              </w:rPr>
              <w:t>Reporting Period</w:t>
            </w:r>
            <w:r>
              <w:t xml:space="preserve">: </w:t>
            </w:r>
            <w:r w:rsidR="00430AE0" w:rsidRPr="000F3D1F">
              <w:rPr>
                <w:b/>
                <w:bCs/>
              </w:rPr>
              <w:t>12 months</w:t>
            </w:r>
          </w:p>
          <w:p w14:paraId="68B6B879" w14:textId="0A646BCF" w:rsidR="00DD3592" w:rsidRPr="00EA6AEE" w:rsidRDefault="00B90CB9" w:rsidP="00C03512">
            <w:pPr>
              <w:contextualSpacing/>
            </w:pPr>
            <w:r>
              <w:t>Latest 12-month period prior to submission of this section of the Survey</w:t>
            </w:r>
          </w:p>
        </w:tc>
      </w:tr>
      <w:tr w:rsidR="00ED4ABD" w14:paraId="4E4DCD71" w14:textId="77777777" w:rsidTr="00C03512">
        <w:trPr>
          <w:trHeight w:val="2132"/>
        </w:trPr>
        <w:tc>
          <w:tcPr>
            <w:tcW w:w="9350" w:type="dxa"/>
            <w:vAlign w:val="center"/>
          </w:tcPr>
          <w:p w14:paraId="78D1132B" w14:textId="77777777" w:rsidR="00ED4ABD" w:rsidRPr="00EA6AEE" w:rsidRDefault="00ED4ABD" w:rsidP="00C03512">
            <w:pPr>
              <w:contextualSpacing/>
              <w:rPr>
                <w:b/>
                <w:bCs/>
              </w:rPr>
            </w:pPr>
            <w:r w:rsidRPr="00EA6AEE">
              <w:rPr>
                <w:b/>
                <w:bCs/>
              </w:rPr>
              <w:t>Safe Surgery Checklist Workbook (Excel)</w:t>
            </w:r>
          </w:p>
          <w:p w14:paraId="07D95109" w14:textId="77777777" w:rsidR="00ED4ABD" w:rsidRDefault="00ED4ABD" w:rsidP="00C03512">
            <w:pPr>
              <w:contextualSpacing/>
            </w:pPr>
          </w:p>
          <w:p w14:paraId="370675DA" w14:textId="286F8301" w:rsidR="00ED4ABD" w:rsidRDefault="00ED4ABD" w:rsidP="00C03512">
            <w:pPr>
              <w:contextualSpacing/>
            </w:pPr>
            <w:r>
              <w:t>To complete the data collection and respond to questions #6</w:t>
            </w:r>
            <w:r w:rsidR="00125AF9">
              <w:t>-</w:t>
            </w:r>
            <w:r w:rsidR="00DD3592">
              <w:t>9</w:t>
            </w:r>
            <w:r>
              <w:t>, hospitals should download the Safe Surgery Checklist Workbook (Excel). This workbook includes five tabs: Instructions, Section 3</w:t>
            </w:r>
            <w:r w:rsidR="00DD3592">
              <w:t>B</w:t>
            </w:r>
            <w:r>
              <w:t xml:space="preserve"> (Complex Surgery), Section 3</w:t>
            </w:r>
            <w:r w:rsidR="00DD3592">
              <w:t>B</w:t>
            </w:r>
            <w:r>
              <w:t xml:space="preserve"> – Data Entry, Section </w:t>
            </w:r>
            <w:r w:rsidR="00125AF9">
              <w:t>9</w:t>
            </w:r>
            <w:r>
              <w:t xml:space="preserve">D (Outpatient Procedures), Section </w:t>
            </w:r>
            <w:r w:rsidR="00125AF9">
              <w:t>9</w:t>
            </w:r>
            <w:r>
              <w:t>D – Data Entry. The Section 3</w:t>
            </w:r>
            <w:r w:rsidR="00DD3592">
              <w:t>B</w:t>
            </w:r>
            <w:r>
              <w:t xml:space="preserve"> tabs can be used to complete the safe surgery checklist audits for this subsection </w:t>
            </w:r>
            <w:r w:rsidR="002A41B0">
              <w:t xml:space="preserve">and </w:t>
            </w:r>
            <w:r>
              <w:t>to calculate the response for question #</w:t>
            </w:r>
            <w:r w:rsidR="00DD3592">
              <w:t>9</w:t>
            </w:r>
            <w:r>
              <w:t xml:space="preserve">. </w:t>
            </w:r>
          </w:p>
          <w:p w14:paraId="0DE3ECC9" w14:textId="77777777" w:rsidR="00ED4ABD" w:rsidRDefault="00ED4ABD" w:rsidP="00C03512">
            <w:pPr>
              <w:contextualSpacing/>
            </w:pPr>
          </w:p>
          <w:p w14:paraId="195789CA" w14:textId="1BF74553" w:rsidR="00ED4ABD" w:rsidRPr="00EA6AEE" w:rsidRDefault="00ED4ABD" w:rsidP="00C03512">
            <w:pPr>
              <w:contextualSpacing/>
            </w:pPr>
            <w:r>
              <w:t xml:space="preserve">The workbook is available on the </w:t>
            </w:r>
            <w:hyperlink r:id="rId239" w:history="1">
              <w:r w:rsidRPr="00AD5B49">
                <w:rPr>
                  <w:rStyle w:val="Hyperlink"/>
                </w:rPr>
                <w:t>Survey Materials Webpage</w:t>
              </w:r>
            </w:hyperlink>
            <w:r>
              <w:t>.</w:t>
            </w:r>
          </w:p>
        </w:tc>
      </w:tr>
      <w:tr w:rsidR="00ED4ABD" w14:paraId="6AA42FF5" w14:textId="77777777" w:rsidTr="00C03512">
        <w:trPr>
          <w:trHeight w:val="3600"/>
        </w:trPr>
        <w:tc>
          <w:tcPr>
            <w:tcW w:w="9350" w:type="dxa"/>
            <w:vAlign w:val="center"/>
          </w:tcPr>
          <w:p w14:paraId="19CF57B2" w14:textId="77777777" w:rsidR="00ED4ABD" w:rsidRDefault="00ED4ABD" w:rsidP="00C03512">
            <w:pPr>
              <w:pStyle w:val="EndnoteText"/>
              <w:rPr>
                <w:rFonts w:cs="Arial"/>
              </w:rPr>
            </w:pPr>
            <w:r w:rsidRPr="00C76D2B">
              <w:rPr>
                <w:rFonts w:cs="Arial"/>
                <w:b/>
              </w:rPr>
              <w:t>Sampling:</w:t>
            </w:r>
            <w:r w:rsidRPr="00C76D2B">
              <w:rPr>
                <w:rFonts w:cs="Arial"/>
              </w:rPr>
              <w:t xml:space="preserve"> </w:t>
            </w:r>
          </w:p>
          <w:p w14:paraId="426413DE" w14:textId="77777777" w:rsidR="00ED4ABD" w:rsidRDefault="00ED4ABD" w:rsidP="00C03512">
            <w:pPr>
              <w:pStyle w:val="EndnoteText"/>
              <w:rPr>
                <w:rFonts w:cs="Arial"/>
              </w:rPr>
            </w:pPr>
          </w:p>
          <w:p w14:paraId="145AFB13" w14:textId="79E41E81" w:rsidR="00ED4ABD" w:rsidRDefault="00ED4ABD" w:rsidP="00C03512">
            <w:pPr>
              <w:pStyle w:val="EndnoteText"/>
              <w:rPr>
                <w:rFonts w:cs="Arial"/>
              </w:rPr>
            </w:pPr>
            <w:r>
              <w:t>Hospitals</w:t>
            </w:r>
            <w:r>
              <w:rPr>
                <w:rFonts w:cs="Arial"/>
              </w:rPr>
              <w:t xml:space="preserve"> </w:t>
            </w:r>
            <w:r w:rsidR="00125AF9">
              <w:rPr>
                <w:rFonts w:cs="Arial"/>
              </w:rPr>
              <w:t>that perform procedures in both Section 3A and Section 9C</w:t>
            </w:r>
            <w:r w:rsidR="00417410">
              <w:rPr>
                <w:rFonts w:cs="Arial"/>
              </w:rPr>
              <w:t>,</w:t>
            </w:r>
            <w:r w:rsidR="00125AF9">
              <w:rPr>
                <w:rFonts w:cs="Arial"/>
              </w:rPr>
              <w:t xml:space="preserve"> </w:t>
            </w:r>
            <w:r w:rsidR="00F30CD8">
              <w:rPr>
                <w:rFonts w:cs="Arial"/>
              </w:rPr>
              <w:t>and submit both Section 3 and 9</w:t>
            </w:r>
            <w:r w:rsidR="00417410">
              <w:rPr>
                <w:rFonts w:cs="Arial"/>
              </w:rPr>
              <w:t>,</w:t>
            </w:r>
            <w:r w:rsidR="00F30CD8">
              <w:rPr>
                <w:rFonts w:cs="Arial"/>
              </w:rPr>
              <w:t xml:space="preserve"> </w:t>
            </w:r>
            <w:r>
              <w:rPr>
                <w:rFonts w:cs="Arial"/>
              </w:rPr>
              <w:t xml:space="preserve">can randomly sample 15 patients (who had one of the procedures included in Section 3A) </w:t>
            </w:r>
            <w:r w:rsidRPr="00C76D2B">
              <w:rPr>
                <w:rFonts w:cs="Arial"/>
              </w:rPr>
              <w:t xml:space="preserve">and measure and report adherence </w:t>
            </w:r>
            <w:r>
              <w:rPr>
                <w:rFonts w:cs="Arial"/>
              </w:rPr>
              <w:t xml:space="preserve">to the safe surgery checklist </w:t>
            </w:r>
            <w:r w:rsidRPr="00C76D2B">
              <w:rPr>
                <w:rFonts w:cs="Arial"/>
              </w:rPr>
              <w:t xml:space="preserve">based on that sample. </w:t>
            </w:r>
          </w:p>
          <w:p w14:paraId="099BFC6F" w14:textId="3666115E" w:rsidR="00125AF9" w:rsidRDefault="00125AF9" w:rsidP="00C03512">
            <w:pPr>
              <w:pStyle w:val="EndnoteText"/>
              <w:rPr>
                <w:rFonts w:cs="Arial"/>
              </w:rPr>
            </w:pPr>
          </w:p>
          <w:p w14:paraId="04B5035E" w14:textId="1AEC64CF" w:rsidR="00125AF9" w:rsidRDefault="00125AF9" w:rsidP="00C03512">
            <w:pPr>
              <w:pStyle w:val="EndnoteText"/>
              <w:rPr>
                <w:rFonts w:cs="Arial"/>
              </w:rPr>
            </w:pPr>
            <w:r>
              <w:rPr>
                <w:rFonts w:cs="Arial"/>
              </w:rPr>
              <w:t>Hospitals that ONLY perform the procedures in Section 3A</w:t>
            </w:r>
            <w:r w:rsidR="00E54E89">
              <w:rPr>
                <w:rFonts w:cs="Arial"/>
              </w:rPr>
              <w:t>,</w:t>
            </w:r>
            <w:r>
              <w:rPr>
                <w:rFonts w:cs="Arial"/>
              </w:rPr>
              <w:t xml:space="preserve"> </w:t>
            </w:r>
            <w:r w:rsidR="00E54E89">
              <w:rPr>
                <w:rFonts w:cs="Arial"/>
              </w:rPr>
              <w:t xml:space="preserve">or that ONLY submit Section 3, </w:t>
            </w:r>
            <w:r w:rsidR="00B405F6">
              <w:rPr>
                <w:rFonts w:cs="Arial"/>
              </w:rPr>
              <w:t xml:space="preserve">must </w:t>
            </w:r>
            <w:r>
              <w:rPr>
                <w:rFonts w:cs="Arial"/>
              </w:rPr>
              <w:t xml:space="preserve">randomly sample 30 patients (who had one of the procedures included in Section 3A) </w:t>
            </w:r>
            <w:r w:rsidRPr="00C76D2B">
              <w:rPr>
                <w:rFonts w:cs="Arial"/>
              </w:rPr>
              <w:t xml:space="preserve">and measure and report adherence </w:t>
            </w:r>
            <w:r>
              <w:rPr>
                <w:rFonts w:cs="Arial"/>
              </w:rPr>
              <w:t xml:space="preserve">to the safe surgery checklist </w:t>
            </w:r>
            <w:r w:rsidRPr="00C76D2B">
              <w:rPr>
                <w:rFonts w:cs="Arial"/>
              </w:rPr>
              <w:t>based on that sample.</w:t>
            </w:r>
          </w:p>
          <w:p w14:paraId="015ED010" w14:textId="77777777" w:rsidR="00ED4ABD" w:rsidRDefault="00ED4ABD" w:rsidP="00C03512">
            <w:pPr>
              <w:pStyle w:val="EndnoteText"/>
              <w:rPr>
                <w:rFonts w:cs="Arial"/>
              </w:rPr>
            </w:pPr>
          </w:p>
          <w:p w14:paraId="4E83B8FC" w14:textId="77777777" w:rsidR="00ED4ABD" w:rsidRDefault="00ED4ABD" w:rsidP="00C03512">
            <w:pPr>
              <w:pStyle w:val="EndnoteText"/>
              <w:rPr>
                <w:rFonts w:cs="Arial"/>
              </w:rPr>
            </w:pPr>
            <w:r w:rsidRPr="00C76D2B">
              <w:rPr>
                <w:rFonts w:cs="Arial"/>
              </w:rPr>
              <w:t xml:space="preserve">When sampling from a larger population of cases, </w:t>
            </w:r>
            <w:r>
              <w:rPr>
                <w:rFonts w:cs="Arial"/>
              </w:rPr>
              <w:t xml:space="preserve">hospitals that perform multiple procedures (e.g., bariatric surgery for weight loss, total hip replacement, total knee replacement, etc.) included in Section 3A and hospitals that perform procedures for both adult and pediatric patients (e.g., the Norwood Procedures) should obtain a representative sample (i.e., include patients who underwent different procedures and include both adult and pediatric patients, if applicable). </w:t>
            </w:r>
          </w:p>
          <w:p w14:paraId="2C5AE547" w14:textId="77777777" w:rsidR="00996235" w:rsidRDefault="00996235" w:rsidP="00C03512">
            <w:pPr>
              <w:pStyle w:val="EndnoteText"/>
              <w:rPr>
                <w:rFonts w:cs="Arial"/>
              </w:rPr>
            </w:pPr>
          </w:p>
          <w:p w14:paraId="6FD572DB" w14:textId="0D8DFFB1" w:rsidR="00996235" w:rsidRPr="00996235" w:rsidRDefault="00996235" w:rsidP="00996235">
            <w:pPr>
              <w:pStyle w:val="ListParagraph"/>
              <w:ind w:left="0"/>
              <w:rPr>
                <w:rFonts w:cs="Arial"/>
                <w:i/>
                <w:iCs/>
              </w:rPr>
            </w:pPr>
            <w:r w:rsidRPr="00895070">
              <w:rPr>
                <w:rFonts w:cs="Arial"/>
                <w:i/>
                <w:iCs/>
              </w:rPr>
              <w:t xml:space="preserve">Free-standing pediatric hospitals that perform the Norwood Procedure </w:t>
            </w:r>
            <w:r>
              <w:rPr>
                <w:rFonts w:cs="Arial"/>
                <w:i/>
                <w:iCs/>
              </w:rPr>
              <w:t xml:space="preserve">and hospitals that reported a combined total hospital volume of less than the sufficient sample for all the procedures in Section 3A </w:t>
            </w:r>
            <w:r w:rsidRPr="00895070">
              <w:rPr>
                <w:rFonts w:cs="Arial"/>
                <w:i/>
                <w:iCs/>
              </w:rPr>
              <w:t xml:space="preserve">can sample any patients that had a procedure performed under general anesthesia. </w:t>
            </w:r>
          </w:p>
        </w:tc>
      </w:tr>
      <w:tr w:rsidR="00ED4ABD" w14:paraId="4EE070E9" w14:textId="77777777" w:rsidTr="00C03512">
        <w:trPr>
          <w:trHeight w:val="2160"/>
        </w:trPr>
        <w:tc>
          <w:tcPr>
            <w:tcW w:w="9350" w:type="dxa"/>
            <w:vAlign w:val="center"/>
          </w:tcPr>
          <w:p w14:paraId="37D0BDEB" w14:textId="33615770" w:rsidR="00ED4ABD" w:rsidRPr="00A762A6" w:rsidRDefault="00ED4ABD" w:rsidP="00C03512">
            <w:pPr>
              <w:rPr>
                <w:rFonts w:cs="Arial"/>
              </w:rPr>
            </w:pPr>
            <w:r w:rsidRPr="00A762A6">
              <w:rPr>
                <w:b/>
                <w:bCs/>
              </w:rPr>
              <w:t>Question #6:</w:t>
            </w:r>
            <w:r w:rsidRPr="00A762A6">
              <w:rPr>
                <w:rFonts w:cs="Arial"/>
              </w:rPr>
              <w:t xml:space="preserve"> </w:t>
            </w:r>
            <w:r w:rsidRPr="00501726">
              <w:rPr>
                <w:rFonts w:cs="Arial"/>
                <w:b/>
                <w:bCs/>
              </w:rPr>
              <w:t xml:space="preserve">Did your hospital perform an audit (either in-person or via the medical record or other EHR data) on </w:t>
            </w:r>
            <w:r w:rsidR="00DA07D2">
              <w:rPr>
                <w:rFonts w:cs="Arial"/>
                <w:b/>
                <w:bCs/>
              </w:rPr>
              <w:t>a sufficient sample of patients</w:t>
            </w:r>
            <w:r w:rsidRPr="00501726">
              <w:rPr>
                <w:rFonts w:cs="Arial"/>
                <w:b/>
                <w:bCs/>
              </w:rPr>
              <w:t xml:space="preserve"> who underwent a procedure included in Section 3A and measure adherence to the safe surgery checklist?</w:t>
            </w:r>
            <w:r w:rsidRPr="00A762A6">
              <w:rPr>
                <w:rFonts w:cs="Arial"/>
              </w:rPr>
              <w:t xml:space="preserve"> </w:t>
            </w:r>
          </w:p>
          <w:p w14:paraId="5E12BA22" w14:textId="77777777" w:rsidR="00ED4ABD" w:rsidRPr="008A1378" w:rsidRDefault="00ED4ABD" w:rsidP="00C03512">
            <w:pPr>
              <w:rPr>
                <w:rFonts w:cs="Arial"/>
              </w:rPr>
            </w:pPr>
          </w:p>
          <w:p w14:paraId="5DEC575D" w14:textId="5C3B24A6" w:rsidR="00764EEA" w:rsidRPr="00D87C59" w:rsidRDefault="00ED4ABD" w:rsidP="00C03512">
            <w:pPr>
              <w:rPr>
                <w:rFonts w:cs="Arial"/>
              </w:rPr>
            </w:pPr>
            <w:r w:rsidRPr="008A1378">
              <w:rPr>
                <w:rFonts w:cs="Arial"/>
              </w:rPr>
              <w:t xml:space="preserve">To respond “yes” to question #6, </w:t>
            </w:r>
            <w:r>
              <w:rPr>
                <w:rFonts w:cs="Arial"/>
              </w:rPr>
              <w:t>hospitals</w:t>
            </w:r>
            <w:r w:rsidRPr="008A1378">
              <w:rPr>
                <w:rFonts w:cs="Arial"/>
              </w:rPr>
              <w:t xml:space="preserve"> must measure and document whether all the elements in questions #3, #4, and #5 were verbalized in the presence of the appropriate personnel for each sampled case.</w:t>
            </w:r>
            <w:r w:rsidRPr="008A1378">
              <w:rPr>
                <w:rFonts w:cs="Arial"/>
                <w:i/>
                <w:iCs/>
              </w:rPr>
              <w:t xml:space="preserve"> </w:t>
            </w:r>
            <w:r>
              <w:rPr>
                <w:rFonts w:cs="Arial"/>
              </w:rPr>
              <w:t>Hospitals that completed the audit should respond “yes” to this question regardless of whether the adherence to the checklist was 100%. Hospitals will report on adherence to the checklist in question #</w:t>
            </w:r>
            <w:r w:rsidR="00DD3592">
              <w:rPr>
                <w:rFonts w:cs="Arial"/>
              </w:rPr>
              <w:t>9</w:t>
            </w:r>
            <w:r>
              <w:rPr>
                <w:rFonts w:cs="Arial"/>
              </w:rPr>
              <w:t>.</w:t>
            </w:r>
          </w:p>
        </w:tc>
      </w:tr>
      <w:tr w:rsidR="00DD3592" w14:paraId="488C94A4" w14:textId="77777777" w:rsidTr="000F3D1F">
        <w:trPr>
          <w:trHeight w:val="2160"/>
        </w:trPr>
        <w:tc>
          <w:tcPr>
            <w:tcW w:w="9350" w:type="dxa"/>
          </w:tcPr>
          <w:p w14:paraId="7DC5F980" w14:textId="3625D378" w:rsidR="00DD3592" w:rsidRDefault="00DD3592" w:rsidP="00DD3592">
            <w:pPr>
              <w:rPr>
                <w:b/>
                <w:bCs/>
              </w:rPr>
            </w:pPr>
            <w:r w:rsidRPr="00232087">
              <w:rPr>
                <w:b/>
                <w:bCs/>
              </w:rPr>
              <w:t xml:space="preserve">Question #7: How many cases were </w:t>
            </w:r>
            <w:r w:rsidR="00B90CB9">
              <w:rPr>
                <w:b/>
                <w:bCs/>
              </w:rPr>
              <w:t>included in the audit from</w:t>
            </w:r>
            <w:r w:rsidRPr="00232087">
              <w:rPr>
                <w:b/>
                <w:bCs/>
              </w:rPr>
              <w:t xml:space="preserve"> question #6?</w:t>
            </w:r>
          </w:p>
          <w:p w14:paraId="5374B59B" w14:textId="77777777" w:rsidR="00DD3592" w:rsidRDefault="00DD3592" w:rsidP="00DD3592">
            <w:pPr>
              <w:rPr>
                <w:b/>
                <w:bCs/>
              </w:rPr>
            </w:pPr>
          </w:p>
          <w:p w14:paraId="65D40BDB" w14:textId="77777777" w:rsidR="00DD3592" w:rsidRDefault="00DD3592" w:rsidP="00DD3592">
            <w:pPr>
              <w:pStyle w:val="EndnoteText"/>
              <w:rPr>
                <w:rFonts w:cs="Arial"/>
              </w:rPr>
            </w:pPr>
            <w:r>
              <w:t>Hospitals</w:t>
            </w:r>
            <w:r>
              <w:rPr>
                <w:rFonts w:cs="Arial"/>
              </w:rPr>
              <w:t xml:space="preserve"> that perform procedures in both Section 3A and Section 9C, and submit both Section 3 and 9, can randomly sample 15 patients (who had one of the procedures included in Section 3A) </w:t>
            </w:r>
            <w:r w:rsidRPr="00C76D2B">
              <w:rPr>
                <w:rFonts w:cs="Arial"/>
              </w:rPr>
              <w:t xml:space="preserve">and measure and report adherence </w:t>
            </w:r>
            <w:r>
              <w:rPr>
                <w:rFonts w:cs="Arial"/>
              </w:rPr>
              <w:t xml:space="preserve">to the safe surgery checklist </w:t>
            </w:r>
            <w:r w:rsidRPr="00C76D2B">
              <w:rPr>
                <w:rFonts w:cs="Arial"/>
              </w:rPr>
              <w:t xml:space="preserve">based on that sample. </w:t>
            </w:r>
          </w:p>
          <w:p w14:paraId="12D7BE7B" w14:textId="77777777" w:rsidR="00DD3592" w:rsidRDefault="00DD3592" w:rsidP="00DD3592">
            <w:pPr>
              <w:pStyle w:val="EndnoteText"/>
              <w:rPr>
                <w:rFonts w:cs="Arial"/>
              </w:rPr>
            </w:pPr>
          </w:p>
          <w:p w14:paraId="14DB9FC2" w14:textId="3AA45E9A" w:rsidR="00DD3592" w:rsidRPr="000F3D1F" w:rsidRDefault="00DD3592" w:rsidP="000F3D1F">
            <w:pPr>
              <w:pStyle w:val="EndnoteText"/>
              <w:rPr>
                <w:rFonts w:cs="Arial"/>
              </w:rPr>
            </w:pPr>
            <w:r>
              <w:rPr>
                <w:rFonts w:cs="Arial"/>
              </w:rPr>
              <w:t xml:space="preserve">Hospitals that ONLY perform the procedures in Section 3A, or that ONLY submit Section 3, must randomly sample 30 patients (who had one of the procedures included in Section 3A) </w:t>
            </w:r>
            <w:r w:rsidRPr="00C76D2B">
              <w:rPr>
                <w:rFonts w:cs="Arial"/>
              </w:rPr>
              <w:t xml:space="preserve">and measure and report adherence </w:t>
            </w:r>
            <w:r>
              <w:rPr>
                <w:rFonts w:cs="Arial"/>
              </w:rPr>
              <w:t xml:space="preserve">to the safe surgery checklist </w:t>
            </w:r>
            <w:r w:rsidRPr="00C76D2B">
              <w:rPr>
                <w:rFonts w:cs="Arial"/>
              </w:rPr>
              <w:t>based on that sample.</w:t>
            </w:r>
          </w:p>
        </w:tc>
      </w:tr>
      <w:tr w:rsidR="00B93236" w14:paraId="102DE80F" w14:textId="77777777" w:rsidTr="000F3D1F">
        <w:trPr>
          <w:trHeight w:val="720"/>
        </w:trPr>
        <w:tc>
          <w:tcPr>
            <w:tcW w:w="9350" w:type="dxa"/>
            <w:vAlign w:val="center"/>
          </w:tcPr>
          <w:p w14:paraId="4BCFA48F" w14:textId="3106A41F" w:rsidR="00764EEA" w:rsidRDefault="00B93236" w:rsidP="00C03512">
            <w:pPr>
              <w:rPr>
                <w:b/>
                <w:bCs/>
              </w:rPr>
            </w:pPr>
            <w:r>
              <w:rPr>
                <w:b/>
                <w:bCs/>
              </w:rPr>
              <w:lastRenderedPageBreak/>
              <w:t>Question #</w:t>
            </w:r>
            <w:r w:rsidR="00DD3592">
              <w:rPr>
                <w:b/>
                <w:bCs/>
              </w:rPr>
              <w:t>8</w:t>
            </w:r>
            <w:r>
              <w:rPr>
                <w:b/>
                <w:bCs/>
              </w:rPr>
              <w:t xml:space="preserve">: </w:t>
            </w:r>
            <w:r w:rsidR="00DA07D2" w:rsidRPr="00DA07D2">
              <w:rPr>
                <w:b/>
                <w:bCs/>
              </w:rPr>
              <w:t>What method was used to perform the audit on a sufficient sample in question #6?</w:t>
            </w:r>
          </w:p>
          <w:p w14:paraId="77E8D5F1" w14:textId="77777777" w:rsidR="00764EEA" w:rsidRDefault="00764EEA" w:rsidP="00C03512">
            <w:pPr>
              <w:rPr>
                <w:b/>
                <w:bCs/>
              </w:rPr>
            </w:pPr>
          </w:p>
          <w:p w14:paraId="3A647025" w14:textId="227ACBD8" w:rsidR="00764EEA" w:rsidRDefault="00764EEA" w:rsidP="00C03512">
            <w:pPr>
              <w:rPr>
                <w:rFonts w:cs="Arial"/>
              </w:rPr>
            </w:pPr>
            <w:r>
              <w:rPr>
                <w:rFonts w:cs="Arial"/>
              </w:rPr>
              <w:t xml:space="preserve">Hospitals can </w:t>
            </w:r>
            <w:r w:rsidR="00F8443B">
              <w:rPr>
                <w:rFonts w:cs="Arial"/>
              </w:rPr>
              <w:t xml:space="preserve">only </w:t>
            </w:r>
            <w:r>
              <w:rPr>
                <w:rFonts w:cs="Arial"/>
              </w:rPr>
              <w:t xml:space="preserve">perform a retrospective audit by reviewing medical records or EHR data if adherence to the safe surgery </w:t>
            </w:r>
            <w:r w:rsidR="005E5E65">
              <w:rPr>
                <w:rFonts w:cs="Arial"/>
              </w:rPr>
              <w:t xml:space="preserve">checklist </w:t>
            </w:r>
            <w:r w:rsidR="00BA1A3F">
              <w:rPr>
                <w:rFonts w:cs="Arial"/>
              </w:rPr>
              <w:t>is clearly documented in the</w:t>
            </w:r>
            <w:r w:rsidR="00CD6871">
              <w:rPr>
                <w:rFonts w:cs="Arial"/>
              </w:rPr>
              <w:t xml:space="preserve"> medical record or </w:t>
            </w:r>
            <w:r w:rsidR="00BA1A3F">
              <w:rPr>
                <w:rFonts w:cs="Arial"/>
              </w:rPr>
              <w:t>EHR and the documentation</w:t>
            </w:r>
            <w:r w:rsidR="00CD6871">
              <w:rPr>
                <w:rFonts w:cs="Arial"/>
              </w:rPr>
              <w:t xml:space="preserve"> clearly demonstrates </w:t>
            </w:r>
            <w:r w:rsidRPr="00D87C59">
              <w:rPr>
                <w:rFonts w:cs="Arial"/>
                <w:u w:val="single"/>
              </w:rPr>
              <w:t>th</w:t>
            </w:r>
            <w:r w:rsidR="00BA1A3F">
              <w:rPr>
                <w:rFonts w:cs="Arial"/>
                <w:u w:val="single"/>
              </w:rPr>
              <w:t>at</w:t>
            </w:r>
            <w:r w:rsidRPr="00D87C59">
              <w:rPr>
                <w:rFonts w:cs="Arial"/>
                <w:u w:val="single"/>
              </w:rPr>
              <w:t xml:space="preserve"> each element</w:t>
            </w:r>
            <w:r>
              <w:rPr>
                <w:rFonts w:cs="Arial"/>
                <w:u w:val="single"/>
              </w:rPr>
              <w:t xml:space="preserve"> </w:t>
            </w:r>
            <w:r w:rsidR="00CB266F">
              <w:rPr>
                <w:rFonts w:cs="Arial"/>
                <w:u w:val="single"/>
              </w:rPr>
              <w:t xml:space="preserve">was verbalized </w:t>
            </w:r>
            <w:r>
              <w:rPr>
                <w:rFonts w:cs="Arial"/>
                <w:u w:val="single"/>
              </w:rPr>
              <w:t>in the presence of the appropriate personnel</w:t>
            </w:r>
            <w:r w:rsidR="00CD6871">
              <w:rPr>
                <w:rFonts w:cs="Arial"/>
                <w:u w:val="single"/>
              </w:rPr>
              <w:t xml:space="preserve">. </w:t>
            </w:r>
            <w:r w:rsidR="00D5777C">
              <w:rPr>
                <w:rFonts w:cs="Arial"/>
              </w:rPr>
              <w:t xml:space="preserve">If hospitals cannot clearly determine whether </w:t>
            </w:r>
            <w:r w:rsidR="00CB266F">
              <w:rPr>
                <w:rFonts w:cs="Arial"/>
              </w:rPr>
              <w:t xml:space="preserve">(a) </w:t>
            </w:r>
            <w:r w:rsidR="00D5777C">
              <w:rPr>
                <w:rFonts w:cs="Arial"/>
              </w:rPr>
              <w:t xml:space="preserve">the checklist element was verbalized </w:t>
            </w:r>
            <w:r w:rsidR="002B5D13">
              <w:rPr>
                <w:rFonts w:cs="Arial"/>
              </w:rPr>
              <w:t>and</w:t>
            </w:r>
            <w:r w:rsidR="00CB266F">
              <w:rPr>
                <w:rFonts w:cs="Arial"/>
              </w:rPr>
              <w:t xml:space="preserve"> (b)</w:t>
            </w:r>
            <w:r w:rsidR="002B5D13">
              <w:rPr>
                <w:rFonts w:cs="Arial"/>
              </w:rPr>
              <w:t xml:space="preserve"> that</w:t>
            </w:r>
            <w:r w:rsidR="00CB266F">
              <w:rPr>
                <w:rFonts w:cs="Arial"/>
              </w:rPr>
              <w:t xml:space="preserve"> </w:t>
            </w:r>
            <w:r w:rsidR="00D5777C">
              <w:rPr>
                <w:rFonts w:cs="Arial"/>
              </w:rPr>
              <w:t xml:space="preserve">the appropriate personnel </w:t>
            </w:r>
            <w:r w:rsidR="00AE41A1">
              <w:rPr>
                <w:rFonts w:cs="Arial"/>
              </w:rPr>
              <w:t xml:space="preserve">were present </w:t>
            </w:r>
            <w:r w:rsidR="00D5777C">
              <w:rPr>
                <w:rFonts w:cs="Arial"/>
              </w:rPr>
              <w:t>via a retrospective audit, an in-person observation</w:t>
            </w:r>
            <w:r w:rsidR="005E5E65">
              <w:rPr>
                <w:rFonts w:cs="Arial"/>
              </w:rPr>
              <w:t>al</w:t>
            </w:r>
            <w:r w:rsidR="00D5777C">
              <w:rPr>
                <w:rFonts w:cs="Arial"/>
              </w:rPr>
              <w:t xml:space="preserve"> audit must be completed. </w:t>
            </w:r>
          </w:p>
          <w:p w14:paraId="1F13A3FC" w14:textId="77777777" w:rsidR="00273DF1" w:rsidRDefault="00273DF1" w:rsidP="00C03512">
            <w:pPr>
              <w:rPr>
                <w:rFonts w:cs="Arial"/>
              </w:rPr>
            </w:pPr>
          </w:p>
          <w:p w14:paraId="2B81EA85" w14:textId="52CCA4FE" w:rsidR="003D4CDD" w:rsidRDefault="003D4CDD" w:rsidP="003D4CDD">
            <w:pPr>
              <w:rPr>
                <w:rFonts w:cs="Arial"/>
              </w:rPr>
            </w:pPr>
            <w:bookmarkStart w:id="272" w:name="_Hlk154648003"/>
            <w:r>
              <w:rPr>
                <w:rFonts w:cs="Arial"/>
              </w:rPr>
              <w:t xml:space="preserve">Hospitals performing in-person observational audits must do so in the latest 12 months prior to Survey submission. </w:t>
            </w:r>
          </w:p>
          <w:p w14:paraId="320EB0FB" w14:textId="77777777" w:rsidR="003D4CDD" w:rsidRDefault="003D4CDD" w:rsidP="003D4CDD">
            <w:pPr>
              <w:rPr>
                <w:rFonts w:cs="Arial"/>
              </w:rPr>
            </w:pPr>
          </w:p>
          <w:p w14:paraId="62CDE743" w14:textId="4FBD10F9" w:rsidR="004F5D53" w:rsidRPr="00C03512" w:rsidRDefault="003D4CDD" w:rsidP="003D4CDD">
            <w:pPr>
              <w:rPr>
                <w:rFonts w:cs="Arial"/>
              </w:rPr>
            </w:pPr>
            <w:r>
              <w:rPr>
                <w:rFonts w:cs="Arial"/>
              </w:rPr>
              <w:t>Hospitals performing retrospective audits must audit cases from the latest 12 months prior to Survey submission but can also review any case from Section 3A that was performed in the latest calendar year prior to Survey submission.</w:t>
            </w:r>
            <w:bookmarkEnd w:id="272"/>
          </w:p>
        </w:tc>
      </w:tr>
      <w:tr w:rsidR="00B647A1" w14:paraId="5132EA3B" w14:textId="77777777" w:rsidTr="00C03512">
        <w:trPr>
          <w:trHeight w:val="7056"/>
        </w:trPr>
        <w:tc>
          <w:tcPr>
            <w:tcW w:w="9350" w:type="dxa"/>
            <w:vAlign w:val="center"/>
          </w:tcPr>
          <w:p w14:paraId="6FAA1080" w14:textId="76973EA1" w:rsidR="00B647A1" w:rsidRDefault="00B647A1" w:rsidP="00C03512">
            <w:pPr>
              <w:contextualSpacing/>
              <w:rPr>
                <w:rFonts w:cstheme="minorHAnsi"/>
              </w:rPr>
            </w:pPr>
            <w:r w:rsidRPr="00EA6AEE">
              <w:rPr>
                <w:b/>
                <w:bCs/>
              </w:rPr>
              <w:t>Question #</w:t>
            </w:r>
            <w:r w:rsidR="00DD3592">
              <w:rPr>
                <w:b/>
                <w:bCs/>
              </w:rPr>
              <w:t>9</w:t>
            </w:r>
            <w:r w:rsidRPr="00EA6AEE">
              <w:rPr>
                <w:b/>
                <w:bCs/>
              </w:rPr>
              <w:t xml:space="preserve">: </w:t>
            </w:r>
            <w:r w:rsidRPr="00501726">
              <w:rPr>
                <w:rFonts w:cs="Arial"/>
                <w:b/>
                <w:bCs/>
              </w:rPr>
              <w:t xml:space="preserve">Based on your hospital’s audit (either in-person or via the medical record or other EHR data) on </w:t>
            </w:r>
            <w:r w:rsidR="00DA07D2">
              <w:rPr>
                <w:rFonts w:cs="Arial"/>
                <w:b/>
                <w:bCs/>
              </w:rPr>
              <w:t>a sufficient sample of patients</w:t>
            </w:r>
            <w:r w:rsidR="00B93236" w:rsidRPr="00501726">
              <w:rPr>
                <w:rFonts w:cs="Arial"/>
                <w:b/>
                <w:bCs/>
              </w:rPr>
              <w:t xml:space="preserve"> </w:t>
            </w:r>
            <w:r w:rsidRPr="00501726">
              <w:rPr>
                <w:rFonts w:cs="Arial"/>
                <w:b/>
                <w:bCs/>
              </w:rPr>
              <w:t>who underwent a procedure included in Section 3A, what was your hospital</w:t>
            </w:r>
            <w:r w:rsidR="00BE6603">
              <w:rPr>
                <w:rFonts w:cs="Arial"/>
                <w:b/>
                <w:bCs/>
              </w:rPr>
              <w:t>’</w:t>
            </w:r>
            <w:r w:rsidRPr="00501726">
              <w:rPr>
                <w:rFonts w:cs="Arial"/>
                <w:b/>
                <w:bCs/>
              </w:rPr>
              <w:t>s documented rate of adherence to the safe surgery checklist (</w:t>
            </w:r>
            <w:r>
              <w:rPr>
                <w:rFonts w:cs="Arial"/>
                <w:b/>
                <w:bCs/>
              </w:rPr>
              <w:t>i.e</w:t>
            </w:r>
            <w:r w:rsidRPr="00501726">
              <w:rPr>
                <w:rFonts w:cs="Arial"/>
                <w:b/>
                <w:bCs/>
              </w:rPr>
              <w:t>., what percentage of the sampled cases had all elements in questions #3, #4, and #5 completed)?</w:t>
            </w:r>
          </w:p>
          <w:p w14:paraId="6A47F389" w14:textId="77777777" w:rsidR="00B647A1" w:rsidRDefault="00B647A1" w:rsidP="00C03512">
            <w:pPr>
              <w:contextualSpacing/>
            </w:pPr>
          </w:p>
          <w:p w14:paraId="6556C47B" w14:textId="77777777" w:rsidR="00B647A1" w:rsidRDefault="00B647A1" w:rsidP="00C03512">
            <w:pPr>
              <w:contextualSpacing/>
            </w:pPr>
            <w:r>
              <w:t xml:space="preserve">Based on the audit completed for question #6, determine the total number of patient audits where </w:t>
            </w:r>
            <w:r w:rsidRPr="00EA6AEE">
              <w:rPr>
                <w:b/>
                <w:bCs/>
                <w:u w:val="single"/>
              </w:rPr>
              <w:t>all</w:t>
            </w:r>
            <w:r>
              <w:t xml:space="preserve"> elements of the safe surgery checklist (included in questions #3, #4, and #5) were read aloud in the presence of the appropriate personnel 1) before the induction of anesthesia, 2) before the skin incision and/or the procedure began, and 3) before the patient left the operating and/or procedure room. </w:t>
            </w:r>
          </w:p>
          <w:p w14:paraId="04FBCDFC" w14:textId="77777777" w:rsidR="00FF5E78" w:rsidRDefault="00FF5E78" w:rsidP="00C03512">
            <w:pPr>
              <w:contextualSpacing/>
            </w:pPr>
          </w:p>
          <w:p w14:paraId="780FFAAF" w14:textId="77777777" w:rsidR="00B647A1" w:rsidRPr="00EA6AEE" w:rsidRDefault="00B647A1" w:rsidP="00C03512">
            <w:pPr>
              <w:contextualSpacing/>
              <w:rPr>
                <w:b/>
                <w:bCs/>
              </w:rPr>
            </w:pPr>
            <w:r w:rsidRPr="00EA6AEE">
              <w:rPr>
                <w:b/>
                <w:bCs/>
              </w:rPr>
              <w:t>Included cases:</w:t>
            </w:r>
          </w:p>
          <w:p w14:paraId="1810F214" w14:textId="77777777" w:rsidR="00B647A1" w:rsidRDefault="00B647A1" w:rsidP="00AD309C">
            <w:pPr>
              <w:pStyle w:val="ListParagraph"/>
              <w:numPr>
                <w:ilvl w:val="0"/>
                <w:numId w:val="165"/>
              </w:numPr>
            </w:pPr>
            <w:r>
              <w:t xml:space="preserve">The patient audit shows that </w:t>
            </w:r>
            <w:r w:rsidRPr="00EA6AEE">
              <w:rPr>
                <w:b/>
                <w:bCs/>
                <w:u w:val="single"/>
              </w:rPr>
              <w:t>all</w:t>
            </w:r>
            <w:r>
              <w:t xml:space="preserve"> elements of the safe surgery checklist, at </w:t>
            </w:r>
            <w:r w:rsidRPr="00EA6AEE">
              <w:rPr>
                <w:b/>
                <w:bCs/>
                <w:u w:val="single"/>
              </w:rPr>
              <w:t>all</w:t>
            </w:r>
            <w:r>
              <w:t xml:space="preserve"> three time points, were read aloud in the presence of the appropriate personnel. </w:t>
            </w:r>
          </w:p>
          <w:p w14:paraId="5D23AF52" w14:textId="77777777" w:rsidR="00B647A1" w:rsidRDefault="00B647A1" w:rsidP="00C03512">
            <w:pPr>
              <w:contextualSpacing/>
            </w:pPr>
          </w:p>
          <w:p w14:paraId="3D09D69F" w14:textId="77777777" w:rsidR="00B647A1" w:rsidRPr="00EA6AEE" w:rsidRDefault="00B647A1" w:rsidP="00C03512">
            <w:pPr>
              <w:contextualSpacing/>
              <w:rPr>
                <w:b/>
                <w:bCs/>
              </w:rPr>
            </w:pPr>
            <w:r w:rsidRPr="00EA6AEE">
              <w:rPr>
                <w:b/>
                <w:bCs/>
              </w:rPr>
              <w:t>Excluded cases:</w:t>
            </w:r>
          </w:p>
          <w:p w14:paraId="3D7B78F0" w14:textId="77777777" w:rsidR="00B647A1" w:rsidRDefault="00B647A1" w:rsidP="00AD309C">
            <w:pPr>
              <w:pStyle w:val="ListParagraph"/>
              <w:numPr>
                <w:ilvl w:val="0"/>
                <w:numId w:val="165"/>
              </w:numPr>
            </w:pPr>
            <w:r>
              <w:t xml:space="preserve">The patient audit does </w:t>
            </w:r>
            <w:r w:rsidRPr="00EA6AEE">
              <w:rPr>
                <w:b/>
                <w:bCs/>
                <w:u w:val="single"/>
              </w:rPr>
              <w:t>not</w:t>
            </w:r>
            <w:r>
              <w:t xml:space="preserve"> demonstrate that all elements of the safe surgery checklist were read aloud in the presence of the appropriate personnel (i.e., one or more elements of the checklist were not read aloud or the appropriate personnel were not present during the checklist). </w:t>
            </w:r>
          </w:p>
          <w:p w14:paraId="44DB6D99" w14:textId="49ED3470" w:rsidR="00B647A1" w:rsidRDefault="00B647A1" w:rsidP="00AD309C">
            <w:pPr>
              <w:pStyle w:val="ListParagraph"/>
              <w:numPr>
                <w:ilvl w:val="0"/>
                <w:numId w:val="165"/>
              </w:numPr>
            </w:pPr>
            <w:r>
              <w:t xml:space="preserve">The patient audit does </w:t>
            </w:r>
            <w:r w:rsidRPr="00EA6AEE">
              <w:rPr>
                <w:b/>
                <w:bCs/>
                <w:u w:val="single"/>
              </w:rPr>
              <w:t>not</w:t>
            </w:r>
            <w:r>
              <w:t xml:space="preserve"> demonstrate that the safe surgery checklist was read aloud in the presence of the appropriate personnel at all three time points (i.e., before anesthesia, before </w:t>
            </w:r>
            <w:r w:rsidR="00844018">
              <w:t xml:space="preserve">the </w:t>
            </w:r>
            <w:r>
              <w:t xml:space="preserve">skin incision, and before the patient leaves). </w:t>
            </w:r>
          </w:p>
          <w:p w14:paraId="31085B54" w14:textId="77777777" w:rsidR="00B647A1" w:rsidRDefault="00B647A1" w:rsidP="00C03512"/>
          <w:p w14:paraId="7713E486" w14:textId="2F7C1DEE" w:rsidR="00B647A1" w:rsidRPr="00C03512" w:rsidRDefault="00B647A1" w:rsidP="00C03512">
            <w:r w:rsidRPr="00EA6AEE">
              <w:rPr>
                <w:b/>
                <w:bCs/>
              </w:rPr>
              <w:t>Important Note</w:t>
            </w:r>
            <w:r>
              <w:t>: If a Safe Surgery Checklist element includes the qualifier “if applicable</w:t>
            </w:r>
            <w:r w:rsidR="008B36D5">
              <w:t>,</w:t>
            </w:r>
            <w:r>
              <w:t>” hospitals should determine if that element of the checklist was applicable to the patient and procedure being performed. If the element was determined to be “not applicable” to the patient and procedure, it does not count against the total adherence. For example, if your hospital performed a bariatric surgery for weight loss, the availability of a device on-site would not be applicable. Therefore, when completing the Safe Surgery Checklist Workbook for this patient, indicate N/A for that element (device on-site) and your hospital would be able to count that case as adherent.</w:t>
            </w:r>
          </w:p>
        </w:tc>
      </w:tr>
    </w:tbl>
    <w:p w14:paraId="092D935A" w14:textId="77777777" w:rsidR="00ED4ABD" w:rsidRPr="00501726" w:rsidRDefault="00ED4ABD" w:rsidP="00ED4ABD">
      <w:pPr>
        <w:rPr>
          <w:lang w:eastAsia="ja-JP"/>
        </w:rPr>
      </w:pPr>
    </w:p>
    <w:p w14:paraId="54FD9E89" w14:textId="307FC8C5" w:rsidR="00BC3C78" w:rsidRDefault="00B93236" w:rsidP="00A879E1">
      <w:r w:rsidRPr="00EE35F8">
        <w:rPr>
          <w:lang w:eastAsia="ja-JP"/>
        </w:rPr>
        <w:t xml:space="preserve">See </w:t>
      </w:r>
      <w:hyperlink w:anchor="_Safe_Surgery_Checklist_1" w:history="1">
        <w:r w:rsidRPr="00B93236">
          <w:rPr>
            <w:rStyle w:val="Hyperlink"/>
            <w:lang w:eastAsia="ja-JP"/>
          </w:rPr>
          <w:t>FAQs</w:t>
        </w:r>
      </w:hyperlink>
      <w:r w:rsidRPr="00EE35F8">
        <w:rPr>
          <w:lang w:eastAsia="ja-JP"/>
        </w:rPr>
        <w:t xml:space="preserve"> for additional information about responding to the questions in this section</w:t>
      </w:r>
      <w:r>
        <w:rPr>
          <w:lang w:eastAsia="ja-JP"/>
        </w:rPr>
        <w:t>.</w:t>
      </w:r>
      <w:r w:rsidR="00762789" w:rsidRPr="009A5185">
        <w:br w:type="page"/>
      </w:r>
      <w:bookmarkEnd w:id="253"/>
    </w:p>
    <w:p w14:paraId="435101A3" w14:textId="1A7965E4" w:rsidR="00A4191D" w:rsidRPr="009A5185" w:rsidRDefault="00263AE4" w:rsidP="00CF5A6E">
      <w:pPr>
        <w:pStyle w:val="Heading2"/>
      </w:pPr>
      <w:bookmarkStart w:id="273" w:name="_Adult_and_Pediatric"/>
      <w:bookmarkStart w:id="274" w:name="_Toc225877716"/>
      <w:bookmarkEnd w:id="273"/>
      <w:r>
        <w:lastRenderedPageBreak/>
        <w:t xml:space="preserve">Section 3: </w:t>
      </w:r>
      <w:r w:rsidR="00771F66">
        <w:t xml:space="preserve">Adult and Pediatric </w:t>
      </w:r>
      <w:r w:rsidR="00EA2AB4">
        <w:t>Complex</w:t>
      </w:r>
      <w:r w:rsidR="00A4191D" w:rsidRPr="009A5185">
        <w:t xml:space="preserve"> Surgery Frequently Asked Questions (FAQs)</w:t>
      </w:r>
      <w:bookmarkEnd w:id="274"/>
    </w:p>
    <w:p w14:paraId="15B8979E" w14:textId="77777777" w:rsidR="0057059D" w:rsidRPr="009A5185" w:rsidRDefault="0057059D" w:rsidP="0057059D">
      <w:pPr>
        <w:rPr>
          <w:rFonts w:cs="Arial"/>
          <w:lang w:eastAsia="ja-JP"/>
        </w:rPr>
      </w:pPr>
    </w:p>
    <w:p w14:paraId="659D5439" w14:textId="77777777" w:rsidR="00592DDC" w:rsidRPr="009A5185" w:rsidRDefault="00592DDC" w:rsidP="00AB5B80">
      <w:pPr>
        <w:pStyle w:val="Heading3"/>
      </w:pPr>
      <w:bookmarkStart w:id="275" w:name="_Toc225877717"/>
      <w:r w:rsidRPr="009A5185">
        <w:t>General Questions</w:t>
      </w:r>
      <w:bookmarkEnd w:id="275"/>
    </w:p>
    <w:p w14:paraId="5FB50804" w14:textId="77777777" w:rsidR="00592DDC" w:rsidRPr="009A5185" w:rsidRDefault="00592DDC" w:rsidP="0057059D">
      <w:pPr>
        <w:rPr>
          <w:rFonts w:cs="Arial"/>
          <w:b/>
          <w:i/>
          <w:sz w:val="24"/>
          <w:lang w:eastAsia="ja-JP"/>
        </w:rPr>
      </w:pPr>
    </w:p>
    <w:p w14:paraId="3F015E37" w14:textId="77777777" w:rsidR="00592DDC" w:rsidRPr="009A5185" w:rsidRDefault="00592DDC" w:rsidP="00AD309C">
      <w:pPr>
        <w:pStyle w:val="ListParagraph"/>
        <w:numPr>
          <w:ilvl w:val="0"/>
          <w:numId w:val="55"/>
        </w:numPr>
        <w:rPr>
          <w:rFonts w:cs="Arial"/>
          <w:b/>
        </w:rPr>
      </w:pPr>
      <w:r w:rsidRPr="009A5185">
        <w:rPr>
          <w:rFonts w:cs="Arial"/>
          <w:b/>
        </w:rPr>
        <w:t>Does this section apply to critical access hospitals?</w:t>
      </w:r>
    </w:p>
    <w:p w14:paraId="328838E0" w14:textId="177E0835" w:rsidR="00592DDC" w:rsidRDefault="00CF124C" w:rsidP="00592DDC">
      <w:pPr>
        <w:pStyle w:val="ListParagraph"/>
        <w:rPr>
          <w:rFonts w:cs="Arial"/>
        </w:rPr>
      </w:pPr>
      <w:r>
        <w:rPr>
          <w:rFonts w:cs="Arial"/>
        </w:rPr>
        <w:t xml:space="preserve">Yes. </w:t>
      </w:r>
      <w:r w:rsidR="00592DDC" w:rsidRPr="009A5185">
        <w:rPr>
          <w:rFonts w:cs="Arial"/>
        </w:rPr>
        <w:t xml:space="preserve">In general, critical access hospitals do not perform </w:t>
      </w:r>
      <w:r>
        <w:rPr>
          <w:rFonts w:cs="Arial"/>
        </w:rPr>
        <w:t xml:space="preserve">many of the </w:t>
      </w:r>
      <w:r w:rsidR="00592DDC" w:rsidRPr="009A5185">
        <w:rPr>
          <w:rFonts w:cs="Arial"/>
        </w:rPr>
        <w:t>procedures that are included in this section, but if the critical access hospital does perform the procedure, the standards still apply.</w:t>
      </w:r>
    </w:p>
    <w:p w14:paraId="590D8A8E" w14:textId="7789575A" w:rsidR="00B943FD" w:rsidRDefault="00B943FD" w:rsidP="00592DDC">
      <w:pPr>
        <w:pStyle w:val="ListParagraph"/>
        <w:rPr>
          <w:rFonts w:cs="Arial"/>
        </w:rPr>
      </w:pPr>
    </w:p>
    <w:p w14:paraId="1BE68F3A" w14:textId="748D021F" w:rsidR="00B943FD" w:rsidRPr="00B943FD" w:rsidRDefault="00B943FD" w:rsidP="00AD309C">
      <w:pPr>
        <w:pStyle w:val="ListParagraph"/>
        <w:numPr>
          <w:ilvl w:val="0"/>
          <w:numId w:val="55"/>
        </w:numPr>
        <w:rPr>
          <w:rFonts w:cs="Arial"/>
        </w:rPr>
      </w:pPr>
      <w:r w:rsidRPr="00B943FD">
        <w:rPr>
          <w:rFonts w:cs="Arial"/>
          <w:b/>
        </w:rPr>
        <w:t xml:space="preserve">Should we select a procedure </w:t>
      </w:r>
      <w:r>
        <w:rPr>
          <w:rFonts w:cs="Arial"/>
          <w:b/>
        </w:rPr>
        <w:t xml:space="preserve">from the list </w:t>
      </w:r>
      <w:r w:rsidRPr="00B943FD">
        <w:rPr>
          <w:rFonts w:cs="Arial"/>
          <w:b/>
        </w:rPr>
        <w:t>in Section 3A question #2 if we only perform th</w:t>
      </w:r>
      <w:r>
        <w:rPr>
          <w:rFonts w:cs="Arial"/>
          <w:b/>
        </w:rPr>
        <w:t>at</w:t>
      </w:r>
      <w:r w:rsidRPr="00B943FD">
        <w:rPr>
          <w:rFonts w:cs="Arial"/>
          <w:b/>
        </w:rPr>
        <w:t xml:space="preserve"> procedure on an </w:t>
      </w:r>
      <w:r w:rsidRPr="00A23036">
        <w:rPr>
          <w:rFonts w:cs="Arial"/>
          <w:b/>
          <w:u w:val="single"/>
        </w:rPr>
        <w:t>outpatient basis</w:t>
      </w:r>
      <w:r w:rsidRPr="00B943FD">
        <w:rPr>
          <w:rFonts w:cs="Arial"/>
          <w:b/>
        </w:rPr>
        <w:t xml:space="preserve">? </w:t>
      </w:r>
    </w:p>
    <w:p w14:paraId="04AB0ABE" w14:textId="1CE8224A" w:rsidR="00B943FD" w:rsidRPr="00B943FD" w:rsidRDefault="00B943FD" w:rsidP="00B943FD">
      <w:pPr>
        <w:pStyle w:val="ListParagraph"/>
        <w:rPr>
          <w:rFonts w:cs="Arial"/>
        </w:rPr>
      </w:pPr>
      <w:r>
        <w:rPr>
          <w:rFonts w:cs="Arial"/>
        </w:rPr>
        <w:t xml:space="preserve">Hospitals that </w:t>
      </w:r>
      <w:r w:rsidRPr="00B943FD">
        <w:rPr>
          <w:rFonts w:cs="Arial"/>
        </w:rPr>
        <w:t>only perform total hip replacements</w:t>
      </w:r>
      <w:r w:rsidR="00D9799A">
        <w:rPr>
          <w:rFonts w:cs="Arial"/>
        </w:rPr>
        <w:t>,</w:t>
      </w:r>
      <w:r w:rsidRPr="00B943FD">
        <w:rPr>
          <w:rFonts w:cs="Arial"/>
        </w:rPr>
        <w:t xml:space="preserve"> total knee replacements</w:t>
      </w:r>
      <w:r w:rsidR="00D9799A">
        <w:rPr>
          <w:rFonts w:cs="Arial"/>
        </w:rPr>
        <w:t xml:space="preserve">, </w:t>
      </w:r>
      <w:r w:rsidR="00D9799A" w:rsidRPr="00B943FD">
        <w:rPr>
          <w:rFonts w:cs="Arial"/>
        </w:rPr>
        <w:t>and/or</w:t>
      </w:r>
      <w:r w:rsidR="00D9799A">
        <w:rPr>
          <w:rFonts w:cs="Arial"/>
        </w:rPr>
        <w:t xml:space="preserve"> bariatric surgery for weight loss</w:t>
      </w:r>
      <w:r w:rsidRPr="00B943FD">
        <w:rPr>
          <w:rFonts w:cs="Arial"/>
        </w:rPr>
        <w:t xml:space="preserve"> on an outpatient basis should select and report on those procedures in Section 3A</w:t>
      </w:r>
      <w:r>
        <w:rPr>
          <w:rFonts w:cs="Arial"/>
        </w:rPr>
        <w:t>.</w:t>
      </w:r>
    </w:p>
    <w:p w14:paraId="30C7DDB6" w14:textId="77777777" w:rsidR="00B943FD" w:rsidRDefault="00B943FD" w:rsidP="00B943FD">
      <w:pPr>
        <w:pStyle w:val="ListParagraph"/>
        <w:rPr>
          <w:rFonts w:cs="Arial"/>
        </w:rPr>
      </w:pPr>
    </w:p>
    <w:p w14:paraId="2DD3CFED" w14:textId="6B76B655" w:rsidR="00B943FD" w:rsidRDefault="00B943FD" w:rsidP="00B943FD">
      <w:pPr>
        <w:pStyle w:val="ListParagraph"/>
        <w:rPr>
          <w:rFonts w:cs="Arial"/>
        </w:rPr>
      </w:pPr>
      <w:r>
        <w:rPr>
          <w:rFonts w:cs="Arial"/>
        </w:rPr>
        <w:t xml:space="preserve">Otherwise, hospitals should </w:t>
      </w:r>
      <w:r w:rsidRPr="00B943FD">
        <w:rPr>
          <w:rFonts w:cs="Arial"/>
          <w:u w:val="single"/>
        </w:rPr>
        <w:t>not</w:t>
      </w:r>
      <w:r>
        <w:rPr>
          <w:rFonts w:cs="Arial"/>
        </w:rPr>
        <w:t xml:space="preserve"> select and report on the remaining </w:t>
      </w:r>
      <w:r w:rsidR="00D9799A">
        <w:rPr>
          <w:rFonts w:cs="Arial"/>
        </w:rPr>
        <w:t>eight</w:t>
      </w:r>
      <w:r>
        <w:rPr>
          <w:rFonts w:cs="Arial"/>
        </w:rPr>
        <w:t xml:space="preserve"> procedures if the procedures are always </w:t>
      </w:r>
      <w:r w:rsidRPr="00A21E8A">
        <w:rPr>
          <w:rFonts w:cs="Arial"/>
          <w:u w:val="single"/>
        </w:rPr>
        <w:t>scheduled with the intention of the patient being released on the same day</w:t>
      </w:r>
      <w:r w:rsidRPr="00B943FD">
        <w:rPr>
          <w:rFonts w:cs="Arial"/>
        </w:rPr>
        <w:t xml:space="preserve">. </w:t>
      </w:r>
    </w:p>
    <w:p w14:paraId="740D6BBD" w14:textId="77777777" w:rsidR="00B943FD" w:rsidRDefault="00B943FD" w:rsidP="00B943FD">
      <w:pPr>
        <w:pStyle w:val="ListParagraph"/>
        <w:rPr>
          <w:rFonts w:cs="Arial"/>
        </w:rPr>
      </w:pPr>
    </w:p>
    <w:p w14:paraId="6AE91BDE" w14:textId="0309D26A" w:rsidR="00B943FD" w:rsidRDefault="00B943FD" w:rsidP="00B943FD">
      <w:pPr>
        <w:pStyle w:val="ListParagraph"/>
        <w:rPr>
          <w:rFonts w:cs="Arial"/>
        </w:rPr>
      </w:pPr>
      <w:r w:rsidRPr="00A21E8A">
        <w:rPr>
          <w:rFonts w:cs="Arial"/>
        </w:rPr>
        <w:t xml:space="preserve">If some of the procedures are scheduled with the intention of the patient being admitted and staying in the hospital overnight, the hospital should report on performing the procedure in question #2 and then ONLY report on the </w:t>
      </w:r>
      <w:r w:rsidR="00136720">
        <w:rPr>
          <w:rFonts w:cs="Arial"/>
        </w:rPr>
        <w:t xml:space="preserve">total number of </w:t>
      </w:r>
      <w:r w:rsidRPr="00A21E8A">
        <w:rPr>
          <w:rFonts w:cs="Arial"/>
        </w:rPr>
        <w:t>patients discharged following an inpatient stay.</w:t>
      </w:r>
    </w:p>
    <w:p w14:paraId="2AD9E30F" w14:textId="03E872EC" w:rsidR="00FE24AD" w:rsidRDefault="00FE24AD" w:rsidP="00B943FD">
      <w:pPr>
        <w:pStyle w:val="ListParagraph"/>
        <w:rPr>
          <w:rFonts w:cs="Arial"/>
        </w:rPr>
      </w:pPr>
    </w:p>
    <w:p w14:paraId="5ACACC22" w14:textId="7023BE27" w:rsidR="00FE24AD" w:rsidRDefault="005572A9" w:rsidP="00AD309C">
      <w:pPr>
        <w:pStyle w:val="ListParagraph"/>
        <w:numPr>
          <w:ilvl w:val="0"/>
          <w:numId w:val="55"/>
        </w:numPr>
        <w:rPr>
          <w:rFonts w:cs="Arial"/>
          <w:b/>
        </w:rPr>
      </w:pPr>
      <w:r>
        <w:rPr>
          <w:rFonts w:cs="Arial"/>
          <w:b/>
        </w:rPr>
        <w:t xml:space="preserve">My hospital has a </w:t>
      </w:r>
      <w:r w:rsidR="00FE24AD" w:rsidRPr="00764343">
        <w:rPr>
          <w:rFonts w:cs="Arial"/>
          <w:b/>
        </w:rPr>
        <w:t xml:space="preserve">tumor center that </w:t>
      </w:r>
      <w:r w:rsidR="00FE24AD" w:rsidRPr="002B1597">
        <w:rPr>
          <w:rFonts w:cs="Arial"/>
          <w:b/>
          <w:u w:val="single"/>
        </w:rPr>
        <w:t>only</w:t>
      </w:r>
      <w:r w:rsidR="00FE24AD" w:rsidRPr="00764343">
        <w:rPr>
          <w:rFonts w:cs="Arial"/>
          <w:b/>
        </w:rPr>
        <w:t xml:space="preserve"> perform</w:t>
      </w:r>
      <w:r>
        <w:rPr>
          <w:rFonts w:cs="Arial"/>
          <w:b/>
        </w:rPr>
        <w:t>s</w:t>
      </w:r>
      <w:r w:rsidR="00FE24AD" w:rsidRPr="00764343">
        <w:rPr>
          <w:rFonts w:cs="Arial"/>
          <w:b/>
        </w:rPr>
        <w:t xml:space="preserve"> </w:t>
      </w:r>
      <w:r>
        <w:rPr>
          <w:rFonts w:cs="Arial"/>
          <w:b/>
        </w:rPr>
        <w:t>t</w:t>
      </w:r>
      <w:r w:rsidR="00FE24AD">
        <w:rPr>
          <w:rFonts w:cs="Arial"/>
          <w:b/>
        </w:rPr>
        <w:t xml:space="preserve">otal </w:t>
      </w:r>
      <w:r>
        <w:rPr>
          <w:rFonts w:cs="Arial"/>
          <w:b/>
        </w:rPr>
        <w:t>h</w:t>
      </w:r>
      <w:r w:rsidR="00FE24AD">
        <w:rPr>
          <w:rFonts w:cs="Arial"/>
          <w:b/>
        </w:rPr>
        <w:t xml:space="preserve">ip </w:t>
      </w:r>
      <w:r w:rsidR="002B1597">
        <w:rPr>
          <w:rFonts w:cs="Arial"/>
          <w:b/>
        </w:rPr>
        <w:t xml:space="preserve">replacements </w:t>
      </w:r>
      <w:r w:rsidR="00FE24AD">
        <w:rPr>
          <w:rFonts w:cs="Arial"/>
          <w:b/>
        </w:rPr>
        <w:t xml:space="preserve">and </w:t>
      </w:r>
      <w:r>
        <w:rPr>
          <w:rFonts w:cs="Arial"/>
          <w:b/>
        </w:rPr>
        <w:t>t</w:t>
      </w:r>
      <w:r w:rsidR="00FE24AD">
        <w:rPr>
          <w:rFonts w:cs="Arial"/>
          <w:b/>
        </w:rPr>
        <w:t xml:space="preserve">otal </w:t>
      </w:r>
      <w:r>
        <w:rPr>
          <w:rFonts w:cs="Arial"/>
          <w:b/>
        </w:rPr>
        <w:t>k</w:t>
      </w:r>
      <w:r w:rsidR="00FE24AD">
        <w:rPr>
          <w:rFonts w:cs="Arial"/>
          <w:b/>
        </w:rPr>
        <w:t xml:space="preserve">nee </w:t>
      </w:r>
      <w:r>
        <w:rPr>
          <w:rFonts w:cs="Arial"/>
          <w:b/>
        </w:rPr>
        <w:t>r</w:t>
      </w:r>
      <w:r w:rsidR="00FE24AD">
        <w:rPr>
          <w:rFonts w:cs="Arial"/>
          <w:b/>
        </w:rPr>
        <w:t xml:space="preserve">eplacements </w:t>
      </w:r>
      <w:r w:rsidR="00FE24AD" w:rsidRPr="00764343">
        <w:rPr>
          <w:rFonts w:cs="Arial"/>
          <w:b/>
        </w:rPr>
        <w:t xml:space="preserve">as they come up during </w:t>
      </w:r>
      <w:r w:rsidR="00FE24AD">
        <w:rPr>
          <w:rFonts w:cs="Arial"/>
          <w:b/>
        </w:rPr>
        <w:t xml:space="preserve">a tumor removal </w:t>
      </w:r>
      <w:r w:rsidR="00FE24AD" w:rsidRPr="00764343">
        <w:rPr>
          <w:rFonts w:cs="Arial"/>
          <w:b/>
        </w:rPr>
        <w:t xml:space="preserve">surgery, </w:t>
      </w:r>
      <w:r>
        <w:rPr>
          <w:rFonts w:cs="Arial"/>
          <w:b/>
        </w:rPr>
        <w:t xml:space="preserve">should we select these procedures from the list in Section 3A question #2? </w:t>
      </w:r>
    </w:p>
    <w:p w14:paraId="3D75191D" w14:textId="521A02DF" w:rsidR="00C25560" w:rsidRPr="00E1411B" w:rsidRDefault="00FE24AD" w:rsidP="00E1411B">
      <w:pPr>
        <w:pStyle w:val="ListParagraph"/>
        <w:rPr>
          <w:rFonts w:cs="Arial"/>
          <w:bCs/>
        </w:rPr>
      </w:pPr>
      <w:r w:rsidRPr="00764343">
        <w:rPr>
          <w:rFonts w:cs="Arial"/>
          <w:bCs/>
        </w:rPr>
        <w:t xml:space="preserve">If your hospital has a tumor center where orthopedic tumor surgeries are performed and the ONLY total hip </w:t>
      </w:r>
      <w:r w:rsidR="002B1597">
        <w:rPr>
          <w:rFonts w:cs="Arial"/>
          <w:bCs/>
        </w:rPr>
        <w:t xml:space="preserve">replacement </w:t>
      </w:r>
      <w:r w:rsidRPr="00764343">
        <w:rPr>
          <w:rFonts w:cs="Arial"/>
          <w:bCs/>
        </w:rPr>
        <w:t xml:space="preserve">and/or total knee </w:t>
      </w:r>
      <w:r w:rsidR="002B1597">
        <w:rPr>
          <w:rFonts w:cs="Arial"/>
          <w:bCs/>
        </w:rPr>
        <w:t xml:space="preserve">replacement </w:t>
      </w:r>
      <w:r w:rsidRPr="00764343">
        <w:rPr>
          <w:rFonts w:cs="Arial"/>
          <w:bCs/>
        </w:rPr>
        <w:t xml:space="preserve">procedures ever done at that hospital are for the treatment of the tumor, </w:t>
      </w:r>
      <w:r>
        <w:rPr>
          <w:rFonts w:cs="Arial"/>
          <w:bCs/>
        </w:rPr>
        <w:t>you</w:t>
      </w:r>
      <w:r w:rsidRPr="00764343">
        <w:rPr>
          <w:rFonts w:cs="Arial"/>
          <w:bCs/>
        </w:rPr>
        <w:t xml:space="preserve"> should </w:t>
      </w:r>
      <w:r w:rsidRPr="0077134A">
        <w:rPr>
          <w:rFonts w:cs="Arial"/>
          <w:bCs/>
          <w:u w:val="single"/>
        </w:rPr>
        <w:t>not</w:t>
      </w:r>
      <w:r w:rsidRPr="00764343">
        <w:rPr>
          <w:rFonts w:cs="Arial"/>
          <w:bCs/>
        </w:rPr>
        <w:t xml:space="preserve"> </w:t>
      </w:r>
      <w:r w:rsidR="00667BEE">
        <w:rPr>
          <w:rFonts w:cs="Arial"/>
          <w:bCs/>
        </w:rPr>
        <w:t xml:space="preserve">select and report on </w:t>
      </w:r>
      <w:r w:rsidRPr="00764343">
        <w:rPr>
          <w:rFonts w:cs="Arial"/>
          <w:bCs/>
        </w:rPr>
        <w:t xml:space="preserve">total hip </w:t>
      </w:r>
      <w:r w:rsidR="00667BEE">
        <w:rPr>
          <w:rFonts w:cs="Arial"/>
          <w:bCs/>
        </w:rPr>
        <w:t xml:space="preserve">replacements </w:t>
      </w:r>
      <w:r w:rsidRPr="00764343">
        <w:rPr>
          <w:rFonts w:cs="Arial"/>
          <w:bCs/>
        </w:rPr>
        <w:t>or total knee</w:t>
      </w:r>
      <w:r w:rsidR="00667BEE">
        <w:rPr>
          <w:rFonts w:cs="Arial"/>
          <w:bCs/>
        </w:rPr>
        <w:t xml:space="preserve"> replacements in Section 3A. </w:t>
      </w:r>
      <w:bookmarkStart w:id="276" w:name="Surg_Board"/>
      <w:bookmarkEnd w:id="276"/>
    </w:p>
    <w:p w14:paraId="48347CD6" w14:textId="77777777" w:rsidR="00592DDC" w:rsidRPr="009A5185" w:rsidRDefault="00592DDC" w:rsidP="0077134A">
      <w:pPr>
        <w:rPr>
          <w:lang w:eastAsia="ja-JP"/>
        </w:rPr>
      </w:pPr>
    </w:p>
    <w:p w14:paraId="20A60991" w14:textId="7A189E20" w:rsidR="00592DDC" w:rsidRPr="009A5185" w:rsidRDefault="00592DDC" w:rsidP="00AB5B80">
      <w:pPr>
        <w:pStyle w:val="Heading3"/>
      </w:pPr>
      <w:bookmarkStart w:id="277" w:name="_Toc225877718"/>
      <w:r w:rsidRPr="009A5185">
        <w:t>Hospital Volume</w:t>
      </w:r>
      <w:r w:rsidR="00B078B4">
        <w:t xml:space="preserve"> FAQs</w:t>
      </w:r>
      <w:bookmarkEnd w:id="277"/>
    </w:p>
    <w:p w14:paraId="1CC9C1C4" w14:textId="77777777" w:rsidR="00B45820" w:rsidRPr="009A5185" w:rsidRDefault="00B45820">
      <w:pPr>
        <w:rPr>
          <w:rFonts w:cs="Arial"/>
        </w:rPr>
      </w:pPr>
    </w:p>
    <w:p w14:paraId="748EAE7B" w14:textId="77777777" w:rsidR="008B77CB" w:rsidRPr="008B77CB" w:rsidRDefault="008B77CB" w:rsidP="00AD309C">
      <w:pPr>
        <w:pStyle w:val="ListParagraph"/>
        <w:numPr>
          <w:ilvl w:val="0"/>
          <w:numId w:val="55"/>
        </w:numPr>
        <w:rPr>
          <w:rFonts w:cs="Arial"/>
          <w:b/>
          <w:bCs/>
        </w:rPr>
      </w:pPr>
      <w:r w:rsidRPr="008B77CB">
        <w:rPr>
          <w:rFonts w:cs="Arial"/>
          <w:b/>
          <w:bCs/>
        </w:rPr>
        <w:t>How should hospitals calculate volume using a 24-month annual average?</w:t>
      </w:r>
    </w:p>
    <w:p w14:paraId="78F18575" w14:textId="49009187" w:rsidR="008B77CB" w:rsidRPr="008B77CB" w:rsidRDefault="008B77CB" w:rsidP="008B77CB">
      <w:pPr>
        <w:pStyle w:val="ListParagraph"/>
        <w:rPr>
          <w:rFonts w:cs="Arial"/>
        </w:rPr>
      </w:pPr>
      <w:r w:rsidRPr="008B77CB">
        <w:rPr>
          <w:rFonts w:cs="Arial"/>
        </w:rPr>
        <w:t>To report on a 24-month annual average, calculate the total volume over the past 24 months, and then divide by 2 (i.e., the volume of year one plus the volume of year 2 divided by two equals the 24-month annual average).</w:t>
      </w:r>
      <w:r>
        <w:rPr>
          <w:rFonts w:cs="Arial"/>
        </w:rPr>
        <w:br/>
      </w:r>
    </w:p>
    <w:p w14:paraId="5B513268" w14:textId="237FCD3E" w:rsidR="00FE24AD" w:rsidRPr="00FE24AD" w:rsidRDefault="00FE24AD" w:rsidP="00AD309C">
      <w:pPr>
        <w:pStyle w:val="ListParagraph"/>
        <w:numPr>
          <w:ilvl w:val="0"/>
          <w:numId w:val="55"/>
        </w:numPr>
        <w:rPr>
          <w:rFonts w:cs="Arial"/>
        </w:rPr>
      </w:pPr>
      <w:r w:rsidRPr="00FE24AD">
        <w:rPr>
          <w:rFonts w:cs="Arial"/>
          <w:b/>
        </w:rPr>
        <w:t>Can we count patients who have had one of the procedures listed in Section 3A in combination with another procedure not listed in Section 3A?</w:t>
      </w:r>
    </w:p>
    <w:p w14:paraId="5507B591" w14:textId="627AE1C9" w:rsidR="00FE24AD" w:rsidRDefault="00FE24AD" w:rsidP="00FE24AD">
      <w:pPr>
        <w:pStyle w:val="ListParagraph"/>
        <w:rPr>
          <w:rFonts w:cs="Arial"/>
        </w:rPr>
      </w:pPr>
      <w:r w:rsidRPr="00AA12E2">
        <w:rPr>
          <w:rFonts w:cs="Arial"/>
        </w:rPr>
        <w:t xml:space="preserve">Yes, hospitals </w:t>
      </w:r>
      <w:r>
        <w:rPr>
          <w:rFonts w:cs="Arial"/>
        </w:rPr>
        <w:t xml:space="preserve">should count all patients that meet the criteria specified </w:t>
      </w:r>
      <w:r w:rsidR="00BC4E89">
        <w:rPr>
          <w:rFonts w:cs="Arial"/>
        </w:rPr>
        <w:t xml:space="preserve">in the </w:t>
      </w:r>
      <w:hyperlink w:anchor="_Inpatient_Surgery_Measure" w:history="1">
        <w:r w:rsidR="00BC4E89" w:rsidRPr="00BC4E89">
          <w:rPr>
            <w:rStyle w:val="Hyperlink"/>
            <w:rFonts w:cs="Arial"/>
          </w:rPr>
          <w:t>Hospital and Surgeon Volume Measure Specifications</w:t>
        </w:r>
      </w:hyperlink>
      <w:r w:rsidR="00A01D96">
        <w:rPr>
          <w:rFonts w:cs="Arial"/>
        </w:rPr>
        <w:t>.</w:t>
      </w:r>
      <w:r>
        <w:rPr>
          <w:rFonts w:cs="Arial"/>
        </w:rPr>
        <w:t xml:space="preserve"> </w:t>
      </w:r>
      <w:r w:rsidRPr="00AA12E2">
        <w:rPr>
          <w:rFonts w:cs="Arial"/>
        </w:rPr>
        <w:t xml:space="preserve">For example, if </w:t>
      </w:r>
      <w:r>
        <w:rPr>
          <w:rFonts w:cs="Arial"/>
        </w:rPr>
        <w:t xml:space="preserve">a patient has </w:t>
      </w:r>
      <w:r w:rsidRPr="00AA12E2">
        <w:rPr>
          <w:rFonts w:cs="Arial"/>
        </w:rPr>
        <w:t xml:space="preserve">a CABG and a mitral valve repair </w:t>
      </w:r>
      <w:r>
        <w:rPr>
          <w:rFonts w:cs="Arial"/>
        </w:rPr>
        <w:t xml:space="preserve">done at the same time, the hospital should count the patient when calculating total volume for mitral valve repair and replacement. </w:t>
      </w:r>
    </w:p>
    <w:p w14:paraId="2E4C68CA" w14:textId="77777777" w:rsidR="00FE24AD" w:rsidRPr="00684239" w:rsidRDefault="00FE24AD" w:rsidP="00FE24AD">
      <w:pPr>
        <w:pStyle w:val="ListParagraph"/>
        <w:rPr>
          <w:rFonts w:cs="Arial"/>
        </w:rPr>
      </w:pPr>
    </w:p>
    <w:p w14:paraId="031B37A0" w14:textId="4DA9D23E" w:rsidR="00314EEF" w:rsidRPr="009A5185" w:rsidRDefault="00314EEF" w:rsidP="00AD309C">
      <w:pPr>
        <w:pStyle w:val="ListParagraph"/>
        <w:numPr>
          <w:ilvl w:val="0"/>
          <w:numId w:val="55"/>
        </w:numPr>
        <w:rPr>
          <w:rFonts w:cs="Arial"/>
          <w:b/>
        </w:rPr>
      </w:pPr>
      <w:r w:rsidRPr="009A5185">
        <w:rPr>
          <w:rFonts w:cs="Arial"/>
          <w:b/>
        </w:rPr>
        <w:t xml:space="preserve">When counting patients, should we only include those </w:t>
      </w:r>
      <w:r w:rsidR="00F67FCF">
        <w:rPr>
          <w:rFonts w:cs="Arial"/>
          <w:b/>
        </w:rPr>
        <w:t xml:space="preserve">patients </w:t>
      </w:r>
      <w:r w:rsidRPr="009A5185">
        <w:rPr>
          <w:rFonts w:cs="Arial"/>
          <w:b/>
        </w:rPr>
        <w:t xml:space="preserve">who had the procedure performed </w:t>
      </w:r>
      <w:r w:rsidR="00856694">
        <w:rPr>
          <w:rFonts w:cs="Arial"/>
          <w:b/>
        </w:rPr>
        <w:t>on a scheduled basis</w:t>
      </w:r>
      <w:r w:rsidRPr="009A5185">
        <w:rPr>
          <w:rFonts w:cs="Arial"/>
          <w:b/>
        </w:rPr>
        <w:t xml:space="preserve">? </w:t>
      </w:r>
    </w:p>
    <w:p w14:paraId="4A351973" w14:textId="0E5619B8" w:rsidR="008D611A" w:rsidRPr="008B77CB" w:rsidRDefault="000A2184" w:rsidP="008B77CB">
      <w:pPr>
        <w:ind w:left="720"/>
        <w:rPr>
          <w:rFonts w:cs="Arial"/>
        </w:rPr>
      </w:pPr>
      <w:r>
        <w:rPr>
          <w:rFonts w:cs="Arial"/>
        </w:rPr>
        <w:t xml:space="preserve">No. </w:t>
      </w:r>
      <w:r w:rsidR="00F67FCF">
        <w:rPr>
          <w:rFonts w:cs="Arial"/>
        </w:rPr>
        <w:t xml:space="preserve">Once a hospital selects a </w:t>
      </w:r>
      <w:r w:rsidR="00D02786">
        <w:rPr>
          <w:rFonts w:cs="Arial"/>
        </w:rPr>
        <w:t>procedure</w:t>
      </w:r>
      <w:r w:rsidR="00F67FCF">
        <w:rPr>
          <w:rFonts w:cs="Arial"/>
        </w:rPr>
        <w:t xml:space="preserve"> from the list in question #2, they should use the measure specifications for each procedure to count </w:t>
      </w:r>
      <w:r w:rsidR="00314EEF" w:rsidRPr="000A2184">
        <w:rPr>
          <w:rFonts w:cs="Arial"/>
          <w:u w:val="single"/>
        </w:rPr>
        <w:t>all</w:t>
      </w:r>
      <w:r w:rsidR="00314EEF" w:rsidRPr="009A5185">
        <w:rPr>
          <w:rFonts w:cs="Arial"/>
        </w:rPr>
        <w:t xml:space="preserve"> patients</w:t>
      </w:r>
      <w:r w:rsidR="00F67FCF">
        <w:rPr>
          <w:rFonts w:cs="Arial"/>
        </w:rPr>
        <w:t xml:space="preserve"> that meet the criteria. This includes patients who had the procedure performed urgently. </w:t>
      </w:r>
    </w:p>
    <w:p w14:paraId="039A718E" w14:textId="3490837C" w:rsidR="0082085D" w:rsidRDefault="0082085D" w:rsidP="000A2184">
      <w:pPr>
        <w:rPr>
          <w:rFonts w:cs="Arial"/>
        </w:rPr>
      </w:pPr>
    </w:p>
    <w:p w14:paraId="2710FB06" w14:textId="70BC8721" w:rsidR="00EA3B93" w:rsidRDefault="00EA3B93" w:rsidP="000A2184">
      <w:pPr>
        <w:rPr>
          <w:rFonts w:cs="Arial"/>
        </w:rPr>
      </w:pPr>
    </w:p>
    <w:p w14:paraId="0B98FB82" w14:textId="77777777" w:rsidR="00EA3B93" w:rsidRPr="009A5185" w:rsidRDefault="00EA3B93" w:rsidP="000A2184">
      <w:pPr>
        <w:rPr>
          <w:rFonts w:cs="Arial"/>
        </w:rPr>
      </w:pPr>
    </w:p>
    <w:p w14:paraId="570318B2" w14:textId="77777777" w:rsidR="0082085D" w:rsidRPr="009A5185" w:rsidRDefault="0082085D" w:rsidP="00AD309C">
      <w:pPr>
        <w:pStyle w:val="ListParagraph"/>
        <w:numPr>
          <w:ilvl w:val="0"/>
          <w:numId w:val="55"/>
        </w:numPr>
        <w:rPr>
          <w:rFonts w:cs="Arial"/>
          <w:b/>
        </w:rPr>
      </w:pPr>
      <w:r w:rsidRPr="009A5185">
        <w:rPr>
          <w:rFonts w:cs="Arial"/>
          <w:b/>
        </w:rPr>
        <w:lastRenderedPageBreak/>
        <w:t>If a hospital elects to begin a new service line of procedures, how should the hospital report its volume and surgeon volumes while establishing the new line?</w:t>
      </w:r>
    </w:p>
    <w:p w14:paraId="2CD742C7" w14:textId="0B81B240" w:rsidR="0082085D" w:rsidRPr="009A5185" w:rsidRDefault="008E29FD" w:rsidP="0082085D">
      <w:pPr>
        <w:pStyle w:val="ListParagraph"/>
        <w:rPr>
          <w:rFonts w:cs="Arial"/>
          <w:b/>
        </w:rPr>
      </w:pPr>
      <w:r>
        <w:rPr>
          <w:rFonts w:cs="Arial"/>
        </w:rPr>
        <w:t xml:space="preserve">Leapfrog gives hospitals </w:t>
      </w:r>
      <w:r w:rsidR="0082085D" w:rsidRPr="009A5185">
        <w:rPr>
          <w:rFonts w:cs="Arial"/>
        </w:rPr>
        <w:t xml:space="preserve">an 18-month grace period before having to report on hospital and surgeon volume for a new procedure. From the day that the hospital performs the procedure for the first time, the hospital and its surgeons will have 18 months to reach the annual volume standard. During this period, the hospital does not have to report its procedure volumes for the hospital or </w:t>
      </w:r>
      <w:r w:rsidR="00CE73E6">
        <w:rPr>
          <w:rFonts w:cs="Arial"/>
        </w:rPr>
        <w:t xml:space="preserve">its </w:t>
      </w:r>
      <w:r w:rsidR="0082085D" w:rsidRPr="009A5185">
        <w:rPr>
          <w:rFonts w:cs="Arial"/>
        </w:rPr>
        <w:t xml:space="preserve">surgeons. However, once the hospital reaches the end of the 18-month grace period, it must report its hospital and surgeon procedure volume. </w:t>
      </w:r>
      <w:r w:rsidR="0082085D" w:rsidRPr="009A5185">
        <w:rPr>
          <w:rFonts w:cs="Arial"/>
        </w:rPr>
        <w:br/>
      </w:r>
    </w:p>
    <w:p w14:paraId="208F00CC" w14:textId="77777777" w:rsidR="00855D18" w:rsidRPr="009A5185" w:rsidRDefault="00855D18" w:rsidP="00AD309C">
      <w:pPr>
        <w:pStyle w:val="ListParagraph"/>
        <w:numPr>
          <w:ilvl w:val="0"/>
          <w:numId w:val="55"/>
        </w:numPr>
        <w:rPr>
          <w:rFonts w:cs="Arial"/>
        </w:rPr>
      </w:pPr>
      <w:r w:rsidRPr="009A5185">
        <w:rPr>
          <w:rFonts w:cs="Arial"/>
          <w:b/>
        </w:rPr>
        <w:t>How should we deal with a temporary drop in volume due to losing a surgeon’s service?</w:t>
      </w:r>
    </w:p>
    <w:p w14:paraId="291E588B" w14:textId="50ED1B8E" w:rsidR="00855D18" w:rsidRPr="009A5185" w:rsidRDefault="00855D18" w:rsidP="00855D18">
      <w:pPr>
        <w:ind w:left="720"/>
        <w:rPr>
          <w:rFonts w:cs="Arial"/>
        </w:rPr>
      </w:pPr>
      <w:r w:rsidRPr="009A5185">
        <w:rPr>
          <w:rFonts w:cs="Arial"/>
        </w:rPr>
        <w:t>To accommodate fluctuations in hospital volumes, hospitals have the option of reporting on their</w:t>
      </w:r>
      <w:r>
        <w:rPr>
          <w:rFonts w:cs="Arial"/>
        </w:rPr>
        <w:t xml:space="preserve"> average case volumes over a 24-</w:t>
      </w:r>
      <w:r w:rsidRPr="009A5185">
        <w:rPr>
          <w:rFonts w:cs="Arial"/>
        </w:rPr>
        <w:t xml:space="preserve">month period. </w:t>
      </w:r>
    </w:p>
    <w:p w14:paraId="32F29D73" w14:textId="77777777" w:rsidR="00855D18" w:rsidRDefault="00855D18" w:rsidP="00855D18">
      <w:pPr>
        <w:pStyle w:val="ListParagraph"/>
        <w:rPr>
          <w:rFonts w:cs="Arial"/>
        </w:rPr>
      </w:pPr>
    </w:p>
    <w:p w14:paraId="3C14FF1E" w14:textId="61F1B9A6" w:rsidR="00855D18" w:rsidRPr="00607A75" w:rsidRDefault="00855D18" w:rsidP="00AD309C">
      <w:pPr>
        <w:pStyle w:val="ListParagraph"/>
        <w:numPr>
          <w:ilvl w:val="0"/>
          <w:numId w:val="55"/>
        </w:numPr>
        <w:rPr>
          <w:rFonts w:cs="Arial"/>
          <w:b/>
          <w:bCs/>
        </w:rPr>
      </w:pPr>
      <w:r w:rsidRPr="00607A75">
        <w:rPr>
          <w:rFonts w:cs="Arial"/>
          <w:b/>
          <w:bCs/>
        </w:rPr>
        <w:t>Can we count minimally invasive and/or robotic Mitral Valve Repair and Replacement procedures towards our hospital</w:t>
      </w:r>
      <w:r w:rsidR="00B76CFD" w:rsidRPr="00607A75">
        <w:rPr>
          <w:rFonts w:cs="Arial"/>
          <w:b/>
          <w:bCs/>
        </w:rPr>
        <w:t>’</w:t>
      </w:r>
      <w:r w:rsidRPr="00607A75">
        <w:rPr>
          <w:rFonts w:cs="Arial"/>
          <w:b/>
          <w:bCs/>
        </w:rPr>
        <w:t>s volume?</w:t>
      </w:r>
    </w:p>
    <w:p w14:paraId="69A887C3" w14:textId="45B04AD0" w:rsidR="00855D18" w:rsidRDefault="00855D18" w:rsidP="00855D18">
      <w:pPr>
        <w:pStyle w:val="ListParagraph"/>
        <w:rPr>
          <w:rFonts w:cs="Arial"/>
        </w:rPr>
      </w:pPr>
      <w:r w:rsidRPr="00607A75">
        <w:rPr>
          <w:rFonts w:cs="Arial"/>
        </w:rPr>
        <w:t>Yes, the ICD-10 codes Leapfrog has provided for this procedure will capture minimally invasive and/or robotic MVRR procedures in the hospital’s count as these are the codes used for those cases.</w:t>
      </w:r>
    </w:p>
    <w:p w14:paraId="1732EE26" w14:textId="17E6E074" w:rsidR="00AF7128" w:rsidRDefault="00AF7128" w:rsidP="00855D18">
      <w:pPr>
        <w:pStyle w:val="ListParagraph"/>
        <w:rPr>
          <w:rFonts w:cs="Arial"/>
        </w:rPr>
      </w:pPr>
    </w:p>
    <w:p w14:paraId="45AD6ADC" w14:textId="3205AFF8" w:rsidR="00AF7128" w:rsidRDefault="00AF7128" w:rsidP="00AD309C">
      <w:pPr>
        <w:pStyle w:val="ListParagraph"/>
        <w:numPr>
          <w:ilvl w:val="0"/>
          <w:numId w:val="55"/>
        </w:numPr>
        <w:rPr>
          <w:rFonts w:cs="Arial"/>
          <w:b/>
        </w:rPr>
      </w:pPr>
      <w:r w:rsidRPr="008372FE">
        <w:rPr>
          <w:rFonts w:cs="Arial"/>
          <w:b/>
        </w:rPr>
        <w:t>Our hospital has a free-standing outpatient surgery center that shares our license and</w:t>
      </w:r>
      <w:r w:rsidR="00F67359">
        <w:rPr>
          <w:rFonts w:cs="Arial"/>
          <w:b/>
        </w:rPr>
        <w:t>/or</w:t>
      </w:r>
      <w:r w:rsidRPr="008372FE">
        <w:rPr>
          <w:rFonts w:cs="Arial"/>
          <w:b/>
        </w:rPr>
        <w:t xml:space="preserve"> </w:t>
      </w:r>
      <w:r>
        <w:rPr>
          <w:rFonts w:cs="Arial"/>
          <w:b/>
        </w:rPr>
        <w:t>CMS Certification Number (</w:t>
      </w:r>
      <w:r w:rsidRPr="008372FE">
        <w:rPr>
          <w:rFonts w:cs="Arial"/>
          <w:b/>
        </w:rPr>
        <w:t>CCN</w:t>
      </w:r>
      <w:r>
        <w:rPr>
          <w:rFonts w:cs="Arial"/>
          <w:b/>
        </w:rPr>
        <w:t>)</w:t>
      </w:r>
      <w:r w:rsidRPr="008372FE">
        <w:rPr>
          <w:rFonts w:cs="Arial"/>
          <w:b/>
        </w:rPr>
        <w:t xml:space="preserve">. Many of our same day total hip </w:t>
      </w:r>
      <w:r w:rsidR="008B77CB">
        <w:rPr>
          <w:rFonts w:cs="Arial"/>
          <w:b/>
        </w:rPr>
        <w:t>replacement</w:t>
      </w:r>
      <w:r w:rsidR="00EA3B93">
        <w:rPr>
          <w:rFonts w:cs="Arial"/>
          <w:b/>
        </w:rPr>
        <w:t>s,</w:t>
      </w:r>
      <w:r w:rsidRPr="008372FE">
        <w:rPr>
          <w:rFonts w:cs="Arial"/>
          <w:b/>
        </w:rPr>
        <w:t xml:space="preserve"> </w:t>
      </w:r>
      <w:r w:rsidR="008B77CB">
        <w:rPr>
          <w:rFonts w:cs="Arial"/>
          <w:b/>
        </w:rPr>
        <w:t xml:space="preserve">total </w:t>
      </w:r>
      <w:r w:rsidRPr="008372FE">
        <w:rPr>
          <w:rFonts w:cs="Arial"/>
          <w:b/>
        </w:rPr>
        <w:t>knee replacement</w:t>
      </w:r>
      <w:r w:rsidR="00EA3B93">
        <w:rPr>
          <w:rFonts w:cs="Arial"/>
          <w:b/>
        </w:rPr>
        <w:t>s, and bariatric surgery for weight loss</w:t>
      </w:r>
      <w:r w:rsidRPr="008372FE">
        <w:rPr>
          <w:rFonts w:cs="Arial"/>
          <w:b/>
        </w:rPr>
        <w:t xml:space="preserve"> procedures are performed there. Can we include these procedures in our total hospital volume when responding to question #3 in Section 3A?</w:t>
      </w:r>
    </w:p>
    <w:p w14:paraId="0F3D81E8" w14:textId="53CA77ED" w:rsidR="00AF7128" w:rsidRPr="00AF7128" w:rsidRDefault="00AF7128" w:rsidP="00AF7128">
      <w:pPr>
        <w:pStyle w:val="ListParagraph"/>
        <w:rPr>
          <w:rFonts w:cs="Arial"/>
          <w:bCs/>
        </w:rPr>
      </w:pPr>
      <w:r w:rsidRPr="008372FE">
        <w:rPr>
          <w:rFonts w:cs="Arial"/>
          <w:bCs/>
        </w:rPr>
        <w:t>Yes, hospitals may count</w:t>
      </w:r>
      <w:r w:rsidR="00C57E12">
        <w:rPr>
          <w:rFonts w:cs="Arial"/>
          <w:bCs/>
        </w:rPr>
        <w:t xml:space="preserve"> patient</w:t>
      </w:r>
      <w:r w:rsidRPr="008372FE">
        <w:rPr>
          <w:rFonts w:cs="Arial"/>
          <w:bCs/>
        </w:rPr>
        <w:t xml:space="preserve"> discharges with the appropriate CPT procedure code during the reporting period from hospital outpatient departments that share your hospital’s license and</w:t>
      </w:r>
      <w:r w:rsidR="00B60AE6">
        <w:rPr>
          <w:rFonts w:cs="Arial"/>
          <w:bCs/>
        </w:rPr>
        <w:t>/or</w:t>
      </w:r>
      <w:r w:rsidRPr="008372FE">
        <w:rPr>
          <w:rFonts w:cs="Arial"/>
          <w:bCs/>
        </w:rPr>
        <w:t xml:space="preserve"> CMS Certification Number (CCN), including, but not limited to free-standing surgery centers and hospital outpatient departments.</w:t>
      </w:r>
    </w:p>
    <w:p w14:paraId="2B8717AE" w14:textId="77777777" w:rsidR="00592DDC" w:rsidRPr="009A5185" w:rsidRDefault="00592DDC" w:rsidP="0082085D">
      <w:pPr>
        <w:ind w:left="720"/>
        <w:rPr>
          <w:rFonts w:cs="Arial"/>
        </w:rPr>
      </w:pPr>
    </w:p>
    <w:p w14:paraId="72F47FEB" w14:textId="552406C2" w:rsidR="00592DDC" w:rsidRPr="009A5185" w:rsidRDefault="00592DDC" w:rsidP="00AB5B80">
      <w:pPr>
        <w:pStyle w:val="Heading3"/>
      </w:pPr>
      <w:bookmarkStart w:id="278" w:name="_Toc225877719"/>
      <w:r w:rsidRPr="009A5185">
        <w:t>Surgeon Volume</w:t>
      </w:r>
      <w:r w:rsidR="00B078B4">
        <w:t xml:space="preserve"> FAQs</w:t>
      </w:r>
      <w:bookmarkEnd w:id="278"/>
    </w:p>
    <w:p w14:paraId="28DC48F8" w14:textId="77777777" w:rsidR="00395B55" w:rsidRPr="009A5185" w:rsidRDefault="00395B55" w:rsidP="000E3ED6">
      <w:pPr>
        <w:rPr>
          <w:rFonts w:cs="Arial"/>
          <w:b/>
        </w:rPr>
      </w:pPr>
    </w:p>
    <w:p w14:paraId="39392829" w14:textId="6E322B3F" w:rsidR="008B77CB" w:rsidRPr="008B77CB" w:rsidRDefault="008B77CB" w:rsidP="00AD309C">
      <w:pPr>
        <w:pStyle w:val="ListParagraph"/>
        <w:numPr>
          <w:ilvl w:val="0"/>
          <w:numId w:val="55"/>
        </w:numPr>
        <w:rPr>
          <w:rFonts w:cs="Arial"/>
          <w:b/>
        </w:rPr>
      </w:pPr>
      <w:r w:rsidRPr="008B77CB">
        <w:rPr>
          <w:rFonts w:cs="Arial"/>
          <w:b/>
        </w:rPr>
        <w:t xml:space="preserve">Does the specific procedure and minimum annual surgeon volume standard listed need to be included in our process for privileging surgeons? </w:t>
      </w:r>
    </w:p>
    <w:p w14:paraId="60C68708" w14:textId="4E087578" w:rsidR="008B77CB" w:rsidRDefault="008B77CB" w:rsidP="008B77CB">
      <w:pPr>
        <w:pStyle w:val="ListParagraph"/>
        <w:rPr>
          <w:rFonts w:cs="Arial"/>
          <w:bCs/>
        </w:rPr>
      </w:pPr>
      <w:r w:rsidRPr="008B77CB">
        <w:rPr>
          <w:rFonts w:cs="Arial"/>
          <w:bCs/>
        </w:rPr>
        <w:t>Yes. Hospitals must ensure that the specific procedure (as defined using the ICD-10 and CPT procedure codes) and minimum annual surgeon volume standard are included in your process for privileging surgeons.</w:t>
      </w:r>
      <w:r>
        <w:rPr>
          <w:rFonts w:cs="Arial"/>
          <w:bCs/>
        </w:rPr>
        <w:t xml:space="preserve"> Diagnosis codes can be ignored. </w:t>
      </w:r>
    </w:p>
    <w:p w14:paraId="358F5589" w14:textId="56D1338C" w:rsidR="008B77CB" w:rsidRDefault="008B77CB" w:rsidP="008B77CB">
      <w:pPr>
        <w:pStyle w:val="ListParagraph"/>
        <w:rPr>
          <w:rFonts w:cs="Arial"/>
          <w:bCs/>
        </w:rPr>
      </w:pPr>
    </w:p>
    <w:p w14:paraId="5E694D24" w14:textId="77777777" w:rsidR="008B77CB" w:rsidRPr="00973FBE" w:rsidRDefault="008B77CB" w:rsidP="00AD309C">
      <w:pPr>
        <w:pStyle w:val="ListParagraph"/>
        <w:numPr>
          <w:ilvl w:val="0"/>
          <w:numId w:val="55"/>
        </w:numPr>
        <w:rPr>
          <w:rFonts w:cs="Arial"/>
          <w:b/>
          <w:bCs/>
        </w:rPr>
      </w:pPr>
      <w:r w:rsidRPr="00973FBE">
        <w:rPr>
          <w:rFonts w:cs="Arial"/>
          <w:b/>
          <w:bCs/>
        </w:rPr>
        <w:t xml:space="preserve">Does our privileging process for surgeons have to include the </w:t>
      </w:r>
      <w:r>
        <w:rPr>
          <w:rFonts w:cs="Arial"/>
          <w:b/>
          <w:bCs/>
        </w:rPr>
        <w:t xml:space="preserve">annual </w:t>
      </w:r>
      <w:r w:rsidRPr="00973FBE">
        <w:rPr>
          <w:rFonts w:cs="Arial"/>
          <w:b/>
          <w:bCs/>
        </w:rPr>
        <w:t>surgeon volume standard for initial privileging only or ongoing/renewal of privileging as well?</w:t>
      </w:r>
    </w:p>
    <w:p w14:paraId="08C14AA7" w14:textId="77777777" w:rsidR="008B77CB" w:rsidRPr="00A74B8D" w:rsidRDefault="008B77CB" w:rsidP="008B77CB">
      <w:pPr>
        <w:pStyle w:val="ListParagraph"/>
        <w:rPr>
          <w:rFonts w:cs="Arial"/>
        </w:rPr>
      </w:pPr>
      <w:r>
        <w:rPr>
          <w:rFonts w:cs="Arial"/>
        </w:rPr>
        <w:t>B</w:t>
      </w:r>
      <w:r w:rsidRPr="00A74B8D">
        <w:rPr>
          <w:rFonts w:cs="Arial"/>
        </w:rPr>
        <w:t xml:space="preserve">oth. Leapfrog’s minimum </w:t>
      </w:r>
      <w:r>
        <w:rPr>
          <w:rFonts w:cs="Arial"/>
        </w:rPr>
        <w:t xml:space="preserve">annual </w:t>
      </w:r>
      <w:r w:rsidRPr="00A74B8D">
        <w:rPr>
          <w:rFonts w:cs="Arial"/>
        </w:rPr>
        <w:t xml:space="preserve">surgeon volume standards should be fully integrated into your hospital’s process for privileging surgeons, including both initial and ongoing privileging. There are two exceptions: </w:t>
      </w:r>
    </w:p>
    <w:p w14:paraId="7A59A3B5" w14:textId="45F1F66B" w:rsidR="008B77CB" w:rsidRPr="00A74B8D" w:rsidRDefault="008B77CB" w:rsidP="00AD309C">
      <w:pPr>
        <w:pStyle w:val="ListParagraph"/>
        <w:numPr>
          <w:ilvl w:val="1"/>
          <w:numId w:val="141"/>
        </w:numPr>
        <w:rPr>
          <w:rFonts w:cs="Arial"/>
        </w:rPr>
      </w:pPr>
      <w:r w:rsidRPr="00A74B8D">
        <w:rPr>
          <w:rFonts w:cs="Arial"/>
        </w:rPr>
        <w:t xml:space="preserve">Surgeons who have just finished training: see </w:t>
      </w:r>
      <w:hyperlink w:anchor="FAQ11_surgtrain" w:history="1">
        <w:r w:rsidR="006A0540">
          <w:rPr>
            <w:rStyle w:val="Hyperlink"/>
            <w:rFonts w:cs="Arial"/>
          </w:rPr>
          <w:t>FAQ #14</w:t>
        </w:r>
      </w:hyperlink>
      <w:r w:rsidRPr="00A74B8D">
        <w:rPr>
          <w:rFonts w:cs="Arial"/>
        </w:rPr>
        <w:t xml:space="preserve"> </w:t>
      </w:r>
      <w:r w:rsidR="006A0540">
        <w:rPr>
          <w:rFonts w:cs="Arial"/>
        </w:rPr>
        <w:t>below.</w:t>
      </w:r>
    </w:p>
    <w:p w14:paraId="32B36657" w14:textId="4A5A2120" w:rsidR="008B77CB" w:rsidRPr="008B77CB" w:rsidRDefault="008B77CB" w:rsidP="00AD309C">
      <w:pPr>
        <w:pStyle w:val="ListParagraph"/>
        <w:numPr>
          <w:ilvl w:val="1"/>
          <w:numId w:val="141"/>
        </w:numPr>
        <w:rPr>
          <w:rFonts w:cs="Arial"/>
        </w:rPr>
      </w:pPr>
      <w:r w:rsidRPr="00A74B8D">
        <w:rPr>
          <w:rFonts w:cs="Arial"/>
        </w:rPr>
        <w:t xml:space="preserve">Surgeons who were not active for the entire reporting period: see </w:t>
      </w:r>
      <w:hyperlink w:anchor="faqsurgeonnotactive_3a" w:history="1">
        <w:r w:rsidR="006A0540">
          <w:rPr>
            <w:rStyle w:val="Hyperlink"/>
            <w:rFonts w:cs="Arial"/>
          </w:rPr>
          <w:t>FAQ #15</w:t>
        </w:r>
      </w:hyperlink>
      <w:r>
        <w:rPr>
          <w:rFonts w:cs="Arial"/>
        </w:rPr>
        <w:t xml:space="preserve"> </w:t>
      </w:r>
      <w:r w:rsidR="006A0540">
        <w:rPr>
          <w:rFonts w:cs="Arial"/>
        </w:rPr>
        <w:t>below.</w:t>
      </w:r>
    </w:p>
    <w:p w14:paraId="16443718" w14:textId="77777777" w:rsidR="008B77CB" w:rsidRDefault="008B77CB" w:rsidP="008B77CB">
      <w:pPr>
        <w:pStyle w:val="ListParagraph"/>
        <w:rPr>
          <w:rFonts w:cs="Arial"/>
          <w:b/>
        </w:rPr>
      </w:pPr>
    </w:p>
    <w:p w14:paraId="25E80978" w14:textId="2A799B36" w:rsidR="009C433D" w:rsidRDefault="009C433D" w:rsidP="00AD309C">
      <w:pPr>
        <w:pStyle w:val="ListParagraph"/>
        <w:numPr>
          <w:ilvl w:val="0"/>
          <w:numId w:val="55"/>
        </w:numPr>
        <w:rPr>
          <w:rFonts w:cs="Arial"/>
          <w:b/>
        </w:rPr>
      </w:pPr>
      <w:r w:rsidRPr="009C433D">
        <w:rPr>
          <w:rFonts w:cs="Arial"/>
          <w:b/>
        </w:rPr>
        <w:t xml:space="preserve">When counting </w:t>
      </w:r>
      <w:r w:rsidR="00FB59C3">
        <w:rPr>
          <w:rFonts w:cs="Arial"/>
          <w:b/>
        </w:rPr>
        <w:t xml:space="preserve">annual </w:t>
      </w:r>
      <w:r w:rsidRPr="009C433D">
        <w:rPr>
          <w:rFonts w:cs="Arial"/>
          <w:b/>
        </w:rPr>
        <w:t>surgeon volume for the purposes of privileging,</w:t>
      </w:r>
      <w:r>
        <w:rPr>
          <w:rFonts w:cs="Arial"/>
          <w:b/>
        </w:rPr>
        <w:t xml:space="preserve"> should we consider procedures performed by the surgeon at </w:t>
      </w:r>
      <w:r w:rsidR="00D25816">
        <w:rPr>
          <w:rFonts w:cs="Arial"/>
          <w:b/>
        </w:rPr>
        <w:t>other</w:t>
      </w:r>
      <w:r>
        <w:rPr>
          <w:rFonts w:cs="Arial"/>
          <w:b/>
        </w:rPr>
        <w:t xml:space="preserve"> hospitals?</w:t>
      </w:r>
      <w:r w:rsidRPr="009C433D">
        <w:rPr>
          <w:rFonts w:cs="Arial"/>
          <w:b/>
        </w:rPr>
        <w:t xml:space="preserve"> </w:t>
      </w:r>
    </w:p>
    <w:p w14:paraId="51BFFCFC" w14:textId="0C8EA716" w:rsidR="005619C5" w:rsidRPr="009C433D" w:rsidRDefault="008B77CB" w:rsidP="009C433D">
      <w:pPr>
        <w:pStyle w:val="ListParagraph"/>
        <w:rPr>
          <w:rFonts w:cs="Arial"/>
          <w:b/>
        </w:rPr>
      </w:pPr>
      <w:r>
        <w:rPr>
          <w:rFonts w:cs="Arial"/>
        </w:rPr>
        <w:t xml:space="preserve">Yes. </w:t>
      </w:r>
      <w:r w:rsidR="005619C5" w:rsidRPr="009C433D">
        <w:rPr>
          <w:rFonts w:cs="Arial"/>
        </w:rPr>
        <w:t xml:space="preserve">When determining whether a surgeon has met or has exceeded Leapfrog's minimum </w:t>
      </w:r>
      <w:r w:rsidR="00F67359">
        <w:rPr>
          <w:rFonts w:cs="Arial"/>
        </w:rPr>
        <w:t xml:space="preserve">annual </w:t>
      </w:r>
      <w:r w:rsidR="005619C5" w:rsidRPr="009C433D">
        <w:rPr>
          <w:rFonts w:cs="Arial"/>
        </w:rPr>
        <w:t xml:space="preserve">surgeon volume standard, we expect that hospitals will consider total experience in the privileging process </w:t>
      </w:r>
      <w:r w:rsidR="00F67359">
        <w:rPr>
          <w:rFonts w:cs="Arial"/>
        </w:rPr>
        <w:t>–</w:t>
      </w:r>
      <w:r w:rsidR="005619C5" w:rsidRPr="009C433D">
        <w:rPr>
          <w:rFonts w:cs="Arial"/>
        </w:rPr>
        <w:t xml:space="preserve"> this would include procedures performed within the reporting period at different facilities.</w:t>
      </w:r>
      <w:r w:rsidR="007F3366">
        <w:rPr>
          <w:rFonts w:cs="Arial"/>
        </w:rPr>
        <w:t xml:space="preserve"> </w:t>
      </w:r>
      <w:r w:rsidR="007F3366" w:rsidRPr="007F3366">
        <w:rPr>
          <w:rFonts w:cs="Arial"/>
        </w:rPr>
        <w:t xml:space="preserve">It is our understanding that through </w:t>
      </w:r>
      <w:hyperlink r:id="rId240" w:anchor=":~:text=OPPE%20identifies%20professional%20practice%20trends,could%20negatively%20impact%20patient%20outcomes" w:history="1">
        <w:r w:rsidR="007F3366" w:rsidRPr="008B77CB">
          <w:rPr>
            <w:rStyle w:val="Hyperlink"/>
            <w:rFonts w:cs="Arial"/>
          </w:rPr>
          <w:t>the OPPE process</w:t>
        </w:r>
      </w:hyperlink>
      <w:r w:rsidR="007F3366" w:rsidRPr="007F3366">
        <w:rPr>
          <w:rFonts w:cs="Arial"/>
        </w:rPr>
        <w:t>, hospitals have access to total surgeon volume, including the number of procedures performed at other hospitals.</w:t>
      </w:r>
    </w:p>
    <w:p w14:paraId="4D5938D2" w14:textId="22CAC803" w:rsidR="005619C5" w:rsidRDefault="005619C5" w:rsidP="005619C5">
      <w:pPr>
        <w:pStyle w:val="ListParagraph"/>
        <w:rPr>
          <w:rFonts w:cs="Arial"/>
        </w:rPr>
      </w:pPr>
    </w:p>
    <w:p w14:paraId="5867EA83" w14:textId="657D06B8" w:rsidR="00EA3B93" w:rsidRDefault="00EA3B93" w:rsidP="005619C5">
      <w:pPr>
        <w:pStyle w:val="ListParagraph"/>
        <w:rPr>
          <w:rFonts w:cs="Arial"/>
        </w:rPr>
      </w:pPr>
    </w:p>
    <w:p w14:paraId="0877A0AE" w14:textId="77777777" w:rsidR="00EA3B93" w:rsidRPr="005619C5" w:rsidRDefault="00EA3B93" w:rsidP="005619C5">
      <w:pPr>
        <w:pStyle w:val="ListParagraph"/>
        <w:rPr>
          <w:rFonts w:cs="Arial"/>
        </w:rPr>
      </w:pPr>
    </w:p>
    <w:p w14:paraId="72E5B1FE" w14:textId="0AFF8C8E" w:rsidR="00395B55" w:rsidRPr="009A5185" w:rsidRDefault="000E3ED6" w:rsidP="00AD309C">
      <w:pPr>
        <w:pStyle w:val="ListParagraph"/>
        <w:numPr>
          <w:ilvl w:val="0"/>
          <w:numId w:val="55"/>
        </w:numPr>
        <w:rPr>
          <w:rFonts w:cs="Arial"/>
          <w:b/>
        </w:rPr>
      </w:pPr>
      <w:bookmarkStart w:id="279" w:name="FAQ11_surgtrain"/>
      <w:bookmarkEnd w:id="279"/>
      <w:r w:rsidRPr="009A5185">
        <w:rPr>
          <w:rFonts w:cs="Arial"/>
          <w:b/>
        </w:rPr>
        <w:lastRenderedPageBreak/>
        <w:t>For determining surgeon volume</w:t>
      </w:r>
      <w:r w:rsidR="002400BE" w:rsidRPr="009A5185">
        <w:rPr>
          <w:rFonts w:cs="Arial"/>
          <w:b/>
        </w:rPr>
        <w:t xml:space="preserve"> for the purposes o</w:t>
      </w:r>
      <w:r w:rsidR="00421E47">
        <w:rPr>
          <w:rFonts w:cs="Arial"/>
          <w:b/>
        </w:rPr>
        <w:t xml:space="preserve">f </w:t>
      </w:r>
      <w:r w:rsidR="002400BE" w:rsidRPr="009A5185">
        <w:rPr>
          <w:rFonts w:cs="Arial"/>
          <w:b/>
        </w:rPr>
        <w:t>privileging</w:t>
      </w:r>
      <w:r w:rsidRPr="009A5185">
        <w:rPr>
          <w:rFonts w:cs="Arial"/>
          <w:b/>
        </w:rPr>
        <w:t>, how should we count procedures that involve surgeons who have just finished training and are building up their experience?</w:t>
      </w:r>
    </w:p>
    <w:p w14:paraId="70EA5814" w14:textId="4DBE2853" w:rsidR="000E3ED6" w:rsidRPr="009A5185" w:rsidRDefault="000E3ED6" w:rsidP="00395B55">
      <w:pPr>
        <w:pStyle w:val="ListParagraph"/>
        <w:rPr>
          <w:rFonts w:cs="Arial"/>
          <w:b/>
        </w:rPr>
      </w:pPr>
      <w:r w:rsidRPr="009A5185">
        <w:rPr>
          <w:rFonts w:cs="Arial"/>
        </w:rPr>
        <w:t xml:space="preserve">Surgeons who have just finished </w:t>
      </w:r>
      <w:r w:rsidR="00FC6FB9" w:rsidRPr="009A5185">
        <w:rPr>
          <w:rFonts w:cs="Arial"/>
        </w:rPr>
        <w:t>their</w:t>
      </w:r>
      <w:r w:rsidRPr="009A5185">
        <w:rPr>
          <w:rFonts w:cs="Arial"/>
        </w:rPr>
        <w:t xml:space="preserve"> training should </w:t>
      </w:r>
      <w:r w:rsidR="00B43E3C" w:rsidRPr="009A5185">
        <w:rPr>
          <w:rFonts w:cs="Arial"/>
        </w:rPr>
        <w:t xml:space="preserve">receive </w:t>
      </w:r>
      <w:r w:rsidRPr="009A5185">
        <w:rPr>
          <w:rFonts w:cs="Arial"/>
        </w:rPr>
        <w:t xml:space="preserve">a 24-month grace period to build up their experience. After that point, </w:t>
      </w:r>
      <w:r w:rsidR="00D016B4">
        <w:rPr>
          <w:rFonts w:cs="Arial"/>
        </w:rPr>
        <w:t xml:space="preserve">the surgeon’s </w:t>
      </w:r>
      <w:r w:rsidRPr="009A5185">
        <w:rPr>
          <w:rFonts w:cs="Arial"/>
        </w:rPr>
        <w:t xml:space="preserve">volume should be tracked </w:t>
      </w:r>
      <w:r w:rsidR="00944250" w:rsidRPr="009A5185">
        <w:rPr>
          <w:rFonts w:cs="Arial"/>
        </w:rPr>
        <w:t>and included in privileging decisions</w:t>
      </w:r>
      <w:r w:rsidRPr="009A5185">
        <w:rPr>
          <w:rFonts w:cs="Arial"/>
        </w:rPr>
        <w:t xml:space="preserve">. The procedures performed by this surgeon during the reporting period should still be counted towards the hospital’s volume total, as the broader staff still had the experience with the </w:t>
      </w:r>
      <w:r w:rsidR="007A3910">
        <w:rPr>
          <w:rFonts w:cs="Arial"/>
        </w:rPr>
        <w:t>procedure</w:t>
      </w:r>
      <w:r w:rsidRPr="009A5185">
        <w:rPr>
          <w:rFonts w:cs="Arial"/>
        </w:rPr>
        <w:t>.</w:t>
      </w:r>
    </w:p>
    <w:p w14:paraId="6941EC60" w14:textId="77777777" w:rsidR="00395B55" w:rsidRPr="009A5185" w:rsidRDefault="00395B55" w:rsidP="000E3ED6">
      <w:pPr>
        <w:rPr>
          <w:rFonts w:cs="Arial"/>
          <w:b/>
        </w:rPr>
      </w:pPr>
    </w:p>
    <w:p w14:paraId="47A28603" w14:textId="4ABBE336" w:rsidR="00421E47" w:rsidRDefault="00421E47" w:rsidP="00AD309C">
      <w:pPr>
        <w:pStyle w:val="ListParagraph"/>
        <w:numPr>
          <w:ilvl w:val="0"/>
          <w:numId w:val="55"/>
        </w:numPr>
        <w:rPr>
          <w:rFonts w:cs="Arial"/>
          <w:b/>
        </w:rPr>
      </w:pPr>
      <w:bookmarkStart w:id="280" w:name="faqsurgeonnotactive_3a"/>
      <w:r w:rsidRPr="009A5185">
        <w:rPr>
          <w:rFonts w:cs="Arial"/>
          <w:b/>
        </w:rPr>
        <w:t xml:space="preserve">If a </w:t>
      </w:r>
      <w:bookmarkEnd w:id="280"/>
      <w:r w:rsidRPr="009A5185">
        <w:rPr>
          <w:rFonts w:cs="Arial"/>
          <w:b/>
        </w:rPr>
        <w:t xml:space="preserve">surgeon was not </w:t>
      </w:r>
      <w:r w:rsidR="00F0772B">
        <w:rPr>
          <w:rFonts w:cs="Arial"/>
          <w:b/>
        </w:rPr>
        <w:t>“</w:t>
      </w:r>
      <w:r w:rsidRPr="009A5185">
        <w:rPr>
          <w:rFonts w:cs="Arial"/>
          <w:b/>
        </w:rPr>
        <w:t>active</w:t>
      </w:r>
      <w:r w:rsidR="00F0772B">
        <w:rPr>
          <w:rFonts w:cs="Arial"/>
          <w:b/>
        </w:rPr>
        <w:t>”</w:t>
      </w:r>
      <w:r w:rsidRPr="009A5185">
        <w:rPr>
          <w:rFonts w:cs="Arial"/>
          <w:b/>
        </w:rPr>
        <w:t xml:space="preserve"> during the entire reporting period (e.g., just hired, sabbatical, illness, etc.), </w:t>
      </w:r>
      <w:r>
        <w:rPr>
          <w:rFonts w:cs="Arial"/>
          <w:b/>
        </w:rPr>
        <w:t>should they be included when responding to question #5?</w:t>
      </w:r>
    </w:p>
    <w:p w14:paraId="40FBFA41" w14:textId="77777777" w:rsidR="00421E47" w:rsidRDefault="00421E47" w:rsidP="00421E47">
      <w:pPr>
        <w:pStyle w:val="ListParagraph"/>
        <w:rPr>
          <w:rFonts w:cs="Arial"/>
        </w:rPr>
      </w:pPr>
      <w:r w:rsidRPr="00CB174B">
        <w:rPr>
          <w:rFonts w:cs="Arial"/>
        </w:rPr>
        <w:t>If a surgeon was absent for an extended time during the reporting period, the procedures performed by this surgeon during the reporting period should still be counted towards the hospital’s procedure total (question #</w:t>
      </w:r>
      <w:r>
        <w:rPr>
          <w:rFonts w:cs="Arial"/>
        </w:rPr>
        <w:t>3</w:t>
      </w:r>
      <w:r w:rsidRPr="00CB174B">
        <w:rPr>
          <w:rFonts w:cs="Arial"/>
        </w:rPr>
        <w:t>). However, the surgeon would not need to be considered when responding to question #</w:t>
      </w:r>
      <w:r>
        <w:rPr>
          <w:rFonts w:cs="Arial"/>
        </w:rPr>
        <w:t>5</w:t>
      </w:r>
      <w:r w:rsidRPr="00CB174B">
        <w:rPr>
          <w:rFonts w:cs="Arial"/>
        </w:rPr>
        <w:t xml:space="preserve"> regarding whether</w:t>
      </w:r>
      <w:r>
        <w:rPr>
          <w:rFonts w:cs="Arial"/>
        </w:rPr>
        <w:t xml:space="preserve"> </w:t>
      </w:r>
      <w:r w:rsidRPr="00CB174B">
        <w:rPr>
          <w:rFonts w:cs="Arial"/>
        </w:rPr>
        <w:t xml:space="preserve">your hospital’s process for privileging includes the surgeon having to meet Leapfrog’s minimum </w:t>
      </w:r>
      <w:r>
        <w:rPr>
          <w:rFonts w:cs="Arial"/>
        </w:rPr>
        <w:t xml:space="preserve">annual </w:t>
      </w:r>
      <w:r w:rsidRPr="00CB174B">
        <w:rPr>
          <w:rFonts w:cs="Arial"/>
        </w:rPr>
        <w:t>surgeon volume standards until they have been active again for an entire reporting period (likely the next year).</w:t>
      </w:r>
    </w:p>
    <w:p w14:paraId="71EC0D76" w14:textId="77777777" w:rsidR="00421E47" w:rsidRPr="00B77D2A" w:rsidRDefault="00421E47" w:rsidP="00421E47">
      <w:pPr>
        <w:pStyle w:val="ListParagraph"/>
        <w:rPr>
          <w:rFonts w:ascii="Calibri" w:hAnsi="Calibri"/>
          <w:b/>
          <w:bCs/>
          <w:sz w:val="16"/>
          <w:szCs w:val="16"/>
        </w:rPr>
      </w:pPr>
    </w:p>
    <w:p w14:paraId="21161B7C" w14:textId="2EBBB3C3" w:rsidR="00DA7817" w:rsidRDefault="00DA7817" w:rsidP="00AD309C">
      <w:pPr>
        <w:pStyle w:val="ListParagraph"/>
        <w:numPr>
          <w:ilvl w:val="0"/>
          <w:numId w:val="55"/>
        </w:numPr>
        <w:rPr>
          <w:rFonts w:ascii="Calibri" w:hAnsi="Calibri"/>
          <w:b/>
          <w:bCs/>
        </w:rPr>
      </w:pPr>
      <w:r>
        <w:rPr>
          <w:b/>
          <w:bCs/>
        </w:rPr>
        <w:t>When counting surgeon volume for</w:t>
      </w:r>
      <w:r>
        <w:t xml:space="preserve"> </w:t>
      </w:r>
      <w:r>
        <w:rPr>
          <w:b/>
          <w:bCs/>
        </w:rPr>
        <w:t>the purposes of privileging, if a procedure is completed by two surgeons (</w:t>
      </w:r>
      <w:r w:rsidR="00430043">
        <w:rPr>
          <w:b/>
          <w:bCs/>
        </w:rPr>
        <w:t>i.e.,</w:t>
      </w:r>
      <w:r>
        <w:rPr>
          <w:b/>
          <w:bCs/>
        </w:rPr>
        <w:t xml:space="preserve"> an assistant or co-surgeon) would they both be able to count the case? </w:t>
      </w:r>
    </w:p>
    <w:p w14:paraId="68291A25" w14:textId="77777777" w:rsidR="00DA7817" w:rsidRDefault="00DA7817" w:rsidP="00DA7817">
      <w:pPr>
        <w:pStyle w:val="ListParagraph"/>
        <w:rPr>
          <w:rFonts w:cs="Arial"/>
        </w:rPr>
      </w:pPr>
      <w:r w:rsidRPr="00DA7817">
        <w:rPr>
          <w:rFonts w:cs="Arial"/>
        </w:rPr>
        <w:t>If a surgeon assists another surgeon or is a co-surgeon during a procedure, the procedure should NOT count for both surgeons’ procedure totals. The case should be applied to a single surgeon.</w:t>
      </w:r>
    </w:p>
    <w:p w14:paraId="226C6598" w14:textId="77777777" w:rsidR="00CB174B" w:rsidRPr="00B77D2A" w:rsidRDefault="00CB174B" w:rsidP="006A0540">
      <w:pPr>
        <w:rPr>
          <w:rFonts w:cs="Arial"/>
          <w:b/>
          <w:sz w:val="16"/>
          <w:szCs w:val="16"/>
        </w:rPr>
      </w:pPr>
      <w:bookmarkStart w:id="281" w:name="FAQ13_notactive"/>
      <w:bookmarkEnd w:id="281"/>
    </w:p>
    <w:p w14:paraId="712B9D9C" w14:textId="36889FED" w:rsidR="00C023AA" w:rsidRDefault="00C023AA" w:rsidP="00AD309C">
      <w:pPr>
        <w:pStyle w:val="ListParagraph"/>
        <w:numPr>
          <w:ilvl w:val="0"/>
          <w:numId w:val="55"/>
        </w:numPr>
        <w:rPr>
          <w:rFonts w:cs="Arial"/>
          <w:b/>
        </w:rPr>
      </w:pPr>
      <w:r w:rsidRPr="00C023AA">
        <w:rPr>
          <w:rFonts w:cs="Arial"/>
          <w:b/>
        </w:rPr>
        <w:t xml:space="preserve">When determining which surgeons should be required to meet Leapfrog’s minimum </w:t>
      </w:r>
      <w:r w:rsidR="00F67359">
        <w:rPr>
          <w:rFonts w:cs="Arial"/>
          <w:b/>
        </w:rPr>
        <w:t xml:space="preserve">annual </w:t>
      </w:r>
      <w:r w:rsidRPr="00C023AA">
        <w:rPr>
          <w:rFonts w:cs="Arial"/>
          <w:b/>
        </w:rPr>
        <w:t>surgeon volume standards for the process of privileging, should surgeons who only ever perform a procedure in emergency circumstances and never perform the procedure on a scheduled basis be included?</w:t>
      </w:r>
    </w:p>
    <w:p w14:paraId="0EFA42A4" w14:textId="13179DFE" w:rsidR="00C023AA" w:rsidRPr="00C023AA" w:rsidRDefault="00C023AA" w:rsidP="00C023AA">
      <w:pPr>
        <w:pStyle w:val="ListParagraph"/>
        <w:rPr>
          <w:rFonts w:cs="Arial"/>
          <w:bCs/>
        </w:rPr>
      </w:pPr>
      <w:r w:rsidRPr="00C023AA">
        <w:rPr>
          <w:rFonts w:cs="Arial"/>
          <w:bCs/>
        </w:rPr>
        <w:t>For the purposes of reporting on question #</w:t>
      </w:r>
      <w:r w:rsidR="00A17783">
        <w:rPr>
          <w:rFonts w:cs="Arial"/>
          <w:bCs/>
        </w:rPr>
        <w:t>5</w:t>
      </w:r>
      <w:r w:rsidRPr="00C023AA">
        <w:rPr>
          <w:rFonts w:cs="Arial"/>
          <w:bCs/>
        </w:rPr>
        <w:t xml:space="preserve"> in Section 3A, hospitals can exclude surgeons who </w:t>
      </w:r>
      <w:r w:rsidR="00085A5A" w:rsidRPr="00C023AA">
        <w:rPr>
          <w:rFonts w:cs="Arial"/>
          <w:bCs/>
        </w:rPr>
        <w:t>will</w:t>
      </w:r>
      <w:r w:rsidRPr="00C023AA">
        <w:rPr>
          <w:rFonts w:cs="Arial"/>
          <w:bCs/>
        </w:rPr>
        <w:t xml:space="preserve"> only ever perform a procedure in emergency circumstances if they never perform the procedure on a scheduled basis. </w:t>
      </w:r>
    </w:p>
    <w:p w14:paraId="31DB58BB" w14:textId="77777777" w:rsidR="00C023AA" w:rsidRPr="00B77D2A" w:rsidRDefault="00C023AA" w:rsidP="00C023AA">
      <w:pPr>
        <w:pStyle w:val="ListParagraph"/>
        <w:rPr>
          <w:rFonts w:cs="Arial"/>
          <w:bCs/>
          <w:sz w:val="16"/>
          <w:szCs w:val="16"/>
        </w:rPr>
      </w:pPr>
    </w:p>
    <w:p w14:paraId="6A996C29" w14:textId="24AC8F23" w:rsidR="00C023AA" w:rsidRPr="00C023AA" w:rsidRDefault="00C023AA" w:rsidP="00C023AA">
      <w:pPr>
        <w:pStyle w:val="ListParagraph"/>
        <w:rPr>
          <w:rFonts w:cs="Arial"/>
          <w:bCs/>
        </w:rPr>
      </w:pPr>
      <w:r w:rsidRPr="00C023AA">
        <w:rPr>
          <w:rFonts w:cs="Arial"/>
          <w:bCs/>
        </w:rPr>
        <w:t>However, for the purposes of reporting on question #3 in Section 3A, hospitals should count all patients discharged with the relevant procedure or diagnosis for those procedures indicated in question #2 in Section 3A.</w:t>
      </w:r>
      <w:r w:rsidR="00794292">
        <w:rPr>
          <w:rFonts w:cs="Arial"/>
          <w:bCs/>
        </w:rPr>
        <w:t xml:space="preserve"> See FAQ #6.</w:t>
      </w:r>
    </w:p>
    <w:p w14:paraId="12C2E8A7" w14:textId="359AF9DE" w:rsidR="0077134A" w:rsidRPr="00B77D2A" w:rsidRDefault="0077134A" w:rsidP="0077134A">
      <w:pPr>
        <w:rPr>
          <w:rFonts w:cs="Arial"/>
          <w:sz w:val="16"/>
          <w:szCs w:val="16"/>
          <w:highlight w:val="cyan"/>
        </w:rPr>
      </w:pPr>
      <w:bookmarkStart w:id="282" w:name="_Toc414267243"/>
      <w:bookmarkEnd w:id="243"/>
      <w:bookmarkEnd w:id="244"/>
    </w:p>
    <w:p w14:paraId="59EFFEBF" w14:textId="39EBFE9D" w:rsidR="00BC3C78" w:rsidRPr="00B77D2A" w:rsidRDefault="00BC3C78" w:rsidP="00AB5B80">
      <w:pPr>
        <w:pStyle w:val="Heading3"/>
        <w:rPr>
          <w:sz w:val="16"/>
          <w:szCs w:val="16"/>
        </w:rPr>
      </w:pPr>
      <w:bookmarkStart w:id="283" w:name="_Safe_Surgery_Checklist_1"/>
      <w:bookmarkStart w:id="284" w:name="safesurgfaqs3c"/>
      <w:bookmarkStart w:id="285" w:name="_Toc225877720"/>
      <w:bookmarkEnd w:id="283"/>
      <w:r w:rsidRPr="0070426E">
        <w:t>Safe Surgery Checklist for Adult and Pediatric Complex Surgery</w:t>
      </w:r>
      <w:bookmarkEnd w:id="284"/>
      <w:r w:rsidR="00B078B4">
        <w:t xml:space="preserve"> FAQs</w:t>
      </w:r>
      <w:bookmarkEnd w:id="285"/>
      <w:r w:rsidRPr="0070426E">
        <w:br/>
      </w:r>
    </w:p>
    <w:p w14:paraId="3D109E21" w14:textId="55AAACA3" w:rsidR="00074F1E" w:rsidRPr="00C20F56" w:rsidRDefault="00074F1E" w:rsidP="00AD309C">
      <w:pPr>
        <w:pStyle w:val="ListParagraph"/>
        <w:numPr>
          <w:ilvl w:val="0"/>
          <w:numId w:val="55"/>
        </w:numPr>
        <w:rPr>
          <w:lang w:eastAsia="ja-JP"/>
        </w:rPr>
      </w:pPr>
      <w:r>
        <w:rPr>
          <w:b/>
          <w:lang w:eastAsia="ja-JP"/>
        </w:rPr>
        <w:t xml:space="preserve">What 12-month reporting period should be used </w:t>
      </w:r>
      <w:r w:rsidR="00A46152">
        <w:rPr>
          <w:b/>
          <w:lang w:eastAsia="ja-JP"/>
        </w:rPr>
        <w:t>when reporting on this section?</w:t>
      </w:r>
    </w:p>
    <w:p w14:paraId="04ABE854" w14:textId="556239E3" w:rsidR="00A46152" w:rsidRPr="00C20F56" w:rsidRDefault="00986A87" w:rsidP="00C20F56">
      <w:pPr>
        <w:pStyle w:val="ListParagraph"/>
        <w:rPr>
          <w:lang w:eastAsia="ja-JP"/>
        </w:rPr>
      </w:pPr>
      <w:r>
        <w:rPr>
          <w:lang w:eastAsia="ja-JP"/>
        </w:rPr>
        <w:t xml:space="preserve">When responding to </w:t>
      </w:r>
      <w:r w:rsidR="005D04C0">
        <w:rPr>
          <w:lang w:eastAsia="ja-JP"/>
        </w:rPr>
        <w:t xml:space="preserve">the questions in </w:t>
      </w:r>
      <w:r>
        <w:rPr>
          <w:lang w:eastAsia="ja-JP"/>
        </w:rPr>
        <w:t>Section 3B</w:t>
      </w:r>
      <w:r w:rsidR="005D04C0">
        <w:rPr>
          <w:lang w:eastAsia="ja-JP"/>
        </w:rPr>
        <w:t xml:space="preserve">, hospitals should </w:t>
      </w:r>
      <w:r w:rsidR="005C1DC6" w:rsidRPr="005C1DC6">
        <w:rPr>
          <w:lang w:eastAsia="ja-JP"/>
        </w:rPr>
        <w:t xml:space="preserve">enter the month in which </w:t>
      </w:r>
      <w:r w:rsidR="005D04C0">
        <w:rPr>
          <w:lang w:eastAsia="ja-JP"/>
        </w:rPr>
        <w:t>they</w:t>
      </w:r>
      <w:r w:rsidR="005C1DC6" w:rsidRPr="005C1DC6">
        <w:rPr>
          <w:lang w:eastAsia="ja-JP"/>
        </w:rPr>
        <w:t xml:space="preserve"> complete </w:t>
      </w:r>
      <w:r w:rsidR="00126CF1">
        <w:rPr>
          <w:lang w:eastAsia="ja-JP"/>
        </w:rPr>
        <w:t xml:space="preserve">their </w:t>
      </w:r>
      <w:r w:rsidR="005C1DC6" w:rsidRPr="005C1DC6">
        <w:rPr>
          <w:lang w:eastAsia="ja-JP"/>
        </w:rPr>
        <w:t xml:space="preserve">observational in-person or retrospective EHR </w:t>
      </w:r>
      <w:r w:rsidR="00D55395">
        <w:rPr>
          <w:lang w:eastAsia="ja-JP"/>
        </w:rPr>
        <w:t>review</w:t>
      </w:r>
      <w:r w:rsidR="00126CF1">
        <w:rPr>
          <w:lang w:eastAsia="ja-JP"/>
        </w:rPr>
        <w:t xml:space="preserve"> audits</w:t>
      </w:r>
      <w:r w:rsidR="00D55395">
        <w:rPr>
          <w:lang w:eastAsia="ja-JP"/>
        </w:rPr>
        <w:t>.</w:t>
      </w:r>
      <w:r w:rsidR="007861AA">
        <w:rPr>
          <w:lang w:eastAsia="ja-JP"/>
        </w:rPr>
        <w:t xml:space="preserve"> </w:t>
      </w:r>
      <w:r w:rsidR="00D55395">
        <w:rPr>
          <w:lang w:eastAsia="ja-JP"/>
        </w:rPr>
        <w:t xml:space="preserve">If </w:t>
      </w:r>
      <w:r w:rsidR="004761C9">
        <w:rPr>
          <w:lang w:eastAsia="ja-JP"/>
        </w:rPr>
        <w:t xml:space="preserve">your </w:t>
      </w:r>
      <w:r w:rsidR="00126CF1">
        <w:rPr>
          <w:lang w:eastAsia="ja-JP"/>
        </w:rPr>
        <w:t>hospital</w:t>
      </w:r>
      <w:r w:rsidR="004761C9">
        <w:rPr>
          <w:lang w:eastAsia="ja-JP"/>
        </w:rPr>
        <w:t xml:space="preserve"> does</w:t>
      </w:r>
      <w:r w:rsidR="00126CF1">
        <w:rPr>
          <w:lang w:eastAsia="ja-JP"/>
        </w:rPr>
        <w:t xml:space="preserve"> </w:t>
      </w:r>
      <w:r w:rsidR="00D55395">
        <w:rPr>
          <w:lang w:eastAsia="ja-JP"/>
        </w:rPr>
        <w:t xml:space="preserve">not perform an audit, enter the month </w:t>
      </w:r>
      <w:r w:rsidR="0015693C">
        <w:rPr>
          <w:lang w:eastAsia="ja-JP"/>
        </w:rPr>
        <w:t>in</w:t>
      </w:r>
      <w:r w:rsidR="00D55395">
        <w:rPr>
          <w:lang w:eastAsia="ja-JP"/>
        </w:rPr>
        <w:t xml:space="preserve"> which you </w:t>
      </w:r>
      <w:r w:rsidR="0015693C">
        <w:rPr>
          <w:lang w:eastAsia="ja-JP"/>
        </w:rPr>
        <w:t>are completing the Survey</w:t>
      </w:r>
      <w:r w:rsidR="00B80CAA">
        <w:rPr>
          <w:lang w:eastAsia="ja-JP"/>
        </w:rPr>
        <w:t xml:space="preserve">. </w:t>
      </w:r>
      <w:r w:rsidR="00372876">
        <w:rPr>
          <w:lang w:eastAsia="ja-JP"/>
        </w:rPr>
        <w:t xml:space="preserve"> </w:t>
      </w:r>
    </w:p>
    <w:p w14:paraId="65C40232" w14:textId="77777777" w:rsidR="00074F1E" w:rsidRPr="00B77D2A" w:rsidRDefault="00074F1E" w:rsidP="00C20F56">
      <w:pPr>
        <w:pStyle w:val="ListParagraph"/>
        <w:rPr>
          <w:sz w:val="16"/>
          <w:szCs w:val="16"/>
          <w:lang w:eastAsia="ja-JP"/>
        </w:rPr>
      </w:pPr>
    </w:p>
    <w:p w14:paraId="7F31C573" w14:textId="30D38135" w:rsidR="00D374ED" w:rsidRPr="00974A8E" w:rsidRDefault="00D374ED" w:rsidP="00AD309C">
      <w:pPr>
        <w:pStyle w:val="ListParagraph"/>
        <w:numPr>
          <w:ilvl w:val="0"/>
          <w:numId w:val="55"/>
        </w:numPr>
        <w:rPr>
          <w:lang w:eastAsia="ja-JP"/>
        </w:rPr>
      </w:pPr>
      <w:r>
        <w:rPr>
          <w:b/>
          <w:lang w:eastAsia="ja-JP"/>
        </w:rPr>
        <w:t>Does the safe surgery checklist referenced in Section 3B apply to all procedures, including endoscopies?</w:t>
      </w:r>
    </w:p>
    <w:p w14:paraId="3370CBDB" w14:textId="5D3744D9" w:rsidR="00D374ED" w:rsidRPr="00B77D2A" w:rsidRDefault="00D374ED" w:rsidP="00D374ED">
      <w:pPr>
        <w:pStyle w:val="CommentText"/>
        <w:ind w:left="720"/>
        <w:rPr>
          <w:sz w:val="16"/>
          <w:szCs w:val="16"/>
        </w:rPr>
      </w:pPr>
      <w:r>
        <w:t>Yes, it applies to all procedures in Section 3A. If your hospital does not utilize a safe surgery checklist for all procedures in Section 3A, including endoscopies, respond “</w:t>
      </w:r>
      <w:r w:rsidR="00452A49">
        <w:t>n</w:t>
      </w:r>
      <w:r>
        <w:t>o” to question #2.</w:t>
      </w:r>
      <w:r>
        <w:br/>
      </w:r>
    </w:p>
    <w:p w14:paraId="7FEF32C3" w14:textId="5114F0A4" w:rsidR="002A2342" w:rsidRPr="00F0772B" w:rsidRDefault="002A2342" w:rsidP="00AD309C">
      <w:pPr>
        <w:pStyle w:val="ListParagraph"/>
        <w:numPr>
          <w:ilvl w:val="0"/>
          <w:numId w:val="55"/>
        </w:numPr>
        <w:rPr>
          <w:b/>
          <w:bCs/>
        </w:rPr>
      </w:pPr>
      <w:r w:rsidRPr="00F0772B">
        <w:rPr>
          <w:b/>
          <w:bCs/>
        </w:rPr>
        <w:t>Can different elements of the “Before the induction of anesthesia” checklist (question #3) be performed in different places?</w:t>
      </w:r>
    </w:p>
    <w:p w14:paraId="167B54F5" w14:textId="77777777" w:rsidR="002A2342" w:rsidRPr="001E2A00" w:rsidRDefault="002A2342" w:rsidP="002A2342">
      <w:pPr>
        <w:pStyle w:val="ListParagraph"/>
      </w:pPr>
      <w:r w:rsidRPr="001E2A00">
        <w:t xml:space="preserve">Yes, hospitals may perform some elements of the pre-anesthesia checklist outside of the operating room. Hospitals may read aloud the following elements in a pre-procedure (preop) area: Patient ID, Confirmation of procedure, Patient consent, Site marked, if applicable, and Allergies assessed. </w:t>
      </w:r>
    </w:p>
    <w:p w14:paraId="1477070F" w14:textId="77777777" w:rsidR="002A2342" w:rsidRPr="001E2A00" w:rsidRDefault="002A2342" w:rsidP="002A2342">
      <w:pPr>
        <w:pStyle w:val="ListParagraph"/>
      </w:pPr>
    </w:p>
    <w:p w14:paraId="55E1885A" w14:textId="6FFBF497" w:rsidR="00D374ED" w:rsidRPr="001E2A00" w:rsidRDefault="002A2342" w:rsidP="002A2342">
      <w:pPr>
        <w:pStyle w:val="ListParagraph"/>
      </w:pPr>
      <w:r w:rsidRPr="001E2A00">
        <w:t>Hospitals should not remove conversation prompts as it is harmful to the purpose of the checklist and should continue debriefing and requiring participation of the surgical team members in key moments.</w:t>
      </w:r>
      <w:r>
        <w:br/>
      </w:r>
    </w:p>
    <w:p w14:paraId="3CF0C72D" w14:textId="792F4B5C" w:rsidR="00972266" w:rsidRDefault="00972266" w:rsidP="00AD309C">
      <w:pPr>
        <w:pStyle w:val="ListParagraph"/>
        <w:numPr>
          <w:ilvl w:val="0"/>
          <w:numId w:val="55"/>
        </w:numPr>
        <w:rPr>
          <w:b/>
          <w:bCs/>
        </w:rPr>
      </w:pPr>
      <w:bookmarkStart w:id="286" w:name="clinicalteamintro_3b"/>
      <w:bookmarkEnd w:id="286"/>
      <w:r>
        <w:rPr>
          <w:b/>
          <w:bCs/>
        </w:rPr>
        <w:lastRenderedPageBreak/>
        <w:t>Do we need to perform a “clinical team introduction” if the team already knows each other and/or will be in the operating room together all day?</w:t>
      </w:r>
    </w:p>
    <w:p w14:paraId="7C15DDB7" w14:textId="72F42236" w:rsidR="00972266" w:rsidRDefault="00972266" w:rsidP="00745E20">
      <w:pPr>
        <w:pStyle w:val="ListParagraph"/>
      </w:pPr>
      <w:r w:rsidRPr="00AE08E8">
        <w:t xml:space="preserve">Yes. </w:t>
      </w:r>
      <w:r>
        <w:t xml:space="preserve">Even if a clinical team knows each other they must perform an introduction stating their name and role at the first procedure of the day. </w:t>
      </w:r>
      <w:r w:rsidR="008D41BB">
        <w:t xml:space="preserve">They </w:t>
      </w:r>
      <w:r>
        <w:t xml:space="preserve">do not need to reintroduce </w:t>
      </w:r>
      <w:r w:rsidR="008D41BB">
        <w:t xml:space="preserve">themselves </w:t>
      </w:r>
      <w:r>
        <w:t xml:space="preserve">for the remaining </w:t>
      </w:r>
      <w:r w:rsidR="00A446BE">
        <w:t>procedures but</w:t>
      </w:r>
      <w:r>
        <w:t xml:space="preserve"> should </w:t>
      </w:r>
      <w:r w:rsidRPr="00BA343A">
        <w:t xml:space="preserve">confirm everyone </w:t>
      </w:r>
      <w:r>
        <w:t>was</w:t>
      </w:r>
      <w:r w:rsidRPr="00BA343A">
        <w:t xml:space="preserve"> introduced</w:t>
      </w:r>
      <w:r>
        <w:t xml:space="preserve"> beforehand. However, if any team members change between operations, introductions must be performed again.</w:t>
      </w:r>
    </w:p>
    <w:p w14:paraId="571C1D9B" w14:textId="77777777" w:rsidR="00745E20" w:rsidRPr="00AE08E8" w:rsidRDefault="00745E20" w:rsidP="00745E20">
      <w:pPr>
        <w:pStyle w:val="ListParagraph"/>
      </w:pPr>
    </w:p>
    <w:p w14:paraId="670CCB96" w14:textId="14EF5C76" w:rsidR="00BC3C78" w:rsidRPr="00B169F1" w:rsidRDefault="00BC3C78" w:rsidP="00AD309C">
      <w:pPr>
        <w:pStyle w:val="ListParagraph"/>
        <w:numPr>
          <w:ilvl w:val="0"/>
          <w:numId w:val="55"/>
        </w:numPr>
        <w:rPr>
          <w:b/>
          <w:bCs/>
        </w:rPr>
      </w:pPr>
      <w:r w:rsidRPr="00B169F1">
        <w:rPr>
          <w:b/>
          <w:bCs/>
        </w:rPr>
        <w:t xml:space="preserve">Do the Safe Surgery Checklist components included in questions </w:t>
      </w:r>
      <w:r>
        <w:rPr>
          <w:b/>
          <w:bCs/>
        </w:rPr>
        <w:t>#3</w:t>
      </w:r>
      <w:r w:rsidRPr="00B169F1">
        <w:rPr>
          <w:b/>
          <w:bCs/>
        </w:rPr>
        <w:t xml:space="preserve">, </w:t>
      </w:r>
      <w:r>
        <w:rPr>
          <w:b/>
          <w:bCs/>
        </w:rPr>
        <w:t>#4</w:t>
      </w:r>
      <w:r w:rsidRPr="00B169F1">
        <w:rPr>
          <w:b/>
          <w:bCs/>
        </w:rPr>
        <w:t xml:space="preserve">, and </w:t>
      </w:r>
      <w:r>
        <w:rPr>
          <w:b/>
          <w:bCs/>
        </w:rPr>
        <w:t>#5</w:t>
      </w:r>
      <w:r w:rsidRPr="00B169F1">
        <w:rPr>
          <w:b/>
          <w:bCs/>
        </w:rPr>
        <w:t xml:space="preserve"> need to be in one document that would align with the </w:t>
      </w:r>
      <w:hyperlink r:id="rId241" w:history="1">
        <w:r w:rsidRPr="00E428B3">
          <w:rPr>
            <w:rStyle w:val="Hyperlink"/>
            <w:b/>
            <w:bCs/>
          </w:rPr>
          <w:t>WHO example</w:t>
        </w:r>
      </w:hyperlink>
      <w:r w:rsidRPr="00B169F1">
        <w:rPr>
          <w:b/>
          <w:bCs/>
        </w:rPr>
        <w:t xml:space="preserve"> or can they be in different documents (i.e., pre-anesthesia notes, surgeon H&amp;P, and pre-surgical checklists, etc.)? </w:t>
      </w:r>
    </w:p>
    <w:p w14:paraId="70EB3067" w14:textId="10810C4C" w:rsidR="00BC3C78" w:rsidRDefault="00BC3C78" w:rsidP="00CE15B5">
      <w:pPr>
        <w:pStyle w:val="CommentText"/>
        <w:ind w:left="720"/>
      </w:pPr>
      <w:r w:rsidRPr="00B169F1">
        <w:t>It is possible to have separate checklists for each phase of the surgical procedure (i.e., before the induction of anesthesia, before the skin incision and/or before the procedure begins, and before the patient leaves the operating or procedure room). However, each individual component included in questions #</w:t>
      </w:r>
      <w:r>
        <w:t>3</w:t>
      </w:r>
      <w:r w:rsidRPr="00B169F1">
        <w:t xml:space="preserve">, </w:t>
      </w:r>
      <w:r>
        <w:t>#4</w:t>
      </w:r>
      <w:r w:rsidRPr="00B169F1">
        <w:t xml:space="preserve">, and </w:t>
      </w:r>
      <w:r>
        <w:t>#5</w:t>
      </w:r>
      <w:r w:rsidRPr="00B169F1">
        <w:t xml:space="preserve"> should be listed on the checklist(s) and hospitals should document whether the components were read aloud at the appropriate time with the appropriate members of the surgical team present.</w:t>
      </w:r>
    </w:p>
    <w:p w14:paraId="09ACC360" w14:textId="77777777" w:rsidR="00BC3C78" w:rsidRPr="00B169F1" w:rsidRDefault="00BC3C78" w:rsidP="00BC3C78">
      <w:pPr>
        <w:pStyle w:val="CommentText"/>
        <w:ind w:left="360"/>
      </w:pPr>
    </w:p>
    <w:p w14:paraId="43CFF957" w14:textId="1AD15CEB" w:rsidR="00BC3C78" w:rsidRPr="008C2B4F" w:rsidRDefault="00BC3C78" w:rsidP="00AD309C">
      <w:pPr>
        <w:pStyle w:val="CommentText"/>
        <w:numPr>
          <w:ilvl w:val="0"/>
          <w:numId w:val="55"/>
        </w:numPr>
      </w:pPr>
      <w:bookmarkStart w:id="287" w:name="wholesurgicalteam3b"/>
      <w:bookmarkEnd w:id="287"/>
      <w:r>
        <w:rPr>
          <w:b/>
          <w:bCs/>
        </w:rPr>
        <w:t>How is “whole surgical team” defined?</w:t>
      </w:r>
    </w:p>
    <w:p w14:paraId="5A79890B" w14:textId="573C560D" w:rsidR="00BC3C78" w:rsidRDefault="00BC3C78" w:rsidP="00CE15B5">
      <w:pPr>
        <w:pStyle w:val="CommentText"/>
        <w:ind w:left="720"/>
      </w:pPr>
      <w:r>
        <w:t xml:space="preserve">“Whole surgical team” is comprised of the surgeons, anesthesia professionals, nurses, </w:t>
      </w:r>
      <w:r w:rsidR="00D33B73">
        <w:t>technicians,</w:t>
      </w:r>
      <w:r>
        <w:t xml:space="preserve"> and other operating room personnel involved in surgery. </w:t>
      </w:r>
      <w:r w:rsidR="00C274F7">
        <w:t>This is b</w:t>
      </w:r>
      <w:r>
        <w:t xml:space="preserve">ased off the </w:t>
      </w:r>
      <w:hyperlink r:id="rId242" w:history="1">
        <w:r w:rsidR="00684F1A">
          <w:rPr>
            <w:rStyle w:val="Hyperlink"/>
          </w:rPr>
          <w:t>World Alliance for Patient Safety Implementation Manual Surgical Safety Checklist (First Edition).</w:t>
        </w:r>
      </w:hyperlink>
    </w:p>
    <w:p w14:paraId="08FBA7AC" w14:textId="692ADB97" w:rsidR="00BC3C78" w:rsidRPr="00BC3C78" w:rsidRDefault="00BC3C78" w:rsidP="00BC3C78">
      <w:pPr>
        <w:rPr>
          <w:rFonts w:cs="Arial"/>
        </w:rPr>
        <w:sectPr w:rsidR="00BC3C78" w:rsidRPr="00BC3C78" w:rsidSect="00062F69">
          <w:headerReference w:type="default" r:id="rId243"/>
          <w:endnotePr>
            <w:numFmt w:val="decimal"/>
          </w:endnotePr>
          <w:type w:val="continuous"/>
          <w:pgSz w:w="12240" w:h="15840"/>
          <w:pgMar w:top="1080" w:right="1440" w:bottom="1080" w:left="1440" w:header="720" w:footer="720" w:gutter="0"/>
          <w:cols w:space="720"/>
          <w:docGrid w:linePitch="272"/>
        </w:sectPr>
      </w:pPr>
    </w:p>
    <w:p w14:paraId="395C21D0" w14:textId="77777777" w:rsidR="00F61ED5" w:rsidRPr="009A5185" w:rsidRDefault="00F61ED5" w:rsidP="00D32C75">
      <w:pPr>
        <w:pStyle w:val="SectionHeader"/>
        <w:sectPr w:rsidR="00F61ED5" w:rsidRPr="009A5185" w:rsidSect="00062F69">
          <w:headerReference w:type="default" r:id="rId244"/>
          <w:endnotePr>
            <w:numFmt w:val="decimal"/>
          </w:endnotePr>
          <w:type w:val="continuous"/>
          <w:pgSz w:w="12240" w:h="15840"/>
          <w:pgMar w:top="1080" w:right="1440" w:bottom="1080" w:left="1440" w:header="720" w:footer="720" w:gutter="0"/>
          <w:cols w:space="720"/>
          <w:docGrid w:linePitch="272"/>
        </w:sectPr>
      </w:pPr>
    </w:p>
    <w:p w14:paraId="730DE44F" w14:textId="77777777" w:rsidR="00314EEF" w:rsidRPr="009A5185" w:rsidRDefault="00314EEF" w:rsidP="00F0772B"/>
    <w:p w14:paraId="3F2B6025" w14:textId="77777777" w:rsidR="00BC3C78" w:rsidRDefault="00BC3C78">
      <w:pPr>
        <w:rPr>
          <w:snapToGrid w:val="0"/>
          <w:sz w:val="40"/>
          <w:szCs w:val="40"/>
          <w:lang w:eastAsia="ja-JP"/>
        </w:rPr>
      </w:pPr>
      <w:r>
        <w:br w:type="page"/>
      </w:r>
    </w:p>
    <w:p w14:paraId="1ACA200A" w14:textId="0C4940BC" w:rsidR="006E50EF" w:rsidRPr="009A5185" w:rsidRDefault="00573AD5" w:rsidP="00D32C75">
      <w:pPr>
        <w:pStyle w:val="SectionHeader"/>
      </w:pPr>
      <w:bookmarkStart w:id="288" w:name="_Toc225877721"/>
      <w:r w:rsidRPr="009A5185">
        <w:lastRenderedPageBreak/>
        <w:t>Page Intentionally Left Blank</w:t>
      </w:r>
      <w:bookmarkEnd w:id="282"/>
      <w:bookmarkEnd w:id="288"/>
    </w:p>
    <w:p w14:paraId="573BDAAD" w14:textId="77777777" w:rsidR="00573AD5" w:rsidRPr="009A5185" w:rsidRDefault="00573AD5">
      <w:pPr>
        <w:rPr>
          <w:rFonts w:cs="Arial"/>
          <w:b/>
          <w:snapToGrid w:val="0"/>
          <w:color w:val="A6A6A6" w:themeColor="background1" w:themeShade="A6"/>
          <w:sz w:val="40"/>
          <w:szCs w:val="40"/>
          <w:lang w:eastAsia="ja-JP"/>
        </w:rPr>
      </w:pPr>
      <w:r w:rsidRPr="009A5185">
        <w:rPr>
          <w:rFonts w:cs="Arial"/>
          <w:color w:val="A6A6A6" w:themeColor="background1" w:themeShade="A6"/>
        </w:rPr>
        <w:br w:type="page"/>
      </w:r>
    </w:p>
    <w:p w14:paraId="2E40FDC9" w14:textId="77777777" w:rsidR="00920EF6" w:rsidRPr="009A5185" w:rsidRDefault="00920EF6" w:rsidP="00D32C75">
      <w:pPr>
        <w:pStyle w:val="SectionHeader"/>
        <w:sectPr w:rsidR="00920EF6" w:rsidRPr="009A5185" w:rsidSect="00062F69">
          <w:endnotePr>
            <w:numFmt w:val="decimal"/>
          </w:endnotePr>
          <w:type w:val="continuous"/>
          <w:pgSz w:w="12240" w:h="15840"/>
          <w:pgMar w:top="1080" w:right="1440" w:bottom="1080" w:left="1440" w:header="720" w:footer="720" w:gutter="0"/>
          <w:cols w:space="720"/>
          <w:docGrid w:linePitch="272"/>
        </w:sectPr>
      </w:pPr>
    </w:p>
    <w:p w14:paraId="0E54C0D2" w14:textId="77777777" w:rsidR="00573AD5" w:rsidRPr="009A5185" w:rsidRDefault="00573AD5" w:rsidP="00764EEA"/>
    <w:p w14:paraId="6475DFA0" w14:textId="77777777" w:rsidR="006E50EF" w:rsidRPr="009A5185" w:rsidRDefault="006E50EF" w:rsidP="00764EEA"/>
    <w:p w14:paraId="1910E4D4" w14:textId="77777777" w:rsidR="006E50EF" w:rsidRPr="009A5185" w:rsidRDefault="006E50EF" w:rsidP="00764EEA"/>
    <w:p w14:paraId="38275B7A" w14:textId="77777777" w:rsidR="006E50EF" w:rsidRPr="009A5185" w:rsidRDefault="006E50EF" w:rsidP="00764EEA"/>
    <w:p w14:paraId="58ED3594" w14:textId="77777777" w:rsidR="006E50EF" w:rsidRPr="009A5185" w:rsidRDefault="006E50EF" w:rsidP="00764EEA"/>
    <w:p w14:paraId="1F2D5BF0" w14:textId="77777777" w:rsidR="006E50EF" w:rsidRPr="009A5185" w:rsidRDefault="006E50EF" w:rsidP="00764EEA"/>
    <w:p w14:paraId="2A2CD29E" w14:textId="77777777" w:rsidR="006E50EF" w:rsidRPr="009A5185" w:rsidRDefault="006E50EF" w:rsidP="00764EEA"/>
    <w:p w14:paraId="1498B55E" w14:textId="77777777" w:rsidR="006E50EF" w:rsidRPr="009A5185" w:rsidRDefault="006E50EF" w:rsidP="00764EEA"/>
    <w:p w14:paraId="417292F1" w14:textId="77777777" w:rsidR="006E50EF" w:rsidRPr="009A5185" w:rsidRDefault="006E50EF" w:rsidP="00764EEA"/>
    <w:p w14:paraId="637BFF71" w14:textId="548315D3" w:rsidR="006E50EF" w:rsidRDefault="006E50EF" w:rsidP="00F750C5"/>
    <w:p w14:paraId="43E91DFD" w14:textId="6E1C9262" w:rsidR="00F750C5" w:rsidRDefault="00F750C5" w:rsidP="00F750C5"/>
    <w:p w14:paraId="59289D8E" w14:textId="0631366B" w:rsidR="00F750C5" w:rsidRDefault="00F750C5" w:rsidP="00F750C5"/>
    <w:p w14:paraId="2E6090A3" w14:textId="77777777" w:rsidR="00B43F10" w:rsidRDefault="00B43F10" w:rsidP="00F750C5"/>
    <w:p w14:paraId="29015494" w14:textId="573067B9" w:rsidR="00F750C5" w:rsidRDefault="00F750C5" w:rsidP="00F750C5"/>
    <w:p w14:paraId="58A27AFC" w14:textId="77777777" w:rsidR="00A040BA" w:rsidRDefault="00A040BA" w:rsidP="00F750C5"/>
    <w:p w14:paraId="12117366" w14:textId="77777777" w:rsidR="00A040BA" w:rsidRDefault="00A040BA" w:rsidP="00F750C5"/>
    <w:p w14:paraId="770818F2" w14:textId="3A280710" w:rsidR="00F750C5" w:rsidRDefault="00F750C5" w:rsidP="00F750C5"/>
    <w:p w14:paraId="2CA3BE37" w14:textId="77777777" w:rsidR="00F750C5" w:rsidRPr="009A5185" w:rsidRDefault="00F750C5" w:rsidP="00764EEA"/>
    <w:p w14:paraId="27036E5D" w14:textId="77777777" w:rsidR="006E50EF" w:rsidRPr="009A5185" w:rsidRDefault="006E50EF" w:rsidP="00D32C75">
      <w:pPr>
        <w:pStyle w:val="SectionHeader"/>
      </w:pPr>
      <w:bookmarkStart w:id="289" w:name="_Toc225877722"/>
      <w:bookmarkStart w:id="290" w:name="Sect4"/>
      <w:r w:rsidRPr="009A5185">
        <w:t>SECTION 4: MATERNITY CARE</w:t>
      </w:r>
      <w:bookmarkEnd w:id="289"/>
    </w:p>
    <w:bookmarkEnd w:id="290"/>
    <w:p w14:paraId="49ADB73B" w14:textId="77777777" w:rsidR="006E50EF" w:rsidRPr="009A5185" w:rsidRDefault="006E50EF" w:rsidP="00764EEA"/>
    <w:p w14:paraId="285B3D48" w14:textId="77777777" w:rsidR="006E50EF" w:rsidRPr="009A5185" w:rsidRDefault="006E50EF" w:rsidP="00A828BA">
      <w:pPr>
        <w:rPr>
          <w:rFonts w:cs="Arial"/>
        </w:rPr>
      </w:pPr>
      <w:r w:rsidRPr="009A5185">
        <w:rPr>
          <w:rFonts w:cs="Arial"/>
        </w:rPr>
        <w:t>This section includes questions and reference information for Section 4</w:t>
      </w:r>
      <w:r w:rsidR="004A4FD0" w:rsidRPr="009A5185">
        <w:rPr>
          <w:rFonts w:cs="Arial"/>
        </w:rPr>
        <w:t>:</w:t>
      </w:r>
      <w:r w:rsidRPr="009A5185">
        <w:rPr>
          <w:rFonts w:cs="Arial"/>
        </w:rPr>
        <w:t xml:space="preserve"> Maternity Care. Please carefully review the questions, </w:t>
      </w:r>
      <w:r w:rsidR="00B94757" w:rsidRPr="009A5185">
        <w:rPr>
          <w:rFonts w:cs="Arial"/>
        </w:rPr>
        <w:t>endnotes</w:t>
      </w:r>
      <w:r w:rsidRPr="009A5185">
        <w:rPr>
          <w:rFonts w:cs="Arial"/>
        </w:rPr>
        <w:t>, and reference information (e.g.</w:t>
      </w:r>
      <w:r w:rsidR="000B77D0" w:rsidRPr="009A5185">
        <w:rPr>
          <w:rFonts w:cs="Arial"/>
        </w:rPr>
        <w:t>,</w:t>
      </w:r>
      <w:r w:rsidRPr="009A5185">
        <w:rPr>
          <w:rFonts w:cs="Arial"/>
        </w:rPr>
        <w:t xml:space="preserve"> measure specifications, notes, and frequen</w:t>
      </w:r>
      <w:r w:rsidR="000B77D0" w:rsidRPr="009A5185">
        <w:rPr>
          <w:rFonts w:cs="Arial"/>
        </w:rPr>
        <w:t>tl</w:t>
      </w:r>
      <w:r w:rsidRPr="009A5185">
        <w:rPr>
          <w:rFonts w:cs="Arial"/>
        </w:rPr>
        <w:t xml:space="preserve">y asked questions) before you begin. Failure to review the reference information could result in inaccurate responses. </w:t>
      </w:r>
    </w:p>
    <w:p w14:paraId="4F4ACDBE" w14:textId="77777777" w:rsidR="006E50EF" w:rsidRPr="009A5185" w:rsidRDefault="00C20B35" w:rsidP="00764EEA">
      <w:r>
        <w:tab/>
      </w:r>
    </w:p>
    <w:p w14:paraId="25C148F9" w14:textId="5210A76E" w:rsidR="00BB0077" w:rsidRDefault="006E50EF" w:rsidP="00CF5A6E">
      <w:pPr>
        <w:pStyle w:val="Heading2"/>
      </w:pPr>
      <w:bookmarkStart w:id="291" w:name="_Section_4:_Maternity"/>
      <w:bookmarkEnd w:id="291"/>
      <w:r w:rsidRPr="009A5185">
        <w:br w:type="page"/>
      </w:r>
      <w:bookmarkStart w:id="292" w:name="_Toc225877723"/>
      <w:r w:rsidR="00BB0077">
        <w:lastRenderedPageBreak/>
        <w:t>Section 4: Maternity Care</w:t>
      </w:r>
      <w:bookmarkEnd w:id="292"/>
    </w:p>
    <w:p w14:paraId="65950588" w14:textId="77777777" w:rsidR="00BB0077" w:rsidRPr="009A5185" w:rsidRDefault="00BB0077" w:rsidP="000F3D1F">
      <w:pPr>
        <w:rPr>
          <w:snapToGrid w:val="0"/>
        </w:rPr>
      </w:pPr>
    </w:p>
    <w:p w14:paraId="1C225CBA" w14:textId="5D3AA9EB" w:rsidR="00E67592" w:rsidRDefault="006E50EF">
      <w:pPr>
        <w:pStyle w:val="BodyText3"/>
      </w:pPr>
      <w:r w:rsidRPr="009A5185">
        <w:rPr>
          <w:rFonts w:cs="Arial"/>
          <w:b/>
          <w:snapToGrid w:val="0"/>
          <w:color w:val="auto"/>
        </w:rPr>
        <w:t>Maternity Care Fact Sheet</w:t>
      </w:r>
      <w:r w:rsidR="009778A5">
        <w:rPr>
          <w:rFonts w:cs="Arial"/>
          <w:b/>
          <w:snapToGrid w:val="0"/>
          <w:color w:val="auto"/>
        </w:rPr>
        <w:t xml:space="preserve"> and Bibliography</w:t>
      </w:r>
      <w:r w:rsidRPr="009A5185">
        <w:rPr>
          <w:rFonts w:cs="Arial"/>
          <w:b/>
          <w:snapToGrid w:val="0"/>
          <w:color w:val="auto"/>
        </w:rPr>
        <w:t>:</w:t>
      </w:r>
      <w:r w:rsidR="00E03E77" w:rsidRPr="009A5185">
        <w:rPr>
          <w:rFonts w:cs="Arial"/>
          <w:b/>
          <w:snapToGrid w:val="0"/>
          <w:color w:val="auto"/>
        </w:rPr>
        <w:t xml:space="preserve"> </w:t>
      </w:r>
      <w:hyperlink r:id="rId245" w:history="1">
        <w:r w:rsidR="002972C4" w:rsidRPr="00A2752F">
          <w:rPr>
            <w:rStyle w:val="Hyperlink"/>
          </w:rPr>
          <w:t>https://ratings.leapfroggroup.org/measure/hospital/2026/maternity-care</w:t>
        </w:r>
      </w:hyperlink>
    </w:p>
    <w:p w14:paraId="4D8ACE64" w14:textId="77777777" w:rsidR="002972C4" w:rsidRPr="009A5185" w:rsidRDefault="002972C4">
      <w:pPr>
        <w:pStyle w:val="BodyText3"/>
        <w:rPr>
          <w:rFonts w:cs="Arial"/>
          <w:b/>
          <w:snapToGrid w:val="0"/>
          <w:color w:val="FF0000"/>
        </w:rPr>
      </w:pPr>
    </w:p>
    <w:p w14:paraId="33FABEB2" w14:textId="223DBBA6" w:rsidR="00755C15" w:rsidRPr="009A5185" w:rsidRDefault="006E50EF">
      <w:pPr>
        <w:pStyle w:val="BodyText3"/>
        <w:rPr>
          <w:rFonts w:cs="Arial"/>
          <w:b/>
          <w:snapToGrid w:val="0"/>
          <w:color w:val="FF0000"/>
        </w:rPr>
      </w:pPr>
      <w:r w:rsidRPr="009A5185">
        <w:rPr>
          <w:rFonts w:cs="Arial"/>
          <w:b/>
          <w:snapToGrid w:val="0"/>
          <w:color w:val="FF0000"/>
        </w:rPr>
        <w:t>Hospitals that did not deliver newborns during the re</w:t>
      </w:r>
      <w:r w:rsidR="004A3C52">
        <w:rPr>
          <w:rFonts w:cs="Arial"/>
          <w:b/>
          <w:snapToGrid w:val="0"/>
          <w:color w:val="FF0000"/>
        </w:rPr>
        <w:t xml:space="preserve">porting period or did not have an open labor and delivery unit during the entire reporting period should </w:t>
      </w:r>
      <w:r w:rsidR="00725C16">
        <w:rPr>
          <w:rFonts w:cs="Arial"/>
          <w:b/>
          <w:snapToGrid w:val="0"/>
          <w:color w:val="FF0000"/>
        </w:rPr>
        <w:t>select</w:t>
      </w:r>
      <w:r w:rsidR="004A3C52">
        <w:rPr>
          <w:rFonts w:cs="Arial"/>
          <w:b/>
          <w:snapToGrid w:val="0"/>
          <w:color w:val="FF0000"/>
        </w:rPr>
        <w:t xml:space="preserve"> “n</w:t>
      </w:r>
      <w:r w:rsidRPr="009A5185">
        <w:rPr>
          <w:rFonts w:cs="Arial"/>
          <w:b/>
          <w:snapToGrid w:val="0"/>
          <w:color w:val="FF0000"/>
        </w:rPr>
        <w:t xml:space="preserve">o” </w:t>
      </w:r>
      <w:r w:rsidR="00C74C56">
        <w:rPr>
          <w:rFonts w:cs="Arial"/>
          <w:b/>
          <w:snapToGrid w:val="0"/>
          <w:color w:val="FF0000"/>
        </w:rPr>
        <w:t xml:space="preserve">or </w:t>
      </w:r>
      <w:r w:rsidR="00C74C56" w:rsidRPr="00C74C56">
        <w:rPr>
          <w:rFonts w:cs="Arial"/>
          <w:b/>
          <w:snapToGrid w:val="0"/>
          <w:color w:val="FF0000"/>
        </w:rPr>
        <w:t>"yes, but unit is now closed or wasn’t open for the entire reporting period"</w:t>
      </w:r>
      <w:r w:rsidR="00C74C56">
        <w:rPr>
          <w:rFonts w:cs="Arial"/>
          <w:b/>
          <w:snapToGrid w:val="0"/>
          <w:color w:val="FF0000"/>
        </w:rPr>
        <w:t xml:space="preserve"> </w:t>
      </w:r>
      <w:r w:rsidR="00725C16">
        <w:rPr>
          <w:rFonts w:cs="Arial"/>
          <w:b/>
          <w:snapToGrid w:val="0"/>
          <w:color w:val="FF0000"/>
        </w:rPr>
        <w:t>in</w:t>
      </w:r>
      <w:r w:rsidRPr="009A5185">
        <w:rPr>
          <w:rFonts w:cs="Arial"/>
          <w:b/>
          <w:snapToGrid w:val="0"/>
          <w:color w:val="FF0000"/>
        </w:rPr>
        <w:t xml:space="preserve"> question </w:t>
      </w:r>
      <w:r w:rsidR="003C672D" w:rsidRPr="009A5185">
        <w:rPr>
          <w:rFonts w:cs="Arial"/>
          <w:b/>
          <w:snapToGrid w:val="0"/>
          <w:color w:val="FF0000"/>
        </w:rPr>
        <w:t>#</w:t>
      </w:r>
      <w:r w:rsidR="00121C3B" w:rsidRPr="009A5185">
        <w:rPr>
          <w:rFonts w:cs="Arial"/>
          <w:b/>
          <w:snapToGrid w:val="0"/>
          <w:color w:val="FF0000"/>
        </w:rPr>
        <w:t>2</w:t>
      </w:r>
      <w:r w:rsidR="00B95DB2" w:rsidRPr="009A5185">
        <w:rPr>
          <w:rFonts w:cs="Arial"/>
          <w:b/>
          <w:snapToGrid w:val="0"/>
          <w:color w:val="FF0000"/>
        </w:rPr>
        <w:t xml:space="preserve"> and move on to the Affirmation of Accuracy</w:t>
      </w:r>
      <w:r w:rsidRPr="009A5185">
        <w:rPr>
          <w:rFonts w:cs="Arial"/>
          <w:b/>
          <w:snapToGrid w:val="0"/>
          <w:color w:val="FF0000"/>
        </w:rPr>
        <w:t xml:space="preserve">. </w:t>
      </w:r>
      <w:r w:rsidR="00B95DB2" w:rsidRPr="009A5185">
        <w:rPr>
          <w:rFonts w:cs="Arial"/>
          <w:b/>
          <w:snapToGrid w:val="0"/>
          <w:color w:val="FF0000"/>
        </w:rPr>
        <w:t>Your hospital’s results will be displayed as “Does Not Apply</w:t>
      </w:r>
      <w:r w:rsidRPr="009A5185">
        <w:rPr>
          <w:rFonts w:cs="Arial"/>
          <w:b/>
          <w:snapToGrid w:val="0"/>
          <w:color w:val="FF0000"/>
        </w:rPr>
        <w:t>”</w:t>
      </w:r>
      <w:r w:rsidR="00B95DB2" w:rsidRPr="009A5185">
        <w:rPr>
          <w:rFonts w:cs="Arial"/>
          <w:b/>
          <w:snapToGrid w:val="0"/>
          <w:color w:val="FF0000"/>
        </w:rPr>
        <w:t xml:space="preserve"> on Leapfrog’s public reporting website.</w:t>
      </w:r>
    </w:p>
    <w:p w14:paraId="3572708E" w14:textId="77777777" w:rsidR="006E50EF" w:rsidRPr="009A5185" w:rsidRDefault="006E50EF">
      <w:pPr>
        <w:pStyle w:val="BodyText3"/>
        <w:rPr>
          <w:rFonts w:cs="Arial"/>
        </w:rPr>
      </w:pPr>
    </w:p>
    <w:p w14:paraId="7C13A0B5" w14:textId="79430E7C" w:rsidR="00E01A32" w:rsidRDefault="00652583" w:rsidP="003B4CC8">
      <w:pPr>
        <w:pStyle w:val="BodyText3"/>
        <w:rPr>
          <w:snapToGrid w:val="0"/>
        </w:rPr>
      </w:pPr>
      <w:r w:rsidRPr="009A5185">
        <w:rPr>
          <w:rFonts w:cs="Arial"/>
          <w:snapToGrid w:val="0"/>
        </w:rPr>
        <w:t xml:space="preserve">Section 4 includes questions about </w:t>
      </w:r>
      <w:r w:rsidR="002C12F1">
        <w:rPr>
          <w:rFonts w:cs="Arial"/>
          <w:snapToGrid w:val="0"/>
        </w:rPr>
        <w:t xml:space="preserve">maternity care volume and services, </w:t>
      </w:r>
      <w:r w:rsidRPr="009A5185">
        <w:rPr>
          <w:rFonts w:cs="Arial"/>
          <w:snapToGrid w:val="0"/>
        </w:rPr>
        <w:t xml:space="preserve">cesarean birth, episiotomy, newborn bilirubin screening, and DVT prophylaxis for women undergoing cesarean </w:t>
      </w:r>
      <w:r>
        <w:rPr>
          <w:rFonts w:cs="Arial"/>
          <w:snapToGrid w:val="0"/>
        </w:rPr>
        <w:t>delivery</w:t>
      </w:r>
      <w:r w:rsidRPr="009A5185">
        <w:rPr>
          <w:rFonts w:cs="Arial"/>
          <w:snapToGrid w:val="0"/>
        </w:rPr>
        <w:t>. The section also includes questions about high-risk deliveries</w:t>
      </w:r>
      <w:r>
        <w:rPr>
          <w:rFonts w:cs="Arial"/>
          <w:snapToGrid w:val="0"/>
        </w:rPr>
        <w:t>, including volume and outcomes.</w:t>
      </w:r>
      <w:r w:rsidR="002C12F1">
        <w:rPr>
          <w:rFonts w:cs="Arial"/>
          <w:snapToGrid w:val="0"/>
        </w:rPr>
        <w:t xml:space="preserve"> </w:t>
      </w:r>
      <w:r>
        <w:rPr>
          <w:rFonts w:cs="Arial"/>
          <w:snapToGrid w:val="0"/>
        </w:rPr>
        <w:t>The subsection on cesarean birth (4C) includes</w:t>
      </w:r>
      <w:r w:rsidR="002C12F1">
        <w:rPr>
          <w:rFonts w:cs="Arial"/>
          <w:snapToGrid w:val="0"/>
        </w:rPr>
        <w:t xml:space="preserve"> questions about cesarean births stratified by race/ethnicity that will not be scored or publicly reported, however, </w:t>
      </w:r>
      <w:r w:rsidR="00157FDB">
        <w:rPr>
          <w:rFonts w:cs="Arial"/>
          <w:snapToGrid w:val="0"/>
        </w:rPr>
        <w:t>responses</w:t>
      </w:r>
      <w:r w:rsidR="002C12F1">
        <w:rPr>
          <w:rFonts w:cs="Arial"/>
          <w:snapToGrid w:val="0"/>
        </w:rPr>
        <w:t xml:space="preserve"> will be used for confidential reporting on the </w:t>
      </w:r>
      <w:hyperlink r:id="rId246" w:history="1">
        <w:r w:rsidR="002C12F1" w:rsidRPr="0014766A">
          <w:rPr>
            <w:rStyle w:val="Hyperlink"/>
            <w:rFonts w:cs="Arial"/>
            <w:snapToGrid w:val="0"/>
          </w:rPr>
          <w:t>Hospital Details Page</w:t>
        </w:r>
      </w:hyperlink>
      <w:r w:rsidR="000F3D1F">
        <w:rPr>
          <w:rFonts w:cs="Arial"/>
          <w:snapToGrid w:val="0"/>
        </w:rPr>
        <w:t xml:space="preserve"> in 202</w:t>
      </w:r>
      <w:r w:rsidR="00FC095A">
        <w:rPr>
          <w:rFonts w:cs="Arial"/>
          <w:snapToGrid w:val="0"/>
        </w:rPr>
        <w:t>6</w:t>
      </w:r>
      <w:r w:rsidR="002C12F1">
        <w:rPr>
          <w:rFonts w:cs="Arial"/>
          <w:snapToGrid w:val="0"/>
        </w:rPr>
        <w:t>.</w:t>
      </w:r>
      <w:r w:rsidR="006E50EF" w:rsidRPr="009A5185">
        <w:rPr>
          <w:rFonts w:cs="Arial"/>
        </w:rPr>
        <w:br/>
      </w:r>
    </w:p>
    <w:p w14:paraId="79EB3098" w14:textId="525B5972" w:rsidR="00E01A32" w:rsidRPr="00E01A32" w:rsidRDefault="00E01A32" w:rsidP="00E01A32">
      <w:pPr>
        <w:rPr>
          <w:rFonts w:cs="Arial"/>
          <w:b/>
        </w:rPr>
      </w:pPr>
      <w:r w:rsidRPr="009A5185">
        <w:rPr>
          <w:rFonts w:cs="Arial"/>
          <w:b/>
        </w:rPr>
        <w:t xml:space="preserve">Each hospital </w:t>
      </w:r>
      <w:r>
        <w:rPr>
          <w:rFonts w:cs="Arial"/>
          <w:b/>
        </w:rPr>
        <w:t>achieving</w:t>
      </w:r>
      <w:r w:rsidRPr="009A5185">
        <w:rPr>
          <w:rFonts w:cs="Arial"/>
          <w:b/>
        </w:rPr>
        <w:t xml:space="preserve"> th</w:t>
      </w:r>
      <w:r>
        <w:rPr>
          <w:rFonts w:cs="Arial"/>
          <w:b/>
        </w:rPr>
        <w:t>e</w:t>
      </w:r>
      <w:r w:rsidRPr="009A5185">
        <w:rPr>
          <w:rFonts w:cs="Arial"/>
          <w:b/>
        </w:rPr>
        <w:t xml:space="preserve"> standard for </w:t>
      </w:r>
      <w:r w:rsidR="001F2727" w:rsidRPr="001F2727">
        <w:rPr>
          <w:rFonts w:cs="Arial"/>
          <w:b/>
        </w:rPr>
        <w:t>Cesarean Birth</w:t>
      </w:r>
      <w:r w:rsidRPr="009A5185">
        <w:rPr>
          <w:rFonts w:cs="Arial"/>
          <w:b/>
        </w:rPr>
        <w:t>:</w:t>
      </w:r>
    </w:p>
    <w:p w14:paraId="091308F8" w14:textId="5D59BB36" w:rsidR="00CF3ECC" w:rsidRDefault="00CF3ECC" w:rsidP="00E01A32">
      <w:pPr>
        <w:rPr>
          <w:rFonts w:cs="Arial"/>
          <w:snapToGrid w:val="0"/>
          <w:color w:val="000000"/>
        </w:rPr>
      </w:pPr>
      <w:r w:rsidRPr="009A5185">
        <w:rPr>
          <w:rFonts w:cs="Arial"/>
          <w:snapToGrid w:val="0"/>
          <w:color w:val="000000"/>
        </w:rPr>
        <w:t>Meets or is better than the 23.</w:t>
      </w:r>
      <w:r>
        <w:rPr>
          <w:rFonts w:cs="Arial"/>
          <w:snapToGrid w:val="0"/>
          <w:color w:val="000000"/>
        </w:rPr>
        <w:t>6</w:t>
      </w:r>
      <w:r w:rsidRPr="009A5185">
        <w:rPr>
          <w:rFonts w:cs="Arial"/>
          <w:snapToGrid w:val="0"/>
          <w:color w:val="000000"/>
        </w:rPr>
        <w:t>% target for performance on the nationally endorsed outcome measure</w:t>
      </w:r>
      <w:r w:rsidR="00FB7ECF">
        <w:rPr>
          <w:rFonts w:cs="Arial"/>
          <w:snapToGrid w:val="0"/>
          <w:color w:val="000000"/>
        </w:rPr>
        <w:t>.</w:t>
      </w:r>
    </w:p>
    <w:p w14:paraId="54503C12" w14:textId="77777777" w:rsidR="00E01A32" w:rsidRDefault="00E01A32" w:rsidP="00E01A32">
      <w:pPr>
        <w:rPr>
          <w:rFonts w:cs="Arial"/>
          <w:snapToGrid w:val="0"/>
          <w:color w:val="000000"/>
        </w:rPr>
      </w:pPr>
    </w:p>
    <w:p w14:paraId="22382FC9" w14:textId="606E3DA9" w:rsidR="00E01A32" w:rsidRPr="00E01A32" w:rsidRDefault="00E01A32" w:rsidP="00E01A32">
      <w:pPr>
        <w:rPr>
          <w:rFonts w:cs="Arial"/>
          <w:b/>
        </w:rPr>
      </w:pPr>
      <w:r w:rsidRPr="009A5185">
        <w:rPr>
          <w:rFonts w:cs="Arial"/>
          <w:b/>
        </w:rPr>
        <w:t xml:space="preserve">Each hospital </w:t>
      </w:r>
      <w:r>
        <w:rPr>
          <w:rFonts w:cs="Arial"/>
          <w:b/>
        </w:rPr>
        <w:t>achieving</w:t>
      </w:r>
      <w:r w:rsidRPr="009A5185">
        <w:rPr>
          <w:rFonts w:cs="Arial"/>
          <w:b/>
        </w:rPr>
        <w:t xml:space="preserve"> th</w:t>
      </w:r>
      <w:r>
        <w:rPr>
          <w:rFonts w:cs="Arial"/>
          <w:b/>
        </w:rPr>
        <w:t>e</w:t>
      </w:r>
      <w:r w:rsidRPr="009A5185">
        <w:rPr>
          <w:rFonts w:cs="Arial"/>
          <w:b/>
        </w:rPr>
        <w:t xml:space="preserve"> standard for </w:t>
      </w:r>
      <w:r w:rsidR="001F2727" w:rsidRPr="001F2727">
        <w:rPr>
          <w:rFonts w:cs="Arial"/>
          <w:b/>
        </w:rPr>
        <w:t>Episiotomy</w:t>
      </w:r>
      <w:r w:rsidRPr="009A5185">
        <w:rPr>
          <w:rFonts w:cs="Arial"/>
          <w:b/>
        </w:rPr>
        <w:t>:</w:t>
      </w:r>
    </w:p>
    <w:p w14:paraId="3A4BBDC7" w14:textId="5A7D392E" w:rsidR="00CF3ECC" w:rsidRDefault="00CF3ECC" w:rsidP="001F2727">
      <w:pPr>
        <w:rPr>
          <w:rFonts w:cs="Arial"/>
          <w:snapToGrid w:val="0"/>
          <w:color w:val="000000"/>
        </w:rPr>
      </w:pPr>
      <w:r w:rsidRPr="009A5185">
        <w:rPr>
          <w:rFonts w:cs="Arial"/>
          <w:snapToGrid w:val="0"/>
          <w:color w:val="000000"/>
        </w:rPr>
        <w:t>Meets or is better than the 5.0% target for performance on the nationally endorsed outcome measure</w:t>
      </w:r>
      <w:r w:rsidR="00FB7ECF">
        <w:rPr>
          <w:rFonts w:cs="Arial"/>
          <w:snapToGrid w:val="0"/>
          <w:color w:val="000000"/>
        </w:rPr>
        <w:t>.</w:t>
      </w:r>
    </w:p>
    <w:p w14:paraId="7D0DC475" w14:textId="77777777" w:rsidR="001F2727" w:rsidRDefault="001F2727" w:rsidP="001F2727">
      <w:pPr>
        <w:rPr>
          <w:rFonts w:cs="Arial"/>
          <w:snapToGrid w:val="0"/>
          <w:color w:val="000000"/>
        </w:rPr>
      </w:pPr>
    </w:p>
    <w:p w14:paraId="7D1E7946" w14:textId="54E85745" w:rsidR="001F2727" w:rsidRPr="001F2727" w:rsidRDefault="001F2727" w:rsidP="001F2727">
      <w:pPr>
        <w:rPr>
          <w:rFonts w:cs="Arial"/>
          <w:b/>
        </w:rPr>
      </w:pPr>
      <w:r w:rsidRPr="009A5185">
        <w:rPr>
          <w:rFonts w:cs="Arial"/>
          <w:b/>
        </w:rPr>
        <w:t xml:space="preserve">Each hospital </w:t>
      </w:r>
      <w:r>
        <w:rPr>
          <w:rFonts w:cs="Arial"/>
          <w:b/>
        </w:rPr>
        <w:t>achieving</w:t>
      </w:r>
      <w:r w:rsidRPr="009A5185">
        <w:rPr>
          <w:rFonts w:cs="Arial"/>
          <w:b/>
        </w:rPr>
        <w:t xml:space="preserve"> th</w:t>
      </w:r>
      <w:r>
        <w:rPr>
          <w:rFonts w:cs="Arial"/>
          <w:b/>
        </w:rPr>
        <w:t>e</w:t>
      </w:r>
      <w:r w:rsidRPr="009A5185">
        <w:rPr>
          <w:rFonts w:cs="Arial"/>
          <w:b/>
        </w:rPr>
        <w:t xml:space="preserve"> standard for </w:t>
      </w:r>
      <w:r w:rsidRPr="001F2727">
        <w:rPr>
          <w:rFonts w:cs="Arial"/>
          <w:b/>
        </w:rPr>
        <w:t>Newborn Bilirubin Screening Prior to Discharge</w:t>
      </w:r>
      <w:r w:rsidRPr="009A5185">
        <w:rPr>
          <w:rFonts w:cs="Arial"/>
          <w:b/>
        </w:rPr>
        <w:t>:</w:t>
      </w:r>
    </w:p>
    <w:p w14:paraId="08F65F92" w14:textId="4D50E83C" w:rsidR="00E66C77" w:rsidRDefault="006E50EF" w:rsidP="001F2727">
      <w:pPr>
        <w:rPr>
          <w:rFonts w:cs="Arial"/>
          <w:snapToGrid w:val="0"/>
          <w:color w:val="000000"/>
        </w:rPr>
      </w:pPr>
      <w:r w:rsidRPr="009A5185">
        <w:rPr>
          <w:rFonts w:cs="Arial"/>
          <w:snapToGrid w:val="0"/>
          <w:color w:val="000000"/>
        </w:rPr>
        <w:t xml:space="preserve">Meets or exceeds </w:t>
      </w:r>
      <w:r w:rsidR="00F112F6">
        <w:rPr>
          <w:rFonts w:cs="Arial"/>
          <w:snapToGrid w:val="0"/>
          <w:color w:val="000000"/>
        </w:rPr>
        <w:t>the</w:t>
      </w:r>
      <w:r w:rsidRPr="009A5185">
        <w:rPr>
          <w:rFonts w:cs="Arial"/>
          <w:snapToGrid w:val="0"/>
          <w:color w:val="000000"/>
        </w:rPr>
        <w:t xml:space="preserve"> </w:t>
      </w:r>
      <w:r w:rsidR="00C200AC" w:rsidRPr="009A5185">
        <w:rPr>
          <w:rFonts w:cs="Arial"/>
          <w:snapToGrid w:val="0"/>
          <w:color w:val="000000"/>
        </w:rPr>
        <w:t>9</w:t>
      </w:r>
      <w:r w:rsidR="00FB144E" w:rsidRPr="009A5185">
        <w:rPr>
          <w:rFonts w:cs="Arial"/>
          <w:snapToGrid w:val="0"/>
          <w:color w:val="000000"/>
        </w:rPr>
        <w:t>0</w:t>
      </w:r>
      <w:r w:rsidRPr="009A5185">
        <w:rPr>
          <w:rFonts w:cs="Arial"/>
          <w:snapToGrid w:val="0"/>
          <w:color w:val="000000"/>
        </w:rPr>
        <w:t>% target for</w:t>
      </w:r>
      <w:r w:rsidR="00AF4C54">
        <w:rPr>
          <w:rFonts w:cs="Arial"/>
          <w:snapToGrid w:val="0"/>
          <w:color w:val="000000"/>
        </w:rPr>
        <w:t xml:space="preserve"> </w:t>
      </w:r>
      <w:r w:rsidR="00F112F6">
        <w:rPr>
          <w:rFonts w:cs="Arial"/>
          <w:snapToGrid w:val="0"/>
          <w:color w:val="000000"/>
        </w:rPr>
        <w:t>the</w:t>
      </w:r>
      <w:r w:rsidR="00AF4C54">
        <w:rPr>
          <w:rFonts w:cs="Arial"/>
          <w:snapToGrid w:val="0"/>
          <w:color w:val="000000"/>
        </w:rPr>
        <w:t xml:space="preserve"> process measure of care</w:t>
      </w:r>
      <w:r w:rsidR="00F112F6">
        <w:rPr>
          <w:rFonts w:cs="Arial"/>
          <w:snapToGrid w:val="0"/>
          <w:color w:val="000000"/>
        </w:rPr>
        <w:t>.</w:t>
      </w:r>
    </w:p>
    <w:p w14:paraId="197A1D94" w14:textId="77777777" w:rsidR="001F2727" w:rsidRDefault="001F2727" w:rsidP="001F2727">
      <w:pPr>
        <w:rPr>
          <w:rFonts w:cs="Arial"/>
          <w:snapToGrid w:val="0"/>
          <w:color w:val="000000"/>
        </w:rPr>
      </w:pPr>
    </w:p>
    <w:p w14:paraId="2711614C" w14:textId="4FA0A15F" w:rsidR="001F2727" w:rsidRPr="001F2727" w:rsidRDefault="001F2727" w:rsidP="001F2727">
      <w:pPr>
        <w:rPr>
          <w:rFonts w:cs="Arial"/>
          <w:b/>
        </w:rPr>
      </w:pPr>
      <w:r w:rsidRPr="009A5185">
        <w:rPr>
          <w:rFonts w:cs="Arial"/>
          <w:b/>
        </w:rPr>
        <w:t xml:space="preserve">Each hospital </w:t>
      </w:r>
      <w:r>
        <w:rPr>
          <w:rFonts w:cs="Arial"/>
          <w:b/>
        </w:rPr>
        <w:t>achieving</w:t>
      </w:r>
      <w:r w:rsidRPr="009A5185">
        <w:rPr>
          <w:rFonts w:cs="Arial"/>
          <w:b/>
        </w:rPr>
        <w:t xml:space="preserve"> th</w:t>
      </w:r>
      <w:r>
        <w:rPr>
          <w:rFonts w:cs="Arial"/>
          <w:b/>
        </w:rPr>
        <w:t>e</w:t>
      </w:r>
      <w:r w:rsidRPr="009A5185">
        <w:rPr>
          <w:rFonts w:cs="Arial"/>
          <w:b/>
        </w:rPr>
        <w:t xml:space="preserve"> standard for </w:t>
      </w:r>
      <w:r w:rsidRPr="001F2727">
        <w:rPr>
          <w:rFonts w:cs="Arial"/>
          <w:b/>
        </w:rPr>
        <w:t>Appropriate DVT Prophylaxis in Women Undergoing Cesarean Delivery</w:t>
      </w:r>
      <w:r w:rsidRPr="009A5185">
        <w:rPr>
          <w:rFonts w:cs="Arial"/>
          <w:b/>
        </w:rPr>
        <w:t>:</w:t>
      </w:r>
    </w:p>
    <w:p w14:paraId="669938DE" w14:textId="77777777" w:rsidR="00F112F6" w:rsidRDefault="00F112F6" w:rsidP="00F112F6">
      <w:pPr>
        <w:rPr>
          <w:rFonts w:cs="Arial"/>
          <w:snapToGrid w:val="0"/>
          <w:color w:val="000000"/>
        </w:rPr>
      </w:pPr>
      <w:r w:rsidRPr="009A5185">
        <w:rPr>
          <w:rFonts w:cs="Arial"/>
          <w:snapToGrid w:val="0"/>
          <w:color w:val="000000"/>
        </w:rPr>
        <w:t xml:space="preserve">Meets or exceeds </w:t>
      </w:r>
      <w:r>
        <w:rPr>
          <w:rFonts w:cs="Arial"/>
          <w:snapToGrid w:val="0"/>
          <w:color w:val="000000"/>
        </w:rPr>
        <w:t>the</w:t>
      </w:r>
      <w:r w:rsidRPr="009A5185">
        <w:rPr>
          <w:rFonts w:cs="Arial"/>
          <w:snapToGrid w:val="0"/>
          <w:color w:val="000000"/>
        </w:rPr>
        <w:t xml:space="preserve"> 90% target for</w:t>
      </w:r>
      <w:r>
        <w:rPr>
          <w:rFonts w:cs="Arial"/>
          <w:snapToGrid w:val="0"/>
          <w:color w:val="000000"/>
        </w:rPr>
        <w:t xml:space="preserve"> the process measure of care.</w:t>
      </w:r>
    </w:p>
    <w:p w14:paraId="157BF3B0" w14:textId="77777777" w:rsidR="001F2727" w:rsidRDefault="001F2727" w:rsidP="001F2727">
      <w:pPr>
        <w:rPr>
          <w:rFonts w:cs="Arial"/>
          <w:snapToGrid w:val="0"/>
          <w:color w:val="000000"/>
        </w:rPr>
      </w:pPr>
    </w:p>
    <w:p w14:paraId="3DBFD1A6" w14:textId="7E955EA8" w:rsidR="001F2727" w:rsidRPr="001F2727" w:rsidRDefault="001F2727" w:rsidP="001F2727">
      <w:pPr>
        <w:rPr>
          <w:rFonts w:cs="Arial"/>
          <w:b/>
        </w:rPr>
      </w:pPr>
      <w:r w:rsidRPr="009A5185">
        <w:rPr>
          <w:rFonts w:cs="Arial"/>
          <w:b/>
        </w:rPr>
        <w:t xml:space="preserve">Each hospital </w:t>
      </w:r>
      <w:r>
        <w:rPr>
          <w:rFonts w:cs="Arial"/>
          <w:b/>
        </w:rPr>
        <w:t>achieving</w:t>
      </w:r>
      <w:r w:rsidRPr="009A5185">
        <w:rPr>
          <w:rFonts w:cs="Arial"/>
          <w:b/>
        </w:rPr>
        <w:t xml:space="preserve"> th</w:t>
      </w:r>
      <w:r>
        <w:rPr>
          <w:rFonts w:cs="Arial"/>
          <w:b/>
        </w:rPr>
        <w:t>e</w:t>
      </w:r>
      <w:r w:rsidRPr="009A5185">
        <w:rPr>
          <w:rFonts w:cs="Arial"/>
          <w:b/>
        </w:rPr>
        <w:t xml:space="preserve"> standard for </w:t>
      </w:r>
      <w:r>
        <w:rPr>
          <w:rFonts w:cs="Arial"/>
          <w:b/>
        </w:rPr>
        <w:t>High-Risk Deliveries</w:t>
      </w:r>
      <w:r w:rsidRPr="009A5185">
        <w:rPr>
          <w:rFonts w:cs="Arial"/>
          <w:b/>
        </w:rPr>
        <w:t>:</w:t>
      </w:r>
    </w:p>
    <w:p w14:paraId="37B42D6F" w14:textId="7574C523" w:rsidR="00F112F6" w:rsidRDefault="006E50EF" w:rsidP="001F2727">
      <w:r w:rsidRPr="009A5185">
        <w:t>Achieves favorable hospital volume characteristics for high-risk deliveries by admitting 50 or more very</w:t>
      </w:r>
      <w:r w:rsidR="00D86F2A">
        <w:t xml:space="preserve"> </w:t>
      </w:r>
      <w:r w:rsidRPr="009A5185">
        <w:t>low birth</w:t>
      </w:r>
      <w:r w:rsidR="00D86F2A">
        <w:t xml:space="preserve"> </w:t>
      </w:r>
      <w:r w:rsidRPr="009A5185">
        <w:t xml:space="preserve">weight newborns/year to its </w:t>
      </w:r>
      <w:r w:rsidR="00FB0CFD">
        <w:t>neonatal ICU</w:t>
      </w:r>
      <w:r w:rsidR="00F112F6">
        <w:t>,</w:t>
      </w:r>
    </w:p>
    <w:p w14:paraId="7983CE61" w14:textId="77777777" w:rsidR="00F112F6" w:rsidRDefault="00F112F6" w:rsidP="001F2727"/>
    <w:p w14:paraId="5C0D9A12" w14:textId="6A79378E" w:rsidR="00F112F6" w:rsidRDefault="00F112F6" w:rsidP="001F2727">
      <w:r>
        <w:t>OR</w:t>
      </w:r>
    </w:p>
    <w:p w14:paraId="0A9C1432" w14:textId="77777777" w:rsidR="00F112F6" w:rsidRDefault="00F112F6" w:rsidP="001F2727"/>
    <w:p w14:paraId="673C2C3C" w14:textId="105106CC" w:rsidR="00B91BED" w:rsidRPr="00F112F6" w:rsidRDefault="00F112F6" w:rsidP="00AD3571">
      <w:r>
        <w:t>A</w:t>
      </w:r>
      <w:r w:rsidR="006E50EF" w:rsidRPr="009A5185">
        <w:t>chieves favorable outcomes for high-risk deliveries as measured</w:t>
      </w:r>
      <w:r w:rsidR="0082085D" w:rsidRPr="009A5185">
        <w:t xml:space="preserve"> by the Vermont Oxford Network</w:t>
      </w:r>
      <w:r w:rsidR="00FB7ECF">
        <w:t>.</w:t>
      </w:r>
      <w:r w:rsidR="006E50EF" w:rsidRPr="009A5185">
        <w:br/>
      </w:r>
    </w:p>
    <w:p w14:paraId="0A79F535" w14:textId="25971812" w:rsidR="0082085D" w:rsidRPr="009A5185" w:rsidRDefault="0082085D" w:rsidP="0082085D">
      <w:pPr>
        <w:rPr>
          <w:rFonts w:cs="Arial"/>
          <w:b/>
        </w:rPr>
      </w:pPr>
      <w:r w:rsidRPr="009A5185">
        <w:rPr>
          <w:rFonts w:cs="Arial"/>
          <w:b/>
        </w:rPr>
        <w:t xml:space="preserve">Download the </w:t>
      </w:r>
      <w:r w:rsidR="00A236B1">
        <w:rPr>
          <w:rFonts w:cs="Arial"/>
          <w:b/>
        </w:rPr>
        <w:t>202</w:t>
      </w:r>
      <w:r w:rsidR="006C7A80">
        <w:rPr>
          <w:rFonts w:cs="Arial"/>
          <w:b/>
        </w:rPr>
        <w:t>6</w:t>
      </w:r>
      <w:r w:rsidRPr="009A5185">
        <w:rPr>
          <w:rFonts w:cs="Arial"/>
          <w:b/>
        </w:rPr>
        <w:t xml:space="preserve"> Leapfrog Hospital </w:t>
      </w:r>
      <w:r w:rsidR="00C14AFF" w:rsidRPr="009A5185">
        <w:rPr>
          <w:rFonts w:cs="Arial"/>
          <w:b/>
        </w:rPr>
        <w:t>Survey</w:t>
      </w:r>
      <w:r w:rsidRPr="009A5185">
        <w:rPr>
          <w:rFonts w:cs="Arial"/>
          <w:b/>
        </w:rPr>
        <w:t xml:space="preserve"> Scoring Algorithm on the </w:t>
      </w:r>
      <w:hyperlink r:id="rId247" w:history="1">
        <w:r w:rsidRPr="009A5185">
          <w:rPr>
            <w:rStyle w:val="Hyperlink"/>
            <w:rFonts w:cs="Arial"/>
            <w:b/>
          </w:rPr>
          <w:t>Scoring and Results webpage</w:t>
        </w:r>
      </w:hyperlink>
      <w:r w:rsidRPr="009A5185">
        <w:rPr>
          <w:rFonts w:cs="Arial"/>
          <w:b/>
        </w:rPr>
        <w:t>.</w:t>
      </w:r>
    </w:p>
    <w:p w14:paraId="03C0ABF4" w14:textId="77777777" w:rsidR="008A41A3" w:rsidRPr="009A5185" w:rsidRDefault="008A41A3" w:rsidP="00AD3571">
      <w:pPr>
        <w:pStyle w:val="BodyText3"/>
        <w:rPr>
          <w:rFonts w:cs="Arial"/>
          <w:b/>
        </w:rPr>
      </w:pPr>
    </w:p>
    <w:p w14:paraId="11915DE0" w14:textId="77777777" w:rsidR="008A41A3" w:rsidRPr="009A5185" w:rsidRDefault="008A41A3" w:rsidP="00ED1897">
      <w:pPr>
        <w:pStyle w:val="BodyText3"/>
        <w:rPr>
          <w:rFonts w:cs="Arial"/>
        </w:rPr>
      </w:pPr>
    </w:p>
    <w:p w14:paraId="10CB10A0" w14:textId="77777777" w:rsidR="008A41A3" w:rsidRPr="009A5185" w:rsidRDefault="008A41A3" w:rsidP="008A41A3">
      <w:pPr>
        <w:pStyle w:val="BodyText3"/>
        <w:ind w:left="360"/>
        <w:rPr>
          <w:rFonts w:cs="Arial"/>
        </w:rPr>
      </w:pPr>
    </w:p>
    <w:p w14:paraId="764FACFD" w14:textId="17A9D323" w:rsidR="00EC1F63" w:rsidRDefault="00EC1F63">
      <w:pPr>
        <w:rPr>
          <w:b/>
          <w:snapToGrid w:val="0"/>
          <w:sz w:val="28"/>
          <w:szCs w:val="24"/>
          <w:u w:val="single"/>
          <w:lang w:eastAsia="ja-JP"/>
        </w:rPr>
      </w:pPr>
      <w:r>
        <w:br w:type="page"/>
      </w:r>
    </w:p>
    <w:p w14:paraId="6CA038A7" w14:textId="5F2F79DC" w:rsidR="00474DDE" w:rsidRDefault="00306EB2" w:rsidP="00CF5A6E">
      <w:pPr>
        <w:pStyle w:val="Heading2"/>
      </w:pPr>
      <w:bookmarkStart w:id="293" w:name="_4A:_Maternity_Care"/>
      <w:bookmarkStart w:id="294" w:name="_Toc225877724"/>
      <w:bookmarkEnd w:id="293"/>
      <w:r w:rsidRPr="009A5185">
        <w:t>4A</w:t>
      </w:r>
      <w:r>
        <w:t>:</w:t>
      </w:r>
      <w:r w:rsidRPr="009A5185">
        <w:t xml:space="preserve"> Maternity Care Volume</w:t>
      </w:r>
      <w:r>
        <w:t xml:space="preserve"> and Services</w:t>
      </w:r>
      <w:bookmarkEnd w:id="294"/>
    </w:p>
    <w:p w14:paraId="69FCD7A3" w14:textId="77777777" w:rsidR="00306EB2" w:rsidRDefault="00306EB2" w:rsidP="00474DDE">
      <w:pPr>
        <w:rPr>
          <w:rFonts w:cs="Arial"/>
          <w:snapToGrid w:val="0"/>
        </w:rPr>
      </w:pPr>
    </w:p>
    <w:p w14:paraId="7491CEDD" w14:textId="1E3958C8" w:rsidR="00474DDE" w:rsidRDefault="00474DDE" w:rsidP="00474DDE">
      <w:pPr>
        <w:rPr>
          <w:rFonts w:cs="Arial"/>
          <w:snapToGrid w:val="0"/>
        </w:rPr>
      </w:pPr>
      <w:r w:rsidRPr="009A5185">
        <w:rPr>
          <w:rFonts w:cs="Arial"/>
          <w:snapToGrid w:val="0"/>
        </w:rPr>
        <w:t xml:space="preserve">Hospitals that share a </w:t>
      </w:r>
      <w:r>
        <w:rPr>
          <w:rFonts w:cs="Arial"/>
          <w:snapToGrid w:val="0"/>
        </w:rPr>
        <w:t>CMS Certification Number</w:t>
      </w:r>
      <w:r w:rsidRPr="009A5185">
        <w:rPr>
          <w:rFonts w:cs="Arial"/>
          <w:snapToGrid w:val="0"/>
        </w:rPr>
        <w:t xml:space="preserve"> are required to report by facility. Please carefully review </w:t>
      </w:r>
      <w:hyperlink r:id="rId248" w:history="1">
        <w:r w:rsidRPr="009A5185">
          <w:rPr>
            <w:rStyle w:val="Hyperlink"/>
            <w:rFonts w:cs="Arial"/>
            <w:snapToGrid w:val="0"/>
          </w:rPr>
          <w:t>Leapfrog’s Multi-Campus Reporting Policy</w:t>
        </w:r>
      </w:hyperlink>
      <w:r w:rsidRPr="009A5185">
        <w:rPr>
          <w:rFonts w:cs="Arial"/>
          <w:snapToGrid w:val="0"/>
        </w:rPr>
        <w:t xml:space="preserve">. </w:t>
      </w:r>
    </w:p>
    <w:p w14:paraId="6D70B223" w14:textId="77777777" w:rsidR="00CB1BA6" w:rsidRDefault="00CB1BA6" w:rsidP="00CB1BA6">
      <w:pPr>
        <w:rPr>
          <w:rFonts w:cs="Arial"/>
          <w:b/>
          <w:snapToGrid w:val="0"/>
        </w:rPr>
      </w:pPr>
    </w:p>
    <w:p w14:paraId="2B757CCD" w14:textId="77777777" w:rsidR="00764EEA" w:rsidRDefault="00253430" w:rsidP="00253430">
      <w:pPr>
        <w:rPr>
          <w:rFonts w:cs="Arial"/>
          <w:b/>
          <w:snapToGrid w:val="0"/>
          <w:color w:val="FF0000"/>
        </w:rPr>
      </w:pPr>
      <w:r w:rsidRPr="00873014">
        <w:rPr>
          <w:rFonts w:cs="Arial"/>
          <w:b/>
          <w:snapToGrid w:val="0"/>
          <w:color w:val="FF0000"/>
        </w:rPr>
        <w:t>Important Note</w:t>
      </w:r>
      <w:r w:rsidR="00764EEA">
        <w:rPr>
          <w:rFonts w:cs="Arial"/>
          <w:b/>
          <w:snapToGrid w:val="0"/>
          <w:color w:val="FF0000"/>
        </w:rPr>
        <w:t>s</w:t>
      </w:r>
      <w:r w:rsidRPr="00873014">
        <w:rPr>
          <w:rFonts w:cs="Arial"/>
          <w:b/>
          <w:snapToGrid w:val="0"/>
          <w:color w:val="FF0000"/>
        </w:rPr>
        <w:t xml:space="preserve">: </w:t>
      </w:r>
    </w:p>
    <w:p w14:paraId="28056CC3" w14:textId="77777777" w:rsidR="00764EEA" w:rsidRDefault="00764EEA" w:rsidP="00253430">
      <w:pPr>
        <w:rPr>
          <w:rFonts w:cs="Arial"/>
          <w:b/>
          <w:snapToGrid w:val="0"/>
          <w:color w:val="FF0000"/>
        </w:rPr>
      </w:pPr>
    </w:p>
    <w:p w14:paraId="0A36D7E1" w14:textId="2C90667C" w:rsidR="00DF1363" w:rsidRDefault="00764EEA" w:rsidP="00253430">
      <w:pPr>
        <w:rPr>
          <w:rFonts w:cs="Arial"/>
          <w:bCs/>
          <w:snapToGrid w:val="0"/>
        </w:rPr>
      </w:pPr>
      <w:r w:rsidRPr="00764EEA">
        <w:rPr>
          <w:rFonts w:cs="Arial"/>
          <w:bCs/>
          <w:snapToGrid w:val="0"/>
        </w:rPr>
        <w:t xml:space="preserve">Note 1: </w:t>
      </w:r>
      <w:r w:rsidR="00DF1363" w:rsidRPr="009A5185">
        <w:rPr>
          <w:rFonts w:cs="Arial"/>
        </w:rPr>
        <w:t xml:space="preserve">This section is only applicable to hospitals that </w:t>
      </w:r>
      <w:r w:rsidR="00DF1363" w:rsidRPr="009A5185">
        <w:rPr>
          <w:rFonts w:cs="Arial"/>
          <w:snapToGrid w:val="0"/>
          <w:color w:val="000000"/>
        </w:rPr>
        <w:t>deliver newborn babies</w:t>
      </w:r>
      <w:r w:rsidR="00DF1363" w:rsidRPr="009A5185">
        <w:rPr>
          <w:rFonts w:cs="Arial"/>
        </w:rPr>
        <w:t>.</w:t>
      </w:r>
      <w:r w:rsidR="00DF1363">
        <w:rPr>
          <w:rFonts w:cs="Arial"/>
        </w:rPr>
        <w:t xml:space="preserve"> </w:t>
      </w:r>
      <w:r w:rsidR="00DF1363" w:rsidRPr="00D65BBD">
        <w:rPr>
          <w:rFonts w:cs="Arial"/>
          <w:bCs/>
        </w:rPr>
        <w:t xml:space="preserve">Hospitals that do </w:t>
      </w:r>
      <w:r w:rsidR="00DF1363">
        <w:rPr>
          <w:rFonts w:cs="Arial"/>
          <w:bCs/>
        </w:rPr>
        <w:t xml:space="preserve">not </w:t>
      </w:r>
      <w:r w:rsidR="00DF1363" w:rsidRPr="009A5185">
        <w:rPr>
          <w:rFonts w:cs="Arial"/>
          <w:snapToGrid w:val="0"/>
          <w:color w:val="000000"/>
        </w:rPr>
        <w:t xml:space="preserve">deliver newborn babies </w:t>
      </w:r>
      <w:r w:rsidR="00DF1363" w:rsidRPr="00D65BBD">
        <w:rPr>
          <w:rFonts w:cs="Arial"/>
          <w:bCs/>
        </w:rPr>
        <w:t xml:space="preserve">should </w:t>
      </w:r>
      <w:r w:rsidR="006D52E6">
        <w:rPr>
          <w:rFonts w:cs="Arial"/>
          <w:bCs/>
        </w:rPr>
        <w:t>select</w:t>
      </w:r>
      <w:r w:rsidR="00DF1363" w:rsidRPr="00D65BBD">
        <w:rPr>
          <w:rFonts w:cs="Arial"/>
          <w:bCs/>
        </w:rPr>
        <w:t xml:space="preserve"> “no”</w:t>
      </w:r>
      <w:r w:rsidR="008F6C8B">
        <w:rPr>
          <w:rFonts w:cs="Arial"/>
          <w:bCs/>
        </w:rPr>
        <w:t xml:space="preserve"> or </w:t>
      </w:r>
      <w:r w:rsidR="004C574A">
        <w:rPr>
          <w:rFonts w:cs="Arial"/>
          <w:bCs/>
        </w:rPr>
        <w:t>“</w:t>
      </w:r>
      <w:r w:rsidR="008F6C8B" w:rsidRPr="008F6C8B">
        <w:rPr>
          <w:rFonts w:cs="Arial"/>
          <w:bCs/>
        </w:rPr>
        <w:t>yes, but unit is now closed or wasn’t open for the entire reporting period</w:t>
      </w:r>
      <w:r w:rsidR="004C574A">
        <w:rPr>
          <w:rFonts w:cs="Arial"/>
          <w:bCs/>
        </w:rPr>
        <w:t>”</w:t>
      </w:r>
      <w:r w:rsidR="00DF1363" w:rsidRPr="00D65BBD">
        <w:rPr>
          <w:rFonts w:cs="Arial"/>
          <w:bCs/>
        </w:rPr>
        <w:t xml:space="preserve"> </w:t>
      </w:r>
      <w:r w:rsidR="006D52E6">
        <w:rPr>
          <w:rFonts w:cs="Arial"/>
          <w:bCs/>
        </w:rPr>
        <w:t>in</w:t>
      </w:r>
      <w:r w:rsidR="00DF1363" w:rsidRPr="00D65BBD">
        <w:rPr>
          <w:rFonts w:cs="Arial"/>
          <w:bCs/>
        </w:rPr>
        <w:t xml:space="preserve"> question #2 in </w:t>
      </w:r>
      <w:r w:rsidR="00DF1363">
        <w:rPr>
          <w:rFonts w:cs="Arial"/>
          <w:bCs/>
        </w:rPr>
        <w:t>4A</w:t>
      </w:r>
      <w:r w:rsidR="00DF1363" w:rsidRPr="00D65BBD">
        <w:rPr>
          <w:rFonts w:cs="Arial"/>
          <w:bCs/>
        </w:rPr>
        <w:t xml:space="preserve"> and move on to </w:t>
      </w:r>
      <w:r w:rsidR="00DF1363">
        <w:rPr>
          <w:rFonts w:cs="Arial"/>
          <w:bCs/>
        </w:rPr>
        <w:t xml:space="preserve">the Affirmation of Accuracy. </w:t>
      </w:r>
      <w:r w:rsidR="00DF1363" w:rsidRPr="00D65BBD">
        <w:rPr>
          <w:rFonts w:cs="Arial"/>
          <w:bCs/>
        </w:rPr>
        <w:t>Your hospital’s results will be displayed a</w:t>
      </w:r>
      <w:r w:rsidR="00FE0E25">
        <w:rPr>
          <w:rFonts w:cs="Arial"/>
          <w:bCs/>
        </w:rPr>
        <w:t>s</w:t>
      </w:r>
      <w:r w:rsidR="00DF1363" w:rsidRPr="00D65BBD">
        <w:rPr>
          <w:rFonts w:cs="Arial"/>
          <w:bCs/>
        </w:rPr>
        <w:t xml:space="preserve"> “Does Not Apply”</w:t>
      </w:r>
      <w:r w:rsidR="00DF1363">
        <w:rPr>
          <w:rFonts w:cs="Arial"/>
          <w:bCs/>
        </w:rPr>
        <w:t xml:space="preserve"> on </w:t>
      </w:r>
      <w:r w:rsidR="00DF1363" w:rsidRPr="00D65BBD">
        <w:rPr>
          <w:rFonts w:cs="Arial"/>
          <w:bCs/>
        </w:rPr>
        <w:t>Leapfrog’s public reporting website.</w:t>
      </w:r>
    </w:p>
    <w:p w14:paraId="39F9F836" w14:textId="77777777" w:rsidR="00DF1363" w:rsidRDefault="00DF1363" w:rsidP="00253430">
      <w:pPr>
        <w:rPr>
          <w:rFonts w:cs="Arial"/>
          <w:bCs/>
          <w:snapToGrid w:val="0"/>
        </w:rPr>
      </w:pPr>
    </w:p>
    <w:p w14:paraId="1018AE29" w14:textId="5748A43E" w:rsidR="00253430" w:rsidRPr="00764EEA" w:rsidRDefault="00DF1363" w:rsidP="00253430">
      <w:pPr>
        <w:rPr>
          <w:rFonts w:cs="Arial"/>
          <w:bCs/>
          <w:snapToGrid w:val="0"/>
        </w:rPr>
      </w:pPr>
      <w:r>
        <w:rPr>
          <w:rFonts w:cs="Arial"/>
          <w:bCs/>
          <w:snapToGrid w:val="0"/>
        </w:rPr>
        <w:t xml:space="preserve">Note 2: </w:t>
      </w:r>
      <w:r w:rsidR="00253430" w:rsidRPr="00764EEA">
        <w:rPr>
          <w:rFonts w:cs="Arial"/>
          <w:bCs/>
          <w:snapToGrid w:val="0"/>
        </w:rPr>
        <w:t xml:space="preserve">Hospitals must use the same 12-month reporting period </w:t>
      </w:r>
      <w:r w:rsidR="00BA394C" w:rsidRPr="00BA394C">
        <w:rPr>
          <w:rFonts w:cs="Arial"/>
          <w:bCs/>
          <w:snapToGrid w:val="0"/>
        </w:rPr>
        <w:t>for all subsections in Section 4: Maternity Care</w:t>
      </w:r>
      <w:r w:rsidR="00BA394C">
        <w:rPr>
          <w:rFonts w:cs="Arial"/>
          <w:bCs/>
          <w:snapToGrid w:val="0"/>
        </w:rPr>
        <w:t xml:space="preserve">, except for </w:t>
      </w:r>
      <w:r w:rsidR="00D94BCF">
        <w:rPr>
          <w:rFonts w:cs="Arial"/>
          <w:bCs/>
          <w:snapToGrid w:val="0"/>
        </w:rPr>
        <w:t>Section 4A questions #4-</w:t>
      </w:r>
      <w:r w:rsidR="005A023E">
        <w:rPr>
          <w:rFonts w:cs="Arial"/>
          <w:bCs/>
          <w:snapToGrid w:val="0"/>
        </w:rPr>
        <w:t>8</w:t>
      </w:r>
      <w:r w:rsidR="00D94BCF">
        <w:rPr>
          <w:rFonts w:cs="Arial"/>
          <w:bCs/>
          <w:snapToGrid w:val="0"/>
        </w:rPr>
        <w:t xml:space="preserve"> and </w:t>
      </w:r>
      <w:r w:rsidR="00BA394C">
        <w:rPr>
          <w:rFonts w:cs="Arial"/>
          <w:bCs/>
          <w:snapToGrid w:val="0"/>
        </w:rPr>
        <w:t xml:space="preserve">Section 4B questions #6-8. </w:t>
      </w:r>
    </w:p>
    <w:p w14:paraId="68CEC700" w14:textId="12ED5FBF" w:rsidR="00764EEA" w:rsidRPr="00764EEA" w:rsidRDefault="00764EEA" w:rsidP="00253430">
      <w:pPr>
        <w:rPr>
          <w:rFonts w:cs="Arial"/>
          <w:bCs/>
          <w:snapToGrid w:val="0"/>
        </w:rPr>
      </w:pPr>
    </w:p>
    <w:p w14:paraId="377EE0BA" w14:textId="3D459310" w:rsidR="00764EEA" w:rsidRPr="00764EEA" w:rsidRDefault="00764EEA" w:rsidP="00253430">
      <w:pPr>
        <w:rPr>
          <w:rFonts w:cs="Arial"/>
          <w:bCs/>
          <w:snapToGrid w:val="0"/>
        </w:rPr>
      </w:pPr>
      <w:r w:rsidRPr="00764EEA">
        <w:rPr>
          <w:rFonts w:cs="Arial"/>
          <w:bCs/>
          <w:snapToGrid w:val="0"/>
        </w:rPr>
        <w:t xml:space="preserve">Note </w:t>
      </w:r>
      <w:r w:rsidR="00DF1363">
        <w:rPr>
          <w:rFonts w:cs="Arial"/>
          <w:bCs/>
          <w:snapToGrid w:val="0"/>
        </w:rPr>
        <w:t>3</w:t>
      </w:r>
      <w:r w:rsidRPr="00764EEA">
        <w:rPr>
          <w:rFonts w:cs="Arial"/>
          <w:bCs/>
          <w:snapToGrid w:val="0"/>
        </w:rPr>
        <w:t xml:space="preserve">: Maternity Care Services </w:t>
      </w:r>
      <w:r w:rsidR="00590A28">
        <w:rPr>
          <w:rFonts w:cs="Arial"/>
          <w:bCs/>
          <w:snapToGrid w:val="0"/>
        </w:rPr>
        <w:t>(questions #4-</w:t>
      </w:r>
      <w:r w:rsidR="005A023E">
        <w:rPr>
          <w:rFonts w:cs="Arial"/>
          <w:bCs/>
          <w:snapToGrid w:val="0"/>
        </w:rPr>
        <w:t>8</w:t>
      </w:r>
      <w:r w:rsidR="00590A28">
        <w:rPr>
          <w:rFonts w:cs="Arial"/>
          <w:bCs/>
          <w:snapToGrid w:val="0"/>
        </w:rPr>
        <w:t xml:space="preserve">) </w:t>
      </w:r>
      <w:r w:rsidR="00D902EC">
        <w:rPr>
          <w:rFonts w:cs="Arial"/>
          <w:bCs/>
          <w:snapToGrid w:val="0"/>
        </w:rPr>
        <w:t>will</w:t>
      </w:r>
      <w:r w:rsidR="00590A28">
        <w:rPr>
          <w:rFonts w:cs="Arial"/>
          <w:bCs/>
          <w:snapToGrid w:val="0"/>
        </w:rPr>
        <w:t xml:space="preserve"> not be </w:t>
      </w:r>
      <w:r w:rsidR="00DF1363">
        <w:rPr>
          <w:rFonts w:cs="Arial"/>
          <w:bCs/>
          <w:snapToGrid w:val="0"/>
        </w:rPr>
        <w:t>scored but</w:t>
      </w:r>
      <w:r w:rsidR="00590A28">
        <w:rPr>
          <w:rFonts w:cs="Arial"/>
          <w:bCs/>
          <w:snapToGrid w:val="0"/>
        </w:rPr>
        <w:t xml:space="preserve"> will</w:t>
      </w:r>
      <w:r w:rsidR="00D902EC">
        <w:rPr>
          <w:rFonts w:cs="Arial"/>
          <w:bCs/>
          <w:snapToGrid w:val="0"/>
        </w:rPr>
        <w:t xml:space="preserve"> be used in public reporting. </w:t>
      </w:r>
    </w:p>
    <w:p w14:paraId="697B73F6" w14:textId="77777777" w:rsidR="00253430" w:rsidRDefault="00253430" w:rsidP="00CB1BA6">
      <w:pPr>
        <w:rPr>
          <w:rFonts w:cs="Arial"/>
          <w:b/>
          <w:snapToGrid w:val="0"/>
        </w:rPr>
      </w:pPr>
    </w:p>
    <w:p w14:paraId="176EE4A6" w14:textId="262454E7" w:rsidR="00CB1BA6" w:rsidRPr="009A5185" w:rsidRDefault="00CB1BA6" w:rsidP="00CB1BA6">
      <w:pPr>
        <w:rPr>
          <w:rFonts w:cs="Arial"/>
          <w:snapToGrid w:val="0"/>
        </w:rPr>
      </w:pPr>
      <w:r w:rsidRPr="009A5185">
        <w:rPr>
          <w:rFonts w:cs="Arial"/>
          <w:b/>
          <w:snapToGrid w:val="0"/>
        </w:rPr>
        <w:t xml:space="preserve">Specifications: </w:t>
      </w:r>
      <w:r w:rsidRPr="009A5185">
        <w:rPr>
          <w:rFonts w:cs="Arial"/>
          <w:snapToGrid w:val="0"/>
        </w:rPr>
        <w:t xml:space="preserve">See </w:t>
      </w:r>
      <w:hyperlink w:anchor="_Maternity_Care_Volume_1" w:history="1">
        <w:r w:rsidR="006F29AA">
          <w:rPr>
            <w:rStyle w:val="Hyperlink"/>
            <w:rFonts w:cs="Arial"/>
            <w:b/>
            <w:i/>
            <w:snapToGrid w:val="0"/>
          </w:rPr>
          <w:t>Maternity Care Volume and Services Measure Specifications</w:t>
        </w:r>
      </w:hyperlink>
      <w:r w:rsidRPr="009A5185">
        <w:rPr>
          <w:rFonts w:cs="Arial"/>
          <w:snapToGrid w:val="0"/>
        </w:rPr>
        <w:t xml:space="preserve"> in the Reference Information </w:t>
      </w:r>
      <w:r w:rsidR="00C0227C">
        <w:rPr>
          <w:rFonts w:cs="Arial"/>
          <w:snapToGrid w:val="0"/>
        </w:rPr>
        <w:t xml:space="preserve">beginning on page </w:t>
      </w:r>
      <w:r w:rsidR="00E413AC">
        <w:rPr>
          <w:rFonts w:cs="Arial"/>
          <w:snapToGrid w:val="0"/>
        </w:rPr>
        <w:t>16</w:t>
      </w:r>
      <w:r w:rsidR="004640AB">
        <w:rPr>
          <w:rFonts w:cs="Arial"/>
          <w:snapToGrid w:val="0"/>
        </w:rPr>
        <w:t>4</w:t>
      </w:r>
      <w:r w:rsidR="00C0227C">
        <w:rPr>
          <w:rFonts w:cs="Arial"/>
          <w:snapToGrid w:val="0"/>
        </w:rPr>
        <w:t>.</w:t>
      </w:r>
      <w:r w:rsidR="00F2485E">
        <w:rPr>
          <w:rFonts w:cs="Arial"/>
          <w:snapToGrid w:val="0"/>
        </w:rPr>
        <w:t xml:space="preserve"> </w:t>
      </w:r>
    </w:p>
    <w:p w14:paraId="4CFD9091" w14:textId="77777777" w:rsidR="00FE44CA" w:rsidRDefault="00FE44CA" w:rsidP="00CB1BA6">
      <w:pPr>
        <w:rPr>
          <w:rFonts w:cs="Arial"/>
          <w:snapToGrid w:val="0"/>
        </w:rPr>
      </w:pPr>
    </w:p>
    <w:p w14:paraId="5E186EE6" w14:textId="03F7C3E5" w:rsidR="006E50EF" w:rsidRDefault="008E3376">
      <w:pPr>
        <w:rPr>
          <w:rFonts w:cs="Arial"/>
          <w:b/>
          <w:snapToGrid w:val="0"/>
        </w:rPr>
      </w:pPr>
      <w:r w:rsidRPr="008E3376">
        <w:rPr>
          <w:rFonts w:cs="Arial"/>
          <w:b/>
          <w:noProof/>
          <w:snapToGrid w:val="0"/>
        </w:rPr>
        <mc:AlternateContent>
          <mc:Choice Requires="wps">
            <w:drawing>
              <wp:inline distT="0" distB="0" distL="0" distR="0" wp14:anchorId="5322EB7A" wp14:editId="3CBD53B7">
                <wp:extent cx="6050943" cy="1404620"/>
                <wp:effectExtent l="0" t="0" r="26035" b="18415"/>
                <wp:docPr id="30" name="Text Box 30" descr="P6255TB13#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0943" cy="1404620"/>
                        </a:xfrm>
                        <a:prstGeom prst="rect">
                          <a:avLst/>
                        </a:prstGeom>
                        <a:solidFill>
                          <a:srgbClr val="FFFFFF"/>
                        </a:solidFill>
                        <a:ln w="9525">
                          <a:solidFill>
                            <a:srgbClr val="FF0000"/>
                          </a:solidFill>
                          <a:miter lim="800000"/>
                          <a:headEnd/>
                          <a:tailEnd/>
                        </a:ln>
                      </wps:spPr>
                      <wps:txbx>
                        <w:txbxContent>
                          <w:p w14:paraId="5240C1E1" w14:textId="0F094BEA" w:rsidR="008E3376" w:rsidRPr="009A5185" w:rsidRDefault="008E3376" w:rsidP="008E3376">
                            <w:pPr>
                              <w:spacing w:before="40"/>
                              <w:rPr>
                                <w:rFonts w:cs="Arial"/>
                                <w:b/>
                                <w:snapToGrid w:val="0"/>
                              </w:rPr>
                            </w:pPr>
                            <w:r w:rsidRPr="009A5185">
                              <w:rPr>
                                <w:rFonts w:cs="Arial"/>
                                <w:b/>
                                <w:snapToGrid w:val="0"/>
                              </w:rPr>
                              <w:t>Reporting Period: 12 months</w:t>
                            </w:r>
                          </w:p>
                          <w:p w14:paraId="195AC1C3" w14:textId="77777777" w:rsidR="008E3376" w:rsidRPr="00FD6B66" w:rsidRDefault="008E3376" w:rsidP="00AD309C">
                            <w:pPr>
                              <w:pStyle w:val="ListParagraph"/>
                              <w:numPr>
                                <w:ilvl w:val="0"/>
                                <w:numId w:val="36"/>
                              </w:numPr>
                              <w:rPr>
                                <w:rFonts w:cs="Arial"/>
                                <w:i/>
                                <w:snapToGrid w:val="0"/>
                              </w:rPr>
                            </w:pPr>
                            <w:r>
                              <w:rPr>
                                <w:rFonts w:cs="Arial"/>
                                <w:snapToGrid w:val="0"/>
                              </w:rPr>
                              <w:t>Surveys submitted prior to September 1:</w:t>
                            </w:r>
                          </w:p>
                          <w:p w14:paraId="49C81454" w14:textId="1C5E4467" w:rsidR="008E3376" w:rsidRPr="009A5185" w:rsidRDefault="008E3376" w:rsidP="00AD309C">
                            <w:pPr>
                              <w:pStyle w:val="ListParagraph"/>
                              <w:numPr>
                                <w:ilvl w:val="1"/>
                                <w:numId w:val="36"/>
                              </w:numPr>
                              <w:rPr>
                                <w:rFonts w:cs="Arial"/>
                                <w:i/>
                                <w:snapToGrid w:val="0"/>
                              </w:rPr>
                            </w:pPr>
                            <w:r>
                              <w:rPr>
                                <w:rFonts w:cs="Arial"/>
                                <w:iCs/>
                                <w:snapToGrid w:val="0"/>
                              </w:rPr>
                              <w:t>01/01/202</w:t>
                            </w:r>
                            <w:r w:rsidR="005A023E">
                              <w:rPr>
                                <w:rFonts w:cs="Arial"/>
                                <w:iCs/>
                                <w:snapToGrid w:val="0"/>
                              </w:rPr>
                              <w:t>5</w:t>
                            </w:r>
                            <w:r>
                              <w:rPr>
                                <w:rFonts w:cs="Arial"/>
                                <w:iCs/>
                                <w:snapToGrid w:val="0"/>
                              </w:rPr>
                              <w:t xml:space="preserve"> – 12/31/202</w:t>
                            </w:r>
                            <w:r w:rsidR="005A023E">
                              <w:rPr>
                                <w:rFonts w:cs="Arial"/>
                                <w:iCs/>
                                <w:snapToGrid w:val="0"/>
                              </w:rPr>
                              <w:t>5</w:t>
                            </w:r>
                          </w:p>
                          <w:p w14:paraId="1BC0C717" w14:textId="77777777" w:rsidR="008E3376" w:rsidRPr="00FD6B66" w:rsidRDefault="008E3376" w:rsidP="00AD309C">
                            <w:pPr>
                              <w:pStyle w:val="ListParagraph"/>
                              <w:numPr>
                                <w:ilvl w:val="0"/>
                                <w:numId w:val="36"/>
                              </w:numPr>
                              <w:rPr>
                                <w:rFonts w:cs="Arial"/>
                                <w:i/>
                                <w:snapToGrid w:val="0"/>
                              </w:rPr>
                            </w:pPr>
                            <w:r w:rsidRPr="009A5185">
                              <w:rPr>
                                <w:rFonts w:cs="Arial"/>
                                <w:snapToGrid w:val="0"/>
                              </w:rPr>
                              <w:t xml:space="preserve">Surveys (re)submitted on or after September 1: </w:t>
                            </w:r>
                          </w:p>
                          <w:p w14:paraId="4DA27866" w14:textId="3461B279" w:rsidR="008E3376" w:rsidRPr="00FD4BD9" w:rsidRDefault="008E3376" w:rsidP="00AD309C">
                            <w:pPr>
                              <w:pStyle w:val="ListParagraph"/>
                              <w:numPr>
                                <w:ilvl w:val="1"/>
                                <w:numId w:val="36"/>
                              </w:numPr>
                              <w:rPr>
                                <w:rFonts w:cs="Arial"/>
                                <w:i/>
                                <w:snapToGrid w:val="0"/>
                              </w:rPr>
                            </w:pPr>
                            <w:r w:rsidRPr="009A5185">
                              <w:rPr>
                                <w:rFonts w:cs="Arial"/>
                                <w:snapToGrid w:val="0"/>
                              </w:rPr>
                              <w:t>07/01/</w:t>
                            </w:r>
                            <w:r>
                              <w:rPr>
                                <w:rFonts w:cs="Arial"/>
                                <w:snapToGrid w:val="0"/>
                              </w:rPr>
                              <w:t>202</w:t>
                            </w:r>
                            <w:r w:rsidR="005A023E">
                              <w:rPr>
                                <w:rFonts w:cs="Arial"/>
                                <w:snapToGrid w:val="0"/>
                              </w:rPr>
                              <w:t>5</w:t>
                            </w:r>
                            <w:r w:rsidRPr="009A5185">
                              <w:rPr>
                                <w:rFonts w:cs="Arial"/>
                                <w:snapToGrid w:val="0"/>
                              </w:rPr>
                              <w:t xml:space="preserve"> </w:t>
                            </w:r>
                            <w:r>
                              <w:rPr>
                                <w:rFonts w:cs="Arial"/>
                                <w:snapToGrid w:val="0"/>
                              </w:rPr>
                              <w:t>–</w:t>
                            </w:r>
                            <w:r w:rsidRPr="009A5185">
                              <w:rPr>
                                <w:rFonts w:cs="Arial"/>
                                <w:snapToGrid w:val="0"/>
                              </w:rPr>
                              <w:t xml:space="preserve"> 06/30/</w:t>
                            </w:r>
                            <w:r>
                              <w:rPr>
                                <w:rFonts w:cs="Arial"/>
                                <w:snapToGrid w:val="0"/>
                              </w:rPr>
                              <w:t>202</w:t>
                            </w:r>
                            <w:r w:rsidR="005A023E">
                              <w:rPr>
                                <w:rFonts w:cs="Arial"/>
                                <w:snapToGrid w:val="0"/>
                              </w:rPr>
                              <w:t>6</w:t>
                            </w:r>
                          </w:p>
                          <w:p w14:paraId="6CF1BFFD" w14:textId="77777777" w:rsidR="008E3376" w:rsidRDefault="008E3376" w:rsidP="008E3376">
                            <w:pPr>
                              <w:rPr>
                                <w:rFonts w:cs="Arial"/>
                                <w:i/>
                                <w:snapToGrid w:val="0"/>
                              </w:rPr>
                            </w:pPr>
                          </w:p>
                          <w:p w14:paraId="5618EFEE" w14:textId="0DF1C46D" w:rsidR="008E3376" w:rsidRDefault="008E3376" w:rsidP="008E3376">
                            <w:r w:rsidRPr="006547C0">
                              <w:rPr>
                                <w:rFonts w:cs="Arial"/>
                                <w:sz w:val="16"/>
                                <w:szCs w:val="16"/>
                              </w:rPr>
                              <w:t xml:space="preserve">Note: As a reminder, the </w:t>
                            </w:r>
                            <w:hyperlink r:id="rId249" w:history="1">
                              <w:r w:rsidRPr="006547C0">
                                <w:rPr>
                                  <w:rStyle w:val="Hyperlink"/>
                                  <w:rFonts w:cs="Arial"/>
                                  <w:sz w:val="16"/>
                                  <w:szCs w:val="16"/>
                                </w:rPr>
                                <w:t>Corrections Period</w:t>
                              </w:r>
                            </w:hyperlink>
                            <w:r w:rsidRPr="006547C0">
                              <w:rPr>
                                <w:rFonts w:cs="Arial"/>
                                <w:sz w:val="16"/>
                                <w:szCs w:val="16"/>
                              </w:rPr>
                              <w:t xml:space="preserve"> </w:t>
                            </w:r>
                            <w:r w:rsidRPr="00E65E68">
                              <w:rPr>
                                <w:rFonts w:cs="Arial"/>
                                <w:sz w:val="16"/>
                                <w:szCs w:val="16"/>
                              </w:rPr>
                              <w:t>(</w:t>
                            </w:r>
                            <w:r>
                              <w:rPr>
                                <w:rFonts w:cs="Arial"/>
                                <w:sz w:val="16"/>
                                <w:szCs w:val="16"/>
                              </w:rPr>
                              <w:t>December</w:t>
                            </w:r>
                            <w:r w:rsidRPr="00E65E68">
                              <w:rPr>
                                <w:rFonts w:cs="Arial"/>
                                <w:sz w:val="16"/>
                                <w:szCs w:val="16"/>
                              </w:rPr>
                              <w:t xml:space="preserve"> 1-January 31) is reserved for corrections to previously submitted Surveys only. </w:t>
                            </w:r>
                            <w:r w:rsidRPr="00E65E68">
                              <w:rPr>
                                <w:rFonts w:cs="Arial"/>
                                <w:bCs/>
                                <w:snapToGrid w:val="0"/>
                                <w:sz w:val="16"/>
                                <w:szCs w:val="16"/>
                              </w:rPr>
                              <w:t xml:space="preserve">Any updates made to reflect a change in performance must be made prior to the </w:t>
                            </w:r>
                            <w:r>
                              <w:rPr>
                                <w:rFonts w:cs="Arial"/>
                                <w:bCs/>
                                <w:snapToGrid w:val="0"/>
                                <w:sz w:val="16"/>
                                <w:szCs w:val="16"/>
                              </w:rPr>
                              <w:t>November 30</w:t>
                            </w:r>
                            <w:r w:rsidRPr="00E65E68">
                              <w:rPr>
                                <w:rFonts w:cs="Arial"/>
                                <w:bCs/>
                                <w:snapToGrid w:val="0"/>
                                <w:sz w:val="16"/>
                                <w:szCs w:val="16"/>
                              </w:rPr>
                              <w:t xml:space="preserve"> Late Submission </w:t>
                            </w:r>
                            <w:r w:rsidRPr="00AE38C7">
                              <w:rPr>
                                <w:rFonts w:cs="Arial"/>
                                <w:bCs/>
                                <w:snapToGrid w:val="0"/>
                                <w:sz w:val="16"/>
                                <w:szCs w:val="16"/>
                              </w:rPr>
                              <w:t>and Performance Update</w:t>
                            </w:r>
                            <w:r>
                              <w:rPr>
                                <w:rFonts w:cs="Arial"/>
                                <w:bCs/>
                                <w:snapToGrid w:val="0"/>
                                <w:sz w:val="16"/>
                                <w:szCs w:val="16"/>
                              </w:rPr>
                              <w:t xml:space="preserve"> </w:t>
                            </w:r>
                            <w:r w:rsidRPr="00E65E68">
                              <w:rPr>
                                <w:rFonts w:cs="Arial"/>
                                <w:bCs/>
                                <w:snapToGrid w:val="0"/>
                                <w:sz w:val="16"/>
                                <w:szCs w:val="16"/>
                              </w:rPr>
                              <w:t xml:space="preserve">Deadline. Updates made to reflect a change in performance after </w:t>
                            </w:r>
                            <w:r>
                              <w:rPr>
                                <w:rFonts w:cs="Arial"/>
                                <w:bCs/>
                                <w:snapToGrid w:val="0"/>
                                <w:sz w:val="16"/>
                                <w:szCs w:val="16"/>
                              </w:rPr>
                              <w:t>November 30</w:t>
                            </w:r>
                            <w:r w:rsidRPr="00E65E68">
                              <w:rPr>
                                <w:rFonts w:cs="Arial"/>
                                <w:bCs/>
                                <w:snapToGrid w:val="0"/>
                                <w:sz w:val="16"/>
                                <w:szCs w:val="16"/>
                              </w:rPr>
                              <w:t xml:space="preserve"> will not be scored or publicly reported.</w:t>
                            </w:r>
                          </w:p>
                        </w:txbxContent>
                      </wps:txbx>
                      <wps:bodyPr rot="0" vert="horz" wrap="square" lIns="91440" tIns="45720" rIns="91440" bIns="45720" anchor="t" anchorCtr="0">
                        <a:spAutoFit/>
                      </wps:bodyPr>
                    </wps:wsp>
                  </a:graphicData>
                </a:graphic>
              </wp:inline>
            </w:drawing>
          </mc:Choice>
          <mc:Fallback>
            <w:pict>
              <v:shape w14:anchorId="5322EB7A" id="Text Box 30" o:spid="_x0000_s1040" type="#_x0000_t202" alt="P6255TB13#y1" style="width:476.4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" strokecolor="red">
                <v:textbox style="mso-fit-shape-to-text:t">
                  <w:txbxContent>
                    <w:p w14:paraId="5240C1E1" w14:textId="0F094BEA" w:rsidR="008E3376" w:rsidRPr="009A5185" w:rsidRDefault="008E3376" w:rsidP="008E3376">
                      <w:pPr>
                        <w:spacing w:before="40"/>
                        <w:rPr>
                          <w:rFonts w:cs="Arial"/>
                          <w:b/>
                          <w:snapToGrid w:val="0"/>
                        </w:rPr>
                      </w:pPr>
                      <w:r w:rsidRPr="009A5185">
                        <w:rPr>
                          <w:rFonts w:cs="Arial"/>
                          <w:b/>
                          <w:snapToGrid w:val="0"/>
                        </w:rPr>
                        <w:t>Reporting Period: 12 months</w:t>
                      </w:r>
                    </w:p>
                    <w:p w14:paraId="195AC1C3" w14:textId="77777777" w:rsidR="008E3376" w:rsidRPr="00FD6B66" w:rsidRDefault="008E3376" w:rsidP="00AD309C">
                      <w:pPr>
                        <w:pStyle w:val="ListParagraph"/>
                        <w:numPr>
                          <w:ilvl w:val="0"/>
                          <w:numId w:val="36"/>
                        </w:numPr>
                        <w:rPr>
                          <w:rFonts w:cs="Arial"/>
                          <w:i/>
                          <w:snapToGrid w:val="0"/>
                        </w:rPr>
                      </w:pPr>
                      <w:r>
                        <w:rPr>
                          <w:rFonts w:cs="Arial"/>
                          <w:snapToGrid w:val="0"/>
                        </w:rPr>
                        <w:t>Surveys submitted prior to September 1:</w:t>
                      </w:r>
                    </w:p>
                    <w:p w14:paraId="49C81454" w14:textId="1C5E4467" w:rsidR="008E3376" w:rsidRPr="009A5185" w:rsidRDefault="008E3376" w:rsidP="00AD309C">
                      <w:pPr>
                        <w:pStyle w:val="ListParagraph"/>
                        <w:numPr>
                          <w:ilvl w:val="1"/>
                          <w:numId w:val="36"/>
                        </w:numPr>
                        <w:rPr>
                          <w:rFonts w:cs="Arial"/>
                          <w:i/>
                          <w:snapToGrid w:val="0"/>
                        </w:rPr>
                      </w:pPr>
                      <w:r>
                        <w:rPr>
                          <w:rFonts w:cs="Arial"/>
                          <w:iCs/>
                          <w:snapToGrid w:val="0"/>
                        </w:rPr>
                        <w:t>01/01/202</w:t>
                      </w:r>
                      <w:r w:rsidR="005A023E">
                        <w:rPr>
                          <w:rFonts w:cs="Arial"/>
                          <w:iCs/>
                          <w:snapToGrid w:val="0"/>
                        </w:rPr>
                        <w:t>5</w:t>
                      </w:r>
                      <w:r>
                        <w:rPr>
                          <w:rFonts w:cs="Arial"/>
                          <w:iCs/>
                          <w:snapToGrid w:val="0"/>
                        </w:rPr>
                        <w:t xml:space="preserve"> – 12/31/202</w:t>
                      </w:r>
                      <w:r w:rsidR="005A023E">
                        <w:rPr>
                          <w:rFonts w:cs="Arial"/>
                          <w:iCs/>
                          <w:snapToGrid w:val="0"/>
                        </w:rPr>
                        <w:t>5</w:t>
                      </w:r>
                    </w:p>
                    <w:p w14:paraId="1BC0C717" w14:textId="77777777" w:rsidR="008E3376" w:rsidRPr="00FD6B66" w:rsidRDefault="008E3376" w:rsidP="00AD309C">
                      <w:pPr>
                        <w:pStyle w:val="ListParagraph"/>
                        <w:numPr>
                          <w:ilvl w:val="0"/>
                          <w:numId w:val="36"/>
                        </w:numPr>
                        <w:rPr>
                          <w:rFonts w:cs="Arial"/>
                          <w:i/>
                          <w:snapToGrid w:val="0"/>
                        </w:rPr>
                      </w:pPr>
                      <w:r w:rsidRPr="009A5185">
                        <w:rPr>
                          <w:rFonts w:cs="Arial"/>
                          <w:snapToGrid w:val="0"/>
                        </w:rPr>
                        <w:t xml:space="preserve">Surveys (re)submitted on or after September 1: </w:t>
                      </w:r>
                    </w:p>
                    <w:p w14:paraId="4DA27866" w14:textId="3461B279" w:rsidR="008E3376" w:rsidRPr="00FD4BD9" w:rsidRDefault="008E3376" w:rsidP="00AD309C">
                      <w:pPr>
                        <w:pStyle w:val="ListParagraph"/>
                        <w:numPr>
                          <w:ilvl w:val="1"/>
                          <w:numId w:val="36"/>
                        </w:numPr>
                        <w:rPr>
                          <w:rFonts w:cs="Arial"/>
                          <w:i/>
                          <w:snapToGrid w:val="0"/>
                        </w:rPr>
                      </w:pPr>
                      <w:r w:rsidRPr="009A5185">
                        <w:rPr>
                          <w:rFonts w:cs="Arial"/>
                          <w:snapToGrid w:val="0"/>
                        </w:rPr>
                        <w:t>07/01/</w:t>
                      </w:r>
                      <w:r>
                        <w:rPr>
                          <w:rFonts w:cs="Arial"/>
                          <w:snapToGrid w:val="0"/>
                        </w:rPr>
                        <w:t>202</w:t>
                      </w:r>
                      <w:r w:rsidR="005A023E">
                        <w:rPr>
                          <w:rFonts w:cs="Arial"/>
                          <w:snapToGrid w:val="0"/>
                        </w:rPr>
                        <w:t>5</w:t>
                      </w:r>
                      <w:r w:rsidRPr="009A5185">
                        <w:rPr>
                          <w:rFonts w:cs="Arial"/>
                          <w:snapToGrid w:val="0"/>
                        </w:rPr>
                        <w:t xml:space="preserve"> </w:t>
                      </w:r>
                      <w:r>
                        <w:rPr>
                          <w:rFonts w:cs="Arial"/>
                          <w:snapToGrid w:val="0"/>
                        </w:rPr>
                        <w:t>–</w:t>
                      </w:r>
                      <w:r w:rsidRPr="009A5185">
                        <w:rPr>
                          <w:rFonts w:cs="Arial"/>
                          <w:snapToGrid w:val="0"/>
                        </w:rPr>
                        <w:t xml:space="preserve"> 06/30/</w:t>
                      </w:r>
                      <w:r>
                        <w:rPr>
                          <w:rFonts w:cs="Arial"/>
                          <w:snapToGrid w:val="0"/>
                        </w:rPr>
                        <w:t>202</w:t>
                      </w:r>
                      <w:r w:rsidR="005A023E">
                        <w:rPr>
                          <w:rFonts w:cs="Arial"/>
                          <w:snapToGrid w:val="0"/>
                        </w:rPr>
                        <w:t>6</w:t>
                      </w:r>
                    </w:p>
                    <w:p w14:paraId="6CF1BFFD" w14:textId="77777777" w:rsidR="008E3376" w:rsidRDefault="008E3376" w:rsidP="008E3376">
                      <w:pPr>
                        <w:rPr>
                          <w:rFonts w:cs="Arial"/>
                          <w:i/>
                          <w:snapToGrid w:val="0"/>
                        </w:rPr>
                      </w:pPr>
                    </w:p>
                    <w:p w14:paraId="5618EFEE" w14:textId="0DF1C46D" w:rsidR="008E3376" w:rsidRDefault="008E3376" w:rsidP="008E3376">
                      <w:r w:rsidRPr="006547C0">
                        <w:rPr>
                          <w:rFonts w:cs="Arial"/>
                          <w:sz w:val="16"/>
                          <w:szCs w:val="16"/>
                        </w:rPr>
                        <w:t xml:space="preserve">Note: As a reminder, the </w:t>
                      </w:r>
                      <w:hyperlink r:id="rId250" w:history="1">
                        <w:r w:rsidRPr="006547C0">
                          <w:rPr>
                            <w:rStyle w:val="Hyperlink"/>
                            <w:rFonts w:cs="Arial"/>
                            <w:sz w:val="16"/>
                            <w:szCs w:val="16"/>
                          </w:rPr>
                          <w:t>Corrections Period</w:t>
                        </w:r>
                      </w:hyperlink>
                      <w:r w:rsidRPr="006547C0">
                        <w:rPr>
                          <w:rFonts w:cs="Arial"/>
                          <w:sz w:val="16"/>
                          <w:szCs w:val="16"/>
                        </w:rPr>
                        <w:t xml:space="preserve"> </w:t>
                      </w:r>
                      <w:r w:rsidRPr="00E65E68">
                        <w:rPr>
                          <w:rFonts w:cs="Arial"/>
                          <w:sz w:val="16"/>
                          <w:szCs w:val="16"/>
                        </w:rPr>
                        <w:t>(</w:t>
                      </w:r>
                      <w:r>
                        <w:rPr>
                          <w:rFonts w:cs="Arial"/>
                          <w:sz w:val="16"/>
                          <w:szCs w:val="16"/>
                        </w:rPr>
                        <w:t>December</w:t>
                      </w:r>
                      <w:r w:rsidRPr="00E65E68">
                        <w:rPr>
                          <w:rFonts w:cs="Arial"/>
                          <w:sz w:val="16"/>
                          <w:szCs w:val="16"/>
                        </w:rPr>
                        <w:t xml:space="preserve"> 1-January 31) is reserved for corrections to previously submitted Surveys only. </w:t>
                      </w:r>
                      <w:r w:rsidRPr="00E65E68">
                        <w:rPr>
                          <w:rFonts w:cs="Arial"/>
                          <w:bCs/>
                          <w:snapToGrid w:val="0"/>
                          <w:sz w:val="16"/>
                          <w:szCs w:val="16"/>
                        </w:rPr>
                        <w:t xml:space="preserve">Any updates made to reflect a change in performance must be made prior to the </w:t>
                      </w:r>
                      <w:r>
                        <w:rPr>
                          <w:rFonts w:cs="Arial"/>
                          <w:bCs/>
                          <w:snapToGrid w:val="0"/>
                          <w:sz w:val="16"/>
                          <w:szCs w:val="16"/>
                        </w:rPr>
                        <w:t>November 30</w:t>
                      </w:r>
                      <w:r w:rsidRPr="00E65E68">
                        <w:rPr>
                          <w:rFonts w:cs="Arial"/>
                          <w:bCs/>
                          <w:snapToGrid w:val="0"/>
                          <w:sz w:val="16"/>
                          <w:szCs w:val="16"/>
                        </w:rPr>
                        <w:t xml:space="preserve"> Late Submission </w:t>
                      </w:r>
                      <w:r w:rsidRPr="00AE38C7">
                        <w:rPr>
                          <w:rFonts w:cs="Arial"/>
                          <w:bCs/>
                          <w:snapToGrid w:val="0"/>
                          <w:sz w:val="16"/>
                          <w:szCs w:val="16"/>
                        </w:rPr>
                        <w:t>and Performance Update</w:t>
                      </w:r>
                      <w:r>
                        <w:rPr>
                          <w:rFonts w:cs="Arial"/>
                          <w:bCs/>
                          <w:snapToGrid w:val="0"/>
                          <w:sz w:val="16"/>
                          <w:szCs w:val="16"/>
                        </w:rPr>
                        <w:t xml:space="preserve"> </w:t>
                      </w:r>
                      <w:r w:rsidRPr="00E65E68">
                        <w:rPr>
                          <w:rFonts w:cs="Arial"/>
                          <w:bCs/>
                          <w:snapToGrid w:val="0"/>
                          <w:sz w:val="16"/>
                          <w:szCs w:val="16"/>
                        </w:rPr>
                        <w:t xml:space="preserve">Deadline. Updates made to reflect a change in performance after </w:t>
                      </w:r>
                      <w:r>
                        <w:rPr>
                          <w:rFonts w:cs="Arial"/>
                          <w:bCs/>
                          <w:snapToGrid w:val="0"/>
                          <w:sz w:val="16"/>
                          <w:szCs w:val="16"/>
                        </w:rPr>
                        <w:t>November 30</w:t>
                      </w:r>
                      <w:r w:rsidRPr="00E65E68">
                        <w:rPr>
                          <w:rFonts w:cs="Arial"/>
                          <w:bCs/>
                          <w:snapToGrid w:val="0"/>
                          <w:sz w:val="16"/>
                          <w:szCs w:val="16"/>
                        </w:rPr>
                        <w:t xml:space="preserve"> will not be scored or publicly reported.</w:t>
                      </w:r>
                    </w:p>
                  </w:txbxContent>
                </v:textbox>
                <w10:anchorlock/>
              </v:shape>
            </w:pict>
          </mc:Fallback>
        </mc:AlternateContent>
      </w:r>
    </w:p>
    <w:p w14:paraId="39915DE3" w14:textId="77777777" w:rsidR="008E3376" w:rsidRPr="009A5185" w:rsidRDefault="008E3376">
      <w:pPr>
        <w:rPr>
          <w:rFonts w:cs="Arial"/>
          <w:b/>
          <w:snapToGrid w:val="0"/>
        </w:rPr>
      </w:pPr>
    </w:p>
    <w:p w14:paraId="78603B23" w14:textId="59CC18F7" w:rsidR="00516D49" w:rsidDel="00A67F04" w:rsidRDefault="00516D49" w:rsidP="00AB5B80">
      <w:pPr>
        <w:pStyle w:val="Heading3"/>
      </w:pPr>
      <w:bookmarkStart w:id="295" w:name="_Toc225877725"/>
      <w:r w:rsidDel="00A67F04">
        <w:t>Maternity Care Volume</w:t>
      </w:r>
      <w:bookmarkEnd w:id="295"/>
    </w:p>
    <w:p w14:paraId="1F5F7381" w14:textId="77777777" w:rsidR="00B85D40" w:rsidRDefault="00B85D40">
      <w:pPr>
        <w:rPr>
          <w:rFonts w:cs="Arial"/>
          <w:i/>
        </w:rPr>
      </w:pPr>
    </w:p>
    <w:tbl>
      <w:tblPr>
        <w:tblStyle w:val="TableGrid"/>
        <w:tblW w:w="9535" w:type="dxa"/>
        <w:tblLook w:val="04A0" w:firstRow="1" w:lastRow="0" w:firstColumn="1" w:lastColumn="0" w:noHBand="0" w:noVBand="1"/>
      </w:tblPr>
      <w:tblGrid>
        <w:gridCol w:w="6655"/>
        <w:gridCol w:w="2880"/>
      </w:tblGrid>
      <w:tr w:rsidR="00A67F04" w14:paraId="1388FF67" w14:textId="77777777" w:rsidTr="00267805">
        <w:trPr>
          <w:trHeight w:val="710"/>
        </w:trPr>
        <w:tc>
          <w:tcPr>
            <w:tcW w:w="6655" w:type="dxa"/>
            <w:vAlign w:val="center"/>
          </w:tcPr>
          <w:p w14:paraId="14158553" w14:textId="1268348D" w:rsidR="00A67F04" w:rsidRPr="00A67F04" w:rsidRDefault="00A67F04" w:rsidP="00AD309C">
            <w:pPr>
              <w:pStyle w:val="ListParagraph"/>
              <w:numPr>
                <w:ilvl w:val="4"/>
                <w:numId w:val="64"/>
              </w:numPr>
              <w:spacing w:before="120"/>
              <w:ind w:left="333" w:hanging="333"/>
              <w:rPr>
                <w:rFonts w:cs="Arial"/>
                <w:snapToGrid w:val="0"/>
                <w:color w:val="000000"/>
              </w:rPr>
            </w:pPr>
            <w:r w:rsidRPr="00A67F04">
              <w:rPr>
                <w:rFonts w:cs="Arial"/>
                <w:snapToGrid w:val="0"/>
                <w:color w:val="000000"/>
              </w:rPr>
              <w:t>12-month reporting period used:</w:t>
            </w:r>
          </w:p>
        </w:tc>
        <w:tc>
          <w:tcPr>
            <w:tcW w:w="2880" w:type="dxa"/>
            <w:vAlign w:val="center"/>
          </w:tcPr>
          <w:p w14:paraId="559D7F13" w14:textId="54065D43" w:rsidR="00A67F04" w:rsidRPr="00C06753" w:rsidRDefault="00A67F04" w:rsidP="00AD309C">
            <w:pPr>
              <w:pStyle w:val="ListParagraph"/>
              <w:numPr>
                <w:ilvl w:val="0"/>
                <w:numId w:val="282"/>
              </w:numPr>
              <w:rPr>
                <w:rFonts w:cs="Arial"/>
                <w:iCs/>
              </w:rPr>
            </w:pPr>
            <w:r w:rsidRPr="00C8246A">
              <w:rPr>
                <w:rFonts w:cs="Arial"/>
                <w:iCs/>
              </w:rPr>
              <w:t>01/01/202</w:t>
            </w:r>
            <w:r w:rsidR="005A023E">
              <w:rPr>
                <w:rFonts w:cs="Arial"/>
                <w:iCs/>
              </w:rPr>
              <w:t>5</w:t>
            </w:r>
            <w:r w:rsidRPr="00C06753">
              <w:rPr>
                <w:rFonts w:cs="Arial"/>
                <w:iCs/>
              </w:rPr>
              <w:t xml:space="preserve"> – 12/31/202</w:t>
            </w:r>
            <w:r w:rsidR="005A023E">
              <w:rPr>
                <w:rFonts w:cs="Arial"/>
                <w:iCs/>
              </w:rPr>
              <w:t>5</w:t>
            </w:r>
          </w:p>
          <w:p w14:paraId="18A881D1" w14:textId="66D90FE6" w:rsidR="00A67F04" w:rsidRPr="00C27FF1" w:rsidRDefault="00A67F04" w:rsidP="00AD309C">
            <w:pPr>
              <w:pStyle w:val="ListParagraph"/>
              <w:numPr>
                <w:ilvl w:val="0"/>
                <w:numId w:val="285"/>
              </w:numPr>
              <w:rPr>
                <w:rFonts w:cs="Arial"/>
                <w:iCs/>
                <w:snapToGrid w:val="0"/>
              </w:rPr>
            </w:pPr>
            <w:r w:rsidRPr="00C06753">
              <w:rPr>
                <w:rFonts w:cs="Arial"/>
                <w:iCs/>
                <w:snapToGrid w:val="0"/>
              </w:rPr>
              <w:t>07/01/202</w:t>
            </w:r>
            <w:r w:rsidR="005A023E">
              <w:rPr>
                <w:rFonts w:cs="Arial"/>
                <w:iCs/>
                <w:snapToGrid w:val="0"/>
              </w:rPr>
              <w:t>5</w:t>
            </w:r>
            <w:r w:rsidRPr="00C06753">
              <w:rPr>
                <w:rFonts w:cs="Arial"/>
                <w:iCs/>
                <w:snapToGrid w:val="0"/>
              </w:rPr>
              <w:t xml:space="preserve"> – 06/30/202</w:t>
            </w:r>
            <w:r w:rsidR="005A023E">
              <w:rPr>
                <w:rFonts w:cs="Arial"/>
                <w:iCs/>
                <w:snapToGrid w:val="0"/>
              </w:rPr>
              <w:t>6</w:t>
            </w:r>
          </w:p>
        </w:tc>
      </w:tr>
      <w:tr w:rsidR="00B85D40" w14:paraId="1E5047DD" w14:textId="77777777" w:rsidTr="001A20B6">
        <w:trPr>
          <w:trHeight w:val="1584"/>
        </w:trPr>
        <w:tc>
          <w:tcPr>
            <w:tcW w:w="6655" w:type="dxa"/>
            <w:vAlign w:val="center"/>
          </w:tcPr>
          <w:p w14:paraId="06BDBC2C" w14:textId="53323CBE" w:rsidR="00B85D40" w:rsidRPr="009A5185" w:rsidRDefault="00B85D40" w:rsidP="00AD309C">
            <w:pPr>
              <w:pStyle w:val="ListParagraph"/>
              <w:numPr>
                <w:ilvl w:val="0"/>
                <w:numId w:val="64"/>
              </w:numPr>
              <w:spacing w:before="120"/>
              <w:rPr>
                <w:rFonts w:cs="Arial"/>
                <w:snapToGrid w:val="0"/>
                <w:color w:val="000000"/>
              </w:rPr>
            </w:pPr>
            <w:r w:rsidRPr="009A5185">
              <w:rPr>
                <w:rFonts w:cs="Arial"/>
                <w:snapToGrid w:val="0"/>
                <w:color w:val="000000"/>
              </w:rPr>
              <w:t xml:space="preserve">Did the hospital deliver newborn babies during the reporting period? </w:t>
            </w:r>
            <w:r w:rsidRPr="009A5185">
              <w:rPr>
                <w:rFonts w:cs="Arial"/>
                <w:snapToGrid w:val="0"/>
                <w:color w:val="000000"/>
              </w:rPr>
              <w:br/>
            </w:r>
          </w:p>
          <w:p w14:paraId="3DD603C8" w14:textId="37E89DD4" w:rsidR="00B85D40" w:rsidRDefault="00B85D40" w:rsidP="00AF65F6">
            <w:pPr>
              <w:ind w:left="360"/>
              <w:rPr>
                <w:rFonts w:cs="Arial"/>
                <w:i/>
              </w:rPr>
            </w:pPr>
            <w:r w:rsidRPr="009A5185">
              <w:rPr>
                <w:rFonts w:cs="Arial"/>
                <w:i/>
                <w:snapToGrid w:val="0"/>
                <w:color w:val="000000"/>
              </w:rPr>
              <w:t>If “no”</w:t>
            </w:r>
            <w:r>
              <w:rPr>
                <w:rFonts w:cs="Arial"/>
                <w:i/>
                <w:snapToGrid w:val="0"/>
                <w:color w:val="000000"/>
              </w:rPr>
              <w:t xml:space="preserve"> o</w:t>
            </w:r>
            <w:r w:rsidRPr="008668CE">
              <w:rPr>
                <w:rFonts w:cs="Arial"/>
                <w:i/>
                <w:snapToGrid w:val="0"/>
                <w:color w:val="000000"/>
              </w:rPr>
              <w:t>r “yes, but unit is now closed or wasn’t open for the entire reporting period,” skip the remaining questions in Section 4, including all subsections, and go to the Affirmation of Accuracy</w:t>
            </w:r>
            <w:r w:rsidRPr="00644638">
              <w:rPr>
                <w:rFonts w:cs="Arial"/>
                <w:i/>
                <w:snapToGrid w:val="0"/>
                <w:color w:val="000000"/>
              </w:rPr>
              <w:t>. The hospital will be scored as “Does Not Apply.”</w:t>
            </w:r>
          </w:p>
        </w:tc>
        <w:tc>
          <w:tcPr>
            <w:tcW w:w="2880" w:type="dxa"/>
            <w:vAlign w:val="center"/>
          </w:tcPr>
          <w:p w14:paraId="71FBB08B" w14:textId="194EBEFC" w:rsidR="00B85D40" w:rsidRPr="00C27FF1" w:rsidRDefault="00B85D40" w:rsidP="00AD309C">
            <w:pPr>
              <w:pStyle w:val="ListParagraph"/>
              <w:numPr>
                <w:ilvl w:val="0"/>
                <w:numId w:val="285"/>
              </w:numPr>
              <w:rPr>
                <w:rFonts w:cs="Arial"/>
                <w:iCs/>
                <w:snapToGrid w:val="0"/>
              </w:rPr>
            </w:pPr>
            <w:r w:rsidRPr="00C27FF1">
              <w:rPr>
                <w:rFonts w:cs="Arial"/>
                <w:iCs/>
                <w:snapToGrid w:val="0"/>
              </w:rPr>
              <w:t>Yes</w:t>
            </w:r>
          </w:p>
          <w:p w14:paraId="5FB0BF3A" w14:textId="77777777" w:rsidR="00B85D40" w:rsidRPr="00C27FF1" w:rsidRDefault="00B85D40" w:rsidP="00AD309C">
            <w:pPr>
              <w:pStyle w:val="ListParagraph"/>
              <w:numPr>
                <w:ilvl w:val="0"/>
                <w:numId w:val="285"/>
              </w:numPr>
              <w:rPr>
                <w:rFonts w:cs="Arial"/>
                <w:iCs/>
                <w:snapToGrid w:val="0"/>
              </w:rPr>
            </w:pPr>
            <w:r w:rsidRPr="00C27FF1">
              <w:rPr>
                <w:rFonts w:cs="Arial"/>
                <w:iCs/>
                <w:snapToGrid w:val="0"/>
              </w:rPr>
              <w:t>No</w:t>
            </w:r>
          </w:p>
          <w:p w14:paraId="565BE440" w14:textId="1AA5024B" w:rsidR="00B85D40" w:rsidRPr="00C8246A" w:rsidRDefault="00B85D40" w:rsidP="00AD309C">
            <w:pPr>
              <w:pStyle w:val="ListParagraph"/>
              <w:numPr>
                <w:ilvl w:val="0"/>
                <w:numId w:val="285"/>
              </w:numPr>
              <w:rPr>
                <w:rFonts w:cs="Arial"/>
                <w:i/>
              </w:rPr>
            </w:pPr>
            <w:r w:rsidRPr="00C27FF1">
              <w:rPr>
                <w:rFonts w:cs="Arial"/>
                <w:iCs/>
                <w:snapToGrid w:val="0"/>
              </w:rPr>
              <w:t>Yes, but unit is now closed or wasn’t open for the entire reporting period</w:t>
            </w:r>
          </w:p>
        </w:tc>
      </w:tr>
      <w:tr w:rsidR="00B85D40" w14:paraId="23B5248E" w14:textId="77777777" w:rsidTr="001A20B6">
        <w:trPr>
          <w:trHeight w:val="1790"/>
        </w:trPr>
        <w:tc>
          <w:tcPr>
            <w:tcW w:w="6655" w:type="dxa"/>
            <w:vAlign w:val="center"/>
          </w:tcPr>
          <w:p w14:paraId="4755B224" w14:textId="5B8AAA41" w:rsidR="00B85D40" w:rsidRPr="009A5185" w:rsidRDefault="00B85D40" w:rsidP="00AD309C">
            <w:pPr>
              <w:numPr>
                <w:ilvl w:val="0"/>
                <w:numId w:val="64"/>
              </w:numPr>
              <w:rPr>
                <w:rFonts w:cs="Arial"/>
                <w:snapToGrid w:val="0"/>
                <w:color w:val="000000"/>
              </w:rPr>
            </w:pPr>
            <w:r w:rsidRPr="009A5185">
              <w:rPr>
                <w:rFonts w:cs="Arial"/>
                <w:snapToGrid w:val="0"/>
                <w:color w:val="000000"/>
              </w:rPr>
              <w:t xml:space="preserve">Total number of live births </w:t>
            </w:r>
            <w:r>
              <w:rPr>
                <w:rFonts w:cs="Arial"/>
                <w:snapToGrid w:val="0"/>
                <w:color w:val="000000"/>
              </w:rPr>
              <w:t xml:space="preserve">(i.e., liveborn infants) </w:t>
            </w:r>
            <w:r w:rsidRPr="009A5185">
              <w:rPr>
                <w:rFonts w:cs="Arial"/>
                <w:snapToGrid w:val="0"/>
                <w:color w:val="000000"/>
              </w:rPr>
              <w:t>at this hospital location for the reporting period.</w:t>
            </w:r>
          </w:p>
          <w:p w14:paraId="3D9FE013" w14:textId="77777777" w:rsidR="00B85D40" w:rsidRPr="009A5185" w:rsidRDefault="00B85D40" w:rsidP="00AF65F6">
            <w:pPr>
              <w:ind w:left="360"/>
              <w:rPr>
                <w:rFonts w:cs="Arial"/>
                <w:snapToGrid w:val="0"/>
                <w:color w:val="000000"/>
              </w:rPr>
            </w:pPr>
          </w:p>
          <w:p w14:paraId="08E1B03F" w14:textId="6FDF8AAE" w:rsidR="00B85D40" w:rsidRDefault="00B85D40" w:rsidP="00AF65F6">
            <w:pPr>
              <w:ind w:left="360"/>
              <w:rPr>
                <w:rFonts w:cs="Arial"/>
                <w:i/>
              </w:rPr>
            </w:pPr>
            <w:r w:rsidRPr="009A5185">
              <w:rPr>
                <w:rFonts w:cs="Arial"/>
                <w:i/>
              </w:rPr>
              <w:t>I</w:t>
            </w:r>
            <w:r w:rsidRPr="003F73B4">
              <w:rPr>
                <w:rFonts w:cs="Arial"/>
                <w:i/>
              </w:rPr>
              <w:t>f fewer than 10 cases, skip the remaining questions in Section 4, including all subsections, and go to the Affirmation of Accuracy. The hospital will be scored as “Unable to Calculate Score”</w:t>
            </w:r>
            <w:r>
              <w:rPr>
                <w:rFonts w:cs="Arial"/>
                <w:i/>
              </w:rPr>
              <w:t xml:space="preserve"> or “Does Not Apply.”</w:t>
            </w:r>
          </w:p>
        </w:tc>
        <w:tc>
          <w:tcPr>
            <w:tcW w:w="2880" w:type="dxa"/>
            <w:vAlign w:val="center"/>
          </w:tcPr>
          <w:p w14:paraId="553314E3" w14:textId="51381D49" w:rsidR="00B85D40" w:rsidRDefault="00B85D40" w:rsidP="00516D49">
            <w:pPr>
              <w:jc w:val="center"/>
              <w:rPr>
                <w:rFonts w:cs="Arial"/>
                <w:i/>
              </w:rPr>
            </w:pPr>
            <w:r w:rsidRPr="009A5185">
              <w:rPr>
                <w:rFonts w:cs="Arial"/>
                <w:i/>
                <w:snapToGrid w:val="0"/>
              </w:rPr>
              <w:t>______</w:t>
            </w:r>
          </w:p>
        </w:tc>
      </w:tr>
    </w:tbl>
    <w:p w14:paraId="2AE24467" w14:textId="77777777" w:rsidR="006C7A68" w:rsidRDefault="006C7A68">
      <w:pPr>
        <w:rPr>
          <w:rFonts w:cs="Arial"/>
          <w:i/>
        </w:rPr>
      </w:pPr>
    </w:p>
    <w:p w14:paraId="668AE944" w14:textId="77777777" w:rsidR="006C7A68" w:rsidRDefault="006C7A68">
      <w:pPr>
        <w:rPr>
          <w:rFonts w:cs="Arial"/>
          <w:i/>
        </w:rPr>
      </w:pPr>
    </w:p>
    <w:p w14:paraId="2F90713A" w14:textId="77777777" w:rsidR="006C7A68" w:rsidRDefault="006C7A68">
      <w:pPr>
        <w:rPr>
          <w:rFonts w:cs="Arial"/>
          <w:i/>
        </w:rPr>
      </w:pPr>
    </w:p>
    <w:p w14:paraId="3E83A9D7" w14:textId="77777777" w:rsidR="006C7A68" w:rsidRDefault="006C7A68">
      <w:pPr>
        <w:rPr>
          <w:rFonts w:cs="Arial"/>
          <w:i/>
        </w:rPr>
      </w:pPr>
    </w:p>
    <w:p w14:paraId="2FA03B54" w14:textId="77777777" w:rsidR="00EE2131" w:rsidRPr="009A5185" w:rsidRDefault="00EE2131">
      <w:pPr>
        <w:rPr>
          <w:rFonts w:cs="Arial"/>
          <w:i/>
        </w:rPr>
      </w:pPr>
    </w:p>
    <w:p w14:paraId="02281552" w14:textId="41AFFFA3" w:rsidR="006E50EF" w:rsidRDefault="00516D49" w:rsidP="00AB5B80">
      <w:pPr>
        <w:pStyle w:val="Heading3"/>
      </w:pPr>
      <w:bookmarkStart w:id="296" w:name="_Toc225877726"/>
      <w:r>
        <w:t>Maternity Care Services</w:t>
      </w:r>
      <w:bookmarkEnd w:id="296"/>
      <w:r>
        <w:t xml:space="preserve"> </w:t>
      </w:r>
    </w:p>
    <w:p w14:paraId="17EEE1D1" w14:textId="6890C03C" w:rsidR="00516D49" w:rsidRDefault="00516D49" w:rsidP="00516D49">
      <w:pPr>
        <w:rPr>
          <w:lang w:eastAsia="ja-JP"/>
        </w:rPr>
      </w:pPr>
    </w:p>
    <w:p w14:paraId="39A06A20" w14:textId="4A7C6BCF" w:rsidR="00447686" w:rsidRDefault="005D125E" w:rsidP="00516D49">
      <w:pPr>
        <w:rPr>
          <w:lang w:eastAsia="ja-JP"/>
        </w:rPr>
      </w:pPr>
      <w:r w:rsidRPr="00B07246">
        <w:rPr>
          <w:rFonts w:cs="Arial"/>
          <w:i/>
          <w:noProof/>
          <w:snapToGrid w:val="0"/>
        </w:rPr>
        <mc:AlternateContent>
          <mc:Choice Requires="wps">
            <w:drawing>
              <wp:inline distT="0" distB="0" distL="0" distR="0" wp14:anchorId="2240AE9B" wp14:editId="53D87951">
                <wp:extent cx="5943600" cy="1177290"/>
                <wp:effectExtent l="0" t="0" r="19050" b="22860"/>
                <wp:docPr id="2120330223" name="Text Box 2120330223" descr="P6281TB14#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177290"/>
                        </a:xfrm>
                        <a:prstGeom prst="rect">
                          <a:avLst/>
                        </a:prstGeom>
                        <a:solidFill>
                          <a:srgbClr val="FFFFFF"/>
                        </a:solidFill>
                        <a:ln w="9525">
                          <a:solidFill>
                            <a:srgbClr val="FF0000"/>
                          </a:solidFill>
                          <a:miter lim="800000"/>
                          <a:headEnd/>
                          <a:tailEnd/>
                        </a:ln>
                      </wps:spPr>
                      <wps:txbx>
                        <w:txbxContent>
                          <w:p w14:paraId="4DFC4D3F" w14:textId="47959A26" w:rsidR="005D125E" w:rsidRPr="00E1700D" w:rsidRDefault="005D125E" w:rsidP="005D125E">
                            <w:pPr>
                              <w:spacing w:before="40"/>
                              <w:rPr>
                                <w:rFonts w:cs="Arial"/>
                                <w:i/>
                                <w:snapToGrid w:val="0"/>
                              </w:rPr>
                            </w:pPr>
                            <w:r w:rsidRPr="009A5185">
                              <w:rPr>
                                <w:rFonts w:cs="Arial"/>
                                <w:b/>
                                <w:snapToGrid w:val="0"/>
                              </w:rPr>
                              <w:t xml:space="preserve">Reporting Period: </w:t>
                            </w:r>
                            <w:r>
                              <w:rPr>
                                <w:rFonts w:cs="Arial"/>
                                <w:snapToGrid w:val="0"/>
                              </w:rPr>
                              <w:t>Answer questions #4-9 based on the practices currently in place at the time you submit this section of the Survey.</w:t>
                            </w:r>
                          </w:p>
                          <w:p w14:paraId="632C49DE" w14:textId="77777777" w:rsidR="005D125E" w:rsidRDefault="005D125E" w:rsidP="005D125E">
                            <w:pPr>
                              <w:rPr>
                                <w:rFonts w:cs="Arial"/>
                                <w:i/>
                                <w:snapToGrid w:val="0"/>
                              </w:rPr>
                            </w:pPr>
                          </w:p>
                          <w:p w14:paraId="351ABDA3" w14:textId="77777777" w:rsidR="005D125E" w:rsidRDefault="005D125E" w:rsidP="005D125E">
                            <w:r w:rsidRPr="001B3D66">
                              <w:rPr>
                                <w:rFonts w:cs="Arial"/>
                                <w:sz w:val="16"/>
                                <w:szCs w:val="16"/>
                              </w:rPr>
                              <w:t xml:space="preserve">Note: As a reminder, the </w:t>
                            </w:r>
                            <w:hyperlink r:id="rId251" w:history="1">
                              <w:r w:rsidRPr="001B3D66">
                                <w:rPr>
                                  <w:rStyle w:val="Hyperlink"/>
                                  <w:rFonts w:cs="Arial"/>
                                  <w:sz w:val="16"/>
                                  <w:szCs w:val="16"/>
                                </w:rPr>
                                <w:t>Corrections Period</w:t>
                              </w:r>
                            </w:hyperlink>
                            <w:r w:rsidRPr="001B3D66">
                              <w:rPr>
                                <w:rFonts w:cs="Arial"/>
                                <w:sz w:val="16"/>
                                <w:szCs w:val="16"/>
                              </w:rPr>
                              <w:t xml:space="preserve"> (</w:t>
                            </w:r>
                            <w:r>
                              <w:rPr>
                                <w:rFonts w:cs="Arial"/>
                                <w:sz w:val="16"/>
                                <w:szCs w:val="16"/>
                              </w:rPr>
                              <w:t>December</w:t>
                            </w:r>
                            <w:r w:rsidRPr="001B3D66">
                              <w:rPr>
                                <w:rFonts w:cs="Arial"/>
                                <w:sz w:val="16"/>
                                <w:szCs w:val="16"/>
                              </w:rPr>
                              <w:t xml:space="preserve"> 1-January 31) is reserved for corrections to previously submitted Surveys only. </w:t>
                            </w:r>
                            <w:r w:rsidRPr="001B3D66">
                              <w:rPr>
                                <w:rFonts w:cs="Arial"/>
                                <w:bCs/>
                                <w:snapToGrid w:val="0"/>
                                <w:sz w:val="16"/>
                                <w:szCs w:val="16"/>
                              </w:rPr>
                              <w:t xml:space="preserve">Any updates made to reflect a change in performance must be made prior to the </w:t>
                            </w:r>
                            <w:r>
                              <w:rPr>
                                <w:rFonts w:cs="Arial"/>
                                <w:bCs/>
                                <w:snapToGrid w:val="0"/>
                                <w:sz w:val="16"/>
                                <w:szCs w:val="16"/>
                              </w:rPr>
                              <w:t>November 30</w:t>
                            </w:r>
                            <w:r w:rsidRPr="001B3D66">
                              <w:rPr>
                                <w:rFonts w:cs="Arial"/>
                                <w:bCs/>
                                <w:snapToGrid w:val="0"/>
                                <w:sz w:val="16"/>
                                <w:szCs w:val="16"/>
                              </w:rPr>
                              <w:t xml:space="preserve"> Late Submission </w:t>
                            </w:r>
                            <w:r w:rsidRPr="00AE38C7">
                              <w:rPr>
                                <w:rFonts w:cs="Arial"/>
                                <w:bCs/>
                                <w:snapToGrid w:val="0"/>
                                <w:sz w:val="16"/>
                                <w:szCs w:val="16"/>
                              </w:rPr>
                              <w:t>and</w:t>
                            </w:r>
                            <w:r>
                              <w:rPr>
                                <w:rFonts w:cs="Arial"/>
                                <w:bCs/>
                                <w:snapToGrid w:val="0"/>
                                <w:sz w:val="16"/>
                                <w:szCs w:val="16"/>
                              </w:rPr>
                              <w:t xml:space="preserve"> </w:t>
                            </w:r>
                            <w:r w:rsidRPr="00AE38C7">
                              <w:rPr>
                                <w:rFonts w:cs="Arial"/>
                                <w:bCs/>
                                <w:snapToGrid w:val="0"/>
                                <w:sz w:val="16"/>
                                <w:szCs w:val="16"/>
                              </w:rPr>
                              <w:t>Performance Update</w:t>
                            </w:r>
                            <w:r>
                              <w:rPr>
                                <w:rFonts w:cs="Arial"/>
                                <w:bCs/>
                                <w:snapToGrid w:val="0"/>
                                <w:sz w:val="16"/>
                                <w:szCs w:val="16"/>
                              </w:rPr>
                              <w:t xml:space="preserve"> </w:t>
                            </w:r>
                            <w:r w:rsidRPr="001B3D66">
                              <w:rPr>
                                <w:rFonts w:cs="Arial"/>
                                <w:bCs/>
                                <w:snapToGrid w:val="0"/>
                                <w:sz w:val="16"/>
                                <w:szCs w:val="16"/>
                              </w:rPr>
                              <w:t xml:space="preserve">Deadline. Updates made to reflect a change in performance after </w:t>
                            </w:r>
                            <w:r>
                              <w:rPr>
                                <w:rFonts w:cs="Arial"/>
                                <w:bCs/>
                                <w:snapToGrid w:val="0"/>
                                <w:sz w:val="16"/>
                                <w:szCs w:val="16"/>
                              </w:rPr>
                              <w:t>November 30</w:t>
                            </w:r>
                            <w:r w:rsidRPr="001B3D66">
                              <w:rPr>
                                <w:rFonts w:cs="Arial"/>
                                <w:bCs/>
                                <w:snapToGrid w:val="0"/>
                                <w:sz w:val="16"/>
                                <w:szCs w:val="16"/>
                              </w:rPr>
                              <w:t xml:space="preserve"> will not be scored or publicly reported.</w:t>
                            </w:r>
                          </w:p>
                          <w:p w14:paraId="5DE9F6F2" w14:textId="77777777" w:rsidR="005D125E" w:rsidRDefault="005D125E" w:rsidP="005D125E"/>
                        </w:txbxContent>
                      </wps:txbx>
                      <wps:bodyPr rot="0" vert="horz" wrap="square" lIns="91440" tIns="45720" rIns="91440" bIns="45720" anchor="t" anchorCtr="0">
                        <a:spAutoFit/>
                      </wps:bodyPr>
                    </wps:wsp>
                  </a:graphicData>
                </a:graphic>
              </wp:inline>
            </w:drawing>
          </mc:Choice>
          <mc:Fallback>
            <w:pict>
              <v:shape w14:anchorId="2240AE9B" id="Text Box 2120330223" o:spid="_x0000_s1041" type="#_x0000_t202" alt="P6281TB14#y1" style="width:468pt;height:92.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" strokecolor="red">
                <v:textbox style="mso-fit-shape-to-text:t">
                  <w:txbxContent>
                    <w:p w14:paraId="4DFC4D3F" w14:textId="47959A26" w:rsidR="005D125E" w:rsidRPr="00E1700D" w:rsidRDefault="005D125E" w:rsidP="005D125E">
                      <w:pPr>
                        <w:spacing w:before="40"/>
                        <w:rPr>
                          <w:rFonts w:cs="Arial"/>
                          <w:i/>
                          <w:snapToGrid w:val="0"/>
                        </w:rPr>
                      </w:pPr>
                      <w:r w:rsidRPr="009A5185">
                        <w:rPr>
                          <w:rFonts w:cs="Arial"/>
                          <w:b/>
                          <w:snapToGrid w:val="0"/>
                        </w:rPr>
                        <w:t xml:space="preserve">Reporting Period: </w:t>
                      </w:r>
                      <w:r>
                        <w:rPr>
                          <w:rFonts w:cs="Arial"/>
                          <w:snapToGrid w:val="0"/>
                        </w:rPr>
                        <w:t>Answer questions #4-9 based on the practices currently in place at the time you submit this section of the Survey.</w:t>
                      </w:r>
                    </w:p>
                    <w:p w14:paraId="632C49DE" w14:textId="77777777" w:rsidR="005D125E" w:rsidRDefault="005D125E" w:rsidP="005D125E">
                      <w:pPr>
                        <w:rPr>
                          <w:rFonts w:cs="Arial"/>
                          <w:i/>
                          <w:snapToGrid w:val="0"/>
                        </w:rPr>
                      </w:pPr>
                    </w:p>
                    <w:p w14:paraId="351ABDA3" w14:textId="77777777" w:rsidR="005D125E" w:rsidRDefault="005D125E" w:rsidP="005D125E">
                      <w:r w:rsidRPr="001B3D66">
                        <w:rPr>
                          <w:rFonts w:cs="Arial"/>
                          <w:sz w:val="16"/>
                          <w:szCs w:val="16"/>
                        </w:rPr>
                        <w:t xml:space="preserve">Note: As a reminder, the </w:t>
                      </w:r>
                      <w:hyperlink r:id="rId252" w:history="1">
                        <w:r w:rsidRPr="001B3D66">
                          <w:rPr>
                            <w:rStyle w:val="Hyperlink"/>
                            <w:rFonts w:cs="Arial"/>
                            <w:sz w:val="16"/>
                            <w:szCs w:val="16"/>
                          </w:rPr>
                          <w:t>Corrections Period</w:t>
                        </w:r>
                      </w:hyperlink>
                      <w:r w:rsidRPr="001B3D66">
                        <w:rPr>
                          <w:rFonts w:cs="Arial"/>
                          <w:sz w:val="16"/>
                          <w:szCs w:val="16"/>
                        </w:rPr>
                        <w:t xml:space="preserve"> (</w:t>
                      </w:r>
                      <w:r>
                        <w:rPr>
                          <w:rFonts w:cs="Arial"/>
                          <w:sz w:val="16"/>
                          <w:szCs w:val="16"/>
                        </w:rPr>
                        <w:t>December</w:t>
                      </w:r>
                      <w:r w:rsidRPr="001B3D66">
                        <w:rPr>
                          <w:rFonts w:cs="Arial"/>
                          <w:sz w:val="16"/>
                          <w:szCs w:val="16"/>
                        </w:rPr>
                        <w:t xml:space="preserve"> 1-January 31) is reserved for corrections to previously submitted Surveys only. </w:t>
                      </w:r>
                      <w:r w:rsidRPr="001B3D66">
                        <w:rPr>
                          <w:rFonts w:cs="Arial"/>
                          <w:bCs/>
                          <w:snapToGrid w:val="0"/>
                          <w:sz w:val="16"/>
                          <w:szCs w:val="16"/>
                        </w:rPr>
                        <w:t xml:space="preserve">Any updates made to reflect a change in performance must be made prior to the </w:t>
                      </w:r>
                      <w:r>
                        <w:rPr>
                          <w:rFonts w:cs="Arial"/>
                          <w:bCs/>
                          <w:snapToGrid w:val="0"/>
                          <w:sz w:val="16"/>
                          <w:szCs w:val="16"/>
                        </w:rPr>
                        <w:t>November 30</w:t>
                      </w:r>
                      <w:r w:rsidRPr="001B3D66">
                        <w:rPr>
                          <w:rFonts w:cs="Arial"/>
                          <w:bCs/>
                          <w:snapToGrid w:val="0"/>
                          <w:sz w:val="16"/>
                          <w:szCs w:val="16"/>
                        </w:rPr>
                        <w:t xml:space="preserve"> Late Submission </w:t>
                      </w:r>
                      <w:r w:rsidRPr="00AE38C7">
                        <w:rPr>
                          <w:rFonts w:cs="Arial"/>
                          <w:bCs/>
                          <w:snapToGrid w:val="0"/>
                          <w:sz w:val="16"/>
                          <w:szCs w:val="16"/>
                        </w:rPr>
                        <w:t>and</w:t>
                      </w:r>
                      <w:r>
                        <w:rPr>
                          <w:rFonts w:cs="Arial"/>
                          <w:bCs/>
                          <w:snapToGrid w:val="0"/>
                          <w:sz w:val="16"/>
                          <w:szCs w:val="16"/>
                        </w:rPr>
                        <w:t xml:space="preserve"> </w:t>
                      </w:r>
                      <w:r w:rsidRPr="00AE38C7">
                        <w:rPr>
                          <w:rFonts w:cs="Arial"/>
                          <w:bCs/>
                          <w:snapToGrid w:val="0"/>
                          <w:sz w:val="16"/>
                          <w:szCs w:val="16"/>
                        </w:rPr>
                        <w:t>Performance Update</w:t>
                      </w:r>
                      <w:r>
                        <w:rPr>
                          <w:rFonts w:cs="Arial"/>
                          <w:bCs/>
                          <w:snapToGrid w:val="0"/>
                          <w:sz w:val="16"/>
                          <w:szCs w:val="16"/>
                        </w:rPr>
                        <w:t xml:space="preserve"> </w:t>
                      </w:r>
                      <w:r w:rsidRPr="001B3D66">
                        <w:rPr>
                          <w:rFonts w:cs="Arial"/>
                          <w:bCs/>
                          <w:snapToGrid w:val="0"/>
                          <w:sz w:val="16"/>
                          <w:szCs w:val="16"/>
                        </w:rPr>
                        <w:t xml:space="preserve">Deadline. Updates made to reflect a change in performance after </w:t>
                      </w:r>
                      <w:r>
                        <w:rPr>
                          <w:rFonts w:cs="Arial"/>
                          <w:bCs/>
                          <w:snapToGrid w:val="0"/>
                          <w:sz w:val="16"/>
                          <w:szCs w:val="16"/>
                        </w:rPr>
                        <w:t>November 30</w:t>
                      </w:r>
                      <w:r w:rsidRPr="001B3D66">
                        <w:rPr>
                          <w:rFonts w:cs="Arial"/>
                          <w:bCs/>
                          <w:snapToGrid w:val="0"/>
                          <w:sz w:val="16"/>
                          <w:szCs w:val="16"/>
                        </w:rPr>
                        <w:t xml:space="preserve"> will not be scored or publicly reported.</w:t>
                      </w:r>
                    </w:p>
                    <w:p w14:paraId="5DE9F6F2" w14:textId="77777777" w:rsidR="005D125E" w:rsidRDefault="005D125E" w:rsidP="005D125E"/>
                  </w:txbxContent>
                </v:textbox>
                <w10:anchorlock/>
              </v:shape>
            </w:pict>
          </mc:Fallback>
        </mc:AlternateContent>
      </w:r>
    </w:p>
    <w:p w14:paraId="1A78DD02" w14:textId="77777777" w:rsidR="00447686" w:rsidRDefault="00447686" w:rsidP="00516D49">
      <w:pPr>
        <w:rPr>
          <w:lang w:eastAsia="ja-JP"/>
        </w:rPr>
      </w:pPr>
    </w:p>
    <w:tbl>
      <w:tblPr>
        <w:tblW w:w="954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38"/>
        <w:gridCol w:w="2909"/>
      </w:tblGrid>
      <w:tr w:rsidR="00516D49" w:rsidRPr="009A5185" w14:paraId="009A39FB" w14:textId="77777777" w:rsidTr="00386CFB">
        <w:trPr>
          <w:trHeight w:val="720"/>
        </w:trPr>
        <w:tc>
          <w:tcPr>
            <w:tcW w:w="6638" w:type="dxa"/>
            <w:vAlign w:val="center"/>
          </w:tcPr>
          <w:p w14:paraId="7A2D7679" w14:textId="2BBFA8B3" w:rsidR="00516D49" w:rsidRPr="009A5185" w:rsidRDefault="00516D49" w:rsidP="00AD309C">
            <w:pPr>
              <w:pStyle w:val="ListParagraph"/>
              <w:numPr>
                <w:ilvl w:val="0"/>
                <w:numId w:val="64"/>
              </w:numPr>
              <w:rPr>
                <w:rFonts w:cs="Arial"/>
                <w:snapToGrid w:val="0"/>
                <w:color w:val="000000"/>
              </w:rPr>
            </w:pPr>
            <w:r w:rsidRPr="000C561A">
              <w:rPr>
                <w:rFonts w:cs="Arial"/>
                <w:snapToGrid w:val="0"/>
                <w:color w:val="000000"/>
              </w:rPr>
              <w:t xml:space="preserve">Do certified nurse-midwives and/or certified midwives </w:t>
            </w:r>
            <w:r w:rsidR="008B7609">
              <w:rPr>
                <w:rFonts w:cs="Arial"/>
                <w:snapToGrid w:val="0"/>
                <w:color w:val="000000"/>
              </w:rPr>
              <w:t>offer care for labor and delivery at your hospital</w:t>
            </w:r>
            <w:r w:rsidRPr="000C561A">
              <w:rPr>
                <w:rFonts w:cs="Arial"/>
                <w:snapToGrid w:val="0"/>
                <w:color w:val="000000"/>
              </w:rPr>
              <w:t>?</w:t>
            </w:r>
          </w:p>
        </w:tc>
        <w:tc>
          <w:tcPr>
            <w:tcW w:w="2909" w:type="dxa"/>
            <w:vAlign w:val="center"/>
          </w:tcPr>
          <w:p w14:paraId="3D26F931" w14:textId="77777777" w:rsidR="00516D49" w:rsidRPr="00A31567" w:rsidRDefault="00516D49" w:rsidP="00AD309C">
            <w:pPr>
              <w:pStyle w:val="ListParagraph"/>
              <w:numPr>
                <w:ilvl w:val="0"/>
                <w:numId w:val="284"/>
              </w:numPr>
              <w:rPr>
                <w:rFonts w:cs="Arial"/>
                <w:iCs/>
              </w:rPr>
            </w:pPr>
            <w:r w:rsidRPr="00A31567">
              <w:rPr>
                <w:rFonts w:cs="Arial"/>
                <w:iCs/>
              </w:rPr>
              <w:t>Yes</w:t>
            </w:r>
          </w:p>
          <w:p w14:paraId="1B32A2BF" w14:textId="77777777" w:rsidR="00516D49" w:rsidRPr="00A31567" w:rsidRDefault="00516D49" w:rsidP="00AD309C">
            <w:pPr>
              <w:pStyle w:val="ListParagraph"/>
              <w:numPr>
                <w:ilvl w:val="0"/>
                <w:numId w:val="284"/>
              </w:numPr>
              <w:rPr>
                <w:rFonts w:cs="Arial"/>
                <w:iCs/>
              </w:rPr>
            </w:pPr>
            <w:r w:rsidRPr="00A31567">
              <w:rPr>
                <w:rFonts w:cs="Arial"/>
                <w:iCs/>
              </w:rPr>
              <w:t>No</w:t>
            </w:r>
          </w:p>
        </w:tc>
      </w:tr>
      <w:tr w:rsidR="00516D49" w:rsidRPr="009A5185" w14:paraId="13CBBB47" w14:textId="77777777" w:rsidTr="00386CFB">
        <w:trPr>
          <w:trHeight w:val="1584"/>
        </w:trPr>
        <w:tc>
          <w:tcPr>
            <w:tcW w:w="6638" w:type="dxa"/>
            <w:vAlign w:val="center"/>
          </w:tcPr>
          <w:p w14:paraId="37AEF553" w14:textId="72B7B277" w:rsidR="00516D49" w:rsidRDefault="00516D49" w:rsidP="00AD309C">
            <w:pPr>
              <w:pStyle w:val="ListParagraph"/>
              <w:numPr>
                <w:ilvl w:val="0"/>
                <w:numId w:val="64"/>
              </w:numPr>
              <w:rPr>
                <w:rFonts w:cs="Arial"/>
                <w:snapToGrid w:val="0"/>
              </w:rPr>
            </w:pPr>
            <w:r>
              <w:rPr>
                <w:rFonts w:cs="Arial"/>
                <w:snapToGrid w:val="0"/>
              </w:rPr>
              <w:t>Do doulas</w:t>
            </w:r>
            <w:r w:rsidR="008B7609">
              <w:rPr>
                <w:rFonts w:cs="Arial"/>
                <w:snapToGrid w:val="0"/>
              </w:rPr>
              <w:t xml:space="preserve"> offer care</w:t>
            </w:r>
            <w:r>
              <w:rPr>
                <w:rFonts w:cs="Arial"/>
                <w:snapToGrid w:val="0"/>
              </w:rPr>
              <w:t xml:space="preserve"> for labor and delivery</w:t>
            </w:r>
            <w:r w:rsidR="008B7609">
              <w:rPr>
                <w:rFonts w:cs="Arial"/>
                <w:snapToGrid w:val="0"/>
              </w:rPr>
              <w:t xml:space="preserve"> at your hospital</w:t>
            </w:r>
            <w:r>
              <w:rPr>
                <w:rFonts w:cs="Arial"/>
                <w:snapToGrid w:val="0"/>
              </w:rPr>
              <w:t>?</w:t>
            </w:r>
          </w:p>
          <w:p w14:paraId="4E065243" w14:textId="77777777" w:rsidR="00516D49" w:rsidRDefault="00516D49">
            <w:pPr>
              <w:rPr>
                <w:rFonts w:cs="Arial"/>
                <w:snapToGrid w:val="0"/>
              </w:rPr>
            </w:pPr>
          </w:p>
          <w:p w14:paraId="638EA2DD" w14:textId="77777777" w:rsidR="00516D49" w:rsidRPr="000C561A" w:rsidRDefault="00516D49">
            <w:pPr>
              <w:pStyle w:val="ListParagraph"/>
              <w:ind w:left="360"/>
              <w:rPr>
                <w:rFonts w:cs="Arial"/>
                <w:snapToGrid w:val="0"/>
                <w:color w:val="000000"/>
              </w:rPr>
            </w:pPr>
            <w:r>
              <w:rPr>
                <w:rFonts w:cs="Arial"/>
                <w:i/>
                <w:iCs/>
                <w:snapToGrid w:val="0"/>
              </w:rPr>
              <w:t>Select all that apply.</w:t>
            </w:r>
          </w:p>
        </w:tc>
        <w:tc>
          <w:tcPr>
            <w:tcW w:w="2909" w:type="dxa"/>
            <w:vAlign w:val="center"/>
          </w:tcPr>
          <w:p w14:paraId="720ADFE9" w14:textId="6C42FEB8" w:rsidR="00516D49" w:rsidRPr="00764EEA" w:rsidRDefault="00516D49" w:rsidP="00AD309C">
            <w:pPr>
              <w:pStyle w:val="ListParagraph"/>
              <w:numPr>
                <w:ilvl w:val="0"/>
                <w:numId w:val="181"/>
              </w:numPr>
              <w:rPr>
                <w:rFonts w:cs="Arial"/>
                <w:snapToGrid w:val="0"/>
              </w:rPr>
            </w:pPr>
            <w:r w:rsidRPr="00764EEA">
              <w:rPr>
                <w:rFonts w:cs="Arial"/>
                <w:snapToGrid w:val="0"/>
              </w:rPr>
              <w:t xml:space="preserve">Yes, </w:t>
            </w:r>
            <w:r w:rsidR="006767F1">
              <w:rPr>
                <w:rFonts w:cs="Arial"/>
                <w:snapToGrid w:val="0"/>
              </w:rPr>
              <w:t xml:space="preserve">the </w:t>
            </w:r>
            <w:r w:rsidRPr="00764EEA">
              <w:rPr>
                <w:rFonts w:cs="Arial"/>
                <w:snapToGrid w:val="0"/>
              </w:rPr>
              <w:t>hospital employs</w:t>
            </w:r>
            <w:r w:rsidR="000E0A5D">
              <w:rPr>
                <w:rFonts w:cs="Arial"/>
                <w:snapToGrid w:val="0"/>
              </w:rPr>
              <w:t xml:space="preserve"> or contracts with</w:t>
            </w:r>
            <w:r w:rsidRPr="00764EEA">
              <w:rPr>
                <w:rFonts w:cs="Arial"/>
                <w:snapToGrid w:val="0"/>
              </w:rPr>
              <w:t xml:space="preserve"> doulas</w:t>
            </w:r>
          </w:p>
          <w:p w14:paraId="263CCF81" w14:textId="2A86ED31" w:rsidR="00516D49" w:rsidRPr="00764EEA" w:rsidRDefault="00516D49" w:rsidP="00AD309C">
            <w:pPr>
              <w:pStyle w:val="ListParagraph"/>
              <w:numPr>
                <w:ilvl w:val="0"/>
                <w:numId w:val="181"/>
              </w:numPr>
              <w:rPr>
                <w:rFonts w:cs="Arial"/>
                <w:snapToGrid w:val="0"/>
              </w:rPr>
            </w:pPr>
            <w:r w:rsidRPr="00764EEA">
              <w:rPr>
                <w:rFonts w:cs="Arial"/>
                <w:snapToGrid w:val="0"/>
              </w:rPr>
              <w:t xml:space="preserve">Yes, patients </w:t>
            </w:r>
            <w:r w:rsidR="00A27228">
              <w:rPr>
                <w:rFonts w:cs="Arial"/>
                <w:snapToGrid w:val="0"/>
              </w:rPr>
              <w:t xml:space="preserve">can </w:t>
            </w:r>
            <w:r w:rsidRPr="00764EEA">
              <w:rPr>
                <w:rFonts w:cs="Arial"/>
                <w:snapToGrid w:val="0"/>
              </w:rPr>
              <w:t>bring their own doulas</w:t>
            </w:r>
          </w:p>
          <w:p w14:paraId="05F14409" w14:textId="77777777" w:rsidR="00516D49" w:rsidRPr="00764EEA" w:rsidRDefault="00516D49" w:rsidP="00AD309C">
            <w:pPr>
              <w:pStyle w:val="ListParagraph"/>
              <w:numPr>
                <w:ilvl w:val="0"/>
                <w:numId w:val="181"/>
              </w:numPr>
              <w:rPr>
                <w:rFonts w:cs="Arial"/>
                <w:snapToGrid w:val="0"/>
              </w:rPr>
            </w:pPr>
            <w:r w:rsidRPr="00764EEA">
              <w:rPr>
                <w:rFonts w:cs="Arial"/>
                <w:snapToGrid w:val="0"/>
              </w:rPr>
              <w:t xml:space="preserve">No </w:t>
            </w:r>
          </w:p>
        </w:tc>
      </w:tr>
      <w:tr w:rsidR="00516D49" w:rsidRPr="009A5185" w14:paraId="7CB99D4D" w14:textId="77777777" w:rsidTr="00527E7B">
        <w:trPr>
          <w:trHeight w:val="2978"/>
        </w:trPr>
        <w:tc>
          <w:tcPr>
            <w:tcW w:w="6638" w:type="dxa"/>
            <w:vAlign w:val="center"/>
          </w:tcPr>
          <w:p w14:paraId="09DC5A81" w14:textId="584D41F1" w:rsidR="00516D49" w:rsidRPr="000C561A" w:rsidRDefault="00510B22" w:rsidP="00AD309C">
            <w:pPr>
              <w:pStyle w:val="ListParagraph"/>
              <w:numPr>
                <w:ilvl w:val="0"/>
                <w:numId w:val="64"/>
              </w:numPr>
              <w:rPr>
                <w:rFonts w:cs="Arial"/>
                <w:snapToGrid w:val="0"/>
              </w:rPr>
            </w:pPr>
            <w:r>
              <w:rPr>
                <w:rFonts w:cs="Arial"/>
                <w:snapToGrid w:val="0"/>
              </w:rPr>
              <w:t>What</w:t>
            </w:r>
            <w:r w:rsidR="00516D49" w:rsidRPr="000C561A">
              <w:rPr>
                <w:rFonts w:cs="Arial"/>
                <w:snapToGrid w:val="0"/>
              </w:rPr>
              <w:t xml:space="preserve"> breastfeeding/lactation</w:t>
            </w:r>
            <w:r w:rsidR="00A27228">
              <w:rPr>
                <w:rFonts w:cs="Arial"/>
                <w:snapToGrid w:val="0"/>
              </w:rPr>
              <w:t xml:space="preserve"> support</w:t>
            </w:r>
            <w:r w:rsidR="00516D49" w:rsidRPr="000C561A">
              <w:rPr>
                <w:rFonts w:cs="Arial"/>
                <w:snapToGrid w:val="0"/>
              </w:rPr>
              <w:t xml:space="preserve"> </w:t>
            </w:r>
            <w:r w:rsidR="00A27228" w:rsidRPr="00A27228">
              <w:rPr>
                <w:rFonts w:cs="Arial"/>
                <w:snapToGrid w:val="0"/>
              </w:rPr>
              <w:t xml:space="preserve">is provided in your hospital </w:t>
            </w:r>
            <w:r w:rsidR="00681066">
              <w:rPr>
                <w:rFonts w:cs="Arial"/>
                <w:snapToGrid w:val="0"/>
              </w:rPr>
              <w:t xml:space="preserve">after delivery and prior to hospital </w:t>
            </w:r>
            <w:r w:rsidR="00A27228" w:rsidRPr="00A27228">
              <w:rPr>
                <w:rFonts w:cs="Arial"/>
                <w:snapToGrid w:val="0"/>
              </w:rPr>
              <w:t>discharge</w:t>
            </w:r>
            <w:r w:rsidR="00516D49" w:rsidRPr="000C561A">
              <w:rPr>
                <w:rFonts w:cs="Arial"/>
                <w:snapToGrid w:val="0"/>
              </w:rPr>
              <w:t>?</w:t>
            </w:r>
          </w:p>
          <w:p w14:paraId="6588B3D1" w14:textId="77777777" w:rsidR="00516D49" w:rsidRPr="000C561A" w:rsidRDefault="00516D49">
            <w:pPr>
              <w:rPr>
                <w:rFonts w:cs="Arial"/>
                <w:snapToGrid w:val="0"/>
              </w:rPr>
            </w:pPr>
          </w:p>
          <w:p w14:paraId="3FBC19B2" w14:textId="4C024E00" w:rsidR="00516D49" w:rsidRPr="004240B4" w:rsidRDefault="00516D49" w:rsidP="004240B4">
            <w:pPr>
              <w:pStyle w:val="ListParagraph"/>
              <w:ind w:left="360"/>
              <w:rPr>
                <w:rFonts w:cs="Arial"/>
                <w:i/>
                <w:iCs/>
                <w:snapToGrid w:val="0"/>
              </w:rPr>
            </w:pPr>
            <w:r w:rsidRPr="001E2A00">
              <w:rPr>
                <w:rFonts w:cs="Arial"/>
                <w:i/>
                <w:iCs/>
                <w:snapToGrid w:val="0"/>
              </w:rPr>
              <w:t>Select all that apply.</w:t>
            </w:r>
          </w:p>
        </w:tc>
        <w:tc>
          <w:tcPr>
            <w:tcW w:w="2909" w:type="dxa"/>
            <w:vAlign w:val="center"/>
          </w:tcPr>
          <w:p w14:paraId="3D70BE98" w14:textId="02833EAF" w:rsidR="00A05251" w:rsidRPr="00BB5D75" w:rsidRDefault="00A05251" w:rsidP="00A05251">
            <w:pPr>
              <w:pStyle w:val="ListParagraph"/>
              <w:numPr>
                <w:ilvl w:val="0"/>
                <w:numId w:val="181"/>
              </w:numPr>
              <w:rPr>
                <w:rFonts w:cs="Arial"/>
                <w:snapToGrid w:val="0"/>
              </w:rPr>
            </w:pPr>
            <w:r w:rsidRPr="00BB5D75">
              <w:rPr>
                <w:rFonts w:cs="Arial"/>
                <w:snapToGrid w:val="0"/>
              </w:rPr>
              <w:t>Clinical lactation care, education, and support provided by an International Board Certified Lactation Consultant® (IBCLC®)</w:t>
            </w:r>
          </w:p>
          <w:p w14:paraId="294CB2D3" w14:textId="77777777" w:rsidR="00A05251" w:rsidRPr="00BB5D75" w:rsidRDefault="00A05251" w:rsidP="00A05251">
            <w:pPr>
              <w:pStyle w:val="ListParagraph"/>
              <w:numPr>
                <w:ilvl w:val="0"/>
                <w:numId w:val="181"/>
              </w:numPr>
              <w:rPr>
                <w:rFonts w:cs="Arial"/>
                <w:snapToGrid w:val="0"/>
              </w:rPr>
            </w:pPr>
            <w:r w:rsidRPr="00BB5D75">
              <w:rPr>
                <w:rFonts w:cs="Arial"/>
                <w:snapToGrid w:val="0"/>
              </w:rPr>
              <w:t>Education and counseling provided by other lactation consultants, counselors, educators, and/or specialists</w:t>
            </w:r>
          </w:p>
          <w:p w14:paraId="69299EAF" w14:textId="372AF3C8" w:rsidR="00516D49" w:rsidRPr="00764EEA" w:rsidRDefault="00A05251" w:rsidP="00AD309C">
            <w:pPr>
              <w:pStyle w:val="ListParagraph"/>
              <w:numPr>
                <w:ilvl w:val="0"/>
                <w:numId w:val="181"/>
              </w:numPr>
              <w:rPr>
                <w:rFonts w:cs="Arial"/>
                <w:snapToGrid w:val="0"/>
              </w:rPr>
            </w:pPr>
            <w:r w:rsidRPr="00BB5D75">
              <w:rPr>
                <w:rFonts w:cs="Arial"/>
                <w:snapToGrid w:val="0"/>
              </w:rPr>
              <w:t>None of the above</w:t>
            </w:r>
          </w:p>
        </w:tc>
      </w:tr>
      <w:tr w:rsidR="00516D49" w:rsidRPr="009A5185" w14:paraId="702C50F1" w14:textId="77777777" w:rsidTr="00527E7B">
        <w:trPr>
          <w:trHeight w:val="1619"/>
        </w:trPr>
        <w:tc>
          <w:tcPr>
            <w:tcW w:w="6638" w:type="dxa"/>
            <w:vAlign w:val="center"/>
          </w:tcPr>
          <w:p w14:paraId="72489F5D" w14:textId="4D641493" w:rsidR="00184F0D" w:rsidRDefault="00184F0D" w:rsidP="00184F0D">
            <w:pPr>
              <w:pStyle w:val="ListParagraph"/>
              <w:numPr>
                <w:ilvl w:val="0"/>
                <w:numId w:val="64"/>
              </w:numPr>
              <w:rPr>
                <w:rFonts w:cs="Arial"/>
                <w:snapToGrid w:val="0"/>
              </w:rPr>
            </w:pPr>
            <w:r w:rsidRPr="009D4FF0">
              <w:rPr>
                <w:rFonts w:cs="Arial"/>
                <w:snapToGrid w:val="0"/>
              </w:rPr>
              <w:t xml:space="preserve">Which of the following does your hospital offer patients </w:t>
            </w:r>
            <w:r w:rsidR="00681066">
              <w:rPr>
                <w:rFonts w:cs="Arial"/>
                <w:snapToGrid w:val="0"/>
              </w:rPr>
              <w:t xml:space="preserve">after delivery and prior to hospital </w:t>
            </w:r>
            <w:r w:rsidRPr="009D4FF0">
              <w:rPr>
                <w:rFonts w:cs="Arial"/>
                <w:snapToGrid w:val="0"/>
              </w:rPr>
              <w:t>discharge?</w:t>
            </w:r>
          </w:p>
          <w:p w14:paraId="3464900A" w14:textId="77777777" w:rsidR="00184F0D" w:rsidRDefault="00184F0D" w:rsidP="00184F0D">
            <w:pPr>
              <w:rPr>
                <w:rFonts w:cs="Arial"/>
                <w:snapToGrid w:val="0"/>
              </w:rPr>
            </w:pPr>
          </w:p>
          <w:p w14:paraId="119C9AB2" w14:textId="2098D1F8" w:rsidR="00516D49" w:rsidRDefault="00184F0D" w:rsidP="00184F0D">
            <w:pPr>
              <w:pStyle w:val="ListParagraph"/>
              <w:ind w:left="360"/>
              <w:rPr>
                <w:rFonts w:cs="Arial"/>
                <w:i/>
                <w:iCs/>
                <w:snapToGrid w:val="0"/>
              </w:rPr>
            </w:pPr>
            <w:r w:rsidRPr="001E2A00">
              <w:rPr>
                <w:rFonts w:cs="Arial"/>
                <w:i/>
                <w:iCs/>
                <w:snapToGrid w:val="0"/>
              </w:rPr>
              <w:t>Select all that apply</w:t>
            </w:r>
            <w:r w:rsidR="002B7F50">
              <w:rPr>
                <w:rFonts w:cs="Arial"/>
                <w:i/>
                <w:iCs/>
                <w:snapToGrid w:val="0"/>
              </w:rPr>
              <w:t>.</w:t>
            </w:r>
          </w:p>
          <w:p w14:paraId="743E721A" w14:textId="6AEEFBE6" w:rsidR="00184F0D" w:rsidRDefault="00184F0D" w:rsidP="00184F0D">
            <w:pPr>
              <w:pStyle w:val="ListParagraph"/>
              <w:ind w:left="360"/>
              <w:rPr>
                <w:rFonts w:cs="Arial"/>
                <w:snapToGrid w:val="0"/>
              </w:rPr>
            </w:pPr>
          </w:p>
        </w:tc>
        <w:tc>
          <w:tcPr>
            <w:tcW w:w="2909" w:type="dxa"/>
            <w:vAlign w:val="center"/>
          </w:tcPr>
          <w:p w14:paraId="1CF82B2C" w14:textId="77777777" w:rsidR="00D04AF8" w:rsidRDefault="00D04AF8" w:rsidP="006757E8">
            <w:pPr>
              <w:pStyle w:val="ListParagraph"/>
              <w:numPr>
                <w:ilvl w:val="0"/>
                <w:numId w:val="181"/>
              </w:numPr>
              <w:rPr>
                <w:rFonts w:cs="Arial"/>
                <w:snapToGrid w:val="0"/>
              </w:rPr>
            </w:pPr>
            <w:r w:rsidRPr="008E5F07">
              <w:rPr>
                <w:rFonts w:cs="Arial"/>
                <w:snapToGrid w:val="0"/>
              </w:rPr>
              <w:t>Tubal ligation</w:t>
            </w:r>
          </w:p>
          <w:p w14:paraId="779CEAD5" w14:textId="77777777" w:rsidR="00D04AF8" w:rsidRDefault="00D04AF8" w:rsidP="006757E8">
            <w:pPr>
              <w:pStyle w:val="ListParagraph"/>
              <w:numPr>
                <w:ilvl w:val="0"/>
                <w:numId w:val="181"/>
              </w:numPr>
              <w:rPr>
                <w:rFonts w:cs="Arial"/>
                <w:snapToGrid w:val="0"/>
              </w:rPr>
            </w:pPr>
            <w:r w:rsidRPr="000A4317">
              <w:rPr>
                <w:rFonts w:cs="Arial"/>
                <w:snapToGrid w:val="0"/>
              </w:rPr>
              <w:t>Bilateral salpingectomy</w:t>
            </w:r>
          </w:p>
          <w:p w14:paraId="584BF17F" w14:textId="07E82F37" w:rsidR="00776571" w:rsidRDefault="00D04AF8" w:rsidP="00D92EB3">
            <w:pPr>
              <w:pStyle w:val="ListParagraph"/>
              <w:numPr>
                <w:ilvl w:val="0"/>
                <w:numId w:val="181"/>
              </w:numPr>
              <w:rPr>
                <w:rFonts w:cs="Arial"/>
                <w:snapToGrid w:val="0"/>
              </w:rPr>
            </w:pPr>
            <w:r w:rsidRPr="000A4317">
              <w:rPr>
                <w:rFonts w:cs="Arial"/>
                <w:snapToGrid w:val="0"/>
              </w:rPr>
              <w:t>Long-acting reversible</w:t>
            </w:r>
            <w:r>
              <w:rPr>
                <w:rFonts w:cs="Arial"/>
                <w:snapToGrid w:val="0"/>
              </w:rPr>
              <w:t xml:space="preserve"> </w:t>
            </w:r>
            <w:r w:rsidRPr="000A4317">
              <w:rPr>
                <w:rFonts w:cs="Arial"/>
                <w:snapToGrid w:val="0"/>
              </w:rPr>
              <w:t>contraception (LARC)</w:t>
            </w:r>
            <w:r>
              <w:rPr>
                <w:rFonts w:cs="Arial"/>
                <w:snapToGrid w:val="0"/>
              </w:rPr>
              <w:t xml:space="preserve"> </w:t>
            </w:r>
            <w:r w:rsidRPr="000A4317">
              <w:rPr>
                <w:rFonts w:cs="Arial"/>
                <w:snapToGrid w:val="0"/>
              </w:rPr>
              <w:t>(e.g., IUDs</w:t>
            </w:r>
            <w:r>
              <w:rPr>
                <w:rFonts w:cs="Arial"/>
                <w:snapToGrid w:val="0"/>
              </w:rPr>
              <w:t>)</w:t>
            </w:r>
          </w:p>
          <w:p w14:paraId="5C818731" w14:textId="396D784A" w:rsidR="00516D49" w:rsidRPr="00D92EB3" w:rsidRDefault="00776571" w:rsidP="00D92EB3">
            <w:pPr>
              <w:pStyle w:val="ListParagraph"/>
              <w:numPr>
                <w:ilvl w:val="0"/>
                <w:numId w:val="181"/>
              </w:numPr>
              <w:rPr>
                <w:rFonts w:cs="Arial"/>
                <w:snapToGrid w:val="0"/>
              </w:rPr>
            </w:pPr>
            <w:r>
              <w:rPr>
                <w:rFonts w:cs="Arial"/>
                <w:snapToGrid w:val="0"/>
              </w:rPr>
              <w:t>None of the above</w:t>
            </w:r>
          </w:p>
        </w:tc>
      </w:tr>
      <w:tr w:rsidR="006D1C5C" w:rsidRPr="009A5185" w14:paraId="4C5EB343" w14:textId="77777777" w:rsidTr="00FD6EC0">
        <w:trPr>
          <w:trHeight w:val="800"/>
        </w:trPr>
        <w:tc>
          <w:tcPr>
            <w:tcW w:w="6638" w:type="dxa"/>
            <w:vAlign w:val="center"/>
          </w:tcPr>
          <w:p w14:paraId="6958C509" w14:textId="7A45FBA0" w:rsidR="006D1C5C" w:rsidRDefault="006D1C5C" w:rsidP="00AD309C">
            <w:pPr>
              <w:pStyle w:val="ListParagraph"/>
              <w:numPr>
                <w:ilvl w:val="0"/>
                <w:numId w:val="64"/>
              </w:numPr>
              <w:rPr>
                <w:rFonts w:cs="Arial"/>
                <w:snapToGrid w:val="0"/>
              </w:rPr>
            </w:pPr>
            <w:bookmarkStart w:id="297" w:name="_Hlk158212025"/>
            <w:r>
              <w:rPr>
                <w:rFonts w:cs="Arial"/>
                <w:snapToGrid w:val="0"/>
              </w:rPr>
              <w:t xml:space="preserve">Has your hospital adopted a policy that prevents </w:t>
            </w:r>
            <w:r w:rsidR="00BB5410" w:rsidRPr="00BB5410">
              <w:rPr>
                <w:rFonts w:cs="Arial"/>
                <w:snapToGrid w:val="0"/>
              </w:rPr>
              <w:t xml:space="preserve">nonmedically indicated </w:t>
            </w:r>
            <w:r>
              <w:rPr>
                <w:rFonts w:cs="Arial"/>
                <w:snapToGrid w:val="0"/>
              </w:rPr>
              <w:t>early elective deliveries (before 39 completed weeks gestation) that includes all the following:</w:t>
            </w:r>
          </w:p>
          <w:bookmarkEnd w:id="297"/>
          <w:p w14:paraId="0D8BDCEA" w14:textId="0574A014" w:rsidR="006D1C5C" w:rsidRPr="00405E45" w:rsidRDefault="006D1C5C" w:rsidP="00AD309C">
            <w:pPr>
              <w:pStyle w:val="ListParagraph"/>
              <w:numPr>
                <w:ilvl w:val="0"/>
                <w:numId w:val="386"/>
              </w:numPr>
              <w:rPr>
                <w:rFonts w:cs="Arial"/>
                <w:snapToGrid w:val="0"/>
              </w:rPr>
            </w:pPr>
            <w:r>
              <w:rPr>
                <w:rFonts w:cs="Arial"/>
                <w:snapToGrid w:val="0"/>
              </w:rPr>
              <w:t>W</w:t>
            </w:r>
            <w:r w:rsidRPr="00405E45">
              <w:rPr>
                <w:rFonts w:cs="Arial"/>
                <w:snapToGrid w:val="0"/>
              </w:rPr>
              <w:t xml:space="preserve">ritten </w:t>
            </w:r>
            <w:r>
              <w:rPr>
                <w:rFonts w:cs="Arial"/>
                <w:snapToGrid w:val="0"/>
              </w:rPr>
              <w:t>standards</w:t>
            </w:r>
            <w:r w:rsidRPr="00405E45">
              <w:rPr>
                <w:rFonts w:cs="Arial"/>
                <w:snapToGrid w:val="0"/>
              </w:rPr>
              <w:t xml:space="preserve"> for when an early elective delivery is</w:t>
            </w:r>
            <w:r>
              <w:rPr>
                <w:rFonts w:cs="Arial"/>
                <w:snapToGrid w:val="0"/>
              </w:rPr>
              <w:t>,</w:t>
            </w:r>
            <w:r w:rsidRPr="00405E45">
              <w:rPr>
                <w:rFonts w:cs="Arial"/>
                <w:snapToGrid w:val="0"/>
              </w:rPr>
              <w:t xml:space="preserve"> and is not</w:t>
            </w:r>
            <w:r>
              <w:rPr>
                <w:rFonts w:cs="Arial"/>
                <w:snapToGrid w:val="0"/>
              </w:rPr>
              <w:t>,</w:t>
            </w:r>
            <w:r w:rsidRPr="00405E45">
              <w:rPr>
                <w:rFonts w:cs="Arial"/>
                <w:snapToGrid w:val="0"/>
              </w:rPr>
              <w:t xml:space="preserve"> appropriate based on ACOG and national guidelines (i.e., The Joint Commission)</w:t>
            </w:r>
            <w:r w:rsidR="004147B2">
              <w:rPr>
                <w:rFonts w:cs="Arial"/>
                <w:snapToGrid w:val="0"/>
              </w:rPr>
              <w:t>,</w:t>
            </w:r>
          </w:p>
          <w:p w14:paraId="49A6AD09" w14:textId="088742DA" w:rsidR="006D1C5C" w:rsidRDefault="006D1C5C" w:rsidP="00AD309C">
            <w:pPr>
              <w:pStyle w:val="ListParagraph"/>
              <w:numPr>
                <w:ilvl w:val="0"/>
                <w:numId w:val="386"/>
              </w:numPr>
              <w:rPr>
                <w:rFonts w:cs="Arial"/>
                <w:snapToGrid w:val="0"/>
              </w:rPr>
            </w:pPr>
            <w:r>
              <w:rPr>
                <w:rFonts w:cs="Arial"/>
                <w:snapToGrid w:val="0"/>
              </w:rPr>
              <w:t>W</w:t>
            </w:r>
            <w:r w:rsidRPr="00405E45">
              <w:rPr>
                <w:rFonts w:cs="Arial"/>
                <w:snapToGrid w:val="0"/>
              </w:rPr>
              <w:t>ritten protocol</w:t>
            </w:r>
            <w:r>
              <w:rPr>
                <w:rFonts w:cs="Arial"/>
                <w:snapToGrid w:val="0"/>
              </w:rPr>
              <w:t>s</w:t>
            </w:r>
            <w:r w:rsidRPr="00405E45">
              <w:rPr>
                <w:rFonts w:cs="Arial"/>
                <w:snapToGrid w:val="0"/>
              </w:rPr>
              <w:t xml:space="preserve"> for the medical director</w:t>
            </w:r>
            <w:r>
              <w:rPr>
                <w:rFonts w:cs="Arial"/>
                <w:snapToGrid w:val="0"/>
              </w:rPr>
              <w:t>,</w:t>
            </w:r>
            <w:r w:rsidRPr="00405E45">
              <w:rPr>
                <w:rFonts w:cs="Arial"/>
                <w:snapToGrid w:val="0"/>
              </w:rPr>
              <w:t xml:space="preserve"> or other designated </w:t>
            </w:r>
            <w:r w:rsidR="00B61EE6">
              <w:rPr>
                <w:rFonts w:cs="Arial"/>
                <w:snapToGrid w:val="0"/>
              </w:rPr>
              <w:t>physician</w:t>
            </w:r>
            <w:r>
              <w:rPr>
                <w:rFonts w:cs="Arial"/>
                <w:snapToGrid w:val="0"/>
              </w:rPr>
              <w:t>,</w:t>
            </w:r>
            <w:r w:rsidRPr="00405E45">
              <w:rPr>
                <w:rFonts w:cs="Arial"/>
                <w:snapToGrid w:val="0"/>
              </w:rPr>
              <w:t xml:space="preserve"> to review and approve an early elective delivery when medically indicated based on ACOG and national guidelines</w:t>
            </w:r>
            <w:r w:rsidR="00C2252A">
              <w:rPr>
                <w:rFonts w:cs="Arial"/>
                <w:snapToGrid w:val="0"/>
              </w:rPr>
              <w:t>,</w:t>
            </w:r>
            <w:r>
              <w:rPr>
                <w:rFonts w:cs="Arial"/>
                <w:snapToGrid w:val="0"/>
              </w:rPr>
              <w:t xml:space="preserve"> and</w:t>
            </w:r>
          </w:p>
          <w:p w14:paraId="385996E6" w14:textId="62447DF7" w:rsidR="006D1C5C" w:rsidRPr="006C7DF5" w:rsidRDefault="006D1C5C" w:rsidP="00AD309C">
            <w:pPr>
              <w:pStyle w:val="ListParagraph"/>
              <w:numPr>
                <w:ilvl w:val="0"/>
                <w:numId w:val="386"/>
              </w:numPr>
              <w:rPr>
                <w:rFonts w:cs="Arial"/>
                <w:snapToGrid w:val="0"/>
              </w:rPr>
            </w:pPr>
            <w:r>
              <w:rPr>
                <w:rFonts w:cs="Arial"/>
                <w:snapToGrid w:val="0"/>
              </w:rPr>
              <w:t>W</w:t>
            </w:r>
            <w:r w:rsidRPr="006C7DF5">
              <w:rPr>
                <w:rFonts w:cs="Arial"/>
                <w:snapToGrid w:val="0"/>
              </w:rPr>
              <w:t xml:space="preserve">ritten </w:t>
            </w:r>
            <w:r>
              <w:rPr>
                <w:rFonts w:cs="Arial"/>
                <w:snapToGrid w:val="0"/>
              </w:rPr>
              <w:t>protocols</w:t>
            </w:r>
            <w:r w:rsidRPr="006C7DF5">
              <w:rPr>
                <w:rFonts w:cs="Arial"/>
                <w:snapToGrid w:val="0"/>
              </w:rPr>
              <w:t xml:space="preserve"> for staff to follow when scheduling an early elective delivery if approved by the medical director or other designated </w:t>
            </w:r>
            <w:r w:rsidR="000D44A2">
              <w:rPr>
                <w:rFonts w:cs="Arial"/>
                <w:snapToGrid w:val="0"/>
              </w:rPr>
              <w:t>physician</w:t>
            </w:r>
            <w:r w:rsidRPr="006C7DF5">
              <w:rPr>
                <w:rFonts w:cs="Arial"/>
                <w:snapToGrid w:val="0"/>
              </w:rPr>
              <w:t>?</w:t>
            </w:r>
          </w:p>
        </w:tc>
        <w:tc>
          <w:tcPr>
            <w:tcW w:w="2909" w:type="dxa"/>
            <w:vAlign w:val="center"/>
          </w:tcPr>
          <w:p w14:paraId="3A1C3E8E" w14:textId="77777777" w:rsidR="006D1C5C" w:rsidRPr="00A31567" w:rsidRDefault="006D1C5C" w:rsidP="00AD309C">
            <w:pPr>
              <w:pStyle w:val="ListParagraph"/>
              <w:numPr>
                <w:ilvl w:val="0"/>
                <w:numId w:val="283"/>
              </w:numPr>
              <w:rPr>
                <w:rFonts w:cs="Arial"/>
                <w:iCs/>
                <w:snapToGrid w:val="0"/>
                <w:color w:val="000000"/>
              </w:rPr>
            </w:pPr>
            <w:r w:rsidRPr="00A31567">
              <w:rPr>
                <w:rFonts w:cs="Arial"/>
                <w:iCs/>
                <w:snapToGrid w:val="0"/>
                <w:color w:val="000000"/>
              </w:rPr>
              <w:t>Yes</w:t>
            </w:r>
          </w:p>
          <w:p w14:paraId="5FFEC880" w14:textId="6898A4CD" w:rsidR="006D1C5C" w:rsidRPr="00A31567" w:rsidRDefault="006D1C5C" w:rsidP="00AD309C">
            <w:pPr>
              <w:pStyle w:val="ListParagraph"/>
              <w:numPr>
                <w:ilvl w:val="0"/>
                <w:numId w:val="283"/>
              </w:numPr>
              <w:rPr>
                <w:rFonts w:cs="Arial"/>
                <w:iCs/>
                <w:snapToGrid w:val="0"/>
                <w:color w:val="000000"/>
              </w:rPr>
            </w:pPr>
            <w:r w:rsidRPr="00A31567">
              <w:rPr>
                <w:rFonts w:cs="Arial"/>
                <w:iCs/>
                <w:snapToGrid w:val="0"/>
                <w:color w:val="000000"/>
              </w:rPr>
              <w:t>No</w:t>
            </w:r>
          </w:p>
        </w:tc>
      </w:tr>
    </w:tbl>
    <w:p w14:paraId="5BAD47FA" w14:textId="77777777" w:rsidR="00AE3C80" w:rsidRDefault="00AE3C80">
      <w:r>
        <w:br w:type="page"/>
      </w:r>
    </w:p>
    <w:p w14:paraId="792ED571" w14:textId="0499C909" w:rsidR="00035AF9" w:rsidRDefault="00306EB2" w:rsidP="00CF5A6E">
      <w:pPr>
        <w:pStyle w:val="Heading2"/>
      </w:pPr>
      <w:bookmarkStart w:id="298" w:name="_Toc225877727"/>
      <w:r w:rsidRPr="009A5185">
        <w:t>4</w:t>
      </w:r>
      <w:r w:rsidR="0016658F">
        <w:t>B</w:t>
      </w:r>
      <w:r w:rsidRPr="009A5185">
        <w:t>: Cesarean Birth</w:t>
      </w:r>
      <w:bookmarkEnd w:id="298"/>
    </w:p>
    <w:p w14:paraId="4F306805" w14:textId="77777777" w:rsidR="00306EB2" w:rsidRDefault="00306EB2" w:rsidP="00B86077">
      <w:pPr>
        <w:rPr>
          <w:rFonts w:cs="Arial"/>
          <w:b/>
          <w:snapToGrid w:val="0"/>
          <w:color w:val="000000"/>
        </w:rPr>
      </w:pPr>
    </w:p>
    <w:p w14:paraId="08E4E79C" w14:textId="4EF16E0C" w:rsidR="00474DDE" w:rsidRPr="00FE44CA" w:rsidRDefault="00474DDE" w:rsidP="00474DDE">
      <w:pPr>
        <w:rPr>
          <w:rFonts w:cs="Arial"/>
          <w:snapToGrid w:val="0"/>
        </w:rPr>
      </w:pPr>
      <w:r w:rsidRPr="009A5185">
        <w:rPr>
          <w:rFonts w:cs="Arial"/>
          <w:snapToGrid w:val="0"/>
        </w:rPr>
        <w:t xml:space="preserve">Hospitals that share a </w:t>
      </w:r>
      <w:r>
        <w:rPr>
          <w:rFonts w:cs="Arial"/>
          <w:snapToGrid w:val="0"/>
        </w:rPr>
        <w:t xml:space="preserve">CMS Certification Number </w:t>
      </w:r>
      <w:r w:rsidRPr="009A5185">
        <w:rPr>
          <w:rFonts w:cs="Arial"/>
          <w:snapToGrid w:val="0"/>
        </w:rPr>
        <w:t xml:space="preserve">are required to report by facility. Please carefully review </w:t>
      </w:r>
      <w:hyperlink r:id="rId253" w:history="1">
        <w:r w:rsidRPr="009A5185">
          <w:rPr>
            <w:rStyle w:val="Hyperlink"/>
            <w:rFonts w:cs="Arial"/>
            <w:snapToGrid w:val="0"/>
          </w:rPr>
          <w:t>Leapfrog’s Multi-Campus Reporting Policy</w:t>
        </w:r>
      </w:hyperlink>
      <w:r w:rsidRPr="009A5185">
        <w:rPr>
          <w:rFonts w:cs="Arial"/>
          <w:snapToGrid w:val="0"/>
        </w:rPr>
        <w:t>.</w:t>
      </w:r>
    </w:p>
    <w:p w14:paraId="0D9E31B0" w14:textId="77777777" w:rsidR="00474DDE" w:rsidRDefault="00474DDE" w:rsidP="00B86077">
      <w:pPr>
        <w:rPr>
          <w:rFonts w:cs="Arial"/>
          <w:b/>
          <w:snapToGrid w:val="0"/>
          <w:color w:val="000000"/>
        </w:rPr>
      </w:pPr>
    </w:p>
    <w:p w14:paraId="6E7621DD" w14:textId="77777777" w:rsidR="00C27FF1" w:rsidRDefault="00253430" w:rsidP="00253430">
      <w:pPr>
        <w:rPr>
          <w:rFonts w:cs="Arial"/>
          <w:snapToGrid w:val="0"/>
        </w:rPr>
      </w:pPr>
      <w:r w:rsidRPr="00873014">
        <w:rPr>
          <w:rFonts w:cs="Arial"/>
          <w:b/>
          <w:snapToGrid w:val="0"/>
          <w:color w:val="FF0000"/>
        </w:rPr>
        <w:t>Important Note</w:t>
      </w:r>
      <w:r w:rsidR="00C27FF1">
        <w:rPr>
          <w:rFonts w:cs="Arial"/>
          <w:b/>
          <w:snapToGrid w:val="0"/>
          <w:color w:val="FF0000"/>
        </w:rPr>
        <w:t>s</w:t>
      </w:r>
      <w:r w:rsidRPr="00873014">
        <w:rPr>
          <w:rFonts w:cs="Arial"/>
          <w:b/>
          <w:snapToGrid w:val="0"/>
          <w:color w:val="FF0000"/>
        </w:rPr>
        <w:t>:</w:t>
      </w:r>
      <w:r w:rsidR="00C5119E">
        <w:rPr>
          <w:rFonts w:cs="Arial"/>
          <w:snapToGrid w:val="0"/>
        </w:rPr>
        <w:t xml:space="preserve"> </w:t>
      </w:r>
    </w:p>
    <w:p w14:paraId="73DE36CE" w14:textId="77777777" w:rsidR="00C27FF1" w:rsidRDefault="00C27FF1" w:rsidP="00253430">
      <w:pPr>
        <w:rPr>
          <w:rFonts w:cs="Arial"/>
          <w:snapToGrid w:val="0"/>
        </w:rPr>
      </w:pPr>
    </w:p>
    <w:p w14:paraId="1ADCE152" w14:textId="11F9C64C" w:rsidR="00BA394C" w:rsidRPr="00764EEA" w:rsidRDefault="00C27FF1" w:rsidP="00BA394C">
      <w:pPr>
        <w:rPr>
          <w:rFonts w:cs="Arial"/>
          <w:bCs/>
          <w:snapToGrid w:val="0"/>
        </w:rPr>
      </w:pPr>
      <w:r>
        <w:rPr>
          <w:rFonts w:cs="Arial"/>
          <w:snapToGrid w:val="0"/>
        </w:rPr>
        <w:t xml:space="preserve">Note 1: </w:t>
      </w:r>
      <w:r w:rsidR="00BA394C" w:rsidRPr="00764EEA">
        <w:rPr>
          <w:rFonts w:cs="Arial"/>
          <w:bCs/>
          <w:snapToGrid w:val="0"/>
        </w:rPr>
        <w:t xml:space="preserve">Hospitals must use the same 12-month reporting period </w:t>
      </w:r>
      <w:r w:rsidR="00BA394C" w:rsidRPr="00BA394C">
        <w:rPr>
          <w:rFonts w:cs="Arial"/>
          <w:bCs/>
          <w:snapToGrid w:val="0"/>
        </w:rPr>
        <w:t>for all subsections in Section 4: Maternity Care</w:t>
      </w:r>
      <w:r w:rsidR="00BA394C">
        <w:rPr>
          <w:rFonts w:cs="Arial"/>
          <w:bCs/>
          <w:snapToGrid w:val="0"/>
        </w:rPr>
        <w:t xml:space="preserve">, except for Section 4B questions #6-8. </w:t>
      </w:r>
    </w:p>
    <w:p w14:paraId="49EEAEA8" w14:textId="77777777" w:rsidR="00C27FF1" w:rsidRDefault="00C27FF1" w:rsidP="00253430">
      <w:pPr>
        <w:rPr>
          <w:rFonts w:cs="Arial"/>
          <w:snapToGrid w:val="0"/>
        </w:rPr>
      </w:pPr>
    </w:p>
    <w:p w14:paraId="30ADF4F9" w14:textId="5E6CA700" w:rsidR="00C27FF1" w:rsidRPr="00253430" w:rsidRDefault="00C27FF1" w:rsidP="00253430">
      <w:pPr>
        <w:rPr>
          <w:rFonts w:cs="Arial"/>
          <w:snapToGrid w:val="0"/>
        </w:rPr>
      </w:pPr>
      <w:r>
        <w:rPr>
          <w:rFonts w:cs="Arial"/>
          <w:snapToGrid w:val="0"/>
        </w:rPr>
        <w:t xml:space="preserve">Note 2: </w:t>
      </w:r>
      <w:r w:rsidR="00BB0AC8" w:rsidRPr="00BB0AC8">
        <w:t xml:space="preserve">Cesarean Birth Stratified by Race/Ethnicity </w:t>
      </w:r>
      <w:r w:rsidR="00BB0AC8" w:rsidRPr="00FB46D0">
        <w:t>(questions #</w:t>
      </w:r>
      <w:r w:rsidR="00BB0AC8">
        <w:t>6-8</w:t>
      </w:r>
      <w:r w:rsidR="00BB0AC8" w:rsidRPr="00FB46D0">
        <w:t xml:space="preserve">) </w:t>
      </w:r>
      <w:r w:rsidR="00BB0AC8">
        <w:t xml:space="preserve">will not be scored or publicly reported but will be used </w:t>
      </w:r>
      <w:r w:rsidR="00157FDB">
        <w:rPr>
          <w:rFonts w:cs="Arial"/>
          <w:snapToGrid w:val="0"/>
        </w:rPr>
        <w:t xml:space="preserve">for confidential reporting </w:t>
      </w:r>
      <w:r w:rsidR="00BB0AC8">
        <w:t>on the Hospital Details Page.</w:t>
      </w:r>
    </w:p>
    <w:p w14:paraId="563CC849" w14:textId="77777777" w:rsidR="00253430" w:rsidRDefault="00253430" w:rsidP="00035AF9">
      <w:pPr>
        <w:rPr>
          <w:rFonts w:cs="Arial"/>
          <w:b/>
          <w:snapToGrid w:val="0"/>
        </w:rPr>
      </w:pPr>
    </w:p>
    <w:p w14:paraId="14BF4504" w14:textId="779C1325" w:rsidR="00035AF9" w:rsidRPr="009A5185" w:rsidRDefault="00035AF9" w:rsidP="00035AF9">
      <w:pPr>
        <w:rPr>
          <w:rFonts w:cs="Arial"/>
          <w:snapToGrid w:val="0"/>
        </w:rPr>
      </w:pPr>
      <w:r w:rsidRPr="009A5185">
        <w:rPr>
          <w:rFonts w:cs="Arial"/>
          <w:b/>
          <w:snapToGrid w:val="0"/>
        </w:rPr>
        <w:t xml:space="preserve">Specifications: </w:t>
      </w:r>
      <w:r w:rsidRPr="009A5185">
        <w:rPr>
          <w:rFonts w:cs="Arial"/>
          <w:snapToGrid w:val="0"/>
        </w:rPr>
        <w:t xml:space="preserve">See </w:t>
      </w:r>
      <w:hyperlink w:anchor="_Cesarean_Birth_2" w:history="1">
        <w:r w:rsidR="00157FDB">
          <w:rPr>
            <w:rStyle w:val="Hyperlink"/>
            <w:rFonts w:cs="Arial"/>
            <w:b/>
            <w:i/>
            <w:snapToGrid w:val="0"/>
          </w:rPr>
          <w:t>Cesarean Birth Measure Specifications</w:t>
        </w:r>
      </w:hyperlink>
      <w:r w:rsidR="00157FDB">
        <w:rPr>
          <w:rStyle w:val="Hyperlink"/>
          <w:rFonts w:cs="Arial"/>
          <w:b/>
          <w:i/>
          <w:snapToGrid w:val="0"/>
        </w:rPr>
        <w:t xml:space="preserve"> </w:t>
      </w:r>
      <w:r w:rsidRPr="009A5185">
        <w:rPr>
          <w:rFonts w:cs="Arial"/>
          <w:snapToGrid w:val="0"/>
        </w:rPr>
        <w:t xml:space="preserve">in the Reference Information </w:t>
      </w:r>
      <w:r w:rsidR="008964E1">
        <w:rPr>
          <w:rFonts w:cs="Arial"/>
          <w:snapToGrid w:val="0"/>
        </w:rPr>
        <w:t xml:space="preserve">beginning on page </w:t>
      </w:r>
      <w:r w:rsidR="003A6A12">
        <w:rPr>
          <w:rFonts w:cs="Arial"/>
          <w:snapToGrid w:val="0"/>
        </w:rPr>
        <w:t>16</w:t>
      </w:r>
      <w:r w:rsidR="004640AB">
        <w:rPr>
          <w:rFonts w:cs="Arial"/>
          <w:snapToGrid w:val="0"/>
        </w:rPr>
        <w:t>5</w:t>
      </w:r>
      <w:r w:rsidR="003A6A12">
        <w:rPr>
          <w:rFonts w:cs="Arial"/>
          <w:snapToGrid w:val="0"/>
        </w:rPr>
        <w:t>.</w:t>
      </w:r>
    </w:p>
    <w:p w14:paraId="65BF0058" w14:textId="791A7A8D" w:rsidR="00035AF9" w:rsidRPr="009A5185" w:rsidRDefault="00035AF9" w:rsidP="00035AF9">
      <w:pPr>
        <w:rPr>
          <w:rFonts w:cs="Arial"/>
          <w:snapToGrid w:val="0"/>
        </w:rPr>
      </w:pPr>
    </w:p>
    <w:p w14:paraId="1C99831B" w14:textId="2DE931A3" w:rsidR="00035AF9" w:rsidRDefault="004C3107" w:rsidP="00035AF9">
      <w:pPr>
        <w:rPr>
          <w:rFonts w:cs="Arial"/>
          <w:snapToGrid w:val="0"/>
        </w:rPr>
      </w:pPr>
      <w:r w:rsidRPr="004C3107">
        <w:rPr>
          <w:rFonts w:cs="Arial"/>
          <w:noProof/>
          <w:snapToGrid w:val="0"/>
        </w:rPr>
        <mc:AlternateContent>
          <mc:Choice Requires="wps">
            <w:drawing>
              <wp:inline distT="0" distB="0" distL="0" distR="0" wp14:anchorId="6621FF26" wp14:editId="197D246A">
                <wp:extent cx="6058894" cy="1404620"/>
                <wp:effectExtent l="0" t="0" r="18415" b="24765"/>
                <wp:docPr id="32" name="Text Box 32" descr="P6330TB15#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8894" cy="1404620"/>
                        </a:xfrm>
                        <a:prstGeom prst="rect">
                          <a:avLst/>
                        </a:prstGeom>
                        <a:solidFill>
                          <a:srgbClr val="FFFFFF"/>
                        </a:solidFill>
                        <a:ln w="9525">
                          <a:solidFill>
                            <a:srgbClr val="FF0000"/>
                          </a:solidFill>
                          <a:miter lim="800000"/>
                          <a:headEnd/>
                          <a:tailEnd/>
                        </a:ln>
                      </wps:spPr>
                      <wps:txbx>
                        <w:txbxContent>
                          <w:p w14:paraId="0804BFA3" w14:textId="2EEB77FE" w:rsidR="004C3107" w:rsidRPr="009A5185" w:rsidRDefault="004C3107" w:rsidP="004C3107">
                            <w:pPr>
                              <w:spacing w:before="40"/>
                              <w:rPr>
                                <w:rFonts w:cs="Arial"/>
                                <w:b/>
                                <w:snapToGrid w:val="0"/>
                              </w:rPr>
                            </w:pPr>
                            <w:r w:rsidRPr="009A5185">
                              <w:rPr>
                                <w:rFonts w:cs="Arial"/>
                                <w:b/>
                                <w:snapToGrid w:val="0"/>
                              </w:rPr>
                              <w:t>Reporting Period: 12 months</w:t>
                            </w:r>
                          </w:p>
                          <w:p w14:paraId="393896DF" w14:textId="4F845911" w:rsidR="004C3107" w:rsidRPr="009A5185" w:rsidRDefault="004C3107" w:rsidP="004C3107">
                            <w:pPr>
                              <w:rPr>
                                <w:rFonts w:cs="Arial"/>
                                <w:b/>
                                <w:snapToGrid w:val="0"/>
                              </w:rPr>
                            </w:pPr>
                            <w:r w:rsidRPr="009A5185">
                              <w:rPr>
                                <w:rFonts w:cs="Arial"/>
                                <w:snapToGrid w:val="0"/>
                              </w:rPr>
                              <w:t>Answer questions #1-</w:t>
                            </w:r>
                            <w:r w:rsidR="000869CD">
                              <w:rPr>
                                <w:rFonts w:cs="Arial"/>
                                <w:snapToGrid w:val="0"/>
                              </w:rPr>
                              <w:t>5</w:t>
                            </w:r>
                            <w:r w:rsidRPr="009A5185">
                              <w:rPr>
                                <w:rFonts w:cs="Arial"/>
                                <w:snapToGrid w:val="0"/>
                              </w:rPr>
                              <w:t xml:space="preserve"> based </w:t>
                            </w:r>
                            <w:r w:rsidRPr="009A5185">
                              <w:rPr>
                                <w:rFonts w:cs="Arial"/>
                                <w:snapToGrid w:val="0"/>
                                <w:color w:val="000000"/>
                              </w:rPr>
                              <w:t xml:space="preserve">on </w:t>
                            </w:r>
                            <w:r w:rsidRPr="009A5185">
                              <w:rPr>
                                <w:rFonts w:cs="Arial"/>
                                <w:snapToGrid w:val="0"/>
                              </w:rPr>
                              <w:t xml:space="preserve">all cases </w:t>
                            </w:r>
                            <w:r w:rsidRPr="009A5185">
                              <w:rPr>
                                <w:rFonts w:cs="Arial"/>
                              </w:rPr>
                              <w:t>(or a sufficient sample of them</w:t>
                            </w:r>
                            <w:r>
                              <w:rPr>
                                <w:rFonts w:cs="Arial"/>
                              </w:rPr>
                              <w:t xml:space="preserve"> for questions #2-3</w:t>
                            </w:r>
                            <w:r w:rsidRPr="009A5185">
                              <w:rPr>
                                <w:rFonts w:cs="Arial"/>
                                <w:snapToGrid w:val="0"/>
                              </w:rPr>
                              <w:t>)</w:t>
                            </w:r>
                            <w:r w:rsidRPr="009A5185">
                              <w:rPr>
                                <w:rFonts w:cs="Arial"/>
                                <w:b/>
                                <w:snapToGrid w:val="0"/>
                              </w:rPr>
                              <w:t xml:space="preserve"> </w:t>
                            </w:r>
                          </w:p>
                          <w:p w14:paraId="4B00CDDD" w14:textId="77777777" w:rsidR="004C3107" w:rsidRPr="00BE1D22" w:rsidRDefault="004C3107" w:rsidP="00AD309C">
                            <w:pPr>
                              <w:pStyle w:val="ListParagraph"/>
                              <w:numPr>
                                <w:ilvl w:val="0"/>
                                <w:numId w:val="36"/>
                              </w:numPr>
                              <w:rPr>
                                <w:rFonts w:cs="Arial"/>
                                <w:i/>
                                <w:snapToGrid w:val="0"/>
                              </w:rPr>
                            </w:pPr>
                            <w:r>
                              <w:rPr>
                                <w:rFonts w:cs="Arial"/>
                                <w:iCs/>
                                <w:snapToGrid w:val="0"/>
                              </w:rPr>
                              <w:t>Surveys submitted prior to September 1:</w:t>
                            </w:r>
                          </w:p>
                          <w:p w14:paraId="78E683DA" w14:textId="30B6E98B" w:rsidR="004C3107" w:rsidRPr="009A5185" w:rsidRDefault="004C3107" w:rsidP="00AD309C">
                            <w:pPr>
                              <w:pStyle w:val="ListParagraph"/>
                              <w:numPr>
                                <w:ilvl w:val="1"/>
                                <w:numId w:val="36"/>
                              </w:numPr>
                              <w:rPr>
                                <w:rFonts w:cs="Arial"/>
                                <w:i/>
                                <w:snapToGrid w:val="0"/>
                              </w:rPr>
                            </w:pPr>
                            <w:r>
                              <w:rPr>
                                <w:rFonts w:cs="Arial"/>
                                <w:iCs/>
                                <w:snapToGrid w:val="0"/>
                              </w:rPr>
                              <w:t>01/01/202</w:t>
                            </w:r>
                            <w:r w:rsidR="0055518D">
                              <w:rPr>
                                <w:rFonts w:cs="Arial"/>
                                <w:iCs/>
                                <w:snapToGrid w:val="0"/>
                              </w:rPr>
                              <w:t>5</w:t>
                            </w:r>
                            <w:r>
                              <w:rPr>
                                <w:rFonts w:cs="Arial"/>
                                <w:iCs/>
                                <w:snapToGrid w:val="0"/>
                              </w:rPr>
                              <w:t xml:space="preserve"> – 12/31/202</w:t>
                            </w:r>
                            <w:r w:rsidR="0055518D">
                              <w:rPr>
                                <w:rFonts w:cs="Arial"/>
                                <w:iCs/>
                                <w:snapToGrid w:val="0"/>
                              </w:rPr>
                              <w:t>5</w:t>
                            </w:r>
                          </w:p>
                          <w:p w14:paraId="3E5D49F7" w14:textId="77777777" w:rsidR="004C3107" w:rsidRPr="00BE1D22" w:rsidRDefault="004C3107" w:rsidP="00AD309C">
                            <w:pPr>
                              <w:pStyle w:val="ListParagraph"/>
                              <w:numPr>
                                <w:ilvl w:val="0"/>
                                <w:numId w:val="36"/>
                              </w:numPr>
                              <w:rPr>
                                <w:rFonts w:cs="Arial"/>
                                <w:i/>
                                <w:snapToGrid w:val="0"/>
                              </w:rPr>
                            </w:pPr>
                            <w:r w:rsidRPr="009A5185">
                              <w:rPr>
                                <w:rFonts w:cs="Arial"/>
                                <w:snapToGrid w:val="0"/>
                              </w:rPr>
                              <w:t xml:space="preserve">Surveys (re)submitted on or after September 1: </w:t>
                            </w:r>
                          </w:p>
                          <w:p w14:paraId="1BEB67AB" w14:textId="39783698" w:rsidR="004C3107" w:rsidRPr="00FD4BD9" w:rsidRDefault="004C3107" w:rsidP="00AD309C">
                            <w:pPr>
                              <w:pStyle w:val="ListParagraph"/>
                              <w:numPr>
                                <w:ilvl w:val="1"/>
                                <w:numId w:val="36"/>
                              </w:numPr>
                              <w:rPr>
                                <w:rFonts w:cs="Arial"/>
                                <w:i/>
                                <w:snapToGrid w:val="0"/>
                              </w:rPr>
                            </w:pPr>
                            <w:r w:rsidRPr="009A5185">
                              <w:rPr>
                                <w:rFonts w:cs="Arial"/>
                                <w:snapToGrid w:val="0"/>
                              </w:rPr>
                              <w:t>07/01/</w:t>
                            </w:r>
                            <w:r>
                              <w:rPr>
                                <w:rFonts w:cs="Arial"/>
                                <w:snapToGrid w:val="0"/>
                              </w:rPr>
                              <w:t>202</w:t>
                            </w:r>
                            <w:r w:rsidR="0055518D">
                              <w:rPr>
                                <w:rFonts w:cs="Arial"/>
                                <w:snapToGrid w:val="0"/>
                              </w:rPr>
                              <w:t>5</w:t>
                            </w:r>
                            <w:r w:rsidRPr="009A5185">
                              <w:rPr>
                                <w:rFonts w:cs="Arial"/>
                                <w:snapToGrid w:val="0"/>
                              </w:rPr>
                              <w:t xml:space="preserve"> </w:t>
                            </w:r>
                            <w:r>
                              <w:rPr>
                                <w:rFonts w:cs="Arial"/>
                                <w:snapToGrid w:val="0"/>
                              </w:rPr>
                              <w:t>–</w:t>
                            </w:r>
                            <w:r w:rsidRPr="009A5185">
                              <w:rPr>
                                <w:rFonts w:cs="Arial"/>
                                <w:snapToGrid w:val="0"/>
                              </w:rPr>
                              <w:t xml:space="preserve"> 06/30/</w:t>
                            </w:r>
                            <w:r>
                              <w:rPr>
                                <w:rFonts w:cs="Arial"/>
                                <w:snapToGrid w:val="0"/>
                              </w:rPr>
                              <w:t>202</w:t>
                            </w:r>
                            <w:r w:rsidR="0055518D">
                              <w:rPr>
                                <w:rFonts w:cs="Arial"/>
                                <w:snapToGrid w:val="0"/>
                              </w:rPr>
                              <w:t>6</w:t>
                            </w:r>
                          </w:p>
                          <w:p w14:paraId="30F4C3EB" w14:textId="77777777" w:rsidR="004C3107" w:rsidRDefault="004C3107" w:rsidP="004C3107">
                            <w:pPr>
                              <w:rPr>
                                <w:rFonts w:cs="Arial"/>
                                <w:i/>
                                <w:snapToGrid w:val="0"/>
                              </w:rPr>
                            </w:pPr>
                          </w:p>
                          <w:p w14:paraId="2A3B1EE6" w14:textId="2B066207" w:rsidR="004C3107" w:rsidRDefault="004C3107" w:rsidP="004C3107">
                            <w:r w:rsidRPr="006547C0">
                              <w:rPr>
                                <w:rFonts w:cs="Arial"/>
                                <w:sz w:val="16"/>
                                <w:szCs w:val="16"/>
                              </w:rPr>
                              <w:t xml:space="preserve">Note: As a reminder, the </w:t>
                            </w:r>
                            <w:hyperlink r:id="rId254" w:history="1">
                              <w:r w:rsidRPr="006547C0">
                                <w:rPr>
                                  <w:rStyle w:val="Hyperlink"/>
                                  <w:rFonts w:cs="Arial"/>
                                  <w:sz w:val="16"/>
                                  <w:szCs w:val="16"/>
                                </w:rPr>
                                <w:t>Corrections Period</w:t>
                              </w:r>
                            </w:hyperlink>
                            <w:r w:rsidRPr="006547C0">
                              <w:rPr>
                                <w:rFonts w:cs="Arial"/>
                                <w:sz w:val="16"/>
                                <w:szCs w:val="16"/>
                              </w:rPr>
                              <w:t xml:space="preserve"> </w:t>
                            </w:r>
                            <w:r w:rsidRPr="00E65E68">
                              <w:rPr>
                                <w:rFonts w:cs="Arial"/>
                                <w:sz w:val="16"/>
                                <w:szCs w:val="16"/>
                              </w:rPr>
                              <w:t>(</w:t>
                            </w:r>
                            <w:r>
                              <w:rPr>
                                <w:rFonts w:cs="Arial"/>
                                <w:sz w:val="16"/>
                                <w:szCs w:val="16"/>
                              </w:rPr>
                              <w:t>December</w:t>
                            </w:r>
                            <w:r w:rsidRPr="00E65E68">
                              <w:rPr>
                                <w:rFonts w:cs="Arial"/>
                                <w:sz w:val="16"/>
                                <w:szCs w:val="16"/>
                              </w:rPr>
                              <w:t xml:space="preserve"> 1-January 31) is reserved for corrections to previously submitted Surveys only. </w:t>
                            </w:r>
                            <w:r w:rsidRPr="00E65E68">
                              <w:rPr>
                                <w:rFonts w:cs="Arial"/>
                                <w:bCs/>
                                <w:snapToGrid w:val="0"/>
                                <w:sz w:val="16"/>
                                <w:szCs w:val="16"/>
                              </w:rPr>
                              <w:t xml:space="preserve">Any updates made to reflect a change in performance must be made prior to the </w:t>
                            </w:r>
                            <w:r>
                              <w:rPr>
                                <w:rFonts w:cs="Arial"/>
                                <w:bCs/>
                                <w:snapToGrid w:val="0"/>
                                <w:sz w:val="16"/>
                                <w:szCs w:val="16"/>
                              </w:rPr>
                              <w:t>November 30</w:t>
                            </w:r>
                            <w:r w:rsidRPr="00E65E68">
                              <w:rPr>
                                <w:rFonts w:cs="Arial"/>
                                <w:bCs/>
                                <w:snapToGrid w:val="0"/>
                                <w:sz w:val="16"/>
                                <w:szCs w:val="16"/>
                              </w:rPr>
                              <w:t xml:space="preserve"> Late Submission </w:t>
                            </w:r>
                            <w:r w:rsidRPr="00AE38C7">
                              <w:rPr>
                                <w:rFonts w:cs="Arial"/>
                                <w:bCs/>
                                <w:snapToGrid w:val="0"/>
                                <w:sz w:val="16"/>
                                <w:szCs w:val="16"/>
                              </w:rPr>
                              <w:t>and Performance Update</w:t>
                            </w:r>
                            <w:r>
                              <w:rPr>
                                <w:rFonts w:cs="Arial"/>
                                <w:bCs/>
                                <w:snapToGrid w:val="0"/>
                                <w:sz w:val="16"/>
                                <w:szCs w:val="16"/>
                              </w:rPr>
                              <w:t xml:space="preserve"> </w:t>
                            </w:r>
                            <w:r w:rsidRPr="00E65E68">
                              <w:rPr>
                                <w:rFonts w:cs="Arial"/>
                                <w:bCs/>
                                <w:snapToGrid w:val="0"/>
                                <w:sz w:val="16"/>
                                <w:szCs w:val="16"/>
                              </w:rPr>
                              <w:t xml:space="preserve">Deadline. Updates made to reflect a change in performance after </w:t>
                            </w:r>
                            <w:r>
                              <w:rPr>
                                <w:rFonts w:cs="Arial"/>
                                <w:bCs/>
                                <w:snapToGrid w:val="0"/>
                                <w:sz w:val="16"/>
                                <w:szCs w:val="16"/>
                              </w:rPr>
                              <w:t>November 30</w:t>
                            </w:r>
                            <w:r w:rsidRPr="00E65E68">
                              <w:rPr>
                                <w:rFonts w:cs="Arial"/>
                                <w:bCs/>
                                <w:snapToGrid w:val="0"/>
                                <w:sz w:val="16"/>
                                <w:szCs w:val="16"/>
                              </w:rPr>
                              <w:t xml:space="preserve"> will not be scored or publicly reported.</w:t>
                            </w:r>
                          </w:p>
                        </w:txbxContent>
                      </wps:txbx>
                      <wps:bodyPr rot="0" vert="horz" wrap="square" lIns="91440" tIns="45720" rIns="91440" bIns="45720" anchor="t" anchorCtr="0">
                        <a:spAutoFit/>
                      </wps:bodyPr>
                    </wps:wsp>
                  </a:graphicData>
                </a:graphic>
              </wp:inline>
            </w:drawing>
          </mc:Choice>
          <mc:Fallback>
            <w:pict>
              <v:shape w14:anchorId="6621FF26" id="Text Box 32" o:spid="_x0000_s1042" type="#_x0000_t202" alt="P6330TB15#y1" style="width:477.1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" strokecolor="red">
                <v:textbox style="mso-fit-shape-to-text:t">
                  <w:txbxContent>
                    <w:p w14:paraId="0804BFA3" w14:textId="2EEB77FE" w:rsidR="004C3107" w:rsidRPr="009A5185" w:rsidRDefault="004C3107" w:rsidP="004C3107">
                      <w:pPr>
                        <w:spacing w:before="40"/>
                        <w:rPr>
                          <w:rFonts w:cs="Arial"/>
                          <w:b/>
                          <w:snapToGrid w:val="0"/>
                        </w:rPr>
                      </w:pPr>
                      <w:r w:rsidRPr="009A5185">
                        <w:rPr>
                          <w:rFonts w:cs="Arial"/>
                          <w:b/>
                          <w:snapToGrid w:val="0"/>
                        </w:rPr>
                        <w:t>Reporting Period: 12 months</w:t>
                      </w:r>
                    </w:p>
                    <w:p w14:paraId="393896DF" w14:textId="4F845911" w:rsidR="004C3107" w:rsidRPr="009A5185" w:rsidRDefault="004C3107" w:rsidP="004C3107">
                      <w:pPr>
                        <w:rPr>
                          <w:rFonts w:cs="Arial"/>
                          <w:b/>
                          <w:snapToGrid w:val="0"/>
                        </w:rPr>
                      </w:pPr>
                      <w:r w:rsidRPr="009A5185">
                        <w:rPr>
                          <w:rFonts w:cs="Arial"/>
                          <w:snapToGrid w:val="0"/>
                        </w:rPr>
                        <w:t>Answer questions #1-</w:t>
                      </w:r>
                      <w:r w:rsidR="000869CD">
                        <w:rPr>
                          <w:rFonts w:cs="Arial"/>
                          <w:snapToGrid w:val="0"/>
                        </w:rPr>
                        <w:t>5</w:t>
                      </w:r>
                      <w:r w:rsidRPr="009A5185">
                        <w:rPr>
                          <w:rFonts w:cs="Arial"/>
                          <w:snapToGrid w:val="0"/>
                        </w:rPr>
                        <w:t xml:space="preserve"> based </w:t>
                      </w:r>
                      <w:r w:rsidRPr="009A5185">
                        <w:rPr>
                          <w:rFonts w:cs="Arial"/>
                          <w:snapToGrid w:val="0"/>
                          <w:color w:val="000000"/>
                        </w:rPr>
                        <w:t xml:space="preserve">on </w:t>
                      </w:r>
                      <w:r w:rsidRPr="009A5185">
                        <w:rPr>
                          <w:rFonts w:cs="Arial"/>
                          <w:snapToGrid w:val="0"/>
                        </w:rPr>
                        <w:t xml:space="preserve">all cases </w:t>
                      </w:r>
                      <w:r w:rsidRPr="009A5185">
                        <w:rPr>
                          <w:rFonts w:cs="Arial"/>
                        </w:rPr>
                        <w:t>(or a sufficient sample of them</w:t>
                      </w:r>
                      <w:r>
                        <w:rPr>
                          <w:rFonts w:cs="Arial"/>
                        </w:rPr>
                        <w:t xml:space="preserve"> for questions #2-3</w:t>
                      </w:r>
                      <w:r w:rsidRPr="009A5185">
                        <w:rPr>
                          <w:rFonts w:cs="Arial"/>
                          <w:snapToGrid w:val="0"/>
                        </w:rPr>
                        <w:t>)</w:t>
                      </w:r>
                      <w:r w:rsidRPr="009A5185">
                        <w:rPr>
                          <w:rFonts w:cs="Arial"/>
                          <w:b/>
                          <w:snapToGrid w:val="0"/>
                        </w:rPr>
                        <w:t xml:space="preserve"> </w:t>
                      </w:r>
                    </w:p>
                    <w:p w14:paraId="4B00CDDD" w14:textId="77777777" w:rsidR="004C3107" w:rsidRPr="00BE1D22" w:rsidRDefault="004C3107" w:rsidP="00AD309C">
                      <w:pPr>
                        <w:pStyle w:val="ListParagraph"/>
                        <w:numPr>
                          <w:ilvl w:val="0"/>
                          <w:numId w:val="36"/>
                        </w:numPr>
                        <w:rPr>
                          <w:rFonts w:cs="Arial"/>
                          <w:i/>
                          <w:snapToGrid w:val="0"/>
                        </w:rPr>
                      </w:pPr>
                      <w:r>
                        <w:rPr>
                          <w:rFonts w:cs="Arial"/>
                          <w:iCs/>
                          <w:snapToGrid w:val="0"/>
                        </w:rPr>
                        <w:t>Surveys submitted prior to September 1:</w:t>
                      </w:r>
                    </w:p>
                    <w:p w14:paraId="78E683DA" w14:textId="30B6E98B" w:rsidR="004C3107" w:rsidRPr="009A5185" w:rsidRDefault="004C3107" w:rsidP="00AD309C">
                      <w:pPr>
                        <w:pStyle w:val="ListParagraph"/>
                        <w:numPr>
                          <w:ilvl w:val="1"/>
                          <w:numId w:val="36"/>
                        </w:numPr>
                        <w:rPr>
                          <w:rFonts w:cs="Arial"/>
                          <w:i/>
                          <w:snapToGrid w:val="0"/>
                        </w:rPr>
                      </w:pPr>
                      <w:r>
                        <w:rPr>
                          <w:rFonts w:cs="Arial"/>
                          <w:iCs/>
                          <w:snapToGrid w:val="0"/>
                        </w:rPr>
                        <w:t>01/01/202</w:t>
                      </w:r>
                      <w:r w:rsidR="0055518D">
                        <w:rPr>
                          <w:rFonts w:cs="Arial"/>
                          <w:iCs/>
                          <w:snapToGrid w:val="0"/>
                        </w:rPr>
                        <w:t>5</w:t>
                      </w:r>
                      <w:r>
                        <w:rPr>
                          <w:rFonts w:cs="Arial"/>
                          <w:iCs/>
                          <w:snapToGrid w:val="0"/>
                        </w:rPr>
                        <w:t xml:space="preserve"> – 12/31/202</w:t>
                      </w:r>
                      <w:r w:rsidR="0055518D">
                        <w:rPr>
                          <w:rFonts w:cs="Arial"/>
                          <w:iCs/>
                          <w:snapToGrid w:val="0"/>
                        </w:rPr>
                        <w:t>5</w:t>
                      </w:r>
                    </w:p>
                    <w:p w14:paraId="3E5D49F7" w14:textId="77777777" w:rsidR="004C3107" w:rsidRPr="00BE1D22" w:rsidRDefault="004C3107" w:rsidP="00AD309C">
                      <w:pPr>
                        <w:pStyle w:val="ListParagraph"/>
                        <w:numPr>
                          <w:ilvl w:val="0"/>
                          <w:numId w:val="36"/>
                        </w:numPr>
                        <w:rPr>
                          <w:rFonts w:cs="Arial"/>
                          <w:i/>
                          <w:snapToGrid w:val="0"/>
                        </w:rPr>
                      </w:pPr>
                      <w:r w:rsidRPr="009A5185">
                        <w:rPr>
                          <w:rFonts w:cs="Arial"/>
                          <w:snapToGrid w:val="0"/>
                        </w:rPr>
                        <w:t xml:space="preserve">Surveys (re)submitted on or after September 1: </w:t>
                      </w:r>
                    </w:p>
                    <w:p w14:paraId="1BEB67AB" w14:textId="39783698" w:rsidR="004C3107" w:rsidRPr="00FD4BD9" w:rsidRDefault="004C3107" w:rsidP="00AD309C">
                      <w:pPr>
                        <w:pStyle w:val="ListParagraph"/>
                        <w:numPr>
                          <w:ilvl w:val="1"/>
                          <w:numId w:val="36"/>
                        </w:numPr>
                        <w:rPr>
                          <w:rFonts w:cs="Arial"/>
                          <w:i/>
                          <w:snapToGrid w:val="0"/>
                        </w:rPr>
                      </w:pPr>
                      <w:r w:rsidRPr="009A5185">
                        <w:rPr>
                          <w:rFonts w:cs="Arial"/>
                          <w:snapToGrid w:val="0"/>
                        </w:rPr>
                        <w:t>07/01/</w:t>
                      </w:r>
                      <w:r>
                        <w:rPr>
                          <w:rFonts w:cs="Arial"/>
                          <w:snapToGrid w:val="0"/>
                        </w:rPr>
                        <w:t>202</w:t>
                      </w:r>
                      <w:r w:rsidR="0055518D">
                        <w:rPr>
                          <w:rFonts w:cs="Arial"/>
                          <w:snapToGrid w:val="0"/>
                        </w:rPr>
                        <w:t>5</w:t>
                      </w:r>
                      <w:r w:rsidRPr="009A5185">
                        <w:rPr>
                          <w:rFonts w:cs="Arial"/>
                          <w:snapToGrid w:val="0"/>
                        </w:rPr>
                        <w:t xml:space="preserve"> </w:t>
                      </w:r>
                      <w:r>
                        <w:rPr>
                          <w:rFonts w:cs="Arial"/>
                          <w:snapToGrid w:val="0"/>
                        </w:rPr>
                        <w:t>–</w:t>
                      </w:r>
                      <w:r w:rsidRPr="009A5185">
                        <w:rPr>
                          <w:rFonts w:cs="Arial"/>
                          <w:snapToGrid w:val="0"/>
                        </w:rPr>
                        <w:t xml:space="preserve"> 06/30/</w:t>
                      </w:r>
                      <w:r>
                        <w:rPr>
                          <w:rFonts w:cs="Arial"/>
                          <w:snapToGrid w:val="0"/>
                        </w:rPr>
                        <w:t>202</w:t>
                      </w:r>
                      <w:r w:rsidR="0055518D">
                        <w:rPr>
                          <w:rFonts w:cs="Arial"/>
                          <w:snapToGrid w:val="0"/>
                        </w:rPr>
                        <w:t>6</w:t>
                      </w:r>
                    </w:p>
                    <w:p w14:paraId="30F4C3EB" w14:textId="77777777" w:rsidR="004C3107" w:rsidRDefault="004C3107" w:rsidP="004C3107">
                      <w:pPr>
                        <w:rPr>
                          <w:rFonts w:cs="Arial"/>
                          <w:i/>
                          <w:snapToGrid w:val="0"/>
                        </w:rPr>
                      </w:pPr>
                    </w:p>
                    <w:p w14:paraId="2A3B1EE6" w14:textId="2B066207" w:rsidR="004C3107" w:rsidRDefault="004C3107" w:rsidP="004C3107">
                      <w:r w:rsidRPr="006547C0">
                        <w:rPr>
                          <w:rFonts w:cs="Arial"/>
                          <w:sz w:val="16"/>
                          <w:szCs w:val="16"/>
                        </w:rPr>
                        <w:t xml:space="preserve">Note: As a reminder, the </w:t>
                      </w:r>
                      <w:hyperlink r:id="rId255" w:history="1">
                        <w:r w:rsidRPr="006547C0">
                          <w:rPr>
                            <w:rStyle w:val="Hyperlink"/>
                            <w:rFonts w:cs="Arial"/>
                            <w:sz w:val="16"/>
                            <w:szCs w:val="16"/>
                          </w:rPr>
                          <w:t>Corrections Period</w:t>
                        </w:r>
                      </w:hyperlink>
                      <w:r w:rsidRPr="006547C0">
                        <w:rPr>
                          <w:rFonts w:cs="Arial"/>
                          <w:sz w:val="16"/>
                          <w:szCs w:val="16"/>
                        </w:rPr>
                        <w:t xml:space="preserve"> </w:t>
                      </w:r>
                      <w:r w:rsidRPr="00E65E68">
                        <w:rPr>
                          <w:rFonts w:cs="Arial"/>
                          <w:sz w:val="16"/>
                          <w:szCs w:val="16"/>
                        </w:rPr>
                        <w:t>(</w:t>
                      </w:r>
                      <w:r>
                        <w:rPr>
                          <w:rFonts w:cs="Arial"/>
                          <w:sz w:val="16"/>
                          <w:szCs w:val="16"/>
                        </w:rPr>
                        <w:t>December</w:t>
                      </w:r>
                      <w:r w:rsidRPr="00E65E68">
                        <w:rPr>
                          <w:rFonts w:cs="Arial"/>
                          <w:sz w:val="16"/>
                          <w:szCs w:val="16"/>
                        </w:rPr>
                        <w:t xml:space="preserve"> 1-January 31) is reserved for corrections to previously submitted Surveys only. </w:t>
                      </w:r>
                      <w:r w:rsidRPr="00E65E68">
                        <w:rPr>
                          <w:rFonts w:cs="Arial"/>
                          <w:bCs/>
                          <w:snapToGrid w:val="0"/>
                          <w:sz w:val="16"/>
                          <w:szCs w:val="16"/>
                        </w:rPr>
                        <w:t xml:space="preserve">Any updates made to reflect a change in performance must be made prior to the </w:t>
                      </w:r>
                      <w:r>
                        <w:rPr>
                          <w:rFonts w:cs="Arial"/>
                          <w:bCs/>
                          <w:snapToGrid w:val="0"/>
                          <w:sz w:val="16"/>
                          <w:szCs w:val="16"/>
                        </w:rPr>
                        <w:t>November 30</w:t>
                      </w:r>
                      <w:r w:rsidRPr="00E65E68">
                        <w:rPr>
                          <w:rFonts w:cs="Arial"/>
                          <w:bCs/>
                          <w:snapToGrid w:val="0"/>
                          <w:sz w:val="16"/>
                          <w:szCs w:val="16"/>
                        </w:rPr>
                        <w:t xml:space="preserve"> Late Submission </w:t>
                      </w:r>
                      <w:r w:rsidRPr="00AE38C7">
                        <w:rPr>
                          <w:rFonts w:cs="Arial"/>
                          <w:bCs/>
                          <w:snapToGrid w:val="0"/>
                          <w:sz w:val="16"/>
                          <w:szCs w:val="16"/>
                        </w:rPr>
                        <w:t>and Performance Update</w:t>
                      </w:r>
                      <w:r>
                        <w:rPr>
                          <w:rFonts w:cs="Arial"/>
                          <w:bCs/>
                          <w:snapToGrid w:val="0"/>
                          <w:sz w:val="16"/>
                          <w:szCs w:val="16"/>
                        </w:rPr>
                        <w:t xml:space="preserve"> </w:t>
                      </w:r>
                      <w:r w:rsidRPr="00E65E68">
                        <w:rPr>
                          <w:rFonts w:cs="Arial"/>
                          <w:bCs/>
                          <w:snapToGrid w:val="0"/>
                          <w:sz w:val="16"/>
                          <w:szCs w:val="16"/>
                        </w:rPr>
                        <w:t xml:space="preserve">Deadline. Updates made to reflect a change in performance after </w:t>
                      </w:r>
                      <w:r>
                        <w:rPr>
                          <w:rFonts w:cs="Arial"/>
                          <w:bCs/>
                          <w:snapToGrid w:val="0"/>
                          <w:sz w:val="16"/>
                          <w:szCs w:val="16"/>
                        </w:rPr>
                        <w:t>November 30</w:t>
                      </w:r>
                      <w:r w:rsidRPr="00E65E68">
                        <w:rPr>
                          <w:rFonts w:cs="Arial"/>
                          <w:bCs/>
                          <w:snapToGrid w:val="0"/>
                          <w:sz w:val="16"/>
                          <w:szCs w:val="16"/>
                        </w:rPr>
                        <w:t xml:space="preserve"> will not be scored or publicly reported.</w:t>
                      </w:r>
                    </w:p>
                  </w:txbxContent>
                </v:textbox>
                <w10:anchorlock/>
              </v:shape>
            </w:pict>
          </mc:Fallback>
        </mc:AlternateContent>
      </w:r>
    </w:p>
    <w:p w14:paraId="0AF82085" w14:textId="77777777" w:rsidR="004C3107" w:rsidRPr="009A5185" w:rsidRDefault="004C3107" w:rsidP="00035AF9">
      <w:pPr>
        <w:rPr>
          <w:rFonts w:cs="Arial"/>
          <w:snapToGrid w:val="0"/>
        </w:rPr>
      </w:pPr>
    </w:p>
    <w:p w14:paraId="4847656B" w14:textId="3E339CB7" w:rsidR="00035AF9" w:rsidRPr="009A5185" w:rsidRDefault="00035AF9" w:rsidP="00035AF9">
      <w:pPr>
        <w:rPr>
          <w:rFonts w:cs="Arial"/>
          <w:snapToGrid w:val="0"/>
        </w:rPr>
      </w:pPr>
      <w:r w:rsidRPr="00CD30B8">
        <w:rPr>
          <w:rFonts w:cs="Arial"/>
          <w:b/>
          <w:iCs/>
          <w:snapToGrid w:val="0"/>
          <w:color w:val="000000"/>
        </w:rPr>
        <w:t>Sufficient Sample:</w:t>
      </w:r>
      <w:r w:rsidRPr="009A5185">
        <w:rPr>
          <w:rFonts w:cs="Arial"/>
          <w:snapToGrid w:val="0"/>
          <w:color w:val="000000"/>
        </w:rPr>
        <w:t xml:space="preserve"> See </w:t>
      </w:r>
      <w:hyperlink w:anchor="_Cesarean_Birth_2" w:history="1">
        <w:r w:rsidR="00CD30B8">
          <w:rPr>
            <w:rStyle w:val="Hyperlink"/>
            <w:rFonts w:cs="Arial"/>
            <w:b/>
            <w:i/>
            <w:snapToGrid w:val="0"/>
          </w:rPr>
          <w:t>Cesarean Birth Measure Specifications</w:t>
        </w:r>
      </w:hyperlink>
      <w:r w:rsidRPr="009A5185">
        <w:rPr>
          <w:rFonts w:cs="Arial"/>
          <w:snapToGrid w:val="0"/>
          <w:color w:val="000000"/>
        </w:rPr>
        <w:t xml:space="preserve"> for instructions for identifying a sufficient sample </w:t>
      </w:r>
      <w:r w:rsidR="00CD30B8">
        <w:rPr>
          <w:rFonts w:cs="Arial"/>
          <w:snapToGrid w:val="0"/>
          <w:color w:val="000000"/>
        </w:rPr>
        <w:t>for</w:t>
      </w:r>
      <w:r w:rsidRPr="009A5185">
        <w:rPr>
          <w:rFonts w:cs="Arial"/>
          <w:snapToGrid w:val="0"/>
          <w:color w:val="000000"/>
        </w:rPr>
        <w:t xml:space="preserve"> questions #2 and #3.</w:t>
      </w:r>
    </w:p>
    <w:p w14:paraId="760AA611" w14:textId="77777777" w:rsidR="00035AF9" w:rsidRPr="009A5185" w:rsidRDefault="00035AF9" w:rsidP="00B86077">
      <w:pPr>
        <w:rPr>
          <w:rFonts w:cs="Arial"/>
          <w:b/>
          <w:snapToGrid w:val="0"/>
          <w:color w:val="000000"/>
        </w:rPr>
      </w:pPr>
    </w:p>
    <w:tbl>
      <w:tblPr>
        <w:tblStyle w:val="TableGrid"/>
        <w:tblW w:w="9547" w:type="dxa"/>
        <w:tblLook w:val="04A0" w:firstRow="1" w:lastRow="0" w:firstColumn="1" w:lastColumn="0" w:noHBand="0" w:noVBand="1"/>
      </w:tblPr>
      <w:tblGrid>
        <w:gridCol w:w="6638"/>
        <w:gridCol w:w="2909"/>
      </w:tblGrid>
      <w:tr w:rsidR="00035AF9" w:rsidRPr="009A5185" w14:paraId="6859A794" w14:textId="77777777" w:rsidTr="00C8246A">
        <w:trPr>
          <w:trHeight w:val="432"/>
        </w:trPr>
        <w:tc>
          <w:tcPr>
            <w:tcW w:w="6638" w:type="dxa"/>
            <w:vAlign w:val="center"/>
          </w:tcPr>
          <w:p w14:paraId="1191BF1B" w14:textId="2F420E8D" w:rsidR="00035AF9" w:rsidRPr="009A5185" w:rsidRDefault="00035AF9" w:rsidP="00AD309C">
            <w:pPr>
              <w:pStyle w:val="ListParagraph"/>
              <w:numPr>
                <w:ilvl w:val="0"/>
                <w:numId w:val="28"/>
              </w:numPr>
              <w:rPr>
                <w:rFonts w:cs="Arial"/>
                <w:snapToGrid w:val="0"/>
                <w:color w:val="000000"/>
              </w:rPr>
            </w:pPr>
            <w:r w:rsidRPr="009A5185">
              <w:rPr>
                <w:rFonts w:cs="Arial"/>
                <w:snapToGrid w:val="0"/>
                <w:color w:val="000000"/>
              </w:rPr>
              <w:t>12-month reporting period used:</w:t>
            </w:r>
          </w:p>
        </w:tc>
        <w:tc>
          <w:tcPr>
            <w:tcW w:w="2909" w:type="dxa"/>
            <w:vAlign w:val="center"/>
          </w:tcPr>
          <w:p w14:paraId="0A78EF07" w14:textId="68FEE170" w:rsidR="00BE1D22" w:rsidRPr="00C06753" w:rsidRDefault="00BE1D22" w:rsidP="00AD309C">
            <w:pPr>
              <w:pStyle w:val="ListParagraph"/>
              <w:numPr>
                <w:ilvl w:val="0"/>
                <w:numId w:val="286"/>
              </w:numPr>
              <w:rPr>
                <w:rFonts w:cs="Arial"/>
                <w:iCs/>
              </w:rPr>
            </w:pPr>
            <w:r w:rsidRPr="00C8246A">
              <w:rPr>
                <w:rFonts w:cs="Arial"/>
                <w:iCs/>
              </w:rPr>
              <w:t>01/01/202</w:t>
            </w:r>
            <w:r w:rsidR="0055518D">
              <w:rPr>
                <w:rFonts w:cs="Arial"/>
                <w:iCs/>
              </w:rPr>
              <w:t>5</w:t>
            </w:r>
            <w:r w:rsidRPr="00C06753">
              <w:rPr>
                <w:rFonts w:cs="Arial"/>
                <w:iCs/>
              </w:rPr>
              <w:t xml:space="preserve"> </w:t>
            </w:r>
            <w:r w:rsidR="00080756" w:rsidRPr="00C06753">
              <w:rPr>
                <w:rFonts w:cs="Arial"/>
                <w:iCs/>
              </w:rPr>
              <w:t>–</w:t>
            </w:r>
            <w:r w:rsidRPr="00C06753">
              <w:rPr>
                <w:rFonts w:cs="Arial"/>
                <w:iCs/>
              </w:rPr>
              <w:t xml:space="preserve"> 12/31/202</w:t>
            </w:r>
            <w:r w:rsidR="0055518D">
              <w:rPr>
                <w:rFonts w:cs="Arial"/>
                <w:iCs/>
              </w:rPr>
              <w:t>5</w:t>
            </w:r>
          </w:p>
          <w:p w14:paraId="56D5EFB4" w14:textId="5C39EA02" w:rsidR="00035AF9" w:rsidRPr="00C27FF1" w:rsidRDefault="00035AF9" w:rsidP="00AD309C">
            <w:pPr>
              <w:pStyle w:val="ListParagraph"/>
              <w:numPr>
                <w:ilvl w:val="0"/>
                <w:numId w:val="286"/>
              </w:numPr>
              <w:rPr>
                <w:rFonts w:cs="Arial"/>
                <w:i/>
              </w:rPr>
            </w:pPr>
            <w:r w:rsidRPr="00C06753">
              <w:rPr>
                <w:rFonts w:cs="Arial"/>
                <w:iCs/>
              </w:rPr>
              <w:t>07/01/</w:t>
            </w:r>
            <w:r w:rsidR="00BE1D22" w:rsidRPr="00C06753">
              <w:rPr>
                <w:rFonts w:cs="Arial"/>
                <w:iCs/>
              </w:rPr>
              <w:t>202</w:t>
            </w:r>
            <w:r w:rsidR="0055518D">
              <w:rPr>
                <w:rFonts w:cs="Arial"/>
                <w:iCs/>
              </w:rPr>
              <w:t>5</w:t>
            </w:r>
            <w:r w:rsidRPr="00C06753">
              <w:rPr>
                <w:rFonts w:cs="Arial"/>
                <w:iCs/>
              </w:rPr>
              <w:t xml:space="preserve"> </w:t>
            </w:r>
            <w:r w:rsidR="00080756" w:rsidRPr="00C06753">
              <w:rPr>
                <w:rFonts w:cs="Arial"/>
                <w:iCs/>
              </w:rPr>
              <w:t>–</w:t>
            </w:r>
            <w:r w:rsidRPr="00C06753">
              <w:rPr>
                <w:rFonts w:cs="Arial"/>
                <w:iCs/>
              </w:rPr>
              <w:t xml:space="preserve"> 06/30/</w:t>
            </w:r>
            <w:r w:rsidR="00BE1D22" w:rsidRPr="00C06753">
              <w:rPr>
                <w:rFonts w:cs="Arial"/>
                <w:iCs/>
              </w:rPr>
              <w:t>202</w:t>
            </w:r>
            <w:r w:rsidR="0055518D">
              <w:rPr>
                <w:rFonts w:cs="Arial"/>
                <w:iCs/>
              </w:rPr>
              <w:t>6</w:t>
            </w:r>
          </w:p>
        </w:tc>
      </w:tr>
      <w:tr w:rsidR="00035AF9" w:rsidRPr="009A5185" w14:paraId="3BC396A9" w14:textId="77777777" w:rsidTr="00C8246A">
        <w:trPr>
          <w:trHeight w:val="1872"/>
        </w:trPr>
        <w:tc>
          <w:tcPr>
            <w:tcW w:w="6638" w:type="dxa"/>
            <w:vAlign w:val="center"/>
          </w:tcPr>
          <w:p w14:paraId="527EB4C7" w14:textId="0566E1ED" w:rsidR="00035AF9" w:rsidRPr="009A5185" w:rsidRDefault="00035AF9" w:rsidP="00AD309C">
            <w:pPr>
              <w:pStyle w:val="ListParagraph"/>
              <w:numPr>
                <w:ilvl w:val="0"/>
                <w:numId w:val="28"/>
              </w:numPr>
              <w:rPr>
                <w:rFonts w:cs="Arial"/>
                <w:snapToGrid w:val="0"/>
                <w:color w:val="000000"/>
              </w:rPr>
            </w:pPr>
            <w:r w:rsidRPr="009A5185">
              <w:rPr>
                <w:rFonts w:cs="Arial"/>
                <w:snapToGrid w:val="0"/>
                <w:color w:val="000000"/>
              </w:rPr>
              <w:t xml:space="preserve">Total number of nulliparous mothers (or sufficient sample of them) that delivered a live term singleton newborn in the vertex presentation with &gt;=37 weeks of gestation completed, with </w:t>
            </w:r>
            <w:r w:rsidRPr="009A5185">
              <w:rPr>
                <w:rFonts w:cs="Arial"/>
                <w:b/>
                <w:snapToGrid w:val="0"/>
                <w:color w:val="000000"/>
              </w:rPr>
              <w:t>Excluded Populations</w:t>
            </w:r>
            <w:r w:rsidRPr="009A5185">
              <w:rPr>
                <w:rFonts w:cs="Arial"/>
                <w:snapToGrid w:val="0"/>
                <w:color w:val="000000"/>
              </w:rPr>
              <w:t xml:space="preserve"> removed</w:t>
            </w:r>
            <w:r w:rsidR="00C06446">
              <w:rPr>
                <w:rFonts w:cs="Arial"/>
                <w:snapToGrid w:val="0"/>
                <w:color w:val="000000"/>
              </w:rPr>
              <w:t>:</w:t>
            </w:r>
          </w:p>
          <w:p w14:paraId="61EA123A" w14:textId="77777777" w:rsidR="00035AF9" w:rsidRPr="009A5185" w:rsidRDefault="00035AF9" w:rsidP="00840986">
            <w:pPr>
              <w:pStyle w:val="ListParagraph"/>
              <w:ind w:left="360"/>
              <w:rPr>
                <w:rFonts w:cs="Arial"/>
                <w:snapToGrid w:val="0"/>
                <w:color w:val="000000"/>
              </w:rPr>
            </w:pPr>
          </w:p>
          <w:p w14:paraId="6BCA3666" w14:textId="2C3C3613" w:rsidR="00035AF9" w:rsidRPr="009A5185" w:rsidRDefault="00035AF9" w:rsidP="00E35464">
            <w:pPr>
              <w:pStyle w:val="ListParagraph"/>
              <w:ind w:left="360"/>
              <w:rPr>
                <w:rFonts w:cs="Arial"/>
                <w:snapToGrid w:val="0"/>
                <w:color w:val="000000"/>
              </w:rPr>
            </w:pPr>
            <w:r w:rsidRPr="009A5185">
              <w:rPr>
                <w:rFonts w:cs="Arial"/>
                <w:i/>
                <w:snapToGrid w:val="0"/>
              </w:rPr>
              <w:t xml:space="preserve">If fewer than 10 cases met the criteria for the denominator, skip questions </w:t>
            </w:r>
            <w:r w:rsidRPr="00097B5B">
              <w:rPr>
                <w:rFonts w:cs="Arial"/>
                <w:i/>
                <w:snapToGrid w:val="0"/>
              </w:rPr>
              <w:t>#3-</w:t>
            </w:r>
            <w:r w:rsidR="00BB0AC8">
              <w:rPr>
                <w:rFonts w:cs="Arial"/>
                <w:i/>
                <w:snapToGrid w:val="0"/>
              </w:rPr>
              <w:t>8</w:t>
            </w:r>
            <w:r w:rsidRPr="00097B5B">
              <w:rPr>
                <w:rFonts w:cs="Arial"/>
                <w:i/>
                <w:snapToGrid w:val="0"/>
              </w:rPr>
              <w:t xml:space="preserve"> and </w:t>
            </w:r>
            <w:r w:rsidR="00E35464" w:rsidRPr="00097B5B">
              <w:rPr>
                <w:rFonts w:cs="Arial"/>
                <w:i/>
                <w:snapToGrid w:val="0"/>
              </w:rPr>
              <w:t>continue</w:t>
            </w:r>
            <w:r w:rsidRPr="00097B5B">
              <w:rPr>
                <w:rFonts w:cs="Arial"/>
                <w:i/>
                <w:snapToGrid w:val="0"/>
              </w:rPr>
              <w:t xml:space="preserve"> to the next subsection</w:t>
            </w:r>
            <w:r w:rsidRPr="00EA7BCB">
              <w:rPr>
                <w:rFonts w:cs="Arial"/>
                <w:i/>
                <w:snapToGrid w:val="0"/>
              </w:rPr>
              <w:t>.</w:t>
            </w:r>
            <w:r w:rsidR="00E26628" w:rsidRPr="00EA7BCB">
              <w:rPr>
                <w:rFonts w:cs="Arial"/>
                <w:i/>
                <w:snapToGrid w:val="0"/>
              </w:rPr>
              <w:t xml:space="preserve"> </w:t>
            </w:r>
            <w:r w:rsidR="00E26628" w:rsidRPr="00EA7BCB">
              <w:rPr>
                <w:rFonts w:cs="Arial"/>
                <w:i/>
              </w:rPr>
              <w:t>The hospital will be scored as “Unable to Calculate Score.”</w:t>
            </w:r>
          </w:p>
        </w:tc>
        <w:tc>
          <w:tcPr>
            <w:tcW w:w="2909" w:type="dxa"/>
            <w:vAlign w:val="center"/>
          </w:tcPr>
          <w:p w14:paraId="4795E682" w14:textId="77777777" w:rsidR="00035AF9" w:rsidRPr="009A5185" w:rsidRDefault="00035AF9" w:rsidP="00840986">
            <w:pPr>
              <w:jc w:val="center"/>
              <w:rPr>
                <w:rFonts w:cs="Arial"/>
                <w:i/>
                <w:snapToGrid w:val="0"/>
                <w:color w:val="000000"/>
              </w:rPr>
            </w:pPr>
          </w:p>
          <w:p w14:paraId="5CB8E204" w14:textId="77777777" w:rsidR="00035AF9" w:rsidRPr="009A5185" w:rsidRDefault="00035AF9" w:rsidP="00840986">
            <w:pPr>
              <w:jc w:val="center"/>
              <w:rPr>
                <w:rFonts w:cs="Arial"/>
                <w:i/>
                <w:snapToGrid w:val="0"/>
                <w:color w:val="000000"/>
              </w:rPr>
            </w:pPr>
            <w:r w:rsidRPr="009A5185">
              <w:rPr>
                <w:rFonts w:cs="Arial"/>
                <w:i/>
                <w:snapToGrid w:val="0"/>
                <w:color w:val="000000"/>
              </w:rPr>
              <w:t>______</w:t>
            </w:r>
          </w:p>
        </w:tc>
      </w:tr>
      <w:tr w:rsidR="00035AF9" w:rsidRPr="009A5185" w14:paraId="3B1182BE" w14:textId="77777777" w:rsidTr="00C8246A">
        <w:trPr>
          <w:trHeight w:hRule="exact" w:val="576"/>
        </w:trPr>
        <w:tc>
          <w:tcPr>
            <w:tcW w:w="6638" w:type="dxa"/>
            <w:vAlign w:val="center"/>
          </w:tcPr>
          <w:p w14:paraId="597797C0" w14:textId="56F5F8C5" w:rsidR="00035AF9" w:rsidRPr="009A5185" w:rsidRDefault="00035AF9" w:rsidP="00AD309C">
            <w:pPr>
              <w:pStyle w:val="ListParagraph"/>
              <w:numPr>
                <w:ilvl w:val="0"/>
                <w:numId w:val="28"/>
              </w:numPr>
              <w:rPr>
                <w:rFonts w:cs="Arial"/>
                <w:snapToGrid w:val="0"/>
              </w:rPr>
            </w:pPr>
            <w:r w:rsidRPr="009A5185">
              <w:rPr>
                <w:rFonts w:cs="Arial"/>
                <w:snapToGrid w:val="0"/>
                <w:color w:val="000000"/>
              </w:rPr>
              <w:t>Total number of mothers indicated in question #2 that had their newborn delivered via cesarean section</w:t>
            </w:r>
            <w:r w:rsidR="00860AD7">
              <w:rPr>
                <w:rFonts w:cs="Arial"/>
                <w:snapToGrid w:val="0"/>
                <w:color w:val="000000"/>
              </w:rPr>
              <w:t>:</w:t>
            </w:r>
          </w:p>
        </w:tc>
        <w:tc>
          <w:tcPr>
            <w:tcW w:w="2909" w:type="dxa"/>
            <w:vAlign w:val="center"/>
          </w:tcPr>
          <w:p w14:paraId="5C059018" w14:textId="77777777" w:rsidR="00035AF9" w:rsidRPr="009A5185" w:rsidRDefault="00035AF9" w:rsidP="00840986">
            <w:pPr>
              <w:jc w:val="center"/>
              <w:rPr>
                <w:rFonts w:cs="Arial"/>
                <w:i/>
                <w:snapToGrid w:val="0"/>
                <w:color w:val="000000"/>
              </w:rPr>
            </w:pPr>
          </w:p>
          <w:p w14:paraId="5C75BF69" w14:textId="77777777" w:rsidR="00035AF9" w:rsidRPr="009A5185" w:rsidRDefault="00035AF9" w:rsidP="00840986">
            <w:pPr>
              <w:jc w:val="center"/>
              <w:rPr>
                <w:rFonts w:cs="Arial"/>
                <w:i/>
                <w:snapToGrid w:val="0"/>
                <w:color w:val="000000"/>
              </w:rPr>
            </w:pPr>
            <w:r w:rsidRPr="009A5185">
              <w:rPr>
                <w:rFonts w:cs="Arial"/>
                <w:i/>
                <w:snapToGrid w:val="0"/>
                <w:color w:val="000000"/>
              </w:rPr>
              <w:t>______</w:t>
            </w:r>
          </w:p>
          <w:p w14:paraId="2C3CFF0E" w14:textId="77777777" w:rsidR="00035AF9" w:rsidRPr="009A5185" w:rsidRDefault="00035AF9" w:rsidP="00840986">
            <w:pPr>
              <w:rPr>
                <w:rFonts w:cs="Arial"/>
                <w:i/>
                <w:snapToGrid w:val="0"/>
                <w:color w:val="000000"/>
              </w:rPr>
            </w:pPr>
          </w:p>
        </w:tc>
      </w:tr>
      <w:tr w:rsidR="00035AF9" w:rsidRPr="009A5185" w14:paraId="384AB1B9" w14:textId="77777777" w:rsidTr="00C8246A">
        <w:trPr>
          <w:trHeight w:hRule="exact" w:val="576"/>
        </w:trPr>
        <w:tc>
          <w:tcPr>
            <w:tcW w:w="6638" w:type="dxa"/>
            <w:vAlign w:val="center"/>
          </w:tcPr>
          <w:p w14:paraId="29D197E1" w14:textId="77777777" w:rsidR="00035AF9" w:rsidRPr="009A5185" w:rsidRDefault="00035AF9" w:rsidP="00AD309C">
            <w:pPr>
              <w:pStyle w:val="ListParagraph"/>
              <w:numPr>
                <w:ilvl w:val="0"/>
                <w:numId w:val="28"/>
              </w:numPr>
              <w:spacing w:before="120" w:after="120"/>
              <w:rPr>
                <w:rFonts w:cs="Arial"/>
                <w:i/>
                <w:snapToGrid w:val="0"/>
                <w:color w:val="000000"/>
              </w:rPr>
            </w:pPr>
            <w:r w:rsidRPr="009A5185">
              <w:rPr>
                <w:rFonts w:cs="Arial"/>
                <w:snapToGrid w:val="0"/>
                <w:color w:val="000000"/>
              </w:rPr>
              <w:t>Do the responses in questions #2 and #3 above represent a sample of cases?</w:t>
            </w:r>
          </w:p>
        </w:tc>
        <w:tc>
          <w:tcPr>
            <w:tcW w:w="2909" w:type="dxa"/>
            <w:vAlign w:val="center"/>
          </w:tcPr>
          <w:p w14:paraId="68BC58F2" w14:textId="77777777" w:rsidR="00035AF9" w:rsidRPr="00A31567" w:rsidRDefault="00035AF9" w:rsidP="00AD309C">
            <w:pPr>
              <w:pStyle w:val="ListParagraph"/>
              <w:numPr>
                <w:ilvl w:val="0"/>
                <w:numId w:val="287"/>
              </w:numPr>
              <w:rPr>
                <w:rFonts w:cs="Arial"/>
                <w:iCs/>
                <w:snapToGrid w:val="0"/>
                <w:color w:val="000000"/>
              </w:rPr>
            </w:pPr>
            <w:r w:rsidRPr="00A31567">
              <w:rPr>
                <w:rFonts w:cs="Arial"/>
                <w:iCs/>
                <w:snapToGrid w:val="0"/>
                <w:color w:val="000000"/>
              </w:rPr>
              <w:t>Yes</w:t>
            </w:r>
          </w:p>
          <w:p w14:paraId="1CAD1D53" w14:textId="77777777" w:rsidR="00035AF9" w:rsidRPr="00C8246A" w:rsidRDefault="00035AF9" w:rsidP="00AD309C">
            <w:pPr>
              <w:pStyle w:val="ListParagraph"/>
              <w:numPr>
                <w:ilvl w:val="0"/>
                <w:numId w:val="287"/>
              </w:numPr>
              <w:rPr>
                <w:rFonts w:cs="Arial"/>
                <w:iCs/>
                <w:snapToGrid w:val="0"/>
                <w:color w:val="000000"/>
              </w:rPr>
            </w:pPr>
            <w:r w:rsidRPr="00A31567">
              <w:rPr>
                <w:rFonts w:cs="Arial"/>
                <w:iCs/>
                <w:snapToGrid w:val="0"/>
                <w:color w:val="000000"/>
              </w:rPr>
              <w:t>No</w:t>
            </w:r>
          </w:p>
        </w:tc>
      </w:tr>
      <w:tr w:rsidR="00035AF9" w:rsidRPr="009A5185" w14:paraId="42DBC7C5" w14:textId="77777777" w:rsidTr="00B46B65">
        <w:trPr>
          <w:trHeight w:val="20"/>
        </w:trPr>
        <w:tc>
          <w:tcPr>
            <w:tcW w:w="6638" w:type="dxa"/>
            <w:vAlign w:val="center"/>
          </w:tcPr>
          <w:p w14:paraId="2490E55E" w14:textId="77777777" w:rsidR="00035AF9" w:rsidRPr="009A5185" w:rsidRDefault="00035AF9" w:rsidP="00AD309C">
            <w:pPr>
              <w:pStyle w:val="ListParagraph"/>
              <w:numPr>
                <w:ilvl w:val="0"/>
                <w:numId w:val="28"/>
              </w:numPr>
              <w:spacing w:before="120" w:after="120"/>
              <w:rPr>
                <w:rFonts w:cs="Arial"/>
                <w:i/>
                <w:snapToGrid w:val="0"/>
                <w:color w:val="000000"/>
              </w:rPr>
            </w:pPr>
            <w:r w:rsidRPr="009A5185">
              <w:rPr>
                <w:rFonts w:cs="Arial"/>
                <w:snapToGrid w:val="0"/>
                <w:color w:val="000000"/>
              </w:rPr>
              <w:t>If “yes” to question #4, did your hospital sample using The Joint Commission’s sampling algorithm or Leapfrog’s sampling instructions, as provided in the Maternity Care Reference Information?</w:t>
            </w:r>
          </w:p>
        </w:tc>
        <w:tc>
          <w:tcPr>
            <w:tcW w:w="2909" w:type="dxa"/>
            <w:vAlign w:val="center"/>
          </w:tcPr>
          <w:p w14:paraId="7B78B088" w14:textId="55872F95" w:rsidR="00035AF9" w:rsidRPr="00A31567" w:rsidRDefault="00035AF9" w:rsidP="00AD309C">
            <w:pPr>
              <w:pStyle w:val="ListParagraph"/>
              <w:numPr>
                <w:ilvl w:val="0"/>
                <w:numId w:val="287"/>
              </w:numPr>
              <w:rPr>
                <w:rFonts w:cs="Arial"/>
                <w:iCs/>
                <w:snapToGrid w:val="0"/>
                <w:color w:val="000000"/>
              </w:rPr>
            </w:pPr>
            <w:r w:rsidRPr="00A31567">
              <w:rPr>
                <w:rFonts w:cs="Arial"/>
                <w:iCs/>
                <w:snapToGrid w:val="0"/>
                <w:color w:val="000000"/>
              </w:rPr>
              <w:t>The Joint Commission</w:t>
            </w:r>
          </w:p>
          <w:p w14:paraId="60193A3B" w14:textId="77777777" w:rsidR="00035AF9" w:rsidRPr="00A31567" w:rsidRDefault="00035AF9" w:rsidP="00AD309C">
            <w:pPr>
              <w:pStyle w:val="ListParagraph"/>
              <w:numPr>
                <w:ilvl w:val="0"/>
                <w:numId w:val="287"/>
              </w:numPr>
              <w:rPr>
                <w:rFonts w:cs="Arial"/>
                <w:iCs/>
                <w:snapToGrid w:val="0"/>
                <w:color w:val="000000"/>
              </w:rPr>
            </w:pPr>
            <w:r w:rsidRPr="00A31567">
              <w:rPr>
                <w:rFonts w:cs="Arial"/>
                <w:iCs/>
                <w:snapToGrid w:val="0"/>
                <w:color w:val="000000"/>
              </w:rPr>
              <w:t>The Leapfrog Group</w:t>
            </w:r>
          </w:p>
        </w:tc>
      </w:tr>
    </w:tbl>
    <w:p w14:paraId="048B9E59" w14:textId="77777777" w:rsidR="006E50EF" w:rsidRDefault="006E50EF" w:rsidP="00B86077">
      <w:pPr>
        <w:rPr>
          <w:rFonts w:cs="Arial"/>
          <w:b/>
          <w:snapToGrid w:val="0"/>
          <w:color w:val="000000"/>
        </w:rPr>
      </w:pPr>
    </w:p>
    <w:p w14:paraId="4DCE0DEC" w14:textId="77777777" w:rsidR="00221DC3" w:rsidRDefault="00221DC3" w:rsidP="00B86077">
      <w:pPr>
        <w:rPr>
          <w:rFonts w:cs="Arial"/>
          <w:b/>
          <w:snapToGrid w:val="0"/>
          <w:color w:val="000000"/>
        </w:rPr>
      </w:pPr>
    </w:p>
    <w:p w14:paraId="0F798ED3" w14:textId="77777777" w:rsidR="00221DC3" w:rsidRDefault="00221DC3" w:rsidP="00B86077">
      <w:pPr>
        <w:rPr>
          <w:rFonts w:cs="Arial"/>
          <w:b/>
          <w:snapToGrid w:val="0"/>
          <w:color w:val="000000"/>
        </w:rPr>
      </w:pPr>
    </w:p>
    <w:p w14:paraId="3BCBFF4E" w14:textId="77777777" w:rsidR="00221DC3" w:rsidRDefault="00221DC3" w:rsidP="00B86077">
      <w:pPr>
        <w:rPr>
          <w:rFonts w:cs="Arial"/>
          <w:b/>
          <w:snapToGrid w:val="0"/>
          <w:color w:val="000000"/>
        </w:rPr>
      </w:pPr>
    </w:p>
    <w:p w14:paraId="483FC5F4" w14:textId="77777777" w:rsidR="00221DC3" w:rsidRPr="009A5185" w:rsidRDefault="00221DC3" w:rsidP="00B86077">
      <w:pPr>
        <w:rPr>
          <w:rFonts w:cs="Arial"/>
          <w:b/>
          <w:snapToGrid w:val="0"/>
          <w:color w:val="000000"/>
        </w:rPr>
      </w:pPr>
    </w:p>
    <w:p w14:paraId="1377CB19" w14:textId="1510CF77" w:rsidR="00C27FF1" w:rsidRDefault="00C27FF1" w:rsidP="00AB5B80">
      <w:pPr>
        <w:pStyle w:val="Heading3"/>
      </w:pPr>
      <w:bookmarkStart w:id="299" w:name="_Toc225877728"/>
      <w:r>
        <w:t>Cesarean Birth Stratified by Race/Ethnicity</w:t>
      </w:r>
      <w:bookmarkEnd w:id="299"/>
      <w:r>
        <w:br/>
      </w:r>
    </w:p>
    <w:p w14:paraId="11377A98" w14:textId="5A37FCEF" w:rsidR="00C27FF1" w:rsidRPr="00C8246A" w:rsidRDefault="00C27FF1" w:rsidP="00B92EC0">
      <w:pPr>
        <w:rPr>
          <w:lang w:eastAsia="ja-JP"/>
        </w:rPr>
      </w:pPr>
      <w:r w:rsidRPr="004C3107">
        <w:rPr>
          <w:noProof/>
        </w:rPr>
        <mc:AlternateContent>
          <mc:Choice Requires="wps">
            <w:drawing>
              <wp:inline distT="0" distB="0" distL="0" distR="0" wp14:anchorId="30EF38C3" wp14:editId="7A19E594">
                <wp:extent cx="5943600" cy="1632585"/>
                <wp:effectExtent l="0" t="0" r="19050" b="24765"/>
                <wp:docPr id="82363900" name="Text Box 82363900" descr="P6363TB16#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632585"/>
                        </a:xfrm>
                        <a:prstGeom prst="rect">
                          <a:avLst/>
                        </a:prstGeom>
                        <a:solidFill>
                          <a:srgbClr val="FFFFFF"/>
                        </a:solidFill>
                        <a:ln w="9525">
                          <a:solidFill>
                            <a:srgbClr val="FF0000"/>
                          </a:solidFill>
                          <a:miter lim="800000"/>
                          <a:headEnd/>
                          <a:tailEnd/>
                        </a:ln>
                      </wps:spPr>
                      <wps:txbx>
                        <w:txbxContent>
                          <w:p w14:paraId="3113FFFA" w14:textId="0F4C21CF" w:rsidR="00C27FF1" w:rsidRPr="009A5185" w:rsidRDefault="00C27FF1" w:rsidP="00C27FF1">
                            <w:pPr>
                              <w:spacing w:before="40"/>
                              <w:rPr>
                                <w:rFonts w:cs="Arial"/>
                                <w:b/>
                                <w:snapToGrid w:val="0"/>
                              </w:rPr>
                            </w:pPr>
                            <w:r w:rsidRPr="009A5185">
                              <w:rPr>
                                <w:rFonts w:cs="Arial"/>
                                <w:b/>
                                <w:snapToGrid w:val="0"/>
                              </w:rPr>
                              <w:t xml:space="preserve">Reporting Period: </w:t>
                            </w:r>
                            <w:r>
                              <w:rPr>
                                <w:rFonts w:cs="Arial"/>
                                <w:b/>
                                <w:snapToGrid w:val="0"/>
                              </w:rPr>
                              <w:t>24</w:t>
                            </w:r>
                            <w:r w:rsidRPr="009A5185">
                              <w:rPr>
                                <w:rFonts w:cs="Arial"/>
                                <w:b/>
                                <w:snapToGrid w:val="0"/>
                              </w:rPr>
                              <w:t xml:space="preserve"> months</w:t>
                            </w:r>
                          </w:p>
                          <w:p w14:paraId="674FE80B" w14:textId="111CFFF0" w:rsidR="00C27FF1" w:rsidRPr="009A5185" w:rsidRDefault="00C27FF1" w:rsidP="00C27FF1">
                            <w:pPr>
                              <w:rPr>
                                <w:rFonts w:cs="Arial"/>
                                <w:b/>
                                <w:snapToGrid w:val="0"/>
                              </w:rPr>
                            </w:pPr>
                            <w:r w:rsidRPr="009A5185">
                              <w:rPr>
                                <w:rFonts w:cs="Arial"/>
                                <w:snapToGrid w:val="0"/>
                              </w:rPr>
                              <w:t>Answer questions #</w:t>
                            </w:r>
                            <w:r>
                              <w:rPr>
                                <w:rFonts w:cs="Arial"/>
                                <w:snapToGrid w:val="0"/>
                              </w:rPr>
                              <w:t>6-8</w:t>
                            </w:r>
                            <w:r w:rsidRPr="009A5185">
                              <w:rPr>
                                <w:rFonts w:cs="Arial"/>
                                <w:snapToGrid w:val="0"/>
                              </w:rPr>
                              <w:t xml:space="preserve"> based </w:t>
                            </w:r>
                            <w:r w:rsidRPr="009A5185">
                              <w:rPr>
                                <w:rFonts w:cs="Arial"/>
                                <w:snapToGrid w:val="0"/>
                                <w:color w:val="000000"/>
                              </w:rPr>
                              <w:t xml:space="preserve">on </w:t>
                            </w:r>
                            <w:r w:rsidRPr="009A5185">
                              <w:rPr>
                                <w:rFonts w:cs="Arial"/>
                                <w:snapToGrid w:val="0"/>
                              </w:rPr>
                              <w:t>all cases</w:t>
                            </w:r>
                          </w:p>
                          <w:p w14:paraId="7F85E01C" w14:textId="77777777" w:rsidR="00C27FF1" w:rsidRPr="00BE1D22" w:rsidRDefault="00C27FF1" w:rsidP="00AD309C">
                            <w:pPr>
                              <w:pStyle w:val="ListParagraph"/>
                              <w:numPr>
                                <w:ilvl w:val="0"/>
                                <w:numId w:val="36"/>
                              </w:numPr>
                              <w:rPr>
                                <w:rFonts w:cs="Arial"/>
                                <w:i/>
                                <w:snapToGrid w:val="0"/>
                              </w:rPr>
                            </w:pPr>
                            <w:r>
                              <w:rPr>
                                <w:rFonts w:cs="Arial"/>
                                <w:iCs/>
                                <w:snapToGrid w:val="0"/>
                              </w:rPr>
                              <w:t>Surveys submitted prior to September 1:</w:t>
                            </w:r>
                          </w:p>
                          <w:p w14:paraId="4DF38483" w14:textId="516EBC7A" w:rsidR="00C27FF1" w:rsidRPr="009A5185" w:rsidRDefault="00C27FF1" w:rsidP="00AD309C">
                            <w:pPr>
                              <w:pStyle w:val="ListParagraph"/>
                              <w:numPr>
                                <w:ilvl w:val="1"/>
                                <w:numId w:val="36"/>
                              </w:numPr>
                              <w:rPr>
                                <w:rFonts w:cs="Arial"/>
                                <w:i/>
                                <w:snapToGrid w:val="0"/>
                              </w:rPr>
                            </w:pPr>
                            <w:r>
                              <w:rPr>
                                <w:rFonts w:cs="Arial"/>
                                <w:iCs/>
                                <w:snapToGrid w:val="0"/>
                              </w:rPr>
                              <w:t>01/01/202</w:t>
                            </w:r>
                            <w:r w:rsidR="005F27E6">
                              <w:rPr>
                                <w:rFonts w:cs="Arial"/>
                                <w:iCs/>
                                <w:snapToGrid w:val="0"/>
                              </w:rPr>
                              <w:t>4</w:t>
                            </w:r>
                            <w:r>
                              <w:rPr>
                                <w:rFonts w:cs="Arial"/>
                                <w:iCs/>
                                <w:snapToGrid w:val="0"/>
                              </w:rPr>
                              <w:t xml:space="preserve"> – 12/31/202</w:t>
                            </w:r>
                            <w:r w:rsidR="005F27E6">
                              <w:rPr>
                                <w:rFonts w:cs="Arial"/>
                                <w:iCs/>
                                <w:snapToGrid w:val="0"/>
                              </w:rPr>
                              <w:t>5</w:t>
                            </w:r>
                          </w:p>
                          <w:p w14:paraId="122F76A0" w14:textId="77777777" w:rsidR="00C27FF1" w:rsidRPr="00BE1D22" w:rsidRDefault="00C27FF1" w:rsidP="00AD309C">
                            <w:pPr>
                              <w:pStyle w:val="ListParagraph"/>
                              <w:numPr>
                                <w:ilvl w:val="0"/>
                                <w:numId w:val="36"/>
                              </w:numPr>
                              <w:rPr>
                                <w:rFonts w:cs="Arial"/>
                                <w:i/>
                                <w:snapToGrid w:val="0"/>
                              </w:rPr>
                            </w:pPr>
                            <w:r w:rsidRPr="009A5185">
                              <w:rPr>
                                <w:rFonts w:cs="Arial"/>
                                <w:snapToGrid w:val="0"/>
                              </w:rPr>
                              <w:t xml:space="preserve">Surveys (re)submitted on or after September 1: </w:t>
                            </w:r>
                          </w:p>
                          <w:p w14:paraId="41E69438" w14:textId="09C165D8" w:rsidR="00C27FF1" w:rsidRPr="00FD4BD9" w:rsidRDefault="00C27FF1" w:rsidP="00AD309C">
                            <w:pPr>
                              <w:pStyle w:val="ListParagraph"/>
                              <w:numPr>
                                <w:ilvl w:val="1"/>
                                <w:numId w:val="36"/>
                              </w:numPr>
                              <w:rPr>
                                <w:rFonts w:cs="Arial"/>
                                <w:i/>
                                <w:snapToGrid w:val="0"/>
                              </w:rPr>
                            </w:pPr>
                            <w:r w:rsidRPr="009A5185">
                              <w:rPr>
                                <w:rFonts w:cs="Arial"/>
                                <w:snapToGrid w:val="0"/>
                              </w:rPr>
                              <w:t>07/01/</w:t>
                            </w:r>
                            <w:r>
                              <w:rPr>
                                <w:rFonts w:cs="Arial"/>
                                <w:snapToGrid w:val="0"/>
                              </w:rPr>
                              <w:t>202</w:t>
                            </w:r>
                            <w:r w:rsidR="005F27E6">
                              <w:rPr>
                                <w:rFonts w:cs="Arial"/>
                                <w:snapToGrid w:val="0"/>
                              </w:rPr>
                              <w:t>4</w:t>
                            </w:r>
                            <w:r w:rsidRPr="009A5185">
                              <w:rPr>
                                <w:rFonts w:cs="Arial"/>
                                <w:snapToGrid w:val="0"/>
                              </w:rPr>
                              <w:t xml:space="preserve"> </w:t>
                            </w:r>
                            <w:r>
                              <w:rPr>
                                <w:rFonts w:cs="Arial"/>
                                <w:snapToGrid w:val="0"/>
                              </w:rPr>
                              <w:t>–</w:t>
                            </w:r>
                            <w:r w:rsidRPr="009A5185">
                              <w:rPr>
                                <w:rFonts w:cs="Arial"/>
                                <w:snapToGrid w:val="0"/>
                              </w:rPr>
                              <w:t xml:space="preserve"> 06/30/</w:t>
                            </w:r>
                            <w:r>
                              <w:rPr>
                                <w:rFonts w:cs="Arial"/>
                                <w:snapToGrid w:val="0"/>
                              </w:rPr>
                              <w:t>202</w:t>
                            </w:r>
                            <w:r w:rsidR="005F27E6">
                              <w:rPr>
                                <w:rFonts w:cs="Arial"/>
                                <w:snapToGrid w:val="0"/>
                              </w:rPr>
                              <w:t>6</w:t>
                            </w:r>
                          </w:p>
                          <w:p w14:paraId="45D0F5BF" w14:textId="77777777" w:rsidR="00C27FF1" w:rsidRDefault="00C27FF1" w:rsidP="00C27FF1">
                            <w:pPr>
                              <w:rPr>
                                <w:rFonts w:cs="Arial"/>
                                <w:i/>
                                <w:snapToGrid w:val="0"/>
                              </w:rPr>
                            </w:pPr>
                          </w:p>
                          <w:p w14:paraId="7C706C36" w14:textId="77777777" w:rsidR="00C27FF1" w:rsidRDefault="00C27FF1" w:rsidP="00C27FF1">
                            <w:r w:rsidRPr="006547C0">
                              <w:rPr>
                                <w:rFonts w:cs="Arial"/>
                                <w:sz w:val="16"/>
                                <w:szCs w:val="16"/>
                              </w:rPr>
                              <w:t xml:space="preserve">Note: As a reminder, the </w:t>
                            </w:r>
                            <w:hyperlink r:id="rId256" w:history="1">
                              <w:r w:rsidRPr="006547C0">
                                <w:rPr>
                                  <w:rStyle w:val="Hyperlink"/>
                                  <w:rFonts w:cs="Arial"/>
                                  <w:sz w:val="16"/>
                                  <w:szCs w:val="16"/>
                                </w:rPr>
                                <w:t>Corrections Period</w:t>
                              </w:r>
                            </w:hyperlink>
                            <w:r w:rsidRPr="006547C0">
                              <w:rPr>
                                <w:rFonts w:cs="Arial"/>
                                <w:sz w:val="16"/>
                                <w:szCs w:val="16"/>
                              </w:rPr>
                              <w:t xml:space="preserve"> </w:t>
                            </w:r>
                            <w:r w:rsidRPr="00E65E68">
                              <w:rPr>
                                <w:rFonts w:cs="Arial"/>
                                <w:sz w:val="16"/>
                                <w:szCs w:val="16"/>
                              </w:rPr>
                              <w:t>(</w:t>
                            </w:r>
                            <w:r>
                              <w:rPr>
                                <w:rFonts w:cs="Arial"/>
                                <w:sz w:val="16"/>
                                <w:szCs w:val="16"/>
                              </w:rPr>
                              <w:t>December</w:t>
                            </w:r>
                            <w:r w:rsidRPr="00E65E68">
                              <w:rPr>
                                <w:rFonts w:cs="Arial"/>
                                <w:sz w:val="16"/>
                                <w:szCs w:val="16"/>
                              </w:rPr>
                              <w:t xml:space="preserve"> 1-January 31) is reserved for corrections to previously submitted Surveys only. </w:t>
                            </w:r>
                            <w:r w:rsidRPr="00E65E68">
                              <w:rPr>
                                <w:rFonts w:cs="Arial"/>
                                <w:bCs/>
                                <w:snapToGrid w:val="0"/>
                                <w:sz w:val="16"/>
                                <w:szCs w:val="16"/>
                              </w:rPr>
                              <w:t xml:space="preserve">Any updates made to reflect a change in performance must be made prior to the </w:t>
                            </w:r>
                            <w:r>
                              <w:rPr>
                                <w:rFonts w:cs="Arial"/>
                                <w:bCs/>
                                <w:snapToGrid w:val="0"/>
                                <w:sz w:val="16"/>
                                <w:szCs w:val="16"/>
                              </w:rPr>
                              <w:t>November 30</w:t>
                            </w:r>
                            <w:r w:rsidRPr="00E65E68">
                              <w:rPr>
                                <w:rFonts w:cs="Arial"/>
                                <w:bCs/>
                                <w:snapToGrid w:val="0"/>
                                <w:sz w:val="16"/>
                                <w:szCs w:val="16"/>
                              </w:rPr>
                              <w:t xml:space="preserve"> Late Submission </w:t>
                            </w:r>
                            <w:r w:rsidRPr="00AE38C7">
                              <w:rPr>
                                <w:rFonts w:cs="Arial"/>
                                <w:bCs/>
                                <w:snapToGrid w:val="0"/>
                                <w:sz w:val="16"/>
                                <w:szCs w:val="16"/>
                              </w:rPr>
                              <w:t>and Performance Update</w:t>
                            </w:r>
                            <w:r>
                              <w:rPr>
                                <w:rFonts w:cs="Arial"/>
                                <w:bCs/>
                                <w:snapToGrid w:val="0"/>
                                <w:sz w:val="16"/>
                                <w:szCs w:val="16"/>
                              </w:rPr>
                              <w:t xml:space="preserve"> </w:t>
                            </w:r>
                            <w:r w:rsidRPr="00E65E68">
                              <w:rPr>
                                <w:rFonts w:cs="Arial"/>
                                <w:bCs/>
                                <w:snapToGrid w:val="0"/>
                                <w:sz w:val="16"/>
                                <w:szCs w:val="16"/>
                              </w:rPr>
                              <w:t xml:space="preserve">Deadline. Updates made to reflect a change in performance after </w:t>
                            </w:r>
                            <w:r>
                              <w:rPr>
                                <w:rFonts w:cs="Arial"/>
                                <w:bCs/>
                                <w:snapToGrid w:val="0"/>
                                <w:sz w:val="16"/>
                                <w:szCs w:val="16"/>
                              </w:rPr>
                              <w:t>November 30</w:t>
                            </w:r>
                            <w:r w:rsidRPr="00E65E68">
                              <w:rPr>
                                <w:rFonts w:cs="Arial"/>
                                <w:bCs/>
                                <w:snapToGrid w:val="0"/>
                                <w:sz w:val="16"/>
                                <w:szCs w:val="16"/>
                              </w:rPr>
                              <w:t xml:space="preserve"> will not be scored or publicly reported.</w:t>
                            </w:r>
                          </w:p>
                        </w:txbxContent>
                      </wps:txbx>
                      <wps:bodyPr rot="0" vert="horz" wrap="square" lIns="91440" tIns="45720" rIns="91440" bIns="45720" anchor="t" anchorCtr="0">
                        <a:spAutoFit/>
                      </wps:bodyPr>
                    </wps:wsp>
                  </a:graphicData>
                </a:graphic>
              </wp:inline>
            </w:drawing>
          </mc:Choice>
          <mc:Fallback>
            <w:pict>
              <v:shape w14:anchorId="30EF38C3" id="Text Box 82363900" o:spid="_x0000_s1043" type="#_x0000_t202" alt="P6363TB16#y1" style="width:468pt;height:128.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" strokecolor="red">
                <v:textbox style="mso-fit-shape-to-text:t">
                  <w:txbxContent>
                    <w:p w14:paraId="3113FFFA" w14:textId="0F4C21CF" w:rsidR="00C27FF1" w:rsidRPr="009A5185" w:rsidRDefault="00C27FF1" w:rsidP="00C27FF1">
                      <w:pPr>
                        <w:spacing w:before="40"/>
                        <w:rPr>
                          <w:rFonts w:cs="Arial"/>
                          <w:b/>
                          <w:snapToGrid w:val="0"/>
                        </w:rPr>
                      </w:pPr>
                      <w:r w:rsidRPr="009A5185">
                        <w:rPr>
                          <w:rFonts w:cs="Arial"/>
                          <w:b/>
                          <w:snapToGrid w:val="0"/>
                        </w:rPr>
                        <w:t xml:space="preserve">Reporting Period: </w:t>
                      </w:r>
                      <w:r>
                        <w:rPr>
                          <w:rFonts w:cs="Arial"/>
                          <w:b/>
                          <w:snapToGrid w:val="0"/>
                        </w:rPr>
                        <w:t>24</w:t>
                      </w:r>
                      <w:r w:rsidRPr="009A5185">
                        <w:rPr>
                          <w:rFonts w:cs="Arial"/>
                          <w:b/>
                          <w:snapToGrid w:val="0"/>
                        </w:rPr>
                        <w:t xml:space="preserve"> months</w:t>
                      </w:r>
                    </w:p>
                    <w:p w14:paraId="674FE80B" w14:textId="111CFFF0" w:rsidR="00C27FF1" w:rsidRPr="009A5185" w:rsidRDefault="00C27FF1" w:rsidP="00C27FF1">
                      <w:pPr>
                        <w:rPr>
                          <w:rFonts w:cs="Arial"/>
                          <w:b/>
                          <w:snapToGrid w:val="0"/>
                        </w:rPr>
                      </w:pPr>
                      <w:r w:rsidRPr="009A5185">
                        <w:rPr>
                          <w:rFonts w:cs="Arial"/>
                          <w:snapToGrid w:val="0"/>
                        </w:rPr>
                        <w:t>Answer questions #</w:t>
                      </w:r>
                      <w:r>
                        <w:rPr>
                          <w:rFonts w:cs="Arial"/>
                          <w:snapToGrid w:val="0"/>
                        </w:rPr>
                        <w:t>6-8</w:t>
                      </w:r>
                      <w:r w:rsidRPr="009A5185">
                        <w:rPr>
                          <w:rFonts w:cs="Arial"/>
                          <w:snapToGrid w:val="0"/>
                        </w:rPr>
                        <w:t xml:space="preserve"> based </w:t>
                      </w:r>
                      <w:r w:rsidRPr="009A5185">
                        <w:rPr>
                          <w:rFonts w:cs="Arial"/>
                          <w:snapToGrid w:val="0"/>
                          <w:color w:val="000000"/>
                        </w:rPr>
                        <w:t xml:space="preserve">on </w:t>
                      </w:r>
                      <w:r w:rsidRPr="009A5185">
                        <w:rPr>
                          <w:rFonts w:cs="Arial"/>
                          <w:snapToGrid w:val="0"/>
                        </w:rPr>
                        <w:t>all cases</w:t>
                      </w:r>
                    </w:p>
                    <w:p w14:paraId="7F85E01C" w14:textId="77777777" w:rsidR="00C27FF1" w:rsidRPr="00BE1D22" w:rsidRDefault="00C27FF1" w:rsidP="00AD309C">
                      <w:pPr>
                        <w:pStyle w:val="ListParagraph"/>
                        <w:numPr>
                          <w:ilvl w:val="0"/>
                          <w:numId w:val="36"/>
                        </w:numPr>
                        <w:rPr>
                          <w:rFonts w:cs="Arial"/>
                          <w:i/>
                          <w:snapToGrid w:val="0"/>
                        </w:rPr>
                      </w:pPr>
                      <w:r>
                        <w:rPr>
                          <w:rFonts w:cs="Arial"/>
                          <w:iCs/>
                          <w:snapToGrid w:val="0"/>
                        </w:rPr>
                        <w:t>Surveys submitted prior to September 1:</w:t>
                      </w:r>
                    </w:p>
                    <w:p w14:paraId="4DF38483" w14:textId="516EBC7A" w:rsidR="00C27FF1" w:rsidRPr="009A5185" w:rsidRDefault="00C27FF1" w:rsidP="00AD309C">
                      <w:pPr>
                        <w:pStyle w:val="ListParagraph"/>
                        <w:numPr>
                          <w:ilvl w:val="1"/>
                          <w:numId w:val="36"/>
                        </w:numPr>
                        <w:rPr>
                          <w:rFonts w:cs="Arial"/>
                          <w:i/>
                          <w:snapToGrid w:val="0"/>
                        </w:rPr>
                      </w:pPr>
                      <w:r>
                        <w:rPr>
                          <w:rFonts w:cs="Arial"/>
                          <w:iCs/>
                          <w:snapToGrid w:val="0"/>
                        </w:rPr>
                        <w:t>01/01/202</w:t>
                      </w:r>
                      <w:r w:rsidR="005F27E6">
                        <w:rPr>
                          <w:rFonts w:cs="Arial"/>
                          <w:iCs/>
                          <w:snapToGrid w:val="0"/>
                        </w:rPr>
                        <w:t>4</w:t>
                      </w:r>
                      <w:r>
                        <w:rPr>
                          <w:rFonts w:cs="Arial"/>
                          <w:iCs/>
                          <w:snapToGrid w:val="0"/>
                        </w:rPr>
                        <w:t xml:space="preserve"> – 12/31/202</w:t>
                      </w:r>
                      <w:r w:rsidR="005F27E6">
                        <w:rPr>
                          <w:rFonts w:cs="Arial"/>
                          <w:iCs/>
                          <w:snapToGrid w:val="0"/>
                        </w:rPr>
                        <w:t>5</w:t>
                      </w:r>
                    </w:p>
                    <w:p w14:paraId="122F76A0" w14:textId="77777777" w:rsidR="00C27FF1" w:rsidRPr="00BE1D22" w:rsidRDefault="00C27FF1" w:rsidP="00AD309C">
                      <w:pPr>
                        <w:pStyle w:val="ListParagraph"/>
                        <w:numPr>
                          <w:ilvl w:val="0"/>
                          <w:numId w:val="36"/>
                        </w:numPr>
                        <w:rPr>
                          <w:rFonts w:cs="Arial"/>
                          <w:i/>
                          <w:snapToGrid w:val="0"/>
                        </w:rPr>
                      </w:pPr>
                      <w:r w:rsidRPr="009A5185">
                        <w:rPr>
                          <w:rFonts w:cs="Arial"/>
                          <w:snapToGrid w:val="0"/>
                        </w:rPr>
                        <w:t xml:space="preserve">Surveys (re)submitted on or after September 1: </w:t>
                      </w:r>
                    </w:p>
                    <w:p w14:paraId="41E69438" w14:textId="09C165D8" w:rsidR="00C27FF1" w:rsidRPr="00FD4BD9" w:rsidRDefault="00C27FF1" w:rsidP="00AD309C">
                      <w:pPr>
                        <w:pStyle w:val="ListParagraph"/>
                        <w:numPr>
                          <w:ilvl w:val="1"/>
                          <w:numId w:val="36"/>
                        </w:numPr>
                        <w:rPr>
                          <w:rFonts w:cs="Arial"/>
                          <w:i/>
                          <w:snapToGrid w:val="0"/>
                        </w:rPr>
                      </w:pPr>
                      <w:r w:rsidRPr="009A5185">
                        <w:rPr>
                          <w:rFonts w:cs="Arial"/>
                          <w:snapToGrid w:val="0"/>
                        </w:rPr>
                        <w:t>07/01/</w:t>
                      </w:r>
                      <w:r>
                        <w:rPr>
                          <w:rFonts w:cs="Arial"/>
                          <w:snapToGrid w:val="0"/>
                        </w:rPr>
                        <w:t>202</w:t>
                      </w:r>
                      <w:r w:rsidR="005F27E6">
                        <w:rPr>
                          <w:rFonts w:cs="Arial"/>
                          <w:snapToGrid w:val="0"/>
                        </w:rPr>
                        <w:t>4</w:t>
                      </w:r>
                      <w:r w:rsidRPr="009A5185">
                        <w:rPr>
                          <w:rFonts w:cs="Arial"/>
                          <w:snapToGrid w:val="0"/>
                        </w:rPr>
                        <w:t xml:space="preserve"> </w:t>
                      </w:r>
                      <w:r>
                        <w:rPr>
                          <w:rFonts w:cs="Arial"/>
                          <w:snapToGrid w:val="0"/>
                        </w:rPr>
                        <w:t>–</w:t>
                      </w:r>
                      <w:r w:rsidRPr="009A5185">
                        <w:rPr>
                          <w:rFonts w:cs="Arial"/>
                          <w:snapToGrid w:val="0"/>
                        </w:rPr>
                        <w:t xml:space="preserve"> 06/30/</w:t>
                      </w:r>
                      <w:r>
                        <w:rPr>
                          <w:rFonts w:cs="Arial"/>
                          <w:snapToGrid w:val="0"/>
                        </w:rPr>
                        <w:t>202</w:t>
                      </w:r>
                      <w:r w:rsidR="005F27E6">
                        <w:rPr>
                          <w:rFonts w:cs="Arial"/>
                          <w:snapToGrid w:val="0"/>
                        </w:rPr>
                        <w:t>6</w:t>
                      </w:r>
                    </w:p>
                    <w:p w14:paraId="45D0F5BF" w14:textId="77777777" w:rsidR="00C27FF1" w:rsidRDefault="00C27FF1" w:rsidP="00C27FF1">
                      <w:pPr>
                        <w:rPr>
                          <w:rFonts w:cs="Arial"/>
                          <w:i/>
                          <w:snapToGrid w:val="0"/>
                        </w:rPr>
                      </w:pPr>
                    </w:p>
                    <w:p w14:paraId="7C706C36" w14:textId="77777777" w:rsidR="00C27FF1" w:rsidRDefault="00C27FF1" w:rsidP="00C27FF1">
                      <w:r w:rsidRPr="006547C0">
                        <w:rPr>
                          <w:rFonts w:cs="Arial"/>
                          <w:sz w:val="16"/>
                          <w:szCs w:val="16"/>
                        </w:rPr>
                        <w:t xml:space="preserve">Note: As a reminder, the </w:t>
                      </w:r>
                      <w:hyperlink r:id="rId257" w:history="1">
                        <w:r w:rsidRPr="006547C0">
                          <w:rPr>
                            <w:rStyle w:val="Hyperlink"/>
                            <w:rFonts w:cs="Arial"/>
                            <w:sz w:val="16"/>
                            <w:szCs w:val="16"/>
                          </w:rPr>
                          <w:t>Corrections Period</w:t>
                        </w:r>
                      </w:hyperlink>
                      <w:r w:rsidRPr="006547C0">
                        <w:rPr>
                          <w:rFonts w:cs="Arial"/>
                          <w:sz w:val="16"/>
                          <w:szCs w:val="16"/>
                        </w:rPr>
                        <w:t xml:space="preserve"> </w:t>
                      </w:r>
                      <w:r w:rsidRPr="00E65E68">
                        <w:rPr>
                          <w:rFonts w:cs="Arial"/>
                          <w:sz w:val="16"/>
                          <w:szCs w:val="16"/>
                        </w:rPr>
                        <w:t>(</w:t>
                      </w:r>
                      <w:r>
                        <w:rPr>
                          <w:rFonts w:cs="Arial"/>
                          <w:sz w:val="16"/>
                          <w:szCs w:val="16"/>
                        </w:rPr>
                        <w:t>December</w:t>
                      </w:r>
                      <w:r w:rsidRPr="00E65E68">
                        <w:rPr>
                          <w:rFonts w:cs="Arial"/>
                          <w:sz w:val="16"/>
                          <w:szCs w:val="16"/>
                        </w:rPr>
                        <w:t xml:space="preserve"> 1-January 31) is reserved for corrections to previously submitted Surveys only. </w:t>
                      </w:r>
                      <w:r w:rsidRPr="00E65E68">
                        <w:rPr>
                          <w:rFonts w:cs="Arial"/>
                          <w:bCs/>
                          <w:snapToGrid w:val="0"/>
                          <w:sz w:val="16"/>
                          <w:szCs w:val="16"/>
                        </w:rPr>
                        <w:t xml:space="preserve">Any updates made to reflect a change in performance must be made prior to the </w:t>
                      </w:r>
                      <w:r>
                        <w:rPr>
                          <w:rFonts w:cs="Arial"/>
                          <w:bCs/>
                          <w:snapToGrid w:val="0"/>
                          <w:sz w:val="16"/>
                          <w:szCs w:val="16"/>
                        </w:rPr>
                        <w:t>November 30</w:t>
                      </w:r>
                      <w:r w:rsidRPr="00E65E68">
                        <w:rPr>
                          <w:rFonts w:cs="Arial"/>
                          <w:bCs/>
                          <w:snapToGrid w:val="0"/>
                          <w:sz w:val="16"/>
                          <w:szCs w:val="16"/>
                        </w:rPr>
                        <w:t xml:space="preserve"> Late Submission </w:t>
                      </w:r>
                      <w:r w:rsidRPr="00AE38C7">
                        <w:rPr>
                          <w:rFonts w:cs="Arial"/>
                          <w:bCs/>
                          <w:snapToGrid w:val="0"/>
                          <w:sz w:val="16"/>
                          <w:szCs w:val="16"/>
                        </w:rPr>
                        <w:t>and Performance Update</w:t>
                      </w:r>
                      <w:r>
                        <w:rPr>
                          <w:rFonts w:cs="Arial"/>
                          <w:bCs/>
                          <w:snapToGrid w:val="0"/>
                          <w:sz w:val="16"/>
                          <w:szCs w:val="16"/>
                        </w:rPr>
                        <w:t xml:space="preserve"> </w:t>
                      </w:r>
                      <w:r w:rsidRPr="00E65E68">
                        <w:rPr>
                          <w:rFonts w:cs="Arial"/>
                          <w:bCs/>
                          <w:snapToGrid w:val="0"/>
                          <w:sz w:val="16"/>
                          <w:szCs w:val="16"/>
                        </w:rPr>
                        <w:t xml:space="preserve">Deadline. Updates made to reflect a change in performance after </w:t>
                      </w:r>
                      <w:r>
                        <w:rPr>
                          <w:rFonts w:cs="Arial"/>
                          <w:bCs/>
                          <w:snapToGrid w:val="0"/>
                          <w:sz w:val="16"/>
                          <w:szCs w:val="16"/>
                        </w:rPr>
                        <w:t>November 30</w:t>
                      </w:r>
                      <w:r w:rsidRPr="00E65E68">
                        <w:rPr>
                          <w:rFonts w:cs="Arial"/>
                          <w:bCs/>
                          <w:snapToGrid w:val="0"/>
                          <w:sz w:val="16"/>
                          <w:szCs w:val="16"/>
                        </w:rPr>
                        <w:t xml:space="preserve"> will not be scored or publicly reported.</w:t>
                      </w:r>
                    </w:p>
                  </w:txbxContent>
                </v:textbox>
                <w10:anchorlock/>
              </v:shape>
            </w:pict>
          </mc:Fallback>
        </mc:AlternateContent>
      </w:r>
    </w:p>
    <w:p w14:paraId="384A93D6" w14:textId="53F0C64C" w:rsidR="00C5119E" w:rsidRDefault="00C5119E" w:rsidP="00B86077">
      <w:pPr>
        <w:rPr>
          <w:rFonts w:cs="Arial"/>
          <w:b/>
          <w:snapToGrid w:val="0"/>
          <w:color w:val="000000"/>
        </w:rPr>
      </w:pPr>
    </w:p>
    <w:tbl>
      <w:tblPr>
        <w:tblStyle w:val="TableGrid"/>
        <w:tblW w:w="9547" w:type="dxa"/>
        <w:tblLook w:val="04A0" w:firstRow="1" w:lastRow="0" w:firstColumn="1" w:lastColumn="0" w:noHBand="0" w:noVBand="1"/>
      </w:tblPr>
      <w:tblGrid>
        <w:gridCol w:w="3055"/>
        <w:gridCol w:w="3150"/>
        <w:gridCol w:w="433"/>
        <w:gridCol w:w="2909"/>
      </w:tblGrid>
      <w:tr w:rsidR="00C27FF1" w:rsidRPr="009A5185" w14:paraId="27122563" w14:textId="77777777" w:rsidTr="00C8246A">
        <w:trPr>
          <w:trHeight w:val="576"/>
        </w:trPr>
        <w:tc>
          <w:tcPr>
            <w:tcW w:w="6638" w:type="dxa"/>
            <w:gridSpan w:val="3"/>
            <w:vAlign w:val="center"/>
          </w:tcPr>
          <w:p w14:paraId="3E1208EC" w14:textId="307E7243" w:rsidR="00C27FF1" w:rsidRPr="0053372C" w:rsidRDefault="00C27FF1" w:rsidP="00AD309C">
            <w:pPr>
              <w:pStyle w:val="ListParagraph"/>
              <w:numPr>
                <w:ilvl w:val="0"/>
                <w:numId w:val="28"/>
              </w:numPr>
              <w:rPr>
                <w:rFonts w:cs="Arial"/>
                <w:snapToGrid w:val="0"/>
                <w:color w:val="000000"/>
              </w:rPr>
            </w:pPr>
            <w:r>
              <w:rPr>
                <w:rFonts w:cs="Arial"/>
                <w:snapToGrid w:val="0"/>
                <w:color w:val="000000"/>
              </w:rPr>
              <w:t>24-month reporting period used:</w:t>
            </w:r>
          </w:p>
        </w:tc>
        <w:tc>
          <w:tcPr>
            <w:tcW w:w="2909" w:type="dxa"/>
            <w:vAlign w:val="center"/>
          </w:tcPr>
          <w:p w14:paraId="7DF240EA" w14:textId="25341FD8" w:rsidR="00C27FF1" w:rsidRPr="00C8246A" w:rsidRDefault="00C27FF1" w:rsidP="00AD309C">
            <w:pPr>
              <w:pStyle w:val="ListParagraph"/>
              <w:numPr>
                <w:ilvl w:val="0"/>
                <w:numId w:val="288"/>
              </w:numPr>
              <w:rPr>
                <w:rFonts w:cs="Arial"/>
                <w:iCs/>
              </w:rPr>
            </w:pPr>
            <w:r w:rsidRPr="00C8246A">
              <w:rPr>
                <w:rFonts w:cs="Arial"/>
                <w:iCs/>
              </w:rPr>
              <w:t>01/01/202</w:t>
            </w:r>
            <w:r w:rsidR="005F27E6">
              <w:rPr>
                <w:rFonts w:cs="Arial"/>
                <w:iCs/>
              </w:rPr>
              <w:t>4</w:t>
            </w:r>
            <w:r w:rsidRPr="00C8246A">
              <w:rPr>
                <w:rFonts w:cs="Arial"/>
                <w:iCs/>
              </w:rPr>
              <w:t xml:space="preserve"> – 12/31/202</w:t>
            </w:r>
            <w:r w:rsidR="005F27E6">
              <w:rPr>
                <w:rFonts w:cs="Arial"/>
                <w:iCs/>
              </w:rPr>
              <w:t>5</w:t>
            </w:r>
          </w:p>
          <w:p w14:paraId="54ED1A2D" w14:textId="00B40DC0" w:rsidR="00C27FF1" w:rsidRPr="00C8246A" w:rsidRDefault="00C27FF1" w:rsidP="00AD309C">
            <w:pPr>
              <w:pStyle w:val="ListParagraph"/>
              <w:numPr>
                <w:ilvl w:val="0"/>
                <w:numId w:val="288"/>
              </w:numPr>
              <w:rPr>
                <w:rFonts w:cs="Arial"/>
                <w:iCs/>
                <w:snapToGrid w:val="0"/>
                <w:color w:val="000000"/>
              </w:rPr>
            </w:pPr>
            <w:r w:rsidRPr="00C8246A">
              <w:rPr>
                <w:rFonts w:cs="Arial"/>
                <w:iCs/>
              </w:rPr>
              <w:t>07/01/202</w:t>
            </w:r>
            <w:r w:rsidR="005F27E6">
              <w:rPr>
                <w:rFonts w:cs="Arial"/>
                <w:iCs/>
              </w:rPr>
              <w:t>4</w:t>
            </w:r>
            <w:r w:rsidRPr="00C8246A">
              <w:rPr>
                <w:rFonts w:cs="Arial"/>
                <w:iCs/>
              </w:rPr>
              <w:t xml:space="preserve"> – 06/30/202</w:t>
            </w:r>
            <w:r w:rsidR="005F27E6">
              <w:rPr>
                <w:rFonts w:cs="Arial"/>
                <w:iCs/>
              </w:rPr>
              <w:t>6</w:t>
            </w:r>
          </w:p>
        </w:tc>
      </w:tr>
      <w:tr w:rsidR="00C27FF1" w:rsidRPr="009A5185" w14:paraId="5EFE9B37" w14:textId="77777777" w:rsidTr="00B46B65">
        <w:trPr>
          <w:trHeight w:val="1440"/>
        </w:trPr>
        <w:tc>
          <w:tcPr>
            <w:tcW w:w="6638" w:type="dxa"/>
            <w:gridSpan w:val="3"/>
            <w:vAlign w:val="center"/>
          </w:tcPr>
          <w:p w14:paraId="539297E4" w14:textId="38908064" w:rsidR="00C27FF1" w:rsidRDefault="00C27FF1" w:rsidP="00AD309C">
            <w:pPr>
              <w:pStyle w:val="ListParagraph"/>
              <w:numPr>
                <w:ilvl w:val="0"/>
                <w:numId w:val="28"/>
              </w:numPr>
              <w:rPr>
                <w:rFonts w:cs="Arial"/>
                <w:snapToGrid w:val="0"/>
                <w:color w:val="000000"/>
              </w:rPr>
            </w:pPr>
            <w:r w:rsidRPr="0053372C">
              <w:rPr>
                <w:rFonts w:cs="Arial"/>
                <w:snapToGrid w:val="0"/>
                <w:color w:val="000000"/>
              </w:rPr>
              <w:t xml:space="preserve">Did your hospital stratify NTSV cesarean births by </w:t>
            </w:r>
            <w:r w:rsidR="00BB0AC8">
              <w:rPr>
                <w:rFonts w:cs="Arial"/>
                <w:snapToGrid w:val="0"/>
                <w:color w:val="000000"/>
              </w:rPr>
              <w:t>race/ethnicity</w:t>
            </w:r>
            <w:r w:rsidRPr="0053372C">
              <w:rPr>
                <w:rFonts w:cs="Arial"/>
                <w:snapToGrid w:val="0"/>
                <w:color w:val="000000"/>
              </w:rPr>
              <w:t xml:space="preserve"> for the reporting period </w:t>
            </w:r>
            <w:r w:rsidR="00BB0AC8">
              <w:rPr>
                <w:rFonts w:cs="Arial"/>
                <w:snapToGrid w:val="0"/>
                <w:color w:val="000000"/>
              </w:rPr>
              <w:t xml:space="preserve">using the measure specifications provided </w:t>
            </w:r>
            <w:r w:rsidRPr="0053372C">
              <w:rPr>
                <w:rFonts w:cs="Arial"/>
                <w:snapToGrid w:val="0"/>
                <w:color w:val="000000"/>
              </w:rPr>
              <w:t>and do you choose to report those data to this Survey?</w:t>
            </w:r>
          </w:p>
          <w:p w14:paraId="39D9E344" w14:textId="77777777" w:rsidR="00C27FF1" w:rsidRDefault="00C27FF1" w:rsidP="00C27FF1">
            <w:pPr>
              <w:pStyle w:val="ListParagraph"/>
              <w:ind w:left="360"/>
              <w:rPr>
                <w:rFonts w:cs="Arial"/>
                <w:snapToGrid w:val="0"/>
                <w:color w:val="000000"/>
              </w:rPr>
            </w:pPr>
          </w:p>
          <w:p w14:paraId="00CF43E4" w14:textId="2A81887B" w:rsidR="00C27FF1" w:rsidRPr="00B46B65" w:rsidRDefault="00C27FF1" w:rsidP="00C27FF1">
            <w:pPr>
              <w:pStyle w:val="ListParagraph"/>
              <w:ind w:left="360"/>
              <w:rPr>
                <w:rFonts w:cs="Arial"/>
                <w:i/>
                <w:iCs/>
                <w:snapToGrid w:val="0"/>
                <w:color w:val="000000"/>
              </w:rPr>
            </w:pPr>
            <w:r>
              <w:rPr>
                <w:rFonts w:cs="Arial"/>
                <w:i/>
                <w:iCs/>
                <w:snapToGrid w:val="0"/>
                <w:color w:val="000000"/>
              </w:rPr>
              <w:t>If “no” to question #</w:t>
            </w:r>
            <w:r w:rsidR="00BB0AC8">
              <w:rPr>
                <w:rFonts w:cs="Arial"/>
                <w:i/>
                <w:iCs/>
                <w:snapToGrid w:val="0"/>
                <w:color w:val="000000"/>
              </w:rPr>
              <w:t>7</w:t>
            </w:r>
            <w:r>
              <w:rPr>
                <w:rFonts w:cs="Arial"/>
                <w:i/>
                <w:iCs/>
                <w:snapToGrid w:val="0"/>
                <w:color w:val="000000"/>
              </w:rPr>
              <w:t>, skip question #</w:t>
            </w:r>
            <w:r w:rsidR="00BB0AC8">
              <w:rPr>
                <w:rFonts w:cs="Arial"/>
                <w:i/>
                <w:iCs/>
                <w:snapToGrid w:val="0"/>
                <w:color w:val="000000"/>
              </w:rPr>
              <w:t>8</w:t>
            </w:r>
            <w:r>
              <w:rPr>
                <w:rFonts w:cs="Arial"/>
                <w:i/>
                <w:iCs/>
                <w:snapToGrid w:val="0"/>
                <w:color w:val="000000"/>
              </w:rPr>
              <w:t xml:space="preserve"> and continue to the next subsection.</w:t>
            </w:r>
          </w:p>
        </w:tc>
        <w:tc>
          <w:tcPr>
            <w:tcW w:w="2909" w:type="dxa"/>
            <w:vAlign w:val="center"/>
          </w:tcPr>
          <w:p w14:paraId="2A6C3BC0" w14:textId="77777777" w:rsidR="00C27FF1" w:rsidRPr="00A31567" w:rsidRDefault="00C27FF1" w:rsidP="00AD309C">
            <w:pPr>
              <w:pStyle w:val="ListParagraph"/>
              <w:numPr>
                <w:ilvl w:val="0"/>
                <w:numId w:val="289"/>
              </w:numPr>
              <w:rPr>
                <w:rFonts w:cs="Arial"/>
                <w:iCs/>
                <w:snapToGrid w:val="0"/>
                <w:color w:val="000000"/>
              </w:rPr>
            </w:pPr>
            <w:r w:rsidRPr="00A31567">
              <w:rPr>
                <w:rFonts w:cs="Arial"/>
                <w:iCs/>
                <w:snapToGrid w:val="0"/>
                <w:color w:val="000000"/>
              </w:rPr>
              <w:t>Yes</w:t>
            </w:r>
          </w:p>
          <w:p w14:paraId="153CF7E4" w14:textId="77777777" w:rsidR="00C27FF1" w:rsidRPr="00C8246A" w:rsidRDefault="00C27FF1" w:rsidP="00AD309C">
            <w:pPr>
              <w:pStyle w:val="ListParagraph"/>
              <w:numPr>
                <w:ilvl w:val="0"/>
                <w:numId w:val="289"/>
              </w:numPr>
              <w:rPr>
                <w:rFonts w:cs="Arial"/>
                <w:i/>
                <w:snapToGrid w:val="0"/>
                <w:color w:val="000000"/>
              </w:rPr>
            </w:pPr>
            <w:r w:rsidRPr="00A31567">
              <w:rPr>
                <w:rFonts w:cs="Arial"/>
                <w:iCs/>
                <w:snapToGrid w:val="0"/>
                <w:color w:val="000000"/>
              </w:rPr>
              <w:t>No</w:t>
            </w:r>
          </w:p>
        </w:tc>
      </w:tr>
      <w:tr w:rsidR="00C27FF1" w:rsidRPr="009A5185" w14:paraId="051E96A6" w14:textId="77777777" w:rsidTr="00C06753">
        <w:trPr>
          <w:trHeight w:val="1008"/>
        </w:trPr>
        <w:tc>
          <w:tcPr>
            <w:tcW w:w="9547" w:type="dxa"/>
            <w:gridSpan w:val="4"/>
            <w:vAlign w:val="center"/>
          </w:tcPr>
          <w:p w14:paraId="6F1526E1" w14:textId="465D9EC4" w:rsidR="00C27FF1" w:rsidRDefault="00C27FF1" w:rsidP="00AD309C">
            <w:pPr>
              <w:pStyle w:val="ListParagraph"/>
              <w:numPr>
                <w:ilvl w:val="0"/>
                <w:numId w:val="28"/>
              </w:numPr>
              <w:rPr>
                <w:rFonts w:cs="Arial"/>
                <w:snapToGrid w:val="0"/>
                <w:color w:val="000000"/>
              </w:rPr>
            </w:pPr>
            <w:r>
              <w:rPr>
                <w:rFonts w:cs="Arial"/>
                <w:snapToGrid w:val="0"/>
                <w:color w:val="000000"/>
              </w:rPr>
              <w:t xml:space="preserve">Enter your hospital’s responses below by </w:t>
            </w:r>
            <w:r w:rsidR="00BB0AC8">
              <w:rPr>
                <w:rFonts w:cs="Arial"/>
                <w:snapToGrid w:val="0"/>
                <w:color w:val="000000"/>
              </w:rPr>
              <w:t>race/ethnicity:</w:t>
            </w:r>
          </w:p>
          <w:p w14:paraId="198173A9" w14:textId="77777777" w:rsidR="00C27FF1" w:rsidRDefault="00C27FF1" w:rsidP="00C27FF1">
            <w:pPr>
              <w:pStyle w:val="ListParagraph"/>
              <w:ind w:left="360"/>
              <w:rPr>
                <w:rFonts w:cs="Arial"/>
                <w:snapToGrid w:val="0"/>
                <w:color w:val="000000"/>
              </w:rPr>
            </w:pPr>
          </w:p>
          <w:p w14:paraId="163EDFDB" w14:textId="05AFF3B9" w:rsidR="00C27FF1" w:rsidRPr="0004050A" w:rsidRDefault="00C27FF1" w:rsidP="00C27FF1">
            <w:pPr>
              <w:pStyle w:val="ListParagraph"/>
              <w:ind w:left="360"/>
              <w:rPr>
                <w:rFonts w:cs="Arial"/>
                <w:i/>
                <w:iCs/>
                <w:snapToGrid w:val="0"/>
                <w:color w:val="000000"/>
              </w:rPr>
            </w:pPr>
            <w:r w:rsidRPr="00F0772B">
              <w:rPr>
                <w:rFonts w:cs="Arial"/>
                <w:i/>
                <w:iCs/>
                <w:snapToGrid w:val="0"/>
                <w:color w:val="000000"/>
              </w:rPr>
              <w:t xml:space="preserve">If the number of cases for </w:t>
            </w:r>
            <w:r w:rsidRPr="00157FDB">
              <w:rPr>
                <w:rFonts w:cs="Arial"/>
                <w:i/>
                <w:iCs/>
                <w:snapToGrid w:val="0"/>
                <w:color w:val="000000"/>
              </w:rPr>
              <w:t xml:space="preserve">a </w:t>
            </w:r>
            <w:r w:rsidR="00BB0AC8" w:rsidRPr="00C8246A">
              <w:rPr>
                <w:rFonts w:cs="Arial"/>
                <w:i/>
                <w:iCs/>
                <w:snapToGrid w:val="0"/>
                <w:color w:val="000000"/>
              </w:rPr>
              <w:t>race/ethnicity</w:t>
            </w:r>
            <w:r w:rsidR="00BB0AC8">
              <w:rPr>
                <w:rFonts w:cs="Arial"/>
                <w:snapToGrid w:val="0"/>
                <w:color w:val="000000"/>
              </w:rPr>
              <w:t xml:space="preserve"> </w:t>
            </w:r>
            <w:r w:rsidRPr="00F0772B">
              <w:rPr>
                <w:rFonts w:cs="Arial"/>
                <w:i/>
                <w:iCs/>
                <w:snapToGrid w:val="0"/>
                <w:color w:val="000000"/>
              </w:rPr>
              <w:t xml:space="preserve">is less than </w:t>
            </w:r>
            <w:r>
              <w:rPr>
                <w:rFonts w:cs="Arial"/>
                <w:i/>
                <w:iCs/>
                <w:snapToGrid w:val="0"/>
                <w:color w:val="000000"/>
              </w:rPr>
              <w:t>1</w:t>
            </w:r>
            <w:r w:rsidRPr="00F0772B">
              <w:rPr>
                <w:rFonts w:cs="Arial"/>
                <w:i/>
                <w:iCs/>
                <w:snapToGrid w:val="0"/>
                <w:color w:val="000000"/>
              </w:rPr>
              <w:t>0 (in column a), skip column b and then move to the next category. If zero, enter “0” in column a.</w:t>
            </w:r>
          </w:p>
        </w:tc>
      </w:tr>
      <w:tr w:rsidR="00C27FF1" w:rsidRPr="009A5185" w14:paraId="01211581" w14:textId="77777777" w:rsidTr="00C06753">
        <w:trPr>
          <w:trHeight w:val="1872"/>
        </w:trPr>
        <w:tc>
          <w:tcPr>
            <w:tcW w:w="3055" w:type="dxa"/>
            <w:vAlign w:val="center"/>
          </w:tcPr>
          <w:p w14:paraId="018619BA" w14:textId="47E23BD3" w:rsidR="00C27FF1" w:rsidRPr="00923EE1" w:rsidRDefault="00BB0AC8" w:rsidP="00C27FF1">
            <w:pPr>
              <w:rPr>
                <w:rFonts w:cs="Arial"/>
                <w:snapToGrid w:val="0"/>
                <w:color w:val="000000"/>
                <w:highlight w:val="yellow"/>
              </w:rPr>
            </w:pPr>
            <w:r>
              <w:rPr>
                <w:rFonts w:cs="Arial"/>
                <w:snapToGrid w:val="0"/>
                <w:color w:val="000000"/>
              </w:rPr>
              <w:t>Race/ethnicity</w:t>
            </w:r>
          </w:p>
        </w:tc>
        <w:tc>
          <w:tcPr>
            <w:tcW w:w="3150" w:type="dxa"/>
            <w:vAlign w:val="center"/>
          </w:tcPr>
          <w:p w14:paraId="1095A99F" w14:textId="29DD5280" w:rsidR="00C27FF1" w:rsidRPr="009A5185" w:rsidRDefault="00C27FF1" w:rsidP="00C27FF1">
            <w:pPr>
              <w:rPr>
                <w:rFonts w:cs="Arial"/>
                <w:i/>
                <w:snapToGrid w:val="0"/>
                <w:color w:val="000000"/>
              </w:rPr>
            </w:pPr>
            <w:r>
              <w:rPr>
                <w:rFonts w:cs="Arial"/>
                <w:iCs/>
                <w:snapToGrid w:val="0"/>
                <w:color w:val="000000"/>
              </w:rPr>
              <w:t xml:space="preserve">a) Total number of nulliparous mothers that delivered a live term singleton newborn in the vertex presentation with &gt;= 37 weeks of gestation completed, with </w:t>
            </w:r>
            <w:r w:rsidRPr="000957AE">
              <w:rPr>
                <w:rFonts w:cs="Arial"/>
                <w:b/>
                <w:bCs/>
                <w:i/>
                <w:snapToGrid w:val="0"/>
                <w:color w:val="000000"/>
              </w:rPr>
              <w:t xml:space="preserve">Excluded </w:t>
            </w:r>
            <w:r>
              <w:rPr>
                <w:rFonts w:cs="Arial"/>
                <w:b/>
                <w:bCs/>
                <w:i/>
                <w:snapToGrid w:val="0"/>
                <w:color w:val="000000"/>
              </w:rPr>
              <w:t>P</w:t>
            </w:r>
            <w:r w:rsidRPr="000957AE">
              <w:rPr>
                <w:rFonts w:cs="Arial"/>
                <w:b/>
                <w:bCs/>
                <w:i/>
                <w:snapToGrid w:val="0"/>
                <w:color w:val="000000"/>
              </w:rPr>
              <w:t>opulations</w:t>
            </w:r>
            <w:r>
              <w:rPr>
                <w:rFonts w:cs="Arial"/>
                <w:b/>
                <w:bCs/>
                <w:iCs/>
                <w:snapToGrid w:val="0"/>
                <w:color w:val="000000"/>
              </w:rPr>
              <w:t xml:space="preserve"> </w:t>
            </w:r>
            <w:r>
              <w:rPr>
                <w:rFonts w:cs="Arial"/>
                <w:iCs/>
                <w:snapToGrid w:val="0"/>
                <w:color w:val="000000"/>
              </w:rPr>
              <w:t>removed (denominator)</w:t>
            </w:r>
          </w:p>
        </w:tc>
        <w:tc>
          <w:tcPr>
            <w:tcW w:w="3342" w:type="dxa"/>
            <w:gridSpan w:val="2"/>
            <w:vAlign w:val="center"/>
          </w:tcPr>
          <w:p w14:paraId="58990351" w14:textId="4D1DF1FB" w:rsidR="00C27FF1" w:rsidRPr="001E2A00" w:rsidRDefault="00C27FF1" w:rsidP="00C27FF1">
            <w:pPr>
              <w:rPr>
                <w:rFonts w:cs="Arial"/>
                <w:b/>
                <w:bCs/>
                <w:i/>
                <w:snapToGrid w:val="0"/>
                <w:color w:val="000000"/>
              </w:rPr>
            </w:pPr>
            <w:r>
              <w:rPr>
                <w:rFonts w:cs="Arial"/>
                <w:iCs/>
                <w:snapToGrid w:val="0"/>
                <w:color w:val="000000"/>
              </w:rPr>
              <w:t>b) Total number of mothers indicated in question #</w:t>
            </w:r>
            <w:r w:rsidR="00BB0AC8">
              <w:rPr>
                <w:rFonts w:cs="Arial"/>
                <w:iCs/>
                <w:snapToGrid w:val="0"/>
                <w:color w:val="000000"/>
              </w:rPr>
              <w:t>8</w:t>
            </w:r>
            <w:r>
              <w:rPr>
                <w:rFonts w:cs="Arial"/>
                <w:iCs/>
                <w:snapToGrid w:val="0"/>
                <w:color w:val="000000"/>
              </w:rPr>
              <w:t>a that had their newborn delivered via cesarean section (numerator)</w:t>
            </w:r>
          </w:p>
        </w:tc>
      </w:tr>
      <w:tr w:rsidR="00C27FF1" w:rsidRPr="009A5185" w14:paraId="13727BA8" w14:textId="77777777" w:rsidTr="00C06753">
        <w:trPr>
          <w:trHeight w:val="432"/>
        </w:trPr>
        <w:tc>
          <w:tcPr>
            <w:tcW w:w="3055" w:type="dxa"/>
            <w:vAlign w:val="center"/>
          </w:tcPr>
          <w:p w14:paraId="6D42B434" w14:textId="77777777" w:rsidR="00C27FF1" w:rsidRDefault="00C27FF1" w:rsidP="00C27FF1">
            <w:pPr>
              <w:rPr>
                <w:rFonts w:cs="Arial"/>
                <w:snapToGrid w:val="0"/>
                <w:color w:val="000000"/>
              </w:rPr>
            </w:pPr>
            <w:r>
              <w:rPr>
                <w:rFonts w:cs="Arial"/>
                <w:snapToGrid w:val="0"/>
                <w:color w:val="000000"/>
              </w:rPr>
              <w:t>Non-Hispanic White</w:t>
            </w:r>
          </w:p>
        </w:tc>
        <w:tc>
          <w:tcPr>
            <w:tcW w:w="3150" w:type="dxa"/>
            <w:vAlign w:val="center"/>
          </w:tcPr>
          <w:p w14:paraId="33080D87" w14:textId="77777777" w:rsidR="00C27FF1" w:rsidRDefault="00C27FF1" w:rsidP="00C27FF1">
            <w:pPr>
              <w:jc w:val="center"/>
              <w:rPr>
                <w:rFonts w:cs="Arial"/>
                <w:iCs/>
                <w:snapToGrid w:val="0"/>
                <w:color w:val="000000"/>
              </w:rPr>
            </w:pPr>
            <w:r w:rsidRPr="00355171">
              <w:rPr>
                <w:rFonts w:cs="Arial"/>
                <w:i/>
                <w:snapToGrid w:val="0"/>
                <w:color w:val="000000"/>
              </w:rPr>
              <w:t>______</w:t>
            </w:r>
          </w:p>
        </w:tc>
        <w:tc>
          <w:tcPr>
            <w:tcW w:w="3342" w:type="dxa"/>
            <w:gridSpan w:val="2"/>
            <w:vAlign w:val="center"/>
          </w:tcPr>
          <w:p w14:paraId="56FBC2F1" w14:textId="77777777" w:rsidR="00C27FF1" w:rsidRDefault="00C27FF1" w:rsidP="00C27FF1">
            <w:pPr>
              <w:jc w:val="center"/>
              <w:rPr>
                <w:rFonts w:cs="Arial"/>
                <w:iCs/>
                <w:snapToGrid w:val="0"/>
                <w:color w:val="000000"/>
              </w:rPr>
            </w:pPr>
            <w:r w:rsidRPr="00355171">
              <w:rPr>
                <w:rFonts w:cs="Arial"/>
                <w:i/>
                <w:snapToGrid w:val="0"/>
                <w:color w:val="000000"/>
              </w:rPr>
              <w:t>______</w:t>
            </w:r>
          </w:p>
        </w:tc>
      </w:tr>
      <w:tr w:rsidR="00C27FF1" w:rsidRPr="009A5185" w14:paraId="56F55EE4" w14:textId="77777777" w:rsidTr="00C06753">
        <w:trPr>
          <w:trHeight w:val="432"/>
        </w:trPr>
        <w:tc>
          <w:tcPr>
            <w:tcW w:w="3055" w:type="dxa"/>
            <w:vAlign w:val="center"/>
          </w:tcPr>
          <w:p w14:paraId="29FEA949" w14:textId="77777777" w:rsidR="00C27FF1" w:rsidRDefault="00C27FF1" w:rsidP="00C27FF1">
            <w:pPr>
              <w:rPr>
                <w:rFonts w:cs="Arial"/>
                <w:snapToGrid w:val="0"/>
                <w:color w:val="000000"/>
              </w:rPr>
            </w:pPr>
            <w:r>
              <w:rPr>
                <w:rFonts w:cs="Arial"/>
                <w:snapToGrid w:val="0"/>
                <w:color w:val="000000"/>
              </w:rPr>
              <w:t>Non-Hispanic Black</w:t>
            </w:r>
          </w:p>
        </w:tc>
        <w:tc>
          <w:tcPr>
            <w:tcW w:w="3150" w:type="dxa"/>
            <w:vAlign w:val="center"/>
          </w:tcPr>
          <w:p w14:paraId="29B11369" w14:textId="77777777" w:rsidR="00C27FF1" w:rsidRDefault="00C27FF1" w:rsidP="00C27FF1">
            <w:pPr>
              <w:jc w:val="center"/>
              <w:rPr>
                <w:rFonts w:cs="Arial"/>
                <w:iCs/>
                <w:snapToGrid w:val="0"/>
                <w:color w:val="000000"/>
              </w:rPr>
            </w:pPr>
            <w:r w:rsidRPr="00355171">
              <w:rPr>
                <w:rFonts w:cs="Arial"/>
                <w:i/>
                <w:snapToGrid w:val="0"/>
                <w:color w:val="000000"/>
              </w:rPr>
              <w:t>______</w:t>
            </w:r>
          </w:p>
        </w:tc>
        <w:tc>
          <w:tcPr>
            <w:tcW w:w="3342" w:type="dxa"/>
            <w:gridSpan w:val="2"/>
            <w:vAlign w:val="center"/>
          </w:tcPr>
          <w:p w14:paraId="09427E56" w14:textId="77777777" w:rsidR="00C27FF1" w:rsidRDefault="00C27FF1" w:rsidP="00C27FF1">
            <w:pPr>
              <w:jc w:val="center"/>
              <w:rPr>
                <w:rFonts w:cs="Arial"/>
                <w:iCs/>
                <w:snapToGrid w:val="0"/>
                <w:color w:val="000000"/>
              </w:rPr>
            </w:pPr>
            <w:r w:rsidRPr="00355171">
              <w:rPr>
                <w:rFonts w:cs="Arial"/>
                <w:i/>
                <w:snapToGrid w:val="0"/>
                <w:color w:val="000000"/>
              </w:rPr>
              <w:t>______</w:t>
            </w:r>
          </w:p>
        </w:tc>
      </w:tr>
      <w:tr w:rsidR="00C27FF1" w:rsidRPr="009A5185" w14:paraId="4A2B6E9E" w14:textId="77777777" w:rsidTr="00C06753">
        <w:trPr>
          <w:trHeight w:val="432"/>
        </w:trPr>
        <w:tc>
          <w:tcPr>
            <w:tcW w:w="3055" w:type="dxa"/>
            <w:vAlign w:val="center"/>
          </w:tcPr>
          <w:p w14:paraId="1E462CC4" w14:textId="77777777" w:rsidR="00C27FF1" w:rsidRDefault="00C27FF1" w:rsidP="00C27FF1">
            <w:pPr>
              <w:rPr>
                <w:rFonts w:cs="Arial"/>
                <w:snapToGrid w:val="0"/>
                <w:color w:val="000000"/>
              </w:rPr>
            </w:pPr>
            <w:r>
              <w:rPr>
                <w:rFonts w:cs="Arial"/>
                <w:snapToGrid w:val="0"/>
                <w:color w:val="000000"/>
              </w:rPr>
              <w:t>Non-Hispanic American Indian or Alaska Native</w:t>
            </w:r>
          </w:p>
        </w:tc>
        <w:tc>
          <w:tcPr>
            <w:tcW w:w="3150" w:type="dxa"/>
            <w:vAlign w:val="center"/>
          </w:tcPr>
          <w:p w14:paraId="0530302D" w14:textId="77777777" w:rsidR="00C27FF1" w:rsidRDefault="00C27FF1" w:rsidP="00C27FF1">
            <w:pPr>
              <w:jc w:val="center"/>
              <w:rPr>
                <w:rFonts w:cs="Arial"/>
                <w:iCs/>
                <w:snapToGrid w:val="0"/>
                <w:color w:val="000000"/>
              </w:rPr>
            </w:pPr>
            <w:r w:rsidRPr="00355171">
              <w:rPr>
                <w:rFonts w:cs="Arial"/>
                <w:i/>
                <w:snapToGrid w:val="0"/>
                <w:color w:val="000000"/>
              </w:rPr>
              <w:t>______</w:t>
            </w:r>
          </w:p>
        </w:tc>
        <w:tc>
          <w:tcPr>
            <w:tcW w:w="3342" w:type="dxa"/>
            <w:gridSpan w:val="2"/>
            <w:vAlign w:val="center"/>
          </w:tcPr>
          <w:p w14:paraId="24B4E113" w14:textId="77777777" w:rsidR="00C27FF1" w:rsidRDefault="00C27FF1" w:rsidP="00C27FF1">
            <w:pPr>
              <w:jc w:val="center"/>
              <w:rPr>
                <w:rFonts w:cs="Arial"/>
                <w:iCs/>
                <w:snapToGrid w:val="0"/>
                <w:color w:val="000000"/>
              </w:rPr>
            </w:pPr>
            <w:r w:rsidRPr="00355171">
              <w:rPr>
                <w:rFonts w:cs="Arial"/>
                <w:i/>
                <w:snapToGrid w:val="0"/>
                <w:color w:val="000000"/>
              </w:rPr>
              <w:t>______</w:t>
            </w:r>
          </w:p>
        </w:tc>
      </w:tr>
      <w:tr w:rsidR="00C27FF1" w:rsidRPr="009A5185" w14:paraId="6B191C05" w14:textId="77777777" w:rsidTr="00C06753">
        <w:trPr>
          <w:trHeight w:val="432"/>
        </w:trPr>
        <w:tc>
          <w:tcPr>
            <w:tcW w:w="3055" w:type="dxa"/>
            <w:vAlign w:val="center"/>
          </w:tcPr>
          <w:p w14:paraId="7F3F7FA2" w14:textId="77777777" w:rsidR="00C27FF1" w:rsidRDefault="00C27FF1" w:rsidP="00C27FF1">
            <w:pPr>
              <w:rPr>
                <w:rFonts w:cs="Arial"/>
                <w:snapToGrid w:val="0"/>
                <w:color w:val="000000"/>
              </w:rPr>
            </w:pPr>
            <w:r>
              <w:rPr>
                <w:rFonts w:cs="Arial"/>
                <w:snapToGrid w:val="0"/>
                <w:color w:val="000000"/>
              </w:rPr>
              <w:t>Non-Hispanic Asian or Pacific Islander</w:t>
            </w:r>
          </w:p>
        </w:tc>
        <w:tc>
          <w:tcPr>
            <w:tcW w:w="3150" w:type="dxa"/>
            <w:vAlign w:val="center"/>
          </w:tcPr>
          <w:p w14:paraId="42105AB2" w14:textId="77777777" w:rsidR="00C27FF1" w:rsidRDefault="00C27FF1" w:rsidP="00C27FF1">
            <w:pPr>
              <w:jc w:val="center"/>
              <w:rPr>
                <w:rFonts w:cs="Arial"/>
                <w:iCs/>
                <w:snapToGrid w:val="0"/>
                <w:color w:val="000000"/>
              </w:rPr>
            </w:pPr>
            <w:r w:rsidRPr="00355171">
              <w:rPr>
                <w:rFonts w:cs="Arial"/>
                <w:i/>
                <w:snapToGrid w:val="0"/>
                <w:color w:val="000000"/>
              </w:rPr>
              <w:t>______</w:t>
            </w:r>
          </w:p>
        </w:tc>
        <w:tc>
          <w:tcPr>
            <w:tcW w:w="3342" w:type="dxa"/>
            <w:gridSpan w:val="2"/>
            <w:vAlign w:val="center"/>
          </w:tcPr>
          <w:p w14:paraId="0874276C" w14:textId="77777777" w:rsidR="00C27FF1" w:rsidRDefault="00C27FF1" w:rsidP="00C27FF1">
            <w:pPr>
              <w:jc w:val="center"/>
              <w:rPr>
                <w:rFonts w:cs="Arial"/>
                <w:iCs/>
                <w:snapToGrid w:val="0"/>
                <w:color w:val="000000"/>
              </w:rPr>
            </w:pPr>
            <w:r w:rsidRPr="00355171">
              <w:rPr>
                <w:rFonts w:cs="Arial"/>
                <w:i/>
                <w:snapToGrid w:val="0"/>
                <w:color w:val="000000"/>
              </w:rPr>
              <w:t>______</w:t>
            </w:r>
          </w:p>
        </w:tc>
      </w:tr>
      <w:tr w:rsidR="00C27FF1" w:rsidRPr="009A5185" w14:paraId="2653D3A8" w14:textId="77777777" w:rsidTr="00C06753">
        <w:trPr>
          <w:trHeight w:val="432"/>
        </w:trPr>
        <w:tc>
          <w:tcPr>
            <w:tcW w:w="3055" w:type="dxa"/>
            <w:vAlign w:val="center"/>
          </w:tcPr>
          <w:p w14:paraId="3D54D817" w14:textId="77777777" w:rsidR="00C27FF1" w:rsidRDefault="00C27FF1" w:rsidP="00C27FF1">
            <w:pPr>
              <w:rPr>
                <w:rFonts w:cs="Arial"/>
                <w:snapToGrid w:val="0"/>
                <w:color w:val="000000"/>
              </w:rPr>
            </w:pPr>
            <w:r>
              <w:rPr>
                <w:rFonts w:cs="Arial"/>
                <w:snapToGrid w:val="0"/>
                <w:color w:val="000000"/>
              </w:rPr>
              <w:t>Hispanic</w:t>
            </w:r>
          </w:p>
        </w:tc>
        <w:tc>
          <w:tcPr>
            <w:tcW w:w="3150" w:type="dxa"/>
            <w:vAlign w:val="center"/>
          </w:tcPr>
          <w:p w14:paraId="7AF2AFF6" w14:textId="77777777" w:rsidR="00C27FF1" w:rsidRDefault="00C27FF1" w:rsidP="00C27FF1">
            <w:pPr>
              <w:jc w:val="center"/>
              <w:rPr>
                <w:rFonts w:cs="Arial"/>
                <w:iCs/>
                <w:snapToGrid w:val="0"/>
                <w:color w:val="000000"/>
              </w:rPr>
            </w:pPr>
            <w:r w:rsidRPr="00355171">
              <w:rPr>
                <w:rFonts w:cs="Arial"/>
                <w:i/>
                <w:snapToGrid w:val="0"/>
                <w:color w:val="000000"/>
              </w:rPr>
              <w:t>______</w:t>
            </w:r>
          </w:p>
        </w:tc>
        <w:tc>
          <w:tcPr>
            <w:tcW w:w="3342" w:type="dxa"/>
            <w:gridSpan w:val="2"/>
            <w:vAlign w:val="center"/>
          </w:tcPr>
          <w:p w14:paraId="4B5566C1" w14:textId="77777777" w:rsidR="00C27FF1" w:rsidRDefault="00C27FF1" w:rsidP="00C27FF1">
            <w:pPr>
              <w:jc w:val="center"/>
              <w:rPr>
                <w:rFonts w:cs="Arial"/>
                <w:iCs/>
                <w:snapToGrid w:val="0"/>
                <w:color w:val="000000"/>
              </w:rPr>
            </w:pPr>
            <w:r w:rsidRPr="00355171">
              <w:rPr>
                <w:rFonts w:cs="Arial"/>
                <w:i/>
                <w:snapToGrid w:val="0"/>
                <w:color w:val="000000"/>
              </w:rPr>
              <w:t>______</w:t>
            </w:r>
          </w:p>
        </w:tc>
      </w:tr>
      <w:tr w:rsidR="00C27FF1" w:rsidRPr="009A5185" w14:paraId="630B075E" w14:textId="77777777" w:rsidTr="00C06753">
        <w:trPr>
          <w:trHeight w:val="432"/>
        </w:trPr>
        <w:tc>
          <w:tcPr>
            <w:tcW w:w="3055" w:type="dxa"/>
            <w:vAlign w:val="center"/>
          </w:tcPr>
          <w:p w14:paraId="78EB89D4" w14:textId="77777777" w:rsidR="00C27FF1" w:rsidRDefault="00C27FF1" w:rsidP="00C27FF1">
            <w:pPr>
              <w:spacing w:before="120" w:after="120"/>
              <w:rPr>
                <w:rFonts w:cs="Arial"/>
                <w:snapToGrid w:val="0"/>
                <w:color w:val="000000"/>
              </w:rPr>
            </w:pPr>
            <w:r>
              <w:rPr>
                <w:rFonts w:cs="Arial"/>
                <w:snapToGrid w:val="0"/>
                <w:color w:val="000000"/>
              </w:rPr>
              <w:t>Non-Hispanic Other (including two or more races)</w:t>
            </w:r>
          </w:p>
        </w:tc>
        <w:tc>
          <w:tcPr>
            <w:tcW w:w="3150" w:type="dxa"/>
            <w:vAlign w:val="center"/>
          </w:tcPr>
          <w:p w14:paraId="7F1373E3" w14:textId="77777777" w:rsidR="00C27FF1" w:rsidRDefault="00C27FF1" w:rsidP="00C27FF1">
            <w:pPr>
              <w:jc w:val="center"/>
              <w:rPr>
                <w:rFonts w:cs="Arial"/>
                <w:iCs/>
                <w:snapToGrid w:val="0"/>
                <w:color w:val="000000"/>
              </w:rPr>
            </w:pPr>
            <w:r w:rsidRPr="00355171">
              <w:rPr>
                <w:rFonts w:cs="Arial"/>
                <w:i/>
                <w:snapToGrid w:val="0"/>
                <w:color w:val="000000"/>
              </w:rPr>
              <w:t>______</w:t>
            </w:r>
          </w:p>
        </w:tc>
        <w:tc>
          <w:tcPr>
            <w:tcW w:w="3342" w:type="dxa"/>
            <w:gridSpan w:val="2"/>
            <w:vAlign w:val="center"/>
          </w:tcPr>
          <w:p w14:paraId="2851BEA2" w14:textId="77777777" w:rsidR="00C27FF1" w:rsidRDefault="00C27FF1" w:rsidP="00C27FF1">
            <w:pPr>
              <w:jc w:val="center"/>
              <w:rPr>
                <w:rFonts w:cs="Arial"/>
                <w:iCs/>
                <w:snapToGrid w:val="0"/>
                <w:color w:val="000000"/>
              </w:rPr>
            </w:pPr>
            <w:r w:rsidRPr="00355171">
              <w:rPr>
                <w:rFonts w:cs="Arial"/>
                <w:i/>
                <w:snapToGrid w:val="0"/>
                <w:color w:val="000000"/>
              </w:rPr>
              <w:t>______</w:t>
            </w:r>
          </w:p>
        </w:tc>
      </w:tr>
      <w:tr w:rsidR="00C27FF1" w:rsidRPr="009A5185" w14:paraId="6D0073F6" w14:textId="77777777" w:rsidTr="00C06753">
        <w:trPr>
          <w:trHeight w:val="432"/>
        </w:trPr>
        <w:tc>
          <w:tcPr>
            <w:tcW w:w="3055" w:type="dxa"/>
            <w:vAlign w:val="center"/>
          </w:tcPr>
          <w:p w14:paraId="39269C08" w14:textId="77777777" w:rsidR="00C27FF1" w:rsidRDefault="00C27FF1" w:rsidP="00C27FF1">
            <w:pPr>
              <w:rPr>
                <w:rFonts w:cs="Arial"/>
                <w:snapToGrid w:val="0"/>
                <w:color w:val="000000"/>
              </w:rPr>
            </w:pPr>
            <w:r>
              <w:rPr>
                <w:rFonts w:cs="Arial"/>
                <w:snapToGrid w:val="0"/>
                <w:color w:val="000000"/>
              </w:rPr>
              <w:t>Unknown</w:t>
            </w:r>
          </w:p>
        </w:tc>
        <w:tc>
          <w:tcPr>
            <w:tcW w:w="3150" w:type="dxa"/>
            <w:vAlign w:val="center"/>
          </w:tcPr>
          <w:p w14:paraId="193CB48D" w14:textId="77777777" w:rsidR="00C27FF1" w:rsidRDefault="00C27FF1" w:rsidP="00C27FF1">
            <w:pPr>
              <w:jc w:val="center"/>
              <w:rPr>
                <w:rFonts w:cs="Arial"/>
                <w:iCs/>
                <w:snapToGrid w:val="0"/>
                <w:color w:val="000000"/>
              </w:rPr>
            </w:pPr>
            <w:r w:rsidRPr="00355171">
              <w:rPr>
                <w:rFonts w:cs="Arial"/>
                <w:i/>
                <w:snapToGrid w:val="0"/>
                <w:color w:val="000000"/>
              </w:rPr>
              <w:t>______</w:t>
            </w:r>
          </w:p>
        </w:tc>
        <w:tc>
          <w:tcPr>
            <w:tcW w:w="3342" w:type="dxa"/>
            <w:gridSpan w:val="2"/>
            <w:vAlign w:val="center"/>
          </w:tcPr>
          <w:p w14:paraId="48E7504D" w14:textId="77777777" w:rsidR="00C27FF1" w:rsidRDefault="00C27FF1" w:rsidP="00C27FF1">
            <w:pPr>
              <w:jc w:val="center"/>
              <w:rPr>
                <w:rFonts w:cs="Arial"/>
                <w:iCs/>
                <w:snapToGrid w:val="0"/>
                <w:color w:val="000000"/>
              </w:rPr>
            </w:pPr>
            <w:r w:rsidRPr="00355171">
              <w:rPr>
                <w:rFonts w:cs="Arial"/>
                <w:i/>
                <w:snapToGrid w:val="0"/>
                <w:color w:val="000000"/>
              </w:rPr>
              <w:t>______</w:t>
            </w:r>
          </w:p>
        </w:tc>
      </w:tr>
    </w:tbl>
    <w:p w14:paraId="56F4296D" w14:textId="77777777" w:rsidR="00C5119E" w:rsidRPr="009A5185" w:rsidRDefault="00C5119E" w:rsidP="00B86077">
      <w:pPr>
        <w:rPr>
          <w:rFonts w:cs="Arial"/>
          <w:b/>
          <w:snapToGrid w:val="0"/>
          <w:color w:val="000000"/>
        </w:rPr>
      </w:pPr>
    </w:p>
    <w:p w14:paraId="559B8822" w14:textId="77777777" w:rsidR="00035AF9" w:rsidRDefault="00035AF9">
      <w:r>
        <w:br w:type="page"/>
      </w:r>
    </w:p>
    <w:p w14:paraId="17E65389" w14:textId="44766552" w:rsidR="00AA655F" w:rsidRDefault="00306EB2" w:rsidP="00CF5A6E">
      <w:pPr>
        <w:pStyle w:val="Heading2"/>
      </w:pPr>
      <w:bookmarkStart w:id="300" w:name="_Toc225877729"/>
      <w:r w:rsidRPr="009A5185">
        <w:t>4</w:t>
      </w:r>
      <w:r w:rsidR="0016658F">
        <w:t>C</w:t>
      </w:r>
      <w:r w:rsidRPr="009A5185">
        <w:t>: Episiotomy</w:t>
      </w:r>
      <w:bookmarkEnd w:id="300"/>
    </w:p>
    <w:p w14:paraId="68A75FBA" w14:textId="77777777" w:rsidR="00306EB2" w:rsidRDefault="00306EB2">
      <w:pPr>
        <w:rPr>
          <w:rFonts w:cs="Arial"/>
        </w:rPr>
      </w:pPr>
    </w:p>
    <w:p w14:paraId="11636F9F" w14:textId="450FC525" w:rsidR="00474DDE" w:rsidRPr="00FE44CA" w:rsidRDefault="00474DDE" w:rsidP="00474DDE">
      <w:pPr>
        <w:rPr>
          <w:rFonts w:cs="Arial"/>
          <w:snapToGrid w:val="0"/>
        </w:rPr>
      </w:pPr>
      <w:r w:rsidRPr="009A5185">
        <w:rPr>
          <w:rFonts w:cs="Arial"/>
          <w:snapToGrid w:val="0"/>
        </w:rPr>
        <w:t xml:space="preserve">Hospitals that share a </w:t>
      </w:r>
      <w:r>
        <w:rPr>
          <w:rFonts w:cs="Arial"/>
          <w:snapToGrid w:val="0"/>
        </w:rPr>
        <w:t xml:space="preserve">CMS Certification Number </w:t>
      </w:r>
      <w:r w:rsidRPr="009A5185">
        <w:rPr>
          <w:rFonts w:cs="Arial"/>
          <w:snapToGrid w:val="0"/>
        </w:rPr>
        <w:t xml:space="preserve">are required to report by facility. Please carefully review </w:t>
      </w:r>
      <w:hyperlink r:id="rId258" w:history="1">
        <w:r w:rsidRPr="009A5185">
          <w:rPr>
            <w:rStyle w:val="Hyperlink"/>
            <w:rFonts w:cs="Arial"/>
            <w:snapToGrid w:val="0"/>
          </w:rPr>
          <w:t>Leapfrog’s Multi-Campus Reporting Policy</w:t>
        </w:r>
      </w:hyperlink>
      <w:r w:rsidRPr="009A5185">
        <w:rPr>
          <w:rFonts w:cs="Arial"/>
          <w:snapToGrid w:val="0"/>
        </w:rPr>
        <w:t>.</w:t>
      </w:r>
    </w:p>
    <w:p w14:paraId="10EDE47E" w14:textId="77777777" w:rsidR="00474DDE" w:rsidRPr="009A5185" w:rsidRDefault="00474DDE">
      <w:pPr>
        <w:rPr>
          <w:rFonts w:cs="Arial"/>
        </w:rPr>
      </w:pPr>
    </w:p>
    <w:p w14:paraId="427D2948" w14:textId="25C8F1A1" w:rsidR="00BA394C" w:rsidRPr="00764EEA" w:rsidRDefault="00253430" w:rsidP="00BA394C">
      <w:pPr>
        <w:rPr>
          <w:rFonts w:cs="Arial"/>
          <w:bCs/>
          <w:snapToGrid w:val="0"/>
        </w:rPr>
      </w:pPr>
      <w:r w:rsidRPr="00873014">
        <w:rPr>
          <w:rFonts w:cs="Arial"/>
          <w:b/>
          <w:snapToGrid w:val="0"/>
          <w:color w:val="FF0000"/>
        </w:rPr>
        <w:t xml:space="preserve">Important Note: </w:t>
      </w:r>
      <w:r w:rsidR="00BA394C" w:rsidRPr="00764EEA">
        <w:rPr>
          <w:rFonts w:cs="Arial"/>
          <w:bCs/>
          <w:snapToGrid w:val="0"/>
        </w:rPr>
        <w:t xml:space="preserve">Hospitals must use the same 12-month reporting period </w:t>
      </w:r>
      <w:r w:rsidR="00BA394C" w:rsidRPr="00BA394C">
        <w:rPr>
          <w:rFonts w:cs="Arial"/>
          <w:bCs/>
          <w:snapToGrid w:val="0"/>
        </w:rPr>
        <w:t>for all subsections in Section 4: Maternity Care</w:t>
      </w:r>
      <w:r w:rsidR="00BA394C">
        <w:rPr>
          <w:rFonts w:cs="Arial"/>
          <w:bCs/>
          <w:snapToGrid w:val="0"/>
        </w:rPr>
        <w:t xml:space="preserve">, except for Section 4B questions #6-8. </w:t>
      </w:r>
    </w:p>
    <w:p w14:paraId="37804EEE" w14:textId="77777777" w:rsidR="00253430" w:rsidRDefault="00253430" w:rsidP="006B0AE8">
      <w:pPr>
        <w:rPr>
          <w:rFonts w:cs="Arial"/>
          <w:b/>
          <w:snapToGrid w:val="0"/>
        </w:rPr>
      </w:pPr>
    </w:p>
    <w:p w14:paraId="7A1F7F50" w14:textId="5C2EE97F" w:rsidR="006B0AE8" w:rsidRPr="009A5185" w:rsidRDefault="006B0AE8" w:rsidP="006B0AE8">
      <w:pPr>
        <w:rPr>
          <w:rFonts w:cs="Arial"/>
          <w:snapToGrid w:val="0"/>
        </w:rPr>
      </w:pPr>
      <w:r w:rsidRPr="009A5185">
        <w:rPr>
          <w:rFonts w:cs="Arial"/>
          <w:b/>
          <w:snapToGrid w:val="0"/>
        </w:rPr>
        <w:t xml:space="preserve">Specifications: </w:t>
      </w:r>
      <w:r w:rsidRPr="009A5185">
        <w:rPr>
          <w:rFonts w:cs="Arial"/>
          <w:snapToGrid w:val="0"/>
        </w:rPr>
        <w:t xml:space="preserve">See </w:t>
      </w:r>
      <w:hyperlink w:anchor="_Episiotomy_2" w:history="1">
        <w:r w:rsidR="006F29AA">
          <w:rPr>
            <w:rStyle w:val="Hyperlink"/>
            <w:rFonts w:cs="Arial"/>
            <w:b/>
            <w:i/>
            <w:snapToGrid w:val="0"/>
          </w:rPr>
          <w:t>Episiotomy Measure Specifications</w:t>
        </w:r>
      </w:hyperlink>
      <w:r w:rsidRPr="009A5185">
        <w:rPr>
          <w:rFonts w:cs="Arial"/>
          <w:snapToGrid w:val="0"/>
        </w:rPr>
        <w:t xml:space="preserve"> in the Reference Information </w:t>
      </w:r>
      <w:r w:rsidR="008964E1">
        <w:rPr>
          <w:rFonts w:cs="Arial"/>
          <w:snapToGrid w:val="0"/>
        </w:rPr>
        <w:t xml:space="preserve">beginning on page </w:t>
      </w:r>
      <w:r w:rsidR="00957F35">
        <w:rPr>
          <w:rFonts w:cs="Arial"/>
          <w:snapToGrid w:val="0"/>
        </w:rPr>
        <w:t>1</w:t>
      </w:r>
      <w:r w:rsidR="004640AB">
        <w:rPr>
          <w:rFonts w:cs="Arial"/>
          <w:snapToGrid w:val="0"/>
        </w:rPr>
        <w:t>69</w:t>
      </w:r>
      <w:r w:rsidR="00957F35">
        <w:rPr>
          <w:rFonts w:cs="Arial"/>
          <w:snapToGrid w:val="0"/>
        </w:rPr>
        <w:t>.</w:t>
      </w:r>
    </w:p>
    <w:p w14:paraId="2B27AD3F" w14:textId="1434FC4F" w:rsidR="006B0AE8" w:rsidRPr="009A5185" w:rsidRDefault="006B0AE8" w:rsidP="006B0AE8">
      <w:pPr>
        <w:rPr>
          <w:rFonts w:cs="Arial"/>
          <w:snapToGrid w:val="0"/>
        </w:rPr>
      </w:pPr>
    </w:p>
    <w:p w14:paraId="3E464181" w14:textId="60598865" w:rsidR="006B0AE8" w:rsidRDefault="00F028B4">
      <w:pPr>
        <w:rPr>
          <w:rFonts w:cs="Arial"/>
        </w:rPr>
      </w:pPr>
      <w:r w:rsidRPr="00F028B4">
        <w:rPr>
          <w:rFonts w:cs="Arial"/>
          <w:noProof/>
        </w:rPr>
        <mc:AlternateContent>
          <mc:Choice Requires="wps">
            <w:drawing>
              <wp:inline distT="0" distB="0" distL="0" distR="0" wp14:anchorId="65D26B7F" wp14:editId="0899CFFF">
                <wp:extent cx="6042991" cy="1404620"/>
                <wp:effectExtent l="0" t="0" r="15240" b="24765"/>
                <wp:docPr id="33" name="Text Box 33" descr="P6421TB17#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42991" cy="1404620"/>
                        </a:xfrm>
                        <a:prstGeom prst="rect">
                          <a:avLst/>
                        </a:prstGeom>
                        <a:solidFill>
                          <a:srgbClr val="FFFFFF"/>
                        </a:solidFill>
                        <a:ln w="9525">
                          <a:solidFill>
                            <a:srgbClr val="FF0000"/>
                          </a:solidFill>
                          <a:miter lim="800000"/>
                          <a:headEnd/>
                          <a:tailEnd/>
                        </a:ln>
                      </wps:spPr>
                      <wps:txbx>
                        <w:txbxContent>
                          <w:p w14:paraId="41363927" w14:textId="0D317A91" w:rsidR="00F028B4" w:rsidRPr="009A5185" w:rsidRDefault="00F028B4" w:rsidP="00F028B4">
                            <w:pPr>
                              <w:spacing w:before="40"/>
                              <w:rPr>
                                <w:rFonts w:cs="Arial"/>
                                <w:snapToGrid w:val="0"/>
                              </w:rPr>
                            </w:pPr>
                            <w:r w:rsidRPr="009A5185">
                              <w:rPr>
                                <w:rFonts w:cs="Arial"/>
                                <w:b/>
                                <w:snapToGrid w:val="0"/>
                              </w:rPr>
                              <w:t>Reporting Period:</w:t>
                            </w:r>
                            <w:r w:rsidRPr="009A5185">
                              <w:rPr>
                                <w:rFonts w:cs="Arial"/>
                                <w:snapToGrid w:val="0"/>
                              </w:rPr>
                              <w:t xml:space="preserve"> </w:t>
                            </w:r>
                            <w:r w:rsidRPr="009A5185">
                              <w:rPr>
                                <w:rFonts w:cs="Arial"/>
                                <w:b/>
                                <w:snapToGrid w:val="0"/>
                              </w:rPr>
                              <w:t>12 months</w:t>
                            </w:r>
                          </w:p>
                          <w:p w14:paraId="583B734B" w14:textId="77777777" w:rsidR="00F028B4" w:rsidRPr="009A5185" w:rsidRDefault="00F028B4" w:rsidP="00F028B4">
                            <w:pPr>
                              <w:rPr>
                                <w:rFonts w:cs="Arial"/>
                                <w:snapToGrid w:val="0"/>
                              </w:rPr>
                            </w:pPr>
                            <w:r w:rsidRPr="009A5185">
                              <w:rPr>
                                <w:rFonts w:cs="Arial"/>
                                <w:snapToGrid w:val="0"/>
                              </w:rPr>
                              <w:t>Answer questions #1-3 based on all cases</w:t>
                            </w:r>
                            <w:r>
                              <w:rPr>
                                <w:rFonts w:cs="Arial"/>
                                <w:snapToGrid w:val="0"/>
                              </w:rPr>
                              <w:t>.</w:t>
                            </w:r>
                          </w:p>
                          <w:p w14:paraId="7BC2F430" w14:textId="77777777" w:rsidR="00F028B4" w:rsidRPr="00BE1D22" w:rsidRDefault="00F028B4" w:rsidP="00AD309C">
                            <w:pPr>
                              <w:pStyle w:val="ListParagraph"/>
                              <w:numPr>
                                <w:ilvl w:val="0"/>
                                <w:numId w:val="37"/>
                              </w:numPr>
                              <w:rPr>
                                <w:rFonts w:cs="Arial"/>
                                <w:i/>
                                <w:snapToGrid w:val="0"/>
                              </w:rPr>
                            </w:pPr>
                            <w:r>
                              <w:rPr>
                                <w:rFonts w:cs="Arial"/>
                                <w:iCs/>
                                <w:snapToGrid w:val="0"/>
                              </w:rPr>
                              <w:t>Surveys submitted prior to September 1:</w:t>
                            </w:r>
                          </w:p>
                          <w:p w14:paraId="011EBD84" w14:textId="3DFF8A0F" w:rsidR="00F028B4" w:rsidRPr="009A5185" w:rsidRDefault="00F028B4" w:rsidP="00AD309C">
                            <w:pPr>
                              <w:pStyle w:val="ListParagraph"/>
                              <w:numPr>
                                <w:ilvl w:val="1"/>
                                <w:numId w:val="37"/>
                              </w:numPr>
                              <w:rPr>
                                <w:rFonts w:cs="Arial"/>
                                <w:i/>
                                <w:snapToGrid w:val="0"/>
                              </w:rPr>
                            </w:pPr>
                            <w:r>
                              <w:rPr>
                                <w:rFonts w:cs="Arial"/>
                                <w:iCs/>
                                <w:snapToGrid w:val="0"/>
                              </w:rPr>
                              <w:t>01/01/202</w:t>
                            </w:r>
                            <w:r w:rsidR="001C3E37">
                              <w:rPr>
                                <w:rFonts w:cs="Arial"/>
                                <w:iCs/>
                                <w:snapToGrid w:val="0"/>
                              </w:rPr>
                              <w:t>5</w:t>
                            </w:r>
                            <w:r>
                              <w:rPr>
                                <w:rFonts w:cs="Arial"/>
                                <w:iCs/>
                                <w:snapToGrid w:val="0"/>
                              </w:rPr>
                              <w:t xml:space="preserve"> – 12/31/202</w:t>
                            </w:r>
                            <w:r w:rsidR="001C3E37">
                              <w:rPr>
                                <w:rFonts w:cs="Arial"/>
                                <w:iCs/>
                                <w:snapToGrid w:val="0"/>
                              </w:rPr>
                              <w:t>5</w:t>
                            </w:r>
                          </w:p>
                          <w:p w14:paraId="13592FF9" w14:textId="77777777" w:rsidR="00F028B4" w:rsidRPr="00BE1D22" w:rsidRDefault="00F028B4" w:rsidP="00AD309C">
                            <w:pPr>
                              <w:pStyle w:val="ListParagraph"/>
                              <w:numPr>
                                <w:ilvl w:val="0"/>
                                <w:numId w:val="37"/>
                              </w:numPr>
                              <w:rPr>
                                <w:rFonts w:cs="Arial"/>
                                <w:i/>
                                <w:snapToGrid w:val="0"/>
                              </w:rPr>
                            </w:pPr>
                            <w:r w:rsidRPr="009A5185">
                              <w:rPr>
                                <w:rFonts w:cs="Arial"/>
                                <w:snapToGrid w:val="0"/>
                              </w:rPr>
                              <w:t xml:space="preserve">Surveys (re)submitted on or after September 1: </w:t>
                            </w:r>
                          </w:p>
                          <w:p w14:paraId="5F920DB7" w14:textId="7700B7E2" w:rsidR="00F028B4" w:rsidRPr="00FD4BD9" w:rsidRDefault="00F028B4" w:rsidP="00AD309C">
                            <w:pPr>
                              <w:pStyle w:val="ListParagraph"/>
                              <w:numPr>
                                <w:ilvl w:val="1"/>
                                <w:numId w:val="37"/>
                              </w:numPr>
                              <w:rPr>
                                <w:rFonts w:cs="Arial"/>
                                <w:i/>
                                <w:snapToGrid w:val="0"/>
                              </w:rPr>
                            </w:pPr>
                            <w:r w:rsidRPr="009A5185">
                              <w:rPr>
                                <w:rFonts w:cs="Arial"/>
                                <w:snapToGrid w:val="0"/>
                              </w:rPr>
                              <w:t>07/01/</w:t>
                            </w:r>
                            <w:r>
                              <w:rPr>
                                <w:rFonts w:cs="Arial"/>
                                <w:snapToGrid w:val="0"/>
                              </w:rPr>
                              <w:t>202</w:t>
                            </w:r>
                            <w:r w:rsidR="001C3E37">
                              <w:rPr>
                                <w:rFonts w:cs="Arial"/>
                                <w:snapToGrid w:val="0"/>
                              </w:rPr>
                              <w:t>5</w:t>
                            </w:r>
                            <w:r w:rsidRPr="009A5185">
                              <w:rPr>
                                <w:rFonts w:cs="Arial"/>
                                <w:snapToGrid w:val="0"/>
                              </w:rPr>
                              <w:t xml:space="preserve"> </w:t>
                            </w:r>
                            <w:r>
                              <w:rPr>
                                <w:rFonts w:cs="Arial"/>
                                <w:snapToGrid w:val="0"/>
                              </w:rPr>
                              <w:t>–</w:t>
                            </w:r>
                            <w:r w:rsidRPr="009A5185">
                              <w:rPr>
                                <w:rFonts w:cs="Arial"/>
                                <w:snapToGrid w:val="0"/>
                              </w:rPr>
                              <w:t xml:space="preserve"> 06/30/</w:t>
                            </w:r>
                            <w:r>
                              <w:rPr>
                                <w:rFonts w:cs="Arial"/>
                                <w:snapToGrid w:val="0"/>
                              </w:rPr>
                              <w:t>202</w:t>
                            </w:r>
                            <w:r w:rsidR="001C3E37">
                              <w:rPr>
                                <w:rFonts w:cs="Arial"/>
                                <w:snapToGrid w:val="0"/>
                              </w:rPr>
                              <w:t>6</w:t>
                            </w:r>
                          </w:p>
                          <w:p w14:paraId="01251BE9" w14:textId="77777777" w:rsidR="00F028B4" w:rsidRDefault="00F028B4" w:rsidP="00F028B4">
                            <w:pPr>
                              <w:rPr>
                                <w:rFonts w:cs="Arial"/>
                                <w:i/>
                                <w:snapToGrid w:val="0"/>
                              </w:rPr>
                            </w:pPr>
                          </w:p>
                          <w:p w14:paraId="1FAC8868" w14:textId="353D56A3" w:rsidR="00F028B4" w:rsidRDefault="00F028B4" w:rsidP="00F028B4">
                            <w:r w:rsidRPr="006547C0">
                              <w:rPr>
                                <w:rFonts w:cs="Arial"/>
                                <w:sz w:val="16"/>
                                <w:szCs w:val="16"/>
                              </w:rPr>
                              <w:t xml:space="preserve">Note: As a reminder, the </w:t>
                            </w:r>
                            <w:hyperlink r:id="rId259" w:history="1">
                              <w:r w:rsidRPr="006547C0">
                                <w:rPr>
                                  <w:rStyle w:val="Hyperlink"/>
                                  <w:rFonts w:cs="Arial"/>
                                  <w:sz w:val="16"/>
                                  <w:szCs w:val="16"/>
                                </w:rPr>
                                <w:t>Corrections Period</w:t>
                              </w:r>
                            </w:hyperlink>
                            <w:r w:rsidRPr="006547C0">
                              <w:rPr>
                                <w:rFonts w:cs="Arial"/>
                                <w:sz w:val="16"/>
                                <w:szCs w:val="16"/>
                              </w:rPr>
                              <w:t xml:space="preserve"> </w:t>
                            </w:r>
                            <w:r w:rsidRPr="00E65E68">
                              <w:rPr>
                                <w:rFonts w:cs="Arial"/>
                                <w:sz w:val="16"/>
                                <w:szCs w:val="16"/>
                              </w:rPr>
                              <w:t>(</w:t>
                            </w:r>
                            <w:r>
                              <w:rPr>
                                <w:rFonts w:cs="Arial"/>
                                <w:sz w:val="16"/>
                                <w:szCs w:val="16"/>
                              </w:rPr>
                              <w:t>December</w:t>
                            </w:r>
                            <w:r w:rsidRPr="00E65E68">
                              <w:rPr>
                                <w:rFonts w:cs="Arial"/>
                                <w:sz w:val="16"/>
                                <w:szCs w:val="16"/>
                              </w:rPr>
                              <w:t xml:space="preserve"> 1-January 31) is reserved for corrections to previously submitted Surveys only. </w:t>
                            </w:r>
                            <w:r w:rsidRPr="00E65E68">
                              <w:rPr>
                                <w:rFonts w:cs="Arial"/>
                                <w:bCs/>
                                <w:snapToGrid w:val="0"/>
                                <w:sz w:val="16"/>
                                <w:szCs w:val="16"/>
                              </w:rPr>
                              <w:t xml:space="preserve">Any updates made to reflect a change in performance must be made prior to the </w:t>
                            </w:r>
                            <w:r>
                              <w:rPr>
                                <w:rFonts w:cs="Arial"/>
                                <w:bCs/>
                                <w:snapToGrid w:val="0"/>
                                <w:sz w:val="16"/>
                                <w:szCs w:val="16"/>
                              </w:rPr>
                              <w:t>November 30</w:t>
                            </w:r>
                            <w:r w:rsidRPr="00E65E68">
                              <w:rPr>
                                <w:rFonts w:cs="Arial"/>
                                <w:bCs/>
                                <w:snapToGrid w:val="0"/>
                                <w:sz w:val="16"/>
                                <w:szCs w:val="16"/>
                              </w:rPr>
                              <w:t xml:space="preserve"> Late Submission </w:t>
                            </w:r>
                            <w:r w:rsidRPr="00AE38C7">
                              <w:rPr>
                                <w:rFonts w:cs="Arial"/>
                                <w:bCs/>
                                <w:snapToGrid w:val="0"/>
                                <w:sz w:val="16"/>
                                <w:szCs w:val="16"/>
                              </w:rPr>
                              <w:t>and Performance Update</w:t>
                            </w:r>
                            <w:r>
                              <w:rPr>
                                <w:rFonts w:cs="Arial"/>
                                <w:bCs/>
                                <w:snapToGrid w:val="0"/>
                                <w:sz w:val="16"/>
                                <w:szCs w:val="16"/>
                              </w:rPr>
                              <w:t xml:space="preserve"> </w:t>
                            </w:r>
                            <w:r w:rsidRPr="00E65E68">
                              <w:rPr>
                                <w:rFonts w:cs="Arial"/>
                                <w:bCs/>
                                <w:snapToGrid w:val="0"/>
                                <w:sz w:val="16"/>
                                <w:szCs w:val="16"/>
                              </w:rPr>
                              <w:t xml:space="preserve">Deadline. Updates made to reflect a change in performance after </w:t>
                            </w:r>
                            <w:r>
                              <w:rPr>
                                <w:rFonts w:cs="Arial"/>
                                <w:bCs/>
                                <w:snapToGrid w:val="0"/>
                                <w:sz w:val="16"/>
                                <w:szCs w:val="16"/>
                              </w:rPr>
                              <w:t>November 30</w:t>
                            </w:r>
                            <w:r w:rsidRPr="00E65E68">
                              <w:rPr>
                                <w:rFonts w:cs="Arial"/>
                                <w:bCs/>
                                <w:snapToGrid w:val="0"/>
                                <w:sz w:val="16"/>
                                <w:szCs w:val="16"/>
                              </w:rPr>
                              <w:t xml:space="preserve"> will not be scored or publicly reported.</w:t>
                            </w:r>
                          </w:p>
                        </w:txbxContent>
                      </wps:txbx>
                      <wps:bodyPr rot="0" vert="horz" wrap="square" lIns="91440" tIns="45720" rIns="91440" bIns="45720" anchor="t" anchorCtr="0">
                        <a:spAutoFit/>
                      </wps:bodyPr>
                    </wps:wsp>
                  </a:graphicData>
                </a:graphic>
              </wp:inline>
            </w:drawing>
          </mc:Choice>
          <mc:Fallback>
            <w:pict>
              <v:shape w14:anchorId="65D26B7F" id="Text Box 33" o:spid="_x0000_s1044" type="#_x0000_t202" alt="P6421TB17#y1" style="width:475.8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" strokecolor="red">
                <v:textbox style="mso-fit-shape-to-text:t">
                  <w:txbxContent>
                    <w:p w14:paraId="41363927" w14:textId="0D317A91" w:rsidR="00F028B4" w:rsidRPr="009A5185" w:rsidRDefault="00F028B4" w:rsidP="00F028B4">
                      <w:pPr>
                        <w:spacing w:before="40"/>
                        <w:rPr>
                          <w:rFonts w:cs="Arial"/>
                          <w:snapToGrid w:val="0"/>
                        </w:rPr>
                      </w:pPr>
                      <w:r w:rsidRPr="009A5185">
                        <w:rPr>
                          <w:rFonts w:cs="Arial"/>
                          <w:b/>
                          <w:snapToGrid w:val="0"/>
                        </w:rPr>
                        <w:t>Reporting Period:</w:t>
                      </w:r>
                      <w:r w:rsidRPr="009A5185">
                        <w:rPr>
                          <w:rFonts w:cs="Arial"/>
                          <w:snapToGrid w:val="0"/>
                        </w:rPr>
                        <w:t xml:space="preserve"> </w:t>
                      </w:r>
                      <w:r w:rsidRPr="009A5185">
                        <w:rPr>
                          <w:rFonts w:cs="Arial"/>
                          <w:b/>
                          <w:snapToGrid w:val="0"/>
                        </w:rPr>
                        <w:t>12 months</w:t>
                      </w:r>
                    </w:p>
                    <w:p w14:paraId="583B734B" w14:textId="77777777" w:rsidR="00F028B4" w:rsidRPr="009A5185" w:rsidRDefault="00F028B4" w:rsidP="00F028B4">
                      <w:pPr>
                        <w:rPr>
                          <w:rFonts w:cs="Arial"/>
                          <w:snapToGrid w:val="0"/>
                        </w:rPr>
                      </w:pPr>
                      <w:r w:rsidRPr="009A5185">
                        <w:rPr>
                          <w:rFonts w:cs="Arial"/>
                          <w:snapToGrid w:val="0"/>
                        </w:rPr>
                        <w:t>Answer questions #1-3 based on all cases</w:t>
                      </w:r>
                      <w:r>
                        <w:rPr>
                          <w:rFonts w:cs="Arial"/>
                          <w:snapToGrid w:val="0"/>
                        </w:rPr>
                        <w:t>.</w:t>
                      </w:r>
                    </w:p>
                    <w:p w14:paraId="7BC2F430" w14:textId="77777777" w:rsidR="00F028B4" w:rsidRPr="00BE1D22" w:rsidRDefault="00F028B4" w:rsidP="00AD309C">
                      <w:pPr>
                        <w:pStyle w:val="ListParagraph"/>
                        <w:numPr>
                          <w:ilvl w:val="0"/>
                          <w:numId w:val="37"/>
                        </w:numPr>
                        <w:rPr>
                          <w:rFonts w:cs="Arial"/>
                          <w:i/>
                          <w:snapToGrid w:val="0"/>
                        </w:rPr>
                      </w:pPr>
                      <w:r>
                        <w:rPr>
                          <w:rFonts w:cs="Arial"/>
                          <w:iCs/>
                          <w:snapToGrid w:val="0"/>
                        </w:rPr>
                        <w:t>Surveys submitted prior to September 1:</w:t>
                      </w:r>
                    </w:p>
                    <w:p w14:paraId="011EBD84" w14:textId="3DFF8A0F" w:rsidR="00F028B4" w:rsidRPr="009A5185" w:rsidRDefault="00F028B4" w:rsidP="00AD309C">
                      <w:pPr>
                        <w:pStyle w:val="ListParagraph"/>
                        <w:numPr>
                          <w:ilvl w:val="1"/>
                          <w:numId w:val="37"/>
                        </w:numPr>
                        <w:rPr>
                          <w:rFonts w:cs="Arial"/>
                          <w:i/>
                          <w:snapToGrid w:val="0"/>
                        </w:rPr>
                      </w:pPr>
                      <w:r>
                        <w:rPr>
                          <w:rFonts w:cs="Arial"/>
                          <w:iCs/>
                          <w:snapToGrid w:val="0"/>
                        </w:rPr>
                        <w:t>01/01/202</w:t>
                      </w:r>
                      <w:r w:rsidR="001C3E37">
                        <w:rPr>
                          <w:rFonts w:cs="Arial"/>
                          <w:iCs/>
                          <w:snapToGrid w:val="0"/>
                        </w:rPr>
                        <w:t>5</w:t>
                      </w:r>
                      <w:r>
                        <w:rPr>
                          <w:rFonts w:cs="Arial"/>
                          <w:iCs/>
                          <w:snapToGrid w:val="0"/>
                        </w:rPr>
                        <w:t xml:space="preserve"> – 12/31/202</w:t>
                      </w:r>
                      <w:r w:rsidR="001C3E37">
                        <w:rPr>
                          <w:rFonts w:cs="Arial"/>
                          <w:iCs/>
                          <w:snapToGrid w:val="0"/>
                        </w:rPr>
                        <w:t>5</w:t>
                      </w:r>
                    </w:p>
                    <w:p w14:paraId="13592FF9" w14:textId="77777777" w:rsidR="00F028B4" w:rsidRPr="00BE1D22" w:rsidRDefault="00F028B4" w:rsidP="00AD309C">
                      <w:pPr>
                        <w:pStyle w:val="ListParagraph"/>
                        <w:numPr>
                          <w:ilvl w:val="0"/>
                          <w:numId w:val="37"/>
                        </w:numPr>
                        <w:rPr>
                          <w:rFonts w:cs="Arial"/>
                          <w:i/>
                          <w:snapToGrid w:val="0"/>
                        </w:rPr>
                      </w:pPr>
                      <w:r w:rsidRPr="009A5185">
                        <w:rPr>
                          <w:rFonts w:cs="Arial"/>
                          <w:snapToGrid w:val="0"/>
                        </w:rPr>
                        <w:t xml:space="preserve">Surveys (re)submitted on or after September 1: </w:t>
                      </w:r>
                    </w:p>
                    <w:p w14:paraId="5F920DB7" w14:textId="7700B7E2" w:rsidR="00F028B4" w:rsidRPr="00FD4BD9" w:rsidRDefault="00F028B4" w:rsidP="00AD309C">
                      <w:pPr>
                        <w:pStyle w:val="ListParagraph"/>
                        <w:numPr>
                          <w:ilvl w:val="1"/>
                          <w:numId w:val="37"/>
                        </w:numPr>
                        <w:rPr>
                          <w:rFonts w:cs="Arial"/>
                          <w:i/>
                          <w:snapToGrid w:val="0"/>
                        </w:rPr>
                      </w:pPr>
                      <w:r w:rsidRPr="009A5185">
                        <w:rPr>
                          <w:rFonts w:cs="Arial"/>
                          <w:snapToGrid w:val="0"/>
                        </w:rPr>
                        <w:t>07/01/</w:t>
                      </w:r>
                      <w:r>
                        <w:rPr>
                          <w:rFonts w:cs="Arial"/>
                          <w:snapToGrid w:val="0"/>
                        </w:rPr>
                        <w:t>202</w:t>
                      </w:r>
                      <w:r w:rsidR="001C3E37">
                        <w:rPr>
                          <w:rFonts w:cs="Arial"/>
                          <w:snapToGrid w:val="0"/>
                        </w:rPr>
                        <w:t>5</w:t>
                      </w:r>
                      <w:r w:rsidRPr="009A5185">
                        <w:rPr>
                          <w:rFonts w:cs="Arial"/>
                          <w:snapToGrid w:val="0"/>
                        </w:rPr>
                        <w:t xml:space="preserve"> </w:t>
                      </w:r>
                      <w:r>
                        <w:rPr>
                          <w:rFonts w:cs="Arial"/>
                          <w:snapToGrid w:val="0"/>
                        </w:rPr>
                        <w:t>–</w:t>
                      </w:r>
                      <w:r w:rsidRPr="009A5185">
                        <w:rPr>
                          <w:rFonts w:cs="Arial"/>
                          <w:snapToGrid w:val="0"/>
                        </w:rPr>
                        <w:t xml:space="preserve"> 06/30/</w:t>
                      </w:r>
                      <w:r>
                        <w:rPr>
                          <w:rFonts w:cs="Arial"/>
                          <w:snapToGrid w:val="0"/>
                        </w:rPr>
                        <w:t>202</w:t>
                      </w:r>
                      <w:r w:rsidR="001C3E37">
                        <w:rPr>
                          <w:rFonts w:cs="Arial"/>
                          <w:snapToGrid w:val="0"/>
                        </w:rPr>
                        <w:t>6</w:t>
                      </w:r>
                    </w:p>
                    <w:p w14:paraId="01251BE9" w14:textId="77777777" w:rsidR="00F028B4" w:rsidRDefault="00F028B4" w:rsidP="00F028B4">
                      <w:pPr>
                        <w:rPr>
                          <w:rFonts w:cs="Arial"/>
                          <w:i/>
                          <w:snapToGrid w:val="0"/>
                        </w:rPr>
                      </w:pPr>
                    </w:p>
                    <w:p w14:paraId="1FAC8868" w14:textId="353D56A3" w:rsidR="00F028B4" w:rsidRDefault="00F028B4" w:rsidP="00F028B4">
                      <w:r w:rsidRPr="006547C0">
                        <w:rPr>
                          <w:rFonts w:cs="Arial"/>
                          <w:sz w:val="16"/>
                          <w:szCs w:val="16"/>
                        </w:rPr>
                        <w:t xml:space="preserve">Note: As a reminder, the </w:t>
                      </w:r>
                      <w:hyperlink r:id="rId260" w:history="1">
                        <w:r w:rsidRPr="006547C0">
                          <w:rPr>
                            <w:rStyle w:val="Hyperlink"/>
                            <w:rFonts w:cs="Arial"/>
                            <w:sz w:val="16"/>
                            <w:szCs w:val="16"/>
                          </w:rPr>
                          <w:t>Corrections Period</w:t>
                        </w:r>
                      </w:hyperlink>
                      <w:r w:rsidRPr="006547C0">
                        <w:rPr>
                          <w:rFonts w:cs="Arial"/>
                          <w:sz w:val="16"/>
                          <w:szCs w:val="16"/>
                        </w:rPr>
                        <w:t xml:space="preserve"> </w:t>
                      </w:r>
                      <w:r w:rsidRPr="00E65E68">
                        <w:rPr>
                          <w:rFonts w:cs="Arial"/>
                          <w:sz w:val="16"/>
                          <w:szCs w:val="16"/>
                        </w:rPr>
                        <w:t>(</w:t>
                      </w:r>
                      <w:r>
                        <w:rPr>
                          <w:rFonts w:cs="Arial"/>
                          <w:sz w:val="16"/>
                          <w:szCs w:val="16"/>
                        </w:rPr>
                        <w:t>December</w:t>
                      </w:r>
                      <w:r w:rsidRPr="00E65E68">
                        <w:rPr>
                          <w:rFonts w:cs="Arial"/>
                          <w:sz w:val="16"/>
                          <w:szCs w:val="16"/>
                        </w:rPr>
                        <w:t xml:space="preserve"> 1-January 31) is reserved for corrections to previously submitted Surveys only. </w:t>
                      </w:r>
                      <w:r w:rsidRPr="00E65E68">
                        <w:rPr>
                          <w:rFonts w:cs="Arial"/>
                          <w:bCs/>
                          <w:snapToGrid w:val="0"/>
                          <w:sz w:val="16"/>
                          <w:szCs w:val="16"/>
                        </w:rPr>
                        <w:t xml:space="preserve">Any updates made to reflect a change in performance must be made prior to the </w:t>
                      </w:r>
                      <w:r>
                        <w:rPr>
                          <w:rFonts w:cs="Arial"/>
                          <w:bCs/>
                          <w:snapToGrid w:val="0"/>
                          <w:sz w:val="16"/>
                          <w:szCs w:val="16"/>
                        </w:rPr>
                        <w:t>November 30</w:t>
                      </w:r>
                      <w:r w:rsidRPr="00E65E68">
                        <w:rPr>
                          <w:rFonts w:cs="Arial"/>
                          <w:bCs/>
                          <w:snapToGrid w:val="0"/>
                          <w:sz w:val="16"/>
                          <w:szCs w:val="16"/>
                        </w:rPr>
                        <w:t xml:space="preserve"> Late Submission </w:t>
                      </w:r>
                      <w:r w:rsidRPr="00AE38C7">
                        <w:rPr>
                          <w:rFonts w:cs="Arial"/>
                          <w:bCs/>
                          <w:snapToGrid w:val="0"/>
                          <w:sz w:val="16"/>
                          <w:szCs w:val="16"/>
                        </w:rPr>
                        <w:t>and Performance Update</w:t>
                      </w:r>
                      <w:r>
                        <w:rPr>
                          <w:rFonts w:cs="Arial"/>
                          <w:bCs/>
                          <w:snapToGrid w:val="0"/>
                          <w:sz w:val="16"/>
                          <w:szCs w:val="16"/>
                        </w:rPr>
                        <w:t xml:space="preserve"> </w:t>
                      </w:r>
                      <w:r w:rsidRPr="00E65E68">
                        <w:rPr>
                          <w:rFonts w:cs="Arial"/>
                          <w:bCs/>
                          <w:snapToGrid w:val="0"/>
                          <w:sz w:val="16"/>
                          <w:szCs w:val="16"/>
                        </w:rPr>
                        <w:t xml:space="preserve">Deadline. Updates made to reflect a change in performance after </w:t>
                      </w:r>
                      <w:r>
                        <w:rPr>
                          <w:rFonts w:cs="Arial"/>
                          <w:bCs/>
                          <w:snapToGrid w:val="0"/>
                          <w:sz w:val="16"/>
                          <w:szCs w:val="16"/>
                        </w:rPr>
                        <w:t>November 30</w:t>
                      </w:r>
                      <w:r w:rsidRPr="00E65E68">
                        <w:rPr>
                          <w:rFonts w:cs="Arial"/>
                          <w:bCs/>
                          <w:snapToGrid w:val="0"/>
                          <w:sz w:val="16"/>
                          <w:szCs w:val="16"/>
                        </w:rPr>
                        <w:t xml:space="preserve"> will not be scored or publicly reported.</w:t>
                      </w:r>
                    </w:p>
                  </w:txbxContent>
                </v:textbox>
                <w10:anchorlock/>
              </v:shape>
            </w:pict>
          </mc:Fallback>
        </mc:AlternateContent>
      </w:r>
    </w:p>
    <w:p w14:paraId="2AB150FE" w14:textId="77777777" w:rsidR="00F028B4" w:rsidRDefault="00F028B4">
      <w:pPr>
        <w:rPr>
          <w:rFonts w:cs="Arial"/>
        </w:rPr>
      </w:pPr>
    </w:p>
    <w:tbl>
      <w:tblPr>
        <w:tblStyle w:val="TableGrid"/>
        <w:tblW w:w="9547" w:type="dxa"/>
        <w:tblLook w:val="04A0" w:firstRow="1" w:lastRow="0" w:firstColumn="1" w:lastColumn="0" w:noHBand="0" w:noVBand="1"/>
      </w:tblPr>
      <w:tblGrid>
        <w:gridCol w:w="6638"/>
        <w:gridCol w:w="2909"/>
      </w:tblGrid>
      <w:tr w:rsidR="006B0AE8" w:rsidRPr="009A5185" w14:paraId="5E41C123" w14:textId="77777777" w:rsidTr="0004050A">
        <w:trPr>
          <w:trHeight w:val="576"/>
        </w:trPr>
        <w:tc>
          <w:tcPr>
            <w:tcW w:w="6638" w:type="dxa"/>
            <w:vAlign w:val="center"/>
          </w:tcPr>
          <w:p w14:paraId="284BCFC0" w14:textId="19D72EBA" w:rsidR="006B0AE8" w:rsidRPr="009A5185" w:rsidRDefault="006B0AE8" w:rsidP="00AD309C">
            <w:pPr>
              <w:pStyle w:val="ListParagraph"/>
              <w:numPr>
                <w:ilvl w:val="0"/>
                <w:numId w:val="27"/>
              </w:numPr>
              <w:rPr>
                <w:rFonts w:cs="Arial"/>
                <w:snapToGrid w:val="0"/>
                <w:color w:val="000000"/>
              </w:rPr>
            </w:pPr>
            <w:r w:rsidRPr="009A5185">
              <w:rPr>
                <w:rFonts w:cs="Arial"/>
                <w:snapToGrid w:val="0"/>
                <w:color w:val="000000"/>
              </w:rPr>
              <w:t>12-month reporting period used:</w:t>
            </w:r>
          </w:p>
        </w:tc>
        <w:tc>
          <w:tcPr>
            <w:tcW w:w="2909" w:type="dxa"/>
            <w:vAlign w:val="center"/>
          </w:tcPr>
          <w:p w14:paraId="5658EE87" w14:textId="6ED7E16D" w:rsidR="00BE1D22" w:rsidRPr="00C06753" w:rsidRDefault="00BE1D22" w:rsidP="00AD309C">
            <w:pPr>
              <w:pStyle w:val="ListParagraph"/>
              <w:numPr>
                <w:ilvl w:val="0"/>
                <w:numId w:val="290"/>
              </w:numPr>
              <w:rPr>
                <w:rFonts w:cs="Arial"/>
                <w:iCs/>
              </w:rPr>
            </w:pPr>
            <w:r w:rsidRPr="00C8246A">
              <w:rPr>
                <w:rFonts w:cs="Arial"/>
                <w:iCs/>
              </w:rPr>
              <w:t>01/01/202</w:t>
            </w:r>
            <w:r w:rsidR="008E3EBE">
              <w:rPr>
                <w:rFonts w:cs="Arial"/>
                <w:iCs/>
              </w:rPr>
              <w:t>5</w:t>
            </w:r>
            <w:r w:rsidRPr="00C06753">
              <w:rPr>
                <w:rFonts w:cs="Arial"/>
                <w:iCs/>
              </w:rPr>
              <w:t xml:space="preserve"> </w:t>
            </w:r>
            <w:r w:rsidR="00080756" w:rsidRPr="00C06753">
              <w:rPr>
                <w:rFonts w:cs="Arial"/>
                <w:iCs/>
              </w:rPr>
              <w:t>–</w:t>
            </w:r>
            <w:r w:rsidRPr="00C06753">
              <w:rPr>
                <w:rFonts w:cs="Arial"/>
                <w:iCs/>
              </w:rPr>
              <w:t xml:space="preserve"> 12/31/202</w:t>
            </w:r>
            <w:r w:rsidR="008E3EBE">
              <w:rPr>
                <w:rFonts w:cs="Arial"/>
                <w:iCs/>
              </w:rPr>
              <w:t>5</w:t>
            </w:r>
          </w:p>
          <w:p w14:paraId="30E1B74D" w14:textId="15B523BE" w:rsidR="006B0AE8" w:rsidRPr="007174DE" w:rsidRDefault="006B0AE8" w:rsidP="00AD309C">
            <w:pPr>
              <w:pStyle w:val="ListParagraph"/>
              <w:numPr>
                <w:ilvl w:val="0"/>
                <w:numId w:val="290"/>
              </w:numPr>
              <w:rPr>
                <w:rFonts w:cs="Arial"/>
                <w:i/>
              </w:rPr>
            </w:pPr>
            <w:r w:rsidRPr="00C06753">
              <w:rPr>
                <w:rFonts w:cs="Arial"/>
                <w:iCs/>
              </w:rPr>
              <w:t>07/01/</w:t>
            </w:r>
            <w:r w:rsidR="00BE1D22" w:rsidRPr="00C06753">
              <w:rPr>
                <w:rFonts w:cs="Arial"/>
                <w:iCs/>
              </w:rPr>
              <w:t>202</w:t>
            </w:r>
            <w:r w:rsidR="008E3EBE">
              <w:rPr>
                <w:rFonts w:cs="Arial"/>
                <w:iCs/>
              </w:rPr>
              <w:t>5</w:t>
            </w:r>
            <w:r w:rsidRPr="00C06753">
              <w:rPr>
                <w:rFonts w:cs="Arial"/>
                <w:iCs/>
              </w:rPr>
              <w:t xml:space="preserve"> </w:t>
            </w:r>
            <w:r w:rsidR="00080756" w:rsidRPr="00C06753">
              <w:rPr>
                <w:rFonts w:cs="Arial"/>
                <w:iCs/>
              </w:rPr>
              <w:t>–</w:t>
            </w:r>
            <w:r w:rsidRPr="00C06753">
              <w:rPr>
                <w:rFonts w:cs="Arial"/>
                <w:iCs/>
              </w:rPr>
              <w:t xml:space="preserve"> 06/30/</w:t>
            </w:r>
            <w:r w:rsidR="00BE1D22" w:rsidRPr="00C06753">
              <w:rPr>
                <w:rFonts w:cs="Arial"/>
                <w:iCs/>
              </w:rPr>
              <w:t>202</w:t>
            </w:r>
            <w:r w:rsidR="008E3EBE">
              <w:rPr>
                <w:rFonts w:cs="Arial"/>
                <w:iCs/>
              </w:rPr>
              <w:t>6</w:t>
            </w:r>
          </w:p>
        </w:tc>
      </w:tr>
      <w:tr w:rsidR="006B0AE8" w:rsidRPr="009A5185" w14:paraId="03446D45" w14:textId="77777777" w:rsidTr="00DB5C83">
        <w:trPr>
          <w:trHeight w:hRule="exact" w:val="1477"/>
        </w:trPr>
        <w:tc>
          <w:tcPr>
            <w:tcW w:w="6638" w:type="dxa"/>
          </w:tcPr>
          <w:p w14:paraId="1B9B5673" w14:textId="6B220F0B" w:rsidR="006B0AE8" w:rsidRDefault="006B0AE8" w:rsidP="00AD309C">
            <w:pPr>
              <w:pStyle w:val="ListParagraph"/>
              <w:numPr>
                <w:ilvl w:val="0"/>
                <w:numId w:val="59"/>
              </w:numPr>
              <w:autoSpaceDE w:val="0"/>
              <w:autoSpaceDN w:val="0"/>
              <w:adjustRightInd w:val="0"/>
              <w:rPr>
                <w:rFonts w:cs="Arial"/>
              </w:rPr>
            </w:pPr>
            <w:r w:rsidRPr="009A5185">
              <w:rPr>
                <w:rFonts w:cs="Arial"/>
              </w:rPr>
              <w:t xml:space="preserve">Total number of vaginal deliveries, with </w:t>
            </w:r>
            <w:r w:rsidRPr="009A5185">
              <w:rPr>
                <w:rFonts w:cs="Arial"/>
                <w:b/>
              </w:rPr>
              <w:t>Excluded Populations</w:t>
            </w:r>
            <w:r w:rsidRPr="009A5185">
              <w:rPr>
                <w:rFonts w:cs="Arial"/>
              </w:rPr>
              <w:t xml:space="preserve"> removed</w:t>
            </w:r>
            <w:r w:rsidR="0029572E">
              <w:rPr>
                <w:rFonts w:cs="Arial"/>
              </w:rPr>
              <w:t>:</w:t>
            </w:r>
          </w:p>
          <w:p w14:paraId="3150417C" w14:textId="77777777" w:rsidR="00DB5C83" w:rsidRDefault="00DB5C83" w:rsidP="00DB5C83">
            <w:pPr>
              <w:pStyle w:val="ListParagraph"/>
              <w:autoSpaceDE w:val="0"/>
              <w:autoSpaceDN w:val="0"/>
              <w:adjustRightInd w:val="0"/>
              <w:ind w:left="360"/>
              <w:rPr>
                <w:rFonts w:cs="Arial"/>
                <w:i/>
              </w:rPr>
            </w:pPr>
          </w:p>
          <w:p w14:paraId="6EED055D" w14:textId="47ED5DC5" w:rsidR="00DB5C83" w:rsidRPr="00DB5C83" w:rsidRDefault="00DB5C83" w:rsidP="00DB5C83">
            <w:pPr>
              <w:pStyle w:val="ListParagraph"/>
              <w:autoSpaceDE w:val="0"/>
              <w:autoSpaceDN w:val="0"/>
              <w:adjustRightInd w:val="0"/>
              <w:ind w:left="360"/>
              <w:rPr>
                <w:rFonts w:cs="Arial"/>
                <w:i/>
              </w:rPr>
            </w:pPr>
            <w:r>
              <w:rPr>
                <w:rFonts w:cs="Arial"/>
                <w:i/>
              </w:rPr>
              <w:t>If fewer than 10 cases met the criteria for the denominator, skip question #3 and continue to the next subsection. The hospital will be scored as “Unable to Calculate Score.”</w:t>
            </w:r>
          </w:p>
        </w:tc>
        <w:tc>
          <w:tcPr>
            <w:tcW w:w="2909" w:type="dxa"/>
            <w:vAlign w:val="center"/>
          </w:tcPr>
          <w:p w14:paraId="15F3C064" w14:textId="77777777" w:rsidR="006B0AE8" w:rsidRPr="00A31567" w:rsidRDefault="006B0AE8" w:rsidP="00840986">
            <w:pPr>
              <w:jc w:val="center"/>
              <w:rPr>
                <w:rFonts w:cs="Arial"/>
                <w:bCs/>
                <w:snapToGrid w:val="0"/>
                <w:color w:val="000000"/>
              </w:rPr>
            </w:pPr>
          </w:p>
          <w:p w14:paraId="43287CB1" w14:textId="77777777" w:rsidR="006B0AE8" w:rsidRPr="00A31567" w:rsidRDefault="006B0AE8" w:rsidP="00840986">
            <w:pPr>
              <w:jc w:val="center"/>
              <w:rPr>
                <w:rFonts w:cs="Arial"/>
                <w:bCs/>
                <w:snapToGrid w:val="0"/>
                <w:color w:val="000000"/>
              </w:rPr>
            </w:pPr>
            <w:r w:rsidRPr="00A31567">
              <w:rPr>
                <w:rFonts w:cs="Arial"/>
                <w:bCs/>
                <w:snapToGrid w:val="0"/>
                <w:color w:val="000000"/>
              </w:rPr>
              <w:t>______</w:t>
            </w:r>
          </w:p>
        </w:tc>
      </w:tr>
      <w:tr w:rsidR="006B0AE8" w:rsidRPr="009A5185" w14:paraId="324BD441" w14:textId="77777777" w:rsidTr="006B0AE8">
        <w:trPr>
          <w:trHeight w:hRule="exact" w:val="605"/>
        </w:trPr>
        <w:tc>
          <w:tcPr>
            <w:tcW w:w="6638" w:type="dxa"/>
            <w:vAlign w:val="center"/>
          </w:tcPr>
          <w:p w14:paraId="732090CF" w14:textId="14A7F8C2" w:rsidR="006B0AE8" w:rsidRPr="009A5185" w:rsidRDefault="006B0AE8" w:rsidP="00AD309C">
            <w:pPr>
              <w:pStyle w:val="ListParagraph"/>
              <w:numPr>
                <w:ilvl w:val="0"/>
                <w:numId w:val="60"/>
              </w:numPr>
              <w:rPr>
                <w:rFonts w:cs="Arial"/>
                <w:snapToGrid w:val="0"/>
                <w:color w:val="000000"/>
              </w:rPr>
            </w:pPr>
            <w:r w:rsidRPr="009A5185">
              <w:rPr>
                <w:rFonts w:cs="Arial"/>
                <w:snapToGrid w:val="0"/>
                <w:color w:val="000000"/>
              </w:rPr>
              <w:t>Total number of mothers indicated in question #2 that had an episiotomy procedure performed</w:t>
            </w:r>
            <w:r w:rsidR="0029572E">
              <w:rPr>
                <w:rFonts w:cs="Arial"/>
                <w:snapToGrid w:val="0"/>
                <w:color w:val="000000"/>
              </w:rPr>
              <w:t>:</w:t>
            </w:r>
          </w:p>
        </w:tc>
        <w:tc>
          <w:tcPr>
            <w:tcW w:w="2909" w:type="dxa"/>
            <w:vAlign w:val="center"/>
          </w:tcPr>
          <w:p w14:paraId="43603D80" w14:textId="77777777" w:rsidR="006B0AE8" w:rsidRPr="00A31567" w:rsidRDefault="006B0AE8" w:rsidP="00840986">
            <w:pPr>
              <w:jc w:val="center"/>
              <w:rPr>
                <w:rFonts w:cs="Arial"/>
                <w:bCs/>
                <w:snapToGrid w:val="0"/>
                <w:color w:val="000000"/>
              </w:rPr>
            </w:pPr>
          </w:p>
          <w:p w14:paraId="5E24426C" w14:textId="77777777" w:rsidR="006B0AE8" w:rsidRPr="00A31567" w:rsidRDefault="006B0AE8" w:rsidP="00840986">
            <w:pPr>
              <w:jc w:val="center"/>
              <w:rPr>
                <w:rFonts w:cs="Arial"/>
                <w:bCs/>
                <w:snapToGrid w:val="0"/>
                <w:color w:val="000000"/>
              </w:rPr>
            </w:pPr>
            <w:r w:rsidRPr="00A31567">
              <w:rPr>
                <w:rFonts w:cs="Arial"/>
                <w:bCs/>
                <w:snapToGrid w:val="0"/>
                <w:color w:val="000000"/>
              </w:rPr>
              <w:t>______</w:t>
            </w:r>
          </w:p>
          <w:p w14:paraId="30150ACB" w14:textId="77777777" w:rsidR="006B0AE8" w:rsidRPr="00A31567" w:rsidRDefault="006B0AE8" w:rsidP="00840986">
            <w:pPr>
              <w:rPr>
                <w:rFonts w:cs="Arial"/>
                <w:bCs/>
                <w:snapToGrid w:val="0"/>
                <w:color w:val="000000"/>
              </w:rPr>
            </w:pPr>
          </w:p>
        </w:tc>
      </w:tr>
    </w:tbl>
    <w:p w14:paraId="221A9888" w14:textId="77777777" w:rsidR="00AA655F" w:rsidRPr="009A5185" w:rsidRDefault="00AA655F">
      <w:pPr>
        <w:rPr>
          <w:rFonts w:cs="Arial"/>
        </w:rPr>
      </w:pPr>
      <w:r w:rsidRPr="009A5185">
        <w:rPr>
          <w:rFonts w:cs="Arial"/>
        </w:rPr>
        <w:br w:type="page"/>
      </w:r>
    </w:p>
    <w:p w14:paraId="715A67DA" w14:textId="77777777" w:rsidR="006E50EF" w:rsidRPr="009A5185" w:rsidRDefault="006E50EF">
      <w:pPr>
        <w:rPr>
          <w:rFonts w:cs="Arial"/>
        </w:rPr>
      </w:pPr>
    </w:p>
    <w:p w14:paraId="40090D56" w14:textId="1DFD1F25" w:rsidR="00A50080" w:rsidRDefault="00A50080" w:rsidP="00CF5A6E">
      <w:pPr>
        <w:pStyle w:val="Heading2"/>
      </w:pPr>
      <w:bookmarkStart w:id="301" w:name="_Toc225877730"/>
      <w:r w:rsidRPr="009A5185">
        <w:t>4</w:t>
      </w:r>
      <w:r w:rsidR="0016658F">
        <w:t>D</w:t>
      </w:r>
      <w:r w:rsidRPr="009A5185">
        <w:t>: Process Measures of Quality</w:t>
      </w:r>
      <w:bookmarkEnd w:id="301"/>
    </w:p>
    <w:p w14:paraId="66DA92E2" w14:textId="77777777" w:rsidR="00A50080" w:rsidRDefault="00A50080" w:rsidP="00474DDE">
      <w:pPr>
        <w:rPr>
          <w:rFonts w:cs="Arial"/>
          <w:snapToGrid w:val="0"/>
        </w:rPr>
      </w:pPr>
    </w:p>
    <w:p w14:paraId="22512DAF" w14:textId="2E73A63E" w:rsidR="00474DDE" w:rsidRPr="00FE44CA" w:rsidRDefault="00474DDE" w:rsidP="00474DDE">
      <w:pPr>
        <w:rPr>
          <w:rFonts w:cs="Arial"/>
          <w:snapToGrid w:val="0"/>
        </w:rPr>
      </w:pPr>
      <w:r w:rsidRPr="009A5185">
        <w:rPr>
          <w:rFonts w:cs="Arial"/>
          <w:snapToGrid w:val="0"/>
        </w:rPr>
        <w:t xml:space="preserve">Hospitals that share a </w:t>
      </w:r>
      <w:r>
        <w:rPr>
          <w:rFonts w:cs="Arial"/>
          <w:snapToGrid w:val="0"/>
        </w:rPr>
        <w:t xml:space="preserve">CMS Certification Number </w:t>
      </w:r>
      <w:r w:rsidRPr="009A5185">
        <w:rPr>
          <w:rFonts w:cs="Arial"/>
          <w:snapToGrid w:val="0"/>
        </w:rPr>
        <w:t xml:space="preserve">are required to report by facility. Please carefully review </w:t>
      </w:r>
      <w:hyperlink r:id="rId261" w:history="1">
        <w:r w:rsidRPr="009A5185">
          <w:rPr>
            <w:rStyle w:val="Hyperlink"/>
            <w:rFonts w:cs="Arial"/>
            <w:snapToGrid w:val="0"/>
          </w:rPr>
          <w:t>Leapfrog’s Multi-Campus Reporting Policy</w:t>
        </w:r>
      </w:hyperlink>
      <w:r w:rsidRPr="009A5185">
        <w:rPr>
          <w:rFonts w:cs="Arial"/>
          <w:snapToGrid w:val="0"/>
        </w:rPr>
        <w:t>.</w:t>
      </w:r>
    </w:p>
    <w:p w14:paraId="6BF7B1D3" w14:textId="77777777" w:rsidR="0062793D" w:rsidRPr="009A5185" w:rsidRDefault="0062793D" w:rsidP="00E91B17"/>
    <w:p w14:paraId="045ED916" w14:textId="0C3A6BE4" w:rsidR="00BA394C" w:rsidRPr="00764EEA" w:rsidRDefault="00253430" w:rsidP="00BA394C">
      <w:pPr>
        <w:rPr>
          <w:rFonts w:cs="Arial"/>
          <w:bCs/>
          <w:snapToGrid w:val="0"/>
        </w:rPr>
      </w:pPr>
      <w:r w:rsidRPr="00873014">
        <w:rPr>
          <w:rFonts w:cs="Arial"/>
          <w:b/>
          <w:snapToGrid w:val="0"/>
          <w:color w:val="FF0000"/>
        </w:rPr>
        <w:t xml:space="preserve">Important Note: </w:t>
      </w:r>
      <w:r w:rsidR="00BA394C" w:rsidRPr="00764EEA">
        <w:rPr>
          <w:rFonts w:cs="Arial"/>
          <w:bCs/>
          <w:snapToGrid w:val="0"/>
        </w:rPr>
        <w:t xml:space="preserve">Hospitals must use the same 12-month reporting period </w:t>
      </w:r>
      <w:r w:rsidR="00BA394C" w:rsidRPr="00BA394C">
        <w:rPr>
          <w:rFonts w:cs="Arial"/>
          <w:bCs/>
          <w:snapToGrid w:val="0"/>
        </w:rPr>
        <w:t>for all subsections in Section 4: Maternity Care</w:t>
      </w:r>
      <w:r w:rsidR="00BA394C">
        <w:rPr>
          <w:rFonts w:cs="Arial"/>
          <w:bCs/>
          <w:snapToGrid w:val="0"/>
        </w:rPr>
        <w:t xml:space="preserve">, except for Section 4B questions #6-8. </w:t>
      </w:r>
    </w:p>
    <w:p w14:paraId="1ADE9C66" w14:textId="77777777" w:rsidR="00253430" w:rsidRDefault="00253430" w:rsidP="001F43CC">
      <w:pPr>
        <w:rPr>
          <w:rFonts w:cs="Arial"/>
          <w:b/>
          <w:snapToGrid w:val="0"/>
        </w:rPr>
      </w:pPr>
    </w:p>
    <w:p w14:paraId="0110830A" w14:textId="533D0833" w:rsidR="00A349B7" w:rsidRDefault="001F43CC" w:rsidP="001F43CC">
      <w:pPr>
        <w:rPr>
          <w:rFonts w:cs="Arial"/>
          <w:snapToGrid w:val="0"/>
        </w:rPr>
      </w:pPr>
      <w:r w:rsidRPr="009A5185">
        <w:rPr>
          <w:rFonts w:cs="Arial"/>
          <w:b/>
          <w:snapToGrid w:val="0"/>
        </w:rPr>
        <w:t xml:space="preserve">Specifications: </w:t>
      </w:r>
      <w:r w:rsidRPr="009A5185">
        <w:rPr>
          <w:rFonts w:cs="Arial"/>
          <w:snapToGrid w:val="0"/>
        </w:rPr>
        <w:t xml:space="preserve">See </w:t>
      </w:r>
      <w:hyperlink w:anchor="MatProcessSpecs" w:history="1">
        <w:r w:rsidR="002D666C">
          <w:rPr>
            <w:rStyle w:val="Hyperlink"/>
            <w:rFonts w:cs="Arial"/>
            <w:b/>
            <w:i/>
            <w:snapToGrid w:val="0"/>
          </w:rPr>
          <w:t>Process Measures of Quality Measure Specifications</w:t>
        </w:r>
      </w:hyperlink>
      <w:r w:rsidRPr="009A5185">
        <w:rPr>
          <w:rFonts w:cs="Arial"/>
          <w:snapToGrid w:val="0"/>
        </w:rPr>
        <w:t xml:space="preserve"> in the Reference Information </w:t>
      </w:r>
      <w:r w:rsidR="008964E1">
        <w:rPr>
          <w:rFonts w:cs="Arial"/>
          <w:snapToGrid w:val="0"/>
        </w:rPr>
        <w:t xml:space="preserve">beginning on page </w:t>
      </w:r>
      <w:r w:rsidR="008E6BED">
        <w:rPr>
          <w:rFonts w:cs="Arial"/>
          <w:snapToGrid w:val="0"/>
        </w:rPr>
        <w:t>17</w:t>
      </w:r>
      <w:r w:rsidR="00353071">
        <w:rPr>
          <w:rFonts w:cs="Arial"/>
          <w:snapToGrid w:val="0"/>
        </w:rPr>
        <w:t>0</w:t>
      </w:r>
      <w:r w:rsidR="004640AB">
        <w:rPr>
          <w:rFonts w:cs="Arial"/>
          <w:snapToGrid w:val="0"/>
        </w:rPr>
        <w:t>.</w:t>
      </w:r>
    </w:p>
    <w:p w14:paraId="6FCCF421" w14:textId="77777777" w:rsidR="008E6BED" w:rsidRPr="009A5185" w:rsidRDefault="008E6BED" w:rsidP="001F43CC">
      <w:pPr>
        <w:rPr>
          <w:rFonts w:cs="Arial"/>
          <w:snapToGrid w:val="0"/>
        </w:rPr>
      </w:pPr>
    </w:p>
    <w:p w14:paraId="3A127616" w14:textId="5F8D110A" w:rsidR="001F43CC" w:rsidRPr="009A5185" w:rsidRDefault="00A349B7" w:rsidP="001F43CC">
      <w:pPr>
        <w:rPr>
          <w:rFonts w:cs="Arial"/>
          <w:b/>
          <w:snapToGrid w:val="0"/>
        </w:rPr>
      </w:pPr>
      <w:r w:rsidRPr="00A349B7">
        <w:rPr>
          <w:rFonts w:cs="Arial"/>
          <w:b/>
          <w:noProof/>
          <w:snapToGrid w:val="0"/>
        </w:rPr>
        <mc:AlternateContent>
          <mc:Choice Requires="wps">
            <w:drawing>
              <wp:inline distT="0" distB="0" distL="0" distR="0" wp14:anchorId="41D38AE5" wp14:editId="4CDF7C51">
                <wp:extent cx="6035040" cy="1404620"/>
                <wp:effectExtent l="0" t="0" r="22860" b="24765"/>
                <wp:docPr id="36" name="Text Box 36" descr="P6448TB18#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5040" cy="1404620"/>
                        </a:xfrm>
                        <a:prstGeom prst="rect">
                          <a:avLst/>
                        </a:prstGeom>
                        <a:solidFill>
                          <a:srgbClr val="FFFFFF"/>
                        </a:solidFill>
                        <a:ln w="9525">
                          <a:solidFill>
                            <a:srgbClr val="FF0000"/>
                          </a:solidFill>
                          <a:miter lim="800000"/>
                          <a:headEnd/>
                          <a:tailEnd/>
                        </a:ln>
                      </wps:spPr>
                      <wps:txbx>
                        <w:txbxContent>
                          <w:p w14:paraId="52026498" w14:textId="4C0E3FC5" w:rsidR="00A349B7" w:rsidRPr="009A5185" w:rsidRDefault="00A349B7" w:rsidP="00A349B7">
                            <w:pPr>
                              <w:spacing w:before="40"/>
                              <w:rPr>
                                <w:rFonts w:cs="Arial"/>
                                <w:snapToGrid w:val="0"/>
                              </w:rPr>
                            </w:pPr>
                            <w:r w:rsidRPr="009A5185">
                              <w:rPr>
                                <w:rFonts w:cs="Arial"/>
                                <w:b/>
                                <w:snapToGrid w:val="0"/>
                              </w:rPr>
                              <w:t>Reporting</w:t>
                            </w:r>
                            <w:r>
                              <w:rPr>
                                <w:rFonts w:cs="Arial"/>
                                <w:b/>
                                <w:snapToGrid w:val="0"/>
                              </w:rPr>
                              <w:t xml:space="preserve"> </w:t>
                            </w:r>
                            <w:r w:rsidRPr="009A5185">
                              <w:rPr>
                                <w:rFonts w:cs="Arial"/>
                                <w:b/>
                                <w:snapToGrid w:val="0"/>
                              </w:rPr>
                              <w:t>Period:</w:t>
                            </w:r>
                            <w:r w:rsidRPr="009A5185">
                              <w:rPr>
                                <w:rFonts w:cs="Arial"/>
                                <w:snapToGrid w:val="0"/>
                              </w:rPr>
                              <w:t xml:space="preserve"> </w:t>
                            </w:r>
                            <w:r w:rsidRPr="009A5185">
                              <w:rPr>
                                <w:rFonts w:cs="Arial"/>
                                <w:b/>
                                <w:snapToGrid w:val="0"/>
                              </w:rPr>
                              <w:t>12 months</w:t>
                            </w:r>
                          </w:p>
                          <w:p w14:paraId="40D9F5F5" w14:textId="1637D2BF" w:rsidR="00A349B7" w:rsidRPr="009A5185" w:rsidRDefault="00A349B7" w:rsidP="00A349B7">
                            <w:pPr>
                              <w:rPr>
                                <w:rFonts w:cs="Arial"/>
                                <w:snapToGrid w:val="0"/>
                              </w:rPr>
                            </w:pPr>
                            <w:r w:rsidRPr="009A5185">
                              <w:rPr>
                                <w:rFonts w:cs="Arial"/>
                                <w:snapToGrid w:val="0"/>
                              </w:rPr>
                              <w:t>Answer questions #1-</w:t>
                            </w:r>
                            <w:r w:rsidR="008D6B13">
                              <w:rPr>
                                <w:rFonts w:cs="Arial"/>
                                <w:snapToGrid w:val="0"/>
                              </w:rPr>
                              <w:t>9</w:t>
                            </w:r>
                            <w:r w:rsidRPr="009A5185">
                              <w:rPr>
                                <w:rFonts w:cs="Arial"/>
                                <w:snapToGrid w:val="0"/>
                              </w:rPr>
                              <w:t xml:space="preserve"> based on all cases (</w:t>
                            </w:r>
                            <w:r w:rsidRPr="009A5185">
                              <w:rPr>
                                <w:rStyle w:val="Hyperlink"/>
                                <w:rFonts w:cs="Arial"/>
                                <w:color w:val="auto"/>
                                <w:u w:val="none"/>
                              </w:rPr>
                              <w:t>or a sufficient sample of them</w:t>
                            </w:r>
                            <w:r w:rsidRPr="009A5185">
                              <w:rPr>
                                <w:rFonts w:cs="Arial"/>
                                <w:snapToGrid w:val="0"/>
                              </w:rPr>
                              <w:t>)</w:t>
                            </w:r>
                            <w:r>
                              <w:rPr>
                                <w:rFonts w:cs="Arial"/>
                                <w:snapToGrid w:val="0"/>
                              </w:rPr>
                              <w:t>.</w:t>
                            </w:r>
                          </w:p>
                          <w:p w14:paraId="04BD9093" w14:textId="77777777" w:rsidR="00A349B7" w:rsidRPr="00BE1D22" w:rsidRDefault="00A349B7" w:rsidP="00AD309C">
                            <w:pPr>
                              <w:pStyle w:val="ListParagraph"/>
                              <w:numPr>
                                <w:ilvl w:val="0"/>
                                <w:numId w:val="29"/>
                              </w:numPr>
                              <w:rPr>
                                <w:rFonts w:cs="Arial"/>
                                <w:i/>
                                <w:snapToGrid w:val="0"/>
                              </w:rPr>
                            </w:pPr>
                            <w:r>
                              <w:rPr>
                                <w:rFonts w:cs="Arial"/>
                                <w:iCs/>
                                <w:snapToGrid w:val="0"/>
                              </w:rPr>
                              <w:t>Surveys submitted prior to September 1:</w:t>
                            </w:r>
                          </w:p>
                          <w:p w14:paraId="775FFF56" w14:textId="19976266" w:rsidR="00A349B7" w:rsidRPr="009A5185" w:rsidRDefault="00A349B7" w:rsidP="00AD309C">
                            <w:pPr>
                              <w:pStyle w:val="ListParagraph"/>
                              <w:numPr>
                                <w:ilvl w:val="1"/>
                                <w:numId w:val="29"/>
                              </w:numPr>
                              <w:rPr>
                                <w:rFonts w:cs="Arial"/>
                                <w:i/>
                                <w:snapToGrid w:val="0"/>
                              </w:rPr>
                            </w:pPr>
                            <w:r>
                              <w:rPr>
                                <w:rFonts w:cs="Arial"/>
                                <w:iCs/>
                                <w:snapToGrid w:val="0"/>
                              </w:rPr>
                              <w:t>01/01/202</w:t>
                            </w:r>
                            <w:r w:rsidR="00F40DBC">
                              <w:rPr>
                                <w:rFonts w:cs="Arial"/>
                                <w:iCs/>
                                <w:snapToGrid w:val="0"/>
                              </w:rPr>
                              <w:t>5</w:t>
                            </w:r>
                            <w:r>
                              <w:rPr>
                                <w:rFonts w:cs="Arial"/>
                                <w:iCs/>
                                <w:snapToGrid w:val="0"/>
                              </w:rPr>
                              <w:t xml:space="preserve"> – 12/31/202</w:t>
                            </w:r>
                            <w:r w:rsidR="00F40DBC">
                              <w:rPr>
                                <w:rFonts w:cs="Arial"/>
                                <w:iCs/>
                                <w:snapToGrid w:val="0"/>
                              </w:rPr>
                              <w:t>5</w:t>
                            </w:r>
                          </w:p>
                          <w:p w14:paraId="38D37F54" w14:textId="77777777" w:rsidR="00A349B7" w:rsidRPr="00BE1D22" w:rsidRDefault="00A349B7" w:rsidP="00AD309C">
                            <w:pPr>
                              <w:pStyle w:val="ListParagraph"/>
                              <w:numPr>
                                <w:ilvl w:val="0"/>
                                <w:numId w:val="29"/>
                              </w:numPr>
                              <w:rPr>
                                <w:rFonts w:cs="Arial"/>
                                <w:i/>
                                <w:snapToGrid w:val="0"/>
                              </w:rPr>
                            </w:pPr>
                            <w:r w:rsidRPr="009A5185">
                              <w:rPr>
                                <w:rFonts w:cs="Arial"/>
                                <w:snapToGrid w:val="0"/>
                              </w:rPr>
                              <w:t xml:space="preserve">Surveys (re)submitted on or after September 1: </w:t>
                            </w:r>
                          </w:p>
                          <w:p w14:paraId="24C88160" w14:textId="0D43E0F6" w:rsidR="00A349B7" w:rsidRPr="00FD4BD9" w:rsidRDefault="00A349B7" w:rsidP="00AD309C">
                            <w:pPr>
                              <w:pStyle w:val="ListParagraph"/>
                              <w:numPr>
                                <w:ilvl w:val="1"/>
                                <w:numId w:val="29"/>
                              </w:numPr>
                              <w:rPr>
                                <w:rFonts w:cs="Arial"/>
                                <w:i/>
                                <w:snapToGrid w:val="0"/>
                              </w:rPr>
                            </w:pPr>
                            <w:r w:rsidRPr="009A5185">
                              <w:rPr>
                                <w:rFonts w:cs="Arial"/>
                                <w:snapToGrid w:val="0"/>
                              </w:rPr>
                              <w:t>07/01/</w:t>
                            </w:r>
                            <w:r>
                              <w:rPr>
                                <w:rFonts w:cs="Arial"/>
                                <w:snapToGrid w:val="0"/>
                              </w:rPr>
                              <w:t>202</w:t>
                            </w:r>
                            <w:r w:rsidR="00F40DBC">
                              <w:rPr>
                                <w:rFonts w:cs="Arial"/>
                                <w:snapToGrid w:val="0"/>
                              </w:rPr>
                              <w:t>5</w:t>
                            </w:r>
                            <w:r w:rsidRPr="009A5185">
                              <w:rPr>
                                <w:rFonts w:cs="Arial"/>
                                <w:snapToGrid w:val="0"/>
                              </w:rPr>
                              <w:t xml:space="preserve"> </w:t>
                            </w:r>
                            <w:r>
                              <w:rPr>
                                <w:rFonts w:cs="Arial"/>
                                <w:snapToGrid w:val="0"/>
                              </w:rPr>
                              <w:t>–</w:t>
                            </w:r>
                            <w:r w:rsidRPr="009A5185">
                              <w:rPr>
                                <w:rFonts w:cs="Arial"/>
                                <w:snapToGrid w:val="0"/>
                              </w:rPr>
                              <w:t xml:space="preserve"> 06/30/</w:t>
                            </w:r>
                            <w:r>
                              <w:rPr>
                                <w:rFonts w:cs="Arial"/>
                                <w:snapToGrid w:val="0"/>
                              </w:rPr>
                              <w:t>202</w:t>
                            </w:r>
                            <w:r w:rsidR="00F40DBC">
                              <w:rPr>
                                <w:rFonts w:cs="Arial"/>
                                <w:snapToGrid w:val="0"/>
                              </w:rPr>
                              <w:t>6</w:t>
                            </w:r>
                          </w:p>
                          <w:p w14:paraId="3B17FAC5" w14:textId="77777777" w:rsidR="00A349B7" w:rsidRDefault="00A349B7" w:rsidP="00A349B7">
                            <w:pPr>
                              <w:rPr>
                                <w:rFonts w:cs="Arial"/>
                                <w:i/>
                                <w:snapToGrid w:val="0"/>
                              </w:rPr>
                            </w:pPr>
                          </w:p>
                          <w:p w14:paraId="5EB4F7A3" w14:textId="51BFF45C" w:rsidR="00A349B7" w:rsidRDefault="00A349B7" w:rsidP="00A349B7">
                            <w:r w:rsidRPr="006547C0">
                              <w:rPr>
                                <w:rFonts w:cs="Arial"/>
                                <w:sz w:val="16"/>
                                <w:szCs w:val="16"/>
                              </w:rPr>
                              <w:t xml:space="preserve">Note: As a reminder, the </w:t>
                            </w:r>
                            <w:hyperlink r:id="rId262" w:history="1">
                              <w:r w:rsidRPr="006547C0">
                                <w:rPr>
                                  <w:rStyle w:val="Hyperlink"/>
                                  <w:rFonts w:cs="Arial"/>
                                  <w:sz w:val="16"/>
                                  <w:szCs w:val="16"/>
                                </w:rPr>
                                <w:t>Corrections Period</w:t>
                              </w:r>
                            </w:hyperlink>
                            <w:r w:rsidRPr="006547C0">
                              <w:rPr>
                                <w:rFonts w:cs="Arial"/>
                                <w:sz w:val="16"/>
                                <w:szCs w:val="16"/>
                              </w:rPr>
                              <w:t xml:space="preserve"> </w:t>
                            </w:r>
                            <w:r w:rsidRPr="00E65E68">
                              <w:rPr>
                                <w:rFonts w:cs="Arial"/>
                                <w:sz w:val="16"/>
                                <w:szCs w:val="16"/>
                              </w:rPr>
                              <w:t>(</w:t>
                            </w:r>
                            <w:r>
                              <w:rPr>
                                <w:rFonts w:cs="Arial"/>
                                <w:sz w:val="16"/>
                                <w:szCs w:val="16"/>
                              </w:rPr>
                              <w:t>December</w:t>
                            </w:r>
                            <w:r w:rsidRPr="00E65E68">
                              <w:rPr>
                                <w:rFonts w:cs="Arial"/>
                                <w:sz w:val="16"/>
                                <w:szCs w:val="16"/>
                              </w:rPr>
                              <w:t xml:space="preserve"> 1-January 31) is reserved for corrections to previously submitted Surveys only. </w:t>
                            </w:r>
                            <w:r w:rsidRPr="00E65E68">
                              <w:rPr>
                                <w:rFonts w:cs="Arial"/>
                                <w:bCs/>
                                <w:snapToGrid w:val="0"/>
                                <w:sz w:val="16"/>
                                <w:szCs w:val="16"/>
                              </w:rPr>
                              <w:t xml:space="preserve">Any updates made to reflect a change in performance must be made prior to the </w:t>
                            </w:r>
                            <w:r>
                              <w:rPr>
                                <w:rFonts w:cs="Arial"/>
                                <w:bCs/>
                                <w:snapToGrid w:val="0"/>
                                <w:sz w:val="16"/>
                                <w:szCs w:val="16"/>
                              </w:rPr>
                              <w:t>November 30</w:t>
                            </w:r>
                            <w:r w:rsidRPr="00E65E68">
                              <w:rPr>
                                <w:rFonts w:cs="Arial"/>
                                <w:bCs/>
                                <w:snapToGrid w:val="0"/>
                                <w:sz w:val="16"/>
                                <w:szCs w:val="16"/>
                              </w:rPr>
                              <w:t xml:space="preserve"> Late Submission </w:t>
                            </w:r>
                            <w:r w:rsidRPr="00AE38C7">
                              <w:rPr>
                                <w:rFonts w:cs="Arial"/>
                                <w:bCs/>
                                <w:snapToGrid w:val="0"/>
                                <w:sz w:val="16"/>
                                <w:szCs w:val="16"/>
                              </w:rPr>
                              <w:t>and Performance Update</w:t>
                            </w:r>
                            <w:r>
                              <w:rPr>
                                <w:rFonts w:cs="Arial"/>
                                <w:bCs/>
                                <w:snapToGrid w:val="0"/>
                                <w:sz w:val="16"/>
                                <w:szCs w:val="16"/>
                              </w:rPr>
                              <w:t xml:space="preserve"> </w:t>
                            </w:r>
                            <w:r w:rsidRPr="00E65E68">
                              <w:rPr>
                                <w:rFonts w:cs="Arial"/>
                                <w:bCs/>
                                <w:snapToGrid w:val="0"/>
                                <w:sz w:val="16"/>
                                <w:szCs w:val="16"/>
                              </w:rPr>
                              <w:t xml:space="preserve">Deadline. Updates made to reflect a change in performance after </w:t>
                            </w:r>
                            <w:r>
                              <w:rPr>
                                <w:rFonts w:cs="Arial"/>
                                <w:bCs/>
                                <w:snapToGrid w:val="0"/>
                                <w:sz w:val="16"/>
                                <w:szCs w:val="16"/>
                              </w:rPr>
                              <w:t>November 30</w:t>
                            </w:r>
                            <w:r w:rsidRPr="00E65E68">
                              <w:rPr>
                                <w:rFonts w:cs="Arial"/>
                                <w:bCs/>
                                <w:snapToGrid w:val="0"/>
                                <w:sz w:val="16"/>
                                <w:szCs w:val="16"/>
                              </w:rPr>
                              <w:t xml:space="preserve"> will not be scored or publicly reported.</w:t>
                            </w:r>
                          </w:p>
                        </w:txbxContent>
                      </wps:txbx>
                      <wps:bodyPr rot="0" vert="horz" wrap="square" lIns="91440" tIns="45720" rIns="91440" bIns="45720" anchor="t" anchorCtr="0">
                        <a:spAutoFit/>
                      </wps:bodyPr>
                    </wps:wsp>
                  </a:graphicData>
                </a:graphic>
              </wp:inline>
            </w:drawing>
          </mc:Choice>
          <mc:Fallback>
            <w:pict>
              <v:shape w14:anchorId="41D38AE5" id="Text Box 36" o:spid="_x0000_s1045" type="#_x0000_t202" alt="P6448TB18#y1" style="width:475.2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" strokecolor="red">
                <v:textbox style="mso-fit-shape-to-text:t">
                  <w:txbxContent>
                    <w:p w14:paraId="52026498" w14:textId="4C0E3FC5" w:rsidR="00A349B7" w:rsidRPr="009A5185" w:rsidRDefault="00A349B7" w:rsidP="00A349B7">
                      <w:pPr>
                        <w:spacing w:before="40"/>
                        <w:rPr>
                          <w:rFonts w:cs="Arial"/>
                          <w:snapToGrid w:val="0"/>
                        </w:rPr>
                      </w:pPr>
                      <w:r w:rsidRPr="009A5185">
                        <w:rPr>
                          <w:rFonts w:cs="Arial"/>
                          <w:b/>
                          <w:snapToGrid w:val="0"/>
                        </w:rPr>
                        <w:t>Reporting</w:t>
                      </w:r>
                      <w:r>
                        <w:rPr>
                          <w:rFonts w:cs="Arial"/>
                          <w:b/>
                          <w:snapToGrid w:val="0"/>
                        </w:rPr>
                        <w:t xml:space="preserve"> </w:t>
                      </w:r>
                      <w:r w:rsidRPr="009A5185">
                        <w:rPr>
                          <w:rFonts w:cs="Arial"/>
                          <w:b/>
                          <w:snapToGrid w:val="0"/>
                        </w:rPr>
                        <w:t>Period:</w:t>
                      </w:r>
                      <w:r w:rsidRPr="009A5185">
                        <w:rPr>
                          <w:rFonts w:cs="Arial"/>
                          <w:snapToGrid w:val="0"/>
                        </w:rPr>
                        <w:t xml:space="preserve"> </w:t>
                      </w:r>
                      <w:r w:rsidRPr="009A5185">
                        <w:rPr>
                          <w:rFonts w:cs="Arial"/>
                          <w:b/>
                          <w:snapToGrid w:val="0"/>
                        </w:rPr>
                        <w:t>12 months</w:t>
                      </w:r>
                    </w:p>
                    <w:p w14:paraId="40D9F5F5" w14:textId="1637D2BF" w:rsidR="00A349B7" w:rsidRPr="009A5185" w:rsidRDefault="00A349B7" w:rsidP="00A349B7">
                      <w:pPr>
                        <w:rPr>
                          <w:rFonts w:cs="Arial"/>
                          <w:snapToGrid w:val="0"/>
                        </w:rPr>
                      </w:pPr>
                      <w:r w:rsidRPr="009A5185">
                        <w:rPr>
                          <w:rFonts w:cs="Arial"/>
                          <w:snapToGrid w:val="0"/>
                        </w:rPr>
                        <w:t>Answer questions #1-</w:t>
                      </w:r>
                      <w:r w:rsidR="008D6B13">
                        <w:rPr>
                          <w:rFonts w:cs="Arial"/>
                          <w:snapToGrid w:val="0"/>
                        </w:rPr>
                        <w:t>9</w:t>
                      </w:r>
                      <w:r w:rsidRPr="009A5185">
                        <w:rPr>
                          <w:rFonts w:cs="Arial"/>
                          <w:snapToGrid w:val="0"/>
                        </w:rPr>
                        <w:t xml:space="preserve"> based on all cases (</w:t>
                      </w:r>
                      <w:r w:rsidRPr="009A5185">
                        <w:rPr>
                          <w:rStyle w:val="Hyperlink"/>
                          <w:rFonts w:cs="Arial"/>
                          <w:color w:val="auto"/>
                          <w:u w:val="none"/>
                        </w:rPr>
                        <w:t>or a sufficient sample of them</w:t>
                      </w:r>
                      <w:r w:rsidRPr="009A5185">
                        <w:rPr>
                          <w:rFonts w:cs="Arial"/>
                          <w:snapToGrid w:val="0"/>
                        </w:rPr>
                        <w:t>)</w:t>
                      </w:r>
                      <w:r>
                        <w:rPr>
                          <w:rFonts w:cs="Arial"/>
                          <w:snapToGrid w:val="0"/>
                        </w:rPr>
                        <w:t>.</w:t>
                      </w:r>
                    </w:p>
                    <w:p w14:paraId="04BD9093" w14:textId="77777777" w:rsidR="00A349B7" w:rsidRPr="00BE1D22" w:rsidRDefault="00A349B7" w:rsidP="00AD309C">
                      <w:pPr>
                        <w:pStyle w:val="ListParagraph"/>
                        <w:numPr>
                          <w:ilvl w:val="0"/>
                          <w:numId w:val="29"/>
                        </w:numPr>
                        <w:rPr>
                          <w:rFonts w:cs="Arial"/>
                          <w:i/>
                          <w:snapToGrid w:val="0"/>
                        </w:rPr>
                      </w:pPr>
                      <w:r>
                        <w:rPr>
                          <w:rFonts w:cs="Arial"/>
                          <w:iCs/>
                          <w:snapToGrid w:val="0"/>
                        </w:rPr>
                        <w:t>Surveys submitted prior to September 1:</w:t>
                      </w:r>
                    </w:p>
                    <w:p w14:paraId="775FFF56" w14:textId="19976266" w:rsidR="00A349B7" w:rsidRPr="009A5185" w:rsidRDefault="00A349B7" w:rsidP="00AD309C">
                      <w:pPr>
                        <w:pStyle w:val="ListParagraph"/>
                        <w:numPr>
                          <w:ilvl w:val="1"/>
                          <w:numId w:val="29"/>
                        </w:numPr>
                        <w:rPr>
                          <w:rFonts w:cs="Arial"/>
                          <w:i/>
                          <w:snapToGrid w:val="0"/>
                        </w:rPr>
                      </w:pPr>
                      <w:r>
                        <w:rPr>
                          <w:rFonts w:cs="Arial"/>
                          <w:iCs/>
                          <w:snapToGrid w:val="0"/>
                        </w:rPr>
                        <w:t>01/01/202</w:t>
                      </w:r>
                      <w:r w:rsidR="00F40DBC">
                        <w:rPr>
                          <w:rFonts w:cs="Arial"/>
                          <w:iCs/>
                          <w:snapToGrid w:val="0"/>
                        </w:rPr>
                        <w:t>5</w:t>
                      </w:r>
                      <w:r>
                        <w:rPr>
                          <w:rFonts w:cs="Arial"/>
                          <w:iCs/>
                          <w:snapToGrid w:val="0"/>
                        </w:rPr>
                        <w:t xml:space="preserve"> – 12/31/202</w:t>
                      </w:r>
                      <w:r w:rsidR="00F40DBC">
                        <w:rPr>
                          <w:rFonts w:cs="Arial"/>
                          <w:iCs/>
                          <w:snapToGrid w:val="0"/>
                        </w:rPr>
                        <w:t>5</w:t>
                      </w:r>
                    </w:p>
                    <w:p w14:paraId="38D37F54" w14:textId="77777777" w:rsidR="00A349B7" w:rsidRPr="00BE1D22" w:rsidRDefault="00A349B7" w:rsidP="00AD309C">
                      <w:pPr>
                        <w:pStyle w:val="ListParagraph"/>
                        <w:numPr>
                          <w:ilvl w:val="0"/>
                          <w:numId w:val="29"/>
                        </w:numPr>
                        <w:rPr>
                          <w:rFonts w:cs="Arial"/>
                          <w:i/>
                          <w:snapToGrid w:val="0"/>
                        </w:rPr>
                      </w:pPr>
                      <w:r w:rsidRPr="009A5185">
                        <w:rPr>
                          <w:rFonts w:cs="Arial"/>
                          <w:snapToGrid w:val="0"/>
                        </w:rPr>
                        <w:t xml:space="preserve">Surveys (re)submitted on or after September 1: </w:t>
                      </w:r>
                    </w:p>
                    <w:p w14:paraId="24C88160" w14:textId="0D43E0F6" w:rsidR="00A349B7" w:rsidRPr="00FD4BD9" w:rsidRDefault="00A349B7" w:rsidP="00AD309C">
                      <w:pPr>
                        <w:pStyle w:val="ListParagraph"/>
                        <w:numPr>
                          <w:ilvl w:val="1"/>
                          <w:numId w:val="29"/>
                        </w:numPr>
                        <w:rPr>
                          <w:rFonts w:cs="Arial"/>
                          <w:i/>
                          <w:snapToGrid w:val="0"/>
                        </w:rPr>
                      </w:pPr>
                      <w:r w:rsidRPr="009A5185">
                        <w:rPr>
                          <w:rFonts w:cs="Arial"/>
                          <w:snapToGrid w:val="0"/>
                        </w:rPr>
                        <w:t>07/01/</w:t>
                      </w:r>
                      <w:r>
                        <w:rPr>
                          <w:rFonts w:cs="Arial"/>
                          <w:snapToGrid w:val="0"/>
                        </w:rPr>
                        <w:t>202</w:t>
                      </w:r>
                      <w:r w:rsidR="00F40DBC">
                        <w:rPr>
                          <w:rFonts w:cs="Arial"/>
                          <w:snapToGrid w:val="0"/>
                        </w:rPr>
                        <w:t>5</w:t>
                      </w:r>
                      <w:r w:rsidRPr="009A5185">
                        <w:rPr>
                          <w:rFonts w:cs="Arial"/>
                          <w:snapToGrid w:val="0"/>
                        </w:rPr>
                        <w:t xml:space="preserve"> </w:t>
                      </w:r>
                      <w:r>
                        <w:rPr>
                          <w:rFonts w:cs="Arial"/>
                          <w:snapToGrid w:val="0"/>
                        </w:rPr>
                        <w:t>–</w:t>
                      </w:r>
                      <w:r w:rsidRPr="009A5185">
                        <w:rPr>
                          <w:rFonts w:cs="Arial"/>
                          <w:snapToGrid w:val="0"/>
                        </w:rPr>
                        <w:t xml:space="preserve"> 06/30/</w:t>
                      </w:r>
                      <w:r>
                        <w:rPr>
                          <w:rFonts w:cs="Arial"/>
                          <w:snapToGrid w:val="0"/>
                        </w:rPr>
                        <w:t>202</w:t>
                      </w:r>
                      <w:r w:rsidR="00F40DBC">
                        <w:rPr>
                          <w:rFonts w:cs="Arial"/>
                          <w:snapToGrid w:val="0"/>
                        </w:rPr>
                        <w:t>6</w:t>
                      </w:r>
                    </w:p>
                    <w:p w14:paraId="3B17FAC5" w14:textId="77777777" w:rsidR="00A349B7" w:rsidRDefault="00A349B7" w:rsidP="00A349B7">
                      <w:pPr>
                        <w:rPr>
                          <w:rFonts w:cs="Arial"/>
                          <w:i/>
                          <w:snapToGrid w:val="0"/>
                        </w:rPr>
                      </w:pPr>
                    </w:p>
                    <w:p w14:paraId="5EB4F7A3" w14:textId="51BFF45C" w:rsidR="00A349B7" w:rsidRDefault="00A349B7" w:rsidP="00A349B7">
                      <w:r w:rsidRPr="006547C0">
                        <w:rPr>
                          <w:rFonts w:cs="Arial"/>
                          <w:sz w:val="16"/>
                          <w:szCs w:val="16"/>
                        </w:rPr>
                        <w:t xml:space="preserve">Note: As a reminder, the </w:t>
                      </w:r>
                      <w:hyperlink r:id="rId263" w:history="1">
                        <w:r w:rsidRPr="006547C0">
                          <w:rPr>
                            <w:rStyle w:val="Hyperlink"/>
                            <w:rFonts w:cs="Arial"/>
                            <w:sz w:val="16"/>
                            <w:szCs w:val="16"/>
                          </w:rPr>
                          <w:t>Corrections Period</w:t>
                        </w:r>
                      </w:hyperlink>
                      <w:r w:rsidRPr="006547C0">
                        <w:rPr>
                          <w:rFonts w:cs="Arial"/>
                          <w:sz w:val="16"/>
                          <w:szCs w:val="16"/>
                        </w:rPr>
                        <w:t xml:space="preserve"> </w:t>
                      </w:r>
                      <w:r w:rsidRPr="00E65E68">
                        <w:rPr>
                          <w:rFonts w:cs="Arial"/>
                          <w:sz w:val="16"/>
                          <w:szCs w:val="16"/>
                        </w:rPr>
                        <w:t>(</w:t>
                      </w:r>
                      <w:r>
                        <w:rPr>
                          <w:rFonts w:cs="Arial"/>
                          <w:sz w:val="16"/>
                          <w:szCs w:val="16"/>
                        </w:rPr>
                        <w:t>December</w:t>
                      </w:r>
                      <w:r w:rsidRPr="00E65E68">
                        <w:rPr>
                          <w:rFonts w:cs="Arial"/>
                          <w:sz w:val="16"/>
                          <w:szCs w:val="16"/>
                        </w:rPr>
                        <w:t xml:space="preserve"> 1-January 31) is reserved for corrections to previously submitted Surveys only. </w:t>
                      </w:r>
                      <w:r w:rsidRPr="00E65E68">
                        <w:rPr>
                          <w:rFonts w:cs="Arial"/>
                          <w:bCs/>
                          <w:snapToGrid w:val="0"/>
                          <w:sz w:val="16"/>
                          <w:szCs w:val="16"/>
                        </w:rPr>
                        <w:t xml:space="preserve">Any updates made to reflect a change in performance must be made prior to the </w:t>
                      </w:r>
                      <w:r>
                        <w:rPr>
                          <w:rFonts w:cs="Arial"/>
                          <w:bCs/>
                          <w:snapToGrid w:val="0"/>
                          <w:sz w:val="16"/>
                          <w:szCs w:val="16"/>
                        </w:rPr>
                        <w:t>November 30</w:t>
                      </w:r>
                      <w:r w:rsidRPr="00E65E68">
                        <w:rPr>
                          <w:rFonts w:cs="Arial"/>
                          <w:bCs/>
                          <w:snapToGrid w:val="0"/>
                          <w:sz w:val="16"/>
                          <w:szCs w:val="16"/>
                        </w:rPr>
                        <w:t xml:space="preserve"> Late Submission </w:t>
                      </w:r>
                      <w:r w:rsidRPr="00AE38C7">
                        <w:rPr>
                          <w:rFonts w:cs="Arial"/>
                          <w:bCs/>
                          <w:snapToGrid w:val="0"/>
                          <w:sz w:val="16"/>
                          <w:szCs w:val="16"/>
                        </w:rPr>
                        <w:t>and Performance Update</w:t>
                      </w:r>
                      <w:r>
                        <w:rPr>
                          <w:rFonts w:cs="Arial"/>
                          <w:bCs/>
                          <w:snapToGrid w:val="0"/>
                          <w:sz w:val="16"/>
                          <w:szCs w:val="16"/>
                        </w:rPr>
                        <w:t xml:space="preserve"> </w:t>
                      </w:r>
                      <w:r w:rsidRPr="00E65E68">
                        <w:rPr>
                          <w:rFonts w:cs="Arial"/>
                          <w:bCs/>
                          <w:snapToGrid w:val="0"/>
                          <w:sz w:val="16"/>
                          <w:szCs w:val="16"/>
                        </w:rPr>
                        <w:t xml:space="preserve">Deadline. Updates made to reflect a change in performance after </w:t>
                      </w:r>
                      <w:r>
                        <w:rPr>
                          <w:rFonts w:cs="Arial"/>
                          <w:bCs/>
                          <w:snapToGrid w:val="0"/>
                          <w:sz w:val="16"/>
                          <w:szCs w:val="16"/>
                        </w:rPr>
                        <w:t>November 30</w:t>
                      </w:r>
                      <w:r w:rsidRPr="00E65E68">
                        <w:rPr>
                          <w:rFonts w:cs="Arial"/>
                          <w:bCs/>
                          <w:snapToGrid w:val="0"/>
                          <w:sz w:val="16"/>
                          <w:szCs w:val="16"/>
                        </w:rPr>
                        <w:t xml:space="preserve"> will not be scored or publicly reported.</w:t>
                      </w:r>
                    </w:p>
                  </w:txbxContent>
                </v:textbox>
                <w10:anchorlock/>
              </v:shape>
            </w:pict>
          </mc:Fallback>
        </mc:AlternateContent>
      </w:r>
    </w:p>
    <w:p w14:paraId="638E1823" w14:textId="7F4015C0" w:rsidR="001F43CC" w:rsidRDefault="001F43CC" w:rsidP="006F5A29">
      <w:pPr>
        <w:rPr>
          <w:rFonts w:cs="Arial"/>
          <w:b/>
          <w:i/>
          <w:snapToGrid w:val="0"/>
          <w:color w:val="000000"/>
          <w:u w:val="single"/>
        </w:rPr>
      </w:pPr>
    </w:p>
    <w:p w14:paraId="5D40EED3" w14:textId="7DA4F936" w:rsidR="006F5A29" w:rsidRDefault="006F5A29" w:rsidP="006F5A29">
      <w:pPr>
        <w:rPr>
          <w:rFonts w:cs="Arial"/>
          <w:snapToGrid w:val="0"/>
          <w:color w:val="000000"/>
        </w:rPr>
      </w:pPr>
      <w:r w:rsidRPr="000E7068">
        <w:rPr>
          <w:rFonts w:cs="Arial"/>
          <w:b/>
          <w:iCs/>
          <w:snapToGrid w:val="0"/>
          <w:color w:val="000000"/>
        </w:rPr>
        <w:t>Sufficient Sample:</w:t>
      </w:r>
      <w:r w:rsidRPr="009A5185">
        <w:rPr>
          <w:rFonts w:cs="Arial"/>
          <w:snapToGrid w:val="0"/>
          <w:color w:val="000000"/>
        </w:rPr>
        <w:t xml:space="preserve"> See </w:t>
      </w:r>
      <w:hyperlink w:anchor="MatProcessSpecs" w:history="1">
        <w:r w:rsidR="000E7068">
          <w:rPr>
            <w:rStyle w:val="Hyperlink"/>
            <w:rFonts w:cs="Arial"/>
            <w:b/>
            <w:i/>
            <w:snapToGrid w:val="0"/>
          </w:rPr>
          <w:t>Process Measures of Quality Measure Specifications</w:t>
        </w:r>
      </w:hyperlink>
      <w:r w:rsidRPr="0067459F">
        <w:rPr>
          <w:rFonts w:cs="Arial"/>
          <w:snapToGrid w:val="0"/>
          <w:color w:val="000000"/>
        </w:rPr>
        <w:t xml:space="preserve"> for instructions for identifying a sufficient sample </w:t>
      </w:r>
      <w:r w:rsidR="000E7068">
        <w:rPr>
          <w:rFonts w:cs="Arial"/>
          <w:snapToGrid w:val="0"/>
          <w:color w:val="000000"/>
        </w:rPr>
        <w:t>for</w:t>
      </w:r>
      <w:r w:rsidRPr="0067459F">
        <w:rPr>
          <w:rFonts w:cs="Arial"/>
          <w:snapToGrid w:val="0"/>
          <w:color w:val="000000"/>
        </w:rPr>
        <w:t xml:space="preserve"> questions #3-4 and #</w:t>
      </w:r>
      <w:r w:rsidR="0047541A" w:rsidRPr="0067459F">
        <w:rPr>
          <w:rFonts w:cs="Arial"/>
          <w:snapToGrid w:val="0"/>
          <w:color w:val="000000"/>
        </w:rPr>
        <w:t>7-8</w:t>
      </w:r>
      <w:r w:rsidRPr="0067459F">
        <w:rPr>
          <w:rFonts w:cs="Arial"/>
          <w:snapToGrid w:val="0"/>
          <w:color w:val="000000"/>
        </w:rPr>
        <w:t>.</w:t>
      </w:r>
    </w:p>
    <w:p w14:paraId="1F16F503" w14:textId="77777777" w:rsidR="003C18BB" w:rsidRDefault="003C18BB" w:rsidP="006F5A29">
      <w:pPr>
        <w:rPr>
          <w:rFonts w:cs="Arial"/>
          <w:snapToGrid w:val="0"/>
          <w:color w:val="000000"/>
        </w:rPr>
      </w:pPr>
    </w:p>
    <w:tbl>
      <w:tblPr>
        <w:tblStyle w:val="TableGrid"/>
        <w:tblW w:w="9547" w:type="dxa"/>
        <w:tblLook w:val="04A0" w:firstRow="1" w:lastRow="0" w:firstColumn="1" w:lastColumn="0" w:noHBand="0" w:noVBand="1"/>
      </w:tblPr>
      <w:tblGrid>
        <w:gridCol w:w="6638"/>
        <w:gridCol w:w="2909"/>
      </w:tblGrid>
      <w:tr w:rsidR="003C18BB" w:rsidRPr="009A5185" w14:paraId="5B6AE6AB" w14:textId="77777777" w:rsidTr="00262E75">
        <w:tc>
          <w:tcPr>
            <w:tcW w:w="6638" w:type="dxa"/>
            <w:vAlign w:val="center"/>
          </w:tcPr>
          <w:p w14:paraId="4EC23E31" w14:textId="0A4B0100" w:rsidR="003C18BB" w:rsidRPr="009A5185" w:rsidRDefault="003C18BB" w:rsidP="00AD309C">
            <w:pPr>
              <w:pStyle w:val="ListParagraph"/>
              <w:numPr>
                <w:ilvl w:val="0"/>
                <w:numId w:val="38"/>
              </w:numPr>
              <w:rPr>
                <w:rFonts w:cs="Arial"/>
                <w:snapToGrid w:val="0"/>
                <w:color w:val="000000"/>
              </w:rPr>
            </w:pPr>
            <w:r w:rsidRPr="009A5185">
              <w:rPr>
                <w:rFonts w:cs="Arial"/>
                <w:snapToGrid w:val="0"/>
                <w:color w:val="000000"/>
              </w:rPr>
              <w:t>12-month reporting period used:</w:t>
            </w:r>
          </w:p>
        </w:tc>
        <w:tc>
          <w:tcPr>
            <w:tcW w:w="2909" w:type="dxa"/>
            <w:vAlign w:val="center"/>
          </w:tcPr>
          <w:p w14:paraId="6BA7DAAA" w14:textId="4FA9A687" w:rsidR="00BE1D22" w:rsidRPr="00C06753" w:rsidRDefault="00BE1D22" w:rsidP="00AD309C">
            <w:pPr>
              <w:pStyle w:val="ListParagraph"/>
              <w:numPr>
                <w:ilvl w:val="0"/>
                <w:numId w:val="291"/>
              </w:numPr>
              <w:rPr>
                <w:rFonts w:cs="Arial"/>
                <w:iCs/>
              </w:rPr>
            </w:pPr>
            <w:r w:rsidRPr="00C8246A">
              <w:rPr>
                <w:rFonts w:cs="Arial"/>
                <w:iCs/>
              </w:rPr>
              <w:t>01/01/202</w:t>
            </w:r>
            <w:r w:rsidR="00F40DBC">
              <w:rPr>
                <w:rFonts w:cs="Arial"/>
                <w:iCs/>
              </w:rPr>
              <w:t>5</w:t>
            </w:r>
            <w:r w:rsidRPr="00C06753">
              <w:rPr>
                <w:rFonts w:cs="Arial"/>
                <w:iCs/>
              </w:rPr>
              <w:t xml:space="preserve"> – 12/31/202</w:t>
            </w:r>
            <w:r w:rsidR="00F40DBC">
              <w:rPr>
                <w:rFonts w:cs="Arial"/>
                <w:iCs/>
              </w:rPr>
              <w:t>5</w:t>
            </w:r>
          </w:p>
          <w:p w14:paraId="74BB95B3" w14:textId="04904DEA" w:rsidR="003C18BB" w:rsidRPr="007174DE" w:rsidRDefault="003C18BB" w:rsidP="00AD309C">
            <w:pPr>
              <w:pStyle w:val="ListParagraph"/>
              <w:numPr>
                <w:ilvl w:val="0"/>
                <w:numId w:val="291"/>
              </w:numPr>
              <w:rPr>
                <w:rFonts w:cs="Arial"/>
                <w:i/>
              </w:rPr>
            </w:pPr>
            <w:r w:rsidRPr="00C06753">
              <w:rPr>
                <w:rFonts w:cs="Arial"/>
                <w:iCs/>
              </w:rPr>
              <w:t>07/01/</w:t>
            </w:r>
            <w:r w:rsidR="00BE1D22" w:rsidRPr="00C06753">
              <w:rPr>
                <w:rFonts w:cs="Arial"/>
                <w:iCs/>
              </w:rPr>
              <w:t>202</w:t>
            </w:r>
            <w:r w:rsidR="00F40DBC">
              <w:rPr>
                <w:rFonts w:cs="Arial"/>
                <w:iCs/>
              </w:rPr>
              <w:t>5</w:t>
            </w:r>
            <w:r w:rsidRPr="00C06753">
              <w:rPr>
                <w:rFonts w:cs="Arial"/>
                <w:iCs/>
              </w:rPr>
              <w:t xml:space="preserve"> </w:t>
            </w:r>
            <w:r w:rsidR="00080756" w:rsidRPr="00C06753">
              <w:rPr>
                <w:rFonts w:cs="Arial"/>
                <w:iCs/>
              </w:rPr>
              <w:t>–</w:t>
            </w:r>
            <w:r w:rsidRPr="00C06753">
              <w:rPr>
                <w:rFonts w:cs="Arial"/>
                <w:iCs/>
              </w:rPr>
              <w:t xml:space="preserve"> 06/30/</w:t>
            </w:r>
            <w:r w:rsidR="00BE1D22" w:rsidRPr="00C06753">
              <w:rPr>
                <w:rFonts w:cs="Arial"/>
                <w:iCs/>
              </w:rPr>
              <w:t>202</w:t>
            </w:r>
            <w:r w:rsidR="00F40DBC">
              <w:rPr>
                <w:rFonts w:cs="Arial"/>
                <w:iCs/>
              </w:rPr>
              <w:t>6</w:t>
            </w:r>
          </w:p>
        </w:tc>
      </w:tr>
    </w:tbl>
    <w:p w14:paraId="2F2004AA" w14:textId="64820934" w:rsidR="00C85ABC" w:rsidRDefault="00C85ABC" w:rsidP="00C85ABC">
      <w:pPr>
        <w:rPr>
          <w:rFonts w:cs="Arial"/>
          <w:lang w:eastAsia="ja-JP"/>
        </w:rPr>
      </w:pPr>
    </w:p>
    <w:p w14:paraId="6BA7EC33" w14:textId="34C60633" w:rsidR="00B40FF1" w:rsidRDefault="00B40FF1" w:rsidP="00AB5B80">
      <w:pPr>
        <w:pStyle w:val="Heading3"/>
      </w:pPr>
      <w:bookmarkStart w:id="302" w:name="_Toc225877731"/>
      <w:r w:rsidRPr="009A5185">
        <w:t>Newborn Bilirubin Screening Prior to Discharge</w:t>
      </w:r>
      <w:bookmarkEnd w:id="302"/>
    </w:p>
    <w:p w14:paraId="2BE8A04E" w14:textId="77777777" w:rsidR="00B40FF1" w:rsidRPr="009A5185" w:rsidRDefault="00B40FF1" w:rsidP="00C85ABC">
      <w:pPr>
        <w:rPr>
          <w:rFonts w:cs="Arial"/>
          <w:lang w:eastAsia="ja-JP"/>
        </w:rPr>
      </w:pPr>
    </w:p>
    <w:tbl>
      <w:tblPr>
        <w:tblStyle w:val="TableGrid"/>
        <w:tblW w:w="9547" w:type="dxa"/>
        <w:tblLook w:val="04A0" w:firstRow="1" w:lastRow="0" w:firstColumn="1" w:lastColumn="0" w:noHBand="0" w:noVBand="1"/>
      </w:tblPr>
      <w:tblGrid>
        <w:gridCol w:w="6638"/>
        <w:gridCol w:w="2909"/>
      </w:tblGrid>
      <w:tr w:rsidR="00C85ABC" w:rsidRPr="009A5185" w14:paraId="0CA644A8" w14:textId="77777777" w:rsidTr="0053434E">
        <w:trPr>
          <w:trHeight w:val="2448"/>
        </w:trPr>
        <w:tc>
          <w:tcPr>
            <w:tcW w:w="6638" w:type="dxa"/>
            <w:vAlign w:val="center"/>
          </w:tcPr>
          <w:p w14:paraId="4EA9CA8F" w14:textId="77777777" w:rsidR="00C85ABC" w:rsidRPr="009A5185" w:rsidRDefault="00D17056" w:rsidP="00AD309C">
            <w:pPr>
              <w:numPr>
                <w:ilvl w:val="0"/>
                <w:numId w:val="38"/>
              </w:numPr>
              <w:rPr>
                <w:rFonts w:cs="Arial"/>
                <w:snapToGrid w:val="0"/>
                <w:color w:val="000000"/>
              </w:rPr>
            </w:pPr>
            <w:r w:rsidRPr="009A5185">
              <w:rPr>
                <w:rFonts w:cs="Arial"/>
                <w:snapToGrid w:val="0"/>
              </w:rPr>
              <w:t xml:space="preserve">Did </w:t>
            </w:r>
            <w:r w:rsidR="00C85ABC" w:rsidRPr="009A5185">
              <w:rPr>
                <w:rFonts w:cs="Arial"/>
                <w:snapToGrid w:val="0"/>
              </w:rPr>
              <w:t xml:space="preserve">your hospital </w:t>
            </w:r>
            <w:r w:rsidRPr="009A5185">
              <w:rPr>
                <w:rFonts w:cs="Arial"/>
                <w:snapToGrid w:val="0"/>
                <w:color w:val="000000"/>
              </w:rPr>
              <w:t>perform</w:t>
            </w:r>
            <w:r w:rsidR="00C85ABC" w:rsidRPr="009A5185">
              <w:rPr>
                <w:rFonts w:cs="Arial"/>
                <w:snapToGrid w:val="0"/>
                <w:color w:val="000000"/>
              </w:rPr>
              <w:t xml:space="preserve"> a medical record audit on </w:t>
            </w:r>
            <w:r w:rsidR="00C85ABC" w:rsidRPr="009A5185">
              <w:rPr>
                <w:rFonts w:cs="Arial"/>
                <w:snapToGrid w:val="0"/>
              </w:rPr>
              <w:t>all cases (or a sufficient sample of them)</w:t>
            </w:r>
            <w:r w:rsidR="00C85ABC" w:rsidRPr="009A5185">
              <w:rPr>
                <w:rFonts w:cs="Arial"/>
                <w:snapToGrid w:val="0"/>
                <w:color w:val="000000"/>
              </w:rPr>
              <w:t xml:space="preserve"> </w:t>
            </w:r>
            <w:r w:rsidR="00C85ABC" w:rsidRPr="009A5185">
              <w:rPr>
                <w:rFonts w:cs="Arial"/>
                <w:b/>
                <w:snapToGrid w:val="0"/>
                <w:color w:val="000000"/>
              </w:rPr>
              <w:t>and</w:t>
            </w:r>
            <w:r w:rsidRPr="009A5185">
              <w:rPr>
                <w:rFonts w:cs="Arial"/>
                <w:snapToGrid w:val="0"/>
                <w:color w:val="000000"/>
              </w:rPr>
              <w:t xml:space="preserve"> measure</w:t>
            </w:r>
            <w:r w:rsidR="00C85ABC" w:rsidRPr="009A5185">
              <w:rPr>
                <w:rFonts w:cs="Arial"/>
                <w:snapToGrid w:val="0"/>
                <w:color w:val="000000"/>
              </w:rPr>
              <w:t xml:space="preserve"> adherence to the newborn bilirubin screening prior </w:t>
            </w:r>
            <w:r w:rsidR="0064148D" w:rsidRPr="009A5185">
              <w:rPr>
                <w:rFonts w:cs="Arial"/>
                <w:snapToGrid w:val="0"/>
                <w:color w:val="000000"/>
              </w:rPr>
              <w:t>to discharge clinical guideline?</w:t>
            </w:r>
          </w:p>
          <w:p w14:paraId="62CCA42B" w14:textId="77777777" w:rsidR="0064148D" w:rsidRPr="009A5185" w:rsidRDefault="0064148D" w:rsidP="0064148D">
            <w:pPr>
              <w:ind w:left="360"/>
              <w:rPr>
                <w:rFonts w:cs="Arial"/>
                <w:snapToGrid w:val="0"/>
                <w:color w:val="000000"/>
              </w:rPr>
            </w:pPr>
          </w:p>
          <w:p w14:paraId="5FC2E5C1" w14:textId="01112D57" w:rsidR="00886D48" w:rsidRDefault="00C60FBB" w:rsidP="00D25799">
            <w:pPr>
              <w:pStyle w:val="ListParagraph"/>
              <w:ind w:left="360"/>
              <w:rPr>
                <w:rFonts w:cs="Arial"/>
                <w:i/>
                <w:snapToGrid w:val="0"/>
              </w:rPr>
            </w:pPr>
            <w:r w:rsidRPr="007F1205">
              <w:rPr>
                <w:rFonts w:cs="Arial"/>
                <w:i/>
                <w:snapToGrid w:val="0"/>
              </w:rPr>
              <w:t>If “no”</w:t>
            </w:r>
            <w:r w:rsidR="00D25799" w:rsidRPr="007F1205">
              <w:rPr>
                <w:rFonts w:cs="Arial"/>
                <w:i/>
                <w:snapToGrid w:val="0"/>
              </w:rPr>
              <w:t xml:space="preserve"> to question #2,</w:t>
            </w:r>
            <w:r w:rsidRPr="007F1205">
              <w:rPr>
                <w:rFonts w:cs="Arial"/>
                <w:i/>
                <w:snapToGrid w:val="0"/>
              </w:rPr>
              <w:t xml:space="preserve"> skip questions #3-5</w:t>
            </w:r>
            <w:r w:rsidR="00D25799" w:rsidRPr="007F1205">
              <w:rPr>
                <w:rFonts w:cs="Arial"/>
                <w:i/>
                <w:snapToGrid w:val="0"/>
              </w:rPr>
              <w:t xml:space="preserve"> and continue to question #6</w:t>
            </w:r>
            <w:r w:rsidRPr="007F1205">
              <w:rPr>
                <w:rFonts w:cs="Arial"/>
                <w:i/>
                <w:snapToGrid w:val="0"/>
              </w:rPr>
              <w:t>.</w:t>
            </w:r>
            <w:r w:rsidR="00833B3F">
              <w:rPr>
                <w:rFonts w:cs="Arial"/>
                <w:i/>
                <w:snapToGrid w:val="0"/>
              </w:rPr>
              <w:t xml:space="preserve"> </w:t>
            </w:r>
            <w:r w:rsidR="00833B3F" w:rsidRPr="00F61E74">
              <w:rPr>
                <w:rFonts w:cs="Arial"/>
                <w:i/>
              </w:rPr>
              <w:t>The hospital will be scored as “</w:t>
            </w:r>
            <w:r w:rsidR="004D39CE">
              <w:rPr>
                <w:rFonts w:cs="Arial"/>
                <w:i/>
              </w:rPr>
              <w:t>Did Not Measure</w:t>
            </w:r>
            <w:r w:rsidR="00833B3F" w:rsidRPr="00F61E74">
              <w:rPr>
                <w:rFonts w:cs="Arial"/>
                <w:i/>
              </w:rPr>
              <w:t>.”</w:t>
            </w:r>
          </w:p>
          <w:p w14:paraId="52F4F8AD" w14:textId="77777777" w:rsidR="00886D48" w:rsidRDefault="00886D48" w:rsidP="00D25799">
            <w:pPr>
              <w:pStyle w:val="ListParagraph"/>
              <w:ind w:left="360"/>
              <w:rPr>
                <w:rFonts w:cs="Arial"/>
                <w:i/>
                <w:snapToGrid w:val="0"/>
              </w:rPr>
            </w:pPr>
          </w:p>
          <w:p w14:paraId="1AF4DD57" w14:textId="5D535A17" w:rsidR="00C85ABC" w:rsidRPr="009A5185" w:rsidRDefault="00C85ABC" w:rsidP="00D25799">
            <w:pPr>
              <w:pStyle w:val="ListParagraph"/>
              <w:ind w:left="360"/>
              <w:rPr>
                <w:rFonts w:cs="Arial"/>
                <w:b/>
                <w:snapToGrid w:val="0"/>
                <w:color w:val="000000"/>
              </w:rPr>
            </w:pPr>
            <w:r w:rsidRPr="009A5185">
              <w:rPr>
                <w:rFonts w:cs="Arial"/>
                <w:i/>
                <w:snapToGrid w:val="0"/>
              </w:rPr>
              <w:t xml:space="preserve">If </w:t>
            </w:r>
            <w:r w:rsidR="00E427F6">
              <w:rPr>
                <w:rFonts w:cs="Arial"/>
                <w:i/>
                <w:snapToGrid w:val="0"/>
              </w:rPr>
              <w:t>“</w:t>
            </w:r>
            <w:r w:rsidR="005E1D5D">
              <w:rPr>
                <w:rFonts w:cs="Arial"/>
                <w:i/>
                <w:snapToGrid w:val="0"/>
              </w:rPr>
              <w:t>y</w:t>
            </w:r>
            <w:r w:rsidRPr="009A5185">
              <w:rPr>
                <w:rFonts w:cs="Arial"/>
                <w:i/>
                <w:snapToGrid w:val="0"/>
              </w:rPr>
              <w:t>es, but fewer than 10 cases met the inclusion criteria for the denominator,</w:t>
            </w:r>
            <w:r w:rsidR="00E427F6">
              <w:rPr>
                <w:rFonts w:cs="Arial"/>
                <w:i/>
                <w:snapToGrid w:val="0"/>
              </w:rPr>
              <w:t>”</w:t>
            </w:r>
            <w:r w:rsidRPr="009A5185">
              <w:rPr>
                <w:rFonts w:cs="Arial"/>
                <w:i/>
                <w:snapToGrid w:val="0"/>
              </w:rPr>
              <w:t xml:space="preserve"> skip questions #3-</w:t>
            </w:r>
            <w:r w:rsidRPr="007F1205">
              <w:rPr>
                <w:rFonts w:cs="Arial"/>
                <w:i/>
                <w:snapToGrid w:val="0"/>
              </w:rPr>
              <w:t>5</w:t>
            </w:r>
            <w:r w:rsidR="00D25799" w:rsidRPr="007F1205">
              <w:rPr>
                <w:rFonts w:cs="Arial"/>
                <w:i/>
                <w:snapToGrid w:val="0"/>
              </w:rPr>
              <w:t xml:space="preserve"> and continue to question #6</w:t>
            </w:r>
            <w:r w:rsidRPr="007F1205">
              <w:rPr>
                <w:rFonts w:cs="Arial"/>
                <w:i/>
                <w:snapToGrid w:val="0"/>
              </w:rPr>
              <w:t>.</w:t>
            </w:r>
            <w:r w:rsidR="00833B3F">
              <w:rPr>
                <w:rFonts w:cs="Arial"/>
                <w:i/>
                <w:snapToGrid w:val="0"/>
              </w:rPr>
              <w:t xml:space="preserve"> </w:t>
            </w:r>
            <w:r w:rsidR="00833B3F" w:rsidRPr="00F61E74">
              <w:rPr>
                <w:rFonts w:cs="Arial"/>
                <w:i/>
              </w:rPr>
              <w:t>The hospital will be scored as “</w:t>
            </w:r>
            <w:r w:rsidR="00833B3F">
              <w:rPr>
                <w:rFonts w:cs="Arial"/>
                <w:i/>
              </w:rPr>
              <w:t>Unable to Calculate Score</w:t>
            </w:r>
            <w:r w:rsidR="00833B3F" w:rsidRPr="00F61E74">
              <w:rPr>
                <w:rFonts w:cs="Arial"/>
                <w:i/>
              </w:rPr>
              <w:t>.”</w:t>
            </w:r>
          </w:p>
        </w:tc>
        <w:tc>
          <w:tcPr>
            <w:tcW w:w="2909" w:type="dxa"/>
            <w:vAlign w:val="center"/>
          </w:tcPr>
          <w:p w14:paraId="1CDBE308" w14:textId="42E13363" w:rsidR="0064148D" w:rsidRPr="00A31567" w:rsidRDefault="00C85ABC" w:rsidP="00AD309C">
            <w:pPr>
              <w:pStyle w:val="ListParagraph"/>
              <w:numPr>
                <w:ilvl w:val="0"/>
                <w:numId w:val="292"/>
              </w:numPr>
              <w:rPr>
                <w:rFonts w:cs="Arial"/>
                <w:iCs/>
                <w:snapToGrid w:val="0"/>
                <w:color w:val="000000"/>
              </w:rPr>
            </w:pPr>
            <w:r w:rsidRPr="00A31567">
              <w:rPr>
                <w:rFonts w:cs="Arial"/>
                <w:iCs/>
                <w:snapToGrid w:val="0"/>
                <w:color w:val="000000"/>
              </w:rPr>
              <w:t>Yes</w:t>
            </w:r>
          </w:p>
          <w:p w14:paraId="5E87C7BE" w14:textId="196D36FF" w:rsidR="0064148D" w:rsidRPr="00A31567" w:rsidRDefault="00C85ABC" w:rsidP="00AD309C">
            <w:pPr>
              <w:pStyle w:val="ListParagraph"/>
              <w:numPr>
                <w:ilvl w:val="0"/>
                <w:numId w:val="292"/>
              </w:numPr>
              <w:rPr>
                <w:rFonts w:cs="Arial"/>
                <w:iCs/>
                <w:snapToGrid w:val="0"/>
                <w:color w:val="000000"/>
              </w:rPr>
            </w:pPr>
            <w:r w:rsidRPr="00A31567">
              <w:rPr>
                <w:rFonts w:cs="Arial"/>
                <w:iCs/>
                <w:snapToGrid w:val="0"/>
                <w:color w:val="000000"/>
              </w:rPr>
              <w:t>No</w:t>
            </w:r>
          </w:p>
          <w:p w14:paraId="1A06A9A1" w14:textId="77777777" w:rsidR="00C85ABC" w:rsidRPr="00C8246A" w:rsidRDefault="00C85ABC" w:rsidP="00AD309C">
            <w:pPr>
              <w:pStyle w:val="ListParagraph"/>
              <w:numPr>
                <w:ilvl w:val="0"/>
                <w:numId w:val="292"/>
              </w:numPr>
              <w:rPr>
                <w:rFonts w:cs="Arial"/>
                <w:i/>
                <w:snapToGrid w:val="0"/>
                <w:color w:val="000000"/>
              </w:rPr>
            </w:pPr>
            <w:r w:rsidRPr="00A31567">
              <w:rPr>
                <w:rFonts w:cs="Arial"/>
                <w:iCs/>
                <w:snapToGrid w:val="0"/>
                <w:color w:val="000000"/>
              </w:rPr>
              <w:t>Yes, but fewer than 10 cases met the inclusion criteria for the denominator</w:t>
            </w:r>
          </w:p>
        </w:tc>
      </w:tr>
      <w:tr w:rsidR="00C85ABC" w:rsidRPr="009A5185" w14:paraId="3246F215" w14:textId="77777777" w:rsidTr="00262E75">
        <w:tc>
          <w:tcPr>
            <w:tcW w:w="6638" w:type="dxa"/>
            <w:vAlign w:val="center"/>
          </w:tcPr>
          <w:p w14:paraId="61A4993A" w14:textId="5FC5F543" w:rsidR="00C85ABC" w:rsidRPr="009A5185" w:rsidRDefault="00C85ABC" w:rsidP="00AD309C">
            <w:pPr>
              <w:pStyle w:val="ListParagraph"/>
              <w:numPr>
                <w:ilvl w:val="0"/>
                <w:numId w:val="38"/>
              </w:numPr>
              <w:rPr>
                <w:rFonts w:cs="Arial"/>
                <w:snapToGrid w:val="0"/>
                <w:color w:val="000000"/>
              </w:rPr>
            </w:pPr>
            <w:r w:rsidRPr="009A5185">
              <w:rPr>
                <w:rFonts w:cs="Arial"/>
                <w:snapToGrid w:val="0"/>
              </w:rPr>
              <w:t>Number of cases measured against the guideline</w:t>
            </w:r>
            <w:r w:rsidR="00990C23" w:rsidRPr="009A5185">
              <w:rPr>
                <w:rFonts w:cs="Arial"/>
                <w:snapToGrid w:val="0"/>
              </w:rPr>
              <w:t xml:space="preserve">, either all cases or a sufficient sample of them </w:t>
            </w:r>
            <w:r w:rsidR="009B2B2D" w:rsidRPr="009A5185">
              <w:rPr>
                <w:rFonts w:cs="Arial"/>
                <w:snapToGrid w:val="0"/>
              </w:rPr>
              <w:t>(</w:t>
            </w:r>
            <w:r w:rsidRPr="009A5185">
              <w:rPr>
                <w:rFonts w:cs="Arial"/>
                <w:b/>
                <w:snapToGrid w:val="0"/>
              </w:rPr>
              <w:t>denominator</w:t>
            </w:r>
            <w:r w:rsidR="009B2B2D" w:rsidRPr="009A5185">
              <w:rPr>
                <w:rFonts w:cs="Arial"/>
                <w:snapToGrid w:val="0"/>
              </w:rPr>
              <w:t>)</w:t>
            </w:r>
            <w:r w:rsidR="009579B9">
              <w:rPr>
                <w:rFonts w:cs="Arial"/>
                <w:snapToGrid w:val="0"/>
              </w:rPr>
              <w:t>:</w:t>
            </w:r>
          </w:p>
        </w:tc>
        <w:tc>
          <w:tcPr>
            <w:tcW w:w="2909" w:type="dxa"/>
            <w:vAlign w:val="center"/>
          </w:tcPr>
          <w:p w14:paraId="029728C1" w14:textId="77777777" w:rsidR="00C85ABC" w:rsidRPr="009A5185" w:rsidRDefault="00C85ABC" w:rsidP="0064148D">
            <w:pPr>
              <w:jc w:val="center"/>
              <w:rPr>
                <w:rFonts w:cs="Arial"/>
                <w:b/>
                <w:snapToGrid w:val="0"/>
                <w:color w:val="000000"/>
              </w:rPr>
            </w:pPr>
          </w:p>
          <w:p w14:paraId="7C03300D" w14:textId="77777777" w:rsidR="00C85ABC" w:rsidRPr="009A5185" w:rsidRDefault="00C85ABC" w:rsidP="0064148D">
            <w:pPr>
              <w:jc w:val="center"/>
              <w:rPr>
                <w:rFonts w:cs="Arial"/>
                <w:b/>
                <w:snapToGrid w:val="0"/>
                <w:color w:val="000000"/>
              </w:rPr>
            </w:pPr>
            <w:r w:rsidRPr="009A5185">
              <w:rPr>
                <w:rFonts w:cs="Arial"/>
                <w:b/>
                <w:snapToGrid w:val="0"/>
                <w:color w:val="000000"/>
              </w:rPr>
              <w:t>______</w:t>
            </w:r>
          </w:p>
          <w:p w14:paraId="21576EEB" w14:textId="77777777" w:rsidR="00C85ABC" w:rsidRPr="009A5185" w:rsidRDefault="00C85ABC" w:rsidP="0064148D">
            <w:pPr>
              <w:rPr>
                <w:rFonts w:cs="Arial"/>
                <w:b/>
                <w:snapToGrid w:val="0"/>
                <w:color w:val="000000"/>
              </w:rPr>
            </w:pPr>
          </w:p>
        </w:tc>
      </w:tr>
      <w:tr w:rsidR="00C85ABC" w:rsidRPr="009A5185" w14:paraId="6E779661" w14:textId="77777777" w:rsidTr="006A1E45">
        <w:tc>
          <w:tcPr>
            <w:tcW w:w="6638" w:type="dxa"/>
            <w:tcBorders>
              <w:bottom w:val="single" w:sz="4" w:space="0" w:color="auto"/>
            </w:tcBorders>
            <w:vAlign w:val="center"/>
          </w:tcPr>
          <w:p w14:paraId="66C1D8C2" w14:textId="439FFC93" w:rsidR="00C85ABC" w:rsidRPr="009A5185" w:rsidRDefault="00C85ABC" w:rsidP="00AD309C">
            <w:pPr>
              <w:pStyle w:val="ListParagraph"/>
              <w:numPr>
                <w:ilvl w:val="0"/>
                <w:numId w:val="38"/>
              </w:numPr>
              <w:rPr>
                <w:rFonts w:cs="Arial"/>
                <w:snapToGrid w:val="0"/>
                <w:color w:val="000000"/>
              </w:rPr>
            </w:pPr>
            <w:r w:rsidRPr="008306A5">
              <w:rPr>
                <w:rFonts w:cs="Arial"/>
                <w:noProof/>
                <w:snapToGrid w:val="0"/>
              </w:rPr>
              <w:t>Number</w:t>
            </w:r>
            <w:r w:rsidRPr="009A5185">
              <w:rPr>
                <w:rFonts w:cs="Arial"/>
                <w:snapToGrid w:val="0"/>
              </w:rPr>
              <w:t xml:space="preserve"> of cases in question #3 that </w:t>
            </w:r>
            <w:r w:rsidRPr="009A5185">
              <w:rPr>
                <w:rFonts w:cs="Arial"/>
                <w:snapToGrid w:val="0"/>
                <w:color w:val="000000"/>
              </w:rPr>
              <w:t>adhere to the clinical process guideline (</w:t>
            </w:r>
            <w:r w:rsidRPr="009A5185">
              <w:rPr>
                <w:rFonts w:cs="Arial"/>
                <w:b/>
                <w:snapToGrid w:val="0"/>
                <w:color w:val="000000"/>
              </w:rPr>
              <w:t>numerator</w:t>
            </w:r>
            <w:r w:rsidRPr="009A5185">
              <w:rPr>
                <w:rFonts w:cs="Arial"/>
                <w:snapToGrid w:val="0"/>
                <w:color w:val="000000"/>
              </w:rPr>
              <w:t>)</w:t>
            </w:r>
            <w:r w:rsidR="009579B9">
              <w:rPr>
                <w:rFonts w:cs="Arial"/>
                <w:snapToGrid w:val="0"/>
                <w:color w:val="000000"/>
              </w:rPr>
              <w:t>:</w:t>
            </w:r>
          </w:p>
        </w:tc>
        <w:tc>
          <w:tcPr>
            <w:tcW w:w="2909" w:type="dxa"/>
            <w:vAlign w:val="center"/>
          </w:tcPr>
          <w:p w14:paraId="35A56F1B" w14:textId="77777777" w:rsidR="00C85ABC" w:rsidRPr="009A5185" w:rsidRDefault="00C85ABC" w:rsidP="0064148D">
            <w:pPr>
              <w:jc w:val="center"/>
              <w:rPr>
                <w:rFonts w:cs="Arial"/>
                <w:b/>
                <w:snapToGrid w:val="0"/>
                <w:color w:val="000000"/>
              </w:rPr>
            </w:pPr>
          </w:p>
          <w:p w14:paraId="26A4367A" w14:textId="77777777" w:rsidR="00C85ABC" w:rsidRPr="009A5185" w:rsidRDefault="00C85ABC" w:rsidP="0064148D">
            <w:pPr>
              <w:jc w:val="center"/>
              <w:rPr>
                <w:rFonts w:cs="Arial"/>
                <w:b/>
                <w:snapToGrid w:val="0"/>
                <w:color w:val="000000"/>
              </w:rPr>
            </w:pPr>
            <w:r w:rsidRPr="009A5185">
              <w:rPr>
                <w:rFonts w:cs="Arial"/>
                <w:b/>
                <w:snapToGrid w:val="0"/>
                <w:color w:val="000000"/>
              </w:rPr>
              <w:t>______</w:t>
            </w:r>
          </w:p>
          <w:p w14:paraId="04CAADBB" w14:textId="77777777" w:rsidR="00C85ABC" w:rsidRPr="009A5185" w:rsidRDefault="00C85ABC" w:rsidP="0064148D">
            <w:pPr>
              <w:jc w:val="center"/>
              <w:rPr>
                <w:rFonts w:cs="Arial"/>
                <w:b/>
                <w:snapToGrid w:val="0"/>
                <w:color w:val="000000"/>
              </w:rPr>
            </w:pPr>
          </w:p>
        </w:tc>
      </w:tr>
      <w:tr w:rsidR="00C85ABC" w:rsidRPr="009A5185" w14:paraId="1310F5D1" w14:textId="77777777" w:rsidTr="006A1E45">
        <w:trPr>
          <w:trHeight w:val="576"/>
        </w:trPr>
        <w:tc>
          <w:tcPr>
            <w:tcW w:w="6638" w:type="dxa"/>
            <w:tcBorders>
              <w:bottom w:val="single" w:sz="4" w:space="0" w:color="auto"/>
            </w:tcBorders>
            <w:vAlign w:val="center"/>
          </w:tcPr>
          <w:p w14:paraId="7CD0F0F5" w14:textId="4A78031B" w:rsidR="00C85ABC" w:rsidRPr="009A5185" w:rsidRDefault="00C85ABC" w:rsidP="00AD309C">
            <w:pPr>
              <w:pStyle w:val="ListParagraph"/>
              <w:numPr>
                <w:ilvl w:val="0"/>
                <w:numId w:val="38"/>
              </w:numPr>
              <w:rPr>
                <w:rFonts w:cs="Arial"/>
                <w:snapToGrid w:val="0"/>
                <w:color w:val="000000"/>
              </w:rPr>
            </w:pPr>
            <w:r w:rsidRPr="009A5185">
              <w:rPr>
                <w:rFonts w:cs="Arial"/>
                <w:snapToGrid w:val="0"/>
                <w:color w:val="000000"/>
              </w:rPr>
              <w:t xml:space="preserve">Do the responses in questions #3 and #4 represent a sample of cases? </w:t>
            </w:r>
          </w:p>
        </w:tc>
        <w:tc>
          <w:tcPr>
            <w:tcW w:w="2909" w:type="dxa"/>
            <w:vAlign w:val="center"/>
          </w:tcPr>
          <w:p w14:paraId="76B8F298" w14:textId="77777777" w:rsidR="00C85ABC" w:rsidRPr="00A31567" w:rsidRDefault="00C85ABC" w:rsidP="00AD309C">
            <w:pPr>
              <w:pStyle w:val="ListParagraph"/>
              <w:numPr>
                <w:ilvl w:val="0"/>
                <w:numId w:val="293"/>
              </w:numPr>
              <w:rPr>
                <w:rFonts w:cs="Arial"/>
                <w:iCs/>
                <w:snapToGrid w:val="0"/>
                <w:color w:val="000000"/>
              </w:rPr>
            </w:pPr>
            <w:r w:rsidRPr="00A31567">
              <w:rPr>
                <w:rFonts w:cs="Arial"/>
                <w:iCs/>
                <w:snapToGrid w:val="0"/>
                <w:color w:val="000000"/>
              </w:rPr>
              <w:t>Yes</w:t>
            </w:r>
          </w:p>
          <w:p w14:paraId="303F9A58" w14:textId="77777777" w:rsidR="00C85ABC" w:rsidRPr="00C8246A" w:rsidRDefault="00C85ABC" w:rsidP="00AD309C">
            <w:pPr>
              <w:pStyle w:val="ListParagraph"/>
              <w:numPr>
                <w:ilvl w:val="0"/>
                <w:numId w:val="293"/>
              </w:numPr>
              <w:rPr>
                <w:rFonts w:cs="Arial"/>
                <w:i/>
                <w:snapToGrid w:val="0"/>
                <w:color w:val="000000"/>
              </w:rPr>
            </w:pPr>
            <w:r w:rsidRPr="00A31567">
              <w:rPr>
                <w:rFonts w:cs="Arial"/>
                <w:iCs/>
                <w:snapToGrid w:val="0"/>
                <w:color w:val="000000"/>
              </w:rPr>
              <w:t>No</w:t>
            </w:r>
          </w:p>
        </w:tc>
      </w:tr>
    </w:tbl>
    <w:p w14:paraId="594707C5" w14:textId="77777777" w:rsidR="00B40FF1" w:rsidRDefault="00B40FF1">
      <w:pPr>
        <w:rPr>
          <w:rFonts w:cs="Arial"/>
          <w:b/>
          <w:snapToGrid w:val="0"/>
        </w:rPr>
      </w:pPr>
    </w:p>
    <w:p w14:paraId="3AAD9CBC" w14:textId="77777777" w:rsidR="0011471E" w:rsidRDefault="0011471E">
      <w:pPr>
        <w:rPr>
          <w:rFonts w:cs="Arial"/>
          <w:b/>
          <w:snapToGrid w:val="0"/>
        </w:rPr>
      </w:pPr>
    </w:p>
    <w:p w14:paraId="32D454D4" w14:textId="77777777" w:rsidR="0011471E" w:rsidRDefault="0011471E">
      <w:pPr>
        <w:rPr>
          <w:rFonts w:cs="Arial"/>
          <w:b/>
          <w:snapToGrid w:val="0"/>
        </w:rPr>
      </w:pPr>
    </w:p>
    <w:p w14:paraId="3083D089" w14:textId="77777777" w:rsidR="0011471E" w:rsidRDefault="0011471E">
      <w:pPr>
        <w:rPr>
          <w:rFonts w:cs="Arial"/>
          <w:b/>
          <w:snapToGrid w:val="0"/>
        </w:rPr>
      </w:pPr>
    </w:p>
    <w:p w14:paraId="3A8B242D" w14:textId="76BD5A88" w:rsidR="00B40FF1" w:rsidRPr="009A5185" w:rsidRDefault="00B40FF1" w:rsidP="00AB5B80">
      <w:pPr>
        <w:pStyle w:val="Heading3"/>
      </w:pPr>
      <w:bookmarkStart w:id="303" w:name="_Toc225877732"/>
      <w:r w:rsidRPr="009A5185">
        <w:t xml:space="preserve">Appropriate DVT Prophylaxis in Women Undergoing Cesarean </w:t>
      </w:r>
      <w:r>
        <w:t>Delivery</w:t>
      </w:r>
      <w:bookmarkEnd w:id="303"/>
    </w:p>
    <w:p w14:paraId="6FA3CAA6" w14:textId="77777777" w:rsidR="00B40FF1" w:rsidRDefault="00B40FF1"/>
    <w:tbl>
      <w:tblPr>
        <w:tblStyle w:val="TableGrid"/>
        <w:tblW w:w="9547" w:type="dxa"/>
        <w:tblLook w:val="04A0" w:firstRow="1" w:lastRow="0" w:firstColumn="1" w:lastColumn="0" w:noHBand="0" w:noVBand="1"/>
      </w:tblPr>
      <w:tblGrid>
        <w:gridCol w:w="6638"/>
        <w:gridCol w:w="2909"/>
      </w:tblGrid>
      <w:tr w:rsidR="00B40FF1" w:rsidRPr="009A5185" w14:paraId="6C05C116" w14:textId="77777777" w:rsidTr="0053434E">
        <w:trPr>
          <w:trHeight w:val="2880"/>
        </w:trPr>
        <w:tc>
          <w:tcPr>
            <w:tcW w:w="6638" w:type="dxa"/>
            <w:vAlign w:val="center"/>
          </w:tcPr>
          <w:p w14:paraId="1551354B" w14:textId="77777777" w:rsidR="00B40FF1" w:rsidRPr="009A5185" w:rsidRDefault="00B40FF1" w:rsidP="00AD309C">
            <w:pPr>
              <w:numPr>
                <w:ilvl w:val="0"/>
                <w:numId w:val="38"/>
              </w:numPr>
              <w:rPr>
                <w:rFonts w:cs="Arial"/>
                <w:snapToGrid w:val="0"/>
                <w:color w:val="000000"/>
              </w:rPr>
            </w:pPr>
            <w:r w:rsidRPr="009A5185">
              <w:rPr>
                <w:rFonts w:cs="Arial"/>
                <w:snapToGrid w:val="0"/>
              </w:rPr>
              <w:t xml:space="preserve">Did your hospital </w:t>
            </w:r>
            <w:r w:rsidRPr="009A5185">
              <w:rPr>
                <w:rFonts w:cs="Arial"/>
                <w:snapToGrid w:val="0"/>
                <w:color w:val="000000"/>
              </w:rPr>
              <w:t xml:space="preserve">perform a medical record audit on </w:t>
            </w:r>
            <w:r w:rsidRPr="009A5185">
              <w:rPr>
                <w:rFonts w:cs="Arial"/>
                <w:snapToGrid w:val="0"/>
              </w:rPr>
              <w:t>all cases (or a sufficient sample of them)</w:t>
            </w:r>
            <w:r w:rsidRPr="009A5185">
              <w:rPr>
                <w:rFonts w:cs="Arial"/>
                <w:snapToGrid w:val="0"/>
                <w:color w:val="000000"/>
              </w:rPr>
              <w:t xml:space="preserve"> </w:t>
            </w:r>
            <w:r w:rsidRPr="009A5185">
              <w:rPr>
                <w:rFonts w:cs="Arial"/>
                <w:b/>
                <w:snapToGrid w:val="0"/>
                <w:color w:val="000000"/>
              </w:rPr>
              <w:t>and</w:t>
            </w:r>
            <w:r w:rsidRPr="009A5185">
              <w:rPr>
                <w:rFonts w:cs="Arial"/>
                <w:snapToGrid w:val="0"/>
                <w:color w:val="000000"/>
              </w:rPr>
              <w:t xml:space="preserve"> measure adherence to the appropriate DVT prophylaxis in women undergoing cesarean </w:t>
            </w:r>
            <w:r>
              <w:rPr>
                <w:rFonts w:cs="Arial"/>
                <w:snapToGrid w:val="0"/>
                <w:color w:val="000000"/>
              </w:rPr>
              <w:t>delivery</w:t>
            </w:r>
            <w:r w:rsidRPr="009A5185">
              <w:rPr>
                <w:rFonts w:cs="Arial"/>
                <w:snapToGrid w:val="0"/>
                <w:color w:val="000000"/>
              </w:rPr>
              <w:t xml:space="preserve"> clinical guideline?</w:t>
            </w:r>
          </w:p>
          <w:p w14:paraId="67763790" w14:textId="77777777" w:rsidR="00B40FF1" w:rsidRPr="009A5185" w:rsidRDefault="00B40FF1">
            <w:pPr>
              <w:ind w:left="360"/>
              <w:rPr>
                <w:rFonts w:cs="Arial"/>
                <w:snapToGrid w:val="0"/>
                <w:color w:val="000000"/>
              </w:rPr>
            </w:pPr>
          </w:p>
          <w:p w14:paraId="3D3E8DCB" w14:textId="41B17799" w:rsidR="00B40FF1" w:rsidRDefault="00B40FF1">
            <w:pPr>
              <w:pStyle w:val="ListParagraph"/>
              <w:ind w:left="360"/>
              <w:rPr>
                <w:rFonts w:cs="Arial"/>
                <w:i/>
                <w:snapToGrid w:val="0"/>
              </w:rPr>
            </w:pPr>
            <w:r w:rsidRPr="007F1205">
              <w:rPr>
                <w:rFonts w:cs="Arial"/>
                <w:i/>
                <w:snapToGrid w:val="0"/>
              </w:rPr>
              <w:t>If “no” to question #6, skip questions #7-9 and continue to the next subsection.</w:t>
            </w:r>
            <w:r>
              <w:rPr>
                <w:rFonts w:cs="Arial"/>
                <w:i/>
                <w:snapToGrid w:val="0"/>
              </w:rPr>
              <w:t xml:space="preserve"> </w:t>
            </w:r>
            <w:r w:rsidRPr="00F61E74">
              <w:rPr>
                <w:rFonts w:cs="Arial"/>
                <w:i/>
              </w:rPr>
              <w:t>The hospital will be scored as “</w:t>
            </w:r>
            <w:r w:rsidR="00074B3B">
              <w:rPr>
                <w:rFonts w:cs="Arial"/>
                <w:i/>
              </w:rPr>
              <w:t>Did Not Measure</w:t>
            </w:r>
            <w:r w:rsidRPr="00F61E74">
              <w:rPr>
                <w:rFonts w:cs="Arial"/>
                <w:i/>
              </w:rPr>
              <w:t>.”</w:t>
            </w:r>
          </w:p>
          <w:p w14:paraId="23D26F9A" w14:textId="77777777" w:rsidR="00B40FF1" w:rsidRDefault="00B40FF1">
            <w:pPr>
              <w:pStyle w:val="ListParagraph"/>
              <w:ind w:left="360"/>
              <w:rPr>
                <w:rFonts w:cs="Arial"/>
                <w:i/>
                <w:snapToGrid w:val="0"/>
              </w:rPr>
            </w:pPr>
          </w:p>
          <w:p w14:paraId="5B102C07" w14:textId="155843E6" w:rsidR="00B40FF1" w:rsidRPr="009A5185" w:rsidRDefault="00B40FF1">
            <w:pPr>
              <w:pStyle w:val="ListParagraph"/>
              <w:ind w:left="360"/>
              <w:rPr>
                <w:rFonts w:cs="Arial"/>
                <w:b/>
                <w:snapToGrid w:val="0"/>
                <w:color w:val="000000"/>
              </w:rPr>
            </w:pPr>
            <w:r w:rsidRPr="009A5185">
              <w:rPr>
                <w:rFonts w:cs="Arial"/>
                <w:i/>
                <w:snapToGrid w:val="0"/>
              </w:rPr>
              <w:t>If “</w:t>
            </w:r>
            <w:r w:rsidR="005E1D5D">
              <w:rPr>
                <w:rFonts w:cs="Arial"/>
                <w:i/>
                <w:snapToGrid w:val="0"/>
              </w:rPr>
              <w:t>y</w:t>
            </w:r>
            <w:r>
              <w:rPr>
                <w:rFonts w:cs="Arial"/>
                <w:i/>
                <w:snapToGrid w:val="0"/>
              </w:rPr>
              <w:t>es</w:t>
            </w:r>
            <w:r w:rsidRPr="009A5185">
              <w:rPr>
                <w:rFonts w:cs="Arial"/>
                <w:i/>
                <w:snapToGrid w:val="0"/>
              </w:rPr>
              <w:t>, but fewer than 10 cases met the inclusion criteria for the denominator,</w:t>
            </w:r>
            <w:r>
              <w:rPr>
                <w:rFonts w:cs="Arial"/>
                <w:i/>
                <w:snapToGrid w:val="0"/>
              </w:rPr>
              <w:t>”</w:t>
            </w:r>
            <w:r w:rsidRPr="009A5185">
              <w:rPr>
                <w:rFonts w:cs="Arial"/>
                <w:i/>
                <w:snapToGrid w:val="0"/>
              </w:rPr>
              <w:t xml:space="preserve"> </w:t>
            </w:r>
            <w:r w:rsidRPr="007F1205">
              <w:rPr>
                <w:rFonts w:cs="Arial"/>
                <w:i/>
                <w:snapToGrid w:val="0"/>
              </w:rPr>
              <w:t xml:space="preserve">skip questions #7-9 and continue to the next </w:t>
            </w:r>
            <w:r w:rsidRPr="00AC5DD8">
              <w:rPr>
                <w:rFonts w:cs="Arial"/>
                <w:i/>
                <w:snapToGrid w:val="0"/>
              </w:rPr>
              <w:t>subsection.</w:t>
            </w:r>
            <w:r>
              <w:rPr>
                <w:rFonts w:cs="Arial"/>
                <w:i/>
                <w:snapToGrid w:val="0"/>
              </w:rPr>
              <w:t xml:space="preserve"> </w:t>
            </w:r>
            <w:r w:rsidRPr="00F61E74">
              <w:rPr>
                <w:rFonts w:cs="Arial"/>
                <w:i/>
              </w:rPr>
              <w:t>The hospital will be scored as “</w:t>
            </w:r>
            <w:r>
              <w:rPr>
                <w:rFonts w:cs="Arial"/>
                <w:i/>
              </w:rPr>
              <w:t>Unable to Calculate Score</w:t>
            </w:r>
            <w:r w:rsidRPr="00F61E74">
              <w:rPr>
                <w:rFonts w:cs="Arial"/>
                <w:i/>
              </w:rPr>
              <w:t>.”</w:t>
            </w:r>
          </w:p>
        </w:tc>
        <w:tc>
          <w:tcPr>
            <w:tcW w:w="2909" w:type="dxa"/>
            <w:vAlign w:val="center"/>
          </w:tcPr>
          <w:p w14:paraId="46323BFA" w14:textId="4A6B74E3" w:rsidR="00B40FF1" w:rsidRPr="00A31567" w:rsidRDefault="00B40FF1" w:rsidP="00AD309C">
            <w:pPr>
              <w:pStyle w:val="ListParagraph"/>
              <w:numPr>
                <w:ilvl w:val="0"/>
                <w:numId w:val="294"/>
              </w:numPr>
              <w:rPr>
                <w:rFonts w:cs="Arial"/>
                <w:iCs/>
                <w:snapToGrid w:val="0"/>
                <w:color w:val="000000"/>
              </w:rPr>
            </w:pPr>
            <w:r w:rsidRPr="00A31567">
              <w:rPr>
                <w:rFonts w:cs="Arial"/>
                <w:iCs/>
                <w:snapToGrid w:val="0"/>
                <w:color w:val="000000"/>
              </w:rPr>
              <w:t>Yes</w:t>
            </w:r>
          </w:p>
          <w:p w14:paraId="2C410896" w14:textId="2AC0D268" w:rsidR="00B40FF1" w:rsidRPr="00A31567" w:rsidRDefault="00B40FF1" w:rsidP="00AD309C">
            <w:pPr>
              <w:pStyle w:val="ListParagraph"/>
              <w:numPr>
                <w:ilvl w:val="0"/>
                <w:numId w:val="294"/>
              </w:numPr>
              <w:rPr>
                <w:rFonts w:cs="Arial"/>
                <w:iCs/>
                <w:snapToGrid w:val="0"/>
                <w:color w:val="000000"/>
              </w:rPr>
            </w:pPr>
            <w:r w:rsidRPr="00A31567">
              <w:rPr>
                <w:rFonts w:cs="Arial"/>
                <w:iCs/>
                <w:snapToGrid w:val="0"/>
                <w:color w:val="000000"/>
              </w:rPr>
              <w:t>No</w:t>
            </w:r>
          </w:p>
          <w:p w14:paraId="55F32600" w14:textId="77777777" w:rsidR="00B40FF1" w:rsidRPr="00C8246A" w:rsidRDefault="00B40FF1" w:rsidP="00AD309C">
            <w:pPr>
              <w:pStyle w:val="ListParagraph"/>
              <w:numPr>
                <w:ilvl w:val="0"/>
                <w:numId w:val="294"/>
              </w:numPr>
              <w:rPr>
                <w:rFonts w:cs="Arial"/>
                <w:i/>
                <w:snapToGrid w:val="0"/>
                <w:color w:val="000000"/>
              </w:rPr>
            </w:pPr>
            <w:r w:rsidRPr="00A31567">
              <w:rPr>
                <w:rFonts w:cs="Arial"/>
                <w:iCs/>
                <w:snapToGrid w:val="0"/>
                <w:color w:val="000000"/>
              </w:rPr>
              <w:t>Yes, but fewer than 10 cases met the inclusion criteria for the denominator</w:t>
            </w:r>
          </w:p>
        </w:tc>
      </w:tr>
      <w:tr w:rsidR="00B40FF1" w:rsidRPr="009A5185" w14:paraId="02E69EBA" w14:textId="77777777">
        <w:tc>
          <w:tcPr>
            <w:tcW w:w="6638" w:type="dxa"/>
            <w:vAlign w:val="center"/>
          </w:tcPr>
          <w:p w14:paraId="33CD6932" w14:textId="062F300D" w:rsidR="00B40FF1" w:rsidRPr="009A5185" w:rsidRDefault="00B40FF1" w:rsidP="00AD309C">
            <w:pPr>
              <w:pStyle w:val="ListParagraph"/>
              <w:numPr>
                <w:ilvl w:val="0"/>
                <w:numId w:val="38"/>
              </w:numPr>
              <w:rPr>
                <w:rFonts w:cs="Arial"/>
                <w:snapToGrid w:val="0"/>
                <w:color w:val="000000"/>
              </w:rPr>
            </w:pPr>
            <w:r w:rsidRPr="009A5185">
              <w:rPr>
                <w:rFonts w:cs="Arial"/>
                <w:snapToGrid w:val="0"/>
              </w:rPr>
              <w:t>Number of cases measured against the guideline, either all cases or a sufficient sample of them (</w:t>
            </w:r>
            <w:r w:rsidRPr="009A5185">
              <w:rPr>
                <w:rFonts w:cs="Arial"/>
                <w:b/>
                <w:snapToGrid w:val="0"/>
              </w:rPr>
              <w:t>denominator</w:t>
            </w:r>
            <w:r w:rsidRPr="009A5185">
              <w:rPr>
                <w:rFonts w:cs="Arial"/>
                <w:snapToGrid w:val="0"/>
              </w:rPr>
              <w:t>)</w:t>
            </w:r>
            <w:r w:rsidR="00EA1E10">
              <w:rPr>
                <w:rFonts w:cs="Arial"/>
                <w:snapToGrid w:val="0"/>
              </w:rPr>
              <w:t>:</w:t>
            </w:r>
          </w:p>
        </w:tc>
        <w:tc>
          <w:tcPr>
            <w:tcW w:w="2909" w:type="dxa"/>
            <w:vAlign w:val="center"/>
          </w:tcPr>
          <w:p w14:paraId="6A4974E9" w14:textId="77777777" w:rsidR="00B40FF1" w:rsidRPr="009A5185" w:rsidRDefault="00B40FF1">
            <w:pPr>
              <w:jc w:val="center"/>
              <w:rPr>
                <w:rFonts w:cs="Arial"/>
                <w:b/>
                <w:snapToGrid w:val="0"/>
                <w:color w:val="000000"/>
              </w:rPr>
            </w:pPr>
          </w:p>
          <w:p w14:paraId="1F16EF01" w14:textId="77777777" w:rsidR="00B40FF1" w:rsidRPr="009A5185" w:rsidRDefault="00B40FF1">
            <w:pPr>
              <w:jc w:val="center"/>
              <w:rPr>
                <w:rFonts w:cs="Arial"/>
                <w:b/>
                <w:snapToGrid w:val="0"/>
                <w:color w:val="000000"/>
              </w:rPr>
            </w:pPr>
            <w:r w:rsidRPr="009A5185">
              <w:rPr>
                <w:rFonts w:cs="Arial"/>
                <w:b/>
                <w:snapToGrid w:val="0"/>
                <w:color w:val="000000"/>
              </w:rPr>
              <w:t>______</w:t>
            </w:r>
          </w:p>
          <w:p w14:paraId="4DDBC378" w14:textId="77777777" w:rsidR="00B40FF1" w:rsidRPr="009A5185" w:rsidRDefault="00B40FF1">
            <w:pPr>
              <w:rPr>
                <w:rFonts w:cs="Arial"/>
                <w:b/>
                <w:snapToGrid w:val="0"/>
                <w:color w:val="000000"/>
              </w:rPr>
            </w:pPr>
          </w:p>
        </w:tc>
      </w:tr>
      <w:tr w:rsidR="00B40FF1" w:rsidRPr="009A5185" w14:paraId="53544452" w14:textId="77777777">
        <w:tc>
          <w:tcPr>
            <w:tcW w:w="6638" w:type="dxa"/>
            <w:vAlign w:val="center"/>
          </w:tcPr>
          <w:p w14:paraId="6463E7A9" w14:textId="1CAA1E29" w:rsidR="00B40FF1" w:rsidRPr="009A5185" w:rsidRDefault="00B40FF1" w:rsidP="00AD309C">
            <w:pPr>
              <w:pStyle w:val="ListParagraph"/>
              <w:numPr>
                <w:ilvl w:val="0"/>
                <w:numId w:val="38"/>
              </w:numPr>
              <w:rPr>
                <w:rFonts w:cs="Arial"/>
                <w:snapToGrid w:val="0"/>
                <w:color w:val="000000"/>
              </w:rPr>
            </w:pPr>
            <w:r>
              <w:rPr>
                <w:rFonts w:cs="Arial"/>
                <w:snapToGrid w:val="0"/>
              </w:rPr>
              <w:t>Number of cases in question #7</w:t>
            </w:r>
            <w:r w:rsidRPr="009A5185">
              <w:rPr>
                <w:rFonts w:cs="Arial"/>
                <w:snapToGrid w:val="0"/>
              </w:rPr>
              <w:t xml:space="preserve"> that </w:t>
            </w:r>
            <w:r w:rsidRPr="009A5185">
              <w:rPr>
                <w:rFonts w:cs="Arial"/>
                <w:snapToGrid w:val="0"/>
                <w:color w:val="000000"/>
              </w:rPr>
              <w:t>adhere to the clinical process guideline (</w:t>
            </w:r>
            <w:r w:rsidRPr="009A5185">
              <w:rPr>
                <w:rFonts w:cs="Arial"/>
                <w:b/>
                <w:snapToGrid w:val="0"/>
                <w:color w:val="000000"/>
              </w:rPr>
              <w:t>numerator</w:t>
            </w:r>
            <w:r w:rsidRPr="009A5185">
              <w:rPr>
                <w:rFonts w:cs="Arial"/>
                <w:snapToGrid w:val="0"/>
                <w:color w:val="000000"/>
              </w:rPr>
              <w:t>)</w:t>
            </w:r>
            <w:r w:rsidR="00EA1E10">
              <w:rPr>
                <w:rFonts w:cs="Arial"/>
                <w:snapToGrid w:val="0"/>
                <w:color w:val="000000"/>
              </w:rPr>
              <w:t>:</w:t>
            </w:r>
          </w:p>
        </w:tc>
        <w:tc>
          <w:tcPr>
            <w:tcW w:w="2909" w:type="dxa"/>
            <w:vAlign w:val="center"/>
          </w:tcPr>
          <w:p w14:paraId="67BB3109" w14:textId="77777777" w:rsidR="00B40FF1" w:rsidRPr="009A5185" w:rsidRDefault="00B40FF1">
            <w:pPr>
              <w:jc w:val="center"/>
              <w:rPr>
                <w:rFonts w:cs="Arial"/>
                <w:b/>
                <w:snapToGrid w:val="0"/>
                <w:color w:val="000000"/>
              </w:rPr>
            </w:pPr>
          </w:p>
          <w:p w14:paraId="135513AB" w14:textId="77777777" w:rsidR="00B40FF1" w:rsidRPr="009A5185" w:rsidRDefault="00B40FF1">
            <w:pPr>
              <w:jc w:val="center"/>
              <w:rPr>
                <w:rFonts w:cs="Arial"/>
                <w:b/>
                <w:snapToGrid w:val="0"/>
                <w:color w:val="000000"/>
              </w:rPr>
            </w:pPr>
            <w:r w:rsidRPr="009A5185">
              <w:rPr>
                <w:rFonts w:cs="Arial"/>
                <w:b/>
                <w:snapToGrid w:val="0"/>
                <w:color w:val="000000"/>
              </w:rPr>
              <w:t>______</w:t>
            </w:r>
          </w:p>
          <w:p w14:paraId="41E04217" w14:textId="77777777" w:rsidR="00B40FF1" w:rsidRPr="009A5185" w:rsidRDefault="00B40FF1">
            <w:pPr>
              <w:jc w:val="center"/>
              <w:rPr>
                <w:rFonts w:cs="Arial"/>
                <w:b/>
                <w:snapToGrid w:val="0"/>
                <w:color w:val="000000"/>
              </w:rPr>
            </w:pPr>
          </w:p>
        </w:tc>
      </w:tr>
      <w:tr w:rsidR="00B40FF1" w:rsidRPr="009A5185" w14:paraId="79EAB34A" w14:textId="77777777" w:rsidTr="0053434E">
        <w:trPr>
          <w:trHeight w:val="576"/>
        </w:trPr>
        <w:tc>
          <w:tcPr>
            <w:tcW w:w="6638" w:type="dxa"/>
            <w:vAlign w:val="center"/>
          </w:tcPr>
          <w:p w14:paraId="62CDE111" w14:textId="77777777" w:rsidR="00B40FF1" w:rsidRPr="009A5185" w:rsidRDefault="00B40FF1" w:rsidP="00AD309C">
            <w:pPr>
              <w:pStyle w:val="ListParagraph"/>
              <w:numPr>
                <w:ilvl w:val="0"/>
                <w:numId w:val="38"/>
              </w:numPr>
              <w:rPr>
                <w:rFonts w:cs="Arial"/>
                <w:snapToGrid w:val="0"/>
                <w:color w:val="000000"/>
              </w:rPr>
            </w:pPr>
            <w:r w:rsidRPr="002D4572">
              <w:rPr>
                <w:rFonts w:cs="Arial"/>
                <w:snapToGrid w:val="0"/>
                <w:color w:val="000000"/>
              </w:rPr>
              <w:t>Do the responses in questions #7 and #8 represent a sample of cases?</w:t>
            </w:r>
            <w:r w:rsidRPr="009A5185">
              <w:rPr>
                <w:rFonts w:cs="Arial"/>
                <w:snapToGrid w:val="0"/>
                <w:color w:val="000000"/>
              </w:rPr>
              <w:t xml:space="preserve"> </w:t>
            </w:r>
          </w:p>
        </w:tc>
        <w:tc>
          <w:tcPr>
            <w:tcW w:w="2909" w:type="dxa"/>
            <w:vAlign w:val="center"/>
          </w:tcPr>
          <w:p w14:paraId="0F403CDE" w14:textId="77777777" w:rsidR="00B40FF1" w:rsidRPr="00A31567" w:rsidRDefault="00B40FF1" w:rsidP="00AD309C">
            <w:pPr>
              <w:pStyle w:val="ListParagraph"/>
              <w:numPr>
                <w:ilvl w:val="0"/>
                <w:numId w:val="295"/>
              </w:numPr>
              <w:rPr>
                <w:rFonts w:cs="Arial"/>
                <w:iCs/>
                <w:snapToGrid w:val="0"/>
                <w:color w:val="000000"/>
              </w:rPr>
            </w:pPr>
            <w:r w:rsidRPr="00A31567">
              <w:rPr>
                <w:rFonts w:cs="Arial"/>
                <w:iCs/>
                <w:snapToGrid w:val="0"/>
                <w:color w:val="000000"/>
              </w:rPr>
              <w:t>Yes</w:t>
            </w:r>
          </w:p>
          <w:p w14:paraId="2E6BD582" w14:textId="77777777" w:rsidR="00B40FF1" w:rsidRPr="00C8246A" w:rsidRDefault="00B40FF1" w:rsidP="00AD309C">
            <w:pPr>
              <w:pStyle w:val="ListParagraph"/>
              <w:numPr>
                <w:ilvl w:val="0"/>
                <w:numId w:val="295"/>
              </w:numPr>
              <w:rPr>
                <w:rFonts w:cs="Arial"/>
                <w:i/>
                <w:snapToGrid w:val="0"/>
                <w:color w:val="000000"/>
              </w:rPr>
            </w:pPr>
            <w:r w:rsidRPr="00A31567">
              <w:rPr>
                <w:rFonts w:cs="Arial"/>
                <w:iCs/>
                <w:snapToGrid w:val="0"/>
                <w:color w:val="000000"/>
              </w:rPr>
              <w:t>No</w:t>
            </w:r>
          </w:p>
        </w:tc>
      </w:tr>
    </w:tbl>
    <w:p w14:paraId="0B70979D" w14:textId="79751F40" w:rsidR="00D902EC" w:rsidRDefault="00B40FF1">
      <w:pPr>
        <w:rPr>
          <w:b/>
          <w:snapToGrid w:val="0"/>
          <w:sz w:val="28"/>
          <w:szCs w:val="24"/>
          <w:u w:val="single"/>
          <w:lang w:eastAsia="ja-JP"/>
        </w:rPr>
      </w:pPr>
      <w:r>
        <w:t xml:space="preserve"> </w:t>
      </w:r>
      <w:r w:rsidR="00D902EC">
        <w:br w:type="page"/>
      </w:r>
    </w:p>
    <w:p w14:paraId="2CE3F204" w14:textId="689B1878" w:rsidR="005E1D5D" w:rsidRDefault="005E1D5D" w:rsidP="00CF5A6E">
      <w:pPr>
        <w:pStyle w:val="Heading2"/>
      </w:pPr>
      <w:bookmarkStart w:id="304" w:name="_Toc225877733"/>
      <w:r>
        <w:t>4</w:t>
      </w:r>
      <w:r w:rsidR="0016658F">
        <w:t>E</w:t>
      </w:r>
      <w:r>
        <w:t>: High-Risk Deliveries</w:t>
      </w:r>
      <w:bookmarkEnd w:id="304"/>
    </w:p>
    <w:p w14:paraId="7CA7A71C" w14:textId="5DD03B68" w:rsidR="005E1D5D" w:rsidRPr="008D20D6" w:rsidRDefault="005E1D5D"/>
    <w:p w14:paraId="5E9C68EE" w14:textId="5C072C37" w:rsidR="005E1D5D" w:rsidRDefault="005E1D5D" w:rsidP="005E1D5D">
      <w:pPr>
        <w:rPr>
          <w:rFonts w:cs="Arial"/>
          <w:snapToGrid w:val="0"/>
        </w:rPr>
      </w:pPr>
      <w:r w:rsidRPr="009A5185">
        <w:rPr>
          <w:rFonts w:cs="Arial"/>
          <w:snapToGrid w:val="0"/>
        </w:rPr>
        <w:t xml:space="preserve">Hospitals that share a </w:t>
      </w:r>
      <w:r>
        <w:rPr>
          <w:rFonts w:cs="Arial"/>
          <w:snapToGrid w:val="0"/>
        </w:rPr>
        <w:t>CMS Certification Number</w:t>
      </w:r>
      <w:r w:rsidRPr="009A5185" w:rsidDel="0057514E">
        <w:rPr>
          <w:rFonts w:cs="Arial"/>
          <w:snapToGrid w:val="0"/>
        </w:rPr>
        <w:t xml:space="preserve"> </w:t>
      </w:r>
      <w:r w:rsidRPr="009A5185">
        <w:rPr>
          <w:rFonts w:cs="Arial"/>
          <w:snapToGrid w:val="0"/>
        </w:rPr>
        <w:t xml:space="preserve">are required to report by facility. Please carefully review </w:t>
      </w:r>
      <w:hyperlink r:id="rId264" w:history="1">
        <w:r w:rsidRPr="009A5185">
          <w:rPr>
            <w:rStyle w:val="Hyperlink"/>
            <w:rFonts w:cs="Arial"/>
            <w:snapToGrid w:val="0"/>
          </w:rPr>
          <w:t>Leapfrog’s Multi-Campus Reporting Policy</w:t>
        </w:r>
      </w:hyperlink>
      <w:r w:rsidRPr="009A5185">
        <w:rPr>
          <w:rFonts w:cs="Arial"/>
          <w:snapToGrid w:val="0"/>
        </w:rPr>
        <w:t>.</w:t>
      </w:r>
    </w:p>
    <w:p w14:paraId="043100DF" w14:textId="77777777" w:rsidR="007C23EA" w:rsidRDefault="007C23EA" w:rsidP="005E1D5D">
      <w:pPr>
        <w:rPr>
          <w:rFonts w:cs="Arial"/>
          <w:snapToGrid w:val="0"/>
        </w:rPr>
      </w:pPr>
    </w:p>
    <w:p w14:paraId="77A4A37A" w14:textId="55992D32" w:rsidR="00B82E07" w:rsidRDefault="007C23EA" w:rsidP="005E1D5D">
      <w:pPr>
        <w:rPr>
          <w:rFonts w:cs="Arial"/>
          <w:snapToGrid w:val="0"/>
        </w:rPr>
      </w:pPr>
      <w:r w:rsidRPr="00873014">
        <w:rPr>
          <w:rFonts w:cs="Arial"/>
          <w:b/>
          <w:snapToGrid w:val="0"/>
          <w:color w:val="FF0000"/>
        </w:rPr>
        <w:t>Important Note:</w:t>
      </w:r>
      <w:r>
        <w:rPr>
          <w:rFonts w:cs="Arial"/>
          <w:b/>
          <w:snapToGrid w:val="0"/>
          <w:color w:val="FF0000"/>
        </w:rPr>
        <w:t xml:space="preserve"> </w:t>
      </w:r>
      <w:r>
        <w:rPr>
          <w:rFonts w:cs="Arial"/>
          <w:snapToGrid w:val="0"/>
        </w:rPr>
        <w:t>Only include units that were open for the entire reporting period and that remain currently open.</w:t>
      </w:r>
    </w:p>
    <w:p w14:paraId="2C3464C2" w14:textId="77777777" w:rsidR="00AA2DEE" w:rsidRDefault="00AA2DEE" w:rsidP="005E1D5D">
      <w:pPr>
        <w:rPr>
          <w:rFonts w:cs="Arial"/>
          <w:snapToGrid w:val="0"/>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38"/>
        <w:gridCol w:w="2430"/>
      </w:tblGrid>
      <w:tr w:rsidR="006E50EF" w:rsidRPr="009A5185" w14:paraId="3D5F53DB" w14:textId="77777777" w:rsidTr="00A31567">
        <w:trPr>
          <w:trHeight w:val="20"/>
        </w:trPr>
        <w:tc>
          <w:tcPr>
            <w:tcW w:w="7038" w:type="dxa"/>
            <w:vAlign w:val="center"/>
          </w:tcPr>
          <w:p w14:paraId="0525CAB2" w14:textId="12291FE7" w:rsidR="006E50EF" w:rsidRPr="00A67E5E" w:rsidRDefault="006E50EF" w:rsidP="00AD309C">
            <w:pPr>
              <w:numPr>
                <w:ilvl w:val="0"/>
                <w:numId w:val="10"/>
              </w:numPr>
              <w:rPr>
                <w:rFonts w:cs="Arial"/>
                <w:snapToGrid w:val="0"/>
                <w:color w:val="000000"/>
              </w:rPr>
            </w:pPr>
            <w:r w:rsidRPr="00A67E5E">
              <w:rPr>
                <w:rFonts w:cs="Arial"/>
                <w:snapToGrid w:val="0"/>
              </w:rPr>
              <w:t>Does your hospital</w:t>
            </w:r>
            <w:r w:rsidR="00C8246A">
              <w:t xml:space="preserve"> </w:t>
            </w:r>
            <w:hyperlink w:anchor="Endnote18_HighRiskDel" w:history="1">
              <w:r w:rsidR="00C8246A" w:rsidRPr="00C8246A">
                <w:rPr>
                  <w:rStyle w:val="Hyperlink"/>
                </w:rPr>
                <w:t>admit high-risk deliveries</w:t>
              </w:r>
            </w:hyperlink>
            <w:r w:rsidR="00BF053F">
              <w:rPr>
                <w:rFonts w:ascii="ZWAdobeF" w:hAnsi="ZWAdobeF" w:cs="ZWAdobeF"/>
                <w:sz w:val="2"/>
                <w:szCs w:val="2"/>
              </w:rPr>
              <w:t>29F</w:t>
            </w:r>
            <w:r w:rsidR="004C7557">
              <w:rPr>
                <w:rFonts w:ascii="ZWAdobeF" w:hAnsi="ZWAdobeF" w:cs="ZWAdobeF"/>
                <w:sz w:val="2"/>
                <w:szCs w:val="2"/>
              </w:rPr>
              <w:t>29F</w:t>
            </w:r>
            <w:r w:rsidR="00C2087D">
              <w:rPr>
                <w:rFonts w:ascii="ZWAdobeF" w:hAnsi="ZWAdobeF" w:cs="ZWAdobeF"/>
                <w:sz w:val="2"/>
                <w:szCs w:val="2"/>
              </w:rPr>
              <w:t>29F</w:t>
            </w:r>
            <w:r w:rsidR="00B55C41">
              <w:rPr>
                <w:rFonts w:ascii="ZWAdobeF" w:hAnsi="ZWAdobeF" w:cs="ZWAdobeF"/>
                <w:sz w:val="2"/>
                <w:szCs w:val="2"/>
              </w:rPr>
              <w:t>29F</w:t>
            </w:r>
            <w:r w:rsidR="006255A6">
              <w:rPr>
                <w:rFonts w:ascii="ZWAdobeF" w:hAnsi="ZWAdobeF" w:cs="ZWAdobeF"/>
                <w:sz w:val="2"/>
                <w:szCs w:val="2"/>
              </w:rPr>
              <w:t>29F</w:t>
            </w:r>
            <w:r w:rsidR="00E453C7">
              <w:rPr>
                <w:rFonts w:ascii="ZWAdobeF" w:hAnsi="ZWAdobeF" w:cs="ZWAdobeF"/>
                <w:sz w:val="2"/>
                <w:szCs w:val="2"/>
              </w:rPr>
              <w:t>29F</w:t>
            </w:r>
            <w:r w:rsidR="00953060">
              <w:rPr>
                <w:rFonts w:ascii="ZWAdobeF" w:hAnsi="ZWAdobeF" w:cs="ZWAdobeF"/>
                <w:sz w:val="2"/>
                <w:szCs w:val="2"/>
              </w:rPr>
              <w:t>29F</w:t>
            </w:r>
            <w:r w:rsidR="00DD04D6">
              <w:rPr>
                <w:rFonts w:ascii="ZWAdobeF" w:hAnsi="ZWAdobeF" w:cs="ZWAdobeF"/>
                <w:sz w:val="2"/>
                <w:szCs w:val="2"/>
              </w:rPr>
              <w:t>29F</w:t>
            </w:r>
            <w:r w:rsidRPr="00A67E5E">
              <w:rPr>
                <w:rStyle w:val="EndnoteReference"/>
                <w:rFonts w:cs="Arial"/>
              </w:rPr>
              <w:endnoteReference w:id="31"/>
            </w:r>
            <w:r w:rsidRPr="00A67E5E">
              <w:rPr>
                <w:rFonts w:cs="Arial"/>
                <w:snapToGrid w:val="0"/>
              </w:rPr>
              <w:t>?</w:t>
            </w:r>
          </w:p>
          <w:p w14:paraId="15DDD300" w14:textId="77777777" w:rsidR="005B447F" w:rsidRPr="00A67E5E" w:rsidRDefault="005B447F" w:rsidP="0064148D">
            <w:pPr>
              <w:ind w:left="360"/>
              <w:rPr>
                <w:rFonts w:cs="Arial"/>
                <w:i/>
                <w:snapToGrid w:val="0"/>
                <w:color w:val="000000"/>
              </w:rPr>
            </w:pPr>
          </w:p>
          <w:p w14:paraId="79F473A6" w14:textId="0BC86066" w:rsidR="006E50EF" w:rsidRPr="00A67E5E" w:rsidRDefault="00166B81" w:rsidP="001216D4">
            <w:pPr>
              <w:ind w:left="360"/>
              <w:rPr>
                <w:rFonts w:cs="Arial"/>
                <w:i/>
                <w:snapToGrid w:val="0"/>
                <w:color w:val="000000"/>
              </w:rPr>
            </w:pPr>
            <w:r w:rsidRPr="00A67E5E">
              <w:rPr>
                <w:rFonts w:cs="Arial"/>
                <w:i/>
                <w:snapToGrid w:val="0"/>
                <w:color w:val="000000"/>
              </w:rPr>
              <w:t>If “no”</w:t>
            </w:r>
            <w:r w:rsidR="00DA6837" w:rsidRPr="00A67E5E">
              <w:rPr>
                <w:rFonts w:cs="Arial"/>
                <w:i/>
                <w:snapToGrid w:val="0"/>
                <w:color w:val="000000"/>
              </w:rPr>
              <w:t xml:space="preserve"> </w:t>
            </w:r>
            <w:r w:rsidR="00DA6837" w:rsidRPr="00377699">
              <w:rPr>
                <w:rFonts w:cs="Arial"/>
                <w:i/>
                <w:snapToGrid w:val="0"/>
                <w:color w:val="000000"/>
              </w:rPr>
              <w:t>or “yes, but only on an emergency basis or when a patient is too unstable for safe transfer,”</w:t>
            </w:r>
            <w:r w:rsidR="001216D4" w:rsidRPr="00A67E5E">
              <w:rPr>
                <w:rFonts w:cs="Arial"/>
                <w:i/>
                <w:snapToGrid w:val="0"/>
                <w:color w:val="000000"/>
              </w:rPr>
              <w:t xml:space="preserve"> </w:t>
            </w:r>
            <w:r w:rsidR="00551848" w:rsidRPr="00A67E5E">
              <w:rPr>
                <w:rFonts w:cs="Arial"/>
                <w:i/>
                <w:snapToGrid w:val="0"/>
              </w:rPr>
              <w:t xml:space="preserve">skip </w:t>
            </w:r>
            <w:r w:rsidR="001216D4" w:rsidRPr="00A67E5E">
              <w:rPr>
                <w:rFonts w:cs="Arial"/>
                <w:i/>
                <w:snapToGrid w:val="0"/>
              </w:rPr>
              <w:t xml:space="preserve">the remaining </w:t>
            </w:r>
            <w:r w:rsidR="00551848" w:rsidRPr="00A67E5E">
              <w:rPr>
                <w:rFonts w:cs="Arial"/>
                <w:i/>
                <w:snapToGrid w:val="0"/>
              </w:rPr>
              <w:t>questions</w:t>
            </w:r>
            <w:r w:rsidR="001216D4" w:rsidRPr="00A67E5E">
              <w:rPr>
                <w:rFonts w:cs="Arial"/>
                <w:i/>
                <w:snapToGrid w:val="0"/>
              </w:rPr>
              <w:t xml:space="preserve"> in Section 4</w:t>
            </w:r>
            <w:r w:rsidR="0016658F">
              <w:rPr>
                <w:rFonts w:cs="Arial"/>
                <w:i/>
                <w:snapToGrid w:val="0"/>
              </w:rPr>
              <w:t>E</w:t>
            </w:r>
            <w:r w:rsidR="00551848" w:rsidRPr="00A67E5E">
              <w:rPr>
                <w:rFonts w:cs="Arial"/>
                <w:i/>
                <w:snapToGrid w:val="0"/>
              </w:rPr>
              <w:t xml:space="preserve">, and </w:t>
            </w:r>
            <w:r w:rsidR="009C0ACF" w:rsidRPr="00A67E5E">
              <w:rPr>
                <w:rFonts w:cs="Arial"/>
                <w:i/>
                <w:snapToGrid w:val="0"/>
              </w:rPr>
              <w:t xml:space="preserve">go </w:t>
            </w:r>
            <w:r w:rsidR="000021BF">
              <w:rPr>
                <w:rFonts w:cs="Arial"/>
                <w:i/>
                <w:snapToGrid w:val="0"/>
              </w:rPr>
              <w:t>to the Affirmation of Accuracy.</w:t>
            </w:r>
            <w:r w:rsidR="00AB0752">
              <w:rPr>
                <w:rFonts w:cs="Arial"/>
                <w:i/>
                <w:snapToGrid w:val="0"/>
              </w:rPr>
              <w:t xml:space="preserve"> The hospital </w:t>
            </w:r>
            <w:r w:rsidR="00567FD1">
              <w:rPr>
                <w:rFonts w:cs="Arial"/>
                <w:i/>
                <w:snapToGrid w:val="0"/>
              </w:rPr>
              <w:t>will be scored as “Does Not Apply.”</w:t>
            </w:r>
          </w:p>
        </w:tc>
        <w:tc>
          <w:tcPr>
            <w:tcW w:w="2430" w:type="dxa"/>
            <w:vAlign w:val="center"/>
          </w:tcPr>
          <w:p w14:paraId="3205A08A" w14:textId="77777777" w:rsidR="006E50EF" w:rsidRPr="00A31567" w:rsidRDefault="006E50EF" w:rsidP="00AD309C">
            <w:pPr>
              <w:pStyle w:val="ListParagraph"/>
              <w:numPr>
                <w:ilvl w:val="0"/>
                <w:numId w:val="340"/>
              </w:numPr>
              <w:rPr>
                <w:rFonts w:cs="Arial"/>
                <w:iCs/>
                <w:snapToGrid w:val="0"/>
              </w:rPr>
            </w:pPr>
            <w:r w:rsidRPr="00A31567">
              <w:rPr>
                <w:rFonts w:cs="Arial"/>
                <w:iCs/>
                <w:snapToGrid w:val="0"/>
              </w:rPr>
              <w:t>Yes</w:t>
            </w:r>
          </w:p>
          <w:p w14:paraId="62E9B823" w14:textId="77777777" w:rsidR="006E50EF" w:rsidRDefault="006E50EF" w:rsidP="00AD309C">
            <w:pPr>
              <w:pStyle w:val="ListParagraph"/>
              <w:numPr>
                <w:ilvl w:val="0"/>
                <w:numId w:val="340"/>
              </w:numPr>
              <w:rPr>
                <w:rFonts w:cs="Arial"/>
                <w:iCs/>
                <w:snapToGrid w:val="0"/>
              </w:rPr>
            </w:pPr>
            <w:r w:rsidRPr="00A31567">
              <w:rPr>
                <w:rFonts w:cs="Arial"/>
                <w:iCs/>
                <w:snapToGrid w:val="0"/>
              </w:rPr>
              <w:t>No</w:t>
            </w:r>
          </w:p>
          <w:p w14:paraId="1CECA414" w14:textId="3B49FBCB" w:rsidR="00783B4C" w:rsidRPr="00A31567" w:rsidRDefault="00783B4C" w:rsidP="00AD309C">
            <w:pPr>
              <w:pStyle w:val="ListParagraph"/>
              <w:numPr>
                <w:ilvl w:val="0"/>
                <w:numId w:val="340"/>
              </w:numPr>
              <w:rPr>
                <w:rFonts w:cs="Arial"/>
                <w:iCs/>
                <w:snapToGrid w:val="0"/>
              </w:rPr>
            </w:pPr>
            <w:r>
              <w:rPr>
                <w:rFonts w:cs="Arial"/>
                <w:iCs/>
                <w:snapToGrid w:val="0"/>
              </w:rPr>
              <w:t>Yes, but only on an emergency basis or when a patient is too unstable for safe transfer</w:t>
            </w:r>
          </w:p>
        </w:tc>
      </w:tr>
      <w:tr w:rsidR="006E50EF" w:rsidRPr="009A5185" w14:paraId="778FB7AD" w14:textId="77777777" w:rsidTr="00A31567">
        <w:trPr>
          <w:trHeight w:val="1296"/>
        </w:trPr>
        <w:tc>
          <w:tcPr>
            <w:tcW w:w="7038" w:type="dxa"/>
            <w:vAlign w:val="center"/>
          </w:tcPr>
          <w:p w14:paraId="0D20C211" w14:textId="406A9945" w:rsidR="005B447F" w:rsidRPr="009A5185" w:rsidRDefault="006E50EF" w:rsidP="00AD309C">
            <w:pPr>
              <w:numPr>
                <w:ilvl w:val="0"/>
                <w:numId w:val="10"/>
              </w:numPr>
              <w:rPr>
                <w:rFonts w:cs="Arial"/>
                <w:snapToGrid w:val="0"/>
              </w:rPr>
            </w:pPr>
            <w:r w:rsidRPr="009A5185">
              <w:rPr>
                <w:rFonts w:cs="Arial"/>
                <w:snapToGrid w:val="0"/>
                <w:color w:val="000000"/>
              </w:rPr>
              <w:t xml:space="preserve">Does your hospital </w:t>
            </w:r>
            <w:r w:rsidRPr="00772AF8">
              <w:rPr>
                <w:rFonts w:cs="Arial"/>
                <w:snapToGrid w:val="0"/>
                <w:color w:val="000000"/>
              </w:rPr>
              <w:t xml:space="preserve">operate a </w:t>
            </w:r>
            <w:r w:rsidR="002A3672">
              <w:rPr>
                <w:rFonts w:cs="Arial"/>
                <w:snapToGrid w:val="0"/>
                <w:color w:val="000000"/>
              </w:rPr>
              <w:t xml:space="preserve">Level II/III, Level III, or Level IV </w:t>
            </w:r>
            <w:r w:rsidRPr="00772AF8">
              <w:rPr>
                <w:rFonts w:cs="Arial"/>
                <w:snapToGrid w:val="0"/>
                <w:color w:val="000000"/>
              </w:rPr>
              <w:t>neonatal ICU</w:t>
            </w:r>
            <w:r w:rsidR="0007539E" w:rsidRPr="00772AF8">
              <w:rPr>
                <w:rFonts w:cs="Arial"/>
                <w:snapToGrid w:val="0"/>
                <w:color w:val="000000"/>
              </w:rPr>
              <w:t xml:space="preserve"> (NICU)</w:t>
            </w:r>
            <w:r w:rsidRPr="00772AF8">
              <w:rPr>
                <w:rFonts w:cs="Arial"/>
                <w:snapToGrid w:val="0"/>
                <w:color w:val="000000"/>
              </w:rPr>
              <w:t xml:space="preserve">, or is it </w:t>
            </w:r>
            <w:hyperlink w:anchor="Endnote19_ColocatedNICU" w:history="1">
              <w:r w:rsidRPr="00772AF8">
                <w:rPr>
                  <w:rStyle w:val="Hyperlink"/>
                  <w:rFonts w:cs="Arial"/>
                  <w:snapToGrid w:val="0"/>
                </w:rPr>
                <w:t>co-located</w:t>
              </w:r>
            </w:hyperlink>
            <w:bookmarkStart w:id="306" w:name="_Ref2332683"/>
            <w:r w:rsidR="000F0582">
              <w:rPr>
                <w:rStyle w:val="Hyperlink"/>
                <w:rFonts w:ascii="ZWAdobeF" w:hAnsi="ZWAdobeF" w:cs="ZWAdobeF"/>
                <w:snapToGrid w:val="0"/>
                <w:color w:val="auto"/>
                <w:sz w:val="2"/>
                <w:szCs w:val="2"/>
                <w:u w:val="none"/>
              </w:rPr>
              <w:t>29F</w:t>
            </w:r>
            <w:bookmarkStart w:id="307" w:name="_Ref134616250"/>
            <w:r w:rsidR="00BF053F">
              <w:rPr>
                <w:rStyle w:val="Hyperlink"/>
                <w:rFonts w:ascii="ZWAdobeF" w:hAnsi="ZWAdobeF" w:cs="ZWAdobeF"/>
                <w:snapToGrid w:val="0"/>
                <w:color w:val="auto"/>
                <w:sz w:val="2"/>
                <w:szCs w:val="2"/>
                <w:u w:val="none"/>
              </w:rPr>
              <w:t>30F</w:t>
            </w:r>
            <w:r w:rsidR="004C7557">
              <w:rPr>
                <w:rStyle w:val="Hyperlink"/>
                <w:rFonts w:ascii="ZWAdobeF" w:hAnsi="ZWAdobeF" w:cs="ZWAdobeF"/>
                <w:snapToGrid w:val="0"/>
                <w:color w:val="auto"/>
                <w:sz w:val="2"/>
                <w:szCs w:val="2"/>
                <w:u w:val="none"/>
              </w:rPr>
              <w:t>30F</w:t>
            </w:r>
            <w:r w:rsidR="00C2087D">
              <w:rPr>
                <w:rStyle w:val="Hyperlink"/>
                <w:rFonts w:ascii="ZWAdobeF" w:hAnsi="ZWAdobeF" w:cs="ZWAdobeF"/>
                <w:snapToGrid w:val="0"/>
                <w:color w:val="auto"/>
                <w:sz w:val="2"/>
                <w:szCs w:val="2"/>
                <w:u w:val="none"/>
              </w:rPr>
              <w:t>30F</w:t>
            </w:r>
            <w:r w:rsidR="00B55C41">
              <w:rPr>
                <w:rStyle w:val="Hyperlink"/>
                <w:rFonts w:ascii="ZWAdobeF" w:hAnsi="ZWAdobeF" w:cs="ZWAdobeF"/>
                <w:snapToGrid w:val="0"/>
                <w:color w:val="auto"/>
                <w:sz w:val="2"/>
                <w:szCs w:val="2"/>
                <w:u w:val="none"/>
              </w:rPr>
              <w:t>30F</w:t>
            </w:r>
            <w:r w:rsidR="006255A6">
              <w:rPr>
                <w:rStyle w:val="Hyperlink"/>
                <w:rFonts w:ascii="ZWAdobeF" w:hAnsi="ZWAdobeF" w:cs="ZWAdobeF"/>
                <w:snapToGrid w:val="0"/>
                <w:color w:val="auto"/>
                <w:sz w:val="2"/>
                <w:szCs w:val="2"/>
                <w:u w:val="none"/>
              </w:rPr>
              <w:t>30F</w:t>
            </w:r>
            <w:r w:rsidR="00E453C7">
              <w:rPr>
                <w:rStyle w:val="Hyperlink"/>
                <w:rFonts w:ascii="ZWAdobeF" w:hAnsi="ZWAdobeF" w:cs="ZWAdobeF"/>
                <w:snapToGrid w:val="0"/>
                <w:color w:val="auto"/>
                <w:sz w:val="2"/>
                <w:szCs w:val="2"/>
                <w:u w:val="none"/>
              </w:rPr>
              <w:t>30F</w:t>
            </w:r>
            <w:r w:rsidR="00953060">
              <w:rPr>
                <w:rStyle w:val="Hyperlink"/>
                <w:rFonts w:ascii="ZWAdobeF" w:hAnsi="ZWAdobeF" w:cs="ZWAdobeF"/>
                <w:snapToGrid w:val="0"/>
                <w:color w:val="auto"/>
                <w:sz w:val="2"/>
                <w:szCs w:val="2"/>
                <w:u w:val="none"/>
              </w:rPr>
              <w:t>30F</w:t>
            </w:r>
            <w:r w:rsidR="00DD04D6">
              <w:rPr>
                <w:rStyle w:val="Hyperlink"/>
                <w:rFonts w:ascii="ZWAdobeF" w:hAnsi="ZWAdobeF" w:cs="ZWAdobeF"/>
                <w:snapToGrid w:val="0"/>
                <w:color w:val="auto"/>
                <w:sz w:val="2"/>
                <w:szCs w:val="2"/>
                <w:u w:val="none"/>
              </w:rPr>
              <w:t>30F</w:t>
            </w:r>
            <w:r w:rsidRPr="00772AF8">
              <w:rPr>
                <w:rStyle w:val="EndnoteReference"/>
                <w:rFonts w:cs="Arial"/>
                <w:snapToGrid w:val="0"/>
                <w:color w:val="000000"/>
              </w:rPr>
              <w:endnoteReference w:id="32"/>
            </w:r>
            <w:bookmarkEnd w:id="306"/>
            <w:bookmarkEnd w:id="307"/>
            <w:r w:rsidRPr="00772AF8">
              <w:rPr>
                <w:rFonts w:cs="Arial"/>
                <w:snapToGrid w:val="0"/>
                <w:color w:val="000000"/>
              </w:rPr>
              <w:t xml:space="preserve"> with a hospital that operates a NICU, that admits or</w:t>
            </w:r>
            <w:r w:rsidRPr="009A5185">
              <w:rPr>
                <w:rFonts w:cs="Arial"/>
                <w:snapToGrid w:val="0"/>
                <w:color w:val="000000"/>
              </w:rPr>
              <w:t xml:space="preserve"> accepts transfers of </w:t>
            </w:r>
            <w:hyperlink w:anchor="Endnote20_VLBW" w:history="1">
              <w:r w:rsidRPr="009A5185">
                <w:rPr>
                  <w:rStyle w:val="Hyperlink"/>
                  <w:rFonts w:cs="Arial"/>
                  <w:snapToGrid w:val="0"/>
                </w:rPr>
                <w:t>very</w:t>
              </w:r>
              <w:r w:rsidR="00D86F2A">
                <w:rPr>
                  <w:rStyle w:val="Hyperlink"/>
                  <w:rFonts w:cs="Arial"/>
                  <w:snapToGrid w:val="0"/>
                </w:rPr>
                <w:t xml:space="preserve"> </w:t>
              </w:r>
              <w:r w:rsidRPr="009A5185">
                <w:rPr>
                  <w:rStyle w:val="Hyperlink"/>
                  <w:rFonts w:cs="Arial"/>
                  <w:snapToGrid w:val="0"/>
                </w:rPr>
                <w:t>low birth</w:t>
              </w:r>
              <w:r w:rsidR="00D86F2A">
                <w:rPr>
                  <w:rStyle w:val="Hyperlink"/>
                  <w:rFonts w:cs="Arial"/>
                  <w:snapToGrid w:val="0"/>
                </w:rPr>
                <w:t xml:space="preserve"> </w:t>
              </w:r>
              <w:r w:rsidRPr="009A5185">
                <w:rPr>
                  <w:rStyle w:val="Hyperlink"/>
                  <w:rFonts w:cs="Arial"/>
                  <w:snapToGrid w:val="0"/>
                </w:rPr>
                <w:t>weight babies</w:t>
              </w:r>
            </w:hyperlink>
            <w:r w:rsidR="000F0582">
              <w:rPr>
                <w:rStyle w:val="Hyperlink"/>
                <w:rFonts w:ascii="ZWAdobeF" w:hAnsi="ZWAdobeF" w:cs="ZWAdobeF"/>
                <w:snapToGrid w:val="0"/>
                <w:color w:val="auto"/>
                <w:sz w:val="2"/>
                <w:szCs w:val="2"/>
                <w:u w:val="none"/>
              </w:rPr>
              <w:t>30F</w:t>
            </w:r>
            <w:bookmarkStart w:id="310" w:name="_Ref153462901"/>
            <w:r w:rsidR="00BF053F">
              <w:rPr>
                <w:rStyle w:val="Hyperlink"/>
                <w:rFonts w:ascii="ZWAdobeF" w:hAnsi="ZWAdobeF" w:cs="ZWAdobeF"/>
                <w:snapToGrid w:val="0"/>
                <w:color w:val="auto"/>
                <w:sz w:val="2"/>
                <w:szCs w:val="2"/>
                <w:u w:val="none"/>
              </w:rPr>
              <w:t>31F</w:t>
            </w:r>
            <w:r w:rsidR="004C7557">
              <w:rPr>
                <w:rStyle w:val="Hyperlink"/>
                <w:rFonts w:ascii="ZWAdobeF" w:hAnsi="ZWAdobeF" w:cs="ZWAdobeF"/>
                <w:snapToGrid w:val="0"/>
                <w:color w:val="auto"/>
                <w:sz w:val="2"/>
                <w:szCs w:val="2"/>
                <w:u w:val="none"/>
              </w:rPr>
              <w:t>31F</w:t>
            </w:r>
            <w:r w:rsidR="00C2087D">
              <w:rPr>
                <w:rStyle w:val="Hyperlink"/>
                <w:rFonts w:ascii="ZWAdobeF" w:hAnsi="ZWAdobeF" w:cs="ZWAdobeF"/>
                <w:snapToGrid w:val="0"/>
                <w:color w:val="auto"/>
                <w:sz w:val="2"/>
                <w:szCs w:val="2"/>
                <w:u w:val="none"/>
              </w:rPr>
              <w:t>31F</w:t>
            </w:r>
            <w:r w:rsidR="00B55C41">
              <w:rPr>
                <w:rStyle w:val="Hyperlink"/>
                <w:rFonts w:ascii="ZWAdobeF" w:hAnsi="ZWAdobeF" w:cs="ZWAdobeF"/>
                <w:snapToGrid w:val="0"/>
                <w:color w:val="auto"/>
                <w:sz w:val="2"/>
                <w:szCs w:val="2"/>
                <w:u w:val="none"/>
              </w:rPr>
              <w:t>31F</w:t>
            </w:r>
            <w:r w:rsidR="006255A6">
              <w:rPr>
                <w:rStyle w:val="Hyperlink"/>
                <w:rFonts w:ascii="ZWAdobeF" w:hAnsi="ZWAdobeF" w:cs="ZWAdobeF"/>
                <w:snapToGrid w:val="0"/>
                <w:color w:val="auto"/>
                <w:sz w:val="2"/>
                <w:szCs w:val="2"/>
                <w:u w:val="none"/>
              </w:rPr>
              <w:t>31F</w:t>
            </w:r>
            <w:r w:rsidR="00E453C7">
              <w:rPr>
                <w:rStyle w:val="Hyperlink"/>
                <w:rFonts w:ascii="ZWAdobeF" w:hAnsi="ZWAdobeF" w:cs="ZWAdobeF"/>
                <w:snapToGrid w:val="0"/>
                <w:color w:val="auto"/>
                <w:sz w:val="2"/>
                <w:szCs w:val="2"/>
                <w:u w:val="none"/>
              </w:rPr>
              <w:t>31F</w:t>
            </w:r>
            <w:r w:rsidR="00953060">
              <w:rPr>
                <w:rStyle w:val="Hyperlink"/>
                <w:rFonts w:ascii="ZWAdobeF" w:hAnsi="ZWAdobeF" w:cs="ZWAdobeF"/>
                <w:snapToGrid w:val="0"/>
                <w:color w:val="auto"/>
                <w:sz w:val="2"/>
                <w:szCs w:val="2"/>
                <w:u w:val="none"/>
              </w:rPr>
              <w:t>31F</w:t>
            </w:r>
            <w:r w:rsidR="00DD04D6">
              <w:rPr>
                <w:rStyle w:val="Hyperlink"/>
                <w:rFonts w:ascii="ZWAdobeF" w:hAnsi="ZWAdobeF" w:cs="ZWAdobeF"/>
                <w:snapToGrid w:val="0"/>
                <w:color w:val="auto"/>
                <w:sz w:val="2"/>
                <w:szCs w:val="2"/>
                <w:u w:val="none"/>
              </w:rPr>
              <w:t>31F</w:t>
            </w:r>
            <w:r w:rsidRPr="009A5185">
              <w:rPr>
                <w:rStyle w:val="EndnoteReference"/>
                <w:rFonts w:cs="Arial"/>
                <w:snapToGrid w:val="0"/>
                <w:color w:val="000000"/>
              </w:rPr>
              <w:endnoteReference w:id="33"/>
            </w:r>
            <w:bookmarkEnd w:id="310"/>
            <w:r w:rsidRPr="009A5185">
              <w:rPr>
                <w:rFonts w:cs="Arial"/>
                <w:snapToGrid w:val="0"/>
                <w:color w:val="000000"/>
              </w:rPr>
              <w:t>?</w:t>
            </w:r>
            <w:r w:rsidRPr="009A5185">
              <w:rPr>
                <w:rFonts w:cs="Arial"/>
                <w:snapToGrid w:val="0"/>
                <w:color w:val="000000"/>
              </w:rPr>
              <w:br/>
              <w:t xml:space="preserve"> </w:t>
            </w:r>
          </w:p>
          <w:p w14:paraId="6F593688" w14:textId="67C75CA6" w:rsidR="006934A3" w:rsidRDefault="00166B81" w:rsidP="006521E6">
            <w:pPr>
              <w:ind w:left="360"/>
              <w:rPr>
                <w:rFonts w:cs="Arial"/>
                <w:i/>
                <w:snapToGrid w:val="0"/>
                <w:color w:val="000000"/>
              </w:rPr>
            </w:pPr>
            <w:r w:rsidRPr="00310F7C">
              <w:rPr>
                <w:rFonts w:cs="Arial"/>
                <w:i/>
                <w:snapToGrid w:val="0"/>
                <w:color w:val="000000"/>
              </w:rPr>
              <w:t>If “no”</w:t>
            </w:r>
            <w:r w:rsidR="006521E6" w:rsidRPr="00310F7C">
              <w:rPr>
                <w:rFonts w:cs="Arial"/>
                <w:i/>
                <w:snapToGrid w:val="0"/>
                <w:color w:val="000000"/>
              </w:rPr>
              <w:t xml:space="preserve"> to question #2,</w:t>
            </w:r>
            <w:r w:rsidR="00AA655F" w:rsidRPr="00310F7C">
              <w:rPr>
                <w:rFonts w:cs="Arial"/>
                <w:i/>
                <w:snapToGrid w:val="0"/>
                <w:color w:val="000000"/>
              </w:rPr>
              <w:t xml:space="preserve"> </w:t>
            </w:r>
            <w:r w:rsidR="00D06E9F" w:rsidRPr="00310F7C">
              <w:rPr>
                <w:rFonts w:cs="Arial"/>
                <w:i/>
                <w:snapToGrid w:val="0"/>
                <w:color w:val="000000"/>
              </w:rPr>
              <w:t xml:space="preserve">skip </w:t>
            </w:r>
            <w:r w:rsidR="00BE1D22">
              <w:rPr>
                <w:rFonts w:cs="Arial"/>
                <w:i/>
                <w:snapToGrid w:val="0"/>
                <w:color w:val="000000"/>
              </w:rPr>
              <w:t xml:space="preserve">the remaining </w:t>
            </w:r>
            <w:r w:rsidR="00D06E9F" w:rsidRPr="00310F7C">
              <w:rPr>
                <w:rFonts w:cs="Arial"/>
                <w:i/>
                <w:snapToGrid w:val="0"/>
                <w:color w:val="000000"/>
              </w:rPr>
              <w:t>questions</w:t>
            </w:r>
            <w:r w:rsidR="00BE1D22">
              <w:rPr>
                <w:rFonts w:cs="Arial"/>
                <w:i/>
                <w:snapToGrid w:val="0"/>
                <w:color w:val="000000"/>
              </w:rPr>
              <w:t xml:space="preserve"> in Section 4</w:t>
            </w:r>
            <w:r w:rsidR="0016658F">
              <w:rPr>
                <w:rFonts w:cs="Arial"/>
                <w:i/>
                <w:snapToGrid w:val="0"/>
                <w:color w:val="000000"/>
              </w:rPr>
              <w:t>E</w:t>
            </w:r>
            <w:r w:rsidR="00BE1D22">
              <w:rPr>
                <w:rFonts w:cs="Arial"/>
                <w:i/>
                <w:snapToGrid w:val="0"/>
                <w:color w:val="000000"/>
              </w:rPr>
              <w:t>,</w:t>
            </w:r>
            <w:r w:rsidR="009B136D">
              <w:rPr>
                <w:rFonts w:cs="Arial"/>
                <w:i/>
                <w:snapToGrid w:val="0"/>
                <w:color w:val="000000"/>
              </w:rPr>
              <w:t xml:space="preserve"> </w:t>
            </w:r>
            <w:r w:rsidR="00BE1D22">
              <w:rPr>
                <w:rFonts w:cs="Arial"/>
                <w:i/>
                <w:snapToGrid w:val="0"/>
                <w:color w:val="000000"/>
              </w:rPr>
              <w:t>and go to the Affirmation of Accuracy</w:t>
            </w:r>
            <w:r w:rsidR="006E50EF" w:rsidRPr="00310F7C">
              <w:rPr>
                <w:rFonts w:cs="Arial"/>
                <w:i/>
                <w:snapToGrid w:val="0"/>
                <w:color w:val="000000"/>
              </w:rPr>
              <w:t>.</w:t>
            </w:r>
            <w:r w:rsidR="006934A3">
              <w:rPr>
                <w:rFonts w:cs="Arial"/>
                <w:i/>
                <w:snapToGrid w:val="0"/>
                <w:color w:val="000000"/>
              </w:rPr>
              <w:t xml:space="preserve"> </w:t>
            </w:r>
            <w:r w:rsidR="006934A3" w:rsidRPr="00F61E74">
              <w:rPr>
                <w:rFonts w:cs="Arial"/>
                <w:i/>
              </w:rPr>
              <w:t>The hospital will be scored as “Limited Achievement.”</w:t>
            </w:r>
            <w:r w:rsidR="009F1739" w:rsidRPr="00310F7C">
              <w:rPr>
                <w:rFonts w:cs="Arial"/>
                <w:i/>
                <w:snapToGrid w:val="0"/>
                <w:color w:val="000000"/>
              </w:rPr>
              <w:t xml:space="preserve"> </w:t>
            </w:r>
          </w:p>
          <w:p w14:paraId="7E6B973A" w14:textId="77777777" w:rsidR="006934A3" w:rsidRDefault="006934A3" w:rsidP="006521E6">
            <w:pPr>
              <w:ind w:left="360"/>
              <w:rPr>
                <w:rFonts w:cs="Arial"/>
                <w:i/>
                <w:snapToGrid w:val="0"/>
                <w:color w:val="000000"/>
              </w:rPr>
            </w:pPr>
          </w:p>
          <w:p w14:paraId="3CC1C0EC" w14:textId="026680EE" w:rsidR="006E50EF" w:rsidRPr="009A5185" w:rsidRDefault="006E50EF" w:rsidP="006521E6">
            <w:pPr>
              <w:ind w:left="360"/>
              <w:rPr>
                <w:rFonts w:cs="Arial"/>
                <w:snapToGrid w:val="0"/>
              </w:rPr>
            </w:pPr>
            <w:r w:rsidRPr="00310F7C">
              <w:rPr>
                <w:rFonts w:cs="Arial"/>
                <w:i/>
                <w:snapToGrid w:val="0"/>
                <w:color w:val="000000"/>
              </w:rPr>
              <w:t>If the NICU is co-located in another hospital and your hospital immediately transfers all complicated ne</w:t>
            </w:r>
            <w:r w:rsidR="00AA655F" w:rsidRPr="00310F7C">
              <w:rPr>
                <w:rFonts w:cs="Arial"/>
                <w:i/>
                <w:snapToGrid w:val="0"/>
                <w:color w:val="000000"/>
              </w:rPr>
              <w:t>wborns there, answer q</w:t>
            </w:r>
            <w:r w:rsidRPr="00310F7C">
              <w:rPr>
                <w:rFonts w:cs="Arial"/>
                <w:i/>
                <w:snapToGrid w:val="0"/>
                <w:color w:val="000000"/>
              </w:rPr>
              <w:t xml:space="preserve">uestion </w:t>
            </w:r>
            <w:r w:rsidR="003C672D" w:rsidRPr="00310F7C">
              <w:rPr>
                <w:rFonts w:cs="Arial"/>
                <w:i/>
                <w:snapToGrid w:val="0"/>
                <w:color w:val="000000"/>
              </w:rPr>
              <w:t>#</w:t>
            </w:r>
            <w:r w:rsidRPr="00310F7C">
              <w:rPr>
                <w:rFonts w:cs="Arial"/>
                <w:i/>
                <w:snapToGrid w:val="0"/>
                <w:color w:val="000000"/>
              </w:rPr>
              <w:t>3</w:t>
            </w:r>
            <w:r w:rsidR="00AA655F" w:rsidRPr="00310F7C">
              <w:rPr>
                <w:rFonts w:cs="Arial"/>
                <w:i/>
                <w:snapToGrid w:val="0"/>
                <w:color w:val="000000"/>
              </w:rPr>
              <w:t xml:space="preserve"> and either </w:t>
            </w:r>
            <w:r w:rsidR="00C1036F" w:rsidRPr="00310F7C">
              <w:rPr>
                <w:rFonts w:cs="Arial"/>
                <w:i/>
                <w:snapToGrid w:val="0"/>
                <w:color w:val="000000"/>
              </w:rPr>
              <w:t xml:space="preserve">questions </w:t>
            </w:r>
            <w:r w:rsidR="003C672D" w:rsidRPr="00310F7C">
              <w:rPr>
                <w:rFonts w:cs="Arial"/>
                <w:i/>
                <w:snapToGrid w:val="0"/>
                <w:color w:val="000000"/>
              </w:rPr>
              <w:t>#</w:t>
            </w:r>
            <w:r w:rsidR="00AA655F" w:rsidRPr="00310F7C">
              <w:rPr>
                <w:rFonts w:cs="Arial"/>
                <w:i/>
                <w:snapToGrid w:val="0"/>
                <w:color w:val="000000"/>
              </w:rPr>
              <w:t xml:space="preserve">4-5 or </w:t>
            </w:r>
            <w:r w:rsidR="003C672D" w:rsidRPr="00310F7C">
              <w:rPr>
                <w:rFonts w:cs="Arial"/>
                <w:i/>
                <w:snapToGrid w:val="0"/>
                <w:color w:val="000000"/>
              </w:rPr>
              <w:t>#</w:t>
            </w:r>
            <w:r w:rsidR="00AA655F" w:rsidRPr="00310F7C">
              <w:rPr>
                <w:rFonts w:cs="Arial"/>
                <w:i/>
                <w:snapToGrid w:val="0"/>
                <w:color w:val="000000"/>
              </w:rPr>
              <w:t>6-1</w:t>
            </w:r>
            <w:r w:rsidR="00540907">
              <w:rPr>
                <w:rFonts w:cs="Arial"/>
                <w:i/>
                <w:snapToGrid w:val="0"/>
                <w:color w:val="000000"/>
              </w:rPr>
              <w:t>0</w:t>
            </w:r>
            <w:r w:rsidRPr="00310F7C">
              <w:rPr>
                <w:rFonts w:cs="Arial"/>
                <w:i/>
                <w:snapToGrid w:val="0"/>
                <w:color w:val="000000"/>
              </w:rPr>
              <w:t xml:space="preserve"> based on information pertaining to the co-located hospital’s NICU.</w:t>
            </w:r>
          </w:p>
        </w:tc>
        <w:tc>
          <w:tcPr>
            <w:tcW w:w="2430" w:type="dxa"/>
            <w:vAlign w:val="center"/>
          </w:tcPr>
          <w:p w14:paraId="7012E0CB" w14:textId="77777777" w:rsidR="006E50EF" w:rsidRPr="00A31567" w:rsidRDefault="006E50EF" w:rsidP="00AD309C">
            <w:pPr>
              <w:pStyle w:val="ListParagraph"/>
              <w:numPr>
                <w:ilvl w:val="0"/>
                <w:numId w:val="340"/>
              </w:numPr>
              <w:rPr>
                <w:rFonts w:cs="Arial"/>
                <w:iCs/>
                <w:snapToGrid w:val="0"/>
              </w:rPr>
            </w:pPr>
            <w:r w:rsidRPr="00A31567">
              <w:rPr>
                <w:rFonts w:cs="Arial"/>
                <w:iCs/>
                <w:snapToGrid w:val="0"/>
              </w:rPr>
              <w:t>Yes</w:t>
            </w:r>
          </w:p>
          <w:p w14:paraId="1F46BB64" w14:textId="77777777" w:rsidR="006E50EF" w:rsidRPr="00A31567" w:rsidRDefault="006E50EF" w:rsidP="00AD309C">
            <w:pPr>
              <w:pStyle w:val="ListParagraph"/>
              <w:numPr>
                <w:ilvl w:val="0"/>
                <w:numId w:val="340"/>
              </w:numPr>
              <w:rPr>
                <w:rFonts w:cs="Arial"/>
                <w:iCs/>
                <w:snapToGrid w:val="0"/>
              </w:rPr>
            </w:pPr>
            <w:r w:rsidRPr="00A31567">
              <w:rPr>
                <w:rFonts w:cs="Arial"/>
                <w:iCs/>
                <w:snapToGrid w:val="0"/>
              </w:rPr>
              <w:t>No</w:t>
            </w:r>
          </w:p>
        </w:tc>
      </w:tr>
      <w:tr w:rsidR="006E50EF" w:rsidRPr="009A5185" w14:paraId="433E6427" w14:textId="77777777" w:rsidTr="00A31567">
        <w:trPr>
          <w:trHeight w:val="3312"/>
        </w:trPr>
        <w:tc>
          <w:tcPr>
            <w:tcW w:w="7038" w:type="dxa"/>
            <w:vAlign w:val="center"/>
          </w:tcPr>
          <w:p w14:paraId="25D7E7C7" w14:textId="77777777" w:rsidR="0053434E" w:rsidRDefault="006E50EF" w:rsidP="00AD309C">
            <w:pPr>
              <w:numPr>
                <w:ilvl w:val="0"/>
                <w:numId w:val="10"/>
              </w:numPr>
              <w:rPr>
                <w:rFonts w:cs="Arial"/>
                <w:snapToGrid w:val="0"/>
                <w:color w:val="000000"/>
              </w:rPr>
            </w:pPr>
            <w:r w:rsidRPr="009A5185">
              <w:rPr>
                <w:rFonts w:cs="Arial"/>
                <w:snapToGrid w:val="0"/>
                <w:color w:val="000000"/>
              </w:rPr>
              <w:t>Hospitals that participate in t</w:t>
            </w:r>
            <w:r w:rsidR="0064148D" w:rsidRPr="009A5185">
              <w:rPr>
                <w:rFonts w:cs="Arial"/>
                <w:snapToGrid w:val="0"/>
                <w:color w:val="000000"/>
              </w:rPr>
              <w:t>he Vermont Oxford Network (VON)</w:t>
            </w:r>
            <w:r w:rsidRPr="009A5185">
              <w:rPr>
                <w:rFonts w:cs="Arial"/>
                <w:snapToGrid w:val="0"/>
                <w:color w:val="000000"/>
              </w:rPr>
              <w:t xml:space="preserve"> and have a recent 12-mo</w:t>
            </w:r>
            <w:r w:rsidR="0064148D" w:rsidRPr="009A5185">
              <w:rPr>
                <w:rFonts w:cs="Arial"/>
                <w:snapToGrid w:val="0"/>
                <w:color w:val="000000"/>
              </w:rPr>
              <w:t>nth report available</w:t>
            </w:r>
            <w:r w:rsidRPr="009A5185">
              <w:rPr>
                <w:rFonts w:cs="Arial"/>
                <w:snapToGrid w:val="0"/>
                <w:color w:val="000000"/>
              </w:rPr>
              <w:t xml:space="preserve"> may elect to report </w:t>
            </w:r>
            <w:r w:rsidR="00760891" w:rsidRPr="009A5185">
              <w:rPr>
                <w:rFonts w:cs="Arial"/>
                <w:snapToGrid w:val="0"/>
                <w:color w:val="000000"/>
              </w:rPr>
              <w:t>their</w:t>
            </w:r>
            <w:r w:rsidR="000E476A" w:rsidRPr="009A5185">
              <w:rPr>
                <w:rFonts w:cs="Arial"/>
                <w:snapToGrid w:val="0"/>
                <w:color w:val="000000"/>
              </w:rPr>
              <w:t xml:space="preserve"> </w:t>
            </w:r>
            <w:r w:rsidR="00261D05">
              <w:rPr>
                <w:rFonts w:cs="Arial"/>
                <w:snapToGrid w:val="0"/>
                <w:color w:val="000000"/>
              </w:rPr>
              <w:t>hospital</w:t>
            </w:r>
            <w:r w:rsidR="000E476A" w:rsidRPr="009A5185">
              <w:rPr>
                <w:rFonts w:cs="Arial"/>
                <w:snapToGrid w:val="0"/>
                <w:color w:val="000000"/>
              </w:rPr>
              <w:t xml:space="preserve">’s Volume (questions </w:t>
            </w:r>
            <w:r w:rsidR="005C2B38" w:rsidRPr="009A5185">
              <w:rPr>
                <w:rFonts w:cs="Arial"/>
                <w:snapToGrid w:val="0"/>
                <w:color w:val="000000"/>
              </w:rPr>
              <w:t>#</w:t>
            </w:r>
            <w:r w:rsidR="000E476A" w:rsidRPr="009A5185">
              <w:rPr>
                <w:rFonts w:cs="Arial"/>
                <w:snapToGrid w:val="0"/>
                <w:color w:val="000000"/>
              </w:rPr>
              <w:t>4-5</w:t>
            </w:r>
            <w:r w:rsidRPr="009A5185">
              <w:rPr>
                <w:rFonts w:cs="Arial"/>
                <w:snapToGrid w:val="0"/>
                <w:color w:val="000000"/>
              </w:rPr>
              <w:t xml:space="preserve">) </w:t>
            </w:r>
          </w:p>
          <w:p w14:paraId="68872028" w14:textId="77777777" w:rsidR="0053434E" w:rsidRDefault="00B86317" w:rsidP="0053434E">
            <w:pPr>
              <w:ind w:left="360"/>
              <w:rPr>
                <w:rFonts w:cs="Arial"/>
                <w:b/>
                <w:snapToGrid w:val="0"/>
                <w:color w:val="000000"/>
              </w:rPr>
            </w:pPr>
            <w:r w:rsidRPr="009A5185">
              <w:rPr>
                <w:rFonts w:cs="Arial"/>
                <w:snapToGrid w:val="0"/>
                <w:color w:val="000000"/>
              </w:rPr>
              <w:br/>
            </w:r>
            <w:r w:rsidR="006E50EF" w:rsidRPr="009A5185">
              <w:rPr>
                <w:rFonts w:cs="Arial"/>
                <w:b/>
                <w:snapToGrid w:val="0"/>
                <w:color w:val="000000"/>
              </w:rPr>
              <w:t>OR</w:t>
            </w:r>
          </w:p>
          <w:p w14:paraId="5F866B92" w14:textId="41BF720C" w:rsidR="00B86317" w:rsidRPr="009A5185" w:rsidRDefault="006E50EF" w:rsidP="0053434E">
            <w:pPr>
              <w:ind w:left="360"/>
              <w:rPr>
                <w:rFonts w:cs="Arial"/>
                <w:snapToGrid w:val="0"/>
                <w:color w:val="000000"/>
              </w:rPr>
            </w:pPr>
            <w:r w:rsidRPr="009A5185">
              <w:rPr>
                <w:rFonts w:cs="Arial"/>
                <w:snapToGrid w:val="0"/>
                <w:color w:val="000000"/>
              </w:rPr>
              <w:t xml:space="preserve"> </w:t>
            </w:r>
          </w:p>
          <w:p w14:paraId="42D9A677" w14:textId="5486BBF0" w:rsidR="00AA6B62" w:rsidRPr="009A5185" w:rsidRDefault="006E50EF" w:rsidP="0064148D">
            <w:pPr>
              <w:ind w:left="360"/>
              <w:rPr>
                <w:rFonts w:cs="Arial"/>
                <w:snapToGrid w:val="0"/>
                <w:color w:val="000000"/>
              </w:rPr>
            </w:pPr>
            <w:r w:rsidRPr="009A5185">
              <w:rPr>
                <w:rFonts w:cs="Arial"/>
                <w:snapToGrid w:val="0"/>
                <w:color w:val="000000"/>
              </w:rPr>
              <w:t xml:space="preserve">the </w:t>
            </w:r>
            <w:hyperlink w:anchor="Endnote21_VON" w:history="1">
              <w:r w:rsidRPr="009A5185">
                <w:rPr>
                  <w:rStyle w:val="Hyperlink"/>
                  <w:rFonts w:cs="Arial"/>
                  <w:snapToGrid w:val="0"/>
                </w:rPr>
                <w:t xml:space="preserve">VON’s Death or </w:t>
              </w:r>
              <w:r w:rsidR="00D36961" w:rsidRPr="009A5185">
                <w:rPr>
                  <w:rStyle w:val="Hyperlink"/>
                  <w:rFonts w:cs="Arial"/>
                  <w:snapToGrid w:val="0"/>
                </w:rPr>
                <w:t>Morbidity Measure</w:t>
              </w:r>
            </w:hyperlink>
            <w:r w:rsidR="000F0582">
              <w:rPr>
                <w:rStyle w:val="Hyperlink"/>
                <w:rFonts w:ascii="ZWAdobeF" w:hAnsi="ZWAdobeF" w:cs="ZWAdobeF"/>
                <w:snapToGrid w:val="0"/>
                <w:color w:val="auto"/>
                <w:sz w:val="2"/>
                <w:szCs w:val="2"/>
                <w:u w:val="none"/>
              </w:rPr>
              <w:t>31F</w:t>
            </w:r>
            <w:r w:rsidR="00BF053F">
              <w:rPr>
                <w:rStyle w:val="Hyperlink"/>
                <w:rFonts w:ascii="ZWAdobeF" w:hAnsi="ZWAdobeF" w:cs="ZWAdobeF"/>
                <w:snapToGrid w:val="0"/>
                <w:color w:val="auto"/>
                <w:sz w:val="2"/>
                <w:szCs w:val="2"/>
                <w:u w:val="none"/>
              </w:rPr>
              <w:t>32F</w:t>
            </w:r>
            <w:r w:rsidR="004C7557">
              <w:rPr>
                <w:rStyle w:val="Hyperlink"/>
                <w:rFonts w:ascii="ZWAdobeF" w:hAnsi="ZWAdobeF" w:cs="ZWAdobeF"/>
                <w:snapToGrid w:val="0"/>
                <w:color w:val="auto"/>
                <w:sz w:val="2"/>
                <w:szCs w:val="2"/>
                <w:u w:val="none"/>
              </w:rPr>
              <w:t>32F</w:t>
            </w:r>
            <w:r w:rsidR="00C2087D">
              <w:rPr>
                <w:rStyle w:val="Hyperlink"/>
                <w:rFonts w:ascii="ZWAdobeF" w:hAnsi="ZWAdobeF" w:cs="ZWAdobeF"/>
                <w:snapToGrid w:val="0"/>
                <w:color w:val="auto"/>
                <w:sz w:val="2"/>
                <w:szCs w:val="2"/>
                <w:u w:val="none"/>
              </w:rPr>
              <w:t>32F</w:t>
            </w:r>
            <w:r w:rsidR="00B55C41">
              <w:rPr>
                <w:rStyle w:val="Hyperlink"/>
                <w:rFonts w:ascii="ZWAdobeF" w:hAnsi="ZWAdobeF" w:cs="ZWAdobeF"/>
                <w:snapToGrid w:val="0"/>
                <w:color w:val="auto"/>
                <w:sz w:val="2"/>
                <w:szCs w:val="2"/>
                <w:u w:val="none"/>
              </w:rPr>
              <w:t>32F</w:t>
            </w:r>
            <w:r w:rsidR="006255A6">
              <w:rPr>
                <w:rStyle w:val="Hyperlink"/>
                <w:rFonts w:ascii="ZWAdobeF" w:hAnsi="ZWAdobeF" w:cs="ZWAdobeF"/>
                <w:snapToGrid w:val="0"/>
                <w:color w:val="auto"/>
                <w:sz w:val="2"/>
                <w:szCs w:val="2"/>
                <w:u w:val="none"/>
              </w:rPr>
              <w:t>32F</w:t>
            </w:r>
            <w:r w:rsidR="00E453C7">
              <w:rPr>
                <w:rStyle w:val="Hyperlink"/>
                <w:rFonts w:ascii="ZWAdobeF" w:hAnsi="ZWAdobeF" w:cs="ZWAdobeF"/>
                <w:snapToGrid w:val="0"/>
                <w:color w:val="auto"/>
                <w:sz w:val="2"/>
                <w:szCs w:val="2"/>
                <w:u w:val="none"/>
              </w:rPr>
              <w:t>32F</w:t>
            </w:r>
            <w:r w:rsidR="00953060">
              <w:rPr>
                <w:rStyle w:val="Hyperlink"/>
                <w:rFonts w:ascii="ZWAdobeF" w:hAnsi="ZWAdobeF" w:cs="ZWAdobeF"/>
                <w:snapToGrid w:val="0"/>
                <w:color w:val="auto"/>
                <w:sz w:val="2"/>
                <w:szCs w:val="2"/>
                <w:u w:val="none"/>
              </w:rPr>
              <w:t>32F</w:t>
            </w:r>
            <w:r w:rsidR="00DD04D6">
              <w:rPr>
                <w:rStyle w:val="Hyperlink"/>
                <w:rFonts w:ascii="ZWAdobeF" w:hAnsi="ZWAdobeF" w:cs="ZWAdobeF"/>
                <w:snapToGrid w:val="0"/>
                <w:color w:val="auto"/>
                <w:sz w:val="2"/>
                <w:szCs w:val="2"/>
                <w:u w:val="none"/>
              </w:rPr>
              <w:t>32F</w:t>
            </w:r>
            <w:r w:rsidR="00C02EB3" w:rsidRPr="009A5185">
              <w:rPr>
                <w:rStyle w:val="EndnoteReference"/>
                <w:rFonts w:cs="Arial"/>
                <w:snapToGrid w:val="0"/>
                <w:color w:val="000000"/>
              </w:rPr>
              <w:endnoteReference w:id="34"/>
            </w:r>
            <w:r w:rsidR="00C02EB3" w:rsidRPr="009A5185">
              <w:rPr>
                <w:rFonts w:cs="Arial"/>
                <w:snapToGrid w:val="0"/>
                <w:color w:val="000000"/>
              </w:rPr>
              <w:t xml:space="preserve"> </w:t>
            </w:r>
            <w:r w:rsidR="00AA655F" w:rsidRPr="009A5185">
              <w:rPr>
                <w:rFonts w:cs="Arial"/>
                <w:snapToGrid w:val="0"/>
                <w:color w:val="000000"/>
              </w:rPr>
              <w:t xml:space="preserve">(questions </w:t>
            </w:r>
            <w:r w:rsidR="005C2B38" w:rsidRPr="009A5185">
              <w:rPr>
                <w:rFonts w:cs="Arial"/>
                <w:snapToGrid w:val="0"/>
                <w:color w:val="000000"/>
              </w:rPr>
              <w:t>#</w:t>
            </w:r>
            <w:r w:rsidR="000E476A" w:rsidRPr="009A5185">
              <w:rPr>
                <w:rFonts w:cs="Arial"/>
                <w:snapToGrid w:val="0"/>
                <w:color w:val="000000"/>
              </w:rPr>
              <w:t>6-1</w:t>
            </w:r>
            <w:r w:rsidR="00540907">
              <w:rPr>
                <w:rFonts w:cs="Arial"/>
                <w:snapToGrid w:val="0"/>
                <w:color w:val="000000"/>
              </w:rPr>
              <w:t>0</w:t>
            </w:r>
            <w:r w:rsidRPr="009A5185">
              <w:rPr>
                <w:rFonts w:cs="Arial"/>
                <w:snapToGrid w:val="0"/>
                <w:color w:val="000000"/>
              </w:rPr>
              <w:t xml:space="preserve">). </w:t>
            </w:r>
          </w:p>
          <w:p w14:paraId="32D408AF" w14:textId="77777777" w:rsidR="00AA6B62" w:rsidRPr="009A5185" w:rsidRDefault="00AA6B62" w:rsidP="0064148D">
            <w:pPr>
              <w:ind w:left="360"/>
              <w:rPr>
                <w:rFonts w:cs="Arial"/>
                <w:snapToGrid w:val="0"/>
                <w:color w:val="000000"/>
              </w:rPr>
            </w:pPr>
          </w:p>
          <w:p w14:paraId="0B5DF92B" w14:textId="7929EF69" w:rsidR="00C015B2" w:rsidRPr="009A5185" w:rsidRDefault="006E50EF" w:rsidP="0064148D">
            <w:pPr>
              <w:ind w:left="360"/>
              <w:rPr>
                <w:rFonts w:cs="Arial"/>
                <w:snapToGrid w:val="0"/>
                <w:color w:val="000000"/>
              </w:rPr>
            </w:pPr>
            <w:r w:rsidRPr="009A5185">
              <w:rPr>
                <w:rFonts w:cs="Arial"/>
                <w:snapToGrid w:val="0"/>
                <w:color w:val="000000"/>
              </w:rPr>
              <w:t xml:space="preserve">Hospitals that do not participate in the </w:t>
            </w:r>
            <w:r w:rsidR="00AA6B62" w:rsidRPr="009A5185">
              <w:rPr>
                <w:rFonts w:cs="Arial"/>
                <w:snapToGrid w:val="0"/>
                <w:color w:val="000000"/>
              </w:rPr>
              <w:t xml:space="preserve">Vermont Oxford Network should </w:t>
            </w:r>
            <w:r w:rsidR="00B86317" w:rsidRPr="009A5185">
              <w:rPr>
                <w:rFonts w:cs="Arial"/>
                <w:snapToGrid w:val="0"/>
                <w:color w:val="000000"/>
              </w:rPr>
              <w:t>report</w:t>
            </w:r>
            <w:r w:rsidR="00AA6B62" w:rsidRPr="009A5185">
              <w:rPr>
                <w:rFonts w:cs="Arial"/>
                <w:snapToGrid w:val="0"/>
                <w:color w:val="000000"/>
              </w:rPr>
              <w:t xml:space="preserve"> </w:t>
            </w:r>
            <w:r w:rsidR="00760891" w:rsidRPr="009A5185">
              <w:rPr>
                <w:rFonts w:cs="Arial"/>
                <w:snapToGrid w:val="0"/>
                <w:color w:val="000000"/>
              </w:rPr>
              <w:t>their</w:t>
            </w:r>
            <w:r w:rsidR="00AA6B62" w:rsidRPr="009A5185">
              <w:rPr>
                <w:rFonts w:cs="Arial"/>
                <w:snapToGrid w:val="0"/>
                <w:color w:val="000000"/>
              </w:rPr>
              <w:t xml:space="preserve"> </w:t>
            </w:r>
            <w:r w:rsidR="00261D05">
              <w:rPr>
                <w:rFonts w:cs="Arial"/>
                <w:snapToGrid w:val="0"/>
                <w:color w:val="000000"/>
              </w:rPr>
              <w:t>hospital</w:t>
            </w:r>
            <w:r w:rsidR="00AA6B62" w:rsidRPr="009A5185">
              <w:rPr>
                <w:rFonts w:cs="Arial"/>
                <w:snapToGrid w:val="0"/>
                <w:color w:val="000000"/>
              </w:rPr>
              <w:t>’s Volume</w:t>
            </w:r>
            <w:r w:rsidR="00B86317" w:rsidRPr="009A5185">
              <w:rPr>
                <w:rFonts w:cs="Arial"/>
                <w:snapToGrid w:val="0"/>
                <w:color w:val="000000"/>
              </w:rPr>
              <w:t xml:space="preserve"> </w:t>
            </w:r>
            <w:r w:rsidR="00AA6B62" w:rsidRPr="009A5185">
              <w:rPr>
                <w:rFonts w:cs="Arial"/>
                <w:snapToGrid w:val="0"/>
                <w:color w:val="000000"/>
              </w:rPr>
              <w:t>(</w:t>
            </w:r>
            <w:r w:rsidR="00B86317" w:rsidRPr="009A5185">
              <w:rPr>
                <w:rFonts w:cs="Arial"/>
                <w:snapToGrid w:val="0"/>
                <w:color w:val="000000"/>
              </w:rPr>
              <w:t>question</w:t>
            </w:r>
            <w:r w:rsidR="00237FCB" w:rsidRPr="009A5185">
              <w:rPr>
                <w:rFonts w:cs="Arial"/>
                <w:snapToGrid w:val="0"/>
                <w:color w:val="000000"/>
              </w:rPr>
              <w:t xml:space="preserve">s </w:t>
            </w:r>
            <w:r w:rsidR="005C2B38" w:rsidRPr="009A5185">
              <w:rPr>
                <w:rFonts w:cs="Arial"/>
                <w:snapToGrid w:val="0"/>
                <w:color w:val="000000"/>
              </w:rPr>
              <w:t>#</w:t>
            </w:r>
            <w:r w:rsidR="00237FCB" w:rsidRPr="009A5185">
              <w:rPr>
                <w:rFonts w:cs="Arial"/>
                <w:snapToGrid w:val="0"/>
                <w:color w:val="000000"/>
              </w:rPr>
              <w:t>4-5</w:t>
            </w:r>
            <w:r w:rsidR="00AA6B62" w:rsidRPr="009A5185">
              <w:rPr>
                <w:rFonts w:cs="Arial"/>
                <w:snapToGrid w:val="0"/>
                <w:color w:val="000000"/>
              </w:rPr>
              <w:t>)</w:t>
            </w:r>
            <w:r w:rsidRPr="009A5185">
              <w:rPr>
                <w:rFonts w:cs="Arial"/>
                <w:snapToGrid w:val="0"/>
                <w:color w:val="000000"/>
              </w:rPr>
              <w:t>.</w:t>
            </w:r>
          </w:p>
          <w:p w14:paraId="2F2CA710" w14:textId="77777777" w:rsidR="00C015B2" w:rsidRPr="009A5185" w:rsidRDefault="00C015B2" w:rsidP="0064148D">
            <w:pPr>
              <w:ind w:left="360"/>
              <w:rPr>
                <w:rFonts w:cs="Arial"/>
                <w:snapToGrid w:val="0"/>
                <w:color w:val="000000"/>
              </w:rPr>
            </w:pPr>
          </w:p>
          <w:p w14:paraId="5F11CC61" w14:textId="77777777" w:rsidR="00C015B2" w:rsidRPr="009A5185" w:rsidRDefault="006E50EF" w:rsidP="0064148D">
            <w:pPr>
              <w:ind w:left="360"/>
              <w:rPr>
                <w:rFonts w:cs="Arial"/>
                <w:snapToGrid w:val="0"/>
                <w:color w:val="000000"/>
              </w:rPr>
            </w:pPr>
            <w:r w:rsidRPr="009A5185">
              <w:rPr>
                <w:rFonts w:cs="Arial"/>
                <w:snapToGrid w:val="0"/>
                <w:color w:val="000000"/>
              </w:rPr>
              <w:t>Please indicate which measure the hospital will report on</w:t>
            </w:r>
            <w:r w:rsidRPr="009A5185">
              <w:rPr>
                <w:rFonts w:cs="Arial"/>
                <w:i/>
                <w:snapToGrid w:val="0"/>
                <w:color w:val="000000"/>
              </w:rPr>
              <w:t>:</w:t>
            </w:r>
          </w:p>
          <w:p w14:paraId="48DA8E96" w14:textId="77777777" w:rsidR="00C015B2" w:rsidRPr="009A5185" w:rsidRDefault="00C015B2" w:rsidP="0064148D">
            <w:pPr>
              <w:ind w:left="360"/>
              <w:rPr>
                <w:rFonts w:cs="Arial"/>
                <w:snapToGrid w:val="0"/>
                <w:color w:val="000000"/>
              </w:rPr>
            </w:pPr>
          </w:p>
          <w:p w14:paraId="08BA18A6" w14:textId="76897075" w:rsidR="001746CA" w:rsidRDefault="006E50EF" w:rsidP="00044480">
            <w:pPr>
              <w:ind w:left="360"/>
              <w:rPr>
                <w:rFonts w:cs="Arial"/>
                <w:i/>
                <w:snapToGrid w:val="0"/>
                <w:color w:val="000000"/>
              </w:rPr>
            </w:pPr>
            <w:r w:rsidRPr="00310F7C">
              <w:rPr>
                <w:rFonts w:cs="Arial"/>
                <w:i/>
                <w:snapToGrid w:val="0"/>
                <w:color w:val="000000"/>
              </w:rPr>
              <w:t>If you elec</w:t>
            </w:r>
            <w:r w:rsidR="00237FCB" w:rsidRPr="00310F7C">
              <w:rPr>
                <w:rFonts w:cs="Arial"/>
                <w:i/>
                <w:snapToGrid w:val="0"/>
                <w:color w:val="000000"/>
              </w:rPr>
              <w:t xml:space="preserve">t to report on Volume, answer questions </w:t>
            </w:r>
            <w:r w:rsidR="005C2B38" w:rsidRPr="00310F7C">
              <w:rPr>
                <w:rFonts w:cs="Arial"/>
                <w:i/>
                <w:snapToGrid w:val="0"/>
                <w:color w:val="000000"/>
              </w:rPr>
              <w:t>#</w:t>
            </w:r>
            <w:r w:rsidR="00237FCB" w:rsidRPr="00310F7C">
              <w:rPr>
                <w:rFonts w:cs="Arial"/>
                <w:i/>
                <w:snapToGrid w:val="0"/>
                <w:color w:val="000000"/>
              </w:rPr>
              <w:t xml:space="preserve">4-5 and skip questions </w:t>
            </w:r>
            <w:r w:rsidR="005C2B38" w:rsidRPr="00310F7C">
              <w:rPr>
                <w:rFonts w:cs="Arial"/>
                <w:i/>
                <w:snapToGrid w:val="0"/>
                <w:color w:val="000000"/>
              </w:rPr>
              <w:t>#</w:t>
            </w:r>
            <w:r w:rsidR="00237FCB" w:rsidRPr="00310F7C">
              <w:rPr>
                <w:rFonts w:cs="Arial"/>
                <w:i/>
                <w:snapToGrid w:val="0"/>
                <w:color w:val="000000"/>
              </w:rPr>
              <w:t>6-1</w:t>
            </w:r>
            <w:r w:rsidR="00540907">
              <w:rPr>
                <w:rFonts w:cs="Arial"/>
                <w:i/>
                <w:snapToGrid w:val="0"/>
                <w:color w:val="000000"/>
              </w:rPr>
              <w:t>0</w:t>
            </w:r>
            <w:r w:rsidRPr="00310F7C">
              <w:rPr>
                <w:rFonts w:cs="Arial"/>
                <w:i/>
                <w:snapToGrid w:val="0"/>
                <w:color w:val="000000"/>
              </w:rPr>
              <w:t>.</w:t>
            </w:r>
          </w:p>
          <w:p w14:paraId="394149CA" w14:textId="1A7EDED1" w:rsidR="001746CA" w:rsidRDefault="001746CA" w:rsidP="00044480">
            <w:pPr>
              <w:ind w:left="360"/>
              <w:rPr>
                <w:rFonts w:cs="Arial"/>
                <w:i/>
                <w:snapToGrid w:val="0"/>
                <w:color w:val="000000"/>
              </w:rPr>
            </w:pPr>
          </w:p>
          <w:p w14:paraId="039CF92C" w14:textId="55444B99" w:rsidR="006E50EF" w:rsidRPr="009A5185" w:rsidRDefault="006E50EF" w:rsidP="00044480">
            <w:pPr>
              <w:ind w:left="360"/>
              <w:rPr>
                <w:rFonts w:cs="Arial"/>
                <w:snapToGrid w:val="0"/>
                <w:color w:val="000000"/>
              </w:rPr>
            </w:pPr>
            <w:r w:rsidRPr="00310F7C">
              <w:rPr>
                <w:rFonts w:cs="Arial"/>
                <w:i/>
                <w:snapToGrid w:val="0"/>
                <w:color w:val="000000"/>
              </w:rPr>
              <w:t xml:space="preserve">If you elect to report on the </w:t>
            </w:r>
            <w:r w:rsidR="00AA6B62" w:rsidRPr="00310F7C">
              <w:rPr>
                <w:rFonts w:cs="Arial"/>
                <w:i/>
                <w:snapToGrid w:val="0"/>
                <w:color w:val="000000"/>
              </w:rPr>
              <w:t xml:space="preserve">VON </w:t>
            </w:r>
            <w:r w:rsidRPr="00310F7C">
              <w:rPr>
                <w:rFonts w:cs="Arial"/>
                <w:i/>
                <w:snapToGrid w:val="0"/>
                <w:color w:val="000000"/>
              </w:rPr>
              <w:t>Natio</w:t>
            </w:r>
            <w:r w:rsidR="00237FCB" w:rsidRPr="00310F7C">
              <w:rPr>
                <w:rFonts w:cs="Arial"/>
                <w:i/>
                <w:snapToGrid w:val="0"/>
                <w:color w:val="000000"/>
              </w:rPr>
              <w:t xml:space="preserve">nal Performance Measure, skip questions </w:t>
            </w:r>
            <w:r w:rsidR="005C2B38" w:rsidRPr="00310F7C">
              <w:rPr>
                <w:rFonts w:cs="Arial"/>
                <w:i/>
                <w:snapToGrid w:val="0"/>
                <w:color w:val="000000"/>
              </w:rPr>
              <w:t>#</w:t>
            </w:r>
            <w:r w:rsidR="00237FCB" w:rsidRPr="00310F7C">
              <w:rPr>
                <w:rFonts w:cs="Arial"/>
                <w:i/>
                <w:snapToGrid w:val="0"/>
                <w:color w:val="000000"/>
              </w:rPr>
              <w:t>4-5.</w:t>
            </w:r>
            <w:r w:rsidR="001746CA">
              <w:rPr>
                <w:rFonts w:cs="Arial"/>
                <w:i/>
                <w:snapToGrid w:val="0"/>
                <w:color w:val="000000"/>
              </w:rPr>
              <w:t xml:space="preserve"> Please ensure that you have </w:t>
            </w:r>
            <w:r w:rsidR="000C5812">
              <w:rPr>
                <w:rFonts w:cs="Arial"/>
                <w:i/>
                <w:snapToGrid w:val="0"/>
                <w:color w:val="000000"/>
              </w:rPr>
              <w:t>entered</w:t>
            </w:r>
            <w:r w:rsidR="001C3D9E">
              <w:rPr>
                <w:rFonts w:cs="Arial"/>
                <w:i/>
                <w:snapToGrid w:val="0"/>
                <w:color w:val="000000"/>
              </w:rPr>
              <w:t xml:space="preserve"> an accurate</w:t>
            </w:r>
            <w:r w:rsidR="000C5812">
              <w:rPr>
                <w:rFonts w:cs="Arial"/>
                <w:i/>
                <w:snapToGrid w:val="0"/>
                <w:color w:val="000000"/>
              </w:rPr>
              <w:t xml:space="preserve"> VON Transfer Code in the </w:t>
            </w:r>
            <w:r w:rsidR="00AC0D0B">
              <w:rPr>
                <w:rFonts w:cs="Arial"/>
                <w:i/>
                <w:snapToGrid w:val="0"/>
                <w:color w:val="000000"/>
              </w:rPr>
              <w:t xml:space="preserve">Hospital </w:t>
            </w:r>
            <w:r w:rsidR="000C5812">
              <w:rPr>
                <w:rFonts w:cs="Arial"/>
                <w:i/>
                <w:snapToGrid w:val="0"/>
                <w:color w:val="000000"/>
              </w:rPr>
              <w:t xml:space="preserve">Profile and </w:t>
            </w:r>
            <w:r w:rsidR="001C3D9E">
              <w:rPr>
                <w:rFonts w:cs="Arial"/>
                <w:i/>
                <w:snapToGrid w:val="0"/>
                <w:color w:val="000000"/>
              </w:rPr>
              <w:t xml:space="preserve">submitted the Data Share Authorization letter to VON. </w:t>
            </w:r>
            <w:r w:rsidR="001746CA">
              <w:rPr>
                <w:rFonts w:cs="Arial"/>
                <w:i/>
                <w:snapToGrid w:val="0"/>
                <w:color w:val="000000"/>
              </w:rPr>
              <w:t>Otherwise, you will be scored as “</w:t>
            </w:r>
            <w:r w:rsidR="00D617B2">
              <w:rPr>
                <w:rFonts w:cs="Arial"/>
                <w:i/>
                <w:snapToGrid w:val="0"/>
                <w:color w:val="000000"/>
              </w:rPr>
              <w:t>Declined to Re</w:t>
            </w:r>
            <w:r w:rsidR="00B6054B">
              <w:rPr>
                <w:rFonts w:cs="Arial"/>
                <w:i/>
                <w:snapToGrid w:val="0"/>
                <w:color w:val="000000"/>
              </w:rPr>
              <w:t>port</w:t>
            </w:r>
            <w:r w:rsidR="001746CA">
              <w:rPr>
                <w:rFonts w:cs="Arial"/>
                <w:i/>
                <w:snapToGrid w:val="0"/>
                <w:color w:val="000000"/>
              </w:rPr>
              <w:t>.”</w:t>
            </w:r>
          </w:p>
        </w:tc>
        <w:tc>
          <w:tcPr>
            <w:tcW w:w="2430" w:type="dxa"/>
            <w:vAlign w:val="center"/>
          </w:tcPr>
          <w:p w14:paraId="4DEA30F6" w14:textId="550816BA" w:rsidR="006E50EF" w:rsidRPr="00A31567" w:rsidRDefault="006E50EF" w:rsidP="00AD309C">
            <w:pPr>
              <w:pStyle w:val="ListParagraph"/>
              <w:numPr>
                <w:ilvl w:val="0"/>
                <w:numId w:val="340"/>
              </w:numPr>
              <w:rPr>
                <w:rFonts w:cs="Arial"/>
                <w:iCs/>
                <w:snapToGrid w:val="0"/>
              </w:rPr>
            </w:pPr>
            <w:r w:rsidRPr="00A31567">
              <w:rPr>
                <w:rFonts w:cs="Arial"/>
                <w:iCs/>
                <w:snapToGrid w:val="0"/>
              </w:rPr>
              <w:t>Volume</w:t>
            </w:r>
          </w:p>
          <w:p w14:paraId="2C653F69" w14:textId="77777777" w:rsidR="006E50EF" w:rsidRPr="00A31567" w:rsidRDefault="00D23BFE" w:rsidP="00AD309C">
            <w:pPr>
              <w:pStyle w:val="ListParagraph"/>
              <w:numPr>
                <w:ilvl w:val="0"/>
                <w:numId w:val="340"/>
              </w:numPr>
              <w:rPr>
                <w:rFonts w:cs="Arial"/>
                <w:iCs/>
                <w:snapToGrid w:val="0"/>
              </w:rPr>
            </w:pPr>
            <w:r w:rsidRPr="00A31567">
              <w:rPr>
                <w:rFonts w:cs="Arial"/>
                <w:iCs/>
                <w:snapToGrid w:val="0"/>
              </w:rPr>
              <w:t xml:space="preserve">VON </w:t>
            </w:r>
            <w:r w:rsidR="006E50EF" w:rsidRPr="00A31567">
              <w:rPr>
                <w:rFonts w:cs="Arial"/>
                <w:iCs/>
                <w:snapToGrid w:val="0"/>
              </w:rPr>
              <w:t>National Performance Measure</w:t>
            </w:r>
          </w:p>
        </w:tc>
      </w:tr>
    </w:tbl>
    <w:p w14:paraId="1C913054" w14:textId="77777777" w:rsidR="00365263" w:rsidRPr="00F0772B" w:rsidRDefault="00365263" w:rsidP="003475DE">
      <w:pPr>
        <w:rPr>
          <w:lang w:eastAsia="ja-JP"/>
        </w:rPr>
      </w:pPr>
    </w:p>
    <w:p w14:paraId="073E57C5" w14:textId="77777777" w:rsidR="00F15775" w:rsidRDefault="00F15775">
      <w:pPr>
        <w:rPr>
          <w:rFonts w:cs="Arial"/>
          <w:b/>
          <w:i/>
          <w:snapToGrid w:val="0"/>
          <w:sz w:val="22"/>
          <w:szCs w:val="22"/>
          <w:lang w:eastAsia="ja-JP"/>
        </w:rPr>
      </w:pPr>
      <w:r>
        <w:br w:type="page"/>
      </w:r>
    </w:p>
    <w:p w14:paraId="30C09921" w14:textId="110EFE4C" w:rsidR="006E50EF" w:rsidRDefault="005E1D5D" w:rsidP="00AB5B80">
      <w:pPr>
        <w:pStyle w:val="Heading3"/>
      </w:pPr>
      <w:bookmarkStart w:id="313" w:name="_Toc225877734"/>
      <w:r w:rsidRPr="005E1D5D">
        <w:t>Neonatal Intensive Care Unit(s) – Volume</w:t>
      </w:r>
      <w:bookmarkEnd w:id="313"/>
    </w:p>
    <w:p w14:paraId="3DA98392" w14:textId="6BC59AA4" w:rsidR="005E1D5D" w:rsidRPr="008D20D6" w:rsidRDefault="005E1D5D" w:rsidP="005E1D5D">
      <w:pPr>
        <w:rPr>
          <w:lang w:eastAsia="ja-JP"/>
        </w:rPr>
      </w:pPr>
    </w:p>
    <w:p w14:paraId="627ECA1E" w14:textId="7EC3E8B6" w:rsidR="00BA394C" w:rsidRPr="00764EEA" w:rsidRDefault="00170515" w:rsidP="00BA394C">
      <w:pPr>
        <w:rPr>
          <w:rFonts w:cs="Arial"/>
          <w:bCs/>
          <w:snapToGrid w:val="0"/>
        </w:rPr>
      </w:pPr>
      <w:r w:rsidRPr="00F0772B">
        <w:rPr>
          <w:b/>
          <w:bCs/>
          <w:color w:val="FF0000"/>
        </w:rPr>
        <w:t>Important Note:</w:t>
      </w:r>
      <w:r w:rsidRPr="00F0772B">
        <w:rPr>
          <w:color w:val="FF0000"/>
        </w:rPr>
        <w:t xml:space="preserve"> </w:t>
      </w:r>
      <w:r w:rsidR="00BA394C" w:rsidRPr="00764EEA">
        <w:rPr>
          <w:rFonts w:cs="Arial"/>
          <w:bCs/>
          <w:snapToGrid w:val="0"/>
        </w:rPr>
        <w:t xml:space="preserve">Hospitals must use the same 12-month reporting period </w:t>
      </w:r>
      <w:r w:rsidR="00BA394C" w:rsidRPr="00BA394C">
        <w:rPr>
          <w:rFonts w:cs="Arial"/>
          <w:bCs/>
          <w:snapToGrid w:val="0"/>
        </w:rPr>
        <w:t>for all subsections in Section 4: Maternity Care</w:t>
      </w:r>
      <w:r w:rsidR="00BA394C">
        <w:rPr>
          <w:rFonts w:cs="Arial"/>
          <w:bCs/>
          <w:snapToGrid w:val="0"/>
        </w:rPr>
        <w:t xml:space="preserve">, except for Section 4B questions #6-8. </w:t>
      </w:r>
    </w:p>
    <w:p w14:paraId="00E0DD86" w14:textId="77777777" w:rsidR="00170515" w:rsidRPr="008D20D6" w:rsidRDefault="00170515" w:rsidP="005E1D5D">
      <w:pPr>
        <w:rPr>
          <w:lang w:eastAsia="ja-JP"/>
        </w:rPr>
      </w:pPr>
    </w:p>
    <w:p w14:paraId="16CA706E" w14:textId="28C4ACD4" w:rsidR="00540038" w:rsidRDefault="00540038" w:rsidP="00F0772B">
      <w:pPr>
        <w:pStyle w:val="Header"/>
        <w:tabs>
          <w:tab w:val="clear" w:pos="4320"/>
          <w:tab w:val="clear" w:pos="8640"/>
        </w:tabs>
        <w:rPr>
          <w:rFonts w:cs="Arial"/>
        </w:rPr>
      </w:pPr>
      <w:r w:rsidRPr="009A5185">
        <w:rPr>
          <w:rFonts w:cs="Arial"/>
          <w:b/>
          <w:snapToGrid w:val="0"/>
        </w:rPr>
        <w:t xml:space="preserve">Specifications: </w:t>
      </w:r>
      <w:r w:rsidRPr="009A5185">
        <w:rPr>
          <w:rFonts w:cs="Arial"/>
          <w:snapToGrid w:val="0"/>
          <w:color w:val="000000"/>
        </w:rPr>
        <w:t>S</w:t>
      </w:r>
      <w:r w:rsidRPr="009A5185">
        <w:rPr>
          <w:rFonts w:cs="Arial"/>
        </w:rPr>
        <w:t xml:space="preserve">ee </w:t>
      </w:r>
      <w:hyperlink w:anchor="_High-Risk_Deliveries_Measure_1" w:history="1">
        <w:r w:rsidR="009C63AB">
          <w:rPr>
            <w:rStyle w:val="Hyperlink"/>
            <w:rFonts w:cs="Arial"/>
            <w:b/>
            <w:i/>
          </w:rPr>
          <w:t>Neonatal Intensive Care Unit(s) – Volume Measure Specifications</w:t>
        </w:r>
      </w:hyperlink>
      <w:r w:rsidRPr="009A5185">
        <w:rPr>
          <w:rFonts w:cs="Arial"/>
        </w:rPr>
        <w:t xml:space="preserve"> in the Reference Information </w:t>
      </w:r>
      <w:r w:rsidR="008964E1">
        <w:rPr>
          <w:rFonts w:cs="Arial"/>
        </w:rPr>
        <w:t xml:space="preserve">beginning on page </w:t>
      </w:r>
      <w:r w:rsidR="008964E1">
        <w:rPr>
          <w:rFonts w:cs="Arial"/>
        </w:rPr>
        <w:fldChar w:fldCharType="begin"/>
      </w:r>
      <w:r w:rsidR="008964E1">
        <w:rPr>
          <w:rFonts w:cs="Arial"/>
        </w:rPr>
        <w:instrText xml:space="preserve"> PAGEREF _Ref123647044 \h </w:instrText>
      </w:r>
      <w:r w:rsidR="008964E1">
        <w:rPr>
          <w:rFonts w:cs="Arial"/>
        </w:rPr>
      </w:r>
      <w:r w:rsidR="008964E1">
        <w:rPr>
          <w:rFonts w:cs="Arial"/>
        </w:rPr>
        <w:fldChar w:fldCharType="separate"/>
      </w:r>
      <w:r w:rsidR="007D53A2">
        <w:rPr>
          <w:rFonts w:cs="Arial"/>
          <w:noProof/>
        </w:rPr>
        <w:t>17</w:t>
      </w:r>
      <w:r w:rsidR="008964E1">
        <w:rPr>
          <w:rFonts w:cs="Arial"/>
        </w:rPr>
        <w:fldChar w:fldCharType="end"/>
      </w:r>
      <w:r w:rsidR="00936183">
        <w:rPr>
          <w:rFonts w:cs="Arial"/>
        </w:rPr>
        <w:t>2</w:t>
      </w:r>
      <w:r w:rsidR="008964E1">
        <w:rPr>
          <w:rFonts w:cs="Arial"/>
        </w:rPr>
        <w:t>.</w:t>
      </w:r>
    </w:p>
    <w:p w14:paraId="5532403C" w14:textId="77777777" w:rsidR="00781ADB" w:rsidRPr="008D20D6" w:rsidRDefault="00781ADB" w:rsidP="00F0772B">
      <w:pPr>
        <w:pStyle w:val="Header"/>
        <w:tabs>
          <w:tab w:val="clear" w:pos="4320"/>
          <w:tab w:val="clear" w:pos="8640"/>
        </w:tabs>
        <w:rPr>
          <w:rFonts w:cs="Arial"/>
          <w:strike/>
        </w:rPr>
      </w:pPr>
    </w:p>
    <w:p w14:paraId="647FD2F9" w14:textId="0E52CA14" w:rsidR="00540038" w:rsidRDefault="000A0775" w:rsidP="005E1D5D">
      <w:pPr>
        <w:rPr>
          <w:lang w:eastAsia="ja-JP"/>
        </w:rPr>
      </w:pPr>
      <w:r>
        <w:rPr>
          <w:noProof/>
          <w:lang w:eastAsia="ja-JP"/>
        </w:rPr>
        <mc:AlternateContent>
          <mc:Choice Requires="wps">
            <w:drawing>
              <wp:inline distT="0" distB="0" distL="0" distR="0" wp14:anchorId="191F25AE" wp14:editId="0697E90F">
                <wp:extent cx="5915770" cy="1463040"/>
                <wp:effectExtent l="0" t="0" r="27940" b="18415"/>
                <wp:docPr id="37" name="Text Box 37" descr="P6555TB19#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5770" cy="1463040"/>
                        </a:xfrm>
                        <a:prstGeom prst="rect">
                          <a:avLst/>
                        </a:prstGeom>
                        <a:solidFill>
                          <a:srgbClr val="FFFFFF"/>
                        </a:solidFill>
                        <a:ln w="9525">
                          <a:solidFill>
                            <a:srgbClr val="FF0000"/>
                          </a:solidFill>
                          <a:miter lim="800000"/>
                          <a:headEnd/>
                          <a:tailEnd/>
                        </a:ln>
                      </wps:spPr>
                      <wps:txbx>
                        <w:txbxContent>
                          <w:p w14:paraId="2E27FE3A" w14:textId="6D9B1349" w:rsidR="000A0775" w:rsidRPr="00B25744" w:rsidRDefault="000A0775" w:rsidP="000A0775">
                            <w:pPr>
                              <w:spacing w:before="40"/>
                              <w:rPr>
                                <w:rFonts w:cs="Arial"/>
                                <w:b/>
                                <w:snapToGrid w:val="0"/>
                              </w:rPr>
                            </w:pPr>
                            <w:r w:rsidRPr="00B25744">
                              <w:rPr>
                                <w:rFonts w:cs="Arial"/>
                                <w:b/>
                                <w:snapToGrid w:val="0"/>
                              </w:rPr>
                              <w:t>Reporting Period: 12 months</w:t>
                            </w:r>
                          </w:p>
                          <w:p w14:paraId="4F50C8E4" w14:textId="77777777" w:rsidR="000A0775" w:rsidRPr="00BE1D22" w:rsidRDefault="000A0775" w:rsidP="00AD309C">
                            <w:pPr>
                              <w:pStyle w:val="ListParagraph"/>
                              <w:numPr>
                                <w:ilvl w:val="0"/>
                                <w:numId w:val="29"/>
                              </w:numPr>
                              <w:rPr>
                                <w:rFonts w:cs="Arial"/>
                                <w:i/>
                                <w:snapToGrid w:val="0"/>
                              </w:rPr>
                            </w:pPr>
                            <w:r>
                              <w:rPr>
                                <w:rFonts w:cs="Arial"/>
                                <w:iCs/>
                                <w:snapToGrid w:val="0"/>
                              </w:rPr>
                              <w:t>Surveys submitted prior to September 1:</w:t>
                            </w:r>
                          </w:p>
                          <w:p w14:paraId="6937BA27" w14:textId="4AE23C6D" w:rsidR="000A0775" w:rsidRPr="00B25744" w:rsidRDefault="000A0775" w:rsidP="008A4DEF">
                            <w:pPr>
                              <w:pStyle w:val="ListParagraph"/>
                              <w:numPr>
                                <w:ilvl w:val="1"/>
                                <w:numId w:val="29"/>
                              </w:numPr>
                              <w:rPr>
                                <w:rFonts w:cs="Arial"/>
                                <w:i/>
                                <w:snapToGrid w:val="0"/>
                              </w:rPr>
                            </w:pPr>
                            <w:r>
                              <w:rPr>
                                <w:rFonts w:cs="Arial"/>
                                <w:iCs/>
                                <w:snapToGrid w:val="0"/>
                              </w:rPr>
                              <w:t>01/01/202</w:t>
                            </w:r>
                            <w:r w:rsidR="00692B0E">
                              <w:rPr>
                                <w:rFonts w:cs="Arial"/>
                                <w:iCs/>
                                <w:snapToGrid w:val="0"/>
                              </w:rPr>
                              <w:t>5</w:t>
                            </w:r>
                            <w:r>
                              <w:rPr>
                                <w:rFonts w:cs="Arial"/>
                                <w:iCs/>
                                <w:snapToGrid w:val="0"/>
                              </w:rPr>
                              <w:t xml:space="preserve"> – 12/31/202</w:t>
                            </w:r>
                            <w:r w:rsidR="00692B0E">
                              <w:rPr>
                                <w:rFonts w:cs="Arial"/>
                                <w:iCs/>
                                <w:snapToGrid w:val="0"/>
                              </w:rPr>
                              <w:t>5</w:t>
                            </w:r>
                          </w:p>
                          <w:p w14:paraId="19ED5684" w14:textId="77777777" w:rsidR="000A0775" w:rsidRPr="00BE1D22" w:rsidRDefault="000A0775" w:rsidP="00AD309C">
                            <w:pPr>
                              <w:pStyle w:val="ListParagraph"/>
                              <w:numPr>
                                <w:ilvl w:val="0"/>
                                <w:numId w:val="29"/>
                              </w:numPr>
                              <w:rPr>
                                <w:rFonts w:cs="Arial"/>
                                <w:i/>
                                <w:snapToGrid w:val="0"/>
                              </w:rPr>
                            </w:pPr>
                            <w:r w:rsidRPr="00B25744">
                              <w:rPr>
                                <w:rFonts w:cs="Arial"/>
                                <w:snapToGrid w:val="0"/>
                              </w:rPr>
                              <w:t xml:space="preserve">Surveys (re)submitted on or after September 1: </w:t>
                            </w:r>
                          </w:p>
                          <w:p w14:paraId="411CD275" w14:textId="6264C96A" w:rsidR="000A0775" w:rsidRPr="00B25744" w:rsidRDefault="000A0775" w:rsidP="00AD309C">
                            <w:pPr>
                              <w:pStyle w:val="ListParagraph"/>
                              <w:numPr>
                                <w:ilvl w:val="1"/>
                                <w:numId w:val="29"/>
                              </w:numPr>
                              <w:rPr>
                                <w:rFonts w:cs="Arial"/>
                                <w:i/>
                                <w:snapToGrid w:val="0"/>
                              </w:rPr>
                            </w:pPr>
                            <w:r w:rsidRPr="00B25744">
                              <w:rPr>
                                <w:rFonts w:cs="Arial"/>
                                <w:snapToGrid w:val="0"/>
                              </w:rPr>
                              <w:t>07/01/</w:t>
                            </w:r>
                            <w:r>
                              <w:rPr>
                                <w:rFonts w:cs="Arial"/>
                                <w:snapToGrid w:val="0"/>
                              </w:rPr>
                              <w:t>202</w:t>
                            </w:r>
                            <w:r w:rsidR="00692B0E">
                              <w:rPr>
                                <w:rFonts w:cs="Arial"/>
                                <w:snapToGrid w:val="0"/>
                              </w:rPr>
                              <w:t>5</w:t>
                            </w:r>
                            <w:r w:rsidRPr="00B25744">
                              <w:rPr>
                                <w:rFonts w:cs="Arial"/>
                                <w:snapToGrid w:val="0"/>
                              </w:rPr>
                              <w:t xml:space="preserve"> </w:t>
                            </w:r>
                            <w:r>
                              <w:rPr>
                                <w:rFonts w:cs="Arial"/>
                                <w:snapToGrid w:val="0"/>
                              </w:rPr>
                              <w:t>–</w:t>
                            </w:r>
                            <w:r w:rsidRPr="00B25744">
                              <w:rPr>
                                <w:rFonts w:cs="Arial"/>
                                <w:snapToGrid w:val="0"/>
                              </w:rPr>
                              <w:t xml:space="preserve"> 06/30/</w:t>
                            </w:r>
                            <w:r>
                              <w:rPr>
                                <w:rFonts w:cs="Arial"/>
                                <w:snapToGrid w:val="0"/>
                              </w:rPr>
                              <w:t>202</w:t>
                            </w:r>
                            <w:r w:rsidR="00692B0E">
                              <w:rPr>
                                <w:rFonts w:cs="Arial"/>
                                <w:snapToGrid w:val="0"/>
                              </w:rPr>
                              <w:t>6</w:t>
                            </w:r>
                          </w:p>
                          <w:p w14:paraId="09C29771" w14:textId="77777777" w:rsidR="000A0775" w:rsidRPr="00B25744" w:rsidRDefault="000A0775" w:rsidP="000A0775">
                            <w:pPr>
                              <w:rPr>
                                <w:rFonts w:cs="Arial"/>
                                <w:i/>
                                <w:snapToGrid w:val="0"/>
                              </w:rPr>
                            </w:pPr>
                          </w:p>
                          <w:p w14:paraId="3C6D7A13" w14:textId="30F622A0" w:rsidR="000A0775" w:rsidRDefault="000A0775" w:rsidP="000A0775">
                            <w:r w:rsidRPr="006547C0">
                              <w:rPr>
                                <w:rFonts w:cs="Arial"/>
                                <w:sz w:val="16"/>
                                <w:szCs w:val="16"/>
                              </w:rPr>
                              <w:t xml:space="preserve">Note: As a reminder, the </w:t>
                            </w:r>
                            <w:hyperlink r:id="rId265" w:history="1">
                              <w:r w:rsidRPr="006547C0">
                                <w:rPr>
                                  <w:rStyle w:val="Hyperlink"/>
                                  <w:rFonts w:cs="Arial"/>
                                  <w:sz w:val="16"/>
                                  <w:szCs w:val="16"/>
                                </w:rPr>
                                <w:t>Corrections Period</w:t>
                              </w:r>
                            </w:hyperlink>
                            <w:r w:rsidRPr="006547C0">
                              <w:rPr>
                                <w:rFonts w:cs="Arial"/>
                                <w:sz w:val="16"/>
                                <w:szCs w:val="16"/>
                              </w:rPr>
                              <w:t xml:space="preserve"> </w:t>
                            </w:r>
                            <w:r w:rsidRPr="00E65E68">
                              <w:rPr>
                                <w:rFonts w:cs="Arial"/>
                                <w:sz w:val="16"/>
                                <w:szCs w:val="16"/>
                              </w:rPr>
                              <w:t>(</w:t>
                            </w:r>
                            <w:r>
                              <w:rPr>
                                <w:rFonts w:cs="Arial"/>
                                <w:sz w:val="16"/>
                                <w:szCs w:val="16"/>
                              </w:rPr>
                              <w:t>December</w:t>
                            </w:r>
                            <w:r w:rsidRPr="00E65E68">
                              <w:rPr>
                                <w:rFonts w:cs="Arial"/>
                                <w:sz w:val="16"/>
                                <w:szCs w:val="16"/>
                              </w:rPr>
                              <w:t xml:space="preserve"> 1-January 31) is reserved for corrections to previously submitted Surveys only. </w:t>
                            </w:r>
                            <w:r w:rsidRPr="00E65E68">
                              <w:rPr>
                                <w:rFonts w:cs="Arial"/>
                                <w:bCs/>
                                <w:snapToGrid w:val="0"/>
                                <w:sz w:val="16"/>
                                <w:szCs w:val="16"/>
                              </w:rPr>
                              <w:t xml:space="preserve">Any updates made to reflect a change in performance must be made prior to the </w:t>
                            </w:r>
                            <w:r>
                              <w:rPr>
                                <w:rFonts w:cs="Arial"/>
                                <w:bCs/>
                                <w:snapToGrid w:val="0"/>
                                <w:sz w:val="16"/>
                                <w:szCs w:val="16"/>
                              </w:rPr>
                              <w:t>November 30</w:t>
                            </w:r>
                            <w:r w:rsidRPr="00E65E68">
                              <w:rPr>
                                <w:rFonts w:cs="Arial"/>
                                <w:bCs/>
                                <w:snapToGrid w:val="0"/>
                                <w:sz w:val="16"/>
                                <w:szCs w:val="16"/>
                              </w:rPr>
                              <w:t xml:space="preserve"> Late Submission </w:t>
                            </w:r>
                            <w:r w:rsidRPr="00AE38C7">
                              <w:rPr>
                                <w:rFonts w:cs="Arial"/>
                                <w:bCs/>
                                <w:snapToGrid w:val="0"/>
                                <w:sz w:val="16"/>
                                <w:szCs w:val="16"/>
                              </w:rPr>
                              <w:t>and Performance Update</w:t>
                            </w:r>
                            <w:r>
                              <w:rPr>
                                <w:rFonts w:cs="Arial"/>
                                <w:bCs/>
                                <w:snapToGrid w:val="0"/>
                                <w:sz w:val="16"/>
                                <w:szCs w:val="16"/>
                              </w:rPr>
                              <w:t xml:space="preserve"> </w:t>
                            </w:r>
                            <w:r w:rsidRPr="00E65E68">
                              <w:rPr>
                                <w:rFonts w:cs="Arial"/>
                                <w:bCs/>
                                <w:snapToGrid w:val="0"/>
                                <w:sz w:val="16"/>
                                <w:szCs w:val="16"/>
                              </w:rPr>
                              <w:t xml:space="preserve">Deadline. Updates made to reflect a change in performance after </w:t>
                            </w:r>
                            <w:r>
                              <w:rPr>
                                <w:rFonts w:cs="Arial"/>
                                <w:bCs/>
                                <w:snapToGrid w:val="0"/>
                                <w:sz w:val="16"/>
                                <w:szCs w:val="16"/>
                              </w:rPr>
                              <w:t>November 30</w:t>
                            </w:r>
                            <w:r w:rsidRPr="00E65E68">
                              <w:rPr>
                                <w:rFonts w:cs="Arial"/>
                                <w:bCs/>
                                <w:snapToGrid w:val="0"/>
                                <w:sz w:val="16"/>
                                <w:szCs w:val="16"/>
                              </w:rPr>
                              <w:t xml:space="preserve"> will not be scored or publicly reported.</w:t>
                            </w:r>
                          </w:p>
                        </w:txbxContent>
                      </wps:txbx>
                      <wps:bodyPr rot="0" vert="horz" wrap="square" lIns="91440" tIns="45720" rIns="91440" bIns="45720" anchor="t" anchorCtr="0">
                        <a:spAutoFit/>
                      </wps:bodyPr>
                    </wps:wsp>
                  </a:graphicData>
                </a:graphic>
              </wp:inline>
            </w:drawing>
          </mc:Choice>
          <mc:Fallback>
            <w:pict>
              <v:shape w14:anchorId="191F25AE" id="Text Box 37" o:spid="_x0000_s1046" type="#_x0000_t202" alt="P6555TB19#y1" style="width:465.8pt;height:115.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" strokecolor="red">
                <v:textbox style="mso-fit-shape-to-text:t">
                  <w:txbxContent>
                    <w:p w14:paraId="2E27FE3A" w14:textId="6D9B1349" w:rsidR="000A0775" w:rsidRPr="00B25744" w:rsidRDefault="000A0775" w:rsidP="000A0775">
                      <w:pPr>
                        <w:spacing w:before="40"/>
                        <w:rPr>
                          <w:rFonts w:cs="Arial"/>
                          <w:b/>
                          <w:snapToGrid w:val="0"/>
                        </w:rPr>
                      </w:pPr>
                      <w:r w:rsidRPr="00B25744">
                        <w:rPr>
                          <w:rFonts w:cs="Arial"/>
                          <w:b/>
                          <w:snapToGrid w:val="0"/>
                        </w:rPr>
                        <w:t>Reporting Period: 12 months</w:t>
                      </w:r>
                    </w:p>
                    <w:p w14:paraId="4F50C8E4" w14:textId="77777777" w:rsidR="000A0775" w:rsidRPr="00BE1D22" w:rsidRDefault="000A0775" w:rsidP="00AD309C">
                      <w:pPr>
                        <w:pStyle w:val="ListParagraph"/>
                        <w:numPr>
                          <w:ilvl w:val="0"/>
                          <w:numId w:val="29"/>
                        </w:numPr>
                        <w:rPr>
                          <w:rFonts w:cs="Arial"/>
                          <w:i/>
                          <w:snapToGrid w:val="0"/>
                        </w:rPr>
                      </w:pPr>
                      <w:r>
                        <w:rPr>
                          <w:rFonts w:cs="Arial"/>
                          <w:iCs/>
                          <w:snapToGrid w:val="0"/>
                        </w:rPr>
                        <w:t>Surveys submitted prior to September 1:</w:t>
                      </w:r>
                    </w:p>
                    <w:p w14:paraId="6937BA27" w14:textId="4AE23C6D" w:rsidR="000A0775" w:rsidRPr="00B25744" w:rsidRDefault="000A0775" w:rsidP="008A4DEF">
                      <w:pPr>
                        <w:pStyle w:val="ListParagraph"/>
                        <w:numPr>
                          <w:ilvl w:val="1"/>
                          <w:numId w:val="29"/>
                        </w:numPr>
                        <w:rPr>
                          <w:rFonts w:cs="Arial"/>
                          <w:i/>
                          <w:snapToGrid w:val="0"/>
                        </w:rPr>
                      </w:pPr>
                      <w:r>
                        <w:rPr>
                          <w:rFonts w:cs="Arial"/>
                          <w:iCs/>
                          <w:snapToGrid w:val="0"/>
                        </w:rPr>
                        <w:t>01/01/202</w:t>
                      </w:r>
                      <w:r w:rsidR="00692B0E">
                        <w:rPr>
                          <w:rFonts w:cs="Arial"/>
                          <w:iCs/>
                          <w:snapToGrid w:val="0"/>
                        </w:rPr>
                        <w:t>5</w:t>
                      </w:r>
                      <w:r>
                        <w:rPr>
                          <w:rFonts w:cs="Arial"/>
                          <w:iCs/>
                          <w:snapToGrid w:val="0"/>
                        </w:rPr>
                        <w:t xml:space="preserve"> – 12/31/202</w:t>
                      </w:r>
                      <w:r w:rsidR="00692B0E">
                        <w:rPr>
                          <w:rFonts w:cs="Arial"/>
                          <w:iCs/>
                          <w:snapToGrid w:val="0"/>
                        </w:rPr>
                        <w:t>5</w:t>
                      </w:r>
                    </w:p>
                    <w:p w14:paraId="19ED5684" w14:textId="77777777" w:rsidR="000A0775" w:rsidRPr="00BE1D22" w:rsidRDefault="000A0775" w:rsidP="00AD309C">
                      <w:pPr>
                        <w:pStyle w:val="ListParagraph"/>
                        <w:numPr>
                          <w:ilvl w:val="0"/>
                          <w:numId w:val="29"/>
                        </w:numPr>
                        <w:rPr>
                          <w:rFonts w:cs="Arial"/>
                          <w:i/>
                          <w:snapToGrid w:val="0"/>
                        </w:rPr>
                      </w:pPr>
                      <w:r w:rsidRPr="00B25744">
                        <w:rPr>
                          <w:rFonts w:cs="Arial"/>
                          <w:snapToGrid w:val="0"/>
                        </w:rPr>
                        <w:t xml:space="preserve">Surveys (re)submitted on or after September 1: </w:t>
                      </w:r>
                    </w:p>
                    <w:p w14:paraId="411CD275" w14:textId="6264C96A" w:rsidR="000A0775" w:rsidRPr="00B25744" w:rsidRDefault="000A0775" w:rsidP="00AD309C">
                      <w:pPr>
                        <w:pStyle w:val="ListParagraph"/>
                        <w:numPr>
                          <w:ilvl w:val="1"/>
                          <w:numId w:val="29"/>
                        </w:numPr>
                        <w:rPr>
                          <w:rFonts w:cs="Arial"/>
                          <w:i/>
                          <w:snapToGrid w:val="0"/>
                        </w:rPr>
                      </w:pPr>
                      <w:r w:rsidRPr="00B25744">
                        <w:rPr>
                          <w:rFonts w:cs="Arial"/>
                          <w:snapToGrid w:val="0"/>
                        </w:rPr>
                        <w:t>07/01/</w:t>
                      </w:r>
                      <w:r>
                        <w:rPr>
                          <w:rFonts w:cs="Arial"/>
                          <w:snapToGrid w:val="0"/>
                        </w:rPr>
                        <w:t>202</w:t>
                      </w:r>
                      <w:r w:rsidR="00692B0E">
                        <w:rPr>
                          <w:rFonts w:cs="Arial"/>
                          <w:snapToGrid w:val="0"/>
                        </w:rPr>
                        <w:t>5</w:t>
                      </w:r>
                      <w:r w:rsidRPr="00B25744">
                        <w:rPr>
                          <w:rFonts w:cs="Arial"/>
                          <w:snapToGrid w:val="0"/>
                        </w:rPr>
                        <w:t xml:space="preserve"> </w:t>
                      </w:r>
                      <w:r>
                        <w:rPr>
                          <w:rFonts w:cs="Arial"/>
                          <w:snapToGrid w:val="0"/>
                        </w:rPr>
                        <w:t>–</w:t>
                      </w:r>
                      <w:r w:rsidRPr="00B25744">
                        <w:rPr>
                          <w:rFonts w:cs="Arial"/>
                          <w:snapToGrid w:val="0"/>
                        </w:rPr>
                        <w:t xml:space="preserve"> 06/30/</w:t>
                      </w:r>
                      <w:r>
                        <w:rPr>
                          <w:rFonts w:cs="Arial"/>
                          <w:snapToGrid w:val="0"/>
                        </w:rPr>
                        <w:t>202</w:t>
                      </w:r>
                      <w:r w:rsidR="00692B0E">
                        <w:rPr>
                          <w:rFonts w:cs="Arial"/>
                          <w:snapToGrid w:val="0"/>
                        </w:rPr>
                        <w:t>6</w:t>
                      </w:r>
                    </w:p>
                    <w:p w14:paraId="09C29771" w14:textId="77777777" w:rsidR="000A0775" w:rsidRPr="00B25744" w:rsidRDefault="000A0775" w:rsidP="000A0775">
                      <w:pPr>
                        <w:rPr>
                          <w:rFonts w:cs="Arial"/>
                          <w:i/>
                          <w:snapToGrid w:val="0"/>
                        </w:rPr>
                      </w:pPr>
                    </w:p>
                    <w:p w14:paraId="3C6D7A13" w14:textId="30F622A0" w:rsidR="000A0775" w:rsidRDefault="000A0775" w:rsidP="000A0775">
                      <w:r w:rsidRPr="006547C0">
                        <w:rPr>
                          <w:rFonts w:cs="Arial"/>
                          <w:sz w:val="16"/>
                          <w:szCs w:val="16"/>
                        </w:rPr>
                        <w:t xml:space="preserve">Note: As a reminder, the </w:t>
                      </w:r>
                      <w:hyperlink r:id="rId266" w:history="1">
                        <w:r w:rsidRPr="006547C0">
                          <w:rPr>
                            <w:rStyle w:val="Hyperlink"/>
                            <w:rFonts w:cs="Arial"/>
                            <w:sz w:val="16"/>
                            <w:szCs w:val="16"/>
                          </w:rPr>
                          <w:t>Corrections Period</w:t>
                        </w:r>
                      </w:hyperlink>
                      <w:r w:rsidRPr="006547C0">
                        <w:rPr>
                          <w:rFonts w:cs="Arial"/>
                          <w:sz w:val="16"/>
                          <w:szCs w:val="16"/>
                        </w:rPr>
                        <w:t xml:space="preserve"> </w:t>
                      </w:r>
                      <w:r w:rsidRPr="00E65E68">
                        <w:rPr>
                          <w:rFonts w:cs="Arial"/>
                          <w:sz w:val="16"/>
                          <w:szCs w:val="16"/>
                        </w:rPr>
                        <w:t>(</w:t>
                      </w:r>
                      <w:r>
                        <w:rPr>
                          <w:rFonts w:cs="Arial"/>
                          <w:sz w:val="16"/>
                          <w:szCs w:val="16"/>
                        </w:rPr>
                        <w:t>December</w:t>
                      </w:r>
                      <w:r w:rsidRPr="00E65E68">
                        <w:rPr>
                          <w:rFonts w:cs="Arial"/>
                          <w:sz w:val="16"/>
                          <w:szCs w:val="16"/>
                        </w:rPr>
                        <w:t xml:space="preserve"> 1-January 31) is reserved for corrections to previously submitted Surveys only. </w:t>
                      </w:r>
                      <w:r w:rsidRPr="00E65E68">
                        <w:rPr>
                          <w:rFonts w:cs="Arial"/>
                          <w:bCs/>
                          <w:snapToGrid w:val="0"/>
                          <w:sz w:val="16"/>
                          <w:szCs w:val="16"/>
                        </w:rPr>
                        <w:t xml:space="preserve">Any updates made to reflect a change in performance must be made prior to the </w:t>
                      </w:r>
                      <w:r>
                        <w:rPr>
                          <w:rFonts w:cs="Arial"/>
                          <w:bCs/>
                          <w:snapToGrid w:val="0"/>
                          <w:sz w:val="16"/>
                          <w:szCs w:val="16"/>
                        </w:rPr>
                        <w:t>November 30</w:t>
                      </w:r>
                      <w:r w:rsidRPr="00E65E68">
                        <w:rPr>
                          <w:rFonts w:cs="Arial"/>
                          <w:bCs/>
                          <w:snapToGrid w:val="0"/>
                          <w:sz w:val="16"/>
                          <w:szCs w:val="16"/>
                        </w:rPr>
                        <w:t xml:space="preserve"> Late Submission </w:t>
                      </w:r>
                      <w:r w:rsidRPr="00AE38C7">
                        <w:rPr>
                          <w:rFonts w:cs="Arial"/>
                          <w:bCs/>
                          <w:snapToGrid w:val="0"/>
                          <w:sz w:val="16"/>
                          <w:szCs w:val="16"/>
                        </w:rPr>
                        <w:t>and Performance Update</w:t>
                      </w:r>
                      <w:r>
                        <w:rPr>
                          <w:rFonts w:cs="Arial"/>
                          <w:bCs/>
                          <w:snapToGrid w:val="0"/>
                          <w:sz w:val="16"/>
                          <w:szCs w:val="16"/>
                        </w:rPr>
                        <w:t xml:space="preserve"> </w:t>
                      </w:r>
                      <w:r w:rsidRPr="00E65E68">
                        <w:rPr>
                          <w:rFonts w:cs="Arial"/>
                          <w:bCs/>
                          <w:snapToGrid w:val="0"/>
                          <w:sz w:val="16"/>
                          <w:szCs w:val="16"/>
                        </w:rPr>
                        <w:t xml:space="preserve">Deadline. Updates made to reflect a change in performance after </w:t>
                      </w:r>
                      <w:r>
                        <w:rPr>
                          <w:rFonts w:cs="Arial"/>
                          <w:bCs/>
                          <w:snapToGrid w:val="0"/>
                          <w:sz w:val="16"/>
                          <w:szCs w:val="16"/>
                        </w:rPr>
                        <w:t>November 30</w:t>
                      </w:r>
                      <w:r w:rsidRPr="00E65E68">
                        <w:rPr>
                          <w:rFonts w:cs="Arial"/>
                          <w:bCs/>
                          <w:snapToGrid w:val="0"/>
                          <w:sz w:val="16"/>
                          <w:szCs w:val="16"/>
                        </w:rPr>
                        <w:t xml:space="preserve"> will not be scored or publicly reported.</w:t>
                      </w:r>
                    </w:p>
                  </w:txbxContent>
                </v:textbox>
                <w10:anchorlock/>
              </v:shape>
            </w:pict>
          </mc:Fallback>
        </mc:AlternateContent>
      </w:r>
    </w:p>
    <w:p w14:paraId="5E857330" w14:textId="5ED15540" w:rsidR="005E1D5D" w:rsidRDefault="005E1D5D" w:rsidP="005E1D5D">
      <w:pPr>
        <w:rPr>
          <w:lang w:eastAsia="ja-JP"/>
        </w:rPr>
      </w:pPr>
    </w:p>
    <w:tbl>
      <w:tblPr>
        <w:tblStyle w:val="TableGrid"/>
        <w:tblW w:w="0" w:type="auto"/>
        <w:tblLook w:val="04A0" w:firstRow="1" w:lastRow="0" w:firstColumn="1" w:lastColumn="0" w:noHBand="0" w:noVBand="1"/>
      </w:tblPr>
      <w:tblGrid>
        <w:gridCol w:w="6475"/>
        <w:gridCol w:w="2875"/>
      </w:tblGrid>
      <w:tr w:rsidR="005E1D5D" w14:paraId="23D16EA2" w14:textId="77777777" w:rsidTr="00C8246A">
        <w:trPr>
          <w:trHeight w:val="576"/>
        </w:trPr>
        <w:tc>
          <w:tcPr>
            <w:tcW w:w="6475" w:type="dxa"/>
            <w:vAlign w:val="center"/>
          </w:tcPr>
          <w:p w14:paraId="202099EF" w14:textId="76318D31" w:rsidR="005E1D5D" w:rsidRDefault="005E1D5D" w:rsidP="00AD309C">
            <w:pPr>
              <w:pStyle w:val="ListParagraph"/>
              <w:numPr>
                <w:ilvl w:val="0"/>
                <w:numId w:val="10"/>
              </w:numPr>
              <w:rPr>
                <w:lang w:eastAsia="ja-JP"/>
              </w:rPr>
            </w:pPr>
            <w:r w:rsidRPr="00F0772B">
              <w:rPr>
                <w:rFonts w:cs="Arial"/>
                <w:snapToGrid w:val="0"/>
                <w:color w:val="000000"/>
              </w:rPr>
              <w:t>12-month</w:t>
            </w:r>
            <w:r w:rsidRPr="005E1D5D">
              <w:rPr>
                <w:rFonts w:cs="Arial"/>
                <w:color w:val="0000FF"/>
              </w:rPr>
              <w:t xml:space="preserve"> </w:t>
            </w:r>
            <w:r w:rsidRPr="005E1D5D">
              <w:rPr>
                <w:rFonts w:cs="Arial"/>
                <w:snapToGrid w:val="0"/>
                <w:color w:val="000000"/>
              </w:rPr>
              <w:t xml:space="preserve">reporting period used: </w:t>
            </w:r>
          </w:p>
        </w:tc>
        <w:tc>
          <w:tcPr>
            <w:tcW w:w="2875" w:type="dxa"/>
            <w:vAlign w:val="center"/>
          </w:tcPr>
          <w:p w14:paraId="10C5EFF3" w14:textId="5B9706DF" w:rsidR="005E1D5D" w:rsidRPr="00C06753" w:rsidRDefault="005E1D5D" w:rsidP="00AD309C">
            <w:pPr>
              <w:pStyle w:val="ListParagraph"/>
              <w:numPr>
                <w:ilvl w:val="0"/>
                <w:numId w:val="296"/>
              </w:numPr>
              <w:rPr>
                <w:rFonts w:cs="Arial"/>
                <w:iCs/>
              </w:rPr>
            </w:pPr>
            <w:r w:rsidRPr="00C8246A">
              <w:rPr>
                <w:rFonts w:cs="Arial"/>
                <w:iCs/>
              </w:rPr>
              <w:t>01/01/202</w:t>
            </w:r>
            <w:r w:rsidR="00692B0E">
              <w:rPr>
                <w:rFonts w:cs="Arial"/>
                <w:iCs/>
              </w:rPr>
              <w:t>5</w:t>
            </w:r>
            <w:r w:rsidRPr="00C06753">
              <w:rPr>
                <w:rFonts w:cs="Arial"/>
                <w:iCs/>
              </w:rPr>
              <w:t xml:space="preserve"> – 12/31/202</w:t>
            </w:r>
            <w:r w:rsidR="00692B0E">
              <w:rPr>
                <w:rFonts w:cs="Arial"/>
                <w:iCs/>
              </w:rPr>
              <w:t>5</w:t>
            </w:r>
          </w:p>
          <w:p w14:paraId="1DBE2D02" w14:textId="3BD98995" w:rsidR="005E1D5D" w:rsidRDefault="005E1D5D" w:rsidP="00AD309C">
            <w:pPr>
              <w:pStyle w:val="ListParagraph"/>
              <w:numPr>
                <w:ilvl w:val="0"/>
                <w:numId w:val="296"/>
              </w:numPr>
              <w:rPr>
                <w:lang w:eastAsia="ja-JP"/>
              </w:rPr>
            </w:pPr>
            <w:r w:rsidRPr="00C06753">
              <w:rPr>
                <w:rFonts w:cs="Arial"/>
                <w:iCs/>
              </w:rPr>
              <w:t>07/01/202</w:t>
            </w:r>
            <w:r w:rsidR="00692B0E">
              <w:rPr>
                <w:rFonts w:cs="Arial"/>
                <w:iCs/>
              </w:rPr>
              <w:t>5</w:t>
            </w:r>
            <w:r w:rsidRPr="00C06753">
              <w:rPr>
                <w:rFonts w:cs="Arial"/>
                <w:iCs/>
              </w:rPr>
              <w:t xml:space="preserve"> – 06/30/202</w:t>
            </w:r>
            <w:r w:rsidR="00692B0E">
              <w:rPr>
                <w:rFonts w:cs="Arial"/>
                <w:iCs/>
              </w:rPr>
              <w:t>6</w:t>
            </w:r>
          </w:p>
        </w:tc>
      </w:tr>
      <w:tr w:rsidR="005E1D5D" w14:paraId="3C12339C" w14:textId="77777777" w:rsidTr="00C8246A">
        <w:trPr>
          <w:trHeight w:val="720"/>
        </w:trPr>
        <w:tc>
          <w:tcPr>
            <w:tcW w:w="6475" w:type="dxa"/>
            <w:vAlign w:val="center"/>
          </w:tcPr>
          <w:p w14:paraId="348E0C94" w14:textId="34F077AD" w:rsidR="005E1D5D" w:rsidRDefault="005E1D5D" w:rsidP="00AD309C">
            <w:pPr>
              <w:pStyle w:val="ListParagraph"/>
              <w:numPr>
                <w:ilvl w:val="0"/>
                <w:numId w:val="10"/>
              </w:numPr>
              <w:rPr>
                <w:lang w:eastAsia="ja-JP"/>
              </w:rPr>
            </w:pPr>
            <w:r w:rsidRPr="00F0772B">
              <w:rPr>
                <w:rFonts w:cs="Arial"/>
                <w:snapToGrid w:val="0"/>
                <w:color w:val="000000"/>
              </w:rPr>
              <w:t xml:space="preserve">For </w:t>
            </w:r>
            <w:r w:rsidRPr="005E1D5D">
              <w:rPr>
                <w:rFonts w:cs="Arial"/>
                <w:snapToGrid w:val="0"/>
              </w:rPr>
              <w:t>the reporting period</w:t>
            </w:r>
            <w:r w:rsidRPr="005E1D5D">
              <w:rPr>
                <w:rFonts w:cs="Arial"/>
                <w:snapToGrid w:val="0"/>
                <w:color w:val="000000"/>
              </w:rPr>
              <w:t xml:space="preserve">, how many very low birth weight babies were admitted to your hospital’s neonatal intensive care unit(s)? </w:t>
            </w:r>
          </w:p>
        </w:tc>
        <w:tc>
          <w:tcPr>
            <w:tcW w:w="2875" w:type="dxa"/>
            <w:vAlign w:val="center"/>
          </w:tcPr>
          <w:p w14:paraId="3FF4572B" w14:textId="77777777" w:rsidR="005E1D5D" w:rsidRPr="009A5185" w:rsidRDefault="005E1D5D" w:rsidP="005E1D5D">
            <w:pPr>
              <w:jc w:val="center"/>
              <w:rPr>
                <w:rFonts w:cs="Arial"/>
              </w:rPr>
            </w:pPr>
          </w:p>
          <w:p w14:paraId="1BC0E809" w14:textId="77777777" w:rsidR="005E1D5D" w:rsidRPr="009A5185" w:rsidRDefault="005E1D5D" w:rsidP="005E1D5D">
            <w:pPr>
              <w:jc w:val="center"/>
              <w:rPr>
                <w:rFonts w:cs="Arial"/>
              </w:rPr>
            </w:pPr>
            <w:r w:rsidRPr="009A5185">
              <w:rPr>
                <w:rFonts w:cs="Arial"/>
              </w:rPr>
              <w:t>_______</w:t>
            </w:r>
          </w:p>
          <w:p w14:paraId="4885476E" w14:textId="77777777" w:rsidR="005E1D5D" w:rsidRDefault="005E1D5D" w:rsidP="005E1D5D">
            <w:pPr>
              <w:rPr>
                <w:lang w:eastAsia="ja-JP"/>
              </w:rPr>
            </w:pPr>
          </w:p>
        </w:tc>
      </w:tr>
    </w:tbl>
    <w:p w14:paraId="1FC04F05" w14:textId="1B5C16F6" w:rsidR="005E1D5D" w:rsidRPr="008D20D6" w:rsidRDefault="005E1D5D" w:rsidP="005E1D5D">
      <w:pPr>
        <w:rPr>
          <w:lang w:eastAsia="ja-JP"/>
        </w:rPr>
      </w:pPr>
    </w:p>
    <w:p w14:paraId="63B9C9C7" w14:textId="77777777" w:rsidR="00540038" w:rsidRPr="009A5185" w:rsidRDefault="00540038" w:rsidP="00AB5B80">
      <w:pPr>
        <w:pStyle w:val="Heading3"/>
      </w:pPr>
      <w:bookmarkStart w:id="314" w:name="_Toc225877735"/>
      <w:r w:rsidRPr="009A5185">
        <w:t>Neonatal Intensive Care Unit(s) – National Performance Measurement</w:t>
      </w:r>
      <w:bookmarkEnd w:id="314"/>
    </w:p>
    <w:p w14:paraId="36E9A5EC" w14:textId="42545228" w:rsidR="005E1D5D" w:rsidRPr="008D20D6" w:rsidRDefault="005E1D5D" w:rsidP="005E1D5D">
      <w:pPr>
        <w:rPr>
          <w:lang w:eastAsia="ja-JP"/>
        </w:rPr>
      </w:pPr>
    </w:p>
    <w:p w14:paraId="7F5C364D" w14:textId="77777777" w:rsidR="003013B4" w:rsidRDefault="003013B4" w:rsidP="003013B4">
      <w:pPr>
        <w:rPr>
          <w:rFonts w:cs="Arial"/>
        </w:rPr>
      </w:pPr>
      <w:r w:rsidRPr="003013B4">
        <w:rPr>
          <w:b/>
          <w:bCs/>
          <w:color w:val="FF0000"/>
          <w:lang w:eastAsia="ja-JP"/>
        </w:rPr>
        <w:t>Important Note:</w:t>
      </w:r>
      <w:r w:rsidRPr="003013B4">
        <w:rPr>
          <w:color w:val="FF0000"/>
          <w:lang w:eastAsia="ja-JP"/>
        </w:rPr>
        <w:t xml:space="preserve"> </w:t>
      </w:r>
      <w:r>
        <w:rPr>
          <w:rFonts w:cs="Arial"/>
        </w:rPr>
        <w:t>Hospitals participating in the Vermont Oxford Network (VON) may opt to report on the VON National Performance Measure. In order for Leapfrog to obtain the data from VON, the VON data must be finalized, and hospitals must complete the following steps:</w:t>
      </w:r>
    </w:p>
    <w:p w14:paraId="0F9C2901" w14:textId="128E4316" w:rsidR="003013B4" w:rsidRPr="009929CD" w:rsidRDefault="003013B4" w:rsidP="00AD309C">
      <w:pPr>
        <w:pStyle w:val="ListParagraph"/>
        <w:numPr>
          <w:ilvl w:val="0"/>
          <w:numId w:val="167"/>
        </w:numPr>
        <w:rPr>
          <w:rFonts w:cs="Arial"/>
        </w:rPr>
      </w:pPr>
      <w:r w:rsidRPr="009929CD">
        <w:rPr>
          <w:rFonts w:cs="Arial"/>
        </w:rPr>
        <w:t xml:space="preserve">Provide an accurate </w:t>
      </w:r>
      <w:hyperlink r:id="rId267" w:history="1">
        <w:r w:rsidRPr="009929CD">
          <w:rPr>
            <w:rStyle w:val="Hyperlink"/>
            <w:rFonts w:cs="Arial"/>
          </w:rPr>
          <w:t>VON Transfer Code</w:t>
        </w:r>
      </w:hyperlink>
      <w:r w:rsidRPr="009929CD">
        <w:rPr>
          <w:rFonts w:cs="Arial"/>
        </w:rPr>
        <w:t xml:space="preserve"> in </w:t>
      </w:r>
      <w:r>
        <w:t>the Hospital Profile,</w:t>
      </w:r>
      <w:r w:rsidRPr="009929CD">
        <w:rPr>
          <w:rFonts w:cs="Arial"/>
        </w:rPr>
        <w:t xml:space="preserve"> </w:t>
      </w:r>
    </w:p>
    <w:p w14:paraId="74DDB6BE" w14:textId="134CB340" w:rsidR="003013B4" w:rsidRDefault="003013B4" w:rsidP="00AD309C">
      <w:pPr>
        <w:pStyle w:val="ListParagraph"/>
        <w:numPr>
          <w:ilvl w:val="0"/>
          <w:numId w:val="167"/>
        </w:numPr>
        <w:rPr>
          <w:rFonts w:cs="Arial"/>
        </w:rPr>
      </w:pPr>
      <w:r w:rsidRPr="00973A2C">
        <w:rPr>
          <w:rFonts w:cs="Arial"/>
        </w:rPr>
        <w:t xml:space="preserve">Complete a </w:t>
      </w:r>
      <w:hyperlink r:id="rId268" w:history="1">
        <w:r w:rsidRPr="00973A2C">
          <w:rPr>
            <w:rStyle w:val="Hyperlink"/>
            <w:rFonts w:cs="Arial"/>
          </w:rPr>
          <w:t>Data Sharing Authorization</w:t>
        </w:r>
      </w:hyperlink>
      <w:r w:rsidRPr="00973A2C">
        <w:rPr>
          <w:rFonts w:cs="Arial"/>
        </w:rPr>
        <w:t xml:space="preserve"> letter and submit it to </w:t>
      </w:r>
      <w:hyperlink r:id="rId269" w:history="1">
        <w:r w:rsidRPr="00973A2C">
          <w:rPr>
            <w:rStyle w:val="Hyperlink"/>
            <w:rFonts w:cs="Arial"/>
          </w:rPr>
          <w:t>VON</w:t>
        </w:r>
      </w:hyperlink>
      <w:r w:rsidRPr="00973A2C">
        <w:rPr>
          <w:rFonts w:cs="Arial"/>
        </w:rPr>
        <w:t xml:space="preserve"> by </w:t>
      </w:r>
      <w:r w:rsidRPr="00973A2C">
        <w:rPr>
          <w:rFonts w:cs="Arial"/>
          <w:b/>
          <w:bCs/>
        </w:rPr>
        <w:t>Jun</w:t>
      </w:r>
      <w:r w:rsidRPr="00973A2C">
        <w:rPr>
          <w:b/>
        </w:rPr>
        <w:t>e</w:t>
      </w:r>
      <w:r w:rsidRPr="00973A2C">
        <w:rPr>
          <w:rFonts w:cs="Arial"/>
          <w:b/>
          <w:bCs/>
        </w:rPr>
        <w:t xml:space="preserve"> 1</w:t>
      </w:r>
      <w:r w:rsidR="001D5AB5">
        <w:rPr>
          <w:rFonts w:cs="Arial"/>
          <w:b/>
          <w:bCs/>
        </w:rPr>
        <w:t>5</w:t>
      </w:r>
      <w:r w:rsidRPr="00973A2C">
        <w:rPr>
          <w:rFonts w:cs="Arial"/>
        </w:rPr>
        <w:t>.</w:t>
      </w:r>
      <w:r>
        <w:t xml:space="preserve"> </w:t>
      </w:r>
      <w:r w:rsidRPr="00973A2C">
        <w:rPr>
          <w:rFonts w:cs="Arial"/>
        </w:rPr>
        <w:t xml:space="preserve">Hospitals that submitted their Data Sharing Authorization letter to VON </w:t>
      </w:r>
      <w:r w:rsidRPr="00AC7C90">
        <w:rPr>
          <w:rFonts w:cs="Arial"/>
        </w:rPr>
        <w:t xml:space="preserve">in </w:t>
      </w:r>
      <w:r>
        <w:rPr>
          <w:rFonts w:cs="Arial"/>
        </w:rPr>
        <w:t xml:space="preserve">previous </w:t>
      </w:r>
      <w:r w:rsidRPr="009A5185">
        <w:rPr>
          <w:rFonts w:cs="Arial"/>
        </w:rPr>
        <w:t>Leapfrog Hospital Survey</w:t>
      </w:r>
      <w:r>
        <w:rPr>
          <w:rFonts w:cs="Arial"/>
        </w:rPr>
        <w:t xml:space="preserve"> Cycles </w:t>
      </w:r>
      <w:r w:rsidR="00157FDB">
        <w:rPr>
          <w:rFonts w:cs="Arial"/>
        </w:rPr>
        <w:t>do</w:t>
      </w:r>
      <w:r w:rsidRPr="00AC7C90">
        <w:rPr>
          <w:rFonts w:cs="Arial"/>
        </w:rPr>
        <w:t xml:space="preserve"> not have to re-submit a new letter in 202</w:t>
      </w:r>
      <w:r w:rsidR="001D5AB5">
        <w:rPr>
          <w:rFonts w:cs="Arial"/>
        </w:rPr>
        <w:t>6</w:t>
      </w:r>
      <w:r w:rsidR="00B13362">
        <w:rPr>
          <w:rFonts w:cs="Arial"/>
        </w:rPr>
        <w:t>,</w:t>
      </w:r>
    </w:p>
    <w:p w14:paraId="78B89DBE" w14:textId="77777777" w:rsidR="003013B4" w:rsidRPr="00973A2C" w:rsidRDefault="003013B4" w:rsidP="00AD309C">
      <w:pPr>
        <w:pStyle w:val="ListParagraph"/>
        <w:numPr>
          <w:ilvl w:val="0"/>
          <w:numId w:val="167"/>
        </w:numPr>
        <w:rPr>
          <w:rFonts w:cs="Arial"/>
        </w:rPr>
      </w:pPr>
      <w:r w:rsidRPr="00973A2C">
        <w:rPr>
          <w:rFonts w:cs="Arial"/>
        </w:rPr>
        <w:t xml:space="preserve">Select “VON National Performance Measure” in question #3, and </w:t>
      </w:r>
    </w:p>
    <w:p w14:paraId="5D8872A4" w14:textId="4F74B794" w:rsidR="003013B4" w:rsidRPr="009929CD" w:rsidRDefault="003013B4" w:rsidP="00AD309C">
      <w:pPr>
        <w:pStyle w:val="ListParagraph"/>
        <w:numPr>
          <w:ilvl w:val="0"/>
          <w:numId w:val="167"/>
        </w:numPr>
        <w:rPr>
          <w:rFonts w:cs="Arial"/>
        </w:rPr>
      </w:pPr>
      <w:r w:rsidRPr="009929CD">
        <w:rPr>
          <w:rFonts w:cs="Arial"/>
        </w:rPr>
        <w:t xml:space="preserve">Submit </w:t>
      </w:r>
      <w:r>
        <w:rPr>
          <w:rFonts w:cs="Arial"/>
        </w:rPr>
        <w:t>the 202</w:t>
      </w:r>
      <w:r w:rsidR="001D5AB5">
        <w:rPr>
          <w:rFonts w:cs="Arial"/>
        </w:rPr>
        <w:t>6</w:t>
      </w:r>
      <w:r>
        <w:rPr>
          <w:rFonts w:cs="Arial"/>
        </w:rPr>
        <w:t xml:space="preserve"> Leapfrog Hospital Survey</w:t>
      </w:r>
      <w:r w:rsidRPr="009929CD">
        <w:rPr>
          <w:rFonts w:cs="Arial"/>
        </w:rPr>
        <w:t xml:space="preserve"> by the June 30 Submission Deadline.</w:t>
      </w:r>
      <w:r w:rsidRPr="009929CD">
        <w:rPr>
          <w:rFonts w:cs="Arial"/>
        </w:rPr>
        <w:br/>
      </w:r>
    </w:p>
    <w:p w14:paraId="37B8B3AD" w14:textId="3104487F" w:rsidR="003013B4" w:rsidRPr="003013B4" w:rsidRDefault="003013B4" w:rsidP="003013B4">
      <w:pPr>
        <w:pStyle w:val="Header"/>
        <w:tabs>
          <w:tab w:val="clear" w:pos="4320"/>
          <w:tab w:val="clear" w:pos="8640"/>
        </w:tabs>
        <w:rPr>
          <w:rFonts w:cs="Arial"/>
        </w:rPr>
      </w:pPr>
      <w:r>
        <w:rPr>
          <w:rFonts w:cs="Arial"/>
        </w:rPr>
        <w:t>Hospitals that select “VON National Performance Measure” in question #3, but do not adhere to the other steps will be scored and publicly reported as “Declined to Re</w:t>
      </w:r>
      <w:r w:rsidR="00B757B9">
        <w:rPr>
          <w:rFonts w:cs="Arial"/>
        </w:rPr>
        <w:t>port</w:t>
      </w:r>
      <w:r>
        <w:rPr>
          <w:rFonts w:cs="Arial"/>
        </w:rPr>
        <w:t>” for the High-Risk Deliveries measure.</w:t>
      </w:r>
    </w:p>
    <w:p w14:paraId="46195259" w14:textId="77777777" w:rsidR="003013B4" w:rsidRPr="008D20D6" w:rsidRDefault="003013B4" w:rsidP="005E1D5D">
      <w:pPr>
        <w:rPr>
          <w:lang w:eastAsia="ja-JP"/>
        </w:rPr>
      </w:pPr>
    </w:p>
    <w:p w14:paraId="3DD61DF2" w14:textId="1C26FDDC" w:rsidR="00540038" w:rsidRDefault="00540038" w:rsidP="00540038">
      <w:pPr>
        <w:pStyle w:val="Header"/>
        <w:tabs>
          <w:tab w:val="clear" w:pos="4320"/>
          <w:tab w:val="clear" w:pos="8640"/>
        </w:tabs>
        <w:rPr>
          <w:rFonts w:cs="Arial"/>
        </w:rPr>
      </w:pPr>
      <w:r w:rsidRPr="009A5185">
        <w:rPr>
          <w:rFonts w:cs="Arial"/>
          <w:b/>
        </w:rPr>
        <w:t xml:space="preserve">Specifications: </w:t>
      </w:r>
      <w:r w:rsidRPr="009A5185">
        <w:rPr>
          <w:rFonts w:cs="Arial"/>
        </w:rPr>
        <w:t xml:space="preserve">See </w:t>
      </w:r>
      <w:hyperlink w:anchor="_High-Risk_Deliveries_Measure_1" w:history="1">
        <w:r w:rsidR="00AC7C90">
          <w:rPr>
            <w:rStyle w:val="Hyperlink"/>
            <w:rFonts w:cs="Arial"/>
            <w:b/>
            <w:i/>
          </w:rPr>
          <w:t>Neonatal Intensive Care Unit(s) – National Perfo</w:t>
        </w:r>
        <w:bookmarkStart w:id="315" w:name="_Hlt218513577"/>
        <w:r w:rsidR="00AC7C90">
          <w:rPr>
            <w:rStyle w:val="Hyperlink"/>
            <w:rFonts w:cs="Arial"/>
            <w:b/>
            <w:i/>
          </w:rPr>
          <w:t>r</w:t>
        </w:r>
        <w:bookmarkEnd w:id="315"/>
        <w:r w:rsidR="00AC7C90">
          <w:rPr>
            <w:rStyle w:val="Hyperlink"/>
            <w:rFonts w:cs="Arial"/>
            <w:b/>
            <w:i/>
          </w:rPr>
          <w:t>mance Measurement Measure Specifications</w:t>
        </w:r>
      </w:hyperlink>
      <w:r w:rsidRPr="009A5185">
        <w:rPr>
          <w:rFonts w:cs="Arial"/>
          <w:b/>
          <w:i/>
        </w:rPr>
        <w:t xml:space="preserve"> </w:t>
      </w:r>
      <w:r w:rsidRPr="009A5185">
        <w:rPr>
          <w:rFonts w:cs="Arial"/>
        </w:rPr>
        <w:t xml:space="preserve">in the Reference Information </w:t>
      </w:r>
      <w:r w:rsidR="008964E1">
        <w:rPr>
          <w:rFonts w:cs="Arial"/>
        </w:rPr>
        <w:t xml:space="preserve">beginning on page </w:t>
      </w:r>
      <w:r w:rsidR="008964E1">
        <w:rPr>
          <w:rFonts w:cs="Arial"/>
        </w:rPr>
        <w:fldChar w:fldCharType="begin"/>
      </w:r>
      <w:r w:rsidR="008964E1">
        <w:rPr>
          <w:rFonts w:cs="Arial"/>
        </w:rPr>
        <w:instrText xml:space="preserve"> PAGEREF _Ref123647058 \h </w:instrText>
      </w:r>
      <w:r w:rsidR="008964E1">
        <w:rPr>
          <w:rFonts w:cs="Arial"/>
        </w:rPr>
      </w:r>
      <w:r w:rsidR="008964E1">
        <w:rPr>
          <w:rFonts w:cs="Arial"/>
        </w:rPr>
        <w:fldChar w:fldCharType="separate"/>
      </w:r>
      <w:r w:rsidR="00C4182A">
        <w:rPr>
          <w:rFonts w:cs="Arial"/>
          <w:noProof/>
        </w:rPr>
        <w:t>173</w:t>
      </w:r>
      <w:r w:rsidR="008964E1">
        <w:rPr>
          <w:rFonts w:cs="Arial"/>
        </w:rPr>
        <w:fldChar w:fldCharType="end"/>
      </w:r>
      <w:r w:rsidR="008964E1">
        <w:rPr>
          <w:rFonts w:cs="Arial"/>
        </w:rPr>
        <w:t>.</w:t>
      </w:r>
    </w:p>
    <w:p w14:paraId="4A03FD2A" w14:textId="77777777" w:rsidR="00916AE9" w:rsidRPr="008D20D6" w:rsidRDefault="00916AE9" w:rsidP="00540038">
      <w:pPr>
        <w:pStyle w:val="Header"/>
        <w:tabs>
          <w:tab w:val="clear" w:pos="4320"/>
          <w:tab w:val="clear" w:pos="8640"/>
        </w:tabs>
        <w:rPr>
          <w:rFonts w:cs="Arial"/>
        </w:rPr>
      </w:pPr>
    </w:p>
    <w:p w14:paraId="5F57C584" w14:textId="14FF7E6E" w:rsidR="00540038" w:rsidRDefault="00916AE9" w:rsidP="005E1D5D">
      <w:pPr>
        <w:rPr>
          <w:rFonts w:cs="Arial"/>
          <w:snapToGrid w:val="0"/>
        </w:rPr>
      </w:pPr>
      <w:r w:rsidRPr="00916AE9">
        <w:rPr>
          <w:rFonts w:cs="Arial"/>
          <w:noProof/>
          <w:snapToGrid w:val="0"/>
        </w:rPr>
        <mc:AlternateContent>
          <mc:Choice Requires="wps">
            <w:drawing>
              <wp:inline distT="0" distB="0" distL="0" distR="0" wp14:anchorId="40570557" wp14:editId="550B774B">
                <wp:extent cx="5915660" cy="1404620"/>
                <wp:effectExtent l="0" t="0" r="27940" b="20955"/>
                <wp:docPr id="38" name="Text Box 38" descr="P6578TB20#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5660" cy="1404620"/>
                        </a:xfrm>
                        <a:prstGeom prst="rect">
                          <a:avLst/>
                        </a:prstGeom>
                        <a:solidFill>
                          <a:srgbClr val="FFFFFF"/>
                        </a:solidFill>
                        <a:ln w="9525">
                          <a:solidFill>
                            <a:srgbClr val="FF0000"/>
                          </a:solidFill>
                          <a:miter lim="800000"/>
                          <a:headEnd/>
                          <a:tailEnd/>
                        </a:ln>
                      </wps:spPr>
                      <wps:txbx>
                        <w:txbxContent>
                          <w:p w14:paraId="2436DBD4" w14:textId="33845D1D" w:rsidR="00916AE9" w:rsidRPr="009A5185" w:rsidRDefault="00916AE9" w:rsidP="00916AE9">
                            <w:pPr>
                              <w:spacing w:before="40"/>
                              <w:rPr>
                                <w:rFonts w:cs="Arial"/>
                              </w:rPr>
                            </w:pPr>
                            <w:r w:rsidRPr="009A5185">
                              <w:rPr>
                                <w:rFonts w:cs="Arial"/>
                                <w:b/>
                              </w:rPr>
                              <w:t>Reporting Period:</w:t>
                            </w:r>
                            <w:r w:rsidRPr="009A5185">
                              <w:rPr>
                                <w:rFonts w:cs="Arial"/>
                              </w:rPr>
                              <w:t xml:space="preserve"> </w:t>
                            </w:r>
                            <w:r w:rsidRPr="00DC436E">
                              <w:rPr>
                                <w:rFonts w:cs="Arial"/>
                                <w:b/>
                                <w:bCs/>
                              </w:rPr>
                              <w:t xml:space="preserve">12 months </w:t>
                            </w:r>
                          </w:p>
                          <w:p w14:paraId="679C26E3" w14:textId="77777777" w:rsidR="00916AE9" w:rsidRPr="009A5185" w:rsidRDefault="00916AE9" w:rsidP="00916AE9">
                            <w:pPr>
                              <w:rPr>
                                <w:rFonts w:cs="Arial"/>
                                <w:b/>
                              </w:rPr>
                            </w:pPr>
                            <w:r>
                              <w:rPr>
                                <w:rFonts w:cs="Arial"/>
                              </w:rPr>
                              <w:t>Responses are based</w:t>
                            </w:r>
                            <w:r w:rsidRPr="009A5185">
                              <w:rPr>
                                <w:rFonts w:cs="Arial"/>
                              </w:rPr>
                              <w:t xml:space="preserve"> on the latest </w:t>
                            </w:r>
                            <w:r w:rsidRPr="009A5185">
                              <w:rPr>
                                <w:rFonts w:cs="Arial"/>
                                <w:b/>
                              </w:rPr>
                              <w:t>12-month</w:t>
                            </w:r>
                            <w:r w:rsidRPr="009A5185">
                              <w:rPr>
                                <w:rFonts w:cs="Arial"/>
                              </w:rPr>
                              <w:t xml:space="preserve"> report received from the Vermont Oxford Network (VON) </w:t>
                            </w:r>
                            <w:r w:rsidRPr="00674A75">
                              <w:rPr>
                                <w:rFonts w:cs="Arial"/>
                                <w:bCs/>
                              </w:rPr>
                              <w:t xml:space="preserve">for the </w:t>
                            </w:r>
                            <w:r w:rsidRPr="009A5185">
                              <w:rPr>
                                <w:rFonts w:cs="Arial"/>
                                <w:b/>
                              </w:rPr>
                              <w:t xml:space="preserve">Death or Morbidity Measure. </w:t>
                            </w:r>
                          </w:p>
                          <w:p w14:paraId="6C8CBF42" w14:textId="0152EE41" w:rsidR="00916AE9" w:rsidRPr="009A5185" w:rsidRDefault="00916AE9" w:rsidP="00AD309C">
                            <w:pPr>
                              <w:pStyle w:val="ListParagraph"/>
                              <w:numPr>
                                <w:ilvl w:val="0"/>
                                <w:numId w:val="57"/>
                              </w:numPr>
                              <w:spacing w:after="120"/>
                              <w:rPr>
                                <w:rFonts w:cs="Arial"/>
                              </w:rPr>
                            </w:pPr>
                            <w:r>
                              <w:rPr>
                                <w:rFonts w:cs="Arial"/>
                              </w:rPr>
                              <w:t>202</w:t>
                            </w:r>
                            <w:r w:rsidR="00AE3F06">
                              <w:rPr>
                                <w:rFonts w:cs="Arial"/>
                              </w:rPr>
                              <w:t>4</w:t>
                            </w:r>
                            <w:r w:rsidRPr="009A5185">
                              <w:rPr>
                                <w:rFonts w:cs="Arial"/>
                              </w:rPr>
                              <w:t xml:space="preserve"> VON data </w:t>
                            </w:r>
                          </w:p>
                          <w:p w14:paraId="6E923D49" w14:textId="15B7E457" w:rsidR="00916AE9" w:rsidRDefault="00916AE9" w:rsidP="00AD309C">
                            <w:pPr>
                              <w:pStyle w:val="ListParagraph"/>
                              <w:numPr>
                                <w:ilvl w:val="0"/>
                                <w:numId w:val="57"/>
                              </w:numPr>
                              <w:rPr>
                                <w:rFonts w:cs="Arial"/>
                              </w:rPr>
                            </w:pPr>
                            <w:r>
                              <w:rPr>
                                <w:rFonts w:cs="Arial"/>
                              </w:rPr>
                              <w:t>202</w:t>
                            </w:r>
                            <w:r w:rsidR="00AE3F06">
                              <w:rPr>
                                <w:rFonts w:cs="Arial"/>
                              </w:rPr>
                              <w:t>5</w:t>
                            </w:r>
                            <w:r w:rsidRPr="009A5185">
                              <w:rPr>
                                <w:rFonts w:cs="Arial"/>
                              </w:rPr>
                              <w:t xml:space="preserve"> VON data</w:t>
                            </w:r>
                            <w:r>
                              <w:rPr>
                                <w:rFonts w:cs="Arial"/>
                              </w:rPr>
                              <w:t xml:space="preserve"> </w:t>
                            </w:r>
                            <w:r w:rsidRPr="00F54D35">
                              <w:rPr>
                                <w:rFonts w:cs="Arial"/>
                                <w:i/>
                                <w:iCs/>
                              </w:rPr>
                              <w:t>(usually available after August 31)</w:t>
                            </w:r>
                          </w:p>
                          <w:p w14:paraId="7B461287" w14:textId="77777777" w:rsidR="00916AE9" w:rsidRDefault="00916AE9" w:rsidP="00916AE9">
                            <w:pPr>
                              <w:rPr>
                                <w:rFonts w:cs="Arial"/>
                              </w:rPr>
                            </w:pPr>
                          </w:p>
                          <w:p w14:paraId="3E00DFCA" w14:textId="54F89449" w:rsidR="00916AE9" w:rsidRDefault="00916AE9" w:rsidP="00916AE9">
                            <w:r w:rsidRPr="0011459E">
                              <w:rPr>
                                <w:rFonts w:cs="Arial"/>
                                <w:i/>
                                <w:iCs/>
                                <w:sz w:val="16"/>
                                <w:szCs w:val="16"/>
                              </w:rPr>
                              <w:t xml:space="preserve">Leapfrog will update the VON data three times per Survey Cycle for all hospitals that have completed the steps noted above. See deadlines and reporting periods in the </w:t>
                            </w:r>
                            <w:hyperlink w:anchor="_High-Risk_Deliveries_Measure_1" w:history="1">
                              <w:r>
                                <w:rPr>
                                  <w:rStyle w:val="Hyperlink"/>
                                  <w:rFonts w:cs="Arial"/>
                                  <w:b/>
                                  <w:i/>
                                  <w:iCs/>
                                  <w:sz w:val="16"/>
                                  <w:szCs w:val="16"/>
                                </w:rPr>
                                <w:t>Neonatal Intensive Care Unit(s) - National Performance Measurement Measure Specifications</w:t>
                              </w:r>
                            </w:hyperlink>
                            <w:r>
                              <w:rPr>
                                <w:rStyle w:val="Hyperlink"/>
                                <w:rFonts w:cs="Arial"/>
                                <w:b/>
                                <w:i/>
                                <w:iCs/>
                                <w:sz w:val="16"/>
                                <w:szCs w:val="16"/>
                              </w:rPr>
                              <w:t>.</w:t>
                            </w:r>
                          </w:p>
                        </w:txbxContent>
                      </wps:txbx>
                      <wps:bodyPr rot="0" vert="horz" wrap="square" lIns="91440" tIns="45720" rIns="91440" bIns="45720" anchor="t" anchorCtr="0">
                        <a:spAutoFit/>
                      </wps:bodyPr>
                    </wps:wsp>
                  </a:graphicData>
                </a:graphic>
              </wp:inline>
            </w:drawing>
          </mc:Choice>
          <mc:Fallback>
            <w:pict>
              <v:shape w14:anchorId="40570557" id="Text Box 38" o:spid="_x0000_s1047" type="#_x0000_t202" alt="P6578TB20#y1" style="width:465.8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" strokecolor="red">
                <v:textbox style="mso-fit-shape-to-text:t">
                  <w:txbxContent>
                    <w:p w14:paraId="2436DBD4" w14:textId="33845D1D" w:rsidR="00916AE9" w:rsidRPr="009A5185" w:rsidRDefault="00916AE9" w:rsidP="00916AE9">
                      <w:pPr>
                        <w:spacing w:before="40"/>
                        <w:rPr>
                          <w:rFonts w:cs="Arial"/>
                        </w:rPr>
                      </w:pPr>
                      <w:r w:rsidRPr="009A5185">
                        <w:rPr>
                          <w:rFonts w:cs="Arial"/>
                          <w:b/>
                        </w:rPr>
                        <w:t>Reporting Period:</w:t>
                      </w:r>
                      <w:r w:rsidRPr="009A5185">
                        <w:rPr>
                          <w:rFonts w:cs="Arial"/>
                        </w:rPr>
                        <w:t xml:space="preserve"> </w:t>
                      </w:r>
                      <w:r w:rsidRPr="00DC436E">
                        <w:rPr>
                          <w:rFonts w:cs="Arial"/>
                          <w:b/>
                          <w:bCs/>
                        </w:rPr>
                        <w:t xml:space="preserve">12 months </w:t>
                      </w:r>
                    </w:p>
                    <w:p w14:paraId="679C26E3" w14:textId="77777777" w:rsidR="00916AE9" w:rsidRPr="009A5185" w:rsidRDefault="00916AE9" w:rsidP="00916AE9">
                      <w:pPr>
                        <w:rPr>
                          <w:rFonts w:cs="Arial"/>
                          <w:b/>
                        </w:rPr>
                      </w:pPr>
                      <w:r>
                        <w:rPr>
                          <w:rFonts w:cs="Arial"/>
                        </w:rPr>
                        <w:t>Responses are based</w:t>
                      </w:r>
                      <w:r w:rsidRPr="009A5185">
                        <w:rPr>
                          <w:rFonts w:cs="Arial"/>
                        </w:rPr>
                        <w:t xml:space="preserve"> on the latest </w:t>
                      </w:r>
                      <w:r w:rsidRPr="009A5185">
                        <w:rPr>
                          <w:rFonts w:cs="Arial"/>
                          <w:b/>
                        </w:rPr>
                        <w:t>12-month</w:t>
                      </w:r>
                      <w:r w:rsidRPr="009A5185">
                        <w:rPr>
                          <w:rFonts w:cs="Arial"/>
                        </w:rPr>
                        <w:t xml:space="preserve"> report received from the Vermont Oxford Network (VON) </w:t>
                      </w:r>
                      <w:r w:rsidRPr="00674A75">
                        <w:rPr>
                          <w:rFonts w:cs="Arial"/>
                          <w:bCs/>
                        </w:rPr>
                        <w:t xml:space="preserve">for the </w:t>
                      </w:r>
                      <w:r w:rsidRPr="009A5185">
                        <w:rPr>
                          <w:rFonts w:cs="Arial"/>
                          <w:b/>
                        </w:rPr>
                        <w:t xml:space="preserve">Death or Morbidity Measure. </w:t>
                      </w:r>
                    </w:p>
                    <w:p w14:paraId="6C8CBF42" w14:textId="0152EE41" w:rsidR="00916AE9" w:rsidRPr="009A5185" w:rsidRDefault="00916AE9" w:rsidP="00AD309C">
                      <w:pPr>
                        <w:pStyle w:val="ListParagraph"/>
                        <w:numPr>
                          <w:ilvl w:val="0"/>
                          <w:numId w:val="57"/>
                        </w:numPr>
                        <w:spacing w:after="120"/>
                        <w:rPr>
                          <w:rFonts w:cs="Arial"/>
                        </w:rPr>
                      </w:pPr>
                      <w:r>
                        <w:rPr>
                          <w:rFonts w:cs="Arial"/>
                        </w:rPr>
                        <w:t>202</w:t>
                      </w:r>
                      <w:r w:rsidR="00AE3F06">
                        <w:rPr>
                          <w:rFonts w:cs="Arial"/>
                        </w:rPr>
                        <w:t>4</w:t>
                      </w:r>
                      <w:r w:rsidRPr="009A5185">
                        <w:rPr>
                          <w:rFonts w:cs="Arial"/>
                        </w:rPr>
                        <w:t xml:space="preserve"> VON data </w:t>
                      </w:r>
                    </w:p>
                    <w:p w14:paraId="6E923D49" w14:textId="15B7E457" w:rsidR="00916AE9" w:rsidRDefault="00916AE9" w:rsidP="00AD309C">
                      <w:pPr>
                        <w:pStyle w:val="ListParagraph"/>
                        <w:numPr>
                          <w:ilvl w:val="0"/>
                          <w:numId w:val="57"/>
                        </w:numPr>
                        <w:rPr>
                          <w:rFonts w:cs="Arial"/>
                        </w:rPr>
                      </w:pPr>
                      <w:r>
                        <w:rPr>
                          <w:rFonts w:cs="Arial"/>
                        </w:rPr>
                        <w:t>202</w:t>
                      </w:r>
                      <w:r w:rsidR="00AE3F06">
                        <w:rPr>
                          <w:rFonts w:cs="Arial"/>
                        </w:rPr>
                        <w:t>5</w:t>
                      </w:r>
                      <w:r w:rsidRPr="009A5185">
                        <w:rPr>
                          <w:rFonts w:cs="Arial"/>
                        </w:rPr>
                        <w:t xml:space="preserve"> VON data</w:t>
                      </w:r>
                      <w:r>
                        <w:rPr>
                          <w:rFonts w:cs="Arial"/>
                        </w:rPr>
                        <w:t xml:space="preserve"> </w:t>
                      </w:r>
                      <w:r w:rsidRPr="00F54D35">
                        <w:rPr>
                          <w:rFonts w:cs="Arial"/>
                          <w:i/>
                          <w:iCs/>
                        </w:rPr>
                        <w:t>(usually available after August 31)</w:t>
                      </w:r>
                    </w:p>
                    <w:p w14:paraId="7B461287" w14:textId="77777777" w:rsidR="00916AE9" w:rsidRDefault="00916AE9" w:rsidP="00916AE9">
                      <w:pPr>
                        <w:rPr>
                          <w:rFonts w:cs="Arial"/>
                        </w:rPr>
                      </w:pPr>
                    </w:p>
                    <w:p w14:paraId="3E00DFCA" w14:textId="54F89449" w:rsidR="00916AE9" w:rsidRDefault="00916AE9" w:rsidP="00916AE9">
                      <w:r w:rsidRPr="0011459E">
                        <w:rPr>
                          <w:rFonts w:cs="Arial"/>
                          <w:i/>
                          <w:iCs/>
                          <w:sz w:val="16"/>
                          <w:szCs w:val="16"/>
                        </w:rPr>
                        <w:t xml:space="preserve">Leapfrog will update the VON data three times per Survey Cycle for all hospitals that have completed the steps noted above. See deadlines and reporting periods in the </w:t>
                      </w:r>
                      <w:hyperlink w:anchor="_High-Risk_Deliveries_Measure_1" w:history="1">
                        <w:r>
                          <w:rPr>
                            <w:rStyle w:val="Hyperlink"/>
                            <w:rFonts w:cs="Arial"/>
                            <w:b/>
                            <w:i/>
                            <w:iCs/>
                            <w:sz w:val="16"/>
                            <w:szCs w:val="16"/>
                          </w:rPr>
                          <w:t>Neonatal Intensive Care Unit(s) - National Performance Measurement Measure Specifications</w:t>
                        </w:r>
                      </w:hyperlink>
                      <w:r>
                        <w:rPr>
                          <w:rStyle w:val="Hyperlink"/>
                          <w:rFonts w:cs="Arial"/>
                          <w:b/>
                          <w:i/>
                          <w:iCs/>
                          <w:sz w:val="16"/>
                          <w:szCs w:val="16"/>
                        </w:rPr>
                        <w:t>.</w:t>
                      </w:r>
                    </w:p>
                  </w:txbxContent>
                </v:textbox>
                <w10:anchorlock/>
              </v:shape>
            </w:pict>
          </mc:Fallback>
        </mc:AlternateContent>
      </w:r>
    </w:p>
    <w:p w14:paraId="6BE6921A" w14:textId="77777777" w:rsidR="00CD0E94" w:rsidRPr="008D20D6" w:rsidRDefault="00CD0E94" w:rsidP="005E1D5D">
      <w:pPr>
        <w:rPr>
          <w:rFonts w:cs="Arial"/>
          <w:snapToGrid w:val="0"/>
        </w:rPr>
      </w:pPr>
    </w:p>
    <w:tbl>
      <w:tblPr>
        <w:tblStyle w:val="TableGrid"/>
        <w:tblW w:w="0" w:type="auto"/>
        <w:tblLook w:val="04A0" w:firstRow="1" w:lastRow="0" w:firstColumn="1" w:lastColumn="0" w:noHBand="0" w:noVBand="1"/>
      </w:tblPr>
      <w:tblGrid>
        <w:gridCol w:w="6925"/>
        <w:gridCol w:w="2425"/>
      </w:tblGrid>
      <w:tr w:rsidR="00540038" w14:paraId="7AD873E6" w14:textId="77777777" w:rsidTr="00C06753">
        <w:tc>
          <w:tcPr>
            <w:tcW w:w="6925" w:type="dxa"/>
            <w:vAlign w:val="center"/>
          </w:tcPr>
          <w:p w14:paraId="6196AC40" w14:textId="57D54257" w:rsidR="00540038" w:rsidRDefault="00AC0F19" w:rsidP="00AD309C">
            <w:pPr>
              <w:pStyle w:val="ListParagraph"/>
              <w:numPr>
                <w:ilvl w:val="0"/>
                <w:numId w:val="10"/>
              </w:numPr>
              <w:rPr>
                <w:lang w:eastAsia="ja-JP"/>
              </w:rPr>
            </w:pPr>
            <w:r>
              <w:rPr>
                <w:rFonts w:cs="Arial"/>
                <w:snapToGrid w:val="0"/>
                <w:color w:val="000000"/>
              </w:rPr>
              <w:t>M</w:t>
            </w:r>
            <w:r w:rsidR="00540038" w:rsidRPr="00540038">
              <w:rPr>
                <w:rFonts w:cs="Arial"/>
                <w:snapToGrid w:val="0"/>
                <w:color w:val="000000"/>
              </w:rPr>
              <w:t xml:space="preserve">ost recent 12-month </w:t>
            </w:r>
            <w:r w:rsidR="00540038" w:rsidRPr="00540038">
              <w:rPr>
                <w:rFonts w:cs="Arial"/>
                <w:snapToGrid w:val="0"/>
              </w:rPr>
              <w:t>reporting period for which VON performance results are available</w:t>
            </w:r>
            <w:r>
              <w:rPr>
                <w:rFonts w:cs="Arial"/>
                <w:snapToGrid w:val="0"/>
              </w:rPr>
              <w:t>:</w:t>
            </w:r>
            <w:r w:rsidR="00540038" w:rsidRPr="00540038">
              <w:rPr>
                <w:rFonts w:cs="Arial"/>
                <w:snapToGrid w:val="0"/>
              </w:rPr>
              <w:t xml:space="preserve"> </w:t>
            </w:r>
          </w:p>
        </w:tc>
        <w:tc>
          <w:tcPr>
            <w:tcW w:w="2425" w:type="dxa"/>
            <w:shd w:val="clear" w:color="auto" w:fill="BFBFBF" w:themeFill="background1" w:themeFillShade="BF"/>
            <w:vAlign w:val="center"/>
          </w:tcPr>
          <w:p w14:paraId="6C5B04EA" w14:textId="1F2BAD76" w:rsidR="00540038" w:rsidRDefault="00540038" w:rsidP="00F0772B">
            <w:pPr>
              <w:jc w:val="center"/>
              <w:rPr>
                <w:lang w:eastAsia="ja-JP"/>
              </w:rPr>
            </w:pPr>
            <w:r w:rsidRPr="00D22120">
              <w:rPr>
                <w:rFonts w:cs="Arial"/>
                <w:i/>
                <w:snapToGrid w:val="0"/>
              </w:rPr>
              <w:t>No response required here. Determined automatically based on VON data.</w:t>
            </w:r>
          </w:p>
        </w:tc>
      </w:tr>
      <w:tr w:rsidR="00540038" w14:paraId="3E2286B0" w14:textId="77777777" w:rsidTr="00C06753">
        <w:tc>
          <w:tcPr>
            <w:tcW w:w="6925" w:type="dxa"/>
            <w:vAlign w:val="center"/>
          </w:tcPr>
          <w:p w14:paraId="5CE33829" w14:textId="738A1741" w:rsidR="00540038" w:rsidRDefault="00AC0F19" w:rsidP="00AD309C">
            <w:pPr>
              <w:pStyle w:val="ListParagraph"/>
              <w:numPr>
                <w:ilvl w:val="0"/>
                <w:numId w:val="10"/>
              </w:numPr>
              <w:rPr>
                <w:lang w:eastAsia="ja-JP"/>
              </w:rPr>
            </w:pPr>
            <w:r>
              <w:rPr>
                <w:rFonts w:cs="Arial"/>
                <w:snapToGrid w:val="0"/>
              </w:rPr>
              <w:t>H</w:t>
            </w:r>
            <w:r w:rsidR="00540038" w:rsidRPr="00540038">
              <w:rPr>
                <w:rFonts w:cs="Arial"/>
                <w:snapToGrid w:val="0"/>
              </w:rPr>
              <w:t>ospital’s volume</w:t>
            </w:r>
            <w:r>
              <w:rPr>
                <w:rFonts w:cs="Arial"/>
                <w:snapToGrid w:val="0"/>
              </w:rPr>
              <w:t xml:space="preserve"> based on VON report:</w:t>
            </w:r>
          </w:p>
        </w:tc>
        <w:tc>
          <w:tcPr>
            <w:tcW w:w="2425" w:type="dxa"/>
            <w:shd w:val="clear" w:color="auto" w:fill="BFBFBF" w:themeFill="background1" w:themeFillShade="BF"/>
            <w:vAlign w:val="center"/>
          </w:tcPr>
          <w:p w14:paraId="13EE759B" w14:textId="4781B94A" w:rsidR="00540038" w:rsidRDefault="00540038" w:rsidP="00F0772B">
            <w:pPr>
              <w:jc w:val="center"/>
              <w:rPr>
                <w:lang w:eastAsia="ja-JP"/>
              </w:rPr>
            </w:pPr>
            <w:r w:rsidRPr="00D22120">
              <w:rPr>
                <w:rFonts w:cs="Arial"/>
                <w:i/>
                <w:snapToGrid w:val="0"/>
              </w:rPr>
              <w:t>No response required here. Determined automatically based on VON data.</w:t>
            </w:r>
          </w:p>
        </w:tc>
      </w:tr>
      <w:tr w:rsidR="00540038" w14:paraId="4B295E35" w14:textId="77777777" w:rsidTr="00C06753">
        <w:tc>
          <w:tcPr>
            <w:tcW w:w="6925" w:type="dxa"/>
            <w:vAlign w:val="center"/>
          </w:tcPr>
          <w:p w14:paraId="4D95DD70" w14:textId="1DAB4118" w:rsidR="00540038" w:rsidRDefault="00AC0F19" w:rsidP="00AD309C">
            <w:pPr>
              <w:pStyle w:val="ListParagraph"/>
              <w:numPr>
                <w:ilvl w:val="0"/>
                <w:numId w:val="10"/>
              </w:numPr>
              <w:rPr>
                <w:lang w:eastAsia="ja-JP"/>
              </w:rPr>
            </w:pPr>
            <w:r>
              <w:rPr>
                <w:rFonts w:cs="Arial"/>
                <w:snapToGrid w:val="0"/>
                <w:color w:val="000000"/>
              </w:rPr>
              <w:t>H</w:t>
            </w:r>
            <w:r w:rsidR="00540038" w:rsidRPr="00F0772B">
              <w:rPr>
                <w:rFonts w:cs="Arial"/>
                <w:snapToGrid w:val="0"/>
                <w:color w:val="000000"/>
              </w:rPr>
              <w:t xml:space="preserve">ospital’s </w:t>
            </w:r>
            <w:r w:rsidR="003B5A2B">
              <w:rPr>
                <w:rFonts w:cs="Arial"/>
                <w:snapToGrid w:val="0"/>
                <w:color w:val="000000"/>
              </w:rPr>
              <w:t xml:space="preserve">standardized mortality ratio </w:t>
            </w:r>
            <w:r w:rsidR="00762174">
              <w:rPr>
                <w:rFonts w:cs="Arial"/>
                <w:snapToGrid w:val="0"/>
                <w:color w:val="000000"/>
              </w:rPr>
              <w:t>(</w:t>
            </w:r>
            <w:r w:rsidR="00540038" w:rsidRPr="00F0772B">
              <w:rPr>
                <w:rFonts w:cs="Arial"/>
                <w:b/>
                <w:snapToGrid w:val="0"/>
                <w:color w:val="000000"/>
              </w:rPr>
              <w:t>SMR</w:t>
            </w:r>
            <w:r w:rsidR="00762174">
              <w:rPr>
                <w:rFonts w:cs="Arial"/>
                <w:b/>
                <w:snapToGrid w:val="0"/>
                <w:color w:val="000000"/>
              </w:rPr>
              <w:t>)</w:t>
            </w:r>
            <w:r w:rsidR="00540038" w:rsidRPr="00F0772B">
              <w:rPr>
                <w:rFonts w:cs="Arial"/>
                <w:b/>
                <w:snapToGrid w:val="0"/>
                <w:color w:val="000000"/>
              </w:rPr>
              <w:t xml:space="preserve"> 95% lowe</w:t>
            </w:r>
            <w:r w:rsidR="00540038" w:rsidRPr="00F0772B">
              <w:rPr>
                <w:rFonts w:cs="Arial"/>
                <w:b/>
                <w:bCs/>
                <w:snapToGrid w:val="0"/>
                <w:color w:val="000000"/>
              </w:rPr>
              <w:t xml:space="preserve">r </w:t>
            </w:r>
            <w:r w:rsidR="00540038" w:rsidRPr="00F0772B">
              <w:rPr>
                <w:rFonts w:cs="Arial"/>
                <w:b/>
                <w:snapToGrid w:val="0"/>
                <w:color w:val="000000"/>
              </w:rPr>
              <w:t>bound</w:t>
            </w:r>
            <w:r>
              <w:rPr>
                <w:rFonts w:cs="Arial"/>
                <w:snapToGrid w:val="0"/>
                <w:color w:val="000000"/>
              </w:rPr>
              <w:t xml:space="preserve"> </w:t>
            </w:r>
            <w:r>
              <w:rPr>
                <w:rFonts w:cs="Arial"/>
                <w:snapToGrid w:val="0"/>
              </w:rPr>
              <w:t>based on VON report:</w:t>
            </w:r>
          </w:p>
        </w:tc>
        <w:tc>
          <w:tcPr>
            <w:tcW w:w="2425" w:type="dxa"/>
            <w:shd w:val="clear" w:color="auto" w:fill="BFBFBF" w:themeFill="background1" w:themeFillShade="BF"/>
            <w:vAlign w:val="center"/>
          </w:tcPr>
          <w:p w14:paraId="095CE0D1" w14:textId="71FB3B1A" w:rsidR="00540038" w:rsidRDefault="00540038" w:rsidP="00F0772B">
            <w:pPr>
              <w:jc w:val="center"/>
              <w:rPr>
                <w:lang w:eastAsia="ja-JP"/>
              </w:rPr>
            </w:pPr>
            <w:r w:rsidRPr="00D22120">
              <w:rPr>
                <w:rFonts w:cs="Arial"/>
                <w:i/>
                <w:snapToGrid w:val="0"/>
              </w:rPr>
              <w:t>No response required here. Determined automatically based on VON data.</w:t>
            </w:r>
          </w:p>
        </w:tc>
      </w:tr>
      <w:tr w:rsidR="00540038" w14:paraId="507B9B25" w14:textId="77777777" w:rsidTr="00C06753">
        <w:tc>
          <w:tcPr>
            <w:tcW w:w="6925" w:type="dxa"/>
            <w:vAlign w:val="center"/>
          </w:tcPr>
          <w:p w14:paraId="0D0FFE82" w14:textId="5F434778" w:rsidR="00540038" w:rsidRDefault="00AC0F19" w:rsidP="00AD309C">
            <w:pPr>
              <w:pStyle w:val="ListParagraph"/>
              <w:numPr>
                <w:ilvl w:val="0"/>
                <w:numId w:val="10"/>
              </w:numPr>
              <w:rPr>
                <w:lang w:eastAsia="ja-JP"/>
              </w:rPr>
            </w:pPr>
            <w:r>
              <w:rPr>
                <w:rFonts w:cs="Arial"/>
                <w:snapToGrid w:val="0"/>
                <w:color w:val="000000"/>
              </w:rPr>
              <w:t>H</w:t>
            </w:r>
            <w:r w:rsidR="00540038" w:rsidRPr="00F0772B">
              <w:rPr>
                <w:rFonts w:cs="Arial"/>
                <w:snapToGrid w:val="0"/>
                <w:color w:val="000000"/>
              </w:rPr>
              <w:t>ospital’s observed to expected ratio of morbidity or mortality (</w:t>
            </w:r>
            <w:r w:rsidR="00540038" w:rsidRPr="00F0772B">
              <w:rPr>
                <w:rFonts w:cs="Arial"/>
                <w:b/>
                <w:snapToGrid w:val="0"/>
                <w:color w:val="000000"/>
              </w:rPr>
              <w:t>SMR shrunken</w:t>
            </w:r>
            <w:r w:rsidR="00540038" w:rsidRPr="00F0772B">
              <w:rPr>
                <w:rFonts w:cs="Arial"/>
                <w:snapToGrid w:val="0"/>
                <w:color w:val="000000"/>
              </w:rPr>
              <w:t>)</w:t>
            </w:r>
            <w:r>
              <w:rPr>
                <w:rFonts w:cs="Arial"/>
                <w:snapToGrid w:val="0"/>
                <w:color w:val="000000"/>
              </w:rPr>
              <w:t xml:space="preserve"> </w:t>
            </w:r>
            <w:r>
              <w:rPr>
                <w:rFonts w:cs="Arial"/>
                <w:snapToGrid w:val="0"/>
              </w:rPr>
              <w:t>based on VON report:</w:t>
            </w:r>
          </w:p>
        </w:tc>
        <w:tc>
          <w:tcPr>
            <w:tcW w:w="2425" w:type="dxa"/>
            <w:shd w:val="clear" w:color="auto" w:fill="BFBFBF" w:themeFill="background1" w:themeFillShade="BF"/>
            <w:vAlign w:val="center"/>
          </w:tcPr>
          <w:p w14:paraId="39A3803E" w14:textId="6C516181" w:rsidR="00540038" w:rsidRDefault="00540038" w:rsidP="00F0772B">
            <w:pPr>
              <w:jc w:val="center"/>
              <w:rPr>
                <w:lang w:eastAsia="ja-JP"/>
              </w:rPr>
            </w:pPr>
            <w:r w:rsidRPr="00D22120">
              <w:rPr>
                <w:rFonts w:cs="Arial"/>
                <w:i/>
                <w:snapToGrid w:val="0"/>
              </w:rPr>
              <w:t>No response required here. Determined automatically based on VON data.</w:t>
            </w:r>
          </w:p>
        </w:tc>
      </w:tr>
      <w:tr w:rsidR="00540038" w14:paraId="3FFC907A" w14:textId="77777777" w:rsidTr="00C06753">
        <w:tc>
          <w:tcPr>
            <w:tcW w:w="6925" w:type="dxa"/>
            <w:vAlign w:val="center"/>
          </w:tcPr>
          <w:p w14:paraId="30FBC55E" w14:textId="7C710E5C" w:rsidR="00540038" w:rsidRDefault="00FD6F28" w:rsidP="00AD309C">
            <w:pPr>
              <w:pStyle w:val="ListParagraph"/>
              <w:numPr>
                <w:ilvl w:val="0"/>
                <w:numId w:val="10"/>
              </w:numPr>
              <w:rPr>
                <w:lang w:eastAsia="ja-JP"/>
              </w:rPr>
            </w:pPr>
            <w:r>
              <w:rPr>
                <w:rFonts w:cs="Arial"/>
                <w:snapToGrid w:val="0"/>
                <w:color w:val="000000"/>
              </w:rPr>
              <w:t>H</w:t>
            </w:r>
            <w:r w:rsidR="00540038" w:rsidRPr="00F0772B">
              <w:rPr>
                <w:rFonts w:cs="Arial"/>
                <w:snapToGrid w:val="0"/>
                <w:color w:val="000000"/>
              </w:rPr>
              <w:t xml:space="preserve">ospital’s </w:t>
            </w:r>
            <w:r w:rsidR="00540038" w:rsidRPr="00F0772B">
              <w:rPr>
                <w:rFonts w:cs="Arial"/>
                <w:b/>
                <w:snapToGrid w:val="0"/>
                <w:color w:val="000000"/>
              </w:rPr>
              <w:t>SMR 95% upper bound</w:t>
            </w:r>
            <w:r>
              <w:rPr>
                <w:rFonts w:cs="Arial"/>
                <w:snapToGrid w:val="0"/>
                <w:color w:val="000000"/>
              </w:rPr>
              <w:t xml:space="preserve"> </w:t>
            </w:r>
            <w:r>
              <w:rPr>
                <w:rFonts w:cs="Arial"/>
                <w:snapToGrid w:val="0"/>
              </w:rPr>
              <w:t>based on VON report:</w:t>
            </w:r>
          </w:p>
        </w:tc>
        <w:tc>
          <w:tcPr>
            <w:tcW w:w="2425" w:type="dxa"/>
            <w:shd w:val="clear" w:color="auto" w:fill="BFBFBF" w:themeFill="background1" w:themeFillShade="BF"/>
            <w:vAlign w:val="center"/>
          </w:tcPr>
          <w:p w14:paraId="45CF6257" w14:textId="3DB2B8C1" w:rsidR="00540038" w:rsidRDefault="00540038" w:rsidP="00F0772B">
            <w:pPr>
              <w:jc w:val="center"/>
              <w:rPr>
                <w:lang w:eastAsia="ja-JP"/>
              </w:rPr>
            </w:pPr>
            <w:r w:rsidRPr="00D22120">
              <w:rPr>
                <w:rFonts w:cs="Arial"/>
                <w:i/>
                <w:snapToGrid w:val="0"/>
              </w:rPr>
              <w:t>No response required here. Determined automatically based on VON data.</w:t>
            </w:r>
          </w:p>
        </w:tc>
      </w:tr>
    </w:tbl>
    <w:p w14:paraId="79722570" w14:textId="77777777" w:rsidR="005E1D5D" w:rsidRPr="00F0772B" w:rsidRDefault="005E1D5D" w:rsidP="005E1D5D">
      <w:pPr>
        <w:rPr>
          <w:lang w:eastAsia="ja-JP"/>
        </w:rPr>
      </w:pPr>
    </w:p>
    <w:p w14:paraId="42900428" w14:textId="77777777" w:rsidR="00AE1A2D" w:rsidRPr="009A5185" w:rsidRDefault="00AE1A2D">
      <w:pPr>
        <w:rPr>
          <w:rFonts w:cs="Arial"/>
        </w:rPr>
      </w:pPr>
    </w:p>
    <w:p w14:paraId="7E77C51A" w14:textId="77777777" w:rsidR="0007708F" w:rsidRDefault="0007708F">
      <w:pPr>
        <w:rPr>
          <w:rFonts w:cs="Arial"/>
          <w:b/>
          <w:snapToGrid w:val="0"/>
          <w:color w:val="000000"/>
        </w:rPr>
      </w:pPr>
      <w:r>
        <w:rPr>
          <w:rFonts w:cs="Arial"/>
          <w:b/>
          <w:snapToGrid w:val="0"/>
          <w:color w:val="000000"/>
        </w:rPr>
        <w:br w:type="page"/>
      </w:r>
    </w:p>
    <w:p w14:paraId="53D17CDE" w14:textId="77777777" w:rsidR="006E50EF" w:rsidRPr="009A5185" w:rsidRDefault="006E50EF">
      <w:pPr>
        <w:rPr>
          <w:rFonts w:cs="Arial"/>
          <w:b/>
          <w:snapToGrid w:val="0"/>
          <w:color w:val="000000"/>
        </w:rPr>
      </w:pPr>
      <w:r w:rsidRPr="009A5185">
        <w:rPr>
          <w:rFonts w:cs="Arial"/>
          <w:b/>
          <w:snapToGrid w:val="0"/>
          <w:color w:val="000000"/>
        </w:rPr>
        <w:t>Affirmation of Accuracy</w:t>
      </w:r>
    </w:p>
    <w:p w14:paraId="26B02565" w14:textId="77777777" w:rsidR="006E50EF" w:rsidRPr="009A5185" w:rsidRDefault="006E50EF">
      <w:pPr>
        <w:rPr>
          <w:rFonts w:cs="Arial"/>
          <w:snapToGrid w:val="0"/>
          <w:color w:val="000000"/>
        </w:rPr>
      </w:pPr>
    </w:p>
    <w:p w14:paraId="4E9757E0" w14:textId="6BB7A2DA" w:rsidR="00456023" w:rsidRPr="009A5185" w:rsidRDefault="00456023" w:rsidP="00456023">
      <w:pPr>
        <w:rPr>
          <w:rFonts w:cs="Arial"/>
          <w:color w:val="000000"/>
        </w:rPr>
      </w:pPr>
      <w:r w:rsidRPr="009A5185">
        <w:rPr>
          <w:rFonts w:cs="Arial"/>
          <w:color w:val="000000"/>
        </w:rPr>
        <w:t xml:space="preserve">As the hospital CEO or as an employee of the hospital to whom the hospital CEO has delegated responsibility, I have reviewed this information pertaining to the Maternity Care Section at our hospital, and I hereby </w:t>
      </w:r>
      <w:r w:rsidR="00DC7772">
        <w:rPr>
          <w:rFonts w:cs="Arial"/>
          <w:color w:val="000000"/>
        </w:rPr>
        <w:t>affirm</w:t>
      </w:r>
      <w:r w:rsidRPr="009A5185">
        <w:rPr>
          <w:rFonts w:cs="Arial"/>
          <w:color w:val="000000"/>
        </w:rPr>
        <w:t xml:space="preserve"> that this information is true, accurate, and reflect</w:t>
      </w:r>
      <w:r w:rsidR="00B7608D" w:rsidRPr="009A5185">
        <w:rPr>
          <w:rFonts w:cs="Arial"/>
          <w:color w:val="000000"/>
        </w:rPr>
        <w:t>s</w:t>
      </w:r>
      <w:r w:rsidRPr="009A5185">
        <w:rPr>
          <w:rFonts w:cs="Arial"/>
          <w:color w:val="000000"/>
        </w:rPr>
        <w:t xml:space="preserve"> the current, normal operating circumstances at our hospital. I am authorized to make this </w:t>
      </w:r>
      <w:r w:rsidR="00DC7772">
        <w:rPr>
          <w:rFonts w:cs="Arial"/>
          <w:color w:val="000000"/>
        </w:rPr>
        <w:t>affirmation</w:t>
      </w:r>
      <w:r w:rsidRPr="009A5185">
        <w:rPr>
          <w:rFonts w:cs="Arial"/>
          <w:color w:val="000000"/>
        </w:rPr>
        <w:t xml:space="preserve"> on behalf of our hospital. </w:t>
      </w:r>
    </w:p>
    <w:p w14:paraId="1F131175" w14:textId="77777777" w:rsidR="00456023" w:rsidRPr="009A5185" w:rsidRDefault="00456023" w:rsidP="00456023">
      <w:pPr>
        <w:rPr>
          <w:rFonts w:cs="Arial"/>
          <w:color w:val="000000"/>
        </w:rPr>
      </w:pPr>
    </w:p>
    <w:p w14:paraId="6E407B41" w14:textId="4CF4FC70" w:rsidR="00564519" w:rsidRPr="009A5185" w:rsidRDefault="00564519" w:rsidP="00564519">
      <w:pPr>
        <w:rPr>
          <w:rFonts w:cs="Arial"/>
          <w:sz w:val="22"/>
          <w:szCs w:val="22"/>
        </w:rPr>
      </w:pPr>
      <w:r w:rsidRPr="009A5185">
        <w:rPr>
          <w:rFonts w:cs="Arial"/>
        </w:rPr>
        <w:t xml:space="preserve">The </w:t>
      </w:r>
      <w:r w:rsidRPr="00534EFC">
        <w:rPr>
          <w:rFonts w:cs="Arial"/>
        </w:rPr>
        <w:t xml:space="preserve">hospital and I </w:t>
      </w:r>
      <w:r>
        <w:rPr>
          <w:rFonts w:cs="Arial"/>
        </w:rPr>
        <w:t>acknowledge</w:t>
      </w:r>
      <w:r w:rsidRPr="00534EFC">
        <w:rPr>
          <w:rFonts w:cs="Arial"/>
        </w:rPr>
        <w:t xml:space="preserve"> that The Leapfrog Group, its members, the public and entities and persons who contract or have other business dealings with The Leapfrog Group are relying on the truth and accuracy of this information. The hospital and I also </w:t>
      </w:r>
      <w:r>
        <w:rPr>
          <w:rFonts w:cs="Arial"/>
        </w:rPr>
        <w:t>acknowledge</w:t>
      </w:r>
      <w:r w:rsidRPr="00534EFC">
        <w:rPr>
          <w:rFonts w:cs="Arial"/>
        </w:rPr>
        <w:t xml:space="preserve"> that </w:t>
      </w:r>
      <w:r>
        <w:rPr>
          <w:rFonts w:cs="Arial"/>
        </w:rPr>
        <w:t xml:space="preserve">analyses and ratings </w:t>
      </w:r>
      <w:r w:rsidRPr="00534EFC">
        <w:rPr>
          <w:rFonts w:cs="Arial"/>
        </w:rPr>
        <w:t>The Leapfrog Group</w:t>
      </w:r>
      <w:r>
        <w:rPr>
          <w:rFonts w:cs="Arial"/>
        </w:rPr>
        <w:t xml:space="preserve"> derives from</w:t>
      </w:r>
      <w:r w:rsidRPr="00534EFC">
        <w:rPr>
          <w:rFonts w:cs="Arial"/>
        </w:rPr>
        <w:t xml:space="preserve"> this information</w:t>
      </w:r>
      <w:r>
        <w:rPr>
          <w:rFonts w:cs="Arial"/>
        </w:rPr>
        <w:t xml:space="preserve"> will be made public on</w:t>
      </w:r>
      <w:r w:rsidRPr="00534EFC">
        <w:rPr>
          <w:rFonts w:cs="Arial"/>
        </w:rPr>
        <w:t xml:space="preserve"> the Survey Results public reporting website, The Leapfrog Group’s Hospital Safety Grade</w:t>
      </w:r>
      <w:r>
        <w:rPr>
          <w:rFonts w:cs="Arial"/>
        </w:rPr>
        <w:t xml:space="preserve"> website</w:t>
      </w:r>
      <w:r w:rsidRPr="00534EFC">
        <w:rPr>
          <w:rFonts w:cs="Arial"/>
        </w:rPr>
        <w:t xml:space="preserve">, and/or other Leapfrog Group </w:t>
      </w:r>
      <w:r>
        <w:rPr>
          <w:rFonts w:cs="Arial"/>
        </w:rPr>
        <w:t xml:space="preserve">published works, </w:t>
      </w:r>
      <w:r w:rsidRPr="00534EFC">
        <w:rPr>
          <w:rFonts w:cs="Arial"/>
        </w:rPr>
        <w:t xml:space="preserve">products and services. </w:t>
      </w:r>
      <w:r>
        <w:rPr>
          <w:rFonts w:cs="Arial"/>
        </w:rPr>
        <w:t>The hospital and I acknowledge that analyses and ratings derived from t</w:t>
      </w:r>
      <w:r w:rsidRPr="00534EFC">
        <w:rPr>
          <w:rFonts w:cs="Arial"/>
        </w:rPr>
        <w:t>his information and all intellectual property rights</w:t>
      </w:r>
      <w:r>
        <w:rPr>
          <w:rFonts w:cs="Arial"/>
        </w:rPr>
        <w:t xml:space="preserve"> related to those analyses and ratings</w:t>
      </w:r>
      <w:r w:rsidRPr="00534EFC">
        <w:rPr>
          <w:rFonts w:cs="Arial"/>
        </w:rPr>
        <w:t xml:space="preserve"> shall be and remain the sole and exclusive property of The Leapfrog Group </w:t>
      </w:r>
      <w:r w:rsidRPr="00534EFC">
        <w:t>in which The Leapfrog Group retains exclusive ownership</w:t>
      </w:r>
      <w:r w:rsidRPr="00534EFC">
        <w:rPr>
          <w:rFonts w:cs="Arial"/>
        </w:rPr>
        <w:t xml:space="preserve">. </w:t>
      </w:r>
      <w:r>
        <w:rPr>
          <w:rFonts w:cs="Arial"/>
        </w:rPr>
        <w:t>I hereby affirm that t</w:t>
      </w:r>
      <w:r w:rsidRPr="00534EFC">
        <w:rPr>
          <w:rFonts w:cs="Arial"/>
        </w:rPr>
        <w:t>his information does not infringe upon any third-party intellectual property rights</w:t>
      </w:r>
      <w:r w:rsidRPr="00534EFC">
        <w:t xml:space="preserve"> or any other third-party rights whatsoever and is free and clear of all encumbrances and liens of any kind</w:t>
      </w:r>
      <w:r w:rsidRPr="00534EFC">
        <w:rPr>
          <w:rFonts w:cs="Arial"/>
        </w:rPr>
        <w:t xml:space="preserve">. The hospital and I acknowledge that The Leapfrog Group may </w:t>
      </w:r>
      <w:r>
        <w:rPr>
          <w:rFonts w:cs="Arial"/>
        </w:rPr>
        <w:t>license</w:t>
      </w:r>
      <w:r w:rsidRPr="00534EFC">
        <w:rPr>
          <w:rFonts w:cs="Arial"/>
        </w:rPr>
        <w:t xml:space="preserve"> </w:t>
      </w:r>
      <w:r>
        <w:rPr>
          <w:rFonts w:cs="Arial"/>
        </w:rPr>
        <w:t xml:space="preserve">analyses and ratings derived from </w:t>
      </w:r>
      <w:r w:rsidRPr="00534EFC">
        <w:rPr>
          <w:rFonts w:cs="Arial"/>
        </w:rPr>
        <w:t xml:space="preserve">this information </w:t>
      </w:r>
      <w:r>
        <w:rPr>
          <w:rFonts w:cs="Arial"/>
        </w:rPr>
        <w:t>to other entities including researchers, not-for-profit entities, and for-profit entities, and the revenue from such licensure will be used solely to support The Leapfrog Group’s not-for-profit mission</w:t>
      </w:r>
      <w:r w:rsidRPr="00534EFC">
        <w:rPr>
          <w:rFonts w:cs="Arial"/>
        </w:rPr>
        <w:t>. The hospital shall be liable for and shall hold harmless and indemnify The Leapfrog Group from any and all damages, demands, costs, or causes of action resulting from any inaccuracies in the information or any misrepresentations in this Affirmation of Accuracy. The Leapfrog Group and its members and entities and persons who contract or have other business dealings with The Leapfrog Group reserve the right to omit or disclaim information that is not current, accurate or truthful.</w:t>
      </w:r>
    </w:p>
    <w:p w14:paraId="1AA614A9" w14:textId="77777777" w:rsidR="006E50EF" w:rsidRPr="009A5185" w:rsidRDefault="006E50EF">
      <w:pPr>
        <w:rPr>
          <w:rFonts w:cs="Arial"/>
          <w:snapToGrid w:val="0"/>
          <w:color w:val="000000"/>
        </w:rPr>
      </w:pPr>
    </w:p>
    <w:p w14:paraId="70735116" w14:textId="77777777" w:rsidR="006E50EF" w:rsidRPr="009A5185" w:rsidRDefault="006E50EF">
      <w:pPr>
        <w:rPr>
          <w:rFonts w:cs="Arial"/>
          <w:snapToGrid w:val="0"/>
          <w:color w:val="000000"/>
        </w:rPr>
      </w:pPr>
    </w:p>
    <w:p w14:paraId="12FAB3F4" w14:textId="77777777" w:rsidR="006E50EF" w:rsidRPr="009A5185" w:rsidRDefault="006E50EF">
      <w:pPr>
        <w:spacing w:line="240" w:lineRule="exact"/>
        <w:rPr>
          <w:rFonts w:cs="Arial"/>
          <w:snapToGrid w:val="0"/>
          <w:color w:val="000000"/>
        </w:rPr>
      </w:pPr>
      <w:r w:rsidRPr="009A5185">
        <w:rPr>
          <w:rFonts w:cs="Arial"/>
          <w:snapToGrid w:val="0"/>
          <w:color w:val="000000"/>
        </w:rPr>
        <w:t>Affirmed by _____________________, the hospital’s ___________________________,</w:t>
      </w:r>
    </w:p>
    <w:p w14:paraId="36D64DF7" w14:textId="77777777" w:rsidR="008A631A" w:rsidRPr="009A5185" w:rsidRDefault="008A631A" w:rsidP="008A631A">
      <w:pPr>
        <w:pStyle w:val="BodyText2"/>
        <w:spacing w:line="240" w:lineRule="exact"/>
        <w:rPr>
          <w:rFonts w:cs="Arial"/>
        </w:rPr>
      </w:pPr>
      <w:r w:rsidRPr="009A5185">
        <w:rPr>
          <w:rFonts w:cs="Arial"/>
        </w:rPr>
        <w:tab/>
        <w:t xml:space="preserve"> </w:t>
      </w:r>
      <w:r>
        <w:rPr>
          <w:rFonts w:cs="Arial"/>
        </w:rPr>
        <w:t xml:space="preserve">    </w:t>
      </w:r>
      <w:r w:rsidRPr="009A5185">
        <w:rPr>
          <w:rFonts w:cs="Arial"/>
        </w:rPr>
        <w:t>(</w:t>
      </w:r>
      <w:r>
        <w:rPr>
          <w:rFonts w:cs="Arial"/>
        </w:rPr>
        <w:t xml:space="preserve">first </w:t>
      </w:r>
      <w:r w:rsidRPr="009A5185">
        <w:rPr>
          <w:rFonts w:cs="Arial"/>
        </w:rPr>
        <w:t>name</w:t>
      </w:r>
      <w:r>
        <w:rPr>
          <w:rFonts w:cs="Arial"/>
        </w:rPr>
        <w:t xml:space="preserve"> and last name)</w:t>
      </w:r>
      <w:r>
        <w:rPr>
          <w:rFonts w:cs="Arial"/>
        </w:rPr>
        <w:tab/>
      </w:r>
      <w:r>
        <w:rPr>
          <w:rFonts w:cs="Arial"/>
        </w:rPr>
        <w:tab/>
      </w:r>
      <w:r>
        <w:rPr>
          <w:rFonts w:cs="Arial"/>
        </w:rPr>
        <w:tab/>
      </w:r>
      <w:r>
        <w:rPr>
          <w:rFonts w:cs="Arial"/>
        </w:rPr>
        <w:tab/>
      </w:r>
      <w:r w:rsidRPr="009A5185">
        <w:rPr>
          <w:rFonts w:cs="Arial"/>
        </w:rPr>
        <w:t>(title)</w:t>
      </w:r>
    </w:p>
    <w:p w14:paraId="5679CAA8" w14:textId="77777777" w:rsidR="006E50EF" w:rsidRPr="009A5185" w:rsidRDefault="006E50EF">
      <w:pPr>
        <w:rPr>
          <w:rFonts w:cs="Arial"/>
          <w:snapToGrid w:val="0"/>
        </w:rPr>
      </w:pPr>
      <w:r w:rsidRPr="009A5185">
        <w:rPr>
          <w:rFonts w:cs="Arial"/>
          <w:snapToGrid w:val="0"/>
        </w:rPr>
        <w:t>on _______________________.</w:t>
      </w:r>
    </w:p>
    <w:p w14:paraId="19606547" w14:textId="77777777" w:rsidR="006E50EF" w:rsidRPr="009A5185" w:rsidRDefault="006E50EF">
      <w:pPr>
        <w:spacing w:line="240" w:lineRule="exact"/>
        <w:rPr>
          <w:rFonts w:cs="Arial"/>
          <w:i/>
        </w:rPr>
      </w:pPr>
      <w:r w:rsidRPr="009A5185">
        <w:rPr>
          <w:rFonts w:cs="Arial"/>
          <w:i/>
        </w:rPr>
        <w:t xml:space="preserve">                    (date)</w:t>
      </w:r>
    </w:p>
    <w:p w14:paraId="221A0AE5" w14:textId="77777777" w:rsidR="006E50EF" w:rsidRPr="009A5185" w:rsidRDefault="006E50EF">
      <w:pPr>
        <w:rPr>
          <w:rFonts w:cs="Arial"/>
          <w:i/>
        </w:rPr>
      </w:pPr>
      <w:r w:rsidRPr="009A5185">
        <w:rPr>
          <w:rFonts w:cs="Arial"/>
          <w:i/>
        </w:rPr>
        <w:br w:type="page"/>
      </w:r>
    </w:p>
    <w:p w14:paraId="5C20AC36" w14:textId="53662125" w:rsidR="006E50EF" w:rsidRPr="009A5185" w:rsidRDefault="006E50EF" w:rsidP="00CF5A6E">
      <w:pPr>
        <w:pStyle w:val="Heading2"/>
      </w:pPr>
      <w:bookmarkStart w:id="316" w:name="_Toc383775038"/>
      <w:bookmarkStart w:id="317" w:name="_Toc225877736"/>
      <w:r w:rsidRPr="009A5185">
        <w:t>Section 4: Maternity Care</w:t>
      </w:r>
      <w:bookmarkEnd w:id="316"/>
      <w:r w:rsidRPr="009A5185">
        <w:t xml:space="preserve"> </w:t>
      </w:r>
      <w:bookmarkStart w:id="318" w:name="_Toc236210621"/>
      <w:r w:rsidRPr="009A5185">
        <w:t>Reference Information</w:t>
      </w:r>
      <w:bookmarkEnd w:id="317"/>
    </w:p>
    <w:p w14:paraId="6C7B7638" w14:textId="77777777" w:rsidR="006E50EF" w:rsidRPr="00D165E2" w:rsidRDefault="006E50EF" w:rsidP="00CD7AE6">
      <w:pPr>
        <w:rPr>
          <w:rFonts w:cs="Arial"/>
          <w:bCs/>
          <w:szCs w:val="12"/>
          <w:lang w:eastAsia="ja-JP"/>
        </w:rPr>
      </w:pPr>
    </w:p>
    <w:p w14:paraId="5773440B" w14:textId="402D703C" w:rsidR="00047ADA" w:rsidRPr="009A5185" w:rsidRDefault="00047ADA" w:rsidP="00AB5B80">
      <w:pPr>
        <w:pStyle w:val="Heading3"/>
      </w:pPr>
      <w:bookmarkStart w:id="319" w:name="_Toc383775039"/>
      <w:bookmarkStart w:id="320" w:name="_Toc225877737"/>
      <w:bookmarkStart w:id="321" w:name="_Toc236210637"/>
      <w:bookmarkStart w:id="322" w:name="_Toc383775041"/>
      <w:bookmarkEnd w:id="318"/>
      <w:r w:rsidRPr="009A5185">
        <w:t xml:space="preserve">What’s New in the </w:t>
      </w:r>
      <w:bookmarkEnd w:id="319"/>
      <w:r w:rsidR="00A236B1">
        <w:t>202</w:t>
      </w:r>
      <w:r w:rsidR="003A7091">
        <w:t>6</w:t>
      </w:r>
      <w:r w:rsidR="001A6D91" w:rsidRPr="009A5185">
        <w:t xml:space="preserve"> </w:t>
      </w:r>
      <w:r w:rsidRPr="009A5185">
        <w:t>Survey</w:t>
      </w:r>
      <w:bookmarkEnd w:id="320"/>
    </w:p>
    <w:p w14:paraId="7C064404" w14:textId="77777777" w:rsidR="00047ADA" w:rsidRDefault="00047ADA" w:rsidP="00047ADA">
      <w:pPr>
        <w:rPr>
          <w:rFonts w:cs="Arial"/>
          <w:lang w:eastAsia="ja-JP"/>
        </w:rPr>
      </w:pPr>
    </w:p>
    <w:p w14:paraId="3262F56B" w14:textId="79F6992F" w:rsidR="009F321F" w:rsidRDefault="009F321F" w:rsidP="00047ADA">
      <w:r w:rsidRPr="009F321F">
        <w:t xml:space="preserve">Leapfrog is updating the measure specifications from The Joint Commission for PC-02 Cesarean Birth (Section 4B) to reflect version </w:t>
      </w:r>
      <w:hyperlink r:id="rId270" w:history="1">
        <w:r w:rsidRPr="00F86E89">
          <w:rPr>
            <w:rStyle w:val="Hyperlink"/>
          </w:rPr>
          <w:t>2026A1</w:t>
        </w:r>
      </w:hyperlink>
      <w:r w:rsidRPr="009F321F">
        <w:t xml:space="preserve"> for those hospitals that do not already submit data to The Joint Commission and therefore need to retrospectively collect data. We are also continuing to accept both data for the chart-abstracted measure (PC-02) and data collected using The Joint Commission’s electronic clinical quality measure (</w:t>
      </w:r>
      <w:proofErr w:type="spellStart"/>
      <w:r w:rsidRPr="009F321F">
        <w:t>eCQM</w:t>
      </w:r>
      <w:proofErr w:type="spellEnd"/>
      <w:r w:rsidRPr="009F321F">
        <w:t xml:space="preserve">) specifications (ePC-02). Hospitals measuring this quality indicator and reporting results to The Joint Commission should continue to use that data when responding to the questions in Section 4B: Cesarean Birth. </w:t>
      </w:r>
    </w:p>
    <w:p w14:paraId="24BD71B6" w14:textId="77777777" w:rsidR="009F321F" w:rsidRDefault="009F321F" w:rsidP="00047ADA"/>
    <w:p w14:paraId="09208F3C" w14:textId="196DCF7B" w:rsidR="00C46CE9" w:rsidRDefault="009F321F" w:rsidP="00047ADA">
      <w:r w:rsidRPr="009F321F">
        <w:t>Hospitals participating in the California Maternal Quality Care Collaborative (CMQCC) Maternal Data Center may continue using the data provided in their CMQCC reports when responding to subsections 4A: Maternity Care Volume and Services (volume only), 4B: Cesarean Birth, 4C: Episiotomy, and 4D: Process Measures of Quality. Hospitals participating in the Michigan Obstetrics Initiative (OBI) may also continue to use the data provided in their OBI reports to report on Section 4B: Cesarean Birth.</w:t>
      </w:r>
    </w:p>
    <w:p w14:paraId="6BBE4768" w14:textId="77777777" w:rsidR="009F321F" w:rsidRPr="009A5185" w:rsidRDefault="009F321F" w:rsidP="00047ADA">
      <w:pPr>
        <w:rPr>
          <w:rFonts w:cs="Arial"/>
          <w:lang w:eastAsia="ja-JP"/>
        </w:rPr>
      </w:pPr>
    </w:p>
    <w:p w14:paraId="13355DF6" w14:textId="2DEFB880" w:rsidR="00CE1733" w:rsidRDefault="00CE1733" w:rsidP="000C1F1D">
      <w:pPr>
        <w:pStyle w:val="Heading44"/>
      </w:pPr>
      <w:r>
        <w:t xml:space="preserve">Section 4A: </w:t>
      </w:r>
      <w:r w:rsidR="00157FDB">
        <w:t>Maternity</w:t>
      </w:r>
      <w:r>
        <w:t xml:space="preserve"> Care Volume and Services</w:t>
      </w:r>
    </w:p>
    <w:p w14:paraId="56A85AD7" w14:textId="77777777" w:rsidR="00DF3CC6" w:rsidRDefault="00DF3CC6" w:rsidP="00D20722"/>
    <w:p w14:paraId="3100E7C4" w14:textId="55D9A49D" w:rsidR="00CD368D" w:rsidRPr="00FF5C3A" w:rsidRDefault="00CD368D" w:rsidP="00CD368D">
      <w:pPr>
        <w:rPr>
          <w:rFonts w:eastAsia="Calibri" w:cstheme="minorHAnsi"/>
          <w:b/>
          <w:bCs/>
          <w:color w:val="000000" w:themeColor="text1"/>
        </w:rPr>
      </w:pPr>
      <w:r>
        <w:rPr>
          <w:rFonts w:eastAsia="Calibri" w:cstheme="minorHAnsi"/>
          <w:b/>
          <w:bCs/>
          <w:color w:val="000000" w:themeColor="text1"/>
        </w:rPr>
        <w:t>Maternity Care Volume</w:t>
      </w:r>
    </w:p>
    <w:p w14:paraId="37F0F023" w14:textId="639148A3" w:rsidR="00CD368D" w:rsidRDefault="00F86E89" w:rsidP="00CD368D">
      <w:pPr>
        <w:rPr>
          <w:rFonts w:eastAsia="Calibri" w:cstheme="minorHAnsi"/>
          <w:color w:val="000000" w:themeColor="text1"/>
        </w:rPr>
      </w:pPr>
      <w:r w:rsidRPr="00F86E89">
        <w:rPr>
          <w:rFonts w:eastAsia="Calibri" w:cstheme="minorHAnsi"/>
          <w:color w:val="000000" w:themeColor="text1"/>
        </w:rPr>
        <w:t>Leapfrog is updating the measure specifications used to report on the total number of live births (volume) in Section 4A: Maternity Care Volume and Services to indicate that hospitals participating in the California Maternal Quality Care Collaborative (CMQCC) Maternal Data Center may use the data provided in CMQCC reports when reporting on their live births. As in past Surveys, hospitals can alternatively continue to either use the data reported to their state or the Z codes provided in the measure specifications.</w:t>
      </w:r>
    </w:p>
    <w:p w14:paraId="45E0E810" w14:textId="77777777" w:rsidR="00F86E89" w:rsidRDefault="00F86E89" w:rsidP="00CD368D">
      <w:pPr>
        <w:rPr>
          <w:rFonts w:eastAsia="Calibri" w:cstheme="minorHAnsi"/>
          <w:color w:val="000000" w:themeColor="text1"/>
        </w:rPr>
      </w:pPr>
    </w:p>
    <w:p w14:paraId="31395358" w14:textId="77777777" w:rsidR="00CD368D" w:rsidRDefault="00CD368D" w:rsidP="00CD368D">
      <w:pPr>
        <w:rPr>
          <w:rFonts w:eastAsia="Calibri" w:cstheme="minorHAnsi"/>
          <w:b/>
          <w:bCs/>
          <w:color w:val="000000" w:themeColor="text1"/>
        </w:rPr>
      </w:pPr>
      <w:r>
        <w:rPr>
          <w:rFonts w:eastAsia="Calibri" w:cstheme="minorHAnsi"/>
          <w:b/>
          <w:bCs/>
          <w:color w:val="000000" w:themeColor="text1"/>
        </w:rPr>
        <w:t>Maternity Care Services</w:t>
      </w:r>
    </w:p>
    <w:p w14:paraId="330D6D2B" w14:textId="518320DE" w:rsidR="00F86E89" w:rsidRDefault="00F86E89" w:rsidP="00CD368D">
      <w:pPr>
        <w:rPr>
          <w:rFonts w:eastAsia="Calibri" w:cstheme="minorHAnsi"/>
          <w:color w:val="000000" w:themeColor="text1"/>
        </w:rPr>
      </w:pPr>
      <w:r w:rsidRPr="00F86E89">
        <w:rPr>
          <w:rFonts w:eastAsia="Calibri" w:cstheme="minorHAnsi"/>
          <w:color w:val="000000" w:themeColor="text1"/>
        </w:rPr>
        <w:t>Leapfrog is updating the existing Maternity Care Services questions to provide further clarity on the services provided at hospitals offering maternity care to ensure this data can continue to be used in a meaningful and useful way by hospitals, patients and their families, employers, purchasers, and other users of Leapfrog’s data. Updates include a revised question and FAQ related to the type of breastfeeding/lactation support offered</w:t>
      </w:r>
      <w:r>
        <w:rPr>
          <w:rFonts w:eastAsia="Calibri" w:cstheme="minorHAnsi"/>
          <w:color w:val="000000" w:themeColor="text1"/>
        </w:rPr>
        <w:t xml:space="preserve"> after </w:t>
      </w:r>
      <w:r w:rsidR="00AF488A" w:rsidRPr="00AF488A">
        <w:rPr>
          <w:rFonts w:eastAsia="Calibri" w:cstheme="minorHAnsi"/>
          <w:color w:val="000000" w:themeColor="text1"/>
        </w:rPr>
        <w:t>delivery and prior to hospital discharge. As a reminder, these questions are used in public reporting but are not scored.</w:t>
      </w:r>
    </w:p>
    <w:p w14:paraId="76828D0C" w14:textId="77777777" w:rsidR="00AF488A" w:rsidRDefault="00AF488A" w:rsidP="00CD368D">
      <w:pPr>
        <w:rPr>
          <w:rFonts w:eastAsia="Calibri" w:cstheme="minorHAnsi"/>
          <w:color w:val="000000" w:themeColor="text1"/>
        </w:rPr>
      </w:pPr>
    </w:p>
    <w:p w14:paraId="240BCA55" w14:textId="77777777" w:rsidR="00AF488A" w:rsidRDefault="00AF488A" w:rsidP="00CD368D">
      <w:pPr>
        <w:rPr>
          <w:rFonts w:eastAsia="Calibri" w:cstheme="minorHAnsi"/>
          <w:color w:val="000000" w:themeColor="text1"/>
        </w:rPr>
      </w:pPr>
      <w:r w:rsidRPr="00AF488A">
        <w:rPr>
          <w:rFonts w:eastAsia="Calibri" w:cstheme="minorHAnsi"/>
          <w:b/>
          <w:bCs/>
          <w:color w:val="000000" w:themeColor="text1"/>
        </w:rPr>
        <w:t>Request for Information</w:t>
      </w:r>
      <w:r w:rsidRPr="00AF488A">
        <w:rPr>
          <w:rFonts w:eastAsia="Calibri" w:cstheme="minorHAnsi"/>
          <w:color w:val="000000" w:themeColor="text1"/>
        </w:rPr>
        <w:t xml:space="preserve"> </w:t>
      </w:r>
    </w:p>
    <w:p w14:paraId="74751B09" w14:textId="29C2125D" w:rsidR="00AF488A" w:rsidRDefault="00AF488A" w:rsidP="00CD368D">
      <w:pPr>
        <w:rPr>
          <w:rFonts w:eastAsia="Calibri" w:cstheme="minorHAnsi"/>
          <w:color w:val="000000" w:themeColor="text1"/>
        </w:rPr>
      </w:pPr>
      <w:r w:rsidRPr="00AF488A">
        <w:rPr>
          <w:rFonts w:eastAsia="Calibri" w:cstheme="minorHAnsi"/>
          <w:color w:val="000000" w:themeColor="text1"/>
        </w:rPr>
        <w:t xml:space="preserve">As part of our request for public comments, Leapfrog included a request for information on the collection of data and calculation of rates for vaginal births after cesarean section (VBACs) in the 2027 Leapfrog Hospital Survey. Specifically, Leapfrog asked about the </w:t>
      </w:r>
      <w:hyperlink r:id="rId271" w:history="1">
        <w:r w:rsidRPr="00BB7E52">
          <w:rPr>
            <w:rStyle w:val="Hyperlink"/>
            <w:rFonts w:eastAsia="Calibri" w:cstheme="minorHAnsi"/>
          </w:rPr>
          <w:t>Agency for Healthcare Research and Quality (AHRQ)’s Inpatient Quality Indicator (IQI) 22: Vaginal Birth After Cesarean (VBAC) Delivery Rate, Uncomplicated</w:t>
        </w:r>
      </w:hyperlink>
      <w:r w:rsidRPr="00AF488A">
        <w:rPr>
          <w:rFonts w:eastAsia="Calibri" w:cstheme="minorHAnsi"/>
          <w:color w:val="000000" w:themeColor="text1"/>
        </w:rPr>
        <w:t xml:space="preserve"> measure which is currently used by both CMQCC and Cal Hospital Compare, as well as other states. Leapfrog appreciates all the comments that were received. </w:t>
      </w:r>
    </w:p>
    <w:p w14:paraId="16A6A729" w14:textId="77777777" w:rsidR="00AF488A" w:rsidRDefault="00AF488A" w:rsidP="00CD368D">
      <w:pPr>
        <w:rPr>
          <w:rFonts w:eastAsia="Calibri" w:cstheme="minorHAnsi"/>
          <w:color w:val="000000" w:themeColor="text1"/>
        </w:rPr>
      </w:pPr>
    </w:p>
    <w:p w14:paraId="29ABB3BA" w14:textId="3C209817" w:rsidR="00AF488A" w:rsidRDefault="00AF488A" w:rsidP="00CD368D">
      <w:pPr>
        <w:rPr>
          <w:rFonts w:eastAsia="Calibri" w:cstheme="minorHAnsi"/>
          <w:color w:val="000000" w:themeColor="text1"/>
        </w:rPr>
      </w:pPr>
      <w:r w:rsidRPr="00AF488A">
        <w:rPr>
          <w:rFonts w:eastAsia="Calibri" w:cstheme="minorHAnsi"/>
          <w:color w:val="000000" w:themeColor="text1"/>
        </w:rPr>
        <w:t xml:space="preserve">Several comments supported the inclusion of this measure and hospitals indicated that they are already collecting the data needed to report. A few comments explained that the exclusion criteria used in the measure does not fully account for clinically appropriate, guideline-supported indications for repeat cesarean delivery and urged Leapfrog to consider additional exclusions or other reporting metrics. One comment cautioned Leapfrog against unintentional consequences when evaluating the measure, such as encouraging inappropriate access rather than safe access. All comments will be reviewed with Leapfrog’s </w:t>
      </w:r>
      <w:hyperlink r:id="rId272" w:history="1">
        <w:r w:rsidRPr="00BB7E52">
          <w:rPr>
            <w:rStyle w:val="Hyperlink"/>
            <w:rFonts w:eastAsia="Calibri" w:cstheme="minorHAnsi"/>
          </w:rPr>
          <w:t>Maternity Care Expert Panel</w:t>
        </w:r>
      </w:hyperlink>
      <w:r w:rsidRPr="00AF488A">
        <w:rPr>
          <w:rFonts w:eastAsia="Calibri" w:cstheme="minorHAnsi"/>
          <w:color w:val="000000" w:themeColor="text1"/>
        </w:rPr>
        <w:t xml:space="preserve"> as part of Leapfrog’s regular standard review process. </w:t>
      </w:r>
    </w:p>
    <w:p w14:paraId="09604FD5" w14:textId="77777777" w:rsidR="00AF488A" w:rsidRDefault="00AF488A" w:rsidP="00CD368D">
      <w:pPr>
        <w:rPr>
          <w:rFonts w:eastAsia="Calibri" w:cstheme="minorHAnsi"/>
          <w:color w:val="000000" w:themeColor="text1"/>
        </w:rPr>
      </w:pPr>
    </w:p>
    <w:p w14:paraId="3FDABFB9" w14:textId="3B1AACB4" w:rsidR="00AF488A" w:rsidRPr="00F86E89" w:rsidRDefault="00AF488A" w:rsidP="00CD368D">
      <w:pPr>
        <w:rPr>
          <w:rFonts w:eastAsia="Calibri" w:cstheme="minorHAnsi"/>
          <w:color w:val="000000" w:themeColor="text1"/>
        </w:rPr>
      </w:pPr>
      <w:r w:rsidRPr="00AF488A">
        <w:rPr>
          <w:rFonts w:eastAsia="Calibri" w:cstheme="minorHAnsi"/>
          <w:color w:val="000000" w:themeColor="text1"/>
        </w:rPr>
        <w:t>While we continue to evaluate this information, we are removing the current maternity services question regarding whether hospitals offer patients the opportunity to attempt VBAC from the 2026 Leapfrog Hospital Survey</w:t>
      </w:r>
    </w:p>
    <w:p w14:paraId="6BCF8D0A" w14:textId="3145E2D5" w:rsidR="007A5BCF" w:rsidRDefault="007A5BCF">
      <w:r>
        <w:br w:type="page"/>
      </w:r>
    </w:p>
    <w:p w14:paraId="07082B01" w14:textId="1D31A83F" w:rsidR="00CE1733" w:rsidRDefault="00CE1733" w:rsidP="000C1F1D">
      <w:pPr>
        <w:pStyle w:val="Heading44"/>
      </w:pPr>
      <w:r>
        <w:t>Section 4</w:t>
      </w:r>
      <w:r w:rsidR="00C679A0">
        <w:t>B</w:t>
      </w:r>
      <w:r>
        <w:t>: Cesarean Birth</w:t>
      </w:r>
    </w:p>
    <w:p w14:paraId="28B3CB02" w14:textId="35E8D404" w:rsidR="00AE4170" w:rsidRDefault="00220A70" w:rsidP="00AE4170">
      <w:r w:rsidRPr="00220A70">
        <w:t xml:space="preserve">Leapfrog is continuing to include questions on the collection of cesarean birth data (NTSV C-section measure) by race/ethnicity and is asking hospitals to provide numerators and denominators for the NTSV C-section measure for each of the following races/ethnicities, which were also used in 2024 and 2025 reporting: Non-Hispanic White, Non-Hispanic Black, Non-Hispanic American Indian or Alaska Native, Non-Hispanic Asian or Pacific Islander, Hispanic, and Non-Hispanic Other (including two or more races). Reporting this information requires that hospitals collect ethnicity and race, including if a patient identifies with multiple races. As in 2024 and 2025, these questions are required but will not be used in scoring or public reporting by hospital on the Survey Results website. Instead, cesarean birth rates stratified by race/ethnicity will continue to be confidentially shared with reporting </w:t>
      </w:r>
      <w:r w:rsidR="00AE4170">
        <w:t xml:space="preserve">hospitals on their </w:t>
      </w:r>
      <w:hyperlink r:id="rId273" w:history="1">
        <w:r w:rsidR="00AE4170" w:rsidRPr="00B11815">
          <w:rPr>
            <w:rStyle w:val="Hyperlink"/>
          </w:rPr>
          <w:t>Hospital Details Pages</w:t>
        </w:r>
      </w:hyperlink>
      <w:r w:rsidR="00AE4170">
        <w:t>.</w:t>
      </w:r>
    </w:p>
    <w:p w14:paraId="147FDD67" w14:textId="77777777" w:rsidR="00AE4170" w:rsidRDefault="00AE4170" w:rsidP="00AE4170"/>
    <w:p w14:paraId="2B938866" w14:textId="25AED42E" w:rsidR="00CE1733" w:rsidRDefault="00220A70" w:rsidP="00D20722">
      <w:r w:rsidRPr="00220A70">
        <w:t xml:space="preserve">Hospitals participating in the California Maternal Quality Care Collaborative (CMQCC) Maternal Data Center may use the data provided in their CMQCC reports and hospitals reporting to the U.S. News &amp; World Report Maternity Services Survey may use the data provided to U.S. News &amp; World Report when responding to these questions. Both can use the crosswalk provided in the measure specifications to aid in reporting. Otherwise, hospitals will continue to use The Joint Commission’s PC-02 Cesarean Birth measure specifications (version </w:t>
      </w:r>
      <w:hyperlink r:id="rId274" w:history="1">
        <w:r w:rsidRPr="00220A70">
          <w:rPr>
            <w:rStyle w:val="Hyperlink"/>
          </w:rPr>
          <w:t>2026A1</w:t>
        </w:r>
      </w:hyperlink>
      <w:r w:rsidRPr="00220A70">
        <w:t>) and Leapfrog instructions to retrospectively review all cases and stratify by race/ethnicity.</w:t>
      </w:r>
    </w:p>
    <w:p w14:paraId="35D26830" w14:textId="77777777" w:rsidR="00220A70" w:rsidRDefault="00220A70" w:rsidP="00D20722"/>
    <w:p w14:paraId="16C1ED28" w14:textId="3EB7BF9E" w:rsidR="00AE4170" w:rsidRDefault="00F56B7F" w:rsidP="00D20722">
      <w:pPr>
        <w:rPr>
          <w:rFonts w:eastAsia="Calibri" w:cs="Calibri"/>
        </w:rPr>
      </w:pPr>
      <w:r w:rsidRPr="0044737A">
        <w:rPr>
          <w:rFonts w:eastAsia="Calibri" w:cs="Calibri"/>
        </w:rPr>
        <w:t xml:space="preserve">There are no changes to the scoring algorithm for Section </w:t>
      </w:r>
      <w:r>
        <w:rPr>
          <w:rFonts w:eastAsia="Calibri" w:cs="Calibri"/>
        </w:rPr>
        <w:t>4B</w:t>
      </w:r>
      <w:r w:rsidRPr="0044737A">
        <w:rPr>
          <w:rFonts w:eastAsia="Calibri" w:cs="Calibri"/>
        </w:rPr>
        <w:t xml:space="preserve">: </w:t>
      </w:r>
      <w:r>
        <w:rPr>
          <w:rFonts w:eastAsia="Calibri" w:cs="Calibri"/>
        </w:rPr>
        <w:t>Cesarean Birth.</w:t>
      </w:r>
    </w:p>
    <w:p w14:paraId="5847C7A8" w14:textId="77777777" w:rsidR="00F56B7F" w:rsidRDefault="00F56B7F" w:rsidP="00D20722"/>
    <w:p w14:paraId="55472CD5" w14:textId="6AE40CB8" w:rsidR="002418A0" w:rsidRDefault="000C6570" w:rsidP="000C6570">
      <w:pPr>
        <w:pStyle w:val="Heading44"/>
      </w:pPr>
      <w:r>
        <w:t>Section 4C: Episiotomy</w:t>
      </w:r>
    </w:p>
    <w:p w14:paraId="782A4284" w14:textId="45511F2D" w:rsidR="002418A0" w:rsidRDefault="005A5042" w:rsidP="000C6570">
      <w:pPr>
        <w:pStyle w:val="Heading44"/>
      </w:pPr>
      <w:r w:rsidRPr="001F2388">
        <w:rPr>
          <w:rFonts w:cstheme="minorHAnsi"/>
          <w:b w:val="0"/>
          <w:color w:val="auto"/>
          <w:sz w:val="20"/>
        </w:rPr>
        <w:t>There are no changes to this subsection.</w:t>
      </w:r>
    </w:p>
    <w:p w14:paraId="6688A1D9" w14:textId="77777777" w:rsidR="000C6570" w:rsidRPr="000C6570" w:rsidRDefault="000C6570" w:rsidP="000C6570">
      <w:pPr>
        <w:pStyle w:val="Heading44"/>
        <w:rPr>
          <w:sz w:val="20"/>
        </w:rPr>
      </w:pPr>
    </w:p>
    <w:p w14:paraId="4271A021" w14:textId="0DEE9248" w:rsidR="000C6570" w:rsidRDefault="000C6570" w:rsidP="000C6570">
      <w:pPr>
        <w:pStyle w:val="Heading44"/>
      </w:pPr>
      <w:r>
        <w:t>Section 4D: Process Measures of Quality</w:t>
      </w:r>
    </w:p>
    <w:p w14:paraId="70839E6A" w14:textId="77777777" w:rsidR="00C51A4F" w:rsidRDefault="00C51A4F" w:rsidP="000C6570">
      <w:pPr>
        <w:pStyle w:val="Heading44"/>
      </w:pPr>
    </w:p>
    <w:p w14:paraId="5FEC9B77" w14:textId="77777777" w:rsidR="00C51A4F" w:rsidRDefault="00C51A4F" w:rsidP="00C51A4F">
      <w:pPr>
        <w:rPr>
          <w:b/>
          <w:bCs/>
        </w:rPr>
      </w:pPr>
      <w:r>
        <w:rPr>
          <w:b/>
          <w:bCs/>
        </w:rPr>
        <w:t>Newborn Bilirubin Screening Prior to Discharge</w:t>
      </w:r>
    </w:p>
    <w:p w14:paraId="2988D183" w14:textId="479BDDB7" w:rsidR="00C51A4F" w:rsidRDefault="00C51A4F" w:rsidP="00C51A4F">
      <w:r>
        <w:t>There are no changes to this measure.</w:t>
      </w:r>
    </w:p>
    <w:p w14:paraId="00DA5421" w14:textId="77777777" w:rsidR="00C51A4F" w:rsidRDefault="00C51A4F" w:rsidP="00C51A4F"/>
    <w:p w14:paraId="52DA18AE" w14:textId="77777777" w:rsidR="00C51A4F" w:rsidRDefault="00C51A4F" w:rsidP="00C51A4F">
      <w:pPr>
        <w:rPr>
          <w:b/>
          <w:bCs/>
        </w:rPr>
      </w:pPr>
      <w:r>
        <w:rPr>
          <w:b/>
          <w:bCs/>
        </w:rPr>
        <w:t>Appropriate DVT Prophylaxis in Women Undergoing Cesarean Section</w:t>
      </w:r>
    </w:p>
    <w:p w14:paraId="38E85A43" w14:textId="3FBFE2AD" w:rsidR="00C51A4F" w:rsidRDefault="00C51A4F" w:rsidP="00C51A4F">
      <w:r>
        <w:t>I</w:t>
      </w:r>
      <w:r w:rsidRPr="006E5538">
        <w:t xml:space="preserve">n response to feedback and consultation with our </w:t>
      </w:r>
      <w:hyperlink r:id="rId275" w:history="1">
        <w:r w:rsidRPr="00510E25">
          <w:rPr>
            <w:rStyle w:val="Hyperlink"/>
          </w:rPr>
          <w:t>Maternity Care Expert Panel</w:t>
        </w:r>
      </w:hyperlink>
      <w:r>
        <w:t xml:space="preserve">, </w:t>
      </w:r>
      <w:r w:rsidR="00433C9E" w:rsidRPr="00433C9E">
        <w:t>Leapfrog is updating the measure specifications for Appropriate Deep Vein Thrombosis (DVT) Prophylaxis in Women Undergoing Cesarean Delivery to remove credit for patients receiving heparin or heparinoid given the American College of Obstetricians and Gynecologist</w:t>
      </w:r>
      <w:r w:rsidR="00433C9E">
        <w:t xml:space="preserve">s’ </w:t>
      </w:r>
      <w:hyperlink r:id="rId276" w:history="1">
        <w:r w:rsidRPr="00E1062B">
          <w:rPr>
            <w:rStyle w:val="Hyperlink"/>
          </w:rPr>
          <w:t>clinical guidance</w:t>
        </w:r>
      </w:hyperlink>
      <w:r>
        <w:t xml:space="preserve"> that all patients should have pneumatic compressions </w:t>
      </w:r>
      <w:r w:rsidR="00B15B39" w:rsidRPr="00B15B39">
        <w:t xml:space="preserve">devices placed prior to cesarean delivery. As such, only patients receiving pneumatic compression devices prior to surgery will be included in the numerator. However, clinical guidelines continue to recommend that patients at high- or </w:t>
      </w:r>
      <w:proofErr w:type="spellStart"/>
      <w:r w:rsidR="00B15B39" w:rsidRPr="00B15B39">
        <w:t>moderaterisk</w:t>
      </w:r>
      <w:proofErr w:type="spellEnd"/>
      <w:r w:rsidR="00B15B39" w:rsidRPr="00B15B39">
        <w:t xml:space="preserve"> for DVT should also receive appropriate pharmacological prophylaxis in addition to the placement of pneumatic compression devices. The target for this measure remains at 90%.</w:t>
      </w:r>
      <w:r w:rsidR="00B15B39">
        <w:t xml:space="preserve"> </w:t>
      </w:r>
    </w:p>
    <w:p w14:paraId="44DBA1B8" w14:textId="77777777" w:rsidR="00C51A4F" w:rsidRDefault="00C51A4F" w:rsidP="00C51A4F">
      <w:pPr>
        <w:pStyle w:val="Heading44"/>
        <w:rPr>
          <w:rFonts w:cstheme="minorHAnsi"/>
          <w:b w:val="0"/>
          <w:color w:val="auto"/>
          <w:sz w:val="20"/>
        </w:rPr>
      </w:pPr>
    </w:p>
    <w:p w14:paraId="40C2DEEB" w14:textId="795604A6" w:rsidR="00C51A4F" w:rsidRPr="00F702E9" w:rsidRDefault="00C51A4F" w:rsidP="000C6570">
      <w:pPr>
        <w:pStyle w:val="Heading44"/>
        <w:rPr>
          <w:rFonts w:cstheme="minorHAnsi"/>
          <w:b w:val="0"/>
          <w:color w:val="auto"/>
          <w:sz w:val="20"/>
        </w:rPr>
      </w:pPr>
      <w:r w:rsidRPr="00A84148">
        <w:rPr>
          <w:rFonts w:cstheme="minorHAnsi"/>
          <w:b w:val="0"/>
          <w:color w:val="auto"/>
          <w:sz w:val="20"/>
        </w:rPr>
        <w:t>There are no changes to the scoring algorithm</w:t>
      </w:r>
      <w:r>
        <w:rPr>
          <w:rFonts w:cstheme="minorHAnsi"/>
          <w:b w:val="0"/>
          <w:color w:val="auto"/>
          <w:sz w:val="20"/>
        </w:rPr>
        <w:t>s</w:t>
      </w:r>
      <w:r w:rsidRPr="00A84148">
        <w:rPr>
          <w:rFonts w:cstheme="minorHAnsi"/>
          <w:b w:val="0"/>
          <w:color w:val="auto"/>
          <w:sz w:val="20"/>
        </w:rPr>
        <w:t xml:space="preserve"> for Section 4D: Process Measures of Quality.</w:t>
      </w:r>
    </w:p>
    <w:p w14:paraId="0CA97BCE" w14:textId="77777777" w:rsidR="000C6570" w:rsidRPr="000C6570" w:rsidRDefault="000C6570" w:rsidP="00D77F17">
      <w:pPr>
        <w:pStyle w:val="Heading44"/>
        <w:rPr>
          <w:sz w:val="20"/>
        </w:rPr>
      </w:pPr>
    </w:p>
    <w:p w14:paraId="4A3B4518" w14:textId="4FB732E0" w:rsidR="00D77F17" w:rsidRDefault="00D77F17" w:rsidP="00D77F17">
      <w:pPr>
        <w:pStyle w:val="Heading44"/>
      </w:pPr>
      <w:r>
        <w:t>Section 4E: High-Risk Deliveries</w:t>
      </w:r>
    </w:p>
    <w:p w14:paraId="4901BEC2" w14:textId="488000E6" w:rsidR="00CD45FE" w:rsidRDefault="00CD45FE" w:rsidP="00CD45FE">
      <w:pPr>
        <w:pStyle w:val="Heading6"/>
        <w:rPr>
          <w:b w:val="0"/>
          <w:bCs/>
        </w:rPr>
      </w:pPr>
      <w:r w:rsidRPr="008B4CFE">
        <w:rPr>
          <w:b w:val="0"/>
          <w:bCs/>
        </w:rPr>
        <w:t xml:space="preserve">Based on a review of responses to the 2025 Leapfrog Hospital Survey, Leapfrog </w:t>
      </w:r>
      <w:r w:rsidR="00B15B39">
        <w:rPr>
          <w:b w:val="0"/>
          <w:bCs/>
        </w:rPr>
        <w:t xml:space="preserve">is </w:t>
      </w:r>
      <w:r w:rsidRPr="008B4CFE">
        <w:rPr>
          <w:b w:val="0"/>
          <w:bCs/>
        </w:rPr>
        <w:t>updat</w:t>
      </w:r>
      <w:r w:rsidR="00B15B39">
        <w:rPr>
          <w:b w:val="0"/>
          <w:bCs/>
        </w:rPr>
        <w:t xml:space="preserve">ing </w:t>
      </w:r>
      <w:r w:rsidRPr="008B4CFE">
        <w:rPr>
          <w:b w:val="0"/>
          <w:bCs/>
        </w:rPr>
        <w:t>question #1 in Section 4E: High Risk Deliveries to further clarify which hospitals are required to report on this subsection</w:t>
      </w:r>
      <w:r>
        <w:rPr>
          <w:b w:val="0"/>
          <w:bCs/>
        </w:rPr>
        <w:t xml:space="preserve">. </w:t>
      </w:r>
      <w:r w:rsidR="00CD42EB" w:rsidRPr="00CD42EB">
        <w:rPr>
          <w:b w:val="0"/>
          <w:bCs/>
        </w:rPr>
        <w:t>This update will not impact reporting requirements for this subsection as the associated endnote previously indicated that hospitals must answer “yes” to electively admitting high-risk deliveries if they admit deliveries where the conditions (expected birth weight less than 1500 grams or gestational age at least 22 weeks but less than 32 weeks) are known prior to admission (e.g., not admitted on only an emergent basis).</w:t>
      </w:r>
    </w:p>
    <w:p w14:paraId="62FFE833" w14:textId="77777777" w:rsidR="00CD45FE" w:rsidRDefault="00CD45FE" w:rsidP="00CD45FE"/>
    <w:p w14:paraId="0E7BD08F" w14:textId="77777777" w:rsidR="00CD45FE" w:rsidRDefault="00CD45FE" w:rsidP="00CD45FE">
      <w:pPr>
        <w:rPr>
          <w:rFonts w:cs="Arial"/>
          <w:b/>
          <w:bCs/>
        </w:rPr>
      </w:pPr>
      <w:r>
        <w:rPr>
          <w:rFonts w:cs="Arial"/>
          <w:b/>
          <w:bCs/>
        </w:rPr>
        <w:t>Neonatal Intensive Care Unit(s) – Volume</w:t>
      </w:r>
    </w:p>
    <w:p w14:paraId="0200F3D0" w14:textId="5ACB91AC" w:rsidR="00CD45FE" w:rsidRDefault="00CD45FE" w:rsidP="00CD45FE">
      <w:pPr>
        <w:rPr>
          <w:rFonts w:cs="Arial"/>
        </w:rPr>
      </w:pPr>
      <w:r>
        <w:rPr>
          <w:rFonts w:cs="Arial"/>
        </w:rPr>
        <w:t xml:space="preserve">Based on feedback received from participating hospitals and in consultation with our experts, Leapfrog </w:t>
      </w:r>
      <w:r w:rsidR="00694DBA">
        <w:rPr>
          <w:rFonts w:cs="Arial"/>
        </w:rPr>
        <w:t xml:space="preserve">is updating </w:t>
      </w:r>
      <w:r>
        <w:rPr>
          <w:rFonts w:cs="Arial"/>
        </w:rPr>
        <w:t>the measure specifications used for those hospitals opting to report using their volume of very low birthweight babies (i.e., less than 1500 grams) admitted to their neonatal intensive care unit(s) by removing the following two ICD-10-CM codes:</w:t>
      </w:r>
    </w:p>
    <w:p w14:paraId="79962702" w14:textId="77777777" w:rsidR="00CD45FE" w:rsidRDefault="00CD45FE" w:rsidP="00CD45FE">
      <w:pPr>
        <w:pStyle w:val="ListParagraph"/>
        <w:numPr>
          <w:ilvl w:val="0"/>
          <w:numId w:val="437"/>
        </w:numPr>
        <w:spacing w:before="200" w:after="200" w:line="276" w:lineRule="auto"/>
        <w:rPr>
          <w:rFonts w:cs="Arial"/>
        </w:rPr>
      </w:pPr>
      <w:r>
        <w:rPr>
          <w:rFonts w:cs="Arial"/>
        </w:rPr>
        <w:t xml:space="preserve">P05.2: </w:t>
      </w:r>
      <w:r w:rsidRPr="00EC7658">
        <w:rPr>
          <w:rFonts w:cs="Arial"/>
        </w:rPr>
        <w:t>Newborn affected by fetal malnutrition not light or small for gestational age</w:t>
      </w:r>
    </w:p>
    <w:p w14:paraId="10637DA1" w14:textId="77777777" w:rsidR="00CD45FE" w:rsidRPr="001F482F" w:rsidRDefault="00CD45FE" w:rsidP="00CD45FE">
      <w:pPr>
        <w:pStyle w:val="ListParagraph"/>
        <w:numPr>
          <w:ilvl w:val="0"/>
          <w:numId w:val="437"/>
        </w:numPr>
        <w:spacing w:before="200" w:after="200" w:line="276" w:lineRule="auto"/>
        <w:rPr>
          <w:rFonts w:cs="Arial"/>
        </w:rPr>
      </w:pPr>
      <w:r>
        <w:rPr>
          <w:rFonts w:cs="Arial"/>
        </w:rPr>
        <w:t xml:space="preserve">P05.9: </w:t>
      </w:r>
      <w:r w:rsidRPr="00333EB3">
        <w:rPr>
          <w:rFonts w:cs="Arial"/>
        </w:rPr>
        <w:t>Newborn affected by slow intrauterine growth, unspecified</w:t>
      </w:r>
    </w:p>
    <w:p w14:paraId="4814283C" w14:textId="722EF362" w:rsidR="0015749D" w:rsidRDefault="0015749D" w:rsidP="0018354A">
      <w:pPr>
        <w:rPr>
          <w:rFonts w:cs="Arial"/>
        </w:rPr>
      </w:pPr>
      <w:r w:rsidRPr="0015749D">
        <w:rPr>
          <w:rFonts w:cs="Arial"/>
        </w:rPr>
        <w:t>Unlike the other codes provided, which reflect birth weights between 500 and 1500 grams, these two codes do not specify birthweight and our understanding is that newborns with very low birthweight are already captured via the other codes provided in the measure specifications. This update allows hospitals to pull the volume data using claims and without having to rely on chart review as the current criteria of excluding newborns weighing 1500 grams or more is no longer needed.</w:t>
      </w:r>
    </w:p>
    <w:p w14:paraId="29FCF6AD" w14:textId="77777777" w:rsidR="0018354A" w:rsidRPr="0018354A" w:rsidRDefault="0018354A" w:rsidP="0018354A">
      <w:pPr>
        <w:rPr>
          <w:rFonts w:cs="Arial"/>
        </w:rPr>
      </w:pPr>
    </w:p>
    <w:p w14:paraId="37CE184C" w14:textId="3C594761" w:rsidR="00CD45FE" w:rsidRPr="00592FBB" w:rsidRDefault="00CD45FE" w:rsidP="00CD45FE">
      <w:pPr>
        <w:pStyle w:val="Heading6"/>
      </w:pPr>
      <w:r w:rsidRPr="00592FBB">
        <w:t>Neonatal Intensive Care Unit(s) – National Performance Measurement</w:t>
      </w:r>
    </w:p>
    <w:p w14:paraId="7886E782" w14:textId="77777777" w:rsidR="00CD45FE" w:rsidRPr="00592FBB" w:rsidRDefault="00CD45FE" w:rsidP="00CD45FE">
      <w:pPr>
        <w:rPr>
          <w:rFonts w:cstheme="minorHAnsi"/>
        </w:rPr>
      </w:pPr>
      <w:r w:rsidRPr="00592FBB">
        <w:rPr>
          <w:rFonts w:cstheme="minorHAnsi"/>
        </w:rPr>
        <w:t xml:space="preserve">Leapfrog </w:t>
      </w:r>
      <w:r>
        <w:rPr>
          <w:rFonts w:cstheme="minorHAnsi"/>
        </w:rPr>
        <w:t>is continuing</w:t>
      </w:r>
      <w:r w:rsidRPr="00592FBB">
        <w:rPr>
          <w:rFonts w:cstheme="minorHAnsi"/>
        </w:rPr>
        <w:t xml:space="preserve"> to obtain data directly from the Vermont Oxford Network (VON) for those hospitals that electively admit high-risk deliveries and opt to use VON’s Death or Morbidity Outcome Measure when reporting on Section 4</w:t>
      </w:r>
      <w:r>
        <w:rPr>
          <w:rFonts w:cstheme="minorHAnsi"/>
        </w:rPr>
        <w:t>E</w:t>
      </w:r>
      <w:r w:rsidRPr="00592FBB">
        <w:rPr>
          <w:rFonts w:cstheme="minorHAnsi"/>
        </w:rPr>
        <w:t>: High-Risk Deliveries. Hospitals will still need to complete the following steps:</w:t>
      </w:r>
    </w:p>
    <w:p w14:paraId="6A6C6680" w14:textId="77777777" w:rsidR="00CD45FE" w:rsidRPr="00592FBB" w:rsidRDefault="00CD45FE" w:rsidP="00CD45FE">
      <w:pPr>
        <w:pStyle w:val="ListParagraph"/>
        <w:numPr>
          <w:ilvl w:val="0"/>
          <w:numId w:val="186"/>
        </w:numPr>
        <w:spacing w:before="200" w:after="200" w:line="276" w:lineRule="auto"/>
        <w:rPr>
          <w:rFonts w:cstheme="minorHAnsi"/>
        </w:rPr>
      </w:pPr>
      <w:r w:rsidRPr="00592FBB">
        <w:rPr>
          <w:rFonts w:cstheme="minorHAnsi"/>
        </w:rPr>
        <w:t xml:space="preserve">Complete a Data Sharing Authorization letter and submit it to VON by the dates listed in </w:t>
      </w:r>
      <w:r w:rsidRPr="00D77F17">
        <w:rPr>
          <w:rFonts w:cstheme="minorHAnsi"/>
        </w:rPr>
        <w:t>the</w:t>
      </w:r>
      <w:r>
        <w:rPr>
          <w:rStyle w:val="Hyperlink"/>
          <w:rFonts w:cstheme="minorHAnsi"/>
        </w:rPr>
        <w:t xml:space="preserve"> </w:t>
      </w:r>
      <w:r w:rsidRPr="00D77F17">
        <w:rPr>
          <w:rStyle w:val="Hyperlink"/>
          <w:rFonts w:cstheme="minorHAnsi"/>
          <w:color w:val="auto"/>
          <w:u w:val="none"/>
        </w:rPr>
        <w:t>measure specifications</w:t>
      </w:r>
      <w:r w:rsidRPr="00592FBB">
        <w:rPr>
          <w:rFonts w:cstheme="minorHAnsi"/>
        </w:rPr>
        <w:t xml:space="preserve">. (Hospitals that successfully submitted a Data Sharing Authorization letter in prior years will not be required to submit another letter in </w:t>
      </w:r>
      <w:r>
        <w:rPr>
          <w:rFonts w:cstheme="minorHAnsi"/>
        </w:rPr>
        <w:t>2026</w:t>
      </w:r>
      <w:r w:rsidRPr="00592FBB">
        <w:rPr>
          <w:rFonts w:cstheme="minorHAnsi"/>
        </w:rPr>
        <w:t xml:space="preserve">),  </w:t>
      </w:r>
    </w:p>
    <w:p w14:paraId="5BA53B81" w14:textId="77777777" w:rsidR="00CD45FE" w:rsidRPr="00592FBB" w:rsidRDefault="00CD45FE" w:rsidP="00CD45FE">
      <w:pPr>
        <w:pStyle w:val="ListParagraph"/>
        <w:numPr>
          <w:ilvl w:val="0"/>
          <w:numId w:val="186"/>
        </w:numPr>
        <w:spacing w:before="200" w:after="200" w:line="276" w:lineRule="auto"/>
        <w:rPr>
          <w:rFonts w:cstheme="minorHAnsi"/>
        </w:rPr>
      </w:pPr>
      <w:r w:rsidRPr="00592FBB">
        <w:rPr>
          <w:rFonts w:cstheme="minorHAnsi"/>
        </w:rPr>
        <w:t>Select “VON National Performance Measure” in Section 4</w:t>
      </w:r>
      <w:r>
        <w:rPr>
          <w:rFonts w:cstheme="minorHAnsi"/>
        </w:rPr>
        <w:t>E</w:t>
      </w:r>
      <w:r w:rsidRPr="00592FBB">
        <w:rPr>
          <w:rFonts w:cstheme="minorHAnsi"/>
        </w:rPr>
        <w:t>: High-Risk Deliveries question #3,</w:t>
      </w:r>
    </w:p>
    <w:p w14:paraId="6CE89921" w14:textId="77777777" w:rsidR="00CD45FE" w:rsidRPr="00592FBB" w:rsidRDefault="00CD45FE" w:rsidP="00CD45FE">
      <w:pPr>
        <w:pStyle w:val="ListParagraph"/>
        <w:numPr>
          <w:ilvl w:val="0"/>
          <w:numId w:val="186"/>
        </w:numPr>
        <w:spacing w:before="200" w:after="200" w:line="276" w:lineRule="auto"/>
        <w:rPr>
          <w:rFonts w:cstheme="minorHAnsi"/>
        </w:rPr>
      </w:pPr>
      <w:r w:rsidRPr="00592FBB">
        <w:rPr>
          <w:rFonts w:cstheme="minorHAnsi"/>
        </w:rPr>
        <w:t>Provide an accurate VON Transfer Code in the Hospital Profile of the Leapfrog Hospital Survey (this will be pre-populated if previously provided); and,</w:t>
      </w:r>
    </w:p>
    <w:p w14:paraId="32477BF4" w14:textId="77777777" w:rsidR="00CD45FE" w:rsidRPr="00592FBB" w:rsidRDefault="00CD45FE" w:rsidP="00CD45FE">
      <w:pPr>
        <w:pStyle w:val="ListParagraph"/>
        <w:numPr>
          <w:ilvl w:val="0"/>
          <w:numId w:val="186"/>
        </w:numPr>
        <w:spacing w:before="200" w:after="200" w:line="276" w:lineRule="auto"/>
        <w:rPr>
          <w:rFonts w:cstheme="minorHAnsi"/>
        </w:rPr>
      </w:pPr>
      <w:r w:rsidRPr="00592FBB">
        <w:rPr>
          <w:rFonts w:cstheme="minorHAnsi"/>
        </w:rPr>
        <w:t xml:space="preserve">Submit the Leapfrog Hospital Survey by the dates listed in </w:t>
      </w:r>
      <w:r w:rsidRPr="00D77F17">
        <w:rPr>
          <w:rFonts w:cstheme="minorHAnsi"/>
        </w:rPr>
        <w:t>the</w:t>
      </w:r>
      <w:r w:rsidRPr="00D77F17">
        <w:rPr>
          <w:rStyle w:val="Hyperlink"/>
          <w:rFonts w:cstheme="minorHAnsi"/>
          <w:u w:val="none"/>
        </w:rPr>
        <w:t xml:space="preserve"> </w:t>
      </w:r>
      <w:r w:rsidRPr="00D77F17">
        <w:rPr>
          <w:rStyle w:val="Hyperlink"/>
          <w:rFonts w:cstheme="minorHAnsi"/>
          <w:color w:val="auto"/>
          <w:u w:val="none"/>
        </w:rPr>
        <w:t>measure specifications</w:t>
      </w:r>
      <w:r w:rsidRPr="00592FBB">
        <w:rPr>
          <w:rFonts w:cstheme="minorHAnsi"/>
        </w:rPr>
        <w:t>.</w:t>
      </w:r>
    </w:p>
    <w:p w14:paraId="7B6B07F1" w14:textId="3D0ACFD5" w:rsidR="00CD45FE" w:rsidRPr="00592FBB" w:rsidRDefault="00CD45FE" w:rsidP="00CD45FE">
      <w:pPr>
        <w:rPr>
          <w:rFonts w:cstheme="minorHAnsi"/>
        </w:rPr>
      </w:pPr>
      <w:r w:rsidRPr="00592FBB">
        <w:rPr>
          <w:rFonts w:cstheme="minorHAnsi"/>
        </w:rPr>
        <w:t>Hospitals that select “VON National Performance Measure” in question #3 of Section 4</w:t>
      </w:r>
      <w:r>
        <w:rPr>
          <w:rFonts w:cstheme="minorHAnsi"/>
        </w:rPr>
        <w:t>E</w:t>
      </w:r>
      <w:r w:rsidRPr="00592FBB">
        <w:rPr>
          <w:rFonts w:cstheme="minorHAnsi"/>
        </w:rPr>
        <w:t>: High-Risk Deliveries, but do not complete all the steps listed above will be scored and publicly reported as “Declined to Re</w:t>
      </w:r>
      <w:r w:rsidR="00C7688F">
        <w:rPr>
          <w:rFonts w:cstheme="minorHAnsi"/>
        </w:rPr>
        <w:t>port</w:t>
      </w:r>
      <w:r w:rsidRPr="00592FBB">
        <w:rPr>
          <w:rFonts w:cstheme="minorHAnsi"/>
        </w:rPr>
        <w:t>” for the High-Risk Deliveries measure.</w:t>
      </w:r>
    </w:p>
    <w:p w14:paraId="1662557C" w14:textId="77777777" w:rsidR="00CD45FE" w:rsidRDefault="00CD45FE" w:rsidP="00D77F17">
      <w:pPr>
        <w:rPr>
          <w:rFonts w:cstheme="minorHAnsi"/>
        </w:rPr>
      </w:pPr>
    </w:p>
    <w:p w14:paraId="1367DFA6" w14:textId="128344AA" w:rsidR="00047ADA" w:rsidRPr="009A5185" w:rsidRDefault="00047ADA" w:rsidP="00AB5B80">
      <w:pPr>
        <w:pStyle w:val="Heading3"/>
      </w:pPr>
      <w:bookmarkStart w:id="323" w:name="_Toc236210622"/>
      <w:bookmarkStart w:id="324" w:name="_Toc383775040"/>
      <w:bookmarkStart w:id="325" w:name="_Toc225877738"/>
      <w:r w:rsidRPr="009A5185">
        <w:t>Change Summary</w:t>
      </w:r>
      <w:bookmarkEnd w:id="323"/>
      <w:r w:rsidRPr="009A5185">
        <w:t xml:space="preserve"> </w:t>
      </w:r>
      <w:r w:rsidR="00764EEA">
        <w:t>S</w:t>
      </w:r>
      <w:r w:rsidRPr="009A5185">
        <w:t>ince Release</w:t>
      </w:r>
      <w:bookmarkEnd w:id="324"/>
      <w:bookmarkEnd w:id="325"/>
    </w:p>
    <w:p w14:paraId="62FB4899" w14:textId="77777777" w:rsidR="00237089" w:rsidRDefault="00237089" w:rsidP="00D165E2">
      <w:pPr>
        <w:pStyle w:val="BodyText3"/>
        <w:rPr>
          <w:rFonts w:cs="Arial"/>
        </w:rPr>
      </w:pPr>
    </w:p>
    <w:p w14:paraId="21F62424" w14:textId="491A117C" w:rsidR="003C72B7" w:rsidRPr="009A5185" w:rsidRDefault="000E4995" w:rsidP="00D165E2">
      <w:pPr>
        <w:pStyle w:val="BodyText3"/>
        <w:rPr>
          <w:rFonts w:cs="Arial"/>
          <w:lang w:eastAsia="ja-JP"/>
        </w:rPr>
      </w:pPr>
      <w:r w:rsidRPr="003A50A0">
        <w:rPr>
          <w:rFonts w:cs="Arial"/>
        </w:rPr>
        <w:t xml:space="preserve">None. If substantive changes are made to this section of the Survey after release on April 1, </w:t>
      </w:r>
      <w:r>
        <w:rPr>
          <w:rFonts w:cs="Arial"/>
        </w:rPr>
        <w:t>202</w:t>
      </w:r>
      <w:r w:rsidR="003A7091">
        <w:rPr>
          <w:rFonts w:cs="Arial"/>
        </w:rPr>
        <w:t>6</w:t>
      </w:r>
      <w:r w:rsidRPr="003A50A0">
        <w:rPr>
          <w:rFonts w:cs="Arial"/>
        </w:rPr>
        <w:t>, they will be documented in this Change Summary section.</w:t>
      </w:r>
      <w:bookmarkEnd w:id="321"/>
      <w:bookmarkEnd w:id="322"/>
    </w:p>
    <w:p w14:paraId="28EEC3CA" w14:textId="77777777" w:rsidR="00C46968" w:rsidRDefault="00C46968">
      <w:pPr>
        <w:rPr>
          <w:b/>
          <w:snapToGrid w:val="0"/>
          <w:sz w:val="28"/>
          <w:szCs w:val="24"/>
          <w:u w:val="single"/>
          <w:lang w:eastAsia="ja-JP"/>
        </w:rPr>
      </w:pPr>
      <w:bookmarkStart w:id="326" w:name="_Toc236210638"/>
      <w:bookmarkStart w:id="327" w:name="_Toc383775042"/>
      <w:bookmarkStart w:id="328" w:name="MatVol"/>
      <w:r>
        <w:br w:type="page"/>
      </w:r>
    </w:p>
    <w:p w14:paraId="5AF5B35C" w14:textId="76E84305" w:rsidR="00561898" w:rsidRPr="005F3B91" w:rsidRDefault="00C46968" w:rsidP="00CF5A6E">
      <w:pPr>
        <w:pStyle w:val="Heading2"/>
      </w:pPr>
      <w:bookmarkStart w:id="329" w:name="_Toc225877739"/>
      <w:r>
        <w:t xml:space="preserve">Section 4: </w:t>
      </w:r>
      <w:r w:rsidR="00561898" w:rsidRPr="009A5185">
        <w:t>Maternity Care Measure Specifications</w:t>
      </w:r>
      <w:bookmarkEnd w:id="329"/>
      <w:r w:rsidR="00561898" w:rsidRPr="009A5185">
        <w:t xml:space="preserve"> </w:t>
      </w:r>
      <w:r w:rsidR="00B407CB">
        <w:t xml:space="preserve"> </w:t>
      </w:r>
      <w:r w:rsidR="002C718A">
        <w:t xml:space="preserve"> </w:t>
      </w:r>
    </w:p>
    <w:p w14:paraId="1EEEB4AE" w14:textId="77777777" w:rsidR="00561898" w:rsidRPr="009A5185" w:rsidRDefault="00561898" w:rsidP="00F0772B"/>
    <w:p w14:paraId="4DF7DC47" w14:textId="6CE65B0A" w:rsidR="002A470E" w:rsidRPr="009A5185" w:rsidRDefault="002A470E" w:rsidP="00AB5B80">
      <w:pPr>
        <w:pStyle w:val="Heading3"/>
      </w:pPr>
      <w:bookmarkStart w:id="330" w:name="_Maternity_Care_Volume_1"/>
      <w:bookmarkStart w:id="331" w:name="_Toc74562734"/>
      <w:bookmarkStart w:id="332" w:name="_Ref123646897"/>
      <w:bookmarkStart w:id="333" w:name="_Toc225877740"/>
      <w:bookmarkStart w:id="334" w:name="_Toc383775044"/>
      <w:bookmarkStart w:id="335" w:name="EEDSpecs"/>
      <w:bookmarkEnd w:id="326"/>
      <w:bookmarkEnd w:id="327"/>
      <w:bookmarkEnd w:id="328"/>
      <w:bookmarkEnd w:id="330"/>
      <w:r w:rsidRPr="009A5185">
        <w:t>Maternity Care Volume</w:t>
      </w:r>
      <w:bookmarkEnd w:id="331"/>
      <w:r w:rsidRPr="009A5185">
        <w:t xml:space="preserve"> </w:t>
      </w:r>
      <w:bookmarkEnd w:id="332"/>
      <w:r w:rsidR="00B078B4">
        <w:t>Measure Specifications</w:t>
      </w:r>
      <w:bookmarkEnd w:id="333"/>
    </w:p>
    <w:p w14:paraId="38CA8009" w14:textId="77777777" w:rsidR="002A470E" w:rsidRPr="009A5185" w:rsidRDefault="002A470E" w:rsidP="002A470E">
      <w:pPr>
        <w:rPr>
          <w:rFonts w:cs="Arial"/>
          <w:lang w:eastAsia="ja-JP"/>
        </w:rPr>
      </w:pPr>
    </w:p>
    <w:p w14:paraId="4B9EB6DB" w14:textId="5DC85DEE" w:rsidR="002A470E" w:rsidRPr="009A5185" w:rsidRDefault="002A470E" w:rsidP="002A470E">
      <w:pPr>
        <w:rPr>
          <w:rFonts w:cs="Arial"/>
        </w:rPr>
      </w:pPr>
      <w:r w:rsidRPr="009A5185">
        <w:rPr>
          <w:rFonts w:cs="Arial"/>
          <w:b/>
          <w:color w:val="FF0000"/>
          <w:lang w:eastAsia="ja-JP"/>
        </w:rPr>
        <w:t xml:space="preserve">Important Note: </w:t>
      </w:r>
      <w:r w:rsidRPr="009A5185">
        <w:rPr>
          <w:rFonts w:cs="Arial"/>
          <w:snapToGrid w:val="0"/>
        </w:rPr>
        <w:t xml:space="preserve">Hospitals that share a </w:t>
      </w:r>
      <w:r>
        <w:rPr>
          <w:rFonts w:cs="Arial"/>
          <w:snapToGrid w:val="0"/>
        </w:rPr>
        <w:t xml:space="preserve">CMS Certification Number </w:t>
      </w:r>
      <w:r w:rsidRPr="009A5185">
        <w:rPr>
          <w:rFonts w:cs="Arial"/>
          <w:snapToGrid w:val="0"/>
        </w:rPr>
        <w:t xml:space="preserve">are required to report by facility. Please carefully review </w:t>
      </w:r>
      <w:hyperlink r:id="rId277" w:history="1">
        <w:r w:rsidRPr="009A5185">
          <w:rPr>
            <w:rStyle w:val="Hyperlink"/>
            <w:rFonts w:cs="Arial"/>
            <w:snapToGrid w:val="0"/>
          </w:rPr>
          <w:t>Leapfrog’s Multi-Campus Reporting Policy</w:t>
        </w:r>
      </w:hyperlink>
      <w:r w:rsidRPr="009A5185">
        <w:rPr>
          <w:rFonts w:cs="Arial"/>
          <w:snapToGrid w:val="0"/>
        </w:rPr>
        <w:t>.</w:t>
      </w:r>
    </w:p>
    <w:p w14:paraId="22D9C461" w14:textId="77777777" w:rsidR="002A470E" w:rsidRPr="009A5185" w:rsidRDefault="002A470E" w:rsidP="002A470E">
      <w:pPr>
        <w:rPr>
          <w:rFonts w:cs="Arial"/>
        </w:rPr>
      </w:pPr>
    </w:p>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58"/>
      </w:tblGrid>
      <w:tr w:rsidR="002A470E" w:rsidRPr="009A5185" w14:paraId="0965B7A2" w14:textId="77777777" w:rsidTr="003C46C0">
        <w:trPr>
          <w:trHeight w:val="1296"/>
        </w:trPr>
        <w:tc>
          <w:tcPr>
            <w:tcW w:w="9558" w:type="dxa"/>
            <w:vAlign w:val="center"/>
          </w:tcPr>
          <w:p w14:paraId="13DEDD03" w14:textId="020AE8A4" w:rsidR="002A470E" w:rsidRPr="009A5185" w:rsidRDefault="002A470E">
            <w:pPr>
              <w:autoSpaceDE w:val="0"/>
              <w:autoSpaceDN w:val="0"/>
              <w:adjustRightInd w:val="0"/>
              <w:rPr>
                <w:rFonts w:cs="Arial"/>
                <w:b/>
                <w:snapToGrid w:val="0"/>
              </w:rPr>
            </w:pPr>
            <w:r w:rsidRPr="009A5185">
              <w:rPr>
                <w:rFonts w:cs="Arial"/>
                <w:b/>
                <w:snapToGrid w:val="0"/>
              </w:rPr>
              <w:t>Reporting Period: 12 months</w:t>
            </w:r>
          </w:p>
          <w:p w14:paraId="67D1673F" w14:textId="77777777" w:rsidR="002A470E" w:rsidRPr="003E6135" w:rsidRDefault="002A470E" w:rsidP="00AD309C">
            <w:pPr>
              <w:pStyle w:val="ListParagraph"/>
              <w:numPr>
                <w:ilvl w:val="0"/>
                <w:numId w:val="12"/>
              </w:numPr>
              <w:rPr>
                <w:rFonts w:cs="Arial"/>
                <w:i/>
                <w:snapToGrid w:val="0"/>
              </w:rPr>
            </w:pPr>
            <w:r>
              <w:rPr>
                <w:rFonts w:cs="Arial"/>
                <w:iCs/>
                <w:snapToGrid w:val="0"/>
              </w:rPr>
              <w:t>Surveys submitted prior to September 1:</w:t>
            </w:r>
          </w:p>
          <w:p w14:paraId="6772CDB3" w14:textId="2F23A0DA" w:rsidR="002A470E" w:rsidRPr="003E6135" w:rsidRDefault="002A470E" w:rsidP="00AD309C">
            <w:pPr>
              <w:pStyle w:val="ListParagraph"/>
              <w:numPr>
                <w:ilvl w:val="1"/>
                <w:numId w:val="12"/>
              </w:numPr>
              <w:rPr>
                <w:rFonts w:cs="Arial"/>
                <w:i/>
                <w:snapToGrid w:val="0"/>
              </w:rPr>
            </w:pPr>
            <w:r w:rsidRPr="009A5185">
              <w:rPr>
                <w:rFonts w:cs="Arial"/>
                <w:snapToGrid w:val="0"/>
              </w:rPr>
              <w:t>01/01/</w:t>
            </w:r>
            <w:r>
              <w:rPr>
                <w:rFonts w:cs="Arial"/>
                <w:snapToGrid w:val="0"/>
              </w:rPr>
              <w:t>202</w:t>
            </w:r>
            <w:r w:rsidR="006F2E23">
              <w:rPr>
                <w:rFonts w:cs="Arial"/>
                <w:snapToGrid w:val="0"/>
              </w:rPr>
              <w:t>5</w:t>
            </w:r>
            <w:r w:rsidRPr="009A5185">
              <w:rPr>
                <w:rFonts w:cs="Arial"/>
                <w:snapToGrid w:val="0"/>
              </w:rPr>
              <w:t xml:space="preserve"> </w:t>
            </w:r>
            <w:r w:rsidR="005F3B91">
              <w:rPr>
                <w:rFonts w:cs="Arial"/>
                <w:snapToGrid w:val="0"/>
              </w:rPr>
              <w:t>–</w:t>
            </w:r>
            <w:r w:rsidRPr="009A5185">
              <w:rPr>
                <w:rFonts w:cs="Arial"/>
                <w:snapToGrid w:val="0"/>
              </w:rPr>
              <w:t xml:space="preserve"> 12/31/</w:t>
            </w:r>
            <w:r>
              <w:rPr>
                <w:rFonts w:cs="Arial"/>
                <w:snapToGrid w:val="0"/>
              </w:rPr>
              <w:t>202</w:t>
            </w:r>
            <w:r w:rsidR="006F2E23">
              <w:rPr>
                <w:rFonts w:cs="Arial"/>
                <w:snapToGrid w:val="0"/>
              </w:rPr>
              <w:t>5</w:t>
            </w:r>
          </w:p>
          <w:p w14:paraId="3A4A48DC" w14:textId="77777777" w:rsidR="002A470E" w:rsidRPr="003E6135" w:rsidRDefault="002A470E" w:rsidP="00AD309C">
            <w:pPr>
              <w:pStyle w:val="ListParagraph"/>
              <w:numPr>
                <w:ilvl w:val="0"/>
                <w:numId w:val="12"/>
              </w:numPr>
              <w:rPr>
                <w:rFonts w:cs="Arial"/>
                <w:i/>
                <w:snapToGrid w:val="0"/>
              </w:rPr>
            </w:pPr>
            <w:r w:rsidRPr="009A5185">
              <w:rPr>
                <w:rFonts w:cs="Arial"/>
                <w:snapToGrid w:val="0"/>
              </w:rPr>
              <w:t xml:space="preserve">Surveys (re)submitted on or after September 1: </w:t>
            </w:r>
          </w:p>
          <w:p w14:paraId="1916591F" w14:textId="4F415D7A" w:rsidR="002A470E" w:rsidRPr="003C46C0" w:rsidRDefault="002A470E" w:rsidP="00AD309C">
            <w:pPr>
              <w:pStyle w:val="ListParagraph"/>
              <w:numPr>
                <w:ilvl w:val="1"/>
                <w:numId w:val="12"/>
              </w:numPr>
              <w:rPr>
                <w:rFonts w:cs="Arial"/>
                <w:i/>
                <w:snapToGrid w:val="0"/>
              </w:rPr>
            </w:pPr>
            <w:r w:rsidRPr="009A5185">
              <w:rPr>
                <w:rFonts w:cs="Arial"/>
                <w:snapToGrid w:val="0"/>
              </w:rPr>
              <w:t>07/01/</w:t>
            </w:r>
            <w:r>
              <w:rPr>
                <w:rFonts w:cs="Arial"/>
                <w:snapToGrid w:val="0"/>
              </w:rPr>
              <w:t>202</w:t>
            </w:r>
            <w:r w:rsidR="006F2E23">
              <w:rPr>
                <w:rFonts w:cs="Arial"/>
                <w:snapToGrid w:val="0"/>
              </w:rPr>
              <w:t>5</w:t>
            </w:r>
            <w:r w:rsidRPr="009A5185">
              <w:rPr>
                <w:rFonts w:cs="Arial"/>
                <w:snapToGrid w:val="0"/>
              </w:rPr>
              <w:t xml:space="preserve"> </w:t>
            </w:r>
            <w:r w:rsidR="005F3B91">
              <w:rPr>
                <w:rFonts w:cs="Arial"/>
                <w:snapToGrid w:val="0"/>
              </w:rPr>
              <w:t>–</w:t>
            </w:r>
            <w:r w:rsidRPr="009A5185">
              <w:rPr>
                <w:rFonts w:cs="Arial"/>
                <w:snapToGrid w:val="0"/>
              </w:rPr>
              <w:t xml:space="preserve"> 06/30/</w:t>
            </w:r>
            <w:r>
              <w:rPr>
                <w:rFonts w:cs="Arial"/>
                <w:snapToGrid w:val="0"/>
              </w:rPr>
              <w:t>202</w:t>
            </w:r>
            <w:r w:rsidR="006F2E23">
              <w:rPr>
                <w:rFonts w:cs="Arial"/>
                <w:snapToGrid w:val="0"/>
              </w:rPr>
              <w:t>6</w:t>
            </w:r>
          </w:p>
        </w:tc>
      </w:tr>
      <w:tr w:rsidR="002A470E" w:rsidRPr="009A5185" w14:paraId="01B97120" w14:textId="77777777" w:rsidTr="00A77347">
        <w:trPr>
          <w:trHeight w:val="3456"/>
        </w:trPr>
        <w:tc>
          <w:tcPr>
            <w:tcW w:w="9558" w:type="dxa"/>
            <w:vAlign w:val="center"/>
          </w:tcPr>
          <w:p w14:paraId="1E426C43" w14:textId="7E3CB16E" w:rsidR="002A470E" w:rsidRPr="009A5185" w:rsidRDefault="002A470E">
            <w:pPr>
              <w:autoSpaceDE w:val="0"/>
              <w:autoSpaceDN w:val="0"/>
              <w:adjustRightInd w:val="0"/>
              <w:rPr>
                <w:rFonts w:cs="Arial"/>
              </w:rPr>
            </w:pPr>
            <w:r w:rsidRPr="009A5185">
              <w:rPr>
                <w:rFonts w:cs="Arial"/>
                <w:b/>
              </w:rPr>
              <w:t xml:space="preserve">Question </w:t>
            </w:r>
            <w:r w:rsidR="003C46C0">
              <w:rPr>
                <w:rFonts w:cs="Arial"/>
                <w:b/>
              </w:rPr>
              <w:t>#</w:t>
            </w:r>
            <w:r w:rsidRPr="009A5185">
              <w:rPr>
                <w:rFonts w:cs="Arial"/>
                <w:b/>
              </w:rPr>
              <w:t>3:</w:t>
            </w:r>
            <w:r w:rsidRPr="009A5185">
              <w:rPr>
                <w:rFonts w:cs="Arial"/>
              </w:rPr>
              <w:t xml:space="preserve"> The number of live births</w:t>
            </w:r>
            <w:r>
              <w:rPr>
                <w:rFonts w:cs="Arial"/>
              </w:rPr>
              <w:t xml:space="preserve"> (i.e., infants)</w:t>
            </w:r>
            <w:r w:rsidRPr="009A5185">
              <w:rPr>
                <w:rFonts w:cs="Arial"/>
              </w:rPr>
              <w:t xml:space="preserve"> at this hospital location (inborn cases only), reported to your state during the reporting period.</w:t>
            </w:r>
          </w:p>
          <w:p w14:paraId="0A982D60" w14:textId="77777777" w:rsidR="00A834CE" w:rsidRDefault="00A834CE" w:rsidP="00A834CE">
            <w:pPr>
              <w:autoSpaceDE w:val="0"/>
              <w:autoSpaceDN w:val="0"/>
              <w:adjustRightInd w:val="0"/>
              <w:rPr>
                <w:rFonts w:cs="Arial"/>
              </w:rPr>
            </w:pPr>
          </w:p>
          <w:p w14:paraId="0B1170EE" w14:textId="77777777" w:rsidR="00A834CE" w:rsidRPr="009A5185" w:rsidRDefault="00A834CE" w:rsidP="00A834CE">
            <w:pPr>
              <w:rPr>
                <w:rFonts w:cs="Arial"/>
              </w:rPr>
            </w:pPr>
            <w:r>
              <w:rPr>
                <w:rFonts w:cs="Arial"/>
              </w:rPr>
              <w:t xml:space="preserve">Hospitals participating in the California Maternal Quality Care Collaborative (CMQCC) Maternal Data Center may use the data provided in CMQCC reports when responding to this question of the Survey. </w:t>
            </w:r>
            <w:r w:rsidRPr="009A5185">
              <w:rPr>
                <w:rFonts w:cs="Arial"/>
              </w:rPr>
              <w:t xml:space="preserve">Download instructions for using the </w:t>
            </w:r>
            <w:r>
              <w:rPr>
                <w:rFonts w:cs="Arial"/>
              </w:rPr>
              <w:t>CMQCC reports</w:t>
            </w:r>
            <w:r w:rsidRPr="009A5185">
              <w:rPr>
                <w:rFonts w:cs="Arial"/>
              </w:rPr>
              <w:t xml:space="preserve"> on the </w:t>
            </w:r>
            <w:hyperlink r:id="rId278" w:history="1">
              <w:r w:rsidRPr="009A5185">
                <w:rPr>
                  <w:rStyle w:val="Hyperlink"/>
                  <w:rFonts w:cs="Arial"/>
                </w:rPr>
                <w:t>Survey and CPOE Materials webpage</w:t>
              </w:r>
            </w:hyperlink>
            <w:r w:rsidRPr="009A5185">
              <w:rPr>
                <w:rFonts w:cs="Arial"/>
              </w:rPr>
              <w:t>.</w:t>
            </w:r>
          </w:p>
          <w:p w14:paraId="1C4DD834" w14:textId="77777777" w:rsidR="00A834CE" w:rsidRPr="009A5185" w:rsidRDefault="00A834CE">
            <w:pPr>
              <w:autoSpaceDE w:val="0"/>
              <w:autoSpaceDN w:val="0"/>
              <w:adjustRightInd w:val="0"/>
              <w:rPr>
                <w:rFonts w:cs="Arial"/>
              </w:rPr>
            </w:pPr>
          </w:p>
          <w:p w14:paraId="3705A30F" w14:textId="77777777" w:rsidR="002A470E" w:rsidRPr="009A5185" w:rsidRDefault="002A470E">
            <w:pPr>
              <w:autoSpaceDE w:val="0"/>
              <w:autoSpaceDN w:val="0"/>
              <w:adjustRightInd w:val="0"/>
              <w:rPr>
                <w:rFonts w:cs="Arial"/>
              </w:rPr>
            </w:pPr>
            <w:r w:rsidRPr="009A5185">
              <w:rPr>
                <w:rFonts w:cs="Arial"/>
              </w:rPr>
              <w:t>Alternatively, the below list of Z codes can be used to identify live births, with the caution that these codes are coded for the newborn, not the mother; likely to be found in your hospital’s birth CIS/medical record system; but often not in claims data since normal newborn care may be included in the mother’s claim without baby’s diagnosis coding.</w:t>
            </w:r>
          </w:p>
          <w:p w14:paraId="6E4D3DB4" w14:textId="77777777" w:rsidR="002A470E" w:rsidRPr="009A5185" w:rsidRDefault="002A470E" w:rsidP="00AD309C">
            <w:pPr>
              <w:pStyle w:val="ListParagraph"/>
              <w:numPr>
                <w:ilvl w:val="0"/>
                <w:numId w:val="40"/>
              </w:numPr>
              <w:autoSpaceDE w:val="0"/>
              <w:autoSpaceDN w:val="0"/>
              <w:adjustRightInd w:val="0"/>
              <w:spacing w:before="200" w:after="200" w:line="276" w:lineRule="auto"/>
              <w:ind w:left="0"/>
              <w:rPr>
                <w:rFonts w:cs="Arial"/>
              </w:rPr>
            </w:pPr>
            <w:r w:rsidRPr="009A5185">
              <w:rPr>
                <w:rFonts w:cs="Arial"/>
              </w:rPr>
              <w:t>Z38.00 – Z38.01: Single liveborn infant, born in hospital</w:t>
            </w:r>
          </w:p>
          <w:p w14:paraId="244518A1" w14:textId="77777777" w:rsidR="002A470E" w:rsidRPr="009A5185" w:rsidRDefault="002A470E" w:rsidP="00AD309C">
            <w:pPr>
              <w:pStyle w:val="ListParagraph"/>
              <w:numPr>
                <w:ilvl w:val="0"/>
                <w:numId w:val="40"/>
              </w:numPr>
              <w:autoSpaceDE w:val="0"/>
              <w:autoSpaceDN w:val="0"/>
              <w:adjustRightInd w:val="0"/>
              <w:spacing w:before="200" w:after="200" w:line="276" w:lineRule="auto"/>
              <w:ind w:left="0"/>
              <w:rPr>
                <w:rFonts w:cs="Arial"/>
              </w:rPr>
            </w:pPr>
            <w:r w:rsidRPr="009A5185">
              <w:rPr>
                <w:rFonts w:cs="Arial"/>
              </w:rPr>
              <w:t>Z38.30 – Z38.31: Twin liveborn infant, born in hospital</w:t>
            </w:r>
          </w:p>
          <w:p w14:paraId="09CEA43F" w14:textId="77777777" w:rsidR="002A470E" w:rsidRPr="009A5185" w:rsidRDefault="002A470E" w:rsidP="00AD309C">
            <w:pPr>
              <w:pStyle w:val="ListParagraph"/>
              <w:numPr>
                <w:ilvl w:val="0"/>
                <w:numId w:val="40"/>
              </w:numPr>
              <w:autoSpaceDE w:val="0"/>
              <w:autoSpaceDN w:val="0"/>
              <w:adjustRightInd w:val="0"/>
              <w:spacing w:before="200" w:after="200" w:line="276" w:lineRule="auto"/>
              <w:ind w:left="0"/>
              <w:rPr>
                <w:rFonts w:cs="Arial"/>
              </w:rPr>
            </w:pPr>
            <w:r w:rsidRPr="009A5185">
              <w:rPr>
                <w:rFonts w:cs="Arial"/>
              </w:rPr>
              <w:t>Z38.61 – Z38.69: Other multiple liveborn infant, born in hospital</w:t>
            </w:r>
          </w:p>
          <w:p w14:paraId="57BCD162" w14:textId="4C3949B8" w:rsidR="002A470E" w:rsidRPr="009A5185" w:rsidRDefault="002A470E">
            <w:pPr>
              <w:autoSpaceDE w:val="0"/>
              <w:autoSpaceDN w:val="0"/>
              <w:adjustRightInd w:val="0"/>
              <w:rPr>
                <w:rFonts w:cs="Arial"/>
              </w:rPr>
            </w:pPr>
            <w:r w:rsidRPr="009A5185">
              <w:rPr>
                <w:rFonts w:cs="Arial"/>
              </w:rPr>
              <w:t>Note: This data point is simply used to qualify a hospital for further reporting of the normal delivery measures.</w:t>
            </w:r>
          </w:p>
        </w:tc>
      </w:tr>
    </w:tbl>
    <w:p w14:paraId="423587E8" w14:textId="77777777" w:rsidR="002A470E" w:rsidRPr="009A5185" w:rsidRDefault="002A470E" w:rsidP="002A470E">
      <w:pPr>
        <w:rPr>
          <w:rFonts w:cs="Arial"/>
          <w:lang w:eastAsia="ja-JP"/>
        </w:rPr>
      </w:pPr>
      <w:bookmarkStart w:id="336" w:name="_Toc236210639"/>
    </w:p>
    <w:p w14:paraId="42B4FAEF" w14:textId="36F9C018" w:rsidR="00E60C6C" w:rsidRPr="00E60C6C" w:rsidRDefault="00E60C6C">
      <w:pPr>
        <w:rPr>
          <w:rFonts w:cs="Arial"/>
          <w:b/>
          <w:i/>
          <w:sz w:val="24"/>
          <w:szCs w:val="24"/>
          <w:lang w:eastAsia="ja-JP"/>
        </w:rPr>
      </w:pPr>
      <w:bookmarkStart w:id="337" w:name="_Early_Elective_Deliveries"/>
      <w:bookmarkStart w:id="338" w:name="_Elective_Deliveries"/>
      <w:bookmarkEnd w:id="336"/>
      <w:bookmarkEnd w:id="337"/>
      <w:bookmarkEnd w:id="338"/>
      <w:r>
        <w:br w:type="page"/>
      </w:r>
    </w:p>
    <w:p w14:paraId="5F1C136D" w14:textId="12210EB4" w:rsidR="00A144E7" w:rsidRPr="00FF5E78" w:rsidRDefault="006E50EF" w:rsidP="00AB5B80">
      <w:pPr>
        <w:pStyle w:val="Heading3"/>
        <w:rPr>
          <w:sz w:val="16"/>
          <w:szCs w:val="16"/>
        </w:rPr>
      </w:pPr>
      <w:bookmarkStart w:id="339" w:name="_Elective_Deliveries_1"/>
      <w:bookmarkStart w:id="340" w:name="_Cesarean_Birth_1"/>
      <w:bookmarkStart w:id="341" w:name="_Cesarean_Sections_Prior"/>
      <w:bookmarkStart w:id="342" w:name="_NTSV_Cesarean_Sections"/>
      <w:bookmarkStart w:id="343" w:name="_Cesarean_Birth"/>
      <w:bookmarkStart w:id="344" w:name="_Cesarean_Birth_2"/>
      <w:bookmarkStart w:id="345" w:name="_Toc383775045"/>
      <w:bookmarkStart w:id="346" w:name="_Ref123646960"/>
      <w:bookmarkStart w:id="347" w:name="_Toc225877741"/>
      <w:bookmarkEnd w:id="334"/>
      <w:bookmarkEnd w:id="335"/>
      <w:bookmarkEnd w:id="339"/>
      <w:bookmarkEnd w:id="340"/>
      <w:bookmarkEnd w:id="341"/>
      <w:bookmarkEnd w:id="342"/>
      <w:bookmarkEnd w:id="343"/>
      <w:bookmarkEnd w:id="344"/>
      <w:r w:rsidRPr="009A5185">
        <w:t xml:space="preserve">Cesarean </w:t>
      </w:r>
      <w:bookmarkEnd w:id="345"/>
      <w:r w:rsidR="00CC4046" w:rsidRPr="009A5185">
        <w:t>Birth</w:t>
      </w:r>
      <w:bookmarkEnd w:id="346"/>
      <w:r w:rsidR="00B078B4">
        <w:t xml:space="preserve"> Measure Specifications</w:t>
      </w:r>
      <w:bookmarkEnd w:id="347"/>
      <w:r w:rsidR="00A144E7" w:rsidRPr="009A5185">
        <w:br/>
      </w:r>
    </w:p>
    <w:p w14:paraId="5E573875" w14:textId="77777777" w:rsidR="00E60C6C" w:rsidRPr="009A5185" w:rsidRDefault="00E60C6C" w:rsidP="00E60C6C">
      <w:pPr>
        <w:rPr>
          <w:rFonts w:cs="Arial"/>
          <w:b/>
        </w:rPr>
      </w:pPr>
      <w:bookmarkStart w:id="348" w:name="_Episiotomy_1"/>
      <w:bookmarkStart w:id="349" w:name="_Section_4D:_Episiotomy"/>
      <w:bookmarkStart w:id="350" w:name="_Toc383775046"/>
      <w:bookmarkStart w:id="351" w:name="EpiSpecs"/>
      <w:bookmarkEnd w:id="348"/>
      <w:bookmarkEnd w:id="349"/>
      <w:r w:rsidRPr="009A5185">
        <w:rPr>
          <w:rFonts w:cs="Arial"/>
          <w:b/>
          <w:color w:val="FF0000"/>
        </w:rPr>
        <w:t>Important Notes:</w:t>
      </w:r>
    </w:p>
    <w:p w14:paraId="531DBD6A" w14:textId="77777777" w:rsidR="00E60C6C" w:rsidRPr="009A5185" w:rsidRDefault="00E60C6C" w:rsidP="00E60C6C">
      <w:pPr>
        <w:rPr>
          <w:rFonts w:cs="Arial"/>
          <w:i/>
        </w:rPr>
      </w:pPr>
    </w:p>
    <w:p w14:paraId="36F86E57" w14:textId="1C67640A" w:rsidR="00E60C6C" w:rsidRPr="009A5185" w:rsidRDefault="00E60C6C" w:rsidP="00E60C6C">
      <w:pPr>
        <w:rPr>
          <w:rFonts w:cs="Arial"/>
        </w:rPr>
      </w:pPr>
      <w:r w:rsidRPr="009A5185">
        <w:rPr>
          <w:rFonts w:cs="Arial"/>
        </w:rPr>
        <w:t xml:space="preserve">Note 1: </w:t>
      </w:r>
      <w:r w:rsidR="00B407CB" w:rsidRPr="009A5185">
        <w:rPr>
          <w:rFonts w:cs="Arial"/>
          <w:snapToGrid w:val="0"/>
        </w:rPr>
        <w:t xml:space="preserve">Hospitals that share a </w:t>
      </w:r>
      <w:r w:rsidR="00B407CB">
        <w:rPr>
          <w:rFonts w:cs="Arial"/>
          <w:snapToGrid w:val="0"/>
        </w:rPr>
        <w:t>CMS Certification Number</w:t>
      </w:r>
      <w:r w:rsidR="00B407CB" w:rsidRPr="009A5185">
        <w:rPr>
          <w:rFonts w:cs="Arial"/>
          <w:snapToGrid w:val="0"/>
        </w:rPr>
        <w:t xml:space="preserve"> are required to report by facility. Please carefully review </w:t>
      </w:r>
      <w:hyperlink r:id="rId279" w:history="1">
        <w:r w:rsidR="00B407CB" w:rsidRPr="009A5185">
          <w:rPr>
            <w:rStyle w:val="Hyperlink"/>
            <w:rFonts w:cs="Arial"/>
            <w:snapToGrid w:val="0"/>
          </w:rPr>
          <w:t>Leapfrog’s Multi-Campus Reporting Policy</w:t>
        </w:r>
      </w:hyperlink>
      <w:r w:rsidR="00B407CB">
        <w:rPr>
          <w:rStyle w:val="Hyperlink"/>
          <w:rFonts w:cs="Arial"/>
          <w:snapToGrid w:val="0"/>
        </w:rPr>
        <w:t xml:space="preserve">. </w:t>
      </w:r>
    </w:p>
    <w:p w14:paraId="73ADC97B" w14:textId="77777777" w:rsidR="00E60C6C" w:rsidRPr="009A5185" w:rsidRDefault="00E60C6C" w:rsidP="00E60C6C">
      <w:pPr>
        <w:rPr>
          <w:rFonts w:cs="Arial"/>
          <w:b/>
          <w:color w:val="FF0000"/>
        </w:rPr>
      </w:pPr>
    </w:p>
    <w:p w14:paraId="6D1777A1" w14:textId="77777777" w:rsidR="00E60C6C" w:rsidRPr="009A5185" w:rsidRDefault="00E60C6C" w:rsidP="00E60C6C">
      <w:pPr>
        <w:rPr>
          <w:rFonts w:cs="Arial"/>
        </w:rPr>
      </w:pPr>
      <w:r w:rsidRPr="009A5185">
        <w:rPr>
          <w:rFonts w:cs="Arial"/>
        </w:rPr>
        <w:t xml:space="preserve">Note 2: Leapfrog uses the specifications created by The Joint Commission (TJC) for the Cesarean Births measure. As such, Leapfrog will update its instructions annually, and more frequently if appropriate, to maintain alignment with TJC. Hospitals can access the TJC’s measure specifications directly using the links in the table below. </w:t>
      </w:r>
    </w:p>
    <w:p w14:paraId="385556BF" w14:textId="77777777" w:rsidR="00E60C6C" w:rsidRPr="009A5185" w:rsidRDefault="00E60C6C" w:rsidP="00E60C6C">
      <w:pPr>
        <w:rPr>
          <w:rFonts w:cs="Arial"/>
        </w:rPr>
      </w:pPr>
    </w:p>
    <w:p w14:paraId="17C30603" w14:textId="3734D03C" w:rsidR="00157FDB" w:rsidRPr="009A5185" w:rsidRDefault="00E60C6C" w:rsidP="00E60C6C">
      <w:pPr>
        <w:rPr>
          <w:rFonts w:cs="Arial"/>
        </w:rPr>
      </w:pPr>
      <w:r w:rsidRPr="009A5185">
        <w:rPr>
          <w:rFonts w:cs="Arial"/>
        </w:rPr>
        <w:t>Note 3:</w:t>
      </w:r>
      <w:r w:rsidR="00B407CB" w:rsidRPr="009A5185" w:rsidDel="00B407CB">
        <w:rPr>
          <w:rFonts w:cs="Arial"/>
          <w:snapToGrid w:val="0"/>
        </w:rPr>
        <w:t xml:space="preserve"> </w:t>
      </w:r>
      <w:r w:rsidR="00157FDB">
        <w:rPr>
          <w:rFonts w:cs="Arial"/>
          <w:snapToGrid w:val="0"/>
        </w:rPr>
        <w:t>C</w:t>
      </w:r>
      <w:r w:rsidR="00157FDB" w:rsidRPr="009A5185">
        <w:rPr>
          <w:rFonts w:cs="Arial"/>
        </w:rPr>
        <w:t>esarean Births</w:t>
      </w:r>
      <w:r w:rsidR="00157FDB">
        <w:rPr>
          <w:rFonts w:cs="Arial"/>
        </w:rPr>
        <w:t xml:space="preserve"> (questions #2-3)</w:t>
      </w:r>
      <w:r w:rsidR="00157FDB" w:rsidRPr="009A5185">
        <w:rPr>
          <w:rFonts w:cs="Arial"/>
        </w:rPr>
        <w:t xml:space="preserve"> can be reported based on all eligible cases OR a sufficient sample of cases as outlined in the denominator specifications</w:t>
      </w:r>
      <w:r w:rsidR="005F40E0" w:rsidRPr="005F40E0">
        <w:rPr>
          <w:rFonts w:cs="Arial"/>
        </w:rPr>
        <w:t xml:space="preserve"> </w:t>
      </w:r>
      <w:r w:rsidR="005F40E0">
        <w:rPr>
          <w:rFonts w:cs="Arial"/>
        </w:rPr>
        <w:t>for the 12-month reporting period</w:t>
      </w:r>
      <w:r w:rsidR="005F40E0" w:rsidRPr="009A5185">
        <w:rPr>
          <w:rFonts w:cs="Arial"/>
        </w:rPr>
        <w:t>.</w:t>
      </w:r>
      <w:r w:rsidR="005F40E0">
        <w:rPr>
          <w:rFonts w:cs="Arial"/>
        </w:rPr>
        <w:t xml:space="preserve"> Cesarean Births Stratified by Race/Ethnicity (questions #7-8) must be reported based on all eligible cases for the 24-month reporting period.</w:t>
      </w:r>
    </w:p>
    <w:p w14:paraId="0575CAF0" w14:textId="77777777" w:rsidR="00E60C6C" w:rsidRPr="009A5185" w:rsidRDefault="00E60C6C" w:rsidP="00E60C6C">
      <w:pPr>
        <w:rPr>
          <w:rFonts w:cs="Arial"/>
          <w:lang w:eastAsia="ja-JP"/>
        </w:rPr>
      </w:pPr>
    </w:p>
    <w:tbl>
      <w:tblPr>
        <w:tblW w:w="9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62"/>
      </w:tblGrid>
      <w:tr w:rsidR="005F40E0" w:rsidRPr="00693D1C" w14:paraId="2A5D2B0D" w14:textId="77777777" w:rsidTr="000C1F1D">
        <w:trPr>
          <w:trHeight w:val="288"/>
        </w:trPr>
        <w:tc>
          <w:tcPr>
            <w:tcW w:w="9562" w:type="dxa"/>
            <w:vAlign w:val="center"/>
          </w:tcPr>
          <w:p w14:paraId="12F70A91" w14:textId="0FD2DCE4" w:rsidR="005F40E0" w:rsidRPr="00693D1C" w:rsidRDefault="005F40E0" w:rsidP="00C5453C">
            <w:pPr>
              <w:rPr>
                <w:rFonts w:cs="Arial"/>
                <w:lang w:val="fr-FR"/>
              </w:rPr>
            </w:pPr>
            <w:r w:rsidRPr="00693D1C">
              <w:rPr>
                <w:rFonts w:cs="Arial"/>
                <w:b/>
                <w:bCs/>
                <w:lang w:val="fr-FR"/>
              </w:rPr>
              <w:t xml:space="preserve">Source: </w:t>
            </w:r>
            <w:r w:rsidRPr="00693D1C">
              <w:rPr>
                <w:rFonts w:cs="Arial"/>
                <w:lang w:val="fr-FR"/>
              </w:rPr>
              <w:t xml:space="preserve">Joint Commission PC-02 </w:t>
            </w:r>
            <w:r w:rsidR="00C17F65" w:rsidRPr="00693D1C">
              <w:rPr>
                <w:rFonts w:cs="Arial"/>
                <w:bCs/>
                <w:lang w:val="fr-FR"/>
              </w:rPr>
              <w:t xml:space="preserve">version </w:t>
            </w:r>
            <w:hyperlink r:id="rId280" w:history="1">
              <w:r w:rsidR="00C17F65" w:rsidRPr="00693D1C">
                <w:rPr>
                  <w:rStyle w:val="Hyperlink"/>
                  <w:rFonts w:cs="Arial"/>
                  <w:bCs/>
                  <w:lang w:val="fr-FR"/>
                </w:rPr>
                <w:t>202</w:t>
              </w:r>
              <w:r w:rsidR="001F3CB2" w:rsidRPr="00693D1C">
                <w:rPr>
                  <w:rStyle w:val="Hyperlink"/>
                  <w:rFonts w:cs="Arial"/>
                  <w:bCs/>
                  <w:lang w:val="fr-FR"/>
                </w:rPr>
                <w:t>6</w:t>
              </w:r>
              <w:r w:rsidR="00C17F65" w:rsidRPr="00693D1C">
                <w:rPr>
                  <w:rStyle w:val="Hyperlink"/>
                  <w:rFonts w:cs="Arial"/>
                  <w:bCs/>
                  <w:lang w:val="fr-FR"/>
                </w:rPr>
                <w:t>A</w:t>
              </w:r>
              <w:r w:rsidR="007762F6" w:rsidRPr="00693D1C">
                <w:rPr>
                  <w:rStyle w:val="Hyperlink"/>
                  <w:lang w:val="fr-FR"/>
                </w:rPr>
                <w:t>1</w:t>
              </w:r>
            </w:hyperlink>
            <w:r w:rsidR="00C17F65" w:rsidRPr="00693D1C">
              <w:rPr>
                <w:rFonts w:cs="Arial"/>
                <w:bCs/>
                <w:lang w:val="fr-FR"/>
              </w:rPr>
              <w:t xml:space="preserve"> </w:t>
            </w:r>
          </w:p>
        </w:tc>
      </w:tr>
      <w:tr w:rsidR="005F40E0" w:rsidRPr="009A5185" w14:paraId="210A0900" w14:textId="77777777" w:rsidTr="000C1F1D">
        <w:trPr>
          <w:trHeight w:val="1152"/>
        </w:trPr>
        <w:tc>
          <w:tcPr>
            <w:tcW w:w="9562" w:type="dxa"/>
            <w:vAlign w:val="center"/>
          </w:tcPr>
          <w:p w14:paraId="63FDF661" w14:textId="77777777" w:rsidR="005F40E0" w:rsidRPr="009A5185" w:rsidRDefault="005F40E0" w:rsidP="005F40E0">
            <w:pPr>
              <w:autoSpaceDE w:val="0"/>
              <w:autoSpaceDN w:val="0"/>
              <w:adjustRightInd w:val="0"/>
              <w:rPr>
                <w:rFonts w:cs="Arial"/>
                <w:b/>
                <w:snapToGrid w:val="0"/>
              </w:rPr>
            </w:pPr>
            <w:r w:rsidRPr="009A5185">
              <w:rPr>
                <w:rFonts w:cs="Arial"/>
                <w:b/>
                <w:snapToGrid w:val="0"/>
              </w:rPr>
              <w:t>Reporting Period: 12 months</w:t>
            </w:r>
          </w:p>
          <w:p w14:paraId="20E1C786" w14:textId="77777777" w:rsidR="005F40E0" w:rsidRPr="00861D91" w:rsidRDefault="005F40E0" w:rsidP="00AD309C">
            <w:pPr>
              <w:pStyle w:val="ListParagraph"/>
              <w:numPr>
                <w:ilvl w:val="0"/>
                <w:numId w:val="12"/>
              </w:numPr>
              <w:rPr>
                <w:rFonts w:cs="Arial"/>
                <w:i/>
                <w:snapToGrid w:val="0"/>
              </w:rPr>
            </w:pPr>
            <w:r w:rsidRPr="00861D91">
              <w:rPr>
                <w:rFonts w:cs="Arial"/>
                <w:iCs/>
                <w:snapToGrid w:val="0"/>
              </w:rPr>
              <w:t>Surveys submitted prior to September 1:</w:t>
            </w:r>
          </w:p>
          <w:p w14:paraId="10B022D2" w14:textId="258CF6F8" w:rsidR="005F40E0" w:rsidRPr="00861D91" w:rsidRDefault="005F40E0" w:rsidP="00AD309C">
            <w:pPr>
              <w:pStyle w:val="ListParagraph"/>
              <w:numPr>
                <w:ilvl w:val="1"/>
                <w:numId w:val="12"/>
              </w:numPr>
              <w:rPr>
                <w:rFonts w:cs="Arial"/>
                <w:i/>
                <w:snapToGrid w:val="0"/>
              </w:rPr>
            </w:pPr>
            <w:r w:rsidRPr="00861D91">
              <w:rPr>
                <w:rFonts w:cs="Arial"/>
                <w:snapToGrid w:val="0"/>
              </w:rPr>
              <w:t>01/01/</w:t>
            </w:r>
            <w:r>
              <w:rPr>
                <w:rFonts w:cs="Arial"/>
                <w:snapToGrid w:val="0"/>
              </w:rPr>
              <w:t>202</w:t>
            </w:r>
            <w:r w:rsidR="008E4EE0">
              <w:rPr>
                <w:rFonts w:cs="Arial"/>
                <w:snapToGrid w:val="0"/>
              </w:rPr>
              <w:t>5</w:t>
            </w:r>
            <w:r w:rsidRPr="00861D91">
              <w:rPr>
                <w:rFonts w:cs="Arial"/>
                <w:snapToGrid w:val="0"/>
              </w:rPr>
              <w:t xml:space="preserve"> – 12/31/</w:t>
            </w:r>
            <w:r>
              <w:rPr>
                <w:rFonts w:cs="Arial"/>
                <w:snapToGrid w:val="0"/>
              </w:rPr>
              <w:t>202</w:t>
            </w:r>
            <w:r w:rsidR="008E4EE0">
              <w:rPr>
                <w:rFonts w:cs="Arial"/>
                <w:snapToGrid w:val="0"/>
              </w:rPr>
              <w:t>5</w:t>
            </w:r>
          </w:p>
          <w:p w14:paraId="50347C2C" w14:textId="77777777" w:rsidR="005F40E0" w:rsidRPr="00861D91" w:rsidRDefault="005F40E0" w:rsidP="00AD309C">
            <w:pPr>
              <w:pStyle w:val="ListParagraph"/>
              <w:numPr>
                <w:ilvl w:val="0"/>
                <w:numId w:val="12"/>
              </w:numPr>
              <w:rPr>
                <w:rFonts w:cs="Arial"/>
                <w:i/>
                <w:snapToGrid w:val="0"/>
              </w:rPr>
            </w:pPr>
            <w:r w:rsidRPr="00861D91">
              <w:rPr>
                <w:rFonts w:cs="Arial"/>
                <w:snapToGrid w:val="0"/>
              </w:rPr>
              <w:t xml:space="preserve">Surveys (re)submitted on or after September 1: </w:t>
            </w:r>
          </w:p>
          <w:p w14:paraId="088C926F" w14:textId="4368261A" w:rsidR="005F40E0" w:rsidRPr="000C1F1D" w:rsidRDefault="005F40E0" w:rsidP="00AD309C">
            <w:pPr>
              <w:pStyle w:val="ListParagraph"/>
              <w:numPr>
                <w:ilvl w:val="1"/>
                <w:numId w:val="12"/>
              </w:numPr>
              <w:rPr>
                <w:rFonts w:cs="Arial"/>
                <w:b/>
                <w:lang w:val="fr-FR"/>
              </w:rPr>
            </w:pPr>
            <w:r w:rsidRPr="00861D91">
              <w:rPr>
                <w:rFonts w:cs="Arial"/>
                <w:snapToGrid w:val="0"/>
              </w:rPr>
              <w:t>07/01/</w:t>
            </w:r>
            <w:r>
              <w:rPr>
                <w:rFonts w:cs="Arial"/>
                <w:snapToGrid w:val="0"/>
              </w:rPr>
              <w:t>202</w:t>
            </w:r>
            <w:r w:rsidR="008E4EE0">
              <w:rPr>
                <w:rFonts w:cs="Arial"/>
                <w:snapToGrid w:val="0"/>
              </w:rPr>
              <w:t>5</w:t>
            </w:r>
            <w:r w:rsidRPr="00861D91">
              <w:rPr>
                <w:rFonts w:cs="Arial"/>
                <w:snapToGrid w:val="0"/>
              </w:rPr>
              <w:t xml:space="preserve"> – 06/30/</w:t>
            </w:r>
            <w:r>
              <w:rPr>
                <w:rFonts w:cs="Arial"/>
                <w:snapToGrid w:val="0"/>
              </w:rPr>
              <w:t>202</w:t>
            </w:r>
            <w:r w:rsidR="008E4EE0">
              <w:rPr>
                <w:rFonts w:cs="Arial"/>
                <w:snapToGrid w:val="0"/>
              </w:rPr>
              <w:t>6</w:t>
            </w:r>
          </w:p>
          <w:p w14:paraId="13DA55C3" w14:textId="77777777" w:rsidR="005F40E0" w:rsidRDefault="005F40E0" w:rsidP="005F40E0">
            <w:pPr>
              <w:rPr>
                <w:rFonts w:cs="Arial"/>
                <w:b/>
                <w:lang w:val="fr-FR"/>
              </w:rPr>
            </w:pPr>
          </w:p>
          <w:p w14:paraId="7E65C380" w14:textId="31908A0D" w:rsidR="005F40E0" w:rsidRPr="00693D1C" w:rsidRDefault="005F40E0" w:rsidP="005F40E0">
            <w:pPr>
              <w:rPr>
                <w:rFonts w:cs="Arial"/>
                <w:b/>
              </w:rPr>
            </w:pPr>
            <w:r>
              <w:rPr>
                <w:rFonts w:cs="Arial"/>
                <w:bCs/>
              </w:rPr>
              <w:t>Note: The discharge date must be used to determine whether a case falls within the reporting period specified.</w:t>
            </w:r>
          </w:p>
        </w:tc>
      </w:tr>
      <w:tr w:rsidR="00E60C6C" w:rsidRPr="009A5185" w14:paraId="1F460849" w14:textId="77777777" w:rsidTr="00680669">
        <w:trPr>
          <w:trHeight w:val="2304"/>
        </w:trPr>
        <w:tc>
          <w:tcPr>
            <w:tcW w:w="9562" w:type="dxa"/>
            <w:vAlign w:val="center"/>
          </w:tcPr>
          <w:p w14:paraId="19081673" w14:textId="2201111D" w:rsidR="00E60C6C" w:rsidRDefault="00E60C6C">
            <w:pPr>
              <w:rPr>
                <w:rFonts w:cs="Arial"/>
                <w:b/>
              </w:rPr>
            </w:pPr>
            <w:r w:rsidRPr="009A5185">
              <w:rPr>
                <w:rFonts w:cs="Arial"/>
              </w:rPr>
              <w:t xml:space="preserve">If you measured this quality indicator, reported the results to The Joint Commission (TJC), and continue to submit these data to The Joint Commission, </w:t>
            </w:r>
            <w:r w:rsidRPr="009A5185">
              <w:rPr>
                <w:rFonts w:cs="Arial"/>
                <w:b/>
              </w:rPr>
              <w:t>use those data when responding to this subsection of the Survey.</w:t>
            </w:r>
            <w:r w:rsidR="007174DE">
              <w:rPr>
                <w:rFonts w:cs="Arial"/>
                <w:b/>
              </w:rPr>
              <w:t xml:space="preserve"> </w:t>
            </w:r>
            <w:r w:rsidR="007174DE">
              <w:rPr>
                <w:rFonts w:cs="Arial"/>
                <w:bCs/>
              </w:rPr>
              <w:t>Leapfrog will accept data collected for either the chart-abstracted measure (PC-0</w:t>
            </w:r>
            <w:r w:rsidR="00157FDB">
              <w:rPr>
                <w:rFonts w:cs="Arial"/>
                <w:bCs/>
              </w:rPr>
              <w:t>2</w:t>
            </w:r>
            <w:r w:rsidR="007174DE">
              <w:rPr>
                <w:rFonts w:cs="Arial"/>
                <w:bCs/>
              </w:rPr>
              <w:t>) or the electronic clinical quality measure (ePC-0</w:t>
            </w:r>
            <w:r w:rsidR="00157FDB">
              <w:rPr>
                <w:rFonts w:cs="Arial"/>
                <w:bCs/>
              </w:rPr>
              <w:t>2</w:t>
            </w:r>
            <w:r w:rsidR="007174DE">
              <w:rPr>
                <w:rFonts w:cs="Arial"/>
                <w:bCs/>
              </w:rPr>
              <w:t>).</w:t>
            </w:r>
          </w:p>
          <w:p w14:paraId="6651FE43" w14:textId="77777777" w:rsidR="00E60C6C" w:rsidRDefault="00E60C6C">
            <w:pPr>
              <w:rPr>
                <w:rFonts w:cs="Arial"/>
                <w:b/>
              </w:rPr>
            </w:pPr>
          </w:p>
          <w:p w14:paraId="72942AED" w14:textId="560E49AC" w:rsidR="00E60C6C" w:rsidRDefault="00E60C6C">
            <w:pPr>
              <w:rPr>
                <w:rFonts w:cs="Arial"/>
              </w:rPr>
            </w:pPr>
            <w:r>
              <w:rPr>
                <w:rFonts w:cs="Arial"/>
              </w:rPr>
              <w:t xml:space="preserve">Hospitals participating in the California Maternal Quality Care Collaborative (CMQCC) Maternal Data Center may use the data provided in CMQCC reports when responding to this subsection of the Survey. </w:t>
            </w:r>
            <w:r w:rsidRPr="009A5185">
              <w:rPr>
                <w:rFonts w:cs="Arial"/>
              </w:rPr>
              <w:t xml:space="preserve">Download instructions for using the </w:t>
            </w:r>
            <w:r>
              <w:rPr>
                <w:rFonts w:cs="Arial"/>
              </w:rPr>
              <w:t>CMQCC reports</w:t>
            </w:r>
            <w:r w:rsidRPr="009A5185">
              <w:rPr>
                <w:rFonts w:cs="Arial"/>
              </w:rPr>
              <w:t xml:space="preserve"> on the </w:t>
            </w:r>
            <w:hyperlink r:id="rId281" w:history="1">
              <w:r w:rsidRPr="009A5185">
                <w:rPr>
                  <w:rStyle w:val="Hyperlink"/>
                  <w:rFonts w:cs="Arial"/>
                </w:rPr>
                <w:t>Survey and CPOE Materials webpage</w:t>
              </w:r>
            </w:hyperlink>
            <w:r w:rsidRPr="009A5185">
              <w:rPr>
                <w:rFonts w:cs="Arial"/>
              </w:rPr>
              <w:t>.</w:t>
            </w:r>
          </w:p>
          <w:p w14:paraId="393FB717" w14:textId="77777777" w:rsidR="00E60C6C" w:rsidRDefault="00E60C6C">
            <w:pPr>
              <w:rPr>
                <w:rFonts w:cs="Arial"/>
              </w:rPr>
            </w:pPr>
          </w:p>
          <w:p w14:paraId="5C5FC3E5" w14:textId="77777777" w:rsidR="00E60C6C" w:rsidRPr="00CA3100" w:rsidRDefault="00E60C6C">
            <w:pPr>
              <w:rPr>
                <w:rFonts w:cs="Arial"/>
              </w:rPr>
            </w:pPr>
            <w:r>
              <w:rPr>
                <w:rFonts w:cs="Arial"/>
              </w:rPr>
              <w:t xml:space="preserve">Hospitals participating in the Michigan Obstetrics Initiative (OBI) may use the data provided in OBI reports when responding to this subsection of the Survey. </w:t>
            </w:r>
          </w:p>
          <w:p w14:paraId="60EB2086" w14:textId="77777777" w:rsidR="00E60C6C" w:rsidRPr="009A5185" w:rsidRDefault="00E60C6C">
            <w:pPr>
              <w:rPr>
                <w:rFonts w:cs="Arial"/>
              </w:rPr>
            </w:pPr>
          </w:p>
          <w:p w14:paraId="66F4ABD5" w14:textId="66B733A9" w:rsidR="005B5A6C" w:rsidRDefault="00E60C6C">
            <w:pPr>
              <w:rPr>
                <w:rFonts w:cs="Arial"/>
              </w:rPr>
            </w:pPr>
            <w:r w:rsidRPr="009A5185">
              <w:rPr>
                <w:rFonts w:cs="Arial"/>
              </w:rPr>
              <w:t xml:space="preserve">Otherwise, use TJC’s PC-02 Cesarean Birth measure specifications </w:t>
            </w:r>
            <w:r w:rsidR="001A6659">
              <w:rPr>
                <w:rFonts w:cs="Arial"/>
              </w:rPr>
              <w:t xml:space="preserve">(version </w:t>
            </w:r>
            <w:hyperlink r:id="rId282" w:history="1">
              <w:r w:rsidR="001A6659" w:rsidRPr="00F75651">
                <w:rPr>
                  <w:rStyle w:val="Hyperlink"/>
                  <w:rFonts w:cs="Arial"/>
                </w:rPr>
                <w:t>2026A1</w:t>
              </w:r>
            </w:hyperlink>
            <w:r w:rsidR="001A6659">
              <w:rPr>
                <w:rFonts w:cs="Arial"/>
              </w:rPr>
              <w:t xml:space="preserve">) </w:t>
            </w:r>
            <w:r w:rsidRPr="009A5185">
              <w:rPr>
                <w:rFonts w:cs="Arial"/>
              </w:rPr>
              <w:t>to retrospectively collect and report data for this measure.</w:t>
            </w:r>
            <w:r>
              <w:rPr>
                <w:rFonts w:cs="Arial"/>
              </w:rPr>
              <w:t xml:space="preserve"> </w:t>
            </w:r>
            <w:r w:rsidRPr="009A5185">
              <w:rPr>
                <w:rFonts w:cs="Arial"/>
              </w:rPr>
              <w:t>The PC-0</w:t>
            </w:r>
            <w:r>
              <w:rPr>
                <w:rFonts w:cs="Arial"/>
              </w:rPr>
              <w:t>2</w:t>
            </w:r>
            <w:r w:rsidRPr="009A5185">
              <w:rPr>
                <w:rFonts w:cs="Arial"/>
              </w:rPr>
              <w:t xml:space="preserve"> measure specifications are outlined below. To access the measure specifications directly on The Joint Commission’s website, </w:t>
            </w:r>
            <w:r w:rsidR="001A6659">
              <w:rPr>
                <w:rFonts w:cs="Arial"/>
              </w:rPr>
              <w:t xml:space="preserve">visit </w:t>
            </w:r>
            <w:hyperlink r:id="rId283" w:history="1">
              <w:r w:rsidR="00CA2079" w:rsidRPr="00B36F0F">
                <w:rPr>
                  <w:rStyle w:val="Hyperlink"/>
                  <w:rFonts w:cs="Arial"/>
                </w:rPr>
                <w:t>https://manual.jointcommission.org/releases/TJC2026A1/MIF0167.html</w:t>
              </w:r>
            </w:hyperlink>
            <w:r w:rsidR="00CA2079">
              <w:rPr>
                <w:rFonts w:cs="Arial"/>
              </w:rPr>
              <w:t xml:space="preserve">. </w:t>
            </w:r>
          </w:p>
          <w:p w14:paraId="55A51B00" w14:textId="77777777" w:rsidR="00AF1DC0" w:rsidRDefault="00AF1DC0" w:rsidP="00AF1DC0">
            <w:pPr>
              <w:rPr>
                <w:rFonts w:cs="Arial"/>
              </w:rPr>
            </w:pPr>
          </w:p>
          <w:p w14:paraId="6CC366A7" w14:textId="735C234C" w:rsidR="00F72495" w:rsidRPr="00AF1DC0" w:rsidRDefault="002346C5" w:rsidP="00AF1DC0">
            <w:pPr>
              <w:rPr>
                <w:rFonts w:cs="Arial"/>
                <w:color w:val="0000FF"/>
                <w:u w:val="single"/>
              </w:rPr>
            </w:pPr>
            <w:r w:rsidRPr="00506A46">
              <w:rPr>
                <w:rFonts w:cs="Arial"/>
              </w:rPr>
              <w:t>Note: Leapfrog will also accept data collected for ePC-02 using TJC’s electronic clinical quality measure (</w:t>
            </w:r>
            <w:proofErr w:type="spellStart"/>
            <w:r w:rsidRPr="00506A46">
              <w:rPr>
                <w:rFonts w:cs="Arial"/>
              </w:rPr>
              <w:t>eCQM</w:t>
            </w:r>
            <w:proofErr w:type="spellEnd"/>
            <w:r w:rsidRPr="00506A46">
              <w:rPr>
                <w:rFonts w:cs="Arial"/>
              </w:rPr>
              <w:t>) specifications for the appropriate reporting period</w:t>
            </w:r>
            <w:r>
              <w:rPr>
                <w:rFonts w:cs="Arial"/>
              </w:rPr>
              <w:t xml:space="preserve">. </w:t>
            </w:r>
            <w:proofErr w:type="spellStart"/>
            <w:r w:rsidR="007174DE" w:rsidRPr="00AF1DC0">
              <w:rPr>
                <w:rFonts w:cs="Arial"/>
              </w:rPr>
              <w:t>eCQM</w:t>
            </w:r>
            <w:proofErr w:type="spellEnd"/>
            <w:r w:rsidR="007174DE" w:rsidRPr="00AF1DC0">
              <w:rPr>
                <w:rFonts w:cs="Arial"/>
              </w:rPr>
              <w:t xml:space="preserve"> specifications can be found </w:t>
            </w:r>
            <w:hyperlink r:id="rId284" w:history="1">
              <w:r w:rsidR="007174DE" w:rsidRPr="00AF1DC0">
                <w:rPr>
                  <w:rStyle w:val="Hyperlink"/>
                  <w:rFonts w:cs="Arial"/>
                </w:rPr>
                <w:t>here</w:t>
              </w:r>
            </w:hyperlink>
            <w:r w:rsidR="007174DE" w:rsidRPr="00AF1DC0">
              <w:rPr>
                <w:rFonts w:cs="Arial"/>
              </w:rPr>
              <w:t>.</w:t>
            </w:r>
          </w:p>
        </w:tc>
      </w:tr>
      <w:tr w:rsidR="00C25B09" w:rsidRPr="009A5185" w14:paraId="6590E73F" w14:textId="77777777" w:rsidTr="000C1F1D">
        <w:trPr>
          <w:trHeight w:val="432"/>
        </w:trPr>
        <w:tc>
          <w:tcPr>
            <w:tcW w:w="9562" w:type="dxa"/>
            <w:vAlign w:val="center"/>
          </w:tcPr>
          <w:p w14:paraId="0B575008" w14:textId="77777777" w:rsidR="00C25B09" w:rsidRPr="009A5185" w:rsidRDefault="00C25B09" w:rsidP="00C25B09">
            <w:pPr>
              <w:rPr>
                <w:rFonts w:cs="Arial"/>
                <w:b/>
              </w:rPr>
            </w:pPr>
            <w:r w:rsidRPr="009A5185">
              <w:rPr>
                <w:rFonts w:cs="Arial"/>
                <w:b/>
              </w:rPr>
              <w:t xml:space="preserve">Sampling Cases: </w:t>
            </w:r>
            <w:r w:rsidRPr="009A5185">
              <w:rPr>
                <w:rFonts w:cs="Arial"/>
              </w:rPr>
              <w:t>Hospitals that report the Perinatal Care Measure Set to TJC may use the sampling methodology used by the TJC to report on</w:t>
            </w:r>
            <w:r>
              <w:rPr>
                <w:rFonts w:cs="Arial"/>
              </w:rPr>
              <w:t xml:space="preserve"> qu</w:t>
            </w:r>
            <w:r w:rsidRPr="009A5185">
              <w:rPr>
                <w:rFonts w:cs="Arial"/>
              </w:rPr>
              <w:t>estions</w:t>
            </w:r>
            <w:r>
              <w:rPr>
                <w:rFonts w:cs="Arial"/>
              </w:rPr>
              <w:t xml:space="preserve"> #2-3</w:t>
            </w:r>
            <w:r w:rsidRPr="009A5185">
              <w:rPr>
                <w:rFonts w:cs="Arial"/>
              </w:rPr>
              <w:t xml:space="preserve">. </w:t>
            </w:r>
          </w:p>
          <w:p w14:paraId="2FA5FD6D" w14:textId="77777777" w:rsidR="00C25B09" w:rsidRPr="009A5185" w:rsidRDefault="00C25B09" w:rsidP="00C25B09">
            <w:pPr>
              <w:autoSpaceDE w:val="0"/>
              <w:autoSpaceDN w:val="0"/>
              <w:adjustRightInd w:val="0"/>
              <w:rPr>
                <w:rFonts w:cs="Arial"/>
                <w:b/>
                <w:i/>
              </w:rPr>
            </w:pPr>
          </w:p>
          <w:p w14:paraId="0DF8131F" w14:textId="77777777" w:rsidR="00C25B09" w:rsidRDefault="00C25B09" w:rsidP="00C25B09">
            <w:pPr>
              <w:autoSpaceDE w:val="0"/>
              <w:autoSpaceDN w:val="0"/>
              <w:adjustRightInd w:val="0"/>
              <w:rPr>
                <w:rFonts w:cs="Arial"/>
              </w:rPr>
            </w:pPr>
            <w:r w:rsidRPr="009A5185">
              <w:rPr>
                <w:rFonts w:cs="Arial"/>
              </w:rPr>
              <w:t xml:space="preserve">Otherwise, hospitals opting to identify a sufficient sample of mothers for this measure, in lieu of full case reporting, should follow the instructions below. </w:t>
            </w:r>
            <w:r>
              <w:rPr>
                <w:rFonts w:cs="Arial"/>
              </w:rPr>
              <w:t>Hospitals may refer to the TJC Measure Algorithm flow chart at the bottom of each set of specifications linked above, for an example of how to identify cases.</w:t>
            </w:r>
          </w:p>
          <w:p w14:paraId="01023B8C" w14:textId="77777777" w:rsidR="00C25B09" w:rsidRDefault="00C25B09" w:rsidP="00C25B09">
            <w:pPr>
              <w:autoSpaceDE w:val="0"/>
              <w:autoSpaceDN w:val="0"/>
              <w:adjustRightInd w:val="0"/>
              <w:rPr>
                <w:rFonts w:cs="Arial"/>
              </w:rPr>
            </w:pPr>
          </w:p>
          <w:p w14:paraId="4DB30E93" w14:textId="77777777" w:rsidR="00C25B09" w:rsidRPr="00765FBE" w:rsidRDefault="00C25B09" w:rsidP="00C25B09">
            <w:pPr>
              <w:autoSpaceDE w:val="0"/>
              <w:autoSpaceDN w:val="0"/>
              <w:adjustRightInd w:val="0"/>
              <w:rPr>
                <w:rFonts w:cs="Arial"/>
                <w:u w:val="single"/>
              </w:rPr>
            </w:pPr>
            <w:r>
              <w:rPr>
                <w:rFonts w:cs="Arial"/>
                <w:u w:val="single"/>
              </w:rPr>
              <w:t>Sampling instructions for 01/01/2024 – 12/31/2024 discharges:</w:t>
            </w:r>
          </w:p>
          <w:p w14:paraId="6942F764" w14:textId="1D25C07B" w:rsidR="00C25B09" w:rsidRPr="009A5185" w:rsidRDefault="00C25B09" w:rsidP="00AD309C">
            <w:pPr>
              <w:numPr>
                <w:ilvl w:val="0"/>
                <w:numId w:val="414"/>
              </w:numPr>
              <w:autoSpaceDE w:val="0"/>
              <w:autoSpaceDN w:val="0"/>
              <w:adjustRightInd w:val="0"/>
              <w:rPr>
                <w:rFonts w:cs="Arial"/>
              </w:rPr>
            </w:pPr>
            <w:r w:rsidRPr="009A5185">
              <w:rPr>
                <w:rFonts w:cs="Arial"/>
              </w:rPr>
              <w:t xml:space="preserve">Review your hospital’s first delivery as of </w:t>
            </w:r>
            <w:r w:rsidRPr="009A5185">
              <w:rPr>
                <w:rFonts w:cs="Arial"/>
                <w:b/>
              </w:rPr>
              <w:t xml:space="preserve">April 15, </w:t>
            </w:r>
            <w:r>
              <w:rPr>
                <w:rFonts w:cs="Arial"/>
                <w:b/>
              </w:rPr>
              <w:t>202</w:t>
            </w:r>
            <w:r w:rsidR="00A366DB" w:rsidRPr="00BF100A">
              <w:rPr>
                <w:rFonts w:cs="Arial"/>
                <w:b/>
                <w:bCs/>
              </w:rPr>
              <w:t>5</w:t>
            </w:r>
            <w:r w:rsidR="00A366DB">
              <w:rPr>
                <w:rFonts w:cs="Arial"/>
              </w:rPr>
              <w:t xml:space="preserve"> if submitting a Survey prior to September 1 (or </w:t>
            </w:r>
            <w:r w:rsidR="00A366DB">
              <w:rPr>
                <w:rFonts w:cs="Arial"/>
                <w:i/>
                <w:iCs/>
              </w:rPr>
              <w:t xml:space="preserve">optionally, </w:t>
            </w:r>
            <w:r w:rsidR="00A366DB">
              <w:rPr>
                <w:rFonts w:cs="Arial"/>
                <w:b/>
                <w:bCs/>
              </w:rPr>
              <w:t>July 15, 2025</w:t>
            </w:r>
            <w:r w:rsidR="00A366DB">
              <w:rPr>
                <w:rFonts w:cs="Arial"/>
              </w:rPr>
              <w:t xml:space="preserve"> if (re)submitting a Survey on or after September 1, 2026 and sampling from 07/01/2025 – 06/30/2026 discharges).</w:t>
            </w:r>
          </w:p>
          <w:p w14:paraId="4919A267" w14:textId="77777777" w:rsidR="00C25B09" w:rsidRPr="009A5185" w:rsidRDefault="00C25B09" w:rsidP="00AD309C">
            <w:pPr>
              <w:numPr>
                <w:ilvl w:val="0"/>
                <w:numId w:val="414"/>
              </w:numPr>
              <w:autoSpaceDE w:val="0"/>
              <w:autoSpaceDN w:val="0"/>
              <w:adjustRightInd w:val="0"/>
              <w:rPr>
                <w:rFonts w:cs="Arial"/>
              </w:rPr>
            </w:pPr>
            <w:r w:rsidRPr="009A5185">
              <w:rPr>
                <w:rFonts w:cs="Arial"/>
              </w:rPr>
              <w:t xml:space="preserve">Evaluate this case against the inclusion criteria; retain the case for the sample if it meets the inclusion criteria. </w:t>
            </w:r>
          </w:p>
          <w:p w14:paraId="7778128C" w14:textId="77777777" w:rsidR="00C25B09" w:rsidRPr="009A5185" w:rsidRDefault="00C25B09" w:rsidP="00AD309C">
            <w:pPr>
              <w:numPr>
                <w:ilvl w:val="0"/>
                <w:numId w:val="414"/>
              </w:numPr>
              <w:autoSpaceDE w:val="0"/>
              <w:autoSpaceDN w:val="0"/>
              <w:adjustRightInd w:val="0"/>
              <w:rPr>
                <w:rFonts w:cs="Arial"/>
              </w:rPr>
            </w:pPr>
            <w:r w:rsidRPr="009A5185">
              <w:rPr>
                <w:rFonts w:cs="Arial"/>
              </w:rPr>
              <w:t xml:space="preserve">Evaluate this case against the exclusion criteria; retain the case for the sample if it </w:t>
            </w:r>
            <w:r w:rsidRPr="009A5185">
              <w:rPr>
                <w:rFonts w:cs="Arial"/>
                <w:u w:val="single"/>
              </w:rPr>
              <w:t>does not</w:t>
            </w:r>
            <w:r w:rsidRPr="009A5185">
              <w:rPr>
                <w:rFonts w:cs="Arial"/>
              </w:rPr>
              <w:t xml:space="preserve"> meet any of the listed exclusions. </w:t>
            </w:r>
          </w:p>
          <w:p w14:paraId="546C697D" w14:textId="77777777" w:rsidR="00C25B09" w:rsidRDefault="00C25B09" w:rsidP="00AD309C">
            <w:pPr>
              <w:numPr>
                <w:ilvl w:val="0"/>
                <w:numId w:val="414"/>
              </w:numPr>
              <w:autoSpaceDE w:val="0"/>
              <w:autoSpaceDN w:val="0"/>
              <w:adjustRightInd w:val="0"/>
              <w:rPr>
                <w:rFonts w:cs="Arial"/>
              </w:rPr>
            </w:pPr>
            <w:r w:rsidRPr="009A5185">
              <w:rPr>
                <w:rFonts w:cs="Arial"/>
              </w:rPr>
              <w:t>Move to the next delivery and evaluate for inclusion/exclusion applicability.</w:t>
            </w:r>
          </w:p>
          <w:p w14:paraId="40891254" w14:textId="54872DE8" w:rsidR="00C25B09" w:rsidRPr="0055713E" w:rsidRDefault="00C25B09" w:rsidP="00C5453C">
            <w:pPr>
              <w:numPr>
                <w:ilvl w:val="0"/>
                <w:numId w:val="414"/>
              </w:numPr>
              <w:autoSpaceDE w:val="0"/>
              <w:autoSpaceDN w:val="0"/>
              <w:adjustRightInd w:val="0"/>
            </w:pPr>
            <w:r w:rsidRPr="0055713E">
              <w:rPr>
                <w:rFonts w:cs="Arial"/>
              </w:rPr>
              <w:t xml:space="preserve">Continue through cases in sequential order until </w:t>
            </w:r>
            <w:r w:rsidRPr="0055713E">
              <w:rPr>
                <w:rFonts w:cs="Arial"/>
                <w:b/>
                <w:u w:val="single"/>
              </w:rPr>
              <w:t>a sample of at least 30 cases</w:t>
            </w:r>
            <w:r w:rsidRPr="0055713E">
              <w:rPr>
                <w:rFonts w:cs="Arial"/>
              </w:rPr>
              <w:t xml:space="preserve"> is reached or all cases discharged during the reporting period are reviewed, whichever comes first.</w:t>
            </w:r>
          </w:p>
        </w:tc>
      </w:tr>
      <w:tr w:rsidR="00523F93" w:rsidRPr="009A5185" w14:paraId="5C6D94D1" w14:textId="77777777" w:rsidTr="000C1F1D">
        <w:trPr>
          <w:trHeight w:val="432"/>
        </w:trPr>
        <w:tc>
          <w:tcPr>
            <w:tcW w:w="9562" w:type="dxa"/>
            <w:vAlign w:val="center"/>
          </w:tcPr>
          <w:p w14:paraId="64F74088" w14:textId="77777777" w:rsidR="00FB146D" w:rsidRPr="009A5185" w:rsidRDefault="00FB146D" w:rsidP="00FB146D">
            <w:pPr>
              <w:rPr>
                <w:rFonts w:cs="Arial"/>
                <w:b/>
                <w:bCs/>
              </w:rPr>
            </w:pPr>
            <w:r w:rsidRPr="009A5185">
              <w:rPr>
                <w:rFonts w:cs="Arial"/>
                <w:b/>
                <w:bCs/>
              </w:rPr>
              <w:t xml:space="preserve">Question </w:t>
            </w:r>
            <w:r>
              <w:rPr>
                <w:rFonts w:cs="Arial"/>
                <w:b/>
                <w:bCs/>
              </w:rPr>
              <w:t>#</w:t>
            </w:r>
            <w:r w:rsidRPr="009A5185">
              <w:rPr>
                <w:rFonts w:cs="Arial"/>
                <w:b/>
                <w:bCs/>
              </w:rPr>
              <w:t xml:space="preserve">2 (denominator): </w:t>
            </w:r>
            <w:r w:rsidRPr="009A5185">
              <w:rPr>
                <w:rFonts w:cs="Arial"/>
                <w:shd w:val="clear" w:color="auto" w:fill="FFFFFF"/>
              </w:rPr>
              <w:t xml:space="preserve">Nulliparous patients delivered of a live term singleton newborn in vertex presentation with </w:t>
            </w:r>
            <w:r w:rsidRPr="009A5185">
              <w:rPr>
                <w:rFonts w:cs="Arial"/>
                <w:b/>
                <w:i/>
                <w:shd w:val="clear" w:color="auto" w:fill="FFFFFF"/>
              </w:rPr>
              <w:t>Excluded populations</w:t>
            </w:r>
            <w:r w:rsidRPr="009A5185">
              <w:rPr>
                <w:rFonts w:cs="Arial"/>
                <w:b/>
                <w:shd w:val="clear" w:color="auto" w:fill="FFFFFF"/>
              </w:rPr>
              <w:t xml:space="preserve"> </w:t>
            </w:r>
            <w:r w:rsidRPr="009A5185">
              <w:rPr>
                <w:rFonts w:cs="Arial"/>
                <w:shd w:val="clear" w:color="auto" w:fill="FFFFFF"/>
              </w:rPr>
              <w:t>removed.</w:t>
            </w:r>
          </w:p>
          <w:p w14:paraId="7C739864" w14:textId="77777777" w:rsidR="00FB146D" w:rsidRPr="009A5185" w:rsidRDefault="00FB146D" w:rsidP="00FB146D">
            <w:pPr>
              <w:shd w:val="clear" w:color="auto" w:fill="FFFFFF"/>
              <w:rPr>
                <w:rStyle w:val="Strong"/>
                <w:rFonts w:cs="Arial"/>
              </w:rPr>
            </w:pPr>
          </w:p>
          <w:p w14:paraId="79AA1F3F" w14:textId="77777777" w:rsidR="00FB146D" w:rsidRPr="009A5185" w:rsidRDefault="00FB146D" w:rsidP="00FB146D">
            <w:pPr>
              <w:shd w:val="clear" w:color="auto" w:fill="FFFFFF"/>
              <w:rPr>
                <w:rStyle w:val="Strong"/>
                <w:rFonts w:cs="Arial"/>
                <w:b w:val="0"/>
                <w:i/>
              </w:rPr>
            </w:pPr>
            <w:r w:rsidRPr="009A5185">
              <w:rPr>
                <w:rFonts w:cs="Arial"/>
                <w:bCs/>
                <w:i/>
              </w:rPr>
              <w:t>Note: The denominator should include both</w:t>
            </w:r>
            <w:r w:rsidRPr="009A5185">
              <w:rPr>
                <w:rFonts w:cs="Arial"/>
                <w:i/>
              </w:rPr>
              <w:t> nulliparous mothers with a live term singleton newborn in vertex presentation that had their newborn delivered via cesarean section </w:t>
            </w:r>
            <w:r w:rsidRPr="009A5185">
              <w:rPr>
                <w:rFonts w:cs="Arial"/>
                <w:bCs/>
                <w:i/>
              </w:rPr>
              <w:t>and</w:t>
            </w:r>
            <w:r w:rsidRPr="009A5185">
              <w:rPr>
                <w:rFonts w:cs="Arial"/>
                <w:i/>
              </w:rPr>
              <w:t> nulliparous mothers that delivered vaginally.</w:t>
            </w:r>
          </w:p>
          <w:p w14:paraId="0E7DBBE3" w14:textId="77777777" w:rsidR="00FB146D" w:rsidRPr="009A5185" w:rsidRDefault="00FB146D" w:rsidP="00FB146D">
            <w:pPr>
              <w:shd w:val="clear" w:color="auto" w:fill="FFFFFF"/>
              <w:rPr>
                <w:rStyle w:val="Strong"/>
                <w:rFonts w:cs="Arial"/>
              </w:rPr>
            </w:pPr>
          </w:p>
          <w:p w14:paraId="089D9AA8" w14:textId="77777777" w:rsidR="00FB146D" w:rsidRPr="009A5185" w:rsidRDefault="00FB146D" w:rsidP="00FB146D">
            <w:pPr>
              <w:shd w:val="clear" w:color="auto" w:fill="FFFFFF"/>
              <w:rPr>
                <w:rStyle w:val="apple-converted-space"/>
                <w:rFonts w:cs="Arial"/>
              </w:rPr>
            </w:pPr>
            <w:r w:rsidRPr="009A5185">
              <w:rPr>
                <w:rStyle w:val="Strong"/>
                <w:rFonts w:cs="Arial"/>
              </w:rPr>
              <w:t>Included Populations:</w:t>
            </w:r>
            <w:r w:rsidRPr="009A5185">
              <w:rPr>
                <w:rStyle w:val="apple-converted-space"/>
                <w:rFonts w:cs="Arial"/>
              </w:rPr>
              <w:t> </w:t>
            </w:r>
          </w:p>
          <w:p w14:paraId="2142D26F" w14:textId="466C3016" w:rsidR="00FB146D" w:rsidRPr="009A5185" w:rsidRDefault="00FB146D" w:rsidP="00FB146D">
            <w:pPr>
              <w:pStyle w:val="ListParagraph"/>
              <w:numPr>
                <w:ilvl w:val="0"/>
                <w:numId w:val="18"/>
              </w:numPr>
              <w:autoSpaceDE w:val="0"/>
              <w:autoSpaceDN w:val="0"/>
              <w:adjustRightInd w:val="0"/>
              <w:rPr>
                <w:rFonts w:cs="Arial"/>
              </w:rPr>
            </w:pPr>
            <w:r w:rsidRPr="009A5185">
              <w:rPr>
                <w:rFonts w:cs="Arial"/>
                <w:i/>
              </w:rPr>
              <w:t xml:space="preserve">ICD-10-PCS Principal Procedure Code or ICD-10-PCS Other Procedure Codes </w:t>
            </w:r>
            <w:r w:rsidRPr="009A5185">
              <w:rPr>
                <w:rFonts w:cs="Arial"/>
              </w:rPr>
              <w:t xml:space="preserve">for delivery as defined in Appendix A, Table </w:t>
            </w:r>
            <w:hyperlink r:id="rId285" w:anchor="Table_Number_11.01.1:_Delivery" w:history="1">
              <w:r>
                <w:rPr>
                  <w:rStyle w:val="Hyperlink"/>
                  <w:rFonts w:cs="Arial"/>
                </w:rPr>
                <w:t>11.01.1 Delivery</w:t>
              </w:r>
            </w:hyperlink>
            <w:r w:rsidRPr="009A5185">
              <w:rPr>
                <w:rFonts w:cs="Arial"/>
              </w:rPr>
              <w:t>.</w:t>
            </w:r>
          </w:p>
          <w:p w14:paraId="1B8FB708" w14:textId="3F7DA03F" w:rsidR="00FB146D" w:rsidRDefault="00FB146D" w:rsidP="00FB146D">
            <w:pPr>
              <w:pStyle w:val="ListParagraph"/>
              <w:numPr>
                <w:ilvl w:val="0"/>
                <w:numId w:val="18"/>
              </w:numPr>
              <w:autoSpaceDE w:val="0"/>
              <w:autoSpaceDN w:val="0"/>
              <w:adjustRightInd w:val="0"/>
              <w:spacing w:before="200" w:after="200"/>
              <w:rPr>
                <w:rFonts w:cs="Arial"/>
              </w:rPr>
            </w:pPr>
            <w:r w:rsidRPr="009A5185">
              <w:rPr>
                <w:rFonts w:cs="Arial"/>
              </w:rPr>
              <w:t>Nulliparous patients with</w:t>
            </w:r>
            <w:r w:rsidRPr="009A5185">
              <w:rPr>
                <w:rStyle w:val="apple-converted-space"/>
                <w:rFonts w:cs="Arial"/>
              </w:rPr>
              <w:t> </w:t>
            </w:r>
            <w:r w:rsidRPr="009A5185">
              <w:rPr>
                <w:rStyle w:val="Emphasis"/>
                <w:rFonts w:cs="Arial"/>
              </w:rPr>
              <w:t xml:space="preserve">ICD-10-CM Principal Diagnosis Code or ICD-10-CM Other Diagnosis Codes </w:t>
            </w:r>
            <w:r w:rsidRPr="009A5185">
              <w:rPr>
                <w:rFonts w:cs="Arial"/>
              </w:rPr>
              <w:t xml:space="preserve">for outcome of delivery as defined in Appendix A, Table </w:t>
            </w:r>
            <w:hyperlink r:id="rId286" w:anchor="Table_Number_11.08:_Outcome_of_Delivery" w:history="1">
              <w:r>
                <w:rPr>
                  <w:rStyle w:val="Hyperlink"/>
                  <w:rFonts w:cs="Arial"/>
                </w:rPr>
                <w:t>11.08 Outcome of Delivery</w:t>
              </w:r>
            </w:hyperlink>
            <w:r>
              <w:rPr>
                <w:rFonts w:cs="Arial"/>
              </w:rPr>
              <w:t xml:space="preserve"> </w:t>
            </w:r>
            <w:r w:rsidRPr="009A5185">
              <w:rPr>
                <w:rFonts w:cs="Arial"/>
              </w:rPr>
              <w:t xml:space="preserve">and with a delivery of a newborn with 37 weeks or more of gestation completed. </w:t>
            </w:r>
          </w:p>
          <w:p w14:paraId="50F98A8C" w14:textId="77777777" w:rsidR="008D3B46" w:rsidRDefault="008D3B46" w:rsidP="00FB146D">
            <w:pPr>
              <w:autoSpaceDE w:val="0"/>
              <w:autoSpaceDN w:val="0"/>
              <w:adjustRightInd w:val="0"/>
              <w:rPr>
                <w:rFonts w:cs="Arial"/>
                <w:b/>
              </w:rPr>
            </w:pPr>
          </w:p>
          <w:p w14:paraId="46CA97F0" w14:textId="39FD9994" w:rsidR="00FB146D" w:rsidRPr="002E6228" w:rsidRDefault="00FB146D" w:rsidP="00FB146D">
            <w:pPr>
              <w:autoSpaceDE w:val="0"/>
              <w:autoSpaceDN w:val="0"/>
              <w:adjustRightInd w:val="0"/>
              <w:rPr>
                <w:rStyle w:val="Emphasis"/>
                <w:rFonts w:cs="Arial"/>
                <w:i w:val="0"/>
              </w:rPr>
            </w:pPr>
            <w:r w:rsidRPr="009A5185">
              <w:rPr>
                <w:rFonts w:cs="Arial"/>
                <w:b/>
              </w:rPr>
              <w:t>Excluded Populations:</w:t>
            </w:r>
          </w:p>
          <w:p w14:paraId="6533A189" w14:textId="21DD95C0" w:rsidR="00FB146D" w:rsidRPr="009A5185" w:rsidRDefault="00FB146D" w:rsidP="00FB146D">
            <w:pPr>
              <w:pStyle w:val="ListParagraph"/>
              <w:numPr>
                <w:ilvl w:val="0"/>
                <w:numId w:val="18"/>
              </w:numPr>
              <w:autoSpaceDE w:val="0"/>
              <w:autoSpaceDN w:val="0"/>
              <w:adjustRightInd w:val="0"/>
              <w:rPr>
                <w:rFonts w:cs="Arial"/>
              </w:rPr>
            </w:pPr>
            <w:r w:rsidRPr="009A5185">
              <w:rPr>
                <w:rStyle w:val="Emphasis"/>
                <w:rFonts w:cs="Arial"/>
              </w:rPr>
              <w:t>ICD-10-CM Principal Diagnosis Code or ICD-10-CM Other Diagnosis Codes</w:t>
            </w:r>
            <w:r w:rsidRPr="009A5185">
              <w:rPr>
                <w:rFonts w:cs="Arial"/>
              </w:rPr>
              <w:t xml:space="preserve"> for multiple gestations</w:t>
            </w:r>
            <w:r>
              <w:rPr>
                <w:rFonts w:cs="Arial"/>
              </w:rPr>
              <w:t>,</w:t>
            </w:r>
            <w:r w:rsidRPr="009A5185">
              <w:rPr>
                <w:rFonts w:cs="Arial"/>
              </w:rPr>
              <w:t xml:space="preserve"> </w:t>
            </w:r>
            <w:r>
              <w:rPr>
                <w:rFonts w:cs="Arial"/>
              </w:rPr>
              <w:t xml:space="preserve">abnormal presentations, and conditions justifying cesarean delivery </w:t>
            </w:r>
            <w:r w:rsidRPr="009A5185">
              <w:rPr>
                <w:rFonts w:cs="Arial"/>
              </w:rPr>
              <w:t xml:space="preserve">as defined in Appendix A, Table </w:t>
            </w:r>
            <w:hyperlink r:id="rId287" w:anchor="Table_Number_11.09:_Multiple_Gestations_44_Abnormal_Presentations_44_and_Conditions_Justifying_Cesarean_Delivery" w:history="1">
              <w:r>
                <w:rPr>
                  <w:rStyle w:val="Hyperlink"/>
                  <w:rFonts w:cs="Arial"/>
                </w:rPr>
                <w:t>11.09 Multiple Gestations, Abnormal Presentations, and Conditions Justifying Cesarean Delivery</w:t>
              </w:r>
            </w:hyperlink>
            <w:r w:rsidR="00871536">
              <w:t xml:space="preserve"> </w:t>
            </w:r>
            <w:r w:rsidR="00871536" w:rsidRPr="00301153">
              <w:rPr>
                <w:rFonts w:cs="Arial"/>
              </w:rPr>
              <w:t xml:space="preserve">(please see FAQs for additional coding guidance </w:t>
            </w:r>
            <w:hyperlink r:id="rId288" w:history="1">
              <w:r w:rsidR="00295C8F" w:rsidRPr="00A2752F">
                <w:rPr>
                  <w:rStyle w:val="Hyperlink"/>
                  <w:rFonts w:cs="Arial"/>
                </w:rPr>
                <w:t>https://datacenter.cmqcc.org/support/download/c463ad71c0197fd1b1dd54db4bb09d31d8e8b35e</w:t>
              </w:r>
            </w:hyperlink>
            <w:r w:rsidR="00295C8F">
              <w:rPr>
                <w:rFonts w:cs="Arial"/>
              </w:rPr>
              <w:t xml:space="preserve"> </w:t>
            </w:r>
            <w:r w:rsidR="00871536" w:rsidRPr="00301153">
              <w:rPr>
                <w:rFonts w:cs="Arial"/>
              </w:rPr>
              <w:t xml:space="preserve"> </w:t>
            </w:r>
            <w:hyperlink r:id="rId289" w:history="1">
              <w:r w:rsidR="00295C8F" w:rsidRPr="00A2752F">
                <w:rPr>
                  <w:rStyle w:val="Hyperlink"/>
                  <w:rFonts w:cs="Arial"/>
                </w:rPr>
                <w:t>https://datacenter.cmqcc.org/support/download/a7955e52541df8ed63aa8e884909d81caeb1f659</w:t>
              </w:r>
            </w:hyperlink>
            <w:r w:rsidR="00871536" w:rsidRPr="00301153">
              <w:rPr>
                <w:rFonts w:cs="Arial"/>
              </w:rPr>
              <w:t>)</w:t>
            </w:r>
            <w:r w:rsidR="00295C8F">
              <w:rPr>
                <w:rFonts w:cs="Arial"/>
              </w:rPr>
              <w:t xml:space="preserve"> </w:t>
            </w:r>
            <w:r w:rsidRPr="009A5185">
              <w:rPr>
                <w:rFonts w:cs="Arial"/>
              </w:rPr>
              <w:t xml:space="preserve"> </w:t>
            </w:r>
          </w:p>
          <w:p w14:paraId="08C8EC53" w14:textId="77777777" w:rsidR="00FB146D" w:rsidRPr="009A5185" w:rsidRDefault="00FB146D" w:rsidP="00FB146D">
            <w:pPr>
              <w:pStyle w:val="ListParagraph"/>
              <w:numPr>
                <w:ilvl w:val="0"/>
                <w:numId w:val="18"/>
              </w:numPr>
              <w:autoSpaceDE w:val="0"/>
              <w:autoSpaceDN w:val="0"/>
              <w:adjustRightInd w:val="0"/>
              <w:rPr>
                <w:rFonts w:cs="Arial"/>
              </w:rPr>
            </w:pPr>
            <w:r w:rsidRPr="009A5185">
              <w:rPr>
                <w:rFonts w:cs="Arial"/>
              </w:rPr>
              <w:t>Less than 8 years of age</w:t>
            </w:r>
          </w:p>
          <w:p w14:paraId="1F1EE0AE" w14:textId="77777777" w:rsidR="00FB146D" w:rsidRPr="009A5185" w:rsidRDefault="00FB146D" w:rsidP="00FB146D">
            <w:pPr>
              <w:pStyle w:val="ListParagraph"/>
              <w:numPr>
                <w:ilvl w:val="0"/>
                <w:numId w:val="18"/>
              </w:numPr>
              <w:autoSpaceDE w:val="0"/>
              <w:autoSpaceDN w:val="0"/>
              <w:adjustRightInd w:val="0"/>
              <w:rPr>
                <w:rFonts w:cs="Arial"/>
              </w:rPr>
            </w:pPr>
            <w:r w:rsidRPr="009A5185">
              <w:rPr>
                <w:rFonts w:cs="Arial"/>
              </w:rPr>
              <w:t>Greater than or equal to 65 years of age</w:t>
            </w:r>
          </w:p>
          <w:p w14:paraId="7E9E3359" w14:textId="75881DAF" w:rsidR="00FB146D" w:rsidRPr="009A5185" w:rsidRDefault="00FB146D" w:rsidP="00FB146D">
            <w:pPr>
              <w:pStyle w:val="ListParagraph"/>
              <w:numPr>
                <w:ilvl w:val="0"/>
                <w:numId w:val="18"/>
              </w:numPr>
              <w:autoSpaceDE w:val="0"/>
              <w:autoSpaceDN w:val="0"/>
              <w:adjustRightInd w:val="0"/>
              <w:rPr>
                <w:rFonts w:cs="Arial"/>
              </w:rPr>
            </w:pPr>
            <w:hyperlink r:id="rId290" w:history="1">
              <w:r w:rsidRPr="005D6705">
                <w:rPr>
                  <w:rStyle w:val="Hyperlink"/>
                  <w:rFonts w:cs="Arial"/>
                  <w:i/>
                </w:rPr>
                <w:t>Gestational Age</w:t>
              </w:r>
            </w:hyperlink>
            <w:r w:rsidRPr="005D6705">
              <w:rPr>
                <w:rFonts w:cs="Arial"/>
                <w:i/>
              </w:rPr>
              <w:t> </w:t>
            </w:r>
            <w:r w:rsidRPr="009A5185">
              <w:rPr>
                <w:rFonts w:cs="Arial"/>
              </w:rPr>
              <w:t>&lt; 37 weeks</w:t>
            </w:r>
            <w:r w:rsidRPr="009A5185">
              <w:rPr>
                <w:rFonts w:cs="Arial"/>
                <w:i/>
              </w:rPr>
              <w:t xml:space="preserve"> </w:t>
            </w:r>
            <w:r w:rsidRPr="009A5185">
              <w:rPr>
                <w:rFonts w:cs="Arial"/>
              </w:rPr>
              <w:t xml:space="preserve">or </w:t>
            </w:r>
            <w:r>
              <w:rPr>
                <w:rFonts w:cs="Arial"/>
              </w:rPr>
              <w:t>Unable to Determine (</w:t>
            </w:r>
            <w:r w:rsidRPr="009A5185">
              <w:rPr>
                <w:rFonts w:cs="Arial"/>
              </w:rPr>
              <w:t>UTD</w:t>
            </w:r>
            <w:r>
              <w:rPr>
                <w:rFonts w:cs="Arial"/>
              </w:rPr>
              <w:t>)</w:t>
            </w:r>
          </w:p>
          <w:p w14:paraId="1624C9C2" w14:textId="77777777" w:rsidR="00FB146D" w:rsidRPr="009A5185" w:rsidRDefault="00FB146D" w:rsidP="00FB146D">
            <w:pPr>
              <w:autoSpaceDE w:val="0"/>
              <w:autoSpaceDN w:val="0"/>
              <w:adjustRightInd w:val="0"/>
              <w:rPr>
                <w:rFonts w:cs="Arial"/>
                <w:b/>
                <w:i/>
              </w:rPr>
            </w:pPr>
          </w:p>
          <w:p w14:paraId="1C5CC4A9" w14:textId="3F2C13B7" w:rsidR="00FB146D" w:rsidRPr="009A5185" w:rsidRDefault="00FB146D" w:rsidP="00FB146D">
            <w:pPr>
              <w:autoSpaceDE w:val="0"/>
              <w:autoSpaceDN w:val="0"/>
              <w:adjustRightInd w:val="0"/>
              <w:rPr>
                <w:rStyle w:val="Emphasis"/>
                <w:rFonts w:cs="Arial"/>
                <w:bCs/>
                <w:i w:val="0"/>
              </w:rPr>
            </w:pPr>
            <w:r w:rsidRPr="009A5185">
              <w:rPr>
                <w:rFonts w:cs="Arial"/>
                <w:b/>
                <w:bCs/>
              </w:rPr>
              <w:t xml:space="preserve">Data Elements: </w:t>
            </w:r>
            <w:r w:rsidRPr="009A5185">
              <w:rPr>
                <w:rFonts w:cs="Arial"/>
                <w:bCs/>
              </w:rPr>
              <w:t xml:space="preserve">Visit </w:t>
            </w:r>
            <w:hyperlink r:id="rId291" w:history="1">
              <w:r w:rsidR="006F448D">
                <w:rPr>
                  <w:rStyle w:val="Hyperlink"/>
                  <w:rFonts w:cs="Arial"/>
                  <w:bCs/>
                </w:rPr>
                <w:t>https://manual.jointcommission.org/releases/TJC2026A1/MIF0167.html</w:t>
              </w:r>
            </w:hyperlink>
            <w:r w:rsidR="006F448D">
              <w:rPr>
                <w:rFonts w:cs="Arial"/>
                <w:bCs/>
              </w:rPr>
              <w:t>.</w:t>
            </w:r>
          </w:p>
          <w:p w14:paraId="2DF14F2D" w14:textId="77777777" w:rsidR="00FB146D" w:rsidRPr="009A5185" w:rsidRDefault="00FB146D" w:rsidP="00FB146D">
            <w:pPr>
              <w:autoSpaceDE w:val="0"/>
              <w:autoSpaceDN w:val="0"/>
              <w:adjustRightInd w:val="0"/>
              <w:rPr>
                <w:rFonts w:cs="Arial"/>
                <w:b/>
                <w:i/>
              </w:rPr>
            </w:pPr>
          </w:p>
          <w:p w14:paraId="3318E09C" w14:textId="1D774BA4" w:rsidR="00523F93" w:rsidRPr="009A5185" w:rsidRDefault="00FB146D" w:rsidP="00FB146D">
            <w:pPr>
              <w:rPr>
                <w:rFonts w:cs="Arial"/>
                <w:b/>
              </w:rPr>
            </w:pPr>
            <w:r w:rsidRPr="009A5185">
              <w:rPr>
                <w:rFonts w:cs="Arial"/>
                <w:b/>
                <w:i/>
              </w:rPr>
              <w:t xml:space="preserve">If fewer than </w:t>
            </w:r>
            <w:r w:rsidRPr="009A5185">
              <w:rPr>
                <w:rFonts w:cs="Arial"/>
                <w:b/>
                <w:i/>
                <w:lang w:eastAsia="ja-JP"/>
              </w:rPr>
              <w:t>10</w:t>
            </w:r>
            <w:r w:rsidRPr="009A5185">
              <w:rPr>
                <w:rFonts w:cs="Arial"/>
                <w:b/>
                <w:i/>
              </w:rPr>
              <w:t xml:space="preserve"> cases during the reporting period, skip the next question.</w:t>
            </w:r>
          </w:p>
        </w:tc>
      </w:tr>
      <w:tr w:rsidR="00266817" w:rsidRPr="009A5185" w14:paraId="76040B78" w14:textId="77777777" w:rsidTr="000C1F1D">
        <w:trPr>
          <w:trHeight w:val="432"/>
        </w:trPr>
        <w:tc>
          <w:tcPr>
            <w:tcW w:w="9562" w:type="dxa"/>
            <w:vAlign w:val="center"/>
          </w:tcPr>
          <w:p w14:paraId="7BF1254D" w14:textId="77777777" w:rsidR="00266817" w:rsidRPr="00FD5AD4" w:rsidRDefault="00266817" w:rsidP="00266817">
            <w:pPr>
              <w:rPr>
                <w:rStyle w:val="Strong"/>
                <w:rFonts w:cs="Arial"/>
                <w:bCs/>
                <w:shd w:val="clear" w:color="auto" w:fill="FFFFFF"/>
              </w:rPr>
            </w:pPr>
            <w:r w:rsidRPr="00FD5AD4">
              <w:rPr>
                <w:rStyle w:val="Strong"/>
                <w:rFonts w:cs="Arial"/>
                <w:shd w:val="clear" w:color="auto" w:fill="FFFFFF"/>
              </w:rPr>
              <w:t xml:space="preserve">Question #3 (numerator): </w:t>
            </w:r>
            <w:r w:rsidRPr="00FD5AD4">
              <w:rPr>
                <w:rFonts w:cs="Arial"/>
                <w:shd w:val="clear" w:color="auto" w:fill="FFFFFF"/>
              </w:rPr>
              <w:t xml:space="preserve">Patients in the denominator with cesarean births. </w:t>
            </w:r>
          </w:p>
          <w:p w14:paraId="6D30F0E8" w14:textId="77777777" w:rsidR="00266817" w:rsidRPr="00FD5AD4" w:rsidRDefault="00266817" w:rsidP="00266817">
            <w:pPr>
              <w:rPr>
                <w:rStyle w:val="Strong"/>
                <w:rFonts w:cs="Arial"/>
                <w:bCs/>
                <w:shd w:val="clear" w:color="auto" w:fill="FFFFFF"/>
              </w:rPr>
            </w:pPr>
          </w:p>
          <w:p w14:paraId="0996F0E4" w14:textId="77777777" w:rsidR="00266817" w:rsidRPr="00FD5AD4" w:rsidRDefault="00266817" w:rsidP="00266817">
            <w:pPr>
              <w:rPr>
                <w:rStyle w:val="apple-converted-space"/>
                <w:rFonts w:cs="Arial"/>
                <w:b/>
                <w:bCs/>
                <w:shd w:val="clear" w:color="auto" w:fill="FFFFFF"/>
              </w:rPr>
            </w:pPr>
            <w:r w:rsidRPr="00FD5AD4">
              <w:rPr>
                <w:rStyle w:val="Strong"/>
                <w:rFonts w:cs="Arial"/>
              </w:rPr>
              <w:t>Included Populations:</w:t>
            </w:r>
            <w:r w:rsidRPr="00FD5AD4">
              <w:rPr>
                <w:rStyle w:val="apple-converted-space"/>
                <w:rFonts w:cs="Arial"/>
              </w:rPr>
              <w:t> </w:t>
            </w:r>
          </w:p>
          <w:p w14:paraId="7EA410FF" w14:textId="39971A74" w:rsidR="00266817" w:rsidRPr="00765FBE" w:rsidRDefault="00266817" w:rsidP="00266817">
            <w:pPr>
              <w:pStyle w:val="NormalWeb"/>
              <w:shd w:val="clear" w:color="auto" w:fill="FFFFFF"/>
              <w:spacing w:before="0" w:beforeAutospacing="0" w:after="0" w:afterAutospacing="0"/>
              <w:rPr>
                <w:rFonts w:ascii="Arial" w:hAnsi="Arial" w:cs="Arial"/>
                <w:sz w:val="20"/>
                <w:szCs w:val="20"/>
              </w:rPr>
            </w:pPr>
            <w:r w:rsidRPr="00765FBE">
              <w:rPr>
                <w:rStyle w:val="Emphasis"/>
                <w:rFonts w:ascii="Arial" w:hAnsi="Arial" w:cs="Arial"/>
                <w:sz w:val="20"/>
                <w:szCs w:val="20"/>
              </w:rPr>
              <w:t>ICD-10-PCS Principal Procedure Code or ICD-10-PCS Other Procedure Codes</w:t>
            </w:r>
            <w:r w:rsidRPr="00765FBE">
              <w:rPr>
                <w:rStyle w:val="apple-converted-space"/>
                <w:rFonts w:ascii="Arial" w:hAnsi="Arial" w:cs="Arial"/>
                <w:sz w:val="20"/>
                <w:szCs w:val="20"/>
              </w:rPr>
              <w:t> </w:t>
            </w:r>
            <w:r w:rsidRPr="00765FBE">
              <w:rPr>
                <w:rFonts w:ascii="Arial" w:hAnsi="Arial" w:cs="Arial"/>
                <w:sz w:val="20"/>
                <w:szCs w:val="20"/>
              </w:rPr>
              <w:t xml:space="preserve">for cesarean birth as defined in Appendix A, Table </w:t>
            </w:r>
            <w:hyperlink r:id="rId292" w:anchor="Table_Number_11.06:_Cesarean_Birth" w:history="1">
              <w:r w:rsidRPr="00765FBE">
                <w:rPr>
                  <w:rStyle w:val="Hyperlink"/>
                  <w:rFonts w:ascii="Arial" w:hAnsi="Arial" w:cs="Arial"/>
                  <w:sz w:val="20"/>
                  <w:szCs w:val="20"/>
                </w:rPr>
                <w:t>11.06 Cesarean Birth</w:t>
              </w:r>
            </w:hyperlink>
          </w:p>
          <w:p w14:paraId="772D1359" w14:textId="77777777" w:rsidR="00266817" w:rsidRDefault="00266817" w:rsidP="00266817">
            <w:pPr>
              <w:pStyle w:val="NormalWeb"/>
              <w:shd w:val="clear" w:color="auto" w:fill="FFFFFF"/>
              <w:spacing w:before="0" w:beforeAutospacing="0" w:after="0" w:afterAutospacing="0"/>
            </w:pPr>
          </w:p>
          <w:p w14:paraId="174C4255" w14:textId="77777777" w:rsidR="00266817" w:rsidRPr="009A5185" w:rsidRDefault="00266817" w:rsidP="00266817">
            <w:pPr>
              <w:pStyle w:val="NormalWeb"/>
              <w:shd w:val="clear" w:color="auto" w:fill="FFFFFF"/>
              <w:spacing w:before="0" w:beforeAutospacing="0" w:after="0" w:afterAutospacing="0"/>
              <w:rPr>
                <w:rFonts w:ascii="Arial" w:hAnsi="Arial" w:cs="Arial"/>
                <w:sz w:val="20"/>
                <w:szCs w:val="20"/>
              </w:rPr>
            </w:pPr>
            <w:r w:rsidRPr="009A5185">
              <w:rPr>
                <w:rStyle w:val="Strong"/>
                <w:rFonts w:ascii="Arial" w:hAnsi="Arial" w:cs="Arial"/>
                <w:sz w:val="20"/>
                <w:szCs w:val="20"/>
              </w:rPr>
              <w:t>Excluded Populations:</w:t>
            </w:r>
            <w:r w:rsidRPr="009A5185">
              <w:rPr>
                <w:rStyle w:val="apple-converted-space"/>
                <w:rFonts w:ascii="Arial" w:hAnsi="Arial" w:cs="Arial"/>
                <w:sz w:val="20"/>
                <w:szCs w:val="20"/>
              </w:rPr>
              <w:t> </w:t>
            </w:r>
            <w:r w:rsidRPr="009A5185">
              <w:rPr>
                <w:rFonts w:ascii="Arial" w:hAnsi="Arial" w:cs="Arial"/>
                <w:sz w:val="20"/>
                <w:szCs w:val="20"/>
              </w:rPr>
              <w:t>None</w:t>
            </w:r>
          </w:p>
          <w:p w14:paraId="63997A3D" w14:textId="77777777" w:rsidR="00266817" w:rsidRPr="009A5185" w:rsidRDefault="00266817" w:rsidP="00266817">
            <w:pPr>
              <w:pStyle w:val="NormalWeb"/>
              <w:shd w:val="clear" w:color="auto" w:fill="FFFFFF"/>
              <w:spacing w:before="0" w:beforeAutospacing="0" w:after="0" w:afterAutospacing="0"/>
              <w:rPr>
                <w:rFonts w:ascii="Arial" w:hAnsi="Arial" w:cs="Arial"/>
                <w:sz w:val="20"/>
                <w:szCs w:val="20"/>
              </w:rPr>
            </w:pPr>
          </w:p>
          <w:p w14:paraId="3A414BC1" w14:textId="5B498BB4" w:rsidR="00266817" w:rsidRPr="009A5185" w:rsidRDefault="00266817" w:rsidP="00266817">
            <w:pPr>
              <w:rPr>
                <w:rFonts w:cs="Arial"/>
                <w:b/>
                <w:bCs/>
              </w:rPr>
            </w:pPr>
            <w:r w:rsidRPr="009A5185">
              <w:rPr>
                <w:rFonts w:cs="Arial"/>
                <w:b/>
                <w:bCs/>
              </w:rPr>
              <w:t xml:space="preserve">Data Elements: </w:t>
            </w:r>
            <w:r w:rsidRPr="009A5185">
              <w:rPr>
                <w:rFonts w:cs="Arial"/>
                <w:bCs/>
              </w:rPr>
              <w:t>Visit</w:t>
            </w:r>
            <w:r w:rsidRPr="009A5185">
              <w:rPr>
                <w:rFonts w:cs="Arial"/>
                <w:b/>
                <w:bCs/>
              </w:rPr>
              <w:t xml:space="preserve"> </w:t>
            </w:r>
            <w:hyperlink r:id="rId293" w:history="1">
              <w:r w:rsidR="001306AC">
                <w:rPr>
                  <w:rStyle w:val="Hyperlink"/>
                  <w:rFonts w:cs="Arial"/>
                  <w:bCs/>
                </w:rPr>
                <w:t>https://manual.jointcommission.org/releases/TJC2026A1/MIF0167.html</w:t>
              </w:r>
            </w:hyperlink>
            <w:r>
              <w:rPr>
                <w:rStyle w:val="Hyperlink"/>
                <w:rFonts w:cs="Arial"/>
                <w:bCs/>
              </w:rPr>
              <w:t>.</w:t>
            </w:r>
          </w:p>
        </w:tc>
      </w:tr>
    </w:tbl>
    <w:p w14:paraId="16223970" w14:textId="77777777" w:rsidR="00E60C6C" w:rsidRDefault="00E60C6C" w:rsidP="00E60C6C">
      <w:pPr>
        <w:rPr>
          <w:rFonts w:cs="Arial"/>
        </w:rPr>
      </w:pPr>
    </w:p>
    <w:p w14:paraId="11543C89" w14:textId="77777777" w:rsidR="004E5539" w:rsidRDefault="004E5539">
      <w:pPr>
        <w:rPr>
          <w:b/>
          <w:color w:val="000000"/>
          <w:sz w:val="22"/>
        </w:rPr>
      </w:pPr>
      <w:r>
        <w:br w:type="page"/>
      </w:r>
    </w:p>
    <w:p w14:paraId="6059DE72" w14:textId="5E056DDA" w:rsidR="000F3668" w:rsidRPr="00023023" w:rsidRDefault="007174DE" w:rsidP="00023023">
      <w:pPr>
        <w:pStyle w:val="Heading44"/>
      </w:pPr>
      <w:r>
        <w:t>Cesarean Birth Stratified by Race/Ethnicity</w:t>
      </w:r>
      <w:r w:rsidR="000F3668" w:rsidRPr="00023023">
        <w:br/>
      </w:r>
    </w:p>
    <w:tbl>
      <w:tblPr>
        <w:tblW w:w="9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62"/>
      </w:tblGrid>
      <w:tr w:rsidR="000F3668" w:rsidRPr="00693D1C" w14:paraId="080B0E9C" w14:textId="77777777" w:rsidTr="000C1F1D">
        <w:trPr>
          <w:trHeight w:val="288"/>
        </w:trPr>
        <w:tc>
          <w:tcPr>
            <w:tcW w:w="9562" w:type="dxa"/>
            <w:vAlign w:val="center"/>
          </w:tcPr>
          <w:p w14:paraId="72B79639" w14:textId="3C81B273" w:rsidR="00A73A00" w:rsidRPr="00693D1C" w:rsidRDefault="000F3668" w:rsidP="00C5453C">
            <w:pPr>
              <w:rPr>
                <w:rFonts w:cs="Arial"/>
                <w:lang w:val="fr-FR"/>
              </w:rPr>
            </w:pPr>
            <w:r w:rsidRPr="00693D1C">
              <w:rPr>
                <w:rFonts w:cs="Arial"/>
                <w:b/>
                <w:bCs/>
                <w:lang w:val="fr-FR"/>
              </w:rPr>
              <w:t xml:space="preserve">Source: </w:t>
            </w:r>
            <w:r w:rsidRPr="00693D1C">
              <w:rPr>
                <w:rFonts w:cs="Arial"/>
                <w:lang w:val="fr-FR"/>
              </w:rPr>
              <w:t>Joint Commission PC-02</w:t>
            </w:r>
            <w:r w:rsidR="00DF4B48" w:rsidRPr="00693D1C">
              <w:rPr>
                <w:rFonts w:cs="Arial"/>
                <w:lang w:val="fr-FR"/>
              </w:rPr>
              <w:t xml:space="preserve"> </w:t>
            </w:r>
            <w:hyperlink r:id="rId294" w:history="1">
              <w:r w:rsidR="00442AB6" w:rsidRPr="00693D1C">
                <w:rPr>
                  <w:rStyle w:val="Hyperlink"/>
                  <w:rFonts w:cs="Arial"/>
                  <w:lang w:val="fr-FR"/>
                </w:rPr>
                <w:t>version 2026A1</w:t>
              </w:r>
            </w:hyperlink>
          </w:p>
        </w:tc>
      </w:tr>
      <w:tr w:rsidR="000F3668" w:rsidRPr="009A5185" w14:paraId="0BC085A6" w14:textId="77777777" w:rsidTr="00C5453C">
        <w:trPr>
          <w:trHeight w:val="611"/>
        </w:trPr>
        <w:tc>
          <w:tcPr>
            <w:tcW w:w="9562" w:type="dxa"/>
            <w:vAlign w:val="center"/>
          </w:tcPr>
          <w:p w14:paraId="2B3C1A90" w14:textId="003EB82E" w:rsidR="000F3668" w:rsidRPr="009A5185" w:rsidRDefault="000F3668" w:rsidP="00EC4DCE">
            <w:pPr>
              <w:autoSpaceDE w:val="0"/>
              <w:autoSpaceDN w:val="0"/>
              <w:adjustRightInd w:val="0"/>
              <w:rPr>
                <w:rFonts w:cs="Arial"/>
                <w:b/>
                <w:snapToGrid w:val="0"/>
              </w:rPr>
            </w:pPr>
            <w:r w:rsidRPr="009A5185">
              <w:rPr>
                <w:rFonts w:cs="Arial"/>
                <w:b/>
                <w:snapToGrid w:val="0"/>
              </w:rPr>
              <w:t xml:space="preserve">Reporting Period: </w:t>
            </w:r>
            <w:r w:rsidR="007174DE">
              <w:rPr>
                <w:rFonts w:cs="Arial"/>
                <w:b/>
                <w:snapToGrid w:val="0"/>
              </w:rPr>
              <w:t>24</w:t>
            </w:r>
            <w:r w:rsidRPr="009A5185">
              <w:rPr>
                <w:rFonts w:cs="Arial"/>
                <w:b/>
                <w:snapToGrid w:val="0"/>
              </w:rPr>
              <w:t xml:space="preserve"> months</w:t>
            </w:r>
          </w:p>
          <w:p w14:paraId="3BD3E060" w14:textId="77777777" w:rsidR="000F3668" w:rsidRPr="00861D91" w:rsidRDefault="000F3668" w:rsidP="00AD309C">
            <w:pPr>
              <w:pStyle w:val="ListParagraph"/>
              <w:numPr>
                <w:ilvl w:val="0"/>
                <w:numId w:val="12"/>
              </w:numPr>
              <w:rPr>
                <w:rFonts w:cs="Arial"/>
                <w:i/>
                <w:snapToGrid w:val="0"/>
              </w:rPr>
            </w:pPr>
            <w:r w:rsidRPr="00861D91">
              <w:rPr>
                <w:rFonts w:cs="Arial"/>
                <w:iCs/>
                <w:snapToGrid w:val="0"/>
              </w:rPr>
              <w:t>Surveys submitted prior to September 1:</w:t>
            </w:r>
          </w:p>
          <w:p w14:paraId="4A53A974" w14:textId="0A359CF1" w:rsidR="000F3668" w:rsidRPr="00861D91" w:rsidRDefault="000F3668" w:rsidP="00AD309C">
            <w:pPr>
              <w:pStyle w:val="ListParagraph"/>
              <w:numPr>
                <w:ilvl w:val="1"/>
                <w:numId w:val="12"/>
              </w:numPr>
              <w:rPr>
                <w:rFonts w:cs="Arial"/>
                <w:i/>
                <w:snapToGrid w:val="0"/>
              </w:rPr>
            </w:pPr>
            <w:r w:rsidRPr="00861D91">
              <w:rPr>
                <w:rFonts w:cs="Arial"/>
                <w:snapToGrid w:val="0"/>
              </w:rPr>
              <w:t>01/01/202</w:t>
            </w:r>
            <w:r w:rsidR="00437336">
              <w:rPr>
                <w:rFonts w:cs="Arial"/>
                <w:snapToGrid w:val="0"/>
              </w:rPr>
              <w:t>4</w:t>
            </w:r>
            <w:r w:rsidRPr="00861D91">
              <w:rPr>
                <w:rFonts w:cs="Arial"/>
                <w:snapToGrid w:val="0"/>
              </w:rPr>
              <w:t xml:space="preserve"> – 12/31/202</w:t>
            </w:r>
            <w:r w:rsidR="00437336">
              <w:rPr>
                <w:rFonts w:cs="Arial"/>
                <w:snapToGrid w:val="0"/>
              </w:rPr>
              <w:t>5</w:t>
            </w:r>
          </w:p>
          <w:p w14:paraId="0698942C" w14:textId="77777777" w:rsidR="000F3668" w:rsidRPr="00861D91" w:rsidRDefault="000F3668" w:rsidP="00AD309C">
            <w:pPr>
              <w:pStyle w:val="ListParagraph"/>
              <w:numPr>
                <w:ilvl w:val="0"/>
                <w:numId w:val="12"/>
              </w:numPr>
              <w:rPr>
                <w:rFonts w:cs="Arial"/>
                <w:i/>
                <w:snapToGrid w:val="0"/>
              </w:rPr>
            </w:pPr>
            <w:r w:rsidRPr="00861D91">
              <w:rPr>
                <w:rFonts w:cs="Arial"/>
                <w:snapToGrid w:val="0"/>
              </w:rPr>
              <w:t xml:space="preserve">Surveys (re)submitted on or after September 1: </w:t>
            </w:r>
          </w:p>
          <w:p w14:paraId="74AA2DB4" w14:textId="1F553EED" w:rsidR="000F3668" w:rsidRPr="000C1F1D" w:rsidRDefault="000F3668" w:rsidP="00AD309C">
            <w:pPr>
              <w:pStyle w:val="ListParagraph"/>
              <w:numPr>
                <w:ilvl w:val="1"/>
                <w:numId w:val="12"/>
              </w:numPr>
              <w:rPr>
                <w:rFonts w:cs="Arial"/>
                <w:b/>
                <w:lang w:val="fr-FR"/>
              </w:rPr>
            </w:pPr>
            <w:r w:rsidRPr="00861D91">
              <w:rPr>
                <w:rFonts w:cs="Arial"/>
                <w:snapToGrid w:val="0"/>
              </w:rPr>
              <w:t>07/01/202</w:t>
            </w:r>
            <w:r w:rsidR="00437336">
              <w:rPr>
                <w:rFonts w:cs="Arial"/>
                <w:snapToGrid w:val="0"/>
              </w:rPr>
              <w:t>4</w:t>
            </w:r>
            <w:r w:rsidRPr="00861D91">
              <w:rPr>
                <w:rFonts w:cs="Arial"/>
                <w:snapToGrid w:val="0"/>
              </w:rPr>
              <w:t xml:space="preserve"> – 06/30/202</w:t>
            </w:r>
            <w:r w:rsidR="00437336">
              <w:rPr>
                <w:rFonts w:cs="Arial"/>
                <w:snapToGrid w:val="0"/>
              </w:rPr>
              <w:t>6</w:t>
            </w:r>
          </w:p>
          <w:p w14:paraId="5CE14443" w14:textId="77777777" w:rsidR="006E0696" w:rsidRDefault="006E0696" w:rsidP="006E0696">
            <w:pPr>
              <w:rPr>
                <w:rFonts w:cs="Arial"/>
                <w:b/>
                <w:lang w:val="fr-FR"/>
              </w:rPr>
            </w:pPr>
          </w:p>
          <w:p w14:paraId="267904F9" w14:textId="43F1CBD6" w:rsidR="006E0696" w:rsidRPr="00693D1C" w:rsidRDefault="006E0696" w:rsidP="000C1F1D">
            <w:pPr>
              <w:rPr>
                <w:rFonts w:cs="Arial"/>
                <w:b/>
              </w:rPr>
            </w:pPr>
            <w:r>
              <w:rPr>
                <w:rFonts w:cs="Arial"/>
                <w:bCs/>
              </w:rPr>
              <w:t>Note: The discharge date must be used to determine whether a case falls within the reporting period specified.</w:t>
            </w:r>
          </w:p>
        </w:tc>
      </w:tr>
      <w:tr w:rsidR="000F3668" w:rsidRPr="009A5185" w14:paraId="44C71ECF" w14:textId="77777777" w:rsidTr="00D36222">
        <w:trPr>
          <w:trHeight w:val="1584"/>
        </w:trPr>
        <w:tc>
          <w:tcPr>
            <w:tcW w:w="9562" w:type="dxa"/>
            <w:vAlign w:val="center"/>
          </w:tcPr>
          <w:p w14:paraId="6222E0DE" w14:textId="77777777" w:rsidR="005F40E0" w:rsidRDefault="005F40E0" w:rsidP="005F40E0">
            <w:pPr>
              <w:rPr>
                <w:rFonts w:cs="Arial"/>
              </w:rPr>
            </w:pPr>
            <w:r>
              <w:rPr>
                <w:rFonts w:cs="Arial"/>
              </w:rPr>
              <w:t>When reporting on Cesarean Birth Stratified by Race/Ethnicity, hospitals must report using a 24-month reporting period as specified in question #6.</w:t>
            </w:r>
          </w:p>
          <w:p w14:paraId="6F1986BA" w14:textId="77777777" w:rsidR="005F40E0" w:rsidRDefault="005F40E0" w:rsidP="005F40E0">
            <w:pPr>
              <w:rPr>
                <w:rFonts w:cs="Arial"/>
              </w:rPr>
            </w:pPr>
          </w:p>
          <w:p w14:paraId="744FD258" w14:textId="7C979802" w:rsidR="005F40E0" w:rsidRDefault="005F40E0" w:rsidP="005F40E0">
            <w:pPr>
              <w:rPr>
                <w:rFonts w:cs="Arial"/>
              </w:rPr>
            </w:pPr>
            <w:r>
              <w:rPr>
                <w:rFonts w:cs="Arial"/>
              </w:rPr>
              <w:t xml:space="preserve">Hospitals participating in the California Maternal Quality Care Collaborative (CMQCC) Maternal Data Center may use the data provided in CMQCC reports when responding to question #8. </w:t>
            </w:r>
            <w:r w:rsidRPr="009A5185">
              <w:rPr>
                <w:rFonts w:cs="Arial"/>
              </w:rPr>
              <w:t xml:space="preserve">Download instructions for using the </w:t>
            </w:r>
            <w:r>
              <w:rPr>
                <w:rFonts w:cs="Arial"/>
              </w:rPr>
              <w:t>CMQCC reports</w:t>
            </w:r>
            <w:r w:rsidRPr="009A5185">
              <w:rPr>
                <w:rFonts w:cs="Arial"/>
              </w:rPr>
              <w:t xml:space="preserve"> on the </w:t>
            </w:r>
            <w:hyperlink r:id="rId295" w:history="1">
              <w:r w:rsidRPr="009A5185">
                <w:rPr>
                  <w:rStyle w:val="Hyperlink"/>
                  <w:rFonts w:cs="Arial"/>
                </w:rPr>
                <w:t>Survey and CPOE Materials webpage</w:t>
              </w:r>
            </w:hyperlink>
            <w:r w:rsidRPr="009A5185">
              <w:rPr>
                <w:rFonts w:cs="Arial"/>
              </w:rPr>
              <w:t>.</w:t>
            </w:r>
            <w:r w:rsidR="00A24FD4">
              <w:rPr>
                <w:rFonts w:cs="Arial"/>
              </w:rPr>
              <w:t xml:space="preserve"> </w:t>
            </w:r>
            <w:r>
              <w:rPr>
                <w:rFonts w:cs="Arial"/>
              </w:rPr>
              <w:t xml:space="preserve">Hospitals reporting to the U.S. News &amp; World Report Maternity Services Survey may use the data provided to U.S. News &amp; World Report </w:t>
            </w:r>
            <w:r w:rsidR="00D633E0">
              <w:rPr>
                <w:rFonts w:cs="Arial"/>
              </w:rPr>
              <w:t>and the crosswalk</w:t>
            </w:r>
            <w:r w:rsidR="002F62A9">
              <w:rPr>
                <w:rFonts w:cs="Arial"/>
              </w:rPr>
              <w:t xml:space="preserve"> provided</w:t>
            </w:r>
            <w:r w:rsidR="00D633E0">
              <w:rPr>
                <w:rFonts w:cs="Arial"/>
              </w:rPr>
              <w:t xml:space="preserve"> below </w:t>
            </w:r>
            <w:r>
              <w:rPr>
                <w:rFonts w:cs="Arial"/>
              </w:rPr>
              <w:t>when responding to question #8.</w:t>
            </w:r>
          </w:p>
          <w:p w14:paraId="77634E88" w14:textId="77777777" w:rsidR="00797E71" w:rsidRDefault="00797E71" w:rsidP="005F40E0">
            <w:pPr>
              <w:rPr>
                <w:rFonts w:cs="Arial"/>
              </w:rPr>
            </w:pPr>
          </w:p>
          <w:p w14:paraId="1C7161F1" w14:textId="5A66D851" w:rsidR="000F3668" w:rsidRPr="00D500C0" w:rsidRDefault="005F40E0" w:rsidP="00C5453C">
            <w:pPr>
              <w:rPr>
                <w:rFonts w:cs="Arial"/>
              </w:rPr>
            </w:pPr>
            <w:r w:rsidRPr="009A5185">
              <w:rPr>
                <w:rFonts w:cs="Arial"/>
              </w:rPr>
              <w:t xml:space="preserve">Otherwise, </w:t>
            </w:r>
            <w:r>
              <w:rPr>
                <w:rFonts w:cs="Arial"/>
              </w:rPr>
              <w:t xml:space="preserve">hospitals should </w:t>
            </w:r>
            <w:r w:rsidRPr="009A5185">
              <w:rPr>
                <w:rFonts w:cs="Arial"/>
              </w:rPr>
              <w:t xml:space="preserve">use TJC’s PC-02 Cesarean Birth measure specifications </w:t>
            </w:r>
            <w:r w:rsidR="00CE4805">
              <w:rPr>
                <w:rFonts w:cs="Arial"/>
              </w:rPr>
              <w:t xml:space="preserve">(version </w:t>
            </w:r>
            <w:hyperlink r:id="rId296" w:history="1">
              <w:r w:rsidR="00CE4805" w:rsidRPr="00F75651">
                <w:rPr>
                  <w:rStyle w:val="Hyperlink"/>
                  <w:rFonts w:cs="Arial"/>
                </w:rPr>
                <w:t>2026A1</w:t>
              </w:r>
            </w:hyperlink>
            <w:r w:rsidR="00CE4805">
              <w:rPr>
                <w:rFonts w:cs="Arial"/>
              </w:rPr>
              <w:t xml:space="preserve">) </w:t>
            </w:r>
            <w:r w:rsidRPr="009A5185">
              <w:rPr>
                <w:rFonts w:cs="Arial"/>
              </w:rPr>
              <w:t>to retrospectively</w:t>
            </w:r>
            <w:r>
              <w:rPr>
                <w:rFonts w:cs="Arial"/>
              </w:rPr>
              <w:t xml:space="preserve"> review </w:t>
            </w:r>
            <w:r w:rsidRPr="00D500C0">
              <w:rPr>
                <w:rFonts w:cs="Arial"/>
                <w:b/>
                <w:bCs/>
              </w:rPr>
              <w:t>all cases</w:t>
            </w:r>
            <w:r w:rsidRPr="009A5185">
              <w:rPr>
                <w:rFonts w:cs="Arial"/>
              </w:rPr>
              <w:t xml:space="preserve"> and </w:t>
            </w:r>
            <w:r>
              <w:rPr>
                <w:rFonts w:cs="Arial"/>
              </w:rPr>
              <w:t>then stratify those cases by race/ethnicity</w:t>
            </w:r>
            <w:r w:rsidRPr="009A5185">
              <w:rPr>
                <w:rFonts w:cs="Arial"/>
              </w:rPr>
              <w:t>.</w:t>
            </w:r>
            <w:r>
              <w:rPr>
                <w:rFonts w:cs="Arial"/>
              </w:rPr>
              <w:t xml:space="preserve"> </w:t>
            </w:r>
            <w:r w:rsidRPr="009A5185">
              <w:rPr>
                <w:rFonts w:cs="Arial"/>
              </w:rPr>
              <w:t>The PC-0</w:t>
            </w:r>
            <w:r>
              <w:rPr>
                <w:rFonts w:cs="Arial"/>
              </w:rPr>
              <w:t>2</w:t>
            </w:r>
            <w:r w:rsidRPr="009A5185">
              <w:rPr>
                <w:rFonts w:cs="Arial"/>
              </w:rPr>
              <w:t xml:space="preserve"> measure specifications are outlined below. To access the measure specifications directly on The Joint Commission’s website</w:t>
            </w:r>
            <w:r w:rsidR="00576C34">
              <w:rPr>
                <w:rFonts w:cs="Arial"/>
              </w:rPr>
              <w:t xml:space="preserve"> visit </w:t>
            </w:r>
            <w:r w:rsidR="00576C34" w:rsidRPr="00E20712">
              <w:rPr>
                <w:rFonts w:cs="Arial"/>
              </w:rPr>
              <w:t>https://manual.jointcommission.org/releases/TJC2026A1/MIF0167.html</w:t>
            </w:r>
            <w:r w:rsidR="00576C34">
              <w:rPr>
                <w:rFonts w:cs="Arial"/>
              </w:rPr>
              <w:t>.</w:t>
            </w:r>
          </w:p>
        </w:tc>
      </w:tr>
      <w:tr w:rsidR="00F105FE" w:rsidRPr="009A5185" w14:paraId="7C718DA7" w14:textId="77777777" w:rsidTr="00D36222">
        <w:trPr>
          <w:trHeight w:val="1584"/>
        </w:trPr>
        <w:tc>
          <w:tcPr>
            <w:tcW w:w="9562" w:type="dxa"/>
            <w:vAlign w:val="center"/>
          </w:tcPr>
          <w:p w14:paraId="7EACD059" w14:textId="4706351B" w:rsidR="00835927" w:rsidRDefault="00835927" w:rsidP="00835927">
            <w:pPr>
              <w:rPr>
                <w:rFonts w:cs="Arial"/>
                <w:shd w:val="clear" w:color="auto" w:fill="FFFFFF"/>
              </w:rPr>
            </w:pPr>
            <w:r w:rsidRPr="009A5185">
              <w:rPr>
                <w:rFonts w:cs="Arial"/>
                <w:b/>
                <w:bCs/>
              </w:rPr>
              <w:t xml:space="preserve">Question </w:t>
            </w:r>
            <w:r>
              <w:rPr>
                <w:rFonts w:cs="Arial"/>
                <w:b/>
                <w:bCs/>
              </w:rPr>
              <w:t>#8a</w:t>
            </w:r>
            <w:r w:rsidRPr="009A5185">
              <w:rPr>
                <w:rFonts w:cs="Arial"/>
                <w:b/>
                <w:bCs/>
              </w:rPr>
              <w:t xml:space="preserve"> (denominator): </w:t>
            </w:r>
            <w:r>
              <w:rPr>
                <w:rFonts w:cs="Arial"/>
                <w:shd w:val="clear" w:color="auto" w:fill="FFFFFF"/>
              </w:rPr>
              <w:t>Total number of n</w:t>
            </w:r>
            <w:r w:rsidRPr="009A5185">
              <w:rPr>
                <w:rFonts w:cs="Arial"/>
                <w:shd w:val="clear" w:color="auto" w:fill="FFFFFF"/>
              </w:rPr>
              <w:t xml:space="preserve">ulliparous patients delivered of a live term singleton newborn in vertex presentation with </w:t>
            </w:r>
            <w:r w:rsidRPr="009A5185">
              <w:rPr>
                <w:rFonts w:cs="Arial"/>
                <w:b/>
                <w:i/>
                <w:shd w:val="clear" w:color="auto" w:fill="FFFFFF"/>
              </w:rPr>
              <w:t>Excluded populations</w:t>
            </w:r>
            <w:r w:rsidRPr="009A5185">
              <w:rPr>
                <w:rFonts w:cs="Arial"/>
                <w:b/>
                <w:shd w:val="clear" w:color="auto" w:fill="FFFFFF"/>
              </w:rPr>
              <w:t xml:space="preserve"> </w:t>
            </w:r>
            <w:r w:rsidRPr="009A5185">
              <w:rPr>
                <w:rFonts w:cs="Arial"/>
                <w:shd w:val="clear" w:color="auto" w:fill="FFFFFF"/>
              </w:rPr>
              <w:t>removed</w:t>
            </w:r>
            <w:r>
              <w:rPr>
                <w:rFonts w:cs="Arial"/>
                <w:shd w:val="clear" w:color="auto" w:fill="FFFFFF"/>
              </w:rPr>
              <w:t xml:space="preserve"> by the following </w:t>
            </w:r>
            <w:r>
              <w:rPr>
                <w:rFonts w:cs="Arial"/>
              </w:rPr>
              <w:t>races/ethnicities:</w:t>
            </w:r>
          </w:p>
          <w:p w14:paraId="46C1DBBF" w14:textId="77777777" w:rsidR="00835927" w:rsidRPr="004F6B50" w:rsidRDefault="00835927" w:rsidP="00835927">
            <w:pPr>
              <w:pStyle w:val="ListParagraph"/>
              <w:numPr>
                <w:ilvl w:val="0"/>
                <w:numId w:val="195"/>
              </w:numPr>
              <w:rPr>
                <w:rFonts w:cs="Arial"/>
                <w:b/>
                <w:bCs/>
              </w:rPr>
            </w:pPr>
            <w:r>
              <w:rPr>
                <w:rFonts w:cs="Arial"/>
              </w:rPr>
              <w:t>Non-Hispanic White</w:t>
            </w:r>
          </w:p>
          <w:p w14:paraId="1617FA24" w14:textId="77777777" w:rsidR="00835927" w:rsidRPr="004F6B50" w:rsidRDefault="00835927" w:rsidP="00835927">
            <w:pPr>
              <w:pStyle w:val="ListParagraph"/>
              <w:numPr>
                <w:ilvl w:val="0"/>
                <w:numId w:val="195"/>
              </w:numPr>
              <w:rPr>
                <w:rFonts w:cs="Arial"/>
                <w:b/>
                <w:bCs/>
              </w:rPr>
            </w:pPr>
            <w:r>
              <w:rPr>
                <w:rFonts w:cs="Arial"/>
              </w:rPr>
              <w:t>Non-Hispanic Black</w:t>
            </w:r>
          </w:p>
          <w:p w14:paraId="30E4030F" w14:textId="77777777" w:rsidR="00835927" w:rsidRPr="004F6B50" w:rsidRDefault="00835927" w:rsidP="00835927">
            <w:pPr>
              <w:pStyle w:val="ListParagraph"/>
              <w:numPr>
                <w:ilvl w:val="0"/>
                <w:numId w:val="195"/>
              </w:numPr>
              <w:rPr>
                <w:rFonts w:cs="Arial"/>
                <w:b/>
                <w:bCs/>
              </w:rPr>
            </w:pPr>
            <w:r>
              <w:rPr>
                <w:rFonts w:cs="Arial"/>
              </w:rPr>
              <w:t>Non-Hispanic American Indian or Alaska Native</w:t>
            </w:r>
          </w:p>
          <w:p w14:paraId="365610F8" w14:textId="77777777" w:rsidR="00835927" w:rsidRPr="004F6B50" w:rsidRDefault="00835927" w:rsidP="00835927">
            <w:pPr>
              <w:pStyle w:val="ListParagraph"/>
              <w:numPr>
                <w:ilvl w:val="0"/>
                <w:numId w:val="195"/>
              </w:numPr>
              <w:rPr>
                <w:rFonts w:cs="Arial"/>
                <w:b/>
                <w:bCs/>
              </w:rPr>
            </w:pPr>
            <w:r>
              <w:rPr>
                <w:rFonts w:cs="Arial"/>
              </w:rPr>
              <w:t>Non-Hispanic Asian or Pacific Islander</w:t>
            </w:r>
          </w:p>
          <w:p w14:paraId="1ED5CE9D" w14:textId="77777777" w:rsidR="00835927" w:rsidRPr="004F6B50" w:rsidRDefault="00835927" w:rsidP="00835927">
            <w:pPr>
              <w:pStyle w:val="ListParagraph"/>
              <w:numPr>
                <w:ilvl w:val="0"/>
                <w:numId w:val="195"/>
              </w:numPr>
              <w:rPr>
                <w:rFonts w:cs="Arial"/>
                <w:b/>
                <w:bCs/>
              </w:rPr>
            </w:pPr>
            <w:r>
              <w:rPr>
                <w:rFonts w:cs="Arial"/>
              </w:rPr>
              <w:t>Hispanic</w:t>
            </w:r>
          </w:p>
          <w:p w14:paraId="0B6432AF" w14:textId="77777777" w:rsidR="00835927" w:rsidRPr="004F6B50" w:rsidRDefault="00835927" w:rsidP="00835927">
            <w:pPr>
              <w:pStyle w:val="ListParagraph"/>
              <w:numPr>
                <w:ilvl w:val="0"/>
                <w:numId w:val="195"/>
              </w:numPr>
              <w:rPr>
                <w:rFonts w:cs="Arial"/>
                <w:b/>
                <w:bCs/>
              </w:rPr>
            </w:pPr>
            <w:r>
              <w:rPr>
                <w:rFonts w:cs="Arial"/>
              </w:rPr>
              <w:t>Non-Hispanic Other (including two or more races)</w:t>
            </w:r>
          </w:p>
          <w:p w14:paraId="1DF9084B" w14:textId="77777777" w:rsidR="00835927" w:rsidRPr="004F6B50" w:rsidRDefault="00835927" w:rsidP="00835927">
            <w:pPr>
              <w:pStyle w:val="ListParagraph"/>
              <w:numPr>
                <w:ilvl w:val="0"/>
                <w:numId w:val="195"/>
              </w:numPr>
              <w:rPr>
                <w:rFonts w:cs="Arial"/>
                <w:b/>
                <w:bCs/>
              </w:rPr>
            </w:pPr>
            <w:r>
              <w:rPr>
                <w:rFonts w:cs="Arial"/>
              </w:rPr>
              <w:t>Unknown</w:t>
            </w:r>
          </w:p>
          <w:p w14:paraId="75BFD8DE" w14:textId="77777777" w:rsidR="00835927" w:rsidRPr="00F83C07" w:rsidRDefault="00835927" w:rsidP="00835927">
            <w:pPr>
              <w:shd w:val="clear" w:color="auto" w:fill="FFFFFF"/>
              <w:rPr>
                <w:rStyle w:val="Strong"/>
                <w:rFonts w:cs="Arial"/>
                <w:sz w:val="16"/>
                <w:szCs w:val="16"/>
              </w:rPr>
            </w:pPr>
          </w:p>
          <w:p w14:paraId="5BEFC29E" w14:textId="77777777" w:rsidR="00835927" w:rsidRDefault="00835927" w:rsidP="00835927">
            <w:pPr>
              <w:shd w:val="clear" w:color="auto" w:fill="FFFFFF"/>
              <w:rPr>
                <w:rFonts w:ascii="Calibri" w:hAnsi="Calibri"/>
              </w:rPr>
            </w:pPr>
            <w:r>
              <w:rPr>
                <w:color w:val="000000"/>
              </w:rPr>
              <w:t xml:space="preserve">Each patient should only be counted once and included in the appropriate </w:t>
            </w:r>
            <w:r>
              <w:rPr>
                <w:rFonts w:cs="Arial"/>
              </w:rPr>
              <w:t xml:space="preserve">race/ethnicity category </w:t>
            </w:r>
            <w:r>
              <w:rPr>
                <w:color w:val="000000"/>
              </w:rPr>
              <w:t xml:space="preserve">based on known </w:t>
            </w:r>
            <w:r>
              <w:rPr>
                <w:rFonts w:cs="Arial"/>
              </w:rPr>
              <w:t xml:space="preserve">race/ethnicity </w:t>
            </w:r>
            <w:r>
              <w:rPr>
                <w:color w:val="000000"/>
              </w:rPr>
              <w:t xml:space="preserve">information. If race or ethnicity is unknown, include the case in the “Unknown” category. Hispanic patients should be included in the “Hispanic” category regardless of race. If a </w:t>
            </w:r>
            <w:r>
              <w:rPr>
                <w:rFonts w:cs="Arial"/>
              </w:rPr>
              <w:t xml:space="preserve">race/ethnicity </w:t>
            </w:r>
            <w:r>
              <w:rPr>
                <w:color w:val="000000"/>
              </w:rPr>
              <w:t xml:space="preserve">category is not used by your hospital, include the case in the “Unknown” category, i.e., if patients with more than one race are listed as “multiracial” regardless of their ethnicity, include these cases in the “Unknown” category. Hospitals that do not collect all races for patients that identify with multiple races are not able to report. </w:t>
            </w:r>
          </w:p>
          <w:p w14:paraId="180A1EE9" w14:textId="77777777" w:rsidR="00835927" w:rsidRPr="00F83C07" w:rsidRDefault="00835927" w:rsidP="00835927">
            <w:pPr>
              <w:shd w:val="clear" w:color="auto" w:fill="FFFFFF"/>
              <w:rPr>
                <w:sz w:val="16"/>
                <w:szCs w:val="16"/>
              </w:rPr>
            </w:pPr>
          </w:p>
          <w:p w14:paraId="57509F9E" w14:textId="77777777" w:rsidR="00835927" w:rsidRDefault="00835927" w:rsidP="00835927">
            <w:pPr>
              <w:shd w:val="clear" w:color="auto" w:fill="FFFFFF"/>
            </w:pPr>
            <w:r>
              <w:rPr>
                <w:color w:val="000000"/>
              </w:rPr>
              <w:t>Hospitals reporting to U.S. News can use the below crosswalk</w:t>
            </w:r>
            <w:r>
              <w:rPr>
                <w:rFonts w:cs="Arial"/>
              </w:rPr>
              <w:t xml:space="preserve"> </w:t>
            </w:r>
            <w:r>
              <w:rPr>
                <w:color w:val="000000"/>
              </w:rPr>
              <w:t xml:space="preserve">when reporting to Leapfrog. Hospitals using CMQCC can use the below crosswalk or information provided directly in their Leapfrog CMQCC report: </w:t>
            </w:r>
          </w:p>
          <w:p w14:paraId="4B085B78" w14:textId="77777777" w:rsidR="00835927" w:rsidRPr="00F83C07" w:rsidRDefault="00835927" w:rsidP="00835927">
            <w:pPr>
              <w:shd w:val="clear" w:color="auto" w:fill="FFFFFF"/>
              <w:rPr>
                <w:sz w:val="16"/>
                <w:szCs w:val="16"/>
              </w:rPr>
            </w:pPr>
          </w:p>
          <w:tbl>
            <w:tblPr>
              <w:tblW w:w="6652" w:type="dxa"/>
              <w:tblInd w:w="13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217"/>
              <w:gridCol w:w="2217"/>
              <w:gridCol w:w="2218"/>
            </w:tblGrid>
            <w:tr w:rsidR="00835927" w14:paraId="4A98F45E" w14:textId="77777777" w:rsidTr="00835927">
              <w:trPr>
                <w:trHeight w:val="300"/>
              </w:trPr>
              <w:tc>
                <w:tcPr>
                  <w:tcW w:w="2217" w:type="dxa"/>
                  <w:noWrap/>
                  <w:tcMar>
                    <w:top w:w="0" w:type="dxa"/>
                    <w:left w:w="108" w:type="dxa"/>
                    <w:bottom w:w="0" w:type="dxa"/>
                    <w:right w:w="108" w:type="dxa"/>
                  </w:tcMar>
                  <w:hideMark/>
                </w:tcPr>
                <w:p w14:paraId="1AA9FA17" w14:textId="77777777" w:rsidR="00835927" w:rsidRDefault="00835927" w:rsidP="00835927">
                  <w:r>
                    <w:rPr>
                      <w:b/>
                      <w:bCs/>
                    </w:rPr>
                    <w:t>CMQCC Race/Ethnicity</w:t>
                  </w:r>
                </w:p>
              </w:tc>
              <w:tc>
                <w:tcPr>
                  <w:tcW w:w="2217" w:type="dxa"/>
                  <w:tcMar>
                    <w:top w:w="0" w:type="dxa"/>
                    <w:left w:w="108" w:type="dxa"/>
                    <w:bottom w:w="0" w:type="dxa"/>
                    <w:right w:w="108" w:type="dxa"/>
                  </w:tcMar>
                  <w:hideMark/>
                </w:tcPr>
                <w:p w14:paraId="05EC02A0" w14:textId="77777777" w:rsidR="00835927" w:rsidRDefault="00835927" w:rsidP="00835927">
                  <w:r>
                    <w:rPr>
                      <w:b/>
                      <w:bCs/>
                    </w:rPr>
                    <w:t>U.S. News Race/Ethnicity</w:t>
                  </w:r>
                </w:p>
              </w:tc>
              <w:tc>
                <w:tcPr>
                  <w:tcW w:w="2218" w:type="dxa"/>
                  <w:tcMar>
                    <w:top w:w="0" w:type="dxa"/>
                    <w:left w:w="108" w:type="dxa"/>
                    <w:bottom w:w="0" w:type="dxa"/>
                    <w:right w:w="108" w:type="dxa"/>
                  </w:tcMar>
                  <w:hideMark/>
                </w:tcPr>
                <w:p w14:paraId="4A2D656D" w14:textId="77777777" w:rsidR="00835927" w:rsidRDefault="00835927" w:rsidP="00835927">
                  <w:r>
                    <w:rPr>
                      <w:b/>
                      <w:bCs/>
                    </w:rPr>
                    <w:t>Leapfrog Race/Ethnicity</w:t>
                  </w:r>
                </w:p>
              </w:tc>
            </w:tr>
            <w:tr w:rsidR="00835927" w14:paraId="32906270" w14:textId="77777777" w:rsidTr="00835927">
              <w:trPr>
                <w:trHeight w:val="300"/>
              </w:trPr>
              <w:tc>
                <w:tcPr>
                  <w:tcW w:w="2217" w:type="dxa"/>
                  <w:noWrap/>
                  <w:tcMar>
                    <w:top w:w="0" w:type="dxa"/>
                    <w:left w:w="108" w:type="dxa"/>
                    <w:bottom w:w="0" w:type="dxa"/>
                    <w:right w:w="108" w:type="dxa"/>
                  </w:tcMar>
                  <w:vAlign w:val="center"/>
                  <w:hideMark/>
                </w:tcPr>
                <w:p w14:paraId="68E397F5" w14:textId="77777777" w:rsidR="00835927" w:rsidRDefault="00835927" w:rsidP="00835927">
                  <w:r>
                    <w:t>Hispanic-US Born</w:t>
                  </w:r>
                </w:p>
              </w:tc>
              <w:tc>
                <w:tcPr>
                  <w:tcW w:w="2217" w:type="dxa"/>
                  <w:vMerge w:val="restart"/>
                  <w:tcMar>
                    <w:top w:w="0" w:type="dxa"/>
                    <w:left w:w="108" w:type="dxa"/>
                    <w:bottom w:w="0" w:type="dxa"/>
                    <w:right w:w="108" w:type="dxa"/>
                  </w:tcMar>
                  <w:vAlign w:val="center"/>
                  <w:hideMark/>
                </w:tcPr>
                <w:p w14:paraId="7E497BB9" w14:textId="77777777" w:rsidR="00835927" w:rsidRDefault="00835927" w:rsidP="00835927">
                  <w:r>
                    <w:t>Hispanic or Latino</w:t>
                  </w:r>
                </w:p>
              </w:tc>
              <w:tc>
                <w:tcPr>
                  <w:tcW w:w="2218" w:type="dxa"/>
                  <w:vMerge w:val="restart"/>
                  <w:tcMar>
                    <w:top w:w="0" w:type="dxa"/>
                    <w:left w:w="108" w:type="dxa"/>
                    <w:bottom w:w="0" w:type="dxa"/>
                    <w:right w:w="108" w:type="dxa"/>
                  </w:tcMar>
                  <w:vAlign w:val="center"/>
                  <w:hideMark/>
                </w:tcPr>
                <w:p w14:paraId="641C73B9" w14:textId="77777777" w:rsidR="00835927" w:rsidRDefault="00835927" w:rsidP="00835927">
                  <w:r>
                    <w:t>Hispanic</w:t>
                  </w:r>
                </w:p>
              </w:tc>
            </w:tr>
            <w:tr w:rsidR="00835927" w14:paraId="4A46DFD2" w14:textId="77777777" w:rsidTr="00835927">
              <w:trPr>
                <w:trHeight w:val="300"/>
              </w:trPr>
              <w:tc>
                <w:tcPr>
                  <w:tcW w:w="2217" w:type="dxa"/>
                  <w:noWrap/>
                  <w:tcMar>
                    <w:top w:w="0" w:type="dxa"/>
                    <w:left w:w="108" w:type="dxa"/>
                    <w:bottom w:w="0" w:type="dxa"/>
                    <w:right w:w="108" w:type="dxa"/>
                  </w:tcMar>
                  <w:vAlign w:val="center"/>
                  <w:hideMark/>
                </w:tcPr>
                <w:p w14:paraId="681D418B" w14:textId="77777777" w:rsidR="00835927" w:rsidRDefault="00835927" w:rsidP="00835927">
                  <w:r>
                    <w:t>Hispanic Non-US Born</w:t>
                  </w:r>
                </w:p>
              </w:tc>
              <w:tc>
                <w:tcPr>
                  <w:tcW w:w="2217" w:type="dxa"/>
                  <w:vMerge/>
                  <w:vAlign w:val="center"/>
                  <w:hideMark/>
                </w:tcPr>
                <w:p w14:paraId="4568700D" w14:textId="77777777" w:rsidR="00835927" w:rsidRDefault="00835927" w:rsidP="00835927">
                  <w:pPr>
                    <w:rPr>
                      <w:rFonts w:ascii="Calibri" w:eastAsiaTheme="minorHAnsi" w:hAnsi="Calibri" w:cs="Calibri"/>
                      <w14:ligatures w14:val="standardContextual"/>
                    </w:rPr>
                  </w:pPr>
                </w:p>
              </w:tc>
              <w:tc>
                <w:tcPr>
                  <w:tcW w:w="2218" w:type="dxa"/>
                  <w:vMerge/>
                  <w:vAlign w:val="center"/>
                  <w:hideMark/>
                </w:tcPr>
                <w:p w14:paraId="529F748B" w14:textId="77777777" w:rsidR="00835927" w:rsidRDefault="00835927" w:rsidP="00835927">
                  <w:pPr>
                    <w:rPr>
                      <w:rFonts w:ascii="Calibri" w:eastAsiaTheme="minorHAnsi" w:hAnsi="Calibri" w:cs="Calibri"/>
                      <w14:ligatures w14:val="standardContextual"/>
                    </w:rPr>
                  </w:pPr>
                </w:p>
              </w:tc>
            </w:tr>
            <w:tr w:rsidR="00835927" w14:paraId="719E0F53" w14:textId="77777777" w:rsidTr="00835927">
              <w:trPr>
                <w:trHeight w:val="300"/>
              </w:trPr>
              <w:tc>
                <w:tcPr>
                  <w:tcW w:w="2217" w:type="dxa"/>
                  <w:vMerge w:val="restart"/>
                  <w:noWrap/>
                  <w:tcMar>
                    <w:top w:w="0" w:type="dxa"/>
                    <w:left w:w="108" w:type="dxa"/>
                    <w:bottom w:w="0" w:type="dxa"/>
                    <w:right w:w="108" w:type="dxa"/>
                  </w:tcMar>
                  <w:vAlign w:val="center"/>
                  <w:hideMark/>
                </w:tcPr>
                <w:p w14:paraId="1C0567A3" w14:textId="77777777" w:rsidR="00835927" w:rsidRDefault="00835927" w:rsidP="00835927">
                  <w:r>
                    <w:t>White</w:t>
                  </w:r>
                </w:p>
              </w:tc>
              <w:tc>
                <w:tcPr>
                  <w:tcW w:w="2217" w:type="dxa"/>
                  <w:tcMar>
                    <w:top w:w="0" w:type="dxa"/>
                    <w:left w:w="108" w:type="dxa"/>
                    <w:bottom w:w="0" w:type="dxa"/>
                    <w:right w:w="108" w:type="dxa"/>
                  </w:tcMar>
                  <w:vAlign w:val="center"/>
                  <w:hideMark/>
                </w:tcPr>
                <w:p w14:paraId="1665A4B8" w14:textId="77777777" w:rsidR="00835927" w:rsidRDefault="00835927" w:rsidP="00835927">
                  <w:r>
                    <w:t>White</w:t>
                  </w:r>
                </w:p>
              </w:tc>
              <w:tc>
                <w:tcPr>
                  <w:tcW w:w="2218" w:type="dxa"/>
                  <w:vMerge w:val="restart"/>
                  <w:tcMar>
                    <w:top w:w="0" w:type="dxa"/>
                    <w:left w:w="108" w:type="dxa"/>
                    <w:bottom w:w="0" w:type="dxa"/>
                    <w:right w:w="108" w:type="dxa"/>
                  </w:tcMar>
                  <w:vAlign w:val="center"/>
                  <w:hideMark/>
                </w:tcPr>
                <w:p w14:paraId="546CEBC7" w14:textId="77777777" w:rsidR="00835927" w:rsidRDefault="00835927" w:rsidP="00835927">
                  <w:r>
                    <w:t>Non-Hispanic White</w:t>
                  </w:r>
                </w:p>
              </w:tc>
            </w:tr>
            <w:tr w:rsidR="00835927" w14:paraId="6DD203E6" w14:textId="77777777" w:rsidTr="00835927">
              <w:trPr>
                <w:trHeight w:val="300"/>
              </w:trPr>
              <w:tc>
                <w:tcPr>
                  <w:tcW w:w="2217" w:type="dxa"/>
                  <w:vMerge/>
                  <w:noWrap/>
                  <w:tcMar>
                    <w:top w:w="0" w:type="dxa"/>
                    <w:left w:w="108" w:type="dxa"/>
                    <w:bottom w:w="0" w:type="dxa"/>
                    <w:right w:w="108" w:type="dxa"/>
                  </w:tcMar>
                  <w:vAlign w:val="center"/>
                </w:tcPr>
                <w:p w14:paraId="57BEE1C8" w14:textId="77777777" w:rsidR="00835927" w:rsidRDefault="00835927" w:rsidP="00835927"/>
              </w:tc>
              <w:tc>
                <w:tcPr>
                  <w:tcW w:w="2217" w:type="dxa"/>
                  <w:tcMar>
                    <w:top w:w="0" w:type="dxa"/>
                    <w:left w:w="108" w:type="dxa"/>
                    <w:bottom w:w="0" w:type="dxa"/>
                    <w:right w:w="108" w:type="dxa"/>
                  </w:tcMar>
                  <w:vAlign w:val="center"/>
                </w:tcPr>
                <w:p w14:paraId="50E88E98" w14:textId="77777777" w:rsidR="00835927" w:rsidRDefault="00835927" w:rsidP="00835927">
                  <w:r>
                    <w:t>Middle Eastern or North African</w:t>
                  </w:r>
                </w:p>
              </w:tc>
              <w:tc>
                <w:tcPr>
                  <w:tcW w:w="2218" w:type="dxa"/>
                  <w:vMerge/>
                  <w:tcMar>
                    <w:top w:w="0" w:type="dxa"/>
                    <w:left w:w="108" w:type="dxa"/>
                    <w:bottom w:w="0" w:type="dxa"/>
                    <w:right w:w="108" w:type="dxa"/>
                  </w:tcMar>
                  <w:vAlign w:val="center"/>
                </w:tcPr>
                <w:p w14:paraId="04B34E5D" w14:textId="77777777" w:rsidR="00835927" w:rsidRDefault="00835927" w:rsidP="00835927"/>
              </w:tc>
            </w:tr>
            <w:tr w:rsidR="00835927" w14:paraId="032239CC" w14:textId="77777777" w:rsidTr="00835927">
              <w:trPr>
                <w:trHeight w:val="300"/>
              </w:trPr>
              <w:tc>
                <w:tcPr>
                  <w:tcW w:w="2217" w:type="dxa"/>
                  <w:noWrap/>
                  <w:tcMar>
                    <w:top w:w="0" w:type="dxa"/>
                    <w:left w:w="108" w:type="dxa"/>
                    <w:bottom w:w="0" w:type="dxa"/>
                    <w:right w:w="108" w:type="dxa"/>
                  </w:tcMar>
                  <w:vAlign w:val="center"/>
                  <w:hideMark/>
                </w:tcPr>
                <w:p w14:paraId="2CEC7EA6" w14:textId="77777777" w:rsidR="00835927" w:rsidRDefault="00835927" w:rsidP="00835927">
                  <w:r>
                    <w:t>Black</w:t>
                  </w:r>
                </w:p>
              </w:tc>
              <w:tc>
                <w:tcPr>
                  <w:tcW w:w="2217" w:type="dxa"/>
                  <w:tcMar>
                    <w:top w:w="0" w:type="dxa"/>
                    <w:left w:w="108" w:type="dxa"/>
                    <w:bottom w:w="0" w:type="dxa"/>
                    <w:right w:w="108" w:type="dxa"/>
                  </w:tcMar>
                  <w:vAlign w:val="center"/>
                  <w:hideMark/>
                </w:tcPr>
                <w:p w14:paraId="07C375F5" w14:textId="77777777" w:rsidR="00835927" w:rsidRDefault="00835927" w:rsidP="00835927">
                  <w:r>
                    <w:t>Black or African American</w:t>
                  </w:r>
                </w:p>
              </w:tc>
              <w:tc>
                <w:tcPr>
                  <w:tcW w:w="2218" w:type="dxa"/>
                  <w:tcMar>
                    <w:top w:w="0" w:type="dxa"/>
                    <w:left w:w="108" w:type="dxa"/>
                    <w:bottom w:w="0" w:type="dxa"/>
                    <w:right w:w="108" w:type="dxa"/>
                  </w:tcMar>
                  <w:vAlign w:val="center"/>
                  <w:hideMark/>
                </w:tcPr>
                <w:p w14:paraId="7090EEB3" w14:textId="77777777" w:rsidR="00835927" w:rsidRDefault="00835927" w:rsidP="00835927">
                  <w:r>
                    <w:t>Non-Hispanic Black</w:t>
                  </w:r>
                </w:p>
              </w:tc>
            </w:tr>
            <w:tr w:rsidR="00835927" w14:paraId="78FA4F59" w14:textId="77777777" w:rsidTr="00835927">
              <w:trPr>
                <w:trHeight w:val="300"/>
              </w:trPr>
              <w:tc>
                <w:tcPr>
                  <w:tcW w:w="2217" w:type="dxa"/>
                  <w:noWrap/>
                  <w:tcMar>
                    <w:top w:w="0" w:type="dxa"/>
                    <w:left w:w="108" w:type="dxa"/>
                    <w:bottom w:w="0" w:type="dxa"/>
                    <w:right w:w="108" w:type="dxa"/>
                  </w:tcMar>
                  <w:vAlign w:val="center"/>
                  <w:hideMark/>
                </w:tcPr>
                <w:p w14:paraId="531008D2" w14:textId="77777777" w:rsidR="00835927" w:rsidRDefault="00835927" w:rsidP="00835927">
                  <w:r>
                    <w:t>Asian</w:t>
                  </w:r>
                </w:p>
              </w:tc>
              <w:tc>
                <w:tcPr>
                  <w:tcW w:w="2217" w:type="dxa"/>
                  <w:tcMar>
                    <w:top w:w="0" w:type="dxa"/>
                    <w:left w:w="108" w:type="dxa"/>
                    <w:bottom w:w="0" w:type="dxa"/>
                    <w:right w:w="108" w:type="dxa"/>
                  </w:tcMar>
                  <w:vAlign w:val="center"/>
                  <w:hideMark/>
                </w:tcPr>
                <w:p w14:paraId="292F4599" w14:textId="77777777" w:rsidR="00835927" w:rsidRDefault="00835927" w:rsidP="00835927">
                  <w:r>
                    <w:t xml:space="preserve">Asian </w:t>
                  </w:r>
                </w:p>
              </w:tc>
              <w:tc>
                <w:tcPr>
                  <w:tcW w:w="2218" w:type="dxa"/>
                  <w:vMerge w:val="restart"/>
                  <w:tcMar>
                    <w:top w:w="0" w:type="dxa"/>
                    <w:left w:w="108" w:type="dxa"/>
                    <w:bottom w:w="0" w:type="dxa"/>
                    <w:right w:w="108" w:type="dxa"/>
                  </w:tcMar>
                  <w:vAlign w:val="center"/>
                  <w:hideMark/>
                </w:tcPr>
                <w:p w14:paraId="158DB8E1" w14:textId="77777777" w:rsidR="00835927" w:rsidRDefault="00835927" w:rsidP="00835927">
                  <w:r>
                    <w:t>Non-Hispanic Asian or Pacific Islander</w:t>
                  </w:r>
                </w:p>
              </w:tc>
            </w:tr>
            <w:tr w:rsidR="00835927" w14:paraId="71D89960" w14:textId="77777777" w:rsidTr="00835927">
              <w:trPr>
                <w:trHeight w:val="300"/>
              </w:trPr>
              <w:tc>
                <w:tcPr>
                  <w:tcW w:w="2217" w:type="dxa"/>
                  <w:noWrap/>
                  <w:tcMar>
                    <w:top w:w="0" w:type="dxa"/>
                    <w:left w:w="108" w:type="dxa"/>
                    <w:bottom w:w="0" w:type="dxa"/>
                    <w:right w:w="108" w:type="dxa"/>
                  </w:tcMar>
                  <w:vAlign w:val="center"/>
                </w:tcPr>
                <w:p w14:paraId="35C311B4" w14:textId="77777777" w:rsidR="00835927" w:rsidRDefault="00835927" w:rsidP="00835927">
                  <w:r>
                    <w:t>Pacific Islander</w:t>
                  </w:r>
                </w:p>
              </w:tc>
              <w:tc>
                <w:tcPr>
                  <w:tcW w:w="2217" w:type="dxa"/>
                  <w:tcMar>
                    <w:top w:w="0" w:type="dxa"/>
                    <w:left w:w="108" w:type="dxa"/>
                    <w:bottom w:w="0" w:type="dxa"/>
                    <w:right w:w="108" w:type="dxa"/>
                  </w:tcMar>
                  <w:vAlign w:val="center"/>
                </w:tcPr>
                <w:p w14:paraId="178AF059" w14:textId="77777777" w:rsidR="00835927" w:rsidRDefault="00835927" w:rsidP="00835927">
                  <w:r>
                    <w:t>Native Hawaiian or Pacific Islander</w:t>
                  </w:r>
                </w:p>
              </w:tc>
              <w:tc>
                <w:tcPr>
                  <w:tcW w:w="2218" w:type="dxa"/>
                  <w:vMerge/>
                  <w:tcMar>
                    <w:top w:w="0" w:type="dxa"/>
                    <w:left w:w="108" w:type="dxa"/>
                    <w:bottom w:w="0" w:type="dxa"/>
                    <w:right w:w="108" w:type="dxa"/>
                  </w:tcMar>
                  <w:vAlign w:val="center"/>
                </w:tcPr>
                <w:p w14:paraId="48334486" w14:textId="77777777" w:rsidR="00835927" w:rsidRDefault="00835927" w:rsidP="00835927"/>
              </w:tc>
            </w:tr>
            <w:tr w:rsidR="00835927" w14:paraId="1E0DDD6A" w14:textId="77777777" w:rsidTr="00835927">
              <w:trPr>
                <w:trHeight w:val="300"/>
              </w:trPr>
              <w:tc>
                <w:tcPr>
                  <w:tcW w:w="2217" w:type="dxa"/>
                  <w:noWrap/>
                  <w:tcMar>
                    <w:top w:w="0" w:type="dxa"/>
                    <w:left w:w="108" w:type="dxa"/>
                    <w:bottom w:w="0" w:type="dxa"/>
                    <w:right w:w="108" w:type="dxa"/>
                  </w:tcMar>
                  <w:vAlign w:val="center"/>
                  <w:hideMark/>
                </w:tcPr>
                <w:p w14:paraId="1D80E9C5" w14:textId="77777777" w:rsidR="00835927" w:rsidRDefault="00835927" w:rsidP="00835927">
                  <w:r>
                    <w:t>Native American (American Indian or Alaska Native)</w:t>
                  </w:r>
                </w:p>
              </w:tc>
              <w:tc>
                <w:tcPr>
                  <w:tcW w:w="2217" w:type="dxa"/>
                  <w:tcMar>
                    <w:top w:w="0" w:type="dxa"/>
                    <w:left w:w="108" w:type="dxa"/>
                    <w:bottom w:w="0" w:type="dxa"/>
                    <w:right w:w="108" w:type="dxa"/>
                  </w:tcMar>
                  <w:vAlign w:val="center"/>
                  <w:hideMark/>
                </w:tcPr>
                <w:p w14:paraId="7594E1A3" w14:textId="77777777" w:rsidR="00835927" w:rsidRDefault="00835927" w:rsidP="00835927">
                  <w:r w:rsidRPr="002F7750">
                    <w:t>American Indian or Alaska Native</w:t>
                  </w:r>
                </w:p>
              </w:tc>
              <w:tc>
                <w:tcPr>
                  <w:tcW w:w="2218" w:type="dxa"/>
                  <w:tcMar>
                    <w:top w:w="0" w:type="dxa"/>
                    <w:left w:w="108" w:type="dxa"/>
                    <w:bottom w:w="0" w:type="dxa"/>
                    <w:right w:w="108" w:type="dxa"/>
                  </w:tcMar>
                  <w:vAlign w:val="center"/>
                  <w:hideMark/>
                </w:tcPr>
                <w:p w14:paraId="6BA11775" w14:textId="77777777" w:rsidR="00835927" w:rsidRDefault="00835927" w:rsidP="00835927">
                  <w:r w:rsidRPr="002F7750">
                    <w:t>Non-Hispanic American Indian or Alaska Native</w:t>
                  </w:r>
                </w:p>
              </w:tc>
            </w:tr>
            <w:tr w:rsidR="00835927" w14:paraId="5FEEADBF" w14:textId="77777777" w:rsidTr="00835927">
              <w:trPr>
                <w:trHeight w:val="300"/>
              </w:trPr>
              <w:tc>
                <w:tcPr>
                  <w:tcW w:w="2217" w:type="dxa"/>
                  <w:noWrap/>
                  <w:tcMar>
                    <w:top w:w="0" w:type="dxa"/>
                    <w:left w:w="108" w:type="dxa"/>
                    <w:bottom w:w="0" w:type="dxa"/>
                    <w:right w:w="108" w:type="dxa"/>
                  </w:tcMar>
                </w:tcPr>
                <w:p w14:paraId="14F3F35E" w14:textId="77777777" w:rsidR="00835927" w:rsidRDefault="00835927" w:rsidP="00835927">
                  <w:r>
                    <w:t>Other</w:t>
                  </w:r>
                </w:p>
              </w:tc>
              <w:tc>
                <w:tcPr>
                  <w:tcW w:w="2217" w:type="dxa"/>
                  <w:tcMar>
                    <w:top w:w="0" w:type="dxa"/>
                    <w:left w:w="108" w:type="dxa"/>
                    <w:bottom w:w="0" w:type="dxa"/>
                    <w:right w:w="108" w:type="dxa"/>
                  </w:tcMar>
                </w:tcPr>
                <w:p w14:paraId="6DCC180A" w14:textId="77777777" w:rsidR="00835927" w:rsidRPr="002F7750" w:rsidRDefault="00835927" w:rsidP="00835927">
                  <w:r>
                    <w:t>N/A</w:t>
                  </w:r>
                </w:p>
              </w:tc>
              <w:tc>
                <w:tcPr>
                  <w:tcW w:w="2218" w:type="dxa"/>
                  <w:vMerge w:val="restart"/>
                  <w:tcMar>
                    <w:top w:w="0" w:type="dxa"/>
                    <w:left w:w="108" w:type="dxa"/>
                    <w:bottom w:w="0" w:type="dxa"/>
                    <w:right w:w="108" w:type="dxa"/>
                  </w:tcMar>
                </w:tcPr>
                <w:p w14:paraId="49C32EFE" w14:textId="77777777" w:rsidR="00835927" w:rsidRPr="002F7750" w:rsidRDefault="00835927" w:rsidP="00835927">
                  <w:r w:rsidRPr="00364FF4">
                    <w:t>Non-Hispanic Other (including two or more races)</w:t>
                  </w:r>
                  <w:r>
                    <w:t xml:space="preserve"> </w:t>
                  </w:r>
                </w:p>
              </w:tc>
            </w:tr>
            <w:tr w:rsidR="00835927" w14:paraId="7509CE87" w14:textId="77777777" w:rsidTr="00835927">
              <w:trPr>
                <w:trHeight w:val="300"/>
              </w:trPr>
              <w:tc>
                <w:tcPr>
                  <w:tcW w:w="2217" w:type="dxa"/>
                  <w:noWrap/>
                  <w:tcMar>
                    <w:top w:w="0" w:type="dxa"/>
                    <w:left w:w="108" w:type="dxa"/>
                    <w:bottom w:w="0" w:type="dxa"/>
                    <w:right w:w="108" w:type="dxa"/>
                  </w:tcMar>
                  <w:vAlign w:val="center"/>
                  <w:hideMark/>
                </w:tcPr>
                <w:p w14:paraId="628C72AB" w14:textId="77777777" w:rsidR="00835927" w:rsidRDefault="00835927" w:rsidP="00835927">
                  <w:r>
                    <w:t>Multiracial</w:t>
                  </w:r>
                </w:p>
              </w:tc>
              <w:tc>
                <w:tcPr>
                  <w:tcW w:w="2217" w:type="dxa"/>
                  <w:tcMar>
                    <w:top w:w="0" w:type="dxa"/>
                    <w:left w:w="108" w:type="dxa"/>
                    <w:bottom w:w="0" w:type="dxa"/>
                    <w:right w:w="108" w:type="dxa"/>
                  </w:tcMar>
                  <w:vAlign w:val="center"/>
                  <w:hideMark/>
                </w:tcPr>
                <w:p w14:paraId="4117F4BF" w14:textId="77777777" w:rsidR="00835927" w:rsidRDefault="00835927" w:rsidP="00835927">
                  <w:r>
                    <w:t>Multiracial and/or Multiethnic</w:t>
                  </w:r>
                </w:p>
              </w:tc>
              <w:tc>
                <w:tcPr>
                  <w:tcW w:w="2218" w:type="dxa"/>
                  <w:vMerge/>
                  <w:tcMar>
                    <w:top w:w="0" w:type="dxa"/>
                    <w:left w:w="108" w:type="dxa"/>
                    <w:bottom w:w="0" w:type="dxa"/>
                    <w:right w:w="108" w:type="dxa"/>
                  </w:tcMar>
                  <w:vAlign w:val="center"/>
                  <w:hideMark/>
                </w:tcPr>
                <w:p w14:paraId="4F150912" w14:textId="77777777" w:rsidR="00835927" w:rsidRDefault="00835927" w:rsidP="00835927"/>
              </w:tc>
            </w:tr>
            <w:tr w:rsidR="00835927" w14:paraId="19564DDF" w14:textId="77777777" w:rsidTr="00835927">
              <w:trPr>
                <w:trHeight w:val="300"/>
              </w:trPr>
              <w:tc>
                <w:tcPr>
                  <w:tcW w:w="2217" w:type="dxa"/>
                  <w:noWrap/>
                  <w:tcMar>
                    <w:top w:w="0" w:type="dxa"/>
                    <w:left w:w="108" w:type="dxa"/>
                    <w:bottom w:w="0" w:type="dxa"/>
                    <w:right w:w="108" w:type="dxa"/>
                  </w:tcMar>
                </w:tcPr>
                <w:p w14:paraId="14450CD4" w14:textId="77777777" w:rsidR="00835927" w:rsidRDefault="00835927" w:rsidP="00835927">
                  <w:r>
                    <w:t xml:space="preserve">Unknown </w:t>
                  </w:r>
                </w:p>
              </w:tc>
              <w:tc>
                <w:tcPr>
                  <w:tcW w:w="2217" w:type="dxa"/>
                  <w:tcMar>
                    <w:top w:w="0" w:type="dxa"/>
                    <w:left w:w="108" w:type="dxa"/>
                    <w:bottom w:w="0" w:type="dxa"/>
                    <w:right w:w="108" w:type="dxa"/>
                  </w:tcMar>
                </w:tcPr>
                <w:p w14:paraId="3809D731" w14:textId="77777777" w:rsidR="00835927" w:rsidRDefault="00835927" w:rsidP="00835927">
                  <w:r>
                    <w:t>Unknown</w:t>
                  </w:r>
                </w:p>
              </w:tc>
              <w:tc>
                <w:tcPr>
                  <w:tcW w:w="2218" w:type="dxa"/>
                  <w:tcMar>
                    <w:top w:w="0" w:type="dxa"/>
                    <w:left w:w="108" w:type="dxa"/>
                    <w:bottom w:w="0" w:type="dxa"/>
                    <w:right w:w="108" w:type="dxa"/>
                  </w:tcMar>
                </w:tcPr>
                <w:p w14:paraId="6C9132CA" w14:textId="77777777" w:rsidR="00835927" w:rsidRDefault="00835927" w:rsidP="00835927">
                  <w:r>
                    <w:t>Unknown</w:t>
                  </w:r>
                </w:p>
              </w:tc>
            </w:tr>
          </w:tbl>
          <w:p w14:paraId="1EF61970" w14:textId="77777777" w:rsidR="00835927" w:rsidRPr="00F83C07" w:rsidRDefault="00835927" w:rsidP="00835927">
            <w:pPr>
              <w:shd w:val="clear" w:color="auto" w:fill="FFFFFF"/>
              <w:rPr>
                <w:rStyle w:val="Strong"/>
                <w:rFonts w:cs="Arial"/>
                <w:sz w:val="16"/>
                <w:szCs w:val="16"/>
              </w:rPr>
            </w:pPr>
          </w:p>
          <w:p w14:paraId="623AA4B8" w14:textId="77777777" w:rsidR="00835927" w:rsidRPr="009A5185" w:rsidRDefault="00835927" w:rsidP="00835927">
            <w:pPr>
              <w:shd w:val="clear" w:color="auto" w:fill="FFFFFF"/>
              <w:rPr>
                <w:rStyle w:val="Strong"/>
                <w:rFonts w:cs="Arial"/>
                <w:b w:val="0"/>
                <w:i/>
              </w:rPr>
            </w:pPr>
            <w:r w:rsidRPr="009A5185">
              <w:rPr>
                <w:rFonts w:cs="Arial"/>
                <w:bCs/>
                <w:i/>
              </w:rPr>
              <w:t>Note: The denominator should include both</w:t>
            </w:r>
            <w:r w:rsidRPr="009A5185">
              <w:rPr>
                <w:rFonts w:cs="Arial"/>
                <w:i/>
              </w:rPr>
              <w:t> nulliparous mothers with a live term singleton newborn in vertex presentation that had their newborn delivered via cesarean section </w:t>
            </w:r>
            <w:r w:rsidRPr="009A5185">
              <w:rPr>
                <w:rFonts w:cs="Arial"/>
                <w:bCs/>
                <w:i/>
              </w:rPr>
              <w:t>and</w:t>
            </w:r>
            <w:r w:rsidRPr="009A5185">
              <w:rPr>
                <w:rFonts w:cs="Arial"/>
                <w:i/>
              </w:rPr>
              <w:t> nulliparous mothers that delivered vaginally.</w:t>
            </w:r>
          </w:p>
          <w:p w14:paraId="7ECE082C" w14:textId="77777777" w:rsidR="00835927" w:rsidRPr="00F83C07" w:rsidRDefault="00835927" w:rsidP="00835927">
            <w:pPr>
              <w:shd w:val="clear" w:color="auto" w:fill="FFFFFF"/>
              <w:rPr>
                <w:rStyle w:val="Strong"/>
                <w:rFonts w:cs="Arial"/>
                <w:sz w:val="16"/>
                <w:szCs w:val="16"/>
              </w:rPr>
            </w:pPr>
          </w:p>
          <w:p w14:paraId="411C7E50" w14:textId="77777777" w:rsidR="00835927" w:rsidRPr="009A5185" w:rsidRDefault="00835927" w:rsidP="00835927">
            <w:pPr>
              <w:shd w:val="clear" w:color="auto" w:fill="FFFFFF"/>
              <w:rPr>
                <w:rStyle w:val="apple-converted-space"/>
                <w:rFonts w:cs="Arial"/>
              </w:rPr>
            </w:pPr>
            <w:r w:rsidRPr="009A5185">
              <w:rPr>
                <w:rStyle w:val="Strong"/>
                <w:rFonts w:cs="Arial"/>
              </w:rPr>
              <w:t>Included Populations:</w:t>
            </w:r>
            <w:r w:rsidRPr="009A5185">
              <w:rPr>
                <w:rStyle w:val="apple-converted-space"/>
                <w:rFonts w:cs="Arial"/>
              </w:rPr>
              <w:t> </w:t>
            </w:r>
          </w:p>
          <w:p w14:paraId="7D26A67D" w14:textId="62C6C118" w:rsidR="00835927" w:rsidRPr="009A5185" w:rsidRDefault="00835927" w:rsidP="00835927">
            <w:pPr>
              <w:pStyle w:val="ListParagraph"/>
              <w:numPr>
                <w:ilvl w:val="0"/>
                <w:numId w:val="18"/>
              </w:numPr>
              <w:autoSpaceDE w:val="0"/>
              <w:autoSpaceDN w:val="0"/>
              <w:adjustRightInd w:val="0"/>
              <w:rPr>
                <w:rFonts w:cs="Arial"/>
              </w:rPr>
            </w:pPr>
            <w:r w:rsidRPr="009A5185">
              <w:rPr>
                <w:rFonts w:cs="Arial"/>
                <w:i/>
              </w:rPr>
              <w:t xml:space="preserve">ICD-10-PCS Principal Procedure Code or ICD-10-PCS Other Procedure Codes </w:t>
            </w:r>
            <w:r w:rsidRPr="009A5185">
              <w:rPr>
                <w:rFonts w:cs="Arial"/>
              </w:rPr>
              <w:t xml:space="preserve">for delivery as defined in Appendix A, Table </w:t>
            </w:r>
            <w:hyperlink r:id="rId297" w:anchor="Table_Number_11.01.1:_Delivery" w:history="1">
              <w:r>
                <w:rPr>
                  <w:rStyle w:val="Hyperlink"/>
                  <w:rFonts w:cs="Arial"/>
                </w:rPr>
                <w:t>11.01.1 Delivery</w:t>
              </w:r>
            </w:hyperlink>
            <w:r w:rsidRPr="009A5185">
              <w:rPr>
                <w:rFonts w:cs="Arial"/>
              </w:rPr>
              <w:t>.</w:t>
            </w:r>
          </w:p>
          <w:p w14:paraId="1220478E" w14:textId="5401A042" w:rsidR="00D543B8" w:rsidRPr="00C5453C" w:rsidRDefault="00835927" w:rsidP="00835927">
            <w:pPr>
              <w:pStyle w:val="ListParagraph"/>
              <w:numPr>
                <w:ilvl w:val="0"/>
                <w:numId w:val="18"/>
              </w:numPr>
              <w:autoSpaceDE w:val="0"/>
              <w:autoSpaceDN w:val="0"/>
              <w:adjustRightInd w:val="0"/>
              <w:spacing w:before="200" w:after="200"/>
              <w:rPr>
                <w:rFonts w:cs="Arial"/>
              </w:rPr>
            </w:pPr>
            <w:r w:rsidRPr="009A5185">
              <w:rPr>
                <w:rFonts w:cs="Arial"/>
              </w:rPr>
              <w:t>Nulliparous patients with</w:t>
            </w:r>
            <w:r w:rsidRPr="009A5185">
              <w:rPr>
                <w:rStyle w:val="apple-converted-space"/>
                <w:rFonts w:cs="Arial"/>
              </w:rPr>
              <w:t> </w:t>
            </w:r>
            <w:r w:rsidRPr="009A5185">
              <w:rPr>
                <w:rStyle w:val="Emphasis"/>
                <w:rFonts w:cs="Arial"/>
              </w:rPr>
              <w:t xml:space="preserve">ICD-10-CM Principal Diagnosis Code or ICD-10-CM Other Diagnosis Codes </w:t>
            </w:r>
            <w:r w:rsidRPr="009A5185">
              <w:rPr>
                <w:rFonts w:cs="Arial"/>
              </w:rPr>
              <w:t xml:space="preserve">for outcome of delivery as defined in Appendix A, Table </w:t>
            </w:r>
            <w:hyperlink r:id="rId298" w:anchor="Table_Number_11.08:_Outcome_of_Delivery" w:history="1">
              <w:r>
                <w:rPr>
                  <w:rStyle w:val="Hyperlink"/>
                  <w:rFonts w:cs="Arial"/>
                </w:rPr>
                <w:t>11.08 Outcome of Delivery</w:t>
              </w:r>
            </w:hyperlink>
            <w:r w:rsidRPr="009A5185">
              <w:rPr>
                <w:rFonts w:cs="Arial"/>
              </w:rPr>
              <w:t xml:space="preserve"> and with a delivery of a newborn with 37 weeks or more of gestation completed. </w:t>
            </w:r>
          </w:p>
          <w:p w14:paraId="3F159DCF" w14:textId="7307ED1C" w:rsidR="00835927" w:rsidRPr="009A5185" w:rsidRDefault="00835927" w:rsidP="00835927">
            <w:pPr>
              <w:autoSpaceDE w:val="0"/>
              <w:autoSpaceDN w:val="0"/>
              <w:adjustRightInd w:val="0"/>
              <w:rPr>
                <w:rFonts w:cs="Arial"/>
                <w:b/>
              </w:rPr>
            </w:pPr>
            <w:r w:rsidRPr="009A5185">
              <w:rPr>
                <w:rFonts w:cs="Arial"/>
                <w:b/>
              </w:rPr>
              <w:t xml:space="preserve">Excluded Populations: </w:t>
            </w:r>
          </w:p>
          <w:p w14:paraId="3B53DB4D" w14:textId="11FE103A" w:rsidR="00835927" w:rsidRPr="009A5185" w:rsidRDefault="00835927" w:rsidP="00835927">
            <w:pPr>
              <w:pStyle w:val="ListParagraph"/>
              <w:numPr>
                <w:ilvl w:val="0"/>
                <w:numId w:val="18"/>
              </w:numPr>
              <w:autoSpaceDE w:val="0"/>
              <w:autoSpaceDN w:val="0"/>
              <w:adjustRightInd w:val="0"/>
              <w:rPr>
                <w:rFonts w:cs="Arial"/>
              </w:rPr>
            </w:pPr>
            <w:r w:rsidRPr="009A5185">
              <w:rPr>
                <w:rStyle w:val="Emphasis"/>
                <w:rFonts w:cs="Arial"/>
              </w:rPr>
              <w:t>ICD-10-CM Principal Diagnosis Code or ICD-10-CM Other Diagnosis Codes</w:t>
            </w:r>
            <w:r w:rsidRPr="009A5185">
              <w:rPr>
                <w:rFonts w:cs="Arial"/>
              </w:rPr>
              <w:t xml:space="preserve"> for multiple gestations</w:t>
            </w:r>
            <w:r>
              <w:rPr>
                <w:rFonts w:cs="Arial"/>
              </w:rPr>
              <w:t>, abnormal presentations, and conditions justifying cesarean delivery</w:t>
            </w:r>
            <w:r w:rsidRPr="009A5185">
              <w:rPr>
                <w:rFonts w:cs="Arial"/>
              </w:rPr>
              <w:t xml:space="preserve"> as defined in Appendix A, Table </w:t>
            </w:r>
            <w:hyperlink r:id="rId299" w:anchor="Table_Number_11.09:_Multiple_Gestations_44_Abnormal_Presentations_44_and_Conditions_Justifying_Cesarean_Delivery" w:history="1">
              <w:r>
                <w:rPr>
                  <w:rStyle w:val="Hyperlink"/>
                  <w:rFonts w:cs="Arial"/>
                </w:rPr>
                <w:t>11.09 Multiple Gestations, Abnormal Presentations, and Conditions Justifying Cesarean Delivery</w:t>
              </w:r>
            </w:hyperlink>
            <w:r w:rsidRPr="009A5185">
              <w:rPr>
                <w:rFonts w:cs="Arial"/>
              </w:rPr>
              <w:t xml:space="preserve"> </w:t>
            </w:r>
          </w:p>
          <w:p w14:paraId="1B10EF4B" w14:textId="77777777" w:rsidR="00835927" w:rsidRPr="009A5185" w:rsidRDefault="00835927" w:rsidP="00835927">
            <w:pPr>
              <w:pStyle w:val="ListParagraph"/>
              <w:numPr>
                <w:ilvl w:val="0"/>
                <w:numId w:val="18"/>
              </w:numPr>
              <w:autoSpaceDE w:val="0"/>
              <w:autoSpaceDN w:val="0"/>
              <w:adjustRightInd w:val="0"/>
              <w:rPr>
                <w:rFonts w:cs="Arial"/>
              </w:rPr>
            </w:pPr>
            <w:r w:rsidRPr="009A5185">
              <w:rPr>
                <w:rFonts w:cs="Arial"/>
              </w:rPr>
              <w:t>Less than 8 years of age</w:t>
            </w:r>
          </w:p>
          <w:p w14:paraId="73B8CD4F" w14:textId="77777777" w:rsidR="00835927" w:rsidRPr="009A5185" w:rsidRDefault="00835927" w:rsidP="00835927">
            <w:pPr>
              <w:pStyle w:val="ListParagraph"/>
              <w:numPr>
                <w:ilvl w:val="0"/>
                <w:numId w:val="18"/>
              </w:numPr>
              <w:autoSpaceDE w:val="0"/>
              <w:autoSpaceDN w:val="0"/>
              <w:adjustRightInd w:val="0"/>
              <w:rPr>
                <w:rFonts w:cs="Arial"/>
              </w:rPr>
            </w:pPr>
            <w:r w:rsidRPr="009A5185">
              <w:rPr>
                <w:rFonts w:cs="Arial"/>
              </w:rPr>
              <w:t>Greater than or equal to 65 years of age</w:t>
            </w:r>
          </w:p>
          <w:p w14:paraId="13A95154" w14:textId="210464AC" w:rsidR="00835927" w:rsidRPr="00F26C59" w:rsidRDefault="00835927" w:rsidP="00835927">
            <w:pPr>
              <w:pStyle w:val="ListParagraph"/>
              <w:numPr>
                <w:ilvl w:val="0"/>
                <w:numId w:val="18"/>
              </w:numPr>
              <w:autoSpaceDE w:val="0"/>
              <w:autoSpaceDN w:val="0"/>
              <w:adjustRightInd w:val="0"/>
              <w:rPr>
                <w:rFonts w:cs="Arial"/>
              </w:rPr>
            </w:pPr>
            <w:hyperlink r:id="rId300" w:history="1">
              <w:r w:rsidRPr="005D6705">
                <w:rPr>
                  <w:rStyle w:val="Hyperlink"/>
                  <w:rFonts w:cs="Arial"/>
                  <w:i/>
                </w:rPr>
                <w:t>Gestational Age</w:t>
              </w:r>
            </w:hyperlink>
            <w:r w:rsidRPr="005D6705">
              <w:rPr>
                <w:rFonts w:cs="Arial"/>
                <w:i/>
              </w:rPr>
              <w:t> </w:t>
            </w:r>
            <w:r w:rsidRPr="009A5185">
              <w:rPr>
                <w:rFonts w:cs="Arial"/>
              </w:rPr>
              <w:t>&lt; 37 weeks</w:t>
            </w:r>
            <w:r w:rsidRPr="009A5185">
              <w:rPr>
                <w:rFonts w:cs="Arial"/>
                <w:i/>
              </w:rPr>
              <w:t xml:space="preserve"> </w:t>
            </w:r>
            <w:r w:rsidRPr="009A5185">
              <w:rPr>
                <w:rFonts w:cs="Arial"/>
              </w:rPr>
              <w:t xml:space="preserve">or </w:t>
            </w:r>
            <w:r>
              <w:rPr>
                <w:rFonts w:cs="Arial"/>
              </w:rPr>
              <w:t>Unable to Determine (</w:t>
            </w:r>
            <w:r w:rsidRPr="009A5185">
              <w:rPr>
                <w:rFonts w:cs="Arial"/>
              </w:rPr>
              <w:t>UTD</w:t>
            </w:r>
            <w:r>
              <w:rPr>
                <w:rFonts w:cs="Arial"/>
              </w:rPr>
              <w:t>)</w:t>
            </w:r>
          </w:p>
          <w:p w14:paraId="61A1C048" w14:textId="77777777" w:rsidR="00835927" w:rsidRDefault="00835927" w:rsidP="00835927">
            <w:pPr>
              <w:autoSpaceDE w:val="0"/>
              <w:autoSpaceDN w:val="0"/>
              <w:adjustRightInd w:val="0"/>
              <w:rPr>
                <w:rFonts w:cs="Arial"/>
                <w:b/>
                <w:bCs/>
              </w:rPr>
            </w:pPr>
          </w:p>
          <w:p w14:paraId="155A6FE9" w14:textId="1FBE1FCE" w:rsidR="00835927" w:rsidRPr="009A5185" w:rsidRDefault="00835927" w:rsidP="00835927">
            <w:pPr>
              <w:autoSpaceDE w:val="0"/>
              <w:autoSpaceDN w:val="0"/>
              <w:adjustRightInd w:val="0"/>
              <w:rPr>
                <w:rStyle w:val="Emphasis"/>
                <w:rFonts w:cs="Arial"/>
                <w:bCs/>
                <w:i w:val="0"/>
              </w:rPr>
            </w:pPr>
            <w:r w:rsidRPr="009A5185">
              <w:rPr>
                <w:rFonts w:cs="Arial"/>
                <w:b/>
                <w:bCs/>
              </w:rPr>
              <w:t xml:space="preserve">Data Elements: </w:t>
            </w:r>
            <w:r w:rsidRPr="009A5185">
              <w:rPr>
                <w:rFonts w:cs="Arial"/>
                <w:bCs/>
              </w:rPr>
              <w:t xml:space="preserve">Visit </w:t>
            </w:r>
            <w:hyperlink r:id="rId301" w:history="1">
              <w:r w:rsidR="006D2EDF" w:rsidRPr="006D2EDF">
                <w:rPr>
                  <w:rStyle w:val="Hyperlink"/>
                  <w:rFonts w:cs="Arial"/>
                  <w:bCs/>
                </w:rPr>
                <w:t>https://manual.jointcommission.org/releases/TJC2026A1/MIF0167.html</w:t>
              </w:r>
            </w:hyperlink>
            <w:r w:rsidR="00AB4179">
              <w:rPr>
                <w:rFonts w:cs="Arial"/>
                <w:bCs/>
              </w:rPr>
              <w:t>.</w:t>
            </w:r>
          </w:p>
          <w:p w14:paraId="49840ABF" w14:textId="77777777" w:rsidR="00835927" w:rsidRPr="009A5185" w:rsidRDefault="00835927" w:rsidP="00835927">
            <w:pPr>
              <w:autoSpaceDE w:val="0"/>
              <w:autoSpaceDN w:val="0"/>
              <w:adjustRightInd w:val="0"/>
              <w:rPr>
                <w:rFonts w:cs="Arial"/>
                <w:b/>
                <w:i/>
              </w:rPr>
            </w:pPr>
          </w:p>
          <w:p w14:paraId="3CE01AD1" w14:textId="699D17B4" w:rsidR="00F105FE" w:rsidRDefault="00835927" w:rsidP="00835927">
            <w:pPr>
              <w:rPr>
                <w:rFonts w:cs="Arial"/>
              </w:rPr>
            </w:pPr>
            <w:r w:rsidRPr="009A5185">
              <w:rPr>
                <w:rFonts w:cs="Arial"/>
                <w:b/>
                <w:i/>
              </w:rPr>
              <w:t xml:space="preserve">If fewer than </w:t>
            </w:r>
            <w:r w:rsidRPr="009A5185">
              <w:rPr>
                <w:rFonts w:cs="Arial"/>
                <w:b/>
                <w:i/>
                <w:lang w:eastAsia="ja-JP"/>
              </w:rPr>
              <w:t>10</w:t>
            </w:r>
            <w:r w:rsidRPr="009A5185">
              <w:rPr>
                <w:rFonts w:cs="Arial"/>
                <w:b/>
                <w:i/>
              </w:rPr>
              <w:t xml:space="preserve"> cases during the reporting period</w:t>
            </w:r>
            <w:r>
              <w:rPr>
                <w:rFonts w:cs="Arial"/>
                <w:b/>
                <w:i/>
              </w:rPr>
              <w:t xml:space="preserve"> for any </w:t>
            </w:r>
            <w:r w:rsidRPr="000C1F1D">
              <w:rPr>
                <w:rFonts w:cs="Arial"/>
                <w:b/>
                <w:bCs/>
                <w:i/>
                <w:iCs/>
              </w:rPr>
              <w:t>race/ethnicity</w:t>
            </w:r>
            <w:r w:rsidRPr="009A5185">
              <w:rPr>
                <w:rFonts w:cs="Arial"/>
                <w:b/>
                <w:i/>
              </w:rPr>
              <w:t>, skip the next question.</w:t>
            </w:r>
          </w:p>
        </w:tc>
      </w:tr>
      <w:tr w:rsidR="00835927" w:rsidRPr="009A5185" w14:paraId="73E55E07" w14:textId="77777777" w:rsidTr="00D36222">
        <w:trPr>
          <w:trHeight w:val="1584"/>
        </w:trPr>
        <w:tc>
          <w:tcPr>
            <w:tcW w:w="9562" w:type="dxa"/>
            <w:vAlign w:val="center"/>
          </w:tcPr>
          <w:p w14:paraId="1D60625D" w14:textId="77777777" w:rsidR="00835927" w:rsidRDefault="00835927" w:rsidP="00835927">
            <w:pPr>
              <w:rPr>
                <w:rFonts w:cs="Arial"/>
                <w:shd w:val="clear" w:color="auto" w:fill="FFFFFF"/>
              </w:rPr>
            </w:pPr>
            <w:r w:rsidRPr="009A5185">
              <w:rPr>
                <w:rStyle w:val="Strong"/>
                <w:rFonts w:cs="Arial"/>
                <w:shd w:val="clear" w:color="auto" w:fill="FFFFFF"/>
              </w:rPr>
              <w:t xml:space="preserve">Question </w:t>
            </w:r>
            <w:r>
              <w:rPr>
                <w:rStyle w:val="Strong"/>
                <w:rFonts w:cs="Arial"/>
                <w:shd w:val="clear" w:color="auto" w:fill="FFFFFF"/>
              </w:rPr>
              <w:t>#8b</w:t>
            </w:r>
            <w:r w:rsidRPr="009A5185">
              <w:rPr>
                <w:rStyle w:val="Strong"/>
                <w:rFonts w:cs="Arial"/>
                <w:shd w:val="clear" w:color="auto" w:fill="FFFFFF"/>
              </w:rPr>
              <w:t xml:space="preserve"> (numerator): </w:t>
            </w:r>
            <w:r w:rsidRPr="009A5185">
              <w:rPr>
                <w:rFonts w:cs="Arial"/>
                <w:shd w:val="clear" w:color="auto" w:fill="FFFFFF"/>
              </w:rPr>
              <w:t>Patients in the denominator with cesarean births</w:t>
            </w:r>
            <w:r>
              <w:rPr>
                <w:rFonts w:cs="Arial"/>
                <w:shd w:val="clear" w:color="auto" w:fill="FFFFFF"/>
              </w:rPr>
              <w:t xml:space="preserve"> by the following </w:t>
            </w:r>
            <w:r>
              <w:rPr>
                <w:rFonts w:cs="Arial"/>
              </w:rPr>
              <w:t>races/ethnicit</w:t>
            </w:r>
            <w:r>
              <w:rPr>
                <w:rFonts w:cs="Arial"/>
                <w:shd w:val="clear" w:color="auto" w:fill="FFFFFF"/>
              </w:rPr>
              <w:t>ies:</w:t>
            </w:r>
          </w:p>
          <w:p w14:paraId="15AA4AD3" w14:textId="77777777" w:rsidR="00835927" w:rsidRPr="004F6B50" w:rsidRDefault="00835927" w:rsidP="00835927">
            <w:pPr>
              <w:pStyle w:val="ListParagraph"/>
              <w:numPr>
                <w:ilvl w:val="0"/>
                <w:numId w:val="195"/>
              </w:numPr>
              <w:rPr>
                <w:rFonts w:cs="Arial"/>
                <w:b/>
                <w:bCs/>
              </w:rPr>
            </w:pPr>
            <w:r>
              <w:rPr>
                <w:rFonts w:cs="Arial"/>
              </w:rPr>
              <w:t>Non-Hispanic White</w:t>
            </w:r>
          </w:p>
          <w:p w14:paraId="41054D9B" w14:textId="77777777" w:rsidR="00835927" w:rsidRPr="004F6B50" w:rsidRDefault="00835927" w:rsidP="00835927">
            <w:pPr>
              <w:pStyle w:val="ListParagraph"/>
              <w:numPr>
                <w:ilvl w:val="0"/>
                <w:numId w:val="195"/>
              </w:numPr>
              <w:rPr>
                <w:rFonts w:cs="Arial"/>
                <w:b/>
                <w:bCs/>
              </w:rPr>
            </w:pPr>
            <w:r>
              <w:rPr>
                <w:rFonts w:cs="Arial"/>
              </w:rPr>
              <w:t>Non-Hispanic Black</w:t>
            </w:r>
          </w:p>
          <w:p w14:paraId="037EFBB1" w14:textId="77777777" w:rsidR="00835927" w:rsidRPr="004F6B50" w:rsidRDefault="00835927" w:rsidP="00835927">
            <w:pPr>
              <w:pStyle w:val="ListParagraph"/>
              <w:numPr>
                <w:ilvl w:val="0"/>
                <w:numId w:val="195"/>
              </w:numPr>
              <w:rPr>
                <w:rFonts w:cs="Arial"/>
                <w:b/>
                <w:bCs/>
              </w:rPr>
            </w:pPr>
            <w:r>
              <w:rPr>
                <w:rFonts w:cs="Arial"/>
              </w:rPr>
              <w:t>Non-Hispanic American Indian or Alaska Native</w:t>
            </w:r>
          </w:p>
          <w:p w14:paraId="398A7A9C" w14:textId="77777777" w:rsidR="00835927" w:rsidRPr="004F6B50" w:rsidRDefault="00835927" w:rsidP="00835927">
            <w:pPr>
              <w:pStyle w:val="ListParagraph"/>
              <w:numPr>
                <w:ilvl w:val="0"/>
                <w:numId w:val="195"/>
              </w:numPr>
              <w:rPr>
                <w:rFonts w:cs="Arial"/>
                <w:b/>
                <w:bCs/>
              </w:rPr>
            </w:pPr>
            <w:r>
              <w:rPr>
                <w:rFonts w:cs="Arial"/>
              </w:rPr>
              <w:t>Non-Hispanic Asian or Pacific Islander</w:t>
            </w:r>
          </w:p>
          <w:p w14:paraId="108E8D30" w14:textId="77777777" w:rsidR="00835927" w:rsidRPr="004F6B50" w:rsidRDefault="00835927" w:rsidP="00835927">
            <w:pPr>
              <w:pStyle w:val="ListParagraph"/>
              <w:numPr>
                <w:ilvl w:val="0"/>
                <w:numId w:val="195"/>
              </w:numPr>
              <w:rPr>
                <w:rFonts w:cs="Arial"/>
                <w:b/>
                <w:bCs/>
              </w:rPr>
            </w:pPr>
            <w:r>
              <w:rPr>
                <w:rFonts w:cs="Arial"/>
              </w:rPr>
              <w:t>Hispanic</w:t>
            </w:r>
          </w:p>
          <w:p w14:paraId="47CB2E19" w14:textId="77777777" w:rsidR="00835927" w:rsidRPr="004F6B50" w:rsidRDefault="00835927" w:rsidP="00835927">
            <w:pPr>
              <w:pStyle w:val="ListParagraph"/>
              <w:numPr>
                <w:ilvl w:val="0"/>
                <w:numId w:val="195"/>
              </w:numPr>
              <w:rPr>
                <w:rFonts w:cs="Arial"/>
                <w:b/>
                <w:bCs/>
              </w:rPr>
            </w:pPr>
            <w:r>
              <w:rPr>
                <w:rFonts w:cs="Arial"/>
              </w:rPr>
              <w:t>Non-Hispanic Other (including two or more races)</w:t>
            </w:r>
          </w:p>
          <w:p w14:paraId="58B44FBE" w14:textId="77777777" w:rsidR="00835927" w:rsidRPr="004F6B50" w:rsidRDefault="00835927" w:rsidP="00835927">
            <w:pPr>
              <w:pStyle w:val="ListParagraph"/>
              <w:numPr>
                <w:ilvl w:val="0"/>
                <w:numId w:val="195"/>
              </w:numPr>
              <w:rPr>
                <w:rFonts w:cs="Arial"/>
                <w:b/>
                <w:bCs/>
              </w:rPr>
            </w:pPr>
            <w:r>
              <w:rPr>
                <w:rFonts w:cs="Arial"/>
              </w:rPr>
              <w:t>Unknown</w:t>
            </w:r>
          </w:p>
          <w:p w14:paraId="186423FD" w14:textId="77777777" w:rsidR="00835927" w:rsidRPr="009A5185" w:rsidRDefault="00835927" w:rsidP="00835927">
            <w:pPr>
              <w:rPr>
                <w:rStyle w:val="Strong"/>
                <w:rFonts w:cs="Arial"/>
                <w:bCs/>
                <w:shd w:val="clear" w:color="auto" w:fill="FFFFFF"/>
              </w:rPr>
            </w:pPr>
          </w:p>
          <w:p w14:paraId="54C54CF8" w14:textId="77777777" w:rsidR="00835927" w:rsidRPr="009A5185" w:rsidRDefault="00835927" w:rsidP="00835927">
            <w:pPr>
              <w:rPr>
                <w:rStyle w:val="apple-converted-space"/>
                <w:rFonts w:cs="Arial"/>
                <w:b/>
                <w:bCs/>
                <w:shd w:val="clear" w:color="auto" w:fill="FFFFFF"/>
              </w:rPr>
            </w:pPr>
            <w:r w:rsidRPr="009A5185">
              <w:rPr>
                <w:rStyle w:val="Strong"/>
                <w:rFonts w:cs="Arial"/>
              </w:rPr>
              <w:t>Included Populations:</w:t>
            </w:r>
            <w:r w:rsidRPr="009A5185">
              <w:rPr>
                <w:rStyle w:val="apple-converted-space"/>
                <w:rFonts w:cs="Arial"/>
              </w:rPr>
              <w:t> </w:t>
            </w:r>
          </w:p>
          <w:p w14:paraId="30269871" w14:textId="76371911" w:rsidR="00835927" w:rsidRPr="009A5185" w:rsidRDefault="00835927" w:rsidP="00835927">
            <w:pPr>
              <w:shd w:val="clear" w:color="auto" w:fill="FFFFFF"/>
              <w:rPr>
                <w:rFonts w:cs="Arial"/>
              </w:rPr>
            </w:pPr>
            <w:r w:rsidRPr="009A5185">
              <w:rPr>
                <w:rStyle w:val="Emphasis"/>
                <w:rFonts w:cs="Arial"/>
              </w:rPr>
              <w:t>ICD-10-PCS Principal Procedure Code or ICD-10-PCS Other Procedure Codes</w:t>
            </w:r>
            <w:r w:rsidRPr="009A5185">
              <w:rPr>
                <w:rStyle w:val="apple-converted-space"/>
                <w:rFonts w:cs="Arial"/>
              </w:rPr>
              <w:t> </w:t>
            </w:r>
            <w:r w:rsidRPr="009A5185">
              <w:rPr>
                <w:rFonts w:cs="Arial"/>
              </w:rPr>
              <w:t xml:space="preserve">for cesarean birth as defined in Appendix A, Table </w:t>
            </w:r>
            <w:hyperlink r:id="rId302" w:anchor="Table_Number_11.06:_Cesarean_Birth" w:history="1">
              <w:r>
                <w:rPr>
                  <w:rStyle w:val="Hyperlink"/>
                  <w:rFonts w:cs="Arial"/>
                </w:rPr>
                <w:t>11.06 Cesarean Birth</w:t>
              </w:r>
            </w:hyperlink>
            <w:r w:rsidRPr="009A5185">
              <w:rPr>
                <w:rFonts w:cs="Arial"/>
              </w:rPr>
              <w:t xml:space="preserve"> </w:t>
            </w:r>
          </w:p>
          <w:p w14:paraId="53B2F26E" w14:textId="77777777" w:rsidR="00835927" w:rsidRPr="009A5185" w:rsidRDefault="00835927" w:rsidP="00835927">
            <w:pPr>
              <w:pStyle w:val="NormalWeb"/>
              <w:shd w:val="clear" w:color="auto" w:fill="FFFFFF"/>
              <w:spacing w:before="0" w:beforeAutospacing="0" w:after="0" w:afterAutospacing="0"/>
              <w:rPr>
                <w:rStyle w:val="Strong"/>
                <w:rFonts w:ascii="Arial" w:hAnsi="Arial" w:cs="Arial"/>
                <w:sz w:val="20"/>
                <w:szCs w:val="20"/>
              </w:rPr>
            </w:pPr>
          </w:p>
          <w:p w14:paraId="130B3577" w14:textId="77777777" w:rsidR="00835927" w:rsidRPr="009A5185" w:rsidRDefault="00835927" w:rsidP="00835927">
            <w:pPr>
              <w:pStyle w:val="NormalWeb"/>
              <w:shd w:val="clear" w:color="auto" w:fill="FFFFFF"/>
              <w:spacing w:before="0" w:beforeAutospacing="0" w:after="0" w:afterAutospacing="0"/>
              <w:rPr>
                <w:rFonts w:ascii="Arial" w:hAnsi="Arial" w:cs="Arial"/>
                <w:sz w:val="20"/>
                <w:szCs w:val="20"/>
              </w:rPr>
            </w:pPr>
            <w:r w:rsidRPr="009A5185">
              <w:rPr>
                <w:rStyle w:val="Strong"/>
                <w:rFonts w:ascii="Arial" w:hAnsi="Arial" w:cs="Arial"/>
                <w:sz w:val="20"/>
                <w:szCs w:val="20"/>
              </w:rPr>
              <w:t>Excluded Populations:</w:t>
            </w:r>
            <w:r w:rsidRPr="009A5185">
              <w:rPr>
                <w:rStyle w:val="apple-converted-space"/>
                <w:rFonts w:ascii="Arial" w:hAnsi="Arial" w:cs="Arial"/>
                <w:sz w:val="20"/>
                <w:szCs w:val="20"/>
              </w:rPr>
              <w:t> </w:t>
            </w:r>
            <w:r w:rsidRPr="009A5185">
              <w:rPr>
                <w:rFonts w:ascii="Arial" w:hAnsi="Arial" w:cs="Arial"/>
                <w:sz w:val="20"/>
                <w:szCs w:val="20"/>
              </w:rPr>
              <w:t>None</w:t>
            </w:r>
          </w:p>
          <w:p w14:paraId="300EBEFE" w14:textId="77777777" w:rsidR="00835927" w:rsidRPr="009A5185" w:rsidRDefault="00835927" w:rsidP="00835927">
            <w:pPr>
              <w:pStyle w:val="NormalWeb"/>
              <w:shd w:val="clear" w:color="auto" w:fill="FFFFFF"/>
              <w:spacing w:before="0" w:beforeAutospacing="0" w:after="0" w:afterAutospacing="0"/>
              <w:rPr>
                <w:rFonts w:ascii="Arial" w:hAnsi="Arial" w:cs="Arial"/>
                <w:sz w:val="20"/>
                <w:szCs w:val="20"/>
              </w:rPr>
            </w:pPr>
          </w:p>
          <w:p w14:paraId="34A9DF39" w14:textId="31D082B3" w:rsidR="00835927" w:rsidRPr="009A5185" w:rsidRDefault="00835927" w:rsidP="00835927">
            <w:pPr>
              <w:rPr>
                <w:rFonts w:cs="Arial"/>
                <w:b/>
                <w:bCs/>
              </w:rPr>
            </w:pPr>
            <w:r w:rsidRPr="009A5185">
              <w:rPr>
                <w:rFonts w:cs="Arial"/>
                <w:b/>
                <w:bCs/>
              </w:rPr>
              <w:t xml:space="preserve">Data Elements: </w:t>
            </w:r>
            <w:r w:rsidRPr="009A5185">
              <w:rPr>
                <w:rFonts w:cs="Arial"/>
                <w:bCs/>
              </w:rPr>
              <w:t>Visit</w:t>
            </w:r>
            <w:r w:rsidRPr="009A5185">
              <w:rPr>
                <w:rFonts w:cs="Arial"/>
                <w:b/>
                <w:bCs/>
              </w:rPr>
              <w:t xml:space="preserve"> </w:t>
            </w:r>
            <w:hyperlink r:id="rId303" w:history="1">
              <w:r w:rsidR="00A65720">
                <w:rPr>
                  <w:rStyle w:val="Hyperlink"/>
                  <w:rFonts w:cs="Arial"/>
                  <w:bCs/>
                </w:rPr>
                <w:t>https://manual.jointcommission.org/releases/TJC2026A1/MIF0167.html</w:t>
              </w:r>
            </w:hyperlink>
            <w:r w:rsidR="00A65720">
              <w:rPr>
                <w:rStyle w:val="Hyperlink"/>
                <w:rFonts w:cs="Arial"/>
                <w:bCs/>
              </w:rPr>
              <w:t xml:space="preserve">. </w:t>
            </w:r>
          </w:p>
        </w:tc>
      </w:tr>
    </w:tbl>
    <w:p w14:paraId="143F9BA8" w14:textId="3C20A408" w:rsidR="00E60C6C" w:rsidRDefault="00E60C6C">
      <w:pPr>
        <w:rPr>
          <w:b/>
          <w:i/>
          <w:snapToGrid w:val="0"/>
          <w:sz w:val="24"/>
          <w:szCs w:val="24"/>
          <w:lang w:eastAsia="ja-JP"/>
        </w:rPr>
      </w:pPr>
      <w:r>
        <w:br w:type="page"/>
      </w:r>
    </w:p>
    <w:p w14:paraId="138C41B4" w14:textId="3A328DC1" w:rsidR="006E50EF" w:rsidRPr="009A5185" w:rsidRDefault="006E50EF" w:rsidP="00AB5B80">
      <w:pPr>
        <w:pStyle w:val="Heading3"/>
      </w:pPr>
      <w:bookmarkStart w:id="352" w:name="_Episiotomy_2"/>
      <w:bookmarkStart w:id="353" w:name="_Ref123646984"/>
      <w:bookmarkStart w:id="354" w:name="_Toc225877742"/>
      <w:bookmarkEnd w:id="352"/>
      <w:r w:rsidRPr="009A5185">
        <w:t>Episiotomy</w:t>
      </w:r>
      <w:bookmarkEnd w:id="350"/>
      <w:bookmarkEnd w:id="353"/>
      <w:r w:rsidR="00B078B4">
        <w:t xml:space="preserve"> Measure Specifications</w:t>
      </w:r>
      <w:bookmarkEnd w:id="354"/>
    </w:p>
    <w:bookmarkEnd w:id="351"/>
    <w:p w14:paraId="06C1545C" w14:textId="77777777" w:rsidR="00512461" w:rsidRPr="009A5185" w:rsidRDefault="00512461" w:rsidP="00512461">
      <w:pPr>
        <w:rPr>
          <w:rFonts w:cs="Arial"/>
          <w:lang w:eastAsia="ja-JP"/>
        </w:rPr>
      </w:pPr>
    </w:p>
    <w:p w14:paraId="094C51A1" w14:textId="65A695FE" w:rsidR="006D1F2C" w:rsidRPr="009A5185" w:rsidRDefault="006D1F2C" w:rsidP="006D1F2C">
      <w:pPr>
        <w:rPr>
          <w:rFonts w:cs="Arial"/>
          <w:b/>
        </w:rPr>
      </w:pPr>
      <w:bookmarkStart w:id="355" w:name="_Toc383775047"/>
      <w:r w:rsidRPr="009A5185">
        <w:rPr>
          <w:rFonts w:cs="Arial"/>
          <w:b/>
          <w:color w:val="FF0000"/>
        </w:rPr>
        <w:t>Important Note:</w:t>
      </w:r>
      <w:r w:rsidRPr="009A5185">
        <w:rPr>
          <w:rFonts w:cs="Arial"/>
          <w:b/>
        </w:rPr>
        <w:t xml:space="preserve"> </w:t>
      </w:r>
      <w:r w:rsidRPr="009A5185">
        <w:rPr>
          <w:rFonts w:cs="Arial"/>
          <w:snapToGrid w:val="0"/>
        </w:rPr>
        <w:t xml:space="preserve">Hospitals that share a </w:t>
      </w:r>
      <w:r>
        <w:rPr>
          <w:rFonts w:cs="Arial"/>
          <w:snapToGrid w:val="0"/>
        </w:rPr>
        <w:t>CMS Certification Number</w:t>
      </w:r>
      <w:r w:rsidRPr="009A5185">
        <w:rPr>
          <w:rFonts w:cs="Arial"/>
          <w:snapToGrid w:val="0"/>
        </w:rPr>
        <w:t xml:space="preserve"> are required to report by facility. Please carefully review </w:t>
      </w:r>
      <w:hyperlink r:id="rId304" w:history="1">
        <w:r w:rsidRPr="009A5185">
          <w:rPr>
            <w:rStyle w:val="Hyperlink"/>
            <w:rFonts w:cs="Arial"/>
            <w:snapToGrid w:val="0"/>
          </w:rPr>
          <w:t>Leapfrog’s Multi-Campus Reporting Policy</w:t>
        </w:r>
      </w:hyperlink>
      <w:r w:rsidRPr="009A5185">
        <w:rPr>
          <w:rFonts w:cs="Arial"/>
          <w:snapToGrid w:val="0"/>
        </w:rPr>
        <w:t>.</w:t>
      </w:r>
    </w:p>
    <w:p w14:paraId="4FE44E00" w14:textId="77777777" w:rsidR="006D1F2C" w:rsidRPr="009A5185" w:rsidRDefault="006D1F2C" w:rsidP="006D1F2C">
      <w:pPr>
        <w:rPr>
          <w:rFonts w:cs="Arial"/>
        </w:rPr>
      </w:pPr>
    </w:p>
    <w:tbl>
      <w:tblPr>
        <w:tblW w:w="95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62"/>
      </w:tblGrid>
      <w:tr w:rsidR="006D1F2C" w:rsidRPr="009A5185" w14:paraId="5326E2C8" w14:textId="77777777">
        <w:trPr>
          <w:trHeight w:val="360"/>
          <w:jc w:val="center"/>
        </w:trPr>
        <w:tc>
          <w:tcPr>
            <w:tcW w:w="9562" w:type="dxa"/>
            <w:vAlign w:val="center"/>
          </w:tcPr>
          <w:p w14:paraId="04913EE7" w14:textId="77777777" w:rsidR="006D1F2C" w:rsidRPr="009A5185" w:rsidRDefault="006D1F2C">
            <w:pPr>
              <w:autoSpaceDE w:val="0"/>
              <w:autoSpaceDN w:val="0"/>
              <w:adjustRightInd w:val="0"/>
              <w:rPr>
                <w:rFonts w:cs="Arial"/>
                <w:b/>
              </w:rPr>
            </w:pPr>
            <w:r w:rsidRPr="009A5185">
              <w:rPr>
                <w:rFonts w:cs="Arial"/>
                <w:b/>
              </w:rPr>
              <w:t xml:space="preserve">Source: </w:t>
            </w:r>
            <w:r w:rsidRPr="009A5185">
              <w:rPr>
                <w:rFonts w:cs="Arial"/>
              </w:rPr>
              <w:t>National Quality Forum #0470</w:t>
            </w:r>
          </w:p>
        </w:tc>
      </w:tr>
      <w:tr w:rsidR="006D1F2C" w:rsidRPr="009A5185" w14:paraId="1966B001" w14:textId="77777777" w:rsidTr="00900F25">
        <w:trPr>
          <w:trHeight w:val="1296"/>
          <w:jc w:val="center"/>
        </w:trPr>
        <w:tc>
          <w:tcPr>
            <w:tcW w:w="9562" w:type="dxa"/>
            <w:vAlign w:val="center"/>
          </w:tcPr>
          <w:p w14:paraId="15D6FBB5" w14:textId="7F52280E" w:rsidR="006D1F2C" w:rsidRPr="009A5185" w:rsidRDefault="006D1F2C">
            <w:pPr>
              <w:rPr>
                <w:rFonts w:cs="Arial"/>
                <w:b/>
                <w:snapToGrid w:val="0"/>
              </w:rPr>
            </w:pPr>
            <w:r w:rsidRPr="009A5185">
              <w:rPr>
                <w:rFonts w:cs="Arial"/>
                <w:b/>
                <w:snapToGrid w:val="0"/>
              </w:rPr>
              <w:t>Reporting Period: 12 months</w:t>
            </w:r>
          </w:p>
          <w:p w14:paraId="73831B8D" w14:textId="77777777" w:rsidR="006D1F2C" w:rsidRDefault="006D1F2C" w:rsidP="00AD309C">
            <w:pPr>
              <w:pStyle w:val="ListParagraph"/>
              <w:numPr>
                <w:ilvl w:val="0"/>
                <w:numId w:val="49"/>
              </w:numPr>
              <w:rPr>
                <w:rFonts w:cs="Arial"/>
                <w:snapToGrid w:val="0"/>
              </w:rPr>
            </w:pPr>
            <w:r>
              <w:rPr>
                <w:rFonts w:cs="Arial"/>
                <w:snapToGrid w:val="0"/>
              </w:rPr>
              <w:t>Surveys submitted prior to September 1:</w:t>
            </w:r>
          </w:p>
          <w:p w14:paraId="07C4F766" w14:textId="48D43148" w:rsidR="006D1F2C" w:rsidRDefault="006D1F2C" w:rsidP="00AD309C">
            <w:pPr>
              <w:pStyle w:val="ListParagraph"/>
              <w:numPr>
                <w:ilvl w:val="1"/>
                <w:numId w:val="49"/>
              </w:numPr>
              <w:rPr>
                <w:rFonts w:cs="Arial"/>
                <w:snapToGrid w:val="0"/>
              </w:rPr>
            </w:pPr>
            <w:r w:rsidRPr="009A5185">
              <w:rPr>
                <w:rFonts w:cs="Arial"/>
                <w:snapToGrid w:val="0"/>
              </w:rPr>
              <w:t>01/01/</w:t>
            </w:r>
            <w:r>
              <w:rPr>
                <w:rFonts w:cs="Arial"/>
                <w:snapToGrid w:val="0"/>
              </w:rPr>
              <w:t>202</w:t>
            </w:r>
            <w:r w:rsidR="005A6CA4">
              <w:rPr>
                <w:rFonts w:cs="Arial"/>
                <w:snapToGrid w:val="0"/>
              </w:rPr>
              <w:t>5</w:t>
            </w:r>
            <w:r w:rsidRPr="009A5185">
              <w:rPr>
                <w:rFonts w:cs="Arial"/>
                <w:snapToGrid w:val="0"/>
              </w:rPr>
              <w:t xml:space="preserve"> </w:t>
            </w:r>
            <w:r w:rsidR="00B407CB">
              <w:rPr>
                <w:rFonts w:cs="Arial"/>
                <w:snapToGrid w:val="0"/>
              </w:rPr>
              <w:t>–</w:t>
            </w:r>
            <w:r w:rsidRPr="009A5185">
              <w:rPr>
                <w:rFonts w:cs="Arial"/>
                <w:snapToGrid w:val="0"/>
              </w:rPr>
              <w:t xml:space="preserve"> 12/31/</w:t>
            </w:r>
            <w:r>
              <w:rPr>
                <w:rFonts w:cs="Arial"/>
                <w:snapToGrid w:val="0"/>
              </w:rPr>
              <w:t>202</w:t>
            </w:r>
            <w:r w:rsidR="005A6CA4">
              <w:rPr>
                <w:rFonts w:cs="Arial"/>
                <w:snapToGrid w:val="0"/>
              </w:rPr>
              <w:t>5</w:t>
            </w:r>
          </w:p>
          <w:p w14:paraId="2A53AB3E" w14:textId="77777777" w:rsidR="006D1F2C" w:rsidRDefault="006D1F2C" w:rsidP="00AD309C">
            <w:pPr>
              <w:pStyle w:val="ListParagraph"/>
              <w:numPr>
                <w:ilvl w:val="0"/>
                <w:numId w:val="49"/>
              </w:numPr>
              <w:rPr>
                <w:rFonts w:cs="Arial"/>
                <w:snapToGrid w:val="0"/>
              </w:rPr>
            </w:pPr>
            <w:r w:rsidRPr="009A5185">
              <w:rPr>
                <w:rFonts w:cs="Arial"/>
                <w:snapToGrid w:val="0"/>
              </w:rPr>
              <w:t xml:space="preserve">Surveys (re)submitted on or after September 1: </w:t>
            </w:r>
          </w:p>
          <w:p w14:paraId="5D592F80" w14:textId="0E5D617A" w:rsidR="006D1F2C" w:rsidRPr="000C1F1D" w:rsidRDefault="006D1F2C" w:rsidP="00AD309C">
            <w:pPr>
              <w:pStyle w:val="ListParagraph"/>
              <w:numPr>
                <w:ilvl w:val="1"/>
                <w:numId w:val="49"/>
              </w:numPr>
              <w:rPr>
                <w:rFonts w:cs="Arial"/>
                <w:b/>
              </w:rPr>
            </w:pPr>
            <w:r w:rsidRPr="009A5185">
              <w:rPr>
                <w:rFonts w:cs="Arial"/>
                <w:snapToGrid w:val="0"/>
              </w:rPr>
              <w:t>07/01/</w:t>
            </w:r>
            <w:r>
              <w:rPr>
                <w:rFonts w:cs="Arial"/>
                <w:snapToGrid w:val="0"/>
              </w:rPr>
              <w:t>202</w:t>
            </w:r>
            <w:r w:rsidR="005A6CA4">
              <w:rPr>
                <w:rFonts w:cs="Arial"/>
                <w:snapToGrid w:val="0"/>
              </w:rPr>
              <w:t>5</w:t>
            </w:r>
            <w:r w:rsidRPr="009A5185">
              <w:rPr>
                <w:rFonts w:cs="Arial"/>
                <w:snapToGrid w:val="0"/>
              </w:rPr>
              <w:t xml:space="preserve"> </w:t>
            </w:r>
            <w:r w:rsidR="00B407CB">
              <w:rPr>
                <w:rFonts w:cs="Arial"/>
                <w:snapToGrid w:val="0"/>
              </w:rPr>
              <w:t>–</w:t>
            </w:r>
            <w:r w:rsidRPr="009A5185">
              <w:rPr>
                <w:rFonts w:cs="Arial"/>
                <w:snapToGrid w:val="0"/>
              </w:rPr>
              <w:t xml:space="preserve"> 06/30/</w:t>
            </w:r>
            <w:r>
              <w:rPr>
                <w:rFonts w:cs="Arial"/>
                <w:snapToGrid w:val="0"/>
              </w:rPr>
              <w:t>202</w:t>
            </w:r>
            <w:r w:rsidR="005A6CA4">
              <w:rPr>
                <w:rFonts w:cs="Arial"/>
                <w:snapToGrid w:val="0"/>
              </w:rPr>
              <w:t>6</w:t>
            </w:r>
          </w:p>
          <w:p w14:paraId="2A45B19F" w14:textId="77777777" w:rsidR="006E0696" w:rsidRDefault="006E0696" w:rsidP="006E0696">
            <w:pPr>
              <w:rPr>
                <w:rFonts w:cs="Arial"/>
                <w:bCs/>
              </w:rPr>
            </w:pPr>
          </w:p>
          <w:p w14:paraId="516B3896" w14:textId="4473D1D5" w:rsidR="006E0696" w:rsidRPr="000C1F1D" w:rsidRDefault="006E0696" w:rsidP="000C1F1D">
            <w:pPr>
              <w:rPr>
                <w:rFonts w:cs="Arial"/>
                <w:b/>
              </w:rPr>
            </w:pPr>
            <w:r>
              <w:rPr>
                <w:rFonts w:cs="Arial"/>
                <w:bCs/>
              </w:rPr>
              <w:t>Note: The discharge date must be used to determine whether a case falls within the reporting period specified.</w:t>
            </w:r>
          </w:p>
        </w:tc>
      </w:tr>
      <w:tr w:rsidR="006D1F2C" w:rsidRPr="009A5185" w14:paraId="337B5B32" w14:textId="77777777" w:rsidTr="00900F25">
        <w:trPr>
          <w:trHeight w:val="864"/>
          <w:jc w:val="center"/>
        </w:trPr>
        <w:tc>
          <w:tcPr>
            <w:tcW w:w="9562" w:type="dxa"/>
            <w:vAlign w:val="center"/>
          </w:tcPr>
          <w:p w14:paraId="6C91E141" w14:textId="05906140" w:rsidR="006D1F2C" w:rsidRPr="00C20B35" w:rsidRDefault="006D1F2C">
            <w:pPr>
              <w:rPr>
                <w:rFonts w:cs="Arial"/>
              </w:rPr>
            </w:pPr>
            <w:r>
              <w:rPr>
                <w:rFonts w:cs="Arial"/>
              </w:rPr>
              <w:t xml:space="preserve">Hospitals participating in the California Maternal Quality Care Collaborative (CMQCC) Maternal Data Center may use the data provided in CMQCC reports when responding to this subsection of the Survey. </w:t>
            </w:r>
            <w:r w:rsidRPr="009A5185">
              <w:rPr>
                <w:rFonts w:cs="Arial"/>
              </w:rPr>
              <w:t xml:space="preserve">Download instructions for using the </w:t>
            </w:r>
            <w:r>
              <w:rPr>
                <w:rFonts w:cs="Arial"/>
              </w:rPr>
              <w:t>CMQCC reports</w:t>
            </w:r>
            <w:r w:rsidRPr="009A5185">
              <w:rPr>
                <w:rFonts w:cs="Arial"/>
              </w:rPr>
              <w:t xml:space="preserve"> on the </w:t>
            </w:r>
            <w:hyperlink r:id="rId305" w:history="1">
              <w:r w:rsidRPr="009A5185">
                <w:rPr>
                  <w:rStyle w:val="Hyperlink"/>
                  <w:rFonts w:cs="Arial"/>
                </w:rPr>
                <w:t>Survey and CPOE Materials webpage</w:t>
              </w:r>
            </w:hyperlink>
            <w:r w:rsidRPr="009A5185">
              <w:rPr>
                <w:rFonts w:cs="Arial"/>
              </w:rPr>
              <w:t>.</w:t>
            </w:r>
          </w:p>
        </w:tc>
      </w:tr>
      <w:tr w:rsidR="006D1F2C" w:rsidRPr="009A5185" w14:paraId="47BE1384" w14:textId="77777777" w:rsidTr="00900F25">
        <w:trPr>
          <w:trHeight w:val="5184"/>
          <w:jc w:val="center"/>
        </w:trPr>
        <w:tc>
          <w:tcPr>
            <w:tcW w:w="9562" w:type="dxa"/>
            <w:vAlign w:val="center"/>
          </w:tcPr>
          <w:p w14:paraId="1E666C40" w14:textId="6E445819" w:rsidR="006D1F2C" w:rsidRPr="009A5185" w:rsidRDefault="006D1F2C">
            <w:pPr>
              <w:autoSpaceDE w:val="0"/>
              <w:autoSpaceDN w:val="0"/>
              <w:adjustRightInd w:val="0"/>
              <w:rPr>
                <w:rFonts w:cs="Arial"/>
              </w:rPr>
            </w:pPr>
            <w:bookmarkStart w:id="356" w:name="_Hlk59092914"/>
            <w:r w:rsidRPr="009A5185">
              <w:rPr>
                <w:rFonts w:cs="Arial"/>
                <w:b/>
                <w:bCs/>
              </w:rPr>
              <w:t xml:space="preserve">Question </w:t>
            </w:r>
            <w:r w:rsidR="00B407CB">
              <w:rPr>
                <w:rFonts w:cs="Arial"/>
                <w:b/>
                <w:bCs/>
              </w:rPr>
              <w:t>#</w:t>
            </w:r>
            <w:r w:rsidRPr="009A5185">
              <w:rPr>
                <w:rFonts w:cs="Arial"/>
                <w:b/>
                <w:bCs/>
              </w:rPr>
              <w:t xml:space="preserve">2 (denominator): </w:t>
            </w:r>
            <w:r w:rsidRPr="009A5185">
              <w:rPr>
                <w:rFonts w:cs="Arial"/>
              </w:rPr>
              <w:t>Total number of vaginal deliveries during the reporting period, with Excluded Populations removed.</w:t>
            </w:r>
          </w:p>
          <w:p w14:paraId="5A5399FB" w14:textId="77777777" w:rsidR="006D1F2C" w:rsidRPr="009A5185" w:rsidRDefault="006D1F2C">
            <w:pPr>
              <w:autoSpaceDE w:val="0"/>
              <w:autoSpaceDN w:val="0"/>
              <w:adjustRightInd w:val="0"/>
              <w:rPr>
                <w:rFonts w:cs="Arial"/>
              </w:rPr>
            </w:pPr>
          </w:p>
          <w:p w14:paraId="54471E01" w14:textId="77777777" w:rsidR="006D1F2C" w:rsidRPr="009A5185" w:rsidRDefault="006D1F2C">
            <w:pPr>
              <w:autoSpaceDE w:val="0"/>
              <w:autoSpaceDN w:val="0"/>
              <w:adjustRightInd w:val="0"/>
              <w:rPr>
                <w:rFonts w:cs="Arial"/>
              </w:rPr>
            </w:pPr>
            <w:r w:rsidRPr="009A5185">
              <w:rPr>
                <w:rFonts w:cs="Arial"/>
              </w:rPr>
              <w:t>For the purposes of this measure, use the following MS-DRGs to identify a vaginal delivery:</w:t>
            </w:r>
          </w:p>
          <w:p w14:paraId="4756F4D0" w14:textId="77777777" w:rsidR="006D1F2C" w:rsidRPr="00110672" w:rsidRDefault="006D1F2C" w:rsidP="00AD309C">
            <w:pPr>
              <w:pStyle w:val="ListParagraph"/>
              <w:numPr>
                <w:ilvl w:val="0"/>
                <w:numId w:val="47"/>
              </w:numPr>
              <w:autoSpaceDE w:val="0"/>
              <w:autoSpaceDN w:val="0"/>
              <w:adjustRightInd w:val="0"/>
              <w:rPr>
                <w:rFonts w:cs="Arial"/>
              </w:rPr>
            </w:pPr>
            <w:r w:rsidRPr="00110672">
              <w:rPr>
                <w:rFonts w:cs="Arial"/>
              </w:rPr>
              <w:t>768: Vaginal delivery with O.R. procedure except sterilization and/or D&amp;C</w:t>
            </w:r>
          </w:p>
          <w:p w14:paraId="6DFAB157" w14:textId="77777777" w:rsidR="006D1F2C" w:rsidRPr="00110672" w:rsidRDefault="006D1F2C" w:rsidP="00AD309C">
            <w:pPr>
              <w:pStyle w:val="ListParagraph"/>
              <w:numPr>
                <w:ilvl w:val="0"/>
                <w:numId w:val="47"/>
              </w:numPr>
              <w:autoSpaceDE w:val="0"/>
              <w:autoSpaceDN w:val="0"/>
              <w:adjustRightInd w:val="0"/>
              <w:rPr>
                <w:rFonts w:cs="Arial"/>
              </w:rPr>
            </w:pPr>
            <w:r w:rsidRPr="00110672">
              <w:rPr>
                <w:rFonts w:cs="Arial"/>
              </w:rPr>
              <w:t>796: Vaginal delivery with sterilization/D&amp;C with MCC</w:t>
            </w:r>
          </w:p>
          <w:p w14:paraId="45725862" w14:textId="77777777" w:rsidR="006D1F2C" w:rsidRPr="00110672" w:rsidRDefault="006D1F2C" w:rsidP="00AD309C">
            <w:pPr>
              <w:pStyle w:val="ListParagraph"/>
              <w:numPr>
                <w:ilvl w:val="0"/>
                <w:numId w:val="47"/>
              </w:numPr>
              <w:autoSpaceDE w:val="0"/>
              <w:autoSpaceDN w:val="0"/>
              <w:adjustRightInd w:val="0"/>
              <w:rPr>
                <w:rFonts w:cs="Arial"/>
              </w:rPr>
            </w:pPr>
            <w:r w:rsidRPr="00110672">
              <w:rPr>
                <w:rFonts w:cs="Arial"/>
              </w:rPr>
              <w:t>797: Vaginal delivery with sterilization/D&amp;C with CC</w:t>
            </w:r>
          </w:p>
          <w:p w14:paraId="4EB57228" w14:textId="77777777" w:rsidR="006D1F2C" w:rsidRPr="00110672" w:rsidRDefault="006D1F2C" w:rsidP="00AD309C">
            <w:pPr>
              <w:pStyle w:val="ListParagraph"/>
              <w:numPr>
                <w:ilvl w:val="0"/>
                <w:numId w:val="47"/>
              </w:numPr>
              <w:autoSpaceDE w:val="0"/>
              <w:autoSpaceDN w:val="0"/>
              <w:adjustRightInd w:val="0"/>
              <w:rPr>
                <w:rFonts w:cs="Arial"/>
              </w:rPr>
            </w:pPr>
            <w:r w:rsidRPr="00110672">
              <w:rPr>
                <w:rFonts w:cs="Arial"/>
              </w:rPr>
              <w:t>798: Vaginal delivery with sterilization/D&amp;C without CC/MCC</w:t>
            </w:r>
          </w:p>
          <w:p w14:paraId="21E9381B" w14:textId="77777777" w:rsidR="006D1F2C" w:rsidRPr="00110672" w:rsidRDefault="006D1F2C" w:rsidP="00AD309C">
            <w:pPr>
              <w:pStyle w:val="ListParagraph"/>
              <w:numPr>
                <w:ilvl w:val="0"/>
                <w:numId w:val="47"/>
              </w:numPr>
              <w:autoSpaceDE w:val="0"/>
              <w:autoSpaceDN w:val="0"/>
              <w:adjustRightInd w:val="0"/>
              <w:rPr>
                <w:rFonts w:cs="Arial"/>
              </w:rPr>
            </w:pPr>
            <w:r w:rsidRPr="00110672">
              <w:rPr>
                <w:rFonts w:cs="Arial"/>
              </w:rPr>
              <w:t>805: Vaginal delivery without sterilization/D&amp;C with MCC</w:t>
            </w:r>
          </w:p>
          <w:p w14:paraId="0B1A39E8" w14:textId="77777777" w:rsidR="006D1F2C" w:rsidRPr="00110672" w:rsidRDefault="006D1F2C" w:rsidP="00AD309C">
            <w:pPr>
              <w:pStyle w:val="ListParagraph"/>
              <w:numPr>
                <w:ilvl w:val="0"/>
                <w:numId w:val="47"/>
              </w:numPr>
              <w:autoSpaceDE w:val="0"/>
              <w:autoSpaceDN w:val="0"/>
              <w:adjustRightInd w:val="0"/>
              <w:rPr>
                <w:rFonts w:cs="Arial"/>
              </w:rPr>
            </w:pPr>
            <w:r w:rsidRPr="00110672">
              <w:rPr>
                <w:rFonts w:cs="Arial"/>
              </w:rPr>
              <w:t xml:space="preserve">806: </w:t>
            </w:r>
            <w:bookmarkStart w:id="357" w:name="_Hlk58324596"/>
            <w:r w:rsidRPr="00110672">
              <w:rPr>
                <w:rFonts w:cs="Arial"/>
              </w:rPr>
              <w:t>Vaginal delivery without sterilization/D&amp;C with CC</w:t>
            </w:r>
            <w:bookmarkEnd w:id="357"/>
          </w:p>
          <w:p w14:paraId="082C2172" w14:textId="77777777" w:rsidR="006D1F2C" w:rsidRPr="00110672" w:rsidRDefault="006D1F2C" w:rsidP="00AD309C">
            <w:pPr>
              <w:pStyle w:val="ListParagraph"/>
              <w:numPr>
                <w:ilvl w:val="0"/>
                <w:numId w:val="47"/>
              </w:numPr>
              <w:autoSpaceDE w:val="0"/>
              <w:autoSpaceDN w:val="0"/>
              <w:adjustRightInd w:val="0"/>
              <w:rPr>
                <w:rFonts w:cs="Arial"/>
              </w:rPr>
            </w:pPr>
            <w:r w:rsidRPr="00110672">
              <w:rPr>
                <w:rFonts w:cs="Arial"/>
              </w:rPr>
              <w:t>807: Vaginal delivery without sterilization/D&amp;C without CC/MCC</w:t>
            </w:r>
          </w:p>
          <w:p w14:paraId="200BD3AE" w14:textId="77777777" w:rsidR="006D1F2C" w:rsidRDefault="006D1F2C">
            <w:pPr>
              <w:autoSpaceDE w:val="0"/>
              <w:autoSpaceDN w:val="0"/>
              <w:adjustRightInd w:val="0"/>
              <w:rPr>
                <w:rFonts w:cs="Arial"/>
              </w:rPr>
            </w:pPr>
          </w:p>
          <w:p w14:paraId="00C475B5" w14:textId="77777777" w:rsidR="006D1F2C" w:rsidRDefault="006D1F2C">
            <w:pPr>
              <w:autoSpaceDE w:val="0"/>
              <w:autoSpaceDN w:val="0"/>
              <w:adjustRightInd w:val="0"/>
              <w:rPr>
                <w:rFonts w:cs="Arial"/>
              </w:rPr>
            </w:pPr>
            <w:r>
              <w:rPr>
                <w:rFonts w:cs="Arial"/>
              </w:rPr>
              <w:t>The following APR-DRGs should also be used to identify a vaginal delivery if your hospital uses APR-DRG coding:</w:t>
            </w:r>
          </w:p>
          <w:p w14:paraId="0BE45CC6" w14:textId="77777777" w:rsidR="006D1F2C" w:rsidRDefault="006D1F2C" w:rsidP="00AD309C">
            <w:pPr>
              <w:pStyle w:val="ListParagraph"/>
              <w:numPr>
                <w:ilvl w:val="0"/>
                <w:numId w:val="83"/>
              </w:numPr>
              <w:autoSpaceDE w:val="0"/>
              <w:autoSpaceDN w:val="0"/>
              <w:adjustRightInd w:val="0"/>
              <w:rPr>
                <w:rFonts w:cs="Arial"/>
              </w:rPr>
            </w:pPr>
            <w:r w:rsidRPr="006E1DA1">
              <w:rPr>
                <w:rFonts w:cs="Arial"/>
              </w:rPr>
              <w:t>541</w:t>
            </w:r>
            <w:r>
              <w:rPr>
                <w:rFonts w:cs="Arial"/>
              </w:rPr>
              <w:t>: Vaginal delivery with sterilization and</w:t>
            </w:r>
            <w:r w:rsidRPr="006E1DA1">
              <w:rPr>
                <w:rFonts w:cs="Arial"/>
              </w:rPr>
              <w:t>/or D&amp;C</w:t>
            </w:r>
          </w:p>
          <w:p w14:paraId="52C7DE5D" w14:textId="77777777" w:rsidR="006D1F2C" w:rsidRDefault="006D1F2C" w:rsidP="00AD309C">
            <w:pPr>
              <w:pStyle w:val="ListParagraph"/>
              <w:numPr>
                <w:ilvl w:val="0"/>
                <w:numId w:val="83"/>
              </w:numPr>
              <w:autoSpaceDE w:val="0"/>
              <w:autoSpaceDN w:val="0"/>
              <w:adjustRightInd w:val="0"/>
              <w:rPr>
                <w:rFonts w:cs="Arial"/>
              </w:rPr>
            </w:pPr>
            <w:r w:rsidRPr="006E1DA1">
              <w:rPr>
                <w:rFonts w:cs="Arial"/>
              </w:rPr>
              <w:t>542</w:t>
            </w:r>
            <w:r>
              <w:rPr>
                <w:rFonts w:cs="Arial"/>
              </w:rPr>
              <w:t>: Vaginal delivery with complicating procedures excluding sterilization and</w:t>
            </w:r>
            <w:r w:rsidRPr="006E1DA1">
              <w:rPr>
                <w:rFonts w:cs="Arial"/>
              </w:rPr>
              <w:t>/or D&amp;C</w:t>
            </w:r>
          </w:p>
          <w:p w14:paraId="58AA713C" w14:textId="77777777" w:rsidR="006D1F2C" w:rsidRDefault="006D1F2C" w:rsidP="00AD309C">
            <w:pPr>
              <w:pStyle w:val="ListParagraph"/>
              <w:numPr>
                <w:ilvl w:val="0"/>
                <w:numId w:val="83"/>
              </w:numPr>
              <w:autoSpaceDE w:val="0"/>
              <w:autoSpaceDN w:val="0"/>
              <w:adjustRightInd w:val="0"/>
              <w:rPr>
                <w:rFonts w:cs="Arial"/>
              </w:rPr>
            </w:pPr>
            <w:r>
              <w:rPr>
                <w:rFonts w:cs="Arial"/>
              </w:rPr>
              <w:t>560: Vaginal delivery</w:t>
            </w:r>
          </w:p>
          <w:p w14:paraId="185D4D60" w14:textId="77777777" w:rsidR="0042410A" w:rsidRDefault="0042410A" w:rsidP="0042410A">
            <w:pPr>
              <w:autoSpaceDE w:val="0"/>
              <w:autoSpaceDN w:val="0"/>
              <w:adjustRightInd w:val="0"/>
              <w:rPr>
                <w:rFonts w:cs="Arial"/>
              </w:rPr>
            </w:pPr>
          </w:p>
          <w:p w14:paraId="23FE28D7" w14:textId="34F179D7" w:rsidR="0042410A" w:rsidRPr="002C718A" w:rsidRDefault="0042410A" w:rsidP="0042410A">
            <w:pPr>
              <w:autoSpaceDE w:val="0"/>
              <w:autoSpaceDN w:val="0"/>
              <w:adjustRightInd w:val="0"/>
              <w:rPr>
                <w:rFonts w:cs="Arial"/>
              </w:rPr>
            </w:pPr>
            <w:r w:rsidRPr="002C718A">
              <w:rPr>
                <w:rFonts w:cs="Arial"/>
              </w:rPr>
              <w:t xml:space="preserve">The following </w:t>
            </w:r>
            <w:r w:rsidR="00997997" w:rsidRPr="002C718A">
              <w:rPr>
                <w:rFonts w:cs="Arial"/>
              </w:rPr>
              <w:t>Tricare DRGs should also be used to identify a vaginal delivery if your hospitals uses Tricare DRG coding:</w:t>
            </w:r>
          </w:p>
          <w:p w14:paraId="236257C0" w14:textId="5724D188" w:rsidR="00997997" w:rsidRPr="002C718A" w:rsidRDefault="00997997" w:rsidP="00AD309C">
            <w:pPr>
              <w:pStyle w:val="ListParagraph"/>
              <w:numPr>
                <w:ilvl w:val="0"/>
                <w:numId w:val="224"/>
              </w:numPr>
              <w:autoSpaceDE w:val="0"/>
              <w:autoSpaceDN w:val="0"/>
              <w:adjustRightInd w:val="0"/>
              <w:rPr>
                <w:rFonts w:cs="Arial"/>
              </w:rPr>
            </w:pPr>
            <w:r w:rsidRPr="002C718A">
              <w:rPr>
                <w:rFonts w:cs="Arial"/>
              </w:rPr>
              <w:t xml:space="preserve">762 Vaginal delivery with sterilization or </w:t>
            </w:r>
            <w:r w:rsidR="003A09DE" w:rsidRPr="002C718A">
              <w:rPr>
                <w:rFonts w:cs="Arial"/>
              </w:rPr>
              <w:t xml:space="preserve">D&amp;C </w:t>
            </w:r>
            <w:r w:rsidRPr="002C718A">
              <w:rPr>
                <w:rFonts w:cs="Arial"/>
              </w:rPr>
              <w:t xml:space="preserve">with </w:t>
            </w:r>
            <w:r w:rsidR="003A09DE" w:rsidRPr="002C718A">
              <w:rPr>
                <w:rFonts w:cs="Arial"/>
              </w:rPr>
              <w:t>MCC</w:t>
            </w:r>
          </w:p>
          <w:p w14:paraId="0ECD3413" w14:textId="1B34883A" w:rsidR="00997997" w:rsidRPr="002C718A" w:rsidRDefault="00997997" w:rsidP="00AD309C">
            <w:pPr>
              <w:pStyle w:val="ListParagraph"/>
              <w:numPr>
                <w:ilvl w:val="0"/>
                <w:numId w:val="224"/>
              </w:numPr>
              <w:autoSpaceDE w:val="0"/>
              <w:autoSpaceDN w:val="0"/>
              <w:adjustRightInd w:val="0"/>
              <w:rPr>
                <w:rFonts w:cs="Arial"/>
              </w:rPr>
            </w:pPr>
            <w:r w:rsidRPr="002C718A">
              <w:rPr>
                <w:rFonts w:cs="Arial"/>
              </w:rPr>
              <w:t xml:space="preserve">763 Vaginal delivery with sterilization or </w:t>
            </w:r>
            <w:r w:rsidR="003A09DE" w:rsidRPr="002C718A">
              <w:rPr>
                <w:rFonts w:cs="Arial"/>
              </w:rPr>
              <w:t xml:space="preserve">D&amp;C </w:t>
            </w:r>
            <w:r w:rsidRPr="002C718A">
              <w:rPr>
                <w:rFonts w:cs="Arial"/>
              </w:rPr>
              <w:t xml:space="preserve">with </w:t>
            </w:r>
            <w:r w:rsidR="003A09DE" w:rsidRPr="002C718A">
              <w:rPr>
                <w:rFonts w:cs="Arial"/>
              </w:rPr>
              <w:t>CC</w:t>
            </w:r>
          </w:p>
          <w:p w14:paraId="715386C7" w14:textId="4E182226" w:rsidR="00997997" w:rsidRPr="002C718A" w:rsidRDefault="00997997" w:rsidP="00AD309C">
            <w:pPr>
              <w:pStyle w:val="ListParagraph"/>
              <w:numPr>
                <w:ilvl w:val="0"/>
                <w:numId w:val="224"/>
              </w:numPr>
              <w:autoSpaceDE w:val="0"/>
              <w:autoSpaceDN w:val="0"/>
              <w:adjustRightInd w:val="0"/>
              <w:rPr>
                <w:rFonts w:cs="Arial"/>
              </w:rPr>
            </w:pPr>
            <w:r w:rsidRPr="002C718A">
              <w:rPr>
                <w:rFonts w:cs="Arial"/>
              </w:rPr>
              <w:t xml:space="preserve">764 Vaginal delivery with sterilization or </w:t>
            </w:r>
            <w:r w:rsidR="003A09DE" w:rsidRPr="002C718A">
              <w:rPr>
                <w:rFonts w:cs="Arial"/>
              </w:rPr>
              <w:t xml:space="preserve">D&amp;C </w:t>
            </w:r>
            <w:r w:rsidRPr="002C718A">
              <w:rPr>
                <w:rFonts w:cs="Arial"/>
              </w:rPr>
              <w:t xml:space="preserve">without </w:t>
            </w:r>
            <w:r w:rsidR="003A09DE" w:rsidRPr="002C718A">
              <w:rPr>
                <w:rFonts w:cs="Arial"/>
              </w:rPr>
              <w:t>CC/MCC</w:t>
            </w:r>
          </w:p>
          <w:p w14:paraId="2C66843E" w14:textId="36951DB7" w:rsidR="00997997" w:rsidRPr="002C718A" w:rsidRDefault="00997997" w:rsidP="00AD309C">
            <w:pPr>
              <w:pStyle w:val="ListParagraph"/>
              <w:numPr>
                <w:ilvl w:val="0"/>
                <w:numId w:val="224"/>
              </w:numPr>
              <w:autoSpaceDE w:val="0"/>
              <w:autoSpaceDN w:val="0"/>
              <w:adjustRightInd w:val="0"/>
              <w:rPr>
                <w:rFonts w:cs="Arial"/>
              </w:rPr>
            </w:pPr>
            <w:r w:rsidRPr="002C718A">
              <w:rPr>
                <w:rFonts w:cs="Arial"/>
              </w:rPr>
              <w:t xml:space="preserve">768 Vaginal delivery with </w:t>
            </w:r>
            <w:r w:rsidR="003A09DE" w:rsidRPr="002C718A">
              <w:rPr>
                <w:rFonts w:cs="Arial"/>
              </w:rPr>
              <w:t>O.R</w:t>
            </w:r>
            <w:r w:rsidRPr="002C718A">
              <w:rPr>
                <w:rFonts w:cs="Arial"/>
              </w:rPr>
              <w:t xml:space="preserve">. procedure except sterilization and/or </w:t>
            </w:r>
            <w:r w:rsidR="003A09DE" w:rsidRPr="002C718A">
              <w:rPr>
                <w:rFonts w:cs="Arial"/>
              </w:rPr>
              <w:t>D&amp;C</w:t>
            </w:r>
          </w:p>
          <w:p w14:paraId="73EC136A" w14:textId="1901B9EC" w:rsidR="00997997" w:rsidRPr="002C718A" w:rsidRDefault="00997997" w:rsidP="00AD309C">
            <w:pPr>
              <w:pStyle w:val="ListParagraph"/>
              <w:numPr>
                <w:ilvl w:val="0"/>
                <w:numId w:val="224"/>
              </w:numPr>
              <w:autoSpaceDE w:val="0"/>
              <w:autoSpaceDN w:val="0"/>
              <w:adjustRightInd w:val="0"/>
              <w:rPr>
                <w:rFonts w:cs="Arial"/>
              </w:rPr>
            </w:pPr>
            <w:r w:rsidRPr="002C718A">
              <w:rPr>
                <w:rFonts w:cs="Arial"/>
              </w:rPr>
              <w:t>805 Vaginal delivery without sterilization</w:t>
            </w:r>
            <w:r w:rsidR="003A09DE" w:rsidRPr="002C718A">
              <w:rPr>
                <w:rFonts w:cs="Arial"/>
              </w:rPr>
              <w:t xml:space="preserve"> or D&amp;C </w:t>
            </w:r>
            <w:r w:rsidRPr="002C718A">
              <w:rPr>
                <w:rFonts w:cs="Arial"/>
              </w:rPr>
              <w:t xml:space="preserve">with </w:t>
            </w:r>
            <w:r w:rsidR="003A09DE" w:rsidRPr="002C718A">
              <w:rPr>
                <w:rFonts w:cs="Arial"/>
              </w:rPr>
              <w:t>MCC</w:t>
            </w:r>
          </w:p>
          <w:p w14:paraId="42B1C1FE" w14:textId="4C443710" w:rsidR="00997997" w:rsidRPr="002C718A" w:rsidRDefault="00997997" w:rsidP="00AD309C">
            <w:pPr>
              <w:pStyle w:val="ListParagraph"/>
              <w:numPr>
                <w:ilvl w:val="0"/>
                <w:numId w:val="224"/>
              </w:numPr>
              <w:autoSpaceDE w:val="0"/>
              <w:autoSpaceDN w:val="0"/>
              <w:adjustRightInd w:val="0"/>
              <w:rPr>
                <w:rFonts w:cs="Arial"/>
              </w:rPr>
            </w:pPr>
            <w:r w:rsidRPr="002C718A">
              <w:rPr>
                <w:rFonts w:cs="Arial"/>
              </w:rPr>
              <w:t xml:space="preserve">806 Vaginal delivery without sterilization or </w:t>
            </w:r>
            <w:r w:rsidR="003A09DE" w:rsidRPr="002C718A">
              <w:rPr>
                <w:rFonts w:cs="Arial"/>
              </w:rPr>
              <w:t xml:space="preserve">D&amp;C </w:t>
            </w:r>
            <w:r w:rsidRPr="002C718A">
              <w:rPr>
                <w:rFonts w:cs="Arial"/>
              </w:rPr>
              <w:t xml:space="preserve">with </w:t>
            </w:r>
            <w:r w:rsidR="003A09DE" w:rsidRPr="002C718A">
              <w:rPr>
                <w:rFonts w:cs="Arial"/>
              </w:rPr>
              <w:t>CC</w:t>
            </w:r>
          </w:p>
          <w:p w14:paraId="0D109B2A" w14:textId="5D9E9C7D" w:rsidR="00997997" w:rsidRPr="002C718A" w:rsidRDefault="00997997" w:rsidP="00AD309C">
            <w:pPr>
              <w:pStyle w:val="ListParagraph"/>
              <w:numPr>
                <w:ilvl w:val="0"/>
                <w:numId w:val="224"/>
              </w:numPr>
              <w:autoSpaceDE w:val="0"/>
              <w:autoSpaceDN w:val="0"/>
              <w:adjustRightInd w:val="0"/>
              <w:rPr>
                <w:rFonts w:cs="Arial"/>
              </w:rPr>
            </w:pPr>
            <w:r w:rsidRPr="002C718A">
              <w:rPr>
                <w:rFonts w:cs="Arial"/>
              </w:rPr>
              <w:t xml:space="preserve">807 Vaginal delivery without sterilization or </w:t>
            </w:r>
            <w:r w:rsidR="003A09DE" w:rsidRPr="002C718A">
              <w:rPr>
                <w:rFonts w:cs="Arial"/>
              </w:rPr>
              <w:t xml:space="preserve">D&amp;C </w:t>
            </w:r>
            <w:r w:rsidRPr="002C718A">
              <w:rPr>
                <w:rFonts w:cs="Arial"/>
              </w:rPr>
              <w:t xml:space="preserve">without </w:t>
            </w:r>
            <w:r w:rsidR="003A09DE" w:rsidRPr="002C718A">
              <w:rPr>
                <w:rFonts w:cs="Arial"/>
              </w:rPr>
              <w:t>CC/MCC</w:t>
            </w:r>
          </w:p>
          <w:p w14:paraId="1DC6EC0E" w14:textId="77777777" w:rsidR="006D1F2C" w:rsidRPr="009A5185" w:rsidRDefault="006D1F2C">
            <w:pPr>
              <w:pStyle w:val="ListParagraph"/>
              <w:autoSpaceDE w:val="0"/>
              <w:autoSpaceDN w:val="0"/>
              <w:adjustRightInd w:val="0"/>
              <w:rPr>
                <w:rFonts w:cs="Arial"/>
              </w:rPr>
            </w:pPr>
          </w:p>
          <w:p w14:paraId="735AA615" w14:textId="77777777" w:rsidR="006D1F2C" w:rsidRPr="009A5185" w:rsidRDefault="006D1F2C">
            <w:pPr>
              <w:autoSpaceDE w:val="0"/>
              <w:autoSpaceDN w:val="0"/>
              <w:adjustRightInd w:val="0"/>
              <w:rPr>
                <w:rFonts w:cs="Arial"/>
                <w:b/>
                <w:bCs/>
              </w:rPr>
            </w:pPr>
            <w:r w:rsidRPr="009A5185">
              <w:rPr>
                <w:rFonts w:cs="Arial"/>
                <w:b/>
                <w:bCs/>
              </w:rPr>
              <w:t>Excluded Populations:</w:t>
            </w:r>
          </w:p>
          <w:p w14:paraId="77A25B07" w14:textId="77777777" w:rsidR="006D1F2C" w:rsidRPr="009A5185" w:rsidRDefault="006D1F2C">
            <w:pPr>
              <w:autoSpaceDE w:val="0"/>
              <w:autoSpaceDN w:val="0"/>
              <w:adjustRightInd w:val="0"/>
              <w:rPr>
                <w:rFonts w:cs="Arial"/>
              </w:rPr>
            </w:pPr>
            <w:r w:rsidRPr="009A5185">
              <w:rPr>
                <w:rFonts w:cs="Arial"/>
              </w:rPr>
              <w:t>Exclude any cases with the following ICD-10-CM diagnostic code in a</w:t>
            </w:r>
            <w:r>
              <w:rPr>
                <w:rFonts w:cs="Arial"/>
              </w:rPr>
              <w:t xml:space="preserve">ny </w:t>
            </w:r>
            <w:r w:rsidRPr="009A5185">
              <w:rPr>
                <w:rFonts w:cs="Arial"/>
              </w:rPr>
              <w:t>field:</w:t>
            </w:r>
          </w:p>
          <w:p w14:paraId="33C5D661" w14:textId="721A27A2" w:rsidR="006D1F2C" w:rsidRPr="00B407CB" w:rsidRDefault="006D1F2C" w:rsidP="00AD309C">
            <w:pPr>
              <w:pStyle w:val="ListParagraph"/>
              <w:numPr>
                <w:ilvl w:val="0"/>
                <w:numId w:val="48"/>
              </w:numPr>
              <w:autoSpaceDE w:val="0"/>
              <w:autoSpaceDN w:val="0"/>
              <w:adjustRightInd w:val="0"/>
              <w:spacing w:line="276" w:lineRule="auto"/>
              <w:rPr>
                <w:rFonts w:cs="Arial"/>
              </w:rPr>
            </w:pPr>
            <w:r w:rsidRPr="009A5185">
              <w:rPr>
                <w:rFonts w:cs="Arial"/>
              </w:rPr>
              <w:t>O66.0: Obstructed labor due to shoulder dystocia</w:t>
            </w:r>
            <w:bookmarkEnd w:id="356"/>
          </w:p>
        </w:tc>
      </w:tr>
      <w:tr w:rsidR="006D1F2C" w:rsidRPr="009A5185" w14:paraId="41FCA73E" w14:textId="77777777" w:rsidTr="00900F25">
        <w:trPr>
          <w:trHeight w:val="1584"/>
          <w:jc w:val="center"/>
        </w:trPr>
        <w:tc>
          <w:tcPr>
            <w:tcW w:w="9562" w:type="dxa"/>
            <w:vAlign w:val="center"/>
          </w:tcPr>
          <w:p w14:paraId="61FF8558" w14:textId="61891462" w:rsidR="006D1F2C" w:rsidRPr="009A5185" w:rsidRDefault="006D1F2C">
            <w:pPr>
              <w:rPr>
                <w:rFonts w:cs="Arial"/>
                <w:b/>
                <w:bCs/>
              </w:rPr>
            </w:pPr>
            <w:r w:rsidRPr="009A5185">
              <w:rPr>
                <w:rFonts w:cs="Arial"/>
                <w:b/>
                <w:bCs/>
              </w:rPr>
              <w:t xml:space="preserve">Question </w:t>
            </w:r>
            <w:r w:rsidR="00B407CB">
              <w:rPr>
                <w:rFonts w:cs="Arial"/>
                <w:b/>
                <w:bCs/>
              </w:rPr>
              <w:t>#</w:t>
            </w:r>
            <w:r w:rsidRPr="009A5185">
              <w:rPr>
                <w:rFonts w:cs="Arial"/>
                <w:b/>
                <w:bCs/>
              </w:rPr>
              <w:t xml:space="preserve">3 (numerator): </w:t>
            </w:r>
            <w:r w:rsidRPr="009A5185">
              <w:rPr>
                <w:rFonts w:cs="Arial"/>
              </w:rPr>
              <w:t xml:space="preserve">Total number of mothers included in question #2 (the denominator) that had an episiotomy procedure performed. </w:t>
            </w:r>
          </w:p>
          <w:p w14:paraId="22AB6B5E" w14:textId="77777777" w:rsidR="006D1F2C" w:rsidRPr="009A5185" w:rsidRDefault="006D1F2C">
            <w:pPr>
              <w:rPr>
                <w:rFonts w:cs="Arial"/>
              </w:rPr>
            </w:pPr>
          </w:p>
          <w:p w14:paraId="2542CC4B" w14:textId="77777777" w:rsidR="006D1F2C" w:rsidRPr="009A5185" w:rsidRDefault="006D1F2C">
            <w:pPr>
              <w:rPr>
                <w:rFonts w:cs="Arial"/>
              </w:rPr>
            </w:pPr>
            <w:r w:rsidRPr="009A5185">
              <w:rPr>
                <w:rFonts w:cs="Arial"/>
              </w:rPr>
              <w:t>For the purposes of this measure, the following ICD-10-PCS procedure codes should be used for identifying an episiotomy:</w:t>
            </w:r>
          </w:p>
          <w:p w14:paraId="47F5F674" w14:textId="5BC4FB92" w:rsidR="006D1F2C" w:rsidRPr="00F0772B" w:rsidRDefault="006D1F2C" w:rsidP="00AD309C">
            <w:pPr>
              <w:pStyle w:val="ListParagraph"/>
              <w:numPr>
                <w:ilvl w:val="0"/>
                <w:numId w:val="48"/>
              </w:numPr>
              <w:spacing w:line="276" w:lineRule="auto"/>
              <w:rPr>
                <w:rFonts w:cs="Arial"/>
                <w:b/>
                <w:bCs/>
              </w:rPr>
            </w:pPr>
            <w:r w:rsidRPr="009A5185">
              <w:rPr>
                <w:rFonts w:cs="Arial"/>
              </w:rPr>
              <w:t>0W8NXZZ: Division of female perineum, external approach</w:t>
            </w:r>
          </w:p>
        </w:tc>
      </w:tr>
    </w:tbl>
    <w:p w14:paraId="207E9747" w14:textId="52336768" w:rsidR="006E50EF" w:rsidRPr="009A5185" w:rsidRDefault="00B407CB" w:rsidP="00AB5B80">
      <w:pPr>
        <w:pStyle w:val="Heading3"/>
      </w:pPr>
      <w:bookmarkStart w:id="358" w:name="_Maternity_Care_Process"/>
      <w:bookmarkStart w:id="359" w:name="_Process_Measures_of"/>
      <w:bookmarkStart w:id="360" w:name="_Ref123647007"/>
      <w:bookmarkStart w:id="361" w:name="_Toc225877743"/>
      <w:bookmarkStart w:id="362" w:name="MatProcessSpecs"/>
      <w:bookmarkEnd w:id="355"/>
      <w:bookmarkEnd w:id="358"/>
      <w:bookmarkEnd w:id="359"/>
      <w:r>
        <w:t>Process Measures of Quality</w:t>
      </w:r>
      <w:bookmarkEnd w:id="360"/>
      <w:r w:rsidR="00B078B4">
        <w:t xml:space="preserve"> Measure Specifications</w:t>
      </w:r>
      <w:bookmarkEnd w:id="361"/>
    </w:p>
    <w:bookmarkEnd w:id="362"/>
    <w:p w14:paraId="337E5303" w14:textId="77777777" w:rsidR="00C33725" w:rsidRPr="009A5185" w:rsidRDefault="00C33725" w:rsidP="00786A7D">
      <w:pPr>
        <w:rPr>
          <w:rFonts w:cs="Arial"/>
          <w:b/>
          <w:color w:val="FF0000"/>
          <w:lang w:eastAsia="ja-JP"/>
        </w:rPr>
      </w:pPr>
    </w:p>
    <w:p w14:paraId="51258403" w14:textId="77777777" w:rsidR="0035204D" w:rsidRPr="009A5185" w:rsidRDefault="0035204D" w:rsidP="0035204D">
      <w:pPr>
        <w:rPr>
          <w:rFonts w:cs="Arial"/>
          <w:b/>
          <w:color w:val="FF0000"/>
          <w:lang w:eastAsia="ja-JP"/>
        </w:rPr>
      </w:pPr>
      <w:bookmarkStart w:id="363" w:name="_High-Risk_Deliveries_Measure"/>
      <w:bookmarkStart w:id="364" w:name="_Toc233710592"/>
      <w:bookmarkStart w:id="365" w:name="_Toc383775028"/>
      <w:bookmarkEnd w:id="363"/>
      <w:r w:rsidRPr="009A5185">
        <w:rPr>
          <w:rFonts w:cs="Arial"/>
          <w:b/>
          <w:color w:val="FF0000"/>
          <w:lang w:eastAsia="ja-JP"/>
        </w:rPr>
        <w:t xml:space="preserve">Important Notes: </w:t>
      </w:r>
    </w:p>
    <w:p w14:paraId="2746359E" w14:textId="77777777" w:rsidR="0035204D" w:rsidRPr="009A5185" w:rsidRDefault="0035204D" w:rsidP="0035204D">
      <w:pPr>
        <w:rPr>
          <w:rFonts w:cs="Arial"/>
          <w:i/>
          <w:color w:val="FF0000"/>
        </w:rPr>
      </w:pPr>
    </w:p>
    <w:p w14:paraId="4B83AFA9" w14:textId="1508E9D3" w:rsidR="0035204D" w:rsidRPr="009A5185" w:rsidRDefault="0035204D" w:rsidP="0035204D">
      <w:pPr>
        <w:rPr>
          <w:rFonts w:cs="Arial"/>
        </w:rPr>
      </w:pPr>
      <w:r w:rsidRPr="009A5185">
        <w:rPr>
          <w:rFonts w:cs="Arial"/>
        </w:rPr>
        <w:t>Note 1:</w:t>
      </w:r>
      <w:r w:rsidRPr="009A5185">
        <w:rPr>
          <w:rFonts w:cs="Arial"/>
          <w:b/>
          <w:color w:val="FF0000"/>
        </w:rPr>
        <w:t xml:space="preserve"> </w:t>
      </w:r>
      <w:r w:rsidR="00B407CB" w:rsidRPr="009A5185">
        <w:rPr>
          <w:rFonts w:cs="Arial"/>
          <w:snapToGrid w:val="0"/>
        </w:rPr>
        <w:t xml:space="preserve">Hospitals that share a </w:t>
      </w:r>
      <w:r w:rsidR="00B407CB">
        <w:rPr>
          <w:rFonts w:cs="Arial"/>
          <w:snapToGrid w:val="0"/>
        </w:rPr>
        <w:t>CMS Certification Number</w:t>
      </w:r>
      <w:r w:rsidR="00B407CB" w:rsidRPr="009A5185">
        <w:rPr>
          <w:rFonts w:cs="Arial"/>
          <w:snapToGrid w:val="0"/>
        </w:rPr>
        <w:t xml:space="preserve"> are required to report by facility. Please carefully review </w:t>
      </w:r>
      <w:hyperlink r:id="rId306" w:history="1">
        <w:r w:rsidR="00B407CB" w:rsidRPr="009A5185">
          <w:rPr>
            <w:rStyle w:val="Hyperlink"/>
            <w:rFonts w:cs="Arial"/>
            <w:snapToGrid w:val="0"/>
          </w:rPr>
          <w:t>Leapfrog’s Multi-Campus Reporting Policy</w:t>
        </w:r>
      </w:hyperlink>
      <w:r w:rsidR="00B407CB" w:rsidRPr="009A5185">
        <w:rPr>
          <w:rFonts w:cs="Arial"/>
          <w:snapToGrid w:val="0"/>
        </w:rPr>
        <w:t>.</w:t>
      </w:r>
    </w:p>
    <w:p w14:paraId="15F6C841" w14:textId="77777777" w:rsidR="0035204D" w:rsidRPr="009A5185" w:rsidRDefault="0035204D" w:rsidP="0035204D">
      <w:pPr>
        <w:rPr>
          <w:rFonts w:cs="Arial"/>
        </w:rPr>
      </w:pPr>
    </w:p>
    <w:p w14:paraId="376D21A2" w14:textId="17735DB9" w:rsidR="0035204D" w:rsidRPr="009A5185" w:rsidRDefault="0035204D" w:rsidP="0035204D">
      <w:pPr>
        <w:rPr>
          <w:rFonts w:cs="Arial"/>
        </w:rPr>
      </w:pPr>
      <w:r w:rsidRPr="009A5185">
        <w:rPr>
          <w:rFonts w:cs="Arial"/>
        </w:rPr>
        <w:t xml:space="preserve">Note 2: </w:t>
      </w:r>
      <w:r w:rsidR="00B407CB" w:rsidRPr="009A5185">
        <w:rPr>
          <w:rFonts w:cs="Arial"/>
        </w:rPr>
        <w:t>For Maternity Care Process Measures, hospitals with a sufficient sample size (as defined below) can randomly sample for the denominator of each indicator and measure and report adherence based on that sample. Most likely, the numerator criteria for these two measures will require medical chart review if these specific data are not already extracted or coded consistently for other purposes.</w:t>
      </w:r>
    </w:p>
    <w:p w14:paraId="70B00A48" w14:textId="77777777" w:rsidR="0035204D" w:rsidRPr="009A5185" w:rsidRDefault="0035204D" w:rsidP="0035204D">
      <w:pPr>
        <w:rPr>
          <w:rFonts w:cs="Arial"/>
        </w:rPr>
      </w:pPr>
    </w:p>
    <w:p w14:paraId="2C876278" w14:textId="77777777" w:rsidR="0035204D" w:rsidRPr="009A5185" w:rsidRDefault="0035204D" w:rsidP="00F0772B">
      <w:pPr>
        <w:pStyle w:val="Heading44"/>
      </w:pPr>
      <w:bookmarkStart w:id="366" w:name="_Newborn_Bilirubin_Screening"/>
      <w:bookmarkStart w:id="367" w:name="_Toc74562739"/>
      <w:bookmarkEnd w:id="366"/>
      <w:r w:rsidRPr="009A5185">
        <w:t>Newborn Bilirubin Screening Prior to Discharge</w:t>
      </w:r>
      <w:bookmarkEnd w:id="367"/>
    </w:p>
    <w:p w14:paraId="60D9683D" w14:textId="77777777" w:rsidR="0035204D" w:rsidRPr="009A5185" w:rsidRDefault="0035204D" w:rsidP="0035204D">
      <w:pPr>
        <w:rPr>
          <w:rFonts w:cs="Arial"/>
          <w:b/>
        </w:rPr>
      </w:pPr>
    </w:p>
    <w:tbl>
      <w:tblPr>
        <w:tblW w:w="95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62"/>
      </w:tblGrid>
      <w:tr w:rsidR="0035204D" w:rsidRPr="009A5185" w14:paraId="5C3B4885" w14:textId="77777777" w:rsidTr="00900F25">
        <w:trPr>
          <w:trHeight w:val="360"/>
          <w:jc w:val="center"/>
        </w:trPr>
        <w:tc>
          <w:tcPr>
            <w:tcW w:w="9562" w:type="dxa"/>
            <w:vAlign w:val="center"/>
          </w:tcPr>
          <w:p w14:paraId="0F80D36A" w14:textId="77777777" w:rsidR="0035204D" w:rsidRPr="009A5185" w:rsidRDefault="0035204D" w:rsidP="00900F25">
            <w:pPr>
              <w:autoSpaceDE w:val="0"/>
              <w:autoSpaceDN w:val="0"/>
              <w:adjustRightInd w:val="0"/>
              <w:rPr>
                <w:rFonts w:cs="Arial"/>
              </w:rPr>
            </w:pPr>
            <w:r w:rsidRPr="009A5185">
              <w:rPr>
                <w:rFonts w:cs="Arial"/>
                <w:b/>
              </w:rPr>
              <w:t xml:space="preserve">Source: </w:t>
            </w:r>
            <w:r w:rsidRPr="009A5185">
              <w:rPr>
                <w:rFonts w:cs="Arial"/>
              </w:rPr>
              <w:t>Providence Health</w:t>
            </w:r>
          </w:p>
        </w:tc>
      </w:tr>
      <w:tr w:rsidR="0035204D" w:rsidRPr="009A5185" w14:paraId="22554200" w14:textId="77777777" w:rsidTr="00900F25">
        <w:trPr>
          <w:trHeight w:val="1296"/>
          <w:jc w:val="center"/>
        </w:trPr>
        <w:tc>
          <w:tcPr>
            <w:tcW w:w="9562" w:type="dxa"/>
            <w:vAlign w:val="center"/>
          </w:tcPr>
          <w:p w14:paraId="695A0D4D" w14:textId="5EE5B316" w:rsidR="0035204D" w:rsidRPr="009A5185" w:rsidRDefault="0035204D" w:rsidP="00900F25">
            <w:pPr>
              <w:rPr>
                <w:rFonts w:cs="Arial"/>
                <w:snapToGrid w:val="0"/>
              </w:rPr>
            </w:pPr>
            <w:r w:rsidRPr="009A5185">
              <w:rPr>
                <w:rFonts w:cs="Arial"/>
                <w:b/>
                <w:snapToGrid w:val="0"/>
              </w:rPr>
              <w:t>Reporting Period:</w:t>
            </w:r>
            <w:r w:rsidRPr="009A5185">
              <w:rPr>
                <w:rFonts w:cs="Arial"/>
                <w:snapToGrid w:val="0"/>
              </w:rPr>
              <w:t xml:space="preserve"> </w:t>
            </w:r>
            <w:r w:rsidRPr="009A5185">
              <w:rPr>
                <w:rFonts w:cs="Arial"/>
                <w:b/>
                <w:snapToGrid w:val="0"/>
              </w:rPr>
              <w:t>12 months</w:t>
            </w:r>
          </w:p>
          <w:p w14:paraId="3EBD2DE5" w14:textId="77777777" w:rsidR="0035204D" w:rsidRPr="001D20AA" w:rsidRDefault="0035204D" w:rsidP="00AD309C">
            <w:pPr>
              <w:pStyle w:val="ListParagraph"/>
              <w:numPr>
                <w:ilvl w:val="0"/>
                <w:numId w:val="29"/>
              </w:numPr>
              <w:rPr>
                <w:rFonts w:cs="Arial"/>
                <w:i/>
                <w:snapToGrid w:val="0"/>
              </w:rPr>
            </w:pPr>
            <w:r>
              <w:rPr>
                <w:rFonts w:cs="Arial"/>
                <w:iCs/>
                <w:snapToGrid w:val="0"/>
              </w:rPr>
              <w:t>Surveys submitted prior to September 1:</w:t>
            </w:r>
          </w:p>
          <w:p w14:paraId="7A968BBF" w14:textId="3141776C" w:rsidR="0035204D" w:rsidRPr="001D20AA" w:rsidRDefault="0035204D" w:rsidP="00AD309C">
            <w:pPr>
              <w:pStyle w:val="ListParagraph"/>
              <w:numPr>
                <w:ilvl w:val="1"/>
                <w:numId w:val="29"/>
              </w:numPr>
              <w:rPr>
                <w:rFonts w:cs="Arial"/>
                <w:i/>
                <w:snapToGrid w:val="0"/>
              </w:rPr>
            </w:pPr>
            <w:r w:rsidRPr="009A5185">
              <w:rPr>
                <w:rFonts w:cs="Arial"/>
                <w:snapToGrid w:val="0"/>
              </w:rPr>
              <w:t>01/01/</w:t>
            </w:r>
            <w:r>
              <w:rPr>
                <w:rFonts w:cs="Arial"/>
                <w:snapToGrid w:val="0"/>
              </w:rPr>
              <w:t>202</w:t>
            </w:r>
            <w:r w:rsidR="004A646C">
              <w:rPr>
                <w:rFonts w:cs="Arial"/>
                <w:snapToGrid w:val="0"/>
              </w:rPr>
              <w:t>5</w:t>
            </w:r>
            <w:r w:rsidRPr="009A5185">
              <w:rPr>
                <w:rFonts w:cs="Arial"/>
                <w:snapToGrid w:val="0"/>
              </w:rPr>
              <w:t xml:space="preserve"> </w:t>
            </w:r>
            <w:r w:rsidR="00B407CB">
              <w:rPr>
                <w:rFonts w:cs="Arial"/>
                <w:snapToGrid w:val="0"/>
              </w:rPr>
              <w:t>–</w:t>
            </w:r>
            <w:r w:rsidRPr="009A5185">
              <w:rPr>
                <w:rFonts w:cs="Arial"/>
                <w:snapToGrid w:val="0"/>
              </w:rPr>
              <w:t xml:space="preserve"> 12/31/</w:t>
            </w:r>
            <w:r>
              <w:rPr>
                <w:rFonts w:cs="Arial"/>
                <w:snapToGrid w:val="0"/>
              </w:rPr>
              <w:t>202</w:t>
            </w:r>
            <w:r w:rsidR="004A646C">
              <w:rPr>
                <w:rFonts w:cs="Arial"/>
                <w:snapToGrid w:val="0"/>
              </w:rPr>
              <w:t>5</w:t>
            </w:r>
          </w:p>
          <w:p w14:paraId="7C7C0B41" w14:textId="77777777" w:rsidR="0035204D" w:rsidRPr="001D20AA" w:rsidRDefault="0035204D" w:rsidP="00AD309C">
            <w:pPr>
              <w:pStyle w:val="ListParagraph"/>
              <w:numPr>
                <w:ilvl w:val="0"/>
                <w:numId w:val="29"/>
              </w:numPr>
              <w:rPr>
                <w:rFonts w:cs="Arial"/>
                <w:i/>
                <w:snapToGrid w:val="0"/>
              </w:rPr>
            </w:pPr>
            <w:r w:rsidRPr="009A5185">
              <w:rPr>
                <w:rFonts w:cs="Arial"/>
                <w:snapToGrid w:val="0"/>
              </w:rPr>
              <w:t xml:space="preserve">Surveys (re)submitted on or after September 1: </w:t>
            </w:r>
          </w:p>
          <w:p w14:paraId="75627190" w14:textId="0E714970" w:rsidR="0035204D" w:rsidRPr="000C1F1D" w:rsidRDefault="0035204D" w:rsidP="00AD309C">
            <w:pPr>
              <w:pStyle w:val="ListParagraph"/>
              <w:numPr>
                <w:ilvl w:val="1"/>
                <w:numId w:val="29"/>
              </w:numPr>
              <w:rPr>
                <w:rFonts w:cs="Arial"/>
                <w:b/>
              </w:rPr>
            </w:pPr>
            <w:r w:rsidRPr="009A5185">
              <w:rPr>
                <w:rFonts w:cs="Arial"/>
                <w:snapToGrid w:val="0"/>
              </w:rPr>
              <w:t>07/01/</w:t>
            </w:r>
            <w:r>
              <w:rPr>
                <w:rFonts w:cs="Arial"/>
                <w:snapToGrid w:val="0"/>
              </w:rPr>
              <w:t>202</w:t>
            </w:r>
            <w:r w:rsidR="004A646C">
              <w:rPr>
                <w:rFonts w:cs="Arial"/>
                <w:snapToGrid w:val="0"/>
              </w:rPr>
              <w:t>5</w:t>
            </w:r>
            <w:r w:rsidRPr="009A5185">
              <w:rPr>
                <w:rFonts w:cs="Arial"/>
                <w:snapToGrid w:val="0"/>
              </w:rPr>
              <w:t xml:space="preserve"> </w:t>
            </w:r>
            <w:r w:rsidR="00B407CB">
              <w:rPr>
                <w:rFonts w:cs="Arial"/>
                <w:snapToGrid w:val="0"/>
              </w:rPr>
              <w:t>–</w:t>
            </w:r>
            <w:r w:rsidRPr="009A5185">
              <w:rPr>
                <w:rFonts w:cs="Arial"/>
                <w:snapToGrid w:val="0"/>
              </w:rPr>
              <w:t xml:space="preserve"> 06/30/</w:t>
            </w:r>
            <w:r>
              <w:rPr>
                <w:rFonts w:cs="Arial"/>
                <w:snapToGrid w:val="0"/>
              </w:rPr>
              <w:t>202</w:t>
            </w:r>
            <w:r w:rsidR="004A646C">
              <w:rPr>
                <w:rFonts w:cs="Arial"/>
                <w:snapToGrid w:val="0"/>
              </w:rPr>
              <w:t>6</w:t>
            </w:r>
          </w:p>
          <w:p w14:paraId="73F998C1" w14:textId="77777777" w:rsidR="006E0696" w:rsidRDefault="006E0696" w:rsidP="006E0696">
            <w:pPr>
              <w:rPr>
                <w:rFonts w:cs="Arial"/>
                <w:b/>
              </w:rPr>
            </w:pPr>
          </w:p>
          <w:p w14:paraId="58933496" w14:textId="5B43A793" w:rsidR="006E0696" w:rsidRPr="000C1F1D" w:rsidRDefault="006E0696" w:rsidP="000C1F1D">
            <w:pPr>
              <w:rPr>
                <w:rFonts w:cs="Arial"/>
                <w:b/>
              </w:rPr>
            </w:pPr>
            <w:r>
              <w:rPr>
                <w:rFonts w:cs="Arial"/>
                <w:bCs/>
              </w:rPr>
              <w:t>Note: The discharge date must be used to determine whether a case falls within the reporting period specified.</w:t>
            </w:r>
          </w:p>
        </w:tc>
      </w:tr>
      <w:tr w:rsidR="0035204D" w:rsidRPr="009A5185" w14:paraId="295D276B" w14:textId="77777777" w:rsidTr="00900F25">
        <w:trPr>
          <w:trHeight w:val="864"/>
          <w:jc w:val="center"/>
        </w:trPr>
        <w:tc>
          <w:tcPr>
            <w:tcW w:w="9562" w:type="dxa"/>
            <w:vAlign w:val="center"/>
          </w:tcPr>
          <w:p w14:paraId="773AE481" w14:textId="7EE54CF0" w:rsidR="0035204D" w:rsidRPr="009A5185" w:rsidRDefault="0035204D" w:rsidP="00900F25">
            <w:pPr>
              <w:rPr>
                <w:rFonts w:cs="Arial"/>
                <w:b/>
                <w:snapToGrid w:val="0"/>
              </w:rPr>
            </w:pPr>
            <w:r w:rsidRPr="00375B0D">
              <w:rPr>
                <w:rFonts w:cs="Arial"/>
              </w:rPr>
              <w:t>Hospitals participating in the California Maternal Quality Care Collaborative (CMQCC) Maternal Data Center may use the data provided in CMQCC reports when responding to this subsection of the Survey.</w:t>
            </w:r>
            <w:r>
              <w:rPr>
                <w:rFonts w:cs="Arial"/>
              </w:rPr>
              <w:t xml:space="preserve"> </w:t>
            </w:r>
            <w:r w:rsidRPr="009A5185">
              <w:rPr>
                <w:rFonts w:cs="Arial"/>
              </w:rPr>
              <w:t xml:space="preserve">Download instructions for using the </w:t>
            </w:r>
            <w:r>
              <w:rPr>
                <w:rFonts w:cs="Arial"/>
              </w:rPr>
              <w:t>CMQCC reports</w:t>
            </w:r>
            <w:r w:rsidRPr="009A5185">
              <w:rPr>
                <w:rFonts w:cs="Arial"/>
              </w:rPr>
              <w:t xml:space="preserve"> on the </w:t>
            </w:r>
            <w:hyperlink r:id="rId307" w:history="1">
              <w:r w:rsidRPr="009A5185">
                <w:rPr>
                  <w:rStyle w:val="Hyperlink"/>
                  <w:rFonts w:cs="Arial"/>
                </w:rPr>
                <w:t>Survey and CPOE Materials webpage</w:t>
              </w:r>
            </w:hyperlink>
            <w:r w:rsidRPr="009A5185">
              <w:rPr>
                <w:rFonts w:cs="Arial"/>
              </w:rPr>
              <w:t>.</w:t>
            </w:r>
          </w:p>
        </w:tc>
      </w:tr>
      <w:tr w:rsidR="0035204D" w:rsidRPr="009A5185" w14:paraId="1B288D2C" w14:textId="77777777" w:rsidTr="00900F25">
        <w:trPr>
          <w:trHeight w:val="2160"/>
          <w:jc w:val="center"/>
        </w:trPr>
        <w:tc>
          <w:tcPr>
            <w:tcW w:w="9562" w:type="dxa"/>
            <w:vAlign w:val="center"/>
          </w:tcPr>
          <w:p w14:paraId="75BE05C4" w14:textId="5526022E" w:rsidR="0035204D" w:rsidRPr="001D20AA" w:rsidRDefault="0035204D" w:rsidP="00900F25">
            <w:pPr>
              <w:pStyle w:val="EndnoteText"/>
              <w:rPr>
                <w:rFonts w:cs="Arial"/>
              </w:rPr>
            </w:pPr>
            <w:r w:rsidRPr="009A5185">
              <w:rPr>
                <w:rFonts w:cs="Arial"/>
                <w:b/>
              </w:rPr>
              <w:t>Sampling:</w:t>
            </w:r>
            <w:r w:rsidRPr="009A5185">
              <w:rPr>
                <w:rFonts w:cs="Arial"/>
              </w:rPr>
              <w:t xml:space="preserve"> If you have </w:t>
            </w:r>
            <w:r w:rsidRPr="001D20AA">
              <w:rPr>
                <w:rFonts w:cs="Arial"/>
                <w:u w:val="single"/>
              </w:rPr>
              <w:t xml:space="preserve">fewer than </w:t>
            </w:r>
            <w:r>
              <w:rPr>
                <w:rFonts w:cs="Arial"/>
                <w:u w:val="single"/>
              </w:rPr>
              <w:t>30</w:t>
            </w:r>
            <w:r w:rsidRPr="001D20AA">
              <w:rPr>
                <w:rFonts w:cs="Arial"/>
                <w:u w:val="single"/>
              </w:rPr>
              <w:t xml:space="preserve"> cases</w:t>
            </w:r>
            <w:r w:rsidRPr="001D20AA">
              <w:rPr>
                <w:rFonts w:cs="Arial"/>
              </w:rPr>
              <w:t xml:space="preserve"> that meet the criteria for inclusion in the denominator of the process measure during the time period of the medical record audit, include ALL of these cases in measuring adherence to the process guidelines. You need NOT use more than 12 months of historical data to increase the eligible cases beyond </w:t>
            </w:r>
            <w:r>
              <w:rPr>
                <w:rFonts w:cs="Arial"/>
              </w:rPr>
              <w:t>30</w:t>
            </w:r>
            <w:r w:rsidRPr="001D20AA">
              <w:rPr>
                <w:rFonts w:cs="Arial"/>
              </w:rPr>
              <w:t xml:space="preserve">; just measure and report on ALL eligible cases that you have in that reporting period. </w:t>
            </w:r>
          </w:p>
          <w:p w14:paraId="15F01E80" w14:textId="77777777" w:rsidR="0035204D" w:rsidRPr="001D20AA" w:rsidRDefault="0035204D" w:rsidP="00900F25">
            <w:pPr>
              <w:pStyle w:val="EndnoteText"/>
              <w:rPr>
                <w:rFonts w:cs="Arial"/>
              </w:rPr>
            </w:pPr>
          </w:p>
          <w:p w14:paraId="15027AAA" w14:textId="33CFA109" w:rsidR="0035204D" w:rsidRPr="009A5185" w:rsidRDefault="0035204D" w:rsidP="00900F25">
            <w:pPr>
              <w:pStyle w:val="EndnoteText"/>
            </w:pPr>
            <w:r w:rsidRPr="001D20AA">
              <w:rPr>
                <w:rFonts w:cs="Arial"/>
              </w:rPr>
              <w:t xml:space="preserve">If you have </w:t>
            </w:r>
            <w:r w:rsidRPr="001D20AA">
              <w:rPr>
                <w:rFonts w:cs="Arial"/>
                <w:u w:val="single"/>
              </w:rPr>
              <w:t xml:space="preserve">more than </w:t>
            </w:r>
            <w:r>
              <w:rPr>
                <w:rFonts w:cs="Arial"/>
                <w:u w:val="single"/>
              </w:rPr>
              <w:t>30</w:t>
            </w:r>
            <w:r w:rsidRPr="001D20AA">
              <w:rPr>
                <w:rFonts w:cs="Arial"/>
                <w:u w:val="single"/>
              </w:rPr>
              <w:t xml:space="preserve"> cases</w:t>
            </w:r>
            <w:r w:rsidRPr="001D20AA">
              <w:rPr>
                <w:rFonts w:cs="Arial"/>
              </w:rPr>
              <w:t xml:space="preserve"> that meet the criteria for inclusion in the denominator of the process measure during the time period of the medical record audit, you may randomly sample at least </w:t>
            </w:r>
            <w:r>
              <w:rPr>
                <w:rFonts w:cs="Arial"/>
              </w:rPr>
              <w:t>30</w:t>
            </w:r>
            <w:r w:rsidRPr="001D20AA">
              <w:rPr>
                <w:rFonts w:cs="Arial"/>
              </w:rPr>
              <w:t xml:space="preserve"> of them for the denominator of each guideline and measure and report adherence based on that sample.</w:t>
            </w:r>
          </w:p>
        </w:tc>
      </w:tr>
      <w:tr w:rsidR="0035204D" w:rsidRPr="009A5185" w14:paraId="45CB658E" w14:textId="77777777" w:rsidTr="00900F25">
        <w:trPr>
          <w:trHeight w:val="2594"/>
          <w:jc w:val="center"/>
        </w:trPr>
        <w:tc>
          <w:tcPr>
            <w:tcW w:w="9562" w:type="dxa"/>
            <w:vAlign w:val="center"/>
          </w:tcPr>
          <w:p w14:paraId="7DBC9A69" w14:textId="4662E058" w:rsidR="0035204D" w:rsidRPr="009A5185" w:rsidRDefault="0035204D" w:rsidP="00900F25">
            <w:pPr>
              <w:autoSpaceDE w:val="0"/>
              <w:autoSpaceDN w:val="0"/>
              <w:adjustRightInd w:val="0"/>
              <w:rPr>
                <w:rFonts w:cs="Arial"/>
                <w:b/>
                <w:bCs/>
              </w:rPr>
            </w:pPr>
            <w:r w:rsidRPr="009A5185">
              <w:rPr>
                <w:rFonts w:cs="Arial"/>
                <w:b/>
                <w:bCs/>
              </w:rPr>
              <w:t xml:space="preserve">Question </w:t>
            </w:r>
            <w:r w:rsidR="00B407CB">
              <w:rPr>
                <w:rFonts w:cs="Arial"/>
                <w:b/>
                <w:bCs/>
              </w:rPr>
              <w:t>#</w:t>
            </w:r>
            <w:r w:rsidRPr="009A5185">
              <w:rPr>
                <w:rFonts w:cs="Arial"/>
                <w:b/>
                <w:bCs/>
              </w:rPr>
              <w:t xml:space="preserve">3 (denominator): </w:t>
            </w:r>
            <w:r w:rsidRPr="009A5185">
              <w:rPr>
                <w:rFonts w:cs="Arial"/>
                <w:bCs/>
              </w:rPr>
              <w:t>Eligible cases include a</w:t>
            </w:r>
            <w:r w:rsidRPr="009A5185">
              <w:rPr>
                <w:rFonts w:cs="Arial"/>
              </w:rPr>
              <w:t xml:space="preserve">ll normal newborns born at or beyond 35 completed weeks gestation that were delivered in the </w:t>
            </w:r>
            <w:r>
              <w:rPr>
                <w:rFonts w:cs="Arial"/>
              </w:rPr>
              <w:t>hospital</w:t>
            </w:r>
            <w:r w:rsidRPr="009A5185">
              <w:rPr>
                <w:rFonts w:cs="Arial"/>
              </w:rPr>
              <w:t xml:space="preserve"> during the reporting period (all </w:t>
            </w:r>
            <w:proofErr w:type="spellStart"/>
            <w:r w:rsidRPr="009A5185">
              <w:rPr>
                <w:rFonts w:cs="Arial"/>
              </w:rPr>
              <w:t>inborns</w:t>
            </w:r>
            <w:proofErr w:type="spellEnd"/>
            <w:r w:rsidRPr="009A5185">
              <w:rPr>
                <w:rFonts w:cs="Arial"/>
              </w:rPr>
              <w:t xml:space="preserve">) with </w:t>
            </w:r>
            <w:r w:rsidRPr="009A5185">
              <w:rPr>
                <w:rFonts w:cs="Arial"/>
                <w:b/>
              </w:rPr>
              <w:t>Excluded Populations</w:t>
            </w:r>
            <w:r w:rsidRPr="009A5185">
              <w:rPr>
                <w:rFonts w:cs="Arial"/>
              </w:rPr>
              <w:t xml:space="preserve"> removed. </w:t>
            </w:r>
          </w:p>
          <w:p w14:paraId="477CAEA5" w14:textId="77777777" w:rsidR="0035204D" w:rsidRPr="009A5185" w:rsidRDefault="0035204D" w:rsidP="00900F25">
            <w:pPr>
              <w:autoSpaceDE w:val="0"/>
              <w:autoSpaceDN w:val="0"/>
              <w:adjustRightInd w:val="0"/>
              <w:rPr>
                <w:rFonts w:cs="Arial"/>
                <w:b/>
                <w:bCs/>
              </w:rPr>
            </w:pPr>
          </w:p>
          <w:p w14:paraId="1544DD90" w14:textId="77777777" w:rsidR="0035204D" w:rsidRPr="009A5185" w:rsidRDefault="0035204D" w:rsidP="00900F25">
            <w:pPr>
              <w:autoSpaceDE w:val="0"/>
              <w:autoSpaceDN w:val="0"/>
              <w:adjustRightInd w:val="0"/>
              <w:rPr>
                <w:rFonts w:cs="Arial"/>
                <w:b/>
                <w:bCs/>
              </w:rPr>
            </w:pPr>
            <w:r w:rsidRPr="009A5185">
              <w:rPr>
                <w:rFonts w:cs="Arial"/>
                <w:b/>
                <w:bCs/>
              </w:rPr>
              <w:t>Excluded Populations:</w:t>
            </w:r>
          </w:p>
          <w:p w14:paraId="0DF4AD30" w14:textId="77777777" w:rsidR="0035204D" w:rsidRPr="009A5185" w:rsidRDefault="0035204D" w:rsidP="00AD309C">
            <w:pPr>
              <w:pStyle w:val="ListParagraph"/>
              <w:numPr>
                <w:ilvl w:val="0"/>
                <w:numId w:val="19"/>
              </w:numPr>
              <w:autoSpaceDE w:val="0"/>
              <w:autoSpaceDN w:val="0"/>
              <w:adjustRightInd w:val="0"/>
              <w:contextualSpacing w:val="0"/>
              <w:rPr>
                <w:rFonts w:cs="Arial"/>
              </w:rPr>
            </w:pPr>
            <w:r w:rsidRPr="009A5185">
              <w:rPr>
                <w:rFonts w:cs="Arial"/>
                <w:iCs/>
              </w:rPr>
              <w:t xml:space="preserve">admitted to a </w:t>
            </w:r>
            <w:r>
              <w:rPr>
                <w:rFonts w:cs="Arial"/>
                <w:iCs/>
              </w:rPr>
              <w:t>neonatal ICU</w:t>
            </w:r>
            <w:r w:rsidRPr="009A5185">
              <w:rPr>
                <w:rFonts w:cs="Arial"/>
                <w:iCs/>
              </w:rPr>
              <w:t>, either at your hospital or another hospital;</w:t>
            </w:r>
            <w:r w:rsidRPr="009A5185">
              <w:rPr>
                <w:rFonts w:cs="Arial"/>
              </w:rPr>
              <w:t xml:space="preserve"> or</w:t>
            </w:r>
          </w:p>
          <w:p w14:paraId="7EA4D609" w14:textId="77777777" w:rsidR="0035204D" w:rsidRPr="009A5185" w:rsidRDefault="0035204D" w:rsidP="00AD309C">
            <w:pPr>
              <w:numPr>
                <w:ilvl w:val="0"/>
                <w:numId w:val="15"/>
              </w:numPr>
              <w:autoSpaceDE w:val="0"/>
              <w:autoSpaceDN w:val="0"/>
              <w:rPr>
                <w:rFonts w:cs="Arial"/>
              </w:rPr>
            </w:pPr>
            <w:r w:rsidRPr="009A5185">
              <w:rPr>
                <w:rFonts w:cs="Arial"/>
              </w:rPr>
              <w:t>with parental refusal to test; or</w:t>
            </w:r>
          </w:p>
          <w:p w14:paraId="14B4220A" w14:textId="77777777" w:rsidR="0035204D" w:rsidRPr="009A5185" w:rsidRDefault="0035204D" w:rsidP="00AD309C">
            <w:pPr>
              <w:numPr>
                <w:ilvl w:val="0"/>
                <w:numId w:val="15"/>
              </w:numPr>
              <w:autoSpaceDE w:val="0"/>
              <w:autoSpaceDN w:val="0"/>
              <w:rPr>
                <w:rFonts w:cs="Arial"/>
                <w:iCs/>
              </w:rPr>
            </w:pPr>
            <w:r w:rsidRPr="009A5185">
              <w:rPr>
                <w:rFonts w:cs="Arial"/>
                <w:iCs/>
              </w:rPr>
              <w:t>prenatal documentation of severe congenital anomalies in the newborn and documentation that the newborn will receive comfort care measures only; or</w:t>
            </w:r>
          </w:p>
          <w:p w14:paraId="299EA277" w14:textId="32A8AB00" w:rsidR="0035204D" w:rsidRPr="00B407CB" w:rsidRDefault="0035204D" w:rsidP="00AD309C">
            <w:pPr>
              <w:numPr>
                <w:ilvl w:val="0"/>
                <w:numId w:val="15"/>
              </w:numPr>
              <w:autoSpaceDE w:val="0"/>
              <w:autoSpaceDN w:val="0"/>
              <w:rPr>
                <w:rFonts w:cs="Arial"/>
                <w:i/>
              </w:rPr>
            </w:pPr>
            <w:r w:rsidRPr="009A5185">
              <w:rPr>
                <w:rFonts w:cs="Arial"/>
              </w:rPr>
              <w:t>newborn died prior to discharge</w:t>
            </w:r>
          </w:p>
        </w:tc>
      </w:tr>
      <w:tr w:rsidR="0035204D" w:rsidRPr="009A5185" w14:paraId="6CC678D7" w14:textId="77777777" w:rsidTr="00900F25">
        <w:trPr>
          <w:trHeight w:val="656"/>
          <w:jc w:val="center"/>
        </w:trPr>
        <w:tc>
          <w:tcPr>
            <w:tcW w:w="9562" w:type="dxa"/>
            <w:vAlign w:val="center"/>
          </w:tcPr>
          <w:p w14:paraId="56E365D5" w14:textId="0BB4F060" w:rsidR="0035204D" w:rsidRPr="009A5185" w:rsidRDefault="0035204D" w:rsidP="00900F25">
            <w:pPr>
              <w:autoSpaceDE w:val="0"/>
              <w:autoSpaceDN w:val="0"/>
              <w:adjustRightInd w:val="0"/>
              <w:rPr>
                <w:rFonts w:cs="Arial"/>
              </w:rPr>
            </w:pPr>
            <w:r w:rsidRPr="009A5185">
              <w:rPr>
                <w:rFonts w:cs="Arial"/>
                <w:b/>
                <w:bCs/>
              </w:rPr>
              <w:t xml:space="preserve">Question </w:t>
            </w:r>
            <w:r w:rsidR="00B407CB">
              <w:rPr>
                <w:rFonts w:cs="Arial"/>
                <w:b/>
                <w:bCs/>
              </w:rPr>
              <w:t>#</w:t>
            </w:r>
            <w:r w:rsidRPr="009A5185">
              <w:rPr>
                <w:rFonts w:cs="Arial"/>
                <w:b/>
                <w:bCs/>
              </w:rPr>
              <w:t xml:space="preserve">4 (numerator): </w:t>
            </w:r>
            <w:r w:rsidRPr="009A5185">
              <w:rPr>
                <w:rFonts w:cs="Arial"/>
              </w:rPr>
              <w:t xml:space="preserve">Number of eligible cases included in the denominator who have a serum or transcutaneous bilirubin screen prior to discharge to identify risk of hyperbilirubinemia. </w:t>
            </w:r>
          </w:p>
        </w:tc>
      </w:tr>
    </w:tbl>
    <w:p w14:paraId="1516AF7E" w14:textId="77777777" w:rsidR="0035204D" w:rsidRPr="009A5185" w:rsidRDefault="0035204D" w:rsidP="0035204D">
      <w:pPr>
        <w:rPr>
          <w:rFonts w:cs="Arial"/>
        </w:rPr>
      </w:pPr>
    </w:p>
    <w:p w14:paraId="22573118" w14:textId="77777777" w:rsidR="0035204D" w:rsidRPr="009A5185" w:rsidRDefault="0035204D" w:rsidP="0035204D">
      <w:pPr>
        <w:rPr>
          <w:rFonts w:cs="Arial"/>
        </w:rPr>
      </w:pPr>
    </w:p>
    <w:p w14:paraId="060321AA" w14:textId="77777777" w:rsidR="0035204D" w:rsidRPr="009A5185" w:rsidRDefault="0035204D" w:rsidP="0035204D">
      <w:pPr>
        <w:rPr>
          <w:rFonts w:cs="Arial"/>
        </w:rPr>
      </w:pPr>
    </w:p>
    <w:p w14:paraId="412F3639" w14:textId="77777777" w:rsidR="0035204D" w:rsidRPr="009A5185" w:rsidRDefault="0035204D" w:rsidP="0035204D">
      <w:pPr>
        <w:rPr>
          <w:rFonts w:cs="Arial"/>
        </w:rPr>
      </w:pPr>
    </w:p>
    <w:p w14:paraId="4B3FFCC7" w14:textId="77777777" w:rsidR="0035204D" w:rsidRDefault="0035204D" w:rsidP="0035204D">
      <w:pPr>
        <w:rPr>
          <w:b/>
          <w:i/>
          <w:snapToGrid w:val="0"/>
          <w:sz w:val="24"/>
          <w:szCs w:val="24"/>
          <w:lang w:eastAsia="ja-JP"/>
        </w:rPr>
      </w:pPr>
      <w:r>
        <w:br w:type="page"/>
      </w:r>
    </w:p>
    <w:p w14:paraId="70D1307D" w14:textId="77777777" w:rsidR="0035204D" w:rsidRPr="009A5185" w:rsidRDefault="0035204D" w:rsidP="00F0772B">
      <w:pPr>
        <w:pStyle w:val="Heading44"/>
      </w:pPr>
      <w:bookmarkStart w:id="368" w:name="_Appropriate_DVT_Prophylaxis"/>
      <w:bookmarkStart w:id="369" w:name="_Toc74562740"/>
      <w:bookmarkEnd w:id="368"/>
      <w:r w:rsidRPr="009A5185">
        <w:t>Appropriate DVT Prophylaxis in Women Undergoing Cesarean Delivery</w:t>
      </w:r>
      <w:bookmarkEnd w:id="369"/>
    </w:p>
    <w:p w14:paraId="243E0F37" w14:textId="77777777" w:rsidR="0035204D" w:rsidRPr="000C1F1D" w:rsidRDefault="0035204D" w:rsidP="0035204D">
      <w:pPr>
        <w:rPr>
          <w:rFonts w:cs="Arial"/>
          <w:sz w:val="16"/>
          <w:szCs w:val="16"/>
        </w:rPr>
      </w:pPr>
    </w:p>
    <w:tbl>
      <w:tblPr>
        <w:tblW w:w="95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62"/>
      </w:tblGrid>
      <w:tr w:rsidR="0035204D" w:rsidRPr="009A5185" w14:paraId="09BBEF96" w14:textId="77777777" w:rsidTr="000C1F1D">
        <w:trPr>
          <w:trHeight w:val="288"/>
          <w:jc w:val="center"/>
        </w:trPr>
        <w:tc>
          <w:tcPr>
            <w:tcW w:w="9562" w:type="dxa"/>
            <w:vAlign w:val="center"/>
          </w:tcPr>
          <w:p w14:paraId="7BDA88B8" w14:textId="77777777" w:rsidR="0035204D" w:rsidRPr="009A5185" w:rsidRDefault="0035204D" w:rsidP="00900F25">
            <w:pPr>
              <w:rPr>
                <w:rFonts w:cs="Arial"/>
              </w:rPr>
            </w:pPr>
            <w:r w:rsidRPr="009A5185">
              <w:rPr>
                <w:rFonts w:cs="Arial"/>
                <w:b/>
              </w:rPr>
              <w:t xml:space="preserve">Source: </w:t>
            </w:r>
            <w:r w:rsidRPr="009A5185">
              <w:rPr>
                <w:rFonts w:cs="Arial"/>
              </w:rPr>
              <w:t>National Quality Forum #0473</w:t>
            </w:r>
          </w:p>
        </w:tc>
      </w:tr>
      <w:tr w:rsidR="0035204D" w:rsidRPr="009A5185" w14:paraId="349FA077" w14:textId="77777777" w:rsidTr="00900F25">
        <w:trPr>
          <w:trHeight w:val="1296"/>
          <w:jc w:val="center"/>
        </w:trPr>
        <w:tc>
          <w:tcPr>
            <w:tcW w:w="9562" w:type="dxa"/>
            <w:vAlign w:val="center"/>
          </w:tcPr>
          <w:p w14:paraId="09E300F9" w14:textId="4DB0008D" w:rsidR="0035204D" w:rsidRPr="009A5185" w:rsidRDefault="0035204D" w:rsidP="00900F25">
            <w:pPr>
              <w:rPr>
                <w:rFonts w:cs="Arial"/>
                <w:snapToGrid w:val="0"/>
              </w:rPr>
            </w:pPr>
            <w:r w:rsidRPr="009A5185">
              <w:rPr>
                <w:rFonts w:cs="Arial"/>
                <w:b/>
                <w:snapToGrid w:val="0"/>
              </w:rPr>
              <w:t>Reporting Period:</w:t>
            </w:r>
            <w:r w:rsidRPr="009A5185">
              <w:rPr>
                <w:rFonts w:cs="Arial"/>
                <w:snapToGrid w:val="0"/>
              </w:rPr>
              <w:t xml:space="preserve"> </w:t>
            </w:r>
            <w:r w:rsidRPr="009A5185">
              <w:rPr>
                <w:rFonts w:cs="Arial"/>
                <w:b/>
                <w:snapToGrid w:val="0"/>
              </w:rPr>
              <w:t>12 months</w:t>
            </w:r>
          </w:p>
          <w:p w14:paraId="64A8FBC4" w14:textId="77777777" w:rsidR="0035204D" w:rsidRPr="001D20AA" w:rsidRDefault="0035204D" w:rsidP="00AD309C">
            <w:pPr>
              <w:pStyle w:val="ListParagraph"/>
              <w:numPr>
                <w:ilvl w:val="0"/>
                <w:numId w:val="29"/>
              </w:numPr>
              <w:rPr>
                <w:rFonts w:cs="Arial"/>
                <w:i/>
                <w:snapToGrid w:val="0"/>
              </w:rPr>
            </w:pPr>
            <w:r>
              <w:rPr>
                <w:rFonts w:cs="Arial"/>
                <w:iCs/>
                <w:snapToGrid w:val="0"/>
              </w:rPr>
              <w:t>Surveys submitted prior to September 1:</w:t>
            </w:r>
          </w:p>
          <w:p w14:paraId="41CF6798" w14:textId="0754EB50" w:rsidR="0035204D" w:rsidRPr="001D20AA" w:rsidRDefault="0035204D" w:rsidP="00AD309C">
            <w:pPr>
              <w:pStyle w:val="ListParagraph"/>
              <w:numPr>
                <w:ilvl w:val="1"/>
                <w:numId w:val="29"/>
              </w:numPr>
              <w:rPr>
                <w:rFonts w:cs="Arial"/>
                <w:i/>
                <w:snapToGrid w:val="0"/>
              </w:rPr>
            </w:pPr>
            <w:r w:rsidRPr="009A5185">
              <w:rPr>
                <w:rFonts w:cs="Arial"/>
                <w:snapToGrid w:val="0"/>
              </w:rPr>
              <w:t>01/01/</w:t>
            </w:r>
            <w:r>
              <w:rPr>
                <w:rFonts w:cs="Arial"/>
                <w:snapToGrid w:val="0"/>
              </w:rPr>
              <w:t>202</w:t>
            </w:r>
            <w:r w:rsidR="00E11096">
              <w:rPr>
                <w:rFonts w:cs="Arial"/>
                <w:snapToGrid w:val="0"/>
              </w:rPr>
              <w:t>5</w:t>
            </w:r>
            <w:r w:rsidRPr="009A5185">
              <w:rPr>
                <w:rFonts w:cs="Arial"/>
                <w:snapToGrid w:val="0"/>
              </w:rPr>
              <w:t xml:space="preserve"> </w:t>
            </w:r>
            <w:r w:rsidR="00B407CB">
              <w:rPr>
                <w:rFonts w:cs="Arial"/>
                <w:snapToGrid w:val="0"/>
              </w:rPr>
              <w:t>–</w:t>
            </w:r>
            <w:r w:rsidRPr="009A5185">
              <w:rPr>
                <w:rFonts w:cs="Arial"/>
                <w:snapToGrid w:val="0"/>
              </w:rPr>
              <w:t xml:space="preserve"> 12/31/</w:t>
            </w:r>
            <w:r>
              <w:rPr>
                <w:rFonts w:cs="Arial"/>
                <w:snapToGrid w:val="0"/>
              </w:rPr>
              <w:t>202</w:t>
            </w:r>
            <w:r w:rsidR="00E11096">
              <w:rPr>
                <w:rFonts w:cs="Arial"/>
                <w:snapToGrid w:val="0"/>
              </w:rPr>
              <w:t>5</w:t>
            </w:r>
          </w:p>
          <w:p w14:paraId="4CC60072" w14:textId="77777777" w:rsidR="0035204D" w:rsidRPr="001D20AA" w:rsidRDefault="0035204D" w:rsidP="00AD309C">
            <w:pPr>
              <w:pStyle w:val="ListParagraph"/>
              <w:numPr>
                <w:ilvl w:val="0"/>
                <w:numId w:val="29"/>
              </w:numPr>
              <w:rPr>
                <w:rFonts w:cs="Arial"/>
                <w:i/>
                <w:snapToGrid w:val="0"/>
              </w:rPr>
            </w:pPr>
            <w:r w:rsidRPr="009A5185">
              <w:rPr>
                <w:rFonts w:cs="Arial"/>
                <w:snapToGrid w:val="0"/>
              </w:rPr>
              <w:t xml:space="preserve">Surveys (re)submitted on or after September 1: </w:t>
            </w:r>
          </w:p>
          <w:p w14:paraId="5965FA3D" w14:textId="22FE87C0" w:rsidR="0035204D" w:rsidRPr="000C1F1D" w:rsidRDefault="0035204D" w:rsidP="00AD309C">
            <w:pPr>
              <w:pStyle w:val="ListParagraph"/>
              <w:numPr>
                <w:ilvl w:val="1"/>
                <w:numId w:val="29"/>
              </w:numPr>
              <w:rPr>
                <w:rFonts w:cs="Arial"/>
                <w:b/>
              </w:rPr>
            </w:pPr>
            <w:r w:rsidRPr="009A5185">
              <w:rPr>
                <w:rFonts w:cs="Arial"/>
                <w:snapToGrid w:val="0"/>
              </w:rPr>
              <w:t>07/01/</w:t>
            </w:r>
            <w:r>
              <w:rPr>
                <w:rFonts w:cs="Arial"/>
                <w:snapToGrid w:val="0"/>
              </w:rPr>
              <w:t>202</w:t>
            </w:r>
            <w:r w:rsidR="00E11096">
              <w:rPr>
                <w:rFonts w:cs="Arial"/>
                <w:snapToGrid w:val="0"/>
              </w:rPr>
              <w:t>5</w:t>
            </w:r>
            <w:r w:rsidRPr="009A5185">
              <w:rPr>
                <w:rFonts w:cs="Arial"/>
                <w:snapToGrid w:val="0"/>
              </w:rPr>
              <w:t xml:space="preserve"> </w:t>
            </w:r>
            <w:r w:rsidR="00B407CB">
              <w:rPr>
                <w:rFonts w:cs="Arial"/>
                <w:snapToGrid w:val="0"/>
              </w:rPr>
              <w:t>–</w:t>
            </w:r>
            <w:r w:rsidRPr="009A5185">
              <w:rPr>
                <w:rFonts w:cs="Arial"/>
                <w:snapToGrid w:val="0"/>
              </w:rPr>
              <w:t xml:space="preserve"> 06/30/</w:t>
            </w:r>
            <w:r>
              <w:rPr>
                <w:rFonts w:cs="Arial"/>
                <w:snapToGrid w:val="0"/>
              </w:rPr>
              <w:t>202</w:t>
            </w:r>
            <w:r w:rsidR="00E11096">
              <w:rPr>
                <w:rFonts w:cs="Arial"/>
                <w:snapToGrid w:val="0"/>
              </w:rPr>
              <w:t>6</w:t>
            </w:r>
          </w:p>
          <w:p w14:paraId="7C929B7C" w14:textId="77777777" w:rsidR="006E0696" w:rsidRPr="000C1F1D" w:rsidRDefault="006E0696" w:rsidP="006E0696">
            <w:pPr>
              <w:rPr>
                <w:rFonts w:cs="Arial"/>
                <w:b/>
                <w:sz w:val="16"/>
                <w:szCs w:val="16"/>
              </w:rPr>
            </w:pPr>
          </w:p>
          <w:p w14:paraId="59C9FA99" w14:textId="2F7E076D" w:rsidR="006E0696" w:rsidRPr="002C718A" w:rsidRDefault="006E0696" w:rsidP="000C1F1D">
            <w:pPr>
              <w:rPr>
                <w:rFonts w:cs="Arial"/>
                <w:b/>
              </w:rPr>
            </w:pPr>
            <w:r>
              <w:rPr>
                <w:rFonts w:cs="Arial"/>
                <w:bCs/>
              </w:rPr>
              <w:t>Note: The discharge date must be used to determine whether a case falls within the reporting period specified.</w:t>
            </w:r>
          </w:p>
        </w:tc>
      </w:tr>
      <w:tr w:rsidR="0035204D" w:rsidRPr="009A5185" w14:paraId="47310DD8" w14:textId="77777777" w:rsidTr="000C1F1D">
        <w:trPr>
          <w:trHeight w:val="720"/>
          <w:jc w:val="center"/>
        </w:trPr>
        <w:tc>
          <w:tcPr>
            <w:tcW w:w="9562" w:type="dxa"/>
            <w:vAlign w:val="center"/>
          </w:tcPr>
          <w:p w14:paraId="0CD7A066" w14:textId="6143C32C" w:rsidR="0035204D" w:rsidRPr="009A5185" w:rsidRDefault="0035204D" w:rsidP="00900F25">
            <w:pPr>
              <w:rPr>
                <w:rFonts w:cs="Arial"/>
                <w:b/>
                <w:snapToGrid w:val="0"/>
              </w:rPr>
            </w:pPr>
            <w:r w:rsidRPr="00375B0D">
              <w:rPr>
                <w:rFonts w:cs="Arial"/>
              </w:rPr>
              <w:t>Hospitals participating in the California Maternal Quality Care Collaborative (CMQCC) Maternal Data Center may use the data provided in CMQCC reports when responding to this subsection of the Survey.</w:t>
            </w:r>
            <w:r>
              <w:rPr>
                <w:rFonts w:cs="Arial"/>
              </w:rPr>
              <w:t xml:space="preserve"> </w:t>
            </w:r>
            <w:r w:rsidRPr="009A5185">
              <w:rPr>
                <w:rFonts w:cs="Arial"/>
              </w:rPr>
              <w:t xml:space="preserve">Download instructions for using the </w:t>
            </w:r>
            <w:r>
              <w:rPr>
                <w:rFonts w:cs="Arial"/>
              </w:rPr>
              <w:t>CMQCC reports</w:t>
            </w:r>
            <w:r w:rsidRPr="009A5185">
              <w:rPr>
                <w:rFonts w:cs="Arial"/>
              </w:rPr>
              <w:t xml:space="preserve"> on the </w:t>
            </w:r>
            <w:hyperlink r:id="rId308" w:history="1">
              <w:r w:rsidRPr="009A5185">
                <w:rPr>
                  <w:rStyle w:val="Hyperlink"/>
                  <w:rFonts w:cs="Arial"/>
                </w:rPr>
                <w:t>Survey and CPOE Materials webpage</w:t>
              </w:r>
            </w:hyperlink>
            <w:r w:rsidRPr="009A5185">
              <w:rPr>
                <w:rFonts w:cs="Arial"/>
              </w:rPr>
              <w:t>.</w:t>
            </w:r>
          </w:p>
        </w:tc>
      </w:tr>
      <w:tr w:rsidR="0035204D" w:rsidRPr="009A5185" w14:paraId="54EC10DD" w14:textId="77777777" w:rsidTr="000C1F1D">
        <w:trPr>
          <w:trHeight w:val="2016"/>
          <w:jc w:val="center"/>
        </w:trPr>
        <w:tc>
          <w:tcPr>
            <w:tcW w:w="9562" w:type="dxa"/>
            <w:vAlign w:val="center"/>
          </w:tcPr>
          <w:p w14:paraId="3FECF86D" w14:textId="494F1877" w:rsidR="0035204D" w:rsidRPr="001D20AA" w:rsidRDefault="0035204D" w:rsidP="00900F25">
            <w:pPr>
              <w:pStyle w:val="EndnoteText"/>
              <w:rPr>
                <w:rFonts w:cs="Arial"/>
              </w:rPr>
            </w:pPr>
            <w:r w:rsidRPr="009A5185">
              <w:rPr>
                <w:rFonts w:cs="Arial"/>
                <w:b/>
              </w:rPr>
              <w:t>Sampling:</w:t>
            </w:r>
            <w:r w:rsidRPr="009A5185">
              <w:rPr>
                <w:rFonts w:cs="Arial"/>
              </w:rPr>
              <w:t xml:space="preserve"> If you ha</w:t>
            </w:r>
            <w:r w:rsidRPr="001D20AA">
              <w:rPr>
                <w:rFonts w:cs="Arial"/>
              </w:rPr>
              <w:t xml:space="preserve">ve </w:t>
            </w:r>
            <w:r w:rsidRPr="001D20AA">
              <w:rPr>
                <w:rFonts w:cs="Arial"/>
                <w:u w:val="single"/>
              </w:rPr>
              <w:t xml:space="preserve">fewer than </w:t>
            </w:r>
            <w:r>
              <w:rPr>
                <w:rFonts w:cs="Arial"/>
                <w:u w:val="single"/>
              </w:rPr>
              <w:t>30</w:t>
            </w:r>
            <w:r w:rsidRPr="001D20AA">
              <w:rPr>
                <w:rFonts w:cs="Arial"/>
                <w:u w:val="single"/>
              </w:rPr>
              <w:t xml:space="preserve"> cases</w:t>
            </w:r>
            <w:r w:rsidRPr="001D20AA">
              <w:rPr>
                <w:rFonts w:cs="Arial"/>
              </w:rPr>
              <w:t xml:space="preserve"> that meet the criteria for inclusion in the denominator of the process measure during the time period of the medical record audit, include ALL of these cases in measuring adherence to the process guidelines. You need NOT use more than 12 months of historical data to increase the eligible cases beyond </w:t>
            </w:r>
            <w:r>
              <w:rPr>
                <w:rFonts w:cs="Arial"/>
              </w:rPr>
              <w:t>30</w:t>
            </w:r>
            <w:r w:rsidRPr="001D20AA">
              <w:rPr>
                <w:rFonts w:cs="Arial"/>
              </w:rPr>
              <w:t xml:space="preserve">; just measure and report on ALL eligible cases that you have in that reporting period. </w:t>
            </w:r>
          </w:p>
          <w:p w14:paraId="01034917" w14:textId="77777777" w:rsidR="0035204D" w:rsidRPr="001D20AA" w:rsidRDefault="0035204D" w:rsidP="00900F25">
            <w:pPr>
              <w:pStyle w:val="EndnoteText"/>
              <w:rPr>
                <w:rFonts w:cs="Arial"/>
              </w:rPr>
            </w:pPr>
          </w:p>
          <w:p w14:paraId="03C26D69" w14:textId="615D6822" w:rsidR="0035204D" w:rsidRPr="009A5185" w:rsidRDefault="0035204D" w:rsidP="00900F25">
            <w:pPr>
              <w:pStyle w:val="EndnoteText"/>
            </w:pPr>
            <w:r w:rsidRPr="001D20AA">
              <w:rPr>
                <w:rFonts w:cs="Arial"/>
              </w:rPr>
              <w:t xml:space="preserve">If you have </w:t>
            </w:r>
            <w:r w:rsidRPr="001D20AA">
              <w:rPr>
                <w:rFonts w:cs="Arial"/>
                <w:u w:val="single"/>
              </w:rPr>
              <w:t xml:space="preserve">more than </w:t>
            </w:r>
            <w:r>
              <w:rPr>
                <w:rFonts w:cs="Arial"/>
                <w:u w:val="single"/>
              </w:rPr>
              <w:t>30</w:t>
            </w:r>
            <w:r w:rsidRPr="001D20AA">
              <w:rPr>
                <w:rFonts w:cs="Arial"/>
                <w:u w:val="single"/>
              </w:rPr>
              <w:t xml:space="preserve"> cases</w:t>
            </w:r>
            <w:r w:rsidRPr="001D20AA">
              <w:rPr>
                <w:rFonts w:cs="Arial"/>
              </w:rPr>
              <w:t xml:space="preserve"> that meet the criteria for inclusion in the denominator of the process measure during the time period of the medical record audit, you may randomly sample at least </w:t>
            </w:r>
            <w:r>
              <w:rPr>
                <w:rFonts w:cs="Arial"/>
              </w:rPr>
              <w:t>30</w:t>
            </w:r>
            <w:r w:rsidRPr="001D20AA">
              <w:rPr>
                <w:rFonts w:cs="Arial"/>
              </w:rPr>
              <w:t xml:space="preserve"> of them for the denominator of each guideline and measure and report adherence based on that sample.</w:t>
            </w:r>
          </w:p>
        </w:tc>
      </w:tr>
      <w:tr w:rsidR="0035204D" w:rsidRPr="009A5185" w14:paraId="7A8ECBD6" w14:textId="77777777" w:rsidTr="00900F25">
        <w:trPr>
          <w:trHeight w:val="2880"/>
          <w:jc w:val="center"/>
        </w:trPr>
        <w:tc>
          <w:tcPr>
            <w:tcW w:w="9562" w:type="dxa"/>
            <w:vAlign w:val="center"/>
          </w:tcPr>
          <w:p w14:paraId="7F4FBF34" w14:textId="6C3792E6" w:rsidR="0035204D" w:rsidRPr="009A5185" w:rsidRDefault="0035204D" w:rsidP="00900F25">
            <w:pPr>
              <w:autoSpaceDE w:val="0"/>
              <w:autoSpaceDN w:val="0"/>
              <w:adjustRightInd w:val="0"/>
              <w:rPr>
                <w:rFonts w:cs="Arial"/>
                <w:b/>
                <w:bCs/>
              </w:rPr>
            </w:pPr>
            <w:bookmarkStart w:id="370" w:name="_Hlk59092963"/>
            <w:r>
              <w:rPr>
                <w:rFonts w:cs="Arial"/>
                <w:b/>
                <w:bCs/>
              </w:rPr>
              <w:t>Question</w:t>
            </w:r>
            <w:r w:rsidRPr="009A5185">
              <w:rPr>
                <w:rFonts w:cs="Arial"/>
                <w:b/>
                <w:bCs/>
              </w:rPr>
              <w:t xml:space="preserve"> </w:t>
            </w:r>
            <w:r w:rsidR="00B407CB">
              <w:rPr>
                <w:rFonts w:cs="Arial"/>
                <w:b/>
                <w:bCs/>
              </w:rPr>
              <w:t>#</w:t>
            </w:r>
            <w:r>
              <w:rPr>
                <w:rFonts w:cs="Arial"/>
                <w:b/>
                <w:bCs/>
              </w:rPr>
              <w:t>7</w:t>
            </w:r>
            <w:r w:rsidRPr="009A5185">
              <w:rPr>
                <w:rFonts w:cs="Arial"/>
                <w:b/>
                <w:bCs/>
              </w:rPr>
              <w:t xml:space="preserve"> (denominator): </w:t>
            </w:r>
            <w:r w:rsidRPr="009A5185">
              <w:rPr>
                <w:rFonts w:cs="Arial"/>
                <w:bCs/>
              </w:rPr>
              <w:t>Eligible cases include a</w:t>
            </w:r>
            <w:r w:rsidRPr="009A5185">
              <w:rPr>
                <w:rFonts w:cs="Arial"/>
              </w:rPr>
              <w:t xml:space="preserve">ll women undergoing cesarean delivery during the reporting period. </w:t>
            </w:r>
          </w:p>
          <w:p w14:paraId="316734B0" w14:textId="77777777" w:rsidR="0035204D" w:rsidRPr="000C1F1D" w:rsidRDefault="0035204D" w:rsidP="00900F25">
            <w:pPr>
              <w:autoSpaceDE w:val="0"/>
              <w:autoSpaceDN w:val="0"/>
              <w:adjustRightInd w:val="0"/>
              <w:rPr>
                <w:rFonts w:cs="Arial"/>
                <w:i/>
                <w:sz w:val="16"/>
                <w:szCs w:val="16"/>
              </w:rPr>
            </w:pPr>
            <w:r w:rsidRPr="009A5185">
              <w:rPr>
                <w:rFonts w:cs="Arial"/>
                <w:i/>
              </w:rPr>
              <w:t xml:space="preserve"> </w:t>
            </w:r>
          </w:p>
          <w:p w14:paraId="5F5D1515" w14:textId="77777777" w:rsidR="0035204D" w:rsidRPr="009A5185" w:rsidRDefault="0035204D" w:rsidP="00900F25">
            <w:pPr>
              <w:autoSpaceDE w:val="0"/>
              <w:autoSpaceDN w:val="0"/>
              <w:adjustRightInd w:val="0"/>
              <w:rPr>
                <w:rFonts w:cs="Arial"/>
              </w:rPr>
            </w:pPr>
            <w:r w:rsidRPr="009A5185">
              <w:rPr>
                <w:rFonts w:cs="Arial"/>
              </w:rPr>
              <w:t>Include cases with one of the following MS-DRG codes:</w:t>
            </w:r>
          </w:p>
          <w:p w14:paraId="10FEBBF8" w14:textId="77777777" w:rsidR="0035204D" w:rsidRPr="001651B1" w:rsidRDefault="0035204D" w:rsidP="00AD309C">
            <w:pPr>
              <w:numPr>
                <w:ilvl w:val="0"/>
                <w:numId w:val="16"/>
              </w:numPr>
              <w:autoSpaceDE w:val="0"/>
              <w:autoSpaceDN w:val="0"/>
              <w:adjustRightInd w:val="0"/>
              <w:rPr>
                <w:rFonts w:cs="Arial"/>
                <w:color w:val="000000"/>
              </w:rPr>
            </w:pPr>
            <w:r w:rsidRPr="001651B1">
              <w:rPr>
                <w:rFonts w:cs="Arial"/>
                <w:color w:val="000000"/>
              </w:rPr>
              <w:t>783: Cesarean section with sterilization with MCC</w:t>
            </w:r>
          </w:p>
          <w:p w14:paraId="177DDDCE" w14:textId="77777777" w:rsidR="0035204D" w:rsidRPr="001651B1" w:rsidRDefault="0035204D" w:rsidP="00AD309C">
            <w:pPr>
              <w:numPr>
                <w:ilvl w:val="0"/>
                <w:numId w:val="16"/>
              </w:numPr>
              <w:autoSpaceDE w:val="0"/>
              <w:autoSpaceDN w:val="0"/>
              <w:adjustRightInd w:val="0"/>
              <w:rPr>
                <w:rFonts w:cs="Arial"/>
                <w:color w:val="000000"/>
              </w:rPr>
            </w:pPr>
            <w:r w:rsidRPr="001651B1">
              <w:rPr>
                <w:rFonts w:cs="Arial"/>
                <w:color w:val="000000"/>
              </w:rPr>
              <w:t>784: Cesarean section with sterilization with CC</w:t>
            </w:r>
          </w:p>
          <w:p w14:paraId="52B2F0F7" w14:textId="77777777" w:rsidR="0035204D" w:rsidRPr="001651B1" w:rsidRDefault="0035204D" w:rsidP="00AD309C">
            <w:pPr>
              <w:numPr>
                <w:ilvl w:val="0"/>
                <w:numId w:val="16"/>
              </w:numPr>
              <w:autoSpaceDE w:val="0"/>
              <w:autoSpaceDN w:val="0"/>
              <w:adjustRightInd w:val="0"/>
              <w:rPr>
                <w:rFonts w:cs="Arial"/>
                <w:color w:val="000000"/>
              </w:rPr>
            </w:pPr>
            <w:r w:rsidRPr="001651B1">
              <w:rPr>
                <w:rFonts w:cs="Arial"/>
                <w:color w:val="000000"/>
              </w:rPr>
              <w:t>785: Cesarean section with sterilization without CC/MCC</w:t>
            </w:r>
          </w:p>
          <w:p w14:paraId="35D3185C" w14:textId="77777777" w:rsidR="0035204D" w:rsidRPr="001651B1" w:rsidRDefault="0035204D" w:rsidP="00AD309C">
            <w:pPr>
              <w:numPr>
                <w:ilvl w:val="0"/>
                <w:numId w:val="16"/>
              </w:numPr>
              <w:autoSpaceDE w:val="0"/>
              <w:autoSpaceDN w:val="0"/>
              <w:adjustRightInd w:val="0"/>
              <w:rPr>
                <w:rFonts w:cs="Arial"/>
                <w:color w:val="000000"/>
              </w:rPr>
            </w:pPr>
            <w:r w:rsidRPr="001651B1">
              <w:rPr>
                <w:rFonts w:cs="Arial"/>
                <w:color w:val="000000"/>
              </w:rPr>
              <w:t>786: Cesarean section without sterilization with MCC</w:t>
            </w:r>
          </w:p>
          <w:p w14:paraId="7E5A5916" w14:textId="77777777" w:rsidR="0035204D" w:rsidRPr="001651B1" w:rsidRDefault="0035204D" w:rsidP="00AD309C">
            <w:pPr>
              <w:numPr>
                <w:ilvl w:val="0"/>
                <w:numId w:val="16"/>
              </w:numPr>
              <w:autoSpaceDE w:val="0"/>
              <w:autoSpaceDN w:val="0"/>
              <w:adjustRightInd w:val="0"/>
              <w:rPr>
                <w:rFonts w:cs="Arial"/>
                <w:color w:val="000000"/>
              </w:rPr>
            </w:pPr>
            <w:r w:rsidRPr="001651B1">
              <w:rPr>
                <w:rFonts w:cs="Arial"/>
                <w:color w:val="000000"/>
              </w:rPr>
              <w:t>787: Cesarean section without sterilization with CC</w:t>
            </w:r>
          </w:p>
          <w:p w14:paraId="6B188EC3" w14:textId="77777777" w:rsidR="0035204D" w:rsidRDefault="0035204D" w:rsidP="00AD309C">
            <w:pPr>
              <w:numPr>
                <w:ilvl w:val="0"/>
                <w:numId w:val="16"/>
              </w:numPr>
              <w:autoSpaceDE w:val="0"/>
              <w:autoSpaceDN w:val="0"/>
              <w:adjustRightInd w:val="0"/>
              <w:rPr>
                <w:rFonts w:cs="Arial"/>
                <w:color w:val="000000"/>
              </w:rPr>
            </w:pPr>
            <w:r w:rsidRPr="001651B1">
              <w:rPr>
                <w:rFonts w:cs="Arial"/>
                <w:color w:val="000000"/>
              </w:rPr>
              <w:t>788: Cesarean section without sterilization without CC/MCC</w:t>
            </w:r>
          </w:p>
          <w:p w14:paraId="455A19A2" w14:textId="77777777" w:rsidR="00C41D26" w:rsidRPr="000C1F1D" w:rsidRDefault="00C41D26" w:rsidP="00C41D26">
            <w:pPr>
              <w:autoSpaceDE w:val="0"/>
              <w:autoSpaceDN w:val="0"/>
              <w:adjustRightInd w:val="0"/>
              <w:rPr>
                <w:rFonts w:cs="Arial"/>
                <w:color w:val="000000"/>
                <w:sz w:val="16"/>
                <w:szCs w:val="16"/>
              </w:rPr>
            </w:pPr>
          </w:p>
          <w:p w14:paraId="5C3C74BA" w14:textId="41EFD5C6" w:rsidR="00C41D26" w:rsidRPr="002C718A" w:rsidRDefault="00C41D26" w:rsidP="00C41D26">
            <w:pPr>
              <w:autoSpaceDE w:val="0"/>
              <w:autoSpaceDN w:val="0"/>
              <w:adjustRightInd w:val="0"/>
              <w:rPr>
                <w:rFonts w:cs="Arial"/>
              </w:rPr>
            </w:pPr>
            <w:r w:rsidRPr="002C718A">
              <w:rPr>
                <w:rFonts w:cs="Arial"/>
              </w:rPr>
              <w:t>The following APR-DRGs should also be used to identify a cesarean delivery if your hospital uses APR-DRG coding:</w:t>
            </w:r>
          </w:p>
          <w:p w14:paraId="1656D7DE" w14:textId="31716EB7" w:rsidR="00C41D26" w:rsidRPr="002C718A" w:rsidRDefault="00C41D26" w:rsidP="00AD309C">
            <w:pPr>
              <w:pStyle w:val="ListParagraph"/>
              <w:numPr>
                <w:ilvl w:val="0"/>
                <w:numId w:val="83"/>
              </w:numPr>
              <w:autoSpaceDE w:val="0"/>
              <w:autoSpaceDN w:val="0"/>
              <w:adjustRightInd w:val="0"/>
              <w:rPr>
                <w:rFonts w:cs="Arial"/>
              </w:rPr>
            </w:pPr>
            <w:r w:rsidRPr="002C718A">
              <w:rPr>
                <w:rFonts w:cs="Arial"/>
              </w:rPr>
              <w:t>539: Cesarean section with sterilization</w:t>
            </w:r>
          </w:p>
          <w:p w14:paraId="756A4886" w14:textId="2B24B17E" w:rsidR="00C41D26" w:rsidRPr="002C718A" w:rsidRDefault="00C41D26" w:rsidP="00AD309C">
            <w:pPr>
              <w:pStyle w:val="ListParagraph"/>
              <w:numPr>
                <w:ilvl w:val="0"/>
                <w:numId w:val="83"/>
              </w:numPr>
              <w:autoSpaceDE w:val="0"/>
              <w:autoSpaceDN w:val="0"/>
              <w:adjustRightInd w:val="0"/>
              <w:rPr>
                <w:rFonts w:cs="Arial"/>
              </w:rPr>
            </w:pPr>
            <w:r w:rsidRPr="002C718A">
              <w:rPr>
                <w:rFonts w:cs="Arial"/>
              </w:rPr>
              <w:t>540: Cesarean section without sterilization</w:t>
            </w:r>
          </w:p>
          <w:p w14:paraId="20446CE6" w14:textId="77777777" w:rsidR="003A09DE" w:rsidRPr="002C718A" w:rsidRDefault="003A09DE" w:rsidP="003A09DE">
            <w:pPr>
              <w:autoSpaceDE w:val="0"/>
              <w:autoSpaceDN w:val="0"/>
              <w:adjustRightInd w:val="0"/>
              <w:rPr>
                <w:rFonts w:cs="Arial"/>
                <w:sz w:val="16"/>
                <w:szCs w:val="16"/>
              </w:rPr>
            </w:pPr>
          </w:p>
          <w:p w14:paraId="7FF63F14" w14:textId="68901061" w:rsidR="003A09DE" w:rsidRPr="002C718A" w:rsidRDefault="003A09DE" w:rsidP="003A09DE">
            <w:pPr>
              <w:autoSpaceDE w:val="0"/>
              <w:autoSpaceDN w:val="0"/>
              <w:adjustRightInd w:val="0"/>
              <w:rPr>
                <w:rFonts w:cs="Arial"/>
              </w:rPr>
            </w:pPr>
            <w:r w:rsidRPr="002C718A">
              <w:rPr>
                <w:rFonts w:cs="Arial"/>
              </w:rPr>
              <w:t>The following Tricare DRGs should also be used to identify a cesarean delivery if your hospital uses Tricare DRG coding:</w:t>
            </w:r>
          </w:p>
          <w:p w14:paraId="31F9FB08" w14:textId="18EAD271" w:rsidR="003A09DE" w:rsidRPr="002C718A" w:rsidRDefault="003A09DE" w:rsidP="00AD309C">
            <w:pPr>
              <w:pStyle w:val="ListParagraph"/>
              <w:numPr>
                <w:ilvl w:val="0"/>
                <w:numId w:val="225"/>
              </w:numPr>
              <w:autoSpaceDE w:val="0"/>
              <w:autoSpaceDN w:val="0"/>
              <w:adjustRightInd w:val="0"/>
              <w:rPr>
                <w:rFonts w:cs="Arial"/>
              </w:rPr>
            </w:pPr>
            <w:r w:rsidRPr="002C718A">
              <w:rPr>
                <w:rFonts w:cs="Arial"/>
              </w:rPr>
              <w:t>771 Cesarean section without sterilization with MCC</w:t>
            </w:r>
          </w:p>
          <w:p w14:paraId="5E203E24" w14:textId="32CCE9BD" w:rsidR="003A09DE" w:rsidRPr="002C718A" w:rsidRDefault="003A09DE" w:rsidP="00AD309C">
            <w:pPr>
              <w:pStyle w:val="ListParagraph"/>
              <w:numPr>
                <w:ilvl w:val="0"/>
                <w:numId w:val="225"/>
              </w:numPr>
              <w:autoSpaceDE w:val="0"/>
              <w:autoSpaceDN w:val="0"/>
              <w:adjustRightInd w:val="0"/>
              <w:rPr>
                <w:rFonts w:cs="Arial"/>
              </w:rPr>
            </w:pPr>
            <w:r w:rsidRPr="002C718A">
              <w:rPr>
                <w:rFonts w:cs="Arial"/>
              </w:rPr>
              <w:t>772 Cesarean section without sterilization with CC</w:t>
            </w:r>
          </w:p>
          <w:p w14:paraId="15FCDBEC" w14:textId="3F0941B8" w:rsidR="003A09DE" w:rsidRPr="002C718A" w:rsidRDefault="003A09DE" w:rsidP="00AD309C">
            <w:pPr>
              <w:pStyle w:val="ListParagraph"/>
              <w:numPr>
                <w:ilvl w:val="0"/>
                <w:numId w:val="225"/>
              </w:numPr>
              <w:autoSpaceDE w:val="0"/>
              <w:autoSpaceDN w:val="0"/>
              <w:adjustRightInd w:val="0"/>
              <w:rPr>
                <w:rFonts w:cs="Arial"/>
              </w:rPr>
            </w:pPr>
            <w:r w:rsidRPr="002C718A">
              <w:rPr>
                <w:rFonts w:cs="Arial"/>
              </w:rPr>
              <w:t>773 Cesarean section without sterilization without CC/MCC</w:t>
            </w:r>
          </w:p>
          <w:p w14:paraId="208DB558" w14:textId="3618AA61" w:rsidR="003A09DE" w:rsidRPr="002C718A" w:rsidRDefault="003A09DE" w:rsidP="00AD309C">
            <w:pPr>
              <w:pStyle w:val="ListParagraph"/>
              <w:numPr>
                <w:ilvl w:val="0"/>
                <w:numId w:val="225"/>
              </w:numPr>
              <w:autoSpaceDE w:val="0"/>
              <w:autoSpaceDN w:val="0"/>
              <w:adjustRightInd w:val="0"/>
              <w:rPr>
                <w:rFonts w:cs="Arial"/>
              </w:rPr>
            </w:pPr>
            <w:r w:rsidRPr="002C718A">
              <w:rPr>
                <w:rFonts w:cs="Arial"/>
              </w:rPr>
              <w:t>783 Cesarean section with sterilization with MCC</w:t>
            </w:r>
          </w:p>
          <w:p w14:paraId="7772A4D1" w14:textId="6E08D349" w:rsidR="003A09DE" w:rsidRPr="002C718A" w:rsidRDefault="003A09DE" w:rsidP="00AD309C">
            <w:pPr>
              <w:pStyle w:val="ListParagraph"/>
              <w:numPr>
                <w:ilvl w:val="0"/>
                <w:numId w:val="225"/>
              </w:numPr>
              <w:autoSpaceDE w:val="0"/>
              <w:autoSpaceDN w:val="0"/>
              <w:adjustRightInd w:val="0"/>
              <w:rPr>
                <w:rFonts w:cs="Arial"/>
              </w:rPr>
            </w:pPr>
            <w:r w:rsidRPr="002C718A">
              <w:rPr>
                <w:rFonts w:cs="Arial"/>
              </w:rPr>
              <w:t>784 Cesarean section with sterilization with CC</w:t>
            </w:r>
          </w:p>
          <w:p w14:paraId="3106F5A4" w14:textId="4C7641FD" w:rsidR="003A09DE" w:rsidRPr="002C718A" w:rsidRDefault="003A09DE" w:rsidP="00AD309C">
            <w:pPr>
              <w:pStyle w:val="ListParagraph"/>
              <w:numPr>
                <w:ilvl w:val="0"/>
                <w:numId w:val="225"/>
              </w:numPr>
              <w:autoSpaceDE w:val="0"/>
              <w:autoSpaceDN w:val="0"/>
              <w:adjustRightInd w:val="0"/>
              <w:rPr>
                <w:rFonts w:cs="Arial"/>
              </w:rPr>
            </w:pPr>
            <w:r w:rsidRPr="002C718A">
              <w:rPr>
                <w:rFonts w:cs="Arial"/>
              </w:rPr>
              <w:t>785 Cesarean section with sterilization without CC/MCC</w:t>
            </w:r>
          </w:p>
          <w:bookmarkEnd w:id="370"/>
          <w:p w14:paraId="2829ACBA" w14:textId="77777777" w:rsidR="0035204D" w:rsidRPr="009A5185" w:rsidRDefault="0035204D" w:rsidP="00900F25">
            <w:pPr>
              <w:autoSpaceDE w:val="0"/>
              <w:autoSpaceDN w:val="0"/>
              <w:adjustRightInd w:val="0"/>
              <w:rPr>
                <w:rFonts w:cs="Arial"/>
                <w:sz w:val="16"/>
                <w:szCs w:val="16"/>
              </w:rPr>
            </w:pPr>
          </w:p>
          <w:p w14:paraId="22C1A976" w14:textId="10059D16" w:rsidR="0035204D" w:rsidRPr="009A5185" w:rsidRDefault="0035204D" w:rsidP="00900F25">
            <w:pPr>
              <w:autoSpaceDE w:val="0"/>
              <w:autoSpaceDN w:val="0"/>
              <w:adjustRightInd w:val="0"/>
              <w:rPr>
                <w:rFonts w:cs="Arial"/>
                <w:i/>
              </w:rPr>
            </w:pPr>
            <w:r w:rsidRPr="009A5185">
              <w:rPr>
                <w:rFonts w:cs="Arial"/>
                <w:b/>
                <w:bCs/>
              </w:rPr>
              <w:t xml:space="preserve">Excluded Populations: </w:t>
            </w:r>
            <w:r w:rsidRPr="009A5185">
              <w:rPr>
                <w:rFonts w:cs="Arial"/>
                <w:bCs/>
              </w:rPr>
              <w:t>None.</w:t>
            </w:r>
          </w:p>
        </w:tc>
      </w:tr>
      <w:tr w:rsidR="0035204D" w:rsidRPr="009A5185" w14:paraId="3C9597B7" w14:textId="77777777" w:rsidTr="002C718A">
        <w:trPr>
          <w:trHeight w:val="1728"/>
          <w:jc w:val="center"/>
        </w:trPr>
        <w:tc>
          <w:tcPr>
            <w:tcW w:w="9562" w:type="dxa"/>
            <w:vAlign w:val="center"/>
          </w:tcPr>
          <w:p w14:paraId="532EC4E1" w14:textId="12B3C97A" w:rsidR="0035204D" w:rsidRPr="002C3920" w:rsidRDefault="0035204D" w:rsidP="00AD15CB">
            <w:pPr>
              <w:autoSpaceDE w:val="0"/>
              <w:autoSpaceDN w:val="0"/>
              <w:adjustRightInd w:val="0"/>
            </w:pPr>
            <w:r>
              <w:rPr>
                <w:rFonts w:cs="Arial"/>
                <w:b/>
                <w:bCs/>
              </w:rPr>
              <w:t xml:space="preserve">Question </w:t>
            </w:r>
            <w:r w:rsidR="00B407CB">
              <w:rPr>
                <w:rFonts w:cs="Arial"/>
                <w:b/>
                <w:bCs/>
              </w:rPr>
              <w:t>#</w:t>
            </w:r>
            <w:r>
              <w:rPr>
                <w:rFonts w:cs="Arial"/>
                <w:b/>
                <w:bCs/>
              </w:rPr>
              <w:t>8</w:t>
            </w:r>
            <w:r w:rsidRPr="009A5185">
              <w:rPr>
                <w:rFonts w:cs="Arial"/>
                <w:b/>
                <w:bCs/>
              </w:rPr>
              <w:t xml:space="preserve"> (numerator) </w:t>
            </w:r>
            <w:r w:rsidRPr="009A5185">
              <w:rPr>
                <w:rFonts w:cs="Arial"/>
              </w:rPr>
              <w:t>Number of eligible cases included in the denominator who received</w:t>
            </w:r>
            <w:r w:rsidR="0095552E">
              <w:rPr>
                <w:rFonts w:cs="Arial"/>
              </w:rPr>
              <w:t xml:space="preserve"> </w:t>
            </w:r>
            <w:r w:rsidRPr="002C3920">
              <w:t xml:space="preserve">pneumatic compression devices prior to surgery. </w:t>
            </w:r>
          </w:p>
          <w:p w14:paraId="4443DA8F" w14:textId="77777777" w:rsidR="0035204D" w:rsidRPr="000C1F1D" w:rsidRDefault="0035204D" w:rsidP="00900F25">
            <w:pPr>
              <w:autoSpaceDE w:val="0"/>
              <w:autoSpaceDN w:val="0"/>
              <w:adjustRightInd w:val="0"/>
              <w:rPr>
                <w:rFonts w:cs="Arial"/>
                <w:b/>
                <w:bCs/>
                <w:sz w:val="16"/>
                <w:szCs w:val="16"/>
              </w:rPr>
            </w:pPr>
          </w:p>
          <w:p w14:paraId="7A246C39" w14:textId="367F29E4" w:rsidR="0035204D" w:rsidRDefault="0035204D" w:rsidP="00900F25">
            <w:pPr>
              <w:autoSpaceDE w:val="0"/>
              <w:autoSpaceDN w:val="0"/>
              <w:adjustRightInd w:val="0"/>
              <w:rPr>
                <w:rFonts w:cs="Arial"/>
                <w:bCs/>
              </w:rPr>
            </w:pPr>
            <w:r>
              <w:rPr>
                <w:rFonts w:cs="Arial"/>
                <w:bCs/>
              </w:rPr>
              <w:t>Note</w:t>
            </w:r>
            <w:r w:rsidR="00E91A65">
              <w:rPr>
                <w:rFonts w:cs="Arial"/>
                <w:bCs/>
              </w:rPr>
              <w:t xml:space="preserve"> 1</w:t>
            </w:r>
            <w:r>
              <w:rPr>
                <w:rFonts w:cs="Arial"/>
                <w:bCs/>
              </w:rPr>
              <w:t>: U</w:t>
            </w:r>
            <w:r w:rsidRPr="008566D4">
              <w:rPr>
                <w:rFonts w:cs="Arial"/>
                <w:bCs/>
              </w:rPr>
              <w:t xml:space="preserve">se of a pneumatic compression device may be documented in the OR </w:t>
            </w:r>
            <w:r w:rsidR="00B407CB" w:rsidRPr="008566D4">
              <w:rPr>
                <w:rFonts w:cs="Arial"/>
                <w:bCs/>
              </w:rPr>
              <w:t>log but</w:t>
            </w:r>
            <w:r w:rsidRPr="008566D4">
              <w:rPr>
                <w:rFonts w:cs="Arial"/>
                <w:bCs/>
              </w:rPr>
              <w:t xml:space="preserve"> must be placed pre-operatively to qualify for inclusion in the numerator.</w:t>
            </w:r>
          </w:p>
          <w:p w14:paraId="18AF7821" w14:textId="77777777" w:rsidR="00D40683" w:rsidRDefault="00D40683" w:rsidP="00D40683">
            <w:pPr>
              <w:autoSpaceDE w:val="0"/>
              <w:autoSpaceDN w:val="0"/>
              <w:adjustRightInd w:val="0"/>
              <w:rPr>
                <w:rFonts w:cs="Arial"/>
                <w:bCs/>
              </w:rPr>
            </w:pPr>
          </w:p>
          <w:p w14:paraId="421D38EA" w14:textId="735ED8C8" w:rsidR="00D40683" w:rsidRDefault="00D40683" w:rsidP="00D40683">
            <w:pPr>
              <w:autoSpaceDE w:val="0"/>
              <w:autoSpaceDN w:val="0"/>
              <w:adjustRightInd w:val="0"/>
              <w:rPr>
                <w:rFonts w:cs="Arial"/>
                <w:bCs/>
              </w:rPr>
            </w:pPr>
            <w:r w:rsidRPr="008B4CFE">
              <w:rPr>
                <w:rFonts w:cs="Arial"/>
                <w:bCs/>
              </w:rPr>
              <w:t xml:space="preserve">Note 2: </w:t>
            </w:r>
            <w:hyperlink r:id="rId309" w:history="1">
              <w:r w:rsidRPr="008B4CFE">
                <w:rPr>
                  <w:rStyle w:val="Hyperlink"/>
                  <w:rFonts w:cs="Arial"/>
                </w:rPr>
                <w:t>C</w:t>
              </w:r>
              <w:r w:rsidRPr="008B4CFE">
                <w:rPr>
                  <w:rStyle w:val="Hyperlink"/>
                </w:rPr>
                <w:t>linical guidelines</w:t>
              </w:r>
            </w:hyperlink>
            <w:r w:rsidRPr="008B4CFE">
              <w:t xml:space="preserve"> continue to recommend that patients at high or moderate risk for DVT should also receive appropriate pharmacological prophylaxis in addition to the placement of pneumatic compression devices.</w:t>
            </w:r>
          </w:p>
          <w:p w14:paraId="6258C376" w14:textId="77777777" w:rsidR="0035204D" w:rsidRPr="000C1F1D" w:rsidRDefault="0035204D" w:rsidP="00900F25">
            <w:pPr>
              <w:autoSpaceDE w:val="0"/>
              <w:autoSpaceDN w:val="0"/>
              <w:adjustRightInd w:val="0"/>
              <w:rPr>
                <w:rFonts w:cs="Arial"/>
                <w:bCs/>
                <w:sz w:val="16"/>
                <w:szCs w:val="16"/>
              </w:rPr>
            </w:pPr>
          </w:p>
          <w:p w14:paraId="024F7058" w14:textId="2F44CDFE" w:rsidR="00FF5E78" w:rsidRPr="00B67AD1" w:rsidRDefault="0035204D" w:rsidP="00900F25">
            <w:pPr>
              <w:autoSpaceDE w:val="0"/>
              <w:autoSpaceDN w:val="0"/>
              <w:adjustRightInd w:val="0"/>
              <w:rPr>
                <w:rFonts w:cs="Arial"/>
                <w:bCs/>
              </w:rPr>
            </w:pPr>
            <w:r>
              <w:rPr>
                <w:rFonts w:cs="Arial"/>
                <w:bCs/>
              </w:rPr>
              <w:t xml:space="preserve">For a list of approved pneumatic compression devices, see the devices listed under “Intermittent Pneumatic Compression Device (IPC)” in </w:t>
            </w:r>
            <w:hyperlink r:id="rId310" w:anchor="A_42Table_2.1_VTE_Prophylaxis_Inclusion_Table_42" w:history="1">
              <w:r w:rsidR="00FD60A2" w:rsidRPr="000E2910">
                <w:rPr>
                  <w:rStyle w:val="Hyperlink"/>
                  <w:rFonts w:cs="Arial"/>
                  <w:bCs/>
                </w:rPr>
                <w:t>Table 2.1 VTE Prophylaxis Inclusion Table</w:t>
              </w:r>
            </w:hyperlink>
            <w:r w:rsidR="00FD60A2">
              <w:rPr>
                <w:rFonts w:cs="Arial"/>
                <w:bCs/>
              </w:rPr>
              <w:t>.</w:t>
            </w:r>
          </w:p>
        </w:tc>
      </w:tr>
    </w:tbl>
    <w:p w14:paraId="58BAB3A2" w14:textId="39CC5778" w:rsidR="006E0696" w:rsidRDefault="006E0696">
      <w:pPr>
        <w:rPr>
          <w:rFonts w:cs="Arial"/>
          <w:b/>
          <w:i/>
          <w:snapToGrid w:val="0"/>
          <w:sz w:val="22"/>
          <w:szCs w:val="22"/>
          <w:lang w:eastAsia="ja-JP"/>
        </w:rPr>
      </w:pPr>
      <w:bookmarkStart w:id="371" w:name="_High-Risk_Deliveries"/>
      <w:bookmarkStart w:id="372" w:name="_Ref123647044"/>
      <w:bookmarkStart w:id="373" w:name="_Ref123647058"/>
      <w:bookmarkEnd w:id="371"/>
    </w:p>
    <w:p w14:paraId="3ACDE038" w14:textId="7FF442FC" w:rsidR="004C5CE3" w:rsidRPr="009A5185" w:rsidRDefault="006E50EF" w:rsidP="00AB5B80">
      <w:pPr>
        <w:pStyle w:val="Heading3"/>
      </w:pPr>
      <w:bookmarkStart w:id="374" w:name="_High-Risk_Deliveries_Measure_1"/>
      <w:bookmarkStart w:id="375" w:name="_Toc225877744"/>
      <w:bookmarkEnd w:id="374"/>
      <w:r w:rsidRPr="009A5185">
        <w:t>High-Risk Deliveries</w:t>
      </w:r>
      <w:bookmarkEnd w:id="364"/>
      <w:bookmarkEnd w:id="365"/>
      <w:bookmarkEnd w:id="372"/>
      <w:bookmarkEnd w:id="373"/>
      <w:r w:rsidR="00B078B4">
        <w:t xml:space="preserve"> Measure Specifications</w:t>
      </w:r>
      <w:bookmarkEnd w:id="375"/>
    </w:p>
    <w:p w14:paraId="071F85AF" w14:textId="77777777" w:rsidR="006E50EF" w:rsidRPr="009A5185" w:rsidRDefault="006E50EF" w:rsidP="0065777E">
      <w:pPr>
        <w:rPr>
          <w:rFonts w:cs="Arial"/>
          <w:lang w:eastAsia="ja-JP"/>
        </w:rPr>
      </w:pPr>
    </w:p>
    <w:p w14:paraId="0BA29838" w14:textId="77777777" w:rsidR="00003991" w:rsidRPr="009A5185" w:rsidRDefault="00017A11" w:rsidP="0065777E">
      <w:pPr>
        <w:rPr>
          <w:rFonts w:cs="Arial"/>
          <w:b/>
          <w:color w:val="FF0000"/>
          <w:lang w:eastAsia="ja-JP"/>
        </w:rPr>
      </w:pPr>
      <w:bookmarkStart w:id="376" w:name="_High-Risk_Deliveries_Volume"/>
      <w:bookmarkEnd w:id="376"/>
      <w:r w:rsidRPr="009A5185">
        <w:rPr>
          <w:rFonts w:cs="Arial"/>
          <w:b/>
          <w:color w:val="FF0000"/>
          <w:lang w:eastAsia="ja-JP"/>
        </w:rPr>
        <w:t>Important Note</w:t>
      </w:r>
      <w:r w:rsidR="00003991" w:rsidRPr="009A5185">
        <w:rPr>
          <w:rFonts w:cs="Arial"/>
          <w:b/>
          <w:color w:val="FF0000"/>
          <w:lang w:eastAsia="ja-JP"/>
        </w:rPr>
        <w:t>s</w:t>
      </w:r>
      <w:r w:rsidRPr="009A5185">
        <w:rPr>
          <w:rFonts w:cs="Arial"/>
          <w:b/>
          <w:color w:val="FF0000"/>
          <w:lang w:eastAsia="ja-JP"/>
        </w:rPr>
        <w:t xml:space="preserve">: </w:t>
      </w:r>
    </w:p>
    <w:p w14:paraId="77B64267" w14:textId="77777777" w:rsidR="00003991" w:rsidRPr="009A5185" w:rsidRDefault="00003991" w:rsidP="0065777E">
      <w:pPr>
        <w:rPr>
          <w:rFonts w:cs="Arial"/>
          <w:b/>
          <w:color w:val="FF0000"/>
          <w:lang w:eastAsia="ja-JP"/>
        </w:rPr>
      </w:pPr>
    </w:p>
    <w:p w14:paraId="261E741D" w14:textId="1445BB31" w:rsidR="00BF3DC5" w:rsidRPr="009A5185" w:rsidRDefault="00003991" w:rsidP="0065777E">
      <w:pPr>
        <w:rPr>
          <w:rFonts w:cs="Arial"/>
          <w:lang w:eastAsia="ja-JP"/>
        </w:rPr>
      </w:pPr>
      <w:r w:rsidRPr="009A5185">
        <w:rPr>
          <w:rFonts w:cs="Arial"/>
          <w:lang w:eastAsia="ja-JP"/>
        </w:rPr>
        <w:t xml:space="preserve">Note 1: </w:t>
      </w:r>
      <w:r w:rsidR="00B407CB" w:rsidRPr="009A5185">
        <w:rPr>
          <w:rFonts w:cs="Arial"/>
          <w:snapToGrid w:val="0"/>
        </w:rPr>
        <w:t xml:space="preserve">Hospitals that share a </w:t>
      </w:r>
      <w:r w:rsidR="00B407CB">
        <w:rPr>
          <w:rFonts w:cs="Arial"/>
          <w:snapToGrid w:val="0"/>
        </w:rPr>
        <w:t>CMS Certification Number</w:t>
      </w:r>
      <w:r w:rsidR="00B407CB" w:rsidRPr="009A5185">
        <w:rPr>
          <w:rFonts w:cs="Arial"/>
          <w:snapToGrid w:val="0"/>
        </w:rPr>
        <w:t xml:space="preserve"> are required to report by facility. Please carefully review </w:t>
      </w:r>
      <w:hyperlink r:id="rId311" w:history="1">
        <w:r w:rsidR="00B407CB" w:rsidRPr="009A5185">
          <w:rPr>
            <w:rStyle w:val="Hyperlink"/>
            <w:rFonts w:cs="Arial"/>
            <w:snapToGrid w:val="0"/>
          </w:rPr>
          <w:t>Leapfrog’s Multi-Campus Reporting Policy</w:t>
        </w:r>
      </w:hyperlink>
      <w:r w:rsidR="00B407CB" w:rsidRPr="009A5185">
        <w:rPr>
          <w:rFonts w:cs="Arial"/>
          <w:snapToGrid w:val="0"/>
        </w:rPr>
        <w:t>.</w:t>
      </w:r>
      <w:r w:rsidR="00017A11" w:rsidRPr="009A5185">
        <w:rPr>
          <w:rFonts w:cs="Arial"/>
          <w:lang w:eastAsia="ja-JP"/>
        </w:rPr>
        <w:t xml:space="preserve"> </w:t>
      </w:r>
    </w:p>
    <w:p w14:paraId="79593866" w14:textId="77777777" w:rsidR="00003991" w:rsidRPr="008B4492" w:rsidRDefault="00003991" w:rsidP="0065777E">
      <w:pPr>
        <w:rPr>
          <w:rFonts w:cs="Arial"/>
          <w:sz w:val="16"/>
          <w:szCs w:val="16"/>
          <w:lang w:eastAsia="ja-JP"/>
        </w:rPr>
      </w:pPr>
    </w:p>
    <w:p w14:paraId="0A4F5A30" w14:textId="60E23450" w:rsidR="006E50EF" w:rsidRPr="009A5185" w:rsidRDefault="00003991" w:rsidP="0065777E">
      <w:pPr>
        <w:rPr>
          <w:rFonts w:cs="Arial"/>
        </w:rPr>
      </w:pPr>
      <w:r w:rsidRPr="009A5185">
        <w:rPr>
          <w:rFonts w:cs="Arial"/>
          <w:lang w:eastAsia="ja-JP"/>
        </w:rPr>
        <w:t xml:space="preserve">Note 2: </w:t>
      </w:r>
      <w:r w:rsidR="00B407CB" w:rsidRPr="009A5185">
        <w:rPr>
          <w:rFonts w:cs="Arial"/>
          <w:lang w:eastAsia="ja-JP"/>
        </w:rPr>
        <w:t>Hospitals should re</w:t>
      </w:r>
      <w:r w:rsidR="004C1908">
        <w:rPr>
          <w:rFonts w:cs="Arial"/>
          <w:lang w:eastAsia="ja-JP"/>
        </w:rPr>
        <w:t>port</w:t>
      </w:r>
      <w:r w:rsidR="00B407CB" w:rsidRPr="009A5185">
        <w:rPr>
          <w:rFonts w:cs="Arial"/>
          <w:lang w:eastAsia="ja-JP"/>
        </w:rPr>
        <w:t xml:space="preserve"> on </w:t>
      </w:r>
      <w:r w:rsidR="00875C00">
        <w:rPr>
          <w:rFonts w:cs="Arial"/>
          <w:lang w:eastAsia="ja-JP"/>
        </w:rPr>
        <w:t>the selection from Section 4</w:t>
      </w:r>
      <w:r w:rsidR="0016658F">
        <w:rPr>
          <w:rFonts w:cs="Arial"/>
          <w:lang w:eastAsia="ja-JP"/>
        </w:rPr>
        <w:t>E</w:t>
      </w:r>
      <w:r w:rsidR="00875C00">
        <w:rPr>
          <w:rFonts w:cs="Arial"/>
          <w:lang w:eastAsia="ja-JP"/>
        </w:rPr>
        <w:t xml:space="preserve"> </w:t>
      </w:r>
      <w:r w:rsidR="0069232B">
        <w:rPr>
          <w:rFonts w:cs="Arial"/>
          <w:lang w:eastAsia="ja-JP"/>
        </w:rPr>
        <w:t>q</w:t>
      </w:r>
      <w:r w:rsidR="00875C00">
        <w:rPr>
          <w:rFonts w:cs="Arial"/>
          <w:lang w:eastAsia="ja-JP"/>
        </w:rPr>
        <w:t>uestion #3</w:t>
      </w:r>
      <w:r w:rsidR="00A70E2A">
        <w:rPr>
          <w:rFonts w:cs="Arial"/>
          <w:lang w:eastAsia="ja-JP"/>
        </w:rPr>
        <w:t xml:space="preserve"> (</w:t>
      </w:r>
      <w:r w:rsidR="00B407CB" w:rsidRPr="009A5185">
        <w:rPr>
          <w:rFonts w:cs="Arial"/>
          <w:b/>
          <w:lang w:eastAsia="ja-JP"/>
        </w:rPr>
        <w:t>either</w:t>
      </w:r>
      <w:r w:rsidR="00B407CB" w:rsidRPr="009A5185">
        <w:rPr>
          <w:rFonts w:cs="Arial"/>
          <w:lang w:eastAsia="ja-JP"/>
        </w:rPr>
        <w:t xml:space="preserve"> Volume OR the National Performance Measure</w:t>
      </w:r>
      <w:r w:rsidR="004C1908">
        <w:rPr>
          <w:rFonts w:cs="Arial"/>
          <w:lang w:eastAsia="ja-JP"/>
        </w:rPr>
        <w:t xml:space="preserve"> (VON)</w:t>
      </w:r>
      <w:r w:rsidR="00A70E2A">
        <w:rPr>
          <w:rFonts w:cs="Arial"/>
          <w:lang w:eastAsia="ja-JP"/>
        </w:rPr>
        <w:t>)</w:t>
      </w:r>
      <w:r w:rsidR="00B407CB" w:rsidRPr="009A5185">
        <w:rPr>
          <w:rFonts w:cs="Arial"/>
          <w:lang w:eastAsia="ja-JP"/>
        </w:rPr>
        <w:t xml:space="preserve">. </w:t>
      </w:r>
    </w:p>
    <w:p w14:paraId="2143A321" w14:textId="77777777" w:rsidR="006E50EF" w:rsidRPr="008B4492" w:rsidRDefault="006E50EF" w:rsidP="0065777E">
      <w:pPr>
        <w:rPr>
          <w:rFonts w:cs="Arial"/>
          <w:sz w:val="16"/>
          <w:szCs w:val="16"/>
          <w:lang w:eastAsia="ja-JP"/>
        </w:rPr>
      </w:pPr>
    </w:p>
    <w:p w14:paraId="026D7BE6" w14:textId="77777777" w:rsidR="00C7333E" w:rsidRPr="006922BB" w:rsidRDefault="00C7333E" w:rsidP="00C7333E">
      <w:pPr>
        <w:pStyle w:val="Heading44"/>
      </w:pPr>
      <w:bookmarkStart w:id="377" w:name="_Toc383775030"/>
      <w:r w:rsidRPr="006922BB">
        <w:t xml:space="preserve">Neonatal Intensive Care Unit(s) – Volume </w:t>
      </w:r>
    </w:p>
    <w:p w14:paraId="479C344A" w14:textId="77777777" w:rsidR="00C7333E" w:rsidRDefault="00C7333E" w:rsidP="006922BB">
      <w:pPr>
        <w:rPr>
          <w:b/>
          <w:bCs/>
        </w:rPr>
      </w:pPr>
    </w:p>
    <w:p w14:paraId="7E608C1D" w14:textId="58EC2D3E" w:rsidR="0018754F" w:rsidRDefault="0018754F" w:rsidP="00F0772B">
      <w:pPr>
        <w:rPr>
          <w:rFonts w:cs="Arial"/>
        </w:rPr>
      </w:pPr>
      <w:r w:rsidRPr="009A5185">
        <w:rPr>
          <w:rFonts w:cs="Arial"/>
          <w:lang w:eastAsia="ja-JP"/>
        </w:rPr>
        <w:t xml:space="preserve">Hospitals opting to report on Volume should only </w:t>
      </w:r>
      <w:r w:rsidRPr="009A5185">
        <w:rPr>
          <w:rFonts w:cs="Arial"/>
          <w:color w:val="000000"/>
        </w:rPr>
        <w:t xml:space="preserve">use ICD-10-CM codes as indicated </w:t>
      </w:r>
      <w:r w:rsidRPr="009A5185">
        <w:rPr>
          <w:rFonts w:cs="Arial"/>
          <w:color w:val="000000"/>
          <w:lang w:eastAsia="ja-JP"/>
        </w:rPr>
        <w:t>in the specifications</w:t>
      </w:r>
      <w:r>
        <w:rPr>
          <w:rFonts w:cs="Arial"/>
          <w:color w:val="000000"/>
          <w:lang w:eastAsia="ja-JP"/>
        </w:rPr>
        <w:t xml:space="preserve"> below</w:t>
      </w:r>
      <w:r w:rsidRPr="009A5185">
        <w:rPr>
          <w:rFonts w:cs="Arial"/>
          <w:color w:val="000000"/>
        </w:rPr>
        <w:t>. When calculating hospital volume, count the number of patients with any one or more of the specified diagnosis codes for high-risk deliveries, subject to the other inclusion/exclusion criteria below. The diagnosis codes may be in any field.</w:t>
      </w:r>
      <w:r w:rsidRPr="009A5185">
        <w:rPr>
          <w:rFonts w:cs="Arial"/>
          <w:lang w:eastAsia="ja-JP"/>
        </w:rPr>
        <w:t xml:space="preserve"> </w:t>
      </w:r>
      <w:r w:rsidRPr="009A5185">
        <w:rPr>
          <w:rFonts w:cs="Arial"/>
        </w:rPr>
        <w:t>The count can include inborn as well as transfer cases.</w:t>
      </w:r>
    </w:p>
    <w:p w14:paraId="143C010F" w14:textId="77777777" w:rsidR="0018754F" w:rsidRDefault="0018754F" w:rsidP="00F0772B">
      <w:pPr>
        <w:rPr>
          <w:b/>
          <w:bCs/>
        </w:rPr>
      </w:pPr>
    </w:p>
    <w:tbl>
      <w:tblPr>
        <w:tblStyle w:val="TableGrid"/>
        <w:tblW w:w="0" w:type="auto"/>
        <w:tblLook w:val="04A0" w:firstRow="1" w:lastRow="0" w:firstColumn="1" w:lastColumn="0" w:noHBand="0" w:noVBand="1"/>
      </w:tblPr>
      <w:tblGrid>
        <w:gridCol w:w="9350"/>
      </w:tblGrid>
      <w:tr w:rsidR="00373D03" w14:paraId="14DE5441" w14:textId="77777777" w:rsidTr="00373D03">
        <w:trPr>
          <w:trHeight w:val="288"/>
        </w:trPr>
        <w:tc>
          <w:tcPr>
            <w:tcW w:w="9350" w:type="dxa"/>
          </w:tcPr>
          <w:p w14:paraId="4F554253" w14:textId="6705AE5B" w:rsidR="00373D03" w:rsidRPr="00373D03" w:rsidRDefault="00AB530D" w:rsidP="00373D03">
            <w:pPr>
              <w:rPr>
                <w:bCs/>
              </w:rPr>
            </w:pPr>
            <w:r w:rsidRPr="009A5185">
              <w:rPr>
                <w:rFonts w:cs="Arial"/>
                <w:b/>
              </w:rPr>
              <w:t>Source:</w:t>
            </w:r>
            <w:r w:rsidRPr="009A5185">
              <w:rPr>
                <w:rFonts w:cs="Arial"/>
              </w:rPr>
              <w:t xml:space="preserve"> The Leapfrog Group </w:t>
            </w:r>
          </w:p>
        </w:tc>
      </w:tr>
      <w:tr w:rsidR="00AB530D" w14:paraId="6668EFDA" w14:textId="77777777" w:rsidTr="00373D03">
        <w:trPr>
          <w:trHeight w:val="288"/>
        </w:trPr>
        <w:tc>
          <w:tcPr>
            <w:tcW w:w="9350" w:type="dxa"/>
          </w:tcPr>
          <w:p w14:paraId="62C666DE" w14:textId="77777777" w:rsidR="00AB530D" w:rsidRPr="009A5185" w:rsidRDefault="00AB530D" w:rsidP="00AB530D">
            <w:pPr>
              <w:autoSpaceDE w:val="0"/>
              <w:autoSpaceDN w:val="0"/>
              <w:adjustRightInd w:val="0"/>
              <w:rPr>
                <w:rFonts w:cs="Arial"/>
                <w:b/>
                <w:snapToGrid w:val="0"/>
              </w:rPr>
            </w:pPr>
            <w:r w:rsidRPr="009A5185">
              <w:rPr>
                <w:rFonts w:cs="Arial"/>
                <w:b/>
                <w:snapToGrid w:val="0"/>
              </w:rPr>
              <w:t>Reporting Period: 12 months</w:t>
            </w:r>
          </w:p>
          <w:p w14:paraId="70654955" w14:textId="77777777" w:rsidR="00AB530D" w:rsidRPr="00AE4A45" w:rsidRDefault="00AB530D" w:rsidP="00AD309C">
            <w:pPr>
              <w:pStyle w:val="ListParagraph"/>
              <w:numPr>
                <w:ilvl w:val="0"/>
                <w:numId w:val="12"/>
              </w:numPr>
              <w:rPr>
                <w:rFonts w:cs="Arial"/>
                <w:i/>
                <w:snapToGrid w:val="0"/>
              </w:rPr>
            </w:pPr>
            <w:r w:rsidRPr="00AE4A45">
              <w:rPr>
                <w:rFonts w:cs="Arial"/>
                <w:iCs/>
                <w:snapToGrid w:val="0"/>
              </w:rPr>
              <w:t>Surveys submitted prior to September 1:</w:t>
            </w:r>
          </w:p>
          <w:p w14:paraId="78BB374A" w14:textId="7F0170A1" w:rsidR="00AB530D" w:rsidRPr="00AE4A45" w:rsidRDefault="00AB530D" w:rsidP="00AD309C">
            <w:pPr>
              <w:pStyle w:val="ListParagraph"/>
              <w:numPr>
                <w:ilvl w:val="1"/>
                <w:numId w:val="12"/>
              </w:numPr>
              <w:rPr>
                <w:rFonts w:cs="Arial"/>
                <w:i/>
                <w:snapToGrid w:val="0"/>
              </w:rPr>
            </w:pPr>
            <w:r w:rsidRPr="00AE4A45">
              <w:rPr>
                <w:rFonts w:cs="Arial"/>
                <w:snapToGrid w:val="0"/>
              </w:rPr>
              <w:t>01/01/202</w:t>
            </w:r>
            <w:r w:rsidR="00CC291D">
              <w:rPr>
                <w:rFonts w:cs="Arial"/>
                <w:snapToGrid w:val="0"/>
              </w:rPr>
              <w:t>5</w:t>
            </w:r>
            <w:r w:rsidRPr="00AE4A45">
              <w:rPr>
                <w:rFonts w:cs="Arial"/>
                <w:snapToGrid w:val="0"/>
              </w:rPr>
              <w:t xml:space="preserve"> </w:t>
            </w:r>
            <w:r>
              <w:rPr>
                <w:rFonts w:cs="Arial"/>
                <w:snapToGrid w:val="0"/>
              </w:rPr>
              <w:t>–</w:t>
            </w:r>
            <w:r w:rsidRPr="00AE4A45">
              <w:rPr>
                <w:rFonts w:cs="Arial"/>
                <w:snapToGrid w:val="0"/>
              </w:rPr>
              <w:t xml:space="preserve"> 12/31/202</w:t>
            </w:r>
            <w:r w:rsidR="00CC291D">
              <w:rPr>
                <w:rFonts w:cs="Arial"/>
                <w:snapToGrid w:val="0"/>
              </w:rPr>
              <w:t>5</w:t>
            </w:r>
          </w:p>
          <w:p w14:paraId="30917882" w14:textId="77777777" w:rsidR="00AB530D" w:rsidRPr="00AB530D" w:rsidRDefault="00AB530D" w:rsidP="00AD309C">
            <w:pPr>
              <w:pStyle w:val="ListParagraph"/>
              <w:numPr>
                <w:ilvl w:val="0"/>
                <w:numId w:val="12"/>
              </w:numPr>
              <w:rPr>
                <w:rFonts w:cs="Arial"/>
                <w:i/>
                <w:snapToGrid w:val="0"/>
              </w:rPr>
            </w:pPr>
            <w:r w:rsidRPr="00AE4A45">
              <w:rPr>
                <w:rFonts w:cs="Arial"/>
                <w:snapToGrid w:val="0"/>
              </w:rPr>
              <w:t xml:space="preserve">Surveys (re)submitted on or after September 1: </w:t>
            </w:r>
          </w:p>
          <w:p w14:paraId="0B69A26F" w14:textId="5743AB9D" w:rsidR="00AB530D" w:rsidRPr="000C1F1D" w:rsidRDefault="00AB530D" w:rsidP="00AD309C">
            <w:pPr>
              <w:pStyle w:val="ListParagraph"/>
              <w:numPr>
                <w:ilvl w:val="1"/>
                <w:numId w:val="12"/>
              </w:numPr>
              <w:rPr>
                <w:rFonts w:cs="Arial"/>
                <w:i/>
                <w:snapToGrid w:val="0"/>
              </w:rPr>
            </w:pPr>
            <w:r w:rsidRPr="00AB530D">
              <w:rPr>
                <w:rFonts w:cs="Arial"/>
                <w:snapToGrid w:val="0"/>
              </w:rPr>
              <w:t>07/01/202</w:t>
            </w:r>
            <w:r w:rsidR="00CC291D">
              <w:rPr>
                <w:rFonts w:cs="Arial"/>
                <w:snapToGrid w:val="0"/>
              </w:rPr>
              <w:t>5</w:t>
            </w:r>
            <w:r w:rsidRPr="00AB530D">
              <w:rPr>
                <w:rFonts w:cs="Arial"/>
                <w:snapToGrid w:val="0"/>
              </w:rPr>
              <w:t xml:space="preserve"> – 06/30/202</w:t>
            </w:r>
            <w:r w:rsidR="00CC291D">
              <w:rPr>
                <w:rFonts w:cs="Arial"/>
                <w:snapToGrid w:val="0"/>
              </w:rPr>
              <w:t>6</w:t>
            </w:r>
          </w:p>
          <w:p w14:paraId="5B53E862" w14:textId="77777777" w:rsidR="006E0696" w:rsidRPr="008B4492" w:rsidRDefault="006E0696" w:rsidP="006E0696">
            <w:pPr>
              <w:rPr>
                <w:rFonts w:cs="Arial"/>
                <w:i/>
                <w:snapToGrid w:val="0"/>
                <w:sz w:val="16"/>
                <w:szCs w:val="16"/>
              </w:rPr>
            </w:pPr>
          </w:p>
          <w:p w14:paraId="77E6A586" w14:textId="1C53829D" w:rsidR="006E0696" w:rsidRPr="000C1F1D" w:rsidRDefault="006E0696" w:rsidP="000C1F1D">
            <w:pPr>
              <w:rPr>
                <w:rFonts w:cs="Arial"/>
                <w:i/>
                <w:snapToGrid w:val="0"/>
              </w:rPr>
            </w:pPr>
            <w:r>
              <w:rPr>
                <w:rFonts w:cs="Arial"/>
                <w:bCs/>
              </w:rPr>
              <w:t>Note: The discharge date must be used to determine whether a case falls within the reporting period specified.</w:t>
            </w:r>
          </w:p>
        </w:tc>
      </w:tr>
      <w:tr w:rsidR="008B4492" w14:paraId="4BE46FA2" w14:textId="77777777" w:rsidTr="00373D03">
        <w:trPr>
          <w:trHeight w:val="288"/>
        </w:trPr>
        <w:tc>
          <w:tcPr>
            <w:tcW w:w="9350" w:type="dxa"/>
          </w:tcPr>
          <w:p w14:paraId="328747B2" w14:textId="42B29134" w:rsidR="008B4492" w:rsidRDefault="008B4492" w:rsidP="008B4492">
            <w:pPr>
              <w:rPr>
                <w:rFonts w:cs="Arial"/>
                <w:b/>
              </w:rPr>
            </w:pPr>
            <w:r w:rsidRPr="006922BB">
              <w:rPr>
                <w:b/>
                <w:bCs/>
              </w:rPr>
              <w:t>Question #5</w:t>
            </w:r>
            <w:r>
              <w:rPr>
                <w:b/>
                <w:bCs/>
              </w:rPr>
              <w:t xml:space="preserve"> (</w:t>
            </w:r>
            <w:r w:rsidRPr="006922BB">
              <w:rPr>
                <w:b/>
                <w:bCs/>
              </w:rPr>
              <w:t>Instructions for Volume Reporting</w:t>
            </w:r>
            <w:r>
              <w:rPr>
                <w:b/>
                <w:bCs/>
              </w:rPr>
              <w:t>)</w:t>
            </w:r>
          </w:p>
          <w:p w14:paraId="0AD64A8A" w14:textId="77777777" w:rsidR="008B4492" w:rsidRPr="008B4492" w:rsidRDefault="008B4492" w:rsidP="008B4492">
            <w:pPr>
              <w:rPr>
                <w:rFonts w:cs="Arial"/>
                <w:b/>
                <w:sz w:val="16"/>
                <w:szCs w:val="16"/>
              </w:rPr>
            </w:pPr>
          </w:p>
          <w:p w14:paraId="59F63F90" w14:textId="77777777" w:rsidR="008B4492" w:rsidRPr="00AA1DD2" w:rsidRDefault="008B4492" w:rsidP="008B4492">
            <w:pPr>
              <w:rPr>
                <w:rFonts w:cs="Arial"/>
                <w:b/>
              </w:rPr>
            </w:pPr>
            <w:r>
              <w:rPr>
                <w:rFonts w:cs="Arial"/>
                <w:b/>
              </w:rPr>
              <w:t>Included Populations:</w:t>
            </w:r>
          </w:p>
          <w:p w14:paraId="56F15054" w14:textId="77777777" w:rsidR="008B4492" w:rsidRPr="00AA1DD2" w:rsidRDefault="008B4492" w:rsidP="008B4492">
            <w:pPr>
              <w:rPr>
                <w:rFonts w:cs="Arial"/>
                <w:i/>
              </w:rPr>
            </w:pPr>
            <w:r w:rsidRPr="00AA1DD2">
              <w:rPr>
                <w:rFonts w:cs="Arial"/>
              </w:rPr>
              <w:t>Number of newborns admitted to the neonatal ICU with the following ICD-10-CM codes:</w:t>
            </w:r>
            <w:r w:rsidRPr="00AA1DD2">
              <w:rPr>
                <w:rFonts w:cs="Arial"/>
                <w:i/>
              </w:rPr>
              <w:t xml:space="preserve"> </w:t>
            </w:r>
          </w:p>
          <w:p w14:paraId="02A37844" w14:textId="77777777" w:rsidR="008B4492" w:rsidRPr="008B4492" w:rsidRDefault="008B4492" w:rsidP="008B4492">
            <w:pPr>
              <w:rPr>
                <w:rFonts w:cs="Arial"/>
                <w:sz w:val="16"/>
                <w:szCs w:val="16"/>
                <w:lang w:eastAsia="ja-JP"/>
              </w:rPr>
            </w:pPr>
          </w:p>
          <w:tbl>
            <w:tblPr>
              <w:tblStyle w:val="TableGrid"/>
              <w:tblW w:w="0" w:type="auto"/>
              <w:tblLook w:val="04A0" w:firstRow="1" w:lastRow="0" w:firstColumn="1" w:lastColumn="0" w:noHBand="0" w:noVBand="1"/>
            </w:tblPr>
            <w:tblGrid>
              <w:gridCol w:w="2303"/>
              <w:gridCol w:w="6821"/>
            </w:tblGrid>
            <w:tr w:rsidR="008B4492" w:rsidRPr="009A5185" w14:paraId="4A75167B" w14:textId="77777777" w:rsidTr="00AD15CB">
              <w:trPr>
                <w:trHeight w:val="360"/>
              </w:trPr>
              <w:tc>
                <w:tcPr>
                  <w:tcW w:w="2303" w:type="dxa"/>
                  <w:shd w:val="clear" w:color="auto" w:fill="D9D9D9" w:themeFill="background1" w:themeFillShade="D9"/>
                  <w:vAlign w:val="center"/>
                </w:tcPr>
                <w:p w14:paraId="544982B2" w14:textId="77777777" w:rsidR="008B4492" w:rsidRPr="009A5185" w:rsidRDefault="008B4492" w:rsidP="008B4492">
                  <w:pPr>
                    <w:rPr>
                      <w:rFonts w:cs="Arial"/>
                      <w:b/>
                      <w:lang w:eastAsia="ja-JP"/>
                    </w:rPr>
                  </w:pPr>
                  <w:r w:rsidRPr="009A5185">
                    <w:rPr>
                      <w:rFonts w:cs="Arial"/>
                      <w:b/>
                      <w:lang w:eastAsia="ja-JP"/>
                    </w:rPr>
                    <w:t>ICD-10-CM Code</w:t>
                  </w:r>
                </w:p>
              </w:tc>
              <w:tc>
                <w:tcPr>
                  <w:tcW w:w="6821" w:type="dxa"/>
                  <w:shd w:val="clear" w:color="auto" w:fill="D9D9D9" w:themeFill="background1" w:themeFillShade="D9"/>
                  <w:vAlign w:val="center"/>
                </w:tcPr>
                <w:p w14:paraId="2327D723" w14:textId="77777777" w:rsidR="008B4492" w:rsidRPr="009A5185" w:rsidRDefault="008B4492" w:rsidP="008B4492">
                  <w:pPr>
                    <w:rPr>
                      <w:rFonts w:cs="Arial"/>
                      <w:b/>
                      <w:lang w:eastAsia="ja-JP"/>
                    </w:rPr>
                  </w:pPr>
                  <w:r w:rsidRPr="009A5185">
                    <w:rPr>
                      <w:rFonts w:cs="Arial"/>
                      <w:b/>
                      <w:lang w:eastAsia="ja-JP"/>
                    </w:rPr>
                    <w:t>Description</w:t>
                  </w:r>
                </w:p>
              </w:tc>
            </w:tr>
            <w:tr w:rsidR="008B4492" w:rsidRPr="009A5185" w14:paraId="011E9EB4" w14:textId="77777777" w:rsidTr="00AD15CB">
              <w:trPr>
                <w:trHeight w:val="360"/>
              </w:trPr>
              <w:tc>
                <w:tcPr>
                  <w:tcW w:w="2303" w:type="dxa"/>
                  <w:vAlign w:val="center"/>
                </w:tcPr>
                <w:p w14:paraId="08EC5271" w14:textId="77777777" w:rsidR="008B4492" w:rsidRPr="009A5185" w:rsidRDefault="008B4492" w:rsidP="008B4492">
                  <w:pPr>
                    <w:rPr>
                      <w:rFonts w:cs="Arial"/>
                      <w:lang w:eastAsia="ja-JP"/>
                    </w:rPr>
                  </w:pPr>
                  <w:r w:rsidRPr="009A5185">
                    <w:rPr>
                      <w:rFonts w:cs="Arial"/>
                      <w:lang w:eastAsia="ja-JP"/>
                    </w:rPr>
                    <w:t>P05.02</w:t>
                  </w:r>
                </w:p>
              </w:tc>
              <w:tc>
                <w:tcPr>
                  <w:tcW w:w="6821" w:type="dxa"/>
                  <w:vAlign w:val="center"/>
                </w:tcPr>
                <w:p w14:paraId="6D235FC9" w14:textId="77777777" w:rsidR="008B4492" w:rsidRPr="009A5185" w:rsidRDefault="008B4492" w:rsidP="008B4492">
                  <w:pPr>
                    <w:rPr>
                      <w:rFonts w:cs="Arial"/>
                      <w:lang w:eastAsia="ja-JP"/>
                    </w:rPr>
                  </w:pPr>
                  <w:r w:rsidRPr="009A5185">
                    <w:rPr>
                      <w:rFonts w:cs="Arial"/>
                      <w:lang w:eastAsia="ja-JP"/>
                    </w:rPr>
                    <w:t>Newborn light for gestational age, 500-749 grams</w:t>
                  </w:r>
                </w:p>
              </w:tc>
            </w:tr>
            <w:tr w:rsidR="008B4492" w:rsidRPr="009A5185" w14:paraId="107B40B0" w14:textId="77777777" w:rsidTr="00AD15CB">
              <w:trPr>
                <w:trHeight w:val="360"/>
              </w:trPr>
              <w:tc>
                <w:tcPr>
                  <w:tcW w:w="2303" w:type="dxa"/>
                  <w:vAlign w:val="center"/>
                </w:tcPr>
                <w:p w14:paraId="0EBB1C76" w14:textId="77777777" w:rsidR="008B4492" w:rsidRPr="009A5185" w:rsidRDefault="008B4492" w:rsidP="008B4492">
                  <w:pPr>
                    <w:rPr>
                      <w:rFonts w:cs="Arial"/>
                      <w:lang w:eastAsia="ja-JP"/>
                    </w:rPr>
                  </w:pPr>
                  <w:r w:rsidRPr="009A5185">
                    <w:rPr>
                      <w:rFonts w:cs="Arial"/>
                      <w:lang w:eastAsia="ja-JP"/>
                    </w:rPr>
                    <w:t>P05.03</w:t>
                  </w:r>
                </w:p>
              </w:tc>
              <w:tc>
                <w:tcPr>
                  <w:tcW w:w="6821" w:type="dxa"/>
                  <w:vAlign w:val="center"/>
                </w:tcPr>
                <w:p w14:paraId="3B3F8FC5" w14:textId="77777777" w:rsidR="008B4492" w:rsidRPr="009A5185" w:rsidRDefault="008B4492" w:rsidP="008B4492">
                  <w:pPr>
                    <w:rPr>
                      <w:rFonts w:cs="Arial"/>
                      <w:lang w:eastAsia="ja-JP"/>
                    </w:rPr>
                  </w:pPr>
                  <w:r w:rsidRPr="009A5185">
                    <w:rPr>
                      <w:rFonts w:cs="Arial"/>
                      <w:lang w:eastAsia="ja-JP"/>
                    </w:rPr>
                    <w:t>Newborn light for gestational age, 750-999 grams</w:t>
                  </w:r>
                </w:p>
              </w:tc>
            </w:tr>
            <w:tr w:rsidR="008B4492" w:rsidRPr="009A5185" w14:paraId="37D234A0" w14:textId="77777777" w:rsidTr="00AD15CB">
              <w:trPr>
                <w:trHeight w:val="360"/>
              </w:trPr>
              <w:tc>
                <w:tcPr>
                  <w:tcW w:w="2303" w:type="dxa"/>
                  <w:vAlign w:val="center"/>
                </w:tcPr>
                <w:p w14:paraId="636D6013" w14:textId="77777777" w:rsidR="008B4492" w:rsidRPr="009A5185" w:rsidRDefault="008B4492" w:rsidP="008B4492">
                  <w:pPr>
                    <w:rPr>
                      <w:rFonts w:cs="Arial"/>
                      <w:lang w:eastAsia="ja-JP"/>
                    </w:rPr>
                  </w:pPr>
                  <w:r w:rsidRPr="009A5185">
                    <w:rPr>
                      <w:rFonts w:cs="Arial"/>
                    </w:rPr>
                    <w:t>P05.04</w:t>
                  </w:r>
                </w:p>
              </w:tc>
              <w:tc>
                <w:tcPr>
                  <w:tcW w:w="6821" w:type="dxa"/>
                  <w:vAlign w:val="center"/>
                </w:tcPr>
                <w:p w14:paraId="760BA552" w14:textId="77777777" w:rsidR="008B4492" w:rsidRPr="009A5185" w:rsidRDefault="008B4492" w:rsidP="008B4492">
                  <w:pPr>
                    <w:rPr>
                      <w:rFonts w:cs="Arial"/>
                      <w:lang w:eastAsia="ja-JP"/>
                    </w:rPr>
                  </w:pPr>
                  <w:r w:rsidRPr="009A5185">
                    <w:rPr>
                      <w:rFonts w:cs="Arial"/>
                    </w:rPr>
                    <w:t>Newborn light for gestational age, 1000-1249 grams</w:t>
                  </w:r>
                </w:p>
              </w:tc>
            </w:tr>
            <w:tr w:rsidR="008B4492" w:rsidRPr="009A5185" w14:paraId="76EF051B" w14:textId="77777777" w:rsidTr="00AD15CB">
              <w:trPr>
                <w:trHeight w:val="360"/>
              </w:trPr>
              <w:tc>
                <w:tcPr>
                  <w:tcW w:w="2303" w:type="dxa"/>
                  <w:vAlign w:val="center"/>
                </w:tcPr>
                <w:p w14:paraId="16399F17" w14:textId="77777777" w:rsidR="008B4492" w:rsidRPr="009A5185" w:rsidRDefault="008B4492" w:rsidP="008B4492">
                  <w:pPr>
                    <w:rPr>
                      <w:rFonts w:cs="Arial"/>
                      <w:lang w:eastAsia="ja-JP"/>
                    </w:rPr>
                  </w:pPr>
                  <w:r w:rsidRPr="009A5185">
                    <w:rPr>
                      <w:rFonts w:cs="Arial"/>
                    </w:rPr>
                    <w:t>P05.05</w:t>
                  </w:r>
                </w:p>
              </w:tc>
              <w:tc>
                <w:tcPr>
                  <w:tcW w:w="6821" w:type="dxa"/>
                  <w:vAlign w:val="center"/>
                </w:tcPr>
                <w:p w14:paraId="3B98FB57" w14:textId="77777777" w:rsidR="008B4492" w:rsidRPr="009A5185" w:rsidRDefault="008B4492" w:rsidP="008B4492">
                  <w:pPr>
                    <w:rPr>
                      <w:rFonts w:cs="Arial"/>
                      <w:lang w:eastAsia="ja-JP"/>
                    </w:rPr>
                  </w:pPr>
                  <w:r w:rsidRPr="009A5185">
                    <w:rPr>
                      <w:rFonts w:cs="Arial"/>
                    </w:rPr>
                    <w:t>Newborn light for gestational age, 1250-1499 grams</w:t>
                  </w:r>
                </w:p>
              </w:tc>
            </w:tr>
            <w:tr w:rsidR="008B4492" w:rsidRPr="009A5185" w14:paraId="3027E3BC" w14:textId="77777777" w:rsidTr="00AD15CB">
              <w:trPr>
                <w:trHeight w:val="360"/>
              </w:trPr>
              <w:tc>
                <w:tcPr>
                  <w:tcW w:w="2303" w:type="dxa"/>
                  <w:vAlign w:val="center"/>
                </w:tcPr>
                <w:p w14:paraId="4AA3C81B" w14:textId="77777777" w:rsidR="008B4492" w:rsidRPr="009A5185" w:rsidRDefault="008B4492" w:rsidP="008B4492">
                  <w:pPr>
                    <w:rPr>
                      <w:rFonts w:cs="Arial"/>
                      <w:lang w:eastAsia="ja-JP"/>
                    </w:rPr>
                  </w:pPr>
                  <w:r w:rsidRPr="009A5185">
                    <w:rPr>
                      <w:rFonts w:cs="Arial"/>
                    </w:rPr>
                    <w:t>P05.12</w:t>
                  </w:r>
                </w:p>
              </w:tc>
              <w:tc>
                <w:tcPr>
                  <w:tcW w:w="6821" w:type="dxa"/>
                  <w:vAlign w:val="center"/>
                </w:tcPr>
                <w:p w14:paraId="084091D9" w14:textId="77777777" w:rsidR="008B4492" w:rsidRPr="009A5185" w:rsidRDefault="008B4492" w:rsidP="008B4492">
                  <w:pPr>
                    <w:rPr>
                      <w:rFonts w:cs="Arial"/>
                      <w:lang w:eastAsia="ja-JP"/>
                    </w:rPr>
                  </w:pPr>
                  <w:r w:rsidRPr="009A5185">
                    <w:rPr>
                      <w:rFonts w:cs="Arial"/>
                    </w:rPr>
                    <w:t>Newborn small for gestational age, 500-749 grams</w:t>
                  </w:r>
                </w:p>
              </w:tc>
            </w:tr>
            <w:tr w:rsidR="008B4492" w:rsidRPr="009A5185" w14:paraId="60F4D9E2" w14:textId="77777777" w:rsidTr="00AD15CB">
              <w:trPr>
                <w:trHeight w:val="360"/>
              </w:trPr>
              <w:tc>
                <w:tcPr>
                  <w:tcW w:w="2303" w:type="dxa"/>
                  <w:vAlign w:val="center"/>
                </w:tcPr>
                <w:p w14:paraId="05587C17" w14:textId="77777777" w:rsidR="008B4492" w:rsidRPr="009A5185" w:rsidRDefault="008B4492" w:rsidP="008B4492">
                  <w:pPr>
                    <w:rPr>
                      <w:rFonts w:cs="Arial"/>
                      <w:lang w:eastAsia="ja-JP"/>
                    </w:rPr>
                  </w:pPr>
                  <w:r w:rsidRPr="009A5185">
                    <w:rPr>
                      <w:rFonts w:cs="Arial"/>
                    </w:rPr>
                    <w:t>P05.13</w:t>
                  </w:r>
                </w:p>
              </w:tc>
              <w:tc>
                <w:tcPr>
                  <w:tcW w:w="6821" w:type="dxa"/>
                  <w:vAlign w:val="center"/>
                </w:tcPr>
                <w:p w14:paraId="2E9D3B33" w14:textId="77777777" w:rsidR="008B4492" w:rsidRPr="009A5185" w:rsidRDefault="008B4492" w:rsidP="008B4492">
                  <w:pPr>
                    <w:rPr>
                      <w:rFonts w:cs="Arial"/>
                      <w:lang w:eastAsia="ja-JP"/>
                    </w:rPr>
                  </w:pPr>
                  <w:r w:rsidRPr="009A5185">
                    <w:rPr>
                      <w:rFonts w:cs="Arial"/>
                    </w:rPr>
                    <w:t>Newborn small for gestational age, 750-999 grams</w:t>
                  </w:r>
                </w:p>
              </w:tc>
            </w:tr>
            <w:tr w:rsidR="008B4492" w:rsidRPr="009A5185" w14:paraId="475FD9B7" w14:textId="77777777" w:rsidTr="00AD15CB">
              <w:trPr>
                <w:trHeight w:val="360"/>
              </w:trPr>
              <w:tc>
                <w:tcPr>
                  <w:tcW w:w="2303" w:type="dxa"/>
                  <w:vAlign w:val="center"/>
                </w:tcPr>
                <w:p w14:paraId="2C57A272" w14:textId="77777777" w:rsidR="008B4492" w:rsidRPr="009A5185" w:rsidRDefault="008B4492" w:rsidP="008B4492">
                  <w:pPr>
                    <w:rPr>
                      <w:rFonts w:cs="Arial"/>
                      <w:lang w:eastAsia="ja-JP"/>
                    </w:rPr>
                  </w:pPr>
                  <w:r w:rsidRPr="009A5185">
                    <w:rPr>
                      <w:rFonts w:cs="Arial"/>
                    </w:rPr>
                    <w:t>P05.14</w:t>
                  </w:r>
                </w:p>
              </w:tc>
              <w:tc>
                <w:tcPr>
                  <w:tcW w:w="6821" w:type="dxa"/>
                  <w:vAlign w:val="center"/>
                </w:tcPr>
                <w:p w14:paraId="38FFC61B" w14:textId="77777777" w:rsidR="008B4492" w:rsidRPr="009A5185" w:rsidRDefault="008B4492" w:rsidP="008B4492">
                  <w:pPr>
                    <w:rPr>
                      <w:rFonts w:cs="Arial"/>
                      <w:lang w:eastAsia="ja-JP"/>
                    </w:rPr>
                  </w:pPr>
                  <w:r w:rsidRPr="009A5185">
                    <w:rPr>
                      <w:rFonts w:cs="Arial"/>
                    </w:rPr>
                    <w:t>Newborn small for gestational age, 1000-1249 grams</w:t>
                  </w:r>
                </w:p>
              </w:tc>
            </w:tr>
            <w:tr w:rsidR="008B4492" w:rsidRPr="009A5185" w14:paraId="5D5D6E44" w14:textId="77777777" w:rsidTr="00AD15CB">
              <w:trPr>
                <w:trHeight w:val="360"/>
              </w:trPr>
              <w:tc>
                <w:tcPr>
                  <w:tcW w:w="2303" w:type="dxa"/>
                  <w:vAlign w:val="center"/>
                </w:tcPr>
                <w:p w14:paraId="43302E80" w14:textId="77777777" w:rsidR="008B4492" w:rsidRPr="009A5185" w:rsidRDefault="008B4492" w:rsidP="008B4492">
                  <w:pPr>
                    <w:rPr>
                      <w:rFonts w:cs="Arial"/>
                    </w:rPr>
                  </w:pPr>
                  <w:r w:rsidRPr="009A5185">
                    <w:rPr>
                      <w:rFonts w:cs="Arial"/>
                    </w:rPr>
                    <w:t>P05.15</w:t>
                  </w:r>
                </w:p>
              </w:tc>
              <w:tc>
                <w:tcPr>
                  <w:tcW w:w="6821" w:type="dxa"/>
                  <w:vAlign w:val="center"/>
                </w:tcPr>
                <w:p w14:paraId="2A74C95B" w14:textId="77777777" w:rsidR="008B4492" w:rsidRPr="009A5185" w:rsidRDefault="008B4492" w:rsidP="008B4492">
                  <w:pPr>
                    <w:rPr>
                      <w:rFonts w:cs="Arial"/>
                    </w:rPr>
                  </w:pPr>
                  <w:r w:rsidRPr="009A5185">
                    <w:rPr>
                      <w:rFonts w:cs="Arial"/>
                    </w:rPr>
                    <w:t>Newborn small for gestational age, 1250-1499 grams</w:t>
                  </w:r>
                </w:p>
              </w:tc>
            </w:tr>
            <w:tr w:rsidR="008B4492" w:rsidRPr="009A5185" w14:paraId="4E560D6C" w14:textId="77777777" w:rsidTr="00AD15CB">
              <w:trPr>
                <w:trHeight w:val="360"/>
              </w:trPr>
              <w:tc>
                <w:tcPr>
                  <w:tcW w:w="2303" w:type="dxa"/>
                  <w:vAlign w:val="center"/>
                </w:tcPr>
                <w:p w14:paraId="54A6D56B" w14:textId="77777777" w:rsidR="008B4492" w:rsidRPr="009A5185" w:rsidRDefault="008B4492" w:rsidP="008B4492">
                  <w:pPr>
                    <w:rPr>
                      <w:rFonts w:cs="Arial"/>
                    </w:rPr>
                  </w:pPr>
                  <w:r w:rsidRPr="009A5185">
                    <w:rPr>
                      <w:rFonts w:cs="Arial"/>
                    </w:rPr>
                    <w:t>P07.02</w:t>
                  </w:r>
                </w:p>
              </w:tc>
              <w:tc>
                <w:tcPr>
                  <w:tcW w:w="6821" w:type="dxa"/>
                  <w:vAlign w:val="center"/>
                </w:tcPr>
                <w:p w14:paraId="1F56570B" w14:textId="77777777" w:rsidR="008B4492" w:rsidRPr="009A5185" w:rsidRDefault="008B4492" w:rsidP="008B4492">
                  <w:pPr>
                    <w:rPr>
                      <w:rFonts w:cs="Arial"/>
                    </w:rPr>
                  </w:pPr>
                  <w:r w:rsidRPr="009A5185">
                    <w:rPr>
                      <w:rFonts w:cs="Arial"/>
                    </w:rPr>
                    <w:t>Extremely low birth weight newborn, 500-749 grams</w:t>
                  </w:r>
                </w:p>
              </w:tc>
            </w:tr>
            <w:tr w:rsidR="008B4492" w:rsidRPr="009A5185" w14:paraId="7AD8DD7B" w14:textId="77777777" w:rsidTr="00AD15CB">
              <w:trPr>
                <w:trHeight w:val="360"/>
              </w:trPr>
              <w:tc>
                <w:tcPr>
                  <w:tcW w:w="2303" w:type="dxa"/>
                  <w:vAlign w:val="center"/>
                </w:tcPr>
                <w:p w14:paraId="564DCC90" w14:textId="77777777" w:rsidR="008B4492" w:rsidRPr="009A5185" w:rsidRDefault="008B4492" w:rsidP="008B4492">
                  <w:pPr>
                    <w:rPr>
                      <w:rFonts w:cs="Arial"/>
                    </w:rPr>
                  </w:pPr>
                  <w:r w:rsidRPr="009A5185">
                    <w:rPr>
                      <w:rFonts w:cs="Arial"/>
                    </w:rPr>
                    <w:t>P07.03</w:t>
                  </w:r>
                </w:p>
              </w:tc>
              <w:tc>
                <w:tcPr>
                  <w:tcW w:w="6821" w:type="dxa"/>
                  <w:vAlign w:val="center"/>
                </w:tcPr>
                <w:p w14:paraId="01AD9279" w14:textId="77777777" w:rsidR="008B4492" w:rsidRPr="009A5185" w:rsidRDefault="008B4492" w:rsidP="008B4492">
                  <w:pPr>
                    <w:rPr>
                      <w:rFonts w:cs="Arial"/>
                    </w:rPr>
                  </w:pPr>
                  <w:r w:rsidRPr="009A5185">
                    <w:rPr>
                      <w:rFonts w:cs="Arial"/>
                    </w:rPr>
                    <w:t>Extremely low birth weight newborn, 750-999 grams</w:t>
                  </w:r>
                </w:p>
              </w:tc>
            </w:tr>
            <w:tr w:rsidR="008B4492" w:rsidRPr="009A5185" w14:paraId="352A83BD" w14:textId="77777777" w:rsidTr="00AD15CB">
              <w:trPr>
                <w:trHeight w:val="360"/>
              </w:trPr>
              <w:tc>
                <w:tcPr>
                  <w:tcW w:w="2303" w:type="dxa"/>
                  <w:vAlign w:val="center"/>
                </w:tcPr>
                <w:p w14:paraId="6CB5BA5C" w14:textId="77777777" w:rsidR="008B4492" w:rsidRPr="009A5185" w:rsidRDefault="008B4492" w:rsidP="008B4492">
                  <w:pPr>
                    <w:rPr>
                      <w:rFonts w:cs="Arial"/>
                    </w:rPr>
                  </w:pPr>
                  <w:r w:rsidRPr="009A5185">
                    <w:rPr>
                      <w:rFonts w:cs="Arial"/>
                    </w:rPr>
                    <w:t>P07.14</w:t>
                  </w:r>
                </w:p>
              </w:tc>
              <w:tc>
                <w:tcPr>
                  <w:tcW w:w="6821" w:type="dxa"/>
                  <w:vAlign w:val="center"/>
                </w:tcPr>
                <w:p w14:paraId="12BB43F3" w14:textId="77777777" w:rsidR="008B4492" w:rsidRPr="009A5185" w:rsidRDefault="008B4492" w:rsidP="008B4492">
                  <w:pPr>
                    <w:rPr>
                      <w:rFonts w:cs="Arial"/>
                    </w:rPr>
                  </w:pPr>
                  <w:r w:rsidRPr="009A5185">
                    <w:rPr>
                      <w:rFonts w:cs="Arial"/>
                    </w:rPr>
                    <w:t>Other low birth weight newborn, 1000-1249 grams</w:t>
                  </w:r>
                </w:p>
              </w:tc>
            </w:tr>
            <w:tr w:rsidR="008B4492" w:rsidRPr="009A5185" w14:paraId="65E9F3EC" w14:textId="77777777" w:rsidTr="00AD15CB">
              <w:trPr>
                <w:trHeight w:val="360"/>
              </w:trPr>
              <w:tc>
                <w:tcPr>
                  <w:tcW w:w="2303" w:type="dxa"/>
                  <w:vAlign w:val="center"/>
                </w:tcPr>
                <w:p w14:paraId="3B0CC7EC" w14:textId="77777777" w:rsidR="008B4492" w:rsidRPr="009A5185" w:rsidRDefault="008B4492" w:rsidP="008B4492">
                  <w:pPr>
                    <w:rPr>
                      <w:rFonts w:cs="Arial"/>
                    </w:rPr>
                  </w:pPr>
                  <w:r w:rsidRPr="009A5185">
                    <w:rPr>
                      <w:rFonts w:cs="Arial"/>
                    </w:rPr>
                    <w:t>P07.15</w:t>
                  </w:r>
                </w:p>
              </w:tc>
              <w:tc>
                <w:tcPr>
                  <w:tcW w:w="6821" w:type="dxa"/>
                  <w:vAlign w:val="center"/>
                </w:tcPr>
                <w:p w14:paraId="745E6F8A" w14:textId="77777777" w:rsidR="008B4492" w:rsidRPr="009A5185" w:rsidRDefault="008B4492" w:rsidP="008B4492">
                  <w:pPr>
                    <w:rPr>
                      <w:rFonts w:cs="Arial"/>
                    </w:rPr>
                  </w:pPr>
                  <w:r w:rsidRPr="009A5185">
                    <w:rPr>
                      <w:rFonts w:cs="Arial"/>
                    </w:rPr>
                    <w:t>Other low birth weight newborn, 1250-1499 grams</w:t>
                  </w:r>
                </w:p>
              </w:tc>
            </w:tr>
          </w:tbl>
          <w:p w14:paraId="5B3F8910" w14:textId="77777777" w:rsidR="008B4492" w:rsidRPr="009A5185" w:rsidRDefault="008B4492" w:rsidP="008B4492">
            <w:pPr>
              <w:rPr>
                <w:rFonts w:cs="Arial"/>
                <w:lang w:eastAsia="ja-JP"/>
              </w:rPr>
            </w:pPr>
          </w:p>
          <w:p w14:paraId="5FCCB90F" w14:textId="2F7A0CF8" w:rsidR="008B4492" w:rsidRPr="009A5185" w:rsidRDefault="008B4492" w:rsidP="008B4492">
            <w:pPr>
              <w:autoSpaceDE w:val="0"/>
              <w:autoSpaceDN w:val="0"/>
              <w:adjustRightInd w:val="0"/>
              <w:rPr>
                <w:rFonts w:cs="Arial"/>
                <w:b/>
                <w:snapToGrid w:val="0"/>
              </w:rPr>
            </w:pPr>
            <w:r>
              <w:rPr>
                <w:rFonts w:cs="Arial"/>
                <w:b/>
              </w:rPr>
              <w:t xml:space="preserve">Excluded Populations: </w:t>
            </w:r>
            <w:r>
              <w:rPr>
                <w:rFonts w:cs="Arial"/>
              </w:rPr>
              <w:t>Newborns admitted to the neonatal ICU weighing 1500 grams or more.</w:t>
            </w:r>
          </w:p>
        </w:tc>
      </w:tr>
    </w:tbl>
    <w:p w14:paraId="3E9EC420" w14:textId="77777777" w:rsidR="00EB259E" w:rsidRDefault="00EB259E" w:rsidP="003437C9">
      <w:pPr>
        <w:pStyle w:val="Heading44"/>
      </w:pPr>
      <w:bookmarkStart w:id="378" w:name="_Toc99642909"/>
      <w:bookmarkStart w:id="379" w:name="_Toc383775031"/>
      <w:bookmarkStart w:id="380" w:name="HighRiskOut"/>
      <w:bookmarkEnd w:id="377"/>
    </w:p>
    <w:p w14:paraId="794EAC45" w14:textId="62E67837" w:rsidR="00B407CB" w:rsidRPr="003437C9" w:rsidRDefault="00B407CB" w:rsidP="003437C9">
      <w:pPr>
        <w:pStyle w:val="Heading44"/>
        <w:rPr>
          <w:rFonts w:cs="Arial"/>
          <w:i/>
          <w:sz w:val="24"/>
          <w:szCs w:val="24"/>
          <w:lang w:eastAsia="ja-JP"/>
        </w:rPr>
      </w:pPr>
      <w:r w:rsidRPr="006922BB">
        <w:t>Neonatal Intensive Care Unit(s) – National Performance Measurement</w:t>
      </w:r>
      <w:bookmarkEnd w:id="378"/>
    </w:p>
    <w:bookmarkEnd w:id="379"/>
    <w:p w14:paraId="568489FF" w14:textId="77777777" w:rsidR="00BF3DC5" w:rsidRPr="00D165E2" w:rsidRDefault="00BF3DC5" w:rsidP="00CA2ADC">
      <w:pPr>
        <w:rPr>
          <w:rFonts w:cs="Arial"/>
          <w:sz w:val="16"/>
          <w:szCs w:val="16"/>
          <w:lang w:eastAsia="ja-JP"/>
        </w:rPr>
      </w:pPr>
    </w:p>
    <w:p w14:paraId="7A0D0D0D" w14:textId="382DCA21" w:rsidR="00CB47DF" w:rsidRDefault="00CB47DF" w:rsidP="00D165E2">
      <w:pPr>
        <w:rPr>
          <w:rFonts w:cs="Arial"/>
        </w:rPr>
      </w:pPr>
      <w:r>
        <w:rPr>
          <w:rFonts w:cs="Arial"/>
        </w:rPr>
        <w:t xml:space="preserve">Hospitals participating in the Vermont Oxford Network (VON) may opt to report on the VON National Performance Measure. In order for Leapfrog to obtain the data from VON, </w:t>
      </w:r>
      <w:r w:rsidR="000E2FAE">
        <w:rPr>
          <w:rFonts w:cs="Arial"/>
        </w:rPr>
        <w:t xml:space="preserve">the VON data must be </w:t>
      </w:r>
      <w:r w:rsidR="00AC7C90">
        <w:rPr>
          <w:rFonts w:cs="Arial"/>
        </w:rPr>
        <w:t>finalized,</w:t>
      </w:r>
      <w:r w:rsidR="000E2FAE">
        <w:rPr>
          <w:rFonts w:cs="Arial"/>
        </w:rPr>
        <w:t xml:space="preserve"> and </w:t>
      </w:r>
      <w:r>
        <w:rPr>
          <w:rFonts w:cs="Arial"/>
        </w:rPr>
        <w:t>hospitals must complete the following steps:</w:t>
      </w:r>
    </w:p>
    <w:p w14:paraId="643DB6F1" w14:textId="5499D56E" w:rsidR="009929CD" w:rsidRPr="00AC7C90" w:rsidRDefault="009929CD" w:rsidP="00AD309C">
      <w:pPr>
        <w:pStyle w:val="ListParagraph"/>
        <w:numPr>
          <w:ilvl w:val="0"/>
          <w:numId w:val="189"/>
        </w:numPr>
        <w:rPr>
          <w:rFonts w:cs="Arial"/>
        </w:rPr>
      </w:pPr>
      <w:r w:rsidRPr="00AC7C90">
        <w:rPr>
          <w:rFonts w:cs="Arial"/>
        </w:rPr>
        <w:t xml:space="preserve">Provide an accurate </w:t>
      </w:r>
      <w:hyperlink r:id="rId312" w:history="1">
        <w:r w:rsidRPr="00AC7C90">
          <w:rPr>
            <w:rStyle w:val="Hyperlink"/>
            <w:rFonts w:cs="Arial"/>
          </w:rPr>
          <w:t>VON Transfer Code</w:t>
        </w:r>
      </w:hyperlink>
      <w:r w:rsidRPr="00AC7C90">
        <w:rPr>
          <w:rFonts w:cs="Arial"/>
        </w:rPr>
        <w:t xml:space="preserve"> in </w:t>
      </w:r>
      <w:r>
        <w:t>the Hospital Profile,</w:t>
      </w:r>
      <w:r w:rsidRPr="00AC7C90">
        <w:rPr>
          <w:rFonts w:cs="Arial"/>
        </w:rPr>
        <w:t xml:space="preserve"> </w:t>
      </w:r>
    </w:p>
    <w:p w14:paraId="2EA02859" w14:textId="17F4ACAF" w:rsidR="009929CD" w:rsidRPr="00AC7C90" w:rsidRDefault="009929CD" w:rsidP="00AD309C">
      <w:pPr>
        <w:pStyle w:val="ListParagraph"/>
        <w:numPr>
          <w:ilvl w:val="0"/>
          <w:numId w:val="189"/>
        </w:numPr>
        <w:rPr>
          <w:rFonts w:cs="Arial"/>
        </w:rPr>
      </w:pPr>
      <w:r w:rsidRPr="00AC7C90">
        <w:rPr>
          <w:rFonts w:cs="Arial"/>
        </w:rPr>
        <w:t xml:space="preserve">Complete a </w:t>
      </w:r>
      <w:hyperlink r:id="rId313" w:history="1">
        <w:r w:rsidRPr="00AC7C90">
          <w:rPr>
            <w:rStyle w:val="Hyperlink"/>
            <w:rFonts w:cs="Arial"/>
          </w:rPr>
          <w:t>Data Sharing Authorization</w:t>
        </w:r>
      </w:hyperlink>
      <w:r w:rsidRPr="00AC7C90">
        <w:rPr>
          <w:rFonts w:cs="Arial"/>
        </w:rPr>
        <w:t xml:space="preserve"> letter and submit it to </w:t>
      </w:r>
      <w:hyperlink r:id="rId314" w:history="1">
        <w:r w:rsidRPr="00AC7C90">
          <w:rPr>
            <w:rStyle w:val="Hyperlink"/>
            <w:rFonts w:cs="Arial"/>
          </w:rPr>
          <w:t>VON</w:t>
        </w:r>
      </w:hyperlink>
      <w:r w:rsidRPr="00AC7C90">
        <w:rPr>
          <w:rFonts w:cs="Arial"/>
        </w:rPr>
        <w:t xml:space="preserve"> by </w:t>
      </w:r>
      <w:r w:rsidRPr="00AC7C90">
        <w:rPr>
          <w:rFonts w:cs="Arial"/>
          <w:b/>
          <w:bCs/>
        </w:rPr>
        <w:t>Jun</w:t>
      </w:r>
      <w:r w:rsidRPr="00AC7C90">
        <w:rPr>
          <w:b/>
        </w:rPr>
        <w:t>e</w:t>
      </w:r>
      <w:r w:rsidRPr="00AC7C90">
        <w:rPr>
          <w:rFonts w:cs="Arial"/>
          <w:b/>
          <w:bCs/>
        </w:rPr>
        <w:t xml:space="preserve"> 1</w:t>
      </w:r>
      <w:r w:rsidR="00EB259E">
        <w:rPr>
          <w:rFonts w:cs="Arial"/>
          <w:b/>
          <w:bCs/>
        </w:rPr>
        <w:t>5</w:t>
      </w:r>
      <w:r>
        <w:t xml:space="preserve"> </w:t>
      </w:r>
      <w:r w:rsidR="00237492">
        <w:t>(</w:t>
      </w:r>
      <w:r w:rsidRPr="00AC7C90">
        <w:rPr>
          <w:rFonts w:cs="Arial"/>
        </w:rPr>
        <w:t xml:space="preserve">Hospitals that submitted their Data Sharing Authorization letter to VON </w:t>
      </w:r>
      <w:r w:rsidR="00822FF4">
        <w:rPr>
          <w:rFonts w:cs="Arial"/>
        </w:rPr>
        <w:t xml:space="preserve">in previous </w:t>
      </w:r>
      <w:r w:rsidR="00822FF4" w:rsidRPr="009A5185">
        <w:rPr>
          <w:rFonts w:cs="Arial"/>
        </w:rPr>
        <w:t>Leapfrog Hospital Survey</w:t>
      </w:r>
      <w:r w:rsidR="00822FF4">
        <w:rPr>
          <w:rFonts w:cs="Arial"/>
        </w:rPr>
        <w:t xml:space="preserve"> Cycles </w:t>
      </w:r>
      <w:r w:rsidR="00157FDB">
        <w:rPr>
          <w:rFonts w:cs="Arial"/>
        </w:rPr>
        <w:t>do</w:t>
      </w:r>
      <w:r w:rsidRPr="00AC7C90">
        <w:rPr>
          <w:rFonts w:cs="Arial"/>
        </w:rPr>
        <w:t xml:space="preserve"> not have to re-submit a new letter in 202</w:t>
      </w:r>
      <w:r w:rsidR="00EB259E">
        <w:rPr>
          <w:rFonts w:cs="Arial"/>
        </w:rPr>
        <w:t>6</w:t>
      </w:r>
      <w:r w:rsidR="00237492">
        <w:rPr>
          <w:rFonts w:cs="Arial"/>
        </w:rPr>
        <w:t>)</w:t>
      </w:r>
      <w:r w:rsidR="003822B4">
        <w:rPr>
          <w:rFonts w:cs="Arial"/>
        </w:rPr>
        <w:t>,</w:t>
      </w:r>
    </w:p>
    <w:p w14:paraId="5138AE48" w14:textId="77777777" w:rsidR="009929CD" w:rsidRPr="00AC7C90" w:rsidRDefault="009929CD" w:rsidP="00AD309C">
      <w:pPr>
        <w:pStyle w:val="ListParagraph"/>
        <w:numPr>
          <w:ilvl w:val="0"/>
          <w:numId w:val="189"/>
        </w:numPr>
        <w:rPr>
          <w:rFonts w:cs="Arial"/>
        </w:rPr>
      </w:pPr>
      <w:r w:rsidRPr="00AC7C90">
        <w:rPr>
          <w:rFonts w:cs="Arial"/>
        </w:rPr>
        <w:t xml:space="preserve">Select “VON National Performance Measure” in question #3, and </w:t>
      </w:r>
    </w:p>
    <w:p w14:paraId="085E1452" w14:textId="16CCD0B5" w:rsidR="00CB47DF" w:rsidRPr="00AC7C90" w:rsidRDefault="009929CD" w:rsidP="00AD309C">
      <w:pPr>
        <w:pStyle w:val="ListParagraph"/>
        <w:numPr>
          <w:ilvl w:val="0"/>
          <w:numId w:val="189"/>
        </w:numPr>
        <w:rPr>
          <w:rFonts w:cs="Arial"/>
        </w:rPr>
      </w:pPr>
      <w:r w:rsidRPr="00AC7C90">
        <w:rPr>
          <w:rFonts w:cs="Arial"/>
        </w:rPr>
        <w:t>Submit</w:t>
      </w:r>
      <w:r w:rsidR="00437687" w:rsidRPr="00AC7C90">
        <w:rPr>
          <w:rFonts w:cs="Arial"/>
        </w:rPr>
        <w:t xml:space="preserve"> the 202</w:t>
      </w:r>
      <w:r w:rsidR="00EB259E">
        <w:rPr>
          <w:rFonts w:cs="Arial"/>
        </w:rPr>
        <w:t>6</w:t>
      </w:r>
      <w:r w:rsidR="00437687" w:rsidRPr="00AC7C90">
        <w:rPr>
          <w:rFonts w:cs="Arial"/>
        </w:rPr>
        <w:t xml:space="preserve"> Leapfrog Hospital Survey</w:t>
      </w:r>
      <w:r w:rsidRPr="00AC7C90">
        <w:rPr>
          <w:rFonts w:cs="Arial"/>
        </w:rPr>
        <w:t xml:space="preserve"> by the June 30 Submission Deadline.</w:t>
      </w:r>
    </w:p>
    <w:p w14:paraId="270165EF" w14:textId="77777777" w:rsidR="009929CD" w:rsidRPr="00D165E2" w:rsidRDefault="009929CD" w:rsidP="00D165E2">
      <w:pPr>
        <w:ind w:left="720"/>
        <w:rPr>
          <w:rFonts w:cs="Arial"/>
          <w:sz w:val="16"/>
          <w:szCs w:val="16"/>
        </w:rPr>
      </w:pPr>
    </w:p>
    <w:p w14:paraId="5991FB63" w14:textId="73A810EB" w:rsidR="00CB47DF" w:rsidRPr="009A5185" w:rsidRDefault="00CB47DF" w:rsidP="00D165E2">
      <w:pPr>
        <w:pStyle w:val="Header"/>
        <w:tabs>
          <w:tab w:val="clear" w:pos="4320"/>
          <w:tab w:val="clear" w:pos="8640"/>
        </w:tabs>
        <w:rPr>
          <w:rFonts w:cs="Arial"/>
        </w:rPr>
      </w:pPr>
      <w:r>
        <w:rPr>
          <w:rFonts w:cs="Arial"/>
        </w:rPr>
        <w:t>Hospitals that select “VON National Performance Measure” in question #3, but do not adhere to the other steps will be scored and publicly reported as “Declined to Re</w:t>
      </w:r>
      <w:r w:rsidR="009679D5">
        <w:rPr>
          <w:rFonts w:cs="Arial"/>
        </w:rPr>
        <w:t>port</w:t>
      </w:r>
      <w:r>
        <w:rPr>
          <w:rFonts w:cs="Arial"/>
        </w:rPr>
        <w:t>” for the High-Risk Deliveries measure.</w:t>
      </w:r>
    </w:p>
    <w:p w14:paraId="5065EC4A" w14:textId="5A77C23D" w:rsidR="00CB47DF" w:rsidRPr="00D165E2" w:rsidRDefault="00CB47DF" w:rsidP="00D165E2">
      <w:pPr>
        <w:pStyle w:val="Header"/>
        <w:tabs>
          <w:tab w:val="clear" w:pos="4320"/>
          <w:tab w:val="clear" w:pos="8640"/>
        </w:tabs>
        <w:rPr>
          <w:rFonts w:cs="Arial"/>
          <w:sz w:val="16"/>
          <w:szCs w:val="16"/>
        </w:rPr>
      </w:pPr>
    </w:p>
    <w:p w14:paraId="5FE751DE" w14:textId="5A2789E1" w:rsidR="008D611A" w:rsidRPr="00D165E2" w:rsidRDefault="00B95438" w:rsidP="00D165E2">
      <w:pPr>
        <w:rPr>
          <w:rFonts w:cs="Arial"/>
          <w:sz w:val="16"/>
          <w:szCs w:val="16"/>
        </w:rPr>
      </w:pPr>
      <w:r w:rsidRPr="00B95438">
        <w:rPr>
          <w:rFonts w:cs="Arial"/>
          <w:lang w:eastAsia="ja-JP"/>
        </w:rPr>
        <w:t>Data will be available for review on the Leapfrog Hospital Survey Hospital Details Page</w:t>
      </w:r>
      <w:r>
        <w:rPr>
          <w:rFonts w:cs="Arial"/>
          <w:lang w:eastAsia="ja-JP"/>
        </w:rPr>
        <w:t xml:space="preserve"> </w:t>
      </w:r>
      <w:r w:rsidRPr="00B95438">
        <w:rPr>
          <w:rFonts w:cs="Arial"/>
          <w:lang w:eastAsia="ja-JP"/>
        </w:rPr>
        <w:t xml:space="preserve">beginning </w:t>
      </w:r>
      <w:r w:rsidR="00283F59">
        <w:rPr>
          <w:rFonts w:cs="Arial"/>
          <w:lang w:eastAsia="ja-JP"/>
        </w:rPr>
        <w:t>on July 12</w:t>
      </w:r>
      <w:r w:rsidRPr="00B95438">
        <w:rPr>
          <w:rFonts w:cs="Arial"/>
          <w:lang w:eastAsia="ja-JP"/>
        </w:rPr>
        <w:t xml:space="preserve">. The VON </w:t>
      </w:r>
      <w:r w:rsidR="00CC23BC">
        <w:rPr>
          <w:rFonts w:cs="Arial"/>
          <w:lang w:eastAsia="ja-JP"/>
        </w:rPr>
        <w:t>data</w:t>
      </w:r>
      <w:r w:rsidRPr="00B95438">
        <w:rPr>
          <w:rFonts w:cs="Arial"/>
          <w:lang w:eastAsia="ja-JP"/>
        </w:rPr>
        <w:t xml:space="preserve"> Leapfrog obtains can be found in the Vermont</w:t>
      </w:r>
      <w:r>
        <w:rPr>
          <w:rFonts w:cs="Arial"/>
          <w:lang w:eastAsia="ja-JP"/>
        </w:rPr>
        <w:t xml:space="preserve"> </w:t>
      </w:r>
      <w:r w:rsidRPr="00B95438">
        <w:rPr>
          <w:rFonts w:cs="Arial"/>
          <w:lang w:eastAsia="ja-JP"/>
        </w:rPr>
        <w:t>Oxford Networ</w:t>
      </w:r>
      <w:r>
        <w:rPr>
          <w:rFonts w:cs="Arial"/>
          <w:lang w:eastAsia="ja-JP"/>
        </w:rPr>
        <w:t xml:space="preserve">k’s Nightingale Internet Reporting System. </w:t>
      </w:r>
      <w:r w:rsidR="00CB47DF">
        <w:rPr>
          <w:rFonts w:cs="Arial"/>
          <w:lang w:eastAsia="ja-JP"/>
        </w:rPr>
        <w:t xml:space="preserve">Leapfrog has provided instructions for </w:t>
      </w:r>
      <w:bookmarkStart w:id="381" w:name="_Toc383775033"/>
      <w:bookmarkEnd w:id="380"/>
      <w:r w:rsidR="00D1050E" w:rsidRPr="009A5185">
        <w:rPr>
          <w:rFonts w:cs="Arial"/>
        </w:rPr>
        <w:t>using th</w:t>
      </w:r>
      <w:r w:rsidR="00221DE6" w:rsidRPr="009A5185">
        <w:rPr>
          <w:rFonts w:cs="Arial"/>
        </w:rPr>
        <w:t xml:space="preserve">e VON Nightingale online tool on the </w:t>
      </w:r>
      <w:hyperlink r:id="rId315" w:history="1">
        <w:r w:rsidR="00C14AFF" w:rsidRPr="009A5185">
          <w:rPr>
            <w:rStyle w:val="Hyperlink"/>
            <w:rFonts w:cs="Arial"/>
          </w:rPr>
          <w:t>Survey</w:t>
        </w:r>
        <w:r w:rsidR="00221DE6" w:rsidRPr="009A5185">
          <w:rPr>
            <w:rStyle w:val="Hyperlink"/>
            <w:rFonts w:cs="Arial"/>
          </w:rPr>
          <w:t xml:space="preserve"> and CPOE Materials webpage</w:t>
        </w:r>
      </w:hyperlink>
      <w:r w:rsidR="005C2B11">
        <w:rPr>
          <w:rFonts w:cs="Arial"/>
        </w:rPr>
        <w:t>.</w:t>
      </w:r>
      <w:r w:rsidR="00B3755C" w:rsidRPr="009A5185">
        <w:rPr>
          <w:rFonts w:cs="Arial"/>
        </w:rPr>
        <w:t xml:space="preserve"> </w:t>
      </w:r>
      <w:r w:rsidR="00CB47DF">
        <w:rPr>
          <w:rFonts w:cs="Arial"/>
        </w:rPr>
        <w:t>These instructions can be used to verify the data that Leapfrog is obtaining from VON, which includes:</w:t>
      </w:r>
      <w:r w:rsidR="00C7333E">
        <w:rPr>
          <w:rFonts w:cs="Arial"/>
        </w:rPr>
        <w:br/>
      </w:r>
    </w:p>
    <w:tbl>
      <w:tblPr>
        <w:tblStyle w:val="TableGrid13"/>
        <w:tblW w:w="0" w:type="auto"/>
        <w:tblLook w:val="01E0" w:firstRow="1" w:lastRow="1" w:firstColumn="1" w:lastColumn="1" w:noHBand="0" w:noVBand="0"/>
      </w:tblPr>
      <w:tblGrid>
        <w:gridCol w:w="1525"/>
        <w:gridCol w:w="7825"/>
      </w:tblGrid>
      <w:tr w:rsidR="00C7333E" w:rsidRPr="009A5185" w14:paraId="69975A70" w14:textId="77777777" w:rsidTr="009128D9">
        <w:trPr>
          <w:trHeight w:val="20"/>
        </w:trPr>
        <w:tc>
          <w:tcPr>
            <w:tcW w:w="1525" w:type="dxa"/>
            <w:vAlign w:val="center"/>
          </w:tcPr>
          <w:p w14:paraId="2B4FAA8A" w14:textId="183CE842" w:rsidR="00C7333E" w:rsidRPr="009A5185" w:rsidRDefault="00F07C5C" w:rsidP="00900F25">
            <w:pPr>
              <w:rPr>
                <w:rFonts w:cs="Arial"/>
                <w:b/>
              </w:rPr>
            </w:pPr>
            <w:r>
              <w:rPr>
                <w:rFonts w:cs="Arial"/>
                <w:b/>
              </w:rPr>
              <w:t>Variable</w:t>
            </w:r>
          </w:p>
        </w:tc>
        <w:tc>
          <w:tcPr>
            <w:tcW w:w="7825" w:type="dxa"/>
            <w:vAlign w:val="center"/>
          </w:tcPr>
          <w:p w14:paraId="18E0227A" w14:textId="72B9ABAC" w:rsidR="00C7333E" w:rsidRPr="009A5185" w:rsidRDefault="00F07C5C" w:rsidP="00900F25">
            <w:pPr>
              <w:rPr>
                <w:rFonts w:cs="Arial"/>
                <w:b/>
                <w:lang w:eastAsia="ja-JP"/>
              </w:rPr>
            </w:pPr>
            <w:r>
              <w:rPr>
                <w:rFonts w:cs="Arial"/>
                <w:b/>
                <w:lang w:eastAsia="ja-JP"/>
              </w:rPr>
              <w:t xml:space="preserve">From the </w:t>
            </w:r>
            <w:r w:rsidR="00C7333E" w:rsidRPr="009A5185">
              <w:rPr>
                <w:rFonts w:cs="Arial"/>
                <w:b/>
                <w:lang w:eastAsia="ja-JP"/>
              </w:rPr>
              <w:t xml:space="preserve">Vermont Oxford Network (SMR Report from Nightingale online tool) </w:t>
            </w:r>
          </w:p>
        </w:tc>
      </w:tr>
      <w:tr w:rsidR="00C7333E" w:rsidRPr="009A5185" w14:paraId="34C8B53B" w14:textId="77777777" w:rsidTr="009128D9">
        <w:trPr>
          <w:trHeight w:val="144"/>
        </w:trPr>
        <w:tc>
          <w:tcPr>
            <w:tcW w:w="1525" w:type="dxa"/>
            <w:vAlign w:val="center"/>
          </w:tcPr>
          <w:p w14:paraId="6E757CC3" w14:textId="77777777" w:rsidR="00C7333E" w:rsidRPr="009A5185" w:rsidRDefault="00C7333E" w:rsidP="00900F25">
            <w:pPr>
              <w:rPr>
                <w:rFonts w:cs="Arial"/>
                <w:lang w:eastAsia="ja-JP"/>
              </w:rPr>
            </w:pPr>
            <w:r w:rsidRPr="009A5185">
              <w:rPr>
                <w:rFonts w:cs="Arial"/>
                <w:lang w:eastAsia="ja-JP"/>
              </w:rPr>
              <w:t xml:space="preserve">Volume </w:t>
            </w:r>
          </w:p>
        </w:tc>
        <w:tc>
          <w:tcPr>
            <w:tcW w:w="7825" w:type="dxa"/>
            <w:vAlign w:val="center"/>
          </w:tcPr>
          <w:p w14:paraId="2C402B45" w14:textId="77777777" w:rsidR="00C7333E" w:rsidRPr="009A5185" w:rsidRDefault="00C7333E" w:rsidP="00900F25">
            <w:pPr>
              <w:rPr>
                <w:rFonts w:cs="Arial"/>
                <w:b/>
                <w:lang w:eastAsia="ja-JP"/>
              </w:rPr>
            </w:pPr>
            <w:r w:rsidRPr="009A5185">
              <w:rPr>
                <w:rFonts w:cs="Arial"/>
              </w:rPr>
              <w:t>Fr</w:t>
            </w:r>
            <w:r>
              <w:rPr>
                <w:rFonts w:cs="Arial"/>
              </w:rPr>
              <w:t>om</w:t>
            </w:r>
            <w:r w:rsidRPr="009A5185">
              <w:rPr>
                <w:rFonts w:cs="Arial"/>
              </w:rPr>
              <w:t xml:space="preserve"> the latest 12-month standardized mortality or morbidity ratio (SMR) report for Death or Morbidity,</w:t>
            </w:r>
            <w:r>
              <w:rPr>
                <w:rFonts w:cs="Arial"/>
              </w:rPr>
              <w:t xml:space="preserve"> the</w:t>
            </w:r>
            <w:r w:rsidRPr="009A5185">
              <w:rPr>
                <w:rFonts w:cs="Arial"/>
              </w:rPr>
              <w:t xml:space="preserve"> hospital’s “N” for the volume of cases for the reporting period</w:t>
            </w:r>
            <w:r>
              <w:rPr>
                <w:rFonts w:cs="Arial"/>
              </w:rPr>
              <w:t>.</w:t>
            </w:r>
          </w:p>
        </w:tc>
      </w:tr>
      <w:tr w:rsidR="00C7333E" w:rsidRPr="009A5185" w14:paraId="669F02F2" w14:textId="77777777" w:rsidTr="009128D9">
        <w:trPr>
          <w:trHeight w:val="20"/>
        </w:trPr>
        <w:tc>
          <w:tcPr>
            <w:tcW w:w="1525" w:type="dxa"/>
            <w:vAlign w:val="center"/>
          </w:tcPr>
          <w:p w14:paraId="12DD76FF" w14:textId="77777777" w:rsidR="00C7333E" w:rsidRPr="009A5185" w:rsidRDefault="00C7333E" w:rsidP="00900F25">
            <w:pPr>
              <w:rPr>
                <w:rFonts w:cs="Arial"/>
              </w:rPr>
            </w:pPr>
            <w:r w:rsidRPr="009A5185">
              <w:rPr>
                <w:rFonts w:cs="Arial"/>
                <w:color w:val="000000"/>
                <w:lang w:eastAsia="ja-JP"/>
              </w:rPr>
              <w:t>SMR 95% (lower bound)</w:t>
            </w:r>
          </w:p>
        </w:tc>
        <w:tc>
          <w:tcPr>
            <w:tcW w:w="7825" w:type="dxa"/>
            <w:vAlign w:val="center"/>
          </w:tcPr>
          <w:p w14:paraId="552AD0F4" w14:textId="77777777" w:rsidR="00C7333E" w:rsidRPr="009A5185" w:rsidRDefault="00C7333E" w:rsidP="00900F25">
            <w:pPr>
              <w:autoSpaceDE w:val="0"/>
              <w:autoSpaceDN w:val="0"/>
              <w:adjustRightInd w:val="0"/>
              <w:rPr>
                <w:rFonts w:cs="Arial"/>
              </w:rPr>
            </w:pPr>
            <w:r w:rsidRPr="009A5185">
              <w:rPr>
                <w:rFonts w:cs="Arial"/>
              </w:rPr>
              <w:t xml:space="preserve">From the same report, </w:t>
            </w:r>
            <w:r>
              <w:rPr>
                <w:rFonts w:cs="Arial"/>
              </w:rPr>
              <w:t>the</w:t>
            </w:r>
            <w:r w:rsidRPr="009A5185">
              <w:rPr>
                <w:rFonts w:cs="Arial"/>
              </w:rPr>
              <w:t xml:space="preserve"> hospital’s “SMR 95% (lower)” for Death or Morbidity. This represents the lower value of your hospital’s 95% confidence interval.</w:t>
            </w:r>
          </w:p>
        </w:tc>
      </w:tr>
      <w:tr w:rsidR="00C7333E" w:rsidRPr="009A5185" w14:paraId="37089F11" w14:textId="77777777" w:rsidTr="009128D9">
        <w:trPr>
          <w:trHeight w:val="144"/>
        </w:trPr>
        <w:tc>
          <w:tcPr>
            <w:tcW w:w="1525" w:type="dxa"/>
            <w:vAlign w:val="center"/>
          </w:tcPr>
          <w:p w14:paraId="7D40E3BD" w14:textId="77777777" w:rsidR="00C7333E" w:rsidRPr="009A5185" w:rsidRDefault="00C7333E" w:rsidP="00900F25">
            <w:pPr>
              <w:rPr>
                <w:rFonts w:cs="Arial"/>
              </w:rPr>
            </w:pPr>
            <w:r w:rsidRPr="009A5185">
              <w:rPr>
                <w:rFonts w:cs="Arial"/>
                <w:snapToGrid w:val="0"/>
                <w:color w:val="000000"/>
              </w:rPr>
              <w:t>SMR (shrunken)</w:t>
            </w:r>
          </w:p>
        </w:tc>
        <w:tc>
          <w:tcPr>
            <w:tcW w:w="7825" w:type="dxa"/>
            <w:vAlign w:val="center"/>
          </w:tcPr>
          <w:p w14:paraId="3D6DC418" w14:textId="77777777" w:rsidR="00C7333E" w:rsidRPr="009A5185" w:rsidRDefault="00C7333E" w:rsidP="00900F25">
            <w:pPr>
              <w:rPr>
                <w:rFonts w:cs="Arial"/>
              </w:rPr>
            </w:pPr>
            <w:r w:rsidRPr="009A5185">
              <w:rPr>
                <w:rFonts w:cs="Arial"/>
              </w:rPr>
              <w:t xml:space="preserve">From the same report, </w:t>
            </w:r>
            <w:r>
              <w:rPr>
                <w:rFonts w:cs="Arial"/>
              </w:rPr>
              <w:t>the</w:t>
            </w:r>
            <w:r w:rsidRPr="009A5185">
              <w:rPr>
                <w:rFonts w:cs="Arial"/>
              </w:rPr>
              <w:t xml:space="preserve"> hospital’s “SMR (shrunken)” for Death or Morbidity. This is the weighted average of the hospital value and the population (Vermont Oxford Network) mean value.</w:t>
            </w:r>
          </w:p>
        </w:tc>
      </w:tr>
      <w:tr w:rsidR="00C7333E" w:rsidRPr="009A5185" w14:paraId="5D85E01D" w14:textId="77777777" w:rsidTr="009128D9">
        <w:trPr>
          <w:trHeight w:val="288"/>
        </w:trPr>
        <w:tc>
          <w:tcPr>
            <w:tcW w:w="1525" w:type="dxa"/>
            <w:vAlign w:val="center"/>
          </w:tcPr>
          <w:p w14:paraId="60CB1A8D" w14:textId="77777777" w:rsidR="00C7333E" w:rsidRPr="009A5185" w:rsidRDefault="00C7333E" w:rsidP="00900F25">
            <w:pPr>
              <w:rPr>
                <w:rFonts w:cs="Arial"/>
                <w:color w:val="000000"/>
                <w:lang w:eastAsia="ja-JP"/>
              </w:rPr>
            </w:pPr>
            <w:r w:rsidRPr="009A5185">
              <w:rPr>
                <w:rFonts w:cs="Arial"/>
                <w:color w:val="000000"/>
                <w:lang w:eastAsia="ja-JP"/>
              </w:rPr>
              <w:t>SMR 95% (upper bound)</w:t>
            </w:r>
          </w:p>
        </w:tc>
        <w:tc>
          <w:tcPr>
            <w:tcW w:w="7825" w:type="dxa"/>
            <w:vAlign w:val="center"/>
          </w:tcPr>
          <w:p w14:paraId="6AC68915" w14:textId="77777777" w:rsidR="00C7333E" w:rsidRPr="009A5185" w:rsidRDefault="00C7333E" w:rsidP="00900F25">
            <w:pPr>
              <w:autoSpaceDE w:val="0"/>
              <w:autoSpaceDN w:val="0"/>
              <w:adjustRightInd w:val="0"/>
              <w:rPr>
                <w:rFonts w:cs="Arial"/>
              </w:rPr>
            </w:pPr>
            <w:r w:rsidRPr="009A5185">
              <w:rPr>
                <w:rFonts w:cs="Arial"/>
              </w:rPr>
              <w:t xml:space="preserve">From the same report, </w:t>
            </w:r>
            <w:r>
              <w:rPr>
                <w:rFonts w:cs="Arial"/>
              </w:rPr>
              <w:t>the</w:t>
            </w:r>
            <w:r w:rsidRPr="009A5185">
              <w:rPr>
                <w:rFonts w:cs="Arial"/>
              </w:rPr>
              <w:t xml:space="preserve"> hospital’s “SMR 95% (upper)” for Death or Morbidity. This represents the upper value of your hospital’s 95% confidence interval.</w:t>
            </w:r>
            <w:r w:rsidRPr="009A5185" w:rsidDel="00EE4363">
              <w:rPr>
                <w:rFonts w:cs="Arial"/>
              </w:rPr>
              <w:t xml:space="preserve"> </w:t>
            </w:r>
          </w:p>
        </w:tc>
      </w:tr>
    </w:tbl>
    <w:p w14:paraId="4DBF7C71" w14:textId="35601DD0" w:rsidR="00C7333E" w:rsidRPr="00D165E2" w:rsidRDefault="00C7333E" w:rsidP="00B95438">
      <w:pPr>
        <w:rPr>
          <w:rFonts w:cs="Arial"/>
          <w:sz w:val="16"/>
          <w:szCs w:val="16"/>
        </w:rPr>
      </w:pPr>
    </w:p>
    <w:p w14:paraId="0C11DFF0" w14:textId="77777777" w:rsidR="00C7333E" w:rsidRPr="00EE7990" w:rsidRDefault="00C7333E" w:rsidP="00C7333E">
      <w:pPr>
        <w:pStyle w:val="Heading6"/>
      </w:pPr>
      <w:bookmarkStart w:id="382" w:name="_Deadlines_and_Reporting_2"/>
      <w:bookmarkStart w:id="383" w:name="_Ref123648670"/>
      <w:bookmarkEnd w:id="382"/>
      <w:r>
        <w:t>Deadlines and Reporting Periods</w:t>
      </w:r>
      <w:bookmarkEnd w:id="383"/>
    </w:p>
    <w:p w14:paraId="24C8A772" w14:textId="77777777" w:rsidR="00C7333E" w:rsidRPr="00D165E2" w:rsidRDefault="00C7333E" w:rsidP="00C7333E">
      <w:pPr>
        <w:rPr>
          <w:sz w:val="16"/>
          <w:szCs w:val="16"/>
        </w:rPr>
      </w:pPr>
    </w:p>
    <w:p w14:paraId="40CC8F2A" w14:textId="77777777" w:rsidR="00C7333E" w:rsidRDefault="00C7333E" w:rsidP="00C7333E">
      <w:pPr>
        <w:rPr>
          <w:rFonts w:cs="Arial"/>
        </w:rPr>
      </w:pPr>
      <w:r w:rsidRPr="00CB47DF">
        <w:rPr>
          <w:rFonts w:cs="Arial"/>
        </w:rPr>
        <w:t>Leapfrog will update the VON data three times per Survey Cycle for all hospitals that have completed the steps noted above</w:t>
      </w:r>
      <w:r>
        <w:rPr>
          <w:rFonts w:cs="Arial"/>
        </w:rPr>
        <w:t xml:space="preserve"> according to the deadlines and reporting periods listed in the following table:</w:t>
      </w:r>
    </w:p>
    <w:p w14:paraId="3F6EED35" w14:textId="77777777" w:rsidR="00D35F11" w:rsidRDefault="00D35F11" w:rsidP="00C7333E">
      <w:pPr>
        <w:rPr>
          <w:rFonts w:cs="Arial"/>
        </w:rPr>
      </w:pPr>
    </w:p>
    <w:tbl>
      <w:tblPr>
        <w:tblW w:w="5000" w:type="pct"/>
        <w:tblCellMar>
          <w:left w:w="0" w:type="dxa"/>
          <w:right w:w="0" w:type="dxa"/>
        </w:tblCellMar>
        <w:tblLook w:val="04A0" w:firstRow="1" w:lastRow="0" w:firstColumn="1" w:lastColumn="0" w:noHBand="0" w:noVBand="1"/>
      </w:tblPr>
      <w:tblGrid>
        <w:gridCol w:w="2398"/>
        <w:gridCol w:w="1855"/>
        <w:gridCol w:w="2763"/>
        <w:gridCol w:w="2324"/>
      </w:tblGrid>
      <w:tr w:rsidR="00D35F11" w:rsidRPr="001A7FD5" w14:paraId="429852AE" w14:textId="77777777" w:rsidTr="003962CE">
        <w:trPr>
          <w:trHeight w:val="619"/>
        </w:trPr>
        <w:tc>
          <w:tcPr>
            <w:tcW w:w="1284" w:type="pct"/>
            <w:tcBorders>
              <w:top w:val="single" w:sz="8" w:space="0" w:color="auto"/>
              <w:left w:val="single" w:sz="8" w:space="0" w:color="auto"/>
              <w:bottom w:val="nil"/>
              <w:right w:val="nil"/>
            </w:tcBorders>
            <w:shd w:val="clear" w:color="auto" w:fill="012E6B"/>
            <w:tcMar>
              <w:top w:w="0" w:type="dxa"/>
              <w:left w:w="108" w:type="dxa"/>
              <w:bottom w:w="0" w:type="dxa"/>
              <w:right w:w="108" w:type="dxa"/>
            </w:tcMar>
            <w:hideMark/>
          </w:tcPr>
          <w:p w14:paraId="30BC995A" w14:textId="77777777" w:rsidR="00D35F11" w:rsidRPr="001A7FD5" w:rsidRDefault="00D35F11" w:rsidP="003962CE">
            <w:pPr>
              <w:pStyle w:val="EndnoteText"/>
              <w:rPr>
                <w:rFonts w:cs="Arial"/>
                <w:color w:val="FFFFFF"/>
              </w:rPr>
            </w:pPr>
            <w:r>
              <w:rPr>
                <w:rFonts w:cs="Arial"/>
                <w:b/>
                <w:bCs/>
                <w:color w:val="FFFFFF"/>
              </w:rPr>
              <w:t>VON Deadline</w:t>
            </w:r>
          </w:p>
        </w:tc>
        <w:tc>
          <w:tcPr>
            <w:tcW w:w="993" w:type="pct"/>
            <w:tcBorders>
              <w:top w:val="single" w:sz="8" w:space="0" w:color="auto"/>
              <w:left w:val="nil"/>
              <w:bottom w:val="nil"/>
              <w:right w:val="nil"/>
            </w:tcBorders>
            <w:shd w:val="clear" w:color="auto" w:fill="012E6B"/>
            <w:tcMar>
              <w:top w:w="0" w:type="dxa"/>
              <w:left w:w="108" w:type="dxa"/>
              <w:bottom w:w="0" w:type="dxa"/>
              <w:right w:w="108" w:type="dxa"/>
            </w:tcMar>
            <w:hideMark/>
          </w:tcPr>
          <w:p w14:paraId="4E53D5E1" w14:textId="77777777" w:rsidR="00D35F11" w:rsidRPr="001A7FD5" w:rsidRDefault="00D35F11" w:rsidP="003962CE">
            <w:pPr>
              <w:pStyle w:val="EndnoteText"/>
              <w:rPr>
                <w:rFonts w:cs="Arial"/>
                <w:color w:val="FFFFFF"/>
              </w:rPr>
            </w:pPr>
            <w:r w:rsidRPr="001A7FD5">
              <w:rPr>
                <w:rFonts w:cs="Arial"/>
                <w:b/>
                <w:bCs/>
                <w:color w:val="FFFFFF"/>
              </w:rPr>
              <w:t xml:space="preserve">VON </w:t>
            </w:r>
            <w:r>
              <w:rPr>
                <w:rFonts w:cs="Arial"/>
                <w:b/>
                <w:bCs/>
                <w:color w:val="FFFFFF"/>
              </w:rPr>
              <w:t>Reporting Period</w:t>
            </w:r>
          </w:p>
        </w:tc>
        <w:tc>
          <w:tcPr>
            <w:tcW w:w="1479" w:type="pct"/>
            <w:tcBorders>
              <w:top w:val="single" w:sz="8" w:space="0" w:color="auto"/>
              <w:left w:val="nil"/>
              <w:bottom w:val="nil"/>
              <w:right w:val="nil"/>
            </w:tcBorders>
            <w:shd w:val="clear" w:color="auto" w:fill="012E6B"/>
            <w:tcMar>
              <w:top w:w="0" w:type="dxa"/>
              <w:left w:w="108" w:type="dxa"/>
              <w:bottom w:w="0" w:type="dxa"/>
              <w:right w:w="108" w:type="dxa"/>
            </w:tcMar>
            <w:hideMark/>
          </w:tcPr>
          <w:p w14:paraId="0140FDD2" w14:textId="77777777" w:rsidR="00D35F11" w:rsidRPr="001A7FD5" w:rsidRDefault="00D35F11" w:rsidP="003962CE">
            <w:pPr>
              <w:pStyle w:val="EndnoteText"/>
              <w:rPr>
                <w:rFonts w:cs="Arial"/>
                <w:color w:val="FFFFFF"/>
              </w:rPr>
            </w:pPr>
            <w:r>
              <w:rPr>
                <w:rFonts w:cs="Arial"/>
                <w:b/>
                <w:bCs/>
                <w:color w:val="FFFFFF"/>
              </w:rPr>
              <w:t>Leapfrog Survey Submission Date</w:t>
            </w:r>
          </w:p>
        </w:tc>
        <w:tc>
          <w:tcPr>
            <w:tcW w:w="1245" w:type="pct"/>
            <w:tcBorders>
              <w:top w:val="single" w:sz="8" w:space="0" w:color="auto"/>
              <w:left w:val="nil"/>
              <w:bottom w:val="nil"/>
              <w:right w:val="single" w:sz="8" w:space="0" w:color="auto"/>
            </w:tcBorders>
            <w:shd w:val="clear" w:color="auto" w:fill="012E6B"/>
            <w:tcMar>
              <w:top w:w="0" w:type="dxa"/>
              <w:left w:w="108" w:type="dxa"/>
              <w:bottom w:w="0" w:type="dxa"/>
              <w:right w:w="108" w:type="dxa"/>
            </w:tcMar>
            <w:hideMark/>
          </w:tcPr>
          <w:p w14:paraId="3556160A" w14:textId="77777777" w:rsidR="00D35F11" w:rsidRPr="001A7FD5" w:rsidRDefault="00D35F11" w:rsidP="003962CE">
            <w:pPr>
              <w:pStyle w:val="EndnoteText"/>
              <w:rPr>
                <w:rFonts w:cs="Arial"/>
                <w:color w:val="FFFFFF"/>
              </w:rPr>
            </w:pPr>
            <w:r>
              <w:rPr>
                <w:rFonts w:cs="Arial"/>
                <w:b/>
                <w:bCs/>
                <w:color w:val="FFFFFF"/>
              </w:rPr>
              <w:t>Review Results</w:t>
            </w:r>
          </w:p>
        </w:tc>
      </w:tr>
      <w:tr w:rsidR="00D35F11" w:rsidRPr="001A7FD5" w14:paraId="301A0D0D" w14:textId="77777777" w:rsidTr="003962CE">
        <w:trPr>
          <w:trHeight w:val="1006"/>
        </w:trPr>
        <w:tc>
          <w:tcPr>
            <w:tcW w:w="1284" w:type="pct"/>
            <w:tcBorders>
              <w:top w:val="single" w:sz="8" w:space="0" w:color="auto"/>
              <w:left w:val="single" w:sz="8" w:space="0" w:color="auto"/>
              <w:bottom w:val="nil"/>
              <w:right w:val="nil"/>
            </w:tcBorders>
            <w:shd w:val="clear" w:color="auto" w:fill="012E6B"/>
            <w:tcMar>
              <w:top w:w="0" w:type="dxa"/>
              <w:left w:w="108" w:type="dxa"/>
              <w:bottom w:w="0" w:type="dxa"/>
              <w:right w:w="108" w:type="dxa"/>
            </w:tcMar>
          </w:tcPr>
          <w:p w14:paraId="68A8A268" w14:textId="77777777" w:rsidR="00D35F11" w:rsidRPr="000850DD" w:rsidRDefault="00D35F11" w:rsidP="003962CE">
            <w:pPr>
              <w:pStyle w:val="EndnoteText"/>
              <w:rPr>
                <w:rFonts w:cs="Arial"/>
                <w:i/>
                <w:iCs/>
                <w:color w:val="FFFFFF"/>
              </w:rPr>
            </w:pPr>
            <w:r w:rsidRPr="000850DD">
              <w:rPr>
                <w:rFonts w:cs="Arial"/>
                <w:i/>
                <w:iCs/>
                <w:color w:val="FFFFFF"/>
              </w:rPr>
              <w:t xml:space="preserve">Hospitals must </w:t>
            </w:r>
            <w:r>
              <w:rPr>
                <w:rFonts w:cs="Arial"/>
                <w:i/>
                <w:iCs/>
                <w:color w:val="FFFFFF"/>
              </w:rPr>
              <w:t xml:space="preserve">complete and submit their Data Sharing Authorization letter to VON </w:t>
            </w:r>
            <w:r w:rsidRPr="000850DD">
              <w:rPr>
                <w:rFonts w:cs="Arial"/>
                <w:i/>
                <w:iCs/>
                <w:color w:val="FFFFFF"/>
              </w:rPr>
              <w:t>before this date</w:t>
            </w:r>
            <w:r>
              <w:rPr>
                <w:rFonts w:cs="Arial"/>
                <w:i/>
                <w:iCs/>
                <w:color w:val="FFFFFF"/>
              </w:rPr>
              <w:t>*</w:t>
            </w:r>
          </w:p>
        </w:tc>
        <w:tc>
          <w:tcPr>
            <w:tcW w:w="993" w:type="pct"/>
            <w:tcBorders>
              <w:top w:val="single" w:sz="8" w:space="0" w:color="auto"/>
              <w:left w:val="nil"/>
              <w:bottom w:val="nil"/>
              <w:right w:val="nil"/>
            </w:tcBorders>
            <w:shd w:val="clear" w:color="auto" w:fill="012E6B"/>
            <w:tcMar>
              <w:top w:w="0" w:type="dxa"/>
              <w:left w:w="108" w:type="dxa"/>
              <w:bottom w:w="0" w:type="dxa"/>
              <w:right w:w="108" w:type="dxa"/>
            </w:tcMar>
          </w:tcPr>
          <w:p w14:paraId="286B52FD" w14:textId="77777777" w:rsidR="00D35F11" w:rsidRPr="001A7FD5" w:rsidRDefault="00D35F11" w:rsidP="003962CE">
            <w:pPr>
              <w:pStyle w:val="EndnoteText"/>
              <w:rPr>
                <w:rFonts w:cs="Arial"/>
                <w:b/>
                <w:bCs/>
                <w:color w:val="FFFFFF"/>
              </w:rPr>
            </w:pPr>
          </w:p>
        </w:tc>
        <w:tc>
          <w:tcPr>
            <w:tcW w:w="1479" w:type="pct"/>
            <w:tcBorders>
              <w:top w:val="single" w:sz="8" w:space="0" w:color="auto"/>
              <w:left w:val="nil"/>
              <w:bottom w:val="nil"/>
              <w:right w:val="nil"/>
            </w:tcBorders>
            <w:shd w:val="clear" w:color="auto" w:fill="012E6B"/>
            <w:tcMar>
              <w:top w:w="0" w:type="dxa"/>
              <w:left w:w="108" w:type="dxa"/>
              <w:bottom w:w="0" w:type="dxa"/>
              <w:right w:w="108" w:type="dxa"/>
            </w:tcMar>
          </w:tcPr>
          <w:p w14:paraId="385B7A45" w14:textId="77777777" w:rsidR="00D35F11" w:rsidRPr="000850DD" w:rsidDel="001A2DF4" w:rsidRDefault="00D35F11" w:rsidP="003962CE">
            <w:pPr>
              <w:pStyle w:val="EndnoteText"/>
              <w:rPr>
                <w:rFonts w:cs="Arial"/>
                <w:i/>
                <w:iCs/>
                <w:color w:val="FFFFFF"/>
              </w:rPr>
            </w:pPr>
            <w:r>
              <w:rPr>
                <w:rFonts w:cs="Arial"/>
                <w:i/>
                <w:iCs/>
                <w:color w:val="FFFFFF"/>
              </w:rPr>
              <w:t>VON data will not be publicly reported if hospitals have not submitted by this date</w:t>
            </w:r>
          </w:p>
        </w:tc>
        <w:tc>
          <w:tcPr>
            <w:tcW w:w="1245" w:type="pct"/>
            <w:tcBorders>
              <w:top w:val="single" w:sz="8" w:space="0" w:color="auto"/>
              <w:left w:val="nil"/>
              <w:bottom w:val="nil"/>
              <w:right w:val="single" w:sz="8" w:space="0" w:color="auto"/>
            </w:tcBorders>
            <w:shd w:val="clear" w:color="auto" w:fill="012E6B"/>
            <w:tcMar>
              <w:top w:w="0" w:type="dxa"/>
              <w:left w:w="108" w:type="dxa"/>
              <w:bottom w:w="0" w:type="dxa"/>
              <w:right w:w="108" w:type="dxa"/>
            </w:tcMar>
          </w:tcPr>
          <w:p w14:paraId="286E720C" w14:textId="77777777" w:rsidR="00D35F11" w:rsidRPr="000850DD" w:rsidRDefault="00D35F11" w:rsidP="003962CE">
            <w:pPr>
              <w:pStyle w:val="EndnoteText"/>
              <w:rPr>
                <w:rFonts w:cs="Arial"/>
                <w:i/>
                <w:iCs/>
                <w:color w:val="FFFFFF"/>
              </w:rPr>
            </w:pPr>
            <w:r>
              <w:rPr>
                <w:rFonts w:cs="Arial"/>
                <w:i/>
                <w:iCs/>
                <w:color w:val="FFFFFF"/>
              </w:rPr>
              <w:t>Data received from VON will be available to review on the Hospital Details Page or Public Reporting Website by these dates</w:t>
            </w:r>
          </w:p>
        </w:tc>
      </w:tr>
      <w:tr w:rsidR="00D35F11" w:rsidRPr="001A7FD5" w14:paraId="0C8BD80B" w14:textId="77777777" w:rsidTr="003962CE">
        <w:trPr>
          <w:trHeight w:val="448"/>
        </w:trPr>
        <w:tc>
          <w:tcPr>
            <w:tcW w:w="1284" w:type="pct"/>
            <w:tcBorders>
              <w:top w:val="nil"/>
              <w:left w:val="single" w:sz="8" w:space="0" w:color="auto"/>
              <w:bottom w:val="nil"/>
              <w:right w:val="nil"/>
            </w:tcBorders>
            <w:shd w:val="clear" w:color="auto" w:fill="F2F2F2"/>
            <w:tcMar>
              <w:top w:w="0" w:type="dxa"/>
              <w:left w:w="108" w:type="dxa"/>
              <w:bottom w:w="0" w:type="dxa"/>
              <w:right w:w="108" w:type="dxa"/>
            </w:tcMar>
            <w:vAlign w:val="center"/>
            <w:hideMark/>
          </w:tcPr>
          <w:p w14:paraId="72738BA1" w14:textId="77777777" w:rsidR="00D35F11" w:rsidRPr="001A7FD5" w:rsidRDefault="00D35F11" w:rsidP="003962CE">
            <w:pPr>
              <w:rPr>
                <w:rFonts w:cs="Arial"/>
                <w:b/>
                <w:bCs/>
              </w:rPr>
            </w:pPr>
            <w:r w:rsidRPr="001A7FD5">
              <w:rPr>
                <w:rFonts w:cs="Arial"/>
                <w:color w:val="000000"/>
              </w:rPr>
              <w:t>June 15, 202</w:t>
            </w:r>
            <w:r>
              <w:rPr>
                <w:rFonts w:cs="Arial"/>
                <w:color w:val="000000"/>
              </w:rPr>
              <w:t>6</w:t>
            </w:r>
          </w:p>
        </w:tc>
        <w:tc>
          <w:tcPr>
            <w:tcW w:w="993" w:type="pct"/>
            <w:shd w:val="clear" w:color="auto" w:fill="F2F2F2"/>
            <w:tcMar>
              <w:top w:w="0" w:type="dxa"/>
              <w:left w:w="108" w:type="dxa"/>
              <w:bottom w:w="0" w:type="dxa"/>
              <w:right w:w="108" w:type="dxa"/>
            </w:tcMar>
            <w:vAlign w:val="center"/>
            <w:hideMark/>
          </w:tcPr>
          <w:p w14:paraId="55C08C82" w14:textId="77777777" w:rsidR="00D35F11" w:rsidRPr="001A7FD5" w:rsidRDefault="00D35F11" w:rsidP="003962CE">
            <w:pPr>
              <w:rPr>
                <w:rFonts w:cs="Arial"/>
              </w:rPr>
            </w:pPr>
            <w:r>
              <w:rPr>
                <w:rFonts w:cs="Arial"/>
                <w:color w:val="000000"/>
              </w:rPr>
              <w:t>2024</w:t>
            </w:r>
          </w:p>
        </w:tc>
        <w:tc>
          <w:tcPr>
            <w:tcW w:w="1479" w:type="pct"/>
            <w:shd w:val="clear" w:color="auto" w:fill="F2F2F2"/>
            <w:tcMar>
              <w:top w:w="0" w:type="dxa"/>
              <w:left w:w="108" w:type="dxa"/>
              <w:bottom w:w="0" w:type="dxa"/>
              <w:right w:w="108" w:type="dxa"/>
            </w:tcMar>
            <w:vAlign w:val="center"/>
            <w:hideMark/>
          </w:tcPr>
          <w:p w14:paraId="56DB3C27" w14:textId="77777777" w:rsidR="00D35F11" w:rsidRPr="001A7FD5" w:rsidRDefault="00D35F11" w:rsidP="003962CE">
            <w:pPr>
              <w:rPr>
                <w:rFonts w:cs="Arial"/>
              </w:rPr>
            </w:pPr>
            <w:r>
              <w:rPr>
                <w:rFonts w:cs="Arial"/>
                <w:color w:val="000000"/>
              </w:rPr>
              <w:t>June 30, 2026</w:t>
            </w:r>
          </w:p>
        </w:tc>
        <w:tc>
          <w:tcPr>
            <w:tcW w:w="1245" w:type="pct"/>
            <w:tcBorders>
              <w:top w:val="nil"/>
              <w:left w:val="nil"/>
              <w:bottom w:val="nil"/>
              <w:right w:val="single" w:sz="8" w:space="0" w:color="auto"/>
            </w:tcBorders>
            <w:shd w:val="clear" w:color="auto" w:fill="F2F2F2"/>
            <w:tcMar>
              <w:top w:w="0" w:type="dxa"/>
              <w:left w:w="108" w:type="dxa"/>
              <w:bottom w:w="0" w:type="dxa"/>
              <w:right w:w="108" w:type="dxa"/>
            </w:tcMar>
            <w:vAlign w:val="center"/>
            <w:hideMark/>
          </w:tcPr>
          <w:p w14:paraId="339F97B5" w14:textId="77777777" w:rsidR="00D35F11" w:rsidRPr="001A7FD5" w:rsidRDefault="00D35F11" w:rsidP="003962CE">
            <w:pPr>
              <w:rPr>
                <w:rFonts w:cs="Arial"/>
              </w:rPr>
            </w:pPr>
            <w:r w:rsidRPr="001A7FD5">
              <w:rPr>
                <w:rFonts w:cs="Arial"/>
                <w:color w:val="000000"/>
              </w:rPr>
              <w:t>July 12, 202</w:t>
            </w:r>
            <w:r>
              <w:rPr>
                <w:rFonts w:cs="Arial"/>
                <w:color w:val="000000"/>
              </w:rPr>
              <w:t>6**</w:t>
            </w:r>
          </w:p>
        </w:tc>
      </w:tr>
      <w:tr w:rsidR="00D35F11" w:rsidRPr="001A7FD5" w14:paraId="32E5D550" w14:textId="77777777" w:rsidTr="003962CE">
        <w:trPr>
          <w:trHeight w:val="431"/>
        </w:trPr>
        <w:tc>
          <w:tcPr>
            <w:tcW w:w="1284" w:type="pct"/>
            <w:tcBorders>
              <w:top w:val="nil"/>
              <w:left w:val="single" w:sz="8" w:space="0" w:color="auto"/>
              <w:bottom w:val="nil"/>
              <w:right w:val="nil"/>
            </w:tcBorders>
            <w:tcMar>
              <w:top w:w="0" w:type="dxa"/>
              <w:left w:w="108" w:type="dxa"/>
              <w:bottom w:w="0" w:type="dxa"/>
              <w:right w:w="108" w:type="dxa"/>
            </w:tcMar>
            <w:vAlign w:val="center"/>
            <w:hideMark/>
          </w:tcPr>
          <w:p w14:paraId="6BEBD6F0" w14:textId="77777777" w:rsidR="00D35F11" w:rsidRPr="001A7FD5" w:rsidRDefault="00D35F11" w:rsidP="003962CE">
            <w:pPr>
              <w:rPr>
                <w:rFonts w:cs="Arial"/>
                <w:b/>
                <w:bCs/>
              </w:rPr>
            </w:pPr>
            <w:r w:rsidRPr="001A7FD5">
              <w:rPr>
                <w:rFonts w:cs="Arial"/>
              </w:rPr>
              <w:t>August 1</w:t>
            </w:r>
            <w:r>
              <w:rPr>
                <w:rFonts w:cs="Arial"/>
              </w:rPr>
              <w:t>4</w:t>
            </w:r>
            <w:r w:rsidRPr="001A7FD5">
              <w:rPr>
                <w:rFonts w:cs="Arial"/>
              </w:rPr>
              <w:t>, 202</w:t>
            </w:r>
            <w:r>
              <w:rPr>
                <w:rFonts w:cs="Arial"/>
              </w:rPr>
              <w:t>6</w:t>
            </w:r>
          </w:p>
        </w:tc>
        <w:tc>
          <w:tcPr>
            <w:tcW w:w="993" w:type="pct"/>
            <w:tcMar>
              <w:top w:w="0" w:type="dxa"/>
              <w:left w:w="108" w:type="dxa"/>
              <w:bottom w:w="0" w:type="dxa"/>
              <w:right w:w="108" w:type="dxa"/>
            </w:tcMar>
            <w:vAlign w:val="center"/>
            <w:hideMark/>
          </w:tcPr>
          <w:p w14:paraId="51A1B730" w14:textId="77777777" w:rsidR="00D35F11" w:rsidRPr="001A7FD5" w:rsidRDefault="00D35F11" w:rsidP="003962CE">
            <w:pPr>
              <w:rPr>
                <w:rFonts w:cs="Arial"/>
              </w:rPr>
            </w:pPr>
            <w:r>
              <w:rPr>
                <w:rFonts w:cs="Arial"/>
              </w:rPr>
              <w:t>2025</w:t>
            </w:r>
            <w:r w:rsidRPr="001A7FD5">
              <w:rPr>
                <w:rFonts w:cs="Arial"/>
              </w:rPr>
              <w:t>**</w:t>
            </w:r>
            <w:r>
              <w:rPr>
                <w:rFonts w:cs="Arial"/>
              </w:rPr>
              <w:t>*</w:t>
            </w:r>
          </w:p>
        </w:tc>
        <w:tc>
          <w:tcPr>
            <w:tcW w:w="1479" w:type="pct"/>
            <w:tcMar>
              <w:top w:w="0" w:type="dxa"/>
              <w:left w:w="108" w:type="dxa"/>
              <w:bottom w:w="0" w:type="dxa"/>
              <w:right w:w="108" w:type="dxa"/>
            </w:tcMar>
            <w:vAlign w:val="center"/>
            <w:hideMark/>
          </w:tcPr>
          <w:p w14:paraId="43FD8BF9" w14:textId="77777777" w:rsidR="00D35F11" w:rsidRPr="001A7FD5" w:rsidRDefault="00D35F11" w:rsidP="003962CE">
            <w:pPr>
              <w:rPr>
                <w:rFonts w:cs="Arial"/>
              </w:rPr>
            </w:pPr>
            <w:r>
              <w:rPr>
                <w:rFonts w:cs="Arial"/>
              </w:rPr>
              <w:t>August 31, 2026</w:t>
            </w:r>
          </w:p>
        </w:tc>
        <w:tc>
          <w:tcPr>
            <w:tcW w:w="1245" w:type="pct"/>
            <w:tcBorders>
              <w:top w:val="nil"/>
              <w:left w:val="nil"/>
              <w:bottom w:val="nil"/>
              <w:right w:val="single" w:sz="8" w:space="0" w:color="auto"/>
            </w:tcBorders>
            <w:tcMar>
              <w:top w:w="0" w:type="dxa"/>
              <w:left w:w="108" w:type="dxa"/>
              <w:bottom w:w="0" w:type="dxa"/>
              <w:right w:w="108" w:type="dxa"/>
            </w:tcMar>
            <w:vAlign w:val="center"/>
            <w:hideMark/>
          </w:tcPr>
          <w:p w14:paraId="70EF99A2" w14:textId="77777777" w:rsidR="00D35F11" w:rsidRPr="001A7FD5" w:rsidRDefault="00D35F11" w:rsidP="003962CE">
            <w:pPr>
              <w:rPr>
                <w:rFonts w:cs="Arial"/>
              </w:rPr>
            </w:pPr>
            <w:r w:rsidRPr="001A7FD5">
              <w:rPr>
                <w:rFonts w:cs="Arial"/>
              </w:rPr>
              <w:t xml:space="preserve">September </w:t>
            </w:r>
            <w:r>
              <w:rPr>
                <w:rFonts w:cs="Arial"/>
              </w:rPr>
              <w:t>10</w:t>
            </w:r>
            <w:r w:rsidRPr="001A7FD5">
              <w:rPr>
                <w:rFonts w:cs="Arial"/>
              </w:rPr>
              <w:t>, 202</w:t>
            </w:r>
            <w:r>
              <w:rPr>
                <w:rFonts w:cs="Arial"/>
              </w:rPr>
              <w:t>6</w:t>
            </w:r>
          </w:p>
        </w:tc>
      </w:tr>
      <w:tr w:rsidR="00D35F11" w:rsidRPr="001A7FD5" w14:paraId="7BF447C0" w14:textId="77777777" w:rsidTr="003962CE">
        <w:trPr>
          <w:trHeight w:val="448"/>
        </w:trPr>
        <w:tc>
          <w:tcPr>
            <w:tcW w:w="1284" w:type="pct"/>
            <w:tcBorders>
              <w:top w:val="nil"/>
              <w:left w:val="single" w:sz="8" w:space="0" w:color="auto"/>
              <w:bottom w:val="single" w:sz="8" w:space="0" w:color="auto"/>
              <w:right w:val="nil"/>
            </w:tcBorders>
            <w:shd w:val="clear" w:color="auto" w:fill="F2F2F2"/>
            <w:tcMar>
              <w:top w:w="0" w:type="dxa"/>
              <w:left w:w="108" w:type="dxa"/>
              <w:bottom w:w="0" w:type="dxa"/>
              <w:right w:w="108" w:type="dxa"/>
            </w:tcMar>
            <w:vAlign w:val="center"/>
            <w:hideMark/>
          </w:tcPr>
          <w:p w14:paraId="36352279" w14:textId="77777777" w:rsidR="00D35F11" w:rsidRPr="001A7FD5" w:rsidRDefault="00D35F11" w:rsidP="003962CE">
            <w:pPr>
              <w:rPr>
                <w:rFonts w:cs="Arial"/>
                <w:b/>
                <w:bCs/>
              </w:rPr>
            </w:pPr>
            <w:r w:rsidRPr="001A7FD5">
              <w:rPr>
                <w:rFonts w:cs="Arial"/>
                <w:color w:val="000000"/>
              </w:rPr>
              <w:t>November 1</w:t>
            </w:r>
            <w:r>
              <w:rPr>
                <w:rFonts w:cs="Arial"/>
                <w:color w:val="000000"/>
              </w:rPr>
              <w:t>6</w:t>
            </w:r>
            <w:r w:rsidRPr="001A7FD5">
              <w:rPr>
                <w:rFonts w:cs="Arial"/>
                <w:color w:val="000000"/>
              </w:rPr>
              <w:t>, 202</w:t>
            </w:r>
            <w:r>
              <w:rPr>
                <w:rFonts w:cs="Arial"/>
                <w:color w:val="000000"/>
              </w:rPr>
              <w:t>6</w:t>
            </w:r>
          </w:p>
        </w:tc>
        <w:tc>
          <w:tcPr>
            <w:tcW w:w="993" w:type="pct"/>
            <w:tcBorders>
              <w:top w:val="nil"/>
              <w:left w:val="nil"/>
              <w:bottom w:val="single" w:sz="8" w:space="0" w:color="auto"/>
              <w:right w:val="nil"/>
            </w:tcBorders>
            <w:shd w:val="clear" w:color="auto" w:fill="F2F2F2"/>
            <w:tcMar>
              <w:top w:w="0" w:type="dxa"/>
              <w:left w:w="108" w:type="dxa"/>
              <w:bottom w:w="0" w:type="dxa"/>
              <w:right w:w="108" w:type="dxa"/>
            </w:tcMar>
            <w:vAlign w:val="center"/>
            <w:hideMark/>
          </w:tcPr>
          <w:p w14:paraId="2F784F94" w14:textId="77777777" w:rsidR="00D35F11" w:rsidRPr="001A7FD5" w:rsidRDefault="00D35F11" w:rsidP="003962CE">
            <w:pPr>
              <w:rPr>
                <w:rFonts w:cs="Arial"/>
              </w:rPr>
            </w:pPr>
            <w:r>
              <w:rPr>
                <w:rFonts w:cs="Arial"/>
                <w:color w:val="000000"/>
              </w:rPr>
              <w:t>2025</w:t>
            </w:r>
          </w:p>
        </w:tc>
        <w:tc>
          <w:tcPr>
            <w:tcW w:w="1479" w:type="pct"/>
            <w:tcBorders>
              <w:top w:val="nil"/>
              <w:left w:val="nil"/>
              <w:bottom w:val="single" w:sz="8" w:space="0" w:color="auto"/>
              <w:right w:val="nil"/>
            </w:tcBorders>
            <w:shd w:val="clear" w:color="auto" w:fill="F2F2F2"/>
            <w:tcMar>
              <w:top w:w="0" w:type="dxa"/>
              <w:left w:w="108" w:type="dxa"/>
              <w:bottom w:w="0" w:type="dxa"/>
              <w:right w:w="108" w:type="dxa"/>
            </w:tcMar>
            <w:vAlign w:val="center"/>
            <w:hideMark/>
          </w:tcPr>
          <w:p w14:paraId="3591AF84" w14:textId="77777777" w:rsidR="00D35F11" w:rsidRPr="001A7FD5" w:rsidRDefault="00D35F11" w:rsidP="003962CE">
            <w:pPr>
              <w:rPr>
                <w:rFonts w:cs="Arial"/>
                <w:highlight w:val="yellow"/>
              </w:rPr>
            </w:pPr>
            <w:r>
              <w:rPr>
                <w:rFonts w:cs="Arial"/>
                <w:color w:val="000000"/>
              </w:rPr>
              <w:t>November 30, 2026</w:t>
            </w:r>
          </w:p>
        </w:tc>
        <w:tc>
          <w:tcPr>
            <w:tcW w:w="1245" w:type="pct"/>
            <w:tcBorders>
              <w:top w:val="nil"/>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3107311F" w14:textId="77777777" w:rsidR="00D35F11" w:rsidRPr="001A7FD5" w:rsidRDefault="00D35F11" w:rsidP="003962CE">
            <w:pPr>
              <w:rPr>
                <w:rFonts w:cs="Arial"/>
              </w:rPr>
            </w:pPr>
            <w:r w:rsidRPr="001A7FD5">
              <w:rPr>
                <w:rFonts w:cs="Arial"/>
                <w:color w:val="000000"/>
              </w:rPr>
              <w:t xml:space="preserve">December </w:t>
            </w:r>
            <w:r>
              <w:rPr>
                <w:rFonts w:cs="Arial"/>
                <w:color w:val="000000"/>
              </w:rPr>
              <w:t>9</w:t>
            </w:r>
            <w:r w:rsidRPr="001A7FD5">
              <w:rPr>
                <w:rFonts w:cs="Arial"/>
                <w:color w:val="000000"/>
              </w:rPr>
              <w:t>, 202</w:t>
            </w:r>
            <w:r>
              <w:rPr>
                <w:rFonts w:cs="Arial"/>
                <w:color w:val="000000"/>
              </w:rPr>
              <w:t>6</w:t>
            </w:r>
          </w:p>
        </w:tc>
      </w:tr>
    </w:tbl>
    <w:p w14:paraId="13265A8B" w14:textId="77777777" w:rsidR="009E25DB" w:rsidRDefault="009128D9" w:rsidP="00C7333E">
      <w:pPr>
        <w:pStyle w:val="NoSpacing"/>
        <w:rPr>
          <w:rFonts w:ascii="Arial" w:hAnsi="Arial" w:cs="Arial"/>
          <w:sz w:val="20"/>
          <w:szCs w:val="20"/>
        </w:rPr>
      </w:pPr>
      <w:r>
        <w:rPr>
          <w:rFonts w:ascii="Arial" w:hAnsi="Arial" w:cs="Arial"/>
          <w:sz w:val="20"/>
          <w:szCs w:val="20"/>
        </w:rPr>
        <w:br/>
      </w:r>
      <w:r w:rsidR="00C7333E" w:rsidRPr="00486EF4">
        <w:rPr>
          <w:rFonts w:ascii="Arial" w:hAnsi="Arial" w:cs="Arial"/>
          <w:sz w:val="20"/>
          <w:szCs w:val="20"/>
        </w:rPr>
        <w:t xml:space="preserve">* Hospitals that successfully submitted a Data Sharing Authorization letter in </w:t>
      </w:r>
      <w:r w:rsidR="002E5A65">
        <w:rPr>
          <w:rFonts w:ascii="Arial" w:hAnsi="Arial" w:cs="Arial"/>
          <w:sz w:val="20"/>
          <w:szCs w:val="20"/>
        </w:rPr>
        <w:t>previous years</w:t>
      </w:r>
      <w:r w:rsidR="002E5A65" w:rsidRPr="00486EF4">
        <w:rPr>
          <w:rFonts w:ascii="Arial" w:hAnsi="Arial" w:cs="Arial"/>
          <w:sz w:val="20"/>
          <w:szCs w:val="20"/>
        </w:rPr>
        <w:t xml:space="preserve"> </w:t>
      </w:r>
      <w:r w:rsidR="00157FDB">
        <w:rPr>
          <w:rFonts w:ascii="Arial" w:hAnsi="Arial" w:cs="Arial"/>
          <w:sz w:val="20"/>
          <w:szCs w:val="20"/>
        </w:rPr>
        <w:t>are</w:t>
      </w:r>
      <w:r w:rsidR="00C7333E" w:rsidRPr="00486EF4">
        <w:rPr>
          <w:rFonts w:ascii="Arial" w:hAnsi="Arial" w:cs="Arial"/>
          <w:sz w:val="20"/>
          <w:szCs w:val="20"/>
        </w:rPr>
        <w:t xml:space="preserve"> not required to submit another letter in 202</w:t>
      </w:r>
      <w:r w:rsidR="00D35F11">
        <w:rPr>
          <w:rFonts w:ascii="Arial" w:hAnsi="Arial" w:cs="Arial"/>
          <w:sz w:val="20"/>
          <w:szCs w:val="20"/>
        </w:rPr>
        <w:t>6</w:t>
      </w:r>
    </w:p>
    <w:p w14:paraId="4D0F46BF" w14:textId="47358AD8" w:rsidR="00C7333E" w:rsidRPr="00486EF4" w:rsidRDefault="009E25DB" w:rsidP="00C7333E">
      <w:pPr>
        <w:pStyle w:val="NoSpacing"/>
        <w:rPr>
          <w:rFonts w:ascii="Arial" w:eastAsia="Times New Roman" w:hAnsi="Arial" w:cs="Arial"/>
          <w:sz w:val="20"/>
          <w:szCs w:val="20"/>
        </w:rPr>
      </w:pPr>
      <w:r w:rsidRPr="000607ED">
        <w:rPr>
          <w:rFonts w:ascii="Arial" w:hAnsi="Arial" w:cs="Arial"/>
          <w:sz w:val="20"/>
          <w:szCs w:val="20"/>
        </w:rPr>
        <w:t>**Data will be published on the Public Reporting Website starting on July 25, 2026</w:t>
      </w:r>
      <w:r w:rsidR="00AD15CB">
        <w:rPr>
          <w:rFonts w:ascii="Arial" w:hAnsi="Arial" w:cs="Arial"/>
          <w:sz w:val="20"/>
          <w:szCs w:val="20"/>
        </w:rPr>
        <w:t>.</w:t>
      </w:r>
      <w:r w:rsidR="00C7333E" w:rsidRPr="00486EF4">
        <w:rPr>
          <w:rFonts w:ascii="Arial" w:hAnsi="Arial" w:cs="Arial"/>
          <w:sz w:val="20"/>
          <w:szCs w:val="20"/>
        </w:rPr>
        <w:t xml:space="preserve"> </w:t>
      </w:r>
    </w:p>
    <w:p w14:paraId="5E19EC0F" w14:textId="05436600" w:rsidR="00C7333E" w:rsidRPr="00486EF4" w:rsidRDefault="00C7333E" w:rsidP="00C7333E">
      <w:pPr>
        <w:pStyle w:val="NoSpacing"/>
        <w:rPr>
          <w:rFonts w:ascii="Arial" w:hAnsi="Arial" w:cs="Arial"/>
          <w:sz w:val="20"/>
          <w:szCs w:val="20"/>
        </w:rPr>
      </w:pPr>
      <w:r w:rsidRPr="00486EF4">
        <w:rPr>
          <w:rFonts w:ascii="Arial" w:hAnsi="Arial" w:cs="Arial"/>
          <w:sz w:val="20"/>
          <w:szCs w:val="20"/>
        </w:rPr>
        <w:t>**</w:t>
      </w:r>
      <w:r w:rsidR="009E25DB">
        <w:rPr>
          <w:rFonts w:ascii="Arial" w:hAnsi="Arial" w:cs="Arial"/>
          <w:sz w:val="20"/>
          <w:szCs w:val="20"/>
        </w:rPr>
        <w:t>*</w:t>
      </w:r>
      <w:r w:rsidRPr="00486EF4">
        <w:rPr>
          <w:rFonts w:ascii="Arial" w:hAnsi="Arial" w:cs="Arial"/>
          <w:sz w:val="20"/>
          <w:szCs w:val="20"/>
        </w:rPr>
        <w:t>Anticipated release of 202</w:t>
      </w:r>
      <w:r w:rsidR="00123B88">
        <w:rPr>
          <w:rFonts w:ascii="Arial" w:hAnsi="Arial" w:cs="Arial"/>
          <w:sz w:val="20"/>
          <w:szCs w:val="20"/>
        </w:rPr>
        <w:t>5</w:t>
      </w:r>
      <w:r w:rsidRPr="00486EF4">
        <w:rPr>
          <w:rFonts w:ascii="Arial" w:hAnsi="Arial" w:cs="Arial"/>
          <w:sz w:val="20"/>
          <w:szCs w:val="20"/>
        </w:rPr>
        <w:t xml:space="preserve"> VON data. </w:t>
      </w:r>
    </w:p>
    <w:p w14:paraId="46E3296D" w14:textId="77777777" w:rsidR="00C7333E" w:rsidRPr="000C1F1D" w:rsidRDefault="00C7333E" w:rsidP="00C7333E">
      <w:pPr>
        <w:pStyle w:val="NoSpacing"/>
        <w:rPr>
          <w:rFonts w:ascii="Arial" w:hAnsi="Arial" w:cs="Arial"/>
          <w:i/>
          <w:iCs/>
          <w:sz w:val="16"/>
          <w:szCs w:val="16"/>
        </w:rPr>
      </w:pPr>
    </w:p>
    <w:p w14:paraId="43647A52" w14:textId="097C53DC" w:rsidR="009E25DB" w:rsidRDefault="00C7333E" w:rsidP="00C7333E">
      <w:pPr>
        <w:rPr>
          <w:rFonts w:cs="Arial"/>
          <w:color w:val="000000"/>
        </w:rPr>
      </w:pPr>
      <w:r w:rsidRPr="009A5185">
        <w:rPr>
          <w:rFonts w:cs="Arial"/>
          <w:color w:val="000000"/>
        </w:rPr>
        <w:t>See</w:t>
      </w:r>
      <w:r>
        <w:rPr>
          <w:rFonts w:cs="Arial"/>
          <w:color w:val="000000"/>
        </w:rPr>
        <w:t xml:space="preserve"> </w:t>
      </w:r>
      <w:hyperlink w:anchor="_Maternity_Care_Frequently" w:history="1">
        <w:r>
          <w:rPr>
            <w:rStyle w:val="Hyperlink"/>
            <w:rFonts w:cs="Arial"/>
          </w:rPr>
          <w:t>FAQs</w:t>
        </w:r>
      </w:hyperlink>
      <w:r w:rsidRPr="009A5185">
        <w:rPr>
          <w:rFonts w:cs="Arial"/>
          <w:color w:val="000000"/>
        </w:rPr>
        <w:t xml:space="preserve"> for additional information about responding to</w:t>
      </w:r>
      <w:r>
        <w:rPr>
          <w:rFonts w:cs="Arial"/>
          <w:color w:val="000000"/>
        </w:rPr>
        <w:t xml:space="preserve"> the</w:t>
      </w:r>
      <w:r w:rsidRPr="009A5185">
        <w:rPr>
          <w:rFonts w:cs="Arial"/>
          <w:color w:val="000000"/>
        </w:rPr>
        <w:t xml:space="preserve"> questions in this section.</w:t>
      </w:r>
    </w:p>
    <w:p w14:paraId="01A9E103" w14:textId="77777777" w:rsidR="009E25DB" w:rsidRDefault="009E25DB">
      <w:pPr>
        <w:rPr>
          <w:rFonts w:cs="Arial"/>
          <w:color w:val="000000"/>
        </w:rPr>
      </w:pPr>
      <w:r>
        <w:rPr>
          <w:rFonts w:cs="Arial"/>
          <w:color w:val="000000"/>
        </w:rPr>
        <w:br w:type="page"/>
      </w:r>
    </w:p>
    <w:p w14:paraId="50AD6AB7" w14:textId="24273549" w:rsidR="008C2231" w:rsidRPr="009A5185" w:rsidRDefault="000E4995" w:rsidP="00CF5A6E">
      <w:pPr>
        <w:pStyle w:val="Heading2"/>
      </w:pPr>
      <w:bookmarkStart w:id="384" w:name="_Antenatal_Steroids_Process"/>
      <w:bookmarkStart w:id="385" w:name="_Maternity_Care_Volume"/>
      <w:bookmarkStart w:id="386" w:name="_Deadlines_and_Reporting"/>
      <w:bookmarkStart w:id="387" w:name="_Maternity_Care_Frequently"/>
      <w:bookmarkStart w:id="388" w:name="_Toc225877745"/>
      <w:bookmarkEnd w:id="381"/>
      <w:bookmarkEnd w:id="384"/>
      <w:bookmarkEnd w:id="385"/>
      <w:bookmarkEnd w:id="386"/>
      <w:bookmarkEnd w:id="387"/>
      <w:r>
        <w:t xml:space="preserve">Section 4: </w:t>
      </w:r>
      <w:r w:rsidR="008C2231" w:rsidRPr="009A5185">
        <w:t>Maternity Care Frequently Asked Questions (FAQs)</w:t>
      </w:r>
      <w:bookmarkEnd w:id="388"/>
      <w:r w:rsidR="008C2231" w:rsidRPr="009A5185">
        <w:t xml:space="preserve"> </w:t>
      </w:r>
    </w:p>
    <w:p w14:paraId="27E3C1CD" w14:textId="77777777" w:rsidR="008C2231" w:rsidRPr="009A5185" w:rsidRDefault="008C2231" w:rsidP="001D0022">
      <w:pPr>
        <w:rPr>
          <w:rFonts w:cs="Arial"/>
          <w:color w:val="A6A6A6" w:themeColor="background1" w:themeShade="A6"/>
        </w:rPr>
      </w:pPr>
      <w:bookmarkStart w:id="389" w:name="_Toc414267279"/>
    </w:p>
    <w:p w14:paraId="678EAEB6" w14:textId="3D4BDF6F" w:rsidR="008C2231" w:rsidRPr="009A5185" w:rsidRDefault="008C2231" w:rsidP="00AD309C">
      <w:pPr>
        <w:numPr>
          <w:ilvl w:val="0"/>
          <w:numId w:val="20"/>
        </w:numPr>
        <w:rPr>
          <w:rFonts w:cs="Arial"/>
          <w:b/>
        </w:rPr>
      </w:pPr>
      <w:r w:rsidRPr="009A5185">
        <w:rPr>
          <w:rFonts w:cs="Arial"/>
          <w:b/>
        </w:rPr>
        <w:t>Under normal circumstances our hospital does not perform newborn deliveries</w:t>
      </w:r>
      <w:r w:rsidR="00B70C0C">
        <w:rPr>
          <w:rFonts w:cs="Arial"/>
          <w:b/>
        </w:rPr>
        <w:t xml:space="preserve">. However, </w:t>
      </w:r>
      <w:r w:rsidRPr="009A5185">
        <w:rPr>
          <w:rFonts w:cs="Arial"/>
          <w:b/>
        </w:rPr>
        <w:t>during the reporting period we had a few emergency situations and/or transfers.</w:t>
      </w:r>
      <w:r w:rsidR="00080756">
        <w:rPr>
          <w:rFonts w:cs="Arial"/>
          <w:b/>
        </w:rPr>
        <w:t xml:space="preserve"> </w:t>
      </w:r>
      <w:r w:rsidRPr="009A5185">
        <w:rPr>
          <w:rFonts w:cs="Arial"/>
          <w:b/>
        </w:rPr>
        <w:t>Should we indicate delivering newborns during the reporting period?</w:t>
      </w:r>
    </w:p>
    <w:p w14:paraId="67D162C4" w14:textId="192DE76A" w:rsidR="008C2231" w:rsidRPr="009A5185" w:rsidRDefault="008C2231" w:rsidP="008C2231">
      <w:pPr>
        <w:ind w:left="720"/>
        <w:rPr>
          <w:rFonts w:cs="Arial"/>
        </w:rPr>
      </w:pPr>
      <w:r w:rsidRPr="009A5185">
        <w:rPr>
          <w:rFonts w:cs="Arial"/>
        </w:rPr>
        <w:t>If your hospital does not electively perform newborn deliveries (</w:t>
      </w:r>
      <w:r w:rsidR="000A554A" w:rsidRPr="009A5185">
        <w:rPr>
          <w:rFonts w:cs="Arial"/>
        </w:rPr>
        <w:t>i.e.,</w:t>
      </w:r>
      <w:r w:rsidRPr="009A5185">
        <w:rPr>
          <w:rFonts w:cs="Arial"/>
        </w:rPr>
        <w:t xml:space="preserve"> no labor/delivery unit, only admit in an emergency situation), you would respond </w:t>
      </w:r>
      <w:r w:rsidR="004F2614">
        <w:rPr>
          <w:rFonts w:cs="Arial"/>
        </w:rPr>
        <w:t>“</w:t>
      </w:r>
      <w:r w:rsidRPr="009A5185">
        <w:rPr>
          <w:rFonts w:cs="Arial"/>
        </w:rPr>
        <w:t>n</w:t>
      </w:r>
      <w:r w:rsidR="004F2614">
        <w:rPr>
          <w:rFonts w:cs="Arial"/>
        </w:rPr>
        <w:t>o”</w:t>
      </w:r>
      <w:r w:rsidR="004417E7" w:rsidRPr="009A5185">
        <w:rPr>
          <w:rFonts w:cs="Arial"/>
        </w:rPr>
        <w:t xml:space="preserve"> to question #2 in Section 4A</w:t>
      </w:r>
      <w:r w:rsidR="00FC6FB9" w:rsidRPr="009A5185">
        <w:rPr>
          <w:rFonts w:cs="Arial"/>
        </w:rPr>
        <w:t>,</w:t>
      </w:r>
      <w:r w:rsidR="004417E7" w:rsidRPr="009A5185">
        <w:rPr>
          <w:rFonts w:cs="Arial"/>
        </w:rPr>
        <w:t xml:space="preserve"> as hospitals are instructed to report </w:t>
      </w:r>
      <w:proofErr w:type="spellStart"/>
      <w:r w:rsidR="004417E7" w:rsidRPr="009A5185">
        <w:rPr>
          <w:rFonts w:cs="Arial"/>
        </w:rPr>
        <w:t>inborn</w:t>
      </w:r>
      <w:r w:rsidR="00FC6FB9" w:rsidRPr="009A5185">
        <w:rPr>
          <w:rFonts w:cs="Arial"/>
        </w:rPr>
        <w:t>s</w:t>
      </w:r>
      <w:proofErr w:type="spellEnd"/>
      <w:r w:rsidR="004417E7" w:rsidRPr="009A5185">
        <w:rPr>
          <w:rFonts w:cs="Arial"/>
        </w:rPr>
        <w:t xml:space="preserve"> only. </w:t>
      </w:r>
    </w:p>
    <w:p w14:paraId="66C6F38F" w14:textId="77777777" w:rsidR="008C2231" w:rsidRPr="009A5185" w:rsidRDefault="008C2231" w:rsidP="008C2231">
      <w:pPr>
        <w:ind w:left="720"/>
        <w:rPr>
          <w:rFonts w:cs="Arial"/>
        </w:rPr>
      </w:pPr>
    </w:p>
    <w:p w14:paraId="797AA68A" w14:textId="77777777" w:rsidR="008C2231" w:rsidRPr="009A5185" w:rsidRDefault="008C2231" w:rsidP="00AD309C">
      <w:pPr>
        <w:numPr>
          <w:ilvl w:val="0"/>
          <w:numId w:val="20"/>
        </w:numPr>
        <w:rPr>
          <w:rFonts w:cs="Arial"/>
          <w:b/>
        </w:rPr>
      </w:pPr>
      <w:r w:rsidRPr="009A5185">
        <w:rPr>
          <w:rFonts w:cs="Arial"/>
          <w:b/>
        </w:rPr>
        <w:t>Should newborns that are delivered outside of the hospital that are brought to labor and delivery be included in the total number of live births in Section 4A?</w:t>
      </w:r>
    </w:p>
    <w:p w14:paraId="7153E40E" w14:textId="77777777" w:rsidR="00A956BB" w:rsidRPr="009A5185" w:rsidRDefault="00A956BB" w:rsidP="00A956BB">
      <w:pPr>
        <w:pStyle w:val="ListParagraph"/>
        <w:rPr>
          <w:rFonts w:cs="Arial"/>
        </w:rPr>
      </w:pPr>
      <w:r w:rsidRPr="009A5185">
        <w:rPr>
          <w:rFonts w:cs="Arial"/>
        </w:rPr>
        <w:t xml:space="preserve">When calculating the total number of live births in Section 4A question #3, refer to the measure specifications for Maternity Care Volume. Only </w:t>
      </w:r>
      <w:proofErr w:type="spellStart"/>
      <w:r w:rsidRPr="009A5185">
        <w:rPr>
          <w:rFonts w:cs="Arial"/>
        </w:rPr>
        <w:t>inborns</w:t>
      </w:r>
      <w:proofErr w:type="spellEnd"/>
      <w:r w:rsidRPr="009A5185">
        <w:rPr>
          <w:rFonts w:cs="Arial"/>
        </w:rPr>
        <w:t xml:space="preserve"> should be included in the total volume.</w:t>
      </w:r>
    </w:p>
    <w:p w14:paraId="2E8519B1" w14:textId="77777777" w:rsidR="00D81DF6" w:rsidRDefault="00D81DF6" w:rsidP="006D0707">
      <w:pPr>
        <w:spacing w:line="264" w:lineRule="auto"/>
        <w:contextualSpacing/>
      </w:pPr>
    </w:p>
    <w:p w14:paraId="332005C5" w14:textId="620C06C2" w:rsidR="00390F2A" w:rsidRDefault="00390F2A" w:rsidP="00AD309C">
      <w:pPr>
        <w:numPr>
          <w:ilvl w:val="0"/>
          <w:numId w:val="20"/>
        </w:numPr>
        <w:rPr>
          <w:rFonts w:cs="Arial"/>
          <w:b/>
        </w:rPr>
      </w:pPr>
      <w:r>
        <w:rPr>
          <w:rFonts w:cs="Arial"/>
          <w:b/>
        </w:rPr>
        <w:t>Should hospitals use delivery date or discharge da</w:t>
      </w:r>
      <w:r w:rsidR="00224056">
        <w:rPr>
          <w:rFonts w:cs="Arial"/>
          <w:b/>
        </w:rPr>
        <w:t>te</w:t>
      </w:r>
      <w:r>
        <w:rPr>
          <w:rFonts w:cs="Arial"/>
          <w:b/>
        </w:rPr>
        <w:t xml:space="preserve"> when including births/cases for </w:t>
      </w:r>
      <w:r w:rsidR="00C72CA4">
        <w:rPr>
          <w:rFonts w:cs="Arial"/>
          <w:b/>
        </w:rPr>
        <w:t xml:space="preserve">the </w:t>
      </w:r>
      <w:r>
        <w:rPr>
          <w:rFonts w:cs="Arial"/>
          <w:b/>
        </w:rPr>
        <w:t>measures reported in Section 4</w:t>
      </w:r>
      <w:r w:rsidR="0079783F">
        <w:rPr>
          <w:rFonts w:cs="Arial"/>
          <w:b/>
        </w:rPr>
        <w:t>:</w:t>
      </w:r>
      <w:r>
        <w:rPr>
          <w:rFonts w:cs="Arial"/>
          <w:b/>
        </w:rPr>
        <w:t xml:space="preserve"> Maternity Care?</w:t>
      </w:r>
    </w:p>
    <w:p w14:paraId="6E8A2158" w14:textId="40D27E9D" w:rsidR="00390F2A" w:rsidRDefault="00390F2A" w:rsidP="00390F2A">
      <w:pPr>
        <w:ind w:left="720"/>
        <w:rPr>
          <w:rFonts w:cs="Arial"/>
        </w:rPr>
      </w:pPr>
      <w:r>
        <w:rPr>
          <w:rFonts w:cs="Arial"/>
        </w:rPr>
        <w:t xml:space="preserve">The discharge date should be used to determine </w:t>
      </w:r>
      <w:r w:rsidR="004E1027">
        <w:rPr>
          <w:rFonts w:cs="Arial"/>
        </w:rPr>
        <w:t>whether</w:t>
      </w:r>
      <w:r w:rsidR="00C72CA4">
        <w:rPr>
          <w:rFonts w:cs="Arial"/>
        </w:rPr>
        <w:t xml:space="preserve"> a case falls within the reporting p</w:t>
      </w:r>
      <w:r>
        <w:rPr>
          <w:rFonts w:cs="Arial"/>
        </w:rPr>
        <w:t>eriod specified.</w:t>
      </w:r>
    </w:p>
    <w:p w14:paraId="339CFC54" w14:textId="77777777" w:rsidR="001A716D" w:rsidRPr="00E05927" w:rsidRDefault="001A716D" w:rsidP="00E05927">
      <w:pPr>
        <w:ind w:left="360"/>
        <w:rPr>
          <w:rFonts w:cs="Arial"/>
          <w:bCs/>
        </w:rPr>
      </w:pPr>
    </w:p>
    <w:p w14:paraId="190F1C09" w14:textId="0894A7CE" w:rsidR="00036AAB" w:rsidRPr="00995B6D" w:rsidRDefault="00036AAB" w:rsidP="00036AAB">
      <w:pPr>
        <w:pStyle w:val="ListParagraph"/>
        <w:numPr>
          <w:ilvl w:val="0"/>
          <w:numId w:val="20"/>
        </w:numPr>
        <w:rPr>
          <w:rFonts w:cs="Arial"/>
          <w:b/>
          <w:bCs/>
        </w:rPr>
      </w:pPr>
      <w:r w:rsidRPr="00995B6D">
        <w:rPr>
          <w:rFonts w:cs="Arial"/>
          <w:b/>
          <w:bCs/>
        </w:rPr>
        <w:t>For the purposes of Section 4A question #</w:t>
      </w:r>
      <w:r>
        <w:rPr>
          <w:rFonts w:cs="Arial"/>
          <w:b/>
          <w:bCs/>
        </w:rPr>
        <w:t>6</w:t>
      </w:r>
      <w:r w:rsidRPr="00995B6D">
        <w:rPr>
          <w:rFonts w:cs="Arial"/>
          <w:b/>
          <w:bCs/>
        </w:rPr>
        <w:t>, what qualifies for the different categories of lactation personnel?</w:t>
      </w:r>
    </w:p>
    <w:p w14:paraId="73B3475A" w14:textId="77777777" w:rsidR="00036AAB" w:rsidRDefault="00036AAB" w:rsidP="00036AAB">
      <w:pPr>
        <w:pStyle w:val="ListParagraph"/>
        <w:rPr>
          <w:rFonts w:cs="Arial"/>
        </w:rPr>
      </w:pPr>
      <w:r w:rsidRPr="008B4CFE">
        <w:rPr>
          <w:rFonts w:cs="Arial"/>
        </w:rPr>
        <w:t>The National Lactation Consultant Alliance has categories for lactation personnel, with specific qualifications based upon the extent of their education and training.</w:t>
      </w:r>
    </w:p>
    <w:p w14:paraId="3FC54FD7" w14:textId="77777777" w:rsidR="00036AAB" w:rsidRPr="00144FA6" w:rsidRDefault="00036AAB" w:rsidP="00036AAB">
      <w:pPr>
        <w:numPr>
          <w:ilvl w:val="0"/>
          <w:numId w:val="438"/>
        </w:numPr>
        <w:spacing w:before="200" w:after="200" w:line="276" w:lineRule="auto"/>
        <w:rPr>
          <w:b/>
          <w:bCs/>
        </w:rPr>
      </w:pPr>
      <w:r w:rsidRPr="00144FA6">
        <w:t xml:space="preserve">International Board Certified Lactation Consultants® (IBCLCs®) are individuals that are board certified by the International Board of Lactation Consultant Examiners® to provide </w:t>
      </w:r>
      <w:r w:rsidRPr="00144FA6">
        <w:rPr>
          <w:b/>
          <w:bCs/>
          <w:i/>
          <w:iCs/>
        </w:rPr>
        <w:t>clinical lactation care</w:t>
      </w:r>
      <w:r w:rsidRPr="00144FA6">
        <w:t xml:space="preserve"> (e.g., clinical assessments, lactation management and feeding plans, referrals to other healthcare practitioners, etc.), as well as education and support to postpartum patients.</w:t>
      </w:r>
    </w:p>
    <w:p w14:paraId="0F94C699" w14:textId="77777777" w:rsidR="00036AAB" w:rsidRDefault="00036AAB" w:rsidP="00036AAB">
      <w:pPr>
        <w:numPr>
          <w:ilvl w:val="0"/>
          <w:numId w:val="438"/>
        </w:numPr>
        <w:spacing w:before="200" w:after="200" w:line="276" w:lineRule="auto"/>
        <w:rPr>
          <w:b/>
          <w:bCs/>
        </w:rPr>
      </w:pPr>
      <w:r w:rsidRPr="00144FA6">
        <w:t xml:space="preserve">Lactation consultants, counselors, educators, and/or specialists are individuals that provide basic breastfeeding and lactation teaching, as well as support to postpartum patients. This would include approximately 20 different designations, with an array of lactation-specific education requirements. </w:t>
      </w:r>
    </w:p>
    <w:p w14:paraId="599386BD" w14:textId="77777777" w:rsidR="00036AAB" w:rsidRDefault="00036AAB" w:rsidP="00036AAB">
      <w:pPr>
        <w:ind w:left="720"/>
      </w:pPr>
      <w:r w:rsidRPr="00144FA6">
        <w:t xml:space="preserve">More information on the differing types of personnel can be found </w:t>
      </w:r>
      <w:hyperlink r:id="rId316" w:history="1">
        <w:r w:rsidRPr="00144FA6">
          <w:rPr>
            <w:rStyle w:val="Hyperlink"/>
          </w:rPr>
          <w:t>here</w:t>
        </w:r>
      </w:hyperlink>
      <w:r w:rsidRPr="00144FA6">
        <w:t>.</w:t>
      </w:r>
    </w:p>
    <w:p w14:paraId="2910B642" w14:textId="77777777" w:rsidR="009B651D" w:rsidRPr="001F2388" w:rsidRDefault="009B651D" w:rsidP="009B651D">
      <w:pPr>
        <w:pStyle w:val="ListParagraph"/>
        <w:rPr>
          <w:rFonts w:cs="Arial"/>
        </w:rPr>
      </w:pPr>
    </w:p>
    <w:p w14:paraId="2888ED4C" w14:textId="6BF11548" w:rsidR="00852942" w:rsidRDefault="00852942" w:rsidP="00AD309C">
      <w:pPr>
        <w:pStyle w:val="ListParagraph"/>
        <w:numPr>
          <w:ilvl w:val="0"/>
          <w:numId w:val="20"/>
        </w:numPr>
        <w:rPr>
          <w:rFonts w:cs="Arial"/>
        </w:rPr>
      </w:pPr>
      <w:r>
        <w:rPr>
          <w:rFonts w:cs="Arial"/>
          <w:b/>
        </w:rPr>
        <w:t>In Section 4</w:t>
      </w:r>
      <w:r w:rsidR="0016658F">
        <w:rPr>
          <w:rFonts w:cs="Arial"/>
          <w:b/>
        </w:rPr>
        <w:t>D</w:t>
      </w:r>
      <w:r>
        <w:rPr>
          <w:rFonts w:cs="Arial"/>
          <w:b/>
        </w:rPr>
        <w:t>, what tools should hospitals use for managing patients that receive a serum or transcutaneous bilirubin screen to assess the risk of hyperbilirubinemia prior to discharge?</w:t>
      </w:r>
    </w:p>
    <w:p w14:paraId="28043ABA" w14:textId="1BBF0826" w:rsidR="00852942" w:rsidRDefault="00852942" w:rsidP="00852942">
      <w:pPr>
        <w:pStyle w:val="ListParagraph"/>
        <w:rPr>
          <w:rFonts w:cs="Arial"/>
        </w:rPr>
      </w:pPr>
      <w:r>
        <w:rPr>
          <w:rFonts w:cs="Arial"/>
        </w:rPr>
        <w:t xml:space="preserve">One example </w:t>
      </w:r>
      <w:r w:rsidR="00AA2767">
        <w:rPr>
          <w:rFonts w:cs="Arial"/>
        </w:rPr>
        <w:t xml:space="preserve">a </w:t>
      </w:r>
      <w:r>
        <w:rPr>
          <w:rFonts w:cs="Arial"/>
        </w:rPr>
        <w:t>hospital can use is the Bhutani Nomogram. For an example, please see:</w:t>
      </w:r>
    </w:p>
    <w:p w14:paraId="454DBB4D" w14:textId="77777777" w:rsidR="00852942" w:rsidRPr="001A716D" w:rsidRDefault="00852942" w:rsidP="00852942">
      <w:pPr>
        <w:pStyle w:val="ListParagraph"/>
        <w:rPr>
          <w:rFonts w:cs="Arial"/>
          <w:i/>
        </w:rPr>
      </w:pPr>
      <w:r w:rsidRPr="001A716D">
        <w:rPr>
          <w:rFonts w:cs="Arial"/>
          <w:i/>
        </w:rPr>
        <w:t>American Academy of Pediatrics Clinical Practice Guidelines: Management of Hyperbilirubinemia in the Newborn Infant 35 or More Weeks of Gestation.</w:t>
      </w:r>
    </w:p>
    <w:p w14:paraId="5217489F" w14:textId="0284866D" w:rsidR="00852942" w:rsidRPr="001A716D" w:rsidRDefault="00852942" w:rsidP="00852942">
      <w:pPr>
        <w:pStyle w:val="ListParagraph"/>
        <w:rPr>
          <w:rFonts w:cs="Arial"/>
        </w:rPr>
      </w:pPr>
      <w:hyperlink r:id="rId317" w:history="1">
        <w:r w:rsidRPr="001A716D">
          <w:rPr>
            <w:rStyle w:val="Hyperlink"/>
            <w:rFonts w:cs="Arial"/>
          </w:rPr>
          <w:t>http://pediatrics.aappublications.org/content/114/1/297.full</w:t>
        </w:r>
      </w:hyperlink>
    </w:p>
    <w:p w14:paraId="6249D8D2" w14:textId="206E93DD" w:rsidR="00852942" w:rsidRDefault="00172374" w:rsidP="00852942">
      <w:pPr>
        <w:pStyle w:val="ListParagraph"/>
        <w:rPr>
          <w:rFonts w:cs="Arial"/>
        </w:rPr>
      </w:pPr>
      <w:r>
        <w:rPr>
          <w:rFonts w:cs="Arial"/>
          <w:b/>
        </w:rPr>
        <w:br/>
      </w:r>
      <w:r w:rsidR="00852942" w:rsidRPr="001A716D">
        <w:rPr>
          <w:rFonts w:cs="Arial"/>
          <w:b/>
        </w:rPr>
        <w:t>Tip</w:t>
      </w:r>
      <w:r w:rsidR="00852942" w:rsidRPr="001A716D">
        <w:rPr>
          <w:rFonts w:cs="Arial"/>
        </w:rPr>
        <w:t>: To view any Figure in the reference, click on it to open, then again to enlarge.</w:t>
      </w:r>
    </w:p>
    <w:p w14:paraId="460FE10E" w14:textId="77777777" w:rsidR="00852942" w:rsidRDefault="00852942" w:rsidP="00852942">
      <w:pPr>
        <w:pStyle w:val="ListParagraph"/>
        <w:rPr>
          <w:rFonts w:cs="Arial"/>
        </w:rPr>
      </w:pPr>
    </w:p>
    <w:p w14:paraId="6A39BE16" w14:textId="122B6212" w:rsidR="00852942" w:rsidRPr="001A716D" w:rsidRDefault="00852942" w:rsidP="00852942">
      <w:pPr>
        <w:pStyle w:val="ListParagraph"/>
        <w:rPr>
          <w:rFonts w:cs="Arial"/>
        </w:rPr>
      </w:pPr>
      <w:r>
        <w:rPr>
          <w:rFonts w:cs="Arial"/>
        </w:rPr>
        <w:t xml:space="preserve">Other tools may also be used </w:t>
      </w:r>
      <w:r w:rsidR="00C60E1B">
        <w:rPr>
          <w:rFonts w:cs="Arial"/>
        </w:rPr>
        <w:t>if</w:t>
      </w:r>
      <w:r>
        <w:rPr>
          <w:rFonts w:cs="Arial"/>
        </w:rPr>
        <w:t xml:space="preserve"> the serum or transcutaneous screen is conducted prior to discharge and risk is managed appropriately.</w:t>
      </w:r>
    </w:p>
    <w:p w14:paraId="443E3054" w14:textId="1107759B" w:rsidR="00A94E56" w:rsidRDefault="00A94E56">
      <w:pPr>
        <w:rPr>
          <w:rFonts w:cs="Arial"/>
        </w:rPr>
      </w:pPr>
      <w:r>
        <w:rPr>
          <w:rFonts w:cs="Arial"/>
        </w:rPr>
        <w:br w:type="page"/>
      </w:r>
    </w:p>
    <w:p w14:paraId="20D0D44B" w14:textId="1BCC7E92" w:rsidR="002E44C6" w:rsidRPr="002E44C6" w:rsidRDefault="002E44C6" w:rsidP="00AD309C">
      <w:pPr>
        <w:pStyle w:val="ListParagraph"/>
        <w:numPr>
          <w:ilvl w:val="0"/>
          <w:numId w:val="20"/>
        </w:numPr>
        <w:rPr>
          <w:rFonts w:cs="Arial"/>
        </w:rPr>
      </w:pPr>
      <w:r>
        <w:rPr>
          <w:rFonts w:cs="Arial"/>
          <w:b/>
        </w:rPr>
        <w:t>In Section 4</w:t>
      </w:r>
      <w:r w:rsidR="0016658F">
        <w:rPr>
          <w:rFonts w:cs="Arial"/>
          <w:b/>
        </w:rPr>
        <w:t>D</w:t>
      </w:r>
      <w:r>
        <w:rPr>
          <w:rFonts w:cs="Arial"/>
          <w:b/>
        </w:rPr>
        <w:t>, what codes or diagnoses should be used to identify severe congenital anomalies for exclusions for newborn bilirubin screening prior to discharge?</w:t>
      </w:r>
    </w:p>
    <w:p w14:paraId="066D098E" w14:textId="77777777" w:rsidR="002E44C6" w:rsidRDefault="002E44C6" w:rsidP="002E44C6">
      <w:pPr>
        <w:pStyle w:val="ListParagraph"/>
      </w:pPr>
      <w:r>
        <w:rPr>
          <w:rFonts w:cs="Arial"/>
        </w:rPr>
        <w:t>Leapfrog’s Maternity Care Exp</w:t>
      </w:r>
      <w:r w:rsidR="0093747F">
        <w:rPr>
          <w:rFonts w:cs="Arial"/>
        </w:rPr>
        <w:t>ert Panel has opted to not over</w:t>
      </w:r>
      <w:r>
        <w:rPr>
          <w:rFonts w:cs="Arial"/>
        </w:rPr>
        <w:t xml:space="preserve">complicate the measure by providing ICD-codes for identifying congenital anomalies in the newborn. </w:t>
      </w:r>
      <w:r>
        <w:t>Instead, we would suggest that you focus on identifying the following exclusions: documentation that the newborn will receive comfort care measures only, which would accompany the prenatal documentation of severe congenital anomalies in the newborn.</w:t>
      </w:r>
    </w:p>
    <w:p w14:paraId="20144AEE" w14:textId="77777777" w:rsidR="002E44C6" w:rsidRDefault="002E44C6" w:rsidP="002E44C6">
      <w:pPr>
        <w:pStyle w:val="ListParagraph"/>
      </w:pPr>
    </w:p>
    <w:p w14:paraId="458B44BB" w14:textId="0F9C7DB1" w:rsidR="002E44C6" w:rsidRPr="002E44C6" w:rsidRDefault="002E44C6" w:rsidP="002E44C6">
      <w:pPr>
        <w:pStyle w:val="ListParagraph"/>
        <w:rPr>
          <w:rFonts w:cs="Arial"/>
        </w:rPr>
      </w:pPr>
      <w:r>
        <w:t xml:space="preserve">If you have concerns about the level of effort required to identify these exclusions, please note that Leapfrog allows hospitals to report on a sample of </w:t>
      </w:r>
      <w:r w:rsidR="00E01119">
        <w:t>30</w:t>
      </w:r>
      <w:r>
        <w:t xml:space="preserve"> cases for those facilities that opt to report on a sample instead of full case reporting. You can </w:t>
      </w:r>
      <w:r w:rsidR="00916650">
        <w:t>find those instructio</w:t>
      </w:r>
      <w:r w:rsidR="00916650" w:rsidRPr="00D92940">
        <w:t xml:space="preserve">ns </w:t>
      </w:r>
      <w:r w:rsidR="00172374">
        <w:t xml:space="preserve">in the </w:t>
      </w:r>
      <w:hyperlink w:anchor="_Newborn_Bilirubin_Screening" w:history="1">
        <w:r w:rsidR="00172374" w:rsidRPr="00172374">
          <w:rPr>
            <w:rStyle w:val="Hyperlink"/>
          </w:rPr>
          <w:t>Maternity Care Process Measure Specifications</w:t>
        </w:r>
      </w:hyperlink>
      <w:r w:rsidR="00172374">
        <w:t xml:space="preserve">. </w:t>
      </w:r>
    </w:p>
    <w:p w14:paraId="3302B72D" w14:textId="77777777" w:rsidR="00691EF7" w:rsidRPr="00FC601A" w:rsidRDefault="00691EF7" w:rsidP="00FC601A">
      <w:pPr>
        <w:rPr>
          <w:rFonts w:cs="Arial"/>
        </w:rPr>
      </w:pPr>
    </w:p>
    <w:p w14:paraId="0A39F8E4" w14:textId="77777777" w:rsidR="00EA301E" w:rsidRPr="009A5185" w:rsidRDefault="00EA301E" w:rsidP="00EA301E">
      <w:pPr>
        <w:ind w:left="720"/>
        <w:rPr>
          <w:rFonts w:cs="Arial"/>
        </w:rPr>
      </w:pPr>
    </w:p>
    <w:p w14:paraId="6D0DF780" w14:textId="77777777" w:rsidR="00592DDC" w:rsidRPr="009A5185" w:rsidRDefault="00592DDC">
      <w:pPr>
        <w:rPr>
          <w:rFonts w:cs="Arial"/>
          <w:b/>
          <w:sz w:val="28"/>
          <w:u w:val="single"/>
          <w:lang w:eastAsia="ja-JP"/>
        </w:rPr>
        <w:sectPr w:rsidR="00592DDC" w:rsidRPr="009A5185" w:rsidSect="00062F69">
          <w:headerReference w:type="default" r:id="rId318"/>
          <w:endnotePr>
            <w:numFmt w:val="decimal"/>
          </w:endnotePr>
          <w:pgSz w:w="12240" w:h="15840"/>
          <w:pgMar w:top="1080" w:right="1440" w:bottom="1080" w:left="1440" w:header="720" w:footer="720" w:gutter="0"/>
          <w:cols w:space="720"/>
          <w:docGrid w:linePitch="272"/>
        </w:sectPr>
      </w:pPr>
      <w:r w:rsidRPr="009A5185">
        <w:rPr>
          <w:rFonts w:cs="Arial"/>
          <w:b/>
          <w:sz w:val="28"/>
          <w:u w:val="single"/>
          <w:lang w:eastAsia="ja-JP"/>
        </w:rPr>
        <w:br w:type="page"/>
      </w:r>
    </w:p>
    <w:p w14:paraId="03AB6259" w14:textId="77777777" w:rsidR="00F750C5" w:rsidRPr="009A5185" w:rsidRDefault="00F750C5" w:rsidP="00F0772B"/>
    <w:p w14:paraId="733B2484" w14:textId="68A58133" w:rsidR="00224E3E" w:rsidRPr="009A5185" w:rsidRDefault="00BB1AF9" w:rsidP="00D32C75">
      <w:pPr>
        <w:pStyle w:val="SectionHeader"/>
      </w:pPr>
      <w:bookmarkStart w:id="390" w:name="_Toc225877746"/>
      <w:r w:rsidRPr="009A5185">
        <w:t>Page Intentionally Left Blank</w:t>
      </w:r>
      <w:bookmarkEnd w:id="389"/>
      <w:bookmarkEnd w:id="390"/>
    </w:p>
    <w:p w14:paraId="3EF4BE1C" w14:textId="77777777" w:rsidR="00BB1AF9" w:rsidRPr="009A5185" w:rsidRDefault="00BB1AF9">
      <w:pPr>
        <w:rPr>
          <w:rFonts w:cs="Arial"/>
          <w:b/>
          <w:snapToGrid w:val="0"/>
          <w:color w:val="A6A6A6" w:themeColor="background1" w:themeShade="A6"/>
          <w:sz w:val="40"/>
          <w:szCs w:val="40"/>
          <w:lang w:eastAsia="ja-JP"/>
        </w:rPr>
      </w:pPr>
      <w:r w:rsidRPr="009A5185">
        <w:rPr>
          <w:rFonts w:cs="Arial"/>
          <w:color w:val="A6A6A6" w:themeColor="background1" w:themeShade="A6"/>
        </w:rPr>
        <w:br w:type="page"/>
      </w:r>
    </w:p>
    <w:p w14:paraId="4E2E1036" w14:textId="77777777" w:rsidR="00920EF6" w:rsidRPr="009A5185" w:rsidRDefault="00920EF6" w:rsidP="00D32C75">
      <w:pPr>
        <w:pStyle w:val="SectionHeader"/>
        <w:sectPr w:rsidR="00920EF6" w:rsidRPr="009A5185" w:rsidSect="00062F69">
          <w:headerReference w:type="default" r:id="rId319"/>
          <w:endnotePr>
            <w:numFmt w:val="decimal"/>
          </w:endnotePr>
          <w:pgSz w:w="12240" w:h="15840"/>
          <w:pgMar w:top="1080" w:right="1440" w:bottom="1080" w:left="1440" w:header="720" w:footer="720" w:gutter="0"/>
          <w:cols w:space="720"/>
          <w:docGrid w:linePitch="272"/>
        </w:sectPr>
      </w:pPr>
    </w:p>
    <w:p w14:paraId="5830D1DD" w14:textId="77777777" w:rsidR="00BB1AF9" w:rsidRPr="009A5185" w:rsidRDefault="00BB1AF9" w:rsidP="0070116C"/>
    <w:p w14:paraId="63EFFADA" w14:textId="77777777" w:rsidR="00224E3E" w:rsidRPr="009A5185" w:rsidRDefault="00224E3E" w:rsidP="0070116C"/>
    <w:p w14:paraId="087768CC" w14:textId="77777777" w:rsidR="00224E3E" w:rsidRPr="009A5185" w:rsidRDefault="00224E3E" w:rsidP="0070116C"/>
    <w:p w14:paraId="67FC074A" w14:textId="77777777" w:rsidR="00224E3E" w:rsidRPr="009A5185" w:rsidRDefault="00224E3E" w:rsidP="0070116C"/>
    <w:p w14:paraId="38A1DF53" w14:textId="77777777" w:rsidR="00E0417A" w:rsidRDefault="00E0417A" w:rsidP="00F750C5"/>
    <w:p w14:paraId="11DC42CE" w14:textId="77777777" w:rsidR="00B43F10" w:rsidRDefault="00B43F10" w:rsidP="00F750C5"/>
    <w:p w14:paraId="548A307B" w14:textId="77777777" w:rsidR="00B43F10" w:rsidRDefault="00B43F10" w:rsidP="00F750C5"/>
    <w:p w14:paraId="1363E924" w14:textId="77777777" w:rsidR="00E0417A" w:rsidRDefault="00E0417A" w:rsidP="00F750C5"/>
    <w:p w14:paraId="226FE6F1" w14:textId="77777777" w:rsidR="00E0417A" w:rsidRDefault="00E0417A" w:rsidP="00F750C5"/>
    <w:p w14:paraId="1CA034E0" w14:textId="77777777" w:rsidR="00E0417A" w:rsidRDefault="00E0417A" w:rsidP="00F750C5"/>
    <w:p w14:paraId="490B24A2" w14:textId="77777777" w:rsidR="00E0417A" w:rsidRDefault="00E0417A" w:rsidP="00F750C5"/>
    <w:p w14:paraId="33E95590" w14:textId="77777777" w:rsidR="00E0417A" w:rsidRDefault="00E0417A" w:rsidP="00F750C5"/>
    <w:p w14:paraId="5B5B1E8E" w14:textId="77777777" w:rsidR="00E0417A" w:rsidRDefault="00E0417A" w:rsidP="00F750C5"/>
    <w:p w14:paraId="518B2E51" w14:textId="77777777" w:rsidR="00E0417A" w:rsidRDefault="00E0417A" w:rsidP="00F750C5"/>
    <w:p w14:paraId="6CECF8A8" w14:textId="77777777" w:rsidR="00E0417A" w:rsidRDefault="00E0417A" w:rsidP="00F750C5"/>
    <w:p w14:paraId="706A5558" w14:textId="77777777" w:rsidR="00E0417A" w:rsidRDefault="00E0417A" w:rsidP="00F750C5"/>
    <w:p w14:paraId="7964E895" w14:textId="77777777" w:rsidR="00E0417A" w:rsidRDefault="00E0417A" w:rsidP="00F750C5"/>
    <w:p w14:paraId="234B2FB3" w14:textId="77777777" w:rsidR="00E0417A" w:rsidRDefault="00E0417A" w:rsidP="00F750C5"/>
    <w:p w14:paraId="331EC8B4" w14:textId="77777777" w:rsidR="00E0417A" w:rsidRDefault="00E0417A" w:rsidP="00F750C5"/>
    <w:p w14:paraId="6EB9C07A" w14:textId="77777777" w:rsidR="00E0417A" w:rsidRDefault="00E0417A" w:rsidP="00F750C5"/>
    <w:p w14:paraId="2C051F92" w14:textId="77777777" w:rsidR="00E0417A" w:rsidRDefault="00E0417A" w:rsidP="00F750C5"/>
    <w:p w14:paraId="529C0ECA" w14:textId="1C9CCC48" w:rsidR="008910AA" w:rsidRPr="009A5185" w:rsidRDefault="00216194" w:rsidP="00D32C75">
      <w:pPr>
        <w:pStyle w:val="SectionHeader"/>
      </w:pPr>
      <w:bookmarkStart w:id="391" w:name="_Toc225877747"/>
      <w:bookmarkStart w:id="392" w:name="Sect5"/>
      <w:r w:rsidRPr="009A5185">
        <w:t xml:space="preserve">SECTION 5: </w:t>
      </w:r>
      <w:r w:rsidR="00A52909">
        <w:t xml:space="preserve">PHYSICIAN AND NURSE </w:t>
      </w:r>
      <w:r w:rsidRPr="009A5185">
        <w:t>STAFFING</w:t>
      </w:r>
      <w:bookmarkEnd w:id="391"/>
    </w:p>
    <w:bookmarkEnd w:id="392"/>
    <w:p w14:paraId="47F0410F" w14:textId="77777777" w:rsidR="00A828BA" w:rsidRPr="009A5185" w:rsidRDefault="00A828BA" w:rsidP="0070116C"/>
    <w:p w14:paraId="66FCC8F1" w14:textId="67E6F5E2" w:rsidR="00A828BA" w:rsidRPr="009A5185" w:rsidRDefault="00A828BA" w:rsidP="00A828BA">
      <w:pPr>
        <w:rPr>
          <w:rFonts w:cs="Arial"/>
        </w:rPr>
      </w:pPr>
      <w:r w:rsidRPr="009A5185">
        <w:rPr>
          <w:rFonts w:cs="Arial"/>
        </w:rPr>
        <w:t>This section includes questions and reference information for Section 5</w:t>
      </w:r>
      <w:r w:rsidR="004A4FD0" w:rsidRPr="009A5185">
        <w:rPr>
          <w:rFonts w:cs="Arial"/>
        </w:rPr>
        <w:t>:</w:t>
      </w:r>
      <w:r w:rsidRPr="009A5185">
        <w:rPr>
          <w:rFonts w:cs="Arial"/>
        </w:rPr>
        <w:t xml:space="preserve"> </w:t>
      </w:r>
      <w:r w:rsidR="00A52909">
        <w:rPr>
          <w:rFonts w:cs="Arial"/>
        </w:rPr>
        <w:t xml:space="preserve">Physician and Nurse </w:t>
      </w:r>
      <w:r w:rsidR="00377AC2">
        <w:rPr>
          <w:rFonts w:cs="Arial"/>
        </w:rPr>
        <w:t>Staffing</w:t>
      </w:r>
      <w:r w:rsidRPr="009A5185">
        <w:rPr>
          <w:rFonts w:cs="Arial"/>
        </w:rPr>
        <w:t xml:space="preserve">. Please carefully review the questions, </w:t>
      </w:r>
      <w:r w:rsidR="00B94757" w:rsidRPr="009A5185">
        <w:rPr>
          <w:rFonts w:cs="Arial"/>
        </w:rPr>
        <w:t>endnotes</w:t>
      </w:r>
      <w:r w:rsidRPr="009A5185">
        <w:rPr>
          <w:rFonts w:cs="Arial"/>
        </w:rPr>
        <w:t>, and reference information (e.g.</w:t>
      </w:r>
      <w:r w:rsidR="00746387" w:rsidRPr="009A5185">
        <w:rPr>
          <w:rFonts w:cs="Arial"/>
        </w:rPr>
        <w:t>,</w:t>
      </w:r>
      <w:r w:rsidRPr="009A5185">
        <w:rPr>
          <w:rFonts w:cs="Arial"/>
        </w:rPr>
        <w:t xml:space="preserve"> measure specifications, notes, and frequen</w:t>
      </w:r>
      <w:r w:rsidR="005008BE" w:rsidRPr="009A5185">
        <w:rPr>
          <w:rFonts w:cs="Arial"/>
        </w:rPr>
        <w:t>tl</w:t>
      </w:r>
      <w:r w:rsidRPr="009A5185">
        <w:rPr>
          <w:rFonts w:cs="Arial"/>
        </w:rPr>
        <w:t xml:space="preserve">y asked questions) before you begin. Failure to review the reference information could result in inaccurate responses. </w:t>
      </w:r>
    </w:p>
    <w:p w14:paraId="0AB5C65B" w14:textId="77777777" w:rsidR="00A828BA" w:rsidRPr="009A5185" w:rsidRDefault="00A828BA" w:rsidP="0070116C"/>
    <w:p w14:paraId="7A874DBF" w14:textId="77777777" w:rsidR="00224E3E" w:rsidRPr="009A5185" w:rsidRDefault="00224E3E" w:rsidP="00224E3E">
      <w:pPr>
        <w:rPr>
          <w:rFonts w:cs="Arial"/>
        </w:rPr>
      </w:pPr>
    </w:p>
    <w:p w14:paraId="33BE9D89" w14:textId="77777777" w:rsidR="00224E3E" w:rsidRPr="009A5185" w:rsidRDefault="00224E3E">
      <w:pPr>
        <w:rPr>
          <w:rFonts w:cs="Arial"/>
        </w:rPr>
      </w:pPr>
      <w:r w:rsidRPr="009A5185">
        <w:rPr>
          <w:rFonts w:cs="Arial"/>
        </w:rPr>
        <w:br w:type="page"/>
      </w:r>
    </w:p>
    <w:p w14:paraId="32AE6211" w14:textId="2273D651" w:rsidR="008910AA" w:rsidRPr="009A5185" w:rsidRDefault="00020513" w:rsidP="00CF5A6E">
      <w:pPr>
        <w:pStyle w:val="Heading2"/>
      </w:pPr>
      <w:bookmarkStart w:id="393" w:name="_Section_5:_ICU"/>
      <w:bookmarkStart w:id="394" w:name="_Section_5:_Staffing"/>
      <w:bookmarkStart w:id="395" w:name="_Toc225877748"/>
      <w:bookmarkEnd w:id="393"/>
      <w:bookmarkEnd w:id="394"/>
      <w:r w:rsidRPr="009A5185">
        <w:t>Section 5:</w:t>
      </w:r>
      <w:r w:rsidR="008910AA" w:rsidRPr="009A5185">
        <w:t xml:space="preserve"> </w:t>
      </w:r>
      <w:r w:rsidR="00A52909">
        <w:t xml:space="preserve">Physician and Nurse </w:t>
      </w:r>
      <w:r w:rsidR="00CF3B7C" w:rsidRPr="009A5185">
        <w:t>Staffing</w:t>
      </w:r>
      <w:bookmarkEnd w:id="395"/>
      <w:r w:rsidR="00CF3B7C" w:rsidRPr="009A5185">
        <w:t xml:space="preserve"> </w:t>
      </w:r>
    </w:p>
    <w:p w14:paraId="66F50316" w14:textId="77777777" w:rsidR="008910AA" w:rsidRPr="009A5185" w:rsidRDefault="008910AA">
      <w:pPr>
        <w:rPr>
          <w:rFonts w:cs="Arial"/>
          <w:b/>
          <w:snapToGrid w:val="0"/>
          <w:color w:val="000000"/>
        </w:rPr>
      </w:pPr>
    </w:p>
    <w:p w14:paraId="608445D2" w14:textId="6BF5397F" w:rsidR="000C3BE1" w:rsidRDefault="007665B6">
      <w:pPr>
        <w:pStyle w:val="BodyText3"/>
      </w:pPr>
      <w:r>
        <w:rPr>
          <w:rFonts w:cs="Arial"/>
          <w:b/>
        </w:rPr>
        <w:t xml:space="preserve">Adult and Pediatric </w:t>
      </w:r>
      <w:r w:rsidR="000C3BE1" w:rsidRPr="009A5185">
        <w:rPr>
          <w:rFonts w:cs="Arial"/>
          <w:b/>
        </w:rPr>
        <w:t>I</w:t>
      </w:r>
      <w:r w:rsidR="00ED1DA5">
        <w:rPr>
          <w:rFonts w:cs="Arial"/>
          <w:b/>
        </w:rPr>
        <w:t xml:space="preserve">CU </w:t>
      </w:r>
      <w:r w:rsidR="000C3BE1" w:rsidRPr="009A5185">
        <w:rPr>
          <w:rFonts w:cs="Arial"/>
          <w:b/>
        </w:rPr>
        <w:t>P</w:t>
      </w:r>
      <w:r w:rsidR="00ED1DA5">
        <w:rPr>
          <w:rFonts w:cs="Arial"/>
          <w:b/>
        </w:rPr>
        <w:t xml:space="preserve">hysician </w:t>
      </w:r>
      <w:r w:rsidR="000C3BE1" w:rsidRPr="009A5185">
        <w:rPr>
          <w:rFonts w:cs="Arial"/>
          <w:b/>
        </w:rPr>
        <w:t>S</w:t>
      </w:r>
      <w:r w:rsidR="00ED1DA5">
        <w:rPr>
          <w:rFonts w:cs="Arial"/>
          <w:b/>
        </w:rPr>
        <w:t>taffing</w:t>
      </w:r>
      <w:r w:rsidR="000C3BE1" w:rsidRPr="009A5185">
        <w:rPr>
          <w:rFonts w:cs="Arial"/>
          <w:b/>
        </w:rPr>
        <w:t xml:space="preserve"> Fact Sheet</w:t>
      </w:r>
      <w:r w:rsidR="009778A5">
        <w:rPr>
          <w:rFonts w:cs="Arial"/>
          <w:b/>
        </w:rPr>
        <w:t xml:space="preserve"> and Bibliography</w:t>
      </w:r>
      <w:r w:rsidR="000C3BE1" w:rsidRPr="009A5185">
        <w:rPr>
          <w:rFonts w:cs="Arial"/>
          <w:b/>
        </w:rPr>
        <w:t>:</w:t>
      </w:r>
      <w:r w:rsidR="00E03E77" w:rsidRPr="009A5185">
        <w:rPr>
          <w:rFonts w:cs="Arial"/>
          <w:b/>
        </w:rPr>
        <w:t xml:space="preserve"> </w:t>
      </w:r>
      <w:hyperlink r:id="rId320" w:history="1">
        <w:r w:rsidR="00040753" w:rsidRPr="00A2752F">
          <w:rPr>
            <w:rStyle w:val="Hyperlink"/>
          </w:rPr>
          <w:t>https://ratings.leapfroggroup.org/measure/hospital/2026/specially-trained-doctors-care-critical-care-patients</w:t>
        </w:r>
      </w:hyperlink>
    </w:p>
    <w:p w14:paraId="4BDA55C1" w14:textId="77777777" w:rsidR="00E5612C" w:rsidRPr="00044D4F" w:rsidRDefault="00E5612C">
      <w:pPr>
        <w:pStyle w:val="BodyText3"/>
        <w:rPr>
          <w:rFonts w:cs="Arial"/>
        </w:rPr>
      </w:pPr>
    </w:p>
    <w:p w14:paraId="6FE7297A" w14:textId="05806079" w:rsidR="00E5612C" w:rsidRDefault="00E5612C" w:rsidP="00E5612C">
      <w:r>
        <w:rPr>
          <w:rFonts w:cs="Arial"/>
          <w:b/>
          <w:bCs/>
          <w:snapToGrid w:val="0"/>
        </w:rPr>
        <w:t>Nursing Workforce Fact Sheet and</w:t>
      </w:r>
      <w:r w:rsidRPr="00332D4F">
        <w:rPr>
          <w:rFonts w:cs="Arial"/>
          <w:b/>
          <w:bCs/>
          <w:snapToGrid w:val="0"/>
        </w:rPr>
        <w:t xml:space="preserve"> Bibliography:</w:t>
      </w:r>
      <w:r>
        <w:rPr>
          <w:rFonts w:cs="Arial"/>
          <w:snapToGrid w:val="0"/>
        </w:rPr>
        <w:t xml:space="preserve"> </w:t>
      </w:r>
      <w:hyperlink r:id="rId321" w:history="1">
        <w:r w:rsidR="00040753" w:rsidRPr="00A2752F">
          <w:rPr>
            <w:rStyle w:val="Hyperlink"/>
          </w:rPr>
          <w:t>https://ratings.leapfroggroup.org/measure/hospital/2026/nursing-workforce</w:t>
        </w:r>
      </w:hyperlink>
      <w:r w:rsidR="00040753">
        <w:t xml:space="preserve"> </w:t>
      </w:r>
    </w:p>
    <w:p w14:paraId="4C5B0926" w14:textId="77777777" w:rsidR="00E5612C" w:rsidRPr="009A5185" w:rsidRDefault="00E5612C">
      <w:pPr>
        <w:pStyle w:val="BodyText3"/>
        <w:rPr>
          <w:rFonts w:cs="Arial"/>
          <w:b/>
        </w:rPr>
      </w:pPr>
    </w:p>
    <w:p w14:paraId="232F049B" w14:textId="5952FD89" w:rsidR="0096619F" w:rsidRDefault="00230915" w:rsidP="00B95DB2">
      <w:pPr>
        <w:pStyle w:val="BodyText3"/>
        <w:rPr>
          <w:rFonts w:cs="Arial"/>
          <w:b/>
          <w:snapToGrid w:val="0"/>
          <w:color w:val="FF0000"/>
        </w:rPr>
      </w:pPr>
      <w:r>
        <w:rPr>
          <w:rFonts w:cs="Arial"/>
          <w:b/>
          <w:snapToGrid w:val="0"/>
          <w:color w:val="FF0000"/>
        </w:rPr>
        <w:t>H</w:t>
      </w:r>
      <w:r w:rsidR="00B95DB2" w:rsidRPr="009A5185">
        <w:rPr>
          <w:rFonts w:cs="Arial"/>
          <w:b/>
          <w:snapToGrid w:val="0"/>
          <w:color w:val="FF0000"/>
        </w:rPr>
        <w:t xml:space="preserve">ospitals </w:t>
      </w:r>
      <w:r w:rsidR="004417E7" w:rsidRPr="009A5185">
        <w:rPr>
          <w:rFonts w:cs="Arial"/>
          <w:b/>
          <w:snapToGrid w:val="0"/>
          <w:color w:val="FF0000"/>
        </w:rPr>
        <w:t xml:space="preserve">that do not </w:t>
      </w:r>
      <w:r w:rsidR="006B451A">
        <w:rPr>
          <w:rFonts w:cs="Arial"/>
          <w:b/>
          <w:snapToGrid w:val="0"/>
          <w:color w:val="FF0000"/>
        </w:rPr>
        <w:t xml:space="preserve">admit </w:t>
      </w:r>
      <w:r w:rsidR="005B7E2D">
        <w:rPr>
          <w:rFonts w:cs="Arial"/>
          <w:b/>
          <w:snapToGrid w:val="0"/>
          <w:color w:val="FF0000"/>
        </w:rPr>
        <w:t xml:space="preserve">adult </w:t>
      </w:r>
      <w:r w:rsidR="006B451A">
        <w:rPr>
          <w:rFonts w:cs="Arial"/>
          <w:b/>
          <w:snapToGrid w:val="0"/>
          <w:color w:val="FF0000"/>
        </w:rPr>
        <w:t xml:space="preserve">critical care patients </w:t>
      </w:r>
      <w:r w:rsidR="00464CD3">
        <w:rPr>
          <w:rFonts w:cs="Arial"/>
          <w:b/>
          <w:snapToGrid w:val="0"/>
          <w:color w:val="FF0000"/>
        </w:rPr>
        <w:t>or</w:t>
      </w:r>
      <w:r w:rsidR="006B451A">
        <w:rPr>
          <w:rFonts w:cs="Arial"/>
          <w:b/>
          <w:snapToGrid w:val="0"/>
          <w:color w:val="FF0000"/>
        </w:rPr>
        <w:t xml:space="preserve"> </w:t>
      </w:r>
      <w:r w:rsidR="00464CD3">
        <w:rPr>
          <w:rFonts w:cs="Arial"/>
          <w:b/>
          <w:snapToGrid w:val="0"/>
          <w:color w:val="FF0000"/>
        </w:rPr>
        <w:t xml:space="preserve">operate an </w:t>
      </w:r>
      <w:r w:rsidR="00B95DB2" w:rsidRPr="009A5185">
        <w:rPr>
          <w:rFonts w:cs="Arial"/>
          <w:b/>
          <w:snapToGrid w:val="0"/>
          <w:color w:val="FF0000"/>
        </w:rPr>
        <w:t>adult general medical</w:t>
      </w:r>
      <w:r w:rsidR="005A3651">
        <w:rPr>
          <w:rFonts w:cs="Arial"/>
          <w:b/>
          <w:snapToGrid w:val="0"/>
          <w:color w:val="FF0000"/>
        </w:rPr>
        <w:t>,</w:t>
      </w:r>
      <w:r w:rsidR="00B95DB2" w:rsidRPr="009A5185">
        <w:rPr>
          <w:rFonts w:cs="Arial"/>
          <w:b/>
          <w:snapToGrid w:val="0"/>
          <w:color w:val="FF0000"/>
        </w:rPr>
        <w:t xml:space="preserve"> </w:t>
      </w:r>
      <w:r w:rsidR="00EC12DB">
        <w:rPr>
          <w:rFonts w:cs="Arial"/>
          <w:b/>
          <w:snapToGrid w:val="0"/>
          <w:color w:val="FF0000"/>
        </w:rPr>
        <w:t xml:space="preserve">surgical, </w:t>
      </w:r>
      <w:r w:rsidR="003E790C">
        <w:rPr>
          <w:rFonts w:cs="Arial"/>
          <w:b/>
          <w:snapToGrid w:val="0"/>
          <w:color w:val="FF0000"/>
        </w:rPr>
        <w:t>medical/</w:t>
      </w:r>
      <w:r w:rsidR="00B95DB2" w:rsidRPr="009A5185">
        <w:rPr>
          <w:rFonts w:cs="Arial"/>
          <w:b/>
          <w:snapToGrid w:val="0"/>
          <w:color w:val="FF0000"/>
        </w:rPr>
        <w:t>surgical</w:t>
      </w:r>
      <w:r w:rsidR="00C90550">
        <w:rPr>
          <w:rFonts w:cs="Arial"/>
          <w:b/>
          <w:snapToGrid w:val="0"/>
          <w:color w:val="FF0000"/>
        </w:rPr>
        <w:t>,</w:t>
      </w:r>
      <w:r w:rsidR="00B95DB2" w:rsidRPr="009A5185">
        <w:rPr>
          <w:rFonts w:cs="Arial"/>
          <w:b/>
          <w:snapToGrid w:val="0"/>
          <w:color w:val="FF0000"/>
        </w:rPr>
        <w:t xml:space="preserve"> or neuro ICU should </w:t>
      </w:r>
      <w:r w:rsidR="00144C7D">
        <w:rPr>
          <w:rFonts w:cs="Arial"/>
          <w:b/>
          <w:snapToGrid w:val="0"/>
          <w:color w:val="FF0000"/>
        </w:rPr>
        <w:t>select</w:t>
      </w:r>
      <w:r w:rsidR="00B95DB2" w:rsidRPr="009A5185">
        <w:rPr>
          <w:rFonts w:cs="Arial"/>
          <w:b/>
          <w:snapToGrid w:val="0"/>
          <w:color w:val="FF0000"/>
        </w:rPr>
        <w:t xml:space="preserve"> “No” </w:t>
      </w:r>
      <w:r w:rsidR="00144C7D">
        <w:rPr>
          <w:rFonts w:cs="Arial"/>
          <w:b/>
          <w:snapToGrid w:val="0"/>
          <w:color w:val="FF0000"/>
        </w:rPr>
        <w:t>in</w:t>
      </w:r>
      <w:r w:rsidR="00B95DB2" w:rsidRPr="009A5185">
        <w:rPr>
          <w:rFonts w:cs="Arial"/>
          <w:b/>
          <w:snapToGrid w:val="0"/>
          <w:color w:val="FF0000"/>
        </w:rPr>
        <w:t xml:space="preserve"> question #2 </w:t>
      </w:r>
      <w:r w:rsidR="00EE2E5D" w:rsidRPr="00EE2E5D">
        <w:rPr>
          <w:rFonts w:cs="Arial"/>
          <w:b/>
          <w:snapToGrid w:val="0"/>
          <w:color w:val="FF0000"/>
        </w:rPr>
        <w:t xml:space="preserve">in Section 5A: Adult ICU Physician Staffing </w:t>
      </w:r>
      <w:r w:rsidR="00B95DB2" w:rsidRPr="009A5185">
        <w:rPr>
          <w:rFonts w:cs="Arial"/>
          <w:b/>
          <w:snapToGrid w:val="0"/>
          <w:color w:val="FF0000"/>
        </w:rPr>
        <w:t xml:space="preserve">and move on to </w:t>
      </w:r>
      <w:r w:rsidR="00EE2E5D" w:rsidRPr="00EE2E5D">
        <w:rPr>
          <w:rFonts w:cs="Arial"/>
          <w:b/>
          <w:snapToGrid w:val="0"/>
          <w:color w:val="FF0000"/>
        </w:rPr>
        <w:t>Section 5B: Pediatric ICU Physician Staffing. Hospitals that do not admit pediatric critical care patients or operate a pediatric general medical</w:t>
      </w:r>
      <w:r w:rsidR="00503728">
        <w:rPr>
          <w:rFonts w:cs="Arial"/>
          <w:b/>
          <w:snapToGrid w:val="0"/>
          <w:color w:val="FF0000"/>
        </w:rPr>
        <w:t xml:space="preserve">, surgical, </w:t>
      </w:r>
      <w:r w:rsidR="001A230D">
        <w:rPr>
          <w:rFonts w:cs="Arial"/>
          <w:b/>
          <w:snapToGrid w:val="0"/>
          <w:color w:val="FF0000"/>
        </w:rPr>
        <w:t>medical/</w:t>
      </w:r>
      <w:r w:rsidR="00EE2E5D" w:rsidRPr="00EE2E5D">
        <w:rPr>
          <w:rFonts w:cs="Arial"/>
          <w:b/>
          <w:snapToGrid w:val="0"/>
          <w:color w:val="FF0000"/>
        </w:rPr>
        <w:t>surgical</w:t>
      </w:r>
      <w:r w:rsidR="001A230D">
        <w:rPr>
          <w:rFonts w:cs="Arial"/>
          <w:b/>
          <w:snapToGrid w:val="0"/>
          <w:color w:val="FF0000"/>
        </w:rPr>
        <w:t xml:space="preserve">, </w:t>
      </w:r>
      <w:r w:rsidR="00EE2E5D" w:rsidRPr="00EE2E5D">
        <w:rPr>
          <w:rFonts w:cs="Arial"/>
          <w:b/>
          <w:snapToGrid w:val="0"/>
          <w:color w:val="FF0000"/>
        </w:rPr>
        <w:t xml:space="preserve">or neuro ICU should select “No” in question #2 in Section 5B: Pediatric ICU Physician Staffing and move on to </w:t>
      </w:r>
      <w:r w:rsidR="00E96FA8">
        <w:rPr>
          <w:rFonts w:cs="Arial"/>
          <w:b/>
          <w:snapToGrid w:val="0"/>
          <w:color w:val="FF0000"/>
        </w:rPr>
        <w:t>Section 5C: Nursing Workforce</w:t>
      </w:r>
      <w:r w:rsidR="00B95DB2" w:rsidRPr="009A5185">
        <w:rPr>
          <w:rFonts w:cs="Arial"/>
          <w:b/>
          <w:snapToGrid w:val="0"/>
          <w:color w:val="FF0000"/>
        </w:rPr>
        <w:t>.</w:t>
      </w:r>
      <w:r w:rsidR="00A4648E">
        <w:rPr>
          <w:rFonts w:cs="Arial"/>
          <w:b/>
          <w:snapToGrid w:val="0"/>
          <w:color w:val="FF0000"/>
        </w:rPr>
        <w:t xml:space="preserve"> </w:t>
      </w:r>
    </w:p>
    <w:p w14:paraId="36FEFD86" w14:textId="77777777" w:rsidR="0096619F" w:rsidRDefault="0096619F" w:rsidP="00B95DB2">
      <w:pPr>
        <w:pStyle w:val="BodyText3"/>
        <w:rPr>
          <w:rFonts w:cs="Arial"/>
          <w:b/>
          <w:snapToGrid w:val="0"/>
          <w:color w:val="FF0000"/>
        </w:rPr>
      </w:pPr>
    </w:p>
    <w:p w14:paraId="3B6586BC" w14:textId="2F680C7B" w:rsidR="00C41286" w:rsidRDefault="00A4648E" w:rsidP="00C41286">
      <w:pPr>
        <w:pStyle w:val="BodyText3"/>
        <w:rPr>
          <w:rFonts w:cs="Arial"/>
          <w:b/>
          <w:snapToGrid w:val="0"/>
          <w:color w:val="FF0000"/>
        </w:rPr>
      </w:pPr>
      <w:r>
        <w:rPr>
          <w:rFonts w:cs="Arial"/>
          <w:b/>
          <w:snapToGrid w:val="0"/>
          <w:color w:val="FF0000"/>
        </w:rPr>
        <w:t xml:space="preserve">Hospitals that regularly admit </w:t>
      </w:r>
      <w:r w:rsidR="003F5FAC">
        <w:rPr>
          <w:rFonts w:cs="Arial"/>
          <w:b/>
          <w:snapToGrid w:val="0"/>
          <w:color w:val="FF0000"/>
        </w:rPr>
        <w:t xml:space="preserve">adult </w:t>
      </w:r>
      <w:r w:rsidR="00E96FA8">
        <w:rPr>
          <w:rFonts w:cs="Arial"/>
          <w:b/>
          <w:snapToGrid w:val="0"/>
          <w:color w:val="FF0000"/>
        </w:rPr>
        <w:t xml:space="preserve">and/or pediatric </w:t>
      </w:r>
      <w:r>
        <w:rPr>
          <w:rFonts w:cs="Arial"/>
          <w:b/>
          <w:snapToGrid w:val="0"/>
          <w:color w:val="FF0000"/>
        </w:rPr>
        <w:t>critical care patients</w:t>
      </w:r>
      <w:r w:rsidR="00A14E5E">
        <w:rPr>
          <w:rFonts w:cs="Arial"/>
          <w:b/>
          <w:snapToGrid w:val="0"/>
          <w:color w:val="FF0000"/>
        </w:rPr>
        <w:t xml:space="preserve"> </w:t>
      </w:r>
      <w:r>
        <w:rPr>
          <w:rFonts w:cs="Arial"/>
          <w:b/>
          <w:snapToGrid w:val="0"/>
          <w:color w:val="FF0000"/>
        </w:rPr>
        <w:t xml:space="preserve">to </w:t>
      </w:r>
      <w:r w:rsidR="005A419B">
        <w:rPr>
          <w:rFonts w:cs="Arial"/>
          <w:b/>
          <w:snapToGrid w:val="0"/>
          <w:color w:val="FF0000"/>
        </w:rPr>
        <w:t xml:space="preserve">a </w:t>
      </w:r>
      <w:r>
        <w:rPr>
          <w:rFonts w:cs="Arial"/>
          <w:b/>
          <w:snapToGrid w:val="0"/>
          <w:color w:val="FF0000"/>
        </w:rPr>
        <w:t xml:space="preserve">mixed acuity unit, should </w:t>
      </w:r>
      <w:r w:rsidR="00144C7D">
        <w:rPr>
          <w:rFonts w:cs="Arial"/>
          <w:b/>
          <w:snapToGrid w:val="0"/>
          <w:color w:val="FF0000"/>
        </w:rPr>
        <w:t>select</w:t>
      </w:r>
      <w:r>
        <w:rPr>
          <w:rFonts w:cs="Arial"/>
          <w:b/>
          <w:snapToGrid w:val="0"/>
          <w:color w:val="FF0000"/>
        </w:rPr>
        <w:t xml:space="preserve"> “Yes” </w:t>
      </w:r>
      <w:r w:rsidR="00144C7D">
        <w:rPr>
          <w:rFonts w:cs="Arial"/>
          <w:b/>
          <w:snapToGrid w:val="0"/>
          <w:color w:val="FF0000"/>
        </w:rPr>
        <w:t>in</w:t>
      </w:r>
      <w:r>
        <w:rPr>
          <w:rFonts w:cs="Arial"/>
          <w:b/>
          <w:snapToGrid w:val="0"/>
          <w:color w:val="FF0000"/>
        </w:rPr>
        <w:t xml:space="preserve"> question #2</w:t>
      </w:r>
      <w:r w:rsidR="00A14E5E">
        <w:rPr>
          <w:rFonts w:cs="Arial"/>
          <w:b/>
          <w:snapToGrid w:val="0"/>
          <w:color w:val="FF0000"/>
        </w:rPr>
        <w:t xml:space="preserve"> </w:t>
      </w:r>
      <w:r w:rsidR="00637C4E" w:rsidRPr="00637C4E">
        <w:rPr>
          <w:rFonts w:cs="Arial"/>
          <w:b/>
          <w:snapToGrid w:val="0"/>
          <w:color w:val="FF0000"/>
        </w:rPr>
        <w:t>in Section 5A: Adult ICU Physician Staffing</w:t>
      </w:r>
      <w:r w:rsidR="00637C4E">
        <w:rPr>
          <w:rFonts w:cs="Arial"/>
          <w:b/>
          <w:snapToGrid w:val="0"/>
          <w:color w:val="FF0000"/>
        </w:rPr>
        <w:t xml:space="preserve"> </w:t>
      </w:r>
      <w:r w:rsidR="003A148C">
        <w:rPr>
          <w:rFonts w:cs="Arial"/>
          <w:b/>
          <w:snapToGrid w:val="0"/>
          <w:color w:val="FF0000"/>
        </w:rPr>
        <w:t>and/or Section 5B: Pediatric ICU Physician Staffin</w:t>
      </w:r>
      <w:r w:rsidR="00D7659E">
        <w:rPr>
          <w:rFonts w:cs="Arial"/>
          <w:b/>
          <w:snapToGrid w:val="0"/>
          <w:color w:val="FF0000"/>
        </w:rPr>
        <w:t>g</w:t>
      </w:r>
      <w:r w:rsidR="003A148C">
        <w:rPr>
          <w:rFonts w:cs="Arial"/>
          <w:b/>
          <w:snapToGrid w:val="0"/>
          <w:color w:val="FF0000"/>
        </w:rPr>
        <w:t xml:space="preserve"> </w:t>
      </w:r>
      <w:r w:rsidR="00A14E5E">
        <w:rPr>
          <w:rFonts w:cs="Arial"/>
          <w:b/>
          <w:snapToGrid w:val="0"/>
          <w:color w:val="FF0000"/>
        </w:rPr>
        <w:t xml:space="preserve">and respond to all applicable questions. </w:t>
      </w:r>
      <w:bookmarkStart w:id="396" w:name="_Hlk128396619"/>
      <w:r w:rsidR="007D09F9" w:rsidRPr="007D09F9">
        <w:rPr>
          <w:rFonts w:cs="Arial"/>
          <w:b/>
          <w:snapToGrid w:val="0"/>
          <w:color w:val="FF0000"/>
        </w:rPr>
        <w:t>The standard applies to all adult and pediatric general medical</w:t>
      </w:r>
      <w:r w:rsidR="004E58FF">
        <w:rPr>
          <w:rFonts w:cs="Arial"/>
          <w:b/>
          <w:snapToGrid w:val="0"/>
          <w:color w:val="FF0000"/>
        </w:rPr>
        <w:t xml:space="preserve">, </w:t>
      </w:r>
      <w:r w:rsidR="007D09F9" w:rsidRPr="007D09F9">
        <w:rPr>
          <w:rFonts w:cs="Arial"/>
          <w:b/>
          <w:snapToGrid w:val="0"/>
          <w:color w:val="FF0000"/>
        </w:rPr>
        <w:t>surgical</w:t>
      </w:r>
      <w:r w:rsidR="006C7E4A">
        <w:rPr>
          <w:rFonts w:cs="Arial"/>
          <w:b/>
          <w:snapToGrid w:val="0"/>
          <w:color w:val="FF0000"/>
        </w:rPr>
        <w:t>, medical/surgical</w:t>
      </w:r>
      <w:r w:rsidR="005E3016">
        <w:rPr>
          <w:rFonts w:cs="Arial"/>
          <w:b/>
          <w:snapToGrid w:val="0"/>
          <w:color w:val="FF0000"/>
        </w:rPr>
        <w:t>,</w:t>
      </w:r>
      <w:r w:rsidR="007D09F9" w:rsidRPr="007D09F9">
        <w:rPr>
          <w:rFonts w:cs="Arial"/>
          <w:b/>
          <w:snapToGrid w:val="0"/>
          <w:color w:val="FF0000"/>
        </w:rPr>
        <w:t xml:space="preserve"> and neuro critical care patients (medical and surgical), including those patients in mixed acuity units.</w:t>
      </w:r>
      <w:bookmarkEnd w:id="396"/>
    </w:p>
    <w:p w14:paraId="4CA7CBFA" w14:textId="77777777" w:rsidR="00D7659E" w:rsidRDefault="00D7659E" w:rsidP="00C41286">
      <w:pPr>
        <w:pStyle w:val="BodyText3"/>
        <w:rPr>
          <w:rFonts w:cs="Arial"/>
          <w:b/>
          <w:snapToGrid w:val="0"/>
          <w:color w:val="FF0000"/>
        </w:rPr>
      </w:pPr>
    </w:p>
    <w:p w14:paraId="569D9EB6" w14:textId="6F20098A" w:rsidR="00995B9D" w:rsidRPr="005A371D" w:rsidRDefault="00995B9D" w:rsidP="00995B9D">
      <w:pPr>
        <w:pStyle w:val="EndnoteText"/>
        <w:rPr>
          <w:rFonts w:cs="Arial"/>
          <w:b/>
          <w:snapToGrid w:val="0"/>
          <w:color w:val="FF0000"/>
        </w:rPr>
      </w:pPr>
      <w:r w:rsidRPr="005A371D">
        <w:rPr>
          <w:rFonts w:cs="Arial"/>
          <w:b/>
          <w:snapToGrid w:val="0"/>
          <w:color w:val="FF0000"/>
        </w:rPr>
        <w:t xml:space="preserve">For hospitals that have more than one type of ICU that applies to either Section 5A or 5B included in the ICU Physician Staffing standard, where the ICU physician staffing structure may differ among </w:t>
      </w:r>
      <w:r w:rsidR="00096D83">
        <w:rPr>
          <w:rFonts w:cs="Arial"/>
          <w:b/>
          <w:snapToGrid w:val="0"/>
          <w:color w:val="FF0000"/>
        </w:rPr>
        <w:t>units</w:t>
      </w:r>
      <w:r w:rsidRPr="005A371D">
        <w:rPr>
          <w:rFonts w:cs="Arial"/>
          <w:b/>
          <w:snapToGrid w:val="0"/>
          <w:color w:val="FF0000"/>
        </w:rPr>
        <w:t>, hospitals are instructed to report on the ICU with the lowest level of staffing by physicians certified in critical care medicine when responding to questions #1-15 in Section 5A: Adult ICU Physician Staffing and Section 5B: Pediatric ICU Physician Staffing. For example, if the adult</w:t>
      </w:r>
      <w:r w:rsidR="0078138B">
        <w:rPr>
          <w:rFonts w:cs="Arial"/>
          <w:b/>
          <w:snapToGrid w:val="0"/>
          <w:color w:val="FF0000"/>
        </w:rPr>
        <w:t xml:space="preserve"> neuro</w:t>
      </w:r>
      <w:r w:rsidRPr="005A371D">
        <w:rPr>
          <w:rFonts w:cs="Arial"/>
          <w:b/>
          <w:snapToGrid w:val="0"/>
          <w:color w:val="FF0000"/>
        </w:rPr>
        <w:t xml:space="preserve"> ICU is staffed by intensivists at least 8 hours/day, 7 days/week, but the adult surgical ICU is not, the hospital would respond to questions #1-15 in Section 5A based on the adult surgical ICU.</w:t>
      </w:r>
    </w:p>
    <w:p w14:paraId="590C9318" w14:textId="77777777" w:rsidR="00D7659E" w:rsidRDefault="00D7659E" w:rsidP="00C41286">
      <w:pPr>
        <w:pStyle w:val="BodyText3"/>
        <w:rPr>
          <w:rFonts w:cs="Arial"/>
          <w:b/>
          <w:snapToGrid w:val="0"/>
          <w:color w:val="FF0000"/>
        </w:rPr>
      </w:pPr>
    </w:p>
    <w:p w14:paraId="2B54BDEF" w14:textId="2F2D8F9A" w:rsidR="00652583" w:rsidRPr="00C41286" w:rsidRDefault="00652583" w:rsidP="00C41286">
      <w:pPr>
        <w:pStyle w:val="BodyText3"/>
        <w:rPr>
          <w:rFonts w:cs="Arial"/>
          <w:b/>
          <w:snapToGrid w:val="0"/>
          <w:color w:val="FF0000"/>
        </w:rPr>
      </w:pPr>
      <w:r w:rsidRPr="009A5185">
        <w:rPr>
          <w:rFonts w:cs="Arial"/>
          <w:snapToGrid w:val="0"/>
        </w:rPr>
        <w:t xml:space="preserve">Section 5 includes questions about the </w:t>
      </w:r>
      <w:r w:rsidR="00D749A5">
        <w:rPr>
          <w:rFonts w:cs="Arial"/>
          <w:snapToGrid w:val="0"/>
        </w:rPr>
        <w:t xml:space="preserve">management of critical care patients and the </w:t>
      </w:r>
      <w:r w:rsidRPr="009A5185">
        <w:rPr>
          <w:rFonts w:cs="Arial"/>
          <w:snapToGrid w:val="0"/>
        </w:rPr>
        <w:t xml:space="preserve">staffing structure of your hospital’s </w:t>
      </w:r>
      <w:r w:rsidR="00450EEA">
        <w:rPr>
          <w:rFonts w:cs="Arial"/>
          <w:snapToGrid w:val="0"/>
        </w:rPr>
        <w:t xml:space="preserve">adult and </w:t>
      </w:r>
      <w:r w:rsidRPr="009A5185">
        <w:rPr>
          <w:rFonts w:cs="Arial"/>
          <w:snapToGrid w:val="0"/>
        </w:rPr>
        <w:t>pediatric general medical</w:t>
      </w:r>
      <w:r w:rsidR="00F37D41">
        <w:rPr>
          <w:rFonts w:cs="Arial"/>
          <w:snapToGrid w:val="0"/>
        </w:rPr>
        <w:t>, surgical, medical/</w:t>
      </w:r>
      <w:r w:rsidRPr="009A5185">
        <w:rPr>
          <w:rFonts w:cs="Arial"/>
          <w:snapToGrid w:val="0"/>
        </w:rPr>
        <w:t>surgical</w:t>
      </w:r>
      <w:r w:rsidR="00F37D41">
        <w:rPr>
          <w:rFonts w:cs="Arial"/>
          <w:snapToGrid w:val="0"/>
        </w:rPr>
        <w:t xml:space="preserve">, </w:t>
      </w:r>
      <w:r w:rsidRPr="009A5185">
        <w:rPr>
          <w:rFonts w:cs="Arial"/>
          <w:snapToGrid w:val="0"/>
        </w:rPr>
        <w:t>and neuro ICUs</w:t>
      </w:r>
      <w:r w:rsidR="0085208E">
        <w:rPr>
          <w:rFonts w:cs="Arial"/>
          <w:snapToGrid w:val="0"/>
        </w:rPr>
        <w:t xml:space="preserve">, and </w:t>
      </w:r>
      <w:r w:rsidR="0085208E" w:rsidRPr="00BD0565">
        <w:rPr>
          <w:rFonts w:cs="Arial"/>
          <w:snapToGrid w:val="0"/>
        </w:rPr>
        <w:t>questions about your hospital’s nursing staffing</w:t>
      </w:r>
      <w:r w:rsidR="00C75C87">
        <w:rPr>
          <w:rFonts w:cs="Arial"/>
          <w:snapToGrid w:val="0"/>
        </w:rPr>
        <w:t>.</w:t>
      </w:r>
    </w:p>
    <w:p w14:paraId="0CA39CD7" w14:textId="77777777" w:rsidR="00DD2598" w:rsidRPr="009A5185" w:rsidRDefault="00DD2598">
      <w:pPr>
        <w:pStyle w:val="BodyText3"/>
        <w:rPr>
          <w:rFonts w:cs="Arial"/>
          <w:b/>
        </w:rPr>
      </w:pPr>
    </w:p>
    <w:p w14:paraId="128D1B96" w14:textId="2F8E9A9D" w:rsidR="00C43880" w:rsidRPr="009A5185" w:rsidRDefault="00F20FF5">
      <w:pPr>
        <w:pStyle w:val="BodyText3"/>
        <w:rPr>
          <w:rFonts w:cs="Arial"/>
        </w:rPr>
      </w:pPr>
      <w:r>
        <w:rPr>
          <w:rFonts w:cs="Arial"/>
          <w:b/>
        </w:rPr>
        <w:t xml:space="preserve">Each </w:t>
      </w:r>
      <w:r w:rsidRPr="009A5185">
        <w:rPr>
          <w:rFonts w:cs="Arial"/>
          <w:b/>
        </w:rPr>
        <w:t xml:space="preserve">hospital </w:t>
      </w:r>
      <w:r>
        <w:rPr>
          <w:rFonts w:cs="Arial"/>
          <w:b/>
        </w:rPr>
        <w:t>achieving</w:t>
      </w:r>
      <w:r w:rsidRPr="009A5185">
        <w:rPr>
          <w:rFonts w:cs="Arial"/>
          <w:b/>
        </w:rPr>
        <w:t xml:space="preserve"> th</w:t>
      </w:r>
      <w:r>
        <w:rPr>
          <w:rFonts w:cs="Arial"/>
          <w:b/>
        </w:rPr>
        <w:t>e</w:t>
      </w:r>
      <w:r w:rsidRPr="009A5185">
        <w:rPr>
          <w:rFonts w:cs="Arial"/>
          <w:b/>
        </w:rPr>
        <w:t xml:space="preserve"> standard</w:t>
      </w:r>
      <w:r w:rsidR="00C43880" w:rsidRPr="009A5185">
        <w:rPr>
          <w:rFonts w:cs="Arial"/>
          <w:b/>
        </w:rPr>
        <w:t xml:space="preserve"> </w:t>
      </w:r>
      <w:r>
        <w:rPr>
          <w:rFonts w:cs="Arial"/>
          <w:b/>
        </w:rPr>
        <w:t xml:space="preserve">for </w:t>
      </w:r>
      <w:r w:rsidR="0080750A">
        <w:rPr>
          <w:rFonts w:cs="Arial"/>
          <w:b/>
        </w:rPr>
        <w:t xml:space="preserve">Adult </w:t>
      </w:r>
      <w:r w:rsidR="00F81D3E">
        <w:rPr>
          <w:rFonts w:cs="Arial"/>
          <w:b/>
        </w:rPr>
        <w:t>and</w:t>
      </w:r>
      <w:r w:rsidR="003A148C">
        <w:rPr>
          <w:rFonts w:cs="Arial"/>
          <w:b/>
        </w:rPr>
        <w:t>/or</w:t>
      </w:r>
      <w:r w:rsidR="00F81D3E">
        <w:rPr>
          <w:rFonts w:cs="Arial"/>
          <w:b/>
        </w:rPr>
        <w:t xml:space="preserve"> Pediatric </w:t>
      </w:r>
      <w:r>
        <w:rPr>
          <w:rFonts w:cs="Arial"/>
          <w:b/>
        </w:rPr>
        <w:t xml:space="preserve">ICU Physician Staffing </w:t>
      </w:r>
      <w:r w:rsidR="00C43880" w:rsidRPr="009A5185">
        <w:rPr>
          <w:rFonts w:cs="Arial"/>
          <w:b/>
        </w:rPr>
        <w:t>assures that</w:t>
      </w:r>
      <w:r w:rsidR="00C43880" w:rsidRPr="009A5185">
        <w:rPr>
          <w:rFonts w:cs="Arial"/>
        </w:rPr>
        <w:t>:</w:t>
      </w:r>
    </w:p>
    <w:p w14:paraId="4A67F4A7" w14:textId="0EFEAE2B" w:rsidR="008910AA" w:rsidRPr="009A5185" w:rsidRDefault="00C43880">
      <w:pPr>
        <w:pStyle w:val="BodyText3"/>
        <w:rPr>
          <w:rFonts w:cs="Arial"/>
        </w:rPr>
      </w:pPr>
      <w:hyperlink w:anchor="Endnote22_CCPatients" w:history="1">
        <w:r w:rsidRPr="009A5185">
          <w:rPr>
            <w:rStyle w:val="Hyperlink"/>
            <w:rFonts w:cs="Arial"/>
          </w:rPr>
          <w:t>A</w:t>
        </w:r>
        <w:r w:rsidR="008910AA" w:rsidRPr="009A5185">
          <w:rPr>
            <w:rStyle w:val="Hyperlink"/>
            <w:rFonts w:cs="Arial"/>
          </w:rPr>
          <w:t xml:space="preserve">ll </w:t>
        </w:r>
        <w:r w:rsidR="006A0604" w:rsidRPr="009A5185">
          <w:rPr>
            <w:rStyle w:val="Hyperlink"/>
            <w:rFonts w:cs="Arial"/>
          </w:rPr>
          <w:t xml:space="preserve">critical care </w:t>
        </w:r>
        <w:r w:rsidR="008910AA" w:rsidRPr="009A5185">
          <w:rPr>
            <w:rStyle w:val="Hyperlink"/>
            <w:rFonts w:cs="Arial"/>
          </w:rPr>
          <w:t>patients</w:t>
        </w:r>
      </w:hyperlink>
      <w:bookmarkStart w:id="397" w:name="_Ref534212310"/>
      <w:r w:rsidR="000F0582">
        <w:rPr>
          <w:rStyle w:val="Hyperlink"/>
          <w:rFonts w:ascii="ZWAdobeF" w:hAnsi="ZWAdobeF" w:cs="ZWAdobeF"/>
          <w:color w:val="auto"/>
          <w:sz w:val="2"/>
          <w:szCs w:val="2"/>
          <w:u w:val="none"/>
        </w:rPr>
        <w:t>32F</w:t>
      </w:r>
      <w:r w:rsidR="00BF053F">
        <w:rPr>
          <w:rStyle w:val="Hyperlink"/>
          <w:rFonts w:ascii="ZWAdobeF" w:hAnsi="ZWAdobeF" w:cs="ZWAdobeF"/>
          <w:color w:val="auto"/>
          <w:sz w:val="2"/>
          <w:szCs w:val="2"/>
          <w:u w:val="none"/>
        </w:rPr>
        <w:t>33F</w:t>
      </w:r>
      <w:r w:rsidR="004C7557">
        <w:rPr>
          <w:rStyle w:val="Hyperlink"/>
          <w:rFonts w:ascii="ZWAdobeF" w:hAnsi="ZWAdobeF" w:cs="ZWAdobeF"/>
          <w:color w:val="auto"/>
          <w:sz w:val="2"/>
          <w:szCs w:val="2"/>
          <w:u w:val="none"/>
        </w:rPr>
        <w:t>33F</w:t>
      </w:r>
      <w:r w:rsidR="00C2087D">
        <w:rPr>
          <w:rStyle w:val="Hyperlink"/>
          <w:rFonts w:ascii="ZWAdobeF" w:hAnsi="ZWAdobeF" w:cs="ZWAdobeF"/>
          <w:color w:val="auto"/>
          <w:sz w:val="2"/>
          <w:szCs w:val="2"/>
          <w:u w:val="none"/>
        </w:rPr>
        <w:t>33F</w:t>
      </w:r>
      <w:r w:rsidR="00B55C41">
        <w:rPr>
          <w:rStyle w:val="Hyperlink"/>
          <w:rFonts w:ascii="ZWAdobeF" w:hAnsi="ZWAdobeF" w:cs="ZWAdobeF"/>
          <w:color w:val="auto"/>
          <w:sz w:val="2"/>
          <w:szCs w:val="2"/>
          <w:u w:val="none"/>
        </w:rPr>
        <w:t>33F</w:t>
      </w:r>
      <w:r w:rsidR="006255A6">
        <w:rPr>
          <w:rStyle w:val="Hyperlink"/>
          <w:rFonts w:ascii="ZWAdobeF" w:hAnsi="ZWAdobeF" w:cs="ZWAdobeF"/>
          <w:color w:val="auto"/>
          <w:sz w:val="2"/>
          <w:szCs w:val="2"/>
          <w:u w:val="none"/>
        </w:rPr>
        <w:t>33F</w:t>
      </w:r>
      <w:r w:rsidR="00E453C7">
        <w:rPr>
          <w:rStyle w:val="Hyperlink"/>
          <w:rFonts w:ascii="ZWAdobeF" w:hAnsi="ZWAdobeF" w:cs="ZWAdobeF"/>
          <w:color w:val="auto"/>
          <w:sz w:val="2"/>
          <w:szCs w:val="2"/>
          <w:u w:val="none"/>
        </w:rPr>
        <w:t>33F</w:t>
      </w:r>
      <w:r w:rsidR="00953060">
        <w:rPr>
          <w:rStyle w:val="Hyperlink"/>
          <w:rFonts w:ascii="ZWAdobeF" w:hAnsi="ZWAdobeF" w:cs="ZWAdobeF"/>
          <w:color w:val="auto"/>
          <w:sz w:val="2"/>
          <w:szCs w:val="2"/>
          <w:u w:val="none"/>
        </w:rPr>
        <w:t>33F</w:t>
      </w:r>
      <w:r w:rsidR="00DD04D6">
        <w:rPr>
          <w:rStyle w:val="Hyperlink"/>
          <w:rFonts w:ascii="ZWAdobeF" w:hAnsi="ZWAdobeF" w:cs="ZWAdobeF"/>
          <w:color w:val="auto"/>
          <w:sz w:val="2"/>
          <w:szCs w:val="2"/>
          <w:u w:val="none"/>
        </w:rPr>
        <w:t>33F</w:t>
      </w:r>
      <w:r w:rsidR="00385598" w:rsidRPr="009A5185">
        <w:rPr>
          <w:rStyle w:val="EndnoteReference"/>
          <w:rFonts w:cs="Arial"/>
        </w:rPr>
        <w:endnoteReference w:id="35"/>
      </w:r>
      <w:bookmarkEnd w:id="397"/>
      <w:r w:rsidR="008910AA" w:rsidRPr="009A5185">
        <w:rPr>
          <w:rFonts w:cs="Arial"/>
        </w:rPr>
        <w:t xml:space="preserve"> in its</w:t>
      </w:r>
      <w:hyperlink w:anchor="generalmedicalsurgicalandneuroicu" w:history="1">
        <w:r w:rsidR="008910AA" w:rsidRPr="00BC45DC">
          <w:rPr>
            <w:rStyle w:val="Hyperlink"/>
            <w:rFonts w:cs="Arial"/>
            <w:u w:val="none"/>
          </w:rPr>
          <w:t xml:space="preserve"> </w:t>
        </w:r>
        <w:r w:rsidR="00B93A35">
          <w:rPr>
            <w:rStyle w:val="Hyperlink"/>
            <w:rFonts w:cs="Arial"/>
          </w:rPr>
          <w:t>G</w:t>
        </w:r>
        <w:r w:rsidR="008910AA" w:rsidRPr="009A5185">
          <w:rPr>
            <w:rStyle w:val="Hyperlink"/>
            <w:rFonts w:cs="Arial"/>
          </w:rPr>
          <w:t xml:space="preserve">eneral </w:t>
        </w:r>
        <w:r w:rsidR="00B93A35">
          <w:rPr>
            <w:rStyle w:val="Hyperlink"/>
            <w:rFonts w:cs="Arial"/>
          </w:rPr>
          <w:t>M</w:t>
        </w:r>
        <w:r w:rsidR="008910AA" w:rsidRPr="009A5185">
          <w:rPr>
            <w:rStyle w:val="Hyperlink"/>
            <w:rFonts w:cs="Arial"/>
          </w:rPr>
          <w:t>edical</w:t>
        </w:r>
        <w:r w:rsidR="00505652">
          <w:rPr>
            <w:rStyle w:val="Hyperlink"/>
            <w:rFonts w:cs="Arial"/>
          </w:rPr>
          <w:t>, Surgical, Medical/</w:t>
        </w:r>
        <w:r w:rsidR="00B93A35">
          <w:rPr>
            <w:rStyle w:val="Hyperlink"/>
            <w:rFonts w:cs="Arial"/>
          </w:rPr>
          <w:t>S</w:t>
        </w:r>
        <w:r w:rsidR="008910AA" w:rsidRPr="009A5185">
          <w:rPr>
            <w:rStyle w:val="Hyperlink"/>
            <w:rFonts w:cs="Arial"/>
          </w:rPr>
          <w:t>urgical</w:t>
        </w:r>
        <w:r w:rsidR="001F39DB">
          <w:rPr>
            <w:rStyle w:val="Hyperlink"/>
            <w:rFonts w:cs="Arial"/>
          </w:rPr>
          <w:t xml:space="preserve">, </w:t>
        </w:r>
        <w:r w:rsidR="008910AA" w:rsidRPr="009A5185">
          <w:rPr>
            <w:rStyle w:val="Hyperlink"/>
            <w:rFonts w:cs="Arial"/>
          </w:rPr>
          <w:t xml:space="preserve">and </w:t>
        </w:r>
        <w:r w:rsidR="00B93A35">
          <w:rPr>
            <w:rStyle w:val="Hyperlink"/>
            <w:rFonts w:cs="Arial"/>
          </w:rPr>
          <w:t>N</w:t>
        </w:r>
        <w:r w:rsidR="008910AA" w:rsidRPr="009A5185">
          <w:rPr>
            <w:rStyle w:val="Hyperlink"/>
            <w:rFonts w:cs="Arial"/>
          </w:rPr>
          <w:t>euro ICUs</w:t>
        </w:r>
      </w:hyperlink>
      <w:r w:rsidR="00F07328" w:rsidRPr="00B93A35">
        <w:rPr>
          <w:rStyle w:val="Hyperlink"/>
          <w:rFonts w:cs="Arial"/>
          <w:color w:val="auto"/>
          <w:u w:val="none"/>
          <w:vertAlign w:val="superscript"/>
        </w:rPr>
        <w:t>14</w:t>
      </w:r>
      <w:r w:rsidR="00F07328" w:rsidRPr="00B93A35">
        <w:rPr>
          <w:rStyle w:val="Hyperlink"/>
          <w:rFonts w:cs="Arial"/>
          <w:color w:val="auto"/>
          <w:u w:val="none"/>
        </w:rPr>
        <w:t xml:space="preserve"> </w:t>
      </w:r>
      <w:r w:rsidR="008910AA" w:rsidRPr="009A5185">
        <w:rPr>
          <w:rFonts w:cs="Arial"/>
        </w:rPr>
        <w:t xml:space="preserve">are </w:t>
      </w:r>
      <w:hyperlink w:anchor="Endnote24_Manage" w:history="1">
        <w:r w:rsidR="008910AA" w:rsidRPr="009A5185">
          <w:rPr>
            <w:rStyle w:val="Hyperlink"/>
            <w:rFonts w:cs="Arial"/>
          </w:rPr>
          <w:t>managed or co-managed</w:t>
        </w:r>
      </w:hyperlink>
      <w:bookmarkStart w:id="399" w:name="_Ref91167015"/>
      <w:r w:rsidR="000F0582">
        <w:rPr>
          <w:rStyle w:val="Hyperlink"/>
          <w:rFonts w:ascii="ZWAdobeF" w:hAnsi="ZWAdobeF" w:cs="ZWAdobeF"/>
          <w:color w:val="auto"/>
          <w:sz w:val="2"/>
          <w:szCs w:val="2"/>
          <w:u w:val="none"/>
        </w:rPr>
        <w:t>34F</w:t>
      </w:r>
      <w:r w:rsidR="00BF053F">
        <w:rPr>
          <w:rStyle w:val="Hyperlink"/>
          <w:rFonts w:ascii="ZWAdobeF" w:hAnsi="ZWAdobeF" w:cs="ZWAdobeF"/>
          <w:color w:val="auto"/>
          <w:sz w:val="2"/>
          <w:szCs w:val="2"/>
          <w:u w:val="none"/>
        </w:rPr>
        <w:t>34F</w:t>
      </w:r>
      <w:r w:rsidR="004C7557">
        <w:rPr>
          <w:rStyle w:val="Hyperlink"/>
          <w:rFonts w:ascii="ZWAdobeF" w:hAnsi="ZWAdobeF" w:cs="ZWAdobeF"/>
          <w:color w:val="auto"/>
          <w:sz w:val="2"/>
          <w:szCs w:val="2"/>
          <w:u w:val="none"/>
        </w:rPr>
        <w:t>34F</w:t>
      </w:r>
      <w:r w:rsidR="00C2087D">
        <w:rPr>
          <w:rStyle w:val="Hyperlink"/>
          <w:rFonts w:ascii="ZWAdobeF" w:hAnsi="ZWAdobeF" w:cs="ZWAdobeF"/>
          <w:color w:val="auto"/>
          <w:sz w:val="2"/>
          <w:szCs w:val="2"/>
          <w:u w:val="none"/>
        </w:rPr>
        <w:t>34F</w:t>
      </w:r>
      <w:r w:rsidR="00B55C41">
        <w:rPr>
          <w:rStyle w:val="Hyperlink"/>
          <w:rFonts w:ascii="ZWAdobeF" w:hAnsi="ZWAdobeF" w:cs="ZWAdobeF"/>
          <w:color w:val="auto"/>
          <w:sz w:val="2"/>
          <w:szCs w:val="2"/>
          <w:u w:val="none"/>
        </w:rPr>
        <w:t>34F</w:t>
      </w:r>
      <w:r w:rsidR="006255A6">
        <w:rPr>
          <w:rStyle w:val="Hyperlink"/>
          <w:rFonts w:ascii="ZWAdobeF" w:hAnsi="ZWAdobeF" w:cs="ZWAdobeF"/>
          <w:color w:val="auto"/>
          <w:sz w:val="2"/>
          <w:szCs w:val="2"/>
          <w:u w:val="none"/>
        </w:rPr>
        <w:t>34F</w:t>
      </w:r>
      <w:r w:rsidR="00E453C7">
        <w:rPr>
          <w:rStyle w:val="Hyperlink"/>
          <w:rFonts w:ascii="ZWAdobeF" w:hAnsi="ZWAdobeF" w:cs="ZWAdobeF"/>
          <w:color w:val="auto"/>
          <w:sz w:val="2"/>
          <w:szCs w:val="2"/>
          <w:u w:val="none"/>
        </w:rPr>
        <w:t>34F</w:t>
      </w:r>
      <w:r w:rsidR="00953060">
        <w:rPr>
          <w:rStyle w:val="Hyperlink"/>
          <w:rFonts w:ascii="ZWAdobeF" w:hAnsi="ZWAdobeF" w:cs="ZWAdobeF"/>
          <w:color w:val="auto"/>
          <w:sz w:val="2"/>
          <w:szCs w:val="2"/>
          <w:u w:val="none"/>
        </w:rPr>
        <w:t>34F</w:t>
      </w:r>
      <w:r w:rsidR="00DD04D6">
        <w:rPr>
          <w:rStyle w:val="Hyperlink"/>
          <w:rFonts w:ascii="ZWAdobeF" w:hAnsi="ZWAdobeF" w:cs="ZWAdobeF"/>
          <w:color w:val="auto"/>
          <w:sz w:val="2"/>
          <w:szCs w:val="2"/>
          <w:u w:val="none"/>
        </w:rPr>
        <w:t>34F</w:t>
      </w:r>
      <w:r w:rsidR="008910AA" w:rsidRPr="009A5185">
        <w:rPr>
          <w:rStyle w:val="EndnoteReference"/>
          <w:rFonts w:cs="Arial"/>
          <w:color w:val="auto"/>
        </w:rPr>
        <w:endnoteReference w:id="36"/>
      </w:r>
      <w:bookmarkEnd w:id="399"/>
      <w:r w:rsidR="008910AA" w:rsidRPr="009A5185">
        <w:rPr>
          <w:rFonts w:cs="Arial"/>
        </w:rPr>
        <w:t xml:space="preserve"> by </w:t>
      </w:r>
      <w:r w:rsidR="008910AA" w:rsidRPr="009A5185">
        <w:rPr>
          <w:rFonts w:cs="Arial"/>
          <w:color w:val="auto"/>
        </w:rPr>
        <w:t xml:space="preserve">physicians </w:t>
      </w:r>
      <w:hyperlink w:anchor="Endnote25_Certified" w:history="1">
        <w:r w:rsidR="008910AA" w:rsidRPr="009A5185">
          <w:rPr>
            <w:rStyle w:val="Hyperlink"/>
            <w:rFonts w:cs="Arial"/>
          </w:rPr>
          <w:t>certified in critical care medicine</w:t>
        </w:r>
      </w:hyperlink>
      <w:bookmarkStart w:id="401" w:name="_Ref534212273"/>
      <w:r w:rsidR="000F0582">
        <w:rPr>
          <w:rStyle w:val="Hyperlink"/>
          <w:rFonts w:ascii="ZWAdobeF" w:hAnsi="ZWAdobeF" w:cs="ZWAdobeF"/>
          <w:color w:val="auto"/>
          <w:sz w:val="2"/>
          <w:szCs w:val="2"/>
          <w:u w:val="none"/>
        </w:rPr>
        <w:t>35F</w:t>
      </w:r>
      <w:r w:rsidR="00BF053F">
        <w:rPr>
          <w:rStyle w:val="Hyperlink"/>
          <w:rFonts w:ascii="ZWAdobeF" w:hAnsi="ZWAdobeF" w:cs="ZWAdobeF"/>
          <w:color w:val="auto"/>
          <w:sz w:val="2"/>
          <w:szCs w:val="2"/>
          <w:u w:val="none"/>
        </w:rPr>
        <w:t>35F</w:t>
      </w:r>
      <w:r w:rsidR="004C7557">
        <w:rPr>
          <w:rStyle w:val="Hyperlink"/>
          <w:rFonts w:ascii="ZWAdobeF" w:hAnsi="ZWAdobeF" w:cs="ZWAdobeF"/>
          <w:color w:val="auto"/>
          <w:sz w:val="2"/>
          <w:szCs w:val="2"/>
          <w:u w:val="none"/>
        </w:rPr>
        <w:t>35F</w:t>
      </w:r>
      <w:r w:rsidR="00C2087D">
        <w:rPr>
          <w:rStyle w:val="Hyperlink"/>
          <w:rFonts w:ascii="ZWAdobeF" w:hAnsi="ZWAdobeF" w:cs="ZWAdobeF"/>
          <w:color w:val="auto"/>
          <w:sz w:val="2"/>
          <w:szCs w:val="2"/>
          <w:u w:val="none"/>
        </w:rPr>
        <w:t>35F</w:t>
      </w:r>
      <w:r w:rsidR="00B55C41">
        <w:rPr>
          <w:rStyle w:val="Hyperlink"/>
          <w:rFonts w:ascii="ZWAdobeF" w:hAnsi="ZWAdobeF" w:cs="ZWAdobeF"/>
          <w:color w:val="auto"/>
          <w:sz w:val="2"/>
          <w:szCs w:val="2"/>
          <w:u w:val="none"/>
        </w:rPr>
        <w:t>35F</w:t>
      </w:r>
      <w:r w:rsidR="006255A6">
        <w:rPr>
          <w:rStyle w:val="Hyperlink"/>
          <w:rFonts w:ascii="ZWAdobeF" w:hAnsi="ZWAdobeF" w:cs="ZWAdobeF"/>
          <w:color w:val="auto"/>
          <w:sz w:val="2"/>
          <w:szCs w:val="2"/>
          <w:u w:val="none"/>
        </w:rPr>
        <w:t>35F</w:t>
      </w:r>
      <w:r w:rsidR="00E453C7">
        <w:rPr>
          <w:rStyle w:val="Hyperlink"/>
          <w:rFonts w:ascii="ZWAdobeF" w:hAnsi="ZWAdobeF" w:cs="ZWAdobeF"/>
          <w:color w:val="auto"/>
          <w:sz w:val="2"/>
          <w:szCs w:val="2"/>
          <w:u w:val="none"/>
        </w:rPr>
        <w:t>35F</w:t>
      </w:r>
      <w:r w:rsidR="00953060">
        <w:rPr>
          <w:rStyle w:val="Hyperlink"/>
          <w:rFonts w:ascii="ZWAdobeF" w:hAnsi="ZWAdobeF" w:cs="ZWAdobeF"/>
          <w:color w:val="auto"/>
          <w:sz w:val="2"/>
          <w:szCs w:val="2"/>
          <w:u w:val="none"/>
        </w:rPr>
        <w:t>35F</w:t>
      </w:r>
      <w:r w:rsidR="00DD04D6">
        <w:rPr>
          <w:rStyle w:val="Hyperlink"/>
          <w:rFonts w:ascii="ZWAdobeF" w:hAnsi="ZWAdobeF" w:cs="ZWAdobeF"/>
          <w:color w:val="auto"/>
          <w:sz w:val="2"/>
          <w:szCs w:val="2"/>
          <w:u w:val="none"/>
        </w:rPr>
        <w:t>35F</w:t>
      </w:r>
      <w:r w:rsidR="008910AA" w:rsidRPr="009A5185">
        <w:rPr>
          <w:rStyle w:val="EndnoteReference"/>
          <w:rFonts w:cs="Arial"/>
        </w:rPr>
        <w:endnoteReference w:id="37"/>
      </w:r>
      <w:bookmarkEnd w:id="401"/>
      <w:r w:rsidR="008910AA" w:rsidRPr="009A5185">
        <w:rPr>
          <w:rFonts w:cs="Arial"/>
        </w:rPr>
        <w:t xml:space="preserve"> who:</w:t>
      </w:r>
    </w:p>
    <w:p w14:paraId="4BF1F601" w14:textId="5B6C5507" w:rsidR="005A5A08" w:rsidRDefault="008910AA">
      <w:pPr>
        <w:numPr>
          <w:ilvl w:val="0"/>
          <w:numId w:val="4"/>
        </w:numPr>
        <w:rPr>
          <w:rFonts w:cs="Arial"/>
          <w:snapToGrid w:val="0"/>
          <w:color w:val="000000"/>
        </w:rPr>
      </w:pPr>
      <w:r w:rsidRPr="009A5185">
        <w:rPr>
          <w:rFonts w:cs="Arial"/>
          <w:snapToGrid w:val="0"/>
          <w:color w:val="000000"/>
        </w:rPr>
        <w:t xml:space="preserve">Are </w:t>
      </w:r>
      <w:hyperlink w:anchor="Endnote26_Present" w:history="1">
        <w:r w:rsidRPr="009A5185">
          <w:rPr>
            <w:rStyle w:val="Hyperlink"/>
            <w:rFonts w:cs="Arial"/>
            <w:snapToGrid w:val="0"/>
          </w:rPr>
          <w:t>ordinarily present in the ICU</w:t>
        </w:r>
      </w:hyperlink>
      <w:bookmarkStart w:id="403" w:name="_Ref91166304"/>
      <w:r w:rsidR="000F0582">
        <w:rPr>
          <w:rStyle w:val="Hyperlink"/>
          <w:rFonts w:ascii="ZWAdobeF" w:hAnsi="ZWAdobeF" w:cs="ZWAdobeF"/>
          <w:snapToGrid w:val="0"/>
          <w:color w:val="auto"/>
          <w:sz w:val="2"/>
          <w:szCs w:val="2"/>
          <w:u w:val="none"/>
        </w:rPr>
        <w:t>36F</w:t>
      </w:r>
      <w:r w:rsidR="00BF053F">
        <w:rPr>
          <w:rStyle w:val="Hyperlink"/>
          <w:rFonts w:ascii="ZWAdobeF" w:hAnsi="ZWAdobeF" w:cs="ZWAdobeF"/>
          <w:snapToGrid w:val="0"/>
          <w:color w:val="auto"/>
          <w:sz w:val="2"/>
          <w:szCs w:val="2"/>
          <w:u w:val="none"/>
        </w:rPr>
        <w:t>36F</w:t>
      </w:r>
      <w:r w:rsidR="004C7557">
        <w:rPr>
          <w:rStyle w:val="Hyperlink"/>
          <w:rFonts w:ascii="ZWAdobeF" w:hAnsi="ZWAdobeF" w:cs="ZWAdobeF"/>
          <w:snapToGrid w:val="0"/>
          <w:color w:val="auto"/>
          <w:sz w:val="2"/>
          <w:szCs w:val="2"/>
          <w:u w:val="none"/>
        </w:rPr>
        <w:t>36F</w:t>
      </w:r>
      <w:r w:rsidR="00C2087D">
        <w:rPr>
          <w:rStyle w:val="Hyperlink"/>
          <w:rFonts w:ascii="ZWAdobeF" w:hAnsi="ZWAdobeF" w:cs="ZWAdobeF"/>
          <w:snapToGrid w:val="0"/>
          <w:color w:val="auto"/>
          <w:sz w:val="2"/>
          <w:szCs w:val="2"/>
          <w:u w:val="none"/>
        </w:rPr>
        <w:t>36F</w:t>
      </w:r>
      <w:r w:rsidR="00B55C41">
        <w:rPr>
          <w:rStyle w:val="Hyperlink"/>
          <w:rFonts w:ascii="ZWAdobeF" w:hAnsi="ZWAdobeF" w:cs="ZWAdobeF"/>
          <w:snapToGrid w:val="0"/>
          <w:color w:val="auto"/>
          <w:sz w:val="2"/>
          <w:szCs w:val="2"/>
          <w:u w:val="none"/>
        </w:rPr>
        <w:t>36F</w:t>
      </w:r>
      <w:r w:rsidR="006255A6">
        <w:rPr>
          <w:rStyle w:val="Hyperlink"/>
          <w:rFonts w:ascii="ZWAdobeF" w:hAnsi="ZWAdobeF" w:cs="ZWAdobeF"/>
          <w:snapToGrid w:val="0"/>
          <w:color w:val="auto"/>
          <w:sz w:val="2"/>
          <w:szCs w:val="2"/>
          <w:u w:val="none"/>
        </w:rPr>
        <w:t>36F</w:t>
      </w:r>
      <w:r w:rsidR="00E453C7">
        <w:rPr>
          <w:rStyle w:val="Hyperlink"/>
          <w:rFonts w:ascii="ZWAdobeF" w:hAnsi="ZWAdobeF" w:cs="ZWAdobeF"/>
          <w:snapToGrid w:val="0"/>
          <w:color w:val="auto"/>
          <w:sz w:val="2"/>
          <w:szCs w:val="2"/>
          <w:u w:val="none"/>
        </w:rPr>
        <w:t>36F</w:t>
      </w:r>
      <w:r w:rsidR="00953060">
        <w:rPr>
          <w:rStyle w:val="Hyperlink"/>
          <w:rFonts w:ascii="ZWAdobeF" w:hAnsi="ZWAdobeF" w:cs="ZWAdobeF"/>
          <w:snapToGrid w:val="0"/>
          <w:color w:val="auto"/>
          <w:sz w:val="2"/>
          <w:szCs w:val="2"/>
          <w:u w:val="none"/>
        </w:rPr>
        <w:t>36F</w:t>
      </w:r>
      <w:r w:rsidR="00DD04D6">
        <w:rPr>
          <w:rStyle w:val="Hyperlink"/>
          <w:rFonts w:ascii="ZWAdobeF" w:hAnsi="ZWAdobeF" w:cs="ZWAdobeF"/>
          <w:snapToGrid w:val="0"/>
          <w:color w:val="auto"/>
          <w:sz w:val="2"/>
          <w:szCs w:val="2"/>
          <w:u w:val="none"/>
        </w:rPr>
        <w:t>36F</w:t>
      </w:r>
      <w:r w:rsidRPr="009A5185">
        <w:rPr>
          <w:rStyle w:val="EndnoteReference"/>
          <w:rFonts w:cs="Arial"/>
          <w:snapToGrid w:val="0"/>
        </w:rPr>
        <w:endnoteReference w:id="38"/>
      </w:r>
      <w:bookmarkEnd w:id="403"/>
      <w:r w:rsidRPr="009A5185">
        <w:rPr>
          <w:rFonts w:cs="Arial"/>
          <w:snapToGrid w:val="0"/>
          <w:color w:val="000000"/>
        </w:rPr>
        <w:t xml:space="preserve"> during daytime hours </w:t>
      </w:r>
      <w:r w:rsidR="00B95DB2" w:rsidRPr="009A5185">
        <w:rPr>
          <w:rFonts w:cs="Arial"/>
          <w:snapToGrid w:val="0"/>
          <w:color w:val="000000"/>
        </w:rPr>
        <w:t xml:space="preserve">for at least </w:t>
      </w:r>
      <w:r w:rsidRPr="009A5185">
        <w:rPr>
          <w:rFonts w:cs="Arial"/>
          <w:snapToGrid w:val="0"/>
          <w:color w:val="000000"/>
        </w:rPr>
        <w:t xml:space="preserve">8 hours per day, 7 days per week, and during this time provide clinical care </w:t>
      </w:r>
      <w:hyperlink w:anchor="Endnote26_Present" w:history="1">
        <w:r w:rsidRPr="009A5185">
          <w:rPr>
            <w:rStyle w:val="Hyperlink"/>
            <w:rFonts w:cs="Arial"/>
            <w:snapToGrid w:val="0"/>
          </w:rPr>
          <w:t>exclusively</w:t>
        </w:r>
      </w:hyperlink>
      <w:r w:rsidR="000F4DD8">
        <w:rPr>
          <w:rFonts w:cs="Arial"/>
          <w:snapToGrid w:val="0"/>
          <w:vertAlign w:val="superscript"/>
        </w:rPr>
        <w:fldChar w:fldCharType="begin"/>
      </w:r>
      <w:r w:rsidR="000F4DD8">
        <w:rPr>
          <w:rFonts w:cs="Arial"/>
          <w:snapToGrid w:val="0"/>
          <w:vertAlign w:val="superscript"/>
        </w:rPr>
        <w:instrText xml:space="preserve"> NOTEREF _Ref91166304 \f \h </w:instrText>
      </w:r>
      <w:r w:rsidR="000F4DD8">
        <w:rPr>
          <w:rFonts w:cs="Arial"/>
          <w:snapToGrid w:val="0"/>
          <w:vertAlign w:val="superscript"/>
        </w:rPr>
      </w:r>
      <w:r w:rsidR="000F4DD8">
        <w:rPr>
          <w:rFonts w:cs="Arial"/>
          <w:snapToGrid w:val="0"/>
          <w:vertAlign w:val="superscript"/>
        </w:rPr>
        <w:fldChar w:fldCharType="separate"/>
      </w:r>
      <w:r w:rsidR="007D53A2" w:rsidRPr="006904F9">
        <w:rPr>
          <w:rStyle w:val="EndnoteReference"/>
        </w:rPr>
        <w:t>37</w:t>
      </w:r>
      <w:r w:rsidR="000F4DD8">
        <w:rPr>
          <w:rFonts w:cs="Arial"/>
          <w:snapToGrid w:val="0"/>
          <w:vertAlign w:val="superscript"/>
        </w:rPr>
        <w:fldChar w:fldCharType="end"/>
      </w:r>
      <w:r w:rsidRPr="009A5185">
        <w:rPr>
          <w:rFonts w:cs="Arial"/>
          <w:snapToGrid w:val="0"/>
          <w:color w:val="000000"/>
        </w:rPr>
        <w:t xml:space="preserve"> in the ICU</w:t>
      </w:r>
    </w:p>
    <w:p w14:paraId="2D17A387" w14:textId="5BF90BB5" w:rsidR="005A5A08" w:rsidRDefault="005A5A08" w:rsidP="005A5A08">
      <w:pPr>
        <w:ind w:left="360"/>
        <w:rPr>
          <w:rFonts w:cs="Arial"/>
          <w:snapToGrid w:val="0"/>
          <w:color w:val="000000"/>
        </w:rPr>
      </w:pPr>
      <w:r>
        <w:rPr>
          <w:rFonts w:cs="Arial"/>
          <w:snapToGrid w:val="0"/>
          <w:color w:val="000000"/>
        </w:rPr>
        <w:t>OR</w:t>
      </w:r>
    </w:p>
    <w:p w14:paraId="11217620" w14:textId="6606CA3A" w:rsidR="008910AA" w:rsidRPr="005A5A08" w:rsidRDefault="005A5A08" w:rsidP="00AD309C">
      <w:pPr>
        <w:pStyle w:val="ListParagraph"/>
        <w:numPr>
          <w:ilvl w:val="0"/>
          <w:numId w:val="156"/>
        </w:numPr>
        <w:rPr>
          <w:rFonts w:cs="Arial"/>
          <w:snapToGrid w:val="0"/>
          <w:color w:val="000000"/>
        </w:rPr>
      </w:pPr>
      <w:r w:rsidRPr="005A5A08">
        <w:rPr>
          <w:rFonts w:cs="Arial"/>
          <w:snapToGrid w:val="0"/>
          <w:color w:val="000000"/>
        </w:rPr>
        <w:t xml:space="preserve">Are present via </w:t>
      </w:r>
      <w:hyperlink w:anchor="Endnote27_Telemedicine" w:history="1">
        <w:r w:rsidRPr="005A5A08">
          <w:rPr>
            <w:rStyle w:val="Hyperlink"/>
            <w:rFonts w:cs="Arial"/>
            <w:snapToGrid w:val="0"/>
          </w:rPr>
          <w:t>telemedicine</w:t>
        </w:r>
      </w:hyperlink>
      <w:bookmarkStart w:id="405" w:name="_Ref534212061"/>
      <w:r w:rsidR="000F0582">
        <w:rPr>
          <w:rStyle w:val="Hyperlink"/>
          <w:rFonts w:ascii="ZWAdobeF" w:hAnsi="ZWAdobeF" w:cs="ZWAdobeF"/>
          <w:snapToGrid w:val="0"/>
          <w:color w:val="auto"/>
          <w:sz w:val="2"/>
          <w:szCs w:val="2"/>
          <w:u w:val="none"/>
        </w:rPr>
        <w:t>37F</w:t>
      </w:r>
      <w:r w:rsidR="00BF053F">
        <w:rPr>
          <w:rStyle w:val="Hyperlink"/>
          <w:rFonts w:ascii="ZWAdobeF" w:hAnsi="ZWAdobeF" w:cs="ZWAdobeF"/>
          <w:snapToGrid w:val="0"/>
          <w:color w:val="auto"/>
          <w:sz w:val="2"/>
          <w:szCs w:val="2"/>
          <w:u w:val="none"/>
        </w:rPr>
        <w:t>37F</w:t>
      </w:r>
      <w:r w:rsidR="004C7557">
        <w:rPr>
          <w:rStyle w:val="Hyperlink"/>
          <w:rFonts w:ascii="ZWAdobeF" w:hAnsi="ZWAdobeF" w:cs="ZWAdobeF"/>
          <w:snapToGrid w:val="0"/>
          <w:color w:val="auto"/>
          <w:sz w:val="2"/>
          <w:szCs w:val="2"/>
          <w:u w:val="none"/>
        </w:rPr>
        <w:t>37F</w:t>
      </w:r>
      <w:r w:rsidR="00C2087D">
        <w:rPr>
          <w:rStyle w:val="Hyperlink"/>
          <w:rFonts w:ascii="ZWAdobeF" w:hAnsi="ZWAdobeF" w:cs="ZWAdobeF"/>
          <w:snapToGrid w:val="0"/>
          <w:color w:val="auto"/>
          <w:sz w:val="2"/>
          <w:szCs w:val="2"/>
          <w:u w:val="none"/>
        </w:rPr>
        <w:t>37F</w:t>
      </w:r>
      <w:r w:rsidR="00B55C41">
        <w:rPr>
          <w:rStyle w:val="Hyperlink"/>
          <w:rFonts w:ascii="ZWAdobeF" w:hAnsi="ZWAdobeF" w:cs="ZWAdobeF"/>
          <w:snapToGrid w:val="0"/>
          <w:color w:val="auto"/>
          <w:sz w:val="2"/>
          <w:szCs w:val="2"/>
          <w:u w:val="none"/>
        </w:rPr>
        <w:t>37F</w:t>
      </w:r>
      <w:r w:rsidR="006255A6">
        <w:rPr>
          <w:rStyle w:val="Hyperlink"/>
          <w:rFonts w:ascii="ZWAdobeF" w:hAnsi="ZWAdobeF" w:cs="ZWAdobeF"/>
          <w:snapToGrid w:val="0"/>
          <w:color w:val="auto"/>
          <w:sz w:val="2"/>
          <w:szCs w:val="2"/>
          <w:u w:val="none"/>
        </w:rPr>
        <w:t>37F</w:t>
      </w:r>
      <w:r w:rsidR="00E453C7">
        <w:rPr>
          <w:rStyle w:val="Hyperlink"/>
          <w:rFonts w:ascii="ZWAdobeF" w:hAnsi="ZWAdobeF" w:cs="ZWAdobeF"/>
          <w:snapToGrid w:val="0"/>
          <w:color w:val="auto"/>
          <w:sz w:val="2"/>
          <w:szCs w:val="2"/>
          <w:u w:val="none"/>
        </w:rPr>
        <w:t>37F</w:t>
      </w:r>
      <w:r w:rsidR="00953060">
        <w:rPr>
          <w:rStyle w:val="Hyperlink"/>
          <w:rFonts w:ascii="ZWAdobeF" w:hAnsi="ZWAdobeF" w:cs="ZWAdobeF"/>
          <w:snapToGrid w:val="0"/>
          <w:color w:val="auto"/>
          <w:sz w:val="2"/>
          <w:szCs w:val="2"/>
          <w:u w:val="none"/>
        </w:rPr>
        <w:t>37F</w:t>
      </w:r>
      <w:r w:rsidR="00DD04D6">
        <w:rPr>
          <w:rStyle w:val="Hyperlink"/>
          <w:rFonts w:ascii="ZWAdobeF" w:hAnsi="ZWAdobeF" w:cs="ZWAdobeF"/>
          <w:snapToGrid w:val="0"/>
          <w:color w:val="auto"/>
          <w:sz w:val="2"/>
          <w:szCs w:val="2"/>
          <w:u w:val="none"/>
        </w:rPr>
        <w:t>37F</w:t>
      </w:r>
      <w:r w:rsidRPr="009A5185">
        <w:rPr>
          <w:rStyle w:val="EndnoteReference"/>
          <w:rFonts w:cs="Arial"/>
          <w:snapToGrid w:val="0"/>
          <w:color w:val="000000"/>
        </w:rPr>
        <w:endnoteReference w:id="39"/>
      </w:r>
      <w:bookmarkEnd w:id="405"/>
      <w:r w:rsidRPr="005A5A08">
        <w:rPr>
          <w:rFonts w:cs="Arial"/>
          <w:snapToGrid w:val="0"/>
          <w:color w:val="000000"/>
        </w:rPr>
        <w:t>, in combination with on-site intensivist coverage, for a total of 24 hours per day, 7 days per week; meet all of Leapfrog’s ICU requirements for intensivist presence in the ICU via telemedicine; and supported by an on-site intensivist who establishes and revises the daily care plan for each ICU patient</w:t>
      </w:r>
      <w:r w:rsidR="00D0291F">
        <w:rPr>
          <w:rFonts w:cs="Arial"/>
          <w:snapToGrid w:val="0"/>
          <w:color w:val="000000"/>
        </w:rPr>
        <w:t>,</w:t>
      </w:r>
      <w:r w:rsidR="008910AA" w:rsidRPr="005A5A08">
        <w:rPr>
          <w:rFonts w:cs="Arial"/>
          <w:snapToGrid w:val="0"/>
          <w:color w:val="000000"/>
        </w:rPr>
        <w:t xml:space="preserve"> </w:t>
      </w:r>
      <w:r w:rsidR="008910AA" w:rsidRPr="005D4733">
        <w:rPr>
          <w:rFonts w:cs="Arial"/>
          <w:b/>
          <w:bCs/>
          <w:snapToGrid w:val="0"/>
          <w:color w:val="000000"/>
        </w:rPr>
        <w:t>and</w:t>
      </w:r>
    </w:p>
    <w:p w14:paraId="4BBD59BB" w14:textId="77777777" w:rsidR="00CF0B69" w:rsidRPr="009A5185" w:rsidRDefault="008910AA">
      <w:pPr>
        <w:numPr>
          <w:ilvl w:val="0"/>
          <w:numId w:val="4"/>
        </w:numPr>
        <w:rPr>
          <w:rFonts w:cs="Arial"/>
          <w:snapToGrid w:val="0"/>
          <w:color w:val="000000"/>
        </w:rPr>
      </w:pPr>
      <w:r w:rsidRPr="009A5185">
        <w:rPr>
          <w:rFonts w:cs="Arial"/>
          <w:snapToGrid w:val="0"/>
          <w:color w:val="000000"/>
        </w:rPr>
        <w:t>At other times</w:t>
      </w:r>
      <w:r w:rsidR="00CF0B69" w:rsidRPr="009A5185">
        <w:rPr>
          <w:rFonts w:cs="Arial"/>
          <w:snapToGrid w:val="0"/>
          <w:color w:val="000000"/>
        </w:rPr>
        <w:t>*</w:t>
      </w:r>
      <w:r w:rsidRPr="009A5185">
        <w:rPr>
          <w:rFonts w:cs="Arial"/>
          <w:snapToGrid w:val="0"/>
          <w:color w:val="000000"/>
        </w:rPr>
        <w:t xml:space="preserve"> </w:t>
      </w:r>
    </w:p>
    <w:p w14:paraId="3A2825F0" w14:textId="2D89075C" w:rsidR="00CF0B69" w:rsidRPr="009A5185" w:rsidRDefault="008910AA">
      <w:pPr>
        <w:numPr>
          <w:ilvl w:val="0"/>
          <w:numId w:val="4"/>
        </w:numPr>
        <w:tabs>
          <w:tab w:val="clear" w:pos="360"/>
          <w:tab w:val="num" w:pos="720"/>
        </w:tabs>
        <w:ind w:left="720"/>
        <w:rPr>
          <w:rFonts w:cs="Arial"/>
          <w:snapToGrid w:val="0"/>
          <w:color w:val="000000"/>
        </w:rPr>
      </w:pPr>
      <w:r w:rsidRPr="009A5185">
        <w:rPr>
          <w:rFonts w:cs="Arial"/>
          <w:snapToGrid w:val="0"/>
          <w:color w:val="000000"/>
        </w:rPr>
        <w:t xml:space="preserve">Return more than 95% of ICU calls within 5 minutes, based on a </w:t>
      </w:r>
      <w:hyperlink w:anchor="Endnote28_ResponseAnalysis" w:history="1">
        <w:r w:rsidRPr="009A5185">
          <w:rPr>
            <w:rStyle w:val="Hyperlink"/>
            <w:rFonts w:cs="Arial"/>
            <w:snapToGrid w:val="0"/>
          </w:rPr>
          <w:t>quantified analysis</w:t>
        </w:r>
      </w:hyperlink>
      <w:bookmarkStart w:id="407" w:name="_Ref534212563"/>
      <w:r w:rsidR="000F0582">
        <w:rPr>
          <w:rStyle w:val="Hyperlink"/>
          <w:rFonts w:ascii="ZWAdobeF" w:hAnsi="ZWAdobeF" w:cs="ZWAdobeF"/>
          <w:snapToGrid w:val="0"/>
          <w:color w:val="auto"/>
          <w:sz w:val="2"/>
          <w:szCs w:val="2"/>
          <w:u w:val="none"/>
        </w:rPr>
        <w:t>38F</w:t>
      </w:r>
      <w:r w:rsidR="00BF053F">
        <w:rPr>
          <w:rStyle w:val="Hyperlink"/>
          <w:rFonts w:ascii="ZWAdobeF" w:hAnsi="ZWAdobeF" w:cs="ZWAdobeF"/>
          <w:snapToGrid w:val="0"/>
          <w:color w:val="auto"/>
          <w:sz w:val="2"/>
          <w:szCs w:val="2"/>
          <w:u w:val="none"/>
        </w:rPr>
        <w:t>38F</w:t>
      </w:r>
      <w:r w:rsidR="004C7557">
        <w:rPr>
          <w:rStyle w:val="Hyperlink"/>
          <w:rFonts w:ascii="ZWAdobeF" w:hAnsi="ZWAdobeF" w:cs="ZWAdobeF"/>
          <w:snapToGrid w:val="0"/>
          <w:color w:val="auto"/>
          <w:sz w:val="2"/>
          <w:szCs w:val="2"/>
          <w:u w:val="none"/>
        </w:rPr>
        <w:t>38F</w:t>
      </w:r>
      <w:r w:rsidR="00C2087D">
        <w:rPr>
          <w:rStyle w:val="Hyperlink"/>
          <w:rFonts w:ascii="ZWAdobeF" w:hAnsi="ZWAdobeF" w:cs="ZWAdobeF"/>
          <w:snapToGrid w:val="0"/>
          <w:color w:val="auto"/>
          <w:sz w:val="2"/>
          <w:szCs w:val="2"/>
          <w:u w:val="none"/>
        </w:rPr>
        <w:t>38F</w:t>
      </w:r>
      <w:r w:rsidR="00B55C41">
        <w:rPr>
          <w:rStyle w:val="Hyperlink"/>
          <w:rFonts w:ascii="ZWAdobeF" w:hAnsi="ZWAdobeF" w:cs="ZWAdobeF"/>
          <w:snapToGrid w:val="0"/>
          <w:color w:val="auto"/>
          <w:sz w:val="2"/>
          <w:szCs w:val="2"/>
          <w:u w:val="none"/>
        </w:rPr>
        <w:t>38F</w:t>
      </w:r>
      <w:r w:rsidR="006255A6">
        <w:rPr>
          <w:rStyle w:val="Hyperlink"/>
          <w:rFonts w:ascii="ZWAdobeF" w:hAnsi="ZWAdobeF" w:cs="ZWAdobeF"/>
          <w:snapToGrid w:val="0"/>
          <w:color w:val="auto"/>
          <w:sz w:val="2"/>
          <w:szCs w:val="2"/>
          <w:u w:val="none"/>
        </w:rPr>
        <w:t>38F</w:t>
      </w:r>
      <w:r w:rsidR="00E453C7">
        <w:rPr>
          <w:rStyle w:val="Hyperlink"/>
          <w:rFonts w:ascii="ZWAdobeF" w:hAnsi="ZWAdobeF" w:cs="ZWAdobeF"/>
          <w:snapToGrid w:val="0"/>
          <w:color w:val="auto"/>
          <w:sz w:val="2"/>
          <w:szCs w:val="2"/>
          <w:u w:val="none"/>
        </w:rPr>
        <w:t>38F</w:t>
      </w:r>
      <w:r w:rsidR="00953060">
        <w:rPr>
          <w:rStyle w:val="Hyperlink"/>
          <w:rFonts w:ascii="ZWAdobeF" w:hAnsi="ZWAdobeF" w:cs="ZWAdobeF"/>
          <w:snapToGrid w:val="0"/>
          <w:color w:val="auto"/>
          <w:sz w:val="2"/>
          <w:szCs w:val="2"/>
          <w:u w:val="none"/>
        </w:rPr>
        <w:t>38F</w:t>
      </w:r>
      <w:r w:rsidR="00DD04D6">
        <w:rPr>
          <w:rStyle w:val="Hyperlink"/>
          <w:rFonts w:ascii="ZWAdobeF" w:hAnsi="ZWAdobeF" w:cs="ZWAdobeF"/>
          <w:snapToGrid w:val="0"/>
          <w:color w:val="auto"/>
          <w:sz w:val="2"/>
          <w:szCs w:val="2"/>
          <w:u w:val="none"/>
        </w:rPr>
        <w:t>38F</w:t>
      </w:r>
      <w:r w:rsidRPr="009A5185">
        <w:rPr>
          <w:rStyle w:val="EndnoteReference"/>
          <w:rFonts w:cs="Arial"/>
          <w:snapToGrid w:val="0"/>
          <w:color w:val="000000"/>
        </w:rPr>
        <w:endnoteReference w:id="40"/>
      </w:r>
      <w:bookmarkEnd w:id="407"/>
      <w:r w:rsidRPr="009A5185">
        <w:rPr>
          <w:rFonts w:cs="Arial"/>
          <w:snapToGrid w:val="0"/>
          <w:color w:val="000000"/>
        </w:rPr>
        <w:t xml:space="preserve"> of notification device response time; and</w:t>
      </w:r>
    </w:p>
    <w:p w14:paraId="31443B36" w14:textId="7CEC2AA9" w:rsidR="008910AA" w:rsidRPr="009A5185" w:rsidRDefault="008910AA">
      <w:pPr>
        <w:numPr>
          <w:ilvl w:val="0"/>
          <w:numId w:val="4"/>
        </w:numPr>
        <w:tabs>
          <w:tab w:val="clear" w:pos="360"/>
          <w:tab w:val="num" w:pos="720"/>
        </w:tabs>
        <w:ind w:left="720"/>
        <w:rPr>
          <w:rFonts w:cs="Arial"/>
          <w:snapToGrid w:val="0"/>
          <w:color w:val="000000"/>
        </w:rPr>
      </w:pPr>
      <w:r w:rsidRPr="009A5185">
        <w:rPr>
          <w:rFonts w:cs="Arial"/>
          <w:snapToGrid w:val="0"/>
          <w:color w:val="000000"/>
        </w:rPr>
        <w:t xml:space="preserve">Can rely on a </w:t>
      </w:r>
      <w:hyperlink w:anchor="Endnote31_OtherEffector" w:history="1">
        <w:r w:rsidRPr="004E468A">
          <w:rPr>
            <w:rStyle w:val="Hyperlink"/>
            <w:rFonts w:cs="Arial"/>
            <w:snapToGrid w:val="0"/>
          </w:rPr>
          <w:t>physician, physician assistant, nurse practitioner</w:t>
        </w:r>
      </w:hyperlink>
      <w:r w:rsidR="000F4DD8">
        <w:rPr>
          <w:rFonts w:cs="Arial"/>
          <w:snapToGrid w:val="0"/>
          <w:color w:val="000000"/>
          <w:vertAlign w:val="superscript"/>
        </w:rPr>
        <w:fldChar w:fldCharType="begin"/>
      </w:r>
      <w:r w:rsidR="000F4DD8">
        <w:rPr>
          <w:rStyle w:val="Hyperlink"/>
          <w:rFonts w:cs="Arial"/>
          <w:snapToGrid w:val="0"/>
        </w:rPr>
        <w:instrText xml:space="preserve"> NOTEREF _Ref91166814 \f \h </w:instrText>
      </w:r>
      <w:r w:rsidR="000F4DD8">
        <w:rPr>
          <w:rFonts w:cs="Arial"/>
          <w:snapToGrid w:val="0"/>
          <w:color w:val="000000"/>
          <w:vertAlign w:val="superscript"/>
        </w:rPr>
      </w:r>
      <w:r w:rsidR="000F4DD8">
        <w:rPr>
          <w:rFonts w:cs="Arial"/>
          <w:snapToGrid w:val="0"/>
          <w:color w:val="000000"/>
          <w:vertAlign w:val="superscript"/>
        </w:rPr>
        <w:fldChar w:fldCharType="separate"/>
      </w:r>
      <w:r w:rsidR="007D53A2" w:rsidRPr="00A012EC">
        <w:rPr>
          <w:rStyle w:val="EndnoteReference"/>
        </w:rPr>
        <w:t>42</w:t>
      </w:r>
      <w:r w:rsidR="000F4DD8">
        <w:rPr>
          <w:rFonts w:cs="Arial"/>
          <w:snapToGrid w:val="0"/>
          <w:color w:val="000000"/>
          <w:vertAlign w:val="superscript"/>
        </w:rPr>
        <w:fldChar w:fldCharType="end"/>
      </w:r>
      <w:r w:rsidRPr="009A5185">
        <w:rPr>
          <w:rFonts w:cs="Arial"/>
          <w:snapToGrid w:val="0"/>
          <w:color w:val="000000"/>
        </w:rPr>
        <w:t xml:space="preserve">, or </w:t>
      </w:r>
      <w:r w:rsidRPr="008306A5">
        <w:rPr>
          <w:rFonts w:cs="Arial"/>
          <w:noProof/>
          <w:snapToGrid w:val="0"/>
          <w:color w:val="000000"/>
        </w:rPr>
        <w:t>a</w:t>
      </w:r>
      <w:r w:rsidR="00F71607">
        <w:rPr>
          <w:rFonts w:cs="Arial"/>
          <w:noProof/>
          <w:snapToGrid w:val="0"/>
          <w:color w:val="000000"/>
        </w:rPr>
        <w:t>n</w:t>
      </w:r>
      <w:r w:rsidRPr="008306A5">
        <w:rPr>
          <w:rFonts w:cs="Arial"/>
          <w:noProof/>
          <w:snapToGrid w:val="0"/>
          <w:color w:val="000000"/>
        </w:rPr>
        <w:t xml:space="preserve"> </w:t>
      </w:r>
      <w:hyperlink w:anchor="Endnote29_NurseEffector" w:history="1">
        <w:r w:rsidRPr="008306A5">
          <w:rPr>
            <w:rStyle w:val="Hyperlink"/>
            <w:rFonts w:cs="Arial"/>
            <w:noProof/>
            <w:snapToGrid w:val="0"/>
          </w:rPr>
          <w:t>FCCS-certified</w:t>
        </w:r>
        <w:r w:rsidRPr="009A5185">
          <w:rPr>
            <w:rStyle w:val="Hyperlink"/>
            <w:rFonts w:cs="Arial"/>
            <w:snapToGrid w:val="0"/>
          </w:rPr>
          <w:t xml:space="preserve"> nurse “effector”</w:t>
        </w:r>
      </w:hyperlink>
      <w:bookmarkStart w:id="409" w:name="_Ref91167163"/>
      <w:r w:rsidR="000F0582">
        <w:rPr>
          <w:rStyle w:val="Hyperlink"/>
          <w:rFonts w:ascii="ZWAdobeF" w:hAnsi="ZWAdobeF" w:cs="ZWAdobeF"/>
          <w:snapToGrid w:val="0"/>
          <w:color w:val="auto"/>
          <w:sz w:val="2"/>
          <w:szCs w:val="2"/>
          <w:u w:val="none"/>
        </w:rPr>
        <w:t>39F</w:t>
      </w:r>
      <w:r w:rsidR="00BF053F">
        <w:rPr>
          <w:rStyle w:val="Hyperlink"/>
          <w:rFonts w:ascii="ZWAdobeF" w:hAnsi="ZWAdobeF" w:cs="ZWAdobeF"/>
          <w:snapToGrid w:val="0"/>
          <w:color w:val="auto"/>
          <w:sz w:val="2"/>
          <w:szCs w:val="2"/>
          <w:u w:val="none"/>
        </w:rPr>
        <w:t>39F</w:t>
      </w:r>
      <w:r w:rsidR="004C7557">
        <w:rPr>
          <w:rStyle w:val="Hyperlink"/>
          <w:rFonts w:ascii="ZWAdobeF" w:hAnsi="ZWAdobeF" w:cs="ZWAdobeF"/>
          <w:snapToGrid w:val="0"/>
          <w:color w:val="auto"/>
          <w:sz w:val="2"/>
          <w:szCs w:val="2"/>
          <w:u w:val="none"/>
        </w:rPr>
        <w:t>39F</w:t>
      </w:r>
      <w:r w:rsidR="00C2087D">
        <w:rPr>
          <w:rStyle w:val="Hyperlink"/>
          <w:rFonts w:ascii="ZWAdobeF" w:hAnsi="ZWAdobeF" w:cs="ZWAdobeF"/>
          <w:snapToGrid w:val="0"/>
          <w:color w:val="auto"/>
          <w:sz w:val="2"/>
          <w:szCs w:val="2"/>
          <w:u w:val="none"/>
        </w:rPr>
        <w:t>39F</w:t>
      </w:r>
      <w:r w:rsidR="00B55C41">
        <w:rPr>
          <w:rStyle w:val="Hyperlink"/>
          <w:rFonts w:ascii="ZWAdobeF" w:hAnsi="ZWAdobeF" w:cs="ZWAdobeF"/>
          <w:snapToGrid w:val="0"/>
          <w:color w:val="auto"/>
          <w:sz w:val="2"/>
          <w:szCs w:val="2"/>
          <w:u w:val="none"/>
        </w:rPr>
        <w:t>39F</w:t>
      </w:r>
      <w:r w:rsidR="006255A6">
        <w:rPr>
          <w:rStyle w:val="Hyperlink"/>
          <w:rFonts w:ascii="ZWAdobeF" w:hAnsi="ZWAdobeF" w:cs="ZWAdobeF"/>
          <w:snapToGrid w:val="0"/>
          <w:color w:val="auto"/>
          <w:sz w:val="2"/>
          <w:szCs w:val="2"/>
          <w:u w:val="none"/>
        </w:rPr>
        <w:t>39F</w:t>
      </w:r>
      <w:r w:rsidR="00E453C7">
        <w:rPr>
          <w:rStyle w:val="Hyperlink"/>
          <w:rFonts w:ascii="ZWAdobeF" w:hAnsi="ZWAdobeF" w:cs="ZWAdobeF"/>
          <w:snapToGrid w:val="0"/>
          <w:color w:val="auto"/>
          <w:sz w:val="2"/>
          <w:szCs w:val="2"/>
          <w:u w:val="none"/>
        </w:rPr>
        <w:t>39F</w:t>
      </w:r>
      <w:r w:rsidR="00953060">
        <w:rPr>
          <w:rStyle w:val="Hyperlink"/>
          <w:rFonts w:ascii="ZWAdobeF" w:hAnsi="ZWAdobeF" w:cs="ZWAdobeF"/>
          <w:snapToGrid w:val="0"/>
          <w:color w:val="auto"/>
          <w:sz w:val="2"/>
          <w:szCs w:val="2"/>
          <w:u w:val="none"/>
        </w:rPr>
        <w:t>39F</w:t>
      </w:r>
      <w:r w:rsidR="00DD04D6">
        <w:rPr>
          <w:rStyle w:val="Hyperlink"/>
          <w:rFonts w:ascii="ZWAdobeF" w:hAnsi="ZWAdobeF" w:cs="ZWAdobeF"/>
          <w:snapToGrid w:val="0"/>
          <w:color w:val="auto"/>
          <w:sz w:val="2"/>
          <w:szCs w:val="2"/>
          <w:u w:val="none"/>
        </w:rPr>
        <w:t>39F</w:t>
      </w:r>
      <w:r w:rsidRPr="009A5185">
        <w:rPr>
          <w:rStyle w:val="EndnoteReference"/>
          <w:rFonts w:cs="Arial"/>
          <w:snapToGrid w:val="0"/>
          <w:color w:val="000000"/>
        </w:rPr>
        <w:endnoteReference w:id="41"/>
      </w:r>
      <w:bookmarkEnd w:id="409"/>
      <w:r w:rsidRPr="009A5185">
        <w:rPr>
          <w:rFonts w:cs="Arial"/>
          <w:snapToGrid w:val="0"/>
          <w:color w:val="000000"/>
        </w:rPr>
        <w:t xml:space="preserve"> who is in the hospital and able to reach ICU patients within 5 minutes in more than 95% of cases, based on a quantified hospital analysis of </w:t>
      </w:r>
      <w:r w:rsidR="00BF6F6C">
        <w:rPr>
          <w:rFonts w:cs="Arial"/>
          <w:snapToGrid w:val="0"/>
          <w:color w:val="000000"/>
        </w:rPr>
        <w:t xml:space="preserve">response time of the effector reaching the patient. </w:t>
      </w:r>
      <w:r w:rsidRPr="009A5185">
        <w:rPr>
          <w:rFonts w:cs="Arial"/>
          <w:snapToGrid w:val="0"/>
          <w:color w:val="000000"/>
          <w:sz w:val="16"/>
          <w:szCs w:val="16"/>
        </w:rPr>
        <w:t xml:space="preserve"> </w:t>
      </w:r>
    </w:p>
    <w:p w14:paraId="21A043FC" w14:textId="77777777" w:rsidR="00CF0B69" w:rsidRPr="009A5185" w:rsidRDefault="00CF0B69">
      <w:pPr>
        <w:rPr>
          <w:rFonts w:cs="Arial"/>
          <w:snapToGrid w:val="0"/>
          <w:color w:val="000000"/>
          <w:sz w:val="16"/>
          <w:szCs w:val="16"/>
        </w:rPr>
      </w:pPr>
    </w:p>
    <w:p w14:paraId="1C5CEB52" w14:textId="77777777" w:rsidR="00CF0B69" w:rsidRDefault="00CF0B69">
      <w:pPr>
        <w:rPr>
          <w:rFonts w:cs="Arial"/>
          <w:snapToGrid w:val="0"/>
          <w:color w:val="000000"/>
          <w:sz w:val="16"/>
          <w:szCs w:val="16"/>
        </w:rPr>
      </w:pPr>
      <w:r w:rsidRPr="009A5185">
        <w:rPr>
          <w:rFonts w:cs="Arial"/>
          <w:snapToGrid w:val="0"/>
          <w:color w:val="000000"/>
          <w:sz w:val="16"/>
          <w:szCs w:val="16"/>
        </w:rPr>
        <w:t>*Not applicable for hospitals with 24/7 intensivist coverage.</w:t>
      </w:r>
    </w:p>
    <w:p w14:paraId="3DA55B79" w14:textId="77777777" w:rsidR="00EE54EF" w:rsidRPr="00332D4F" w:rsidRDefault="00EE54EF" w:rsidP="00EE54EF"/>
    <w:p w14:paraId="42DAA018" w14:textId="77777777" w:rsidR="00040753" w:rsidRDefault="00040753">
      <w:pPr>
        <w:rPr>
          <w:rFonts w:cs="Arial"/>
          <w:b/>
          <w:bCs/>
        </w:rPr>
      </w:pPr>
      <w:r>
        <w:rPr>
          <w:rFonts w:cs="Arial"/>
          <w:b/>
          <w:bCs/>
        </w:rPr>
        <w:br w:type="page"/>
      </w:r>
    </w:p>
    <w:p w14:paraId="19CEB503" w14:textId="2756AA93" w:rsidR="00940C76" w:rsidRPr="006F1F5D" w:rsidRDefault="00940C76" w:rsidP="00940C76">
      <w:pPr>
        <w:rPr>
          <w:rFonts w:cs="Arial"/>
          <w:b/>
          <w:bCs/>
        </w:rPr>
      </w:pPr>
      <w:r w:rsidRPr="006F1F5D">
        <w:rPr>
          <w:rFonts w:cs="Arial"/>
          <w:b/>
          <w:bCs/>
        </w:rPr>
        <w:t>Each hospital achieving the standard for Total Nursing Care Hours per Patient Day:</w:t>
      </w:r>
    </w:p>
    <w:p w14:paraId="2A0301F1" w14:textId="77777777" w:rsidR="00940C76" w:rsidRPr="006F1F5D" w:rsidRDefault="00940C76" w:rsidP="00940C76">
      <w:pPr>
        <w:rPr>
          <w:rFonts w:cs="Arial"/>
        </w:rPr>
      </w:pPr>
      <w:r w:rsidRPr="006F1F5D">
        <w:rPr>
          <w:rFonts w:cs="Arial"/>
        </w:rPr>
        <w:t>Has a ratio of total nursing care hours per patient day that is greater than or equal to the 50th percentile (where higher is better) for that hospital’s cohort (small teaching, large teaching, non-teaching, mixed acuity, pediatric, or critical access hospital).</w:t>
      </w:r>
    </w:p>
    <w:p w14:paraId="506E49D3" w14:textId="77777777" w:rsidR="00940C76" w:rsidRPr="006F1F5D" w:rsidRDefault="00940C76" w:rsidP="00940C76">
      <w:pPr>
        <w:rPr>
          <w:rFonts w:cs="Arial"/>
        </w:rPr>
      </w:pPr>
    </w:p>
    <w:p w14:paraId="3213043C" w14:textId="77777777" w:rsidR="00940C76" w:rsidRPr="006F1F5D" w:rsidRDefault="00940C76" w:rsidP="00940C76">
      <w:pPr>
        <w:rPr>
          <w:rFonts w:cs="Arial"/>
          <w:b/>
          <w:bCs/>
        </w:rPr>
      </w:pPr>
      <w:r w:rsidRPr="006F1F5D">
        <w:rPr>
          <w:rFonts w:cs="Arial"/>
          <w:b/>
          <w:bCs/>
        </w:rPr>
        <w:t>Each hospital achieving the standard for RN Hours per Patient Day:</w:t>
      </w:r>
    </w:p>
    <w:p w14:paraId="391EABC6" w14:textId="707EAB8B" w:rsidR="00940C76" w:rsidRPr="006F1F5D" w:rsidRDefault="00940C76" w:rsidP="00940C76">
      <w:pPr>
        <w:rPr>
          <w:rFonts w:cs="Arial"/>
        </w:rPr>
      </w:pPr>
      <w:r w:rsidRPr="006F1F5D">
        <w:rPr>
          <w:rFonts w:cs="Arial"/>
        </w:rPr>
        <w:t>Has a ratio of RN hours per patient day that is greater than or equal to the 50th percentile (where higher is better) for that hospital’s cohort (small teaching, large teaching, non-teaching, mixed acuity, pediatric, or critical access hospital).</w:t>
      </w:r>
      <w:r w:rsidRPr="006F1F5D">
        <w:rPr>
          <w:rFonts w:cs="Arial"/>
        </w:rPr>
        <w:br/>
      </w:r>
    </w:p>
    <w:p w14:paraId="68B0B03B" w14:textId="77777777" w:rsidR="00940C76" w:rsidRPr="006F1F5D" w:rsidRDefault="00940C76" w:rsidP="00940C76">
      <w:pPr>
        <w:rPr>
          <w:rFonts w:cs="Arial"/>
          <w:b/>
          <w:bCs/>
        </w:rPr>
      </w:pPr>
      <w:r w:rsidRPr="006F1F5D">
        <w:rPr>
          <w:rFonts w:cs="Arial"/>
          <w:b/>
          <w:bCs/>
        </w:rPr>
        <w:t>Each hospital achieving the standard for Percentage of RNs who are BSN-Prepared:</w:t>
      </w:r>
    </w:p>
    <w:p w14:paraId="5D65B773" w14:textId="77777777" w:rsidR="00940C76" w:rsidRPr="001F2388" w:rsidRDefault="00940C76" w:rsidP="00940C76">
      <w:r w:rsidRPr="006F1F5D">
        <w:t>Has a percentage of RNs who are BSN-prepared that is greater than or equal to 80%.</w:t>
      </w:r>
    </w:p>
    <w:p w14:paraId="60D278D5" w14:textId="77777777" w:rsidR="0082085D" w:rsidRPr="009A5185" w:rsidRDefault="0082085D" w:rsidP="0082085D">
      <w:pPr>
        <w:rPr>
          <w:rFonts w:cs="Arial"/>
          <w:b/>
        </w:rPr>
      </w:pPr>
    </w:p>
    <w:p w14:paraId="05727101" w14:textId="3D65EE11" w:rsidR="0082085D" w:rsidRPr="009A5185" w:rsidRDefault="0082085D" w:rsidP="0082085D">
      <w:pPr>
        <w:rPr>
          <w:rFonts w:cs="Arial"/>
          <w:b/>
        </w:rPr>
      </w:pPr>
      <w:r w:rsidRPr="009A5185">
        <w:rPr>
          <w:rFonts w:cs="Arial"/>
          <w:b/>
        </w:rPr>
        <w:t xml:space="preserve">Download the </w:t>
      </w:r>
      <w:r w:rsidR="00A236B1">
        <w:rPr>
          <w:rFonts w:cs="Arial"/>
          <w:b/>
        </w:rPr>
        <w:t>202</w:t>
      </w:r>
      <w:r w:rsidR="00C44113">
        <w:rPr>
          <w:rFonts w:cs="Arial"/>
          <w:b/>
        </w:rPr>
        <w:t>6</w:t>
      </w:r>
      <w:r w:rsidRPr="009A5185">
        <w:rPr>
          <w:rFonts w:cs="Arial"/>
          <w:b/>
        </w:rPr>
        <w:t xml:space="preserve"> Leapfrog Hospital Survey Scoring Algorithm on the </w:t>
      </w:r>
      <w:hyperlink r:id="rId322" w:history="1">
        <w:r w:rsidRPr="009A5185">
          <w:rPr>
            <w:rStyle w:val="Hyperlink"/>
            <w:rFonts w:cs="Arial"/>
            <w:b/>
          </w:rPr>
          <w:t>Scoring and Results webpage</w:t>
        </w:r>
      </w:hyperlink>
      <w:r w:rsidRPr="009A5185">
        <w:rPr>
          <w:rFonts w:cs="Arial"/>
          <w:b/>
        </w:rPr>
        <w:t>.</w:t>
      </w:r>
    </w:p>
    <w:p w14:paraId="1265DCE0" w14:textId="77777777" w:rsidR="008910AA" w:rsidRPr="009A5185" w:rsidRDefault="008910AA" w:rsidP="00F40B63">
      <w:pPr>
        <w:rPr>
          <w:rFonts w:cs="Arial"/>
          <w:b/>
        </w:rPr>
      </w:pPr>
    </w:p>
    <w:p w14:paraId="68D748FA" w14:textId="77777777" w:rsidR="00B90B91" w:rsidRPr="009A5185" w:rsidRDefault="00B90B91">
      <w:pPr>
        <w:rPr>
          <w:rFonts w:cs="Arial"/>
        </w:rPr>
      </w:pPr>
      <w:r w:rsidRPr="009A5185">
        <w:rPr>
          <w:rFonts w:cs="Arial"/>
        </w:rPr>
        <w:br w:type="page"/>
      </w:r>
    </w:p>
    <w:p w14:paraId="1B39CBA5" w14:textId="587E822A" w:rsidR="009E7330" w:rsidRDefault="006922BB" w:rsidP="00CF5A6E">
      <w:pPr>
        <w:pStyle w:val="Heading2"/>
      </w:pPr>
      <w:bookmarkStart w:id="411" w:name="_Toc225877749"/>
      <w:r w:rsidRPr="009A5185">
        <w:t>5</w:t>
      </w:r>
      <w:r w:rsidR="00332AF9">
        <w:t>A</w:t>
      </w:r>
      <w:r w:rsidRPr="009A5185">
        <w:t xml:space="preserve">: </w:t>
      </w:r>
      <w:r w:rsidR="00332AF9">
        <w:t xml:space="preserve">Adult </w:t>
      </w:r>
      <w:r w:rsidRPr="009A5185">
        <w:t>ICU P</w:t>
      </w:r>
      <w:r>
        <w:t>hysician</w:t>
      </w:r>
      <w:r w:rsidRPr="009A5185">
        <w:t xml:space="preserve"> S</w:t>
      </w:r>
      <w:r>
        <w:t>taffing</w:t>
      </w:r>
      <w:bookmarkEnd w:id="411"/>
    </w:p>
    <w:p w14:paraId="709090B7" w14:textId="77777777" w:rsidR="006922BB" w:rsidRPr="001839DB" w:rsidRDefault="006922BB" w:rsidP="008110F5">
      <w:pPr>
        <w:rPr>
          <w:rFonts w:cs="Arial"/>
          <w:lang w:eastAsia="ja-JP"/>
        </w:rPr>
      </w:pPr>
    </w:p>
    <w:p w14:paraId="6784CF4F" w14:textId="43819D39" w:rsidR="006922BB" w:rsidRPr="00174828" w:rsidRDefault="006922BB" w:rsidP="0070116C">
      <w:r w:rsidRPr="009A5185">
        <w:rPr>
          <w:rFonts w:cs="Arial"/>
          <w:snapToGrid w:val="0"/>
        </w:rPr>
        <w:t xml:space="preserve">Hospitals that share a </w:t>
      </w:r>
      <w:r>
        <w:rPr>
          <w:rFonts w:cs="Arial"/>
          <w:snapToGrid w:val="0"/>
        </w:rPr>
        <w:t>CMS Certification Number</w:t>
      </w:r>
      <w:r w:rsidRPr="009A5185">
        <w:rPr>
          <w:rFonts w:cs="Arial"/>
          <w:snapToGrid w:val="0"/>
        </w:rPr>
        <w:t xml:space="preserve"> are required to report by facility. Please carefully review </w:t>
      </w:r>
      <w:hyperlink r:id="rId323" w:history="1">
        <w:r w:rsidRPr="009A5185">
          <w:rPr>
            <w:rStyle w:val="Hyperlink"/>
            <w:rFonts w:cs="Arial"/>
            <w:snapToGrid w:val="0"/>
          </w:rPr>
          <w:t>Leapfrog’s Multi-Campus Reporting Policy</w:t>
        </w:r>
      </w:hyperlink>
      <w:r>
        <w:rPr>
          <w:rStyle w:val="Hyperlink"/>
          <w:rFonts w:cs="Arial"/>
          <w:snapToGrid w:val="0"/>
        </w:rPr>
        <w:t>.</w:t>
      </w:r>
    </w:p>
    <w:p w14:paraId="0670730E" w14:textId="77777777" w:rsidR="002442B8" w:rsidRPr="001839DB" w:rsidRDefault="002442B8" w:rsidP="008110F5">
      <w:pPr>
        <w:rPr>
          <w:rFonts w:cs="Arial"/>
          <w:lang w:eastAsia="ja-JP"/>
        </w:rPr>
      </w:pPr>
    </w:p>
    <w:p w14:paraId="22FA96F0" w14:textId="77777777" w:rsidR="002442B8" w:rsidRPr="009A5185" w:rsidRDefault="002442B8" w:rsidP="002442B8">
      <w:pPr>
        <w:rPr>
          <w:rFonts w:cs="Arial"/>
          <w:b/>
          <w:snapToGrid w:val="0"/>
          <w:color w:val="FF0000"/>
        </w:rPr>
      </w:pPr>
      <w:r w:rsidRPr="009A5185">
        <w:rPr>
          <w:rFonts w:cs="Arial"/>
          <w:b/>
          <w:snapToGrid w:val="0"/>
          <w:color w:val="FF0000"/>
        </w:rPr>
        <w:t>Important Notes:</w:t>
      </w:r>
    </w:p>
    <w:p w14:paraId="027D272B" w14:textId="77777777" w:rsidR="00B77CDF" w:rsidRPr="001839DB" w:rsidRDefault="00B77CDF" w:rsidP="002442B8">
      <w:pPr>
        <w:rPr>
          <w:rFonts w:cs="Arial"/>
          <w:b/>
          <w:snapToGrid w:val="0"/>
          <w:color w:val="FF0000"/>
        </w:rPr>
      </w:pPr>
    </w:p>
    <w:p w14:paraId="460A4BB7" w14:textId="530BC2CF" w:rsidR="003475DE" w:rsidRDefault="002442B8" w:rsidP="002442B8">
      <w:pPr>
        <w:rPr>
          <w:rFonts w:cs="Arial"/>
          <w:snapToGrid w:val="0"/>
          <w:color w:val="000000"/>
        </w:rPr>
      </w:pPr>
      <w:r w:rsidRPr="009A5185">
        <w:rPr>
          <w:rFonts w:cs="Arial"/>
          <w:snapToGrid w:val="0"/>
          <w:color w:val="000000"/>
        </w:rPr>
        <w:t xml:space="preserve">Note 1: </w:t>
      </w:r>
      <w:r w:rsidR="003475DE">
        <w:rPr>
          <w:rFonts w:cs="Arial"/>
          <w:lang w:eastAsia="ja-JP"/>
        </w:rPr>
        <w:t>Each</w:t>
      </w:r>
      <w:r w:rsidR="003475DE" w:rsidRPr="009A5185">
        <w:rPr>
          <w:rFonts w:cs="Arial"/>
          <w:lang w:eastAsia="ja-JP"/>
        </w:rPr>
        <w:t xml:space="preserve"> of the endnotes referenced in the questions below </w:t>
      </w:r>
      <w:r w:rsidR="003475DE">
        <w:rPr>
          <w:rFonts w:cs="Arial"/>
          <w:lang w:eastAsia="ja-JP"/>
        </w:rPr>
        <w:t xml:space="preserve">must be reviewed </w:t>
      </w:r>
      <w:r w:rsidR="003475DE" w:rsidRPr="009A5185">
        <w:rPr>
          <w:rFonts w:cs="Arial"/>
          <w:lang w:eastAsia="ja-JP"/>
        </w:rPr>
        <w:t>before responding to each question.</w:t>
      </w:r>
    </w:p>
    <w:p w14:paraId="25280A35" w14:textId="77777777" w:rsidR="003475DE" w:rsidRPr="001839DB" w:rsidRDefault="003475DE" w:rsidP="002442B8">
      <w:pPr>
        <w:rPr>
          <w:rFonts w:cs="Arial"/>
          <w:snapToGrid w:val="0"/>
          <w:color w:val="000000"/>
        </w:rPr>
      </w:pPr>
    </w:p>
    <w:p w14:paraId="16545605" w14:textId="1FF31AAE" w:rsidR="002442B8" w:rsidRPr="001839DB" w:rsidRDefault="003475DE" w:rsidP="002442B8">
      <w:pPr>
        <w:rPr>
          <w:rFonts w:cs="Arial"/>
          <w:snapToGrid w:val="0"/>
          <w:color w:val="000000"/>
        </w:rPr>
      </w:pPr>
      <w:r>
        <w:rPr>
          <w:rFonts w:cs="Arial"/>
          <w:snapToGrid w:val="0"/>
          <w:color w:val="000000"/>
        </w:rPr>
        <w:t xml:space="preserve">Note 2: </w:t>
      </w:r>
      <w:r w:rsidR="002442B8" w:rsidRPr="009A5185">
        <w:rPr>
          <w:rFonts w:cs="Arial"/>
          <w:snapToGrid w:val="0"/>
          <w:color w:val="000000"/>
        </w:rPr>
        <w:t>Some intensivist “presence” may be accomplished via tele</w:t>
      </w:r>
      <w:r w:rsidR="0031377B">
        <w:rPr>
          <w:rFonts w:cs="Arial"/>
          <w:snapToGrid w:val="0"/>
          <w:color w:val="000000"/>
        </w:rPr>
        <w:t>-</w:t>
      </w:r>
      <w:r w:rsidR="002442B8" w:rsidRPr="009A5185">
        <w:rPr>
          <w:rFonts w:cs="Arial"/>
          <w:snapToGrid w:val="0"/>
          <w:color w:val="000000"/>
        </w:rPr>
        <w:t>intensivists per Leapfrog’s specifications (</w:t>
      </w:r>
      <w:hyperlink w:anchor="Endnote27_Telemedicine" w:history="1">
        <w:r w:rsidR="002442B8" w:rsidRPr="009A5185">
          <w:rPr>
            <w:rStyle w:val="Hyperlink"/>
            <w:rFonts w:cs="Arial"/>
            <w:snapToGrid w:val="0"/>
          </w:rPr>
          <w:t>More Information</w:t>
        </w:r>
      </w:hyperlink>
      <w:r w:rsidR="000F4DD8">
        <w:rPr>
          <w:rFonts w:cs="Arial"/>
          <w:snapToGrid w:val="0"/>
          <w:vertAlign w:val="superscript"/>
        </w:rPr>
        <w:fldChar w:fldCharType="begin"/>
      </w:r>
      <w:r w:rsidR="000F4DD8">
        <w:rPr>
          <w:rStyle w:val="Hyperlink"/>
          <w:rFonts w:cs="Arial"/>
          <w:snapToGrid w:val="0"/>
        </w:rPr>
        <w:instrText xml:space="preserve"> NOTEREF _Ref534212061 \f \h </w:instrText>
      </w:r>
      <w:r w:rsidR="000F4DD8">
        <w:rPr>
          <w:rFonts w:cs="Arial"/>
          <w:snapToGrid w:val="0"/>
          <w:vertAlign w:val="superscript"/>
        </w:rPr>
      </w:r>
      <w:r w:rsidR="000F4DD8">
        <w:rPr>
          <w:rFonts w:cs="Arial"/>
          <w:snapToGrid w:val="0"/>
          <w:vertAlign w:val="superscript"/>
        </w:rPr>
        <w:fldChar w:fldCharType="separate"/>
      </w:r>
      <w:r w:rsidR="007D53A2" w:rsidRPr="00A012EC">
        <w:rPr>
          <w:rStyle w:val="EndnoteReference"/>
        </w:rPr>
        <w:t>38</w:t>
      </w:r>
      <w:r w:rsidR="000F4DD8">
        <w:rPr>
          <w:rFonts w:cs="Arial"/>
          <w:snapToGrid w:val="0"/>
          <w:vertAlign w:val="superscript"/>
        </w:rPr>
        <w:fldChar w:fldCharType="end"/>
      </w:r>
      <w:r w:rsidR="00B77CDF" w:rsidRPr="009A5185">
        <w:rPr>
          <w:rFonts w:cs="Arial"/>
          <w:snapToGrid w:val="0"/>
          <w:color w:val="000000"/>
        </w:rPr>
        <w:t xml:space="preserve">). </w:t>
      </w:r>
      <w:r w:rsidR="002442B8" w:rsidRPr="009A5185">
        <w:rPr>
          <w:rFonts w:cs="Arial"/>
          <w:snapToGrid w:val="0"/>
          <w:color w:val="000000"/>
        </w:rPr>
        <w:t xml:space="preserve">However, at this time hospitals cannot </w:t>
      </w:r>
      <w:r w:rsidR="00237CAD">
        <w:rPr>
          <w:rFonts w:cs="Arial"/>
          <w:snapToGrid w:val="0"/>
          <w:color w:val="000000"/>
        </w:rPr>
        <w:t xml:space="preserve">achieve </w:t>
      </w:r>
      <w:r w:rsidR="002442B8" w:rsidRPr="009A5185">
        <w:rPr>
          <w:rFonts w:cs="Arial"/>
          <w:snapToGrid w:val="0"/>
          <w:color w:val="000000"/>
        </w:rPr>
        <w:t xml:space="preserve">the standard through the sole use of </w:t>
      </w:r>
      <w:r w:rsidR="00020513" w:rsidRPr="009A5185">
        <w:rPr>
          <w:rFonts w:cs="Arial"/>
          <w:snapToGrid w:val="0"/>
          <w:color w:val="000000"/>
        </w:rPr>
        <w:t>tele</w:t>
      </w:r>
      <w:r w:rsidR="0031377B">
        <w:rPr>
          <w:rFonts w:cs="Arial"/>
          <w:snapToGrid w:val="0"/>
          <w:color w:val="000000"/>
        </w:rPr>
        <w:t>-</w:t>
      </w:r>
      <w:r w:rsidR="00020513" w:rsidRPr="009A5185">
        <w:rPr>
          <w:rFonts w:cs="Arial"/>
          <w:snapToGrid w:val="0"/>
          <w:color w:val="000000"/>
        </w:rPr>
        <w:t>intensivists.</w:t>
      </w:r>
      <w:r w:rsidR="002442B8" w:rsidRPr="009A5185">
        <w:rPr>
          <w:rFonts w:cs="Arial"/>
          <w:snapToGrid w:val="0"/>
          <w:color w:val="000000"/>
        </w:rPr>
        <w:br/>
      </w:r>
    </w:p>
    <w:p w14:paraId="3C74B68A" w14:textId="31B9B9EB" w:rsidR="002442B8" w:rsidRDefault="002442B8" w:rsidP="002442B8">
      <w:pPr>
        <w:rPr>
          <w:rFonts w:cs="Arial"/>
          <w:snapToGrid w:val="0"/>
          <w:color w:val="000000"/>
        </w:rPr>
      </w:pPr>
      <w:r w:rsidRPr="009A5185">
        <w:rPr>
          <w:rFonts w:cs="Arial"/>
          <w:snapToGrid w:val="0"/>
          <w:color w:val="000000"/>
        </w:rPr>
        <w:t xml:space="preserve">Note </w:t>
      </w:r>
      <w:r w:rsidR="003475DE">
        <w:rPr>
          <w:rFonts w:cs="Arial"/>
          <w:snapToGrid w:val="0"/>
          <w:color w:val="000000"/>
        </w:rPr>
        <w:t>3</w:t>
      </w:r>
      <w:r w:rsidRPr="009A5185">
        <w:rPr>
          <w:rFonts w:cs="Arial"/>
          <w:snapToGrid w:val="0"/>
          <w:color w:val="000000"/>
        </w:rPr>
        <w:t>: On an interim basis, other categories of physicians may be considered by Leapfrog to be “certified in Critical Care Medicine” (</w:t>
      </w:r>
      <w:hyperlink w:anchor="Endnote25_Certified" w:history="1">
        <w:r w:rsidR="003D2251" w:rsidRPr="009A5185">
          <w:rPr>
            <w:rStyle w:val="Hyperlink"/>
            <w:rFonts w:cs="Arial"/>
            <w:snapToGrid w:val="0"/>
          </w:rPr>
          <w:t>More Information</w:t>
        </w:r>
      </w:hyperlink>
      <w:r w:rsidR="000F4DD8">
        <w:rPr>
          <w:rFonts w:cs="Arial"/>
          <w:snapToGrid w:val="0"/>
          <w:vertAlign w:val="superscript"/>
        </w:rPr>
        <w:fldChar w:fldCharType="begin"/>
      </w:r>
      <w:r w:rsidR="000F4DD8">
        <w:rPr>
          <w:rStyle w:val="Hyperlink"/>
          <w:rFonts w:cs="Arial"/>
          <w:snapToGrid w:val="0"/>
        </w:rPr>
        <w:instrText xml:space="preserve"> NOTEREF _Ref534212273 \f \h </w:instrText>
      </w:r>
      <w:r w:rsidR="000F4DD8">
        <w:rPr>
          <w:rFonts w:cs="Arial"/>
          <w:snapToGrid w:val="0"/>
          <w:vertAlign w:val="superscript"/>
        </w:rPr>
      </w:r>
      <w:r w:rsidR="000F4DD8">
        <w:rPr>
          <w:rFonts w:cs="Arial"/>
          <w:snapToGrid w:val="0"/>
          <w:vertAlign w:val="superscript"/>
        </w:rPr>
        <w:fldChar w:fldCharType="separate"/>
      </w:r>
      <w:r w:rsidR="007D53A2" w:rsidRPr="00A012EC">
        <w:rPr>
          <w:rStyle w:val="EndnoteReference"/>
        </w:rPr>
        <w:t>36</w:t>
      </w:r>
      <w:r w:rsidR="000F4DD8">
        <w:rPr>
          <w:rFonts w:cs="Arial"/>
          <w:snapToGrid w:val="0"/>
          <w:vertAlign w:val="superscript"/>
        </w:rPr>
        <w:fldChar w:fldCharType="end"/>
      </w:r>
      <w:r w:rsidRPr="009A5185">
        <w:rPr>
          <w:rFonts w:cs="Arial"/>
          <w:snapToGrid w:val="0"/>
          <w:color w:val="000000"/>
        </w:rPr>
        <w:t>).</w:t>
      </w:r>
    </w:p>
    <w:p w14:paraId="5A2EF034" w14:textId="77777777" w:rsidR="002F6826" w:rsidRPr="001839DB" w:rsidRDefault="002F6826" w:rsidP="002442B8">
      <w:pPr>
        <w:rPr>
          <w:rFonts w:cs="Arial"/>
          <w:snapToGrid w:val="0"/>
          <w:color w:val="000000"/>
        </w:rPr>
      </w:pPr>
    </w:p>
    <w:p w14:paraId="07A8ABC0" w14:textId="555A8121" w:rsidR="002F6826" w:rsidRDefault="002F6826" w:rsidP="002442B8">
      <w:pPr>
        <w:rPr>
          <w:rFonts w:cs="Arial"/>
          <w:snapToGrid w:val="0"/>
          <w:color w:val="000000"/>
        </w:rPr>
      </w:pPr>
      <w:r>
        <w:rPr>
          <w:rFonts w:cs="Arial"/>
          <w:snapToGrid w:val="0"/>
          <w:color w:val="000000"/>
        </w:rPr>
        <w:t xml:space="preserve">Note 4: </w:t>
      </w:r>
      <w:r w:rsidRPr="002F6826">
        <w:rPr>
          <w:rFonts w:cs="Arial"/>
          <w:snapToGrid w:val="0"/>
          <w:color w:val="000000"/>
        </w:rPr>
        <w:t>The standard applies to all adult general medical</w:t>
      </w:r>
      <w:r w:rsidR="000761D6">
        <w:rPr>
          <w:rFonts w:cs="Arial"/>
          <w:snapToGrid w:val="0"/>
          <w:color w:val="000000"/>
        </w:rPr>
        <w:t>, surgical, medical/</w:t>
      </w:r>
      <w:r w:rsidRPr="002F6826">
        <w:rPr>
          <w:rFonts w:cs="Arial"/>
          <w:snapToGrid w:val="0"/>
          <w:color w:val="000000"/>
        </w:rPr>
        <w:t>surgical</w:t>
      </w:r>
      <w:r w:rsidR="00736C1D">
        <w:rPr>
          <w:rFonts w:cs="Arial"/>
          <w:snapToGrid w:val="0"/>
          <w:color w:val="000000"/>
        </w:rPr>
        <w:t>,</w:t>
      </w:r>
      <w:r w:rsidRPr="002F6826">
        <w:rPr>
          <w:rFonts w:cs="Arial"/>
          <w:snapToGrid w:val="0"/>
          <w:color w:val="000000"/>
        </w:rPr>
        <w:t xml:space="preserve"> and neuro critical care patients (medical and surgical), including those patients in mixed acuity units.</w:t>
      </w:r>
    </w:p>
    <w:p w14:paraId="439BFE64" w14:textId="77777777" w:rsidR="00194A02" w:rsidRPr="001839DB" w:rsidRDefault="00194A02" w:rsidP="002442B8">
      <w:pPr>
        <w:rPr>
          <w:rFonts w:cs="Arial"/>
          <w:snapToGrid w:val="0"/>
          <w:color w:val="000000"/>
        </w:rPr>
      </w:pPr>
    </w:p>
    <w:p w14:paraId="5269BD2C" w14:textId="30BB3539" w:rsidR="008B5F08" w:rsidRDefault="00867A75" w:rsidP="00194A02">
      <w:pPr>
        <w:rPr>
          <w:rFonts w:cs="Arial"/>
          <w:lang w:eastAsia="ja-JP"/>
        </w:rPr>
      </w:pPr>
      <w:r w:rsidRPr="00867A75">
        <w:rPr>
          <w:rFonts w:cs="Arial"/>
          <w:noProof/>
          <w:lang w:eastAsia="ja-JP"/>
        </w:rPr>
        <mc:AlternateContent>
          <mc:Choice Requires="wps">
            <w:drawing>
              <wp:inline distT="0" distB="0" distL="0" distR="0" wp14:anchorId="3FA8B3F2" wp14:editId="0B16132D">
                <wp:extent cx="5987332" cy="1381125"/>
                <wp:effectExtent l="0" t="0" r="13970" b="28575"/>
                <wp:docPr id="39" name="Text Box 39" descr="P7265TB21#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7332" cy="1381125"/>
                        </a:xfrm>
                        <a:prstGeom prst="rect">
                          <a:avLst/>
                        </a:prstGeom>
                        <a:solidFill>
                          <a:srgbClr val="FFFFFF"/>
                        </a:solidFill>
                        <a:ln w="9525">
                          <a:solidFill>
                            <a:srgbClr val="FF0000"/>
                          </a:solidFill>
                          <a:miter lim="800000"/>
                          <a:headEnd/>
                          <a:tailEnd/>
                        </a:ln>
                      </wps:spPr>
                      <wps:txbx>
                        <w:txbxContent>
                          <w:p w14:paraId="37E61A16" w14:textId="4186E87A" w:rsidR="00867A75" w:rsidRDefault="00867A75" w:rsidP="00867A75">
                            <w:pPr>
                              <w:pStyle w:val="Header"/>
                              <w:tabs>
                                <w:tab w:val="clear" w:pos="4320"/>
                                <w:tab w:val="clear" w:pos="8640"/>
                              </w:tabs>
                              <w:spacing w:before="40"/>
                              <w:rPr>
                                <w:rFonts w:cs="Arial"/>
                                <w:b/>
                              </w:rPr>
                            </w:pPr>
                            <w:r w:rsidRPr="009A5185">
                              <w:rPr>
                                <w:rFonts w:cs="Arial"/>
                                <w:b/>
                              </w:rPr>
                              <w:t xml:space="preserve">Reporting Period: </w:t>
                            </w:r>
                            <w:r>
                              <w:rPr>
                                <w:rFonts w:cs="Arial"/>
                                <w:b/>
                              </w:rPr>
                              <w:t>3 months</w:t>
                            </w:r>
                          </w:p>
                          <w:p w14:paraId="11838567" w14:textId="77777777" w:rsidR="00867A75" w:rsidRDefault="00867A75" w:rsidP="00867A75">
                            <w:pPr>
                              <w:pStyle w:val="Header"/>
                              <w:tabs>
                                <w:tab w:val="clear" w:pos="4320"/>
                                <w:tab w:val="clear" w:pos="8640"/>
                              </w:tabs>
                              <w:spacing w:before="40"/>
                              <w:rPr>
                                <w:rFonts w:cs="Arial"/>
                              </w:rPr>
                            </w:pPr>
                            <w:r w:rsidRPr="009A5185">
                              <w:rPr>
                                <w:rFonts w:cs="Arial"/>
                              </w:rPr>
                              <w:t>Answer questions #1-1</w:t>
                            </w:r>
                            <w:r>
                              <w:rPr>
                                <w:rFonts w:cs="Arial"/>
                              </w:rPr>
                              <w:t>5</w:t>
                            </w:r>
                            <w:r w:rsidRPr="009A5185">
                              <w:rPr>
                                <w:rFonts w:cs="Arial"/>
                              </w:rPr>
                              <w:t xml:space="preserve"> based on the staffing structure currently in place at the time that you submit this section of the Survey. The staffing structure should have been in place for at least the past 3 months and reflect the ordinary staffing structure for each applicable ICU.</w:t>
                            </w:r>
                          </w:p>
                          <w:p w14:paraId="7DA177DD" w14:textId="77777777" w:rsidR="00867A75" w:rsidRPr="001839DB" w:rsidRDefault="00867A75" w:rsidP="00867A75">
                            <w:pPr>
                              <w:pStyle w:val="Header"/>
                              <w:tabs>
                                <w:tab w:val="clear" w:pos="4320"/>
                                <w:tab w:val="clear" w:pos="8640"/>
                              </w:tabs>
                              <w:spacing w:before="40"/>
                              <w:rPr>
                                <w:rFonts w:cs="Arial"/>
                                <w:b/>
                              </w:rPr>
                            </w:pPr>
                          </w:p>
                          <w:p w14:paraId="25172680" w14:textId="5400E610" w:rsidR="00867A75" w:rsidRDefault="00867A75" w:rsidP="00867A75">
                            <w:r w:rsidRPr="006547C0">
                              <w:rPr>
                                <w:rFonts w:cs="Arial"/>
                                <w:sz w:val="16"/>
                                <w:szCs w:val="16"/>
                              </w:rPr>
                              <w:t xml:space="preserve">Note: As a reminder, the </w:t>
                            </w:r>
                            <w:hyperlink r:id="rId324" w:history="1">
                              <w:r w:rsidRPr="006547C0">
                                <w:rPr>
                                  <w:rStyle w:val="Hyperlink"/>
                                  <w:rFonts w:cs="Arial"/>
                                  <w:sz w:val="16"/>
                                  <w:szCs w:val="16"/>
                                </w:rPr>
                                <w:t>Corrections Period</w:t>
                              </w:r>
                            </w:hyperlink>
                            <w:r w:rsidRPr="006547C0">
                              <w:rPr>
                                <w:rFonts w:cs="Arial"/>
                                <w:sz w:val="16"/>
                                <w:szCs w:val="16"/>
                              </w:rPr>
                              <w:t xml:space="preserve"> </w:t>
                            </w:r>
                            <w:r w:rsidRPr="00E65E68">
                              <w:rPr>
                                <w:rFonts w:cs="Arial"/>
                                <w:sz w:val="16"/>
                                <w:szCs w:val="16"/>
                              </w:rPr>
                              <w:t>(</w:t>
                            </w:r>
                            <w:r>
                              <w:rPr>
                                <w:rFonts w:cs="Arial"/>
                                <w:sz w:val="16"/>
                                <w:szCs w:val="16"/>
                              </w:rPr>
                              <w:t>December</w:t>
                            </w:r>
                            <w:r w:rsidRPr="00E65E68">
                              <w:rPr>
                                <w:rFonts w:cs="Arial"/>
                                <w:sz w:val="16"/>
                                <w:szCs w:val="16"/>
                              </w:rPr>
                              <w:t xml:space="preserve"> 1-January 31) is reserved for corrections to previously submitted Surveys only. </w:t>
                            </w:r>
                            <w:r w:rsidRPr="00E65E68">
                              <w:rPr>
                                <w:rFonts w:cs="Arial"/>
                                <w:bCs/>
                                <w:snapToGrid w:val="0"/>
                                <w:sz w:val="16"/>
                                <w:szCs w:val="16"/>
                              </w:rPr>
                              <w:t xml:space="preserve">Any updates made to reflect a change in performance must be made prior to the </w:t>
                            </w:r>
                            <w:r>
                              <w:rPr>
                                <w:rFonts w:cs="Arial"/>
                                <w:bCs/>
                                <w:snapToGrid w:val="0"/>
                                <w:sz w:val="16"/>
                                <w:szCs w:val="16"/>
                              </w:rPr>
                              <w:t>November 30</w:t>
                            </w:r>
                            <w:r w:rsidRPr="00E65E68">
                              <w:rPr>
                                <w:rFonts w:cs="Arial"/>
                                <w:bCs/>
                                <w:snapToGrid w:val="0"/>
                                <w:sz w:val="16"/>
                                <w:szCs w:val="16"/>
                              </w:rPr>
                              <w:t xml:space="preserve"> Late Submission </w:t>
                            </w:r>
                            <w:r w:rsidRPr="00AE38C7">
                              <w:rPr>
                                <w:rFonts w:cs="Arial"/>
                                <w:bCs/>
                                <w:snapToGrid w:val="0"/>
                                <w:sz w:val="16"/>
                                <w:szCs w:val="16"/>
                              </w:rPr>
                              <w:t>and Performance Update</w:t>
                            </w:r>
                            <w:r>
                              <w:rPr>
                                <w:rFonts w:cs="Arial"/>
                                <w:bCs/>
                                <w:snapToGrid w:val="0"/>
                                <w:sz w:val="16"/>
                                <w:szCs w:val="16"/>
                              </w:rPr>
                              <w:t xml:space="preserve"> </w:t>
                            </w:r>
                            <w:r w:rsidRPr="00E65E68">
                              <w:rPr>
                                <w:rFonts w:cs="Arial"/>
                                <w:bCs/>
                                <w:snapToGrid w:val="0"/>
                                <w:sz w:val="16"/>
                                <w:szCs w:val="16"/>
                              </w:rPr>
                              <w:t xml:space="preserve">Deadline. Updates made to reflect a change in performance after </w:t>
                            </w:r>
                            <w:r>
                              <w:rPr>
                                <w:rFonts w:cs="Arial"/>
                                <w:bCs/>
                                <w:snapToGrid w:val="0"/>
                                <w:sz w:val="16"/>
                                <w:szCs w:val="16"/>
                              </w:rPr>
                              <w:t>November 30</w:t>
                            </w:r>
                            <w:r w:rsidRPr="00E65E68">
                              <w:rPr>
                                <w:rFonts w:cs="Arial"/>
                                <w:bCs/>
                                <w:snapToGrid w:val="0"/>
                                <w:sz w:val="16"/>
                                <w:szCs w:val="16"/>
                              </w:rPr>
                              <w:t xml:space="preserve"> will not be scored or publicly reported.</w:t>
                            </w:r>
                          </w:p>
                        </w:txbxContent>
                      </wps:txbx>
                      <wps:bodyPr rot="0" vert="horz" wrap="square" lIns="91440" tIns="45720" rIns="91440" bIns="45720" anchor="t" anchorCtr="0">
                        <a:noAutofit/>
                      </wps:bodyPr>
                    </wps:wsp>
                  </a:graphicData>
                </a:graphic>
              </wp:inline>
            </w:drawing>
          </mc:Choice>
          <mc:Fallback>
            <w:pict>
              <v:shape w14:anchorId="3FA8B3F2" id="Text Box 39" o:spid="_x0000_s1048" type="#_x0000_t202" alt="P7265TB21#y1" style="width:471.45pt;height:108.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" strokecolor="red">
                <v:textbox>
                  <w:txbxContent>
                    <w:p w14:paraId="37E61A16" w14:textId="4186E87A" w:rsidR="00867A75" w:rsidRDefault="00867A75" w:rsidP="00867A75">
                      <w:pPr>
                        <w:pStyle w:val="Header"/>
                        <w:tabs>
                          <w:tab w:val="clear" w:pos="4320"/>
                          <w:tab w:val="clear" w:pos="8640"/>
                        </w:tabs>
                        <w:spacing w:before="40"/>
                        <w:rPr>
                          <w:rFonts w:cs="Arial"/>
                          <w:b/>
                        </w:rPr>
                      </w:pPr>
                      <w:r w:rsidRPr="009A5185">
                        <w:rPr>
                          <w:rFonts w:cs="Arial"/>
                          <w:b/>
                        </w:rPr>
                        <w:t xml:space="preserve">Reporting Period: </w:t>
                      </w:r>
                      <w:r>
                        <w:rPr>
                          <w:rFonts w:cs="Arial"/>
                          <w:b/>
                        </w:rPr>
                        <w:t>3 months</w:t>
                      </w:r>
                    </w:p>
                    <w:p w14:paraId="11838567" w14:textId="77777777" w:rsidR="00867A75" w:rsidRDefault="00867A75" w:rsidP="00867A75">
                      <w:pPr>
                        <w:pStyle w:val="Header"/>
                        <w:tabs>
                          <w:tab w:val="clear" w:pos="4320"/>
                          <w:tab w:val="clear" w:pos="8640"/>
                        </w:tabs>
                        <w:spacing w:before="40"/>
                        <w:rPr>
                          <w:rFonts w:cs="Arial"/>
                        </w:rPr>
                      </w:pPr>
                      <w:r w:rsidRPr="009A5185">
                        <w:rPr>
                          <w:rFonts w:cs="Arial"/>
                        </w:rPr>
                        <w:t>Answer questions #1-1</w:t>
                      </w:r>
                      <w:r>
                        <w:rPr>
                          <w:rFonts w:cs="Arial"/>
                        </w:rPr>
                        <w:t>5</w:t>
                      </w:r>
                      <w:r w:rsidRPr="009A5185">
                        <w:rPr>
                          <w:rFonts w:cs="Arial"/>
                        </w:rPr>
                        <w:t xml:space="preserve"> based on the staffing structure currently in place at the time that you submit this section of the Survey. The staffing structure should have been in place for at least the past 3 months and reflect the ordinary staffing structure for each applicable ICU.</w:t>
                      </w:r>
                    </w:p>
                    <w:p w14:paraId="7DA177DD" w14:textId="77777777" w:rsidR="00867A75" w:rsidRPr="001839DB" w:rsidRDefault="00867A75" w:rsidP="00867A75">
                      <w:pPr>
                        <w:pStyle w:val="Header"/>
                        <w:tabs>
                          <w:tab w:val="clear" w:pos="4320"/>
                          <w:tab w:val="clear" w:pos="8640"/>
                        </w:tabs>
                        <w:spacing w:before="40"/>
                        <w:rPr>
                          <w:rFonts w:cs="Arial"/>
                          <w:b/>
                        </w:rPr>
                      </w:pPr>
                    </w:p>
                    <w:p w14:paraId="25172680" w14:textId="5400E610" w:rsidR="00867A75" w:rsidRDefault="00867A75" w:rsidP="00867A75">
                      <w:r w:rsidRPr="006547C0">
                        <w:rPr>
                          <w:rFonts w:cs="Arial"/>
                          <w:sz w:val="16"/>
                          <w:szCs w:val="16"/>
                        </w:rPr>
                        <w:t xml:space="preserve">Note: As a reminder, the </w:t>
                      </w:r>
                      <w:hyperlink r:id="rId325" w:history="1">
                        <w:r w:rsidRPr="006547C0">
                          <w:rPr>
                            <w:rStyle w:val="Hyperlink"/>
                            <w:rFonts w:cs="Arial"/>
                            <w:sz w:val="16"/>
                            <w:szCs w:val="16"/>
                          </w:rPr>
                          <w:t>Corrections Period</w:t>
                        </w:r>
                      </w:hyperlink>
                      <w:r w:rsidRPr="006547C0">
                        <w:rPr>
                          <w:rFonts w:cs="Arial"/>
                          <w:sz w:val="16"/>
                          <w:szCs w:val="16"/>
                        </w:rPr>
                        <w:t xml:space="preserve"> </w:t>
                      </w:r>
                      <w:r w:rsidRPr="00E65E68">
                        <w:rPr>
                          <w:rFonts w:cs="Arial"/>
                          <w:sz w:val="16"/>
                          <w:szCs w:val="16"/>
                        </w:rPr>
                        <w:t>(</w:t>
                      </w:r>
                      <w:r>
                        <w:rPr>
                          <w:rFonts w:cs="Arial"/>
                          <w:sz w:val="16"/>
                          <w:szCs w:val="16"/>
                        </w:rPr>
                        <w:t>December</w:t>
                      </w:r>
                      <w:r w:rsidRPr="00E65E68">
                        <w:rPr>
                          <w:rFonts w:cs="Arial"/>
                          <w:sz w:val="16"/>
                          <w:szCs w:val="16"/>
                        </w:rPr>
                        <w:t xml:space="preserve"> 1-January 31) is reserved for corrections to previously submitted Surveys only. </w:t>
                      </w:r>
                      <w:r w:rsidRPr="00E65E68">
                        <w:rPr>
                          <w:rFonts w:cs="Arial"/>
                          <w:bCs/>
                          <w:snapToGrid w:val="0"/>
                          <w:sz w:val="16"/>
                          <w:szCs w:val="16"/>
                        </w:rPr>
                        <w:t xml:space="preserve">Any updates made to reflect a change in performance must be made prior to the </w:t>
                      </w:r>
                      <w:r>
                        <w:rPr>
                          <w:rFonts w:cs="Arial"/>
                          <w:bCs/>
                          <w:snapToGrid w:val="0"/>
                          <w:sz w:val="16"/>
                          <w:szCs w:val="16"/>
                        </w:rPr>
                        <w:t>November 30</w:t>
                      </w:r>
                      <w:r w:rsidRPr="00E65E68">
                        <w:rPr>
                          <w:rFonts w:cs="Arial"/>
                          <w:bCs/>
                          <w:snapToGrid w:val="0"/>
                          <w:sz w:val="16"/>
                          <w:szCs w:val="16"/>
                        </w:rPr>
                        <w:t xml:space="preserve"> Late Submission </w:t>
                      </w:r>
                      <w:r w:rsidRPr="00AE38C7">
                        <w:rPr>
                          <w:rFonts w:cs="Arial"/>
                          <w:bCs/>
                          <w:snapToGrid w:val="0"/>
                          <w:sz w:val="16"/>
                          <w:szCs w:val="16"/>
                        </w:rPr>
                        <w:t>and Performance Update</w:t>
                      </w:r>
                      <w:r>
                        <w:rPr>
                          <w:rFonts w:cs="Arial"/>
                          <w:bCs/>
                          <w:snapToGrid w:val="0"/>
                          <w:sz w:val="16"/>
                          <w:szCs w:val="16"/>
                        </w:rPr>
                        <w:t xml:space="preserve"> </w:t>
                      </w:r>
                      <w:r w:rsidRPr="00E65E68">
                        <w:rPr>
                          <w:rFonts w:cs="Arial"/>
                          <w:bCs/>
                          <w:snapToGrid w:val="0"/>
                          <w:sz w:val="16"/>
                          <w:szCs w:val="16"/>
                        </w:rPr>
                        <w:t xml:space="preserve">Deadline. Updates made to reflect a change in performance after </w:t>
                      </w:r>
                      <w:r>
                        <w:rPr>
                          <w:rFonts w:cs="Arial"/>
                          <w:bCs/>
                          <w:snapToGrid w:val="0"/>
                          <w:sz w:val="16"/>
                          <w:szCs w:val="16"/>
                        </w:rPr>
                        <w:t>November 30</w:t>
                      </w:r>
                      <w:r w:rsidRPr="00E65E68">
                        <w:rPr>
                          <w:rFonts w:cs="Arial"/>
                          <w:bCs/>
                          <w:snapToGrid w:val="0"/>
                          <w:sz w:val="16"/>
                          <w:szCs w:val="16"/>
                        </w:rPr>
                        <w:t xml:space="preserve"> will not be scored or publicly reported.</w:t>
                      </w:r>
                    </w:p>
                  </w:txbxContent>
                </v:textbox>
                <w10:anchorlock/>
              </v:shape>
            </w:pict>
          </mc:Fallback>
        </mc:AlternateContent>
      </w:r>
    </w:p>
    <w:p w14:paraId="55736C22" w14:textId="77777777" w:rsidR="00194A02" w:rsidRPr="001839DB" w:rsidRDefault="00194A02" w:rsidP="00194A02">
      <w:pPr>
        <w:rPr>
          <w:rFonts w:cs="Arial"/>
          <w:lang w:eastAsia="ja-JP"/>
        </w:rPr>
      </w:pP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25"/>
        <w:gridCol w:w="3035"/>
      </w:tblGrid>
      <w:tr w:rsidR="00940EA2" w:rsidRPr="009A5185" w14:paraId="4B57EB82" w14:textId="77777777" w:rsidTr="001839DB">
        <w:trPr>
          <w:trHeight w:val="20"/>
          <w:jc w:val="center"/>
        </w:trPr>
        <w:tc>
          <w:tcPr>
            <w:tcW w:w="6325" w:type="dxa"/>
            <w:vAlign w:val="center"/>
          </w:tcPr>
          <w:p w14:paraId="3D8B0FA9" w14:textId="465416E0" w:rsidR="006F3235" w:rsidRPr="006F3235" w:rsidRDefault="00940EA2" w:rsidP="00AD309C">
            <w:pPr>
              <w:numPr>
                <w:ilvl w:val="0"/>
                <w:numId w:val="31"/>
              </w:numPr>
              <w:spacing w:before="120" w:after="120"/>
              <w:rPr>
                <w:rFonts w:cs="Arial"/>
              </w:rPr>
            </w:pPr>
            <w:r w:rsidRPr="009A5185">
              <w:rPr>
                <w:rFonts w:cs="Arial"/>
              </w:rPr>
              <w:t>W</w:t>
            </w:r>
            <w:r w:rsidRPr="009A5185">
              <w:rPr>
                <w:rFonts w:cs="Arial"/>
                <w:snapToGrid w:val="0"/>
                <w:color w:val="000000"/>
              </w:rPr>
              <w:t>hat is the latest 3-month reporting period for which your hospital is submitting responses to this section? 3 months ending:</w:t>
            </w:r>
          </w:p>
        </w:tc>
        <w:tc>
          <w:tcPr>
            <w:tcW w:w="3035" w:type="dxa"/>
            <w:vAlign w:val="center"/>
          </w:tcPr>
          <w:p w14:paraId="1AE49599" w14:textId="77777777" w:rsidR="00940EA2" w:rsidRPr="009A5185" w:rsidRDefault="00940EA2" w:rsidP="00AE21E5">
            <w:pPr>
              <w:jc w:val="center"/>
              <w:rPr>
                <w:rFonts w:cs="Arial"/>
                <w:i/>
                <w:snapToGrid w:val="0"/>
              </w:rPr>
            </w:pPr>
            <w:r w:rsidRPr="009A5185">
              <w:rPr>
                <w:rFonts w:cs="Arial"/>
                <w:i/>
                <w:snapToGrid w:val="0"/>
              </w:rPr>
              <w:t>______</w:t>
            </w:r>
          </w:p>
          <w:p w14:paraId="4E4BC1D5" w14:textId="654F7A4A" w:rsidR="00940EA2" w:rsidRPr="009A5185" w:rsidRDefault="008F33BA" w:rsidP="00AE21E5">
            <w:pPr>
              <w:jc w:val="center"/>
              <w:rPr>
                <w:rFonts w:cs="Arial"/>
                <w:i/>
                <w:snapToGrid w:val="0"/>
                <w:sz w:val="16"/>
                <w:szCs w:val="16"/>
              </w:rPr>
            </w:pPr>
            <w:r w:rsidRPr="009A5185">
              <w:rPr>
                <w:rFonts w:cs="Arial"/>
                <w:i/>
                <w:snapToGrid w:val="0"/>
                <w:sz w:val="16"/>
                <w:szCs w:val="16"/>
              </w:rPr>
              <w:t xml:space="preserve">Format: </w:t>
            </w:r>
            <w:r w:rsidR="00940EA2" w:rsidRPr="009A5185">
              <w:rPr>
                <w:rFonts w:cs="Arial"/>
                <w:i/>
                <w:snapToGrid w:val="0"/>
                <w:sz w:val="16"/>
                <w:szCs w:val="16"/>
              </w:rPr>
              <w:t>M</w:t>
            </w:r>
            <w:r w:rsidR="00971518">
              <w:rPr>
                <w:rFonts w:cs="Arial"/>
                <w:i/>
                <w:snapToGrid w:val="0"/>
                <w:sz w:val="16"/>
                <w:szCs w:val="16"/>
              </w:rPr>
              <w:t>on</w:t>
            </w:r>
            <w:r w:rsidR="0074456F">
              <w:rPr>
                <w:rFonts w:cs="Arial"/>
                <w:i/>
                <w:snapToGrid w:val="0"/>
                <w:sz w:val="16"/>
                <w:szCs w:val="16"/>
              </w:rPr>
              <w:t>th</w:t>
            </w:r>
            <w:r w:rsidR="00940EA2" w:rsidRPr="009A5185">
              <w:rPr>
                <w:rFonts w:cs="Arial"/>
                <w:i/>
                <w:snapToGrid w:val="0"/>
                <w:sz w:val="16"/>
                <w:szCs w:val="16"/>
              </w:rPr>
              <w:t>/Y</w:t>
            </w:r>
            <w:r w:rsidR="0074456F">
              <w:rPr>
                <w:rFonts w:cs="Arial"/>
                <w:i/>
                <w:snapToGrid w:val="0"/>
                <w:sz w:val="16"/>
                <w:szCs w:val="16"/>
              </w:rPr>
              <w:t>ear</w:t>
            </w:r>
          </w:p>
        </w:tc>
      </w:tr>
      <w:tr w:rsidR="008910AA" w:rsidRPr="009A5185" w14:paraId="3371EB40" w14:textId="77777777" w:rsidTr="001839DB">
        <w:trPr>
          <w:trHeight w:val="3744"/>
          <w:jc w:val="center"/>
        </w:trPr>
        <w:tc>
          <w:tcPr>
            <w:tcW w:w="6325" w:type="dxa"/>
            <w:vAlign w:val="center"/>
          </w:tcPr>
          <w:p w14:paraId="041D191F" w14:textId="05E58AF8" w:rsidR="004C4560" w:rsidRPr="004C4560" w:rsidRDefault="008910AA" w:rsidP="00AD309C">
            <w:pPr>
              <w:numPr>
                <w:ilvl w:val="0"/>
                <w:numId w:val="31"/>
              </w:numPr>
              <w:rPr>
                <w:rFonts w:cs="Arial"/>
              </w:rPr>
            </w:pPr>
            <w:r w:rsidRPr="009A5185">
              <w:rPr>
                <w:rFonts w:cs="Arial"/>
              </w:rPr>
              <w:t>Does your hospital operate any</w:t>
            </w:r>
            <w:r w:rsidR="003B2B0E">
              <w:rPr>
                <w:rFonts w:cs="Arial"/>
              </w:rPr>
              <w:t xml:space="preserve"> adult</w:t>
            </w:r>
            <w:r w:rsidRPr="009A5185">
              <w:rPr>
                <w:rFonts w:cs="Arial"/>
              </w:rPr>
              <w:t xml:space="preserve"> </w:t>
            </w:r>
            <w:hyperlink w:anchor="generalmedicalsurgicalandneuroicu" w:history="1">
              <w:r w:rsidR="007C624A">
                <w:rPr>
                  <w:rStyle w:val="Hyperlink"/>
                  <w:rFonts w:cs="Arial"/>
                </w:rPr>
                <w:t>G</w:t>
              </w:r>
              <w:r w:rsidR="007C624A" w:rsidRPr="009A5185">
                <w:rPr>
                  <w:rStyle w:val="Hyperlink"/>
                  <w:rFonts w:cs="Arial"/>
                </w:rPr>
                <w:t xml:space="preserve">eneral </w:t>
              </w:r>
              <w:r w:rsidR="007C624A">
                <w:rPr>
                  <w:rStyle w:val="Hyperlink"/>
                  <w:rFonts w:cs="Arial"/>
                </w:rPr>
                <w:t>M</w:t>
              </w:r>
              <w:r w:rsidR="007C624A" w:rsidRPr="009A5185">
                <w:rPr>
                  <w:rStyle w:val="Hyperlink"/>
                  <w:rFonts w:cs="Arial"/>
                </w:rPr>
                <w:t>edical</w:t>
              </w:r>
              <w:r w:rsidR="00EE2407">
                <w:rPr>
                  <w:rStyle w:val="Hyperlink"/>
                  <w:rFonts w:cs="Arial"/>
                </w:rPr>
                <w:t xml:space="preserve">, </w:t>
              </w:r>
              <w:r w:rsidR="007C624A">
                <w:rPr>
                  <w:rStyle w:val="Hyperlink"/>
                  <w:rFonts w:cs="Arial"/>
                </w:rPr>
                <w:t>S</w:t>
              </w:r>
              <w:r w:rsidR="007C624A" w:rsidRPr="009A5185">
                <w:rPr>
                  <w:rStyle w:val="Hyperlink"/>
                  <w:rFonts w:cs="Arial"/>
                </w:rPr>
                <w:t>urgical</w:t>
              </w:r>
              <w:r w:rsidR="00EE2407">
                <w:rPr>
                  <w:rStyle w:val="Hyperlink"/>
                  <w:rFonts w:cs="Arial"/>
                </w:rPr>
                <w:t xml:space="preserve">, Medical/Surgical, </w:t>
              </w:r>
              <w:r w:rsidR="00482B41">
                <w:rPr>
                  <w:rStyle w:val="Hyperlink"/>
                  <w:rFonts w:cs="Arial"/>
                </w:rPr>
                <w:t>or</w:t>
              </w:r>
              <w:r w:rsidR="007C624A" w:rsidRPr="009A5185">
                <w:rPr>
                  <w:rStyle w:val="Hyperlink"/>
                  <w:rFonts w:cs="Arial"/>
                </w:rPr>
                <w:t xml:space="preserve"> </w:t>
              </w:r>
              <w:r w:rsidR="007C624A">
                <w:rPr>
                  <w:rStyle w:val="Hyperlink"/>
                  <w:rFonts w:cs="Arial"/>
                </w:rPr>
                <w:t>N</w:t>
              </w:r>
              <w:r w:rsidR="007C624A" w:rsidRPr="009A5185">
                <w:rPr>
                  <w:rStyle w:val="Hyperlink"/>
                  <w:rFonts w:cs="Arial"/>
                </w:rPr>
                <w:t>euro ICUs</w:t>
              </w:r>
            </w:hyperlink>
            <w:r w:rsidR="007C624A" w:rsidRPr="00B93A35">
              <w:rPr>
                <w:rStyle w:val="Hyperlink"/>
                <w:rFonts w:cs="Arial"/>
                <w:color w:val="auto"/>
                <w:u w:val="none"/>
                <w:vertAlign w:val="superscript"/>
              </w:rPr>
              <w:t>14</w:t>
            </w:r>
            <w:r w:rsidR="003B3391" w:rsidRPr="003B3391">
              <w:rPr>
                <w:rStyle w:val="Hyperlink"/>
                <w:rFonts w:cs="Arial"/>
                <w:color w:val="auto"/>
                <w:u w:val="none"/>
              </w:rPr>
              <w:t>?</w:t>
            </w:r>
            <w:r w:rsidR="00221696">
              <w:rPr>
                <w:rFonts w:cs="Arial"/>
              </w:rPr>
              <w:br/>
            </w:r>
            <w:r w:rsidR="00221696">
              <w:rPr>
                <w:rFonts w:cs="Arial"/>
              </w:rPr>
              <w:br/>
            </w:r>
            <w:r w:rsidR="0070116C">
              <w:rPr>
                <w:rFonts w:cs="Arial"/>
                <w:i/>
              </w:rPr>
              <w:t xml:space="preserve">If your hospital has more than one </w:t>
            </w:r>
            <w:r w:rsidR="00A06BB7">
              <w:rPr>
                <w:rFonts w:cs="Arial"/>
                <w:i/>
              </w:rPr>
              <w:t xml:space="preserve">applicable </w:t>
            </w:r>
            <w:r w:rsidR="00666822">
              <w:rPr>
                <w:rFonts w:cs="Arial"/>
                <w:i/>
              </w:rPr>
              <w:t xml:space="preserve">adult </w:t>
            </w:r>
            <w:r w:rsidR="0070116C">
              <w:rPr>
                <w:rFonts w:cs="Arial"/>
                <w:i/>
              </w:rPr>
              <w:t xml:space="preserve">ICU, </w:t>
            </w:r>
            <w:r w:rsidR="00CF31C1">
              <w:rPr>
                <w:rFonts w:cs="Arial"/>
                <w:i/>
              </w:rPr>
              <w:t xml:space="preserve">respond to </w:t>
            </w:r>
            <w:r w:rsidR="0070116C">
              <w:rPr>
                <w:rFonts w:cs="Arial"/>
                <w:i/>
              </w:rPr>
              <w:t xml:space="preserve">all questions </w:t>
            </w:r>
            <w:r w:rsidR="005F62F0">
              <w:rPr>
                <w:rFonts w:cs="Arial"/>
                <w:i/>
              </w:rPr>
              <w:t>in this</w:t>
            </w:r>
            <w:r w:rsidR="0070116C">
              <w:rPr>
                <w:rFonts w:cs="Arial"/>
                <w:i/>
              </w:rPr>
              <w:t xml:space="preserve"> section based on the </w:t>
            </w:r>
            <w:r w:rsidR="00666822">
              <w:rPr>
                <w:rFonts w:cs="Arial"/>
                <w:i/>
              </w:rPr>
              <w:t xml:space="preserve">adult </w:t>
            </w:r>
            <w:r w:rsidR="0070116C">
              <w:rPr>
                <w:rFonts w:cs="Arial"/>
                <w:i/>
              </w:rPr>
              <w:t xml:space="preserve">ICU that has the </w:t>
            </w:r>
            <w:r w:rsidR="00B54EF7">
              <w:rPr>
                <w:rFonts w:cs="Arial"/>
                <w:i/>
              </w:rPr>
              <w:t xml:space="preserve">lowest level of staffing by physicians certified in critical care medicine </w:t>
            </w:r>
            <w:r w:rsidR="0070116C">
              <w:rPr>
                <w:rFonts w:cs="Arial"/>
                <w:i/>
              </w:rPr>
              <w:t>(</w:t>
            </w:r>
            <w:hyperlink w:anchor="generalmedicalsurgicalandneuroicu" w:history="1">
              <w:r w:rsidR="0070116C" w:rsidRPr="00F85627">
                <w:rPr>
                  <w:rStyle w:val="Hyperlink"/>
                  <w:rFonts w:cs="Arial"/>
                  <w:i/>
                </w:rPr>
                <w:t>More Informatio</w:t>
              </w:r>
              <w:r w:rsidR="00F85627" w:rsidRPr="00F85627">
                <w:rPr>
                  <w:rStyle w:val="Hyperlink"/>
                  <w:rFonts w:cs="Arial"/>
                  <w:i/>
                </w:rPr>
                <w:t>n</w:t>
              </w:r>
            </w:hyperlink>
            <w:r w:rsidR="00A87525" w:rsidRPr="00C841D1">
              <w:rPr>
                <w:rFonts w:cs="Arial"/>
                <w:i/>
                <w:vertAlign w:val="superscript"/>
              </w:rPr>
              <w:t>14</w:t>
            </w:r>
            <w:r w:rsidR="00C841D1">
              <w:rPr>
                <w:rFonts w:cs="Arial"/>
                <w:i/>
                <w:vertAlign w:val="superscript"/>
              </w:rPr>
              <w:t>)</w:t>
            </w:r>
            <w:r w:rsidR="0070116C">
              <w:rPr>
                <w:rFonts w:cs="Arial"/>
                <w:i/>
              </w:rPr>
              <w:t>.</w:t>
            </w:r>
            <w:r w:rsidR="004C4560">
              <w:rPr>
                <w:rFonts w:cs="Arial"/>
              </w:rPr>
              <w:br/>
            </w:r>
            <w:r w:rsidR="004C4560">
              <w:rPr>
                <w:rFonts w:cs="Arial"/>
              </w:rPr>
              <w:br/>
            </w:r>
            <w:r w:rsidR="004C4560">
              <w:rPr>
                <w:rFonts w:cs="Arial"/>
                <w:i/>
                <w:iCs/>
              </w:rPr>
              <w:t xml:space="preserve">If your hospital does not operate an </w:t>
            </w:r>
            <w:r w:rsidR="00E542EA">
              <w:rPr>
                <w:rFonts w:cs="Arial"/>
                <w:i/>
                <w:iCs/>
              </w:rPr>
              <w:t xml:space="preserve">applicable </w:t>
            </w:r>
            <w:r w:rsidR="00666822">
              <w:rPr>
                <w:rFonts w:cs="Arial"/>
                <w:i/>
                <w:iCs/>
              </w:rPr>
              <w:t xml:space="preserve">adult </w:t>
            </w:r>
            <w:r w:rsidR="004C4560">
              <w:rPr>
                <w:rFonts w:cs="Arial"/>
                <w:i/>
                <w:iCs/>
              </w:rPr>
              <w:t xml:space="preserve">ICU but regularly admits </w:t>
            </w:r>
            <w:r w:rsidR="00666822">
              <w:rPr>
                <w:rFonts w:cs="Arial"/>
                <w:i/>
                <w:iCs/>
              </w:rPr>
              <w:t xml:space="preserve">adult </w:t>
            </w:r>
            <w:r w:rsidR="004C4560">
              <w:rPr>
                <w:rFonts w:cs="Arial"/>
                <w:i/>
                <w:iCs/>
              </w:rPr>
              <w:t>critical care patients to</w:t>
            </w:r>
            <w:r w:rsidR="00FF3158">
              <w:rPr>
                <w:rFonts w:cs="Arial"/>
                <w:i/>
                <w:iCs/>
              </w:rPr>
              <w:t xml:space="preserve"> </w:t>
            </w:r>
            <w:r w:rsidR="004C4560">
              <w:rPr>
                <w:rFonts w:cs="Arial"/>
                <w:i/>
                <w:iCs/>
              </w:rPr>
              <w:t>mixed acuity units, select “</w:t>
            </w:r>
            <w:r w:rsidR="005F62F0">
              <w:rPr>
                <w:rFonts w:cs="Arial"/>
                <w:i/>
                <w:iCs/>
              </w:rPr>
              <w:t>y</w:t>
            </w:r>
            <w:r w:rsidR="004C4560">
              <w:rPr>
                <w:rFonts w:cs="Arial"/>
                <w:i/>
                <w:iCs/>
              </w:rPr>
              <w:t>es” and respond to the remaining questions in Section 5</w:t>
            </w:r>
            <w:r w:rsidR="00361E28">
              <w:rPr>
                <w:rFonts w:cs="Arial"/>
                <w:i/>
                <w:iCs/>
              </w:rPr>
              <w:t>A</w:t>
            </w:r>
            <w:r w:rsidR="004C4560">
              <w:rPr>
                <w:rFonts w:cs="Arial"/>
                <w:i/>
                <w:iCs/>
              </w:rPr>
              <w:t xml:space="preserve">. </w:t>
            </w:r>
          </w:p>
          <w:p w14:paraId="07BDC448" w14:textId="77777777" w:rsidR="0070116C" w:rsidRPr="0070116C" w:rsidRDefault="0070116C" w:rsidP="0070116C">
            <w:pPr>
              <w:ind w:left="360"/>
              <w:rPr>
                <w:rFonts w:cs="Arial"/>
              </w:rPr>
            </w:pPr>
          </w:p>
          <w:p w14:paraId="29BBCD49" w14:textId="67387668" w:rsidR="006F3235" w:rsidRPr="006F3235" w:rsidRDefault="00221696" w:rsidP="006F3235">
            <w:pPr>
              <w:ind w:left="360"/>
              <w:rPr>
                <w:rFonts w:cs="Arial"/>
                <w:i/>
              </w:rPr>
            </w:pPr>
            <w:r w:rsidRPr="00221696">
              <w:rPr>
                <w:rFonts w:cs="Arial"/>
                <w:i/>
              </w:rPr>
              <w:t>If “no” to question #2, skip the remaining questions in Section 5</w:t>
            </w:r>
            <w:r w:rsidR="004813EF">
              <w:rPr>
                <w:rFonts w:cs="Arial"/>
                <w:i/>
              </w:rPr>
              <w:t>A</w:t>
            </w:r>
            <w:r w:rsidRPr="00221696">
              <w:rPr>
                <w:rFonts w:cs="Arial"/>
                <w:i/>
              </w:rPr>
              <w:t xml:space="preserve"> and </w:t>
            </w:r>
            <w:r w:rsidR="000025FB">
              <w:rPr>
                <w:rFonts w:cs="Arial"/>
                <w:i/>
              </w:rPr>
              <w:t xml:space="preserve">continue </w:t>
            </w:r>
            <w:r w:rsidRPr="00221696">
              <w:rPr>
                <w:rFonts w:cs="Arial"/>
                <w:i/>
              </w:rPr>
              <w:t xml:space="preserve">to </w:t>
            </w:r>
            <w:r w:rsidR="00D61B5D">
              <w:rPr>
                <w:rFonts w:cs="Arial"/>
                <w:i/>
              </w:rPr>
              <w:t>the next subsection</w:t>
            </w:r>
            <w:r w:rsidRPr="00301E2F">
              <w:rPr>
                <w:rFonts w:cs="Arial"/>
                <w:i/>
              </w:rPr>
              <w:t>. The hospital will be scored as “Does Not Apply.”</w:t>
            </w:r>
          </w:p>
        </w:tc>
        <w:tc>
          <w:tcPr>
            <w:tcW w:w="3035" w:type="dxa"/>
            <w:vAlign w:val="center"/>
          </w:tcPr>
          <w:p w14:paraId="24BF3FD7" w14:textId="77777777" w:rsidR="008910AA" w:rsidRPr="000C1F1D" w:rsidRDefault="008910AA" w:rsidP="00AD309C">
            <w:pPr>
              <w:pStyle w:val="ListParagraph"/>
              <w:numPr>
                <w:ilvl w:val="0"/>
                <w:numId w:val="341"/>
              </w:numPr>
              <w:rPr>
                <w:rFonts w:cs="Arial"/>
                <w:iCs/>
              </w:rPr>
            </w:pPr>
            <w:r w:rsidRPr="000C1F1D">
              <w:rPr>
                <w:rFonts w:cs="Arial"/>
                <w:iCs/>
              </w:rPr>
              <w:t>Yes</w:t>
            </w:r>
          </w:p>
          <w:p w14:paraId="5800D82C" w14:textId="77777777" w:rsidR="008910AA" w:rsidRPr="000C1F1D" w:rsidRDefault="008910AA" w:rsidP="00AD309C">
            <w:pPr>
              <w:pStyle w:val="ListParagraph"/>
              <w:numPr>
                <w:ilvl w:val="0"/>
                <w:numId w:val="341"/>
              </w:numPr>
              <w:rPr>
                <w:rFonts w:cs="Arial"/>
                <w:iCs/>
              </w:rPr>
            </w:pPr>
            <w:r w:rsidRPr="000C1F1D">
              <w:rPr>
                <w:rFonts w:cs="Arial"/>
                <w:iCs/>
              </w:rPr>
              <w:t>No</w:t>
            </w:r>
          </w:p>
        </w:tc>
      </w:tr>
      <w:tr w:rsidR="003475DE" w:rsidRPr="009A5185" w14:paraId="0F10D799" w14:textId="77777777" w:rsidTr="001839DB">
        <w:trPr>
          <w:trHeight w:val="1440"/>
          <w:jc w:val="center"/>
        </w:trPr>
        <w:tc>
          <w:tcPr>
            <w:tcW w:w="6325" w:type="dxa"/>
            <w:vAlign w:val="center"/>
          </w:tcPr>
          <w:p w14:paraId="68984875" w14:textId="74D5586E" w:rsidR="003475DE" w:rsidRDefault="003475DE" w:rsidP="00AD309C">
            <w:pPr>
              <w:numPr>
                <w:ilvl w:val="0"/>
                <w:numId w:val="31"/>
              </w:numPr>
              <w:rPr>
                <w:rFonts w:cs="Arial"/>
              </w:rPr>
            </w:pPr>
            <w:r>
              <w:rPr>
                <w:rFonts w:cs="Arial"/>
              </w:rPr>
              <w:t>Is th</w:t>
            </w:r>
            <w:r w:rsidR="009D6CB8">
              <w:rPr>
                <w:rFonts w:cs="Arial"/>
              </w:rPr>
              <w:t>e</w:t>
            </w:r>
            <w:r>
              <w:rPr>
                <w:rFonts w:cs="Arial"/>
              </w:rPr>
              <w:t xml:space="preserve"> ICU staffed with physicians</w:t>
            </w:r>
            <w:r w:rsidRPr="00AA2E10">
              <w:rPr>
                <w:rFonts w:cs="Arial"/>
              </w:rPr>
              <w:t xml:space="preserve"> </w:t>
            </w:r>
            <w:r w:rsidR="009D6CB8">
              <w:rPr>
                <w:rFonts w:cs="Arial"/>
              </w:rPr>
              <w:t xml:space="preserve">who are </w:t>
            </w:r>
            <w:hyperlink w:anchor="Endnote25_Certified" w:history="1">
              <w:r w:rsidRPr="00AA2E10">
                <w:rPr>
                  <w:rStyle w:val="Hyperlink"/>
                  <w:rFonts w:cs="Arial"/>
                </w:rPr>
                <w:t>certified in critical care medicine</w:t>
              </w:r>
            </w:hyperlink>
            <w:r>
              <w:rPr>
                <w:rFonts w:cs="Arial"/>
                <w:vertAlign w:val="superscript"/>
              </w:rPr>
              <w:fldChar w:fldCharType="begin"/>
            </w:r>
            <w:r>
              <w:rPr>
                <w:rStyle w:val="Hyperlink"/>
                <w:rFonts w:cs="Arial"/>
              </w:rPr>
              <w:instrText xml:space="preserve"> NOTEREF _Ref534212273 \f \h </w:instrText>
            </w:r>
            <w:r>
              <w:rPr>
                <w:rFonts w:cs="Arial"/>
                <w:vertAlign w:val="superscript"/>
              </w:rPr>
              <w:instrText xml:space="preserve"> \* MERGEFORMAT </w:instrText>
            </w:r>
            <w:r>
              <w:rPr>
                <w:rFonts w:cs="Arial"/>
                <w:vertAlign w:val="superscript"/>
              </w:rPr>
            </w:r>
            <w:r>
              <w:rPr>
                <w:rFonts w:cs="Arial"/>
                <w:vertAlign w:val="superscript"/>
              </w:rPr>
              <w:fldChar w:fldCharType="separate"/>
            </w:r>
            <w:r w:rsidR="007D53A2" w:rsidRPr="00A012EC">
              <w:rPr>
                <w:rStyle w:val="EndnoteReference"/>
              </w:rPr>
              <w:t>36</w:t>
            </w:r>
            <w:r>
              <w:rPr>
                <w:rFonts w:cs="Arial"/>
                <w:vertAlign w:val="superscript"/>
              </w:rPr>
              <w:fldChar w:fldCharType="end"/>
            </w:r>
            <w:r w:rsidR="009D6CB8">
              <w:rPr>
                <w:rFonts w:cs="Arial"/>
                <w:vertAlign w:val="superscript"/>
              </w:rPr>
              <w:t xml:space="preserve"> </w:t>
            </w:r>
            <w:r w:rsidR="009D6CB8">
              <w:rPr>
                <w:rFonts w:cs="Arial"/>
              </w:rPr>
              <w:t xml:space="preserve">and </w:t>
            </w:r>
            <w:r w:rsidRPr="00AA2E10">
              <w:rPr>
                <w:rFonts w:cs="Arial"/>
              </w:rPr>
              <w:t>present on-site or via telemedicine</w:t>
            </w:r>
            <w:r>
              <w:rPr>
                <w:rFonts w:cs="Arial"/>
              </w:rPr>
              <w:t>?</w:t>
            </w:r>
          </w:p>
          <w:p w14:paraId="3520A013" w14:textId="77777777" w:rsidR="003475DE" w:rsidRDefault="003475DE" w:rsidP="00F233E6">
            <w:pPr>
              <w:ind w:left="360"/>
              <w:rPr>
                <w:rFonts w:cs="Arial"/>
              </w:rPr>
            </w:pPr>
          </w:p>
          <w:p w14:paraId="2957CE4E" w14:textId="7905AD0E" w:rsidR="006F3235" w:rsidRPr="009A5185" w:rsidRDefault="003475DE" w:rsidP="00F233E6">
            <w:pPr>
              <w:ind w:left="360"/>
              <w:rPr>
                <w:rFonts w:cs="Arial"/>
              </w:rPr>
            </w:pPr>
            <w:r w:rsidRPr="00AA2E10">
              <w:rPr>
                <w:rFonts w:cs="Arial"/>
                <w:i/>
              </w:rPr>
              <w:t>If “no</w:t>
            </w:r>
            <w:r w:rsidR="00ED3D17">
              <w:rPr>
                <w:rFonts w:cs="Arial"/>
                <w:i/>
              </w:rPr>
              <w:t xml:space="preserve">, </w:t>
            </w:r>
            <w:r w:rsidR="00ED3D17" w:rsidRPr="00ED3D17">
              <w:rPr>
                <w:rFonts w:cs="Arial"/>
                <w:i/>
              </w:rPr>
              <w:t>the ICU is not staffed with any physicians certified in critical care medicine</w:t>
            </w:r>
            <w:r w:rsidRPr="00AA2E10">
              <w:rPr>
                <w:rFonts w:cs="Arial"/>
                <w:i/>
              </w:rPr>
              <w:t xml:space="preserve">” to question #3, skip </w:t>
            </w:r>
            <w:r>
              <w:rPr>
                <w:rFonts w:cs="Arial"/>
                <w:i/>
              </w:rPr>
              <w:t xml:space="preserve">the remaining </w:t>
            </w:r>
            <w:r w:rsidRPr="00AA2E10">
              <w:rPr>
                <w:rFonts w:cs="Arial"/>
                <w:i/>
              </w:rPr>
              <w:t>questions</w:t>
            </w:r>
            <w:r>
              <w:rPr>
                <w:rFonts w:cs="Arial"/>
                <w:i/>
              </w:rPr>
              <w:t xml:space="preserve"> in Section 5</w:t>
            </w:r>
            <w:r w:rsidR="00CB33E1">
              <w:rPr>
                <w:rFonts w:cs="Arial"/>
                <w:i/>
              </w:rPr>
              <w:t>A</w:t>
            </w:r>
            <w:r w:rsidR="00086A99">
              <w:rPr>
                <w:rFonts w:cs="Arial"/>
                <w:i/>
              </w:rPr>
              <w:t xml:space="preserve"> </w:t>
            </w:r>
            <w:r>
              <w:rPr>
                <w:rFonts w:cs="Arial"/>
                <w:i/>
              </w:rPr>
              <w:t xml:space="preserve">and </w:t>
            </w:r>
            <w:r w:rsidR="00CD2F26">
              <w:rPr>
                <w:rFonts w:cs="Arial"/>
                <w:i/>
              </w:rPr>
              <w:t>continue</w:t>
            </w:r>
            <w:r>
              <w:rPr>
                <w:rFonts w:cs="Arial"/>
                <w:i/>
              </w:rPr>
              <w:t xml:space="preserve"> to </w:t>
            </w:r>
            <w:r w:rsidR="00D61B5D">
              <w:rPr>
                <w:rFonts w:cs="Arial"/>
                <w:i/>
              </w:rPr>
              <w:t>the next subsection</w:t>
            </w:r>
            <w:r w:rsidR="00BA74BB">
              <w:rPr>
                <w:rFonts w:cs="Arial"/>
                <w:i/>
              </w:rPr>
              <w:t xml:space="preserve">. </w:t>
            </w:r>
            <w:r>
              <w:rPr>
                <w:rFonts w:cs="Arial"/>
                <w:i/>
              </w:rPr>
              <w:t>This hospital will be scored as “Limited Achievement</w:t>
            </w:r>
            <w:r w:rsidR="00EE5152">
              <w:rPr>
                <w:rFonts w:cs="Arial"/>
                <w:i/>
              </w:rPr>
              <w:t>.</w:t>
            </w:r>
            <w:r>
              <w:rPr>
                <w:rFonts w:cs="Arial"/>
                <w:i/>
              </w:rPr>
              <w:t>”</w:t>
            </w:r>
          </w:p>
        </w:tc>
        <w:tc>
          <w:tcPr>
            <w:tcW w:w="3035" w:type="dxa"/>
            <w:vAlign w:val="center"/>
          </w:tcPr>
          <w:p w14:paraId="55C23315" w14:textId="77777777" w:rsidR="003475DE" w:rsidRPr="000C1F1D" w:rsidRDefault="003475DE" w:rsidP="00AD309C">
            <w:pPr>
              <w:pStyle w:val="ListParagraph"/>
              <w:numPr>
                <w:ilvl w:val="0"/>
                <w:numId w:val="341"/>
              </w:numPr>
              <w:rPr>
                <w:rFonts w:cs="Arial"/>
                <w:iCs/>
              </w:rPr>
            </w:pPr>
            <w:r w:rsidRPr="000C1F1D">
              <w:rPr>
                <w:rFonts w:cs="Arial"/>
                <w:iCs/>
              </w:rPr>
              <w:t>Yes, the ICU is staffed with physicians certified in critical care medicine</w:t>
            </w:r>
          </w:p>
          <w:p w14:paraId="162E8B6B" w14:textId="77777777" w:rsidR="003475DE" w:rsidRPr="000C1F1D" w:rsidRDefault="003475DE" w:rsidP="00AD309C">
            <w:pPr>
              <w:pStyle w:val="ListParagraph"/>
              <w:numPr>
                <w:ilvl w:val="0"/>
                <w:numId w:val="341"/>
              </w:numPr>
              <w:rPr>
                <w:rFonts w:cs="Arial"/>
                <w:iCs/>
              </w:rPr>
            </w:pPr>
            <w:r w:rsidRPr="000C1F1D">
              <w:rPr>
                <w:rFonts w:cs="Arial"/>
                <w:iCs/>
              </w:rPr>
              <w:t>Yes, the ICU is staffed with physicians certified in critical care medicine based on Leapfrog’s expanded definition</w:t>
            </w:r>
          </w:p>
          <w:p w14:paraId="28924940" w14:textId="74E4142B" w:rsidR="00AA04E9" w:rsidRPr="000C1F1D" w:rsidRDefault="003475DE" w:rsidP="00AD309C">
            <w:pPr>
              <w:pStyle w:val="ListParagraph"/>
              <w:numPr>
                <w:ilvl w:val="0"/>
                <w:numId w:val="341"/>
              </w:numPr>
              <w:rPr>
                <w:rFonts w:cs="Arial"/>
                <w:iCs/>
              </w:rPr>
            </w:pPr>
            <w:r w:rsidRPr="000C1F1D">
              <w:rPr>
                <w:rFonts w:cs="Arial"/>
                <w:iCs/>
              </w:rPr>
              <w:t>No, the ICU is not staffed with any physicians certified in critical care medicine</w:t>
            </w:r>
          </w:p>
        </w:tc>
      </w:tr>
      <w:tr w:rsidR="003475DE" w:rsidRPr="009A5185" w14:paraId="3ECA3C87" w14:textId="77777777" w:rsidTr="001839DB">
        <w:trPr>
          <w:trHeight w:val="1872"/>
          <w:jc w:val="center"/>
        </w:trPr>
        <w:tc>
          <w:tcPr>
            <w:tcW w:w="6325" w:type="dxa"/>
            <w:vAlign w:val="center"/>
          </w:tcPr>
          <w:p w14:paraId="335205E1" w14:textId="514FB52C" w:rsidR="003475DE" w:rsidRDefault="009D6CB8" w:rsidP="00AD309C">
            <w:pPr>
              <w:numPr>
                <w:ilvl w:val="0"/>
                <w:numId w:val="31"/>
              </w:numPr>
              <w:rPr>
                <w:rFonts w:cs="Arial"/>
              </w:rPr>
            </w:pPr>
            <w:r>
              <w:rPr>
                <w:rFonts w:cs="Arial"/>
              </w:rPr>
              <w:t xml:space="preserve">Do the physicians who </w:t>
            </w:r>
            <w:r w:rsidR="00626299">
              <w:rPr>
                <w:rFonts w:cs="Arial"/>
              </w:rPr>
              <w:t xml:space="preserve">are </w:t>
            </w:r>
            <w:hyperlink w:anchor="Endnote25_Certified" w:history="1">
              <w:r w:rsidRPr="00AA2E10">
                <w:rPr>
                  <w:rStyle w:val="Hyperlink"/>
                  <w:rFonts w:cs="Arial"/>
                </w:rPr>
                <w:t>certified in critical care medicine</w:t>
              </w:r>
            </w:hyperlink>
            <w:r>
              <w:rPr>
                <w:rFonts w:cs="Arial"/>
                <w:vertAlign w:val="superscript"/>
              </w:rPr>
              <w:fldChar w:fldCharType="begin"/>
            </w:r>
            <w:r>
              <w:rPr>
                <w:rStyle w:val="Hyperlink"/>
                <w:rFonts w:cs="Arial"/>
              </w:rPr>
              <w:instrText xml:space="preserve"> NOTEREF _Ref534212273 \f \h </w:instrText>
            </w:r>
            <w:r w:rsidR="0079783F">
              <w:rPr>
                <w:rFonts w:cs="Arial"/>
                <w:vertAlign w:val="superscript"/>
              </w:rPr>
              <w:instrText xml:space="preserve"> \* MERGEFORMAT </w:instrText>
            </w:r>
            <w:r>
              <w:rPr>
                <w:rFonts w:cs="Arial"/>
                <w:vertAlign w:val="superscript"/>
              </w:rPr>
            </w:r>
            <w:r>
              <w:rPr>
                <w:rFonts w:cs="Arial"/>
                <w:vertAlign w:val="superscript"/>
              </w:rPr>
              <w:fldChar w:fldCharType="separate"/>
            </w:r>
            <w:r w:rsidR="007D53A2" w:rsidRPr="00A012EC">
              <w:rPr>
                <w:rStyle w:val="EndnoteReference"/>
              </w:rPr>
              <w:t>36</w:t>
            </w:r>
            <w:r>
              <w:rPr>
                <w:rFonts w:cs="Arial"/>
                <w:vertAlign w:val="superscript"/>
              </w:rPr>
              <w:fldChar w:fldCharType="end"/>
            </w:r>
            <w:r>
              <w:rPr>
                <w:rFonts w:cs="Arial"/>
              </w:rPr>
              <w:t xml:space="preserve"> (whether present on-site or via telemedicine) manage or co-manage </w:t>
            </w:r>
            <w:hyperlink w:anchor="Endnote22_CCPatients" w:history="1">
              <w:r w:rsidR="003475DE" w:rsidRPr="003E062D">
                <w:rPr>
                  <w:rStyle w:val="Hyperlink"/>
                  <w:rFonts w:cs="Arial"/>
                </w:rPr>
                <w:t>all</w:t>
              </w:r>
              <w:r w:rsidR="003475DE" w:rsidRPr="003E062D">
                <w:rPr>
                  <w:rStyle w:val="Hyperlink"/>
                  <w:rFonts w:cs="Arial"/>
                  <w:b/>
                  <w:bCs/>
                </w:rPr>
                <w:t xml:space="preserve"> </w:t>
              </w:r>
              <w:r w:rsidR="003475DE" w:rsidRPr="003E062D">
                <w:rPr>
                  <w:rStyle w:val="Hyperlink"/>
                  <w:rFonts w:cs="Arial"/>
                </w:rPr>
                <w:t>critical care patients</w:t>
              </w:r>
            </w:hyperlink>
            <w:r w:rsidR="003E062D">
              <w:rPr>
                <w:rFonts w:cs="Arial"/>
              </w:rPr>
              <w:fldChar w:fldCharType="begin"/>
            </w:r>
            <w:r w:rsidR="003E062D">
              <w:rPr>
                <w:rFonts w:cs="Arial"/>
              </w:rPr>
              <w:instrText xml:space="preserve"> NOTEREF _Ref534212310 \f \h </w:instrText>
            </w:r>
            <w:r w:rsidR="0079783F">
              <w:rPr>
                <w:rFonts w:cs="Arial"/>
              </w:rPr>
              <w:instrText xml:space="preserve"> \* MERGEFORMAT </w:instrText>
            </w:r>
            <w:r w:rsidR="003E062D">
              <w:rPr>
                <w:rFonts w:cs="Arial"/>
              </w:rPr>
            </w:r>
            <w:r w:rsidR="003E062D">
              <w:rPr>
                <w:rFonts w:cs="Arial"/>
              </w:rPr>
              <w:fldChar w:fldCharType="separate"/>
            </w:r>
            <w:r w:rsidR="007D53A2" w:rsidRPr="00A012EC">
              <w:rPr>
                <w:rStyle w:val="EndnoteReference"/>
              </w:rPr>
              <w:t>34</w:t>
            </w:r>
            <w:r w:rsidR="003E062D">
              <w:rPr>
                <w:rFonts w:cs="Arial"/>
              </w:rPr>
              <w:fldChar w:fldCharType="end"/>
            </w:r>
            <w:r w:rsidR="003475DE">
              <w:rPr>
                <w:rFonts w:cs="Arial"/>
              </w:rPr>
              <w:t xml:space="preserve"> in the ICU?</w:t>
            </w:r>
          </w:p>
          <w:p w14:paraId="6CB84953" w14:textId="77777777" w:rsidR="003475DE" w:rsidRDefault="003475DE" w:rsidP="003475DE">
            <w:pPr>
              <w:ind w:left="360"/>
              <w:rPr>
                <w:rFonts w:cs="Arial"/>
              </w:rPr>
            </w:pPr>
          </w:p>
          <w:p w14:paraId="3D4A92D6" w14:textId="7CA1A55A" w:rsidR="003475DE" w:rsidRPr="009A5185" w:rsidRDefault="003475DE" w:rsidP="0070116C">
            <w:pPr>
              <w:ind w:left="360"/>
              <w:rPr>
                <w:rFonts w:cs="Arial"/>
              </w:rPr>
            </w:pPr>
            <w:r w:rsidRPr="00AA2E10">
              <w:rPr>
                <w:rFonts w:cs="Arial"/>
                <w:i/>
              </w:rPr>
              <w:t>If “no” to question #</w:t>
            </w:r>
            <w:r>
              <w:rPr>
                <w:rFonts w:cs="Arial"/>
                <w:i/>
              </w:rPr>
              <w:t>4</w:t>
            </w:r>
            <w:r w:rsidRPr="00AA2E10">
              <w:rPr>
                <w:rFonts w:cs="Arial"/>
                <w:i/>
              </w:rPr>
              <w:t>, skip questions #</w:t>
            </w:r>
            <w:r>
              <w:rPr>
                <w:rFonts w:cs="Arial"/>
                <w:i/>
              </w:rPr>
              <w:t>5</w:t>
            </w:r>
            <w:r w:rsidRPr="00AA2E10">
              <w:rPr>
                <w:rFonts w:cs="Arial"/>
                <w:i/>
              </w:rPr>
              <w:t>-1</w:t>
            </w:r>
            <w:r>
              <w:rPr>
                <w:rFonts w:cs="Arial"/>
                <w:i/>
              </w:rPr>
              <w:t>1</w:t>
            </w:r>
            <w:r w:rsidRPr="00AA2E10">
              <w:rPr>
                <w:rFonts w:cs="Arial"/>
                <w:i/>
              </w:rPr>
              <w:t xml:space="preserve"> and continue to question #1</w:t>
            </w:r>
            <w:r>
              <w:rPr>
                <w:rFonts w:cs="Arial"/>
                <w:i/>
              </w:rPr>
              <w:t>2</w:t>
            </w:r>
            <w:r w:rsidRPr="00AA2E10">
              <w:rPr>
                <w:rFonts w:cs="Arial"/>
                <w:i/>
              </w:rPr>
              <w:t>.</w:t>
            </w:r>
          </w:p>
        </w:tc>
        <w:tc>
          <w:tcPr>
            <w:tcW w:w="3035" w:type="dxa"/>
            <w:vAlign w:val="center"/>
          </w:tcPr>
          <w:p w14:paraId="191BD200" w14:textId="77777777" w:rsidR="003475DE" w:rsidRPr="000C1F1D" w:rsidRDefault="003475DE" w:rsidP="00AD309C">
            <w:pPr>
              <w:pStyle w:val="ListParagraph"/>
              <w:numPr>
                <w:ilvl w:val="0"/>
                <w:numId w:val="341"/>
              </w:numPr>
              <w:rPr>
                <w:rFonts w:cs="Arial"/>
                <w:iCs/>
              </w:rPr>
            </w:pPr>
            <w:r w:rsidRPr="000C1F1D">
              <w:rPr>
                <w:rFonts w:cs="Arial"/>
                <w:iCs/>
              </w:rPr>
              <w:t>Yes, all patients are managed or co-managed by a physician certified in critical care medicine when the physician is present (on-site or via telemedicine)</w:t>
            </w:r>
          </w:p>
          <w:p w14:paraId="70EFE8FE" w14:textId="11E25782" w:rsidR="003475DE" w:rsidRPr="000C1F1D" w:rsidRDefault="003475DE" w:rsidP="00AD309C">
            <w:pPr>
              <w:pStyle w:val="ListParagraph"/>
              <w:numPr>
                <w:ilvl w:val="0"/>
                <w:numId w:val="341"/>
              </w:numPr>
              <w:rPr>
                <w:rFonts w:cs="Arial"/>
                <w:iCs/>
              </w:rPr>
            </w:pPr>
            <w:r w:rsidRPr="000C1F1D">
              <w:rPr>
                <w:rFonts w:cs="Arial"/>
                <w:iCs/>
              </w:rPr>
              <w:t>No, not all patients are managed or co-managed by a physician certified in critical care medicine when the physician is present (on-site or via telemedicine)</w:t>
            </w:r>
          </w:p>
        </w:tc>
      </w:tr>
      <w:tr w:rsidR="003475DE" w:rsidRPr="009A5185" w14:paraId="168CC678" w14:textId="77777777" w:rsidTr="001839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9360" w:type="dxa"/>
            <w:gridSpan w:val="2"/>
          </w:tcPr>
          <w:p w14:paraId="345AB2DE" w14:textId="77777777" w:rsidR="003475DE" w:rsidRPr="009A5185" w:rsidRDefault="003475DE" w:rsidP="003475DE">
            <w:pPr>
              <w:pStyle w:val="Header"/>
              <w:tabs>
                <w:tab w:val="clear" w:pos="4320"/>
                <w:tab w:val="clear" w:pos="8640"/>
              </w:tabs>
              <w:rPr>
                <w:rFonts w:cs="Arial"/>
                <w:i/>
              </w:rPr>
            </w:pPr>
          </w:p>
        </w:tc>
      </w:tr>
    </w:tbl>
    <w:p w14:paraId="52BFF21A" w14:textId="2E162E9C" w:rsidR="005A0EE0" w:rsidRPr="005A0EE0" w:rsidRDefault="005A0EE0">
      <w:pPr>
        <w:rPr>
          <w:rFonts w:cs="Arial"/>
          <w:i/>
          <w:iCs/>
        </w:rPr>
      </w:pPr>
      <w:r w:rsidRPr="005A0EE0">
        <w:rPr>
          <w:rFonts w:cs="Arial"/>
          <w:i/>
          <w:iCs/>
        </w:rPr>
        <w:t xml:space="preserve">There are currently </w:t>
      </w:r>
      <w:hyperlink r:id="rId326" w:history="1">
        <w:r w:rsidRPr="005A0EE0">
          <w:rPr>
            <w:rStyle w:val="Hyperlink"/>
            <w:rFonts w:cs="Arial"/>
            <w:i/>
            <w:iCs/>
          </w:rPr>
          <w:t>two different options</w:t>
        </w:r>
      </w:hyperlink>
      <w:r w:rsidRPr="005A0EE0">
        <w:rPr>
          <w:rFonts w:cs="Arial"/>
          <w:i/>
          <w:iCs/>
        </w:rPr>
        <w:t xml:space="preserve"> to achieve Leapfrog’s ICU Physician </w:t>
      </w:r>
      <w:r w:rsidR="00F22A68">
        <w:rPr>
          <w:rFonts w:cs="Arial"/>
          <w:i/>
          <w:iCs/>
        </w:rPr>
        <w:t xml:space="preserve">Staffing </w:t>
      </w:r>
      <w:r w:rsidRPr="005A0EE0">
        <w:rPr>
          <w:rFonts w:cs="Arial"/>
          <w:i/>
          <w:iCs/>
        </w:rPr>
        <w:t>Standard: on-site intensivist coverage for 8 hours a day/7 days per week or 24/7 tele-intensivist coverage with some daily on-site intensivist coverage. Questions #</w:t>
      </w:r>
      <w:r w:rsidR="00F97F08">
        <w:rPr>
          <w:rFonts w:cs="Arial"/>
          <w:i/>
          <w:iCs/>
        </w:rPr>
        <w:t>5</w:t>
      </w:r>
      <w:r w:rsidRPr="005A0EE0">
        <w:rPr>
          <w:rFonts w:cs="Arial"/>
          <w:i/>
          <w:iCs/>
        </w:rPr>
        <w:t xml:space="preserve"> and #</w:t>
      </w:r>
      <w:r w:rsidR="00F97F08">
        <w:rPr>
          <w:rFonts w:cs="Arial"/>
          <w:i/>
          <w:iCs/>
        </w:rPr>
        <w:t>6</w:t>
      </w:r>
      <w:r w:rsidRPr="005A0EE0">
        <w:rPr>
          <w:rFonts w:cs="Arial"/>
          <w:i/>
          <w:iCs/>
        </w:rPr>
        <w:t xml:space="preserve"> are meant to differentiate between these two options; however, they are both worth the same credit. Hospitals that have 24/7 </w:t>
      </w:r>
      <w:r w:rsidRPr="00D7377F">
        <w:rPr>
          <w:rFonts w:cs="Arial"/>
          <w:b/>
          <w:bCs/>
          <w:i/>
          <w:iCs/>
        </w:rPr>
        <w:t xml:space="preserve">on-site </w:t>
      </w:r>
      <w:r w:rsidRPr="005A0EE0">
        <w:rPr>
          <w:rFonts w:cs="Arial"/>
          <w:i/>
          <w:iCs/>
        </w:rPr>
        <w:t xml:space="preserve">intensivist coverage, and who meet all the criteria listed, should respond </w:t>
      </w:r>
      <w:r w:rsidR="00E93CBB">
        <w:rPr>
          <w:rFonts w:cs="Arial"/>
          <w:i/>
          <w:iCs/>
        </w:rPr>
        <w:t>“</w:t>
      </w:r>
      <w:r w:rsidRPr="005A0EE0">
        <w:rPr>
          <w:rFonts w:cs="Arial"/>
          <w:i/>
          <w:iCs/>
        </w:rPr>
        <w:t>yes</w:t>
      </w:r>
      <w:r w:rsidR="00137C20">
        <w:rPr>
          <w:rFonts w:cs="Arial"/>
          <w:i/>
          <w:iCs/>
        </w:rPr>
        <w:t>”</w:t>
      </w:r>
      <w:r w:rsidRPr="005A0EE0">
        <w:rPr>
          <w:rFonts w:cs="Arial"/>
          <w:i/>
          <w:iCs/>
        </w:rPr>
        <w:t xml:space="preserve"> to question #</w:t>
      </w:r>
      <w:r w:rsidR="00F97F08">
        <w:rPr>
          <w:rFonts w:cs="Arial"/>
          <w:i/>
          <w:iCs/>
        </w:rPr>
        <w:t>5</w:t>
      </w:r>
      <w:r w:rsidRPr="005A0EE0">
        <w:rPr>
          <w:rFonts w:cs="Arial"/>
          <w:i/>
          <w:iCs/>
        </w:rPr>
        <w:t>.</w:t>
      </w:r>
    </w:p>
    <w:p w14:paraId="7FC0C951" w14:textId="77777777" w:rsidR="005A0EE0" w:rsidRPr="009A5185" w:rsidRDefault="005A0EE0">
      <w:pPr>
        <w:rPr>
          <w:rFonts w:cs="Arial"/>
        </w:rPr>
      </w:pPr>
    </w:p>
    <w:tbl>
      <w:tblPr>
        <w:tblW w:w="94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90"/>
        <w:gridCol w:w="2192"/>
      </w:tblGrid>
      <w:tr w:rsidR="00BC70C2" w:rsidRPr="009A5185" w14:paraId="3981B27E" w14:textId="77777777" w:rsidTr="006047CA">
        <w:trPr>
          <w:trHeight w:val="2016"/>
          <w:jc w:val="center"/>
        </w:trPr>
        <w:tc>
          <w:tcPr>
            <w:tcW w:w="7290" w:type="dxa"/>
            <w:vAlign w:val="center"/>
          </w:tcPr>
          <w:p w14:paraId="4B2C874D" w14:textId="14C6EECD" w:rsidR="00BC70C2" w:rsidRPr="00752A6C" w:rsidRDefault="00BC70C2" w:rsidP="00AD309C">
            <w:pPr>
              <w:pStyle w:val="Header"/>
              <w:numPr>
                <w:ilvl w:val="0"/>
                <w:numId w:val="31"/>
              </w:numPr>
              <w:rPr>
                <w:rFonts w:cs="Arial"/>
              </w:rPr>
            </w:pPr>
            <w:r w:rsidRPr="00752A6C">
              <w:rPr>
                <w:rFonts w:cs="Arial"/>
              </w:rPr>
              <w:t xml:space="preserve">Are </w:t>
            </w:r>
            <w:hyperlink w:anchor="Endnote22_CCPatients" w:history="1">
              <w:r w:rsidRPr="00752A6C">
                <w:rPr>
                  <w:rStyle w:val="Hyperlink"/>
                  <w:rFonts w:cs="Arial"/>
                </w:rPr>
                <w:t>all critical care patients</w:t>
              </w:r>
            </w:hyperlink>
            <w:r w:rsidR="0070116C">
              <w:rPr>
                <w:vertAlign w:val="superscript"/>
              </w:rPr>
              <w:fldChar w:fldCharType="begin"/>
            </w:r>
            <w:r w:rsidR="0070116C">
              <w:rPr>
                <w:rStyle w:val="Hyperlink"/>
                <w:rFonts w:cs="Arial"/>
              </w:rPr>
              <w:instrText xml:space="preserve"> NOTEREF _Ref534212310 \f \h </w:instrText>
            </w:r>
            <w:r w:rsidR="0079783F">
              <w:rPr>
                <w:vertAlign w:val="superscript"/>
              </w:rPr>
              <w:instrText xml:space="preserve"> \* MERGEFORMAT </w:instrText>
            </w:r>
            <w:r w:rsidR="0070116C">
              <w:rPr>
                <w:vertAlign w:val="superscript"/>
              </w:rPr>
            </w:r>
            <w:r w:rsidR="0070116C">
              <w:rPr>
                <w:vertAlign w:val="superscript"/>
              </w:rPr>
              <w:fldChar w:fldCharType="separate"/>
            </w:r>
            <w:r w:rsidR="007D53A2" w:rsidRPr="00A012EC">
              <w:rPr>
                <w:rStyle w:val="EndnoteReference"/>
              </w:rPr>
              <w:t>34</w:t>
            </w:r>
            <w:r w:rsidR="0070116C">
              <w:rPr>
                <w:vertAlign w:val="superscript"/>
              </w:rPr>
              <w:fldChar w:fldCharType="end"/>
            </w:r>
            <w:r w:rsidRPr="00752A6C">
              <w:rPr>
                <w:rFonts w:cs="Arial"/>
              </w:rPr>
              <w:t xml:space="preserve"> in </w:t>
            </w:r>
            <w:r w:rsidR="00F97F08">
              <w:rPr>
                <w:rFonts w:cs="Arial"/>
              </w:rPr>
              <w:t>th</w:t>
            </w:r>
            <w:r w:rsidR="00574C9E">
              <w:rPr>
                <w:rFonts w:cs="Arial"/>
              </w:rPr>
              <w:t>e</w:t>
            </w:r>
            <w:r w:rsidR="00F97F08">
              <w:rPr>
                <w:rFonts w:cs="Arial"/>
              </w:rPr>
              <w:t xml:space="preserve"> ICU</w:t>
            </w:r>
            <w:r w:rsidRPr="00752A6C">
              <w:rPr>
                <w:rFonts w:cs="Arial"/>
              </w:rPr>
              <w:t xml:space="preserve"> </w:t>
            </w:r>
            <w:hyperlink w:anchor="Endnote24_Manage" w:history="1">
              <w:r w:rsidRPr="00752A6C">
                <w:rPr>
                  <w:rStyle w:val="Hyperlink"/>
                  <w:rFonts w:cs="Arial"/>
                </w:rPr>
                <w:t>managed or co-managed</w:t>
              </w:r>
            </w:hyperlink>
            <w:r w:rsidR="000F4DD8">
              <w:rPr>
                <w:rFonts w:cs="Arial"/>
                <w:vertAlign w:val="superscript"/>
              </w:rPr>
              <w:fldChar w:fldCharType="begin"/>
            </w:r>
            <w:r w:rsidR="000F4DD8">
              <w:rPr>
                <w:rStyle w:val="Hyperlink"/>
                <w:rFonts w:cs="Arial"/>
              </w:rPr>
              <w:instrText xml:space="preserve"> NOTEREF _Ref91167015 \f \h </w:instrText>
            </w:r>
            <w:r w:rsidR="0079783F">
              <w:rPr>
                <w:rFonts w:cs="Arial"/>
                <w:vertAlign w:val="superscript"/>
              </w:rPr>
              <w:instrText xml:space="preserve"> \* MERGEFORMAT </w:instrText>
            </w:r>
            <w:r w:rsidR="000F4DD8">
              <w:rPr>
                <w:rFonts w:cs="Arial"/>
                <w:vertAlign w:val="superscript"/>
              </w:rPr>
            </w:r>
            <w:r w:rsidR="000F4DD8">
              <w:rPr>
                <w:rFonts w:cs="Arial"/>
                <w:vertAlign w:val="superscript"/>
              </w:rPr>
              <w:fldChar w:fldCharType="separate"/>
            </w:r>
            <w:r w:rsidR="007D53A2" w:rsidRPr="00A012EC">
              <w:rPr>
                <w:rStyle w:val="EndnoteReference"/>
              </w:rPr>
              <w:t>35</w:t>
            </w:r>
            <w:r w:rsidR="000F4DD8">
              <w:rPr>
                <w:rFonts w:cs="Arial"/>
                <w:vertAlign w:val="superscript"/>
              </w:rPr>
              <w:fldChar w:fldCharType="end"/>
            </w:r>
            <w:r w:rsidRPr="00752A6C">
              <w:rPr>
                <w:rFonts w:cs="Arial"/>
              </w:rPr>
              <w:t xml:space="preserve"> by one or more physicians </w:t>
            </w:r>
            <w:hyperlink w:anchor="Endnote25_Certified" w:history="1">
              <w:r w:rsidRPr="00752A6C">
                <w:rPr>
                  <w:rStyle w:val="Hyperlink"/>
                  <w:rFonts w:cs="Arial"/>
                </w:rPr>
                <w:t>certified in critical care medicine</w:t>
              </w:r>
            </w:hyperlink>
            <w:r w:rsidR="000F4DD8">
              <w:rPr>
                <w:rFonts w:cs="Arial"/>
                <w:vertAlign w:val="superscript"/>
              </w:rPr>
              <w:fldChar w:fldCharType="begin"/>
            </w:r>
            <w:r w:rsidR="000F4DD8">
              <w:rPr>
                <w:rStyle w:val="Hyperlink"/>
                <w:rFonts w:cs="Arial"/>
              </w:rPr>
              <w:instrText xml:space="preserve"> NOTEREF _Ref534212273 \f \h </w:instrText>
            </w:r>
            <w:r w:rsidR="0079783F">
              <w:rPr>
                <w:rFonts w:cs="Arial"/>
                <w:vertAlign w:val="superscript"/>
              </w:rPr>
              <w:instrText xml:space="preserve"> \* MERGEFORMAT </w:instrText>
            </w:r>
            <w:r w:rsidR="000F4DD8">
              <w:rPr>
                <w:rFonts w:cs="Arial"/>
                <w:vertAlign w:val="superscript"/>
              </w:rPr>
            </w:r>
            <w:r w:rsidR="000F4DD8">
              <w:rPr>
                <w:rFonts w:cs="Arial"/>
                <w:vertAlign w:val="superscript"/>
              </w:rPr>
              <w:fldChar w:fldCharType="separate"/>
            </w:r>
            <w:r w:rsidR="007D53A2" w:rsidRPr="00A012EC">
              <w:rPr>
                <w:rStyle w:val="EndnoteReference"/>
              </w:rPr>
              <w:t>36</w:t>
            </w:r>
            <w:r w:rsidR="000F4DD8">
              <w:rPr>
                <w:rFonts w:cs="Arial"/>
                <w:vertAlign w:val="superscript"/>
              </w:rPr>
              <w:fldChar w:fldCharType="end"/>
            </w:r>
            <w:r w:rsidRPr="00752A6C">
              <w:rPr>
                <w:rFonts w:cs="Arial"/>
              </w:rPr>
              <w:t xml:space="preserve"> who meet </w:t>
            </w:r>
            <w:r w:rsidRPr="00752A6C">
              <w:rPr>
                <w:rFonts w:cs="Arial"/>
                <w:b/>
              </w:rPr>
              <w:t>all</w:t>
            </w:r>
            <w:r w:rsidRPr="00752A6C">
              <w:rPr>
                <w:rFonts w:cs="Arial"/>
              </w:rPr>
              <w:t xml:space="preserve"> the following criteria:</w:t>
            </w:r>
          </w:p>
          <w:p w14:paraId="064F763C" w14:textId="51739A57" w:rsidR="00BC70C2" w:rsidRPr="00752A6C" w:rsidRDefault="00BC70C2" w:rsidP="00AD309C">
            <w:pPr>
              <w:pStyle w:val="Header"/>
              <w:numPr>
                <w:ilvl w:val="0"/>
                <w:numId w:val="67"/>
              </w:numPr>
              <w:tabs>
                <w:tab w:val="clear" w:pos="4320"/>
                <w:tab w:val="clear" w:pos="8640"/>
              </w:tabs>
              <w:rPr>
                <w:rFonts w:cs="Arial"/>
              </w:rPr>
            </w:pPr>
            <w:hyperlink w:anchor="Endnote26_Present" w:history="1">
              <w:r w:rsidRPr="00752A6C">
                <w:rPr>
                  <w:rStyle w:val="Hyperlink"/>
                  <w:rFonts w:cs="Arial"/>
                </w:rPr>
                <w:t>ordinarily present</w:t>
              </w:r>
            </w:hyperlink>
            <w:r w:rsidR="000F4DD8">
              <w:rPr>
                <w:vertAlign w:val="superscript"/>
              </w:rPr>
              <w:fldChar w:fldCharType="begin"/>
            </w:r>
            <w:r w:rsidR="000F4DD8">
              <w:rPr>
                <w:rStyle w:val="Hyperlink"/>
                <w:rFonts w:cs="Arial"/>
              </w:rPr>
              <w:instrText xml:space="preserve"> NOTEREF _Ref91166304 \f \h </w:instrText>
            </w:r>
            <w:r w:rsidR="0079783F">
              <w:rPr>
                <w:vertAlign w:val="superscript"/>
              </w:rPr>
              <w:instrText xml:space="preserve"> \* MERGEFORMAT </w:instrText>
            </w:r>
            <w:r w:rsidR="000F4DD8">
              <w:rPr>
                <w:vertAlign w:val="superscript"/>
              </w:rPr>
            </w:r>
            <w:r w:rsidR="000F4DD8">
              <w:rPr>
                <w:vertAlign w:val="superscript"/>
              </w:rPr>
              <w:fldChar w:fldCharType="separate"/>
            </w:r>
            <w:r w:rsidR="007D53A2" w:rsidRPr="00A012EC">
              <w:rPr>
                <w:rStyle w:val="EndnoteReference"/>
              </w:rPr>
              <w:t>37</w:t>
            </w:r>
            <w:r w:rsidR="000F4DD8">
              <w:rPr>
                <w:vertAlign w:val="superscript"/>
              </w:rPr>
              <w:fldChar w:fldCharType="end"/>
            </w:r>
            <w:r w:rsidRPr="00752A6C">
              <w:rPr>
                <w:rFonts w:cs="Arial"/>
              </w:rPr>
              <w:t xml:space="preserve"> </w:t>
            </w:r>
            <w:r w:rsidRPr="00BC70C2">
              <w:rPr>
                <w:rFonts w:cs="Arial"/>
                <w:b/>
                <w:bCs/>
              </w:rPr>
              <w:t>on-site</w:t>
            </w:r>
            <w:r w:rsidRPr="00752A6C">
              <w:rPr>
                <w:rFonts w:cs="Arial"/>
              </w:rPr>
              <w:t xml:space="preserve"> in </w:t>
            </w:r>
            <w:r w:rsidR="00DB7316">
              <w:rPr>
                <w:rFonts w:cs="Arial"/>
              </w:rPr>
              <w:t>the ICU</w:t>
            </w:r>
            <w:r w:rsidRPr="00752A6C">
              <w:rPr>
                <w:rFonts w:cs="Arial"/>
              </w:rPr>
              <w:t xml:space="preserve"> during daytime hours</w:t>
            </w:r>
            <w:r w:rsidR="005E3827">
              <w:rPr>
                <w:rFonts w:cs="Arial"/>
              </w:rPr>
              <w:t>;</w:t>
            </w:r>
          </w:p>
          <w:p w14:paraId="40FB5F1B" w14:textId="3E5BD144" w:rsidR="00BC70C2" w:rsidRDefault="00BC70C2" w:rsidP="00AD309C">
            <w:pPr>
              <w:pStyle w:val="Header"/>
              <w:numPr>
                <w:ilvl w:val="0"/>
                <w:numId w:val="67"/>
              </w:numPr>
              <w:tabs>
                <w:tab w:val="clear" w:pos="4320"/>
                <w:tab w:val="clear" w:pos="8640"/>
              </w:tabs>
              <w:rPr>
                <w:rFonts w:cs="Arial"/>
              </w:rPr>
            </w:pPr>
            <w:r w:rsidRPr="00752A6C">
              <w:rPr>
                <w:rFonts w:cs="Arial"/>
              </w:rPr>
              <w:t>for</w:t>
            </w:r>
            <w:r w:rsidRPr="00253430">
              <w:rPr>
                <w:rFonts w:cs="Arial"/>
              </w:rPr>
              <w:t xml:space="preserve"> at least</w:t>
            </w:r>
            <w:r w:rsidRPr="00752A6C">
              <w:rPr>
                <w:rFonts w:cs="Arial"/>
              </w:rPr>
              <w:t xml:space="preserve"> </w:t>
            </w:r>
            <w:r w:rsidRPr="00752A6C">
              <w:rPr>
                <w:rFonts w:cs="Arial"/>
                <w:b/>
              </w:rPr>
              <w:t>8 hours per day, 7 days per week</w:t>
            </w:r>
            <w:r w:rsidR="005E3827" w:rsidRPr="00D36222">
              <w:rPr>
                <w:rFonts w:cs="Arial"/>
                <w:bCs/>
              </w:rPr>
              <w:t>; and</w:t>
            </w:r>
          </w:p>
          <w:p w14:paraId="3E61F5B2" w14:textId="78EB9375" w:rsidR="00C45A94" w:rsidRDefault="00BC70C2" w:rsidP="00AD309C">
            <w:pPr>
              <w:pStyle w:val="Header"/>
              <w:numPr>
                <w:ilvl w:val="0"/>
                <w:numId w:val="67"/>
              </w:numPr>
              <w:tabs>
                <w:tab w:val="clear" w:pos="4320"/>
                <w:tab w:val="clear" w:pos="8640"/>
              </w:tabs>
              <w:rPr>
                <w:rFonts w:cs="Arial"/>
              </w:rPr>
            </w:pPr>
            <w:r w:rsidRPr="00BC70C2">
              <w:rPr>
                <w:rFonts w:cs="Arial"/>
              </w:rPr>
              <w:t xml:space="preserve">providing clinical care </w:t>
            </w:r>
            <w:hyperlink w:anchor="Endnote26_Present" w:history="1">
              <w:r w:rsidRPr="00BC70C2">
                <w:rPr>
                  <w:rStyle w:val="Hyperlink"/>
                  <w:rFonts w:cs="Arial"/>
                </w:rPr>
                <w:t>exclusively</w:t>
              </w:r>
            </w:hyperlink>
            <w:r w:rsidR="000F4DD8">
              <w:rPr>
                <w:rFonts w:cs="Arial"/>
                <w:vertAlign w:val="superscript"/>
              </w:rPr>
              <w:fldChar w:fldCharType="begin"/>
            </w:r>
            <w:r w:rsidR="000F4DD8">
              <w:rPr>
                <w:rStyle w:val="Hyperlink"/>
                <w:rFonts w:cs="Arial"/>
              </w:rPr>
              <w:instrText xml:space="preserve"> NOTEREF _Ref91166304 \f \h </w:instrText>
            </w:r>
            <w:r w:rsidR="0079783F">
              <w:rPr>
                <w:rFonts w:cs="Arial"/>
                <w:vertAlign w:val="superscript"/>
              </w:rPr>
              <w:instrText xml:space="preserve"> \* MERGEFORMAT </w:instrText>
            </w:r>
            <w:r w:rsidR="000F4DD8">
              <w:rPr>
                <w:rFonts w:cs="Arial"/>
                <w:vertAlign w:val="superscript"/>
              </w:rPr>
            </w:r>
            <w:r w:rsidR="000F4DD8">
              <w:rPr>
                <w:rFonts w:cs="Arial"/>
                <w:vertAlign w:val="superscript"/>
              </w:rPr>
              <w:fldChar w:fldCharType="separate"/>
            </w:r>
            <w:r w:rsidR="007D53A2" w:rsidRPr="00A012EC">
              <w:rPr>
                <w:rStyle w:val="EndnoteReference"/>
              </w:rPr>
              <w:t>37</w:t>
            </w:r>
            <w:r w:rsidR="000F4DD8">
              <w:rPr>
                <w:rFonts w:cs="Arial"/>
                <w:vertAlign w:val="superscript"/>
              </w:rPr>
              <w:fldChar w:fldCharType="end"/>
            </w:r>
            <w:r w:rsidRPr="00BC70C2">
              <w:rPr>
                <w:rFonts w:cs="Arial"/>
                <w:vertAlign w:val="superscript"/>
              </w:rPr>
              <w:t xml:space="preserve"> </w:t>
            </w:r>
            <w:r w:rsidRPr="00BC70C2">
              <w:rPr>
                <w:rFonts w:cs="Arial"/>
              </w:rPr>
              <w:t xml:space="preserve">in </w:t>
            </w:r>
            <w:r w:rsidR="00F12839">
              <w:rPr>
                <w:rFonts w:cs="Arial"/>
              </w:rPr>
              <w:t>the</w:t>
            </w:r>
            <w:r w:rsidR="00F12839" w:rsidRPr="00BC70C2">
              <w:rPr>
                <w:rFonts w:cs="Arial"/>
              </w:rPr>
              <w:t xml:space="preserve"> </w:t>
            </w:r>
            <w:r w:rsidRPr="00BC70C2">
              <w:rPr>
                <w:rFonts w:cs="Arial"/>
              </w:rPr>
              <w:t>ICU during these hours</w:t>
            </w:r>
            <w:r w:rsidR="00D67168">
              <w:rPr>
                <w:rFonts w:cs="Arial"/>
              </w:rPr>
              <w:t>?</w:t>
            </w:r>
          </w:p>
          <w:p w14:paraId="388F77B5" w14:textId="77777777" w:rsidR="00C45A94" w:rsidRDefault="00C45A94" w:rsidP="00C45A94">
            <w:pPr>
              <w:pStyle w:val="Header"/>
              <w:tabs>
                <w:tab w:val="clear" w:pos="4320"/>
                <w:tab w:val="clear" w:pos="8640"/>
              </w:tabs>
              <w:rPr>
                <w:rFonts w:cs="Arial"/>
              </w:rPr>
            </w:pPr>
          </w:p>
          <w:p w14:paraId="17BA9CE3" w14:textId="70C53E9F" w:rsidR="005A6CBE" w:rsidRPr="00C45A94" w:rsidRDefault="00C45A94" w:rsidP="003513DA">
            <w:pPr>
              <w:pStyle w:val="Header"/>
              <w:tabs>
                <w:tab w:val="clear" w:pos="4320"/>
                <w:tab w:val="clear" w:pos="8640"/>
              </w:tabs>
              <w:rPr>
                <w:rFonts w:cs="Arial"/>
              </w:rPr>
            </w:pPr>
            <w:r>
              <w:rPr>
                <w:rFonts w:cs="Arial"/>
                <w:i/>
              </w:rPr>
              <w:t xml:space="preserve">      </w:t>
            </w:r>
            <w:r w:rsidR="005A6CBE" w:rsidRPr="00C45A94">
              <w:rPr>
                <w:rFonts w:cs="Arial"/>
                <w:i/>
              </w:rPr>
              <w:t xml:space="preserve">If “yes” to question #5, skip question #6 and continue to question #7. </w:t>
            </w:r>
          </w:p>
        </w:tc>
        <w:tc>
          <w:tcPr>
            <w:tcW w:w="2192" w:type="dxa"/>
            <w:vAlign w:val="center"/>
          </w:tcPr>
          <w:p w14:paraId="603FE9BC" w14:textId="77777777" w:rsidR="00BC70C2" w:rsidRPr="000C1F1D" w:rsidRDefault="00BC70C2" w:rsidP="00AD309C">
            <w:pPr>
              <w:pStyle w:val="ListParagraph"/>
              <w:numPr>
                <w:ilvl w:val="0"/>
                <w:numId w:val="342"/>
              </w:numPr>
              <w:rPr>
                <w:rFonts w:cs="Arial"/>
                <w:iCs/>
              </w:rPr>
            </w:pPr>
            <w:r w:rsidRPr="000C1F1D">
              <w:rPr>
                <w:rFonts w:cs="Arial"/>
                <w:iCs/>
              </w:rPr>
              <w:t>Yes</w:t>
            </w:r>
          </w:p>
          <w:p w14:paraId="6D2181E9" w14:textId="0EF6C00B" w:rsidR="00BC70C2" w:rsidRPr="000C1F1D" w:rsidRDefault="00BC70C2" w:rsidP="00AD309C">
            <w:pPr>
              <w:pStyle w:val="ListParagraph"/>
              <w:numPr>
                <w:ilvl w:val="0"/>
                <w:numId w:val="342"/>
              </w:numPr>
              <w:rPr>
                <w:rFonts w:cs="Arial"/>
                <w:iCs/>
              </w:rPr>
            </w:pPr>
            <w:r w:rsidRPr="000C1F1D">
              <w:rPr>
                <w:rFonts w:cs="Arial"/>
                <w:iCs/>
              </w:rPr>
              <w:t>No</w:t>
            </w:r>
          </w:p>
        </w:tc>
      </w:tr>
      <w:tr w:rsidR="006047CA" w:rsidRPr="009A5185" w14:paraId="3E184CCE" w14:textId="77777777" w:rsidTr="00996708">
        <w:trPr>
          <w:trHeight w:val="2160"/>
          <w:jc w:val="center"/>
        </w:trPr>
        <w:tc>
          <w:tcPr>
            <w:tcW w:w="7290" w:type="dxa"/>
            <w:vAlign w:val="center"/>
          </w:tcPr>
          <w:p w14:paraId="3F2B9069" w14:textId="4D5E9A74" w:rsidR="006047CA" w:rsidRPr="00752A6C" w:rsidRDefault="006047CA" w:rsidP="00AD309C">
            <w:pPr>
              <w:pStyle w:val="Header"/>
              <w:numPr>
                <w:ilvl w:val="0"/>
                <w:numId w:val="31"/>
              </w:numPr>
              <w:rPr>
                <w:rFonts w:cs="Arial"/>
              </w:rPr>
            </w:pPr>
            <w:r w:rsidRPr="00752A6C">
              <w:rPr>
                <w:rFonts w:cs="Arial"/>
              </w:rPr>
              <w:t xml:space="preserve">Are </w:t>
            </w:r>
            <w:hyperlink w:anchor="Endnote22_CCPatients" w:history="1">
              <w:r w:rsidRPr="00752A6C">
                <w:rPr>
                  <w:rStyle w:val="Hyperlink"/>
                  <w:rFonts w:cs="Arial"/>
                </w:rPr>
                <w:t>all critical care patients</w:t>
              </w:r>
            </w:hyperlink>
            <w:r>
              <w:rPr>
                <w:rFonts w:cs="Arial"/>
                <w:vertAlign w:val="superscript"/>
              </w:rPr>
              <w:fldChar w:fldCharType="begin"/>
            </w:r>
            <w:r>
              <w:rPr>
                <w:rStyle w:val="Hyperlink"/>
                <w:rFonts w:cs="Arial"/>
              </w:rPr>
              <w:instrText xml:space="preserve"> NOTEREF _Ref534212310 \f \h </w:instrText>
            </w:r>
            <w:r>
              <w:rPr>
                <w:rFonts w:cs="Arial"/>
                <w:vertAlign w:val="superscript"/>
              </w:rPr>
              <w:instrText xml:space="preserve"> \* MERGEFORMAT </w:instrText>
            </w:r>
            <w:r>
              <w:rPr>
                <w:rFonts w:cs="Arial"/>
                <w:vertAlign w:val="superscript"/>
              </w:rPr>
            </w:r>
            <w:r>
              <w:rPr>
                <w:rFonts w:cs="Arial"/>
                <w:vertAlign w:val="superscript"/>
              </w:rPr>
              <w:fldChar w:fldCharType="separate"/>
            </w:r>
            <w:r w:rsidR="007D53A2" w:rsidRPr="00A012EC">
              <w:rPr>
                <w:rStyle w:val="EndnoteReference"/>
              </w:rPr>
              <w:t>34</w:t>
            </w:r>
            <w:r>
              <w:rPr>
                <w:rFonts w:cs="Arial"/>
                <w:vertAlign w:val="superscript"/>
              </w:rPr>
              <w:fldChar w:fldCharType="end"/>
            </w:r>
            <w:r w:rsidRPr="00752A6C">
              <w:rPr>
                <w:rFonts w:cs="Arial"/>
              </w:rPr>
              <w:t xml:space="preserve"> in </w:t>
            </w:r>
            <w:r>
              <w:rPr>
                <w:rFonts w:cs="Arial"/>
              </w:rPr>
              <w:t>the ICU</w:t>
            </w:r>
            <w:r w:rsidRPr="00752A6C">
              <w:rPr>
                <w:rFonts w:cs="Arial"/>
              </w:rPr>
              <w:t xml:space="preserve"> </w:t>
            </w:r>
            <w:hyperlink w:anchor="Endnote24_Manage" w:history="1">
              <w:r w:rsidRPr="00752A6C">
                <w:rPr>
                  <w:rStyle w:val="Hyperlink"/>
                  <w:rFonts w:cs="Arial"/>
                </w:rPr>
                <w:t>managed or co-managed</w:t>
              </w:r>
            </w:hyperlink>
            <w:r>
              <w:rPr>
                <w:vertAlign w:val="superscript"/>
              </w:rPr>
              <w:fldChar w:fldCharType="begin"/>
            </w:r>
            <w:r>
              <w:rPr>
                <w:rStyle w:val="Hyperlink"/>
                <w:rFonts w:cs="Arial"/>
              </w:rPr>
              <w:instrText xml:space="preserve"> NOTEREF _Ref91167015 \f \h </w:instrText>
            </w:r>
            <w:r>
              <w:rPr>
                <w:vertAlign w:val="superscript"/>
              </w:rPr>
              <w:instrText xml:space="preserve"> \* MERGEFORMAT </w:instrText>
            </w:r>
            <w:r>
              <w:rPr>
                <w:vertAlign w:val="superscript"/>
              </w:rPr>
            </w:r>
            <w:r>
              <w:rPr>
                <w:vertAlign w:val="superscript"/>
              </w:rPr>
              <w:fldChar w:fldCharType="separate"/>
            </w:r>
            <w:r w:rsidR="007D53A2" w:rsidRPr="00A012EC">
              <w:rPr>
                <w:rStyle w:val="EndnoteReference"/>
              </w:rPr>
              <w:t>35</w:t>
            </w:r>
            <w:r>
              <w:rPr>
                <w:vertAlign w:val="superscript"/>
              </w:rPr>
              <w:fldChar w:fldCharType="end"/>
            </w:r>
            <w:r w:rsidRPr="00752A6C">
              <w:rPr>
                <w:rFonts w:cs="Arial"/>
              </w:rPr>
              <w:t xml:space="preserve"> by one or more physicians </w:t>
            </w:r>
            <w:hyperlink w:anchor="Endnote25_Certified" w:history="1">
              <w:r w:rsidRPr="00752A6C">
                <w:rPr>
                  <w:rStyle w:val="Hyperlink"/>
                  <w:rFonts w:cs="Arial"/>
                </w:rPr>
                <w:t>certified in critical care medicine</w:t>
              </w:r>
            </w:hyperlink>
            <w:r>
              <w:rPr>
                <w:rFonts w:cs="Arial"/>
                <w:vertAlign w:val="superscript"/>
              </w:rPr>
              <w:fldChar w:fldCharType="begin"/>
            </w:r>
            <w:r>
              <w:rPr>
                <w:rStyle w:val="Hyperlink"/>
                <w:rFonts w:cs="Arial"/>
              </w:rPr>
              <w:instrText xml:space="preserve"> NOTEREF _Ref534212273 \f \h </w:instrText>
            </w:r>
            <w:r>
              <w:rPr>
                <w:rFonts w:cs="Arial"/>
                <w:vertAlign w:val="superscript"/>
              </w:rPr>
              <w:instrText xml:space="preserve"> \* MERGEFORMAT </w:instrText>
            </w:r>
            <w:r>
              <w:rPr>
                <w:rFonts w:cs="Arial"/>
                <w:vertAlign w:val="superscript"/>
              </w:rPr>
            </w:r>
            <w:r>
              <w:rPr>
                <w:rFonts w:cs="Arial"/>
                <w:vertAlign w:val="superscript"/>
              </w:rPr>
              <w:fldChar w:fldCharType="separate"/>
            </w:r>
            <w:r w:rsidR="007D53A2" w:rsidRPr="00A012EC">
              <w:rPr>
                <w:rStyle w:val="EndnoteReference"/>
              </w:rPr>
              <w:t>36</w:t>
            </w:r>
            <w:r>
              <w:rPr>
                <w:rFonts w:cs="Arial"/>
                <w:vertAlign w:val="superscript"/>
              </w:rPr>
              <w:fldChar w:fldCharType="end"/>
            </w:r>
            <w:r w:rsidRPr="00752A6C">
              <w:rPr>
                <w:rFonts w:cs="Arial"/>
              </w:rPr>
              <w:t xml:space="preserve"> who meet </w:t>
            </w:r>
            <w:r w:rsidRPr="00752A6C">
              <w:rPr>
                <w:rFonts w:cs="Arial"/>
                <w:b/>
              </w:rPr>
              <w:t>all</w:t>
            </w:r>
            <w:r w:rsidRPr="00752A6C">
              <w:rPr>
                <w:rFonts w:cs="Arial"/>
              </w:rPr>
              <w:t xml:space="preserve"> the following criteria:</w:t>
            </w:r>
          </w:p>
          <w:p w14:paraId="054FDBDF" w14:textId="3F0A9034" w:rsidR="006047CA" w:rsidRPr="00752A6C" w:rsidRDefault="006047CA" w:rsidP="00AD309C">
            <w:pPr>
              <w:pStyle w:val="Header"/>
              <w:numPr>
                <w:ilvl w:val="0"/>
                <w:numId w:val="65"/>
              </w:numPr>
              <w:rPr>
                <w:rFonts w:cs="Arial"/>
              </w:rPr>
            </w:pPr>
            <w:r w:rsidRPr="00752A6C">
              <w:rPr>
                <w:rFonts w:cs="Arial"/>
              </w:rPr>
              <w:t xml:space="preserve">present via telemedicine, in combination with on-site intensivist coverage, for a total of </w:t>
            </w:r>
            <w:r w:rsidRPr="00752A6C">
              <w:rPr>
                <w:rFonts w:cs="Arial"/>
                <w:b/>
              </w:rPr>
              <w:t>24 hours per day, 7 days per week</w:t>
            </w:r>
            <w:r w:rsidR="005E3827">
              <w:rPr>
                <w:rFonts w:cs="Arial"/>
              </w:rPr>
              <w:t>;</w:t>
            </w:r>
          </w:p>
          <w:p w14:paraId="0D75CFC2" w14:textId="6D338B19" w:rsidR="006047CA" w:rsidRDefault="006047CA" w:rsidP="00AD309C">
            <w:pPr>
              <w:pStyle w:val="Header"/>
              <w:numPr>
                <w:ilvl w:val="0"/>
                <w:numId w:val="65"/>
              </w:numPr>
              <w:rPr>
                <w:rFonts w:cs="Arial"/>
              </w:rPr>
            </w:pPr>
            <w:r w:rsidRPr="00752A6C">
              <w:rPr>
                <w:rFonts w:cs="Arial"/>
              </w:rPr>
              <w:t>meet all of Leapfrog’s ICU requirements for intensivist presence in the ICU via telemedicine (</w:t>
            </w:r>
            <w:hyperlink w:anchor="Endnote27_Telemedicine" w:history="1">
              <w:r w:rsidRPr="00752A6C">
                <w:rPr>
                  <w:rStyle w:val="Hyperlink"/>
                  <w:rFonts w:cs="Arial"/>
                </w:rPr>
                <w:t>More Information</w:t>
              </w:r>
            </w:hyperlink>
            <w:r>
              <w:rPr>
                <w:rFonts w:cs="Arial"/>
                <w:vertAlign w:val="superscript"/>
              </w:rPr>
              <w:fldChar w:fldCharType="begin"/>
            </w:r>
            <w:r>
              <w:rPr>
                <w:rStyle w:val="Hyperlink"/>
                <w:rFonts w:cs="Arial"/>
              </w:rPr>
              <w:instrText xml:space="preserve"> NOTEREF _Ref534212061 \f \h </w:instrText>
            </w:r>
            <w:r>
              <w:rPr>
                <w:rFonts w:cs="Arial"/>
                <w:vertAlign w:val="superscript"/>
              </w:rPr>
              <w:instrText xml:space="preserve"> \* MERGEFORMAT </w:instrText>
            </w:r>
            <w:r>
              <w:rPr>
                <w:rFonts w:cs="Arial"/>
                <w:vertAlign w:val="superscript"/>
              </w:rPr>
            </w:r>
            <w:r>
              <w:rPr>
                <w:rFonts w:cs="Arial"/>
                <w:vertAlign w:val="superscript"/>
              </w:rPr>
              <w:fldChar w:fldCharType="separate"/>
            </w:r>
            <w:r w:rsidR="007D53A2" w:rsidRPr="00A012EC">
              <w:rPr>
                <w:rStyle w:val="EndnoteReference"/>
              </w:rPr>
              <w:t>38</w:t>
            </w:r>
            <w:r>
              <w:rPr>
                <w:rFonts w:cs="Arial"/>
                <w:vertAlign w:val="superscript"/>
              </w:rPr>
              <w:fldChar w:fldCharType="end"/>
            </w:r>
            <w:r w:rsidRPr="00752A6C">
              <w:rPr>
                <w:rFonts w:cs="Arial"/>
              </w:rPr>
              <w:t>)</w:t>
            </w:r>
            <w:r w:rsidR="005E3827">
              <w:rPr>
                <w:rFonts w:cs="Arial"/>
              </w:rPr>
              <w:t>; and</w:t>
            </w:r>
          </w:p>
          <w:p w14:paraId="634B3153" w14:textId="6B96A647" w:rsidR="006047CA" w:rsidRPr="006047CA" w:rsidRDefault="006047CA" w:rsidP="00AD309C">
            <w:pPr>
              <w:pStyle w:val="Header"/>
              <w:numPr>
                <w:ilvl w:val="0"/>
                <w:numId w:val="65"/>
              </w:numPr>
              <w:rPr>
                <w:rFonts w:cs="Arial"/>
              </w:rPr>
            </w:pPr>
            <w:r w:rsidRPr="006047CA">
              <w:rPr>
                <w:rFonts w:cs="Arial"/>
              </w:rPr>
              <w:t>supported by an on-site intensivist who establishes and revises the daily care plan for each ICU patient?</w:t>
            </w:r>
          </w:p>
        </w:tc>
        <w:tc>
          <w:tcPr>
            <w:tcW w:w="2192" w:type="dxa"/>
            <w:vAlign w:val="center"/>
          </w:tcPr>
          <w:p w14:paraId="7DDF4E25" w14:textId="77777777" w:rsidR="006047CA" w:rsidRPr="000C1F1D" w:rsidRDefault="006047CA" w:rsidP="00AD309C">
            <w:pPr>
              <w:pStyle w:val="ListParagraph"/>
              <w:numPr>
                <w:ilvl w:val="0"/>
                <w:numId w:val="342"/>
              </w:numPr>
              <w:rPr>
                <w:rFonts w:cs="Arial"/>
                <w:iCs/>
              </w:rPr>
            </w:pPr>
            <w:r w:rsidRPr="000C1F1D">
              <w:rPr>
                <w:rFonts w:cs="Arial"/>
                <w:iCs/>
              </w:rPr>
              <w:t>Yes</w:t>
            </w:r>
          </w:p>
          <w:p w14:paraId="56B02214" w14:textId="7AC5E29D" w:rsidR="006047CA" w:rsidRPr="000C1F1D" w:rsidRDefault="006047CA" w:rsidP="00AD309C">
            <w:pPr>
              <w:pStyle w:val="ListParagraph"/>
              <w:numPr>
                <w:ilvl w:val="0"/>
                <w:numId w:val="342"/>
              </w:numPr>
              <w:rPr>
                <w:rFonts w:cs="Arial"/>
                <w:iCs/>
              </w:rPr>
            </w:pPr>
            <w:r w:rsidRPr="000C1F1D">
              <w:rPr>
                <w:rFonts w:cs="Arial"/>
                <w:iCs/>
              </w:rPr>
              <w:t>No</w:t>
            </w:r>
          </w:p>
        </w:tc>
      </w:tr>
    </w:tbl>
    <w:p w14:paraId="0A6F3635" w14:textId="4DAB87A2" w:rsidR="00FF5E78" w:rsidRPr="009A5185" w:rsidRDefault="00FF5E78">
      <w:pPr>
        <w:rPr>
          <w:rFonts w:cs="Arial"/>
        </w:rPr>
      </w:pPr>
    </w:p>
    <w:p w14:paraId="4DACE8D0" w14:textId="54C81D5B" w:rsidR="00E4126A" w:rsidRPr="009A5185" w:rsidRDefault="00E4126A">
      <w:pPr>
        <w:rPr>
          <w:rFonts w:cs="Arial"/>
          <w:i/>
        </w:rPr>
      </w:pPr>
      <w:r w:rsidRPr="009A5185">
        <w:rPr>
          <w:rFonts w:cs="Arial"/>
          <w:i/>
        </w:rPr>
        <w:t>If “no” to question #</w:t>
      </w:r>
      <w:r w:rsidR="00F97F08">
        <w:rPr>
          <w:rFonts w:cs="Arial"/>
          <w:i/>
        </w:rPr>
        <w:t>5</w:t>
      </w:r>
      <w:r w:rsidRPr="009A5185">
        <w:rPr>
          <w:rFonts w:cs="Arial"/>
          <w:i/>
        </w:rPr>
        <w:t xml:space="preserve"> and question #</w:t>
      </w:r>
      <w:r w:rsidR="00F97F08">
        <w:rPr>
          <w:rFonts w:cs="Arial"/>
          <w:i/>
        </w:rPr>
        <w:t>6</w:t>
      </w:r>
      <w:r w:rsidRPr="009A5185">
        <w:rPr>
          <w:rFonts w:cs="Arial"/>
          <w:i/>
        </w:rPr>
        <w:t>, skip questions #</w:t>
      </w:r>
      <w:r w:rsidR="00F97F08">
        <w:rPr>
          <w:rFonts w:cs="Arial"/>
          <w:i/>
        </w:rPr>
        <w:t>7-8</w:t>
      </w:r>
      <w:r w:rsidRPr="009A5185">
        <w:rPr>
          <w:rFonts w:cs="Arial"/>
          <w:i/>
        </w:rPr>
        <w:t xml:space="preserve"> and continue to question #</w:t>
      </w:r>
      <w:r w:rsidR="00F97F08">
        <w:rPr>
          <w:rFonts w:cs="Arial"/>
          <w:i/>
        </w:rPr>
        <w:t>9</w:t>
      </w:r>
      <w:r w:rsidRPr="009A5185">
        <w:rPr>
          <w:rFonts w:cs="Arial"/>
          <w:i/>
        </w:rPr>
        <w:t>.</w:t>
      </w:r>
    </w:p>
    <w:p w14:paraId="7D6C4E86" w14:textId="77777777" w:rsidR="004417E7" w:rsidRPr="009A5185" w:rsidRDefault="004417E7">
      <w:pPr>
        <w:rPr>
          <w:rFonts w:cs="Arial"/>
          <w:i/>
        </w:rPr>
      </w:pPr>
    </w:p>
    <w:tbl>
      <w:tblPr>
        <w:tblW w:w="95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68"/>
        <w:gridCol w:w="2199"/>
      </w:tblGrid>
      <w:tr w:rsidR="008910AA" w:rsidRPr="009A5185" w14:paraId="57586541" w14:textId="77777777" w:rsidTr="00996708">
        <w:trPr>
          <w:trHeight w:val="1368"/>
          <w:jc w:val="center"/>
        </w:trPr>
        <w:tc>
          <w:tcPr>
            <w:tcW w:w="7368" w:type="dxa"/>
          </w:tcPr>
          <w:p w14:paraId="7DFB922D" w14:textId="0B2D9839" w:rsidR="009C21A9" w:rsidRPr="00F97F08" w:rsidRDefault="008910AA" w:rsidP="00AD309C">
            <w:pPr>
              <w:pStyle w:val="ListParagraph"/>
              <w:numPr>
                <w:ilvl w:val="0"/>
                <w:numId w:val="31"/>
              </w:numPr>
              <w:spacing w:before="120"/>
              <w:rPr>
                <w:rFonts w:cs="Arial"/>
              </w:rPr>
            </w:pPr>
            <w:r w:rsidRPr="00F97F08">
              <w:rPr>
                <w:rFonts w:cs="Arial"/>
              </w:rPr>
              <w:t xml:space="preserve">When the physicians </w:t>
            </w:r>
            <w:r w:rsidR="00ED613C" w:rsidRPr="00F97F08">
              <w:rPr>
                <w:rFonts w:cs="Arial"/>
              </w:rPr>
              <w:t>(</w:t>
            </w:r>
            <w:r w:rsidR="00343721" w:rsidRPr="00F97F08">
              <w:rPr>
                <w:rFonts w:cs="Arial"/>
              </w:rPr>
              <w:t>from question #</w:t>
            </w:r>
            <w:r w:rsidR="004310D9" w:rsidRPr="00F97F08">
              <w:rPr>
                <w:rFonts w:cs="Arial"/>
              </w:rPr>
              <w:t>3</w:t>
            </w:r>
            <w:r w:rsidR="00ED613C" w:rsidRPr="00F97F08">
              <w:rPr>
                <w:rFonts w:cs="Arial"/>
              </w:rPr>
              <w:t>)</w:t>
            </w:r>
            <w:r w:rsidR="00343721" w:rsidRPr="00F97F08">
              <w:rPr>
                <w:rFonts w:cs="Arial"/>
              </w:rPr>
              <w:t xml:space="preserve"> </w:t>
            </w:r>
            <w:r w:rsidRPr="00F97F08">
              <w:rPr>
                <w:rFonts w:cs="Arial"/>
              </w:rPr>
              <w:t xml:space="preserve">are not present in </w:t>
            </w:r>
            <w:r w:rsidR="00F97F08">
              <w:rPr>
                <w:rFonts w:cs="Arial"/>
              </w:rPr>
              <w:t>th</w:t>
            </w:r>
            <w:r w:rsidR="00574C9E">
              <w:rPr>
                <w:rFonts w:cs="Arial"/>
              </w:rPr>
              <w:t xml:space="preserve">e </w:t>
            </w:r>
            <w:r w:rsidR="00F97F08">
              <w:rPr>
                <w:rFonts w:cs="Arial"/>
              </w:rPr>
              <w:t>ICU</w:t>
            </w:r>
            <w:r w:rsidRPr="00F97F08">
              <w:rPr>
                <w:rFonts w:cs="Arial"/>
              </w:rPr>
              <w:t xml:space="preserve"> on-site or via telemedicine, do they return more than 95% of calls/pages</w:t>
            </w:r>
            <w:r w:rsidR="007A7770" w:rsidRPr="00F97F08">
              <w:rPr>
                <w:rFonts w:cs="Arial"/>
              </w:rPr>
              <w:t>/texts</w:t>
            </w:r>
            <w:r w:rsidRPr="00F97F08">
              <w:rPr>
                <w:rFonts w:cs="Arial"/>
              </w:rPr>
              <w:t xml:space="preserve"> from these units within five minutes, </w:t>
            </w:r>
            <w:r w:rsidRPr="00F97F08">
              <w:rPr>
                <w:rFonts w:cs="Arial"/>
                <w:snapToGrid w:val="0"/>
                <w:color w:val="000000"/>
              </w:rPr>
              <w:t xml:space="preserve">based on a </w:t>
            </w:r>
            <w:hyperlink w:anchor="Endnote28_ResponseAnalysis" w:history="1">
              <w:r w:rsidR="001848C0" w:rsidRPr="00F97F08">
                <w:rPr>
                  <w:rStyle w:val="Hyperlink"/>
                  <w:rFonts w:cs="Arial"/>
                  <w:snapToGrid w:val="0"/>
                </w:rPr>
                <w:t>quantified analysis</w:t>
              </w:r>
            </w:hyperlink>
            <w:r w:rsidR="00C534C7" w:rsidRPr="00F97F08">
              <w:rPr>
                <w:vertAlign w:val="superscript"/>
              </w:rPr>
              <w:fldChar w:fldCharType="begin"/>
            </w:r>
            <w:r w:rsidR="00C534C7" w:rsidRPr="00F97F08">
              <w:rPr>
                <w:rStyle w:val="Hyperlink"/>
                <w:rFonts w:cs="Arial"/>
                <w:snapToGrid w:val="0"/>
              </w:rPr>
              <w:instrText xml:space="preserve"> NOTEREF _Ref534212563 \f \h </w:instrText>
            </w:r>
            <w:r w:rsidR="003F6531" w:rsidRPr="00F97F08">
              <w:rPr>
                <w:vertAlign w:val="superscript"/>
              </w:rPr>
              <w:instrText xml:space="preserve"> \* MERGEFORMAT </w:instrText>
            </w:r>
            <w:r w:rsidR="00C534C7" w:rsidRPr="00F97F08">
              <w:rPr>
                <w:vertAlign w:val="superscript"/>
              </w:rPr>
            </w:r>
            <w:r w:rsidR="00C534C7" w:rsidRPr="00F97F08">
              <w:rPr>
                <w:vertAlign w:val="superscript"/>
              </w:rPr>
              <w:fldChar w:fldCharType="separate"/>
            </w:r>
            <w:r w:rsidR="007D53A2" w:rsidRPr="00A012EC">
              <w:rPr>
                <w:rStyle w:val="EndnoteReference"/>
              </w:rPr>
              <w:t>39</w:t>
            </w:r>
            <w:r w:rsidR="00C534C7" w:rsidRPr="00F97F08">
              <w:rPr>
                <w:vertAlign w:val="superscript"/>
              </w:rPr>
              <w:fldChar w:fldCharType="end"/>
            </w:r>
            <w:r w:rsidR="001848C0" w:rsidRPr="00F97F08">
              <w:rPr>
                <w:rFonts w:cs="Arial"/>
                <w:snapToGrid w:val="0"/>
              </w:rPr>
              <w:t xml:space="preserve"> </w:t>
            </w:r>
            <w:r w:rsidRPr="00F97F08">
              <w:rPr>
                <w:rFonts w:cs="Arial"/>
                <w:snapToGrid w:val="0"/>
              </w:rPr>
              <w:t>of notification device response time</w:t>
            </w:r>
            <w:r w:rsidRPr="00F97F08">
              <w:rPr>
                <w:rFonts w:cs="Arial"/>
              </w:rPr>
              <w:t>?</w:t>
            </w:r>
            <w:r w:rsidR="004310D9" w:rsidRPr="00F97F08">
              <w:rPr>
                <w:rFonts w:cs="Arial"/>
              </w:rPr>
              <w:t xml:space="preserve"> (</w:t>
            </w:r>
            <w:hyperlink w:anchor="Endnote30_TeleCoverCalls" w:history="1">
              <w:r w:rsidR="004310D9" w:rsidRPr="00F97F08">
                <w:rPr>
                  <w:rStyle w:val="Hyperlink"/>
                  <w:rFonts w:cs="Arial"/>
                </w:rPr>
                <w:t>More information on the use of telemedicine to cover call</w:t>
              </w:r>
              <w:r w:rsidR="00624047" w:rsidRPr="00F97F08">
                <w:rPr>
                  <w:rStyle w:val="Hyperlink"/>
                  <w:rFonts w:cs="Arial"/>
                </w:rPr>
                <w:t>s</w:t>
              </w:r>
            </w:hyperlink>
            <w:r w:rsidR="000F0582">
              <w:rPr>
                <w:rStyle w:val="Hyperlink"/>
                <w:rFonts w:ascii="ZWAdobeF" w:hAnsi="ZWAdobeF" w:cs="ZWAdobeF"/>
                <w:color w:val="auto"/>
                <w:sz w:val="2"/>
                <w:szCs w:val="2"/>
                <w:u w:val="none"/>
              </w:rPr>
              <w:t>40F</w:t>
            </w:r>
            <w:r w:rsidR="00BF053F">
              <w:rPr>
                <w:rStyle w:val="Hyperlink"/>
                <w:rFonts w:ascii="ZWAdobeF" w:hAnsi="ZWAdobeF" w:cs="ZWAdobeF"/>
                <w:color w:val="auto"/>
                <w:sz w:val="2"/>
                <w:szCs w:val="2"/>
                <w:u w:val="none"/>
              </w:rPr>
              <w:t>40F</w:t>
            </w:r>
            <w:r w:rsidR="004C7557">
              <w:rPr>
                <w:rStyle w:val="Hyperlink"/>
                <w:rFonts w:ascii="ZWAdobeF" w:hAnsi="ZWAdobeF" w:cs="ZWAdobeF"/>
                <w:color w:val="auto"/>
                <w:sz w:val="2"/>
                <w:szCs w:val="2"/>
                <w:u w:val="none"/>
              </w:rPr>
              <w:t>40F</w:t>
            </w:r>
            <w:r w:rsidR="00C2087D">
              <w:rPr>
                <w:rStyle w:val="Hyperlink"/>
                <w:rFonts w:ascii="ZWAdobeF" w:hAnsi="ZWAdobeF" w:cs="ZWAdobeF"/>
                <w:color w:val="auto"/>
                <w:sz w:val="2"/>
                <w:szCs w:val="2"/>
                <w:u w:val="none"/>
              </w:rPr>
              <w:t>40F</w:t>
            </w:r>
            <w:r w:rsidR="00B55C41">
              <w:rPr>
                <w:rStyle w:val="Hyperlink"/>
                <w:rFonts w:ascii="ZWAdobeF" w:hAnsi="ZWAdobeF" w:cs="ZWAdobeF"/>
                <w:color w:val="auto"/>
                <w:sz w:val="2"/>
                <w:szCs w:val="2"/>
                <w:u w:val="none"/>
              </w:rPr>
              <w:t>40F</w:t>
            </w:r>
            <w:r w:rsidR="006255A6">
              <w:rPr>
                <w:rStyle w:val="Hyperlink"/>
                <w:rFonts w:ascii="ZWAdobeF" w:hAnsi="ZWAdobeF" w:cs="ZWAdobeF"/>
                <w:color w:val="auto"/>
                <w:sz w:val="2"/>
                <w:szCs w:val="2"/>
                <w:u w:val="none"/>
              </w:rPr>
              <w:t>40F</w:t>
            </w:r>
            <w:r w:rsidR="00E453C7">
              <w:rPr>
                <w:rStyle w:val="Hyperlink"/>
                <w:rFonts w:ascii="ZWAdobeF" w:hAnsi="ZWAdobeF" w:cs="ZWAdobeF"/>
                <w:color w:val="auto"/>
                <w:sz w:val="2"/>
                <w:szCs w:val="2"/>
                <w:u w:val="none"/>
              </w:rPr>
              <w:t>40F</w:t>
            </w:r>
            <w:r w:rsidR="00953060">
              <w:rPr>
                <w:rStyle w:val="Hyperlink"/>
                <w:rFonts w:ascii="ZWAdobeF" w:hAnsi="ZWAdobeF" w:cs="ZWAdobeF"/>
                <w:color w:val="auto"/>
                <w:sz w:val="2"/>
                <w:szCs w:val="2"/>
                <w:u w:val="none"/>
              </w:rPr>
              <w:t>40F</w:t>
            </w:r>
            <w:r w:rsidR="00DD04D6">
              <w:rPr>
                <w:rStyle w:val="Hyperlink"/>
                <w:rFonts w:ascii="ZWAdobeF" w:hAnsi="ZWAdobeF" w:cs="ZWAdobeF"/>
                <w:color w:val="auto"/>
                <w:sz w:val="2"/>
                <w:szCs w:val="2"/>
                <w:u w:val="none"/>
              </w:rPr>
              <w:t>40F</w:t>
            </w:r>
            <w:r w:rsidR="004310D9" w:rsidRPr="00BD4AEE">
              <w:rPr>
                <w:rStyle w:val="EndnoteReference"/>
                <w:rFonts w:cs="Arial"/>
              </w:rPr>
              <w:endnoteReference w:id="42"/>
            </w:r>
            <w:r w:rsidR="004310D9" w:rsidRPr="00F97F08">
              <w:rPr>
                <w:rFonts w:cs="Arial"/>
              </w:rPr>
              <w:t>)</w:t>
            </w:r>
          </w:p>
        </w:tc>
        <w:tc>
          <w:tcPr>
            <w:tcW w:w="2199" w:type="dxa"/>
            <w:vAlign w:val="center"/>
          </w:tcPr>
          <w:p w14:paraId="72F6F936" w14:textId="18931FD0" w:rsidR="00EA4193" w:rsidRPr="000C1F1D" w:rsidRDefault="008910AA" w:rsidP="00AD309C">
            <w:pPr>
              <w:pStyle w:val="ListParagraph"/>
              <w:numPr>
                <w:ilvl w:val="0"/>
                <w:numId w:val="343"/>
              </w:numPr>
              <w:rPr>
                <w:rFonts w:cs="Arial"/>
                <w:iCs/>
              </w:rPr>
            </w:pPr>
            <w:r w:rsidRPr="000C1F1D">
              <w:rPr>
                <w:rFonts w:cs="Arial"/>
                <w:iCs/>
              </w:rPr>
              <w:t>Yes</w:t>
            </w:r>
          </w:p>
          <w:p w14:paraId="222D1A01" w14:textId="77777777" w:rsidR="005E285A" w:rsidRDefault="008910AA" w:rsidP="00AD309C">
            <w:pPr>
              <w:pStyle w:val="ListParagraph"/>
              <w:numPr>
                <w:ilvl w:val="0"/>
                <w:numId w:val="343"/>
              </w:numPr>
              <w:rPr>
                <w:rFonts w:cs="Arial"/>
                <w:iCs/>
              </w:rPr>
            </w:pPr>
            <w:r w:rsidRPr="000C1F1D">
              <w:rPr>
                <w:rFonts w:cs="Arial"/>
                <w:iCs/>
              </w:rPr>
              <w:t>No</w:t>
            </w:r>
          </w:p>
          <w:p w14:paraId="708C7459" w14:textId="1A17E807" w:rsidR="006F7343" w:rsidRPr="005E285A" w:rsidRDefault="006F7343" w:rsidP="00AD309C">
            <w:pPr>
              <w:pStyle w:val="ListParagraph"/>
              <w:numPr>
                <w:ilvl w:val="0"/>
                <w:numId w:val="343"/>
              </w:numPr>
              <w:rPr>
                <w:rFonts w:cs="Arial"/>
                <w:iCs/>
              </w:rPr>
            </w:pPr>
            <w:r w:rsidRPr="005E285A">
              <w:rPr>
                <w:rFonts w:cs="Arial"/>
                <w:bCs/>
                <w:iCs/>
              </w:rPr>
              <w:t>Not applicable</w:t>
            </w:r>
            <w:r w:rsidR="00AD0B6C" w:rsidRPr="005E285A">
              <w:rPr>
                <w:rFonts w:cs="Arial"/>
                <w:bCs/>
                <w:iCs/>
              </w:rPr>
              <w:t>;</w:t>
            </w:r>
            <w:r w:rsidRPr="005E285A">
              <w:rPr>
                <w:rFonts w:cs="Arial"/>
                <w:bCs/>
                <w:iCs/>
              </w:rPr>
              <w:t xml:space="preserve"> </w:t>
            </w:r>
            <w:r w:rsidR="00C40675" w:rsidRPr="005E285A">
              <w:rPr>
                <w:rFonts w:cs="Arial"/>
                <w:bCs/>
                <w:iCs/>
              </w:rPr>
              <w:t>i</w:t>
            </w:r>
            <w:r w:rsidRPr="005E285A">
              <w:rPr>
                <w:rFonts w:cs="Arial"/>
                <w:bCs/>
                <w:iCs/>
              </w:rPr>
              <w:t>ntensivists are present</w:t>
            </w:r>
            <w:r w:rsidR="007D7B03" w:rsidRPr="005E285A">
              <w:rPr>
                <w:rFonts w:cs="Arial"/>
                <w:bCs/>
                <w:iCs/>
              </w:rPr>
              <w:t xml:space="preserve"> on-site</w:t>
            </w:r>
            <w:r w:rsidRPr="005E285A">
              <w:rPr>
                <w:rFonts w:cs="Arial"/>
                <w:bCs/>
                <w:iCs/>
              </w:rPr>
              <w:t xml:space="preserve"> 24/7</w:t>
            </w:r>
          </w:p>
        </w:tc>
      </w:tr>
      <w:tr w:rsidR="008910AA" w:rsidRPr="009A5185" w14:paraId="1E7370F7" w14:textId="77777777" w:rsidTr="00996708">
        <w:trPr>
          <w:trHeight w:val="1584"/>
          <w:jc w:val="center"/>
        </w:trPr>
        <w:tc>
          <w:tcPr>
            <w:tcW w:w="7368" w:type="dxa"/>
          </w:tcPr>
          <w:p w14:paraId="7531503E" w14:textId="6F357BE0" w:rsidR="008910AA" w:rsidRPr="00F97F08" w:rsidRDefault="008910AA" w:rsidP="00AD309C">
            <w:pPr>
              <w:pStyle w:val="ListParagraph"/>
              <w:numPr>
                <w:ilvl w:val="0"/>
                <w:numId w:val="31"/>
              </w:numPr>
              <w:spacing w:before="120"/>
              <w:rPr>
                <w:rFonts w:cs="Arial"/>
              </w:rPr>
            </w:pPr>
            <w:r w:rsidRPr="00F97F08">
              <w:rPr>
                <w:rFonts w:cs="Arial"/>
              </w:rPr>
              <w:t xml:space="preserve">When the physicians </w:t>
            </w:r>
            <w:r w:rsidR="00343721" w:rsidRPr="00F97F08">
              <w:rPr>
                <w:rFonts w:cs="Arial"/>
              </w:rPr>
              <w:t>(from question #</w:t>
            </w:r>
            <w:r w:rsidR="004310D9" w:rsidRPr="00F97F08">
              <w:rPr>
                <w:rFonts w:cs="Arial"/>
              </w:rPr>
              <w:t>3</w:t>
            </w:r>
            <w:r w:rsidR="00343721" w:rsidRPr="00F97F08">
              <w:rPr>
                <w:rFonts w:cs="Arial"/>
              </w:rPr>
              <w:t xml:space="preserve">) </w:t>
            </w:r>
            <w:r w:rsidRPr="00F97F08">
              <w:rPr>
                <w:rFonts w:cs="Arial"/>
              </w:rPr>
              <w:t xml:space="preserve">are not present on-site in the ICU or not able to </w:t>
            </w:r>
            <w:r w:rsidR="004310D9" w:rsidRPr="00F97F08">
              <w:rPr>
                <w:rFonts w:cs="Arial"/>
              </w:rPr>
              <w:t xml:space="preserve">physically </w:t>
            </w:r>
            <w:r w:rsidRPr="00F97F08">
              <w:rPr>
                <w:rFonts w:cs="Arial"/>
              </w:rPr>
              <w:t xml:space="preserve">reach an ICU patient within 5 minutes, can they rely on a </w:t>
            </w:r>
            <w:hyperlink w:anchor="Endnote31_OtherEffector" w:history="1">
              <w:r w:rsidRPr="00F97F08">
                <w:rPr>
                  <w:rStyle w:val="Hyperlink"/>
                  <w:rFonts w:cs="Arial"/>
                </w:rPr>
                <w:t>physician, physician assistant, nurse practitioner</w:t>
              </w:r>
            </w:hyperlink>
            <w:bookmarkStart w:id="413" w:name="_Ref91166814"/>
            <w:r w:rsidR="000F0582">
              <w:rPr>
                <w:rStyle w:val="Hyperlink"/>
                <w:rFonts w:ascii="ZWAdobeF" w:hAnsi="ZWAdobeF" w:cs="ZWAdobeF"/>
                <w:color w:val="auto"/>
                <w:sz w:val="2"/>
                <w:szCs w:val="2"/>
                <w:u w:val="none"/>
              </w:rPr>
              <w:t>41F</w:t>
            </w:r>
            <w:r w:rsidR="00BF053F">
              <w:rPr>
                <w:rStyle w:val="Hyperlink"/>
                <w:rFonts w:ascii="ZWAdobeF" w:hAnsi="ZWAdobeF" w:cs="ZWAdobeF"/>
                <w:color w:val="auto"/>
                <w:sz w:val="2"/>
                <w:szCs w:val="2"/>
                <w:u w:val="none"/>
              </w:rPr>
              <w:t>41F</w:t>
            </w:r>
            <w:r w:rsidR="004C7557">
              <w:rPr>
                <w:rStyle w:val="Hyperlink"/>
                <w:rFonts w:ascii="ZWAdobeF" w:hAnsi="ZWAdobeF" w:cs="ZWAdobeF"/>
                <w:color w:val="auto"/>
                <w:sz w:val="2"/>
                <w:szCs w:val="2"/>
                <w:u w:val="none"/>
              </w:rPr>
              <w:t>41F</w:t>
            </w:r>
            <w:r w:rsidR="00C2087D">
              <w:rPr>
                <w:rStyle w:val="Hyperlink"/>
                <w:rFonts w:ascii="ZWAdobeF" w:hAnsi="ZWAdobeF" w:cs="ZWAdobeF"/>
                <w:color w:val="auto"/>
                <w:sz w:val="2"/>
                <w:szCs w:val="2"/>
                <w:u w:val="none"/>
              </w:rPr>
              <w:t>41F</w:t>
            </w:r>
            <w:r w:rsidR="00B55C41">
              <w:rPr>
                <w:rStyle w:val="Hyperlink"/>
                <w:rFonts w:ascii="ZWAdobeF" w:hAnsi="ZWAdobeF" w:cs="ZWAdobeF"/>
                <w:color w:val="auto"/>
                <w:sz w:val="2"/>
                <w:szCs w:val="2"/>
                <w:u w:val="none"/>
              </w:rPr>
              <w:t>41F</w:t>
            </w:r>
            <w:r w:rsidR="006255A6">
              <w:rPr>
                <w:rStyle w:val="Hyperlink"/>
                <w:rFonts w:ascii="ZWAdobeF" w:hAnsi="ZWAdobeF" w:cs="ZWAdobeF"/>
                <w:color w:val="auto"/>
                <w:sz w:val="2"/>
                <w:szCs w:val="2"/>
                <w:u w:val="none"/>
              </w:rPr>
              <w:t>41F</w:t>
            </w:r>
            <w:r w:rsidR="00E453C7">
              <w:rPr>
                <w:rStyle w:val="Hyperlink"/>
                <w:rFonts w:ascii="ZWAdobeF" w:hAnsi="ZWAdobeF" w:cs="ZWAdobeF"/>
                <w:color w:val="auto"/>
                <w:sz w:val="2"/>
                <w:szCs w:val="2"/>
                <w:u w:val="none"/>
              </w:rPr>
              <w:t>41F</w:t>
            </w:r>
            <w:r w:rsidR="00953060">
              <w:rPr>
                <w:rStyle w:val="Hyperlink"/>
                <w:rFonts w:ascii="ZWAdobeF" w:hAnsi="ZWAdobeF" w:cs="ZWAdobeF"/>
                <w:color w:val="auto"/>
                <w:sz w:val="2"/>
                <w:szCs w:val="2"/>
                <w:u w:val="none"/>
              </w:rPr>
              <w:t>41F</w:t>
            </w:r>
            <w:r w:rsidR="00DD04D6">
              <w:rPr>
                <w:rStyle w:val="Hyperlink"/>
                <w:rFonts w:ascii="ZWAdobeF" w:hAnsi="ZWAdobeF" w:cs="ZWAdobeF"/>
                <w:color w:val="auto"/>
                <w:sz w:val="2"/>
                <w:szCs w:val="2"/>
                <w:u w:val="none"/>
              </w:rPr>
              <w:t>41F</w:t>
            </w:r>
            <w:r w:rsidR="00FA7D20">
              <w:rPr>
                <w:rStyle w:val="EndnoteReference"/>
              </w:rPr>
              <w:endnoteReference w:id="43"/>
            </w:r>
            <w:bookmarkEnd w:id="413"/>
            <w:r w:rsidRPr="00F97F08">
              <w:rPr>
                <w:rFonts w:cs="Arial"/>
              </w:rPr>
              <w:t xml:space="preserve">, or </w:t>
            </w:r>
            <w:hyperlink w:anchor="Endnote29_NurseEffector" w:history="1">
              <w:r w:rsidRPr="00F97F08">
                <w:rPr>
                  <w:rStyle w:val="Hyperlink"/>
                  <w:rFonts w:cs="Arial"/>
                </w:rPr>
                <w:t xml:space="preserve">FCCS-certified nurse </w:t>
              </w:r>
              <w:r w:rsidR="003061E3" w:rsidRPr="00F97F08">
                <w:rPr>
                  <w:rStyle w:val="Hyperlink"/>
                  <w:rFonts w:cs="Arial"/>
                </w:rPr>
                <w:t xml:space="preserve">or intern </w:t>
              </w:r>
              <w:r w:rsidRPr="00F97F08">
                <w:rPr>
                  <w:rStyle w:val="Hyperlink"/>
                  <w:rFonts w:cs="Arial"/>
                </w:rPr>
                <w:t>“effector</w:t>
              </w:r>
              <w:r w:rsidR="004C3E7B" w:rsidRPr="00F97F08">
                <w:rPr>
                  <w:rStyle w:val="Hyperlink"/>
                  <w:rFonts w:cs="Arial"/>
                </w:rPr>
                <w:t>”</w:t>
              </w:r>
            </w:hyperlink>
            <w:r w:rsidR="000F4DD8" w:rsidRPr="00F97F08">
              <w:rPr>
                <w:vertAlign w:val="superscript"/>
              </w:rPr>
              <w:fldChar w:fldCharType="begin"/>
            </w:r>
            <w:r w:rsidR="000F4DD8" w:rsidRPr="00F97F08">
              <w:rPr>
                <w:rStyle w:val="Hyperlink"/>
                <w:rFonts w:cs="Arial"/>
              </w:rPr>
              <w:instrText xml:space="preserve"> NOTEREF _Ref91167163 \f \h </w:instrText>
            </w:r>
            <w:r w:rsidR="003F6531" w:rsidRPr="00F97F08">
              <w:rPr>
                <w:vertAlign w:val="superscript"/>
              </w:rPr>
              <w:instrText xml:space="preserve"> \* MERGEFORMAT </w:instrText>
            </w:r>
            <w:r w:rsidR="000F4DD8" w:rsidRPr="00F97F08">
              <w:rPr>
                <w:vertAlign w:val="superscript"/>
              </w:rPr>
            </w:r>
            <w:r w:rsidR="000F4DD8" w:rsidRPr="00F97F08">
              <w:rPr>
                <w:vertAlign w:val="superscript"/>
              </w:rPr>
              <w:fldChar w:fldCharType="separate"/>
            </w:r>
            <w:r w:rsidR="007D53A2" w:rsidRPr="00A012EC">
              <w:rPr>
                <w:rStyle w:val="EndnoteReference"/>
              </w:rPr>
              <w:t>40</w:t>
            </w:r>
            <w:r w:rsidR="000F4DD8" w:rsidRPr="00F97F08">
              <w:rPr>
                <w:vertAlign w:val="superscript"/>
              </w:rPr>
              <w:fldChar w:fldCharType="end"/>
            </w:r>
            <w:r w:rsidR="003D2251" w:rsidRPr="00F97F08">
              <w:rPr>
                <w:rFonts w:cs="Arial"/>
              </w:rPr>
              <w:t xml:space="preserve"> </w:t>
            </w:r>
            <w:r w:rsidRPr="00F97F08">
              <w:rPr>
                <w:rFonts w:cs="Arial"/>
              </w:rPr>
              <w:t xml:space="preserve">who is in the hospital and able to reach these ICU patients within five minutes in more than 95% of the cases, </w:t>
            </w:r>
            <w:r w:rsidRPr="00F97F08">
              <w:rPr>
                <w:rFonts w:cs="Arial"/>
                <w:snapToGrid w:val="0"/>
                <w:color w:val="000000"/>
              </w:rPr>
              <w:t xml:space="preserve">based on a </w:t>
            </w:r>
            <w:hyperlink w:anchor="Endnote28_ResponseAnalysis" w:history="1">
              <w:r w:rsidR="003D2251" w:rsidRPr="00F97F08">
                <w:rPr>
                  <w:rStyle w:val="Hyperlink"/>
                  <w:rFonts w:cs="Arial"/>
                  <w:snapToGrid w:val="0"/>
                </w:rPr>
                <w:t>quantified analysis</w:t>
              </w:r>
            </w:hyperlink>
            <w:r w:rsidR="000F4DD8" w:rsidRPr="00F97F08">
              <w:rPr>
                <w:rFonts w:cs="Arial"/>
                <w:vertAlign w:val="superscript"/>
              </w:rPr>
              <w:fldChar w:fldCharType="begin"/>
            </w:r>
            <w:r w:rsidR="000F4DD8" w:rsidRPr="00F97F08">
              <w:rPr>
                <w:rStyle w:val="Hyperlink"/>
                <w:rFonts w:cs="Arial"/>
                <w:snapToGrid w:val="0"/>
              </w:rPr>
              <w:instrText xml:space="preserve"> NOTEREF _Ref534212563 \f \h </w:instrText>
            </w:r>
            <w:r w:rsidR="003F6531" w:rsidRPr="00F97F08">
              <w:rPr>
                <w:rFonts w:cs="Arial"/>
                <w:vertAlign w:val="superscript"/>
              </w:rPr>
              <w:instrText xml:space="preserve"> \* MERGEFORMAT </w:instrText>
            </w:r>
            <w:r w:rsidR="000F4DD8" w:rsidRPr="00F97F08">
              <w:rPr>
                <w:rFonts w:cs="Arial"/>
                <w:vertAlign w:val="superscript"/>
              </w:rPr>
            </w:r>
            <w:r w:rsidR="000F4DD8" w:rsidRPr="00F97F08">
              <w:rPr>
                <w:rFonts w:cs="Arial"/>
                <w:vertAlign w:val="superscript"/>
              </w:rPr>
              <w:fldChar w:fldCharType="separate"/>
            </w:r>
            <w:r w:rsidR="007D53A2" w:rsidRPr="00A012EC">
              <w:rPr>
                <w:rStyle w:val="EndnoteReference"/>
              </w:rPr>
              <w:t>39</w:t>
            </w:r>
            <w:r w:rsidR="000F4DD8" w:rsidRPr="00F97F08">
              <w:rPr>
                <w:rFonts w:cs="Arial"/>
                <w:vertAlign w:val="superscript"/>
              </w:rPr>
              <w:fldChar w:fldCharType="end"/>
            </w:r>
            <w:r w:rsidR="003D2251" w:rsidRPr="00F97F08">
              <w:rPr>
                <w:rFonts w:cs="Arial"/>
                <w:snapToGrid w:val="0"/>
                <w:color w:val="000000"/>
              </w:rPr>
              <w:t xml:space="preserve"> </w:t>
            </w:r>
            <w:r w:rsidRPr="00F97F08">
              <w:rPr>
                <w:rFonts w:cs="Arial"/>
                <w:snapToGrid w:val="0"/>
                <w:color w:val="000000"/>
              </w:rPr>
              <w:t>of response time</w:t>
            </w:r>
            <w:r w:rsidR="009C3014" w:rsidRPr="00F97F08">
              <w:rPr>
                <w:rFonts w:cs="Arial"/>
                <w:snapToGrid w:val="0"/>
                <w:color w:val="000000"/>
              </w:rPr>
              <w:t xml:space="preserve"> </w:t>
            </w:r>
            <w:r w:rsidR="005B7CBC" w:rsidRPr="00F97F08">
              <w:rPr>
                <w:rFonts w:cs="Arial"/>
                <w:snapToGrid w:val="0"/>
                <w:color w:val="000000"/>
              </w:rPr>
              <w:t>of</w:t>
            </w:r>
            <w:r w:rsidR="009C3014" w:rsidRPr="00F97F08">
              <w:rPr>
                <w:rFonts w:cs="Arial"/>
                <w:snapToGrid w:val="0"/>
                <w:color w:val="000000"/>
              </w:rPr>
              <w:t xml:space="preserve"> the effector reaching the patient</w:t>
            </w:r>
            <w:r w:rsidRPr="00F97F08">
              <w:rPr>
                <w:rFonts w:cs="Arial"/>
              </w:rPr>
              <w:t>?</w:t>
            </w:r>
          </w:p>
        </w:tc>
        <w:tc>
          <w:tcPr>
            <w:tcW w:w="2199" w:type="dxa"/>
            <w:vAlign w:val="center"/>
          </w:tcPr>
          <w:p w14:paraId="5B2B18BB" w14:textId="0A9DC75B" w:rsidR="00EA4193" w:rsidRPr="000C1F1D" w:rsidRDefault="008910AA" w:rsidP="00AD309C">
            <w:pPr>
              <w:pStyle w:val="ListParagraph"/>
              <w:numPr>
                <w:ilvl w:val="0"/>
                <w:numId w:val="343"/>
              </w:numPr>
              <w:rPr>
                <w:rFonts w:cs="Arial"/>
                <w:iCs/>
              </w:rPr>
            </w:pPr>
            <w:r w:rsidRPr="000C1F1D">
              <w:rPr>
                <w:rFonts w:cs="Arial"/>
                <w:iCs/>
              </w:rPr>
              <w:t>Yes</w:t>
            </w:r>
          </w:p>
          <w:p w14:paraId="304BEF51" w14:textId="77777777" w:rsidR="00ED42CB" w:rsidRDefault="008910AA" w:rsidP="00AD309C">
            <w:pPr>
              <w:pStyle w:val="ListParagraph"/>
              <w:numPr>
                <w:ilvl w:val="0"/>
                <w:numId w:val="343"/>
              </w:numPr>
              <w:rPr>
                <w:rFonts w:cs="Arial"/>
                <w:iCs/>
              </w:rPr>
            </w:pPr>
            <w:r w:rsidRPr="000C1F1D">
              <w:rPr>
                <w:rFonts w:cs="Arial"/>
                <w:iCs/>
              </w:rPr>
              <w:t>No</w:t>
            </w:r>
          </w:p>
          <w:p w14:paraId="581E536D" w14:textId="48C7B3DD" w:rsidR="008910AA" w:rsidRPr="000C1F1D" w:rsidRDefault="006F7343" w:rsidP="00AD309C">
            <w:pPr>
              <w:pStyle w:val="ListParagraph"/>
              <w:numPr>
                <w:ilvl w:val="0"/>
                <w:numId w:val="343"/>
              </w:numPr>
              <w:rPr>
                <w:rFonts w:cs="Arial"/>
                <w:iCs/>
              </w:rPr>
            </w:pPr>
            <w:r w:rsidRPr="000C1F1D">
              <w:rPr>
                <w:rFonts w:cs="Arial"/>
                <w:bCs/>
                <w:iCs/>
              </w:rPr>
              <w:t xml:space="preserve">Not </w:t>
            </w:r>
            <w:r w:rsidR="0073524E" w:rsidRPr="000C1F1D">
              <w:rPr>
                <w:rFonts w:cs="Arial"/>
                <w:bCs/>
                <w:iCs/>
              </w:rPr>
              <w:t>applicable</w:t>
            </w:r>
            <w:r w:rsidR="00AD0B6C" w:rsidRPr="000C1F1D">
              <w:rPr>
                <w:rFonts w:cs="Arial"/>
                <w:bCs/>
                <w:iCs/>
              </w:rPr>
              <w:t>;</w:t>
            </w:r>
            <w:r w:rsidR="0073524E" w:rsidRPr="000C1F1D">
              <w:rPr>
                <w:rFonts w:cs="Arial"/>
                <w:bCs/>
                <w:iCs/>
              </w:rPr>
              <w:t xml:space="preserve"> intensivists</w:t>
            </w:r>
            <w:r w:rsidRPr="000C1F1D">
              <w:rPr>
                <w:rFonts w:cs="Arial"/>
                <w:bCs/>
                <w:iCs/>
              </w:rPr>
              <w:t xml:space="preserve"> are present </w:t>
            </w:r>
            <w:r w:rsidR="00687845" w:rsidRPr="000C1F1D">
              <w:rPr>
                <w:rFonts w:cs="Arial"/>
                <w:bCs/>
                <w:iCs/>
              </w:rPr>
              <w:t xml:space="preserve">on-site </w:t>
            </w:r>
            <w:r w:rsidRPr="000C1F1D">
              <w:rPr>
                <w:rFonts w:cs="Arial"/>
                <w:bCs/>
                <w:iCs/>
              </w:rPr>
              <w:t>24/7</w:t>
            </w:r>
          </w:p>
        </w:tc>
      </w:tr>
    </w:tbl>
    <w:p w14:paraId="4DC16A94" w14:textId="77777777" w:rsidR="00CC2E61" w:rsidRPr="009A5185" w:rsidRDefault="00CC2E61">
      <w:pPr>
        <w:rPr>
          <w:rFonts w:cs="Arial"/>
          <w:i/>
        </w:rPr>
      </w:pPr>
    </w:p>
    <w:p w14:paraId="1022881C" w14:textId="4655BF39" w:rsidR="008910AA" w:rsidRDefault="008910AA">
      <w:pPr>
        <w:rPr>
          <w:rFonts w:cs="Arial"/>
          <w:i/>
        </w:rPr>
      </w:pPr>
      <w:r w:rsidRPr="00221696">
        <w:rPr>
          <w:rFonts w:cs="Arial"/>
          <w:i/>
        </w:rPr>
        <w:t xml:space="preserve">If </w:t>
      </w:r>
      <w:r w:rsidR="00343721" w:rsidRPr="00221696">
        <w:rPr>
          <w:rFonts w:cs="Arial"/>
          <w:i/>
        </w:rPr>
        <w:t>“no”</w:t>
      </w:r>
      <w:r w:rsidRPr="00221696">
        <w:rPr>
          <w:rFonts w:cs="Arial"/>
          <w:i/>
        </w:rPr>
        <w:t xml:space="preserve"> to </w:t>
      </w:r>
      <w:r w:rsidR="000E602A" w:rsidRPr="00221696">
        <w:rPr>
          <w:rFonts w:cs="Arial"/>
          <w:i/>
        </w:rPr>
        <w:t>either</w:t>
      </w:r>
      <w:r w:rsidRPr="00221696">
        <w:rPr>
          <w:rFonts w:cs="Arial"/>
          <w:i/>
        </w:rPr>
        <w:t xml:space="preserve"> question #</w:t>
      </w:r>
      <w:r w:rsidR="00F97F08">
        <w:rPr>
          <w:rFonts w:cs="Arial"/>
          <w:i/>
        </w:rPr>
        <w:t>7</w:t>
      </w:r>
      <w:r w:rsidR="004539AC" w:rsidRPr="00221696">
        <w:rPr>
          <w:rFonts w:cs="Arial"/>
          <w:i/>
        </w:rPr>
        <w:t xml:space="preserve"> or </w:t>
      </w:r>
      <w:r w:rsidR="004C2130" w:rsidRPr="00221696">
        <w:rPr>
          <w:rFonts w:cs="Arial"/>
          <w:i/>
        </w:rPr>
        <w:t>#</w:t>
      </w:r>
      <w:r w:rsidR="00F97F08">
        <w:rPr>
          <w:rFonts w:cs="Arial"/>
          <w:i/>
        </w:rPr>
        <w:t>8</w:t>
      </w:r>
      <w:r w:rsidR="00624047" w:rsidRPr="00221696">
        <w:rPr>
          <w:rFonts w:cs="Arial"/>
          <w:i/>
        </w:rPr>
        <w:t xml:space="preserve"> </w:t>
      </w:r>
      <w:r w:rsidRPr="00221696">
        <w:rPr>
          <w:rFonts w:cs="Arial"/>
          <w:i/>
        </w:rPr>
        <w:t xml:space="preserve">in this section, </w:t>
      </w:r>
      <w:r w:rsidR="00AB1346">
        <w:rPr>
          <w:rFonts w:cs="Arial"/>
          <w:i/>
        </w:rPr>
        <w:t xml:space="preserve">continue to </w:t>
      </w:r>
      <w:r w:rsidRPr="00221696">
        <w:rPr>
          <w:rFonts w:cs="Arial"/>
          <w:i/>
        </w:rPr>
        <w:t>questions</w:t>
      </w:r>
      <w:r w:rsidR="00343721" w:rsidRPr="00221696">
        <w:rPr>
          <w:rFonts w:cs="Arial"/>
          <w:i/>
        </w:rPr>
        <w:t xml:space="preserve"> #</w:t>
      </w:r>
      <w:r w:rsidR="00F97F08">
        <w:rPr>
          <w:rFonts w:cs="Arial"/>
          <w:i/>
        </w:rPr>
        <w:t>9</w:t>
      </w:r>
      <w:r w:rsidR="00343721" w:rsidRPr="00221696">
        <w:rPr>
          <w:rFonts w:cs="Arial"/>
          <w:i/>
        </w:rPr>
        <w:t>-</w:t>
      </w:r>
      <w:r w:rsidR="00624047" w:rsidRPr="00221696">
        <w:rPr>
          <w:rFonts w:cs="Arial"/>
          <w:i/>
        </w:rPr>
        <w:t>1</w:t>
      </w:r>
      <w:r w:rsidR="00F97F08">
        <w:rPr>
          <w:rFonts w:cs="Arial"/>
          <w:i/>
        </w:rPr>
        <w:t>5</w:t>
      </w:r>
      <w:r w:rsidRPr="00221696">
        <w:rPr>
          <w:rFonts w:cs="Arial"/>
          <w:i/>
        </w:rPr>
        <w:t>.</w:t>
      </w:r>
      <w:r w:rsidR="00566F20" w:rsidRPr="00221696">
        <w:rPr>
          <w:rFonts w:cs="Arial"/>
          <w:i/>
        </w:rPr>
        <w:t xml:space="preserve"> If “yes” </w:t>
      </w:r>
      <w:r w:rsidR="00F125BA" w:rsidRPr="00221696">
        <w:rPr>
          <w:rFonts w:cs="Arial"/>
          <w:i/>
        </w:rPr>
        <w:t>or “</w:t>
      </w:r>
      <w:r w:rsidR="00EE6F78" w:rsidRPr="00221696">
        <w:rPr>
          <w:rFonts w:cs="Arial"/>
          <w:i/>
        </w:rPr>
        <w:t>n</w:t>
      </w:r>
      <w:r w:rsidR="00F125BA" w:rsidRPr="00221696">
        <w:rPr>
          <w:rFonts w:cs="Arial"/>
          <w:i/>
        </w:rPr>
        <w:t>ot applicable</w:t>
      </w:r>
      <w:r w:rsidR="00AD0B6C">
        <w:rPr>
          <w:rFonts w:cs="Arial"/>
          <w:i/>
        </w:rPr>
        <w:t>;</w:t>
      </w:r>
      <w:r w:rsidR="00F125BA" w:rsidRPr="00221696">
        <w:rPr>
          <w:rFonts w:cs="Arial"/>
          <w:i/>
        </w:rPr>
        <w:t xml:space="preserve"> </w:t>
      </w:r>
      <w:r w:rsidR="009251D6" w:rsidRPr="00221696">
        <w:rPr>
          <w:rFonts w:cs="Arial"/>
          <w:i/>
        </w:rPr>
        <w:t>i</w:t>
      </w:r>
      <w:r w:rsidR="00F125BA" w:rsidRPr="00221696">
        <w:rPr>
          <w:rFonts w:cs="Arial"/>
          <w:i/>
        </w:rPr>
        <w:t xml:space="preserve">ntensivists are present </w:t>
      </w:r>
      <w:r w:rsidR="003061E3">
        <w:rPr>
          <w:rFonts w:cs="Arial"/>
          <w:i/>
        </w:rPr>
        <w:t xml:space="preserve">on-site </w:t>
      </w:r>
      <w:r w:rsidR="00F125BA" w:rsidRPr="00221696">
        <w:rPr>
          <w:rFonts w:cs="Arial"/>
          <w:i/>
        </w:rPr>
        <w:t xml:space="preserve">24/7” </w:t>
      </w:r>
      <w:r w:rsidR="00566F20" w:rsidRPr="00221696">
        <w:rPr>
          <w:rFonts w:cs="Arial"/>
          <w:i/>
        </w:rPr>
        <w:t>to questions #</w:t>
      </w:r>
      <w:r w:rsidR="00F97F08">
        <w:rPr>
          <w:rFonts w:cs="Arial"/>
          <w:i/>
        </w:rPr>
        <w:t>7</w:t>
      </w:r>
      <w:r w:rsidR="00566F20" w:rsidRPr="00221696">
        <w:rPr>
          <w:rFonts w:cs="Arial"/>
          <w:i/>
        </w:rPr>
        <w:t xml:space="preserve"> and </w:t>
      </w:r>
      <w:r w:rsidR="00935037">
        <w:rPr>
          <w:rFonts w:cs="Arial"/>
          <w:i/>
        </w:rPr>
        <w:t>#</w:t>
      </w:r>
      <w:r w:rsidR="00F97F08">
        <w:rPr>
          <w:rFonts w:cs="Arial"/>
          <w:i/>
        </w:rPr>
        <w:t>8</w:t>
      </w:r>
      <w:r w:rsidR="00566F20" w:rsidRPr="00221696">
        <w:rPr>
          <w:rFonts w:cs="Arial"/>
          <w:i/>
        </w:rPr>
        <w:t xml:space="preserve">, skip </w:t>
      </w:r>
      <w:r w:rsidR="008978D5" w:rsidRPr="00221696">
        <w:rPr>
          <w:rFonts w:cs="Arial"/>
          <w:i/>
        </w:rPr>
        <w:t xml:space="preserve">the remaining </w:t>
      </w:r>
      <w:r w:rsidR="00566F20" w:rsidRPr="00221696">
        <w:rPr>
          <w:rFonts w:cs="Arial"/>
          <w:i/>
        </w:rPr>
        <w:t>questions</w:t>
      </w:r>
      <w:r w:rsidR="008978D5" w:rsidRPr="00221696">
        <w:rPr>
          <w:rFonts w:cs="Arial"/>
          <w:i/>
        </w:rPr>
        <w:t xml:space="preserve"> in Section 5</w:t>
      </w:r>
      <w:r w:rsidR="00202A3B">
        <w:rPr>
          <w:rFonts w:cs="Arial"/>
          <w:i/>
        </w:rPr>
        <w:t>A</w:t>
      </w:r>
      <w:r w:rsidR="00566F20" w:rsidRPr="00221696">
        <w:rPr>
          <w:rFonts w:cs="Arial"/>
          <w:i/>
        </w:rPr>
        <w:t xml:space="preserve"> and </w:t>
      </w:r>
      <w:r w:rsidR="00CD2F26">
        <w:rPr>
          <w:rFonts w:cs="Arial"/>
          <w:i/>
        </w:rPr>
        <w:t>continue</w:t>
      </w:r>
      <w:r w:rsidR="00CD2F26" w:rsidRPr="00221696">
        <w:rPr>
          <w:rFonts w:cs="Arial"/>
          <w:i/>
        </w:rPr>
        <w:t xml:space="preserve"> </w:t>
      </w:r>
      <w:r w:rsidR="00566F20" w:rsidRPr="00221696">
        <w:rPr>
          <w:rFonts w:cs="Arial"/>
          <w:i/>
        </w:rPr>
        <w:t>to</w:t>
      </w:r>
      <w:r w:rsidR="00FD6529" w:rsidRPr="00FD6529">
        <w:rPr>
          <w:rFonts w:cs="Arial"/>
          <w:i/>
        </w:rPr>
        <w:t xml:space="preserve"> </w:t>
      </w:r>
      <w:r w:rsidR="00D61B5D">
        <w:rPr>
          <w:rFonts w:cs="Arial"/>
          <w:i/>
        </w:rPr>
        <w:t>the next subsection</w:t>
      </w:r>
      <w:r w:rsidR="00566F20" w:rsidRPr="00221696">
        <w:rPr>
          <w:rFonts w:cs="Arial"/>
          <w:i/>
        </w:rPr>
        <w:t>.</w:t>
      </w:r>
    </w:p>
    <w:p w14:paraId="17CC5392" w14:textId="77777777" w:rsidR="008910AA" w:rsidRPr="00C40675" w:rsidRDefault="008910AA">
      <w:pPr>
        <w:rPr>
          <w:rFonts w:cs="Arial"/>
          <w:i/>
        </w:rPr>
      </w:pPr>
    </w:p>
    <w:tbl>
      <w:tblPr>
        <w:tblW w:w="95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34"/>
        <w:gridCol w:w="2233"/>
      </w:tblGrid>
      <w:tr w:rsidR="008910AA" w:rsidRPr="00C40675" w14:paraId="6C7F22F2" w14:textId="77777777" w:rsidTr="00996708">
        <w:trPr>
          <w:trHeight w:val="20"/>
          <w:jc w:val="center"/>
        </w:trPr>
        <w:tc>
          <w:tcPr>
            <w:tcW w:w="7334" w:type="dxa"/>
          </w:tcPr>
          <w:p w14:paraId="14AEC0C3" w14:textId="34064985" w:rsidR="008910AA" w:rsidRPr="00C40675" w:rsidRDefault="008910AA" w:rsidP="00AD309C">
            <w:pPr>
              <w:pStyle w:val="Header"/>
              <w:numPr>
                <w:ilvl w:val="0"/>
                <w:numId w:val="31"/>
              </w:numPr>
              <w:tabs>
                <w:tab w:val="clear" w:pos="4320"/>
                <w:tab w:val="clear" w:pos="8640"/>
              </w:tabs>
              <w:spacing w:before="120"/>
              <w:rPr>
                <w:rFonts w:cs="Arial"/>
              </w:rPr>
            </w:pPr>
            <w:r w:rsidRPr="00C40675">
              <w:rPr>
                <w:rFonts w:cs="Arial"/>
              </w:rPr>
              <w:t xml:space="preserve">Are </w:t>
            </w:r>
            <w:hyperlink w:anchor="Endnote22_CCPatients" w:history="1">
              <w:r w:rsidR="003D2251" w:rsidRPr="00C40675">
                <w:rPr>
                  <w:rStyle w:val="Hyperlink"/>
                  <w:rFonts w:cs="Arial"/>
                </w:rPr>
                <w:t xml:space="preserve">all </w:t>
              </w:r>
              <w:r w:rsidR="004310D9" w:rsidRPr="00C40675">
                <w:rPr>
                  <w:rStyle w:val="Hyperlink"/>
                  <w:rFonts w:cs="Arial"/>
                </w:rPr>
                <w:t xml:space="preserve">critical care </w:t>
              </w:r>
              <w:r w:rsidR="003D2251" w:rsidRPr="00C40675">
                <w:rPr>
                  <w:rStyle w:val="Hyperlink"/>
                  <w:rFonts w:cs="Arial"/>
                </w:rPr>
                <w:t>patients</w:t>
              </w:r>
            </w:hyperlink>
            <w:r w:rsidR="000F4DD8">
              <w:rPr>
                <w:vertAlign w:val="superscript"/>
              </w:rPr>
              <w:fldChar w:fldCharType="begin"/>
            </w:r>
            <w:r w:rsidR="000F4DD8">
              <w:rPr>
                <w:rStyle w:val="Hyperlink"/>
                <w:rFonts w:cs="Arial"/>
              </w:rPr>
              <w:instrText xml:space="preserve"> NOTEREF _Ref534212310 \f \h </w:instrText>
            </w:r>
            <w:r w:rsidR="0079783F">
              <w:rPr>
                <w:vertAlign w:val="superscript"/>
              </w:rPr>
              <w:instrText xml:space="preserve"> \* MERGEFORMAT </w:instrText>
            </w:r>
            <w:r w:rsidR="000F4DD8">
              <w:rPr>
                <w:vertAlign w:val="superscript"/>
              </w:rPr>
            </w:r>
            <w:r w:rsidR="000F4DD8">
              <w:rPr>
                <w:vertAlign w:val="superscript"/>
              </w:rPr>
              <w:fldChar w:fldCharType="separate"/>
            </w:r>
            <w:r w:rsidR="007D53A2" w:rsidRPr="00A012EC">
              <w:rPr>
                <w:rStyle w:val="EndnoteReference"/>
              </w:rPr>
              <w:t>34</w:t>
            </w:r>
            <w:r w:rsidR="000F4DD8">
              <w:rPr>
                <w:vertAlign w:val="superscript"/>
              </w:rPr>
              <w:fldChar w:fldCharType="end"/>
            </w:r>
            <w:r w:rsidR="003D2251" w:rsidRPr="00C40675">
              <w:rPr>
                <w:rFonts w:cs="Arial"/>
              </w:rPr>
              <w:t xml:space="preserve"> </w:t>
            </w:r>
            <w:r w:rsidRPr="00C40675">
              <w:rPr>
                <w:rFonts w:cs="Arial"/>
              </w:rPr>
              <w:t xml:space="preserve">in </w:t>
            </w:r>
            <w:r w:rsidR="00F97F08">
              <w:rPr>
                <w:rFonts w:cs="Arial"/>
              </w:rPr>
              <w:t>th</w:t>
            </w:r>
            <w:r w:rsidR="00574C9E">
              <w:rPr>
                <w:rFonts w:cs="Arial"/>
              </w:rPr>
              <w:t>e</w:t>
            </w:r>
            <w:r w:rsidR="00F97F08">
              <w:rPr>
                <w:rFonts w:cs="Arial"/>
              </w:rPr>
              <w:t xml:space="preserve"> ICU</w:t>
            </w:r>
            <w:r w:rsidRPr="00C40675">
              <w:rPr>
                <w:rFonts w:cs="Arial"/>
              </w:rPr>
              <w:t xml:space="preserve"> </w:t>
            </w:r>
            <w:hyperlink w:anchor="Endnote24_Manage" w:history="1">
              <w:r w:rsidRPr="00C40675">
                <w:rPr>
                  <w:rStyle w:val="Hyperlink"/>
                  <w:rFonts w:cs="Arial"/>
                </w:rPr>
                <w:t>managed or co-managed</w:t>
              </w:r>
            </w:hyperlink>
            <w:r w:rsidR="000F4DD8">
              <w:rPr>
                <w:rFonts w:cs="Arial"/>
                <w:vertAlign w:val="superscript"/>
              </w:rPr>
              <w:fldChar w:fldCharType="begin"/>
            </w:r>
            <w:r w:rsidR="000F4DD8">
              <w:rPr>
                <w:rStyle w:val="Hyperlink"/>
                <w:rFonts w:cs="Arial"/>
              </w:rPr>
              <w:instrText xml:space="preserve"> NOTEREF _Ref91167015 \f \h </w:instrText>
            </w:r>
            <w:r w:rsidR="0079783F">
              <w:rPr>
                <w:rFonts w:cs="Arial"/>
                <w:vertAlign w:val="superscript"/>
              </w:rPr>
              <w:instrText xml:space="preserve"> \* MERGEFORMAT </w:instrText>
            </w:r>
            <w:r w:rsidR="000F4DD8">
              <w:rPr>
                <w:rFonts w:cs="Arial"/>
                <w:vertAlign w:val="superscript"/>
              </w:rPr>
            </w:r>
            <w:r w:rsidR="000F4DD8">
              <w:rPr>
                <w:rFonts w:cs="Arial"/>
                <w:vertAlign w:val="superscript"/>
              </w:rPr>
              <w:fldChar w:fldCharType="separate"/>
            </w:r>
            <w:r w:rsidR="007D53A2" w:rsidRPr="00A012EC">
              <w:rPr>
                <w:rStyle w:val="EndnoteReference"/>
              </w:rPr>
              <w:t>35</w:t>
            </w:r>
            <w:r w:rsidR="000F4DD8">
              <w:rPr>
                <w:rFonts w:cs="Arial"/>
                <w:vertAlign w:val="superscript"/>
              </w:rPr>
              <w:fldChar w:fldCharType="end"/>
            </w:r>
            <w:r w:rsidRPr="00C40675">
              <w:rPr>
                <w:rFonts w:cs="Arial"/>
              </w:rPr>
              <w:t xml:space="preserve"> by one or more physicians </w:t>
            </w:r>
            <w:hyperlink w:anchor="Endnote25_Certified" w:history="1">
              <w:r w:rsidR="003D2251" w:rsidRPr="00C40675">
                <w:rPr>
                  <w:rStyle w:val="Hyperlink"/>
                  <w:rFonts w:cs="Arial"/>
                </w:rPr>
                <w:t>certified in critical care medicine</w:t>
              </w:r>
            </w:hyperlink>
            <w:r w:rsidR="000F4DD8">
              <w:rPr>
                <w:rFonts w:cs="Arial"/>
                <w:vertAlign w:val="superscript"/>
              </w:rPr>
              <w:fldChar w:fldCharType="begin"/>
            </w:r>
            <w:r w:rsidR="000F4DD8">
              <w:rPr>
                <w:rStyle w:val="Hyperlink"/>
                <w:rFonts w:cs="Arial"/>
              </w:rPr>
              <w:instrText xml:space="preserve"> NOTEREF _Ref534212273 \f \h </w:instrText>
            </w:r>
            <w:r w:rsidR="0079783F">
              <w:rPr>
                <w:rFonts w:cs="Arial"/>
                <w:vertAlign w:val="superscript"/>
              </w:rPr>
              <w:instrText xml:space="preserve"> \* MERGEFORMAT </w:instrText>
            </w:r>
            <w:r w:rsidR="000F4DD8">
              <w:rPr>
                <w:rFonts w:cs="Arial"/>
                <w:vertAlign w:val="superscript"/>
              </w:rPr>
            </w:r>
            <w:r w:rsidR="000F4DD8">
              <w:rPr>
                <w:rFonts w:cs="Arial"/>
                <w:vertAlign w:val="superscript"/>
              </w:rPr>
              <w:fldChar w:fldCharType="separate"/>
            </w:r>
            <w:r w:rsidR="007D53A2" w:rsidRPr="00A012EC">
              <w:rPr>
                <w:rStyle w:val="EndnoteReference"/>
              </w:rPr>
              <w:t>36</w:t>
            </w:r>
            <w:r w:rsidR="000F4DD8">
              <w:rPr>
                <w:rFonts w:cs="Arial"/>
                <w:vertAlign w:val="superscript"/>
              </w:rPr>
              <w:fldChar w:fldCharType="end"/>
            </w:r>
            <w:r w:rsidR="003D2251" w:rsidRPr="00C40675">
              <w:rPr>
                <w:rFonts w:cs="Arial"/>
              </w:rPr>
              <w:t xml:space="preserve"> </w:t>
            </w:r>
            <w:r w:rsidRPr="00C40675">
              <w:rPr>
                <w:rFonts w:cs="Arial"/>
              </w:rPr>
              <w:t xml:space="preserve">who </w:t>
            </w:r>
            <w:r w:rsidR="006161E4" w:rsidRPr="00C40675">
              <w:rPr>
                <w:rFonts w:cs="Arial"/>
              </w:rPr>
              <w:t xml:space="preserve">meet </w:t>
            </w:r>
            <w:r w:rsidR="006161E4" w:rsidRPr="00C40675">
              <w:rPr>
                <w:rFonts w:cs="Arial"/>
                <w:b/>
              </w:rPr>
              <w:t>all</w:t>
            </w:r>
            <w:r w:rsidR="006161E4" w:rsidRPr="00C40675">
              <w:rPr>
                <w:rFonts w:cs="Arial"/>
              </w:rPr>
              <w:t xml:space="preserve"> the following criteria</w:t>
            </w:r>
            <w:r w:rsidRPr="00C40675">
              <w:rPr>
                <w:rFonts w:cs="Arial"/>
              </w:rPr>
              <w:t>:</w:t>
            </w:r>
          </w:p>
          <w:p w14:paraId="0F25BF93" w14:textId="703F4FC6" w:rsidR="008910AA" w:rsidRPr="00C40675" w:rsidRDefault="003D2251">
            <w:pPr>
              <w:pStyle w:val="Header"/>
              <w:numPr>
                <w:ilvl w:val="0"/>
                <w:numId w:val="8"/>
              </w:numPr>
              <w:tabs>
                <w:tab w:val="clear" w:pos="4320"/>
                <w:tab w:val="clear" w:pos="8640"/>
              </w:tabs>
              <w:rPr>
                <w:rFonts w:cs="Arial"/>
              </w:rPr>
            </w:pPr>
            <w:hyperlink w:anchor="Endnote26_Present" w:history="1">
              <w:r w:rsidRPr="00C40675">
                <w:rPr>
                  <w:rStyle w:val="Hyperlink"/>
                  <w:rFonts w:cs="Arial"/>
                </w:rPr>
                <w:t>ordinarily present</w:t>
              </w:r>
            </w:hyperlink>
            <w:r w:rsidR="000F4DD8">
              <w:rPr>
                <w:vertAlign w:val="superscript"/>
              </w:rPr>
              <w:fldChar w:fldCharType="begin"/>
            </w:r>
            <w:r w:rsidR="000F4DD8">
              <w:rPr>
                <w:rStyle w:val="Hyperlink"/>
                <w:rFonts w:cs="Arial"/>
              </w:rPr>
              <w:instrText xml:space="preserve"> NOTEREF _Ref91166304 \f \h </w:instrText>
            </w:r>
            <w:r w:rsidR="0079783F">
              <w:rPr>
                <w:vertAlign w:val="superscript"/>
              </w:rPr>
              <w:instrText xml:space="preserve"> \* MERGEFORMAT </w:instrText>
            </w:r>
            <w:r w:rsidR="000F4DD8">
              <w:rPr>
                <w:vertAlign w:val="superscript"/>
              </w:rPr>
            </w:r>
            <w:r w:rsidR="000F4DD8">
              <w:rPr>
                <w:vertAlign w:val="superscript"/>
              </w:rPr>
              <w:fldChar w:fldCharType="separate"/>
            </w:r>
            <w:r w:rsidR="007D53A2" w:rsidRPr="00A012EC">
              <w:rPr>
                <w:rStyle w:val="EndnoteReference"/>
              </w:rPr>
              <w:t>37</w:t>
            </w:r>
            <w:r w:rsidR="000F4DD8">
              <w:rPr>
                <w:vertAlign w:val="superscript"/>
              </w:rPr>
              <w:fldChar w:fldCharType="end"/>
            </w:r>
            <w:r w:rsidRPr="00C40675">
              <w:rPr>
                <w:rFonts w:cs="Arial"/>
              </w:rPr>
              <w:t xml:space="preserve"> </w:t>
            </w:r>
            <w:r w:rsidR="008910AA" w:rsidRPr="00C40675">
              <w:rPr>
                <w:rFonts w:cs="Arial"/>
              </w:rPr>
              <w:t xml:space="preserve">on-site in </w:t>
            </w:r>
            <w:r w:rsidR="00324BE2">
              <w:rPr>
                <w:rFonts w:cs="Arial"/>
              </w:rPr>
              <w:t>the ICU</w:t>
            </w:r>
            <w:r w:rsidR="0060765F" w:rsidRPr="00C40675">
              <w:rPr>
                <w:rFonts w:cs="Arial"/>
              </w:rPr>
              <w:t xml:space="preserve"> during daytime hours</w:t>
            </w:r>
            <w:r w:rsidR="005E3827">
              <w:rPr>
                <w:rFonts w:cs="Arial"/>
              </w:rPr>
              <w:t>;</w:t>
            </w:r>
          </w:p>
          <w:p w14:paraId="36332FDD" w14:textId="68B5042A" w:rsidR="008910AA" w:rsidRPr="00C40675" w:rsidRDefault="008910AA">
            <w:pPr>
              <w:pStyle w:val="Header"/>
              <w:numPr>
                <w:ilvl w:val="0"/>
                <w:numId w:val="8"/>
              </w:numPr>
              <w:tabs>
                <w:tab w:val="clear" w:pos="4320"/>
                <w:tab w:val="clear" w:pos="8640"/>
              </w:tabs>
              <w:rPr>
                <w:rFonts w:cs="Arial"/>
                <w:b/>
                <w:u w:val="single"/>
              </w:rPr>
            </w:pPr>
            <w:r w:rsidRPr="00C40675">
              <w:rPr>
                <w:rFonts w:cs="Arial"/>
              </w:rPr>
              <w:t xml:space="preserve">for at least </w:t>
            </w:r>
            <w:r w:rsidRPr="00C40675">
              <w:rPr>
                <w:rFonts w:cs="Arial"/>
                <w:b/>
              </w:rPr>
              <w:t>8 hours per day, 4 days per week</w:t>
            </w:r>
            <w:r w:rsidR="006613AC" w:rsidRPr="00C40675">
              <w:rPr>
                <w:rFonts w:cs="Arial"/>
                <w:b/>
              </w:rPr>
              <w:t xml:space="preserve"> or 4 hour</w:t>
            </w:r>
            <w:r w:rsidR="00B23683" w:rsidRPr="00C40675">
              <w:rPr>
                <w:rFonts w:cs="Arial"/>
                <w:b/>
              </w:rPr>
              <w:t>s</w:t>
            </w:r>
            <w:r w:rsidR="006613AC" w:rsidRPr="00C40675">
              <w:rPr>
                <w:rFonts w:cs="Arial"/>
                <w:b/>
              </w:rPr>
              <w:t xml:space="preserve"> per day, 7 days per week</w:t>
            </w:r>
            <w:r w:rsidR="005E3827" w:rsidRPr="00D36222">
              <w:rPr>
                <w:rFonts w:cs="Arial"/>
                <w:bCs/>
              </w:rPr>
              <w:t>; and</w:t>
            </w:r>
          </w:p>
          <w:p w14:paraId="64BFF35F" w14:textId="47E464AD" w:rsidR="008910AA" w:rsidRPr="00C40675" w:rsidRDefault="008910AA">
            <w:pPr>
              <w:pStyle w:val="Header"/>
              <w:numPr>
                <w:ilvl w:val="0"/>
                <w:numId w:val="7"/>
              </w:numPr>
              <w:tabs>
                <w:tab w:val="clear" w:pos="4320"/>
                <w:tab w:val="clear" w:pos="8640"/>
              </w:tabs>
              <w:spacing w:after="120"/>
              <w:ind w:left="720"/>
              <w:rPr>
                <w:rFonts w:cs="Arial"/>
              </w:rPr>
            </w:pPr>
            <w:r w:rsidRPr="00C40675">
              <w:rPr>
                <w:rFonts w:cs="Arial"/>
              </w:rPr>
              <w:t xml:space="preserve">providing clinical care </w:t>
            </w:r>
            <w:hyperlink w:anchor="Endnote26_Present" w:history="1">
              <w:r w:rsidR="003D2251" w:rsidRPr="00C40675">
                <w:rPr>
                  <w:rStyle w:val="Hyperlink"/>
                  <w:rFonts w:cs="Arial"/>
                </w:rPr>
                <w:t>exclusively</w:t>
              </w:r>
            </w:hyperlink>
            <w:r w:rsidR="000F4DD8">
              <w:rPr>
                <w:vertAlign w:val="superscript"/>
              </w:rPr>
              <w:fldChar w:fldCharType="begin"/>
            </w:r>
            <w:r w:rsidR="000F4DD8">
              <w:rPr>
                <w:rStyle w:val="Hyperlink"/>
                <w:rFonts w:cs="Arial"/>
              </w:rPr>
              <w:instrText xml:space="preserve"> NOTEREF _Ref91166304 \f \h </w:instrText>
            </w:r>
            <w:r w:rsidR="0079783F">
              <w:rPr>
                <w:vertAlign w:val="superscript"/>
              </w:rPr>
              <w:instrText xml:space="preserve"> \* MERGEFORMAT </w:instrText>
            </w:r>
            <w:r w:rsidR="000F4DD8">
              <w:rPr>
                <w:vertAlign w:val="superscript"/>
              </w:rPr>
            </w:r>
            <w:r w:rsidR="000F4DD8">
              <w:rPr>
                <w:vertAlign w:val="superscript"/>
              </w:rPr>
              <w:fldChar w:fldCharType="separate"/>
            </w:r>
            <w:r w:rsidR="007D53A2" w:rsidRPr="00A012EC">
              <w:rPr>
                <w:rStyle w:val="EndnoteReference"/>
              </w:rPr>
              <w:t>37</w:t>
            </w:r>
            <w:r w:rsidR="000F4DD8">
              <w:rPr>
                <w:vertAlign w:val="superscript"/>
              </w:rPr>
              <w:fldChar w:fldCharType="end"/>
            </w:r>
            <w:r w:rsidR="003D2251" w:rsidRPr="00C40675">
              <w:rPr>
                <w:rFonts w:cs="Arial"/>
              </w:rPr>
              <w:t xml:space="preserve"> </w:t>
            </w:r>
            <w:r w:rsidRPr="00C40675">
              <w:rPr>
                <w:rFonts w:cs="Arial"/>
              </w:rPr>
              <w:t xml:space="preserve">in </w:t>
            </w:r>
            <w:r w:rsidR="00324BE2">
              <w:rPr>
                <w:rFonts w:cs="Arial"/>
              </w:rPr>
              <w:t>the</w:t>
            </w:r>
            <w:r w:rsidRPr="00C40675">
              <w:rPr>
                <w:rFonts w:cs="Arial"/>
              </w:rPr>
              <w:t xml:space="preserve"> ICU during these hours?</w:t>
            </w:r>
          </w:p>
        </w:tc>
        <w:tc>
          <w:tcPr>
            <w:tcW w:w="2233" w:type="dxa"/>
            <w:vAlign w:val="center"/>
          </w:tcPr>
          <w:p w14:paraId="32E8654B" w14:textId="77777777" w:rsidR="008910AA" w:rsidRPr="000C1F1D" w:rsidRDefault="008910AA" w:rsidP="00AD309C">
            <w:pPr>
              <w:pStyle w:val="ListParagraph"/>
              <w:numPr>
                <w:ilvl w:val="0"/>
                <w:numId w:val="344"/>
              </w:numPr>
              <w:rPr>
                <w:rFonts w:cs="Arial"/>
                <w:iCs/>
              </w:rPr>
            </w:pPr>
            <w:r w:rsidRPr="000C1F1D">
              <w:rPr>
                <w:rFonts w:cs="Arial"/>
                <w:iCs/>
              </w:rPr>
              <w:t>Yes</w:t>
            </w:r>
          </w:p>
          <w:p w14:paraId="1882C9A9" w14:textId="77777777" w:rsidR="008910AA" w:rsidRPr="000C1F1D" w:rsidRDefault="008910AA" w:rsidP="00AD309C">
            <w:pPr>
              <w:pStyle w:val="ListParagraph"/>
              <w:numPr>
                <w:ilvl w:val="0"/>
                <w:numId w:val="344"/>
              </w:numPr>
              <w:rPr>
                <w:rFonts w:cs="Arial"/>
                <w:iCs/>
              </w:rPr>
            </w:pPr>
            <w:r w:rsidRPr="000C1F1D">
              <w:rPr>
                <w:rFonts w:cs="Arial"/>
                <w:iCs/>
              </w:rPr>
              <w:t>No</w:t>
            </w:r>
          </w:p>
        </w:tc>
      </w:tr>
      <w:tr w:rsidR="008910AA" w:rsidRPr="00C40675" w14:paraId="7B2E89E6" w14:textId="77777777" w:rsidTr="008C19AC">
        <w:trPr>
          <w:trHeight w:val="2304"/>
          <w:jc w:val="center"/>
        </w:trPr>
        <w:tc>
          <w:tcPr>
            <w:tcW w:w="7334" w:type="dxa"/>
            <w:vAlign w:val="center"/>
          </w:tcPr>
          <w:p w14:paraId="646C93D9" w14:textId="0B51402A" w:rsidR="008910AA" w:rsidRPr="00F97F08" w:rsidRDefault="008910AA" w:rsidP="00AD309C">
            <w:pPr>
              <w:pStyle w:val="ListParagraph"/>
              <w:numPr>
                <w:ilvl w:val="0"/>
                <w:numId w:val="31"/>
              </w:numPr>
              <w:rPr>
                <w:rFonts w:cs="Arial"/>
              </w:rPr>
            </w:pPr>
            <w:r w:rsidRPr="00F97F08">
              <w:rPr>
                <w:rFonts w:cs="Arial"/>
              </w:rPr>
              <w:t xml:space="preserve">Are </w:t>
            </w:r>
            <w:hyperlink w:anchor="Endnote22_CCPatients" w:history="1">
              <w:r w:rsidRPr="00F97F08">
                <w:rPr>
                  <w:rStyle w:val="Hyperlink"/>
                  <w:rFonts w:cs="Arial"/>
                </w:rPr>
                <w:t xml:space="preserve">all </w:t>
              </w:r>
              <w:r w:rsidR="004310D9" w:rsidRPr="00F97F08">
                <w:rPr>
                  <w:rStyle w:val="Hyperlink"/>
                  <w:rFonts w:cs="Arial"/>
                </w:rPr>
                <w:t xml:space="preserve">critical care </w:t>
              </w:r>
              <w:r w:rsidRPr="00F97F08">
                <w:rPr>
                  <w:rStyle w:val="Hyperlink"/>
                  <w:rFonts w:cs="Arial"/>
                </w:rPr>
                <w:t>patients</w:t>
              </w:r>
            </w:hyperlink>
            <w:r w:rsidR="000F4DD8" w:rsidRPr="00F97F08">
              <w:rPr>
                <w:rFonts w:cs="Arial"/>
                <w:vertAlign w:val="superscript"/>
              </w:rPr>
              <w:fldChar w:fldCharType="begin"/>
            </w:r>
            <w:r w:rsidR="000F4DD8" w:rsidRPr="00F97F08">
              <w:rPr>
                <w:rStyle w:val="Hyperlink"/>
                <w:rFonts w:cs="Arial"/>
              </w:rPr>
              <w:instrText xml:space="preserve"> NOTEREF _Ref534212310 \f \h </w:instrText>
            </w:r>
            <w:r w:rsidR="0079783F">
              <w:rPr>
                <w:rFonts w:cs="Arial"/>
                <w:vertAlign w:val="superscript"/>
              </w:rPr>
              <w:instrText xml:space="preserve"> \* MERGEFORMAT </w:instrText>
            </w:r>
            <w:r w:rsidR="000F4DD8" w:rsidRPr="00F97F08">
              <w:rPr>
                <w:rFonts w:cs="Arial"/>
                <w:vertAlign w:val="superscript"/>
              </w:rPr>
            </w:r>
            <w:r w:rsidR="000F4DD8" w:rsidRPr="00F97F08">
              <w:rPr>
                <w:rFonts w:cs="Arial"/>
                <w:vertAlign w:val="superscript"/>
              </w:rPr>
              <w:fldChar w:fldCharType="separate"/>
            </w:r>
            <w:r w:rsidR="007D53A2" w:rsidRPr="00A012EC">
              <w:rPr>
                <w:rStyle w:val="EndnoteReference"/>
              </w:rPr>
              <w:t>34</w:t>
            </w:r>
            <w:r w:rsidR="000F4DD8" w:rsidRPr="00F97F08">
              <w:rPr>
                <w:rFonts w:cs="Arial"/>
                <w:vertAlign w:val="superscript"/>
              </w:rPr>
              <w:fldChar w:fldCharType="end"/>
            </w:r>
            <w:r w:rsidRPr="00F97F08">
              <w:rPr>
                <w:rFonts w:cs="Arial"/>
              </w:rPr>
              <w:t xml:space="preserve"> in </w:t>
            </w:r>
            <w:r w:rsidR="00F97F08">
              <w:rPr>
                <w:rFonts w:cs="Arial"/>
              </w:rPr>
              <w:t>th</w:t>
            </w:r>
            <w:r w:rsidR="00574C9E">
              <w:rPr>
                <w:rFonts w:cs="Arial"/>
              </w:rPr>
              <w:t>e</w:t>
            </w:r>
            <w:r w:rsidR="00F97F08">
              <w:rPr>
                <w:rFonts w:cs="Arial"/>
              </w:rPr>
              <w:t xml:space="preserve"> ICU</w:t>
            </w:r>
            <w:r w:rsidRPr="00F97F08">
              <w:rPr>
                <w:rFonts w:cs="Arial"/>
              </w:rPr>
              <w:t xml:space="preserve"> </w:t>
            </w:r>
            <w:hyperlink w:anchor="Endnote24_Manage" w:history="1">
              <w:r w:rsidRPr="00F97F08">
                <w:rPr>
                  <w:rStyle w:val="Hyperlink"/>
                  <w:rFonts w:cs="Arial"/>
                </w:rPr>
                <w:t>managed or co-managed</w:t>
              </w:r>
            </w:hyperlink>
            <w:r w:rsidR="000F4DD8" w:rsidRPr="00F97F08">
              <w:rPr>
                <w:vertAlign w:val="superscript"/>
              </w:rPr>
              <w:fldChar w:fldCharType="begin"/>
            </w:r>
            <w:r w:rsidR="000F4DD8" w:rsidRPr="00F97F08">
              <w:rPr>
                <w:rStyle w:val="Hyperlink"/>
                <w:rFonts w:cs="Arial"/>
              </w:rPr>
              <w:instrText xml:space="preserve"> NOTEREF _Ref91167015 \f \h </w:instrText>
            </w:r>
            <w:r w:rsidR="0079783F">
              <w:rPr>
                <w:vertAlign w:val="superscript"/>
              </w:rPr>
              <w:instrText xml:space="preserve"> \* MERGEFORMAT </w:instrText>
            </w:r>
            <w:r w:rsidR="000F4DD8" w:rsidRPr="00F97F08">
              <w:rPr>
                <w:vertAlign w:val="superscript"/>
              </w:rPr>
            </w:r>
            <w:r w:rsidR="000F4DD8" w:rsidRPr="00F97F08">
              <w:rPr>
                <w:vertAlign w:val="superscript"/>
              </w:rPr>
              <w:fldChar w:fldCharType="separate"/>
            </w:r>
            <w:r w:rsidR="007D53A2" w:rsidRPr="00A012EC">
              <w:rPr>
                <w:rStyle w:val="EndnoteReference"/>
              </w:rPr>
              <w:t>35</w:t>
            </w:r>
            <w:r w:rsidR="000F4DD8" w:rsidRPr="00F97F08">
              <w:rPr>
                <w:vertAlign w:val="superscript"/>
              </w:rPr>
              <w:fldChar w:fldCharType="end"/>
            </w:r>
            <w:r w:rsidRPr="00F97F08">
              <w:rPr>
                <w:rFonts w:cs="Arial"/>
              </w:rPr>
              <w:t xml:space="preserve"> by one or more physicians </w:t>
            </w:r>
            <w:hyperlink w:anchor="Endnote25_Certified" w:history="1">
              <w:r w:rsidRPr="00F97F08">
                <w:rPr>
                  <w:rStyle w:val="Hyperlink"/>
                  <w:rFonts w:cs="Arial"/>
                </w:rPr>
                <w:t>certified in critical care medicine</w:t>
              </w:r>
            </w:hyperlink>
            <w:r w:rsidR="000F4DD8" w:rsidRPr="00F97F08">
              <w:rPr>
                <w:rFonts w:cs="Arial"/>
                <w:vertAlign w:val="superscript"/>
              </w:rPr>
              <w:fldChar w:fldCharType="begin"/>
            </w:r>
            <w:r w:rsidR="000F4DD8" w:rsidRPr="00F97F08">
              <w:rPr>
                <w:rStyle w:val="Hyperlink"/>
                <w:rFonts w:cs="Arial"/>
              </w:rPr>
              <w:instrText xml:space="preserve"> NOTEREF _Ref534212273 \f \h </w:instrText>
            </w:r>
            <w:r w:rsidR="0079783F">
              <w:rPr>
                <w:rFonts w:cs="Arial"/>
                <w:vertAlign w:val="superscript"/>
              </w:rPr>
              <w:instrText xml:space="preserve"> \* MERGEFORMAT </w:instrText>
            </w:r>
            <w:r w:rsidR="000F4DD8" w:rsidRPr="00F97F08">
              <w:rPr>
                <w:rFonts w:cs="Arial"/>
                <w:vertAlign w:val="superscript"/>
              </w:rPr>
            </w:r>
            <w:r w:rsidR="000F4DD8" w:rsidRPr="00F97F08">
              <w:rPr>
                <w:rFonts w:cs="Arial"/>
                <w:vertAlign w:val="superscript"/>
              </w:rPr>
              <w:fldChar w:fldCharType="separate"/>
            </w:r>
            <w:r w:rsidR="007D53A2" w:rsidRPr="00A012EC">
              <w:rPr>
                <w:rStyle w:val="EndnoteReference"/>
              </w:rPr>
              <w:t>36</w:t>
            </w:r>
            <w:r w:rsidR="000F4DD8" w:rsidRPr="00F97F08">
              <w:rPr>
                <w:rFonts w:cs="Arial"/>
                <w:vertAlign w:val="superscript"/>
              </w:rPr>
              <w:fldChar w:fldCharType="end"/>
            </w:r>
            <w:r w:rsidRPr="00F97F08">
              <w:rPr>
                <w:rFonts w:cs="Arial"/>
              </w:rPr>
              <w:t xml:space="preserve"> who </w:t>
            </w:r>
            <w:r w:rsidR="006161E4" w:rsidRPr="00F97F08">
              <w:rPr>
                <w:rFonts w:cs="Arial"/>
              </w:rPr>
              <w:t xml:space="preserve">meet </w:t>
            </w:r>
            <w:r w:rsidR="006161E4" w:rsidRPr="00F97F08">
              <w:rPr>
                <w:rFonts w:cs="Arial"/>
                <w:b/>
              </w:rPr>
              <w:t>all</w:t>
            </w:r>
            <w:r w:rsidR="006161E4" w:rsidRPr="00F97F08">
              <w:rPr>
                <w:rFonts w:cs="Arial"/>
              </w:rPr>
              <w:t xml:space="preserve"> the following </w:t>
            </w:r>
            <w:r w:rsidR="00B11D4D" w:rsidRPr="00F97F08">
              <w:rPr>
                <w:rFonts w:cs="Arial"/>
              </w:rPr>
              <w:t>criteria</w:t>
            </w:r>
            <w:r w:rsidRPr="00F97F08">
              <w:rPr>
                <w:rFonts w:cs="Arial"/>
              </w:rPr>
              <w:t>:</w:t>
            </w:r>
          </w:p>
          <w:p w14:paraId="3470E870" w14:textId="6981B13E" w:rsidR="008910AA" w:rsidRPr="00C40675" w:rsidRDefault="008910AA">
            <w:pPr>
              <w:pStyle w:val="Header"/>
              <w:numPr>
                <w:ilvl w:val="0"/>
                <w:numId w:val="8"/>
              </w:numPr>
              <w:tabs>
                <w:tab w:val="clear" w:pos="4320"/>
                <w:tab w:val="clear" w:pos="8640"/>
              </w:tabs>
              <w:rPr>
                <w:rFonts w:cs="Arial"/>
              </w:rPr>
            </w:pPr>
            <w:r w:rsidRPr="00C40675">
              <w:rPr>
                <w:rFonts w:cs="Arial"/>
              </w:rPr>
              <w:t xml:space="preserve">present via telemedicine for </w:t>
            </w:r>
            <w:r w:rsidRPr="00C40675">
              <w:rPr>
                <w:rFonts w:cs="Arial"/>
                <w:b/>
              </w:rPr>
              <w:t>24 hours per day, 7 days per week</w:t>
            </w:r>
            <w:r w:rsidR="005E3827">
              <w:rPr>
                <w:rFonts w:cs="Arial"/>
              </w:rPr>
              <w:t>;</w:t>
            </w:r>
          </w:p>
          <w:p w14:paraId="6A91ED26" w14:textId="71DE30EA" w:rsidR="008910AA" w:rsidRPr="00C40675" w:rsidRDefault="00EA6923">
            <w:pPr>
              <w:pStyle w:val="Header"/>
              <w:numPr>
                <w:ilvl w:val="0"/>
                <w:numId w:val="8"/>
              </w:numPr>
              <w:tabs>
                <w:tab w:val="clear" w:pos="4320"/>
                <w:tab w:val="clear" w:pos="8640"/>
              </w:tabs>
              <w:rPr>
                <w:rFonts w:cs="Arial"/>
              </w:rPr>
            </w:pPr>
            <w:r w:rsidRPr="00C40675">
              <w:rPr>
                <w:rFonts w:cs="Arial"/>
              </w:rPr>
              <w:t xml:space="preserve">meet all of </w:t>
            </w:r>
            <w:r w:rsidR="008910AA" w:rsidRPr="00C40675">
              <w:rPr>
                <w:rFonts w:cs="Arial"/>
              </w:rPr>
              <w:t>Leapfrog</w:t>
            </w:r>
            <w:r w:rsidRPr="00C40675">
              <w:rPr>
                <w:rFonts w:cs="Arial"/>
              </w:rPr>
              <w:t>’s modified</w:t>
            </w:r>
            <w:r w:rsidR="008910AA" w:rsidRPr="00C40675">
              <w:rPr>
                <w:rFonts w:cs="Arial"/>
              </w:rPr>
              <w:t xml:space="preserve"> ICU requirements for intensivist presence in the ICU via telemedicine (</w:t>
            </w:r>
            <w:hyperlink w:anchor="Endnote32_ModifiedTelemedicine" w:history="1">
              <w:r w:rsidR="008910AA" w:rsidRPr="00C40675">
                <w:rPr>
                  <w:rStyle w:val="Hyperlink"/>
                  <w:rFonts w:cs="Arial"/>
                  <w:snapToGrid w:val="0"/>
                </w:rPr>
                <w:t>More Information</w:t>
              </w:r>
            </w:hyperlink>
            <w:r w:rsidR="000F0582">
              <w:rPr>
                <w:rStyle w:val="Hyperlink"/>
                <w:rFonts w:ascii="ZWAdobeF" w:hAnsi="ZWAdobeF" w:cs="ZWAdobeF"/>
                <w:snapToGrid w:val="0"/>
                <w:color w:val="auto"/>
                <w:sz w:val="2"/>
                <w:szCs w:val="2"/>
                <w:u w:val="none"/>
              </w:rPr>
              <w:t>42F</w:t>
            </w:r>
            <w:r w:rsidR="00BF053F">
              <w:rPr>
                <w:rStyle w:val="Hyperlink"/>
                <w:rFonts w:ascii="ZWAdobeF" w:hAnsi="ZWAdobeF" w:cs="ZWAdobeF"/>
                <w:snapToGrid w:val="0"/>
                <w:color w:val="auto"/>
                <w:sz w:val="2"/>
                <w:szCs w:val="2"/>
                <w:u w:val="none"/>
              </w:rPr>
              <w:t>42F</w:t>
            </w:r>
            <w:r w:rsidR="004C7557">
              <w:rPr>
                <w:rStyle w:val="Hyperlink"/>
                <w:rFonts w:ascii="ZWAdobeF" w:hAnsi="ZWAdobeF" w:cs="ZWAdobeF"/>
                <w:snapToGrid w:val="0"/>
                <w:color w:val="auto"/>
                <w:sz w:val="2"/>
                <w:szCs w:val="2"/>
                <w:u w:val="none"/>
              </w:rPr>
              <w:t>42F</w:t>
            </w:r>
            <w:r w:rsidR="00C2087D">
              <w:rPr>
                <w:rStyle w:val="Hyperlink"/>
                <w:rFonts w:ascii="ZWAdobeF" w:hAnsi="ZWAdobeF" w:cs="ZWAdobeF"/>
                <w:snapToGrid w:val="0"/>
                <w:color w:val="auto"/>
                <w:sz w:val="2"/>
                <w:szCs w:val="2"/>
                <w:u w:val="none"/>
              </w:rPr>
              <w:t>42F</w:t>
            </w:r>
            <w:r w:rsidR="00B55C41">
              <w:rPr>
                <w:rStyle w:val="Hyperlink"/>
                <w:rFonts w:ascii="ZWAdobeF" w:hAnsi="ZWAdobeF" w:cs="ZWAdobeF"/>
                <w:snapToGrid w:val="0"/>
                <w:color w:val="auto"/>
                <w:sz w:val="2"/>
                <w:szCs w:val="2"/>
                <w:u w:val="none"/>
              </w:rPr>
              <w:t>42F</w:t>
            </w:r>
            <w:r w:rsidR="006255A6">
              <w:rPr>
                <w:rStyle w:val="Hyperlink"/>
                <w:rFonts w:ascii="ZWAdobeF" w:hAnsi="ZWAdobeF" w:cs="ZWAdobeF"/>
                <w:snapToGrid w:val="0"/>
                <w:color w:val="auto"/>
                <w:sz w:val="2"/>
                <w:szCs w:val="2"/>
                <w:u w:val="none"/>
              </w:rPr>
              <w:t>42F</w:t>
            </w:r>
            <w:r w:rsidR="00E453C7">
              <w:rPr>
                <w:rStyle w:val="Hyperlink"/>
                <w:rFonts w:ascii="ZWAdobeF" w:hAnsi="ZWAdobeF" w:cs="ZWAdobeF"/>
                <w:snapToGrid w:val="0"/>
                <w:color w:val="auto"/>
                <w:sz w:val="2"/>
                <w:szCs w:val="2"/>
                <w:u w:val="none"/>
              </w:rPr>
              <w:t>42F</w:t>
            </w:r>
            <w:r w:rsidR="00953060">
              <w:rPr>
                <w:rStyle w:val="Hyperlink"/>
                <w:rFonts w:ascii="ZWAdobeF" w:hAnsi="ZWAdobeF" w:cs="ZWAdobeF"/>
                <w:snapToGrid w:val="0"/>
                <w:color w:val="auto"/>
                <w:sz w:val="2"/>
                <w:szCs w:val="2"/>
                <w:u w:val="none"/>
              </w:rPr>
              <w:t>42F</w:t>
            </w:r>
            <w:r w:rsidR="00DD04D6">
              <w:rPr>
                <w:rStyle w:val="Hyperlink"/>
                <w:rFonts w:ascii="ZWAdobeF" w:hAnsi="ZWAdobeF" w:cs="ZWAdobeF"/>
                <w:snapToGrid w:val="0"/>
                <w:color w:val="auto"/>
                <w:sz w:val="2"/>
                <w:szCs w:val="2"/>
                <w:u w:val="none"/>
              </w:rPr>
              <w:t>42F</w:t>
            </w:r>
            <w:r w:rsidR="008910AA" w:rsidRPr="00C40675">
              <w:rPr>
                <w:rStyle w:val="EndnoteReference"/>
                <w:rFonts w:cs="Arial"/>
                <w:snapToGrid w:val="0"/>
                <w:color w:val="000000"/>
              </w:rPr>
              <w:endnoteReference w:id="44"/>
            </w:r>
            <w:r w:rsidR="008910AA" w:rsidRPr="00C40675">
              <w:rPr>
                <w:rFonts w:cs="Arial"/>
              </w:rPr>
              <w:t>)</w:t>
            </w:r>
            <w:r w:rsidR="005E3827">
              <w:rPr>
                <w:rFonts w:cs="Arial"/>
              </w:rPr>
              <w:t>; and</w:t>
            </w:r>
          </w:p>
          <w:p w14:paraId="7B43AA2F" w14:textId="4A627DCB" w:rsidR="00BC4E89" w:rsidRPr="00BC4E89" w:rsidRDefault="008910AA">
            <w:pPr>
              <w:pStyle w:val="Header"/>
              <w:numPr>
                <w:ilvl w:val="0"/>
                <w:numId w:val="8"/>
              </w:numPr>
              <w:tabs>
                <w:tab w:val="clear" w:pos="4320"/>
                <w:tab w:val="clear" w:pos="8640"/>
              </w:tabs>
              <w:rPr>
                <w:rFonts w:cs="Arial"/>
              </w:rPr>
            </w:pPr>
            <w:r w:rsidRPr="00C40675">
              <w:rPr>
                <w:rFonts w:cs="Arial"/>
              </w:rPr>
              <w:t>supported in the establishment and revision of daily care planning for each ICU patient by an on-site intensivist, hospitalist, anesthesiologist, or physician trained in emergency medicine</w:t>
            </w:r>
            <w:r w:rsidR="00D67168">
              <w:rPr>
                <w:rFonts w:cs="Arial"/>
              </w:rPr>
              <w:t>?</w:t>
            </w:r>
          </w:p>
        </w:tc>
        <w:tc>
          <w:tcPr>
            <w:tcW w:w="2233" w:type="dxa"/>
            <w:vAlign w:val="center"/>
          </w:tcPr>
          <w:p w14:paraId="6DE4D60A" w14:textId="77777777" w:rsidR="008910AA" w:rsidRPr="000C1F1D" w:rsidRDefault="008910AA" w:rsidP="00AD309C">
            <w:pPr>
              <w:pStyle w:val="ListParagraph"/>
              <w:numPr>
                <w:ilvl w:val="0"/>
                <w:numId w:val="344"/>
              </w:numPr>
              <w:rPr>
                <w:rFonts w:cs="Arial"/>
                <w:iCs/>
              </w:rPr>
            </w:pPr>
            <w:r w:rsidRPr="000C1F1D">
              <w:rPr>
                <w:rFonts w:cs="Arial"/>
                <w:iCs/>
              </w:rPr>
              <w:t>Yes</w:t>
            </w:r>
          </w:p>
          <w:p w14:paraId="7EF43F55" w14:textId="77777777" w:rsidR="008910AA" w:rsidRPr="000C1F1D" w:rsidRDefault="008910AA" w:rsidP="00AD309C">
            <w:pPr>
              <w:pStyle w:val="ListParagraph"/>
              <w:numPr>
                <w:ilvl w:val="0"/>
                <w:numId w:val="344"/>
              </w:numPr>
              <w:rPr>
                <w:rFonts w:cs="Arial"/>
                <w:iCs/>
              </w:rPr>
            </w:pPr>
            <w:r w:rsidRPr="000C1F1D">
              <w:rPr>
                <w:rFonts w:cs="Arial"/>
                <w:iCs/>
              </w:rPr>
              <w:t>No</w:t>
            </w:r>
          </w:p>
        </w:tc>
      </w:tr>
      <w:tr w:rsidR="008910AA" w:rsidRPr="00C40675" w14:paraId="7B63A6D9" w14:textId="77777777" w:rsidTr="00535B81">
        <w:trPr>
          <w:trHeight w:val="1008"/>
          <w:jc w:val="center"/>
        </w:trPr>
        <w:tc>
          <w:tcPr>
            <w:tcW w:w="7334" w:type="dxa"/>
            <w:vAlign w:val="center"/>
          </w:tcPr>
          <w:p w14:paraId="436D3DA8" w14:textId="609E988F" w:rsidR="008910AA" w:rsidRPr="00C40675" w:rsidRDefault="008910AA" w:rsidP="00AD309C">
            <w:pPr>
              <w:numPr>
                <w:ilvl w:val="0"/>
                <w:numId w:val="31"/>
              </w:numPr>
              <w:rPr>
                <w:rFonts w:cs="Arial"/>
              </w:rPr>
            </w:pPr>
            <w:r w:rsidRPr="00C40675">
              <w:rPr>
                <w:rFonts w:cs="Arial"/>
              </w:rPr>
              <w:t xml:space="preserve">Are </w:t>
            </w:r>
            <w:hyperlink w:anchor="Endnote22_CCPatients" w:history="1">
              <w:r w:rsidRPr="00C40675">
                <w:rPr>
                  <w:rStyle w:val="Hyperlink"/>
                  <w:rFonts w:cs="Arial"/>
                </w:rPr>
                <w:t xml:space="preserve">all </w:t>
              </w:r>
              <w:r w:rsidR="004310D9" w:rsidRPr="00C40675">
                <w:rPr>
                  <w:rStyle w:val="Hyperlink"/>
                  <w:rFonts w:cs="Arial"/>
                </w:rPr>
                <w:t xml:space="preserve">critical care </w:t>
              </w:r>
              <w:r w:rsidRPr="00C40675">
                <w:rPr>
                  <w:rStyle w:val="Hyperlink"/>
                  <w:rFonts w:cs="Arial"/>
                </w:rPr>
                <w:t>patients</w:t>
              </w:r>
            </w:hyperlink>
            <w:r w:rsidR="0070116C">
              <w:rPr>
                <w:rStyle w:val="Hyperlink"/>
                <w:rFonts w:cs="Arial"/>
              </w:rPr>
              <w:fldChar w:fldCharType="begin"/>
            </w:r>
            <w:r w:rsidR="0070116C">
              <w:rPr>
                <w:rStyle w:val="Hyperlink"/>
                <w:rFonts w:cs="Arial"/>
              </w:rPr>
              <w:instrText xml:space="preserve"> NOTEREF _Ref534212310 \f \h </w:instrText>
            </w:r>
            <w:r w:rsidR="0079783F">
              <w:rPr>
                <w:rStyle w:val="Hyperlink"/>
                <w:rFonts w:cs="Arial"/>
              </w:rPr>
              <w:instrText xml:space="preserve"> \* MERGEFORMAT </w:instrText>
            </w:r>
            <w:r w:rsidR="0070116C">
              <w:rPr>
                <w:rStyle w:val="Hyperlink"/>
                <w:rFonts w:cs="Arial"/>
              </w:rPr>
            </w:r>
            <w:r w:rsidR="0070116C">
              <w:rPr>
                <w:rStyle w:val="Hyperlink"/>
                <w:rFonts w:cs="Arial"/>
              </w:rPr>
              <w:fldChar w:fldCharType="separate"/>
            </w:r>
            <w:r w:rsidR="007D53A2" w:rsidRPr="00A012EC">
              <w:rPr>
                <w:rStyle w:val="EndnoteReference"/>
              </w:rPr>
              <w:t>34</w:t>
            </w:r>
            <w:r w:rsidR="0070116C">
              <w:rPr>
                <w:rStyle w:val="Hyperlink"/>
                <w:rFonts w:cs="Arial"/>
              </w:rPr>
              <w:fldChar w:fldCharType="end"/>
            </w:r>
            <w:r w:rsidRPr="00C40675">
              <w:rPr>
                <w:rFonts w:cs="Arial"/>
              </w:rPr>
              <w:t xml:space="preserve"> in </w:t>
            </w:r>
            <w:r w:rsidR="00F97F08">
              <w:rPr>
                <w:rFonts w:cs="Arial"/>
              </w:rPr>
              <w:t>th</w:t>
            </w:r>
            <w:r w:rsidR="00574C9E">
              <w:rPr>
                <w:rFonts w:cs="Arial"/>
              </w:rPr>
              <w:t>e</w:t>
            </w:r>
            <w:r w:rsidR="00F97F08">
              <w:rPr>
                <w:rFonts w:cs="Arial"/>
              </w:rPr>
              <w:t xml:space="preserve"> ICU</w:t>
            </w:r>
            <w:r w:rsidRPr="00C40675">
              <w:rPr>
                <w:rFonts w:cs="Arial"/>
              </w:rPr>
              <w:t xml:space="preserve"> </w:t>
            </w:r>
            <w:hyperlink w:anchor="Endnote24_Manage" w:history="1">
              <w:r w:rsidRPr="00AB7793">
                <w:rPr>
                  <w:rStyle w:val="Hyperlink"/>
                  <w:rFonts w:cs="Arial"/>
                </w:rPr>
                <w:t>managed or co-managed</w:t>
              </w:r>
              <w:r w:rsidR="000F4DD8" w:rsidRPr="00AB7793">
                <w:rPr>
                  <w:rStyle w:val="Hyperlink"/>
                  <w:vertAlign w:val="superscript"/>
                </w:rPr>
                <w:fldChar w:fldCharType="begin"/>
              </w:r>
              <w:r w:rsidR="000F4DD8" w:rsidRPr="00AB7793">
                <w:rPr>
                  <w:rStyle w:val="Hyperlink"/>
                  <w:rFonts w:cs="Arial"/>
                </w:rPr>
                <w:instrText xml:space="preserve"> NOTEREF _Ref91167015 \f \h </w:instrText>
              </w:r>
              <w:r w:rsidR="0079783F">
                <w:rPr>
                  <w:rStyle w:val="Hyperlink"/>
                  <w:vertAlign w:val="superscript"/>
                </w:rPr>
                <w:instrText xml:space="preserve"> \* MERGEFORMAT </w:instrText>
              </w:r>
              <w:r w:rsidR="000F4DD8" w:rsidRPr="00AB7793">
                <w:rPr>
                  <w:rStyle w:val="Hyperlink"/>
                  <w:vertAlign w:val="superscript"/>
                </w:rPr>
              </w:r>
              <w:r w:rsidR="000F4DD8" w:rsidRPr="00AB7793">
                <w:rPr>
                  <w:rStyle w:val="Hyperlink"/>
                  <w:vertAlign w:val="superscript"/>
                </w:rPr>
                <w:fldChar w:fldCharType="separate"/>
              </w:r>
              <w:r w:rsidR="007D53A2" w:rsidRPr="00A012EC">
                <w:rPr>
                  <w:rStyle w:val="EndnoteReference"/>
                </w:rPr>
                <w:t>35</w:t>
              </w:r>
              <w:r w:rsidR="000F4DD8" w:rsidRPr="00AB7793">
                <w:rPr>
                  <w:rStyle w:val="Hyperlink"/>
                  <w:vertAlign w:val="superscript"/>
                </w:rPr>
                <w:fldChar w:fldCharType="end"/>
              </w:r>
            </w:hyperlink>
            <w:r w:rsidRPr="00C40675">
              <w:rPr>
                <w:rFonts w:cs="Arial"/>
              </w:rPr>
              <w:t xml:space="preserve"> by one or more physicians </w:t>
            </w:r>
            <w:hyperlink w:anchor="Endnote25_Certified" w:history="1">
              <w:r w:rsidRPr="00C40675">
                <w:rPr>
                  <w:rStyle w:val="Hyperlink"/>
                  <w:rFonts w:cs="Arial"/>
                </w:rPr>
                <w:t>certified in critical care medicine</w:t>
              </w:r>
            </w:hyperlink>
            <w:r w:rsidR="000F4DD8">
              <w:rPr>
                <w:vertAlign w:val="superscript"/>
              </w:rPr>
              <w:fldChar w:fldCharType="begin"/>
            </w:r>
            <w:r w:rsidR="000F4DD8">
              <w:rPr>
                <w:rStyle w:val="Hyperlink"/>
                <w:rFonts w:cs="Arial"/>
              </w:rPr>
              <w:instrText xml:space="preserve"> NOTEREF _Ref534212273 \f \h </w:instrText>
            </w:r>
            <w:r w:rsidR="0079783F">
              <w:rPr>
                <w:vertAlign w:val="superscript"/>
              </w:rPr>
              <w:instrText xml:space="preserve"> \* MERGEFORMAT </w:instrText>
            </w:r>
            <w:r w:rsidR="000F4DD8">
              <w:rPr>
                <w:vertAlign w:val="superscript"/>
              </w:rPr>
            </w:r>
            <w:r w:rsidR="000F4DD8">
              <w:rPr>
                <w:vertAlign w:val="superscript"/>
              </w:rPr>
              <w:fldChar w:fldCharType="separate"/>
            </w:r>
            <w:r w:rsidR="007D53A2" w:rsidRPr="00A012EC">
              <w:rPr>
                <w:rStyle w:val="EndnoteReference"/>
              </w:rPr>
              <w:t>36</w:t>
            </w:r>
            <w:r w:rsidR="000F4DD8">
              <w:rPr>
                <w:vertAlign w:val="superscript"/>
              </w:rPr>
              <w:fldChar w:fldCharType="end"/>
            </w:r>
            <w:r w:rsidRPr="00C40675">
              <w:rPr>
                <w:rFonts w:cs="Arial"/>
              </w:rPr>
              <w:t xml:space="preserve"> who are:</w:t>
            </w:r>
          </w:p>
          <w:p w14:paraId="368251C1" w14:textId="460BCC72" w:rsidR="008B5F08" w:rsidRPr="005E3827" w:rsidRDefault="00A03078" w:rsidP="005E3827">
            <w:pPr>
              <w:pStyle w:val="Header"/>
              <w:numPr>
                <w:ilvl w:val="0"/>
                <w:numId w:val="7"/>
              </w:numPr>
              <w:tabs>
                <w:tab w:val="clear" w:pos="4320"/>
                <w:tab w:val="clear" w:pos="8640"/>
              </w:tabs>
              <w:ind w:left="720"/>
              <w:rPr>
                <w:rFonts w:cs="Arial"/>
              </w:rPr>
            </w:pPr>
            <w:r w:rsidRPr="005E3827">
              <w:rPr>
                <w:rFonts w:cs="Arial"/>
              </w:rPr>
              <w:t>on-</w:t>
            </w:r>
            <w:r w:rsidR="008910AA" w:rsidRPr="005E3827">
              <w:rPr>
                <w:rFonts w:cs="Arial"/>
              </w:rPr>
              <w:t xml:space="preserve">site at least </w:t>
            </w:r>
            <w:r w:rsidR="008910AA" w:rsidRPr="005E3827">
              <w:rPr>
                <w:rFonts w:cs="Arial"/>
                <w:b/>
              </w:rPr>
              <w:t>4 days per week</w:t>
            </w:r>
            <w:r w:rsidR="008910AA" w:rsidRPr="005E3827">
              <w:rPr>
                <w:rFonts w:cs="Arial"/>
              </w:rPr>
              <w:t xml:space="preserve"> to establish or revi</w:t>
            </w:r>
            <w:r w:rsidR="00EA6923" w:rsidRPr="005E3827">
              <w:rPr>
                <w:rFonts w:cs="Arial"/>
              </w:rPr>
              <w:t>se daily care plans for each critical care</w:t>
            </w:r>
            <w:r w:rsidR="008910AA" w:rsidRPr="005E3827">
              <w:rPr>
                <w:rFonts w:cs="Arial"/>
              </w:rPr>
              <w:t xml:space="preserve"> patient</w:t>
            </w:r>
            <w:r w:rsidR="00EA6923" w:rsidRPr="005E3827">
              <w:rPr>
                <w:rFonts w:cs="Arial"/>
              </w:rPr>
              <w:t xml:space="preserve"> in the ICU</w:t>
            </w:r>
            <w:r w:rsidR="008910AA" w:rsidRPr="005E3827">
              <w:rPr>
                <w:rFonts w:cs="Arial"/>
              </w:rPr>
              <w:t>?</w:t>
            </w:r>
          </w:p>
        </w:tc>
        <w:tc>
          <w:tcPr>
            <w:tcW w:w="2233" w:type="dxa"/>
            <w:vAlign w:val="center"/>
          </w:tcPr>
          <w:p w14:paraId="408727B7" w14:textId="77777777" w:rsidR="008910AA" w:rsidRPr="000C1F1D" w:rsidRDefault="008910AA" w:rsidP="00AD309C">
            <w:pPr>
              <w:pStyle w:val="ListParagraph"/>
              <w:numPr>
                <w:ilvl w:val="0"/>
                <w:numId w:val="344"/>
              </w:numPr>
              <w:rPr>
                <w:rFonts w:cs="Arial"/>
                <w:iCs/>
              </w:rPr>
            </w:pPr>
            <w:r w:rsidRPr="000C1F1D">
              <w:rPr>
                <w:rFonts w:cs="Arial"/>
                <w:iCs/>
              </w:rPr>
              <w:t>Yes</w:t>
            </w:r>
          </w:p>
          <w:p w14:paraId="1C0B5FB7" w14:textId="77777777" w:rsidR="008910AA" w:rsidRPr="000C1F1D" w:rsidRDefault="008910AA" w:rsidP="00AD309C">
            <w:pPr>
              <w:pStyle w:val="ListParagraph"/>
              <w:numPr>
                <w:ilvl w:val="0"/>
                <w:numId w:val="344"/>
              </w:numPr>
              <w:rPr>
                <w:rFonts w:cs="Arial"/>
                <w:iCs/>
              </w:rPr>
            </w:pPr>
            <w:r w:rsidRPr="000C1F1D">
              <w:rPr>
                <w:rFonts w:cs="Arial"/>
                <w:iCs/>
              </w:rPr>
              <w:t>No</w:t>
            </w:r>
          </w:p>
        </w:tc>
      </w:tr>
    </w:tbl>
    <w:p w14:paraId="3904DBF4" w14:textId="77777777" w:rsidR="00A314D9" w:rsidRPr="00C40675" w:rsidRDefault="00A314D9">
      <w:pPr>
        <w:rPr>
          <w:rFonts w:cs="Arial"/>
          <w:i/>
        </w:rPr>
      </w:pPr>
    </w:p>
    <w:p w14:paraId="0A76E2B4" w14:textId="0C409087" w:rsidR="00A314D9" w:rsidRPr="009A5185" w:rsidRDefault="00A314D9">
      <w:pPr>
        <w:rPr>
          <w:rFonts w:cs="Arial"/>
          <w:i/>
        </w:rPr>
      </w:pPr>
      <w:r w:rsidRPr="00C40675">
        <w:rPr>
          <w:rFonts w:cs="Arial"/>
          <w:i/>
        </w:rPr>
        <w:t xml:space="preserve">If </w:t>
      </w:r>
      <w:r w:rsidR="00010B31" w:rsidRPr="006A6938">
        <w:rPr>
          <w:rFonts w:cs="Arial"/>
          <w:i/>
        </w:rPr>
        <w:t>“</w:t>
      </w:r>
      <w:r w:rsidRPr="006A6938">
        <w:rPr>
          <w:rFonts w:cs="Arial"/>
          <w:i/>
        </w:rPr>
        <w:t>yes</w:t>
      </w:r>
      <w:r w:rsidR="00010B31" w:rsidRPr="006A6938">
        <w:rPr>
          <w:rFonts w:cs="Arial"/>
          <w:i/>
        </w:rPr>
        <w:t>”</w:t>
      </w:r>
      <w:r w:rsidRPr="00C40675">
        <w:rPr>
          <w:rFonts w:cs="Arial"/>
          <w:i/>
        </w:rPr>
        <w:t xml:space="preserve"> to question #</w:t>
      </w:r>
      <w:r w:rsidR="00F97F08">
        <w:rPr>
          <w:rFonts w:cs="Arial"/>
          <w:i/>
        </w:rPr>
        <w:t>9</w:t>
      </w:r>
      <w:r w:rsidRPr="00C40675">
        <w:rPr>
          <w:rFonts w:cs="Arial"/>
          <w:i/>
        </w:rPr>
        <w:t>, #</w:t>
      </w:r>
      <w:r w:rsidR="00F97F08">
        <w:rPr>
          <w:rFonts w:cs="Arial"/>
          <w:i/>
        </w:rPr>
        <w:t>10</w:t>
      </w:r>
      <w:r w:rsidRPr="00C40675">
        <w:rPr>
          <w:rFonts w:cs="Arial"/>
          <w:i/>
        </w:rPr>
        <w:t>, or #1</w:t>
      </w:r>
      <w:r w:rsidR="00F97F08">
        <w:rPr>
          <w:rFonts w:cs="Arial"/>
          <w:i/>
        </w:rPr>
        <w:t>1</w:t>
      </w:r>
      <w:r w:rsidRPr="00C40675">
        <w:rPr>
          <w:rFonts w:cs="Arial"/>
          <w:i/>
        </w:rPr>
        <w:t>, skip question #1</w:t>
      </w:r>
      <w:r w:rsidR="00F97F08">
        <w:rPr>
          <w:rFonts w:cs="Arial"/>
          <w:i/>
        </w:rPr>
        <w:t>2</w:t>
      </w:r>
      <w:r w:rsidR="003B6E9E" w:rsidRPr="00C40675">
        <w:rPr>
          <w:rFonts w:cs="Arial"/>
          <w:i/>
        </w:rPr>
        <w:t xml:space="preserve"> and continue to question #1</w:t>
      </w:r>
      <w:r w:rsidR="00F97F08">
        <w:rPr>
          <w:rFonts w:cs="Arial"/>
          <w:i/>
        </w:rPr>
        <w:t>3</w:t>
      </w:r>
      <w:r w:rsidRPr="00C40675">
        <w:rPr>
          <w:rFonts w:cs="Arial"/>
          <w:i/>
        </w:rPr>
        <w:t>.</w:t>
      </w:r>
    </w:p>
    <w:p w14:paraId="0DE3DCAD" w14:textId="77777777" w:rsidR="00A314D9" w:rsidRPr="009A5185" w:rsidRDefault="00A314D9">
      <w:pPr>
        <w:rPr>
          <w:rFonts w:cs="Arial"/>
        </w:rPr>
      </w:pPr>
    </w:p>
    <w:tbl>
      <w:tblPr>
        <w:tblW w:w="95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34"/>
        <w:gridCol w:w="2233"/>
      </w:tblGrid>
      <w:tr w:rsidR="008910AA" w:rsidRPr="009A5185" w14:paraId="3FE1CC65" w14:textId="77777777" w:rsidTr="00996708">
        <w:trPr>
          <w:trHeight w:val="2016"/>
          <w:jc w:val="center"/>
        </w:trPr>
        <w:tc>
          <w:tcPr>
            <w:tcW w:w="7334" w:type="dxa"/>
            <w:vAlign w:val="center"/>
          </w:tcPr>
          <w:p w14:paraId="62077288" w14:textId="47CA66EF" w:rsidR="008910AA" w:rsidRDefault="008910AA" w:rsidP="00AD309C">
            <w:pPr>
              <w:numPr>
                <w:ilvl w:val="0"/>
                <w:numId w:val="31"/>
              </w:numPr>
              <w:rPr>
                <w:rFonts w:cs="Arial"/>
              </w:rPr>
            </w:pPr>
            <w:r w:rsidRPr="005104AF">
              <w:rPr>
                <w:rFonts w:cs="Arial"/>
              </w:rPr>
              <w:t xml:space="preserve">If not </w:t>
            </w:r>
            <w:hyperlink w:anchor="Endnote22_CCPatients" w:history="1">
              <w:r w:rsidRPr="005104AF">
                <w:rPr>
                  <w:rStyle w:val="Hyperlink"/>
                  <w:rFonts w:cs="Arial"/>
                </w:rPr>
                <w:t>all</w:t>
              </w:r>
              <w:r w:rsidR="001106AB" w:rsidRPr="005104AF">
                <w:rPr>
                  <w:rStyle w:val="Hyperlink"/>
                  <w:rFonts w:cs="Arial"/>
                </w:rPr>
                <w:t xml:space="preserve"> critical care</w:t>
              </w:r>
              <w:r w:rsidRPr="005104AF">
                <w:rPr>
                  <w:rStyle w:val="Hyperlink"/>
                  <w:rFonts w:cs="Arial"/>
                </w:rPr>
                <w:t xml:space="preserve"> patients</w:t>
              </w:r>
            </w:hyperlink>
            <w:r w:rsidR="0070116C">
              <w:rPr>
                <w:vertAlign w:val="superscript"/>
              </w:rPr>
              <w:fldChar w:fldCharType="begin"/>
            </w:r>
            <w:r w:rsidR="0070116C">
              <w:rPr>
                <w:rStyle w:val="Hyperlink"/>
                <w:rFonts w:cs="Arial"/>
              </w:rPr>
              <w:instrText xml:space="preserve"> NOTEREF _Ref534212310 \f \h </w:instrText>
            </w:r>
            <w:r w:rsidR="00C5586F">
              <w:rPr>
                <w:vertAlign w:val="superscript"/>
              </w:rPr>
              <w:instrText xml:space="preserve"> \* MERGEFORMAT </w:instrText>
            </w:r>
            <w:r w:rsidR="0070116C">
              <w:rPr>
                <w:vertAlign w:val="superscript"/>
              </w:rPr>
            </w:r>
            <w:r w:rsidR="0070116C">
              <w:rPr>
                <w:vertAlign w:val="superscript"/>
              </w:rPr>
              <w:fldChar w:fldCharType="separate"/>
            </w:r>
            <w:r w:rsidR="007D53A2" w:rsidRPr="00A012EC">
              <w:rPr>
                <w:rStyle w:val="EndnoteReference"/>
              </w:rPr>
              <w:t>34</w:t>
            </w:r>
            <w:r w:rsidR="0070116C">
              <w:rPr>
                <w:vertAlign w:val="superscript"/>
              </w:rPr>
              <w:fldChar w:fldCharType="end"/>
            </w:r>
            <w:r w:rsidRPr="005104AF">
              <w:rPr>
                <w:rFonts w:cs="Arial"/>
              </w:rPr>
              <w:t xml:space="preserve"> are </w:t>
            </w:r>
            <w:hyperlink w:anchor="Endnote24_Manage" w:history="1">
              <w:r w:rsidRPr="005104AF">
                <w:rPr>
                  <w:rStyle w:val="Hyperlink"/>
                  <w:rFonts w:cs="Arial"/>
                </w:rPr>
                <w:t>managed or co-managed</w:t>
              </w:r>
            </w:hyperlink>
            <w:r w:rsidR="009D22D7">
              <w:rPr>
                <w:vertAlign w:val="superscript"/>
              </w:rPr>
              <w:fldChar w:fldCharType="begin"/>
            </w:r>
            <w:r w:rsidR="009D22D7">
              <w:rPr>
                <w:rStyle w:val="Hyperlink"/>
                <w:rFonts w:cs="Arial"/>
              </w:rPr>
              <w:instrText xml:space="preserve"> NOTEREF _Ref91167015 \f \h </w:instrText>
            </w:r>
            <w:r w:rsidR="00C5586F">
              <w:rPr>
                <w:vertAlign w:val="superscript"/>
              </w:rPr>
              <w:instrText xml:space="preserve"> \* MERGEFORMAT </w:instrText>
            </w:r>
            <w:r w:rsidR="009D22D7">
              <w:rPr>
                <w:vertAlign w:val="superscript"/>
              </w:rPr>
            </w:r>
            <w:r w:rsidR="009D22D7">
              <w:rPr>
                <w:vertAlign w:val="superscript"/>
              </w:rPr>
              <w:fldChar w:fldCharType="separate"/>
            </w:r>
            <w:r w:rsidR="007D53A2" w:rsidRPr="00A012EC">
              <w:rPr>
                <w:rStyle w:val="EndnoteReference"/>
              </w:rPr>
              <w:t>35</w:t>
            </w:r>
            <w:r w:rsidR="009D22D7">
              <w:rPr>
                <w:vertAlign w:val="superscript"/>
              </w:rPr>
              <w:fldChar w:fldCharType="end"/>
            </w:r>
            <w:r w:rsidRPr="005104AF">
              <w:rPr>
                <w:rFonts w:cs="Arial"/>
              </w:rPr>
              <w:t xml:space="preserve"> by physicians </w:t>
            </w:r>
            <w:hyperlink w:anchor="Endnote25_Certified" w:history="1">
              <w:r w:rsidRPr="005104AF">
                <w:rPr>
                  <w:rStyle w:val="Hyperlink"/>
                  <w:rFonts w:cs="Arial"/>
                </w:rPr>
                <w:t>certified in critical care medicine</w:t>
              </w:r>
            </w:hyperlink>
            <w:r w:rsidR="009D22D7">
              <w:rPr>
                <w:vertAlign w:val="superscript"/>
              </w:rPr>
              <w:fldChar w:fldCharType="begin"/>
            </w:r>
            <w:r w:rsidR="009D22D7">
              <w:rPr>
                <w:rStyle w:val="Hyperlink"/>
                <w:rFonts w:cs="Arial"/>
              </w:rPr>
              <w:instrText xml:space="preserve"> NOTEREF _Ref534212273 \f \h </w:instrText>
            </w:r>
            <w:r w:rsidR="00C5586F">
              <w:rPr>
                <w:vertAlign w:val="superscript"/>
              </w:rPr>
              <w:instrText xml:space="preserve"> \* MERGEFORMAT </w:instrText>
            </w:r>
            <w:r w:rsidR="009D22D7">
              <w:rPr>
                <w:vertAlign w:val="superscript"/>
              </w:rPr>
            </w:r>
            <w:r w:rsidR="009D22D7">
              <w:rPr>
                <w:vertAlign w:val="superscript"/>
              </w:rPr>
              <w:fldChar w:fldCharType="separate"/>
            </w:r>
            <w:r w:rsidR="007D53A2" w:rsidRPr="00A012EC">
              <w:rPr>
                <w:rStyle w:val="EndnoteReference"/>
              </w:rPr>
              <w:t>36</w:t>
            </w:r>
            <w:r w:rsidR="009D22D7">
              <w:rPr>
                <w:vertAlign w:val="superscript"/>
              </w:rPr>
              <w:fldChar w:fldCharType="end"/>
            </w:r>
            <w:r w:rsidR="00A87A9D" w:rsidRPr="005104AF">
              <w:rPr>
                <w:rFonts w:cs="Arial"/>
              </w:rPr>
              <w:t xml:space="preserve">, either on-site or via </w:t>
            </w:r>
            <w:hyperlink w:anchor="Endnote27_Telemedicine" w:history="1">
              <w:r w:rsidR="00A87A9D" w:rsidRPr="005104AF">
                <w:rPr>
                  <w:rStyle w:val="Hyperlink"/>
                  <w:rFonts w:cs="Arial"/>
                </w:rPr>
                <w:t>telemedicine</w:t>
              </w:r>
            </w:hyperlink>
            <w:r w:rsidR="006C58EA" w:rsidRPr="005104AF">
              <w:rPr>
                <w:vertAlign w:val="superscript"/>
              </w:rPr>
              <w:fldChar w:fldCharType="begin"/>
            </w:r>
            <w:r w:rsidR="006C58EA" w:rsidRPr="005104AF">
              <w:rPr>
                <w:rStyle w:val="Hyperlink"/>
                <w:rFonts w:cs="Arial"/>
              </w:rPr>
              <w:instrText xml:space="preserve"> NOTEREF _Ref534212061 \f \h </w:instrText>
            </w:r>
            <w:r w:rsidR="006C58EA" w:rsidRPr="005104AF">
              <w:rPr>
                <w:vertAlign w:val="superscript"/>
              </w:rPr>
              <w:instrText xml:space="preserve"> \* MERGEFORMAT </w:instrText>
            </w:r>
            <w:r w:rsidR="006C58EA" w:rsidRPr="005104AF">
              <w:rPr>
                <w:vertAlign w:val="superscript"/>
              </w:rPr>
            </w:r>
            <w:r w:rsidR="006C58EA" w:rsidRPr="005104AF">
              <w:rPr>
                <w:vertAlign w:val="superscript"/>
              </w:rPr>
              <w:fldChar w:fldCharType="separate"/>
            </w:r>
            <w:r w:rsidR="007D53A2" w:rsidRPr="00A012EC">
              <w:rPr>
                <w:rStyle w:val="EndnoteReference"/>
              </w:rPr>
              <w:t>38</w:t>
            </w:r>
            <w:r w:rsidR="006C58EA" w:rsidRPr="005104AF">
              <w:rPr>
                <w:vertAlign w:val="superscript"/>
              </w:rPr>
              <w:fldChar w:fldCharType="end"/>
            </w:r>
            <w:r w:rsidR="00A87A9D" w:rsidRPr="005104AF">
              <w:rPr>
                <w:rFonts w:cs="Arial"/>
              </w:rPr>
              <w:t>,</w:t>
            </w:r>
            <w:r w:rsidR="00484DA9" w:rsidRPr="005104AF">
              <w:rPr>
                <w:rFonts w:cs="Arial"/>
              </w:rPr>
              <w:t xml:space="preserve"> </w:t>
            </w:r>
            <w:r w:rsidRPr="005104AF">
              <w:rPr>
                <w:rFonts w:cs="Arial"/>
              </w:rPr>
              <w:t xml:space="preserve">are </w:t>
            </w:r>
            <w:r w:rsidRPr="005104AF">
              <w:rPr>
                <w:rFonts w:cs="Arial"/>
                <w:b/>
              </w:rPr>
              <w:t xml:space="preserve">some </w:t>
            </w:r>
            <w:r w:rsidR="00294A81">
              <w:rPr>
                <w:rFonts w:cs="Arial"/>
                <w:b/>
              </w:rPr>
              <w:t xml:space="preserve">critical care </w:t>
            </w:r>
            <w:r w:rsidRPr="005104AF">
              <w:rPr>
                <w:rFonts w:cs="Arial"/>
                <w:b/>
              </w:rPr>
              <w:t>patients</w:t>
            </w:r>
            <w:r w:rsidRPr="005104AF">
              <w:rPr>
                <w:rFonts w:cs="Arial"/>
              </w:rPr>
              <w:t xml:space="preserve"> managed </w:t>
            </w:r>
            <w:r w:rsidR="00753E4C" w:rsidRPr="005104AF">
              <w:rPr>
                <w:rFonts w:cs="Arial"/>
              </w:rPr>
              <w:t xml:space="preserve">or co-managed </w:t>
            </w:r>
            <w:r w:rsidRPr="005104AF">
              <w:rPr>
                <w:rFonts w:cs="Arial"/>
              </w:rPr>
              <w:t>by these physicians</w:t>
            </w:r>
            <w:r w:rsidR="00F97F08">
              <w:rPr>
                <w:rFonts w:cs="Arial"/>
              </w:rPr>
              <w:t xml:space="preserve"> who are:</w:t>
            </w:r>
          </w:p>
          <w:p w14:paraId="7F1D9180" w14:textId="3ADBB046" w:rsidR="00F97F08" w:rsidRPr="00C40675" w:rsidRDefault="00F97F08" w:rsidP="00AD309C">
            <w:pPr>
              <w:pStyle w:val="Header"/>
              <w:numPr>
                <w:ilvl w:val="0"/>
                <w:numId w:val="182"/>
              </w:numPr>
              <w:tabs>
                <w:tab w:val="clear" w:pos="4320"/>
                <w:tab w:val="clear" w:pos="8640"/>
              </w:tabs>
              <w:rPr>
                <w:rFonts w:cs="Arial"/>
              </w:rPr>
            </w:pPr>
            <w:hyperlink w:anchor="Endnote26_Present" w:history="1">
              <w:r w:rsidRPr="00C40675">
                <w:rPr>
                  <w:rStyle w:val="Hyperlink"/>
                  <w:rFonts w:cs="Arial"/>
                </w:rPr>
                <w:t>ordinarily present</w:t>
              </w:r>
            </w:hyperlink>
            <w:r>
              <w:rPr>
                <w:vertAlign w:val="superscript"/>
              </w:rPr>
              <w:fldChar w:fldCharType="begin"/>
            </w:r>
            <w:r>
              <w:rPr>
                <w:rStyle w:val="Hyperlink"/>
                <w:rFonts w:cs="Arial"/>
              </w:rPr>
              <w:instrText xml:space="preserve"> NOTEREF _Ref91166304 \f \h </w:instrText>
            </w:r>
            <w:r w:rsidR="00C5586F">
              <w:rPr>
                <w:vertAlign w:val="superscript"/>
              </w:rPr>
              <w:instrText xml:space="preserve"> \* MERGEFORMAT </w:instrText>
            </w:r>
            <w:r>
              <w:rPr>
                <w:vertAlign w:val="superscript"/>
              </w:rPr>
            </w:r>
            <w:r>
              <w:rPr>
                <w:vertAlign w:val="superscript"/>
              </w:rPr>
              <w:fldChar w:fldCharType="separate"/>
            </w:r>
            <w:r w:rsidR="007D53A2" w:rsidRPr="00A012EC">
              <w:rPr>
                <w:rStyle w:val="EndnoteReference"/>
              </w:rPr>
              <w:t>37</w:t>
            </w:r>
            <w:r>
              <w:rPr>
                <w:vertAlign w:val="superscript"/>
              </w:rPr>
              <w:fldChar w:fldCharType="end"/>
            </w:r>
            <w:r w:rsidRPr="00C40675">
              <w:rPr>
                <w:rFonts w:cs="Arial"/>
              </w:rPr>
              <w:t xml:space="preserve"> on-site in </w:t>
            </w:r>
            <w:r w:rsidR="00586E18">
              <w:rPr>
                <w:rFonts w:cs="Arial"/>
              </w:rPr>
              <w:t xml:space="preserve">the ICU </w:t>
            </w:r>
            <w:r w:rsidRPr="00C40675">
              <w:rPr>
                <w:rFonts w:cs="Arial"/>
              </w:rPr>
              <w:t>during daytime hours</w:t>
            </w:r>
            <w:r w:rsidR="005E3827">
              <w:rPr>
                <w:rFonts w:cs="Arial"/>
              </w:rPr>
              <w:t>;</w:t>
            </w:r>
          </w:p>
          <w:p w14:paraId="2C63CD8B" w14:textId="5633692F" w:rsidR="00F97F08" w:rsidRPr="00C40675" w:rsidRDefault="00F97F08" w:rsidP="00AD309C">
            <w:pPr>
              <w:pStyle w:val="Header"/>
              <w:numPr>
                <w:ilvl w:val="0"/>
                <w:numId w:val="182"/>
              </w:numPr>
              <w:tabs>
                <w:tab w:val="clear" w:pos="4320"/>
                <w:tab w:val="clear" w:pos="8640"/>
              </w:tabs>
              <w:rPr>
                <w:rFonts w:cs="Arial"/>
                <w:b/>
                <w:u w:val="single"/>
              </w:rPr>
            </w:pPr>
            <w:r w:rsidRPr="00C40675">
              <w:rPr>
                <w:rFonts w:cs="Arial"/>
              </w:rPr>
              <w:t xml:space="preserve">for at least </w:t>
            </w:r>
            <w:r w:rsidRPr="00C40675">
              <w:rPr>
                <w:rFonts w:cs="Arial"/>
                <w:b/>
              </w:rPr>
              <w:t>8 hours per day, 4 days per week or 4 hours per day, 7 days per week</w:t>
            </w:r>
            <w:r w:rsidR="005E3827" w:rsidRPr="00D36222">
              <w:rPr>
                <w:rFonts w:cs="Arial"/>
                <w:bCs/>
              </w:rPr>
              <w:t>; and</w:t>
            </w:r>
          </w:p>
          <w:p w14:paraId="79957EAF" w14:textId="190631EB" w:rsidR="00F97F08" w:rsidRPr="00F97F08" w:rsidRDefault="00F97F08" w:rsidP="00AD309C">
            <w:pPr>
              <w:pStyle w:val="ListParagraph"/>
              <w:numPr>
                <w:ilvl w:val="0"/>
                <w:numId w:val="182"/>
              </w:numPr>
              <w:rPr>
                <w:rFonts w:cs="Arial"/>
              </w:rPr>
            </w:pPr>
            <w:r w:rsidRPr="00F97F08">
              <w:rPr>
                <w:rFonts w:cs="Arial"/>
              </w:rPr>
              <w:t xml:space="preserve">providing clinical care </w:t>
            </w:r>
            <w:hyperlink w:anchor="Endnote26_Present" w:history="1">
              <w:r w:rsidRPr="00F97F08">
                <w:rPr>
                  <w:rStyle w:val="Hyperlink"/>
                  <w:rFonts w:cs="Arial"/>
                </w:rPr>
                <w:t>exclusively</w:t>
              </w:r>
            </w:hyperlink>
            <w:r w:rsidRPr="00F97F08">
              <w:rPr>
                <w:vertAlign w:val="superscript"/>
              </w:rPr>
              <w:fldChar w:fldCharType="begin"/>
            </w:r>
            <w:r w:rsidRPr="00F97F08">
              <w:rPr>
                <w:rStyle w:val="Hyperlink"/>
                <w:rFonts w:cs="Arial"/>
              </w:rPr>
              <w:instrText xml:space="preserve"> NOTEREF _Ref91166304 \f \h </w:instrText>
            </w:r>
            <w:r w:rsidR="00C5586F">
              <w:rPr>
                <w:vertAlign w:val="superscript"/>
              </w:rPr>
              <w:instrText xml:space="preserve"> \* MERGEFORMAT </w:instrText>
            </w:r>
            <w:r w:rsidRPr="00F97F08">
              <w:rPr>
                <w:vertAlign w:val="superscript"/>
              </w:rPr>
            </w:r>
            <w:r w:rsidRPr="00F97F08">
              <w:rPr>
                <w:vertAlign w:val="superscript"/>
              </w:rPr>
              <w:fldChar w:fldCharType="separate"/>
            </w:r>
            <w:r w:rsidR="007D53A2" w:rsidRPr="00A012EC">
              <w:rPr>
                <w:rStyle w:val="EndnoteReference"/>
              </w:rPr>
              <w:t>37</w:t>
            </w:r>
            <w:r w:rsidRPr="00F97F08">
              <w:rPr>
                <w:vertAlign w:val="superscript"/>
              </w:rPr>
              <w:fldChar w:fldCharType="end"/>
            </w:r>
            <w:r w:rsidRPr="00F97F08">
              <w:rPr>
                <w:rFonts w:cs="Arial"/>
              </w:rPr>
              <w:t xml:space="preserve"> in </w:t>
            </w:r>
            <w:r w:rsidR="00574C9E">
              <w:rPr>
                <w:rFonts w:cs="Arial"/>
              </w:rPr>
              <w:t xml:space="preserve">the </w:t>
            </w:r>
            <w:r w:rsidRPr="00F97F08">
              <w:rPr>
                <w:rFonts w:cs="Arial"/>
              </w:rPr>
              <w:t>ICU during these hours?</w:t>
            </w:r>
          </w:p>
        </w:tc>
        <w:tc>
          <w:tcPr>
            <w:tcW w:w="2233" w:type="dxa"/>
            <w:vAlign w:val="center"/>
          </w:tcPr>
          <w:p w14:paraId="7729F55C" w14:textId="77777777" w:rsidR="008910AA" w:rsidRPr="000C1F1D" w:rsidRDefault="008910AA" w:rsidP="00AD309C">
            <w:pPr>
              <w:pStyle w:val="ListParagraph"/>
              <w:numPr>
                <w:ilvl w:val="0"/>
                <w:numId w:val="345"/>
              </w:numPr>
              <w:rPr>
                <w:rFonts w:cs="Arial"/>
                <w:iCs/>
              </w:rPr>
            </w:pPr>
            <w:r w:rsidRPr="000C1F1D">
              <w:rPr>
                <w:rFonts w:cs="Arial"/>
                <w:iCs/>
              </w:rPr>
              <w:t>Yes</w:t>
            </w:r>
          </w:p>
          <w:p w14:paraId="1FB6B8F2" w14:textId="77777777" w:rsidR="008910AA" w:rsidRPr="0079783F" w:rsidRDefault="008910AA" w:rsidP="00AD309C">
            <w:pPr>
              <w:pStyle w:val="ListParagraph"/>
              <w:numPr>
                <w:ilvl w:val="0"/>
                <w:numId w:val="345"/>
              </w:numPr>
              <w:rPr>
                <w:rFonts w:cs="Arial"/>
                <w:iCs/>
              </w:rPr>
            </w:pPr>
            <w:r w:rsidRPr="000C1F1D">
              <w:rPr>
                <w:rFonts w:cs="Arial"/>
                <w:iCs/>
              </w:rPr>
              <w:t>No</w:t>
            </w:r>
          </w:p>
        </w:tc>
      </w:tr>
      <w:tr w:rsidR="002037CD" w:rsidRPr="009A5185" w14:paraId="6975441C" w14:textId="77777777" w:rsidTr="00535B81">
        <w:trPr>
          <w:trHeight w:val="2160"/>
          <w:jc w:val="center"/>
        </w:trPr>
        <w:tc>
          <w:tcPr>
            <w:tcW w:w="7334" w:type="dxa"/>
            <w:vAlign w:val="center"/>
          </w:tcPr>
          <w:p w14:paraId="546B062C" w14:textId="778E8635" w:rsidR="00693D7F" w:rsidRPr="00F97F08" w:rsidRDefault="002037CD" w:rsidP="00AD309C">
            <w:pPr>
              <w:pStyle w:val="ListParagraph"/>
              <w:numPr>
                <w:ilvl w:val="0"/>
                <w:numId w:val="31"/>
              </w:numPr>
              <w:rPr>
                <w:rFonts w:cs="Arial"/>
              </w:rPr>
            </w:pPr>
            <w:r w:rsidRPr="00F97F08">
              <w:rPr>
                <w:rFonts w:cs="Arial"/>
              </w:rPr>
              <w:t xml:space="preserve">Does an on-site clinical pharmacist </w:t>
            </w:r>
            <w:r w:rsidR="00693D7F" w:rsidRPr="00F97F08">
              <w:rPr>
                <w:rFonts w:cs="Arial"/>
              </w:rPr>
              <w:t xml:space="preserve">do </w:t>
            </w:r>
            <w:r w:rsidR="00FB6DD6" w:rsidRPr="00F97F08">
              <w:rPr>
                <w:rFonts w:cs="Arial"/>
                <w:b/>
              </w:rPr>
              <w:t>all</w:t>
            </w:r>
            <w:r w:rsidR="00693D7F" w:rsidRPr="00F97F08">
              <w:rPr>
                <w:rFonts w:cs="Arial"/>
              </w:rPr>
              <w:t xml:space="preserve"> the following:</w:t>
            </w:r>
          </w:p>
          <w:p w14:paraId="28D8AAC4" w14:textId="173DB210" w:rsidR="00693D7F" w:rsidRPr="000C36A2" w:rsidRDefault="001C7DA2" w:rsidP="00AD309C">
            <w:pPr>
              <w:pStyle w:val="ListParagraph"/>
              <w:numPr>
                <w:ilvl w:val="0"/>
                <w:numId w:val="97"/>
              </w:numPr>
              <w:rPr>
                <w:rFonts w:cs="Arial"/>
              </w:rPr>
            </w:pPr>
            <w:r>
              <w:rPr>
                <w:rFonts w:cs="Arial"/>
              </w:rPr>
              <w:t>a</w:t>
            </w:r>
            <w:r w:rsidR="0073524E" w:rsidRPr="000C36A2">
              <w:rPr>
                <w:rFonts w:cs="Arial"/>
              </w:rPr>
              <w:t xml:space="preserve">t least 5 days per week, </w:t>
            </w:r>
            <w:r w:rsidR="002037CD" w:rsidRPr="000C36A2">
              <w:rPr>
                <w:rFonts w:cs="Arial"/>
              </w:rPr>
              <w:t>make</w:t>
            </w:r>
            <w:r w:rsidR="00693D7F" w:rsidRPr="000C36A2">
              <w:rPr>
                <w:rFonts w:cs="Arial"/>
              </w:rPr>
              <w:t>s</w:t>
            </w:r>
            <w:r w:rsidR="002037CD" w:rsidRPr="000C36A2">
              <w:rPr>
                <w:rFonts w:cs="Arial"/>
              </w:rPr>
              <w:t xml:space="preserve"> daily</w:t>
            </w:r>
            <w:r w:rsidR="000C36A2">
              <w:rPr>
                <w:rFonts w:cs="Arial"/>
              </w:rPr>
              <w:t xml:space="preserve"> </w:t>
            </w:r>
            <w:r w:rsidR="00C72AD2">
              <w:rPr>
                <w:rFonts w:cs="Arial"/>
              </w:rPr>
              <w:t xml:space="preserve">on-site </w:t>
            </w:r>
            <w:r w:rsidR="002037CD" w:rsidRPr="000C36A2">
              <w:rPr>
                <w:rFonts w:cs="Arial"/>
              </w:rPr>
              <w:t xml:space="preserve">rounds on </w:t>
            </w:r>
            <w:hyperlink w:anchor="Endnote22_CCPatients" w:history="1">
              <w:r w:rsidR="00753E4C" w:rsidRPr="000C36A2">
                <w:rPr>
                  <w:rStyle w:val="Hyperlink"/>
                  <w:rFonts w:cs="Arial"/>
                </w:rPr>
                <w:t xml:space="preserve">all critical care </w:t>
              </w:r>
              <w:r w:rsidR="002037CD" w:rsidRPr="000C36A2">
                <w:rPr>
                  <w:rStyle w:val="Hyperlink"/>
                  <w:rFonts w:cs="Arial"/>
                </w:rPr>
                <w:t>patients</w:t>
              </w:r>
            </w:hyperlink>
            <w:r w:rsidR="00693D7F" w:rsidRPr="000C36A2">
              <w:rPr>
                <w:rFonts w:cs="Arial"/>
              </w:rPr>
              <w:fldChar w:fldCharType="begin"/>
            </w:r>
            <w:r w:rsidR="00693D7F" w:rsidRPr="000C36A2">
              <w:rPr>
                <w:rFonts w:cs="Arial"/>
              </w:rPr>
              <w:instrText xml:space="preserve"> NOTEREF _Ref534212310 \f \h  \* MERGEFORMAT </w:instrText>
            </w:r>
            <w:r w:rsidR="00693D7F" w:rsidRPr="000C36A2">
              <w:rPr>
                <w:rFonts w:cs="Arial"/>
              </w:rPr>
            </w:r>
            <w:r w:rsidR="00693D7F" w:rsidRPr="000C36A2">
              <w:rPr>
                <w:rFonts w:cs="Arial"/>
              </w:rPr>
              <w:fldChar w:fldCharType="separate"/>
            </w:r>
            <w:r w:rsidR="007D53A2" w:rsidRPr="00A012EC">
              <w:rPr>
                <w:rStyle w:val="EndnoteReference"/>
              </w:rPr>
              <w:t>34</w:t>
            </w:r>
            <w:r w:rsidR="00693D7F" w:rsidRPr="000C36A2">
              <w:rPr>
                <w:rFonts w:cs="Arial"/>
              </w:rPr>
              <w:fldChar w:fldCharType="end"/>
            </w:r>
            <w:r w:rsidR="002037CD" w:rsidRPr="000C36A2">
              <w:rPr>
                <w:rFonts w:cs="Arial"/>
              </w:rPr>
              <w:t xml:space="preserve"> in t</w:t>
            </w:r>
            <w:r w:rsidR="00574C9E">
              <w:rPr>
                <w:rFonts w:cs="Arial"/>
              </w:rPr>
              <w:t xml:space="preserve">he </w:t>
            </w:r>
            <w:r w:rsidR="004D502B" w:rsidRPr="000C36A2">
              <w:rPr>
                <w:rStyle w:val="Hyperlink"/>
                <w:rFonts w:cs="Arial"/>
                <w:color w:val="auto"/>
                <w:u w:val="none"/>
              </w:rPr>
              <w:t>ICU</w:t>
            </w:r>
            <w:r w:rsidR="005E3827">
              <w:rPr>
                <w:rStyle w:val="Hyperlink"/>
                <w:rFonts w:cs="Arial"/>
                <w:color w:val="auto"/>
                <w:u w:val="none"/>
              </w:rPr>
              <w:t>; and</w:t>
            </w:r>
          </w:p>
          <w:p w14:paraId="177E3495" w14:textId="5C3CE795" w:rsidR="000C36A2" w:rsidRPr="00272AE1" w:rsidRDefault="001C7DA2" w:rsidP="00AD309C">
            <w:pPr>
              <w:pStyle w:val="ListParagraph"/>
              <w:numPr>
                <w:ilvl w:val="0"/>
                <w:numId w:val="97"/>
              </w:numPr>
              <w:rPr>
                <w:rFonts w:cs="Arial"/>
              </w:rPr>
            </w:pPr>
            <w:r>
              <w:rPr>
                <w:rFonts w:cs="Arial"/>
              </w:rPr>
              <w:t>o</w:t>
            </w:r>
            <w:r w:rsidR="0073524E" w:rsidRPr="000C36A2">
              <w:rPr>
                <w:rFonts w:cs="Arial"/>
              </w:rPr>
              <w:t xml:space="preserve">n the other 2 days per week, </w:t>
            </w:r>
            <w:r w:rsidR="00F4382C" w:rsidRPr="000C36A2">
              <w:rPr>
                <w:rFonts w:cs="Arial"/>
              </w:rPr>
              <w:t>return</w:t>
            </w:r>
            <w:r w:rsidR="00693D7F" w:rsidRPr="000C36A2">
              <w:rPr>
                <w:rFonts w:cs="Arial"/>
              </w:rPr>
              <w:t>s</w:t>
            </w:r>
            <w:r w:rsidR="00F4382C" w:rsidRPr="000C36A2">
              <w:rPr>
                <w:rFonts w:cs="Arial"/>
              </w:rPr>
              <w:t xml:space="preserve"> more than 95% of </w:t>
            </w:r>
            <w:r w:rsidR="00F4382C" w:rsidRPr="000E1504">
              <w:rPr>
                <w:rFonts w:cs="Arial"/>
              </w:rPr>
              <w:t>call</w:t>
            </w:r>
            <w:r w:rsidR="00887B2C" w:rsidRPr="000E1504">
              <w:rPr>
                <w:rFonts w:cs="Arial"/>
              </w:rPr>
              <w:t>s</w:t>
            </w:r>
            <w:r w:rsidR="00F4382C" w:rsidRPr="000E1504">
              <w:rPr>
                <w:rFonts w:cs="Arial"/>
              </w:rPr>
              <w:t>/pages/</w:t>
            </w:r>
            <w:r w:rsidR="00F4382C" w:rsidRPr="000C36A2">
              <w:rPr>
                <w:rFonts w:cs="Arial"/>
              </w:rPr>
              <w:t>texts from the</w:t>
            </w:r>
            <w:r w:rsidR="00574C9E">
              <w:rPr>
                <w:rFonts w:cs="Arial"/>
              </w:rPr>
              <w:t xml:space="preserve"> unit</w:t>
            </w:r>
            <w:r w:rsidR="00CC2443" w:rsidRPr="000C36A2">
              <w:rPr>
                <w:rFonts w:cs="Arial"/>
              </w:rPr>
              <w:t xml:space="preserve"> within 5 minutes</w:t>
            </w:r>
            <w:r w:rsidR="00F4382C" w:rsidRPr="000C36A2">
              <w:rPr>
                <w:rFonts w:cs="Arial"/>
              </w:rPr>
              <w:t xml:space="preserve">, based on a </w:t>
            </w:r>
            <w:hyperlink w:anchor="Endnote28_ResponseAnalysis" w:history="1">
              <w:r w:rsidR="00F4382C" w:rsidRPr="000C36A2">
                <w:rPr>
                  <w:rStyle w:val="Hyperlink"/>
                  <w:rFonts w:cs="Arial"/>
                </w:rPr>
                <w:t>quantified analysis</w:t>
              </w:r>
            </w:hyperlink>
            <w:r w:rsidR="00F369EA" w:rsidRPr="000C36A2">
              <w:rPr>
                <w:rFonts w:cs="Arial"/>
              </w:rPr>
              <w:fldChar w:fldCharType="begin"/>
            </w:r>
            <w:r w:rsidR="00F369EA" w:rsidRPr="000C36A2">
              <w:rPr>
                <w:rFonts w:cs="Arial"/>
              </w:rPr>
              <w:instrText xml:space="preserve"> NOTEREF _Ref534212563 \f \h  \* MERGEFORMAT </w:instrText>
            </w:r>
            <w:r w:rsidR="00F369EA" w:rsidRPr="000C36A2">
              <w:rPr>
                <w:rFonts w:cs="Arial"/>
              </w:rPr>
            </w:r>
            <w:r w:rsidR="00F369EA" w:rsidRPr="000C36A2">
              <w:rPr>
                <w:rFonts w:cs="Arial"/>
              </w:rPr>
              <w:fldChar w:fldCharType="separate"/>
            </w:r>
            <w:r w:rsidR="007D53A2" w:rsidRPr="00A012EC">
              <w:rPr>
                <w:rStyle w:val="EndnoteReference"/>
              </w:rPr>
              <w:t>39</w:t>
            </w:r>
            <w:r w:rsidR="00F369EA" w:rsidRPr="000C36A2">
              <w:rPr>
                <w:rFonts w:cs="Arial"/>
              </w:rPr>
              <w:fldChar w:fldCharType="end"/>
            </w:r>
            <w:r w:rsidR="00F4382C" w:rsidRPr="000C36A2">
              <w:rPr>
                <w:rFonts w:cs="Arial"/>
              </w:rPr>
              <w:t xml:space="preserve"> of notification device response time</w:t>
            </w:r>
            <w:r w:rsidR="005E3827">
              <w:rPr>
                <w:rFonts w:cs="Arial"/>
              </w:rPr>
              <w:t>;</w:t>
            </w:r>
          </w:p>
          <w:p w14:paraId="151782D6" w14:textId="2181CAB8" w:rsidR="000C36A2" w:rsidRPr="00272AE1" w:rsidRDefault="000C36A2" w:rsidP="00272AE1">
            <w:pPr>
              <w:rPr>
                <w:rFonts w:cs="Arial"/>
                <w:b/>
              </w:rPr>
            </w:pPr>
            <w:r w:rsidRPr="000C36A2">
              <w:rPr>
                <w:rFonts w:cs="Arial"/>
                <w:b/>
              </w:rPr>
              <w:t>OR</w:t>
            </w:r>
          </w:p>
          <w:p w14:paraId="420307AF" w14:textId="0137A6F3" w:rsidR="002037CD" w:rsidRPr="000C36A2" w:rsidRDefault="001C7DA2" w:rsidP="00AD309C">
            <w:pPr>
              <w:pStyle w:val="ListParagraph"/>
              <w:numPr>
                <w:ilvl w:val="0"/>
                <w:numId w:val="97"/>
              </w:numPr>
              <w:rPr>
                <w:rFonts w:cs="Arial"/>
              </w:rPr>
            </w:pPr>
            <w:r>
              <w:rPr>
                <w:rFonts w:cs="Arial"/>
              </w:rPr>
              <w:t>m</w:t>
            </w:r>
            <w:r w:rsidR="000C36A2" w:rsidRPr="000C36A2">
              <w:rPr>
                <w:rFonts w:cs="Arial"/>
              </w:rPr>
              <w:t>akes daily</w:t>
            </w:r>
            <w:r w:rsidR="000C36A2">
              <w:rPr>
                <w:rFonts w:cs="Arial"/>
              </w:rPr>
              <w:t xml:space="preserve"> </w:t>
            </w:r>
            <w:r w:rsidR="00FD7186">
              <w:rPr>
                <w:rFonts w:cs="Arial"/>
              </w:rPr>
              <w:t xml:space="preserve">on-site </w:t>
            </w:r>
            <w:r w:rsidR="000C36A2" w:rsidRPr="000C36A2">
              <w:rPr>
                <w:rFonts w:cs="Arial"/>
              </w:rPr>
              <w:t xml:space="preserve">rounds on </w:t>
            </w:r>
            <w:hyperlink w:anchor="Endnote22_CCPatients" w:history="1">
              <w:r w:rsidR="00FD7186" w:rsidRPr="00FD7186">
                <w:rPr>
                  <w:rStyle w:val="Hyperlink"/>
                  <w:rFonts w:cs="Arial"/>
                </w:rPr>
                <w:t>all critical care patients</w:t>
              </w:r>
            </w:hyperlink>
            <w:r w:rsidR="00FD7186">
              <w:rPr>
                <w:rStyle w:val="Hyperlink"/>
                <w:rFonts w:cs="Arial"/>
                <w:color w:val="auto"/>
                <w:u w:val="none"/>
              </w:rPr>
              <w:fldChar w:fldCharType="begin"/>
            </w:r>
            <w:r w:rsidR="00FD7186">
              <w:rPr>
                <w:rStyle w:val="Hyperlink"/>
                <w:rFonts w:cs="Arial"/>
                <w:color w:val="auto"/>
                <w:u w:val="none"/>
              </w:rPr>
              <w:instrText xml:space="preserve"> NOTEREF _Ref534212310 \f \h </w:instrText>
            </w:r>
            <w:r w:rsidR="0079783F">
              <w:rPr>
                <w:rStyle w:val="Hyperlink"/>
                <w:rFonts w:cs="Arial"/>
                <w:color w:val="auto"/>
                <w:u w:val="none"/>
              </w:rPr>
              <w:instrText xml:space="preserve"> \* MERGEFORMAT </w:instrText>
            </w:r>
            <w:r w:rsidR="00FD7186">
              <w:rPr>
                <w:rStyle w:val="Hyperlink"/>
                <w:rFonts w:cs="Arial"/>
                <w:color w:val="auto"/>
                <w:u w:val="none"/>
              </w:rPr>
            </w:r>
            <w:r w:rsidR="00FD7186">
              <w:rPr>
                <w:rStyle w:val="Hyperlink"/>
                <w:rFonts w:cs="Arial"/>
                <w:color w:val="auto"/>
                <w:u w:val="none"/>
              </w:rPr>
              <w:fldChar w:fldCharType="separate"/>
            </w:r>
            <w:r w:rsidR="007D53A2" w:rsidRPr="00A012EC">
              <w:rPr>
                <w:rStyle w:val="EndnoteReference"/>
              </w:rPr>
              <w:t>34</w:t>
            </w:r>
            <w:r w:rsidR="00FD7186">
              <w:rPr>
                <w:rStyle w:val="Hyperlink"/>
                <w:rFonts w:cs="Arial"/>
                <w:color w:val="auto"/>
                <w:u w:val="none"/>
              </w:rPr>
              <w:fldChar w:fldCharType="end"/>
            </w:r>
            <w:r w:rsidR="000C36A2" w:rsidRPr="000C36A2">
              <w:rPr>
                <w:rFonts w:cs="Arial"/>
              </w:rPr>
              <w:t xml:space="preserve"> in </w:t>
            </w:r>
            <w:r w:rsidR="0047743F">
              <w:rPr>
                <w:rFonts w:cs="Arial"/>
              </w:rPr>
              <w:t>th</w:t>
            </w:r>
            <w:r w:rsidR="00574C9E">
              <w:rPr>
                <w:rFonts w:cs="Arial"/>
              </w:rPr>
              <w:t>e</w:t>
            </w:r>
            <w:r w:rsidR="0047743F">
              <w:rPr>
                <w:rFonts w:cs="Arial"/>
              </w:rPr>
              <w:t xml:space="preserve"> </w:t>
            </w:r>
            <w:r w:rsidR="000C36A2" w:rsidRPr="000C36A2">
              <w:rPr>
                <w:rStyle w:val="Hyperlink"/>
                <w:rFonts w:cs="Arial"/>
                <w:color w:val="auto"/>
                <w:u w:val="none"/>
              </w:rPr>
              <w:t>ICU</w:t>
            </w:r>
            <w:r w:rsidR="000C36A2">
              <w:rPr>
                <w:rStyle w:val="Hyperlink"/>
                <w:rFonts w:cs="Arial"/>
                <w:color w:val="auto"/>
                <w:u w:val="none"/>
              </w:rPr>
              <w:t xml:space="preserve"> 7 days per week</w:t>
            </w:r>
            <w:r w:rsidR="00D67168">
              <w:rPr>
                <w:rFonts w:cs="Arial"/>
              </w:rPr>
              <w:t>?</w:t>
            </w:r>
            <w:r w:rsidR="002037CD" w:rsidRPr="000C36A2">
              <w:rPr>
                <w:rFonts w:cs="Arial"/>
              </w:rPr>
              <w:t xml:space="preserve"> </w:t>
            </w:r>
          </w:p>
        </w:tc>
        <w:tc>
          <w:tcPr>
            <w:tcW w:w="2233" w:type="dxa"/>
            <w:vAlign w:val="center"/>
          </w:tcPr>
          <w:p w14:paraId="094AAA68" w14:textId="77777777" w:rsidR="002037CD" w:rsidRPr="000C1F1D" w:rsidRDefault="002037CD" w:rsidP="00AD309C">
            <w:pPr>
              <w:pStyle w:val="ListParagraph"/>
              <w:numPr>
                <w:ilvl w:val="0"/>
                <w:numId w:val="345"/>
              </w:numPr>
              <w:rPr>
                <w:rFonts w:cs="Arial"/>
                <w:iCs/>
              </w:rPr>
            </w:pPr>
            <w:r w:rsidRPr="000C1F1D">
              <w:rPr>
                <w:rFonts w:cs="Arial"/>
                <w:iCs/>
              </w:rPr>
              <w:t>Yes</w:t>
            </w:r>
          </w:p>
          <w:p w14:paraId="1078057E" w14:textId="77777777" w:rsidR="00F4382C" w:rsidRPr="000C1F1D" w:rsidRDefault="002037CD" w:rsidP="00AD309C">
            <w:pPr>
              <w:pStyle w:val="ListParagraph"/>
              <w:numPr>
                <w:ilvl w:val="0"/>
                <w:numId w:val="345"/>
              </w:numPr>
              <w:rPr>
                <w:rFonts w:cs="Arial"/>
                <w:iCs/>
              </w:rPr>
            </w:pPr>
            <w:r w:rsidRPr="000C1F1D">
              <w:rPr>
                <w:rFonts w:cs="Arial"/>
                <w:iCs/>
              </w:rPr>
              <w:t>No</w:t>
            </w:r>
          </w:p>
          <w:p w14:paraId="67775E9B" w14:textId="77777777" w:rsidR="0073524E" w:rsidRPr="000C1F1D" w:rsidRDefault="0073524E" w:rsidP="00AD309C">
            <w:pPr>
              <w:pStyle w:val="ListParagraph"/>
              <w:numPr>
                <w:ilvl w:val="0"/>
                <w:numId w:val="345"/>
              </w:numPr>
              <w:rPr>
                <w:rFonts w:cs="Arial"/>
                <w:iCs/>
              </w:rPr>
            </w:pPr>
            <w:r w:rsidRPr="000C1F1D">
              <w:rPr>
                <w:rFonts w:cs="Arial"/>
                <w:iCs/>
              </w:rPr>
              <w:t>Clinical pharmacist rounds 7 days per week</w:t>
            </w:r>
          </w:p>
        </w:tc>
      </w:tr>
      <w:tr w:rsidR="002037CD" w:rsidRPr="009A5185" w14:paraId="3CBDF5CC" w14:textId="77777777" w:rsidTr="001755EF">
        <w:trPr>
          <w:trHeight w:val="1008"/>
          <w:jc w:val="center"/>
        </w:trPr>
        <w:tc>
          <w:tcPr>
            <w:tcW w:w="7334" w:type="dxa"/>
            <w:tcBorders>
              <w:bottom w:val="single" w:sz="4" w:space="0" w:color="auto"/>
            </w:tcBorders>
            <w:vAlign w:val="center"/>
          </w:tcPr>
          <w:p w14:paraId="52C2E446" w14:textId="56014646" w:rsidR="002037CD" w:rsidRPr="00F97F08" w:rsidRDefault="002037CD" w:rsidP="00AD309C">
            <w:pPr>
              <w:pStyle w:val="ListParagraph"/>
              <w:numPr>
                <w:ilvl w:val="0"/>
                <w:numId w:val="31"/>
              </w:numPr>
              <w:rPr>
                <w:rFonts w:cs="Arial"/>
              </w:rPr>
            </w:pPr>
            <w:r w:rsidRPr="00F97F08">
              <w:rPr>
                <w:rFonts w:cs="Arial"/>
              </w:rPr>
              <w:t xml:space="preserve">Does a physician </w:t>
            </w:r>
            <w:hyperlink w:anchor="Endnote25_Certified" w:history="1">
              <w:r w:rsidRPr="00F97F08">
                <w:rPr>
                  <w:rStyle w:val="Hyperlink"/>
                  <w:rFonts w:cs="Arial"/>
                </w:rPr>
                <w:t>certified in critical care medicine</w:t>
              </w:r>
            </w:hyperlink>
            <w:r w:rsidR="006F7D5E" w:rsidRPr="00F97F08">
              <w:rPr>
                <w:vertAlign w:val="superscript"/>
              </w:rPr>
              <w:fldChar w:fldCharType="begin"/>
            </w:r>
            <w:r w:rsidR="006F7D5E" w:rsidRPr="00F97F08">
              <w:rPr>
                <w:rStyle w:val="Hyperlink"/>
                <w:rFonts w:cs="Arial"/>
              </w:rPr>
              <w:instrText xml:space="preserve"> NOTEREF _Ref534212273 \f \h </w:instrText>
            </w:r>
            <w:r w:rsidR="006F7D5E" w:rsidRPr="00F97F08">
              <w:rPr>
                <w:vertAlign w:val="superscript"/>
              </w:rPr>
              <w:instrText xml:space="preserve"> \* MERGEFORMAT </w:instrText>
            </w:r>
            <w:r w:rsidR="006F7D5E" w:rsidRPr="00F97F08">
              <w:rPr>
                <w:vertAlign w:val="superscript"/>
              </w:rPr>
            </w:r>
            <w:r w:rsidR="006F7D5E" w:rsidRPr="00F97F08">
              <w:rPr>
                <w:vertAlign w:val="superscript"/>
              </w:rPr>
              <w:fldChar w:fldCharType="separate"/>
            </w:r>
            <w:r w:rsidR="007D53A2" w:rsidRPr="00A012EC">
              <w:rPr>
                <w:rStyle w:val="EndnoteReference"/>
              </w:rPr>
              <w:t>36</w:t>
            </w:r>
            <w:r w:rsidR="006F7D5E" w:rsidRPr="00F97F08">
              <w:rPr>
                <w:vertAlign w:val="superscript"/>
              </w:rPr>
              <w:fldChar w:fldCharType="end"/>
            </w:r>
            <w:r w:rsidRPr="00F97F08">
              <w:rPr>
                <w:rFonts w:cs="Arial"/>
              </w:rPr>
              <w:t xml:space="preserve"> lead daily </w:t>
            </w:r>
            <w:r w:rsidR="001A1376" w:rsidRPr="00F97F08">
              <w:rPr>
                <w:rFonts w:cs="Arial"/>
              </w:rPr>
              <w:t>interprofessional</w:t>
            </w:r>
            <w:r w:rsidRPr="00F97F08">
              <w:rPr>
                <w:rFonts w:cs="Arial"/>
              </w:rPr>
              <w:t xml:space="preserve"> rounds on</w:t>
            </w:r>
            <w:r w:rsidR="005574F6" w:rsidRPr="00F97F08">
              <w:rPr>
                <w:rFonts w:cs="Arial"/>
              </w:rPr>
              <w:t>-</w:t>
            </w:r>
            <w:r w:rsidRPr="00F97F08">
              <w:rPr>
                <w:rFonts w:cs="Arial"/>
              </w:rPr>
              <w:t xml:space="preserve">site on </w:t>
            </w:r>
            <w:hyperlink w:anchor="Endnote22_CCPatients" w:history="1">
              <w:r w:rsidRPr="00F97F08">
                <w:rPr>
                  <w:rStyle w:val="Hyperlink"/>
                  <w:rFonts w:cs="Arial"/>
                </w:rPr>
                <w:t xml:space="preserve">all </w:t>
              </w:r>
              <w:r w:rsidR="001106AB" w:rsidRPr="00F97F08">
                <w:rPr>
                  <w:rStyle w:val="Hyperlink"/>
                  <w:rFonts w:cs="Arial"/>
                </w:rPr>
                <w:t xml:space="preserve">critical care </w:t>
              </w:r>
              <w:r w:rsidRPr="00F97F08">
                <w:rPr>
                  <w:rStyle w:val="Hyperlink"/>
                  <w:rFonts w:cs="Arial"/>
                </w:rPr>
                <w:t>patients</w:t>
              </w:r>
            </w:hyperlink>
            <w:r w:rsidR="006F7D5E" w:rsidRPr="00F97F08">
              <w:rPr>
                <w:vertAlign w:val="superscript"/>
              </w:rPr>
              <w:fldChar w:fldCharType="begin"/>
            </w:r>
            <w:r w:rsidR="006F7D5E" w:rsidRPr="00F97F08">
              <w:rPr>
                <w:rStyle w:val="Hyperlink"/>
                <w:rFonts w:cs="Arial"/>
              </w:rPr>
              <w:instrText xml:space="preserve"> NOTEREF _Ref534212310 \f \h </w:instrText>
            </w:r>
            <w:r w:rsidR="006F7D5E" w:rsidRPr="00F97F08">
              <w:rPr>
                <w:vertAlign w:val="superscript"/>
              </w:rPr>
              <w:instrText xml:space="preserve"> \* MERGEFORMAT </w:instrText>
            </w:r>
            <w:r w:rsidR="006F7D5E" w:rsidRPr="00F97F08">
              <w:rPr>
                <w:vertAlign w:val="superscript"/>
              </w:rPr>
            </w:r>
            <w:r w:rsidR="006F7D5E" w:rsidRPr="00F97F08">
              <w:rPr>
                <w:vertAlign w:val="superscript"/>
              </w:rPr>
              <w:fldChar w:fldCharType="separate"/>
            </w:r>
            <w:r w:rsidR="007D53A2" w:rsidRPr="00A012EC">
              <w:rPr>
                <w:rStyle w:val="EndnoteReference"/>
              </w:rPr>
              <w:t>34</w:t>
            </w:r>
            <w:r w:rsidR="006F7D5E" w:rsidRPr="00F97F08">
              <w:rPr>
                <w:vertAlign w:val="superscript"/>
              </w:rPr>
              <w:fldChar w:fldCharType="end"/>
            </w:r>
            <w:r w:rsidRPr="00F97F08">
              <w:rPr>
                <w:rFonts w:cs="Arial"/>
              </w:rPr>
              <w:t xml:space="preserve"> in</w:t>
            </w:r>
            <w:r w:rsidR="00753E4C" w:rsidRPr="00F97F08">
              <w:rPr>
                <w:rFonts w:cs="Arial"/>
              </w:rPr>
              <w:t xml:space="preserve"> </w:t>
            </w:r>
            <w:r w:rsidR="0047743F">
              <w:rPr>
                <w:rFonts w:cs="Arial"/>
              </w:rPr>
              <w:t>th</w:t>
            </w:r>
            <w:r w:rsidR="00574C9E">
              <w:rPr>
                <w:rFonts w:cs="Arial"/>
              </w:rPr>
              <w:t xml:space="preserve">e </w:t>
            </w:r>
            <w:r w:rsidR="00CA2525" w:rsidRPr="00F97F08">
              <w:rPr>
                <w:rStyle w:val="Hyperlink"/>
                <w:rFonts w:cs="Arial"/>
                <w:color w:val="auto"/>
                <w:u w:val="none"/>
              </w:rPr>
              <w:t>ICU</w:t>
            </w:r>
            <w:r w:rsidRPr="00F97F08">
              <w:rPr>
                <w:rFonts w:cs="Arial"/>
              </w:rPr>
              <w:t xml:space="preserve"> 7 days per week?</w:t>
            </w:r>
          </w:p>
        </w:tc>
        <w:tc>
          <w:tcPr>
            <w:tcW w:w="2233" w:type="dxa"/>
            <w:vAlign w:val="center"/>
          </w:tcPr>
          <w:p w14:paraId="19BC462C" w14:textId="77777777" w:rsidR="002037CD" w:rsidRPr="000C1F1D" w:rsidRDefault="002037CD" w:rsidP="00AD309C">
            <w:pPr>
              <w:pStyle w:val="ListParagraph"/>
              <w:numPr>
                <w:ilvl w:val="0"/>
                <w:numId w:val="345"/>
              </w:numPr>
              <w:rPr>
                <w:rFonts w:cs="Arial"/>
                <w:iCs/>
              </w:rPr>
            </w:pPr>
            <w:r w:rsidRPr="000C1F1D">
              <w:rPr>
                <w:rFonts w:cs="Arial"/>
                <w:iCs/>
              </w:rPr>
              <w:t>Yes</w:t>
            </w:r>
          </w:p>
          <w:p w14:paraId="66DCB94F" w14:textId="77777777" w:rsidR="002037CD" w:rsidRPr="000C1F1D" w:rsidRDefault="002037CD" w:rsidP="00AD309C">
            <w:pPr>
              <w:pStyle w:val="ListParagraph"/>
              <w:numPr>
                <w:ilvl w:val="0"/>
                <w:numId w:val="345"/>
              </w:numPr>
              <w:rPr>
                <w:rFonts w:cs="Arial"/>
                <w:iCs/>
              </w:rPr>
            </w:pPr>
            <w:r w:rsidRPr="000C1F1D">
              <w:rPr>
                <w:rFonts w:cs="Arial"/>
                <w:iCs/>
              </w:rPr>
              <w:t>No</w:t>
            </w:r>
          </w:p>
        </w:tc>
      </w:tr>
      <w:tr w:rsidR="002037CD" w:rsidRPr="009A5185" w14:paraId="234DC970" w14:textId="77777777" w:rsidTr="001755EF">
        <w:trPr>
          <w:trHeight w:val="1152"/>
          <w:jc w:val="center"/>
        </w:trPr>
        <w:tc>
          <w:tcPr>
            <w:tcW w:w="7334" w:type="dxa"/>
            <w:tcBorders>
              <w:top w:val="single" w:sz="4" w:space="0" w:color="auto"/>
              <w:left w:val="single" w:sz="4" w:space="0" w:color="auto"/>
              <w:bottom w:val="single" w:sz="4" w:space="0" w:color="auto"/>
              <w:right w:val="single" w:sz="4" w:space="0" w:color="auto"/>
            </w:tcBorders>
            <w:vAlign w:val="center"/>
          </w:tcPr>
          <w:p w14:paraId="314FEE91" w14:textId="09F1E0D9" w:rsidR="00F97F08" w:rsidRPr="00F97F08" w:rsidRDefault="00F97F08" w:rsidP="00AD309C">
            <w:pPr>
              <w:pStyle w:val="ListParagraph"/>
              <w:numPr>
                <w:ilvl w:val="0"/>
                <w:numId w:val="31"/>
              </w:numPr>
              <w:rPr>
                <w:rFonts w:cs="Arial"/>
              </w:rPr>
            </w:pPr>
            <w:r w:rsidRPr="00F97F08">
              <w:rPr>
                <w:rFonts w:cs="Arial"/>
              </w:rPr>
              <w:t>Are</w:t>
            </w:r>
            <w:r w:rsidR="002037CD" w:rsidRPr="00F97F08">
              <w:rPr>
                <w:rFonts w:cs="Arial"/>
              </w:rPr>
              <w:t xml:space="preserve"> physicians</w:t>
            </w:r>
            <w:r w:rsidR="009F1739" w:rsidRPr="00F97F08">
              <w:rPr>
                <w:rFonts w:cs="Arial"/>
              </w:rPr>
              <w:t xml:space="preserve"> </w:t>
            </w:r>
            <w:hyperlink w:anchor="Endnote25_Certified" w:history="1">
              <w:r w:rsidR="009F1739" w:rsidRPr="00F97F08">
                <w:rPr>
                  <w:rStyle w:val="Hyperlink"/>
                  <w:rFonts w:cs="Arial"/>
                </w:rPr>
                <w:t>certified in critical care medicine</w:t>
              </w:r>
            </w:hyperlink>
            <w:r w:rsidR="006F7D5E" w:rsidRPr="00F97F08">
              <w:rPr>
                <w:rStyle w:val="Hyperlink"/>
                <w:rFonts w:cs="Arial"/>
              </w:rPr>
              <w:fldChar w:fldCharType="begin"/>
            </w:r>
            <w:r w:rsidR="006F7D5E" w:rsidRPr="00F97F08">
              <w:rPr>
                <w:rStyle w:val="Hyperlink"/>
                <w:rFonts w:cs="Arial"/>
              </w:rPr>
              <w:instrText xml:space="preserve"> NOTEREF _Ref534212273 \f \h  \* MERGEFORMAT </w:instrText>
            </w:r>
            <w:r w:rsidR="006F7D5E" w:rsidRPr="00F97F08">
              <w:rPr>
                <w:rStyle w:val="Hyperlink"/>
                <w:rFonts w:cs="Arial"/>
              </w:rPr>
            </w:r>
            <w:r w:rsidR="006F7D5E" w:rsidRPr="00F97F08">
              <w:rPr>
                <w:rStyle w:val="Hyperlink"/>
                <w:rFonts w:cs="Arial"/>
              </w:rPr>
              <w:fldChar w:fldCharType="separate"/>
            </w:r>
            <w:r w:rsidR="007D53A2" w:rsidRPr="00A012EC">
              <w:rPr>
                <w:rStyle w:val="EndnoteReference"/>
              </w:rPr>
              <w:t>36</w:t>
            </w:r>
            <w:r w:rsidR="006F7D5E" w:rsidRPr="00F97F08">
              <w:rPr>
                <w:rStyle w:val="Hyperlink"/>
                <w:rFonts w:cs="Arial"/>
              </w:rPr>
              <w:fldChar w:fldCharType="end"/>
            </w:r>
            <w:r w:rsidR="002037CD" w:rsidRPr="00F97F08">
              <w:rPr>
                <w:rFonts w:cs="Arial"/>
              </w:rPr>
              <w:t xml:space="preserve"> </w:t>
            </w:r>
            <w:r w:rsidRPr="00F97F08">
              <w:rPr>
                <w:rFonts w:cs="Arial"/>
              </w:rPr>
              <w:t>responsible for all ICU admission and discharge decisions when they are:</w:t>
            </w:r>
          </w:p>
          <w:p w14:paraId="5E8B74BD" w14:textId="6F2DAF60" w:rsidR="002037CD" w:rsidRPr="00693D7F" w:rsidRDefault="001C7DA2" w:rsidP="00AD309C">
            <w:pPr>
              <w:pStyle w:val="ListParagraph"/>
              <w:numPr>
                <w:ilvl w:val="0"/>
                <w:numId w:val="97"/>
              </w:numPr>
              <w:rPr>
                <w:rFonts w:cs="Arial"/>
              </w:rPr>
            </w:pPr>
            <w:r>
              <w:rPr>
                <w:rFonts w:cs="Arial"/>
              </w:rPr>
              <w:t>p</w:t>
            </w:r>
            <w:r w:rsidR="00F97F08">
              <w:rPr>
                <w:rFonts w:cs="Arial"/>
              </w:rPr>
              <w:t xml:space="preserve">resent on-site for at least </w:t>
            </w:r>
            <w:r w:rsidR="00F97F08" w:rsidRPr="001E2A00">
              <w:rPr>
                <w:rFonts w:cs="Arial"/>
                <w:b/>
                <w:bCs/>
              </w:rPr>
              <w:t>8 hours per day, 4 days per week or 4 hours per day, 7 days per week</w:t>
            </w:r>
            <w:r w:rsidR="00D67168" w:rsidRPr="00D67168">
              <w:rPr>
                <w:rFonts w:cs="Arial"/>
              </w:rPr>
              <w:t>?</w:t>
            </w:r>
          </w:p>
        </w:tc>
        <w:tc>
          <w:tcPr>
            <w:tcW w:w="2233" w:type="dxa"/>
            <w:tcBorders>
              <w:left w:val="single" w:sz="4" w:space="0" w:color="auto"/>
            </w:tcBorders>
            <w:vAlign w:val="center"/>
          </w:tcPr>
          <w:p w14:paraId="270A6A80" w14:textId="77777777" w:rsidR="002037CD" w:rsidRPr="000C1F1D" w:rsidRDefault="002037CD" w:rsidP="00AD309C">
            <w:pPr>
              <w:pStyle w:val="ListParagraph"/>
              <w:numPr>
                <w:ilvl w:val="0"/>
                <w:numId w:val="345"/>
              </w:numPr>
              <w:rPr>
                <w:rFonts w:cs="Arial"/>
                <w:iCs/>
              </w:rPr>
            </w:pPr>
            <w:r w:rsidRPr="000C1F1D">
              <w:rPr>
                <w:rFonts w:cs="Arial"/>
                <w:iCs/>
              </w:rPr>
              <w:t>Yes</w:t>
            </w:r>
          </w:p>
          <w:p w14:paraId="55A4834B" w14:textId="77777777" w:rsidR="002037CD" w:rsidRPr="000C1F1D" w:rsidRDefault="002037CD" w:rsidP="00AD309C">
            <w:pPr>
              <w:pStyle w:val="ListParagraph"/>
              <w:numPr>
                <w:ilvl w:val="0"/>
                <w:numId w:val="345"/>
              </w:numPr>
              <w:rPr>
                <w:rFonts w:cs="Arial"/>
                <w:iCs/>
              </w:rPr>
            </w:pPr>
            <w:r w:rsidRPr="000C1F1D">
              <w:rPr>
                <w:rFonts w:cs="Arial"/>
                <w:iCs/>
              </w:rPr>
              <w:t>No</w:t>
            </w:r>
          </w:p>
        </w:tc>
      </w:tr>
    </w:tbl>
    <w:p w14:paraId="285ECFCA" w14:textId="6A6F7A31" w:rsidR="008D5018" w:rsidRPr="008D5018" w:rsidRDefault="003E5C29" w:rsidP="005D5A86">
      <w:pPr>
        <w:pStyle w:val="Heading2"/>
        <w:rPr>
          <w:rFonts w:cs="Arial"/>
          <w:color w:val="000000"/>
        </w:rPr>
      </w:pPr>
      <w:bookmarkStart w:id="416" w:name="_5C:_Nursing_Workforce"/>
      <w:bookmarkEnd w:id="416"/>
      <w:r w:rsidRPr="009A5185">
        <w:rPr>
          <w:rFonts w:cs="Arial"/>
          <w:color w:val="000000"/>
        </w:rPr>
        <w:br w:type="page"/>
      </w:r>
      <w:bookmarkStart w:id="417" w:name="_Toc225877750"/>
      <w:r w:rsidR="00AD2D44" w:rsidRPr="005830D1">
        <w:t>5B: Pediatric ICU Physician Staffing</w:t>
      </w:r>
      <w:bookmarkEnd w:id="417"/>
    </w:p>
    <w:p w14:paraId="5856367F" w14:textId="77777777" w:rsidR="008D5018" w:rsidRPr="008D5018" w:rsidRDefault="008D5018" w:rsidP="008D5018">
      <w:pPr>
        <w:rPr>
          <w:rFonts w:cs="Arial"/>
          <w:color w:val="000000"/>
        </w:rPr>
      </w:pPr>
    </w:p>
    <w:p w14:paraId="7E75963A" w14:textId="77777777" w:rsidR="008D5018" w:rsidRPr="008D5018" w:rsidRDefault="008D5018" w:rsidP="008D5018">
      <w:pPr>
        <w:rPr>
          <w:rFonts w:cs="Arial"/>
          <w:color w:val="000000"/>
        </w:rPr>
      </w:pPr>
      <w:r w:rsidRPr="008D5018">
        <w:rPr>
          <w:rFonts w:cs="Arial"/>
          <w:color w:val="000000"/>
        </w:rPr>
        <w:t xml:space="preserve">Hospitals that share a CMS Certification Number are required to report by facility. Please carefully review </w:t>
      </w:r>
      <w:hyperlink r:id="rId327" w:history="1">
        <w:r w:rsidRPr="008D5018">
          <w:rPr>
            <w:rStyle w:val="Hyperlink"/>
            <w:rFonts w:cs="Arial"/>
          </w:rPr>
          <w:t>Leapfrog’s Multi-Campus Reporting Policy</w:t>
        </w:r>
      </w:hyperlink>
      <w:r w:rsidRPr="008D5018">
        <w:rPr>
          <w:rFonts w:cs="Arial"/>
          <w:color w:val="000000"/>
          <w:u w:val="single"/>
        </w:rPr>
        <w:t>.</w:t>
      </w:r>
    </w:p>
    <w:p w14:paraId="00112516" w14:textId="77777777" w:rsidR="008D5018" w:rsidRPr="008D5018" w:rsidRDefault="008D5018" w:rsidP="008D5018">
      <w:pPr>
        <w:rPr>
          <w:rFonts w:cs="Arial"/>
          <w:color w:val="000000"/>
        </w:rPr>
      </w:pPr>
    </w:p>
    <w:p w14:paraId="2CC873C4" w14:textId="77777777" w:rsidR="008D5018" w:rsidRPr="005830D1" w:rsidRDefault="008D5018" w:rsidP="008D5018">
      <w:pPr>
        <w:rPr>
          <w:rFonts w:cs="Arial"/>
          <w:b/>
          <w:color w:val="FF0000"/>
        </w:rPr>
      </w:pPr>
      <w:r w:rsidRPr="005830D1">
        <w:rPr>
          <w:rFonts w:cs="Arial"/>
          <w:b/>
          <w:color w:val="FF0000"/>
        </w:rPr>
        <w:t>Important Notes:</w:t>
      </w:r>
    </w:p>
    <w:p w14:paraId="210DF794" w14:textId="77777777" w:rsidR="008D5018" w:rsidRPr="008D5018" w:rsidRDefault="008D5018" w:rsidP="008D5018">
      <w:pPr>
        <w:rPr>
          <w:rFonts w:cs="Arial"/>
          <w:b/>
          <w:color w:val="000000"/>
        </w:rPr>
      </w:pPr>
    </w:p>
    <w:p w14:paraId="2FDFB3EC" w14:textId="77777777" w:rsidR="008D5018" w:rsidRPr="008D5018" w:rsidRDefault="008D5018" w:rsidP="008D5018">
      <w:pPr>
        <w:rPr>
          <w:rFonts w:cs="Arial"/>
          <w:color w:val="000000"/>
        </w:rPr>
      </w:pPr>
      <w:r w:rsidRPr="008D5018">
        <w:rPr>
          <w:rFonts w:cs="Arial"/>
          <w:color w:val="000000"/>
        </w:rPr>
        <w:t>Note 1: Each of the endnotes referenced in the questions below must be reviewed before responding to each question.</w:t>
      </w:r>
    </w:p>
    <w:p w14:paraId="34061F54" w14:textId="77777777" w:rsidR="008D5018" w:rsidRPr="008D5018" w:rsidRDefault="008D5018" w:rsidP="008D5018">
      <w:pPr>
        <w:rPr>
          <w:rFonts w:cs="Arial"/>
          <w:color w:val="000000"/>
        </w:rPr>
      </w:pPr>
    </w:p>
    <w:p w14:paraId="69ECB500" w14:textId="36DA974F" w:rsidR="008D5018" w:rsidRPr="008D5018" w:rsidRDefault="008D5018" w:rsidP="008D5018">
      <w:pPr>
        <w:rPr>
          <w:rFonts w:cs="Arial"/>
          <w:color w:val="000000"/>
        </w:rPr>
      </w:pPr>
      <w:r w:rsidRPr="008D5018">
        <w:rPr>
          <w:rFonts w:cs="Arial"/>
          <w:color w:val="000000"/>
        </w:rPr>
        <w:t>Note 2: Some intensivist “presence” may be accomplished via tele-intensivists per Leapfrog’s specifications (</w:t>
      </w:r>
      <w:hyperlink w:anchor="Endnote27_Telemedicine" w:history="1">
        <w:r w:rsidRPr="008D5018">
          <w:rPr>
            <w:rStyle w:val="Hyperlink"/>
            <w:rFonts w:cs="Arial"/>
          </w:rPr>
          <w:t>More Information</w:t>
        </w:r>
      </w:hyperlink>
      <w:r w:rsidRPr="008D5018">
        <w:rPr>
          <w:rFonts w:cs="Arial"/>
          <w:color w:val="000000"/>
          <w:vertAlign w:val="superscript"/>
        </w:rPr>
        <w:fldChar w:fldCharType="begin"/>
      </w:r>
      <w:r w:rsidRPr="008D5018">
        <w:rPr>
          <w:rFonts w:cs="Arial"/>
          <w:color w:val="000000"/>
          <w:u w:val="single"/>
        </w:rPr>
        <w:instrText xml:space="preserve"> NOTEREF _Ref534212061 \f \h </w:instrText>
      </w:r>
      <w:r w:rsidRPr="008D5018">
        <w:rPr>
          <w:rFonts w:cs="Arial"/>
          <w:color w:val="000000"/>
          <w:vertAlign w:val="superscript"/>
        </w:rPr>
      </w:r>
      <w:r w:rsidRPr="008D5018">
        <w:rPr>
          <w:rFonts w:cs="Arial"/>
          <w:color w:val="000000"/>
          <w:vertAlign w:val="superscript"/>
        </w:rPr>
        <w:fldChar w:fldCharType="separate"/>
      </w:r>
      <w:r w:rsidR="007D53A2" w:rsidRPr="00A012EC">
        <w:rPr>
          <w:rStyle w:val="EndnoteReference"/>
        </w:rPr>
        <w:t>38</w:t>
      </w:r>
      <w:r w:rsidRPr="008D5018">
        <w:rPr>
          <w:rFonts w:cs="Arial"/>
          <w:color w:val="000000"/>
        </w:rPr>
        <w:fldChar w:fldCharType="end"/>
      </w:r>
      <w:r w:rsidRPr="008D5018">
        <w:rPr>
          <w:rFonts w:cs="Arial"/>
          <w:color w:val="000000"/>
        </w:rPr>
        <w:t>). However, at this time hospitals cannot achieve the standard through the sole use of tele-intensivists.</w:t>
      </w:r>
      <w:r w:rsidRPr="008D5018">
        <w:rPr>
          <w:rFonts w:cs="Arial"/>
          <w:color w:val="000000"/>
        </w:rPr>
        <w:br/>
      </w:r>
    </w:p>
    <w:p w14:paraId="38E8B8E3" w14:textId="6DEC1DEB" w:rsidR="008D5018" w:rsidRPr="008D5018" w:rsidRDefault="008D5018" w:rsidP="008D5018">
      <w:pPr>
        <w:rPr>
          <w:rFonts w:cs="Arial"/>
          <w:color w:val="000000"/>
        </w:rPr>
      </w:pPr>
      <w:r w:rsidRPr="008D5018">
        <w:rPr>
          <w:rFonts w:cs="Arial"/>
          <w:color w:val="000000"/>
        </w:rPr>
        <w:t>Note 3: On an interim basis, other categories of physicians may be considered by Leapfrog to be “certified in Critical Care Medicine” (</w:t>
      </w:r>
      <w:hyperlink w:anchor="Endnote27_Telemedicine" w:history="1">
        <w:r w:rsidRPr="008D5018">
          <w:rPr>
            <w:rStyle w:val="Hyperlink"/>
            <w:rFonts w:cs="Arial"/>
          </w:rPr>
          <w:t>More Information</w:t>
        </w:r>
      </w:hyperlink>
      <w:r w:rsidRPr="008D5018">
        <w:rPr>
          <w:rFonts w:cs="Arial"/>
          <w:color w:val="000000"/>
          <w:vertAlign w:val="superscript"/>
        </w:rPr>
        <w:fldChar w:fldCharType="begin"/>
      </w:r>
      <w:r w:rsidRPr="008D5018">
        <w:rPr>
          <w:rFonts w:cs="Arial"/>
          <w:color w:val="000000"/>
          <w:u w:val="single"/>
        </w:rPr>
        <w:instrText xml:space="preserve"> NOTEREF _Ref534212273 \f \h </w:instrText>
      </w:r>
      <w:r w:rsidRPr="008D5018">
        <w:rPr>
          <w:rFonts w:cs="Arial"/>
          <w:color w:val="000000"/>
          <w:vertAlign w:val="superscript"/>
        </w:rPr>
      </w:r>
      <w:r w:rsidRPr="008D5018">
        <w:rPr>
          <w:rFonts w:cs="Arial"/>
          <w:color w:val="000000"/>
          <w:vertAlign w:val="superscript"/>
        </w:rPr>
        <w:fldChar w:fldCharType="separate"/>
      </w:r>
      <w:r w:rsidR="007D53A2" w:rsidRPr="00A012EC">
        <w:rPr>
          <w:rStyle w:val="EndnoteReference"/>
        </w:rPr>
        <w:t>36</w:t>
      </w:r>
      <w:r w:rsidRPr="008D5018">
        <w:rPr>
          <w:rFonts w:cs="Arial"/>
          <w:color w:val="000000"/>
        </w:rPr>
        <w:fldChar w:fldCharType="end"/>
      </w:r>
      <w:r w:rsidRPr="008D5018">
        <w:rPr>
          <w:rFonts w:cs="Arial"/>
          <w:color w:val="000000"/>
        </w:rPr>
        <w:t>).</w:t>
      </w:r>
    </w:p>
    <w:p w14:paraId="5309A7EB" w14:textId="77777777" w:rsidR="008D5018" w:rsidRPr="008D5018" w:rsidRDefault="008D5018" w:rsidP="008D5018">
      <w:pPr>
        <w:rPr>
          <w:rFonts w:cs="Arial"/>
          <w:color w:val="000000"/>
        </w:rPr>
      </w:pPr>
    </w:p>
    <w:p w14:paraId="347BB8D7" w14:textId="5CB888B2" w:rsidR="008D5018" w:rsidRPr="008D5018" w:rsidRDefault="008D5018" w:rsidP="008D5018">
      <w:pPr>
        <w:rPr>
          <w:rFonts w:cs="Arial"/>
          <w:color w:val="000000"/>
        </w:rPr>
      </w:pPr>
      <w:r w:rsidRPr="008D5018">
        <w:rPr>
          <w:rFonts w:cs="Arial"/>
          <w:color w:val="000000"/>
        </w:rPr>
        <w:t>Note 4: The standard applies to all pediatric general medical</w:t>
      </w:r>
      <w:r w:rsidR="00E60A3F">
        <w:rPr>
          <w:rFonts w:cs="Arial"/>
          <w:color w:val="000000"/>
        </w:rPr>
        <w:t xml:space="preserve">, </w:t>
      </w:r>
      <w:r w:rsidRPr="008D5018">
        <w:rPr>
          <w:rFonts w:cs="Arial"/>
          <w:color w:val="000000"/>
        </w:rPr>
        <w:t>surgical</w:t>
      </w:r>
      <w:r w:rsidR="00E60A3F">
        <w:rPr>
          <w:rFonts w:cs="Arial"/>
          <w:color w:val="000000"/>
        </w:rPr>
        <w:t xml:space="preserve">, medical/surgical, </w:t>
      </w:r>
      <w:r w:rsidRPr="008D5018">
        <w:rPr>
          <w:rFonts w:cs="Arial"/>
          <w:color w:val="000000"/>
        </w:rPr>
        <w:t>and neuro critical care pediatric patients (medical and surgical), including those pediatric patients in mixed acuity units.</w:t>
      </w:r>
    </w:p>
    <w:p w14:paraId="096EDB1D" w14:textId="77777777" w:rsidR="008D5018" w:rsidRPr="008D5018" w:rsidRDefault="008D5018" w:rsidP="008D5018">
      <w:pPr>
        <w:rPr>
          <w:rFonts w:cs="Arial"/>
          <w:color w:val="000000"/>
        </w:rPr>
      </w:pPr>
    </w:p>
    <w:p w14:paraId="04274C29" w14:textId="77777777" w:rsidR="00B5613E" w:rsidRDefault="00355413">
      <w:pPr>
        <w:rPr>
          <w:rFonts w:cs="Arial"/>
          <w:color w:val="000000"/>
        </w:rPr>
      </w:pPr>
      <w:r>
        <w:rPr>
          <w:noProof/>
        </w:rPr>
        <mc:AlternateContent>
          <mc:Choice Requires="wps">
            <w:drawing>
              <wp:inline distT="0" distB="0" distL="0" distR="0" wp14:anchorId="101ED376" wp14:editId="048623FD">
                <wp:extent cx="5943600" cy="1370965"/>
                <wp:effectExtent l="0" t="0" r="19050" b="19685"/>
                <wp:docPr id="147770111" name="Text Box 41" descr="P7386TB22#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370965"/>
                        </a:xfrm>
                        <a:prstGeom prst="rect">
                          <a:avLst/>
                        </a:prstGeom>
                        <a:solidFill>
                          <a:srgbClr val="FFFFFF"/>
                        </a:solidFill>
                        <a:ln w="9525">
                          <a:solidFill>
                            <a:srgbClr val="FF0000"/>
                          </a:solidFill>
                          <a:miter lim="800000"/>
                          <a:headEnd/>
                          <a:tailEnd/>
                        </a:ln>
                      </wps:spPr>
                      <wps:txbx>
                        <w:txbxContent>
                          <w:p w14:paraId="513C8906" w14:textId="77777777" w:rsidR="00355413" w:rsidRDefault="00355413" w:rsidP="00355413">
                            <w:pPr>
                              <w:pStyle w:val="Header"/>
                              <w:tabs>
                                <w:tab w:val="left" w:pos="720"/>
                              </w:tabs>
                              <w:spacing w:before="40"/>
                              <w:rPr>
                                <w:rFonts w:cs="Arial"/>
                                <w:b/>
                              </w:rPr>
                            </w:pPr>
                            <w:r>
                              <w:rPr>
                                <w:rFonts w:cs="Arial"/>
                                <w:b/>
                              </w:rPr>
                              <w:t>Reporting Period: 3 months</w:t>
                            </w:r>
                          </w:p>
                          <w:p w14:paraId="1A6193EF" w14:textId="77777777" w:rsidR="00355413" w:rsidRDefault="00355413" w:rsidP="00355413">
                            <w:pPr>
                              <w:pStyle w:val="Header"/>
                              <w:tabs>
                                <w:tab w:val="left" w:pos="720"/>
                              </w:tabs>
                              <w:spacing w:before="40"/>
                              <w:rPr>
                                <w:rFonts w:cs="Arial"/>
                              </w:rPr>
                            </w:pPr>
                            <w:r>
                              <w:rPr>
                                <w:rFonts w:cs="Arial"/>
                              </w:rPr>
                              <w:t>Answer questions #1-15 based on the staffing structure currently in place at the time that you submit this section of the Survey. The staffing structure should have been in place for at least the past 3 months and reflect the ordinary staffing structure for each applicable ICU.</w:t>
                            </w:r>
                          </w:p>
                          <w:p w14:paraId="2C74E8C1" w14:textId="77777777" w:rsidR="00355413" w:rsidRDefault="00355413" w:rsidP="00355413">
                            <w:pPr>
                              <w:pStyle w:val="Header"/>
                              <w:tabs>
                                <w:tab w:val="left" w:pos="720"/>
                              </w:tabs>
                              <w:spacing w:before="40"/>
                              <w:rPr>
                                <w:rFonts w:cs="Arial"/>
                                <w:b/>
                              </w:rPr>
                            </w:pPr>
                          </w:p>
                          <w:p w14:paraId="1C11FF0B" w14:textId="77777777" w:rsidR="00355413" w:rsidRDefault="00355413" w:rsidP="00355413">
                            <w:r>
                              <w:rPr>
                                <w:rFonts w:cs="Arial"/>
                                <w:sz w:val="16"/>
                                <w:szCs w:val="16"/>
                              </w:rPr>
                              <w:t xml:space="preserve">Note: As a reminder, the </w:t>
                            </w:r>
                            <w:hyperlink r:id="rId328" w:history="1">
                              <w:r>
                                <w:rPr>
                                  <w:rStyle w:val="Hyperlink"/>
                                  <w:rFonts w:cs="Arial"/>
                                  <w:sz w:val="16"/>
                                  <w:szCs w:val="16"/>
                                </w:rPr>
                                <w:t>Corrections Period</w:t>
                              </w:r>
                            </w:hyperlink>
                            <w:r>
                              <w:rPr>
                                <w:rFonts w:cs="Arial"/>
                                <w:sz w:val="16"/>
                                <w:szCs w:val="16"/>
                              </w:rPr>
                              <w:t xml:space="preserve"> (December 1-January 31) is reserved for corrections to previously submitted Surveys only. </w:t>
                            </w:r>
                            <w:r>
                              <w:rPr>
                                <w:rFonts w:cs="Arial"/>
                                <w:bCs/>
                                <w:snapToGrid w:val="0"/>
                                <w:sz w:val="16"/>
                                <w:szCs w:val="16"/>
                              </w:rPr>
                              <w:t>Any updates made to reflect a change in performance must be made prior to the November 30 Late Submission and Performance Update Deadline. Updates made to reflect a change in performance after November 30 will not be scored or publicly reported.</w:t>
                            </w:r>
                          </w:p>
                        </w:txbxContent>
                      </wps:txbx>
                      <wps:bodyPr rot="0" vert="horz" wrap="square" lIns="91440" tIns="45720" rIns="91440" bIns="45720" anchor="t" anchorCtr="0" upright="1">
                        <a:noAutofit/>
                      </wps:bodyPr>
                    </wps:wsp>
                  </a:graphicData>
                </a:graphic>
              </wp:inline>
            </w:drawing>
          </mc:Choice>
          <mc:Fallback>
            <w:pict>
              <v:shape w14:anchorId="101ED376" id="Text Box 41" o:spid="_x0000_s1049" type="#_x0000_t202" alt="P7386TB22#y1" style="width:468pt;height:107.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" strokecolor="red">
                <v:textbox>
                  <w:txbxContent>
                    <w:p w14:paraId="513C8906" w14:textId="77777777" w:rsidR="00355413" w:rsidRDefault="00355413" w:rsidP="00355413">
                      <w:pPr>
                        <w:pStyle w:val="Header"/>
                        <w:tabs>
                          <w:tab w:val="left" w:pos="720"/>
                        </w:tabs>
                        <w:spacing w:before="40"/>
                        <w:rPr>
                          <w:rFonts w:cs="Arial"/>
                          <w:b/>
                        </w:rPr>
                      </w:pPr>
                      <w:r>
                        <w:rPr>
                          <w:rFonts w:cs="Arial"/>
                          <w:b/>
                        </w:rPr>
                        <w:t>Reporting Period: 3 months</w:t>
                      </w:r>
                    </w:p>
                    <w:p w14:paraId="1A6193EF" w14:textId="77777777" w:rsidR="00355413" w:rsidRDefault="00355413" w:rsidP="00355413">
                      <w:pPr>
                        <w:pStyle w:val="Header"/>
                        <w:tabs>
                          <w:tab w:val="left" w:pos="720"/>
                        </w:tabs>
                        <w:spacing w:before="40"/>
                        <w:rPr>
                          <w:rFonts w:cs="Arial"/>
                        </w:rPr>
                      </w:pPr>
                      <w:r>
                        <w:rPr>
                          <w:rFonts w:cs="Arial"/>
                        </w:rPr>
                        <w:t>Answer questions #1-15 based on the staffing structure currently in place at the time that you submit this section of the Survey. The staffing structure should have been in place for at least the past 3 months and reflect the ordinary staffing structure for each applicable ICU.</w:t>
                      </w:r>
                    </w:p>
                    <w:p w14:paraId="2C74E8C1" w14:textId="77777777" w:rsidR="00355413" w:rsidRDefault="00355413" w:rsidP="00355413">
                      <w:pPr>
                        <w:pStyle w:val="Header"/>
                        <w:tabs>
                          <w:tab w:val="left" w:pos="720"/>
                        </w:tabs>
                        <w:spacing w:before="40"/>
                        <w:rPr>
                          <w:rFonts w:cs="Arial"/>
                          <w:b/>
                        </w:rPr>
                      </w:pPr>
                    </w:p>
                    <w:p w14:paraId="1C11FF0B" w14:textId="77777777" w:rsidR="00355413" w:rsidRDefault="00355413" w:rsidP="00355413">
                      <w:r>
                        <w:rPr>
                          <w:rFonts w:cs="Arial"/>
                          <w:sz w:val="16"/>
                          <w:szCs w:val="16"/>
                        </w:rPr>
                        <w:t xml:space="preserve">Note: As a reminder, the </w:t>
                      </w:r>
                      <w:hyperlink r:id="rId329" w:history="1">
                        <w:r>
                          <w:rPr>
                            <w:rStyle w:val="Hyperlink"/>
                            <w:rFonts w:cs="Arial"/>
                            <w:sz w:val="16"/>
                            <w:szCs w:val="16"/>
                          </w:rPr>
                          <w:t>Corrections Period</w:t>
                        </w:r>
                      </w:hyperlink>
                      <w:r>
                        <w:rPr>
                          <w:rFonts w:cs="Arial"/>
                          <w:sz w:val="16"/>
                          <w:szCs w:val="16"/>
                        </w:rPr>
                        <w:t xml:space="preserve"> (December 1-January 31) is reserved for corrections to previously submitted Surveys only. </w:t>
                      </w:r>
                      <w:r>
                        <w:rPr>
                          <w:rFonts w:cs="Arial"/>
                          <w:bCs/>
                          <w:snapToGrid w:val="0"/>
                          <w:sz w:val="16"/>
                          <w:szCs w:val="16"/>
                        </w:rPr>
                        <w:t>Any updates made to reflect a change in performance must be made prior to the November 30 Late Submission and Performance Update Deadline. Updates made to reflect a change in performance after November 30 will not be scored or publicly reported.</w:t>
                      </w:r>
                    </w:p>
                  </w:txbxContent>
                </v:textbox>
                <w10:anchorlock/>
              </v:shape>
            </w:pict>
          </mc:Fallback>
        </mc:AlternateContent>
      </w:r>
    </w:p>
    <w:p w14:paraId="5D642F08" w14:textId="77777777" w:rsidR="00B5613E" w:rsidRDefault="00B5613E">
      <w:pPr>
        <w:rPr>
          <w:rFonts w:cs="Arial"/>
          <w:color w:val="000000"/>
        </w:rPr>
      </w:pPr>
    </w:p>
    <w:p w14:paraId="3AF42F0C" w14:textId="77777777" w:rsidR="00FE3125" w:rsidRPr="009A5185" w:rsidRDefault="00FE3125" w:rsidP="00FE3125">
      <w:pPr>
        <w:rPr>
          <w:rFonts w:cs="Arial"/>
          <w:i/>
        </w:rPr>
      </w:pP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25"/>
        <w:gridCol w:w="3035"/>
      </w:tblGrid>
      <w:tr w:rsidR="00016179" w:rsidRPr="005830D1" w14:paraId="47E6E690" w14:textId="77777777" w:rsidTr="00D73F6A">
        <w:trPr>
          <w:trHeight w:val="20"/>
          <w:jc w:val="center"/>
        </w:trPr>
        <w:tc>
          <w:tcPr>
            <w:tcW w:w="6325" w:type="dxa"/>
            <w:vAlign w:val="center"/>
          </w:tcPr>
          <w:p w14:paraId="70761087" w14:textId="682645AE" w:rsidR="00016179" w:rsidRPr="005830D1" w:rsidRDefault="00016179" w:rsidP="00AD309C">
            <w:pPr>
              <w:pStyle w:val="ListParagraph"/>
              <w:numPr>
                <w:ilvl w:val="0"/>
                <w:numId w:val="407"/>
              </w:numPr>
              <w:spacing w:before="120" w:after="120"/>
              <w:rPr>
                <w:rFonts w:cs="Arial"/>
              </w:rPr>
            </w:pPr>
            <w:r w:rsidRPr="005830D1">
              <w:rPr>
                <w:rFonts w:cs="Arial"/>
              </w:rPr>
              <w:t>W</w:t>
            </w:r>
            <w:r w:rsidRPr="005830D1">
              <w:rPr>
                <w:rFonts w:cs="Arial"/>
                <w:snapToGrid w:val="0"/>
                <w:color w:val="000000"/>
              </w:rPr>
              <w:t>hat is the latest 3-month reporting period for which your hospital is submitting responses to this section? 3 months ending:</w:t>
            </w:r>
          </w:p>
        </w:tc>
        <w:tc>
          <w:tcPr>
            <w:tcW w:w="3035" w:type="dxa"/>
            <w:vAlign w:val="center"/>
          </w:tcPr>
          <w:p w14:paraId="7C64F24A" w14:textId="77777777" w:rsidR="00016179" w:rsidRPr="005830D1" w:rsidRDefault="00016179" w:rsidP="00D73F6A">
            <w:pPr>
              <w:jc w:val="center"/>
              <w:rPr>
                <w:rFonts w:cs="Arial"/>
                <w:i/>
                <w:snapToGrid w:val="0"/>
              </w:rPr>
            </w:pPr>
            <w:r w:rsidRPr="005830D1">
              <w:rPr>
                <w:rFonts w:cs="Arial"/>
                <w:i/>
                <w:snapToGrid w:val="0"/>
              </w:rPr>
              <w:t>______</w:t>
            </w:r>
          </w:p>
          <w:p w14:paraId="47B00CC6" w14:textId="77777777" w:rsidR="00016179" w:rsidRPr="005830D1" w:rsidRDefault="00016179" w:rsidP="00D73F6A">
            <w:pPr>
              <w:jc w:val="center"/>
              <w:rPr>
                <w:rFonts w:cs="Arial"/>
                <w:i/>
                <w:snapToGrid w:val="0"/>
                <w:sz w:val="16"/>
                <w:szCs w:val="16"/>
              </w:rPr>
            </w:pPr>
            <w:r w:rsidRPr="005830D1">
              <w:rPr>
                <w:rFonts w:cs="Arial"/>
                <w:i/>
                <w:snapToGrid w:val="0"/>
                <w:sz w:val="16"/>
                <w:szCs w:val="16"/>
              </w:rPr>
              <w:t>Format: Month/Year</w:t>
            </w:r>
          </w:p>
        </w:tc>
      </w:tr>
      <w:tr w:rsidR="00016179" w:rsidRPr="005830D1" w14:paraId="0A279988" w14:textId="77777777" w:rsidTr="00D73F6A">
        <w:trPr>
          <w:trHeight w:val="3744"/>
          <w:jc w:val="center"/>
        </w:trPr>
        <w:tc>
          <w:tcPr>
            <w:tcW w:w="6325" w:type="dxa"/>
            <w:vAlign w:val="center"/>
          </w:tcPr>
          <w:p w14:paraId="00280BF7" w14:textId="522E5121" w:rsidR="00016179" w:rsidRPr="005830D1" w:rsidRDefault="00016179" w:rsidP="00AD309C">
            <w:pPr>
              <w:numPr>
                <w:ilvl w:val="0"/>
                <w:numId w:val="407"/>
              </w:numPr>
              <w:rPr>
                <w:rFonts w:cs="Arial"/>
              </w:rPr>
            </w:pPr>
            <w:r w:rsidRPr="005830D1">
              <w:rPr>
                <w:rFonts w:cs="Arial"/>
              </w:rPr>
              <w:t>Does your hospital operate any</w:t>
            </w:r>
            <w:r w:rsidR="00F9658C" w:rsidRPr="005830D1">
              <w:rPr>
                <w:rFonts w:cs="Arial"/>
              </w:rPr>
              <w:t xml:space="preserve"> pediatric</w:t>
            </w:r>
            <w:r w:rsidRPr="005830D1">
              <w:rPr>
                <w:rFonts w:cs="Arial"/>
              </w:rPr>
              <w:t xml:space="preserve"> </w:t>
            </w:r>
            <w:hyperlink w:anchor="generalmedicalsurgicalandneuroicu" w:history="1">
              <w:r w:rsidRPr="005830D1">
                <w:rPr>
                  <w:rStyle w:val="Hyperlink"/>
                  <w:rFonts w:cs="Arial"/>
                </w:rPr>
                <w:t>General Medical</w:t>
              </w:r>
              <w:r w:rsidR="00B72517">
                <w:rPr>
                  <w:rStyle w:val="Hyperlink"/>
                  <w:rFonts w:cs="Arial"/>
                </w:rPr>
                <w:t xml:space="preserve">, </w:t>
              </w:r>
              <w:r w:rsidRPr="005830D1">
                <w:rPr>
                  <w:rStyle w:val="Hyperlink"/>
                  <w:rFonts w:cs="Arial"/>
                </w:rPr>
                <w:t>Surgical</w:t>
              </w:r>
              <w:r w:rsidR="007905C3">
                <w:rPr>
                  <w:rStyle w:val="Hyperlink"/>
                  <w:rFonts w:cs="Arial"/>
                </w:rPr>
                <w:t xml:space="preserve">, Medical/Surgical, </w:t>
              </w:r>
              <w:r w:rsidR="00482B41" w:rsidRPr="005830D1">
                <w:rPr>
                  <w:rStyle w:val="Hyperlink"/>
                  <w:rFonts w:cs="Arial"/>
                </w:rPr>
                <w:t xml:space="preserve">or </w:t>
              </w:r>
              <w:r w:rsidRPr="005830D1">
                <w:rPr>
                  <w:rStyle w:val="Hyperlink"/>
                  <w:rFonts w:cs="Arial"/>
                </w:rPr>
                <w:t>Neuro ICUs</w:t>
              </w:r>
            </w:hyperlink>
            <w:r w:rsidRPr="005830D1">
              <w:rPr>
                <w:rStyle w:val="Hyperlink"/>
                <w:rFonts w:cs="Arial"/>
                <w:color w:val="auto"/>
                <w:u w:val="none"/>
                <w:vertAlign w:val="superscript"/>
              </w:rPr>
              <w:t>14</w:t>
            </w:r>
            <w:r w:rsidRPr="005830D1">
              <w:rPr>
                <w:rStyle w:val="Hyperlink"/>
                <w:rFonts w:cs="Arial"/>
                <w:color w:val="auto"/>
                <w:u w:val="none"/>
              </w:rPr>
              <w:t>?</w:t>
            </w:r>
            <w:r w:rsidRPr="005830D1">
              <w:rPr>
                <w:rFonts w:cs="Arial"/>
              </w:rPr>
              <w:br/>
            </w:r>
            <w:r w:rsidRPr="005830D1">
              <w:rPr>
                <w:rFonts w:cs="Arial"/>
              </w:rPr>
              <w:br/>
            </w:r>
            <w:r w:rsidRPr="005830D1">
              <w:rPr>
                <w:rFonts w:cs="Arial"/>
                <w:i/>
              </w:rPr>
              <w:t xml:space="preserve">If your hospital has more than one applicable </w:t>
            </w:r>
            <w:r w:rsidR="0040567A" w:rsidRPr="005830D1">
              <w:rPr>
                <w:rFonts w:cs="Arial"/>
                <w:i/>
              </w:rPr>
              <w:t xml:space="preserve">pediatric </w:t>
            </w:r>
            <w:r w:rsidRPr="005830D1">
              <w:rPr>
                <w:rFonts w:cs="Arial"/>
                <w:i/>
              </w:rPr>
              <w:t xml:space="preserve">ICU, respond to all questions in this section based on the </w:t>
            </w:r>
            <w:r w:rsidR="0040567A" w:rsidRPr="005830D1">
              <w:rPr>
                <w:rFonts w:cs="Arial"/>
                <w:i/>
              </w:rPr>
              <w:t xml:space="preserve">pediatric </w:t>
            </w:r>
            <w:r w:rsidRPr="005830D1">
              <w:rPr>
                <w:rFonts w:cs="Arial"/>
                <w:i/>
              </w:rPr>
              <w:t>ICU that has the lowest level of staffing by physicians certified in critical care medicine (</w:t>
            </w:r>
            <w:hyperlink w:anchor="generalmedicalsurgicalandneuroicu" w:history="1">
              <w:r w:rsidRPr="005830D1">
                <w:rPr>
                  <w:rStyle w:val="Hyperlink"/>
                  <w:rFonts w:cs="Arial"/>
                  <w:i/>
                </w:rPr>
                <w:t>More Information</w:t>
              </w:r>
            </w:hyperlink>
            <w:r w:rsidRPr="005830D1">
              <w:rPr>
                <w:rFonts w:cs="Arial"/>
                <w:i/>
                <w:vertAlign w:val="superscript"/>
              </w:rPr>
              <w:t>14)</w:t>
            </w:r>
            <w:r w:rsidRPr="005830D1">
              <w:rPr>
                <w:rFonts w:cs="Arial"/>
                <w:i/>
              </w:rPr>
              <w:t>.</w:t>
            </w:r>
            <w:r w:rsidRPr="005830D1">
              <w:rPr>
                <w:rFonts w:cs="Arial"/>
              </w:rPr>
              <w:br/>
            </w:r>
            <w:r w:rsidRPr="005830D1">
              <w:rPr>
                <w:rFonts w:cs="Arial"/>
              </w:rPr>
              <w:br/>
            </w:r>
            <w:r w:rsidRPr="005830D1">
              <w:rPr>
                <w:rFonts w:cs="Arial"/>
                <w:i/>
                <w:iCs/>
              </w:rPr>
              <w:t xml:space="preserve">If your hospital does not operate an applicable </w:t>
            </w:r>
            <w:r w:rsidR="00EE6DA7" w:rsidRPr="005830D1">
              <w:rPr>
                <w:rFonts w:cs="Arial"/>
                <w:i/>
              </w:rPr>
              <w:t xml:space="preserve">pediatric </w:t>
            </w:r>
            <w:r w:rsidRPr="005830D1">
              <w:rPr>
                <w:rFonts w:cs="Arial"/>
                <w:i/>
                <w:iCs/>
              </w:rPr>
              <w:t xml:space="preserve">ICU but regularly admits critical care </w:t>
            </w:r>
            <w:r w:rsidR="0039530E" w:rsidRPr="005830D1">
              <w:rPr>
                <w:rFonts w:cs="Arial"/>
                <w:i/>
              </w:rPr>
              <w:t xml:space="preserve">pediatric </w:t>
            </w:r>
            <w:r w:rsidRPr="005830D1">
              <w:rPr>
                <w:rFonts w:cs="Arial"/>
                <w:i/>
                <w:iCs/>
              </w:rPr>
              <w:t>patients to mixed acuity units, select “yes” and respond to the remaining questions in Section 5</w:t>
            </w:r>
            <w:r w:rsidR="00DB1011">
              <w:rPr>
                <w:rFonts w:cs="Arial"/>
                <w:i/>
                <w:iCs/>
              </w:rPr>
              <w:t>B</w:t>
            </w:r>
            <w:r w:rsidRPr="005830D1">
              <w:rPr>
                <w:rFonts w:cs="Arial"/>
                <w:i/>
                <w:iCs/>
              </w:rPr>
              <w:t xml:space="preserve">. </w:t>
            </w:r>
          </w:p>
          <w:p w14:paraId="1B5FBA8E" w14:textId="77777777" w:rsidR="00016179" w:rsidRPr="005830D1" w:rsidRDefault="00016179" w:rsidP="00D73F6A">
            <w:pPr>
              <w:ind w:left="360"/>
              <w:rPr>
                <w:rFonts w:cs="Arial"/>
              </w:rPr>
            </w:pPr>
          </w:p>
          <w:p w14:paraId="4284996D" w14:textId="26724C58" w:rsidR="00016179" w:rsidRPr="005830D1" w:rsidRDefault="00016179" w:rsidP="00D73F6A">
            <w:pPr>
              <w:ind w:left="360"/>
              <w:rPr>
                <w:rFonts w:cs="Arial"/>
                <w:i/>
              </w:rPr>
            </w:pPr>
            <w:r w:rsidRPr="005830D1">
              <w:rPr>
                <w:rFonts w:cs="Arial"/>
                <w:i/>
              </w:rPr>
              <w:t>If “no” to question #2, skip the remaining questions in Section 5</w:t>
            </w:r>
            <w:r w:rsidR="0039530E" w:rsidRPr="005830D1">
              <w:rPr>
                <w:rFonts w:cs="Arial"/>
                <w:i/>
              </w:rPr>
              <w:t>B</w:t>
            </w:r>
            <w:r w:rsidRPr="005830D1">
              <w:rPr>
                <w:rFonts w:cs="Arial"/>
                <w:i/>
              </w:rPr>
              <w:t xml:space="preserve"> and </w:t>
            </w:r>
            <w:r w:rsidR="00CD2F26" w:rsidRPr="005830D1">
              <w:rPr>
                <w:rFonts w:cs="Arial"/>
                <w:i/>
              </w:rPr>
              <w:t>continue</w:t>
            </w:r>
            <w:r w:rsidRPr="005830D1">
              <w:rPr>
                <w:rFonts w:cs="Arial"/>
                <w:i/>
              </w:rPr>
              <w:t xml:space="preserve"> to </w:t>
            </w:r>
            <w:r w:rsidR="0008359D" w:rsidRPr="005830D1">
              <w:rPr>
                <w:rFonts w:cs="Arial"/>
                <w:i/>
              </w:rPr>
              <w:t>the next subsection</w:t>
            </w:r>
            <w:r w:rsidRPr="005830D1">
              <w:rPr>
                <w:rFonts w:cs="Arial"/>
                <w:i/>
              </w:rPr>
              <w:t>. The hospital will be scored as “Does Not Apply.”</w:t>
            </w:r>
          </w:p>
        </w:tc>
        <w:tc>
          <w:tcPr>
            <w:tcW w:w="3035" w:type="dxa"/>
            <w:vAlign w:val="center"/>
          </w:tcPr>
          <w:p w14:paraId="73FEC987" w14:textId="77777777" w:rsidR="00016179" w:rsidRPr="005830D1" w:rsidRDefault="00016179" w:rsidP="00AD309C">
            <w:pPr>
              <w:pStyle w:val="ListParagraph"/>
              <w:numPr>
                <w:ilvl w:val="0"/>
                <w:numId w:val="341"/>
              </w:numPr>
              <w:rPr>
                <w:rFonts w:cs="Arial"/>
                <w:iCs/>
              </w:rPr>
            </w:pPr>
            <w:r w:rsidRPr="005830D1">
              <w:rPr>
                <w:rFonts w:cs="Arial"/>
                <w:iCs/>
              </w:rPr>
              <w:t>Yes</w:t>
            </w:r>
          </w:p>
          <w:p w14:paraId="10864592" w14:textId="77777777" w:rsidR="00016179" w:rsidRPr="005830D1" w:rsidRDefault="00016179" w:rsidP="00AD309C">
            <w:pPr>
              <w:pStyle w:val="ListParagraph"/>
              <w:numPr>
                <w:ilvl w:val="0"/>
                <w:numId w:val="341"/>
              </w:numPr>
              <w:rPr>
                <w:rFonts w:cs="Arial"/>
                <w:iCs/>
              </w:rPr>
            </w:pPr>
            <w:r w:rsidRPr="005830D1">
              <w:rPr>
                <w:rFonts w:cs="Arial"/>
                <w:iCs/>
              </w:rPr>
              <w:t>No</w:t>
            </w:r>
          </w:p>
        </w:tc>
      </w:tr>
      <w:tr w:rsidR="00016179" w:rsidRPr="005830D1" w14:paraId="67786989" w14:textId="77777777" w:rsidTr="00D73F6A">
        <w:trPr>
          <w:trHeight w:val="1440"/>
          <w:jc w:val="center"/>
        </w:trPr>
        <w:tc>
          <w:tcPr>
            <w:tcW w:w="6325" w:type="dxa"/>
            <w:vAlign w:val="center"/>
          </w:tcPr>
          <w:p w14:paraId="2C399F52" w14:textId="42493083" w:rsidR="00016179" w:rsidRPr="005830D1" w:rsidRDefault="00016179" w:rsidP="00AD309C">
            <w:pPr>
              <w:numPr>
                <w:ilvl w:val="0"/>
                <w:numId w:val="407"/>
              </w:numPr>
              <w:rPr>
                <w:rFonts w:cs="Arial"/>
              </w:rPr>
            </w:pPr>
            <w:r w:rsidRPr="005830D1">
              <w:rPr>
                <w:rFonts w:cs="Arial"/>
              </w:rPr>
              <w:t xml:space="preserve">Is the ICU staffed with physicians who are </w:t>
            </w:r>
            <w:hyperlink w:anchor="Endnote25_Certified" w:history="1">
              <w:r w:rsidRPr="005830D1">
                <w:rPr>
                  <w:rStyle w:val="Hyperlink"/>
                  <w:rFonts w:cs="Arial"/>
                </w:rPr>
                <w:t>certified in critical care medicine</w:t>
              </w:r>
            </w:hyperlink>
            <w:r w:rsidRPr="005830D1">
              <w:rPr>
                <w:rFonts w:cs="Arial"/>
                <w:vertAlign w:val="superscript"/>
              </w:rPr>
              <w:fldChar w:fldCharType="begin"/>
            </w:r>
            <w:r w:rsidRPr="005830D1">
              <w:rPr>
                <w:rStyle w:val="Hyperlink"/>
                <w:rFonts w:cs="Arial"/>
              </w:rPr>
              <w:instrText xml:space="preserve"> NOTEREF _Ref534212273 \f \h </w:instrText>
            </w:r>
            <w:r w:rsidRPr="005830D1">
              <w:rPr>
                <w:rFonts w:cs="Arial"/>
                <w:vertAlign w:val="superscript"/>
              </w:rPr>
              <w:instrText xml:space="preserve"> \* MERGEFORMAT </w:instrText>
            </w:r>
            <w:r w:rsidRPr="005830D1">
              <w:rPr>
                <w:rFonts w:cs="Arial"/>
                <w:vertAlign w:val="superscript"/>
              </w:rPr>
            </w:r>
            <w:r w:rsidRPr="005830D1">
              <w:rPr>
                <w:rFonts w:cs="Arial"/>
                <w:vertAlign w:val="superscript"/>
              </w:rPr>
              <w:fldChar w:fldCharType="separate"/>
            </w:r>
            <w:r w:rsidR="007D53A2" w:rsidRPr="00A012EC">
              <w:rPr>
                <w:rStyle w:val="EndnoteReference"/>
              </w:rPr>
              <w:t>36</w:t>
            </w:r>
            <w:r w:rsidRPr="005830D1">
              <w:rPr>
                <w:rFonts w:cs="Arial"/>
                <w:vertAlign w:val="superscript"/>
              </w:rPr>
              <w:fldChar w:fldCharType="end"/>
            </w:r>
            <w:r w:rsidRPr="005830D1">
              <w:rPr>
                <w:rFonts w:cs="Arial"/>
                <w:vertAlign w:val="superscript"/>
              </w:rPr>
              <w:t xml:space="preserve"> </w:t>
            </w:r>
            <w:r w:rsidRPr="005830D1">
              <w:rPr>
                <w:rFonts w:cs="Arial"/>
              </w:rPr>
              <w:t>and present on-site or via telemedicine?</w:t>
            </w:r>
          </w:p>
          <w:p w14:paraId="39A1C702" w14:textId="77777777" w:rsidR="00016179" w:rsidRPr="005830D1" w:rsidRDefault="00016179" w:rsidP="00D73F6A">
            <w:pPr>
              <w:ind w:left="360"/>
              <w:rPr>
                <w:rFonts w:cs="Arial"/>
              </w:rPr>
            </w:pPr>
          </w:p>
          <w:p w14:paraId="0E5C76BD" w14:textId="018FBA80" w:rsidR="00016179" w:rsidRPr="005830D1" w:rsidRDefault="00016179" w:rsidP="00D73F6A">
            <w:pPr>
              <w:ind w:left="360"/>
              <w:rPr>
                <w:rFonts w:cs="Arial"/>
              </w:rPr>
            </w:pPr>
            <w:r w:rsidRPr="005830D1">
              <w:rPr>
                <w:rFonts w:cs="Arial"/>
                <w:i/>
              </w:rPr>
              <w:t>If “no</w:t>
            </w:r>
            <w:r w:rsidR="00B70108">
              <w:rPr>
                <w:rFonts w:cs="Arial"/>
                <w:i/>
              </w:rPr>
              <w:t>, the ICU is not staffed with any physicians certified in critical care medicine</w:t>
            </w:r>
            <w:r w:rsidRPr="005830D1">
              <w:rPr>
                <w:rFonts w:cs="Arial"/>
                <w:i/>
              </w:rPr>
              <w:t>” to question #3, skip the remaining questions in Section 5</w:t>
            </w:r>
            <w:r w:rsidR="00A5006A" w:rsidRPr="005830D1">
              <w:rPr>
                <w:rFonts w:cs="Arial"/>
                <w:i/>
              </w:rPr>
              <w:t>B</w:t>
            </w:r>
            <w:r w:rsidRPr="005830D1">
              <w:rPr>
                <w:rFonts w:cs="Arial"/>
                <w:i/>
              </w:rPr>
              <w:t xml:space="preserve"> and </w:t>
            </w:r>
            <w:r w:rsidR="00CD2F26" w:rsidRPr="005830D1">
              <w:rPr>
                <w:rFonts w:cs="Arial"/>
                <w:i/>
              </w:rPr>
              <w:t>continue</w:t>
            </w:r>
            <w:r w:rsidRPr="005830D1">
              <w:rPr>
                <w:rFonts w:cs="Arial"/>
                <w:i/>
              </w:rPr>
              <w:t xml:space="preserve"> to </w:t>
            </w:r>
            <w:r w:rsidR="00CD2F26" w:rsidRPr="005830D1">
              <w:rPr>
                <w:rFonts w:cs="Arial"/>
                <w:i/>
              </w:rPr>
              <w:t>the next subsection</w:t>
            </w:r>
            <w:r w:rsidRPr="005830D1">
              <w:rPr>
                <w:rFonts w:cs="Arial"/>
                <w:i/>
              </w:rPr>
              <w:t>. This hospital will be scored as “Limited Achievement.”</w:t>
            </w:r>
          </w:p>
        </w:tc>
        <w:tc>
          <w:tcPr>
            <w:tcW w:w="3035" w:type="dxa"/>
            <w:vAlign w:val="center"/>
          </w:tcPr>
          <w:p w14:paraId="0C43F06D" w14:textId="77777777" w:rsidR="00016179" w:rsidRPr="005830D1" w:rsidRDefault="00016179" w:rsidP="00AD309C">
            <w:pPr>
              <w:pStyle w:val="ListParagraph"/>
              <w:numPr>
                <w:ilvl w:val="0"/>
                <w:numId w:val="341"/>
              </w:numPr>
              <w:rPr>
                <w:rFonts w:cs="Arial"/>
                <w:iCs/>
              </w:rPr>
            </w:pPr>
            <w:r w:rsidRPr="005830D1">
              <w:rPr>
                <w:rFonts w:cs="Arial"/>
                <w:iCs/>
              </w:rPr>
              <w:t>Yes, the ICU is staffed with physicians certified in critical care medicine</w:t>
            </w:r>
          </w:p>
          <w:p w14:paraId="256B4F2E" w14:textId="77777777" w:rsidR="00016179" w:rsidRPr="005830D1" w:rsidRDefault="00016179" w:rsidP="00AD309C">
            <w:pPr>
              <w:pStyle w:val="ListParagraph"/>
              <w:numPr>
                <w:ilvl w:val="0"/>
                <w:numId w:val="341"/>
              </w:numPr>
              <w:rPr>
                <w:rFonts w:cs="Arial"/>
                <w:iCs/>
              </w:rPr>
            </w:pPr>
            <w:r w:rsidRPr="005830D1">
              <w:rPr>
                <w:rFonts w:cs="Arial"/>
                <w:iCs/>
              </w:rPr>
              <w:t>Yes, the ICU is staffed with physicians certified in critical care medicine based on Leapfrog’s expanded definition</w:t>
            </w:r>
          </w:p>
          <w:p w14:paraId="20C9596D" w14:textId="77777777" w:rsidR="00016179" w:rsidRPr="005830D1" w:rsidRDefault="00016179" w:rsidP="00AD309C">
            <w:pPr>
              <w:pStyle w:val="ListParagraph"/>
              <w:numPr>
                <w:ilvl w:val="0"/>
                <w:numId w:val="341"/>
              </w:numPr>
              <w:rPr>
                <w:rFonts w:cs="Arial"/>
                <w:iCs/>
              </w:rPr>
            </w:pPr>
            <w:r w:rsidRPr="005830D1">
              <w:rPr>
                <w:rFonts w:cs="Arial"/>
                <w:iCs/>
              </w:rPr>
              <w:t>No, the ICU is not staffed with any physicians certified in critical care medicine</w:t>
            </w:r>
          </w:p>
        </w:tc>
      </w:tr>
      <w:tr w:rsidR="00016179" w:rsidRPr="005830D1" w14:paraId="26497FBC" w14:textId="77777777" w:rsidTr="00D73F6A">
        <w:trPr>
          <w:trHeight w:val="1872"/>
          <w:jc w:val="center"/>
        </w:trPr>
        <w:tc>
          <w:tcPr>
            <w:tcW w:w="6325" w:type="dxa"/>
            <w:vAlign w:val="center"/>
          </w:tcPr>
          <w:p w14:paraId="11759CCA" w14:textId="2D3ABF50" w:rsidR="00016179" w:rsidRPr="005830D1" w:rsidRDefault="00016179" w:rsidP="00AD309C">
            <w:pPr>
              <w:numPr>
                <w:ilvl w:val="0"/>
                <w:numId w:val="407"/>
              </w:numPr>
              <w:rPr>
                <w:rFonts w:cs="Arial"/>
              </w:rPr>
            </w:pPr>
            <w:r w:rsidRPr="005830D1">
              <w:rPr>
                <w:rFonts w:cs="Arial"/>
              </w:rPr>
              <w:t xml:space="preserve">Do the physicians who are </w:t>
            </w:r>
            <w:hyperlink w:anchor="Endnote25_Certified" w:history="1">
              <w:r w:rsidRPr="005830D1">
                <w:rPr>
                  <w:rStyle w:val="Hyperlink"/>
                  <w:rFonts w:cs="Arial"/>
                </w:rPr>
                <w:t>certified in critical care medicine</w:t>
              </w:r>
            </w:hyperlink>
            <w:r w:rsidRPr="005830D1">
              <w:rPr>
                <w:rFonts w:cs="Arial"/>
                <w:vertAlign w:val="superscript"/>
              </w:rPr>
              <w:fldChar w:fldCharType="begin"/>
            </w:r>
            <w:r w:rsidRPr="005830D1">
              <w:rPr>
                <w:rStyle w:val="Hyperlink"/>
                <w:rFonts w:cs="Arial"/>
              </w:rPr>
              <w:instrText xml:space="preserve"> NOTEREF _Ref534212273 \f \h </w:instrText>
            </w:r>
            <w:r w:rsidRPr="005830D1">
              <w:rPr>
                <w:rFonts w:cs="Arial"/>
                <w:vertAlign w:val="superscript"/>
              </w:rPr>
              <w:instrText xml:space="preserve"> \* MERGEFORMAT </w:instrText>
            </w:r>
            <w:r w:rsidRPr="005830D1">
              <w:rPr>
                <w:rFonts w:cs="Arial"/>
                <w:vertAlign w:val="superscript"/>
              </w:rPr>
            </w:r>
            <w:r w:rsidRPr="005830D1">
              <w:rPr>
                <w:rFonts w:cs="Arial"/>
                <w:vertAlign w:val="superscript"/>
              </w:rPr>
              <w:fldChar w:fldCharType="separate"/>
            </w:r>
            <w:r w:rsidR="007D53A2" w:rsidRPr="00A012EC">
              <w:rPr>
                <w:rStyle w:val="EndnoteReference"/>
              </w:rPr>
              <w:t>36</w:t>
            </w:r>
            <w:r w:rsidRPr="005830D1">
              <w:rPr>
                <w:rFonts w:cs="Arial"/>
                <w:vertAlign w:val="superscript"/>
              </w:rPr>
              <w:fldChar w:fldCharType="end"/>
            </w:r>
            <w:r w:rsidRPr="005830D1">
              <w:rPr>
                <w:rFonts w:cs="Arial"/>
              </w:rPr>
              <w:t xml:space="preserve"> (whether present on-site or via telemedicine) manage or co-manage </w:t>
            </w:r>
            <w:hyperlink w:anchor="Endnote22_CCPatients" w:history="1">
              <w:r w:rsidRPr="005830D1">
                <w:rPr>
                  <w:rStyle w:val="Hyperlink"/>
                  <w:rFonts w:cs="Arial"/>
                </w:rPr>
                <w:t>all</w:t>
              </w:r>
              <w:r w:rsidRPr="005830D1">
                <w:rPr>
                  <w:rStyle w:val="Hyperlink"/>
                  <w:rFonts w:cs="Arial"/>
                  <w:b/>
                  <w:bCs/>
                </w:rPr>
                <w:t xml:space="preserve"> </w:t>
              </w:r>
              <w:r w:rsidRPr="005830D1">
                <w:rPr>
                  <w:rStyle w:val="Hyperlink"/>
                  <w:rFonts w:cs="Arial"/>
                </w:rPr>
                <w:t>critical care patients</w:t>
              </w:r>
            </w:hyperlink>
            <w:r w:rsidRPr="005830D1">
              <w:rPr>
                <w:rFonts w:cs="Arial"/>
              </w:rPr>
              <w:fldChar w:fldCharType="begin"/>
            </w:r>
            <w:r w:rsidRPr="005830D1">
              <w:rPr>
                <w:rFonts w:cs="Arial"/>
              </w:rPr>
              <w:instrText xml:space="preserve"> NOTEREF _Ref534212310 \f \h  \* MERGEFORMAT </w:instrText>
            </w:r>
            <w:r w:rsidRPr="005830D1">
              <w:rPr>
                <w:rFonts w:cs="Arial"/>
              </w:rPr>
            </w:r>
            <w:r w:rsidRPr="005830D1">
              <w:rPr>
                <w:rFonts w:cs="Arial"/>
              </w:rPr>
              <w:fldChar w:fldCharType="separate"/>
            </w:r>
            <w:r w:rsidR="007D53A2" w:rsidRPr="00A012EC">
              <w:rPr>
                <w:rStyle w:val="EndnoteReference"/>
              </w:rPr>
              <w:t>34</w:t>
            </w:r>
            <w:r w:rsidRPr="005830D1">
              <w:rPr>
                <w:rFonts w:cs="Arial"/>
              </w:rPr>
              <w:fldChar w:fldCharType="end"/>
            </w:r>
            <w:r w:rsidRPr="005830D1">
              <w:rPr>
                <w:rFonts w:cs="Arial"/>
              </w:rPr>
              <w:t xml:space="preserve"> in the ICU?</w:t>
            </w:r>
          </w:p>
          <w:p w14:paraId="680CBA10" w14:textId="77777777" w:rsidR="00016179" w:rsidRPr="005830D1" w:rsidRDefault="00016179" w:rsidP="00D73F6A">
            <w:pPr>
              <w:ind w:left="360"/>
              <w:rPr>
                <w:rFonts w:cs="Arial"/>
              </w:rPr>
            </w:pPr>
          </w:p>
          <w:p w14:paraId="4B4AD8FE" w14:textId="77777777" w:rsidR="00016179" w:rsidRPr="005830D1" w:rsidRDefault="00016179" w:rsidP="00D73F6A">
            <w:pPr>
              <w:ind w:left="360"/>
              <w:rPr>
                <w:rFonts w:cs="Arial"/>
              </w:rPr>
            </w:pPr>
            <w:r w:rsidRPr="005830D1">
              <w:rPr>
                <w:rFonts w:cs="Arial"/>
                <w:i/>
              </w:rPr>
              <w:t>If “no” to question #4, skip questions #5-11 and continue to question #12.</w:t>
            </w:r>
          </w:p>
        </w:tc>
        <w:tc>
          <w:tcPr>
            <w:tcW w:w="3035" w:type="dxa"/>
            <w:vAlign w:val="center"/>
          </w:tcPr>
          <w:p w14:paraId="117378AB" w14:textId="77777777" w:rsidR="00016179" w:rsidRPr="005830D1" w:rsidRDefault="00016179" w:rsidP="00AD309C">
            <w:pPr>
              <w:pStyle w:val="ListParagraph"/>
              <w:numPr>
                <w:ilvl w:val="0"/>
                <w:numId w:val="341"/>
              </w:numPr>
              <w:rPr>
                <w:rFonts w:cs="Arial"/>
                <w:iCs/>
              </w:rPr>
            </w:pPr>
            <w:r w:rsidRPr="005830D1">
              <w:rPr>
                <w:rFonts w:cs="Arial"/>
                <w:iCs/>
              </w:rPr>
              <w:t>Yes, all patients are managed or co-managed by a physician certified in critical care medicine when the physician is present (on-site or via telemedicine)</w:t>
            </w:r>
          </w:p>
          <w:p w14:paraId="15E8FD48" w14:textId="77777777" w:rsidR="00016179" w:rsidRPr="005830D1" w:rsidRDefault="00016179" w:rsidP="00AD309C">
            <w:pPr>
              <w:pStyle w:val="ListParagraph"/>
              <w:numPr>
                <w:ilvl w:val="0"/>
                <w:numId w:val="341"/>
              </w:numPr>
              <w:rPr>
                <w:rFonts w:cs="Arial"/>
                <w:iCs/>
              </w:rPr>
            </w:pPr>
            <w:r w:rsidRPr="005830D1">
              <w:rPr>
                <w:rFonts w:cs="Arial"/>
                <w:iCs/>
              </w:rPr>
              <w:t>No, not all patients are managed or co-managed by a physician certified in critical care medicine when the physician is present (on-site or via telemedicine)</w:t>
            </w:r>
          </w:p>
        </w:tc>
      </w:tr>
      <w:tr w:rsidR="00016179" w:rsidRPr="005830D1" w14:paraId="213E4D72" w14:textId="77777777" w:rsidTr="00D73F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9360" w:type="dxa"/>
            <w:gridSpan w:val="2"/>
          </w:tcPr>
          <w:p w14:paraId="6CB61B32" w14:textId="77777777" w:rsidR="00016179" w:rsidRPr="005830D1" w:rsidRDefault="00016179" w:rsidP="00D73F6A">
            <w:pPr>
              <w:pStyle w:val="Header"/>
              <w:tabs>
                <w:tab w:val="clear" w:pos="4320"/>
                <w:tab w:val="clear" w:pos="8640"/>
              </w:tabs>
              <w:rPr>
                <w:rFonts w:cs="Arial"/>
                <w:i/>
              </w:rPr>
            </w:pPr>
          </w:p>
        </w:tc>
      </w:tr>
    </w:tbl>
    <w:p w14:paraId="6E2DC0B0" w14:textId="77777777" w:rsidR="00016179" w:rsidRPr="005830D1" w:rsidRDefault="00016179" w:rsidP="00016179">
      <w:pPr>
        <w:rPr>
          <w:rFonts w:cs="Arial"/>
          <w:i/>
          <w:iCs/>
        </w:rPr>
      </w:pPr>
      <w:r w:rsidRPr="005830D1">
        <w:rPr>
          <w:rFonts w:cs="Arial"/>
          <w:i/>
          <w:iCs/>
        </w:rPr>
        <w:t xml:space="preserve">There are currently </w:t>
      </w:r>
      <w:hyperlink r:id="rId330" w:history="1">
        <w:r w:rsidRPr="005830D1">
          <w:rPr>
            <w:rStyle w:val="Hyperlink"/>
            <w:rFonts w:cs="Arial"/>
            <w:i/>
            <w:iCs/>
          </w:rPr>
          <w:t>two different options</w:t>
        </w:r>
      </w:hyperlink>
      <w:r w:rsidRPr="005830D1">
        <w:rPr>
          <w:rFonts w:cs="Arial"/>
          <w:i/>
          <w:iCs/>
        </w:rPr>
        <w:t xml:space="preserve"> to achieve Leapfrog’s ICU Physician Staffing Standard: on-site intensivist coverage for 8 hours a day/7 days per week or 24/7 tele-intensivist coverage with some daily on-site intensivist coverage. Questions #5 and #6 are meant to differentiate between these two options; however, they are both worth the same credit. Hospitals that have 24/7 </w:t>
      </w:r>
      <w:r w:rsidRPr="005830D1">
        <w:rPr>
          <w:rFonts w:cs="Arial"/>
          <w:b/>
          <w:bCs/>
          <w:i/>
          <w:iCs/>
        </w:rPr>
        <w:t xml:space="preserve">on-site </w:t>
      </w:r>
      <w:r w:rsidRPr="005830D1">
        <w:rPr>
          <w:rFonts w:cs="Arial"/>
          <w:i/>
          <w:iCs/>
        </w:rPr>
        <w:t>intensivist coverage, and who meet all the criteria listed, should respond “yes” to question #5.</w:t>
      </w:r>
    </w:p>
    <w:p w14:paraId="6C461B91" w14:textId="77777777" w:rsidR="00016179" w:rsidRPr="005830D1" w:rsidRDefault="00016179" w:rsidP="00016179">
      <w:pPr>
        <w:rPr>
          <w:rFonts w:cs="Arial"/>
        </w:rPr>
      </w:pPr>
    </w:p>
    <w:tbl>
      <w:tblPr>
        <w:tblW w:w="94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90"/>
        <w:gridCol w:w="2192"/>
      </w:tblGrid>
      <w:tr w:rsidR="00016179" w:rsidRPr="005830D1" w14:paraId="2707FD4B" w14:textId="77777777" w:rsidTr="00D73F6A">
        <w:trPr>
          <w:trHeight w:val="2016"/>
          <w:jc w:val="center"/>
        </w:trPr>
        <w:tc>
          <w:tcPr>
            <w:tcW w:w="7290" w:type="dxa"/>
            <w:vAlign w:val="center"/>
          </w:tcPr>
          <w:p w14:paraId="589C7ECA" w14:textId="33FA6C83" w:rsidR="00016179" w:rsidRPr="005830D1" w:rsidRDefault="00016179" w:rsidP="00AD309C">
            <w:pPr>
              <w:pStyle w:val="Header"/>
              <w:numPr>
                <w:ilvl w:val="0"/>
                <w:numId w:val="407"/>
              </w:numPr>
              <w:rPr>
                <w:rFonts w:cs="Arial"/>
              </w:rPr>
            </w:pPr>
            <w:r w:rsidRPr="005830D1">
              <w:rPr>
                <w:rFonts w:cs="Arial"/>
              </w:rPr>
              <w:t xml:space="preserve">Are </w:t>
            </w:r>
            <w:hyperlink w:anchor="Endnote22_CCPatients" w:history="1">
              <w:r w:rsidRPr="005830D1">
                <w:rPr>
                  <w:rStyle w:val="Hyperlink"/>
                  <w:rFonts w:cs="Arial"/>
                </w:rPr>
                <w:t>all critical care patients</w:t>
              </w:r>
            </w:hyperlink>
            <w:r w:rsidRPr="005830D1">
              <w:rPr>
                <w:vertAlign w:val="superscript"/>
              </w:rPr>
              <w:fldChar w:fldCharType="begin"/>
            </w:r>
            <w:r w:rsidRPr="005830D1">
              <w:rPr>
                <w:rStyle w:val="Hyperlink"/>
                <w:rFonts w:cs="Arial"/>
              </w:rPr>
              <w:instrText xml:space="preserve"> NOTEREF _Ref534212310 \f \h </w:instrText>
            </w:r>
            <w:r w:rsidRPr="005830D1">
              <w:rPr>
                <w:vertAlign w:val="superscript"/>
              </w:rPr>
              <w:instrText xml:space="preserve"> \* MERGEFORMAT </w:instrText>
            </w:r>
            <w:r w:rsidRPr="005830D1">
              <w:rPr>
                <w:vertAlign w:val="superscript"/>
              </w:rPr>
            </w:r>
            <w:r w:rsidRPr="005830D1">
              <w:rPr>
                <w:vertAlign w:val="superscript"/>
              </w:rPr>
              <w:fldChar w:fldCharType="separate"/>
            </w:r>
            <w:r w:rsidR="007D53A2" w:rsidRPr="00A012EC">
              <w:rPr>
                <w:rStyle w:val="EndnoteReference"/>
              </w:rPr>
              <w:t>34</w:t>
            </w:r>
            <w:r w:rsidRPr="005830D1">
              <w:rPr>
                <w:vertAlign w:val="superscript"/>
              </w:rPr>
              <w:fldChar w:fldCharType="end"/>
            </w:r>
            <w:r w:rsidRPr="005830D1">
              <w:rPr>
                <w:rFonts w:cs="Arial"/>
              </w:rPr>
              <w:t xml:space="preserve"> in the ICU </w:t>
            </w:r>
            <w:hyperlink w:anchor="Endnote24_Manage" w:history="1">
              <w:r w:rsidRPr="005830D1">
                <w:rPr>
                  <w:rStyle w:val="Hyperlink"/>
                  <w:rFonts w:cs="Arial"/>
                </w:rPr>
                <w:t>managed or co-managed</w:t>
              </w:r>
            </w:hyperlink>
            <w:r w:rsidRPr="005830D1">
              <w:rPr>
                <w:rFonts w:cs="Arial"/>
                <w:vertAlign w:val="superscript"/>
              </w:rPr>
              <w:fldChar w:fldCharType="begin"/>
            </w:r>
            <w:r w:rsidRPr="005830D1">
              <w:rPr>
                <w:rStyle w:val="Hyperlink"/>
                <w:rFonts w:cs="Arial"/>
              </w:rPr>
              <w:instrText xml:space="preserve"> NOTEREF _Ref91167015 \f \h </w:instrText>
            </w:r>
            <w:r w:rsidRPr="005830D1">
              <w:rPr>
                <w:rFonts w:cs="Arial"/>
                <w:vertAlign w:val="superscript"/>
              </w:rPr>
              <w:instrText xml:space="preserve"> \* MERGEFORMAT </w:instrText>
            </w:r>
            <w:r w:rsidRPr="005830D1">
              <w:rPr>
                <w:rFonts w:cs="Arial"/>
                <w:vertAlign w:val="superscript"/>
              </w:rPr>
            </w:r>
            <w:r w:rsidRPr="005830D1">
              <w:rPr>
                <w:rFonts w:cs="Arial"/>
                <w:vertAlign w:val="superscript"/>
              </w:rPr>
              <w:fldChar w:fldCharType="separate"/>
            </w:r>
            <w:r w:rsidR="007D53A2" w:rsidRPr="00A012EC">
              <w:rPr>
                <w:rStyle w:val="EndnoteReference"/>
              </w:rPr>
              <w:t>35</w:t>
            </w:r>
            <w:r w:rsidRPr="005830D1">
              <w:rPr>
                <w:rFonts w:cs="Arial"/>
                <w:vertAlign w:val="superscript"/>
              </w:rPr>
              <w:fldChar w:fldCharType="end"/>
            </w:r>
            <w:r w:rsidRPr="005830D1">
              <w:rPr>
                <w:rFonts w:cs="Arial"/>
              </w:rPr>
              <w:t xml:space="preserve"> by one or more physicians </w:t>
            </w:r>
            <w:hyperlink w:anchor="Endnote25_Certified" w:history="1">
              <w:r w:rsidRPr="005830D1">
                <w:rPr>
                  <w:rStyle w:val="Hyperlink"/>
                  <w:rFonts w:cs="Arial"/>
                </w:rPr>
                <w:t>certified in critical care medicine</w:t>
              </w:r>
            </w:hyperlink>
            <w:r w:rsidRPr="005830D1">
              <w:rPr>
                <w:rFonts w:cs="Arial"/>
                <w:vertAlign w:val="superscript"/>
              </w:rPr>
              <w:fldChar w:fldCharType="begin"/>
            </w:r>
            <w:r w:rsidRPr="005830D1">
              <w:rPr>
                <w:rStyle w:val="Hyperlink"/>
                <w:rFonts w:cs="Arial"/>
              </w:rPr>
              <w:instrText xml:space="preserve"> NOTEREF _Ref534212273 \f \h </w:instrText>
            </w:r>
            <w:r w:rsidRPr="005830D1">
              <w:rPr>
                <w:rFonts w:cs="Arial"/>
                <w:vertAlign w:val="superscript"/>
              </w:rPr>
              <w:instrText xml:space="preserve"> \* MERGEFORMAT </w:instrText>
            </w:r>
            <w:r w:rsidRPr="005830D1">
              <w:rPr>
                <w:rFonts w:cs="Arial"/>
                <w:vertAlign w:val="superscript"/>
              </w:rPr>
            </w:r>
            <w:r w:rsidRPr="005830D1">
              <w:rPr>
                <w:rFonts w:cs="Arial"/>
                <w:vertAlign w:val="superscript"/>
              </w:rPr>
              <w:fldChar w:fldCharType="separate"/>
            </w:r>
            <w:r w:rsidR="007D53A2" w:rsidRPr="00A012EC">
              <w:rPr>
                <w:rStyle w:val="EndnoteReference"/>
              </w:rPr>
              <w:t>36</w:t>
            </w:r>
            <w:r w:rsidRPr="005830D1">
              <w:rPr>
                <w:rFonts w:cs="Arial"/>
                <w:vertAlign w:val="superscript"/>
              </w:rPr>
              <w:fldChar w:fldCharType="end"/>
            </w:r>
            <w:r w:rsidRPr="005830D1">
              <w:rPr>
                <w:rFonts w:cs="Arial"/>
              </w:rPr>
              <w:t xml:space="preserve"> who meet </w:t>
            </w:r>
            <w:r w:rsidRPr="005830D1">
              <w:rPr>
                <w:rFonts w:cs="Arial"/>
                <w:b/>
              </w:rPr>
              <w:t>all</w:t>
            </w:r>
            <w:r w:rsidRPr="005830D1">
              <w:rPr>
                <w:rFonts w:cs="Arial"/>
              </w:rPr>
              <w:t xml:space="preserve"> the following criteria:</w:t>
            </w:r>
          </w:p>
          <w:p w14:paraId="06B8E1A1" w14:textId="29219D35" w:rsidR="00016179" w:rsidRPr="005830D1" w:rsidRDefault="00016179" w:rsidP="00AD309C">
            <w:pPr>
              <w:pStyle w:val="Header"/>
              <w:numPr>
                <w:ilvl w:val="0"/>
                <w:numId w:val="67"/>
              </w:numPr>
              <w:tabs>
                <w:tab w:val="clear" w:pos="4320"/>
                <w:tab w:val="clear" w:pos="8640"/>
              </w:tabs>
              <w:rPr>
                <w:rFonts w:cs="Arial"/>
              </w:rPr>
            </w:pPr>
            <w:hyperlink w:anchor="Endnote26_Present" w:history="1">
              <w:r w:rsidRPr="005830D1">
                <w:rPr>
                  <w:rStyle w:val="Hyperlink"/>
                  <w:rFonts w:cs="Arial"/>
                </w:rPr>
                <w:t>ordinarily present</w:t>
              </w:r>
            </w:hyperlink>
            <w:r w:rsidRPr="005830D1">
              <w:rPr>
                <w:vertAlign w:val="superscript"/>
              </w:rPr>
              <w:fldChar w:fldCharType="begin"/>
            </w:r>
            <w:r w:rsidRPr="005830D1">
              <w:rPr>
                <w:rStyle w:val="Hyperlink"/>
                <w:rFonts w:cs="Arial"/>
              </w:rPr>
              <w:instrText xml:space="preserve"> NOTEREF _Ref91166304 \f \h </w:instrText>
            </w:r>
            <w:r w:rsidRPr="005830D1">
              <w:rPr>
                <w:vertAlign w:val="superscript"/>
              </w:rPr>
              <w:instrText xml:space="preserve"> \* MERGEFORMAT </w:instrText>
            </w:r>
            <w:r w:rsidRPr="005830D1">
              <w:rPr>
                <w:vertAlign w:val="superscript"/>
              </w:rPr>
            </w:r>
            <w:r w:rsidRPr="005830D1">
              <w:rPr>
                <w:vertAlign w:val="superscript"/>
              </w:rPr>
              <w:fldChar w:fldCharType="separate"/>
            </w:r>
            <w:r w:rsidR="007D53A2" w:rsidRPr="00A012EC">
              <w:rPr>
                <w:rStyle w:val="EndnoteReference"/>
              </w:rPr>
              <w:t>37</w:t>
            </w:r>
            <w:r w:rsidRPr="005830D1">
              <w:rPr>
                <w:vertAlign w:val="superscript"/>
              </w:rPr>
              <w:fldChar w:fldCharType="end"/>
            </w:r>
            <w:r w:rsidRPr="005830D1">
              <w:rPr>
                <w:rFonts w:cs="Arial"/>
              </w:rPr>
              <w:t xml:space="preserve"> </w:t>
            </w:r>
            <w:r w:rsidRPr="005830D1">
              <w:rPr>
                <w:rFonts w:cs="Arial"/>
                <w:b/>
                <w:bCs/>
              </w:rPr>
              <w:t>on-site</w:t>
            </w:r>
            <w:r w:rsidRPr="005830D1">
              <w:rPr>
                <w:rFonts w:cs="Arial"/>
              </w:rPr>
              <w:t xml:space="preserve"> in the ICU during daytime hours;</w:t>
            </w:r>
          </w:p>
          <w:p w14:paraId="7DB49395" w14:textId="77777777" w:rsidR="00016179" w:rsidRPr="005830D1" w:rsidRDefault="00016179" w:rsidP="00AD309C">
            <w:pPr>
              <w:pStyle w:val="Header"/>
              <w:numPr>
                <w:ilvl w:val="0"/>
                <w:numId w:val="67"/>
              </w:numPr>
              <w:tabs>
                <w:tab w:val="clear" w:pos="4320"/>
                <w:tab w:val="clear" w:pos="8640"/>
              </w:tabs>
              <w:rPr>
                <w:rFonts w:cs="Arial"/>
              </w:rPr>
            </w:pPr>
            <w:r w:rsidRPr="005830D1">
              <w:rPr>
                <w:rFonts w:cs="Arial"/>
              </w:rPr>
              <w:t xml:space="preserve">for at least </w:t>
            </w:r>
            <w:r w:rsidRPr="005830D1">
              <w:rPr>
                <w:rFonts w:cs="Arial"/>
                <w:b/>
              </w:rPr>
              <w:t>8 hours per day, 7 days per week</w:t>
            </w:r>
            <w:r w:rsidRPr="005830D1">
              <w:rPr>
                <w:rFonts w:cs="Arial"/>
                <w:bCs/>
              </w:rPr>
              <w:t>; and</w:t>
            </w:r>
          </w:p>
          <w:p w14:paraId="138EC0E1" w14:textId="0998B5E7" w:rsidR="00016179" w:rsidRPr="005830D1" w:rsidRDefault="00016179" w:rsidP="00AD309C">
            <w:pPr>
              <w:pStyle w:val="Header"/>
              <w:numPr>
                <w:ilvl w:val="0"/>
                <w:numId w:val="67"/>
              </w:numPr>
              <w:tabs>
                <w:tab w:val="clear" w:pos="4320"/>
                <w:tab w:val="clear" w:pos="8640"/>
              </w:tabs>
              <w:rPr>
                <w:rFonts w:cs="Arial"/>
              </w:rPr>
            </w:pPr>
            <w:r w:rsidRPr="005830D1">
              <w:rPr>
                <w:rFonts w:cs="Arial"/>
              </w:rPr>
              <w:t xml:space="preserve">providing clinical care </w:t>
            </w:r>
            <w:hyperlink w:anchor="Endnote26_Present" w:history="1">
              <w:r w:rsidRPr="005830D1">
                <w:rPr>
                  <w:rStyle w:val="Hyperlink"/>
                  <w:rFonts w:cs="Arial"/>
                </w:rPr>
                <w:t>exclusively</w:t>
              </w:r>
            </w:hyperlink>
            <w:r w:rsidRPr="005830D1">
              <w:rPr>
                <w:rFonts w:cs="Arial"/>
                <w:vertAlign w:val="superscript"/>
              </w:rPr>
              <w:fldChar w:fldCharType="begin"/>
            </w:r>
            <w:r w:rsidRPr="005830D1">
              <w:rPr>
                <w:rStyle w:val="Hyperlink"/>
                <w:rFonts w:cs="Arial"/>
              </w:rPr>
              <w:instrText xml:space="preserve"> NOTEREF _Ref91166304 \f \h </w:instrText>
            </w:r>
            <w:r w:rsidRPr="005830D1">
              <w:rPr>
                <w:rFonts w:cs="Arial"/>
                <w:vertAlign w:val="superscript"/>
              </w:rPr>
              <w:instrText xml:space="preserve"> \* MERGEFORMAT </w:instrText>
            </w:r>
            <w:r w:rsidRPr="005830D1">
              <w:rPr>
                <w:rFonts w:cs="Arial"/>
                <w:vertAlign w:val="superscript"/>
              </w:rPr>
            </w:r>
            <w:r w:rsidRPr="005830D1">
              <w:rPr>
                <w:rFonts w:cs="Arial"/>
                <w:vertAlign w:val="superscript"/>
              </w:rPr>
              <w:fldChar w:fldCharType="separate"/>
            </w:r>
            <w:r w:rsidR="007D53A2" w:rsidRPr="00A012EC">
              <w:rPr>
                <w:rStyle w:val="EndnoteReference"/>
              </w:rPr>
              <w:t>37</w:t>
            </w:r>
            <w:r w:rsidRPr="005830D1">
              <w:rPr>
                <w:rFonts w:cs="Arial"/>
                <w:vertAlign w:val="superscript"/>
              </w:rPr>
              <w:fldChar w:fldCharType="end"/>
            </w:r>
            <w:r w:rsidRPr="005830D1">
              <w:rPr>
                <w:rFonts w:cs="Arial"/>
                <w:vertAlign w:val="superscript"/>
              </w:rPr>
              <w:t xml:space="preserve"> </w:t>
            </w:r>
            <w:r w:rsidRPr="005830D1">
              <w:rPr>
                <w:rFonts w:cs="Arial"/>
              </w:rPr>
              <w:t>in the ICU during these hours?</w:t>
            </w:r>
          </w:p>
          <w:p w14:paraId="668A340E" w14:textId="77777777" w:rsidR="00016179" w:rsidRPr="005830D1" w:rsidRDefault="00016179" w:rsidP="00D73F6A">
            <w:pPr>
              <w:pStyle w:val="Header"/>
              <w:tabs>
                <w:tab w:val="clear" w:pos="4320"/>
                <w:tab w:val="clear" w:pos="8640"/>
              </w:tabs>
              <w:rPr>
                <w:rFonts w:cs="Arial"/>
              </w:rPr>
            </w:pPr>
          </w:p>
          <w:p w14:paraId="5EFBDF64" w14:textId="77777777" w:rsidR="00016179" w:rsidRPr="005830D1" w:rsidRDefault="00016179" w:rsidP="00D73F6A">
            <w:pPr>
              <w:pStyle w:val="Header"/>
              <w:tabs>
                <w:tab w:val="clear" w:pos="4320"/>
                <w:tab w:val="clear" w:pos="8640"/>
              </w:tabs>
              <w:rPr>
                <w:rFonts w:cs="Arial"/>
              </w:rPr>
            </w:pPr>
            <w:r w:rsidRPr="005830D1">
              <w:rPr>
                <w:rFonts w:cs="Arial"/>
                <w:i/>
              </w:rPr>
              <w:t xml:space="preserve">      If “yes” to question #5, skip question #6 and continue to question #7. </w:t>
            </w:r>
          </w:p>
        </w:tc>
        <w:tc>
          <w:tcPr>
            <w:tcW w:w="2192" w:type="dxa"/>
            <w:vAlign w:val="center"/>
          </w:tcPr>
          <w:p w14:paraId="7FB5E527" w14:textId="77777777" w:rsidR="00016179" w:rsidRPr="005830D1" w:rsidRDefault="00016179" w:rsidP="00AD309C">
            <w:pPr>
              <w:pStyle w:val="ListParagraph"/>
              <w:numPr>
                <w:ilvl w:val="0"/>
                <w:numId w:val="342"/>
              </w:numPr>
              <w:rPr>
                <w:rFonts w:cs="Arial"/>
                <w:iCs/>
              </w:rPr>
            </w:pPr>
            <w:r w:rsidRPr="005830D1">
              <w:rPr>
                <w:rFonts w:cs="Arial"/>
                <w:iCs/>
              </w:rPr>
              <w:t>Yes</w:t>
            </w:r>
          </w:p>
          <w:p w14:paraId="0025039B" w14:textId="77777777" w:rsidR="00016179" w:rsidRPr="005830D1" w:rsidRDefault="00016179" w:rsidP="00AD309C">
            <w:pPr>
              <w:pStyle w:val="ListParagraph"/>
              <w:numPr>
                <w:ilvl w:val="0"/>
                <w:numId w:val="342"/>
              </w:numPr>
              <w:rPr>
                <w:rFonts w:cs="Arial"/>
                <w:iCs/>
              </w:rPr>
            </w:pPr>
            <w:r w:rsidRPr="005830D1">
              <w:rPr>
                <w:rFonts w:cs="Arial"/>
                <w:iCs/>
              </w:rPr>
              <w:t>No</w:t>
            </w:r>
          </w:p>
        </w:tc>
      </w:tr>
      <w:tr w:rsidR="00016179" w:rsidRPr="005830D1" w14:paraId="1DC611FE" w14:textId="77777777" w:rsidTr="00D73F6A">
        <w:trPr>
          <w:trHeight w:val="2160"/>
          <w:jc w:val="center"/>
        </w:trPr>
        <w:tc>
          <w:tcPr>
            <w:tcW w:w="7290" w:type="dxa"/>
            <w:vAlign w:val="center"/>
          </w:tcPr>
          <w:p w14:paraId="788CF19F" w14:textId="2A81DE5B" w:rsidR="00016179" w:rsidRPr="005830D1" w:rsidRDefault="00016179" w:rsidP="00AD309C">
            <w:pPr>
              <w:pStyle w:val="Header"/>
              <w:numPr>
                <w:ilvl w:val="0"/>
                <w:numId w:val="407"/>
              </w:numPr>
              <w:rPr>
                <w:rFonts w:cs="Arial"/>
              </w:rPr>
            </w:pPr>
            <w:r w:rsidRPr="005830D1">
              <w:rPr>
                <w:rFonts w:cs="Arial"/>
              </w:rPr>
              <w:t xml:space="preserve">Are </w:t>
            </w:r>
            <w:hyperlink w:anchor="Endnote22_CCPatients" w:history="1">
              <w:r w:rsidRPr="005830D1">
                <w:rPr>
                  <w:rStyle w:val="Hyperlink"/>
                  <w:rFonts w:cs="Arial"/>
                </w:rPr>
                <w:t>all critical care patients</w:t>
              </w:r>
            </w:hyperlink>
            <w:r w:rsidRPr="005830D1">
              <w:rPr>
                <w:rFonts w:cs="Arial"/>
                <w:vertAlign w:val="superscript"/>
              </w:rPr>
              <w:fldChar w:fldCharType="begin"/>
            </w:r>
            <w:r w:rsidRPr="005830D1">
              <w:rPr>
                <w:rStyle w:val="Hyperlink"/>
                <w:rFonts w:cs="Arial"/>
              </w:rPr>
              <w:instrText xml:space="preserve"> NOTEREF _Ref534212310 \f \h </w:instrText>
            </w:r>
            <w:r w:rsidRPr="005830D1">
              <w:rPr>
                <w:rFonts w:cs="Arial"/>
                <w:vertAlign w:val="superscript"/>
              </w:rPr>
              <w:instrText xml:space="preserve"> \* MERGEFORMAT </w:instrText>
            </w:r>
            <w:r w:rsidRPr="005830D1">
              <w:rPr>
                <w:rFonts w:cs="Arial"/>
                <w:vertAlign w:val="superscript"/>
              </w:rPr>
            </w:r>
            <w:r w:rsidRPr="005830D1">
              <w:rPr>
                <w:rFonts w:cs="Arial"/>
                <w:vertAlign w:val="superscript"/>
              </w:rPr>
              <w:fldChar w:fldCharType="separate"/>
            </w:r>
            <w:r w:rsidR="007D53A2" w:rsidRPr="00A012EC">
              <w:rPr>
                <w:rStyle w:val="EndnoteReference"/>
              </w:rPr>
              <w:t>34</w:t>
            </w:r>
            <w:r w:rsidRPr="005830D1">
              <w:rPr>
                <w:rFonts w:cs="Arial"/>
                <w:vertAlign w:val="superscript"/>
              </w:rPr>
              <w:fldChar w:fldCharType="end"/>
            </w:r>
            <w:r w:rsidRPr="005830D1">
              <w:rPr>
                <w:rFonts w:cs="Arial"/>
              </w:rPr>
              <w:t xml:space="preserve"> in the ICU </w:t>
            </w:r>
            <w:hyperlink w:anchor="Endnote24_Manage" w:history="1">
              <w:r w:rsidRPr="005830D1">
                <w:rPr>
                  <w:rStyle w:val="Hyperlink"/>
                  <w:rFonts w:cs="Arial"/>
                </w:rPr>
                <w:t>managed or co-managed</w:t>
              </w:r>
            </w:hyperlink>
            <w:r w:rsidRPr="005830D1">
              <w:rPr>
                <w:vertAlign w:val="superscript"/>
              </w:rPr>
              <w:fldChar w:fldCharType="begin"/>
            </w:r>
            <w:r w:rsidRPr="005830D1">
              <w:rPr>
                <w:rStyle w:val="Hyperlink"/>
                <w:rFonts w:cs="Arial"/>
              </w:rPr>
              <w:instrText xml:space="preserve"> NOTEREF _Ref91167015 \f \h </w:instrText>
            </w:r>
            <w:r w:rsidRPr="005830D1">
              <w:rPr>
                <w:vertAlign w:val="superscript"/>
              </w:rPr>
              <w:instrText xml:space="preserve"> \* MERGEFORMAT </w:instrText>
            </w:r>
            <w:r w:rsidRPr="005830D1">
              <w:rPr>
                <w:vertAlign w:val="superscript"/>
              </w:rPr>
            </w:r>
            <w:r w:rsidRPr="005830D1">
              <w:rPr>
                <w:vertAlign w:val="superscript"/>
              </w:rPr>
              <w:fldChar w:fldCharType="separate"/>
            </w:r>
            <w:r w:rsidR="007D53A2" w:rsidRPr="00A012EC">
              <w:rPr>
                <w:rStyle w:val="EndnoteReference"/>
              </w:rPr>
              <w:t>35</w:t>
            </w:r>
            <w:r w:rsidRPr="005830D1">
              <w:rPr>
                <w:vertAlign w:val="superscript"/>
              </w:rPr>
              <w:fldChar w:fldCharType="end"/>
            </w:r>
            <w:r w:rsidRPr="005830D1">
              <w:rPr>
                <w:rFonts w:cs="Arial"/>
              </w:rPr>
              <w:t xml:space="preserve"> by one or more physicians </w:t>
            </w:r>
            <w:hyperlink w:anchor="Endnote25_Certified" w:history="1">
              <w:r w:rsidRPr="005830D1">
                <w:rPr>
                  <w:rStyle w:val="Hyperlink"/>
                  <w:rFonts w:cs="Arial"/>
                </w:rPr>
                <w:t>certified in critical care medicine</w:t>
              </w:r>
            </w:hyperlink>
            <w:r w:rsidRPr="005830D1">
              <w:rPr>
                <w:rFonts w:cs="Arial"/>
                <w:vertAlign w:val="superscript"/>
              </w:rPr>
              <w:fldChar w:fldCharType="begin"/>
            </w:r>
            <w:r w:rsidRPr="005830D1">
              <w:rPr>
                <w:rStyle w:val="Hyperlink"/>
                <w:rFonts w:cs="Arial"/>
              </w:rPr>
              <w:instrText xml:space="preserve"> NOTEREF _Ref534212273 \f \h </w:instrText>
            </w:r>
            <w:r w:rsidRPr="005830D1">
              <w:rPr>
                <w:rFonts w:cs="Arial"/>
                <w:vertAlign w:val="superscript"/>
              </w:rPr>
              <w:instrText xml:space="preserve"> \* MERGEFORMAT </w:instrText>
            </w:r>
            <w:r w:rsidRPr="005830D1">
              <w:rPr>
                <w:rFonts w:cs="Arial"/>
                <w:vertAlign w:val="superscript"/>
              </w:rPr>
            </w:r>
            <w:r w:rsidRPr="005830D1">
              <w:rPr>
                <w:rFonts w:cs="Arial"/>
                <w:vertAlign w:val="superscript"/>
              </w:rPr>
              <w:fldChar w:fldCharType="separate"/>
            </w:r>
            <w:r w:rsidR="007D53A2" w:rsidRPr="00A012EC">
              <w:rPr>
                <w:rStyle w:val="EndnoteReference"/>
              </w:rPr>
              <w:t>36</w:t>
            </w:r>
            <w:r w:rsidRPr="005830D1">
              <w:rPr>
                <w:rFonts w:cs="Arial"/>
                <w:vertAlign w:val="superscript"/>
              </w:rPr>
              <w:fldChar w:fldCharType="end"/>
            </w:r>
            <w:r w:rsidRPr="005830D1">
              <w:rPr>
                <w:rFonts w:cs="Arial"/>
              </w:rPr>
              <w:t xml:space="preserve"> who meet </w:t>
            </w:r>
            <w:r w:rsidRPr="005830D1">
              <w:rPr>
                <w:rFonts w:cs="Arial"/>
                <w:b/>
              </w:rPr>
              <w:t>all</w:t>
            </w:r>
            <w:r w:rsidRPr="005830D1">
              <w:rPr>
                <w:rFonts w:cs="Arial"/>
              </w:rPr>
              <w:t xml:space="preserve"> the following criteria:</w:t>
            </w:r>
          </w:p>
          <w:p w14:paraId="521E6502" w14:textId="77777777" w:rsidR="00016179" w:rsidRPr="005830D1" w:rsidRDefault="00016179" w:rsidP="00AD309C">
            <w:pPr>
              <w:pStyle w:val="Header"/>
              <w:numPr>
                <w:ilvl w:val="0"/>
                <w:numId w:val="65"/>
              </w:numPr>
              <w:rPr>
                <w:rFonts w:cs="Arial"/>
              </w:rPr>
            </w:pPr>
            <w:r w:rsidRPr="005830D1">
              <w:rPr>
                <w:rFonts w:cs="Arial"/>
              </w:rPr>
              <w:t xml:space="preserve">present via telemedicine, in combination with on-site intensivist coverage, for a total of </w:t>
            </w:r>
            <w:r w:rsidRPr="005830D1">
              <w:rPr>
                <w:rFonts w:cs="Arial"/>
                <w:b/>
              </w:rPr>
              <w:t>24 hours per day, 7 days per week</w:t>
            </w:r>
            <w:r w:rsidRPr="005830D1">
              <w:rPr>
                <w:rFonts w:cs="Arial"/>
              </w:rPr>
              <w:t>;</w:t>
            </w:r>
          </w:p>
          <w:p w14:paraId="7315EE7E" w14:textId="533C1496" w:rsidR="00016179" w:rsidRPr="005830D1" w:rsidRDefault="00016179" w:rsidP="00AD309C">
            <w:pPr>
              <w:pStyle w:val="Header"/>
              <w:numPr>
                <w:ilvl w:val="0"/>
                <w:numId w:val="65"/>
              </w:numPr>
              <w:rPr>
                <w:rFonts w:cs="Arial"/>
              </w:rPr>
            </w:pPr>
            <w:r w:rsidRPr="005830D1">
              <w:rPr>
                <w:rFonts w:cs="Arial"/>
              </w:rPr>
              <w:t>meet all of Leapfrog’s ICU requirements for intensivist presence in the ICU via telemedicine (</w:t>
            </w:r>
            <w:hyperlink w:anchor="Endnote27_Telemedicine" w:history="1">
              <w:r w:rsidRPr="005830D1">
                <w:rPr>
                  <w:rStyle w:val="Hyperlink"/>
                  <w:rFonts w:cs="Arial"/>
                </w:rPr>
                <w:t>More Information</w:t>
              </w:r>
            </w:hyperlink>
            <w:r w:rsidRPr="005830D1">
              <w:rPr>
                <w:rFonts w:cs="Arial"/>
                <w:vertAlign w:val="superscript"/>
              </w:rPr>
              <w:fldChar w:fldCharType="begin"/>
            </w:r>
            <w:r w:rsidRPr="005830D1">
              <w:rPr>
                <w:rStyle w:val="Hyperlink"/>
                <w:rFonts w:cs="Arial"/>
              </w:rPr>
              <w:instrText xml:space="preserve"> NOTEREF _Ref534212061 \f \h </w:instrText>
            </w:r>
            <w:r w:rsidRPr="005830D1">
              <w:rPr>
                <w:rFonts w:cs="Arial"/>
                <w:vertAlign w:val="superscript"/>
              </w:rPr>
              <w:instrText xml:space="preserve"> \* MERGEFORMAT </w:instrText>
            </w:r>
            <w:r w:rsidRPr="005830D1">
              <w:rPr>
                <w:rFonts w:cs="Arial"/>
                <w:vertAlign w:val="superscript"/>
              </w:rPr>
            </w:r>
            <w:r w:rsidRPr="005830D1">
              <w:rPr>
                <w:rFonts w:cs="Arial"/>
                <w:vertAlign w:val="superscript"/>
              </w:rPr>
              <w:fldChar w:fldCharType="separate"/>
            </w:r>
            <w:r w:rsidR="007D53A2" w:rsidRPr="00A012EC">
              <w:rPr>
                <w:rStyle w:val="EndnoteReference"/>
              </w:rPr>
              <w:t>38</w:t>
            </w:r>
            <w:r w:rsidRPr="005830D1">
              <w:rPr>
                <w:rFonts w:cs="Arial"/>
                <w:vertAlign w:val="superscript"/>
              </w:rPr>
              <w:fldChar w:fldCharType="end"/>
            </w:r>
            <w:r w:rsidRPr="005830D1">
              <w:rPr>
                <w:rFonts w:cs="Arial"/>
              </w:rPr>
              <w:t>); and</w:t>
            </w:r>
          </w:p>
          <w:p w14:paraId="2B6B3FC7" w14:textId="77777777" w:rsidR="00016179" w:rsidRPr="005830D1" w:rsidRDefault="00016179" w:rsidP="00AD309C">
            <w:pPr>
              <w:pStyle w:val="Header"/>
              <w:numPr>
                <w:ilvl w:val="0"/>
                <w:numId w:val="65"/>
              </w:numPr>
              <w:rPr>
                <w:rFonts w:cs="Arial"/>
              </w:rPr>
            </w:pPr>
            <w:r w:rsidRPr="005830D1">
              <w:rPr>
                <w:rFonts w:cs="Arial"/>
              </w:rPr>
              <w:t>supported by an on-site intensivist who establishes and revises the daily care plan for each ICU patient?</w:t>
            </w:r>
          </w:p>
        </w:tc>
        <w:tc>
          <w:tcPr>
            <w:tcW w:w="2192" w:type="dxa"/>
            <w:vAlign w:val="center"/>
          </w:tcPr>
          <w:p w14:paraId="4C7A6D44" w14:textId="77777777" w:rsidR="00016179" w:rsidRPr="005830D1" w:rsidRDefault="00016179" w:rsidP="00AD309C">
            <w:pPr>
              <w:pStyle w:val="ListParagraph"/>
              <w:numPr>
                <w:ilvl w:val="0"/>
                <w:numId w:val="342"/>
              </w:numPr>
              <w:rPr>
                <w:rFonts w:cs="Arial"/>
                <w:iCs/>
              </w:rPr>
            </w:pPr>
            <w:r w:rsidRPr="005830D1">
              <w:rPr>
                <w:rFonts w:cs="Arial"/>
                <w:iCs/>
              </w:rPr>
              <w:t>Yes</w:t>
            </w:r>
          </w:p>
          <w:p w14:paraId="0FBE977B" w14:textId="77777777" w:rsidR="00016179" w:rsidRPr="005830D1" w:rsidRDefault="00016179" w:rsidP="00AD309C">
            <w:pPr>
              <w:pStyle w:val="ListParagraph"/>
              <w:numPr>
                <w:ilvl w:val="0"/>
                <w:numId w:val="342"/>
              </w:numPr>
              <w:rPr>
                <w:rFonts w:cs="Arial"/>
                <w:iCs/>
              </w:rPr>
            </w:pPr>
            <w:r w:rsidRPr="005830D1">
              <w:rPr>
                <w:rFonts w:cs="Arial"/>
                <w:iCs/>
              </w:rPr>
              <w:t>No</w:t>
            </w:r>
          </w:p>
        </w:tc>
      </w:tr>
    </w:tbl>
    <w:p w14:paraId="52ACFB9D" w14:textId="5E1D5573" w:rsidR="00016179" w:rsidRPr="005830D1" w:rsidRDefault="00016179" w:rsidP="00016179">
      <w:pPr>
        <w:rPr>
          <w:rFonts w:cs="Arial"/>
        </w:rPr>
      </w:pPr>
    </w:p>
    <w:p w14:paraId="513D94AB" w14:textId="77777777" w:rsidR="00016179" w:rsidRPr="005830D1" w:rsidRDefault="00016179" w:rsidP="00016179">
      <w:pPr>
        <w:rPr>
          <w:rFonts w:cs="Arial"/>
          <w:i/>
        </w:rPr>
      </w:pPr>
      <w:r w:rsidRPr="005830D1">
        <w:rPr>
          <w:rFonts w:cs="Arial"/>
          <w:i/>
        </w:rPr>
        <w:t>If “no” to question #5 and question #6, skip questions #7-8 and continue to question #9.</w:t>
      </w:r>
    </w:p>
    <w:p w14:paraId="427D4DC5" w14:textId="77777777" w:rsidR="00016179" w:rsidRPr="005830D1" w:rsidRDefault="00016179" w:rsidP="00016179">
      <w:pPr>
        <w:rPr>
          <w:rFonts w:cs="Arial"/>
          <w:i/>
        </w:rPr>
      </w:pPr>
    </w:p>
    <w:tbl>
      <w:tblPr>
        <w:tblW w:w="95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68"/>
        <w:gridCol w:w="2199"/>
      </w:tblGrid>
      <w:tr w:rsidR="00016179" w:rsidRPr="005830D1" w14:paraId="244EFEE1" w14:textId="77777777" w:rsidTr="00D73F6A">
        <w:trPr>
          <w:trHeight w:val="1368"/>
          <w:jc w:val="center"/>
        </w:trPr>
        <w:tc>
          <w:tcPr>
            <w:tcW w:w="7368" w:type="dxa"/>
          </w:tcPr>
          <w:p w14:paraId="5C1D5CC0" w14:textId="42EE9BEE" w:rsidR="00016179" w:rsidRPr="005830D1" w:rsidRDefault="00016179" w:rsidP="00AD309C">
            <w:pPr>
              <w:pStyle w:val="ListParagraph"/>
              <w:numPr>
                <w:ilvl w:val="0"/>
                <w:numId w:val="407"/>
              </w:numPr>
              <w:spacing w:before="120"/>
              <w:rPr>
                <w:rFonts w:cs="Arial"/>
              </w:rPr>
            </w:pPr>
            <w:r w:rsidRPr="005830D1">
              <w:rPr>
                <w:rFonts w:cs="Arial"/>
              </w:rPr>
              <w:t xml:space="preserve">When the physicians (from question #3) are not present in the ICU on-site or via telemedicine, do they return more than 95% of calls/pages/texts from these units within five minutes, </w:t>
            </w:r>
            <w:r w:rsidRPr="005830D1">
              <w:rPr>
                <w:rFonts w:cs="Arial"/>
                <w:snapToGrid w:val="0"/>
                <w:color w:val="000000"/>
              </w:rPr>
              <w:t xml:space="preserve">based on a </w:t>
            </w:r>
            <w:hyperlink w:anchor="Endnote28_ResponseAnalysis" w:history="1">
              <w:r w:rsidRPr="005830D1">
                <w:rPr>
                  <w:rStyle w:val="Hyperlink"/>
                  <w:rFonts w:cs="Arial"/>
                  <w:snapToGrid w:val="0"/>
                </w:rPr>
                <w:t>quantified analysis</w:t>
              </w:r>
            </w:hyperlink>
            <w:r w:rsidRPr="005830D1">
              <w:rPr>
                <w:vertAlign w:val="superscript"/>
              </w:rPr>
              <w:fldChar w:fldCharType="begin"/>
            </w:r>
            <w:r w:rsidRPr="005830D1">
              <w:rPr>
                <w:rStyle w:val="Hyperlink"/>
                <w:rFonts w:cs="Arial"/>
                <w:snapToGrid w:val="0"/>
              </w:rPr>
              <w:instrText xml:space="preserve"> NOTEREF _Ref534212563 \f \h </w:instrText>
            </w:r>
            <w:r w:rsidRPr="005830D1">
              <w:rPr>
                <w:vertAlign w:val="superscript"/>
              </w:rPr>
              <w:instrText xml:space="preserve"> \* MERGEFORMAT </w:instrText>
            </w:r>
            <w:r w:rsidRPr="005830D1">
              <w:rPr>
                <w:vertAlign w:val="superscript"/>
              </w:rPr>
            </w:r>
            <w:r w:rsidRPr="005830D1">
              <w:rPr>
                <w:vertAlign w:val="superscript"/>
              </w:rPr>
              <w:fldChar w:fldCharType="separate"/>
            </w:r>
            <w:r w:rsidR="007D53A2" w:rsidRPr="00A012EC">
              <w:rPr>
                <w:rStyle w:val="EndnoteReference"/>
              </w:rPr>
              <w:t>39</w:t>
            </w:r>
            <w:r w:rsidRPr="005830D1">
              <w:rPr>
                <w:vertAlign w:val="superscript"/>
              </w:rPr>
              <w:fldChar w:fldCharType="end"/>
            </w:r>
            <w:r w:rsidRPr="005830D1">
              <w:rPr>
                <w:rFonts w:cs="Arial"/>
                <w:snapToGrid w:val="0"/>
              </w:rPr>
              <w:t xml:space="preserve"> of notification device response time</w:t>
            </w:r>
            <w:r w:rsidRPr="005830D1">
              <w:rPr>
                <w:rFonts w:cs="Arial"/>
              </w:rPr>
              <w:t>? (</w:t>
            </w:r>
            <w:hyperlink w:anchor="Endnote30_TeleCoverCalls" w:history="1">
              <w:r w:rsidRPr="005830D1">
                <w:rPr>
                  <w:rStyle w:val="Hyperlink"/>
                  <w:rFonts w:cs="Arial"/>
                </w:rPr>
                <w:t>More information on the use of telemedicine to cover calls</w:t>
              </w:r>
            </w:hyperlink>
            <w:r w:rsidRPr="005830D1">
              <w:rPr>
                <w:rStyle w:val="Hyperlink"/>
                <w:rFonts w:ascii="ZWAdobeF" w:hAnsi="ZWAdobeF" w:cs="ZWAdobeF"/>
                <w:color w:val="auto"/>
                <w:sz w:val="2"/>
                <w:szCs w:val="2"/>
                <w:u w:val="none"/>
              </w:rPr>
              <w:t>40F</w:t>
            </w:r>
            <w:r w:rsidR="005F559C" w:rsidRPr="005830D1">
              <w:rPr>
                <w:rFonts w:cs="Arial"/>
                <w:vertAlign w:val="superscript"/>
              </w:rPr>
              <w:t>41</w:t>
            </w:r>
            <w:r w:rsidRPr="005830D1">
              <w:rPr>
                <w:rFonts w:cs="Arial"/>
              </w:rPr>
              <w:t>)</w:t>
            </w:r>
          </w:p>
        </w:tc>
        <w:tc>
          <w:tcPr>
            <w:tcW w:w="2199" w:type="dxa"/>
            <w:vAlign w:val="center"/>
          </w:tcPr>
          <w:p w14:paraId="6D7C17F3" w14:textId="77777777" w:rsidR="00016179" w:rsidRPr="005830D1" w:rsidRDefault="00016179" w:rsidP="00AD309C">
            <w:pPr>
              <w:pStyle w:val="ListParagraph"/>
              <w:numPr>
                <w:ilvl w:val="0"/>
                <w:numId w:val="343"/>
              </w:numPr>
              <w:rPr>
                <w:rFonts w:cs="Arial"/>
                <w:iCs/>
              </w:rPr>
            </w:pPr>
            <w:r w:rsidRPr="005830D1">
              <w:rPr>
                <w:rFonts w:cs="Arial"/>
                <w:iCs/>
              </w:rPr>
              <w:t>Yes</w:t>
            </w:r>
          </w:p>
          <w:p w14:paraId="18474738" w14:textId="77777777" w:rsidR="005E285A" w:rsidRPr="005830D1" w:rsidRDefault="00016179" w:rsidP="00AD309C">
            <w:pPr>
              <w:pStyle w:val="ListParagraph"/>
              <w:numPr>
                <w:ilvl w:val="0"/>
                <w:numId w:val="343"/>
              </w:numPr>
              <w:rPr>
                <w:rFonts w:cs="Arial"/>
                <w:iCs/>
              </w:rPr>
            </w:pPr>
            <w:r w:rsidRPr="005830D1">
              <w:rPr>
                <w:rFonts w:cs="Arial"/>
                <w:iCs/>
              </w:rPr>
              <w:t>No</w:t>
            </w:r>
          </w:p>
          <w:p w14:paraId="0CD36178" w14:textId="35D3C55D" w:rsidR="00016179" w:rsidRPr="005830D1" w:rsidRDefault="00016179" w:rsidP="00AD309C">
            <w:pPr>
              <w:pStyle w:val="ListParagraph"/>
              <w:numPr>
                <w:ilvl w:val="0"/>
                <w:numId w:val="343"/>
              </w:numPr>
              <w:rPr>
                <w:rFonts w:cs="Arial"/>
                <w:iCs/>
              </w:rPr>
            </w:pPr>
            <w:r w:rsidRPr="005830D1">
              <w:rPr>
                <w:rFonts w:cs="Arial"/>
                <w:bCs/>
                <w:iCs/>
              </w:rPr>
              <w:t>Not applicable; intensivists are present on-site 24/7</w:t>
            </w:r>
          </w:p>
        </w:tc>
      </w:tr>
      <w:tr w:rsidR="00016179" w:rsidRPr="005830D1" w14:paraId="40B17103" w14:textId="77777777" w:rsidTr="00D73F6A">
        <w:trPr>
          <w:trHeight w:val="1584"/>
          <w:jc w:val="center"/>
        </w:trPr>
        <w:tc>
          <w:tcPr>
            <w:tcW w:w="7368" w:type="dxa"/>
          </w:tcPr>
          <w:p w14:paraId="0594BFC1" w14:textId="073FC35E" w:rsidR="00016179" w:rsidRPr="005830D1" w:rsidRDefault="00016179" w:rsidP="00AD309C">
            <w:pPr>
              <w:pStyle w:val="ListParagraph"/>
              <w:numPr>
                <w:ilvl w:val="0"/>
                <w:numId w:val="407"/>
              </w:numPr>
              <w:spacing w:before="120"/>
              <w:rPr>
                <w:rFonts w:cs="Arial"/>
              </w:rPr>
            </w:pPr>
            <w:r w:rsidRPr="005830D1">
              <w:rPr>
                <w:rFonts w:cs="Arial"/>
              </w:rPr>
              <w:t xml:space="preserve">When the physicians (from question #3) are not present on-site in the ICU or not able to physically reach an ICU patient within 5 minutes, can they rely on a </w:t>
            </w:r>
            <w:hyperlink w:anchor="Endnote31_OtherEffector" w:history="1">
              <w:r w:rsidRPr="005830D1">
                <w:rPr>
                  <w:rStyle w:val="Hyperlink"/>
                  <w:rFonts w:cs="Arial"/>
                </w:rPr>
                <w:t>physician, physician assistant, nurse practitioner</w:t>
              </w:r>
            </w:hyperlink>
            <w:r w:rsidRPr="005830D1">
              <w:rPr>
                <w:rStyle w:val="Hyperlink"/>
                <w:rFonts w:ascii="ZWAdobeF" w:hAnsi="ZWAdobeF" w:cs="ZWAdobeF"/>
                <w:color w:val="auto"/>
                <w:sz w:val="2"/>
                <w:szCs w:val="2"/>
                <w:u w:val="none"/>
              </w:rPr>
              <w:t>41F</w:t>
            </w:r>
            <w:r w:rsidR="00422FE2" w:rsidRPr="005830D1">
              <w:rPr>
                <w:vertAlign w:val="superscript"/>
              </w:rPr>
              <w:t>42</w:t>
            </w:r>
            <w:r w:rsidRPr="005830D1">
              <w:rPr>
                <w:rFonts w:cs="Arial"/>
              </w:rPr>
              <w:t xml:space="preserve">, or </w:t>
            </w:r>
            <w:hyperlink w:anchor="Endnote29_NurseEffector" w:history="1">
              <w:r w:rsidRPr="005830D1">
                <w:rPr>
                  <w:rStyle w:val="Hyperlink"/>
                  <w:rFonts w:cs="Arial"/>
                </w:rPr>
                <w:t>FCCS-certified nurse or intern “effector”</w:t>
              </w:r>
            </w:hyperlink>
            <w:r w:rsidRPr="005830D1">
              <w:rPr>
                <w:vertAlign w:val="superscript"/>
              </w:rPr>
              <w:fldChar w:fldCharType="begin"/>
            </w:r>
            <w:r w:rsidRPr="005830D1">
              <w:rPr>
                <w:rStyle w:val="Hyperlink"/>
                <w:rFonts w:cs="Arial"/>
              </w:rPr>
              <w:instrText xml:space="preserve"> NOTEREF _Ref91167163 \f \h </w:instrText>
            </w:r>
            <w:r w:rsidRPr="005830D1">
              <w:rPr>
                <w:vertAlign w:val="superscript"/>
              </w:rPr>
              <w:instrText xml:space="preserve"> \* MERGEFORMAT </w:instrText>
            </w:r>
            <w:r w:rsidRPr="005830D1">
              <w:rPr>
                <w:vertAlign w:val="superscript"/>
              </w:rPr>
            </w:r>
            <w:r w:rsidRPr="005830D1">
              <w:rPr>
                <w:vertAlign w:val="superscript"/>
              </w:rPr>
              <w:fldChar w:fldCharType="separate"/>
            </w:r>
            <w:r w:rsidR="007D53A2" w:rsidRPr="00A012EC">
              <w:rPr>
                <w:rStyle w:val="EndnoteReference"/>
              </w:rPr>
              <w:t>40</w:t>
            </w:r>
            <w:r w:rsidRPr="005830D1">
              <w:rPr>
                <w:vertAlign w:val="superscript"/>
              </w:rPr>
              <w:fldChar w:fldCharType="end"/>
            </w:r>
            <w:r w:rsidRPr="005830D1">
              <w:rPr>
                <w:rFonts w:cs="Arial"/>
              </w:rPr>
              <w:t xml:space="preserve"> who is in the hospital and able to reach these ICU patients within five minutes in more than 95% of the cases, </w:t>
            </w:r>
            <w:r w:rsidRPr="005830D1">
              <w:rPr>
                <w:rFonts w:cs="Arial"/>
                <w:snapToGrid w:val="0"/>
                <w:color w:val="000000"/>
              </w:rPr>
              <w:t xml:space="preserve">based on a </w:t>
            </w:r>
            <w:hyperlink w:anchor="Endnote28_ResponseAnalysis" w:history="1">
              <w:r w:rsidRPr="005830D1">
                <w:rPr>
                  <w:rStyle w:val="Hyperlink"/>
                  <w:rFonts w:cs="Arial"/>
                  <w:snapToGrid w:val="0"/>
                </w:rPr>
                <w:t>quantified analysis</w:t>
              </w:r>
            </w:hyperlink>
            <w:r w:rsidRPr="005830D1">
              <w:rPr>
                <w:rFonts w:cs="Arial"/>
                <w:vertAlign w:val="superscript"/>
              </w:rPr>
              <w:fldChar w:fldCharType="begin"/>
            </w:r>
            <w:r w:rsidRPr="005830D1">
              <w:rPr>
                <w:rStyle w:val="Hyperlink"/>
                <w:rFonts w:cs="Arial"/>
                <w:snapToGrid w:val="0"/>
              </w:rPr>
              <w:instrText xml:space="preserve"> NOTEREF _Ref534212563 \f \h </w:instrText>
            </w:r>
            <w:r w:rsidRPr="005830D1">
              <w:rPr>
                <w:rFonts w:cs="Arial"/>
                <w:vertAlign w:val="superscript"/>
              </w:rPr>
              <w:instrText xml:space="preserve"> \* MERGEFORMAT </w:instrText>
            </w:r>
            <w:r w:rsidRPr="005830D1">
              <w:rPr>
                <w:rFonts w:cs="Arial"/>
                <w:vertAlign w:val="superscript"/>
              </w:rPr>
            </w:r>
            <w:r w:rsidRPr="005830D1">
              <w:rPr>
                <w:rFonts w:cs="Arial"/>
                <w:vertAlign w:val="superscript"/>
              </w:rPr>
              <w:fldChar w:fldCharType="separate"/>
            </w:r>
            <w:r w:rsidR="007D53A2" w:rsidRPr="00A012EC">
              <w:rPr>
                <w:rStyle w:val="EndnoteReference"/>
              </w:rPr>
              <w:t>39</w:t>
            </w:r>
            <w:r w:rsidRPr="005830D1">
              <w:rPr>
                <w:rFonts w:cs="Arial"/>
                <w:vertAlign w:val="superscript"/>
              </w:rPr>
              <w:fldChar w:fldCharType="end"/>
            </w:r>
            <w:r w:rsidRPr="005830D1">
              <w:rPr>
                <w:rFonts w:cs="Arial"/>
                <w:snapToGrid w:val="0"/>
                <w:color w:val="000000"/>
              </w:rPr>
              <w:t xml:space="preserve"> of response time of the effector reaching the patient</w:t>
            </w:r>
            <w:r w:rsidRPr="005830D1">
              <w:rPr>
                <w:rFonts w:cs="Arial"/>
              </w:rPr>
              <w:t>?</w:t>
            </w:r>
          </w:p>
        </w:tc>
        <w:tc>
          <w:tcPr>
            <w:tcW w:w="2199" w:type="dxa"/>
            <w:vAlign w:val="center"/>
          </w:tcPr>
          <w:p w14:paraId="368D0390" w14:textId="77777777" w:rsidR="00016179" w:rsidRPr="005830D1" w:rsidRDefault="00016179" w:rsidP="00AD309C">
            <w:pPr>
              <w:pStyle w:val="ListParagraph"/>
              <w:numPr>
                <w:ilvl w:val="0"/>
                <w:numId w:val="343"/>
              </w:numPr>
              <w:rPr>
                <w:rFonts w:cs="Arial"/>
                <w:iCs/>
              </w:rPr>
            </w:pPr>
            <w:r w:rsidRPr="005830D1">
              <w:rPr>
                <w:rFonts w:cs="Arial"/>
                <w:iCs/>
              </w:rPr>
              <w:t>Yes</w:t>
            </w:r>
          </w:p>
          <w:p w14:paraId="47C9B7B8" w14:textId="77777777" w:rsidR="00ED42CB" w:rsidRPr="005830D1" w:rsidRDefault="00016179" w:rsidP="00AD309C">
            <w:pPr>
              <w:pStyle w:val="ListParagraph"/>
              <w:numPr>
                <w:ilvl w:val="0"/>
                <w:numId w:val="343"/>
              </w:numPr>
              <w:rPr>
                <w:rFonts w:cs="Arial"/>
                <w:iCs/>
              </w:rPr>
            </w:pPr>
            <w:r w:rsidRPr="005830D1">
              <w:rPr>
                <w:rFonts w:cs="Arial"/>
                <w:iCs/>
              </w:rPr>
              <w:t>No</w:t>
            </w:r>
          </w:p>
          <w:p w14:paraId="5ACE8AD8" w14:textId="5663A54F" w:rsidR="00016179" w:rsidRPr="005830D1" w:rsidRDefault="00016179" w:rsidP="00AD309C">
            <w:pPr>
              <w:pStyle w:val="ListParagraph"/>
              <w:numPr>
                <w:ilvl w:val="0"/>
                <w:numId w:val="343"/>
              </w:numPr>
              <w:rPr>
                <w:rFonts w:cs="Arial"/>
                <w:iCs/>
              </w:rPr>
            </w:pPr>
            <w:r w:rsidRPr="005830D1">
              <w:rPr>
                <w:rFonts w:cs="Arial"/>
                <w:bCs/>
                <w:iCs/>
              </w:rPr>
              <w:t>Not applicable; intensivists are present on-site 24/7</w:t>
            </w:r>
          </w:p>
        </w:tc>
      </w:tr>
    </w:tbl>
    <w:p w14:paraId="7249532F" w14:textId="77777777" w:rsidR="00016179" w:rsidRPr="005830D1" w:rsidRDefault="00016179" w:rsidP="00016179">
      <w:pPr>
        <w:rPr>
          <w:rFonts w:cs="Arial"/>
          <w:i/>
        </w:rPr>
      </w:pPr>
    </w:p>
    <w:p w14:paraId="02091CC7" w14:textId="67450311" w:rsidR="00016179" w:rsidRPr="005830D1" w:rsidRDefault="00016179" w:rsidP="00016179">
      <w:pPr>
        <w:rPr>
          <w:rFonts w:cs="Arial"/>
          <w:i/>
        </w:rPr>
      </w:pPr>
      <w:r w:rsidRPr="005830D1">
        <w:rPr>
          <w:rFonts w:cs="Arial"/>
          <w:i/>
        </w:rPr>
        <w:t>If “no” to either question #7 or #8 in this section, continue to questions #9-15. If “yes” or “not applicable; intensivists are present on-site 24/7” to questions #7 and #8, skip the remaining questions in Section 5</w:t>
      </w:r>
      <w:r w:rsidR="00066202" w:rsidRPr="005830D1">
        <w:rPr>
          <w:rFonts w:cs="Arial"/>
          <w:i/>
        </w:rPr>
        <w:t>B</w:t>
      </w:r>
      <w:r w:rsidRPr="005830D1">
        <w:rPr>
          <w:rFonts w:cs="Arial"/>
          <w:i/>
        </w:rPr>
        <w:t xml:space="preserve"> and </w:t>
      </w:r>
      <w:r w:rsidR="004E6FE0" w:rsidRPr="005830D1">
        <w:rPr>
          <w:rFonts w:cs="Arial"/>
          <w:i/>
        </w:rPr>
        <w:t xml:space="preserve">continue </w:t>
      </w:r>
      <w:r w:rsidRPr="005830D1">
        <w:rPr>
          <w:rFonts w:cs="Arial"/>
          <w:i/>
        </w:rPr>
        <w:t xml:space="preserve">to the </w:t>
      </w:r>
      <w:r w:rsidR="004E6FE0" w:rsidRPr="005830D1">
        <w:rPr>
          <w:rFonts w:cs="Arial"/>
          <w:i/>
        </w:rPr>
        <w:t>next subsection</w:t>
      </w:r>
      <w:r w:rsidRPr="005830D1">
        <w:rPr>
          <w:rFonts w:cs="Arial"/>
          <w:i/>
        </w:rPr>
        <w:t>.</w:t>
      </w:r>
    </w:p>
    <w:p w14:paraId="32A1A495" w14:textId="77777777" w:rsidR="00016179" w:rsidRPr="005830D1" w:rsidRDefault="00016179" w:rsidP="00016179">
      <w:pPr>
        <w:rPr>
          <w:rFonts w:cs="Arial"/>
          <w:i/>
        </w:rPr>
      </w:pPr>
    </w:p>
    <w:tbl>
      <w:tblPr>
        <w:tblW w:w="95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34"/>
        <w:gridCol w:w="2233"/>
      </w:tblGrid>
      <w:tr w:rsidR="00016179" w:rsidRPr="005830D1" w14:paraId="0E6AE762" w14:textId="77777777" w:rsidTr="00D73F6A">
        <w:trPr>
          <w:trHeight w:val="20"/>
          <w:jc w:val="center"/>
        </w:trPr>
        <w:tc>
          <w:tcPr>
            <w:tcW w:w="7334" w:type="dxa"/>
          </w:tcPr>
          <w:p w14:paraId="7E33BB00" w14:textId="3E0FF335" w:rsidR="00016179" w:rsidRPr="005830D1" w:rsidRDefault="00016179" w:rsidP="00AD309C">
            <w:pPr>
              <w:pStyle w:val="Header"/>
              <w:numPr>
                <w:ilvl w:val="0"/>
                <w:numId w:val="407"/>
              </w:numPr>
              <w:tabs>
                <w:tab w:val="clear" w:pos="4320"/>
                <w:tab w:val="clear" w:pos="8640"/>
              </w:tabs>
              <w:spacing w:before="120"/>
              <w:rPr>
                <w:rFonts w:cs="Arial"/>
              </w:rPr>
            </w:pPr>
            <w:r w:rsidRPr="005830D1">
              <w:rPr>
                <w:rFonts w:cs="Arial"/>
              </w:rPr>
              <w:t xml:space="preserve">Are </w:t>
            </w:r>
            <w:hyperlink w:anchor="Endnote22_CCPatients" w:history="1">
              <w:r w:rsidRPr="005830D1">
                <w:rPr>
                  <w:rStyle w:val="Hyperlink"/>
                  <w:rFonts w:cs="Arial"/>
                </w:rPr>
                <w:t>all critical care patients</w:t>
              </w:r>
            </w:hyperlink>
            <w:r w:rsidRPr="005830D1">
              <w:rPr>
                <w:vertAlign w:val="superscript"/>
              </w:rPr>
              <w:fldChar w:fldCharType="begin"/>
            </w:r>
            <w:r w:rsidRPr="005830D1">
              <w:rPr>
                <w:rStyle w:val="Hyperlink"/>
                <w:rFonts w:cs="Arial"/>
              </w:rPr>
              <w:instrText xml:space="preserve"> NOTEREF _Ref534212310 \f \h </w:instrText>
            </w:r>
            <w:r w:rsidRPr="005830D1">
              <w:rPr>
                <w:vertAlign w:val="superscript"/>
              </w:rPr>
              <w:instrText xml:space="preserve"> \* MERGEFORMAT </w:instrText>
            </w:r>
            <w:r w:rsidRPr="005830D1">
              <w:rPr>
                <w:vertAlign w:val="superscript"/>
              </w:rPr>
            </w:r>
            <w:r w:rsidRPr="005830D1">
              <w:rPr>
                <w:vertAlign w:val="superscript"/>
              </w:rPr>
              <w:fldChar w:fldCharType="separate"/>
            </w:r>
            <w:r w:rsidR="007D53A2" w:rsidRPr="00A012EC">
              <w:rPr>
                <w:rStyle w:val="EndnoteReference"/>
              </w:rPr>
              <w:t>34</w:t>
            </w:r>
            <w:r w:rsidRPr="005830D1">
              <w:rPr>
                <w:vertAlign w:val="superscript"/>
              </w:rPr>
              <w:fldChar w:fldCharType="end"/>
            </w:r>
            <w:r w:rsidRPr="005830D1">
              <w:rPr>
                <w:rFonts w:cs="Arial"/>
              </w:rPr>
              <w:t xml:space="preserve"> in the ICU </w:t>
            </w:r>
            <w:hyperlink w:anchor="Endnote24_Manage" w:history="1">
              <w:r w:rsidRPr="005830D1">
                <w:rPr>
                  <w:rStyle w:val="Hyperlink"/>
                  <w:rFonts w:cs="Arial"/>
                </w:rPr>
                <w:t>managed or co-managed</w:t>
              </w:r>
            </w:hyperlink>
            <w:r w:rsidRPr="005830D1">
              <w:rPr>
                <w:rFonts w:cs="Arial"/>
                <w:vertAlign w:val="superscript"/>
              </w:rPr>
              <w:fldChar w:fldCharType="begin"/>
            </w:r>
            <w:r w:rsidRPr="005830D1">
              <w:rPr>
                <w:rStyle w:val="Hyperlink"/>
                <w:rFonts w:cs="Arial"/>
              </w:rPr>
              <w:instrText xml:space="preserve"> NOTEREF _Ref91167015 \f \h </w:instrText>
            </w:r>
            <w:r w:rsidRPr="005830D1">
              <w:rPr>
                <w:rFonts w:cs="Arial"/>
                <w:vertAlign w:val="superscript"/>
              </w:rPr>
              <w:instrText xml:space="preserve"> \* MERGEFORMAT </w:instrText>
            </w:r>
            <w:r w:rsidRPr="005830D1">
              <w:rPr>
                <w:rFonts w:cs="Arial"/>
                <w:vertAlign w:val="superscript"/>
              </w:rPr>
            </w:r>
            <w:r w:rsidRPr="005830D1">
              <w:rPr>
                <w:rFonts w:cs="Arial"/>
                <w:vertAlign w:val="superscript"/>
              </w:rPr>
              <w:fldChar w:fldCharType="separate"/>
            </w:r>
            <w:r w:rsidR="007D53A2" w:rsidRPr="00A012EC">
              <w:rPr>
                <w:rStyle w:val="EndnoteReference"/>
              </w:rPr>
              <w:t>35</w:t>
            </w:r>
            <w:r w:rsidRPr="005830D1">
              <w:rPr>
                <w:rFonts w:cs="Arial"/>
                <w:vertAlign w:val="superscript"/>
              </w:rPr>
              <w:fldChar w:fldCharType="end"/>
            </w:r>
            <w:r w:rsidRPr="005830D1">
              <w:rPr>
                <w:rFonts w:cs="Arial"/>
              </w:rPr>
              <w:t xml:space="preserve"> by one or more physicians </w:t>
            </w:r>
            <w:hyperlink w:anchor="Endnote25_Certified" w:history="1">
              <w:r w:rsidRPr="005830D1">
                <w:rPr>
                  <w:rStyle w:val="Hyperlink"/>
                  <w:rFonts w:cs="Arial"/>
                </w:rPr>
                <w:t>certified in critical care medicine</w:t>
              </w:r>
            </w:hyperlink>
            <w:r w:rsidRPr="005830D1">
              <w:rPr>
                <w:rFonts w:cs="Arial"/>
                <w:vertAlign w:val="superscript"/>
              </w:rPr>
              <w:fldChar w:fldCharType="begin"/>
            </w:r>
            <w:r w:rsidRPr="005830D1">
              <w:rPr>
                <w:rStyle w:val="Hyperlink"/>
                <w:rFonts w:cs="Arial"/>
              </w:rPr>
              <w:instrText xml:space="preserve"> NOTEREF _Ref534212273 \f \h </w:instrText>
            </w:r>
            <w:r w:rsidRPr="005830D1">
              <w:rPr>
                <w:rFonts w:cs="Arial"/>
                <w:vertAlign w:val="superscript"/>
              </w:rPr>
              <w:instrText xml:space="preserve"> \* MERGEFORMAT </w:instrText>
            </w:r>
            <w:r w:rsidRPr="005830D1">
              <w:rPr>
                <w:rFonts w:cs="Arial"/>
                <w:vertAlign w:val="superscript"/>
              </w:rPr>
            </w:r>
            <w:r w:rsidRPr="005830D1">
              <w:rPr>
                <w:rFonts w:cs="Arial"/>
                <w:vertAlign w:val="superscript"/>
              </w:rPr>
              <w:fldChar w:fldCharType="separate"/>
            </w:r>
            <w:r w:rsidR="007D53A2" w:rsidRPr="00A012EC">
              <w:rPr>
                <w:rStyle w:val="EndnoteReference"/>
              </w:rPr>
              <w:t>36</w:t>
            </w:r>
            <w:r w:rsidRPr="005830D1">
              <w:rPr>
                <w:rFonts w:cs="Arial"/>
                <w:vertAlign w:val="superscript"/>
              </w:rPr>
              <w:fldChar w:fldCharType="end"/>
            </w:r>
            <w:r w:rsidRPr="005830D1">
              <w:rPr>
                <w:rFonts w:cs="Arial"/>
              </w:rPr>
              <w:t xml:space="preserve"> who meet </w:t>
            </w:r>
            <w:r w:rsidRPr="005830D1">
              <w:rPr>
                <w:rFonts w:cs="Arial"/>
                <w:b/>
              </w:rPr>
              <w:t>all</w:t>
            </w:r>
            <w:r w:rsidRPr="005830D1">
              <w:rPr>
                <w:rFonts w:cs="Arial"/>
              </w:rPr>
              <w:t xml:space="preserve"> the following criteria:</w:t>
            </w:r>
          </w:p>
          <w:p w14:paraId="2199DBCC" w14:textId="04F1FFF7" w:rsidR="00016179" w:rsidRPr="005830D1" w:rsidRDefault="00016179" w:rsidP="00016179">
            <w:pPr>
              <w:pStyle w:val="Header"/>
              <w:numPr>
                <w:ilvl w:val="0"/>
                <w:numId w:val="8"/>
              </w:numPr>
              <w:tabs>
                <w:tab w:val="clear" w:pos="4320"/>
                <w:tab w:val="clear" w:pos="8640"/>
              </w:tabs>
              <w:rPr>
                <w:rFonts w:cs="Arial"/>
              </w:rPr>
            </w:pPr>
            <w:hyperlink w:anchor="Endnote26_Present" w:history="1">
              <w:r w:rsidRPr="005830D1">
                <w:rPr>
                  <w:rStyle w:val="Hyperlink"/>
                  <w:rFonts w:cs="Arial"/>
                </w:rPr>
                <w:t>ordinarily present</w:t>
              </w:r>
            </w:hyperlink>
            <w:r w:rsidRPr="005830D1">
              <w:rPr>
                <w:vertAlign w:val="superscript"/>
              </w:rPr>
              <w:fldChar w:fldCharType="begin"/>
            </w:r>
            <w:r w:rsidRPr="005830D1">
              <w:rPr>
                <w:rStyle w:val="Hyperlink"/>
                <w:rFonts w:cs="Arial"/>
              </w:rPr>
              <w:instrText xml:space="preserve"> NOTEREF _Ref91166304 \f \h </w:instrText>
            </w:r>
            <w:r w:rsidRPr="005830D1">
              <w:rPr>
                <w:vertAlign w:val="superscript"/>
              </w:rPr>
              <w:instrText xml:space="preserve"> \* MERGEFORMAT </w:instrText>
            </w:r>
            <w:r w:rsidRPr="005830D1">
              <w:rPr>
                <w:vertAlign w:val="superscript"/>
              </w:rPr>
            </w:r>
            <w:r w:rsidRPr="005830D1">
              <w:rPr>
                <w:vertAlign w:val="superscript"/>
              </w:rPr>
              <w:fldChar w:fldCharType="separate"/>
            </w:r>
            <w:r w:rsidR="007D53A2" w:rsidRPr="00A012EC">
              <w:rPr>
                <w:rStyle w:val="EndnoteReference"/>
              </w:rPr>
              <w:t>37</w:t>
            </w:r>
            <w:r w:rsidRPr="005830D1">
              <w:rPr>
                <w:vertAlign w:val="superscript"/>
              </w:rPr>
              <w:fldChar w:fldCharType="end"/>
            </w:r>
            <w:r w:rsidRPr="005830D1">
              <w:rPr>
                <w:rFonts w:cs="Arial"/>
              </w:rPr>
              <w:t xml:space="preserve"> on-site in the ICU during daytime hours;</w:t>
            </w:r>
          </w:p>
          <w:p w14:paraId="2691F10F" w14:textId="77777777" w:rsidR="00016179" w:rsidRPr="005830D1" w:rsidRDefault="00016179" w:rsidP="00016179">
            <w:pPr>
              <w:pStyle w:val="Header"/>
              <w:numPr>
                <w:ilvl w:val="0"/>
                <w:numId w:val="8"/>
              </w:numPr>
              <w:tabs>
                <w:tab w:val="clear" w:pos="4320"/>
                <w:tab w:val="clear" w:pos="8640"/>
              </w:tabs>
              <w:rPr>
                <w:rFonts w:cs="Arial"/>
                <w:b/>
                <w:u w:val="single"/>
              </w:rPr>
            </w:pPr>
            <w:r w:rsidRPr="005830D1">
              <w:rPr>
                <w:rFonts w:cs="Arial"/>
              </w:rPr>
              <w:t xml:space="preserve">for at least </w:t>
            </w:r>
            <w:r w:rsidRPr="005830D1">
              <w:rPr>
                <w:rFonts w:cs="Arial"/>
                <w:b/>
              </w:rPr>
              <w:t>8 hours per day, 4 days per week or 4 hours per day, 7 days per week</w:t>
            </w:r>
            <w:r w:rsidRPr="005830D1">
              <w:rPr>
                <w:rFonts w:cs="Arial"/>
                <w:bCs/>
              </w:rPr>
              <w:t>; and</w:t>
            </w:r>
          </w:p>
          <w:p w14:paraId="47D99F05" w14:textId="52F553B0" w:rsidR="00016179" w:rsidRPr="005830D1" w:rsidRDefault="00016179" w:rsidP="00016179">
            <w:pPr>
              <w:pStyle w:val="Header"/>
              <w:numPr>
                <w:ilvl w:val="0"/>
                <w:numId w:val="7"/>
              </w:numPr>
              <w:tabs>
                <w:tab w:val="clear" w:pos="4320"/>
                <w:tab w:val="clear" w:pos="8640"/>
              </w:tabs>
              <w:spacing w:after="120"/>
              <w:ind w:left="720"/>
              <w:rPr>
                <w:rFonts w:cs="Arial"/>
              </w:rPr>
            </w:pPr>
            <w:r w:rsidRPr="005830D1">
              <w:rPr>
                <w:rFonts w:cs="Arial"/>
              </w:rPr>
              <w:t xml:space="preserve">providing clinical care </w:t>
            </w:r>
            <w:hyperlink w:anchor="Endnote26_Present" w:history="1">
              <w:r w:rsidRPr="005830D1">
                <w:rPr>
                  <w:rStyle w:val="Hyperlink"/>
                  <w:rFonts w:cs="Arial"/>
                </w:rPr>
                <w:t>exclusively</w:t>
              </w:r>
            </w:hyperlink>
            <w:r w:rsidRPr="005830D1">
              <w:rPr>
                <w:vertAlign w:val="superscript"/>
              </w:rPr>
              <w:fldChar w:fldCharType="begin"/>
            </w:r>
            <w:r w:rsidRPr="005830D1">
              <w:rPr>
                <w:rStyle w:val="Hyperlink"/>
                <w:rFonts w:cs="Arial"/>
              </w:rPr>
              <w:instrText xml:space="preserve"> NOTEREF _Ref91166304 \f \h </w:instrText>
            </w:r>
            <w:r w:rsidRPr="005830D1">
              <w:rPr>
                <w:vertAlign w:val="superscript"/>
              </w:rPr>
              <w:instrText xml:space="preserve"> \* MERGEFORMAT </w:instrText>
            </w:r>
            <w:r w:rsidRPr="005830D1">
              <w:rPr>
                <w:vertAlign w:val="superscript"/>
              </w:rPr>
            </w:r>
            <w:r w:rsidRPr="005830D1">
              <w:rPr>
                <w:vertAlign w:val="superscript"/>
              </w:rPr>
              <w:fldChar w:fldCharType="separate"/>
            </w:r>
            <w:r w:rsidR="007D53A2" w:rsidRPr="00A012EC">
              <w:rPr>
                <w:rStyle w:val="EndnoteReference"/>
              </w:rPr>
              <w:t>37</w:t>
            </w:r>
            <w:r w:rsidRPr="005830D1">
              <w:rPr>
                <w:vertAlign w:val="superscript"/>
              </w:rPr>
              <w:fldChar w:fldCharType="end"/>
            </w:r>
            <w:r w:rsidRPr="005830D1">
              <w:rPr>
                <w:rFonts w:cs="Arial"/>
              </w:rPr>
              <w:t xml:space="preserve"> in the ICU during these hours?</w:t>
            </w:r>
          </w:p>
        </w:tc>
        <w:tc>
          <w:tcPr>
            <w:tcW w:w="2233" w:type="dxa"/>
            <w:vAlign w:val="center"/>
          </w:tcPr>
          <w:p w14:paraId="02B6631A" w14:textId="77777777" w:rsidR="00016179" w:rsidRPr="005830D1" w:rsidRDefault="00016179" w:rsidP="00AD309C">
            <w:pPr>
              <w:pStyle w:val="ListParagraph"/>
              <w:numPr>
                <w:ilvl w:val="0"/>
                <w:numId w:val="344"/>
              </w:numPr>
              <w:rPr>
                <w:rFonts w:cs="Arial"/>
                <w:iCs/>
              </w:rPr>
            </w:pPr>
            <w:r w:rsidRPr="005830D1">
              <w:rPr>
                <w:rFonts w:cs="Arial"/>
                <w:iCs/>
              </w:rPr>
              <w:t>Yes</w:t>
            </w:r>
          </w:p>
          <w:p w14:paraId="2A049F95" w14:textId="77777777" w:rsidR="00016179" w:rsidRPr="005830D1" w:rsidRDefault="00016179" w:rsidP="00AD309C">
            <w:pPr>
              <w:pStyle w:val="ListParagraph"/>
              <w:numPr>
                <w:ilvl w:val="0"/>
                <w:numId w:val="344"/>
              </w:numPr>
              <w:rPr>
                <w:rFonts w:cs="Arial"/>
                <w:iCs/>
              </w:rPr>
            </w:pPr>
            <w:r w:rsidRPr="005830D1">
              <w:rPr>
                <w:rFonts w:cs="Arial"/>
                <w:iCs/>
              </w:rPr>
              <w:t>No</w:t>
            </w:r>
          </w:p>
        </w:tc>
      </w:tr>
      <w:tr w:rsidR="00016179" w:rsidRPr="005830D1" w14:paraId="2BAE26AA" w14:textId="77777777" w:rsidTr="00D73F6A">
        <w:trPr>
          <w:trHeight w:val="2304"/>
          <w:jc w:val="center"/>
        </w:trPr>
        <w:tc>
          <w:tcPr>
            <w:tcW w:w="7334" w:type="dxa"/>
            <w:vAlign w:val="center"/>
          </w:tcPr>
          <w:p w14:paraId="363B5353" w14:textId="66B7E502" w:rsidR="00016179" w:rsidRPr="005830D1" w:rsidRDefault="00016179" w:rsidP="00AD309C">
            <w:pPr>
              <w:pStyle w:val="ListParagraph"/>
              <w:numPr>
                <w:ilvl w:val="0"/>
                <w:numId w:val="407"/>
              </w:numPr>
              <w:rPr>
                <w:rFonts w:cs="Arial"/>
              </w:rPr>
            </w:pPr>
            <w:r w:rsidRPr="005830D1">
              <w:rPr>
                <w:rFonts w:cs="Arial"/>
              </w:rPr>
              <w:t xml:space="preserve">Are </w:t>
            </w:r>
            <w:hyperlink w:anchor="Endnote22_CCPatients" w:history="1">
              <w:r w:rsidRPr="005830D1">
                <w:rPr>
                  <w:rStyle w:val="Hyperlink"/>
                  <w:rFonts w:cs="Arial"/>
                </w:rPr>
                <w:t>all critical care patients</w:t>
              </w:r>
            </w:hyperlink>
            <w:r w:rsidRPr="005830D1">
              <w:rPr>
                <w:rFonts w:cs="Arial"/>
                <w:vertAlign w:val="superscript"/>
              </w:rPr>
              <w:fldChar w:fldCharType="begin"/>
            </w:r>
            <w:r w:rsidRPr="005830D1">
              <w:rPr>
                <w:rStyle w:val="Hyperlink"/>
                <w:rFonts w:cs="Arial"/>
              </w:rPr>
              <w:instrText xml:space="preserve"> NOTEREF _Ref534212310 \f \h </w:instrText>
            </w:r>
            <w:r w:rsidRPr="005830D1">
              <w:rPr>
                <w:rFonts w:cs="Arial"/>
                <w:vertAlign w:val="superscript"/>
              </w:rPr>
              <w:instrText xml:space="preserve"> \* MERGEFORMAT </w:instrText>
            </w:r>
            <w:r w:rsidRPr="005830D1">
              <w:rPr>
                <w:rFonts w:cs="Arial"/>
                <w:vertAlign w:val="superscript"/>
              </w:rPr>
            </w:r>
            <w:r w:rsidRPr="005830D1">
              <w:rPr>
                <w:rFonts w:cs="Arial"/>
                <w:vertAlign w:val="superscript"/>
              </w:rPr>
              <w:fldChar w:fldCharType="separate"/>
            </w:r>
            <w:r w:rsidR="007D53A2" w:rsidRPr="00A012EC">
              <w:rPr>
                <w:rStyle w:val="EndnoteReference"/>
              </w:rPr>
              <w:t>34</w:t>
            </w:r>
            <w:r w:rsidRPr="005830D1">
              <w:rPr>
                <w:rFonts w:cs="Arial"/>
                <w:vertAlign w:val="superscript"/>
              </w:rPr>
              <w:fldChar w:fldCharType="end"/>
            </w:r>
            <w:r w:rsidRPr="005830D1">
              <w:rPr>
                <w:rFonts w:cs="Arial"/>
              </w:rPr>
              <w:t xml:space="preserve"> in the ICU </w:t>
            </w:r>
            <w:hyperlink w:anchor="Endnote24_Manage" w:history="1">
              <w:r w:rsidRPr="005830D1">
                <w:rPr>
                  <w:rStyle w:val="Hyperlink"/>
                  <w:rFonts w:cs="Arial"/>
                </w:rPr>
                <w:t>managed or co-managed</w:t>
              </w:r>
            </w:hyperlink>
            <w:r w:rsidRPr="005830D1">
              <w:rPr>
                <w:vertAlign w:val="superscript"/>
              </w:rPr>
              <w:fldChar w:fldCharType="begin"/>
            </w:r>
            <w:r w:rsidRPr="005830D1">
              <w:rPr>
                <w:rStyle w:val="Hyperlink"/>
                <w:rFonts w:cs="Arial"/>
              </w:rPr>
              <w:instrText xml:space="preserve"> NOTEREF _Ref91167015 \f \h </w:instrText>
            </w:r>
            <w:r w:rsidRPr="005830D1">
              <w:rPr>
                <w:vertAlign w:val="superscript"/>
              </w:rPr>
              <w:instrText xml:space="preserve"> \* MERGEFORMAT </w:instrText>
            </w:r>
            <w:r w:rsidRPr="005830D1">
              <w:rPr>
                <w:vertAlign w:val="superscript"/>
              </w:rPr>
            </w:r>
            <w:r w:rsidRPr="005830D1">
              <w:rPr>
                <w:vertAlign w:val="superscript"/>
              </w:rPr>
              <w:fldChar w:fldCharType="separate"/>
            </w:r>
            <w:r w:rsidR="007D53A2" w:rsidRPr="00A012EC">
              <w:rPr>
                <w:rStyle w:val="EndnoteReference"/>
              </w:rPr>
              <w:t>35</w:t>
            </w:r>
            <w:r w:rsidRPr="005830D1">
              <w:rPr>
                <w:vertAlign w:val="superscript"/>
              </w:rPr>
              <w:fldChar w:fldCharType="end"/>
            </w:r>
            <w:r w:rsidRPr="005830D1">
              <w:rPr>
                <w:rFonts w:cs="Arial"/>
              </w:rPr>
              <w:t xml:space="preserve"> by one or more physicians </w:t>
            </w:r>
            <w:hyperlink w:anchor="Endnote25_Certified" w:history="1">
              <w:r w:rsidRPr="005830D1">
                <w:rPr>
                  <w:rStyle w:val="Hyperlink"/>
                  <w:rFonts w:cs="Arial"/>
                </w:rPr>
                <w:t>certified in critical care medicine</w:t>
              </w:r>
            </w:hyperlink>
            <w:r w:rsidRPr="005830D1">
              <w:rPr>
                <w:rFonts w:cs="Arial"/>
                <w:vertAlign w:val="superscript"/>
              </w:rPr>
              <w:fldChar w:fldCharType="begin"/>
            </w:r>
            <w:r w:rsidRPr="005830D1">
              <w:rPr>
                <w:rStyle w:val="Hyperlink"/>
                <w:rFonts w:cs="Arial"/>
              </w:rPr>
              <w:instrText xml:space="preserve"> NOTEREF _Ref534212273 \f \h </w:instrText>
            </w:r>
            <w:r w:rsidRPr="005830D1">
              <w:rPr>
                <w:rFonts w:cs="Arial"/>
                <w:vertAlign w:val="superscript"/>
              </w:rPr>
              <w:instrText xml:space="preserve"> \* MERGEFORMAT </w:instrText>
            </w:r>
            <w:r w:rsidRPr="005830D1">
              <w:rPr>
                <w:rFonts w:cs="Arial"/>
                <w:vertAlign w:val="superscript"/>
              </w:rPr>
            </w:r>
            <w:r w:rsidRPr="005830D1">
              <w:rPr>
                <w:rFonts w:cs="Arial"/>
                <w:vertAlign w:val="superscript"/>
              </w:rPr>
              <w:fldChar w:fldCharType="separate"/>
            </w:r>
            <w:r w:rsidR="007D53A2" w:rsidRPr="00A012EC">
              <w:rPr>
                <w:rStyle w:val="EndnoteReference"/>
              </w:rPr>
              <w:t>36</w:t>
            </w:r>
            <w:r w:rsidRPr="005830D1">
              <w:rPr>
                <w:rFonts w:cs="Arial"/>
                <w:vertAlign w:val="superscript"/>
              </w:rPr>
              <w:fldChar w:fldCharType="end"/>
            </w:r>
            <w:r w:rsidRPr="005830D1">
              <w:rPr>
                <w:rFonts w:cs="Arial"/>
              </w:rPr>
              <w:t xml:space="preserve"> who meet </w:t>
            </w:r>
            <w:r w:rsidRPr="005830D1">
              <w:rPr>
                <w:rFonts w:cs="Arial"/>
                <w:b/>
              </w:rPr>
              <w:t>all</w:t>
            </w:r>
            <w:r w:rsidRPr="005830D1">
              <w:rPr>
                <w:rFonts w:cs="Arial"/>
              </w:rPr>
              <w:t xml:space="preserve"> the following criteria:</w:t>
            </w:r>
          </w:p>
          <w:p w14:paraId="1CF85DE3" w14:textId="77777777" w:rsidR="00016179" w:rsidRPr="005830D1" w:rsidRDefault="00016179" w:rsidP="00016179">
            <w:pPr>
              <w:pStyle w:val="Header"/>
              <w:numPr>
                <w:ilvl w:val="0"/>
                <w:numId w:val="8"/>
              </w:numPr>
              <w:tabs>
                <w:tab w:val="clear" w:pos="4320"/>
                <w:tab w:val="clear" w:pos="8640"/>
              </w:tabs>
              <w:rPr>
                <w:rFonts w:cs="Arial"/>
              </w:rPr>
            </w:pPr>
            <w:r w:rsidRPr="005830D1">
              <w:rPr>
                <w:rFonts w:cs="Arial"/>
              </w:rPr>
              <w:t xml:space="preserve">present via telemedicine for </w:t>
            </w:r>
            <w:r w:rsidRPr="005830D1">
              <w:rPr>
                <w:rFonts w:cs="Arial"/>
                <w:b/>
              </w:rPr>
              <w:t>24 hours per day, 7 days per week</w:t>
            </w:r>
            <w:r w:rsidRPr="005830D1">
              <w:rPr>
                <w:rFonts w:cs="Arial"/>
              </w:rPr>
              <w:t>;</w:t>
            </w:r>
          </w:p>
          <w:p w14:paraId="7F3692EB" w14:textId="5E9F6570" w:rsidR="00016179" w:rsidRPr="005830D1" w:rsidRDefault="00016179" w:rsidP="00016179">
            <w:pPr>
              <w:pStyle w:val="Header"/>
              <w:numPr>
                <w:ilvl w:val="0"/>
                <w:numId w:val="8"/>
              </w:numPr>
              <w:tabs>
                <w:tab w:val="clear" w:pos="4320"/>
                <w:tab w:val="clear" w:pos="8640"/>
              </w:tabs>
              <w:rPr>
                <w:rFonts w:cs="Arial"/>
              </w:rPr>
            </w:pPr>
            <w:r w:rsidRPr="005830D1">
              <w:rPr>
                <w:rFonts w:cs="Arial"/>
              </w:rPr>
              <w:t>meet all of Leapfrog’s modified ICU requirements for intensivist presence in the ICU via telemedicine (</w:t>
            </w:r>
            <w:hyperlink w:anchor="Endnote32_ModifiedTelemedicine" w:history="1">
              <w:r w:rsidRPr="005830D1">
                <w:rPr>
                  <w:rStyle w:val="Hyperlink"/>
                  <w:rFonts w:cs="Arial"/>
                  <w:snapToGrid w:val="0"/>
                </w:rPr>
                <w:t>More Information</w:t>
              </w:r>
            </w:hyperlink>
            <w:r w:rsidR="00C31E4A" w:rsidRPr="005830D1">
              <w:rPr>
                <w:rStyle w:val="Hyperlink"/>
                <w:rFonts w:cs="Arial"/>
                <w:snapToGrid w:val="0"/>
                <w:color w:val="auto"/>
                <w:u w:val="none"/>
                <w:vertAlign w:val="superscript"/>
              </w:rPr>
              <w:t>43</w:t>
            </w:r>
            <w:r w:rsidRPr="005830D1">
              <w:rPr>
                <w:rFonts w:cs="Arial"/>
              </w:rPr>
              <w:t>); and</w:t>
            </w:r>
          </w:p>
          <w:p w14:paraId="6BAF502F" w14:textId="77777777" w:rsidR="00016179" w:rsidRPr="005830D1" w:rsidRDefault="00016179" w:rsidP="00016179">
            <w:pPr>
              <w:pStyle w:val="Header"/>
              <w:numPr>
                <w:ilvl w:val="0"/>
                <w:numId w:val="8"/>
              </w:numPr>
              <w:tabs>
                <w:tab w:val="clear" w:pos="4320"/>
                <w:tab w:val="clear" w:pos="8640"/>
              </w:tabs>
              <w:rPr>
                <w:rFonts w:cs="Arial"/>
              </w:rPr>
            </w:pPr>
            <w:r w:rsidRPr="005830D1">
              <w:rPr>
                <w:rFonts w:cs="Arial"/>
              </w:rPr>
              <w:t>supported in the establishment and revision of daily care planning for each ICU patient by an on-site intensivist, hospitalist, anesthesiologist, or physician trained in emergency medicine?</w:t>
            </w:r>
          </w:p>
        </w:tc>
        <w:tc>
          <w:tcPr>
            <w:tcW w:w="2233" w:type="dxa"/>
            <w:vAlign w:val="center"/>
          </w:tcPr>
          <w:p w14:paraId="3FA3FD01" w14:textId="77777777" w:rsidR="00016179" w:rsidRPr="005830D1" w:rsidRDefault="00016179" w:rsidP="00AD309C">
            <w:pPr>
              <w:pStyle w:val="ListParagraph"/>
              <w:numPr>
                <w:ilvl w:val="0"/>
                <w:numId w:val="344"/>
              </w:numPr>
              <w:rPr>
                <w:rFonts w:cs="Arial"/>
                <w:iCs/>
              </w:rPr>
            </w:pPr>
            <w:r w:rsidRPr="005830D1">
              <w:rPr>
                <w:rFonts w:cs="Arial"/>
                <w:iCs/>
              </w:rPr>
              <w:t>Yes</w:t>
            </w:r>
          </w:p>
          <w:p w14:paraId="112DF8CA" w14:textId="77777777" w:rsidR="00016179" w:rsidRPr="005830D1" w:rsidRDefault="00016179" w:rsidP="00AD309C">
            <w:pPr>
              <w:pStyle w:val="ListParagraph"/>
              <w:numPr>
                <w:ilvl w:val="0"/>
                <w:numId w:val="344"/>
              </w:numPr>
              <w:rPr>
                <w:rFonts w:cs="Arial"/>
                <w:iCs/>
              </w:rPr>
            </w:pPr>
            <w:r w:rsidRPr="005830D1">
              <w:rPr>
                <w:rFonts w:cs="Arial"/>
                <w:iCs/>
              </w:rPr>
              <w:t>No</w:t>
            </w:r>
          </w:p>
        </w:tc>
      </w:tr>
      <w:tr w:rsidR="00016179" w:rsidRPr="005830D1" w14:paraId="3FA92E73" w14:textId="77777777" w:rsidTr="00D73F6A">
        <w:trPr>
          <w:trHeight w:val="1008"/>
          <w:jc w:val="center"/>
        </w:trPr>
        <w:tc>
          <w:tcPr>
            <w:tcW w:w="7334" w:type="dxa"/>
            <w:vAlign w:val="center"/>
          </w:tcPr>
          <w:p w14:paraId="530E13F6" w14:textId="01E935B3" w:rsidR="00016179" w:rsidRPr="005830D1" w:rsidRDefault="00016179" w:rsidP="00AD309C">
            <w:pPr>
              <w:numPr>
                <w:ilvl w:val="0"/>
                <w:numId w:val="407"/>
              </w:numPr>
              <w:rPr>
                <w:rFonts w:cs="Arial"/>
              </w:rPr>
            </w:pPr>
            <w:r w:rsidRPr="005830D1">
              <w:rPr>
                <w:rFonts w:cs="Arial"/>
              </w:rPr>
              <w:t xml:space="preserve">Are </w:t>
            </w:r>
            <w:hyperlink w:anchor="Endnote22_CCPatients" w:history="1">
              <w:r w:rsidRPr="005830D1">
                <w:rPr>
                  <w:rStyle w:val="Hyperlink"/>
                  <w:rFonts w:cs="Arial"/>
                </w:rPr>
                <w:t>all critical care patients</w:t>
              </w:r>
            </w:hyperlink>
            <w:r w:rsidRPr="005830D1">
              <w:rPr>
                <w:rStyle w:val="Hyperlink"/>
                <w:rFonts w:cs="Arial"/>
              </w:rPr>
              <w:fldChar w:fldCharType="begin"/>
            </w:r>
            <w:r w:rsidRPr="005830D1">
              <w:rPr>
                <w:rStyle w:val="Hyperlink"/>
                <w:rFonts w:cs="Arial"/>
              </w:rPr>
              <w:instrText xml:space="preserve"> NOTEREF _Ref534212310 \f \h  \* MERGEFORMAT </w:instrText>
            </w:r>
            <w:r w:rsidRPr="005830D1">
              <w:rPr>
                <w:rStyle w:val="Hyperlink"/>
                <w:rFonts w:cs="Arial"/>
              </w:rPr>
            </w:r>
            <w:r w:rsidRPr="005830D1">
              <w:rPr>
                <w:rStyle w:val="Hyperlink"/>
                <w:rFonts w:cs="Arial"/>
              </w:rPr>
              <w:fldChar w:fldCharType="separate"/>
            </w:r>
            <w:r w:rsidR="007D53A2" w:rsidRPr="00A012EC">
              <w:rPr>
                <w:rStyle w:val="EndnoteReference"/>
              </w:rPr>
              <w:t>34</w:t>
            </w:r>
            <w:r w:rsidRPr="005830D1">
              <w:rPr>
                <w:rStyle w:val="Hyperlink"/>
                <w:rFonts w:cs="Arial"/>
              </w:rPr>
              <w:fldChar w:fldCharType="end"/>
            </w:r>
            <w:r w:rsidRPr="005830D1">
              <w:rPr>
                <w:rFonts w:cs="Arial"/>
              </w:rPr>
              <w:t xml:space="preserve"> in the ICU </w:t>
            </w:r>
            <w:hyperlink w:anchor="Endnote24_Manage" w:history="1">
              <w:r w:rsidRPr="005830D1">
                <w:rPr>
                  <w:rStyle w:val="Hyperlink"/>
                  <w:rFonts w:cs="Arial"/>
                </w:rPr>
                <w:t>managed or co-managed</w:t>
              </w:r>
              <w:r w:rsidRPr="005830D1">
                <w:rPr>
                  <w:rStyle w:val="Hyperlink"/>
                  <w:vertAlign w:val="superscript"/>
                </w:rPr>
                <w:fldChar w:fldCharType="begin"/>
              </w:r>
              <w:r w:rsidRPr="005830D1">
                <w:rPr>
                  <w:rStyle w:val="Hyperlink"/>
                  <w:rFonts w:cs="Arial"/>
                </w:rPr>
                <w:instrText xml:space="preserve"> NOTEREF _Ref91167015 \f \h </w:instrText>
              </w:r>
              <w:r w:rsidRPr="005830D1">
                <w:rPr>
                  <w:rStyle w:val="Hyperlink"/>
                  <w:vertAlign w:val="superscript"/>
                </w:rPr>
                <w:instrText xml:space="preserve"> \* MERGEFORMAT </w:instrText>
              </w:r>
              <w:r w:rsidRPr="005830D1">
                <w:rPr>
                  <w:rStyle w:val="Hyperlink"/>
                  <w:vertAlign w:val="superscript"/>
                </w:rPr>
              </w:r>
              <w:r w:rsidRPr="005830D1">
                <w:rPr>
                  <w:rStyle w:val="Hyperlink"/>
                  <w:vertAlign w:val="superscript"/>
                </w:rPr>
                <w:fldChar w:fldCharType="separate"/>
              </w:r>
              <w:r w:rsidR="007D53A2" w:rsidRPr="00A012EC">
                <w:rPr>
                  <w:rStyle w:val="EndnoteReference"/>
                </w:rPr>
                <w:t>35</w:t>
              </w:r>
              <w:r w:rsidRPr="005830D1">
                <w:rPr>
                  <w:rStyle w:val="Hyperlink"/>
                  <w:vertAlign w:val="superscript"/>
                </w:rPr>
                <w:fldChar w:fldCharType="end"/>
              </w:r>
            </w:hyperlink>
            <w:r w:rsidRPr="005830D1">
              <w:rPr>
                <w:rFonts w:cs="Arial"/>
              </w:rPr>
              <w:t xml:space="preserve"> by one or more physicians </w:t>
            </w:r>
            <w:hyperlink w:anchor="Endnote25_Certified" w:history="1">
              <w:r w:rsidRPr="005830D1">
                <w:rPr>
                  <w:rStyle w:val="Hyperlink"/>
                  <w:rFonts w:cs="Arial"/>
                </w:rPr>
                <w:t>certified in critical care medicine</w:t>
              </w:r>
            </w:hyperlink>
            <w:r w:rsidRPr="005830D1">
              <w:rPr>
                <w:vertAlign w:val="superscript"/>
              </w:rPr>
              <w:fldChar w:fldCharType="begin"/>
            </w:r>
            <w:r w:rsidRPr="005830D1">
              <w:rPr>
                <w:rStyle w:val="Hyperlink"/>
                <w:rFonts w:cs="Arial"/>
              </w:rPr>
              <w:instrText xml:space="preserve"> NOTEREF _Ref534212273 \f \h </w:instrText>
            </w:r>
            <w:r w:rsidRPr="005830D1">
              <w:rPr>
                <w:vertAlign w:val="superscript"/>
              </w:rPr>
              <w:instrText xml:space="preserve"> \* MERGEFORMAT </w:instrText>
            </w:r>
            <w:r w:rsidRPr="005830D1">
              <w:rPr>
                <w:vertAlign w:val="superscript"/>
              </w:rPr>
            </w:r>
            <w:r w:rsidRPr="005830D1">
              <w:rPr>
                <w:vertAlign w:val="superscript"/>
              </w:rPr>
              <w:fldChar w:fldCharType="separate"/>
            </w:r>
            <w:r w:rsidR="007D53A2" w:rsidRPr="00A012EC">
              <w:rPr>
                <w:rStyle w:val="EndnoteReference"/>
              </w:rPr>
              <w:t>36</w:t>
            </w:r>
            <w:r w:rsidRPr="005830D1">
              <w:rPr>
                <w:vertAlign w:val="superscript"/>
              </w:rPr>
              <w:fldChar w:fldCharType="end"/>
            </w:r>
            <w:r w:rsidRPr="005830D1">
              <w:rPr>
                <w:rFonts w:cs="Arial"/>
              </w:rPr>
              <w:t xml:space="preserve"> who are:</w:t>
            </w:r>
          </w:p>
          <w:p w14:paraId="5E2093CA" w14:textId="77777777" w:rsidR="00016179" w:rsidRPr="005830D1" w:rsidRDefault="00016179" w:rsidP="00016179">
            <w:pPr>
              <w:pStyle w:val="Header"/>
              <w:numPr>
                <w:ilvl w:val="0"/>
                <w:numId w:val="7"/>
              </w:numPr>
              <w:tabs>
                <w:tab w:val="clear" w:pos="4320"/>
                <w:tab w:val="clear" w:pos="8640"/>
              </w:tabs>
              <w:ind w:left="720"/>
              <w:rPr>
                <w:rFonts w:cs="Arial"/>
              </w:rPr>
            </w:pPr>
            <w:r w:rsidRPr="005830D1">
              <w:rPr>
                <w:rFonts w:cs="Arial"/>
              </w:rPr>
              <w:t xml:space="preserve">on-site at least </w:t>
            </w:r>
            <w:r w:rsidRPr="005830D1">
              <w:rPr>
                <w:rFonts w:cs="Arial"/>
                <w:b/>
              </w:rPr>
              <w:t>4 days per week</w:t>
            </w:r>
            <w:r w:rsidRPr="005830D1">
              <w:rPr>
                <w:rFonts w:cs="Arial"/>
              </w:rPr>
              <w:t xml:space="preserve"> to establish or revise daily care plans for each critical care patient in the ICU?</w:t>
            </w:r>
          </w:p>
        </w:tc>
        <w:tc>
          <w:tcPr>
            <w:tcW w:w="2233" w:type="dxa"/>
            <w:vAlign w:val="center"/>
          </w:tcPr>
          <w:p w14:paraId="22D29AE7" w14:textId="77777777" w:rsidR="00016179" w:rsidRPr="005830D1" w:rsidRDefault="00016179" w:rsidP="00AD309C">
            <w:pPr>
              <w:pStyle w:val="ListParagraph"/>
              <w:numPr>
                <w:ilvl w:val="0"/>
                <w:numId w:val="344"/>
              </w:numPr>
              <w:rPr>
                <w:rFonts w:cs="Arial"/>
                <w:iCs/>
              </w:rPr>
            </w:pPr>
            <w:r w:rsidRPr="005830D1">
              <w:rPr>
                <w:rFonts w:cs="Arial"/>
                <w:iCs/>
              </w:rPr>
              <w:t>Yes</w:t>
            </w:r>
          </w:p>
          <w:p w14:paraId="048D66B0" w14:textId="77777777" w:rsidR="00016179" w:rsidRPr="005830D1" w:rsidRDefault="00016179" w:rsidP="00AD309C">
            <w:pPr>
              <w:pStyle w:val="ListParagraph"/>
              <w:numPr>
                <w:ilvl w:val="0"/>
                <w:numId w:val="344"/>
              </w:numPr>
              <w:rPr>
                <w:rFonts w:cs="Arial"/>
                <w:iCs/>
              </w:rPr>
            </w:pPr>
            <w:r w:rsidRPr="005830D1">
              <w:rPr>
                <w:rFonts w:cs="Arial"/>
                <w:iCs/>
              </w:rPr>
              <w:t>No</w:t>
            </w:r>
          </w:p>
        </w:tc>
      </w:tr>
    </w:tbl>
    <w:p w14:paraId="5867DAAD" w14:textId="77777777" w:rsidR="00016179" w:rsidRPr="005830D1" w:rsidRDefault="00016179" w:rsidP="00016179">
      <w:pPr>
        <w:rPr>
          <w:rFonts w:cs="Arial"/>
          <w:i/>
        </w:rPr>
      </w:pPr>
    </w:p>
    <w:p w14:paraId="233D0414" w14:textId="77777777" w:rsidR="00016179" w:rsidRPr="005830D1" w:rsidRDefault="00016179" w:rsidP="00016179">
      <w:pPr>
        <w:rPr>
          <w:rFonts w:cs="Arial"/>
          <w:i/>
        </w:rPr>
      </w:pPr>
      <w:r w:rsidRPr="005830D1">
        <w:rPr>
          <w:rFonts w:cs="Arial"/>
          <w:i/>
        </w:rPr>
        <w:t>If “yes” to question #9, #10, or #11, skip question #12 and continue to question #13.</w:t>
      </w:r>
    </w:p>
    <w:p w14:paraId="76D235F3" w14:textId="77777777" w:rsidR="00016179" w:rsidRPr="005830D1" w:rsidRDefault="00016179" w:rsidP="00016179">
      <w:pPr>
        <w:rPr>
          <w:rFonts w:cs="Arial"/>
        </w:rPr>
      </w:pPr>
    </w:p>
    <w:tbl>
      <w:tblPr>
        <w:tblW w:w="95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34"/>
        <w:gridCol w:w="2233"/>
      </w:tblGrid>
      <w:tr w:rsidR="00016179" w:rsidRPr="005830D1" w14:paraId="149736A9" w14:textId="77777777" w:rsidTr="00D73F6A">
        <w:trPr>
          <w:trHeight w:val="2016"/>
          <w:jc w:val="center"/>
        </w:trPr>
        <w:tc>
          <w:tcPr>
            <w:tcW w:w="7334" w:type="dxa"/>
            <w:vAlign w:val="center"/>
          </w:tcPr>
          <w:p w14:paraId="796C9E70" w14:textId="7C96AF21" w:rsidR="00016179" w:rsidRPr="005830D1" w:rsidRDefault="00016179" w:rsidP="00AD309C">
            <w:pPr>
              <w:numPr>
                <w:ilvl w:val="0"/>
                <w:numId w:val="407"/>
              </w:numPr>
              <w:rPr>
                <w:rFonts w:cs="Arial"/>
              </w:rPr>
            </w:pPr>
            <w:r w:rsidRPr="005830D1">
              <w:rPr>
                <w:rFonts w:cs="Arial"/>
              </w:rPr>
              <w:t xml:space="preserve">If not </w:t>
            </w:r>
            <w:hyperlink w:anchor="Endnote22_CCPatients" w:history="1">
              <w:r w:rsidRPr="005830D1">
                <w:rPr>
                  <w:rStyle w:val="Hyperlink"/>
                  <w:rFonts w:cs="Arial"/>
                </w:rPr>
                <w:t>all critical care patients</w:t>
              </w:r>
            </w:hyperlink>
            <w:r w:rsidRPr="005830D1">
              <w:rPr>
                <w:vertAlign w:val="superscript"/>
              </w:rPr>
              <w:fldChar w:fldCharType="begin"/>
            </w:r>
            <w:r w:rsidRPr="005830D1">
              <w:rPr>
                <w:rStyle w:val="Hyperlink"/>
                <w:rFonts w:cs="Arial"/>
              </w:rPr>
              <w:instrText xml:space="preserve"> NOTEREF _Ref534212310 \f \h </w:instrText>
            </w:r>
            <w:r w:rsidRPr="005830D1">
              <w:rPr>
                <w:vertAlign w:val="superscript"/>
              </w:rPr>
              <w:instrText xml:space="preserve"> \* MERGEFORMAT </w:instrText>
            </w:r>
            <w:r w:rsidRPr="005830D1">
              <w:rPr>
                <w:vertAlign w:val="superscript"/>
              </w:rPr>
            </w:r>
            <w:r w:rsidRPr="005830D1">
              <w:rPr>
                <w:vertAlign w:val="superscript"/>
              </w:rPr>
              <w:fldChar w:fldCharType="separate"/>
            </w:r>
            <w:r w:rsidR="007D53A2" w:rsidRPr="00A012EC">
              <w:rPr>
                <w:rStyle w:val="EndnoteReference"/>
              </w:rPr>
              <w:t>34</w:t>
            </w:r>
            <w:r w:rsidRPr="005830D1">
              <w:rPr>
                <w:vertAlign w:val="superscript"/>
              </w:rPr>
              <w:fldChar w:fldCharType="end"/>
            </w:r>
            <w:r w:rsidRPr="005830D1">
              <w:rPr>
                <w:rFonts w:cs="Arial"/>
              </w:rPr>
              <w:t xml:space="preserve"> are </w:t>
            </w:r>
            <w:hyperlink w:anchor="Endnote24_Manage" w:history="1">
              <w:r w:rsidRPr="005830D1">
                <w:rPr>
                  <w:rStyle w:val="Hyperlink"/>
                  <w:rFonts w:cs="Arial"/>
                </w:rPr>
                <w:t>managed or co-managed</w:t>
              </w:r>
            </w:hyperlink>
            <w:r w:rsidRPr="005830D1">
              <w:rPr>
                <w:vertAlign w:val="superscript"/>
              </w:rPr>
              <w:fldChar w:fldCharType="begin"/>
            </w:r>
            <w:r w:rsidRPr="005830D1">
              <w:rPr>
                <w:rStyle w:val="Hyperlink"/>
                <w:rFonts w:cs="Arial"/>
              </w:rPr>
              <w:instrText xml:space="preserve"> NOTEREF _Ref91167015 \f \h </w:instrText>
            </w:r>
            <w:r w:rsidRPr="005830D1">
              <w:rPr>
                <w:vertAlign w:val="superscript"/>
              </w:rPr>
              <w:instrText xml:space="preserve"> \* MERGEFORMAT </w:instrText>
            </w:r>
            <w:r w:rsidRPr="005830D1">
              <w:rPr>
                <w:vertAlign w:val="superscript"/>
              </w:rPr>
            </w:r>
            <w:r w:rsidRPr="005830D1">
              <w:rPr>
                <w:vertAlign w:val="superscript"/>
              </w:rPr>
              <w:fldChar w:fldCharType="separate"/>
            </w:r>
            <w:r w:rsidR="007D53A2" w:rsidRPr="00A012EC">
              <w:rPr>
                <w:rStyle w:val="EndnoteReference"/>
              </w:rPr>
              <w:t>35</w:t>
            </w:r>
            <w:r w:rsidRPr="005830D1">
              <w:rPr>
                <w:vertAlign w:val="superscript"/>
              </w:rPr>
              <w:fldChar w:fldCharType="end"/>
            </w:r>
            <w:r w:rsidRPr="005830D1">
              <w:rPr>
                <w:rFonts w:cs="Arial"/>
              </w:rPr>
              <w:t xml:space="preserve"> by physicians </w:t>
            </w:r>
            <w:hyperlink w:anchor="Endnote25_Certified" w:history="1">
              <w:r w:rsidRPr="005830D1">
                <w:rPr>
                  <w:rStyle w:val="Hyperlink"/>
                  <w:rFonts w:cs="Arial"/>
                </w:rPr>
                <w:t>certified in critical care medicine</w:t>
              </w:r>
            </w:hyperlink>
            <w:r w:rsidRPr="005830D1">
              <w:rPr>
                <w:vertAlign w:val="superscript"/>
              </w:rPr>
              <w:fldChar w:fldCharType="begin"/>
            </w:r>
            <w:r w:rsidRPr="005830D1">
              <w:rPr>
                <w:rStyle w:val="Hyperlink"/>
                <w:rFonts w:cs="Arial"/>
              </w:rPr>
              <w:instrText xml:space="preserve"> NOTEREF _Ref534212273 \f \h </w:instrText>
            </w:r>
            <w:r w:rsidRPr="005830D1">
              <w:rPr>
                <w:vertAlign w:val="superscript"/>
              </w:rPr>
              <w:instrText xml:space="preserve"> \* MERGEFORMAT </w:instrText>
            </w:r>
            <w:r w:rsidRPr="005830D1">
              <w:rPr>
                <w:vertAlign w:val="superscript"/>
              </w:rPr>
            </w:r>
            <w:r w:rsidRPr="005830D1">
              <w:rPr>
                <w:vertAlign w:val="superscript"/>
              </w:rPr>
              <w:fldChar w:fldCharType="separate"/>
            </w:r>
            <w:r w:rsidR="007D53A2" w:rsidRPr="00A012EC">
              <w:rPr>
                <w:rStyle w:val="EndnoteReference"/>
              </w:rPr>
              <w:t>36</w:t>
            </w:r>
            <w:r w:rsidRPr="005830D1">
              <w:rPr>
                <w:vertAlign w:val="superscript"/>
              </w:rPr>
              <w:fldChar w:fldCharType="end"/>
            </w:r>
            <w:r w:rsidRPr="005830D1">
              <w:rPr>
                <w:rFonts w:cs="Arial"/>
              </w:rPr>
              <w:t xml:space="preserve">, either on-site or via </w:t>
            </w:r>
            <w:hyperlink w:anchor="Endnote27_Telemedicine" w:history="1">
              <w:r w:rsidRPr="005830D1">
                <w:rPr>
                  <w:rStyle w:val="Hyperlink"/>
                  <w:rFonts w:cs="Arial"/>
                </w:rPr>
                <w:t>telemedicine</w:t>
              </w:r>
            </w:hyperlink>
            <w:r w:rsidRPr="005830D1">
              <w:rPr>
                <w:vertAlign w:val="superscript"/>
              </w:rPr>
              <w:fldChar w:fldCharType="begin"/>
            </w:r>
            <w:r w:rsidRPr="005830D1">
              <w:rPr>
                <w:rStyle w:val="Hyperlink"/>
                <w:rFonts w:cs="Arial"/>
              </w:rPr>
              <w:instrText xml:space="preserve"> NOTEREF _Ref534212061 \f \h </w:instrText>
            </w:r>
            <w:r w:rsidRPr="005830D1">
              <w:rPr>
                <w:vertAlign w:val="superscript"/>
              </w:rPr>
              <w:instrText xml:space="preserve"> \* MERGEFORMAT </w:instrText>
            </w:r>
            <w:r w:rsidRPr="005830D1">
              <w:rPr>
                <w:vertAlign w:val="superscript"/>
              </w:rPr>
            </w:r>
            <w:r w:rsidRPr="005830D1">
              <w:rPr>
                <w:vertAlign w:val="superscript"/>
              </w:rPr>
              <w:fldChar w:fldCharType="separate"/>
            </w:r>
            <w:r w:rsidR="007D53A2" w:rsidRPr="00A012EC">
              <w:rPr>
                <w:rStyle w:val="EndnoteReference"/>
              </w:rPr>
              <w:t>38</w:t>
            </w:r>
            <w:r w:rsidRPr="005830D1">
              <w:rPr>
                <w:vertAlign w:val="superscript"/>
              </w:rPr>
              <w:fldChar w:fldCharType="end"/>
            </w:r>
            <w:r w:rsidRPr="005830D1">
              <w:rPr>
                <w:rFonts w:cs="Arial"/>
              </w:rPr>
              <w:t xml:space="preserve">, are </w:t>
            </w:r>
            <w:r w:rsidRPr="005830D1">
              <w:rPr>
                <w:rFonts w:cs="Arial"/>
                <w:b/>
              </w:rPr>
              <w:t>some critical care patients</w:t>
            </w:r>
            <w:r w:rsidRPr="005830D1">
              <w:rPr>
                <w:rFonts w:cs="Arial"/>
              </w:rPr>
              <w:t xml:space="preserve"> managed or co-managed by these physicians who are:</w:t>
            </w:r>
          </w:p>
          <w:p w14:paraId="570735EF" w14:textId="2B8208A7" w:rsidR="00016179" w:rsidRPr="005830D1" w:rsidRDefault="00016179" w:rsidP="00AD309C">
            <w:pPr>
              <w:pStyle w:val="Header"/>
              <w:numPr>
                <w:ilvl w:val="0"/>
                <w:numId w:val="182"/>
              </w:numPr>
              <w:tabs>
                <w:tab w:val="clear" w:pos="4320"/>
                <w:tab w:val="clear" w:pos="8640"/>
              </w:tabs>
              <w:rPr>
                <w:rFonts w:cs="Arial"/>
              </w:rPr>
            </w:pPr>
            <w:hyperlink w:anchor="Endnote26_Present" w:history="1">
              <w:r w:rsidRPr="005830D1">
                <w:rPr>
                  <w:rStyle w:val="Hyperlink"/>
                  <w:rFonts w:cs="Arial"/>
                </w:rPr>
                <w:t>ordinarily present</w:t>
              </w:r>
            </w:hyperlink>
            <w:r w:rsidRPr="005830D1">
              <w:rPr>
                <w:vertAlign w:val="superscript"/>
              </w:rPr>
              <w:fldChar w:fldCharType="begin"/>
            </w:r>
            <w:r w:rsidRPr="005830D1">
              <w:rPr>
                <w:rStyle w:val="Hyperlink"/>
                <w:rFonts w:cs="Arial"/>
              </w:rPr>
              <w:instrText xml:space="preserve"> NOTEREF _Ref91166304 \f \h </w:instrText>
            </w:r>
            <w:r w:rsidRPr="005830D1">
              <w:rPr>
                <w:vertAlign w:val="superscript"/>
              </w:rPr>
              <w:instrText xml:space="preserve"> \* MERGEFORMAT </w:instrText>
            </w:r>
            <w:r w:rsidRPr="005830D1">
              <w:rPr>
                <w:vertAlign w:val="superscript"/>
              </w:rPr>
            </w:r>
            <w:r w:rsidRPr="005830D1">
              <w:rPr>
                <w:vertAlign w:val="superscript"/>
              </w:rPr>
              <w:fldChar w:fldCharType="separate"/>
            </w:r>
            <w:r w:rsidR="007D53A2" w:rsidRPr="00A012EC">
              <w:rPr>
                <w:rStyle w:val="EndnoteReference"/>
              </w:rPr>
              <w:t>37</w:t>
            </w:r>
            <w:r w:rsidRPr="005830D1">
              <w:rPr>
                <w:vertAlign w:val="superscript"/>
              </w:rPr>
              <w:fldChar w:fldCharType="end"/>
            </w:r>
            <w:r w:rsidRPr="005830D1">
              <w:rPr>
                <w:rFonts w:cs="Arial"/>
              </w:rPr>
              <w:t xml:space="preserve"> on-site in the ICU during daytime hours;</w:t>
            </w:r>
          </w:p>
          <w:p w14:paraId="4AACE66B" w14:textId="77777777" w:rsidR="00016179" w:rsidRPr="005830D1" w:rsidRDefault="00016179" w:rsidP="00AD309C">
            <w:pPr>
              <w:pStyle w:val="Header"/>
              <w:numPr>
                <w:ilvl w:val="0"/>
                <w:numId w:val="182"/>
              </w:numPr>
              <w:tabs>
                <w:tab w:val="clear" w:pos="4320"/>
                <w:tab w:val="clear" w:pos="8640"/>
              </w:tabs>
              <w:rPr>
                <w:rFonts w:cs="Arial"/>
                <w:b/>
                <w:u w:val="single"/>
              </w:rPr>
            </w:pPr>
            <w:r w:rsidRPr="005830D1">
              <w:rPr>
                <w:rFonts w:cs="Arial"/>
              </w:rPr>
              <w:t xml:space="preserve">for at least </w:t>
            </w:r>
            <w:r w:rsidRPr="005830D1">
              <w:rPr>
                <w:rFonts w:cs="Arial"/>
                <w:b/>
              </w:rPr>
              <w:t>8 hours per day, 4 days per week or 4 hours per day, 7 days per week</w:t>
            </w:r>
            <w:r w:rsidRPr="005830D1">
              <w:rPr>
                <w:rFonts w:cs="Arial"/>
                <w:bCs/>
              </w:rPr>
              <w:t>; and</w:t>
            </w:r>
          </w:p>
          <w:p w14:paraId="6610737B" w14:textId="3FCCFB49" w:rsidR="00016179" w:rsidRPr="005830D1" w:rsidRDefault="00016179" w:rsidP="00AD309C">
            <w:pPr>
              <w:pStyle w:val="ListParagraph"/>
              <w:numPr>
                <w:ilvl w:val="0"/>
                <w:numId w:val="182"/>
              </w:numPr>
              <w:rPr>
                <w:rFonts w:cs="Arial"/>
              </w:rPr>
            </w:pPr>
            <w:r w:rsidRPr="005830D1">
              <w:rPr>
                <w:rFonts w:cs="Arial"/>
              </w:rPr>
              <w:t xml:space="preserve">providing clinical care </w:t>
            </w:r>
            <w:hyperlink w:anchor="Endnote26_Present" w:history="1">
              <w:r w:rsidRPr="005830D1">
                <w:rPr>
                  <w:rStyle w:val="Hyperlink"/>
                  <w:rFonts w:cs="Arial"/>
                </w:rPr>
                <w:t>exclusively</w:t>
              </w:r>
            </w:hyperlink>
            <w:r w:rsidRPr="005830D1">
              <w:rPr>
                <w:vertAlign w:val="superscript"/>
              </w:rPr>
              <w:fldChar w:fldCharType="begin"/>
            </w:r>
            <w:r w:rsidRPr="005830D1">
              <w:rPr>
                <w:rStyle w:val="Hyperlink"/>
                <w:rFonts w:cs="Arial"/>
              </w:rPr>
              <w:instrText xml:space="preserve"> NOTEREF _Ref91166304 \f \h </w:instrText>
            </w:r>
            <w:r w:rsidRPr="005830D1">
              <w:rPr>
                <w:vertAlign w:val="superscript"/>
              </w:rPr>
              <w:instrText xml:space="preserve"> \* MERGEFORMAT </w:instrText>
            </w:r>
            <w:r w:rsidRPr="005830D1">
              <w:rPr>
                <w:vertAlign w:val="superscript"/>
              </w:rPr>
            </w:r>
            <w:r w:rsidRPr="005830D1">
              <w:rPr>
                <w:vertAlign w:val="superscript"/>
              </w:rPr>
              <w:fldChar w:fldCharType="separate"/>
            </w:r>
            <w:r w:rsidR="007D53A2" w:rsidRPr="00A012EC">
              <w:rPr>
                <w:rStyle w:val="EndnoteReference"/>
              </w:rPr>
              <w:t>37</w:t>
            </w:r>
            <w:r w:rsidRPr="005830D1">
              <w:rPr>
                <w:vertAlign w:val="superscript"/>
              </w:rPr>
              <w:fldChar w:fldCharType="end"/>
            </w:r>
            <w:r w:rsidRPr="005830D1">
              <w:rPr>
                <w:rFonts w:cs="Arial"/>
              </w:rPr>
              <w:t xml:space="preserve"> in the ICU during these hours?</w:t>
            </w:r>
          </w:p>
        </w:tc>
        <w:tc>
          <w:tcPr>
            <w:tcW w:w="2233" w:type="dxa"/>
            <w:vAlign w:val="center"/>
          </w:tcPr>
          <w:p w14:paraId="202B2302" w14:textId="77777777" w:rsidR="00016179" w:rsidRPr="005830D1" w:rsidRDefault="00016179" w:rsidP="00AD309C">
            <w:pPr>
              <w:pStyle w:val="ListParagraph"/>
              <w:numPr>
                <w:ilvl w:val="0"/>
                <w:numId w:val="345"/>
              </w:numPr>
              <w:rPr>
                <w:rFonts w:cs="Arial"/>
                <w:iCs/>
              </w:rPr>
            </w:pPr>
            <w:r w:rsidRPr="005830D1">
              <w:rPr>
                <w:rFonts w:cs="Arial"/>
                <w:iCs/>
              </w:rPr>
              <w:t>Yes</w:t>
            </w:r>
          </w:p>
          <w:p w14:paraId="31EAB7BA" w14:textId="77777777" w:rsidR="00016179" w:rsidRPr="005830D1" w:rsidRDefault="00016179" w:rsidP="00AD309C">
            <w:pPr>
              <w:pStyle w:val="ListParagraph"/>
              <w:numPr>
                <w:ilvl w:val="0"/>
                <w:numId w:val="345"/>
              </w:numPr>
              <w:rPr>
                <w:rFonts w:cs="Arial"/>
                <w:iCs/>
              </w:rPr>
            </w:pPr>
            <w:r w:rsidRPr="005830D1">
              <w:rPr>
                <w:rFonts w:cs="Arial"/>
                <w:iCs/>
              </w:rPr>
              <w:t>No</w:t>
            </w:r>
          </w:p>
        </w:tc>
      </w:tr>
      <w:tr w:rsidR="00016179" w:rsidRPr="005830D1" w14:paraId="27163A36" w14:textId="77777777" w:rsidTr="00D73F6A">
        <w:trPr>
          <w:trHeight w:val="2160"/>
          <w:jc w:val="center"/>
        </w:trPr>
        <w:tc>
          <w:tcPr>
            <w:tcW w:w="7334" w:type="dxa"/>
            <w:vAlign w:val="center"/>
          </w:tcPr>
          <w:p w14:paraId="0818ADF1" w14:textId="77777777" w:rsidR="00016179" w:rsidRPr="005830D1" w:rsidRDefault="00016179" w:rsidP="00AD309C">
            <w:pPr>
              <w:pStyle w:val="ListParagraph"/>
              <w:numPr>
                <w:ilvl w:val="0"/>
                <w:numId w:val="407"/>
              </w:numPr>
              <w:rPr>
                <w:rFonts w:cs="Arial"/>
              </w:rPr>
            </w:pPr>
            <w:r w:rsidRPr="005830D1">
              <w:rPr>
                <w:rFonts w:cs="Arial"/>
              </w:rPr>
              <w:t xml:space="preserve">Does an on-site clinical pharmacist do </w:t>
            </w:r>
            <w:r w:rsidRPr="005830D1">
              <w:rPr>
                <w:rFonts w:cs="Arial"/>
                <w:b/>
              </w:rPr>
              <w:t>all</w:t>
            </w:r>
            <w:r w:rsidRPr="005830D1">
              <w:rPr>
                <w:rFonts w:cs="Arial"/>
              </w:rPr>
              <w:t xml:space="preserve"> the following:</w:t>
            </w:r>
          </w:p>
          <w:p w14:paraId="35D5A109" w14:textId="541DB7A9" w:rsidR="00016179" w:rsidRPr="005830D1" w:rsidRDefault="00016179" w:rsidP="00AD309C">
            <w:pPr>
              <w:pStyle w:val="ListParagraph"/>
              <w:numPr>
                <w:ilvl w:val="0"/>
                <w:numId w:val="97"/>
              </w:numPr>
              <w:rPr>
                <w:rFonts w:cs="Arial"/>
              </w:rPr>
            </w:pPr>
            <w:r w:rsidRPr="005830D1">
              <w:rPr>
                <w:rFonts w:cs="Arial"/>
              </w:rPr>
              <w:t xml:space="preserve">at least 5 days per week, makes daily on-site rounds on </w:t>
            </w:r>
            <w:hyperlink w:anchor="Endnote22_CCPatients" w:history="1">
              <w:r w:rsidRPr="005830D1">
                <w:rPr>
                  <w:rStyle w:val="Hyperlink"/>
                  <w:rFonts w:cs="Arial"/>
                </w:rPr>
                <w:t>all critical care patients</w:t>
              </w:r>
            </w:hyperlink>
            <w:r w:rsidRPr="005830D1">
              <w:rPr>
                <w:rFonts w:cs="Arial"/>
              </w:rPr>
              <w:fldChar w:fldCharType="begin"/>
            </w:r>
            <w:r w:rsidRPr="005830D1">
              <w:rPr>
                <w:rFonts w:cs="Arial"/>
              </w:rPr>
              <w:instrText xml:space="preserve"> NOTEREF _Ref534212310 \f \h  \* MERGEFORMAT </w:instrText>
            </w:r>
            <w:r w:rsidRPr="005830D1">
              <w:rPr>
                <w:rFonts w:cs="Arial"/>
              </w:rPr>
            </w:r>
            <w:r w:rsidRPr="005830D1">
              <w:rPr>
                <w:rFonts w:cs="Arial"/>
              </w:rPr>
              <w:fldChar w:fldCharType="separate"/>
            </w:r>
            <w:r w:rsidR="007D53A2" w:rsidRPr="00A012EC">
              <w:rPr>
                <w:rStyle w:val="EndnoteReference"/>
              </w:rPr>
              <w:t>34</w:t>
            </w:r>
            <w:r w:rsidRPr="005830D1">
              <w:rPr>
                <w:rFonts w:cs="Arial"/>
              </w:rPr>
              <w:fldChar w:fldCharType="end"/>
            </w:r>
            <w:r w:rsidRPr="005830D1">
              <w:rPr>
                <w:rFonts w:cs="Arial"/>
              </w:rPr>
              <w:t xml:space="preserve"> in the </w:t>
            </w:r>
            <w:r w:rsidRPr="005830D1">
              <w:rPr>
                <w:rStyle w:val="Hyperlink"/>
                <w:rFonts w:cs="Arial"/>
                <w:color w:val="auto"/>
                <w:u w:val="none"/>
              </w:rPr>
              <w:t>ICU; and</w:t>
            </w:r>
          </w:p>
          <w:p w14:paraId="5F8FAFBB" w14:textId="131BA7F0" w:rsidR="00016179" w:rsidRPr="005830D1" w:rsidRDefault="00016179" w:rsidP="00AD309C">
            <w:pPr>
              <w:pStyle w:val="ListParagraph"/>
              <w:numPr>
                <w:ilvl w:val="0"/>
                <w:numId w:val="97"/>
              </w:numPr>
              <w:rPr>
                <w:rFonts w:cs="Arial"/>
              </w:rPr>
            </w:pPr>
            <w:r w:rsidRPr="005830D1">
              <w:rPr>
                <w:rFonts w:cs="Arial"/>
              </w:rPr>
              <w:t xml:space="preserve">on the other 2 days per week, returns more than 95% of calls/pages/texts from the unit within 5 minutes, based on a </w:t>
            </w:r>
            <w:hyperlink w:anchor="Endnote28_ResponseAnalysis" w:history="1">
              <w:r w:rsidRPr="005830D1">
                <w:rPr>
                  <w:rStyle w:val="Hyperlink"/>
                  <w:rFonts w:cs="Arial"/>
                </w:rPr>
                <w:t>quantified analysis</w:t>
              </w:r>
            </w:hyperlink>
            <w:r w:rsidRPr="005830D1">
              <w:rPr>
                <w:rFonts w:cs="Arial"/>
              </w:rPr>
              <w:fldChar w:fldCharType="begin"/>
            </w:r>
            <w:r w:rsidRPr="005830D1">
              <w:rPr>
                <w:rFonts w:cs="Arial"/>
              </w:rPr>
              <w:instrText xml:space="preserve"> NOTEREF _Ref534212563 \f \h  \* MERGEFORMAT </w:instrText>
            </w:r>
            <w:r w:rsidRPr="005830D1">
              <w:rPr>
                <w:rFonts w:cs="Arial"/>
              </w:rPr>
            </w:r>
            <w:r w:rsidRPr="005830D1">
              <w:rPr>
                <w:rFonts w:cs="Arial"/>
              </w:rPr>
              <w:fldChar w:fldCharType="separate"/>
            </w:r>
            <w:r w:rsidR="007D53A2" w:rsidRPr="00A012EC">
              <w:rPr>
                <w:rStyle w:val="EndnoteReference"/>
              </w:rPr>
              <w:t>39</w:t>
            </w:r>
            <w:r w:rsidRPr="005830D1">
              <w:rPr>
                <w:rFonts w:cs="Arial"/>
              </w:rPr>
              <w:fldChar w:fldCharType="end"/>
            </w:r>
            <w:r w:rsidRPr="005830D1">
              <w:rPr>
                <w:rFonts w:cs="Arial"/>
              </w:rPr>
              <w:t xml:space="preserve"> of notification device response time;</w:t>
            </w:r>
          </w:p>
          <w:p w14:paraId="2655947E" w14:textId="77777777" w:rsidR="00016179" w:rsidRPr="005830D1" w:rsidRDefault="00016179" w:rsidP="00D73F6A">
            <w:pPr>
              <w:rPr>
                <w:rFonts w:cs="Arial"/>
                <w:b/>
              </w:rPr>
            </w:pPr>
            <w:r w:rsidRPr="005830D1">
              <w:rPr>
                <w:rFonts w:cs="Arial"/>
                <w:b/>
              </w:rPr>
              <w:t>OR</w:t>
            </w:r>
          </w:p>
          <w:p w14:paraId="3C2E6D68" w14:textId="270657FD" w:rsidR="00016179" w:rsidRPr="005830D1" w:rsidRDefault="00016179" w:rsidP="00AD309C">
            <w:pPr>
              <w:pStyle w:val="ListParagraph"/>
              <w:numPr>
                <w:ilvl w:val="0"/>
                <w:numId w:val="97"/>
              </w:numPr>
              <w:rPr>
                <w:rFonts w:cs="Arial"/>
              </w:rPr>
            </w:pPr>
            <w:r w:rsidRPr="005830D1">
              <w:rPr>
                <w:rFonts w:cs="Arial"/>
              </w:rPr>
              <w:t xml:space="preserve">makes daily on-site rounds on </w:t>
            </w:r>
            <w:hyperlink w:anchor="Endnote22_CCPatients" w:history="1">
              <w:r w:rsidRPr="005830D1">
                <w:rPr>
                  <w:rStyle w:val="Hyperlink"/>
                  <w:rFonts w:cs="Arial"/>
                </w:rPr>
                <w:t>all critical care patients</w:t>
              </w:r>
            </w:hyperlink>
            <w:r w:rsidRPr="005830D1">
              <w:rPr>
                <w:rStyle w:val="Hyperlink"/>
                <w:rFonts w:cs="Arial"/>
                <w:color w:val="auto"/>
                <w:u w:val="none"/>
              </w:rPr>
              <w:fldChar w:fldCharType="begin"/>
            </w:r>
            <w:r w:rsidRPr="005830D1">
              <w:rPr>
                <w:rStyle w:val="Hyperlink"/>
                <w:rFonts w:cs="Arial"/>
                <w:color w:val="auto"/>
                <w:u w:val="none"/>
              </w:rPr>
              <w:instrText xml:space="preserve"> NOTEREF _Ref534212310 \f \h  \* MERGEFORMAT </w:instrText>
            </w:r>
            <w:r w:rsidRPr="005830D1">
              <w:rPr>
                <w:rStyle w:val="Hyperlink"/>
                <w:rFonts w:cs="Arial"/>
                <w:color w:val="auto"/>
                <w:u w:val="none"/>
              </w:rPr>
            </w:r>
            <w:r w:rsidRPr="005830D1">
              <w:rPr>
                <w:rStyle w:val="Hyperlink"/>
                <w:rFonts w:cs="Arial"/>
                <w:color w:val="auto"/>
                <w:u w:val="none"/>
              </w:rPr>
              <w:fldChar w:fldCharType="separate"/>
            </w:r>
            <w:r w:rsidR="007D53A2" w:rsidRPr="00A012EC">
              <w:rPr>
                <w:rStyle w:val="EndnoteReference"/>
              </w:rPr>
              <w:t>34</w:t>
            </w:r>
            <w:r w:rsidRPr="005830D1">
              <w:rPr>
                <w:rStyle w:val="Hyperlink"/>
                <w:rFonts w:cs="Arial"/>
                <w:color w:val="auto"/>
                <w:u w:val="none"/>
              </w:rPr>
              <w:fldChar w:fldCharType="end"/>
            </w:r>
            <w:r w:rsidRPr="005830D1">
              <w:rPr>
                <w:rFonts w:cs="Arial"/>
              </w:rPr>
              <w:t xml:space="preserve"> in the </w:t>
            </w:r>
            <w:r w:rsidRPr="005830D1">
              <w:rPr>
                <w:rStyle w:val="Hyperlink"/>
                <w:rFonts w:cs="Arial"/>
                <w:color w:val="auto"/>
                <w:u w:val="none"/>
              </w:rPr>
              <w:t>ICU 7 days per week</w:t>
            </w:r>
            <w:r w:rsidRPr="005830D1">
              <w:rPr>
                <w:rFonts w:cs="Arial"/>
              </w:rPr>
              <w:t xml:space="preserve">? </w:t>
            </w:r>
          </w:p>
        </w:tc>
        <w:tc>
          <w:tcPr>
            <w:tcW w:w="2233" w:type="dxa"/>
            <w:vAlign w:val="center"/>
          </w:tcPr>
          <w:p w14:paraId="5C27FB22" w14:textId="77777777" w:rsidR="00016179" w:rsidRPr="005830D1" w:rsidRDefault="00016179" w:rsidP="00AD309C">
            <w:pPr>
              <w:pStyle w:val="ListParagraph"/>
              <w:numPr>
                <w:ilvl w:val="0"/>
                <w:numId w:val="345"/>
              </w:numPr>
              <w:rPr>
                <w:rFonts w:cs="Arial"/>
                <w:iCs/>
              </w:rPr>
            </w:pPr>
            <w:r w:rsidRPr="005830D1">
              <w:rPr>
                <w:rFonts w:cs="Arial"/>
                <w:iCs/>
              </w:rPr>
              <w:t>Yes</w:t>
            </w:r>
          </w:p>
          <w:p w14:paraId="04DA24B7" w14:textId="77777777" w:rsidR="00016179" w:rsidRPr="005830D1" w:rsidRDefault="00016179" w:rsidP="00AD309C">
            <w:pPr>
              <w:pStyle w:val="ListParagraph"/>
              <w:numPr>
                <w:ilvl w:val="0"/>
                <w:numId w:val="345"/>
              </w:numPr>
              <w:rPr>
                <w:rFonts w:cs="Arial"/>
                <w:iCs/>
              </w:rPr>
            </w:pPr>
            <w:r w:rsidRPr="005830D1">
              <w:rPr>
                <w:rFonts w:cs="Arial"/>
                <w:iCs/>
              </w:rPr>
              <w:t>No</w:t>
            </w:r>
          </w:p>
          <w:p w14:paraId="3FBF4065" w14:textId="77777777" w:rsidR="00016179" w:rsidRPr="005830D1" w:rsidRDefault="00016179" w:rsidP="00AD309C">
            <w:pPr>
              <w:pStyle w:val="ListParagraph"/>
              <w:numPr>
                <w:ilvl w:val="0"/>
                <w:numId w:val="345"/>
              </w:numPr>
              <w:rPr>
                <w:rFonts w:cs="Arial"/>
                <w:iCs/>
              </w:rPr>
            </w:pPr>
            <w:r w:rsidRPr="005830D1">
              <w:rPr>
                <w:rFonts w:cs="Arial"/>
                <w:iCs/>
              </w:rPr>
              <w:t>Clinical pharmacist rounds 7 days per week</w:t>
            </w:r>
          </w:p>
        </w:tc>
      </w:tr>
      <w:tr w:rsidR="00016179" w:rsidRPr="005830D1" w14:paraId="435C5D4A" w14:textId="77777777" w:rsidTr="00D73F6A">
        <w:trPr>
          <w:trHeight w:val="1008"/>
          <w:jc w:val="center"/>
        </w:trPr>
        <w:tc>
          <w:tcPr>
            <w:tcW w:w="7334" w:type="dxa"/>
            <w:tcBorders>
              <w:bottom w:val="single" w:sz="4" w:space="0" w:color="auto"/>
            </w:tcBorders>
            <w:vAlign w:val="center"/>
          </w:tcPr>
          <w:p w14:paraId="1AC3E317" w14:textId="38D6BE38" w:rsidR="00016179" w:rsidRPr="005830D1" w:rsidRDefault="00016179" w:rsidP="00AD309C">
            <w:pPr>
              <w:pStyle w:val="ListParagraph"/>
              <w:numPr>
                <w:ilvl w:val="0"/>
                <w:numId w:val="407"/>
              </w:numPr>
              <w:rPr>
                <w:rFonts w:cs="Arial"/>
              </w:rPr>
            </w:pPr>
            <w:r w:rsidRPr="005830D1">
              <w:rPr>
                <w:rFonts w:cs="Arial"/>
              </w:rPr>
              <w:t xml:space="preserve">Does a physician </w:t>
            </w:r>
            <w:hyperlink w:anchor="Endnote25_Certified" w:history="1">
              <w:r w:rsidRPr="005830D1">
                <w:rPr>
                  <w:rStyle w:val="Hyperlink"/>
                  <w:rFonts w:cs="Arial"/>
                </w:rPr>
                <w:t>certified in critical care medicine</w:t>
              </w:r>
            </w:hyperlink>
            <w:r w:rsidRPr="005830D1">
              <w:rPr>
                <w:vertAlign w:val="superscript"/>
              </w:rPr>
              <w:fldChar w:fldCharType="begin"/>
            </w:r>
            <w:r w:rsidRPr="005830D1">
              <w:rPr>
                <w:rStyle w:val="Hyperlink"/>
                <w:rFonts w:cs="Arial"/>
              </w:rPr>
              <w:instrText xml:space="preserve"> NOTEREF _Ref534212273 \f \h </w:instrText>
            </w:r>
            <w:r w:rsidRPr="005830D1">
              <w:rPr>
                <w:vertAlign w:val="superscript"/>
              </w:rPr>
              <w:instrText xml:space="preserve"> \* MERGEFORMAT </w:instrText>
            </w:r>
            <w:r w:rsidRPr="005830D1">
              <w:rPr>
                <w:vertAlign w:val="superscript"/>
              </w:rPr>
            </w:r>
            <w:r w:rsidRPr="005830D1">
              <w:rPr>
                <w:vertAlign w:val="superscript"/>
              </w:rPr>
              <w:fldChar w:fldCharType="separate"/>
            </w:r>
            <w:r w:rsidR="007D53A2" w:rsidRPr="00A012EC">
              <w:rPr>
                <w:rStyle w:val="EndnoteReference"/>
              </w:rPr>
              <w:t>36</w:t>
            </w:r>
            <w:r w:rsidRPr="005830D1">
              <w:rPr>
                <w:vertAlign w:val="superscript"/>
              </w:rPr>
              <w:fldChar w:fldCharType="end"/>
            </w:r>
            <w:r w:rsidRPr="005830D1">
              <w:rPr>
                <w:rFonts w:cs="Arial"/>
              </w:rPr>
              <w:t xml:space="preserve"> lead daily interprofessional rounds on-site on </w:t>
            </w:r>
            <w:hyperlink w:anchor="Endnote22_CCPatients" w:history="1">
              <w:r w:rsidRPr="005830D1">
                <w:rPr>
                  <w:rStyle w:val="Hyperlink"/>
                  <w:rFonts w:cs="Arial"/>
                </w:rPr>
                <w:t>all critical care patients</w:t>
              </w:r>
            </w:hyperlink>
            <w:r w:rsidRPr="005830D1">
              <w:rPr>
                <w:vertAlign w:val="superscript"/>
              </w:rPr>
              <w:fldChar w:fldCharType="begin"/>
            </w:r>
            <w:r w:rsidRPr="005830D1">
              <w:rPr>
                <w:rStyle w:val="Hyperlink"/>
                <w:rFonts w:cs="Arial"/>
              </w:rPr>
              <w:instrText xml:space="preserve"> NOTEREF _Ref534212310 \f \h </w:instrText>
            </w:r>
            <w:r w:rsidRPr="005830D1">
              <w:rPr>
                <w:vertAlign w:val="superscript"/>
              </w:rPr>
              <w:instrText xml:space="preserve"> \* MERGEFORMAT </w:instrText>
            </w:r>
            <w:r w:rsidRPr="005830D1">
              <w:rPr>
                <w:vertAlign w:val="superscript"/>
              </w:rPr>
            </w:r>
            <w:r w:rsidRPr="005830D1">
              <w:rPr>
                <w:vertAlign w:val="superscript"/>
              </w:rPr>
              <w:fldChar w:fldCharType="separate"/>
            </w:r>
            <w:r w:rsidR="007D53A2" w:rsidRPr="00A012EC">
              <w:rPr>
                <w:rStyle w:val="EndnoteReference"/>
              </w:rPr>
              <w:t>34</w:t>
            </w:r>
            <w:r w:rsidRPr="005830D1">
              <w:rPr>
                <w:vertAlign w:val="superscript"/>
              </w:rPr>
              <w:fldChar w:fldCharType="end"/>
            </w:r>
            <w:r w:rsidRPr="005830D1">
              <w:rPr>
                <w:rFonts w:cs="Arial"/>
              </w:rPr>
              <w:t xml:space="preserve"> in the </w:t>
            </w:r>
            <w:r w:rsidRPr="005830D1">
              <w:rPr>
                <w:rStyle w:val="Hyperlink"/>
                <w:rFonts w:cs="Arial"/>
                <w:color w:val="auto"/>
                <w:u w:val="none"/>
              </w:rPr>
              <w:t>ICU</w:t>
            </w:r>
            <w:r w:rsidRPr="005830D1">
              <w:rPr>
                <w:rFonts w:cs="Arial"/>
              </w:rPr>
              <w:t xml:space="preserve"> 7 days per week?</w:t>
            </w:r>
          </w:p>
        </w:tc>
        <w:tc>
          <w:tcPr>
            <w:tcW w:w="2233" w:type="dxa"/>
            <w:vAlign w:val="center"/>
          </w:tcPr>
          <w:p w14:paraId="67EBA90B" w14:textId="77777777" w:rsidR="00016179" w:rsidRPr="005830D1" w:rsidRDefault="00016179" w:rsidP="00AD309C">
            <w:pPr>
              <w:pStyle w:val="ListParagraph"/>
              <w:numPr>
                <w:ilvl w:val="0"/>
                <w:numId w:val="345"/>
              </w:numPr>
              <w:rPr>
                <w:rFonts w:cs="Arial"/>
                <w:iCs/>
              </w:rPr>
            </w:pPr>
            <w:r w:rsidRPr="005830D1">
              <w:rPr>
                <w:rFonts w:cs="Arial"/>
                <w:iCs/>
              </w:rPr>
              <w:t>Yes</w:t>
            </w:r>
          </w:p>
          <w:p w14:paraId="56C0F3F8" w14:textId="77777777" w:rsidR="00016179" w:rsidRPr="005830D1" w:rsidRDefault="00016179" w:rsidP="00AD309C">
            <w:pPr>
              <w:pStyle w:val="ListParagraph"/>
              <w:numPr>
                <w:ilvl w:val="0"/>
                <w:numId w:val="345"/>
              </w:numPr>
              <w:rPr>
                <w:rFonts w:cs="Arial"/>
                <w:iCs/>
              </w:rPr>
            </w:pPr>
            <w:r w:rsidRPr="005830D1">
              <w:rPr>
                <w:rFonts w:cs="Arial"/>
                <w:iCs/>
              </w:rPr>
              <w:t>No</w:t>
            </w:r>
          </w:p>
        </w:tc>
      </w:tr>
      <w:tr w:rsidR="00016179" w:rsidRPr="009A5185" w14:paraId="6827C036" w14:textId="77777777" w:rsidTr="00D73F6A">
        <w:trPr>
          <w:trHeight w:val="1152"/>
          <w:jc w:val="center"/>
        </w:trPr>
        <w:tc>
          <w:tcPr>
            <w:tcW w:w="7334" w:type="dxa"/>
            <w:tcBorders>
              <w:top w:val="single" w:sz="4" w:space="0" w:color="auto"/>
              <w:left w:val="single" w:sz="4" w:space="0" w:color="auto"/>
              <w:bottom w:val="single" w:sz="4" w:space="0" w:color="auto"/>
              <w:right w:val="single" w:sz="4" w:space="0" w:color="auto"/>
            </w:tcBorders>
            <w:vAlign w:val="center"/>
          </w:tcPr>
          <w:p w14:paraId="4973C4D0" w14:textId="20FCC142" w:rsidR="00016179" w:rsidRPr="005830D1" w:rsidRDefault="00016179" w:rsidP="00AD309C">
            <w:pPr>
              <w:pStyle w:val="ListParagraph"/>
              <w:numPr>
                <w:ilvl w:val="0"/>
                <w:numId w:val="407"/>
              </w:numPr>
              <w:rPr>
                <w:rFonts w:cs="Arial"/>
              </w:rPr>
            </w:pPr>
            <w:r w:rsidRPr="005830D1">
              <w:rPr>
                <w:rFonts w:cs="Arial"/>
              </w:rPr>
              <w:t xml:space="preserve">Are physicians </w:t>
            </w:r>
            <w:hyperlink w:anchor="Endnote25_Certified" w:history="1">
              <w:r w:rsidRPr="005830D1">
                <w:rPr>
                  <w:rStyle w:val="Hyperlink"/>
                  <w:rFonts w:cs="Arial"/>
                </w:rPr>
                <w:t>certified in critical care medicine</w:t>
              </w:r>
            </w:hyperlink>
            <w:r w:rsidRPr="005830D1">
              <w:rPr>
                <w:rStyle w:val="Hyperlink"/>
                <w:rFonts w:cs="Arial"/>
              </w:rPr>
              <w:fldChar w:fldCharType="begin"/>
            </w:r>
            <w:r w:rsidRPr="005830D1">
              <w:rPr>
                <w:rStyle w:val="Hyperlink"/>
                <w:rFonts w:cs="Arial"/>
              </w:rPr>
              <w:instrText xml:space="preserve"> NOTEREF _Ref534212273 \f \h  \* MERGEFORMAT </w:instrText>
            </w:r>
            <w:r w:rsidRPr="005830D1">
              <w:rPr>
                <w:rStyle w:val="Hyperlink"/>
                <w:rFonts w:cs="Arial"/>
              </w:rPr>
            </w:r>
            <w:r w:rsidRPr="005830D1">
              <w:rPr>
                <w:rStyle w:val="Hyperlink"/>
                <w:rFonts w:cs="Arial"/>
              </w:rPr>
              <w:fldChar w:fldCharType="separate"/>
            </w:r>
            <w:r w:rsidR="007D53A2" w:rsidRPr="00A012EC">
              <w:rPr>
                <w:rStyle w:val="EndnoteReference"/>
              </w:rPr>
              <w:t>36</w:t>
            </w:r>
            <w:r w:rsidRPr="005830D1">
              <w:rPr>
                <w:rStyle w:val="Hyperlink"/>
                <w:rFonts w:cs="Arial"/>
              </w:rPr>
              <w:fldChar w:fldCharType="end"/>
            </w:r>
            <w:r w:rsidRPr="005830D1">
              <w:rPr>
                <w:rFonts w:cs="Arial"/>
              </w:rPr>
              <w:t xml:space="preserve"> responsible for all ICU admission and discharge decisions when they are:</w:t>
            </w:r>
          </w:p>
          <w:p w14:paraId="79522CBC" w14:textId="77777777" w:rsidR="00016179" w:rsidRPr="005830D1" w:rsidRDefault="00016179" w:rsidP="00AD309C">
            <w:pPr>
              <w:pStyle w:val="ListParagraph"/>
              <w:numPr>
                <w:ilvl w:val="0"/>
                <w:numId w:val="97"/>
              </w:numPr>
              <w:rPr>
                <w:rFonts w:cs="Arial"/>
              </w:rPr>
            </w:pPr>
            <w:r w:rsidRPr="005830D1">
              <w:rPr>
                <w:rFonts w:cs="Arial"/>
              </w:rPr>
              <w:t xml:space="preserve">present on-site for at least </w:t>
            </w:r>
            <w:r w:rsidRPr="005830D1">
              <w:rPr>
                <w:rFonts w:cs="Arial"/>
                <w:b/>
                <w:bCs/>
              </w:rPr>
              <w:t>8 hours per day, 4 days per week or 4 hours per day, 7 days per week</w:t>
            </w:r>
            <w:r w:rsidRPr="005830D1">
              <w:rPr>
                <w:rFonts w:cs="Arial"/>
              </w:rPr>
              <w:t>?</w:t>
            </w:r>
          </w:p>
        </w:tc>
        <w:tc>
          <w:tcPr>
            <w:tcW w:w="2233" w:type="dxa"/>
            <w:tcBorders>
              <w:left w:val="single" w:sz="4" w:space="0" w:color="auto"/>
            </w:tcBorders>
            <w:vAlign w:val="center"/>
          </w:tcPr>
          <w:p w14:paraId="608B2BF2" w14:textId="77777777" w:rsidR="00016179" w:rsidRPr="005830D1" w:rsidRDefault="00016179" w:rsidP="00AD309C">
            <w:pPr>
              <w:pStyle w:val="ListParagraph"/>
              <w:numPr>
                <w:ilvl w:val="0"/>
                <w:numId w:val="345"/>
              </w:numPr>
              <w:rPr>
                <w:rFonts w:cs="Arial"/>
                <w:iCs/>
              </w:rPr>
            </w:pPr>
            <w:r w:rsidRPr="005830D1">
              <w:rPr>
                <w:rFonts w:cs="Arial"/>
                <w:iCs/>
              </w:rPr>
              <w:t>Yes</w:t>
            </w:r>
          </w:p>
          <w:p w14:paraId="5621C24C" w14:textId="77777777" w:rsidR="00016179" w:rsidRPr="005830D1" w:rsidRDefault="00016179" w:rsidP="00AD309C">
            <w:pPr>
              <w:pStyle w:val="ListParagraph"/>
              <w:numPr>
                <w:ilvl w:val="0"/>
                <w:numId w:val="345"/>
              </w:numPr>
              <w:rPr>
                <w:rFonts w:cs="Arial"/>
                <w:iCs/>
              </w:rPr>
            </w:pPr>
            <w:r w:rsidRPr="005830D1">
              <w:rPr>
                <w:rFonts w:cs="Arial"/>
                <w:iCs/>
              </w:rPr>
              <w:t>No</w:t>
            </w:r>
          </w:p>
        </w:tc>
      </w:tr>
    </w:tbl>
    <w:p w14:paraId="49BCB392" w14:textId="13BEB97A" w:rsidR="00FE3125" w:rsidRPr="00016179" w:rsidRDefault="00FE3125" w:rsidP="00FE3125">
      <w:pPr>
        <w:rPr>
          <w:rFonts w:cs="Arial"/>
          <w:i/>
        </w:rPr>
      </w:pPr>
    </w:p>
    <w:p w14:paraId="1D36D704" w14:textId="0FF24C42" w:rsidR="00EF302F" w:rsidRDefault="00EF302F">
      <w:pPr>
        <w:rPr>
          <w:rFonts w:cs="Arial"/>
          <w:b/>
          <w:snapToGrid w:val="0"/>
          <w:color w:val="000000"/>
          <w:sz w:val="28"/>
          <w:szCs w:val="24"/>
          <w:u w:val="single"/>
          <w:lang w:eastAsia="ja-JP"/>
        </w:rPr>
      </w:pPr>
      <w:r>
        <w:rPr>
          <w:rFonts w:cs="Arial"/>
          <w:color w:val="000000"/>
        </w:rPr>
        <w:br w:type="page"/>
      </w:r>
    </w:p>
    <w:p w14:paraId="57869A9A" w14:textId="5D9385A1" w:rsidR="00C64192" w:rsidRPr="00F01A72" w:rsidRDefault="00E81025" w:rsidP="00C64192">
      <w:pPr>
        <w:pStyle w:val="Heading2"/>
      </w:pPr>
      <w:bookmarkStart w:id="418" w:name="_Toc225877751"/>
      <w:r w:rsidRPr="00991451">
        <w:t>5</w:t>
      </w:r>
      <w:r w:rsidR="00C64192" w:rsidRPr="00991451">
        <w:t>C: Nursing Workforce</w:t>
      </w:r>
      <w:bookmarkEnd w:id="418"/>
    </w:p>
    <w:p w14:paraId="61E5E062" w14:textId="77777777" w:rsidR="00C64192" w:rsidRPr="00357E20" w:rsidRDefault="00C64192" w:rsidP="00C64192">
      <w:pPr>
        <w:rPr>
          <w:b/>
          <w:bCs/>
          <w:color w:val="FF0000"/>
          <w:sz w:val="16"/>
          <w:szCs w:val="16"/>
        </w:rPr>
      </w:pPr>
    </w:p>
    <w:p w14:paraId="4ADDF2A8" w14:textId="77777777" w:rsidR="00C64192" w:rsidRDefault="00C64192" w:rsidP="00C64192">
      <w:pPr>
        <w:rPr>
          <w:rStyle w:val="Hyperlink"/>
          <w:rFonts w:cs="Arial"/>
          <w:snapToGrid w:val="0"/>
        </w:rPr>
      </w:pPr>
      <w:r w:rsidRPr="009A5185">
        <w:rPr>
          <w:rFonts w:cs="Arial"/>
          <w:snapToGrid w:val="0"/>
        </w:rPr>
        <w:t xml:space="preserve">Hospitals that share a </w:t>
      </w:r>
      <w:r>
        <w:rPr>
          <w:rFonts w:cs="Arial"/>
          <w:snapToGrid w:val="0"/>
        </w:rPr>
        <w:t>CMS Certification Number</w:t>
      </w:r>
      <w:r w:rsidRPr="009A5185">
        <w:rPr>
          <w:rFonts w:cs="Arial"/>
          <w:snapToGrid w:val="0"/>
        </w:rPr>
        <w:t xml:space="preserve"> are required to report by facility. Please carefully review </w:t>
      </w:r>
      <w:hyperlink r:id="rId331" w:history="1">
        <w:r w:rsidRPr="009A5185">
          <w:rPr>
            <w:rStyle w:val="Hyperlink"/>
            <w:rFonts w:cs="Arial"/>
            <w:snapToGrid w:val="0"/>
          </w:rPr>
          <w:t>Leapfrog’s Multi-Campus Reporting Policy</w:t>
        </w:r>
      </w:hyperlink>
      <w:r>
        <w:rPr>
          <w:rStyle w:val="Hyperlink"/>
          <w:rFonts w:cs="Arial"/>
          <w:snapToGrid w:val="0"/>
        </w:rPr>
        <w:t>.</w:t>
      </w:r>
    </w:p>
    <w:p w14:paraId="3FB2F5D1" w14:textId="77777777" w:rsidR="00C64192" w:rsidRPr="00357E20" w:rsidRDefault="00C64192" w:rsidP="00C64192">
      <w:pPr>
        <w:rPr>
          <w:rStyle w:val="Hyperlink"/>
          <w:rFonts w:cs="Arial"/>
          <w:snapToGrid w:val="0"/>
          <w:sz w:val="16"/>
          <w:szCs w:val="16"/>
        </w:rPr>
      </w:pPr>
    </w:p>
    <w:p w14:paraId="4F8D2426" w14:textId="2B67F13A" w:rsidR="00C64192" w:rsidRPr="00375777" w:rsidRDefault="00C64192" w:rsidP="00AB5B80">
      <w:pPr>
        <w:pStyle w:val="Heading3"/>
      </w:pPr>
      <w:bookmarkStart w:id="419" w:name="_Toc225877752"/>
      <w:r w:rsidRPr="00942F13">
        <w:t>Total Nursing Care Hours per Patient Day</w:t>
      </w:r>
      <w:r w:rsidR="00127308">
        <w:t xml:space="preserve"> and </w:t>
      </w:r>
      <w:r w:rsidRPr="00942F13">
        <w:t>RN Hours per Patient Day</w:t>
      </w:r>
      <w:bookmarkEnd w:id="419"/>
    </w:p>
    <w:p w14:paraId="74B09BBF" w14:textId="77777777" w:rsidR="00C64192" w:rsidRPr="00357E20" w:rsidRDefault="00C64192" w:rsidP="00C64192">
      <w:pPr>
        <w:rPr>
          <w:rStyle w:val="Hyperlink"/>
          <w:rFonts w:cs="Arial"/>
          <w:snapToGrid w:val="0"/>
          <w:sz w:val="16"/>
          <w:szCs w:val="16"/>
        </w:rPr>
      </w:pPr>
    </w:p>
    <w:p w14:paraId="3653D557" w14:textId="77777777" w:rsidR="00C64192" w:rsidRPr="007F62C1" w:rsidRDefault="00C64192" w:rsidP="00C64192">
      <w:pPr>
        <w:rPr>
          <w:rFonts w:cs="Arial"/>
          <w:b/>
          <w:snapToGrid w:val="0"/>
          <w:color w:val="FF0000"/>
        </w:rPr>
      </w:pPr>
      <w:r w:rsidRPr="007F62C1">
        <w:rPr>
          <w:rFonts w:cs="Arial"/>
          <w:b/>
          <w:snapToGrid w:val="0"/>
          <w:color w:val="FF0000"/>
        </w:rPr>
        <w:t xml:space="preserve">Important Notes:  </w:t>
      </w:r>
    </w:p>
    <w:p w14:paraId="492C3442" w14:textId="77777777" w:rsidR="00C64192" w:rsidRPr="00357E20" w:rsidRDefault="00C64192" w:rsidP="00C64192">
      <w:pPr>
        <w:rPr>
          <w:rFonts w:cs="Arial"/>
          <w:b/>
          <w:snapToGrid w:val="0"/>
          <w:sz w:val="16"/>
          <w:szCs w:val="16"/>
        </w:rPr>
      </w:pPr>
    </w:p>
    <w:p w14:paraId="7A64B9FA" w14:textId="77777777" w:rsidR="00B05FE7" w:rsidRPr="00BB3760" w:rsidRDefault="00C64192" w:rsidP="00B05FE7">
      <w:pPr>
        <w:rPr>
          <w:rFonts w:cs="Arial"/>
          <w:bCs/>
          <w:snapToGrid w:val="0"/>
        </w:rPr>
      </w:pPr>
      <w:r w:rsidRPr="00BB3760">
        <w:rPr>
          <w:rFonts w:cs="Arial"/>
          <w:bCs/>
          <w:snapToGrid w:val="0"/>
        </w:rPr>
        <w:t xml:space="preserve">Note </w:t>
      </w:r>
      <w:r w:rsidR="00156643">
        <w:rPr>
          <w:rFonts w:cs="Arial"/>
          <w:bCs/>
          <w:snapToGrid w:val="0"/>
        </w:rPr>
        <w:t>1</w:t>
      </w:r>
      <w:r w:rsidRPr="00BB3760">
        <w:rPr>
          <w:rFonts w:cs="Arial"/>
          <w:bCs/>
          <w:snapToGrid w:val="0"/>
        </w:rPr>
        <w:t xml:space="preserve">: </w:t>
      </w:r>
      <w:r w:rsidR="00B05FE7">
        <w:rPr>
          <w:rFonts w:cs="Arial"/>
          <w:bCs/>
          <w:snapToGrid w:val="0"/>
        </w:rPr>
        <w:t>If a hospital operates single acuity Medical, Surgical, or Med-Surg units, but all of these units had fewer than 15 patient days per month for all 3 months of any quarter of the reporting period, then the hospital should respond “y</w:t>
      </w:r>
      <w:r w:rsidR="00B05FE7" w:rsidRPr="00835388">
        <w:rPr>
          <w:rFonts w:cs="Arial"/>
          <w:bCs/>
          <w:snapToGrid w:val="0"/>
        </w:rPr>
        <w:t>es, but had fewer than 15 patient days per month for all 3 months of any quarter of the reporting period</w:t>
      </w:r>
      <w:r w:rsidR="00B05FE7">
        <w:rPr>
          <w:rFonts w:cs="Arial"/>
          <w:bCs/>
          <w:snapToGrid w:val="0"/>
        </w:rPr>
        <w:t>” in questions #4, #6 and #8, and then report on mixed acuity Medical, Surgical and Med-Surg units, if applicable, in questions #10-12.</w:t>
      </w:r>
    </w:p>
    <w:p w14:paraId="0584C785" w14:textId="77777777" w:rsidR="00127308" w:rsidRDefault="00127308" w:rsidP="00C64192">
      <w:pPr>
        <w:rPr>
          <w:rFonts w:cs="Arial"/>
          <w:bCs/>
          <w:snapToGrid w:val="0"/>
        </w:rPr>
      </w:pPr>
    </w:p>
    <w:p w14:paraId="13307215" w14:textId="6E1E3CF6" w:rsidR="00127308" w:rsidRDefault="00E94BF3" w:rsidP="00C64192">
      <w:pPr>
        <w:rPr>
          <w:rFonts w:cs="Arial"/>
          <w:bCs/>
          <w:snapToGrid w:val="0"/>
        </w:rPr>
      </w:pPr>
      <w:r w:rsidRPr="00E94BF3">
        <w:rPr>
          <w:rFonts w:cs="Arial"/>
          <w:bCs/>
          <w:snapToGrid w:val="0"/>
        </w:rPr>
        <w:t>Note 2</w:t>
      </w:r>
      <w:r w:rsidR="006B53CC">
        <w:rPr>
          <w:rFonts w:cs="Arial"/>
          <w:bCs/>
          <w:snapToGrid w:val="0"/>
        </w:rPr>
        <w:t xml:space="preserve">: </w:t>
      </w:r>
      <w:r w:rsidR="006B53CC" w:rsidRPr="00F7308C">
        <w:rPr>
          <w:rFonts w:cs="Arial"/>
          <w:bCs/>
          <w:snapToGrid w:val="0"/>
        </w:rPr>
        <w:t xml:space="preserve">Hospitals that </w:t>
      </w:r>
      <w:r w:rsidR="006B53CC">
        <w:rPr>
          <w:rFonts w:cs="Arial"/>
          <w:bCs/>
          <w:snapToGrid w:val="0"/>
        </w:rPr>
        <w:t>o</w:t>
      </w:r>
      <w:r w:rsidR="006B53CC" w:rsidRPr="00F7308C">
        <w:rPr>
          <w:rFonts w:cs="Arial"/>
          <w:bCs/>
          <w:snapToGrid w:val="0"/>
        </w:rPr>
        <w:t>perate</w:t>
      </w:r>
      <w:r w:rsidR="006B53CC">
        <w:rPr>
          <w:rFonts w:cs="Arial"/>
          <w:bCs/>
          <w:snapToGrid w:val="0"/>
        </w:rPr>
        <w:t xml:space="preserve"> at least one</w:t>
      </w:r>
      <w:r w:rsidR="006B53CC" w:rsidRPr="00F7308C">
        <w:rPr>
          <w:rFonts w:cs="Arial"/>
          <w:bCs/>
          <w:snapToGrid w:val="0"/>
        </w:rPr>
        <w:t xml:space="preserve"> </w:t>
      </w:r>
      <w:r w:rsidR="006B53CC">
        <w:rPr>
          <w:rFonts w:cs="Arial"/>
          <w:bCs/>
          <w:snapToGrid w:val="0"/>
        </w:rPr>
        <w:t>s</w:t>
      </w:r>
      <w:r w:rsidR="006B53CC" w:rsidRPr="00F7308C">
        <w:rPr>
          <w:rFonts w:cs="Arial"/>
          <w:bCs/>
          <w:snapToGrid w:val="0"/>
        </w:rPr>
        <w:t xml:space="preserve">ingle </w:t>
      </w:r>
      <w:r w:rsidR="006B53CC">
        <w:rPr>
          <w:rFonts w:cs="Arial"/>
          <w:bCs/>
          <w:snapToGrid w:val="0"/>
        </w:rPr>
        <w:t>a</w:t>
      </w:r>
      <w:r w:rsidR="006B53CC" w:rsidRPr="00F7308C">
        <w:rPr>
          <w:rFonts w:cs="Arial"/>
          <w:bCs/>
          <w:snapToGrid w:val="0"/>
        </w:rPr>
        <w:t xml:space="preserve">cuity </w:t>
      </w:r>
      <w:r w:rsidR="006B53CC">
        <w:rPr>
          <w:rFonts w:cs="Arial"/>
          <w:bCs/>
          <w:snapToGrid w:val="0"/>
        </w:rPr>
        <w:t>M</w:t>
      </w:r>
      <w:r w:rsidR="006B53CC" w:rsidRPr="00F7308C">
        <w:rPr>
          <w:rFonts w:cs="Arial"/>
          <w:bCs/>
          <w:snapToGrid w:val="0"/>
        </w:rPr>
        <w:t xml:space="preserve">edical, </w:t>
      </w:r>
      <w:r w:rsidR="006B53CC">
        <w:rPr>
          <w:rFonts w:cs="Arial"/>
          <w:bCs/>
          <w:snapToGrid w:val="0"/>
        </w:rPr>
        <w:t>S</w:t>
      </w:r>
      <w:r w:rsidR="006B53CC" w:rsidRPr="00F7308C">
        <w:rPr>
          <w:rFonts w:cs="Arial"/>
          <w:bCs/>
          <w:snapToGrid w:val="0"/>
        </w:rPr>
        <w:t xml:space="preserve">urgical, or </w:t>
      </w:r>
      <w:r w:rsidR="006B53CC">
        <w:rPr>
          <w:rFonts w:cs="Arial"/>
          <w:bCs/>
          <w:snapToGrid w:val="0"/>
        </w:rPr>
        <w:t>M</w:t>
      </w:r>
      <w:r w:rsidR="006B53CC" w:rsidRPr="00F7308C">
        <w:rPr>
          <w:rFonts w:cs="Arial"/>
          <w:bCs/>
          <w:snapToGrid w:val="0"/>
        </w:rPr>
        <w:t>ed-</w:t>
      </w:r>
      <w:r w:rsidR="006B53CC">
        <w:rPr>
          <w:rFonts w:cs="Arial"/>
          <w:bCs/>
          <w:snapToGrid w:val="0"/>
        </w:rPr>
        <w:t>S</w:t>
      </w:r>
      <w:r w:rsidR="006B53CC" w:rsidRPr="00F7308C">
        <w:rPr>
          <w:rFonts w:cs="Arial"/>
          <w:bCs/>
          <w:snapToGrid w:val="0"/>
        </w:rPr>
        <w:t xml:space="preserve">urg </w:t>
      </w:r>
      <w:r w:rsidR="006B53CC">
        <w:rPr>
          <w:rFonts w:cs="Arial"/>
          <w:bCs/>
          <w:snapToGrid w:val="0"/>
        </w:rPr>
        <w:t>u</w:t>
      </w:r>
      <w:r w:rsidR="006B53CC" w:rsidRPr="00F7308C">
        <w:rPr>
          <w:rFonts w:cs="Arial"/>
          <w:bCs/>
          <w:snapToGrid w:val="0"/>
        </w:rPr>
        <w:t xml:space="preserve">nit </w:t>
      </w:r>
      <w:r w:rsidR="006B53CC" w:rsidRPr="003041BC">
        <w:rPr>
          <w:rFonts w:cs="Arial"/>
          <w:b/>
          <w:snapToGrid w:val="0"/>
        </w:rPr>
        <w:t>AND</w:t>
      </w:r>
      <w:r w:rsidR="006B53CC" w:rsidRPr="00F7308C">
        <w:rPr>
          <w:rFonts w:cs="Arial"/>
          <w:bCs/>
          <w:snapToGrid w:val="0"/>
        </w:rPr>
        <w:t xml:space="preserve"> </w:t>
      </w:r>
      <w:r w:rsidR="006B53CC">
        <w:rPr>
          <w:rFonts w:cs="Arial"/>
          <w:bCs/>
          <w:snapToGrid w:val="0"/>
        </w:rPr>
        <w:t>at least one m</w:t>
      </w:r>
      <w:r w:rsidR="006B53CC" w:rsidRPr="00F7308C">
        <w:rPr>
          <w:rFonts w:cs="Arial"/>
          <w:bCs/>
          <w:snapToGrid w:val="0"/>
        </w:rPr>
        <w:t xml:space="preserve">ixed </w:t>
      </w:r>
      <w:r w:rsidR="006B53CC">
        <w:rPr>
          <w:rFonts w:cs="Arial"/>
          <w:bCs/>
          <w:snapToGrid w:val="0"/>
        </w:rPr>
        <w:t>a</w:t>
      </w:r>
      <w:r w:rsidR="006B53CC" w:rsidRPr="00F7308C">
        <w:rPr>
          <w:rFonts w:cs="Arial"/>
          <w:bCs/>
          <w:snapToGrid w:val="0"/>
        </w:rPr>
        <w:t xml:space="preserve">cuity </w:t>
      </w:r>
      <w:r w:rsidR="006B53CC">
        <w:rPr>
          <w:rFonts w:cs="Arial"/>
          <w:bCs/>
          <w:snapToGrid w:val="0"/>
        </w:rPr>
        <w:t>M</w:t>
      </w:r>
      <w:r w:rsidR="006B53CC" w:rsidRPr="00F7308C">
        <w:rPr>
          <w:rFonts w:cs="Arial"/>
          <w:bCs/>
          <w:snapToGrid w:val="0"/>
        </w:rPr>
        <w:t xml:space="preserve">edical, </w:t>
      </w:r>
      <w:r w:rsidR="006B53CC">
        <w:rPr>
          <w:rFonts w:cs="Arial"/>
          <w:bCs/>
          <w:snapToGrid w:val="0"/>
        </w:rPr>
        <w:t>S</w:t>
      </w:r>
      <w:r w:rsidR="006B53CC" w:rsidRPr="00F7308C">
        <w:rPr>
          <w:rFonts w:cs="Arial"/>
          <w:bCs/>
          <w:snapToGrid w:val="0"/>
        </w:rPr>
        <w:t xml:space="preserve">urgical, or </w:t>
      </w:r>
      <w:r w:rsidR="006B53CC">
        <w:rPr>
          <w:rFonts w:cs="Arial"/>
          <w:bCs/>
          <w:snapToGrid w:val="0"/>
        </w:rPr>
        <w:t>M</w:t>
      </w:r>
      <w:r w:rsidR="006B53CC" w:rsidRPr="00F7308C">
        <w:rPr>
          <w:rFonts w:cs="Arial"/>
          <w:bCs/>
          <w:snapToGrid w:val="0"/>
        </w:rPr>
        <w:t>ed-</w:t>
      </w:r>
      <w:r w:rsidR="006B53CC">
        <w:rPr>
          <w:rFonts w:cs="Arial"/>
          <w:bCs/>
          <w:snapToGrid w:val="0"/>
        </w:rPr>
        <w:t>S</w:t>
      </w:r>
      <w:r w:rsidR="006B53CC" w:rsidRPr="00F7308C">
        <w:rPr>
          <w:rFonts w:cs="Arial"/>
          <w:bCs/>
          <w:snapToGrid w:val="0"/>
        </w:rPr>
        <w:t xml:space="preserve">urg </w:t>
      </w:r>
      <w:r w:rsidR="006B53CC">
        <w:rPr>
          <w:rFonts w:cs="Arial"/>
          <w:bCs/>
          <w:snapToGrid w:val="0"/>
        </w:rPr>
        <w:t>U</w:t>
      </w:r>
      <w:r w:rsidR="006B53CC" w:rsidRPr="00F7308C">
        <w:rPr>
          <w:rFonts w:cs="Arial"/>
          <w:bCs/>
          <w:snapToGrid w:val="0"/>
        </w:rPr>
        <w:t>nit</w:t>
      </w:r>
      <w:r w:rsidR="006B53CC">
        <w:rPr>
          <w:rFonts w:cs="Arial"/>
          <w:bCs/>
          <w:snapToGrid w:val="0"/>
        </w:rPr>
        <w:t xml:space="preserve"> have the option to respond to question #1</w:t>
      </w:r>
      <w:r w:rsidR="00582BE9">
        <w:rPr>
          <w:rFonts w:cs="Arial"/>
          <w:bCs/>
          <w:snapToGrid w:val="0"/>
        </w:rPr>
        <w:t>4</w:t>
      </w:r>
      <w:r w:rsidR="006B53CC">
        <w:rPr>
          <w:rFonts w:cs="Arial"/>
          <w:bCs/>
          <w:snapToGrid w:val="0"/>
        </w:rPr>
        <w:t xml:space="preserve"> to report on their mixed acuity units. Responses to these questions </w:t>
      </w:r>
      <w:r w:rsidR="006B53CC" w:rsidRPr="00B90F11">
        <w:rPr>
          <w:rFonts w:cs="Arial"/>
          <w:bCs/>
          <w:snapToGrid w:val="0"/>
        </w:rPr>
        <w:t>are optional and will not be scored or publicly reported</w:t>
      </w:r>
      <w:r w:rsidR="006B53CC">
        <w:rPr>
          <w:rFonts w:cs="Arial"/>
          <w:bCs/>
          <w:snapToGrid w:val="0"/>
        </w:rPr>
        <w:t>.</w:t>
      </w:r>
    </w:p>
    <w:p w14:paraId="766CCA78" w14:textId="77777777" w:rsidR="00C64192" w:rsidRPr="00357E20" w:rsidRDefault="00C64192" w:rsidP="00C64192">
      <w:pPr>
        <w:rPr>
          <w:rFonts w:cs="Arial"/>
          <w:bCs/>
          <w:snapToGrid w:val="0"/>
          <w:sz w:val="16"/>
          <w:szCs w:val="16"/>
        </w:rPr>
      </w:pPr>
    </w:p>
    <w:p w14:paraId="46A048AB" w14:textId="552BB9E9" w:rsidR="00C64192" w:rsidRDefault="00C64192" w:rsidP="00C64192">
      <w:pPr>
        <w:rPr>
          <w:bCs/>
        </w:rPr>
      </w:pPr>
      <w:r>
        <w:rPr>
          <w:rFonts w:cs="Arial"/>
          <w:b/>
          <w:snapToGrid w:val="0"/>
        </w:rPr>
        <w:t>Specifications:</w:t>
      </w:r>
      <w:r>
        <w:rPr>
          <w:rFonts w:cs="Arial"/>
          <w:snapToGrid w:val="0"/>
        </w:rPr>
        <w:t xml:space="preserve"> See </w:t>
      </w:r>
      <w:hyperlink w:anchor="_Nursing_Workforce_Measure_1" w:history="1">
        <w:r>
          <w:rPr>
            <w:rStyle w:val="Hyperlink"/>
            <w:rFonts w:cs="Arial"/>
            <w:b/>
            <w:i/>
          </w:rPr>
          <w:t>Nursing Workforce Measure Specifications</w:t>
        </w:r>
      </w:hyperlink>
      <w:r>
        <w:rPr>
          <w:rFonts w:cs="Arial"/>
        </w:rPr>
        <w:t xml:space="preserve"> </w:t>
      </w:r>
      <w:r>
        <w:rPr>
          <w:rFonts w:cs="Arial"/>
          <w:snapToGrid w:val="0"/>
        </w:rPr>
        <w:t xml:space="preserve">in the Reference Information </w:t>
      </w:r>
      <w:r>
        <w:rPr>
          <w:rFonts w:cs="Arial"/>
        </w:rPr>
        <w:t xml:space="preserve">beginning on page </w:t>
      </w:r>
      <w:r w:rsidR="00075833">
        <w:rPr>
          <w:rFonts w:cs="Arial"/>
        </w:rPr>
        <w:t>198</w:t>
      </w:r>
      <w:r>
        <w:rPr>
          <w:rFonts w:cs="Arial"/>
        </w:rPr>
        <w:t>.</w:t>
      </w:r>
    </w:p>
    <w:p w14:paraId="0E109154" w14:textId="77777777" w:rsidR="00C64192" w:rsidRPr="00357E20" w:rsidRDefault="00C64192" w:rsidP="00C64192">
      <w:pPr>
        <w:rPr>
          <w:sz w:val="16"/>
          <w:szCs w:val="16"/>
          <w:lang w:eastAsia="ja-JP"/>
        </w:rPr>
      </w:pPr>
    </w:p>
    <w:p w14:paraId="2CA408C0" w14:textId="77777777" w:rsidR="00C64192" w:rsidRDefault="00C64192" w:rsidP="00C64192">
      <w:r>
        <w:rPr>
          <w:noProof/>
        </w:rPr>
        <mc:AlternateContent>
          <mc:Choice Requires="wps">
            <w:drawing>
              <wp:inline distT="0" distB="0" distL="0" distR="0" wp14:anchorId="3EAB8264" wp14:editId="30D2D8B3">
                <wp:extent cx="5924550" cy="1423283"/>
                <wp:effectExtent l="0" t="0" r="19050" b="24765"/>
                <wp:docPr id="1775493576" name="Text Box 1775493576" descr="P7511TB23#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1423283"/>
                        </a:xfrm>
                        <a:prstGeom prst="rect">
                          <a:avLst/>
                        </a:prstGeom>
                        <a:solidFill>
                          <a:srgbClr val="FFFFFF"/>
                        </a:solidFill>
                        <a:ln w="9525">
                          <a:solidFill>
                            <a:srgbClr val="FF0000"/>
                          </a:solidFill>
                          <a:miter lim="800000"/>
                          <a:headEnd/>
                          <a:tailEnd/>
                        </a:ln>
                      </wps:spPr>
                      <wps:txbx>
                        <w:txbxContent>
                          <w:p w14:paraId="0419934A" w14:textId="77777777" w:rsidR="00C64192" w:rsidRDefault="00C64192" w:rsidP="00C64192">
                            <w:pPr>
                              <w:rPr>
                                <w:b/>
                              </w:rPr>
                            </w:pPr>
                            <w:r w:rsidRPr="00DF6A41">
                              <w:rPr>
                                <w:b/>
                              </w:rPr>
                              <w:t>Reporting Period</w:t>
                            </w:r>
                            <w:r>
                              <w:rPr>
                                <w:b/>
                              </w:rPr>
                              <w:t>: 12 months</w:t>
                            </w:r>
                          </w:p>
                          <w:p w14:paraId="643431BB" w14:textId="77777777" w:rsidR="00C64192" w:rsidRDefault="00C64192" w:rsidP="00AD309C">
                            <w:pPr>
                              <w:pStyle w:val="ListParagraph"/>
                              <w:numPr>
                                <w:ilvl w:val="0"/>
                                <w:numId w:val="150"/>
                              </w:numPr>
                              <w:rPr>
                                <w:bCs/>
                              </w:rPr>
                            </w:pPr>
                            <w:r>
                              <w:rPr>
                                <w:bCs/>
                              </w:rPr>
                              <w:t>Survey submitted prior to September 1:</w:t>
                            </w:r>
                          </w:p>
                          <w:p w14:paraId="4164C773" w14:textId="664C920D" w:rsidR="00C64192" w:rsidRDefault="00C64192" w:rsidP="00AD309C">
                            <w:pPr>
                              <w:pStyle w:val="ListParagraph"/>
                              <w:numPr>
                                <w:ilvl w:val="1"/>
                                <w:numId w:val="150"/>
                              </w:numPr>
                              <w:rPr>
                                <w:bCs/>
                              </w:rPr>
                            </w:pPr>
                            <w:r w:rsidRPr="00335DE2">
                              <w:rPr>
                                <w:bCs/>
                              </w:rPr>
                              <w:t>01/01/202</w:t>
                            </w:r>
                            <w:r w:rsidR="006B53CC">
                              <w:rPr>
                                <w:bCs/>
                              </w:rPr>
                              <w:t>5</w:t>
                            </w:r>
                            <w:r w:rsidRPr="00335DE2">
                              <w:rPr>
                                <w:bCs/>
                              </w:rPr>
                              <w:t xml:space="preserve"> </w:t>
                            </w:r>
                            <w:r>
                              <w:rPr>
                                <w:bCs/>
                              </w:rPr>
                              <w:t>–</w:t>
                            </w:r>
                            <w:r w:rsidRPr="00335DE2">
                              <w:rPr>
                                <w:bCs/>
                              </w:rPr>
                              <w:t xml:space="preserve"> 12/31/202</w:t>
                            </w:r>
                            <w:r w:rsidR="006B53CC">
                              <w:rPr>
                                <w:bCs/>
                              </w:rPr>
                              <w:t>5</w:t>
                            </w:r>
                          </w:p>
                          <w:p w14:paraId="52444B90" w14:textId="77777777" w:rsidR="00C64192" w:rsidRDefault="00C64192" w:rsidP="00AD309C">
                            <w:pPr>
                              <w:pStyle w:val="ListParagraph"/>
                              <w:numPr>
                                <w:ilvl w:val="0"/>
                                <w:numId w:val="150"/>
                              </w:numPr>
                              <w:rPr>
                                <w:bCs/>
                              </w:rPr>
                            </w:pPr>
                            <w:r>
                              <w:rPr>
                                <w:bCs/>
                              </w:rPr>
                              <w:t>Surveys submitted on or after September 1:</w:t>
                            </w:r>
                          </w:p>
                          <w:p w14:paraId="2113A36A" w14:textId="6D4AFA99" w:rsidR="00C64192" w:rsidRPr="00335DE2" w:rsidRDefault="00C64192" w:rsidP="00AD309C">
                            <w:pPr>
                              <w:pStyle w:val="ListParagraph"/>
                              <w:numPr>
                                <w:ilvl w:val="1"/>
                                <w:numId w:val="150"/>
                              </w:numPr>
                              <w:rPr>
                                <w:bCs/>
                              </w:rPr>
                            </w:pPr>
                            <w:r>
                              <w:rPr>
                                <w:bCs/>
                              </w:rPr>
                              <w:t>07/01/202</w:t>
                            </w:r>
                            <w:r w:rsidR="006B53CC">
                              <w:rPr>
                                <w:bCs/>
                              </w:rPr>
                              <w:t>5</w:t>
                            </w:r>
                            <w:r>
                              <w:rPr>
                                <w:bCs/>
                              </w:rPr>
                              <w:t xml:space="preserve"> – 06/30/202</w:t>
                            </w:r>
                            <w:r w:rsidR="006B53CC">
                              <w:rPr>
                                <w:bCs/>
                              </w:rPr>
                              <w:t>6</w:t>
                            </w:r>
                          </w:p>
                          <w:p w14:paraId="0970D3A8" w14:textId="77777777" w:rsidR="00C64192" w:rsidRPr="00612B8F" w:rsidRDefault="00C64192" w:rsidP="00C64192">
                            <w:pPr>
                              <w:pStyle w:val="ListParagraph"/>
                              <w:ind w:left="1440"/>
                              <w:rPr>
                                <w:bCs/>
                                <w:sz w:val="16"/>
                                <w:szCs w:val="16"/>
                              </w:rPr>
                            </w:pPr>
                          </w:p>
                          <w:p w14:paraId="487485B5" w14:textId="77777777" w:rsidR="00C64192" w:rsidRPr="00D20A90" w:rsidRDefault="00C64192" w:rsidP="00C64192">
                            <w:pPr>
                              <w:rPr>
                                <w:b/>
                              </w:rPr>
                            </w:pPr>
                            <w:r w:rsidRPr="006547C0">
                              <w:rPr>
                                <w:rFonts w:cs="Arial"/>
                                <w:sz w:val="16"/>
                                <w:szCs w:val="16"/>
                              </w:rPr>
                              <w:t xml:space="preserve">Note: As a reminder, the </w:t>
                            </w:r>
                            <w:hyperlink r:id="rId332" w:history="1">
                              <w:r w:rsidRPr="006547C0">
                                <w:rPr>
                                  <w:rStyle w:val="Hyperlink"/>
                                  <w:rFonts w:cs="Arial"/>
                                  <w:sz w:val="16"/>
                                  <w:szCs w:val="16"/>
                                </w:rPr>
                                <w:t>Corrections Period</w:t>
                              </w:r>
                            </w:hyperlink>
                            <w:r w:rsidRPr="006547C0">
                              <w:rPr>
                                <w:rFonts w:cs="Arial"/>
                                <w:sz w:val="16"/>
                                <w:szCs w:val="16"/>
                              </w:rPr>
                              <w:t xml:space="preserve"> </w:t>
                            </w:r>
                            <w:r w:rsidRPr="00E65E68">
                              <w:rPr>
                                <w:rFonts w:cs="Arial"/>
                                <w:sz w:val="16"/>
                                <w:szCs w:val="16"/>
                              </w:rPr>
                              <w:t>(</w:t>
                            </w:r>
                            <w:r>
                              <w:rPr>
                                <w:rFonts w:cs="Arial"/>
                                <w:sz w:val="16"/>
                                <w:szCs w:val="16"/>
                              </w:rPr>
                              <w:t>December</w:t>
                            </w:r>
                            <w:r w:rsidRPr="00E65E68">
                              <w:rPr>
                                <w:rFonts w:cs="Arial"/>
                                <w:sz w:val="16"/>
                                <w:szCs w:val="16"/>
                              </w:rPr>
                              <w:t xml:space="preserve"> 1-January 31) is reserved for corrections to previously submitted Surveys only. </w:t>
                            </w:r>
                            <w:r w:rsidRPr="00E65E68">
                              <w:rPr>
                                <w:rFonts w:cs="Arial"/>
                                <w:bCs/>
                                <w:snapToGrid w:val="0"/>
                                <w:sz w:val="16"/>
                                <w:szCs w:val="16"/>
                              </w:rPr>
                              <w:t xml:space="preserve">Any updates made to reflect a change in performance must be made prior to the </w:t>
                            </w:r>
                            <w:r>
                              <w:rPr>
                                <w:rFonts w:cs="Arial"/>
                                <w:bCs/>
                                <w:snapToGrid w:val="0"/>
                                <w:sz w:val="16"/>
                                <w:szCs w:val="16"/>
                              </w:rPr>
                              <w:t>November 30</w:t>
                            </w:r>
                            <w:r w:rsidRPr="00E65E68">
                              <w:rPr>
                                <w:rFonts w:cs="Arial"/>
                                <w:bCs/>
                                <w:snapToGrid w:val="0"/>
                                <w:sz w:val="16"/>
                                <w:szCs w:val="16"/>
                              </w:rPr>
                              <w:t xml:space="preserve"> Late Submission </w:t>
                            </w:r>
                            <w:r>
                              <w:rPr>
                                <w:rFonts w:cs="Arial"/>
                                <w:bCs/>
                                <w:snapToGrid w:val="0"/>
                                <w:sz w:val="16"/>
                                <w:szCs w:val="16"/>
                              </w:rPr>
                              <w:t xml:space="preserve">and Performance Update </w:t>
                            </w:r>
                            <w:r w:rsidRPr="00E65E68">
                              <w:rPr>
                                <w:rFonts w:cs="Arial"/>
                                <w:bCs/>
                                <w:snapToGrid w:val="0"/>
                                <w:sz w:val="16"/>
                                <w:szCs w:val="16"/>
                              </w:rPr>
                              <w:t xml:space="preserve">Deadline. Updates made to reflect a change in performance after </w:t>
                            </w:r>
                            <w:r>
                              <w:rPr>
                                <w:rFonts w:cs="Arial"/>
                                <w:bCs/>
                                <w:snapToGrid w:val="0"/>
                                <w:sz w:val="16"/>
                                <w:szCs w:val="16"/>
                              </w:rPr>
                              <w:t>November 30</w:t>
                            </w:r>
                            <w:r w:rsidRPr="00E65E68">
                              <w:rPr>
                                <w:rFonts w:cs="Arial"/>
                                <w:bCs/>
                                <w:snapToGrid w:val="0"/>
                                <w:sz w:val="16"/>
                                <w:szCs w:val="16"/>
                              </w:rPr>
                              <w:t xml:space="preserve"> will not be scored or publicly reported.</w:t>
                            </w:r>
                          </w:p>
                        </w:txbxContent>
                      </wps:txbx>
                      <wps:bodyPr rot="0" vert="horz" wrap="square" lIns="91440" tIns="45720" rIns="91440" bIns="45720" anchor="t" anchorCtr="0">
                        <a:noAutofit/>
                      </wps:bodyPr>
                    </wps:wsp>
                  </a:graphicData>
                </a:graphic>
              </wp:inline>
            </w:drawing>
          </mc:Choice>
          <mc:Fallback>
            <w:pict>
              <v:shape w14:anchorId="3EAB8264" id="Text Box 1775493576" o:spid="_x0000_s1050" type="#_x0000_t202" alt="P7511TB23#y1" style="width:466.5pt;height:112.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" strokecolor="red">
                <v:textbox>
                  <w:txbxContent>
                    <w:p w14:paraId="0419934A" w14:textId="77777777" w:rsidR="00C64192" w:rsidRDefault="00C64192" w:rsidP="00C64192">
                      <w:pPr>
                        <w:rPr>
                          <w:b/>
                        </w:rPr>
                      </w:pPr>
                      <w:r w:rsidRPr="00DF6A41">
                        <w:rPr>
                          <w:b/>
                        </w:rPr>
                        <w:t>Reporting Period</w:t>
                      </w:r>
                      <w:r>
                        <w:rPr>
                          <w:b/>
                        </w:rPr>
                        <w:t>: 12 months</w:t>
                      </w:r>
                    </w:p>
                    <w:p w14:paraId="643431BB" w14:textId="77777777" w:rsidR="00C64192" w:rsidRDefault="00C64192" w:rsidP="00AD309C">
                      <w:pPr>
                        <w:pStyle w:val="ListParagraph"/>
                        <w:numPr>
                          <w:ilvl w:val="0"/>
                          <w:numId w:val="150"/>
                        </w:numPr>
                        <w:rPr>
                          <w:bCs/>
                        </w:rPr>
                      </w:pPr>
                      <w:r>
                        <w:rPr>
                          <w:bCs/>
                        </w:rPr>
                        <w:t>Survey submitted prior to September 1:</w:t>
                      </w:r>
                    </w:p>
                    <w:p w14:paraId="4164C773" w14:textId="664C920D" w:rsidR="00C64192" w:rsidRDefault="00C64192" w:rsidP="00AD309C">
                      <w:pPr>
                        <w:pStyle w:val="ListParagraph"/>
                        <w:numPr>
                          <w:ilvl w:val="1"/>
                          <w:numId w:val="150"/>
                        </w:numPr>
                        <w:rPr>
                          <w:bCs/>
                        </w:rPr>
                      </w:pPr>
                      <w:r w:rsidRPr="00335DE2">
                        <w:rPr>
                          <w:bCs/>
                        </w:rPr>
                        <w:t>01/01/202</w:t>
                      </w:r>
                      <w:r w:rsidR="006B53CC">
                        <w:rPr>
                          <w:bCs/>
                        </w:rPr>
                        <w:t>5</w:t>
                      </w:r>
                      <w:r w:rsidRPr="00335DE2">
                        <w:rPr>
                          <w:bCs/>
                        </w:rPr>
                        <w:t xml:space="preserve"> </w:t>
                      </w:r>
                      <w:r>
                        <w:rPr>
                          <w:bCs/>
                        </w:rPr>
                        <w:t>–</w:t>
                      </w:r>
                      <w:r w:rsidRPr="00335DE2">
                        <w:rPr>
                          <w:bCs/>
                        </w:rPr>
                        <w:t xml:space="preserve"> 12/31/202</w:t>
                      </w:r>
                      <w:r w:rsidR="006B53CC">
                        <w:rPr>
                          <w:bCs/>
                        </w:rPr>
                        <w:t>5</w:t>
                      </w:r>
                    </w:p>
                    <w:p w14:paraId="52444B90" w14:textId="77777777" w:rsidR="00C64192" w:rsidRDefault="00C64192" w:rsidP="00AD309C">
                      <w:pPr>
                        <w:pStyle w:val="ListParagraph"/>
                        <w:numPr>
                          <w:ilvl w:val="0"/>
                          <w:numId w:val="150"/>
                        </w:numPr>
                        <w:rPr>
                          <w:bCs/>
                        </w:rPr>
                      </w:pPr>
                      <w:r>
                        <w:rPr>
                          <w:bCs/>
                        </w:rPr>
                        <w:t>Surveys submitted on or after September 1:</w:t>
                      </w:r>
                    </w:p>
                    <w:p w14:paraId="2113A36A" w14:textId="6D4AFA99" w:rsidR="00C64192" w:rsidRPr="00335DE2" w:rsidRDefault="00C64192" w:rsidP="00AD309C">
                      <w:pPr>
                        <w:pStyle w:val="ListParagraph"/>
                        <w:numPr>
                          <w:ilvl w:val="1"/>
                          <w:numId w:val="150"/>
                        </w:numPr>
                        <w:rPr>
                          <w:bCs/>
                        </w:rPr>
                      </w:pPr>
                      <w:r>
                        <w:rPr>
                          <w:bCs/>
                        </w:rPr>
                        <w:t>07/01/202</w:t>
                      </w:r>
                      <w:r w:rsidR="006B53CC">
                        <w:rPr>
                          <w:bCs/>
                        </w:rPr>
                        <w:t>5</w:t>
                      </w:r>
                      <w:r>
                        <w:rPr>
                          <w:bCs/>
                        </w:rPr>
                        <w:t xml:space="preserve"> – 06/30/202</w:t>
                      </w:r>
                      <w:r w:rsidR="006B53CC">
                        <w:rPr>
                          <w:bCs/>
                        </w:rPr>
                        <w:t>6</w:t>
                      </w:r>
                    </w:p>
                    <w:p w14:paraId="0970D3A8" w14:textId="77777777" w:rsidR="00C64192" w:rsidRPr="00612B8F" w:rsidRDefault="00C64192" w:rsidP="00C64192">
                      <w:pPr>
                        <w:pStyle w:val="ListParagraph"/>
                        <w:ind w:left="1440"/>
                        <w:rPr>
                          <w:bCs/>
                          <w:sz w:val="16"/>
                          <w:szCs w:val="16"/>
                        </w:rPr>
                      </w:pPr>
                    </w:p>
                    <w:p w14:paraId="487485B5" w14:textId="77777777" w:rsidR="00C64192" w:rsidRPr="00D20A90" w:rsidRDefault="00C64192" w:rsidP="00C64192">
                      <w:pPr>
                        <w:rPr>
                          <w:b/>
                        </w:rPr>
                      </w:pPr>
                      <w:r w:rsidRPr="006547C0">
                        <w:rPr>
                          <w:rFonts w:cs="Arial"/>
                          <w:sz w:val="16"/>
                          <w:szCs w:val="16"/>
                        </w:rPr>
                        <w:t xml:space="preserve">Note: As a reminder, the </w:t>
                      </w:r>
                      <w:hyperlink r:id="rId333" w:history="1">
                        <w:r w:rsidRPr="006547C0">
                          <w:rPr>
                            <w:rStyle w:val="Hyperlink"/>
                            <w:rFonts w:cs="Arial"/>
                            <w:sz w:val="16"/>
                            <w:szCs w:val="16"/>
                          </w:rPr>
                          <w:t>Corrections Period</w:t>
                        </w:r>
                      </w:hyperlink>
                      <w:r w:rsidRPr="006547C0">
                        <w:rPr>
                          <w:rFonts w:cs="Arial"/>
                          <w:sz w:val="16"/>
                          <w:szCs w:val="16"/>
                        </w:rPr>
                        <w:t xml:space="preserve"> </w:t>
                      </w:r>
                      <w:r w:rsidRPr="00E65E68">
                        <w:rPr>
                          <w:rFonts w:cs="Arial"/>
                          <w:sz w:val="16"/>
                          <w:szCs w:val="16"/>
                        </w:rPr>
                        <w:t>(</w:t>
                      </w:r>
                      <w:r>
                        <w:rPr>
                          <w:rFonts w:cs="Arial"/>
                          <w:sz w:val="16"/>
                          <w:szCs w:val="16"/>
                        </w:rPr>
                        <w:t>December</w:t>
                      </w:r>
                      <w:r w:rsidRPr="00E65E68">
                        <w:rPr>
                          <w:rFonts w:cs="Arial"/>
                          <w:sz w:val="16"/>
                          <w:szCs w:val="16"/>
                        </w:rPr>
                        <w:t xml:space="preserve"> 1-January 31) is reserved for corrections to previously submitted Surveys only. </w:t>
                      </w:r>
                      <w:r w:rsidRPr="00E65E68">
                        <w:rPr>
                          <w:rFonts w:cs="Arial"/>
                          <w:bCs/>
                          <w:snapToGrid w:val="0"/>
                          <w:sz w:val="16"/>
                          <w:szCs w:val="16"/>
                        </w:rPr>
                        <w:t xml:space="preserve">Any updates made to reflect a change in performance must be made prior to the </w:t>
                      </w:r>
                      <w:r>
                        <w:rPr>
                          <w:rFonts w:cs="Arial"/>
                          <w:bCs/>
                          <w:snapToGrid w:val="0"/>
                          <w:sz w:val="16"/>
                          <w:szCs w:val="16"/>
                        </w:rPr>
                        <w:t>November 30</w:t>
                      </w:r>
                      <w:r w:rsidRPr="00E65E68">
                        <w:rPr>
                          <w:rFonts w:cs="Arial"/>
                          <w:bCs/>
                          <w:snapToGrid w:val="0"/>
                          <w:sz w:val="16"/>
                          <w:szCs w:val="16"/>
                        </w:rPr>
                        <w:t xml:space="preserve"> Late Submission </w:t>
                      </w:r>
                      <w:r>
                        <w:rPr>
                          <w:rFonts w:cs="Arial"/>
                          <w:bCs/>
                          <w:snapToGrid w:val="0"/>
                          <w:sz w:val="16"/>
                          <w:szCs w:val="16"/>
                        </w:rPr>
                        <w:t xml:space="preserve">and Performance Update </w:t>
                      </w:r>
                      <w:r w:rsidRPr="00E65E68">
                        <w:rPr>
                          <w:rFonts w:cs="Arial"/>
                          <w:bCs/>
                          <w:snapToGrid w:val="0"/>
                          <w:sz w:val="16"/>
                          <w:szCs w:val="16"/>
                        </w:rPr>
                        <w:t xml:space="preserve">Deadline. Updates made to reflect a change in performance after </w:t>
                      </w:r>
                      <w:r>
                        <w:rPr>
                          <w:rFonts w:cs="Arial"/>
                          <w:bCs/>
                          <w:snapToGrid w:val="0"/>
                          <w:sz w:val="16"/>
                          <w:szCs w:val="16"/>
                        </w:rPr>
                        <w:t>November 30</w:t>
                      </w:r>
                      <w:r w:rsidRPr="00E65E68">
                        <w:rPr>
                          <w:rFonts w:cs="Arial"/>
                          <w:bCs/>
                          <w:snapToGrid w:val="0"/>
                          <w:sz w:val="16"/>
                          <w:szCs w:val="16"/>
                        </w:rPr>
                        <w:t xml:space="preserve"> will not be scored or publicly reported.</w:t>
                      </w:r>
                    </w:p>
                  </w:txbxContent>
                </v:textbox>
                <w10:anchorlock/>
              </v:shape>
            </w:pict>
          </mc:Fallback>
        </mc:AlternateContent>
      </w:r>
    </w:p>
    <w:p w14:paraId="2BF0814C" w14:textId="77777777" w:rsidR="00C64192" w:rsidRPr="00332C4D" w:rsidRDefault="00C64192" w:rsidP="00C64192"/>
    <w:tbl>
      <w:tblPr>
        <w:tblStyle w:val="TableGrid"/>
        <w:tblW w:w="0" w:type="auto"/>
        <w:tblLook w:val="04A0" w:firstRow="1" w:lastRow="0" w:firstColumn="1" w:lastColumn="0" w:noHBand="0" w:noVBand="1"/>
      </w:tblPr>
      <w:tblGrid>
        <w:gridCol w:w="6115"/>
        <w:gridCol w:w="3235"/>
      </w:tblGrid>
      <w:tr w:rsidR="00C64192" w:rsidRPr="00C645E0" w14:paraId="7FDA16FA" w14:textId="77777777" w:rsidTr="00D73F6A">
        <w:trPr>
          <w:trHeight w:val="20"/>
        </w:trPr>
        <w:tc>
          <w:tcPr>
            <w:tcW w:w="6115" w:type="dxa"/>
            <w:vAlign w:val="center"/>
          </w:tcPr>
          <w:p w14:paraId="449D0864" w14:textId="77777777" w:rsidR="00C64192" w:rsidRDefault="00C64192" w:rsidP="00AD309C">
            <w:pPr>
              <w:pStyle w:val="ListParagraph"/>
              <w:numPr>
                <w:ilvl w:val="0"/>
                <w:numId w:val="147"/>
              </w:numPr>
            </w:pPr>
            <w:r>
              <w:t>12-month reporting period used:</w:t>
            </w:r>
          </w:p>
        </w:tc>
        <w:tc>
          <w:tcPr>
            <w:tcW w:w="3235" w:type="dxa"/>
            <w:vAlign w:val="center"/>
          </w:tcPr>
          <w:p w14:paraId="5757BE9E" w14:textId="7A9D2D5F" w:rsidR="00C64192" w:rsidRPr="00C06753" w:rsidRDefault="00C64192" w:rsidP="00AD309C">
            <w:pPr>
              <w:pStyle w:val="ListParagraph"/>
              <w:numPr>
                <w:ilvl w:val="0"/>
                <w:numId w:val="347"/>
              </w:numPr>
              <w:spacing w:line="276" w:lineRule="auto"/>
              <w:rPr>
                <w:iCs/>
              </w:rPr>
            </w:pPr>
            <w:r w:rsidRPr="00C8246A">
              <w:rPr>
                <w:iCs/>
              </w:rPr>
              <w:t>01/01/202</w:t>
            </w:r>
            <w:r w:rsidR="006B53CC">
              <w:rPr>
                <w:iCs/>
              </w:rPr>
              <w:t>5</w:t>
            </w:r>
            <w:r w:rsidRPr="00C06753">
              <w:rPr>
                <w:iCs/>
              </w:rPr>
              <w:t xml:space="preserve"> – 12/31/202</w:t>
            </w:r>
            <w:r w:rsidR="006B53CC">
              <w:rPr>
                <w:iCs/>
              </w:rPr>
              <w:t>5</w:t>
            </w:r>
          </w:p>
          <w:p w14:paraId="5C388884" w14:textId="5E604437" w:rsidR="00C64192" w:rsidRPr="00375777" w:rsidRDefault="00C64192" w:rsidP="00AD309C">
            <w:pPr>
              <w:pStyle w:val="ListParagraph"/>
              <w:numPr>
                <w:ilvl w:val="0"/>
                <w:numId w:val="347"/>
              </w:numPr>
              <w:spacing w:line="276" w:lineRule="auto"/>
              <w:rPr>
                <w:iCs/>
              </w:rPr>
            </w:pPr>
            <w:r w:rsidRPr="00C06753">
              <w:rPr>
                <w:iCs/>
              </w:rPr>
              <w:t>07/01/202</w:t>
            </w:r>
            <w:r w:rsidR="006B53CC">
              <w:rPr>
                <w:iCs/>
              </w:rPr>
              <w:t>5</w:t>
            </w:r>
            <w:r w:rsidRPr="00C06753">
              <w:rPr>
                <w:iCs/>
              </w:rPr>
              <w:t xml:space="preserve"> – 06/30/202</w:t>
            </w:r>
            <w:r w:rsidR="006B53CC">
              <w:rPr>
                <w:iCs/>
              </w:rPr>
              <w:t>6</w:t>
            </w:r>
          </w:p>
        </w:tc>
      </w:tr>
      <w:tr w:rsidR="00C64192" w:rsidRPr="00C645E0" w14:paraId="63EF064F" w14:textId="77777777" w:rsidTr="00D73F6A">
        <w:trPr>
          <w:trHeight w:val="720"/>
        </w:trPr>
        <w:tc>
          <w:tcPr>
            <w:tcW w:w="6115" w:type="dxa"/>
            <w:vAlign w:val="center"/>
          </w:tcPr>
          <w:p w14:paraId="571CB4E1" w14:textId="252D6572" w:rsidR="00C64192" w:rsidRPr="00BB2FA4" w:rsidRDefault="00C64192" w:rsidP="00AD309C">
            <w:pPr>
              <w:pStyle w:val="ListParagraph"/>
              <w:numPr>
                <w:ilvl w:val="0"/>
                <w:numId w:val="147"/>
              </w:numPr>
              <w:rPr>
                <w:rFonts w:cs="Arial"/>
              </w:rPr>
            </w:pPr>
            <w:r w:rsidRPr="00BB2FA4">
              <w:rPr>
                <w:rFonts w:cs="Arial"/>
              </w:rPr>
              <w:t>Did your hospital calculate</w:t>
            </w:r>
            <w:r>
              <w:rPr>
                <w:rFonts w:cs="Arial"/>
              </w:rPr>
              <w:t xml:space="preserve"> total number of patient days,</w:t>
            </w:r>
            <w:r w:rsidRPr="00BB2FA4">
              <w:rPr>
                <w:rFonts w:cs="Arial"/>
              </w:rPr>
              <w:t xml:space="preserve"> </w:t>
            </w:r>
            <w:r>
              <w:rPr>
                <w:rFonts w:cs="Arial"/>
              </w:rPr>
              <w:t>total number of productive hours worked by employed and contracted nursing staff with direct patient care responsibilities (RN, LPN/LVN, and UAP), and total number of productive hours worked by RN nursing staff with direct patient care responsibilities</w:t>
            </w:r>
            <w:r w:rsidRPr="00BB2FA4">
              <w:rPr>
                <w:rFonts w:cs="Arial"/>
              </w:rPr>
              <w:t xml:space="preserve"> for the reporting period</w:t>
            </w:r>
            <w:r w:rsidR="00232E44">
              <w:rPr>
                <w:rFonts w:cs="Arial"/>
              </w:rPr>
              <w:t xml:space="preserve"> in </w:t>
            </w:r>
            <w:r w:rsidR="00232E44">
              <w:rPr>
                <w:rFonts w:cs="Arial"/>
                <w:bCs/>
                <w:snapToGrid w:val="0"/>
              </w:rPr>
              <w:t>s</w:t>
            </w:r>
            <w:r w:rsidR="00232E44" w:rsidRPr="000873A5">
              <w:rPr>
                <w:rFonts w:cs="Arial"/>
                <w:bCs/>
                <w:snapToGrid w:val="0"/>
              </w:rPr>
              <w:t xml:space="preserve">ingle or mixed acuity Medical, Surgical, </w:t>
            </w:r>
            <w:r w:rsidR="00232E44">
              <w:rPr>
                <w:rFonts w:cs="Arial"/>
                <w:bCs/>
                <w:snapToGrid w:val="0"/>
              </w:rPr>
              <w:t>and/</w:t>
            </w:r>
            <w:r w:rsidR="00232E44" w:rsidRPr="000873A5">
              <w:rPr>
                <w:rFonts w:cs="Arial"/>
                <w:bCs/>
                <w:snapToGrid w:val="0"/>
              </w:rPr>
              <w:t>or Med-Surg Units</w:t>
            </w:r>
            <w:r w:rsidRPr="00BB2FA4">
              <w:rPr>
                <w:rFonts w:cs="Arial"/>
              </w:rPr>
              <w:t>, and do you choose to report those data to this Survey?</w:t>
            </w:r>
          </w:p>
          <w:p w14:paraId="0353FF66" w14:textId="77777777" w:rsidR="00C64192" w:rsidRPr="00E56A49" w:rsidRDefault="00C64192" w:rsidP="00D73F6A">
            <w:pPr>
              <w:rPr>
                <w:rFonts w:cs="Arial"/>
              </w:rPr>
            </w:pPr>
          </w:p>
          <w:p w14:paraId="1D220CC7" w14:textId="14479615" w:rsidR="00C64192" w:rsidRDefault="00C64192" w:rsidP="00D73F6A">
            <w:pPr>
              <w:pStyle w:val="ListParagraph"/>
              <w:ind w:left="360"/>
              <w:rPr>
                <w:rFonts w:cs="Arial"/>
                <w:i/>
              </w:rPr>
            </w:pPr>
            <w:r w:rsidRPr="00E56A49">
              <w:rPr>
                <w:rFonts w:cs="Arial"/>
                <w:i/>
              </w:rPr>
              <w:t>If “no” to question #</w:t>
            </w:r>
            <w:r w:rsidR="00E35B29">
              <w:rPr>
                <w:rFonts w:cs="Arial"/>
                <w:i/>
              </w:rPr>
              <w:t>2</w:t>
            </w:r>
            <w:r w:rsidRPr="00E56A49">
              <w:rPr>
                <w:rFonts w:cs="Arial"/>
                <w:i/>
              </w:rPr>
              <w:t>, skip question</w:t>
            </w:r>
            <w:r w:rsidR="00482DAC">
              <w:rPr>
                <w:rFonts w:cs="Arial"/>
                <w:i/>
              </w:rPr>
              <w:t>s</w:t>
            </w:r>
            <w:r w:rsidRPr="00E56A49">
              <w:rPr>
                <w:rFonts w:cs="Arial"/>
                <w:i/>
              </w:rPr>
              <w:t xml:space="preserve"> </w:t>
            </w:r>
            <w:r>
              <w:rPr>
                <w:rFonts w:cs="Arial"/>
                <w:i/>
              </w:rPr>
              <w:t>#</w:t>
            </w:r>
            <w:r w:rsidR="00310092">
              <w:rPr>
                <w:rFonts w:cs="Arial"/>
                <w:i/>
              </w:rPr>
              <w:t>3</w:t>
            </w:r>
            <w:r w:rsidR="00482DAC">
              <w:rPr>
                <w:rFonts w:cs="Arial"/>
                <w:i/>
              </w:rPr>
              <w:t>-16</w:t>
            </w:r>
            <w:r>
              <w:rPr>
                <w:rFonts w:cs="Arial"/>
                <w:i/>
              </w:rPr>
              <w:t xml:space="preserve"> and continue to question #1</w:t>
            </w:r>
            <w:r w:rsidR="00AF59F3">
              <w:rPr>
                <w:rFonts w:cs="Arial"/>
                <w:i/>
              </w:rPr>
              <w:t>7</w:t>
            </w:r>
            <w:r>
              <w:rPr>
                <w:rFonts w:cs="Arial"/>
                <w:i/>
              </w:rPr>
              <w:t xml:space="preserve">. </w:t>
            </w:r>
            <w:r w:rsidRPr="00127403">
              <w:rPr>
                <w:rFonts w:cs="Arial"/>
                <w:i/>
              </w:rPr>
              <w:t>The hospital will be scored as “</w:t>
            </w:r>
            <w:r w:rsidR="003233F9">
              <w:rPr>
                <w:rFonts w:cs="Arial"/>
                <w:i/>
              </w:rPr>
              <w:t>Did Not Measure</w:t>
            </w:r>
            <w:r w:rsidRPr="00127403">
              <w:rPr>
                <w:rFonts w:cs="Arial"/>
                <w:i/>
              </w:rPr>
              <w:t>.”</w:t>
            </w:r>
          </w:p>
          <w:p w14:paraId="77781FB0" w14:textId="77777777" w:rsidR="00225E35" w:rsidRDefault="00225E35" w:rsidP="00D73F6A">
            <w:pPr>
              <w:pStyle w:val="ListParagraph"/>
              <w:ind w:left="360"/>
              <w:rPr>
                <w:i/>
              </w:rPr>
            </w:pPr>
          </w:p>
          <w:p w14:paraId="57D98426" w14:textId="5AE0D5B8" w:rsidR="00CE59E8" w:rsidRDefault="00CE59E8" w:rsidP="00D73F6A">
            <w:pPr>
              <w:pStyle w:val="ListParagraph"/>
              <w:ind w:left="360"/>
              <w:rPr>
                <w:i/>
              </w:rPr>
            </w:pPr>
            <w:r w:rsidRPr="00CE59E8">
              <w:rPr>
                <w:i/>
              </w:rPr>
              <w:t>If “does not apply</w:t>
            </w:r>
            <w:r w:rsidR="00392207">
              <w:rPr>
                <w:i/>
              </w:rPr>
              <w:t>;</w:t>
            </w:r>
            <w:r w:rsidRPr="00CE59E8">
              <w:rPr>
                <w:i/>
              </w:rPr>
              <w:t xml:space="preserve"> hospital does not operate applicable units,” skip questions #3-16 and continue to question #17. The hospital will be scored as “Does Not Apply.”</w:t>
            </w:r>
          </w:p>
          <w:p w14:paraId="48798F7F" w14:textId="4A368F4C" w:rsidR="00225E35" w:rsidRDefault="00225E35" w:rsidP="00D73F6A">
            <w:pPr>
              <w:pStyle w:val="ListParagraph"/>
              <w:ind w:left="360"/>
            </w:pPr>
          </w:p>
        </w:tc>
        <w:tc>
          <w:tcPr>
            <w:tcW w:w="3235" w:type="dxa"/>
            <w:vAlign w:val="center"/>
          </w:tcPr>
          <w:p w14:paraId="7A82D1C1" w14:textId="77777777" w:rsidR="00C64192" w:rsidRPr="00C8246A" w:rsidRDefault="00C64192" w:rsidP="00AD309C">
            <w:pPr>
              <w:pStyle w:val="ListParagraph"/>
              <w:numPr>
                <w:ilvl w:val="0"/>
                <w:numId w:val="349"/>
              </w:numPr>
              <w:rPr>
                <w:rFonts w:cs="Arial"/>
                <w:iCs/>
              </w:rPr>
            </w:pPr>
            <w:r w:rsidRPr="00C8246A">
              <w:rPr>
                <w:rFonts w:cs="Arial"/>
                <w:iCs/>
              </w:rPr>
              <w:t>Yes</w:t>
            </w:r>
          </w:p>
          <w:p w14:paraId="3383F33E" w14:textId="77777777" w:rsidR="00C64192" w:rsidRDefault="00C64192" w:rsidP="00AD309C">
            <w:pPr>
              <w:pStyle w:val="ListParagraph"/>
              <w:numPr>
                <w:ilvl w:val="0"/>
                <w:numId w:val="349"/>
              </w:numPr>
              <w:rPr>
                <w:rFonts w:cs="Arial"/>
                <w:iCs/>
              </w:rPr>
            </w:pPr>
            <w:r w:rsidRPr="00C8246A">
              <w:rPr>
                <w:rFonts w:cs="Arial"/>
                <w:iCs/>
              </w:rPr>
              <w:t>No</w:t>
            </w:r>
          </w:p>
          <w:p w14:paraId="07B5C90F" w14:textId="4B9AAF8A" w:rsidR="00225E35" w:rsidRPr="00375777" w:rsidRDefault="00225E35" w:rsidP="00AD309C">
            <w:pPr>
              <w:pStyle w:val="ListParagraph"/>
              <w:numPr>
                <w:ilvl w:val="0"/>
                <w:numId w:val="349"/>
              </w:numPr>
              <w:rPr>
                <w:rFonts w:cs="Arial"/>
                <w:iCs/>
              </w:rPr>
            </w:pPr>
            <w:r>
              <w:rPr>
                <w:rFonts w:cs="Arial"/>
                <w:iCs/>
              </w:rPr>
              <w:t>Does not apply</w:t>
            </w:r>
            <w:r w:rsidR="00BF2A68">
              <w:rPr>
                <w:rFonts w:cs="Arial"/>
                <w:iCs/>
              </w:rPr>
              <w:t>;</w:t>
            </w:r>
            <w:r>
              <w:rPr>
                <w:rFonts w:cs="Arial"/>
                <w:iCs/>
              </w:rPr>
              <w:t xml:space="preserve"> hospital does not operate applicable units</w:t>
            </w:r>
          </w:p>
        </w:tc>
      </w:tr>
      <w:tr w:rsidR="00C64192" w:rsidRPr="00C645E0" w14:paraId="114AEC0D" w14:textId="77777777" w:rsidTr="00D73F6A">
        <w:trPr>
          <w:trHeight w:val="20"/>
        </w:trPr>
        <w:tc>
          <w:tcPr>
            <w:tcW w:w="6115" w:type="dxa"/>
            <w:vAlign w:val="center"/>
          </w:tcPr>
          <w:p w14:paraId="63D1F7F0" w14:textId="77777777" w:rsidR="00C64192" w:rsidRPr="00F74A72" w:rsidRDefault="00C64192" w:rsidP="00AD309C">
            <w:pPr>
              <w:pStyle w:val="ListParagraph"/>
              <w:numPr>
                <w:ilvl w:val="0"/>
                <w:numId w:val="147"/>
              </w:numPr>
              <w:rPr>
                <w:rFonts w:cs="Arial"/>
              </w:rPr>
            </w:pPr>
            <w:r w:rsidRPr="00DB5E31">
              <w:rPr>
                <w:rFonts w:cs="Arial"/>
              </w:rPr>
              <w:t xml:space="preserve">Which method did your hospital use to </w:t>
            </w:r>
            <w:r>
              <w:rPr>
                <w:rFonts w:cs="Arial"/>
              </w:rPr>
              <w:t xml:space="preserve">calculate </w:t>
            </w:r>
            <w:r w:rsidRPr="00DB5E31">
              <w:rPr>
                <w:rFonts w:cs="Arial"/>
              </w:rPr>
              <w:t xml:space="preserve">the total number of patient days for each </w:t>
            </w:r>
            <w:r>
              <w:rPr>
                <w:rFonts w:cs="Arial"/>
              </w:rPr>
              <w:t>single acuity</w:t>
            </w:r>
            <w:r w:rsidRPr="00DB5E31">
              <w:rPr>
                <w:rFonts w:cs="Arial"/>
              </w:rPr>
              <w:t xml:space="preserve"> </w:t>
            </w:r>
            <w:r>
              <w:rPr>
                <w:rFonts w:cs="Arial"/>
              </w:rPr>
              <w:t>M</w:t>
            </w:r>
            <w:r w:rsidRPr="00DB5E31">
              <w:rPr>
                <w:rFonts w:cs="Arial"/>
              </w:rPr>
              <w:t xml:space="preserve">edical, </w:t>
            </w:r>
            <w:r>
              <w:rPr>
                <w:rFonts w:cs="Arial"/>
              </w:rPr>
              <w:t>S</w:t>
            </w:r>
            <w:r w:rsidRPr="00DB5E31">
              <w:rPr>
                <w:rFonts w:cs="Arial"/>
              </w:rPr>
              <w:t>urgical</w:t>
            </w:r>
            <w:r>
              <w:rPr>
                <w:rFonts w:cs="Arial"/>
              </w:rPr>
              <w:t>,</w:t>
            </w:r>
            <w:r w:rsidRPr="00DB5E31">
              <w:rPr>
                <w:rFonts w:cs="Arial"/>
              </w:rPr>
              <w:t xml:space="preserve"> </w:t>
            </w:r>
            <w:r>
              <w:rPr>
                <w:rFonts w:cs="Arial"/>
              </w:rPr>
              <w:t>M</w:t>
            </w:r>
            <w:r w:rsidRPr="00DB5E31">
              <w:rPr>
                <w:rFonts w:cs="Arial"/>
              </w:rPr>
              <w:t>ed-</w:t>
            </w:r>
            <w:r>
              <w:rPr>
                <w:rFonts w:cs="Arial"/>
              </w:rPr>
              <w:t>S</w:t>
            </w:r>
            <w:r w:rsidRPr="00DB5E31">
              <w:rPr>
                <w:rFonts w:cs="Arial"/>
              </w:rPr>
              <w:t>urg</w:t>
            </w:r>
            <w:r>
              <w:rPr>
                <w:rFonts w:cs="Arial"/>
              </w:rPr>
              <w:t xml:space="preserve"> or mixed acuity </w:t>
            </w:r>
            <w:r>
              <w:t>Medical, Surgical or Med-Surg</w:t>
            </w:r>
            <w:r w:rsidRPr="00DB5E31">
              <w:rPr>
                <w:rFonts w:cs="Arial"/>
              </w:rPr>
              <w:t xml:space="preserve"> </w:t>
            </w:r>
            <w:r>
              <w:rPr>
                <w:rFonts w:cs="Arial"/>
              </w:rPr>
              <w:t>U</w:t>
            </w:r>
            <w:r w:rsidRPr="00DB5E31">
              <w:rPr>
                <w:rFonts w:cs="Arial"/>
              </w:rPr>
              <w:t>nit?</w:t>
            </w:r>
          </w:p>
        </w:tc>
        <w:tc>
          <w:tcPr>
            <w:tcW w:w="3235" w:type="dxa"/>
            <w:vAlign w:val="center"/>
          </w:tcPr>
          <w:p w14:paraId="1E7CEE8D" w14:textId="77777777" w:rsidR="00913B43" w:rsidRPr="0004565D" w:rsidRDefault="00C64192" w:rsidP="00AD309C">
            <w:pPr>
              <w:pStyle w:val="ListParagraph"/>
              <w:numPr>
                <w:ilvl w:val="0"/>
                <w:numId w:val="350"/>
              </w:numPr>
              <w:rPr>
                <w:rFonts w:cs="Arial"/>
                <w:iCs/>
              </w:rPr>
            </w:pPr>
            <w:r w:rsidRPr="00C8246A">
              <w:rPr>
                <w:rFonts w:cs="Arial"/>
                <w:iCs/>
              </w:rPr>
              <w:t>Midnight census</w:t>
            </w:r>
            <w:r w:rsidR="00913B43">
              <w:rPr>
                <w:rFonts w:cs="Arial"/>
                <w:iCs/>
              </w:rPr>
              <w:t xml:space="preserve"> </w:t>
            </w:r>
            <w:r w:rsidR="00913B43" w:rsidRPr="0004565D">
              <w:rPr>
                <w:rFonts w:cs="Arial"/>
                <w:iCs/>
              </w:rPr>
              <w:t>(including observation patients)</w:t>
            </w:r>
          </w:p>
          <w:p w14:paraId="39D868AC" w14:textId="77777777" w:rsidR="00913B43" w:rsidRPr="0004565D" w:rsidRDefault="00913B43" w:rsidP="00AD309C">
            <w:pPr>
              <w:pStyle w:val="ListParagraph"/>
              <w:numPr>
                <w:ilvl w:val="0"/>
                <w:numId w:val="350"/>
              </w:numPr>
              <w:rPr>
                <w:rFonts w:cs="Arial"/>
                <w:iCs/>
              </w:rPr>
            </w:pPr>
            <w:r w:rsidRPr="0004565D">
              <w:rPr>
                <w:rFonts w:cs="Arial"/>
                <w:iCs/>
              </w:rPr>
              <w:t>Midnight census and patient days from actual hours for short stay patients</w:t>
            </w:r>
          </w:p>
          <w:p w14:paraId="691C6228" w14:textId="77777777" w:rsidR="00C64192" w:rsidRPr="00C8246A" w:rsidRDefault="00C64192" w:rsidP="00AD309C">
            <w:pPr>
              <w:pStyle w:val="ListParagraph"/>
              <w:numPr>
                <w:ilvl w:val="0"/>
                <w:numId w:val="350"/>
              </w:numPr>
              <w:rPr>
                <w:rFonts w:cs="Arial"/>
                <w:iCs/>
              </w:rPr>
            </w:pPr>
            <w:r w:rsidRPr="00C8246A">
              <w:rPr>
                <w:rFonts w:cs="Arial"/>
                <w:iCs/>
              </w:rPr>
              <w:t>Patient days from actual hours</w:t>
            </w:r>
          </w:p>
          <w:p w14:paraId="5C71B573" w14:textId="79F1FE5D" w:rsidR="00C64192" w:rsidRPr="00901BC5" w:rsidRDefault="00C64192" w:rsidP="00AD309C">
            <w:pPr>
              <w:pStyle w:val="ListParagraph"/>
              <w:numPr>
                <w:ilvl w:val="0"/>
                <w:numId w:val="350"/>
              </w:numPr>
              <w:rPr>
                <w:rFonts w:cs="Arial"/>
                <w:i/>
              </w:rPr>
            </w:pPr>
            <w:r w:rsidRPr="00C8246A">
              <w:rPr>
                <w:rFonts w:cs="Arial"/>
                <w:iCs/>
              </w:rPr>
              <w:t>Patient days from multiple census reports</w:t>
            </w:r>
          </w:p>
        </w:tc>
      </w:tr>
    </w:tbl>
    <w:p w14:paraId="2E769C46" w14:textId="77777777" w:rsidR="00C64192" w:rsidRPr="00332C4D" w:rsidRDefault="00C64192" w:rsidP="00C64192">
      <w:pPr>
        <w:pStyle w:val="Heading44"/>
        <w:rPr>
          <w:sz w:val="20"/>
        </w:rPr>
      </w:pPr>
    </w:p>
    <w:tbl>
      <w:tblPr>
        <w:tblStyle w:val="TableGrid"/>
        <w:tblW w:w="0" w:type="auto"/>
        <w:tblLook w:val="04A0" w:firstRow="1" w:lastRow="0" w:firstColumn="1" w:lastColumn="0" w:noHBand="0" w:noVBand="1"/>
      </w:tblPr>
      <w:tblGrid>
        <w:gridCol w:w="6115"/>
        <w:gridCol w:w="3235"/>
      </w:tblGrid>
      <w:tr w:rsidR="00C64192" w:rsidRPr="00C645E0" w14:paraId="4A6E73A1" w14:textId="77777777" w:rsidTr="00D73F6A">
        <w:trPr>
          <w:trHeight w:val="1224"/>
        </w:trPr>
        <w:tc>
          <w:tcPr>
            <w:tcW w:w="6115" w:type="dxa"/>
          </w:tcPr>
          <w:p w14:paraId="175602F9" w14:textId="4DB26E7C" w:rsidR="00C64192" w:rsidRDefault="00C64192" w:rsidP="00AD309C">
            <w:pPr>
              <w:pStyle w:val="ListParagraph"/>
              <w:numPr>
                <w:ilvl w:val="0"/>
                <w:numId w:val="147"/>
              </w:numPr>
            </w:pPr>
            <w:r>
              <w:t xml:space="preserve">Does your hospital operate any adult or pediatric single acuity </w:t>
            </w:r>
            <w:hyperlink w:anchor="_Nursing_Workforce_Measure_1" w:history="1">
              <w:r>
                <w:rPr>
                  <w:rStyle w:val="Hyperlink"/>
                  <w:rFonts w:cs="Arial"/>
                </w:rPr>
                <w:t>Medical Units</w:t>
              </w:r>
            </w:hyperlink>
            <w:r>
              <w:t>?</w:t>
            </w:r>
          </w:p>
          <w:p w14:paraId="59BCC041" w14:textId="77777777" w:rsidR="00C64192" w:rsidRDefault="00C64192" w:rsidP="00D73F6A"/>
          <w:p w14:paraId="3928677D" w14:textId="77777777" w:rsidR="00C64192" w:rsidRPr="00236F28" w:rsidRDefault="00C64192" w:rsidP="00D73F6A">
            <w:pPr>
              <w:pStyle w:val="ListParagraph"/>
              <w:ind w:left="360"/>
              <w:rPr>
                <w:i/>
                <w:iCs/>
              </w:rPr>
            </w:pPr>
            <w:r>
              <w:rPr>
                <w:i/>
                <w:iCs/>
              </w:rPr>
              <w:t>A single acuity unit is defined as a unit where at least 90% of the patients receive the same level of care.</w:t>
            </w:r>
          </w:p>
          <w:p w14:paraId="5E16F323" w14:textId="77777777" w:rsidR="00C64192" w:rsidRDefault="00C64192" w:rsidP="00D73F6A"/>
          <w:p w14:paraId="317A5F8E" w14:textId="78B63C9D" w:rsidR="00C64192" w:rsidRPr="00F1322F" w:rsidRDefault="00C64192" w:rsidP="00D73F6A">
            <w:pPr>
              <w:ind w:left="360"/>
              <w:rPr>
                <w:i/>
                <w:iCs/>
              </w:rPr>
            </w:pPr>
            <w:r w:rsidRPr="00F1322F">
              <w:rPr>
                <w:i/>
                <w:iCs/>
              </w:rPr>
              <w:t>If “no” or “y</w:t>
            </w:r>
            <w:r w:rsidRPr="00F1322F">
              <w:rPr>
                <w:rFonts w:cs="Arial"/>
                <w:i/>
                <w:iCs/>
                <w:snapToGrid w:val="0"/>
              </w:rPr>
              <w:t xml:space="preserve">es, </w:t>
            </w:r>
            <w:r w:rsidRPr="00B44C7B">
              <w:rPr>
                <w:rFonts w:cs="Arial"/>
                <w:i/>
                <w:iCs/>
                <w:snapToGrid w:val="0"/>
              </w:rPr>
              <w:t>but had fewer than 15 patient days per month for all 3 months of any quarter of the reporting period</w:t>
            </w:r>
            <w:r w:rsidRPr="00F1322F">
              <w:rPr>
                <w:i/>
                <w:iCs/>
              </w:rPr>
              <w:t>” to question #</w:t>
            </w:r>
            <w:r w:rsidR="009C365C">
              <w:rPr>
                <w:i/>
                <w:iCs/>
              </w:rPr>
              <w:t>4</w:t>
            </w:r>
            <w:r w:rsidRPr="00F1322F">
              <w:rPr>
                <w:i/>
                <w:iCs/>
              </w:rPr>
              <w:t>, skip question #</w:t>
            </w:r>
            <w:r w:rsidR="00F84EAC">
              <w:rPr>
                <w:i/>
                <w:iCs/>
              </w:rPr>
              <w:t>5</w:t>
            </w:r>
            <w:r w:rsidRPr="00F1322F">
              <w:rPr>
                <w:i/>
                <w:iCs/>
              </w:rPr>
              <w:t xml:space="preserve"> and continue to question #</w:t>
            </w:r>
            <w:r w:rsidR="00881DA7">
              <w:rPr>
                <w:i/>
                <w:iCs/>
              </w:rPr>
              <w:t>6</w:t>
            </w:r>
            <w:r w:rsidRPr="00F1322F">
              <w:rPr>
                <w:i/>
                <w:iCs/>
              </w:rPr>
              <w:t>.</w:t>
            </w:r>
          </w:p>
        </w:tc>
        <w:tc>
          <w:tcPr>
            <w:tcW w:w="3235" w:type="dxa"/>
            <w:vAlign w:val="center"/>
          </w:tcPr>
          <w:p w14:paraId="3EB09C42" w14:textId="77777777" w:rsidR="00C64192" w:rsidRPr="00375777" w:rsidRDefault="00C64192" w:rsidP="00AD309C">
            <w:pPr>
              <w:pStyle w:val="ListParagraph"/>
              <w:numPr>
                <w:ilvl w:val="0"/>
                <w:numId w:val="351"/>
              </w:numPr>
              <w:rPr>
                <w:rFonts w:cs="Arial"/>
                <w:iCs/>
                <w:snapToGrid w:val="0"/>
              </w:rPr>
            </w:pPr>
            <w:r w:rsidRPr="00C8246A">
              <w:rPr>
                <w:rFonts w:cs="Arial"/>
                <w:iCs/>
                <w:snapToGrid w:val="0"/>
              </w:rPr>
              <w:t>Yes</w:t>
            </w:r>
          </w:p>
          <w:p w14:paraId="1867695E" w14:textId="77777777" w:rsidR="00C64192" w:rsidRDefault="00C64192" w:rsidP="00AD309C">
            <w:pPr>
              <w:pStyle w:val="ListParagraph"/>
              <w:numPr>
                <w:ilvl w:val="0"/>
                <w:numId w:val="351"/>
              </w:numPr>
              <w:rPr>
                <w:rFonts w:cs="Arial"/>
                <w:iCs/>
                <w:snapToGrid w:val="0"/>
              </w:rPr>
            </w:pPr>
            <w:r w:rsidRPr="00C8246A">
              <w:rPr>
                <w:rFonts w:cs="Arial"/>
                <w:iCs/>
                <w:snapToGrid w:val="0"/>
              </w:rPr>
              <w:t>No</w:t>
            </w:r>
          </w:p>
          <w:p w14:paraId="5242095F" w14:textId="77777777" w:rsidR="00C64192" w:rsidRPr="009A5185" w:rsidRDefault="00C64192" w:rsidP="00AD309C">
            <w:pPr>
              <w:pStyle w:val="ListParagraph"/>
              <w:numPr>
                <w:ilvl w:val="0"/>
                <w:numId w:val="351"/>
              </w:numPr>
              <w:rPr>
                <w:i/>
                <w:snapToGrid w:val="0"/>
              </w:rPr>
            </w:pPr>
            <w:r w:rsidRPr="00F62669">
              <w:rPr>
                <w:rFonts w:cs="Arial"/>
                <w:iCs/>
                <w:snapToGrid w:val="0"/>
              </w:rPr>
              <w:t>Yes, but had fewer than 15 patient days per month for all 3 months of any quarter of the reporting period</w:t>
            </w:r>
          </w:p>
        </w:tc>
      </w:tr>
    </w:tbl>
    <w:p w14:paraId="0A56B378" w14:textId="77777777" w:rsidR="00C64192" w:rsidRPr="00265265" w:rsidRDefault="00C64192" w:rsidP="00C64192"/>
    <w:tbl>
      <w:tblPr>
        <w:tblW w:w="93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5"/>
        <w:gridCol w:w="2340"/>
        <w:gridCol w:w="2790"/>
        <w:gridCol w:w="2790"/>
      </w:tblGrid>
      <w:tr w:rsidR="00C64192" w:rsidRPr="009A5185" w14:paraId="3176D60E" w14:textId="77777777" w:rsidTr="00D73F6A">
        <w:trPr>
          <w:trHeight w:val="504"/>
          <w:jc w:val="center"/>
        </w:trPr>
        <w:tc>
          <w:tcPr>
            <w:tcW w:w="9355" w:type="dxa"/>
            <w:gridSpan w:val="4"/>
            <w:vAlign w:val="center"/>
          </w:tcPr>
          <w:p w14:paraId="3B2FBD1D" w14:textId="066FC589" w:rsidR="00C64192" w:rsidRPr="003B0F77" w:rsidRDefault="00C64192" w:rsidP="00AD309C">
            <w:pPr>
              <w:pStyle w:val="ListParagraph"/>
              <w:numPr>
                <w:ilvl w:val="0"/>
                <w:numId w:val="147"/>
              </w:numPr>
              <w:rPr>
                <w:rFonts w:cs="Arial"/>
                <w:i/>
                <w:snapToGrid w:val="0"/>
              </w:rPr>
            </w:pPr>
            <w:r w:rsidRPr="0048640F">
              <w:rPr>
                <w:rFonts w:cs="Arial"/>
              </w:rPr>
              <w:t xml:space="preserve">Enter your </w:t>
            </w:r>
            <w:r>
              <w:rPr>
                <w:rFonts w:cs="Arial"/>
              </w:rPr>
              <w:t xml:space="preserve">hospital’s responses for each quarter for all adult and pediatric single acuity </w:t>
            </w:r>
            <w:hyperlink w:anchor="_Nursing_Workforce_Measure_1" w:history="1">
              <w:r>
                <w:rPr>
                  <w:rStyle w:val="Hyperlink"/>
                  <w:rFonts w:cs="Arial"/>
                </w:rPr>
                <w:t>Medical Units</w:t>
              </w:r>
            </w:hyperlink>
            <w:r>
              <w:t xml:space="preserve"> for the reporting period selected in question #1: </w:t>
            </w:r>
          </w:p>
        </w:tc>
      </w:tr>
      <w:tr w:rsidR="00C64192" w:rsidRPr="009A5185" w14:paraId="68CB29A7" w14:textId="77777777" w:rsidTr="00D73F6A">
        <w:trPr>
          <w:trHeight w:val="576"/>
          <w:jc w:val="center"/>
        </w:trPr>
        <w:tc>
          <w:tcPr>
            <w:tcW w:w="1435" w:type="dxa"/>
            <w:vAlign w:val="center"/>
          </w:tcPr>
          <w:p w14:paraId="36FEACBB" w14:textId="77777777" w:rsidR="00C64192" w:rsidRPr="009C1180" w:rsidRDefault="00C64192" w:rsidP="00D73F6A">
            <w:pPr>
              <w:contextualSpacing/>
              <w:rPr>
                <w:rFonts w:cs="Arial"/>
                <w:bCs/>
              </w:rPr>
            </w:pPr>
          </w:p>
        </w:tc>
        <w:tc>
          <w:tcPr>
            <w:tcW w:w="2340" w:type="dxa"/>
          </w:tcPr>
          <w:p w14:paraId="63354D03" w14:textId="77777777" w:rsidR="00C64192" w:rsidRPr="004B4271" w:rsidRDefault="00C64192" w:rsidP="00D73F6A">
            <w:r w:rsidRPr="000B1FFB">
              <w:rPr>
                <w:rFonts w:cs="Arial"/>
                <w:b/>
              </w:rPr>
              <w:t xml:space="preserve">(a) </w:t>
            </w:r>
            <w:r w:rsidRPr="00046E22">
              <w:t xml:space="preserve">Total number of </w:t>
            </w:r>
            <w:r w:rsidRPr="000B1FFB">
              <w:rPr>
                <w:rFonts w:cstheme="minorHAnsi"/>
                <w:bCs/>
                <w:iCs/>
              </w:rPr>
              <w:t>patient days</w:t>
            </w:r>
            <w:r>
              <w:rPr>
                <w:rFonts w:cstheme="minorHAnsi"/>
                <w:bCs/>
                <w:iCs/>
              </w:rPr>
              <w:t>:</w:t>
            </w:r>
          </w:p>
          <w:p w14:paraId="0ED84615" w14:textId="77777777" w:rsidR="00C64192" w:rsidRPr="009A5185" w:rsidRDefault="00C64192" w:rsidP="00D73F6A">
            <w:pPr>
              <w:contextualSpacing/>
              <w:rPr>
                <w:rFonts w:cs="Arial"/>
                <w:b/>
              </w:rPr>
            </w:pPr>
          </w:p>
        </w:tc>
        <w:tc>
          <w:tcPr>
            <w:tcW w:w="2790" w:type="dxa"/>
          </w:tcPr>
          <w:p w14:paraId="1A054CE0" w14:textId="77777777" w:rsidR="00C64192" w:rsidRPr="009A5185" w:rsidRDefault="00C64192" w:rsidP="00D73F6A">
            <w:pPr>
              <w:contextualSpacing/>
              <w:rPr>
                <w:rFonts w:cs="Arial"/>
                <w:b/>
              </w:rPr>
            </w:pPr>
            <w:r w:rsidRPr="00137990">
              <w:rPr>
                <w:rFonts w:cs="Arial"/>
                <w:b/>
              </w:rPr>
              <w:t>(</w:t>
            </w:r>
            <w:r>
              <w:rPr>
                <w:rFonts w:cs="Arial"/>
                <w:b/>
              </w:rPr>
              <w:t>b</w:t>
            </w:r>
            <w:r w:rsidRPr="00137990">
              <w:rPr>
                <w:rFonts w:cs="Arial"/>
                <w:b/>
              </w:rPr>
              <w:t xml:space="preserve">) </w:t>
            </w:r>
            <w:r w:rsidRPr="00046E22">
              <w:t>Total number of productive hours worked by employe</w:t>
            </w:r>
            <w:r>
              <w:t>d</w:t>
            </w:r>
            <w:r w:rsidRPr="00046E22">
              <w:t xml:space="preserve"> </w:t>
            </w:r>
            <w:r>
              <w:t>and</w:t>
            </w:r>
            <w:r w:rsidRPr="00046E22">
              <w:t xml:space="preserve"> contract</w:t>
            </w:r>
            <w:r>
              <w:t xml:space="preserve">ed </w:t>
            </w:r>
            <w:r w:rsidRPr="00C06753">
              <w:rPr>
                <w:b/>
                <w:bCs/>
              </w:rPr>
              <w:t>nursing staff (RN, LPN/LVN, and UAP)</w:t>
            </w:r>
            <w:r>
              <w:t xml:space="preserve"> </w:t>
            </w:r>
            <w:r w:rsidRPr="00046E22">
              <w:t>with direct patient care responsibilities</w:t>
            </w:r>
            <w:r>
              <w:t>:</w:t>
            </w:r>
          </w:p>
        </w:tc>
        <w:tc>
          <w:tcPr>
            <w:tcW w:w="2790" w:type="dxa"/>
          </w:tcPr>
          <w:p w14:paraId="5862FE85" w14:textId="77777777" w:rsidR="00C64192" w:rsidRPr="009A5185" w:rsidRDefault="00C64192" w:rsidP="00D73F6A">
            <w:pPr>
              <w:contextualSpacing/>
              <w:rPr>
                <w:rFonts w:cs="Arial"/>
                <w:b/>
              </w:rPr>
            </w:pPr>
            <w:r w:rsidRPr="009A5185">
              <w:rPr>
                <w:rFonts w:cs="Arial"/>
                <w:b/>
              </w:rPr>
              <w:t>(</w:t>
            </w:r>
            <w:r>
              <w:rPr>
                <w:rFonts w:cs="Arial"/>
                <w:b/>
              </w:rPr>
              <w:t>c</w:t>
            </w:r>
            <w:r w:rsidRPr="009A5185">
              <w:rPr>
                <w:rFonts w:cs="Arial"/>
                <w:b/>
              </w:rPr>
              <w:t>)</w:t>
            </w:r>
            <w:r>
              <w:rPr>
                <w:rFonts w:cs="Arial"/>
                <w:b/>
              </w:rPr>
              <w:t xml:space="preserve"> </w:t>
            </w:r>
            <w:r w:rsidRPr="0014347B">
              <w:t xml:space="preserve">Total number of productive hours </w:t>
            </w:r>
            <w:r w:rsidRPr="00C06753">
              <w:t>worked by</w:t>
            </w:r>
            <w:r w:rsidRPr="0014347B">
              <w:rPr>
                <w:b/>
                <w:bCs/>
              </w:rPr>
              <w:t xml:space="preserve"> RN</w:t>
            </w:r>
            <w:r>
              <w:rPr>
                <w:b/>
                <w:bCs/>
              </w:rPr>
              <w:t xml:space="preserve"> nursing staff</w:t>
            </w:r>
            <w:r w:rsidRPr="0014347B">
              <w:t xml:space="preserve"> with direct patient care responsibilities</w:t>
            </w:r>
            <w:r>
              <w:t>:</w:t>
            </w:r>
          </w:p>
        </w:tc>
      </w:tr>
      <w:tr w:rsidR="00C64192" w:rsidRPr="009A5185" w14:paraId="118A3A93" w14:textId="77777777" w:rsidTr="00D73F6A">
        <w:trPr>
          <w:jc w:val="center"/>
        </w:trPr>
        <w:tc>
          <w:tcPr>
            <w:tcW w:w="1435" w:type="dxa"/>
          </w:tcPr>
          <w:p w14:paraId="5509D6BD" w14:textId="77777777" w:rsidR="00C64192" w:rsidRPr="009A5185" w:rsidRDefault="00C64192" w:rsidP="00D73F6A">
            <w:pPr>
              <w:jc w:val="center"/>
              <w:rPr>
                <w:rFonts w:cs="Arial"/>
              </w:rPr>
            </w:pPr>
            <w:r>
              <w:rPr>
                <w:rFonts w:cs="Arial"/>
              </w:rPr>
              <w:t xml:space="preserve">Quarter 1 </w:t>
            </w:r>
          </w:p>
        </w:tc>
        <w:tc>
          <w:tcPr>
            <w:tcW w:w="2340" w:type="dxa"/>
            <w:vAlign w:val="center"/>
          </w:tcPr>
          <w:p w14:paraId="75800027" w14:textId="77777777" w:rsidR="00C64192" w:rsidRPr="009A5185" w:rsidRDefault="00C64192" w:rsidP="00D73F6A">
            <w:pPr>
              <w:ind w:left="360"/>
              <w:contextualSpacing/>
              <w:rPr>
                <w:rFonts w:cs="Arial"/>
                <w:b/>
              </w:rPr>
            </w:pPr>
          </w:p>
        </w:tc>
        <w:tc>
          <w:tcPr>
            <w:tcW w:w="2790" w:type="dxa"/>
            <w:vAlign w:val="center"/>
          </w:tcPr>
          <w:p w14:paraId="4A92BCCC" w14:textId="77777777" w:rsidR="00C64192" w:rsidRPr="009A5185" w:rsidRDefault="00C64192" w:rsidP="00D73F6A">
            <w:pPr>
              <w:ind w:left="360"/>
              <w:contextualSpacing/>
              <w:rPr>
                <w:rFonts w:cs="Arial"/>
                <w:b/>
              </w:rPr>
            </w:pPr>
          </w:p>
        </w:tc>
        <w:tc>
          <w:tcPr>
            <w:tcW w:w="2790" w:type="dxa"/>
          </w:tcPr>
          <w:p w14:paraId="7A61B5D9" w14:textId="77777777" w:rsidR="00C64192" w:rsidRPr="009A5185" w:rsidRDefault="00C64192" w:rsidP="00D73F6A">
            <w:pPr>
              <w:ind w:left="360"/>
              <w:contextualSpacing/>
              <w:rPr>
                <w:rFonts w:cs="Arial"/>
                <w:b/>
              </w:rPr>
            </w:pPr>
          </w:p>
        </w:tc>
      </w:tr>
      <w:tr w:rsidR="00C64192" w:rsidRPr="009A5185" w14:paraId="2D9BED2C" w14:textId="77777777" w:rsidTr="00D73F6A">
        <w:trPr>
          <w:jc w:val="center"/>
        </w:trPr>
        <w:tc>
          <w:tcPr>
            <w:tcW w:w="1435" w:type="dxa"/>
          </w:tcPr>
          <w:p w14:paraId="7EF5CCE0" w14:textId="77777777" w:rsidR="00C64192" w:rsidRPr="009A5185" w:rsidRDefault="00C64192" w:rsidP="00D73F6A">
            <w:pPr>
              <w:jc w:val="center"/>
              <w:rPr>
                <w:rFonts w:cs="Arial"/>
              </w:rPr>
            </w:pPr>
            <w:r>
              <w:rPr>
                <w:rFonts w:cs="Arial"/>
              </w:rPr>
              <w:t xml:space="preserve">Quarter 2 </w:t>
            </w:r>
          </w:p>
        </w:tc>
        <w:tc>
          <w:tcPr>
            <w:tcW w:w="2340" w:type="dxa"/>
            <w:vAlign w:val="center"/>
          </w:tcPr>
          <w:p w14:paraId="36C1A569" w14:textId="77777777" w:rsidR="00C64192" w:rsidRPr="009A5185" w:rsidRDefault="00C64192" w:rsidP="00D73F6A">
            <w:pPr>
              <w:ind w:left="360"/>
              <w:contextualSpacing/>
              <w:rPr>
                <w:rFonts w:cs="Arial"/>
                <w:b/>
              </w:rPr>
            </w:pPr>
          </w:p>
        </w:tc>
        <w:tc>
          <w:tcPr>
            <w:tcW w:w="2790" w:type="dxa"/>
            <w:vAlign w:val="center"/>
          </w:tcPr>
          <w:p w14:paraId="3DF386AF" w14:textId="77777777" w:rsidR="00C64192" w:rsidRPr="009A5185" w:rsidRDefault="00C64192" w:rsidP="00D73F6A">
            <w:pPr>
              <w:ind w:left="360"/>
              <w:contextualSpacing/>
              <w:rPr>
                <w:rFonts w:cs="Arial"/>
                <w:b/>
              </w:rPr>
            </w:pPr>
          </w:p>
        </w:tc>
        <w:tc>
          <w:tcPr>
            <w:tcW w:w="2790" w:type="dxa"/>
          </w:tcPr>
          <w:p w14:paraId="4282C3BC" w14:textId="77777777" w:rsidR="00C64192" w:rsidRPr="009A5185" w:rsidRDefault="00C64192" w:rsidP="00D73F6A">
            <w:pPr>
              <w:ind w:left="360"/>
              <w:contextualSpacing/>
              <w:rPr>
                <w:rFonts w:cs="Arial"/>
                <w:b/>
              </w:rPr>
            </w:pPr>
          </w:p>
        </w:tc>
      </w:tr>
      <w:tr w:rsidR="00C64192" w:rsidRPr="009A5185" w14:paraId="43535063" w14:textId="77777777" w:rsidTr="00D73F6A">
        <w:trPr>
          <w:jc w:val="center"/>
        </w:trPr>
        <w:tc>
          <w:tcPr>
            <w:tcW w:w="1435" w:type="dxa"/>
          </w:tcPr>
          <w:p w14:paraId="51E67DB6" w14:textId="77777777" w:rsidR="00C64192" w:rsidRPr="009A5185" w:rsidRDefault="00C64192" w:rsidP="00D73F6A">
            <w:pPr>
              <w:jc w:val="center"/>
              <w:rPr>
                <w:rFonts w:cs="Arial"/>
              </w:rPr>
            </w:pPr>
            <w:r>
              <w:rPr>
                <w:rFonts w:cs="Arial"/>
              </w:rPr>
              <w:t xml:space="preserve">Quarter 3 </w:t>
            </w:r>
          </w:p>
        </w:tc>
        <w:tc>
          <w:tcPr>
            <w:tcW w:w="2340" w:type="dxa"/>
            <w:vAlign w:val="center"/>
          </w:tcPr>
          <w:p w14:paraId="127188F6" w14:textId="77777777" w:rsidR="00C64192" w:rsidRPr="009A5185" w:rsidRDefault="00C64192" w:rsidP="00D73F6A">
            <w:pPr>
              <w:ind w:left="360"/>
              <w:contextualSpacing/>
              <w:rPr>
                <w:rFonts w:cs="Arial"/>
                <w:b/>
              </w:rPr>
            </w:pPr>
          </w:p>
        </w:tc>
        <w:tc>
          <w:tcPr>
            <w:tcW w:w="2790" w:type="dxa"/>
            <w:vAlign w:val="center"/>
          </w:tcPr>
          <w:p w14:paraId="289FF0AD" w14:textId="77777777" w:rsidR="00C64192" w:rsidRPr="009A5185" w:rsidRDefault="00C64192" w:rsidP="00D73F6A">
            <w:pPr>
              <w:ind w:left="360"/>
              <w:contextualSpacing/>
              <w:rPr>
                <w:rFonts w:cs="Arial"/>
                <w:b/>
              </w:rPr>
            </w:pPr>
          </w:p>
        </w:tc>
        <w:tc>
          <w:tcPr>
            <w:tcW w:w="2790" w:type="dxa"/>
          </w:tcPr>
          <w:p w14:paraId="1AE0F63D" w14:textId="77777777" w:rsidR="00C64192" w:rsidRPr="009A5185" w:rsidRDefault="00C64192" w:rsidP="00D73F6A">
            <w:pPr>
              <w:ind w:left="360"/>
              <w:contextualSpacing/>
              <w:rPr>
                <w:rFonts w:cs="Arial"/>
                <w:b/>
              </w:rPr>
            </w:pPr>
          </w:p>
        </w:tc>
      </w:tr>
      <w:tr w:rsidR="00C64192" w:rsidRPr="009A5185" w14:paraId="77BA7249" w14:textId="77777777" w:rsidTr="00D73F6A">
        <w:trPr>
          <w:jc w:val="center"/>
        </w:trPr>
        <w:tc>
          <w:tcPr>
            <w:tcW w:w="1435" w:type="dxa"/>
            <w:tcBorders>
              <w:bottom w:val="single" w:sz="4" w:space="0" w:color="auto"/>
            </w:tcBorders>
          </w:tcPr>
          <w:p w14:paraId="6E3FB1B7" w14:textId="77777777" w:rsidR="00C64192" w:rsidRPr="009A5185" w:rsidRDefault="00C64192" w:rsidP="00D73F6A">
            <w:pPr>
              <w:jc w:val="center"/>
              <w:rPr>
                <w:rFonts w:cs="Arial"/>
              </w:rPr>
            </w:pPr>
            <w:r>
              <w:rPr>
                <w:rFonts w:cs="Arial"/>
              </w:rPr>
              <w:t xml:space="preserve">Quarter 4 </w:t>
            </w:r>
          </w:p>
        </w:tc>
        <w:tc>
          <w:tcPr>
            <w:tcW w:w="2340" w:type="dxa"/>
            <w:vAlign w:val="center"/>
          </w:tcPr>
          <w:p w14:paraId="1C91ABD3" w14:textId="77777777" w:rsidR="00C64192" w:rsidRPr="009A5185" w:rsidRDefault="00C64192" w:rsidP="00D73F6A">
            <w:pPr>
              <w:ind w:left="360"/>
              <w:contextualSpacing/>
              <w:rPr>
                <w:rFonts w:cs="Arial"/>
                <w:b/>
              </w:rPr>
            </w:pPr>
          </w:p>
        </w:tc>
        <w:tc>
          <w:tcPr>
            <w:tcW w:w="2790" w:type="dxa"/>
            <w:vAlign w:val="center"/>
          </w:tcPr>
          <w:p w14:paraId="1B797853" w14:textId="77777777" w:rsidR="00C64192" w:rsidRPr="009A5185" w:rsidRDefault="00C64192" w:rsidP="00D73F6A">
            <w:pPr>
              <w:ind w:left="360"/>
              <w:contextualSpacing/>
              <w:rPr>
                <w:rFonts w:cs="Arial"/>
                <w:b/>
              </w:rPr>
            </w:pPr>
          </w:p>
        </w:tc>
        <w:tc>
          <w:tcPr>
            <w:tcW w:w="2790" w:type="dxa"/>
          </w:tcPr>
          <w:p w14:paraId="1E09C43F" w14:textId="77777777" w:rsidR="00C64192" w:rsidRPr="009A5185" w:rsidRDefault="00C64192" w:rsidP="00D73F6A">
            <w:pPr>
              <w:ind w:left="360"/>
              <w:contextualSpacing/>
              <w:rPr>
                <w:rFonts w:cs="Arial"/>
                <w:b/>
              </w:rPr>
            </w:pPr>
          </w:p>
        </w:tc>
      </w:tr>
    </w:tbl>
    <w:p w14:paraId="46BF4CB6" w14:textId="77777777" w:rsidR="00C64192" w:rsidRDefault="00C64192" w:rsidP="00C64192"/>
    <w:tbl>
      <w:tblPr>
        <w:tblStyle w:val="TableGrid"/>
        <w:tblW w:w="0" w:type="auto"/>
        <w:tblLook w:val="04A0" w:firstRow="1" w:lastRow="0" w:firstColumn="1" w:lastColumn="0" w:noHBand="0" w:noVBand="1"/>
      </w:tblPr>
      <w:tblGrid>
        <w:gridCol w:w="6115"/>
        <w:gridCol w:w="3235"/>
      </w:tblGrid>
      <w:tr w:rsidR="00C64192" w:rsidRPr="00C645E0" w14:paraId="7E931790" w14:textId="77777777" w:rsidTr="00D73F6A">
        <w:trPr>
          <w:trHeight w:val="1296"/>
        </w:trPr>
        <w:tc>
          <w:tcPr>
            <w:tcW w:w="6115" w:type="dxa"/>
            <w:vAlign w:val="center"/>
          </w:tcPr>
          <w:p w14:paraId="33EEB510" w14:textId="682AC9CA" w:rsidR="00C64192" w:rsidRDefault="00C64192" w:rsidP="00AD309C">
            <w:pPr>
              <w:pStyle w:val="ListParagraph"/>
              <w:numPr>
                <w:ilvl w:val="0"/>
                <w:numId w:val="147"/>
              </w:numPr>
            </w:pPr>
            <w:r>
              <w:t xml:space="preserve">Does your hospital operate any adult or pediatric single acuity </w:t>
            </w:r>
            <w:hyperlink w:anchor="_Nursing_Workforce_Measure_1" w:history="1">
              <w:r>
                <w:rPr>
                  <w:rStyle w:val="Hyperlink"/>
                  <w:rFonts w:cs="Arial"/>
                </w:rPr>
                <w:t>Surgical Units</w:t>
              </w:r>
            </w:hyperlink>
            <w:r>
              <w:t>?</w:t>
            </w:r>
          </w:p>
          <w:p w14:paraId="67A50392" w14:textId="77777777" w:rsidR="00C64192" w:rsidRDefault="00C64192" w:rsidP="00D73F6A"/>
          <w:p w14:paraId="4086F34C" w14:textId="77777777" w:rsidR="00C64192" w:rsidRPr="00236F28" w:rsidRDefault="00C64192" w:rsidP="00D73F6A">
            <w:pPr>
              <w:pStyle w:val="ListParagraph"/>
              <w:ind w:left="360"/>
              <w:rPr>
                <w:i/>
                <w:iCs/>
              </w:rPr>
            </w:pPr>
            <w:r>
              <w:rPr>
                <w:i/>
                <w:iCs/>
              </w:rPr>
              <w:t>A single acuity unit is defined as a unit where at least 90% of the patients receive the same level of care.</w:t>
            </w:r>
          </w:p>
          <w:p w14:paraId="14307CBC" w14:textId="77777777" w:rsidR="00C64192" w:rsidRDefault="00C64192" w:rsidP="00D73F6A"/>
          <w:p w14:paraId="232DEEC6" w14:textId="5E1E11B2" w:rsidR="00C64192" w:rsidRPr="00F1322F" w:rsidRDefault="00C64192" w:rsidP="00D73F6A">
            <w:pPr>
              <w:ind w:left="360"/>
              <w:rPr>
                <w:i/>
                <w:iCs/>
              </w:rPr>
            </w:pPr>
            <w:r w:rsidRPr="00F1322F">
              <w:rPr>
                <w:i/>
                <w:iCs/>
              </w:rPr>
              <w:t>If “no” or “y</w:t>
            </w:r>
            <w:r w:rsidRPr="00F1322F">
              <w:rPr>
                <w:rFonts w:cs="Arial"/>
                <w:i/>
                <w:iCs/>
                <w:snapToGrid w:val="0"/>
              </w:rPr>
              <w:t xml:space="preserve">es, </w:t>
            </w:r>
            <w:r w:rsidRPr="00B44C7B">
              <w:rPr>
                <w:rFonts w:cs="Arial"/>
                <w:i/>
                <w:iCs/>
                <w:snapToGrid w:val="0"/>
              </w:rPr>
              <w:t>but had fewer than 15 patient days per month for all 3 months of any quarter of the reporting period</w:t>
            </w:r>
            <w:r w:rsidR="000C14DA">
              <w:rPr>
                <w:rFonts w:cs="Arial"/>
                <w:i/>
                <w:iCs/>
                <w:snapToGrid w:val="0"/>
              </w:rPr>
              <w:t>,</w:t>
            </w:r>
            <w:r w:rsidRPr="00F1322F">
              <w:rPr>
                <w:i/>
                <w:iCs/>
              </w:rPr>
              <w:t>” skip question #</w:t>
            </w:r>
            <w:r w:rsidR="001B0A79">
              <w:rPr>
                <w:i/>
                <w:iCs/>
              </w:rPr>
              <w:t>7</w:t>
            </w:r>
            <w:r w:rsidRPr="00F1322F">
              <w:rPr>
                <w:i/>
                <w:iCs/>
              </w:rPr>
              <w:t xml:space="preserve"> and continue to question #</w:t>
            </w:r>
            <w:r w:rsidR="001B0A79">
              <w:rPr>
                <w:i/>
                <w:iCs/>
              </w:rPr>
              <w:t>8</w:t>
            </w:r>
            <w:r w:rsidRPr="00F1322F">
              <w:rPr>
                <w:i/>
                <w:iCs/>
              </w:rPr>
              <w:t>.</w:t>
            </w:r>
          </w:p>
        </w:tc>
        <w:tc>
          <w:tcPr>
            <w:tcW w:w="3235" w:type="dxa"/>
            <w:vAlign w:val="center"/>
          </w:tcPr>
          <w:p w14:paraId="342DD76E" w14:textId="77777777" w:rsidR="00C64192" w:rsidRPr="00C8246A" w:rsidRDefault="00C64192" w:rsidP="00AD309C">
            <w:pPr>
              <w:pStyle w:val="ListParagraph"/>
              <w:numPr>
                <w:ilvl w:val="0"/>
                <w:numId w:val="353"/>
              </w:numPr>
              <w:ind w:left="360"/>
              <w:rPr>
                <w:rFonts w:cs="Arial"/>
                <w:iCs/>
                <w:snapToGrid w:val="0"/>
              </w:rPr>
            </w:pPr>
            <w:r w:rsidRPr="00C8246A">
              <w:rPr>
                <w:rFonts w:cs="Arial"/>
                <w:iCs/>
                <w:snapToGrid w:val="0"/>
              </w:rPr>
              <w:t>Yes</w:t>
            </w:r>
          </w:p>
          <w:p w14:paraId="5DAE64F6" w14:textId="77777777" w:rsidR="00C64192" w:rsidRDefault="00C64192" w:rsidP="00AD309C">
            <w:pPr>
              <w:pStyle w:val="ListParagraph"/>
              <w:numPr>
                <w:ilvl w:val="0"/>
                <w:numId w:val="353"/>
              </w:numPr>
              <w:ind w:left="360"/>
              <w:rPr>
                <w:rFonts w:cs="Arial"/>
                <w:iCs/>
                <w:snapToGrid w:val="0"/>
              </w:rPr>
            </w:pPr>
            <w:r w:rsidRPr="00C8246A">
              <w:rPr>
                <w:rFonts w:cs="Arial"/>
                <w:iCs/>
                <w:snapToGrid w:val="0"/>
              </w:rPr>
              <w:t>No</w:t>
            </w:r>
          </w:p>
          <w:p w14:paraId="06640E95" w14:textId="77777777" w:rsidR="00C64192" w:rsidRPr="00C8246A" w:rsidRDefault="00C64192" w:rsidP="00AD309C">
            <w:pPr>
              <w:pStyle w:val="ListParagraph"/>
              <w:numPr>
                <w:ilvl w:val="0"/>
                <w:numId w:val="353"/>
              </w:numPr>
              <w:ind w:left="360"/>
              <w:rPr>
                <w:rFonts w:cs="Arial"/>
                <w:iCs/>
                <w:snapToGrid w:val="0"/>
              </w:rPr>
            </w:pPr>
            <w:r w:rsidRPr="003215C1">
              <w:rPr>
                <w:rFonts w:cs="Arial"/>
                <w:iCs/>
                <w:snapToGrid w:val="0"/>
              </w:rPr>
              <w:t xml:space="preserve">Yes, </w:t>
            </w:r>
            <w:r w:rsidRPr="00F62669">
              <w:rPr>
                <w:rFonts w:cs="Arial"/>
                <w:iCs/>
                <w:snapToGrid w:val="0"/>
              </w:rPr>
              <w:t>but had fewer than 15 patient days per month for all 3 months of any quarter of the reporting period</w:t>
            </w:r>
          </w:p>
          <w:p w14:paraId="47901C1B" w14:textId="77777777" w:rsidR="00C64192" w:rsidRPr="009A5185" w:rsidRDefault="00C64192" w:rsidP="00D73F6A">
            <w:pPr>
              <w:rPr>
                <w:rFonts w:cs="Arial"/>
                <w:i/>
                <w:snapToGrid w:val="0"/>
              </w:rPr>
            </w:pPr>
          </w:p>
        </w:tc>
      </w:tr>
    </w:tbl>
    <w:p w14:paraId="6BFBF4C2" w14:textId="77777777" w:rsidR="00C64192" w:rsidRPr="00265265" w:rsidRDefault="00C64192" w:rsidP="00C64192"/>
    <w:tbl>
      <w:tblPr>
        <w:tblW w:w="93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5"/>
        <w:gridCol w:w="2241"/>
        <w:gridCol w:w="2647"/>
        <w:gridCol w:w="3032"/>
      </w:tblGrid>
      <w:tr w:rsidR="00C64192" w:rsidRPr="009A5185" w14:paraId="0D37E3CF" w14:textId="77777777" w:rsidTr="00D73F6A">
        <w:trPr>
          <w:trHeight w:val="576"/>
          <w:jc w:val="center"/>
        </w:trPr>
        <w:tc>
          <w:tcPr>
            <w:tcW w:w="9355" w:type="dxa"/>
            <w:gridSpan w:val="4"/>
            <w:vAlign w:val="center"/>
          </w:tcPr>
          <w:p w14:paraId="3BE9A3A6" w14:textId="4C6D1CCA" w:rsidR="00C64192" w:rsidRPr="003B0F77" w:rsidRDefault="00C64192" w:rsidP="00AD309C">
            <w:pPr>
              <w:pStyle w:val="ListParagraph"/>
              <w:numPr>
                <w:ilvl w:val="0"/>
                <w:numId w:val="147"/>
              </w:numPr>
              <w:rPr>
                <w:rFonts w:cs="Arial"/>
                <w:i/>
                <w:snapToGrid w:val="0"/>
              </w:rPr>
            </w:pPr>
            <w:r w:rsidRPr="0048640F">
              <w:rPr>
                <w:rFonts w:cs="Arial"/>
              </w:rPr>
              <w:t xml:space="preserve">Enter your </w:t>
            </w:r>
            <w:r>
              <w:rPr>
                <w:rFonts w:cs="Arial"/>
              </w:rPr>
              <w:t xml:space="preserve">hospital’s responses for each quarter for all adult and pediatric single acuity </w:t>
            </w:r>
            <w:hyperlink w:anchor="_Nursing_Workforce_Measure_1" w:history="1">
              <w:r>
                <w:rPr>
                  <w:rStyle w:val="Hyperlink"/>
                  <w:rFonts w:cs="Arial"/>
                </w:rPr>
                <w:t>Surgical Units</w:t>
              </w:r>
            </w:hyperlink>
            <w:r>
              <w:t xml:space="preserve"> for the reporting period selected in question</w:t>
            </w:r>
            <w:r w:rsidRPr="005C4F15">
              <w:t xml:space="preserve"> #</w:t>
            </w:r>
            <w:r>
              <w:t>1:</w:t>
            </w:r>
          </w:p>
        </w:tc>
      </w:tr>
      <w:tr w:rsidR="00C64192" w:rsidRPr="009A5185" w14:paraId="7692BD04" w14:textId="77777777" w:rsidTr="00D73F6A">
        <w:trPr>
          <w:trHeight w:val="576"/>
          <w:jc w:val="center"/>
        </w:trPr>
        <w:tc>
          <w:tcPr>
            <w:tcW w:w="1435" w:type="dxa"/>
            <w:vAlign w:val="center"/>
          </w:tcPr>
          <w:p w14:paraId="342B4122" w14:textId="77777777" w:rsidR="00C64192" w:rsidRPr="009C1180" w:rsidRDefault="00C64192" w:rsidP="00D73F6A">
            <w:pPr>
              <w:contextualSpacing/>
              <w:rPr>
                <w:rFonts w:cs="Arial"/>
                <w:bCs/>
              </w:rPr>
            </w:pPr>
          </w:p>
        </w:tc>
        <w:tc>
          <w:tcPr>
            <w:tcW w:w="2241" w:type="dxa"/>
            <w:vAlign w:val="center"/>
          </w:tcPr>
          <w:p w14:paraId="7A6E9362" w14:textId="77777777" w:rsidR="00C64192" w:rsidRPr="004B4271" w:rsidRDefault="00C64192" w:rsidP="00D73F6A">
            <w:r w:rsidRPr="000B1FFB">
              <w:rPr>
                <w:rFonts w:cs="Arial"/>
                <w:b/>
              </w:rPr>
              <w:t xml:space="preserve">(a) </w:t>
            </w:r>
            <w:r w:rsidRPr="00046E22">
              <w:t xml:space="preserve">Total number of </w:t>
            </w:r>
            <w:r w:rsidRPr="000B1FFB">
              <w:rPr>
                <w:rFonts w:cstheme="minorHAnsi"/>
                <w:bCs/>
                <w:iCs/>
              </w:rPr>
              <w:t>patient days</w:t>
            </w:r>
            <w:r>
              <w:rPr>
                <w:rFonts w:cstheme="minorHAnsi"/>
                <w:bCs/>
                <w:iCs/>
              </w:rPr>
              <w:t>:</w:t>
            </w:r>
          </w:p>
          <w:p w14:paraId="7F19153A" w14:textId="77777777" w:rsidR="00C64192" w:rsidRPr="009A5185" w:rsidRDefault="00C64192" w:rsidP="00D73F6A">
            <w:pPr>
              <w:contextualSpacing/>
              <w:rPr>
                <w:rFonts w:cs="Arial"/>
                <w:b/>
              </w:rPr>
            </w:pPr>
          </w:p>
        </w:tc>
        <w:tc>
          <w:tcPr>
            <w:tcW w:w="2647" w:type="dxa"/>
            <w:vAlign w:val="center"/>
          </w:tcPr>
          <w:p w14:paraId="00505161" w14:textId="77777777" w:rsidR="00C64192" w:rsidRPr="009A5185" w:rsidRDefault="00C64192" w:rsidP="00D73F6A">
            <w:pPr>
              <w:contextualSpacing/>
              <w:rPr>
                <w:rFonts w:cs="Arial"/>
                <w:b/>
              </w:rPr>
            </w:pPr>
            <w:r w:rsidRPr="00137990">
              <w:rPr>
                <w:rFonts w:cs="Arial"/>
                <w:b/>
              </w:rPr>
              <w:t>(</w:t>
            </w:r>
            <w:r>
              <w:rPr>
                <w:rFonts w:cs="Arial"/>
                <w:b/>
              </w:rPr>
              <w:t>b</w:t>
            </w:r>
            <w:r w:rsidRPr="00137990">
              <w:rPr>
                <w:rFonts w:cs="Arial"/>
                <w:b/>
              </w:rPr>
              <w:t xml:space="preserve">) </w:t>
            </w:r>
            <w:r w:rsidRPr="00046E22">
              <w:t>Total number of productive hours worked by employe</w:t>
            </w:r>
            <w:r>
              <w:t>d</w:t>
            </w:r>
            <w:r w:rsidRPr="00046E22">
              <w:t xml:space="preserve"> </w:t>
            </w:r>
            <w:r>
              <w:t>and</w:t>
            </w:r>
            <w:r w:rsidRPr="00046E22">
              <w:t xml:space="preserve"> contract</w:t>
            </w:r>
            <w:r>
              <w:t xml:space="preserve">ed </w:t>
            </w:r>
            <w:r w:rsidRPr="003215C1">
              <w:rPr>
                <w:b/>
                <w:bCs/>
              </w:rPr>
              <w:t>nursing staff (RN, LPN/LVN, and UAP)</w:t>
            </w:r>
            <w:r>
              <w:t xml:space="preserve"> </w:t>
            </w:r>
            <w:r w:rsidRPr="00046E22">
              <w:t>with direct patient care responsibilities</w:t>
            </w:r>
            <w:r>
              <w:t>:</w:t>
            </w:r>
          </w:p>
        </w:tc>
        <w:tc>
          <w:tcPr>
            <w:tcW w:w="3032" w:type="dxa"/>
          </w:tcPr>
          <w:p w14:paraId="244E9ABB" w14:textId="77777777" w:rsidR="00C64192" w:rsidRPr="009A5185" w:rsidRDefault="00C64192" w:rsidP="00D73F6A">
            <w:pPr>
              <w:contextualSpacing/>
              <w:rPr>
                <w:rFonts w:cs="Arial"/>
                <w:b/>
              </w:rPr>
            </w:pPr>
            <w:r w:rsidRPr="009A5185">
              <w:rPr>
                <w:rFonts w:cs="Arial"/>
                <w:b/>
              </w:rPr>
              <w:t>(</w:t>
            </w:r>
            <w:r>
              <w:rPr>
                <w:rFonts w:cs="Arial"/>
                <w:b/>
              </w:rPr>
              <w:t>c</w:t>
            </w:r>
            <w:r w:rsidRPr="009A5185">
              <w:rPr>
                <w:rFonts w:cs="Arial"/>
                <w:b/>
              </w:rPr>
              <w:t>)</w:t>
            </w:r>
            <w:r>
              <w:rPr>
                <w:rFonts w:cs="Arial"/>
                <w:b/>
              </w:rPr>
              <w:t xml:space="preserve"> </w:t>
            </w:r>
            <w:r w:rsidRPr="0014347B">
              <w:t xml:space="preserve">Total number of productive hours </w:t>
            </w:r>
            <w:r w:rsidRPr="00C06753">
              <w:t>worked by</w:t>
            </w:r>
            <w:r w:rsidRPr="0014347B">
              <w:rPr>
                <w:b/>
                <w:bCs/>
              </w:rPr>
              <w:t xml:space="preserve"> RN</w:t>
            </w:r>
            <w:r>
              <w:rPr>
                <w:b/>
                <w:bCs/>
              </w:rPr>
              <w:t xml:space="preserve"> nursing staff</w:t>
            </w:r>
            <w:r w:rsidRPr="0014347B">
              <w:t xml:space="preserve"> with direct patient care responsibilities</w:t>
            </w:r>
            <w:r>
              <w:t>:</w:t>
            </w:r>
          </w:p>
        </w:tc>
      </w:tr>
      <w:tr w:rsidR="00C64192" w:rsidRPr="009A5185" w14:paraId="63776D2A" w14:textId="77777777" w:rsidTr="00D73F6A">
        <w:trPr>
          <w:jc w:val="center"/>
        </w:trPr>
        <w:tc>
          <w:tcPr>
            <w:tcW w:w="1435" w:type="dxa"/>
          </w:tcPr>
          <w:p w14:paraId="766A3CCF" w14:textId="77777777" w:rsidR="00C64192" w:rsidRPr="009A5185" w:rsidRDefault="00C64192" w:rsidP="00D73F6A">
            <w:pPr>
              <w:jc w:val="center"/>
              <w:rPr>
                <w:rFonts w:cs="Arial"/>
              </w:rPr>
            </w:pPr>
            <w:r>
              <w:rPr>
                <w:rFonts w:cs="Arial"/>
              </w:rPr>
              <w:t xml:space="preserve">Quarter 1 </w:t>
            </w:r>
          </w:p>
        </w:tc>
        <w:tc>
          <w:tcPr>
            <w:tcW w:w="2241" w:type="dxa"/>
            <w:vAlign w:val="center"/>
          </w:tcPr>
          <w:p w14:paraId="64ABC2DD" w14:textId="77777777" w:rsidR="00C64192" w:rsidRPr="009A5185" w:rsidRDefault="00C64192" w:rsidP="00D73F6A">
            <w:pPr>
              <w:ind w:left="360"/>
              <w:contextualSpacing/>
              <w:rPr>
                <w:rFonts w:cs="Arial"/>
                <w:b/>
              </w:rPr>
            </w:pPr>
          </w:p>
        </w:tc>
        <w:tc>
          <w:tcPr>
            <w:tcW w:w="2647" w:type="dxa"/>
            <w:vAlign w:val="center"/>
          </w:tcPr>
          <w:p w14:paraId="2C5F8741" w14:textId="77777777" w:rsidR="00C64192" w:rsidRPr="009A5185" w:rsidRDefault="00C64192" w:rsidP="00D73F6A">
            <w:pPr>
              <w:ind w:left="360"/>
              <w:contextualSpacing/>
              <w:rPr>
                <w:rFonts w:cs="Arial"/>
                <w:b/>
              </w:rPr>
            </w:pPr>
          </w:p>
        </w:tc>
        <w:tc>
          <w:tcPr>
            <w:tcW w:w="3032" w:type="dxa"/>
          </w:tcPr>
          <w:p w14:paraId="67D4A2D3" w14:textId="77777777" w:rsidR="00C64192" w:rsidRPr="009A5185" w:rsidRDefault="00C64192" w:rsidP="00D73F6A">
            <w:pPr>
              <w:ind w:left="360"/>
              <w:contextualSpacing/>
              <w:rPr>
                <w:rFonts w:cs="Arial"/>
                <w:b/>
              </w:rPr>
            </w:pPr>
          </w:p>
        </w:tc>
      </w:tr>
      <w:tr w:rsidR="00C64192" w:rsidRPr="009A5185" w14:paraId="3F87503D" w14:textId="77777777" w:rsidTr="00D73F6A">
        <w:trPr>
          <w:jc w:val="center"/>
        </w:trPr>
        <w:tc>
          <w:tcPr>
            <w:tcW w:w="1435" w:type="dxa"/>
          </w:tcPr>
          <w:p w14:paraId="77A3CF67" w14:textId="77777777" w:rsidR="00C64192" w:rsidRPr="009A5185" w:rsidRDefault="00C64192" w:rsidP="00D73F6A">
            <w:pPr>
              <w:jc w:val="center"/>
              <w:rPr>
                <w:rFonts w:cs="Arial"/>
              </w:rPr>
            </w:pPr>
            <w:r>
              <w:rPr>
                <w:rFonts w:cs="Arial"/>
              </w:rPr>
              <w:t xml:space="preserve">Quarter 2 </w:t>
            </w:r>
          </w:p>
        </w:tc>
        <w:tc>
          <w:tcPr>
            <w:tcW w:w="2241" w:type="dxa"/>
            <w:vAlign w:val="center"/>
          </w:tcPr>
          <w:p w14:paraId="625898E1" w14:textId="77777777" w:rsidR="00C64192" w:rsidRPr="009A5185" w:rsidRDefault="00C64192" w:rsidP="00D73F6A">
            <w:pPr>
              <w:ind w:left="360"/>
              <w:contextualSpacing/>
              <w:rPr>
                <w:rFonts w:cs="Arial"/>
                <w:b/>
              </w:rPr>
            </w:pPr>
          </w:p>
        </w:tc>
        <w:tc>
          <w:tcPr>
            <w:tcW w:w="2647" w:type="dxa"/>
            <w:vAlign w:val="center"/>
          </w:tcPr>
          <w:p w14:paraId="7BEDD051" w14:textId="77777777" w:rsidR="00C64192" w:rsidRPr="009A5185" w:rsidRDefault="00C64192" w:rsidP="00D73F6A">
            <w:pPr>
              <w:ind w:left="360"/>
              <w:contextualSpacing/>
              <w:rPr>
                <w:rFonts w:cs="Arial"/>
                <w:b/>
              </w:rPr>
            </w:pPr>
          </w:p>
        </w:tc>
        <w:tc>
          <w:tcPr>
            <w:tcW w:w="3032" w:type="dxa"/>
          </w:tcPr>
          <w:p w14:paraId="6D5DB8CC" w14:textId="77777777" w:rsidR="00C64192" w:rsidRPr="009A5185" w:rsidRDefault="00C64192" w:rsidP="00D73F6A">
            <w:pPr>
              <w:ind w:left="360"/>
              <w:contextualSpacing/>
              <w:rPr>
                <w:rFonts w:cs="Arial"/>
                <w:b/>
              </w:rPr>
            </w:pPr>
          </w:p>
        </w:tc>
      </w:tr>
      <w:tr w:rsidR="00C64192" w:rsidRPr="009A5185" w14:paraId="4DCA04FF" w14:textId="77777777" w:rsidTr="00D73F6A">
        <w:trPr>
          <w:jc w:val="center"/>
        </w:trPr>
        <w:tc>
          <w:tcPr>
            <w:tcW w:w="1435" w:type="dxa"/>
          </w:tcPr>
          <w:p w14:paraId="451DFDD1" w14:textId="77777777" w:rsidR="00C64192" w:rsidRPr="009A5185" w:rsidRDefault="00C64192" w:rsidP="00D73F6A">
            <w:pPr>
              <w:jc w:val="center"/>
              <w:rPr>
                <w:rFonts w:cs="Arial"/>
              </w:rPr>
            </w:pPr>
            <w:r>
              <w:rPr>
                <w:rFonts w:cs="Arial"/>
              </w:rPr>
              <w:t xml:space="preserve">Quarter 3 </w:t>
            </w:r>
          </w:p>
        </w:tc>
        <w:tc>
          <w:tcPr>
            <w:tcW w:w="2241" w:type="dxa"/>
            <w:vAlign w:val="center"/>
          </w:tcPr>
          <w:p w14:paraId="2A9F039C" w14:textId="77777777" w:rsidR="00C64192" w:rsidRPr="009A5185" w:rsidRDefault="00C64192" w:rsidP="00D73F6A">
            <w:pPr>
              <w:ind w:left="360"/>
              <w:contextualSpacing/>
              <w:rPr>
                <w:rFonts w:cs="Arial"/>
                <w:b/>
              </w:rPr>
            </w:pPr>
          </w:p>
        </w:tc>
        <w:tc>
          <w:tcPr>
            <w:tcW w:w="2647" w:type="dxa"/>
            <w:vAlign w:val="center"/>
          </w:tcPr>
          <w:p w14:paraId="315A327E" w14:textId="77777777" w:rsidR="00C64192" w:rsidRPr="009A5185" w:rsidRDefault="00C64192" w:rsidP="00D73F6A">
            <w:pPr>
              <w:ind w:left="360"/>
              <w:contextualSpacing/>
              <w:rPr>
                <w:rFonts w:cs="Arial"/>
                <w:b/>
              </w:rPr>
            </w:pPr>
          </w:p>
        </w:tc>
        <w:tc>
          <w:tcPr>
            <w:tcW w:w="3032" w:type="dxa"/>
          </w:tcPr>
          <w:p w14:paraId="6C4FD5CD" w14:textId="77777777" w:rsidR="00C64192" w:rsidRPr="009A5185" w:rsidRDefault="00C64192" w:rsidP="00D73F6A">
            <w:pPr>
              <w:ind w:left="360"/>
              <w:contextualSpacing/>
              <w:rPr>
                <w:rFonts w:cs="Arial"/>
                <w:b/>
              </w:rPr>
            </w:pPr>
          </w:p>
        </w:tc>
      </w:tr>
      <w:tr w:rsidR="00C64192" w:rsidRPr="009A5185" w14:paraId="25477B5C" w14:textId="77777777" w:rsidTr="00D73F6A">
        <w:trPr>
          <w:jc w:val="center"/>
        </w:trPr>
        <w:tc>
          <w:tcPr>
            <w:tcW w:w="1435" w:type="dxa"/>
            <w:tcBorders>
              <w:bottom w:val="single" w:sz="4" w:space="0" w:color="auto"/>
            </w:tcBorders>
          </w:tcPr>
          <w:p w14:paraId="5A2E7749" w14:textId="77777777" w:rsidR="00C64192" w:rsidRPr="009A5185" w:rsidRDefault="00C64192" w:rsidP="00D73F6A">
            <w:pPr>
              <w:jc w:val="center"/>
              <w:rPr>
                <w:rFonts w:cs="Arial"/>
              </w:rPr>
            </w:pPr>
            <w:r>
              <w:rPr>
                <w:rFonts w:cs="Arial"/>
              </w:rPr>
              <w:t xml:space="preserve">Quarter 4 </w:t>
            </w:r>
          </w:p>
        </w:tc>
        <w:tc>
          <w:tcPr>
            <w:tcW w:w="2241" w:type="dxa"/>
            <w:vAlign w:val="center"/>
          </w:tcPr>
          <w:p w14:paraId="43A324C1" w14:textId="77777777" w:rsidR="00C64192" w:rsidRPr="009A5185" w:rsidRDefault="00C64192" w:rsidP="00D73F6A">
            <w:pPr>
              <w:ind w:left="360"/>
              <w:contextualSpacing/>
              <w:rPr>
                <w:rFonts w:cs="Arial"/>
                <w:b/>
              </w:rPr>
            </w:pPr>
          </w:p>
        </w:tc>
        <w:tc>
          <w:tcPr>
            <w:tcW w:w="2647" w:type="dxa"/>
            <w:vAlign w:val="center"/>
          </w:tcPr>
          <w:p w14:paraId="64C5D5E7" w14:textId="77777777" w:rsidR="00C64192" w:rsidRPr="009A5185" w:rsidRDefault="00C64192" w:rsidP="00D73F6A">
            <w:pPr>
              <w:ind w:left="360"/>
              <w:contextualSpacing/>
              <w:rPr>
                <w:rFonts w:cs="Arial"/>
                <w:b/>
              </w:rPr>
            </w:pPr>
          </w:p>
        </w:tc>
        <w:tc>
          <w:tcPr>
            <w:tcW w:w="3032" w:type="dxa"/>
          </w:tcPr>
          <w:p w14:paraId="14ABFE4D" w14:textId="77777777" w:rsidR="00C64192" w:rsidRPr="009A5185" w:rsidRDefault="00C64192" w:rsidP="00D73F6A">
            <w:pPr>
              <w:ind w:left="360"/>
              <w:contextualSpacing/>
              <w:rPr>
                <w:rFonts w:cs="Arial"/>
                <w:b/>
              </w:rPr>
            </w:pPr>
          </w:p>
        </w:tc>
      </w:tr>
    </w:tbl>
    <w:p w14:paraId="4254326B" w14:textId="77777777" w:rsidR="00C64192" w:rsidRPr="00357E20" w:rsidRDefault="00C64192" w:rsidP="00C64192">
      <w:pPr>
        <w:rPr>
          <w:sz w:val="16"/>
          <w:szCs w:val="16"/>
        </w:rPr>
      </w:pPr>
    </w:p>
    <w:tbl>
      <w:tblPr>
        <w:tblStyle w:val="TableGrid"/>
        <w:tblW w:w="0" w:type="auto"/>
        <w:tblLook w:val="04A0" w:firstRow="1" w:lastRow="0" w:firstColumn="1" w:lastColumn="0" w:noHBand="0" w:noVBand="1"/>
      </w:tblPr>
      <w:tblGrid>
        <w:gridCol w:w="6115"/>
        <w:gridCol w:w="3235"/>
      </w:tblGrid>
      <w:tr w:rsidR="00C64192" w:rsidRPr="00C645E0" w14:paraId="1DC19E43" w14:textId="77777777" w:rsidTr="00911B51">
        <w:trPr>
          <w:trHeight w:val="2231"/>
        </w:trPr>
        <w:tc>
          <w:tcPr>
            <w:tcW w:w="6115" w:type="dxa"/>
          </w:tcPr>
          <w:p w14:paraId="331EFCFA" w14:textId="14531C38" w:rsidR="00C64192" w:rsidRDefault="00C64192" w:rsidP="00911B51">
            <w:pPr>
              <w:pStyle w:val="ListParagraph"/>
              <w:numPr>
                <w:ilvl w:val="0"/>
                <w:numId w:val="147"/>
              </w:numPr>
            </w:pPr>
            <w:r>
              <w:t xml:space="preserve">Does your hospital operate any adult or pediatric single acuity </w:t>
            </w:r>
            <w:hyperlink w:anchor="_Nursing_Workforce_Measure_1" w:history="1">
              <w:r>
                <w:rPr>
                  <w:rStyle w:val="Hyperlink"/>
                  <w:rFonts w:cs="Arial"/>
                </w:rPr>
                <w:t>Med-Surg Units</w:t>
              </w:r>
            </w:hyperlink>
            <w:r>
              <w:t>?</w:t>
            </w:r>
          </w:p>
          <w:p w14:paraId="46DBCEF3" w14:textId="77777777" w:rsidR="00C64192" w:rsidRDefault="00C64192" w:rsidP="00911B51"/>
          <w:p w14:paraId="799F08BB" w14:textId="77777777" w:rsidR="00C64192" w:rsidRDefault="00C64192" w:rsidP="00911B51">
            <w:pPr>
              <w:ind w:left="360"/>
              <w:rPr>
                <w:i/>
                <w:iCs/>
              </w:rPr>
            </w:pPr>
            <w:r w:rsidRPr="003215C1">
              <w:rPr>
                <w:i/>
                <w:iCs/>
              </w:rPr>
              <w:t>A single acuity unit is defined as a unit where at least 90% of the patients receive the same level of care.</w:t>
            </w:r>
          </w:p>
          <w:p w14:paraId="651EE092" w14:textId="77777777" w:rsidR="00C64192" w:rsidRDefault="00C64192" w:rsidP="00911B51">
            <w:pPr>
              <w:ind w:left="360"/>
              <w:rPr>
                <w:i/>
                <w:iCs/>
              </w:rPr>
            </w:pPr>
          </w:p>
          <w:p w14:paraId="6C445983" w14:textId="1C8BC252" w:rsidR="00C64192" w:rsidRPr="00EC7E25" w:rsidRDefault="00C64192" w:rsidP="00911B51">
            <w:pPr>
              <w:ind w:left="360"/>
              <w:rPr>
                <w:i/>
                <w:iCs/>
              </w:rPr>
            </w:pPr>
            <w:r w:rsidRPr="00F1322F">
              <w:rPr>
                <w:i/>
                <w:iCs/>
              </w:rPr>
              <w:t>If “no” or “y</w:t>
            </w:r>
            <w:r w:rsidRPr="00F1322F">
              <w:rPr>
                <w:rFonts w:cs="Arial"/>
                <w:i/>
                <w:iCs/>
                <w:snapToGrid w:val="0"/>
              </w:rPr>
              <w:t xml:space="preserve">es, </w:t>
            </w:r>
            <w:r w:rsidRPr="00B44C7B">
              <w:rPr>
                <w:rFonts w:cs="Arial"/>
                <w:i/>
                <w:iCs/>
                <w:snapToGrid w:val="0"/>
              </w:rPr>
              <w:t>but had fewer than 15 patient days per month for all 3 months of any quarter of the reporting period</w:t>
            </w:r>
            <w:r w:rsidR="006A6BC1">
              <w:rPr>
                <w:rFonts w:cs="Arial"/>
                <w:i/>
                <w:iCs/>
                <w:snapToGrid w:val="0"/>
              </w:rPr>
              <w:t>,</w:t>
            </w:r>
            <w:r w:rsidRPr="00F1322F">
              <w:rPr>
                <w:i/>
                <w:iCs/>
              </w:rPr>
              <w:t>” skip question #</w:t>
            </w:r>
            <w:r w:rsidR="00A0227C">
              <w:rPr>
                <w:i/>
                <w:iCs/>
              </w:rPr>
              <w:t>9</w:t>
            </w:r>
            <w:r w:rsidRPr="00F1322F">
              <w:rPr>
                <w:i/>
                <w:iCs/>
              </w:rPr>
              <w:t xml:space="preserve"> and continue to question #1</w:t>
            </w:r>
            <w:r w:rsidR="00A0227C">
              <w:rPr>
                <w:i/>
                <w:iCs/>
              </w:rPr>
              <w:t>0</w:t>
            </w:r>
            <w:r w:rsidRPr="00F1322F">
              <w:rPr>
                <w:i/>
                <w:iCs/>
              </w:rPr>
              <w:t>.</w:t>
            </w:r>
          </w:p>
        </w:tc>
        <w:tc>
          <w:tcPr>
            <w:tcW w:w="3235" w:type="dxa"/>
            <w:vAlign w:val="center"/>
          </w:tcPr>
          <w:p w14:paraId="152AE8B5" w14:textId="77777777" w:rsidR="00C64192" w:rsidRPr="00C8246A" w:rsidRDefault="00C64192" w:rsidP="00911B51">
            <w:pPr>
              <w:pStyle w:val="ListParagraph"/>
              <w:numPr>
                <w:ilvl w:val="0"/>
                <w:numId w:val="352"/>
              </w:numPr>
              <w:ind w:left="360"/>
              <w:rPr>
                <w:rFonts w:cs="Arial"/>
                <w:iCs/>
                <w:snapToGrid w:val="0"/>
              </w:rPr>
            </w:pPr>
            <w:r w:rsidRPr="00C8246A">
              <w:rPr>
                <w:rFonts w:cs="Arial"/>
                <w:iCs/>
                <w:snapToGrid w:val="0"/>
              </w:rPr>
              <w:t>Yes</w:t>
            </w:r>
          </w:p>
          <w:p w14:paraId="2A2E33CF" w14:textId="77777777" w:rsidR="00C64192" w:rsidRDefault="00C64192" w:rsidP="00911B51">
            <w:pPr>
              <w:pStyle w:val="ListParagraph"/>
              <w:numPr>
                <w:ilvl w:val="0"/>
                <w:numId w:val="352"/>
              </w:numPr>
              <w:ind w:left="360"/>
              <w:rPr>
                <w:rFonts w:cs="Arial"/>
                <w:iCs/>
                <w:snapToGrid w:val="0"/>
              </w:rPr>
            </w:pPr>
            <w:r w:rsidRPr="00C8246A">
              <w:rPr>
                <w:rFonts w:cs="Arial"/>
                <w:iCs/>
                <w:snapToGrid w:val="0"/>
              </w:rPr>
              <w:t>No</w:t>
            </w:r>
          </w:p>
          <w:p w14:paraId="405F2956" w14:textId="3E68D74C" w:rsidR="00C64192" w:rsidRPr="009A5185" w:rsidRDefault="00C64192" w:rsidP="00911B51">
            <w:pPr>
              <w:pStyle w:val="ListParagraph"/>
              <w:numPr>
                <w:ilvl w:val="0"/>
                <w:numId w:val="352"/>
              </w:numPr>
              <w:ind w:left="360"/>
              <w:rPr>
                <w:rFonts w:cs="Arial"/>
                <w:i/>
                <w:snapToGrid w:val="0"/>
              </w:rPr>
            </w:pPr>
            <w:r w:rsidRPr="003215C1">
              <w:rPr>
                <w:rFonts w:cs="Arial"/>
                <w:iCs/>
                <w:snapToGrid w:val="0"/>
              </w:rPr>
              <w:t xml:space="preserve">Yes, </w:t>
            </w:r>
            <w:r w:rsidRPr="00F62669">
              <w:rPr>
                <w:rFonts w:cs="Arial"/>
                <w:iCs/>
                <w:snapToGrid w:val="0"/>
              </w:rPr>
              <w:t>but had fewer than 15 patient days per month for all 3 months of any quarter of the reporting period</w:t>
            </w:r>
          </w:p>
        </w:tc>
      </w:tr>
    </w:tbl>
    <w:p w14:paraId="27E137E6" w14:textId="77777777" w:rsidR="00C64192" w:rsidRPr="00332C4D" w:rsidRDefault="00C64192" w:rsidP="00C64192"/>
    <w:tbl>
      <w:tblPr>
        <w:tblW w:w="93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5"/>
        <w:gridCol w:w="2241"/>
        <w:gridCol w:w="2647"/>
        <w:gridCol w:w="3032"/>
      </w:tblGrid>
      <w:tr w:rsidR="00C64192" w:rsidRPr="0048640F" w14:paraId="1CB0D3AC" w14:textId="77777777" w:rsidTr="00D73F6A">
        <w:trPr>
          <w:trHeight w:val="576"/>
          <w:jc w:val="center"/>
        </w:trPr>
        <w:tc>
          <w:tcPr>
            <w:tcW w:w="9355" w:type="dxa"/>
            <w:gridSpan w:val="4"/>
            <w:vAlign w:val="center"/>
          </w:tcPr>
          <w:p w14:paraId="062A37F1" w14:textId="00716F2F" w:rsidR="00C64192" w:rsidRPr="003B0F77" w:rsidRDefault="00C64192" w:rsidP="00AD309C">
            <w:pPr>
              <w:pStyle w:val="ListParagraph"/>
              <w:numPr>
                <w:ilvl w:val="0"/>
                <w:numId w:val="147"/>
              </w:numPr>
              <w:rPr>
                <w:rFonts w:cs="Arial"/>
                <w:i/>
                <w:snapToGrid w:val="0"/>
              </w:rPr>
            </w:pPr>
            <w:r w:rsidRPr="0048640F">
              <w:rPr>
                <w:rFonts w:cs="Arial"/>
              </w:rPr>
              <w:t xml:space="preserve">Enter your </w:t>
            </w:r>
            <w:r>
              <w:rPr>
                <w:rFonts w:cs="Arial"/>
              </w:rPr>
              <w:t xml:space="preserve">hospital’s responses for each quarter for all adult and pediatric single acuity </w:t>
            </w:r>
            <w:hyperlink w:anchor="_Nursing_Workforce_Measure_1" w:history="1">
              <w:r>
                <w:rPr>
                  <w:rStyle w:val="Hyperlink"/>
                  <w:rFonts w:cs="Arial"/>
                </w:rPr>
                <w:t>Med-Surg Units</w:t>
              </w:r>
            </w:hyperlink>
            <w:r>
              <w:t xml:space="preserve"> for the reporting period selected in question #1:</w:t>
            </w:r>
          </w:p>
        </w:tc>
      </w:tr>
      <w:tr w:rsidR="00C64192" w:rsidRPr="009A5185" w14:paraId="3CC434AF" w14:textId="77777777" w:rsidTr="00D73F6A">
        <w:trPr>
          <w:jc w:val="center"/>
        </w:trPr>
        <w:tc>
          <w:tcPr>
            <w:tcW w:w="1435" w:type="dxa"/>
            <w:vAlign w:val="center"/>
          </w:tcPr>
          <w:p w14:paraId="46B52D06" w14:textId="77777777" w:rsidR="00C64192" w:rsidRPr="009C1180" w:rsidRDefault="00C64192" w:rsidP="00D73F6A">
            <w:pPr>
              <w:contextualSpacing/>
              <w:rPr>
                <w:rFonts w:cs="Arial"/>
                <w:bCs/>
              </w:rPr>
            </w:pPr>
          </w:p>
        </w:tc>
        <w:tc>
          <w:tcPr>
            <w:tcW w:w="2241" w:type="dxa"/>
            <w:vAlign w:val="center"/>
          </w:tcPr>
          <w:p w14:paraId="2F8D1A38" w14:textId="77777777" w:rsidR="00C64192" w:rsidRPr="004B4271" w:rsidRDefault="00C64192" w:rsidP="00D73F6A">
            <w:r w:rsidRPr="000B1FFB">
              <w:rPr>
                <w:rFonts w:cs="Arial"/>
                <w:b/>
              </w:rPr>
              <w:t xml:space="preserve">(a) </w:t>
            </w:r>
            <w:r w:rsidRPr="00046E22">
              <w:t xml:space="preserve">Total number of </w:t>
            </w:r>
            <w:r w:rsidRPr="000B1FFB">
              <w:rPr>
                <w:rFonts w:cstheme="minorHAnsi"/>
                <w:bCs/>
                <w:iCs/>
              </w:rPr>
              <w:t>patient days</w:t>
            </w:r>
            <w:r>
              <w:rPr>
                <w:rFonts w:cstheme="minorHAnsi"/>
                <w:bCs/>
                <w:iCs/>
              </w:rPr>
              <w:t>:</w:t>
            </w:r>
          </w:p>
          <w:p w14:paraId="5333A46B" w14:textId="77777777" w:rsidR="00C64192" w:rsidRPr="009A5185" w:rsidRDefault="00C64192" w:rsidP="00D73F6A">
            <w:pPr>
              <w:contextualSpacing/>
              <w:rPr>
                <w:rFonts w:cs="Arial"/>
                <w:b/>
              </w:rPr>
            </w:pPr>
          </w:p>
        </w:tc>
        <w:tc>
          <w:tcPr>
            <w:tcW w:w="2647" w:type="dxa"/>
            <w:vAlign w:val="center"/>
          </w:tcPr>
          <w:p w14:paraId="7F37810C" w14:textId="77777777" w:rsidR="00C64192" w:rsidRPr="009A5185" w:rsidRDefault="00C64192" w:rsidP="00D73F6A">
            <w:pPr>
              <w:contextualSpacing/>
              <w:rPr>
                <w:rFonts w:cs="Arial"/>
                <w:b/>
              </w:rPr>
            </w:pPr>
            <w:r w:rsidRPr="00137990">
              <w:rPr>
                <w:rFonts w:cs="Arial"/>
                <w:b/>
              </w:rPr>
              <w:t>(</w:t>
            </w:r>
            <w:r>
              <w:rPr>
                <w:rFonts w:cs="Arial"/>
                <w:b/>
              </w:rPr>
              <w:t>b</w:t>
            </w:r>
            <w:r w:rsidRPr="00137990">
              <w:rPr>
                <w:rFonts w:cs="Arial"/>
                <w:b/>
              </w:rPr>
              <w:t xml:space="preserve">) </w:t>
            </w:r>
            <w:r w:rsidRPr="00046E22">
              <w:t>Total number of productive hours worked by employe</w:t>
            </w:r>
            <w:r>
              <w:t>d</w:t>
            </w:r>
            <w:r w:rsidRPr="00046E22">
              <w:t xml:space="preserve"> </w:t>
            </w:r>
            <w:r>
              <w:t>and</w:t>
            </w:r>
            <w:r w:rsidRPr="00046E22">
              <w:t xml:space="preserve"> contract</w:t>
            </w:r>
            <w:r>
              <w:t xml:space="preserve">ed </w:t>
            </w:r>
            <w:r w:rsidRPr="003215C1">
              <w:rPr>
                <w:b/>
                <w:bCs/>
              </w:rPr>
              <w:t>nursing staff (RN, LPN/LVN, and UAP)</w:t>
            </w:r>
            <w:r>
              <w:t xml:space="preserve"> </w:t>
            </w:r>
            <w:r w:rsidRPr="00046E22">
              <w:t>with direct patient care responsibilities</w:t>
            </w:r>
            <w:r>
              <w:t>:</w:t>
            </w:r>
          </w:p>
        </w:tc>
        <w:tc>
          <w:tcPr>
            <w:tcW w:w="3032" w:type="dxa"/>
          </w:tcPr>
          <w:p w14:paraId="0F5EA3F2" w14:textId="77777777" w:rsidR="00C64192" w:rsidRPr="009A5185" w:rsidRDefault="00C64192" w:rsidP="00D73F6A">
            <w:pPr>
              <w:contextualSpacing/>
              <w:rPr>
                <w:rFonts w:cs="Arial"/>
                <w:b/>
              </w:rPr>
            </w:pPr>
            <w:r w:rsidRPr="009A5185">
              <w:rPr>
                <w:rFonts w:cs="Arial"/>
                <w:b/>
              </w:rPr>
              <w:t>(</w:t>
            </w:r>
            <w:r>
              <w:rPr>
                <w:rFonts w:cs="Arial"/>
                <w:b/>
              </w:rPr>
              <w:t>c</w:t>
            </w:r>
            <w:r w:rsidRPr="009A5185">
              <w:rPr>
                <w:rFonts w:cs="Arial"/>
                <w:b/>
              </w:rPr>
              <w:t>)</w:t>
            </w:r>
            <w:r>
              <w:rPr>
                <w:rFonts w:cs="Arial"/>
                <w:b/>
              </w:rPr>
              <w:t xml:space="preserve"> </w:t>
            </w:r>
            <w:r w:rsidRPr="0014347B">
              <w:t xml:space="preserve">Total number of productive hours </w:t>
            </w:r>
            <w:r w:rsidRPr="00C06753">
              <w:t>worked by</w:t>
            </w:r>
            <w:r w:rsidRPr="0014347B">
              <w:rPr>
                <w:b/>
                <w:bCs/>
              </w:rPr>
              <w:t xml:space="preserve"> RN</w:t>
            </w:r>
            <w:r>
              <w:rPr>
                <w:b/>
                <w:bCs/>
              </w:rPr>
              <w:t xml:space="preserve"> nursing staff</w:t>
            </w:r>
            <w:r w:rsidRPr="0014347B">
              <w:t xml:space="preserve"> with direct patient care responsibilities</w:t>
            </w:r>
            <w:r>
              <w:t>:</w:t>
            </w:r>
          </w:p>
        </w:tc>
      </w:tr>
      <w:tr w:rsidR="00C64192" w:rsidRPr="009A5185" w14:paraId="5E924BB9" w14:textId="77777777" w:rsidTr="00D73F6A">
        <w:trPr>
          <w:jc w:val="center"/>
        </w:trPr>
        <w:tc>
          <w:tcPr>
            <w:tcW w:w="1435" w:type="dxa"/>
          </w:tcPr>
          <w:p w14:paraId="4E25F923" w14:textId="77777777" w:rsidR="00C64192" w:rsidRPr="009A5185" w:rsidRDefault="00C64192" w:rsidP="00D73F6A">
            <w:pPr>
              <w:jc w:val="center"/>
              <w:rPr>
                <w:rFonts w:cs="Arial"/>
              </w:rPr>
            </w:pPr>
            <w:r>
              <w:rPr>
                <w:rFonts w:cs="Arial"/>
              </w:rPr>
              <w:t xml:space="preserve">Quarter 1 </w:t>
            </w:r>
          </w:p>
        </w:tc>
        <w:tc>
          <w:tcPr>
            <w:tcW w:w="2241" w:type="dxa"/>
            <w:vAlign w:val="center"/>
          </w:tcPr>
          <w:p w14:paraId="21D38C35" w14:textId="77777777" w:rsidR="00C64192" w:rsidRPr="009A5185" w:rsidRDefault="00C64192" w:rsidP="00D73F6A">
            <w:pPr>
              <w:ind w:left="360"/>
              <w:contextualSpacing/>
              <w:rPr>
                <w:rFonts w:cs="Arial"/>
                <w:b/>
              </w:rPr>
            </w:pPr>
          </w:p>
        </w:tc>
        <w:tc>
          <w:tcPr>
            <w:tcW w:w="2647" w:type="dxa"/>
            <w:vAlign w:val="center"/>
          </w:tcPr>
          <w:p w14:paraId="4BB69496" w14:textId="77777777" w:rsidR="00C64192" w:rsidRPr="009A5185" w:rsidRDefault="00C64192" w:rsidP="00D73F6A">
            <w:pPr>
              <w:ind w:left="360"/>
              <w:contextualSpacing/>
              <w:rPr>
                <w:rFonts w:cs="Arial"/>
                <w:b/>
              </w:rPr>
            </w:pPr>
          </w:p>
        </w:tc>
        <w:tc>
          <w:tcPr>
            <w:tcW w:w="3032" w:type="dxa"/>
          </w:tcPr>
          <w:p w14:paraId="366F1556" w14:textId="77777777" w:rsidR="00C64192" w:rsidRPr="009A5185" w:rsidRDefault="00C64192" w:rsidP="00D73F6A">
            <w:pPr>
              <w:ind w:left="360"/>
              <w:contextualSpacing/>
              <w:rPr>
                <w:rFonts w:cs="Arial"/>
                <w:b/>
              </w:rPr>
            </w:pPr>
          </w:p>
        </w:tc>
      </w:tr>
      <w:tr w:rsidR="00C64192" w:rsidRPr="009A5185" w14:paraId="655C725E" w14:textId="77777777" w:rsidTr="00D73F6A">
        <w:trPr>
          <w:jc w:val="center"/>
        </w:trPr>
        <w:tc>
          <w:tcPr>
            <w:tcW w:w="1435" w:type="dxa"/>
          </w:tcPr>
          <w:p w14:paraId="2D6FDCFD" w14:textId="77777777" w:rsidR="00C64192" w:rsidRPr="009A5185" w:rsidRDefault="00C64192" w:rsidP="00D73F6A">
            <w:pPr>
              <w:jc w:val="center"/>
              <w:rPr>
                <w:rFonts w:cs="Arial"/>
              </w:rPr>
            </w:pPr>
            <w:r>
              <w:rPr>
                <w:rFonts w:cs="Arial"/>
              </w:rPr>
              <w:t xml:space="preserve">Quarter 2 </w:t>
            </w:r>
          </w:p>
        </w:tc>
        <w:tc>
          <w:tcPr>
            <w:tcW w:w="2241" w:type="dxa"/>
            <w:vAlign w:val="center"/>
          </w:tcPr>
          <w:p w14:paraId="377D9527" w14:textId="77777777" w:rsidR="00C64192" w:rsidRPr="009A5185" w:rsidRDefault="00C64192" w:rsidP="00D73F6A">
            <w:pPr>
              <w:ind w:left="360"/>
              <w:contextualSpacing/>
              <w:rPr>
                <w:rFonts w:cs="Arial"/>
                <w:b/>
              </w:rPr>
            </w:pPr>
          </w:p>
        </w:tc>
        <w:tc>
          <w:tcPr>
            <w:tcW w:w="2647" w:type="dxa"/>
            <w:vAlign w:val="center"/>
          </w:tcPr>
          <w:p w14:paraId="67CFB855" w14:textId="77777777" w:rsidR="00C64192" w:rsidRPr="009A5185" w:rsidRDefault="00C64192" w:rsidP="00D73F6A">
            <w:pPr>
              <w:ind w:left="360"/>
              <w:contextualSpacing/>
              <w:rPr>
                <w:rFonts w:cs="Arial"/>
                <w:b/>
              </w:rPr>
            </w:pPr>
          </w:p>
        </w:tc>
        <w:tc>
          <w:tcPr>
            <w:tcW w:w="3032" w:type="dxa"/>
          </w:tcPr>
          <w:p w14:paraId="26DF7371" w14:textId="77777777" w:rsidR="00C64192" w:rsidRPr="009A5185" w:rsidRDefault="00C64192" w:rsidP="00D73F6A">
            <w:pPr>
              <w:ind w:left="360"/>
              <w:contextualSpacing/>
              <w:rPr>
                <w:rFonts w:cs="Arial"/>
                <w:b/>
              </w:rPr>
            </w:pPr>
          </w:p>
        </w:tc>
      </w:tr>
      <w:tr w:rsidR="00C64192" w:rsidRPr="009A5185" w14:paraId="714DA1F1" w14:textId="77777777" w:rsidTr="00D73F6A">
        <w:trPr>
          <w:jc w:val="center"/>
        </w:trPr>
        <w:tc>
          <w:tcPr>
            <w:tcW w:w="1435" w:type="dxa"/>
          </w:tcPr>
          <w:p w14:paraId="269C6275" w14:textId="77777777" w:rsidR="00C64192" w:rsidRPr="009A5185" w:rsidRDefault="00C64192" w:rsidP="00D73F6A">
            <w:pPr>
              <w:jc w:val="center"/>
              <w:rPr>
                <w:rFonts w:cs="Arial"/>
              </w:rPr>
            </w:pPr>
            <w:r>
              <w:rPr>
                <w:rFonts w:cs="Arial"/>
              </w:rPr>
              <w:t xml:space="preserve">Quarter 3 </w:t>
            </w:r>
          </w:p>
        </w:tc>
        <w:tc>
          <w:tcPr>
            <w:tcW w:w="2241" w:type="dxa"/>
            <w:vAlign w:val="center"/>
          </w:tcPr>
          <w:p w14:paraId="5879E1F8" w14:textId="77777777" w:rsidR="00C64192" w:rsidRPr="009A5185" w:rsidRDefault="00C64192" w:rsidP="00D73F6A">
            <w:pPr>
              <w:ind w:left="360"/>
              <w:contextualSpacing/>
              <w:rPr>
                <w:rFonts w:cs="Arial"/>
                <w:b/>
              </w:rPr>
            </w:pPr>
          </w:p>
        </w:tc>
        <w:tc>
          <w:tcPr>
            <w:tcW w:w="2647" w:type="dxa"/>
            <w:vAlign w:val="center"/>
          </w:tcPr>
          <w:p w14:paraId="56DEBB2A" w14:textId="77777777" w:rsidR="00C64192" w:rsidRPr="009A5185" w:rsidRDefault="00C64192" w:rsidP="00D73F6A">
            <w:pPr>
              <w:ind w:left="360"/>
              <w:contextualSpacing/>
              <w:rPr>
                <w:rFonts w:cs="Arial"/>
                <w:b/>
              </w:rPr>
            </w:pPr>
          </w:p>
        </w:tc>
        <w:tc>
          <w:tcPr>
            <w:tcW w:w="3032" w:type="dxa"/>
          </w:tcPr>
          <w:p w14:paraId="39BF0C74" w14:textId="77777777" w:rsidR="00C64192" w:rsidRPr="009A5185" w:rsidRDefault="00C64192" w:rsidP="00D73F6A">
            <w:pPr>
              <w:ind w:left="360"/>
              <w:contextualSpacing/>
              <w:rPr>
                <w:rFonts w:cs="Arial"/>
                <w:b/>
              </w:rPr>
            </w:pPr>
          </w:p>
        </w:tc>
      </w:tr>
      <w:tr w:rsidR="00C64192" w:rsidRPr="009A5185" w14:paraId="65D50F22" w14:textId="77777777" w:rsidTr="00D73F6A">
        <w:trPr>
          <w:jc w:val="center"/>
        </w:trPr>
        <w:tc>
          <w:tcPr>
            <w:tcW w:w="1435" w:type="dxa"/>
          </w:tcPr>
          <w:p w14:paraId="4A4A98A8" w14:textId="77777777" w:rsidR="00C64192" w:rsidRPr="009A5185" w:rsidRDefault="00C64192" w:rsidP="00D73F6A">
            <w:pPr>
              <w:jc w:val="center"/>
              <w:rPr>
                <w:rFonts w:cs="Arial"/>
              </w:rPr>
            </w:pPr>
            <w:r>
              <w:rPr>
                <w:rFonts w:cs="Arial"/>
              </w:rPr>
              <w:t xml:space="preserve">Quarter 4 </w:t>
            </w:r>
          </w:p>
        </w:tc>
        <w:tc>
          <w:tcPr>
            <w:tcW w:w="2241" w:type="dxa"/>
            <w:vAlign w:val="center"/>
          </w:tcPr>
          <w:p w14:paraId="2ACF337C" w14:textId="77777777" w:rsidR="00C64192" w:rsidRPr="009A5185" w:rsidRDefault="00C64192" w:rsidP="00D73F6A">
            <w:pPr>
              <w:ind w:left="360"/>
              <w:contextualSpacing/>
              <w:rPr>
                <w:rFonts w:cs="Arial"/>
                <w:b/>
              </w:rPr>
            </w:pPr>
          </w:p>
        </w:tc>
        <w:tc>
          <w:tcPr>
            <w:tcW w:w="2647" w:type="dxa"/>
            <w:vAlign w:val="center"/>
          </w:tcPr>
          <w:p w14:paraId="69F6D657" w14:textId="77777777" w:rsidR="00C64192" w:rsidRPr="009A5185" w:rsidRDefault="00C64192" w:rsidP="00D73F6A">
            <w:pPr>
              <w:ind w:left="360"/>
              <w:contextualSpacing/>
              <w:rPr>
                <w:rFonts w:cs="Arial"/>
                <w:b/>
              </w:rPr>
            </w:pPr>
          </w:p>
        </w:tc>
        <w:tc>
          <w:tcPr>
            <w:tcW w:w="3032" w:type="dxa"/>
          </w:tcPr>
          <w:p w14:paraId="3D89AD95" w14:textId="77777777" w:rsidR="00C64192" w:rsidRPr="009A5185" w:rsidRDefault="00C64192" w:rsidP="00D73F6A">
            <w:pPr>
              <w:ind w:left="360"/>
              <w:contextualSpacing/>
              <w:rPr>
                <w:rFonts w:cs="Arial"/>
                <w:b/>
              </w:rPr>
            </w:pPr>
          </w:p>
        </w:tc>
      </w:tr>
    </w:tbl>
    <w:p w14:paraId="54D1938D" w14:textId="277128B3" w:rsidR="00265265" w:rsidRPr="00332C4D" w:rsidRDefault="00265265" w:rsidP="00C64192">
      <w:pPr>
        <w:rPr>
          <w:rFonts w:cs="Arial"/>
          <w:bCs/>
          <w:i/>
          <w:iCs/>
          <w:snapToGrid w:val="0"/>
        </w:rPr>
      </w:pPr>
    </w:p>
    <w:tbl>
      <w:tblPr>
        <w:tblStyle w:val="TableGrid"/>
        <w:tblW w:w="0" w:type="auto"/>
        <w:tblLook w:val="04A0" w:firstRow="1" w:lastRow="0" w:firstColumn="1" w:lastColumn="0" w:noHBand="0" w:noVBand="1"/>
      </w:tblPr>
      <w:tblGrid>
        <w:gridCol w:w="6115"/>
        <w:gridCol w:w="3235"/>
      </w:tblGrid>
      <w:tr w:rsidR="00EF7D29" w:rsidRPr="00C645E0" w14:paraId="28D3972E" w14:textId="77777777" w:rsidTr="00D73F6A">
        <w:trPr>
          <w:trHeight w:val="1224"/>
        </w:trPr>
        <w:tc>
          <w:tcPr>
            <w:tcW w:w="6115" w:type="dxa"/>
          </w:tcPr>
          <w:p w14:paraId="64BD72D1" w14:textId="77777777" w:rsidR="009A2560" w:rsidRDefault="009A2560" w:rsidP="009A2560">
            <w:pPr>
              <w:pStyle w:val="ListParagraph"/>
              <w:numPr>
                <w:ilvl w:val="0"/>
                <w:numId w:val="147"/>
              </w:numPr>
            </w:pPr>
            <w:r>
              <w:t xml:space="preserve">Does your hospital operate at least one adult or pediatric </w:t>
            </w:r>
            <w:r w:rsidRPr="007F7D26">
              <w:t>mixed acuity</w:t>
            </w:r>
            <w:r>
              <w:t xml:space="preserve"> Medical, Surgical or Med-Surg Unit?</w:t>
            </w:r>
            <w:r>
              <w:br/>
            </w:r>
            <w:r>
              <w:br/>
            </w:r>
            <w:r w:rsidRPr="00601A33">
              <w:rPr>
                <w:i/>
                <w:iCs/>
              </w:rPr>
              <w:t>A mixed acuity unit is defined as a unit where more than 10% of patients receive varying levels of care.</w:t>
            </w:r>
          </w:p>
          <w:p w14:paraId="526A5F19" w14:textId="77777777" w:rsidR="00EF7D29" w:rsidRDefault="00EF7D29" w:rsidP="009A2560">
            <w:pPr>
              <w:pStyle w:val="ListParagraph"/>
              <w:ind w:left="360"/>
            </w:pPr>
          </w:p>
          <w:p w14:paraId="56D6E623" w14:textId="40BA42A7" w:rsidR="00C20319" w:rsidRDefault="00C20319" w:rsidP="00C20319">
            <w:pPr>
              <w:ind w:left="360"/>
              <w:contextualSpacing/>
              <w:rPr>
                <w:i/>
                <w:iCs/>
              </w:rPr>
            </w:pPr>
            <w:r w:rsidRPr="00D64551">
              <w:rPr>
                <w:i/>
                <w:iCs/>
              </w:rPr>
              <w:t>If “no”</w:t>
            </w:r>
            <w:r>
              <w:rPr>
                <w:i/>
                <w:iCs/>
              </w:rPr>
              <w:t xml:space="preserve"> or “yes</w:t>
            </w:r>
            <w:r w:rsidR="00922C79">
              <w:rPr>
                <w:i/>
                <w:iCs/>
              </w:rPr>
              <w:t xml:space="preserve">, </w:t>
            </w:r>
            <w:r>
              <w:rPr>
                <w:i/>
                <w:iCs/>
              </w:rPr>
              <w:t xml:space="preserve">but had fewer than 15 patients days per month for all 3 months of any quarter of the reporting period,” </w:t>
            </w:r>
            <w:r w:rsidRPr="00D64551">
              <w:rPr>
                <w:i/>
                <w:iCs/>
              </w:rPr>
              <w:t>skip questions #</w:t>
            </w:r>
            <w:r>
              <w:rPr>
                <w:i/>
                <w:iCs/>
              </w:rPr>
              <w:t>11</w:t>
            </w:r>
            <w:r w:rsidRPr="00D64551">
              <w:rPr>
                <w:i/>
                <w:iCs/>
              </w:rPr>
              <w:t>-</w:t>
            </w:r>
            <w:r>
              <w:rPr>
                <w:i/>
                <w:iCs/>
              </w:rPr>
              <w:t>1</w:t>
            </w:r>
            <w:r w:rsidR="004D4FDD">
              <w:rPr>
                <w:i/>
                <w:iCs/>
              </w:rPr>
              <w:t>2</w:t>
            </w:r>
            <w:r>
              <w:rPr>
                <w:i/>
                <w:iCs/>
              </w:rPr>
              <w:t>.</w:t>
            </w:r>
          </w:p>
          <w:p w14:paraId="545BA672" w14:textId="1BBF3DDC" w:rsidR="00C20319" w:rsidRDefault="00C20319" w:rsidP="00F970A2">
            <w:pPr>
              <w:pStyle w:val="ListParagraph"/>
              <w:ind w:left="360"/>
            </w:pPr>
          </w:p>
        </w:tc>
        <w:tc>
          <w:tcPr>
            <w:tcW w:w="3235" w:type="dxa"/>
            <w:vAlign w:val="center"/>
          </w:tcPr>
          <w:p w14:paraId="3891ECDD" w14:textId="77777777" w:rsidR="00E974B9" w:rsidRPr="00D64551" w:rsidRDefault="00E974B9" w:rsidP="00E974B9">
            <w:pPr>
              <w:numPr>
                <w:ilvl w:val="0"/>
                <w:numId w:val="349"/>
              </w:numPr>
              <w:contextualSpacing/>
              <w:rPr>
                <w:rFonts w:cs="Arial"/>
                <w:iCs/>
              </w:rPr>
            </w:pPr>
            <w:r w:rsidRPr="00D64551">
              <w:rPr>
                <w:iCs/>
              </w:rPr>
              <w:t>Yes</w:t>
            </w:r>
          </w:p>
          <w:p w14:paraId="73D1F045" w14:textId="77777777" w:rsidR="00E974B9" w:rsidRPr="00E974B9" w:rsidRDefault="00E974B9" w:rsidP="00E974B9">
            <w:pPr>
              <w:numPr>
                <w:ilvl w:val="0"/>
                <w:numId w:val="349"/>
              </w:numPr>
              <w:contextualSpacing/>
              <w:rPr>
                <w:rFonts w:cs="Arial"/>
                <w:iCs/>
              </w:rPr>
            </w:pPr>
            <w:r w:rsidRPr="00D64551">
              <w:rPr>
                <w:iCs/>
              </w:rPr>
              <w:t>No</w:t>
            </w:r>
          </w:p>
          <w:p w14:paraId="5B0D506F" w14:textId="5325FFC4" w:rsidR="00EF7D29" w:rsidRPr="00F970A2" w:rsidRDefault="00E974B9" w:rsidP="007F7D26">
            <w:pPr>
              <w:numPr>
                <w:ilvl w:val="0"/>
                <w:numId w:val="349"/>
              </w:numPr>
              <w:contextualSpacing/>
              <w:rPr>
                <w:rFonts w:cs="Arial"/>
                <w:iCs/>
              </w:rPr>
            </w:pPr>
            <w:r w:rsidRPr="00E974B9">
              <w:rPr>
                <w:rFonts w:cs="Arial"/>
                <w:iCs/>
                <w:snapToGrid w:val="0"/>
              </w:rPr>
              <w:t>Yes, but had fewer than 15 patient days per month for all 3 months of any quarter of the reporting period</w:t>
            </w:r>
          </w:p>
        </w:tc>
      </w:tr>
    </w:tbl>
    <w:p w14:paraId="2288622D" w14:textId="4307ED14" w:rsidR="00FD512C" w:rsidRDefault="00FD512C"/>
    <w:p w14:paraId="18CD122D" w14:textId="341229F0" w:rsidR="00FD512C" w:rsidRDefault="00FD512C" w:rsidP="00FD512C">
      <w:pPr>
        <w:rPr>
          <w:rFonts w:cs="Arial"/>
          <w:bCs/>
          <w:i/>
          <w:iCs/>
          <w:snapToGrid w:val="0"/>
        </w:rPr>
      </w:pPr>
      <w:r w:rsidRPr="00BD16A9">
        <w:rPr>
          <w:rFonts w:cs="Arial"/>
          <w:bCs/>
          <w:i/>
          <w:iCs/>
          <w:snapToGrid w:val="0"/>
        </w:rPr>
        <w:t>If “yes, but had fewer than 15 patient days per month for all 3 months of any quarter of the reporting period” to questions #4, #6, and #8 and “yes” to question #10, continue to question</w:t>
      </w:r>
      <w:r w:rsidR="00E2662B">
        <w:rPr>
          <w:rFonts w:cs="Arial"/>
          <w:bCs/>
          <w:i/>
          <w:iCs/>
          <w:snapToGrid w:val="0"/>
        </w:rPr>
        <w:t>s</w:t>
      </w:r>
      <w:r w:rsidRPr="00BD16A9">
        <w:rPr>
          <w:rFonts w:cs="Arial"/>
          <w:bCs/>
          <w:i/>
          <w:iCs/>
          <w:snapToGrid w:val="0"/>
        </w:rPr>
        <w:t xml:space="preserve"> #11</w:t>
      </w:r>
      <w:r w:rsidR="005B471C" w:rsidRPr="00BD16A9">
        <w:rPr>
          <w:rFonts w:cs="Arial"/>
          <w:bCs/>
          <w:i/>
          <w:iCs/>
          <w:snapToGrid w:val="0"/>
        </w:rPr>
        <w:t>-12</w:t>
      </w:r>
      <w:r w:rsidRPr="00BD16A9">
        <w:rPr>
          <w:rFonts w:cs="Arial"/>
          <w:bCs/>
          <w:i/>
          <w:iCs/>
          <w:snapToGrid w:val="0"/>
        </w:rPr>
        <w:t xml:space="preserve"> and report on your mixed acuity unit(s).</w:t>
      </w:r>
    </w:p>
    <w:p w14:paraId="57CEC309" w14:textId="77777777" w:rsidR="00E2662B" w:rsidRDefault="00E2662B" w:rsidP="00FD512C">
      <w:pPr>
        <w:rPr>
          <w:rFonts w:cs="Arial"/>
          <w:bCs/>
          <w:i/>
          <w:iCs/>
          <w:snapToGrid w:val="0"/>
        </w:rPr>
      </w:pPr>
    </w:p>
    <w:p w14:paraId="222A157F" w14:textId="2DFFB164" w:rsidR="00FD512C" w:rsidRDefault="00E222D5" w:rsidP="00FD512C">
      <w:pPr>
        <w:rPr>
          <w:i/>
          <w:iCs/>
        </w:rPr>
      </w:pPr>
      <w:r>
        <w:rPr>
          <w:rFonts w:cs="Arial"/>
          <w:bCs/>
          <w:i/>
          <w:iCs/>
          <w:snapToGrid w:val="0"/>
        </w:rPr>
        <w:t>Hospitals that operate both single and mixed acuity units can optionally report on their mixed acuity units in question #1</w:t>
      </w:r>
      <w:r w:rsidR="002E34F1">
        <w:rPr>
          <w:rFonts w:cs="Arial"/>
          <w:bCs/>
          <w:i/>
          <w:iCs/>
          <w:snapToGrid w:val="0"/>
        </w:rPr>
        <w:t>4</w:t>
      </w:r>
      <w:r>
        <w:rPr>
          <w:rFonts w:cs="Arial"/>
          <w:bCs/>
          <w:i/>
          <w:iCs/>
          <w:snapToGrid w:val="0"/>
        </w:rPr>
        <w:t xml:space="preserve">. </w:t>
      </w:r>
    </w:p>
    <w:p w14:paraId="2FA0C77C" w14:textId="77777777" w:rsidR="00E2662B" w:rsidRPr="00BD16A9" w:rsidRDefault="00E2662B" w:rsidP="00FD512C">
      <w:pPr>
        <w:rPr>
          <w:i/>
          <w:iCs/>
        </w:rPr>
      </w:pPr>
    </w:p>
    <w:tbl>
      <w:tblPr>
        <w:tblStyle w:val="TableGrid"/>
        <w:tblW w:w="0" w:type="auto"/>
        <w:tblLook w:val="04A0" w:firstRow="1" w:lastRow="0" w:firstColumn="1" w:lastColumn="0" w:noHBand="0" w:noVBand="1"/>
      </w:tblPr>
      <w:tblGrid>
        <w:gridCol w:w="6115"/>
        <w:gridCol w:w="3235"/>
      </w:tblGrid>
      <w:tr w:rsidR="00C64192" w:rsidRPr="00C645E0" w14:paraId="7EB1829B" w14:textId="77777777" w:rsidTr="00D73F6A">
        <w:trPr>
          <w:trHeight w:val="1224"/>
        </w:trPr>
        <w:tc>
          <w:tcPr>
            <w:tcW w:w="6115" w:type="dxa"/>
          </w:tcPr>
          <w:p w14:paraId="232B51B1" w14:textId="419D68CD" w:rsidR="00C64192" w:rsidRDefault="00C64192" w:rsidP="0031621B">
            <w:pPr>
              <w:pStyle w:val="ListParagraph"/>
              <w:numPr>
                <w:ilvl w:val="0"/>
                <w:numId w:val="147"/>
              </w:numPr>
            </w:pPr>
            <w:r>
              <w:t>What type(s) of adult or pediatric mixed acuity Medical, Surgical, or Med-Surg Units does your hospital operate?</w:t>
            </w:r>
          </w:p>
          <w:p w14:paraId="4FE9AD25" w14:textId="77777777" w:rsidR="00C64192" w:rsidRDefault="00C64192" w:rsidP="00D73F6A">
            <w:pPr>
              <w:pStyle w:val="ListParagraph"/>
              <w:ind w:left="360"/>
            </w:pPr>
          </w:p>
          <w:p w14:paraId="52A446F9" w14:textId="77777777" w:rsidR="00C64192" w:rsidRDefault="00C64192" w:rsidP="00D73F6A">
            <w:pPr>
              <w:pStyle w:val="ListParagraph"/>
              <w:ind w:left="360"/>
              <w:rPr>
                <w:i/>
                <w:iCs/>
              </w:rPr>
            </w:pPr>
            <w:r>
              <w:rPr>
                <w:i/>
                <w:iCs/>
              </w:rPr>
              <w:t>Select</w:t>
            </w:r>
            <w:r w:rsidRPr="002823A3">
              <w:rPr>
                <w:i/>
                <w:iCs/>
              </w:rPr>
              <w:t xml:space="preserve"> all that apply.</w:t>
            </w:r>
          </w:p>
          <w:p w14:paraId="034392D5" w14:textId="77777777" w:rsidR="00C64192" w:rsidRDefault="00C64192" w:rsidP="00D73F6A">
            <w:pPr>
              <w:pStyle w:val="ListParagraph"/>
              <w:ind w:left="360"/>
              <w:rPr>
                <w:i/>
                <w:iCs/>
              </w:rPr>
            </w:pPr>
          </w:p>
          <w:p w14:paraId="526496B9" w14:textId="77777777" w:rsidR="00C64192" w:rsidRPr="00BB3760" w:rsidRDefault="00C64192" w:rsidP="00D73F6A">
            <w:pPr>
              <w:ind w:left="360"/>
              <w:rPr>
                <w:rFonts w:cs="Arial"/>
                <w:i/>
                <w:snapToGrid w:val="0"/>
              </w:rPr>
            </w:pPr>
            <w:r w:rsidRPr="00BB3760">
              <w:rPr>
                <w:rFonts w:cs="Arial"/>
                <w:i/>
                <w:snapToGrid w:val="0"/>
              </w:rPr>
              <w:t xml:space="preserve">A </w:t>
            </w:r>
            <w:r w:rsidRPr="00BB3760">
              <w:rPr>
                <w:rFonts w:cs="Arial"/>
                <w:i/>
                <w:snapToGrid w:val="0"/>
                <w:u w:val="single"/>
              </w:rPr>
              <w:t>High Acuity Unit</w:t>
            </w:r>
            <w:r w:rsidRPr="00BB3760">
              <w:rPr>
                <w:rFonts w:cs="Arial"/>
                <w:i/>
                <w:snapToGrid w:val="0"/>
              </w:rPr>
              <w:t xml:space="preserve"> is a mixed acuity unit in which 50-89% of the patients are critical care </w:t>
            </w:r>
            <w:r w:rsidRPr="00BB3760">
              <w:rPr>
                <w:rFonts w:cs="Arial"/>
                <w:b/>
                <w:bCs/>
                <w:i/>
                <w:snapToGrid w:val="0"/>
              </w:rPr>
              <w:t>and</w:t>
            </w:r>
            <w:r w:rsidRPr="00BB3760">
              <w:rPr>
                <w:rFonts w:cs="Arial"/>
                <w:i/>
                <w:snapToGrid w:val="0"/>
              </w:rPr>
              <w:t xml:space="preserve"> the remaining 11-49% can be any other acuity level. </w:t>
            </w:r>
          </w:p>
          <w:p w14:paraId="77F70A87" w14:textId="77777777" w:rsidR="00C64192" w:rsidRPr="00BB3760" w:rsidRDefault="00C64192" w:rsidP="00D73F6A">
            <w:pPr>
              <w:rPr>
                <w:rFonts w:cs="Arial"/>
                <w:i/>
                <w:snapToGrid w:val="0"/>
              </w:rPr>
            </w:pPr>
          </w:p>
          <w:p w14:paraId="5B5BCD49" w14:textId="77777777" w:rsidR="00C64192" w:rsidRPr="00BB3760" w:rsidRDefault="00C64192" w:rsidP="00D73F6A">
            <w:pPr>
              <w:ind w:left="360"/>
              <w:rPr>
                <w:rFonts w:cs="Arial"/>
                <w:i/>
                <w:snapToGrid w:val="0"/>
              </w:rPr>
            </w:pPr>
            <w:r w:rsidRPr="00BB3760">
              <w:rPr>
                <w:rFonts w:cs="Arial"/>
                <w:i/>
                <w:snapToGrid w:val="0"/>
              </w:rPr>
              <w:t xml:space="preserve">A </w:t>
            </w:r>
            <w:r w:rsidRPr="00BB3760">
              <w:rPr>
                <w:rFonts w:cs="Arial"/>
                <w:i/>
                <w:snapToGrid w:val="0"/>
                <w:u w:val="single"/>
              </w:rPr>
              <w:t>Moderate Acuity Unit</w:t>
            </w:r>
            <w:r w:rsidRPr="00BB3760">
              <w:rPr>
                <w:rFonts w:cs="Arial"/>
                <w:i/>
                <w:snapToGrid w:val="0"/>
              </w:rPr>
              <w:t xml:space="preserve"> is a mixed acuity unit in which 25-49% of the patients are critical care </w:t>
            </w:r>
            <w:r w:rsidRPr="00BB3760">
              <w:rPr>
                <w:rFonts w:cs="Arial"/>
                <w:b/>
                <w:bCs/>
                <w:i/>
                <w:snapToGrid w:val="0"/>
              </w:rPr>
              <w:t>OR</w:t>
            </w:r>
            <w:r w:rsidRPr="00BB3760">
              <w:rPr>
                <w:rFonts w:cs="Arial"/>
                <w:i/>
                <w:snapToGrid w:val="0"/>
              </w:rPr>
              <w:t xml:space="preserve"> 50-89% of the patients are step down care. The remaining percentage can be any other acuity level.</w:t>
            </w:r>
          </w:p>
          <w:p w14:paraId="6BDF4741" w14:textId="77777777" w:rsidR="00C64192" w:rsidRPr="00BB3760" w:rsidRDefault="00C64192" w:rsidP="00D73F6A">
            <w:pPr>
              <w:rPr>
                <w:rFonts w:cs="Arial"/>
                <w:i/>
                <w:snapToGrid w:val="0"/>
              </w:rPr>
            </w:pPr>
          </w:p>
          <w:p w14:paraId="6FBD6B5E" w14:textId="77777777" w:rsidR="00C64192" w:rsidRPr="002823A3" w:rsidRDefault="00C64192" w:rsidP="00D73F6A">
            <w:pPr>
              <w:autoSpaceDE w:val="0"/>
              <w:autoSpaceDN w:val="0"/>
              <w:adjustRightInd w:val="0"/>
              <w:ind w:left="360"/>
              <w:rPr>
                <w:rFonts w:cs="Arial"/>
                <w:i/>
                <w:snapToGrid w:val="0"/>
              </w:rPr>
            </w:pPr>
            <w:r w:rsidRPr="00BB3760">
              <w:rPr>
                <w:rFonts w:cs="Arial"/>
                <w:i/>
                <w:snapToGrid w:val="0"/>
              </w:rPr>
              <w:t xml:space="preserve">A </w:t>
            </w:r>
            <w:r w:rsidRPr="00BB3760">
              <w:rPr>
                <w:rFonts w:cs="Arial"/>
                <w:i/>
                <w:snapToGrid w:val="0"/>
                <w:u w:val="single"/>
              </w:rPr>
              <w:t>Blended Acuity Unit</w:t>
            </w:r>
            <w:r w:rsidRPr="00BB3760">
              <w:rPr>
                <w:rFonts w:cs="Arial"/>
                <w:i/>
                <w:snapToGrid w:val="0"/>
              </w:rPr>
              <w:t xml:space="preserve"> is a mixed acuity acute care unit in which less than 90% of the patients receive a single acuity level of care, less than 50% receive step down care, </w:t>
            </w:r>
            <w:r w:rsidRPr="00BB3760">
              <w:rPr>
                <w:rFonts w:cs="Arial"/>
                <w:b/>
                <w:bCs/>
                <w:i/>
                <w:snapToGrid w:val="0"/>
              </w:rPr>
              <w:t xml:space="preserve">and </w:t>
            </w:r>
            <w:r w:rsidRPr="00BB3760">
              <w:rPr>
                <w:rFonts w:cs="Arial"/>
                <w:i/>
                <w:snapToGrid w:val="0"/>
              </w:rPr>
              <w:t>less than 25% receive critical care.</w:t>
            </w:r>
          </w:p>
        </w:tc>
        <w:tc>
          <w:tcPr>
            <w:tcW w:w="3235" w:type="dxa"/>
            <w:vAlign w:val="center"/>
          </w:tcPr>
          <w:p w14:paraId="50CCDE92" w14:textId="77777777" w:rsidR="00C64192" w:rsidRDefault="00C64192" w:rsidP="00AD309C">
            <w:pPr>
              <w:pStyle w:val="ListParagraph"/>
              <w:numPr>
                <w:ilvl w:val="0"/>
                <w:numId w:val="358"/>
              </w:numPr>
              <w:rPr>
                <w:rFonts w:cs="Arial"/>
                <w:iCs/>
                <w:snapToGrid w:val="0"/>
              </w:rPr>
            </w:pPr>
            <w:r>
              <w:rPr>
                <w:rFonts w:cs="Arial"/>
                <w:iCs/>
                <w:snapToGrid w:val="0"/>
              </w:rPr>
              <w:t>High Acuity</w:t>
            </w:r>
          </w:p>
          <w:p w14:paraId="5E8376C1" w14:textId="77777777" w:rsidR="00C64192" w:rsidRDefault="00C64192" w:rsidP="00AD309C">
            <w:pPr>
              <w:pStyle w:val="ListParagraph"/>
              <w:numPr>
                <w:ilvl w:val="0"/>
                <w:numId w:val="358"/>
              </w:numPr>
              <w:rPr>
                <w:rFonts w:cs="Arial"/>
                <w:iCs/>
                <w:snapToGrid w:val="0"/>
              </w:rPr>
            </w:pPr>
            <w:r>
              <w:rPr>
                <w:rFonts w:cs="Arial"/>
                <w:iCs/>
                <w:snapToGrid w:val="0"/>
              </w:rPr>
              <w:t>Moderate Acuity</w:t>
            </w:r>
          </w:p>
          <w:p w14:paraId="746FC3A5" w14:textId="77777777" w:rsidR="00C64192" w:rsidRPr="00C8246A" w:rsidRDefault="00C64192" w:rsidP="00AD309C">
            <w:pPr>
              <w:pStyle w:val="ListParagraph"/>
              <w:numPr>
                <w:ilvl w:val="0"/>
                <w:numId w:val="358"/>
              </w:numPr>
              <w:rPr>
                <w:rFonts w:cs="Arial"/>
                <w:iCs/>
                <w:snapToGrid w:val="0"/>
              </w:rPr>
            </w:pPr>
            <w:r>
              <w:rPr>
                <w:rFonts w:cs="Arial"/>
                <w:iCs/>
                <w:snapToGrid w:val="0"/>
              </w:rPr>
              <w:t>Blended Acuity</w:t>
            </w:r>
          </w:p>
        </w:tc>
      </w:tr>
    </w:tbl>
    <w:p w14:paraId="062F3A2D" w14:textId="77777777" w:rsidR="00D35A71" w:rsidRPr="00357E20" w:rsidRDefault="00D35A71" w:rsidP="00C64192">
      <w:pPr>
        <w:rPr>
          <w:sz w:val="16"/>
          <w:szCs w:val="16"/>
        </w:rPr>
      </w:pPr>
    </w:p>
    <w:tbl>
      <w:tblPr>
        <w:tblW w:w="93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5"/>
        <w:gridCol w:w="2340"/>
        <w:gridCol w:w="2790"/>
        <w:gridCol w:w="2790"/>
      </w:tblGrid>
      <w:tr w:rsidR="00C64192" w:rsidRPr="009A5185" w14:paraId="54FD7BD2" w14:textId="77777777" w:rsidTr="00D73F6A">
        <w:trPr>
          <w:trHeight w:val="576"/>
          <w:jc w:val="center"/>
        </w:trPr>
        <w:tc>
          <w:tcPr>
            <w:tcW w:w="9355" w:type="dxa"/>
            <w:gridSpan w:val="4"/>
            <w:vAlign w:val="center"/>
          </w:tcPr>
          <w:p w14:paraId="59A97515" w14:textId="31BB845E" w:rsidR="00C64192" w:rsidRPr="00B33806" w:rsidRDefault="00C64192" w:rsidP="0031621B">
            <w:pPr>
              <w:pStyle w:val="ListParagraph"/>
              <w:numPr>
                <w:ilvl w:val="0"/>
                <w:numId w:val="147"/>
              </w:numPr>
              <w:rPr>
                <w:rFonts w:cs="Arial"/>
                <w:i/>
                <w:snapToGrid w:val="0"/>
              </w:rPr>
            </w:pPr>
            <w:r w:rsidRPr="00B33806">
              <w:rPr>
                <w:rFonts w:cs="Arial"/>
              </w:rPr>
              <w:t xml:space="preserve">Enter your hospital’s responses </w:t>
            </w:r>
            <w:r>
              <w:rPr>
                <w:rFonts w:cs="Arial"/>
              </w:rPr>
              <w:t>for each</w:t>
            </w:r>
            <w:r w:rsidRPr="00B33806">
              <w:rPr>
                <w:rFonts w:cs="Arial"/>
              </w:rPr>
              <w:t xml:space="preserve"> quarter </w:t>
            </w:r>
            <w:r>
              <w:rPr>
                <w:rFonts w:cs="Arial"/>
              </w:rPr>
              <w:t>for</w:t>
            </w:r>
            <w:r w:rsidRPr="00B33806">
              <w:rPr>
                <w:rFonts w:cs="Arial"/>
              </w:rPr>
              <w:t xml:space="preserve"> all adult and pediatric</w:t>
            </w:r>
            <w:r>
              <w:t xml:space="preserve"> </w:t>
            </w:r>
            <w:hyperlink w:anchor="mixedacuityspecs" w:history="1">
              <w:r w:rsidRPr="0005258B">
                <w:rPr>
                  <w:rStyle w:val="Hyperlink"/>
                </w:rPr>
                <w:t>mixed acuity Medical, Surgical, and Med-Surg Units</w:t>
              </w:r>
            </w:hyperlink>
            <w:r>
              <w:t xml:space="preserve"> for the reporting period selected in question #1: </w:t>
            </w:r>
          </w:p>
        </w:tc>
      </w:tr>
      <w:tr w:rsidR="00C64192" w:rsidRPr="009A5185" w14:paraId="5394DE17" w14:textId="77777777" w:rsidTr="00D73F6A">
        <w:trPr>
          <w:trHeight w:val="576"/>
          <w:jc w:val="center"/>
        </w:trPr>
        <w:tc>
          <w:tcPr>
            <w:tcW w:w="1435" w:type="dxa"/>
            <w:vAlign w:val="center"/>
          </w:tcPr>
          <w:p w14:paraId="1B841549" w14:textId="77777777" w:rsidR="00C64192" w:rsidRPr="009C1180" w:rsidRDefault="00C64192" w:rsidP="00D73F6A">
            <w:pPr>
              <w:contextualSpacing/>
              <w:rPr>
                <w:rFonts w:cs="Arial"/>
                <w:bCs/>
              </w:rPr>
            </w:pPr>
          </w:p>
        </w:tc>
        <w:tc>
          <w:tcPr>
            <w:tcW w:w="2340" w:type="dxa"/>
          </w:tcPr>
          <w:p w14:paraId="35315DDF" w14:textId="77777777" w:rsidR="00C64192" w:rsidRPr="00383748" w:rsidRDefault="00C64192" w:rsidP="00D73F6A">
            <w:pPr>
              <w:rPr>
                <w:rFonts w:cstheme="minorHAnsi"/>
                <w:bCs/>
                <w:iCs/>
              </w:rPr>
            </w:pPr>
            <w:r w:rsidRPr="00383748">
              <w:rPr>
                <w:rFonts w:cs="Arial"/>
                <w:b/>
              </w:rPr>
              <w:t xml:space="preserve">(a) </w:t>
            </w:r>
            <w:r w:rsidRPr="00046E22">
              <w:t xml:space="preserve">Total number of </w:t>
            </w:r>
            <w:r w:rsidRPr="00383748">
              <w:rPr>
                <w:rFonts w:cstheme="minorHAnsi"/>
                <w:bCs/>
                <w:iCs/>
              </w:rPr>
              <w:t>patient days:</w:t>
            </w:r>
          </w:p>
          <w:p w14:paraId="41EB115F" w14:textId="77777777" w:rsidR="00C64192" w:rsidRPr="004B4271" w:rsidRDefault="00C64192" w:rsidP="00D73F6A"/>
          <w:p w14:paraId="72064FC9" w14:textId="77777777" w:rsidR="00C64192" w:rsidRPr="00A1499F" w:rsidRDefault="00C64192" w:rsidP="00D73F6A">
            <w:pPr>
              <w:contextualSpacing/>
              <w:rPr>
                <w:rFonts w:cs="Arial"/>
                <w:bCs/>
              </w:rPr>
            </w:pPr>
          </w:p>
        </w:tc>
        <w:tc>
          <w:tcPr>
            <w:tcW w:w="2790" w:type="dxa"/>
          </w:tcPr>
          <w:p w14:paraId="772FCFE5" w14:textId="77777777" w:rsidR="00C64192" w:rsidRPr="009A5185" w:rsidRDefault="00C64192" w:rsidP="00D73F6A">
            <w:pPr>
              <w:contextualSpacing/>
              <w:rPr>
                <w:rFonts w:cs="Arial"/>
                <w:b/>
              </w:rPr>
            </w:pPr>
            <w:r w:rsidRPr="00137990">
              <w:rPr>
                <w:rFonts w:cs="Arial"/>
                <w:b/>
              </w:rPr>
              <w:t>(</w:t>
            </w:r>
            <w:r>
              <w:rPr>
                <w:rFonts w:cs="Arial"/>
                <w:b/>
              </w:rPr>
              <w:t>b</w:t>
            </w:r>
            <w:r w:rsidRPr="00137990">
              <w:rPr>
                <w:rFonts w:cs="Arial"/>
                <w:b/>
              </w:rPr>
              <w:t xml:space="preserve">) </w:t>
            </w:r>
            <w:r w:rsidRPr="00046E22">
              <w:t>Total number of productive hours worked by employe</w:t>
            </w:r>
            <w:r>
              <w:t>d</w:t>
            </w:r>
            <w:r w:rsidRPr="00046E22">
              <w:t xml:space="preserve"> </w:t>
            </w:r>
            <w:r>
              <w:t>and</w:t>
            </w:r>
            <w:r w:rsidRPr="00046E22">
              <w:t xml:space="preserve"> contract</w:t>
            </w:r>
            <w:r>
              <w:t xml:space="preserve">ed </w:t>
            </w:r>
            <w:r w:rsidRPr="003215C1">
              <w:rPr>
                <w:b/>
                <w:bCs/>
              </w:rPr>
              <w:t>nursing staff (RN, LPN/LVN, and UAP)</w:t>
            </w:r>
            <w:r w:rsidRPr="00046E22">
              <w:t xml:space="preserve"> with direct patient care responsibilities</w:t>
            </w:r>
            <w:r>
              <w:t>:</w:t>
            </w:r>
          </w:p>
        </w:tc>
        <w:tc>
          <w:tcPr>
            <w:tcW w:w="2790" w:type="dxa"/>
          </w:tcPr>
          <w:p w14:paraId="00478A64" w14:textId="77777777" w:rsidR="00C64192" w:rsidRPr="009A5185" w:rsidRDefault="00C64192" w:rsidP="00D73F6A">
            <w:pPr>
              <w:contextualSpacing/>
              <w:rPr>
                <w:rFonts w:cs="Arial"/>
                <w:b/>
              </w:rPr>
            </w:pPr>
            <w:r w:rsidRPr="009A5185">
              <w:rPr>
                <w:rFonts w:cs="Arial"/>
                <w:b/>
              </w:rPr>
              <w:t>(</w:t>
            </w:r>
            <w:r>
              <w:rPr>
                <w:rFonts w:cs="Arial"/>
                <w:b/>
              </w:rPr>
              <w:t>c</w:t>
            </w:r>
            <w:r w:rsidRPr="009A5185">
              <w:rPr>
                <w:rFonts w:cs="Arial"/>
                <w:b/>
              </w:rPr>
              <w:t>)</w:t>
            </w:r>
            <w:r>
              <w:rPr>
                <w:rFonts w:cs="Arial"/>
                <w:b/>
              </w:rPr>
              <w:t xml:space="preserve"> </w:t>
            </w:r>
            <w:r w:rsidRPr="0014347B">
              <w:t xml:space="preserve">Total number of productive hours </w:t>
            </w:r>
            <w:r w:rsidRPr="003215C1">
              <w:t>worked by</w:t>
            </w:r>
            <w:r w:rsidRPr="0014347B">
              <w:rPr>
                <w:b/>
                <w:bCs/>
              </w:rPr>
              <w:t xml:space="preserve"> RN</w:t>
            </w:r>
            <w:r>
              <w:rPr>
                <w:b/>
                <w:bCs/>
              </w:rPr>
              <w:t xml:space="preserve"> nursing staff</w:t>
            </w:r>
            <w:r w:rsidRPr="0014347B">
              <w:t xml:space="preserve"> with direct patient care responsibilities</w:t>
            </w:r>
            <w:r>
              <w:t>:</w:t>
            </w:r>
          </w:p>
        </w:tc>
      </w:tr>
      <w:tr w:rsidR="00C64192" w:rsidRPr="009A5185" w14:paraId="4AF87C61" w14:textId="77777777" w:rsidTr="00D73F6A">
        <w:trPr>
          <w:jc w:val="center"/>
        </w:trPr>
        <w:tc>
          <w:tcPr>
            <w:tcW w:w="1435" w:type="dxa"/>
          </w:tcPr>
          <w:p w14:paraId="1119084E" w14:textId="77777777" w:rsidR="00C64192" w:rsidRPr="009A5185" w:rsidRDefault="00C64192" w:rsidP="00D73F6A">
            <w:pPr>
              <w:jc w:val="center"/>
              <w:rPr>
                <w:rFonts w:cs="Arial"/>
              </w:rPr>
            </w:pPr>
            <w:r>
              <w:rPr>
                <w:rFonts w:cs="Arial"/>
              </w:rPr>
              <w:t xml:space="preserve">Quarter 1 </w:t>
            </w:r>
          </w:p>
        </w:tc>
        <w:tc>
          <w:tcPr>
            <w:tcW w:w="2340" w:type="dxa"/>
            <w:vAlign w:val="center"/>
          </w:tcPr>
          <w:p w14:paraId="08604213" w14:textId="77777777" w:rsidR="00C64192" w:rsidRPr="009A5185" w:rsidRDefault="00C64192" w:rsidP="00D73F6A">
            <w:pPr>
              <w:ind w:left="360"/>
              <w:contextualSpacing/>
              <w:rPr>
                <w:rFonts w:cs="Arial"/>
                <w:b/>
              </w:rPr>
            </w:pPr>
          </w:p>
        </w:tc>
        <w:tc>
          <w:tcPr>
            <w:tcW w:w="2790" w:type="dxa"/>
            <w:vAlign w:val="center"/>
          </w:tcPr>
          <w:p w14:paraId="6FD38D0B" w14:textId="77777777" w:rsidR="00C64192" w:rsidRPr="009A5185" w:rsidRDefault="00C64192" w:rsidP="00D73F6A">
            <w:pPr>
              <w:ind w:left="360"/>
              <w:contextualSpacing/>
              <w:rPr>
                <w:rFonts w:cs="Arial"/>
                <w:b/>
              </w:rPr>
            </w:pPr>
          </w:p>
        </w:tc>
        <w:tc>
          <w:tcPr>
            <w:tcW w:w="2790" w:type="dxa"/>
          </w:tcPr>
          <w:p w14:paraId="21D6DD67" w14:textId="77777777" w:rsidR="00C64192" w:rsidRPr="009A5185" w:rsidRDefault="00C64192" w:rsidP="00D73F6A">
            <w:pPr>
              <w:ind w:left="360"/>
              <w:contextualSpacing/>
              <w:rPr>
                <w:rFonts w:cs="Arial"/>
                <w:b/>
              </w:rPr>
            </w:pPr>
          </w:p>
        </w:tc>
      </w:tr>
      <w:tr w:rsidR="00C64192" w:rsidRPr="009A5185" w14:paraId="671B836C" w14:textId="77777777" w:rsidTr="00D73F6A">
        <w:trPr>
          <w:jc w:val="center"/>
        </w:trPr>
        <w:tc>
          <w:tcPr>
            <w:tcW w:w="1435" w:type="dxa"/>
          </w:tcPr>
          <w:p w14:paraId="39C8656A" w14:textId="77777777" w:rsidR="00C64192" w:rsidRPr="009A5185" w:rsidRDefault="00C64192" w:rsidP="00D73F6A">
            <w:pPr>
              <w:jc w:val="center"/>
              <w:rPr>
                <w:rFonts w:cs="Arial"/>
              </w:rPr>
            </w:pPr>
            <w:r>
              <w:rPr>
                <w:rFonts w:cs="Arial"/>
              </w:rPr>
              <w:t xml:space="preserve">Quarter 2 </w:t>
            </w:r>
          </w:p>
        </w:tc>
        <w:tc>
          <w:tcPr>
            <w:tcW w:w="2340" w:type="dxa"/>
            <w:vAlign w:val="center"/>
          </w:tcPr>
          <w:p w14:paraId="57E7549F" w14:textId="77777777" w:rsidR="00C64192" w:rsidRPr="009A5185" w:rsidRDefault="00C64192" w:rsidP="00D73F6A">
            <w:pPr>
              <w:ind w:left="360"/>
              <w:contextualSpacing/>
              <w:rPr>
                <w:rFonts w:cs="Arial"/>
                <w:b/>
              </w:rPr>
            </w:pPr>
          </w:p>
        </w:tc>
        <w:tc>
          <w:tcPr>
            <w:tcW w:w="2790" w:type="dxa"/>
            <w:vAlign w:val="center"/>
          </w:tcPr>
          <w:p w14:paraId="60A62BAE" w14:textId="77777777" w:rsidR="00C64192" w:rsidRPr="009A5185" w:rsidRDefault="00C64192" w:rsidP="00D73F6A">
            <w:pPr>
              <w:ind w:left="360"/>
              <w:contextualSpacing/>
              <w:rPr>
                <w:rFonts w:cs="Arial"/>
                <w:b/>
              </w:rPr>
            </w:pPr>
          </w:p>
        </w:tc>
        <w:tc>
          <w:tcPr>
            <w:tcW w:w="2790" w:type="dxa"/>
          </w:tcPr>
          <w:p w14:paraId="61E69CD5" w14:textId="77777777" w:rsidR="00C64192" w:rsidRPr="009A5185" w:rsidRDefault="00C64192" w:rsidP="00D73F6A">
            <w:pPr>
              <w:ind w:left="360"/>
              <w:contextualSpacing/>
              <w:rPr>
                <w:rFonts w:cs="Arial"/>
                <w:b/>
              </w:rPr>
            </w:pPr>
          </w:p>
        </w:tc>
      </w:tr>
      <w:tr w:rsidR="00C64192" w:rsidRPr="009A5185" w14:paraId="5E0A681D" w14:textId="77777777" w:rsidTr="00D73F6A">
        <w:trPr>
          <w:jc w:val="center"/>
        </w:trPr>
        <w:tc>
          <w:tcPr>
            <w:tcW w:w="1435" w:type="dxa"/>
          </w:tcPr>
          <w:p w14:paraId="258DC397" w14:textId="77777777" w:rsidR="00C64192" w:rsidRPr="009A5185" w:rsidRDefault="00C64192" w:rsidP="00D73F6A">
            <w:pPr>
              <w:jc w:val="center"/>
              <w:rPr>
                <w:rFonts w:cs="Arial"/>
              </w:rPr>
            </w:pPr>
            <w:r>
              <w:rPr>
                <w:rFonts w:cs="Arial"/>
              </w:rPr>
              <w:t xml:space="preserve">Quarter 3 </w:t>
            </w:r>
          </w:p>
        </w:tc>
        <w:tc>
          <w:tcPr>
            <w:tcW w:w="2340" w:type="dxa"/>
            <w:vAlign w:val="center"/>
          </w:tcPr>
          <w:p w14:paraId="4A954D46" w14:textId="77777777" w:rsidR="00C64192" w:rsidRPr="009A5185" w:rsidRDefault="00C64192" w:rsidP="00D73F6A">
            <w:pPr>
              <w:ind w:left="360"/>
              <w:contextualSpacing/>
              <w:rPr>
                <w:rFonts w:cs="Arial"/>
                <w:b/>
              </w:rPr>
            </w:pPr>
          </w:p>
        </w:tc>
        <w:tc>
          <w:tcPr>
            <w:tcW w:w="2790" w:type="dxa"/>
            <w:vAlign w:val="center"/>
          </w:tcPr>
          <w:p w14:paraId="5CC252F7" w14:textId="77777777" w:rsidR="00C64192" w:rsidRPr="009A5185" w:rsidRDefault="00C64192" w:rsidP="00D73F6A">
            <w:pPr>
              <w:ind w:left="360"/>
              <w:contextualSpacing/>
              <w:rPr>
                <w:rFonts w:cs="Arial"/>
                <w:b/>
              </w:rPr>
            </w:pPr>
          </w:p>
        </w:tc>
        <w:tc>
          <w:tcPr>
            <w:tcW w:w="2790" w:type="dxa"/>
          </w:tcPr>
          <w:p w14:paraId="25F5B416" w14:textId="77777777" w:rsidR="00C64192" w:rsidRPr="009A5185" w:rsidRDefault="00C64192" w:rsidP="00D73F6A">
            <w:pPr>
              <w:ind w:left="360"/>
              <w:contextualSpacing/>
              <w:rPr>
                <w:rFonts w:cs="Arial"/>
                <w:b/>
              </w:rPr>
            </w:pPr>
          </w:p>
        </w:tc>
      </w:tr>
      <w:tr w:rsidR="00C64192" w:rsidRPr="009A5185" w14:paraId="2A5A5F4D" w14:textId="77777777" w:rsidTr="00D73F6A">
        <w:trPr>
          <w:jc w:val="center"/>
        </w:trPr>
        <w:tc>
          <w:tcPr>
            <w:tcW w:w="1435" w:type="dxa"/>
            <w:tcBorders>
              <w:bottom w:val="single" w:sz="4" w:space="0" w:color="auto"/>
            </w:tcBorders>
          </w:tcPr>
          <w:p w14:paraId="5048FC3F" w14:textId="77777777" w:rsidR="00C64192" w:rsidRPr="009A5185" w:rsidRDefault="00C64192" w:rsidP="00D73F6A">
            <w:pPr>
              <w:jc w:val="center"/>
              <w:rPr>
                <w:rFonts w:cs="Arial"/>
              </w:rPr>
            </w:pPr>
            <w:r>
              <w:rPr>
                <w:rFonts w:cs="Arial"/>
              </w:rPr>
              <w:t xml:space="preserve">Quarter 4 </w:t>
            </w:r>
          </w:p>
        </w:tc>
        <w:tc>
          <w:tcPr>
            <w:tcW w:w="2340" w:type="dxa"/>
            <w:vAlign w:val="center"/>
          </w:tcPr>
          <w:p w14:paraId="1B01E351" w14:textId="77777777" w:rsidR="00C64192" w:rsidRPr="009A5185" w:rsidRDefault="00C64192" w:rsidP="00D73F6A">
            <w:pPr>
              <w:ind w:left="360"/>
              <w:contextualSpacing/>
              <w:rPr>
                <w:rFonts w:cs="Arial"/>
                <w:b/>
              </w:rPr>
            </w:pPr>
          </w:p>
        </w:tc>
        <w:tc>
          <w:tcPr>
            <w:tcW w:w="2790" w:type="dxa"/>
            <w:vAlign w:val="center"/>
          </w:tcPr>
          <w:p w14:paraId="327A5984" w14:textId="77777777" w:rsidR="00C64192" w:rsidRPr="009A5185" w:rsidRDefault="00C64192" w:rsidP="00D73F6A">
            <w:pPr>
              <w:ind w:left="360"/>
              <w:contextualSpacing/>
              <w:rPr>
                <w:rFonts w:cs="Arial"/>
                <w:b/>
              </w:rPr>
            </w:pPr>
          </w:p>
        </w:tc>
        <w:tc>
          <w:tcPr>
            <w:tcW w:w="2790" w:type="dxa"/>
          </w:tcPr>
          <w:p w14:paraId="1AC8F48C" w14:textId="77777777" w:rsidR="00C64192" w:rsidRPr="009A5185" w:rsidRDefault="00C64192" w:rsidP="00D73F6A">
            <w:pPr>
              <w:ind w:left="360"/>
              <w:contextualSpacing/>
              <w:rPr>
                <w:rFonts w:cs="Arial"/>
                <w:b/>
              </w:rPr>
            </w:pPr>
          </w:p>
        </w:tc>
      </w:tr>
    </w:tbl>
    <w:p w14:paraId="67483F7B" w14:textId="77777777" w:rsidR="00C64192" w:rsidRDefault="00C64192" w:rsidP="00C64192"/>
    <w:p w14:paraId="1D7ABD9A" w14:textId="77777777" w:rsidR="0036420C" w:rsidRDefault="0036420C">
      <w:pPr>
        <w:rPr>
          <w:rFonts w:cs="Arial"/>
          <w:b/>
          <w:snapToGrid w:val="0"/>
          <w:u w:val="single"/>
        </w:rPr>
      </w:pPr>
      <w:r>
        <w:rPr>
          <w:rFonts w:cs="Arial"/>
          <w:b/>
          <w:snapToGrid w:val="0"/>
          <w:u w:val="single"/>
        </w:rPr>
        <w:br w:type="page"/>
      </w:r>
    </w:p>
    <w:p w14:paraId="6193470F" w14:textId="754970D6" w:rsidR="00246335" w:rsidRPr="00F32E47" w:rsidRDefault="00246335" w:rsidP="00246335">
      <w:pPr>
        <w:rPr>
          <w:rFonts w:cs="Arial"/>
          <w:b/>
          <w:i/>
          <w:iCs/>
          <w:snapToGrid w:val="0"/>
        </w:rPr>
      </w:pPr>
      <w:r w:rsidRPr="00F32E47">
        <w:rPr>
          <w:rFonts w:cs="Arial"/>
          <w:b/>
          <w:i/>
          <w:iCs/>
          <w:snapToGrid w:val="0"/>
        </w:rPr>
        <w:t>Additional Questions (Optional – Fact-Finding Only)</w:t>
      </w:r>
    </w:p>
    <w:p w14:paraId="613B46CE" w14:textId="77777777" w:rsidR="00856A72" w:rsidRDefault="00856A72" w:rsidP="00856A72"/>
    <w:tbl>
      <w:tblPr>
        <w:tblStyle w:val="TableGrid"/>
        <w:tblW w:w="0" w:type="auto"/>
        <w:tblLook w:val="04A0" w:firstRow="1" w:lastRow="0" w:firstColumn="1" w:lastColumn="0" w:noHBand="0" w:noVBand="1"/>
      </w:tblPr>
      <w:tblGrid>
        <w:gridCol w:w="6115"/>
        <w:gridCol w:w="3235"/>
      </w:tblGrid>
      <w:tr w:rsidR="00856A72" w14:paraId="384F8DE1" w14:textId="77777777" w:rsidTr="003D4E7F">
        <w:tc>
          <w:tcPr>
            <w:tcW w:w="6115" w:type="dxa"/>
          </w:tcPr>
          <w:p w14:paraId="3A1833DD" w14:textId="04BBE145" w:rsidR="00856A72" w:rsidRDefault="00856A72" w:rsidP="003D4E7F">
            <w:pPr>
              <w:pStyle w:val="ListParagraph"/>
              <w:numPr>
                <w:ilvl w:val="0"/>
                <w:numId w:val="147"/>
              </w:numPr>
            </w:pPr>
            <w:r w:rsidRPr="00D4708D">
              <w:t xml:space="preserve">Does your hospital currently </w:t>
            </w:r>
            <w:r>
              <w:t>utilize</w:t>
            </w:r>
            <w:r w:rsidRPr="00D4708D">
              <w:t xml:space="preserve"> </w:t>
            </w:r>
            <w:hyperlink w:anchor="virtualnursingFAQ" w:history="1">
              <w:r w:rsidRPr="00695713">
                <w:rPr>
                  <w:rStyle w:val="Hyperlink"/>
                </w:rPr>
                <w:t>virtual nursing</w:t>
              </w:r>
            </w:hyperlink>
            <w:r>
              <w:t xml:space="preserve"> to perform direct patient care responsibilities in the units from questions </w:t>
            </w:r>
            <w:r w:rsidR="00020BD8">
              <w:t>#</w:t>
            </w:r>
            <w:r>
              <w:t>4-1</w:t>
            </w:r>
            <w:r w:rsidR="00020BD8">
              <w:t>1</w:t>
            </w:r>
            <w:r w:rsidRPr="00D4708D">
              <w:t>?</w:t>
            </w:r>
          </w:p>
          <w:p w14:paraId="4D8A75C2" w14:textId="77777777" w:rsidR="00856A72" w:rsidRPr="000629B5" w:rsidRDefault="00856A72" w:rsidP="003D4E7F">
            <w:pPr>
              <w:rPr>
                <w:i/>
                <w:iCs/>
              </w:rPr>
            </w:pPr>
          </w:p>
        </w:tc>
        <w:tc>
          <w:tcPr>
            <w:tcW w:w="3235" w:type="dxa"/>
          </w:tcPr>
          <w:p w14:paraId="53D47076" w14:textId="77777777" w:rsidR="00856A72" w:rsidRPr="00586186" w:rsidRDefault="00856A72" w:rsidP="003D4E7F">
            <w:pPr>
              <w:pStyle w:val="ListParagraph"/>
              <w:numPr>
                <w:ilvl w:val="0"/>
                <w:numId w:val="357"/>
              </w:numPr>
              <w:rPr>
                <w:rFonts w:cs="Arial"/>
                <w:iCs/>
              </w:rPr>
            </w:pPr>
            <w:r w:rsidRPr="00586186">
              <w:rPr>
                <w:rFonts w:cs="Arial"/>
                <w:iCs/>
              </w:rPr>
              <w:t>Yes</w:t>
            </w:r>
          </w:p>
          <w:p w14:paraId="17EB48AB" w14:textId="77777777" w:rsidR="00856A72" w:rsidRDefault="00856A72" w:rsidP="003D4E7F">
            <w:pPr>
              <w:pStyle w:val="ListParagraph"/>
              <w:numPr>
                <w:ilvl w:val="0"/>
                <w:numId w:val="357"/>
              </w:numPr>
            </w:pPr>
            <w:r w:rsidRPr="00A0211B">
              <w:rPr>
                <w:rFonts w:cs="Arial"/>
                <w:iCs/>
              </w:rPr>
              <w:t>No</w:t>
            </w:r>
          </w:p>
        </w:tc>
      </w:tr>
    </w:tbl>
    <w:p w14:paraId="6A19F645" w14:textId="77777777" w:rsidR="00246335" w:rsidRDefault="00246335" w:rsidP="00246335">
      <w:pPr>
        <w:rPr>
          <w:rFonts w:cs="Arial"/>
          <w:b/>
          <w:snapToGrid w:val="0"/>
          <w:u w:val="single"/>
        </w:rPr>
      </w:pPr>
    </w:p>
    <w:p w14:paraId="27230A02" w14:textId="77777777" w:rsidR="00387813" w:rsidRDefault="00D373C5" w:rsidP="00D373C5">
      <w:pPr>
        <w:rPr>
          <w:rFonts w:cs="Arial"/>
          <w:bCs/>
          <w:snapToGrid w:val="0"/>
        </w:rPr>
      </w:pPr>
      <w:r w:rsidRPr="00B43438">
        <w:rPr>
          <w:rFonts w:cs="Arial"/>
          <w:bCs/>
          <w:snapToGrid w:val="0"/>
        </w:rPr>
        <w:t xml:space="preserve">Hospitals </w:t>
      </w:r>
      <w:r>
        <w:rPr>
          <w:rFonts w:cs="Arial"/>
          <w:bCs/>
          <w:snapToGrid w:val="0"/>
        </w:rPr>
        <w:t>that operate</w:t>
      </w:r>
      <w:r w:rsidRPr="00B43438">
        <w:rPr>
          <w:rFonts w:cs="Arial"/>
          <w:bCs/>
          <w:snapToGrid w:val="0"/>
        </w:rPr>
        <w:t xml:space="preserve"> Adult or Pediatric </w:t>
      </w:r>
      <w:r w:rsidRPr="00C51EE9">
        <w:rPr>
          <w:rFonts w:cs="Arial"/>
          <w:b/>
          <w:snapToGrid w:val="0"/>
          <w:u w:val="single"/>
        </w:rPr>
        <w:t>Single</w:t>
      </w:r>
      <w:r w:rsidRPr="00B43438">
        <w:rPr>
          <w:rFonts w:cs="Arial"/>
          <w:bCs/>
          <w:snapToGrid w:val="0"/>
        </w:rPr>
        <w:t xml:space="preserve"> Acuity Medical, Surgical, or Med-Surg Units will be scored and publicly reported based on questions #4, #6, and/or #8. </w:t>
      </w:r>
    </w:p>
    <w:p w14:paraId="44BA1370" w14:textId="77777777" w:rsidR="00387813" w:rsidRDefault="00387813" w:rsidP="00D373C5">
      <w:pPr>
        <w:rPr>
          <w:rFonts w:cs="Arial"/>
          <w:bCs/>
          <w:snapToGrid w:val="0"/>
        </w:rPr>
      </w:pPr>
    </w:p>
    <w:p w14:paraId="795CE62B" w14:textId="7C9E07ED" w:rsidR="00D373C5" w:rsidRPr="00B43438" w:rsidRDefault="00D373C5" w:rsidP="00D373C5">
      <w:pPr>
        <w:rPr>
          <w:rFonts w:cs="Arial"/>
          <w:bCs/>
          <w:snapToGrid w:val="0"/>
        </w:rPr>
      </w:pPr>
      <w:r w:rsidRPr="00B43438">
        <w:rPr>
          <w:rFonts w:cs="Arial"/>
          <w:bCs/>
          <w:snapToGrid w:val="0"/>
        </w:rPr>
        <w:t>Reporting on Mixed Acuity units in question #1</w:t>
      </w:r>
      <w:r w:rsidR="00387813">
        <w:rPr>
          <w:rFonts w:cs="Arial"/>
          <w:bCs/>
          <w:snapToGrid w:val="0"/>
        </w:rPr>
        <w:t>4</w:t>
      </w:r>
      <w:r w:rsidRPr="00B43438">
        <w:rPr>
          <w:rFonts w:cs="Arial"/>
          <w:bCs/>
          <w:snapToGrid w:val="0"/>
        </w:rPr>
        <w:t xml:space="preserve"> is optional and</w:t>
      </w:r>
      <w:r w:rsidR="00032821">
        <w:rPr>
          <w:rFonts w:cs="Arial"/>
          <w:bCs/>
          <w:snapToGrid w:val="0"/>
        </w:rPr>
        <w:t xml:space="preserve"> responses</w:t>
      </w:r>
      <w:r w:rsidRPr="00B43438">
        <w:rPr>
          <w:rFonts w:cs="Arial"/>
          <w:bCs/>
          <w:snapToGrid w:val="0"/>
        </w:rPr>
        <w:t xml:space="preserve"> will not be scored or publicly reported in 2026</w:t>
      </w:r>
      <w:r>
        <w:rPr>
          <w:rFonts w:cs="Arial"/>
          <w:bCs/>
          <w:snapToGrid w:val="0"/>
        </w:rPr>
        <w:t>; however, responses will be used</w:t>
      </w:r>
      <w:r w:rsidRPr="00B43438">
        <w:rPr>
          <w:rFonts w:cs="Arial"/>
          <w:bCs/>
          <w:snapToGrid w:val="0"/>
        </w:rPr>
        <w:t xml:space="preserve"> </w:t>
      </w:r>
      <w:r>
        <w:rPr>
          <w:rFonts w:cs="Arial"/>
          <w:bCs/>
          <w:snapToGrid w:val="0"/>
        </w:rPr>
        <w:t xml:space="preserve">to inform </w:t>
      </w:r>
      <w:r w:rsidRPr="00B43438">
        <w:rPr>
          <w:rFonts w:cs="Arial"/>
          <w:bCs/>
          <w:snapToGrid w:val="0"/>
        </w:rPr>
        <w:t xml:space="preserve">potential updates for 2027. </w:t>
      </w:r>
    </w:p>
    <w:p w14:paraId="5B91B1B6" w14:textId="77777777" w:rsidR="00246335" w:rsidRPr="00D373C5" w:rsidRDefault="00246335" w:rsidP="00246335"/>
    <w:tbl>
      <w:tblPr>
        <w:tblW w:w="93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5"/>
        <w:gridCol w:w="2340"/>
        <w:gridCol w:w="2790"/>
        <w:gridCol w:w="2790"/>
      </w:tblGrid>
      <w:tr w:rsidR="00246335" w:rsidRPr="00D64551" w14:paraId="40157EA1" w14:textId="77777777" w:rsidTr="003962CE">
        <w:trPr>
          <w:trHeight w:val="576"/>
          <w:jc w:val="center"/>
        </w:trPr>
        <w:tc>
          <w:tcPr>
            <w:tcW w:w="9355" w:type="dxa"/>
            <w:gridSpan w:val="4"/>
            <w:vAlign w:val="center"/>
          </w:tcPr>
          <w:p w14:paraId="6EF4CAD0" w14:textId="480C1910" w:rsidR="00246335" w:rsidRPr="00D64551" w:rsidRDefault="00246335" w:rsidP="0031621B">
            <w:pPr>
              <w:numPr>
                <w:ilvl w:val="0"/>
                <w:numId w:val="147"/>
              </w:numPr>
              <w:contextualSpacing/>
              <w:rPr>
                <w:rFonts w:cs="Arial"/>
                <w:i/>
                <w:snapToGrid w:val="0"/>
              </w:rPr>
            </w:pPr>
            <w:r w:rsidRPr="00D64551">
              <w:rPr>
                <w:rFonts w:cs="Arial"/>
              </w:rPr>
              <w:t>Enter your hospital’s responses for each quarter for all adult and pediatric</w:t>
            </w:r>
            <w:r w:rsidRPr="00D64551">
              <w:t xml:space="preserve"> </w:t>
            </w:r>
            <w:hyperlink w:anchor="mixedacuityspecs" w:history="1">
              <w:r w:rsidRPr="00902076">
                <w:rPr>
                  <w:rStyle w:val="Hyperlink"/>
                </w:rPr>
                <w:t>mixed acuity Medical, Surgical, and Med-Surg Units</w:t>
              </w:r>
            </w:hyperlink>
            <w:r w:rsidRPr="00D64551">
              <w:t xml:space="preserve"> for the reporting period selected in question #1: </w:t>
            </w:r>
          </w:p>
        </w:tc>
      </w:tr>
      <w:tr w:rsidR="00246335" w:rsidRPr="00D64551" w14:paraId="492A982C" w14:textId="77777777" w:rsidTr="003962CE">
        <w:trPr>
          <w:trHeight w:val="576"/>
          <w:jc w:val="center"/>
        </w:trPr>
        <w:tc>
          <w:tcPr>
            <w:tcW w:w="1435" w:type="dxa"/>
            <w:vAlign w:val="center"/>
          </w:tcPr>
          <w:p w14:paraId="13A7C414" w14:textId="77777777" w:rsidR="00246335" w:rsidRPr="00D64551" w:rsidRDefault="00246335" w:rsidP="003962CE">
            <w:pPr>
              <w:contextualSpacing/>
              <w:rPr>
                <w:rFonts w:cs="Arial"/>
                <w:bCs/>
              </w:rPr>
            </w:pPr>
          </w:p>
        </w:tc>
        <w:tc>
          <w:tcPr>
            <w:tcW w:w="2340" w:type="dxa"/>
          </w:tcPr>
          <w:p w14:paraId="2619E1B9" w14:textId="77777777" w:rsidR="00246335" w:rsidRPr="00D64551" w:rsidRDefault="00246335" w:rsidP="003962CE">
            <w:pPr>
              <w:rPr>
                <w:rFonts w:cs="Calibri"/>
                <w:bCs/>
                <w:iCs/>
              </w:rPr>
            </w:pPr>
            <w:r w:rsidRPr="00D64551">
              <w:rPr>
                <w:rFonts w:cs="Arial"/>
                <w:b/>
              </w:rPr>
              <w:t xml:space="preserve">(a) </w:t>
            </w:r>
            <w:r w:rsidRPr="00D64551">
              <w:t xml:space="preserve">Total number of </w:t>
            </w:r>
            <w:r w:rsidRPr="00D64551">
              <w:rPr>
                <w:rFonts w:cs="Calibri"/>
                <w:bCs/>
                <w:iCs/>
              </w:rPr>
              <w:t>patient days:</w:t>
            </w:r>
          </w:p>
          <w:p w14:paraId="49F5415C" w14:textId="77777777" w:rsidR="00246335" w:rsidRPr="00D64551" w:rsidRDefault="00246335" w:rsidP="003962CE"/>
          <w:p w14:paraId="60D94761" w14:textId="77777777" w:rsidR="00246335" w:rsidRPr="00D64551" w:rsidRDefault="00246335" w:rsidP="003962CE">
            <w:pPr>
              <w:contextualSpacing/>
              <w:rPr>
                <w:rFonts w:cs="Arial"/>
                <w:bCs/>
              </w:rPr>
            </w:pPr>
          </w:p>
        </w:tc>
        <w:tc>
          <w:tcPr>
            <w:tcW w:w="2790" w:type="dxa"/>
          </w:tcPr>
          <w:p w14:paraId="0A942FBB" w14:textId="77777777" w:rsidR="00246335" w:rsidRPr="00D64551" w:rsidRDefault="00246335" w:rsidP="003962CE">
            <w:pPr>
              <w:contextualSpacing/>
              <w:rPr>
                <w:rFonts w:cs="Arial"/>
                <w:b/>
              </w:rPr>
            </w:pPr>
            <w:r w:rsidRPr="00D64551">
              <w:rPr>
                <w:rFonts w:cs="Arial"/>
                <w:b/>
              </w:rPr>
              <w:t xml:space="preserve">(b) </w:t>
            </w:r>
            <w:r w:rsidRPr="00D64551">
              <w:t xml:space="preserve">Total number of productive hours worked by employed and contracted </w:t>
            </w:r>
            <w:r w:rsidRPr="00D64551">
              <w:rPr>
                <w:b/>
                <w:bCs/>
              </w:rPr>
              <w:t>nursing staff (RN, LPN/LVN, and UAP)</w:t>
            </w:r>
            <w:r w:rsidRPr="00D64551">
              <w:t xml:space="preserve"> with direct patient care responsibilities:</w:t>
            </w:r>
          </w:p>
        </w:tc>
        <w:tc>
          <w:tcPr>
            <w:tcW w:w="2790" w:type="dxa"/>
          </w:tcPr>
          <w:p w14:paraId="71F7C417" w14:textId="77777777" w:rsidR="00246335" w:rsidRPr="00D64551" w:rsidRDefault="00246335" w:rsidP="003962CE">
            <w:pPr>
              <w:contextualSpacing/>
              <w:rPr>
                <w:rFonts w:cs="Arial"/>
                <w:b/>
              </w:rPr>
            </w:pPr>
            <w:r w:rsidRPr="00D64551">
              <w:rPr>
                <w:rFonts w:cs="Arial"/>
                <w:b/>
              </w:rPr>
              <w:t xml:space="preserve">(c) </w:t>
            </w:r>
            <w:r w:rsidRPr="00D64551">
              <w:t>Total number of productive hours worked by</w:t>
            </w:r>
            <w:r w:rsidRPr="00D64551">
              <w:rPr>
                <w:b/>
                <w:bCs/>
              </w:rPr>
              <w:t xml:space="preserve"> RN nursing staff</w:t>
            </w:r>
            <w:r w:rsidRPr="00D64551">
              <w:t xml:space="preserve"> with direct patient care responsibilities:</w:t>
            </w:r>
          </w:p>
        </w:tc>
      </w:tr>
      <w:tr w:rsidR="00246335" w:rsidRPr="00D64551" w14:paraId="2DBC4D06" w14:textId="77777777" w:rsidTr="003962CE">
        <w:trPr>
          <w:jc w:val="center"/>
        </w:trPr>
        <w:tc>
          <w:tcPr>
            <w:tcW w:w="1435" w:type="dxa"/>
          </w:tcPr>
          <w:p w14:paraId="021CA688" w14:textId="77777777" w:rsidR="00246335" w:rsidRPr="00D64551" w:rsidRDefault="00246335" w:rsidP="003962CE">
            <w:pPr>
              <w:jc w:val="center"/>
              <w:rPr>
                <w:rFonts w:cs="Arial"/>
              </w:rPr>
            </w:pPr>
            <w:r w:rsidRPr="00D64551">
              <w:rPr>
                <w:rFonts w:cs="Arial"/>
              </w:rPr>
              <w:t xml:space="preserve">Quarter 1 </w:t>
            </w:r>
          </w:p>
        </w:tc>
        <w:tc>
          <w:tcPr>
            <w:tcW w:w="2340" w:type="dxa"/>
            <w:vAlign w:val="center"/>
          </w:tcPr>
          <w:p w14:paraId="202D5B04" w14:textId="77777777" w:rsidR="00246335" w:rsidRPr="00D64551" w:rsidRDefault="00246335" w:rsidP="003962CE">
            <w:pPr>
              <w:ind w:left="360"/>
              <w:contextualSpacing/>
              <w:rPr>
                <w:rFonts w:cs="Arial"/>
                <w:b/>
              </w:rPr>
            </w:pPr>
          </w:p>
        </w:tc>
        <w:tc>
          <w:tcPr>
            <w:tcW w:w="2790" w:type="dxa"/>
            <w:vAlign w:val="center"/>
          </w:tcPr>
          <w:p w14:paraId="0709775C" w14:textId="77777777" w:rsidR="00246335" w:rsidRPr="00D64551" w:rsidRDefault="00246335" w:rsidP="003962CE">
            <w:pPr>
              <w:ind w:left="360"/>
              <w:contextualSpacing/>
              <w:rPr>
                <w:rFonts w:cs="Arial"/>
                <w:b/>
              </w:rPr>
            </w:pPr>
          </w:p>
        </w:tc>
        <w:tc>
          <w:tcPr>
            <w:tcW w:w="2790" w:type="dxa"/>
          </w:tcPr>
          <w:p w14:paraId="1134B2CE" w14:textId="77777777" w:rsidR="00246335" w:rsidRPr="00D64551" w:rsidRDefault="00246335" w:rsidP="003962CE">
            <w:pPr>
              <w:ind w:left="360"/>
              <w:contextualSpacing/>
              <w:rPr>
                <w:rFonts w:cs="Arial"/>
                <w:b/>
              </w:rPr>
            </w:pPr>
          </w:p>
        </w:tc>
      </w:tr>
      <w:tr w:rsidR="00246335" w:rsidRPr="00D64551" w14:paraId="505ED334" w14:textId="77777777" w:rsidTr="003962CE">
        <w:trPr>
          <w:jc w:val="center"/>
        </w:trPr>
        <w:tc>
          <w:tcPr>
            <w:tcW w:w="1435" w:type="dxa"/>
          </w:tcPr>
          <w:p w14:paraId="2BE39DE5" w14:textId="77777777" w:rsidR="00246335" w:rsidRPr="00D64551" w:rsidRDefault="00246335" w:rsidP="003962CE">
            <w:pPr>
              <w:jc w:val="center"/>
              <w:rPr>
                <w:rFonts w:cs="Arial"/>
              </w:rPr>
            </w:pPr>
            <w:r w:rsidRPr="00D64551">
              <w:rPr>
                <w:rFonts w:cs="Arial"/>
              </w:rPr>
              <w:t xml:space="preserve">Quarter 2 </w:t>
            </w:r>
          </w:p>
        </w:tc>
        <w:tc>
          <w:tcPr>
            <w:tcW w:w="2340" w:type="dxa"/>
            <w:vAlign w:val="center"/>
          </w:tcPr>
          <w:p w14:paraId="562D354E" w14:textId="77777777" w:rsidR="00246335" w:rsidRPr="00D64551" w:rsidRDefault="00246335" w:rsidP="003962CE">
            <w:pPr>
              <w:ind w:left="360"/>
              <w:contextualSpacing/>
              <w:rPr>
                <w:rFonts w:cs="Arial"/>
                <w:b/>
              </w:rPr>
            </w:pPr>
          </w:p>
        </w:tc>
        <w:tc>
          <w:tcPr>
            <w:tcW w:w="2790" w:type="dxa"/>
            <w:vAlign w:val="center"/>
          </w:tcPr>
          <w:p w14:paraId="1F62C662" w14:textId="77777777" w:rsidR="00246335" w:rsidRPr="00D64551" w:rsidRDefault="00246335" w:rsidP="003962CE">
            <w:pPr>
              <w:ind w:left="360"/>
              <w:contextualSpacing/>
              <w:rPr>
                <w:rFonts w:cs="Arial"/>
                <w:b/>
              </w:rPr>
            </w:pPr>
          </w:p>
        </w:tc>
        <w:tc>
          <w:tcPr>
            <w:tcW w:w="2790" w:type="dxa"/>
          </w:tcPr>
          <w:p w14:paraId="2B61574C" w14:textId="77777777" w:rsidR="00246335" w:rsidRPr="00D64551" w:rsidRDefault="00246335" w:rsidP="003962CE">
            <w:pPr>
              <w:ind w:left="360"/>
              <w:contextualSpacing/>
              <w:rPr>
                <w:rFonts w:cs="Arial"/>
                <w:b/>
              </w:rPr>
            </w:pPr>
          </w:p>
        </w:tc>
      </w:tr>
      <w:tr w:rsidR="00246335" w:rsidRPr="00D64551" w14:paraId="71528004" w14:textId="77777777" w:rsidTr="003962CE">
        <w:trPr>
          <w:jc w:val="center"/>
        </w:trPr>
        <w:tc>
          <w:tcPr>
            <w:tcW w:w="1435" w:type="dxa"/>
          </w:tcPr>
          <w:p w14:paraId="60D94E80" w14:textId="77777777" w:rsidR="00246335" w:rsidRPr="00D64551" w:rsidRDefault="00246335" w:rsidP="003962CE">
            <w:pPr>
              <w:jc w:val="center"/>
              <w:rPr>
                <w:rFonts w:cs="Arial"/>
              </w:rPr>
            </w:pPr>
            <w:r w:rsidRPr="00D64551">
              <w:rPr>
                <w:rFonts w:cs="Arial"/>
              </w:rPr>
              <w:t xml:space="preserve">Quarter 3 </w:t>
            </w:r>
          </w:p>
        </w:tc>
        <w:tc>
          <w:tcPr>
            <w:tcW w:w="2340" w:type="dxa"/>
            <w:vAlign w:val="center"/>
          </w:tcPr>
          <w:p w14:paraId="0BA571D3" w14:textId="77777777" w:rsidR="00246335" w:rsidRPr="00D64551" w:rsidRDefault="00246335" w:rsidP="003962CE">
            <w:pPr>
              <w:ind w:left="360"/>
              <w:contextualSpacing/>
              <w:rPr>
                <w:rFonts w:cs="Arial"/>
                <w:b/>
              </w:rPr>
            </w:pPr>
          </w:p>
        </w:tc>
        <w:tc>
          <w:tcPr>
            <w:tcW w:w="2790" w:type="dxa"/>
            <w:vAlign w:val="center"/>
          </w:tcPr>
          <w:p w14:paraId="650C5FA7" w14:textId="77777777" w:rsidR="00246335" w:rsidRPr="00D64551" w:rsidRDefault="00246335" w:rsidP="003962CE">
            <w:pPr>
              <w:ind w:left="360"/>
              <w:contextualSpacing/>
              <w:rPr>
                <w:rFonts w:cs="Arial"/>
                <w:b/>
              </w:rPr>
            </w:pPr>
          </w:p>
        </w:tc>
        <w:tc>
          <w:tcPr>
            <w:tcW w:w="2790" w:type="dxa"/>
          </w:tcPr>
          <w:p w14:paraId="26BE65C2" w14:textId="77777777" w:rsidR="00246335" w:rsidRPr="00D64551" w:rsidRDefault="00246335" w:rsidP="003962CE">
            <w:pPr>
              <w:ind w:left="360"/>
              <w:contextualSpacing/>
              <w:rPr>
                <w:rFonts w:cs="Arial"/>
                <w:b/>
              </w:rPr>
            </w:pPr>
          </w:p>
        </w:tc>
      </w:tr>
      <w:tr w:rsidR="00246335" w:rsidRPr="00D64551" w14:paraId="5F8934C7" w14:textId="77777777" w:rsidTr="003962CE">
        <w:trPr>
          <w:jc w:val="center"/>
        </w:trPr>
        <w:tc>
          <w:tcPr>
            <w:tcW w:w="1435" w:type="dxa"/>
            <w:tcBorders>
              <w:bottom w:val="single" w:sz="4" w:space="0" w:color="auto"/>
            </w:tcBorders>
          </w:tcPr>
          <w:p w14:paraId="050610AB" w14:textId="77777777" w:rsidR="00246335" w:rsidRPr="00D64551" w:rsidRDefault="00246335" w:rsidP="003962CE">
            <w:pPr>
              <w:jc w:val="center"/>
              <w:rPr>
                <w:rFonts w:cs="Arial"/>
              </w:rPr>
            </w:pPr>
            <w:r w:rsidRPr="00D64551">
              <w:rPr>
                <w:rFonts w:cs="Arial"/>
              </w:rPr>
              <w:t xml:space="preserve">Quarter 4 </w:t>
            </w:r>
          </w:p>
        </w:tc>
        <w:tc>
          <w:tcPr>
            <w:tcW w:w="2340" w:type="dxa"/>
            <w:vAlign w:val="center"/>
          </w:tcPr>
          <w:p w14:paraId="54BA234C" w14:textId="77777777" w:rsidR="00246335" w:rsidRPr="00D64551" w:rsidRDefault="00246335" w:rsidP="003962CE">
            <w:pPr>
              <w:ind w:left="360"/>
              <w:contextualSpacing/>
              <w:rPr>
                <w:rFonts w:cs="Arial"/>
                <w:b/>
              </w:rPr>
            </w:pPr>
          </w:p>
        </w:tc>
        <w:tc>
          <w:tcPr>
            <w:tcW w:w="2790" w:type="dxa"/>
            <w:vAlign w:val="center"/>
          </w:tcPr>
          <w:p w14:paraId="03E8F6C6" w14:textId="77777777" w:rsidR="00246335" w:rsidRPr="00D64551" w:rsidRDefault="00246335" w:rsidP="003962CE">
            <w:pPr>
              <w:ind w:left="360"/>
              <w:contextualSpacing/>
              <w:rPr>
                <w:rFonts w:cs="Arial"/>
                <w:b/>
              </w:rPr>
            </w:pPr>
          </w:p>
        </w:tc>
        <w:tc>
          <w:tcPr>
            <w:tcW w:w="2790" w:type="dxa"/>
          </w:tcPr>
          <w:p w14:paraId="1B4FCD71" w14:textId="77777777" w:rsidR="00246335" w:rsidRPr="00D64551" w:rsidRDefault="00246335" w:rsidP="003962CE">
            <w:pPr>
              <w:ind w:left="360"/>
              <w:contextualSpacing/>
              <w:rPr>
                <w:rFonts w:cs="Arial"/>
                <w:b/>
              </w:rPr>
            </w:pPr>
          </w:p>
        </w:tc>
      </w:tr>
    </w:tbl>
    <w:p w14:paraId="2242A1F3" w14:textId="77777777" w:rsidR="0020086B" w:rsidRDefault="0020086B" w:rsidP="00C64192"/>
    <w:p w14:paraId="374617C2" w14:textId="21D17839" w:rsidR="003C1B1C" w:rsidRDefault="003C1B1C">
      <w:pPr>
        <w:rPr>
          <w:rFonts w:cs="Arial"/>
          <w:b/>
          <w:snapToGrid w:val="0"/>
          <w:color w:val="000000"/>
        </w:rPr>
      </w:pPr>
      <w:r>
        <w:rPr>
          <w:rFonts w:cs="Arial"/>
          <w:b/>
          <w:snapToGrid w:val="0"/>
          <w:color w:val="000000"/>
        </w:rPr>
        <w:br w:type="page"/>
      </w:r>
    </w:p>
    <w:p w14:paraId="7BFDE311" w14:textId="77777777" w:rsidR="00BD4BA0" w:rsidRPr="009A5185" w:rsidRDefault="00BD4BA0" w:rsidP="00AE0EA7">
      <w:pPr>
        <w:rPr>
          <w:rFonts w:cs="Arial"/>
          <w:b/>
          <w:snapToGrid w:val="0"/>
          <w:color w:val="000000"/>
        </w:rPr>
      </w:pPr>
    </w:p>
    <w:p w14:paraId="5299D82C" w14:textId="77777777" w:rsidR="00C64192" w:rsidRDefault="00C64192" w:rsidP="00AB5B80">
      <w:pPr>
        <w:pStyle w:val="Heading3"/>
      </w:pPr>
      <w:bookmarkStart w:id="420" w:name="_Toc225877753"/>
      <w:r>
        <w:t>NQF Safe Practice #9 – Nursing Workforce</w:t>
      </w:r>
      <w:bookmarkEnd w:id="420"/>
      <w:r>
        <w:t xml:space="preserve"> </w:t>
      </w:r>
    </w:p>
    <w:p w14:paraId="7306EFAA" w14:textId="77777777" w:rsidR="00C64192" w:rsidRPr="00357E20" w:rsidRDefault="00C64192" w:rsidP="00C64192">
      <w:pPr>
        <w:rPr>
          <w:b/>
          <w:snapToGrid w:val="0"/>
          <w:color w:val="000000"/>
          <w:sz w:val="16"/>
          <w:szCs w:val="16"/>
        </w:rPr>
      </w:pPr>
    </w:p>
    <w:p w14:paraId="6C254B3C" w14:textId="0B4A78E9" w:rsidR="00C64192" w:rsidRDefault="00C64192" w:rsidP="00C64192">
      <w:pPr>
        <w:rPr>
          <w:bCs/>
        </w:rPr>
      </w:pPr>
      <w:r w:rsidRPr="00722F1B">
        <w:rPr>
          <w:b/>
          <w:bCs/>
          <w:color w:val="FF0000"/>
        </w:rPr>
        <w:t>Important Note:</w:t>
      </w:r>
      <w:r>
        <w:rPr>
          <w:b/>
          <w:bCs/>
          <w:color w:val="FF0000"/>
        </w:rPr>
        <w:t xml:space="preserve"> </w:t>
      </w:r>
      <w:r w:rsidRPr="00722F1B">
        <w:rPr>
          <w:bCs/>
        </w:rPr>
        <w:t xml:space="preserve">Hyperlinks </w:t>
      </w:r>
      <w:r>
        <w:rPr>
          <w:bCs/>
        </w:rPr>
        <w:t>in</w:t>
      </w:r>
      <w:r w:rsidRPr="00722F1B">
        <w:rPr>
          <w:bCs/>
        </w:rPr>
        <w:t xml:space="preserve"> </w:t>
      </w:r>
      <w:r>
        <w:rPr>
          <w:bCs/>
        </w:rPr>
        <w:t>question #16</w:t>
      </w:r>
      <w:r w:rsidRPr="00722F1B">
        <w:rPr>
          <w:bCs/>
        </w:rPr>
        <w:t xml:space="preserve"> refer to </w:t>
      </w:r>
      <w:r>
        <w:rPr>
          <w:bCs/>
        </w:rPr>
        <w:t xml:space="preserve">the </w:t>
      </w:r>
      <w:hyperlink w:anchor="_Patient_Safety_Practices_2" w:history="1">
        <w:r>
          <w:rPr>
            <w:rStyle w:val="Hyperlink"/>
            <w:bCs/>
          </w:rPr>
          <w:t>Patient Safety Practices FAQs</w:t>
        </w:r>
      </w:hyperlink>
      <w:r>
        <w:rPr>
          <w:bCs/>
        </w:rPr>
        <w:t xml:space="preserve"> </w:t>
      </w:r>
      <w:r>
        <w:rPr>
          <w:rFonts w:cs="Arial"/>
        </w:rPr>
        <w:t>beginning on page</w:t>
      </w:r>
      <w:r w:rsidR="00230744">
        <w:rPr>
          <w:rFonts w:cs="Arial"/>
        </w:rPr>
        <w:t xml:space="preserve"> 2</w:t>
      </w:r>
      <w:r w:rsidR="00923BFC">
        <w:rPr>
          <w:rFonts w:cs="Arial"/>
        </w:rPr>
        <w:t>50</w:t>
      </w:r>
      <w:r>
        <w:rPr>
          <w:rFonts w:cs="Arial"/>
        </w:rPr>
        <w:t xml:space="preserve">, </w:t>
      </w:r>
      <w:r w:rsidRPr="00722F1B">
        <w:rPr>
          <w:bCs/>
        </w:rPr>
        <w:t>not to endnotes. These hyperlinks are not include</w:t>
      </w:r>
      <w:r>
        <w:rPr>
          <w:bCs/>
        </w:rPr>
        <w:t>d in the Online Survey Tool</w:t>
      </w:r>
      <w:r w:rsidRPr="004A60F9">
        <w:rPr>
          <w:bCs/>
        </w:rPr>
        <w:t>.</w:t>
      </w:r>
    </w:p>
    <w:p w14:paraId="6DC42E03" w14:textId="77777777" w:rsidR="00C64192" w:rsidRPr="00357E20" w:rsidRDefault="00C64192" w:rsidP="00C64192">
      <w:pPr>
        <w:rPr>
          <w:bCs/>
          <w:sz w:val="16"/>
          <w:szCs w:val="16"/>
        </w:rPr>
      </w:pPr>
    </w:p>
    <w:p w14:paraId="1A26149D" w14:textId="2B88B9E9" w:rsidR="00C64192" w:rsidRPr="00B22B26" w:rsidRDefault="00C64192" w:rsidP="00C64192">
      <w:pPr>
        <w:rPr>
          <w:b/>
          <w:bCs/>
          <w:color w:val="FF0000"/>
        </w:rPr>
      </w:pPr>
      <w:r>
        <w:rPr>
          <w:rFonts w:cs="Arial"/>
          <w:b/>
          <w:snapToGrid w:val="0"/>
        </w:rPr>
        <w:t>Specifications:</w:t>
      </w:r>
      <w:r>
        <w:rPr>
          <w:rFonts w:cs="Arial"/>
          <w:snapToGrid w:val="0"/>
        </w:rPr>
        <w:t xml:space="preserve"> See </w:t>
      </w:r>
      <w:hyperlink w:anchor="_NQF_Safe_Practice" w:history="1">
        <w:r>
          <w:rPr>
            <w:rStyle w:val="Hyperlink"/>
            <w:rFonts w:cs="Arial"/>
            <w:b/>
            <w:i/>
          </w:rPr>
          <w:t>NQF Safe Practice Measure Specifications</w:t>
        </w:r>
      </w:hyperlink>
      <w:r>
        <w:rPr>
          <w:rFonts w:cs="Arial"/>
        </w:rPr>
        <w:t xml:space="preserve"> </w:t>
      </w:r>
      <w:r>
        <w:rPr>
          <w:rFonts w:cs="Arial"/>
          <w:snapToGrid w:val="0"/>
        </w:rPr>
        <w:t xml:space="preserve">in the Reference Information </w:t>
      </w:r>
      <w:r>
        <w:rPr>
          <w:rFonts w:cs="Arial"/>
        </w:rPr>
        <w:t>beginning on page</w:t>
      </w:r>
      <w:r w:rsidR="00121131">
        <w:rPr>
          <w:rFonts w:cs="Arial"/>
        </w:rPr>
        <w:t xml:space="preserve"> 2</w:t>
      </w:r>
      <w:r w:rsidR="003C22ED">
        <w:rPr>
          <w:rFonts w:cs="Arial"/>
        </w:rPr>
        <w:t>12</w:t>
      </w:r>
      <w:r>
        <w:rPr>
          <w:rFonts w:cs="Arial"/>
        </w:rPr>
        <w:t>.</w:t>
      </w:r>
    </w:p>
    <w:p w14:paraId="41F197B0" w14:textId="77777777" w:rsidR="00C64192" w:rsidRPr="00357E20" w:rsidRDefault="00C64192" w:rsidP="00C64192">
      <w:pPr>
        <w:rPr>
          <w:sz w:val="16"/>
          <w:szCs w:val="16"/>
        </w:rPr>
      </w:pPr>
    </w:p>
    <w:tbl>
      <w:tblPr>
        <w:tblStyle w:val="TableGrid"/>
        <w:tblW w:w="0" w:type="auto"/>
        <w:tblLook w:val="04A0" w:firstRow="1" w:lastRow="0" w:firstColumn="1" w:lastColumn="0" w:noHBand="0" w:noVBand="1"/>
      </w:tblPr>
      <w:tblGrid>
        <w:gridCol w:w="4855"/>
        <w:gridCol w:w="4495"/>
      </w:tblGrid>
      <w:tr w:rsidR="00C64192" w:rsidRPr="00C645E0" w14:paraId="2928B630" w14:textId="77777777" w:rsidTr="00D73F6A">
        <w:trPr>
          <w:trHeight w:val="3456"/>
        </w:trPr>
        <w:tc>
          <w:tcPr>
            <w:tcW w:w="4855" w:type="dxa"/>
            <w:vAlign w:val="center"/>
          </w:tcPr>
          <w:p w14:paraId="6C550DCE" w14:textId="04001ECB" w:rsidR="00C64192" w:rsidRPr="00761677" w:rsidRDefault="00C64192" w:rsidP="00F3455B">
            <w:pPr>
              <w:pStyle w:val="ListParagraph"/>
              <w:numPr>
                <w:ilvl w:val="0"/>
                <w:numId w:val="147"/>
              </w:numPr>
              <w:rPr>
                <w:bCs/>
              </w:rPr>
            </w:pPr>
            <w:r w:rsidRPr="00761677">
              <w:rPr>
                <w:bCs/>
              </w:rPr>
              <w:t>Is your hospital currently recognized as an American Nurses Credentialing Center (ANCC) Magnet</w:t>
            </w:r>
            <w:r w:rsidRPr="00761677">
              <w:rPr>
                <w:bCs/>
                <w:vertAlign w:val="superscript"/>
              </w:rPr>
              <w:t>®</w:t>
            </w:r>
            <w:r w:rsidRPr="00761677">
              <w:rPr>
                <w:bCs/>
              </w:rPr>
              <w:t xml:space="preserve"> organization or a 2020 </w:t>
            </w:r>
            <w:r w:rsidR="000C4D22">
              <w:rPr>
                <w:bCs/>
              </w:rPr>
              <w:t xml:space="preserve">or 2024 </w:t>
            </w:r>
            <w:r w:rsidRPr="00761677">
              <w:rPr>
                <w:bCs/>
              </w:rPr>
              <w:t>Pathway to Excellence</w:t>
            </w:r>
            <w:r w:rsidRPr="00761677">
              <w:rPr>
                <w:bCs/>
                <w:vertAlign w:val="superscript"/>
              </w:rPr>
              <w:t>®</w:t>
            </w:r>
            <w:r w:rsidRPr="00761677">
              <w:rPr>
                <w:bCs/>
              </w:rPr>
              <w:t xml:space="preserve"> organization? </w:t>
            </w:r>
          </w:p>
          <w:p w14:paraId="15FF93FF" w14:textId="77777777" w:rsidR="00C64192" w:rsidRPr="00761677" w:rsidRDefault="00C64192" w:rsidP="00D73F6A">
            <w:pPr>
              <w:pStyle w:val="ListParagraph"/>
              <w:ind w:left="360"/>
              <w:rPr>
                <w:bCs/>
              </w:rPr>
            </w:pPr>
          </w:p>
          <w:p w14:paraId="08DD505E" w14:textId="6514BB14" w:rsidR="00C64192" w:rsidRDefault="00C64192" w:rsidP="00D73F6A">
            <w:pPr>
              <w:ind w:left="420"/>
              <w:rPr>
                <w:bCs/>
                <w:i/>
              </w:rPr>
            </w:pPr>
            <w:r w:rsidRPr="00761677">
              <w:rPr>
                <w:bCs/>
                <w:i/>
              </w:rPr>
              <w:t>If “yes,</w:t>
            </w:r>
            <w:r w:rsidRPr="00761677">
              <w:rPr>
                <w:rFonts w:cs="Arial"/>
                <w:bCs/>
                <w:i/>
                <w:iCs/>
              </w:rPr>
              <w:t xml:space="preserve"> our hospital is a current American Nurses Credentialing Center (ANCC) Magnet</w:t>
            </w:r>
            <w:r w:rsidRPr="00761677">
              <w:rPr>
                <w:rFonts w:cs="Arial"/>
                <w:bCs/>
                <w:i/>
                <w:iCs/>
                <w:vertAlign w:val="superscript"/>
              </w:rPr>
              <w:t xml:space="preserve">® </w:t>
            </w:r>
            <w:r w:rsidRPr="00761677">
              <w:rPr>
                <w:rFonts w:cs="Arial"/>
                <w:bCs/>
                <w:i/>
                <w:iCs/>
              </w:rPr>
              <w:t>organization</w:t>
            </w:r>
            <w:r w:rsidRPr="00761677">
              <w:rPr>
                <w:bCs/>
                <w:i/>
              </w:rPr>
              <w:t xml:space="preserve">” or “yes, </w:t>
            </w:r>
            <w:r w:rsidRPr="00761677">
              <w:rPr>
                <w:rFonts w:cs="Arial"/>
                <w:bCs/>
                <w:i/>
                <w:iCs/>
              </w:rPr>
              <w:t>our hospital is a 2020</w:t>
            </w:r>
            <w:r w:rsidR="000C4D22">
              <w:rPr>
                <w:rFonts w:cs="Arial"/>
                <w:bCs/>
                <w:i/>
                <w:iCs/>
              </w:rPr>
              <w:t xml:space="preserve"> or 2024</w:t>
            </w:r>
            <w:r>
              <w:rPr>
                <w:rFonts w:cs="Arial"/>
                <w:bCs/>
                <w:i/>
                <w:iCs/>
              </w:rPr>
              <w:t xml:space="preserve"> </w:t>
            </w:r>
            <w:r w:rsidRPr="00761677">
              <w:rPr>
                <w:rFonts w:cs="Arial"/>
                <w:bCs/>
                <w:i/>
                <w:iCs/>
              </w:rPr>
              <w:t>Pathway to Excellence</w:t>
            </w:r>
            <w:r w:rsidRPr="00761677">
              <w:rPr>
                <w:rFonts w:cs="Arial"/>
                <w:bCs/>
                <w:i/>
                <w:iCs/>
                <w:vertAlign w:val="superscript"/>
              </w:rPr>
              <w:t>®</w:t>
            </w:r>
            <w:r w:rsidRPr="00761677">
              <w:rPr>
                <w:rFonts w:cs="Arial"/>
                <w:bCs/>
                <w:i/>
                <w:iCs/>
              </w:rPr>
              <w:t xml:space="preserve"> organization</w:t>
            </w:r>
            <w:r>
              <w:rPr>
                <w:rFonts w:cs="Arial"/>
                <w:bCs/>
                <w:i/>
                <w:iCs/>
              </w:rPr>
              <w:t>,</w:t>
            </w:r>
            <w:r w:rsidRPr="00761677">
              <w:rPr>
                <w:rFonts w:cs="Arial"/>
                <w:bCs/>
                <w:i/>
                <w:iCs/>
              </w:rPr>
              <w:t>”</w:t>
            </w:r>
            <w:r w:rsidRPr="00761677">
              <w:rPr>
                <w:bCs/>
                <w:i/>
              </w:rPr>
              <w:t xml:space="preserve"> skip question </w:t>
            </w:r>
            <w:r>
              <w:rPr>
                <w:bCs/>
                <w:i/>
              </w:rPr>
              <w:t>#</w:t>
            </w:r>
            <w:r w:rsidRPr="00761677">
              <w:rPr>
                <w:bCs/>
                <w:i/>
              </w:rPr>
              <w:t>1</w:t>
            </w:r>
            <w:r>
              <w:rPr>
                <w:bCs/>
                <w:i/>
              </w:rPr>
              <w:t>6</w:t>
            </w:r>
            <w:r w:rsidRPr="00761677">
              <w:rPr>
                <w:bCs/>
                <w:i/>
              </w:rPr>
              <w:t>, and</w:t>
            </w:r>
            <w:r w:rsidRPr="00761677">
              <w:rPr>
                <w:i/>
                <w:iCs/>
              </w:rPr>
              <w:t xml:space="preserve"> continue to </w:t>
            </w:r>
            <w:r>
              <w:rPr>
                <w:i/>
                <w:iCs/>
              </w:rPr>
              <w:t>question #17.</w:t>
            </w:r>
          </w:p>
          <w:p w14:paraId="2D60D880" w14:textId="77777777" w:rsidR="00C64192" w:rsidRDefault="00C64192" w:rsidP="00D73F6A">
            <w:pPr>
              <w:ind w:left="420"/>
              <w:rPr>
                <w:bCs/>
                <w:i/>
              </w:rPr>
            </w:pPr>
          </w:p>
          <w:p w14:paraId="775E82BC" w14:textId="288DD143" w:rsidR="00C64192" w:rsidRPr="007F6335" w:rsidRDefault="00C64192" w:rsidP="00D73F6A">
            <w:pPr>
              <w:ind w:left="420"/>
              <w:rPr>
                <w:bCs/>
                <w:i/>
              </w:rPr>
            </w:pPr>
            <w:r>
              <w:rPr>
                <w:bCs/>
                <w:i/>
              </w:rPr>
              <w:t>Pathway to Excellence</w:t>
            </w:r>
            <w:r w:rsidRPr="00C66B2E">
              <w:rPr>
                <w:bCs/>
                <w:i/>
                <w:vertAlign w:val="superscript"/>
              </w:rPr>
              <w:t>®</w:t>
            </w:r>
            <w:r>
              <w:rPr>
                <w:bCs/>
                <w:i/>
              </w:rPr>
              <w:t xml:space="preserve"> h</w:t>
            </w:r>
            <w:r w:rsidRPr="000E506A">
              <w:rPr>
                <w:bCs/>
                <w:i/>
              </w:rPr>
              <w:t xml:space="preserve">ospitals that </w:t>
            </w:r>
            <w:r>
              <w:rPr>
                <w:bCs/>
                <w:i/>
              </w:rPr>
              <w:t>have not received either the 2020</w:t>
            </w:r>
            <w:r w:rsidR="00703EAD">
              <w:rPr>
                <w:bCs/>
                <w:i/>
              </w:rPr>
              <w:t xml:space="preserve"> or 2024</w:t>
            </w:r>
            <w:r>
              <w:rPr>
                <w:bCs/>
                <w:i/>
              </w:rPr>
              <w:t xml:space="preserve"> designation must select “no.” </w:t>
            </w:r>
          </w:p>
        </w:tc>
        <w:tc>
          <w:tcPr>
            <w:tcW w:w="4495" w:type="dxa"/>
            <w:tcBorders>
              <w:bottom w:val="single" w:sz="4" w:space="0" w:color="auto"/>
            </w:tcBorders>
            <w:vAlign w:val="center"/>
          </w:tcPr>
          <w:p w14:paraId="7FCA5723" w14:textId="77777777" w:rsidR="00C64192" w:rsidRPr="00C8246A" w:rsidRDefault="00C64192" w:rsidP="00AD309C">
            <w:pPr>
              <w:pStyle w:val="ListParagraph"/>
              <w:numPr>
                <w:ilvl w:val="0"/>
                <w:numId w:val="356"/>
              </w:numPr>
              <w:rPr>
                <w:rFonts w:cs="Arial"/>
                <w:bCs/>
              </w:rPr>
            </w:pPr>
            <w:r w:rsidRPr="00C8246A">
              <w:t>Yes</w:t>
            </w:r>
            <w:r w:rsidRPr="00C8246A">
              <w:rPr>
                <w:rFonts w:cs="Arial"/>
                <w:bCs/>
              </w:rPr>
              <w:t>, our hospital is a current American Nurses Credentialing Center (ANCC) Magnet</w:t>
            </w:r>
            <w:r w:rsidRPr="00C8246A">
              <w:rPr>
                <w:rFonts w:cs="Arial"/>
                <w:bCs/>
                <w:vertAlign w:val="superscript"/>
              </w:rPr>
              <w:t xml:space="preserve">® </w:t>
            </w:r>
            <w:r w:rsidRPr="00C8246A">
              <w:rPr>
                <w:rFonts w:cs="Arial"/>
                <w:bCs/>
              </w:rPr>
              <w:t>organization</w:t>
            </w:r>
          </w:p>
          <w:p w14:paraId="107DC8D6" w14:textId="62049544" w:rsidR="00C64192" w:rsidRPr="004B1BBF" w:rsidRDefault="00C64192" w:rsidP="00AD309C">
            <w:pPr>
              <w:pStyle w:val="ListParagraph"/>
              <w:numPr>
                <w:ilvl w:val="0"/>
                <w:numId w:val="356"/>
              </w:numPr>
              <w:rPr>
                <w:rFonts w:cs="Arial"/>
                <w:bCs/>
              </w:rPr>
            </w:pPr>
            <w:r w:rsidRPr="00C8246A">
              <w:rPr>
                <w:rFonts w:cs="Arial"/>
                <w:bCs/>
              </w:rPr>
              <w:t>Yes, our hospital is a 2020</w:t>
            </w:r>
            <w:r>
              <w:rPr>
                <w:rFonts w:cs="Arial"/>
                <w:bCs/>
              </w:rPr>
              <w:t xml:space="preserve"> </w:t>
            </w:r>
            <w:r w:rsidR="000C4D22">
              <w:rPr>
                <w:rFonts w:cs="Arial"/>
                <w:bCs/>
              </w:rPr>
              <w:t xml:space="preserve">or 2024 </w:t>
            </w:r>
            <w:r w:rsidRPr="00C8246A">
              <w:rPr>
                <w:rFonts w:cs="Arial"/>
                <w:bCs/>
              </w:rPr>
              <w:t>Pathway to Excellence</w:t>
            </w:r>
            <w:r w:rsidRPr="00C8246A">
              <w:rPr>
                <w:rFonts w:cs="Arial"/>
                <w:bCs/>
                <w:vertAlign w:val="superscript"/>
              </w:rPr>
              <w:t>®</w:t>
            </w:r>
            <w:r w:rsidRPr="00C8246A">
              <w:rPr>
                <w:rFonts w:cs="Arial"/>
                <w:bCs/>
              </w:rPr>
              <w:t xml:space="preserve"> organization</w:t>
            </w:r>
          </w:p>
          <w:p w14:paraId="448E7B9B" w14:textId="77777777" w:rsidR="00C64192" w:rsidRPr="00C8246A" w:rsidRDefault="00C64192" w:rsidP="00AD309C">
            <w:pPr>
              <w:pStyle w:val="ListParagraph"/>
              <w:numPr>
                <w:ilvl w:val="0"/>
                <w:numId w:val="356"/>
              </w:numPr>
              <w:rPr>
                <w:rFonts w:cs="Arial"/>
                <w:bCs/>
              </w:rPr>
            </w:pPr>
            <w:r w:rsidRPr="00C8246A">
              <w:t>No</w:t>
            </w:r>
          </w:p>
        </w:tc>
      </w:tr>
      <w:tr w:rsidR="00C64192" w:rsidRPr="00C645E0" w14:paraId="10AD44A1" w14:textId="77777777" w:rsidTr="00D73F6A">
        <w:trPr>
          <w:trHeight w:val="576"/>
        </w:trPr>
        <w:tc>
          <w:tcPr>
            <w:tcW w:w="9350" w:type="dxa"/>
            <w:gridSpan w:val="2"/>
            <w:tcBorders>
              <w:right w:val="single" w:sz="4" w:space="0" w:color="auto"/>
            </w:tcBorders>
            <w:vAlign w:val="center"/>
          </w:tcPr>
          <w:p w14:paraId="19E210DA" w14:textId="77777777" w:rsidR="00C64192" w:rsidRPr="007F6335" w:rsidRDefault="00C64192" w:rsidP="00F3455B">
            <w:pPr>
              <w:pStyle w:val="ListParagraph"/>
              <w:numPr>
                <w:ilvl w:val="0"/>
                <w:numId w:val="147"/>
              </w:numPr>
              <w:rPr>
                <w:bCs/>
              </w:rPr>
            </w:pPr>
            <w:r w:rsidRPr="00761677">
              <w:rPr>
                <w:bCs/>
              </w:rPr>
              <w:t xml:space="preserve">Within the last 12 months, </w:t>
            </w:r>
            <w:r>
              <w:rPr>
                <w:bCs/>
              </w:rPr>
              <w:t>to ensure</w:t>
            </w:r>
            <w:r w:rsidRPr="00761677">
              <w:rPr>
                <w:bCs/>
              </w:rPr>
              <w:t xml:space="preserve"> adequate and competent nursing staff service and nursing leadership at all levels, our organization has: </w:t>
            </w:r>
          </w:p>
        </w:tc>
      </w:tr>
      <w:tr w:rsidR="00C64192" w:rsidRPr="00C645E0" w14:paraId="4D151C3C" w14:textId="77777777" w:rsidTr="00D73F6A">
        <w:trPr>
          <w:trHeight w:val="1008"/>
        </w:trPr>
        <w:tc>
          <w:tcPr>
            <w:tcW w:w="4855" w:type="dxa"/>
            <w:vAlign w:val="center"/>
          </w:tcPr>
          <w:p w14:paraId="622E8843" w14:textId="77777777" w:rsidR="00C64192" w:rsidRPr="00761677" w:rsidRDefault="00C64192" w:rsidP="00F3455B">
            <w:pPr>
              <w:pStyle w:val="ListParagraph"/>
              <w:numPr>
                <w:ilvl w:val="1"/>
                <w:numId w:val="147"/>
              </w:numPr>
              <w:rPr>
                <w:bCs/>
              </w:rPr>
            </w:pPr>
            <w:r w:rsidRPr="00761677">
              <w:rPr>
                <w:bCs/>
              </w:rPr>
              <w:t xml:space="preserve">held </w:t>
            </w:r>
            <w:hyperlink w:anchor="NursingLeadership" w:history="1">
              <w:r w:rsidRPr="001016AE">
                <w:rPr>
                  <w:rStyle w:val="Hyperlink"/>
                  <w:bCs/>
                </w:rPr>
                <w:t>nursing leadership</w:t>
              </w:r>
            </w:hyperlink>
            <w:r w:rsidRPr="00761677">
              <w:rPr>
                <w:bCs/>
              </w:rPr>
              <w:t xml:space="preserve"> directly accountable for improvements in performance through performance reviews or compensation.</w:t>
            </w:r>
          </w:p>
        </w:tc>
        <w:tc>
          <w:tcPr>
            <w:tcW w:w="4495" w:type="dxa"/>
            <w:tcBorders>
              <w:top w:val="single" w:sz="4" w:space="0" w:color="auto"/>
              <w:bottom w:val="single" w:sz="4" w:space="0" w:color="auto"/>
            </w:tcBorders>
            <w:vAlign w:val="center"/>
          </w:tcPr>
          <w:p w14:paraId="2E2E5FE3" w14:textId="77777777" w:rsidR="00C64192" w:rsidRPr="00C8246A" w:rsidRDefault="00C64192" w:rsidP="00AD309C">
            <w:pPr>
              <w:pStyle w:val="ListParagraph"/>
              <w:numPr>
                <w:ilvl w:val="0"/>
                <w:numId w:val="355"/>
              </w:numPr>
              <w:rPr>
                <w:rFonts w:cs="Arial"/>
                <w:iCs/>
                <w:snapToGrid w:val="0"/>
              </w:rPr>
            </w:pPr>
            <w:r w:rsidRPr="00C8246A">
              <w:rPr>
                <w:rFonts w:cs="Arial"/>
                <w:iCs/>
                <w:snapToGrid w:val="0"/>
              </w:rPr>
              <w:t>Yes</w:t>
            </w:r>
          </w:p>
          <w:p w14:paraId="4421505F" w14:textId="77777777" w:rsidR="00C64192" w:rsidRPr="00C8246A" w:rsidRDefault="00C64192" w:rsidP="00AD309C">
            <w:pPr>
              <w:pStyle w:val="ListParagraph"/>
              <w:numPr>
                <w:ilvl w:val="0"/>
                <w:numId w:val="355"/>
              </w:numPr>
              <w:rPr>
                <w:rFonts w:cs="Arial"/>
                <w:iCs/>
                <w:snapToGrid w:val="0"/>
              </w:rPr>
            </w:pPr>
            <w:r w:rsidRPr="00C8246A">
              <w:rPr>
                <w:rFonts w:cs="Arial"/>
                <w:iCs/>
                <w:snapToGrid w:val="0"/>
              </w:rPr>
              <w:t>No</w:t>
            </w:r>
          </w:p>
        </w:tc>
      </w:tr>
      <w:tr w:rsidR="00C64192" w:rsidRPr="00C645E0" w14:paraId="7A75415B" w14:textId="77777777" w:rsidTr="00D73F6A">
        <w:trPr>
          <w:trHeight w:val="720"/>
        </w:trPr>
        <w:tc>
          <w:tcPr>
            <w:tcW w:w="4855" w:type="dxa"/>
            <w:vAlign w:val="center"/>
          </w:tcPr>
          <w:p w14:paraId="3DE90DD4" w14:textId="77777777" w:rsidR="00C64192" w:rsidRPr="00761677" w:rsidRDefault="00C64192" w:rsidP="00F3455B">
            <w:pPr>
              <w:pStyle w:val="ListParagraph"/>
              <w:numPr>
                <w:ilvl w:val="1"/>
                <w:numId w:val="147"/>
              </w:numPr>
              <w:rPr>
                <w:bCs/>
              </w:rPr>
            </w:pPr>
            <w:r w:rsidRPr="00761677">
              <w:rPr>
                <w:bCs/>
              </w:rPr>
              <w:t xml:space="preserve">included </w:t>
            </w:r>
            <w:hyperlink w:anchor="NursingLeadership" w:history="1">
              <w:r w:rsidRPr="00761677">
                <w:rPr>
                  <w:rStyle w:val="Hyperlink"/>
                  <w:bCs/>
                </w:rPr>
                <w:t>nursing leadership</w:t>
              </w:r>
            </w:hyperlink>
            <w:r w:rsidRPr="00761677">
              <w:rPr>
                <w:bCs/>
              </w:rPr>
              <w:t xml:space="preserve"> as part of the hospital </w:t>
            </w:r>
            <w:hyperlink w:anchor="SeniorAdministrativeLeadership" w:history="1">
              <w:r w:rsidRPr="00761677">
                <w:rPr>
                  <w:rStyle w:val="Hyperlink"/>
                  <w:bCs/>
                </w:rPr>
                <w:t>senior administrative leadership team</w:t>
              </w:r>
            </w:hyperlink>
            <w:r w:rsidRPr="00761677">
              <w:rPr>
                <w:rStyle w:val="Hyperlink"/>
                <w:bCs/>
              </w:rPr>
              <w:t>.</w:t>
            </w:r>
          </w:p>
        </w:tc>
        <w:tc>
          <w:tcPr>
            <w:tcW w:w="4495" w:type="dxa"/>
            <w:tcBorders>
              <w:bottom w:val="single" w:sz="4" w:space="0" w:color="auto"/>
            </w:tcBorders>
            <w:vAlign w:val="center"/>
          </w:tcPr>
          <w:p w14:paraId="30C4444D" w14:textId="77777777" w:rsidR="00C64192" w:rsidRPr="00C8246A" w:rsidRDefault="00C64192" w:rsidP="00AD309C">
            <w:pPr>
              <w:pStyle w:val="ListParagraph"/>
              <w:numPr>
                <w:ilvl w:val="0"/>
                <w:numId w:val="355"/>
              </w:numPr>
              <w:rPr>
                <w:rFonts w:cs="Arial"/>
                <w:iCs/>
                <w:snapToGrid w:val="0"/>
              </w:rPr>
            </w:pPr>
            <w:r w:rsidRPr="00C8246A">
              <w:rPr>
                <w:rFonts w:cs="Arial"/>
                <w:iCs/>
                <w:snapToGrid w:val="0"/>
              </w:rPr>
              <w:t>Yes</w:t>
            </w:r>
          </w:p>
          <w:p w14:paraId="747CFFFB" w14:textId="77777777" w:rsidR="00C64192" w:rsidRPr="00C8246A" w:rsidRDefault="00C64192" w:rsidP="00AD309C">
            <w:pPr>
              <w:pStyle w:val="ListParagraph"/>
              <w:numPr>
                <w:ilvl w:val="0"/>
                <w:numId w:val="355"/>
              </w:numPr>
              <w:rPr>
                <w:rFonts w:cs="Arial"/>
                <w:iCs/>
                <w:snapToGrid w:val="0"/>
              </w:rPr>
            </w:pPr>
            <w:r w:rsidRPr="00C8246A">
              <w:rPr>
                <w:rFonts w:cs="Arial"/>
                <w:iCs/>
                <w:snapToGrid w:val="0"/>
              </w:rPr>
              <w:t>No</w:t>
            </w:r>
          </w:p>
        </w:tc>
      </w:tr>
      <w:tr w:rsidR="00C64192" w:rsidRPr="00C645E0" w14:paraId="1149EE15" w14:textId="77777777" w:rsidTr="00D73F6A">
        <w:trPr>
          <w:trHeight w:val="1296"/>
        </w:trPr>
        <w:tc>
          <w:tcPr>
            <w:tcW w:w="4855" w:type="dxa"/>
            <w:vAlign w:val="center"/>
          </w:tcPr>
          <w:p w14:paraId="7F5945F4" w14:textId="77777777" w:rsidR="00C64192" w:rsidRPr="00761677" w:rsidRDefault="00C64192" w:rsidP="00F3455B">
            <w:pPr>
              <w:pStyle w:val="ListParagraph"/>
              <w:numPr>
                <w:ilvl w:val="1"/>
                <w:numId w:val="147"/>
              </w:numPr>
              <w:rPr>
                <w:bCs/>
              </w:rPr>
            </w:pPr>
            <w:r w:rsidRPr="00761677">
              <w:rPr>
                <w:bCs/>
              </w:rPr>
              <w:t xml:space="preserve">held the </w:t>
            </w:r>
            <w:hyperlink w:anchor="Board" w:history="1">
              <w:r w:rsidRPr="00761677">
                <w:rPr>
                  <w:rStyle w:val="Hyperlink"/>
                  <w:bCs/>
                </w:rPr>
                <w:t>board</w:t>
              </w:r>
            </w:hyperlink>
            <w:r w:rsidRPr="00761677">
              <w:rPr>
                <w:bCs/>
              </w:rPr>
              <w:t xml:space="preserve"> (governance) and </w:t>
            </w:r>
            <w:hyperlink w:anchor="SeniorAdministrativeLeadership" w:history="1">
              <w:r w:rsidRPr="00761677">
                <w:rPr>
                  <w:rStyle w:val="Hyperlink"/>
                  <w:bCs/>
                </w:rPr>
                <w:t>senior administrative leadership</w:t>
              </w:r>
            </w:hyperlink>
            <w:r w:rsidRPr="00761677">
              <w:rPr>
                <w:bCs/>
              </w:rPr>
              <w:t xml:space="preserve"> accountable for the provision of financial resources to ensure adequate nurse staffing levels.</w:t>
            </w:r>
          </w:p>
        </w:tc>
        <w:tc>
          <w:tcPr>
            <w:tcW w:w="4495" w:type="dxa"/>
            <w:tcBorders>
              <w:top w:val="single" w:sz="4" w:space="0" w:color="auto"/>
            </w:tcBorders>
            <w:vAlign w:val="center"/>
          </w:tcPr>
          <w:p w14:paraId="1EDD9243" w14:textId="77777777" w:rsidR="00C64192" w:rsidRPr="00C8246A" w:rsidRDefault="00C64192" w:rsidP="00AD309C">
            <w:pPr>
              <w:pStyle w:val="ListParagraph"/>
              <w:numPr>
                <w:ilvl w:val="0"/>
                <w:numId w:val="355"/>
              </w:numPr>
              <w:rPr>
                <w:rFonts w:cs="Arial"/>
                <w:iCs/>
                <w:snapToGrid w:val="0"/>
              </w:rPr>
            </w:pPr>
            <w:r w:rsidRPr="00C8246A">
              <w:rPr>
                <w:rFonts w:cs="Arial"/>
                <w:iCs/>
                <w:snapToGrid w:val="0"/>
              </w:rPr>
              <w:t>Yes</w:t>
            </w:r>
          </w:p>
          <w:p w14:paraId="3540C81E" w14:textId="77777777" w:rsidR="00C64192" w:rsidRPr="00C8246A" w:rsidRDefault="00C64192" w:rsidP="00AD309C">
            <w:pPr>
              <w:pStyle w:val="ListParagraph"/>
              <w:numPr>
                <w:ilvl w:val="0"/>
                <w:numId w:val="355"/>
              </w:numPr>
              <w:rPr>
                <w:rFonts w:cs="Arial"/>
                <w:iCs/>
                <w:snapToGrid w:val="0"/>
              </w:rPr>
            </w:pPr>
            <w:r w:rsidRPr="00C8246A">
              <w:rPr>
                <w:rFonts w:cs="Arial"/>
                <w:iCs/>
                <w:snapToGrid w:val="0"/>
              </w:rPr>
              <w:t>No</w:t>
            </w:r>
          </w:p>
        </w:tc>
      </w:tr>
      <w:tr w:rsidR="00C64192" w:rsidRPr="00C645E0" w14:paraId="3FB9791E" w14:textId="77777777" w:rsidTr="00D73F6A">
        <w:trPr>
          <w:trHeight w:val="720"/>
        </w:trPr>
        <w:tc>
          <w:tcPr>
            <w:tcW w:w="4855" w:type="dxa"/>
            <w:vAlign w:val="center"/>
          </w:tcPr>
          <w:p w14:paraId="5C3F6488" w14:textId="77777777" w:rsidR="00C64192" w:rsidRPr="00761677" w:rsidRDefault="00C64192" w:rsidP="00F3455B">
            <w:pPr>
              <w:pStyle w:val="ListParagraph"/>
              <w:numPr>
                <w:ilvl w:val="1"/>
                <w:numId w:val="147"/>
              </w:numPr>
            </w:pPr>
            <w:hyperlink w:anchor="Budget" w:history="1">
              <w:r w:rsidRPr="00761677">
                <w:rPr>
                  <w:rStyle w:val="Hyperlink"/>
                </w:rPr>
                <w:t>budgeted</w:t>
              </w:r>
            </w:hyperlink>
            <w:r w:rsidRPr="00761677">
              <w:t xml:space="preserve"> financial resources for balancing staffing levels and skill levels to improve performance.</w:t>
            </w:r>
          </w:p>
        </w:tc>
        <w:tc>
          <w:tcPr>
            <w:tcW w:w="4495" w:type="dxa"/>
            <w:vAlign w:val="center"/>
          </w:tcPr>
          <w:p w14:paraId="0700AB7F" w14:textId="77777777" w:rsidR="00C64192" w:rsidRPr="00C8246A" w:rsidRDefault="00C64192" w:rsidP="00AD309C">
            <w:pPr>
              <w:pStyle w:val="ListParagraph"/>
              <w:numPr>
                <w:ilvl w:val="0"/>
                <w:numId w:val="355"/>
              </w:numPr>
              <w:rPr>
                <w:rFonts w:cs="Arial"/>
                <w:iCs/>
                <w:snapToGrid w:val="0"/>
              </w:rPr>
            </w:pPr>
            <w:r w:rsidRPr="00C8246A">
              <w:rPr>
                <w:rFonts w:cs="Arial"/>
                <w:iCs/>
                <w:snapToGrid w:val="0"/>
              </w:rPr>
              <w:t>Yes</w:t>
            </w:r>
          </w:p>
          <w:p w14:paraId="3FBFE4CE" w14:textId="77777777" w:rsidR="00C64192" w:rsidRPr="00C8246A" w:rsidRDefault="00C64192" w:rsidP="00AD309C">
            <w:pPr>
              <w:pStyle w:val="ListParagraph"/>
              <w:numPr>
                <w:ilvl w:val="0"/>
                <w:numId w:val="355"/>
              </w:numPr>
              <w:rPr>
                <w:rFonts w:cs="Arial"/>
                <w:iCs/>
                <w:snapToGrid w:val="0"/>
              </w:rPr>
            </w:pPr>
            <w:r w:rsidRPr="00C8246A">
              <w:rPr>
                <w:rFonts w:cs="Arial"/>
                <w:iCs/>
                <w:snapToGrid w:val="0"/>
              </w:rPr>
              <w:t>No</w:t>
            </w:r>
          </w:p>
        </w:tc>
      </w:tr>
      <w:tr w:rsidR="00C64192" w:rsidRPr="00C645E0" w14:paraId="308E2FA1" w14:textId="77777777" w:rsidTr="00D73F6A">
        <w:trPr>
          <w:trHeight w:val="1008"/>
        </w:trPr>
        <w:tc>
          <w:tcPr>
            <w:tcW w:w="4855" w:type="dxa"/>
            <w:vAlign w:val="center"/>
          </w:tcPr>
          <w:p w14:paraId="49685C46" w14:textId="50E080AE" w:rsidR="00C64192" w:rsidRPr="00761677" w:rsidRDefault="00C64192" w:rsidP="00F3455B">
            <w:pPr>
              <w:pStyle w:val="ListParagraph"/>
              <w:numPr>
                <w:ilvl w:val="1"/>
                <w:numId w:val="147"/>
              </w:numPr>
              <w:rPr>
                <w:bCs/>
              </w:rPr>
            </w:pPr>
            <w:r w:rsidRPr="00761677">
              <w:rPr>
                <w:bCs/>
              </w:rPr>
              <w:t xml:space="preserve">developed a </w:t>
            </w:r>
            <w:hyperlink w:anchor="staffingplan_5cfaq" w:history="1">
              <w:r w:rsidRPr="00761677">
                <w:rPr>
                  <w:rStyle w:val="Hyperlink"/>
                  <w:bCs/>
                </w:rPr>
                <w:t>staffing plan</w:t>
              </w:r>
            </w:hyperlink>
            <w:r w:rsidRPr="00761677">
              <w:rPr>
                <w:bCs/>
              </w:rPr>
              <w:t>, with input from nurses, to ensure that adequate nursing staff-to-patient ratios are achieved.</w:t>
            </w:r>
          </w:p>
        </w:tc>
        <w:tc>
          <w:tcPr>
            <w:tcW w:w="4495" w:type="dxa"/>
            <w:vAlign w:val="center"/>
          </w:tcPr>
          <w:p w14:paraId="43A8C43E" w14:textId="77777777" w:rsidR="00C64192" w:rsidRPr="00C8246A" w:rsidRDefault="00C64192" w:rsidP="00AD309C">
            <w:pPr>
              <w:pStyle w:val="ListParagraph"/>
              <w:numPr>
                <w:ilvl w:val="0"/>
                <w:numId w:val="355"/>
              </w:numPr>
              <w:rPr>
                <w:rFonts w:cs="Arial"/>
                <w:iCs/>
                <w:snapToGrid w:val="0"/>
              </w:rPr>
            </w:pPr>
            <w:r w:rsidRPr="00C8246A">
              <w:rPr>
                <w:rFonts w:cs="Arial"/>
                <w:iCs/>
                <w:snapToGrid w:val="0"/>
              </w:rPr>
              <w:t>Yes</w:t>
            </w:r>
          </w:p>
          <w:p w14:paraId="3C7D5E0F" w14:textId="77777777" w:rsidR="00C64192" w:rsidRPr="00C8246A" w:rsidRDefault="00C64192" w:rsidP="00AD309C">
            <w:pPr>
              <w:pStyle w:val="ListParagraph"/>
              <w:numPr>
                <w:ilvl w:val="0"/>
                <w:numId w:val="355"/>
              </w:numPr>
              <w:rPr>
                <w:rFonts w:cs="Arial"/>
                <w:iCs/>
                <w:snapToGrid w:val="0"/>
              </w:rPr>
            </w:pPr>
            <w:r w:rsidRPr="00C8246A">
              <w:rPr>
                <w:rFonts w:cs="Arial"/>
                <w:iCs/>
                <w:snapToGrid w:val="0"/>
              </w:rPr>
              <w:t>No</w:t>
            </w:r>
          </w:p>
        </w:tc>
      </w:tr>
    </w:tbl>
    <w:p w14:paraId="59C60695" w14:textId="77777777" w:rsidR="00C64192" w:rsidRDefault="00C64192" w:rsidP="00C64192"/>
    <w:p w14:paraId="1CF76CD4" w14:textId="77777777" w:rsidR="00C64192" w:rsidRDefault="00C64192" w:rsidP="00C64192"/>
    <w:p w14:paraId="5B16CDAA" w14:textId="77777777" w:rsidR="00C64192" w:rsidRDefault="00C64192" w:rsidP="00C64192"/>
    <w:p w14:paraId="14DCEBFF" w14:textId="77777777" w:rsidR="00C64192" w:rsidRDefault="00C64192" w:rsidP="00C64192"/>
    <w:p w14:paraId="7A564510" w14:textId="77777777" w:rsidR="00C64192" w:rsidRDefault="00C64192" w:rsidP="00C64192"/>
    <w:p w14:paraId="5AA47630" w14:textId="77777777" w:rsidR="00C64192" w:rsidRDefault="00C64192" w:rsidP="00C64192"/>
    <w:p w14:paraId="7257078B" w14:textId="77777777" w:rsidR="00C64192" w:rsidRDefault="00C64192" w:rsidP="00C64192"/>
    <w:p w14:paraId="0FC96638" w14:textId="77777777" w:rsidR="00C64192" w:rsidRDefault="00C64192" w:rsidP="00C64192"/>
    <w:p w14:paraId="3C633C99" w14:textId="77777777" w:rsidR="00C64192" w:rsidRDefault="00C64192" w:rsidP="00C64192"/>
    <w:p w14:paraId="461893A5" w14:textId="77777777" w:rsidR="00C64192" w:rsidRDefault="00C64192" w:rsidP="00C64192"/>
    <w:p w14:paraId="37E50785" w14:textId="619E02DC" w:rsidR="00A267E4" w:rsidRDefault="00A267E4">
      <w:r>
        <w:br w:type="page"/>
      </w:r>
    </w:p>
    <w:p w14:paraId="05E099A0" w14:textId="77777777" w:rsidR="00C64192" w:rsidRDefault="00C64192" w:rsidP="00C64192"/>
    <w:p w14:paraId="685E4657" w14:textId="77777777" w:rsidR="00C64192" w:rsidRDefault="00C64192" w:rsidP="00AB5B80">
      <w:pPr>
        <w:pStyle w:val="Heading3"/>
      </w:pPr>
      <w:bookmarkStart w:id="421" w:name="_Toc225877754"/>
      <w:r>
        <w:t>Percentage of RNs who are BSN-Prepared</w:t>
      </w:r>
      <w:bookmarkEnd w:id="421"/>
    </w:p>
    <w:p w14:paraId="03BD6D52" w14:textId="77777777" w:rsidR="00C64192" w:rsidRDefault="00C64192" w:rsidP="00C64192"/>
    <w:p w14:paraId="1517A3FB" w14:textId="0E078CB0" w:rsidR="00C64192" w:rsidRDefault="00C64192" w:rsidP="00C64192">
      <w:r>
        <w:rPr>
          <w:rFonts w:cs="Arial"/>
          <w:b/>
          <w:snapToGrid w:val="0"/>
        </w:rPr>
        <w:t>Specifications:</w:t>
      </w:r>
      <w:r>
        <w:rPr>
          <w:rFonts w:cs="Arial"/>
          <w:snapToGrid w:val="0"/>
        </w:rPr>
        <w:t xml:space="preserve"> See </w:t>
      </w:r>
      <w:hyperlink w:anchor="bsnspecs" w:history="1">
        <w:r>
          <w:rPr>
            <w:rStyle w:val="Hyperlink"/>
            <w:rFonts w:cs="Arial"/>
            <w:b/>
            <w:i/>
          </w:rPr>
          <w:t>Nursing Workforce Measure Specifications</w:t>
        </w:r>
      </w:hyperlink>
      <w:r>
        <w:rPr>
          <w:rFonts w:cs="Arial"/>
        </w:rPr>
        <w:t xml:space="preserve"> </w:t>
      </w:r>
      <w:r>
        <w:rPr>
          <w:rFonts w:cs="Arial"/>
          <w:snapToGrid w:val="0"/>
        </w:rPr>
        <w:t xml:space="preserve">in the Reference Information </w:t>
      </w:r>
      <w:r>
        <w:rPr>
          <w:rFonts w:cs="Arial"/>
        </w:rPr>
        <w:t xml:space="preserve">beginning on page </w:t>
      </w:r>
      <w:r>
        <w:rPr>
          <w:rFonts w:cs="Arial"/>
        </w:rPr>
        <w:fldChar w:fldCharType="begin"/>
      </w:r>
      <w:r>
        <w:rPr>
          <w:rFonts w:cs="Arial"/>
        </w:rPr>
        <w:instrText xml:space="preserve"> PAGEREF _Ref123647404 \h </w:instrText>
      </w:r>
      <w:r>
        <w:rPr>
          <w:rFonts w:cs="Arial"/>
        </w:rPr>
      </w:r>
      <w:r>
        <w:rPr>
          <w:rFonts w:cs="Arial"/>
        </w:rPr>
        <w:fldChar w:fldCharType="separate"/>
      </w:r>
      <w:r w:rsidR="00923BFC">
        <w:rPr>
          <w:rFonts w:cs="Arial"/>
          <w:noProof/>
        </w:rPr>
        <w:t>208</w:t>
      </w:r>
      <w:r>
        <w:rPr>
          <w:rFonts w:cs="Arial"/>
        </w:rPr>
        <w:fldChar w:fldCharType="end"/>
      </w:r>
      <w:r>
        <w:rPr>
          <w:rFonts w:cs="Arial"/>
        </w:rPr>
        <w:t>.</w:t>
      </w:r>
    </w:p>
    <w:p w14:paraId="46FA88B5" w14:textId="77777777" w:rsidR="00C64192" w:rsidRDefault="00C64192" w:rsidP="00C64192"/>
    <w:p w14:paraId="145B6E42" w14:textId="77777777" w:rsidR="00C64192" w:rsidRPr="002531CE" w:rsidRDefault="00C64192" w:rsidP="00C64192">
      <w:r>
        <w:rPr>
          <w:noProof/>
        </w:rPr>
        <mc:AlternateContent>
          <mc:Choice Requires="wps">
            <w:drawing>
              <wp:inline distT="0" distB="0" distL="0" distR="0" wp14:anchorId="65E506D2" wp14:editId="0234950F">
                <wp:extent cx="5924550" cy="1176793"/>
                <wp:effectExtent l="0" t="0" r="19050" b="23495"/>
                <wp:docPr id="474659784" name="Text Box 474659784" descr="P7807TB24#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1176793"/>
                        </a:xfrm>
                        <a:prstGeom prst="rect">
                          <a:avLst/>
                        </a:prstGeom>
                        <a:solidFill>
                          <a:srgbClr val="FFFFFF"/>
                        </a:solidFill>
                        <a:ln w="9525">
                          <a:solidFill>
                            <a:srgbClr val="FF0000"/>
                          </a:solidFill>
                          <a:miter lim="800000"/>
                          <a:headEnd/>
                          <a:tailEnd/>
                        </a:ln>
                      </wps:spPr>
                      <wps:txbx>
                        <w:txbxContent>
                          <w:p w14:paraId="393A5B01" w14:textId="77777777" w:rsidR="00C64192" w:rsidRDefault="00C64192" w:rsidP="00C64192">
                            <w:pPr>
                              <w:rPr>
                                <w:b/>
                              </w:rPr>
                            </w:pPr>
                            <w:r w:rsidRPr="00DF6A41">
                              <w:rPr>
                                <w:b/>
                              </w:rPr>
                              <w:t>Reporting Period</w:t>
                            </w:r>
                            <w:r>
                              <w:rPr>
                                <w:b/>
                              </w:rPr>
                              <w:t>: 12 months</w:t>
                            </w:r>
                          </w:p>
                          <w:p w14:paraId="0EC1FE92" w14:textId="642A357F" w:rsidR="00C64192" w:rsidRDefault="00C64192" w:rsidP="00C64192">
                            <w:r>
                              <w:t>Answer questions #1</w:t>
                            </w:r>
                            <w:r w:rsidR="002A1A0B">
                              <w:t>7</w:t>
                            </w:r>
                            <w:r>
                              <w:t>-</w:t>
                            </w:r>
                            <w:r w:rsidR="002A1A0B">
                              <w:t>19</w:t>
                            </w:r>
                            <w:r>
                              <w:t xml:space="preserve"> based on the most recent day within the last 12-months for which you have complete data.</w:t>
                            </w:r>
                          </w:p>
                          <w:p w14:paraId="434FEC46" w14:textId="77777777" w:rsidR="00C64192" w:rsidRPr="00D8052E" w:rsidRDefault="00C64192" w:rsidP="00C64192">
                            <w:pPr>
                              <w:rPr>
                                <w:bCs/>
                              </w:rPr>
                            </w:pPr>
                          </w:p>
                          <w:p w14:paraId="6C280CF9" w14:textId="77777777" w:rsidR="00C64192" w:rsidRPr="00D20A90" w:rsidRDefault="00C64192" w:rsidP="00C64192">
                            <w:pPr>
                              <w:rPr>
                                <w:b/>
                              </w:rPr>
                            </w:pPr>
                            <w:r w:rsidRPr="006547C0">
                              <w:rPr>
                                <w:rFonts w:cs="Arial"/>
                                <w:sz w:val="16"/>
                                <w:szCs w:val="16"/>
                              </w:rPr>
                              <w:t xml:space="preserve">Note: As a reminder, the </w:t>
                            </w:r>
                            <w:hyperlink r:id="rId334" w:history="1">
                              <w:r w:rsidRPr="006547C0">
                                <w:rPr>
                                  <w:rStyle w:val="Hyperlink"/>
                                  <w:rFonts w:cs="Arial"/>
                                  <w:sz w:val="16"/>
                                  <w:szCs w:val="16"/>
                                </w:rPr>
                                <w:t>Corrections Period</w:t>
                              </w:r>
                            </w:hyperlink>
                            <w:r w:rsidRPr="006547C0">
                              <w:rPr>
                                <w:rFonts w:cs="Arial"/>
                                <w:sz w:val="16"/>
                                <w:szCs w:val="16"/>
                              </w:rPr>
                              <w:t xml:space="preserve"> </w:t>
                            </w:r>
                            <w:r>
                              <w:rPr>
                                <w:rFonts w:cs="Arial"/>
                                <w:sz w:val="16"/>
                                <w:szCs w:val="16"/>
                              </w:rPr>
                              <w:t>(December</w:t>
                            </w:r>
                            <w:r w:rsidRPr="00E65E68">
                              <w:rPr>
                                <w:rFonts w:cs="Arial"/>
                                <w:sz w:val="16"/>
                                <w:szCs w:val="16"/>
                              </w:rPr>
                              <w:t xml:space="preserve"> 1-January 31) is reserved for corrections to previously submitted Surveys only. </w:t>
                            </w:r>
                            <w:r w:rsidRPr="00E65E68">
                              <w:rPr>
                                <w:rFonts w:cs="Arial"/>
                                <w:bCs/>
                                <w:snapToGrid w:val="0"/>
                                <w:sz w:val="16"/>
                                <w:szCs w:val="16"/>
                              </w:rPr>
                              <w:t xml:space="preserve">Any updates made to reflect a change in performance must be made prior to the </w:t>
                            </w:r>
                            <w:r>
                              <w:rPr>
                                <w:rFonts w:cs="Arial"/>
                                <w:bCs/>
                                <w:snapToGrid w:val="0"/>
                                <w:sz w:val="16"/>
                                <w:szCs w:val="16"/>
                              </w:rPr>
                              <w:t>November 30</w:t>
                            </w:r>
                            <w:r w:rsidRPr="00E65E68">
                              <w:rPr>
                                <w:rFonts w:cs="Arial"/>
                                <w:bCs/>
                                <w:snapToGrid w:val="0"/>
                                <w:sz w:val="16"/>
                                <w:szCs w:val="16"/>
                              </w:rPr>
                              <w:t xml:space="preserve"> Late Submission </w:t>
                            </w:r>
                            <w:r>
                              <w:rPr>
                                <w:rFonts w:cs="Arial"/>
                                <w:bCs/>
                                <w:snapToGrid w:val="0"/>
                                <w:sz w:val="16"/>
                                <w:szCs w:val="16"/>
                              </w:rPr>
                              <w:t xml:space="preserve">and Performance Update </w:t>
                            </w:r>
                            <w:r w:rsidRPr="00E65E68">
                              <w:rPr>
                                <w:rFonts w:cs="Arial"/>
                                <w:bCs/>
                                <w:snapToGrid w:val="0"/>
                                <w:sz w:val="16"/>
                                <w:szCs w:val="16"/>
                              </w:rPr>
                              <w:t xml:space="preserve">Deadline. Updates made to reflect a change in performance after </w:t>
                            </w:r>
                            <w:r>
                              <w:rPr>
                                <w:rFonts w:cs="Arial"/>
                                <w:bCs/>
                                <w:snapToGrid w:val="0"/>
                                <w:sz w:val="16"/>
                                <w:szCs w:val="16"/>
                              </w:rPr>
                              <w:t>November 30</w:t>
                            </w:r>
                            <w:r w:rsidRPr="00E65E68">
                              <w:rPr>
                                <w:rFonts w:cs="Arial"/>
                                <w:bCs/>
                                <w:snapToGrid w:val="0"/>
                                <w:sz w:val="16"/>
                                <w:szCs w:val="16"/>
                              </w:rPr>
                              <w:t xml:space="preserve"> will not be scored or publicly reported.</w:t>
                            </w:r>
                          </w:p>
                        </w:txbxContent>
                      </wps:txbx>
                      <wps:bodyPr rot="0" vert="horz" wrap="square" lIns="91440" tIns="45720" rIns="91440" bIns="45720" anchor="t" anchorCtr="0">
                        <a:noAutofit/>
                      </wps:bodyPr>
                    </wps:wsp>
                  </a:graphicData>
                </a:graphic>
              </wp:inline>
            </w:drawing>
          </mc:Choice>
          <mc:Fallback>
            <w:pict>
              <v:shape w14:anchorId="65E506D2" id="Text Box 474659784" o:spid="_x0000_s1051" type="#_x0000_t202" alt="P7807TB24#y1" style="width:466.5pt;height:92.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" strokecolor="red">
                <v:textbox>
                  <w:txbxContent>
                    <w:p w14:paraId="393A5B01" w14:textId="77777777" w:rsidR="00C64192" w:rsidRDefault="00C64192" w:rsidP="00C64192">
                      <w:pPr>
                        <w:rPr>
                          <w:b/>
                        </w:rPr>
                      </w:pPr>
                      <w:r w:rsidRPr="00DF6A41">
                        <w:rPr>
                          <w:b/>
                        </w:rPr>
                        <w:t>Reporting Period</w:t>
                      </w:r>
                      <w:r>
                        <w:rPr>
                          <w:b/>
                        </w:rPr>
                        <w:t>: 12 months</w:t>
                      </w:r>
                    </w:p>
                    <w:p w14:paraId="0EC1FE92" w14:textId="642A357F" w:rsidR="00C64192" w:rsidRDefault="00C64192" w:rsidP="00C64192">
                      <w:r>
                        <w:t>Answer questions #1</w:t>
                      </w:r>
                      <w:r w:rsidR="002A1A0B">
                        <w:t>7</w:t>
                      </w:r>
                      <w:r>
                        <w:t>-</w:t>
                      </w:r>
                      <w:r w:rsidR="002A1A0B">
                        <w:t>19</w:t>
                      </w:r>
                      <w:r>
                        <w:t xml:space="preserve"> based on the most recent day within the last </w:t>
                      </w:r>
                      <w:proofErr w:type="gramStart"/>
                      <w:r>
                        <w:t>12-months</w:t>
                      </w:r>
                      <w:proofErr w:type="gramEnd"/>
                      <w:r>
                        <w:t xml:space="preserve"> for which you have complete data.</w:t>
                      </w:r>
                    </w:p>
                    <w:p w14:paraId="434FEC46" w14:textId="77777777" w:rsidR="00C64192" w:rsidRPr="00D8052E" w:rsidRDefault="00C64192" w:rsidP="00C64192">
                      <w:pPr>
                        <w:rPr>
                          <w:bCs/>
                        </w:rPr>
                      </w:pPr>
                    </w:p>
                    <w:p w14:paraId="6C280CF9" w14:textId="77777777" w:rsidR="00C64192" w:rsidRPr="00D20A90" w:rsidRDefault="00C64192" w:rsidP="00C64192">
                      <w:pPr>
                        <w:rPr>
                          <w:b/>
                        </w:rPr>
                      </w:pPr>
                      <w:r w:rsidRPr="006547C0">
                        <w:rPr>
                          <w:rFonts w:cs="Arial"/>
                          <w:sz w:val="16"/>
                          <w:szCs w:val="16"/>
                        </w:rPr>
                        <w:t xml:space="preserve">Note: As a reminder, the </w:t>
                      </w:r>
                      <w:hyperlink r:id="rId335" w:history="1">
                        <w:r w:rsidRPr="006547C0">
                          <w:rPr>
                            <w:rStyle w:val="Hyperlink"/>
                            <w:rFonts w:cs="Arial"/>
                            <w:sz w:val="16"/>
                            <w:szCs w:val="16"/>
                          </w:rPr>
                          <w:t>Corrections Period</w:t>
                        </w:r>
                      </w:hyperlink>
                      <w:r w:rsidRPr="006547C0">
                        <w:rPr>
                          <w:rFonts w:cs="Arial"/>
                          <w:sz w:val="16"/>
                          <w:szCs w:val="16"/>
                        </w:rPr>
                        <w:t xml:space="preserve"> </w:t>
                      </w:r>
                      <w:r>
                        <w:rPr>
                          <w:rFonts w:cs="Arial"/>
                          <w:sz w:val="16"/>
                          <w:szCs w:val="16"/>
                        </w:rPr>
                        <w:t>(December</w:t>
                      </w:r>
                      <w:r w:rsidRPr="00E65E68">
                        <w:rPr>
                          <w:rFonts w:cs="Arial"/>
                          <w:sz w:val="16"/>
                          <w:szCs w:val="16"/>
                        </w:rPr>
                        <w:t xml:space="preserve"> 1-January 31) is reserved for corrections to previously submitted Surveys only. </w:t>
                      </w:r>
                      <w:r w:rsidRPr="00E65E68">
                        <w:rPr>
                          <w:rFonts w:cs="Arial"/>
                          <w:bCs/>
                          <w:snapToGrid w:val="0"/>
                          <w:sz w:val="16"/>
                          <w:szCs w:val="16"/>
                        </w:rPr>
                        <w:t xml:space="preserve">Any updates made to reflect a change in performance must be made prior to the </w:t>
                      </w:r>
                      <w:r>
                        <w:rPr>
                          <w:rFonts w:cs="Arial"/>
                          <w:bCs/>
                          <w:snapToGrid w:val="0"/>
                          <w:sz w:val="16"/>
                          <w:szCs w:val="16"/>
                        </w:rPr>
                        <w:t>November 30</w:t>
                      </w:r>
                      <w:r w:rsidRPr="00E65E68">
                        <w:rPr>
                          <w:rFonts w:cs="Arial"/>
                          <w:bCs/>
                          <w:snapToGrid w:val="0"/>
                          <w:sz w:val="16"/>
                          <w:szCs w:val="16"/>
                        </w:rPr>
                        <w:t xml:space="preserve"> Late Submission </w:t>
                      </w:r>
                      <w:r>
                        <w:rPr>
                          <w:rFonts w:cs="Arial"/>
                          <w:bCs/>
                          <w:snapToGrid w:val="0"/>
                          <w:sz w:val="16"/>
                          <w:szCs w:val="16"/>
                        </w:rPr>
                        <w:t xml:space="preserve">and Performance Update </w:t>
                      </w:r>
                      <w:r w:rsidRPr="00E65E68">
                        <w:rPr>
                          <w:rFonts w:cs="Arial"/>
                          <w:bCs/>
                          <w:snapToGrid w:val="0"/>
                          <w:sz w:val="16"/>
                          <w:szCs w:val="16"/>
                        </w:rPr>
                        <w:t xml:space="preserve">Deadline. Updates made to reflect a change in performance after </w:t>
                      </w:r>
                      <w:r>
                        <w:rPr>
                          <w:rFonts w:cs="Arial"/>
                          <w:bCs/>
                          <w:snapToGrid w:val="0"/>
                          <w:sz w:val="16"/>
                          <w:szCs w:val="16"/>
                        </w:rPr>
                        <w:t>November 30</w:t>
                      </w:r>
                      <w:r w:rsidRPr="00E65E68">
                        <w:rPr>
                          <w:rFonts w:cs="Arial"/>
                          <w:bCs/>
                          <w:snapToGrid w:val="0"/>
                          <w:sz w:val="16"/>
                          <w:szCs w:val="16"/>
                        </w:rPr>
                        <w:t xml:space="preserve"> will not be scored or publicly reported.</w:t>
                      </w:r>
                    </w:p>
                  </w:txbxContent>
                </v:textbox>
                <w10:anchorlock/>
              </v:shape>
            </w:pict>
          </mc:Fallback>
        </mc:AlternateContent>
      </w:r>
      <w:r>
        <w:br/>
      </w:r>
    </w:p>
    <w:tbl>
      <w:tblPr>
        <w:tblStyle w:val="TableGrid"/>
        <w:tblW w:w="0" w:type="auto"/>
        <w:tblLook w:val="04A0" w:firstRow="1" w:lastRow="0" w:firstColumn="1" w:lastColumn="0" w:noHBand="0" w:noVBand="1"/>
      </w:tblPr>
      <w:tblGrid>
        <w:gridCol w:w="6115"/>
        <w:gridCol w:w="3235"/>
      </w:tblGrid>
      <w:tr w:rsidR="00C64192" w:rsidRPr="00660D6C" w14:paraId="7CB5EA30" w14:textId="77777777" w:rsidTr="00D73F6A">
        <w:trPr>
          <w:trHeight w:val="864"/>
        </w:trPr>
        <w:tc>
          <w:tcPr>
            <w:tcW w:w="6115" w:type="dxa"/>
            <w:vAlign w:val="center"/>
          </w:tcPr>
          <w:p w14:paraId="12A1A00A" w14:textId="0FD35E01" w:rsidR="00C64192" w:rsidRPr="001A0CD3" w:rsidRDefault="00C64192" w:rsidP="00FE2B16">
            <w:pPr>
              <w:pStyle w:val="ListParagraph"/>
              <w:numPr>
                <w:ilvl w:val="0"/>
                <w:numId w:val="147"/>
              </w:numPr>
              <w:rPr>
                <w:rFonts w:cstheme="minorHAnsi"/>
              </w:rPr>
            </w:pPr>
            <w:r w:rsidRPr="001A0CD3">
              <w:rPr>
                <w:rFonts w:cstheme="minorHAnsi"/>
              </w:rPr>
              <w:t>Did your hospital calculate the Percentage of RNs who are BSN-Prepared measure for the reporting period, and do you choose to report those data to this Survey?</w:t>
            </w:r>
          </w:p>
          <w:p w14:paraId="5D854CBD" w14:textId="77777777" w:rsidR="00C64192" w:rsidRDefault="00C64192" w:rsidP="00D73F6A">
            <w:pPr>
              <w:pStyle w:val="ListParagraph"/>
              <w:ind w:left="360"/>
              <w:rPr>
                <w:rFonts w:cs="Arial"/>
              </w:rPr>
            </w:pPr>
          </w:p>
          <w:p w14:paraId="5DDDD5D6" w14:textId="5ED5615F" w:rsidR="00C64192" w:rsidRPr="0078478A" w:rsidRDefault="00C64192" w:rsidP="00D73F6A">
            <w:pPr>
              <w:pStyle w:val="ListParagraph"/>
              <w:ind w:left="360"/>
              <w:rPr>
                <w:rFonts w:cs="Arial"/>
              </w:rPr>
            </w:pPr>
            <w:r w:rsidRPr="00F3183F">
              <w:rPr>
                <w:i/>
                <w:iCs/>
              </w:rPr>
              <w:t>If “no”</w:t>
            </w:r>
            <w:r>
              <w:rPr>
                <w:i/>
                <w:iCs/>
              </w:rPr>
              <w:t xml:space="preserve"> to question #17</w:t>
            </w:r>
            <w:r w:rsidRPr="00F3183F">
              <w:rPr>
                <w:i/>
                <w:iCs/>
              </w:rPr>
              <w:t xml:space="preserve">, skip </w:t>
            </w:r>
            <w:r w:rsidR="0038382F">
              <w:rPr>
                <w:i/>
                <w:iCs/>
              </w:rPr>
              <w:t xml:space="preserve">the remaining </w:t>
            </w:r>
            <w:r w:rsidRPr="00F3183F">
              <w:rPr>
                <w:i/>
                <w:iCs/>
              </w:rPr>
              <w:t>question</w:t>
            </w:r>
            <w:r>
              <w:rPr>
                <w:i/>
                <w:iCs/>
              </w:rPr>
              <w:t xml:space="preserve">s </w:t>
            </w:r>
            <w:r w:rsidR="0038382F">
              <w:rPr>
                <w:i/>
                <w:iCs/>
              </w:rPr>
              <w:t>in Section 5C</w:t>
            </w:r>
            <w:r w:rsidR="00CA0573">
              <w:rPr>
                <w:i/>
                <w:iCs/>
              </w:rPr>
              <w:t xml:space="preserve"> and go to the Affirmation of Accuracy. </w:t>
            </w:r>
            <w:r w:rsidRPr="00127403">
              <w:rPr>
                <w:rFonts w:cs="Arial"/>
                <w:i/>
              </w:rPr>
              <w:t>The hospital will be scored as “</w:t>
            </w:r>
            <w:r w:rsidR="008B0B03">
              <w:rPr>
                <w:rFonts w:cs="Arial"/>
                <w:i/>
              </w:rPr>
              <w:t>Did Not Measure</w:t>
            </w:r>
            <w:r w:rsidRPr="00127403">
              <w:rPr>
                <w:rFonts w:cs="Arial"/>
                <w:i/>
              </w:rPr>
              <w:t>.”</w:t>
            </w:r>
          </w:p>
        </w:tc>
        <w:tc>
          <w:tcPr>
            <w:tcW w:w="3235" w:type="dxa"/>
            <w:vAlign w:val="center"/>
          </w:tcPr>
          <w:p w14:paraId="22615127" w14:textId="77777777" w:rsidR="00C64192" w:rsidRPr="00A0211B" w:rsidRDefault="00C64192" w:rsidP="00AD309C">
            <w:pPr>
              <w:pStyle w:val="ListParagraph"/>
              <w:numPr>
                <w:ilvl w:val="0"/>
                <w:numId w:val="357"/>
              </w:numPr>
              <w:rPr>
                <w:rFonts w:cs="Arial"/>
                <w:iCs/>
              </w:rPr>
            </w:pPr>
            <w:r w:rsidRPr="00A0211B">
              <w:rPr>
                <w:rFonts w:cs="Arial"/>
                <w:iCs/>
              </w:rPr>
              <w:t>Yes</w:t>
            </w:r>
          </w:p>
          <w:p w14:paraId="0A7319EA" w14:textId="77777777" w:rsidR="00C64192" w:rsidRPr="004B1BBF" w:rsidRDefault="00C64192" w:rsidP="00AD309C">
            <w:pPr>
              <w:pStyle w:val="ListParagraph"/>
              <w:numPr>
                <w:ilvl w:val="0"/>
                <w:numId w:val="357"/>
              </w:numPr>
              <w:rPr>
                <w:rFonts w:cs="Arial"/>
                <w:i/>
              </w:rPr>
            </w:pPr>
            <w:r w:rsidRPr="00A0211B">
              <w:rPr>
                <w:rFonts w:cs="Arial"/>
                <w:iCs/>
              </w:rPr>
              <w:t>No</w:t>
            </w:r>
          </w:p>
        </w:tc>
      </w:tr>
      <w:tr w:rsidR="00C64192" w:rsidRPr="00C645E0" w14:paraId="4854181C" w14:textId="77777777" w:rsidTr="00D73F6A">
        <w:trPr>
          <w:trHeight w:val="20"/>
        </w:trPr>
        <w:tc>
          <w:tcPr>
            <w:tcW w:w="6115" w:type="dxa"/>
            <w:vAlign w:val="center"/>
          </w:tcPr>
          <w:p w14:paraId="69E63EE0" w14:textId="77777777" w:rsidR="00C64192" w:rsidRPr="00C645E0" w:rsidRDefault="00C64192" w:rsidP="00FE2B16">
            <w:pPr>
              <w:numPr>
                <w:ilvl w:val="0"/>
                <w:numId w:val="147"/>
              </w:numPr>
            </w:pPr>
            <w:r w:rsidRPr="00AA36B7">
              <w:rPr>
                <w:rFonts w:cstheme="minorHAnsi"/>
              </w:rPr>
              <w:t xml:space="preserve">Total number </w:t>
            </w:r>
            <w:r>
              <w:rPr>
                <w:rFonts w:cstheme="minorHAnsi"/>
              </w:rPr>
              <w:t>of employed RN nursing staff</w:t>
            </w:r>
            <w:r w:rsidRPr="00AA36B7">
              <w:rPr>
                <w:rFonts w:cstheme="minorHAnsi"/>
              </w:rPr>
              <w:t xml:space="preserve"> at the </w:t>
            </w:r>
            <w:r>
              <w:rPr>
                <w:rFonts w:cstheme="minorHAnsi"/>
              </w:rPr>
              <w:t xml:space="preserve">hospital </w:t>
            </w:r>
            <w:r w:rsidRPr="00AA36B7">
              <w:rPr>
                <w:rFonts w:cstheme="minorHAnsi"/>
              </w:rPr>
              <w:t>with direct patient care responsibilities</w:t>
            </w:r>
            <w:r>
              <w:rPr>
                <w:rFonts w:cstheme="minorHAnsi"/>
              </w:rPr>
              <w:t>:</w:t>
            </w:r>
          </w:p>
        </w:tc>
        <w:tc>
          <w:tcPr>
            <w:tcW w:w="3235" w:type="dxa"/>
            <w:vAlign w:val="center"/>
          </w:tcPr>
          <w:p w14:paraId="410718ED" w14:textId="77777777" w:rsidR="00C64192" w:rsidRPr="00C645E0" w:rsidRDefault="00C64192" w:rsidP="00D73F6A">
            <w:pPr>
              <w:jc w:val="center"/>
              <w:rPr>
                <w:i/>
              </w:rPr>
            </w:pPr>
            <w:r w:rsidRPr="009A5185">
              <w:rPr>
                <w:rFonts w:cs="Arial"/>
                <w:i/>
                <w:snapToGrid w:val="0"/>
              </w:rPr>
              <w:t>______</w:t>
            </w:r>
          </w:p>
        </w:tc>
      </w:tr>
      <w:tr w:rsidR="00C64192" w:rsidRPr="00C645E0" w14:paraId="256A3F2B" w14:textId="77777777" w:rsidTr="00D73F6A">
        <w:trPr>
          <w:trHeight w:val="20"/>
        </w:trPr>
        <w:tc>
          <w:tcPr>
            <w:tcW w:w="6115" w:type="dxa"/>
            <w:vAlign w:val="center"/>
          </w:tcPr>
          <w:p w14:paraId="5D2DC61C" w14:textId="77777777" w:rsidR="00C64192" w:rsidRPr="00C645E0" w:rsidRDefault="00C64192" w:rsidP="00FE2B16">
            <w:pPr>
              <w:numPr>
                <w:ilvl w:val="0"/>
                <w:numId w:val="147"/>
              </w:numPr>
            </w:pPr>
            <w:r w:rsidRPr="00AA36B7">
              <w:rPr>
                <w:rFonts w:cstheme="minorHAnsi"/>
              </w:rPr>
              <w:t>Total number of</w:t>
            </w:r>
            <w:r>
              <w:rPr>
                <w:rFonts w:cstheme="minorHAnsi"/>
              </w:rPr>
              <w:t xml:space="preserve"> employed RN nursing staff</w:t>
            </w:r>
            <w:r w:rsidRPr="00AA36B7">
              <w:rPr>
                <w:rFonts w:cstheme="minorHAnsi"/>
              </w:rPr>
              <w:t xml:space="preserve"> at the </w:t>
            </w:r>
            <w:r>
              <w:rPr>
                <w:rFonts w:cstheme="minorHAnsi"/>
              </w:rPr>
              <w:t xml:space="preserve">hospital </w:t>
            </w:r>
            <w:r w:rsidRPr="00AA36B7">
              <w:rPr>
                <w:rFonts w:cstheme="minorHAnsi"/>
              </w:rPr>
              <w:t xml:space="preserve">with direct patient care responsibilities </w:t>
            </w:r>
            <w:r>
              <w:rPr>
                <w:rFonts w:cstheme="minorHAnsi"/>
              </w:rPr>
              <w:t>who</w:t>
            </w:r>
            <w:r w:rsidRPr="00AA36B7">
              <w:rPr>
                <w:rFonts w:cstheme="minorHAnsi"/>
              </w:rPr>
              <w:t xml:space="preserve"> have a BSN degree or higher (e.g., MSN, DNP</w:t>
            </w:r>
            <w:r>
              <w:rPr>
                <w:rFonts w:cstheme="minorHAnsi"/>
              </w:rPr>
              <w:t>, PhD</w:t>
            </w:r>
            <w:r w:rsidRPr="00AA36B7">
              <w:rPr>
                <w:rFonts w:cstheme="minorHAnsi"/>
              </w:rPr>
              <w:t>)</w:t>
            </w:r>
            <w:r>
              <w:rPr>
                <w:rFonts w:cstheme="minorHAnsi"/>
              </w:rPr>
              <w:t>:</w:t>
            </w:r>
          </w:p>
        </w:tc>
        <w:tc>
          <w:tcPr>
            <w:tcW w:w="3235" w:type="dxa"/>
            <w:vAlign w:val="center"/>
          </w:tcPr>
          <w:p w14:paraId="4015F524" w14:textId="77777777" w:rsidR="00C64192" w:rsidRPr="00C645E0" w:rsidRDefault="00C64192" w:rsidP="00D73F6A">
            <w:pPr>
              <w:jc w:val="center"/>
              <w:rPr>
                <w:i/>
              </w:rPr>
            </w:pPr>
            <w:r w:rsidRPr="009A5185">
              <w:rPr>
                <w:rFonts w:cs="Arial"/>
                <w:i/>
                <w:snapToGrid w:val="0"/>
              </w:rPr>
              <w:t>______</w:t>
            </w:r>
          </w:p>
        </w:tc>
      </w:tr>
    </w:tbl>
    <w:p w14:paraId="2006187B" w14:textId="77777777" w:rsidR="00C64192" w:rsidRDefault="00C64192" w:rsidP="00C64192">
      <w:pPr>
        <w:rPr>
          <w:b/>
          <w:snapToGrid w:val="0"/>
          <w:sz w:val="28"/>
          <w:szCs w:val="24"/>
          <w:u w:val="single"/>
          <w:lang w:eastAsia="ja-JP"/>
        </w:rPr>
      </w:pPr>
    </w:p>
    <w:p w14:paraId="39EE3CF1" w14:textId="282B49CF" w:rsidR="003E5C29" w:rsidRPr="009A5185" w:rsidRDefault="00C64192">
      <w:pPr>
        <w:rPr>
          <w:rFonts w:cs="Arial"/>
          <w:b/>
          <w:snapToGrid w:val="0"/>
          <w:color w:val="000000"/>
        </w:rPr>
      </w:pPr>
      <w:r>
        <w:br w:type="page"/>
      </w:r>
    </w:p>
    <w:p w14:paraId="7227743D" w14:textId="77777777" w:rsidR="008910AA" w:rsidRPr="009A5185" w:rsidRDefault="008910AA">
      <w:pPr>
        <w:rPr>
          <w:rFonts w:cs="Arial"/>
          <w:b/>
          <w:snapToGrid w:val="0"/>
          <w:color w:val="000000"/>
        </w:rPr>
      </w:pPr>
      <w:r w:rsidRPr="009A5185">
        <w:rPr>
          <w:rFonts w:cs="Arial"/>
          <w:b/>
          <w:snapToGrid w:val="0"/>
          <w:color w:val="000000"/>
        </w:rPr>
        <w:t>Affirmation of Accuracy:</w:t>
      </w:r>
    </w:p>
    <w:p w14:paraId="6EA32C30" w14:textId="77777777" w:rsidR="008910AA" w:rsidRPr="009A5185" w:rsidRDefault="008910AA">
      <w:pPr>
        <w:rPr>
          <w:rFonts w:cs="Arial"/>
          <w:snapToGrid w:val="0"/>
          <w:color w:val="000000"/>
        </w:rPr>
      </w:pPr>
    </w:p>
    <w:p w14:paraId="04E31A2A" w14:textId="7E3820CD" w:rsidR="001871E9" w:rsidRPr="009A5185" w:rsidRDefault="001871E9" w:rsidP="001871E9">
      <w:pPr>
        <w:rPr>
          <w:rFonts w:cs="Arial"/>
          <w:color w:val="000000"/>
        </w:rPr>
      </w:pPr>
      <w:r w:rsidRPr="009A5185">
        <w:rPr>
          <w:rFonts w:cs="Arial"/>
          <w:color w:val="000000"/>
        </w:rPr>
        <w:t xml:space="preserve">As the hospital CEO or as an employee of the hospital to whom the hospital CEO has delegated responsibility, I have reviewed this information pertaining to the </w:t>
      </w:r>
      <w:r w:rsidR="00A52909">
        <w:rPr>
          <w:rFonts w:cs="Arial"/>
          <w:color w:val="000000"/>
        </w:rPr>
        <w:t xml:space="preserve">Physician and Nurse </w:t>
      </w:r>
      <w:r w:rsidRPr="009A5185">
        <w:rPr>
          <w:rFonts w:cs="Arial"/>
          <w:color w:val="000000"/>
        </w:rPr>
        <w:t xml:space="preserve">Staffing Section at our hospital, and I hereby </w:t>
      </w:r>
      <w:r w:rsidR="00564519">
        <w:rPr>
          <w:rFonts w:cs="Arial"/>
          <w:color w:val="000000"/>
        </w:rPr>
        <w:t>affirm</w:t>
      </w:r>
      <w:r w:rsidRPr="009A5185">
        <w:rPr>
          <w:rFonts w:cs="Arial"/>
          <w:color w:val="000000"/>
        </w:rPr>
        <w:t xml:space="preserve"> that this information is true, accurate, and reflect</w:t>
      </w:r>
      <w:r w:rsidR="00B7608D" w:rsidRPr="009A5185">
        <w:rPr>
          <w:rFonts w:cs="Arial"/>
          <w:color w:val="000000"/>
        </w:rPr>
        <w:t>s</w:t>
      </w:r>
      <w:r w:rsidRPr="009A5185">
        <w:rPr>
          <w:rFonts w:cs="Arial"/>
          <w:color w:val="000000"/>
        </w:rPr>
        <w:t xml:space="preserve"> the current, normal operating circumstances at our hospital. I am authorized to make this </w:t>
      </w:r>
      <w:r w:rsidR="00564519">
        <w:rPr>
          <w:rFonts w:cs="Arial"/>
          <w:color w:val="000000"/>
        </w:rPr>
        <w:t xml:space="preserve">affirmation </w:t>
      </w:r>
      <w:r w:rsidRPr="009A5185">
        <w:rPr>
          <w:rFonts w:cs="Arial"/>
          <w:color w:val="000000"/>
        </w:rPr>
        <w:t xml:space="preserve">on behalf of our hospital. </w:t>
      </w:r>
    </w:p>
    <w:p w14:paraId="176F5FF4" w14:textId="77777777" w:rsidR="001871E9" w:rsidRPr="009A5185" w:rsidRDefault="001871E9" w:rsidP="001871E9">
      <w:pPr>
        <w:rPr>
          <w:rFonts w:cs="Arial"/>
          <w:color w:val="000000"/>
        </w:rPr>
      </w:pPr>
    </w:p>
    <w:p w14:paraId="4D3634F9" w14:textId="41AECF82" w:rsidR="008910AA" w:rsidRDefault="00B01F4D">
      <w:pPr>
        <w:rPr>
          <w:rFonts w:cs="Arial"/>
          <w:sz w:val="22"/>
          <w:szCs w:val="22"/>
        </w:rPr>
      </w:pPr>
      <w:r w:rsidRPr="009A5185">
        <w:rPr>
          <w:rFonts w:cs="Arial"/>
        </w:rPr>
        <w:t xml:space="preserve">The </w:t>
      </w:r>
      <w:r w:rsidRPr="00534EFC">
        <w:rPr>
          <w:rFonts w:cs="Arial"/>
        </w:rPr>
        <w:t xml:space="preserve">hospital and I </w:t>
      </w:r>
      <w:r>
        <w:rPr>
          <w:rFonts w:cs="Arial"/>
        </w:rPr>
        <w:t>acknowledge</w:t>
      </w:r>
      <w:r w:rsidRPr="00534EFC">
        <w:rPr>
          <w:rFonts w:cs="Arial"/>
        </w:rPr>
        <w:t xml:space="preserve"> that The Leapfrog Group, its members, the public and entities and persons who contract or have other business dealings with The Leapfrog Group are relying on the truth and accuracy of this information. The hospital and I also </w:t>
      </w:r>
      <w:r>
        <w:rPr>
          <w:rFonts w:cs="Arial"/>
        </w:rPr>
        <w:t>acknowledge</w:t>
      </w:r>
      <w:r w:rsidRPr="00534EFC">
        <w:rPr>
          <w:rFonts w:cs="Arial"/>
        </w:rPr>
        <w:t xml:space="preserve"> that </w:t>
      </w:r>
      <w:r>
        <w:rPr>
          <w:rFonts w:cs="Arial"/>
        </w:rPr>
        <w:t xml:space="preserve">analyses and ratings </w:t>
      </w:r>
      <w:r w:rsidRPr="00534EFC">
        <w:rPr>
          <w:rFonts w:cs="Arial"/>
        </w:rPr>
        <w:t>The Leapfrog Group</w:t>
      </w:r>
      <w:r>
        <w:rPr>
          <w:rFonts w:cs="Arial"/>
        </w:rPr>
        <w:t xml:space="preserve"> derives from</w:t>
      </w:r>
      <w:r w:rsidRPr="00534EFC">
        <w:rPr>
          <w:rFonts w:cs="Arial"/>
        </w:rPr>
        <w:t xml:space="preserve"> this information</w:t>
      </w:r>
      <w:r>
        <w:rPr>
          <w:rFonts w:cs="Arial"/>
        </w:rPr>
        <w:t xml:space="preserve"> will be made public on</w:t>
      </w:r>
      <w:r w:rsidRPr="00534EFC">
        <w:rPr>
          <w:rFonts w:cs="Arial"/>
        </w:rPr>
        <w:t xml:space="preserve"> the Survey Results public reporting website, The Leapfrog Group’s Hospital Safety Grade</w:t>
      </w:r>
      <w:r>
        <w:rPr>
          <w:rFonts w:cs="Arial"/>
        </w:rPr>
        <w:t xml:space="preserve"> website</w:t>
      </w:r>
      <w:r w:rsidRPr="00534EFC">
        <w:rPr>
          <w:rFonts w:cs="Arial"/>
        </w:rPr>
        <w:t xml:space="preserve">, and/or other Leapfrog Group </w:t>
      </w:r>
      <w:r>
        <w:rPr>
          <w:rFonts w:cs="Arial"/>
        </w:rPr>
        <w:t xml:space="preserve">published works, </w:t>
      </w:r>
      <w:r w:rsidRPr="00534EFC">
        <w:rPr>
          <w:rFonts w:cs="Arial"/>
        </w:rPr>
        <w:t xml:space="preserve">products and services. </w:t>
      </w:r>
      <w:r>
        <w:rPr>
          <w:rFonts w:cs="Arial"/>
        </w:rPr>
        <w:t>The hospital and I acknowledge that analyses and ratings derived from t</w:t>
      </w:r>
      <w:r w:rsidRPr="00534EFC">
        <w:rPr>
          <w:rFonts w:cs="Arial"/>
        </w:rPr>
        <w:t>his information and all intellectual property rights</w:t>
      </w:r>
      <w:r>
        <w:rPr>
          <w:rFonts w:cs="Arial"/>
        </w:rPr>
        <w:t xml:space="preserve"> related to those analyses and ratings</w:t>
      </w:r>
      <w:r w:rsidRPr="00534EFC">
        <w:rPr>
          <w:rFonts w:cs="Arial"/>
        </w:rPr>
        <w:t xml:space="preserve"> shall be and remain the sole and exclusive property of The Leapfrog Group </w:t>
      </w:r>
      <w:r w:rsidRPr="00534EFC">
        <w:t>in which The Leapfrog Group retains exclusive ownership</w:t>
      </w:r>
      <w:r w:rsidRPr="00534EFC">
        <w:rPr>
          <w:rFonts w:cs="Arial"/>
        </w:rPr>
        <w:t xml:space="preserve">. </w:t>
      </w:r>
      <w:r>
        <w:rPr>
          <w:rFonts w:cs="Arial"/>
        </w:rPr>
        <w:t>I hereby affirm that t</w:t>
      </w:r>
      <w:r w:rsidRPr="00534EFC">
        <w:rPr>
          <w:rFonts w:cs="Arial"/>
        </w:rPr>
        <w:t>his information does not infringe upon any third-party intellectual property rights</w:t>
      </w:r>
      <w:r w:rsidRPr="00534EFC">
        <w:t xml:space="preserve"> or any other third-party rights whatsoever and is free and clear of all encumbrances and liens of any kind</w:t>
      </w:r>
      <w:r w:rsidRPr="00534EFC">
        <w:rPr>
          <w:rFonts w:cs="Arial"/>
        </w:rPr>
        <w:t xml:space="preserve">. The hospital and I acknowledge that The Leapfrog Group may </w:t>
      </w:r>
      <w:r>
        <w:rPr>
          <w:rFonts w:cs="Arial"/>
        </w:rPr>
        <w:t>license</w:t>
      </w:r>
      <w:r w:rsidRPr="00534EFC">
        <w:rPr>
          <w:rFonts w:cs="Arial"/>
        </w:rPr>
        <w:t xml:space="preserve"> </w:t>
      </w:r>
      <w:r>
        <w:rPr>
          <w:rFonts w:cs="Arial"/>
        </w:rPr>
        <w:t xml:space="preserve">analyses and ratings derived from </w:t>
      </w:r>
      <w:r w:rsidRPr="00534EFC">
        <w:rPr>
          <w:rFonts w:cs="Arial"/>
        </w:rPr>
        <w:t xml:space="preserve">this information </w:t>
      </w:r>
      <w:r>
        <w:rPr>
          <w:rFonts w:cs="Arial"/>
        </w:rPr>
        <w:t>to other entities including researchers, not-for-profit entities, and for-profit entities, and the revenue from such licensure will be used solely to support The Leapfrog Group’s not-for-profit mission</w:t>
      </w:r>
      <w:r w:rsidRPr="00534EFC">
        <w:rPr>
          <w:rFonts w:cs="Arial"/>
        </w:rPr>
        <w:t>. The hospital shall be liable for and shall hold harmless and indemnify The Leapfrog Group from any and all damages, demands, costs, or causes of action resulting from any inaccuracies in the information or any misrepresentations in this Affirmation of Accuracy. The Leapfrog Group and its members and entities and persons who contract or have other business dealings with The Leapfrog Group reserve the right to omit or disclaim information that is not current, accurate or truthful.</w:t>
      </w:r>
    </w:p>
    <w:p w14:paraId="53D62D7A" w14:textId="77777777" w:rsidR="00B01F4D" w:rsidRPr="00B01F4D" w:rsidRDefault="00B01F4D">
      <w:pPr>
        <w:rPr>
          <w:rFonts w:cs="Arial"/>
          <w:sz w:val="22"/>
          <w:szCs w:val="22"/>
        </w:rPr>
      </w:pPr>
    </w:p>
    <w:p w14:paraId="339B21DA" w14:textId="77777777" w:rsidR="008910AA" w:rsidRPr="009A5185" w:rsidRDefault="008910AA">
      <w:pPr>
        <w:rPr>
          <w:rFonts w:cs="Arial"/>
          <w:snapToGrid w:val="0"/>
          <w:color w:val="000000"/>
        </w:rPr>
      </w:pPr>
    </w:p>
    <w:p w14:paraId="616E8987" w14:textId="77777777" w:rsidR="008910AA" w:rsidRPr="009A5185" w:rsidRDefault="008910AA">
      <w:pPr>
        <w:rPr>
          <w:rFonts w:cs="Arial"/>
          <w:snapToGrid w:val="0"/>
          <w:color w:val="000000"/>
        </w:rPr>
      </w:pPr>
      <w:r w:rsidRPr="009A5185">
        <w:rPr>
          <w:rFonts w:cs="Arial"/>
          <w:snapToGrid w:val="0"/>
          <w:color w:val="000000"/>
        </w:rPr>
        <w:t>Affirmed by _____________________, the hospital’s ___________________________,</w:t>
      </w:r>
    </w:p>
    <w:p w14:paraId="689ED802" w14:textId="77777777" w:rsidR="008A631A" w:rsidRPr="009A5185" w:rsidRDefault="008A631A" w:rsidP="008A631A">
      <w:pPr>
        <w:pStyle w:val="BodyText2"/>
        <w:spacing w:line="240" w:lineRule="exact"/>
        <w:rPr>
          <w:rFonts w:cs="Arial"/>
        </w:rPr>
      </w:pPr>
      <w:r w:rsidRPr="009A5185">
        <w:rPr>
          <w:rFonts w:cs="Arial"/>
        </w:rPr>
        <w:tab/>
        <w:t xml:space="preserve"> </w:t>
      </w:r>
      <w:r>
        <w:rPr>
          <w:rFonts w:cs="Arial"/>
        </w:rPr>
        <w:t xml:space="preserve">    </w:t>
      </w:r>
      <w:r w:rsidRPr="009A5185">
        <w:rPr>
          <w:rFonts w:cs="Arial"/>
        </w:rPr>
        <w:t>(</w:t>
      </w:r>
      <w:r>
        <w:rPr>
          <w:rFonts w:cs="Arial"/>
        </w:rPr>
        <w:t xml:space="preserve">first </w:t>
      </w:r>
      <w:r w:rsidRPr="009A5185">
        <w:rPr>
          <w:rFonts w:cs="Arial"/>
        </w:rPr>
        <w:t>name</w:t>
      </w:r>
      <w:r>
        <w:rPr>
          <w:rFonts w:cs="Arial"/>
        </w:rPr>
        <w:t xml:space="preserve"> and last name)</w:t>
      </w:r>
      <w:r>
        <w:rPr>
          <w:rFonts w:cs="Arial"/>
        </w:rPr>
        <w:tab/>
      </w:r>
      <w:r>
        <w:rPr>
          <w:rFonts w:cs="Arial"/>
        </w:rPr>
        <w:tab/>
      </w:r>
      <w:r>
        <w:rPr>
          <w:rFonts w:cs="Arial"/>
        </w:rPr>
        <w:tab/>
      </w:r>
      <w:r>
        <w:rPr>
          <w:rFonts w:cs="Arial"/>
        </w:rPr>
        <w:tab/>
      </w:r>
      <w:r w:rsidRPr="009A5185">
        <w:rPr>
          <w:rFonts w:cs="Arial"/>
        </w:rPr>
        <w:t>(title)</w:t>
      </w:r>
    </w:p>
    <w:p w14:paraId="30D1A802" w14:textId="77777777" w:rsidR="008910AA" w:rsidRPr="009A5185" w:rsidRDefault="008910AA">
      <w:pPr>
        <w:rPr>
          <w:rFonts w:cs="Arial"/>
          <w:snapToGrid w:val="0"/>
          <w:color w:val="000000"/>
        </w:rPr>
      </w:pPr>
      <w:r w:rsidRPr="009A5185">
        <w:rPr>
          <w:rFonts w:cs="Arial"/>
          <w:snapToGrid w:val="0"/>
          <w:color w:val="000000"/>
        </w:rPr>
        <w:t>on _______________________.</w:t>
      </w:r>
    </w:p>
    <w:p w14:paraId="7627220D" w14:textId="77777777" w:rsidR="008910AA" w:rsidRPr="009A5185" w:rsidRDefault="008910AA">
      <w:pPr>
        <w:pStyle w:val="BodyText2"/>
        <w:rPr>
          <w:rFonts w:cs="Arial"/>
        </w:rPr>
      </w:pPr>
      <w:r w:rsidRPr="009A5185">
        <w:rPr>
          <w:rFonts w:cs="Arial"/>
        </w:rPr>
        <w:t xml:space="preserve">                    (date)</w:t>
      </w:r>
    </w:p>
    <w:p w14:paraId="565237F2" w14:textId="77777777" w:rsidR="0003003B" w:rsidRPr="009A5185" w:rsidRDefault="0003003B">
      <w:pPr>
        <w:pStyle w:val="BodyText2"/>
        <w:rPr>
          <w:rFonts w:cs="Arial"/>
        </w:rPr>
      </w:pPr>
    </w:p>
    <w:p w14:paraId="2B39160F" w14:textId="77777777" w:rsidR="008910AA" w:rsidRPr="009A5185" w:rsidRDefault="00453994">
      <w:pPr>
        <w:rPr>
          <w:rFonts w:cs="Arial"/>
        </w:rPr>
      </w:pPr>
      <w:r w:rsidRPr="009A5185">
        <w:rPr>
          <w:rFonts w:cs="Arial"/>
        </w:rPr>
        <w:br w:type="page"/>
      </w:r>
    </w:p>
    <w:p w14:paraId="480FFA71" w14:textId="51DD3922" w:rsidR="0003003B" w:rsidRPr="009A5185" w:rsidRDefault="0003003B" w:rsidP="00CF5A6E">
      <w:pPr>
        <w:pStyle w:val="Heading2"/>
      </w:pPr>
      <w:bookmarkStart w:id="422" w:name="_Toc383775054"/>
      <w:bookmarkStart w:id="423" w:name="_Toc225877755"/>
      <w:r w:rsidRPr="009A5185">
        <w:t xml:space="preserve">Section 5: </w:t>
      </w:r>
      <w:r w:rsidR="00A52909">
        <w:t xml:space="preserve">Physician and Nurse </w:t>
      </w:r>
      <w:bookmarkEnd w:id="422"/>
      <w:r w:rsidR="00D55BF8">
        <w:t>Staffing</w:t>
      </w:r>
      <w:r w:rsidRPr="009A5185">
        <w:t xml:space="preserve"> Reference Information</w:t>
      </w:r>
      <w:bookmarkEnd w:id="423"/>
    </w:p>
    <w:p w14:paraId="28079559" w14:textId="77777777" w:rsidR="0003003B" w:rsidRPr="009A5185" w:rsidRDefault="0003003B" w:rsidP="0003003B">
      <w:pPr>
        <w:rPr>
          <w:rFonts w:cs="Arial"/>
          <w:bCs/>
          <w:lang w:eastAsia="ja-JP"/>
        </w:rPr>
      </w:pPr>
    </w:p>
    <w:p w14:paraId="45F93812" w14:textId="4E37D08C" w:rsidR="0003003B" w:rsidRPr="009A5185" w:rsidRDefault="0003003B" w:rsidP="00AB5B80">
      <w:pPr>
        <w:pStyle w:val="Heading3"/>
      </w:pPr>
      <w:bookmarkStart w:id="424" w:name="_Toc236212808"/>
      <w:bookmarkStart w:id="425" w:name="_Toc383775055"/>
      <w:bookmarkStart w:id="426" w:name="_Toc225877756"/>
      <w:r w:rsidRPr="009A5185">
        <w:t xml:space="preserve">What’s New </w:t>
      </w:r>
      <w:bookmarkEnd w:id="424"/>
      <w:r w:rsidRPr="009A5185">
        <w:t xml:space="preserve">in the </w:t>
      </w:r>
      <w:bookmarkEnd w:id="425"/>
      <w:r w:rsidR="00A236B1">
        <w:t>202</w:t>
      </w:r>
      <w:r w:rsidR="001D70C8">
        <w:t>6</w:t>
      </w:r>
      <w:r w:rsidR="006F5EB2" w:rsidRPr="009A5185">
        <w:t xml:space="preserve"> </w:t>
      </w:r>
      <w:r w:rsidR="004F68CC" w:rsidRPr="009A5185">
        <w:t>Survey</w:t>
      </w:r>
      <w:bookmarkEnd w:id="426"/>
    </w:p>
    <w:p w14:paraId="04E8E1FC" w14:textId="77777777" w:rsidR="00890BD4" w:rsidRDefault="00890BD4" w:rsidP="0036506E">
      <w:pPr>
        <w:rPr>
          <w:rFonts w:cs="Arial"/>
        </w:rPr>
      </w:pPr>
    </w:p>
    <w:p w14:paraId="001BE177" w14:textId="60955DF4" w:rsidR="00001324" w:rsidRDefault="00001324" w:rsidP="00001324">
      <w:pPr>
        <w:pStyle w:val="Heading44"/>
      </w:pPr>
      <w:r w:rsidRPr="00AD46BD">
        <w:t xml:space="preserve">Section </w:t>
      </w:r>
      <w:r>
        <w:t>5A</w:t>
      </w:r>
      <w:r w:rsidR="00570EDB">
        <w:t>: Adult ICU Physician Staffing</w:t>
      </w:r>
      <w:r w:rsidR="00BC7A87">
        <w:t xml:space="preserve"> </w:t>
      </w:r>
      <w:r w:rsidR="00570EDB">
        <w:t>and Section 5B: Pediatric ICU Physician Staffing</w:t>
      </w:r>
      <w:r w:rsidR="00BC7A87">
        <w:t xml:space="preserve"> </w:t>
      </w:r>
    </w:p>
    <w:p w14:paraId="5CEE848F" w14:textId="769C2407" w:rsidR="005018CA" w:rsidRPr="005018CA" w:rsidRDefault="005018CA" w:rsidP="00001324">
      <w:pPr>
        <w:pStyle w:val="Heading44"/>
        <w:rPr>
          <w:b w:val="0"/>
          <w:bCs/>
          <w:sz w:val="20"/>
        </w:rPr>
      </w:pPr>
      <w:r w:rsidRPr="005018CA">
        <w:rPr>
          <w:b w:val="0"/>
          <w:bCs/>
          <w:sz w:val="20"/>
        </w:rPr>
        <w:t>There are no changes to these subsections.</w:t>
      </w:r>
    </w:p>
    <w:p w14:paraId="444EE3C3" w14:textId="77777777" w:rsidR="00001324" w:rsidRDefault="00001324" w:rsidP="0036506E">
      <w:pPr>
        <w:rPr>
          <w:rFonts w:cs="Arial"/>
        </w:rPr>
      </w:pPr>
    </w:p>
    <w:p w14:paraId="3624632D" w14:textId="2CD106BF" w:rsidR="00001324" w:rsidRDefault="00001324" w:rsidP="00001324">
      <w:pPr>
        <w:pStyle w:val="Heading44"/>
      </w:pPr>
      <w:r w:rsidRPr="00AD46BD">
        <w:t xml:space="preserve">Section </w:t>
      </w:r>
      <w:r>
        <w:t>5</w:t>
      </w:r>
      <w:r w:rsidRPr="00AD46BD">
        <w:t>C: Nursing Workforce</w:t>
      </w:r>
    </w:p>
    <w:p w14:paraId="62A99390" w14:textId="69BC862A" w:rsidR="00A3764C" w:rsidRDefault="00A3764C" w:rsidP="00001324">
      <w:pPr>
        <w:pStyle w:val="Heading44"/>
        <w:rPr>
          <w:b w:val="0"/>
          <w:bCs/>
          <w:sz w:val="20"/>
        </w:rPr>
      </w:pPr>
      <w:r w:rsidRPr="00A3764C">
        <w:rPr>
          <w:b w:val="0"/>
          <w:bCs/>
          <w:sz w:val="20"/>
        </w:rPr>
        <w:t>There are three major changes planned for 2026 and additional clarifications to the measure specifications regarding applicable units.</w:t>
      </w:r>
    </w:p>
    <w:p w14:paraId="02E01148" w14:textId="77777777" w:rsidR="00700B92" w:rsidRDefault="00700B92" w:rsidP="00001324">
      <w:pPr>
        <w:pStyle w:val="Heading44"/>
        <w:rPr>
          <w:b w:val="0"/>
          <w:bCs/>
          <w:sz w:val="20"/>
        </w:rPr>
      </w:pPr>
    </w:p>
    <w:p w14:paraId="4C935C14" w14:textId="78FC050A" w:rsidR="00700B92" w:rsidRPr="00427740" w:rsidRDefault="00700B92" w:rsidP="00001324">
      <w:pPr>
        <w:pStyle w:val="Heading44"/>
        <w:rPr>
          <w:b w:val="0"/>
          <w:bCs/>
          <w:sz w:val="20"/>
        </w:rPr>
      </w:pPr>
      <w:r w:rsidRPr="00427740">
        <w:rPr>
          <w:b w:val="0"/>
          <w:bCs/>
          <w:sz w:val="20"/>
        </w:rPr>
        <w:t xml:space="preserve">First, all hospitals will be required to report on whether they operate any mixed acuity medical, surgical and/or med-surg units, and if they do, the types of mixed acuity units (high, moderate and/or blended). Hospitals that operate </w:t>
      </w:r>
      <w:r w:rsidRPr="00427740">
        <w:rPr>
          <w:sz w:val="20"/>
          <w:u w:val="single"/>
        </w:rPr>
        <w:t>both</w:t>
      </w:r>
      <w:r w:rsidRPr="00427740">
        <w:rPr>
          <w:b w:val="0"/>
          <w:bCs/>
          <w:sz w:val="20"/>
        </w:rPr>
        <w:t xml:space="preserve"> single and mixed acuity units can then </w:t>
      </w:r>
      <w:r w:rsidRPr="00427740">
        <w:rPr>
          <w:sz w:val="20"/>
          <w:u w:val="single"/>
        </w:rPr>
        <w:t>optionally</w:t>
      </w:r>
      <w:r w:rsidRPr="00427740">
        <w:rPr>
          <w:b w:val="0"/>
          <w:bCs/>
          <w:sz w:val="20"/>
        </w:rPr>
        <w:t xml:space="preserve"> report on nursing hours in their mixed acuity unit(s) but will continue to ONLY be scored on the </w:t>
      </w:r>
      <w:r w:rsidRPr="00427740">
        <w:rPr>
          <w:sz w:val="20"/>
          <w:u w:val="single"/>
        </w:rPr>
        <w:t>single</w:t>
      </w:r>
      <w:r w:rsidRPr="00427740">
        <w:rPr>
          <w:b w:val="0"/>
          <w:bCs/>
          <w:sz w:val="20"/>
        </w:rPr>
        <w:t xml:space="preserve"> acuity units. An analysis of the data collected in 2026 and anticipated key informant interviews with Survey participants will help determine if additional updates to scoring and public reporting should be proposed for 2027. This change is the first step in responding to hospital requests to earn credit for their staffing of both single and mixed acuity units.</w:t>
      </w:r>
    </w:p>
    <w:p w14:paraId="57F2D6A0" w14:textId="77777777" w:rsidR="00700B92" w:rsidRDefault="00700B92" w:rsidP="00001324">
      <w:pPr>
        <w:pStyle w:val="Heading44"/>
        <w:rPr>
          <w:b w:val="0"/>
          <w:bCs/>
          <w:sz w:val="20"/>
        </w:rPr>
      </w:pPr>
    </w:p>
    <w:p w14:paraId="148B4C4E" w14:textId="53B63247" w:rsidR="00427740" w:rsidRPr="00A3764C" w:rsidRDefault="00427740" w:rsidP="00001324">
      <w:pPr>
        <w:pStyle w:val="Heading44"/>
        <w:rPr>
          <w:b w:val="0"/>
          <w:bCs/>
          <w:sz w:val="20"/>
        </w:rPr>
      </w:pPr>
      <w:r w:rsidRPr="00427740">
        <w:rPr>
          <w:b w:val="0"/>
          <w:bCs/>
          <w:sz w:val="20"/>
        </w:rPr>
        <w:t xml:space="preserve">Hospitals that operate only one single acuity unit, but had fewer than 15 patient days per month for all 3 months of any quarter of the reporting period will be asked to report on their mixed acuity medical, surgical and/or </w:t>
      </w:r>
      <w:proofErr w:type="spellStart"/>
      <w:r w:rsidRPr="00427740">
        <w:rPr>
          <w:b w:val="0"/>
          <w:bCs/>
          <w:sz w:val="20"/>
        </w:rPr>
        <w:t>medsurg</w:t>
      </w:r>
      <w:proofErr w:type="spellEnd"/>
      <w:r w:rsidRPr="00427740">
        <w:rPr>
          <w:b w:val="0"/>
          <w:bCs/>
          <w:sz w:val="20"/>
        </w:rPr>
        <w:t xml:space="preserve"> units (if applicable) and will be scored and publicly reported on those units</w:t>
      </w:r>
      <w:r>
        <w:rPr>
          <w:b w:val="0"/>
          <w:bCs/>
          <w:sz w:val="20"/>
        </w:rPr>
        <w:t>.</w:t>
      </w:r>
    </w:p>
    <w:p w14:paraId="4F87A6BC" w14:textId="77777777" w:rsidR="00427740" w:rsidRDefault="00427740" w:rsidP="00001324">
      <w:pPr>
        <w:shd w:val="clear" w:color="auto" w:fill="FFFFFF"/>
        <w:contextualSpacing/>
      </w:pPr>
    </w:p>
    <w:p w14:paraId="1695C5A3" w14:textId="3F6AC326" w:rsidR="00427740" w:rsidRDefault="00427740" w:rsidP="00427740">
      <w:pPr>
        <w:shd w:val="clear" w:color="auto" w:fill="FFFFFF"/>
        <w:contextualSpacing/>
      </w:pPr>
      <w:r w:rsidRPr="00BA2DA0">
        <w:t xml:space="preserve">Second, Leapfrog </w:t>
      </w:r>
      <w:r>
        <w:t>is</w:t>
      </w:r>
      <w:r w:rsidRPr="00BA2DA0">
        <w:t xml:space="preserve"> temporarily paus</w:t>
      </w:r>
      <w:r w:rsidR="00B238B5">
        <w:t>ing</w:t>
      </w:r>
      <w:r w:rsidRPr="00BA2DA0">
        <w:t xml:space="preserve"> public reporting of the Nursing Skill Mix measure (the proportion of total nursing hours worked by registered nurses), as the </w:t>
      </w:r>
      <w:hyperlink r:id="rId336" w:history="1">
        <w:r w:rsidRPr="004A58FC">
          <w:rPr>
            <w:rStyle w:val="Hyperlink"/>
          </w:rPr>
          <w:t>Nursing Workforce Expert Panel</w:t>
        </w:r>
      </w:hyperlink>
      <w:r>
        <w:t xml:space="preserve"> </w:t>
      </w:r>
      <w:r w:rsidRPr="00BA2DA0">
        <w:t xml:space="preserve">further examines the relationship between this measure and the Total Nursing Care Hours Per Patient Day and Total RN Hours Per Patient Day measures. </w:t>
      </w:r>
    </w:p>
    <w:p w14:paraId="03D512E5" w14:textId="77777777" w:rsidR="00427740" w:rsidRDefault="00427740" w:rsidP="00001324">
      <w:pPr>
        <w:shd w:val="clear" w:color="auto" w:fill="FFFFFF"/>
        <w:contextualSpacing/>
      </w:pPr>
    </w:p>
    <w:p w14:paraId="355C5CCD" w14:textId="2619BF98" w:rsidR="00427740" w:rsidRDefault="00894C1D" w:rsidP="00001324">
      <w:pPr>
        <w:shd w:val="clear" w:color="auto" w:fill="FFFFFF"/>
        <w:contextualSpacing/>
      </w:pPr>
      <w:r>
        <w:t>Third,</w:t>
      </w:r>
      <w:r w:rsidRPr="00894C1D">
        <w:t xml:space="preserve"> Leapfrog is adding a new optional fact-finding question to assess hospital’s use of virtual nursing models, which will not be scored or publicly reported in 2026.</w:t>
      </w:r>
    </w:p>
    <w:p w14:paraId="2D7CAC7E" w14:textId="77777777" w:rsidR="00894C1D" w:rsidRDefault="00894C1D" w:rsidP="00001324">
      <w:pPr>
        <w:shd w:val="clear" w:color="auto" w:fill="FFFFFF"/>
        <w:contextualSpacing/>
      </w:pPr>
    </w:p>
    <w:p w14:paraId="5107CDF7" w14:textId="77777777" w:rsidR="00894C1D" w:rsidRDefault="00894C1D" w:rsidP="00001324">
      <w:pPr>
        <w:shd w:val="clear" w:color="auto" w:fill="FFFFFF"/>
        <w:contextualSpacing/>
      </w:pPr>
      <w:r>
        <w:t>L</w:t>
      </w:r>
      <w:r w:rsidRPr="00894C1D">
        <w:t xml:space="preserve">eapfrog has also added a clarification to the measure specifications for hospitals that operate Single Acuity </w:t>
      </w:r>
      <w:proofErr w:type="spellStart"/>
      <w:r w:rsidRPr="00894C1D">
        <w:t>MedSurg</w:t>
      </w:r>
      <w:proofErr w:type="spellEnd"/>
      <w:r w:rsidRPr="00894C1D">
        <w:t xml:space="preserve"> Units: OB and Med-Surg Units, which are defined as combination units in which greater than 50% of the patients are obstetric and the remaining percent are adult acute med-surg such as gynecological and/or pediatric acute med-surg, should be excluded. </w:t>
      </w:r>
    </w:p>
    <w:p w14:paraId="37059688" w14:textId="77777777" w:rsidR="00894C1D" w:rsidRDefault="00894C1D" w:rsidP="00001324">
      <w:pPr>
        <w:shd w:val="clear" w:color="auto" w:fill="FFFFFF"/>
        <w:contextualSpacing/>
      </w:pPr>
    </w:p>
    <w:p w14:paraId="744415DF" w14:textId="33755333" w:rsidR="00BA2DA0" w:rsidRDefault="00894C1D" w:rsidP="00001324">
      <w:pPr>
        <w:shd w:val="clear" w:color="auto" w:fill="FFFFFF"/>
        <w:contextualSpacing/>
      </w:pPr>
      <w:r w:rsidRPr="00894C1D">
        <w:t>For the 2027 Leapfrog Hospital Survey, Leapfrog and the National Database of Nursing Quality Indicators (NDNQI) are exploring options that would allow active NDNQI clients to authorize Leapfrog to access their data directly from the NDNQI database, eliminating the need for clients to request reports from NDNQI.</w:t>
      </w:r>
    </w:p>
    <w:p w14:paraId="5CA24418" w14:textId="77777777" w:rsidR="00CE0A03" w:rsidRDefault="00CE0A03" w:rsidP="00001324">
      <w:pPr>
        <w:shd w:val="clear" w:color="auto" w:fill="FFFFFF"/>
        <w:contextualSpacing/>
      </w:pPr>
    </w:p>
    <w:p w14:paraId="63F97ECF" w14:textId="7357C0AC" w:rsidR="00CE0A03" w:rsidRDefault="00CE0A03" w:rsidP="00001324">
      <w:pPr>
        <w:shd w:val="clear" w:color="auto" w:fill="FFFFFF"/>
        <w:contextualSpacing/>
      </w:pPr>
      <w:r w:rsidRPr="00CE0A03">
        <w:t>There are no changes to the scoring algorithm for Section 5C: Nursing Workforce.</w:t>
      </w:r>
    </w:p>
    <w:p w14:paraId="7080B579" w14:textId="77777777" w:rsidR="004A58FC" w:rsidRPr="00174C5A" w:rsidRDefault="004A58FC" w:rsidP="00001324">
      <w:pPr>
        <w:shd w:val="clear" w:color="auto" w:fill="FFFFFF"/>
        <w:contextualSpacing/>
      </w:pPr>
    </w:p>
    <w:p w14:paraId="56E1BCF3" w14:textId="0DAA53A3" w:rsidR="0003003B" w:rsidRPr="009A5185" w:rsidRDefault="0003003B" w:rsidP="00AB5B80">
      <w:pPr>
        <w:pStyle w:val="Heading3"/>
      </w:pPr>
      <w:bookmarkStart w:id="427" w:name="_Toc236212809"/>
      <w:bookmarkStart w:id="428" w:name="_Toc383775056"/>
      <w:bookmarkStart w:id="429" w:name="_Toc225877757"/>
      <w:r w:rsidRPr="009A5185">
        <w:t>Change Summary</w:t>
      </w:r>
      <w:bookmarkEnd w:id="427"/>
      <w:r w:rsidRPr="009A5185">
        <w:t xml:space="preserve"> </w:t>
      </w:r>
      <w:r w:rsidR="0070116C">
        <w:t>S</w:t>
      </w:r>
      <w:r w:rsidRPr="009A5185">
        <w:t>ince Release</w:t>
      </w:r>
      <w:bookmarkEnd w:id="428"/>
      <w:bookmarkEnd w:id="429"/>
    </w:p>
    <w:p w14:paraId="2D1AABB1" w14:textId="77777777" w:rsidR="0003003B" w:rsidRPr="009A5185" w:rsidRDefault="0003003B" w:rsidP="0003003B">
      <w:pPr>
        <w:rPr>
          <w:rFonts w:cs="Arial"/>
          <w:lang w:eastAsia="ja-JP"/>
        </w:rPr>
      </w:pPr>
    </w:p>
    <w:p w14:paraId="6A8CB1F0" w14:textId="27E88A97" w:rsidR="00D0444E" w:rsidRDefault="00F46E03" w:rsidP="003440FB">
      <w:pPr>
        <w:pStyle w:val="BodyText3"/>
        <w:rPr>
          <w:rFonts w:cs="Arial"/>
        </w:rPr>
      </w:pPr>
      <w:r w:rsidRPr="003A50A0">
        <w:rPr>
          <w:rFonts w:cs="Arial"/>
        </w:rPr>
        <w:t xml:space="preserve">None. If substantive changes are made to this section of the Survey after release on April 1, </w:t>
      </w:r>
      <w:r>
        <w:rPr>
          <w:rFonts w:cs="Arial"/>
        </w:rPr>
        <w:t>202</w:t>
      </w:r>
      <w:r w:rsidR="00CC4DF1">
        <w:rPr>
          <w:rFonts w:cs="Arial"/>
        </w:rPr>
        <w:t>6</w:t>
      </w:r>
      <w:r w:rsidRPr="003A50A0">
        <w:rPr>
          <w:rFonts w:cs="Arial"/>
        </w:rPr>
        <w:t>, they will be documented in this Change Summary section.</w:t>
      </w:r>
    </w:p>
    <w:p w14:paraId="5485DB17" w14:textId="77777777" w:rsidR="00D0444E" w:rsidRDefault="00D0444E">
      <w:pPr>
        <w:rPr>
          <w:rFonts w:cs="Arial"/>
          <w:color w:val="000000"/>
        </w:rPr>
      </w:pPr>
      <w:r>
        <w:rPr>
          <w:rFonts w:cs="Arial"/>
        </w:rPr>
        <w:br w:type="page"/>
      </w:r>
    </w:p>
    <w:p w14:paraId="272FA66D" w14:textId="77777777" w:rsidR="00D0444E" w:rsidRPr="00E752F9" w:rsidRDefault="00D0444E" w:rsidP="00AB5B80">
      <w:pPr>
        <w:pStyle w:val="Heading3"/>
      </w:pPr>
      <w:bookmarkStart w:id="430" w:name="_Nursing_Workforce_Measure_1"/>
      <w:bookmarkStart w:id="431" w:name="_Toc225877758"/>
      <w:bookmarkEnd w:id="430"/>
      <w:r>
        <w:t>Nursing Workforce Measure Specifications</w:t>
      </w:r>
      <w:bookmarkEnd w:id="431"/>
    </w:p>
    <w:p w14:paraId="6A105C8A" w14:textId="77777777" w:rsidR="00D0444E" w:rsidRPr="00D832F9" w:rsidRDefault="00D0444E" w:rsidP="00D0444E">
      <w:pPr>
        <w:rPr>
          <w:sz w:val="16"/>
          <w:szCs w:val="16"/>
        </w:rPr>
      </w:pPr>
    </w:p>
    <w:p w14:paraId="10BB1C23" w14:textId="77777777" w:rsidR="00D0444E" w:rsidRPr="009A5185" w:rsidRDefault="00D0444E" w:rsidP="00D0444E">
      <w:pPr>
        <w:rPr>
          <w:rFonts w:cs="Arial"/>
          <w:b/>
        </w:rPr>
      </w:pPr>
      <w:r w:rsidRPr="009A5185">
        <w:rPr>
          <w:rFonts w:cs="Arial"/>
          <w:b/>
          <w:color w:val="FF0000"/>
        </w:rPr>
        <w:t>Important Note:</w:t>
      </w:r>
      <w:r w:rsidRPr="009A5185">
        <w:rPr>
          <w:rFonts w:cs="Arial"/>
          <w:b/>
        </w:rPr>
        <w:t xml:space="preserve"> </w:t>
      </w:r>
      <w:r w:rsidRPr="009A5185">
        <w:rPr>
          <w:rFonts w:cs="Arial"/>
          <w:snapToGrid w:val="0"/>
        </w:rPr>
        <w:t xml:space="preserve">Hospitals that share a </w:t>
      </w:r>
      <w:r>
        <w:rPr>
          <w:rFonts w:cs="Arial"/>
          <w:snapToGrid w:val="0"/>
        </w:rPr>
        <w:t>CMS Certification Number</w:t>
      </w:r>
      <w:r w:rsidRPr="009A5185">
        <w:rPr>
          <w:rFonts w:cs="Arial"/>
          <w:snapToGrid w:val="0"/>
        </w:rPr>
        <w:t xml:space="preserve"> are required to report by facility. Please carefully review </w:t>
      </w:r>
      <w:hyperlink r:id="rId337" w:history="1">
        <w:r w:rsidRPr="009A5185">
          <w:rPr>
            <w:rStyle w:val="Hyperlink"/>
            <w:rFonts w:cs="Arial"/>
          </w:rPr>
          <w:t>Leapfrog’s Multi-Campus Reporting Policy</w:t>
        </w:r>
      </w:hyperlink>
      <w:r w:rsidRPr="009A5185">
        <w:rPr>
          <w:rFonts w:cs="Arial"/>
          <w:snapToGrid w:val="0"/>
        </w:rPr>
        <w:t>.</w:t>
      </w:r>
    </w:p>
    <w:p w14:paraId="753323CF" w14:textId="77777777" w:rsidR="00D0444E" w:rsidRPr="004D26B9" w:rsidRDefault="00D0444E" w:rsidP="00D0444E">
      <w:pPr>
        <w:pStyle w:val="Heading44"/>
      </w:pPr>
    </w:p>
    <w:p w14:paraId="45F1A5C6" w14:textId="1731EEF8" w:rsidR="00D0444E" w:rsidRPr="004D26B9" w:rsidRDefault="00D0444E" w:rsidP="00D0444E">
      <w:pPr>
        <w:pStyle w:val="Heading44"/>
      </w:pPr>
      <w:r w:rsidRPr="004D26B9">
        <w:t xml:space="preserve">Total Nursing Care Hours per Patient Day </w:t>
      </w:r>
      <w:r w:rsidR="00A31093">
        <w:t xml:space="preserve">and </w:t>
      </w:r>
      <w:r w:rsidRPr="004D26B9">
        <w:t xml:space="preserve">RN Hours per Patient Day Measure Specifications </w:t>
      </w:r>
    </w:p>
    <w:p w14:paraId="62717438" w14:textId="77777777" w:rsidR="00D0444E" w:rsidRPr="00BB3760" w:rsidRDefault="00D0444E" w:rsidP="00D0444E">
      <w:pPr>
        <w:rPr>
          <w:rFonts w:cs="Arial"/>
        </w:rPr>
      </w:pPr>
    </w:p>
    <w:tbl>
      <w:tblPr>
        <w:tblW w:w="93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87"/>
      </w:tblGrid>
      <w:tr w:rsidR="00D0444E" w:rsidRPr="00BB3760" w14:paraId="363B2E45" w14:textId="77777777" w:rsidTr="00D73F6A">
        <w:trPr>
          <w:trHeight w:val="360"/>
          <w:jc w:val="center"/>
        </w:trPr>
        <w:tc>
          <w:tcPr>
            <w:tcW w:w="9387" w:type="dxa"/>
            <w:vAlign w:val="center"/>
          </w:tcPr>
          <w:p w14:paraId="358479A3" w14:textId="178BC504" w:rsidR="00D0444E" w:rsidRPr="00BB3760" w:rsidRDefault="00D0444E" w:rsidP="00D73F6A">
            <w:pPr>
              <w:autoSpaceDE w:val="0"/>
              <w:autoSpaceDN w:val="0"/>
              <w:adjustRightInd w:val="0"/>
              <w:rPr>
                <w:rFonts w:cs="Arial"/>
                <w:b/>
              </w:rPr>
            </w:pPr>
            <w:r w:rsidRPr="00BB3760">
              <w:rPr>
                <w:rFonts w:cs="Arial"/>
                <w:b/>
              </w:rPr>
              <w:t xml:space="preserve">Source: </w:t>
            </w:r>
            <w:r w:rsidRPr="00BB3760">
              <w:rPr>
                <w:rFonts w:cs="Arial"/>
              </w:rPr>
              <w:t>American Nurses Association (ANA) (National Quality Forum #0205)</w:t>
            </w:r>
          </w:p>
        </w:tc>
      </w:tr>
      <w:tr w:rsidR="00D0444E" w:rsidRPr="00BB3760" w14:paraId="7CC6090F" w14:textId="77777777" w:rsidTr="00D73F6A">
        <w:trPr>
          <w:trHeight w:val="1296"/>
          <w:jc w:val="center"/>
        </w:trPr>
        <w:tc>
          <w:tcPr>
            <w:tcW w:w="9387" w:type="dxa"/>
            <w:vAlign w:val="center"/>
          </w:tcPr>
          <w:p w14:paraId="176ACE8E" w14:textId="77777777" w:rsidR="00D0444E" w:rsidRPr="00BB3760" w:rsidRDefault="00D0444E" w:rsidP="00D73F6A">
            <w:pPr>
              <w:rPr>
                <w:rFonts w:cs="Arial"/>
                <w:bCs/>
                <w:snapToGrid w:val="0"/>
              </w:rPr>
            </w:pPr>
            <w:r w:rsidRPr="00BB3760">
              <w:rPr>
                <w:rFonts w:cs="Arial"/>
                <w:b/>
                <w:snapToGrid w:val="0"/>
              </w:rPr>
              <w:t>Reporting Period: 12 months</w:t>
            </w:r>
          </w:p>
          <w:p w14:paraId="7782EDFB" w14:textId="77777777" w:rsidR="00D0444E" w:rsidRPr="00BB3760" w:rsidRDefault="00D0444E" w:rsidP="00AD309C">
            <w:pPr>
              <w:pStyle w:val="ListParagraph"/>
              <w:numPr>
                <w:ilvl w:val="0"/>
                <w:numId w:val="151"/>
              </w:numPr>
              <w:rPr>
                <w:rFonts w:cs="Arial"/>
                <w:bCs/>
              </w:rPr>
            </w:pPr>
            <w:r w:rsidRPr="00BB3760">
              <w:rPr>
                <w:rFonts w:cs="Arial"/>
                <w:bCs/>
              </w:rPr>
              <w:t>Survey submitted prior to September 1:</w:t>
            </w:r>
          </w:p>
          <w:p w14:paraId="74F0B290" w14:textId="59431883" w:rsidR="00D0444E" w:rsidRPr="00BB3760" w:rsidRDefault="00D0444E" w:rsidP="00AD309C">
            <w:pPr>
              <w:pStyle w:val="ListParagraph"/>
              <w:numPr>
                <w:ilvl w:val="1"/>
                <w:numId w:val="151"/>
              </w:numPr>
              <w:rPr>
                <w:rFonts w:cs="Arial"/>
                <w:bCs/>
              </w:rPr>
            </w:pPr>
            <w:r w:rsidRPr="00BB3760">
              <w:rPr>
                <w:rFonts w:cs="Arial"/>
                <w:bCs/>
              </w:rPr>
              <w:t>01/01/202</w:t>
            </w:r>
            <w:r w:rsidR="001A6F91">
              <w:rPr>
                <w:rFonts w:cs="Arial"/>
                <w:bCs/>
              </w:rPr>
              <w:t>5</w:t>
            </w:r>
            <w:r w:rsidRPr="00BB3760">
              <w:rPr>
                <w:rFonts w:cs="Arial"/>
                <w:bCs/>
              </w:rPr>
              <w:t xml:space="preserve"> – 12/31/202</w:t>
            </w:r>
            <w:r w:rsidR="001A6F91">
              <w:rPr>
                <w:rFonts w:cs="Arial"/>
                <w:bCs/>
              </w:rPr>
              <w:t>5</w:t>
            </w:r>
          </w:p>
          <w:p w14:paraId="50FF2C3B" w14:textId="77777777" w:rsidR="00D0444E" w:rsidRPr="00BB3760" w:rsidRDefault="00D0444E" w:rsidP="00AD309C">
            <w:pPr>
              <w:pStyle w:val="ListParagraph"/>
              <w:numPr>
                <w:ilvl w:val="0"/>
                <w:numId w:val="151"/>
              </w:numPr>
              <w:rPr>
                <w:rFonts w:cs="Arial"/>
                <w:bCs/>
              </w:rPr>
            </w:pPr>
            <w:r w:rsidRPr="00BB3760">
              <w:rPr>
                <w:rFonts w:cs="Arial"/>
                <w:bCs/>
              </w:rPr>
              <w:t>Surveys submitted on or after September 1:</w:t>
            </w:r>
          </w:p>
          <w:p w14:paraId="6850BF41" w14:textId="088A4478" w:rsidR="00D0444E" w:rsidRPr="00BB3760" w:rsidRDefault="00D0444E" w:rsidP="00AD309C">
            <w:pPr>
              <w:pStyle w:val="ListParagraph"/>
              <w:numPr>
                <w:ilvl w:val="1"/>
                <w:numId w:val="151"/>
              </w:numPr>
              <w:rPr>
                <w:rFonts w:cs="Arial"/>
                <w:b/>
              </w:rPr>
            </w:pPr>
            <w:r w:rsidRPr="00BB3760">
              <w:rPr>
                <w:rFonts w:cs="Arial"/>
                <w:bCs/>
              </w:rPr>
              <w:t>07/01/202</w:t>
            </w:r>
            <w:r w:rsidR="001A6F91">
              <w:rPr>
                <w:rFonts w:cs="Arial"/>
                <w:bCs/>
              </w:rPr>
              <w:t>5</w:t>
            </w:r>
            <w:r w:rsidRPr="00BB3760">
              <w:rPr>
                <w:rFonts w:cs="Arial"/>
                <w:bCs/>
              </w:rPr>
              <w:t xml:space="preserve"> – 06/30/202</w:t>
            </w:r>
            <w:r w:rsidR="001A6F91">
              <w:rPr>
                <w:rFonts w:cs="Arial"/>
                <w:bCs/>
              </w:rPr>
              <w:t>6</w:t>
            </w:r>
          </w:p>
        </w:tc>
      </w:tr>
    </w:tbl>
    <w:p w14:paraId="54568C98" w14:textId="77777777" w:rsidR="00D0444E" w:rsidRDefault="00D0444E" w:rsidP="00D0444E"/>
    <w:tbl>
      <w:tblPr>
        <w:tblW w:w="93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87"/>
      </w:tblGrid>
      <w:tr w:rsidR="00D0444E" w:rsidRPr="00BB3760" w14:paraId="0904EA40" w14:textId="77777777" w:rsidTr="00D73F6A">
        <w:trPr>
          <w:trHeight w:val="576"/>
          <w:jc w:val="center"/>
        </w:trPr>
        <w:tc>
          <w:tcPr>
            <w:tcW w:w="9387" w:type="dxa"/>
            <w:shd w:val="clear" w:color="auto" w:fill="BFBFBF" w:themeFill="background1" w:themeFillShade="BF"/>
            <w:vAlign w:val="center"/>
          </w:tcPr>
          <w:p w14:paraId="175C7EB6" w14:textId="77777777" w:rsidR="00D0444E" w:rsidRPr="00BB3760" w:rsidRDefault="00D0444E" w:rsidP="00D73F6A">
            <w:pPr>
              <w:rPr>
                <w:rFonts w:cs="Arial"/>
                <w:b/>
                <w:snapToGrid w:val="0"/>
              </w:rPr>
            </w:pPr>
            <w:r w:rsidRPr="00BB3760">
              <w:rPr>
                <w:rFonts w:cs="Arial"/>
                <w:b/>
                <w:snapToGrid w:val="0"/>
              </w:rPr>
              <w:t>Hospitals that report this data to NDNQI</w:t>
            </w:r>
            <w:r w:rsidRPr="00C211DD">
              <w:rPr>
                <w:rFonts w:cs="Arial"/>
                <w:b/>
                <w:snapToGrid w:val="0"/>
                <w:vertAlign w:val="superscript"/>
              </w:rPr>
              <w:t>®</w:t>
            </w:r>
            <w:r w:rsidRPr="00BB3760">
              <w:rPr>
                <w:rFonts w:cs="Arial"/>
                <w:b/>
                <w:snapToGrid w:val="0"/>
              </w:rPr>
              <w:t xml:space="preserve"> (National Database of Nursing Quality Indicators</w:t>
            </w:r>
            <w:r w:rsidRPr="00C211DD">
              <w:rPr>
                <w:rFonts w:cs="Arial"/>
                <w:b/>
                <w:snapToGrid w:val="0"/>
                <w:vertAlign w:val="superscript"/>
              </w:rPr>
              <w:t>®</w:t>
            </w:r>
            <w:r w:rsidRPr="00BB3760">
              <w:rPr>
                <w:rFonts w:cs="Arial"/>
                <w:b/>
                <w:snapToGrid w:val="0"/>
              </w:rPr>
              <w:t>):</w:t>
            </w:r>
          </w:p>
          <w:p w14:paraId="5275B746" w14:textId="77777777" w:rsidR="00D0444E" w:rsidRPr="00BB3760" w:rsidRDefault="00D0444E" w:rsidP="00D73F6A">
            <w:pPr>
              <w:rPr>
                <w:rFonts w:cs="Arial"/>
                <w:b/>
                <w:snapToGrid w:val="0"/>
              </w:rPr>
            </w:pPr>
            <w:r w:rsidRPr="00BB3760">
              <w:rPr>
                <w:rFonts w:cs="Arial"/>
                <w:bCs/>
                <w:snapToGrid w:val="0"/>
              </w:rPr>
              <w:t>Data for this measure can be obtained directly from NDNQI. See details below.</w:t>
            </w:r>
          </w:p>
        </w:tc>
      </w:tr>
      <w:tr w:rsidR="00D0444E" w:rsidRPr="00BB3760" w14:paraId="0C59F311" w14:textId="77777777" w:rsidTr="00D73F6A">
        <w:trPr>
          <w:trHeight w:val="720"/>
          <w:jc w:val="center"/>
        </w:trPr>
        <w:tc>
          <w:tcPr>
            <w:tcW w:w="9387" w:type="dxa"/>
            <w:vAlign w:val="center"/>
          </w:tcPr>
          <w:p w14:paraId="75FADC94" w14:textId="4AA503AA" w:rsidR="00EC57EF" w:rsidRDefault="00D0444E" w:rsidP="00EC57EF">
            <w:pPr>
              <w:autoSpaceDE w:val="0"/>
              <w:autoSpaceDN w:val="0"/>
              <w:adjustRightInd w:val="0"/>
              <w:rPr>
                <w:rFonts w:cs="Arial"/>
                <w:bCs/>
                <w:snapToGrid w:val="0"/>
              </w:rPr>
            </w:pPr>
            <w:r>
              <w:rPr>
                <w:rFonts w:cs="Arial"/>
                <w:bCs/>
                <w:snapToGrid w:val="0"/>
              </w:rPr>
              <w:t>Hospitals</w:t>
            </w:r>
            <w:r w:rsidRPr="00FE0FF7">
              <w:rPr>
                <w:rFonts w:cs="Arial"/>
                <w:bCs/>
                <w:snapToGrid w:val="0"/>
              </w:rPr>
              <w:t xml:space="preserve"> that submit nursing care hours and patient days to NDNQI will be able to respond to questions #</w:t>
            </w:r>
            <w:r w:rsidR="0093002F">
              <w:rPr>
                <w:rFonts w:cs="Arial"/>
                <w:bCs/>
                <w:snapToGrid w:val="0"/>
              </w:rPr>
              <w:t>2</w:t>
            </w:r>
            <w:r w:rsidRPr="00FE0FF7">
              <w:rPr>
                <w:rFonts w:cs="Arial"/>
                <w:bCs/>
                <w:snapToGrid w:val="0"/>
              </w:rPr>
              <w:t xml:space="preserve"> - 1</w:t>
            </w:r>
            <w:r w:rsidR="00D60AF6">
              <w:rPr>
                <w:rFonts w:cs="Arial"/>
                <w:bCs/>
                <w:snapToGrid w:val="0"/>
              </w:rPr>
              <w:t>3</w:t>
            </w:r>
            <w:r w:rsidRPr="00FE0FF7">
              <w:rPr>
                <w:rFonts w:cs="Arial"/>
                <w:bCs/>
                <w:snapToGrid w:val="0"/>
              </w:rPr>
              <w:t xml:space="preserve"> in Section </w:t>
            </w:r>
            <w:r w:rsidR="00842EE0">
              <w:rPr>
                <w:rFonts w:cs="Arial"/>
                <w:bCs/>
                <w:snapToGrid w:val="0"/>
              </w:rPr>
              <w:t>5</w:t>
            </w:r>
            <w:r w:rsidRPr="00FE0FF7">
              <w:rPr>
                <w:rFonts w:cs="Arial"/>
                <w:bCs/>
                <w:snapToGrid w:val="0"/>
              </w:rPr>
              <w:t xml:space="preserve">C. </w:t>
            </w:r>
            <w:r w:rsidR="00EC57EF" w:rsidRPr="0004565D">
              <w:rPr>
                <w:rFonts w:cs="Arial"/>
                <w:bCs/>
                <w:snapToGrid w:val="0"/>
              </w:rPr>
              <w:t xml:space="preserve">Active NDNQI clients should email </w:t>
            </w:r>
            <w:hyperlink r:id="rId338" w:history="1">
              <w:r w:rsidR="00A746BA" w:rsidRPr="003262D6">
                <w:rPr>
                  <w:rStyle w:val="Hyperlink"/>
                  <w:rFonts w:cs="Arial"/>
                  <w:bCs/>
                  <w:snapToGrid w:val="0"/>
                </w:rPr>
                <w:t>NDNQISupport@PressGaney.com</w:t>
              </w:r>
            </w:hyperlink>
            <w:r w:rsidR="00A746BA">
              <w:rPr>
                <w:rFonts w:cs="Arial"/>
                <w:bCs/>
                <w:snapToGrid w:val="0"/>
              </w:rPr>
              <w:t xml:space="preserve"> </w:t>
            </w:r>
            <w:r w:rsidR="00EC57EF" w:rsidRPr="0004565D">
              <w:rPr>
                <w:rFonts w:cs="Arial"/>
                <w:bCs/>
                <w:snapToGrid w:val="0"/>
              </w:rPr>
              <w:t xml:space="preserve"> or call 855-304-9788 to connect with one of NDNQI’s team members and specify that they are requesting support for the purposes of Leapfrog Hospital Survey reporting on Total Nursing Care Hours per Patient Day</w:t>
            </w:r>
            <w:r w:rsidR="00B907F2">
              <w:rPr>
                <w:rFonts w:cs="Arial"/>
                <w:bCs/>
                <w:snapToGrid w:val="0"/>
              </w:rPr>
              <w:t xml:space="preserve"> and</w:t>
            </w:r>
            <w:r w:rsidR="00EC57EF" w:rsidRPr="0004565D">
              <w:rPr>
                <w:rFonts w:cs="Arial"/>
                <w:bCs/>
                <w:snapToGrid w:val="0"/>
              </w:rPr>
              <w:t xml:space="preserve"> RN Hours per Patient Day</w:t>
            </w:r>
            <w:r w:rsidR="00B907F2">
              <w:rPr>
                <w:rFonts w:cs="Arial"/>
                <w:bCs/>
                <w:snapToGrid w:val="0"/>
              </w:rPr>
              <w:t xml:space="preserve">. </w:t>
            </w:r>
            <w:r w:rsidR="00EC57EF" w:rsidRPr="0004565D">
              <w:rPr>
                <w:rFonts w:cs="Arial"/>
                <w:bCs/>
                <w:snapToGrid w:val="0"/>
              </w:rPr>
              <w:t>For 202</w:t>
            </w:r>
            <w:r w:rsidR="00CC4939">
              <w:rPr>
                <w:rFonts w:cs="Arial"/>
                <w:bCs/>
                <w:snapToGrid w:val="0"/>
              </w:rPr>
              <w:t>6</w:t>
            </w:r>
            <w:r w:rsidR="00EC57EF" w:rsidRPr="0004565D">
              <w:rPr>
                <w:rFonts w:cs="Arial"/>
                <w:bCs/>
                <w:snapToGrid w:val="0"/>
              </w:rPr>
              <w:t>, additional support for these calculations for active NDNQI clients with eligible data will be provided at no additional cost.</w:t>
            </w:r>
          </w:p>
          <w:p w14:paraId="33ED16AC" w14:textId="77777777" w:rsidR="00EC57EF" w:rsidRDefault="00EC57EF" w:rsidP="00EC57EF">
            <w:pPr>
              <w:autoSpaceDE w:val="0"/>
              <w:autoSpaceDN w:val="0"/>
              <w:adjustRightInd w:val="0"/>
              <w:rPr>
                <w:rFonts w:cs="Arial"/>
                <w:bCs/>
                <w:snapToGrid w:val="0"/>
              </w:rPr>
            </w:pPr>
          </w:p>
          <w:p w14:paraId="1C9B495B" w14:textId="466C2626" w:rsidR="00D0444E" w:rsidRPr="0045571D" w:rsidRDefault="00EC57EF" w:rsidP="00EC57EF">
            <w:pPr>
              <w:autoSpaceDE w:val="0"/>
              <w:autoSpaceDN w:val="0"/>
              <w:adjustRightInd w:val="0"/>
              <w:rPr>
                <w:rFonts w:cs="Arial"/>
                <w:bCs/>
                <w:snapToGrid w:val="0"/>
              </w:rPr>
            </w:pPr>
            <w:r w:rsidRPr="00D845A5">
              <w:rPr>
                <w:rFonts w:cs="Arial"/>
                <w:bCs/>
                <w:snapToGrid w:val="0"/>
              </w:rPr>
              <w:t xml:space="preserve">For NDNQI units to include, please reach out directly to </w:t>
            </w:r>
            <w:hyperlink r:id="rId339" w:history="1">
              <w:r w:rsidR="004214B1" w:rsidRPr="00A2752F">
                <w:rPr>
                  <w:rStyle w:val="Hyperlink"/>
                  <w:rFonts w:cs="Arial"/>
                  <w:bCs/>
                  <w:snapToGrid w:val="0"/>
                </w:rPr>
                <w:t>ndnqisupport@pressganey.com</w:t>
              </w:r>
            </w:hyperlink>
            <w:r>
              <w:rPr>
                <w:rFonts w:cs="Arial"/>
                <w:bCs/>
                <w:snapToGrid w:val="0"/>
              </w:rPr>
              <w:t>.</w:t>
            </w:r>
            <w:r w:rsidR="004214B1">
              <w:rPr>
                <w:rFonts w:cs="Arial"/>
                <w:bCs/>
                <w:snapToGrid w:val="0"/>
              </w:rPr>
              <w:t xml:space="preserve"> </w:t>
            </w:r>
          </w:p>
        </w:tc>
      </w:tr>
    </w:tbl>
    <w:p w14:paraId="71CE7FD5" w14:textId="77777777" w:rsidR="00D0444E" w:rsidRDefault="00D0444E" w:rsidP="00D0444E"/>
    <w:tbl>
      <w:tblPr>
        <w:tblW w:w="93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87"/>
      </w:tblGrid>
      <w:tr w:rsidR="00D0444E" w:rsidRPr="00BB3760" w14:paraId="0BEFB249" w14:textId="77777777" w:rsidTr="00D73F6A">
        <w:trPr>
          <w:trHeight w:val="576"/>
          <w:jc w:val="center"/>
        </w:trPr>
        <w:tc>
          <w:tcPr>
            <w:tcW w:w="9387" w:type="dxa"/>
            <w:shd w:val="clear" w:color="auto" w:fill="BFBFBF" w:themeFill="background1" w:themeFillShade="BF"/>
            <w:vAlign w:val="center"/>
          </w:tcPr>
          <w:p w14:paraId="1A0AF21C" w14:textId="77777777" w:rsidR="00D0444E" w:rsidRPr="00BB3760" w:rsidRDefault="00D0444E" w:rsidP="00D73F6A">
            <w:pPr>
              <w:rPr>
                <w:rFonts w:cs="Arial"/>
                <w:b/>
                <w:snapToGrid w:val="0"/>
              </w:rPr>
            </w:pPr>
            <w:r w:rsidRPr="00BB3760">
              <w:rPr>
                <w:rFonts w:cs="Arial"/>
                <w:b/>
                <w:snapToGrid w:val="0"/>
              </w:rPr>
              <w:t>Hospitals that do not report this data to NDNQI:</w:t>
            </w:r>
          </w:p>
          <w:p w14:paraId="30F6ED05" w14:textId="77777777" w:rsidR="00D0444E" w:rsidRPr="00BB3760" w:rsidRDefault="00D0444E" w:rsidP="00D73F6A">
            <w:pPr>
              <w:rPr>
                <w:rFonts w:cs="Arial"/>
              </w:rPr>
            </w:pPr>
            <w:r w:rsidRPr="00BB3760">
              <w:rPr>
                <w:rFonts w:cs="Arial"/>
                <w:bCs/>
                <w:snapToGrid w:val="0"/>
              </w:rPr>
              <w:t>Data for this measure can be obtained using the measure specifications below.</w:t>
            </w:r>
          </w:p>
        </w:tc>
      </w:tr>
      <w:tr w:rsidR="00D0444E" w:rsidRPr="00BB3760" w14:paraId="0A0A9069" w14:textId="77777777" w:rsidTr="00D73F6A">
        <w:trPr>
          <w:trHeight w:val="890"/>
          <w:jc w:val="center"/>
        </w:trPr>
        <w:tc>
          <w:tcPr>
            <w:tcW w:w="9387" w:type="dxa"/>
            <w:vAlign w:val="center"/>
          </w:tcPr>
          <w:p w14:paraId="77E10601" w14:textId="7D024706" w:rsidR="00D0444E" w:rsidRDefault="00D0444E" w:rsidP="00D73F6A">
            <w:pPr>
              <w:autoSpaceDE w:val="0"/>
              <w:autoSpaceDN w:val="0"/>
              <w:adjustRightInd w:val="0"/>
              <w:rPr>
                <w:rFonts w:cs="Arial"/>
                <w:b/>
                <w:bCs/>
              </w:rPr>
            </w:pPr>
            <w:r w:rsidRPr="00372553">
              <w:rPr>
                <w:rFonts w:cs="Arial"/>
                <w:b/>
                <w:bCs/>
              </w:rPr>
              <w:t>Question #</w:t>
            </w:r>
            <w:r w:rsidR="00623B54">
              <w:rPr>
                <w:rFonts w:cs="Arial"/>
                <w:b/>
                <w:bCs/>
              </w:rPr>
              <w:t>3</w:t>
            </w:r>
            <w:r w:rsidRPr="00372553">
              <w:rPr>
                <w:rFonts w:cs="Arial"/>
                <w:b/>
                <w:bCs/>
              </w:rPr>
              <w:t xml:space="preserve">: </w:t>
            </w:r>
            <w:r w:rsidRPr="0011200A">
              <w:rPr>
                <w:rFonts w:cs="Arial"/>
                <w:b/>
                <w:bCs/>
              </w:rPr>
              <w:t>Which method did your hospital use to calculate the total number of patient days for each single acuity Medical, Surgical, Med-Surg or mixed acuity Medical, Surgical or Med-Surg Unit?</w:t>
            </w:r>
          </w:p>
          <w:p w14:paraId="0EB04369" w14:textId="77777777" w:rsidR="00D0444E" w:rsidRPr="00372553" w:rsidRDefault="00D0444E" w:rsidP="00D73F6A">
            <w:pPr>
              <w:autoSpaceDE w:val="0"/>
              <w:autoSpaceDN w:val="0"/>
              <w:adjustRightInd w:val="0"/>
              <w:rPr>
                <w:rFonts w:cs="Arial"/>
                <w:b/>
                <w:bCs/>
              </w:rPr>
            </w:pPr>
          </w:p>
          <w:p w14:paraId="1B16CE1E" w14:textId="6A4AC731" w:rsidR="00D0444E" w:rsidRPr="00372553" w:rsidRDefault="00D0444E" w:rsidP="00AD309C">
            <w:pPr>
              <w:pStyle w:val="ListParagraph"/>
              <w:numPr>
                <w:ilvl w:val="0"/>
                <w:numId w:val="379"/>
              </w:numPr>
              <w:autoSpaceDE w:val="0"/>
              <w:autoSpaceDN w:val="0"/>
              <w:adjustRightInd w:val="0"/>
              <w:rPr>
                <w:rFonts w:cs="Arial"/>
                <w:b/>
                <w:bCs/>
              </w:rPr>
            </w:pPr>
            <w:r w:rsidRPr="00372553">
              <w:rPr>
                <w:rFonts w:cs="Arial"/>
                <w:b/>
                <w:bCs/>
              </w:rPr>
              <w:t>Midnight Census</w:t>
            </w:r>
            <w:r w:rsidR="00956DFD">
              <w:rPr>
                <w:rFonts w:cs="Arial"/>
                <w:b/>
                <w:bCs/>
              </w:rPr>
              <w:t xml:space="preserve"> (including observation patients)</w:t>
            </w:r>
            <w:r>
              <w:rPr>
                <w:rFonts w:cs="Arial"/>
                <w:b/>
                <w:bCs/>
              </w:rPr>
              <w:t xml:space="preserve">: </w:t>
            </w:r>
            <w:r>
              <w:rPr>
                <w:rFonts w:cs="Arial"/>
              </w:rPr>
              <w:t>The</w:t>
            </w:r>
            <w:r w:rsidRPr="00372553">
              <w:rPr>
                <w:rFonts w:cs="Arial"/>
              </w:rPr>
              <w:t xml:space="preserve"> sum </w:t>
            </w:r>
            <w:r>
              <w:rPr>
                <w:rFonts w:cs="Arial"/>
              </w:rPr>
              <w:t xml:space="preserve">of </w:t>
            </w:r>
            <w:r w:rsidRPr="00372553">
              <w:rPr>
                <w:rFonts w:cs="Arial"/>
              </w:rPr>
              <w:t xml:space="preserve">the daily midnight census counts (the number of </w:t>
            </w:r>
            <w:r w:rsidR="003B08E4">
              <w:rPr>
                <w:rFonts w:cs="Arial"/>
                <w:b/>
                <w:bCs/>
                <w:i/>
                <w:iCs/>
              </w:rPr>
              <w:t xml:space="preserve">all </w:t>
            </w:r>
            <w:r w:rsidRPr="00372553">
              <w:rPr>
                <w:rFonts w:cs="Arial"/>
              </w:rPr>
              <w:t>patients on the unit at midnight each day) during the reporting period.</w:t>
            </w:r>
            <w:r w:rsidR="00D15CE5">
              <w:rPr>
                <w:rFonts w:cs="Arial"/>
              </w:rPr>
              <w:t xml:space="preserve"> </w:t>
            </w:r>
            <w:r w:rsidR="00D15CE5" w:rsidRPr="0004565D">
              <w:rPr>
                <w:rFonts w:cs="Arial"/>
              </w:rPr>
              <w:t>Short stay patients (who are in and out of the unit before the census count is taken) should be included; otherwise, this method cannot be used.</w:t>
            </w:r>
          </w:p>
          <w:p w14:paraId="3F07A032" w14:textId="77777777" w:rsidR="00E07D8E" w:rsidRPr="0004565D" w:rsidRDefault="00E07D8E" w:rsidP="00AD309C">
            <w:pPr>
              <w:pStyle w:val="ListParagraph"/>
              <w:numPr>
                <w:ilvl w:val="0"/>
                <w:numId w:val="379"/>
              </w:numPr>
              <w:autoSpaceDE w:val="0"/>
              <w:autoSpaceDN w:val="0"/>
              <w:adjustRightInd w:val="0"/>
              <w:rPr>
                <w:rFonts w:cs="Arial"/>
                <w:b/>
                <w:bCs/>
              </w:rPr>
            </w:pPr>
            <w:r w:rsidRPr="0004565D">
              <w:rPr>
                <w:rFonts w:cs="Arial"/>
                <w:b/>
                <w:bCs/>
              </w:rPr>
              <w:t xml:space="preserve">Midnight Census and Patient Days from Actual Hours for Short Stay Patients: </w:t>
            </w:r>
            <w:r w:rsidRPr="0004565D">
              <w:rPr>
                <w:rFonts w:cs="Arial"/>
              </w:rPr>
              <w:t>A combination of Midnight Census and Patient Days from Actual Hours collected during the reporting period.</w:t>
            </w:r>
          </w:p>
          <w:p w14:paraId="54EE0680" w14:textId="77777777" w:rsidR="00D0444E" w:rsidRPr="00372553" w:rsidRDefault="00D0444E" w:rsidP="00AD309C">
            <w:pPr>
              <w:pStyle w:val="ListParagraph"/>
              <w:numPr>
                <w:ilvl w:val="0"/>
                <w:numId w:val="379"/>
              </w:numPr>
              <w:autoSpaceDE w:val="0"/>
              <w:autoSpaceDN w:val="0"/>
              <w:adjustRightInd w:val="0"/>
              <w:rPr>
                <w:rFonts w:cs="Arial"/>
                <w:b/>
                <w:bCs/>
              </w:rPr>
            </w:pPr>
            <w:r w:rsidRPr="00372553">
              <w:rPr>
                <w:rFonts w:cs="Arial"/>
                <w:b/>
                <w:bCs/>
              </w:rPr>
              <w:t>Patient Days from Actual Hours</w:t>
            </w:r>
            <w:r>
              <w:rPr>
                <w:rFonts w:cs="Arial"/>
                <w:b/>
                <w:bCs/>
              </w:rPr>
              <w:t xml:space="preserve">: </w:t>
            </w:r>
            <w:r w:rsidRPr="00194120">
              <w:rPr>
                <w:rFonts w:cs="Arial"/>
              </w:rPr>
              <w:t>The</w:t>
            </w:r>
            <w:r w:rsidRPr="00372553">
              <w:rPr>
                <w:rFonts w:cs="Arial"/>
              </w:rPr>
              <w:t xml:space="preserve"> sum </w:t>
            </w:r>
            <w:r>
              <w:rPr>
                <w:rFonts w:cs="Arial"/>
              </w:rPr>
              <w:t xml:space="preserve">of </w:t>
            </w:r>
            <w:r w:rsidRPr="00372553">
              <w:rPr>
                <w:rFonts w:cs="Arial"/>
              </w:rPr>
              <w:t>the actual hours for all patients during the reporting period divide</w:t>
            </w:r>
            <w:r>
              <w:rPr>
                <w:rFonts w:cs="Arial"/>
              </w:rPr>
              <w:t>d</w:t>
            </w:r>
            <w:r w:rsidRPr="00372553">
              <w:rPr>
                <w:rFonts w:cs="Arial"/>
              </w:rPr>
              <w:t xml:space="preserve"> by 24</w:t>
            </w:r>
            <w:r>
              <w:rPr>
                <w:rFonts w:cs="Arial"/>
              </w:rPr>
              <w:t>; typically obtained from an accounting system that tracks the actual time spent in the hospital by each patient</w:t>
            </w:r>
            <w:r w:rsidRPr="00372553">
              <w:rPr>
                <w:rFonts w:cs="Arial"/>
              </w:rPr>
              <w:t>.</w:t>
            </w:r>
          </w:p>
          <w:p w14:paraId="34289023" w14:textId="61949A67" w:rsidR="00B71135" w:rsidRPr="00372553" w:rsidRDefault="00D0444E" w:rsidP="00AD309C">
            <w:pPr>
              <w:pStyle w:val="ListParagraph"/>
              <w:numPr>
                <w:ilvl w:val="0"/>
                <w:numId w:val="379"/>
              </w:numPr>
              <w:autoSpaceDE w:val="0"/>
              <w:autoSpaceDN w:val="0"/>
              <w:adjustRightInd w:val="0"/>
              <w:rPr>
                <w:rFonts w:cs="Arial"/>
                <w:b/>
                <w:bCs/>
              </w:rPr>
            </w:pPr>
            <w:r w:rsidRPr="00372553">
              <w:rPr>
                <w:rFonts w:cs="Arial"/>
                <w:b/>
                <w:bCs/>
              </w:rPr>
              <w:t>Patient Days from Multiple Census Reports</w:t>
            </w:r>
            <w:r>
              <w:rPr>
                <w:rFonts w:cs="Arial"/>
                <w:b/>
                <w:bCs/>
              </w:rPr>
              <w:t xml:space="preserve">: </w:t>
            </w:r>
            <w:r>
              <w:rPr>
                <w:rFonts w:cs="Arial"/>
              </w:rPr>
              <w:t xml:space="preserve">The </w:t>
            </w:r>
            <w:r w:rsidRPr="00372553">
              <w:rPr>
                <w:rFonts w:cs="Arial"/>
              </w:rPr>
              <w:t xml:space="preserve">sum </w:t>
            </w:r>
            <w:r>
              <w:rPr>
                <w:rFonts w:cs="Arial"/>
              </w:rPr>
              <w:t xml:space="preserve">of </w:t>
            </w:r>
            <w:r w:rsidRPr="00372553">
              <w:rPr>
                <w:rFonts w:cs="Arial"/>
              </w:rPr>
              <w:t xml:space="preserve">the daily average censuses </w:t>
            </w:r>
            <w:r>
              <w:rPr>
                <w:rFonts w:cs="Arial"/>
              </w:rPr>
              <w:t xml:space="preserve">collected during the reporting period; typically collected multiple times per day (e.g., every 4 hours or each shift). </w:t>
            </w:r>
          </w:p>
          <w:p w14:paraId="4C636821" w14:textId="77777777" w:rsidR="00B71135" w:rsidRDefault="00B71135" w:rsidP="00B71135">
            <w:pPr>
              <w:autoSpaceDE w:val="0"/>
              <w:autoSpaceDN w:val="0"/>
              <w:adjustRightInd w:val="0"/>
              <w:rPr>
                <w:rFonts w:cs="Arial"/>
              </w:rPr>
            </w:pPr>
          </w:p>
          <w:p w14:paraId="1BA7A8FC" w14:textId="60950484" w:rsidR="00D0444E" w:rsidRPr="00B71135" w:rsidRDefault="00B71135" w:rsidP="003A5BED">
            <w:pPr>
              <w:autoSpaceDE w:val="0"/>
              <w:autoSpaceDN w:val="0"/>
              <w:adjustRightInd w:val="0"/>
              <w:rPr>
                <w:rFonts w:cs="Arial"/>
                <w:b/>
                <w:bCs/>
              </w:rPr>
            </w:pPr>
            <w:r w:rsidRPr="0004565D">
              <w:rPr>
                <w:rFonts w:cs="Arial"/>
              </w:rPr>
              <w:t>Note: Patient days should be calculated to include all patients in adult and pediatric single acuity Medical, Surgical, Med-Surg or mixed acuity Medical, Surgical or Med-Surg Units. This includes patients that do not have inpatient status (i.e., observation patients).</w:t>
            </w:r>
          </w:p>
        </w:tc>
      </w:tr>
    </w:tbl>
    <w:p w14:paraId="5252BCD9" w14:textId="77777777" w:rsidR="00D0444E" w:rsidRDefault="00D0444E" w:rsidP="00D0444E">
      <w:pPr>
        <w:rPr>
          <w:rFonts w:cs="Arial"/>
        </w:rPr>
      </w:pPr>
    </w:p>
    <w:p w14:paraId="571C97DA" w14:textId="32666950" w:rsidR="00290399" w:rsidRDefault="00290399">
      <w:r>
        <w:br w:type="page"/>
      </w:r>
    </w:p>
    <w:tbl>
      <w:tblPr>
        <w:tblStyle w:val="TableGrid"/>
        <w:tblW w:w="0" w:type="auto"/>
        <w:tblLook w:val="04A0" w:firstRow="1" w:lastRow="0" w:firstColumn="1" w:lastColumn="0" w:noHBand="0" w:noVBand="1"/>
      </w:tblPr>
      <w:tblGrid>
        <w:gridCol w:w="9350"/>
      </w:tblGrid>
      <w:tr w:rsidR="00D0444E" w14:paraId="69343485" w14:textId="77777777" w:rsidTr="00D73F6A">
        <w:trPr>
          <w:trHeight w:val="288"/>
        </w:trPr>
        <w:tc>
          <w:tcPr>
            <w:tcW w:w="9350" w:type="dxa"/>
            <w:shd w:val="clear" w:color="auto" w:fill="BFBFBF" w:themeFill="background1" w:themeFillShade="BF"/>
            <w:vAlign w:val="center"/>
          </w:tcPr>
          <w:p w14:paraId="7EFA73AA" w14:textId="6C2EB627" w:rsidR="00D0444E" w:rsidRPr="0001518E" w:rsidDel="00750EA2" w:rsidRDefault="00DD04D6" w:rsidP="00D73F6A">
            <w:pPr>
              <w:pStyle w:val="Heading6"/>
            </w:pPr>
            <w:r>
              <w:rPr>
                <w:rFonts w:ascii="ZWAdobeF" w:hAnsi="ZWAdobeF" w:cs="ZWAdobeF"/>
                <w:b w:val="0"/>
                <w:color w:val="auto"/>
                <w:sz w:val="2"/>
                <w:szCs w:val="2"/>
              </w:rPr>
              <w:t>0B</w:t>
            </w:r>
            <w:r w:rsidR="00953060">
              <w:rPr>
                <w:rFonts w:ascii="ZWAdobeF" w:hAnsi="ZWAdobeF" w:cs="ZWAdobeF"/>
                <w:b w:val="0"/>
                <w:color w:val="auto"/>
                <w:sz w:val="2"/>
                <w:szCs w:val="2"/>
              </w:rPr>
              <w:t>0B</w:t>
            </w:r>
            <w:r w:rsidR="00E453C7">
              <w:rPr>
                <w:rFonts w:ascii="ZWAdobeF" w:hAnsi="ZWAdobeF" w:cs="ZWAdobeF"/>
                <w:b w:val="0"/>
                <w:color w:val="auto"/>
                <w:sz w:val="2"/>
                <w:szCs w:val="2"/>
              </w:rPr>
              <w:t>0B</w:t>
            </w:r>
            <w:r w:rsidR="006255A6">
              <w:rPr>
                <w:rFonts w:ascii="ZWAdobeF" w:hAnsi="ZWAdobeF" w:cs="ZWAdobeF"/>
                <w:b w:val="0"/>
                <w:color w:val="auto"/>
                <w:sz w:val="2"/>
                <w:szCs w:val="2"/>
              </w:rPr>
              <w:t>0B</w:t>
            </w:r>
            <w:r w:rsidR="00B55C41">
              <w:rPr>
                <w:rFonts w:ascii="ZWAdobeF" w:hAnsi="ZWAdobeF" w:cs="ZWAdobeF"/>
                <w:b w:val="0"/>
                <w:color w:val="auto"/>
                <w:sz w:val="2"/>
                <w:szCs w:val="2"/>
              </w:rPr>
              <w:t>0B</w:t>
            </w:r>
            <w:r w:rsidR="00C2087D">
              <w:rPr>
                <w:rFonts w:ascii="ZWAdobeF" w:hAnsi="ZWAdobeF" w:cs="ZWAdobeF"/>
                <w:b w:val="0"/>
                <w:color w:val="auto"/>
                <w:sz w:val="2"/>
                <w:szCs w:val="2"/>
              </w:rPr>
              <w:t>0B</w:t>
            </w:r>
            <w:r w:rsidR="004C7557">
              <w:rPr>
                <w:rFonts w:ascii="ZWAdobeF" w:hAnsi="ZWAdobeF" w:cs="ZWAdobeF"/>
                <w:b w:val="0"/>
                <w:color w:val="auto"/>
                <w:sz w:val="2"/>
                <w:szCs w:val="2"/>
              </w:rPr>
              <w:t>0B</w:t>
            </w:r>
            <w:r w:rsidR="00BF053F">
              <w:rPr>
                <w:rFonts w:ascii="ZWAdobeF" w:hAnsi="ZWAdobeF" w:cs="ZWAdobeF"/>
                <w:b w:val="0"/>
                <w:color w:val="auto"/>
                <w:sz w:val="2"/>
                <w:szCs w:val="2"/>
              </w:rPr>
              <w:t>0B</w:t>
            </w:r>
            <w:r w:rsidR="00D0444E" w:rsidRPr="0001518E">
              <w:t>Single Acuity Adult or Pediatric Medical, Surgical, or Med-Surg Units (questions #</w:t>
            </w:r>
            <w:r w:rsidR="00290399">
              <w:t>4</w:t>
            </w:r>
            <w:r w:rsidR="00D0444E" w:rsidRPr="0001518E">
              <w:t>-</w:t>
            </w:r>
            <w:r w:rsidR="00290399">
              <w:t>9</w:t>
            </w:r>
            <w:r w:rsidR="00D0444E" w:rsidRPr="0001518E">
              <w:t>)</w:t>
            </w:r>
          </w:p>
        </w:tc>
      </w:tr>
      <w:tr w:rsidR="00D0444E" w14:paraId="5BC2C4E2" w14:textId="77777777" w:rsidTr="00D73F6A">
        <w:tc>
          <w:tcPr>
            <w:tcW w:w="9350" w:type="dxa"/>
            <w:vAlign w:val="center"/>
          </w:tcPr>
          <w:p w14:paraId="12CFC496" w14:textId="008F6B04" w:rsidR="00D0444E" w:rsidRPr="00E9620C" w:rsidRDefault="00D0444E" w:rsidP="00D73F6A">
            <w:pPr>
              <w:rPr>
                <w:rFonts w:cs="Arial"/>
                <w:b/>
                <w:bCs/>
              </w:rPr>
            </w:pPr>
            <w:r w:rsidRPr="00E9620C">
              <w:rPr>
                <w:rFonts w:cs="Arial"/>
                <w:b/>
                <w:bCs/>
              </w:rPr>
              <w:t>Question #</w:t>
            </w:r>
            <w:r w:rsidR="00290399">
              <w:rPr>
                <w:rFonts w:cs="Arial"/>
                <w:b/>
                <w:bCs/>
              </w:rPr>
              <w:t>4</w:t>
            </w:r>
            <w:r w:rsidRPr="00E9620C">
              <w:rPr>
                <w:rFonts w:cs="Arial"/>
                <w:b/>
                <w:bCs/>
              </w:rPr>
              <w:t>: Does your hospital operate any adult or pediatric single acuity Medical Units?</w:t>
            </w:r>
          </w:p>
          <w:p w14:paraId="47B5620B" w14:textId="77777777" w:rsidR="00D0444E" w:rsidRPr="006162E2" w:rsidRDefault="00D0444E" w:rsidP="00D73F6A">
            <w:pPr>
              <w:rPr>
                <w:rFonts w:cs="Arial"/>
              </w:rPr>
            </w:pPr>
          </w:p>
          <w:p w14:paraId="147F18A4" w14:textId="77777777" w:rsidR="00D0444E" w:rsidRPr="007A5E80" w:rsidRDefault="00D0444E" w:rsidP="00D73F6A">
            <w:pPr>
              <w:autoSpaceDE w:val="0"/>
              <w:autoSpaceDN w:val="0"/>
              <w:adjustRightInd w:val="0"/>
              <w:rPr>
                <w:rFonts w:cs="Arial"/>
                <w:b/>
                <w:bCs/>
              </w:rPr>
            </w:pPr>
            <w:r>
              <w:rPr>
                <w:rFonts w:cs="Arial"/>
                <w:b/>
                <w:bCs/>
              </w:rPr>
              <w:t xml:space="preserve">Single Acuity </w:t>
            </w:r>
            <w:r w:rsidRPr="007A5E80">
              <w:rPr>
                <w:rFonts w:cs="Arial"/>
                <w:b/>
                <w:bCs/>
              </w:rPr>
              <w:t xml:space="preserve">Medical Unit (adult </w:t>
            </w:r>
            <w:r>
              <w:rPr>
                <w:rFonts w:cs="Arial"/>
                <w:b/>
                <w:bCs/>
              </w:rPr>
              <w:t xml:space="preserve">and </w:t>
            </w:r>
            <w:r w:rsidRPr="007A5E80">
              <w:rPr>
                <w:rFonts w:cs="Arial"/>
                <w:b/>
                <w:bCs/>
              </w:rPr>
              <w:t>pediatric)</w:t>
            </w:r>
            <w:r>
              <w:rPr>
                <w:rFonts w:cs="Arial"/>
                <w:b/>
                <w:bCs/>
              </w:rPr>
              <w:t>:</w:t>
            </w:r>
          </w:p>
          <w:p w14:paraId="6AE0FA7B" w14:textId="77777777" w:rsidR="00D0444E" w:rsidRDefault="00D0444E" w:rsidP="00D73F6A">
            <w:pPr>
              <w:autoSpaceDE w:val="0"/>
              <w:autoSpaceDN w:val="0"/>
              <w:adjustRightInd w:val="0"/>
              <w:rPr>
                <w:rFonts w:cs="Arial"/>
              </w:rPr>
            </w:pPr>
            <w:r w:rsidRPr="00BB3760">
              <w:rPr>
                <w:rFonts w:cs="Arial"/>
              </w:rPr>
              <w:t xml:space="preserve">A single acuity general care unit in which at least 90% of the patients are admitted to medical services, such as internal medicine, oncology, or cardiology. Medical specialty units such as Cardiac Medical, GI Medical, Infectious Disease Medical, Neurology Medical, Hematology/Oncology Medical, Renal Medical, and Respiratory Medical, are also included. </w:t>
            </w:r>
          </w:p>
          <w:p w14:paraId="4E890B8B" w14:textId="77777777" w:rsidR="00F850F2" w:rsidRDefault="00F850F2" w:rsidP="00D73F6A">
            <w:pPr>
              <w:autoSpaceDE w:val="0"/>
              <w:autoSpaceDN w:val="0"/>
              <w:adjustRightInd w:val="0"/>
              <w:rPr>
                <w:rFonts w:cs="Arial"/>
              </w:rPr>
            </w:pPr>
          </w:p>
          <w:p w14:paraId="2E2814BE" w14:textId="77777777" w:rsidR="00F850F2" w:rsidRPr="00BB3760" w:rsidRDefault="00F850F2" w:rsidP="00F850F2">
            <w:pPr>
              <w:autoSpaceDE w:val="0"/>
              <w:autoSpaceDN w:val="0"/>
              <w:adjustRightInd w:val="0"/>
              <w:rPr>
                <w:rFonts w:cs="Arial"/>
              </w:rPr>
            </w:pPr>
            <w:r>
              <w:rPr>
                <w:rFonts w:cs="Arial"/>
              </w:rPr>
              <w:t xml:space="preserve">Note: </w:t>
            </w:r>
            <w:r w:rsidRPr="00967917">
              <w:rPr>
                <w:rFonts w:cs="Arial"/>
              </w:rPr>
              <w:t>For the purposes of these measures, Leapfrog has aligned with NDNQI, which defines units based on the acuity of the patients being cared for in the unit, and not the equipment being used. Telemetry is considered a monitoring tool rather than an evaluation of a patient’s level of acuity. For example, a unit that has all telemetry patients may still have a general population level of patients that would meet NDNQI’s definition of a medical, surgical, or med-surg unit. Hospitals should evaluate the actual acuity of the patients in each unit to determine the appropriate unit designation.</w:t>
            </w:r>
          </w:p>
          <w:p w14:paraId="53F635A5" w14:textId="77777777" w:rsidR="00D0444E" w:rsidRDefault="00D0444E" w:rsidP="00D73F6A">
            <w:pPr>
              <w:rPr>
                <w:rFonts w:cs="Arial"/>
              </w:rPr>
            </w:pPr>
          </w:p>
          <w:p w14:paraId="2774E99D" w14:textId="77777777" w:rsidR="00D0444E" w:rsidRPr="00A90AE6" w:rsidRDefault="00D0444E" w:rsidP="00D73F6A">
            <w:pPr>
              <w:autoSpaceDE w:val="0"/>
              <w:autoSpaceDN w:val="0"/>
              <w:adjustRightInd w:val="0"/>
              <w:rPr>
                <w:rFonts w:cs="Arial"/>
                <w:b/>
                <w:bCs/>
              </w:rPr>
            </w:pPr>
            <w:r w:rsidRPr="00A90AE6">
              <w:rPr>
                <w:rFonts w:cs="Arial"/>
                <w:b/>
                <w:bCs/>
              </w:rPr>
              <w:t xml:space="preserve">Excluded units: </w:t>
            </w:r>
          </w:p>
          <w:p w14:paraId="4B32EA60" w14:textId="77777777" w:rsidR="00D0444E" w:rsidRPr="00C41528" w:rsidRDefault="00D0444E" w:rsidP="00AD309C">
            <w:pPr>
              <w:pStyle w:val="ListParagraph"/>
              <w:numPr>
                <w:ilvl w:val="0"/>
                <w:numId w:val="372"/>
              </w:numPr>
              <w:autoSpaceDE w:val="0"/>
              <w:autoSpaceDN w:val="0"/>
              <w:adjustRightInd w:val="0"/>
              <w:rPr>
                <w:rFonts w:cs="Arial"/>
              </w:rPr>
            </w:pPr>
            <w:r w:rsidRPr="00C41528">
              <w:rPr>
                <w:rFonts w:cs="Arial"/>
              </w:rPr>
              <w:t>Labor and Delivery</w:t>
            </w:r>
          </w:p>
          <w:p w14:paraId="7B564382" w14:textId="77777777" w:rsidR="00D0444E" w:rsidRDefault="00D0444E" w:rsidP="00AD309C">
            <w:pPr>
              <w:pStyle w:val="ListParagraph"/>
              <w:numPr>
                <w:ilvl w:val="0"/>
                <w:numId w:val="372"/>
              </w:numPr>
              <w:autoSpaceDE w:val="0"/>
              <w:autoSpaceDN w:val="0"/>
              <w:adjustRightInd w:val="0"/>
              <w:rPr>
                <w:rFonts w:cs="Arial"/>
              </w:rPr>
            </w:pPr>
            <w:r w:rsidRPr="00C41528">
              <w:rPr>
                <w:rFonts w:cs="Arial"/>
              </w:rPr>
              <w:t>Neonatal</w:t>
            </w:r>
          </w:p>
          <w:p w14:paraId="2466300C" w14:textId="77777777" w:rsidR="00782E94" w:rsidRPr="009E0CC7" w:rsidRDefault="00782E94" w:rsidP="00AD309C">
            <w:pPr>
              <w:pStyle w:val="ListParagraph"/>
              <w:numPr>
                <w:ilvl w:val="0"/>
                <w:numId w:val="372"/>
              </w:numPr>
              <w:autoSpaceDE w:val="0"/>
              <w:autoSpaceDN w:val="0"/>
              <w:adjustRightInd w:val="0"/>
              <w:rPr>
                <w:rFonts w:cs="Arial"/>
              </w:rPr>
            </w:pPr>
            <w:r w:rsidRPr="0004565D">
              <w:rPr>
                <w:rFonts w:cs="Arial"/>
              </w:rPr>
              <w:t>Critical Access</w:t>
            </w:r>
            <w:r>
              <w:rPr>
                <w:rFonts w:cs="Arial"/>
              </w:rPr>
              <w:t xml:space="preserve"> (</w:t>
            </w:r>
            <w:r w:rsidRPr="0004565D">
              <w:rPr>
                <w:rFonts w:cs="Arial"/>
              </w:rPr>
              <w:t>a unit where more than 10% of beds are for skilled nursing (swing beds)</w:t>
            </w:r>
            <w:r>
              <w:rPr>
                <w:rFonts w:cs="Arial"/>
              </w:rPr>
              <w:t>)</w:t>
            </w:r>
          </w:p>
          <w:p w14:paraId="3768BBE0" w14:textId="77777777" w:rsidR="00D0444E" w:rsidRPr="00C41528" w:rsidRDefault="00D0444E" w:rsidP="00AD309C">
            <w:pPr>
              <w:pStyle w:val="ListParagraph"/>
              <w:numPr>
                <w:ilvl w:val="0"/>
                <w:numId w:val="372"/>
              </w:numPr>
              <w:autoSpaceDE w:val="0"/>
              <w:autoSpaceDN w:val="0"/>
              <w:adjustRightInd w:val="0"/>
              <w:rPr>
                <w:rFonts w:cs="Arial"/>
              </w:rPr>
            </w:pPr>
            <w:r w:rsidRPr="00C41528">
              <w:rPr>
                <w:rFonts w:cs="Arial"/>
              </w:rPr>
              <w:t>Rehabilitation</w:t>
            </w:r>
          </w:p>
          <w:p w14:paraId="47FC5EB6" w14:textId="77777777" w:rsidR="00D0444E" w:rsidRPr="00C41528" w:rsidRDefault="00D0444E" w:rsidP="00AD309C">
            <w:pPr>
              <w:pStyle w:val="ListParagraph"/>
              <w:numPr>
                <w:ilvl w:val="0"/>
                <w:numId w:val="372"/>
              </w:numPr>
              <w:autoSpaceDE w:val="0"/>
              <w:autoSpaceDN w:val="0"/>
              <w:adjustRightInd w:val="0"/>
              <w:rPr>
                <w:rFonts w:cs="Arial"/>
              </w:rPr>
            </w:pPr>
            <w:r w:rsidRPr="00C41528">
              <w:rPr>
                <w:rFonts w:cs="Arial"/>
              </w:rPr>
              <w:t>Psychiatric</w:t>
            </w:r>
          </w:p>
          <w:p w14:paraId="37CA39E5" w14:textId="77777777" w:rsidR="00D0444E" w:rsidRPr="00C41528" w:rsidRDefault="00D0444E" w:rsidP="00AD309C">
            <w:pPr>
              <w:pStyle w:val="ListParagraph"/>
              <w:numPr>
                <w:ilvl w:val="0"/>
                <w:numId w:val="372"/>
              </w:numPr>
              <w:autoSpaceDE w:val="0"/>
              <w:autoSpaceDN w:val="0"/>
              <w:adjustRightInd w:val="0"/>
              <w:rPr>
                <w:rFonts w:cs="Arial"/>
              </w:rPr>
            </w:pPr>
            <w:r w:rsidRPr="00C41528">
              <w:rPr>
                <w:rFonts w:cs="Arial"/>
              </w:rPr>
              <w:t>Perioperative</w:t>
            </w:r>
          </w:p>
          <w:p w14:paraId="641BCE7F" w14:textId="77777777" w:rsidR="00D0444E" w:rsidRPr="00C41528" w:rsidRDefault="00D0444E" w:rsidP="00AD309C">
            <w:pPr>
              <w:pStyle w:val="ListParagraph"/>
              <w:numPr>
                <w:ilvl w:val="0"/>
                <w:numId w:val="372"/>
              </w:numPr>
              <w:autoSpaceDE w:val="0"/>
              <w:autoSpaceDN w:val="0"/>
              <w:adjustRightInd w:val="0"/>
              <w:rPr>
                <w:rFonts w:cs="Arial"/>
              </w:rPr>
            </w:pPr>
            <w:r w:rsidRPr="00C41528">
              <w:rPr>
                <w:rFonts w:cs="Arial"/>
              </w:rPr>
              <w:t>Critical Care</w:t>
            </w:r>
          </w:p>
          <w:p w14:paraId="19CDC2D8" w14:textId="77777777" w:rsidR="00D0444E" w:rsidRPr="00C41528" w:rsidRDefault="00D0444E" w:rsidP="00AD309C">
            <w:pPr>
              <w:pStyle w:val="ListParagraph"/>
              <w:numPr>
                <w:ilvl w:val="0"/>
                <w:numId w:val="372"/>
              </w:numPr>
              <w:autoSpaceDE w:val="0"/>
              <w:autoSpaceDN w:val="0"/>
              <w:adjustRightInd w:val="0"/>
              <w:rPr>
                <w:rFonts w:cs="Arial"/>
              </w:rPr>
            </w:pPr>
            <w:r w:rsidRPr="00C41528">
              <w:rPr>
                <w:rFonts w:cs="Arial"/>
              </w:rPr>
              <w:t>Step Down/Progressive</w:t>
            </w:r>
          </w:p>
          <w:p w14:paraId="05B890BE" w14:textId="77777777" w:rsidR="00D0444E" w:rsidRPr="00C41528" w:rsidRDefault="00D0444E" w:rsidP="00AD309C">
            <w:pPr>
              <w:pStyle w:val="ListParagraph"/>
              <w:numPr>
                <w:ilvl w:val="0"/>
                <w:numId w:val="372"/>
              </w:numPr>
              <w:autoSpaceDE w:val="0"/>
              <w:autoSpaceDN w:val="0"/>
              <w:adjustRightInd w:val="0"/>
              <w:rPr>
                <w:rFonts w:cs="Arial"/>
              </w:rPr>
            </w:pPr>
            <w:r w:rsidRPr="00C41528">
              <w:rPr>
                <w:rFonts w:cs="Arial"/>
              </w:rPr>
              <w:t>Hospice</w:t>
            </w:r>
          </w:p>
          <w:p w14:paraId="14958C50" w14:textId="574FC9F7" w:rsidR="00D0444E" w:rsidRPr="00C41528" w:rsidRDefault="00D0444E" w:rsidP="00AD309C">
            <w:pPr>
              <w:pStyle w:val="ListParagraph"/>
              <w:numPr>
                <w:ilvl w:val="0"/>
                <w:numId w:val="372"/>
              </w:numPr>
              <w:autoSpaceDE w:val="0"/>
              <w:autoSpaceDN w:val="0"/>
              <w:adjustRightInd w:val="0"/>
              <w:rPr>
                <w:rFonts w:cs="Arial"/>
              </w:rPr>
            </w:pPr>
            <w:r w:rsidRPr="00C41528">
              <w:rPr>
                <w:rFonts w:cs="Arial"/>
              </w:rPr>
              <w:t>Mixed Acuity Units: a unit where more than 10% of the patients in the unit receive varying levels of care (e.g., general medical care and progressive care or intensive care)</w:t>
            </w:r>
          </w:p>
          <w:p w14:paraId="483490E2" w14:textId="77777777" w:rsidR="00D0444E" w:rsidRPr="00C41528" w:rsidRDefault="00D0444E" w:rsidP="00AD309C">
            <w:pPr>
              <w:pStyle w:val="ListParagraph"/>
              <w:numPr>
                <w:ilvl w:val="0"/>
                <w:numId w:val="372"/>
              </w:numPr>
              <w:autoSpaceDE w:val="0"/>
              <w:autoSpaceDN w:val="0"/>
              <w:adjustRightInd w:val="0"/>
              <w:rPr>
                <w:rFonts w:cs="Arial"/>
              </w:rPr>
            </w:pPr>
            <w:r w:rsidRPr="00C41528">
              <w:rPr>
                <w:rFonts w:cs="Arial"/>
              </w:rPr>
              <w:t xml:space="preserve">Units with fewer </w:t>
            </w:r>
            <w:r w:rsidRPr="00F62669">
              <w:rPr>
                <w:rFonts w:cs="Arial"/>
                <w:iCs/>
                <w:snapToGrid w:val="0"/>
              </w:rPr>
              <w:t>than 15 patient days per month for all 3 months of any quarter of the reporting period</w:t>
            </w:r>
          </w:p>
          <w:p w14:paraId="23A7144E" w14:textId="77777777" w:rsidR="00D0444E" w:rsidRPr="00400018" w:rsidRDefault="00D0444E" w:rsidP="00AD309C">
            <w:pPr>
              <w:pStyle w:val="ListParagraph"/>
              <w:numPr>
                <w:ilvl w:val="0"/>
                <w:numId w:val="372"/>
              </w:numPr>
              <w:autoSpaceDE w:val="0"/>
              <w:autoSpaceDN w:val="0"/>
              <w:adjustRightInd w:val="0"/>
              <w:rPr>
                <w:rFonts w:cs="Arial"/>
              </w:rPr>
            </w:pPr>
            <w:r w:rsidRPr="007E72F2">
              <w:rPr>
                <w:rFonts w:cs="Arial"/>
              </w:rPr>
              <w:t>Units that transitioned to an excluded unit type during the reporting period (e.g., a single acuity Medical Unit transitioned to a critical care unit during the reporting period)</w:t>
            </w:r>
          </w:p>
        </w:tc>
      </w:tr>
      <w:tr w:rsidR="00D0444E" w14:paraId="442E9156" w14:textId="77777777" w:rsidTr="00D73F6A">
        <w:tc>
          <w:tcPr>
            <w:tcW w:w="9350" w:type="dxa"/>
            <w:vAlign w:val="center"/>
          </w:tcPr>
          <w:p w14:paraId="5A07F60E" w14:textId="77FDC115" w:rsidR="00D0444E" w:rsidRDefault="00D0444E" w:rsidP="00D73F6A">
            <w:pPr>
              <w:rPr>
                <w:rFonts w:cs="Arial"/>
                <w:b/>
                <w:bCs/>
              </w:rPr>
            </w:pPr>
            <w:r>
              <w:rPr>
                <w:rFonts w:cs="Arial"/>
                <w:b/>
                <w:bCs/>
              </w:rPr>
              <w:t>Question #</w:t>
            </w:r>
            <w:r w:rsidR="00095E9C">
              <w:rPr>
                <w:rFonts w:cs="Arial"/>
                <w:b/>
                <w:bCs/>
              </w:rPr>
              <w:t>5</w:t>
            </w:r>
            <w:r>
              <w:rPr>
                <w:rFonts w:cs="Arial"/>
                <w:b/>
                <w:bCs/>
              </w:rPr>
              <w:t>: Single Acuity Medical Units</w:t>
            </w:r>
          </w:p>
          <w:p w14:paraId="7E775CC3" w14:textId="77777777" w:rsidR="00D0444E" w:rsidRPr="00E9620C" w:rsidRDefault="00D0444E" w:rsidP="00D73F6A">
            <w:pPr>
              <w:rPr>
                <w:rFonts w:cs="Arial"/>
                <w:b/>
                <w:bCs/>
              </w:rPr>
            </w:pPr>
            <w:r w:rsidRPr="00BB3760">
              <w:rPr>
                <w:rFonts w:cs="Arial"/>
              </w:rPr>
              <w:t xml:space="preserve">Enter your hospital’s responses for each quarter for all adult and pediatric single acuity </w:t>
            </w:r>
            <w:r w:rsidRPr="00C41959">
              <w:rPr>
                <w:b/>
                <w:bCs/>
              </w:rPr>
              <w:t>Medical Units</w:t>
            </w:r>
            <w:r w:rsidRPr="00BB3760">
              <w:rPr>
                <w:rFonts w:cs="Arial"/>
              </w:rPr>
              <w:t xml:space="preserve"> for the reporting period selected in question #1</w:t>
            </w:r>
            <w:r>
              <w:rPr>
                <w:rFonts w:cs="Arial"/>
              </w:rPr>
              <w:t>.</w:t>
            </w:r>
          </w:p>
        </w:tc>
      </w:tr>
      <w:tr w:rsidR="00D0444E" w14:paraId="6E7337A1" w14:textId="77777777" w:rsidTr="00D73F6A">
        <w:tc>
          <w:tcPr>
            <w:tcW w:w="9350" w:type="dxa"/>
          </w:tcPr>
          <w:p w14:paraId="498A6AAE" w14:textId="4B1D22F0" w:rsidR="00D0444E" w:rsidRPr="00BB3760" w:rsidRDefault="00D0444E" w:rsidP="00D73F6A">
            <w:pPr>
              <w:rPr>
                <w:rFonts w:cs="Arial"/>
              </w:rPr>
            </w:pPr>
            <w:r w:rsidRPr="001521B8">
              <w:rPr>
                <w:rFonts w:cs="Arial"/>
                <w:b/>
                <w:bCs/>
              </w:rPr>
              <w:t xml:space="preserve">Question </w:t>
            </w:r>
            <w:r>
              <w:rPr>
                <w:rFonts w:cs="Arial"/>
                <w:b/>
                <w:bCs/>
              </w:rPr>
              <w:t>#</w:t>
            </w:r>
            <w:r w:rsidR="00095E9C">
              <w:rPr>
                <w:rFonts w:cs="Arial"/>
                <w:b/>
                <w:bCs/>
              </w:rPr>
              <w:t>5</w:t>
            </w:r>
            <w:r w:rsidRPr="001521B8">
              <w:rPr>
                <w:rFonts w:cs="Arial"/>
                <w:b/>
                <w:bCs/>
              </w:rPr>
              <w:t>(a):</w:t>
            </w:r>
            <w:r w:rsidRPr="00670605">
              <w:rPr>
                <w:rFonts w:cs="Arial"/>
                <w:b/>
                <w:bCs/>
              </w:rPr>
              <w:t xml:space="preserve"> </w:t>
            </w:r>
            <w:r w:rsidRPr="00BB3760">
              <w:rPr>
                <w:rFonts w:cs="Arial"/>
              </w:rPr>
              <w:t>Total number of patient days</w:t>
            </w:r>
            <w:r>
              <w:rPr>
                <w:rFonts w:cs="Arial"/>
              </w:rPr>
              <w:t xml:space="preserve"> across</w:t>
            </w:r>
            <w:r w:rsidRPr="00BB3760">
              <w:rPr>
                <w:rFonts w:cs="Arial"/>
              </w:rPr>
              <w:t xml:space="preserve"> all </w:t>
            </w:r>
            <w:r>
              <w:rPr>
                <w:rFonts w:cs="Arial"/>
              </w:rPr>
              <w:t xml:space="preserve">adult and pediatric </w:t>
            </w:r>
            <w:r w:rsidRPr="00BB3760">
              <w:rPr>
                <w:rFonts w:cs="Arial"/>
              </w:rPr>
              <w:t xml:space="preserve">single acuity </w:t>
            </w:r>
            <w:r w:rsidRPr="00C41959">
              <w:rPr>
                <w:rFonts w:cs="Arial"/>
                <w:b/>
                <w:bCs/>
              </w:rPr>
              <w:t>Medical Units</w:t>
            </w:r>
            <w:r w:rsidRPr="00BB3760">
              <w:rPr>
                <w:rFonts w:cs="Arial"/>
              </w:rPr>
              <w:t xml:space="preserve"> </w:t>
            </w:r>
            <w:r>
              <w:rPr>
                <w:rFonts w:cs="Arial"/>
              </w:rPr>
              <w:t xml:space="preserve">during each quarter of the reporting period </w:t>
            </w:r>
            <w:r w:rsidRPr="00BB3760">
              <w:rPr>
                <w:rFonts w:cs="Arial"/>
              </w:rPr>
              <w:t xml:space="preserve">based on your hospital’s method for counting patient days. </w:t>
            </w:r>
          </w:p>
          <w:p w14:paraId="5E2B7844" w14:textId="77777777" w:rsidR="00D0444E" w:rsidRPr="00BB3760" w:rsidRDefault="00D0444E" w:rsidP="00D73F6A">
            <w:pPr>
              <w:autoSpaceDE w:val="0"/>
              <w:autoSpaceDN w:val="0"/>
              <w:adjustRightInd w:val="0"/>
              <w:rPr>
                <w:rFonts w:cs="Arial"/>
              </w:rPr>
            </w:pPr>
          </w:p>
          <w:p w14:paraId="44B1A77D" w14:textId="77777777" w:rsidR="00D0444E" w:rsidRPr="00CA7146" w:rsidRDefault="00D0444E" w:rsidP="00D73F6A">
            <w:pPr>
              <w:rPr>
                <w:rFonts w:cs="Arial"/>
              </w:rPr>
            </w:pPr>
            <w:r w:rsidRPr="00BB3760">
              <w:rPr>
                <w:rFonts w:cs="Arial"/>
              </w:rPr>
              <w:t xml:space="preserve">Patient days should be calculated to include all patients in </w:t>
            </w:r>
            <w:r w:rsidRPr="00331343">
              <w:rPr>
                <w:rFonts w:cs="Arial"/>
              </w:rPr>
              <w:t xml:space="preserve">adult </w:t>
            </w:r>
            <w:r>
              <w:rPr>
                <w:rFonts w:cs="Arial"/>
              </w:rPr>
              <w:t>and</w:t>
            </w:r>
            <w:r w:rsidRPr="00331343">
              <w:rPr>
                <w:rFonts w:cs="Arial"/>
              </w:rPr>
              <w:t xml:space="preserve"> pediatric single acuity Medical Unit</w:t>
            </w:r>
            <w:r>
              <w:rPr>
                <w:rFonts w:cs="Arial"/>
              </w:rPr>
              <w:t>s</w:t>
            </w:r>
            <w:r w:rsidRPr="00BB3760">
              <w:rPr>
                <w:rFonts w:cs="Arial"/>
              </w:rPr>
              <w:t>. This includes patients that do not have inpatient status (i.e., observation patients).</w:t>
            </w:r>
          </w:p>
        </w:tc>
      </w:tr>
      <w:tr w:rsidR="00D0444E" w14:paraId="0C7F8BC7" w14:textId="77777777" w:rsidTr="00D73F6A">
        <w:tc>
          <w:tcPr>
            <w:tcW w:w="9350" w:type="dxa"/>
          </w:tcPr>
          <w:p w14:paraId="552A17CB" w14:textId="671C0613" w:rsidR="00D0444E" w:rsidRDefault="00D0444E" w:rsidP="00D73F6A">
            <w:pPr>
              <w:autoSpaceDE w:val="0"/>
              <w:autoSpaceDN w:val="0"/>
              <w:adjustRightInd w:val="0"/>
              <w:rPr>
                <w:rFonts w:cs="Arial"/>
              </w:rPr>
            </w:pPr>
            <w:r w:rsidRPr="00632627">
              <w:rPr>
                <w:rFonts w:cs="Arial"/>
                <w:b/>
                <w:bCs/>
              </w:rPr>
              <w:t xml:space="preserve">Question </w:t>
            </w:r>
            <w:r>
              <w:rPr>
                <w:rFonts w:cs="Arial"/>
                <w:b/>
                <w:bCs/>
              </w:rPr>
              <w:t>#</w:t>
            </w:r>
            <w:r w:rsidR="00095E9C">
              <w:rPr>
                <w:rFonts w:cs="Arial"/>
                <w:b/>
                <w:bCs/>
              </w:rPr>
              <w:t>5</w:t>
            </w:r>
            <w:r w:rsidRPr="00632627">
              <w:rPr>
                <w:rFonts w:cs="Arial"/>
                <w:b/>
                <w:bCs/>
              </w:rPr>
              <w:t>(b):</w:t>
            </w:r>
            <w:r w:rsidRPr="00670605">
              <w:rPr>
                <w:rFonts w:cs="Arial"/>
                <w:b/>
                <w:bCs/>
              </w:rPr>
              <w:t xml:space="preserve"> </w:t>
            </w:r>
            <w:r w:rsidRPr="00BB3760">
              <w:rPr>
                <w:rFonts w:cs="Arial"/>
              </w:rPr>
              <w:t>Total number of productive hours worked by employe</w:t>
            </w:r>
            <w:r>
              <w:rPr>
                <w:rFonts w:cs="Arial"/>
              </w:rPr>
              <w:t>d</w:t>
            </w:r>
            <w:r w:rsidRPr="00BB3760">
              <w:rPr>
                <w:rFonts w:cs="Arial"/>
              </w:rPr>
              <w:t xml:space="preserve"> and contract</w:t>
            </w:r>
            <w:r>
              <w:rPr>
                <w:rFonts w:cs="Arial"/>
              </w:rPr>
              <w:t>ed</w:t>
            </w:r>
            <w:r w:rsidRPr="00BB3760">
              <w:rPr>
                <w:rFonts w:cs="Arial"/>
              </w:rPr>
              <w:t xml:space="preserve"> </w:t>
            </w:r>
            <w:r w:rsidRPr="007E2D99">
              <w:rPr>
                <w:rFonts w:cs="Arial"/>
                <w:b/>
                <w:bCs/>
              </w:rPr>
              <w:t>nursing staff (RN, LPN/LVN, and UAP)</w:t>
            </w:r>
            <w:r w:rsidRPr="00BB3760">
              <w:rPr>
                <w:rFonts w:cs="Arial"/>
              </w:rPr>
              <w:t xml:space="preserve"> with direct patient care responsibilities in all </w:t>
            </w:r>
            <w:r>
              <w:rPr>
                <w:rFonts w:cs="Arial"/>
              </w:rPr>
              <w:t xml:space="preserve">adult and pediatric single acuity </w:t>
            </w:r>
            <w:r w:rsidRPr="00A831FC">
              <w:rPr>
                <w:rFonts w:cs="Arial"/>
                <w:b/>
                <w:bCs/>
              </w:rPr>
              <w:t>Medical Units</w:t>
            </w:r>
            <w:r w:rsidRPr="00BB3760">
              <w:rPr>
                <w:rFonts w:cs="Arial"/>
              </w:rPr>
              <w:t xml:space="preserve"> </w:t>
            </w:r>
            <w:r>
              <w:rPr>
                <w:rFonts w:cs="Arial"/>
              </w:rPr>
              <w:t xml:space="preserve">during </w:t>
            </w:r>
            <w:r w:rsidRPr="00BB3760">
              <w:rPr>
                <w:rFonts w:cs="Arial"/>
              </w:rPr>
              <w:t>each quarter</w:t>
            </w:r>
            <w:r>
              <w:rPr>
                <w:rFonts w:cs="Arial"/>
              </w:rPr>
              <w:t xml:space="preserve"> of the reporting period</w:t>
            </w:r>
            <w:r w:rsidRPr="00BB3760">
              <w:rPr>
                <w:rFonts w:cs="Arial"/>
              </w:rPr>
              <w:t>.</w:t>
            </w:r>
          </w:p>
          <w:p w14:paraId="4ADFADC6" w14:textId="77777777" w:rsidR="00D0444E" w:rsidRDefault="00D0444E" w:rsidP="00D73F6A">
            <w:pPr>
              <w:autoSpaceDE w:val="0"/>
              <w:autoSpaceDN w:val="0"/>
              <w:adjustRightInd w:val="0"/>
              <w:rPr>
                <w:rFonts w:cs="Arial"/>
              </w:rPr>
            </w:pPr>
          </w:p>
          <w:p w14:paraId="021A5568" w14:textId="77777777" w:rsidR="00D0444E" w:rsidRPr="007E0D9D" w:rsidRDefault="00D0444E" w:rsidP="00D73F6A">
            <w:pPr>
              <w:autoSpaceDE w:val="0"/>
              <w:autoSpaceDN w:val="0"/>
              <w:adjustRightInd w:val="0"/>
              <w:rPr>
                <w:rFonts w:cs="Arial"/>
                <w:b/>
                <w:bCs/>
                <w:u w:val="single"/>
              </w:rPr>
            </w:pPr>
            <w:r w:rsidRPr="007E0D9D">
              <w:rPr>
                <w:rFonts w:cs="Arial"/>
                <w:b/>
                <w:bCs/>
                <w:u w:val="single"/>
              </w:rPr>
              <w:t>Productive Hours</w:t>
            </w:r>
          </w:p>
          <w:p w14:paraId="474B2D67" w14:textId="77777777" w:rsidR="00D0444E" w:rsidRPr="00BB3760" w:rsidRDefault="00D0444E" w:rsidP="00D73F6A">
            <w:pPr>
              <w:autoSpaceDE w:val="0"/>
              <w:autoSpaceDN w:val="0"/>
              <w:adjustRightInd w:val="0"/>
              <w:rPr>
                <w:rFonts w:cs="Arial"/>
              </w:rPr>
            </w:pPr>
          </w:p>
          <w:p w14:paraId="2A19B239" w14:textId="77777777" w:rsidR="00D0444E" w:rsidRPr="00BB370E" w:rsidRDefault="00D0444E" w:rsidP="00D73F6A">
            <w:pPr>
              <w:autoSpaceDE w:val="0"/>
              <w:autoSpaceDN w:val="0"/>
              <w:adjustRightInd w:val="0"/>
              <w:rPr>
                <w:rFonts w:cs="Arial"/>
              </w:rPr>
            </w:pPr>
            <w:r w:rsidRPr="00A831FC">
              <w:rPr>
                <w:rFonts w:cs="Arial"/>
                <w:b/>
                <w:bCs/>
              </w:rPr>
              <w:t>Include</w:t>
            </w:r>
            <w:r w:rsidRPr="00A831FC">
              <w:rPr>
                <w:rFonts w:cs="Arial"/>
              </w:rPr>
              <w:t xml:space="preserve"> the following hours worked by </w:t>
            </w:r>
            <w:r w:rsidRPr="00BB3760">
              <w:rPr>
                <w:rFonts w:cs="Arial"/>
              </w:rPr>
              <w:t>employe</w:t>
            </w:r>
            <w:r>
              <w:rPr>
                <w:rFonts w:cs="Arial"/>
              </w:rPr>
              <w:t>d</w:t>
            </w:r>
            <w:r w:rsidRPr="00BB3760">
              <w:rPr>
                <w:rFonts w:cs="Arial"/>
              </w:rPr>
              <w:t xml:space="preserve"> and contract</w:t>
            </w:r>
            <w:r>
              <w:rPr>
                <w:rFonts w:cs="Arial"/>
              </w:rPr>
              <w:t>ed</w:t>
            </w:r>
            <w:r w:rsidRPr="00BB3760">
              <w:rPr>
                <w:rFonts w:cs="Arial"/>
              </w:rPr>
              <w:t xml:space="preserve"> </w:t>
            </w:r>
            <w:r w:rsidRPr="00A831FC">
              <w:rPr>
                <w:rFonts w:cs="Arial"/>
              </w:rPr>
              <w:t>RNs, LPN/LVNs, and UAPs</w:t>
            </w:r>
            <w:r w:rsidRPr="00BB370E">
              <w:rPr>
                <w:rFonts w:cs="Arial"/>
              </w:rPr>
              <w:t>:</w:t>
            </w:r>
          </w:p>
          <w:p w14:paraId="36D6EB1B" w14:textId="77777777" w:rsidR="00D0444E" w:rsidRDefault="00D0444E" w:rsidP="00AD309C">
            <w:pPr>
              <w:pStyle w:val="ListParagraph"/>
              <w:numPr>
                <w:ilvl w:val="0"/>
                <w:numId w:val="373"/>
              </w:numPr>
              <w:autoSpaceDE w:val="0"/>
              <w:autoSpaceDN w:val="0"/>
              <w:adjustRightInd w:val="0"/>
              <w:rPr>
                <w:rFonts w:cs="Arial"/>
              </w:rPr>
            </w:pPr>
            <w:r>
              <w:rPr>
                <w:rFonts w:cs="Arial"/>
              </w:rPr>
              <w:t>A</w:t>
            </w:r>
            <w:r w:rsidRPr="00153B88">
              <w:rPr>
                <w:rFonts w:cs="Arial"/>
              </w:rPr>
              <w:t xml:space="preserve">ctual </w:t>
            </w:r>
            <w:r w:rsidRPr="005F5019">
              <w:t>direct patient care</w:t>
            </w:r>
            <w:r w:rsidRPr="00153B88">
              <w:rPr>
                <w:rFonts w:cs="Arial"/>
              </w:rPr>
              <w:t xml:space="preserve"> hours worked by nursing staff</w:t>
            </w:r>
          </w:p>
          <w:p w14:paraId="6E063FB3" w14:textId="77777777" w:rsidR="00D0444E" w:rsidRPr="0008544D" w:rsidRDefault="00D0444E" w:rsidP="00AD309C">
            <w:pPr>
              <w:pStyle w:val="ListParagraph"/>
              <w:numPr>
                <w:ilvl w:val="0"/>
                <w:numId w:val="373"/>
              </w:numPr>
              <w:autoSpaceDE w:val="0"/>
              <w:autoSpaceDN w:val="0"/>
              <w:adjustRightInd w:val="0"/>
              <w:rPr>
                <w:rFonts w:cs="Arial"/>
              </w:rPr>
            </w:pPr>
            <w:r>
              <w:rPr>
                <w:rFonts w:cs="Arial"/>
              </w:rPr>
              <w:t>O</w:t>
            </w:r>
            <w:r w:rsidRPr="0008544D">
              <w:rPr>
                <w:rFonts w:cs="Arial"/>
              </w:rPr>
              <w:t>vertime</w:t>
            </w:r>
            <w:r>
              <w:rPr>
                <w:rFonts w:cs="Arial"/>
              </w:rPr>
              <w:t xml:space="preserve"> spent performing direct patient care</w:t>
            </w:r>
          </w:p>
          <w:p w14:paraId="00C6AE84" w14:textId="77777777" w:rsidR="00D0444E" w:rsidRPr="0008544D" w:rsidRDefault="00D0444E" w:rsidP="00AD309C">
            <w:pPr>
              <w:pStyle w:val="ListParagraph"/>
              <w:numPr>
                <w:ilvl w:val="0"/>
                <w:numId w:val="373"/>
              </w:numPr>
              <w:autoSpaceDE w:val="0"/>
              <w:autoSpaceDN w:val="0"/>
              <w:adjustRightInd w:val="0"/>
              <w:rPr>
                <w:rFonts w:cs="Arial"/>
              </w:rPr>
            </w:pPr>
            <w:r w:rsidRPr="0008544D">
              <w:rPr>
                <w:rFonts w:cs="Arial"/>
              </w:rPr>
              <w:t>Orientation hours for new hires that are considered part of the unit’s staffing matrix, whose work hours are charged to the unit’s cost center, and</w:t>
            </w:r>
            <w:r>
              <w:rPr>
                <w:rFonts w:cs="Arial"/>
              </w:rPr>
              <w:t xml:space="preserve"> who</w:t>
            </w:r>
            <w:r w:rsidRPr="0008544D">
              <w:rPr>
                <w:rFonts w:cs="Arial"/>
              </w:rPr>
              <w:t xml:space="preserve"> would be replaced if they call</w:t>
            </w:r>
            <w:r>
              <w:rPr>
                <w:rFonts w:cs="Arial"/>
              </w:rPr>
              <w:t>ed out</w:t>
            </w:r>
            <w:r w:rsidRPr="0008544D">
              <w:rPr>
                <w:rFonts w:cs="Arial"/>
              </w:rPr>
              <w:t xml:space="preserve"> sick</w:t>
            </w:r>
          </w:p>
          <w:p w14:paraId="0AE355FA" w14:textId="77777777" w:rsidR="00C32632" w:rsidRPr="0008544D" w:rsidRDefault="00C32632" w:rsidP="00AD309C">
            <w:pPr>
              <w:pStyle w:val="ListParagraph"/>
              <w:numPr>
                <w:ilvl w:val="0"/>
                <w:numId w:val="373"/>
              </w:numPr>
              <w:autoSpaceDE w:val="0"/>
              <w:autoSpaceDN w:val="0"/>
              <w:adjustRightInd w:val="0"/>
              <w:rPr>
                <w:rFonts w:cs="Arial"/>
              </w:rPr>
            </w:pPr>
            <w:r w:rsidRPr="007F5727">
              <w:rPr>
                <w:rFonts w:cs="Arial"/>
              </w:rPr>
              <w:t>Sitter hours authorized for both physical touch and direct patient care intervention</w:t>
            </w:r>
          </w:p>
          <w:p w14:paraId="65139575" w14:textId="402D8810" w:rsidR="00D0444E" w:rsidRPr="00BB370E" w:rsidRDefault="00D0444E" w:rsidP="00D73F6A">
            <w:pPr>
              <w:autoSpaceDE w:val="0"/>
              <w:autoSpaceDN w:val="0"/>
              <w:adjustRightInd w:val="0"/>
              <w:rPr>
                <w:rFonts w:cs="Arial"/>
              </w:rPr>
            </w:pPr>
          </w:p>
          <w:p w14:paraId="3B59A955" w14:textId="77777777" w:rsidR="00D0444E" w:rsidRPr="00153B88" w:rsidRDefault="00D0444E" w:rsidP="00D73F6A">
            <w:pPr>
              <w:autoSpaceDE w:val="0"/>
              <w:autoSpaceDN w:val="0"/>
              <w:adjustRightInd w:val="0"/>
              <w:rPr>
                <w:rFonts w:cs="Arial"/>
              </w:rPr>
            </w:pPr>
            <w:r w:rsidRPr="00A831FC">
              <w:rPr>
                <w:rFonts w:cs="Arial"/>
                <w:b/>
                <w:bCs/>
              </w:rPr>
              <w:t>Exclude</w:t>
            </w:r>
            <w:r>
              <w:rPr>
                <w:rFonts w:cs="Arial"/>
              </w:rPr>
              <w:t xml:space="preserve"> the following </w:t>
            </w:r>
            <w:r w:rsidRPr="00A831FC">
              <w:rPr>
                <w:rFonts w:cs="Arial"/>
              </w:rPr>
              <w:t xml:space="preserve">hours worked by </w:t>
            </w:r>
            <w:r w:rsidRPr="00BB3760">
              <w:rPr>
                <w:rFonts w:cs="Arial"/>
              </w:rPr>
              <w:t>employe</w:t>
            </w:r>
            <w:r>
              <w:rPr>
                <w:rFonts w:cs="Arial"/>
              </w:rPr>
              <w:t>d</w:t>
            </w:r>
            <w:r w:rsidRPr="00BB3760">
              <w:rPr>
                <w:rFonts w:cs="Arial"/>
              </w:rPr>
              <w:t xml:space="preserve"> and contract</w:t>
            </w:r>
            <w:r>
              <w:rPr>
                <w:rFonts w:cs="Arial"/>
              </w:rPr>
              <w:t>ed</w:t>
            </w:r>
            <w:r w:rsidRPr="00BB3760">
              <w:rPr>
                <w:rFonts w:cs="Arial"/>
              </w:rPr>
              <w:t xml:space="preserve"> </w:t>
            </w:r>
            <w:r w:rsidRPr="00A831FC">
              <w:rPr>
                <w:rFonts w:cs="Arial"/>
              </w:rPr>
              <w:t>RN, LPN/LVN, and UAP</w:t>
            </w:r>
            <w:r w:rsidRPr="00153B88">
              <w:rPr>
                <w:rFonts w:cs="Arial"/>
              </w:rPr>
              <w:t>:</w:t>
            </w:r>
          </w:p>
          <w:p w14:paraId="79C1F712" w14:textId="77777777" w:rsidR="00D0444E" w:rsidRPr="00173884" w:rsidRDefault="00D0444E" w:rsidP="00AD309C">
            <w:pPr>
              <w:pStyle w:val="ListParagraph"/>
              <w:numPr>
                <w:ilvl w:val="0"/>
                <w:numId w:val="374"/>
              </w:numPr>
              <w:autoSpaceDE w:val="0"/>
              <w:autoSpaceDN w:val="0"/>
              <w:adjustRightInd w:val="0"/>
              <w:rPr>
                <w:rFonts w:cs="Arial"/>
              </w:rPr>
            </w:pPr>
            <w:r w:rsidRPr="00173884">
              <w:rPr>
                <w:rFonts w:cs="Arial"/>
              </w:rPr>
              <w:t>Budgeted or scheduled hours</w:t>
            </w:r>
          </w:p>
          <w:p w14:paraId="21305B89" w14:textId="77777777" w:rsidR="00D0444E" w:rsidRPr="00173884" w:rsidRDefault="00D0444E" w:rsidP="00AD309C">
            <w:pPr>
              <w:pStyle w:val="ListParagraph"/>
              <w:numPr>
                <w:ilvl w:val="0"/>
                <w:numId w:val="374"/>
              </w:numPr>
              <w:autoSpaceDE w:val="0"/>
              <w:autoSpaceDN w:val="0"/>
              <w:adjustRightInd w:val="0"/>
              <w:rPr>
                <w:rFonts w:cs="Arial"/>
              </w:rPr>
            </w:pPr>
            <w:r w:rsidRPr="00173884">
              <w:rPr>
                <w:rFonts w:cs="Arial"/>
              </w:rPr>
              <w:t>Vacation time, sick time, education leave, or committee time</w:t>
            </w:r>
          </w:p>
          <w:p w14:paraId="5734631F" w14:textId="77777777" w:rsidR="00D0444E" w:rsidRPr="00173884" w:rsidRDefault="00D0444E" w:rsidP="00AD309C">
            <w:pPr>
              <w:pStyle w:val="ListParagraph"/>
              <w:numPr>
                <w:ilvl w:val="0"/>
                <w:numId w:val="374"/>
              </w:numPr>
              <w:autoSpaceDE w:val="0"/>
              <w:autoSpaceDN w:val="0"/>
              <w:adjustRightInd w:val="0"/>
              <w:rPr>
                <w:rFonts w:cs="Arial"/>
              </w:rPr>
            </w:pPr>
            <w:r w:rsidRPr="00173884">
              <w:rPr>
                <w:rFonts w:cs="Arial"/>
              </w:rPr>
              <w:t xml:space="preserve">Orientation hours for new hires that are not considered part of the unit’s staffing matrix, whose work hours are not charged to the unit’s cost center, and would not be replaced if they call </w:t>
            </w:r>
            <w:r>
              <w:rPr>
                <w:rFonts w:cs="Arial"/>
              </w:rPr>
              <w:t>out</w:t>
            </w:r>
            <w:r w:rsidRPr="00173884">
              <w:rPr>
                <w:rFonts w:cs="Arial"/>
              </w:rPr>
              <w:t xml:space="preserve"> sick</w:t>
            </w:r>
          </w:p>
          <w:p w14:paraId="0FCB79A0" w14:textId="77777777" w:rsidR="00D0444E" w:rsidRPr="00173884" w:rsidRDefault="00D0444E" w:rsidP="00AD309C">
            <w:pPr>
              <w:pStyle w:val="ListParagraph"/>
              <w:numPr>
                <w:ilvl w:val="0"/>
                <w:numId w:val="374"/>
              </w:numPr>
              <w:autoSpaceDE w:val="0"/>
              <w:autoSpaceDN w:val="0"/>
              <w:adjustRightInd w:val="0"/>
              <w:rPr>
                <w:rFonts w:cs="Arial"/>
              </w:rPr>
            </w:pPr>
            <w:r w:rsidRPr="00173884">
              <w:rPr>
                <w:rFonts w:cs="Arial"/>
              </w:rPr>
              <w:t>Hours from when the unit was staffed but there were no patients in the unit</w:t>
            </w:r>
          </w:p>
          <w:p w14:paraId="0C05AF0B" w14:textId="77777777" w:rsidR="00D0444E" w:rsidRPr="00173884" w:rsidRDefault="00D0444E" w:rsidP="00AD309C">
            <w:pPr>
              <w:pStyle w:val="ListParagraph"/>
              <w:numPr>
                <w:ilvl w:val="1"/>
                <w:numId w:val="374"/>
              </w:numPr>
              <w:autoSpaceDE w:val="0"/>
              <w:autoSpaceDN w:val="0"/>
              <w:adjustRightInd w:val="0"/>
              <w:rPr>
                <w:rFonts w:cs="Arial"/>
              </w:rPr>
            </w:pPr>
            <w:r w:rsidRPr="00173884">
              <w:rPr>
                <w:rFonts w:cs="Arial"/>
              </w:rPr>
              <w:t>If these nursing hours cannot be removed, then the unit should not be included.</w:t>
            </w:r>
          </w:p>
          <w:p w14:paraId="5118EA26" w14:textId="77777777" w:rsidR="00D0444E" w:rsidRDefault="00D0444E" w:rsidP="00AD309C">
            <w:pPr>
              <w:pStyle w:val="ListParagraph"/>
              <w:numPr>
                <w:ilvl w:val="0"/>
                <w:numId w:val="374"/>
              </w:numPr>
              <w:autoSpaceDE w:val="0"/>
              <w:autoSpaceDN w:val="0"/>
              <w:adjustRightInd w:val="0"/>
              <w:rPr>
                <w:rFonts w:cs="Arial"/>
              </w:rPr>
            </w:pPr>
            <w:r w:rsidRPr="00173884">
              <w:rPr>
                <w:rFonts w:cs="Arial"/>
              </w:rPr>
              <w:t>Virtual or remote hours</w:t>
            </w:r>
          </w:p>
          <w:p w14:paraId="6C83A6CF" w14:textId="57532B22" w:rsidR="006F0E0C" w:rsidRPr="006F0E0C" w:rsidRDefault="00746E15" w:rsidP="00AD309C">
            <w:pPr>
              <w:pStyle w:val="ListParagraph"/>
              <w:numPr>
                <w:ilvl w:val="0"/>
                <w:numId w:val="374"/>
              </w:numPr>
              <w:autoSpaceDE w:val="0"/>
              <w:autoSpaceDN w:val="0"/>
              <w:adjustRightInd w:val="0"/>
              <w:rPr>
                <w:rFonts w:cs="Arial"/>
              </w:rPr>
            </w:pPr>
            <w:r w:rsidRPr="00E40281">
              <w:rPr>
                <w:rFonts w:cs="Arial"/>
              </w:rPr>
              <w:t>Sitter hours without authorization for both physical touch and direct patient care intervention</w:t>
            </w:r>
          </w:p>
          <w:p w14:paraId="43DB93A3" w14:textId="77777777" w:rsidR="00D0444E" w:rsidRDefault="00D0444E" w:rsidP="00D73F6A">
            <w:pPr>
              <w:autoSpaceDE w:val="0"/>
              <w:autoSpaceDN w:val="0"/>
              <w:adjustRightInd w:val="0"/>
              <w:rPr>
                <w:rFonts w:eastAsiaTheme="minorHAnsi" w:cs="Arial"/>
                <w:b/>
                <w:bCs/>
                <w:kern w:val="2"/>
                <w:u w:val="single"/>
                <w14:ligatures w14:val="standardContextual"/>
              </w:rPr>
            </w:pPr>
          </w:p>
          <w:p w14:paraId="59BBBA44" w14:textId="77777777" w:rsidR="00D0444E" w:rsidRPr="00591EAA" w:rsidRDefault="00D0444E" w:rsidP="00D73F6A">
            <w:pPr>
              <w:autoSpaceDE w:val="0"/>
              <w:autoSpaceDN w:val="0"/>
              <w:adjustRightInd w:val="0"/>
              <w:rPr>
                <w:rFonts w:eastAsiaTheme="minorHAnsi" w:cs="Arial"/>
                <w:b/>
                <w:bCs/>
                <w:kern w:val="2"/>
                <w:u w:val="single"/>
                <w14:ligatures w14:val="standardContextual"/>
              </w:rPr>
            </w:pPr>
            <w:r w:rsidRPr="00591EAA">
              <w:rPr>
                <w:rFonts w:eastAsiaTheme="minorHAnsi" w:cs="Arial"/>
                <w:b/>
                <w:bCs/>
                <w:kern w:val="2"/>
                <w:u w:val="single"/>
                <w14:ligatures w14:val="standardContextual"/>
              </w:rPr>
              <w:t>Employe</w:t>
            </w:r>
            <w:r>
              <w:rPr>
                <w:rFonts w:eastAsiaTheme="minorHAnsi" w:cs="Arial"/>
                <w:b/>
                <w:bCs/>
                <w:kern w:val="2"/>
                <w:u w:val="single"/>
                <w14:ligatures w14:val="standardContextual"/>
              </w:rPr>
              <w:t>d</w:t>
            </w:r>
            <w:r w:rsidRPr="00591EAA">
              <w:rPr>
                <w:rFonts w:eastAsiaTheme="minorHAnsi" w:cs="Arial"/>
                <w:b/>
                <w:bCs/>
                <w:kern w:val="2"/>
                <w:u w:val="single"/>
                <w14:ligatures w14:val="standardContextual"/>
              </w:rPr>
              <w:t xml:space="preserve"> and Contract</w:t>
            </w:r>
            <w:r>
              <w:rPr>
                <w:rFonts w:eastAsiaTheme="minorHAnsi" w:cs="Arial"/>
                <w:b/>
                <w:bCs/>
                <w:kern w:val="2"/>
                <w:u w:val="single"/>
                <w14:ligatures w14:val="standardContextual"/>
              </w:rPr>
              <w:t>ed</w:t>
            </w:r>
            <w:r w:rsidRPr="00591EAA">
              <w:rPr>
                <w:rFonts w:eastAsiaTheme="minorHAnsi" w:cs="Arial"/>
                <w:b/>
                <w:bCs/>
                <w:kern w:val="2"/>
                <w:u w:val="single"/>
                <w14:ligatures w14:val="standardContextual"/>
              </w:rPr>
              <w:t xml:space="preserve"> Nursing Staff</w:t>
            </w:r>
          </w:p>
          <w:p w14:paraId="11E5ABAE" w14:textId="77777777" w:rsidR="00D0444E" w:rsidRPr="00BB3760" w:rsidRDefault="00D0444E" w:rsidP="00D73F6A">
            <w:pPr>
              <w:autoSpaceDE w:val="0"/>
              <w:autoSpaceDN w:val="0"/>
              <w:adjustRightInd w:val="0"/>
              <w:rPr>
                <w:rFonts w:cs="Arial"/>
              </w:rPr>
            </w:pPr>
          </w:p>
          <w:p w14:paraId="32F7F80C" w14:textId="77777777" w:rsidR="00D0444E" w:rsidRPr="00153B88" w:rsidRDefault="00D0444E" w:rsidP="00D73F6A">
            <w:pPr>
              <w:autoSpaceDE w:val="0"/>
              <w:autoSpaceDN w:val="0"/>
              <w:adjustRightInd w:val="0"/>
              <w:rPr>
                <w:rFonts w:cs="Arial"/>
              </w:rPr>
            </w:pPr>
            <w:r w:rsidRPr="00A831FC">
              <w:rPr>
                <w:rFonts w:cs="Arial"/>
                <w:b/>
                <w:bCs/>
              </w:rPr>
              <w:t>Includ</w:t>
            </w:r>
            <w:r w:rsidRPr="006B5CC5">
              <w:rPr>
                <w:rFonts w:cs="Arial"/>
                <w:b/>
                <w:bCs/>
              </w:rPr>
              <w:t>e</w:t>
            </w:r>
            <w:r w:rsidRPr="00A831FC">
              <w:rPr>
                <w:rFonts w:cs="Arial"/>
              </w:rPr>
              <w:t xml:space="preserve"> </w:t>
            </w:r>
            <w:r>
              <w:rPr>
                <w:rFonts w:cs="Arial"/>
              </w:rPr>
              <w:t xml:space="preserve">the following </w:t>
            </w:r>
            <w:r w:rsidRPr="00A831FC">
              <w:rPr>
                <w:rFonts w:cs="Arial"/>
              </w:rPr>
              <w:t>RN, LPN/LVN, and UAP nursing staff</w:t>
            </w:r>
            <w:r w:rsidRPr="00153B88">
              <w:rPr>
                <w:rFonts w:cs="Arial"/>
              </w:rPr>
              <w:t>:</w:t>
            </w:r>
          </w:p>
          <w:p w14:paraId="6DF3A2EC" w14:textId="77777777" w:rsidR="00D0444E" w:rsidRPr="00F94E13" w:rsidRDefault="00D0444E" w:rsidP="00AD309C">
            <w:pPr>
              <w:pStyle w:val="ListParagraph"/>
              <w:numPr>
                <w:ilvl w:val="0"/>
                <w:numId w:val="375"/>
              </w:numPr>
              <w:autoSpaceDE w:val="0"/>
              <w:autoSpaceDN w:val="0"/>
              <w:adjustRightInd w:val="0"/>
              <w:rPr>
                <w:rFonts w:cs="Arial"/>
              </w:rPr>
            </w:pPr>
            <w:r>
              <w:rPr>
                <w:rFonts w:cs="Arial"/>
              </w:rPr>
              <w:t>Staff e</w:t>
            </w:r>
            <w:r w:rsidRPr="00F94E13">
              <w:rPr>
                <w:rFonts w:cs="Arial"/>
              </w:rPr>
              <w:t>mployed by the hospital</w:t>
            </w:r>
          </w:p>
          <w:p w14:paraId="36BE2B46" w14:textId="77777777" w:rsidR="00D0444E" w:rsidRPr="00F94E13" w:rsidRDefault="00D0444E" w:rsidP="00AD309C">
            <w:pPr>
              <w:pStyle w:val="ListParagraph"/>
              <w:numPr>
                <w:ilvl w:val="0"/>
                <w:numId w:val="375"/>
              </w:numPr>
              <w:autoSpaceDE w:val="0"/>
              <w:autoSpaceDN w:val="0"/>
              <w:adjustRightInd w:val="0"/>
              <w:rPr>
                <w:rFonts w:cs="Arial"/>
              </w:rPr>
            </w:pPr>
            <w:r w:rsidRPr="00F94E13">
              <w:rPr>
                <w:rFonts w:cs="Arial"/>
              </w:rPr>
              <w:t>Temporary staff who are not employed by the hospital (i.e., contracted/agency staff)</w:t>
            </w:r>
          </w:p>
          <w:p w14:paraId="388EF9DE" w14:textId="77777777" w:rsidR="00D0444E" w:rsidRPr="00F94E13" w:rsidRDefault="00D0444E" w:rsidP="00AD309C">
            <w:pPr>
              <w:pStyle w:val="ListParagraph"/>
              <w:numPr>
                <w:ilvl w:val="0"/>
                <w:numId w:val="375"/>
              </w:numPr>
              <w:autoSpaceDE w:val="0"/>
              <w:autoSpaceDN w:val="0"/>
              <w:adjustRightInd w:val="0"/>
              <w:rPr>
                <w:rFonts w:cs="Arial"/>
              </w:rPr>
            </w:pPr>
            <w:r w:rsidRPr="00F94E13">
              <w:rPr>
                <w:rFonts w:cs="Arial"/>
              </w:rPr>
              <w:t>Float staff who are assigned to a unit other than their unit of employment on an as-needed basis if they are assigned direct patient care responsibilities</w:t>
            </w:r>
          </w:p>
          <w:p w14:paraId="60148087" w14:textId="77777777" w:rsidR="00D0444E" w:rsidRPr="00F94E13" w:rsidRDefault="00D0444E" w:rsidP="00AD309C">
            <w:pPr>
              <w:pStyle w:val="ListParagraph"/>
              <w:numPr>
                <w:ilvl w:val="0"/>
                <w:numId w:val="375"/>
              </w:numPr>
              <w:autoSpaceDE w:val="0"/>
              <w:autoSpaceDN w:val="0"/>
              <w:adjustRightInd w:val="0"/>
              <w:rPr>
                <w:rFonts w:cs="Arial"/>
              </w:rPr>
            </w:pPr>
            <w:r w:rsidRPr="00F94E13">
              <w:rPr>
                <w:rFonts w:cs="Arial"/>
              </w:rPr>
              <w:t xml:space="preserve">Staff who are counted in the unit’s staffing matrix, are replaced if they call </w:t>
            </w:r>
            <w:r>
              <w:rPr>
                <w:rFonts w:cs="Arial"/>
              </w:rPr>
              <w:t>out</w:t>
            </w:r>
            <w:r w:rsidRPr="00F94E13">
              <w:rPr>
                <w:rFonts w:cs="Arial"/>
              </w:rPr>
              <w:t xml:space="preserve"> sick, and whose work hours are charged to the unit’s cost center</w:t>
            </w:r>
          </w:p>
          <w:p w14:paraId="0D93B4CE" w14:textId="77777777" w:rsidR="00D0444E" w:rsidRPr="00153B88" w:rsidRDefault="00D0444E" w:rsidP="00D73F6A">
            <w:pPr>
              <w:autoSpaceDE w:val="0"/>
              <w:autoSpaceDN w:val="0"/>
              <w:adjustRightInd w:val="0"/>
              <w:rPr>
                <w:rFonts w:cs="Arial"/>
              </w:rPr>
            </w:pPr>
          </w:p>
          <w:p w14:paraId="768BFCAD" w14:textId="77777777" w:rsidR="00D0444E" w:rsidRPr="00153B88" w:rsidRDefault="00D0444E" w:rsidP="00D73F6A">
            <w:pPr>
              <w:autoSpaceDE w:val="0"/>
              <w:autoSpaceDN w:val="0"/>
              <w:adjustRightInd w:val="0"/>
              <w:rPr>
                <w:rFonts w:cs="Arial"/>
              </w:rPr>
            </w:pPr>
            <w:r w:rsidRPr="00A831FC">
              <w:rPr>
                <w:rFonts w:cs="Arial"/>
                <w:b/>
                <w:bCs/>
              </w:rPr>
              <w:t>Exclude</w:t>
            </w:r>
            <w:r w:rsidRPr="00A831FC">
              <w:rPr>
                <w:rFonts w:cs="Arial"/>
              </w:rPr>
              <w:t xml:space="preserve"> </w:t>
            </w:r>
            <w:r>
              <w:rPr>
                <w:rFonts w:cs="Arial"/>
              </w:rPr>
              <w:t xml:space="preserve">the following </w:t>
            </w:r>
            <w:r w:rsidRPr="00A831FC">
              <w:rPr>
                <w:rFonts w:cs="Arial"/>
              </w:rPr>
              <w:t>RN, LPN/LVN, and UAP nursing staff</w:t>
            </w:r>
            <w:r w:rsidRPr="00153B88">
              <w:rPr>
                <w:rFonts w:cs="Arial"/>
              </w:rPr>
              <w:t>:</w:t>
            </w:r>
          </w:p>
          <w:p w14:paraId="736981BD" w14:textId="77777777" w:rsidR="00D0444E" w:rsidRPr="00E92A29" w:rsidRDefault="00D0444E" w:rsidP="00AD309C">
            <w:pPr>
              <w:pStyle w:val="ListParagraph"/>
              <w:numPr>
                <w:ilvl w:val="0"/>
                <w:numId w:val="376"/>
              </w:numPr>
              <w:autoSpaceDE w:val="0"/>
              <w:autoSpaceDN w:val="0"/>
              <w:adjustRightInd w:val="0"/>
              <w:rPr>
                <w:rFonts w:cs="Arial"/>
              </w:rPr>
            </w:pPr>
            <w:r>
              <w:rPr>
                <w:rFonts w:cs="Arial"/>
              </w:rPr>
              <w:t xml:space="preserve">Nursing staff </w:t>
            </w:r>
            <w:r w:rsidRPr="00E92A29">
              <w:rPr>
                <w:rFonts w:cs="Arial"/>
              </w:rPr>
              <w:t>whose primary responsibility is administrative in nature (at least 50% of their time is administrative)</w:t>
            </w:r>
          </w:p>
          <w:p w14:paraId="31A32A78" w14:textId="77777777" w:rsidR="00D0444E" w:rsidRPr="00E92A29" w:rsidRDefault="00D0444E" w:rsidP="00AD309C">
            <w:pPr>
              <w:pStyle w:val="ListParagraph"/>
              <w:numPr>
                <w:ilvl w:val="0"/>
                <w:numId w:val="376"/>
              </w:numPr>
              <w:autoSpaceDE w:val="0"/>
              <w:autoSpaceDN w:val="0"/>
              <w:adjustRightInd w:val="0"/>
              <w:rPr>
                <w:rFonts w:cs="Arial"/>
              </w:rPr>
            </w:pPr>
            <w:r w:rsidRPr="00E92A29">
              <w:rPr>
                <w:rFonts w:cs="Arial"/>
              </w:rPr>
              <w:t>Specialty teams, patient educators, or case managers who are not assigned to a specific unit</w:t>
            </w:r>
          </w:p>
          <w:p w14:paraId="5BA10C58" w14:textId="77777777" w:rsidR="00D0444E" w:rsidRPr="00E92A29" w:rsidRDefault="00D0444E" w:rsidP="00AD309C">
            <w:pPr>
              <w:pStyle w:val="ListParagraph"/>
              <w:numPr>
                <w:ilvl w:val="0"/>
                <w:numId w:val="376"/>
              </w:numPr>
              <w:autoSpaceDE w:val="0"/>
              <w:autoSpaceDN w:val="0"/>
              <w:adjustRightInd w:val="0"/>
              <w:rPr>
                <w:rFonts w:cs="Arial"/>
              </w:rPr>
            </w:pPr>
            <w:r w:rsidRPr="00E92A29">
              <w:rPr>
                <w:rFonts w:cs="Arial"/>
              </w:rPr>
              <w:t>Unit secretaries or clerks, monitor technicians, and others with no direct patient care responsibilities</w:t>
            </w:r>
          </w:p>
          <w:p w14:paraId="4C636223" w14:textId="77777777" w:rsidR="00D0444E" w:rsidRDefault="00D0444E" w:rsidP="00AD309C">
            <w:pPr>
              <w:pStyle w:val="ListParagraph"/>
              <w:numPr>
                <w:ilvl w:val="0"/>
                <w:numId w:val="376"/>
              </w:numPr>
              <w:autoSpaceDE w:val="0"/>
              <w:autoSpaceDN w:val="0"/>
              <w:adjustRightInd w:val="0"/>
              <w:rPr>
                <w:rFonts w:cs="Arial"/>
              </w:rPr>
            </w:pPr>
            <w:r w:rsidRPr="00E92A29">
              <w:rPr>
                <w:rFonts w:cs="Arial"/>
              </w:rPr>
              <w:t>Advanced Practice Registered Nurses (APRNs), including certified nurse-midwife (CNM), clinical nurse specialist (CNS), certified nurse practitioner (CNP), and certified registered nurse anesthetist (CRNA)</w:t>
            </w:r>
          </w:p>
          <w:p w14:paraId="1BB8AE36" w14:textId="77777777" w:rsidR="00D0444E" w:rsidRDefault="00D0444E" w:rsidP="00D73F6A">
            <w:pPr>
              <w:autoSpaceDE w:val="0"/>
              <w:autoSpaceDN w:val="0"/>
              <w:adjustRightInd w:val="0"/>
              <w:rPr>
                <w:rFonts w:cs="Arial"/>
              </w:rPr>
            </w:pPr>
          </w:p>
          <w:p w14:paraId="17000AC3" w14:textId="3CF05D0E" w:rsidR="00D0444E" w:rsidRPr="003A5BED" w:rsidRDefault="00DD04D6" w:rsidP="00D73F6A">
            <w:pPr>
              <w:pStyle w:val="Heading6"/>
              <w:rPr>
                <w:rFonts w:eastAsiaTheme="minorHAnsi"/>
                <w:b w:val="0"/>
                <w:bCs/>
                <w:i/>
                <w:iCs/>
              </w:rPr>
            </w:pPr>
            <w:r>
              <w:rPr>
                <w:rFonts w:ascii="ZWAdobeF" w:eastAsiaTheme="minorHAnsi" w:hAnsi="ZWAdobeF" w:cs="ZWAdobeF"/>
                <w:b w:val="0"/>
                <w:bCs/>
                <w:iCs/>
                <w:color w:val="auto"/>
                <w:sz w:val="2"/>
                <w:szCs w:val="2"/>
              </w:rPr>
              <w:t>1B</w:t>
            </w:r>
            <w:r w:rsidR="00953060">
              <w:rPr>
                <w:rFonts w:ascii="ZWAdobeF" w:eastAsiaTheme="minorHAnsi" w:hAnsi="ZWAdobeF" w:cs="ZWAdobeF"/>
                <w:b w:val="0"/>
                <w:bCs/>
                <w:iCs/>
                <w:color w:val="auto"/>
                <w:sz w:val="2"/>
                <w:szCs w:val="2"/>
              </w:rPr>
              <w:t>1B</w:t>
            </w:r>
            <w:r w:rsidR="00E453C7">
              <w:rPr>
                <w:rFonts w:ascii="ZWAdobeF" w:eastAsiaTheme="minorHAnsi" w:hAnsi="ZWAdobeF" w:cs="ZWAdobeF"/>
                <w:b w:val="0"/>
                <w:bCs/>
                <w:iCs/>
                <w:color w:val="auto"/>
                <w:sz w:val="2"/>
                <w:szCs w:val="2"/>
              </w:rPr>
              <w:t>1B</w:t>
            </w:r>
            <w:r w:rsidR="006255A6">
              <w:rPr>
                <w:rFonts w:ascii="ZWAdobeF" w:eastAsiaTheme="minorHAnsi" w:hAnsi="ZWAdobeF" w:cs="ZWAdobeF"/>
                <w:b w:val="0"/>
                <w:bCs/>
                <w:iCs/>
                <w:color w:val="auto"/>
                <w:sz w:val="2"/>
                <w:szCs w:val="2"/>
              </w:rPr>
              <w:t>1B</w:t>
            </w:r>
            <w:r w:rsidR="00B55C41">
              <w:rPr>
                <w:rFonts w:ascii="ZWAdobeF" w:eastAsiaTheme="minorHAnsi" w:hAnsi="ZWAdobeF" w:cs="ZWAdobeF"/>
                <w:b w:val="0"/>
                <w:bCs/>
                <w:iCs/>
                <w:color w:val="auto"/>
                <w:sz w:val="2"/>
                <w:szCs w:val="2"/>
              </w:rPr>
              <w:t>1B</w:t>
            </w:r>
            <w:r w:rsidR="00C2087D">
              <w:rPr>
                <w:rFonts w:ascii="ZWAdobeF" w:eastAsiaTheme="minorHAnsi" w:hAnsi="ZWAdobeF" w:cs="ZWAdobeF"/>
                <w:b w:val="0"/>
                <w:bCs/>
                <w:iCs/>
                <w:color w:val="auto"/>
                <w:sz w:val="2"/>
                <w:szCs w:val="2"/>
              </w:rPr>
              <w:t>1B</w:t>
            </w:r>
            <w:r w:rsidR="004C7557">
              <w:rPr>
                <w:rFonts w:ascii="ZWAdobeF" w:eastAsiaTheme="minorHAnsi" w:hAnsi="ZWAdobeF" w:cs="ZWAdobeF"/>
                <w:b w:val="0"/>
                <w:bCs/>
                <w:iCs/>
                <w:color w:val="auto"/>
                <w:sz w:val="2"/>
                <w:szCs w:val="2"/>
              </w:rPr>
              <w:t>1B</w:t>
            </w:r>
            <w:r w:rsidR="00BF053F">
              <w:rPr>
                <w:rFonts w:ascii="ZWAdobeF" w:eastAsiaTheme="minorHAnsi" w:hAnsi="ZWAdobeF" w:cs="ZWAdobeF"/>
                <w:b w:val="0"/>
                <w:bCs/>
                <w:iCs/>
                <w:color w:val="auto"/>
                <w:sz w:val="2"/>
                <w:szCs w:val="2"/>
              </w:rPr>
              <w:t>1B</w:t>
            </w:r>
            <w:r w:rsidR="00D0444E" w:rsidRPr="003A5BED">
              <w:rPr>
                <w:rFonts w:eastAsiaTheme="minorHAnsi"/>
                <w:b w:val="0"/>
                <w:bCs/>
                <w:i/>
                <w:iCs/>
              </w:rPr>
              <w:t>A UAP is any unlicensed person, regardless of title, who performs tasks delegated by a nurse. This includes certified nursing aides/assistants (CNAs), patient care assistants (PCAs), patient care technicians (PCTs), state-tested nursing assistants (STNA), nursing assistants-registered (NA/Rs) or certified medication aides/assistants (MA-Cs).</w:t>
            </w:r>
          </w:p>
          <w:p w14:paraId="77A996B4" w14:textId="77777777" w:rsidR="00D0444E" w:rsidRDefault="00D0444E" w:rsidP="00D73F6A">
            <w:pPr>
              <w:autoSpaceDE w:val="0"/>
              <w:autoSpaceDN w:val="0"/>
              <w:adjustRightInd w:val="0"/>
              <w:rPr>
                <w:rFonts w:cs="Arial"/>
              </w:rPr>
            </w:pPr>
          </w:p>
          <w:p w14:paraId="40077C9D" w14:textId="64982C82" w:rsidR="00D0444E" w:rsidRPr="00C41959" w:rsidRDefault="00DD04D6" w:rsidP="00D73F6A">
            <w:pPr>
              <w:pStyle w:val="Heading6"/>
              <w:rPr>
                <w:rFonts w:eastAsiaTheme="minorHAnsi"/>
                <w:u w:val="single"/>
              </w:rPr>
            </w:pPr>
            <w:r>
              <w:rPr>
                <w:rFonts w:ascii="ZWAdobeF" w:eastAsiaTheme="minorHAnsi" w:hAnsi="ZWAdobeF" w:cs="ZWAdobeF"/>
                <w:b w:val="0"/>
                <w:color w:val="auto"/>
                <w:sz w:val="2"/>
                <w:szCs w:val="2"/>
              </w:rPr>
              <w:t>2B</w:t>
            </w:r>
            <w:r w:rsidR="00953060">
              <w:rPr>
                <w:rFonts w:ascii="ZWAdobeF" w:eastAsiaTheme="minorHAnsi" w:hAnsi="ZWAdobeF" w:cs="ZWAdobeF"/>
                <w:b w:val="0"/>
                <w:color w:val="auto"/>
                <w:sz w:val="2"/>
                <w:szCs w:val="2"/>
              </w:rPr>
              <w:t>2B</w:t>
            </w:r>
            <w:r w:rsidR="00E453C7">
              <w:rPr>
                <w:rFonts w:ascii="ZWAdobeF" w:eastAsiaTheme="minorHAnsi" w:hAnsi="ZWAdobeF" w:cs="ZWAdobeF"/>
                <w:b w:val="0"/>
                <w:color w:val="auto"/>
                <w:sz w:val="2"/>
                <w:szCs w:val="2"/>
              </w:rPr>
              <w:t>2B</w:t>
            </w:r>
            <w:r w:rsidR="006255A6">
              <w:rPr>
                <w:rFonts w:ascii="ZWAdobeF" w:eastAsiaTheme="minorHAnsi" w:hAnsi="ZWAdobeF" w:cs="ZWAdobeF"/>
                <w:b w:val="0"/>
                <w:color w:val="auto"/>
                <w:sz w:val="2"/>
                <w:szCs w:val="2"/>
              </w:rPr>
              <w:t>2B</w:t>
            </w:r>
            <w:r w:rsidR="00B55C41">
              <w:rPr>
                <w:rFonts w:ascii="ZWAdobeF" w:eastAsiaTheme="minorHAnsi" w:hAnsi="ZWAdobeF" w:cs="ZWAdobeF"/>
                <w:b w:val="0"/>
                <w:color w:val="auto"/>
                <w:sz w:val="2"/>
                <w:szCs w:val="2"/>
              </w:rPr>
              <w:t>2B</w:t>
            </w:r>
            <w:r w:rsidR="00C2087D">
              <w:rPr>
                <w:rFonts w:ascii="ZWAdobeF" w:eastAsiaTheme="minorHAnsi" w:hAnsi="ZWAdobeF" w:cs="ZWAdobeF"/>
                <w:b w:val="0"/>
                <w:color w:val="auto"/>
                <w:sz w:val="2"/>
                <w:szCs w:val="2"/>
              </w:rPr>
              <w:t>2B</w:t>
            </w:r>
            <w:r w:rsidR="004C7557">
              <w:rPr>
                <w:rFonts w:ascii="ZWAdobeF" w:eastAsiaTheme="minorHAnsi" w:hAnsi="ZWAdobeF" w:cs="ZWAdobeF"/>
                <w:b w:val="0"/>
                <w:color w:val="auto"/>
                <w:sz w:val="2"/>
                <w:szCs w:val="2"/>
              </w:rPr>
              <w:t>2B</w:t>
            </w:r>
            <w:r w:rsidR="00BF053F">
              <w:rPr>
                <w:rFonts w:ascii="ZWAdobeF" w:eastAsiaTheme="minorHAnsi" w:hAnsi="ZWAdobeF" w:cs="ZWAdobeF"/>
                <w:b w:val="0"/>
                <w:color w:val="auto"/>
                <w:sz w:val="2"/>
                <w:szCs w:val="2"/>
              </w:rPr>
              <w:t>2B</w:t>
            </w:r>
            <w:r w:rsidR="00D0444E" w:rsidRPr="00C41959">
              <w:rPr>
                <w:rFonts w:eastAsiaTheme="minorHAnsi"/>
                <w:u w:val="single"/>
              </w:rPr>
              <w:t xml:space="preserve">Direct Patient Care Responsibilities </w:t>
            </w:r>
          </w:p>
          <w:p w14:paraId="7A446B5F" w14:textId="77777777" w:rsidR="00D0444E" w:rsidRPr="00BB3760" w:rsidRDefault="00D0444E" w:rsidP="00D73F6A">
            <w:pPr>
              <w:autoSpaceDE w:val="0"/>
              <w:autoSpaceDN w:val="0"/>
              <w:adjustRightInd w:val="0"/>
              <w:rPr>
                <w:rFonts w:cs="Arial"/>
              </w:rPr>
            </w:pPr>
          </w:p>
          <w:p w14:paraId="2DD821A3" w14:textId="77777777" w:rsidR="00D0444E" w:rsidRPr="00BB3760" w:rsidRDefault="00D0444E" w:rsidP="00D73F6A">
            <w:pPr>
              <w:autoSpaceDE w:val="0"/>
              <w:autoSpaceDN w:val="0"/>
              <w:adjustRightInd w:val="0"/>
              <w:rPr>
                <w:rFonts w:cs="Arial"/>
              </w:rPr>
            </w:pPr>
            <w:r w:rsidRPr="00A831FC">
              <w:rPr>
                <w:rFonts w:cs="Arial"/>
                <w:b/>
                <w:bCs/>
              </w:rPr>
              <w:t>Direct Patient Care Responsibilities</w:t>
            </w:r>
            <w:r w:rsidRPr="00BB3760">
              <w:rPr>
                <w:rFonts w:cs="Arial"/>
              </w:rPr>
              <w:t xml:space="preserve"> are defined as patient centered nursing activities by hospital unit-based staff in the presence of the patient and activities that occur away from the patient that are patient related:</w:t>
            </w:r>
          </w:p>
          <w:p w14:paraId="578F2316" w14:textId="77777777" w:rsidR="00D0444E" w:rsidRPr="00CE79E2" w:rsidRDefault="00D0444E" w:rsidP="00AD309C">
            <w:pPr>
              <w:pStyle w:val="ListParagraph"/>
              <w:numPr>
                <w:ilvl w:val="0"/>
                <w:numId w:val="377"/>
              </w:numPr>
              <w:autoSpaceDE w:val="0"/>
              <w:autoSpaceDN w:val="0"/>
              <w:adjustRightInd w:val="0"/>
              <w:rPr>
                <w:rFonts w:cs="Arial"/>
              </w:rPr>
            </w:pPr>
            <w:r w:rsidRPr="00CE79E2">
              <w:rPr>
                <w:rFonts w:cs="Arial"/>
              </w:rPr>
              <w:t>Medication administration</w:t>
            </w:r>
          </w:p>
          <w:p w14:paraId="2941D7AA" w14:textId="77777777" w:rsidR="00D0444E" w:rsidRPr="00CE79E2" w:rsidRDefault="00D0444E" w:rsidP="00AD309C">
            <w:pPr>
              <w:pStyle w:val="ListParagraph"/>
              <w:numPr>
                <w:ilvl w:val="0"/>
                <w:numId w:val="377"/>
              </w:numPr>
              <w:autoSpaceDE w:val="0"/>
              <w:autoSpaceDN w:val="0"/>
              <w:adjustRightInd w:val="0"/>
              <w:rPr>
                <w:rFonts w:cs="Arial"/>
              </w:rPr>
            </w:pPr>
            <w:r w:rsidRPr="00CE79E2">
              <w:rPr>
                <w:rFonts w:cs="Arial"/>
              </w:rPr>
              <w:t>Nursing treatments</w:t>
            </w:r>
          </w:p>
          <w:p w14:paraId="5DFB51F9" w14:textId="77777777" w:rsidR="00D0444E" w:rsidRPr="00CE79E2" w:rsidRDefault="00D0444E" w:rsidP="00AD309C">
            <w:pPr>
              <w:pStyle w:val="ListParagraph"/>
              <w:numPr>
                <w:ilvl w:val="0"/>
                <w:numId w:val="377"/>
              </w:numPr>
              <w:autoSpaceDE w:val="0"/>
              <w:autoSpaceDN w:val="0"/>
              <w:adjustRightInd w:val="0"/>
              <w:rPr>
                <w:rFonts w:cs="Arial"/>
              </w:rPr>
            </w:pPr>
            <w:r w:rsidRPr="00CE79E2">
              <w:rPr>
                <w:rFonts w:cs="Arial"/>
              </w:rPr>
              <w:t>Nursing rounds</w:t>
            </w:r>
          </w:p>
          <w:p w14:paraId="0D84A6A9" w14:textId="77777777" w:rsidR="00D0444E" w:rsidRPr="00CE79E2" w:rsidRDefault="00D0444E" w:rsidP="00AD309C">
            <w:pPr>
              <w:pStyle w:val="ListParagraph"/>
              <w:numPr>
                <w:ilvl w:val="0"/>
                <w:numId w:val="377"/>
              </w:numPr>
              <w:autoSpaceDE w:val="0"/>
              <w:autoSpaceDN w:val="0"/>
              <w:adjustRightInd w:val="0"/>
              <w:rPr>
                <w:rFonts w:cs="Arial"/>
              </w:rPr>
            </w:pPr>
            <w:r w:rsidRPr="00CE79E2">
              <w:rPr>
                <w:rFonts w:cs="Arial"/>
              </w:rPr>
              <w:t>Admission, transfer, discharge activities</w:t>
            </w:r>
          </w:p>
          <w:p w14:paraId="34FA55C5" w14:textId="77777777" w:rsidR="00D0444E" w:rsidRPr="00CE79E2" w:rsidRDefault="00D0444E" w:rsidP="00AD309C">
            <w:pPr>
              <w:pStyle w:val="ListParagraph"/>
              <w:numPr>
                <w:ilvl w:val="0"/>
                <w:numId w:val="377"/>
              </w:numPr>
              <w:autoSpaceDE w:val="0"/>
              <w:autoSpaceDN w:val="0"/>
              <w:adjustRightInd w:val="0"/>
              <w:rPr>
                <w:rFonts w:cs="Arial"/>
              </w:rPr>
            </w:pPr>
            <w:r w:rsidRPr="00CE79E2">
              <w:rPr>
                <w:rFonts w:cs="Arial"/>
              </w:rPr>
              <w:t>Patient teaching</w:t>
            </w:r>
          </w:p>
          <w:p w14:paraId="02B93F23" w14:textId="77777777" w:rsidR="00D0444E" w:rsidRPr="00CE79E2" w:rsidRDefault="00D0444E" w:rsidP="00AD309C">
            <w:pPr>
              <w:pStyle w:val="ListParagraph"/>
              <w:numPr>
                <w:ilvl w:val="0"/>
                <w:numId w:val="377"/>
              </w:numPr>
              <w:autoSpaceDE w:val="0"/>
              <w:autoSpaceDN w:val="0"/>
              <w:adjustRightInd w:val="0"/>
              <w:rPr>
                <w:rFonts w:cs="Arial"/>
              </w:rPr>
            </w:pPr>
            <w:r w:rsidRPr="00CE79E2">
              <w:rPr>
                <w:rFonts w:cs="Arial"/>
              </w:rPr>
              <w:t>Patient communication</w:t>
            </w:r>
          </w:p>
          <w:p w14:paraId="17B7C9A8" w14:textId="77777777" w:rsidR="00D0444E" w:rsidRPr="00CE79E2" w:rsidRDefault="00D0444E" w:rsidP="00AD309C">
            <w:pPr>
              <w:pStyle w:val="ListParagraph"/>
              <w:numPr>
                <w:ilvl w:val="0"/>
                <w:numId w:val="377"/>
              </w:numPr>
              <w:autoSpaceDE w:val="0"/>
              <w:autoSpaceDN w:val="0"/>
              <w:adjustRightInd w:val="0"/>
              <w:rPr>
                <w:rFonts w:cs="Arial"/>
              </w:rPr>
            </w:pPr>
            <w:r w:rsidRPr="00CE79E2">
              <w:rPr>
                <w:rFonts w:cs="Arial"/>
              </w:rPr>
              <w:t>Coordination of patient care</w:t>
            </w:r>
          </w:p>
          <w:p w14:paraId="00BFDE65" w14:textId="77777777" w:rsidR="00D0444E" w:rsidRPr="00CE79E2" w:rsidRDefault="00D0444E" w:rsidP="00AD309C">
            <w:pPr>
              <w:pStyle w:val="ListParagraph"/>
              <w:numPr>
                <w:ilvl w:val="0"/>
                <w:numId w:val="377"/>
              </w:numPr>
              <w:autoSpaceDE w:val="0"/>
              <w:autoSpaceDN w:val="0"/>
              <w:adjustRightInd w:val="0"/>
              <w:rPr>
                <w:rFonts w:cs="Arial"/>
              </w:rPr>
            </w:pPr>
            <w:r w:rsidRPr="00CE79E2">
              <w:rPr>
                <w:rFonts w:cs="Arial"/>
              </w:rPr>
              <w:t>Documentation time</w:t>
            </w:r>
          </w:p>
          <w:p w14:paraId="5BC38130" w14:textId="77777777" w:rsidR="00D0444E" w:rsidRDefault="00D0444E" w:rsidP="00AD309C">
            <w:pPr>
              <w:pStyle w:val="ListParagraph"/>
              <w:numPr>
                <w:ilvl w:val="0"/>
                <w:numId w:val="377"/>
              </w:numPr>
              <w:autoSpaceDE w:val="0"/>
              <w:autoSpaceDN w:val="0"/>
              <w:adjustRightInd w:val="0"/>
              <w:rPr>
                <w:rFonts w:cs="Arial"/>
              </w:rPr>
            </w:pPr>
            <w:r w:rsidRPr="00CE79E2">
              <w:rPr>
                <w:rFonts w:cs="Arial"/>
              </w:rPr>
              <w:t>Treatment planning</w:t>
            </w:r>
          </w:p>
          <w:p w14:paraId="763FE6A0" w14:textId="77777777" w:rsidR="00D0444E" w:rsidRPr="00CA7146" w:rsidRDefault="00D0444E" w:rsidP="00AD309C">
            <w:pPr>
              <w:pStyle w:val="ListParagraph"/>
              <w:numPr>
                <w:ilvl w:val="0"/>
                <w:numId w:val="377"/>
              </w:numPr>
              <w:autoSpaceDE w:val="0"/>
              <w:autoSpaceDN w:val="0"/>
              <w:adjustRightInd w:val="0"/>
              <w:rPr>
                <w:rFonts w:cs="Arial"/>
              </w:rPr>
            </w:pPr>
            <w:r w:rsidRPr="00CA7146">
              <w:rPr>
                <w:rFonts w:cs="Arial"/>
              </w:rPr>
              <w:t>Patient screening (e.g., fall risk) and assessment</w:t>
            </w:r>
          </w:p>
        </w:tc>
      </w:tr>
      <w:tr w:rsidR="00D0444E" w14:paraId="6CFF6A86" w14:textId="77777777" w:rsidTr="00D73F6A">
        <w:trPr>
          <w:trHeight w:val="144"/>
        </w:trPr>
        <w:tc>
          <w:tcPr>
            <w:tcW w:w="9350" w:type="dxa"/>
          </w:tcPr>
          <w:p w14:paraId="14220A51" w14:textId="4BDBF8FF" w:rsidR="00D0444E" w:rsidRPr="00BB3760" w:rsidRDefault="00D0444E" w:rsidP="00D73F6A">
            <w:pPr>
              <w:autoSpaceDE w:val="0"/>
              <w:autoSpaceDN w:val="0"/>
              <w:adjustRightInd w:val="0"/>
              <w:rPr>
                <w:rFonts w:cs="Arial"/>
              </w:rPr>
            </w:pPr>
            <w:r w:rsidRPr="00632627">
              <w:rPr>
                <w:rFonts w:cs="Arial"/>
                <w:b/>
                <w:bCs/>
              </w:rPr>
              <w:t>Questions #</w:t>
            </w:r>
            <w:r w:rsidR="00BF0AD9">
              <w:rPr>
                <w:rFonts w:cs="Arial"/>
                <w:b/>
                <w:bCs/>
              </w:rPr>
              <w:t>5</w:t>
            </w:r>
            <w:r w:rsidRPr="00632627">
              <w:rPr>
                <w:rFonts w:cs="Arial"/>
                <w:b/>
                <w:bCs/>
              </w:rPr>
              <w:t>(c):</w:t>
            </w:r>
            <w:r w:rsidRPr="00BB3760">
              <w:rPr>
                <w:rFonts w:cs="Arial"/>
              </w:rPr>
              <w:t xml:space="preserve"> Total number of productive hours worked by </w:t>
            </w:r>
            <w:r w:rsidRPr="003E08DF">
              <w:rPr>
                <w:rFonts w:cs="Arial"/>
                <w:b/>
                <w:bCs/>
              </w:rPr>
              <w:t>RN nursing staff</w:t>
            </w:r>
            <w:r w:rsidRPr="00BB3760">
              <w:rPr>
                <w:rFonts w:cs="Arial"/>
              </w:rPr>
              <w:t xml:space="preserve"> with direct patient care responsibilities in all </w:t>
            </w:r>
            <w:r>
              <w:rPr>
                <w:rFonts w:cs="Arial"/>
              </w:rPr>
              <w:t>adult and pediatric single acuity</w:t>
            </w:r>
            <w:r w:rsidRPr="00BB3760">
              <w:rPr>
                <w:rFonts w:cs="Arial"/>
              </w:rPr>
              <w:t xml:space="preserve"> </w:t>
            </w:r>
            <w:r w:rsidRPr="0052798E">
              <w:rPr>
                <w:rFonts w:cs="Arial"/>
                <w:b/>
                <w:bCs/>
              </w:rPr>
              <w:t>Medical Units</w:t>
            </w:r>
            <w:r>
              <w:rPr>
                <w:rFonts w:cs="Arial"/>
              </w:rPr>
              <w:t xml:space="preserve"> </w:t>
            </w:r>
            <w:r w:rsidRPr="00BB3760">
              <w:rPr>
                <w:rFonts w:cs="Arial"/>
              </w:rPr>
              <w:t>in each quarter.</w:t>
            </w:r>
          </w:p>
          <w:p w14:paraId="78F281AA" w14:textId="77777777" w:rsidR="00D0444E" w:rsidRPr="00BB3760" w:rsidRDefault="00D0444E" w:rsidP="00D73F6A">
            <w:pPr>
              <w:autoSpaceDE w:val="0"/>
              <w:autoSpaceDN w:val="0"/>
              <w:adjustRightInd w:val="0"/>
              <w:rPr>
                <w:rFonts w:cs="Arial"/>
              </w:rPr>
            </w:pPr>
          </w:p>
          <w:p w14:paraId="0A655876" w14:textId="32EFCD2E" w:rsidR="00D0444E" w:rsidRPr="00A831FC" w:rsidRDefault="00D0444E" w:rsidP="00D73F6A">
            <w:pPr>
              <w:autoSpaceDE w:val="0"/>
              <w:autoSpaceDN w:val="0"/>
              <w:adjustRightInd w:val="0"/>
              <w:rPr>
                <w:rFonts w:cs="Arial"/>
              </w:rPr>
            </w:pPr>
            <w:r w:rsidRPr="00A831FC">
              <w:rPr>
                <w:rFonts w:cs="Arial"/>
                <w:b/>
                <w:bCs/>
              </w:rPr>
              <w:t>Include</w:t>
            </w:r>
            <w:r>
              <w:rPr>
                <w:rFonts w:cs="Arial"/>
              </w:rPr>
              <w:t xml:space="preserve"> t</w:t>
            </w:r>
            <w:r w:rsidRPr="00612120">
              <w:rPr>
                <w:rFonts w:cs="Arial"/>
              </w:rPr>
              <w:t xml:space="preserve">he </w:t>
            </w:r>
            <w:r>
              <w:rPr>
                <w:rFonts w:cs="Arial"/>
              </w:rPr>
              <w:t xml:space="preserve">total </w:t>
            </w:r>
            <w:r w:rsidRPr="00612120">
              <w:rPr>
                <w:rFonts w:cs="Arial"/>
              </w:rPr>
              <w:t>number of</w:t>
            </w:r>
            <w:r>
              <w:rPr>
                <w:rFonts w:cs="Arial"/>
              </w:rPr>
              <w:t xml:space="preserve"> productive work hours worked by </w:t>
            </w:r>
            <w:r w:rsidRPr="00612120">
              <w:rPr>
                <w:rFonts w:cs="Arial"/>
              </w:rPr>
              <w:t>employe</w:t>
            </w:r>
            <w:r>
              <w:rPr>
                <w:rFonts w:cs="Arial"/>
              </w:rPr>
              <w:t>d</w:t>
            </w:r>
            <w:r w:rsidRPr="00612120">
              <w:rPr>
                <w:rFonts w:cs="Arial"/>
              </w:rPr>
              <w:t xml:space="preserve"> and contract</w:t>
            </w:r>
            <w:r>
              <w:rPr>
                <w:rFonts w:cs="Arial"/>
              </w:rPr>
              <w:t>ed</w:t>
            </w:r>
            <w:r w:rsidRPr="00612120">
              <w:rPr>
                <w:rFonts w:cs="Arial"/>
              </w:rPr>
              <w:t xml:space="preserve"> </w:t>
            </w:r>
            <w:r w:rsidRPr="00A90AE6">
              <w:rPr>
                <w:rFonts w:cs="Arial"/>
                <w:b/>
                <w:bCs/>
              </w:rPr>
              <w:t>RN nursing staff ONLY</w:t>
            </w:r>
            <w:r>
              <w:rPr>
                <w:rFonts w:cs="Arial"/>
              </w:rPr>
              <w:t xml:space="preserve"> from question </w:t>
            </w:r>
            <w:r w:rsidR="00A7005B">
              <w:rPr>
                <w:rFonts w:cs="Arial"/>
              </w:rPr>
              <w:t>5b</w:t>
            </w:r>
            <w:r>
              <w:rPr>
                <w:rFonts w:cs="Arial"/>
              </w:rPr>
              <w:t>.</w:t>
            </w:r>
          </w:p>
        </w:tc>
      </w:tr>
      <w:tr w:rsidR="00D0444E" w14:paraId="77418C60" w14:textId="77777777" w:rsidTr="00D73F6A">
        <w:trPr>
          <w:trHeight w:val="432"/>
        </w:trPr>
        <w:tc>
          <w:tcPr>
            <w:tcW w:w="9350" w:type="dxa"/>
          </w:tcPr>
          <w:p w14:paraId="1DA697B5" w14:textId="4D79B085" w:rsidR="00D0444E" w:rsidRPr="00C41959" w:rsidRDefault="00D0444E" w:rsidP="00D73F6A">
            <w:pPr>
              <w:rPr>
                <w:rFonts w:cs="Arial"/>
                <w:b/>
                <w:bCs/>
              </w:rPr>
            </w:pPr>
            <w:r w:rsidRPr="00C41959">
              <w:rPr>
                <w:rFonts w:cs="Arial"/>
                <w:b/>
                <w:bCs/>
              </w:rPr>
              <w:t>Question #</w:t>
            </w:r>
            <w:r w:rsidR="00BF0AD9">
              <w:rPr>
                <w:rFonts w:cs="Arial"/>
                <w:b/>
                <w:bCs/>
              </w:rPr>
              <w:t>6</w:t>
            </w:r>
            <w:r w:rsidRPr="00C41959">
              <w:rPr>
                <w:rFonts w:cs="Arial"/>
                <w:b/>
                <w:bCs/>
              </w:rPr>
              <w:t>: Does your hospital operate any adult or pediatric single acuity Surgical Units?</w:t>
            </w:r>
          </w:p>
          <w:p w14:paraId="1B16CC81" w14:textId="77777777" w:rsidR="00D0444E" w:rsidRPr="00F83C07" w:rsidRDefault="00D0444E" w:rsidP="00D73F6A">
            <w:pPr>
              <w:rPr>
                <w:rFonts w:cs="Arial"/>
                <w:sz w:val="16"/>
                <w:szCs w:val="16"/>
              </w:rPr>
            </w:pPr>
          </w:p>
          <w:p w14:paraId="54B02ADB" w14:textId="77777777" w:rsidR="00D0444E" w:rsidRPr="007A5E80" w:rsidRDefault="00D0444E" w:rsidP="00D73F6A">
            <w:pPr>
              <w:autoSpaceDE w:val="0"/>
              <w:autoSpaceDN w:val="0"/>
              <w:adjustRightInd w:val="0"/>
              <w:rPr>
                <w:rFonts w:cs="Arial"/>
                <w:b/>
                <w:bCs/>
              </w:rPr>
            </w:pPr>
            <w:r>
              <w:rPr>
                <w:rFonts w:cs="Arial"/>
                <w:b/>
                <w:bCs/>
              </w:rPr>
              <w:t xml:space="preserve">Single Acuity </w:t>
            </w:r>
            <w:r w:rsidRPr="007A5E80">
              <w:rPr>
                <w:rFonts w:cs="Arial"/>
                <w:b/>
                <w:bCs/>
              </w:rPr>
              <w:t xml:space="preserve">Surgical Unit (adult </w:t>
            </w:r>
            <w:r>
              <w:rPr>
                <w:rFonts w:cs="Arial"/>
                <w:b/>
                <w:bCs/>
              </w:rPr>
              <w:t xml:space="preserve">and </w:t>
            </w:r>
            <w:r w:rsidRPr="007A5E80">
              <w:rPr>
                <w:rFonts w:cs="Arial"/>
                <w:b/>
                <w:bCs/>
              </w:rPr>
              <w:t xml:space="preserve">pediatric): </w:t>
            </w:r>
          </w:p>
          <w:p w14:paraId="05690408" w14:textId="77777777" w:rsidR="00D0444E" w:rsidRDefault="00D0444E" w:rsidP="00D73F6A">
            <w:pPr>
              <w:autoSpaceDE w:val="0"/>
              <w:autoSpaceDN w:val="0"/>
              <w:adjustRightInd w:val="0"/>
              <w:rPr>
                <w:rFonts w:cs="Arial"/>
              </w:rPr>
            </w:pPr>
            <w:r w:rsidRPr="00BB3760">
              <w:rPr>
                <w:rFonts w:cs="Arial"/>
              </w:rPr>
              <w:t xml:space="preserve">A single acuity general care unit in which at least 90% of the patients are admitted to surgical services, such as general surgery, neurosurgery, or orthopedics. Surgical specialty units such as Bariatric Surgery, Cardio-thoracic Surgery, Gynecologic Surgery, Neurosurgery, Orthopedic Surgery, Plastic Surgery, Transplant Surgery, and Trauma Surgery, are also included. </w:t>
            </w:r>
          </w:p>
          <w:p w14:paraId="4099EBAC" w14:textId="77777777" w:rsidR="005F522B" w:rsidRDefault="005F522B" w:rsidP="00D73F6A">
            <w:pPr>
              <w:autoSpaceDE w:val="0"/>
              <w:autoSpaceDN w:val="0"/>
              <w:adjustRightInd w:val="0"/>
              <w:rPr>
                <w:rFonts w:cs="Arial"/>
              </w:rPr>
            </w:pPr>
          </w:p>
          <w:p w14:paraId="41473F4B" w14:textId="77777777" w:rsidR="005F522B" w:rsidRDefault="005F522B" w:rsidP="005F522B">
            <w:pPr>
              <w:autoSpaceDE w:val="0"/>
              <w:autoSpaceDN w:val="0"/>
              <w:adjustRightInd w:val="0"/>
              <w:rPr>
                <w:rFonts w:cs="Arial"/>
              </w:rPr>
            </w:pPr>
            <w:r>
              <w:rPr>
                <w:rFonts w:cs="Arial"/>
              </w:rPr>
              <w:t xml:space="preserve">Note: </w:t>
            </w:r>
            <w:r w:rsidRPr="00967917">
              <w:rPr>
                <w:rFonts w:cs="Arial"/>
              </w:rPr>
              <w:t>For the purposes of these measures, Leapfrog has aligned with NDNQI, which defines units based on the acuity of the patients being cared for in the unit, and not the equipment being used. Telemetry is considered a monitoring tool rather than an evaluation of a patient’s level of acuity. For example, a unit that has all telemetry patients may still have a general population level of patients that would meet NDNQI’s definition of a medical, surgical, or med-surg unit. Hospitals should evaluate the actual acuity of the patients in each unit to determine the appropriate unit designation.</w:t>
            </w:r>
          </w:p>
          <w:p w14:paraId="28CC4CAC" w14:textId="77777777" w:rsidR="00D0444E" w:rsidRDefault="00D0444E" w:rsidP="00D73F6A">
            <w:pPr>
              <w:autoSpaceDE w:val="0"/>
              <w:autoSpaceDN w:val="0"/>
              <w:adjustRightInd w:val="0"/>
              <w:rPr>
                <w:rFonts w:cs="Arial"/>
              </w:rPr>
            </w:pPr>
          </w:p>
          <w:p w14:paraId="40A62AF1" w14:textId="77777777" w:rsidR="00D0444E" w:rsidRPr="00A90AE6" w:rsidRDefault="00D0444E" w:rsidP="00D73F6A">
            <w:pPr>
              <w:autoSpaceDE w:val="0"/>
              <w:autoSpaceDN w:val="0"/>
              <w:adjustRightInd w:val="0"/>
              <w:rPr>
                <w:rFonts w:cs="Arial"/>
                <w:b/>
                <w:bCs/>
              </w:rPr>
            </w:pPr>
            <w:r w:rsidRPr="00A90AE6">
              <w:rPr>
                <w:rFonts w:cs="Arial"/>
                <w:b/>
                <w:bCs/>
              </w:rPr>
              <w:t xml:space="preserve">Excluded units: </w:t>
            </w:r>
          </w:p>
          <w:p w14:paraId="41CA2BD4" w14:textId="77777777" w:rsidR="00D0444E" w:rsidRPr="00C41528" w:rsidRDefault="00D0444E" w:rsidP="00AD309C">
            <w:pPr>
              <w:pStyle w:val="ListParagraph"/>
              <w:numPr>
                <w:ilvl w:val="0"/>
                <w:numId w:val="372"/>
              </w:numPr>
              <w:autoSpaceDE w:val="0"/>
              <w:autoSpaceDN w:val="0"/>
              <w:adjustRightInd w:val="0"/>
              <w:rPr>
                <w:rFonts w:cs="Arial"/>
              </w:rPr>
            </w:pPr>
            <w:r w:rsidRPr="00C41528">
              <w:rPr>
                <w:rFonts w:cs="Arial"/>
              </w:rPr>
              <w:t>Labor and Delivery</w:t>
            </w:r>
          </w:p>
          <w:p w14:paraId="04003A69" w14:textId="77777777" w:rsidR="00D0444E" w:rsidRDefault="00D0444E" w:rsidP="00AD309C">
            <w:pPr>
              <w:pStyle w:val="ListParagraph"/>
              <w:numPr>
                <w:ilvl w:val="0"/>
                <w:numId w:val="372"/>
              </w:numPr>
              <w:autoSpaceDE w:val="0"/>
              <w:autoSpaceDN w:val="0"/>
              <w:adjustRightInd w:val="0"/>
              <w:rPr>
                <w:rFonts w:cs="Arial"/>
              </w:rPr>
            </w:pPr>
            <w:r w:rsidRPr="00C41528">
              <w:rPr>
                <w:rFonts w:cs="Arial"/>
              </w:rPr>
              <w:t>Neonatal</w:t>
            </w:r>
          </w:p>
          <w:p w14:paraId="037224E6" w14:textId="3EBF9A34" w:rsidR="00B1103E" w:rsidRPr="00E461ED" w:rsidRDefault="00E461ED" w:rsidP="00AD309C">
            <w:pPr>
              <w:pStyle w:val="ListParagraph"/>
              <w:numPr>
                <w:ilvl w:val="0"/>
                <w:numId w:val="372"/>
              </w:numPr>
              <w:autoSpaceDE w:val="0"/>
              <w:autoSpaceDN w:val="0"/>
              <w:adjustRightInd w:val="0"/>
              <w:rPr>
                <w:rFonts w:cs="Arial"/>
              </w:rPr>
            </w:pPr>
            <w:r w:rsidRPr="0004565D">
              <w:rPr>
                <w:rFonts w:cs="Arial"/>
              </w:rPr>
              <w:t>Critical Access</w:t>
            </w:r>
            <w:r>
              <w:rPr>
                <w:rFonts w:cs="Arial"/>
              </w:rPr>
              <w:t xml:space="preserve"> (</w:t>
            </w:r>
            <w:r w:rsidRPr="0004565D">
              <w:rPr>
                <w:rFonts w:cs="Arial"/>
              </w:rPr>
              <w:t>a unit where more than 10% of beds are for skilled nursing (swing beds)</w:t>
            </w:r>
            <w:r w:rsidR="00B1103E" w:rsidRPr="00E461ED">
              <w:rPr>
                <w:rFonts w:cs="Arial"/>
              </w:rPr>
              <w:t>)</w:t>
            </w:r>
          </w:p>
          <w:p w14:paraId="17CD922F" w14:textId="77777777" w:rsidR="00D0444E" w:rsidRPr="00C41528" w:rsidRDefault="00D0444E" w:rsidP="00AD309C">
            <w:pPr>
              <w:pStyle w:val="ListParagraph"/>
              <w:numPr>
                <w:ilvl w:val="0"/>
                <w:numId w:val="372"/>
              </w:numPr>
              <w:autoSpaceDE w:val="0"/>
              <w:autoSpaceDN w:val="0"/>
              <w:adjustRightInd w:val="0"/>
              <w:rPr>
                <w:rFonts w:cs="Arial"/>
              </w:rPr>
            </w:pPr>
            <w:r w:rsidRPr="00C41528">
              <w:rPr>
                <w:rFonts w:cs="Arial"/>
              </w:rPr>
              <w:t>Rehabilitation</w:t>
            </w:r>
          </w:p>
          <w:p w14:paraId="446DC5DA" w14:textId="77777777" w:rsidR="00D0444E" w:rsidRPr="00C41528" w:rsidRDefault="00D0444E" w:rsidP="00AD309C">
            <w:pPr>
              <w:pStyle w:val="ListParagraph"/>
              <w:numPr>
                <w:ilvl w:val="0"/>
                <w:numId w:val="372"/>
              </w:numPr>
              <w:autoSpaceDE w:val="0"/>
              <w:autoSpaceDN w:val="0"/>
              <w:adjustRightInd w:val="0"/>
              <w:rPr>
                <w:rFonts w:cs="Arial"/>
              </w:rPr>
            </w:pPr>
            <w:r w:rsidRPr="00C41528">
              <w:rPr>
                <w:rFonts w:cs="Arial"/>
              </w:rPr>
              <w:t>Psychiatric</w:t>
            </w:r>
          </w:p>
          <w:p w14:paraId="424C1F8D" w14:textId="77777777" w:rsidR="00D0444E" w:rsidRPr="00C41528" w:rsidRDefault="00D0444E" w:rsidP="00AD309C">
            <w:pPr>
              <w:pStyle w:val="ListParagraph"/>
              <w:numPr>
                <w:ilvl w:val="0"/>
                <w:numId w:val="372"/>
              </w:numPr>
              <w:autoSpaceDE w:val="0"/>
              <w:autoSpaceDN w:val="0"/>
              <w:adjustRightInd w:val="0"/>
              <w:rPr>
                <w:rFonts w:cs="Arial"/>
              </w:rPr>
            </w:pPr>
            <w:r w:rsidRPr="00C41528">
              <w:rPr>
                <w:rFonts w:cs="Arial"/>
              </w:rPr>
              <w:t>Perioperative</w:t>
            </w:r>
          </w:p>
          <w:p w14:paraId="7D633883" w14:textId="77777777" w:rsidR="00D0444E" w:rsidRPr="00C41528" w:rsidRDefault="00D0444E" w:rsidP="00AD309C">
            <w:pPr>
              <w:pStyle w:val="ListParagraph"/>
              <w:numPr>
                <w:ilvl w:val="0"/>
                <w:numId w:val="372"/>
              </w:numPr>
              <w:autoSpaceDE w:val="0"/>
              <w:autoSpaceDN w:val="0"/>
              <w:adjustRightInd w:val="0"/>
              <w:rPr>
                <w:rFonts w:cs="Arial"/>
              </w:rPr>
            </w:pPr>
            <w:r w:rsidRPr="00C41528">
              <w:rPr>
                <w:rFonts w:cs="Arial"/>
              </w:rPr>
              <w:t>Critical Care</w:t>
            </w:r>
          </w:p>
          <w:p w14:paraId="627C070D" w14:textId="77777777" w:rsidR="00D0444E" w:rsidRPr="00C41528" w:rsidRDefault="00D0444E" w:rsidP="00AD309C">
            <w:pPr>
              <w:pStyle w:val="ListParagraph"/>
              <w:numPr>
                <w:ilvl w:val="0"/>
                <w:numId w:val="372"/>
              </w:numPr>
              <w:autoSpaceDE w:val="0"/>
              <w:autoSpaceDN w:val="0"/>
              <w:adjustRightInd w:val="0"/>
              <w:rPr>
                <w:rFonts w:cs="Arial"/>
              </w:rPr>
            </w:pPr>
            <w:r w:rsidRPr="00C41528">
              <w:rPr>
                <w:rFonts w:cs="Arial"/>
              </w:rPr>
              <w:t>Step Down/Progressive</w:t>
            </w:r>
          </w:p>
          <w:p w14:paraId="4B277B87" w14:textId="77777777" w:rsidR="00D0444E" w:rsidRPr="00C41528" w:rsidRDefault="00D0444E" w:rsidP="00AD309C">
            <w:pPr>
              <w:pStyle w:val="ListParagraph"/>
              <w:numPr>
                <w:ilvl w:val="0"/>
                <w:numId w:val="372"/>
              </w:numPr>
              <w:autoSpaceDE w:val="0"/>
              <w:autoSpaceDN w:val="0"/>
              <w:adjustRightInd w:val="0"/>
              <w:rPr>
                <w:rFonts w:cs="Arial"/>
              </w:rPr>
            </w:pPr>
            <w:r w:rsidRPr="00C41528">
              <w:rPr>
                <w:rFonts w:cs="Arial"/>
              </w:rPr>
              <w:t>Hospice</w:t>
            </w:r>
          </w:p>
          <w:p w14:paraId="44BAC2E8" w14:textId="16680CBB" w:rsidR="00D0444E" w:rsidRPr="00C41528" w:rsidRDefault="00D0444E" w:rsidP="00AD309C">
            <w:pPr>
              <w:pStyle w:val="ListParagraph"/>
              <w:numPr>
                <w:ilvl w:val="0"/>
                <w:numId w:val="372"/>
              </w:numPr>
              <w:autoSpaceDE w:val="0"/>
              <w:autoSpaceDN w:val="0"/>
              <w:adjustRightInd w:val="0"/>
              <w:rPr>
                <w:rFonts w:cs="Arial"/>
              </w:rPr>
            </w:pPr>
            <w:r w:rsidRPr="00C41528">
              <w:rPr>
                <w:rFonts w:cs="Arial"/>
              </w:rPr>
              <w:t>Mixed Acuity Units: a unit where more than 10% of the patients in the unit receive varying levels of care (e.g., general medical care and progressive care or intensive care)</w:t>
            </w:r>
          </w:p>
          <w:p w14:paraId="4BD42874" w14:textId="77777777" w:rsidR="00D0444E" w:rsidRPr="00C41528" w:rsidRDefault="00D0444E" w:rsidP="00AD309C">
            <w:pPr>
              <w:pStyle w:val="ListParagraph"/>
              <w:numPr>
                <w:ilvl w:val="0"/>
                <w:numId w:val="372"/>
              </w:numPr>
              <w:autoSpaceDE w:val="0"/>
              <w:autoSpaceDN w:val="0"/>
              <w:adjustRightInd w:val="0"/>
              <w:rPr>
                <w:rFonts w:cs="Arial"/>
              </w:rPr>
            </w:pPr>
            <w:r w:rsidRPr="00C41528">
              <w:rPr>
                <w:rFonts w:cs="Arial"/>
              </w:rPr>
              <w:t xml:space="preserve">Units with fewer </w:t>
            </w:r>
            <w:r w:rsidRPr="00F62669">
              <w:rPr>
                <w:rFonts w:cs="Arial"/>
                <w:iCs/>
                <w:snapToGrid w:val="0"/>
              </w:rPr>
              <w:t>than 15 patient days per month for all 3 months of any quarter of the reporting period</w:t>
            </w:r>
          </w:p>
          <w:p w14:paraId="2520D2BE" w14:textId="77777777" w:rsidR="00D0444E" w:rsidRPr="00C41959" w:rsidRDefault="00D0444E" w:rsidP="00AD309C">
            <w:pPr>
              <w:pStyle w:val="ListParagraph"/>
              <w:numPr>
                <w:ilvl w:val="0"/>
                <w:numId w:val="372"/>
              </w:numPr>
              <w:autoSpaceDE w:val="0"/>
              <w:autoSpaceDN w:val="0"/>
              <w:adjustRightInd w:val="0"/>
              <w:rPr>
                <w:rFonts w:cs="Arial"/>
              </w:rPr>
            </w:pPr>
            <w:r w:rsidRPr="00C41959">
              <w:rPr>
                <w:rFonts w:cs="Arial"/>
              </w:rPr>
              <w:t>Units that transitioned to an excluded unit type during the reporting period (e.g., a single acuity Medical Unit transitioned to a critical care unit during the reporting period)</w:t>
            </w:r>
          </w:p>
        </w:tc>
      </w:tr>
      <w:tr w:rsidR="00D0444E" w14:paraId="3D99C70D" w14:textId="77777777" w:rsidTr="00D73F6A">
        <w:tc>
          <w:tcPr>
            <w:tcW w:w="9350" w:type="dxa"/>
          </w:tcPr>
          <w:p w14:paraId="28B33869" w14:textId="486A7AC8" w:rsidR="00D0444E" w:rsidRDefault="00D0444E" w:rsidP="00D73F6A">
            <w:pPr>
              <w:rPr>
                <w:rFonts w:cs="Arial"/>
                <w:b/>
                <w:bCs/>
              </w:rPr>
            </w:pPr>
            <w:r>
              <w:rPr>
                <w:rFonts w:cs="Arial"/>
                <w:b/>
                <w:bCs/>
              </w:rPr>
              <w:t>Question #</w:t>
            </w:r>
            <w:r w:rsidR="00823C75">
              <w:rPr>
                <w:rFonts w:cs="Arial"/>
                <w:b/>
                <w:bCs/>
              </w:rPr>
              <w:t>7</w:t>
            </w:r>
            <w:r>
              <w:rPr>
                <w:rFonts w:cs="Arial"/>
                <w:b/>
                <w:bCs/>
              </w:rPr>
              <w:t>: Single Acuity Surgical Units</w:t>
            </w:r>
          </w:p>
          <w:p w14:paraId="7E87DF98" w14:textId="77777777" w:rsidR="00D0444E" w:rsidRPr="00C41959" w:rsidRDefault="00D0444E" w:rsidP="00D73F6A">
            <w:pPr>
              <w:rPr>
                <w:rFonts w:cs="Arial"/>
                <w:b/>
                <w:bCs/>
              </w:rPr>
            </w:pPr>
            <w:r w:rsidRPr="001E285B">
              <w:rPr>
                <w:rFonts w:cs="Arial"/>
              </w:rPr>
              <w:t xml:space="preserve">Enter your hospital’s responses for each quarter for all adult and pediatric single acuity </w:t>
            </w:r>
            <w:r w:rsidRPr="0052798E">
              <w:rPr>
                <w:rFonts w:cs="Arial"/>
                <w:b/>
                <w:bCs/>
              </w:rPr>
              <w:t>Surgical Units</w:t>
            </w:r>
            <w:r w:rsidRPr="001E285B">
              <w:rPr>
                <w:rFonts w:cs="Arial"/>
              </w:rPr>
              <w:t xml:space="preserve"> for the reporting period selected in question #1</w:t>
            </w:r>
            <w:r>
              <w:rPr>
                <w:rFonts w:cs="Arial"/>
              </w:rPr>
              <w:t>.</w:t>
            </w:r>
          </w:p>
        </w:tc>
      </w:tr>
      <w:tr w:rsidR="00D0444E" w14:paraId="4B26C9BF" w14:textId="77777777" w:rsidTr="00D73F6A">
        <w:tc>
          <w:tcPr>
            <w:tcW w:w="9350" w:type="dxa"/>
          </w:tcPr>
          <w:p w14:paraId="4F7608E0" w14:textId="2009351D" w:rsidR="00D0444E" w:rsidRPr="00BB3760" w:rsidRDefault="00D0444E" w:rsidP="00D73F6A">
            <w:pPr>
              <w:rPr>
                <w:rFonts w:cs="Arial"/>
              </w:rPr>
            </w:pPr>
            <w:r w:rsidRPr="00632627">
              <w:rPr>
                <w:rFonts w:cs="Arial"/>
                <w:b/>
                <w:bCs/>
              </w:rPr>
              <w:t xml:space="preserve">Question </w:t>
            </w:r>
            <w:r>
              <w:rPr>
                <w:rFonts w:cs="Arial"/>
                <w:b/>
                <w:bCs/>
              </w:rPr>
              <w:t>#</w:t>
            </w:r>
            <w:r w:rsidR="00A21532">
              <w:rPr>
                <w:rFonts w:cs="Arial"/>
                <w:b/>
                <w:bCs/>
              </w:rPr>
              <w:t>7</w:t>
            </w:r>
            <w:r w:rsidRPr="00632627">
              <w:rPr>
                <w:rFonts w:cs="Arial"/>
                <w:b/>
                <w:bCs/>
              </w:rPr>
              <w:t>(a):</w:t>
            </w:r>
            <w:r>
              <w:rPr>
                <w:rFonts w:cs="Arial"/>
                <w:b/>
                <w:bCs/>
              </w:rPr>
              <w:t xml:space="preserve"> </w:t>
            </w:r>
            <w:r w:rsidRPr="00BB3760">
              <w:rPr>
                <w:rFonts w:cs="Arial"/>
              </w:rPr>
              <w:t xml:space="preserve">Total number of patient days </w:t>
            </w:r>
            <w:r>
              <w:rPr>
                <w:rFonts w:cs="Arial"/>
              </w:rPr>
              <w:t>across</w:t>
            </w:r>
            <w:r w:rsidRPr="00BB3760">
              <w:rPr>
                <w:rFonts w:cs="Arial"/>
              </w:rPr>
              <w:t xml:space="preserve"> all </w:t>
            </w:r>
            <w:r>
              <w:rPr>
                <w:rFonts w:cs="Arial"/>
              </w:rPr>
              <w:t xml:space="preserve">adult and pediatric </w:t>
            </w:r>
            <w:r w:rsidRPr="00BB3760">
              <w:rPr>
                <w:rFonts w:cs="Arial"/>
              </w:rPr>
              <w:t xml:space="preserve">single acuity </w:t>
            </w:r>
            <w:r w:rsidRPr="00C41959">
              <w:rPr>
                <w:rFonts w:cs="Arial"/>
                <w:b/>
                <w:bCs/>
              </w:rPr>
              <w:t>Surgical Units</w:t>
            </w:r>
            <w:r w:rsidRPr="00BB3760">
              <w:rPr>
                <w:rFonts w:cs="Arial"/>
              </w:rPr>
              <w:t xml:space="preserve"> </w:t>
            </w:r>
            <w:r>
              <w:rPr>
                <w:rFonts w:cs="Arial"/>
              </w:rPr>
              <w:t xml:space="preserve">during </w:t>
            </w:r>
            <w:r w:rsidRPr="00BB3760">
              <w:rPr>
                <w:rFonts w:cs="Arial"/>
              </w:rPr>
              <w:t>each quarter</w:t>
            </w:r>
            <w:r>
              <w:rPr>
                <w:rFonts w:cs="Arial"/>
              </w:rPr>
              <w:t xml:space="preserve"> of the reporting period</w:t>
            </w:r>
            <w:r w:rsidRPr="00BB3760">
              <w:rPr>
                <w:rFonts w:cs="Arial"/>
              </w:rPr>
              <w:t xml:space="preserve"> based on your hospital’s method for counting patient days. </w:t>
            </w:r>
          </w:p>
          <w:p w14:paraId="7E3F5A54" w14:textId="77777777" w:rsidR="00D0444E" w:rsidRPr="00F83C07" w:rsidRDefault="00D0444E" w:rsidP="00D73F6A">
            <w:pPr>
              <w:autoSpaceDE w:val="0"/>
              <w:autoSpaceDN w:val="0"/>
              <w:adjustRightInd w:val="0"/>
              <w:rPr>
                <w:rFonts w:cs="Arial"/>
                <w:sz w:val="16"/>
                <w:szCs w:val="16"/>
              </w:rPr>
            </w:pPr>
          </w:p>
          <w:p w14:paraId="5F794A5D" w14:textId="77777777" w:rsidR="00D0444E" w:rsidRPr="00632627" w:rsidRDefault="00D0444E" w:rsidP="00D73F6A">
            <w:pPr>
              <w:autoSpaceDE w:val="0"/>
              <w:autoSpaceDN w:val="0"/>
              <w:adjustRightInd w:val="0"/>
              <w:rPr>
                <w:rFonts w:cs="Arial"/>
                <w:b/>
                <w:bCs/>
              </w:rPr>
            </w:pPr>
            <w:r w:rsidRPr="00BB3760">
              <w:rPr>
                <w:rFonts w:cs="Arial"/>
              </w:rPr>
              <w:t xml:space="preserve">Patient days should be calculated to include all patients in </w:t>
            </w:r>
            <w:r w:rsidRPr="00331343">
              <w:rPr>
                <w:rFonts w:cs="Arial"/>
              </w:rPr>
              <w:t xml:space="preserve">adult </w:t>
            </w:r>
            <w:r>
              <w:rPr>
                <w:rFonts w:cs="Arial"/>
              </w:rPr>
              <w:t>and</w:t>
            </w:r>
            <w:r w:rsidRPr="00331343">
              <w:rPr>
                <w:rFonts w:cs="Arial"/>
              </w:rPr>
              <w:t xml:space="preserve"> pediatric single acuity </w:t>
            </w:r>
            <w:r>
              <w:rPr>
                <w:rFonts w:cs="Arial"/>
              </w:rPr>
              <w:t>Surg</w:t>
            </w:r>
            <w:r w:rsidRPr="00331343">
              <w:rPr>
                <w:rFonts w:cs="Arial"/>
              </w:rPr>
              <w:t>ical Unit</w:t>
            </w:r>
            <w:r>
              <w:rPr>
                <w:rFonts w:cs="Arial"/>
              </w:rPr>
              <w:t>s</w:t>
            </w:r>
            <w:r w:rsidRPr="00BB3760">
              <w:rPr>
                <w:rFonts w:cs="Arial"/>
              </w:rPr>
              <w:t>. This includes patients that do not have inpatient status (i.e., observation patients).</w:t>
            </w:r>
          </w:p>
        </w:tc>
      </w:tr>
      <w:tr w:rsidR="00D0444E" w14:paraId="3044EEF2" w14:textId="77777777" w:rsidTr="00D73F6A">
        <w:tc>
          <w:tcPr>
            <w:tcW w:w="9350" w:type="dxa"/>
          </w:tcPr>
          <w:p w14:paraId="2A1676CF" w14:textId="4D2D9278" w:rsidR="00D0444E" w:rsidRDefault="00D0444E" w:rsidP="00D73F6A">
            <w:pPr>
              <w:autoSpaceDE w:val="0"/>
              <w:autoSpaceDN w:val="0"/>
              <w:adjustRightInd w:val="0"/>
              <w:rPr>
                <w:rFonts w:cs="Arial"/>
              </w:rPr>
            </w:pPr>
            <w:r w:rsidRPr="00632627">
              <w:rPr>
                <w:rFonts w:cs="Arial"/>
                <w:b/>
                <w:bCs/>
              </w:rPr>
              <w:t xml:space="preserve">Question </w:t>
            </w:r>
            <w:r>
              <w:rPr>
                <w:rFonts w:cs="Arial"/>
                <w:b/>
                <w:bCs/>
              </w:rPr>
              <w:t>#</w:t>
            </w:r>
            <w:r w:rsidR="00A21532">
              <w:rPr>
                <w:rFonts w:cs="Arial"/>
                <w:b/>
                <w:bCs/>
              </w:rPr>
              <w:t>7</w:t>
            </w:r>
            <w:r w:rsidRPr="00632627">
              <w:rPr>
                <w:rFonts w:cs="Arial"/>
                <w:b/>
                <w:bCs/>
              </w:rPr>
              <w:t>(b):</w:t>
            </w:r>
            <w:r w:rsidRPr="00670605">
              <w:rPr>
                <w:rFonts w:cs="Arial"/>
                <w:b/>
                <w:bCs/>
              </w:rPr>
              <w:t xml:space="preserve"> </w:t>
            </w:r>
            <w:r w:rsidRPr="00BB3760">
              <w:rPr>
                <w:rFonts w:cs="Arial"/>
              </w:rPr>
              <w:t xml:space="preserve">Total number of productive hours worked by </w:t>
            </w:r>
            <w:r w:rsidRPr="00612120">
              <w:rPr>
                <w:rFonts w:cs="Arial"/>
              </w:rPr>
              <w:t>employe</w:t>
            </w:r>
            <w:r>
              <w:rPr>
                <w:rFonts w:cs="Arial"/>
              </w:rPr>
              <w:t>d</w:t>
            </w:r>
            <w:r w:rsidRPr="00612120">
              <w:rPr>
                <w:rFonts w:cs="Arial"/>
              </w:rPr>
              <w:t xml:space="preserve"> and contract</w:t>
            </w:r>
            <w:r>
              <w:rPr>
                <w:rFonts w:cs="Arial"/>
              </w:rPr>
              <w:t>ed</w:t>
            </w:r>
            <w:r w:rsidRPr="00612120">
              <w:rPr>
                <w:rFonts w:cs="Arial"/>
              </w:rPr>
              <w:t xml:space="preserve"> </w:t>
            </w:r>
            <w:r w:rsidRPr="007E2D99">
              <w:rPr>
                <w:rFonts w:cs="Arial"/>
                <w:b/>
                <w:bCs/>
              </w:rPr>
              <w:t>nursing staff (RN, LPN/LVN, and UAP)</w:t>
            </w:r>
            <w:r w:rsidRPr="00BB3760">
              <w:rPr>
                <w:rFonts w:cs="Arial"/>
              </w:rPr>
              <w:t xml:space="preserve"> with direct patient care responsibilities in all </w:t>
            </w:r>
            <w:r>
              <w:rPr>
                <w:rFonts w:cs="Arial"/>
              </w:rPr>
              <w:t xml:space="preserve">single acuity adult and pediatric </w:t>
            </w:r>
            <w:r w:rsidRPr="0050685B">
              <w:rPr>
                <w:rFonts w:cs="Arial"/>
                <w:b/>
                <w:bCs/>
              </w:rPr>
              <w:t>Surgical Units</w:t>
            </w:r>
            <w:r w:rsidRPr="00BB3760">
              <w:rPr>
                <w:rFonts w:cs="Arial"/>
              </w:rPr>
              <w:t xml:space="preserve"> in each quarter.</w:t>
            </w:r>
          </w:p>
          <w:p w14:paraId="3AD8B58C" w14:textId="77777777" w:rsidR="00D0444E" w:rsidRPr="00F83C07" w:rsidRDefault="00D0444E" w:rsidP="00D73F6A">
            <w:pPr>
              <w:autoSpaceDE w:val="0"/>
              <w:autoSpaceDN w:val="0"/>
              <w:adjustRightInd w:val="0"/>
              <w:rPr>
                <w:rFonts w:cs="Arial"/>
                <w:sz w:val="16"/>
                <w:szCs w:val="16"/>
              </w:rPr>
            </w:pPr>
          </w:p>
          <w:p w14:paraId="26B9873D" w14:textId="77777777" w:rsidR="00D0444E" w:rsidRPr="007E0D9D" w:rsidRDefault="00D0444E" w:rsidP="00D73F6A">
            <w:pPr>
              <w:autoSpaceDE w:val="0"/>
              <w:autoSpaceDN w:val="0"/>
              <w:adjustRightInd w:val="0"/>
              <w:rPr>
                <w:rFonts w:cs="Arial"/>
                <w:b/>
                <w:bCs/>
                <w:u w:val="single"/>
              </w:rPr>
            </w:pPr>
            <w:r w:rsidRPr="007E0D9D">
              <w:rPr>
                <w:rFonts w:cs="Arial"/>
                <w:b/>
                <w:bCs/>
                <w:u w:val="single"/>
              </w:rPr>
              <w:t>Productive Hours</w:t>
            </w:r>
          </w:p>
          <w:p w14:paraId="3685FEA9" w14:textId="77777777" w:rsidR="00D0444E" w:rsidRPr="00F83C07" w:rsidRDefault="00D0444E" w:rsidP="00D73F6A">
            <w:pPr>
              <w:autoSpaceDE w:val="0"/>
              <w:autoSpaceDN w:val="0"/>
              <w:adjustRightInd w:val="0"/>
              <w:rPr>
                <w:rFonts w:cs="Arial"/>
                <w:sz w:val="16"/>
                <w:szCs w:val="16"/>
              </w:rPr>
            </w:pPr>
          </w:p>
          <w:p w14:paraId="4D876885" w14:textId="4668BF96" w:rsidR="00D0444E" w:rsidRPr="00BB370E" w:rsidRDefault="00D0444E" w:rsidP="00D73F6A">
            <w:pPr>
              <w:autoSpaceDE w:val="0"/>
              <w:autoSpaceDN w:val="0"/>
              <w:adjustRightInd w:val="0"/>
              <w:rPr>
                <w:rFonts w:cs="Arial"/>
              </w:rPr>
            </w:pPr>
            <w:r w:rsidRPr="00A831FC">
              <w:rPr>
                <w:rFonts w:cs="Arial"/>
                <w:b/>
                <w:bCs/>
              </w:rPr>
              <w:t>Include</w:t>
            </w:r>
            <w:r w:rsidRPr="00A831FC">
              <w:rPr>
                <w:rFonts w:cs="Arial"/>
              </w:rPr>
              <w:t xml:space="preserve"> the following hours worked by employe</w:t>
            </w:r>
            <w:r w:rsidR="003B710F">
              <w:rPr>
                <w:rFonts w:cs="Arial"/>
              </w:rPr>
              <w:t>d</w:t>
            </w:r>
            <w:r w:rsidRPr="00A831FC">
              <w:rPr>
                <w:rFonts w:cs="Arial"/>
              </w:rPr>
              <w:t xml:space="preserve"> and contract RNs, LPN/LVNs, and UAPs</w:t>
            </w:r>
            <w:r w:rsidRPr="00BB370E">
              <w:rPr>
                <w:rFonts w:cs="Arial"/>
              </w:rPr>
              <w:t>:</w:t>
            </w:r>
          </w:p>
          <w:p w14:paraId="5EC188F6" w14:textId="77777777" w:rsidR="00D0444E" w:rsidRDefault="00D0444E" w:rsidP="00AD309C">
            <w:pPr>
              <w:pStyle w:val="ListParagraph"/>
              <w:numPr>
                <w:ilvl w:val="0"/>
                <w:numId w:val="373"/>
              </w:numPr>
              <w:autoSpaceDE w:val="0"/>
              <w:autoSpaceDN w:val="0"/>
              <w:adjustRightInd w:val="0"/>
              <w:rPr>
                <w:rFonts w:cs="Arial"/>
              </w:rPr>
            </w:pPr>
            <w:r>
              <w:rPr>
                <w:rFonts w:cs="Arial"/>
              </w:rPr>
              <w:t>A</w:t>
            </w:r>
            <w:r w:rsidRPr="00153B88">
              <w:rPr>
                <w:rFonts w:cs="Arial"/>
              </w:rPr>
              <w:t>ctual direct patient care hours worked by nursing staff</w:t>
            </w:r>
          </w:p>
          <w:p w14:paraId="41B02C9E" w14:textId="77777777" w:rsidR="00D0444E" w:rsidRPr="0008544D" w:rsidRDefault="00D0444E" w:rsidP="00AD309C">
            <w:pPr>
              <w:pStyle w:val="ListParagraph"/>
              <w:numPr>
                <w:ilvl w:val="0"/>
                <w:numId w:val="373"/>
              </w:numPr>
              <w:autoSpaceDE w:val="0"/>
              <w:autoSpaceDN w:val="0"/>
              <w:adjustRightInd w:val="0"/>
              <w:rPr>
                <w:rFonts w:cs="Arial"/>
              </w:rPr>
            </w:pPr>
            <w:r>
              <w:rPr>
                <w:rFonts w:cs="Arial"/>
              </w:rPr>
              <w:t>O</w:t>
            </w:r>
            <w:r w:rsidRPr="0008544D">
              <w:rPr>
                <w:rFonts w:cs="Arial"/>
              </w:rPr>
              <w:t>vertime</w:t>
            </w:r>
            <w:r>
              <w:rPr>
                <w:rFonts w:cs="Arial"/>
              </w:rPr>
              <w:t xml:space="preserve"> spent performing direct patient care</w:t>
            </w:r>
          </w:p>
          <w:p w14:paraId="1EAC8EC7" w14:textId="77777777" w:rsidR="00D0444E" w:rsidRPr="0008544D" w:rsidRDefault="00D0444E" w:rsidP="00AD309C">
            <w:pPr>
              <w:pStyle w:val="ListParagraph"/>
              <w:numPr>
                <w:ilvl w:val="0"/>
                <w:numId w:val="373"/>
              </w:numPr>
              <w:autoSpaceDE w:val="0"/>
              <w:autoSpaceDN w:val="0"/>
              <w:adjustRightInd w:val="0"/>
              <w:rPr>
                <w:rFonts w:cs="Arial"/>
              </w:rPr>
            </w:pPr>
            <w:r w:rsidRPr="0008544D">
              <w:rPr>
                <w:rFonts w:cs="Arial"/>
              </w:rPr>
              <w:t>Orientation hours for new hires that are considered part of the unit’s staffing matrix, whose work hours are charged to the unit’s cost center, and</w:t>
            </w:r>
            <w:r>
              <w:rPr>
                <w:rFonts w:cs="Arial"/>
              </w:rPr>
              <w:t xml:space="preserve"> who</w:t>
            </w:r>
            <w:r w:rsidRPr="0008544D">
              <w:rPr>
                <w:rFonts w:cs="Arial"/>
              </w:rPr>
              <w:t xml:space="preserve"> would be replaced if they call</w:t>
            </w:r>
            <w:r>
              <w:rPr>
                <w:rFonts w:cs="Arial"/>
              </w:rPr>
              <w:t>ed out</w:t>
            </w:r>
            <w:r w:rsidRPr="0008544D">
              <w:rPr>
                <w:rFonts w:cs="Arial"/>
              </w:rPr>
              <w:t xml:space="preserve"> sick</w:t>
            </w:r>
          </w:p>
          <w:p w14:paraId="5CEE38EA" w14:textId="2BBE5A74" w:rsidR="00D0444E" w:rsidRPr="00A51964" w:rsidRDefault="00A51964" w:rsidP="00AD309C">
            <w:pPr>
              <w:pStyle w:val="ListParagraph"/>
              <w:numPr>
                <w:ilvl w:val="0"/>
                <w:numId w:val="373"/>
              </w:numPr>
              <w:autoSpaceDE w:val="0"/>
              <w:autoSpaceDN w:val="0"/>
              <w:adjustRightInd w:val="0"/>
              <w:rPr>
                <w:rFonts w:cs="Arial"/>
              </w:rPr>
            </w:pPr>
            <w:r w:rsidRPr="00B16AB6">
              <w:rPr>
                <w:rFonts w:cs="Arial"/>
              </w:rPr>
              <w:t>Sitter hours authorized for both physical touch and direct patient care intervention</w:t>
            </w:r>
          </w:p>
          <w:p w14:paraId="3A0A53EE" w14:textId="77777777" w:rsidR="00D0444E" w:rsidRPr="00F83C07" w:rsidRDefault="00D0444E" w:rsidP="00D73F6A">
            <w:pPr>
              <w:autoSpaceDE w:val="0"/>
              <w:autoSpaceDN w:val="0"/>
              <w:adjustRightInd w:val="0"/>
              <w:rPr>
                <w:rFonts w:cs="Arial"/>
                <w:sz w:val="16"/>
                <w:szCs w:val="16"/>
              </w:rPr>
            </w:pPr>
          </w:p>
          <w:p w14:paraId="3942B305" w14:textId="77777777" w:rsidR="00D0444E" w:rsidRPr="00153B88" w:rsidRDefault="00D0444E" w:rsidP="00D73F6A">
            <w:pPr>
              <w:autoSpaceDE w:val="0"/>
              <w:autoSpaceDN w:val="0"/>
              <w:adjustRightInd w:val="0"/>
              <w:rPr>
                <w:rFonts w:cs="Arial"/>
              </w:rPr>
            </w:pPr>
            <w:r w:rsidRPr="00A831FC">
              <w:rPr>
                <w:rFonts w:cs="Arial"/>
                <w:b/>
                <w:bCs/>
              </w:rPr>
              <w:t>Exclude</w:t>
            </w:r>
            <w:r>
              <w:rPr>
                <w:rFonts w:cs="Arial"/>
              </w:rPr>
              <w:t xml:space="preserve"> the following </w:t>
            </w:r>
            <w:r w:rsidRPr="00A831FC">
              <w:rPr>
                <w:rFonts w:cs="Arial"/>
              </w:rPr>
              <w:t xml:space="preserve">hours worked by </w:t>
            </w:r>
            <w:r w:rsidRPr="00612120">
              <w:rPr>
                <w:rFonts w:cs="Arial"/>
              </w:rPr>
              <w:t>employe</w:t>
            </w:r>
            <w:r>
              <w:rPr>
                <w:rFonts w:cs="Arial"/>
              </w:rPr>
              <w:t>d</w:t>
            </w:r>
            <w:r w:rsidRPr="00612120">
              <w:rPr>
                <w:rFonts w:cs="Arial"/>
              </w:rPr>
              <w:t xml:space="preserve"> and contract</w:t>
            </w:r>
            <w:r>
              <w:rPr>
                <w:rFonts w:cs="Arial"/>
              </w:rPr>
              <w:t>ed</w:t>
            </w:r>
            <w:r w:rsidRPr="00612120">
              <w:rPr>
                <w:rFonts w:cs="Arial"/>
              </w:rPr>
              <w:t xml:space="preserve"> </w:t>
            </w:r>
            <w:r w:rsidRPr="00A831FC">
              <w:rPr>
                <w:rFonts w:cs="Arial"/>
              </w:rPr>
              <w:t>RN, LPN/LVN, and UAP</w:t>
            </w:r>
            <w:r w:rsidRPr="00153B88">
              <w:rPr>
                <w:rFonts w:cs="Arial"/>
              </w:rPr>
              <w:t>:</w:t>
            </w:r>
          </w:p>
          <w:p w14:paraId="4EDA8D53" w14:textId="77777777" w:rsidR="00D0444E" w:rsidRPr="00173884" w:rsidRDefault="00D0444E" w:rsidP="00AD309C">
            <w:pPr>
              <w:pStyle w:val="ListParagraph"/>
              <w:numPr>
                <w:ilvl w:val="0"/>
                <w:numId w:val="374"/>
              </w:numPr>
              <w:autoSpaceDE w:val="0"/>
              <w:autoSpaceDN w:val="0"/>
              <w:adjustRightInd w:val="0"/>
              <w:rPr>
                <w:rFonts w:cs="Arial"/>
              </w:rPr>
            </w:pPr>
            <w:r w:rsidRPr="00173884">
              <w:rPr>
                <w:rFonts w:cs="Arial"/>
              </w:rPr>
              <w:t>Budgeted or scheduled hours</w:t>
            </w:r>
          </w:p>
          <w:p w14:paraId="316C8012" w14:textId="77777777" w:rsidR="00D0444E" w:rsidRPr="00173884" w:rsidRDefault="00D0444E" w:rsidP="00AD309C">
            <w:pPr>
              <w:pStyle w:val="ListParagraph"/>
              <w:numPr>
                <w:ilvl w:val="0"/>
                <w:numId w:val="374"/>
              </w:numPr>
              <w:autoSpaceDE w:val="0"/>
              <w:autoSpaceDN w:val="0"/>
              <w:adjustRightInd w:val="0"/>
              <w:rPr>
                <w:rFonts w:cs="Arial"/>
              </w:rPr>
            </w:pPr>
            <w:r w:rsidRPr="00173884">
              <w:rPr>
                <w:rFonts w:cs="Arial"/>
              </w:rPr>
              <w:t>Vacation time, sick time, education leave, or committee time</w:t>
            </w:r>
          </w:p>
          <w:p w14:paraId="2A7A00FE" w14:textId="77777777" w:rsidR="00D0444E" w:rsidRPr="00173884" w:rsidRDefault="00D0444E" w:rsidP="00AD309C">
            <w:pPr>
              <w:pStyle w:val="ListParagraph"/>
              <w:numPr>
                <w:ilvl w:val="0"/>
                <w:numId w:val="374"/>
              </w:numPr>
              <w:autoSpaceDE w:val="0"/>
              <w:autoSpaceDN w:val="0"/>
              <w:adjustRightInd w:val="0"/>
              <w:rPr>
                <w:rFonts w:cs="Arial"/>
              </w:rPr>
            </w:pPr>
            <w:r w:rsidRPr="00173884">
              <w:rPr>
                <w:rFonts w:cs="Arial"/>
              </w:rPr>
              <w:t xml:space="preserve">Orientation hours for new hires that are not considered part of the unit’s staffing matrix, whose work hours are not charged to the unit’s cost center, and would not be replaced if they call </w:t>
            </w:r>
            <w:r>
              <w:rPr>
                <w:rFonts w:cs="Arial"/>
              </w:rPr>
              <w:t>out</w:t>
            </w:r>
            <w:r w:rsidRPr="00173884">
              <w:rPr>
                <w:rFonts w:cs="Arial"/>
              </w:rPr>
              <w:t xml:space="preserve"> sick</w:t>
            </w:r>
          </w:p>
          <w:p w14:paraId="2584CA92" w14:textId="77777777" w:rsidR="00D0444E" w:rsidRPr="00173884" w:rsidRDefault="00D0444E" w:rsidP="00AD309C">
            <w:pPr>
              <w:pStyle w:val="ListParagraph"/>
              <w:numPr>
                <w:ilvl w:val="0"/>
                <w:numId w:val="374"/>
              </w:numPr>
              <w:autoSpaceDE w:val="0"/>
              <w:autoSpaceDN w:val="0"/>
              <w:adjustRightInd w:val="0"/>
              <w:rPr>
                <w:rFonts w:cs="Arial"/>
              </w:rPr>
            </w:pPr>
            <w:r w:rsidRPr="00173884">
              <w:rPr>
                <w:rFonts w:cs="Arial"/>
              </w:rPr>
              <w:t>Hours from when the unit was staffed but there were no patients in the unit</w:t>
            </w:r>
          </w:p>
          <w:p w14:paraId="725C02A7" w14:textId="77777777" w:rsidR="00D0444E" w:rsidRPr="00173884" w:rsidRDefault="00D0444E" w:rsidP="00AD309C">
            <w:pPr>
              <w:pStyle w:val="ListParagraph"/>
              <w:numPr>
                <w:ilvl w:val="1"/>
                <w:numId w:val="374"/>
              </w:numPr>
              <w:autoSpaceDE w:val="0"/>
              <w:autoSpaceDN w:val="0"/>
              <w:adjustRightInd w:val="0"/>
              <w:rPr>
                <w:rFonts w:cs="Arial"/>
              </w:rPr>
            </w:pPr>
            <w:r w:rsidRPr="00173884">
              <w:rPr>
                <w:rFonts w:cs="Arial"/>
              </w:rPr>
              <w:t>If these nursing hours cannot be removed, then the unit should not be included.</w:t>
            </w:r>
          </w:p>
          <w:p w14:paraId="530C9AB4" w14:textId="77777777" w:rsidR="00A9559B" w:rsidRPr="003A5BED" w:rsidRDefault="00D0444E" w:rsidP="00AD309C">
            <w:pPr>
              <w:pStyle w:val="ListParagraph"/>
              <w:numPr>
                <w:ilvl w:val="0"/>
                <w:numId w:val="374"/>
              </w:numPr>
              <w:autoSpaceDE w:val="0"/>
              <w:autoSpaceDN w:val="0"/>
              <w:adjustRightInd w:val="0"/>
              <w:rPr>
                <w:rFonts w:eastAsiaTheme="minorHAnsi" w:cs="Arial"/>
                <w:b/>
                <w:bCs/>
                <w:kern w:val="2"/>
                <w:u w:val="single"/>
                <w14:ligatures w14:val="standardContextual"/>
              </w:rPr>
            </w:pPr>
            <w:r w:rsidRPr="00173884">
              <w:rPr>
                <w:rFonts w:cs="Arial"/>
              </w:rPr>
              <w:t>Virtual or remote hours</w:t>
            </w:r>
          </w:p>
          <w:p w14:paraId="4EDEA2AC" w14:textId="4B17351D" w:rsidR="00D0444E" w:rsidRPr="00A90AE6" w:rsidRDefault="0095552A" w:rsidP="00AD309C">
            <w:pPr>
              <w:pStyle w:val="ListParagraph"/>
              <w:numPr>
                <w:ilvl w:val="0"/>
                <w:numId w:val="374"/>
              </w:numPr>
              <w:autoSpaceDE w:val="0"/>
              <w:autoSpaceDN w:val="0"/>
              <w:adjustRightInd w:val="0"/>
              <w:rPr>
                <w:rFonts w:eastAsiaTheme="minorHAnsi" w:cs="Arial"/>
                <w:b/>
                <w:bCs/>
                <w:kern w:val="2"/>
                <w:u w:val="single"/>
                <w14:ligatures w14:val="standardContextual"/>
              </w:rPr>
            </w:pPr>
            <w:bookmarkStart w:id="432" w:name="_Hlk184129370"/>
            <w:r w:rsidRPr="00C83974">
              <w:rPr>
                <w:rFonts w:cs="Arial"/>
              </w:rPr>
              <w:t>Sitter hours without authorization for both physical touch and direct patient care intervention</w:t>
            </w:r>
            <w:bookmarkEnd w:id="432"/>
            <w:r w:rsidR="00D0444E">
              <w:rPr>
                <w:rFonts w:cs="Arial"/>
              </w:rPr>
              <w:br/>
            </w:r>
          </w:p>
          <w:p w14:paraId="4E1390CD" w14:textId="77777777" w:rsidR="00D0444E" w:rsidRDefault="00D0444E" w:rsidP="00D73F6A">
            <w:pPr>
              <w:autoSpaceDE w:val="0"/>
              <w:autoSpaceDN w:val="0"/>
              <w:adjustRightInd w:val="0"/>
              <w:rPr>
                <w:rFonts w:eastAsiaTheme="minorHAnsi" w:cs="Arial"/>
                <w:b/>
                <w:bCs/>
                <w:kern w:val="2"/>
                <w:u w:val="single"/>
                <w14:ligatures w14:val="standardContextual"/>
              </w:rPr>
            </w:pPr>
            <w:r w:rsidRPr="00591EAA">
              <w:rPr>
                <w:rFonts w:eastAsiaTheme="minorHAnsi" w:cs="Arial"/>
                <w:b/>
                <w:bCs/>
                <w:kern w:val="2"/>
                <w:u w:val="single"/>
                <w14:ligatures w14:val="standardContextual"/>
              </w:rPr>
              <w:t>Employe</w:t>
            </w:r>
            <w:r>
              <w:rPr>
                <w:rFonts w:eastAsiaTheme="minorHAnsi" w:cs="Arial"/>
                <w:b/>
                <w:bCs/>
                <w:kern w:val="2"/>
                <w:u w:val="single"/>
                <w14:ligatures w14:val="standardContextual"/>
              </w:rPr>
              <w:t>d</w:t>
            </w:r>
            <w:r w:rsidRPr="00591EAA">
              <w:rPr>
                <w:rFonts w:eastAsiaTheme="minorHAnsi" w:cs="Arial"/>
                <w:b/>
                <w:bCs/>
                <w:kern w:val="2"/>
                <w:u w:val="single"/>
                <w14:ligatures w14:val="standardContextual"/>
              </w:rPr>
              <w:t xml:space="preserve"> and Contract</w:t>
            </w:r>
            <w:r>
              <w:rPr>
                <w:rFonts w:eastAsiaTheme="minorHAnsi" w:cs="Arial"/>
                <w:b/>
                <w:bCs/>
                <w:kern w:val="2"/>
                <w:u w:val="single"/>
                <w14:ligatures w14:val="standardContextual"/>
              </w:rPr>
              <w:t>ed</w:t>
            </w:r>
            <w:r w:rsidRPr="00591EAA">
              <w:rPr>
                <w:rFonts w:eastAsiaTheme="minorHAnsi" w:cs="Arial"/>
                <w:b/>
                <w:bCs/>
                <w:kern w:val="2"/>
                <w:u w:val="single"/>
                <w14:ligatures w14:val="standardContextual"/>
              </w:rPr>
              <w:t xml:space="preserve"> Nursing Staff</w:t>
            </w:r>
          </w:p>
          <w:p w14:paraId="5FA6ED06" w14:textId="77777777" w:rsidR="00D0444E" w:rsidRPr="00F83C07" w:rsidRDefault="00D0444E" w:rsidP="00D73F6A">
            <w:pPr>
              <w:autoSpaceDE w:val="0"/>
              <w:autoSpaceDN w:val="0"/>
              <w:adjustRightInd w:val="0"/>
              <w:rPr>
                <w:rFonts w:eastAsiaTheme="minorHAnsi" w:cs="Arial"/>
                <w:b/>
                <w:bCs/>
                <w:kern w:val="2"/>
                <w:sz w:val="16"/>
                <w:szCs w:val="16"/>
                <w:u w:val="single"/>
                <w14:ligatures w14:val="standardContextual"/>
              </w:rPr>
            </w:pPr>
          </w:p>
          <w:p w14:paraId="21DFF63E" w14:textId="77777777" w:rsidR="00D0444E" w:rsidRPr="00153B88" w:rsidRDefault="00D0444E" w:rsidP="00D73F6A">
            <w:pPr>
              <w:autoSpaceDE w:val="0"/>
              <w:autoSpaceDN w:val="0"/>
              <w:adjustRightInd w:val="0"/>
              <w:rPr>
                <w:rFonts w:cs="Arial"/>
              </w:rPr>
            </w:pPr>
            <w:r w:rsidRPr="00A831FC">
              <w:rPr>
                <w:rFonts w:cs="Arial"/>
                <w:b/>
                <w:bCs/>
              </w:rPr>
              <w:t>Includ</w:t>
            </w:r>
            <w:r w:rsidRPr="006B5CC5">
              <w:rPr>
                <w:rFonts w:cs="Arial"/>
                <w:b/>
                <w:bCs/>
              </w:rPr>
              <w:t>e</w:t>
            </w:r>
            <w:r w:rsidRPr="00A831FC">
              <w:rPr>
                <w:rFonts w:cs="Arial"/>
              </w:rPr>
              <w:t xml:space="preserve"> </w:t>
            </w:r>
            <w:r>
              <w:rPr>
                <w:rFonts w:cs="Arial"/>
              </w:rPr>
              <w:t xml:space="preserve">the following </w:t>
            </w:r>
            <w:r w:rsidRPr="00A831FC">
              <w:rPr>
                <w:rFonts w:cs="Arial"/>
              </w:rPr>
              <w:t>RN, LPN/LVN, and UAP nursing staff</w:t>
            </w:r>
            <w:r w:rsidRPr="00153B88">
              <w:rPr>
                <w:rFonts w:cs="Arial"/>
              </w:rPr>
              <w:t>:</w:t>
            </w:r>
          </w:p>
          <w:p w14:paraId="27F6740E" w14:textId="77777777" w:rsidR="00D0444E" w:rsidRPr="00F94E13" w:rsidRDefault="00D0444E" w:rsidP="00AD309C">
            <w:pPr>
              <w:pStyle w:val="ListParagraph"/>
              <w:numPr>
                <w:ilvl w:val="0"/>
                <w:numId w:val="375"/>
              </w:numPr>
              <w:autoSpaceDE w:val="0"/>
              <w:autoSpaceDN w:val="0"/>
              <w:adjustRightInd w:val="0"/>
              <w:rPr>
                <w:rFonts w:cs="Arial"/>
              </w:rPr>
            </w:pPr>
            <w:r>
              <w:rPr>
                <w:rFonts w:cs="Arial"/>
              </w:rPr>
              <w:t>Staff e</w:t>
            </w:r>
            <w:r w:rsidRPr="00F94E13">
              <w:rPr>
                <w:rFonts w:cs="Arial"/>
              </w:rPr>
              <w:t>mployed by the hospital</w:t>
            </w:r>
          </w:p>
          <w:p w14:paraId="34CEF429" w14:textId="77777777" w:rsidR="00D0444E" w:rsidRPr="00F94E13" w:rsidRDefault="00D0444E" w:rsidP="00AD309C">
            <w:pPr>
              <w:pStyle w:val="ListParagraph"/>
              <w:numPr>
                <w:ilvl w:val="0"/>
                <w:numId w:val="375"/>
              </w:numPr>
              <w:autoSpaceDE w:val="0"/>
              <w:autoSpaceDN w:val="0"/>
              <w:adjustRightInd w:val="0"/>
              <w:rPr>
                <w:rFonts w:cs="Arial"/>
              </w:rPr>
            </w:pPr>
            <w:r w:rsidRPr="00F94E13">
              <w:rPr>
                <w:rFonts w:cs="Arial"/>
              </w:rPr>
              <w:t>Temporary staff who are not employed by the hospital (i.e., contracted/agency staff)</w:t>
            </w:r>
          </w:p>
          <w:p w14:paraId="02798FC8" w14:textId="77777777" w:rsidR="00D0444E" w:rsidRPr="00F94E13" w:rsidRDefault="00D0444E" w:rsidP="00AD309C">
            <w:pPr>
              <w:pStyle w:val="ListParagraph"/>
              <w:numPr>
                <w:ilvl w:val="0"/>
                <w:numId w:val="375"/>
              </w:numPr>
              <w:autoSpaceDE w:val="0"/>
              <w:autoSpaceDN w:val="0"/>
              <w:adjustRightInd w:val="0"/>
              <w:rPr>
                <w:rFonts w:cs="Arial"/>
              </w:rPr>
            </w:pPr>
            <w:r w:rsidRPr="00F94E13">
              <w:rPr>
                <w:rFonts w:cs="Arial"/>
              </w:rPr>
              <w:t>Float staff who are assigned to a unit other than their unit of employment on an as-needed basis if they are assigned direct patient care responsibilities</w:t>
            </w:r>
          </w:p>
          <w:p w14:paraId="0C8D98B1" w14:textId="77777777" w:rsidR="00D0444E" w:rsidRPr="00F94E13" w:rsidRDefault="00D0444E" w:rsidP="00AD309C">
            <w:pPr>
              <w:pStyle w:val="ListParagraph"/>
              <w:numPr>
                <w:ilvl w:val="0"/>
                <w:numId w:val="375"/>
              </w:numPr>
              <w:autoSpaceDE w:val="0"/>
              <w:autoSpaceDN w:val="0"/>
              <w:adjustRightInd w:val="0"/>
              <w:rPr>
                <w:rFonts w:cs="Arial"/>
              </w:rPr>
            </w:pPr>
            <w:r w:rsidRPr="00F94E13">
              <w:rPr>
                <w:rFonts w:cs="Arial"/>
              </w:rPr>
              <w:t xml:space="preserve">Staff who are counted in the unit’s staffing matrix, are replaced if they call </w:t>
            </w:r>
            <w:r>
              <w:rPr>
                <w:rFonts w:cs="Arial"/>
              </w:rPr>
              <w:t>out</w:t>
            </w:r>
            <w:r w:rsidRPr="00F94E13">
              <w:rPr>
                <w:rFonts w:cs="Arial"/>
              </w:rPr>
              <w:t xml:space="preserve"> sick, and whose work hours are charged to the unit’s cost center</w:t>
            </w:r>
          </w:p>
          <w:p w14:paraId="2F277826" w14:textId="77777777" w:rsidR="00D0444E" w:rsidRPr="00153B88" w:rsidRDefault="00D0444E" w:rsidP="00D73F6A">
            <w:pPr>
              <w:autoSpaceDE w:val="0"/>
              <w:autoSpaceDN w:val="0"/>
              <w:adjustRightInd w:val="0"/>
              <w:rPr>
                <w:rFonts w:cs="Arial"/>
              </w:rPr>
            </w:pPr>
          </w:p>
          <w:p w14:paraId="18391CF8" w14:textId="77777777" w:rsidR="00D0444E" w:rsidRPr="00153B88" w:rsidRDefault="00D0444E" w:rsidP="00D73F6A">
            <w:pPr>
              <w:autoSpaceDE w:val="0"/>
              <w:autoSpaceDN w:val="0"/>
              <w:adjustRightInd w:val="0"/>
              <w:rPr>
                <w:rFonts w:cs="Arial"/>
              </w:rPr>
            </w:pPr>
            <w:r w:rsidRPr="00A831FC">
              <w:rPr>
                <w:rFonts w:cs="Arial"/>
                <w:b/>
                <w:bCs/>
              </w:rPr>
              <w:t>Exclude</w:t>
            </w:r>
            <w:r w:rsidRPr="00A831FC">
              <w:rPr>
                <w:rFonts w:cs="Arial"/>
              </w:rPr>
              <w:t xml:space="preserve"> </w:t>
            </w:r>
            <w:r>
              <w:rPr>
                <w:rFonts w:cs="Arial"/>
              </w:rPr>
              <w:t xml:space="preserve">the following </w:t>
            </w:r>
            <w:r w:rsidRPr="00A831FC">
              <w:rPr>
                <w:rFonts w:cs="Arial"/>
              </w:rPr>
              <w:t>RN, LPN/LVN, and UAP nursing staff</w:t>
            </w:r>
            <w:r w:rsidRPr="00153B88">
              <w:rPr>
                <w:rFonts w:cs="Arial"/>
              </w:rPr>
              <w:t>:</w:t>
            </w:r>
          </w:p>
          <w:p w14:paraId="62191226" w14:textId="77777777" w:rsidR="00D0444E" w:rsidRPr="00E92A29" w:rsidRDefault="00D0444E" w:rsidP="00AD309C">
            <w:pPr>
              <w:pStyle w:val="ListParagraph"/>
              <w:numPr>
                <w:ilvl w:val="0"/>
                <w:numId w:val="376"/>
              </w:numPr>
              <w:autoSpaceDE w:val="0"/>
              <w:autoSpaceDN w:val="0"/>
              <w:adjustRightInd w:val="0"/>
              <w:rPr>
                <w:rFonts w:cs="Arial"/>
              </w:rPr>
            </w:pPr>
            <w:r>
              <w:rPr>
                <w:rFonts w:cs="Arial"/>
              </w:rPr>
              <w:t xml:space="preserve">Nursing staff </w:t>
            </w:r>
            <w:r w:rsidRPr="00E92A29">
              <w:rPr>
                <w:rFonts w:cs="Arial"/>
              </w:rPr>
              <w:t>whose primary responsibility is administrative in nature (at least 50% of their time is administrative)</w:t>
            </w:r>
          </w:p>
          <w:p w14:paraId="76DA18E6" w14:textId="77777777" w:rsidR="00D0444E" w:rsidRPr="00E92A29" w:rsidRDefault="00D0444E" w:rsidP="00AD309C">
            <w:pPr>
              <w:pStyle w:val="ListParagraph"/>
              <w:numPr>
                <w:ilvl w:val="0"/>
                <w:numId w:val="376"/>
              </w:numPr>
              <w:autoSpaceDE w:val="0"/>
              <w:autoSpaceDN w:val="0"/>
              <w:adjustRightInd w:val="0"/>
              <w:rPr>
                <w:rFonts w:cs="Arial"/>
              </w:rPr>
            </w:pPr>
            <w:r w:rsidRPr="00E92A29">
              <w:rPr>
                <w:rFonts w:cs="Arial"/>
              </w:rPr>
              <w:t>Specialty teams, patient educators, or case managers who are not assigned to a specific unit</w:t>
            </w:r>
          </w:p>
          <w:p w14:paraId="27FA3707" w14:textId="77777777" w:rsidR="00D0444E" w:rsidRPr="00E92A29" w:rsidRDefault="00D0444E" w:rsidP="00AD309C">
            <w:pPr>
              <w:pStyle w:val="ListParagraph"/>
              <w:numPr>
                <w:ilvl w:val="0"/>
                <w:numId w:val="376"/>
              </w:numPr>
              <w:autoSpaceDE w:val="0"/>
              <w:autoSpaceDN w:val="0"/>
              <w:adjustRightInd w:val="0"/>
              <w:rPr>
                <w:rFonts w:cs="Arial"/>
              </w:rPr>
            </w:pPr>
            <w:r w:rsidRPr="00E92A29">
              <w:rPr>
                <w:rFonts w:cs="Arial"/>
              </w:rPr>
              <w:t>Unit secretaries or clerks, monitor technicians, and others with no direct patient care responsibilities</w:t>
            </w:r>
          </w:p>
          <w:p w14:paraId="451DCA9B" w14:textId="77777777" w:rsidR="00D0444E" w:rsidRDefault="00D0444E" w:rsidP="00AD309C">
            <w:pPr>
              <w:pStyle w:val="ListParagraph"/>
              <w:numPr>
                <w:ilvl w:val="0"/>
                <w:numId w:val="376"/>
              </w:numPr>
              <w:autoSpaceDE w:val="0"/>
              <w:autoSpaceDN w:val="0"/>
              <w:adjustRightInd w:val="0"/>
              <w:rPr>
                <w:rFonts w:cs="Arial"/>
              </w:rPr>
            </w:pPr>
            <w:r w:rsidRPr="00E92A29">
              <w:rPr>
                <w:rFonts w:cs="Arial"/>
              </w:rPr>
              <w:t>Advanced Practice Registered Nurses (APRNs), including certified nurse-midwife (CNM), clinical nurse specialist (CNS), certified nurse practitioner (CNP), and certified registered nurse anesthetist (CRNA)</w:t>
            </w:r>
          </w:p>
          <w:p w14:paraId="22F26597" w14:textId="77777777" w:rsidR="00D0444E" w:rsidRPr="003A5BED" w:rsidRDefault="00D0444E" w:rsidP="00D73F6A">
            <w:pPr>
              <w:autoSpaceDE w:val="0"/>
              <w:autoSpaceDN w:val="0"/>
              <w:adjustRightInd w:val="0"/>
              <w:rPr>
                <w:rFonts w:cs="Arial"/>
                <w:i/>
                <w:iCs/>
              </w:rPr>
            </w:pPr>
          </w:p>
          <w:p w14:paraId="48301E0F" w14:textId="6EBD05E6" w:rsidR="00D0444E" w:rsidRPr="003A5BED" w:rsidRDefault="00DD04D6" w:rsidP="00D73F6A">
            <w:pPr>
              <w:pStyle w:val="Heading6"/>
              <w:rPr>
                <w:rFonts w:eastAsiaTheme="minorHAnsi"/>
                <w:b w:val="0"/>
                <w:bCs/>
                <w:i/>
                <w:iCs/>
              </w:rPr>
            </w:pPr>
            <w:r>
              <w:rPr>
                <w:rFonts w:ascii="ZWAdobeF" w:eastAsiaTheme="minorHAnsi" w:hAnsi="ZWAdobeF" w:cs="ZWAdobeF"/>
                <w:b w:val="0"/>
                <w:bCs/>
                <w:iCs/>
                <w:color w:val="auto"/>
                <w:sz w:val="2"/>
                <w:szCs w:val="2"/>
              </w:rPr>
              <w:t>3B</w:t>
            </w:r>
            <w:r w:rsidR="00953060">
              <w:rPr>
                <w:rFonts w:ascii="ZWAdobeF" w:eastAsiaTheme="minorHAnsi" w:hAnsi="ZWAdobeF" w:cs="ZWAdobeF"/>
                <w:b w:val="0"/>
                <w:bCs/>
                <w:iCs/>
                <w:color w:val="auto"/>
                <w:sz w:val="2"/>
                <w:szCs w:val="2"/>
              </w:rPr>
              <w:t>3B</w:t>
            </w:r>
            <w:r w:rsidR="00E453C7">
              <w:rPr>
                <w:rFonts w:ascii="ZWAdobeF" w:eastAsiaTheme="minorHAnsi" w:hAnsi="ZWAdobeF" w:cs="ZWAdobeF"/>
                <w:b w:val="0"/>
                <w:bCs/>
                <w:iCs/>
                <w:color w:val="auto"/>
                <w:sz w:val="2"/>
                <w:szCs w:val="2"/>
              </w:rPr>
              <w:t>3B</w:t>
            </w:r>
            <w:r w:rsidR="006255A6">
              <w:rPr>
                <w:rFonts w:ascii="ZWAdobeF" w:eastAsiaTheme="minorHAnsi" w:hAnsi="ZWAdobeF" w:cs="ZWAdobeF"/>
                <w:b w:val="0"/>
                <w:bCs/>
                <w:iCs/>
                <w:color w:val="auto"/>
                <w:sz w:val="2"/>
                <w:szCs w:val="2"/>
              </w:rPr>
              <w:t>3B</w:t>
            </w:r>
            <w:r w:rsidR="00B55C41">
              <w:rPr>
                <w:rFonts w:ascii="ZWAdobeF" w:eastAsiaTheme="minorHAnsi" w:hAnsi="ZWAdobeF" w:cs="ZWAdobeF"/>
                <w:b w:val="0"/>
                <w:bCs/>
                <w:iCs/>
                <w:color w:val="auto"/>
                <w:sz w:val="2"/>
                <w:szCs w:val="2"/>
              </w:rPr>
              <w:t>3B</w:t>
            </w:r>
            <w:r w:rsidR="00C2087D">
              <w:rPr>
                <w:rFonts w:ascii="ZWAdobeF" w:eastAsiaTheme="minorHAnsi" w:hAnsi="ZWAdobeF" w:cs="ZWAdobeF"/>
                <w:b w:val="0"/>
                <w:bCs/>
                <w:iCs/>
                <w:color w:val="auto"/>
                <w:sz w:val="2"/>
                <w:szCs w:val="2"/>
              </w:rPr>
              <w:t>3B</w:t>
            </w:r>
            <w:r w:rsidR="004C7557">
              <w:rPr>
                <w:rFonts w:ascii="ZWAdobeF" w:eastAsiaTheme="minorHAnsi" w:hAnsi="ZWAdobeF" w:cs="ZWAdobeF"/>
                <w:b w:val="0"/>
                <w:bCs/>
                <w:iCs/>
                <w:color w:val="auto"/>
                <w:sz w:val="2"/>
                <w:szCs w:val="2"/>
              </w:rPr>
              <w:t>3B</w:t>
            </w:r>
            <w:r w:rsidR="00BF053F">
              <w:rPr>
                <w:rFonts w:ascii="ZWAdobeF" w:eastAsiaTheme="minorHAnsi" w:hAnsi="ZWAdobeF" w:cs="ZWAdobeF"/>
                <w:b w:val="0"/>
                <w:bCs/>
                <w:iCs/>
                <w:color w:val="auto"/>
                <w:sz w:val="2"/>
                <w:szCs w:val="2"/>
              </w:rPr>
              <w:t>3B</w:t>
            </w:r>
            <w:r w:rsidR="00D0444E" w:rsidRPr="003A5BED">
              <w:rPr>
                <w:rFonts w:eastAsiaTheme="minorHAnsi"/>
                <w:b w:val="0"/>
                <w:bCs/>
                <w:i/>
                <w:iCs/>
              </w:rPr>
              <w:t>A UAP is any unlicensed person, regardless of title, who performs tasks delegated by a nurse. This includes certified nursing aides/assistants (CNAs), patient care assistants (PCAs), patient care technicians (PCTs), state-tested nursing assistants (STNA), nursing assistants-registered (NA/Rs) or certified medication aides/assistants (MA-Cs).</w:t>
            </w:r>
          </w:p>
          <w:p w14:paraId="78FDF4DF" w14:textId="77777777" w:rsidR="00D0444E" w:rsidRDefault="00D0444E" w:rsidP="00D73F6A">
            <w:pPr>
              <w:autoSpaceDE w:val="0"/>
              <w:autoSpaceDN w:val="0"/>
              <w:adjustRightInd w:val="0"/>
              <w:rPr>
                <w:rFonts w:cs="Arial"/>
              </w:rPr>
            </w:pPr>
          </w:p>
          <w:p w14:paraId="41A7FD88" w14:textId="77777777" w:rsidR="00D0444E" w:rsidRPr="00591EAA" w:rsidRDefault="00D0444E" w:rsidP="00D73F6A">
            <w:pPr>
              <w:autoSpaceDE w:val="0"/>
              <w:autoSpaceDN w:val="0"/>
              <w:adjustRightInd w:val="0"/>
              <w:rPr>
                <w:rFonts w:eastAsiaTheme="minorHAnsi" w:cs="Arial"/>
                <w:b/>
                <w:bCs/>
                <w:kern w:val="2"/>
                <w:u w:val="single"/>
                <w14:ligatures w14:val="standardContextual"/>
              </w:rPr>
            </w:pPr>
            <w:r w:rsidRPr="00591EAA">
              <w:rPr>
                <w:rFonts w:eastAsiaTheme="minorHAnsi" w:cs="Arial"/>
                <w:b/>
                <w:bCs/>
                <w:kern w:val="2"/>
                <w:u w:val="single"/>
                <w14:ligatures w14:val="standardContextual"/>
              </w:rPr>
              <w:t xml:space="preserve">Direct Patient Care Responsibilities </w:t>
            </w:r>
          </w:p>
          <w:p w14:paraId="64B6213F" w14:textId="77777777" w:rsidR="00D0444E" w:rsidRPr="00BB3760" w:rsidRDefault="00D0444E" w:rsidP="00D73F6A">
            <w:pPr>
              <w:autoSpaceDE w:val="0"/>
              <w:autoSpaceDN w:val="0"/>
              <w:adjustRightInd w:val="0"/>
              <w:rPr>
                <w:rFonts w:cs="Arial"/>
              </w:rPr>
            </w:pPr>
          </w:p>
          <w:p w14:paraId="3A265BBB" w14:textId="77777777" w:rsidR="00D0444E" w:rsidRPr="00BB3760" w:rsidRDefault="00D0444E" w:rsidP="00D73F6A">
            <w:pPr>
              <w:autoSpaceDE w:val="0"/>
              <w:autoSpaceDN w:val="0"/>
              <w:adjustRightInd w:val="0"/>
              <w:rPr>
                <w:rFonts w:cs="Arial"/>
              </w:rPr>
            </w:pPr>
            <w:r w:rsidRPr="00A831FC">
              <w:rPr>
                <w:rFonts w:cs="Arial"/>
                <w:b/>
                <w:bCs/>
              </w:rPr>
              <w:t>Direct Patient Care Responsibilities</w:t>
            </w:r>
            <w:r w:rsidRPr="00BB3760">
              <w:rPr>
                <w:rFonts w:cs="Arial"/>
              </w:rPr>
              <w:t xml:space="preserve"> are defined as patient centered nursing activities by hospital unit-based staff in the presence of the patient and activities that occur away from the patient that are patient related:</w:t>
            </w:r>
          </w:p>
          <w:p w14:paraId="6C99F9B6" w14:textId="77777777" w:rsidR="00D0444E" w:rsidRPr="00CE79E2" w:rsidRDefault="00D0444E" w:rsidP="00AD309C">
            <w:pPr>
              <w:pStyle w:val="ListParagraph"/>
              <w:numPr>
                <w:ilvl w:val="0"/>
                <w:numId w:val="377"/>
              </w:numPr>
              <w:autoSpaceDE w:val="0"/>
              <w:autoSpaceDN w:val="0"/>
              <w:adjustRightInd w:val="0"/>
              <w:rPr>
                <w:rFonts w:cs="Arial"/>
              </w:rPr>
            </w:pPr>
            <w:r w:rsidRPr="00CE79E2">
              <w:rPr>
                <w:rFonts w:cs="Arial"/>
              </w:rPr>
              <w:t>Medication administration</w:t>
            </w:r>
          </w:p>
          <w:p w14:paraId="6A0DA0B8" w14:textId="77777777" w:rsidR="00D0444E" w:rsidRPr="00CE79E2" w:rsidRDefault="00D0444E" w:rsidP="00AD309C">
            <w:pPr>
              <w:pStyle w:val="ListParagraph"/>
              <w:numPr>
                <w:ilvl w:val="0"/>
                <w:numId w:val="377"/>
              </w:numPr>
              <w:autoSpaceDE w:val="0"/>
              <w:autoSpaceDN w:val="0"/>
              <w:adjustRightInd w:val="0"/>
              <w:rPr>
                <w:rFonts w:cs="Arial"/>
              </w:rPr>
            </w:pPr>
            <w:r w:rsidRPr="00CE79E2">
              <w:rPr>
                <w:rFonts w:cs="Arial"/>
              </w:rPr>
              <w:t>Nursing treatments</w:t>
            </w:r>
          </w:p>
          <w:p w14:paraId="27DB9860" w14:textId="77777777" w:rsidR="00D0444E" w:rsidRPr="00CE79E2" w:rsidRDefault="00D0444E" w:rsidP="00AD309C">
            <w:pPr>
              <w:pStyle w:val="ListParagraph"/>
              <w:numPr>
                <w:ilvl w:val="0"/>
                <w:numId w:val="377"/>
              </w:numPr>
              <w:autoSpaceDE w:val="0"/>
              <w:autoSpaceDN w:val="0"/>
              <w:adjustRightInd w:val="0"/>
              <w:rPr>
                <w:rFonts w:cs="Arial"/>
              </w:rPr>
            </w:pPr>
            <w:r w:rsidRPr="00CE79E2">
              <w:rPr>
                <w:rFonts w:cs="Arial"/>
              </w:rPr>
              <w:t>Nursing rounds</w:t>
            </w:r>
          </w:p>
          <w:p w14:paraId="2E715313" w14:textId="77777777" w:rsidR="00D0444E" w:rsidRPr="00CE79E2" w:rsidRDefault="00D0444E" w:rsidP="00AD309C">
            <w:pPr>
              <w:pStyle w:val="ListParagraph"/>
              <w:numPr>
                <w:ilvl w:val="0"/>
                <w:numId w:val="377"/>
              </w:numPr>
              <w:autoSpaceDE w:val="0"/>
              <w:autoSpaceDN w:val="0"/>
              <w:adjustRightInd w:val="0"/>
              <w:rPr>
                <w:rFonts w:cs="Arial"/>
              </w:rPr>
            </w:pPr>
            <w:r w:rsidRPr="00CE79E2">
              <w:rPr>
                <w:rFonts w:cs="Arial"/>
              </w:rPr>
              <w:t>Admission, transfer, discharge activities</w:t>
            </w:r>
          </w:p>
          <w:p w14:paraId="4C8CBC38" w14:textId="77777777" w:rsidR="00D0444E" w:rsidRPr="00CE79E2" w:rsidRDefault="00D0444E" w:rsidP="00AD309C">
            <w:pPr>
              <w:pStyle w:val="ListParagraph"/>
              <w:numPr>
                <w:ilvl w:val="0"/>
                <w:numId w:val="377"/>
              </w:numPr>
              <w:autoSpaceDE w:val="0"/>
              <w:autoSpaceDN w:val="0"/>
              <w:adjustRightInd w:val="0"/>
              <w:rPr>
                <w:rFonts w:cs="Arial"/>
              </w:rPr>
            </w:pPr>
            <w:r w:rsidRPr="00CE79E2">
              <w:rPr>
                <w:rFonts w:cs="Arial"/>
              </w:rPr>
              <w:t>Patient teaching</w:t>
            </w:r>
          </w:p>
          <w:p w14:paraId="4E1D92A6" w14:textId="77777777" w:rsidR="00D0444E" w:rsidRPr="00CE79E2" w:rsidRDefault="00D0444E" w:rsidP="00AD309C">
            <w:pPr>
              <w:pStyle w:val="ListParagraph"/>
              <w:numPr>
                <w:ilvl w:val="0"/>
                <w:numId w:val="377"/>
              </w:numPr>
              <w:autoSpaceDE w:val="0"/>
              <w:autoSpaceDN w:val="0"/>
              <w:adjustRightInd w:val="0"/>
              <w:rPr>
                <w:rFonts w:cs="Arial"/>
              </w:rPr>
            </w:pPr>
            <w:r w:rsidRPr="00CE79E2">
              <w:rPr>
                <w:rFonts w:cs="Arial"/>
              </w:rPr>
              <w:t>Patient communication</w:t>
            </w:r>
          </w:p>
          <w:p w14:paraId="5F8FD021" w14:textId="77777777" w:rsidR="00D0444E" w:rsidRPr="00CE79E2" w:rsidRDefault="00D0444E" w:rsidP="00AD309C">
            <w:pPr>
              <w:pStyle w:val="ListParagraph"/>
              <w:numPr>
                <w:ilvl w:val="0"/>
                <w:numId w:val="377"/>
              </w:numPr>
              <w:autoSpaceDE w:val="0"/>
              <w:autoSpaceDN w:val="0"/>
              <w:adjustRightInd w:val="0"/>
              <w:rPr>
                <w:rFonts w:cs="Arial"/>
              </w:rPr>
            </w:pPr>
            <w:r w:rsidRPr="00CE79E2">
              <w:rPr>
                <w:rFonts w:cs="Arial"/>
              </w:rPr>
              <w:t>Coordination of patient care</w:t>
            </w:r>
          </w:p>
          <w:p w14:paraId="2B307C6C" w14:textId="77777777" w:rsidR="00D0444E" w:rsidRPr="00CE79E2" w:rsidRDefault="00D0444E" w:rsidP="00AD309C">
            <w:pPr>
              <w:pStyle w:val="ListParagraph"/>
              <w:numPr>
                <w:ilvl w:val="0"/>
                <w:numId w:val="377"/>
              </w:numPr>
              <w:autoSpaceDE w:val="0"/>
              <w:autoSpaceDN w:val="0"/>
              <w:adjustRightInd w:val="0"/>
              <w:rPr>
                <w:rFonts w:cs="Arial"/>
              </w:rPr>
            </w:pPr>
            <w:r w:rsidRPr="00CE79E2">
              <w:rPr>
                <w:rFonts w:cs="Arial"/>
              </w:rPr>
              <w:t>Documentation time</w:t>
            </w:r>
          </w:p>
          <w:p w14:paraId="7E220D6D" w14:textId="77777777" w:rsidR="00D0444E" w:rsidRDefault="00D0444E" w:rsidP="00AD309C">
            <w:pPr>
              <w:pStyle w:val="ListParagraph"/>
              <w:numPr>
                <w:ilvl w:val="0"/>
                <w:numId w:val="377"/>
              </w:numPr>
              <w:autoSpaceDE w:val="0"/>
              <w:autoSpaceDN w:val="0"/>
              <w:adjustRightInd w:val="0"/>
              <w:rPr>
                <w:rFonts w:cs="Arial"/>
              </w:rPr>
            </w:pPr>
            <w:r w:rsidRPr="00CE79E2">
              <w:rPr>
                <w:rFonts w:cs="Arial"/>
              </w:rPr>
              <w:t>Treatment planning</w:t>
            </w:r>
          </w:p>
          <w:p w14:paraId="7B6A18C3" w14:textId="77777777" w:rsidR="00D0444E" w:rsidRPr="00C41959" w:rsidRDefault="00D0444E" w:rsidP="00AD309C">
            <w:pPr>
              <w:pStyle w:val="ListParagraph"/>
              <w:numPr>
                <w:ilvl w:val="0"/>
                <w:numId w:val="377"/>
              </w:numPr>
              <w:autoSpaceDE w:val="0"/>
              <w:autoSpaceDN w:val="0"/>
              <w:adjustRightInd w:val="0"/>
              <w:rPr>
                <w:rFonts w:cs="Arial"/>
              </w:rPr>
            </w:pPr>
            <w:r w:rsidRPr="00C41959">
              <w:rPr>
                <w:rFonts w:cs="Arial"/>
              </w:rPr>
              <w:t>Patient screening (e.g., fall risk) and assessment</w:t>
            </w:r>
          </w:p>
        </w:tc>
      </w:tr>
      <w:tr w:rsidR="00D0444E" w14:paraId="3E2D478D" w14:textId="77777777" w:rsidTr="00D73F6A">
        <w:tc>
          <w:tcPr>
            <w:tcW w:w="9350" w:type="dxa"/>
          </w:tcPr>
          <w:p w14:paraId="5F8F885D" w14:textId="5270B0AD" w:rsidR="00D0444E" w:rsidRPr="00BB3760" w:rsidRDefault="00D0444E" w:rsidP="00D73F6A">
            <w:pPr>
              <w:autoSpaceDE w:val="0"/>
              <w:autoSpaceDN w:val="0"/>
              <w:adjustRightInd w:val="0"/>
              <w:rPr>
                <w:rFonts w:cs="Arial"/>
              </w:rPr>
            </w:pPr>
            <w:r w:rsidRPr="0086796B">
              <w:rPr>
                <w:rFonts w:cs="Arial"/>
                <w:b/>
                <w:bCs/>
              </w:rPr>
              <w:t xml:space="preserve">Questions </w:t>
            </w:r>
            <w:r w:rsidR="006B5B60">
              <w:rPr>
                <w:rFonts w:cs="Arial"/>
                <w:b/>
                <w:bCs/>
              </w:rPr>
              <w:t>7</w:t>
            </w:r>
            <w:r w:rsidRPr="0086796B">
              <w:rPr>
                <w:rFonts w:cs="Arial"/>
                <w:b/>
                <w:bCs/>
              </w:rPr>
              <w:t>(c):</w:t>
            </w:r>
            <w:r w:rsidRPr="00BB3760">
              <w:rPr>
                <w:rFonts w:cs="Arial"/>
              </w:rPr>
              <w:t xml:space="preserve"> Total number of productive hours worked by </w:t>
            </w:r>
            <w:r w:rsidRPr="003E08DF">
              <w:rPr>
                <w:rFonts w:cs="Arial"/>
                <w:b/>
                <w:bCs/>
              </w:rPr>
              <w:t>RN nursing staff</w:t>
            </w:r>
            <w:r w:rsidRPr="00BB3760">
              <w:rPr>
                <w:rFonts w:cs="Arial"/>
              </w:rPr>
              <w:t xml:space="preserve"> with direct patient care responsibilities in all </w:t>
            </w:r>
            <w:r>
              <w:rPr>
                <w:rFonts w:cs="Arial"/>
              </w:rPr>
              <w:t>adult and pediatric single acuity</w:t>
            </w:r>
            <w:r w:rsidRPr="00BB3760">
              <w:rPr>
                <w:rFonts w:cs="Arial"/>
              </w:rPr>
              <w:t xml:space="preserve"> </w:t>
            </w:r>
            <w:r w:rsidRPr="004B699E">
              <w:rPr>
                <w:rFonts w:cs="Arial"/>
                <w:b/>
                <w:bCs/>
              </w:rPr>
              <w:t>Surgical Units</w:t>
            </w:r>
            <w:r>
              <w:rPr>
                <w:rFonts w:cs="Arial"/>
              </w:rPr>
              <w:t xml:space="preserve"> </w:t>
            </w:r>
            <w:r w:rsidRPr="00BB3760">
              <w:rPr>
                <w:rFonts w:cs="Arial"/>
              </w:rPr>
              <w:t>in each quarter.</w:t>
            </w:r>
          </w:p>
          <w:p w14:paraId="206F3872" w14:textId="77777777" w:rsidR="00D0444E" w:rsidRPr="00BB3760" w:rsidRDefault="00D0444E" w:rsidP="00D73F6A">
            <w:pPr>
              <w:autoSpaceDE w:val="0"/>
              <w:autoSpaceDN w:val="0"/>
              <w:adjustRightInd w:val="0"/>
              <w:rPr>
                <w:rFonts w:cs="Arial"/>
              </w:rPr>
            </w:pPr>
          </w:p>
          <w:p w14:paraId="53267B6E" w14:textId="77777777" w:rsidR="00D0444E" w:rsidRDefault="00D0444E" w:rsidP="00D73F6A">
            <w:pPr>
              <w:autoSpaceDE w:val="0"/>
              <w:autoSpaceDN w:val="0"/>
              <w:adjustRightInd w:val="0"/>
              <w:rPr>
                <w:rFonts w:cs="Arial"/>
              </w:rPr>
            </w:pPr>
            <w:r w:rsidRPr="00A831FC">
              <w:rPr>
                <w:rFonts w:cs="Arial"/>
                <w:b/>
                <w:bCs/>
              </w:rPr>
              <w:t>Include</w:t>
            </w:r>
            <w:r>
              <w:rPr>
                <w:rFonts w:cs="Arial"/>
              </w:rPr>
              <w:t xml:space="preserve"> t</w:t>
            </w:r>
            <w:r w:rsidRPr="00612120">
              <w:rPr>
                <w:rFonts w:cs="Arial"/>
              </w:rPr>
              <w:t xml:space="preserve">he </w:t>
            </w:r>
            <w:r>
              <w:rPr>
                <w:rFonts w:cs="Arial"/>
              </w:rPr>
              <w:t xml:space="preserve">total </w:t>
            </w:r>
            <w:r w:rsidRPr="00612120">
              <w:rPr>
                <w:rFonts w:cs="Arial"/>
              </w:rPr>
              <w:t>number of</w:t>
            </w:r>
            <w:r>
              <w:rPr>
                <w:rFonts w:cs="Arial"/>
              </w:rPr>
              <w:t xml:space="preserve"> productive work hours worked by </w:t>
            </w:r>
            <w:r w:rsidRPr="00612120">
              <w:rPr>
                <w:rFonts w:cs="Arial"/>
              </w:rPr>
              <w:t>employe</w:t>
            </w:r>
            <w:r>
              <w:rPr>
                <w:rFonts w:cs="Arial"/>
              </w:rPr>
              <w:t>d</w:t>
            </w:r>
            <w:r w:rsidRPr="00612120">
              <w:rPr>
                <w:rFonts w:cs="Arial"/>
              </w:rPr>
              <w:t xml:space="preserve"> and contract</w:t>
            </w:r>
            <w:r>
              <w:rPr>
                <w:rFonts w:cs="Arial"/>
              </w:rPr>
              <w:t xml:space="preserve">ed </w:t>
            </w:r>
            <w:r w:rsidRPr="00A90AE6">
              <w:rPr>
                <w:rFonts w:cs="Arial"/>
                <w:b/>
                <w:bCs/>
              </w:rPr>
              <w:t>RN nursing staff ONLY</w:t>
            </w:r>
            <w:r>
              <w:rPr>
                <w:rFonts w:cs="Arial"/>
              </w:rPr>
              <w:t xml:space="preserve"> from question </w:t>
            </w:r>
            <w:r w:rsidR="00E207EE">
              <w:rPr>
                <w:rFonts w:cs="Arial"/>
              </w:rPr>
              <w:t>7</w:t>
            </w:r>
            <w:r>
              <w:rPr>
                <w:rFonts w:cs="Arial"/>
              </w:rPr>
              <w:t>b.</w:t>
            </w:r>
          </w:p>
          <w:p w14:paraId="47687348" w14:textId="77777777" w:rsidR="00A94E56" w:rsidRDefault="00A94E56" w:rsidP="00D73F6A">
            <w:pPr>
              <w:autoSpaceDE w:val="0"/>
              <w:autoSpaceDN w:val="0"/>
              <w:adjustRightInd w:val="0"/>
              <w:rPr>
                <w:rFonts w:cs="Arial"/>
              </w:rPr>
            </w:pPr>
          </w:p>
          <w:p w14:paraId="6FB0CCA2" w14:textId="77777777" w:rsidR="00A94E56" w:rsidRDefault="00A94E56" w:rsidP="00D73F6A">
            <w:pPr>
              <w:autoSpaceDE w:val="0"/>
              <w:autoSpaceDN w:val="0"/>
              <w:adjustRightInd w:val="0"/>
              <w:rPr>
                <w:rFonts w:cs="Arial"/>
              </w:rPr>
            </w:pPr>
          </w:p>
          <w:p w14:paraId="65D52D07" w14:textId="55740CDB" w:rsidR="00A94E56" w:rsidRPr="00632627" w:rsidRDefault="00A94E56" w:rsidP="00D73F6A">
            <w:pPr>
              <w:autoSpaceDE w:val="0"/>
              <w:autoSpaceDN w:val="0"/>
              <w:adjustRightInd w:val="0"/>
              <w:rPr>
                <w:rFonts w:cs="Arial"/>
                <w:b/>
                <w:bCs/>
              </w:rPr>
            </w:pPr>
          </w:p>
        </w:tc>
      </w:tr>
      <w:tr w:rsidR="00D0444E" w14:paraId="509CDB17" w14:textId="77777777" w:rsidTr="00D73F6A">
        <w:tc>
          <w:tcPr>
            <w:tcW w:w="9350" w:type="dxa"/>
          </w:tcPr>
          <w:p w14:paraId="6A1EB62D" w14:textId="1B1EECEE" w:rsidR="00D0444E" w:rsidRPr="00C41959" w:rsidRDefault="00D0444E" w:rsidP="00D73F6A">
            <w:pPr>
              <w:rPr>
                <w:rFonts w:cs="Arial"/>
                <w:b/>
                <w:bCs/>
              </w:rPr>
            </w:pPr>
            <w:r w:rsidRPr="00C41959">
              <w:rPr>
                <w:rFonts w:cs="Arial"/>
                <w:b/>
                <w:bCs/>
              </w:rPr>
              <w:t>Question #</w:t>
            </w:r>
            <w:r w:rsidR="005F4FC0">
              <w:rPr>
                <w:rFonts w:cs="Arial"/>
                <w:b/>
                <w:bCs/>
              </w:rPr>
              <w:t>8</w:t>
            </w:r>
            <w:r w:rsidRPr="00C41959">
              <w:rPr>
                <w:rFonts w:cs="Arial"/>
                <w:b/>
                <w:bCs/>
              </w:rPr>
              <w:t>: Does your hospital operate any adult or pediatric single acuity Med-Surg Units?</w:t>
            </w:r>
          </w:p>
          <w:p w14:paraId="373FC0E7" w14:textId="77777777" w:rsidR="00D0444E" w:rsidRPr="006162E2" w:rsidRDefault="00D0444E" w:rsidP="00D73F6A">
            <w:pPr>
              <w:rPr>
                <w:rFonts w:cs="Arial"/>
              </w:rPr>
            </w:pPr>
          </w:p>
          <w:p w14:paraId="23D82E9E" w14:textId="77777777" w:rsidR="00D0444E" w:rsidRPr="007A5E80" w:rsidRDefault="00D0444E" w:rsidP="00D73F6A">
            <w:pPr>
              <w:autoSpaceDE w:val="0"/>
              <w:autoSpaceDN w:val="0"/>
              <w:adjustRightInd w:val="0"/>
              <w:rPr>
                <w:rFonts w:cs="Arial"/>
                <w:b/>
                <w:bCs/>
              </w:rPr>
            </w:pPr>
            <w:r>
              <w:rPr>
                <w:rFonts w:cs="Arial"/>
                <w:b/>
                <w:bCs/>
              </w:rPr>
              <w:t xml:space="preserve">Single Acuity </w:t>
            </w:r>
            <w:r w:rsidRPr="007A5E80">
              <w:rPr>
                <w:rFonts w:cs="Arial"/>
                <w:b/>
                <w:bCs/>
              </w:rPr>
              <w:t>Med-Surg Combined Unit (adult</w:t>
            </w:r>
            <w:r>
              <w:rPr>
                <w:rFonts w:cs="Arial"/>
                <w:b/>
                <w:bCs/>
              </w:rPr>
              <w:t xml:space="preserve"> and </w:t>
            </w:r>
            <w:r w:rsidRPr="007A5E80">
              <w:rPr>
                <w:rFonts w:cs="Arial"/>
                <w:b/>
                <w:bCs/>
              </w:rPr>
              <w:t xml:space="preserve">pediatric): </w:t>
            </w:r>
          </w:p>
          <w:p w14:paraId="37812EED" w14:textId="77777777" w:rsidR="00D0444E" w:rsidRPr="00BB3760" w:rsidRDefault="00D0444E" w:rsidP="00D73F6A">
            <w:pPr>
              <w:autoSpaceDE w:val="0"/>
              <w:autoSpaceDN w:val="0"/>
              <w:adjustRightInd w:val="0"/>
              <w:rPr>
                <w:rFonts w:cs="Arial"/>
              </w:rPr>
            </w:pPr>
            <w:r w:rsidRPr="00BB3760">
              <w:rPr>
                <w:rFonts w:cs="Arial"/>
              </w:rPr>
              <w:t xml:space="preserve">A single acuity general care unit that cares for patients admitted for medical, surgical, or family practice services and does not meet the 90% criteria for Medical or Surgical unit type. Specialty med-surg units such as Cardiac Med-Surg, Neuro/Neurosurgery Med-Surg, and Hematology/Oncology Med-Surg, are also included. </w:t>
            </w:r>
          </w:p>
          <w:p w14:paraId="71F21788" w14:textId="77777777" w:rsidR="00D0444E" w:rsidRDefault="00D0444E" w:rsidP="00D73F6A">
            <w:pPr>
              <w:rPr>
                <w:rFonts w:cs="Arial"/>
              </w:rPr>
            </w:pPr>
          </w:p>
          <w:p w14:paraId="764D2CC2" w14:textId="77777777" w:rsidR="000371A7" w:rsidRPr="00DB2BEC" w:rsidRDefault="000371A7" w:rsidP="000371A7">
            <w:pPr>
              <w:autoSpaceDE w:val="0"/>
              <w:autoSpaceDN w:val="0"/>
              <w:adjustRightInd w:val="0"/>
              <w:rPr>
                <w:rFonts w:cs="Arial"/>
              </w:rPr>
            </w:pPr>
            <w:r>
              <w:rPr>
                <w:rFonts w:cs="Arial"/>
              </w:rPr>
              <w:t xml:space="preserve">Note: </w:t>
            </w:r>
            <w:r w:rsidRPr="00967917">
              <w:rPr>
                <w:rFonts w:cs="Arial"/>
              </w:rPr>
              <w:t>For the purposes of these measures, Leapfrog has aligned with NDNQI, which defines units based on the acuity of the patients being cared for in the unit, and not the equipment being used. Telemetry is considered a monitoring tool rather than an evaluation of a patient’s level of acuity. For example, a unit that has all telemetry patients may still have a general population level of patients that would meet NDNQI’s definition of a medical, surgical, or med-surg unit. Hospitals should evaluate the actual acuity of the patients in each unit to determine the appropriate unit designation.</w:t>
            </w:r>
          </w:p>
          <w:p w14:paraId="052FCE1E" w14:textId="77777777" w:rsidR="000371A7" w:rsidRDefault="000371A7" w:rsidP="00D73F6A">
            <w:pPr>
              <w:rPr>
                <w:rFonts w:cs="Arial"/>
              </w:rPr>
            </w:pPr>
          </w:p>
          <w:p w14:paraId="6F7DA9A6" w14:textId="77777777" w:rsidR="00D0444E" w:rsidRPr="00A90AE6" w:rsidRDefault="00D0444E" w:rsidP="00D73F6A">
            <w:pPr>
              <w:autoSpaceDE w:val="0"/>
              <w:autoSpaceDN w:val="0"/>
              <w:adjustRightInd w:val="0"/>
              <w:rPr>
                <w:rFonts w:cs="Arial"/>
                <w:b/>
                <w:bCs/>
              </w:rPr>
            </w:pPr>
            <w:r w:rsidRPr="00A90AE6">
              <w:rPr>
                <w:rFonts w:cs="Arial"/>
                <w:b/>
                <w:bCs/>
              </w:rPr>
              <w:t xml:space="preserve">Excluded units: </w:t>
            </w:r>
          </w:p>
          <w:p w14:paraId="42E23F37" w14:textId="77777777" w:rsidR="00D0444E" w:rsidRDefault="00D0444E" w:rsidP="00AD309C">
            <w:pPr>
              <w:pStyle w:val="ListParagraph"/>
              <w:numPr>
                <w:ilvl w:val="0"/>
                <w:numId w:val="372"/>
              </w:numPr>
              <w:autoSpaceDE w:val="0"/>
              <w:autoSpaceDN w:val="0"/>
              <w:adjustRightInd w:val="0"/>
              <w:rPr>
                <w:rFonts w:cs="Arial"/>
              </w:rPr>
            </w:pPr>
            <w:r w:rsidRPr="00C41528">
              <w:rPr>
                <w:rFonts w:cs="Arial"/>
              </w:rPr>
              <w:t>Labor and Delivery</w:t>
            </w:r>
          </w:p>
          <w:p w14:paraId="0758B388" w14:textId="77C645F1" w:rsidR="00EF28B2" w:rsidRPr="00C41528" w:rsidRDefault="00EF28B2" w:rsidP="00EF28B2">
            <w:pPr>
              <w:pStyle w:val="ListParagraph"/>
              <w:numPr>
                <w:ilvl w:val="0"/>
                <w:numId w:val="372"/>
              </w:numPr>
              <w:autoSpaceDE w:val="0"/>
              <w:autoSpaceDN w:val="0"/>
              <w:adjustRightInd w:val="0"/>
              <w:rPr>
                <w:rFonts w:cs="Arial"/>
              </w:rPr>
            </w:pPr>
            <w:r>
              <w:rPr>
                <w:rFonts w:cs="Arial"/>
              </w:rPr>
              <w:t>OB and Med-Surg (a combination unit in which greater than 50% of the patients are obstetric and the remaining percent are adult acute med-surg such as gynecological and/or pediatric acute med-surg</w:t>
            </w:r>
            <w:r w:rsidR="00943ED0">
              <w:rPr>
                <w:rFonts w:cs="Arial"/>
              </w:rPr>
              <w:t>)</w:t>
            </w:r>
          </w:p>
          <w:p w14:paraId="7C9FE8D5" w14:textId="77777777" w:rsidR="00D0444E" w:rsidRDefault="00D0444E" w:rsidP="00AD309C">
            <w:pPr>
              <w:pStyle w:val="ListParagraph"/>
              <w:numPr>
                <w:ilvl w:val="0"/>
                <w:numId w:val="372"/>
              </w:numPr>
              <w:autoSpaceDE w:val="0"/>
              <w:autoSpaceDN w:val="0"/>
              <w:adjustRightInd w:val="0"/>
              <w:rPr>
                <w:rFonts w:cs="Arial"/>
              </w:rPr>
            </w:pPr>
            <w:r w:rsidRPr="00C41528">
              <w:rPr>
                <w:rFonts w:cs="Arial"/>
              </w:rPr>
              <w:t>Neonatal</w:t>
            </w:r>
          </w:p>
          <w:p w14:paraId="129F0D36" w14:textId="77777777" w:rsidR="00BB4320" w:rsidRPr="00E461ED" w:rsidRDefault="00BB4320" w:rsidP="00AD309C">
            <w:pPr>
              <w:pStyle w:val="ListParagraph"/>
              <w:numPr>
                <w:ilvl w:val="0"/>
                <w:numId w:val="372"/>
              </w:numPr>
              <w:autoSpaceDE w:val="0"/>
              <w:autoSpaceDN w:val="0"/>
              <w:adjustRightInd w:val="0"/>
              <w:rPr>
                <w:rFonts w:cs="Arial"/>
              </w:rPr>
            </w:pPr>
            <w:r w:rsidRPr="0004565D">
              <w:rPr>
                <w:rFonts w:cs="Arial"/>
              </w:rPr>
              <w:t>Critical Access</w:t>
            </w:r>
            <w:r>
              <w:rPr>
                <w:rFonts w:cs="Arial"/>
              </w:rPr>
              <w:t xml:space="preserve"> (</w:t>
            </w:r>
            <w:r w:rsidRPr="0004565D">
              <w:rPr>
                <w:rFonts w:cs="Arial"/>
              </w:rPr>
              <w:t>a unit where more than 10% of beds are for skilled nursing (swing beds)</w:t>
            </w:r>
            <w:r w:rsidRPr="00E461ED">
              <w:rPr>
                <w:rFonts w:cs="Arial"/>
              </w:rPr>
              <w:t>)</w:t>
            </w:r>
          </w:p>
          <w:p w14:paraId="1DB43B00" w14:textId="77777777" w:rsidR="00D0444E" w:rsidRPr="00C41528" w:rsidRDefault="00D0444E" w:rsidP="00AD309C">
            <w:pPr>
              <w:pStyle w:val="ListParagraph"/>
              <w:numPr>
                <w:ilvl w:val="0"/>
                <w:numId w:val="372"/>
              </w:numPr>
              <w:autoSpaceDE w:val="0"/>
              <w:autoSpaceDN w:val="0"/>
              <w:adjustRightInd w:val="0"/>
              <w:rPr>
                <w:rFonts w:cs="Arial"/>
              </w:rPr>
            </w:pPr>
            <w:r w:rsidRPr="00C41528">
              <w:rPr>
                <w:rFonts w:cs="Arial"/>
              </w:rPr>
              <w:t>Rehabilitation</w:t>
            </w:r>
          </w:p>
          <w:p w14:paraId="26484026" w14:textId="77777777" w:rsidR="00D0444E" w:rsidRPr="00C41528" w:rsidRDefault="00D0444E" w:rsidP="00AD309C">
            <w:pPr>
              <w:pStyle w:val="ListParagraph"/>
              <w:numPr>
                <w:ilvl w:val="0"/>
                <w:numId w:val="372"/>
              </w:numPr>
              <w:autoSpaceDE w:val="0"/>
              <w:autoSpaceDN w:val="0"/>
              <w:adjustRightInd w:val="0"/>
              <w:rPr>
                <w:rFonts w:cs="Arial"/>
              </w:rPr>
            </w:pPr>
            <w:r w:rsidRPr="00C41528">
              <w:rPr>
                <w:rFonts w:cs="Arial"/>
              </w:rPr>
              <w:t>Psychiatric</w:t>
            </w:r>
          </w:p>
          <w:p w14:paraId="3CD1C0C8" w14:textId="77777777" w:rsidR="00D0444E" w:rsidRPr="00C41528" w:rsidRDefault="00D0444E" w:rsidP="00AD309C">
            <w:pPr>
              <w:pStyle w:val="ListParagraph"/>
              <w:numPr>
                <w:ilvl w:val="0"/>
                <w:numId w:val="372"/>
              </w:numPr>
              <w:autoSpaceDE w:val="0"/>
              <w:autoSpaceDN w:val="0"/>
              <w:adjustRightInd w:val="0"/>
              <w:rPr>
                <w:rFonts w:cs="Arial"/>
              </w:rPr>
            </w:pPr>
            <w:r w:rsidRPr="00C41528">
              <w:rPr>
                <w:rFonts w:cs="Arial"/>
              </w:rPr>
              <w:t>Perioperative</w:t>
            </w:r>
          </w:p>
          <w:p w14:paraId="55DD7D5D" w14:textId="77777777" w:rsidR="00D0444E" w:rsidRPr="00C41528" w:rsidRDefault="00D0444E" w:rsidP="00AD309C">
            <w:pPr>
              <w:pStyle w:val="ListParagraph"/>
              <w:numPr>
                <w:ilvl w:val="0"/>
                <w:numId w:val="372"/>
              </w:numPr>
              <w:autoSpaceDE w:val="0"/>
              <w:autoSpaceDN w:val="0"/>
              <w:adjustRightInd w:val="0"/>
              <w:rPr>
                <w:rFonts w:cs="Arial"/>
              </w:rPr>
            </w:pPr>
            <w:r w:rsidRPr="00C41528">
              <w:rPr>
                <w:rFonts w:cs="Arial"/>
              </w:rPr>
              <w:t>Critical Care</w:t>
            </w:r>
          </w:p>
          <w:p w14:paraId="2D1F4848" w14:textId="77777777" w:rsidR="00D0444E" w:rsidRPr="00C41528" w:rsidRDefault="00D0444E" w:rsidP="00AD309C">
            <w:pPr>
              <w:pStyle w:val="ListParagraph"/>
              <w:numPr>
                <w:ilvl w:val="0"/>
                <w:numId w:val="372"/>
              </w:numPr>
              <w:autoSpaceDE w:val="0"/>
              <w:autoSpaceDN w:val="0"/>
              <w:adjustRightInd w:val="0"/>
              <w:rPr>
                <w:rFonts w:cs="Arial"/>
              </w:rPr>
            </w:pPr>
            <w:r w:rsidRPr="00C41528">
              <w:rPr>
                <w:rFonts w:cs="Arial"/>
              </w:rPr>
              <w:t>Step Down/Progressive</w:t>
            </w:r>
          </w:p>
          <w:p w14:paraId="2424B06C" w14:textId="77777777" w:rsidR="00D0444E" w:rsidRPr="00C41528" w:rsidRDefault="00D0444E" w:rsidP="00AD309C">
            <w:pPr>
              <w:pStyle w:val="ListParagraph"/>
              <w:numPr>
                <w:ilvl w:val="0"/>
                <w:numId w:val="372"/>
              </w:numPr>
              <w:autoSpaceDE w:val="0"/>
              <w:autoSpaceDN w:val="0"/>
              <w:adjustRightInd w:val="0"/>
              <w:rPr>
                <w:rFonts w:cs="Arial"/>
              </w:rPr>
            </w:pPr>
            <w:r w:rsidRPr="00C41528">
              <w:rPr>
                <w:rFonts w:cs="Arial"/>
              </w:rPr>
              <w:t>Hospice</w:t>
            </w:r>
          </w:p>
          <w:p w14:paraId="2E90F6E7" w14:textId="114C5DB2" w:rsidR="00D0444E" w:rsidRPr="00C41528" w:rsidRDefault="00D0444E" w:rsidP="00AD309C">
            <w:pPr>
              <w:pStyle w:val="ListParagraph"/>
              <w:numPr>
                <w:ilvl w:val="0"/>
                <w:numId w:val="372"/>
              </w:numPr>
              <w:autoSpaceDE w:val="0"/>
              <w:autoSpaceDN w:val="0"/>
              <w:adjustRightInd w:val="0"/>
              <w:rPr>
                <w:rFonts w:cs="Arial"/>
              </w:rPr>
            </w:pPr>
            <w:r w:rsidRPr="00C41528">
              <w:rPr>
                <w:rFonts w:cs="Arial"/>
              </w:rPr>
              <w:t>Mixed Acuity Units: a unit where more than 10% of the patients in the unit receive varying levels of care (e.g., general medical care and progressive care or intensive care)</w:t>
            </w:r>
          </w:p>
          <w:p w14:paraId="0A5CC354" w14:textId="77777777" w:rsidR="00D0444E" w:rsidRPr="00C41528" w:rsidRDefault="00D0444E" w:rsidP="00AD309C">
            <w:pPr>
              <w:pStyle w:val="ListParagraph"/>
              <w:numPr>
                <w:ilvl w:val="0"/>
                <w:numId w:val="372"/>
              </w:numPr>
              <w:autoSpaceDE w:val="0"/>
              <w:autoSpaceDN w:val="0"/>
              <w:adjustRightInd w:val="0"/>
              <w:rPr>
                <w:rFonts w:cs="Arial"/>
              </w:rPr>
            </w:pPr>
            <w:r w:rsidRPr="00C41528">
              <w:rPr>
                <w:rFonts w:cs="Arial"/>
              </w:rPr>
              <w:t xml:space="preserve">Units with fewer </w:t>
            </w:r>
            <w:r w:rsidRPr="00F62669">
              <w:rPr>
                <w:rFonts w:cs="Arial"/>
                <w:iCs/>
                <w:snapToGrid w:val="0"/>
              </w:rPr>
              <w:t>than 15 patient days per month for all 3 months of any quarter of the reporting period</w:t>
            </w:r>
          </w:p>
          <w:p w14:paraId="23BE24F7" w14:textId="77777777" w:rsidR="00D0444E" w:rsidRPr="00C41959" w:rsidRDefault="00D0444E" w:rsidP="00AD309C">
            <w:pPr>
              <w:pStyle w:val="ListParagraph"/>
              <w:numPr>
                <w:ilvl w:val="0"/>
                <w:numId w:val="372"/>
              </w:numPr>
              <w:autoSpaceDE w:val="0"/>
              <w:autoSpaceDN w:val="0"/>
              <w:adjustRightInd w:val="0"/>
              <w:rPr>
                <w:rFonts w:cs="Arial"/>
              </w:rPr>
            </w:pPr>
            <w:r w:rsidRPr="00C41959">
              <w:rPr>
                <w:rFonts w:cs="Arial"/>
              </w:rPr>
              <w:t>Units that transitioned to an excluded unit type during the reporting period (e.g., a single acuity Medical Unit transitioned to a critical care unit during the reporting period)</w:t>
            </w:r>
          </w:p>
        </w:tc>
      </w:tr>
      <w:tr w:rsidR="00D0444E" w14:paraId="1BE006A0" w14:textId="77777777" w:rsidTr="00D73F6A">
        <w:tc>
          <w:tcPr>
            <w:tcW w:w="9350" w:type="dxa"/>
          </w:tcPr>
          <w:p w14:paraId="2C8DE683" w14:textId="55CE99F5" w:rsidR="00D0444E" w:rsidRDefault="00D0444E" w:rsidP="00D73F6A">
            <w:pPr>
              <w:rPr>
                <w:rFonts w:cs="Arial"/>
                <w:b/>
                <w:bCs/>
              </w:rPr>
            </w:pPr>
            <w:r>
              <w:rPr>
                <w:rFonts w:cs="Arial"/>
                <w:b/>
                <w:bCs/>
              </w:rPr>
              <w:t>Question #</w:t>
            </w:r>
            <w:r w:rsidR="00CE3ED1">
              <w:rPr>
                <w:rFonts w:cs="Arial"/>
                <w:b/>
                <w:bCs/>
              </w:rPr>
              <w:t>9</w:t>
            </w:r>
            <w:r>
              <w:rPr>
                <w:rFonts w:cs="Arial"/>
                <w:b/>
                <w:bCs/>
              </w:rPr>
              <w:t>: Single Acuity Med-Surg Units</w:t>
            </w:r>
          </w:p>
          <w:p w14:paraId="5AD0EB4E" w14:textId="77777777" w:rsidR="00D0444E" w:rsidRPr="00C41959" w:rsidRDefault="00D0444E" w:rsidP="00D73F6A">
            <w:pPr>
              <w:rPr>
                <w:rFonts w:cs="Arial"/>
                <w:b/>
                <w:bCs/>
              </w:rPr>
            </w:pPr>
            <w:r w:rsidRPr="001E285B">
              <w:rPr>
                <w:rFonts w:cs="Arial"/>
              </w:rPr>
              <w:t xml:space="preserve">Enter your hospital’s responses for each quarter for all adult and pediatric single acuity </w:t>
            </w:r>
            <w:r w:rsidRPr="0052798E">
              <w:rPr>
                <w:rFonts w:cs="Arial"/>
                <w:b/>
                <w:bCs/>
              </w:rPr>
              <w:t>Med-Surg Units</w:t>
            </w:r>
            <w:r w:rsidRPr="001E285B">
              <w:rPr>
                <w:rFonts w:cs="Arial"/>
              </w:rPr>
              <w:t xml:space="preserve"> for the reporting period selected in question #1</w:t>
            </w:r>
            <w:r>
              <w:rPr>
                <w:rFonts w:cs="Arial"/>
              </w:rPr>
              <w:t>.</w:t>
            </w:r>
          </w:p>
        </w:tc>
      </w:tr>
      <w:tr w:rsidR="00D0444E" w14:paraId="1A032732" w14:textId="77777777" w:rsidTr="00D73F6A">
        <w:tc>
          <w:tcPr>
            <w:tcW w:w="9350" w:type="dxa"/>
          </w:tcPr>
          <w:p w14:paraId="7C6AE231" w14:textId="5C933DB6" w:rsidR="00D0444E" w:rsidRPr="00BB3760" w:rsidRDefault="00D0444E" w:rsidP="00D73F6A">
            <w:pPr>
              <w:rPr>
                <w:rFonts w:cs="Arial"/>
              </w:rPr>
            </w:pPr>
            <w:r w:rsidRPr="0086796B">
              <w:rPr>
                <w:rFonts w:cs="Arial"/>
                <w:b/>
                <w:bCs/>
              </w:rPr>
              <w:t xml:space="preserve">Question </w:t>
            </w:r>
            <w:r>
              <w:rPr>
                <w:rFonts w:cs="Arial"/>
                <w:b/>
                <w:bCs/>
              </w:rPr>
              <w:t>#</w:t>
            </w:r>
            <w:r w:rsidR="00CE3ED1">
              <w:rPr>
                <w:rFonts w:cs="Arial"/>
                <w:b/>
                <w:bCs/>
              </w:rPr>
              <w:t>9</w:t>
            </w:r>
            <w:r w:rsidRPr="0086796B">
              <w:rPr>
                <w:rFonts w:cs="Arial"/>
                <w:b/>
                <w:bCs/>
              </w:rPr>
              <w:t>(a):</w:t>
            </w:r>
            <w:r w:rsidRPr="00670605">
              <w:rPr>
                <w:rFonts w:cs="Arial"/>
                <w:b/>
                <w:bCs/>
              </w:rPr>
              <w:t xml:space="preserve"> </w:t>
            </w:r>
            <w:r w:rsidRPr="00BB3760">
              <w:rPr>
                <w:rFonts w:cs="Arial"/>
              </w:rPr>
              <w:t xml:space="preserve">Total number of patient days </w:t>
            </w:r>
            <w:r>
              <w:rPr>
                <w:rFonts w:cs="Arial"/>
              </w:rPr>
              <w:t>across</w:t>
            </w:r>
            <w:r w:rsidRPr="00BB3760">
              <w:rPr>
                <w:rFonts w:cs="Arial"/>
              </w:rPr>
              <w:t xml:space="preserve"> all </w:t>
            </w:r>
            <w:r>
              <w:rPr>
                <w:rFonts w:cs="Arial"/>
              </w:rPr>
              <w:t xml:space="preserve">adult and pediatric </w:t>
            </w:r>
            <w:r w:rsidRPr="00BB3760">
              <w:rPr>
                <w:rFonts w:cs="Arial"/>
              </w:rPr>
              <w:t xml:space="preserve">single acuity </w:t>
            </w:r>
            <w:r w:rsidRPr="00C41959">
              <w:rPr>
                <w:rFonts w:cs="Arial"/>
                <w:b/>
                <w:bCs/>
              </w:rPr>
              <w:t>Med-Surg Units</w:t>
            </w:r>
            <w:r w:rsidRPr="00BB3760">
              <w:rPr>
                <w:rFonts w:cs="Arial"/>
              </w:rPr>
              <w:t xml:space="preserve"> </w:t>
            </w:r>
            <w:r>
              <w:rPr>
                <w:rFonts w:cs="Arial"/>
              </w:rPr>
              <w:t xml:space="preserve">for </w:t>
            </w:r>
            <w:r w:rsidRPr="00BB3760">
              <w:rPr>
                <w:rFonts w:cs="Arial"/>
              </w:rPr>
              <w:t>each quarter</w:t>
            </w:r>
            <w:r>
              <w:rPr>
                <w:rFonts w:cs="Arial"/>
              </w:rPr>
              <w:t xml:space="preserve"> included in the reporting period</w:t>
            </w:r>
            <w:r w:rsidRPr="00BB3760">
              <w:rPr>
                <w:rFonts w:cs="Arial"/>
              </w:rPr>
              <w:t xml:space="preserve"> based on your hospital’</w:t>
            </w:r>
            <w:r>
              <w:rPr>
                <w:rFonts w:cs="Arial"/>
              </w:rPr>
              <w:t>s</w:t>
            </w:r>
            <w:r w:rsidRPr="00BB3760">
              <w:rPr>
                <w:rFonts w:cs="Arial"/>
              </w:rPr>
              <w:t xml:space="preserve"> method for counting patient days. </w:t>
            </w:r>
          </w:p>
          <w:p w14:paraId="2B74693D" w14:textId="77777777" w:rsidR="00D0444E" w:rsidRPr="00BB3760" w:rsidRDefault="00D0444E" w:rsidP="00D73F6A">
            <w:pPr>
              <w:autoSpaceDE w:val="0"/>
              <w:autoSpaceDN w:val="0"/>
              <w:adjustRightInd w:val="0"/>
              <w:rPr>
                <w:rFonts w:cs="Arial"/>
              </w:rPr>
            </w:pPr>
          </w:p>
          <w:p w14:paraId="2BF61151" w14:textId="77777777" w:rsidR="00D0444E" w:rsidRPr="0086796B" w:rsidRDefault="00D0444E" w:rsidP="00D73F6A">
            <w:pPr>
              <w:autoSpaceDE w:val="0"/>
              <w:autoSpaceDN w:val="0"/>
              <w:adjustRightInd w:val="0"/>
              <w:rPr>
                <w:rFonts w:cs="Arial"/>
                <w:b/>
                <w:bCs/>
              </w:rPr>
            </w:pPr>
            <w:r w:rsidRPr="00BB3760">
              <w:rPr>
                <w:rFonts w:cs="Arial"/>
              </w:rPr>
              <w:t xml:space="preserve">Patient days should be calculated to include all patients in </w:t>
            </w:r>
            <w:r w:rsidRPr="00331343">
              <w:rPr>
                <w:rFonts w:cs="Arial"/>
              </w:rPr>
              <w:t xml:space="preserve">adult </w:t>
            </w:r>
            <w:r>
              <w:rPr>
                <w:rFonts w:cs="Arial"/>
              </w:rPr>
              <w:t>and</w:t>
            </w:r>
            <w:r w:rsidRPr="00331343">
              <w:rPr>
                <w:rFonts w:cs="Arial"/>
              </w:rPr>
              <w:t xml:space="preserve"> pediatric single acuity </w:t>
            </w:r>
            <w:r>
              <w:rPr>
                <w:rFonts w:cs="Arial"/>
              </w:rPr>
              <w:t>Med-Surg</w:t>
            </w:r>
            <w:r w:rsidRPr="00331343">
              <w:rPr>
                <w:rFonts w:cs="Arial"/>
              </w:rPr>
              <w:t xml:space="preserve"> Unit</w:t>
            </w:r>
            <w:r>
              <w:rPr>
                <w:rFonts w:cs="Arial"/>
              </w:rPr>
              <w:t>s</w:t>
            </w:r>
            <w:r w:rsidRPr="00BB3760">
              <w:rPr>
                <w:rFonts w:cs="Arial"/>
              </w:rPr>
              <w:t>. This includes patients that do not have inpatient status (i.e., observation patients).</w:t>
            </w:r>
          </w:p>
        </w:tc>
      </w:tr>
      <w:tr w:rsidR="00D0444E" w14:paraId="1A595A46" w14:textId="77777777" w:rsidTr="00D73F6A">
        <w:tc>
          <w:tcPr>
            <w:tcW w:w="9350" w:type="dxa"/>
          </w:tcPr>
          <w:p w14:paraId="060369AE" w14:textId="0DB5EFDF" w:rsidR="00D0444E" w:rsidRDefault="00D0444E" w:rsidP="00D73F6A">
            <w:pPr>
              <w:autoSpaceDE w:val="0"/>
              <w:autoSpaceDN w:val="0"/>
              <w:adjustRightInd w:val="0"/>
              <w:rPr>
                <w:rFonts w:cs="Arial"/>
              </w:rPr>
            </w:pPr>
            <w:r w:rsidRPr="0086796B">
              <w:rPr>
                <w:rFonts w:cs="Arial"/>
                <w:b/>
                <w:bCs/>
              </w:rPr>
              <w:t xml:space="preserve">Question </w:t>
            </w:r>
            <w:r>
              <w:rPr>
                <w:rFonts w:cs="Arial"/>
                <w:b/>
                <w:bCs/>
              </w:rPr>
              <w:t>#</w:t>
            </w:r>
            <w:r w:rsidR="00CE3ED1">
              <w:rPr>
                <w:rFonts w:cs="Arial"/>
                <w:b/>
                <w:bCs/>
              </w:rPr>
              <w:t>9</w:t>
            </w:r>
            <w:r w:rsidRPr="0086796B">
              <w:rPr>
                <w:rFonts w:cs="Arial"/>
                <w:b/>
                <w:bCs/>
              </w:rPr>
              <w:t>(b):</w:t>
            </w:r>
            <w:r w:rsidRPr="00670605">
              <w:rPr>
                <w:rFonts w:cs="Arial"/>
                <w:b/>
                <w:bCs/>
              </w:rPr>
              <w:t xml:space="preserve"> </w:t>
            </w:r>
            <w:r w:rsidRPr="00BB3760">
              <w:rPr>
                <w:rFonts w:cs="Arial"/>
              </w:rPr>
              <w:t>Total number of productive hours worked by employe</w:t>
            </w:r>
            <w:r>
              <w:rPr>
                <w:rFonts w:cs="Arial"/>
              </w:rPr>
              <w:t>d</w:t>
            </w:r>
            <w:r w:rsidRPr="00BB3760">
              <w:rPr>
                <w:rFonts w:cs="Arial"/>
              </w:rPr>
              <w:t xml:space="preserve"> and contract</w:t>
            </w:r>
            <w:r>
              <w:rPr>
                <w:rFonts w:cs="Arial"/>
              </w:rPr>
              <w:t>ed</w:t>
            </w:r>
            <w:r w:rsidRPr="00BB3760">
              <w:rPr>
                <w:rFonts w:cs="Arial"/>
              </w:rPr>
              <w:t xml:space="preserve"> </w:t>
            </w:r>
            <w:r w:rsidRPr="007E2D99">
              <w:rPr>
                <w:rFonts w:cs="Arial"/>
                <w:b/>
                <w:bCs/>
              </w:rPr>
              <w:t>nursing staff (RN, LPN/LVN, and UAP)</w:t>
            </w:r>
            <w:r w:rsidRPr="00BB3760">
              <w:rPr>
                <w:rFonts w:cs="Arial"/>
              </w:rPr>
              <w:t xml:space="preserve"> with direct patient care responsibilities in all </w:t>
            </w:r>
            <w:r>
              <w:rPr>
                <w:rFonts w:cs="Arial"/>
              </w:rPr>
              <w:t xml:space="preserve">single acuity adult and pediatric </w:t>
            </w:r>
            <w:r w:rsidRPr="0052798E">
              <w:rPr>
                <w:rFonts w:cs="Arial"/>
                <w:b/>
                <w:bCs/>
              </w:rPr>
              <w:t>Med-Surg Units</w:t>
            </w:r>
            <w:r w:rsidRPr="00BB3760">
              <w:rPr>
                <w:rFonts w:cs="Arial"/>
              </w:rPr>
              <w:t xml:space="preserve"> in each quarter.</w:t>
            </w:r>
          </w:p>
          <w:p w14:paraId="4BF9FABF" w14:textId="77777777" w:rsidR="00D0444E" w:rsidRDefault="00D0444E" w:rsidP="00D73F6A">
            <w:pPr>
              <w:autoSpaceDE w:val="0"/>
              <w:autoSpaceDN w:val="0"/>
              <w:adjustRightInd w:val="0"/>
              <w:rPr>
                <w:rFonts w:cs="Arial"/>
              </w:rPr>
            </w:pPr>
          </w:p>
          <w:p w14:paraId="5015569D" w14:textId="77777777" w:rsidR="00D0444E" w:rsidRPr="007E0D9D" w:rsidRDefault="00D0444E" w:rsidP="00D73F6A">
            <w:pPr>
              <w:autoSpaceDE w:val="0"/>
              <w:autoSpaceDN w:val="0"/>
              <w:adjustRightInd w:val="0"/>
              <w:rPr>
                <w:rFonts w:cs="Arial"/>
                <w:b/>
                <w:bCs/>
                <w:u w:val="single"/>
              </w:rPr>
            </w:pPr>
            <w:r w:rsidRPr="007E0D9D">
              <w:rPr>
                <w:rFonts w:cs="Arial"/>
                <w:b/>
                <w:bCs/>
                <w:u w:val="single"/>
              </w:rPr>
              <w:t>Productive Hours</w:t>
            </w:r>
          </w:p>
          <w:p w14:paraId="5DA8AE15" w14:textId="77777777" w:rsidR="00D0444E" w:rsidRPr="00BB3760" w:rsidRDefault="00D0444E" w:rsidP="00D73F6A">
            <w:pPr>
              <w:autoSpaceDE w:val="0"/>
              <w:autoSpaceDN w:val="0"/>
              <w:adjustRightInd w:val="0"/>
              <w:rPr>
                <w:rFonts w:cs="Arial"/>
              </w:rPr>
            </w:pPr>
          </w:p>
          <w:p w14:paraId="2B2B4ECC" w14:textId="77777777" w:rsidR="00D0444E" w:rsidRPr="00BB370E" w:rsidRDefault="00D0444E" w:rsidP="00D73F6A">
            <w:pPr>
              <w:autoSpaceDE w:val="0"/>
              <w:autoSpaceDN w:val="0"/>
              <w:adjustRightInd w:val="0"/>
              <w:rPr>
                <w:rFonts w:cs="Arial"/>
              </w:rPr>
            </w:pPr>
            <w:r w:rsidRPr="00A831FC">
              <w:rPr>
                <w:rFonts w:cs="Arial"/>
                <w:b/>
                <w:bCs/>
              </w:rPr>
              <w:t>Include</w:t>
            </w:r>
            <w:r w:rsidRPr="00A831FC">
              <w:rPr>
                <w:rFonts w:cs="Arial"/>
              </w:rPr>
              <w:t xml:space="preserve"> the following hours worked by </w:t>
            </w:r>
            <w:r w:rsidRPr="00BB3760">
              <w:rPr>
                <w:rFonts w:cs="Arial"/>
              </w:rPr>
              <w:t>employe</w:t>
            </w:r>
            <w:r>
              <w:rPr>
                <w:rFonts w:cs="Arial"/>
              </w:rPr>
              <w:t>d</w:t>
            </w:r>
            <w:r w:rsidRPr="00BB3760">
              <w:rPr>
                <w:rFonts w:cs="Arial"/>
              </w:rPr>
              <w:t xml:space="preserve"> and contract</w:t>
            </w:r>
            <w:r>
              <w:rPr>
                <w:rFonts w:cs="Arial"/>
              </w:rPr>
              <w:t>ed</w:t>
            </w:r>
            <w:r w:rsidRPr="00BB3760">
              <w:rPr>
                <w:rFonts w:cs="Arial"/>
              </w:rPr>
              <w:t xml:space="preserve"> </w:t>
            </w:r>
            <w:r w:rsidRPr="00A831FC">
              <w:rPr>
                <w:rFonts w:cs="Arial"/>
              </w:rPr>
              <w:t>RNs, LPN/LVNs, and UAPs</w:t>
            </w:r>
            <w:r w:rsidRPr="00BB370E">
              <w:rPr>
                <w:rFonts w:cs="Arial"/>
              </w:rPr>
              <w:t>:</w:t>
            </w:r>
          </w:p>
          <w:p w14:paraId="377AA28E" w14:textId="77777777" w:rsidR="00D0444E" w:rsidRDefault="00D0444E" w:rsidP="00AD309C">
            <w:pPr>
              <w:pStyle w:val="ListParagraph"/>
              <w:numPr>
                <w:ilvl w:val="0"/>
                <w:numId w:val="373"/>
              </w:numPr>
              <w:autoSpaceDE w:val="0"/>
              <w:autoSpaceDN w:val="0"/>
              <w:adjustRightInd w:val="0"/>
              <w:rPr>
                <w:rFonts w:cs="Arial"/>
              </w:rPr>
            </w:pPr>
            <w:r>
              <w:rPr>
                <w:rFonts w:cs="Arial"/>
              </w:rPr>
              <w:t>A</w:t>
            </w:r>
            <w:r w:rsidRPr="00153B88">
              <w:rPr>
                <w:rFonts w:cs="Arial"/>
              </w:rPr>
              <w:t>ctual direct patient care hours worked by nursing staff</w:t>
            </w:r>
          </w:p>
          <w:p w14:paraId="76BAEF22" w14:textId="77777777" w:rsidR="00D0444E" w:rsidRPr="0008544D" w:rsidRDefault="00D0444E" w:rsidP="00AD309C">
            <w:pPr>
              <w:pStyle w:val="ListParagraph"/>
              <w:numPr>
                <w:ilvl w:val="0"/>
                <w:numId w:val="373"/>
              </w:numPr>
              <w:autoSpaceDE w:val="0"/>
              <w:autoSpaceDN w:val="0"/>
              <w:adjustRightInd w:val="0"/>
              <w:rPr>
                <w:rFonts w:cs="Arial"/>
              </w:rPr>
            </w:pPr>
            <w:r>
              <w:rPr>
                <w:rFonts w:cs="Arial"/>
              </w:rPr>
              <w:t>O</w:t>
            </w:r>
            <w:r w:rsidRPr="0008544D">
              <w:rPr>
                <w:rFonts w:cs="Arial"/>
              </w:rPr>
              <w:t>vertime</w:t>
            </w:r>
            <w:r>
              <w:rPr>
                <w:rFonts w:cs="Arial"/>
              </w:rPr>
              <w:t xml:space="preserve"> spent performing direct patient care</w:t>
            </w:r>
          </w:p>
          <w:p w14:paraId="7C74EB7A" w14:textId="77777777" w:rsidR="00D0444E" w:rsidRPr="0008544D" w:rsidRDefault="00D0444E" w:rsidP="00AD309C">
            <w:pPr>
              <w:pStyle w:val="ListParagraph"/>
              <w:numPr>
                <w:ilvl w:val="0"/>
                <w:numId w:val="373"/>
              </w:numPr>
              <w:autoSpaceDE w:val="0"/>
              <w:autoSpaceDN w:val="0"/>
              <w:adjustRightInd w:val="0"/>
              <w:rPr>
                <w:rFonts w:cs="Arial"/>
              </w:rPr>
            </w:pPr>
            <w:r w:rsidRPr="0008544D">
              <w:rPr>
                <w:rFonts w:cs="Arial"/>
              </w:rPr>
              <w:t>Orientation hours for new hires that are considered part of the unit’s staffing matrix, whose work hours are charged to the unit’s cost center, and</w:t>
            </w:r>
            <w:r>
              <w:rPr>
                <w:rFonts w:cs="Arial"/>
              </w:rPr>
              <w:t xml:space="preserve"> who</w:t>
            </w:r>
            <w:r w:rsidRPr="0008544D">
              <w:rPr>
                <w:rFonts w:cs="Arial"/>
              </w:rPr>
              <w:t xml:space="preserve"> would be replaced if they call</w:t>
            </w:r>
            <w:r>
              <w:rPr>
                <w:rFonts w:cs="Arial"/>
              </w:rPr>
              <w:t>ed out</w:t>
            </w:r>
            <w:r w:rsidRPr="0008544D">
              <w:rPr>
                <w:rFonts w:cs="Arial"/>
              </w:rPr>
              <w:t xml:space="preserve"> sick</w:t>
            </w:r>
          </w:p>
          <w:p w14:paraId="2C7A988A" w14:textId="5443FDDF" w:rsidR="00D0444E" w:rsidRPr="0008544D" w:rsidRDefault="00C95A16" w:rsidP="00AD309C">
            <w:pPr>
              <w:pStyle w:val="ListParagraph"/>
              <w:numPr>
                <w:ilvl w:val="0"/>
                <w:numId w:val="373"/>
              </w:numPr>
              <w:autoSpaceDE w:val="0"/>
              <w:autoSpaceDN w:val="0"/>
              <w:adjustRightInd w:val="0"/>
              <w:rPr>
                <w:rFonts w:cs="Arial"/>
              </w:rPr>
            </w:pPr>
            <w:r w:rsidRPr="00824910">
              <w:rPr>
                <w:rFonts w:cs="Arial"/>
              </w:rPr>
              <w:t>Sitter hours authorized for both physical touch and direct patient care intervention</w:t>
            </w:r>
          </w:p>
          <w:p w14:paraId="763AAB4A" w14:textId="77777777" w:rsidR="00D0444E" w:rsidRPr="00BB370E" w:rsidRDefault="00D0444E" w:rsidP="00D73F6A">
            <w:pPr>
              <w:autoSpaceDE w:val="0"/>
              <w:autoSpaceDN w:val="0"/>
              <w:adjustRightInd w:val="0"/>
              <w:rPr>
                <w:rFonts w:cs="Arial"/>
              </w:rPr>
            </w:pPr>
          </w:p>
          <w:p w14:paraId="43CA28D3" w14:textId="77777777" w:rsidR="00D0444E" w:rsidRPr="00153B88" w:rsidRDefault="00D0444E" w:rsidP="00D73F6A">
            <w:pPr>
              <w:autoSpaceDE w:val="0"/>
              <w:autoSpaceDN w:val="0"/>
              <w:adjustRightInd w:val="0"/>
              <w:rPr>
                <w:rFonts w:cs="Arial"/>
              </w:rPr>
            </w:pPr>
            <w:r w:rsidRPr="00A831FC">
              <w:rPr>
                <w:rFonts w:cs="Arial"/>
                <w:b/>
                <w:bCs/>
              </w:rPr>
              <w:t>Exclude</w:t>
            </w:r>
            <w:r>
              <w:rPr>
                <w:rFonts w:cs="Arial"/>
              </w:rPr>
              <w:t xml:space="preserve"> the following </w:t>
            </w:r>
            <w:r w:rsidRPr="00A831FC">
              <w:rPr>
                <w:rFonts w:cs="Arial"/>
              </w:rPr>
              <w:t xml:space="preserve">hours worked by </w:t>
            </w:r>
            <w:r w:rsidRPr="00BB3760">
              <w:rPr>
                <w:rFonts w:cs="Arial"/>
              </w:rPr>
              <w:t>employe</w:t>
            </w:r>
            <w:r>
              <w:rPr>
                <w:rFonts w:cs="Arial"/>
              </w:rPr>
              <w:t>d</w:t>
            </w:r>
            <w:r w:rsidRPr="00BB3760">
              <w:rPr>
                <w:rFonts w:cs="Arial"/>
              </w:rPr>
              <w:t xml:space="preserve"> and contract</w:t>
            </w:r>
            <w:r>
              <w:rPr>
                <w:rFonts w:cs="Arial"/>
              </w:rPr>
              <w:t>ed</w:t>
            </w:r>
            <w:r w:rsidRPr="00BB3760">
              <w:rPr>
                <w:rFonts w:cs="Arial"/>
              </w:rPr>
              <w:t xml:space="preserve"> </w:t>
            </w:r>
            <w:r w:rsidRPr="00A831FC">
              <w:rPr>
                <w:rFonts w:cs="Arial"/>
              </w:rPr>
              <w:t>RN, LPN/LVN, and UA</w:t>
            </w:r>
            <w:r>
              <w:rPr>
                <w:rFonts w:cs="Arial"/>
              </w:rPr>
              <w:t>P</w:t>
            </w:r>
            <w:r w:rsidRPr="00153B88">
              <w:rPr>
                <w:rFonts w:cs="Arial"/>
              </w:rPr>
              <w:t>:</w:t>
            </w:r>
          </w:p>
          <w:p w14:paraId="3D8CF2B4" w14:textId="77777777" w:rsidR="00D0444E" w:rsidRPr="00173884" w:rsidRDefault="00D0444E" w:rsidP="00AD309C">
            <w:pPr>
              <w:pStyle w:val="ListParagraph"/>
              <w:numPr>
                <w:ilvl w:val="0"/>
                <w:numId w:val="374"/>
              </w:numPr>
              <w:autoSpaceDE w:val="0"/>
              <w:autoSpaceDN w:val="0"/>
              <w:adjustRightInd w:val="0"/>
              <w:rPr>
                <w:rFonts w:cs="Arial"/>
              </w:rPr>
            </w:pPr>
            <w:r w:rsidRPr="00173884">
              <w:rPr>
                <w:rFonts w:cs="Arial"/>
              </w:rPr>
              <w:t>Budgeted or scheduled hours</w:t>
            </w:r>
          </w:p>
          <w:p w14:paraId="6347CB3D" w14:textId="77777777" w:rsidR="00D0444E" w:rsidRPr="00173884" w:rsidRDefault="00D0444E" w:rsidP="00AD309C">
            <w:pPr>
              <w:pStyle w:val="ListParagraph"/>
              <w:numPr>
                <w:ilvl w:val="0"/>
                <w:numId w:val="374"/>
              </w:numPr>
              <w:autoSpaceDE w:val="0"/>
              <w:autoSpaceDN w:val="0"/>
              <w:adjustRightInd w:val="0"/>
              <w:rPr>
                <w:rFonts w:cs="Arial"/>
              </w:rPr>
            </w:pPr>
            <w:r w:rsidRPr="00173884">
              <w:rPr>
                <w:rFonts w:cs="Arial"/>
              </w:rPr>
              <w:t>Vacation time, sick time, education leave, or committee time</w:t>
            </w:r>
          </w:p>
          <w:p w14:paraId="544CD9EC" w14:textId="77777777" w:rsidR="00D0444E" w:rsidRPr="00173884" w:rsidRDefault="00D0444E" w:rsidP="00AD309C">
            <w:pPr>
              <w:pStyle w:val="ListParagraph"/>
              <w:numPr>
                <w:ilvl w:val="0"/>
                <w:numId w:val="374"/>
              </w:numPr>
              <w:autoSpaceDE w:val="0"/>
              <w:autoSpaceDN w:val="0"/>
              <w:adjustRightInd w:val="0"/>
              <w:rPr>
                <w:rFonts w:cs="Arial"/>
              </w:rPr>
            </w:pPr>
            <w:r w:rsidRPr="00173884">
              <w:rPr>
                <w:rFonts w:cs="Arial"/>
              </w:rPr>
              <w:t xml:space="preserve">Orientation hours for new hires that are not considered part of the unit’s staffing matrix, whose work hours are not charged to the unit’s cost center, and would not be replaced if they call </w:t>
            </w:r>
            <w:r>
              <w:rPr>
                <w:rFonts w:cs="Arial"/>
              </w:rPr>
              <w:t>out</w:t>
            </w:r>
            <w:r w:rsidRPr="00173884">
              <w:rPr>
                <w:rFonts w:cs="Arial"/>
              </w:rPr>
              <w:t xml:space="preserve"> sick</w:t>
            </w:r>
          </w:p>
          <w:p w14:paraId="235108C1" w14:textId="77777777" w:rsidR="00D0444E" w:rsidRPr="00173884" w:rsidRDefault="00D0444E" w:rsidP="00AD309C">
            <w:pPr>
              <w:pStyle w:val="ListParagraph"/>
              <w:numPr>
                <w:ilvl w:val="0"/>
                <w:numId w:val="374"/>
              </w:numPr>
              <w:autoSpaceDE w:val="0"/>
              <w:autoSpaceDN w:val="0"/>
              <w:adjustRightInd w:val="0"/>
              <w:rPr>
                <w:rFonts w:cs="Arial"/>
              </w:rPr>
            </w:pPr>
            <w:r w:rsidRPr="00173884">
              <w:rPr>
                <w:rFonts w:cs="Arial"/>
              </w:rPr>
              <w:t>Hours from when the unit was staffed but there were no patients in the unit</w:t>
            </w:r>
          </w:p>
          <w:p w14:paraId="76C99BAB" w14:textId="77777777" w:rsidR="00D0444E" w:rsidRPr="00173884" w:rsidRDefault="00D0444E" w:rsidP="00AD309C">
            <w:pPr>
              <w:pStyle w:val="ListParagraph"/>
              <w:numPr>
                <w:ilvl w:val="1"/>
                <w:numId w:val="374"/>
              </w:numPr>
              <w:autoSpaceDE w:val="0"/>
              <w:autoSpaceDN w:val="0"/>
              <w:adjustRightInd w:val="0"/>
              <w:rPr>
                <w:rFonts w:cs="Arial"/>
              </w:rPr>
            </w:pPr>
            <w:r w:rsidRPr="00173884">
              <w:rPr>
                <w:rFonts w:cs="Arial"/>
              </w:rPr>
              <w:t>If these nursing hours cannot be removed, then the unit should not be included.</w:t>
            </w:r>
          </w:p>
          <w:p w14:paraId="2F65DADF" w14:textId="77777777" w:rsidR="00D0444E" w:rsidRDefault="00D0444E" w:rsidP="00AD309C">
            <w:pPr>
              <w:pStyle w:val="ListParagraph"/>
              <w:numPr>
                <w:ilvl w:val="0"/>
                <w:numId w:val="374"/>
              </w:numPr>
              <w:autoSpaceDE w:val="0"/>
              <w:autoSpaceDN w:val="0"/>
              <w:adjustRightInd w:val="0"/>
              <w:rPr>
                <w:rFonts w:cs="Arial"/>
              </w:rPr>
            </w:pPr>
            <w:r w:rsidRPr="00173884">
              <w:rPr>
                <w:rFonts w:cs="Arial"/>
              </w:rPr>
              <w:t>Virtual or remote hours</w:t>
            </w:r>
          </w:p>
          <w:p w14:paraId="70500152" w14:textId="78C014E5" w:rsidR="000E1853" w:rsidRPr="00B12BA7" w:rsidRDefault="00EC1481" w:rsidP="00AD309C">
            <w:pPr>
              <w:pStyle w:val="ListParagraph"/>
              <w:numPr>
                <w:ilvl w:val="0"/>
                <w:numId w:val="374"/>
              </w:numPr>
              <w:autoSpaceDE w:val="0"/>
              <w:autoSpaceDN w:val="0"/>
              <w:adjustRightInd w:val="0"/>
              <w:rPr>
                <w:rFonts w:cs="Arial"/>
              </w:rPr>
            </w:pPr>
            <w:r w:rsidRPr="00FA188F">
              <w:rPr>
                <w:rFonts w:cs="Arial"/>
              </w:rPr>
              <w:t>Sitter hours without authorization for both physical touch and direct patient care intervention</w:t>
            </w:r>
          </w:p>
          <w:p w14:paraId="718A5847" w14:textId="77777777" w:rsidR="00D0444E" w:rsidRDefault="00D0444E" w:rsidP="00D73F6A">
            <w:pPr>
              <w:autoSpaceDE w:val="0"/>
              <w:autoSpaceDN w:val="0"/>
              <w:adjustRightInd w:val="0"/>
              <w:rPr>
                <w:rFonts w:cs="Arial"/>
              </w:rPr>
            </w:pPr>
          </w:p>
          <w:p w14:paraId="63698FA1" w14:textId="77777777" w:rsidR="00D0444E" w:rsidRPr="00591EAA" w:rsidRDefault="00D0444E" w:rsidP="00D73F6A">
            <w:pPr>
              <w:autoSpaceDE w:val="0"/>
              <w:autoSpaceDN w:val="0"/>
              <w:adjustRightInd w:val="0"/>
              <w:rPr>
                <w:rFonts w:eastAsiaTheme="minorHAnsi" w:cs="Arial"/>
                <w:b/>
                <w:bCs/>
                <w:kern w:val="2"/>
                <w:u w:val="single"/>
                <w14:ligatures w14:val="standardContextual"/>
              </w:rPr>
            </w:pPr>
            <w:r w:rsidRPr="00591EAA">
              <w:rPr>
                <w:rFonts w:eastAsiaTheme="minorHAnsi" w:cs="Arial"/>
                <w:b/>
                <w:bCs/>
                <w:kern w:val="2"/>
                <w:u w:val="single"/>
                <w14:ligatures w14:val="standardContextual"/>
              </w:rPr>
              <w:t>Employe</w:t>
            </w:r>
            <w:r>
              <w:rPr>
                <w:rFonts w:eastAsiaTheme="minorHAnsi" w:cs="Arial"/>
                <w:b/>
                <w:bCs/>
                <w:kern w:val="2"/>
                <w:u w:val="single"/>
                <w14:ligatures w14:val="standardContextual"/>
              </w:rPr>
              <w:t>d</w:t>
            </w:r>
            <w:r w:rsidRPr="00591EAA">
              <w:rPr>
                <w:rFonts w:eastAsiaTheme="minorHAnsi" w:cs="Arial"/>
                <w:b/>
                <w:bCs/>
                <w:kern w:val="2"/>
                <w:u w:val="single"/>
                <w14:ligatures w14:val="standardContextual"/>
              </w:rPr>
              <w:t xml:space="preserve"> and Contract</w:t>
            </w:r>
            <w:r>
              <w:rPr>
                <w:rFonts w:eastAsiaTheme="minorHAnsi" w:cs="Arial"/>
                <w:b/>
                <w:bCs/>
                <w:kern w:val="2"/>
                <w:u w:val="single"/>
                <w14:ligatures w14:val="standardContextual"/>
              </w:rPr>
              <w:t>ed</w:t>
            </w:r>
            <w:r w:rsidRPr="00591EAA">
              <w:rPr>
                <w:rFonts w:eastAsiaTheme="minorHAnsi" w:cs="Arial"/>
                <w:b/>
                <w:bCs/>
                <w:kern w:val="2"/>
                <w:u w:val="single"/>
                <w14:ligatures w14:val="standardContextual"/>
              </w:rPr>
              <w:t xml:space="preserve"> Nursing Staff</w:t>
            </w:r>
          </w:p>
          <w:p w14:paraId="63B80CCC" w14:textId="77777777" w:rsidR="00D0444E" w:rsidRPr="00BB3760" w:rsidRDefault="00D0444E" w:rsidP="00D73F6A">
            <w:pPr>
              <w:autoSpaceDE w:val="0"/>
              <w:autoSpaceDN w:val="0"/>
              <w:adjustRightInd w:val="0"/>
              <w:rPr>
                <w:rFonts w:cs="Arial"/>
              </w:rPr>
            </w:pPr>
          </w:p>
          <w:p w14:paraId="26CFCADF" w14:textId="77777777" w:rsidR="00D0444E" w:rsidRPr="00153B88" w:rsidRDefault="00D0444E" w:rsidP="00D73F6A">
            <w:pPr>
              <w:autoSpaceDE w:val="0"/>
              <w:autoSpaceDN w:val="0"/>
              <w:adjustRightInd w:val="0"/>
              <w:rPr>
                <w:rFonts w:cs="Arial"/>
              </w:rPr>
            </w:pPr>
            <w:r w:rsidRPr="00A831FC">
              <w:rPr>
                <w:rFonts w:cs="Arial"/>
                <w:b/>
                <w:bCs/>
              </w:rPr>
              <w:t>Includ</w:t>
            </w:r>
            <w:r w:rsidRPr="006B5CC5">
              <w:rPr>
                <w:rFonts w:cs="Arial"/>
                <w:b/>
                <w:bCs/>
              </w:rPr>
              <w:t>e</w:t>
            </w:r>
            <w:r w:rsidRPr="00A831FC">
              <w:rPr>
                <w:rFonts w:cs="Arial"/>
              </w:rPr>
              <w:t xml:space="preserve"> </w:t>
            </w:r>
            <w:r>
              <w:rPr>
                <w:rFonts w:cs="Arial"/>
              </w:rPr>
              <w:t xml:space="preserve">the following </w:t>
            </w:r>
            <w:r w:rsidRPr="00A831FC">
              <w:rPr>
                <w:rFonts w:cs="Arial"/>
              </w:rPr>
              <w:t>RN, LPN/LVN, and UAP nursing staff</w:t>
            </w:r>
            <w:r w:rsidRPr="00153B88">
              <w:rPr>
                <w:rFonts w:cs="Arial"/>
              </w:rPr>
              <w:t>:</w:t>
            </w:r>
          </w:p>
          <w:p w14:paraId="0CA6A1E9" w14:textId="77777777" w:rsidR="00D0444E" w:rsidRPr="00F94E13" w:rsidRDefault="00D0444E" w:rsidP="00AD309C">
            <w:pPr>
              <w:pStyle w:val="ListParagraph"/>
              <w:numPr>
                <w:ilvl w:val="0"/>
                <w:numId w:val="375"/>
              </w:numPr>
              <w:autoSpaceDE w:val="0"/>
              <w:autoSpaceDN w:val="0"/>
              <w:adjustRightInd w:val="0"/>
              <w:rPr>
                <w:rFonts w:cs="Arial"/>
              </w:rPr>
            </w:pPr>
            <w:r>
              <w:rPr>
                <w:rFonts w:cs="Arial"/>
              </w:rPr>
              <w:t>Staff e</w:t>
            </w:r>
            <w:r w:rsidRPr="00F94E13">
              <w:rPr>
                <w:rFonts w:cs="Arial"/>
              </w:rPr>
              <w:t>mployed by the hospital</w:t>
            </w:r>
          </w:p>
          <w:p w14:paraId="6F9E1366" w14:textId="77777777" w:rsidR="00D0444E" w:rsidRPr="00F94E13" w:rsidRDefault="00D0444E" w:rsidP="00AD309C">
            <w:pPr>
              <w:pStyle w:val="ListParagraph"/>
              <w:numPr>
                <w:ilvl w:val="0"/>
                <w:numId w:val="375"/>
              </w:numPr>
              <w:autoSpaceDE w:val="0"/>
              <w:autoSpaceDN w:val="0"/>
              <w:adjustRightInd w:val="0"/>
              <w:rPr>
                <w:rFonts w:cs="Arial"/>
              </w:rPr>
            </w:pPr>
            <w:r w:rsidRPr="00F94E13">
              <w:rPr>
                <w:rFonts w:cs="Arial"/>
              </w:rPr>
              <w:t>Temporary staff who are not employed by the hospital (i.e., contracted/agency staff)</w:t>
            </w:r>
          </w:p>
          <w:p w14:paraId="1E5B3342" w14:textId="77777777" w:rsidR="00D0444E" w:rsidRPr="00F94E13" w:rsidRDefault="00D0444E" w:rsidP="00AD309C">
            <w:pPr>
              <w:pStyle w:val="ListParagraph"/>
              <w:numPr>
                <w:ilvl w:val="0"/>
                <w:numId w:val="375"/>
              </w:numPr>
              <w:autoSpaceDE w:val="0"/>
              <w:autoSpaceDN w:val="0"/>
              <w:adjustRightInd w:val="0"/>
              <w:rPr>
                <w:rFonts w:cs="Arial"/>
              </w:rPr>
            </w:pPr>
            <w:r w:rsidRPr="00F94E13">
              <w:rPr>
                <w:rFonts w:cs="Arial"/>
              </w:rPr>
              <w:t>Float staff who are assigned to a unit other than their unit of employment on an as-needed basis if they are assigned direct patient care responsibilities</w:t>
            </w:r>
          </w:p>
          <w:p w14:paraId="2BCA208D" w14:textId="77777777" w:rsidR="00D0444E" w:rsidRPr="00F94E13" w:rsidRDefault="00D0444E" w:rsidP="00AD309C">
            <w:pPr>
              <w:pStyle w:val="ListParagraph"/>
              <w:numPr>
                <w:ilvl w:val="0"/>
                <w:numId w:val="375"/>
              </w:numPr>
              <w:autoSpaceDE w:val="0"/>
              <w:autoSpaceDN w:val="0"/>
              <w:adjustRightInd w:val="0"/>
              <w:rPr>
                <w:rFonts w:cs="Arial"/>
              </w:rPr>
            </w:pPr>
            <w:r w:rsidRPr="00F94E13">
              <w:rPr>
                <w:rFonts w:cs="Arial"/>
              </w:rPr>
              <w:t xml:space="preserve">Staff who are counted in the unit’s staffing matrix, are replaced if they call </w:t>
            </w:r>
            <w:r>
              <w:rPr>
                <w:rFonts w:cs="Arial"/>
              </w:rPr>
              <w:t>out</w:t>
            </w:r>
            <w:r w:rsidRPr="00F94E13">
              <w:rPr>
                <w:rFonts w:cs="Arial"/>
              </w:rPr>
              <w:t xml:space="preserve"> sick, and whose work hours are charged to the unit’s cost center</w:t>
            </w:r>
          </w:p>
          <w:p w14:paraId="044F9632" w14:textId="77777777" w:rsidR="00D0444E" w:rsidRPr="00153B88" w:rsidRDefault="00D0444E" w:rsidP="00D73F6A">
            <w:pPr>
              <w:autoSpaceDE w:val="0"/>
              <w:autoSpaceDN w:val="0"/>
              <w:adjustRightInd w:val="0"/>
              <w:rPr>
                <w:rFonts w:cs="Arial"/>
              </w:rPr>
            </w:pPr>
          </w:p>
          <w:p w14:paraId="7C41AEE3" w14:textId="77777777" w:rsidR="00D0444E" w:rsidRPr="00153B88" w:rsidRDefault="00D0444E" w:rsidP="00D73F6A">
            <w:pPr>
              <w:autoSpaceDE w:val="0"/>
              <w:autoSpaceDN w:val="0"/>
              <w:adjustRightInd w:val="0"/>
              <w:rPr>
                <w:rFonts w:cs="Arial"/>
              </w:rPr>
            </w:pPr>
            <w:r w:rsidRPr="00A831FC">
              <w:rPr>
                <w:rFonts w:cs="Arial"/>
                <w:b/>
                <w:bCs/>
              </w:rPr>
              <w:t>Exclude</w:t>
            </w:r>
            <w:r w:rsidRPr="00A831FC">
              <w:rPr>
                <w:rFonts w:cs="Arial"/>
              </w:rPr>
              <w:t xml:space="preserve"> </w:t>
            </w:r>
            <w:r>
              <w:rPr>
                <w:rFonts w:cs="Arial"/>
              </w:rPr>
              <w:t xml:space="preserve">the following </w:t>
            </w:r>
            <w:r w:rsidRPr="00A831FC">
              <w:rPr>
                <w:rFonts w:cs="Arial"/>
              </w:rPr>
              <w:t>RN, LPN/LVN, and UAP nursing staff</w:t>
            </w:r>
            <w:r w:rsidRPr="00153B88">
              <w:rPr>
                <w:rFonts w:cs="Arial"/>
              </w:rPr>
              <w:t>:</w:t>
            </w:r>
          </w:p>
          <w:p w14:paraId="7EDF398A" w14:textId="77777777" w:rsidR="00D0444E" w:rsidRPr="00E92A29" w:rsidRDefault="00D0444E" w:rsidP="00AD309C">
            <w:pPr>
              <w:pStyle w:val="ListParagraph"/>
              <w:numPr>
                <w:ilvl w:val="0"/>
                <w:numId w:val="376"/>
              </w:numPr>
              <w:autoSpaceDE w:val="0"/>
              <w:autoSpaceDN w:val="0"/>
              <w:adjustRightInd w:val="0"/>
              <w:rPr>
                <w:rFonts w:cs="Arial"/>
              </w:rPr>
            </w:pPr>
            <w:r>
              <w:rPr>
                <w:rFonts w:cs="Arial"/>
              </w:rPr>
              <w:t xml:space="preserve">Nursing staff </w:t>
            </w:r>
            <w:r w:rsidRPr="00E92A29">
              <w:rPr>
                <w:rFonts w:cs="Arial"/>
              </w:rPr>
              <w:t>whose primary responsibility is administrative in nature (at least 50% of their time is administrative)</w:t>
            </w:r>
          </w:p>
          <w:p w14:paraId="54AF65BB" w14:textId="77777777" w:rsidR="00D0444E" w:rsidRPr="00E92A29" w:rsidRDefault="00D0444E" w:rsidP="00AD309C">
            <w:pPr>
              <w:pStyle w:val="ListParagraph"/>
              <w:numPr>
                <w:ilvl w:val="0"/>
                <w:numId w:val="376"/>
              </w:numPr>
              <w:autoSpaceDE w:val="0"/>
              <w:autoSpaceDN w:val="0"/>
              <w:adjustRightInd w:val="0"/>
              <w:rPr>
                <w:rFonts w:cs="Arial"/>
              </w:rPr>
            </w:pPr>
            <w:r w:rsidRPr="00E92A29">
              <w:rPr>
                <w:rFonts w:cs="Arial"/>
              </w:rPr>
              <w:t>Specialty teams, patient educators, or case managers who are not assigned to a specific unit</w:t>
            </w:r>
          </w:p>
          <w:p w14:paraId="67DEA7D9" w14:textId="77777777" w:rsidR="00D0444E" w:rsidRPr="00E92A29" w:rsidRDefault="00D0444E" w:rsidP="00AD309C">
            <w:pPr>
              <w:pStyle w:val="ListParagraph"/>
              <w:numPr>
                <w:ilvl w:val="0"/>
                <w:numId w:val="376"/>
              </w:numPr>
              <w:autoSpaceDE w:val="0"/>
              <w:autoSpaceDN w:val="0"/>
              <w:adjustRightInd w:val="0"/>
              <w:rPr>
                <w:rFonts w:cs="Arial"/>
              </w:rPr>
            </w:pPr>
            <w:r w:rsidRPr="00E92A29">
              <w:rPr>
                <w:rFonts w:cs="Arial"/>
              </w:rPr>
              <w:t>Unit secretaries or clerks, monitor technicians, and others with no direct patient care responsibilities</w:t>
            </w:r>
          </w:p>
          <w:p w14:paraId="63DA25C4" w14:textId="77777777" w:rsidR="00D0444E" w:rsidRDefault="00D0444E" w:rsidP="00AD309C">
            <w:pPr>
              <w:pStyle w:val="ListParagraph"/>
              <w:numPr>
                <w:ilvl w:val="0"/>
                <w:numId w:val="376"/>
              </w:numPr>
              <w:autoSpaceDE w:val="0"/>
              <w:autoSpaceDN w:val="0"/>
              <w:adjustRightInd w:val="0"/>
              <w:rPr>
                <w:rFonts w:cs="Arial"/>
              </w:rPr>
            </w:pPr>
            <w:r w:rsidRPr="00E92A29">
              <w:rPr>
                <w:rFonts w:cs="Arial"/>
              </w:rPr>
              <w:t>Advanced Practice Registered Nurses (APRNs), including certified nurse-midwife (CNM), clinical nurse specialist (CNS), certified nurse practitioner (CNP), and certified registered nurse anesthetist (CRNA)</w:t>
            </w:r>
          </w:p>
          <w:p w14:paraId="42E7CCA9" w14:textId="77777777" w:rsidR="00D0444E" w:rsidRPr="003A5BED" w:rsidRDefault="00D0444E" w:rsidP="00D73F6A">
            <w:pPr>
              <w:autoSpaceDE w:val="0"/>
              <w:autoSpaceDN w:val="0"/>
              <w:adjustRightInd w:val="0"/>
              <w:rPr>
                <w:rFonts w:cs="Arial"/>
                <w:i/>
                <w:iCs/>
              </w:rPr>
            </w:pPr>
          </w:p>
          <w:p w14:paraId="51A33DEB" w14:textId="47CBC122" w:rsidR="00D0444E" w:rsidRPr="003A5BED" w:rsidRDefault="00DD04D6" w:rsidP="00D73F6A">
            <w:pPr>
              <w:pStyle w:val="Heading6"/>
              <w:rPr>
                <w:rFonts w:eastAsiaTheme="minorHAnsi"/>
                <w:bCs/>
                <w:i/>
                <w:iCs/>
              </w:rPr>
            </w:pPr>
            <w:r>
              <w:rPr>
                <w:rFonts w:ascii="ZWAdobeF" w:eastAsiaTheme="minorHAnsi" w:hAnsi="ZWAdobeF" w:cs="ZWAdobeF"/>
                <w:b w:val="0"/>
                <w:bCs/>
                <w:iCs/>
                <w:color w:val="auto"/>
                <w:sz w:val="2"/>
                <w:szCs w:val="2"/>
              </w:rPr>
              <w:t>4B</w:t>
            </w:r>
            <w:r w:rsidR="00953060">
              <w:rPr>
                <w:rFonts w:ascii="ZWAdobeF" w:eastAsiaTheme="minorHAnsi" w:hAnsi="ZWAdobeF" w:cs="ZWAdobeF"/>
                <w:b w:val="0"/>
                <w:bCs/>
                <w:iCs/>
                <w:color w:val="auto"/>
                <w:sz w:val="2"/>
                <w:szCs w:val="2"/>
              </w:rPr>
              <w:t>4B</w:t>
            </w:r>
            <w:r w:rsidR="00E453C7">
              <w:rPr>
                <w:rFonts w:ascii="ZWAdobeF" w:eastAsiaTheme="minorHAnsi" w:hAnsi="ZWAdobeF" w:cs="ZWAdobeF"/>
                <w:b w:val="0"/>
                <w:bCs/>
                <w:iCs/>
                <w:color w:val="auto"/>
                <w:sz w:val="2"/>
                <w:szCs w:val="2"/>
              </w:rPr>
              <w:t>4B</w:t>
            </w:r>
            <w:r w:rsidR="006255A6">
              <w:rPr>
                <w:rFonts w:ascii="ZWAdobeF" w:eastAsiaTheme="minorHAnsi" w:hAnsi="ZWAdobeF" w:cs="ZWAdobeF"/>
                <w:b w:val="0"/>
                <w:bCs/>
                <w:iCs/>
                <w:color w:val="auto"/>
                <w:sz w:val="2"/>
                <w:szCs w:val="2"/>
              </w:rPr>
              <w:t>4B</w:t>
            </w:r>
            <w:r w:rsidR="00B55C41">
              <w:rPr>
                <w:rFonts w:ascii="ZWAdobeF" w:eastAsiaTheme="minorHAnsi" w:hAnsi="ZWAdobeF" w:cs="ZWAdobeF"/>
                <w:b w:val="0"/>
                <w:bCs/>
                <w:iCs/>
                <w:color w:val="auto"/>
                <w:sz w:val="2"/>
                <w:szCs w:val="2"/>
              </w:rPr>
              <w:t>4B</w:t>
            </w:r>
            <w:r w:rsidR="00C2087D">
              <w:rPr>
                <w:rFonts w:ascii="ZWAdobeF" w:eastAsiaTheme="minorHAnsi" w:hAnsi="ZWAdobeF" w:cs="ZWAdobeF"/>
                <w:b w:val="0"/>
                <w:bCs/>
                <w:iCs/>
                <w:color w:val="auto"/>
                <w:sz w:val="2"/>
                <w:szCs w:val="2"/>
              </w:rPr>
              <w:t>4B</w:t>
            </w:r>
            <w:r w:rsidR="004C7557">
              <w:rPr>
                <w:rFonts w:ascii="ZWAdobeF" w:eastAsiaTheme="minorHAnsi" w:hAnsi="ZWAdobeF" w:cs="ZWAdobeF"/>
                <w:b w:val="0"/>
                <w:bCs/>
                <w:iCs/>
                <w:color w:val="auto"/>
                <w:sz w:val="2"/>
                <w:szCs w:val="2"/>
              </w:rPr>
              <w:t>4B</w:t>
            </w:r>
            <w:r w:rsidR="00BF053F">
              <w:rPr>
                <w:rFonts w:ascii="ZWAdobeF" w:eastAsiaTheme="minorHAnsi" w:hAnsi="ZWAdobeF" w:cs="ZWAdobeF"/>
                <w:b w:val="0"/>
                <w:bCs/>
                <w:iCs/>
                <w:color w:val="auto"/>
                <w:sz w:val="2"/>
                <w:szCs w:val="2"/>
              </w:rPr>
              <w:t>4B</w:t>
            </w:r>
            <w:r w:rsidR="00D0444E" w:rsidRPr="003A5BED">
              <w:rPr>
                <w:rFonts w:eastAsiaTheme="minorHAnsi"/>
                <w:b w:val="0"/>
                <w:bCs/>
                <w:i/>
                <w:iCs/>
              </w:rPr>
              <w:t>A UAP is any unlicensed person, regardless of title, who performs tasks delegated by a nurse. This includes certified nursing aides/assistants (CNAs), patient care assistants (PCAs), patient care technicians (PCTs), state-tested nursing assistants (STNA), nursing assistants-registered (NA/Rs) or certified medication aides/assistants (MA-Cs).</w:t>
            </w:r>
          </w:p>
          <w:p w14:paraId="7E8B47FE" w14:textId="77777777" w:rsidR="00D0444E" w:rsidRDefault="00D0444E" w:rsidP="00D73F6A">
            <w:pPr>
              <w:autoSpaceDE w:val="0"/>
              <w:autoSpaceDN w:val="0"/>
              <w:adjustRightInd w:val="0"/>
              <w:rPr>
                <w:rFonts w:cs="Arial"/>
              </w:rPr>
            </w:pPr>
          </w:p>
          <w:p w14:paraId="4055E37E" w14:textId="77777777" w:rsidR="00D0444E" w:rsidRPr="00591EAA" w:rsidRDefault="00D0444E" w:rsidP="00D73F6A">
            <w:pPr>
              <w:autoSpaceDE w:val="0"/>
              <w:autoSpaceDN w:val="0"/>
              <w:adjustRightInd w:val="0"/>
              <w:rPr>
                <w:rFonts w:eastAsiaTheme="minorHAnsi" w:cs="Arial"/>
                <w:b/>
                <w:bCs/>
                <w:kern w:val="2"/>
                <w:u w:val="single"/>
                <w14:ligatures w14:val="standardContextual"/>
              </w:rPr>
            </w:pPr>
            <w:r w:rsidRPr="00591EAA">
              <w:rPr>
                <w:rFonts w:eastAsiaTheme="minorHAnsi" w:cs="Arial"/>
                <w:b/>
                <w:bCs/>
                <w:kern w:val="2"/>
                <w:u w:val="single"/>
                <w14:ligatures w14:val="standardContextual"/>
              </w:rPr>
              <w:t xml:space="preserve">Direct Patient Care Responsibilities </w:t>
            </w:r>
          </w:p>
          <w:p w14:paraId="3A053B4E" w14:textId="77777777" w:rsidR="00D0444E" w:rsidRPr="00BB3760" w:rsidRDefault="00D0444E" w:rsidP="00D73F6A">
            <w:pPr>
              <w:autoSpaceDE w:val="0"/>
              <w:autoSpaceDN w:val="0"/>
              <w:adjustRightInd w:val="0"/>
              <w:rPr>
                <w:rFonts w:cs="Arial"/>
              </w:rPr>
            </w:pPr>
          </w:p>
          <w:p w14:paraId="75C0F3B4" w14:textId="77777777" w:rsidR="00D0444E" w:rsidRPr="00BB3760" w:rsidRDefault="00D0444E" w:rsidP="00D73F6A">
            <w:pPr>
              <w:autoSpaceDE w:val="0"/>
              <w:autoSpaceDN w:val="0"/>
              <w:adjustRightInd w:val="0"/>
              <w:rPr>
                <w:rFonts w:cs="Arial"/>
              </w:rPr>
            </w:pPr>
            <w:r w:rsidRPr="00A831FC">
              <w:rPr>
                <w:rFonts w:cs="Arial"/>
                <w:b/>
                <w:bCs/>
              </w:rPr>
              <w:t>Direct Patient Care Responsibilities</w:t>
            </w:r>
            <w:r w:rsidRPr="00BB3760">
              <w:rPr>
                <w:rFonts w:cs="Arial"/>
              </w:rPr>
              <w:t xml:space="preserve"> are defined as patient centered nursing activities by hospital unit-based staff in the presence of the patient and activities that occur away from the patient that are patient related:</w:t>
            </w:r>
          </w:p>
          <w:p w14:paraId="06522E77" w14:textId="77777777" w:rsidR="00D0444E" w:rsidRPr="00CE79E2" w:rsidRDefault="00D0444E" w:rsidP="00AD309C">
            <w:pPr>
              <w:pStyle w:val="ListParagraph"/>
              <w:numPr>
                <w:ilvl w:val="0"/>
                <w:numId w:val="377"/>
              </w:numPr>
              <w:autoSpaceDE w:val="0"/>
              <w:autoSpaceDN w:val="0"/>
              <w:adjustRightInd w:val="0"/>
              <w:rPr>
                <w:rFonts w:cs="Arial"/>
              </w:rPr>
            </w:pPr>
            <w:r w:rsidRPr="00CE79E2">
              <w:rPr>
                <w:rFonts w:cs="Arial"/>
              </w:rPr>
              <w:t>Medication administration</w:t>
            </w:r>
          </w:p>
          <w:p w14:paraId="19CD3844" w14:textId="77777777" w:rsidR="00D0444E" w:rsidRPr="00CE79E2" w:rsidRDefault="00D0444E" w:rsidP="00AD309C">
            <w:pPr>
              <w:pStyle w:val="ListParagraph"/>
              <w:numPr>
                <w:ilvl w:val="0"/>
                <w:numId w:val="377"/>
              </w:numPr>
              <w:autoSpaceDE w:val="0"/>
              <w:autoSpaceDN w:val="0"/>
              <w:adjustRightInd w:val="0"/>
              <w:rPr>
                <w:rFonts w:cs="Arial"/>
              </w:rPr>
            </w:pPr>
            <w:r w:rsidRPr="00CE79E2">
              <w:rPr>
                <w:rFonts w:cs="Arial"/>
              </w:rPr>
              <w:t>Nursing treatments</w:t>
            </w:r>
          </w:p>
          <w:p w14:paraId="70F4428C" w14:textId="77777777" w:rsidR="00D0444E" w:rsidRPr="00CE79E2" w:rsidRDefault="00D0444E" w:rsidP="00AD309C">
            <w:pPr>
              <w:pStyle w:val="ListParagraph"/>
              <w:numPr>
                <w:ilvl w:val="0"/>
                <w:numId w:val="377"/>
              </w:numPr>
              <w:autoSpaceDE w:val="0"/>
              <w:autoSpaceDN w:val="0"/>
              <w:adjustRightInd w:val="0"/>
              <w:rPr>
                <w:rFonts w:cs="Arial"/>
              </w:rPr>
            </w:pPr>
            <w:r w:rsidRPr="00CE79E2">
              <w:rPr>
                <w:rFonts w:cs="Arial"/>
              </w:rPr>
              <w:t>Nursing rounds</w:t>
            </w:r>
          </w:p>
          <w:p w14:paraId="65A9D763" w14:textId="77777777" w:rsidR="00D0444E" w:rsidRPr="00CE79E2" w:rsidRDefault="00D0444E" w:rsidP="00AD309C">
            <w:pPr>
              <w:pStyle w:val="ListParagraph"/>
              <w:numPr>
                <w:ilvl w:val="0"/>
                <w:numId w:val="377"/>
              </w:numPr>
              <w:autoSpaceDE w:val="0"/>
              <w:autoSpaceDN w:val="0"/>
              <w:adjustRightInd w:val="0"/>
              <w:rPr>
                <w:rFonts w:cs="Arial"/>
              </w:rPr>
            </w:pPr>
            <w:r w:rsidRPr="00CE79E2">
              <w:rPr>
                <w:rFonts w:cs="Arial"/>
              </w:rPr>
              <w:t>Admission, transfer, discharge activities</w:t>
            </w:r>
          </w:p>
          <w:p w14:paraId="3FB8EBC6" w14:textId="77777777" w:rsidR="00D0444E" w:rsidRPr="00CE79E2" w:rsidRDefault="00D0444E" w:rsidP="00AD309C">
            <w:pPr>
              <w:pStyle w:val="ListParagraph"/>
              <w:numPr>
                <w:ilvl w:val="0"/>
                <w:numId w:val="377"/>
              </w:numPr>
              <w:autoSpaceDE w:val="0"/>
              <w:autoSpaceDN w:val="0"/>
              <w:adjustRightInd w:val="0"/>
              <w:rPr>
                <w:rFonts w:cs="Arial"/>
              </w:rPr>
            </w:pPr>
            <w:r w:rsidRPr="00CE79E2">
              <w:rPr>
                <w:rFonts w:cs="Arial"/>
              </w:rPr>
              <w:t>Patient teaching</w:t>
            </w:r>
          </w:p>
          <w:p w14:paraId="3439D99B" w14:textId="77777777" w:rsidR="00D0444E" w:rsidRPr="00CE79E2" w:rsidRDefault="00D0444E" w:rsidP="00AD309C">
            <w:pPr>
              <w:pStyle w:val="ListParagraph"/>
              <w:numPr>
                <w:ilvl w:val="0"/>
                <w:numId w:val="377"/>
              </w:numPr>
              <w:autoSpaceDE w:val="0"/>
              <w:autoSpaceDN w:val="0"/>
              <w:adjustRightInd w:val="0"/>
              <w:rPr>
                <w:rFonts w:cs="Arial"/>
              </w:rPr>
            </w:pPr>
            <w:r w:rsidRPr="00CE79E2">
              <w:rPr>
                <w:rFonts w:cs="Arial"/>
              </w:rPr>
              <w:t>Patient communication</w:t>
            </w:r>
          </w:p>
          <w:p w14:paraId="2A5DDE82" w14:textId="77777777" w:rsidR="00D0444E" w:rsidRPr="00CE79E2" w:rsidRDefault="00D0444E" w:rsidP="00AD309C">
            <w:pPr>
              <w:pStyle w:val="ListParagraph"/>
              <w:numPr>
                <w:ilvl w:val="0"/>
                <w:numId w:val="377"/>
              </w:numPr>
              <w:autoSpaceDE w:val="0"/>
              <w:autoSpaceDN w:val="0"/>
              <w:adjustRightInd w:val="0"/>
              <w:rPr>
                <w:rFonts w:cs="Arial"/>
              </w:rPr>
            </w:pPr>
            <w:r w:rsidRPr="00CE79E2">
              <w:rPr>
                <w:rFonts w:cs="Arial"/>
              </w:rPr>
              <w:t>Coordination of patient care</w:t>
            </w:r>
          </w:p>
          <w:p w14:paraId="6E2DFAD7" w14:textId="77777777" w:rsidR="00D0444E" w:rsidRPr="00CE79E2" w:rsidRDefault="00D0444E" w:rsidP="00AD309C">
            <w:pPr>
              <w:pStyle w:val="ListParagraph"/>
              <w:numPr>
                <w:ilvl w:val="0"/>
                <w:numId w:val="377"/>
              </w:numPr>
              <w:autoSpaceDE w:val="0"/>
              <w:autoSpaceDN w:val="0"/>
              <w:adjustRightInd w:val="0"/>
              <w:rPr>
                <w:rFonts w:cs="Arial"/>
              </w:rPr>
            </w:pPr>
            <w:r w:rsidRPr="00CE79E2">
              <w:rPr>
                <w:rFonts w:cs="Arial"/>
              </w:rPr>
              <w:t>Documentation time</w:t>
            </w:r>
          </w:p>
          <w:p w14:paraId="74FCED3C" w14:textId="77777777" w:rsidR="00D0444E" w:rsidRDefault="00D0444E" w:rsidP="00AD309C">
            <w:pPr>
              <w:pStyle w:val="ListParagraph"/>
              <w:numPr>
                <w:ilvl w:val="0"/>
                <w:numId w:val="377"/>
              </w:numPr>
              <w:autoSpaceDE w:val="0"/>
              <w:autoSpaceDN w:val="0"/>
              <w:adjustRightInd w:val="0"/>
              <w:rPr>
                <w:rFonts w:cs="Arial"/>
              </w:rPr>
            </w:pPr>
            <w:r w:rsidRPr="00CE79E2">
              <w:rPr>
                <w:rFonts w:cs="Arial"/>
              </w:rPr>
              <w:t>Treatment planning</w:t>
            </w:r>
          </w:p>
          <w:p w14:paraId="2625FCA0" w14:textId="77777777" w:rsidR="00D0444E" w:rsidRPr="00C41959" w:rsidRDefault="00D0444E" w:rsidP="00AD309C">
            <w:pPr>
              <w:pStyle w:val="ListParagraph"/>
              <w:numPr>
                <w:ilvl w:val="0"/>
                <w:numId w:val="377"/>
              </w:numPr>
              <w:autoSpaceDE w:val="0"/>
              <w:autoSpaceDN w:val="0"/>
              <w:adjustRightInd w:val="0"/>
              <w:rPr>
                <w:rFonts w:cs="Arial"/>
              </w:rPr>
            </w:pPr>
            <w:r w:rsidRPr="00C41959">
              <w:rPr>
                <w:rFonts w:cs="Arial"/>
              </w:rPr>
              <w:t>Patient screening (e.g., fall risk) and assessment</w:t>
            </w:r>
          </w:p>
        </w:tc>
      </w:tr>
      <w:tr w:rsidR="00D0444E" w14:paraId="438AF82D" w14:textId="77777777" w:rsidTr="00D73F6A">
        <w:tc>
          <w:tcPr>
            <w:tcW w:w="9350" w:type="dxa"/>
          </w:tcPr>
          <w:p w14:paraId="70E8E23A" w14:textId="634FEF72" w:rsidR="00D0444E" w:rsidRPr="00BB3760" w:rsidRDefault="00D0444E" w:rsidP="00D73F6A">
            <w:pPr>
              <w:autoSpaceDE w:val="0"/>
              <w:autoSpaceDN w:val="0"/>
              <w:adjustRightInd w:val="0"/>
              <w:rPr>
                <w:rFonts w:cs="Arial"/>
              </w:rPr>
            </w:pPr>
            <w:r w:rsidRPr="0086796B">
              <w:rPr>
                <w:rFonts w:cs="Arial"/>
                <w:b/>
                <w:bCs/>
              </w:rPr>
              <w:t>Questions #</w:t>
            </w:r>
            <w:r w:rsidR="00F34434">
              <w:rPr>
                <w:rFonts w:cs="Arial"/>
                <w:b/>
                <w:bCs/>
              </w:rPr>
              <w:t>9</w:t>
            </w:r>
            <w:r w:rsidRPr="0086796B">
              <w:rPr>
                <w:rFonts w:cs="Arial"/>
                <w:b/>
                <w:bCs/>
              </w:rPr>
              <w:t>(c):</w:t>
            </w:r>
            <w:r w:rsidRPr="00BB3760">
              <w:rPr>
                <w:rFonts w:cs="Arial"/>
              </w:rPr>
              <w:t xml:space="preserve"> Total number of productive hours worked by </w:t>
            </w:r>
            <w:r w:rsidRPr="003E08DF">
              <w:rPr>
                <w:rFonts w:cs="Arial"/>
                <w:b/>
                <w:bCs/>
              </w:rPr>
              <w:t>RN nursing staff</w:t>
            </w:r>
            <w:r w:rsidRPr="00BB3760">
              <w:rPr>
                <w:rFonts w:cs="Arial"/>
              </w:rPr>
              <w:t xml:space="preserve"> with direct patient care responsibilities in all </w:t>
            </w:r>
            <w:r>
              <w:rPr>
                <w:rFonts w:cs="Arial"/>
              </w:rPr>
              <w:t>adult and pediatric single acuity</w:t>
            </w:r>
            <w:r w:rsidRPr="00BB3760">
              <w:rPr>
                <w:rFonts w:cs="Arial"/>
              </w:rPr>
              <w:t xml:space="preserve"> </w:t>
            </w:r>
            <w:r w:rsidRPr="0052798E">
              <w:rPr>
                <w:rFonts w:cs="Arial"/>
                <w:b/>
                <w:bCs/>
              </w:rPr>
              <w:t>Med-Surg Units</w:t>
            </w:r>
            <w:r>
              <w:rPr>
                <w:rFonts w:cs="Arial"/>
              </w:rPr>
              <w:t xml:space="preserve"> </w:t>
            </w:r>
            <w:r w:rsidRPr="00BB3760">
              <w:rPr>
                <w:rFonts w:cs="Arial"/>
              </w:rPr>
              <w:t>in each quarter.</w:t>
            </w:r>
          </w:p>
          <w:p w14:paraId="313BD11E" w14:textId="77777777" w:rsidR="00D0444E" w:rsidRPr="00BB3760" w:rsidRDefault="00D0444E" w:rsidP="00D73F6A">
            <w:pPr>
              <w:autoSpaceDE w:val="0"/>
              <w:autoSpaceDN w:val="0"/>
              <w:adjustRightInd w:val="0"/>
              <w:rPr>
                <w:rFonts w:cs="Arial"/>
              </w:rPr>
            </w:pPr>
          </w:p>
          <w:p w14:paraId="5ED24416" w14:textId="0991D656" w:rsidR="00D0444E" w:rsidRPr="0086796B" w:rsidRDefault="00D0444E" w:rsidP="00D73F6A">
            <w:pPr>
              <w:autoSpaceDE w:val="0"/>
              <w:autoSpaceDN w:val="0"/>
              <w:adjustRightInd w:val="0"/>
              <w:rPr>
                <w:rFonts w:cs="Arial"/>
                <w:b/>
                <w:bCs/>
              </w:rPr>
            </w:pPr>
            <w:r w:rsidRPr="00A831FC">
              <w:rPr>
                <w:rFonts w:cs="Arial"/>
                <w:b/>
                <w:bCs/>
              </w:rPr>
              <w:t>Include</w:t>
            </w:r>
            <w:r>
              <w:rPr>
                <w:rFonts w:cs="Arial"/>
              </w:rPr>
              <w:t xml:space="preserve"> t</w:t>
            </w:r>
            <w:r w:rsidRPr="00612120">
              <w:rPr>
                <w:rFonts w:cs="Arial"/>
              </w:rPr>
              <w:t xml:space="preserve">he </w:t>
            </w:r>
            <w:r>
              <w:rPr>
                <w:rFonts w:cs="Arial"/>
              </w:rPr>
              <w:t xml:space="preserve">total </w:t>
            </w:r>
            <w:r w:rsidRPr="00612120">
              <w:rPr>
                <w:rFonts w:cs="Arial"/>
              </w:rPr>
              <w:t>number of</w:t>
            </w:r>
            <w:r>
              <w:rPr>
                <w:rFonts w:cs="Arial"/>
              </w:rPr>
              <w:t xml:space="preserve"> productive work hours worked by RN nursing staff ONLY from question </w:t>
            </w:r>
            <w:r w:rsidR="00F34434">
              <w:rPr>
                <w:rFonts w:cs="Arial"/>
              </w:rPr>
              <w:t>9</w:t>
            </w:r>
            <w:r>
              <w:rPr>
                <w:rFonts w:cs="Arial"/>
              </w:rPr>
              <w:t xml:space="preserve">b. </w:t>
            </w:r>
          </w:p>
        </w:tc>
      </w:tr>
    </w:tbl>
    <w:p w14:paraId="455FBDAC" w14:textId="77777777" w:rsidR="00D0444E" w:rsidRDefault="00D0444E" w:rsidP="00D0444E"/>
    <w:tbl>
      <w:tblPr>
        <w:tblW w:w="93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87"/>
      </w:tblGrid>
      <w:tr w:rsidR="00D0444E" w:rsidRPr="00BB3760" w14:paraId="605BC6E1" w14:textId="77777777" w:rsidTr="00D73F6A">
        <w:trPr>
          <w:trHeight w:val="288"/>
          <w:jc w:val="center"/>
        </w:trPr>
        <w:tc>
          <w:tcPr>
            <w:tcW w:w="9387" w:type="dxa"/>
            <w:shd w:val="clear" w:color="auto" w:fill="BFBFBF" w:themeFill="background1" w:themeFillShade="BF"/>
            <w:vAlign w:val="center"/>
          </w:tcPr>
          <w:p w14:paraId="04FC5BD6" w14:textId="2AD4FBC7" w:rsidR="00D0444E" w:rsidRPr="0001518E" w:rsidRDefault="00DD04D6" w:rsidP="00D73F6A">
            <w:pPr>
              <w:pStyle w:val="Heading6"/>
            </w:pPr>
            <w:r>
              <w:rPr>
                <w:rFonts w:ascii="ZWAdobeF" w:hAnsi="ZWAdobeF" w:cs="ZWAdobeF"/>
                <w:b w:val="0"/>
                <w:color w:val="auto"/>
                <w:sz w:val="2"/>
                <w:szCs w:val="2"/>
              </w:rPr>
              <w:t>5B</w:t>
            </w:r>
            <w:r w:rsidR="00953060">
              <w:rPr>
                <w:rFonts w:ascii="ZWAdobeF" w:hAnsi="ZWAdobeF" w:cs="ZWAdobeF"/>
                <w:b w:val="0"/>
                <w:color w:val="auto"/>
                <w:sz w:val="2"/>
                <w:szCs w:val="2"/>
              </w:rPr>
              <w:t>5B</w:t>
            </w:r>
            <w:r w:rsidR="00E453C7">
              <w:rPr>
                <w:rFonts w:ascii="ZWAdobeF" w:hAnsi="ZWAdobeF" w:cs="ZWAdobeF"/>
                <w:b w:val="0"/>
                <w:color w:val="auto"/>
                <w:sz w:val="2"/>
                <w:szCs w:val="2"/>
              </w:rPr>
              <w:t>5B</w:t>
            </w:r>
            <w:r w:rsidR="006255A6">
              <w:rPr>
                <w:rFonts w:ascii="ZWAdobeF" w:hAnsi="ZWAdobeF" w:cs="ZWAdobeF"/>
                <w:b w:val="0"/>
                <w:color w:val="auto"/>
                <w:sz w:val="2"/>
                <w:szCs w:val="2"/>
              </w:rPr>
              <w:t>5B</w:t>
            </w:r>
            <w:r w:rsidR="00B55C41">
              <w:rPr>
                <w:rFonts w:ascii="ZWAdobeF" w:hAnsi="ZWAdobeF" w:cs="ZWAdobeF"/>
                <w:b w:val="0"/>
                <w:color w:val="auto"/>
                <w:sz w:val="2"/>
                <w:szCs w:val="2"/>
              </w:rPr>
              <w:t>5B</w:t>
            </w:r>
            <w:r w:rsidR="00C2087D">
              <w:rPr>
                <w:rFonts w:ascii="ZWAdobeF" w:hAnsi="ZWAdobeF" w:cs="ZWAdobeF"/>
                <w:b w:val="0"/>
                <w:color w:val="auto"/>
                <w:sz w:val="2"/>
                <w:szCs w:val="2"/>
              </w:rPr>
              <w:t>5B</w:t>
            </w:r>
            <w:r w:rsidR="004C7557">
              <w:rPr>
                <w:rFonts w:ascii="ZWAdobeF" w:hAnsi="ZWAdobeF" w:cs="ZWAdobeF"/>
                <w:b w:val="0"/>
                <w:color w:val="auto"/>
                <w:sz w:val="2"/>
                <w:szCs w:val="2"/>
              </w:rPr>
              <w:t>5B</w:t>
            </w:r>
            <w:r w:rsidR="00BF053F">
              <w:rPr>
                <w:rFonts w:ascii="ZWAdobeF" w:hAnsi="ZWAdobeF" w:cs="ZWAdobeF"/>
                <w:b w:val="0"/>
                <w:color w:val="auto"/>
                <w:sz w:val="2"/>
                <w:szCs w:val="2"/>
              </w:rPr>
              <w:t>5B</w:t>
            </w:r>
            <w:bookmarkStart w:id="433" w:name="mixedacuityspecs"/>
            <w:bookmarkEnd w:id="433"/>
            <w:r w:rsidR="00D0444E" w:rsidRPr="0001518E">
              <w:t>Mixed Acuity Adult or Pediatric Medical, Surgical, or Med-Surg Units (questions #1</w:t>
            </w:r>
            <w:r w:rsidR="00DB0BB1">
              <w:t>0</w:t>
            </w:r>
            <w:r w:rsidR="00D0444E" w:rsidRPr="0001518E">
              <w:t>-1</w:t>
            </w:r>
            <w:r w:rsidR="00DB0BB1">
              <w:t>2</w:t>
            </w:r>
            <w:r w:rsidR="00D0444E" w:rsidRPr="0001518E">
              <w:t>)</w:t>
            </w:r>
          </w:p>
        </w:tc>
      </w:tr>
      <w:tr w:rsidR="00010550" w:rsidRPr="00BB3760" w14:paraId="1CA66B03" w14:textId="77777777" w:rsidTr="00D73F6A">
        <w:trPr>
          <w:jc w:val="center"/>
        </w:trPr>
        <w:tc>
          <w:tcPr>
            <w:tcW w:w="9387" w:type="dxa"/>
            <w:vAlign w:val="center"/>
          </w:tcPr>
          <w:p w14:paraId="3B14C632" w14:textId="77777777" w:rsidR="00DB0BB1" w:rsidRDefault="00DB0BB1" w:rsidP="00DB0BB1">
            <w:pPr>
              <w:rPr>
                <w:rFonts w:cs="Arial"/>
                <w:b/>
                <w:bCs/>
              </w:rPr>
            </w:pPr>
            <w:r>
              <w:rPr>
                <w:rFonts w:cs="Arial"/>
                <w:b/>
                <w:bCs/>
              </w:rPr>
              <w:t>Question #10: D</w:t>
            </w:r>
            <w:r w:rsidRPr="00B67426">
              <w:rPr>
                <w:rFonts w:cs="Arial"/>
                <w:b/>
                <w:bCs/>
              </w:rPr>
              <w:t xml:space="preserve">oes your hospital operate at least one adult or pediatric mixed acuity Medical, Surgical, or Med-Surg Unit? </w:t>
            </w:r>
          </w:p>
          <w:p w14:paraId="27044448" w14:textId="77777777" w:rsidR="00DB0BB1" w:rsidRDefault="00DB0BB1" w:rsidP="00DB0BB1">
            <w:pPr>
              <w:rPr>
                <w:rFonts w:cs="Arial"/>
                <w:b/>
                <w:bCs/>
              </w:rPr>
            </w:pPr>
          </w:p>
          <w:p w14:paraId="69BC4902" w14:textId="77777777" w:rsidR="00DB0BB1" w:rsidRPr="00F51B1C" w:rsidRDefault="00DB0BB1" w:rsidP="00DB0BB1">
            <w:pPr>
              <w:rPr>
                <w:rFonts w:cs="Arial"/>
              </w:rPr>
            </w:pPr>
            <w:r w:rsidRPr="00F51B1C">
              <w:rPr>
                <w:rFonts w:cs="Arial"/>
              </w:rPr>
              <w:t xml:space="preserve">Leapfrog has aligned with the National Database of Nursing Quality Indicators’ (NDNQI) unit definitions below.   </w:t>
            </w:r>
          </w:p>
          <w:p w14:paraId="7749BD2C" w14:textId="77777777" w:rsidR="00DB0BB1" w:rsidRDefault="00DB0BB1" w:rsidP="00DB0BB1">
            <w:pPr>
              <w:rPr>
                <w:rFonts w:cs="Arial"/>
                <w:b/>
                <w:bCs/>
              </w:rPr>
            </w:pPr>
          </w:p>
          <w:p w14:paraId="62EB2CF4" w14:textId="77777777" w:rsidR="00DB0BB1" w:rsidRDefault="00DB0BB1" w:rsidP="00DB0BB1">
            <w:pPr>
              <w:rPr>
                <w:rFonts w:cs="Arial"/>
                <w:b/>
                <w:bCs/>
              </w:rPr>
            </w:pPr>
            <w:r w:rsidRPr="00B67426">
              <w:rPr>
                <w:rFonts w:cs="Arial"/>
                <w:b/>
                <w:bCs/>
              </w:rPr>
              <w:t xml:space="preserve">Mixed Acuity Medical, Surgical and Med-Surg Units (adult and pediatric): </w:t>
            </w:r>
          </w:p>
          <w:p w14:paraId="73288319" w14:textId="77777777" w:rsidR="00DB0BB1" w:rsidRDefault="00DB0BB1" w:rsidP="00DB0BB1">
            <w:pPr>
              <w:rPr>
                <w:rFonts w:cs="Arial"/>
              </w:rPr>
            </w:pPr>
            <w:r w:rsidRPr="00F51B1C">
              <w:rPr>
                <w:rFonts w:cs="Arial"/>
              </w:rPr>
              <w:t xml:space="preserve">A unit where more than 10% of patients receive varying levels of care.  </w:t>
            </w:r>
          </w:p>
          <w:p w14:paraId="743A5CF3" w14:textId="77777777" w:rsidR="00DB0BB1" w:rsidRDefault="00DB0BB1" w:rsidP="00DB0BB1">
            <w:pPr>
              <w:rPr>
                <w:rFonts w:cs="Arial"/>
                <w:b/>
                <w:bCs/>
              </w:rPr>
            </w:pPr>
          </w:p>
          <w:p w14:paraId="7E0CD4AE" w14:textId="77777777" w:rsidR="00DB0BB1" w:rsidRPr="00D404B5" w:rsidRDefault="00DB0BB1" w:rsidP="00DB0BB1">
            <w:pPr>
              <w:rPr>
                <w:rFonts w:cs="Arial"/>
                <w:b/>
                <w:bCs/>
              </w:rPr>
            </w:pPr>
            <w:r w:rsidRPr="00D404B5">
              <w:rPr>
                <w:rFonts w:cs="Arial"/>
                <w:b/>
                <w:bCs/>
              </w:rPr>
              <w:t xml:space="preserve">Excluded units: </w:t>
            </w:r>
          </w:p>
          <w:p w14:paraId="4D480189" w14:textId="77777777" w:rsidR="00DB0BB1" w:rsidRPr="00F51B1C" w:rsidRDefault="00DB0BB1" w:rsidP="00DB0BB1">
            <w:pPr>
              <w:rPr>
                <w:rFonts w:cs="Arial"/>
              </w:rPr>
            </w:pPr>
            <w:r w:rsidRPr="00F51B1C">
              <w:rPr>
                <w:rFonts w:cs="Arial"/>
              </w:rPr>
              <w:t xml:space="preserve">• Cardiac </w:t>
            </w:r>
          </w:p>
          <w:p w14:paraId="5E6FB504" w14:textId="77777777" w:rsidR="00DB0BB1" w:rsidRPr="00F51B1C" w:rsidRDefault="00DB0BB1" w:rsidP="00DB0BB1">
            <w:pPr>
              <w:rPr>
                <w:rFonts w:cs="Arial"/>
              </w:rPr>
            </w:pPr>
            <w:r w:rsidRPr="00F51B1C">
              <w:rPr>
                <w:rFonts w:cs="Arial"/>
              </w:rPr>
              <w:t xml:space="preserve">• Neurology </w:t>
            </w:r>
          </w:p>
          <w:p w14:paraId="29F1B6AD" w14:textId="77777777" w:rsidR="00834070" w:rsidRDefault="00DB0BB1" w:rsidP="00834070">
            <w:pPr>
              <w:rPr>
                <w:rFonts w:cs="Arial"/>
              </w:rPr>
            </w:pPr>
            <w:r w:rsidRPr="00F51B1C">
              <w:rPr>
                <w:rFonts w:cs="Arial"/>
              </w:rPr>
              <w:t xml:space="preserve">• Hematology/Oncology </w:t>
            </w:r>
          </w:p>
          <w:p w14:paraId="7D9E3A5F" w14:textId="7E7D6FD9" w:rsidR="00834070" w:rsidRPr="00834070" w:rsidRDefault="00834070" w:rsidP="00C51EE9">
            <w:pPr>
              <w:rPr>
                <w:rFonts w:cs="Arial"/>
              </w:rPr>
            </w:pPr>
            <w:r w:rsidRPr="00F51B1C">
              <w:rPr>
                <w:rFonts w:cs="Arial"/>
              </w:rPr>
              <w:t>•</w:t>
            </w:r>
            <w:r>
              <w:rPr>
                <w:rFonts w:cs="Arial"/>
              </w:rPr>
              <w:t xml:space="preserve"> </w:t>
            </w:r>
            <w:r w:rsidRPr="00834070">
              <w:rPr>
                <w:rFonts w:cs="Arial"/>
              </w:rPr>
              <w:t>Neonatal</w:t>
            </w:r>
          </w:p>
          <w:p w14:paraId="3A32517D" w14:textId="2AF2BB01" w:rsidR="00834070" w:rsidRPr="00834070" w:rsidRDefault="00834070" w:rsidP="00C51EE9">
            <w:pPr>
              <w:rPr>
                <w:rFonts w:cs="Arial"/>
              </w:rPr>
            </w:pPr>
            <w:r w:rsidRPr="00F51B1C">
              <w:rPr>
                <w:rFonts w:cs="Arial"/>
              </w:rPr>
              <w:t>•</w:t>
            </w:r>
            <w:r>
              <w:rPr>
                <w:rFonts w:cs="Arial"/>
              </w:rPr>
              <w:t xml:space="preserve"> </w:t>
            </w:r>
            <w:r w:rsidRPr="00834070">
              <w:rPr>
                <w:rFonts w:cs="Arial"/>
              </w:rPr>
              <w:t>Critical Care</w:t>
            </w:r>
          </w:p>
          <w:p w14:paraId="1A796F5B" w14:textId="77777777" w:rsidR="00DB0BB1" w:rsidRPr="00F51B1C" w:rsidRDefault="00DB0BB1" w:rsidP="00DB0BB1">
            <w:pPr>
              <w:rPr>
                <w:rFonts w:cs="Arial"/>
              </w:rPr>
            </w:pPr>
            <w:r w:rsidRPr="00F51B1C">
              <w:rPr>
                <w:rFonts w:cs="Arial"/>
              </w:rPr>
              <w:t xml:space="preserve">• Critical Access (a unit where more than 10% of beds are for skilled nursing (swing beds)) </w:t>
            </w:r>
          </w:p>
          <w:p w14:paraId="3FB1BAC5" w14:textId="77777777" w:rsidR="00DB0BB1" w:rsidRPr="00F51B1C" w:rsidRDefault="00DB0BB1" w:rsidP="00DB0BB1">
            <w:pPr>
              <w:rPr>
                <w:rFonts w:cs="Arial"/>
              </w:rPr>
            </w:pPr>
            <w:r w:rsidRPr="00F51B1C">
              <w:rPr>
                <w:rFonts w:cs="Arial"/>
              </w:rPr>
              <w:t xml:space="preserve">• Units with fewer than 15 patient days per month for all 3 months of any quarter of the reporting period </w:t>
            </w:r>
          </w:p>
          <w:p w14:paraId="546E0AF0" w14:textId="2056E0B3" w:rsidR="00010550" w:rsidRPr="00C41959" w:rsidRDefault="00DB0BB1" w:rsidP="00DB0BB1">
            <w:pPr>
              <w:rPr>
                <w:rFonts w:cs="Arial"/>
                <w:b/>
                <w:bCs/>
              </w:rPr>
            </w:pPr>
            <w:r w:rsidRPr="00F51B1C">
              <w:rPr>
                <w:rFonts w:cs="Arial"/>
              </w:rPr>
              <w:t>• Units that transitioned to an excluded unit type during the reporting period (e.g., a mixed acuity Medical Unit transitioned to a critical care unit during the reporting period)</w:t>
            </w:r>
          </w:p>
        </w:tc>
      </w:tr>
      <w:tr w:rsidR="00D0444E" w:rsidRPr="00BB3760" w14:paraId="045294AF" w14:textId="77777777" w:rsidTr="00D73F6A">
        <w:trPr>
          <w:jc w:val="center"/>
        </w:trPr>
        <w:tc>
          <w:tcPr>
            <w:tcW w:w="9387" w:type="dxa"/>
            <w:vAlign w:val="center"/>
          </w:tcPr>
          <w:p w14:paraId="27D8419B" w14:textId="1DDDB9C1" w:rsidR="00D0444E" w:rsidRPr="00C41959" w:rsidRDefault="00D0444E" w:rsidP="00D73F6A">
            <w:pPr>
              <w:rPr>
                <w:rFonts w:cs="Arial"/>
                <w:b/>
                <w:bCs/>
              </w:rPr>
            </w:pPr>
            <w:r w:rsidRPr="00C41959">
              <w:rPr>
                <w:rFonts w:cs="Arial"/>
                <w:b/>
                <w:bCs/>
              </w:rPr>
              <w:t>Question #1</w:t>
            </w:r>
            <w:r w:rsidR="00DB4CE9">
              <w:rPr>
                <w:rFonts w:cs="Arial"/>
                <w:b/>
                <w:bCs/>
              </w:rPr>
              <w:t>1</w:t>
            </w:r>
            <w:r w:rsidRPr="00C41959">
              <w:rPr>
                <w:rFonts w:cs="Arial"/>
                <w:b/>
                <w:bCs/>
              </w:rPr>
              <w:t>: What type(s) of adult and/or pediatric mixed acuity Medical, Surgical or Med-Surg Units does your hospital operate?</w:t>
            </w:r>
          </w:p>
          <w:p w14:paraId="2E59B259" w14:textId="77777777" w:rsidR="00D0444E" w:rsidRDefault="00D0444E" w:rsidP="00D73F6A">
            <w:pPr>
              <w:rPr>
                <w:rFonts w:cs="Arial"/>
              </w:rPr>
            </w:pPr>
          </w:p>
          <w:p w14:paraId="421BCE68" w14:textId="77777777" w:rsidR="00D0444E" w:rsidRDefault="00D0444E" w:rsidP="00D73F6A">
            <w:pPr>
              <w:autoSpaceDE w:val="0"/>
              <w:autoSpaceDN w:val="0"/>
              <w:adjustRightInd w:val="0"/>
              <w:rPr>
                <w:rFonts w:cs="Arial"/>
              </w:rPr>
            </w:pPr>
            <w:r w:rsidRPr="00B35777">
              <w:rPr>
                <w:rFonts w:cs="Arial"/>
              </w:rPr>
              <w:t xml:space="preserve">Leapfrog has aligned with the National Database of Nursing Quality Indicators’ (NDNQI) unit definitions below. </w:t>
            </w:r>
          </w:p>
          <w:p w14:paraId="3FCA4FF6" w14:textId="77777777" w:rsidR="00D0444E" w:rsidRPr="00B35777" w:rsidRDefault="00D0444E" w:rsidP="00D73F6A">
            <w:pPr>
              <w:autoSpaceDE w:val="0"/>
              <w:autoSpaceDN w:val="0"/>
              <w:adjustRightInd w:val="0"/>
              <w:rPr>
                <w:rFonts w:cs="Arial"/>
              </w:rPr>
            </w:pPr>
          </w:p>
          <w:p w14:paraId="4F6A6496" w14:textId="77777777" w:rsidR="00D0444E" w:rsidRPr="008E03C7" w:rsidRDefault="00D0444E" w:rsidP="00D73F6A">
            <w:pPr>
              <w:autoSpaceDE w:val="0"/>
              <w:autoSpaceDN w:val="0"/>
              <w:adjustRightInd w:val="0"/>
              <w:rPr>
                <w:rFonts w:cs="Arial"/>
                <w:b/>
                <w:bCs/>
              </w:rPr>
            </w:pPr>
            <w:r w:rsidRPr="008E03C7">
              <w:rPr>
                <w:rFonts w:cs="Arial"/>
                <w:b/>
                <w:bCs/>
              </w:rPr>
              <w:t>High Acuity Medical, Surgical and Med-Surg Units:</w:t>
            </w:r>
          </w:p>
          <w:p w14:paraId="3FA1AEA0" w14:textId="77777777" w:rsidR="00D0444E" w:rsidRDefault="00D0444E" w:rsidP="00D73F6A">
            <w:pPr>
              <w:autoSpaceDE w:val="0"/>
              <w:autoSpaceDN w:val="0"/>
              <w:adjustRightInd w:val="0"/>
              <w:rPr>
                <w:rFonts w:cs="Arial"/>
              </w:rPr>
            </w:pPr>
            <w:r w:rsidRPr="00451533">
              <w:rPr>
                <w:rFonts w:cs="Arial"/>
              </w:rPr>
              <w:t>A mixed acuity unit in which 50-89% of the patients are critical care and the remaining 11-49% can be any other acuity level.</w:t>
            </w:r>
          </w:p>
          <w:p w14:paraId="38B50BB0" w14:textId="77777777" w:rsidR="00D0444E" w:rsidRDefault="00D0444E" w:rsidP="00D73F6A">
            <w:pPr>
              <w:autoSpaceDE w:val="0"/>
              <w:autoSpaceDN w:val="0"/>
              <w:adjustRightInd w:val="0"/>
              <w:rPr>
                <w:rFonts w:cs="Arial"/>
              </w:rPr>
            </w:pPr>
          </w:p>
          <w:p w14:paraId="2EF13E4B" w14:textId="77777777" w:rsidR="00D0444E" w:rsidRPr="008E03C7" w:rsidRDefault="00D0444E" w:rsidP="00D73F6A">
            <w:pPr>
              <w:autoSpaceDE w:val="0"/>
              <w:autoSpaceDN w:val="0"/>
              <w:adjustRightInd w:val="0"/>
              <w:rPr>
                <w:rFonts w:cs="Arial"/>
                <w:b/>
                <w:bCs/>
              </w:rPr>
            </w:pPr>
            <w:r w:rsidRPr="008E03C7">
              <w:rPr>
                <w:rFonts w:cs="Arial"/>
                <w:b/>
                <w:bCs/>
              </w:rPr>
              <w:t>Moderate Acuity Medical, Surgical and Med-Surg Units:</w:t>
            </w:r>
          </w:p>
          <w:p w14:paraId="77EF9A16" w14:textId="7B500C4B" w:rsidR="00D0444E" w:rsidRPr="00451533" w:rsidRDefault="00D0444E" w:rsidP="00D73F6A">
            <w:pPr>
              <w:autoSpaceDE w:val="0"/>
              <w:autoSpaceDN w:val="0"/>
              <w:adjustRightInd w:val="0"/>
              <w:rPr>
                <w:rFonts w:cs="Arial"/>
              </w:rPr>
            </w:pPr>
            <w:r w:rsidRPr="00451533">
              <w:rPr>
                <w:rFonts w:cs="Arial"/>
              </w:rPr>
              <w:t>A mixed acuity unit in which 25-49% of the patients are critical care OR 50-89% of the patients are step down care. The remaining percent</w:t>
            </w:r>
            <w:r w:rsidR="006B768E">
              <w:rPr>
                <w:rFonts w:cs="Arial"/>
              </w:rPr>
              <w:t>age</w:t>
            </w:r>
            <w:r w:rsidRPr="00451533">
              <w:rPr>
                <w:rFonts w:cs="Arial"/>
              </w:rPr>
              <w:t xml:space="preserve"> can be any other acuity level.</w:t>
            </w:r>
          </w:p>
          <w:p w14:paraId="3DF72BD6" w14:textId="77777777" w:rsidR="00D0444E" w:rsidRPr="00451533" w:rsidRDefault="00D0444E" w:rsidP="00D73F6A">
            <w:pPr>
              <w:autoSpaceDE w:val="0"/>
              <w:autoSpaceDN w:val="0"/>
              <w:adjustRightInd w:val="0"/>
              <w:rPr>
                <w:rFonts w:cs="Arial"/>
              </w:rPr>
            </w:pPr>
          </w:p>
          <w:p w14:paraId="4E5995AC" w14:textId="77777777" w:rsidR="00D0444E" w:rsidRPr="008E03C7" w:rsidRDefault="00D0444E" w:rsidP="00D73F6A">
            <w:pPr>
              <w:autoSpaceDE w:val="0"/>
              <w:autoSpaceDN w:val="0"/>
              <w:adjustRightInd w:val="0"/>
              <w:rPr>
                <w:rFonts w:cs="Arial"/>
                <w:b/>
                <w:bCs/>
              </w:rPr>
            </w:pPr>
            <w:r w:rsidRPr="008E03C7">
              <w:rPr>
                <w:rFonts w:cs="Arial"/>
                <w:b/>
                <w:bCs/>
              </w:rPr>
              <w:t>Blended Acuity Medical, Surgical and Med-Surg Units:</w:t>
            </w:r>
          </w:p>
          <w:p w14:paraId="5DCFB4A9" w14:textId="77777777" w:rsidR="00D0444E" w:rsidRPr="00366E5A" w:rsidRDefault="00D0444E" w:rsidP="00D73F6A">
            <w:pPr>
              <w:autoSpaceDE w:val="0"/>
              <w:autoSpaceDN w:val="0"/>
              <w:adjustRightInd w:val="0"/>
            </w:pPr>
            <w:r w:rsidRPr="00451533">
              <w:rPr>
                <w:rFonts w:cs="Arial"/>
              </w:rPr>
              <w:t xml:space="preserve">A mixed acuity acute care unit in which less than 90% of the patients receive a single acuity level of care, less than 50% receive step down care, and less than 25% receive critical care. </w:t>
            </w:r>
          </w:p>
        </w:tc>
      </w:tr>
      <w:tr w:rsidR="00D0444E" w:rsidRPr="00BB3760" w14:paraId="096B5B2E" w14:textId="77777777" w:rsidTr="00D73F6A">
        <w:trPr>
          <w:jc w:val="center"/>
        </w:trPr>
        <w:tc>
          <w:tcPr>
            <w:tcW w:w="9387" w:type="dxa"/>
            <w:vAlign w:val="center"/>
          </w:tcPr>
          <w:p w14:paraId="6F1EB684" w14:textId="42E7D6C8" w:rsidR="00D0444E" w:rsidRDefault="00D0444E" w:rsidP="00D73F6A">
            <w:pPr>
              <w:rPr>
                <w:rFonts w:cs="Arial"/>
                <w:b/>
                <w:bCs/>
              </w:rPr>
            </w:pPr>
            <w:r>
              <w:rPr>
                <w:rFonts w:cs="Arial"/>
                <w:b/>
                <w:bCs/>
              </w:rPr>
              <w:t>Question #1</w:t>
            </w:r>
            <w:r w:rsidR="00DB0BB1">
              <w:rPr>
                <w:rFonts w:cs="Arial"/>
                <w:b/>
                <w:bCs/>
              </w:rPr>
              <w:t>2 or</w:t>
            </w:r>
            <w:r w:rsidR="00CA4B7D">
              <w:rPr>
                <w:rFonts w:cs="Arial"/>
                <w:b/>
                <w:bCs/>
              </w:rPr>
              <w:t xml:space="preserve"> Question #1</w:t>
            </w:r>
            <w:r w:rsidR="00016E28">
              <w:rPr>
                <w:rFonts w:cs="Arial"/>
                <w:b/>
                <w:bCs/>
              </w:rPr>
              <w:t>4</w:t>
            </w:r>
            <w:r>
              <w:rPr>
                <w:rFonts w:cs="Arial"/>
                <w:b/>
                <w:bCs/>
              </w:rPr>
              <w:t xml:space="preserve">: </w:t>
            </w:r>
            <w:r w:rsidRPr="00C41959">
              <w:rPr>
                <w:rFonts w:cs="Arial"/>
                <w:b/>
                <w:bCs/>
              </w:rPr>
              <w:t>Mixed Acuity Medical, Surgical and Med-Surg Units</w:t>
            </w:r>
          </w:p>
          <w:p w14:paraId="084CE7F5" w14:textId="77777777" w:rsidR="00D0444E" w:rsidRPr="00C41959" w:rsidRDefault="00D0444E" w:rsidP="00D73F6A">
            <w:pPr>
              <w:rPr>
                <w:rFonts w:cs="Arial"/>
                <w:b/>
                <w:bCs/>
              </w:rPr>
            </w:pPr>
            <w:r w:rsidRPr="00BB3760">
              <w:rPr>
                <w:rFonts w:cs="Arial"/>
              </w:rPr>
              <w:t>Enter your hospital’s responses for each quarter for all adult and pediatric mixed acuity Medical, Surgical and Med-Surg Units for the reporting period selected in question #1</w:t>
            </w:r>
            <w:r>
              <w:rPr>
                <w:rFonts w:cs="Arial"/>
              </w:rPr>
              <w:t>.</w:t>
            </w:r>
          </w:p>
        </w:tc>
      </w:tr>
      <w:tr w:rsidR="00D0444E" w:rsidRPr="00BB3760" w14:paraId="6CFC6507" w14:textId="77777777" w:rsidTr="00D73F6A">
        <w:trPr>
          <w:jc w:val="center"/>
        </w:trPr>
        <w:tc>
          <w:tcPr>
            <w:tcW w:w="9387" w:type="dxa"/>
            <w:vAlign w:val="center"/>
          </w:tcPr>
          <w:p w14:paraId="76959786" w14:textId="3220EFD1" w:rsidR="00D0444E" w:rsidRPr="004A2859" w:rsidRDefault="00D0444E" w:rsidP="00D73F6A">
            <w:pPr>
              <w:autoSpaceDE w:val="0"/>
              <w:autoSpaceDN w:val="0"/>
              <w:adjustRightInd w:val="0"/>
              <w:rPr>
                <w:rFonts w:cs="Arial"/>
              </w:rPr>
            </w:pPr>
            <w:r w:rsidRPr="0086796B">
              <w:rPr>
                <w:rFonts w:cs="Arial"/>
                <w:b/>
                <w:bCs/>
              </w:rPr>
              <w:t>Question #1</w:t>
            </w:r>
            <w:r w:rsidR="0077336B">
              <w:rPr>
                <w:rFonts w:cs="Arial"/>
                <w:b/>
                <w:bCs/>
              </w:rPr>
              <w:t>2</w:t>
            </w:r>
            <w:r w:rsidRPr="0086796B">
              <w:rPr>
                <w:rFonts w:cs="Arial"/>
                <w:b/>
                <w:bCs/>
              </w:rPr>
              <w:t>(a)</w:t>
            </w:r>
            <w:r w:rsidR="004F1E09">
              <w:rPr>
                <w:rFonts w:cs="Arial"/>
                <w:b/>
                <w:bCs/>
              </w:rPr>
              <w:t xml:space="preserve"> or </w:t>
            </w:r>
            <w:r w:rsidR="004F1E09" w:rsidRPr="0086796B">
              <w:rPr>
                <w:rFonts w:cs="Arial"/>
                <w:b/>
                <w:bCs/>
              </w:rPr>
              <w:t>Question #1</w:t>
            </w:r>
            <w:r w:rsidR="00016E28">
              <w:rPr>
                <w:rFonts w:cs="Arial"/>
                <w:b/>
                <w:bCs/>
              </w:rPr>
              <w:t>4</w:t>
            </w:r>
            <w:r w:rsidR="004F1E09" w:rsidRPr="0086796B">
              <w:rPr>
                <w:rFonts w:cs="Arial"/>
                <w:b/>
                <w:bCs/>
              </w:rPr>
              <w:t>(a)</w:t>
            </w:r>
            <w:r w:rsidRPr="0086796B">
              <w:rPr>
                <w:rFonts w:cs="Arial"/>
                <w:b/>
                <w:bCs/>
              </w:rPr>
              <w:t>:</w:t>
            </w:r>
            <w:r w:rsidRPr="00445CB7">
              <w:rPr>
                <w:rFonts w:cs="Arial"/>
              </w:rPr>
              <w:t xml:space="preserve"> Total number of patient days </w:t>
            </w:r>
            <w:r>
              <w:rPr>
                <w:rFonts w:cs="Arial"/>
              </w:rPr>
              <w:t>across</w:t>
            </w:r>
            <w:r w:rsidRPr="00445CB7">
              <w:rPr>
                <w:rFonts w:cs="Arial"/>
              </w:rPr>
              <w:t xml:space="preserve"> all </w:t>
            </w:r>
            <w:r>
              <w:rPr>
                <w:rFonts w:cs="Arial"/>
              </w:rPr>
              <w:t xml:space="preserve">adult and pediatric </w:t>
            </w:r>
            <w:r w:rsidRPr="001F0B72">
              <w:rPr>
                <w:rFonts w:cs="Arial"/>
                <w:b/>
                <w:bCs/>
              </w:rPr>
              <w:t>mixed acuity Medical, Surgical and Med-Surg Units</w:t>
            </w:r>
            <w:r w:rsidRPr="00445CB7">
              <w:rPr>
                <w:rFonts w:cs="Arial"/>
              </w:rPr>
              <w:t xml:space="preserve"> </w:t>
            </w:r>
            <w:r>
              <w:rPr>
                <w:rFonts w:cs="Arial"/>
              </w:rPr>
              <w:t>for</w:t>
            </w:r>
            <w:r w:rsidRPr="00445CB7">
              <w:rPr>
                <w:rFonts w:cs="Arial"/>
              </w:rPr>
              <w:t xml:space="preserve"> each quarter </w:t>
            </w:r>
            <w:r>
              <w:rPr>
                <w:rFonts w:cs="Arial"/>
              </w:rPr>
              <w:t xml:space="preserve">included in the reporting period </w:t>
            </w:r>
            <w:r w:rsidRPr="00445CB7">
              <w:rPr>
                <w:rFonts w:cs="Arial"/>
              </w:rPr>
              <w:t>based on your hospital’s method for counting patient days.</w:t>
            </w:r>
          </w:p>
          <w:p w14:paraId="63E2E923" w14:textId="77777777" w:rsidR="00D0444E" w:rsidRPr="00BB3760" w:rsidRDefault="00D0444E" w:rsidP="00D73F6A">
            <w:pPr>
              <w:autoSpaceDE w:val="0"/>
              <w:autoSpaceDN w:val="0"/>
              <w:adjustRightInd w:val="0"/>
              <w:rPr>
                <w:rFonts w:cs="Arial"/>
              </w:rPr>
            </w:pPr>
          </w:p>
          <w:p w14:paraId="1316CE7E" w14:textId="77777777" w:rsidR="00D0444E" w:rsidRPr="004A2859" w:rsidRDefault="00D0444E" w:rsidP="00D73F6A">
            <w:pPr>
              <w:autoSpaceDE w:val="0"/>
              <w:autoSpaceDN w:val="0"/>
              <w:adjustRightInd w:val="0"/>
              <w:rPr>
                <w:rFonts w:cs="Arial"/>
              </w:rPr>
            </w:pPr>
            <w:r w:rsidRPr="00BB3760">
              <w:rPr>
                <w:rFonts w:cs="Arial"/>
              </w:rPr>
              <w:t xml:space="preserve">Patient days should be calculated to include all patients in </w:t>
            </w:r>
            <w:r>
              <w:rPr>
                <w:rFonts w:cs="Arial"/>
              </w:rPr>
              <w:t xml:space="preserve">all </w:t>
            </w:r>
            <w:r w:rsidRPr="00F83852">
              <w:rPr>
                <w:rFonts w:cs="Arial"/>
              </w:rPr>
              <w:t xml:space="preserve">adult </w:t>
            </w:r>
            <w:r>
              <w:rPr>
                <w:rFonts w:cs="Arial"/>
              </w:rPr>
              <w:t>and</w:t>
            </w:r>
            <w:r w:rsidRPr="00F83852">
              <w:rPr>
                <w:rFonts w:cs="Arial"/>
              </w:rPr>
              <w:t xml:space="preserve"> pediatric </w:t>
            </w:r>
            <w:r w:rsidRPr="00B8679E">
              <w:rPr>
                <w:rFonts w:cs="Arial"/>
              </w:rPr>
              <w:t>mixed acuity Medical, Surgical or Med-Surg Units</w:t>
            </w:r>
            <w:r w:rsidRPr="00BB3760">
              <w:rPr>
                <w:rFonts w:cs="Arial"/>
              </w:rPr>
              <w:t>. This includes patients that do not have inpatient status (i.e., observation patients).</w:t>
            </w:r>
          </w:p>
        </w:tc>
      </w:tr>
      <w:tr w:rsidR="00D0444E" w:rsidRPr="00BB3760" w14:paraId="7D42203C" w14:textId="77777777" w:rsidTr="00D73F6A">
        <w:trPr>
          <w:trHeight w:val="144"/>
          <w:jc w:val="center"/>
        </w:trPr>
        <w:tc>
          <w:tcPr>
            <w:tcW w:w="9387" w:type="dxa"/>
            <w:tcBorders>
              <w:bottom w:val="single" w:sz="4" w:space="0" w:color="auto"/>
            </w:tcBorders>
            <w:vAlign w:val="center"/>
          </w:tcPr>
          <w:p w14:paraId="29BCB2A8" w14:textId="026E3ED7" w:rsidR="00D0444E" w:rsidRPr="00BB3760" w:rsidRDefault="00D0444E" w:rsidP="00D73F6A">
            <w:pPr>
              <w:autoSpaceDE w:val="0"/>
              <w:autoSpaceDN w:val="0"/>
              <w:adjustRightInd w:val="0"/>
              <w:rPr>
                <w:rFonts w:cs="Arial"/>
              </w:rPr>
            </w:pPr>
            <w:r w:rsidRPr="0086796B">
              <w:rPr>
                <w:rFonts w:cs="Arial"/>
                <w:b/>
                <w:bCs/>
              </w:rPr>
              <w:t>Question #1</w:t>
            </w:r>
            <w:r w:rsidR="0077336B">
              <w:rPr>
                <w:rFonts w:cs="Arial"/>
                <w:b/>
                <w:bCs/>
              </w:rPr>
              <w:t>2</w:t>
            </w:r>
            <w:r w:rsidRPr="0086796B">
              <w:rPr>
                <w:rFonts w:cs="Arial"/>
                <w:b/>
                <w:bCs/>
              </w:rPr>
              <w:t>(b)</w:t>
            </w:r>
            <w:r w:rsidR="00CE0D43">
              <w:rPr>
                <w:rFonts w:cs="Arial"/>
                <w:b/>
                <w:bCs/>
              </w:rPr>
              <w:t xml:space="preserve"> or </w:t>
            </w:r>
            <w:r w:rsidR="00CE0D43" w:rsidRPr="0086796B">
              <w:rPr>
                <w:rFonts w:cs="Arial"/>
                <w:b/>
                <w:bCs/>
              </w:rPr>
              <w:t>Question #1</w:t>
            </w:r>
            <w:r w:rsidR="00016E28">
              <w:rPr>
                <w:rFonts w:cs="Arial"/>
                <w:b/>
                <w:bCs/>
              </w:rPr>
              <w:t>4</w:t>
            </w:r>
            <w:r w:rsidR="00CE0D43" w:rsidRPr="0086796B">
              <w:rPr>
                <w:rFonts w:cs="Arial"/>
                <w:b/>
                <w:bCs/>
              </w:rPr>
              <w:t>(</w:t>
            </w:r>
            <w:r w:rsidR="00CE0D43">
              <w:rPr>
                <w:rFonts w:cs="Arial"/>
                <w:b/>
                <w:bCs/>
              </w:rPr>
              <w:t>b</w:t>
            </w:r>
            <w:r w:rsidR="00CE0D43" w:rsidRPr="0086796B">
              <w:rPr>
                <w:rFonts w:cs="Arial"/>
                <w:b/>
                <w:bCs/>
              </w:rPr>
              <w:t>)</w:t>
            </w:r>
            <w:r w:rsidRPr="0086796B">
              <w:rPr>
                <w:rFonts w:cs="Arial"/>
                <w:b/>
                <w:bCs/>
              </w:rPr>
              <w:t>:</w:t>
            </w:r>
            <w:r w:rsidRPr="00BB3760">
              <w:rPr>
                <w:rFonts w:cs="Arial"/>
              </w:rPr>
              <w:t xml:space="preserve"> Total number of productive hours worked by employe</w:t>
            </w:r>
            <w:r>
              <w:rPr>
                <w:rFonts w:cs="Arial"/>
              </w:rPr>
              <w:t>d</w:t>
            </w:r>
            <w:r w:rsidRPr="00BB3760">
              <w:rPr>
                <w:rFonts w:cs="Arial"/>
              </w:rPr>
              <w:t xml:space="preserve"> and contract</w:t>
            </w:r>
            <w:r>
              <w:rPr>
                <w:rFonts w:cs="Arial"/>
              </w:rPr>
              <w:t>ed</w:t>
            </w:r>
            <w:r w:rsidRPr="00BB3760">
              <w:rPr>
                <w:rFonts w:cs="Arial"/>
              </w:rPr>
              <w:t xml:space="preserve"> </w:t>
            </w:r>
            <w:r w:rsidRPr="00BB3760">
              <w:rPr>
                <w:rFonts w:cs="Arial"/>
                <w:b/>
                <w:bCs/>
              </w:rPr>
              <w:t>nursing staff (RN, LPN/LVN, and UAP)</w:t>
            </w:r>
            <w:r w:rsidRPr="00BB3760">
              <w:rPr>
                <w:rFonts w:cs="Arial"/>
              </w:rPr>
              <w:t xml:space="preserve"> with direct patient care responsibilities in all</w:t>
            </w:r>
            <w:r>
              <w:rPr>
                <w:rFonts w:cs="Arial"/>
              </w:rPr>
              <w:t xml:space="preserve"> adult and pediatric</w:t>
            </w:r>
            <w:r w:rsidRPr="00BB3760">
              <w:rPr>
                <w:rFonts w:cs="Arial"/>
              </w:rPr>
              <w:t xml:space="preserve"> </w:t>
            </w:r>
            <w:r w:rsidRPr="0002250C">
              <w:rPr>
                <w:rFonts w:cs="Arial"/>
                <w:b/>
                <w:bCs/>
              </w:rPr>
              <w:t>mixed acuity Medical, Surgical, and Med-Surg Units</w:t>
            </w:r>
            <w:r w:rsidRPr="00BB3760">
              <w:rPr>
                <w:rFonts w:cs="Arial"/>
              </w:rPr>
              <w:t xml:space="preserve"> in each quarter.</w:t>
            </w:r>
          </w:p>
          <w:p w14:paraId="471EAD46" w14:textId="77777777" w:rsidR="00D0444E" w:rsidRPr="00BB3760" w:rsidRDefault="00D0444E" w:rsidP="00D73F6A">
            <w:pPr>
              <w:autoSpaceDE w:val="0"/>
              <w:autoSpaceDN w:val="0"/>
              <w:adjustRightInd w:val="0"/>
              <w:rPr>
                <w:rFonts w:cs="Arial"/>
              </w:rPr>
            </w:pPr>
          </w:p>
          <w:p w14:paraId="7EEA32E3" w14:textId="77777777" w:rsidR="00D0444E" w:rsidRPr="006230B8" w:rsidRDefault="00D0444E" w:rsidP="00D73F6A">
            <w:pPr>
              <w:autoSpaceDE w:val="0"/>
              <w:autoSpaceDN w:val="0"/>
              <w:adjustRightInd w:val="0"/>
              <w:rPr>
                <w:rFonts w:cs="Arial"/>
                <w:b/>
                <w:bCs/>
                <w:u w:val="single"/>
              </w:rPr>
            </w:pPr>
            <w:r w:rsidRPr="006230B8">
              <w:rPr>
                <w:rFonts w:cs="Arial"/>
                <w:b/>
                <w:bCs/>
                <w:u w:val="single"/>
              </w:rPr>
              <w:t>Productive Hours</w:t>
            </w:r>
          </w:p>
          <w:p w14:paraId="79AF3435" w14:textId="77777777" w:rsidR="00D0444E" w:rsidRPr="006230B8" w:rsidRDefault="00D0444E" w:rsidP="00D73F6A">
            <w:pPr>
              <w:autoSpaceDE w:val="0"/>
              <w:autoSpaceDN w:val="0"/>
              <w:adjustRightInd w:val="0"/>
              <w:rPr>
                <w:rFonts w:cs="Arial"/>
              </w:rPr>
            </w:pPr>
          </w:p>
          <w:p w14:paraId="5172DE4C" w14:textId="77777777" w:rsidR="00D0444E" w:rsidRPr="006230B8" w:rsidRDefault="00D0444E" w:rsidP="00D73F6A">
            <w:pPr>
              <w:autoSpaceDE w:val="0"/>
              <w:autoSpaceDN w:val="0"/>
              <w:adjustRightInd w:val="0"/>
              <w:rPr>
                <w:rFonts w:cs="Arial"/>
              </w:rPr>
            </w:pPr>
            <w:r w:rsidRPr="006230B8">
              <w:rPr>
                <w:rFonts w:cs="Arial"/>
                <w:b/>
                <w:bCs/>
              </w:rPr>
              <w:t>Include</w:t>
            </w:r>
            <w:r w:rsidRPr="006230B8">
              <w:rPr>
                <w:rFonts w:cs="Arial"/>
              </w:rPr>
              <w:t xml:space="preserve"> the following hours worked by employe</w:t>
            </w:r>
            <w:r>
              <w:rPr>
                <w:rFonts w:cs="Arial"/>
              </w:rPr>
              <w:t>d</w:t>
            </w:r>
            <w:r w:rsidRPr="006230B8">
              <w:rPr>
                <w:rFonts w:cs="Arial"/>
              </w:rPr>
              <w:t xml:space="preserve"> and contract</w:t>
            </w:r>
            <w:r>
              <w:rPr>
                <w:rFonts w:cs="Arial"/>
              </w:rPr>
              <w:t>ed</w:t>
            </w:r>
            <w:r w:rsidRPr="006230B8">
              <w:rPr>
                <w:rFonts w:cs="Arial"/>
              </w:rPr>
              <w:t xml:space="preserve"> RNs, LPN/LVNs, and UAPs:</w:t>
            </w:r>
          </w:p>
          <w:p w14:paraId="3EC6EBFE" w14:textId="77777777" w:rsidR="00D0444E" w:rsidRPr="006230B8" w:rsidRDefault="00D0444E" w:rsidP="00AD309C">
            <w:pPr>
              <w:pStyle w:val="ListParagraph"/>
              <w:numPr>
                <w:ilvl w:val="0"/>
                <w:numId w:val="373"/>
              </w:numPr>
              <w:autoSpaceDE w:val="0"/>
              <w:autoSpaceDN w:val="0"/>
              <w:adjustRightInd w:val="0"/>
              <w:rPr>
                <w:rFonts w:cs="Arial"/>
              </w:rPr>
            </w:pPr>
            <w:r w:rsidRPr="006230B8">
              <w:rPr>
                <w:rFonts w:cs="Arial"/>
              </w:rPr>
              <w:t>Actual direct patient care hours worked by nursing staff</w:t>
            </w:r>
          </w:p>
          <w:p w14:paraId="705835B4" w14:textId="77777777" w:rsidR="00D0444E" w:rsidRPr="006230B8" w:rsidRDefault="00D0444E" w:rsidP="00AD309C">
            <w:pPr>
              <w:pStyle w:val="ListParagraph"/>
              <w:numPr>
                <w:ilvl w:val="0"/>
                <w:numId w:val="373"/>
              </w:numPr>
              <w:autoSpaceDE w:val="0"/>
              <w:autoSpaceDN w:val="0"/>
              <w:adjustRightInd w:val="0"/>
              <w:rPr>
                <w:rFonts w:cs="Arial"/>
              </w:rPr>
            </w:pPr>
            <w:r w:rsidRPr="006230B8">
              <w:rPr>
                <w:rFonts w:cs="Arial"/>
              </w:rPr>
              <w:t>Overtime spent performing direct patient care</w:t>
            </w:r>
          </w:p>
          <w:p w14:paraId="031130B5" w14:textId="77777777" w:rsidR="00D0444E" w:rsidRPr="006230B8" w:rsidRDefault="00D0444E" w:rsidP="00AD309C">
            <w:pPr>
              <w:pStyle w:val="ListParagraph"/>
              <w:numPr>
                <w:ilvl w:val="0"/>
                <w:numId w:val="373"/>
              </w:numPr>
              <w:autoSpaceDE w:val="0"/>
              <w:autoSpaceDN w:val="0"/>
              <w:adjustRightInd w:val="0"/>
              <w:rPr>
                <w:rFonts w:cs="Arial"/>
              </w:rPr>
            </w:pPr>
            <w:r w:rsidRPr="006230B8">
              <w:rPr>
                <w:rFonts w:cs="Arial"/>
              </w:rPr>
              <w:t>Orientation hours for new hires that are considered part of the unit’s staffing matrix, whose work hours are charged to the unit’s cost center, and who would be replaced if they called out sick</w:t>
            </w:r>
          </w:p>
          <w:p w14:paraId="45863C09" w14:textId="16A76768" w:rsidR="00D0444E" w:rsidRPr="006230B8" w:rsidRDefault="00B46857" w:rsidP="00AD309C">
            <w:pPr>
              <w:pStyle w:val="ListParagraph"/>
              <w:numPr>
                <w:ilvl w:val="0"/>
                <w:numId w:val="373"/>
              </w:numPr>
              <w:autoSpaceDE w:val="0"/>
              <w:autoSpaceDN w:val="0"/>
              <w:adjustRightInd w:val="0"/>
              <w:rPr>
                <w:rFonts w:cs="Arial"/>
              </w:rPr>
            </w:pPr>
            <w:r w:rsidRPr="002B788A">
              <w:rPr>
                <w:rFonts w:cs="Arial"/>
              </w:rPr>
              <w:t>Sitter hours authorized for both physical touch and direct patient care intervention</w:t>
            </w:r>
          </w:p>
          <w:p w14:paraId="49BA0C86" w14:textId="77777777" w:rsidR="00D0444E" w:rsidRPr="006230B8" w:rsidRDefault="00D0444E" w:rsidP="00D73F6A">
            <w:pPr>
              <w:autoSpaceDE w:val="0"/>
              <w:autoSpaceDN w:val="0"/>
              <w:adjustRightInd w:val="0"/>
              <w:rPr>
                <w:rFonts w:cs="Arial"/>
              </w:rPr>
            </w:pPr>
          </w:p>
          <w:p w14:paraId="017F46B4" w14:textId="77777777" w:rsidR="00D0444E" w:rsidRPr="006230B8" w:rsidRDefault="00D0444E" w:rsidP="00D73F6A">
            <w:pPr>
              <w:autoSpaceDE w:val="0"/>
              <w:autoSpaceDN w:val="0"/>
              <w:adjustRightInd w:val="0"/>
              <w:rPr>
                <w:rFonts w:cs="Arial"/>
              </w:rPr>
            </w:pPr>
            <w:r w:rsidRPr="006230B8">
              <w:rPr>
                <w:rFonts w:cs="Arial"/>
                <w:b/>
                <w:bCs/>
              </w:rPr>
              <w:t>Exclude</w:t>
            </w:r>
            <w:r w:rsidRPr="006230B8">
              <w:rPr>
                <w:rFonts w:cs="Arial"/>
              </w:rPr>
              <w:t xml:space="preserve"> the following hours worked by employe</w:t>
            </w:r>
            <w:r>
              <w:rPr>
                <w:rFonts w:cs="Arial"/>
              </w:rPr>
              <w:t>d</w:t>
            </w:r>
            <w:r w:rsidRPr="006230B8">
              <w:rPr>
                <w:rFonts w:cs="Arial"/>
              </w:rPr>
              <w:t xml:space="preserve"> and contract</w:t>
            </w:r>
            <w:r>
              <w:rPr>
                <w:rFonts w:cs="Arial"/>
              </w:rPr>
              <w:t>ed</w:t>
            </w:r>
            <w:r w:rsidRPr="006230B8">
              <w:rPr>
                <w:rFonts w:cs="Arial"/>
              </w:rPr>
              <w:t xml:space="preserve"> RN, LPN/LVN, and UAP:</w:t>
            </w:r>
          </w:p>
          <w:p w14:paraId="0AC80896" w14:textId="77777777" w:rsidR="00D0444E" w:rsidRPr="006230B8" w:rsidRDefault="00D0444E" w:rsidP="00AD309C">
            <w:pPr>
              <w:pStyle w:val="ListParagraph"/>
              <w:numPr>
                <w:ilvl w:val="0"/>
                <w:numId w:val="374"/>
              </w:numPr>
              <w:autoSpaceDE w:val="0"/>
              <w:autoSpaceDN w:val="0"/>
              <w:adjustRightInd w:val="0"/>
              <w:rPr>
                <w:rFonts w:cs="Arial"/>
              </w:rPr>
            </w:pPr>
            <w:r w:rsidRPr="006230B8">
              <w:rPr>
                <w:rFonts w:cs="Arial"/>
              </w:rPr>
              <w:t>Budgeted or scheduled hours</w:t>
            </w:r>
          </w:p>
          <w:p w14:paraId="36FE27E1" w14:textId="77777777" w:rsidR="00D0444E" w:rsidRPr="006230B8" w:rsidRDefault="00D0444E" w:rsidP="00AD309C">
            <w:pPr>
              <w:pStyle w:val="ListParagraph"/>
              <w:numPr>
                <w:ilvl w:val="0"/>
                <w:numId w:val="374"/>
              </w:numPr>
              <w:autoSpaceDE w:val="0"/>
              <w:autoSpaceDN w:val="0"/>
              <w:adjustRightInd w:val="0"/>
              <w:rPr>
                <w:rFonts w:cs="Arial"/>
              </w:rPr>
            </w:pPr>
            <w:r w:rsidRPr="006230B8">
              <w:rPr>
                <w:rFonts w:cs="Arial"/>
              </w:rPr>
              <w:t>Vacation time, sick time, education leave, or committee time</w:t>
            </w:r>
          </w:p>
          <w:p w14:paraId="4F4CA95C" w14:textId="77777777" w:rsidR="00D0444E" w:rsidRPr="006230B8" w:rsidRDefault="00D0444E" w:rsidP="00AD309C">
            <w:pPr>
              <w:pStyle w:val="ListParagraph"/>
              <w:numPr>
                <w:ilvl w:val="0"/>
                <w:numId w:val="374"/>
              </w:numPr>
              <w:autoSpaceDE w:val="0"/>
              <w:autoSpaceDN w:val="0"/>
              <w:adjustRightInd w:val="0"/>
              <w:rPr>
                <w:rFonts w:cs="Arial"/>
              </w:rPr>
            </w:pPr>
            <w:r w:rsidRPr="006230B8">
              <w:rPr>
                <w:rFonts w:cs="Arial"/>
              </w:rPr>
              <w:t>Orientation hours for new hires that are not considered part of the unit’s staffing matrix, whose work hours are not charged to the unit’s cost center, and would not be replaced if they call out sick</w:t>
            </w:r>
          </w:p>
          <w:p w14:paraId="4B09FCA6" w14:textId="77777777" w:rsidR="00D0444E" w:rsidRPr="006230B8" w:rsidRDefault="00D0444E" w:rsidP="00AD309C">
            <w:pPr>
              <w:pStyle w:val="ListParagraph"/>
              <w:numPr>
                <w:ilvl w:val="0"/>
                <w:numId w:val="374"/>
              </w:numPr>
              <w:autoSpaceDE w:val="0"/>
              <w:autoSpaceDN w:val="0"/>
              <w:adjustRightInd w:val="0"/>
              <w:rPr>
                <w:rFonts w:cs="Arial"/>
              </w:rPr>
            </w:pPr>
            <w:r w:rsidRPr="006230B8">
              <w:rPr>
                <w:rFonts w:cs="Arial"/>
              </w:rPr>
              <w:t>Hours from when the unit was staffed but there were no patients in the unit</w:t>
            </w:r>
          </w:p>
          <w:p w14:paraId="592E380E" w14:textId="77777777" w:rsidR="00D0444E" w:rsidRPr="006230B8" w:rsidRDefault="00D0444E" w:rsidP="00AD309C">
            <w:pPr>
              <w:pStyle w:val="ListParagraph"/>
              <w:numPr>
                <w:ilvl w:val="1"/>
                <w:numId w:val="374"/>
              </w:numPr>
              <w:autoSpaceDE w:val="0"/>
              <w:autoSpaceDN w:val="0"/>
              <w:adjustRightInd w:val="0"/>
              <w:rPr>
                <w:rFonts w:cs="Arial"/>
              </w:rPr>
            </w:pPr>
            <w:r w:rsidRPr="006230B8">
              <w:rPr>
                <w:rFonts w:cs="Arial"/>
              </w:rPr>
              <w:t>If these nursing hours cannot be removed, then the unit should not be included.</w:t>
            </w:r>
          </w:p>
          <w:p w14:paraId="5D29636D" w14:textId="77777777" w:rsidR="00D0444E" w:rsidRDefault="00D0444E" w:rsidP="00AD309C">
            <w:pPr>
              <w:pStyle w:val="ListParagraph"/>
              <w:numPr>
                <w:ilvl w:val="0"/>
                <w:numId w:val="374"/>
              </w:numPr>
              <w:autoSpaceDE w:val="0"/>
              <w:autoSpaceDN w:val="0"/>
              <w:adjustRightInd w:val="0"/>
              <w:rPr>
                <w:rFonts w:cs="Arial"/>
              </w:rPr>
            </w:pPr>
            <w:r w:rsidRPr="006230B8">
              <w:rPr>
                <w:rFonts w:cs="Arial"/>
              </w:rPr>
              <w:t>Virtual or remote hours</w:t>
            </w:r>
          </w:p>
          <w:p w14:paraId="6D81A258" w14:textId="121342B7" w:rsidR="00F76C34" w:rsidRDefault="003D0EF6" w:rsidP="00AD309C">
            <w:pPr>
              <w:pStyle w:val="ListParagraph"/>
              <w:numPr>
                <w:ilvl w:val="0"/>
                <w:numId w:val="374"/>
              </w:numPr>
              <w:autoSpaceDE w:val="0"/>
              <w:autoSpaceDN w:val="0"/>
              <w:adjustRightInd w:val="0"/>
              <w:rPr>
                <w:rFonts w:cs="Arial"/>
              </w:rPr>
            </w:pPr>
            <w:r w:rsidRPr="00467DAF">
              <w:rPr>
                <w:rFonts w:cs="Arial"/>
              </w:rPr>
              <w:t>Sitter hours without authorization for both physical touch and direct patient care intervention</w:t>
            </w:r>
          </w:p>
          <w:p w14:paraId="2CCB52D2" w14:textId="77777777" w:rsidR="006C39A3" w:rsidRPr="00DE088C" w:rsidRDefault="006C39A3" w:rsidP="0020604E">
            <w:pPr>
              <w:pStyle w:val="ListParagraph"/>
              <w:autoSpaceDE w:val="0"/>
              <w:autoSpaceDN w:val="0"/>
              <w:adjustRightInd w:val="0"/>
              <w:rPr>
                <w:rFonts w:cs="Arial"/>
              </w:rPr>
            </w:pPr>
          </w:p>
          <w:p w14:paraId="5B559C34" w14:textId="77777777" w:rsidR="00D0444E" w:rsidRPr="006230B8" w:rsidRDefault="00D0444E" w:rsidP="00D73F6A">
            <w:pPr>
              <w:autoSpaceDE w:val="0"/>
              <w:autoSpaceDN w:val="0"/>
              <w:adjustRightInd w:val="0"/>
              <w:rPr>
                <w:rFonts w:cs="Arial"/>
                <w:b/>
                <w:bCs/>
                <w:u w:val="single"/>
              </w:rPr>
            </w:pPr>
            <w:r w:rsidRPr="006230B8">
              <w:rPr>
                <w:rFonts w:cs="Arial"/>
                <w:b/>
                <w:bCs/>
                <w:u w:val="single"/>
              </w:rPr>
              <w:t>Employe</w:t>
            </w:r>
            <w:r>
              <w:rPr>
                <w:rFonts w:cs="Arial"/>
                <w:b/>
                <w:bCs/>
                <w:u w:val="single"/>
              </w:rPr>
              <w:t>d</w:t>
            </w:r>
            <w:r w:rsidRPr="006230B8">
              <w:rPr>
                <w:rFonts w:cs="Arial"/>
                <w:b/>
                <w:bCs/>
                <w:u w:val="single"/>
              </w:rPr>
              <w:t xml:space="preserve"> and Contract</w:t>
            </w:r>
            <w:r>
              <w:rPr>
                <w:rFonts w:cs="Arial"/>
                <w:b/>
                <w:bCs/>
                <w:u w:val="single"/>
              </w:rPr>
              <w:t>ed</w:t>
            </w:r>
            <w:r w:rsidRPr="006230B8">
              <w:rPr>
                <w:rFonts w:cs="Arial"/>
                <w:b/>
                <w:bCs/>
                <w:u w:val="single"/>
              </w:rPr>
              <w:t xml:space="preserve"> Nursing Staff</w:t>
            </w:r>
          </w:p>
          <w:p w14:paraId="7E564C88" w14:textId="77777777" w:rsidR="00D0444E" w:rsidRPr="006230B8" w:rsidRDefault="00D0444E" w:rsidP="00D73F6A">
            <w:pPr>
              <w:autoSpaceDE w:val="0"/>
              <w:autoSpaceDN w:val="0"/>
              <w:adjustRightInd w:val="0"/>
              <w:rPr>
                <w:rFonts w:cs="Arial"/>
              </w:rPr>
            </w:pPr>
          </w:p>
          <w:p w14:paraId="4FC2EED9" w14:textId="77777777" w:rsidR="00D0444E" w:rsidRPr="006230B8" w:rsidRDefault="00D0444E" w:rsidP="00D73F6A">
            <w:pPr>
              <w:autoSpaceDE w:val="0"/>
              <w:autoSpaceDN w:val="0"/>
              <w:adjustRightInd w:val="0"/>
              <w:rPr>
                <w:rFonts w:cs="Arial"/>
              </w:rPr>
            </w:pPr>
            <w:r w:rsidRPr="006230B8">
              <w:rPr>
                <w:rFonts w:cs="Arial"/>
                <w:b/>
                <w:bCs/>
              </w:rPr>
              <w:t>Include</w:t>
            </w:r>
            <w:r w:rsidRPr="006230B8">
              <w:rPr>
                <w:rFonts w:cs="Arial"/>
              </w:rPr>
              <w:t xml:space="preserve"> the following RN, LPN/LVN, and UAP nursing staff:</w:t>
            </w:r>
          </w:p>
          <w:p w14:paraId="0451D4FA" w14:textId="77777777" w:rsidR="00D0444E" w:rsidRPr="006230B8" w:rsidRDefault="00D0444E" w:rsidP="00AD309C">
            <w:pPr>
              <w:pStyle w:val="ListParagraph"/>
              <w:numPr>
                <w:ilvl w:val="0"/>
                <w:numId w:val="375"/>
              </w:numPr>
              <w:autoSpaceDE w:val="0"/>
              <w:autoSpaceDN w:val="0"/>
              <w:adjustRightInd w:val="0"/>
              <w:rPr>
                <w:rFonts w:cs="Arial"/>
              </w:rPr>
            </w:pPr>
            <w:r w:rsidRPr="006230B8">
              <w:rPr>
                <w:rFonts w:cs="Arial"/>
              </w:rPr>
              <w:t>Staff employed by the hospital</w:t>
            </w:r>
          </w:p>
          <w:p w14:paraId="52641BA3" w14:textId="77777777" w:rsidR="00D0444E" w:rsidRPr="006230B8" w:rsidRDefault="00D0444E" w:rsidP="00AD309C">
            <w:pPr>
              <w:pStyle w:val="ListParagraph"/>
              <w:numPr>
                <w:ilvl w:val="0"/>
                <w:numId w:val="375"/>
              </w:numPr>
              <w:autoSpaceDE w:val="0"/>
              <w:autoSpaceDN w:val="0"/>
              <w:adjustRightInd w:val="0"/>
              <w:rPr>
                <w:rFonts w:cs="Arial"/>
              </w:rPr>
            </w:pPr>
            <w:r w:rsidRPr="006230B8">
              <w:rPr>
                <w:rFonts w:cs="Arial"/>
              </w:rPr>
              <w:t>Temporary staff who are not employed by the hospital (i.e., contracted/agency staff)</w:t>
            </w:r>
          </w:p>
          <w:p w14:paraId="65852B7B" w14:textId="77777777" w:rsidR="00D0444E" w:rsidRPr="006230B8" w:rsidRDefault="00D0444E" w:rsidP="00AD309C">
            <w:pPr>
              <w:pStyle w:val="ListParagraph"/>
              <w:numPr>
                <w:ilvl w:val="0"/>
                <w:numId w:val="375"/>
              </w:numPr>
              <w:autoSpaceDE w:val="0"/>
              <w:autoSpaceDN w:val="0"/>
              <w:adjustRightInd w:val="0"/>
              <w:rPr>
                <w:rFonts w:cs="Arial"/>
              </w:rPr>
            </w:pPr>
            <w:r w:rsidRPr="006230B8">
              <w:rPr>
                <w:rFonts w:cs="Arial"/>
              </w:rPr>
              <w:t>Float staff who are assigned to a unit other than their unit of employment on an as-needed basis if they are assigned direct patient care responsibilities</w:t>
            </w:r>
          </w:p>
          <w:p w14:paraId="40E203C5" w14:textId="77777777" w:rsidR="00D0444E" w:rsidRPr="006230B8" w:rsidRDefault="00D0444E" w:rsidP="00AD309C">
            <w:pPr>
              <w:pStyle w:val="ListParagraph"/>
              <w:numPr>
                <w:ilvl w:val="0"/>
                <w:numId w:val="375"/>
              </w:numPr>
              <w:autoSpaceDE w:val="0"/>
              <w:autoSpaceDN w:val="0"/>
              <w:adjustRightInd w:val="0"/>
              <w:rPr>
                <w:rFonts w:cs="Arial"/>
              </w:rPr>
            </w:pPr>
            <w:r w:rsidRPr="006230B8">
              <w:rPr>
                <w:rFonts w:cs="Arial"/>
              </w:rPr>
              <w:t>Staff who are counted in the unit’s staffing matrix, are replaced if they call out sick, and whose work hours are charged to the unit’s cost center</w:t>
            </w:r>
          </w:p>
          <w:p w14:paraId="39B78099" w14:textId="77777777" w:rsidR="00D0444E" w:rsidRPr="006230B8" w:rsidRDefault="00D0444E" w:rsidP="00D73F6A">
            <w:pPr>
              <w:autoSpaceDE w:val="0"/>
              <w:autoSpaceDN w:val="0"/>
              <w:adjustRightInd w:val="0"/>
              <w:rPr>
                <w:rFonts w:cs="Arial"/>
              </w:rPr>
            </w:pPr>
          </w:p>
          <w:p w14:paraId="4FCD33DD" w14:textId="77777777" w:rsidR="00D0444E" w:rsidRPr="006230B8" w:rsidRDefault="00D0444E" w:rsidP="00D73F6A">
            <w:pPr>
              <w:autoSpaceDE w:val="0"/>
              <w:autoSpaceDN w:val="0"/>
              <w:adjustRightInd w:val="0"/>
              <w:rPr>
                <w:rFonts w:cs="Arial"/>
              </w:rPr>
            </w:pPr>
            <w:r w:rsidRPr="006230B8">
              <w:rPr>
                <w:rFonts w:cs="Arial"/>
                <w:b/>
                <w:bCs/>
              </w:rPr>
              <w:t>Exclude</w:t>
            </w:r>
            <w:r w:rsidRPr="006230B8">
              <w:rPr>
                <w:rFonts w:cs="Arial"/>
              </w:rPr>
              <w:t xml:space="preserve"> the following RN, LPN/LVN, and UAP nursing staff:</w:t>
            </w:r>
          </w:p>
          <w:p w14:paraId="0E4B8DAA" w14:textId="77777777" w:rsidR="00D0444E" w:rsidRPr="006230B8" w:rsidRDefault="00D0444E" w:rsidP="00AD309C">
            <w:pPr>
              <w:pStyle w:val="ListParagraph"/>
              <w:numPr>
                <w:ilvl w:val="0"/>
                <w:numId w:val="376"/>
              </w:numPr>
              <w:autoSpaceDE w:val="0"/>
              <w:autoSpaceDN w:val="0"/>
              <w:adjustRightInd w:val="0"/>
              <w:rPr>
                <w:rFonts w:cs="Arial"/>
              </w:rPr>
            </w:pPr>
            <w:r w:rsidRPr="006230B8">
              <w:rPr>
                <w:rFonts w:cs="Arial"/>
              </w:rPr>
              <w:t>Nursing staff whose primary responsibility is administrative in nature (at least 50% of their time is administrative)</w:t>
            </w:r>
          </w:p>
          <w:p w14:paraId="03866736" w14:textId="77777777" w:rsidR="00D0444E" w:rsidRPr="006230B8" w:rsidRDefault="00D0444E" w:rsidP="00AD309C">
            <w:pPr>
              <w:pStyle w:val="ListParagraph"/>
              <w:numPr>
                <w:ilvl w:val="0"/>
                <w:numId w:val="376"/>
              </w:numPr>
              <w:autoSpaceDE w:val="0"/>
              <w:autoSpaceDN w:val="0"/>
              <w:adjustRightInd w:val="0"/>
              <w:rPr>
                <w:rFonts w:cs="Arial"/>
              </w:rPr>
            </w:pPr>
            <w:r w:rsidRPr="006230B8">
              <w:rPr>
                <w:rFonts w:cs="Arial"/>
              </w:rPr>
              <w:t>Specialty teams, patient educators, or case managers who are not assigned to a specific unit</w:t>
            </w:r>
          </w:p>
          <w:p w14:paraId="56323BC9" w14:textId="77777777" w:rsidR="00D0444E" w:rsidRPr="006230B8" w:rsidRDefault="00D0444E" w:rsidP="00AD309C">
            <w:pPr>
              <w:pStyle w:val="ListParagraph"/>
              <w:numPr>
                <w:ilvl w:val="0"/>
                <w:numId w:val="376"/>
              </w:numPr>
              <w:autoSpaceDE w:val="0"/>
              <w:autoSpaceDN w:val="0"/>
              <w:adjustRightInd w:val="0"/>
              <w:rPr>
                <w:rFonts w:cs="Arial"/>
              </w:rPr>
            </w:pPr>
            <w:r w:rsidRPr="006230B8">
              <w:rPr>
                <w:rFonts w:cs="Arial"/>
              </w:rPr>
              <w:t>Unit secretaries or clerks, monitor technicians, and others with no direct patient care responsibilities</w:t>
            </w:r>
          </w:p>
          <w:p w14:paraId="602C7E8F" w14:textId="77777777" w:rsidR="00D0444E" w:rsidRPr="006230B8" w:rsidRDefault="00D0444E" w:rsidP="00AD309C">
            <w:pPr>
              <w:pStyle w:val="ListParagraph"/>
              <w:numPr>
                <w:ilvl w:val="0"/>
                <w:numId w:val="376"/>
              </w:numPr>
              <w:autoSpaceDE w:val="0"/>
              <w:autoSpaceDN w:val="0"/>
              <w:adjustRightInd w:val="0"/>
              <w:rPr>
                <w:rFonts w:cs="Arial"/>
              </w:rPr>
            </w:pPr>
            <w:r w:rsidRPr="006230B8">
              <w:rPr>
                <w:rFonts w:cs="Arial"/>
              </w:rPr>
              <w:t>Advanced Practice Registered Nurses (APRNs), including certified nurse-midwife (CNM), clinical nurse specialist (CNS), certified nurse practitioner (CNP), and certified registered nurse anesthetist (CRNA)</w:t>
            </w:r>
          </w:p>
          <w:p w14:paraId="26002D69" w14:textId="77777777" w:rsidR="00D0444E" w:rsidRPr="003A5BED" w:rsidRDefault="00D0444E" w:rsidP="00D73F6A">
            <w:pPr>
              <w:autoSpaceDE w:val="0"/>
              <w:autoSpaceDN w:val="0"/>
              <w:adjustRightInd w:val="0"/>
              <w:rPr>
                <w:rFonts w:cs="Arial"/>
                <w:i/>
                <w:iCs/>
              </w:rPr>
            </w:pPr>
          </w:p>
          <w:p w14:paraId="6FDAD97A" w14:textId="52C6AC83" w:rsidR="00D0444E" w:rsidRPr="003A5BED" w:rsidRDefault="00DD04D6" w:rsidP="00D73F6A">
            <w:pPr>
              <w:pStyle w:val="Heading6"/>
              <w:rPr>
                <w:rFonts w:eastAsiaTheme="minorHAnsi"/>
                <w:b w:val="0"/>
                <w:bCs/>
                <w:i/>
                <w:iCs/>
              </w:rPr>
            </w:pPr>
            <w:r>
              <w:rPr>
                <w:rFonts w:ascii="ZWAdobeF" w:eastAsiaTheme="minorHAnsi" w:hAnsi="ZWAdobeF" w:cs="ZWAdobeF"/>
                <w:b w:val="0"/>
                <w:bCs/>
                <w:iCs/>
                <w:color w:val="auto"/>
                <w:sz w:val="2"/>
                <w:szCs w:val="2"/>
              </w:rPr>
              <w:t>6B</w:t>
            </w:r>
            <w:r w:rsidR="00953060">
              <w:rPr>
                <w:rFonts w:ascii="ZWAdobeF" w:eastAsiaTheme="minorHAnsi" w:hAnsi="ZWAdobeF" w:cs="ZWAdobeF"/>
                <w:b w:val="0"/>
                <w:bCs/>
                <w:iCs/>
                <w:color w:val="auto"/>
                <w:sz w:val="2"/>
                <w:szCs w:val="2"/>
              </w:rPr>
              <w:t>6B</w:t>
            </w:r>
            <w:r w:rsidR="00E453C7">
              <w:rPr>
                <w:rFonts w:ascii="ZWAdobeF" w:eastAsiaTheme="minorHAnsi" w:hAnsi="ZWAdobeF" w:cs="ZWAdobeF"/>
                <w:b w:val="0"/>
                <w:bCs/>
                <w:iCs/>
                <w:color w:val="auto"/>
                <w:sz w:val="2"/>
                <w:szCs w:val="2"/>
              </w:rPr>
              <w:t>6B</w:t>
            </w:r>
            <w:r w:rsidR="006255A6">
              <w:rPr>
                <w:rFonts w:ascii="ZWAdobeF" w:eastAsiaTheme="minorHAnsi" w:hAnsi="ZWAdobeF" w:cs="ZWAdobeF"/>
                <w:b w:val="0"/>
                <w:bCs/>
                <w:iCs/>
                <w:color w:val="auto"/>
                <w:sz w:val="2"/>
                <w:szCs w:val="2"/>
              </w:rPr>
              <w:t>6B</w:t>
            </w:r>
            <w:r w:rsidR="00B55C41">
              <w:rPr>
                <w:rFonts w:ascii="ZWAdobeF" w:eastAsiaTheme="minorHAnsi" w:hAnsi="ZWAdobeF" w:cs="ZWAdobeF"/>
                <w:b w:val="0"/>
                <w:bCs/>
                <w:iCs/>
                <w:color w:val="auto"/>
                <w:sz w:val="2"/>
                <w:szCs w:val="2"/>
              </w:rPr>
              <w:t>6B</w:t>
            </w:r>
            <w:r w:rsidR="00C2087D">
              <w:rPr>
                <w:rFonts w:ascii="ZWAdobeF" w:eastAsiaTheme="minorHAnsi" w:hAnsi="ZWAdobeF" w:cs="ZWAdobeF"/>
                <w:b w:val="0"/>
                <w:bCs/>
                <w:iCs/>
                <w:color w:val="auto"/>
                <w:sz w:val="2"/>
                <w:szCs w:val="2"/>
              </w:rPr>
              <w:t>6B</w:t>
            </w:r>
            <w:r w:rsidR="004C7557">
              <w:rPr>
                <w:rFonts w:ascii="ZWAdobeF" w:eastAsiaTheme="minorHAnsi" w:hAnsi="ZWAdobeF" w:cs="ZWAdobeF"/>
                <w:b w:val="0"/>
                <w:bCs/>
                <w:iCs/>
                <w:color w:val="auto"/>
                <w:sz w:val="2"/>
                <w:szCs w:val="2"/>
              </w:rPr>
              <w:t>6B</w:t>
            </w:r>
            <w:r w:rsidR="00BF053F">
              <w:rPr>
                <w:rFonts w:ascii="ZWAdobeF" w:eastAsiaTheme="minorHAnsi" w:hAnsi="ZWAdobeF" w:cs="ZWAdobeF"/>
                <w:b w:val="0"/>
                <w:bCs/>
                <w:iCs/>
                <w:color w:val="auto"/>
                <w:sz w:val="2"/>
                <w:szCs w:val="2"/>
              </w:rPr>
              <w:t>6B</w:t>
            </w:r>
            <w:r w:rsidR="00D0444E" w:rsidRPr="003A5BED">
              <w:rPr>
                <w:rFonts w:eastAsiaTheme="minorHAnsi"/>
                <w:b w:val="0"/>
                <w:bCs/>
                <w:i/>
                <w:iCs/>
              </w:rPr>
              <w:t>A UAP is any unlicensed person, regardless of title, who performs tasks delegated by a nurse. This includes certified nursing aides/assistants (CNAs), patient care assistants (PCAs), patient care technicians (PCTs), state-tested nursing assistants (STNA), nursing assistants-registered (NA/Rs) or certified medication aides/assistants (MA-Cs).</w:t>
            </w:r>
          </w:p>
          <w:p w14:paraId="39D61056" w14:textId="77777777" w:rsidR="00D0444E" w:rsidRPr="006230B8" w:rsidRDefault="00D0444E" w:rsidP="00D73F6A">
            <w:pPr>
              <w:autoSpaceDE w:val="0"/>
              <w:autoSpaceDN w:val="0"/>
              <w:adjustRightInd w:val="0"/>
              <w:rPr>
                <w:rFonts w:cs="Arial"/>
              </w:rPr>
            </w:pPr>
          </w:p>
          <w:p w14:paraId="643D8630" w14:textId="77777777" w:rsidR="00D0444E" w:rsidRPr="006230B8" w:rsidRDefault="00D0444E" w:rsidP="00D73F6A">
            <w:pPr>
              <w:autoSpaceDE w:val="0"/>
              <w:autoSpaceDN w:val="0"/>
              <w:adjustRightInd w:val="0"/>
              <w:rPr>
                <w:rFonts w:cs="Arial"/>
                <w:b/>
                <w:bCs/>
                <w:u w:val="single"/>
              </w:rPr>
            </w:pPr>
            <w:r w:rsidRPr="006230B8">
              <w:rPr>
                <w:rFonts w:cs="Arial"/>
                <w:b/>
                <w:bCs/>
                <w:u w:val="single"/>
              </w:rPr>
              <w:t xml:space="preserve">Direct Patient Care Responsibilities </w:t>
            </w:r>
          </w:p>
          <w:p w14:paraId="2751BC33" w14:textId="77777777" w:rsidR="00D0444E" w:rsidRPr="006230B8" w:rsidRDefault="00D0444E" w:rsidP="00D73F6A">
            <w:pPr>
              <w:autoSpaceDE w:val="0"/>
              <w:autoSpaceDN w:val="0"/>
              <w:adjustRightInd w:val="0"/>
              <w:rPr>
                <w:rFonts w:cs="Arial"/>
              </w:rPr>
            </w:pPr>
          </w:p>
          <w:p w14:paraId="05ADC56D" w14:textId="77777777" w:rsidR="00D0444E" w:rsidRPr="006230B8" w:rsidRDefault="00D0444E" w:rsidP="00D73F6A">
            <w:pPr>
              <w:autoSpaceDE w:val="0"/>
              <w:autoSpaceDN w:val="0"/>
              <w:adjustRightInd w:val="0"/>
              <w:rPr>
                <w:rFonts w:cs="Arial"/>
              </w:rPr>
            </w:pPr>
            <w:r w:rsidRPr="006230B8">
              <w:rPr>
                <w:rFonts w:cs="Arial"/>
                <w:b/>
                <w:bCs/>
              </w:rPr>
              <w:t>Direct Patient Care Responsibilities</w:t>
            </w:r>
            <w:r w:rsidRPr="006230B8">
              <w:rPr>
                <w:rFonts w:cs="Arial"/>
              </w:rPr>
              <w:t xml:space="preserve"> are defined as patient centered nursing activities by hospital unit-based staff in the presence of the patient and activities that occur away from the patient that are patient related:</w:t>
            </w:r>
          </w:p>
          <w:p w14:paraId="767B925A" w14:textId="77777777" w:rsidR="00D0444E" w:rsidRPr="006230B8" w:rsidRDefault="00D0444E" w:rsidP="00AD309C">
            <w:pPr>
              <w:pStyle w:val="ListParagraph"/>
              <w:numPr>
                <w:ilvl w:val="0"/>
                <w:numId w:val="377"/>
              </w:numPr>
              <w:autoSpaceDE w:val="0"/>
              <w:autoSpaceDN w:val="0"/>
              <w:adjustRightInd w:val="0"/>
              <w:rPr>
                <w:rFonts w:cs="Arial"/>
              </w:rPr>
            </w:pPr>
            <w:r w:rsidRPr="006230B8">
              <w:rPr>
                <w:rFonts w:cs="Arial"/>
              </w:rPr>
              <w:t>Medication administration</w:t>
            </w:r>
          </w:p>
          <w:p w14:paraId="7DAA89E4" w14:textId="77777777" w:rsidR="00D0444E" w:rsidRPr="006230B8" w:rsidRDefault="00D0444E" w:rsidP="00AD309C">
            <w:pPr>
              <w:pStyle w:val="ListParagraph"/>
              <w:numPr>
                <w:ilvl w:val="0"/>
                <w:numId w:val="377"/>
              </w:numPr>
              <w:autoSpaceDE w:val="0"/>
              <w:autoSpaceDN w:val="0"/>
              <w:adjustRightInd w:val="0"/>
              <w:rPr>
                <w:rFonts w:cs="Arial"/>
              </w:rPr>
            </w:pPr>
            <w:r w:rsidRPr="006230B8">
              <w:rPr>
                <w:rFonts w:cs="Arial"/>
              </w:rPr>
              <w:t>Nursing treatments</w:t>
            </w:r>
          </w:p>
          <w:p w14:paraId="1278F222" w14:textId="77777777" w:rsidR="00D0444E" w:rsidRPr="006230B8" w:rsidRDefault="00D0444E" w:rsidP="00AD309C">
            <w:pPr>
              <w:pStyle w:val="ListParagraph"/>
              <w:numPr>
                <w:ilvl w:val="0"/>
                <w:numId w:val="377"/>
              </w:numPr>
              <w:autoSpaceDE w:val="0"/>
              <w:autoSpaceDN w:val="0"/>
              <w:adjustRightInd w:val="0"/>
              <w:rPr>
                <w:rFonts w:cs="Arial"/>
              </w:rPr>
            </w:pPr>
            <w:r w:rsidRPr="006230B8">
              <w:rPr>
                <w:rFonts w:cs="Arial"/>
              </w:rPr>
              <w:t>Nursing rounds</w:t>
            </w:r>
          </w:p>
          <w:p w14:paraId="44EDB108" w14:textId="77777777" w:rsidR="00D0444E" w:rsidRPr="006230B8" w:rsidRDefault="00D0444E" w:rsidP="00AD309C">
            <w:pPr>
              <w:pStyle w:val="ListParagraph"/>
              <w:numPr>
                <w:ilvl w:val="0"/>
                <w:numId w:val="377"/>
              </w:numPr>
              <w:autoSpaceDE w:val="0"/>
              <w:autoSpaceDN w:val="0"/>
              <w:adjustRightInd w:val="0"/>
              <w:rPr>
                <w:rFonts w:cs="Arial"/>
              </w:rPr>
            </w:pPr>
            <w:r w:rsidRPr="006230B8">
              <w:rPr>
                <w:rFonts w:cs="Arial"/>
              </w:rPr>
              <w:t>Admission, transfer, discharge activities</w:t>
            </w:r>
          </w:p>
          <w:p w14:paraId="6DAD5FF6" w14:textId="77777777" w:rsidR="00D0444E" w:rsidRPr="006230B8" w:rsidRDefault="00D0444E" w:rsidP="00AD309C">
            <w:pPr>
              <w:pStyle w:val="ListParagraph"/>
              <w:numPr>
                <w:ilvl w:val="0"/>
                <w:numId w:val="377"/>
              </w:numPr>
              <w:autoSpaceDE w:val="0"/>
              <w:autoSpaceDN w:val="0"/>
              <w:adjustRightInd w:val="0"/>
              <w:rPr>
                <w:rFonts w:cs="Arial"/>
              </w:rPr>
            </w:pPr>
            <w:r w:rsidRPr="006230B8">
              <w:rPr>
                <w:rFonts w:cs="Arial"/>
              </w:rPr>
              <w:t>Patient teaching</w:t>
            </w:r>
          </w:p>
          <w:p w14:paraId="2F475B53" w14:textId="77777777" w:rsidR="00D0444E" w:rsidRPr="006230B8" w:rsidRDefault="00D0444E" w:rsidP="00AD309C">
            <w:pPr>
              <w:pStyle w:val="ListParagraph"/>
              <w:numPr>
                <w:ilvl w:val="0"/>
                <w:numId w:val="377"/>
              </w:numPr>
              <w:autoSpaceDE w:val="0"/>
              <w:autoSpaceDN w:val="0"/>
              <w:adjustRightInd w:val="0"/>
              <w:rPr>
                <w:rFonts w:cs="Arial"/>
              </w:rPr>
            </w:pPr>
            <w:r w:rsidRPr="006230B8">
              <w:rPr>
                <w:rFonts w:cs="Arial"/>
              </w:rPr>
              <w:t>Patient communication</w:t>
            </w:r>
          </w:p>
          <w:p w14:paraId="5F875BD6" w14:textId="77777777" w:rsidR="00D0444E" w:rsidRPr="006230B8" w:rsidRDefault="00D0444E" w:rsidP="00AD309C">
            <w:pPr>
              <w:pStyle w:val="ListParagraph"/>
              <w:numPr>
                <w:ilvl w:val="0"/>
                <w:numId w:val="377"/>
              </w:numPr>
              <w:autoSpaceDE w:val="0"/>
              <w:autoSpaceDN w:val="0"/>
              <w:adjustRightInd w:val="0"/>
              <w:rPr>
                <w:rFonts w:cs="Arial"/>
              </w:rPr>
            </w:pPr>
            <w:r w:rsidRPr="006230B8">
              <w:rPr>
                <w:rFonts w:cs="Arial"/>
              </w:rPr>
              <w:t>Coordination of patient care</w:t>
            </w:r>
          </w:p>
          <w:p w14:paraId="66DB1507" w14:textId="77777777" w:rsidR="00D0444E" w:rsidRPr="006230B8" w:rsidRDefault="00D0444E" w:rsidP="00AD309C">
            <w:pPr>
              <w:pStyle w:val="ListParagraph"/>
              <w:numPr>
                <w:ilvl w:val="0"/>
                <w:numId w:val="377"/>
              </w:numPr>
              <w:autoSpaceDE w:val="0"/>
              <w:autoSpaceDN w:val="0"/>
              <w:adjustRightInd w:val="0"/>
              <w:rPr>
                <w:rFonts w:cs="Arial"/>
              </w:rPr>
            </w:pPr>
            <w:r w:rsidRPr="006230B8">
              <w:rPr>
                <w:rFonts w:cs="Arial"/>
              </w:rPr>
              <w:t>Documentation time</w:t>
            </w:r>
          </w:p>
          <w:p w14:paraId="7DC2AA25" w14:textId="77777777" w:rsidR="00D0444E" w:rsidRDefault="00D0444E" w:rsidP="00AD309C">
            <w:pPr>
              <w:pStyle w:val="ListParagraph"/>
              <w:numPr>
                <w:ilvl w:val="0"/>
                <w:numId w:val="377"/>
              </w:numPr>
              <w:autoSpaceDE w:val="0"/>
              <w:autoSpaceDN w:val="0"/>
              <w:adjustRightInd w:val="0"/>
              <w:rPr>
                <w:rFonts w:cs="Arial"/>
              </w:rPr>
            </w:pPr>
            <w:r w:rsidRPr="006230B8">
              <w:rPr>
                <w:rFonts w:cs="Arial"/>
              </w:rPr>
              <w:t>Treatment planning</w:t>
            </w:r>
          </w:p>
          <w:p w14:paraId="30065044" w14:textId="77777777" w:rsidR="00D0444E" w:rsidRPr="006230B8" w:rsidRDefault="00D0444E" w:rsidP="00AD309C">
            <w:pPr>
              <w:pStyle w:val="ListParagraph"/>
              <w:numPr>
                <w:ilvl w:val="0"/>
                <w:numId w:val="377"/>
              </w:numPr>
              <w:autoSpaceDE w:val="0"/>
              <w:autoSpaceDN w:val="0"/>
              <w:adjustRightInd w:val="0"/>
              <w:rPr>
                <w:rFonts w:cs="Arial"/>
              </w:rPr>
            </w:pPr>
            <w:r w:rsidRPr="006230B8">
              <w:rPr>
                <w:rFonts w:cs="Arial"/>
              </w:rPr>
              <w:t>Patient screening (e.g., fall risk) and assessment</w:t>
            </w:r>
          </w:p>
        </w:tc>
      </w:tr>
      <w:tr w:rsidR="00D0444E" w:rsidRPr="00BB3760" w14:paraId="6F298ADF" w14:textId="77777777" w:rsidTr="00D73F6A">
        <w:trPr>
          <w:trHeight w:val="432"/>
          <w:jc w:val="center"/>
        </w:trPr>
        <w:tc>
          <w:tcPr>
            <w:tcW w:w="9387" w:type="dxa"/>
            <w:tcBorders>
              <w:bottom w:val="single" w:sz="4" w:space="0" w:color="auto"/>
            </w:tcBorders>
            <w:vAlign w:val="center"/>
          </w:tcPr>
          <w:p w14:paraId="6CDB8E56" w14:textId="7BDAC8E7" w:rsidR="00D0444E" w:rsidRPr="00BB3760" w:rsidRDefault="00D0444E" w:rsidP="00D73F6A">
            <w:pPr>
              <w:autoSpaceDE w:val="0"/>
              <w:autoSpaceDN w:val="0"/>
              <w:adjustRightInd w:val="0"/>
              <w:rPr>
                <w:rFonts w:cs="Arial"/>
              </w:rPr>
            </w:pPr>
            <w:r w:rsidRPr="0086796B">
              <w:rPr>
                <w:rFonts w:cs="Arial"/>
                <w:b/>
                <w:bCs/>
              </w:rPr>
              <w:t>Question #1</w:t>
            </w:r>
            <w:r w:rsidR="001B2F0C">
              <w:rPr>
                <w:rFonts w:cs="Arial"/>
                <w:b/>
                <w:bCs/>
              </w:rPr>
              <w:t>2</w:t>
            </w:r>
            <w:r w:rsidRPr="0086796B">
              <w:rPr>
                <w:rFonts w:cs="Arial"/>
                <w:b/>
                <w:bCs/>
              </w:rPr>
              <w:t>(c)</w:t>
            </w:r>
            <w:r w:rsidR="00DE0ABF">
              <w:rPr>
                <w:rFonts w:cs="Arial"/>
                <w:b/>
                <w:bCs/>
              </w:rPr>
              <w:t xml:space="preserve"> or </w:t>
            </w:r>
            <w:r w:rsidR="00DE0ABF" w:rsidRPr="0086796B">
              <w:rPr>
                <w:rFonts w:cs="Arial"/>
                <w:b/>
                <w:bCs/>
              </w:rPr>
              <w:t>Question #1</w:t>
            </w:r>
            <w:r w:rsidR="00182F18">
              <w:rPr>
                <w:rFonts w:cs="Arial"/>
                <w:b/>
                <w:bCs/>
              </w:rPr>
              <w:t>4</w:t>
            </w:r>
            <w:r w:rsidR="00DE0ABF" w:rsidRPr="0086796B">
              <w:rPr>
                <w:rFonts w:cs="Arial"/>
                <w:b/>
                <w:bCs/>
              </w:rPr>
              <w:t>(</w:t>
            </w:r>
            <w:r w:rsidR="00DE0ABF">
              <w:rPr>
                <w:rFonts w:cs="Arial"/>
                <w:b/>
                <w:bCs/>
              </w:rPr>
              <w:t>c</w:t>
            </w:r>
            <w:r w:rsidR="00DE0ABF" w:rsidRPr="0086796B">
              <w:rPr>
                <w:rFonts w:cs="Arial"/>
                <w:b/>
                <w:bCs/>
              </w:rPr>
              <w:t>)</w:t>
            </w:r>
            <w:r w:rsidRPr="0086796B">
              <w:rPr>
                <w:rFonts w:cs="Arial"/>
                <w:b/>
                <w:bCs/>
              </w:rPr>
              <w:t>:</w:t>
            </w:r>
            <w:r w:rsidRPr="00BB3760">
              <w:rPr>
                <w:rFonts w:cs="Arial"/>
                <w:b/>
                <w:bCs/>
              </w:rPr>
              <w:t xml:space="preserve"> </w:t>
            </w:r>
            <w:r w:rsidRPr="00BB3760">
              <w:rPr>
                <w:rFonts w:cs="Arial"/>
              </w:rPr>
              <w:t xml:space="preserve">Total number of productive hours worked by </w:t>
            </w:r>
            <w:r w:rsidRPr="00BB3760">
              <w:rPr>
                <w:rFonts w:cs="Arial"/>
                <w:b/>
                <w:bCs/>
              </w:rPr>
              <w:t>RN nursing staff</w:t>
            </w:r>
            <w:r w:rsidRPr="00BB3760">
              <w:rPr>
                <w:rFonts w:cs="Arial"/>
              </w:rPr>
              <w:t xml:space="preserve"> with direct patient care responsibilities in all </w:t>
            </w:r>
            <w:r>
              <w:rPr>
                <w:rFonts w:cs="Arial"/>
              </w:rPr>
              <w:t xml:space="preserve">adult and pediatric </w:t>
            </w:r>
            <w:r w:rsidRPr="00C3477E">
              <w:rPr>
                <w:rFonts w:cs="Arial"/>
                <w:b/>
                <w:bCs/>
              </w:rPr>
              <w:t>mixed acuity Medical, Surgical, and Med-Surg Units</w:t>
            </w:r>
            <w:r w:rsidRPr="00BB3760">
              <w:rPr>
                <w:rFonts w:cs="Arial"/>
              </w:rPr>
              <w:t xml:space="preserve"> in each quarter.</w:t>
            </w:r>
          </w:p>
          <w:p w14:paraId="3DF072DA" w14:textId="77777777" w:rsidR="00D0444E" w:rsidRPr="00BB3760" w:rsidRDefault="00D0444E" w:rsidP="00D73F6A">
            <w:pPr>
              <w:autoSpaceDE w:val="0"/>
              <w:autoSpaceDN w:val="0"/>
              <w:adjustRightInd w:val="0"/>
              <w:rPr>
                <w:rFonts w:cs="Arial"/>
              </w:rPr>
            </w:pPr>
          </w:p>
          <w:p w14:paraId="4C72E78B" w14:textId="098BA1A6" w:rsidR="00D0444E" w:rsidRPr="00ED6698" w:rsidRDefault="00D0444E" w:rsidP="00D73F6A">
            <w:pPr>
              <w:autoSpaceDE w:val="0"/>
              <w:autoSpaceDN w:val="0"/>
              <w:adjustRightInd w:val="0"/>
              <w:rPr>
                <w:rFonts w:cs="Arial"/>
              </w:rPr>
            </w:pPr>
            <w:r w:rsidRPr="00ED6698">
              <w:rPr>
                <w:rFonts w:cs="Arial"/>
                <w:b/>
                <w:bCs/>
              </w:rPr>
              <w:t>Include</w:t>
            </w:r>
            <w:r w:rsidRPr="00ED6698">
              <w:rPr>
                <w:rFonts w:cs="Arial"/>
              </w:rPr>
              <w:t xml:space="preserve"> the total number of productive work hours worked by employe</w:t>
            </w:r>
            <w:r>
              <w:rPr>
                <w:rFonts w:cs="Arial"/>
              </w:rPr>
              <w:t>d</w:t>
            </w:r>
            <w:r w:rsidRPr="00ED6698">
              <w:rPr>
                <w:rFonts w:cs="Arial"/>
              </w:rPr>
              <w:t xml:space="preserve"> and contract</w:t>
            </w:r>
            <w:r>
              <w:rPr>
                <w:rFonts w:cs="Arial"/>
              </w:rPr>
              <w:t>ed</w:t>
            </w:r>
            <w:r w:rsidRPr="00ED6698">
              <w:rPr>
                <w:rFonts w:cs="Arial"/>
              </w:rPr>
              <w:t xml:space="preserve"> </w:t>
            </w:r>
            <w:r>
              <w:rPr>
                <w:rFonts w:cs="Arial"/>
              </w:rPr>
              <w:t xml:space="preserve">RN </w:t>
            </w:r>
            <w:r w:rsidRPr="00ED6698">
              <w:rPr>
                <w:rFonts w:cs="Arial"/>
              </w:rPr>
              <w:t>nursing staff</w:t>
            </w:r>
            <w:r>
              <w:rPr>
                <w:rFonts w:cs="Arial"/>
              </w:rPr>
              <w:t xml:space="preserve"> ONLY from question 1</w:t>
            </w:r>
            <w:r w:rsidR="001B2F0C">
              <w:rPr>
                <w:rFonts w:cs="Arial"/>
              </w:rPr>
              <w:t>2</w:t>
            </w:r>
            <w:r>
              <w:rPr>
                <w:rFonts w:cs="Arial"/>
              </w:rPr>
              <w:t>b</w:t>
            </w:r>
            <w:r w:rsidR="003351F6">
              <w:rPr>
                <w:rFonts w:cs="Arial"/>
              </w:rPr>
              <w:t xml:space="preserve"> or </w:t>
            </w:r>
            <w:r w:rsidR="00932333">
              <w:rPr>
                <w:rFonts w:cs="Arial"/>
              </w:rPr>
              <w:t>question 1</w:t>
            </w:r>
            <w:r w:rsidR="00182F18">
              <w:rPr>
                <w:rFonts w:cs="Arial"/>
              </w:rPr>
              <w:t>4</w:t>
            </w:r>
            <w:r w:rsidR="00932333">
              <w:rPr>
                <w:rFonts w:cs="Arial"/>
              </w:rPr>
              <w:t>b</w:t>
            </w:r>
            <w:r>
              <w:rPr>
                <w:rFonts w:cs="Arial"/>
              </w:rPr>
              <w:t>.</w:t>
            </w:r>
          </w:p>
        </w:tc>
      </w:tr>
    </w:tbl>
    <w:p w14:paraId="27C182E0" w14:textId="77777777" w:rsidR="00D0444E" w:rsidRDefault="00D0444E" w:rsidP="00D0444E">
      <w:pPr>
        <w:rPr>
          <w:rFonts w:cs="Arial"/>
        </w:rPr>
      </w:pPr>
    </w:p>
    <w:p w14:paraId="45C69A93" w14:textId="476522AC" w:rsidR="00D0444E" w:rsidRPr="00BB3760" w:rsidRDefault="00D0444E" w:rsidP="00D0444E">
      <w:pPr>
        <w:rPr>
          <w:rFonts w:cs="Arial"/>
        </w:rPr>
      </w:pPr>
      <w:r w:rsidRPr="009A5185">
        <w:rPr>
          <w:rFonts w:cs="Arial"/>
          <w:color w:val="000000"/>
        </w:rPr>
        <w:t>See</w:t>
      </w:r>
      <w:r>
        <w:rPr>
          <w:rFonts w:cs="Arial"/>
          <w:color w:val="000000"/>
        </w:rPr>
        <w:t xml:space="preserve"> </w:t>
      </w:r>
      <w:hyperlink w:anchor="_Total_Nursing_Care_1" w:history="1">
        <w:r w:rsidRPr="001F0B72">
          <w:rPr>
            <w:rStyle w:val="Hyperlink"/>
            <w:rFonts w:cs="Arial"/>
          </w:rPr>
          <w:t>FAQs</w:t>
        </w:r>
      </w:hyperlink>
      <w:r w:rsidRPr="009A5185">
        <w:rPr>
          <w:rFonts w:cs="Arial"/>
          <w:color w:val="000000"/>
        </w:rPr>
        <w:t xml:space="preserve"> for additional information about responding to</w:t>
      </w:r>
      <w:r>
        <w:rPr>
          <w:rFonts w:cs="Arial"/>
          <w:color w:val="000000"/>
        </w:rPr>
        <w:t xml:space="preserve"> the</w:t>
      </w:r>
      <w:r w:rsidRPr="009A5185">
        <w:rPr>
          <w:rFonts w:cs="Arial"/>
          <w:color w:val="000000"/>
        </w:rPr>
        <w:t xml:space="preserve"> questions in this section.</w:t>
      </w:r>
    </w:p>
    <w:p w14:paraId="6F24D304" w14:textId="77777777" w:rsidR="00D0444E" w:rsidRDefault="00D0444E" w:rsidP="00D0444E">
      <w:pPr>
        <w:rPr>
          <w:b/>
          <w:color w:val="000000"/>
          <w:sz w:val="22"/>
        </w:rPr>
      </w:pPr>
      <w:r>
        <w:br w:type="page"/>
      </w:r>
    </w:p>
    <w:p w14:paraId="72C02395" w14:textId="77777777" w:rsidR="00D0444E" w:rsidRPr="004D26B9" w:rsidRDefault="00D0444E" w:rsidP="00D0444E">
      <w:pPr>
        <w:pStyle w:val="Heading44"/>
      </w:pPr>
      <w:bookmarkStart w:id="434" w:name="bsnspecs"/>
      <w:bookmarkEnd w:id="434"/>
      <w:r w:rsidRPr="004D26B9">
        <w:t xml:space="preserve">Percentage of RNs who are BSN-Prepared Specifications </w:t>
      </w:r>
    </w:p>
    <w:p w14:paraId="5021F0F5" w14:textId="77777777" w:rsidR="00D0444E" w:rsidRPr="00BB3760" w:rsidRDefault="00D0444E" w:rsidP="00D0444E">
      <w:pPr>
        <w:rPr>
          <w:rFonts w:cs="Arial"/>
        </w:rPr>
      </w:pPr>
    </w:p>
    <w:tbl>
      <w:tblPr>
        <w:tblW w:w="9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77"/>
      </w:tblGrid>
      <w:tr w:rsidR="00D0444E" w:rsidRPr="00BB3760" w14:paraId="5F8979F8" w14:textId="77777777" w:rsidTr="00D73F6A">
        <w:trPr>
          <w:trHeight w:val="288"/>
          <w:jc w:val="center"/>
        </w:trPr>
        <w:tc>
          <w:tcPr>
            <w:tcW w:w="9477" w:type="dxa"/>
            <w:vAlign w:val="center"/>
          </w:tcPr>
          <w:p w14:paraId="4125BB26" w14:textId="77777777" w:rsidR="00D0444E" w:rsidRPr="00BB3760" w:rsidRDefault="00D0444E" w:rsidP="00D73F6A">
            <w:pPr>
              <w:autoSpaceDE w:val="0"/>
              <w:autoSpaceDN w:val="0"/>
              <w:adjustRightInd w:val="0"/>
              <w:rPr>
                <w:rFonts w:cs="Arial"/>
                <w:b/>
              </w:rPr>
            </w:pPr>
            <w:r w:rsidRPr="00BB3760">
              <w:rPr>
                <w:rFonts w:cs="Arial"/>
                <w:b/>
              </w:rPr>
              <w:t xml:space="preserve">Source: </w:t>
            </w:r>
            <w:r w:rsidRPr="00BB3760">
              <w:rPr>
                <w:rFonts w:cs="Arial"/>
                <w:bCs/>
              </w:rPr>
              <w:t>The Leapfrog Group</w:t>
            </w:r>
            <w:r w:rsidRPr="00BB3760">
              <w:rPr>
                <w:rFonts w:cs="Arial"/>
                <w:b/>
              </w:rPr>
              <w:t xml:space="preserve"> </w:t>
            </w:r>
          </w:p>
        </w:tc>
      </w:tr>
      <w:tr w:rsidR="00D0444E" w:rsidRPr="00BB3760" w14:paraId="31F2F069" w14:textId="77777777" w:rsidTr="00D73F6A">
        <w:trPr>
          <w:trHeight w:val="576"/>
          <w:jc w:val="center"/>
        </w:trPr>
        <w:tc>
          <w:tcPr>
            <w:tcW w:w="9477" w:type="dxa"/>
            <w:vAlign w:val="center"/>
          </w:tcPr>
          <w:p w14:paraId="3818FEC7" w14:textId="6560494B" w:rsidR="00D0444E" w:rsidRPr="00BB3760" w:rsidRDefault="00D0444E" w:rsidP="00D73F6A">
            <w:pPr>
              <w:rPr>
                <w:rFonts w:cs="Arial"/>
                <w:b/>
              </w:rPr>
            </w:pPr>
            <w:r w:rsidRPr="00BB3760">
              <w:rPr>
                <w:rFonts w:cs="Arial"/>
                <w:b/>
                <w:snapToGrid w:val="0"/>
              </w:rPr>
              <w:t xml:space="preserve">Reporting Period: </w:t>
            </w:r>
            <w:r w:rsidRPr="00BB3760">
              <w:rPr>
                <w:rFonts w:cs="Arial"/>
              </w:rPr>
              <w:t>Answer questions #17-19 based on the most recent day within the last 12-months for which you have complete data.</w:t>
            </w:r>
          </w:p>
        </w:tc>
      </w:tr>
      <w:tr w:rsidR="00D0444E" w:rsidRPr="00BB3760" w14:paraId="39C3564C" w14:textId="77777777" w:rsidTr="00D73F6A">
        <w:trPr>
          <w:trHeight w:val="980"/>
          <w:jc w:val="center"/>
        </w:trPr>
        <w:tc>
          <w:tcPr>
            <w:tcW w:w="9477" w:type="dxa"/>
          </w:tcPr>
          <w:p w14:paraId="4FFDB6FF" w14:textId="232FBBBB" w:rsidR="00D0444E" w:rsidRPr="00BB3760" w:rsidRDefault="00D0444E" w:rsidP="00D73F6A">
            <w:pPr>
              <w:autoSpaceDE w:val="0"/>
              <w:autoSpaceDN w:val="0"/>
              <w:adjustRightInd w:val="0"/>
              <w:rPr>
                <w:rFonts w:cs="Arial"/>
              </w:rPr>
            </w:pPr>
            <w:r w:rsidRPr="00BB3760">
              <w:rPr>
                <w:rFonts w:cs="Arial"/>
                <w:b/>
                <w:bCs/>
              </w:rPr>
              <w:t xml:space="preserve">Question #18 (denominator): </w:t>
            </w:r>
            <w:r w:rsidRPr="00BB3760">
              <w:rPr>
                <w:rFonts w:cs="Arial"/>
              </w:rPr>
              <w:t>Total number of employed RN nursing staff at the hospital with direct patient care responsibilities.</w:t>
            </w:r>
          </w:p>
          <w:p w14:paraId="53624015" w14:textId="77777777" w:rsidR="00D0444E" w:rsidRPr="00BB3760" w:rsidRDefault="00D0444E" w:rsidP="00D73F6A">
            <w:pPr>
              <w:autoSpaceDE w:val="0"/>
              <w:autoSpaceDN w:val="0"/>
              <w:adjustRightInd w:val="0"/>
              <w:rPr>
                <w:rFonts w:cs="Arial"/>
              </w:rPr>
            </w:pPr>
          </w:p>
          <w:p w14:paraId="7B415199" w14:textId="77777777" w:rsidR="00D0444E" w:rsidRPr="00BB3760" w:rsidRDefault="00D0444E" w:rsidP="00D73F6A">
            <w:pPr>
              <w:autoSpaceDE w:val="0"/>
              <w:autoSpaceDN w:val="0"/>
              <w:adjustRightInd w:val="0"/>
              <w:rPr>
                <w:rFonts w:cs="Arial"/>
              </w:rPr>
            </w:pPr>
            <w:r w:rsidRPr="00BB3760">
              <w:rPr>
                <w:rFonts w:cs="Arial"/>
                <w:u w:val="single"/>
              </w:rPr>
              <w:t>Included RN Nursing Staff</w:t>
            </w:r>
            <w:r w:rsidRPr="00BB3760">
              <w:rPr>
                <w:rFonts w:cs="Arial"/>
              </w:rPr>
              <w:t>:</w:t>
            </w:r>
          </w:p>
          <w:p w14:paraId="13E450F9" w14:textId="160F96CD" w:rsidR="00D0444E" w:rsidRPr="00BB3760" w:rsidRDefault="00D0444E" w:rsidP="00AD309C">
            <w:pPr>
              <w:pStyle w:val="ListParagraph"/>
              <w:numPr>
                <w:ilvl w:val="0"/>
                <w:numId w:val="359"/>
              </w:numPr>
              <w:rPr>
                <w:rFonts w:cs="Arial"/>
              </w:rPr>
            </w:pPr>
            <w:r w:rsidRPr="00BB3760">
              <w:rPr>
                <w:rFonts w:cs="Arial"/>
              </w:rPr>
              <w:t>Staff employed by the hospital in most hospital units, including observation,</w:t>
            </w:r>
            <w:r w:rsidR="00743916">
              <w:rPr>
                <w:rFonts w:cs="Arial"/>
              </w:rPr>
              <w:t xml:space="preserve"> </w:t>
            </w:r>
            <w:hyperlink w:anchor="colocatedendnote" w:history="1">
              <w:r w:rsidR="00743916" w:rsidRPr="00C84595">
                <w:rPr>
                  <w:rStyle w:val="Hyperlink"/>
                </w:rPr>
                <w:t>co-located</w:t>
              </w:r>
            </w:hyperlink>
            <w:r w:rsidR="00E81025" w:rsidRPr="003A5BED">
              <w:rPr>
                <w:vertAlign w:val="superscript"/>
              </w:rPr>
              <w:t>31</w:t>
            </w:r>
            <w:r w:rsidR="00E81025">
              <w:t xml:space="preserve"> </w:t>
            </w:r>
            <w:r w:rsidR="0009510E">
              <w:t xml:space="preserve"> o</w:t>
            </w:r>
            <w:r w:rsidRPr="00BB3760">
              <w:rPr>
                <w:rFonts w:cs="Arial"/>
              </w:rPr>
              <w:t>utpatient units, and emergency departments who:</w:t>
            </w:r>
          </w:p>
          <w:p w14:paraId="390313A2" w14:textId="77777777" w:rsidR="00D0444E" w:rsidRPr="00BB3760" w:rsidRDefault="00D0444E" w:rsidP="00AD309C">
            <w:pPr>
              <w:pStyle w:val="ListParagraph"/>
              <w:numPr>
                <w:ilvl w:val="1"/>
                <w:numId w:val="359"/>
              </w:numPr>
              <w:rPr>
                <w:rFonts w:cs="Arial"/>
              </w:rPr>
            </w:pPr>
            <w:r w:rsidRPr="00BB3760">
              <w:rPr>
                <w:rFonts w:cs="Arial"/>
              </w:rPr>
              <w:t xml:space="preserve">Are counted in the unit’s staffing matrix, </w:t>
            </w:r>
            <w:r w:rsidRPr="00BB3760">
              <w:rPr>
                <w:rFonts w:cs="Arial"/>
                <w:b/>
                <w:bCs/>
              </w:rPr>
              <w:t>and</w:t>
            </w:r>
          </w:p>
          <w:p w14:paraId="46150A03" w14:textId="77777777" w:rsidR="00D0444E" w:rsidRPr="00BB3760" w:rsidRDefault="00D0444E" w:rsidP="00AD309C">
            <w:pPr>
              <w:pStyle w:val="ListParagraph"/>
              <w:numPr>
                <w:ilvl w:val="1"/>
                <w:numId w:val="359"/>
              </w:numPr>
              <w:rPr>
                <w:rFonts w:cs="Arial"/>
              </w:rPr>
            </w:pPr>
            <w:r w:rsidRPr="00BB3760">
              <w:rPr>
                <w:rFonts w:cs="Arial"/>
              </w:rPr>
              <w:t xml:space="preserve">Are replaced if they call in sick, </w:t>
            </w:r>
            <w:r w:rsidRPr="00BB3760">
              <w:rPr>
                <w:rFonts w:cs="Arial"/>
                <w:b/>
                <w:bCs/>
              </w:rPr>
              <w:t>and</w:t>
            </w:r>
          </w:p>
          <w:p w14:paraId="302DFEF7" w14:textId="77777777" w:rsidR="00D0444E" w:rsidRPr="00BB3760" w:rsidRDefault="00D0444E" w:rsidP="00AD309C">
            <w:pPr>
              <w:pStyle w:val="ListParagraph"/>
              <w:numPr>
                <w:ilvl w:val="1"/>
                <w:numId w:val="359"/>
              </w:numPr>
              <w:rPr>
                <w:rFonts w:cs="Arial"/>
              </w:rPr>
            </w:pPr>
            <w:r w:rsidRPr="00BB3760">
              <w:rPr>
                <w:rFonts w:cs="Arial"/>
              </w:rPr>
              <w:t>Whose work hours are charged to the unit’s cost center</w:t>
            </w:r>
          </w:p>
          <w:p w14:paraId="6F9B1674" w14:textId="77777777" w:rsidR="00D0444E" w:rsidRPr="00BB3760" w:rsidRDefault="00D0444E" w:rsidP="00AD309C">
            <w:pPr>
              <w:pStyle w:val="ListParagraph"/>
              <w:numPr>
                <w:ilvl w:val="0"/>
                <w:numId w:val="359"/>
              </w:numPr>
              <w:autoSpaceDE w:val="0"/>
              <w:autoSpaceDN w:val="0"/>
              <w:adjustRightInd w:val="0"/>
              <w:rPr>
                <w:rFonts w:cs="Arial"/>
              </w:rPr>
            </w:pPr>
            <w:r w:rsidRPr="00BB3760">
              <w:rPr>
                <w:rFonts w:cs="Arial"/>
              </w:rPr>
              <w:t xml:space="preserve">Float staff who are assigned to a unit other than their unit of employment on an as-needed basis if they are assigned direct patient care responsibilities </w:t>
            </w:r>
          </w:p>
          <w:p w14:paraId="2BB96058" w14:textId="77777777" w:rsidR="00D0444E" w:rsidRPr="00BB3760" w:rsidRDefault="00D0444E" w:rsidP="00D73F6A">
            <w:pPr>
              <w:autoSpaceDE w:val="0"/>
              <w:autoSpaceDN w:val="0"/>
              <w:adjustRightInd w:val="0"/>
              <w:rPr>
                <w:rFonts w:cs="Arial"/>
              </w:rPr>
            </w:pPr>
          </w:p>
          <w:p w14:paraId="01B1E1B8" w14:textId="77777777" w:rsidR="00D0444E" w:rsidRPr="00BB3760" w:rsidRDefault="00D0444E" w:rsidP="00D73F6A">
            <w:pPr>
              <w:autoSpaceDE w:val="0"/>
              <w:autoSpaceDN w:val="0"/>
              <w:adjustRightInd w:val="0"/>
              <w:rPr>
                <w:rFonts w:cs="Arial"/>
              </w:rPr>
            </w:pPr>
            <w:r w:rsidRPr="00BB370E">
              <w:rPr>
                <w:rFonts w:cs="Arial"/>
                <w:u w:val="single"/>
              </w:rPr>
              <w:t>Excluded RN Nursing staff</w:t>
            </w:r>
            <w:r w:rsidRPr="00BB3760">
              <w:rPr>
                <w:rFonts w:cs="Arial"/>
              </w:rPr>
              <w:t>:</w:t>
            </w:r>
          </w:p>
          <w:p w14:paraId="202D09D7" w14:textId="77777777" w:rsidR="00D0444E" w:rsidRPr="00BB3760" w:rsidRDefault="00D0444E" w:rsidP="00AD309C">
            <w:pPr>
              <w:pStyle w:val="ListParagraph"/>
              <w:numPr>
                <w:ilvl w:val="0"/>
                <w:numId w:val="148"/>
              </w:numPr>
              <w:autoSpaceDE w:val="0"/>
              <w:autoSpaceDN w:val="0"/>
              <w:adjustRightInd w:val="0"/>
              <w:rPr>
                <w:rFonts w:cs="Arial"/>
              </w:rPr>
            </w:pPr>
            <w:r w:rsidRPr="00BB3760">
              <w:rPr>
                <w:rFonts w:cs="Arial"/>
              </w:rPr>
              <w:t>Staff that are not employed by the hospital (i.e., contracted/agency staff)</w:t>
            </w:r>
          </w:p>
          <w:p w14:paraId="7ADF4735" w14:textId="77777777" w:rsidR="00D0444E" w:rsidRPr="00BB3760" w:rsidRDefault="00D0444E" w:rsidP="00AD309C">
            <w:pPr>
              <w:pStyle w:val="ListParagraph"/>
              <w:numPr>
                <w:ilvl w:val="0"/>
                <w:numId w:val="148"/>
              </w:numPr>
              <w:autoSpaceDE w:val="0"/>
              <w:autoSpaceDN w:val="0"/>
              <w:adjustRightInd w:val="0"/>
              <w:rPr>
                <w:rFonts w:cs="Arial"/>
              </w:rPr>
            </w:pPr>
            <w:r w:rsidRPr="00BB3760">
              <w:rPr>
                <w:rFonts w:cs="Arial"/>
              </w:rPr>
              <w:t>Staff that are exclusively assigned to skilled nursing units or mixed acuity neonatal units</w:t>
            </w:r>
          </w:p>
          <w:p w14:paraId="62BBC5BF" w14:textId="77777777" w:rsidR="00D0444E" w:rsidRPr="00BB3760" w:rsidRDefault="00D0444E" w:rsidP="00AD309C">
            <w:pPr>
              <w:pStyle w:val="ListParagraph"/>
              <w:numPr>
                <w:ilvl w:val="0"/>
                <w:numId w:val="148"/>
              </w:numPr>
              <w:autoSpaceDE w:val="0"/>
              <w:autoSpaceDN w:val="0"/>
              <w:adjustRightInd w:val="0"/>
              <w:rPr>
                <w:rFonts w:cs="Arial"/>
              </w:rPr>
            </w:pPr>
            <w:r w:rsidRPr="00BB3760">
              <w:rPr>
                <w:rFonts w:cs="Arial"/>
              </w:rPr>
              <w:t>Staff that are part of specialty teams or are patient educators or case managers who are not assigned to a specific unit</w:t>
            </w:r>
          </w:p>
          <w:p w14:paraId="589E1637" w14:textId="77777777" w:rsidR="00D0444E" w:rsidRPr="00BB3760" w:rsidRDefault="00D0444E" w:rsidP="00AD309C">
            <w:pPr>
              <w:pStyle w:val="ListParagraph"/>
              <w:numPr>
                <w:ilvl w:val="0"/>
                <w:numId w:val="148"/>
              </w:numPr>
              <w:autoSpaceDE w:val="0"/>
              <w:autoSpaceDN w:val="0"/>
              <w:adjustRightInd w:val="0"/>
              <w:rPr>
                <w:rFonts w:cs="Arial"/>
              </w:rPr>
            </w:pPr>
            <w:r w:rsidRPr="00BB3760">
              <w:rPr>
                <w:rFonts w:cs="Arial"/>
              </w:rPr>
              <w:t>Unit secretaries or clerks or others with no direct patient care responsibilities</w:t>
            </w:r>
          </w:p>
          <w:p w14:paraId="43C7100D" w14:textId="77777777" w:rsidR="00D0444E" w:rsidRPr="00BB3760" w:rsidRDefault="00D0444E" w:rsidP="00AD309C">
            <w:pPr>
              <w:pStyle w:val="ListParagraph"/>
              <w:numPr>
                <w:ilvl w:val="0"/>
                <w:numId w:val="148"/>
              </w:numPr>
              <w:autoSpaceDE w:val="0"/>
              <w:autoSpaceDN w:val="0"/>
              <w:adjustRightInd w:val="0"/>
              <w:rPr>
                <w:rFonts w:cs="Arial"/>
              </w:rPr>
            </w:pPr>
            <w:r w:rsidRPr="00BB3760">
              <w:rPr>
                <w:rFonts w:cs="Arial"/>
              </w:rPr>
              <w:t>Staff that are primarily responsible for administrative tasks (at least 50% of their time is administrative)</w:t>
            </w:r>
          </w:p>
          <w:p w14:paraId="46BF94EB" w14:textId="77777777" w:rsidR="00D0444E" w:rsidRPr="00BB3760" w:rsidRDefault="00D0444E" w:rsidP="00AD309C">
            <w:pPr>
              <w:pStyle w:val="ListParagraph"/>
              <w:numPr>
                <w:ilvl w:val="0"/>
                <w:numId w:val="148"/>
              </w:numPr>
              <w:autoSpaceDE w:val="0"/>
              <w:autoSpaceDN w:val="0"/>
              <w:adjustRightInd w:val="0"/>
              <w:rPr>
                <w:rFonts w:cs="Arial"/>
              </w:rPr>
            </w:pPr>
            <w:r w:rsidRPr="00BB3760">
              <w:rPr>
                <w:rFonts w:cs="Arial"/>
              </w:rPr>
              <w:t>Advanced Practice Registered Nurses (APRNs), including certified nurse-midwife (CNM), clinical nurse specialist (CNS), certified nurse practitioner (CNP), and certified registered nurse anesthetist (CRNA)</w:t>
            </w:r>
          </w:p>
          <w:p w14:paraId="3EC0DF2D" w14:textId="77777777" w:rsidR="00D0444E" w:rsidRPr="00BB3760" w:rsidRDefault="00D0444E" w:rsidP="00D73F6A">
            <w:pPr>
              <w:autoSpaceDE w:val="0"/>
              <w:autoSpaceDN w:val="0"/>
              <w:adjustRightInd w:val="0"/>
              <w:rPr>
                <w:rFonts w:cs="Arial"/>
              </w:rPr>
            </w:pPr>
          </w:p>
          <w:p w14:paraId="083E9918" w14:textId="77777777" w:rsidR="00D0444E" w:rsidRPr="00BB3760" w:rsidRDefault="00D0444E" w:rsidP="00D73F6A">
            <w:pPr>
              <w:autoSpaceDE w:val="0"/>
              <w:autoSpaceDN w:val="0"/>
              <w:adjustRightInd w:val="0"/>
              <w:rPr>
                <w:rFonts w:cs="Arial"/>
                <w:u w:val="single"/>
              </w:rPr>
            </w:pPr>
            <w:r w:rsidRPr="00BB3760">
              <w:rPr>
                <w:rFonts w:cs="Arial"/>
                <w:u w:val="single"/>
              </w:rPr>
              <w:t>Direct Patient Care Responsibilities</w:t>
            </w:r>
            <w:r w:rsidRPr="00BB3760">
              <w:rPr>
                <w:rFonts w:cs="Arial"/>
              </w:rPr>
              <w:t xml:space="preserve"> are defined as patient centered nursing activities by hospital unit-based staff in the presence of the patient and activities that occur away from the patient that are patient related:</w:t>
            </w:r>
          </w:p>
          <w:p w14:paraId="6483D5BB" w14:textId="77777777" w:rsidR="00D0444E" w:rsidRPr="00BB3760" w:rsidRDefault="00D0444E" w:rsidP="00AD309C">
            <w:pPr>
              <w:pStyle w:val="ListParagraph"/>
              <w:numPr>
                <w:ilvl w:val="0"/>
                <w:numId w:val="148"/>
              </w:numPr>
              <w:autoSpaceDE w:val="0"/>
              <w:autoSpaceDN w:val="0"/>
              <w:adjustRightInd w:val="0"/>
              <w:rPr>
                <w:rFonts w:cs="Arial"/>
              </w:rPr>
            </w:pPr>
            <w:r w:rsidRPr="00BB3760">
              <w:rPr>
                <w:rFonts w:cs="Arial"/>
              </w:rPr>
              <w:t>Medication administration</w:t>
            </w:r>
          </w:p>
          <w:p w14:paraId="30AB40A0" w14:textId="77777777" w:rsidR="00D0444E" w:rsidRPr="00BB3760" w:rsidRDefault="00D0444E" w:rsidP="00AD309C">
            <w:pPr>
              <w:pStyle w:val="ListParagraph"/>
              <w:numPr>
                <w:ilvl w:val="0"/>
                <w:numId w:val="148"/>
              </w:numPr>
              <w:autoSpaceDE w:val="0"/>
              <w:autoSpaceDN w:val="0"/>
              <w:adjustRightInd w:val="0"/>
              <w:rPr>
                <w:rFonts w:cs="Arial"/>
              </w:rPr>
            </w:pPr>
            <w:r w:rsidRPr="00BB3760">
              <w:rPr>
                <w:rFonts w:cs="Arial"/>
              </w:rPr>
              <w:t>Nursing treatments</w:t>
            </w:r>
          </w:p>
          <w:p w14:paraId="34DAFDDC" w14:textId="77777777" w:rsidR="00D0444E" w:rsidRPr="00BB3760" w:rsidRDefault="00D0444E" w:rsidP="00AD309C">
            <w:pPr>
              <w:pStyle w:val="ListParagraph"/>
              <w:numPr>
                <w:ilvl w:val="0"/>
                <w:numId w:val="148"/>
              </w:numPr>
              <w:autoSpaceDE w:val="0"/>
              <w:autoSpaceDN w:val="0"/>
              <w:adjustRightInd w:val="0"/>
              <w:rPr>
                <w:rFonts w:cs="Arial"/>
              </w:rPr>
            </w:pPr>
            <w:r w:rsidRPr="00BB3760">
              <w:rPr>
                <w:rFonts w:cs="Arial"/>
              </w:rPr>
              <w:t>Nursing rounds</w:t>
            </w:r>
          </w:p>
          <w:p w14:paraId="5049C28E" w14:textId="77777777" w:rsidR="00D0444E" w:rsidRPr="00BB3760" w:rsidRDefault="00D0444E" w:rsidP="00AD309C">
            <w:pPr>
              <w:pStyle w:val="ListParagraph"/>
              <w:numPr>
                <w:ilvl w:val="0"/>
                <w:numId w:val="148"/>
              </w:numPr>
              <w:autoSpaceDE w:val="0"/>
              <w:autoSpaceDN w:val="0"/>
              <w:adjustRightInd w:val="0"/>
              <w:rPr>
                <w:rFonts w:cs="Arial"/>
              </w:rPr>
            </w:pPr>
            <w:r w:rsidRPr="00BB3760">
              <w:rPr>
                <w:rFonts w:cs="Arial"/>
              </w:rPr>
              <w:t>Admission, transfer, discharge activities</w:t>
            </w:r>
          </w:p>
          <w:p w14:paraId="38B98F10" w14:textId="77777777" w:rsidR="00D0444E" w:rsidRPr="00BB3760" w:rsidRDefault="00D0444E" w:rsidP="00AD309C">
            <w:pPr>
              <w:pStyle w:val="ListParagraph"/>
              <w:numPr>
                <w:ilvl w:val="0"/>
                <w:numId w:val="148"/>
              </w:numPr>
              <w:autoSpaceDE w:val="0"/>
              <w:autoSpaceDN w:val="0"/>
              <w:adjustRightInd w:val="0"/>
              <w:rPr>
                <w:rFonts w:cs="Arial"/>
              </w:rPr>
            </w:pPr>
            <w:r w:rsidRPr="00BB3760">
              <w:rPr>
                <w:rFonts w:cs="Arial"/>
              </w:rPr>
              <w:t>Patient teaching</w:t>
            </w:r>
          </w:p>
          <w:p w14:paraId="41B22B9C" w14:textId="77777777" w:rsidR="00D0444E" w:rsidRPr="00BB3760" w:rsidRDefault="00D0444E" w:rsidP="00AD309C">
            <w:pPr>
              <w:pStyle w:val="ListParagraph"/>
              <w:numPr>
                <w:ilvl w:val="0"/>
                <w:numId w:val="148"/>
              </w:numPr>
              <w:autoSpaceDE w:val="0"/>
              <w:autoSpaceDN w:val="0"/>
              <w:adjustRightInd w:val="0"/>
              <w:rPr>
                <w:rFonts w:cs="Arial"/>
              </w:rPr>
            </w:pPr>
            <w:r w:rsidRPr="00BB3760">
              <w:rPr>
                <w:rFonts w:cs="Arial"/>
              </w:rPr>
              <w:t>Patient communication</w:t>
            </w:r>
          </w:p>
          <w:p w14:paraId="6B3FCE7E" w14:textId="77777777" w:rsidR="00D0444E" w:rsidRPr="00BB3760" w:rsidRDefault="00D0444E" w:rsidP="00AD309C">
            <w:pPr>
              <w:pStyle w:val="ListParagraph"/>
              <w:numPr>
                <w:ilvl w:val="0"/>
                <w:numId w:val="148"/>
              </w:numPr>
              <w:autoSpaceDE w:val="0"/>
              <w:autoSpaceDN w:val="0"/>
              <w:adjustRightInd w:val="0"/>
              <w:rPr>
                <w:rFonts w:cs="Arial"/>
              </w:rPr>
            </w:pPr>
            <w:r w:rsidRPr="00BB3760">
              <w:rPr>
                <w:rFonts w:cs="Arial"/>
              </w:rPr>
              <w:t>Coordination of patient care</w:t>
            </w:r>
          </w:p>
          <w:p w14:paraId="09E1BB47" w14:textId="77777777" w:rsidR="00D0444E" w:rsidRPr="00BB3760" w:rsidRDefault="00D0444E" w:rsidP="00AD309C">
            <w:pPr>
              <w:pStyle w:val="ListParagraph"/>
              <w:numPr>
                <w:ilvl w:val="0"/>
                <w:numId w:val="148"/>
              </w:numPr>
              <w:autoSpaceDE w:val="0"/>
              <w:autoSpaceDN w:val="0"/>
              <w:adjustRightInd w:val="0"/>
              <w:rPr>
                <w:rFonts w:cs="Arial"/>
              </w:rPr>
            </w:pPr>
            <w:r w:rsidRPr="00BB3760">
              <w:rPr>
                <w:rFonts w:cs="Arial"/>
              </w:rPr>
              <w:t>Documentation time</w:t>
            </w:r>
          </w:p>
          <w:p w14:paraId="33DA3DE1" w14:textId="77777777" w:rsidR="00D0444E" w:rsidRPr="00BB3760" w:rsidRDefault="00D0444E" w:rsidP="00AD309C">
            <w:pPr>
              <w:pStyle w:val="ListParagraph"/>
              <w:numPr>
                <w:ilvl w:val="0"/>
                <w:numId w:val="148"/>
              </w:numPr>
              <w:autoSpaceDE w:val="0"/>
              <w:autoSpaceDN w:val="0"/>
              <w:adjustRightInd w:val="0"/>
              <w:rPr>
                <w:rFonts w:cs="Arial"/>
              </w:rPr>
            </w:pPr>
            <w:r w:rsidRPr="00BB3760">
              <w:rPr>
                <w:rFonts w:cs="Arial"/>
              </w:rPr>
              <w:t>Treatment planning</w:t>
            </w:r>
          </w:p>
          <w:p w14:paraId="5684A539" w14:textId="77777777" w:rsidR="00D0444E" w:rsidRPr="00BB3760" w:rsidRDefault="00D0444E" w:rsidP="00AD309C">
            <w:pPr>
              <w:pStyle w:val="ListParagraph"/>
              <w:numPr>
                <w:ilvl w:val="0"/>
                <w:numId w:val="148"/>
              </w:numPr>
              <w:autoSpaceDE w:val="0"/>
              <w:autoSpaceDN w:val="0"/>
              <w:adjustRightInd w:val="0"/>
              <w:rPr>
                <w:rFonts w:cs="Arial"/>
              </w:rPr>
            </w:pPr>
            <w:r w:rsidRPr="00BB3760">
              <w:rPr>
                <w:rFonts w:cs="Arial"/>
              </w:rPr>
              <w:t>Patient screening (e.g., fall risk) and assessment</w:t>
            </w:r>
          </w:p>
        </w:tc>
      </w:tr>
      <w:tr w:rsidR="00D0444E" w:rsidRPr="00BB3760" w14:paraId="375EAB73" w14:textId="77777777" w:rsidTr="00D73F6A">
        <w:trPr>
          <w:trHeight w:val="1728"/>
          <w:jc w:val="center"/>
        </w:trPr>
        <w:tc>
          <w:tcPr>
            <w:tcW w:w="9477" w:type="dxa"/>
            <w:vAlign w:val="center"/>
          </w:tcPr>
          <w:p w14:paraId="15D26C3E" w14:textId="5C0AFF92" w:rsidR="00D0444E" w:rsidRPr="00BB3760" w:rsidRDefault="00D0444E" w:rsidP="00D73F6A">
            <w:pPr>
              <w:rPr>
                <w:rFonts w:cs="Arial"/>
              </w:rPr>
            </w:pPr>
            <w:r w:rsidRPr="00BB3760">
              <w:rPr>
                <w:rFonts w:cs="Arial"/>
                <w:b/>
                <w:bCs/>
              </w:rPr>
              <w:t xml:space="preserve">Question #19 (numerator): </w:t>
            </w:r>
            <w:r w:rsidRPr="00BB3760">
              <w:rPr>
                <w:rFonts w:cs="Arial"/>
              </w:rPr>
              <w:t>Total number of employed RN nursing staff at the hospital with direct patient care responsibilities who have a BSN degree or higher (e.g., MSN, DNP, and PhD).</w:t>
            </w:r>
          </w:p>
          <w:p w14:paraId="448F36B4" w14:textId="77777777" w:rsidR="00D0444E" w:rsidRPr="00BB3760" w:rsidRDefault="00D0444E" w:rsidP="00D73F6A">
            <w:pPr>
              <w:rPr>
                <w:rFonts w:cs="Arial"/>
              </w:rPr>
            </w:pPr>
          </w:p>
          <w:p w14:paraId="4532695D" w14:textId="77777777" w:rsidR="00D0444E" w:rsidRPr="00BB3760" w:rsidRDefault="00D0444E" w:rsidP="00D73F6A">
            <w:pPr>
              <w:rPr>
                <w:rFonts w:cs="Arial"/>
              </w:rPr>
            </w:pPr>
            <w:r w:rsidRPr="00BB3760">
              <w:rPr>
                <w:rFonts w:cs="Arial"/>
              </w:rPr>
              <w:t>Note: Hospitals can use any method to identify RN nursing staff who have a BSN degree or higher, including:</w:t>
            </w:r>
          </w:p>
          <w:p w14:paraId="3A00E3AF" w14:textId="77777777" w:rsidR="00D0444E" w:rsidRPr="00BB3760" w:rsidRDefault="00D0444E" w:rsidP="00AD309C">
            <w:pPr>
              <w:numPr>
                <w:ilvl w:val="0"/>
                <w:numId w:val="184"/>
              </w:numPr>
              <w:rPr>
                <w:rFonts w:cs="Arial"/>
              </w:rPr>
            </w:pPr>
            <w:r w:rsidRPr="00BB3760">
              <w:rPr>
                <w:rFonts w:cs="Arial"/>
              </w:rPr>
              <w:t>NDNQI Annual RN Survey</w:t>
            </w:r>
          </w:p>
          <w:p w14:paraId="4F2B94AE" w14:textId="7284D5D9" w:rsidR="00D0444E" w:rsidRPr="00BB3760" w:rsidRDefault="00D0444E" w:rsidP="00AD309C">
            <w:pPr>
              <w:numPr>
                <w:ilvl w:val="0"/>
                <w:numId w:val="184"/>
              </w:numPr>
              <w:rPr>
                <w:rFonts w:cs="Arial"/>
              </w:rPr>
            </w:pPr>
            <w:r w:rsidRPr="00BB3760">
              <w:rPr>
                <w:rFonts w:cs="Arial"/>
              </w:rPr>
              <w:t xml:space="preserve">Data collected by the nurse managers at the </w:t>
            </w:r>
            <w:r w:rsidR="00B96808">
              <w:rPr>
                <w:rFonts w:cs="Arial"/>
              </w:rPr>
              <w:t>hospital</w:t>
            </w:r>
          </w:p>
          <w:p w14:paraId="55F3A476" w14:textId="77777777" w:rsidR="00D0444E" w:rsidRPr="00BB3760" w:rsidRDefault="00D0444E" w:rsidP="00AD309C">
            <w:pPr>
              <w:pStyle w:val="ListParagraph"/>
              <w:numPr>
                <w:ilvl w:val="0"/>
                <w:numId w:val="184"/>
              </w:numPr>
              <w:rPr>
                <w:rFonts w:cs="Arial"/>
              </w:rPr>
            </w:pPr>
            <w:r w:rsidRPr="00BB3760">
              <w:rPr>
                <w:rFonts w:cs="Arial"/>
              </w:rPr>
              <w:t>Information from HR or credentialing office, or</w:t>
            </w:r>
          </w:p>
          <w:p w14:paraId="7EF9271E" w14:textId="77777777" w:rsidR="00D0444E" w:rsidRPr="00BB3760" w:rsidRDefault="00D0444E" w:rsidP="00AD309C">
            <w:pPr>
              <w:pStyle w:val="ListParagraph"/>
              <w:numPr>
                <w:ilvl w:val="0"/>
                <w:numId w:val="184"/>
              </w:numPr>
              <w:rPr>
                <w:rFonts w:cs="Arial"/>
              </w:rPr>
            </w:pPr>
            <w:r w:rsidRPr="00BB3760">
              <w:rPr>
                <w:rFonts w:cs="Arial"/>
              </w:rPr>
              <w:t>Staff survey via SurveyMonkey or other free data collection tool.</w:t>
            </w:r>
          </w:p>
        </w:tc>
      </w:tr>
    </w:tbl>
    <w:p w14:paraId="45E436DD" w14:textId="77777777" w:rsidR="00D0444E" w:rsidRPr="00213A7F" w:rsidRDefault="00D0444E" w:rsidP="00D0444E">
      <w:pPr>
        <w:rPr>
          <w:b/>
          <w:color w:val="000000"/>
          <w:sz w:val="22"/>
        </w:rPr>
      </w:pPr>
    </w:p>
    <w:p w14:paraId="74FCEBA5" w14:textId="7FC2A450" w:rsidR="00D0444E" w:rsidRDefault="00D0444E" w:rsidP="00D0444E">
      <w:pPr>
        <w:rPr>
          <w:rFonts w:cs="Arial"/>
          <w:b/>
          <w:i/>
          <w:snapToGrid w:val="0"/>
          <w:sz w:val="22"/>
          <w:szCs w:val="22"/>
          <w:lang w:eastAsia="ja-JP"/>
        </w:rPr>
      </w:pPr>
      <w:r w:rsidRPr="009A5185">
        <w:rPr>
          <w:rFonts w:cs="Arial"/>
          <w:color w:val="000000"/>
        </w:rPr>
        <w:t>See</w:t>
      </w:r>
      <w:r>
        <w:rPr>
          <w:rFonts w:cs="Arial"/>
          <w:color w:val="000000"/>
        </w:rPr>
        <w:t xml:space="preserve"> </w:t>
      </w:r>
      <w:hyperlink w:anchor="_Total_Nursing_Care" w:history="1">
        <w:r w:rsidRPr="001F0B72">
          <w:rPr>
            <w:rStyle w:val="Hyperlink"/>
            <w:rFonts w:cs="Arial"/>
          </w:rPr>
          <w:t>FAQs</w:t>
        </w:r>
      </w:hyperlink>
      <w:r w:rsidRPr="009A5185">
        <w:rPr>
          <w:rFonts w:cs="Arial"/>
          <w:color w:val="000000"/>
        </w:rPr>
        <w:t xml:space="preserve"> for additional information about responding to</w:t>
      </w:r>
      <w:r>
        <w:rPr>
          <w:rFonts w:cs="Arial"/>
          <w:color w:val="000000"/>
        </w:rPr>
        <w:t xml:space="preserve"> the</w:t>
      </w:r>
      <w:r w:rsidRPr="009A5185">
        <w:rPr>
          <w:rFonts w:cs="Arial"/>
          <w:color w:val="000000"/>
        </w:rPr>
        <w:t xml:space="preserve"> questions in this section.</w:t>
      </w:r>
      <w:r>
        <w:br w:type="page"/>
      </w:r>
    </w:p>
    <w:p w14:paraId="7DB01230" w14:textId="23E74D53" w:rsidR="00AF7112" w:rsidRPr="009A5185" w:rsidRDefault="00AF7112" w:rsidP="003440FB">
      <w:pPr>
        <w:pStyle w:val="BodyText3"/>
        <w:rPr>
          <w:rFonts w:cs="Arial"/>
          <w:lang w:eastAsia="ja-JP"/>
        </w:rPr>
      </w:pPr>
      <w:bookmarkStart w:id="435" w:name="_Toc236212810"/>
    </w:p>
    <w:p w14:paraId="66B6C6E1" w14:textId="7D50164B" w:rsidR="0003003B" w:rsidRPr="009A5185" w:rsidRDefault="00674415" w:rsidP="00CF5A6E">
      <w:pPr>
        <w:pStyle w:val="Heading2"/>
      </w:pPr>
      <w:bookmarkStart w:id="436" w:name="_Toc383775057"/>
      <w:bookmarkStart w:id="437" w:name="_Toc225877759"/>
      <w:r>
        <w:t xml:space="preserve">Section 5: </w:t>
      </w:r>
      <w:r w:rsidR="001708CD">
        <w:t>Physician and Nu</w:t>
      </w:r>
      <w:r w:rsidR="007C6D4E">
        <w:t>r</w:t>
      </w:r>
      <w:r w:rsidR="001708CD">
        <w:t xml:space="preserve">se </w:t>
      </w:r>
      <w:bookmarkEnd w:id="435"/>
      <w:r w:rsidR="00D55BF8">
        <w:t>Staffing</w:t>
      </w:r>
      <w:r w:rsidR="00474DDE">
        <w:t xml:space="preserve"> </w:t>
      </w:r>
      <w:r w:rsidR="0003003B" w:rsidRPr="009A5185">
        <w:t>Frequently Asked Questions (FAQs)</w:t>
      </w:r>
      <w:bookmarkEnd w:id="436"/>
      <w:bookmarkEnd w:id="437"/>
    </w:p>
    <w:p w14:paraId="0CF880EE" w14:textId="77777777" w:rsidR="00B125A3" w:rsidRDefault="00B125A3" w:rsidP="00B125A3">
      <w:pPr>
        <w:rPr>
          <w:rFonts w:cs="Arial"/>
          <w:lang w:eastAsia="ja-JP"/>
        </w:rPr>
      </w:pPr>
    </w:p>
    <w:p w14:paraId="6D903175" w14:textId="27030461" w:rsidR="00CE04EC" w:rsidRPr="009B5300" w:rsidRDefault="00CE04EC" w:rsidP="00B125A3">
      <w:pPr>
        <w:rPr>
          <w:rFonts w:cs="Arial"/>
          <w:b/>
          <w:i/>
          <w:snapToGrid w:val="0"/>
          <w:sz w:val="22"/>
          <w:szCs w:val="22"/>
          <w:lang w:eastAsia="ja-JP"/>
        </w:rPr>
      </w:pPr>
      <w:r w:rsidRPr="009B5300">
        <w:rPr>
          <w:rFonts w:cs="Arial"/>
          <w:b/>
          <w:i/>
          <w:snapToGrid w:val="0"/>
          <w:sz w:val="22"/>
          <w:szCs w:val="22"/>
          <w:lang w:eastAsia="ja-JP"/>
        </w:rPr>
        <w:t xml:space="preserve">Adult and Pediatric ICU </w:t>
      </w:r>
      <w:r>
        <w:rPr>
          <w:rFonts w:cs="Arial"/>
          <w:b/>
          <w:i/>
          <w:snapToGrid w:val="0"/>
          <w:sz w:val="22"/>
          <w:szCs w:val="22"/>
          <w:lang w:eastAsia="ja-JP"/>
        </w:rPr>
        <w:t>P</w:t>
      </w:r>
      <w:r w:rsidRPr="009B5300">
        <w:rPr>
          <w:rFonts w:cs="Arial"/>
          <w:b/>
          <w:i/>
          <w:snapToGrid w:val="0"/>
          <w:sz w:val="22"/>
          <w:szCs w:val="22"/>
          <w:lang w:eastAsia="ja-JP"/>
        </w:rPr>
        <w:t>hysician Staffing FAQs</w:t>
      </w:r>
    </w:p>
    <w:p w14:paraId="0381ED2B" w14:textId="77777777" w:rsidR="00CE04EC" w:rsidRPr="009A5185" w:rsidRDefault="00CE04EC" w:rsidP="00B125A3">
      <w:pPr>
        <w:rPr>
          <w:rFonts w:cs="Arial"/>
          <w:lang w:eastAsia="ja-JP"/>
        </w:rPr>
      </w:pPr>
    </w:p>
    <w:p w14:paraId="3476E01C" w14:textId="60EEC262" w:rsidR="00B125A3" w:rsidRPr="009A5185" w:rsidRDefault="0065217D" w:rsidP="00AB5B80">
      <w:pPr>
        <w:pStyle w:val="Heading3"/>
      </w:pPr>
      <w:bookmarkStart w:id="438" w:name="_Toc225877760"/>
      <w:r>
        <w:t xml:space="preserve">ICU </w:t>
      </w:r>
      <w:r w:rsidR="00B125A3" w:rsidRPr="009A5185">
        <w:t xml:space="preserve">General </w:t>
      </w:r>
      <w:r w:rsidR="00841087">
        <w:t>Questions</w:t>
      </w:r>
      <w:bookmarkEnd w:id="438"/>
    </w:p>
    <w:p w14:paraId="4F806E1C" w14:textId="687D4D8C" w:rsidR="0003003B" w:rsidRPr="009A5185" w:rsidRDefault="0003003B" w:rsidP="008D611A"/>
    <w:p w14:paraId="0D0CFD25" w14:textId="3B34788F" w:rsidR="00E4689D" w:rsidRPr="009A5185" w:rsidRDefault="00E4689D" w:rsidP="00AD309C">
      <w:pPr>
        <w:numPr>
          <w:ilvl w:val="0"/>
          <w:numId w:val="82"/>
        </w:numPr>
        <w:rPr>
          <w:rFonts w:cs="Arial"/>
          <w:b/>
        </w:rPr>
      </w:pPr>
      <w:r w:rsidRPr="009A5185">
        <w:rPr>
          <w:rFonts w:cs="Arial"/>
          <w:b/>
        </w:rPr>
        <w:t xml:space="preserve">What is the reporting period for </w:t>
      </w:r>
      <w:r w:rsidR="006B77DC" w:rsidRPr="009A5185">
        <w:rPr>
          <w:rFonts w:cs="Arial"/>
          <w:b/>
        </w:rPr>
        <w:t>th</w:t>
      </w:r>
      <w:r w:rsidR="006B77DC">
        <w:rPr>
          <w:rFonts w:cs="Arial"/>
          <w:b/>
        </w:rPr>
        <w:t>e ICU</w:t>
      </w:r>
      <w:r w:rsidR="006B77DC" w:rsidRPr="009A5185">
        <w:rPr>
          <w:rFonts w:cs="Arial"/>
          <w:b/>
        </w:rPr>
        <w:t xml:space="preserve"> </w:t>
      </w:r>
      <w:r w:rsidRPr="009A5185">
        <w:rPr>
          <w:rFonts w:cs="Arial"/>
          <w:b/>
        </w:rPr>
        <w:t>measure?</w:t>
      </w:r>
    </w:p>
    <w:p w14:paraId="4658272B" w14:textId="3F7979A7" w:rsidR="00E4689D" w:rsidRPr="009A5185" w:rsidRDefault="00E4689D" w:rsidP="00E4689D">
      <w:pPr>
        <w:ind w:left="720"/>
        <w:rPr>
          <w:rFonts w:cs="Arial"/>
        </w:rPr>
      </w:pPr>
      <w:r w:rsidRPr="009A5185">
        <w:rPr>
          <w:rFonts w:cs="Arial"/>
        </w:rPr>
        <w:t>Hospitals should report on Section 5</w:t>
      </w:r>
      <w:r w:rsidR="006B77DC">
        <w:rPr>
          <w:rFonts w:cs="Arial"/>
        </w:rPr>
        <w:t>A and 5B</w:t>
      </w:r>
      <w:r w:rsidRPr="009A5185">
        <w:rPr>
          <w:rFonts w:cs="Arial"/>
        </w:rPr>
        <w:t xml:space="preserve"> based on their staffing structure </w:t>
      </w:r>
      <w:r w:rsidR="00F256E3">
        <w:rPr>
          <w:rFonts w:cs="Arial"/>
          <w:u w:val="single"/>
        </w:rPr>
        <w:t>at the time they submit this section of the</w:t>
      </w:r>
      <w:r w:rsidRPr="009A5185">
        <w:rPr>
          <w:rFonts w:cs="Arial"/>
          <w:u w:val="single"/>
        </w:rPr>
        <w:t xml:space="preserve"> </w:t>
      </w:r>
      <w:r w:rsidR="00C14AFF" w:rsidRPr="009A5185">
        <w:rPr>
          <w:rFonts w:cs="Arial"/>
          <w:u w:val="single"/>
        </w:rPr>
        <w:t>Survey</w:t>
      </w:r>
      <w:r w:rsidRPr="009A5185">
        <w:rPr>
          <w:rFonts w:cs="Arial"/>
        </w:rPr>
        <w:t xml:space="preserve">. The staffing structure </w:t>
      </w:r>
      <w:r w:rsidR="002D207C">
        <w:rPr>
          <w:rFonts w:cs="Arial"/>
        </w:rPr>
        <w:t xml:space="preserve">must have </w:t>
      </w:r>
      <w:r w:rsidRPr="009A5185">
        <w:rPr>
          <w:rFonts w:cs="Arial"/>
        </w:rPr>
        <w:t>been in place for at least the past 3 months and should reflect the ordinary staffing structure for the ICU.</w:t>
      </w:r>
    </w:p>
    <w:p w14:paraId="3EE37556" w14:textId="77777777" w:rsidR="00E4689D" w:rsidRPr="009A5185" w:rsidRDefault="00E4689D" w:rsidP="00E4689D">
      <w:pPr>
        <w:ind w:left="720"/>
        <w:rPr>
          <w:rFonts w:cs="Arial"/>
        </w:rPr>
      </w:pPr>
    </w:p>
    <w:p w14:paraId="3719407B" w14:textId="77777777" w:rsidR="00E4689D" w:rsidRPr="009A5185" w:rsidRDefault="00E4689D" w:rsidP="00AD309C">
      <w:pPr>
        <w:numPr>
          <w:ilvl w:val="0"/>
          <w:numId w:val="82"/>
        </w:numPr>
        <w:rPr>
          <w:rFonts w:cs="Arial"/>
          <w:b/>
        </w:rPr>
      </w:pPr>
      <w:r w:rsidRPr="009A5185">
        <w:rPr>
          <w:rFonts w:cs="Arial"/>
          <w:b/>
        </w:rPr>
        <w:t>How should hospitals report if they have more than one type of qualifying ICU?</w:t>
      </w:r>
    </w:p>
    <w:p w14:paraId="5ECB7929" w14:textId="6A71EE64" w:rsidR="00E4689D" w:rsidRPr="00E211BE" w:rsidRDefault="005F2BA1" w:rsidP="000F510F">
      <w:pPr>
        <w:ind w:left="720"/>
        <w:rPr>
          <w:rFonts w:cs="Arial"/>
          <w:iCs/>
        </w:rPr>
      </w:pPr>
      <w:r w:rsidRPr="00E211BE">
        <w:rPr>
          <w:rFonts w:cs="Arial"/>
          <w:iCs/>
        </w:rPr>
        <w:t>If your hospital has more than one applicable ICU</w:t>
      </w:r>
      <w:r w:rsidR="00786DF6">
        <w:rPr>
          <w:rFonts w:cs="Arial"/>
          <w:iCs/>
        </w:rPr>
        <w:t xml:space="preserve"> </w:t>
      </w:r>
      <w:r w:rsidR="00786DF6" w:rsidRPr="00786DF6">
        <w:rPr>
          <w:rFonts w:cs="Arial"/>
          <w:iCs/>
        </w:rPr>
        <w:t>(i.e., multiple adult ICUs or multiple pediatric ICUs)</w:t>
      </w:r>
      <w:r w:rsidRPr="00E211BE">
        <w:rPr>
          <w:rFonts w:cs="Arial"/>
          <w:iCs/>
        </w:rPr>
        <w:t xml:space="preserve">, respond to all questions </w:t>
      </w:r>
      <w:r w:rsidR="00F7083E">
        <w:rPr>
          <w:rFonts w:cs="Arial"/>
          <w:iCs/>
        </w:rPr>
        <w:t xml:space="preserve">in </w:t>
      </w:r>
      <w:r w:rsidR="00786DF6">
        <w:rPr>
          <w:rFonts w:cs="Arial"/>
          <w:iCs/>
        </w:rPr>
        <w:t>each</w:t>
      </w:r>
      <w:r w:rsidR="00786DF6" w:rsidRPr="00E211BE">
        <w:rPr>
          <w:rFonts w:cs="Arial"/>
          <w:iCs/>
        </w:rPr>
        <w:t xml:space="preserve"> </w:t>
      </w:r>
      <w:r w:rsidRPr="00E211BE">
        <w:rPr>
          <w:rFonts w:cs="Arial"/>
          <w:iCs/>
        </w:rPr>
        <w:t>section based on the ICU that has the lowest level of staffing by physicians certified in critical care medicine</w:t>
      </w:r>
      <w:r w:rsidR="0070116C" w:rsidRPr="00E211BE">
        <w:rPr>
          <w:rFonts w:cs="Arial"/>
          <w:iCs/>
        </w:rPr>
        <w:t>.</w:t>
      </w:r>
      <w:r w:rsidR="00E211BE" w:rsidRPr="00E211BE">
        <w:rPr>
          <w:rFonts w:cs="Arial"/>
          <w:iCs/>
        </w:rPr>
        <w:t xml:space="preserve"> Review </w:t>
      </w:r>
      <w:hyperlink w:anchor="Endnote22_CCPatients" w:history="1">
        <w:r w:rsidR="00E211BE" w:rsidRPr="00987CCC">
          <w:rPr>
            <w:rStyle w:val="Hyperlink"/>
            <w:rFonts w:cs="Arial"/>
            <w:iCs/>
          </w:rPr>
          <w:t>endnote 34</w:t>
        </w:r>
      </w:hyperlink>
      <w:r w:rsidR="00E211BE" w:rsidRPr="00E211BE">
        <w:rPr>
          <w:rFonts w:cs="Arial"/>
          <w:iCs/>
        </w:rPr>
        <w:t xml:space="preserve"> for more information. </w:t>
      </w:r>
    </w:p>
    <w:p w14:paraId="3EF408DD" w14:textId="77777777" w:rsidR="00770A88" w:rsidRPr="009A5185" w:rsidRDefault="00770A88" w:rsidP="000F510F">
      <w:pPr>
        <w:ind w:left="720"/>
        <w:rPr>
          <w:rFonts w:cs="Arial"/>
        </w:rPr>
      </w:pPr>
    </w:p>
    <w:p w14:paraId="6EFC31DC" w14:textId="2AE1D998" w:rsidR="007A0378" w:rsidRPr="0086266E" w:rsidRDefault="00770A88" w:rsidP="00AD309C">
      <w:pPr>
        <w:pStyle w:val="ListParagraph"/>
        <w:numPr>
          <w:ilvl w:val="0"/>
          <w:numId w:val="82"/>
        </w:numPr>
        <w:spacing w:after="200"/>
        <w:rPr>
          <w:rFonts w:cs="Arial"/>
          <w:b/>
        </w:rPr>
      </w:pPr>
      <w:r w:rsidRPr="009A5185">
        <w:rPr>
          <w:rFonts w:cs="Arial"/>
          <w:b/>
        </w:rPr>
        <w:t xml:space="preserve">Does Leapfrog’s </w:t>
      </w:r>
      <w:r w:rsidR="003D274E">
        <w:rPr>
          <w:rFonts w:cs="Arial"/>
          <w:b/>
        </w:rPr>
        <w:t>ICU</w:t>
      </w:r>
      <w:r w:rsidR="003D274E" w:rsidRPr="009A5185">
        <w:rPr>
          <w:rFonts w:cs="Arial"/>
          <w:b/>
        </w:rPr>
        <w:t xml:space="preserve"> </w:t>
      </w:r>
      <w:r w:rsidRPr="009A5185">
        <w:rPr>
          <w:rFonts w:cs="Arial"/>
          <w:b/>
        </w:rPr>
        <w:t>standard apply to mixed acuity units? A multi-organizational service unit (MOSU) unit?</w:t>
      </w:r>
      <w:r w:rsidRPr="009A5185">
        <w:rPr>
          <w:rFonts w:cs="Arial"/>
          <w:b/>
        </w:rPr>
        <w:br/>
      </w:r>
      <w:r w:rsidRPr="009A5185">
        <w:rPr>
          <w:rFonts w:cs="Arial"/>
        </w:rPr>
        <w:t xml:space="preserve">The standard applies to </w:t>
      </w:r>
      <w:r w:rsidR="00570756">
        <w:rPr>
          <w:rFonts w:cs="Arial"/>
        </w:rPr>
        <w:t>all adult and pediatric general medical</w:t>
      </w:r>
      <w:r w:rsidR="00D12CDC">
        <w:rPr>
          <w:rFonts w:cs="Arial"/>
        </w:rPr>
        <w:t>, surgical, medical/</w:t>
      </w:r>
      <w:r w:rsidR="00570756">
        <w:rPr>
          <w:rFonts w:cs="Arial"/>
        </w:rPr>
        <w:t>surgical</w:t>
      </w:r>
      <w:r w:rsidR="009D7EF1">
        <w:rPr>
          <w:rFonts w:cs="Arial"/>
        </w:rPr>
        <w:t>,</w:t>
      </w:r>
      <w:r w:rsidR="00570756">
        <w:rPr>
          <w:rFonts w:cs="Arial"/>
        </w:rPr>
        <w:t xml:space="preserve"> and neuro critical care patients (medical and surgical), including those patients in mixed acuity units</w:t>
      </w:r>
      <w:r w:rsidR="00975F4E">
        <w:rPr>
          <w:rFonts w:cs="Arial"/>
        </w:rPr>
        <w:t xml:space="preserve"> and other </w:t>
      </w:r>
      <w:r w:rsidR="00732AC2">
        <w:rPr>
          <w:rFonts w:cs="Arial"/>
        </w:rPr>
        <w:t xml:space="preserve">non-critical care </w:t>
      </w:r>
      <w:r w:rsidR="00975F4E">
        <w:rPr>
          <w:rFonts w:cs="Arial"/>
        </w:rPr>
        <w:t>units</w:t>
      </w:r>
      <w:r w:rsidR="00570756">
        <w:rPr>
          <w:rFonts w:cs="Arial"/>
        </w:rPr>
        <w:t xml:space="preserve">. </w:t>
      </w:r>
    </w:p>
    <w:p w14:paraId="11AD3360" w14:textId="77777777" w:rsidR="007A0378" w:rsidRDefault="007A0378" w:rsidP="007A0378">
      <w:pPr>
        <w:pStyle w:val="ListParagraph"/>
        <w:spacing w:after="200"/>
        <w:rPr>
          <w:rFonts w:cs="Arial"/>
          <w:b/>
        </w:rPr>
      </w:pPr>
    </w:p>
    <w:p w14:paraId="0DEB7FF6" w14:textId="65A426DD" w:rsidR="002D210D" w:rsidRPr="0062341E" w:rsidRDefault="002D210D" w:rsidP="00AD309C">
      <w:pPr>
        <w:pStyle w:val="ListParagraph"/>
        <w:numPr>
          <w:ilvl w:val="0"/>
          <w:numId w:val="82"/>
        </w:numPr>
        <w:spacing w:after="200"/>
        <w:rPr>
          <w:rFonts w:cs="Arial"/>
          <w:b/>
        </w:rPr>
      </w:pPr>
      <w:r w:rsidRPr="0062341E">
        <w:rPr>
          <w:rFonts w:cs="Arial"/>
          <w:b/>
        </w:rPr>
        <w:t>Are cardiac critical care patients in a general medical</w:t>
      </w:r>
      <w:r w:rsidR="006C47CF">
        <w:rPr>
          <w:rFonts w:cs="Arial"/>
          <w:b/>
        </w:rPr>
        <w:t xml:space="preserve">, </w:t>
      </w:r>
      <w:r w:rsidRPr="0062341E">
        <w:rPr>
          <w:rFonts w:cs="Arial"/>
          <w:b/>
        </w:rPr>
        <w:t>surgical</w:t>
      </w:r>
      <w:r w:rsidR="006C47CF">
        <w:rPr>
          <w:rFonts w:cs="Arial"/>
          <w:b/>
        </w:rPr>
        <w:t xml:space="preserve">, </w:t>
      </w:r>
      <w:r w:rsidR="00452888">
        <w:rPr>
          <w:rFonts w:cs="Arial"/>
          <w:b/>
        </w:rPr>
        <w:t xml:space="preserve">and </w:t>
      </w:r>
      <w:r w:rsidR="006C47CF">
        <w:rPr>
          <w:rFonts w:cs="Arial"/>
          <w:b/>
        </w:rPr>
        <w:t xml:space="preserve">medical/surgical </w:t>
      </w:r>
      <w:r w:rsidRPr="0062341E">
        <w:rPr>
          <w:rFonts w:cs="Arial"/>
          <w:b/>
        </w:rPr>
        <w:t xml:space="preserve"> ICU required to be co-managed by an intensivist? </w:t>
      </w:r>
    </w:p>
    <w:p w14:paraId="5C882616" w14:textId="0D035F55" w:rsidR="00242B29" w:rsidRDefault="002D210D" w:rsidP="005A0935">
      <w:pPr>
        <w:pStyle w:val="ListParagraph"/>
        <w:spacing w:after="200"/>
        <w:rPr>
          <w:rFonts w:cs="Arial"/>
          <w:bCs/>
        </w:rPr>
      </w:pPr>
      <w:r w:rsidRPr="0062341E">
        <w:rPr>
          <w:rFonts w:cs="Arial"/>
          <w:bCs/>
        </w:rPr>
        <w:t xml:space="preserve">Cardiac critical care patients in a general </w:t>
      </w:r>
      <w:r w:rsidR="00374E03">
        <w:rPr>
          <w:rFonts w:cs="Arial"/>
          <w:bCs/>
        </w:rPr>
        <w:t>medical</w:t>
      </w:r>
      <w:r w:rsidR="00CC1230">
        <w:rPr>
          <w:rFonts w:cs="Arial"/>
          <w:bCs/>
        </w:rPr>
        <w:t xml:space="preserve">, </w:t>
      </w:r>
      <w:r w:rsidRPr="0062341E">
        <w:rPr>
          <w:rFonts w:cs="Arial"/>
          <w:bCs/>
        </w:rPr>
        <w:t>surgical</w:t>
      </w:r>
      <w:r w:rsidR="00CC1230">
        <w:rPr>
          <w:rFonts w:cs="Arial"/>
          <w:bCs/>
        </w:rPr>
        <w:t xml:space="preserve">, </w:t>
      </w:r>
      <w:r w:rsidR="005B29BE">
        <w:rPr>
          <w:rFonts w:cs="Arial"/>
          <w:bCs/>
        </w:rPr>
        <w:t xml:space="preserve">or </w:t>
      </w:r>
      <w:r w:rsidR="00CC1230">
        <w:rPr>
          <w:rFonts w:cs="Arial"/>
          <w:bCs/>
        </w:rPr>
        <w:t>medical/surgical</w:t>
      </w:r>
      <w:r w:rsidRPr="0062341E">
        <w:rPr>
          <w:rFonts w:cs="Arial"/>
          <w:bCs/>
        </w:rPr>
        <w:t xml:space="preserve"> ICU that</w:t>
      </w:r>
      <w:r w:rsidR="00374E03">
        <w:rPr>
          <w:rFonts w:cs="Arial"/>
          <w:bCs/>
        </w:rPr>
        <w:t xml:space="preserve"> are in</w:t>
      </w:r>
      <w:r w:rsidRPr="0062341E">
        <w:rPr>
          <w:rFonts w:cs="Arial"/>
          <w:bCs/>
        </w:rPr>
        <w:t xml:space="preserve"> beds</w:t>
      </w:r>
      <w:r w:rsidR="00374E03">
        <w:rPr>
          <w:rFonts w:cs="Arial"/>
          <w:bCs/>
        </w:rPr>
        <w:t xml:space="preserve"> </w:t>
      </w:r>
      <w:r w:rsidR="00374E03" w:rsidRPr="00A52EAE">
        <w:rPr>
          <w:rFonts w:cs="Arial"/>
          <w:bCs/>
          <w:u w:val="single"/>
        </w:rPr>
        <w:t>dedicated</w:t>
      </w:r>
      <w:r w:rsidR="00374E03">
        <w:rPr>
          <w:rFonts w:cs="Arial"/>
          <w:bCs/>
        </w:rPr>
        <w:t xml:space="preserve"> to cardiac critical care patients</w:t>
      </w:r>
      <w:r w:rsidRPr="0062341E">
        <w:rPr>
          <w:rFonts w:cs="Arial"/>
          <w:bCs/>
        </w:rPr>
        <w:t xml:space="preserve"> and</w:t>
      </w:r>
      <w:r w:rsidR="00374E03">
        <w:rPr>
          <w:rFonts w:cs="Arial"/>
          <w:bCs/>
        </w:rPr>
        <w:t xml:space="preserve"> being cared for by </w:t>
      </w:r>
      <w:r w:rsidR="00374E03" w:rsidRPr="00A52EAE">
        <w:rPr>
          <w:rFonts w:cs="Arial"/>
          <w:bCs/>
          <w:u w:val="single"/>
        </w:rPr>
        <w:t xml:space="preserve">dedicated </w:t>
      </w:r>
      <w:r w:rsidR="00374E03">
        <w:rPr>
          <w:rFonts w:cs="Arial"/>
          <w:bCs/>
        </w:rPr>
        <w:t xml:space="preserve">cardiac physicians </w:t>
      </w:r>
      <w:r w:rsidR="0015193A">
        <w:rPr>
          <w:rFonts w:cs="Arial"/>
          <w:bCs/>
        </w:rPr>
        <w:t xml:space="preserve">(e.g., cardiologist or cardiac surgeon) </w:t>
      </w:r>
      <w:r w:rsidR="00374E03">
        <w:rPr>
          <w:rFonts w:cs="Arial"/>
          <w:bCs/>
        </w:rPr>
        <w:t xml:space="preserve">and </w:t>
      </w:r>
      <w:r w:rsidRPr="0062341E">
        <w:rPr>
          <w:rFonts w:cs="Arial"/>
          <w:bCs/>
        </w:rPr>
        <w:t xml:space="preserve">nursing staff are not included in Leapfrog's ICU Physician Staffing standard and do not need to be managed/co-managed by </w:t>
      </w:r>
      <w:r w:rsidR="00374E03">
        <w:rPr>
          <w:rFonts w:cs="Arial"/>
          <w:bCs/>
        </w:rPr>
        <w:t>the</w:t>
      </w:r>
      <w:r w:rsidRPr="0062341E">
        <w:rPr>
          <w:rFonts w:cs="Arial"/>
          <w:bCs/>
        </w:rPr>
        <w:t xml:space="preserve"> intensivist.</w:t>
      </w:r>
      <w:r w:rsidR="00374E03">
        <w:rPr>
          <w:rFonts w:cs="Arial"/>
          <w:bCs/>
        </w:rPr>
        <w:t xml:space="preserve"> </w:t>
      </w:r>
      <w:r w:rsidR="00AC6D00">
        <w:rPr>
          <w:rFonts w:cs="Arial"/>
          <w:bCs/>
        </w:rPr>
        <w:t>However, c</w:t>
      </w:r>
      <w:r w:rsidR="00374E03">
        <w:rPr>
          <w:rFonts w:cs="Arial"/>
          <w:bCs/>
        </w:rPr>
        <w:t>ardiac critical care patients in a general medical</w:t>
      </w:r>
      <w:r w:rsidR="00666C80">
        <w:rPr>
          <w:rFonts w:cs="Arial"/>
          <w:bCs/>
        </w:rPr>
        <w:t xml:space="preserve">, </w:t>
      </w:r>
      <w:r w:rsidR="00374E03">
        <w:rPr>
          <w:rFonts w:cs="Arial"/>
          <w:bCs/>
        </w:rPr>
        <w:t>surgical</w:t>
      </w:r>
      <w:r w:rsidR="008B43FC">
        <w:rPr>
          <w:rFonts w:cs="Arial"/>
          <w:bCs/>
        </w:rPr>
        <w:t>, or medical/surgical</w:t>
      </w:r>
      <w:r w:rsidR="00374E03">
        <w:rPr>
          <w:rFonts w:cs="Arial"/>
          <w:bCs/>
        </w:rPr>
        <w:t xml:space="preserve"> ICU bed being cared for by general medical or surgical critical care physicians and nursing staff are included in the standard and do need to be managed/co-managed by the intensivist. </w:t>
      </w:r>
      <w:r w:rsidR="0070116C">
        <w:rPr>
          <w:rFonts w:cs="Arial"/>
          <w:bCs/>
        </w:rPr>
        <w:t>Additional</w:t>
      </w:r>
      <w:r w:rsidR="00AC6D00" w:rsidRPr="00AC6D00">
        <w:rPr>
          <w:rFonts w:cs="Arial"/>
          <w:bCs/>
        </w:rPr>
        <w:t xml:space="preserve"> clarification </w:t>
      </w:r>
      <w:r w:rsidR="0070116C">
        <w:rPr>
          <w:rFonts w:cs="Arial"/>
          <w:bCs/>
        </w:rPr>
        <w:t xml:space="preserve">is available </w:t>
      </w:r>
      <w:hyperlink w:anchor="generalmedicalsurgicalandneuroicu" w:history="1">
        <w:r w:rsidR="0070116C" w:rsidRPr="0070116C">
          <w:rPr>
            <w:rStyle w:val="Hyperlink"/>
            <w:rFonts w:cs="Arial"/>
            <w:bCs/>
          </w:rPr>
          <w:t>here</w:t>
        </w:r>
      </w:hyperlink>
      <w:r w:rsidR="0070116C">
        <w:rPr>
          <w:rFonts w:cs="Arial"/>
          <w:bCs/>
        </w:rPr>
        <w:t xml:space="preserve">. </w:t>
      </w:r>
    </w:p>
    <w:p w14:paraId="3DB70870" w14:textId="77777777" w:rsidR="00D40873" w:rsidRDefault="00D40873" w:rsidP="005A0935">
      <w:pPr>
        <w:pStyle w:val="ListParagraph"/>
        <w:spacing w:after="200"/>
        <w:rPr>
          <w:rFonts w:cs="Arial"/>
          <w:bCs/>
        </w:rPr>
      </w:pPr>
    </w:p>
    <w:p w14:paraId="73CC4A2E" w14:textId="2311A095" w:rsidR="00D40873" w:rsidRDefault="003D274E" w:rsidP="00AD309C">
      <w:pPr>
        <w:pStyle w:val="ListParagraph"/>
        <w:numPr>
          <w:ilvl w:val="0"/>
          <w:numId w:val="82"/>
        </w:numPr>
        <w:spacing w:after="200"/>
        <w:rPr>
          <w:rFonts w:cs="Arial"/>
          <w:b/>
        </w:rPr>
      </w:pPr>
      <w:r w:rsidRPr="003D274E">
        <w:rPr>
          <w:rFonts w:cs="Arial"/>
          <w:b/>
        </w:rPr>
        <w:t xml:space="preserve">Does Leapfrog’s ICU Physician Staffing standard include cardiac critical care patients? </w:t>
      </w:r>
    </w:p>
    <w:p w14:paraId="027053BB" w14:textId="7088344A" w:rsidR="003D274E" w:rsidRPr="00F52FB6" w:rsidRDefault="00F52FB6" w:rsidP="00F52FB6">
      <w:pPr>
        <w:pStyle w:val="ListParagraph"/>
        <w:spacing w:after="200"/>
      </w:pPr>
      <w:r w:rsidRPr="00F52FB6">
        <w:rPr>
          <w:rFonts w:cs="Arial"/>
          <w:bCs/>
        </w:rPr>
        <w:t>For the purposes of reporting on Section 5</w:t>
      </w:r>
      <w:r w:rsidR="007B57A7">
        <w:rPr>
          <w:rFonts w:cs="Arial"/>
          <w:bCs/>
        </w:rPr>
        <w:t>A and 5B</w:t>
      </w:r>
      <w:r w:rsidRPr="00F52FB6">
        <w:rPr>
          <w:rFonts w:cs="Arial"/>
          <w:bCs/>
        </w:rPr>
        <w:t>, cardiac critical care patients in general</w:t>
      </w:r>
      <w:r w:rsidRPr="001F2388">
        <w:t xml:space="preserve"> medical</w:t>
      </w:r>
      <w:r w:rsidR="00BC33DF">
        <w:t>, surgical,</w:t>
      </w:r>
      <w:r w:rsidR="00FF7B38">
        <w:t xml:space="preserve"> or medical/</w:t>
      </w:r>
      <w:r w:rsidRPr="001F2388">
        <w:t xml:space="preserve">surgical ICU beds being cared for by general medical </w:t>
      </w:r>
      <w:r w:rsidR="00A90134">
        <w:t>and/</w:t>
      </w:r>
      <w:r w:rsidRPr="001F2388">
        <w:t>or surgical critical care physicians and nursing staff are included in the standard and need to be managed/co-managed by the intensivist. Cardiac critical care patients in a general medical</w:t>
      </w:r>
      <w:r w:rsidR="00D14E74">
        <w:t xml:space="preserve">, </w:t>
      </w:r>
      <w:r w:rsidRPr="001F2388">
        <w:t>surgical</w:t>
      </w:r>
      <w:r w:rsidR="00D14E74">
        <w:t>, or medical/surgical</w:t>
      </w:r>
      <w:r w:rsidRPr="001F2388">
        <w:t xml:space="preserve"> ICU that are in beds dedicated to cardiac critical care patients and being cared for by dedicated cardiac physicians (e.g., cardiologist or cardiac surgeon) and nursing staff are not included in Leapfrog's ICU Physician Staffing standard and do not need to be managed/co-managed by the intensivist.</w:t>
      </w:r>
    </w:p>
    <w:p w14:paraId="1B58F6D8" w14:textId="03363771" w:rsidR="0002306E" w:rsidRPr="009A5185" w:rsidRDefault="00786DF6" w:rsidP="00AB5B80">
      <w:pPr>
        <w:pStyle w:val="Heading3"/>
      </w:pPr>
      <w:bookmarkStart w:id="439" w:name="_Toc225877761"/>
      <w:r>
        <w:t xml:space="preserve">ICU </w:t>
      </w:r>
      <w:r w:rsidR="0002306E" w:rsidRPr="009A5185">
        <w:t>Certification</w:t>
      </w:r>
      <w:bookmarkEnd w:id="439"/>
      <w:r w:rsidR="0002306E" w:rsidRPr="009A5185">
        <w:t xml:space="preserve"> </w:t>
      </w:r>
    </w:p>
    <w:p w14:paraId="3F027AA9" w14:textId="77777777" w:rsidR="0002306E" w:rsidRPr="009A5185" w:rsidRDefault="0002306E" w:rsidP="0002306E">
      <w:pPr>
        <w:ind w:left="720"/>
        <w:rPr>
          <w:rFonts w:cs="Arial"/>
          <w:b/>
        </w:rPr>
      </w:pPr>
    </w:p>
    <w:p w14:paraId="5D287617" w14:textId="1F59E258" w:rsidR="0002306E" w:rsidRPr="00D17229" w:rsidRDefault="0002306E" w:rsidP="00AD309C">
      <w:pPr>
        <w:pStyle w:val="ListParagraph"/>
        <w:numPr>
          <w:ilvl w:val="0"/>
          <w:numId w:val="82"/>
        </w:numPr>
        <w:rPr>
          <w:rFonts w:cs="Arial"/>
          <w:b/>
        </w:rPr>
      </w:pPr>
      <w:r w:rsidRPr="00D17229">
        <w:rPr>
          <w:rFonts w:cs="Arial"/>
          <w:b/>
        </w:rPr>
        <w:t>Is there any empirical basis for specifying a minimum annual number of days of ICU experience for each board-eligible physician providing ICU care?</w:t>
      </w:r>
    </w:p>
    <w:p w14:paraId="7447423E" w14:textId="77777777" w:rsidR="0002306E" w:rsidRPr="009A5185" w:rsidRDefault="0002306E" w:rsidP="0002306E">
      <w:pPr>
        <w:ind w:left="720"/>
        <w:rPr>
          <w:rFonts w:cs="Arial"/>
        </w:rPr>
      </w:pPr>
      <w:r w:rsidRPr="009A5185">
        <w:rPr>
          <w:rFonts w:cs="Arial"/>
        </w:rPr>
        <w:t>No. Accordingly, if it is added to the Leapfrog standard in the future, it will be based on newly published research and expert advice.</w:t>
      </w:r>
    </w:p>
    <w:p w14:paraId="6CC54852" w14:textId="77777777" w:rsidR="0002306E" w:rsidRPr="009A5185" w:rsidRDefault="0002306E" w:rsidP="0002306E">
      <w:pPr>
        <w:rPr>
          <w:rFonts w:cs="Arial"/>
        </w:rPr>
      </w:pPr>
    </w:p>
    <w:p w14:paraId="67745F1B" w14:textId="77777777" w:rsidR="0002306E" w:rsidRPr="009A5185" w:rsidRDefault="0002306E" w:rsidP="00AD309C">
      <w:pPr>
        <w:pStyle w:val="ListParagraph"/>
        <w:numPr>
          <w:ilvl w:val="0"/>
          <w:numId w:val="82"/>
        </w:numPr>
        <w:rPr>
          <w:rFonts w:cs="Arial"/>
          <w:b/>
        </w:rPr>
      </w:pPr>
      <w:r w:rsidRPr="009A5185">
        <w:rPr>
          <w:rFonts w:cs="Arial"/>
          <w:b/>
        </w:rPr>
        <w:t>Do all intensivists serving as tele-intensivists need to meet Leapfrog’s definition of “certified in critical care medicine”?</w:t>
      </w:r>
    </w:p>
    <w:p w14:paraId="76718F9B" w14:textId="77777777" w:rsidR="0002306E" w:rsidRPr="009A5185" w:rsidRDefault="0002306E" w:rsidP="0002306E">
      <w:pPr>
        <w:pStyle w:val="ListParagraph"/>
        <w:rPr>
          <w:rFonts w:cs="Arial"/>
        </w:rPr>
      </w:pPr>
      <w:r w:rsidRPr="009A5185">
        <w:rPr>
          <w:rFonts w:cs="Arial"/>
        </w:rPr>
        <w:t xml:space="preserve">Yes. All intensivists who serve as tele-intensivists do need to meet </w:t>
      </w:r>
      <w:hyperlink w:anchor="Endnote25_Certified" w:history="1">
        <w:r w:rsidRPr="0070116C">
          <w:rPr>
            <w:rStyle w:val="Hyperlink"/>
            <w:rFonts w:cs="Arial"/>
          </w:rPr>
          <w:t>Leapfrog’s definition</w:t>
        </w:r>
      </w:hyperlink>
      <w:r w:rsidRPr="009A5185">
        <w:rPr>
          <w:rFonts w:cs="Arial"/>
        </w:rPr>
        <w:t xml:space="preserve"> of “certified in critical care medicine</w:t>
      </w:r>
      <w:r>
        <w:rPr>
          <w:rFonts w:cs="Arial"/>
        </w:rPr>
        <w:t>.”</w:t>
      </w:r>
    </w:p>
    <w:p w14:paraId="7D9F36B9" w14:textId="77777777" w:rsidR="0002306E" w:rsidRPr="009A5185" w:rsidRDefault="0002306E" w:rsidP="0002306E">
      <w:pPr>
        <w:ind w:left="720"/>
        <w:rPr>
          <w:rFonts w:cs="Arial"/>
        </w:rPr>
      </w:pPr>
    </w:p>
    <w:p w14:paraId="60035C81" w14:textId="77777777" w:rsidR="0002306E" w:rsidRDefault="0002306E" w:rsidP="00AD309C">
      <w:pPr>
        <w:numPr>
          <w:ilvl w:val="0"/>
          <w:numId w:val="82"/>
        </w:numPr>
        <w:rPr>
          <w:rFonts w:cs="Arial"/>
          <w:b/>
        </w:rPr>
      </w:pPr>
      <w:r w:rsidRPr="004C590A">
        <w:rPr>
          <w:rFonts w:cs="Arial"/>
          <w:b/>
        </w:rPr>
        <w:t xml:space="preserve">Is a physician who is awaiting the results of the certification test considered “certified in critical care medicine”? </w:t>
      </w:r>
    </w:p>
    <w:p w14:paraId="7C00A018" w14:textId="77777777" w:rsidR="0002306E" w:rsidRDefault="0002306E" w:rsidP="0002306E">
      <w:pPr>
        <w:pStyle w:val="ListParagraph"/>
        <w:rPr>
          <w:rFonts w:cs="Arial"/>
        </w:rPr>
      </w:pPr>
      <w:r w:rsidRPr="0093747F">
        <w:rPr>
          <w:rFonts w:cs="Arial"/>
        </w:rPr>
        <w:t>A physician is considered certified in critical care medicine as long as the board that originally certified the physician in critical care medicine deems that physician certified. Intensivists that are close to having their certification lapse should check with the board that certified them to see how exactly that board defines a lapsed certification.</w:t>
      </w:r>
    </w:p>
    <w:p w14:paraId="339C0056" w14:textId="77777777" w:rsidR="00AB05C1" w:rsidRDefault="00AB05C1" w:rsidP="0002306E">
      <w:pPr>
        <w:pStyle w:val="ListParagraph"/>
        <w:rPr>
          <w:rFonts w:cs="Arial"/>
        </w:rPr>
      </w:pPr>
    </w:p>
    <w:p w14:paraId="09A7A731" w14:textId="7E3ADD15" w:rsidR="00E364E4" w:rsidRPr="00E364E4" w:rsidRDefault="00E364E4" w:rsidP="00AD309C">
      <w:pPr>
        <w:pStyle w:val="ListParagraph"/>
        <w:numPr>
          <w:ilvl w:val="0"/>
          <w:numId w:val="82"/>
        </w:numPr>
        <w:rPr>
          <w:rFonts w:cs="Arial"/>
          <w:b/>
          <w:bCs/>
        </w:rPr>
      </w:pPr>
      <w:r w:rsidRPr="00E364E4">
        <w:rPr>
          <w:rFonts w:cs="Arial"/>
          <w:b/>
          <w:bCs/>
        </w:rPr>
        <w:t xml:space="preserve">Are physicians board certified in critical care medicine from the American Osteopathic Association (AOA) considered “certified in </w:t>
      </w:r>
      <w:r w:rsidR="003B2D33">
        <w:rPr>
          <w:rFonts w:cs="Arial"/>
          <w:b/>
          <w:bCs/>
        </w:rPr>
        <w:t>c</w:t>
      </w:r>
      <w:r w:rsidRPr="00E364E4">
        <w:rPr>
          <w:rFonts w:cs="Arial"/>
          <w:b/>
          <w:bCs/>
        </w:rPr>
        <w:t xml:space="preserve">ritical </w:t>
      </w:r>
      <w:r w:rsidR="003B2D33">
        <w:rPr>
          <w:rFonts w:cs="Arial"/>
          <w:b/>
          <w:bCs/>
        </w:rPr>
        <w:t>c</w:t>
      </w:r>
      <w:r w:rsidRPr="00E364E4">
        <w:rPr>
          <w:rFonts w:cs="Arial"/>
          <w:b/>
          <w:bCs/>
        </w:rPr>
        <w:t xml:space="preserve">are </w:t>
      </w:r>
      <w:r w:rsidR="003B2D33">
        <w:rPr>
          <w:rFonts w:cs="Arial"/>
          <w:b/>
          <w:bCs/>
        </w:rPr>
        <w:t>m</w:t>
      </w:r>
      <w:r w:rsidRPr="00E364E4">
        <w:rPr>
          <w:rFonts w:cs="Arial"/>
          <w:b/>
          <w:bCs/>
        </w:rPr>
        <w:t>edicine” for Leapfrog’s ICU Physician Staffing Standard?</w:t>
      </w:r>
    </w:p>
    <w:p w14:paraId="61B1B3A6" w14:textId="5831A5D9" w:rsidR="00E364E4" w:rsidRPr="00E364E4" w:rsidRDefault="00E364E4" w:rsidP="00E364E4">
      <w:pPr>
        <w:pStyle w:val="ListParagraph"/>
        <w:rPr>
          <w:rFonts w:cs="Arial"/>
        </w:rPr>
      </w:pPr>
      <w:r w:rsidRPr="00E364E4">
        <w:rPr>
          <w:rFonts w:cs="Arial"/>
        </w:rPr>
        <w:t xml:space="preserve">Yes. Physicians with a board certification in critical care from American Osteopathic Association (AOA) are considered “certified in </w:t>
      </w:r>
      <w:r w:rsidR="003B2D33">
        <w:rPr>
          <w:rFonts w:cs="Arial"/>
        </w:rPr>
        <w:t>c</w:t>
      </w:r>
      <w:r w:rsidRPr="00E364E4">
        <w:rPr>
          <w:rFonts w:cs="Arial"/>
        </w:rPr>
        <w:t xml:space="preserve">ritical </w:t>
      </w:r>
      <w:r w:rsidR="003B2D33">
        <w:rPr>
          <w:rFonts w:cs="Arial"/>
        </w:rPr>
        <w:t>c</w:t>
      </w:r>
      <w:r w:rsidRPr="00E364E4">
        <w:rPr>
          <w:rFonts w:cs="Arial"/>
        </w:rPr>
        <w:t>are</w:t>
      </w:r>
      <w:r w:rsidR="003B2D33">
        <w:rPr>
          <w:rFonts w:cs="Arial"/>
        </w:rPr>
        <w:t xml:space="preserve"> m</w:t>
      </w:r>
      <w:r w:rsidRPr="00E364E4">
        <w:rPr>
          <w:rFonts w:cs="Arial"/>
        </w:rPr>
        <w:t>edicine.”</w:t>
      </w:r>
    </w:p>
    <w:p w14:paraId="3F0AB3C0" w14:textId="77777777" w:rsidR="0002306E" w:rsidRDefault="0002306E" w:rsidP="0002306E">
      <w:pPr>
        <w:rPr>
          <w:rFonts w:cs="Arial"/>
          <w:b/>
        </w:rPr>
      </w:pPr>
    </w:p>
    <w:p w14:paraId="189EB07B" w14:textId="77777777" w:rsidR="0002306E" w:rsidRPr="0093747F" w:rsidRDefault="0002306E" w:rsidP="00AD309C">
      <w:pPr>
        <w:pStyle w:val="ListParagraph"/>
        <w:numPr>
          <w:ilvl w:val="0"/>
          <w:numId w:val="82"/>
        </w:numPr>
        <w:rPr>
          <w:rFonts w:cs="Arial"/>
        </w:rPr>
      </w:pPr>
      <w:r w:rsidRPr="0093747F">
        <w:rPr>
          <w:rFonts w:cs="Arial"/>
          <w:b/>
        </w:rPr>
        <w:t xml:space="preserve">How should intensivists trained in critical medicine in a foreign country be treated for purposes of meeting the ICU Physician Staffing (IPS) Standard? </w:t>
      </w:r>
    </w:p>
    <w:p w14:paraId="1AE52F75" w14:textId="55D6C8B7" w:rsidR="0002306E" w:rsidRPr="0093747F" w:rsidRDefault="0002306E" w:rsidP="0002306E">
      <w:pPr>
        <w:pStyle w:val="ListParagraph"/>
        <w:rPr>
          <w:rFonts w:cs="Arial"/>
          <w:b/>
        </w:rPr>
      </w:pPr>
      <w:r w:rsidRPr="0093747F">
        <w:rPr>
          <w:rFonts w:cs="Arial"/>
        </w:rPr>
        <w:t xml:space="preserve">Foreign trained physicians who were certified in critical care medicine in the country in which they trained would be considered certified for the purposes of the ICU Physician </w:t>
      </w:r>
      <w:r>
        <w:rPr>
          <w:rFonts w:cs="Arial"/>
        </w:rPr>
        <w:t>S</w:t>
      </w:r>
      <w:r w:rsidRPr="0093747F">
        <w:rPr>
          <w:rFonts w:cs="Arial"/>
        </w:rPr>
        <w:t>taffing (IPS) standard.</w:t>
      </w:r>
    </w:p>
    <w:p w14:paraId="66978CA4" w14:textId="77777777" w:rsidR="008101DD" w:rsidRDefault="008101DD" w:rsidP="0086266E">
      <w:pPr>
        <w:rPr>
          <w:rFonts w:cs="Arial"/>
        </w:rPr>
      </w:pPr>
    </w:p>
    <w:p w14:paraId="5E5AC700" w14:textId="4E9C980E" w:rsidR="00F256E3" w:rsidRDefault="007B679A" w:rsidP="00AB5B80">
      <w:pPr>
        <w:pStyle w:val="Heading3"/>
      </w:pPr>
      <w:bookmarkStart w:id="440" w:name="_Toc225877762"/>
      <w:r>
        <w:t xml:space="preserve">ICU </w:t>
      </w:r>
      <w:r w:rsidR="00F256E3">
        <w:t>Telemedicine</w:t>
      </w:r>
      <w:bookmarkEnd w:id="440"/>
      <w:r w:rsidR="00F256E3">
        <w:t xml:space="preserve"> </w:t>
      </w:r>
    </w:p>
    <w:p w14:paraId="5B912D28" w14:textId="77777777" w:rsidR="00F256E3" w:rsidRPr="00F256E3" w:rsidRDefault="00F256E3" w:rsidP="00F256E3">
      <w:pPr>
        <w:rPr>
          <w:lang w:eastAsia="ja-JP"/>
        </w:rPr>
      </w:pPr>
    </w:p>
    <w:p w14:paraId="6B7E2F6B" w14:textId="62D14C46" w:rsidR="00F43B6B" w:rsidRPr="00F256E3" w:rsidRDefault="00F43B6B" w:rsidP="00AD309C">
      <w:pPr>
        <w:numPr>
          <w:ilvl w:val="0"/>
          <w:numId w:val="82"/>
        </w:numPr>
        <w:rPr>
          <w:rFonts w:cs="Arial"/>
          <w:b/>
        </w:rPr>
      </w:pPr>
      <w:r w:rsidRPr="00F256E3">
        <w:rPr>
          <w:rFonts w:cs="Arial"/>
          <w:b/>
        </w:rPr>
        <w:t>Can you clarify what you mean by combined presence of tele-intensivists and on-site intensivist</w:t>
      </w:r>
      <w:r w:rsidR="00F71607">
        <w:rPr>
          <w:rFonts w:cs="Arial"/>
          <w:b/>
        </w:rPr>
        <w:t>s</w:t>
      </w:r>
      <w:r w:rsidRPr="00F256E3">
        <w:rPr>
          <w:rFonts w:cs="Arial"/>
          <w:b/>
        </w:rPr>
        <w:t>, as needed, for 24 hours per day</w:t>
      </w:r>
      <w:r w:rsidR="00761763">
        <w:rPr>
          <w:rFonts w:cs="Arial"/>
          <w:b/>
        </w:rPr>
        <w:t>/</w:t>
      </w:r>
      <w:r w:rsidRPr="00F256E3">
        <w:rPr>
          <w:rFonts w:cs="Arial"/>
          <w:b/>
        </w:rPr>
        <w:t xml:space="preserve">7 days per week in </w:t>
      </w:r>
      <w:r w:rsidR="006C184E">
        <w:rPr>
          <w:rFonts w:cs="Arial"/>
          <w:b/>
        </w:rPr>
        <w:t>question #</w:t>
      </w:r>
      <w:r w:rsidR="008802E2">
        <w:rPr>
          <w:rFonts w:cs="Arial"/>
          <w:b/>
        </w:rPr>
        <w:t>6</w:t>
      </w:r>
      <w:r w:rsidR="007B679A">
        <w:rPr>
          <w:rFonts w:cs="Arial"/>
          <w:b/>
        </w:rPr>
        <w:t xml:space="preserve"> for Sections 5A and 5B</w:t>
      </w:r>
      <w:r w:rsidRPr="00F256E3">
        <w:rPr>
          <w:rFonts w:cs="Arial"/>
          <w:b/>
        </w:rPr>
        <w:t>?</w:t>
      </w:r>
    </w:p>
    <w:p w14:paraId="62EE1E8B" w14:textId="58D7A30A" w:rsidR="00F43B6B" w:rsidRPr="00075EB0" w:rsidRDefault="00F43B6B" w:rsidP="00F43B6B">
      <w:pPr>
        <w:ind w:left="720"/>
        <w:rPr>
          <w:rFonts w:cs="Arial"/>
        </w:rPr>
      </w:pPr>
      <w:r w:rsidRPr="00F256E3">
        <w:rPr>
          <w:rFonts w:cs="Arial"/>
        </w:rPr>
        <w:t xml:space="preserve">Hospitals can </w:t>
      </w:r>
      <w:r w:rsidR="00A15CAD">
        <w:rPr>
          <w:rFonts w:cs="Arial"/>
        </w:rPr>
        <w:t>achieve</w:t>
      </w:r>
      <w:r w:rsidRPr="00F256E3">
        <w:rPr>
          <w:rFonts w:cs="Arial"/>
        </w:rPr>
        <w:t xml:space="preserve"> Leapfrog’s IPS Standard by having </w:t>
      </w:r>
      <w:r w:rsidR="00232EEC">
        <w:rPr>
          <w:rFonts w:cs="Arial"/>
        </w:rPr>
        <w:t xml:space="preserve">daily on-site intensivist coverage combined with </w:t>
      </w:r>
      <w:r w:rsidRPr="00F256E3">
        <w:rPr>
          <w:rFonts w:cs="Arial"/>
        </w:rPr>
        <w:t xml:space="preserve">a </w:t>
      </w:r>
      <w:r w:rsidR="00F0668C">
        <w:rPr>
          <w:rFonts w:cs="Arial"/>
        </w:rPr>
        <w:t xml:space="preserve">telemedicine service that meets all ten of </w:t>
      </w:r>
      <w:hyperlink w:anchor="Endnote27_Telemedicine" w:history="1">
        <w:r w:rsidR="0070116C" w:rsidRPr="0070116C">
          <w:rPr>
            <w:rStyle w:val="Hyperlink"/>
            <w:rFonts w:cs="Arial"/>
          </w:rPr>
          <w:t>the Leapfrog requirements</w:t>
        </w:r>
      </w:hyperlink>
      <w:r w:rsidR="003D6923">
        <w:rPr>
          <w:rStyle w:val="Hyperlink"/>
          <w:rFonts w:cs="Arial"/>
        </w:rPr>
        <w:t xml:space="preserve">. </w:t>
      </w:r>
      <w:r w:rsidRPr="00075EB0">
        <w:rPr>
          <w:rFonts w:cs="Arial"/>
        </w:rPr>
        <w:t xml:space="preserve">For example, an </w:t>
      </w:r>
      <w:r w:rsidR="0077560F" w:rsidRPr="0077560F">
        <w:rPr>
          <w:rFonts w:cs="Arial"/>
        </w:rPr>
        <w:t xml:space="preserve">on-site intensivist </w:t>
      </w:r>
      <w:r w:rsidR="0077560F">
        <w:rPr>
          <w:rFonts w:cs="Arial"/>
        </w:rPr>
        <w:t xml:space="preserve">takes two hours in the morning to </w:t>
      </w:r>
      <w:r w:rsidR="0077560F" w:rsidRPr="0077560F">
        <w:rPr>
          <w:rFonts w:cs="Arial"/>
        </w:rPr>
        <w:t>establish and revise the daily care plan for each ICU patient</w:t>
      </w:r>
      <w:r w:rsidR="00B67A5E">
        <w:rPr>
          <w:rFonts w:cs="Arial"/>
        </w:rPr>
        <w:t xml:space="preserve">, then </w:t>
      </w:r>
      <w:r w:rsidRPr="00075EB0">
        <w:rPr>
          <w:rFonts w:cs="Arial"/>
        </w:rPr>
        <w:t xml:space="preserve">a tele-intensivist </w:t>
      </w:r>
      <w:r w:rsidR="00B67A5E">
        <w:rPr>
          <w:rFonts w:cs="Arial"/>
        </w:rPr>
        <w:t xml:space="preserve">picks up management or co-management of the ICU patients and </w:t>
      </w:r>
      <w:r w:rsidRPr="00075EB0">
        <w:rPr>
          <w:rFonts w:cs="Arial"/>
        </w:rPr>
        <w:t>is continually monitoring</w:t>
      </w:r>
      <w:r w:rsidR="00B67A5E">
        <w:rPr>
          <w:rFonts w:cs="Arial"/>
        </w:rPr>
        <w:t xml:space="preserve"> all</w:t>
      </w:r>
      <w:r w:rsidRPr="00075EB0">
        <w:rPr>
          <w:rFonts w:cs="Arial"/>
        </w:rPr>
        <w:t xml:space="preserve"> critical care patients for the remaining 22 hours, for a combined total of 24 hours per day</w:t>
      </w:r>
      <w:r w:rsidR="00761763" w:rsidRPr="00075EB0">
        <w:rPr>
          <w:rFonts w:cs="Arial"/>
        </w:rPr>
        <w:t>/</w:t>
      </w:r>
      <w:r w:rsidRPr="00075EB0">
        <w:rPr>
          <w:rFonts w:cs="Arial"/>
        </w:rPr>
        <w:t>7 days per week</w:t>
      </w:r>
      <w:r w:rsidR="000B3C8A">
        <w:rPr>
          <w:rFonts w:cs="Arial"/>
        </w:rPr>
        <w:t>.</w:t>
      </w:r>
    </w:p>
    <w:p w14:paraId="6416B24E" w14:textId="77777777" w:rsidR="00F43B6B" w:rsidRPr="00075EB0" w:rsidRDefault="00F43B6B" w:rsidP="00F43B6B">
      <w:pPr>
        <w:ind w:left="720"/>
        <w:rPr>
          <w:rFonts w:cs="Arial"/>
        </w:rPr>
      </w:pPr>
    </w:p>
    <w:p w14:paraId="55C3452F" w14:textId="23BFDECD" w:rsidR="00341319" w:rsidRPr="00D645C9" w:rsidRDefault="00A45E07" w:rsidP="0071447E">
      <w:pPr>
        <w:ind w:left="720"/>
        <w:rPr>
          <w:rFonts w:cs="Arial"/>
        </w:rPr>
      </w:pPr>
      <w:r>
        <w:rPr>
          <w:rFonts w:cs="Arial"/>
        </w:rPr>
        <w:t>H</w:t>
      </w:r>
      <w:r w:rsidR="00F43B6B" w:rsidRPr="00075EB0">
        <w:rPr>
          <w:rFonts w:cs="Arial"/>
        </w:rPr>
        <w:t xml:space="preserve">ospitals should minimize </w:t>
      </w:r>
      <w:hyperlink w:anchor="Endnote27_Telemedicine" w:history="1">
        <w:r w:rsidR="00F43B6B" w:rsidRPr="0070116C">
          <w:rPr>
            <w:rStyle w:val="Hyperlink"/>
            <w:rFonts w:cs="Arial"/>
          </w:rPr>
          <w:t>the number of hand-offs</w:t>
        </w:r>
      </w:hyperlink>
      <w:r w:rsidR="00F43B6B" w:rsidRPr="00075EB0">
        <w:rPr>
          <w:rFonts w:cs="Arial"/>
        </w:rPr>
        <w:t xml:space="preserve"> between the on-site intensivist and the tele-intensivist during a 24-hour period and maximize the continuous time that one type of intensivist is caring for critical care patients</w:t>
      </w:r>
      <w:r w:rsidR="00D645C9" w:rsidRPr="00075EB0">
        <w:rPr>
          <w:rFonts w:cs="Arial"/>
        </w:rPr>
        <w:t xml:space="preserve">. </w:t>
      </w:r>
      <w:r w:rsidR="00F43B6B" w:rsidRPr="00075EB0">
        <w:rPr>
          <w:rFonts w:cs="Arial"/>
          <w:b/>
        </w:rPr>
        <w:t>Leapfrog does not recommend more than 4 hand-offs per 24 hours.</w:t>
      </w:r>
      <w:r w:rsidR="00D645C9" w:rsidRPr="00075EB0">
        <w:rPr>
          <w:rFonts w:cs="Arial"/>
          <w:b/>
        </w:rPr>
        <w:t xml:space="preserve"> </w:t>
      </w:r>
    </w:p>
    <w:p w14:paraId="3F41F6AA" w14:textId="77777777" w:rsidR="00632F31" w:rsidRPr="009A5185" w:rsidRDefault="00632F31" w:rsidP="00F256E3">
      <w:pPr>
        <w:rPr>
          <w:rFonts w:cs="Arial"/>
        </w:rPr>
      </w:pPr>
    </w:p>
    <w:p w14:paraId="60A0A262" w14:textId="2239A932" w:rsidR="00632F31" w:rsidRPr="009A5185" w:rsidRDefault="00632F31" w:rsidP="00AD309C">
      <w:pPr>
        <w:numPr>
          <w:ilvl w:val="0"/>
          <w:numId w:val="82"/>
        </w:numPr>
        <w:rPr>
          <w:rFonts w:cs="Arial"/>
          <w:b/>
        </w:rPr>
      </w:pPr>
      <w:r w:rsidRPr="009A5185">
        <w:rPr>
          <w:rFonts w:cs="Arial"/>
          <w:b/>
        </w:rPr>
        <w:t xml:space="preserve">Our hospital uses a telemedicine service to provide coverage in our ICU for 16 hours/7 days </w:t>
      </w:r>
      <w:r w:rsidR="009E3C22">
        <w:rPr>
          <w:rFonts w:cs="Arial"/>
          <w:b/>
        </w:rPr>
        <w:t>per</w:t>
      </w:r>
      <w:r w:rsidRPr="009A5185">
        <w:rPr>
          <w:rFonts w:cs="Arial"/>
          <w:b/>
        </w:rPr>
        <w:t xml:space="preserve"> week coverage when the on-site intensivist is not present at the hospital. Can our hospital still fully meet Leapfrog’s standard?</w:t>
      </w:r>
    </w:p>
    <w:p w14:paraId="0D828683" w14:textId="476CDD0D" w:rsidR="00632F31" w:rsidRPr="009A5185" w:rsidRDefault="00632F31" w:rsidP="00632F31">
      <w:pPr>
        <w:ind w:left="720"/>
        <w:rPr>
          <w:rFonts w:cs="Arial"/>
        </w:rPr>
      </w:pPr>
      <w:r w:rsidRPr="009A5185">
        <w:rPr>
          <w:rFonts w:cs="Arial"/>
        </w:rPr>
        <w:t xml:space="preserve">Hospitals that </w:t>
      </w:r>
      <w:r w:rsidR="00C50228">
        <w:rPr>
          <w:rFonts w:cs="Arial"/>
        </w:rPr>
        <w:t>use telemedicine to cover “call”</w:t>
      </w:r>
      <w:r w:rsidRPr="009A5185">
        <w:rPr>
          <w:rFonts w:cs="Arial"/>
        </w:rPr>
        <w:t xml:space="preserve"> for the on-site intensivist are able to fully meet Leapfrog’s standard if: (1) the telemedicine service meets all ten of </w:t>
      </w:r>
      <w:hyperlink w:anchor="Endnote27_Telemedicine" w:history="1">
        <w:r w:rsidR="0070116C" w:rsidRPr="0070116C">
          <w:rPr>
            <w:rStyle w:val="Hyperlink"/>
            <w:rFonts w:cs="Arial"/>
          </w:rPr>
          <w:t>the Leapfrog requirements</w:t>
        </w:r>
      </w:hyperlink>
      <w:r w:rsidRPr="00C46A47">
        <w:rPr>
          <w:rFonts w:cs="Arial"/>
        </w:rPr>
        <w:t>; a</w:t>
      </w:r>
      <w:r w:rsidRPr="009A5185">
        <w:rPr>
          <w:rFonts w:cs="Arial"/>
        </w:rPr>
        <w:t>nd (2</w:t>
      </w:r>
      <w:r w:rsidR="00C50228">
        <w:rPr>
          <w:rFonts w:cs="Arial"/>
        </w:rPr>
        <w:t>) the hospital has an “effector”</w:t>
      </w:r>
      <w:r w:rsidR="00567776">
        <w:rPr>
          <w:rFonts w:cs="Arial"/>
        </w:rPr>
        <w:t xml:space="preserve"> (physician/PA/NP/FCCS-</w:t>
      </w:r>
      <w:r w:rsidRPr="009A5185">
        <w:rPr>
          <w:rFonts w:cs="Arial"/>
        </w:rPr>
        <w:t>certified nurse</w:t>
      </w:r>
      <w:r w:rsidR="00DF7F9D">
        <w:rPr>
          <w:rFonts w:cs="Arial"/>
        </w:rPr>
        <w:t xml:space="preserve"> or </w:t>
      </w:r>
      <w:r w:rsidR="00FA1DF4">
        <w:rPr>
          <w:rFonts w:cs="Arial"/>
        </w:rPr>
        <w:t>intern</w:t>
      </w:r>
      <w:r w:rsidR="00C50228">
        <w:rPr>
          <w:rFonts w:cs="Arial"/>
        </w:rPr>
        <w:t xml:space="preserve">) </w:t>
      </w:r>
      <w:r w:rsidRPr="009A5185">
        <w:rPr>
          <w:rFonts w:cs="Arial"/>
        </w:rPr>
        <w:t>on-site during that time period to carry out the tele</w:t>
      </w:r>
      <w:r w:rsidR="0031377B">
        <w:rPr>
          <w:rFonts w:cs="Arial"/>
        </w:rPr>
        <w:t>-</w:t>
      </w:r>
      <w:r w:rsidRPr="009A5185">
        <w:rPr>
          <w:rFonts w:cs="Arial"/>
        </w:rPr>
        <w:t>intensivist’s orders and can reach the ICU patient within 5 minutes, 95% of the time.</w:t>
      </w:r>
    </w:p>
    <w:p w14:paraId="6F5F99F8" w14:textId="77777777" w:rsidR="004635B5" w:rsidRPr="009A5185" w:rsidRDefault="004635B5" w:rsidP="00B125A3">
      <w:pPr>
        <w:rPr>
          <w:rFonts w:cs="Arial"/>
        </w:rPr>
      </w:pPr>
    </w:p>
    <w:p w14:paraId="79629505" w14:textId="3085595C" w:rsidR="00B125A3" w:rsidRPr="009A5185" w:rsidRDefault="007B679A" w:rsidP="00AB5B80">
      <w:pPr>
        <w:pStyle w:val="Heading3"/>
      </w:pPr>
      <w:bookmarkStart w:id="441" w:name="_Toc225877763"/>
      <w:r>
        <w:t xml:space="preserve">ICU </w:t>
      </w:r>
      <w:r w:rsidR="00B125A3" w:rsidRPr="009A5185">
        <w:t>Response Time</w:t>
      </w:r>
      <w:bookmarkEnd w:id="441"/>
      <w:r w:rsidR="00B125A3" w:rsidRPr="009A5185">
        <w:t xml:space="preserve"> </w:t>
      </w:r>
    </w:p>
    <w:p w14:paraId="55FBCE5C" w14:textId="77777777" w:rsidR="00E4689D" w:rsidRPr="009A5185" w:rsidRDefault="00E4689D" w:rsidP="00C50228">
      <w:pPr>
        <w:rPr>
          <w:rFonts w:cs="Arial"/>
          <w:lang w:eastAsia="ja-JP"/>
        </w:rPr>
      </w:pPr>
    </w:p>
    <w:p w14:paraId="38288ED7" w14:textId="77777777" w:rsidR="00E4689D" w:rsidRPr="009A5185" w:rsidRDefault="007C2746" w:rsidP="00AD309C">
      <w:pPr>
        <w:numPr>
          <w:ilvl w:val="0"/>
          <w:numId w:val="82"/>
        </w:numPr>
        <w:rPr>
          <w:rFonts w:cs="Arial"/>
        </w:rPr>
      </w:pPr>
      <w:r w:rsidRPr="009A5185">
        <w:rPr>
          <w:rFonts w:cs="Arial"/>
          <w:b/>
        </w:rPr>
        <w:t xml:space="preserve">Does Leapfrog </w:t>
      </w:r>
      <w:r w:rsidR="00E4689D" w:rsidRPr="009A5185">
        <w:rPr>
          <w:rFonts w:cs="Arial"/>
          <w:b/>
        </w:rPr>
        <w:t xml:space="preserve">specify standards for second tier calls (e.g., the initial call to a physician is not answered within </w:t>
      </w:r>
      <w:r w:rsidR="00C50228">
        <w:rPr>
          <w:rFonts w:cs="Arial"/>
          <w:b/>
        </w:rPr>
        <w:t>5 minutes</w:t>
      </w:r>
      <w:r w:rsidR="00E4689D" w:rsidRPr="009A5185">
        <w:rPr>
          <w:rFonts w:cs="Arial"/>
          <w:b/>
        </w:rPr>
        <w:t>)?</w:t>
      </w:r>
      <w:r w:rsidR="00E4689D" w:rsidRPr="009A5185">
        <w:rPr>
          <w:rFonts w:cs="Arial"/>
          <w:b/>
        </w:rPr>
        <w:br/>
      </w:r>
      <w:r w:rsidR="00E4689D" w:rsidRPr="009A5185">
        <w:rPr>
          <w:rFonts w:cs="Arial"/>
        </w:rPr>
        <w:t>No. We do not intend to reach this level of detail in our specifications, absent a compelling case that the gain would offset its added complexity.</w:t>
      </w:r>
    </w:p>
    <w:p w14:paraId="06FCABC5" w14:textId="77777777" w:rsidR="00E4689D" w:rsidRPr="009A5185" w:rsidRDefault="00E4689D" w:rsidP="00E4689D">
      <w:pPr>
        <w:rPr>
          <w:rFonts w:cs="Arial"/>
          <w:b/>
        </w:rPr>
      </w:pPr>
    </w:p>
    <w:p w14:paraId="2455147F" w14:textId="016B71F9" w:rsidR="008101DD" w:rsidRPr="008101DD" w:rsidRDefault="00C50228" w:rsidP="00AD309C">
      <w:pPr>
        <w:numPr>
          <w:ilvl w:val="0"/>
          <w:numId w:val="82"/>
        </w:numPr>
        <w:rPr>
          <w:rFonts w:cs="Arial"/>
          <w:lang w:eastAsia="ja-JP"/>
        </w:rPr>
      </w:pPr>
      <w:r w:rsidRPr="00C50228">
        <w:rPr>
          <w:rFonts w:cs="Arial"/>
          <w:b/>
        </w:rPr>
        <w:t>A</w:t>
      </w:r>
      <w:r w:rsidR="00E4689D" w:rsidRPr="00C50228">
        <w:rPr>
          <w:rFonts w:cs="Arial"/>
          <w:b/>
        </w:rPr>
        <w:t>re there definitions for what constitutes high and low urgency calls/pages</w:t>
      </w:r>
      <w:r w:rsidR="0069528D" w:rsidRPr="00C50228">
        <w:rPr>
          <w:rFonts w:cs="Arial"/>
          <w:b/>
        </w:rPr>
        <w:t>/texts</w:t>
      </w:r>
      <w:r w:rsidR="00E4689D" w:rsidRPr="00C50228">
        <w:rPr>
          <w:rFonts w:cs="Arial"/>
          <w:b/>
        </w:rPr>
        <w:t>?</w:t>
      </w:r>
      <w:r w:rsidR="00E4689D" w:rsidRPr="00C50228">
        <w:rPr>
          <w:rFonts w:cs="Arial"/>
          <w:b/>
        </w:rPr>
        <w:br/>
      </w:r>
      <w:r>
        <w:rPr>
          <w:rFonts w:cs="Arial"/>
        </w:rPr>
        <w:t xml:space="preserve">No, and hospitals </w:t>
      </w:r>
      <w:r w:rsidR="00E4689D" w:rsidRPr="00C50228">
        <w:rPr>
          <w:rFonts w:cs="Arial"/>
        </w:rPr>
        <w:t>don’t have to focus only on high urgency calls/pages</w:t>
      </w:r>
      <w:r w:rsidR="0069528D" w:rsidRPr="00C50228">
        <w:rPr>
          <w:rFonts w:cs="Arial"/>
        </w:rPr>
        <w:t>/texts</w:t>
      </w:r>
      <w:r>
        <w:rPr>
          <w:rFonts w:cs="Arial"/>
        </w:rPr>
        <w:t xml:space="preserve">, </w:t>
      </w:r>
      <w:r w:rsidR="00E4689D" w:rsidRPr="00C50228">
        <w:rPr>
          <w:rFonts w:cs="Arial"/>
        </w:rPr>
        <w:t xml:space="preserve">but some notification device systems can make this </w:t>
      </w:r>
      <w:r w:rsidR="000A554A" w:rsidRPr="00C50228">
        <w:rPr>
          <w:rFonts w:cs="Arial"/>
        </w:rPr>
        <w:t>differentiation,</w:t>
      </w:r>
      <w:r w:rsidR="00E4689D" w:rsidRPr="00C50228">
        <w:rPr>
          <w:rFonts w:cs="Arial"/>
        </w:rPr>
        <w:t xml:space="preserve"> and, in these instances, low urgency calls/pages</w:t>
      </w:r>
      <w:r w:rsidR="0069528D" w:rsidRPr="00C50228">
        <w:rPr>
          <w:rFonts w:cs="Arial"/>
        </w:rPr>
        <w:t>/texts</w:t>
      </w:r>
      <w:r w:rsidR="00E4689D" w:rsidRPr="00C50228">
        <w:rPr>
          <w:rFonts w:cs="Arial"/>
        </w:rPr>
        <w:t xml:space="preserve"> can be </w:t>
      </w:r>
      <w:r w:rsidR="009E3C22">
        <w:rPr>
          <w:rFonts w:cs="Arial"/>
        </w:rPr>
        <w:t>excluded from</w:t>
      </w:r>
      <w:r w:rsidR="00E4689D" w:rsidRPr="00C50228">
        <w:rPr>
          <w:rFonts w:cs="Arial"/>
        </w:rPr>
        <w:t xml:space="preserve"> t</w:t>
      </w:r>
      <w:r w:rsidRPr="00C50228">
        <w:rPr>
          <w:rFonts w:cs="Arial"/>
        </w:rPr>
        <w:t>he analysis of response times.</w:t>
      </w:r>
      <w:r w:rsidRPr="00C50228">
        <w:rPr>
          <w:rFonts w:cs="Arial"/>
        </w:rPr>
        <w:br/>
      </w:r>
    </w:p>
    <w:p w14:paraId="59C72C4E" w14:textId="040EC9CB" w:rsidR="00BB741A" w:rsidRPr="009A5185" w:rsidRDefault="00BB741A" w:rsidP="00AD309C">
      <w:pPr>
        <w:numPr>
          <w:ilvl w:val="0"/>
          <w:numId w:val="82"/>
        </w:numPr>
        <w:rPr>
          <w:rFonts w:cs="Arial"/>
          <w:b/>
        </w:rPr>
      </w:pPr>
      <w:r w:rsidRPr="009A5185">
        <w:rPr>
          <w:rFonts w:cs="Arial"/>
          <w:b/>
        </w:rPr>
        <w:t xml:space="preserve">If my hospital has </w:t>
      </w:r>
      <w:r w:rsidR="00FA1DF4">
        <w:rPr>
          <w:rFonts w:cs="Arial"/>
          <w:b/>
        </w:rPr>
        <w:t>few</w:t>
      </w:r>
      <w:r w:rsidRPr="009A5185">
        <w:rPr>
          <w:rFonts w:cs="Arial"/>
          <w:b/>
        </w:rPr>
        <w:t xml:space="preserve"> instances where there is no intensivist coverage, how should we conduct the </w:t>
      </w:r>
      <w:r w:rsidR="007545B5" w:rsidRPr="009A5185">
        <w:rPr>
          <w:rFonts w:cs="Arial"/>
          <w:b/>
        </w:rPr>
        <w:t>response</w:t>
      </w:r>
      <w:r w:rsidR="00431091">
        <w:rPr>
          <w:rFonts w:cs="Arial"/>
          <w:b/>
        </w:rPr>
        <w:t xml:space="preserve"> </w:t>
      </w:r>
      <w:r w:rsidR="007545B5" w:rsidRPr="009A5185">
        <w:rPr>
          <w:rFonts w:cs="Arial"/>
          <w:b/>
        </w:rPr>
        <w:t>time</w:t>
      </w:r>
      <w:r w:rsidRPr="009A5185">
        <w:rPr>
          <w:rFonts w:cs="Arial"/>
          <w:b/>
        </w:rPr>
        <w:t xml:space="preserve"> audit? Can we perform mock pages to satisfy the intent?</w:t>
      </w:r>
    </w:p>
    <w:p w14:paraId="48FB8DAB" w14:textId="1200010D" w:rsidR="00BB741A" w:rsidRDefault="007545B5" w:rsidP="005652A9">
      <w:pPr>
        <w:ind w:left="720"/>
        <w:rPr>
          <w:rFonts w:cs="Arial"/>
        </w:rPr>
      </w:pPr>
      <w:r w:rsidRPr="009A5185">
        <w:rPr>
          <w:rFonts w:cs="Arial"/>
        </w:rPr>
        <w:t>U</w:t>
      </w:r>
      <w:r w:rsidR="00BB741A" w:rsidRPr="009A5185">
        <w:rPr>
          <w:rFonts w:cs="Arial"/>
        </w:rPr>
        <w:t>nannounced</w:t>
      </w:r>
      <w:r w:rsidRPr="009A5185">
        <w:rPr>
          <w:rFonts w:cs="Arial"/>
        </w:rPr>
        <w:t xml:space="preserve"> mock</w:t>
      </w:r>
      <w:r w:rsidR="00BB741A" w:rsidRPr="009A5185">
        <w:rPr>
          <w:rFonts w:cs="Arial"/>
        </w:rPr>
        <w:t xml:space="preserve"> pages would meet the intent. </w:t>
      </w:r>
      <w:r w:rsidR="0083355C" w:rsidRPr="009A5185">
        <w:rPr>
          <w:rFonts w:cs="Arial"/>
        </w:rPr>
        <w:t>For</w:t>
      </w:r>
      <w:r w:rsidR="00BB741A" w:rsidRPr="009A5185">
        <w:rPr>
          <w:rFonts w:cs="Arial"/>
        </w:rPr>
        <w:t xml:space="preserve"> the audit to be reliable, 20</w:t>
      </w:r>
      <w:r w:rsidRPr="009A5185">
        <w:rPr>
          <w:rFonts w:cs="Arial"/>
        </w:rPr>
        <w:t xml:space="preserve"> unannounced</w:t>
      </w:r>
      <w:r w:rsidR="00BB741A" w:rsidRPr="009A5185">
        <w:rPr>
          <w:rFonts w:cs="Arial"/>
        </w:rPr>
        <w:t xml:space="preserve"> mock pages over 90 days should be evaluated.</w:t>
      </w:r>
    </w:p>
    <w:p w14:paraId="139FF536" w14:textId="77777777" w:rsidR="00AF2B23" w:rsidRPr="00AF2B23" w:rsidRDefault="00AF2B23" w:rsidP="00C50228">
      <w:pPr>
        <w:rPr>
          <w:rFonts w:cs="Arial"/>
        </w:rPr>
      </w:pPr>
    </w:p>
    <w:p w14:paraId="7A8EC532" w14:textId="77777777" w:rsidR="007E37A7" w:rsidRPr="009A5185" w:rsidRDefault="007E37A7" w:rsidP="00AD309C">
      <w:pPr>
        <w:numPr>
          <w:ilvl w:val="0"/>
          <w:numId w:val="82"/>
        </w:numPr>
        <w:rPr>
          <w:rFonts w:cs="Arial"/>
          <w:b/>
        </w:rPr>
      </w:pPr>
      <w:r w:rsidRPr="009A5185">
        <w:rPr>
          <w:rFonts w:cs="Arial"/>
          <w:b/>
          <w:bCs/>
        </w:rPr>
        <w:t>When an intensivist is not on-site in the ICU, can hospitals use a non-FCCS-cer</w:t>
      </w:r>
      <w:r w:rsidR="00C50228">
        <w:rPr>
          <w:rFonts w:cs="Arial"/>
          <w:b/>
          <w:bCs/>
        </w:rPr>
        <w:t xml:space="preserve">tified CRNA as the “effector?” </w:t>
      </w:r>
    </w:p>
    <w:p w14:paraId="5230124A" w14:textId="77777777" w:rsidR="00C50228" w:rsidRDefault="00C50228" w:rsidP="00C50228">
      <w:pPr>
        <w:pStyle w:val="ListParagraph"/>
        <w:rPr>
          <w:rFonts w:cs="Arial"/>
          <w:highlight w:val="yellow"/>
        </w:rPr>
      </w:pPr>
      <w:r>
        <w:rPr>
          <w:rFonts w:cs="Arial"/>
        </w:rPr>
        <w:t>No. To serve as the “effector,”</w:t>
      </w:r>
      <w:r w:rsidR="007E37A7" w:rsidRPr="009A5185">
        <w:rPr>
          <w:rFonts w:cs="Arial"/>
        </w:rPr>
        <w:t xml:space="preserve"> CRN</w:t>
      </w:r>
      <w:r>
        <w:rPr>
          <w:rFonts w:cs="Arial"/>
        </w:rPr>
        <w:t xml:space="preserve">As require FCCS-certification. </w:t>
      </w:r>
    </w:p>
    <w:p w14:paraId="193A75EE" w14:textId="77777777" w:rsidR="00C50228" w:rsidRDefault="00C50228" w:rsidP="00C50228">
      <w:pPr>
        <w:pStyle w:val="ListParagraph"/>
        <w:rPr>
          <w:rFonts w:cs="Arial"/>
          <w:highlight w:val="yellow"/>
        </w:rPr>
      </w:pPr>
    </w:p>
    <w:p w14:paraId="72CAE527" w14:textId="77777777" w:rsidR="007E37A7" w:rsidRDefault="00C50228" w:rsidP="00AD309C">
      <w:pPr>
        <w:pStyle w:val="ListParagraph"/>
        <w:numPr>
          <w:ilvl w:val="0"/>
          <w:numId w:val="82"/>
        </w:numPr>
        <w:rPr>
          <w:rFonts w:cs="Arial"/>
          <w:b/>
        </w:rPr>
      </w:pPr>
      <w:r>
        <w:rPr>
          <w:rFonts w:cs="Arial"/>
          <w:b/>
        </w:rPr>
        <w:t>When an intensivist is not on-site in the ICU, can hospitals use FCCS-certified interns as the “effector?”</w:t>
      </w:r>
    </w:p>
    <w:p w14:paraId="2A8C2643" w14:textId="77777777" w:rsidR="005A0935" w:rsidRDefault="00C50228" w:rsidP="00483109">
      <w:pPr>
        <w:pStyle w:val="ListParagraph"/>
        <w:rPr>
          <w:rFonts w:cs="Arial"/>
        </w:rPr>
      </w:pPr>
      <w:r>
        <w:rPr>
          <w:rFonts w:cs="Arial"/>
        </w:rPr>
        <w:t>Yes. An FCCS-certified intern can serve as the “effector.”</w:t>
      </w:r>
    </w:p>
    <w:p w14:paraId="6579A630" w14:textId="77777777" w:rsidR="005A0935" w:rsidRDefault="005A0935" w:rsidP="00483109">
      <w:pPr>
        <w:pStyle w:val="ListParagraph"/>
        <w:rPr>
          <w:rFonts w:cs="Arial"/>
        </w:rPr>
      </w:pPr>
    </w:p>
    <w:p w14:paraId="6F167269" w14:textId="54BC3F82" w:rsidR="005A0935" w:rsidRPr="005A0935" w:rsidRDefault="007B679A" w:rsidP="00AB5B80">
      <w:pPr>
        <w:pStyle w:val="Heading3"/>
      </w:pPr>
      <w:bookmarkStart w:id="442" w:name="_Toc225877764"/>
      <w:r>
        <w:t xml:space="preserve">ICU </w:t>
      </w:r>
      <w:r w:rsidR="005A0935">
        <w:t>Rounding</w:t>
      </w:r>
      <w:bookmarkEnd w:id="442"/>
      <w:r w:rsidR="0002306E">
        <w:t xml:space="preserve"> </w:t>
      </w:r>
      <w:r w:rsidR="005A0935">
        <w:br/>
      </w:r>
    </w:p>
    <w:p w14:paraId="4B300E12" w14:textId="37E2E4FC" w:rsidR="005A0935" w:rsidRPr="00BA0301" w:rsidRDefault="005A0935" w:rsidP="00AD309C">
      <w:pPr>
        <w:pStyle w:val="ListParagraph"/>
        <w:numPr>
          <w:ilvl w:val="0"/>
          <w:numId w:val="82"/>
        </w:numPr>
        <w:rPr>
          <w:rFonts w:cs="Arial"/>
          <w:b/>
        </w:rPr>
      </w:pPr>
      <w:r w:rsidRPr="00BA0301">
        <w:rPr>
          <w:rFonts w:cs="Arial"/>
          <w:b/>
        </w:rPr>
        <w:t>How does Leapfrog define “makes on-site daily round</w:t>
      </w:r>
      <w:r>
        <w:rPr>
          <w:rFonts w:cs="Arial"/>
          <w:b/>
        </w:rPr>
        <w:t>s” for clinical pharmacists in question #13</w:t>
      </w:r>
      <w:r w:rsidR="003C708E">
        <w:rPr>
          <w:rFonts w:cs="Arial"/>
          <w:b/>
        </w:rPr>
        <w:t xml:space="preserve"> </w:t>
      </w:r>
      <w:r w:rsidR="003C708E" w:rsidRPr="003C708E">
        <w:rPr>
          <w:rFonts w:cs="Arial"/>
          <w:b/>
        </w:rPr>
        <w:t>within Sections 5A and 5B</w:t>
      </w:r>
      <w:r>
        <w:rPr>
          <w:rFonts w:cs="Arial"/>
          <w:b/>
        </w:rPr>
        <w:t>?</w:t>
      </w:r>
    </w:p>
    <w:p w14:paraId="0D989FFC" w14:textId="2FC35DBA" w:rsidR="005A0935" w:rsidRPr="00BA0301" w:rsidRDefault="005A0935" w:rsidP="005A0935">
      <w:pPr>
        <w:ind w:left="720"/>
        <w:rPr>
          <w:rFonts w:cs="Arial"/>
        </w:rPr>
      </w:pPr>
      <w:r w:rsidRPr="00BA0301">
        <w:rPr>
          <w:rFonts w:cs="Arial"/>
        </w:rPr>
        <w:t xml:space="preserve">A clinical pharmacist would need to make on-site daily rounds (5 or 7 days </w:t>
      </w:r>
      <w:r w:rsidR="009E3C22">
        <w:rPr>
          <w:rFonts w:cs="Arial"/>
        </w:rPr>
        <w:t>per</w:t>
      </w:r>
      <w:r w:rsidRPr="00BA0301">
        <w:rPr>
          <w:rFonts w:cs="Arial"/>
        </w:rPr>
        <w:t xml:space="preserve"> week) on </w:t>
      </w:r>
      <w:r w:rsidRPr="008A3324">
        <w:rPr>
          <w:rFonts w:cs="Arial"/>
          <w:b/>
        </w:rPr>
        <w:t>all</w:t>
      </w:r>
      <w:r>
        <w:rPr>
          <w:rFonts w:cs="Arial"/>
        </w:rPr>
        <w:t xml:space="preserve"> </w:t>
      </w:r>
      <w:r w:rsidR="00E30B2F">
        <w:rPr>
          <w:rFonts w:cs="Arial"/>
        </w:rPr>
        <w:t xml:space="preserve">critical care </w:t>
      </w:r>
      <w:r w:rsidRPr="00BA0301">
        <w:rPr>
          <w:rFonts w:cs="Arial"/>
        </w:rPr>
        <w:t xml:space="preserve">patients </w:t>
      </w:r>
      <w:r>
        <w:rPr>
          <w:rFonts w:cs="Arial"/>
        </w:rPr>
        <w:t xml:space="preserve">(not some or most </w:t>
      </w:r>
      <w:r w:rsidR="00E30B2F">
        <w:rPr>
          <w:rFonts w:cs="Arial"/>
        </w:rPr>
        <w:t>critical care</w:t>
      </w:r>
      <w:r>
        <w:rPr>
          <w:rFonts w:cs="Arial"/>
        </w:rPr>
        <w:t xml:space="preserve"> patients) in </w:t>
      </w:r>
      <w:r w:rsidRPr="008A3324">
        <w:rPr>
          <w:rFonts w:cs="Arial"/>
          <w:b/>
        </w:rPr>
        <w:t>all</w:t>
      </w:r>
      <w:r>
        <w:rPr>
          <w:rFonts w:cs="Arial"/>
        </w:rPr>
        <w:t xml:space="preserve"> applicable</w:t>
      </w:r>
      <w:r w:rsidRPr="00BA0301">
        <w:rPr>
          <w:rFonts w:cs="Arial"/>
        </w:rPr>
        <w:t xml:space="preserve"> ICU</w:t>
      </w:r>
      <w:r>
        <w:rPr>
          <w:rFonts w:cs="Arial"/>
        </w:rPr>
        <w:t>s</w:t>
      </w:r>
      <w:r w:rsidRPr="00BA0301">
        <w:rPr>
          <w:rFonts w:cs="Arial"/>
        </w:rPr>
        <w:t xml:space="preserve"> (adult or pediatric general medical</w:t>
      </w:r>
      <w:r w:rsidR="00B00CA6">
        <w:rPr>
          <w:rFonts w:cs="Arial"/>
        </w:rPr>
        <w:t xml:space="preserve">, surgical, </w:t>
      </w:r>
      <w:r w:rsidR="00511B84">
        <w:rPr>
          <w:rFonts w:cs="Arial"/>
        </w:rPr>
        <w:t>medical/</w:t>
      </w:r>
      <w:r>
        <w:rPr>
          <w:rFonts w:cs="Arial"/>
        </w:rPr>
        <w:t>surgical</w:t>
      </w:r>
      <w:r w:rsidR="00511B84">
        <w:rPr>
          <w:rFonts w:cs="Arial"/>
        </w:rPr>
        <w:t>,</w:t>
      </w:r>
      <w:r>
        <w:rPr>
          <w:rFonts w:cs="Arial"/>
        </w:rPr>
        <w:t xml:space="preserve"> and neuro ICUs)</w:t>
      </w:r>
      <w:r w:rsidRPr="00BA0301">
        <w:rPr>
          <w:rFonts w:cs="Arial"/>
        </w:rPr>
        <w:t>.</w:t>
      </w:r>
    </w:p>
    <w:p w14:paraId="333E390D" w14:textId="77777777" w:rsidR="005A0935" w:rsidRPr="00BA0301" w:rsidRDefault="005A0935" w:rsidP="005A0935">
      <w:pPr>
        <w:ind w:left="720"/>
        <w:rPr>
          <w:rFonts w:cs="Arial"/>
        </w:rPr>
      </w:pPr>
    </w:p>
    <w:p w14:paraId="751F6B88" w14:textId="77777777" w:rsidR="005A0935" w:rsidRDefault="005A0935" w:rsidP="005A0935">
      <w:pPr>
        <w:ind w:left="720"/>
        <w:rPr>
          <w:rFonts w:cs="Arial"/>
        </w:rPr>
      </w:pPr>
      <w:r w:rsidRPr="00BA0301">
        <w:rPr>
          <w:rFonts w:cs="Arial"/>
        </w:rPr>
        <w:t xml:space="preserve">Please note that if your clinical pharmacist is rounding 5 days per week, then, during </w:t>
      </w:r>
      <w:r>
        <w:rPr>
          <w:rFonts w:cs="Arial"/>
        </w:rPr>
        <w:t>the other 2 days per week</w:t>
      </w:r>
      <w:r w:rsidRPr="00BA0301">
        <w:rPr>
          <w:rFonts w:cs="Arial"/>
        </w:rPr>
        <w:t>, a clinical pharmacist still needs to respond to calls/texts/pages withi</w:t>
      </w:r>
      <w:r>
        <w:rPr>
          <w:rFonts w:cs="Arial"/>
        </w:rPr>
        <w:t>n 5 minutes, as determined by a response time</w:t>
      </w:r>
      <w:r w:rsidRPr="00BA0301">
        <w:rPr>
          <w:rFonts w:cs="Arial"/>
        </w:rPr>
        <w:t xml:space="preserve"> audit.</w:t>
      </w:r>
    </w:p>
    <w:p w14:paraId="516D2901" w14:textId="77777777" w:rsidR="005A0935" w:rsidRDefault="005A0935" w:rsidP="005A0935">
      <w:pPr>
        <w:rPr>
          <w:rFonts w:cs="Arial"/>
        </w:rPr>
      </w:pPr>
    </w:p>
    <w:p w14:paraId="63CAFB14" w14:textId="48478E01" w:rsidR="005A0935" w:rsidRDefault="005A0935" w:rsidP="00AD309C">
      <w:pPr>
        <w:pStyle w:val="ListParagraph"/>
        <w:numPr>
          <w:ilvl w:val="0"/>
          <w:numId w:val="82"/>
        </w:numPr>
        <w:rPr>
          <w:rFonts w:cs="Arial"/>
          <w:b/>
        </w:rPr>
      </w:pPr>
      <w:r>
        <w:rPr>
          <w:rFonts w:cs="Arial"/>
          <w:b/>
        </w:rPr>
        <w:t>Are pharmacy residents considered clinical pharmacists in question #13</w:t>
      </w:r>
      <w:r w:rsidR="003C708E">
        <w:rPr>
          <w:rFonts w:cs="Arial"/>
          <w:b/>
        </w:rPr>
        <w:t xml:space="preserve"> </w:t>
      </w:r>
      <w:r w:rsidR="003C708E" w:rsidRPr="003C708E">
        <w:rPr>
          <w:rFonts w:cs="Arial"/>
          <w:b/>
        </w:rPr>
        <w:t>within Sections 5A and 5B</w:t>
      </w:r>
      <w:r>
        <w:rPr>
          <w:rFonts w:cs="Arial"/>
          <w:b/>
        </w:rPr>
        <w:t>?</w:t>
      </w:r>
    </w:p>
    <w:p w14:paraId="6027983C" w14:textId="77777777" w:rsidR="00AD5731" w:rsidRDefault="005A0935" w:rsidP="005A0935">
      <w:pPr>
        <w:pStyle w:val="ListParagraph"/>
        <w:rPr>
          <w:rFonts w:cs="Arial"/>
          <w:bCs/>
          <w:color w:val="202124"/>
          <w:shd w:val="clear" w:color="auto" w:fill="FFFFFF"/>
        </w:rPr>
      </w:pPr>
      <w:r w:rsidRPr="000F6E49">
        <w:rPr>
          <w:rFonts w:cs="Arial"/>
          <w:bCs/>
        </w:rPr>
        <w:t xml:space="preserve">To be considered a clinical pharmacist, Leapfrog only requires that the pharmacist have a </w:t>
      </w:r>
      <w:r w:rsidRPr="000F6E49">
        <w:rPr>
          <w:rFonts w:cs="Arial"/>
          <w:bCs/>
          <w:color w:val="202124"/>
          <w:shd w:val="clear" w:color="auto" w:fill="FFFFFF"/>
        </w:rPr>
        <w:t>Doctor of Pharmacy (PharmD) degree. Therefore, a PharmD graduate completing a residency would meet Leapfrog’s criteri</w:t>
      </w:r>
      <w:r w:rsidR="00B54C53">
        <w:rPr>
          <w:rFonts w:cs="Arial"/>
          <w:bCs/>
          <w:color w:val="202124"/>
          <w:shd w:val="clear" w:color="auto" w:fill="FFFFFF"/>
        </w:rPr>
        <w:t>on</w:t>
      </w:r>
      <w:r w:rsidRPr="000F6E49">
        <w:rPr>
          <w:rFonts w:cs="Arial"/>
          <w:bCs/>
          <w:color w:val="202124"/>
          <w:shd w:val="clear" w:color="auto" w:fill="FFFFFF"/>
        </w:rPr>
        <w:t xml:space="preserve"> to be considered a clinical pharmacist.</w:t>
      </w:r>
    </w:p>
    <w:p w14:paraId="4976AEC6" w14:textId="41948137" w:rsidR="005A0935" w:rsidRDefault="005A0935" w:rsidP="00B44C7B">
      <w:pPr>
        <w:pStyle w:val="ListParagraph"/>
      </w:pPr>
      <w:r w:rsidRPr="000F6E49">
        <w:rPr>
          <w:rFonts w:cs="Arial"/>
          <w:bCs/>
          <w:color w:val="202124"/>
          <w:shd w:val="clear" w:color="auto" w:fill="FFFFFF"/>
        </w:rPr>
        <w:t xml:space="preserve"> </w:t>
      </w:r>
    </w:p>
    <w:p w14:paraId="691BD0E5" w14:textId="35DCC573" w:rsidR="005A0935" w:rsidRPr="008D611A" w:rsidRDefault="005A0935" w:rsidP="00AD309C">
      <w:pPr>
        <w:numPr>
          <w:ilvl w:val="0"/>
          <w:numId w:val="82"/>
        </w:numPr>
        <w:rPr>
          <w:rFonts w:cs="Arial"/>
        </w:rPr>
      </w:pPr>
      <w:r w:rsidRPr="009A5185">
        <w:rPr>
          <w:rFonts w:cs="Arial"/>
          <w:b/>
        </w:rPr>
        <w:t xml:space="preserve">What roles should be included in </w:t>
      </w:r>
      <w:r>
        <w:rPr>
          <w:rFonts w:cs="Arial"/>
          <w:b/>
        </w:rPr>
        <w:t>interprofessional</w:t>
      </w:r>
      <w:r w:rsidRPr="009A5185">
        <w:rPr>
          <w:rFonts w:cs="Arial"/>
          <w:b/>
        </w:rPr>
        <w:t xml:space="preserve"> rounds</w:t>
      </w:r>
      <w:r>
        <w:rPr>
          <w:rFonts w:cs="Arial"/>
          <w:b/>
        </w:rPr>
        <w:t xml:space="preserve"> in question #14</w:t>
      </w:r>
      <w:r w:rsidR="003C708E">
        <w:rPr>
          <w:rFonts w:cs="Arial"/>
          <w:b/>
        </w:rPr>
        <w:t xml:space="preserve"> </w:t>
      </w:r>
      <w:r w:rsidR="003C708E" w:rsidRPr="003C708E">
        <w:rPr>
          <w:rFonts w:cs="Arial"/>
          <w:b/>
        </w:rPr>
        <w:t>within Sections 5A and 5B</w:t>
      </w:r>
      <w:r w:rsidRPr="009A5185">
        <w:rPr>
          <w:rFonts w:cs="Arial"/>
          <w:b/>
        </w:rPr>
        <w:t>?</w:t>
      </w:r>
      <w:r w:rsidRPr="009A5185">
        <w:rPr>
          <w:rFonts w:cs="Arial"/>
          <w:b/>
        </w:rPr>
        <w:br/>
      </w:r>
      <w:r w:rsidRPr="009A5185">
        <w:rPr>
          <w:rFonts w:cs="Arial"/>
        </w:rPr>
        <w:t xml:space="preserve">For rounds to be considered </w:t>
      </w:r>
      <w:r>
        <w:rPr>
          <w:rFonts w:cs="Arial"/>
        </w:rPr>
        <w:t>interprofessional</w:t>
      </w:r>
      <w:r w:rsidRPr="009A5185">
        <w:rPr>
          <w:rFonts w:cs="Arial"/>
        </w:rPr>
        <w:t>, the team should include 3 or more persons. Typical personnel that would be part of the rounding team include physician, nurse, pharmacist, physical and/or occupational therapist, and nutritionist.</w:t>
      </w:r>
    </w:p>
    <w:p w14:paraId="72D07042" w14:textId="77777777" w:rsidR="007E2B42" w:rsidRDefault="007E2B42" w:rsidP="007E2B42">
      <w:pPr>
        <w:rPr>
          <w:b/>
          <w:sz w:val="24"/>
        </w:rPr>
      </w:pPr>
    </w:p>
    <w:p w14:paraId="416F771B" w14:textId="07886184" w:rsidR="007E2B42" w:rsidRPr="009A5185" w:rsidRDefault="007E2B42" w:rsidP="00AB5B80">
      <w:pPr>
        <w:pStyle w:val="Heading3"/>
      </w:pPr>
      <w:bookmarkStart w:id="443" w:name="_Total_Nursing_Care_1"/>
      <w:bookmarkStart w:id="444" w:name="_Toc225877765"/>
      <w:bookmarkEnd w:id="443"/>
      <w:r>
        <w:t xml:space="preserve">Total Nursing Care Hours per Patient Day </w:t>
      </w:r>
      <w:r w:rsidR="00CB6105">
        <w:t xml:space="preserve">and </w:t>
      </w:r>
      <w:r>
        <w:t>RN Hours per Patient Day FAQs</w:t>
      </w:r>
      <w:bookmarkEnd w:id="444"/>
    </w:p>
    <w:p w14:paraId="6C392CA2" w14:textId="77777777" w:rsidR="007E2B42" w:rsidRDefault="007E2B42" w:rsidP="007E2B42"/>
    <w:p w14:paraId="68723D48" w14:textId="3E2B0DD2" w:rsidR="007E2B42" w:rsidRPr="009B3E96" w:rsidRDefault="007E2B42" w:rsidP="00AD309C">
      <w:pPr>
        <w:numPr>
          <w:ilvl w:val="0"/>
          <w:numId w:val="82"/>
        </w:numPr>
        <w:rPr>
          <w:rFonts w:cs="Arial"/>
          <w:b/>
        </w:rPr>
      </w:pPr>
      <w:r w:rsidRPr="009B3E96">
        <w:rPr>
          <w:rFonts w:cs="Arial"/>
          <w:b/>
        </w:rPr>
        <w:t>Why has Leapfrog aligned their unit type definitions with NDNQI?</w:t>
      </w:r>
    </w:p>
    <w:p w14:paraId="01A5EBDF" w14:textId="40C626AB" w:rsidR="007E2B42" w:rsidRPr="009B3E96" w:rsidRDefault="007E2B42" w:rsidP="00D17229">
      <w:pPr>
        <w:ind w:left="720"/>
        <w:rPr>
          <w:rFonts w:cs="Arial"/>
          <w:bCs/>
        </w:rPr>
      </w:pPr>
      <w:r w:rsidRPr="009B3E96">
        <w:rPr>
          <w:rFonts w:cs="Arial"/>
          <w:bCs/>
        </w:rPr>
        <w:t>Though NDNQI participation is not required to report on the Total Nursing Care Hours per Patient Day</w:t>
      </w:r>
      <w:r w:rsidR="00AC5848">
        <w:rPr>
          <w:rFonts w:cs="Arial"/>
          <w:bCs/>
        </w:rPr>
        <w:t xml:space="preserve"> and</w:t>
      </w:r>
      <w:r w:rsidRPr="009B3E96">
        <w:rPr>
          <w:rFonts w:cs="Arial"/>
          <w:bCs/>
        </w:rPr>
        <w:t xml:space="preserve"> RN Hours per Patient Day, a number of hospitals participate in NDNQI and have data available to report to the Leapfrog Hospital Survey.</w:t>
      </w:r>
    </w:p>
    <w:p w14:paraId="2141BDB1" w14:textId="77777777" w:rsidR="00B4282C" w:rsidRDefault="00B4282C" w:rsidP="007E2B42">
      <w:pPr>
        <w:pStyle w:val="ListParagraph"/>
        <w:ind w:left="576"/>
      </w:pPr>
    </w:p>
    <w:p w14:paraId="25BF0195" w14:textId="0347FAFB" w:rsidR="0093129C" w:rsidRPr="001F2388" w:rsidRDefault="0093129C" w:rsidP="00AD309C">
      <w:pPr>
        <w:pStyle w:val="ListParagraph"/>
        <w:numPr>
          <w:ilvl w:val="0"/>
          <w:numId w:val="82"/>
        </w:numPr>
        <w:rPr>
          <w:rFonts w:cs="Arial"/>
          <w:b/>
          <w:bCs/>
        </w:rPr>
      </w:pPr>
      <w:r w:rsidRPr="001F2388">
        <w:rPr>
          <w:rFonts w:cs="Arial"/>
          <w:b/>
          <w:bCs/>
        </w:rPr>
        <w:t>How is patient acuity defined?</w:t>
      </w:r>
    </w:p>
    <w:p w14:paraId="2BAC66B4" w14:textId="77777777" w:rsidR="0093129C" w:rsidRPr="009B3E96" w:rsidRDefault="0093129C" w:rsidP="00D17229">
      <w:pPr>
        <w:ind w:left="720"/>
        <w:rPr>
          <w:rFonts w:cs="Arial"/>
          <w:bCs/>
        </w:rPr>
      </w:pPr>
      <w:r w:rsidRPr="009B3E96">
        <w:rPr>
          <w:rFonts w:cs="Arial"/>
          <w:bCs/>
        </w:rPr>
        <w:t>Patient acuity is the level of care that patients are receiving. The three levels of care are:</w:t>
      </w:r>
    </w:p>
    <w:p w14:paraId="0FECDC5D" w14:textId="77777777" w:rsidR="0093129C" w:rsidRPr="005E6D8A" w:rsidRDefault="0093129C" w:rsidP="00AD309C">
      <w:pPr>
        <w:pStyle w:val="ListParagraph"/>
        <w:numPr>
          <w:ilvl w:val="0"/>
          <w:numId w:val="409"/>
        </w:numPr>
        <w:rPr>
          <w:rFonts w:cs="Arial"/>
          <w:bCs/>
        </w:rPr>
      </w:pPr>
      <w:r w:rsidRPr="005E6D8A">
        <w:rPr>
          <w:rFonts w:cs="Arial"/>
          <w:bCs/>
        </w:rPr>
        <w:t>critical care (highest level of acuity)</w:t>
      </w:r>
    </w:p>
    <w:p w14:paraId="0CCE8E84" w14:textId="77777777" w:rsidR="0093129C" w:rsidRPr="005E6D8A" w:rsidRDefault="0093129C" w:rsidP="00AD309C">
      <w:pPr>
        <w:pStyle w:val="ListParagraph"/>
        <w:numPr>
          <w:ilvl w:val="0"/>
          <w:numId w:val="409"/>
        </w:numPr>
        <w:rPr>
          <w:rFonts w:cs="Arial"/>
          <w:bCs/>
        </w:rPr>
      </w:pPr>
      <w:r w:rsidRPr="005E6D8A">
        <w:rPr>
          <w:rFonts w:cs="Arial"/>
          <w:bCs/>
        </w:rPr>
        <w:t xml:space="preserve">step down (lower level of acuity that patients in a critical care unit yet a higher level of acuity than is provided on a general care unit) </w:t>
      </w:r>
    </w:p>
    <w:p w14:paraId="6B3E104D" w14:textId="77777777" w:rsidR="0093129C" w:rsidRPr="005E6D8A" w:rsidRDefault="0093129C" w:rsidP="00AD309C">
      <w:pPr>
        <w:pStyle w:val="ListParagraph"/>
        <w:numPr>
          <w:ilvl w:val="0"/>
          <w:numId w:val="409"/>
        </w:numPr>
        <w:rPr>
          <w:rFonts w:cs="Arial"/>
          <w:bCs/>
        </w:rPr>
      </w:pPr>
      <w:r w:rsidRPr="005E6D8A">
        <w:rPr>
          <w:rFonts w:cs="Arial"/>
          <w:bCs/>
        </w:rPr>
        <w:t>general care</w:t>
      </w:r>
    </w:p>
    <w:p w14:paraId="47045C93" w14:textId="77777777" w:rsidR="0093129C" w:rsidRPr="0004565D" w:rsidRDefault="0093129C" w:rsidP="0093129C">
      <w:pPr>
        <w:ind w:left="576"/>
        <w:rPr>
          <w:rFonts w:cs="Arial"/>
        </w:rPr>
      </w:pPr>
    </w:p>
    <w:p w14:paraId="0D603DF6" w14:textId="1D86B5BD" w:rsidR="0093129C" w:rsidRPr="0004565D" w:rsidRDefault="0093129C" w:rsidP="00D17229">
      <w:pPr>
        <w:ind w:left="720"/>
        <w:rPr>
          <w:rFonts w:cs="Arial"/>
        </w:rPr>
      </w:pPr>
      <w:r w:rsidRPr="0004565D">
        <w:rPr>
          <w:rFonts w:cs="Arial"/>
        </w:rPr>
        <w:t>Single acuity medical, surgical and med-surg units are units where at least 90% of the patients receive general care. Mixed acuity medical, surgical and med-surg units are units where less than 90% of the patients receive a single acuity level of care (more than 10% of patient</w:t>
      </w:r>
      <w:r w:rsidR="00370F6C">
        <w:rPr>
          <w:rFonts w:cs="Arial"/>
        </w:rPr>
        <w:t>s</w:t>
      </w:r>
      <w:r w:rsidRPr="0004565D">
        <w:rPr>
          <w:rFonts w:cs="Arial"/>
        </w:rPr>
        <w:t xml:space="preserve"> receive varying levels of care).</w:t>
      </w:r>
    </w:p>
    <w:p w14:paraId="7FDCFF26" w14:textId="43047C56" w:rsidR="0012042A" w:rsidRDefault="0012042A">
      <w:r>
        <w:br w:type="page"/>
      </w:r>
    </w:p>
    <w:p w14:paraId="54D02332" w14:textId="57793E8C" w:rsidR="0012042A" w:rsidRDefault="0012042A" w:rsidP="0012042A">
      <w:pPr>
        <w:pStyle w:val="ListParagraph"/>
        <w:numPr>
          <w:ilvl w:val="0"/>
          <w:numId w:val="82"/>
        </w:numPr>
      </w:pPr>
      <w:bookmarkStart w:id="445" w:name="virtualnursingFAQ"/>
      <w:bookmarkEnd w:id="445"/>
      <w:r w:rsidRPr="000B3776">
        <w:rPr>
          <w:b/>
          <w:bCs/>
        </w:rPr>
        <w:t>What is the definition of virtual nursing?</w:t>
      </w:r>
      <w:r w:rsidRPr="00E73ED4">
        <w:t xml:space="preserve"> </w:t>
      </w:r>
    </w:p>
    <w:p w14:paraId="30CDA3B5" w14:textId="7D88152D" w:rsidR="00CA0835" w:rsidRPr="00971EE5" w:rsidRDefault="0012042A" w:rsidP="00CA0835">
      <w:pPr>
        <w:ind w:left="720"/>
      </w:pPr>
      <w:r w:rsidRPr="00E73ED4">
        <w:t xml:space="preserve">Virtual nursing is defined using the </w:t>
      </w:r>
      <w:hyperlink r:id="rId340" w:history="1">
        <w:r w:rsidRPr="00BE5C5E">
          <w:rPr>
            <w:rStyle w:val="Hyperlink"/>
          </w:rPr>
          <w:t>American Nursing Association (ANA)’s definition</w:t>
        </w:r>
      </w:hyperlink>
      <w:r w:rsidRPr="00E73ED4">
        <w:t>: leveraging remote technology and tools to provide safe and quality patient care through application of the nursing process by emphasizing communication, compassion, and collaboration throughout the continuum of care.</w:t>
      </w:r>
      <w:r w:rsidR="00CA0835" w:rsidRPr="00CA0835">
        <w:t xml:space="preserve"> </w:t>
      </w:r>
      <w:r w:rsidR="00CA0835">
        <w:t>Leapfrog is specifically asking if virtual nurses are used to perform</w:t>
      </w:r>
      <w:r w:rsidR="00CA0835" w:rsidRPr="00971EE5">
        <w:rPr>
          <w:b/>
          <w:bCs/>
        </w:rPr>
        <w:t xml:space="preserve"> </w:t>
      </w:r>
      <w:r w:rsidR="00832830" w:rsidRPr="00C51EE9">
        <w:t xml:space="preserve">direct </w:t>
      </w:r>
      <w:r w:rsidR="00CA0835">
        <w:t>p</w:t>
      </w:r>
      <w:r w:rsidR="00CA0835" w:rsidRPr="00D12299">
        <w:t xml:space="preserve">atient </w:t>
      </w:r>
      <w:r w:rsidR="00CA0835">
        <w:t>c</w:t>
      </w:r>
      <w:r w:rsidR="00CA0835" w:rsidRPr="00D12299">
        <w:t xml:space="preserve">are </w:t>
      </w:r>
      <w:r w:rsidR="00CA0835">
        <w:t>r</w:t>
      </w:r>
      <w:r w:rsidR="00CA0835" w:rsidRPr="00D12299">
        <w:t>esponsibilities, which</w:t>
      </w:r>
      <w:r w:rsidR="00CA0835" w:rsidRPr="005B597E">
        <w:t xml:space="preserve"> are</w:t>
      </w:r>
      <w:r w:rsidR="00CA0835" w:rsidRPr="00971EE5">
        <w:t xml:space="preserve"> defined as patient centered nursing activities by hospital unit-based staff in the presence of the patient and activities that occur away from the patient that are patient related:</w:t>
      </w:r>
    </w:p>
    <w:p w14:paraId="5C0E226E" w14:textId="77777777" w:rsidR="00CA0835" w:rsidRPr="00971EE5" w:rsidRDefault="00CA0835" w:rsidP="00C5453C">
      <w:pPr>
        <w:pStyle w:val="EndnoteText"/>
        <w:numPr>
          <w:ilvl w:val="1"/>
          <w:numId w:val="149"/>
        </w:numPr>
      </w:pPr>
      <w:r w:rsidRPr="00971EE5">
        <w:t>Medication administration</w:t>
      </w:r>
    </w:p>
    <w:p w14:paraId="254BC156" w14:textId="77777777" w:rsidR="00CA0835" w:rsidRPr="00971EE5" w:rsidRDefault="00CA0835" w:rsidP="00C5453C">
      <w:pPr>
        <w:pStyle w:val="EndnoteText"/>
        <w:numPr>
          <w:ilvl w:val="1"/>
          <w:numId w:val="149"/>
        </w:numPr>
      </w:pPr>
      <w:r w:rsidRPr="00971EE5">
        <w:t>Nursing treatments</w:t>
      </w:r>
    </w:p>
    <w:p w14:paraId="6644BEE1" w14:textId="77777777" w:rsidR="00CA0835" w:rsidRPr="00971EE5" w:rsidRDefault="00CA0835" w:rsidP="00C5453C">
      <w:pPr>
        <w:pStyle w:val="EndnoteText"/>
        <w:numPr>
          <w:ilvl w:val="1"/>
          <w:numId w:val="149"/>
        </w:numPr>
      </w:pPr>
      <w:r w:rsidRPr="00971EE5">
        <w:t>Nursing rounds</w:t>
      </w:r>
    </w:p>
    <w:p w14:paraId="765BB83E" w14:textId="77777777" w:rsidR="00CA0835" w:rsidRPr="00971EE5" w:rsidRDefault="00CA0835" w:rsidP="00C5453C">
      <w:pPr>
        <w:pStyle w:val="EndnoteText"/>
        <w:numPr>
          <w:ilvl w:val="1"/>
          <w:numId w:val="149"/>
        </w:numPr>
      </w:pPr>
      <w:r w:rsidRPr="00971EE5">
        <w:t>Admission, transfer, discharge activities</w:t>
      </w:r>
    </w:p>
    <w:p w14:paraId="37B8220D" w14:textId="77777777" w:rsidR="00CA0835" w:rsidRPr="00971EE5" w:rsidRDefault="00CA0835" w:rsidP="00C5453C">
      <w:pPr>
        <w:pStyle w:val="EndnoteText"/>
        <w:numPr>
          <w:ilvl w:val="1"/>
          <w:numId w:val="149"/>
        </w:numPr>
      </w:pPr>
      <w:r w:rsidRPr="00971EE5">
        <w:t>Patient teaching</w:t>
      </w:r>
    </w:p>
    <w:p w14:paraId="2DFF2C8F" w14:textId="77777777" w:rsidR="00CA0835" w:rsidRPr="00971EE5" w:rsidRDefault="00CA0835" w:rsidP="00C5453C">
      <w:pPr>
        <w:pStyle w:val="EndnoteText"/>
        <w:numPr>
          <w:ilvl w:val="1"/>
          <w:numId w:val="149"/>
        </w:numPr>
      </w:pPr>
      <w:r w:rsidRPr="00971EE5">
        <w:t>Patient communication</w:t>
      </w:r>
    </w:p>
    <w:p w14:paraId="315D29A4" w14:textId="77777777" w:rsidR="00CA0835" w:rsidRPr="00971EE5" w:rsidRDefault="00CA0835" w:rsidP="00C5453C">
      <w:pPr>
        <w:pStyle w:val="EndnoteText"/>
        <w:numPr>
          <w:ilvl w:val="1"/>
          <w:numId w:val="149"/>
        </w:numPr>
      </w:pPr>
      <w:r w:rsidRPr="00971EE5">
        <w:t>Coordination of patient care</w:t>
      </w:r>
    </w:p>
    <w:p w14:paraId="5E133B30" w14:textId="77777777" w:rsidR="00CA0835" w:rsidRPr="00971EE5" w:rsidRDefault="00CA0835" w:rsidP="00C5453C">
      <w:pPr>
        <w:pStyle w:val="EndnoteText"/>
        <w:numPr>
          <w:ilvl w:val="1"/>
          <w:numId w:val="149"/>
        </w:numPr>
      </w:pPr>
      <w:r w:rsidRPr="00971EE5">
        <w:t>Documentation time</w:t>
      </w:r>
    </w:p>
    <w:p w14:paraId="22D28CA3" w14:textId="77777777" w:rsidR="00CA0835" w:rsidRDefault="00CA0835" w:rsidP="00C5453C">
      <w:pPr>
        <w:pStyle w:val="EndnoteText"/>
        <w:numPr>
          <w:ilvl w:val="1"/>
          <w:numId w:val="149"/>
        </w:numPr>
      </w:pPr>
      <w:r w:rsidRPr="00971EE5">
        <w:t>Treatment planning</w:t>
      </w:r>
    </w:p>
    <w:p w14:paraId="55566F06" w14:textId="2D190006" w:rsidR="007E2B42" w:rsidRDefault="00CA0835" w:rsidP="00A94E56">
      <w:pPr>
        <w:pStyle w:val="EndnoteText"/>
        <w:numPr>
          <w:ilvl w:val="1"/>
          <w:numId w:val="149"/>
        </w:numPr>
      </w:pPr>
      <w:r w:rsidRPr="00971EE5">
        <w:t>Patient screening (e.g., fall risk) and assessment</w:t>
      </w:r>
    </w:p>
    <w:p w14:paraId="0000D028" w14:textId="77777777" w:rsidR="0012042A" w:rsidRDefault="0012042A" w:rsidP="007803C2">
      <w:pPr>
        <w:ind w:left="360"/>
      </w:pPr>
    </w:p>
    <w:p w14:paraId="6FEE2F0A" w14:textId="77777777" w:rsidR="007E2B42" w:rsidRPr="003F7FFA" w:rsidRDefault="007E2B42" w:rsidP="00AB5B80">
      <w:pPr>
        <w:pStyle w:val="Heading3"/>
      </w:pPr>
      <w:bookmarkStart w:id="446" w:name="_Toc225877766"/>
      <w:r>
        <w:t>NQF Safe Practice #9 – Nursing Workforce FAQs</w:t>
      </w:r>
      <w:bookmarkEnd w:id="446"/>
    </w:p>
    <w:p w14:paraId="1F8F9396" w14:textId="77777777" w:rsidR="007E2B42" w:rsidRPr="00691017" w:rsidRDefault="007E2B42" w:rsidP="007E2B42">
      <w:pPr>
        <w:tabs>
          <w:tab w:val="left" w:pos="0"/>
        </w:tabs>
      </w:pPr>
    </w:p>
    <w:p w14:paraId="2130F535" w14:textId="658741C6" w:rsidR="008B3CBF" w:rsidRPr="001F2388" w:rsidRDefault="008B3CBF" w:rsidP="00AD309C">
      <w:pPr>
        <w:numPr>
          <w:ilvl w:val="0"/>
          <w:numId w:val="82"/>
        </w:numPr>
        <w:rPr>
          <w:rFonts w:cs="Arial"/>
          <w:b/>
          <w:bCs/>
        </w:rPr>
      </w:pPr>
      <w:r w:rsidRPr="001F2388">
        <w:rPr>
          <w:rFonts w:cs="Arial"/>
          <w:b/>
          <w:bCs/>
        </w:rPr>
        <w:t xml:space="preserve">How </w:t>
      </w:r>
      <w:r w:rsidR="00237D74">
        <w:rPr>
          <w:rFonts w:cs="Arial"/>
          <w:b/>
          <w:bCs/>
        </w:rPr>
        <w:t>do I know if my hospital is eligible to report it has a current Pathways to Excellence designation?</w:t>
      </w:r>
    </w:p>
    <w:p w14:paraId="12F1ACA5" w14:textId="77777777" w:rsidR="003D12A1" w:rsidRPr="003D12A1" w:rsidRDefault="003D12A1" w:rsidP="00D17229">
      <w:pPr>
        <w:ind w:left="720"/>
        <w:rPr>
          <w:rFonts w:cs="Arial"/>
        </w:rPr>
      </w:pPr>
      <w:r w:rsidRPr="003D12A1">
        <w:rPr>
          <w:rFonts w:cs="Arial"/>
        </w:rPr>
        <w:t xml:space="preserve">Hospitals that applied for Pathway to Excellence designation beginning in January 2021 and onward were certified using the 2020 or 2024 Pathways to Excellence® criteria and are eligible to report that they have a current designation. </w:t>
      </w:r>
    </w:p>
    <w:p w14:paraId="5C79031E" w14:textId="77777777" w:rsidR="003D12A1" w:rsidRPr="003D12A1" w:rsidRDefault="003D12A1" w:rsidP="003D12A1">
      <w:pPr>
        <w:ind w:left="576"/>
        <w:rPr>
          <w:rFonts w:cs="Arial"/>
        </w:rPr>
      </w:pPr>
    </w:p>
    <w:p w14:paraId="3A133DDC" w14:textId="6E927BB1" w:rsidR="003D12A1" w:rsidRPr="0004565D" w:rsidRDefault="003D12A1" w:rsidP="00D17229">
      <w:pPr>
        <w:ind w:left="720"/>
        <w:rPr>
          <w:rFonts w:cs="Arial"/>
        </w:rPr>
      </w:pPr>
      <w:r w:rsidRPr="003D12A1">
        <w:rPr>
          <w:rFonts w:cs="Arial"/>
        </w:rPr>
        <w:t xml:space="preserve">Hospitals can check the Designation Year or Redesignation Year on the </w:t>
      </w:r>
      <w:hyperlink r:id="rId341" w:history="1">
        <w:r w:rsidRPr="009A5EB5">
          <w:rPr>
            <w:rStyle w:val="Hyperlink"/>
            <w:rFonts w:cs="Arial"/>
          </w:rPr>
          <w:t>American Nurses Credentialing Center website</w:t>
        </w:r>
      </w:hyperlink>
      <w:r w:rsidRPr="003D12A1">
        <w:rPr>
          <w:rFonts w:cs="Arial"/>
        </w:rPr>
        <w:t>. If the year is 2021 or later, the hospital meets the Pathways to Excellence® criteria.</w:t>
      </w:r>
    </w:p>
    <w:p w14:paraId="027960D9" w14:textId="176A9173" w:rsidR="00A36888" w:rsidRPr="0004565D" w:rsidRDefault="00A36888" w:rsidP="00440F7D">
      <w:pPr>
        <w:rPr>
          <w:rFonts w:cs="Arial"/>
        </w:rPr>
      </w:pPr>
    </w:p>
    <w:p w14:paraId="621DAC32" w14:textId="77777777" w:rsidR="007E2B42" w:rsidRPr="00125826" w:rsidRDefault="007E2B42" w:rsidP="00AD309C">
      <w:pPr>
        <w:numPr>
          <w:ilvl w:val="0"/>
          <w:numId w:val="82"/>
        </w:numPr>
        <w:tabs>
          <w:tab w:val="left" w:pos="0"/>
        </w:tabs>
      </w:pPr>
      <w:r>
        <w:rPr>
          <w:b/>
        </w:rPr>
        <w:t>15e: If the state has set minimum nurse to patient staffing ratios, do hospitals in that state automatically meet the intent of this element?</w:t>
      </w:r>
    </w:p>
    <w:p w14:paraId="2763D7AD" w14:textId="77777777" w:rsidR="007E2B42" w:rsidRDefault="007E2B42" w:rsidP="00D17229">
      <w:pPr>
        <w:tabs>
          <w:tab w:val="left" w:pos="0"/>
        </w:tabs>
        <w:ind w:left="720"/>
      </w:pPr>
      <w:r>
        <w:t xml:space="preserve">No. Minimum ratios do not necessarily address the “adequacy” issue, as </w:t>
      </w:r>
      <w:r w:rsidRPr="00443AB4">
        <w:rPr>
          <w:noProof/>
        </w:rPr>
        <w:t>the</w:t>
      </w:r>
      <w:r>
        <w:t xml:space="preserve"> make-up of your hospital’s patient population may require more intensive staffing </w:t>
      </w:r>
      <w:r w:rsidRPr="00443AB4">
        <w:rPr>
          <w:noProof/>
        </w:rPr>
        <w:t>than</w:t>
      </w:r>
      <w:r>
        <w:t xml:space="preserve"> is prescribed by the state’s minimum.</w:t>
      </w:r>
    </w:p>
    <w:p w14:paraId="3C55D5B3" w14:textId="77777777" w:rsidR="007E2B42" w:rsidRDefault="007E2B42" w:rsidP="007E2B42">
      <w:pPr>
        <w:pStyle w:val="ListParagraph"/>
        <w:ind w:left="576"/>
        <w:rPr>
          <w:b/>
        </w:rPr>
      </w:pPr>
    </w:p>
    <w:p w14:paraId="43F4034D" w14:textId="77777777" w:rsidR="007E2B42" w:rsidRPr="000A3BCF" w:rsidRDefault="007E2B42" w:rsidP="00AD309C">
      <w:pPr>
        <w:pStyle w:val="ListParagraph"/>
        <w:numPr>
          <w:ilvl w:val="0"/>
          <w:numId w:val="82"/>
        </w:numPr>
        <w:rPr>
          <w:b/>
        </w:rPr>
      </w:pPr>
      <w:bookmarkStart w:id="447" w:name="staffingplan_5cfaq"/>
      <w:bookmarkEnd w:id="447"/>
      <w:r>
        <w:rPr>
          <w:b/>
        </w:rPr>
        <w:t>15e</w:t>
      </w:r>
      <w:r w:rsidRPr="000A3BCF">
        <w:rPr>
          <w:b/>
        </w:rPr>
        <w:t xml:space="preserve">: What </w:t>
      </w:r>
      <w:r>
        <w:rPr>
          <w:b/>
        </w:rPr>
        <w:t xml:space="preserve">are the minimum requirements </w:t>
      </w:r>
      <w:r w:rsidRPr="00443AB4">
        <w:rPr>
          <w:b/>
          <w:noProof/>
        </w:rPr>
        <w:t>to</w:t>
      </w:r>
      <w:r>
        <w:rPr>
          <w:b/>
        </w:rPr>
        <w:t xml:space="preserve"> </w:t>
      </w:r>
      <w:r w:rsidRPr="00443AB4">
        <w:rPr>
          <w:b/>
          <w:noProof/>
        </w:rPr>
        <w:t>quali</w:t>
      </w:r>
      <w:r>
        <w:rPr>
          <w:b/>
          <w:noProof/>
        </w:rPr>
        <w:t>f</w:t>
      </w:r>
      <w:r w:rsidRPr="00443AB4">
        <w:rPr>
          <w:b/>
          <w:noProof/>
        </w:rPr>
        <w:t>y</w:t>
      </w:r>
      <w:r>
        <w:rPr>
          <w:b/>
        </w:rPr>
        <w:t xml:space="preserve"> as a “</w:t>
      </w:r>
      <w:r w:rsidRPr="000A3BCF">
        <w:rPr>
          <w:b/>
        </w:rPr>
        <w:t>staffing plan?</w:t>
      </w:r>
      <w:r>
        <w:rPr>
          <w:b/>
        </w:rPr>
        <w:t>”</w:t>
      </w:r>
    </w:p>
    <w:p w14:paraId="032F818F" w14:textId="77777777" w:rsidR="007E2B42" w:rsidRDefault="007E2B42" w:rsidP="00D17229">
      <w:pPr>
        <w:pStyle w:val="EndnoteText"/>
        <w:ind w:left="720"/>
      </w:pPr>
      <w:r w:rsidRPr="006B32BE">
        <w:t>“A staffing plan” refers to nursing policies and procedures or a specific process used by the organization to pre-determine appropriate staffing patterns based on usual patient mix and nursing qualifications. A hospital must demon</w:t>
      </w:r>
      <w:r>
        <w:t>strate full achievement of its</w:t>
      </w:r>
      <w:r w:rsidRPr="006B32BE">
        <w:t xml:space="preserve"> targets.</w:t>
      </w:r>
      <w:r>
        <w:t xml:space="preserve"> </w:t>
      </w:r>
    </w:p>
    <w:p w14:paraId="508A0398" w14:textId="77777777" w:rsidR="007E2B42" w:rsidRDefault="007E2B42" w:rsidP="007E2B42">
      <w:pPr>
        <w:pStyle w:val="EndnoteText"/>
        <w:ind w:left="576"/>
      </w:pPr>
    </w:p>
    <w:p w14:paraId="59B8C459" w14:textId="77777777" w:rsidR="007E2B42" w:rsidRDefault="007E2B42" w:rsidP="00D17229">
      <w:pPr>
        <w:pStyle w:val="EndnoteText"/>
        <w:ind w:left="720"/>
      </w:pPr>
      <w:r>
        <w:t xml:space="preserve">Organizations must integrate several data sets into a staffing system that predefines and quantifies appropriate staffing targets. These data sets include: </w:t>
      </w:r>
    </w:p>
    <w:p w14:paraId="20516AEB" w14:textId="77777777" w:rsidR="007E2B42" w:rsidRDefault="007E2B42" w:rsidP="00AD309C">
      <w:pPr>
        <w:pStyle w:val="EndnoteText"/>
        <w:numPr>
          <w:ilvl w:val="1"/>
          <w:numId w:val="149"/>
        </w:numPr>
      </w:pPr>
      <w:r>
        <w:t xml:space="preserve">Historical Data (e.g., patient volumes, acuity levels, and staff volumes of direct caregivers) </w:t>
      </w:r>
    </w:p>
    <w:p w14:paraId="6E7F7204" w14:textId="77777777" w:rsidR="007E2B42" w:rsidRDefault="007E2B42" w:rsidP="00AD309C">
      <w:pPr>
        <w:pStyle w:val="EndnoteText"/>
        <w:numPr>
          <w:ilvl w:val="1"/>
          <w:numId w:val="149"/>
        </w:numPr>
      </w:pPr>
      <w:r>
        <w:t xml:space="preserve">Comparative Data (e.g., comparisons between similar units internally and comparative external data from hospitals of like size and geographic location) </w:t>
      </w:r>
    </w:p>
    <w:p w14:paraId="2A45E995" w14:textId="77777777" w:rsidR="007E2B42" w:rsidRDefault="007E2B42" w:rsidP="00AD309C">
      <w:pPr>
        <w:pStyle w:val="EndnoteText"/>
        <w:numPr>
          <w:ilvl w:val="1"/>
          <w:numId w:val="149"/>
        </w:numPr>
      </w:pPr>
      <w:r>
        <w:t xml:space="preserve">Clinical Outcomes </w:t>
      </w:r>
    </w:p>
    <w:p w14:paraId="571EC2C8" w14:textId="77777777" w:rsidR="007E2B42" w:rsidRDefault="007E2B42" w:rsidP="00AD309C">
      <w:pPr>
        <w:pStyle w:val="EndnoteText"/>
        <w:numPr>
          <w:ilvl w:val="1"/>
          <w:numId w:val="149"/>
        </w:numPr>
      </w:pPr>
      <w:r>
        <w:t xml:space="preserve">Skill Mix of Staff (e.g., licensing levels and educational training, years of experience, and volume of new graduates on a unit) </w:t>
      </w:r>
    </w:p>
    <w:p w14:paraId="522361B3" w14:textId="77777777" w:rsidR="007E2B42" w:rsidRDefault="007E2B42" w:rsidP="00AD309C">
      <w:pPr>
        <w:pStyle w:val="EndnoteText"/>
        <w:numPr>
          <w:ilvl w:val="1"/>
          <w:numId w:val="149"/>
        </w:numPr>
      </w:pPr>
      <w:r>
        <w:t xml:space="preserve">Physical environment (e.g., distance staff have to travel to access support equipment, visibility of patients, locations of nursing stations to patient rooms, etc.) </w:t>
      </w:r>
    </w:p>
    <w:p w14:paraId="3267F136" w14:textId="77777777" w:rsidR="007E2B42" w:rsidRDefault="007E2B42" w:rsidP="00AD309C">
      <w:pPr>
        <w:pStyle w:val="EndnoteText"/>
        <w:numPr>
          <w:ilvl w:val="1"/>
          <w:numId w:val="149"/>
        </w:numPr>
      </w:pPr>
      <w:r>
        <w:t xml:space="preserve">Type of patient care needs </w:t>
      </w:r>
    </w:p>
    <w:p w14:paraId="589D6EA5" w14:textId="77777777" w:rsidR="007E2B42" w:rsidRDefault="007E2B42" w:rsidP="00AD309C">
      <w:pPr>
        <w:pStyle w:val="EndnoteText"/>
        <w:numPr>
          <w:ilvl w:val="1"/>
          <w:numId w:val="149"/>
        </w:numPr>
      </w:pPr>
      <w:r>
        <w:t xml:space="preserve">Support services available </w:t>
      </w:r>
    </w:p>
    <w:p w14:paraId="2AAA9B77" w14:textId="77777777" w:rsidR="007E2B42" w:rsidRDefault="007E2B42" w:rsidP="007E2B42">
      <w:pPr>
        <w:pStyle w:val="EndnoteText"/>
        <w:ind w:left="576"/>
      </w:pPr>
    </w:p>
    <w:p w14:paraId="5738D0F8" w14:textId="77777777" w:rsidR="00A94E56" w:rsidRDefault="00A94E56" w:rsidP="00D17229">
      <w:pPr>
        <w:pStyle w:val="EndnoteText"/>
        <w:ind w:left="720"/>
      </w:pPr>
    </w:p>
    <w:p w14:paraId="6E1AF0CE" w14:textId="3322C052" w:rsidR="007E2B42" w:rsidRDefault="007E2B42" w:rsidP="00D17229">
      <w:pPr>
        <w:pStyle w:val="EndnoteText"/>
        <w:ind w:left="720"/>
      </w:pPr>
      <w:r>
        <w:t>Daily monitoring should take place to determine variances between predetermined staffing patterns and actual staffing patterns. If necessary, corrective action should be taken. Regular monitoring should take place to determine the accuracy of targets established and determine adjustments as needed.</w:t>
      </w:r>
    </w:p>
    <w:p w14:paraId="1A95011B" w14:textId="77777777" w:rsidR="007E2B42" w:rsidRDefault="007E2B42" w:rsidP="007E2B42">
      <w:pPr>
        <w:pStyle w:val="EndnoteText"/>
      </w:pPr>
    </w:p>
    <w:p w14:paraId="61581C6F" w14:textId="77777777" w:rsidR="007E2B42" w:rsidRPr="009A5185" w:rsidRDefault="007E2B42" w:rsidP="00AB5B80">
      <w:pPr>
        <w:pStyle w:val="Heading3"/>
      </w:pPr>
      <w:bookmarkStart w:id="448" w:name="_Toc225877767"/>
      <w:r>
        <w:t>Percentage of RNs who are BSN-Prepared FAQs</w:t>
      </w:r>
      <w:bookmarkEnd w:id="448"/>
    </w:p>
    <w:p w14:paraId="0C47ADF0" w14:textId="77777777" w:rsidR="007E2B42" w:rsidRDefault="007E2B42" w:rsidP="007E2B42"/>
    <w:p w14:paraId="34E87AF9" w14:textId="77777777" w:rsidR="007E2B42" w:rsidRDefault="007E2B42" w:rsidP="00AD309C">
      <w:pPr>
        <w:pStyle w:val="ListParagraph"/>
        <w:numPr>
          <w:ilvl w:val="0"/>
          <w:numId w:val="82"/>
        </w:numPr>
        <w:rPr>
          <w:b/>
          <w:bCs/>
        </w:rPr>
      </w:pPr>
      <w:r w:rsidRPr="3481D933">
        <w:rPr>
          <w:b/>
          <w:bCs/>
        </w:rPr>
        <w:t xml:space="preserve">Should </w:t>
      </w:r>
      <w:r>
        <w:rPr>
          <w:b/>
          <w:bCs/>
        </w:rPr>
        <w:t>RNs</w:t>
      </w:r>
      <w:r w:rsidRPr="3481D933">
        <w:rPr>
          <w:b/>
          <w:bCs/>
        </w:rPr>
        <w:t xml:space="preserve"> with direct patient care responsibilities exclusively assigned to outpatient units or hospital clinics be included </w:t>
      </w:r>
      <w:r>
        <w:rPr>
          <w:b/>
          <w:bCs/>
        </w:rPr>
        <w:t>when reporting on the P</w:t>
      </w:r>
      <w:r w:rsidRPr="00B22B26">
        <w:rPr>
          <w:b/>
          <w:bCs/>
        </w:rPr>
        <w:t xml:space="preserve">ercentage </w:t>
      </w:r>
      <w:r w:rsidRPr="3481D933">
        <w:rPr>
          <w:b/>
          <w:bCs/>
        </w:rPr>
        <w:t xml:space="preserve">of </w:t>
      </w:r>
      <w:r>
        <w:rPr>
          <w:b/>
          <w:bCs/>
        </w:rPr>
        <w:t>RNs</w:t>
      </w:r>
      <w:r w:rsidRPr="3481D933">
        <w:rPr>
          <w:b/>
          <w:bCs/>
        </w:rPr>
        <w:t xml:space="preserve"> </w:t>
      </w:r>
      <w:r>
        <w:rPr>
          <w:b/>
          <w:bCs/>
        </w:rPr>
        <w:t>who</w:t>
      </w:r>
      <w:r w:rsidRPr="3481D933">
        <w:rPr>
          <w:b/>
          <w:bCs/>
        </w:rPr>
        <w:t xml:space="preserve"> are BSN-</w:t>
      </w:r>
      <w:r>
        <w:rPr>
          <w:b/>
          <w:bCs/>
        </w:rPr>
        <w:t>P</w:t>
      </w:r>
      <w:r w:rsidRPr="3481D933">
        <w:rPr>
          <w:b/>
          <w:bCs/>
        </w:rPr>
        <w:t>repared</w:t>
      </w:r>
      <w:r>
        <w:rPr>
          <w:b/>
          <w:bCs/>
        </w:rPr>
        <w:t xml:space="preserve"> measure</w:t>
      </w:r>
      <w:r w:rsidRPr="3481D933">
        <w:rPr>
          <w:b/>
          <w:bCs/>
        </w:rPr>
        <w:t>?</w:t>
      </w:r>
    </w:p>
    <w:p w14:paraId="302986DA" w14:textId="3ACB64A4" w:rsidR="00E73ED4" w:rsidRDefault="007E2B42" w:rsidP="00E73ED4">
      <w:pPr>
        <w:ind w:left="720"/>
      </w:pPr>
      <w:r>
        <w:t xml:space="preserve">Yes. The total number of RN nursing staff employed at the hospital should include nurses with direct care responsibilities in most hospital units, including observation, </w:t>
      </w:r>
      <w:hyperlink w:anchor="colocatedendnote" w:history="1">
        <w:r w:rsidRPr="00C84595">
          <w:rPr>
            <w:rStyle w:val="Hyperlink"/>
          </w:rPr>
          <w:t>co-located</w:t>
        </w:r>
      </w:hyperlink>
      <w:r>
        <w:fldChar w:fldCharType="begin"/>
      </w:r>
      <w:r>
        <w:instrText xml:space="preserve"> NOTEREF _Ref134616250 \f \h </w:instrText>
      </w:r>
      <w:r>
        <w:fldChar w:fldCharType="separate"/>
      </w:r>
      <w:r w:rsidR="007D53A2" w:rsidRPr="001D1E3A">
        <w:rPr>
          <w:rStyle w:val="EndnoteReference"/>
        </w:rPr>
        <w:t>31</w:t>
      </w:r>
      <w:r>
        <w:fldChar w:fldCharType="end"/>
      </w:r>
      <w:r>
        <w:t xml:space="preserve"> outpatient units, and emergency departments. Only employed RNs exclusively assigned to Skilled Nursing units or Mixed Acuity Neonatal units should be excluded when reporting on the measure. </w:t>
      </w:r>
    </w:p>
    <w:p w14:paraId="6CC6041F" w14:textId="36873A4E" w:rsidR="00C10B93" w:rsidRPr="00E73ED4" w:rsidRDefault="00C10B93" w:rsidP="004554BC">
      <w:pPr>
        <w:pStyle w:val="ListParagraph"/>
      </w:pPr>
      <w:r w:rsidRPr="00E73ED4">
        <w:rPr>
          <w:rFonts w:cs="Arial"/>
          <w:lang w:eastAsia="ja-JP"/>
        </w:rPr>
        <w:br w:type="page"/>
      </w:r>
    </w:p>
    <w:p w14:paraId="38229A19" w14:textId="1A6A4B0F" w:rsidR="00920EF6" w:rsidRPr="009A5185" w:rsidRDefault="00920EF6" w:rsidP="00082F78">
      <w:pPr>
        <w:sectPr w:rsidR="00920EF6" w:rsidRPr="009A5185" w:rsidSect="00062F69">
          <w:headerReference w:type="default" r:id="rId342"/>
          <w:endnotePr>
            <w:numFmt w:val="decimal"/>
          </w:endnotePr>
          <w:type w:val="continuous"/>
          <w:pgSz w:w="12240" w:h="15840"/>
          <w:pgMar w:top="1080" w:right="1440" w:bottom="1080" w:left="1440" w:header="720" w:footer="720" w:gutter="0"/>
          <w:cols w:space="720"/>
          <w:docGrid w:linePitch="272"/>
        </w:sectPr>
      </w:pPr>
      <w:bookmarkStart w:id="449" w:name="_Toc414267287"/>
    </w:p>
    <w:p w14:paraId="23DFF711" w14:textId="77777777" w:rsidR="00046B33" w:rsidRPr="009A5185" w:rsidRDefault="00046B33" w:rsidP="00764EEA"/>
    <w:p w14:paraId="6215FE06" w14:textId="1D8E6A5E" w:rsidR="00C10B93" w:rsidRPr="009A5185" w:rsidRDefault="00CC2E61" w:rsidP="00D32C75">
      <w:pPr>
        <w:pStyle w:val="SectionHeader"/>
      </w:pPr>
      <w:bookmarkStart w:id="450" w:name="_Toc225877768"/>
      <w:r w:rsidRPr="009A5185">
        <w:t>Page Intentionally Left Blank</w:t>
      </w:r>
      <w:bookmarkEnd w:id="449"/>
      <w:bookmarkEnd w:id="450"/>
    </w:p>
    <w:p w14:paraId="00BF0486" w14:textId="77777777" w:rsidR="00CC2E61" w:rsidRPr="009A5185" w:rsidRDefault="00CC2E61">
      <w:pPr>
        <w:rPr>
          <w:rFonts w:cs="Arial"/>
          <w:b/>
          <w:snapToGrid w:val="0"/>
          <w:color w:val="A6A6A6" w:themeColor="background1" w:themeShade="A6"/>
          <w:sz w:val="40"/>
          <w:szCs w:val="40"/>
          <w:lang w:eastAsia="ja-JP"/>
        </w:rPr>
      </w:pPr>
      <w:r w:rsidRPr="009A5185">
        <w:rPr>
          <w:rFonts w:cs="Arial"/>
          <w:color w:val="A6A6A6" w:themeColor="background1" w:themeShade="A6"/>
        </w:rPr>
        <w:br w:type="page"/>
      </w:r>
    </w:p>
    <w:p w14:paraId="3B1D4213" w14:textId="77777777" w:rsidR="00920EF6" w:rsidRPr="009A5185" w:rsidRDefault="00920EF6" w:rsidP="0011459E">
      <w:pPr>
        <w:rPr>
          <w:b/>
          <w:i/>
        </w:rPr>
        <w:sectPr w:rsidR="00920EF6" w:rsidRPr="009A5185" w:rsidSect="00062F69">
          <w:headerReference w:type="default" r:id="rId343"/>
          <w:endnotePr>
            <w:numFmt w:val="decimal"/>
          </w:endnotePr>
          <w:type w:val="continuous"/>
          <w:pgSz w:w="12240" w:h="15840"/>
          <w:pgMar w:top="1080" w:right="1440" w:bottom="1080" w:left="1440" w:header="720" w:footer="720" w:gutter="0"/>
          <w:cols w:space="720"/>
          <w:docGrid w:linePitch="272"/>
        </w:sectPr>
      </w:pPr>
    </w:p>
    <w:p w14:paraId="6C7CB1FC" w14:textId="77777777" w:rsidR="00CC2E61" w:rsidRPr="009A5185" w:rsidRDefault="00CC2E61" w:rsidP="00764EEA"/>
    <w:p w14:paraId="0E22C308" w14:textId="7E307460" w:rsidR="00E0417A" w:rsidRDefault="00E0417A"/>
    <w:p w14:paraId="7EE67C4D" w14:textId="77777777" w:rsidR="00F750C5" w:rsidRDefault="00F750C5" w:rsidP="00F750C5"/>
    <w:p w14:paraId="55120CBB" w14:textId="77777777" w:rsidR="00E0417A" w:rsidRDefault="00E0417A" w:rsidP="00F750C5"/>
    <w:p w14:paraId="477E5390" w14:textId="77777777" w:rsidR="00E0417A" w:rsidRDefault="00E0417A" w:rsidP="00F750C5"/>
    <w:p w14:paraId="5CAD8326" w14:textId="77777777" w:rsidR="00E0417A" w:rsidRDefault="00E0417A" w:rsidP="00F750C5"/>
    <w:p w14:paraId="466069DE" w14:textId="77777777" w:rsidR="00E0417A" w:rsidRDefault="00E0417A" w:rsidP="00F750C5"/>
    <w:p w14:paraId="5BC53EA6" w14:textId="77777777" w:rsidR="00E0417A" w:rsidRDefault="00E0417A" w:rsidP="00F750C5"/>
    <w:p w14:paraId="2D287D34" w14:textId="77777777" w:rsidR="00E0417A" w:rsidRDefault="00E0417A" w:rsidP="00F750C5"/>
    <w:p w14:paraId="48D6CE4A" w14:textId="77777777" w:rsidR="00E0417A" w:rsidRDefault="00E0417A" w:rsidP="00F750C5"/>
    <w:p w14:paraId="240F5C3F" w14:textId="77777777" w:rsidR="00E0417A" w:rsidRDefault="00E0417A" w:rsidP="00F750C5"/>
    <w:p w14:paraId="0731092F" w14:textId="77777777" w:rsidR="00E0417A" w:rsidRDefault="00E0417A" w:rsidP="00F750C5"/>
    <w:p w14:paraId="70538222" w14:textId="77777777" w:rsidR="00E0417A" w:rsidRDefault="00E0417A" w:rsidP="00F750C5"/>
    <w:p w14:paraId="74350155" w14:textId="77777777" w:rsidR="00E0417A" w:rsidRDefault="00E0417A" w:rsidP="00F750C5"/>
    <w:p w14:paraId="77BE9758" w14:textId="77777777" w:rsidR="00E0417A" w:rsidRDefault="00E0417A" w:rsidP="00F750C5"/>
    <w:p w14:paraId="5F552BE3" w14:textId="77777777" w:rsidR="00E0417A" w:rsidRDefault="00E0417A" w:rsidP="00F750C5"/>
    <w:p w14:paraId="1B334FCF" w14:textId="77777777" w:rsidR="00E0417A" w:rsidRDefault="00E0417A" w:rsidP="00F750C5"/>
    <w:p w14:paraId="03E6980B" w14:textId="77777777" w:rsidR="00E0417A" w:rsidRDefault="00E0417A" w:rsidP="00F750C5"/>
    <w:p w14:paraId="25894217" w14:textId="19121127" w:rsidR="00C10B93" w:rsidRPr="009A5185" w:rsidRDefault="004B7F4F" w:rsidP="00D32C75">
      <w:pPr>
        <w:pStyle w:val="SectionHeader"/>
      </w:pPr>
      <w:bookmarkStart w:id="451" w:name="Sect6"/>
      <w:bookmarkStart w:id="452" w:name="_Toc225877769"/>
      <w:r w:rsidRPr="009A5185">
        <w:t xml:space="preserve">SECTION 6: </w:t>
      </w:r>
      <w:r w:rsidR="00573739">
        <w:t>PATIENT</w:t>
      </w:r>
      <w:r w:rsidR="0069528D" w:rsidRPr="009A5185">
        <w:t xml:space="preserve"> </w:t>
      </w:r>
      <w:r w:rsidR="00AE4B4C" w:rsidRPr="009A5185">
        <w:t>SAFE</w:t>
      </w:r>
      <w:r w:rsidR="00C32BB5">
        <w:t>TY</w:t>
      </w:r>
      <w:r w:rsidR="00AE4B4C" w:rsidRPr="009A5185">
        <w:t xml:space="preserve"> PRACTICES</w:t>
      </w:r>
      <w:bookmarkEnd w:id="451"/>
      <w:bookmarkEnd w:id="452"/>
    </w:p>
    <w:p w14:paraId="1DB932B7" w14:textId="77777777" w:rsidR="00C10B93" w:rsidRPr="009A5185" w:rsidRDefault="00C10B93" w:rsidP="00764EEA"/>
    <w:p w14:paraId="64DB5F75" w14:textId="77777777" w:rsidR="00C10B93" w:rsidRPr="009A5185" w:rsidRDefault="00C10B93" w:rsidP="00C10B93">
      <w:pPr>
        <w:rPr>
          <w:rFonts w:cs="Arial"/>
        </w:rPr>
      </w:pPr>
      <w:r w:rsidRPr="009A5185">
        <w:rPr>
          <w:rFonts w:cs="Arial"/>
        </w:rPr>
        <w:t>This section includes questions and reference information for Section 6</w:t>
      </w:r>
      <w:r w:rsidR="004A4FD0" w:rsidRPr="009A5185">
        <w:rPr>
          <w:rFonts w:cs="Arial"/>
        </w:rPr>
        <w:t xml:space="preserve">: </w:t>
      </w:r>
      <w:r w:rsidR="00C32BB5">
        <w:rPr>
          <w:rFonts w:cs="Arial"/>
        </w:rPr>
        <w:t>Patient</w:t>
      </w:r>
      <w:r w:rsidR="004A4FD0" w:rsidRPr="009A5185">
        <w:rPr>
          <w:rFonts w:cs="Arial"/>
        </w:rPr>
        <w:t xml:space="preserve"> Safe</w:t>
      </w:r>
      <w:r w:rsidR="00C32BB5">
        <w:rPr>
          <w:rFonts w:cs="Arial"/>
        </w:rPr>
        <w:t>ty</w:t>
      </w:r>
      <w:r w:rsidR="004A4FD0" w:rsidRPr="009A5185">
        <w:rPr>
          <w:rFonts w:cs="Arial"/>
        </w:rPr>
        <w:t xml:space="preserve"> Practices</w:t>
      </w:r>
      <w:r w:rsidRPr="009A5185">
        <w:rPr>
          <w:rFonts w:cs="Arial"/>
        </w:rPr>
        <w:t xml:space="preserve">. Please carefully review the questions, </w:t>
      </w:r>
      <w:r w:rsidR="00B94757" w:rsidRPr="009A5185">
        <w:rPr>
          <w:rFonts w:cs="Arial"/>
        </w:rPr>
        <w:t>endnotes</w:t>
      </w:r>
      <w:r w:rsidRPr="009A5185">
        <w:rPr>
          <w:rFonts w:cs="Arial"/>
        </w:rPr>
        <w:t>, and reference information (e.g.</w:t>
      </w:r>
      <w:r w:rsidR="00BD221E" w:rsidRPr="009A5185">
        <w:rPr>
          <w:rFonts w:cs="Arial"/>
        </w:rPr>
        <w:t>,</w:t>
      </w:r>
      <w:r w:rsidRPr="009A5185">
        <w:rPr>
          <w:rFonts w:cs="Arial"/>
        </w:rPr>
        <w:t xml:space="preserve"> measure specifications, notes, and frequen</w:t>
      </w:r>
      <w:r w:rsidR="007179BA" w:rsidRPr="009A5185">
        <w:rPr>
          <w:rFonts w:cs="Arial"/>
        </w:rPr>
        <w:t>tl</w:t>
      </w:r>
      <w:r w:rsidRPr="009A5185">
        <w:rPr>
          <w:rFonts w:cs="Arial"/>
        </w:rPr>
        <w:t xml:space="preserve">y asked questions) before you begin. Failure to review the reference information could result in inaccurate responses. </w:t>
      </w:r>
    </w:p>
    <w:p w14:paraId="4EEA088F" w14:textId="77777777" w:rsidR="00C10B93" w:rsidRPr="009A5185" w:rsidRDefault="00C10B93" w:rsidP="00C10B93">
      <w:pPr>
        <w:rPr>
          <w:rFonts w:cs="Arial"/>
          <w:b/>
          <w:snapToGrid w:val="0"/>
          <w:sz w:val="40"/>
          <w:szCs w:val="40"/>
          <w:lang w:eastAsia="ja-JP"/>
        </w:rPr>
      </w:pPr>
      <w:r w:rsidRPr="009A5185">
        <w:rPr>
          <w:rFonts w:cs="Arial"/>
        </w:rPr>
        <w:br w:type="page"/>
      </w:r>
    </w:p>
    <w:p w14:paraId="035735DD" w14:textId="410BD521" w:rsidR="000C3BE1" w:rsidRPr="009A5185" w:rsidRDefault="00C10B93" w:rsidP="00CF5A6E">
      <w:pPr>
        <w:pStyle w:val="Heading2"/>
      </w:pPr>
      <w:bookmarkStart w:id="453" w:name="_Section_6:_Patient"/>
      <w:bookmarkStart w:id="454" w:name="_Toc225877770"/>
      <w:bookmarkEnd w:id="453"/>
      <w:r w:rsidRPr="009A5185">
        <w:t xml:space="preserve">Section 6: </w:t>
      </w:r>
      <w:r w:rsidR="0081227A">
        <w:t>Patient</w:t>
      </w:r>
      <w:r w:rsidR="00F42AE4" w:rsidRPr="009A5185">
        <w:t xml:space="preserve"> </w:t>
      </w:r>
      <w:r w:rsidR="003E5C29" w:rsidRPr="009A5185">
        <w:t>Safe</w:t>
      </w:r>
      <w:r w:rsidR="0081227A">
        <w:t>ty</w:t>
      </w:r>
      <w:r w:rsidR="003E5C29" w:rsidRPr="009A5185">
        <w:t xml:space="preserve"> Practices</w:t>
      </w:r>
      <w:bookmarkEnd w:id="454"/>
    </w:p>
    <w:p w14:paraId="43B9FF94" w14:textId="77777777" w:rsidR="003E5C29" w:rsidRPr="00332D4F" w:rsidRDefault="003E5C29">
      <w:pPr>
        <w:rPr>
          <w:rFonts w:cs="Arial"/>
        </w:rPr>
      </w:pPr>
    </w:p>
    <w:p w14:paraId="1E69C198" w14:textId="77777777" w:rsidR="00025555" w:rsidRDefault="001A0894">
      <w:pPr>
        <w:rPr>
          <w:rFonts w:cs="Arial"/>
        </w:rPr>
      </w:pPr>
      <w:r w:rsidRPr="00332D4F">
        <w:rPr>
          <w:rFonts w:cs="Arial"/>
          <w:b/>
        </w:rPr>
        <w:t>NQF</w:t>
      </w:r>
      <w:r w:rsidR="0041452B" w:rsidRPr="00332D4F">
        <w:rPr>
          <w:rFonts w:cs="Arial"/>
          <w:b/>
        </w:rPr>
        <w:t xml:space="preserve"> </w:t>
      </w:r>
      <w:r w:rsidRPr="00332D4F">
        <w:rPr>
          <w:rFonts w:cs="Arial"/>
          <w:b/>
        </w:rPr>
        <w:t xml:space="preserve">Safe </w:t>
      </w:r>
      <w:r w:rsidR="0041452B" w:rsidRPr="00332D4F">
        <w:rPr>
          <w:rFonts w:cs="Arial"/>
          <w:b/>
        </w:rPr>
        <w:t>Practices Fact Sheet</w:t>
      </w:r>
      <w:r w:rsidR="009B0C05">
        <w:rPr>
          <w:rFonts w:cs="Arial"/>
          <w:b/>
        </w:rPr>
        <w:t>s</w:t>
      </w:r>
      <w:r w:rsidR="00870411" w:rsidRPr="00332D4F">
        <w:rPr>
          <w:rFonts w:cs="Arial"/>
          <w:b/>
        </w:rPr>
        <w:t>:</w:t>
      </w:r>
      <w:r w:rsidR="00870411" w:rsidRPr="00332D4F">
        <w:rPr>
          <w:rFonts w:cs="Arial"/>
        </w:rPr>
        <w:t xml:space="preserve"> </w:t>
      </w:r>
    </w:p>
    <w:bookmarkStart w:id="455" w:name="_Tips_for_Reporting"/>
    <w:bookmarkEnd w:id="455"/>
    <w:p w14:paraId="5155DC04" w14:textId="4099AB88" w:rsidR="006D1A8F" w:rsidRDefault="005F5439" w:rsidP="00C14AFF">
      <w:r>
        <w:fldChar w:fldCharType="begin"/>
      </w:r>
      <w:r>
        <w:instrText>HYPERLINK "</w:instrText>
      </w:r>
      <w:r w:rsidRPr="005F5439">
        <w:instrText>https://ratings.leapfroggroup.org/measure/hospital/2026/effective-leadership-prevent-errors</w:instrText>
      </w:r>
      <w:r>
        <w:instrText>"</w:instrText>
      </w:r>
      <w:r>
        <w:fldChar w:fldCharType="separate"/>
      </w:r>
      <w:r w:rsidRPr="00A2752F">
        <w:rPr>
          <w:rStyle w:val="Hyperlink"/>
        </w:rPr>
        <w:t>https://ratings.leapfroggroup.org/measure/hospital/2026/effective-leadership-prevent-errors</w:t>
      </w:r>
      <w:r>
        <w:fldChar w:fldCharType="end"/>
      </w:r>
    </w:p>
    <w:p w14:paraId="419C260C" w14:textId="77777777" w:rsidR="005F5439" w:rsidRPr="00332D4F" w:rsidRDefault="005F5439" w:rsidP="00C14AFF">
      <w:pPr>
        <w:rPr>
          <w:rFonts w:cs="Arial"/>
          <w:b/>
          <w:bCs/>
          <w:snapToGrid w:val="0"/>
        </w:rPr>
      </w:pPr>
    </w:p>
    <w:p w14:paraId="308EB5D9" w14:textId="0936D9A5" w:rsidR="00854543" w:rsidRPr="00854543" w:rsidRDefault="003B5159" w:rsidP="00C14AFF">
      <w:r w:rsidRPr="00760C43">
        <w:rPr>
          <w:rFonts w:cs="Arial"/>
          <w:b/>
        </w:rPr>
        <w:t xml:space="preserve">Hand Hygiene Fact Sheet and Bibliography: </w:t>
      </w:r>
      <w:hyperlink r:id="rId344" w:history="1">
        <w:r w:rsidR="00854543" w:rsidRPr="00A2752F">
          <w:rPr>
            <w:rStyle w:val="Hyperlink"/>
          </w:rPr>
          <w:t>https://ratings.leapfroggroup.org/measure/hospital/2026/handwashing</w:t>
        </w:r>
      </w:hyperlink>
      <w:r w:rsidR="00854543">
        <w:t xml:space="preserve"> </w:t>
      </w:r>
    </w:p>
    <w:p w14:paraId="58456F03" w14:textId="77777777" w:rsidR="00C62199" w:rsidRDefault="00C62199" w:rsidP="00C14AFF"/>
    <w:p w14:paraId="3704559E" w14:textId="50AB7F8E" w:rsidR="00C62199" w:rsidRPr="00693D1C" w:rsidRDefault="00C62199" w:rsidP="00C14AFF">
      <w:pPr>
        <w:rPr>
          <w:rFonts w:cs="Arial"/>
          <w:snapToGrid w:val="0"/>
          <w:lang w:val="fr-FR"/>
        </w:rPr>
      </w:pPr>
      <w:r w:rsidRPr="00693D1C">
        <w:rPr>
          <w:b/>
          <w:bCs/>
          <w:lang w:val="fr-FR"/>
        </w:rPr>
        <w:t>Diagnostic Excellence Bibliography:</w:t>
      </w:r>
      <w:r w:rsidRPr="00693D1C">
        <w:rPr>
          <w:rFonts w:cs="Arial"/>
          <w:snapToGrid w:val="0"/>
          <w:lang w:val="fr-FR"/>
        </w:rPr>
        <w:t xml:space="preserve"> </w:t>
      </w:r>
      <w:r w:rsidR="00746388" w:rsidRPr="00693D1C">
        <w:rPr>
          <w:rFonts w:cs="Arial"/>
          <w:snapToGrid w:val="0"/>
          <w:lang w:val="fr-FR"/>
        </w:rPr>
        <w:br/>
      </w:r>
      <w:hyperlink r:id="rId345" w:history="1">
        <w:r w:rsidR="000D3ABA" w:rsidRPr="00693D1C">
          <w:rPr>
            <w:rStyle w:val="Hyperlink"/>
            <w:lang w:val="fr-FR"/>
          </w:rPr>
          <w:t>https://ratings.leapfroggroup.org/measure/hospital/2026/whats-new-2026</w:t>
        </w:r>
      </w:hyperlink>
      <w:r w:rsidR="000D3ABA" w:rsidRPr="00693D1C">
        <w:rPr>
          <w:lang w:val="fr-FR"/>
        </w:rPr>
        <w:t xml:space="preserve"> </w:t>
      </w:r>
    </w:p>
    <w:p w14:paraId="02B48910" w14:textId="77777777" w:rsidR="00CC2D9E" w:rsidRPr="00693D1C" w:rsidRDefault="00CC2D9E" w:rsidP="00C14AFF">
      <w:pPr>
        <w:rPr>
          <w:rFonts w:cs="Arial"/>
          <w:snapToGrid w:val="0"/>
          <w:lang w:val="fr-FR"/>
        </w:rPr>
      </w:pPr>
    </w:p>
    <w:p w14:paraId="36768E87" w14:textId="5993B8EC" w:rsidR="00CC2D9E" w:rsidRDefault="007D209C" w:rsidP="00C14AFF">
      <w:pPr>
        <w:rPr>
          <w:rFonts w:cs="Arial"/>
          <w:b/>
          <w:bCs/>
          <w:snapToGrid w:val="0"/>
        </w:rPr>
      </w:pPr>
      <w:r>
        <w:rPr>
          <w:rFonts w:cs="Arial"/>
          <w:b/>
          <w:bCs/>
          <w:snapToGrid w:val="0"/>
        </w:rPr>
        <w:t>Hospital Boarding in the Emergency Department</w:t>
      </w:r>
      <w:r w:rsidR="00CF521B">
        <w:rPr>
          <w:rFonts w:cs="Arial"/>
          <w:b/>
          <w:bCs/>
          <w:snapToGrid w:val="0"/>
        </w:rPr>
        <w:t xml:space="preserve"> (ED)</w:t>
      </w:r>
      <w:r>
        <w:rPr>
          <w:rFonts w:cs="Arial"/>
          <w:b/>
          <w:bCs/>
          <w:snapToGrid w:val="0"/>
        </w:rPr>
        <w:t xml:space="preserve"> </w:t>
      </w:r>
      <w:r w:rsidR="00CC2D9E" w:rsidRPr="00BC45DC">
        <w:rPr>
          <w:rFonts w:cs="Arial"/>
          <w:b/>
          <w:bCs/>
          <w:snapToGrid w:val="0"/>
        </w:rPr>
        <w:t xml:space="preserve">Bibliography: </w:t>
      </w:r>
    </w:p>
    <w:p w14:paraId="203E93F0" w14:textId="5B93C4BC" w:rsidR="00A01D96" w:rsidRDefault="000D3ABA" w:rsidP="00C14AFF">
      <w:hyperlink r:id="rId346" w:history="1">
        <w:r w:rsidRPr="00A2752F">
          <w:rPr>
            <w:rStyle w:val="Hyperlink"/>
          </w:rPr>
          <w:t>https://ratings.leapfroggroup.org/measure/hospital/2026/whats-new-2026</w:t>
        </w:r>
      </w:hyperlink>
      <w:r>
        <w:t xml:space="preserve"> </w:t>
      </w:r>
    </w:p>
    <w:p w14:paraId="12A0A510" w14:textId="77777777" w:rsidR="000D3ABA" w:rsidRPr="00332D4F" w:rsidRDefault="000D3ABA" w:rsidP="00C14AFF">
      <w:pPr>
        <w:rPr>
          <w:rFonts w:cs="Arial"/>
          <w:snapToGrid w:val="0"/>
        </w:rPr>
      </w:pPr>
    </w:p>
    <w:p w14:paraId="26B97870" w14:textId="172C25D9" w:rsidR="00DD2598" w:rsidRPr="00332D4F" w:rsidRDefault="00652583" w:rsidP="00C14AFF">
      <w:pPr>
        <w:rPr>
          <w:rFonts w:cs="Arial"/>
          <w:snapToGrid w:val="0"/>
        </w:rPr>
      </w:pPr>
      <w:r w:rsidRPr="00332D4F">
        <w:rPr>
          <w:rFonts w:cs="Arial"/>
          <w:snapToGrid w:val="0"/>
        </w:rPr>
        <w:t xml:space="preserve">Section 6 includes questions about your hospital’s adherence to two National Quality Forum-endorsed Safe Practices, </w:t>
      </w:r>
      <w:r w:rsidR="008F4050">
        <w:rPr>
          <w:rFonts w:cs="Arial"/>
          <w:snapToGrid w:val="0"/>
        </w:rPr>
        <w:t xml:space="preserve">and </w:t>
      </w:r>
      <w:r w:rsidRPr="00332D4F">
        <w:rPr>
          <w:rFonts w:cs="Arial"/>
          <w:snapToGrid w:val="0"/>
        </w:rPr>
        <w:t xml:space="preserve">questions about your hospital’s hand hygiene practices. </w:t>
      </w:r>
      <w:r w:rsidR="002A1C18">
        <w:rPr>
          <w:rFonts w:cs="Arial"/>
          <w:snapToGrid w:val="0"/>
        </w:rPr>
        <w:t>It also include</w:t>
      </w:r>
      <w:r w:rsidR="002F3C8F">
        <w:rPr>
          <w:rFonts w:cs="Arial"/>
          <w:snapToGrid w:val="0"/>
        </w:rPr>
        <w:t>s</w:t>
      </w:r>
      <w:r w:rsidR="002A1C18">
        <w:rPr>
          <w:rFonts w:cs="Arial"/>
          <w:snapToGrid w:val="0"/>
        </w:rPr>
        <w:t xml:space="preserve"> </w:t>
      </w:r>
      <w:r w:rsidR="00E0467E">
        <w:rPr>
          <w:rFonts w:cs="Arial"/>
          <w:snapToGrid w:val="0"/>
        </w:rPr>
        <w:t xml:space="preserve">a </w:t>
      </w:r>
      <w:r w:rsidR="002A1C18">
        <w:rPr>
          <w:rFonts w:cs="Arial"/>
          <w:snapToGrid w:val="0"/>
        </w:rPr>
        <w:t>sub</w:t>
      </w:r>
      <w:r w:rsidR="00E0467E">
        <w:rPr>
          <w:rFonts w:cs="Arial"/>
          <w:snapToGrid w:val="0"/>
        </w:rPr>
        <w:t>section on diagnostic excellence (6</w:t>
      </w:r>
      <w:r w:rsidR="002C7FE7">
        <w:rPr>
          <w:rFonts w:cs="Arial"/>
          <w:snapToGrid w:val="0"/>
        </w:rPr>
        <w:t>D</w:t>
      </w:r>
      <w:r w:rsidR="00E0467E">
        <w:rPr>
          <w:rFonts w:cs="Arial"/>
          <w:snapToGrid w:val="0"/>
        </w:rPr>
        <w:t xml:space="preserve">) </w:t>
      </w:r>
      <w:r w:rsidR="00BF729B">
        <w:rPr>
          <w:rFonts w:cs="Arial"/>
          <w:snapToGrid w:val="0"/>
        </w:rPr>
        <w:t xml:space="preserve">and a new subsection on </w:t>
      </w:r>
      <w:r w:rsidR="0020206D">
        <w:rPr>
          <w:rFonts w:cs="Arial"/>
          <w:snapToGrid w:val="0"/>
        </w:rPr>
        <w:t xml:space="preserve">Hospital Boarding in the </w:t>
      </w:r>
      <w:r w:rsidR="00BF729B">
        <w:rPr>
          <w:rFonts w:cs="Arial"/>
          <w:snapToGrid w:val="0"/>
        </w:rPr>
        <w:t>Emergency Department (ED) (6E)</w:t>
      </w:r>
      <w:r w:rsidR="006B6B7B">
        <w:rPr>
          <w:rFonts w:cs="Arial"/>
          <w:snapToGrid w:val="0"/>
        </w:rPr>
        <w:t>. Section 6D is required while Section 6E is optional. These subsections will not be scored or publicly reported.</w:t>
      </w:r>
    </w:p>
    <w:p w14:paraId="56F3F46B" w14:textId="77777777" w:rsidR="00652583" w:rsidRPr="00332D4F" w:rsidRDefault="00652583" w:rsidP="00C14AFF">
      <w:pPr>
        <w:rPr>
          <w:rFonts w:cs="Arial"/>
          <w:snapToGrid w:val="0"/>
        </w:rPr>
      </w:pPr>
    </w:p>
    <w:p w14:paraId="4F6840ED" w14:textId="2785D14A" w:rsidR="003607BB" w:rsidRPr="00332D4F" w:rsidRDefault="003607BB" w:rsidP="003607BB">
      <w:pPr>
        <w:rPr>
          <w:rFonts w:cs="Arial"/>
          <w:b/>
          <w:bCs/>
        </w:rPr>
      </w:pPr>
      <w:r w:rsidRPr="00332D4F">
        <w:rPr>
          <w:rFonts w:cs="Arial"/>
          <w:b/>
          <w:bCs/>
        </w:rPr>
        <w:t xml:space="preserve">Each hospital achieving the standard for NQF </w:t>
      </w:r>
      <w:r w:rsidR="00F51DD6" w:rsidRPr="00332D4F">
        <w:rPr>
          <w:rFonts w:cs="Arial"/>
          <w:b/>
          <w:bCs/>
        </w:rPr>
        <w:t>Safe Practice #1 – Culture of Safety Leadership Structures and Systems</w:t>
      </w:r>
      <w:r w:rsidR="00F6040D" w:rsidRPr="00332D4F">
        <w:rPr>
          <w:rFonts w:cs="Arial"/>
          <w:b/>
          <w:bCs/>
        </w:rPr>
        <w:t xml:space="preserve"> and</w:t>
      </w:r>
      <w:r w:rsidR="00F51DD6" w:rsidRPr="00332D4F">
        <w:rPr>
          <w:rFonts w:cs="Arial"/>
          <w:b/>
          <w:bCs/>
        </w:rPr>
        <w:t xml:space="preserve"> </w:t>
      </w:r>
      <w:r w:rsidR="00F51DD6" w:rsidRPr="00332D4F">
        <w:rPr>
          <w:b/>
          <w:bCs/>
        </w:rPr>
        <w:t>NQF Safe Practice #2 – Culture Measurement, Feedback, and Intervention</w:t>
      </w:r>
      <w:r w:rsidR="00F6040D" w:rsidRPr="00332D4F">
        <w:rPr>
          <w:b/>
          <w:bCs/>
        </w:rPr>
        <w:t xml:space="preserve">: </w:t>
      </w:r>
    </w:p>
    <w:p w14:paraId="75B789E5" w14:textId="77CFABDC" w:rsidR="0060455A" w:rsidRPr="00332D4F" w:rsidRDefault="003607BB" w:rsidP="00C92071">
      <w:r w:rsidRPr="00332D4F">
        <w:t>Has earned 100% of points (adopted all elements) for the NQF Safe Practice.</w:t>
      </w:r>
      <w:r w:rsidR="0060455A" w:rsidRPr="00332D4F">
        <w:br/>
      </w:r>
    </w:p>
    <w:p w14:paraId="210E0FED" w14:textId="3420C721" w:rsidR="003607BB" w:rsidRPr="00332D4F" w:rsidRDefault="003607BB" w:rsidP="003607BB">
      <w:pPr>
        <w:rPr>
          <w:rFonts w:cs="Arial"/>
          <w:b/>
          <w:bCs/>
        </w:rPr>
      </w:pPr>
      <w:bookmarkStart w:id="456" w:name="_Hlk36413673"/>
      <w:r w:rsidRPr="00332D4F">
        <w:rPr>
          <w:rFonts w:cs="Arial"/>
          <w:b/>
          <w:bCs/>
        </w:rPr>
        <w:t>Each hospital achieving the standard for Hand Hygiene:</w:t>
      </w:r>
    </w:p>
    <w:bookmarkEnd w:id="456"/>
    <w:p w14:paraId="0C013355" w14:textId="29037CA1" w:rsidR="008B7280" w:rsidRPr="00332D4F" w:rsidRDefault="008B7280" w:rsidP="0032751A">
      <w:pPr>
        <w:spacing w:after="120"/>
        <w:rPr>
          <w:rFonts w:ascii="Calibri" w:hAnsi="Calibri"/>
        </w:rPr>
      </w:pPr>
      <w:r w:rsidRPr="00332D4F">
        <w:t xml:space="preserve">Has met all elements for the Monitoring domain </w:t>
      </w:r>
      <w:r w:rsidR="000025A0" w:rsidRPr="00332D4F">
        <w:t>including</w:t>
      </w:r>
      <w:r w:rsidRPr="00332D4F">
        <w:t xml:space="preserve"> collecting compliance data on at least 200 hand hygiene opportunities* each month in each patient care unit. Has also met all elements for the Feedback domain, as well as </w:t>
      </w:r>
      <w:r w:rsidRPr="00332D4F">
        <w:rPr>
          <w:b/>
          <w:bCs/>
        </w:rPr>
        <w:t>2 of the 3</w:t>
      </w:r>
      <w:r w:rsidRPr="00332D4F">
        <w:t xml:space="preserve"> remaining domains for hand hygiene:</w:t>
      </w:r>
    </w:p>
    <w:p w14:paraId="251B0DE9" w14:textId="77777777" w:rsidR="008B7280" w:rsidRPr="00332D4F" w:rsidRDefault="008B7280" w:rsidP="00AD309C">
      <w:pPr>
        <w:pStyle w:val="ListParagraph"/>
        <w:numPr>
          <w:ilvl w:val="0"/>
          <w:numId w:val="173"/>
        </w:numPr>
        <w:spacing w:after="120"/>
      </w:pPr>
      <w:r w:rsidRPr="00332D4F">
        <w:t>Training and Education Domain</w:t>
      </w:r>
    </w:p>
    <w:p w14:paraId="19F168CE" w14:textId="77777777" w:rsidR="008B7280" w:rsidRPr="00332D4F" w:rsidRDefault="008B7280" w:rsidP="00AD309C">
      <w:pPr>
        <w:pStyle w:val="ListParagraph"/>
        <w:numPr>
          <w:ilvl w:val="0"/>
          <w:numId w:val="173"/>
        </w:numPr>
        <w:spacing w:after="120"/>
      </w:pPr>
      <w:r w:rsidRPr="00332D4F">
        <w:t>Infrastructure Domain</w:t>
      </w:r>
    </w:p>
    <w:p w14:paraId="5D4E7369" w14:textId="623117F5" w:rsidR="008B7280" w:rsidRPr="00332D4F" w:rsidRDefault="008B7280" w:rsidP="00AD309C">
      <w:pPr>
        <w:pStyle w:val="ListParagraph"/>
        <w:numPr>
          <w:ilvl w:val="0"/>
          <w:numId w:val="173"/>
        </w:numPr>
        <w:spacing w:after="120"/>
      </w:pPr>
      <w:r w:rsidRPr="00332D4F">
        <w:t>Culture Domain</w:t>
      </w:r>
    </w:p>
    <w:p w14:paraId="30DB170F" w14:textId="4A3D52DD" w:rsidR="008B7280" w:rsidRPr="00332D4F" w:rsidRDefault="008B7280" w:rsidP="009165F8">
      <w:pPr>
        <w:spacing w:after="120" w:line="264" w:lineRule="auto"/>
        <w:rPr>
          <w:i/>
          <w:iCs/>
        </w:rPr>
      </w:pPr>
      <w:r w:rsidRPr="00332D4F">
        <w:t>OR</w:t>
      </w:r>
    </w:p>
    <w:p w14:paraId="60107316" w14:textId="411D8828" w:rsidR="008B7280" w:rsidRPr="00332D4F" w:rsidRDefault="008B7280" w:rsidP="0032751A">
      <w:pPr>
        <w:spacing w:after="120"/>
      </w:pPr>
      <w:r w:rsidRPr="00332D4F">
        <w:t xml:space="preserve">Has met all elements for the Monitoring domain </w:t>
      </w:r>
      <w:r w:rsidR="000025A0" w:rsidRPr="00332D4F">
        <w:t>including</w:t>
      </w:r>
      <w:r w:rsidRPr="00332D4F">
        <w:t xml:space="preserve"> collecting compliance data on at least 100 hand hygiene opportunities* each month in each patient care unit, as well as </w:t>
      </w:r>
      <w:r w:rsidRPr="00332D4F">
        <w:rPr>
          <w:b/>
          <w:bCs/>
        </w:rPr>
        <w:t>all 4</w:t>
      </w:r>
      <w:r w:rsidRPr="00332D4F">
        <w:t xml:space="preserve"> remaining domains for hand hygiene:</w:t>
      </w:r>
    </w:p>
    <w:p w14:paraId="721C0E9F" w14:textId="77777777" w:rsidR="008B7280" w:rsidRPr="00332D4F" w:rsidRDefault="008B7280" w:rsidP="00AD309C">
      <w:pPr>
        <w:pStyle w:val="ListParagraph"/>
        <w:numPr>
          <w:ilvl w:val="0"/>
          <w:numId w:val="173"/>
        </w:numPr>
        <w:spacing w:after="120"/>
      </w:pPr>
      <w:r w:rsidRPr="00332D4F">
        <w:t>Feedback Domain</w:t>
      </w:r>
    </w:p>
    <w:p w14:paraId="3969DEBA" w14:textId="77777777" w:rsidR="008B7280" w:rsidRPr="00332D4F" w:rsidRDefault="008B7280" w:rsidP="00AD309C">
      <w:pPr>
        <w:pStyle w:val="ListParagraph"/>
        <w:numPr>
          <w:ilvl w:val="0"/>
          <w:numId w:val="173"/>
        </w:numPr>
        <w:spacing w:after="120"/>
      </w:pPr>
      <w:r w:rsidRPr="00332D4F">
        <w:t>Training and Education Domain</w:t>
      </w:r>
    </w:p>
    <w:p w14:paraId="2D924DE1" w14:textId="77777777" w:rsidR="008B7280" w:rsidRPr="00332D4F" w:rsidRDefault="008B7280" w:rsidP="00AD309C">
      <w:pPr>
        <w:pStyle w:val="ListParagraph"/>
        <w:numPr>
          <w:ilvl w:val="0"/>
          <w:numId w:val="173"/>
        </w:numPr>
        <w:spacing w:after="120"/>
      </w:pPr>
      <w:r w:rsidRPr="00332D4F">
        <w:t>Infrastructure Domain</w:t>
      </w:r>
    </w:p>
    <w:p w14:paraId="1E2C30E7" w14:textId="59DF415D" w:rsidR="008B7280" w:rsidRPr="00332D4F" w:rsidRDefault="008B7280" w:rsidP="00AD309C">
      <w:pPr>
        <w:pStyle w:val="ListParagraph"/>
        <w:numPr>
          <w:ilvl w:val="0"/>
          <w:numId w:val="173"/>
        </w:numPr>
        <w:spacing w:after="120"/>
      </w:pPr>
      <w:r w:rsidRPr="00332D4F">
        <w:t>Culture Domain</w:t>
      </w:r>
    </w:p>
    <w:p w14:paraId="50968139" w14:textId="77777777" w:rsidR="000D3ABA" w:rsidRDefault="008B7280" w:rsidP="000D3ABA">
      <w:pPr>
        <w:spacing w:after="120"/>
        <w:contextualSpacing/>
      </w:pPr>
      <w:r w:rsidRPr="00332D4F">
        <w:rPr>
          <w:i/>
          <w:iCs/>
        </w:rPr>
        <w:t xml:space="preserve">*or at least the number of hand hygiene opportunities outlined based on the unit type in </w:t>
      </w:r>
      <w:hyperlink w:anchor="_Hand_Hygiene_Measure" w:history="1">
        <w:r w:rsidR="00C221DF" w:rsidRPr="0017596B">
          <w:rPr>
            <w:rStyle w:val="Hyperlink"/>
            <w:i/>
            <w:iCs/>
          </w:rPr>
          <w:t xml:space="preserve">Tables 1-3 or </w:t>
        </w:r>
        <w:r w:rsidR="007228B3" w:rsidRPr="0017596B">
          <w:rPr>
            <w:rStyle w:val="Hyperlink"/>
            <w:i/>
            <w:iCs/>
          </w:rPr>
          <w:t>Tables 4-6</w:t>
        </w:r>
        <w:r w:rsidR="00C221DF" w:rsidRPr="0017596B">
          <w:rPr>
            <w:rStyle w:val="Hyperlink"/>
            <w:i/>
            <w:iCs/>
          </w:rPr>
          <w:t>.</w:t>
        </w:r>
      </w:hyperlink>
    </w:p>
    <w:p w14:paraId="76C3021F" w14:textId="77777777" w:rsidR="000D3ABA" w:rsidRDefault="000D3ABA" w:rsidP="000D3ABA">
      <w:pPr>
        <w:spacing w:after="120"/>
        <w:contextualSpacing/>
      </w:pPr>
    </w:p>
    <w:p w14:paraId="409AD1C0" w14:textId="798724AA" w:rsidR="008B7280" w:rsidRPr="00C17B7F" w:rsidRDefault="008D7445" w:rsidP="000D3ABA">
      <w:pPr>
        <w:spacing w:after="120"/>
        <w:contextualSpacing/>
        <w:rPr>
          <w:i/>
          <w:iCs/>
        </w:rPr>
      </w:pPr>
      <w:r w:rsidRPr="00332D4F">
        <w:rPr>
          <w:rFonts w:cs="Arial"/>
          <w:b/>
        </w:rPr>
        <w:t xml:space="preserve">Download the </w:t>
      </w:r>
      <w:r w:rsidR="00A236B1" w:rsidRPr="00332D4F">
        <w:rPr>
          <w:rFonts w:cs="Arial"/>
          <w:b/>
        </w:rPr>
        <w:t>202</w:t>
      </w:r>
      <w:r w:rsidR="0042462F">
        <w:rPr>
          <w:rFonts w:cs="Arial"/>
          <w:b/>
        </w:rPr>
        <w:t>6</w:t>
      </w:r>
      <w:r w:rsidR="00C14AFF" w:rsidRPr="00332D4F">
        <w:rPr>
          <w:rFonts w:cs="Arial"/>
          <w:b/>
        </w:rPr>
        <w:t xml:space="preserve"> Leapfrog Hospital Survey Scoring Algorithm on the </w:t>
      </w:r>
      <w:hyperlink r:id="rId347" w:history="1">
        <w:r w:rsidR="00C14AFF" w:rsidRPr="00332D4F">
          <w:rPr>
            <w:rStyle w:val="Hyperlink"/>
            <w:rFonts w:cs="Arial"/>
            <w:b/>
          </w:rPr>
          <w:t>Scoring and Results webpage</w:t>
        </w:r>
      </w:hyperlink>
      <w:r w:rsidR="00C14AFF" w:rsidRPr="00332D4F">
        <w:rPr>
          <w:rFonts w:cs="Arial"/>
          <w:b/>
        </w:rPr>
        <w:t>.</w:t>
      </w:r>
      <w:r w:rsidR="008B7280">
        <w:br w:type="page"/>
      </w:r>
    </w:p>
    <w:p w14:paraId="6095A5B7" w14:textId="7DDC1FA5" w:rsidR="00563CD7" w:rsidRDefault="00563CD7" w:rsidP="00CF5A6E">
      <w:pPr>
        <w:pStyle w:val="Heading2"/>
      </w:pPr>
      <w:bookmarkStart w:id="457" w:name="SP1"/>
      <w:bookmarkStart w:id="458" w:name="_Toc510001892"/>
      <w:bookmarkStart w:id="459" w:name="_Toc225877771"/>
      <w:r>
        <w:t xml:space="preserve">6A: </w:t>
      </w:r>
      <w:r w:rsidR="006045D9">
        <w:t>NQF Safe</w:t>
      </w:r>
      <w:r w:rsidR="00474DDE">
        <w:t xml:space="preserve"> </w:t>
      </w:r>
      <w:r>
        <w:t xml:space="preserve">Practice #1 </w:t>
      </w:r>
      <w:r w:rsidR="006045D9">
        <w:t>–</w:t>
      </w:r>
      <w:r>
        <w:t xml:space="preserve"> </w:t>
      </w:r>
      <w:r w:rsidRPr="009007C4">
        <w:t>Culture of Safety Leadership Structures and Systems</w:t>
      </w:r>
      <w:bookmarkEnd w:id="457"/>
      <w:bookmarkEnd w:id="458"/>
      <w:bookmarkEnd w:id="459"/>
    </w:p>
    <w:p w14:paraId="5CC23472" w14:textId="515DB142" w:rsidR="006045D9" w:rsidRPr="00C15F23" w:rsidRDefault="006045D9" w:rsidP="006045D9">
      <w:pPr>
        <w:rPr>
          <w:sz w:val="16"/>
          <w:szCs w:val="16"/>
          <w:lang w:eastAsia="ja-JP"/>
        </w:rPr>
      </w:pPr>
    </w:p>
    <w:p w14:paraId="12662438" w14:textId="18A7501C" w:rsidR="006045D9" w:rsidRPr="00174828" w:rsidRDefault="006045D9" w:rsidP="0060455A">
      <w:r w:rsidRPr="009A5185">
        <w:rPr>
          <w:rFonts w:cs="Arial"/>
          <w:snapToGrid w:val="0"/>
        </w:rPr>
        <w:t xml:space="preserve">Hospitals that share a </w:t>
      </w:r>
      <w:r>
        <w:rPr>
          <w:rFonts w:cs="Arial"/>
          <w:snapToGrid w:val="0"/>
        </w:rPr>
        <w:t>CMS Certification Number</w:t>
      </w:r>
      <w:r w:rsidRPr="009A5185">
        <w:rPr>
          <w:rFonts w:cs="Arial"/>
          <w:snapToGrid w:val="0"/>
        </w:rPr>
        <w:t xml:space="preserve"> are required to report by facility. Please carefully review </w:t>
      </w:r>
      <w:hyperlink r:id="rId348" w:history="1">
        <w:r w:rsidRPr="009A5185">
          <w:rPr>
            <w:rStyle w:val="Hyperlink"/>
            <w:rFonts w:cs="Arial"/>
            <w:snapToGrid w:val="0"/>
          </w:rPr>
          <w:t>Leapfrog’s Multi-Campus Reporting Policy</w:t>
        </w:r>
      </w:hyperlink>
      <w:r>
        <w:rPr>
          <w:rStyle w:val="Hyperlink"/>
          <w:rFonts w:cs="Arial"/>
          <w:snapToGrid w:val="0"/>
        </w:rPr>
        <w:t>.</w:t>
      </w:r>
    </w:p>
    <w:p w14:paraId="68034434" w14:textId="77777777" w:rsidR="00563CD7" w:rsidRPr="00EA684D" w:rsidRDefault="00563CD7" w:rsidP="00563CD7">
      <w:pPr>
        <w:rPr>
          <w:bCs/>
          <w:i/>
          <w:sz w:val="16"/>
          <w:szCs w:val="16"/>
        </w:rPr>
      </w:pPr>
    </w:p>
    <w:p w14:paraId="605C8037" w14:textId="77777777" w:rsidR="00563CD7" w:rsidRPr="00722F1B" w:rsidRDefault="00563CD7" w:rsidP="00563CD7">
      <w:pPr>
        <w:rPr>
          <w:b/>
          <w:bCs/>
          <w:color w:val="FF0000"/>
        </w:rPr>
      </w:pPr>
      <w:r w:rsidRPr="00722F1B">
        <w:rPr>
          <w:b/>
          <w:bCs/>
          <w:color w:val="FF0000"/>
        </w:rPr>
        <w:t>Important Notes:</w:t>
      </w:r>
    </w:p>
    <w:p w14:paraId="57AFAB73" w14:textId="77777777" w:rsidR="00563CD7" w:rsidRPr="00EA684D" w:rsidRDefault="00563CD7" w:rsidP="00563CD7">
      <w:pPr>
        <w:rPr>
          <w:b/>
          <w:bCs/>
          <w:color w:val="FF0000"/>
          <w:sz w:val="16"/>
          <w:szCs w:val="16"/>
        </w:rPr>
      </w:pPr>
    </w:p>
    <w:p w14:paraId="09514315" w14:textId="0D14B535" w:rsidR="00563CD7" w:rsidRPr="00722F1B" w:rsidRDefault="00563CD7" w:rsidP="00563CD7">
      <w:pPr>
        <w:rPr>
          <w:bCs/>
        </w:rPr>
      </w:pPr>
      <w:r w:rsidRPr="00722F1B">
        <w:rPr>
          <w:bCs/>
        </w:rPr>
        <w:t xml:space="preserve">Note 1: Page numbers </w:t>
      </w:r>
      <w:r w:rsidR="0060148F">
        <w:rPr>
          <w:bCs/>
        </w:rPr>
        <w:t>throughout</w:t>
      </w:r>
      <w:r w:rsidR="009C0C21">
        <w:rPr>
          <w:bCs/>
        </w:rPr>
        <w:t xml:space="preserve"> </w:t>
      </w:r>
      <w:r w:rsidR="009C0C21" w:rsidRPr="009C0C21">
        <w:rPr>
          <w:bCs/>
        </w:rPr>
        <w:t xml:space="preserve">this subsection refer to the NQF Safe Practices for Better Healthcare – 2010 Update report, which is available for download here: </w:t>
      </w:r>
      <w:hyperlink r:id="rId349" w:history="1">
        <w:r w:rsidR="009C0C21" w:rsidRPr="009C0C21">
          <w:rPr>
            <w:rStyle w:val="Hyperlink"/>
            <w:bCs/>
          </w:rPr>
          <w:t>http://www.leapfroggroup.org/survey-materials/survey-and-cpoe-materials</w:t>
        </w:r>
      </w:hyperlink>
      <w:r w:rsidR="009C0C21" w:rsidRPr="009C0C21">
        <w:rPr>
          <w:bCs/>
        </w:rPr>
        <w:t>.</w:t>
      </w:r>
    </w:p>
    <w:p w14:paraId="0D872A1D" w14:textId="77777777" w:rsidR="00563CD7" w:rsidRPr="00EA684D" w:rsidRDefault="00563CD7" w:rsidP="00563CD7">
      <w:pPr>
        <w:rPr>
          <w:bCs/>
          <w:sz w:val="16"/>
          <w:szCs w:val="16"/>
        </w:rPr>
      </w:pPr>
    </w:p>
    <w:p w14:paraId="156757D4" w14:textId="3320E1EF" w:rsidR="00563CD7" w:rsidRDefault="00563CD7" w:rsidP="00563CD7">
      <w:pPr>
        <w:rPr>
          <w:bCs/>
        </w:rPr>
      </w:pPr>
      <w:r w:rsidRPr="00722F1B">
        <w:rPr>
          <w:bCs/>
        </w:rPr>
        <w:t xml:space="preserve">Note 2: Hyperlinks throughout this subsection </w:t>
      </w:r>
      <w:r w:rsidR="008F143B" w:rsidRPr="00722F1B">
        <w:rPr>
          <w:bCs/>
        </w:rPr>
        <w:t>refer</w:t>
      </w:r>
      <w:r w:rsidR="001E2464">
        <w:rPr>
          <w:bCs/>
        </w:rPr>
        <w:t xml:space="preserve"> to</w:t>
      </w:r>
      <w:r w:rsidRPr="00722F1B">
        <w:rPr>
          <w:bCs/>
        </w:rPr>
        <w:t xml:space="preserve"> </w:t>
      </w:r>
      <w:r w:rsidR="0023417A">
        <w:rPr>
          <w:bCs/>
        </w:rPr>
        <w:t xml:space="preserve">the </w:t>
      </w:r>
      <w:hyperlink w:anchor="_Patient_Safety_Practices_2" w:history="1">
        <w:r w:rsidR="00E7380B">
          <w:rPr>
            <w:rStyle w:val="Hyperlink"/>
            <w:bCs/>
          </w:rPr>
          <w:t>Patient Safety Practices FAQs</w:t>
        </w:r>
      </w:hyperlink>
      <w:r w:rsidR="0023417A">
        <w:rPr>
          <w:bCs/>
        </w:rPr>
        <w:t xml:space="preserve"> </w:t>
      </w:r>
      <w:r w:rsidR="001E2464">
        <w:rPr>
          <w:bCs/>
        </w:rPr>
        <w:t>beginning on pag</w:t>
      </w:r>
      <w:r w:rsidR="00583976">
        <w:rPr>
          <w:bCs/>
        </w:rPr>
        <w:t>e</w:t>
      </w:r>
      <w:r w:rsidR="009015B9">
        <w:rPr>
          <w:bCs/>
        </w:rPr>
        <w:t xml:space="preserve"> 25</w:t>
      </w:r>
      <w:r w:rsidR="00BF1511">
        <w:rPr>
          <w:bCs/>
        </w:rPr>
        <w:t>0</w:t>
      </w:r>
      <w:r w:rsidR="005E7694">
        <w:rPr>
          <w:bCs/>
        </w:rPr>
        <w:t>,</w:t>
      </w:r>
      <w:r w:rsidRPr="004A60F9">
        <w:rPr>
          <w:bCs/>
        </w:rPr>
        <w:t xml:space="preserve"> not to endnotes. These hyperlinks are not include</w:t>
      </w:r>
      <w:r w:rsidR="007C2D2D">
        <w:rPr>
          <w:bCs/>
        </w:rPr>
        <w:t xml:space="preserve">d in the </w:t>
      </w:r>
      <w:r w:rsidR="005B7CBC">
        <w:rPr>
          <w:bCs/>
        </w:rPr>
        <w:t>Online Survey Tool</w:t>
      </w:r>
      <w:r w:rsidRPr="004A60F9">
        <w:rPr>
          <w:bCs/>
        </w:rPr>
        <w:t>.</w:t>
      </w:r>
      <w:r w:rsidRPr="00722F1B">
        <w:rPr>
          <w:bCs/>
        </w:rPr>
        <w:t xml:space="preserve"> </w:t>
      </w:r>
    </w:p>
    <w:p w14:paraId="4FF8C168" w14:textId="77777777" w:rsidR="004A10F5" w:rsidRPr="00EA684D" w:rsidRDefault="004A10F5" w:rsidP="00563CD7">
      <w:pPr>
        <w:rPr>
          <w:bCs/>
          <w:sz w:val="16"/>
          <w:szCs w:val="16"/>
        </w:rPr>
      </w:pPr>
    </w:p>
    <w:p w14:paraId="3FDE2309" w14:textId="6887E415" w:rsidR="004A10F5" w:rsidRPr="00722F1B" w:rsidRDefault="004A10F5" w:rsidP="00563CD7">
      <w:pPr>
        <w:rPr>
          <w:bCs/>
        </w:rPr>
      </w:pPr>
      <w:r>
        <w:rPr>
          <w:rFonts w:cs="Arial"/>
          <w:b/>
          <w:snapToGrid w:val="0"/>
        </w:rPr>
        <w:t>Specifications:</w:t>
      </w:r>
      <w:r>
        <w:rPr>
          <w:rFonts w:cs="Arial"/>
          <w:snapToGrid w:val="0"/>
        </w:rPr>
        <w:t xml:space="preserve"> See </w:t>
      </w:r>
      <w:hyperlink w:anchor="_NQF_Safe_Practice" w:history="1">
        <w:r>
          <w:rPr>
            <w:rStyle w:val="Hyperlink"/>
            <w:rFonts w:cs="Arial"/>
            <w:b/>
            <w:i/>
          </w:rPr>
          <w:t>NQF Safe Practice Measure Specifications</w:t>
        </w:r>
      </w:hyperlink>
      <w:r>
        <w:rPr>
          <w:rFonts w:cs="Arial"/>
        </w:rPr>
        <w:t xml:space="preserve"> </w:t>
      </w:r>
      <w:r>
        <w:rPr>
          <w:rFonts w:cs="Arial"/>
          <w:snapToGrid w:val="0"/>
        </w:rPr>
        <w:t xml:space="preserve">in the Reference Information </w:t>
      </w:r>
      <w:r>
        <w:rPr>
          <w:rFonts w:cs="Arial"/>
        </w:rPr>
        <w:t>beginning on page</w:t>
      </w:r>
      <w:r w:rsidR="00947A96">
        <w:rPr>
          <w:rFonts w:cs="Arial"/>
        </w:rPr>
        <w:t xml:space="preserve"> 23</w:t>
      </w:r>
      <w:r w:rsidR="00610589">
        <w:rPr>
          <w:rFonts w:cs="Arial"/>
        </w:rPr>
        <w:t>7</w:t>
      </w:r>
      <w:r>
        <w:rPr>
          <w:rFonts w:cs="Arial"/>
        </w:rPr>
        <w:t>.</w:t>
      </w:r>
    </w:p>
    <w:p w14:paraId="6ACE61BA" w14:textId="77777777" w:rsidR="00E01307" w:rsidRPr="00EA684D" w:rsidRDefault="00E01307" w:rsidP="00563CD7">
      <w:pPr>
        <w:rPr>
          <w:b/>
          <w:bCs/>
          <w:i/>
          <w:sz w:val="16"/>
          <w:szCs w:val="16"/>
        </w:rPr>
      </w:pPr>
    </w:p>
    <w:p w14:paraId="6469C85D" w14:textId="1028CEE7" w:rsidR="00E01307" w:rsidRDefault="00E01307" w:rsidP="00AB5B80">
      <w:pPr>
        <w:pStyle w:val="Heading3"/>
      </w:pPr>
      <w:bookmarkStart w:id="460" w:name="_Toc225877772"/>
      <w:r>
        <w:t>Awareness</w:t>
      </w:r>
      <w:bookmarkEnd w:id="460"/>
    </w:p>
    <w:p w14:paraId="16AA2439" w14:textId="77777777" w:rsidR="00563CD7" w:rsidRPr="00A94E56" w:rsidRDefault="00563CD7" w:rsidP="00563CD7">
      <w:pPr>
        <w:rPr>
          <w:i/>
          <w:sz w:val="16"/>
          <w:szCs w:val="16"/>
        </w:rPr>
      </w:pPr>
    </w:p>
    <w:tbl>
      <w:tblPr>
        <w:tblStyle w:val="TableGrid19"/>
        <w:tblW w:w="9625" w:type="dxa"/>
        <w:tblLook w:val="0000" w:firstRow="0" w:lastRow="0" w:firstColumn="0" w:lastColumn="0" w:noHBand="0" w:noVBand="0"/>
      </w:tblPr>
      <w:tblGrid>
        <w:gridCol w:w="8429"/>
        <w:gridCol w:w="1196"/>
      </w:tblGrid>
      <w:tr w:rsidR="00225892" w14:paraId="6201FD94" w14:textId="07D085D5" w:rsidTr="00B74BD8">
        <w:trPr>
          <w:trHeight w:val="692"/>
        </w:trPr>
        <w:tc>
          <w:tcPr>
            <w:tcW w:w="9625" w:type="dxa"/>
            <w:gridSpan w:val="2"/>
            <w:vAlign w:val="center"/>
          </w:tcPr>
          <w:p w14:paraId="65AB0342" w14:textId="00D8AB94" w:rsidR="00225892" w:rsidRPr="00C15F23" w:rsidRDefault="00225892" w:rsidP="00AD309C">
            <w:pPr>
              <w:pStyle w:val="ListParagraph"/>
              <w:numPr>
                <w:ilvl w:val="1"/>
                <w:numId w:val="252"/>
              </w:numPr>
              <w:rPr>
                <w:sz w:val="16"/>
              </w:rPr>
            </w:pPr>
            <w:r w:rsidRPr="000B7447">
              <w:rPr>
                <w:b/>
              </w:rPr>
              <w:t xml:space="preserve">Within the last 12 months, in regard to raising the awareness of key stakeholders to our organization’s efforts to improve patient safety, the following actions related to the identification and mitigation of risks and hazards have been taken: </w:t>
            </w:r>
          </w:p>
        </w:tc>
      </w:tr>
      <w:tr w:rsidR="006163F9" w14:paraId="084B2A8A" w14:textId="299D2765" w:rsidTr="00B74BD8">
        <w:trPr>
          <w:trHeight w:val="20"/>
        </w:trPr>
        <w:tc>
          <w:tcPr>
            <w:tcW w:w="0" w:type="auto"/>
            <w:vAlign w:val="center"/>
          </w:tcPr>
          <w:p w14:paraId="19400F16" w14:textId="77777777" w:rsidR="000B7447" w:rsidRDefault="006163F9" w:rsidP="00AD309C">
            <w:pPr>
              <w:pStyle w:val="ListParagraph"/>
              <w:numPr>
                <w:ilvl w:val="0"/>
                <w:numId w:val="248"/>
              </w:numPr>
            </w:pPr>
            <w:hyperlink w:anchor="Board" w:history="1">
              <w:r w:rsidRPr="004E58E4">
                <w:rPr>
                  <w:rStyle w:val="Hyperlink"/>
                </w:rPr>
                <w:t>board</w:t>
              </w:r>
            </w:hyperlink>
            <w:r w:rsidRPr="004E58E4">
              <w:t xml:space="preserve"> (governance) minutes reflect</w:t>
            </w:r>
            <w:r>
              <w:t xml:space="preserve"> </w:t>
            </w:r>
            <w:hyperlink w:anchor="SP1_RegularCommunication" w:history="1">
              <w:r w:rsidRPr="00471326">
                <w:rPr>
                  <w:rStyle w:val="Hyperlink"/>
                </w:rPr>
                <w:t>regular communication</w:t>
              </w:r>
            </w:hyperlink>
            <w:r w:rsidRPr="004E58E4">
              <w:t xml:space="preserve"> regarding </w:t>
            </w:r>
            <w:r w:rsidRPr="00BD7E26">
              <w:rPr>
                <w:b/>
              </w:rPr>
              <w:t>all</w:t>
            </w:r>
            <w:r w:rsidRPr="004E58E4">
              <w:t xml:space="preserve"> three of the following:</w:t>
            </w:r>
          </w:p>
          <w:p w14:paraId="3FCC420D" w14:textId="745BE392" w:rsidR="000B7447" w:rsidRDefault="006163F9" w:rsidP="00AD309C">
            <w:pPr>
              <w:pStyle w:val="ListParagraph"/>
              <w:numPr>
                <w:ilvl w:val="2"/>
                <w:numId w:val="248"/>
              </w:numPr>
            </w:pPr>
            <w:hyperlink w:anchor="SP1_1a" w:history="1">
              <w:r w:rsidRPr="000B7447">
                <w:rPr>
                  <w:rStyle w:val="Hyperlink"/>
                </w:rPr>
                <w:t>risks and hazards</w:t>
              </w:r>
            </w:hyperlink>
            <w:r w:rsidRPr="000B7447">
              <w:t xml:space="preserve"> (as defined by</w:t>
            </w:r>
            <w:r w:rsidRPr="000B7447">
              <w:rPr>
                <w:i/>
                <w:iCs/>
              </w:rPr>
              <w:t xml:space="preserve"> </w:t>
            </w:r>
            <w:hyperlink r:id="rId350" w:history="1">
              <w:r w:rsidR="00730EEA" w:rsidRPr="00041BB8">
                <w:rPr>
                  <w:rStyle w:val="Hyperlink"/>
                  <w:i/>
                </w:rPr>
                <w:t>NQF Safe Practice #4 – Identification and Mitigation of Risks and Hazards</w:t>
              </w:r>
              <w:r w:rsidRPr="00A6172D">
                <w:rPr>
                  <w:rStyle w:val="Hyperlink"/>
                  <w:i/>
                  <w:color w:val="auto"/>
                  <w:u w:val="none"/>
                </w:rPr>
                <w:t>)</w:t>
              </w:r>
              <w:r w:rsidRPr="00A6172D">
                <w:rPr>
                  <w:rStyle w:val="Hyperlink"/>
                  <w:color w:val="auto"/>
                  <w:u w:val="none"/>
                </w:rPr>
                <w:t>;</w:t>
              </w:r>
            </w:hyperlink>
          </w:p>
          <w:p w14:paraId="0F9A9DDB" w14:textId="2D948B98" w:rsidR="000B7447" w:rsidRDefault="006163F9" w:rsidP="00AD309C">
            <w:pPr>
              <w:pStyle w:val="ListParagraph"/>
              <w:numPr>
                <w:ilvl w:val="2"/>
                <w:numId w:val="248"/>
              </w:numPr>
            </w:pPr>
            <w:r w:rsidRPr="000B7447">
              <w:t xml:space="preserve">culture measurement (as defined by </w:t>
            </w:r>
            <w:r w:rsidRPr="000B7447">
              <w:rPr>
                <w:i/>
                <w:iCs/>
              </w:rPr>
              <w:t xml:space="preserve">NQF </w:t>
            </w:r>
            <w:r w:rsidRPr="000B7447">
              <w:rPr>
                <w:i/>
              </w:rPr>
              <w:t>Safe Practice #2 – Culture Measurement</w:t>
            </w:r>
            <w:r w:rsidRPr="000B7447">
              <w:t xml:space="preserve">, </w:t>
            </w:r>
            <w:r w:rsidRPr="000B7447">
              <w:rPr>
                <w:i/>
              </w:rPr>
              <w:t>Feedback, and Intervention</w:t>
            </w:r>
            <w:r w:rsidRPr="000B7447">
              <w:t>); and</w:t>
            </w:r>
          </w:p>
          <w:p w14:paraId="343265B6" w14:textId="41F07316" w:rsidR="006163F9" w:rsidRPr="00B74BD8" w:rsidRDefault="006163F9" w:rsidP="00AD309C">
            <w:pPr>
              <w:pStyle w:val="ListParagraph"/>
              <w:numPr>
                <w:ilvl w:val="2"/>
                <w:numId w:val="248"/>
              </w:numPr>
              <w:rPr>
                <w:sz w:val="16"/>
              </w:rPr>
            </w:pPr>
            <w:r w:rsidRPr="000B7447">
              <w:t>progress towards resolution of safety and quality problems. (p.75)</w:t>
            </w:r>
          </w:p>
        </w:tc>
        <w:tc>
          <w:tcPr>
            <w:tcW w:w="1196" w:type="dxa"/>
            <w:vAlign w:val="center"/>
          </w:tcPr>
          <w:p w14:paraId="4BCB0685" w14:textId="77777777" w:rsidR="006163F9" w:rsidRDefault="006163F9" w:rsidP="00AD309C">
            <w:pPr>
              <w:pStyle w:val="ListParagraph"/>
              <w:numPr>
                <w:ilvl w:val="0"/>
                <w:numId w:val="246"/>
              </w:numPr>
            </w:pPr>
            <w:r>
              <w:t>Yes</w:t>
            </w:r>
          </w:p>
          <w:p w14:paraId="0CFD2210" w14:textId="3150A76C" w:rsidR="006163F9" w:rsidRDefault="006163F9" w:rsidP="00AD309C">
            <w:pPr>
              <w:pStyle w:val="ListParagraph"/>
              <w:numPr>
                <w:ilvl w:val="0"/>
                <w:numId w:val="246"/>
              </w:numPr>
            </w:pPr>
            <w:r>
              <w:t>No</w:t>
            </w:r>
          </w:p>
        </w:tc>
      </w:tr>
      <w:tr w:rsidR="006163F9" w14:paraId="34A0F5EB" w14:textId="62566274" w:rsidTr="00B74BD8">
        <w:trPr>
          <w:trHeight w:val="20"/>
        </w:trPr>
        <w:tc>
          <w:tcPr>
            <w:tcW w:w="0" w:type="auto"/>
            <w:vAlign w:val="center"/>
          </w:tcPr>
          <w:p w14:paraId="141118E8" w14:textId="35F32568" w:rsidR="006163F9" w:rsidRPr="00B74BD8" w:rsidRDefault="006163F9" w:rsidP="00AD309C">
            <w:pPr>
              <w:pStyle w:val="ListParagraph"/>
              <w:numPr>
                <w:ilvl w:val="0"/>
                <w:numId w:val="248"/>
              </w:numPr>
              <w:rPr>
                <w:sz w:val="16"/>
              </w:rPr>
            </w:pPr>
            <w:hyperlink w:anchor="SP1_1b_ActiveParticipants" w:history="1">
              <w:r w:rsidRPr="004E58E4">
                <w:rPr>
                  <w:rStyle w:val="Hyperlink"/>
                </w:rPr>
                <w:t>patients</w:t>
              </w:r>
            </w:hyperlink>
            <w:r w:rsidRPr="004E58E4">
              <w:t xml:space="preserve"> </w:t>
            </w:r>
            <w:r w:rsidRPr="007E31B4">
              <w:t xml:space="preserve">and/or </w:t>
            </w:r>
            <w:r w:rsidR="007F383C">
              <w:t>care partners</w:t>
            </w:r>
            <w:r w:rsidRPr="004E58E4">
              <w:t xml:space="preserve"> are active participants in </w:t>
            </w:r>
            <w:r>
              <w:t xml:space="preserve">the hospital-wide </w:t>
            </w:r>
            <w:r w:rsidRPr="004E58E4">
              <w:t xml:space="preserve">safety and quality </w:t>
            </w:r>
            <w:hyperlink w:anchor="SP1_1b_ActiveParticipants" w:history="1">
              <w:r>
                <w:rPr>
                  <w:rStyle w:val="Hyperlink"/>
                </w:rPr>
                <w:t>committee</w:t>
              </w:r>
            </w:hyperlink>
            <w:r w:rsidRPr="004E58E4">
              <w:t xml:space="preserve"> that meet</w:t>
            </w:r>
            <w:r>
              <w:t>s</w:t>
            </w:r>
            <w:r w:rsidRPr="004E58E4">
              <w:t xml:space="preserve"> on a regularly scheduled basis (e.g., biannually or quarterly). (p.75) </w:t>
            </w:r>
          </w:p>
        </w:tc>
        <w:tc>
          <w:tcPr>
            <w:tcW w:w="1196" w:type="dxa"/>
            <w:vAlign w:val="center"/>
          </w:tcPr>
          <w:p w14:paraId="12C3ED4A" w14:textId="77777777" w:rsidR="005F0AAA" w:rsidRDefault="005F0AAA" w:rsidP="00AD309C">
            <w:pPr>
              <w:pStyle w:val="ListParagraph"/>
              <w:numPr>
                <w:ilvl w:val="0"/>
                <w:numId w:val="247"/>
              </w:numPr>
            </w:pPr>
            <w:r>
              <w:t>Yes</w:t>
            </w:r>
          </w:p>
          <w:p w14:paraId="270BE2CB" w14:textId="0172DF64" w:rsidR="006163F9" w:rsidRDefault="005F0AAA" w:rsidP="00AD309C">
            <w:pPr>
              <w:pStyle w:val="ListParagraph"/>
              <w:numPr>
                <w:ilvl w:val="0"/>
                <w:numId w:val="247"/>
              </w:numPr>
            </w:pPr>
            <w:r>
              <w:t>No</w:t>
            </w:r>
          </w:p>
        </w:tc>
      </w:tr>
      <w:tr w:rsidR="006163F9" w14:paraId="0C37574A" w14:textId="2E6F142D" w:rsidTr="00B74BD8">
        <w:trPr>
          <w:trHeight w:val="576"/>
        </w:trPr>
        <w:tc>
          <w:tcPr>
            <w:tcW w:w="0" w:type="auto"/>
            <w:vAlign w:val="center"/>
          </w:tcPr>
          <w:p w14:paraId="0701324B" w14:textId="60ABD22A" w:rsidR="006163F9" w:rsidRPr="00B74BD8" w:rsidRDefault="006163F9" w:rsidP="00AD309C">
            <w:pPr>
              <w:pStyle w:val="ListParagraph"/>
              <w:numPr>
                <w:ilvl w:val="0"/>
                <w:numId w:val="248"/>
              </w:numPr>
              <w:rPr>
                <w:sz w:val="16"/>
              </w:rPr>
            </w:pPr>
            <w:r w:rsidRPr="004E58E4">
              <w:t xml:space="preserve">steps have been taken to </w:t>
            </w:r>
            <w:hyperlink w:anchor="SP1_1c" w:history="1">
              <w:r w:rsidRPr="004E58E4">
                <w:rPr>
                  <w:rStyle w:val="Hyperlink"/>
                </w:rPr>
                <w:t>report</w:t>
              </w:r>
            </w:hyperlink>
            <w:r w:rsidRPr="004E58E4">
              <w:t xml:space="preserve"> ongoing efforts to improve safety and quality in the organization and the results of these efforts</w:t>
            </w:r>
            <w:r>
              <w:t xml:space="preserve"> to the community</w:t>
            </w:r>
            <w:r w:rsidRPr="004E58E4">
              <w:t>. (p.75)</w:t>
            </w:r>
          </w:p>
        </w:tc>
        <w:tc>
          <w:tcPr>
            <w:tcW w:w="1196" w:type="dxa"/>
            <w:vAlign w:val="center"/>
          </w:tcPr>
          <w:p w14:paraId="0EF58EAA" w14:textId="77777777" w:rsidR="005F0AAA" w:rsidRDefault="005F0AAA" w:rsidP="00AD309C">
            <w:pPr>
              <w:pStyle w:val="ListParagraph"/>
              <w:numPr>
                <w:ilvl w:val="0"/>
                <w:numId w:val="247"/>
              </w:numPr>
            </w:pPr>
            <w:r>
              <w:t>Yes</w:t>
            </w:r>
          </w:p>
          <w:p w14:paraId="7665D9C9" w14:textId="7D6EB6A4" w:rsidR="006163F9" w:rsidRPr="004E58E4" w:rsidRDefault="005F0AAA" w:rsidP="00AD309C">
            <w:pPr>
              <w:pStyle w:val="ListParagraph"/>
              <w:numPr>
                <w:ilvl w:val="0"/>
                <w:numId w:val="247"/>
              </w:numPr>
            </w:pPr>
            <w:r>
              <w:t>No</w:t>
            </w:r>
          </w:p>
        </w:tc>
      </w:tr>
      <w:tr w:rsidR="006163F9" w14:paraId="6C3575AA" w14:textId="0C3BC1CB" w:rsidTr="00B74BD8">
        <w:trPr>
          <w:trHeight w:val="60"/>
        </w:trPr>
        <w:tc>
          <w:tcPr>
            <w:tcW w:w="0" w:type="auto"/>
            <w:vAlign w:val="center"/>
          </w:tcPr>
          <w:p w14:paraId="0B327F08" w14:textId="2925D5CD" w:rsidR="006163F9" w:rsidRPr="00EC02B7" w:rsidRDefault="006163F9" w:rsidP="00AD309C">
            <w:pPr>
              <w:pStyle w:val="ListParagraph"/>
              <w:numPr>
                <w:ilvl w:val="0"/>
                <w:numId w:val="248"/>
              </w:numPr>
              <w:rPr>
                <w:sz w:val="16"/>
              </w:rPr>
            </w:pPr>
            <w:r w:rsidRPr="004E58E4">
              <w:t xml:space="preserve">all staff and independent practitioners were made </w:t>
            </w:r>
            <w:r w:rsidRPr="005A3781">
              <w:t>aware</w:t>
            </w:r>
            <w:r w:rsidRPr="004E58E4">
              <w:t xml:space="preserve"> of ongoing efforts to reduce risks and hazards and to improve patient safety and quality in the organization. (p.75)</w:t>
            </w:r>
          </w:p>
        </w:tc>
        <w:tc>
          <w:tcPr>
            <w:tcW w:w="1196" w:type="dxa"/>
            <w:vAlign w:val="center"/>
          </w:tcPr>
          <w:p w14:paraId="0BF33866" w14:textId="77777777" w:rsidR="00D73697" w:rsidRDefault="00D73697" w:rsidP="00AD309C">
            <w:pPr>
              <w:pStyle w:val="ListParagraph"/>
              <w:numPr>
                <w:ilvl w:val="0"/>
                <w:numId w:val="247"/>
              </w:numPr>
            </w:pPr>
            <w:r>
              <w:t>Yes</w:t>
            </w:r>
          </w:p>
          <w:p w14:paraId="6B864A02" w14:textId="0CC761B9" w:rsidR="006163F9" w:rsidRPr="004E58E4" w:rsidRDefault="00D73697" w:rsidP="00AD309C">
            <w:pPr>
              <w:pStyle w:val="ListParagraph"/>
              <w:numPr>
                <w:ilvl w:val="0"/>
                <w:numId w:val="247"/>
              </w:numPr>
            </w:pPr>
            <w:r>
              <w:t>No</w:t>
            </w:r>
          </w:p>
        </w:tc>
      </w:tr>
    </w:tbl>
    <w:p w14:paraId="321AC6AA" w14:textId="77777777" w:rsidR="000B7447" w:rsidRPr="00A94E56" w:rsidRDefault="000B7447" w:rsidP="00563CD7">
      <w:pPr>
        <w:rPr>
          <w:sz w:val="16"/>
          <w:szCs w:val="16"/>
        </w:rPr>
      </w:pPr>
    </w:p>
    <w:p w14:paraId="122777D1" w14:textId="5DB17C03" w:rsidR="00E01307" w:rsidRDefault="00E01307" w:rsidP="00AB5B80">
      <w:pPr>
        <w:pStyle w:val="Heading3"/>
      </w:pPr>
      <w:bookmarkStart w:id="461" w:name="_Toc225877773"/>
      <w:r>
        <w:t>Accountability</w:t>
      </w:r>
      <w:bookmarkEnd w:id="461"/>
    </w:p>
    <w:p w14:paraId="0DBAA723" w14:textId="77777777" w:rsidR="00E01307" w:rsidRPr="00C15F23" w:rsidRDefault="00E01307" w:rsidP="00563CD7">
      <w:pPr>
        <w:rPr>
          <w:sz w:val="16"/>
          <w:szCs w:val="16"/>
        </w:rPr>
      </w:pPr>
    </w:p>
    <w:tbl>
      <w:tblPr>
        <w:tblStyle w:val="TableGrid"/>
        <w:tblW w:w="9625" w:type="dxa"/>
        <w:tblLook w:val="04A0" w:firstRow="1" w:lastRow="0" w:firstColumn="1" w:lastColumn="0" w:noHBand="0" w:noVBand="1"/>
      </w:tblPr>
      <w:tblGrid>
        <w:gridCol w:w="8338"/>
        <w:gridCol w:w="1287"/>
      </w:tblGrid>
      <w:tr w:rsidR="000B7447" w14:paraId="4DD21EF3" w14:textId="77777777" w:rsidTr="00EC4DCE">
        <w:tc>
          <w:tcPr>
            <w:tcW w:w="9625" w:type="dxa"/>
            <w:gridSpan w:val="2"/>
          </w:tcPr>
          <w:p w14:paraId="7896D764" w14:textId="7A4ECD07" w:rsidR="000B7447" w:rsidRDefault="000B7447" w:rsidP="00AD309C">
            <w:pPr>
              <w:pStyle w:val="ListParagraph"/>
              <w:numPr>
                <w:ilvl w:val="1"/>
                <w:numId w:val="252"/>
              </w:numPr>
              <w:jc w:val="both"/>
            </w:pPr>
            <w:r w:rsidRPr="000B7447">
              <w:rPr>
                <w:b/>
              </w:rPr>
              <w:t xml:space="preserve">Within the last 12 months, in regard to holding the </w:t>
            </w:r>
            <w:hyperlink w:anchor="ForthepurposesofreportingonSection6" w:history="1">
              <w:r w:rsidRPr="000B7447">
                <w:rPr>
                  <w:rStyle w:val="Hyperlink"/>
                  <w:b/>
                </w:rPr>
                <w:t>board, senior administrative leadership, midlevel management, nursing leadership, physician leadership, and frontline caregivers</w:t>
              </w:r>
            </w:hyperlink>
            <w:r w:rsidRPr="000B7447">
              <w:rPr>
                <w:b/>
              </w:rPr>
              <w:t xml:space="preserve"> directly accountable for results related to the identification and mitigation of risks and hazards, the organization has done the following:</w:t>
            </w:r>
          </w:p>
        </w:tc>
      </w:tr>
      <w:tr w:rsidR="000B7447" w14:paraId="65D1C91C" w14:textId="77777777" w:rsidTr="000B7447">
        <w:tc>
          <w:tcPr>
            <w:tcW w:w="8338" w:type="dxa"/>
          </w:tcPr>
          <w:p w14:paraId="10FA216E" w14:textId="0C76C8CE" w:rsidR="000B7447" w:rsidRDefault="000B7447" w:rsidP="00AD309C">
            <w:pPr>
              <w:pStyle w:val="ListParagraph"/>
              <w:numPr>
                <w:ilvl w:val="0"/>
                <w:numId w:val="251"/>
              </w:numPr>
            </w:pPr>
            <w:r w:rsidRPr="004E58E4">
              <w:t xml:space="preserve">an integrated </w:t>
            </w:r>
            <w:hyperlink w:anchor="PatientSafetyProgram" w:history="1">
              <w:r w:rsidRPr="004E58E4">
                <w:rPr>
                  <w:rStyle w:val="Hyperlink"/>
                </w:rPr>
                <w:t>patient safety program</w:t>
              </w:r>
            </w:hyperlink>
            <w:r w:rsidRPr="004E58E4">
              <w:t xml:space="preserve"> has been in place for the</w:t>
            </w:r>
            <w:r>
              <w:t xml:space="preserve"> entire reporting period,</w:t>
            </w:r>
            <w:r w:rsidRPr="004E58E4">
              <w:t xml:space="preserve"> providing oversight and alignment of safe practice activities. (p.76)</w:t>
            </w:r>
          </w:p>
        </w:tc>
        <w:tc>
          <w:tcPr>
            <w:tcW w:w="1287" w:type="dxa"/>
            <w:vAlign w:val="center"/>
          </w:tcPr>
          <w:p w14:paraId="7E3A3334" w14:textId="77777777" w:rsidR="000B7447" w:rsidRDefault="000B7447" w:rsidP="00AD309C">
            <w:pPr>
              <w:pStyle w:val="ListParagraph"/>
              <w:numPr>
                <w:ilvl w:val="0"/>
                <w:numId w:val="249"/>
              </w:numPr>
              <w:jc w:val="both"/>
            </w:pPr>
            <w:r>
              <w:t>Yes</w:t>
            </w:r>
          </w:p>
          <w:p w14:paraId="66E12192" w14:textId="19CB485B" w:rsidR="000B7447" w:rsidRDefault="000B7447" w:rsidP="00AD309C">
            <w:pPr>
              <w:pStyle w:val="ListParagraph"/>
              <w:numPr>
                <w:ilvl w:val="0"/>
                <w:numId w:val="249"/>
              </w:numPr>
              <w:jc w:val="both"/>
            </w:pPr>
            <w:r>
              <w:t>No</w:t>
            </w:r>
          </w:p>
        </w:tc>
      </w:tr>
      <w:tr w:rsidR="000B7447" w14:paraId="3BF0A9A2" w14:textId="77777777" w:rsidTr="000B7447">
        <w:tc>
          <w:tcPr>
            <w:tcW w:w="8338" w:type="dxa"/>
          </w:tcPr>
          <w:p w14:paraId="3C1D26AA" w14:textId="0C2654CF" w:rsidR="000B7447" w:rsidRDefault="000B7447" w:rsidP="00AD309C">
            <w:pPr>
              <w:pStyle w:val="ListParagraph"/>
              <w:numPr>
                <w:ilvl w:val="0"/>
                <w:numId w:val="251"/>
              </w:numPr>
            </w:pPr>
            <w:r w:rsidRPr="004E58E4">
              <w:t xml:space="preserve">a </w:t>
            </w:r>
            <w:hyperlink w:anchor="PatientSafetyOfficer" w:history="1">
              <w:r w:rsidRPr="00E54DD1">
                <w:rPr>
                  <w:rStyle w:val="Hyperlink"/>
                </w:rPr>
                <w:t>Patient Safety Officer</w:t>
              </w:r>
            </w:hyperlink>
            <w:r w:rsidRPr="00E54DD1">
              <w:t xml:space="preserve"> (PSO)</w:t>
            </w:r>
            <w:r w:rsidRPr="004E58E4">
              <w:t xml:space="preserve"> has been appointed and </w:t>
            </w:r>
            <w:hyperlink w:anchor="SP1_RegularCommunication" w:history="1">
              <w:r w:rsidRPr="00471326">
                <w:rPr>
                  <w:rStyle w:val="Hyperlink"/>
                </w:rPr>
                <w:t>communicates regularly</w:t>
              </w:r>
            </w:hyperlink>
            <w:r w:rsidRPr="004E58E4">
              <w:t xml:space="preserve"> with the </w:t>
            </w:r>
            <w:hyperlink w:anchor="Board" w:history="1">
              <w:r w:rsidRPr="004E58E4">
                <w:rPr>
                  <w:rStyle w:val="Hyperlink"/>
                </w:rPr>
                <w:t>board</w:t>
              </w:r>
            </w:hyperlink>
            <w:r w:rsidRPr="004E58E4">
              <w:t xml:space="preserve"> (governance) and </w:t>
            </w:r>
            <w:hyperlink w:anchor="SeniorAdministrativeLeadership" w:history="1">
              <w:r w:rsidRPr="004E58E4">
                <w:rPr>
                  <w:rStyle w:val="Hyperlink"/>
                </w:rPr>
                <w:t>senior administrative leadership</w:t>
              </w:r>
            </w:hyperlink>
            <w:r w:rsidRPr="004E58E4">
              <w:t>; the PSO is the primary point of contact of the integrated patient safety program. (p.76</w:t>
            </w:r>
            <w:r>
              <w:t>)</w:t>
            </w:r>
          </w:p>
        </w:tc>
        <w:tc>
          <w:tcPr>
            <w:tcW w:w="1287" w:type="dxa"/>
            <w:vAlign w:val="center"/>
          </w:tcPr>
          <w:p w14:paraId="26A38548" w14:textId="77777777" w:rsidR="000B7447" w:rsidRDefault="000B7447" w:rsidP="00AD309C">
            <w:pPr>
              <w:pStyle w:val="ListParagraph"/>
              <w:numPr>
                <w:ilvl w:val="0"/>
                <w:numId w:val="249"/>
              </w:numPr>
              <w:jc w:val="both"/>
            </w:pPr>
            <w:r>
              <w:t>Yes</w:t>
            </w:r>
          </w:p>
          <w:p w14:paraId="45612C63" w14:textId="6A3CD3CD" w:rsidR="000B7447" w:rsidRDefault="000B7447" w:rsidP="00AD309C">
            <w:pPr>
              <w:pStyle w:val="ListParagraph"/>
              <w:numPr>
                <w:ilvl w:val="0"/>
                <w:numId w:val="249"/>
              </w:numPr>
              <w:jc w:val="both"/>
            </w:pPr>
            <w:r>
              <w:t>No</w:t>
            </w:r>
          </w:p>
        </w:tc>
      </w:tr>
      <w:tr w:rsidR="000B7447" w14:paraId="6B3E70BE" w14:textId="77777777" w:rsidTr="000B7447">
        <w:tc>
          <w:tcPr>
            <w:tcW w:w="8338" w:type="dxa"/>
          </w:tcPr>
          <w:p w14:paraId="1AA87343" w14:textId="158E4970" w:rsidR="000B7447" w:rsidRDefault="000B7447" w:rsidP="00AD309C">
            <w:pPr>
              <w:pStyle w:val="ListParagraph"/>
              <w:numPr>
                <w:ilvl w:val="0"/>
                <w:numId w:val="251"/>
              </w:numPr>
            </w:pPr>
            <w:r w:rsidRPr="000B7447">
              <w:rPr>
                <w:rFonts w:eastAsia="Yu Mincho"/>
                <w:szCs w:val="24"/>
              </w:rPr>
              <w:t xml:space="preserve">performance has been documented in </w:t>
            </w:r>
            <w:hyperlink w:anchor="PerformanceReviewsorCompensation" w:history="1">
              <w:r w:rsidRPr="000B7447">
                <w:rPr>
                  <w:rStyle w:val="Hyperlink"/>
                  <w:rFonts w:eastAsia="Yu Mincho"/>
                  <w:szCs w:val="24"/>
                </w:rPr>
                <w:t>performance reviews and/or compensation incentives</w:t>
              </w:r>
            </w:hyperlink>
            <w:r w:rsidRPr="000B7447">
              <w:rPr>
                <w:rFonts w:eastAsia="Yu Mincho"/>
                <w:szCs w:val="24"/>
              </w:rPr>
              <w:t xml:space="preserve"> for all levels of hospital management and hospital-employed caregivers noted above. (p.76) </w:t>
            </w:r>
          </w:p>
        </w:tc>
        <w:tc>
          <w:tcPr>
            <w:tcW w:w="1287" w:type="dxa"/>
            <w:vAlign w:val="center"/>
          </w:tcPr>
          <w:p w14:paraId="61180B7D" w14:textId="77777777" w:rsidR="000B7447" w:rsidRDefault="000B7447" w:rsidP="00AD309C">
            <w:pPr>
              <w:pStyle w:val="ListParagraph"/>
              <w:numPr>
                <w:ilvl w:val="0"/>
                <w:numId w:val="249"/>
              </w:numPr>
              <w:jc w:val="both"/>
            </w:pPr>
            <w:r>
              <w:t>Yes</w:t>
            </w:r>
          </w:p>
          <w:p w14:paraId="4B5A88C9" w14:textId="727DA70E" w:rsidR="000B7447" w:rsidRDefault="000B7447" w:rsidP="00AD309C">
            <w:pPr>
              <w:pStyle w:val="ListParagraph"/>
              <w:numPr>
                <w:ilvl w:val="0"/>
                <w:numId w:val="249"/>
              </w:numPr>
              <w:jc w:val="both"/>
            </w:pPr>
            <w:r>
              <w:t>No</w:t>
            </w:r>
          </w:p>
        </w:tc>
      </w:tr>
      <w:tr w:rsidR="000B7447" w14:paraId="0A9D2AA1" w14:textId="77777777" w:rsidTr="000B7447">
        <w:tc>
          <w:tcPr>
            <w:tcW w:w="8338" w:type="dxa"/>
          </w:tcPr>
          <w:p w14:paraId="5D14EF1E" w14:textId="77777777" w:rsidR="000B7447" w:rsidRDefault="000B7447" w:rsidP="00AD309C">
            <w:pPr>
              <w:pStyle w:val="ListParagraph"/>
              <w:numPr>
                <w:ilvl w:val="0"/>
                <w:numId w:val="251"/>
              </w:numPr>
              <w:rPr>
                <w:rFonts w:eastAsia="Yu Mincho"/>
                <w:szCs w:val="24"/>
              </w:rPr>
            </w:pPr>
            <w:r w:rsidRPr="000B7447">
              <w:rPr>
                <w:rFonts w:eastAsia="Yu Mincho"/>
                <w:szCs w:val="24"/>
              </w:rPr>
              <w:t xml:space="preserve">the interdisciplinary patient safety </w:t>
            </w:r>
            <w:hyperlink w:anchor="SP1_2d" w:history="1">
              <w:r w:rsidRPr="000B7447">
                <w:rPr>
                  <w:rStyle w:val="Hyperlink"/>
                  <w:rFonts w:eastAsia="Yu Mincho"/>
                  <w:szCs w:val="24"/>
                </w:rPr>
                <w:t>team</w:t>
              </w:r>
            </w:hyperlink>
            <w:r w:rsidRPr="000B7447">
              <w:rPr>
                <w:rFonts w:eastAsia="Yu Mincho"/>
                <w:szCs w:val="24"/>
              </w:rPr>
              <w:t xml:space="preserve"> </w:t>
            </w:r>
            <w:hyperlink w:anchor="SP1_RegularCommunication" w:history="1">
              <w:r w:rsidRPr="000B7447">
                <w:rPr>
                  <w:rStyle w:val="Hyperlink"/>
                  <w:rFonts w:eastAsia="Yu Mincho"/>
                  <w:szCs w:val="24"/>
                </w:rPr>
                <w:t>communicated regularly</w:t>
              </w:r>
            </w:hyperlink>
            <w:r w:rsidRPr="000B7447">
              <w:rPr>
                <w:rFonts w:eastAsia="Yu Mincho"/>
                <w:szCs w:val="24"/>
              </w:rPr>
              <w:t xml:space="preserve"> with </w:t>
            </w:r>
            <w:hyperlink w:anchor="SeniorAdministrativeLeadership" w:history="1">
              <w:r w:rsidRPr="000B7447">
                <w:rPr>
                  <w:rStyle w:val="Hyperlink"/>
                  <w:rFonts w:eastAsia="Yu Mincho"/>
                  <w:szCs w:val="24"/>
                </w:rPr>
                <w:t>senior administrative leadership</w:t>
              </w:r>
            </w:hyperlink>
            <w:r w:rsidRPr="000B7447">
              <w:rPr>
                <w:rFonts w:eastAsia="Yu Mincho"/>
                <w:szCs w:val="24"/>
              </w:rPr>
              <w:t xml:space="preserve"> regarding </w:t>
            </w:r>
            <w:r w:rsidRPr="000B7447">
              <w:rPr>
                <w:rFonts w:eastAsia="Yu Mincho"/>
                <w:b/>
                <w:bCs/>
                <w:szCs w:val="24"/>
              </w:rPr>
              <w:t>both</w:t>
            </w:r>
            <w:r w:rsidRPr="000B7447">
              <w:rPr>
                <w:rFonts w:eastAsia="Yu Mincho"/>
                <w:szCs w:val="24"/>
              </w:rPr>
              <w:t xml:space="preserve"> of the following and documented these communications in meeting minutes (pp. 76-77):</w:t>
            </w:r>
          </w:p>
          <w:p w14:paraId="7F328DD3" w14:textId="36BC1DBC" w:rsidR="000B7447" w:rsidRPr="000B7447" w:rsidRDefault="000B7447" w:rsidP="00AD309C">
            <w:pPr>
              <w:pStyle w:val="ListParagraph"/>
              <w:numPr>
                <w:ilvl w:val="2"/>
                <w:numId w:val="251"/>
              </w:numPr>
              <w:rPr>
                <w:rFonts w:eastAsia="Yu Mincho"/>
                <w:szCs w:val="24"/>
              </w:rPr>
            </w:pPr>
            <w:r w:rsidRPr="004E58E4">
              <w:t>progress in meeting safety goals</w:t>
            </w:r>
            <w:r w:rsidR="00DB05C1">
              <w:t>,</w:t>
            </w:r>
            <w:r>
              <w:t xml:space="preserve"> and</w:t>
            </w:r>
          </w:p>
          <w:p w14:paraId="55780E2D" w14:textId="7DB1CB46" w:rsidR="000B7447" w:rsidRPr="000B7447" w:rsidRDefault="000B7447" w:rsidP="00AD309C">
            <w:pPr>
              <w:pStyle w:val="ListParagraph"/>
              <w:numPr>
                <w:ilvl w:val="2"/>
                <w:numId w:val="251"/>
              </w:numPr>
              <w:rPr>
                <w:rFonts w:eastAsia="Yu Mincho"/>
                <w:szCs w:val="24"/>
              </w:rPr>
            </w:pPr>
            <w:r w:rsidRPr="004E58E4">
              <w:t>provide</w:t>
            </w:r>
            <w:r w:rsidR="00BE2EF2">
              <w:t>d</w:t>
            </w:r>
            <w:r w:rsidRPr="004E58E4">
              <w:t xml:space="preserve"> </w:t>
            </w:r>
            <w:hyperlink w:anchor="TeamTraining" w:history="1">
              <w:r w:rsidRPr="004E58E4">
                <w:rPr>
                  <w:rStyle w:val="Hyperlink"/>
                </w:rPr>
                <w:t>team training</w:t>
              </w:r>
            </w:hyperlink>
            <w:r w:rsidRPr="004E58E4">
              <w:t xml:space="preserve"> to caregivers</w:t>
            </w:r>
            <w:r>
              <w:t>.</w:t>
            </w:r>
          </w:p>
        </w:tc>
        <w:tc>
          <w:tcPr>
            <w:tcW w:w="1287" w:type="dxa"/>
            <w:vAlign w:val="center"/>
          </w:tcPr>
          <w:p w14:paraId="597EAC76" w14:textId="77777777" w:rsidR="000B7447" w:rsidRDefault="000B7447" w:rsidP="00AD309C">
            <w:pPr>
              <w:pStyle w:val="ListParagraph"/>
              <w:numPr>
                <w:ilvl w:val="0"/>
                <w:numId w:val="249"/>
              </w:numPr>
              <w:jc w:val="both"/>
            </w:pPr>
            <w:r>
              <w:t>Yes</w:t>
            </w:r>
          </w:p>
          <w:p w14:paraId="79C4B693" w14:textId="6BAB05C1" w:rsidR="000B7447" w:rsidRDefault="000B7447" w:rsidP="00AD309C">
            <w:pPr>
              <w:pStyle w:val="ListParagraph"/>
              <w:numPr>
                <w:ilvl w:val="0"/>
                <w:numId w:val="249"/>
              </w:numPr>
              <w:jc w:val="both"/>
            </w:pPr>
            <w:r>
              <w:t>No</w:t>
            </w:r>
          </w:p>
        </w:tc>
      </w:tr>
      <w:tr w:rsidR="000B7447" w14:paraId="4CE6E0FE" w14:textId="77777777" w:rsidTr="000B7447">
        <w:tc>
          <w:tcPr>
            <w:tcW w:w="8338" w:type="dxa"/>
          </w:tcPr>
          <w:p w14:paraId="4A791477" w14:textId="60FCB0E6" w:rsidR="000B7447" w:rsidRDefault="000B7447" w:rsidP="00AD309C">
            <w:pPr>
              <w:pStyle w:val="ListParagraph"/>
              <w:numPr>
                <w:ilvl w:val="0"/>
                <w:numId w:val="251"/>
              </w:numPr>
            </w:pPr>
            <w:r w:rsidRPr="000B7447">
              <w:rPr>
                <w:rFonts w:eastAsia="Yu Mincho"/>
                <w:szCs w:val="24"/>
              </w:rPr>
              <w:t xml:space="preserve">the hospital </w:t>
            </w:r>
            <w:hyperlink w:anchor="SP1_2e" w:history="1">
              <w:r w:rsidRPr="000B7447">
                <w:rPr>
                  <w:rStyle w:val="Hyperlink"/>
                  <w:rFonts w:eastAsia="Yu Mincho"/>
                  <w:szCs w:val="24"/>
                </w:rPr>
                <w:t>reported</w:t>
              </w:r>
            </w:hyperlink>
            <w:r w:rsidRPr="000B7447">
              <w:rPr>
                <w:rFonts w:eastAsia="Yu Mincho"/>
                <w:szCs w:val="24"/>
              </w:rPr>
              <w:t xml:space="preserve"> adverse events to external mandatory or voluntary programs. (p.77)</w:t>
            </w:r>
          </w:p>
        </w:tc>
        <w:tc>
          <w:tcPr>
            <w:tcW w:w="1287" w:type="dxa"/>
          </w:tcPr>
          <w:p w14:paraId="274B6335" w14:textId="77777777" w:rsidR="000B7447" w:rsidRDefault="000B7447" w:rsidP="00AD309C">
            <w:pPr>
              <w:pStyle w:val="ListParagraph"/>
              <w:numPr>
                <w:ilvl w:val="0"/>
                <w:numId w:val="249"/>
              </w:numPr>
              <w:jc w:val="both"/>
            </w:pPr>
            <w:r>
              <w:t>Yes</w:t>
            </w:r>
          </w:p>
          <w:p w14:paraId="2212F8FE" w14:textId="1229A52C" w:rsidR="000B7447" w:rsidRDefault="000B7447" w:rsidP="00AD309C">
            <w:pPr>
              <w:pStyle w:val="ListParagraph"/>
              <w:numPr>
                <w:ilvl w:val="0"/>
                <w:numId w:val="249"/>
              </w:numPr>
              <w:jc w:val="both"/>
            </w:pPr>
            <w:r>
              <w:t>No</w:t>
            </w:r>
          </w:p>
        </w:tc>
      </w:tr>
    </w:tbl>
    <w:p w14:paraId="65E6E813" w14:textId="39519193" w:rsidR="00E01307" w:rsidRDefault="004A10F5" w:rsidP="00AB5B80">
      <w:pPr>
        <w:pStyle w:val="Heading3"/>
      </w:pPr>
      <w:r>
        <w:br/>
      </w:r>
      <w:bookmarkStart w:id="462" w:name="_Toc225877774"/>
      <w:r w:rsidR="00E01307">
        <w:t>Ability</w:t>
      </w:r>
      <w:bookmarkEnd w:id="462"/>
    </w:p>
    <w:p w14:paraId="784B9FDD" w14:textId="77777777" w:rsidR="00E01307" w:rsidRDefault="00E01307" w:rsidP="00563CD7"/>
    <w:tbl>
      <w:tblPr>
        <w:tblW w:w="96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85"/>
        <w:gridCol w:w="1645"/>
      </w:tblGrid>
      <w:tr w:rsidR="000B7447" w14:paraId="70EDBB29" w14:textId="77A9258F" w:rsidTr="00C15F23">
        <w:trPr>
          <w:cantSplit/>
        </w:trPr>
        <w:tc>
          <w:tcPr>
            <w:tcW w:w="9630" w:type="dxa"/>
            <w:gridSpan w:val="2"/>
            <w:tcBorders>
              <w:bottom w:val="nil"/>
            </w:tcBorders>
          </w:tcPr>
          <w:p w14:paraId="2F12CDD8" w14:textId="609014BF" w:rsidR="000B7447" w:rsidRPr="000B7447" w:rsidRDefault="000B7447" w:rsidP="00AD309C">
            <w:pPr>
              <w:pStyle w:val="ListParagraph"/>
              <w:numPr>
                <w:ilvl w:val="1"/>
                <w:numId w:val="252"/>
              </w:numPr>
              <w:rPr>
                <w:b/>
              </w:rPr>
            </w:pPr>
            <w:r w:rsidRPr="000B7447">
              <w:rPr>
                <w:b/>
              </w:rPr>
              <w:t xml:space="preserve">Within the last 12 months, in regard to </w:t>
            </w:r>
            <w:r w:rsidRPr="000B7447">
              <w:rPr>
                <w:b/>
                <w:noProof/>
              </w:rPr>
              <w:t>implementation</w:t>
            </w:r>
            <w:r w:rsidRPr="000B7447">
              <w:rPr>
                <w:b/>
              </w:rPr>
              <w:t xml:space="preserve"> of the patient safety program, the </w:t>
            </w:r>
            <w:hyperlink w:anchor="Board" w:history="1">
              <w:r w:rsidRPr="000B7447">
                <w:rPr>
                  <w:rStyle w:val="Hyperlink"/>
                  <w:b/>
                </w:rPr>
                <w:t>board</w:t>
              </w:r>
            </w:hyperlink>
            <w:r w:rsidRPr="000B7447">
              <w:rPr>
                <w:b/>
              </w:rPr>
              <w:t xml:space="preserve"> (governance) and </w:t>
            </w:r>
            <w:hyperlink w:anchor="SeniorAdministrativeLeadership" w:history="1">
              <w:r w:rsidRPr="000B7447">
                <w:rPr>
                  <w:rStyle w:val="Hyperlink"/>
                  <w:b/>
                </w:rPr>
                <w:t>senior administrative leadership</w:t>
              </w:r>
            </w:hyperlink>
            <w:r w:rsidRPr="000B7447">
              <w:rPr>
                <w:b/>
              </w:rPr>
              <w:t xml:space="preserve"> have provided resources to cover the implementation</w:t>
            </w:r>
            <w:r w:rsidR="002820B2">
              <w:rPr>
                <w:b/>
              </w:rPr>
              <w:t>,</w:t>
            </w:r>
            <w:r w:rsidRPr="000B7447">
              <w:rPr>
                <w:b/>
              </w:rPr>
              <w:t xml:space="preserve"> as evidenced by: </w:t>
            </w:r>
          </w:p>
        </w:tc>
      </w:tr>
      <w:tr w:rsidR="000B7447" w14:paraId="7CC95F4D" w14:textId="77777777" w:rsidTr="00C15F23">
        <w:trPr>
          <w:cantSplit/>
        </w:trPr>
        <w:tc>
          <w:tcPr>
            <w:tcW w:w="7985" w:type="dxa"/>
            <w:tcBorders>
              <w:bottom w:val="single" w:sz="4" w:space="0" w:color="auto"/>
            </w:tcBorders>
          </w:tcPr>
          <w:p w14:paraId="0E612945" w14:textId="6744B733" w:rsidR="000B7447" w:rsidRPr="000B7447" w:rsidRDefault="000B7447" w:rsidP="00AD309C">
            <w:pPr>
              <w:pStyle w:val="ListParagraph"/>
              <w:numPr>
                <w:ilvl w:val="0"/>
                <w:numId w:val="253"/>
              </w:numPr>
              <w:rPr>
                <w:b/>
              </w:rPr>
            </w:pPr>
            <w:r w:rsidRPr="004E58E4">
              <w:t xml:space="preserve">dedicated patient safety program </w:t>
            </w:r>
            <w:hyperlink w:anchor="Budget" w:history="1">
              <w:r w:rsidRPr="004E58E4">
                <w:rPr>
                  <w:rStyle w:val="Hyperlink"/>
                </w:rPr>
                <w:t>budgets</w:t>
              </w:r>
            </w:hyperlink>
            <w:r w:rsidRPr="004E58E4">
              <w:t xml:space="preserve"> </w:t>
            </w:r>
            <w:r>
              <w:t xml:space="preserve">to </w:t>
            </w:r>
            <w:r w:rsidRPr="004E58E4">
              <w:t>support the program, staffing, and technology investment. (p.77)</w:t>
            </w:r>
          </w:p>
        </w:tc>
        <w:tc>
          <w:tcPr>
            <w:tcW w:w="1645" w:type="dxa"/>
            <w:tcBorders>
              <w:bottom w:val="single" w:sz="4" w:space="0" w:color="auto"/>
            </w:tcBorders>
          </w:tcPr>
          <w:p w14:paraId="081AB7EC" w14:textId="77777777" w:rsidR="000B7447" w:rsidRDefault="000B7447" w:rsidP="00AD309C">
            <w:pPr>
              <w:pStyle w:val="ListParagraph"/>
              <w:numPr>
                <w:ilvl w:val="0"/>
                <w:numId w:val="254"/>
              </w:numPr>
            </w:pPr>
            <w:r>
              <w:t>Yes</w:t>
            </w:r>
          </w:p>
          <w:p w14:paraId="4078FE87" w14:textId="040E98CD" w:rsidR="000B7447" w:rsidRPr="000B7447" w:rsidRDefault="000B7447" w:rsidP="00AD309C">
            <w:pPr>
              <w:pStyle w:val="ListParagraph"/>
              <w:numPr>
                <w:ilvl w:val="0"/>
                <w:numId w:val="254"/>
              </w:numPr>
              <w:rPr>
                <w:b/>
              </w:rPr>
            </w:pPr>
            <w:r>
              <w:t>No</w:t>
            </w:r>
          </w:p>
        </w:tc>
      </w:tr>
    </w:tbl>
    <w:p w14:paraId="54D3C583" w14:textId="77777777" w:rsidR="00E01307" w:rsidRDefault="00E01307" w:rsidP="00C15F23"/>
    <w:p w14:paraId="20D5F41A" w14:textId="2E4E006C" w:rsidR="00E01307" w:rsidRDefault="00E01307" w:rsidP="00AB5B80">
      <w:pPr>
        <w:pStyle w:val="Heading3"/>
      </w:pPr>
      <w:bookmarkStart w:id="463" w:name="_Toc225877775"/>
      <w:r>
        <w:t>Action</w:t>
      </w:r>
      <w:bookmarkEnd w:id="463"/>
      <w:r>
        <w:br/>
      </w:r>
    </w:p>
    <w:tbl>
      <w:tblPr>
        <w:tblStyle w:val="TableGrid"/>
        <w:tblW w:w="9625" w:type="dxa"/>
        <w:tblLook w:val="04A0" w:firstRow="1" w:lastRow="0" w:firstColumn="1" w:lastColumn="0" w:noHBand="0" w:noVBand="1"/>
      </w:tblPr>
      <w:tblGrid>
        <w:gridCol w:w="8005"/>
        <w:gridCol w:w="1620"/>
      </w:tblGrid>
      <w:tr w:rsidR="00E01307" w14:paraId="7E6AFEA1" w14:textId="77777777" w:rsidTr="00B74BD8">
        <w:tc>
          <w:tcPr>
            <w:tcW w:w="9625" w:type="dxa"/>
            <w:gridSpan w:val="2"/>
          </w:tcPr>
          <w:p w14:paraId="454836CC" w14:textId="41E67F6E" w:rsidR="00E01307" w:rsidRDefault="00E01307" w:rsidP="00AD309C">
            <w:pPr>
              <w:pStyle w:val="ListParagraph"/>
              <w:numPr>
                <w:ilvl w:val="1"/>
                <w:numId w:val="252"/>
              </w:numPr>
            </w:pPr>
            <w:r w:rsidRPr="00B74BD8">
              <w:rPr>
                <w:b/>
              </w:rPr>
              <w:t xml:space="preserve">Within the last 12 months, structures and systems have been in place to ensure that </w:t>
            </w:r>
            <w:hyperlink w:anchor="SeniorAdministrativeLeadership" w:history="1">
              <w:r w:rsidRPr="00E01307">
                <w:rPr>
                  <w:rStyle w:val="Hyperlink"/>
                  <w:b/>
                </w:rPr>
                <w:t>senior administrative leadership</w:t>
              </w:r>
            </w:hyperlink>
            <w:r w:rsidRPr="00C15F23">
              <w:rPr>
                <w:b/>
              </w:rPr>
              <w:t xml:space="preserve"> is taking direct action, as evidenced by:</w:t>
            </w:r>
          </w:p>
        </w:tc>
      </w:tr>
      <w:tr w:rsidR="00E01307" w14:paraId="1352D69A" w14:textId="77777777" w:rsidTr="00B74BD8">
        <w:tc>
          <w:tcPr>
            <w:tcW w:w="8005" w:type="dxa"/>
            <w:tcBorders>
              <w:top w:val="single" w:sz="4" w:space="0" w:color="auto"/>
            </w:tcBorders>
            <w:vAlign w:val="center"/>
          </w:tcPr>
          <w:p w14:paraId="69B7747A" w14:textId="0C58AA42" w:rsidR="00E01307" w:rsidRDefault="00E01307" w:rsidP="00AD309C">
            <w:pPr>
              <w:pStyle w:val="ListParagraph"/>
              <w:numPr>
                <w:ilvl w:val="0"/>
                <w:numId w:val="273"/>
              </w:numPr>
            </w:pPr>
            <w:r w:rsidRPr="004E58E4">
              <w:t xml:space="preserve">CEO and </w:t>
            </w:r>
            <w:hyperlink w:anchor="SeniorAdministrativeLeadership" w:history="1">
              <w:r w:rsidRPr="004E58E4">
                <w:rPr>
                  <w:rStyle w:val="Hyperlink"/>
                </w:rPr>
                <w:t>senior administrative leadership</w:t>
              </w:r>
            </w:hyperlink>
            <w:r w:rsidRPr="004E58E4">
              <w:t xml:space="preserve"> are personally </w:t>
            </w:r>
            <w:hyperlink w:anchor="SP1_4a_PersonallyEngaged" w:history="1">
              <w:r w:rsidRPr="004E58E4">
                <w:rPr>
                  <w:rStyle w:val="Hyperlink"/>
                </w:rPr>
                <w:t>engaged</w:t>
              </w:r>
            </w:hyperlink>
            <w:r w:rsidRPr="004E58E4">
              <w:t xml:space="preserve"> in reinforcing patient safety improvements, e.g., “</w:t>
            </w:r>
            <w:r w:rsidRPr="008306A5">
              <w:rPr>
                <w:noProof/>
              </w:rPr>
              <w:t>walk-arounds</w:t>
            </w:r>
            <w:r>
              <w:rPr>
                <w:noProof/>
              </w:rPr>
              <w:t>,</w:t>
            </w:r>
            <w:r w:rsidRPr="004E58E4">
              <w:t xml:space="preserve">” and reporting to the </w:t>
            </w:r>
            <w:hyperlink w:anchor="Board" w:history="1">
              <w:r w:rsidRPr="004E58E4">
                <w:rPr>
                  <w:rStyle w:val="Hyperlink"/>
                </w:rPr>
                <w:t>board</w:t>
              </w:r>
            </w:hyperlink>
            <w:r w:rsidRPr="004E58E4">
              <w:t xml:space="preserve"> (governance). Calendars reflect allocated time. (p.78)</w:t>
            </w:r>
          </w:p>
        </w:tc>
        <w:tc>
          <w:tcPr>
            <w:tcW w:w="1620" w:type="dxa"/>
            <w:tcBorders>
              <w:top w:val="single" w:sz="4" w:space="0" w:color="auto"/>
              <w:left w:val="nil"/>
            </w:tcBorders>
            <w:vAlign w:val="center"/>
          </w:tcPr>
          <w:p w14:paraId="5B31FEDF" w14:textId="77777777" w:rsidR="00E01307" w:rsidRDefault="00E01307" w:rsidP="00AD309C">
            <w:pPr>
              <w:pStyle w:val="ListParagraph"/>
              <w:numPr>
                <w:ilvl w:val="0"/>
                <w:numId w:val="274"/>
              </w:numPr>
            </w:pPr>
            <w:r w:rsidRPr="00A042E8">
              <w:t>Yes</w:t>
            </w:r>
          </w:p>
          <w:p w14:paraId="3DFC4E41" w14:textId="280B86E2" w:rsidR="00E01307" w:rsidRDefault="00E01307" w:rsidP="00AD309C">
            <w:pPr>
              <w:pStyle w:val="ListParagraph"/>
              <w:numPr>
                <w:ilvl w:val="0"/>
                <w:numId w:val="274"/>
              </w:numPr>
            </w:pPr>
            <w:r>
              <w:t>No</w:t>
            </w:r>
          </w:p>
        </w:tc>
      </w:tr>
      <w:tr w:rsidR="00E01307" w14:paraId="38FEF106" w14:textId="77777777" w:rsidTr="00B74BD8">
        <w:tc>
          <w:tcPr>
            <w:tcW w:w="8005" w:type="dxa"/>
            <w:tcBorders>
              <w:top w:val="single" w:sz="4" w:space="0" w:color="auto"/>
            </w:tcBorders>
            <w:vAlign w:val="center"/>
          </w:tcPr>
          <w:p w14:paraId="6BFF9441" w14:textId="25BB9F95" w:rsidR="00E01307" w:rsidRDefault="00E01307" w:rsidP="00AD309C">
            <w:pPr>
              <w:pStyle w:val="ListParagraph"/>
              <w:numPr>
                <w:ilvl w:val="0"/>
                <w:numId w:val="273"/>
              </w:numPr>
            </w:pPr>
            <w:r w:rsidRPr="004E58E4">
              <w:t xml:space="preserve">CEO has actively </w:t>
            </w:r>
            <w:hyperlink w:anchor="SP1_4b_ActivelyEngaged" w:history="1">
              <w:r w:rsidRPr="004E58E4">
                <w:rPr>
                  <w:rStyle w:val="Hyperlink"/>
                </w:rPr>
                <w:t>engaged</w:t>
              </w:r>
            </w:hyperlink>
            <w:r w:rsidRPr="004E58E4">
              <w:t xml:space="preserve"> leaders from </w:t>
            </w:r>
            <w:hyperlink w:anchor="ForthepurposesofreportingonSection6" w:history="1">
              <w:r w:rsidRPr="004E58E4">
                <w:rPr>
                  <w:rStyle w:val="Hyperlink"/>
                </w:rPr>
                <w:t>service lines, midlevel management, nursing leadership, and physician leadership</w:t>
              </w:r>
            </w:hyperlink>
            <w:r w:rsidRPr="004E58E4">
              <w:t xml:space="preserve"> in patient safety improvement actions. (p.79)</w:t>
            </w:r>
          </w:p>
        </w:tc>
        <w:tc>
          <w:tcPr>
            <w:tcW w:w="1620" w:type="dxa"/>
            <w:tcBorders>
              <w:top w:val="single" w:sz="4" w:space="0" w:color="auto"/>
              <w:left w:val="nil"/>
            </w:tcBorders>
            <w:vAlign w:val="center"/>
          </w:tcPr>
          <w:p w14:paraId="527997D5" w14:textId="77777777" w:rsidR="00E01307" w:rsidRDefault="00E01307" w:rsidP="00AD309C">
            <w:pPr>
              <w:pStyle w:val="ListParagraph"/>
              <w:numPr>
                <w:ilvl w:val="0"/>
                <w:numId w:val="274"/>
              </w:numPr>
            </w:pPr>
            <w:r>
              <w:t>Yes</w:t>
            </w:r>
          </w:p>
          <w:p w14:paraId="46E7784D" w14:textId="1DC2A71D" w:rsidR="00E01307" w:rsidRDefault="00E01307" w:rsidP="00AD309C">
            <w:pPr>
              <w:pStyle w:val="ListParagraph"/>
              <w:numPr>
                <w:ilvl w:val="0"/>
                <w:numId w:val="274"/>
              </w:numPr>
            </w:pPr>
            <w:r w:rsidRPr="00A042E8">
              <w:t>No</w:t>
            </w:r>
          </w:p>
        </w:tc>
      </w:tr>
      <w:tr w:rsidR="00E01307" w14:paraId="19658978" w14:textId="77777777" w:rsidTr="00B74BD8">
        <w:tc>
          <w:tcPr>
            <w:tcW w:w="8005" w:type="dxa"/>
            <w:tcBorders>
              <w:top w:val="single" w:sz="4" w:space="0" w:color="auto"/>
            </w:tcBorders>
            <w:vAlign w:val="center"/>
          </w:tcPr>
          <w:p w14:paraId="27713EDC" w14:textId="4DA1A69F" w:rsidR="00E01307" w:rsidRDefault="00E01307" w:rsidP="00AD309C">
            <w:pPr>
              <w:pStyle w:val="ListParagraph"/>
              <w:numPr>
                <w:ilvl w:val="0"/>
                <w:numId w:val="273"/>
              </w:numPr>
            </w:pPr>
            <w:r w:rsidRPr="004E58E4">
              <w:t xml:space="preserve">hospital has established a </w:t>
            </w:r>
            <w:hyperlink w:anchor="SP1_4c_StructureforInput" w:history="1">
              <w:r w:rsidRPr="004E58E4">
                <w:rPr>
                  <w:rStyle w:val="Hyperlink"/>
                </w:rPr>
                <w:t>structure</w:t>
              </w:r>
            </w:hyperlink>
            <w:r w:rsidRPr="004E58E4">
              <w:t xml:space="preserve"> for input into the patient safety program by licensed independent practitioners and the organized medical staff and physician leadership. Input documented in meeting minutes or materials. (p.79)</w:t>
            </w:r>
          </w:p>
        </w:tc>
        <w:tc>
          <w:tcPr>
            <w:tcW w:w="1620" w:type="dxa"/>
            <w:tcBorders>
              <w:top w:val="single" w:sz="4" w:space="0" w:color="auto"/>
              <w:left w:val="nil"/>
            </w:tcBorders>
            <w:vAlign w:val="center"/>
          </w:tcPr>
          <w:p w14:paraId="2703BEC9" w14:textId="77777777" w:rsidR="00E01307" w:rsidRDefault="00E01307" w:rsidP="00AD309C">
            <w:pPr>
              <w:pStyle w:val="ListParagraph"/>
              <w:numPr>
                <w:ilvl w:val="0"/>
                <w:numId w:val="274"/>
              </w:numPr>
            </w:pPr>
            <w:r w:rsidRPr="00A042E8">
              <w:t>Yes</w:t>
            </w:r>
          </w:p>
          <w:p w14:paraId="3E8542EE" w14:textId="55BAEF59" w:rsidR="00E01307" w:rsidRDefault="00E01307" w:rsidP="00AD309C">
            <w:pPr>
              <w:pStyle w:val="ListParagraph"/>
              <w:numPr>
                <w:ilvl w:val="0"/>
                <w:numId w:val="274"/>
              </w:numPr>
            </w:pPr>
            <w:r>
              <w:t>No</w:t>
            </w:r>
          </w:p>
        </w:tc>
      </w:tr>
    </w:tbl>
    <w:p w14:paraId="0B45B9A2" w14:textId="6530EBE1" w:rsidR="00563CD7" w:rsidRDefault="00563CD7" w:rsidP="00CF5A6E">
      <w:pPr>
        <w:pStyle w:val="Heading2"/>
      </w:pPr>
      <w:r>
        <w:br w:type="page"/>
      </w:r>
      <w:bookmarkStart w:id="464" w:name="SP2"/>
      <w:bookmarkStart w:id="465" w:name="_Toc510001893"/>
      <w:bookmarkStart w:id="466" w:name="_Toc225877776"/>
      <w:r>
        <w:t xml:space="preserve">6B: </w:t>
      </w:r>
      <w:r w:rsidR="006045D9">
        <w:t xml:space="preserve">NQF Safe </w:t>
      </w:r>
      <w:r>
        <w:t xml:space="preserve">Practice #2 </w:t>
      </w:r>
      <w:r w:rsidR="006045D9">
        <w:t>–</w:t>
      </w:r>
      <w:r>
        <w:t xml:space="preserve"> </w:t>
      </w:r>
      <w:r w:rsidRPr="0076466C">
        <w:t>Culture Measurement, Feedback, and Intervention</w:t>
      </w:r>
      <w:bookmarkEnd w:id="464"/>
      <w:bookmarkEnd w:id="465"/>
      <w:bookmarkEnd w:id="466"/>
    </w:p>
    <w:p w14:paraId="4299F6E2" w14:textId="22010347" w:rsidR="006045D9" w:rsidRDefault="006045D9" w:rsidP="006045D9">
      <w:pPr>
        <w:rPr>
          <w:lang w:eastAsia="ja-JP"/>
        </w:rPr>
      </w:pPr>
    </w:p>
    <w:p w14:paraId="1BE78653" w14:textId="3F62C55A" w:rsidR="006045D9" w:rsidRPr="00174828" w:rsidRDefault="006045D9" w:rsidP="0060455A">
      <w:r w:rsidRPr="009A5185">
        <w:rPr>
          <w:rFonts w:cs="Arial"/>
          <w:snapToGrid w:val="0"/>
        </w:rPr>
        <w:t xml:space="preserve">Hospitals that share a </w:t>
      </w:r>
      <w:r>
        <w:rPr>
          <w:rFonts w:cs="Arial"/>
          <w:snapToGrid w:val="0"/>
        </w:rPr>
        <w:t>CMS Certification Number</w:t>
      </w:r>
      <w:r w:rsidRPr="009A5185">
        <w:rPr>
          <w:rFonts w:cs="Arial"/>
          <w:snapToGrid w:val="0"/>
        </w:rPr>
        <w:t xml:space="preserve"> are required to report by facility. Please carefully review </w:t>
      </w:r>
      <w:hyperlink r:id="rId351" w:history="1">
        <w:r w:rsidRPr="009A5185">
          <w:rPr>
            <w:rStyle w:val="Hyperlink"/>
            <w:rFonts w:cs="Arial"/>
            <w:snapToGrid w:val="0"/>
          </w:rPr>
          <w:t>Leapfrog’s Multi-Campus Reporting Policy</w:t>
        </w:r>
      </w:hyperlink>
      <w:r>
        <w:rPr>
          <w:rStyle w:val="Hyperlink"/>
          <w:rFonts w:cs="Arial"/>
          <w:snapToGrid w:val="0"/>
        </w:rPr>
        <w:t>.</w:t>
      </w:r>
    </w:p>
    <w:p w14:paraId="0CEF2045" w14:textId="77777777" w:rsidR="00563CD7" w:rsidRDefault="00563CD7" w:rsidP="00563CD7">
      <w:pPr>
        <w:rPr>
          <w:b/>
          <w:bCs/>
          <w:color w:val="FF0000"/>
        </w:rPr>
      </w:pPr>
    </w:p>
    <w:p w14:paraId="4CB5B52E" w14:textId="77777777" w:rsidR="00563CD7" w:rsidRPr="00722F1B" w:rsidRDefault="00563CD7" w:rsidP="00563CD7">
      <w:pPr>
        <w:rPr>
          <w:b/>
          <w:bCs/>
          <w:color w:val="FF0000"/>
        </w:rPr>
      </w:pPr>
      <w:r w:rsidRPr="00722F1B">
        <w:rPr>
          <w:b/>
          <w:bCs/>
          <w:color w:val="FF0000"/>
        </w:rPr>
        <w:t>Important Notes:</w:t>
      </w:r>
    </w:p>
    <w:p w14:paraId="71F495CD" w14:textId="77777777" w:rsidR="00563CD7" w:rsidRPr="00722F1B" w:rsidRDefault="00563CD7" w:rsidP="00563CD7">
      <w:pPr>
        <w:rPr>
          <w:b/>
          <w:bCs/>
          <w:color w:val="FF0000"/>
        </w:rPr>
      </w:pPr>
    </w:p>
    <w:p w14:paraId="4F23CF7C" w14:textId="1C75B62B" w:rsidR="00563CD7" w:rsidRPr="00722F1B" w:rsidRDefault="00563CD7" w:rsidP="00563CD7">
      <w:pPr>
        <w:rPr>
          <w:bCs/>
        </w:rPr>
      </w:pPr>
      <w:r w:rsidRPr="00722F1B">
        <w:rPr>
          <w:bCs/>
        </w:rPr>
        <w:t xml:space="preserve">Note 1: </w:t>
      </w:r>
      <w:r w:rsidR="00675684" w:rsidRPr="00722F1B">
        <w:rPr>
          <w:bCs/>
        </w:rPr>
        <w:t xml:space="preserve">Page numbers </w:t>
      </w:r>
      <w:r w:rsidR="009C0C21" w:rsidRPr="009C0C21">
        <w:rPr>
          <w:bCs/>
        </w:rPr>
        <w:t xml:space="preserve">throughout this subsection refer to the NQF Safe Practices for Better Healthcare – 2010 Update report, which is available for download here: </w:t>
      </w:r>
      <w:hyperlink r:id="rId352" w:history="1">
        <w:r w:rsidR="009C0C21" w:rsidRPr="009C0C21">
          <w:rPr>
            <w:rStyle w:val="Hyperlink"/>
            <w:bCs/>
          </w:rPr>
          <w:t>http://www.leapfroggroup.org/survey-materials/survey-and-cpoe-materials</w:t>
        </w:r>
      </w:hyperlink>
      <w:r w:rsidR="009C0C21" w:rsidRPr="009C0C21">
        <w:rPr>
          <w:bCs/>
        </w:rPr>
        <w:t>.</w:t>
      </w:r>
    </w:p>
    <w:p w14:paraId="2BDBA52F" w14:textId="77777777" w:rsidR="00563CD7" w:rsidRPr="00722F1B" w:rsidRDefault="00563CD7" w:rsidP="00563CD7">
      <w:pPr>
        <w:rPr>
          <w:bCs/>
        </w:rPr>
      </w:pPr>
    </w:p>
    <w:p w14:paraId="1C4DEF12" w14:textId="283CE3EF" w:rsidR="00790740" w:rsidRDefault="00563CD7" w:rsidP="00563CD7">
      <w:pPr>
        <w:rPr>
          <w:bCs/>
        </w:rPr>
      </w:pPr>
      <w:r w:rsidRPr="004A60F9">
        <w:rPr>
          <w:bCs/>
        </w:rPr>
        <w:t xml:space="preserve">Note 2: Hyperlinks throughout this subsection refer to </w:t>
      </w:r>
      <w:r w:rsidR="0023417A">
        <w:rPr>
          <w:bCs/>
        </w:rPr>
        <w:t xml:space="preserve">the </w:t>
      </w:r>
      <w:hyperlink w:anchor="_Patient_Safety_Practices" w:history="1">
        <w:r w:rsidR="00E7380B">
          <w:rPr>
            <w:rStyle w:val="Hyperlink"/>
            <w:bCs/>
          </w:rPr>
          <w:t>Patient Safety Practices FAQs</w:t>
        </w:r>
      </w:hyperlink>
      <w:r w:rsidR="0023417A">
        <w:rPr>
          <w:bCs/>
        </w:rPr>
        <w:t xml:space="preserve"> </w:t>
      </w:r>
      <w:r w:rsidR="00393E94">
        <w:rPr>
          <w:rFonts w:cs="Arial"/>
        </w:rPr>
        <w:t>beginning on page</w:t>
      </w:r>
      <w:r w:rsidR="00610589">
        <w:rPr>
          <w:rFonts w:cs="Arial"/>
        </w:rPr>
        <w:t xml:space="preserve"> 250</w:t>
      </w:r>
      <w:r w:rsidR="00393E94">
        <w:rPr>
          <w:rFonts w:cs="Arial"/>
        </w:rPr>
        <w:t xml:space="preserve">, </w:t>
      </w:r>
      <w:r w:rsidRPr="004A60F9">
        <w:rPr>
          <w:bCs/>
        </w:rPr>
        <w:t>not to endnotes. These hyperlinks are not include</w:t>
      </w:r>
      <w:r w:rsidR="007C2D2D">
        <w:rPr>
          <w:bCs/>
        </w:rPr>
        <w:t xml:space="preserve">d in the </w:t>
      </w:r>
      <w:r w:rsidR="005B7CBC">
        <w:rPr>
          <w:bCs/>
        </w:rPr>
        <w:t>Online Survey Tool</w:t>
      </w:r>
      <w:r w:rsidR="005B7CBC" w:rsidRPr="004A60F9">
        <w:rPr>
          <w:bCs/>
        </w:rPr>
        <w:t>.</w:t>
      </w:r>
    </w:p>
    <w:p w14:paraId="50F66BE0" w14:textId="77777777" w:rsidR="00790740" w:rsidRDefault="00790740" w:rsidP="00563CD7">
      <w:pPr>
        <w:rPr>
          <w:bCs/>
        </w:rPr>
      </w:pPr>
    </w:p>
    <w:p w14:paraId="1742724C" w14:textId="0EA02FE5" w:rsidR="00563CD7" w:rsidRDefault="00790740" w:rsidP="00563CD7">
      <w:pPr>
        <w:rPr>
          <w:bCs/>
        </w:rPr>
      </w:pPr>
      <w:r w:rsidRPr="00B6120F">
        <w:rPr>
          <w:bCs/>
        </w:rPr>
        <w:t>Note 3:</w:t>
      </w:r>
      <w:r w:rsidR="00563CD7" w:rsidRPr="00B6120F">
        <w:rPr>
          <w:bCs/>
        </w:rPr>
        <w:t xml:space="preserve"> </w:t>
      </w:r>
      <w:r w:rsidR="004F430C" w:rsidRPr="004F430C">
        <w:rPr>
          <w:bCs/>
        </w:rPr>
        <w:t xml:space="preserve">Throughout this subsection, the culture of safety survey referenced in each practice element refers to one administered in the last </w:t>
      </w:r>
      <w:r w:rsidR="00E725B5">
        <w:rPr>
          <w:bCs/>
        </w:rPr>
        <w:t>24</w:t>
      </w:r>
      <w:r w:rsidR="004F430C" w:rsidRPr="004F430C">
        <w:rPr>
          <w:bCs/>
        </w:rPr>
        <w:t xml:space="preserve"> months as indicated in 2.1a. This means that the same culture of safety survey should be used when responding to each practice element.</w:t>
      </w:r>
    </w:p>
    <w:p w14:paraId="092F75D2" w14:textId="77777777" w:rsidR="004A10F5" w:rsidRDefault="004A10F5" w:rsidP="00563CD7">
      <w:pPr>
        <w:rPr>
          <w:bCs/>
        </w:rPr>
      </w:pPr>
    </w:p>
    <w:p w14:paraId="301CD56C" w14:textId="541BB9C1" w:rsidR="004A10F5" w:rsidRDefault="004A10F5" w:rsidP="00563CD7">
      <w:pPr>
        <w:rPr>
          <w:bCs/>
        </w:rPr>
      </w:pPr>
      <w:r>
        <w:rPr>
          <w:rFonts w:cs="Arial"/>
          <w:b/>
          <w:snapToGrid w:val="0"/>
        </w:rPr>
        <w:t>Specifications:</w:t>
      </w:r>
      <w:r>
        <w:rPr>
          <w:rFonts w:cs="Arial"/>
          <w:snapToGrid w:val="0"/>
        </w:rPr>
        <w:t xml:space="preserve"> See </w:t>
      </w:r>
      <w:hyperlink w:anchor="_NQF_Safe_Practice" w:history="1">
        <w:r>
          <w:rPr>
            <w:rStyle w:val="Hyperlink"/>
            <w:rFonts w:cs="Arial"/>
            <w:b/>
            <w:i/>
          </w:rPr>
          <w:t>NQF Safe Practice Measure Specifications</w:t>
        </w:r>
      </w:hyperlink>
      <w:r>
        <w:rPr>
          <w:rFonts w:cs="Arial"/>
        </w:rPr>
        <w:t xml:space="preserve"> </w:t>
      </w:r>
      <w:r>
        <w:rPr>
          <w:rFonts w:cs="Arial"/>
          <w:snapToGrid w:val="0"/>
        </w:rPr>
        <w:t xml:space="preserve">in the Reference Information </w:t>
      </w:r>
      <w:r>
        <w:rPr>
          <w:rFonts w:cs="Arial"/>
        </w:rPr>
        <w:t>beginning on page</w:t>
      </w:r>
      <w:r w:rsidR="00B0491B">
        <w:rPr>
          <w:rFonts w:cs="Arial"/>
        </w:rPr>
        <w:t xml:space="preserve"> 23</w:t>
      </w:r>
      <w:r w:rsidR="00610589">
        <w:rPr>
          <w:rFonts w:cs="Arial"/>
        </w:rPr>
        <w:t>7</w:t>
      </w:r>
      <w:r>
        <w:rPr>
          <w:rFonts w:cs="Arial"/>
        </w:rPr>
        <w:t>.</w:t>
      </w:r>
    </w:p>
    <w:p w14:paraId="3E7D138A" w14:textId="77777777" w:rsidR="00AD5731" w:rsidRDefault="00AD5731" w:rsidP="00563CD7">
      <w:pPr>
        <w:rPr>
          <w:bCs/>
        </w:rPr>
      </w:pPr>
    </w:p>
    <w:p w14:paraId="6F44D7F3" w14:textId="63C77EDF" w:rsidR="00AD5731" w:rsidRDefault="00AD5731" w:rsidP="00AB5B80">
      <w:pPr>
        <w:pStyle w:val="Heading3"/>
      </w:pPr>
      <w:bookmarkStart w:id="467" w:name="_Toc225877777"/>
      <w:r>
        <w:t>Awareness</w:t>
      </w:r>
      <w:bookmarkEnd w:id="467"/>
    </w:p>
    <w:p w14:paraId="35011948" w14:textId="77777777" w:rsidR="00AD5731" w:rsidRDefault="00AD5731" w:rsidP="00563CD7">
      <w:pPr>
        <w:rPr>
          <w:b/>
          <w:bCs/>
          <w:i/>
        </w:rPr>
      </w:pPr>
    </w:p>
    <w:tbl>
      <w:tblPr>
        <w:tblStyle w:val="TableGrid"/>
        <w:tblW w:w="9625" w:type="dxa"/>
        <w:tblLook w:val="04A0" w:firstRow="1" w:lastRow="0" w:firstColumn="1" w:lastColumn="0" w:noHBand="0" w:noVBand="1"/>
      </w:tblPr>
      <w:tblGrid>
        <w:gridCol w:w="8338"/>
        <w:gridCol w:w="1287"/>
      </w:tblGrid>
      <w:tr w:rsidR="00AD5731" w14:paraId="6AAB6AD0" w14:textId="77777777" w:rsidTr="00EC4DCE">
        <w:tc>
          <w:tcPr>
            <w:tcW w:w="9625" w:type="dxa"/>
            <w:gridSpan w:val="2"/>
          </w:tcPr>
          <w:p w14:paraId="1258907B" w14:textId="091DA46D" w:rsidR="00AD5731" w:rsidRDefault="00AD5731" w:rsidP="00AD309C">
            <w:pPr>
              <w:pStyle w:val="ListParagraph"/>
              <w:numPr>
                <w:ilvl w:val="1"/>
                <w:numId w:val="275"/>
              </w:numPr>
              <w:jc w:val="both"/>
            </w:pPr>
            <w:r w:rsidRPr="00C15F23">
              <w:rPr>
                <w:b/>
              </w:rPr>
              <w:t>Within the last 24 months, in regard to culture measurement, our organization has done the following:</w:t>
            </w:r>
          </w:p>
        </w:tc>
      </w:tr>
      <w:tr w:rsidR="00AD5731" w14:paraId="59488F28" w14:textId="77777777" w:rsidTr="00C15F23">
        <w:tc>
          <w:tcPr>
            <w:tcW w:w="8338" w:type="dxa"/>
            <w:vAlign w:val="center"/>
          </w:tcPr>
          <w:p w14:paraId="2D67133E" w14:textId="6E351F80" w:rsidR="00AD5731" w:rsidRPr="00AD5731" w:rsidRDefault="00AD5731" w:rsidP="00AD309C">
            <w:pPr>
              <w:pStyle w:val="ListParagraph"/>
              <w:numPr>
                <w:ilvl w:val="0"/>
                <w:numId w:val="276"/>
              </w:numPr>
              <w:rPr>
                <w:i/>
                <w:sz w:val="16"/>
                <w:szCs w:val="16"/>
              </w:rPr>
            </w:pPr>
            <w:r w:rsidRPr="004E58E4">
              <w:t xml:space="preserve">conducted a </w:t>
            </w:r>
            <w:hyperlink w:anchor="SP2_1a_CultureSurvey" w:history="1">
              <w:r w:rsidRPr="004E58E4">
                <w:rPr>
                  <w:rStyle w:val="Hyperlink"/>
                </w:rPr>
                <w:t>culture of safety survey</w:t>
              </w:r>
            </w:hyperlink>
            <w:r w:rsidRPr="004E58E4">
              <w:t xml:space="preserve"> of our employees using a nationally recognized tool that has demonstrated validity, consistency, and reliability. The units surveyed account for at least 50% of the aggregated care delivered to patients within the </w:t>
            </w:r>
            <w:r>
              <w:rPr>
                <w:noProof/>
              </w:rPr>
              <w:t>hospital</w:t>
            </w:r>
            <w:r w:rsidRPr="004E58E4">
              <w:t xml:space="preserve"> and include the high patient safety risk units or departments</w:t>
            </w:r>
            <w:r w:rsidRPr="00AD5731">
              <w:rPr>
                <w:i/>
                <w:noProof/>
                <w:sz w:val="16"/>
                <w:szCs w:val="16"/>
              </w:rPr>
              <w:t xml:space="preserve">. </w:t>
            </w:r>
            <w:r w:rsidRPr="008306A5">
              <w:rPr>
                <w:noProof/>
              </w:rPr>
              <w:t>(</w:t>
            </w:r>
            <w:r w:rsidRPr="004E58E4">
              <w:t>p.88)</w:t>
            </w:r>
            <w:r w:rsidRPr="00AD5731">
              <w:rPr>
                <w:i/>
                <w:sz w:val="16"/>
                <w:szCs w:val="16"/>
              </w:rPr>
              <w:t xml:space="preserve"> </w:t>
            </w:r>
          </w:p>
          <w:p w14:paraId="6659EF30" w14:textId="77777777" w:rsidR="00AD5731" w:rsidRPr="004E58E4" w:rsidRDefault="00AD5731" w:rsidP="00AD5731">
            <w:pPr>
              <w:rPr>
                <w:i/>
                <w:sz w:val="16"/>
                <w:szCs w:val="16"/>
              </w:rPr>
            </w:pPr>
          </w:p>
          <w:p w14:paraId="4D2DAD3D" w14:textId="161B1A25" w:rsidR="00AD5731" w:rsidRPr="00C15F23" w:rsidRDefault="00AD5731" w:rsidP="00C15F23">
            <w:pPr>
              <w:pStyle w:val="ListParagraph"/>
              <w:rPr>
                <w:bCs/>
                <w:i/>
              </w:rPr>
            </w:pPr>
            <w:r w:rsidRPr="00C15F23">
              <w:rPr>
                <w:bCs/>
                <w:i/>
              </w:rPr>
              <w:t>If “no” to question 2.1a, skip the remaining questions in Section 6B and continue to the next subsection.</w:t>
            </w:r>
            <w:r w:rsidRPr="00AD5731">
              <w:rPr>
                <w:bCs/>
                <w:i/>
              </w:rPr>
              <w:t xml:space="preserve"> The hospital will be scored as “Limited Achievement.”</w:t>
            </w:r>
          </w:p>
        </w:tc>
        <w:tc>
          <w:tcPr>
            <w:tcW w:w="1287" w:type="dxa"/>
            <w:vAlign w:val="center"/>
          </w:tcPr>
          <w:p w14:paraId="6C5BEAC7" w14:textId="77777777" w:rsidR="00AD5731" w:rsidRDefault="00AD5731" w:rsidP="00AD309C">
            <w:pPr>
              <w:pStyle w:val="ListParagraph"/>
              <w:numPr>
                <w:ilvl w:val="0"/>
                <w:numId w:val="249"/>
              </w:numPr>
            </w:pPr>
            <w:r>
              <w:t>Yes</w:t>
            </w:r>
          </w:p>
          <w:p w14:paraId="1D4ACA88" w14:textId="77777777" w:rsidR="00AD5731" w:rsidRDefault="00AD5731" w:rsidP="00AD309C">
            <w:pPr>
              <w:pStyle w:val="ListParagraph"/>
              <w:numPr>
                <w:ilvl w:val="0"/>
                <w:numId w:val="249"/>
              </w:numPr>
            </w:pPr>
            <w:r>
              <w:t>No</w:t>
            </w:r>
          </w:p>
        </w:tc>
      </w:tr>
      <w:tr w:rsidR="00AD5731" w14:paraId="0D22DEC3" w14:textId="77777777" w:rsidTr="00C15F23">
        <w:tc>
          <w:tcPr>
            <w:tcW w:w="8338" w:type="dxa"/>
            <w:vAlign w:val="center"/>
          </w:tcPr>
          <w:p w14:paraId="4FA8E3DF" w14:textId="06308CB8" w:rsidR="00AD5731" w:rsidRDefault="00AD5731" w:rsidP="00AD309C">
            <w:pPr>
              <w:pStyle w:val="ListParagraph"/>
              <w:numPr>
                <w:ilvl w:val="0"/>
                <w:numId w:val="276"/>
              </w:numPr>
            </w:pPr>
            <w:r w:rsidRPr="004E58E4">
              <w:t xml:space="preserve">portrayed the results of the culture </w:t>
            </w:r>
            <w:r>
              <w:t xml:space="preserve">of safety </w:t>
            </w:r>
            <w:r w:rsidRPr="004E58E4">
              <w:t>survey in a report, which reflects both hospital-wide and individual unit level results, as applicable. (p.88)</w:t>
            </w:r>
          </w:p>
        </w:tc>
        <w:tc>
          <w:tcPr>
            <w:tcW w:w="1287" w:type="dxa"/>
            <w:vAlign w:val="center"/>
          </w:tcPr>
          <w:p w14:paraId="1D3AC2E5" w14:textId="77777777" w:rsidR="00AD5731" w:rsidRDefault="00AD5731" w:rsidP="00AD309C">
            <w:pPr>
              <w:pStyle w:val="ListParagraph"/>
              <w:numPr>
                <w:ilvl w:val="0"/>
                <w:numId w:val="249"/>
              </w:numPr>
            </w:pPr>
            <w:r>
              <w:t>Yes</w:t>
            </w:r>
          </w:p>
          <w:p w14:paraId="72539FB5" w14:textId="77777777" w:rsidR="00AD5731" w:rsidRDefault="00AD5731" w:rsidP="00AD309C">
            <w:pPr>
              <w:pStyle w:val="ListParagraph"/>
              <w:numPr>
                <w:ilvl w:val="0"/>
                <w:numId w:val="249"/>
              </w:numPr>
            </w:pPr>
            <w:r>
              <w:t>No</w:t>
            </w:r>
          </w:p>
        </w:tc>
      </w:tr>
      <w:tr w:rsidR="00AD5731" w14:paraId="445D5F42" w14:textId="77777777" w:rsidTr="00C15F23">
        <w:tc>
          <w:tcPr>
            <w:tcW w:w="8338" w:type="dxa"/>
            <w:vAlign w:val="center"/>
          </w:tcPr>
          <w:p w14:paraId="0DC8A9FF" w14:textId="1EBBCEEF" w:rsidR="00AD5731" w:rsidRDefault="00AD5731" w:rsidP="00AD309C">
            <w:pPr>
              <w:pStyle w:val="ListParagraph"/>
              <w:numPr>
                <w:ilvl w:val="0"/>
                <w:numId w:val="276"/>
              </w:numPr>
            </w:pPr>
            <w:hyperlink w:anchor="SP2_1c" w:history="1">
              <w:r w:rsidRPr="004E58E4">
                <w:rPr>
                  <w:rStyle w:val="Hyperlink"/>
                </w:rPr>
                <w:t>benchmarked</w:t>
              </w:r>
            </w:hyperlink>
            <w:r>
              <w:t xml:space="preserve"> </w:t>
            </w:r>
            <w:r w:rsidRPr="004E58E4">
              <w:t xml:space="preserve">results of the culture </w:t>
            </w:r>
            <w:r>
              <w:t xml:space="preserve">of safety </w:t>
            </w:r>
            <w:r w:rsidRPr="004E58E4">
              <w:t>survey against external organizations, such as “like” hospitals or other hospitals within the same health system.</w:t>
            </w:r>
          </w:p>
        </w:tc>
        <w:tc>
          <w:tcPr>
            <w:tcW w:w="1287" w:type="dxa"/>
            <w:vAlign w:val="center"/>
          </w:tcPr>
          <w:p w14:paraId="662E563B" w14:textId="77777777" w:rsidR="00AD5731" w:rsidRDefault="00AD5731" w:rsidP="00AD309C">
            <w:pPr>
              <w:pStyle w:val="ListParagraph"/>
              <w:numPr>
                <w:ilvl w:val="0"/>
                <w:numId w:val="249"/>
              </w:numPr>
            </w:pPr>
            <w:r>
              <w:t>Yes</w:t>
            </w:r>
          </w:p>
          <w:p w14:paraId="1AAEF0EC" w14:textId="77777777" w:rsidR="00AD5731" w:rsidRDefault="00AD5731" w:rsidP="00AD309C">
            <w:pPr>
              <w:pStyle w:val="ListParagraph"/>
              <w:numPr>
                <w:ilvl w:val="0"/>
                <w:numId w:val="249"/>
              </w:numPr>
            </w:pPr>
            <w:r>
              <w:t>No</w:t>
            </w:r>
          </w:p>
        </w:tc>
      </w:tr>
      <w:tr w:rsidR="00AD5731" w14:paraId="52794475" w14:textId="77777777" w:rsidTr="00C15F23">
        <w:tc>
          <w:tcPr>
            <w:tcW w:w="8338" w:type="dxa"/>
            <w:vAlign w:val="center"/>
          </w:tcPr>
          <w:p w14:paraId="78FD52F6" w14:textId="79988299" w:rsidR="00AD5731" w:rsidRPr="00C15F23" w:rsidRDefault="00AD5731" w:rsidP="00AD309C">
            <w:pPr>
              <w:pStyle w:val="ListParagraph"/>
              <w:numPr>
                <w:ilvl w:val="0"/>
                <w:numId w:val="276"/>
              </w:numPr>
            </w:pPr>
            <w:r w:rsidRPr="004E58E4">
              <w:t xml:space="preserve">compared results of the culture </w:t>
            </w:r>
            <w:r>
              <w:t xml:space="preserve">of safety </w:t>
            </w:r>
            <w:r w:rsidRPr="004E58E4">
              <w:t xml:space="preserve">surveys across </w:t>
            </w:r>
            <w:hyperlink w:anchor="SP2_1d" w:history="1">
              <w:r w:rsidRPr="004E58E4">
                <w:rPr>
                  <w:rStyle w:val="Hyperlink"/>
                </w:rPr>
                <w:t>roles and staff levels</w:t>
              </w:r>
            </w:hyperlink>
            <w:r w:rsidRPr="004E58E4">
              <w:t>.</w:t>
            </w:r>
          </w:p>
        </w:tc>
        <w:tc>
          <w:tcPr>
            <w:tcW w:w="1287" w:type="dxa"/>
            <w:vAlign w:val="center"/>
          </w:tcPr>
          <w:p w14:paraId="2964A0C1" w14:textId="77777777" w:rsidR="00AD5731" w:rsidRDefault="00AD5731" w:rsidP="00AD309C">
            <w:pPr>
              <w:pStyle w:val="ListParagraph"/>
              <w:numPr>
                <w:ilvl w:val="0"/>
                <w:numId w:val="249"/>
              </w:numPr>
            </w:pPr>
            <w:r>
              <w:t>Yes</w:t>
            </w:r>
          </w:p>
          <w:p w14:paraId="1477C97C" w14:textId="77777777" w:rsidR="00AD5731" w:rsidRDefault="00AD5731" w:rsidP="00AD309C">
            <w:pPr>
              <w:pStyle w:val="ListParagraph"/>
              <w:numPr>
                <w:ilvl w:val="0"/>
                <w:numId w:val="249"/>
              </w:numPr>
            </w:pPr>
            <w:r>
              <w:t>No</w:t>
            </w:r>
          </w:p>
        </w:tc>
      </w:tr>
      <w:tr w:rsidR="00AD5731" w14:paraId="2547B786" w14:textId="77777777" w:rsidTr="00C15F23">
        <w:tc>
          <w:tcPr>
            <w:tcW w:w="8338" w:type="dxa"/>
            <w:vAlign w:val="center"/>
          </w:tcPr>
          <w:p w14:paraId="11440F01" w14:textId="662E12FA" w:rsidR="00AD5731" w:rsidRDefault="00AD5731" w:rsidP="00AD309C">
            <w:pPr>
              <w:pStyle w:val="ListParagraph"/>
              <w:numPr>
                <w:ilvl w:val="0"/>
                <w:numId w:val="276"/>
              </w:numPr>
            </w:pPr>
            <w:hyperlink w:anchor="ForthepurposesofreportingonSection6" w:history="1">
              <w:r>
                <w:rPr>
                  <w:rStyle w:val="Hyperlink"/>
                </w:rPr>
                <w:t>service line, midlevel managers, or senior administrative leaders</w:t>
              </w:r>
            </w:hyperlink>
            <w:r>
              <w:t xml:space="preserve"> </w:t>
            </w:r>
            <w:r w:rsidRPr="004E58E4">
              <w:t>used the results of the culture</w:t>
            </w:r>
            <w:r>
              <w:t xml:space="preserve"> of safety</w:t>
            </w:r>
            <w:r w:rsidRPr="004E58E4">
              <w:t xml:space="preserve"> survey to </w:t>
            </w:r>
            <w:hyperlink w:anchor="SP2_1e_vs_2_4b" w:history="1">
              <w:r w:rsidRPr="004E58E4">
                <w:rPr>
                  <w:rStyle w:val="Hyperlink"/>
                </w:rPr>
                <w:t>debrief</w:t>
              </w:r>
            </w:hyperlink>
            <w:r w:rsidRPr="004E58E4">
              <w:t xml:space="preserve"> at the relevant unit level, using semi-structured approaches for the debriefings and presenting results in aggregate form to ensure the anonymity of survey respondents.</w:t>
            </w:r>
          </w:p>
        </w:tc>
        <w:tc>
          <w:tcPr>
            <w:tcW w:w="1287" w:type="dxa"/>
            <w:vAlign w:val="center"/>
          </w:tcPr>
          <w:p w14:paraId="7B004C50" w14:textId="77777777" w:rsidR="00AD5731" w:rsidRDefault="00AD5731" w:rsidP="00AD309C">
            <w:pPr>
              <w:pStyle w:val="ListParagraph"/>
              <w:numPr>
                <w:ilvl w:val="0"/>
                <w:numId w:val="249"/>
              </w:numPr>
            </w:pPr>
            <w:r>
              <w:t>Yes</w:t>
            </w:r>
          </w:p>
          <w:p w14:paraId="557C86AE" w14:textId="77777777" w:rsidR="00AD5731" w:rsidRDefault="00AD5731" w:rsidP="00AD309C">
            <w:pPr>
              <w:pStyle w:val="ListParagraph"/>
              <w:numPr>
                <w:ilvl w:val="0"/>
                <w:numId w:val="249"/>
              </w:numPr>
            </w:pPr>
            <w:r>
              <w:t>No</w:t>
            </w:r>
          </w:p>
        </w:tc>
      </w:tr>
    </w:tbl>
    <w:p w14:paraId="7336A4AE" w14:textId="77777777" w:rsidR="00AD5731" w:rsidRDefault="00AD5731" w:rsidP="00563CD7">
      <w:pPr>
        <w:rPr>
          <w:b/>
          <w:bCs/>
          <w:i/>
        </w:rPr>
      </w:pPr>
    </w:p>
    <w:p w14:paraId="1E66FA36" w14:textId="05E6CF03" w:rsidR="00AD5731" w:rsidRDefault="00AD5731" w:rsidP="00AB5B80">
      <w:pPr>
        <w:pStyle w:val="Heading3"/>
      </w:pPr>
      <w:bookmarkStart w:id="468" w:name="_Toc225877778"/>
      <w:r>
        <w:t>Accountability</w:t>
      </w:r>
      <w:bookmarkEnd w:id="468"/>
      <w:r>
        <w:t xml:space="preserve"> </w:t>
      </w:r>
    </w:p>
    <w:p w14:paraId="4EA96A9D" w14:textId="77777777" w:rsidR="00AD5731" w:rsidRDefault="00AD5731" w:rsidP="00563CD7">
      <w:pPr>
        <w:rPr>
          <w:b/>
          <w:bCs/>
          <w:i/>
        </w:rPr>
      </w:pPr>
    </w:p>
    <w:tbl>
      <w:tblPr>
        <w:tblW w:w="96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85"/>
        <w:gridCol w:w="1645"/>
      </w:tblGrid>
      <w:tr w:rsidR="00AD5731" w14:paraId="5333F0DC" w14:textId="77777777" w:rsidTr="00EC4DCE">
        <w:trPr>
          <w:cantSplit/>
        </w:trPr>
        <w:tc>
          <w:tcPr>
            <w:tcW w:w="9630" w:type="dxa"/>
            <w:gridSpan w:val="2"/>
            <w:tcBorders>
              <w:bottom w:val="nil"/>
            </w:tcBorders>
          </w:tcPr>
          <w:p w14:paraId="6452AFED" w14:textId="13118D55" w:rsidR="00AD5731" w:rsidRPr="00AD5731" w:rsidRDefault="00AD5731" w:rsidP="00AD309C">
            <w:pPr>
              <w:pStyle w:val="ListParagraph"/>
              <w:numPr>
                <w:ilvl w:val="1"/>
                <w:numId w:val="275"/>
              </w:numPr>
              <w:rPr>
                <w:b/>
              </w:rPr>
            </w:pPr>
            <w:r>
              <w:rPr>
                <w:b/>
              </w:rPr>
              <w:t>Within the last 24 months, i</w:t>
            </w:r>
            <w:r w:rsidRPr="006E5009">
              <w:rPr>
                <w:b/>
              </w:rPr>
              <w:t xml:space="preserve">n regard to accountability for improvements in </w:t>
            </w:r>
            <w:r w:rsidRPr="007E31B4">
              <w:rPr>
                <w:b/>
              </w:rPr>
              <w:t>culture measurement,</w:t>
            </w:r>
            <w:r w:rsidRPr="006E5009">
              <w:rPr>
                <w:b/>
              </w:rPr>
              <w:t xml:space="preserve"> our organization has done the following</w:t>
            </w:r>
            <w:r>
              <w:rPr>
                <w:b/>
              </w:rPr>
              <w:t>:</w:t>
            </w:r>
          </w:p>
        </w:tc>
      </w:tr>
      <w:tr w:rsidR="00AD5731" w14:paraId="030BBB45" w14:textId="77777777" w:rsidTr="00AD5731">
        <w:trPr>
          <w:cantSplit/>
        </w:trPr>
        <w:tc>
          <w:tcPr>
            <w:tcW w:w="7985" w:type="dxa"/>
          </w:tcPr>
          <w:p w14:paraId="0AAC18FE" w14:textId="31738A55" w:rsidR="00AD5731" w:rsidRPr="00AD5731" w:rsidRDefault="00AD5731" w:rsidP="00AD309C">
            <w:pPr>
              <w:pStyle w:val="ListParagraph"/>
              <w:numPr>
                <w:ilvl w:val="0"/>
                <w:numId w:val="277"/>
              </w:numPr>
            </w:pPr>
            <w:r w:rsidRPr="004E58E4">
              <w:t xml:space="preserve">shared the results of the culture </w:t>
            </w:r>
            <w:r>
              <w:t>of safety</w:t>
            </w:r>
            <w:r w:rsidRPr="004E58E4">
              <w:t xml:space="preserve"> survey with the </w:t>
            </w:r>
            <w:hyperlink w:anchor="Board" w:history="1">
              <w:r w:rsidRPr="004E58E4">
                <w:rPr>
                  <w:rStyle w:val="Hyperlink"/>
                </w:rPr>
                <w:t>board</w:t>
              </w:r>
            </w:hyperlink>
            <w:r w:rsidRPr="004E58E4">
              <w:t xml:space="preserve"> (governance) and </w:t>
            </w:r>
            <w:hyperlink w:anchor="SeniorAdministrativeLeadership" w:history="1">
              <w:r w:rsidRPr="004E58E4">
                <w:rPr>
                  <w:rStyle w:val="Hyperlink"/>
                </w:rPr>
                <w:t>senior administrative leadership</w:t>
              </w:r>
            </w:hyperlink>
            <w:r w:rsidRPr="004E58E4">
              <w:t xml:space="preserve"> in a formal report and discussion. (p.88)</w:t>
            </w:r>
          </w:p>
        </w:tc>
        <w:tc>
          <w:tcPr>
            <w:tcW w:w="1645" w:type="dxa"/>
            <w:vAlign w:val="center"/>
          </w:tcPr>
          <w:p w14:paraId="07477F6D" w14:textId="77777777" w:rsidR="00AD5731" w:rsidRDefault="00AD5731" w:rsidP="00AD309C">
            <w:pPr>
              <w:pStyle w:val="ListParagraph"/>
              <w:numPr>
                <w:ilvl w:val="0"/>
                <w:numId w:val="254"/>
              </w:numPr>
            </w:pPr>
            <w:r>
              <w:t>Yes</w:t>
            </w:r>
          </w:p>
          <w:p w14:paraId="5CF02015" w14:textId="77777777" w:rsidR="00AD5731" w:rsidRPr="000B7447" w:rsidRDefault="00AD5731" w:rsidP="00AD309C">
            <w:pPr>
              <w:pStyle w:val="ListParagraph"/>
              <w:numPr>
                <w:ilvl w:val="0"/>
                <w:numId w:val="254"/>
              </w:numPr>
              <w:rPr>
                <w:b/>
              </w:rPr>
            </w:pPr>
            <w:r>
              <w:t>No</w:t>
            </w:r>
          </w:p>
        </w:tc>
      </w:tr>
      <w:tr w:rsidR="00AD5731" w14:paraId="5E52917B" w14:textId="77777777" w:rsidTr="00AD5731">
        <w:trPr>
          <w:cantSplit/>
        </w:trPr>
        <w:tc>
          <w:tcPr>
            <w:tcW w:w="7985" w:type="dxa"/>
            <w:tcBorders>
              <w:bottom w:val="single" w:sz="4" w:space="0" w:color="auto"/>
            </w:tcBorders>
          </w:tcPr>
          <w:p w14:paraId="158BD679" w14:textId="0149FD38" w:rsidR="00AD5731" w:rsidRPr="004E58E4" w:rsidRDefault="00AD5731" w:rsidP="00AD309C">
            <w:pPr>
              <w:pStyle w:val="ListParagraph"/>
              <w:numPr>
                <w:ilvl w:val="0"/>
                <w:numId w:val="277"/>
              </w:numPr>
            </w:pPr>
            <w:r w:rsidRPr="004E58E4">
              <w:t xml:space="preserve">included in </w:t>
            </w:r>
            <w:hyperlink w:anchor="SP2_2c" w:history="1">
              <w:r w:rsidRPr="004E58E4">
                <w:rPr>
                  <w:rStyle w:val="Hyperlink"/>
                </w:rPr>
                <w:t>performance evaluation criteria</w:t>
              </w:r>
            </w:hyperlink>
            <w:r w:rsidRPr="004E58E4">
              <w:t xml:space="preserve"> for </w:t>
            </w:r>
            <w:hyperlink w:anchor="SeniorAdministrativeLeadership" w:history="1">
              <w:r w:rsidRPr="004E58E4">
                <w:rPr>
                  <w:rStyle w:val="Hyperlink"/>
                </w:rPr>
                <w:t>senior administrative leadership</w:t>
              </w:r>
            </w:hyperlink>
            <w:r w:rsidRPr="004E58E4">
              <w:t xml:space="preserve"> both the response rates to the </w:t>
            </w:r>
            <w:r>
              <w:t xml:space="preserve">culture of safety </w:t>
            </w:r>
            <w:r w:rsidRPr="004E58E4">
              <w:t xml:space="preserve">survey and the use of the </w:t>
            </w:r>
            <w:r>
              <w:t xml:space="preserve">culture of safety </w:t>
            </w:r>
            <w:r w:rsidRPr="004E58E4">
              <w:t>survey results in the improvement efforts.</w:t>
            </w:r>
          </w:p>
        </w:tc>
        <w:tc>
          <w:tcPr>
            <w:tcW w:w="1645" w:type="dxa"/>
            <w:tcBorders>
              <w:bottom w:val="single" w:sz="4" w:space="0" w:color="auto"/>
            </w:tcBorders>
            <w:vAlign w:val="center"/>
          </w:tcPr>
          <w:p w14:paraId="5C2A77DE" w14:textId="77777777" w:rsidR="00AD5731" w:rsidRDefault="00AD5731" w:rsidP="00AD309C">
            <w:pPr>
              <w:pStyle w:val="ListParagraph"/>
              <w:numPr>
                <w:ilvl w:val="0"/>
                <w:numId w:val="254"/>
              </w:numPr>
            </w:pPr>
            <w:r>
              <w:t>Yes</w:t>
            </w:r>
          </w:p>
          <w:p w14:paraId="30AFAB7C" w14:textId="64457668" w:rsidR="00AD5731" w:rsidRDefault="00AD5731" w:rsidP="00AD309C">
            <w:pPr>
              <w:pStyle w:val="ListParagraph"/>
              <w:numPr>
                <w:ilvl w:val="0"/>
                <w:numId w:val="254"/>
              </w:numPr>
            </w:pPr>
            <w:r>
              <w:t>No</w:t>
            </w:r>
          </w:p>
        </w:tc>
      </w:tr>
    </w:tbl>
    <w:p w14:paraId="751F00B2" w14:textId="77777777" w:rsidR="00AD5731" w:rsidRDefault="00AD5731" w:rsidP="00AD5731"/>
    <w:p w14:paraId="252A39C3" w14:textId="77777777" w:rsidR="00AD5731" w:rsidRDefault="00AD5731" w:rsidP="00AD5731"/>
    <w:p w14:paraId="4ECBB20C" w14:textId="77777777" w:rsidR="00AD5731" w:rsidRDefault="00AD5731" w:rsidP="00563CD7">
      <w:pPr>
        <w:rPr>
          <w:b/>
          <w:bCs/>
          <w:i/>
        </w:rPr>
      </w:pPr>
    </w:p>
    <w:p w14:paraId="0F20E87F" w14:textId="19986DDF" w:rsidR="00AD5731" w:rsidRDefault="00AD5731" w:rsidP="00AB5B80">
      <w:pPr>
        <w:pStyle w:val="Heading3"/>
      </w:pPr>
      <w:bookmarkStart w:id="469" w:name="_Toc225877779"/>
      <w:r>
        <w:t>Ability</w:t>
      </w:r>
      <w:bookmarkEnd w:id="469"/>
      <w:r>
        <w:t xml:space="preserve"> </w:t>
      </w:r>
    </w:p>
    <w:p w14:paraId="3D63EB14" w14:textId="77777777" w:rsidR="00AD5731" w:rsidRDefault="00AD5731" w:rsidP="00563CD7">
      <w:pPr>
        <w:rPr>
          <w:b/>
          <w:bCs/>
          <w:i/>
        </w:rPr>
      </w:pPr>
    </w:p>
    <w:tbl>
      <w:tblPr>
        <w:tblW w:w="96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85"/>
        <w:gridCol w:w="1645"/>
      </w:tblGrid>
      <w:tr w:rsidR="00AD5731" w14:paraId="16852619" w14:textId="77777777" w:rsidTr="00EC4DCE">
        <w:trPr>
          <w:cantSplit/>
        </w:trPr>
        <w:tc>
          <w:tcPr>
            <w:tcW w:w="9630" w:type="dxa"/>
            <w:gridSpan w:val="2"/>
            <w:tcBorders>
              <w:bottom w:val="nil"/>
            </w:tcBorders>
          </w:tcPr>
          <w:p w14:paraId="3EE29BF0" w14:textId="69F59111" w:rsidR="00AD5731" w:rsidRPr="00AD5731" w:rsidRDefault="00AD5731" w:rsidP="00AD309C">
            <w:pPr>
              <w:pStyle w:val="ListParagraph"/>
              <w:numPr>
                <w:ilvl w:val="1"/>
                <w:numId w:val="275"/>
              </w:numPr>
              <w:rPr>
                <w:b/>
              </w:rPr>
            </w:pPr>
            <w:r>
              <w:rPr>
                <w:b/>
              </w:rPr>
              <w:t xml:space="preserve">Within the last 12 months, in regard to </w:t>
            </w:r>
            <w:r w:rsidRPr="007E31B4">
              <w:rPr>
                <w:b/>
              </w:rPr>
              <w:t>culture measurement,</w:t>
            </w:r>
            <w:r>
              <w:rPr>
                <w:b/>
              </w:rPr>
              <w:t xml:space="preserve"> the organization has done the following (or has had the following in place):</w:t>
            </w:r>
          </w:p>
        </w:tc>
      </w:tr>
      <w:tr w:rsidR="00AD5731" w14:paraId="582A6A4D" w14:textId="77777777" w:rsidTr="00EC4DCE">
        <w:trPr>
          <w:cantSplit/>
        </w:trPr>
        <w:tc>
          <w:tcPr>
            <w:tcW w:w="7985" w:type="dxa"/>
          </w:tcPr>
          <w:p w14:paraId="0D1353BE" w14:textId="2CEC8502" w:rsidR="00AD5731" w:rsidRPr="00AD5731" w:rsidRDefault="00AD5731" w:rsidP="00AD309C">
            <w:pPr>
              <w:pStyle w:val="ListParagraph"/>
              <w:numPr>
                <w:ilvl w:val="0"/>
                <w:numId w:val="278"/>
              </w:numPr>
            </w:pPr>
            <w:r w:rsidRPr="004E58E4">
              <w:t xml:space="preserve">conducted staff </w:t>
            </w:r>
            <w:hyperlink w:anchor="SP2_3a" w:history="1">
              <w:r w:rsidRPr="004E58E4">
                <w:rPr>
                  <w:rStyle w:val="Hyperlink"/>
                </w:rPr>
                <w:t>education program</w:t>
              </w:r>
            </w:hyperlink>
            <w:r w:rsidRPr="004E58E4">
              <w:t>(s) on methods to improve the culture of safety, tailored to the organization’s</w:t>
            </w:r>
            <w:r>
              <w:t xml:space="preserve"> culture of safety</w:t>
            </w:r>
            <w:r w:rsidRPr="004E58E4">
              <w:t xml:space="preserve"> survey results.</w:t>
            </w:r>
          </w:p>
        </w:tc>
        <w:tc>
          <w:tcPr>
            <w:tcW w:w="1645" w:type="dxa"/>
            <w:vAlign w:val="center"/>
          </w:tcPr>
          <w:p w14:paraId="39805E84" w14:textId="77777777" w:rsidR="00AD5731" w:rsidRDefault="00AD5731" w:rsidP="00AD309C">
            <w:pPr>
              <w:pStyle w:val="ListParagraph"/>
              <w:numPr>
                <w:ilvl w:val="0"/>
                <w:numId w:val="254"/>
              </w:numPr>
            </w:pPr>
            <w:r>
              <w:t>Yes</w:t>
            </w:r>
          </w:p>
          <w:p w14:paraId="0CB6B42A" w14:textId="77777777" w:rsidR="00AD5731" w:rsidRPr="000B7447" w:rsidRDefault="00AD5731" w:rsidP="00AD309C">
            <w:pPr>
              <w:pStyle w:val="ListParagraph"/>
              <w:numPr>
                <w:ilvl w:val="0"/>
                <w:numId w:val="254"/>
              </w:numPr>
              <w:rPr>
                <w:b/>
              </w:rPr>
            </w:pPr>
            <w:r>
              <w:t>No</w:t>
            </w:r>
          </w:p>
        </w:tc>
      </w:tr>
      <w:tr w:rsidR="00AD5731" w14:paraId="1BA34632" w14:textId="77777777" w:rsidTr="00EC4DCE">
        <w:trPr>
          <w:cantSplit/>
        </w:trPr>
        <w:tc>
          <w:tcPr>
            <w:tcW w:w="7985" w:type="dxa"/>
            <w:tcBorders>
              <w:bottom w:val="single" w:sz="4" w:space="0" w:color="auto"/>
            </w:tcBorders>
          </w:tcPr>
          <w:p w14:paraId="6E3CEAE8" w14:textId="21520F16" w:rsidR="00AD5731" w:rsidRPr="004E58E4" w:rsidRDefault="00AD5731" w:rsidP="00AD309C">
            <w:pPr>
              <w:pStyle w:val="ListParagraph"/>
              <w:numPr>
                <w:ilvl w:val="0"/>
                <w:numId w:val="278"/>
              </w:numPr>
            </w:pPr>
            <w:r w:rsidRPr="00E725B5">
              <w:t xml:space="preserve">included the costs of culture measurement/follow-up activities in the patient safety program </w:t>
            </w:r>
            <w:hyperlink w:anchor="Budget" w:history="1">
              <w:r w:rsidRPr="00E725B5">
                <w:rPr>
                  <w:rStyle w:val="Hyperlink"/>
                </w:rPr>
                <w:t>budget</w:t>
              </w:r>
            </w:hyperlink>
            <w:r w:rsidRPr="00E725B5">
              <w:t>.</w:t>
            </w:r>
          </w:p>
        </w:tc>
        <w:tc>
          <w:tcPr>
            <w:tcW w:w="1645" w:type="dxa"/>
            <w:tcBorders>
              <w:bottom w:val="single" w:sz="4" w:space="0" w:color="auto"/>
            </w:tcBorders>
            <w:vAlign w:val="center"/>
          </w:tcPr>
          <w:p w14:paraId="320CA571" w14:textId="77777777" w:rsidR="00AD5731" w:rsidRDefault="00AD5731" w:rsidP="00AD309C">
            <w:pPr>
              <w:pStyle w:val="ListParagraph"/>
              <w:numPr>
                <w:ilvl w:val="0"/>
                <w:numId w:val="254"/>
              </w:numPr>
            </w:pPr>
            <w:r>
              <w:t>Yes</w:t>
            </w:r>
          </w:p>
          <w:p w14:paraId="2A33ADE7" w14:textId="77777777" w:rsidR="00AD5731" w:rsidRDefault="00AD5731" w:rsidP="00AD309C">
            <w:pPr>
              <w:pStyle w:val="ListParagraph"/>
              <w:numPr>
                <w:ilvl w:val="0"/>
                <w:numId w:val="254"/>
              </w:numPr>
            </w:pPr>
            <w:r>
              <w:t>No</w:t>
            </w:r>
          </w:p>
        </w:tc>
      </w:tr>
    </w:tbl>
    <w:p w14:paraId="480B1044" w14:textId="77777777" w:rsidR="00AD5731" w:rsidRDefault="00AD5731" w:rsidP="00563CD7">
      <w:pPr>
        <w:rPr>
          <w:b/>
          <w:bCs/>
          <w:i/>
        </w:rPr>
      </w:pPr>
    </w:p>
    <w:p w14:paraId="2B988017" w14:textId="35BEEA1D" w:rsidR="00AD5731" w:rsidRDefault="00AD5731" w:rsidP="00AB5B80">
      <w:pPr>
        <w:pStyle w:val="Heading3"/>
      </w:pPr>
      <w:bookmarkStart w:id="470" w:name="_Action"/>
      <w:bookmarkStart w:id="471" w:name="_Toc225877780"/>
      <w:bookmarkEnd w:id="470"/>
      <w:r>
        <w:t>Action</w:t>
      </w:r>
      <w:bookmarkEnd w:id="471"/>
    </w:p>
    <w:p w14:paraId="3E0FA80F" w14:textId="77777777" w:rsidR="00AD5731" w:rsidRDefault="00AD5731" w:rsidP="00563CD7">
      <w:pPr>
        <w:rPr>
          <w:b/>
          <w:bCs/>
          <w:i/>
        </w:rPr>
      </w:pPr>
    </w:p>
    <w:tbl>
      <w:tblPr>
        <w:tblW w:w="96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85"/>
        <w:gridCol w:w="1645"/>
      </w:tblGrid>
      <w:tr w:rsidR="00AD5731" w14:paraId="1F366E89" w14:textId="77777777" w:rsidTr="00EC4DCE">
        <w:trPr>
          <w:cantSplit/>
        </w:trPr>
        <w:tc>
          <w:tcPr>
            <w:tcW w:w="9630" w:type="dxa"/>
            <w:gridSpan w:val="2"/>
            <w:tcBorders>
              <w:bottom w:val="nil"/>
            </w:tcBorders>
          </w:tcPr>
          <w:p w14:paraId="469D64F2" w14:textId="29ED1724" w:rsidR="00AD5731" w:rsidRPr="00AD5731" w:rsidRDefault="00AD5731" w:rsidP="00AD309C">
            <w:pPr>
              <w:pStyle w:val="ListParagraph"/>
              <w:numPr>
                <w:ilvl w:val="1"/>
                <w:numId w:val="275"/>
              </w:numPr>
              <w:rPr>
                <w:b/>
              </w:rPr>
            </w:pPr>
            <w:r w:rsidRPr="00AD5731">
              <w:rPr>
                <w:b/>
              </w:rPr>
              <w:t xml:space="preserve">Within the </w:t>
            </w:r>
            <w:r w:rsidRPr="00DA16D9">
              <w:rPr>
                <w:b/>
              </w:rPr>
              <w:t xml:space="preserve">last </w:t>
            </w:r>
            <w:r w:rsidR="005852C4" w:rsidRPr="001C4783">
              <w:rPr>
                <w:b/>
              </w:rPr>
              <w:t>12</w:t>
            </w:r>
            <w:r w:rsidRPr="001C4783">
              <w:rPr>
                <w:b/>
              </w:rPr>
              <w:t xml:space="preserve"> months</w:t>
            </w:r>
            <w:r w:rsidRPr="00DA16D9">
              <w:rPr>
                <w:b/>
              </w:rPr>
              <w:t>, in</w:t>
            </w:r>
            <w:r w:rsidRPr="00AD5731">
              <w:rPr>
                <w:b/>
              </w:rPr>
              <w:t xml:space="preserve"> regard to accountability for improvements in culture measurement, our organization has done the following:</w:t>
            </w:r>
          </w:p>
        </w:tc>
      </w:tr>
      <w:tr w:rsidR="00AD5731" w14:paraId="1727A766" w14:textId="77777777" w:rsidTr="00EC4DCE">
        <w:trPr>
          <w:cantSplit/>
        </w:trPr>
        <w:tc>
          <w:tcPr>
            <w:tcW w:w="7985" w:type="dxa"/>
          </w:tcPr>
          <w:p w14:paraId="063B305A" w14:textId="4251402C" w:rsidR="00AD5731" w:rsidRPr="00AD5731" w:rsidRDefault="00AD5731" w:rsidP="00AD309C">
            <w:pPr>
              <w:pStyle w:val="ListParagraph"/>
              <w:numPr>
                <w:ilvl w:val="0"/>
                <w:numId w:val="279"/>
              </w:numPr>
            </w:pPr>
            <w:r>
              <w:t xml:space="preserve">developed or implemented explicit, hospital-wide organizational policies and procedures for regular culture </w:t>
            </w:r>
            <w:r w:rsidRPr="007E31B4">
              <w:t>measurement.</w:t>
            </w:r>
            <w:r>
              <w:t xml:space="preserve"> (p.88)</w:t>
            </w:r>
          </w:p>
        </w:tc>
        <w:tc>
          <w:tcPr>
            <w:tcW w:w="1645" w:type="dxa"/>
            <w:vAlign w:val="center"/>
          </w:tcPr>
          <w:p w14:paraId="27BA911D" w14:textId="77777777" w:rsidR="00AD5731" w:rsidRDefault="00AD5731" w:rsidP="00AD309C">
            <w:pPr>
              <w:pStyle w:val="ListParagraph"/>
              <w:numPr>
                <w:ilvl w:val="0"/>
                <w:numId w:val="254"/>
              </w:numPr>
            </w:pPr>
            <w:r>
              <w:t>Yes</w:t>
            </w:r>
          </w:p>
          <w:p w14:paraId="3B5DC3A7" w14:textId="77777777" w:rsidR="00AD5731" w:rsidRPr="000B7447" w:rsidRDefault="00AD5731" w:rsidP="00AD309C">
            <w:pPr>
              <w:pStyle w:val="ListParagraph"/>
              <w:numPr>
                <w:ilvl w:val="0"/>
                <w:numId w:val="254"/>
              </w:numPr>
              <w:rPr>
                <w:b/>
              </w:rPr>
            </w:pPr>
            <w:r>
              <w:t>No</w:t>
            </w:r>
          </w:p>
        </w:tc>
      </w:tr>
      <w:tr w:rsidR="00AD5731" w14:paraId="52C18D7F" w14:textId="77777777" w:rsidTr="00AD5731">
        <w:trPr>
          <w:cantSplit/>
        </w:trPr>
        <w:tc>
          <w:tcPr>
            <w:tcW w:w="7985" w:type="dxa"/>
          </w:tcPr>
          <w:p w14:paraId="674DC3B4" w14:textId="3385E177" w:rsidR="00AD5731" w:rsidRPr="004E58E4" w:rsidRDefault="00AD5731" w:rsidP="00AD309C">
            <w:pPr>
              <w:pStyle w:val="ListParagraph"/>
              <w:numPr>
                <w:ilvl w:val="0"/>
                <w:numId w:val="279"/>
              </w:numPr>
            </w:pPr>
            <w:hyperlink w:anchor="SP2_1e_vs_2_4b" w:history="1">
              <w:r w:rsidRPr="004E58E4">
                <w:rPr>
                  <w:rStyle w:val="Hyperlink"/>
                </w:rPr>
                <w:t>disseminated</w:t>
              </w:r>
            </w:hyperlink>
            <w:r w:rsidRPr="004E58E4">
              <w:t xml:space="preserve"> the results of the </w:t>
            </w:r>
            <w:r>
              <w:t xml:space="preserve">culture of safety </w:t>
            </w:r>
            <w:r w:rsidRPr="004E58E4">
              <w:t xml:space="preserve">survey widely across the institution, and </w:t>
            </w:r>
            <w:hyperlink w:anchor="SeniorAdministrativeLeadership" w:history="1">
              <w:r w:rsidRPr="004E58E4">
                <w:rPr>
                  <w:rStyle w:val="Hyperlink"/>
                </w:rPr>
                <w:t>senior administrative leadership</w:t>
              </w:r>
            </w:hyperlink>
            <w:r w:rsidRPr="004E58E4">
              <w:t xml:space="preserve"> held follow-up meetings with the sampled units to discuss the unit’s results and concerns.</w:t>
            </w:r>
            <w:r w:rsidRPr="004E58E4" w:rsidDel="006B32BE">
              <w:t xml:space="preserve"> </w:t>
            </w:r>
            <w:r w:rsidRPr="004E58E4">
              <w:t>(p.88)</w:t>
            </w:r>
          </w:p>
        </w:tc>
        <w:tc>
          <w:tcPr>
            <w:tcW w:w="1645" w:type="dxa"/>
            <w:vAlign w:val="center"/>
          </w:tcPr>
          <w:p w14:paraId="2D59AD74" w14:textId="77777777" w:rsidR="00AD5731" w:rsidRDefault="00AD5731" w:rsidP="00AD309C">
            <w:pPr>
              <w:pStyle w:val="ListParagraph"/>
              <w:numPr>
                <w:ilvl w:val="0"/>
                <w:numId w:val="254"/>
              </w:numPr>
            </w:pPr>
            <w:r>
              <w:t>Yes</w:t>
            </w:r>
          </w:p>
          <w:p w14:paraId="6460058B" w14:textId="77777777" w:rsidR="00AD5731" w:rsidRDefault="00AD5731" w:rsidP="00AD309C">
            <w:pPr>
              <w:pStyle w:val="ListParagraph"/>
              <w:numPr>
                <w:ilvl w:val="0"/>
                <w:numId w:val="254"/>
              </w:numPr>
            </w:pPr>
            <w:r>
              <w:t>No</w:t>
            </w:r>
          </w:p>
        </w:tc>
      </w:tr>
      <w:tr w:rsidR="00AD5731" w14:paraId="6C26F80A" w14:textId="77777777" w:rsidTr="00EC4DCE">
        <w:trPr>
          <w:cantSplit/>
        </w:trPr>
        <w:tc>
          <w:tcPr>
            <w:tcW w:w="7985" w:type="dxa"/>
            <w:tcBorders>
              <w:bottom w:val="single" w:sz="4" w:space="0" w:color="auto"/>
            </w:tcBorders>
          </w:tcPr>
          <w:p w14:paraId="1A101C52" w14:textId="7DFCCD97" w:rsidR="00AD5731" w:rsidRPr="004E58E4" w:rsidRDefault="00AD5731" w:rsidP="00AD309C">
            <w:pPr>
              <w:pStyle w:val="ListParagraph"/>
              <w:numPr>
                <w:ilvl w:val="0"/>
                <w:numId w:val="279"/>
              </w:numPr>
            </w:pPr>
            <w:r w:rsidRPr="004E58E4">
              <w:t xml:space="preserve">identified performance improvement interventions based on the </w:t>
            </w:r>
            <w:r>
              <w:t xml:space="preserve">culture of safety </w:t>
            </w:r>
            <w:r w:rsidRPr="004E58E4">
              <w:t xml:space="preserve">survey results, which were shared with </w:t>
            </w:r>
            <w:hyperlink w:anchor="SeniorAdministrativeLeadership" w:history="1">
              <w:r w:rsidRPr="004E58E4">
                <w:rPr>
                  <w:rStyle w:val="Hyperlink"/>
                </w:rPr>
                <w:t>senior administrative leadership</w:t>
              </w:r>
            </w:hyperlink>
            <w:r w:rsidRPr="004E58E4">
              <w:t xml:space="preserve"> and subsequently measured and monitored. (p.88)</w:t>
            </w:r>
          </w:p>
        </w:tc>
        <w:tc>
          <w:tcPr>
            <w:tcW w:w="1645" w:type="dxa"/>
            <w:tcBorders>
              <w:bottom w:val="single" w:sz="4" w:space="0" w:color="auto"/>
            </w:tcBorders>
            <w:vAlign w:val="center"/>
          </w:tcPr>
          <w:p w14:paraId="540A815B" w14:textId="77777777" w:rsidR="00AD5731" w:rsidRDefault="00AD5731" w:rsidP="00AD309C">
            <w:pPr>
              <w:pStyle w:val="ListParagraph"/>
              <w:numPr>
                <w:ilvl w:val="0"/>
                <w:numId w:val="254"/>
              </w:numPr>
            </w:pPr>
            <w:r>
              <w:t>Yes</w:t>
            </w:r>
          </w:p>
          <w:p w14:paraId="771B44AF" w14:textId="32115B06" w:rsidR="00AD5731" w:rsidRDefault="00AD5731" w:rsidP="00AD309C">
            <w:pPr>
              <w:pStyle w:val="ListParagraph"/>
              <w:numPr>
                <w:ilvl w:val="0"/>
                <w:numId w:val="254"/>
              </w:numPr>
            </w:pPr>
            <w:r>
              <w:t>No</w:t>
            </w:r>
          </w:p>
        </w:tc>
      </w:tr>
    </w:tbl>
    <w:p w14:paraId="664AD241" w14:textId="77777777" w:rsidR="00563CD7" w:rsidRPr="004400AA" w:rsidRDefault="00563CD7" w:rsidP="00563CD7">
      <w:pPr>
        <w:rPr>
          <w:b/>
          <w:i/>
        </w:rPr>
      </w:pPr>
    </w:p>
    <w:p w14:paraId="495F97C2" w14:textId="77777777" w:rsidR="00563CD7" w:rsidRDefault="00563CD7" w:rsidP="0060455A"/>
    <w:p w14:paraId="734DD2A0" w14:textId="77777777" w:rsidR="00563CD7" w:rsidRDefault="00563CD7" w:rsidP="00563CD7">
      <w:pPr>
        <w:rPr>
          <w:b/>
          <w:i/>
          <w:sz w:val="24"/>
          <w:szCs w:val="24"/>
          <w:lang w:eastAsia="ja-JP"/>
        </w:rPr>
      </w:pPr>
      <w:r>
        <w:br w:type="page"/>
      </w:r>
    </w:p>
    <w:p w14:paraId="67DC4120" w14:textId="16B1ED71" w:rsidR="00D70E33" w:rsidRDefault="001C45DD" w:rsidP="00CF5A6E">
      <w:pPr>
        <w:pStyle w:val="Heading2"/>
      </w:pPr>
      <w:bookmarkStart w:id="472" w:name="_6C:_Nursing_Workforce"/>
      <w:bookmarkStart w:id="473" w:name="_Toc225877781"/>
      <w:bookmarkEnd w:id="472"/>
      <w:r>
        <w:t>6</w:t>
      </w:r>
      <w:r w:rsidR="00363DAE">
        <w:t>C</w:t>
      </w:r>
      <w:r>
        <w:t>: Hand Hygiene</w:t>
      </w:r>
      <w:bookmarkEnd w:id="473"/>
    </w:p>
    <w:p w14:paraId="07BB5E31" w14:textId="77777777" w:rsidR="00D70E33" w:rsidRDefault="00D70E33" w:rsidP="00D70E33">
      <w:pPr>
        <w:rPr>
          <w:b/>
          <w:bCs/>
          <w:color w:val="FF0000"/>
        </w:rPr>
      </w:pPr>
      <w:bookmarkStart w:id="474" w:name="_Hlk36205293"/>
    </w:p>
    <w:p w14:paraId="0D1DEC5F" w14:textId="6A3A456D" w:rsidR="00832DC8" w:rsidRDefault="00832DC8" w:rsidP="00D70E33">
      <w:pPr>
        <w:rPr>
          <w:b/>
          <w:bCs/>
          <w:color w:val="FF0000"/>
        </w:rPr>
      </w:pPr>
      <w:r w:rsidRPr="009A5185">
        <w:rPr>
          <w:rFonts w:cs="Arial"/>
          <w:snapToGrid w:val="0"/>
        </w:rPr>
        <w:t xml:space="preserve">Hospitals that share a </w:t>
      </w:r>
      <w:r>
        <w:rPr>
          <w:rFonts w:cs="Arial"/>
          <w:snapToGrid w:val="0"/>
        </w:rPr>
        <w:t>CMS Certification Number</w:t>
      </w:r>
      <w:r w:rsidRPr="009A5185">
        <w:rPr>
          <w:rFonts w:cs="Arial"/>
          <w:snapToGrid w:val="0"/>
        </w:rPr>
        <w:t xml:space="preserve"> are required to report by facility. Please carefully review </w:t>
      </w:r>
      <w:hyperlink r:id="rId353" w:history="1">
        <w:r w:rsidRPr="009A5185">
          <w:rPr>
            <w:rStyle w:val="Hyperlink"/>
            <w:rFonts w:cs="Arial"/>
          </w:rPr>
          <w:t>Leapfrog’s Multi-Campus Reporting Policy</w:t>
        </w:r>
      </w:hyperlink>
      <w:r w:rsidRPr="009A5185">
        <w:rPr>
          <w:rFonts w:cs="Arial"/>
          <w:snapToGrid w:val="0"/>
        </w:rPr>
        <w:t>.</w:t>
      </w:r>
    </w:p>
    <w:p w14:paraId="69C5AAE0" w14:textId="77777777" w:rsidR="00832DC8" w:rsidRDefault="00832DC8" w:rsidP="00D70E33">
      <w:pPr>
        <w:rPr>
          <w:b/>
          <w:bCs/>
          <w:color w:val="FF0000"/>
        </w:rPr>
      </w:pPr>
    </w:p>
    <w:p w14:paraId="3A19310D" w14:textId="5001A28C" w:rsidR="00D70E33" w:rsidRPr="00722F1B" w:rsidRDefault="00D70E33" w:rsidP="00D70E33">
      <w:pPr>
        <w:rPr>
          <w:b/>
          <w:bCs/>
          <w:color w:val="FF0000"/>
        </w:rPr>
      </w:pPr>
      <w:r w:rsidRPr="00722F1B">
        <w:rPr>
          <w:b/>
          <w:bCs/>
          <w:color w:val="FF0000"/>
        </w:rPr>
        <w:t>Important Notes:</w:t>
      </w:r>
    </w:p>
    <w:p w14:paraId="1320C261" w14:textId="77777777" w:rsidR="00940AE7" w:rsidRDefault="00940AE7" w:rsidP="00D70E33">
      <w:pPr>
        <w:rPr>
          <w:bCs/>
        </w:rPr>
      </w:pPr>
    </w:p>
    <w:p w14:paraId="123C544D" w14:textId="3620159B" w:rsidR="00B2468E" w:rsidRDefault="00940AE7" w:rsidP="00D70E33">
      <w:pPr>
        <w:rPr>
          <w:bCs/>
        </w:rPr>
      </w:pPr>
      <w:r>
        <w:rPr>
          <w:bCs/>
        </w:rPr>
        <w:t xml:space="preserve">Note </w:t>
      </w:r>
      <w:r w:rsidR="0003125F">
        <w:rPr>
          <w:bCs/>
        </w:rPr>
        <w:t>1</w:t>
      </w:r>
      <w:r>
        <w:rPr>
          <w:bCs/>
        </w:rPr>
        <w:t xml:space="preserve">: </w:t>
      </w:r>
      <w:r w:rsidR="00B2468E" w:rsidRPr="00B2468E">
        <w:rPr>
          <w:bCs/>
        </w:rPr>
        <w:t xml:space="preserve">Hyperlinks not followed by a superscript throughout this subsection refer to </w:t>
      </w:r>
      <w:r w:rsidR="0023417A">
        <w:rPr>
          <w:bCs/>
        </w:rPr>
        <w:t xml:space="preserve">the </w:t>
      </w:r>
      <w:hyperlink w:anchor="_Patient_Safety_Practices" w:history="1">
        <w:r w:rsidR="00E7380B">
          <w:rPr>
            <w:rStyle w:val="Hyperlink"/>
            <w:bCs/>
          </w:rPr>
          <w:t>Patient Safety Practices FAQs</w:t>
        </w:r>
      </w:hyperlink>
      <w:r w:rsidR="0023417A">
        <w:rPr>
          <w:bCs/>
        </w:rPr>
        <w:t xml:space="preserve"> </w:t>
      </w:r>
      <w:r w:rsidR="00BD32AD">
        <w:rPr>
          <w:rFonts w:cs="Arial"/>
        </w:rPr>
        <w:t>beginning on page</w:t>
      </w:r>
      <w:r w:rsidR="003172AF">
        <w:rPr>
          <w:rFonts w:cs="Arial"/>
        </w:rPr>
        <w:t xml:space="preserve"> </w:t>
      </w:r>
      <w:r w:rsidR="007B5BB0">
        <w:rPr>
          <w:rFonts w:cs="Arial"/>
        </w:rPr>
        <w:t>25</w:t>
      </w:r>
      <w:r w:rsidR="00B82F68">
        <w:rPr>
          <w:rFonts w:cs="Arial"/>
        </w:rPr>
        <w:t>0</w:t>
      </w:r>
      <w:r w:rsidR="00B2468E" w:rsidRPr="0023417A">
        <w:rPr>
          <w:bCs/>
        </w:rPr>
        <w:t>.</w:t>
      </w:r>
      <w:r w:rsidR="00B2468E" w:rsidRPr="00B2468E">
        <w:rPr>
          <w:bCs/>
        </w:rPr>
        <w:t xml:space="preserve"> These hyperlinks are not included in the </w:t>
      </w:r>
      <w:r w:rsidR="005B7CBC">
        <w:rPr>
          <w:bCs/>
        </w:rPr>
        <w:t>Online Survey Tool</w:t>
      </w:r>
      <w:r w:rsidR="005B7CBC" w:rsidRPr="004A60F9">
        <w:rPr>
          <w:bCs/>
        </w:rPr>
        <w:t>.</w:t>
      </w:r>
    </w:p>
    <w:p w14:paraId="2F7AC2CC" w14:textId="77777777" w:rsidR="00B2468E" w:rsidRDefault="00B2468E" w:rsidP="00D70E33">
      <w:pPr>
        <w:rPr>
          <w:bCs/>
        </w:rPr>
      </w:pPr>
    </w:p>
    <w:p w14:paraId="138FE820" w14:textId="09EFD39D" w:rsidR="00D70E33" w:rsidRDefault="00D70E33" w:rsidP="00D70E33">
      <w:pPr>
        <w:rPr>
          <w:rFonts w:cs="Arial"/>
        </w:rPr>
      </w:pPr>
      <w:r w:rsidRPr="00722F1B">
        <w:rPr>
          <w:bCs/>
        </w:rPr>
        <w:t xml:space="preserve">Note </w:t>
      </w:r>
      <w:r w:rsidR="0003125F">
        <w:rPr>
          <w:bCs/>
        </w:rPr>
        <w:t>2</w:t>
      </w:r>
      <w:r w:rsidRPr="00722F1B">
        <w:rPr>
          <w:bCs/>
        </w:rPr>
        <w:t xml:space="preserve">: </w:t>
      </w:r>
      <w:r>
        <w:rPr>
          <w:rFonts w:cs="Arial"/>
        </w:rPr>
        <w:t>The framework and questions</w:t>
      </w:r>
      <w:r w:rsidR="00C645E0">
        <w:rPr>
          <w:rFonts w:cs="Arial"/>
        </w:rPr>
        <w:t xml:space="preserve"> in </w:t>
      </w:r>
      <w:r w:rsidR="00B34039">
        <w:rPr>
          <w:rFonts w:cs="Arial"/>
        </w:rPr>
        <w:t>this subsection</w:t>
      </w:r>
      <w:r>
        <w:rPr>
          <w:rFonts w:cs="Arial"/>
        </w:rPr>
        <w:t xml:space="preserve"> are modeled after the World Health Organization’s </w:t>
      </w:r>
      <w:hyperlink r:id="rId354" w:history="1">
        <w:r w:rsidRPr="00402D7F">
          <w:rPr>
            <w:rStyle w:val="Hyperlink"/>
            <w:rFonts w:cs="Arial"/>
          </w:rPr>
          <w:t>Hand Hygiene Self-Assessment Framework</w:t>
        </w:r>
      </w:hyperlink>
      <w:r>
        <w:rPr>
          <w:rFonts w:cs="Arial"/>
        </w:rPr>
        <w:t>.</w:t>
      </w:r>
    </w:p>
    <w:p w14:paraId="12C8C934" w14:textId="77777777" w:rsidR="00D70E33" w:rsidRDefault="00D70E33" w:rsidP="00D70E33">
      <w:pPr>
        <w:rPr>
          <w:bCs/>
        </w:rPr>
      </w:pPr>
    </w:p>
    <w:p w14:paraId="3BDB7E7F" w14:textId="355853EF" w:rsidR="00C645E0" w:rsidRDefault="00B2468E" w:rsidP="00D70E33">
      <w:pPr>
        <w:rPr>
          <w:rFonts w:cs="Arial"/>
        </w:rPr>
      </w:pPr>
      <w:bookmarkStart w:id="475" w:name="HH_Note4"/>
      <w:bookmarkStart w:id="476" w:name="_Hlk43154054"/>
      <w:r>
        <w:rPr>
          <w:bCs/>
        </w:rPr>
        <w:t xml:space="preserve">Note </w:t>
      </w:r>
      <w:bookmarkEnd w:id="475"/>
      <w:r w:rsidR="0003125F">
        <w:rPr>
          <w:bCs/>
        </w:rPr>
        <w:t>3</w:t>
      </w:r>
      <w:r w:rsidR="00D70E33">
        <w:rPr>
          <w:bCs/>
        </w:rPr>
        <w:t xml:space="preserve">: </w:t>
      </w:r>
      <w:r w:rsidR="008F5721" w:rsidRPr="008F5721">
        <w:rPr>
          <w:bCs/>
        </w:rPr>
        <w:t xml:space="preserve">Hospital responses should reflect </w:t>
      </w:r>
      <w:hyperlink w:anchor="_Hand_Hygiene_Measure" w:history="1">
        <w:r w:rsidR="008F5721" w:rsidRPr="00016004">
          <w:rPr>
            <w:rStyle w:val="Hyperlink"/>
            <w:bCs/>
          </w:rPr>
          <w:t xml:space="preserve">patient care </w:t>
        </w:r>
        <w:r w:rsidR="00222553" w:rsidRPr="00016004">
          <w:rPr>
            <w:rStyle w:val="Hyperlink"/>
            <w:bCs/>
          </w:rPr>
          <w:t>units</w:t>
        </w:r>
      </w:hyperlink>
      <w:r w:rsidR="00222553" w:rsidRPr="008F5721">
        <w:rPr>
          <w:bCs/>
        </w:rPr>
        <w:t xml:space="preserve"> </w:t>
      </w:r>
      <w:r w:rsidR="00222553" w:rsidRPr="00222553">
        <w:rPr>
          <w:bCs/>
        </w:rPr>
        <w:t xml:space="preserve">only, including all </w:t>
      </w:r>
      <w:r w:rsidR="00703597">
        <w:rPr>
          <w:bCs/>
        </w:rPr>
        <w:t xml:space="preserve">adult and pediatric </w:t>
      </w:r>
      <w:r w:rsidR="00E13394">
        <w:rPr>
          <w:bCs/>
        </w:rPr>
        <w:t>medical</w:t>
      </w:r>
      <w:r w:rsidR="00866255">
        <w:rPr>
          <w:bCs/>
        </w:rPr>
        <w:t>,</w:t>
      </w:r>
      <w:r w:rsidR="00002804">
        <w:rPr>
          <w:bCs/>
        </w:rPr>
        <w:t xml:space="preserve"> </w:t>
      </w:r>
      <w:r w:rsidR="00E13394">
        <w:rPr>
          <w:bCs/>
        </w:rPr>
        <w:t>surgical</w:t>
      </w:r>
      <w:r w:rsidR="0075561F">
        <w:rPr>
          <w:bCs/>
        </w:rPr>
        <w:t>, and medical/surgical</w:t>
      </w:r>
      <w:r w:rsidR="00E13394">
        <w:rPr>
          <w:bCs/>
        </w:rPr>
        <w:t xml:space="preserve"> units (including telemetry</w:t>
      </w:r>
      <w:r w:rsidR="00745634">
        <w:rPr>
          <w:bCs/>
        </w:rPr>
        <w:t xml:space="preserve"> units</w:t>
      </w:r>
      <w:r w:rsidR="00E13394">
        <w:rPr>
          <w:bCs/>
        </w:rPr>
        <w:t>), step-down/progressive units, obstetrical units, intensive care units</w:t>
      </w:r>
      <w:r w:rsidR="00703597">
        <w:rPr>
          <w:bCs/>
        </w:rPr>
        <w:t xml:space="preserve"> (including neonatal units)</w:t>
      </w:r>
      <w:r w:rsidR="00E13394">
        <w:rPr>
          <w:bCs/>
        </w:rPr>
        <w:t>,</w:t>
      </w:r>
      <w:r w:rsidR="00E13394" w:rsidRPr="00222553" w:rsidDel="00E13394">
        <w:rPr>
          <w:bCs/>
        </w:rPr>
        <w:t xml:space="preserve"> </w:t>
      </w:r>
      <w:r w:rsidR="00222553" w:rsidRPr="00222553">
        <w:rPr>
          <w:bCs/>
        </w:rPr>
        <w:t>pre-operative</w:t>
      </w:r>
      <w:r w:rsidR="0035197E">
        <w:rPr>
          <w:bCs/>
        </w:rPr>
        <w:t xml:space="preserve"> </w:t>
      </w:r>
      <w:r w:rsidR="00222553" w:rsidRPr="00222553">
        <w:rPr>
          <w:bCs/>
        </w:rPr>
        <w:t>and post-</w:t>
      </w:r>
      <w:r w:rsidR="00251235">
        <w:rPr>
          <w:bCs/>
        </w:rPr>
        <w:t>anesthesia</w:t>
      </w:r>
      <w:r w:rsidR="00386EAA">
        <w:rPr>
          <w:bCs/>
        </w:rPr>
        <w:t xml:space="preserve"> care units,</w:t>
      </w:r>
      <w:r w:rsidR="00222553" w:rsidRPr="00222553">
        <w:rPr>
          <w:bCs/>
        </w:rPr>
        <w:t xml:space="preserve"> </w:t>
      </w:r>
      <w:r w:rsidR="00A73565">
        <w:rPr>
          <w:bCs/>
        </w:rPr>
        <w:t xml:space="preserve">observation units, </w:t>
      </w:r>
      <w:r w:rsidR="00222553" w:rsidRPr="00222553">
        <w:rPr>
          <w:bCs/>
        </w:rPr>
        <w:t xml:space="preserve">and </w:t>
      </w:r>
      <w:r w:rsidR="00F337B3">
        <w:rPr>
          <w:bCs/>
        </w:rPr>
        <w:t xml:space="preserve">dedicated </w:t>
      </w:r>
      <w:r w:rsidR="00222553" w:rsidRPr="00222553">
        <w:rPr>
          <w:bCs/>
        </w:rPr>
        <w:t>emergency department units</w:t>
      </w:r>
      <w:r w:rsidR="008F5721" w:rsidRPr="008F5721">
        <w:rPr>
          <w:bCs/>
        </w:rPr>
        <w:t>.</w:t>
      </w:r>
      <w:r w:rsidR="0088433D">
        <w:rPr>
          <w:bCs/>
        </w:rPr>
        <w:t xml:space="preserve"> </w:t>
      </w:r>
    </w:p>
    <w:p w14:paraId="12B5F64A" w14:textId="77777777" w:rsidR="00AC20C8" w:rsidRDefault="00AC20C8" w:rsidP="00AC20C8">
      <w:pPr>
        <w:rPr>
          <w:rFonts w:cs="Arial"/>
        </w:rPr>
      </w:pPr>
    </w:p>
    <w:p w14:paraId="60B1D157" w14:textId="0BB78F96" w:rsidR="00AC20C8" w:rsidRDefault="00AC20C8" w:rsidP="00AC20C8">
      <w:pPr>
        <w:rPr>
          <w:rFonts w:cs="Arial"/>
        </w:rPr>
      </w:pPr>
      <w:r>
        <w:rPr>
          <w:rFonts w:cs="Arial"/>
        </w:rPr>
        <w:t xml:space="preserve">Note 4: </w:t>
      </w:r>
      <w:r w:rsidR="00703597">
        <w:t>Only include units that were open for the entire reporting period</w:t>
      </w:r>
      <w:r>
        <w:t xml:space="preserve"> (i.e., most recent month or past three months based on responses selected in monitoring questions #8-10)</w:t>
      </w:r>
      <w:r w:rsidR="00703597">
        <w:t xml:space="preserve"> and that remain currently open</w:t>
      </w:r>
      <w:r>
        <w:t>.</w:t>
      </w:r>
    </w:p>
    <w:p w14:paraId="694BDC3B" w14:textId="77777777" w:rsidR="00AC20C8" w:rsidRDefault="00AC20C8" w:rsidP="00D70E33">
      <w:pPr>
        <w:rPr>
          <w:rFonts w:cs="Arial"/>
        </w:rPr>
      </w:pPr>
    </w:p>
    <w:p w14:paraId="1A053720" w14:textId="6F5BCB35" w:rsidR="004E7C04" w:rsidRDefault="00F16AC7" w:rsidP="00D70E33">
      <w:pPr>
        <w:rPr>
          <w:bCs/>
        </w:rPr>
      </w:pPr>
      <w:r>
        <w:rPr>
          <w:rFonts w:cs="Arial"/>
          <w:b/>
          <w:snapToGrid w:val="0"/>
        </w:rPr>
        <w:t>Specifications:</w:t>
      </w:r>
      <w:r>
        <w:rPr>
          <w:rFonts w:cs="Arial"/>
          <w:snapToGrid w:val="0"/>
        </w:rPr>
        <w:t xml:space="preserve"> See </w:t>
      </w:r>
      <w:hyperlink w:anchor="_Hand_Hygiene_Measure" w:history="1">
        <w:r>
          <w:rPr>
            <w:rStyle w:val="Hyperlink"/>
            <w:rFonts w:cs="Arial"/>
            <w:b/>
            <w:i/>
          </w:rPr>
          <w:t>Hand Hygiene Measure Specifications</w:t>
        </w:r>
      </w:hyperlink>
      <w:r>
        <w:rPr>
          <w:rFonts w:cs="Arial"/>
        </w:rPr>
        <w:t xml:space="preserve"> </w:t>
      </w:r>
      <w:r>
        <w:rPr>
          <w:rFonts w:cs="Arial"/>
          <w:snapToGrid w:val="0"/>
        </w:rPr>
        <w:t xml:space="preserve">in the Reference Information </w:t>
      </w:r>
      <w:r>
        <w:rPr>
          <w:rFonts w:cs="Arial"/>
        </w:rPr>
        <w:t>beginning on page</w:t>
      </w:r>
      <w:r w:rsidR="00B82F68">
        <w:rPr>
          <w:rFonts w:cs="Arial"/>
        </w:rPr>
        <w:t xml:space="preserve"> 238</w:t>
      </w:r>
      <w:r w:rsidR="003B0F77">
        <w:rPr>
          <w:rFonts w:cs="Arial"/>
        </w:rPr>
        <w:t>.</w:t>
      </w:r>
    </w:p>
    <w:bookmarkEnd w:id="476"/>
    <w:p w14:paraId="6E90A739" w14:textId="77777777" w:rsidR="00222553" w:rsidRDefault="00222553" w:rsidP="00D70E33">
      <w:pPr>
        <w:rPr>
          <w:bCs/>
        </w:rPr>
      </w:pPr>
    </w:p>
    <w:p w14:paraId="3E6C34C9" w14:textId="77777777" w:rsidR="00C645E0" w:rsidRDefault="00C645E0" w:rsidP="00D70E33">
      <w:r>
        <w:rPr>
          <w:noProof/>
        </w:rPr>
        <mc:AlternateContent>
          <mc:Choice Requires="wps">
            <w:drawing>
              <wp:inline distT="0" distB="0" distL="0" distR="0" wp14:anchorId="59647D58" wp14:editId="5F47631B">
                <wp:extent cx="5924550" cy="1733106"/>
                <wp:effectExtent l="0" t="0" r="19050" b="19685"/>
                <wp:docPr id="217" name="Text Box 217" descr="P8664TB25#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1733106"/>
                        </a:xfrm>
                        <a:prstGeom prst="rect">
                          <a:avLst/>
                        </a:prstGeom>
                        <a:solidFill>
                          <a:srgbClr val="FFFFFF"/>
                        </a:solidFill>
                        <a:ln w="9525">
                          <a:solidFill>
                            <a:srgbClr val="FF0000"/>
                          </a:solidFill>
                          <a:miter lim="800000"/>
                          <a:headEnd/>
                          <a:tailEnd/>
                        </a:ln>
                      </wps:spPr>
                      <wps:txbx>
                        <w:txbxContent>
                          <w:p w14:paraId="4FBD307F" w14:textId="5C752FA6" w:rsidR="00322A3C" w:rsidRDefault="00322A3C" w:rsidP="00C645E0">
                            <w:r w:rsidRPr="00DF6A41">
                              <w:rPr>
                                <w:b/>
                              </w:rPr>
                              <w:t>Reporting</w:t>
                            </w:r>
                            <w:r w:rsidR="000D5FED">
                              <w:rPr>
                                <w:b/>
                              </w:rPr>
                              <w:t xml:space="preserve"> </w:t>
                            </w:r>
                            <w:r w:rsidRPr="00DF6A41">
                              <w:rPr>
                                <w:b/>
                              </w:rPr>
                              <w:t>Period</w:t>
                            </w:r>
                            <w:r>
                              <w:rPr>
                                <w:b/>
                              </w:rPr>
                              <w:t xml:space="preserve">: </w:t>
                            </w:r>
                            <w:r>
                              <w:t>Answer questions #1-2</w:t>
                            </w:r>
                            <w:r w:rsidR="00021B3B">
                              <w:t>1</w:t>
                            </w:r>
                            <w:r>
                              <w:t xml:space="preserve"> based on the practices currently in place at the time you submit this section of the Survey.</w:t>
                            </w:r>
                          </w:p>
                          <w:p w14:paraId="304222F2" w14:textId="77777777" w:rsidR="006B4EF8" w:rsidRDefault="006B4EF8" w:rsidP="00C645E0"/>
                          <w:p w14:paraId="002BFD54" w14:textId="77777777" w:rsidR="00410850" w:rsidRPr="00775498" w:rsidRDefault="00410850" w:rsidP="00410850">
                            <w:pPr>
                              <w:pStyle w:val="EndnoteText"/>
                              <w:rPr>
                                <w:bCs/>
                              </w:rPr>
                            </w:pPr>
                            <w:r>
                              <w:rPr>
                                <w:rFonts w:cs="Arial"/>
                                <w:bCs/>
                                <w:snapToGrid w:val="0"/>
                              </w:rPr>
                              <w:t xml:space="preserve">Note: </w:t>
                            </w:r>
                            <w:r w:rsidRPr="00775498">
                              <w:rPr>
                                <w:bCs/>
                              </w:rPr>
                              <w:t>For monitoring, this means that the monthly sample size (or quarterly sample size if answering question #10) would need to be met at least once in each patient care unit the month (or quarter) preceding the time of the submission of the Survey and there must be a process in place to meet the monthly (or quarterly) sample size thereafter in each patient care unit every month/quarter.</w:t>
                            </w:r>
                          </w:p>
                          <w:p w14:paraId="5E1DB81A" w14:textId="77777777" w:rsidR="00410850" w:rsidRPr="00CD4A97" w:rsidRDefault="00410850" w:rsidP="00C645E0">
                            <w:pPr>
                              <w:rPr>
                                <w:b/>
                              </w:rPr>
                            </w:pPr>
                          </w:p>
                          <w:p w14:paraId="6C9C0A16" w14:textId="5195A51B" w:rsidR="00322A3C" w:rsidRPr="00D20A90" w:rsidRDefault="00322A3C" w:rsidP="00E65E68">
                            <w:pPr>
                              <w:rPr>
                                <w:b/>
                              </w:rPr>
                            </w:pPr>
                            <w:r w:rsidRPr="006547C0">
                              <w:rPr>
                                <w:rFonts w:cs="Arial"/>
                                <w:sz w:val="16"/>
                                <w:szCs w:val="16"/>
                              </w:rPr>
                              <w:t xml:space="preserve">Note: As a reminder, the </w:t>
                            </w:r>
                            <w:hyperlink r:id="rId355" w:history="1">
                              <w:r w:rsidRPr="006547C0">
                                <w:rPr>
                                  <w:rStyle w:val="Hyperlink"/>
                                  <w:rFonts w:cs="Arial"/>
                                  <w:sz w:val="16"/>
                                  <w:szCs w:val="16"/>
                                </w:rPr>
                                <w:t>Corrections Period</w:t>
                              </w:r>
                            </w:hyperlink>
                            <w:r w:rsidRPr="006547C0">
                              <w:rPr>
                                <w:rFonts w:cs="Arial"/>
                                <w:sz w:val="16"/>
                                <w:szCs w:val="16"/>
                              </w:rPr>
                              <w:t xml:space="preserve"> </w:t>
                            </w:r>
                            <w:r w:rsidRPr="00E65E68">
                              <w:rPr>
                                <w:rFonts w:cs="Arial"/>
                                <w:sz w:val="16"/>
                                <w:szCs w:val="16"/>
                              </w:rPr>
                              <w:t>(</w:t>
                            </w:r>
                            <w:r>
                              <w:rPr>
                                <w:rFonts w:cs="Arial"/>
                                <w:sz w:val="16"/>
                                <w:szCs w:val="16"/>
                              </w:rPr>
                              <w:t>December</w:t>
                            </w:r>
                            <w:r w:rsidRPr="00E65E68">
                              <w:rPr>
                                <w:rFonts w:cs="Arial"/>
                                <w:sz w:val="16"/>
                                <w:szCs w:val="16"/>
                              </w:rPr>
                              <w:t xml:space="preserve"> 1-January 31) is reserved for corrections to previously submitted Surveys only. </w:t>
                            </w:r>
                            <w:r w:rsidRPr="00E65E68">
                              <w:rPr>
                                <w:rFonts w:cs="Arial"/>
                                <w:bCs/>
                                <w:snapToGrid w:val="0"/>
                                <w:sz w:val="16"/>
                                <w:szCs w:val="16"/>
                              </w:rPr>
                              <w:t xml:space="preserve">Any updates made to reflect a change in performance must be made prior to the </w:t>
                            </w:r>
                            <w:r>
                              <w:rPr>
                                <w:rFonts w:cs="Arial"/>
                                <w:bCs/>
                                <w:snapToGrid w:val="0"/>
                                <w:sz w:val="16"/>
                                <w:szCs w:val="16"/>
                              </w:rPr>
                              <w:t>November 30</w:t>
                            </w:r>
                            <w:r w:rsidRPr="00E65E68">
                              <w:rPr>
                                <w:rFonts w:cs="Arial"/>
                                <w:bCs/>
                                <w:snapToGrid w:val="0"/>
                                <w:sz w:val="16"/>
                                <w:szCs w:val="16"/>
                              </w:rPr>
                              <w:t xml:space="preserve"> Late Submission </w:t>
                            </w:r>
                            <w:r w:rsidR="00AE38C7">
                              <w:rPr>
                                <w:rFonts w:cs="Arial"/>
                                <w:bCs/>
                                <w:snapToGrid w:val="0"/>
                                <w:sz w:val="16"/>
                                <w:szCs w:val="16"/>
                              </w:rPr>
                              <w:t xml:space="preserve">and Performance Update </w:t>
                            </w:r>
                            <w:r w:rsidRPr="00E65E68">
                              <w:rPr>
                                <w:rFonts w:cs="Arial"/>
                                <w:bCs/>
                                <w:snapToGrid w:val="0"/>
                                <w:sz w:val="16"/>
                                <w:szCs w:val="16"/>
                              </w:rPr>
                              <w:t xml:space="preserve">Deadline. Updates made to reflect a change in performance after </w:t>
                            </w:r>
                            <w:r>
                              <w:rPr>
                                <w:rFonts w:cs="Arial"/>
                                <w:bCs/>
                                <w:snapToGrid w:val="0"/>
                                <w:sz w:val="16"/>
                                <w:szCs w:val="16"/>
                              </w:rPr>
                              <w:t>November 30</w:t>
                            </w:r>
                            <w:r w:rsidRPr="00E65E68">
                              <w:rPr>
                                <w:rFonts w:cs="Arial"/>
                                <w:bCs/>
                                <w:snapToGrid w:val="0"/>
                                <w:sz w:val="16"/>
                                <w:szCs w:val="16"/>
                              </w:rPr>
                              <w:t xml:space="preserve"> will not be scored or publicly reported.</w:t>
                            </w:r>
                          </w:p>
                        </w:txbxContent>
                      </wps:txbx>
                      <wps:bodyPr rot="0" vert="horz" wrap="square" lIns="91440" tIns="45720" rIns="91440" bIns="45720" anchor="t" anchorCtr="0">
                        <a:noAutofit/>
                      </wps:bodyPr>
                    </wps:wsp>
                  </a:graphicData>
                </a:graphic>
              </wp:inline>
            </w:drawing>
          </mc:Choice>
          <mc:Fallback>
            <w:pict>
              <v:shape w14:anchorId="59647D58" id="Text Box 217" o:spid="_x0000_s1052" type="#_x0000_t202" alt="P8664TB25#y1" style="width:466.5pt;height:136.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" strokecolor="red">
                <v:textbox>
                  <w:txbxContent>
                    <w:p w14:paraId="4FBD307F" w14:textId="5C752FA6" w:rsidR="00322A3C" w:rsidRDefault="00322A3C" w:rsidP="00C645E0">
                      <w:r w:rsidRPr="00DF6A41">
                        <w:rPr>
                          <w:b/>
                        </w:rPr>
                        <w:t>Reporting</w:t>
                      </w:r>
                      <w:r w:rsidR="000D5FED">
                        <w:rPr>
                          <w:b/>
                        </w:rPr>
                        <w:t xml:space="preserve"> </w:t>
                      </w:r>
                      <w:r w:rsidRPr="00DF6A41">
                        <w:rPr>
                          <w:b/>
                        </w:rPr>
                        <w:t>Period</w:t>
                      </w:r>
                      <w:r>
                        <w:rPr>
                          <w:b/>
                        </w:rPr>
                        <w:t xml:space="preserve">: </w:t>
                      </w:r>
                      <w:r>
                        <w:t>Answer questions #1-2</w:t>
                      </w:r>
                      <w:r w:rsidR="00021B3B">
                        <w:t>1</w:t>
                      </w:r>
                      <w:r>
                        <w:t xml:space="preserve"> based on the practices currently in place at the time you submit this section of the Survey.</w:t>
                      </w:r>
                    </w:p>
                    <w:p w14:paraId="304222F2" w14:textId="77777777" w:rsidR="006B4EF8" w:rsidRDefault="006B4EF8" w:rsidP="00C645E0"/>
                    <w:p w14:paraId="002BFD54" w14:textId="77777777" w:rsidR="00410850" w:rsidRPr="00775498" w:rsidRDefault="00410850" w:rsidP="00410850">
                      <w:pPr>
                        <w:pStyle w:val="EndnoteText"/>
                        <w:rPr>
                          <w:bCs/>
                        </w:rPr>
                      </w:pPr>
                      <w:r>
                        <w:rPr>
                          <w:rFonts w:cs="Arial"/>
                          <w:bCs/>
                          <w:snapToGrid w:val="0"/>
                        </w:rPr>
                        <w:t xml:space="preserve">Note: </w:t>
                      </w:r>
                      <w:r w:rsidRPr="00775498">
                        <w:rPr>
                          <w:bCs/>
                        </w:rPr>
                        <w:t>For monitoring, this means that the monthly sample size (or quarterly sample size if answering question #10) would need to be met at least once in each patient care unit the month (or quarter) preceding the time of the submission of the Survey and there must be a process in place to meet the monthly (or quarterly) sample size thereafter in each patient care unit every month/quarter.</w:t>
                      </w:r>
                    </w:p>
                    <w:p w14:paraId="5E1DB81A" w14:textId="77777777" w:rsidR="00410850" w:rsidRPr="00CD4A97" w:rsidRDefault="00410850" w:rsidP="00C645E0">
                      <w:pPr>
                        <w:rPr>
                          <w:b/>
                        </w:rPr>
                      </w:pPr>
                    </w:p>
                    <w:p w14:paraId="6C9C0A16" w14:textId="5195A51B" w:rsidR="00322A3C" w:rsidRPr="00D20A90" w:rsidRDefault="00322A3C" w:rsidP="00E65E68">
                      <w:pPr>
                        <w:rPr>
                          <w:b/>
                        </w:rPr>
                      </w:pPr>
                      <w:r w:rsidRPr="006547C0">
                        <w:rPr>
                          <w:rFonts w:cs="Arial"/>
                          <w:sz w:val="16"/>
                          <w:szCs w:val="16"/>
                        </w:rPr>
                        <w:t xml:space="preserve">Note: As a reminder, the </w:t>
                      </w:r>
                      <w:hyperlink r:id="rId356" w:history="1">
                        <w:r w:rsidRPr="006547C0">
                          <w:rPr>
                            <w:rStyle w:val="Hyperlink"/>
                            <w:rFonts w:cs="Arial"/>
                            <w:sz w:val="16"/>
                            <w:szCs w:val="16"/>
                          </w:rPr>
                          <w:t>Corrections Period</w:t>
                        </w:r>
                      </w:hyperlink>
                      <w:r w:rsidRPr="006547C0">
                        <w:rPr>
                          <w:rFonts w:cs="Arial"/>
                          <w:sz w:val="16"/>
                          <w:szCs w:val="16"/>
                        </w:rPr>
                        <w:t xml:space="preserve"> </w:t>
                      </w:r>
                      <w:r w:rsidRPr="00E65E68">
                        <w:rPr>
                          <w:rFonts w:cs="Arial"/>
                          <w:sz w:val="16"/>
                          <w:szCs w:val="16"/>
                        </w:rPr>
                        <w:t>(</w:t>
                      </w:r>
                      <w:r>
                        <w:rPr>
                          <w:rFonts w:cs="Arial"/>
                          <w:sz w:val="16"/>
                          <w:szCs w:val="16"/>
                        </w:rPr>
                        <w:t>December</w:t>
                      </w:r>
                      <w:r w:rsidRPr="00E65E68">
                        <w:rPr>
                          <w:rFonts w:cs="Arial"/>
                          <w:sz w:val="16"/>
                          <w:szCs w:val="16"/>
                        </w:rPr>
                        <w:t xml:space="preserve"> 1-January 31) is reserved for corrections to previously submitted Surveys only. </w:t>
                      </w:r>
                      <w:r w:rsidRPr="00E65E68">
                        <w:rPr>
                          <w:rFonts w:cs="Arial"/>
                          <w:bCs/>
                          <w:snapToGrid w:val="0"/>
                          <w:sz w:val="16"/>
                          <w:szCs w:val="16"/>
                        </w:rPr>
                        <w:t xml:space="preserve">Any updates made to reflect a change in performance must be made prior to the </w:t>
                      </w:r>
                      <w:r>
                        <w:rPr>
                          <w:rFonts w:cs="Arial"/>
                          <w:bCs/>
                          <w:snapToGrid w:val="0"/>
                          <w:sz w:val="16"/>
                          <w:szCs w:val="16"/>
                        </w:rPr>
                        <w:t>November 30</w:t>
                      </w:r>
                      <w:r w:rsidRPr="00E65E68">
                        <w:rPr>
                          <w:rFonts w:cs="Arial"/>
                          <w:bCs/>
                          <w:snapToGrid w:val="0"/>
                          <w:sz w:val="16"/>
                          <w:szCs w:val="16"/>
                        </w:rPr>
                        <w:t xml:space="preserve"> Late Submission </w:t>
                      </w:r>
                      <w:r w:rsidR="00AE38C7">
                        <w:rPr>
                          <w:rFonts w:cs="Arial"/>
                          <w:bCs/>
                          <w:snapToGrid w:val="0"/>
                          <w:sz w:val="16"/>
                          <w:szCs w:val="16"/>
                        </w:rPr>
                        <w:t xml:space="preserve">and Performance Update </w:t>
                      </w:r>
                      <w:r w:rsidRPr="00E65E68">
                        <w:rPr>
                          <w:rFonts w:cs="Arial"/>
                          <w:bCs/>
                          <w:snapToGrid w:val="0"/>
                          <w:sz w:val="16"/>
                          <w:szCs w:val="16"/>
                        </w:rPr>
                        <w:t xml:space="preserve">Deadline. Updates made to reflect a change in performance after </w:t>
                      </w:r>
                      <w:r>
                        <w:rPr>
                          <w:rFonts w:cs="Arial"/>
                          <w:bCs/>
                          <w:snapToGrid w:val="0"/>
                          <w:sz w:val="16"/>
                          <w:szCs w:val="16"/>
                        </w:rPr>
                        <w:t>November 30</w:t>
                      </w:r>
                      <w:r w:rsidRPr="00E65E68">
                        <w:rPr>
                          <w:rFonts w:cs="Arial"/>
                          <w:bCs/>
                          <w:snapToGrid w:val="0"/>
                          <w:sz w:val="16"/>
                          <w:szCs w:val="16"/>
                        </w:rPr>
                        <w:t xml:space="preserve"> will not be scored or publicly reported.</w:t>
                      </w:r>
                    </w:p>
                  </w:txbxContent>
                </v:textbox>
                <w10:anchorlock/>
              </v:shape>
            </w:pict>
          </mc:Fallback>
        </mc:AlternateContent>
      </w:r>
    </w:p>
    <w:p w14:paraId="5831DF41" w14:textId="77777777" w:rsidR="00C645E0" w:rsidRDefault="00C645E0" w:rsidP="00D70E33"/>
    <w:p w14:paraId="0C4EB175" w14:textId="0146E3C1" w:rsidR="00C91B69" w:rsidRPr="000F5420" w:rsidRDefault="00C91B69" w:rsidP="00AB5B80">
      <w:pPr>
        <w:pStyle w:val="Heading3"/>
        <w:rPr>
          <w:sz w:val="20"/>
          <w:szCs w:val="20"/>
        </w:rPr>
      </w:pPr>
      <w:bookmarkStart w:id="477" w:name="_Toc131159860"/>
      <w:bookmarkStart w:id="478" w:name="_Toc225877782"/>
      <w:r w:rsidRPr="00C645E0">
        <w:t>Training and Education</w:t>
      </w:r>
      <w:bookmarkEnd w:id="477"/>
      <w:bookmarkEnd w:id="478"/>
      <w:r w:rsidR="00AC5B93">
        <w:br/>
      </w:r>
    </w:p>
    <w:tbl>
      <w:tblPr>
        <w:tblStyle w:val="TableGrid"/>
        <w:tblW w:w="0" w:type="auto"/>
        <w:tblLook w:val="04A0" w:firstRow="1" w:lastRow="0" w:firstColumn="1" w:lastColumn="0" w:noHBand="0" w:noVBand="1"/>
      </w:tblPr>
      <w:tblGrid>
        <w:gridCol w:w="6115"/>
        <w:gridCol w:w="3235"/>
      </w:tblGrid>
      <w:tr w:rsidR="00C91B69" w:rsidRPr="00C645E0" w14:paraId="2AC6D56B" w14:textId="77777777" w:rsidTr="00B74BD8">
        <w:trPr>
          <w:trHeight w:val="2160"/>
        </w:trPr>
        <w:tc>
          <w:tcPr>
            <w:tcW w:w="6115" w:type="dxa"/>
          </w:tcPr>
          <w:p w14:paraId="41FA9E1C" w14:textId="5DF7D1BE" w:rsidR="00C91B69" w:rsidRPr="002B108D" w:rsidRDefault="00C91B69" w:rsidP="00AD309C">
            <w:pPr>
              <w:numPr>
                <w:ilvl w:val="0"/>
                <w:numId w:val="144"/>
              </w:numPr>
            </w:pPr>
            <w:r w:rsidRPr="00C645E0">
              <w:t>Do</w:t>
            </w:r>
            <w:r w:rsidR="002B108D">
              <w:t xml:space="preserve"> </w:t>
            </w:r>
            <w:hyperlink w:anchor="HHtouchpatientsendnote" w:history="1">
              <w:r w:rsidR="007E6EEA">
                <w:rPr>
                  <w:rStyle w:val="Hyperlink"/>
                </w:rPr>
                <w:t>individuals who touch patients or who touch items that will be used by patients</w:t>
              </w:r>
            </w:hyperlink>
            <w:bookmarkStart w:id="479" w:name="_Ref25671414"/>
            <w:r w:rsidR="000F0582">
              <w:rPr>
                <w:rStyle w:val="Hyperlink"/>
                <w:rFonts w:ascii="ZWAdobeF" w:hAnsi="ZWAdobeF" w:cs="ZWAdobeF"/>
                <w:color w:val="auto"/>
                <w:sz w:val="2"/>
                <w:szCs w:val="2"/>
                <w:u w:val="none"/>
              </w:rPr>
              <w:t>43F</w:t>
            </w:r>
            <w:bookmarkStart w:id="480" w:name="_Ref131591135"/>
            <w:r w:rsidR="00BF053F">
              <w:rPr>
                <w:rStyle w:val="Hyperlink"/>
                <w:rFonts w:ascii="ZWAdobeF" w:hAnsi="ZWAdobeF" w:cs="ZWAdobeF"/>
                <w:color w:val="auto"/>
                <w:sz w:val="2"/>
                <w:szCs w:val="2"/>
                <w:u w:val="none"/>
              </w:rPr>
              <w:t>43F</w:t>
            </w:r>
            <w:r w:rsidR="004C7557">
              <w:rPr>
                <w:rStyle w:val="Hyperlink"/>
                <w:rFonts w:ascii="ZWAdobeF" w:hAnsi="ZWAdobeF" w:cs="ZWAdobeF"/>
                <w:color w:val="auto"/>
                <w:sz w:val="2"/>
                <w:szCs w:val="2"/>
                <w:u w:val="none"/>
              </w:rPr>
              <w:t>43F</w:t>
            </w:r>
            <w:r w:rsidR="00C2087D">
              <w:rPr>
                <w:rStyle w:val="Hyperlink"/>
                <w:rFonts w:ascii="ZWAdobeF" w:hAnsi="ZWAdobeF" w:cs="ZWAdobeF"/>
                <w:color w:val="auto"/>
                <w:sz w:val="2"/>
                <w:szCs w:val="2"/>
                <w:u w:val="none"/>
              </w:rPr>
              <w:t>43F</w:t>
            </w:r>
            <w:r w:rsidR="00B55C41">
              <w:rPr>
                <w:rStyle w:val="Hyperlink"/>
                <w:rFonts w:ascii="ZWAdobeF" w:hAnsi="ZWAdobeF" w:cs="ZWAdobeF"/>
                <w:color w:val="auto"/>
                <w:sz w:val="2"/>
                <w:szCs w:val="2"/>
                <w:u w:val="none"/>
              </w:rPr>
              <w:t>43F</w:t>
            </w:r>
            <w:r w:rsidR="006255A6">
              <w:rPr>
                <w:rStyle w:val="Hyperlink"/>
                <w:rFonts w:ascii="ZWAdobeF" w:hAnsi="ZWAdobeF" w:cs="ZWAdobeF"/>
                <w:color w:val="auto"/>
                <w:sz w:val="2"/>
                <w:szCs w:val="2"/>
                <w:u w:val="none"/>
              </w:rPr>
              <w:t>43F</w:t>
            </w:r>
            <w:r w:rsidR="00E453C7">
              <w:rPr>
                <w:rStyle w:val="Hyperlink"/>
                <w:rFonts w:ascii="ZWAdobeF" w:hAnsi="ZWAdobeF" w:cs="ZWAdobeF"/>
                <w:color w:val="auto"/>
                <w:sz w:val="2"/>
                <w:szCs w:val="2"/>
                <w:u w:val="none"/>
              </w:rPr>
              <w:t>43F</w:t>
            </w:r>
            <w:r w:rsidR="00953060">
              <w:rPr>
                <w:rStyle w:val="Hyperlink"/>
                <w:rFonts w:ascii="ZWAdobeF" w:hAnsi="ZWAdobeF" w:cs="ZWAdobeF"/>
                <w:color w:val="auto"/>
                <w:sz w:val="2"/>
                <w:szCs w:val="2"/>
                <w:u w:val="none"/>
              </w:rPr>
              <w:t>43F</w:t>
            </w:r>
            <w:r w:rsidR="00DD04D6">
              <w:rPr>
                <w:rStyle w:val="Hyperlink"/>
                <w:rFonts w:ascii="ZWAdobeF" w:hAnsi="ZWAdobeF" w:cs="ZWAdobeF"/>
                <w:color w:val="auto"/>
                <w:sz w:val="2"/>
                <w:szCs w:val="2"/>
                <w:u w:val="none"/>
              </w:rPr>
              <w:t>43F</w:t>
            </w:r>
            <w:r w:rsidR="002B108D">
              <w:rPr>
                <w:rStyle w:val="EndnoteReference"/>
              </w:rPr>
              <w:endnoteReference w:id="45"/>
            </w:r>
            <w:bookmarkEnd w:id="479"/>
            <w:bookmarkEnd w:id="480"/>
            <w:r w:rsidR="002B108D">
              <w:t xml:space="preserve"> in your patient care units receive hand hygiene training from a</w:t>
            </w:r>
            <w:r w:rsidRPr="00C645E0">
              <w:t xml:space="preserve"> </w:t>
            </w:r>
            <w:hyperlink w:anchor="profwapproptrainandskill" w:history="1">
              <w:r w:rsidRPr="00C645E0">
                <w:rPr>
                  <w:rStyle w:val="Hyperlink"/>
                </w:rPr>
                <w:t>professional with appropriate training and skills</w:t>
              </w:r>
            </w:hyperlink>
            <w:bookmarkStart w:id="482" w:name="_Ref36149163"/>
            <w:r w:rsidR="000F0582">
              <w:rPr>
                <w:rStyle w:val="Hyperlink"/>
                <w:rFonts w:ascii="ZWAdobeF" w:hAnsi="ZWAdobeF" w:cs="ZWAdobeF"/>
                <w:color w:val="auto"/>
                <w:sz w:val="2"/>
                <w:szCs w:val="2"/>
                <w:u w:val="none"/>
              </w:rPr>
              <w:t>44F</w:t>
            </w:r>
            <w:r w:rsidR="00BF053F">
              <w:rPr>
                <w:rStyle w:val="Hyperlink"/>
                <w:rFonts w:ascii="ZWAdobeF" w:hAnsi="ZWAdobeF" w:cs="ZWAdobeF"/>
                <w:color w:val="auto"/>
                <w:sz w:val="2"/>
                <w:szCs w:val="2"/>
                <w:u w:val="none"/>
              </w:rPr>
              <w:t>44F</w:t>
            </w:r>
            <w:r w:rsidR="004C7557">
              <w:rPr>
                <w:rStyle w:val="Hyperlink"/>
                <w:rFonts w:ascii="ZWAdobeF" w:hAnsi="ZWAdobeF" w:cs="ZWAdobeF"/>
                <w:color w:val="auto"/>
                <w:sz w:val="2"/>
                <w:szCs w:val="2"/>
                <w:u w:val="none"/>
              </w:rPr>
              <w:t>44F</w:t>
            </w:r>
            <w:r w:rsidR="00C2087D">
              <w:rPr>
                <w:rStyle w:val="Hyperlink"/>
                <w:rFonts w:ascii="ZWAdobeF" w:hAnsi="ZWAdobeF" w:cs="ZWAdobeF"/>
                <w:color w:val="auto"/>
                <w:sz w:val="2"/>
                <w:szCs w:val="2"/>
                <w:u w:val="none"/>
              </w:rPr>
              <w:t>44F</w:t>
            </w:r>
            <w:r w:rsidR="00B55C41">
              <w:rPr>
                <w:rStyle w:val="Hyperlink"/>
                <w:rFonts w:ascii="ZWAdobeF" w:hAnsi="ZWAdobeF" w:cs="ZWAdobeF"/>
                <w:color w:val="auto"/>
                <w:sz w:val="2"/>
                <w:szCs w:val="2"/>
                <w:u w:val="none"/>
              </w:rPr>
              <w:t>44F</w:t>
            </w:r>
            <w:r w:rsidR="006255A6">
              <w:rPr>
                <w:rStyle w:val="Hyperlink"/>
                <w:rFonts w:ascii="ZWAdobeF" w:hAnsi="ZWAdobeF" w:cs="ZWAdobeF"/>
                <w:color w:val="auto"/>
                <w:sz w:val="2"/>
                <w:szCs w:val="2"/>
                <w:u w:val="none"/>
              </w:rPr>
              <w:t>44F</w:t>
            </w:r>
            <w:r w:rsidR="00E453C7">
              <w:rPr>
                <w:rStyle w:val="Hyperlink"/>
                <w:rFonts w:ascii="ZWAdobeF" w:hAnsi="ZWAdobeF" w:cs="ZWAdobeF"/>
                <w:color w:val="auto"/>
                <w:sz w:val="2"/>
                <w:szCs w:val="2"/>
                <w:u w:val="none"/>
              </w:rPr>
              <w:t>44F</w:t>
            </w:r>
            <w:r w:rsidR="00953060">
              <w:rPr>
                <w:rStyle w:val="Hyperlink"/>
                <w:rFonts w:ascii="ZWAdobeF" w:hAnsi="ZWAdobeF" w:cs="ZWAdobeF"/>
                <w:color w:val="auto"/>
                <w:sz w:val="2"/>
                <w:szCs w:val="2"/>
                <w:u w:val="none"/>
              </w:rPr>
              <w:t>44F</w:t>
            </w:r>
            <w:r w:rsidR="00DD04D6">
              <w:rPr>
                <w:rStyle w:val="Hyperlink"/>
                <w:rFonts w:ascii="ZWAdobeF" w:hAnsi="ZWAdobeF" w:cs="ZWAdobeF"/>
                <w:color w:val="auto"/>
                <w:sz w:val="2"/>
                <w:szCs w:val="2"/>
                <w:u w:val="none"/>
              </w:rPr>
              <w:t>44F</w:t>
            </w:r>
            <w:r w:rsidRPr="00C645E0">
              <w:rPr>
                <w:vertAlign w:val="superscript"/>
              </w:rPr>
              <w:endnoteReference w:id="46"/>
            </w:r>
            <w:bookmarkEnd w:id="482"/>
            <w:r w:rsidRPr="00C645E0">
              <w:t xml:space="preserve"> </w:t>
            </w:r>
            <w:r w:rsidR="002B108D">
              <w:t xml:space="preserve">at </w:t>
            </w:r>
            <w:r w:rsidR="002B108D">
              <w:rPr>
                <w:b/>
              </w:rPr>
              <w:t>both:</w:t>
            </w:r>
          </w:p>
          <w:p w14:paraId="46907263" w14:textId="602CE5B8" w:rsidR="002B108D" w:rsidRDefault="002B108D" w:rsidP="00AD309C">
            <w:pPr>
              <w:pStyle w:val="ListParagraph"/>
              <w:numPr>
                <w:ilvl w:val="0"/>
                <w:numId w:val="124"/>
              </w:numPr>
            </w:pPr>
            <w:r>
              <w:t>the time of onboarding</w:t>
            </w:r>
            <w:r w:rsidR="0002601E">
              <w:t>,</w:t>
            </w:r>
            <w:r>
              <w:t xml:space="preserve"> and</w:t>
            </w:r>
          </w:p>
          <w:p w14:paraId="2E810E1E" w14:textId="77777777" w:rsidR="002B108D" w:rsidRPr="002B108D" w:rsidRDefault="002B108D" w:rsidP="00AD309C">
            <w:pPr>
              <w:pStyle w:val="ListParagraph"/>
              <w:numPr>
                <w:ilvl w:val="0"/>
                <w:numId w:val="124"/>
              </w:numPr>
            </w:pPr>
            <w:r>
              <w:t>annually thereafter?</w:t>
            </w:r>
          </w:p>
          <w:p w14:paraId="280759AF" w14:textId="77777777" w:rsidR="002B108D" w:rsidRDefault="002B108D" w:rsidP="00B96CDF"/>
          <w:p w14:paraId="0524CCFF" w14:textId="3575A8B3" w:rsidR="00C91B69" w:rsidRPr="00C645E0" w:rsidRDefault="002B108D" w:rsidP="00B96CDF">
            <w:pPr>
              <w:ind w:left="360"/>
            </w:pPr>
            <w:r w:rsidRPr="002B108D">
              <w:rPr>
                <w:i/>
              </w:rPr>
              <w:t>If “no” to question #1, skip questions #2-3 and continue to question #4.</w:t>
            </w:r>
          </w:p>
        </w:tc>
        <w:tc>
          <w:tcPr>
            <w:tcW w:w="3235" w:type="dxa"/>
            <w:vAlign w:val="center"/>
          </w:tcPr>
          <w:p w14:paraId="6FD90450" w14:textId="77777777" w:rsidR="00C91B69" w:rsidRPr="00B74BD8" w:rsidRDefault="00C91B69" w:rsidP="00AD309C">
            <w:pPr>
              <w:pStyle w:val="ListParagraph"/>
              <w:numPr>
                <w:ilvl w:val="0"/>
                <w:numId w:val="299"/>
              </w:numPr>
              <w:rPr>
                <w:iCs/>
              </w:rPr>
            </w:pPr>
            <w:r w:rsidRPr="00B74BD8">
              <w:rPr>
                <w:iCs/>
              </w:rPr>
              <w:t>Yes</w:t>
            </w:r>
          </w:p>
          <w:p w14:paraId="73875B4F" w14:textId="77777777" w:rsidR="00C91B69" w:rsidRPr="00B74BD8" w:rsidRDefault="00C91B69" w:rsidP="00AD309C">
            <w:pPr>
              <w:pStyle w:val="ListParagraph"/>
              <w:numPr>
                <w:ilvl w:val="0"/>
                <w:numId w:val="299"/>
              </w:numPr>
              <w:rPr>
                <w:iCs/>
              </w:rPr>
            </w:pPr>
            <w:r w:rsidRPr="00B74BD8">
              <w:rPr>
                <w:iCs/>
              </w:rPr>
              <w:t>No</w:t>
            </w:r>
          </w:p>
        </w:tc>
      </w:tr>
      <w:tr w:rsidR="00C91B69" w:rsidRPr="00C645E0" w14:paraId="4115C7D0" w14:textId="77777777" w:rsidTr="00B74BD8">
        <w:trPr>
          <w:trHeight w:val="1296"/>
        </w:trPr>
        <w:tc>
          <w:tcPr>
            <w:tcW w:w="6115" w:type="dxa"/>
            <w:vAlign w:val="center"/>
          </w:tcPr>
          <w:p w14:paraId="09937A2C" w14:textId="121E5F99" w:rsidR="00C91B69" w:rsidRPr="0002601E" w:rsidRDefault="004B4271" w:rsidP="00AD309C">
            <w:pPr>
              <w:pStyle w:val="ListParagraph"/>
              <w:numPr>
                <w:ilvl w:val="0"/>
                <w:numId w:val="144"/>
              </w:numPr>
              <w:rPr>
                <w:i/>
              </w:rPr>
            </w:pPr>
            <w:r w:rsidRPr="004B4271">
              <w:t xml:space="preserve">In order to pass the </w:t>
            </w:r>
            <w:r w:rsidRPr="001550F9">
              <w:rPr>
                <w:b/>
                <w:bCs/>
              </w:rPr>
              <w:t>initial</w:t>
            </w:r>
            <w:r w:rsidRPr="004B4271">
              <w:t xml:space="preserve"> hand hygiene training, do </w:t>
            </w:r>
            <w:hyperlink w:anchor="HHtouchpatientsendnote" w:history="1">
              <w:r w:rsidRPr="004B4271">
                <w:rPr>
                  <w:rStyle w:val="Hyperlink"/>
                </w:rPr>
                <w:t>individuals who touch patients or who touch items that will be used by patients</w:t>
              </w:r>
            </w:hyperlink>
            <w:r>
              <w:fldChar w:fldCharType="begin"/>
            </w:r>
            <w:r>
              <w:instrText xml:space="preserve"> NOTEREF _Ref25671414 \f \h </w:instrText>
            </w:r>
            <w:r w:rsidR="00B96CDF">
              <w:instrText xml:space="preserve"> \* MERGEFORMAT </w:instrText>
            </w:r>
            <w:r>
              <w:fldChar w:fldCharType="separate"/>
            </w:r>
            <w:r w:rsidR="007D53A2" w:rsidRPr="00EE0B9E">
              <w:rPr>
                <w:rStyle w:val="EndnoteReference"/>
              </w:rPr>
              <w:t>44</w:t>
            </w:r>
            <w:r>
              <w:fldChar w:fldCharType="end"/>
            </w:r>
            <w:r w:rsidRPr="004B4271">
              <w:t xml:space="preserve"> </w:t>
            </w:r>
            <w:r w:rsidR="00403B90">
              <w:t xml:space="preserve">in your patient care units </w:t>
            </w:r>
            <w:r w:rsidRPr="004B4271">
              <w:t xml:space="preserve">need to </w:t>
            </w:r>
            <w:hyperlink w:anchor="HH_demonstrate" w:history="1">
              <w:r w:rsidRPr="00393457">
                <w:rPr>
                  <w:rStyle w:val="Hyperlink"/>
                </w:rPr>
                <w:t>physically demonstrate</w:t>
              </w:r>
            </w:hyperlink>
            <w:r w:rsidRPr="004B4271">
              <w:t xml:space="preserve"> proper hand hygiene with soap and water and alcohol-based hand sanitizer?</w:t>
            </w:r>
          </w:p>
        </w:tc>
        <w:tc>
          <w:tcPr>
            <w:tcW w:w="3235" w:type="dxa"/>
            <w:vAlign w:val="center"/>
          </w:tcPr>
          <w:p w14:paraId="79C2AE64" w14:textId="77777777" w:rsidR="004B4271" w:rsidRPr="00B74BD8" w:rsidRDefault="004B4271" w:rsidP="00AD309C">
            <w:pPr>
              <w:pStyle w:val="ListParagraph"/>
              <w:numPr>
                <w:ilvl w:val="0"/>
                <w:numId w:val="299"/>
              </w:numPr>
              <w:rPr>
                <w:iCs/>
              </w:rPr>
            </w:pPr>
            <w:r w:rsidRPr="00B74BD8">
              <w:rPr>
                <w:iCs/>
              </w:rPr>
              <w:t>Yes</w:t>
            </w:r>
          </w:p>
          <w:p w14:paraId="3CA92C50" w14:textId="77777777" w:rsidR="00C91B69" w:rsidRPr="00B74BD8" w:rsidRDefault="004B4271" w:rsidP="00AD309C">
            <w:pPr>
              <w:pStyle w:val="ListParagraph"/>
              <w:numPr>
                <w:ilvl w:val="0"/>
                <w:numId w:val="299"/>
              </w:numPr>
              <w:rPr>
                <w:b/>
                <w:iCs/>
              </w:rPr>
            </w:pPr>
            <w:r w:rsidRPr="00B74BD8">
              <w:rPr>
                <w:iCs/>
              </w:rPr>
              <w:t>No</w:t>
            </w:r>
          </w:p>
        </w:tc>
      </w:tr>
      <w:tr w:rsidR="00654FC2" w:rsidRPr="00C645E0" w14:paraId="17D91A6C" w14:textId="77777777" w:rsidTr="00B74BD8">
        <w:trPr>
          <w:trHeight w:val="2376"/>
        </w:trPr>
        <w:tc>
          <w:tcPr>
            <w:tcW w:w="6115" w:type="dxa"/>
          </w:tcPr>
          <w:p w14:paraId="013E12BE" w14:textId="1B5CFC00" w:rsidR="00654FC2" w:rsidRDefault="00654FC2" w:rsidP="00AD309C">
            <w:pPr>
              <w:pStyle w:val="ListParagraph"/>
              <w:numPr>
                <w:ilvl w:val="0"/>
                <w:numId w:val="144"/>
              </w:numPr>
            </w:pPr>
            <w:r w:rsidRPr="00393457">
              <w:t xml:space="preserve">Are </w:t>
            </w:r>
            <w:r w:rsidRPr="00393457">
              <w:rPr>
                <w:b/>
              </w:rPr>
              <w:t>all</w:t>
            </w:r>
            <w:r w:rsidRPr="00393457">
              <w:t xml:space="preserve"> six of the following topics included in your hospital’s initial and a</w:t>
            </w:r>
            <w:r>
              <w:t>nnual hand hygiene training</w:t>
            </w:r>
            <w:r w:rsidR="00C92582">
              <w:t>:</w:t>
            </w:r>
          </w:p>
          <w:p w14:paraId="4561B0F4" w14:textId="7BDF4442" w:rsidR="00654FC2" w:rsidRDefault="00654FC2" w:rsidP="00AD309C">
            <w:pPr>
              <w:pStyle w:val="ListParagraph"/>
              <w:numPr>
                <w:ilvl w:val="0"/>
                <w:numId w:val="125"/>
              </w:numPr>
            </w:pPr>
            <w:r w:rsidRPr="00393457">
              <w:t>Evidence linking hand hygiene and infection prevention</w:t>
            </w:r>
            <w:r w:rsidR="00C92582">
              <w:t>;</w:t>
            </w:r>
          </w:p>
          <w:p w14:paraId="4FCE67BE" w14:textId="468C1241" w:rsidR="00654FC2" w:rsidRDefault="00654FC2" w:rsidP="00AD309C">
            <w:pPr>
              <w:pStyle w:val="ListParagraph"/>
              <w:numPr>
                <w:ilvl w:val="0"/>
                <w:numId w:val="125"/>
              </w:numPr>
            </w:pPr>
            <w:r w:rsidRPr="00393457">
              <w:t xml:space="preserve">When </w:t>
            </w:r>
            <w:hyperlink w:anchor="HHtouchpatientsendnote" w:history="1">
              <w:r w:rsidRPr="00393457">
                <w:rPr>
                  <w:rStyle w:val="Hyperlink"/>
                </w:rPr>
                <w:t>individuals who touch patients or who touch items that will be used by patients</w:t>
              </w:r>
            </w:hyperlink>
            <w:r>
              <w:fldChar w:fldCharType="begin"/>
            </w:r>
            <w:r>
              <w:instrText xml:space="preserve"> NOTEREF _Ref25671414 \f \h </w:instrText>
            </w:r>
            <w:r w:rsidR="00B96CDF">
              <w:instrText xml:space="preserve"> \* MERGEFORMAT </w:instrText>
            </w:r>
            <w:r>
              <w:fldChar w:fldCharType="separate"/>
            </w:r>
            <w:r w:rsidR="007D53A2" w:rsidRPr="00EE0B9E">
              <w:rPr>
                <w:rStyle w:val="EndnoteReference"/>
              </w:rPr>
              <w:t>44</w:t>
            </w:r>
            <w:r>
              <w:fldChar w:fldCharType="end"/>
            </w:r>
            <w:r w:rsidRPr="00393457">
              <w:t xml:space="preserve"> should perform hand hygiene</w:t>
            </w:r>
            <w:r>
              <w:t xml:space="preserve"> </w:t>
            </w:r>
            <w:r w:rsidRPr="00393457">
              <w:t xml:space="preserve">(e.g., </w:t>
            </w:r>
            <w:hyperlink r:id="rId357" w:history="1">
              <w:r w:rsidRPr="009E0751">
                <w:rPr>
                  <w:rStyle w:val="Hyperlink"/>
                </w:rPr>
                <w:t>WHO's 5 Moments for Hand Hygiene,</w:t>
              </w:r>
            </w:hyperlink>
            <w:r w:rsidRPr="00393457">
              <w:t xml:space="preserve"> </w:t>
            </w:r>
            <w:hyperlink r:id="rId358" w:history="1">
              <w:r w:rsidRPr="00393457">
                <w:rPr>
                  <w:rStyle w:val="Hyperlink"/>
                </w:rPr>
                <w:t>CDC’s Guideline for Hand Hygiene</w:t>
              </w:r>
            </w:hyperlink>
            <w:r w:rsidRPr="00393457">
              <w:t>)</w:t>
            </w:r>
            <w:r w:rsidR="00C92582">
              <w:t>;</w:t>
            </w:r>
          </w:p>
          <w:p w14:paraId="3C6EC6EE" w14:textId="7FAA0A3B" w:rsidR="00654FC2" w:rsidRPr="00393457" w:rsidRDefault="00654FC2" w:rsidP="00AD309C">
            <w:pPr>
              <w:pStyle w:val="ListParagraph"/>
              <w:numPr>
                <w:ilvl w:val="0"/>
                <w:numId w:val="125"/>
              </w:numPr>
            </w:pPr>
            <w:r w:rsidRPr="00393457">
              <w:t xml:space="preserve">How </w:t>
            </w:r>
            <w:hyperlink w:anchor="HHtouchpatientsendnote" w:history="1">
              <w:r w:rsidRPr="00393457">
                <w:rPr>
                  <w:rStyle w:val="Hyperlink"/>
                </w:rPr>
                <w:t>individuals who touch patients or who touch items that will be used by patients</w:t>
              </w:r>
            </w:hyperlink>
            <w:r>
              <w:fldChar w:fldCharType="begin"/>
            </w:r>
            <w:r>
              <w:instrText xml:space="preserve"> NOTEREF _Ref25671414 \f \h </w:instrText>
            </w:r>
            <w:r w:rsidR="00B96CDF">
              <w:instrText xml:space="preserve"> \* MERGEFORMAT </w:instrText>
            </w:r>
            <w:r>
              <w:fldChar w:fldCharType="separate"/>
            </w:r>
            <w:r w:rsidR="007D53A2" w:rsidRPr="00EE0B9E">
              <w:rPr>
                <w:rStyle w:val="EndnoteReference"/>
              </w:rPr>
              <w:t>44</w:t>
            </w:r>
            <w:r>
              <w:fldChar w:fldCharType="end"/>
            </w:r>
            <w:r w:rsidRPr="00393457">
              <w:t xml:space="preserve"> should clean their hands with alcohol-based hand sanitizer and soap and water as to ensure they cover all surfaces of hands and fingers, including thumbs and fingernails</w:t>
            </w:r>
            <w:r w:rsidR="00C92582">
              <w:t>;</w:t>
            </w:r>
          </w:p>
          <w:p w14:paraId="00D26950" w14:textId="67755AD7" w:rsidR="00654FC2" w:rsidRDefault="00654FC2" w:rsidP="00AD309C">
            <w:pPr>
              <w:pStyle w:val="ListParagraph"/>
              <w:numPr>
                <w:ilvl w:val="0"/>
                <w:numId w:val="125"/>
              </w:numPr>
            </w:pPr>
            <w:r>
              <w:t xml:space="preserve">When gloves should be used in addition to hand washing (e.g., caring for </w:t>
            </w:r>
            <w:r w:rsidRPr="00A26D23">
              <w:rPr>
                <w:i/>
                <w:iCs/>
              </w:rPr>
              <w:t>C. diff</w:t>
            </w:r>
            <w:r>
              <w:rPr>
                <w:i/>
                <w:iCs/>
              </w:rPr>
              <w:t>.</w:t>
            </w:r>
            <w:r>
              <w:t xml:space="preserve"> patients) and how hand hygiene should be performed when gloves are used</w:t>
            </w:r>
            <w:r w:rsidR="00C92582">
              <w:t>;</w:t>
            </w:r>
          </w:p>
          <w:p w14:paraId="32294C0C" w14:textId="2D6053C0" w:rsidR="00654FC2" w:rsidRDefault="00654FC2" w:rsidP="00AD309C">
            <w:pPr>
              <w:pStyle w:val="ListParagraph"/>
              <w:numPr>
                <w:ilvl w:val="0"/>
                <w:numId w:val="125"/>
              </w:numPr>
            </w:pPr>
            <w:r>
              <w:t>The minimum time that should be spent performing hand hygiene with soap and water and alcohol-based hand sanitizer</w:t>
            </w:r>
            <w:r w:rsidR="00C92582">
              <w:t>; and</w:t>
            </w:r>
          </w:p>
          <w:p w14:paraId="55C04B16" w14:textId="02B5A739" w:rsidR="00654FC2" w:rsidRPr="004B4271" w:rsidRDefault="00654FC2" w:rsidP="00AD309C">
            <w:pPr>
              <w:pStyle w:val="ListParagraph"/>
              <w:numPr>
                <w:ilvl w:val="0"/>
                <w:numId w:val="125"/>
              </w:numPr>
            </w:pPr>
            <w:r>
              <w:t>How hand hygiene compliance is monitored</w:t>
            </w:r>
            <w:r w:rsidR="00C92582">
              <w:t>?</w:t>
            </w:r>
          </w:p>
        </w:tc>
        <w:tc>
          <w:tcPr>
            <w:tcW w:w="3235" w:type="dxa"/>
            <w:vAlign w:val="center"/>
          </w:tcPr>
          <w:p w14:paraId="09471247" w14:textId="77777777" w:rsidR="00654FC2" w:rsidRPr="00B74BD8" w:rsidRDefault="00654FC2" w:rsidP="00AD309C">
            <w:pPr>
              <w:pStyle w:val="ListParagraph"/>
              <w:numPr>
                <w:ilvl w:val="0"/>
                <w:numId w:val="299"/>
              </w:numPr>
              <w:rPr>
                <w:iCs/>
              </w:rPr>
            </w:pPr>
            <w:r w:rsidRPr="00B74BD8">
              <w:rPr>
                <w:iCs/>
              </w:rPr>
              <w:t>Yes</w:t>
            </w:r>
          </w:p>
          <w:p w14:paraId="4D0D71F1" w14:textId="0694E279" w:rsidR="00654FC2" w:rsidRPr="00B74BD8" w:rsidRDefault="00654FC2" w:rsidP="00AD309C">
            <w:pPr>
              <w:pStyle w:val="ListParagraph"/>
              <w:numPr>
                <w:ilvl w:val="0"/>
                <w:numId w:val="299"/>
              </w:numPr>
              <w:rPr>
                <w:iCs/>
              </w:rPr>
            </w:pPr>
            <w:r w:rsidRPr="00B74BD8">
              <w:rPr>
                <w:iCs/>
              </w:rPr>
              <w:t>No</w:t>
            </w:r>
          </w:p>
        </w:tc>
      </w:tr>
    </w:tbl>
    <w:p w14:paraId="41B5B2CB" w14:textId="77777777" w:rsidR="00C91B69" w:rsidRPr="00C645E0" w:rsidRDefault="00C91B69" w:rsidP="00C91B69">
      <w:pPr>
        <w:rPr>
          <w:b/>
          <w:u w:val="single"/>
        </w:rPr>
      </w:pPr>
    </w:p>
    <w:p w14:paraId="7298EC6F" w14:textId="179C01B0" w:rsidR="00376548" w:rsidRPr="000F5420" w:rsidRDefault="00C645E0" w:rsidP="00AB5B80">
      <w:pPr>
        <w:pStyle w:val="Heading3"/>
        <w:rPr>
          <w:sz w:val="20"/>
          <w:szCs w:val="20"/>
        </w:rPr>
      </w:pPr>
      <w:bookmarkStart w:id="484" w:name="_Toc131159861"/>
      <w:bookmarkStart w:id="485" w:name="_Toc225877783"/>
      <w:r w:rsidRPr="00C645E0">
        <w:t>Infrastructure</w:t>
      </w:r>
      <w:bookmarkEnd w:id="484"/>
      <w:bookmarkEnd w:id="485"/>
      <w:r w:rsidR="00AC5B93">
        <w:br/>
      </w:r>
    </w:p>
    <w:tbl>
      <w:tblPr>
        <w:tblStyle w:val="TableGrid"/>
        <w:tblW w:w="0" w:type="auto"/>
        <w:tblLook w:val="04A0" w:firstRow="1" w:lastRow="0" w:firstColumn="1" w:lastColumn="0" w:noHBand="0" w:noVBand="1"/>
      </w:tblPr>
      <w:tblGrid>
        <w:gridCol w:w="6115"/>
        <w:gridCol w:w="3235"/>
      </w:tblGrid>
      <w:tr w:rsidR="00C645E0" w:rsidRPr="00C645E0" w14:paraId="797C772D" w14:textId="77777777" w:rsidTr="00D36222">
        <w:trPr>
          <w:trHeight w:val="2304"/>
        </w:trPr>
        <w:tc>
          <w:tcPr>
            <w:tcW w:w="6115" w:type="dxa"/>
          </w:tcPr>
          <w:p w14:paraId="6FB36498" w14:textId="51012180" w:rsidR="00C645E0" w:rsidRPr="00C645E0" w:rsidRDefault="00C645E0" w:rsidP="00AD309C">
            <w:pPr>
              <w:numPr>
                <w:ilvl w:val="0"/>
                <w:numId w:val="144"/>
              </w:numPr>
            </w:pPr>
            <w:r w:rsidRPr="00C645E0">
              <w:t xml:space="preserve">Does your hospital </w:t>
            </w:r>
            <w:r w:rsidR="007071C0">
              <w:t>conduct</w:t>
            </w:r>
            <w:r w:rsidRPr="00B30D9A">
              <w:t xml:space="preserve"> </w:t>
            </w:r>
            <w:r w:rsidRPr="00EF421A">
              <w:t>quarterly audits</w:t>
            </w:r>
            <w:r w:rsidRPr="00C645E0">
              <w:t xml:space="preserve"> </w:t>
            </w:r>
            <w:r w:rsidR="00A26D23">
              <w:t>on a sample of dispensers</w:t>
            </w:r>
            <w:r w:rsidRPr="00C645E0">
              <w:t xml:space="preserve"> </w:t>
            </w:r>
            <w:r w:rsidR="00403B90">
              <w:t xml:space="preserve">in your patient care units </w:t>
            </w:r>
            <w:r w:rsidRPr="00C645E0">
              <w:t xml:space="preserve">to ensure </w:t>
            </w:r>
            <w:r w:rsidR="007071C0">
              <w:t>all the following:</w:t>
            </w:r>
          </w:p>
          <w:p w14:paraId="5027083D" w14:textId="4711AA6F" w:rsidR="00AD65E4" w:rsidRDefault="007071C0" w:rsidP="00AD309C">
            <w:pPr>
              <w:numPr>
                <w:ilvl w:val="0"/>
                <w:numId w:val="84"/>
              </w:numPr>
            </w:pPr>
            <w:r>
              <w:t>P</w:t>
            </w:r>
            <w:r w:rsidR="00AD65E4">
              <w:t xml:space="preserve">aper towels, soap dispensers, and alcohol-based hand sanitizer dispensers </w:t>
            </w:r>
            <w:r>
              <w:t xml:space="preserve">are refilled </w:t>
            </w:r>
            <w:r w:rsidR="00AD65E4">
              <w:t>when they are empty or near empty</w:t>
            </w:r>
            <w:r w:rsidR="00E003AE">
              <w:t>,</w:t>
            </w:r>
            <w:r w:rsidR="00C92582">
              <w:t xml:space="preserve"> and</w:t>
            </w:r>
          </w:p>
          <w:p w14:paraId="6EF4CC87" w14:textId="45240CAA" w:rsidR="00C26849" w:rsidRPr="00C645E0" w:rsidRDefault="007071C0" w:rsidP="00AD309C">
            <w:pPr>
              <w:numPr>
                <w:ilvl w:val="0"/>
                <w:numId w:val="84"/>
              </w:numPr>
            </w:pPr>
            <w:r>
              <w:t>B</w:t>
            </w:r>
            <w:r w:rsidR="00AD65E4">
              <w:t>atteries in automated paper towel dispensers, soap dispensers, and alcohol-based hand sanitizer dispensers (if automated d</w:t>
            </w:r>
            <w:r w:rsidR="00C26849">
              <w:t>ispensers are used in the patient care units</w:t>
            </w:r>
            <w:r w:rsidR="00AD65E4">
              <w:t>)</w:t>
            </w:r>
            <w:r>
              <w:t xml:space="preserve"> are replaced</w:t>
            </w:r>
            <w:r w:rsidR="00C92582">
              <w:t>?</w:t>
            </w:r>
          </w:p>
        </w:tc>
        <w:tc>
          <w:tcPr>
            <w:tcW w:w="3235" w:type="dxa"/>
            <w:vAlign w:val="center"/>
          </w:tcPr>
          <w:p w14:paraId="40575AB1" w14:textId="77777777" w:rsidR="00C645E0" w:rsidRPr="00B74BD8" w:rsidRDefault="00C645E0" w:rsidP="00AD309C">
            <w:pPr>
              <w:pStyle w:val="ListParagraph"/>
              <w:numPr>
                <w:ilvl w:val="0"/>
                <w:numId w:val="298"/>
              </w:numPr>
              <w:rPr>
                <w:iCs/>
              </w:rPr>
            </w:pPr>
            <w:r w:rsidRPr="00B74BD8">
              <w:rPr>
                <w:iCs/>
              </w:rPr>
              <w:t>Yes</w:t>
            </w:r>
          </w:p>
          <w:p w14:paraId="723F17AF" w14:textId="77777777" w:rsidR="00C645E0" w:rsidRPr="00B74BD8" w:rsidRDefault="00C645E0" w:rsidP="00AD309C">
            <w:pPr>
              <w:pStyle w:val="ListParagraph"/>
              <w:numPr>
                <w:ilvl w:val="0"/>
                <w:numId w:val="298"/>
              </w:numPr>
              <w:rPr>
                <w:iCs/>
              </w:rPr>
            </w:pPr>
            <w:r w:rsidRPr="00B74BD8">
              <w:rPr>
                <w:iCs/>
              </w:rPr>
              <w:t>No</w:t>
            </w:r>
          </w:p>
        </w:tc>
      </w:tr>
      <w:tr w:rsidR="00C645E0" w:rsidRPr="00C645E0" w14:paraId="1B6B6DD2" w14:textId="77777777" w:rsidTr="00B74BD8">
        <w:trPr>
          <w:trHeight w:val="1728"/>
        </w:trPr>
        <w:tc>
          <w:tcPr>
            <w:tcW w:w="6115" w:type="dxa"/>
          </w:tcPr>
          <w:p w14:paraId="1ACB7AA2" w14:textId="73B0534A" w:rsidR="003578D4" w:rsidRDefault="00A26D23" w:rsidP="00AD309C">
            <w:pPr>
              <w:pStyle w:val="ListParagraph"/>
              <w:numPr>
                <w:ilvl w:val="0"/>
                <w:numId w:val="144"/>
              </w:numPr>
            </w:pPr>
            <w:r w:rsidRPr="00A26D23">
              <w:t xml:space="preserve">Do </w:t>
            </w:r>
            <w:r w:rsidRPr="004B0897">
              <w:rPr>
                <w:b/>
                <w:bCs/>
              </w:rPr>
              <w:t xml:space="preserve">all </w:t>
            </w:r>
            <w:r w:rsidRPr="00A26D23">
              <w:t xml:space="preserve">rooms </w:t>
            </w:r>
            <w:r w:rsidR="004B0897">
              <w:t>and</w:t>
            </w:r>
            <w:r w:rsidRPr="00A26D23">
              <w:t xml:space="preserve"> bed spaces in your patient care units have</w:t>
            </w:r>
            <w:r w:rsidR="003578D4">
              <w:t>:</w:t>
            </w:r>
          </w:p>
          <w:p w14:paraId="3A0BCC6C" w14:textId="7DD5A13B" w:rsidR="003578D4" w:rsidRDefault="00A26D23" w:rsidP="00AD309C">
            <w:pPr>
              <w:pStyle w:val="ListParagraph"/>
              <w:numPr>
                <w:ilvl w:val="0"/>
                <w:numId w:val="145"/>
              </w:numPr>
            </w:pPr>
            <w:r w:rsidRPr="00A26D23">
              <w:t xml:space="preserve">an alcohol-based hand sanitizer </w:t>
            </w:r>
            <w:r w:rsidR="003578D4">
              <w:t xml:space="preserve">dispenser located </w:t>
            </w:r>
            <w:r w:rsidR="00A65D19">
              <w:t>at the entrance to</w:t>
            </w:r>
            <w:r w:rsidR="003578D4">
              <w:t xml:space="preserve"> the room or bed space</w:t>
            </w:r>
            <w:r w:rsidR="0002601E">
              <w:t>,</w:t>
            </w:r>
            <w:r w:rsidR="003578D4">
              <w:t xml:space="preserve"> and</w:t>
            </w:r>
          </w:p>
          <w:p w14:paraId="671FBB43" w14:textId="14442AD6" w:rsidR="00AC5B93" w:rsidRPr="00C645E0" w:rsidRDefault="003578D4" w:rsidP="00AD309C">
            <w:pPr>
              <w:pStyle w:val="ListParagraph"/>
              <w:numPr>
                <w:ilvl w:val="0"/>
                <w:numId w:val="145"/>
              </w:numPr>
            </w:pPr>
            <w:r>
              <w:t>alcohol-based hand sanitizer</w:t>
            </w:r>
            <w:r w:rsidR="00A26D23" w:rsidRPr="00A26D23">
              <w:t xml:space="preserve"> </w:t>
            </w:r>
            <w:r>
              <w:t xml:space="preserve">dispenser(s) located inside the room or bed space that are equally </w:t>
            </w:r>
            <w:r w:rsidR="00A26D23" w:rsidRPr="00A26D23">
              <w:t>accessible to</w:t>
            </w:r>
            <w:r>
              <w:t xml:space="preserve"> </w:t>
            </w:r>
            <w:r w:rsidR="00155177">
              <w:t xml:space="preserve">the location of </w:t>
            </w:r>
            <w:r>
              <w:t>all patients</w:t>
            </w:r>
            <w:r w:rsidR="00155177">
              <w:t xml:space="preserve"> in the room or bed space</w:t>
            </w:r>
            <w:r w:rsidR="00D5601C">
              <w:t>?</w:t>
            </w:r>
          </w:p>
        </w:tc>
        <w:tc>
          <w:tcPr>
            <w:tcW w:w="3235" w:type="dxa"/>
            <w:vAlign w:val="center"/>
          </w:tcPr>
          <w:p w14:paraId="475FF173" w14:textId="77777777" w:rsidR="00C645E0" w:rsidRPr="00B74BD8" w:rsidRDefault="003F5475" w:rsidP="00AD309C">
            <w:pPr>
              <w:pStyle w:val="ListParagraph"/>
              <w:numPr>
                <w:ilvl w:val="0"/>
                <w:numId w:val="298"/>
              </w:numPr>
              <w:rPr>
                <w:iCs/>
              </w:rPr>
            </w:pPr>
            <w:r w:rsidRPr="00B74BD8">
              <w:rPr>
                <w:iCs/>
              </w:rPr>
              <w:t>Yes</w:t>
            </w:r>
          </w:p>
          <w:p w14:paraId="46BEA923" w14:textId="77777777" w:rsidR="003F5475" w:rsidRPr="00B74BD8" w:rsidRDefault="003F5475" w:rsidP="00AD309C">
            <w:pPr>
              <w:pStyle w:val="ListParagraph"/>
              <w:numPr>
                <w:ilvl w:val="0"/>
                <w:numId w:val="298"/>
              </w:numPr>
              <w:rPr>
                <w:iCs/>
              </w:rPr>
            </w:pPr>
            <w:r w:rsidRPr="00B74BD8">
              <w:rPr>
                <w:iCs/>
              </w:rPr>
              <w:t>No</w:t>
            </w:r>
          </w:p>
        </w:tc>
      </w:tr>
      <w:tr w:rsidR="00C645E0" w:rsidRPr="00C645E0" w14:paraId="0A1890CB" w14:textId="77777777" w:rsidTr="00B74BD8">
        <w:trPr>
          <w:trHeight w:val="4752"/>
        </w:trPr>
        <w:tc>
          <w:tcPr>
            <w:tcW w:w="6115" w:type="dxa"/>
          </w:tcPr>
          <w:p w14:paraId="0360DD6C" w14:textId="2BBD24C1" w:rsidR="00376548" w:rsidRDefault="00125DCD" w:rsidP="00AD309C">
            <w:pPr>
              <w:pStyle w:val="ListParagraph"/>
              <w:numPr>
                <w:ilvl w:val="0"/>
                <w:numId w:val="144"/>
              </w:numPr>
            </w:pPr>
            <w:r w:rsidRPr="00125DCD">
              <w:t>Does your hospital conduct</w:t>
            </w:r>
            <w:r w:rsidR="00C645E0" w:rsidRPr="00C645E0">
              <w:t xml:space="preserve"> </w:t>
            </w:r>
            <w:r w:rsidR="00C645E0" w:rsidRPr="00EF421A">
              <w:t>audits</w:t>
            </w:r>
            <w:r w:rsidR="00376548" w:rsidRPr="00EF421A">
              <w:t xml:space="preserve"> of the volume of alcohol-based hand sanitizer</w:t>
            </w:r>
            <w:r w:rsidR="00C645E0" w:rsidRPr="00C645E0">
              <w:t xml:space="preserve"> </w:t>
            </w:r>
            <w:r w:rsidR="00376548" w:rsidRPr="00125DCD">
              <w:t xml:space="preserve">that is delivered with each activation of a wall-mounted dispenser (manual and automated) </w:t>
            </w:r>
            <w:r w:rsidR="00A26D23">
              <w:t xml:space="preserve">on a sample of dispensers </w:t>
            </w:r>
            <w:r w:rsidR="00403B90">
              <w:t xml:space="preserve">in your patient care units </w:t>
            </w:r>
            <w:r w:rsidR="00376548">
              <w:t xml:space="preserve">at </w:t>
            </w:r>
            <w:r w:rsidR="00376548" w:rsidRPr="00820338">
              <w:rPr>
                <w:b/>
              </w:rPr>
              <w:t>all</w:t>
            </w:r>
            <w:r w:rsidR="00376548">
              <w:t xml:space="preserve"> the following times:</w:t>
            </w:r>
          </w:p>
          <w:p w14:paraId="361B1A54" w14:textId="07975C35" w:rsidR="00376548" w:rsidRDefault="00376548" w:rsidP="00AD309C">
            <w:pPr>
              <w:pStyle w:val="ListParagraph"/>
              <w:numPr>
                <w:ilvl w:val="0"/>
                <w:numId w:val="105"/>
              </w:numPr>
            </w:pPr>
            <w:r w:rsidRPr="00125DCD">
              <w:t>upon installation</w:t>
            </w:r>
            <w:r w:rsidR="0002601E">
              <w:t>,</w:t>
            </w:r>
          </w:p>
          <w:p w14:paraId="48CDD4CB" w14:textId="54B915D3" w:rsidR="00376548" w:rsidRDefault="00376548" w:rsidP="00AD309C">
            <w:pPr>
              <w:pStyle w:val="ListParagraph"/>
              <w:numPr>
                <w:ilvl w:val="0"/>
                <w:numId w:val="105"/>
              </w:numPr>
            </w:pPr>
            <w:r>
              <w:t xml:space="preserve">whenever the brand of product </w:t>
            </w:r>
            <w:r w:rsidR="00A26D23">
              <w:t xml:space="preserve">or system </w:t>
            </w:r>
            <w:r>
              <w:t>changes</w:t>
            </w:r>
            <w:r w:rsidR="0002601E">
              <w:t xml:space="preserve">, </w:t>
            </w:r>
            <w:r>
              <w:t>and</w:t>
            </w:r>
          </w:p>
          <w:p w14:paraId="51835A3D" w14:textId="2541E006" w:rsidR="00AF17B5" w:rsidRDefault="00A26D23" w:rsidP="00AD309C">
            <w:pPr>
              <w:pStyle w:val="ListParagraph"/>
              <w:numPr>
                <w:ilvl w:val="0"/>
                <w:numId w:val="105"/>
              </w:numPr>
            </w:pPr>
            <w:r w:rsidRPr="00A26D23">
              <w:t>whenever adjustments are made to the dispensers</w:t>
            </w:r>
            <w:r w:rsidR="00AE36BC">
              <w:t>?</w:t>
            </w:r>
            <w:r w:rsidR="00AF17B5">
              <w:t xml:space="preserve"> </w:t>
            </w:r>
          </w:p>
          <w:p w14:paraId="121F055F" w14:textId="77777777" w:rsidR="0002601E" w:rsidRDefault="0002601E" w:rsidP="00AF17B5">
            <w:pPr>
              <w:ind w:left="360"/>
              <w:rPr>
                <w:b/>
                <w:bCs/>
              </w:rPr>
            </w:pPr>
          </w:p>
          <w:p w14:paraId="23C2D22C" w14:textId="199F5F7D" w:rsidR="00080808" w:rsidRPr="00080808" w:rsidRDefault="00AF17B5" w:rsidP="00AF17B5">
            <w:pPr>
              <w:ind w:left="360"/>
            </w:pPr>
            <w:r w:rsidRPr="00080808">
              <w:rPr>
                <w:b/>
                <w:bCs/>
              </w:rPr>
              <w:t>OR</w:t>
            </w:r>
          </w:p>
          <w:p w14:paraId="6D999D5F" w14:textId="77777777" w:rsidR="0002601E" w:rsidRDefault="0002601E" w:rsidP="00AF17B5">
            <w:pPr>
              <w:ind w:left="360"/>
            </w:pPr>
          </w:p>
          <w:p w14:paraId="1B694624" w14:textId="75B1111F" w:rsidR="00376548" w:rsidRDefault="00080808" w:rsidP="00AF17B5">
            <w:pPr>
              <w:ind w:left="360"/>
            </w:pPr>
            <w:r>
              <w:t xml:space="preserve">Has your hospital conducted an </w:t>
            </w:r>
            <w:r w:rsidRPr="00EF421A">
              <w:t>audit of the volume of alcohol-based hand sanitizer</w:t>
            </w:r>
            <w:r w:rsidR="00AF17B5">
              <w:t xml:space="preserve"> </w:t>
            </w:r>
            <w:r>
              <w:t xml:space="preserve">that is delivered with each activation of a wall-mounted dispenser (manual and automated) on a sample of your hospital’s </w:t>
            </w:r>
            <w:r>
              <w:rPr>
                <w:u w:val="single"/>
              </w:rPr>
              <w:t>existing</w:t>
            </w:r>
            <w:r>
              <w:t xml:space="preserve"> dispensers </w:t>
            </w:r>
            <w:r w:rsidR="00AF17B5">
              <w:t>if there have been no</w:t>
            </w:r>
            <w:r w:rsidR="00B67017">
              <w:t xml:space="preserve"> </w:t>
            </w:r>
            <w:r w:rsidR="00AF17B5">
              <w:t>changes to any dispensers?</w:t>
            </w:r>
          </w:p>
          <w:p w14:paraId="45D9480C" w14:textId="77777777" w:rsidR="0086322F" w:rsidRPr="00C645E0" w:rsidRDefault="0086322F" w:rsidP="00376548">
            <w:pPr>
              <w:pStyle w:val="ListParagraph"/>
              <w:ind w:left="360"/>
            </w:pPr>
          </w:p>
          <w:p w14:paraId="1B160AAE" w14:textId="69B5DF43" w:rsidR="00AC5B93" w:rsidRPr="00C645E0" w:rsidRDefault="00376548" w:rsidP="000D5FED">
            <w:pPr>
              <w:ind w:left="360"/>
              <w:rPr>
                <w:i/>
              </w:rPr>
            </w:pPr>
            <w:r>
              <w:rPr>
                <w:i/>
              </w:rPr>
              <w:t>If “no” or “does not apply, wall-mounted dispensers are not used</w:t>
            </w:r>
            <w:r w:rsidRPr="00C645E0">
              <w:rPr>
                <w:i/>
              </w:rPr>
              <w:t>,</w:t>
            </w:r>
            <w:r>
              <w:rPr>
                <w:i/>
              </w:rPr>
              <w:t>”</w:t>
            </w:r>
            <w:r w:rsidRPr="00C645E0">
              <w:rPr>
                <w:i/>
              </w:rPr>
              <w:t xml:space="preserve"> skip question #</w:t>
            </w:r>
            <w:r w:rsidR="00E765A0">
              <w:rPr>
                <w:i/>
              </w:rPr>
              <w:t>7</w:t>
            </w:r>
            <w:r w:rsidRPr="00C645E0">
              <w:rPr>
                <w:i/>
              </w:rPr>
              <w:t xml:space="preserve"> and continue to question #</w:t>
            </w:r>
            <w:r w:rsidR="00E765A0">
              <w:rPr>
                <w:i/>
              </w:rPr>
              <w:t>8</w:t>
            </w:r>
            <w:r>
              <w:rPr>
                <w:i/>
              </w:rPr>
              <w:t>.</w:t>
            </w:r>
          </w:p>
        </w:tc>
        <w:tc>
          <w:tcPr>
            <w:tcW w:w="3235" w:type="dxa"/>
            <w:vAlign w:val="center"/>
          </w:tcPr>
          <w:p w14:paraId="37A47234" w14:textId="0016CBEE" w:rsidR="00C645E0" w:rsidRPr="00B74BD8" w:rsidRDefault="00C645E0" w:rsidP="00AD309C">
            <w:pPr>
              <w:pStyle w:val="ListParagraph"/>
              <w:numPr>
                <w:ilvl w:val="0"/>
                <w:numId w:val="298"/>
              </w:numPr>
              <w:rPr>
                <w:iCs/>
              </w:rPr>
            </w:pPr>
            <w:r w:rsidRPr="00B74BD8">
              <w:rPr>
                <w:iCs/>
              </w:rPr>
              <w:t>Yes</w:t>
            </w:r>
          </w:p>
          <w:p w14:paraId="143228DC" w14:textId="501CE8AB" w:rsidR="007B4D63" w:rsidRPr="00B74BD8" w:rsidRDefault="00C645E0" w:rsidP="00AD309C">
            <w:pPr>
              <w:pStyle w:val="ListParagraph"/>
              <w:numPr>
                <w:ilvl w:val="0"/>
                <w:numId w:val="298"/>
              </w:numPr>
              <w:rPr>
                <w:iCs/>
              </w:rPr>
            </w:pPr>
            <w:r w:rsidRPr="00B74BD8">
              <w:rPr>
                <w:iCs/>
              </w:rPr>
              <w:t>No</w:t>
            </w:r>
          </w:p>
          <w:p w14:paraId="2773372D" w14:textId="3D857579" w:rsidR="00C03D67" w:rsidRPr="00B74BD8" w:rsidRDefault="00C03D67" w:rsidP="00AD309C">
            <w:pPr>
              <w:pStyle w:val="ListParagraph"/>
              <w:numPr>
                <w:ilvl w:val="0"/>
                <w:numId w:val="298"/>
              </w:numPr>
              <w:rPr>
                <w:iCs/>
              </w:rPr>
            </w:pPr>
            <w:r w:rsidRPr="00B74BD8">
              <w:rPr>
                <w:iCs/>
              </w:rPr>
              <w:t>Does not apply</w:t>
            </w:r>
            <w:r w:rsidR="00BF2A68">
              <w:rPr>
                <w:iCs/>
              </w:rPr>
              <w:t>;</w:t>
            </w:r>
            <w:r w:rsidRPr="00B74BD8">
              <w:rPr>
                <w:iCs/>
              </w:rPr>
              <w:t xml:space="preserve"> wall-mounted dispensers are not used</w:t>
            </w:r>
          </w:p>
        </w:tc>
      </w:tr>
      <w:tr w:rsidR="00C645E0" w:rsidRPr="00C645E0" w14:paraId="5E518553" w14:textId="77777777" w:rsidTr="00B74BD8">
        <w:trPr>
          <w:trHeight w:val="1296"/>
        </w:trPr>
        <w:tc>
          <w:tcPr>
            <w:tcW w:w="6115" w:type="dxa"/>
            <w:vAlign w:val="center"/>
          </w:tcPr>
          <w:p w14:paraId="5FCD510F" w14:textId="1306BB83" w:rsidR="002274A4" w:rsidRPr="00C645E0" w:rsidRDefault="002274A4" w:rsidP="00AD309C">
            <w:pPr>
              <w:numPr>
                <w:ilvl w:val="0"/>
                <w:numId w:val="144"/>
              </w:numPr>
            </w:pPr>
            <w:r w:rsidRPr="002274A4">
              <w:t>Do all the audited dispensers deliver</w:t>
            </w:r>
            <w:r w:rsidR="00A26D23">
              <w:t>, with one activation,</w:t>
            </w:r>
            <w:r w:rsidRPr="002274A4">
              <w:t xml:space="preserve"> </w:t>
            </w:r>
            <w:r w:rsidR="003F209C">
              <w:t xml:space="preserve">1.0 mL </w:t>
            </w:r>
            <w:r w:rsidRPr="002274A4">
              <w:t xml:space="preserve">of alcohol-based hand sanitizer </w:t>
            </w:r>
            <w:r w:rsidR="003F209C">
              <w:t xml:space="preserve">OR </w:t>
            </w:r>
            <w:r w:rsidR="008527BA">
              <w:t>a volume of alcohol-based hand sanitizer</w:t>
            </w:r>
            <w:r w:rsidR="00080756">
              <w:t xml:space="preserve"> </w:t>
            </w:r>
            <w:r w:rsidR="008527BA">
              <w:t>that covers the hands completely and</w:t>
            </w:r>
            <w:r w:rsidRPr="002274A4">
              <w:t xml:space="preserve"> requires 15 or more seconds for hands to dry</w:t>
            </w:r>
            <w:r w:rsidR="000C1E2D">
              <w:t xml:space="preserve"> (on average)</w:t>
            </w:r>
            <w:r w:rsidRPr="002274A4">
              <w:t>?</w:t>
            </w:r>
          </w:p>
        </w:tc>
        <w:tc>
          <w:tcPr>
            <w:tcW w:w="3235" w:type="dxa"/>
            <w:vAlign w:val="center"/>
          </w:tcPr>
          <w:p w14:paraId="62AB951F" w14:textId="77777777" w:rsidR="00C645E0" w:rsidRPr="00B74BD8" w:rsidRDefault="00C645E0" w:rsidP="00AD309C">
            <w:pPr>
              <w:pStyle w:val="ListParagraph"/>
              <w:numPr>
                <w:ilvl w:val="0"/>
                <w:numId w:val="298"/>
              </w:numPr>
              <w:rPr>
                <w:iCs/>
              </w:rPr>
            </w:pPr>
            <w:r w:rsidRPr="00B74BD8">
              <w:rPr>
                <w:iCs/>
              </w:rPr>
              <w:t>Yes</w:t>
            </w:r>
          </w:p>
          <w:p w14:paraId="6B84BCF2" w14:textId="77777777" w:rsidR="00C645E0" w:rsidRPr="00B74BD8" w:rsidRDefault="00C645E0" w:rsidP="00AD309C">
            <w:pPr>
              <w:pStyle w:val="ListParagraph"/>
              <w:numPr>
                <w:ilvl w:val="0"/>
                <w:numId w:val="298"/>
              </w:numPr>
              <w:rPr>
                <w:iCs/>
              </w:rPr>
            </w:pPr>
            <w:r w:rsidRPr="00B74BD8">
              <w:rPr>
                <w:iCs/>
              </w:rPr>
              <w:t>No</w:t>
            </w:r>
          </w:p>
        </w:tc>
      </w:tr>
    </w:tbl>
    <w:p w14:paraId="1BF3EC92" w14:textId="2651428A" w:rsidR="00BF21C4" w:rsidRDefault="00BF21C4" w:rsidP="00C75799">
      <w:bookmarkStart w:id="486" w:name="_Toc131159862"/>
    </w:p>
    <w:p w14:paraId="300E2A0C" w14:textId="799D207A" w:rsidR="00C645E0" w:rsidRPr="00C8246A" w:rsidRDefault="003F5475" w:rsidP="00AB5B80">
      <w:pPr>
        <w:pStyle w:val="Heading3"/>
        <w:rPr>
          <w:sz w:val="20"/>
          <w:szCs w:val="20"/>
        </w:rPr>
      </w:pPr>
      <w:bookmarkStart w:id="487" w:name="_Toc225877784"/>
      <w:r>
        <w:t>Monitoring</w:t>
      </w:r>
      <w:bookmarkEnd w:id="486"/>
      <w:bookmarkEnd w:id="487"/>
      <w:r w:rsidR="00AC5B93">
        <w:br/>
      </w:r>
    </w:p>
    <w:tbl>
      <w:tblPr>
        <w:tblStyle w:val="TableGrid"/>
        <w:tblW w:w="0" w:type="auto"/>
        <w:tblLook w:val="04A0" w:firstRow="1" w:lastRow="0" w:firstColumn="1" w:lastColumn="0" w:noHBand="0" w:noVBand="1"/>
      </w:tblPr>
      <w:tblGrid>
        <w:gridCol w:w="6127"/>
        <w:gridCol w:w="3223"/>
      </w:tblGrid>
      <w:tr w:rsidR="00C4320C" w14:paraId="227679E1" w14:textId="3F93229C" w:rsidTr="00E43A51">
        <w:trPr>
          <w:trHeight w:val="1872"/>
        </w:trPr>
        <w:tc>
          <w:tcPr>
            <w:tcW w:w="6127" w:type="dxa"/>
            <w:vAlign w:val="center"/>
          </w:tcPr>
          <w:p w14:paraId="689653F2" w14:textId="0026488C" w:rsidR="00C4320C" w:rsidRDefault="00C4320C" w:rsidP="00AD309C">
            <w:pPr>
              <w:numPr>
                <w:ilvl w:val="0"/>
                <w:numId w:val="144"/>
              </w:numPr>
            </w:pPr>
            <w:r>
              <w:t xml:space="preserve">Does your hospital collect hand hygiene compliance data on at least </w:t>
            </w:r>
            <w:r w:rsidRPr="00093B90">
              <w:rPr>
                <w:b/>
                <w:bCs/>
              </w:rPr>
              <w:t>200</w:t>
            </w:r>
            <w:r w:rsidRPr="003F363F">
              <w:t xml:space="preserve"> </w:t>
            </w:r>
            <w:r w:rsidRPr="00DC0C88">
              <w:rPr>
                <w:b/>
                <w:bCs/>
              </w:rPr>
              <w:t>hand hygiene opportunities</w:t>
            </w:r>
            <w:r w:rsidRPr="003F363F">
              <w:t xml:space="preserve">, or </w:t>
            </w:r>
            <w:r w:rsidR="00FE21EC">
              <w:t xml:space="preserve">at least the number of hand hygiene opportunities outlined based on the unit type in </w:t>
            </w:r>
            <w:r w:rsidR="00FE21EC" w:rsidRPr="00DC0C88">
              <w:t>Tables 1-3</w:t>
            </w:r>
            <w:r>
              <w:t xml:space="preserve">, </w:t>
            </w:r>
            <w:r w:rsidRPr="00740D37">
              <w:rPr>
                <w:b/>
                <w:bCs/>
              </w:rPr>
              <w:t xml:space="preserve">each </w:t>
            </w:r>
            <w:r w:rsidRPr="00230353">
              <w:rPr>
                <w:b/>
                <w:bCs/>
                <w:u w:val="single"/>
              </w:rPr>
              <w:t>month</w:t>
            </w:r>
            <w:r w:rsidRPr="00230353">
              <w:rPr>
                <w:b/>
                <w:bCs/>
              </w:rPr>
              <w:t xml:space="preserve"> in each patient care unit</w:t>
            </w:r>
            <w:r>
              <w:t>?</w:t>
            </w:r>
          </w:p>
          <w:p w14:paraId="6A1F5982" w14:textId="5486EE11" w:rsidR="00C4320C" w:rsidRDefault="00C4320C" w:rsidP="00CA75AB">
            <w:pPr>
              <w:ind w:left="360"/>
            </w:pPr>
          </w:p>
          <w:p w14:paraId="4FB9ADF6" w14:textId="0142F50B" w:rsidR="00C4320C" w:rsidRPr="009E0198" w:rsidRDefault="00C4320C" w:rsidP="00CA75AB">
            <w:pPr>
              <w:ind w:left="360"/>
              <w:rPr>
                <w:i/>
                <w:iCs/>
              </w:rPr>
            </w:pPr>
            <w:r>
              <w:rPr>
                <w:i/>
                <w:iCs/>
              </w:rPr>
              <w:t>If “yes” to question #8, skip question</w:t>
            </w:r>
            <w:r w:rsidR="00D40215">
              <w:rPr>
                <w:i/>
                <w:iCs/>
              </w:rPr>
              <w:t>s</w:t>
            </w:r>
            <w:r>
              <w:rPr>
                <w:i/>
                <w:iCs/>
              </w:rPr>
              <w:t xml:space="preserve"> #9</w:t>
            </w:r>
            <w:r w:rsidR="00467127">
              <w:rPr>
                <w:i/>
                <w:iCs/>
              </w:rPr>
              <w:t>-10</w:t>
            </w:r>
            <w:r>
              <w:rPr>
                <w:i/>
                <w:iCs/>
              </w:rPr>
              <w:t xml:space="preserve"> and continue to question #1</w:t>
            </w:r>
            <w:r w:rsidR="00467127">
              <w:rPr>
                <w:i/>
                <w:iCs/>
              </w:rPr>
              <w:t>1</w:t>
            </w:r>
            <w:r>
              <w:rPr>
                <w:i/>
                <w:iCs/>
              </w:rPr>
              <w:t>.</w:t>
            </w:r>
          </w:p>
        </w:tc>
        <w:tc>
          <w:tcPr>
            <w:tcW w:w="3223" w:type="dxa"/>
            <w:vAlign w:val="center"/>
          </w:tcPr>
          <w:p w14:paraId="21539920" w14:textId="5530B21A" w:rsidR="00C4320C" w:rsidRPr="00B74BD8" w:rsidRDefault="00C4320C" w:rsidP="00AD309C">
            <w:pPr>
              <w:pStyle w:val="ListParagraph"/>
              <w:numPr>
                <w:ilvl w:val="0"/>
                <w:numId w:val="297"/>
              </w:numPr>
              <w:rPr>
                <w:iCs/>
              </w:rPr>
            </w:pPr>
            <w:r w:rsidRPr="00B74BD8">
              <w:rPr>
                <w:iCs/>
              </w:rPr>
              <w:t>Yes, using an electronic compliance monitoring system</w:t>
            </w:r>
            <w:r w:rsidR="00C33FA2" w:rsidRPr="00B74BD8">
              <w:rPr>
                <w:iCs/>
              </w:rPr>
              <w:t xml:space="preserve"> throughout all patient care units</w:t>
            </w:r>
          </w:p>
          <w:p w14:paraId="319EB1D1" w14:textId="63AD5689" w:rsidR="00C33FA2" w:rsidRPr="00B74BD8" w:rsidRDefault="00C33FA2" w:rsidP="00AD309C">
            <w:pPr>
              <w:pStyle w:val="ListParagraph"/>
              <w:numPr>
                <w:ilvl w:val="0"/>
                <w:numId w:val="297"/>
              </w:numPr>
              <w:rPr>
                <w:iCs/>
              </w:rPr>
            </w:pPr>
            <w:r w:rsidRPr="00B74BD8">
              <w:rPr>
                <w:iCs/>
              </w:rPr>
              <w:t>Yes, using an electronic compliance monitoring system throughout some patient care units and only direct observation in all other patient care units</w:t>
            </w:r>
          </w:p>
          <w:p w14:paraId="1F26238A" w14:textId="51BD3DB3" w:rsidR="00C4320C" w:rsidRPr="00B74BD8" w:rsidRDefault="00C4320C" w:rsidP="00AD309C">
            <w:pPr>
              <w:pStyle w:val="ListParagraph"/>
              <w:numPr>
                <w:ilvl w:val="0"/>
                <w:numId w:val="297"/>
              </w:numPr>
              <w:rPr>
                <w:iCs/>
              </w:rPr>
            </w:pPr>
            <w:r w:rsidRPr="00B74BD8">
              <w:rPr>
                <w:iCs/>
              </w:rPr>
              <w:t>Yes, using only direct observation</w:t>
            </w:r>
            <w:r w:rsidR="00C33FA2" w:rsidRPr="00B74BD8">
              <w:rPr>
                <w:iCs/>
              </w:rPr>
              <w:t xml:space="preserve"> </w:t>
            </w:r>
            <w:r w:rsidR="000C55D5" w:rsidRPr="00B74BD8">
              <w:rPr>
                <w:iCs/>
              </w:rPr>
              <w:t>throughout</w:t>
            </w:r>
            <w:r w:rsidR="00C33FA2" w:rsidRPr="00B74BD8">
              <w:rPr>
                <w:iCs/>
              </w:rPr>
              <w:t xml:space="preserve"> all patient care units</w:t>
            </w:r>
          </w:p>
          <w:p w14:paraId="25A0BCC4" w14:textId="60C6A41F" w:rsidR="00C4320C" w:rsidRPr="00B74BD8" w:rsidRDefault="00C4320C" w:rsidP="00AD309C">
            <w:pPr>
              <w:pStyle w:val="ListParagraph"/>
              <w:numPr>
                <w:ilvl w:val="0"/>
                <w:numId w:val="297"/>
              </w:numPr>
              <w:rPr>
                <w:iCs/>
              </w:rPr>
            </w:pPr>
            <w:r w:rsidRPr="00B74BD8">
              <w:rPr>
                <w:iCs/>
              </w:rPr>
              <w:t>No</w:t>
            </w:r>
          </w:p>
        </w:tc>
      </w:tr>
      <w:tr w:rsidR="00C4320C" w14:paraId="0296F878" w14:textId="1C1BC515" w:rsidTr="00E43A51">
        <w:trPr>
          <w:trHeight w:val="1872"/>
        </w:trPr>
        <w:tc>
          <w:tcPr>
            <w:tcW w:w="6127" w:type="dxa"/>
            <w:vAlign w:val="center"/>
          </w:tcPr>
          <w:p w14:paraId="362E7BF0" w14:textId="155A4D88" w:rsidR="00C4320C" w:rsidRDefault="00C4320C" w:rsidP="00AD309C">
            <w:pPr>
              <w:numPr>
                <w:ilvl w:val="0"/>
                <w:numId w:val="144"/>
              </w:numPr>
            </w:pPr>
            <w:r>
              <w:t xml:space="preserve">Does your hospital collect hand hygiene compliance data on at least </w:t>
            </w:r>
            <w:r w:rsidR="005B6CCF" w:rsidRPr="00093B90">
              <w:rPr>
                <w:b/>
                <w:bCs/>
              </w:rPr>
              <w:t>100</w:t>
            </w:r>
            <w:r>
              <w:t xml:space="preserve"> </w:t>
            </w:r>
            <w:r w:rsidRPr="00DC0C88">
              <w:rPr>
                <w:b/>
                <w:bCs/>
              </w:rPr>
              <w:t>hand hygiene opportunities</w:t>
            </w:r>
            <w:r w:rsidR="00D40215" w:rsidRPr="00A20F4B">
              <w:rPr>
                <w:rStyle w:val="Hyperlink"/>
                <w:color w:val="auto"/>
                <w:u w:val="none"/>
              </w:rPr>
              <w:t xml:space="preserve">, or at least the number of </w:t>
            </w:r>
            <w:r w:rsidR="00D40215" w:rsidRPr="00A20F4B">
              <w:t>hand hygiene opportunities</w:t>
            </w:r>
            <w:r w:rsidR="00D40215" w:rsidRPr="00A20F4B">
              <w:rPr>
                <w:rStyle w:val="Hyperlink"/>
                <w:color w:val="auto"/>
                <w:u w:val="none"/>
              </w:rPr>
              <w:t xml:space="preserve"> outlined based on the unit type in</w:t>
            </w:r>
            <w:r w:rsidR="00D406B6">
              <w:rPr>
                <w:rStyle w:val="Hyperlink"/>
                <w:color w:val="auto"/>
                <w:u w:val="none"/>
              </w:rPr>
              <w:t xml:space="preserve"> </w:t>
            </w:r>
            <w:r w:rsidR="00D40215" w:rsidRPr="00DC0C88">
              <w:t>Tables 4-6</w:t>
            </w:r>
            <w:r w:rsidR="00D40215" w:rsidRPr="00A20F4B">
              <w:rPr>
                <w:rStyle w:val="Hyperlink"/>
                <w:color w:val="auto"/>
                <w:u w:val="none"/>
              </w:rPr>
              <w:t>,</w:t>
            </w:r>
            <w:r>
              <w:t xml:space="preserve"> </w:t>
            </w:r>
            <w:r w:rsidRPr="00CE4346">
              <w:rPr>
                <w:b/>
                <w:bCs/>
              </w:rPr>
              <w:t>each</w:t>
            </w:r>
            <w:r>
              <w:rPr>
                <w:b/>
                <w:bCs/>
              </w:rPr>
              <w:t xml:space="preserve"> </w:t>
            </w:r>
            <w:r w:rsidR="00467127">
              <w:rPr>
                <w:b/>
                <w:bCs/>
                <w:u w:val="single"/>
              </w:rPr>
              <w:t>month</w:t>
            </w:r>
            <w:r w:rsidRPr="00230353">
              <w:rPr>
                <w:b/>
                <w:bCs/>
              </w:rPr>
              <w:t xml:space="preserve"> in each patient care unit</w:t>
            </w:r>
            <w:r>
              <w:t>?</w:t>
            </w:r>
          </w:p>
          <w:p w14:paraId="30557FCE" w14:textId="2DBBBEC7" w:rsidR="00C4320C" w:rsidRDefault="00C4320C" w:rsidP="00CA75AB">
            <w:pPr>
              <w:ind w:left="360"/>
            </w:pPr>
          </w:p>
          <w:p w14:paraId="5B14BE9A" w14:textId="00BF6976" w:rsidR="00C4320C" w:rsidRDefault="00C4320C" w:rsidP="00CA75AB">
            <w:pPr>
              <w:ind w:left="360"/>
            </w:pPr>
            <w:r>
              <w:rPr>
                <w:i/>
                <w:iCs/>
              </w:rPr>
              <w:t>If “</w:t>
            </w:r>
            <w:r w:rsidR="00467127">
              <w:rPr>
                <w:i/>
                <w:iCs/>
              </w:rPr>
              <w:t>yes</w:t>
            </w:r>
            <w:r>
              <w:rPr>
                <w:i/>
                <w:iCs/>
              </w:rPr>
              <w:t>” to question #9, skip question #10 and continue to question #1</w:t>
            </w:r>
            <w:r w:rsidR="00467127">
              <w:rPr>
                <w:i/>
                <w:iCs/>
              </w:rPr>
              <w:t>1</w:t>
            </w:r>
            <w:r>
              <w:rPr>
                <w:i/>
                <w:iCs/>
              </w:rPr>
              <w:t>.</w:t>
            </w:r>
          </w:p>
        </w:tc>
        <w:tc>
          <w:tcPr>
            <w:tcW w:w="3223" w:type="dxa"/>
            <w:vAlign w:val="center"/>
          </w:tcPr>
          <w:p w14:paraId="45E0FFB3" w14:textId="145D4277" w:rsidR="00C4320C" w:rsidRPr="00B74BD8" w:rsidRDefault="00C4320C" w:rsidP="00AD309C">
            <w:pPr>
              <w:pStyle w:val="ListParagraph"/>
              <w:numPr>
                <w:ilvl w:val="0"/>
                <w:numId w:val="297"/>
              </w:numPr>
              <w:rPr>
                <w:iCs/>
              </w:rPr>
            </w:pPr>
            <w:r w:rsidRPr="00B74BD8">
              <w:rPr>
                <w:iCs/>
              </w:rPr>
              <w:t>Yes, using an electronic compliance monitoring system</w:t>
            </w:r>
            <w:r w:rsidR="00C33FA2" w:rsidRPr="00B74BD8">
              <w:rPr>
                <w:iCs/>
              </w:rPr>
              <w:t xml:space="preserve"> throughout all patient care units</w:t>
            </w:r>
          </w:p>
          <w:p w14:paraId="209FDBB0" w14:textId="5DF5B919" w:rsidR="00C33FA2" w:rsidRPr="00B74BD8" w:rsidRDefault="00C33FA2" w:rsidP="00AD309C">
            <w:pPr>
              <w:pStyle w:val="ListParagraph"/>
              <w:numPr>
                <w:ilvl w:val="0"/>
                <w:numId w:val="297"/>
              </w:numPr>
              <w:rPr>
                <w:iCs/>
              </w:rPr>
            </w:pPr>
            <w:r w:rsidRPr="00B74BD8">
              <w:rPr>
                <w:iCs/>
              </w:rPr>
              <w:t>Yes, using an electronic compliance monitoring system throughout some patient care units and only direct observation in all other patient care units</w:t>
            </w:r>
          </w:p>
          <w:p w14:paraId="63BE4320" w14:textId="63F4D02C" w:rsidR="00C4320C" w:rsidRPr="00B74BD8" w:rsidRDefault="00C4320C" w:rsidP="00AD309C">
            <w:pPr>
              <w:pStyle w:val="ListParagraph"/>
              <w:numPr>
                <w:ilvl w:val="0"/>
                <w:numId w:val="297"/>
              </w:numPr>
              <w:rPr>
                <w:iCs/>
              </w:rPr>
            </w:pPr>
            <w:r w:rsidRPr="00B74BD8">
              <w:rPr>
                <w:iCs/>
              </w:rPr>
              <w:t>Yes, using only direct observation</w:t>
            </w:r>
            <w:r w:rsidR="00C33FA2" w:rsidRPr="00B74BD8">
              <w:rPr>
                <w:iCs/>
              </w:rPr>
              <w:t xml:space="preserve"> </w:t>
            </w:r>
            <w:r w:rsidR="000C55D5" w:rsidRPr="00B74BD8">
              <w:rPr>
                <w:iCs/>
              </w:rPr>
              <w:t>throughout</w:t>
            </w:r>
            <w:r w:rsidR="00C33FA2" w:rsidRPr="00B74BD8">
              <w:rPr>
                <w:iCs/>
              </w:rPr>
              <w:t xml:space="preserve"> all patient care units</w:t>
            </w:r>
          </w:p>
          <w:p w14:paraId="5917D6C4" w14:textId="42BE5DA8" w:rsidR="00C4320C" w:rsidRPr="00B74BD8" w:rsidRDefault="00C4320C" w:rsidP="00AD309C">
            <w:pPr>
              <w:pStyle w:val="ListParagraph"/>
              <w:numPr>
                <w:ilvl w:val="0"/>
                <w:numId w:val="297"/>
              </w:numPr>
              <w:rPr>
                <w:iCs/>
              </w:rPr>
            </w:pPr>
            <w:r w:rsidRPr="00B74BD8">
              <w:rPr>
                <w:iCs/>
              </w:rPr>
              <w:t>No</w:t>
            </w:r>
          </w:p>
        </w:tc>
      </w:tr>
      <w:tr w:rsidR="00467127" w14:paraId="4EE4458D" w14:textId="77777777" w:rsidTr="00E43A51">
        <w:trPr>
          <w:trHeight w:val="1008"/>
        </w:trPr>
        <w:tc>
          <w:tcPr>
            <w:tcW w:w="6127" w:type="dxa"/>
            <w:vAlign w:val="center"/>
          </w:tcPr>
          <w:p w14:paraId="3FE88FAB" w14:textId="6E7763D0" w:rsidR="00467127" w:rsidRDefault="00467127" w:rsidP="00AD309C">
            <w:pPr>
              <w:numPr>
                <w:ilvl w:val="0"/>
                <w:numId w:val="144"/>
              </w:numPr>
            </w:pPr>
            <w:r>
              <w:t xml:space="preserve">Does your hospital collect hand hygiene compliance data on at least </w:t>
            </w:r>
            <w:r w:rsidRPr="00093B90">
              <w:rPr>
                <w:b/>
                <w:bCs/>
              </w:rPr>
              <w:t xml:space="preserve">100 </w:t>
            </w:r>
            <w:r w:rsidRPr="00DC0C88">
              <w:rPr>
                <w:b/>
                <w:bCs/>
              </w:rPr>
              <w:t>hand hygiene opportunities</w:t>
            </w:r>
            <w:r w:rsidR="00D40215" w:rsidRPr="00DC0C88">
              <w:rPr>
                <w:rStyle w:val="Hyperlink"/>
                <w:u w:val="none"/>
              </w:rPr>
              <w:t xml:space="preserve"> </w:t>
            </w:r>
            <w:r w:rsidRPr="00CE4346">
              <w:rPr>
                <w:b/>
                <w:bCs/>
              </w:rPr>
              <w:t>each</w:t>
            </w:r>
            <w:r>
              <w:rPr>
                <w:b/>
                <w:bCs/>
              </w:rPr>
              <w:t xml:space="preserve"> </w:t>
            </w:r>
            <w:r w:rsidRPr="00230353">
              <w:rPr>
                <w:b/>
                <w:bCs/>
                <w:u w:val="single"/>
              </w:rPr>
              <w:t>quarter</w:t>
            </w:r>
            <w:r w:rsidRPr="00230353">
              <w:rPr>
                <w:b/>
                <w:bCs/>
              </w:rPr>
              <w:t xml:space="preserve"> in each patient care unit</w:t>
            </w:r>
            <w:r>
              <w:t>?</w:t>
            </w:r>
          </w:p>
          <w:p w14:paraId="57DC6C36" w14:textId="77777777" w:rsidR="00467127" w:rsidRDefault="00467127" w:rsidP="00467127">
            <w:pPr>
              <w:ind w:left="360"/>
            </w:pPr>
          </w:p>
          <w:p w14:paraId="06BF5170" w14:textId="4A3D8BC4" w:rsidR="00467127" w:rsidRDefault="00467127" w:rsidP="00EE018B">
            <w:pPr>
              <w:ind w:left="360"/>
            </w:pPr>
            <w:r>
              <w:rPr>
                <w:i/>
                <w:iCs/>
              </w:rPr>
              <w:t>If “no” to question #10, skip questions #11-19 and continue to question #20.</w:t>
            </w:r>
          </w:p>
        </w:tc>
        <w:tc>
          <w:tcPr>
            <w:tcW w:w="3223" w:type="dxa"/>
            <w:vAlign w:val="center"/>
          </w:tcPr>
          <w:p w14:paraId="01D6F66A" w14:textId="77777777" w:rsidR="00467127" w:rsidRPr="00B74BD8" w:rsidRDefault="00467127" w:rsidP="00AD309C">
            <w:pPr>
              <w:pStyle w:val="ListParagraph"/>
              <w:numPr>
                <w:ilvl w:val="0"/>
                <w:numId w:val="297"/>
              </w:numPr>
              <w:rPr>
                <w:iCs/>
              </w:rPr>
            </w:pPr>
            <w:r w:rsidRPr="00B74BD8">
              <w:rPr>
                <w:iCs/>
              </w:rPr>
              <w:t>Yes, using an electronic compliance monitoring system throughout all patient care units</w:t>
            </w:r>
          </w:p>
          <w:p w14:paraId="2EB7F6E8" w14:textId="77777777" w:rsidR="00467127" w:rsidRPr="00B74BD8" w:rsidRDefault="00467127" w:rsidP="00AD309C">
            <w:pPr>
              <w:pStyle w:val="ListParagraph"/>
              <w:numPr>
                <w:ilvl w:val="0"/>
                <w:numId w:val="297"/>
              </w:numPr>
              <w:rPr>
                <w:iCs/>
              </w:rPr>
            </w:pPr>
            <w:r w:rsidRPr="00B74BD8">
              <w:rPr>
                <w:iCs/>
              </w:rPr>
              <w:t>Yes, using an electronic compliance monitoring system throughout some patient care units and only direct observation in all other patient care units</w:t>
            </w:r>
          </w:p>
          <w:p w14:paraId="6287F72D" w14:textId="77777777" w:rsidR="00467127" w:rsidRPr="00B74BD8" w:rsidRDefault="00467127" w:rsidP="00AD309C">
            <w:pPr>
              <w:pStyle w:val="ListParagraph"/>
              <w:numPr>
                <w:ilvl w:val="0"/>
                <w:numId w:val="297"/>
              </w:numPr>
              <w:rPr>
                <w:iCs/>
              </w:rPr>
            </w:pPr>
            <w:r w:rsidRPr="00B74BD8">
              <w:rPr>
                <w:iCs/>
              </w:rPr>
              <w:t>Yes, using only direct observation throughout all patient care units</w:t>
            </w:r>
          </w:p>
          <w:p w14:paraId="74A3E710" w14:textId="1522627A" w:rsidR="00467127" w:rsidRPr="00B74BD8" w:rsidRDefault="00467127" w:rsidP="00AD309C">
            <w:pPr>
              <w:pStyle w:val="ListParagraph"/>
              <w:numPr>
                <w:ilvl w:val="0"/>
                <w:numId w:val="297"/>
              </w:numPr>
              <w:rPr>
                <w:iCs/>
              </w:rPr>
            </w:pPr>
            <w:r w:rsidRPr="00B74BD8">
              <w:rPr>
                <w:iCs/>
              </w:rPr>
              <w:t>No</w:t>
            </w:r>
          </w:p>
        </w:tc>
      </w:tr>
      <w:tr w:rsidR="00C4320C" w14:paraId="7ABEA95D" w14:textId="2C0719F9" w:rsidTr="00B74BD8">
        <w:trPr>
          <w:trHeight w:val="1296"/>
        </w:trPr>
        <w:tc>
          <w:tcPr>
            <w:tcW w:w="6127" w:type="dxa"/>
            <w:vAlign w:val="center"/>
          </w:tcPr>
          <w:p w14:paraId="61531BBC" w14:textId="2B532E54" w:rsidR="00AC5B93" w:rsidRDefault="00C4320C" w:rsidP="00AD309C">
            <w:pPr>
              <w:numPr>
                <w:ilvl w:val="0"/>
                <w:numId w:val="144"/>
              </w:numPr>
            </w:pPr>
            <w:r w:rsidRPr="00C4320C">
              <w:t xml:space="preserve">Does your hospital use hand hygiene coaches or compliance observers to provide </w:t>
            </w:r>
            <w:hyperlink w:anchor="HHtouchpatientsendnote" w:history="1">
              <w:r w:rsidRPr="00D5601C">
                <w:rPr>
                  <w:rStyle w:val="Hyperlink"/>
                </w:rPr>
                <w:t>individuals who touch patients or who touch items that will be used by patients</w:t>
              </w:r>
            </w:hyperlink>
            <w:r>
              <w:fldChar w:fldCharType="begin"/>
            </w:r>
            <w:r>
              <w:instrText xml:space="preserve"> NOTEREF _Ref25671414 \f \h </w:instrText>
            </w:r>
            <w:r w:rsidR="0088152A">
              <w:instrText xml:space="preserve"> \* MERGEFORMAT </w:instrText>
            </w:r>
            <w:r>
              <w:fldChar w:fldCharType="separate"/>
            </w:r>
            <w:r w:rsidR="007D53A2" w:rsidRPr="00EE0B9E">
              <w:rPr>
                <w:rStyle w:val="EndnoteReference"/>
              </w:rPr>
              <w:t>44</w:t>
            </w:r>
            <w:r>
              <w:fldChar w:fldCharType="end"/>
            </w:r>
            <w:r w:rsidRPr="00C4320C">
              <w:t xml:space="preserve"> </w:t>
            </w:r>
            <w:r w:rsidR="0068645C">
              <w:t xml:space="preserve">in your patient care units </w:t>
            </w:r>
            <w:r w:rsidRPr="00C4320C">
              <w:t>with feedback on both when they are and are not compliant with performing hand hygiene?</w:t>
            </w:r>
          </w:p>
        </w:tc>
        <w:tc>
          <w:tcPr>
            <w:tcW w:w="3223" w:type="dxa"/>
            <w:vAlign w:val="center"/>
          </w:tcPr>
          <w:p w14:paraId="7B7E8B27" w14:textId="2A9FEC55" w:rsidR="00C4320C" w:rsidRPr="00B74BD8" w:rsidRDefault="00C4320C" w:rsidP="00AD309C">
            <w:pPr>
              <w:pStyle w:val="ListParagraph"/>
              <w:numPr>
                <w:ilvl w:val="0"/>
                <w:numId w:val="297"/>
              </w:numPr>
              <w:rPr>
                <w:iCs/>
              </w:rPr>
            </w:pPr>
            <w:r w:rsidRPr="00B74BD8">
              <w:rPr>
                <w:iCs/>
              </w:rPr>
              <w:t>Yes</w:t>
            </w:r>
          </w:p>
          <w:p w14:paraId="4C5BD9C8" w14:textId="151043D6" w:rsidR="00C4320C" w:rsidRPr="00B74BD8" w:rsidRDefault="00C4320C" w:rsidP="00AD309C">
            <w:pPr>
              <w:pStyle w:val="ListParagraph"/>
              <w:numPr>
                <w:ilvl w:val="0"/>
                <w:numId w:val="297"/>
              </w:numPr>
              <w:rPr>
                <w:iCs/>
              </w:rPr>
            </w:pPr>
            <w:r w:rsidRPr="00B74BD8">
              <w:rPr>
                <w:iCs/>
              </w:rPr>
              <w:t>No</w:t>
            </w:r>
          </w:p>
        </w:tc>
      </w:tr>
    </w:tbl>
    <w:p w14:paraId="6418BB33" w14:textId="77777777" w:rsidR="0088152A" w:rsidRDefault="0088152A" w:rsidP="00C645E0">
      <w:pPr>
        <w:rPr>
          <w:b/>
          <w:i/>
        </w:rPr>
      </w:pPr>
    </w:p>
    <w:p w14:paraId="2A6FC908" w14:textId="0F3D8211" w:rsidR="00CA7511" w:rsidRPr="00AC5B93" w:rsidRDefault="00CA7511" w:rsidP="0002601E">
      <w:pPr>
        <w:pStyle w:val="Heading44"/>
      </w:pPr>
      <w:r w:rsidRPr="00AC5B93">
        <w:t>Direct Monitoring – Electronic Compliance Monitoring System</w:t>
      </w:r>
    </w:p>
    <w:p w14:paraId="02433062" w14:textId="77777777" w:rsidR="00832DC8" w:rsidRDefault="00832DC8" w:rsidP="00543A6E">
      <w:pPr>
        <w:rPr>
          <w:bCs/>
          <w:i/>
          <w:iCs/>
        </w:rPr>
      </w:pPr>
    </w:p>
    <w:p w14:paraId="2337BDA8" w14:textId="730E2F8D" w:rsidR="00543A6E" w:rsidRDefault="00543A6E" w:rsidP="00543A6E">
      <w:pPr>
        <w:rPr>
          <w:bCs/>
          <w:i/>
          <w:iCs/>
        </w:rPr>
      </w:pPr>
      <w:r>
        <w:rPr>
          <w:bCs/>
          <w:i/>
          <w:iCs/>
        </w:rPr>
        <w:t>If “yes, using an electronic compliance monitoring system</w:t>
      </w:r>
      <w:r w:rsidR="00C33FA2">
        <w:rPr>
          <w:bCs/>
          <w:i/>
          <w:iCs/>
        </w:rPr>
        <w:t xml:space="preserve"> throughout all patient care units</w:t>
      </w:r>
      <w:r>
        <w:rPr>
          <w:bCs/>
          <w:i/>
          <w:iCs/>
        </w:rPr>
        <w:t xml:space="preserve">” or “yes, using an electronic compliance monitoring system </w:t>
      </w:r>
      <w:r w:rsidR="00C33FA2">
        <w:rPr>
          <w:bCs/>
          <w:i/>
          <w:iCs/>
        </w:rPr>
        <w:t xml:space="preserve">throughout some patient care units </w:t>
      </w:r>
      <w:r>
        <w:rPr>
          <w:bCs/>
          <w:i/>
          <w:iCs/>
        </w:rPr>
        <w:t xml:space="preserve">and </w:t>
      </w:r>
      <w:r w:rsidR="00C33FA2">
        <w:rPr>
          <w:bCs/>
          <w:i/>
          <w:iCs/>
        </w:rPr>
        <w:t xml:space="preserve">only </w:t>
      </w:r>
      <w:r>
        <w:rPr>
          <w:bCs/>
          <w:i/>
          <w:iCs/>
        </w:rPr>
        <w:t>direct observation</w:t>
      </w:r>
      <w:r w:rsidR="00C33FA2">
        <w:rPr>
          <w:bCs/>
          <w:i/>
          <w:iCs/>
        </w:rPr>
        <w:t xml:space="preserve"> in all other patient care units</w:t>
      </w:r>
      <w:r>
        <w:rPr>
          <w:bCs/>
          <w:i/>
          <w:iCs/>
        </w:rPr>
        <w:t>” to question #8</w:t>
      </w:r>
      <w:r w:rsidR="006B7972">
        <w:rPr>
          <w:bCs/>
          <w:i/>
          <w:iCs/>
        </w:rPr>
        <w:t>,</w:t>
      </w:r>
      <w:r>
        <w:rPr>
          <w:bCs/>
          <w:i/>
          <w:iCs/>
        </w:rPr>
        <w:t xml:space="preserve"> question #9</w:t>
      </w:r>
      <w:r w:rsidR="006B7972">
        <w:rPr>
          <w:bCs/>
          <w:i/>
          <w:iCs/>
        </w:rPr>
        <w:t>, or question #10</w:t>
      </w:r>
      <w:r>
        <w:rPr>
          <w:bCs/>
          <w:i/>
          <w:iCs/>
        </w:rPr>
        <w:t>, answer questions #1</w:t>
      </w:r>
      <w:r w:rsidR="006B7972">
        <w:rPr>
          <w:bCs/>
          <w:i/>
          <w:iCs/>
        </w:rPr>
        <w:t>2</w:t>
      </w:r>
      <w:r>
        <w:rPr>
          <w:bCs/>
          <w:i/>
          <w:iCs/>
        </w:rPr>
        <w:t>-1</w:t>
      </w:r>
      <w:r w:rsidR="006B7972">
        <w:rPr>
          <w:bCs/>
          <w:i/>
          <w:iCs/>
        </w:rPr>
        <w:t>3</w:t>
      </w:r>
      <w:r w:rsidR="00137C20">
        <w:rPr>
          <w:bCs/>
          <w:i/>
          <w:iCs/>
        </w:rPr>
        <w:t xml:space="preserve"> based on the units that use an electronic compliance monitoring system</w:t>
      </w:r>
      <w:r>
        <w:rPr>
          <w:bCs/>
          <w:i/>
          <w:iCs/>
        </w:rPr>
        <w:t>.</w:t>
      </w:r>
    </w:p>
    <w:p w14:paraId="0E16FEC0" w14:textId="77777777" w:rsidR="00543A6E" w:rsidRPr="00CB083F" w:rsidRDefault="00543A6E" w:rsidP="00CA7511">
      <w:pPr>
        <w:rPr>
          <w:b/>
        </w:rPr>
      </w:pPr>
    </w:p>
    <w:tbl>
      <w:tblPr>
        <w:tblStyle w:val="TableGrid"/>
        <w:tblW w:w="0" w:type="auto"/>
        <w:tblLook w:val="04A0" w:firstRow="1" w:lastRow="0" w:firstColumn="1" w:lastColumn="0" w:noHBand="0" w:noVBand="1"/>
      </w:tblPr>
      <w:tblGrid>
        <w:gridCol w:w="6127"/>
        <w:gridCol w:w="3223"/>
      </w:tblGrid>
      <w:tr w:rsidR="00CA7511" w:rsidRPr="00CB083F" w14:paraId="67786800" w14:textId="77777777" w:rsidTr="00B74BD8">
        <w:trPr>
          <w:trHeight w:val="2016"/>
        </w:trPr>
        <w:tc>
          <w:tcPr>
            <w:tcW w:w="6127" w:type="dxa"/>
            <w:vAlign w:val="center"/>
          </w:tcPr>
          <w:p w14:paraId="024AC69B" w14:textId="339B259F" w:rsidR="00CA7511" w:rsidRDefault="00A77251" w:rsidP="00AD309C">
            <w:pPr>
              <w:pStyle w:val="ListParagraph"/>
              <w:numPr>
                <w:ilvl w:val="0"/>
                <w:numId w:val="144"/>
              </w:numPr>
            </w:pPr>
            <w:r w:rsidRPr="00A77251">
              <w:t xml:space="preserve">In those patient care units where an electronic compliance monitoring system is used, does the monitoring system used meet </w:t>
            </w:r>
            <w:r w:rsidRPr="00A77251">
              <w:rPr>
                <w:b/>
              </w:rPr>
              <w:t>both</w:t>
            </w:r>
            <w:r w:rsidRPr="00A77251">
              <w:t xml:space="preserve"> of the following criteria</w:t>
            </w:r>
            <w:r w:rsidR="00C92582">
              <w:t>:</w:t>
            </w:r>
          </w:p>
          <w:p w14:paraId="09B1CA68" w14:textId="02E3D3BD" w:rsidR="00A77251" w:rsidRDefault="00A77251" w:rsidP="00AD309C">
            <w:pPr>
              <w:pStyle w:val="ListParagraph"/>
              <w:numPr>
                <w:ilvl w:val="0"/>
                <w:numId w:val="126"/>
              </w:numPr>
            </w:pPr>
            <w:r>
              <w:t xml:space="preserve">The system can </w:t>
            </w:r>
            <w:r w:rsidRPr="00DC0C88">
              <w:t>identify both opportunities for hand hygiene and that hand hygiene was performed</w:t>
            </w:r>
            <w:r w:rsidR="00C92582">
              <w:t>, and</w:t>
            </w:r>
          </w:p>
          <w:p w14:paraId="39E4A30D" w14:textId="4C6D5F2F" w:rsidR="00A77251" w:rsidRPr="00A77251" w:rsidRDefault="00A77251" w:rsidP="00AD309C">
            <w:pPr>
              <w:pStyle w:val="ListParagraph"/>
              <w:numPr>
                <w:ilvl w:val="0"/>
                <w:numId w:val="126"/>
              </w:numPr>
            </w:pPr>
            <w:r>
              <w:t xml:space="preserve">The hospital itself has </w:t>
            </w:r>
            <w:r w:rsidRPr="00DC0C88">
              <w:t>validated the accuracy</w:t>
            </w:r>
            <w:r>
              <w:t xml:space="preserve"> of the data collected by the electronic compliance monitoring system</w:t>
            </w:r>
            <w:r w:rsidR="00C92582">
              <w:t>?</w:t>
            </w:r>
          </w:p>
        </w:tc>
        <w:tc>
          <w:tcPr>
            <w:tcW w:w="3223" w:type="dxa"/>
            <w:vAlign w:val="center"/>
          </w:tcPr>
          <w:p w14:paraId="134FFBCD" w14:textId="77777777" w:rsidR="00CA7511" w:rsidRPr="00B74BD8" w:rsidRDefault="00A77251" w:rsidP="00AD309C">
            <w:pPr>
              <w:pStyle w:val="ListParagraph"/>
              <w:numPr>
                <w:ilvl w:val="0"/>
                <w:numId w:val="300"/>
              </w:numPr>
              <w:rPr>
                <w:iCs/>
              </w:rPr>
            </w:pPr>
            <w:r w:rsidRPr="00B74BD8">
              <w:rPr>
                <w:iCs/>
              </w:rPr>
              <w:t>Yes</w:t>
            </w:r>
          </w:p>
          <w:p w14:paraId="7E7B9E64" w14:textId="77777777" w:rsidR="00A77251" w:rsidRPr="00B74BD8" w:rsidRDefault="00A77251" w:rsidP="00AD309C">
            <w:pPr>
              <w:pStyle w:val="ListParagraph"/>
              <w:numPr>
                <w:ilvl w:val="0"/>
                <w:numId w:val="300"/>
              </w:numPr>
              <w:rPr>
                <w:iCs/>
              </w:rPr>
            </w:pPr>
            <w:r w:rsidRPr="00B74BD8">
              <w:rPr>
                <w:iCs/>
              </w:rPr>
              <w:t>No</w:t>
            </w:r>
          </w:p>
        </w:tc>
      </w:tr>
      <w:tr w:rsidR="00A77251" w:rsidRPr="00CB083F" w14:paraId="78EF2E10" w14:textId="77777777" w:rsidTr="00B74BD8">
        <w:trPr>
          <w:trHeight w:val="5184"/>
        </w:trPr>
        <w:tc>
          <w:tcPr>
            <w:tcW w:w="6127" w:type="dxa"/>
          </w:tcPr>
          <w:p w14:paraId="113AA3A4" w14:textId="61FF01D4" w:rsidR="00A77251" w:rsidRDefault="00A77251" w:rsidP="00AD309C">
            <w:pPr>
              <w:pStyle w:val="ListParagraph"/>
              <w:numPr>
                <w:ilvl w:val="0"/>
                <w:numId w:val="144"/>
              </w:numPr>
            </w:pPr>
            <w:r w:rsidRPr="00A77251">
              <w:t xml:space="preserve">In those patient care units where an electronic compliance monitoring system is used, are direct observations also conducted for coaching and intervention purposes that meet </w:t>
            </w:r>
            <w:r w:rsidRPr="00A77251">
              <w:rPr>
                <w:b/>
              </w:rPr>
              <w:t>all</w:t>
            </w:r>
            <w:r w:rsidRPr="00A77251">
              <w:t xml:space="preserve"> the following criteria</w:t>
            </w:r>
            <w:r w:rsidR="00C92582">
              <w:t>:</w:t>
            </w:r>
          </w:p>
          <w:p w14:paraId="11A483AD" w14:textId="2B7052E2" w:rsidR="00A77251" w:rsidRDefault="00A77251" w:rsidP="00AD309C">
            <w:pPr>
              <w:pStyle w:val="ListParagraph"/>
              <w:numPr>
                <w:ilvl w:val="0"/>
                <w:numId w:val="127"/>
              </w:numPr>
            </w:pPr>
            <w:r>
              <w:t>Observers immediately intervene prior to any harm occurring to provide non-compliant individuals with immediate feedback</w:t>
            </w:r>
            <w:r w:rsidR="00C92582">
              <w:t>;</w:t>
            </w:r>
          </w:p>
          <w:p w14:paraId="6F5C470E" w14:textId="0E4A6EA0" w:rsidR="00A77251" w:rsidRDefault="00A77251" w:rsidP="00AD309C">
            <w:pPr>
              <w:pStyle w:val="ListParagraph"/>
              <w:numPr>
                <w:ilvl w:val="0"/>
                <w:numId w:val="127"/>
              </w:numPr>
            </w:pPr>
            <w:r>
              <w:t>Observations identify both opportunities for hand hygiene and compliance with those opportunities</w:t>
            </w:r>
            <w:r w:rsidR="00975256">
              <w:t>;</w:t>
            </w:r>
          </w:p>
          <w:p w14:paraId="421EE1AA" w14:textId="79020137" w:rsidR="00A77251" w:rsidRDefault="00A77251" w:rsidP="00AD309C">
            <w:pPr>
              <w:pStyle w:val="ListParagraph"/>
              <w:numPr>
                <w:ilvl w:val="0"/>
                <w:numId w:val="127"/>
              </w:numPr>
            </w:pPr>
            <w:r>
              <w:t>Observations determine who practiced hand hygiene, verify when they practiced it, and whether their technique was correct</w:t>
            </w:r>
            <w:r w:rsidR="00C92582">
              <w:t>;</w:t>
            </w:r>
          </w:p>
          <w:p w14:paraId="35C42115" w14:textId="4552FB0C" w:rsidR="00A77251" w:rsidRDefault="00A77251" w:rsidP="00AD309C">
            <w:pPr>
              <w:pStyle w:val="ListParagraph"/>
              <w:numPr>
                <w:ilvl w:val="0"/>
                <w:numId w:val="127"/>
              </w:numPr>
            </w:pPr>
            <w:r>
              <w:t>Observations within a unit are conducted weekly or monthly across all shifts and on all days of the week proportional to the</w:t>
            </w:r>
            <w:r w:rsidR="00F56E7B">
              <w:t xml:space="preserve"> number of</w:t>
            </w:r>
            <w:r>
              <w:t xml:space="preserve"> </w:t>
            </w:r>
            <w:hyperlink w:anchor="HHtouchpatientsendnote" w:history="1">
              <w:r w:rsidRPr="001A5CC5">
                <w:rPr>
                  <w:rStyle w:val="Hyperlink"/>
                </w:rPr>
                <w:t>individuals who touch patients or who touch items that will be used by patients</w:t>
              </w:r>
            </w:hyperlink>
            <w:r w:rsidR="001A5CC5">
              <w:fldChar w:fldCharType="begin"/>
            </w:r>
            <w:r w:rsidR="001A5CC5">
              <w:instrText xml:space="preserve"> NOTEREF _Ref25671414 \f \h </w:instrText>
            </w:r>
            <w:r w:rsidR="0088152A">
              <w:instrText xml:space="preserve"> \* MERGEFORMAT </w:instrText>
            </w:r>
            <w:r w:rsidR="001A5CC5">
              <w:fldChar w:fldCharType="separate"/>
            </w:r>
            <w:r w:rsidR="007D53A2" w:rsidRPr="00EE0B9E">
              <w:rPr>
                <w:rStyle w:val="EndnoteReference"/>
              </w:rPr>
              <w:t>44</w:t>
            </w:r>
            <w:r w:rsidR="001A5CC5">
              <w:fldChar w:fldCharType="end"/>
            </w:r>
            <w:r>
              <w:t xml:space="preserve"> on duty for that shift</w:t>
            </w:r>
            <w:r w:rsidR="00C92582">
              <w:t>; and</w:t>
            </w:r>
          </w:p>
          <w:p w14:paraId="70B089F2" w14:textId="266BB51E" w:rsidR="00A77251" w:rsidRPr="00A77251" w:rsidRDefault="00A77251" w:rsidP="00AD309C">
            <w:pPr>
              <w:pStyle w:val="ListParagraph"/>
              <w:numPr>
                <w:ilvl w:val="0"/>
                <w:numId w:val="127"/>
              </w:numPr>
            </w:pPr>
            <w:r>
              <w:t xml:space="preserve">Observations capture a representative sample of the different roles of </w:t>
            </w:r>
            <w:hyperlink w:anchor="HHtouchpatientsendnote" w:history="1">
              <w:r w:rsidRPr="001A5CC5">
                <w:rPr>
                  <w:rStyle w:val="Hyperlink"/>
                </w:rPr>
                <w:t>individuals who touch patients or who touch item</w:t>
              </w:r>
              <w:r w:rsidR="001A5CC5" w:rsidRPr="001A5CC5">
                <w:rPr>
                  <w:rStyle w:val="Hyperlink"/>
                </w:rPr>
                <w:t>s that will be used by patients</w:t>
              </w:r>
            </w:hyperlink>
            <w:r w:rsidR="001A5CC5">
              <w:fldChar w:fldCharType="begin"/>
            </w:r>
            <w:r w:rsidR="001A5CC5">
              <w:instrText xml:space="preserve"> NOTEREF _Ref25671414 \f \h </w:instrText>
            </w:r>
            <w:r w:rsidR="0088152A">
              <w:instrText xml:space="preserve"> \* MERGEFORMAT </w:instrText>
            </w:r>
            <w:r w:rsidR="001A5CC5">
              <w:fldChar w:fldCharType="separate"/>
            </w:r>
            <w:r w:rsidR="007D53A2" w:rsidRPr="001D29D4">
              <w:rPr>
                <w:rStyle w:val="EndnoteReference"/>
              </w:rPr>
              <w:t>44</w:t>
            </w:r>
            <w:r w:rsidR="001A5CC5">
              <w:fldChar w:fldCharType="end"/>
            </w:r>
            <w:r>
              <w:t xml:space="preserve"> (e.g., nurses, physicians, techs, environmental services workers)</w:t>
            </w:r>
            <w:r w:rsidR="00C92582">
              <w:t>?</w:t>
            </w:r>
          </w:p>
        </w:tc>
        <w:tc>
          <w:tcPr>
            <w:tcW w:w="3223" w:type="dxa"/>
            <w:vAlign w:val="center"/>
          </w:tcPr>
          <w:p w14:paraId="3FA90333" w14:textId="77777777" w:rsidR="00A77251" w:rsidRPr="00B74BD8" w:rsidRDefault="00986B04" w:rsidP="00AD309C">
            <w:pPr>
              <w:pStyle w:val="ListParagraph"/>
              <w:numPr>
                <w:ilvl w:val="0"/>
                <w:numId w:val="300"/>
              </w:numPr>
              <w:rPr>
                <w:iCs/>
              </w:rPr>
            </w:pPr>
            <w:r w:rsidRPr="00B74BD8">
              <w:rPr>
                <w:iCs/>
              </w:rPr>
              <w:t>Yes</w:t>
            </w:r>
          </w:p>
          <w:p w14:paraId="51EC7FC9" w14:textId="77777777" w:rsidR="00986B04" w:rsidRPr="00B74BD8" w:rsidRDefault="00986B04" w:rsidP="00AD309C">
            <w:pPr>
              <w:pStyle w:val="ListParagraph"/>
              <w:numPr>
                <w:ilvl w:val="0"/>
                <w:numId w:val="300"/>
              </w:numPr>
              <w:rPr>
                <w:iCs/>
              </w:rPr>
            </w:pPr>
            <w:r w:rsidRPr="00B74BD8">
              <w:rPr>
                <w:iCs/>
              </w:rPr>
              <w:t>No</w:t>
            </w:r>
          </w:p>
        </w:tc>
      </w:tr>
    </w:tbl>
    <w:p w14:paraId="6863A80A" w14:textId="77777777" w:rsidR="00CA7511" w:rsidRDefault="00CA7511" w:rsidP="00CA7511"/>
    <w:p w14:paraId="523269DD" w14:textId="77777777" w:rsidR="00CA7511" w:rsidRPr="000F5420" w:rsidRDefault="00CA7511" w:rsidP="0002601E">
      <w:pPr>
        <w:pStyle w:val="Heading44"/>
        <w:rPr>
          <w:sz w:val="20"/>
          <w:szCs w:val="18"/>
        </w:rPr>
      </w:pPr>
      <w:r w:rsidRPr="00AC5B93">
        <w:t>Direct Monitoring – Direct Observation</w:t>
      </w:r>
      <w:r w:rsidR="00474DDE">
        <w:br/>
      </w:r>
    </w:p>
    <w:p w14:paraId="3ADB7874" w14:textId="44C78888" w:rsidR="005F0F65" w:rsidRDefault="00F56E7B" w:rsidP="00C33FA2">
      <w:pPr>
        <w:rPr>
          <w:bCs/>
          <w:i/>
          <w:iCs/>
        </w:rPr>
      </w:pPr>
      <w:r>
        <w:rPr>
          <w:bCs/>
          <w:i/>
          <w:iCs/>
        </w:rPr>
        <w:t xml:space="preserve">If </w:t>
      </w:r>
      <w:r w:rsidR="00C33FA2">
        <w:rPr>
          <w:bCs/>
          <w:i/>
          <w:iCs/>
        </w:rPr>
        <w:t xml:space="preserve">“yes, </w:t>
      </w:r>
      <w:r w:rsidR="00C33FA2" w:rsidRPr="00C33FA2">
        <w:rPr>
          <w:bCs/>
          <w:i/>
          <w:iCs/>
        </w:rPr>
        <w:t>using an electronic compliance monitoring system throughout some patient care units and only direct observation in all other patient care units</w:t>
      </w:r>
      <w:r w:rsidR="00C33FA2">
        <w:rPr>
          <w:bCs/>
          <w:i/>
          <w:iCs/>
        </w:rPr>
        <w:t xml:space="preserve">” or </w:t>
      </w:r>
      <w:r>
        <w:rPr>
          <w:bCs/>
          <w:i/>
          <w:iCs/>
        </w:rPr>
        <w:t>“yes, using only direct observation” to question #8</w:t>
      </w:r>
      <w:r w:rsidR="006B7972">
        <w:rPr>
          <w:bCs/>
          <w:i/>
          <w:iCs/>
        </w:rPr>
        <w:t>,</w:t>
      </w:r>
      <w:r>
        <w:rPr>
          <w:bCs/>
          <w:i/>
          <w:iCs/>
        </w:rPr>
        <w:t xml:space="preserve"> question #9, </w:t>
      </w:r>
      <w:r w:rsidR="006B7972">
        <w:rPr>
          <w:bCs/>
          <w:i/>
          <w:iCs/>
        </w:rPr>
        <w:t xml:space="preserve">or question #10 </w:t>
      </w:r>
      <w:r>
        <w:rPr>
          <w:bCs/>
          <w:i/>
          <w:iCs/>
        </w:rPr>
        <w:t>answer questions #1</w:t>
      </w:r>
      <w:r w:rsidR="006B7972">
        <w:rPr>
          <w:bCs/>
          <w:i/>
          <w:iCs/>
        </w:rPr>
        <w:t>4</w:t>
      </w:r>
      <w:r>
        <w:rPr>
          <w:bCs/>
          <w:i/>
          <w:iCs/>
        </w:rPr>
        <w:t>-1</w:t>
      </w:r>
      <w:r w:rsidR="006B7972">
        <w:rPr>
          <w:bCs/>
          <w:i/>
          <w:iCs/>
        </w:rPr>
        <w:t>5</w:t>
      </w:r>
      <w:r w:rsidR="005F0F65">
        <w:rPr>
          <w:bCs/>
          <w:i/>
          <w:iCs/>
        </w:rPr>
        <w:t xml:space="preserve"> based on the units that do NOT use an electronic compliance monitoring system</w:t>
      </w:r>
      <w:r>
        <w:rPr>
          <w:bCs/>
          <w:i/>
          <w:iCs/>
        </w:rPr>
        <w:t>.</w:t>
      </w:r>
    </w:p>
    <w:tbl>
      <w:tblPr>
        <w:tblStyle w:val="TableGrid"/>
        <w:tblpPr w:leftFromText="180" w:rightFromText="180" w:vertAnchor="text" w:horzAnchor="margin" w:tblpY="254"/>
        <w:tblW w:w="0" w:type="auto"/>
        <w:tblLook w:val="04A0" w:firstRow="1" w:lastRow="0" w:firstColumn="1" w:lastColumn="0" w:noHBand="0" w:noVBand="1"/>
      </w:tblPr>
      <w:tblGrid>
        <w:gridCol w:w="6127"/>
        <w:gridCol w:w="3223"/>
      </w:tblGrid>
      <w:tr w:rsidR="00233969" w:rsidRPr="00C645E0" w14:paraId="039FF31C" w14:textId="77777777" w:rsidTr="00B74BD8">
        <w:trPr>
          <w:trHeight w:val="1728"/>
        </w:trPr>
        <w:tc>
          <w:tcPr>
            <w:tcW w:w="6127" w:type="dxa"/>
            <w:tcBorders>
              <w:top w:val="single" w:sz="4" w:space="0" w:color="auto"/>
            </w:tcBorders>
            <w:vAlign w:val="center"/>
          </w:tcPr>
          <w:p w14:paraId="45311B81" w14:textId="0E026FC7" w:rsidR="00B96CDF" w:rsidRPr="00CE58DD" w:rsidRDefault="00B96CDF" w:rsidP="00AD309C">
            <w:pPr>
              <w:pStyle w:val="ListParagraph"/>
              <w:numPr>
                <w:ilvl w:val="0"/>
                <w:numId w:val="144"/>
              </w:numPr>
            </w:pPr>
            <w:r w:rsidRPr="00CE58DD">
              <w:t xml:space="preserve">In those patient care units where an electronic compliance monitoring system is NOT used, do the direct observations meet </w:t>
            </w:r>
            <w:r w:rsidRPr="001777D8">
              <w:rPr>
                <w:b/>
                <w:bCs/>
              </w:rPr>
              <w:t>all</w:t>
            </w:r>
            <w:r w:rsidRPr="00CE58DD">
              <w:t xml:space="preserve"> the following criteria</w:t>
            </w:r>
            <w:r w:rsidR="00C92582">
              <w:t>:</w:t>
            </w:r>
          </w:p>
          <w:p w14:paraId="07F90772" w14:textId="4FE96025" w:rsidR="00B96CDF" w:rsidRPr="00A46A82" w:rsidRDefault="00B96CDF" w:rsidP="00AD309C">
            <w:pPr>
              <w:pStyle w:val="ListParagraph"/>
              <w:numPr>
                <w:ilvl w:val="0"/>
                <w:numId w:val="128"/>
              </w:numPr>
            </w:pPr>
            <w:bookmarkStart w:id="488" w:name="_Hlk36135872"/>
            <w:r w:rsidRPr="00A46A82">
              <w:t>Observations identify both opportunities for hand hygiene and compliance with those opportunities</w:t>
            </w:r>
            <w:r w:rsidR="00975256">
              <w:t>;</w:t>
            </w:r>
          </w:p>
          <w:p w14:paraId="779F633F" w14:textId="1B6CC6E8" w:rsidR="00B96CDF" w:rsidRPr="00A46A82" w:rsidRDefault="00B96CDF" w:rsidP="00AD309C">
            <w:pPr>
              <w:pStyle w:val="ListParagraph"/>
              <w:numPr>
                <w:ilvl w:val="0"/>
                <w:numId w:val="128"/>
              </w:numPr>
            </w:pPr>
            <w:r w:rsidRPr="00A46A82">
              <w:t>Observations determine who practiced hand hygiene, verify when they practiced it, and whether their technique was correct</w:t>
            </w:r>
            <w:r w:rsidR="00C92582">
              <w:t>;</w:t>
            </w:r>
          </w:p>
          <w:p w14:paraId="38AF68FD" w14:textId="4B07E04B" w:rsidR="00B96CDF" w:rsidRPr="00A46A82" w:rsidRDefault="00B96CDF" w:rsidP="00AD309C">
            <w:pPr>
              <w:pStyle w:val="ListParagraph"/>
              <w:numPr>
                <w:ilvl w:val="0"/>
                <w:numId w:val="128"/>
              </w:numPr>
            </w:pPr>
            <w:r w:rsidRPr="00A46A82">
              <w:t>Observations within a unit are conducted weekly or monthly across all shifts and on all days of the week proportional to</w:t>
            </w:r>
            <w:r>
              <w:t xml:space="preserve"> the number of</w:t>
            </w:r>
            <w:r w:rsidRPr="00A46A82">
              <w:t xml:space="preserve"> </w:t>
            </w:r>
            <w:hyperlink w:anchor="HHtouchpatientsendnote" w:history="1">
              <w:r w:rsidRPr="00A46A82">
                <w:rPr>
                  <w:rStyle w:val="Hyperlink"/>
                </w:rPr>
                <w:t>individuals who touch patients or who touch items that will be used by patients</w:t>
              </w:r>
            </w:hyperlink>
            <w:r>
              <w:fldChar w:fldCharType="begin"/>
            </w:r>
            <w:r>
              <w:instrText xml:space="preserve"> NOTEREF _Ref25671414 \f \h  \* MERGEFORMAT </w:instrText>
            </w:r>
            <w:r>
              <w:fldChar w:fldCharType="separate"/>
            </w:r>
            <w:r w:rsidR="007D53A2" w:rsidRPr="001D29D4">
              <w:rPr>
                <w:rStyle w:val="EndnoteReference"/>
              </w:rPr>
              <w:t>44</w:t>
            </w:r>
            <w:r>
              <w:fldChar w:fldCharType="end"/>
            </w:r>
            <w:r w:rsidRPr="00A46A82">
              <w:t xml:space="preserve"> on duty for that shift</w:t>
            </w:r>
            <w:r w:rsidR="00C92582">
              <w:t>; and</w:t>
            </w:r>
          </w:p>
          <w:p w14:paraId="3C5B8A8D" w14:textId="239AE1E6" w:rsidR="00B96CDF" w:rsidRPr="0002601E" w:rsidRDefault="00B96CDF" w:rsidP="00AD309C">
            <w:pPr>
              <w:pStyle w:val="ListParagraph"/>
              <w:numPr>
                <w:ilvl w:val="0"/>
                <w:numId w:val="128"/>
              </w:numPr>
              <w:rPr>
                <w:i/>
              </w:rPr>
            </w:pPr>
            <w:r w:rsidRPr="00A46A82">
              <w:t xml:space="preserve">Observations are conducted to capture a representative sample of the different roles of </w:t>
            </w:r>
            <w:hyperlink w:anchor="HHtouchpatientsendnote" w:history="1">
              <w:r w:rsidRPr="00A46A82">
                <w:rPr>
                  <w:rStyle w:val="Hyperlink"/>
                </w:rPr>
                <w:t>individuals who touch patients or who touch items that will be used by patients</w:t>
              </w:r>
            </w:hyperlink>
            <w:r>
              <w:fldChar w:fldCharType="begin"/>
            </w:r>
            <w:r>
              <w:instrText xml:space="preserve"> NOTEREF _Ref25671414 \f \h  \* MERGEFORMAT </w:instrText>
            </w:r>
            <w:r>
              <w:fldChar w:fldCharType="separate"/>
            </w:r>
            <w:r w:rsidR="007D53A2" w:rsidRPr="001D29D4">
              <w:rPr>
                <w:rStyle w:val="EndnoteReference"/>
              </w:rPr>
              <w:t>44</w:t>
            </w:r>
            <w:r>
              <w:fldChar w:fldCharType="end"/>
            </w:r>
            <w:r w:rsidRPr="00A46A82">
              <w:t xml:space="preserve"> (e.g., nurses, physicians, techs, environmental services workers)</w:t>
            </w:r>
            <w:bookmarkEnd w:id="488"/>
            <w:r w:rsidR="00C92582">
              <w:t>?</w:t>
            </w:r>
          </w:p>
        </w:tc>
        <w:tc>
          <w:tcPr>
            <w:tcW w:w="3223" w:type="dxa"/>
            <w:tcBorders>
              <w:top w:val="single" w:sz="4" w:space="0" w:color="auto"/>
            </w:tcBorders>
            <w:vAlign w:val="center"/>
          </w:tcPr>
          <w:p w14:paraId="1EDF187E" w14:textId="77777777" w:rsidR="00B96CDF" w:rsidRPr="00B74BD8" w:rsidRDefault="00B96CDF" w:rsidP="00AD309C">
            <w:pPr>
              <w:pStyle w:val="ListParagraph"/>
              <w:numPr>
                <w:ilvl w:val="0"/>
                <w:numId w:val="303"/>
              </w:numPr>
              <w:rPr>
                <w:iCs/>
              </w:rPr>
            </w:pPr>
            <w:r w:rsidRPr="00B74BD8">
              <w:rPr>
                <w:iCs/>
              </w:rPr>
              <w:t>Yes</w:t>
            </w:r>
          </w:p>
          <w:p w14:paraId="6FBB685F" w14:textId="77777777" w:rsidR="00B96CDF" w:rsidRPr="00B74BD8" w:rsidRDefault="00B96CDF" w:rsidP="00AD309C">
            <w:pPr>
              <w:pStyle w:val="ListParagraph"/>
              <w:numPr>
                <w:ilvl w:val="0"/>
                <w:numId w:val="303"/>
              </w:numPr>
              <w:rPr>
                <w:iCs/>
              </w:rPr>
            </w:pPr>
            <w:r w:rsidRPr="00B74BD8">
              <w:rPr>
                <w:iCs/>
              </w:rPr>
              <w:t>No</w:t>
            </w:r>
          </w:p>
        </w:tc>
      </w:tr>
      <w:tr w:rsidR="00233969" w:rsidRPr="00C645E0" w14:paraId="7C981562" w14:textId="77777777" w:rsidTr="00B74BD8">
        <w:trPr>
          <w:trHeight w:val="792"/>
        </w:trPr>
        <w:tc>
          <w:tcPr>
            <w:tcW w:w="6127" w:type="dxa"/>
            <w:vAlign w:val="center"/>
          </w:tcPr>
          <w:p w14:paraId="2A3E308C" w14:textId="109F2FE8" w:rsidR="00B96CDF" w:rsidRPr="00A46A82" w:rsidRDefault="00B96CDF" w:rsidP="00AD309C">
            <w:pPr>
              <w:numPr>
                <w:ilvl w:val="0"/>
                <w:numId w:val="144"/>
              </w:numPr>
            </w:pPr>
            <w:r w:rsidRPr="00422FF2">
              <w:t xml:space="preserve">Does your hospital have </w:t>
            </w:r>
            <w:bookmarkStart w:id="489" w:name="_Hlk36135925"/>
            <w:r w:rsidRPr="00422FF2">
              <w:t>a system in place for both the initial and recurrent training and</w:t>
            </w:r>
            <w:r>
              <w:t xml:space="preserve"> </w:t>
            </w:r>
            <w:r w:rsidRPr="00DC0C88">
              <w:t>validation of hand hygiene compliance observers</w:t>
            </w:r>
            <w:r w:rsidRPr="00422FF2">
              <w:t>?</w:t>
            </w:r>
            <w:bookmarkEnd w:id="489"/>
          </w:p>
        </w:tc>
        <w:tc>
          <w:tcPr>
            <w:tcW w:w="3223" w:type="dxa"/>
            <w:vAlign w:val="center"/>
          </w:tcPr>
          <w:p w14:paraId="2ED92741" w14:textId="77777777" w:rsidR="00B96CDF" w:rsidRPr="00B74BD8" w:rsidRDefault="00B96CDF" w:rsidP="00AD309C">
            <w:pPr>
              <w:pStyle w:val="ListParagraph"/>
              <w:numPr>
                <w:ilvl w:val="0"/>
                <w:numId w:val="303"/>
              </w:numPr>
              <w:rPr>
                <w:iCs/>
              </w:rPr>
            </w:pPr>
            <w:r w:rsidRPr="00B74BD8">
              <w:rPr>
                <w:iCs/>
              </w:rPr>
              <w:t>Yes</w:t>
            </w:r>
          </w:p>
          <w:p w14:paraId="5BC3AB86" w14:textId="77777777" w:rsidR="00B96CDF" w:rsidRPr="00B74BD8" w:rsidRDefault="00B96CDF" w:rsidP="00AD309C">
            <w:pPr>
              <w:pStyle w:val="ListParagraph"/>
              <w:numPr>
                <w:ilvl w:val="0"/>
                <w:numId w:val="303"/>
              </w:numPr>
              <w:rPr>
                <w:iCs/>
              </w:rPr>
            </w:pPr>
            <w:r w:rsidRPr="00B74BD8">
              <w:rPr>
                <w:iCs/>
              </w:rPr>
              <w:t>No</w:t>
            </w:r>
          </w:p>
        </w:tc>
      </w:tr>
    </w:tbl>
    <w:p w14:paraId="30B4B5B8" w14:textId="1FAC1A81" w:rsidR="00AC5B93" w:rsidRDefault="00AC5B93" w:rsidP="00CA7511">
      <w:pPr>
        <w:rPr>
          <w:b/>
        </w:rPr>
      </w:pPr>
    </w:p>
    <w:p w14:paraId="4F67C26E" w14:textId="762F97B9" w:rsidR="00CA7511" w:rsidRPr="000F5420" w:rsidRDefault="00CA7511" w:rsidP="00AB5B80">
      <w:pPr>
        <w:pStyle w:val="Heading3"/>
        <w:rPr>
          <w:sz w:val="20"/>
          <w:szCs w:val="20"/>
        </w:rPr>
      </w:pPr>
      <w:bookmarkStart w:id="490" w:name="_Toc131159863"/>
      <w:bookmarkStart w:id="491" w:name="_Toc225877785"/>
      <w:r w:rsidRPr="00AC5B93">
        <w:t>Feedback</w:t>
      </w:r>
      <w:bookmarkEnd w:id="490"/>
      <w:bookmarkEnd w:id="491"/>
      <w:r w:rsidR="00AC5B93" w:rsidRPr="00AC5B93">
        <w:br/>
      </w:r>
    </w:p>
    <w:tbl>
      <w:tblPr>
        <w:tblStyle w:val="TableGrid"/>
        <w:tblW w:w="0" w:type="auto"/>
        <w:tblLook w:val="04A0" w:firstRow="1" w:lastRow="0" w:firstColumn="1" w:lastColumn="0" w:noHBand="0" w:noVBand="1"/>
      </w:tblPr>
      <w:tblGrid>
        <w:gridCol w:w="6127"/>
        <w:gridCol w:w="3223"/>
      </w:tblGrid>
      <w:tr w:rsidR="00CA7511" w:rsidRPr="00C645E0" w14:paraId="3B1CACA1" w14:textId="77777777" w:rsidTr="00B74BD8">
        <w:trPr>
          <w:trHeight w:val="864"/>
        </w:trPr>
        <w:tc>
          <w:tcPr>
            <w:tcW w:w="6127" w:type="dxa"/>
            <w:vAlign w:val="center"/>
          </w:tcPr>
          <w:p w14:paraId="011CD1E6" w14:textId="3CAC623A" w:rsidR="00912EB9" w:rsidRPr="00C645E0" w:rsidRDefault="00912EB9" w:rsidP="00AD309C">
            <w:pPr>
              <w:pStyle w:val="ListParagraph"/>
              <w:numPr>
                <w:ilvl w:val="0"/>
                <w:numId w:val="144"/>
              </w:numPr>
            </w:pPr>
            <w:r w:rsidRPr="00912EB9">
              <w:t xml:space="preserve">Are unit-level hand hygiene compliance data fed back to </w:t>
            </w:r>
            <w:hyperlink w:anchor="HHtouchpatientsendnote" w:history="1">
              <w:r w:rsidRPr="00FB6CA9">
                <w:rPr>
                  <w:rStyle w:val="Hyperlink"/>
                </w:rPr>
                <w:t>individuals who touch patients or who touch items that will be used by patients</w:t>
              </w:r>
            </w:hyperlink>
            <w:r w:rsidR="00FB6CA9">
              <w:fldChar w:fldCharType="begin"/>
            </w:r>
            <w:r w:rsidR="00FB6CA9">
              <w:instrText xml:space="preserve"> NOTEREF _Ref25671414 \f \h </w:instrText>
            </w:r>
            <w:r w:rsidR="001777D8">
              <w:instrText xml:space="preserve"> \* MERGEFORMAT </w:instrText>
            </w:r>
            <w:r w:rsidR="00FB6CA9">
              <w:fldChar w:fldCharType="separate"/>
            </w:r>
            <w:r w:rsidR="007D53A2" w:rsidRPr="001D29D4">
              <w:rPr>
                <w:rStyle w:val="EndnoteReference"/>
              </w:rPr>
              <w:t>44</w:t>
            </w:r>
            <w:r w:rsidR="00FB6CA9">
              <w:fldChar w:fldCharType="end"/>
            </w:r>
            <w:r w:rsidRPr="00912EB9">
              <w:t xml:space="preserve"> at least monthly for improvement work?</w:t>
            </w:r>
          </w:p>
        </w:tc>
        <w:tc>
          <w:tcPr>
            <w:tcW w:w="3223" w:type="dxa"/>
            <w:vAlign w:val="center"/>
          </w:tcPr>
          <w:p w14:paraId="49AD0A51" w14:textId="77777777" w:rsidR="00CA7511" w:rsidRPr="00B74BD8" w:rsidRDefault="00CA7511" w:rsidP="00AD309C">
            <w:pPr>
              <w:pStyle w:val="ListParagraph"/>
              <w:numPr>
                <w:ilvl w:val="0"/>
                <w:numId w:val="301"/>
              </w:numPr>
              <w:rPr>
                <w:iCs/>
              </w:rPr>
            </w:pPr>
            <w:r w:rsidRPr="00B74BD8">
              <w:rPr>
                <w:iCs/>
              </w:rPr>
              <w:t>Yes</w:t>
            </w:r>
          </w:p>
          <w:p w14:paraId="0E71B440" w14:textId="77777777" w:rsidR="00CA7511" w:rsidRPr="00233969" w:rsidRDefault="00CA7511" w:rsidP="00AD309C">
            <w:pPr>
              <w:pStyle w:val="ListParagraph"/>
              <w:numPr>
                <w:ilvl w:val="0"/>
                <w:numId w:val="301"/>
              </w:numPr>
              <w:rPr>
                <w:iCs/>
              </w:rPr>
            </w:pPr>
            <w:r w:rsidRPr="00B74BD8">
              <w:rPr>
                <w:iCs/>
              </w:rPr>
              <w:t>No</w:t>
            </w:r>
          </w:p>
        </w:tc>
      </w:tr>
      <w:tr w:rsidR="00CA7511" w:rsidRPr="00C645E0" w14:paraId="3876FDD2" w14:textId="77777777" w:rsidTr="00B74BD8">
        <w:trPr>
          <w:trHeight w:val="576"/>
        </w:trPr>
        <w:tc>
          <w:tcPr>
            <w:tcW w:w="6127" w:type="dxa"/>
            <w:vAlign w:val="center"/>
          </w:tcPr>
          <w:p w14:paraId="5B6B79F9" w14:textId="6C78C24E" w:rsidR="00D62526" w:rsidRDefault="00912EB9" w:rsidP="00AD309C">
            <w:pPr>
              <w:pStyle w:val="ListParagraph"/>
              <w:numPr>
                <w:ilvl w:val="0"/>
                <w:numId w:val="144"/>
              </w:numPr>
            </w:pPr>
            <w:r w:rsidRPr="00912EB9">
              <w:t>Are unit-level hand hygiene compliance data used for creating unit-level action plans?</w:t>
            </w:r>
          </w:p>
        </w:tc>
        <w:tc>
          <w:tcPr>
            <w:tcW w:w="3223" w:type="dxa"/>
            <w:vAlign w:val="center"/>
          </w:tcPr>
          <w:p w14:paraId="45332F8E" w14:textId="77777777" w:rsidR="00CA7511" w:rsidRPr="00B74BD8" w:rsidRDefault="00CA7511" w:rsidP="00AD309C">
            <w:pPr>
              <w:pStyle w:val="ListParagraph"/>
              <w:numPr>
                <w:ilvl w:val="0"/>
                <w:numId w:val="301"/>
              </w:numPr>
              <w:rPr>
                <w:iCs/>
              </w:rPr>
            </w:pPr>
            <w:r w:rsidRPr="00B74BD8">
              <w:rPr>
                <w:iCs/>
              </w:rPr>
              <w:t>Yes</w:t>
            </w:r>
          </w:p>
          <w:p w14:paraId="57B43C37" w14:textId="77777777" w:rsidR="00CA7511" w:rsidRPr="00B74BD8" w:rsidRDefault="00CA7511" w:rsidP="00AD309C">
            <w:pPr>
              <w:pStyle w:val="ListParagraph"/>
              <w:numPr>
                <w:ilvl w:val="0"/>
                <w:numId w:val="301"/>
              </w:numPr>
              <w:rPr>
                <w:iCs/>
              </w:rPr>
            </w:pPr>
            <w:r w:rsidRPr="00B74BD8">
              <w:rPr>
                <w:iCs/>
              </w:rPr>
              <w:t>No</w:t>
            </w:r>
          </w:p>
        </w:tc>
      </w:tr>
      <w:tr w:rsidR="006F4738" w:rsidRPr="00C645E0" w14:paraId="60085733" w14:textId="77777777" w:rsidTr="00B74BD8">
        <w:trPr>
          <w:trHeight w:val="2448"/>
        </w:trPr>
        <w:tc>
          <w:tcPr>
            <w:tcW w:w="6127" w:type="dxa"/>
            <w:vAlign w:val="center"/>
          </w:tcPr>
          <w:p w14:paraId="47F43416" w14:textId="4BBEEB03" w:rsidR="00B0490E" w:rsidRDefault="006F4738" w:rsidP="00AD309C">
            <w:pPr>
              <w:pStyle w:val="ListParagraph"/>
              <w:numPr>
                <w:ilvl w:val="0"/>
                <w:numId w:val="144"/>
              </w:numPr>
            </w:pPr>
            <w:r w:rsidRPr="006F4738">
              <w:t xml:space="preserve">Is regular (at least every </w:t>
            </w:r>
            <w:r w:rsidR="009753C2">
              <w:t>6</w:t>
            </w:r>
            <w:r w:rsidRPr="006F4738">
              <w:t xml:space="preserve"> months) feedback of hand hygiene compliance data, with demonstration of trends over time, given to: </w:t>
            </w:r>
          </w:p>
          <w:p w14:paraId="7E7EFED0" w14:textId="7E5E984C" w:rsidR="00B0490E" w:rsidRDefault="00B0490E" w:rsidP="00AD309C">
            <w:pPr>
              <w:pStyle w:val="ListParagraph"/>
              <w:numPr>
                <w:ilvl w:val="0"/>
                <w:numId w:val="129"/>
              </w:numPr>
            </w:pPr>
            <w:hyperlink w:anchor="SeniorAdministrativeLeadership" w:history="1">
              <w:r>
                <w:rPr>
                  <w:rStyle w:val="Hyperlink"/>
                </w:rPr>
                <w:t>senior administrative leadership</w:t>
              </w:r>
            </w:hyperlink>
            <w:r>
              <w:t xml:space="preserve">, </w:t>
            </w:r>
            <w:hyperlink w:anchor="PhysicianLeadership" w:history="1">
              <w:r>
                <w:rPr>
                  <w:rStyle w:val="Hyperlink"/>
                </w:rPr>
                <w:t>physician leadership</w:t>
              </w:r>
            </w:hyperlink>
            <w:r>
              <w:t xml:space="preserve">, and </w:t>
            </w:r>
            <w:hyperlink w:anchor="NursingLeadership" w:history="1">
              <w:r>
                <w:rPr>
                  <w:rStyle w:val="Hyperlink"/>
                </w:rPr>
                <w:t>nursing leadership</w:t>
              </w:r>
            </w:hyperlink>
            <w:r w:rsidR="0087107E">
              <w:rPr>
                <w:rStyle w:val="Hyperlink"/>
              </w:rPr>
              <w:t>,</w:t>
            </w:r>
          </w:p>
          <w:p w14:paraId="6902750F" w14:textId="0E058988" w:rsidR="00B0490E" w:rsidRDefault="00B0490E" w:rsidP="00AD309C">
            <w:pPr>
              <w:pStyle w:val="ListParagraph"/>
              <w:numPr>
                <w:ilvl w:val="0"/>
                <w:numId w:val="129"/>
              </w:numPr>
            </w:pPr>
            <w:r>
              <w:t xml:space="preserve">the </w:t>
            </w:r>
            <w:hyperlink w:anchor="Board" w:history="1">
              <w:r w:rsidRPr="00ED3FCE">
                <w:rPr>
                  <w:rStyle w:val="Hyperlink"/>
                </w:rPr>
                <w:t>board</w:t>
              </w:r>
            </w:hyperlink>
            <w:r>
              <w:t xml:space="preserve"> (governance)</w:t>
            </w:r>
            <w:r w:rsidR="0087107E">
              <w:t>,</w:t>
            </w:r>
            <w:r>
              <w:t xml:space="preserve"> and</w:t>
            </w:r>
          </w:p>
          <w:p w14:paraId="1E51B843" w14:textId="5E906E0E" w:rsidR="00B0490E" w:rsidRDefault="00B0490E" w:rsidP="00AD309C">
            <w:pPr>
              <w:pStyle w:val="ListParagraph"/>
              <w:numPr>
                <w:ilvl w:val="0"/>
                <w:numId w:val="129"/>
              </w:numPr>
            </w:pPr>
            <w:r>
              <w:t xml:space="preserve">the </w:t>
            </w:r>
            <w:hyperlink w:anchor="MEC" w:history="1">
              <w:r w:rsidRPr="006F4738">
                <w:rPr>
                  <w:rStyle w:val="Hyperlink"/>
                </w:rPr>
                <w:t>medical executive committee</w:t>
              </w:r>
            </w:hyperlink>
            <w:r>
              <w:t>?</w:t>
            </w:r>
          </w:p>
          <w:p w14:paraId="4016A6D3" w14:textId="77777777" w:rsidR="00B0490E" w:rsidRDefault="00B0490E" w:rsidP="0003125F"/>
          <w:p w14:paraId="788A6026" w14:textId="3627B083" w:rsidR="006F4738" w:rsidRPr="00912EB9" w:rsidRDefault="004C47B2" w:rsidP="0003125F">
            <w:pPr>
              <w:pStyle w:val="ListParagraph"/>
              <w:ind w:left="360"/>
            </w:pPr>
            <w:r w:rsidRPr="00B0490E">
              <w:rPr>
                <w:i/>
              </w:rPr>
              <w:t>If “no” to question #1</w:t>
            </w:r>
            <w:r w:rsidR="006B7972">
              <w:rPr>
                <w:i/>
              </w:rPr>
              <w:t>8</w:t>
            </w:r>
            <w:r w:rsidRPr="00B0490E">
              <w:rPr>
                <w:i/>
              </w:rPr>
              <w:t>, skip question #</w:t>
            </w:r>
            <w:r>
              <w:rPr>
                <w:i/>
              </w:rPr>
              <w:t>1</w:t>
            </w:r>
            <w:r w:rsidR="006B7972">
              <w:rPr>
                <w:i/>
              </w:rPr>
              <w:t>9</w:t>
            </w:r>
            <w:r w:rsidRPr="00B0490E">
              <w:rPr>
                <w:i/>
              </w:rPr>
              <w:t xml:space="preserve"> and continue to question #</w:t>
            </w:r>
            <w:r w:rsidR="006B7972">
              <w:rPr>
                <w:i/>
              </w:rPr>
              <w:t>20</w:t>
            </w:r>
            <w:r w:rsidRPr="00B0490E">
              <w:rPr>
                <w:i/>
              </w:rPr>
              <w:t>.</w:t>
            </w:r>
          </w:p>
        </w:tc>
        <w:tc>
          <w:tcPr>
            <w:tcW w:w="3223" w:type="dxa"/>
            <w:vAlign w:val="center"/>
          </w:tcPr>
          <w:p w14:paraId="6F978EB5" w14:textId="77777777" w:rsidR="006F4738" w:rsidRPr="00B74BD8" w:rsidRDefault="006F4738" w:rsidP="00AD309C">
            <w:pPr>
              <w:pStyle w:val="ListParagraph"/>
              <w:numPr>
                <w:ilvl w:val="0"/>
                <w:numId w:val="301"/>
              </w:numPr>
              <w:rPr>
                <w:iCs/>
              </w:rPr>
            </w:pPr>
            <w:r w:rsidRPr="00B74BD8">
              <w:rPr>
                <w:iCs/>
              </w:rPr>
              <w:t>Yes</w:t>
            </w:r>
          </w:p>
          <w:p w14:paraId="244AAE2A" w14:textId="77777777" w:rsidR="006F4738" w:rsidRPr="00B74BD8" w:rsidRDefault="006F4738" w:rsidP="00AD309C">
            <w:pPr>
              <w:pStyle w:val="ListParagraph"/>
              <w:numPr>
                <w:ilvl w:val="0"/>
                <w:numId w:val="301"/>
              </w:numPr>
              <w:rPr>
                <w:iCs/>
              </w:rPr>
            </w:pPr>
            <w:r w:rsidRPr="00B74BD8">
              <w:rPr>
                <w:iCs/>
              </w:rPr>
              <w:t>No</w:t>
            </w:r>
          </w:p>
        </w:tc>
      </w:tr>
      <w:tr w:rsidR="00E83288" w:rsidRPr="00C645E0" w14:paraId="77371003" w14:textId="77777777" w:rsidTr="00B74BD8">
        <w:trPr>
          <w:trHeight w:val="1008"/>
        </w:trPr>
        <w:tc>
          <w:tcPr>
            <w:tcW w:w="6127" w:type="dxa"/>
            <w:vAlign w:val="center"/>
          </w:tcPr>
          <w:p w14:paraId="75FF062F" w14:textId="4EA4929E" w:rsidR="00AC5B93" w:rsidRPr="006F4738" w:rsidRDefault="00E83288" w:rsidP="00AD309C">
            <w:pPr>
              <w:pStyle w:val="ListParagraph"/>
              <w:numPr>
                <w:ilvl w:val="0"/>
                <w:numId w:val="144"/>
              </w:numPr>
            </w:pPr>
            <w:r w:rsidRPr="00E83288">
              <w:t>If “yes” to question #</w:t>
            </w:r>
            <w:r w:rsidR="004C47B2">
              <w:t>1</w:t>
            </w:r>
            <w:r w:rsidR="006B7972">
              <w:t>8</w:t>
            </w:r>
            <w:r w:rsidR="004C47B2">
              <w:t>, is</w:t>
            </w:r>
            <w:r w:rsidRPr="00E83288">
              <w:t xml:space="preserve"> </w:t>
            </w:r>
            <w:hyperlink w:anchor="SeniorAdministrativeLeadership" w:history="1">
              <w:r>
                <w:rPr>
                  <w:rStyle w:val="Hyperlink"/>
                </w:rPr>
                <w:t>senior administrative leadership</w:t>
              </w:r>
            </w:hyperlink>
            <w:r>
              <w:t xml:space="preserve">, </w:t>
            </w:r>
            <w:hyperlink w:anchor="PhysicianLeadership" w:history="1">
              <w:r>
                <w:rPr>
                  <w:rStyle w:val="Hyperlink"/>
                </w:rPr>
                <w:t>physician leadership</w:t>
              </w:r>
            </w:hyperlink>
            <w:r>
              <w:t xml:space="preserve">, and </w:t>
            </w:r>
            <w:hyperlink w:anchor="NursingLeadership" w:history="1">
              <w:r>
                <w:rPr>
                  <w:rStyle w:val="Hyperlink"/>
                </w:rPr>
                <w:t>nursing leadership</w:t>
              </w:r>
            </w:hyperlink>
            <w:r w:rsidRPr="00E83288">
              <w:t xml:space="preserve"> held </w:t>
            </w:r>
            <w:r w:rsidRPr="00752FB8">
              <w:t>directly accountable</w:t>
            </w:r>
            <w:r w:rsidRPr="00E83288">
              <w:t xml:space="preserve"> for hand hygiene performance through </w:t>
            </w:r>
            <w:hyperlink w:anchor="HH_accountability" w:history="1">
              <w:r w:rsidRPr="00752FB8">
                <w:rPr>
                  <w:rStyle w:val="Hyperlink"/>
                </w:rPr>
                <w:t>performance reviews or compensation</w:t>
              </w:r>
            </w:hyperlink>
            <w:r w:rsidRPr="00E83288">
              <w:t>?</w:t>
            </w:r>
          </w:p>
        </w:tc>
        <w:tc>
          <w:tcPr>
            <w:tcW w:w="3223" w:type="dxa"/>
            <w:vAlign w:val="center"/>
          </w:tcPr>
          <w:p w14:paraId="539D408B" w14:textId="77777777" w:rsidR="00E83288" w:rsidRPr="00B74BD8" w:rsidRDefault="00E83288" w:rsidP="00AD309C">
            <w:pPr>
              <w:pStyle w:val="ListParagraph"/>
              <w:numPr>
                <w:ilvl w:val="0"/>
                <w:numId w:val="301"/>
              </w:numPr>
              <w:rPr>
                <w:iCs/>
              </w:rPr>
            </w:pPr>
            <w:r w:rsidRPr="00B74BD8">
              <w:rPr>
                <w:iCs/>
              </w:rPr>
              <w:t>Yes</w:t>
            </w:r>
          </w:p>
          <w:p w14:paraId="52C1FDEB" w14:textId="77777777" w:rsidR="00E83288" w:rsidRPr="00B74BD8" w:rsidRDefault="00E83288" w:rsidP="00AD309C">
            <w:pPr>
              <w:pStyle w:val="ListParagraph"/>
              <w:numPr>
                <w:ilvl w:val="0"/>
                <w:numId w:val="301"/>
              </w:numPr>
              <w:rPr>
                <w:iCs/>
              </w:rPr>
            </w:pPr>
            <w:r w:rsidRPr="00B74BD8">
              <w:rPr>
                <w:iCs/>
              </w:rPr>
              <w:t>No</w:t>
            </w:r>
          </w:p>
        </w:tc>
      </w:tr>
    </w:tbl>
    <w:p w14:paraId="166E35A8" w14:textId="77777777" w:rsidR="00C4117F" w:rsidRDefault="00C4117F" w:rsidP="00563CD7">
      <w:pPr>
        <w:rPr>
          <w:b/>
          <w:snapToGrid w:val="0"/>
          <w:color w:val="000000"/>
        </w:rPr>
      </w:pPr>
    </w:p>
    <w:p w14:paraId="1D0D3D88" w14:textId="19A293E6" w:rsidR="005214B6" w:rsidRPr="000F5420" w:rsidRDefault="00862908" w:rsidP="00AB5B80">
      <w:pPr>
        <w:pStyle w:val="Heading3"/>
        <w:rPr>
          <w:sz w:val="20"/>
          <w:szCs w:val="20"/>
        </w:rPr>
      </w:pPr>
      <w:bookmarkStart w:id="492" w:name="_Toc131159864"/>
      <w:bookmarkStart w:id="493" w:name="_Toc225877786"/>
      <w:r>
        <w:t>Culture</w:t>
      </w:r>
      <w:bookmarkEnd w:id="492"/>
      <w:bookmarkEnd w:id="493"/>
      <w:r w:rsidR="00AC5B93">
        <w:br/>
      </w:r>
    </w:p>
    <w:tbl>
      <w:tblPr>
        <w:tblStyle w:val="TableGrid"/>
        <w:tblW w:w="0" w:type="auto"/>
        <w:tblLook w:val="04A0" w:firstRow="1" w:lastRow="0" w:firstColumn="1" w:lastColumn="0" w:noHBand="0" w:noVBand="1"/>
      </w:tblPr>
      <w:tblGrid>
        <w:gridCol w:w="6115"/>
        <w:gridCol w:w="3235"/>
      </w:tblGrid>
      <w:tr w:rsidR="005214B6" w:rsidRPr="00C645E0" w14:paraId="74E6F11A" w14:textId="77777777" w:rsidTr="00B44C7B">
        <w:trPr>
          <w:trHeight w:val="864"/>
        </w:trPr>
        <w:tc>
          <w:tcPr>
            <w:tcW w:w="6115" w:type="dxa"/>
            <w:tcBorders>
              <w:bottom w:val="single" w:sz="4" w:space="0" w:color="auto"/>
            </w:tcBorders>
            <w:vAlign w:val="center"/>
          </w:tcPr>
          <w:p w14:paraId="7BBD890D" w14:textId="722B9D1A" w:rsidR="005214B6" w:rsidRPr="008D4A9D" w:rsidRDefault="00862908" w:rsidP="00AD309C">
            <w:pPr>
              <w:pStyle w:val="ListParagraph"/>
              <w:numPr>
                <w:ilvl w:val="0"/>
                <w:numId w:val="144"/>
              </w:numPr>
            </w:pPr>
            <w:r w:rsidRPr="00862908">
              <w:t xml:space="preserve">Are patients and visitors </w:t>
            </w:r>
            <w:hyperlink w:anchor="HH_remind" w:history="1">
              <w:r w:rsidRPr="00752FB8">
                <w:rPr>
                  <w:rStyle w:val="Hyperlink"/>
                </w:rPr>
                <w:t>invited to remind</w:t>
              </w:r>
            </w:hyperlink>
            <w:hyperlink w:anchor="HHtouchpatientsendnote" w:history="1">
              <w:r w:rsidRPr="00752FB8">
                <w:rPr>
                  <w:rStyle w:val="Hyperlink"/>
                  <w:u w:val="none"/>
                </w:rPr>
                <w:t xml:space="preserve"> </w:t>
              </w:r>
              <w:r w:rsidRPr="007E5A4C">
                <w:rPr>
                  <w:rStyle w:val="Hyperlink"/>
                </w:rPr>
                <w:t>individuals who touch patients or who touch items that will be used by patients</w:t>
              </w:r>
            </w:hyperlink>
            <w:r w:rsidR="007E5A4C">
              <w:fldChar w:fldCharType="begin"/>
            </w:r>
            <w:r w:rsidR="007E5A4C">
              <w:instrText xml:space="preserve"> NOTEREF _Ref25671414 \f \h </w:instrText>
            </w:r>
            <w:r w:rsidR="001777D8">
              <w:instrText xml:space="preserve"> \* MERGEFORMAT </w:instrText>
            </w:r>
            <w:r w:rsidR="007E5A4C">
              <w:fldChar w:fldCharType="separate"/>
            </w:r>
            <w:r w:rsidR="007D53A2" w:rsidRPr="001D29D4">
              <w:rPr>
                <w:rStyle w:val="EndnoteReference"/>
              </w:rPr>
              <w:t>44</w:t>
            </w:r>
            <w:r w:rsidR="007E5A4C">
              <w:fldChar w:fldCharType="end"/>
            </w:r>
            <w:r w:rsidRPr="00862908">
              <w:t xml:space="preserve"> to perform hand hygiene?</w:t>
            </w:r>
          </w:p>
        </w:tc>
        <w:tc>
          <w:tcPr>
            <w:tcW w:w="3235" w:type="dxa"/>
            <w:vAlign w:val="center"/>
          </w:tcPr>
          <w:p w14:paraId="313F9EFA" w14:textId="77777777" w:rsidR="005214B6" w:rsidRPr="00B74BD8" w:rsidRDefault="00862908" w:rsidP="00AD309C">
            <w:pPr>
              <w:pStyle w:val="ListParagraph"/>
              <w:numPr>
                <w:ilvl w:val="0"/>
                <w:numId w:val="302"/>
              </w:numPr>
              <w:rPr>
                <w:iCs/>
              </w:rPr>
            </w:pPr>
            <w:r w:rsidRPr="00B74BD8">
              <w:rPr>
                <w:iCs/>
              </w:rPr>
              <w:t>Yes</w:t>
            </w:r>
          </w:p>
          <w:p w14:paraId="70C29BFB" w14:textId="77777777" w:rsidR="00862908" w:rsidRPr="00B74BD8" w:rsidRDefault="00862908" w:rsidP="00AD309C">
            <w:pPr>
              <w:pStyle w:val="ListParagraph"/>
              <w:numPr>
                <w:ilvl w:val="0"/>
                <w:numId w:val="302"/>
              </w:numPr>
              <w:rPr>
                <w:iCs/>
              </w:rPr>
            </w:pPr>
            <w:r w:rsidRPr="00B74BD8">
              <w:rPr>
                <w:iCs/>
              </w:rPr>
              <w:t>No</w:t>
            </w:r>
          </w:p>
        </w:tc>
      </w:tr>
      <w:tr w:rsidR="005214B6" w:rsidRPr="00C645E0" w14:paraId="06349DF4" w14:textId="77777777" w:rsidTr="00B44C7B">
        <w:trPr>
          <w:trHeight w:val="2016"/>
        </w:trPr>
        <w:tc>
          <w:tcPr>
            <w:tcW w:w="6115" w:type="dxa"/>
            <w:tcBorders>
              <w:bottom w:val="single" w:sz="4" w:space="0" w:color="auto"/>
            </w:tcBorders>
          </w:tcPr>
          <w:p w14:paraId="5ABC7BA3" w14:textId="5B1D5BEB" w:rsidR="005214B6" w:rsidRDefault="00862908" w:rsidP="00AD309C">
            <w:pPr>
              <w:pStyle w:val="ListParagraph"/>
              <w:numPr>
                <w:ilvl w:val="0"/>
                <w:numId w:val="144"/>
              </w:numPr>
            </w:pPr>
            <w:r w:rsidRPr="00862908">
              <w:t xml:space="preserve">Have </w:t>
            </w:r>
            <w:r w:rsidRPr="001E0DDE">
              <w:rPr>
                <w:b/>
              </w:rPr>
              <w:t>all</w:t>
            </w:r>
            <w:r w:rsidRPr="00862908">
              <w:t xml:space="preserve"> the following individuals (or their equivalents) </w:t>
            </w:r>
            <w:hyperlink w:anchor="HH_commitment" w:history="1">
              <w:r w:rsidRPr="00752FB8">
                <w:rPr>
                  <w:rStyle w:val="Hyperlink"/>
                </w:rPr>
                <w:t>demonstrated a commitment</w:t>
              </w:r>
            </w:hyperlink>
            <w:r w:rsidRPr="00862908">
              <w:t xml:space="preserve"> to support hand hygiene improvement in the last year (e.g., a written or verbal commitment delivered to those </w:t>
            </w:r>
            <w:hyperlink w:anchor="HHtouchpatientsendnote" w:history="1">
              <w:r w:rsidRPr="007E5A4C">
                <w:rPr>
                  <w:rStyle w:val="Hyperlink"/>
                </w:rPr>
                <w:t>individuals who touch patients or who touch item</w:t>
              </w:r>
              <w:r w:rsidR="007E5A4C" w:rsidRPr="007E5A4C">
                <w:rPr>
                  <w:rStyle w:val="Hyperlink"/>
                </w:rPr>
                <w:t>s that will be used by patients</w:t>
              </w:r>
            </w:hyperlink>
            <w:r w:rsidR="007E5A4C">
              <w:fldChar w:fldCharType="begin"/>
            </w:r>
            <w:r w:rsidR="007E5A4C">
              <w:instrText xml:space="preserve"> NOTEREF _Ref25671414 \f \h </w:instrText>
            </w:r>
            <w:r w:rsidR="001777D8">
              <w:instrText xml:space="preserve"> \* MERGEFORMAT </w:instrText>
            </w:r>
            <w:r w:rsidR="007E5A4C">
              <w:fldChar w:fldCharType="separate"/>
            </w:r>
            <w:r w:rsidR="007D53A2" w:rsidRPr="001D29D4">
              <w:rPr>
                <w:rStyle w:val="EndnoteReference"/>
              </w:rPr>
              <w:t>44</w:t>
            </w:r>
            <w:r w:rsidR="007E5A4C">
              <w:fldChar w:fldCharType="end"/>
            </w:r>
            <w:r w:rsidRPr="00862908">
              <w:t>)</w:t>
            </w:r>
            <w:r w:rsidR="00C92582">
              <w:t>:</w:t>
            </w:r>
          </w:p>
          <w:p w14:paraId="0BE00C89" w14:textId="6BC62400" w:rsidR="00862908" w:rsidRDefault="00862908" w:rsidP="00AD309C">
            <w:pPr>
              <w:pStyle w:val="ListParagraph"/>
              <w:numPr>
                <w:ilvl w:val="0"/>
                <w:numId w:val="130"/>
              </w:numPr>
            </w:pPr>
            <w:r>
              <w:t>Chief Executive Officer</w:t>
            </w:r>
            <w:r w:rsidR="00C92582">
              <w:t>,</w:t>
            </w:r>
          </w:p>
          <w:p w14:paraId="2D4DA1F6" w14:textId="45B6A07A" w:rsidR="00862908" w:rsidRDefault="00862908" w:rsidP="00AD309C">
            <w:pPr>
              <w:pStyle w:val="ListParagraph"/>
              <w:numPr>
                <w:ilvl w:val="0"/>
                <w:numId w:val="130"/>
              </w:numPr>
            </w:pPr>
            <w:r>
              <w:t>Chief Medical Officer</w:t>
            </w:r>
            <w:r w:rsidR="00C92582">
              <w:t>, and</w:t>
            </w:r>
          </w:p>
          <w:p w14:paraId="5CBFF6B4" w14:textId="0DCA16EA" w:rsidR="00862908" w:rsidRPr="00544A77" w:rsidRDefault="00862908" w:rsidP="00AD309C">
            <w:pPr>
              <w:pStyle w:val="ListParagraph"/>
              <w:numPr>
                <w:ilvl w:val="0"/>
                <w:numId w:val="130"/>
              </w:numPr>
            </w:pPr>
            <w:r>
              <w:t>Chief Nursing Officer</w:t>
            </w:r>
            <w:r w:rsidR="00C92582">
              <w:t>?</w:t>
            </w:r>
          </w:p>
        </w:tc>
        <w:tc>
          <w:tcPr>
            <w:tcW w:w="3235" w:type="dxa"/>
            <w:vAlign w:val="center"/>
          </w:tcPr>
          <w:p w14:paraId="4B6834D3" w14:textId="77777777" w:rsidR="005214B6" w:rsidRPr="00B74BD8" w:rsidRDefault="00862908" w:rsidP="00AD309C">
            <w:pPr>
              <w:pStyle w:val="ListParagraph"/>
              <w:numPr>
                <w:ilvl w:val="0"/>
                <w:numId w:val="302"/>
              </w:numPr>
              <w:rPr>
                <w:iCs/>
              </w:rPr>
            </w:pPr>
            <w:r w:rsidRPr="00B74BD8">
              <w:rPr>
                <w:iCs/>
              </w:rPr>
              <w:t>Yes</w:t>
            </w:r>
          </w:p>
          <w:p w14:paraId="77BF6FE5" w14:textId="77777777" w:rsidR="00862908" w:rsidRPr="00B74BD8" w:rsidRDefault="00862908" w:rsidP="00AD309C">
            <w:pPr>
              <w:pStyle w:val="ListParagraph"/>
              <w:numPr>
                <w:ilvl w:val="0"/>
                <w:numId w:val="302"/>
              </w:numPr>
              <w:rPr>
                <w:b/>
                <w:iCs/>
              </w:rPr>
            </w:pPr>
            <w:r w:rsidRPr="00B74BD8">
              <w:rPr>
                <w:iCs/>
              </w:rPr>
              <w:t>No</w:t>
            </w:r>
          </w:p>
        </w:tc>
      </w:tr>
    </w:tbl>
    <w:p w14:paraId="60A4A99B" w14:textId="77777777" w:rsidR="00CE3245" w:rsidRDefault="00CE3245" w:rsidP="00940AE7">
      <w:bookmarkStart w:id="494" w:name="_Hlk57720921"/>
      <w:bookmarkEnd w:id="474"/>
    </w:p>
    <w:p w14:paraId="162FA9F8" w14:textId="77777777" w:rsidR="00CE3245" w:rsidRDefault="00CE3245" w:rsidP="00940AE7"/>
    <w:p w14:paraId="15478D1B" w14:textId="3F26346B" w:rsidR="0002601E" w:rsidRDefault="0002601E" w:rsidP="00563CD7">
      <w:pPr>
        <w:rPr>
          <w:b/>
          <w:i/>
        </w:rPr>
      </w:pPr>
    </w:p>
    <w:p w14:paraId="7C102120" w14:textId="77777777" w:rsidR="00165BD9" w:rsidRDefault="00165BD9">
      <w:pPr>
        <w:rPr>
          <w:b/>
          <w:i/>
        </w:rPr>
      </w:pPr>
    </w:p>
    <w:p w14:paraId="0E8E1526" w14:textId="77777777" w:rsidR="00165BD9" w:rsidRDefault="00165BD9">
      <w:pPr>
        <w:rPr>
          <w:b/>
          <w:i/>
        </w:rPr>
      </w:pPr>
    </w:p>
    <w:p w14:paraId="665E7BE2" w14:textId="77777777" w:rsidR="00165BD9" w:rsidRDefault="00165BD9">
      <w:pPr>
        <w:rPr>
          <w:b/>
          <w:i/>
        </w:rPr>
      </w:pPr>
    </w:p>
    <w:p w14:paraId="3983AE90" w14:textId="77777777" w:rsidR="00165BD9" w:rsidRDefault="00165BD9">
      <w:pPr>
        <w:rPr>
          <w:b/>
          <w:i/>
        </w:rPr>
      </w:pPr>
      <w:r>
        <w:rPr>
          <w:b/>
          <w:i/>
        </w:rPr>
        <w:br w:type="page"/>
      </w:r>
    </w:p>
    <w:p w14:paraId="47AC9C8F" w14:textId="2F906781" w:rsidR="001A5656" w:rsidRDefault="00165BD9" w:rsidP="00CF5A6E">
      <w:pPr>
        <w:pStyle w:val="Heading2"/>
      </w:pPr>
      <w:bookmarkStart w:id="495" w:name="_Toc225877787"/>
      <w:r>
        <w:t>6</w:t>
      </w:r>
      <w:r w:rsidR="00AA1BEF">
        <w:t>D</w:t>
      </w:r>
      <w:r>
        <w:t>: Diagnostic Excellence</w:t>
      </w:r>
      <w:bookmarkEnd w:id="495"/>
    </w:p>
    <w:p w14:paraId="528BDF0E" w14:textId="77777777" w:rsidR="00DC69D9" w:rsidRDefault="00DC69D9" w:rsidP="00B74BD8"/>
    <w:p w14:paraId="1F446B8E" w14:textId="77777777" w:rsidR="00DC69D9" w:rsidRDefault="00DC69D9" w:rsidP="00DC69D9">
      <w:pPr>
        <w:rPr>
          <w:b/>
          <w:bCs/>
          <w:color w:val="FF0000"/>
        </w:rPr>
      </w:pPr>
      <w:r w:rsidRPr="009A5185">
        <w:rPr>
          <w:rFonts w:cs="Arial"/>
          <w:snapToGrid w:val="0"/>
        </w:rPr>
        <w:t xml:space="preserve">Hospitals that share a </w:t>
      </w:r>
      <w:r>
        <w:rPr>
          <w:rFonts w:cs="Arial"/>
          <w:snapToGrid w:val="0"/>
        </w:rPr>
        <w:t>CMS Certification Number</w:t>
      </w:r>
      <w:r w:rsidRPr="009A5185">
        <w:rPr>
          <w:rFonts w:cs="Arial"/>
          <w:snapToGrid w:val="0"/>
        </w:rPr>
        <w:t xml:space="preserve"> are required to report by facility. Please carefully review </w:t>
      </w:r>
      <w:hyperlink r:id="rId359" w:history="1">
        <w:r w:rsidRPr="009A5185">
          <w:rPr>
            <w:rStyle w:val="Hyperlink"/>
            <w:rFonts w:cs="Arial"/>
          </w:rPr>
          <w:t>Leapfrog’s Multi-Campus Reporting Policy</w:t>
        </w:r>
      </w:hyperlink>
      <w:r w:rsidRPr="009A5185">
        <w:rPr>
          <w:rFonts w:cs="Arial"/>
          <w:snapToGrid w:val="0"/>
        </w:rPr>
        <w:t>.</w:t>
      </w:r>
    </w:p>
    <w:p w14:paraId="1EDEECCC" w14:textId="77777777" w:rsidR="00DC69D9" w:rsidRDefault="00DC69D9" w:rsidP="00DC69D9">
      <w:pPr>
        <w:rPr>
          <w:b/>
          <w:bCs/>
          <w:color w:val="FF0000"/>
        </w:rPr>
      </w:pPr>
    </w:p>
    <w:p w14:paraId="692F0927" w14:textId="77777777" w:rsidR="00DC69D9" w:rsidRPr="00722F1B" w:rsidRDefault="00DC69D9" w:rsidP="00DC69D9">
      <w:pPr>
        <w:rPr>
          <w:b/>
          <w:bCs/>
          <w:color w:val="FF0000"/>
        </w:rPr>
      </w:pPr>
      <w:r w:rsidRPr="00722F1B">
        <w:rPr>
          <w:b/>
          <w:bCs/>
          <w:color w:val="FF0000"/>
        </w:rPr>
        <w:t>Important Notes:</w:t>
      </w:r>
    </w:p>
    <w:p w14:paraId="41131802" w14:textId="77777777" w:rsidR="00DC69D9" w:rsidRDefault="00DC69D9" w:rsidP="00DC69D9">
      <w:pPr>
        <w:rPr>
          <w:bCs/>
        </w:rPr>
      </w:pPr>
    </w:p>
    <w:p w14:paraId="0A4815F4" w14:textId="271605A2" w:rsidR="00EF0FC3" w:rsidRDefault="00EF0FC3" w:rsidP="00A84A2E">
      <w:pPr>
        <w:rPr>
          <w:bCs/>
        </w:rPr>
      </w:pPr>
      <w:r>
        <w:rPr>
          <w:bCs/>
        </w:rPr>
        <w:t xml:space="preserve">Note 1: </w:t>
      </w:r>
      <w:r w:rsidR="000612AC">
        <w:rPr>
          <w:bCs/>
        </w:rPr>
        <w:t>This subsection</w:t>
      </w:r>
      <w:r w:rsidR="007B6DC1">
        <w:rPr>
          <w:bCs/>
        </w:rPr>
        <w:t xml:space="preserve"> </w:t>
      </w:r>
      <w:r>
        <w:rPr>
          <w:bCs/>
        </w:rPr>
        <w:t>will not be scored or publicly reported.</w:t>
      </w:r>
    </w:p>
    <w:p w14:paraId="1AB0D32A" w14:textId="77777777" w:rsidR="00EF0FC3" w:rsidRDefault="00EF0FC3" w:rsidP="00A84A2E">
      <w:pPr>
        <w:rPr>
          <w:bCs/>
        </w:rPr>
      </w:pPr>
    </w:p>
    <w:p w14:paraId="6330B302" w14:textId="29BA25DC" w:rsidR="00A84A2E" w:rsidRPr="0095373E" w:rsidRDefault="00A84A2E" w:rsidP="00A84A2E">
      <w:pPr>
        <w:rPr>
          <w:bCs/>
        </w:rPr>
      </w:pPr>
      <w:r>
        <w:rPr>
          <w:bCs/>
        </w:rPr>
        <w:t xml:space="preserve">Note </w:t>
      </w:r>
      <w:r w:rsidR="00EF0FC3">
        <w:rPr>
          <w:bCs/>
        </w:rPr>
        <w:t>2</w:t>
      </w:r>
      <w:r>
        <w:rPr>
          <w:bCs/>
        </w:rPr>
        <w:t xml:space="preserve">: </w:t>
      </w:r>
      <w:r w:rsidRPr="0095373E">
        <w:rPr>
          <w:bCs/>
        </w:rPr>
        <w:t>A</w:t>
      </w:r>
      <w:r w:rsidR="00596973">
        <w:rPr>
          <w:bCs/>
        </w:rPr>
        <w:t>n error in the diagnostic process</w:t>
      </w:r>
      <w:r w:rsidRPr="0095373E">
        <w:rPr>
          <w:bCs/>
        </w:rPr>
        <w:t xml:space="preserve"> is an event where one or both of the following occurred, with harm or high potential of harm to the patient: </w:t>
      </w:r>
    </w:p>
    <w:p w14:paraId="5E502CF7" w14:textId="77777777" w:rsidR="00A84A2E" w:rsidRPr="0095373E" w:rsidRDefault="00A84A2E" w:rsidP="00AD309C">
      <w:pPr>
        <w:numPr>
          <w:ilvl w:val="0"/>
          <w:numId w:val="310"/>
        </w:numPr>
        <w:rPr>
          <w:bCs/>
        </w:rPr>
      </w:pPr>
      <w:r w:rsidRPr="0095373E">
        <w:rPr>
          <w:bCs/>
        </w:rPr>
        <w:t>Delayed, wrong, or missed diagnosis: At least one missed opportunity to pursue or identify an accurate and timely diagnosis based on the information that existed at the time.</w:t>
      </w:r>
    </w:p>
    <w:p w14:paraId="44D9E662" w14:textId="49069A99" w:rsidR="00A84A2E" w:rsidRDefault="00A84A2E" w:rsidP="00AD309C">
      <w:pPr>
        <w:numPr>
          <w:ilvl w:val="0"/>
          <w:numId w:val="310"/>
        </w:numPr>
        <w:rPr>
          <w:bCs/>
        </w:rPr>
      </w:pPr>
      <w:r w:rsidRPr="0095373E">
        <w:rPr>
          <w:bCs/>
        </w:rPr>
        <w:t>Diagnosis not communicated to the patient: An accurate diagnosis was available but was not effectively communi</w:t>
      </w:r>
      <w:r w:rsidR="00236924">
        <w:rPr>
          <w:bCs/>
        </w:rPr>
        <w:t>cate</w:t>
      </w:r>
      <w:r w:rsidR="00F83C07">
        <w:rPr>
          <w:bCs/>
        </w:rPr>
        <w:t>d</w:t>
      </w:r>
      <w:r w:rsidRPr="0095373E">
        <w:rPr>
          <w:bCs/>
        </w:rPr>
        <w:t xml:space="preserve"> to the patient or family caregiver.  </w:t>
      </w:r>
    </w:p>
    <w:p w14:paraId="76681198" w14:textId="77777777" w:rsidR="00A84A2E" w:rsidRDefault="00A84A2E" w:rsidP="00A84A2E">
      <w:pPr>
        <w:rPr>
          <w:bCs/>
        </w:rPr>
      </w:pPr>
    </w:p>
    <w:p w14:paraId="1177E5D0" w14:textId="31F674E1" w:rsidR="00A84A2E" w:rsidRDefault="00A84A2E" w:rsidP="00A84A2E">
      <w:pPr>
        <w:rPr>
          <w:bCs/>
        </w:rPr>
      </w:pPr>
      <w:r w:rsidRPr="0095373E">
        <w:rPr>
          <w:bCs/>
        </w:rPr>
        <w:t xml:space="preserve">All references to “errors in </w:t>
      </w:r>
      <w:r w:rsidR="00AB76C6">
        <w:rPr>
          <w:bCs/>
        </w:rPr>
        <w:t xml:space="preserve">the </w:t>
      </w:r>
      <w:r w:rsidR="00AB76C6" w:rsidRPr="0095373E">
        <w:rPr>
          <w:bCs/>
        </w:rPr>
        <w:t>diagnos</w:t>
      </w:r>
      <w:r w:rsidR="00AB76C6">
        <w:rPr>
          <w:bCs/>
        </w:rPr>
        <w:t>tic process</w:t>
      </w:r>
      <w:r w:rsidRPr="0095373E">
        <w:rPr>
          <w:bCs/>
        </w:rPr>
        <w:t xml:space="preserve">” refer to both types of events. </w:t>
      </w:r>
    </w:p>
    <w:p w14:paraId="3FB81E20" w14:textId="77777777" w:rsidR="00A84A2E" w:rsidRDefault="00A84A2E" w:rsidP="00A84A2E">
      <w:pPr>
        <w:rPr>
          <w:bCs/>
        </w:rPr>
      </w:pPr>
    </w:p>
    <w:p w14:paraId="156888FF" w14:textId="23FF1FA5" w:rsidR="00A84A2E" w:rsidRDefault="00A84A2E" w:rsidP="00A84A2E">
      <w:pPr>
        <w:rPr>
          <w:bCs/>
        </w:rPr>
      </w:pPr>
      <w:r>
        <w:rPr>
          <w:bCs/>
        </w:rPr>
        <w:t xml:space="preserve">Note </w:t>
      </w:r>
      <w:r w:rsidR="001D2C88">
        <w:rPr>
          <w:bCs/>
        </w:rPr>
        <w:t>3</w:t>
      </w:r>
      <w:r>
        <w:rPr>
          <w:bCs/>
        </w:rPr>
        <w:t xml:space="preserve">: </w:t>
      </w:r>
      <w:r w:rsidRPr="006951DB">
        <w:rPr>
          <w:bCs/>
        </w:rPr>
        <w:t>Diagnosis excellence means making and communicating a correct and timely diagnosis using appropriate resources while maximizing patient experience and managing uncertainty.</w:t>
      </w:r>
    </w:p>
    <w:p w14:paraId="7D56FA6B" w14:textId="77777777" w:rsidR="00DC69D9" w:rsidRDefault="00DC69D9" w:rsidP="00DC69D9">
      <w:pPr>
        <w:rPr>
          <w:bCs/>
        </w:rPr>
      </w:pPr>
    </w:p>
    <w:p w14:paraId="0CD1DF7F" w14:textId="77777777" w:rsidR="00DC69D9" w:rsidRDefault="00DC69D9" w:rsidP="00DC69D9">
      <w:r>
        <w:rPr>
          <w:noProof/>
        </w:rPr>
        <mc:AlternateContent>
          <mc:Choice Requires="wps">
            <w:drawing>
              <wp:inline distT="0" distB="0" distL="0" distR="0" wp14:anchorId="17BC7B05" wp14:editId="574FE597">
                <wp:extent cx="5924550" cy="1025719"/>
                <wp:effectExtent l="0" t="0" r="19050" b="22225"/>
                <wp:docPr id="908883035" name="Text Box 908883035" descr="P8845TB26#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1025719"/>
                        </a:xfrm>
                        <a:prstGeom prst="rect">
                          <a:avLst/>
                        </a:prstGeom>
                        <a:solidFill>
                          <a:srgbClr val="FFFFFF"/>
                        </a:solidFill>
                        <a:ln w="9525">
                          <a:solidFill>
                            <a:srgbClr val="FF0000"/>
                          </a:solidFill>
                          <a:miter lim="800000"/>
                          <a:headEnd/>
                          <a:tailEnd/>
                        </a:ln>
                      </wps:spPr>
                      <wps:txbx>
                        <w:txbxContent>
                          <w:p w14:paraId="2339B649" w14:textId="06B46D77" w:rsidR="00DC69D9" w:rsidRPr="00CD4A97" w:rsidRDefault="00DC69D9" w:rsidP="00DC69D9">
                            <w:pPr>
                              <w:rPr>
                                <w:b/>
                              </w:rPr>
                            </w:pPr>
                            <w:r w:rsidRPr="00DF6A41">
                              <w:rPr>
                                <w:b/>
                              </w:rPr>
                              <w:t>Reporting</w:t>
                            </w:r>
                            <w:r>
                              <w:rPr>
                                <w:b/>
                              </w:rPr>
                              <w:t xml:space="preserve"> </w:t>
                            </w:r>
                            <w:r w:rsidRPr="00DF6A41">
                              <w:rPr>
                                <w:b/>
                              </w:rPr>
                              <w:t>Period</w:t>
                            </w:r>
                            <w:r>
                              <w:rPr>
                                <w:b/>
                              </w:rPr>
                              <w:t xml:space="preserve">: </w:t>
                            </w:r>
                            <w:r>
                              <w:t>Answer questions #</w:t>
                            </w:r>
                            <w:r w:rsidR="004F2BE4">
                              <w:t>1-</w:t>
                            </w:r>
                            <w:r w:rsidR="00F8472D">
                              <w:t>8</w:t>
                            </w:r>
                            <w:r>
                              <w:t xml:space="preserve"> based on the </w:t>
                            </w:r>
                            <w:r w:rsidR="000F3286">
                              <w:t>l</w:t>
                            </w:r>
                            <w:r w:rsidR="000F3286" w:rsidRPr="00AA1E71">
                              <w:rPr>
                                <w:rFonts w:cstheme="minorHAnsi"/>
                              </w:rPr>
                              <w:t xml:space="preserve">atest </w:t>
                            </w:r>
                            <w:r w:rsidR="000F3286" w:rsidRPr="00627DE4">
                              <w:rPr>
                                <w:rFonts w:cstheme="minorHAnsi"/>
                                <w:b/>
                                <w:bCs/>
                              </w:rPr>
                              <w:t>24 or 36 months</w:t>
                            </w:r>
                            <w:r w:rsidR="000F3286" w:rsidRPr="00AA1E71">
                              <w:rPr>
                                <w:rFonts w:cstheme="minorHAnsi"/>
                              </w:rPr>
                              <w:t xml:space="preserve"> prior to Survey submission (see individual </w:t>
                            </w:r>
                            <w:r w:rsidR="000F3286">
                              <w:rPr>
                                <w:rFonts w:cstheme="minorHAnsi"/>
                              </w:rPr>
                              <w:t xml:space="preserve">question </w:t>
                            </w:r>
                            <w:r w:rsidR="000F3286" w:rsidRPr="00AA1E71">
                              <w:rPr>
                                <w:rFonts w:cstheme="minorHAnsi"/>
                              </w:rPr>
                              <w:t>for specific reporting period)</w:t>
                            </w:r>
                            <w:r w:rsidR="008457AB">
                              <w:rPr>
                                <w:rFonts w:cstheme="minorHAnsi"/>
                              </w:rPr>
                              <w:t>.</w:t>
                            </w:r>
                          </w:p>
                          <w:p w14:paraId="7812D313" w14:textId="77777777" w:rsidR="00DC69D9" w:rsidRDefault="00DC69D9" w:rsidP="00DC69D9"/>
                          <w:p w14:paraId="053887D4" w14:textId="77777777" w:rsidR="00DC69D9" w:rsidRPr="00D20A90" w:rsidRDefault="00DC69D9" w:rsidP="00DC69D9">
                            <w:pPr>
                              <w:rPr>
                                <w:b/>
                              </w:rPr>
                            </w:pPr>
                            <w:r w:rsidRPr="006547C0">
                              <w:rPr>
                                <w:rFonts w:cs="Arial"/>
                                <w:sz w:val="16"/>
                                <w:szCs w:val="16"/>
                              </w:rPr>
                              <w:t xml:space="preserve">Note: As a reminder, the </w:t>
                            </w:r>
                            <w:hyperlink r:id="rId360" w:history="1">
                              <w:r w:rsidRPr="006547C0">
                                <w:rPr>
                                  <w:rStyle w:val="Hyperlink"/>
                                  <w:rFonts w:cs="Arial"/>
                                  <w:sz w:val="16"/>
                                  <w:szCs w:val="16"/>
                                </w:rPr>
                                <w:t>Corrections Period</w:t>
                              </w:r>
                            </w:hyperlink>
                            <w:r w:rsidRPr="006547C0">
                              <w:rPr>
                                <w:rFonts w:cs="Arial"/>
                                <w:sz w:val="16"/>
                                <w:szCs w:val="16"/>
                              </w:rPr>
                              <w:t xml:space="preserve"> </w:t>
                            </w:r>
                            <w:r w:rsidRPr="00E65E68">
                              <w:rPr>
                                <w:rFonts w:cs="Arial"/>
                                <w:sz w:val="16"/>
                                <w:szCs w:val="16"/>
                              </w:rPr>
                              <w:t>(</w:t>
                            </w:r>
                            <w:r>
                              <w:rPr>
                                <w:rFonts w:cs="Arial"/>
                                <w:sz w:val="16"/>
                                <w:szCs w:val="16"/>
                              </w:rPr>
                              <w:t>December</w:t>
                            </w:r>
                            <w:r w:rsidRPr="00E65E68">
                              <w:rPr>
                                <w:rFonts w:cs="Arial"/>
                                <w:sz w:val="16"/>
                                <w:szCs w:val="16"/>
                              </w:rPr>
                              <w:t xml:space="preserve"> 1-January 31) is reserved for corrections to previously submitted Surveys only. </w:t>
                            </w:r>
                            <w:r w:rsidRPr="00E65E68">
                              <w:rPr>
                                <w:rFonts w:cs="Arial"/>
                                <w:bCs/>
                                <w:snapToGrid w:val="0"/>
                                <w:sz w:val="16"/>
                                <w:szCs w:val="16"/>
                              </w:rPr>
                              <w:t xml:space="preserve">Any updates made to reflect a change in performance must be made prior to the </w:t>
                            </w:r>
                            <w:r>
                              <w:rPr>
                                <w:rFonts w:cs="Arial"/>
                                <w:bCs/>
                                <w:snapToGrid w:val="0"/>
                                <w:sz w:val="16"/>
                                <w:szCs w:val="16"/>
                              </w:rPr>
                              <w:t>November 30</w:t>
                            </w:r>
                            <w:r w:rsidRPr="00E65E68">
                              <w:rPr>
                                <w:rFonts w:cs="Arial"/>
                                <w:bCs/>
                                <w:snapToGrid w:val="0"/>
                                <w:sz w:val="16"/>
                                <w:szCs w:val="16"/>
                              </w:rPr>
                              <w:t xml:space="preserve"> Late Submission </w:t>
                            </w:r>
                            <w:r>
                              <w:rPr>
                                <w:rFonts w:cs="Arial"/>
                                <w:bCs/>
                                <w:snapToGrid w:val="0"/>
                                <w:sz w:val="16"/>
                                <w:szCs w:val="16"/>
                              </w:rPr>
                              <w:t xml:space="preserve">and Performance Update </w:t>
                            </w:r>
                            <w:r w:rsidRPr="00E65E68">
                              <w:rPr>
                                <w:rFonts w:cs="Arial"/>
                                <w:bCs/>
                                <w:snapToGrid w:val="0"/>
                                <w:sz w:val="16"/>
                                <w:szCs w:val="16"/>
                              </w:rPr>
                              <w:t xml:space="preserve">Deadline. Updates made to reflect a change in performance after </w:t>
                            </w:r>
                            <w:r>
                              <w:rPr>
                                <w:rFonts w:cs="Arial"/>
                                <w:bCs/>
                                <w:snapToGrid w:val="0"/>
                                <w:sz w:val="16"/>
                                <w:szCs w:val="16"/>
                              </w:rPr>
                              <w:t>November 30</w:t>
                            </w:r>
                            <w:r w:rsidRPr="00E65E68">
                              <w:rPr>
                                <w:rFonts w:cs="Arial"/>
                                <w:bCs/>
                                <w:snapToGrid w:val="0"/>
                                <w:sz w:val="16"/>
                                <w:szCs w:val="16"/>
                              </w:rPr>
                              <w:t xml:space="preserve"> will not be scored or publicly reported.</w:t>
                            </w:r>
                          </w:p>
                        </w:txbxContent>
                      </wps:txbx>
                      <wps:bodyPr rot="0" vert="horz" wrap="square" lIns="91440" tIns="45720" rIns="91440" bIns="45720" anchor="t" anchorCtr="0">
                        <a:noAutofit/>
                      </wps:bodyPr>
                    </wps:wsp>
                  </a:graphicData>
                </a:graphic>
              </wp:inline>
            </w:drawing>
          </mc:Choice>
          <mc:Fallback>
            <w:pict>
              <v:shape w14:anchorId="17BC7B05" id="Text Box 908883035" o:spid="_x0000_s1053" type="#_x0000_t202" alt="P8845TB26#y1" style="width:466.5pt;height:80.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" strokecolor="red">
                <v:textbox>
                  <w:txbxContent>
                    <w:p w14:paraId="2339B649" w14:textId="06B46D77" w:rsidR="00DC69D9" w:rsidRPr="00CD4A97" w:rsidRDefault="00DC69D9" w:rsidP="00DC69D9">
                      <w:pPr>
                        <w:rPr>
                          <w:b/>
                        </w:rPr>
                      </w:pPr>
                      <w:r w:rsidRPr="00DF6A41">
                        <w:rPr>
                          <w:b/>
                        </w:rPr>
                        <w:t>Reporting</w:t>
                      </w:r>
                      <w:r>
                        <w:rPr>
                          <w:b/>
                        </w:rPr>
                        <w:t xml:space="preserve"> </w:t>
                      </w:r>
                      <w:r w:rsidRPr="00DF6A41">
                        <w:rPr>
                          <w:b/>
                        </w:rPr>
                        <w:t>Period</w:t>
                      </w:r>
                      <w:r>
                        <w:rPr>
                          <w:b/>
                        </w:rPr>
                        <w:t xml:space="preserve">: </w:t>
                      </w:r>
                      <w:r>
                        <w:t xml:space="preserve">Answer </w:t>
                      </w:r>
                      <w:proofErr w:type="gramStart"/>
                      <w:r>
                        <w:t>questions #</w:t>
                      </w:r>
                      <w:r w:rsidR="004F2BE4">
                        <w:t>1</w:t>
                      </w:r>
                      <w:proofErr w:type="gramEnd"/>
                      <w:r w:rsidR="004F2BE4">
                        <w:t>-</w:t>
                      </w:r>
                      <w:r w:rsidR="00F8472D">
                        <w:t>8</w:t>
                      </w:r>
                      <w:r>
                        <w:t xml:space="preserve"> based on the </w:t>
                      </w:r>
                      <w:r w:rsidR="000F3286">
                        <w:t>l</w:t>
                      </w:r>
                      <w:r w:rsidR="000F3286" w:rsidRPr="00AA1E71">
                        <w:rPr>
                          <w:rFonts w:cstheme="minorHAnsi"/>
                        </w:rPr>
                        <w:t xml:space="preserve">atest </w:t>
                      </w:r>
                      <w:r w:rsidR="000F3286" w:rsidRPr="00627DE4">
                        <w:rPr>
                          <w:rFonts w:cstheme="minorHAnsi"/>
                          <w:b/>
                          <w:bCs/>
                        </w:rPr>
                        <w:t>24 or 36 months</w:t>
                      </w:r>
                      <w:r w:rsidR="000F3286" w:rsidRPr="00AA1E71">
                        <w:rPr>
                          <w:rFonts w:cstheme="minorHAnsi"/>
                        </w:rPr>
                        <w:t xml:space="preserve"> prior to Survey submission (see individual </w:t>
                      </w:r>
                      <w:r w:rsidR="000F3286">
                        <w:rPr>
                          <w:rFonts w:cstheme="minorHAnsi"/>
                        </w:rPr>
                        <w:t xml:space="preserve">question </w:t>
                      </w:r>
                      <w:r w:rsidR="000F3286" w:rsidRPr="00AA1E71">
                        <w:rPr>
                          <w:rFonts w:cstheme="minorHAnsi"/>
                        </w:rPr>
                        <w:t>for specific reporting period)</w:t>
                      </w:r>
                      <w:r w:rsidR="008457AB">
                        <w:rPr>
                          <w:rFonts w:cstheme="minorHAnsi"/>
                        </w:rPr>
                        <w:t>.</w:t>
                      </w:r>
                    </w:p>
                    <w:p w14:paraId="7812D313" w14:textId="77777777" w:rsidR="00DC69D9" w:rsidRDefault="00DC69D9" w:rsidP="00DC69D9"/>
                    <w:p w14:paraId="053887D4" w14:textId="77777777" w:rsidR="00DC69D9" w:rsidRPr="00D20A90" w:rsidRDefault="00DC69D9" w:rsidP="00DC69D9">
                      <w:pPr>
                        <w:rPr>
                          <w:b/>
                        </w:rPr>
                      </w:pPr>
                      <w:r w:rsidRPr="006547C0">
                        <w:rPr>
                          <w:rFonts w:cs="Arial"/>
                          <w:sz w:val="16"/>
                          <w:szCs w:val="16"/>
                        </w:rPr>
                        <w:t xml:space="preserve">Note: As a reminder, the </w:t>
                      </w:r>
                      <w:hyperlink r:id="rId361" w:history="1">
                        <w:r w:rsidRPr="006547C0">
                          <w:rPr>
                            <w:rStyle w:val="Hyperlink"/>
                            <w:rFonts w:cs="Arial"/>
                            <w:sz w:val="16"/>
                            <w:szCs w:val="16"/>
                          </w:rPr>
                          <w:t>Corrections Period</w:t>
                        </w:r>
                      </w:hyperlink>
                      <w:r w:rsidRPr="006547C0">
                        <w:rPr>
                          <w:rFonts w:cs="Arial"/>
                          <w:sz w:val="16"/>
                          <w:szCs w:val="16"/>
                        </w:rPr>
                        <w:t xml:space="preserve"> </w:t>
                      </w:r>
                      <w:r w:rsidRPr="00E65E68">
                        <w:rPr>
                          <w:rFonts w:cs="Arial"/>
                          <w:sz w:val="16"/>
                          <w:szCs w:val="16"/>
                        </w:rPr>
                        <w:t>(</w:t>
                      </w:r>
                      <w:r>
                        <w:rPr>
                          <w:rFonts w:cs="Arial"/>
                          <w:sz w:val="16"/>
                          <w:szCs w:val="16"/>
                        </w:rPr>
                        <w:t>December</w:t>
                      </w:r>
                      <w:r w:rsidRPr="00E65E68">
                        <w:rPr>
                          <w:rFonts w:cs="Arial"/>
                          <w:sz w:val="16"/>
                          <w:szCs w:val="16"/>
                        </w:rPr>
                        <w:t xml:space="preserve"> 1-January 31) is reserved for corrections to previously submitted Surveys only. </w:t>
                      </w:r>
                      <w:r w:rsidRPr="00E65E68">
                        <w:rPr>
                          <w:rFonts w:cs="Arial"/>
                          <w:bCs/>
                          <w:snapToGrid w:val="0"/>
                          <w:sz w:val="16"/>
                          <w:szCs w:val="16"/>
                        </w:rPr>
                        <w:t xml:space="preserve">Any updates made to reflect a change in performance must be made prior to the </w:t>
                      </w:r>
                      <w:r>
                        <w:rPr>
                          <w:rFonts w:cs="Arial"/>
                          <w:bCs/>
                          <w:snapToGrid w:val="0"/>
                          <w:sz w:val="16"/>
                          <w:szCs w:val="16"/>
                        </w:rPr>
                        <w:t>November 30</w:t>
                      </w:r>
                      <w:r w:rsidRPr="00E65E68">
                        <w:rPr>
                          <w:rFonts w:cs="Arial"/>
                          <w:bCs/>
                          <w:snapToGrid w:val="0"/>
                          <w:sz w:val="16"/>
                          <w:szCs w:val="16"/>
                        </w:rPr>
                        <w:t xml:space="preserve"> Late Submission </w:t>
                      </w:r>
                      <w:r>
                        <w:rPr>
                          <w:rFonts w:cs="Arial"/>
                          <w:bCs/>
                          <w:snapToGrid w:val="0"/>
                          <w:sz w:val="16"/>
                          <w:szCs w:val="16"/>
                        </w:rPr>
                        <w:t xml:space="preserve">and Performance Update </w:t>
                      </w:r>
                      <w:r w:rsidRPr="00E65E68">
                        <w:rPr>
                          <w:rFonts w:cs="Arial"/>
                          <w:bCs/>
                          <w:snapToGrid w:val="0"/>
                          <w:sz w:val="16"/>
                          <w:szCs w:val="16"/>
                        </w:rPr>
                        <w:t xml:space="preserve">Deadline. Updates made to reflect a change in performance after </w:t>
                      </w:r>
                      <w:r>
                        <w:rPr>
                          <w:rFonts w:cs="Arial"/>
                          <w:bCs/>
                          <w:snapToGrid w:val="0"/>
                          <w:sz w:val="16"/>
                          <w:szCs w:val="16"/>
                        </w:rPr>
                        <w:t>November 30</w:t>
                      </w:r>
                      <w:r w:rsidRPr="00E65E68">
                        <w:rPr>
                          <w:rFonts w:cs="Arial"/>
                          <w:bCs/>
                          <w:snapToGrid w:val="0"/>
                          <w:sz w:val="16"/>
                          <w:szCs w:val="16"/>
                        </w:rPr>
                        <w:t xml:space="preserve"> will not be scored or publicly reported.</w:t>
                      </w:r>
                    </w:p>
                  </w:txbxContent>
                </v:textbox>
                <w10:anchorlock/>
              </v:shape>
            </w:pict>
          </mc:Fallback>
        </mc:AlternateContent>
      </w:r>
    </w:p>
    <w:p w14:paraId="67BB7BE2" w14:textId="3554FD6D" w:rsidR="00DC69D9" w:rsidRPr="007A049F" w:rsidRDefault="00A84A2E" w:rsidP="00AB5B80">
      <w:pPr>
        <w:pStyle w:val="Heading3"/>
      </w:pPr>
      <w:r>
        <w:br/>
      </w:r>
      <w:bookmarkStart w:id="496" w:name="_Toc225877788"/>
      <w:r w:rsidR="00DC69D9" w:rsidRPr="00D66BB6">
        <w:t>Convening a Multidisciplinary Team Focused on Diagnostic Excellence</w:t>
      </w:r>
      <w:bookmarkEnd w:id="496"/>
      <w:r w:rsidR="00B07236">
        <w:br/>
      </w:r>
    </w:p>
    <w:tbl>
      <w:tblPr>
        <w:tblW w:w="99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67"/>
        <w:gridCol w:w="2908"/>
      </w:tblGrid>
      <w:tr w:rsidR="00DC69D9" w:rsidRPr="008559B9" w14:paraId="13758C3E" w14:textId="77777777" w:rsidTr="00B74BD8">
        <w:trPr>
          <w:trHeight w:val="3600"/>
        </w:trPr>
        <w:tc>
          <w:tcPr>
            <w:tcW w:w="7067" w:type="dxa"/>
            <w:vAlign w:val="center"/>
          </w:tcPr>
          <w:p w14:paraId="1E8C6B10" w14:textId="6EF2D666" w:rsidR="00DC69D9" w:rsidRPr="00D66BB6" w:rsidRDefault="004801F0" w:rsidP="00AD309C">
            <w:pPr>
              <w:numPr>
                <w:ilvl w:val="0"/>
                <w:numId w:val="259"/>
              </w:numPr>
              <w:rPr>
                <w:rFonts w:cstheme="minorHAnsi"/>
              </w:rPr>
            </w:pPr>
            <w:r>
              <w:rPr>
                <w:rFonts w:cstheme="minorHAnsi"/>
              </w:rPr>
              <w:t>Does your hospital have a</w:t>
            </w:r>
            <w:r w:rsidR="00DC69D9" w:rsidRPr="00D66BB6">
              <w:rPr>
                <w:rFonts w:cstheme="minorHAnsi"/>
              </w:rPr>
              <w:t xml:space="preserve"> multidisciplinary team that meets all the following requirements</w:t>
            </w:r>
            <w:r w:rsidR="00AA302B">
              <w:rPr>
                <w:rFonts w:cstheme="minorHAnsi"/>
              </w:rPr>
              <w:t>:</w:t>
            </w:r>
          </w:p>
          <w:p w14:paraId="0BF4161D" w14:textId="525F479B" w:rsidR="00DC69D9" w:rsidRPr="00D66BB6" w:rsidRDefault="009D6489" w:rsidP="00AD309C">
            <w:pPr>
              <w:pStyle w:val="ListParagraph"/>
              <w:numPr>
                <w:ilvl w:val="0"/>
                <w:numId w:val="258"/>
              </w:numPr>
              <w:rPr>
                <w:rFonts w:cstheme="minorHAnsi"/>
              </w:rPr>
            </w:pPr>
            <w:r>
              <w:rPr>
                <w:rFonts w:cstheme="minorHAnsi"/>
              </w:rPr>
              <w:t>F</w:t>
            </w:r>
            <w:r w:rsidR="00DC69D9" w:rsidRPr="00D66BB6">
              <w:rPr>
                <w:rFonts w:cstheme="minorHAnsi"/>
              </w:rPr>
              <w:t xml:space="preserve">ocused on reducing harm to patients from errors in </w:t>
            </w:r>
            <w:r w:rsidR="00AB082A">
              <w:rPr>
                <w:rFonts w:cstheme="minorHAnsi"/>
              </w:rPr>
              <w:t xml:space="preserve">the </w:t>
            </w:r>
            <w:r w:rsidR="00DC69D9" w:rsidRPr="00D66BB6">
              <w:rPr>
                <w:rFonts w:cstheme="minorHAnsi"/>
              </w:rPr>
              <w:t>diagnos</w:t>
            </w:r>
            <w:r w:rsidR="00AB082A">
              <w:rPr>
                <w:rFonts w:cstheme="minorHAnsi"/>
              </w:rPr>
              <w:t>ti</w:t>
            </w:r>
            <w:r w:rsidR="00F717A3">
              <w:rPr>
                <w:rFonts w:cstheme="minorHAnsi"/>
              </w:rPr>
              <w:t>c</w:t>
            </w:r>
            <w:r w:rsidR="00AB082A">
              <w:rPr>
                <w:rFonts w:cstheme="minorHAnsi"/>
              </w:rPr>
              <w:t xml:space="preserve"> process</w:t>
            </w:r>
            <w:r w:rsidR="00AA302B">
              <w:rPr>
                <w:rFonts w:cstheme="minorHAnsi"/>
              </w:rPr>
              <w:t>;</w:t>
            </w:r>
          </w:p>
          <w:p w14:paraId="2E010D16" w14:textId="3C5F3379" w:rsidR="00DC69D9" w:rsidRPr="00D66BB6" w:rsidRDefault="00DC69D9" w:rsidP="00AD309C">
            <w:pPr>
              <w:pStyle w:val="ListParagraph"/>
              <w:numPr>
                <w:ilvl w:val="0"/>
                <w:numId w:val="258"/>
              </w:numPr>
              <w:rPr>
                <w:rFonts w:cstheme="minorHAnsi"/>
              </w:rPr>
            </w:pPr>
            <w:r w:rsidRPr="00D66BB6">
              <w:rPr>
                <w:rFonts w:cstheme="minorHAnsi"/>
              </w:rPr>
              <w:t>Sponsored by either the CEO or CMO</w:t>
            </w:r>
            <w:r w:rsidR="00AA302B">
              <w:rPr>
                <w:rFonts w:cstheme="minorHAnsi"/>
              </w:rPr>
              <w:t>;</w:t>
            </w:r>
          </w:p>
          <w:p w14:paraId="795FC175" w14:textId="642BFF33" w:rsidR="00DC69D9" w:rsidRPr="00D66BB6" w:rsidRDefault="00DC69D9" w:rsidP="00AD309C">
            <w:pPr>
              <w:pStyle w:val="ListParagraph"/>
              <w:numPr>
                <w:ilvl w:val="0"/>
                <w:numId w:val="258"/>
              </w:numPr>
              <w:rPr>
                <w:rFonts w:cstheme="minorHAnsi"/>
              </w:rPr>
            </w:pPr>
            <w:r w:rsidRPr="00D66BB6">
              <w:rPr>
                <w:rFonts w:cstheme="minorHAnsi"/>
              </w:rPr>
              <w:t>Includes, at a minimum, representatives from nursing, pharmacy, laboratory medicine, radiology, pathology, hospital medicine or inpatient care specialists, emergency medicine, and quality or risk management</w:t>
            </w:r>
            <w:r w:rsidR="00AA302B">
              <w:rPr>
                <w:rFonts w:cstheme="minorHAnsi"/>
              </w:rPr>
              <w:t>;</w:t>
            </w:r>
          </w:p>
          <w:p w14:paraId="698D95BF" w14:textId="7996EF13" w:rsidR="00DC69D9" w:rsidRPr="00D66BB6" w:rsidRDefault="00DC69D9" w:rsidP="00AD309C">
            <w:pPr>
              <w:pStyle w:val="ListParagraph"/>
              <w:numPr>
                <w:ilvl w:val="0"/>
                <w:numId w:val="258"/>
              </w:numPr>
              <w:rPr>
                <w:rFonts w:cstheme="minorHAnsi"/>
              </w:rPr>
            </w:pPr>
            <w:r w:rsidRPr="00D66BB6">
              <w:rPr>
                <w:rFonts w:cstheme="minorHAnsi"/>
              </w:rPr>
              <w:t>Meets at least quarterly</w:t>
            </w:r>
            <w:r w:rsidR="00AA302B">
              <w:rPr>
                <w:rFonts w:cstheme="minorHAnsi"/>
              </w:rPr>
              <w:t>;</w:t>
            </w:r>
          </w:p>
          <w:p w14:paraId="77B69E1E" w14:textId="73947CC5" w:rsidR="00DC69D9" w:rsidRPr="00D66BB6" w:rsidRDefault="00DC69D9" w:rsidP="00AD309C">
            <w:pPr>
              <w:pStyle w:val="ListParagraph"/>
              <w:numPr>
                <w:ilvl w:val="0"/>
                <w:numId w:val="258"/>
              </w:numPr>
              <w:rPr>
                <w:rFonts w:cstheme="minorHAnsi"/>
              </w:rPr>
            </w:pPr>
            <w:r w:rsidRPr="00D66BB6">
              <w:rPr>
                <w:rFonts w:cstheme="minorHAnsi"/>
              </w:rPr>
              <w:t>Reports to senior leaders quarterly</w:t>
            </w:r>
            <w:r w:rsidR="00AA302B">
              <w:rPr>
                <w:rFonts w:cstheme="minorHAnsi"/>
              </w:rPr>
              <w:t>;</w:t>
            </w:r>
            <w:r w:rsidRPr="00D66BB6">
              <w:rPr>
                <w:rFonts w:cstheme="minorHAnsi"/>
              </w:rPr>
              <w:t xml:space="preserve"> </w:t>
            </w:r>
          </w:p>
          <w:p w14:paraId="33DCEE05" w14:textId="7A6B0961" w:rsidR="00DC69D9" w:rsidRDefault="00DC69D9" w:rsidP="00AD309C">
            <w:pPr>
              <w:pStyle w:val="ListParagraph"/>
              <w:numPr>
                <w:ilvl w:val="0"/>
                <w:numId w:val="258"/>
              </w:numPr>
              <w:rPr>
                <w:rFonts w:cstheme="minorHAnsi"/>
              </w:rPr>
            </w:pPr>
            <w:r w:rsidRPr="00D66BB6">
              <w:rPr>
                <w:rFonts w:cstheme="minorHAnsi"/>
              </w:rPr>
              <w:t>Reports to the Board annually</w:t>
            </w:r>
            <w:r w:rsidR="000F21B7">
              <w:rPr>
                <w:rFonts w:cstheme="minorHAnsi"/>
              </w:rPr>
              <w:t>; and</w:t>
            </w:r>
          </w:p>
          <w:p w14:paraId="6FF51571" w14:textId="34A0EB6E" w:rsidR="0094228F" w:rsidRPr="0094228F" w:rsidRDefault="0094228F" w:rsidP="0094228F">
            <w:pPr>
              <w:pStyle w:val="ListParagraph"/>
              <w:numPr>
                <w:ilvl w:val="0"/>
                <w:numId w:val="258"/>
              </w:numPr>
              <w:rPr>
                <w:rFonts w:cstheme="minorHAnsi"/>
              </w:rPr>
            </w:pPr>
            <w:r w:rsidRPr="00243616">
              <w:rPr>
                <w:rFonts w:cstheme="minorHAnsi"/>
              </w:rPr>
              <w:t>Includes at least one patient and/or care partner</w:t>
            </w:r>
            <w:r w:rsidR="000F21B7">
              <w:rPr>
                <w:rFonts w:cstheme="minorHAnsi"/>
              </w:rPr>
              <w:t>?</w:t>
            </w:r>
          </w:p>
          <w:p w14:paraId="0DE95B55" w14:textId="77777777" w:rsidR="00B07236" w:rsidRDefault="00B07236" w:rsidP="00EC4DCE">
            <w:pPr>
              <w:ind w:left="720"/>
              <w:rPr>
                <w:rFonts w:cstheme="minorHAnsi"/>
                <w:i/>
              </w:rPr>
            </w:pPr>
          </w:p>
          <w:p w14:paraId="7AEA2DE9" w14:textId="4BF5625F" w:rsidR="008B4E6E" w:rsidRDefault="00957380" w:rsidP="008B4E6E">
            <w:pPr>
              <w:ind w:left="720"/>
              <w:rPr>
                <w:rFonts w:cs="Aptos"/>
                <w:i/>
                <w:iCs/>
              </w:rPr>
            </w:pPr>
            <w:r w:rsidRPr="001F2388">
              <w:rPr>
                <w:rFonts w:cstheme="minorHAnsi"/>
                <w:i/>
                <w:iCs/>
              </w:rPr>
              <w:t>The multidisciplinary team</w:t>
            </w:r>
            <w:r w:rsidR="00EB6550">
              <w:rPr>
                <w:rFonts w:cs="Aptos"/>
                <w:i/>
                <w:iCs/>
              </w:rPr>
              <w:t xml:space="preserve"> </w:t>
            </w:r>
            <w:r w:rsidR="00EB6550" w:rsidRPr="003041BC">
              <w:rPr>
                <w:rFonts w:cs="Aptos"/>
                <w:i/>
                <w:iCs/>
              </w:rPr>
              <w:t xml:space="preserve">can be the established </w:t>
            </w:r>
            <w:r w:rsidR="00EA50CE">
              <w:rPr>
                <w:rFonts w:cs="Aptos"/>
                <w:i/>
                <w:iCs/>
              </w:rPr>
              <w:t>hospital-wide safety and quality</w:t>
            </w:r>
            <w:r w:rsidR="00EA50CE" w:rsidRPr="003041BC">
              <w:rPr>
                <w:rFonts w:cs="Aptos"/>
                <w:i/>
                <w:iCs/>
              </w:rPr>
              <w:t xml:space="preserve"> </w:t>
            </w:r>
            <w:r w:rsidR="00EB6550" w:rsidRPr="003041BC">
              <w:rPr>
                <w:rFonts w:cs="Aptos"/>
                <w:i/>
                <w:iCs/>
              </w:rPr>
              <w:t xml:space="preserve">committee if the committee has a dedicated agenda item at least quarterly to review </w:t>
            </w:r>
            <w:r w:rsidR="008B4E6E">
              <w:rPr>
                <w:rFonts w:cs="Aptos"/>
                <w:i/>
                <w:iCs/>
              </w:rPr>
              <w:t>efforts focused on reducing harm to patients from errors in the diagnostic process.</w:t>
            </w:r>
          </w:p>
          <w:p w14:paraId="4B48E8D3" w14:textId="77777777" w:rsidR="001B46AE" w:rsidRDefault="001B46AE" w:rsidP="008B4E6E">
            <w:pPr>
              <w:ind w:left="720"/>
              <w:rPr>
                <w:rFonts w:cs="Aptos"/>
                <w:i/>
                <w:iCs/>
              </w:rPr>
            </w:pPr>
          </w:p>
          <w:p w14:paraId="3DA3F8E1" w14:textId="1F2BD178" w:rsidR="00DC69D9" w:rsidRPr="00D66BB6" w:rsidRDefault="001B46AE" w:rsidP="000013C7">
            <w:pPr>
              <w:ind w:left="720"/>
              <w:rPr>
                <w:rFonts w:cstheme="minorHAnsi"/>
                <w:i/>
              </w:rPr>
            </w:pPr>
            <w:r w:rsidRPr="001B46AE">
              <w:rPr>
                <w:rFonts w:cs="Aptos"/>
                <w:i/>
                <w:iCs/>
              </w:rPr>
              <w:t>If “no” to question #1, skip questions #2-</w:t>
            </w:r>
            <w:r w:rsidR="002D6BC8">
              <w:rPr>
                <w:rFonts w:cs="Aptos"/>
                <w:i/>
                <w:iCs/>
              </w:rPr>
              <w:t>5</w:t>
            </w:r>
            <w:r w:rsidRPr="001B46AE">
              <w:rPr>
                <w:rFonts w:cs="Aptos"/>
                <w:i/>
                <w:iCs/>
              </w:rPr>
              <w:t xml:space="preserve"> and continue to question #</w:t>
            </w:r>
            <w:r w:rsidR="002D6BC8">
              <w:rPr>
                <w:rFonts w:cs="Aptos"/>
                <w:i/>
                <w:iCs/>
              </w:rPr>
              <w:t>6</w:t>
            </w:r>
            <w:r w:rsidRPr="001B46AE">
              <w:rPr>
                <w:rFonts w:cs="Aptos"/>
                <w:i/>
                <w:iCs/>
              </w:rPr>
              <w:t>.</w:t>
            </w:r>
          </w:p>
        </w:tc>
        <w:tc>
          <w:tcPr>
            <w:tcW w:w="2908" w:type="dxa"/>
            <w:vAlign w:val="center"/>
          </w:tcPr>
          <w:p w14:paraId="568F9904" w14:textId="77777777" w:rsidR="00DC69D9" w:rsidRPr="00B74BD8" w:rsidRDefault="00DC69D9" w:rsidP="00314941">
            <w:pPr>
              <w:pStyle w:val="ListParagraph"/>
              <w:numPr>
                <w:ilvl w:val="0"/>
                <w:numId w:val="262"/>
              </w:numPr>
              <w:rPr>
                <w:rFonts w:cstheme="minorHAnsi"/>
                <w:iCs/>
              </w:rPr>
            </w:pPr>
            <w:r w:rsidRPr="00B74BD8">
              <w:rPr>
                <w:rFonts w:cstheme="minorHAnsi"/>
                <w:iCs/>
              </w:rPr>
              <w:t>Yes</w:t>
            </w:r>
          </w:p>
          <w:p w14:paraId="12F8C0A7" w14:textId="77777777" w:rsidR="00DC69D9" w:rsidRDefault="00DC69D9" w:rsidP="00314941">
            <w:pPr>
              <w:pStyle w:val="ListParagraph"/>
              <w:numPr>
                <w:ilvl w:val="0"/>
                <w:numId w:val="262"/>
              </w:numPr>
              <w:rPr>
                <w:rFonts w:cstheme="minorHAnsi"/>
                <w:iCs/>
              </w:rPr>
            </w:pPr>
            <w:r w:rsidRPr="00B74BD8">
              <w:rPr>
                <w:rFonts w:cstheme="minorHAnsi"/>
                <w:iCs/>
              </w:rPr>
              <w:t>No</w:t>
            </w:r>
          </w:p>
          <w:p w14:paraId="5DEE2104" w14:textId="19716B59" w:rsidR="00314941" w:rsidRPr="00314941" w:rsidRDefault="00314941" w:rsidP="00314941">
            <w:pPr>
              <w:pStyle w:val="ListParagraph"/>
              <w:numPr>
                <w:ilvl w:val="0"/>
                <w:numId w:val="262"/>
              </w:numPr>
              <w:rPr>
                <w:rFonts w:cstheme="minorHAnsi"/>
                <w:iCs/>
              </w:rPr>
            </w:pPr>
            <w:r w:rsidRPr="004211D9">
              <w:rPr>
                <w:rFonts w:cstheme="minorHAnsi"/>
                <w:iCs/>
              </w:rPr>
              <w:t>Yes, but our multidisciplinary team does not yet include a patient and/or care partner</w:t>
            </w:r>
          </w:p>
        </w:tc>
      </w:tr>
      <w:tr w:rsidR="00236924" w:rsidRPr="008559B9" w14:paraId="6DBAE92E" w14:textId="77777777" w:rsidTr="003618E3">
        <w:trPr>
          <w:trHeight w:val="431"/>
        </w:trPr>
        <w:tc>
          <w:tcPr>
            <w:tcW w:w="7067" w:type="dxa"/>
            <w:vAlign w:val="center"/>
          </w:tcPr>
          <w:p w14:paraId="1F91EEAF" w14:textId="42F5259C" w:rsidR="00236924" w:rsidRPr="00D66BB6" w:rsidRDefault="003F6102" w:rsidP="00AD309C">
            <w:pPr>
              <w:numPr>
                <w:ilvl w:val="0"/>
                <w:numId w:val="259"/>
              </w:numPr>
              <w:rPr>
                <w:rFonts w:cstheme="minorHAnsi"/>
              </w:rPr>
            </w:pPr>
            <w:r>
              <w:rPr>
                <w:rFonts w:eastAsiaTheme="minorHAnsi" w:cstheme="minorHAnsi"/>
                <w:kern w:val="2"/>
                <w14:ligatures w14:val="standardContextual"/>
              </w:rPr>
              <w:t xml:space="preserve">As a standing agenda item of </w:t>
            </w:r>
            <w:r w:rsidR="00021C31">
              <w:rPr>
                <w:rFonts w:eastAsiaTheme="minorHAnsi" w:cstheme="minorHAnsi"/>
                <w:kern w:val="2"/>
                <w14:ligatures w14:val="standardContextual"/>
              </w:rPr>
              <w:t>at least quarterly</w:t>
            </w:r>
            <w:r>
              <w:rPr>
                <w:rFonts w:eastAsiaTheme="minorHAnsi" w:cstheme="minorHAnsi"/>
                <w:kern w:val="2"/>
                <w14:ligatures w14:val="standardContextual"/>
              </w:rPr>
              <w:t xml:space="preserve"> meetings, </w:t>
            </w:r>
            <w:r w:rsidR="003423ED">
              <w:rPr>
                <w:rFonts w:eastAsiaTheme="minorHAnsi" w:cstheme="minorHAnsi"/>
                <w:kern w:val="2"/>
                <w14:ligatures w14:val="standardContextual"/>
              </w:rPr>
              <w:t>h</w:t>
            </w:r>
            <w:r w:rsidR="00236924" w:rsidRPr="00D66BB6">
              <w:rPr>
                <w:rFonts w:cstheme="minorHAnsi"/>
              </w:rPr>
              <w:t xml:space="preserve">as the multidisciplinary team reviewed any clinical or administrative data, patient experience or patient reported data, or incident reports to identify or track errors in </w:t>
            </w:r>
            <w:r w:rsidR="00286552">
              <w:rPr>
                <w:rFonts w:cstheme="minorHAnsi"/>
              </w:rPr>
              <w:t>the diagnostic process</w:t>
            </w:r>
            <w:r w:rsidR="00236924" w:rsidRPr="00D66BB6">
              <w:rPr>
                <w:rFonts w:cstheme="minorHAnsi"/>
              </w:rPr>
              <w:t>?</w:t>
            </w:r>
          </w:p>
          <w:p w14:paraId="3C7E5FFA" w14:textId="77777777" w:rsidR="00236924" w:rsidRPr="00D66BB6" w:rsidRDefault="00236924" w:rsidP="00236924">
            <w:pPr>
              <w:ind w:left="360"/>
              <w:rPr>
                <w:rFonts w:cstheme="minorHAnsi"/>
              </w:rPr>
            </w:pPr>
          </w:p>
          <w:p w14:paraId="5734E0B2" w14:textId="39B025BC" w:rsidR="00236924" w:rsidRPr="00D66BB6" w:rsidRDefault="00236924" w:rsidP="00236924">
            <w:pPr>
              <w:ind w:left="360"/>
              <w:rPr>
                <w:rFonts w:cstheme="minorHAnsi"/>
                <w:i/>
              </w:rPr>
            </w:pPr>
          </w:p>
        </w:tc>
        <w:tc>
          <w:tcPr>
            <w:tcW w:w="2908" w:type="dxa"/>
            <w:vAlign w:val="center"/>
          </w:tcPr>
          <w:p w14:paraId="229CF591" w14:textId="77777777" w:rsidR="00236924" w:rsidRPr="00B74BD8" w:rsidRDefault="00236924" w:rsidP="00AD309C">
            <w:pPr>
              <w:pStyle w:val="ListParagraph"/>
              <w:numPr>
                <w:ilvl w:val="0"/>
                <w:numId w:val="262"/>
              </w:numPr>
              <w:rPr>
                <w:rFonts w:cstheme="minorHAnsi"/>
                <w:iCs/>
              </w:rPr>
            </w:pPr>
            <w:r w:rsidRPr="00B74BD8">
              <w:rPr>
                <w:rFonts w:cstheme="minorHAnsi"/>
                <w:iCs/>
              </w:rPr>
              <w:t>Yes</w:t>
            </w:r>
          </w:p>
          <w:p w14:paraId="7A857A8A" w14:textId="2E49595D" w:rsidR="00DA0282" w:rsidRPr="001074C2" w:rsidRDefault="00236924" w:rsidP="001074C2">
            <w:pPr>
              <w:pStyle w:val="ListParagraph"/>
              <w:numPr>
                <w:ilvl w:val="0"/>
                <w:numId w:val="262"/>
              </w:numPr>
              <w:rPr>
                <w:rFonts w:cstheme="minorHAnsi"/>
                <w:iCs/>
              </w:rPr>
            </w:pPr>
            <w:r w:rsidRPr="00B74BD8">
              <w:rPr>
                <w:rFonts w:cstheme="minorHAnsi"/>
                <w:iCs/>
              </w:rPr>
              <w:t>No</w:t>
            </w:r>
          </w:p>
        </w:tc>
      </w:tr>
      <w:tr w:rsidR="00BF1FBE" w:rsidRPr="008559B9" w14:paraId="156EF909" w14:textId="77777777" w:rsidTr="003618E3">
        <w:trPr>
          <w:trHeight w:val="431"/>
        </w:trPr>
        <w:tc>
          <w:tcPr>
            <w:tcW w:w="7067" w:type="dxa"/>
            <w:vAlign w:val="center"/>
          </w:tcPr>
          <w:p w14:paraId="6479B009" w14:textId="09A2B300" w:rsidR="00BF1FBE" w:rsidRDefault="00BF1FBE" w:rsidP="00BF1FBE">
            <w:pPr>
              <w:numPr>
                <w:ilvl w:val="0"/>
                <w:numId w:val="259"/>
              </w:numPr>
              <w:rPr>
                <w:rFonts w:eastAsiaTheme="minorHAnsi" w:cstheme="minorHAnsi"/>
                <w:kern w:val="2"/>
                <w14:ligatures w14:val="standardContextual"/>
              </w:rPr>
            </w:pPr>
            <w:r>
              <w:rPr>
                <w:rFonts w:cstheme="minorHAnsi"/>
              </w:rPr>
              <w:t>In the past 24 months, h</w:t>
            </w:r>
            <w:r w:rsidRPr="00D66BB6">
              <w:rPr>
                <w:rFonts w:cstheme="minorHAnsi"/>
              </w:rPr>
              <w:t xml:space="preserve">as the multidisciplinary team </w:t>
            </w:r>
            <w:r>
              <w:rPr>
                <w:rFonts w:cstheme="minorHAnsi"/>
              </w:rPr>
              <w:t>convened</w:t>
            </w:r>
            <w:r w:rsidRPr="00D66BB6">
              <w:rPr>
                <w:rFonts w:cstheme="minorHAnsi"/>
              </w:rPr>
              <w:t xml:space="preserve"> the emergency medicine staff to develop or implement any initiatives aimed at improving accurate and timely diagnosis of commonly misdiagnosed conditions? </w:t>
            </w:r>
          </w:p>
        </w:tc>
        <w:tc>
          <w:tcPr>
            <w:tcW w:w="2908" w:type="dxa"/>
            <w:vAlign w:val="center"/>
          </w:tcPr>
          <w:p w14:paraId="41B9CD5C" w14:textId="77777777" w:rsidR="00BF1FBE" w:rsidRPr="00257CBD" w:rsidRDefault="00BF1FBE" w:rsidP="00BF1FBE">
            <w:pPr>
              <w:pStyle w:val="ListParagraph"/>
              <w:numPr>
                <w:ilvl w:val="0"/>
                <w:numId w:val="262"/>
              </w:numPr>
              <w:rPr>
                <w:rFonts w:cstheme="minorHAnsi"/>
                <w:iCs/>
              </w:rPr>
            </w:pPr>
            <w:r w:rsidRPr="00257CBD">
              <w:rPr>
                <w:rFonts w:cstheme="minorHAnsi"/>
                <w:iCs/>
              </w:rPr>
              <w:t>Yes</w:t>
            </w:r>
          </w:p>
          <w:p w14:paraId="10080B68" w14:textId="77777777" w:rsidR="00BF1FBE" w:rsidRPr="00257CBD" w:rsidRDefault="00BF1FBE" w:rsidP="00BF1FBE">
            <w:pPr>
              <w:pStyle w:val="ListParagraph"/>
              <w:numPr>
                <w:ilvl w:val="0"/>
                <w:numId w:val="262"/>
              </w:numPr>
              <w:rPr>
                <w:rFonts w:cstheme="minorHAnsi"/>
                <w:iCs/>
              </w:rPr>
            </w:pPr>
            <w:r w:rsidRPr="00257CBD">
              <w:rPr>
                <w:rFonts w:cstheme="minorHAnsi"/>
                <w:iCs/>
              </w:rPr>
              <w:t>No</w:t>
            </w:r>
          </w:p>
          <w:p w14:paraId="2B632429" w14:textId="1FAA451D" w:rsidR="00BF1FBE" w:rsidRPr="00B74BD8" w:rsidRDefault="00BF1FBE" w:rsidP="00BF1FBE">
            <w:pPr>
              <w:pStyle w:val="ListParagraph"/>
              <w:numPr>
                <w:ilvl w:val="0"/>
                <w:numId w:val="262"/>
              </w:numPr>
              <w:rPr>
                <w:rFonts w:cstheme="minorHAnsi"/>
                <w:iCs/>
              </w:rPr>
            </w:pPr>
            <w:r w:rsidRPr="00257CBD">
              <w:rPr>
                <w:rFonts w:cstheme="minorHAnsi"/>
                <w:iCs/>
              </w:rPr>
              <w:t>No, but the emergency medicine staff have independently implemented at least one such initiative</w:t>
            </w:r>
            <w:r w:rsidRPr="00C85AC0">
              <w:rPr>
                <w:rFonts w:eastAsia="Avenir" w:cs="Aptos"/>
                <w:iCs/>
              </w:rPr>
              <w:t>, and presented their initiative to the multidisciplinary team</w:t>
            </w:r>
          </w:p>
        </w:tc>
      </w:tr>
      <w:tr w:rsidR="00BF1FBE" w:rsidRPr="008559B9" w14:paraId="3D4BC472" w14:textId="77777777" w:rsidTr="003618E3">
        <w:trPr>
          <w:trHeight w:val="431"/>
        </w:trPr>
        <w:tc>
          <w:tcPr>
            <w:tcW w:w="7067" w:type="dxa"/>
            <w:vAlign w:val="center"/>
          </w:tcPr>
          <w:p w14:paraId="40CB5BC8" w14:textId="622A2314" w:rsidR="00BF1FBE" w:rsidRDefault="00BF1FBE" w:rsidP="00BF1FBE">
            <w:pPr>
              <w:numPr>
                <w:ilvl w:val="0"/>
                <w:numId w:val="259"/>
              </w:numPr>
              <w:rPr>
                <w:rFonts w:eastAsiaTheme="minorHAnsi" w:cstheme="minorHAnsi"/>
                <w:kern w:val="2"/>
                <w14:ligatures w14:val="standardContextual"/>
              </w:rPr>
            </w:pPr>
            <w:r>
              <w:rPr>
                <w:rFonts w:cstheme="minorHAnsi"/>
              </w:rPr>
              <w:t>In the past 24 months, h</w:t>
            </w:r>
            <w:r w:rsidRPr="00D66BB6">
              <w:rPr>
                <w:rFonts w:cstheme="minorHAnsi"/>
              </w:rPr>
              <w:t xml:space="preserve">as the multidisciplinary team </w:t>
            </w:r>
            <w:r>
              <w:rPr>
                <w:rFonts w:cstheme="minorHAnsi"/>
              </w:rPr>
              <w:t xml:space="preserve">convened </w:t>
            </w:r>
            <w:r w:rsidRPr="00D66BB6">
              <w:rPr>
                <w:rFonts w:cstheme="minorHAnsi"/>
              </w:rPr>
              <w:t>pathologists and radiologists to develop or implement</w:t>
            </w:r>
            <w:r>
              <w:rPr>
                <w:rFonts w:cstheme="minorHAnsi"/>
              </w:rPr>
              <w:t xml:space="preserve"> </w:t>
            </w:r>
            <w:r w:rsidRPr="00D66BB6">
              <w:rPr>
                <w:rFonts w:cstheme="minorHAnsi"/>
              </w:rPr>
              <w:t xml:space="preserve">protocols to ensure timely review and resolution of discrepancies, </w:t>
            </w:r>
            <w:r>
              <w:rPr>
                <w:rFonts w:cstheme="minorHAnsi"/>
              </w:rPr>
              <w:t>and timely communication of diagnoses to patients and their families</w:t>
            </w:r>
            <w:r w:rsidRPr="00D66BB6">
              <w:rPr>
                <w:rFonts w:cstheme="minorHAnsi"/>
              </w:rPr>
              <w:t>?</w:t>
            </w:r>
          </w:p>
        </w:tc>
        <w:tc>
          <w:tcPr>
            <w:tcW w:w="2908" w:type="dxa"/>
            <w:vAlign w:val="center"/>
          </w:tcPr>
          <w:p w14:paraId="0590A34A" w14:textId="77777777" w:rsidR="00BF1FBE" w:rsidRPr="00257CBD" w:rsidRDefault="00BF1FBE" w:rsidP="00BF1FBE">
            <w:pPr>
              <w:pStyle w:val="ListParagraph"/>
              <w:numPr>
                <w:ilvl w:val="0"/>
                <w:numId w:val="262"/>
              </w:numPr>
              <w:rPr>
                <w:rFonts w:cstheme="minorHAnsi"/>
                <w:iCs/>
              </w:rPr>
            </w:pPr>
            <w:r w:rsidRPr="00257CBD">
              <w:rPr>
                <w:rFonts w:cstheme="minorHAnsi"/>
                <w:iCs/>
              </w:rPr>
              <w:t>Yes</w:t>
            </w:r>
          </w:p>
          <w:p w14:paraId="18D50C60" w14:textId="77777777" w:rsidR="00BF1FBE" w:rsidRPr="00257CBD" w:rsidRDefault="00BF1FBE" w:rsidP="00BF1FBE">
            <w:pPr>
              <w:pStyle w:val="ListParagraph"/>
              <w:numPr>
                <w:ilvl w:val="0"/>
                <w:numId w:val="262"/>
              </w:numPr>
              <w:rPr>
                <w:rFonts w:cstheme="minorHAnsi"/>
                <w:iCs/>
              </w:rPr>
            </w:pPr>
            <w:r w:rsidRPr="00257CBD">
              <w:rPr>
                <w:rFonts w:cstheme="minorHAnsi"/>
                <w:iCs/>
              </w:rPr>
              <w:t>No</w:t>
            </w:r>
          </w:p>
          <w:p w14:paraId="548CEC22" w14:textId="40488515" w:rsidR="00BF1FBE" w:rsidRPr="00B74BD8" w:rsidRDefault="00BF1FBE" w:rsidP="00BF1FBE">
            <w:pPr>
              <w:pStyle w:val="ListParagraph"/>
              <w:numPr>
                <w:ilvl w:val="0"/>
                <w:numId w:val="262"/>
              </w:numPr>
              <w:rPr>
                <w:rFonts w:cstheme="minorHAnsi"/>
                <w:iCs/>
              </w:rPr>
            </w:pPr>
            <w:r w:rsidRPr="00257CBD">
              <w:rPr>
                <w:rFonts w:cstheme="minorHAnsi"/>
                <w:iCs/>
              </w:rPr>
              <w:t xml:space="preserve">No, but radiologists and pathologists independently developed or implemented at least one such protocol, </w:t>
            </w:r>
            <w:r w:rsidRPr="003041BC">
              <w:rPr>
                <w:rFonts w:eastAsia="Avenir" w:cs="Aptos"/>
                <w:iCs/>
              </w:rPr>
              <w:t>and presented their protocol to the multidisciplinary team</w:t>
            </w:r>
          </w:p>
        </w:tc>
      </w:tr>
      <w:tr w:rsidR="00DA0282" w:rsidRPr="008559B9" w14:paraId="4545B546" w14:textId="77777777" w:rsidTr="00B74BD8">
        <w:trPr>
          <w:trHeight w:val="1296"/>
        </w:trPr>
        <w:tc>
          <w:tcPr>
            <w:tcW w:w="7067" w:type="dxa"/>
            <w:vAlign w:val="center"/>
          </w:tcPr>
          <w:p w14:paraId="31246A97" w14:textId="0D1939DE" w:rsidR="00DA0282" w:rsidRPr="00D66BB6" w:rsidRDefault="0053444B" w:rsidP="00AD309C">
            <w:pPr>
              <w:numPr>
                <w:ilvl w:val="0"/>
                <w:numId w:val="259"/>
              </w:numPr>
              <w:rPr>
                <w:rFonts w:cstheme="minorHAnsi"/>
              </w:rPr>
            </w:pPr>
            <w:r>
              <w:rPr>
                <w:rFonts w:cstheme="minorHAnsi"/>
              </w:rPr>
              <w:t xml:space="preserve">In the past 24 months, </w:t>
            </w:r>
            <w:r>
              <w:rPr>
                <w:rFonts w:eastAsiaTheme="minorHAnsi" w:cstheme="minorHAnsi"/>
                <w:kern w:val="2"/>
                <w14:ligatures w14:val="standardContextual"/>
              </w:rPr>
              <w:t>h</w:t>
            </w:r>
            <w:r w:rsidR="00DA0282" w:rsidRPr="00D66BB6">
              <w:rPr>
                <w:rFonts w:eastAsiaTheme="minorHAnsi" w:cstheme="minorHAnsi"/>
                <w:kern w:val="2"/>
                <w14:ligatures w14:val="standardContextual"/>
              </w:rPr>
              <w:t xml:space="preserve">as the multidisciplinary team encouraged all staff (verbally or in writing), including all clinicians who participate in the diagnostic process, to report errors in </w:t>
            </w:r>
            <w:r w:rsidR="00E447A6">
              <w:rPr>
                <w:rFonts w:eastAsiaTheme="minorHAnsi" w:cstheme="minorHAnsi"/>
                <w:kern w:val="2"/>
                <w14:ligatures w14:val="standardContextual"/>
              </w:rPr>
              <w:t>the diagnostic process</w:t>
            </w:r>
            <w:r w:rsidR="00DA0282" w:rsidRPr="00D66BB6">
              <w:rPr>
                <w:rFonts w:eastAsiaTheme="minorHAnsi" w:cstheme="minorHAnsi"/>
                <w:kern w:val="2"/>
                <w14:ligatures w14:val="standardContextual"/>
              </w:rPr>
              <w:t xml:space="preserve"> via the hospital’s incident or event reporting system? </w:t>
            </w:r>
          </w:p>
        </w:tc>
        <w:tc>
          <w:tcPr>
            <w:tcW w:w="2908" w:type="dxa"/>
            <w:vAlign w:val="center"/>
          </w:tcPr>
          <w:p w14:paraId="4A5C9C80" w14:textId="77777777" w:rsidR="00DA0282" w:rsidRDefault="00DA0282" w:rsidP="00AD309C">
            <w:pPr>
              <w:pStyle w:val="ListParagraph"/>
              <w:numPr>
                <w:ilvl w:val="0"/>
                <w:numId w:val="311"/>
              </w:numPr>
              <w:rPr>
                <w:rFonts w:cstheme="minorHAnsi"/>
                <w:iCs/>
              </w:rPr>
            </w:pPr>
            <w:r w:rsidRPr="0029141C">
              <w:rPr>
                <w:rFonts w:cstheme="minorHAnsi"/>
                <w:iCs/>
              </w:rPr>
              <w:t>Yes</w:t>
            </w:r>
          </w:p>
          <w:p w14:paraId="5D19E3D1" w14:textId="65F413FE" w:rsidR="00DA0282" w:rsidRPr="00D55D98" w:rsidRDefault="00DA0282" w:rsidP="00D55D98">
            <w:pPr>
              <w:pStyle w:val="ListParagraph"/>
              <w:numPr>
                <w:ilvl w:val="0"/>
                <w:numId w:val="262"/>
              </w:numPr>
              <w:rPr>
                <w:rFonts w:cstheme="minorHAnsi"/>
                <w:iCs/>
              </w:rPr>
            </w:pPr>
            <w:r w:rsidRPr="00A84A2E">
              <w:rPr>
                <w:rFonts w:cstheme="minorHAnsi"/>
                <w:iCs/>
              </w:rPr>
              <w:t>No</w:t>
            </w:r>
          </w:p>
        </w:tc>
      </w:tr>
      <w:tr w:rsidR="00214061" w:rsidRPr="008559B9" w14:paraId="684E3848" w14:textId="77777777" w:rsidTr="00B74BD8">
        <w:trPr>
          <w:trHeight w:val="1296"/>
        </w:trPr>
        <w:tc>
          <w:tcPr>
            <w:tcW w:w="7067" w:type="dxa"/>
            <w:vAlign w:val="center"/>
          </w:tcPr>
          <w:p w14:paraId="0B9D2C7C" w14:textId="5BC7AEFD" w:rsidR="00214061" w:rsidRPr="00D66BB6" w:rsidRDefault="00214061" w:rsidP="00214061">
            <w:pPr>
              <w:pStyle w:val="ListParagraph"/>
              <w:numPr>
                <w:ilvl w:val="0"/>
                <w:numId w:val="259"/>
              </w:numPr>
              <w:spacing w:after="160" w:line="259" w:lineRule="auto"/>
              <w:rPr>
                <w:rFonts w:cstheme="minorHAnsi"/>
              </w:rPr>
            </w:pPr>
            <w:r>
              <w:rPr>
                <w:rFonts w:cstheme="minorHAnsi"/>
              </w:rPr>
              <w:t>In the past 36 months, h</w:t>
            </w:r>
            <w:r w:rsidRPr="00D66BB6">
              <w:rPr>
                <w:rFonts w:cstheme="minorHAnsi"/>
              </w:rPr>
              <w:t xml:space="preserve">as your </w:t>
            </w:r>
            <w:r>
              <w:rPr>
                <w:rFonts w:cstheme="minorHAnsi"/>
              </w:rPr>
              <w:t xml:space="preserve">hospital used the </w:t>
            </w:r>
            <w:hyperlink r:id="rId362" w:history="1">
              <w:r w:rsidRPr="006C2288">
                <w:rPr>
                  <w:rStyle w:val="Hyperlink"/>
                  <w:rFonts w:cstheme="minorHAnsi"/>
                </w:rPr>
                <w:t>Safer Dx Checklist</w:t>
              </w:r>
            </w:hyperlink>
            <w:r>
              <w:rPr>
                <w:rFonts w:cstheme="minorHAnsi"/>
              </w:rPr>
              <w:t xml:space="preserve"> to identify at least one high-priority practice that is not currently at “Full” implementation</w:t>
            </w:r>
            <w:r w:rsidRPr="00D66BB6">
              <w:rPr>
                <w:rFonts w:cstheme="minorHAnsi"/>
              </w:rPr>
              <w:t>?</w:t>
            </w:r>
          </w:p>
          <w:p w14:paraId="0F6B5E1A" w14:textId="009EC504" w:rsidR="00214061" w:rsidRPr="00D66BB6" w:rsidRDefault="00214061" w:rsidP="00214061">
            <w:pPr>
              <w:ind w:left="360"/>
              <w:rPr>
                <w:rFonts w:cstheme="minorHAnsi"/>
                <w:i/>
              </w:rPr>
            </w:pPr>
            <w:r w:rsidRPr="00D66BB6">
              <w:rPr>
                <w:rFonts w:cstheme="minorHAnsi"/>
                <w:i/>
              </w:rPr>
              <w:t>If</w:t>
            </w:r>
            <w:r w:rsidR="00D643A4">
              <w:rPr>
                <w:rFonts w:cstheme="minorHAnsi"/>
                <w:i/>
              </w:rPr>
              <w:t xml:space="preserve"> “</w:t>
            </w:r>
            <w:r w:rsidR="00695A0E">
              <w:rPr>
                <w:rFonts w:cstheme="minorHAnsi"/>
                <w:i/>
              </w:rPr>
              <w:t>y</w:t>
            </w:r>
            <w:r w:rsidR="00D643A4" w:rsidRPr="00D643A4">
              <w:rPr>
                <w:rFonts w:cstheme="minorHAnsi"/>
                <w:i/>
              </w:rPr>
              <w:t>es, but all practices are currently fully implemented</w:t>
            </w:r>
            <w:r w:rsidR="009566B1">
              <w:rPr>
                <w:rFonts w:cstheme="minorHAnsi"/>
                <w:i/>
              </w:rPr>
              <w:t>,</w:t>
            </w:r>
            <w:r w:rsidR="006B4889">
              <w:rPr>
                <w:rFonts w:cstheme="minorHAnsi"/>
                <w:i/>
              </w:rPr>
              <w:t>”</w:t>
            </w:r>
            <w:r w:rsidR="008064E6">
              <w:rPr>
                <w:rFonts w:cstheme="minorHAnsi"/>
                <w:i/>
              </w:rPr>
              <w:t xml:space="preserve"> </w:t>
            </w:r>
            <w:r w:rsidR="00D643A4">
              <w:rPr>
                <w:rFonts w:cstheme="minorHAnsi"/>
                <w:i/>
              </w:rPr>
              <w:t>or</w:t>
            </w:r>
            <w:r w:rsidRPr="00D66BB6">
              <w:rPr>
                <w:rFonts w:cstheme="minorHAnsi"/>
                <w:i/>
              </w:rPr>
              <w:t xml:space="preserve"> “no” to question #</w:t>
            </w:r>
            <w:r w:rsidR="008270B9">
              <w:rPr>
                <w:rFonts w:cstheme="minorHAnsi"/>
                <w:i/>
              </w:rPr>
              <w:t>6</w:t>
            </w:r>
            <w:r w:rsidRPr="00D66BB6">
              <w:rPr>
                <w:rFonts w:cstheme="minorHAnsi"/>
                <w:i/>
              </w:rPr>
              <w:t>, skip question #</w:t>
            </w:r>
            <w:r w:rsidR="008270B9">
              <w:rPr>
                <w:rFonts w:cstheme="minorHAnsi"/>
                <w:i/>
              </w:rPr>
              <w:t>7</w:t>
            </w:r>
            <w:r w:rsidRPr="00D66BB6">
              <w:rPr>
                <w:rFonts w:cstheme="minorHAnsi"/>
                <w:i/>
              </w:rPr>
              <w:t xml:space="preserve"> and continue to </w:t>
            </w:r>
            <w:r w:rsidR="004E03B6">
              <w:rPr>
                <w:rFonts w:cstheme="minorHAnsi"/>
                <w:i/>
              </w:rPr>
              <w:t>question #8</w:t>
            </w:r>
            <w:r w:rsidRPr="00D66BB6">
              <w:rPr>
                <w:rFonts w:cstheme="minorHAnsi"/>
                <w:i/>
              </w:rPr>
              <w:t>.</w:t>
            </w:r>
          </w:p>
        </w:tc>
        <w:tc>
          <w:tcPr>
            <w:tcW w:w="2908" w:type="dxa"/>
            <w:vAlign w:val="center"/>
          </w:tcPr>
          <w:p w14:paraId="131C15F0" w14:textId="77777777" w:rsidR="00214061" w:rsidRPr="00D66BB6" w:rsidRDefault="00214061" w:rsidP="00214061">
            <w:pPr>
              <w:pStyle w:val="ListParagraph"/>
              <w:numPr>
                <w:ilvl w:val="0"/>
                <w:numId w:val="337"/>
              </w:numPr>
              <w:rPr>
                <w:rFonts w:cstheme="minorHAnsi"/>
              </w:rPr>
            </w:pPr>
            <w:r w:rsidRPr="00D66BB6">
              <w:rPr>
                <w:rFonts w:cstheme="minorHAnsi"/>
              </w:rPr>
              <w:t>Yes, led by our multidisciplinary team</w:t>
            </w:r>
          </w:p>
          <w:p w14:paraId="37824A17" w14:textId="28AE728B" w:rsidR="00214061" w:rsidRDefault="00214061" w:rsidP="00214061">
            <w:pPr>
              <w:pStyle w:val="ListParagraph"/>
              <w:numPr>
                <w:ilvl w:val="0"/>
                <w:numId w:val="337"/>
              </w:numPr>
              <w:rPr>
                <w:rFonts w:cstheme="minorHAnsi"/>
              </w:rPr>
            </w:pPr>
            <w:r w:rsidRPr="00D66BB6">
              <w:rPr>
                <w:rFonts w:cstheme="minorHAnsi"/>
              </w:rPr>
              <w:t xml:space="preserve">Yes, led by a different </w:t>
            </w:r>
            <w:r w:rsidR="004B552D">
              <w:rPr>
                <w:rFonts w:cstheme="minorHAnsi"/>
              </w:rPr>
              <w:t>team</w:t>
            </w:r>
            <w:r w:rsidR="004B552D" w:rsidRPr="00D66BB6">
              <w:rPr>
                <w:rFonts w:cstheme="minorHAnsi"/>
              </w:rPr>
              <w:t xml:space="preserve"> </w:t>
            </w:r>
            <w:r w:rsidRPr="00D66BB6">
              <w:rPr>
                <w:rFonts w:cstheme="minorHAnsi"/>
              </w:rPr>
              <w:t>at the hospital</w:t>
            </w:r>
          </w:p>
          <w:p w14:paraId="776652C4" w14:textId="03ACD0CE" w:rsidR="00F76231" w:rsidRPr="00F76231" w:rsidRDefault="00F76231" w:rsidP="00F76231">
            <w:pPr>
              <w:pStyle w:val="ListParagraph"/>
              <w:numPr>
                <w:ilvl w:val="0"/>
                <w:numId w:val="337"/>
              </w:numPr>
              <w:rPr>
                <w:rFonts w:cstheme="minorHAnsi"/>
              </w:rPr>
            </w:pPr>
            <w:r w:rsidRPr="00F76231">
              <w:rPr>
                <w:rFonts w:cstheme="minorHAnsi"/>
              </w:rPr>
              <w:t>Yes, but all practices are currently fully implemented</w:t>
            </w:r>
          </w:p>
          <w:p w14:paraId="69E744FB" w14:textId="55CD5B48" w:rsidR="00214061" w:rsidRPr="00B74BD8" w:rsidRDefault="00214061" w:rsidP="00214061">
            <w:pPr>
              <w:pStyle w:val="ListParagraph"/>
              <w:numPr>
                <w:ilvl w:val="0"/>
                <w:numId w:val="262"/>
              </w:numPr>
              <w:rPr>
                <w:rFonts w:cstheme="minorHAnsi"/>
                <w:iCs/>
              </w:rPr>
            </w:pPr>
            <w:r w:rsidRPr="00D66BB6">
              <w:rPr>
                <w:rFonts w:cstheme="minorHAnsi"/>
              </w:rPr>
              <w:t>No</w:t>
            </w:r>
          </w:p>
        </w:tc>
      </w:tr>
      <w:tr w:rsidR="00214061" w:rsidRPr="008559B9" w14:paraId="4469C0E9" w14:textId="77777777" w:rsidTr="00B65144">
        <w:trPr>
          <w:trHeight w:val="720"/>
        </w:trPr>
        <w:tc>
          <w:tcPr>
            <w:tcW w:w="7067" w:type="dxa"/>
            <w:vAlign w:val="center"/>
          </w:tcPr>
          <w:p w14:paraId="0D33CFBE" w14:textId="7F8D4E32" w:rsidR="00214061" w:rsidRDefault="00214061" w:rsidP="00214061">
            <w:pPr>
              <w:pStyle w:val="ListParagraph"/>
              <w:numPr>
                <w:ilvl w:val="0"/>
                <w:numId w:val="259"/>
              </w:numPr>
              <w:spacing w:after="160" w:line="259" w:lineRule="auto"/>
              <w:rPr>
                <w:rFonts w:cstheme="minorHAnsi"/>
              </w:rPr>
            </w:pPr>
            <w:r w:rsidRPr="00D66BB6">
              <w:rPr>
                <w:rFonts w:cstheme="minorHAnsi"/>
              </w:rPr>
              <w:t xml:space="preserve">What steps has your hospital taken to </w:t>
            </w:r>
            <w:r w:rsidR="005A36BB" w:rsidRPr="005A36BB">
              <w:rPr>
                <w:rFonts w:cstheme="minorHAnsi"/>
              </w:rPr>
              <w:t xml:space="preserve">implement one or more practices listed in the </w:t>
            </w:r>
            <w:hyperlink r:id="rId363" w:history="1">
              <w:r w:rsidR="005A36BB" w:rsidRPr="00C253E2">
                <w:rPr>
                  <w:rStyle w:val="Hyperlink"/>
                  <w:rFonts w:cstheme="minorHAnsi"/>
                </w:rPr>
                <w:t>Safer Dx Checklist</w:t>
              </w:r>
            </w:hyperlink>
            <w:r w:rsidRPr="00D66BB6">
              <w:rPr>
                <w:rFonts w:cstheme="minorHAnsi"/>
              </w:rPr>
              <w:t>?</w:t>
            </w:r>
          </w:p>
          <w:p w14:paraId="17B55C5B" w14:textId="77777777" w:rsidR="00214061" w:rsidRDefault="00214061" w:rsidP="00214061">
            <w:pPr>
              <w:pStyle w:val="ListParagraph"/>
              <w:spacing w:after="160" w:line="259" w:lineRule="auto"/>
              <w:ind w:left="360"/>
              <w:rPr>
                <w:rFonts w:cstheme="minorHAnsi"/>
              </w:rPr>
            </w:pPr>
          </w:p>
          <w:p w14:paraId="1BD21FF7" w14:textId="1778BF65" w:rsidR="00214061" w:rsidRPr="00D66BB6" w:rsidRDefault="00214061" w:rsidP="00720518">
            <w:pPr>
              <w:ind w:left="360"/>
              <w:rPr>
                <w:rFonts w:cstheme="minorHAnsi"/>
              </w:rPr>
            </w:pPr>
            <w:r w:rsidRPr="00B74BD8">
              <w:rPr>
                <w:rFonts w:cstheme="minorHAnsi"/>
                <w:i/>
                <w:iCs/>
              </w:rPr>
              <w:t xml:space="preserve">Select all that apply. </w:t>
            </w:r>
          </w:p>
        </w:tc>
        <w:tc>
          <w:tcPr>
            <w:tcW w:w="2908" w:type="dxa"/>
            <w:vAlign w:val="center"/>
          </w:tcPr>
          <w:p w14:paraId="4AD26A35" w14:textId="77777777" w:rsidR="00214061" w:rsidRPr="00D66BB6" w:rsidRDefault="00214061" w:rsidP="00214061">
            <w:pPr>
              <w:pStyle w:val="ListParagraph"/>
              <w:numPr>
                <w:ilvl w:val="0"/>
                <w:numId w:val="53"/>
              </w:numPr>
              <w:rPr>
                <w:rFonts w:cstheme="minorHAnsi"/>
              </w:rPr>
            </w:pPr>
            <w:r w:rsidRPr="00D66BB6">
              <w:rPr>
                <w:rFonts w:cstheme="minorHAnsi"/>
              </w:rPr>
              <w:t>Allocated budget</w:t>
            </w:r>
          </w:p>
          <w:p w14:paraId="05415C15" w14:textId="77777777" w:rsidR="00214061" w:rsidRDefault="00214061" w:rsidP="00214061">
            <w:pPr>
              <w:pStyle w:val="ListParagraph"/>
              <w:numPr>
                <w:ilvl w:val="0"/>
                <w:numId w:val="53"/>
              </w:numPr>
              <w:rPr>
                <w:rFonts w:cstheme="minorHAnsi"/>
              </w:rPr>
            </w:pPr>
            <w:r>
              <w:rPr>
                <w:rFonts w:cstheme="minorHAnsi"/>
              </w:rPr>
              <w:t>Appointed an individual or team responsible for implementation</w:t>
            </w:r>
          </w:p>
          <w:p w14:paraId="075EA721" w14:textId="77777777" w:rsidR="00720518" w:rsidRDefault="00214061" w:rsidP="00720518">
            <w:pPr>
              <w:pStyle w:val="ListParagraph"/>
              <w:numPr>
                <w:ilvl w:val="0"/>
                <w:numId w:val="53"/>
              </w:numPr>
              <w:rPr>
                <w:rFonts w:cstheme="minorHAnsi"/>
              </w:rPr>
            </w:pPr>
            <w:r>
              <w:rPr>
                <w:rFonts w:cstheme="minorHAnsi"/>
              </w:rPr>
              <w:t>Set a date for full implementation</w:t>
            </w:r>
          </w:p>
          <w:p w14:paraId="7706369B" w14:textId="431B3F78" w:rsidR="00214061" w:rsidRPr="00720518" w:rsidRDefault="00214061" w:rsidP="004D5A94">
            <w:pPr>
              <w:pStyle w:val="ListParagraph"/>
              <w:numPr>
                <w:ilvl w:val="0"/>
                <w:numId w:val="53"/>
              </w:numPr>
              <w:rPr>
                <w:rFonts w:cstheme="minorHAnsi"/>
              </w:rPr>
            </w:pPr>
            <w:r w:rsidRPr="00720518">
              <w:rPr>
                <w:rFonts w:cstheme="minorHAnsi"/>
              </w:rPr>
              <w:t>None of the above</w:t>
            </w:r>
          </w:p>
        </w:tc>
      </w:tr>
    </w:tbl>
    <w:p w14:paraId="57BB3AA7" w14:textId="77777777" w:rsidR="00DC69D9" w:rsidRDefault="00DC69D9" w:rsidP="00DC69D9">
      <w:pPr>
        <w:rPr>
          <w:rFonts w:cs="Arial"/>
          <w:b/>
          <w:i/>
          <w:iCs/>
        </w:rPr>
      </w:pPr>
    </w:p>
    <w:p w14:paraId="44C5F2BB" w14:textId="7975E5C0" w:rsidR="00DC69D9" w:rsidRPr="00D66BB6" w:rsidRDefault="00DC69D9" w:rsidP="00AB5B80">
      <w:pPr>
        <w:pStyle w:val="Heading3"/>
      </w:pPr>
      <w:bookmarkStart w:id="497" w:name="_Toc225877789"/>
      <w:r w:rsidRPr="00D66BB6">
        <w:t xml:space="preserve">Training </w:t>
      </w:r>
      <w:r w:rsidR="002C716D">
        <w:t>on Communication to Reduce Errors in the Diagnostic Process</w:t>
      </w:r>
      <w:bookmarkEnd w:id="497"/>
      <w:r w:rsidR="000F1F31">
        <w:br/>
      </w:r>
    </w:p>
    <w:tbl>
      <w:tblPr>
        <w:tblW w:w="99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67"/>
        <w:gridCol w:w="2908"/>
      </w:tblGrid>
      <w:tr w:rsidR="00B65144" w:rsidRPr="008559B9" w14:paraId="3FA41EF0" w14:textId="77777777" w:rsidTr="00B74BD8">
        <w:trPr>
          <w:trHeight w:val="1296"/>
        </w:trPr>
        <w:tc>
          <w:tcPr>
            <w:tcW w:w="7067" w:type="dxa"/>
            <w:vAlign w:val="center"/>
          </w:tcPr>
          <w:p w14:paraId="78FDD682" w14:textId="360FF2C6" w:rsidR="00B65144" w:rsidRPr="00D66BB6" w:rsidRDefault="001C44BF" w:rsidP="00AD309C">
            <w:pPr>
              <w:pStyle w:val="ListParagraph"/>
              <w:numPr>
                <w:ilvl w:val="0"/>
                <w:numId w:val="259"/>
              </w:numPr>
              <w:rPr>
                <w:rFonts w:eastAsiaTheme="minorHAnsi" w:cstheme="minorHAnsi"/>
                <w:kern w:val="2"/>
                <w14:ligatures w14:val="standardContextual"/>
              </w:rPr>
            </w:pPr>
            <w:r>
              <w:rPr>
                <w:rFonts w:eastAsiaTheme="minorHAnsi" w:cstheme="minorHAnsi"/>
                <w:kern w:val="2"/>
                <w14:ligatures w14:val="standardContextual"/>
              </w:rPr>
              <w:t>In the past 36 months, h</w:t>
            </w:r>
            <w:r w:rsidR="00B65144" w:rsidRPr="00D66BB6">
              <w:rPr>
                <w:rFonts w:eastAsiaTheme="minorHAnsi" w:cstheme="minorHAnsi"/>
                <w:kern w:val="2"/>
                <w14:ligatures w14:val="standardContextual"/>
              </w:rPr>
              <w:t xml:space="preserve">as your hospital </w:t>
            </w:r>
            <w:hyperlink w:anchor="teamstepps" w:history="1">
              <w:r w:rsidR="00B65144" w:rsidRPr="004A68FE">
                <w:rPr>
                  <w:rStyle w:val="Hyperlink"/>
                  <w:rFonts w:eastAsiaTheme="minorHAnsi" w:cstheme="minorHAnsi"/>
                  <w:kern w:val="2"/>
                  <w14:ligatures w14:val="standardContextual"/>
                </w:rPr>
                <w:t>trained any staff</w:t>
              </w:r>
            </w:hyperlink>
            <w:r w:rsidR="00B65144" w:rsidRPr="00D66BB6">
              <w:rPr>
                <w:rFonts w:eastAsiaTheme="minorHAnsi" w:cstheme="minorHAnsi"/>
                <w:kern w:val="2"/>
                <w14:ligatures w14:val="standardContextual"/>
              </w:rPr>
              <w:t xml:space="preserve"> </w:t>
            </w:r>
            <w:r w:rsidR="00434E74">
              <w:rPr>
                <w:rFonts w:eastAsiaTheme="minorHAnsi" w:cstheme="minorHAnsi"/>
                <w:kern w:val="2"/>
                <w14:ligatures w14:val="standardContextual"/>
              </w:rPr>
              <w:t xml:space="preserve">using </w:t>
            </w:r>
            <w:hyperlink r:id="rId364" w:history="1">
              <w:r w:rsidR="00434E74" w:rsidRPr="00206F98">
                <w:rPr>
                  <w:rStyle w:val="Hyperlink"/>
                  <w:rFonts w:eastAsiaTheme="minorHAnsi" w:cstheme="minorHAnsi"/>
                  <w:kern w:val="2"/>
                  <w14:ligatures w14:val="standardContextual"/>
                </w:rPr>
                <w:t xml:space="preserve">AHRQ’s </w:t>
              </w:r>
              <w:proofErr w:type="spellStart"/>
              <w:r w:rsidR="00434E74" w:rsidRPr="00206F98">
                <w:rPr>
                  <w:rStyle w:val="Hyperlink"/>
                  <w:rFonts w:eastAsiaTheme="minorHAnsi" w:cstheme="minorHAnsi"/>
                  <w:kern w:val="2"/>
                  <w14:ligatures w14:val="standardContextual"/>
                </w:rPr>
                <w:t>TeamSTEPPS</w:t>
              </w:r>
              <w:proofErr w:type="spellEnd"/>
              <w:r w:rsidR="00434E74" w:rsidRPr="00206F98">
                <w:rPr>
                  <w:rStyle w:val="Hyperlink"/>
                  <w:rFonts w:eastAsiaTheme="minorHAnsi" w:cstheme="minorHAnsi"/>
                  <w:kern w:val="2"/>
                  <w14:ligatures w14:val="standardContextual"/>
                </w:rPr>
                <w:t xml:space="preserve"> for Diagnosis Improvement</w:t>
              </w:r>
            </w:hyperlink>
            <w:r w:rsidR="00434E74" w:rsidRPr="003A516F">
              <w:rPr>
                <w:rStyle w:val="Hyperlink"/>
                <w:rFonts w:eastAsiaTheme="minorHAnsi" w:cstheme="minorHAnsi"/>
                <w:kern w:val="2"/>
                <w:u w:val="none"/>
                <w14:ligatures w14:val="standardContextual"/>
              </w:rPr>
              <w:t xml:space="preserve"> </w:t>
            </w:r>
            <w:r w:rsidR="00B65144" w:rsidRPr="00D66BB6">
              <w:rPr>
                <w:rFonts w:eastAsiaTheme="minorHAnsi" w:cstheme="minorHAnsi"/>
                <w:kern w:val="2"/>
                <w14:ligatures w14:val="standardContextual"/>
              </w:rPr>
              <w:t xml:space="preserve">program to improve communication among members of the care team (including nurses, pharmacists, and other allied health professionals), </w:t>
            </w:r>
            <w:r w:rsidR="00B65144">
              <w:rPr>
                <w:rFonts w:eastAsiaTheme="minorHAnsi" w:cstheme="minorHAnsi"/>
                <w:kern w:val="2"/>
                <w14:ligatures w14:val="standardContextual"/>
              </w:rPr>
              <w:t>within the context of</w:t>
            </w:r>
            <w:r w:rsidR="00B65144" w:rsidRPr="00D66BB6">
              <w:rPr>
                <w:rFonts w:eastAsiaTheme="minorHAnsi" w:cstheme="minorHAnsi"/>
                <w:kern w:val="2"/>
                <w14:ligatures w14:val="standardContextual"/>
              </w:rPr>
              <w:t xml:space="preserve"> the diagnostic process or in reducing errors in </w:t>
            </w:r>
            <w:r w:rsidR="00866358">
              <w:rPr>
                <w:rFonts w:cstheme="minorHAnsi"/>
                <w:iCs/>
              </w:rPr>
              <w:t>the diagnostic process</w:t>
            </w:r>
            <w:r w:rsidR="00B65144" w:rsidRPr="00D66BB6">
              <w:rPr>
                <w:rFonts w:eastAsiaTheme="minorHAnsi" w:cstheme="minorHAnsi"/>
                <w:kern w:val="2"/>
                <w14:ligatures w14:val="standardContextual"/>
              </w:rPr>
              <w:t>?</w:t>
            </w:r>
          </w:p>
        </w:tc>
        <w:tc>
          <w:tcPr>
            <w:tcW w:w="2908" w:type="dxa"/>
            <w:vAlign w:val="center"/>
          </w:tcPr>
          <w:p w14:paraId="3D1B2C9E" w14:textId="77777777" w:rsidR="00B65144" w:rsidRPr="00B74BD8" w:rsidRDefault="00B65144" w:rsidP="00AD309C">
            <w:pPr>
              <w:pStyle w:val="ListParagraph"/>
              <w:numPr>
                <w:ilvl w:val="0"/>
                <w:numId w:val="263"/>
              </w:numPr>
              <w:rPr>
                <w:rFonts w:cstheme="minorHAnsi"/>
                <w:iCs/>
              </w:rPr>
            </w:pPr>
            <w:r w:rsidRPr="00B74BD8">
              <w:rPr>
                <w:rFonts w:cstheme="minorHAnsi"/>
                <w:iCs/>
              </w:rPr>
              <w:t>Yes</w:t>
            </w:r>
          </w:p>
          <w:p w14:paraId="568B78BF" w14:textId="77777777" w:rsidR="00B65144" w:rsidRPr="00B74BD8" w:rsidRDefault="00B65144" w:rsidP="00AD309C">
            <w:pPr>
              <w:pStyle w:val="ListParagraph"/>
              <w:numPr>
                <w:ilvl w:val="0"/>
                <w:numId w:val="263"/>
              </w:numPr>
              <w:rPr>
                <w:rFonts w:cstheme="minorHAnsi"/>
                <w:iCs/>
              </w:rPr>
            </w:pPr>
            <w:r w:rsidRPr="00B74BD8">
              <w:rPr>
                <w:rFonts w:cstheme="minorHAnsi"/>
                <w:iCs/>
              </w:rPr>
              <w:t>No</w:t>
            </w:r>
          </w:p>
        </w:tc>
      </w:tr>
    </w:tbl>
    <w:p w14:paraId="251B0FA1" w14:textId="77777777" w:rsidR="00DC69D9" w:rsidRDefault="00DC69D9" w:rsidP="00DC69D9">
      <w:pPr>
        <w:rPr>
          <w:rFonts w:cs="Arial"/>
          <w:b/>
        </w:rPr>
      </w:pPr>
    </w:p>
    <w:p w14:paraId="6E772565" w14:textId="20E8E088" w:rsidR="003D79C4" w:rsidRDefault="003D79C4">
      <w:pPr>
        <w:rPr>
          <w:b/>
        </w:rPr>
      </w:pPr>
      <w:r>
        <w:rPr>
          <w:b/>
        </w:rPr>
        <w:br w:type="page"/>
      </w:r>
    </w:p>
    <w:p w14:paraId="20FA97F3" w14:textId="77777777" w:rsidR="00A616BC" w:rsidRDefault="00A616BC" w:rsidP="00DC69D9">
      <w:pPr>
        <w:rPr>
          <w:b/>
        </w:rPr>
      </w:pPr>
    </w:p>
    <w:p w14:paraId="3E2433A1" w14:textId="3AE2C0E7" w:rsidR="00954EFB" w:rsidRDefault="008F5010" w:rsidP="00954EFB">
      <w:pPr>
        <w:pStyle w:val="Heading2"/>
      </w:pPr>
      <w:bookmarkStart w:id="498" w:name="_Toc225877790"/>
      <w:r w:rsidRPr="00A73031">
        <w:t xml:space="preserve">6E: </w:t>
      </w:r>
      <w:r w:rsidR="00C00435">
        <w:t xml:space="preserve">Hospital Boarding in the </w:t>
      </w:r>
      <w:r w:rsidRPr="00A73031">
        <w:t>Emergency Department (ED) (Optional – Fact-Finding Only)</w:t>
      </w:r>
      <w:bookmarkEnd w:id="498"/>
    </w:p>
    <w:p w14:paraId="0DDD8886" w14:textId="77777777" w:rsidR="00954EFB" w:rsidRDefault="00954EFB" w:rsidP="00954EFB">
      <w:pPr>
        <w:rPr>
          <w:rFonts w:cs="Arial"/>
          <w:b/>
          <w:snapToGrid w:val="0"/>
          <w:color w:val="000000"/>
        </w:rPr>
      </w:pPr>
    </w:p>
    <w:p w14:paraId="06CB38C7" w14:textId="77777777" w:rsidR="00954EFB" w:rsidRDefault="00954EFB" w:rsidP="00954EFB">
      <w:pPr>
        <w:rPr>
          <w:rFonts w:cs="Arial"/>
          <w:snapToGrid w:val="0"/>
        </w:rPr>
      </w:pPr>
      <w:r w:rsidRPr="009A5185">
        <w:rPr>
          <w:rFonts w:cs="Arial"/>
          <w:snapToGrid w:val="0"/>
        </w:rPr>
        <w:t xml:space="preserve">Hospitals that share a </w:t>
      </w:r>
      <w:r>
        <w:rPr>
          <w:rFonts w:cs="Arial"/>
          <w:snapToGrid w:val="0"/>
        </w:rPr>
        <w:t xml:space="preserve">CMS Certification Number </w:t>
      </w:r>
      <w:r w:rsidRPr="009A5185">
        <w:rPr>
          <w:rFonts w:cs="Arial"/>
          <w:snapToGrid w:val="0"/>
        </w:rPr>
        <w:t xml:space="preserve">are required to report by facility. Please carefully review </w:t>
      </w:r>
      <w:hyperlink r:id="rId365" w:history="1">
        <w:r w:rsidRPr="009A5185">
          <w:rPr>
            <w:rStyle w:val="Hyperlink"/>
            <w:rFonts w:cs="Arial"/>
            <w:snapToGrid w:val="0"/>
          </w:rPr>
          <w:t>Leapfrog’s Multi-Campus Reporting Policy</w:t>
        </w:r>
      </w:hyperlink>
      <w:r w:rsidRPr="009A5185">
        <w:rPr>
          <w:rFonts w:cs="Arial"/>
          <w:snapToGrid w:val="0"/>
        </w:rPr>
        <w:t>.</w:t>
      </w:r>
    </w:p>
    <w:p w14:paraId="3D4DD155" w14:textId="77777777" w:rsidR="00954EFB" w:rsidRDefault="00954EFB" w:rsidP="00954EFB">
      <w:pPr>
        <w:rPr>
          <w:rFonts w:cs="Arial"/>
          <w:snapToGrid w:val="0"/>
        </w:rPr>
      </w:pPr>
    </w:p>
    <w:p w14:paraId="6D6475B4" w14:textId="77777777" w:rsidR="00954EFB" w:rsidRPr="00722F1B" w:rsidRDefault="00954EFB" w:rsidP="00954EFB">
      <w:pPr>
        <w:rPr>
          <w:b/>
          <w:bCs/>
          <w:color w:val="FF0000"/>
        </w:rPr>
      </w:pPr>
      <w:r w:rsidRPr="00722F1B">
        <w:rPr>
          <w:b/>
          <w:bCs/>
          <w:color w:val="FF0000"/>
        </w:rPr>
        <w:t>Important Notes:</w:t>
      </w:r>
    </w:p>
    <w:p w14:paraId="420473B3" w14:textId="77777777" w:rsidR="00954EFB" w:rsidRDefault="00954EFB" w:rsidP="00954EFB">
      <w:pPr>
        <w:rPr>
          <w:rFonts w:cs="Arial"/>
          <w:snapToGrid w:val="0"/>
        </w:rPr>
      </w:pPr>
    </w:p>
    <w:p w14:paraId="3FD776DD" w14:textId="6C8FCE2C" w:rsidR="00954EFB" w:rsidRDefault="00954EFB" w:rsidP="00954EFB">
      <w:pPr>
        <w:rPr>
          <w:rFonts w:cs="Arial"/>
          <w:snapToGrid w:val="0"/>
        </w:rPr>
      </w:pPr>
      <w:r>
        <w:rPr>
          <w:rFonts w:cs="Arial"/>
          <w:snapToGrid w:val="0"/>
        </w:rPr>
        <w:t>Note 1: This subsection will not be scor</w:t>
      </w:r>
      <w:r w:rsidR="000612AC">
        <w:rPr>
          <w:rFonts w:cs="Arial"/>
          <w:snapToGrid w:val="0"/>
        </w:rPr>
        <w:t>ed</w:t>
      </w:r>
      <w:r>
        <w:rPr>
          <w:rFonts w:cs="Arial"/>
          <w:snapToGrid w:val="0"/>
        </w:rPr>
        <w:t xml:space="preserve"> or public</w:t>
      </w:r>
      <w:r w:rsidR="000612AC">
        <w:rPr>
          <w:rFonts w:cs="Arial"/>
          <w:snapToGrid w:val="0"/>
        </w:rPr>
        <w:t>ly</w:t>
      </w:r>
      <w:r>
        <w:rPr>
          <w:rFonts w:cs="Arial"/>
          <w:snapToGrid w:val="0"/>
        </w:rPr>
        <w:t xml:space="preserve"> report</w:t>
      </w:r>
      <w:r w:rsidR="000612AC">
        <w:rPr>
          <w:rFonts w:cs="Arial"/>
          <w:snapToGrid w:val="0"/>
        </w:rPr>
        <w:t>ed</w:t>
      </w:r>
      <w:r>
        <w:rPr>
          <w:rFonts w:cs="Arial"/>
          <w:snapToGrid w:val="0"/>
        </w:rPr>
        <w:t>.</w:t>
      </w:r>
    </w:p>
    <w:p w14:paraId="143BDFFC" w14:textId="77777777" w:rsidR="0014006C" w:rsidRDefault="0014006C" w:rsidP="00954EFB">
      <w:pPr>
        <w:rPr>
          <w:rFonts w:cs="Arial"/>
          <w:snapToGrid w:val="0"/>
        </w:rPr>
      </w:pPr>
    </w:p>
    <w:p w14:paraId="5D1ECE85" w14:textId="6104B2C0" w:rsidR="0014006C" w:rsidRDefault="0014006C" w:rsidP="00954EFB">
      <w:pPr>
        <w:rPr>
          <w:rFonts w:cs="Arial"/>
          <w:snapToGrid w:val="0"/>
        </w:rPr>
      </w:pPr>
      <w:r>
        <w:rPr>
          <w:rFonts w:cs="Arial"/>
          <w:snapToGrid w:val="0"/>
        </w:rPr>
        <w:t xml:space="preserve">Note 2: </w:t>
      </w:r>
      <w:r w:rsidR="000443E5">
        <w:rPr>
          <w:rFonts w:cs="Arial"/>
          <w:snapToGrid w:val="0"/>
        </w:rPr>
        <w:t>Only include units that were open for the entire reporting period and that remain currently open.</w:t>
      </w:r>
    </w:p>
    <w:p w14:paraId="1C435994" w14:textId="77777777" w:rsidR="00FC20FD" w:rsidRDefault="00FC20FD" w:rsidP="00FC20FD">
      <w:pPr>
        <w:rPr>
          <w:rFonts w:cs="Arial"/>
          <w:snapToGrid w:val="0"/>
        </w:rPr>
      </w:pPr>
    </w:p>
    <w:p w14:paraId="0BD17135" w14:textId="56D1D06D" w:rsidR="00782F6D" w:rsidRPr="002E5960" w:rsidRDefault="00782F6D" w:rsidP="00FC20FD">
      <w:pPr>
        <w:rPr>
          <w:rFonts w:cs="Arial"/>
          <w:snapToGrid w:val="0"/>
        </w:rPr>
      </w:pPr>
      <w:r w:rsidRPr="00782F6D">
        <w:rPr>
          <w:rFonts w:cs="Arial"/>
          <w:snapToGrid w:val="0"/>
        </w:rPr>
        <w:t xml:space="preserve">Note </w:t>
      </w:r>
      <w:r w:rsidR="00640D88">
        <w:rPr>
          <w:rFonts w:cs="Arial"/>
          <w:snapToGrid w:val="0"/>
        </w:rPr>
        <w:t>3</w:t>
      </w:r>
      <w:r w:rsidRPr="00782F6D">
        <w:rPr>
          <w:rFonts w:cs="Arial"/>
          <w:snapToGrid w:val="0"/>
        </w:rPr>
        <w:t xml:space="preserve">: When reporting on questions #4 and/or #5, pediatric patients admitted to an adult bed should </w:t>
      </w:r>
      <w:r w:rsidR="00806A16">
        <w:rPr>
          <w:rFonts w:cs="Arial"/>
          <w:snapToGrid w:val="0"/>
        </w:rPr>
        <w:t>be included</w:t>
      </w:r>
      <w:r w:rsidR="00806A16" w:rsidRPr="00782F6D">
        <w:rPr>
          <w:rFonts w:cs="Arial"/>
          <w:snapToGrid w:val="0"/>
        </w:rPr>
        <w:t xml:space="preserve"> </w:t>
      </w:r>
      <w:r w:rsidRPr="00782F6D">
        <w:rPr>
          <w:rFonts w:cs="Arial"/>
          <w:snapToGrid w:val="0"/>
        </w:rPr>
        <w:t xml:space="preserve">in question #4. Pediatric patients admitted to a pediatric bed should be </w:t>
      </w:r>
      <w:r w:rsidR="006B42F7">
        <w:rPr>
          <w:rFonts w:cs="Arial"/>
          <w:snapToGrid w:val="0"/>
        </w:rPr>
        <w:t>included</w:t>
      </w:r>
      <w:r w:rsidR="006B42F7" w:rsidRPr="00782F6D">
        <w:rPr>
          <w:rFonts w:cs="Arial"/>
          <w:snapToGrid w:val="0"/>
        </w:rPr>
        <w:t xml:space="preserve"> </w:t>
      </w:r>
      <w:r w:rsidRPr="00782F6D">
        <w:rPr>
          <w:rFonts w:cs="Arial"/>
          <w:snapToGrid w:val="0"/>
        </w:rPr>
        <w:t xml:space="preserve">in question #5. </w:t>
      </w:r>
      <w:r w:rsidR="006B42F7">
        <w:rPr>
          <w:rFonts w:cs="Arial"/>
          <w:snapToGrid w:val="0"/>
        </w:rPr>
        <w:t>H</w:t>
      </w:r>
      <w:r w:rsidRPr="00782F6D">
        <w:rPr>
          <w:rFonts w:cs="Arial"/>
          <w:snapToGrid w:val="0"/>
        </w:rPr>
        <w:t>ospitals that do</w:t>
      </w:r>
      <w:r w:rsidR="006B42F7">
        <w:rPr>
          <w:rFonts w:cs="Arial"/>
          <w:snapToGrid w:val="0"/>
        </w:rPr>
        <w:t xml:space="preserve"> </w:t>
      </w:r>
      <w:r w:rsidRPr="00782F6D">
        <w:rPr>
          <w:rFonts w:cs="Arial"/>
          <w:snapToGrid w:val="0"/>
        </w:rPr>
        <w:t>n</w:t>
      </w:r>
      <w:r w:rsidR="006B42F7">
        <w:rPr>
          <w:rFonts w:cs="Arial"/>
          <w:snapToGrid w:val="0"/>
        </w:rPr>
        <w:t>o</w:t>
      </w:r>
      <w:r w:rsidRPr="00782F6D">
        <w:rPr>
          <w:rFonts w:cs="Arial"/>
          <w:snapToGrid w:val="0"/>
        </w:rPr>
        <w:t xml:space="preserve">t operate dedicated pediatric </w:t>
      </w:r>
      <w:r w:rsidR="00663624">
        <w:rPr>
          <w:rFonts w:cs="Arial"/>
          <w:snapToGrid w:val="0"/>
        </w:rPr>
        <w:t xml:space="preserve">inpatient or observation </w:t>
      </w:r>
      <w:r w:rsidRPr="00782F6D">
        <w:rPr>
          <w:rFonts w:cs="Arial"/>
          <w:snapToGrid w:val="0"/>
        </w:rPr>
        <w:t xml:space="preserve">units, but admit pediatric patients, should only </w:t>
      </w:r>
      <w:r w:rsidR="00663624">
        <w:rPr>
          <w:rFonts w:cs="Arial"/>
          <w:snapToGrid w:val="0"/>
        </w:rPr>
        <w:t xml:space="preserve">respond to question </w:t>
      </w:r>
      <w:r w:rsidRPr="00782F6D">
        <w:rPr>
          <w:rFonts w:cs="Arial"/>
          <w:snapToGrid w:val="0"/>
        </w:rPr>
        <w:t>#4.</w:t>
      </w:r>
    </w:p>
    <w:p w14:paraId="62A7936E" w14:textId="77777777" w:rsidR="00FC20FD" w:rsidRPr="002E5960" w:rsidRDefault="00FC20FD" w:rsidP="00954EFB">
      <w:pPr>
        <w:rPr>
          <w:rFonts w:cs="Arial"/>
          <w:snapToGrid w:val="0"/>
        </w:rPr>
      </w:pPr>
    </w:p>
    <w:p w14:paraId="4D1AB647" w14:textId="68B76BB9" w:rsidR="00885B79" w:rsidRDefault="00954EFB" w:rsidP="00DC69D9">
      <w:pPr>
        <w:rPr>
          <w:rFonts w:cs="Arial"/>
          <w:snapToGrid w:val="0"/>
        </w:rPr>
      </w:pPr>
      <w:r w:rsidRPr="009A5185">
        <w:rPr>
          <w:rFonts w:cs="Arial"/>
          <w:b/>
          <w:snapToGrid w:val="0"/>
        </w:rPr>
        <w:t xml:space="preserve">Specifications: </w:t>
      </w:r>
      <w:r w:rsidRPr="009A5185">
        <w:rPr>
          <w:rFonts w:cs="Arial"/>
          <w:snapToGrid w:val="0"/>
        </w:rPr>
        <w:t xml:space="preserve">See </w:t>
      </w:r>
      <w:hyperlink w:anchor="_Hospital_Boarding_in" w:history="1">
        <w:r w:rsidR="0011328F">
          <w:rPr>
            <w:rStyle w:val="Hyperlink"/>
            <w:rFonts w:cs="Arial"/>
            <w:b/>
            <w:i/>
            <w:snapToGrid w:val="0"/>
          </w:rPr>
          <w:t>Hospital Boarding in the Emergency Department (ED) Measure Specifications</w:t>
        </w:r>
      </w:hyperlink>
      <w:r>
        <w:rPr>
          <w:rStyle w:val="Hyperlink"/>
          <w:rFonts w:cs="Arial"/>
          <w:b/>
          <w:i/>
          <w:snapToGrid w:val="0"/>
        </w:rPr>
        <w:t xml:space="preserve"> </w:t>
      </w:r>
      <w:r w:rsidRPr="009A5185">
        <w:rPr>
          <w:rFonts w:cs="Arial"/>
          <w:snapToGrid w:val="0"/>
        </w:rPr>
        <w:t xml:space="preserve">in the Reference Information </w:t>
      </w:r>
      <w:r>
        <w:rPr>
          <w:rFonts w:cs="Arial"/>
          <w:snapToGrid w:val="0"/>
        </w:rPr>
        <w:t xml:space="preserve">beginning on page </w:t>
      </w:r>
      <w:r w:rsidR="00F353CA">
        <w:rPr>
          <w:rFonts w:cs="Arial"/>
          <w:snapToGrid w:val="0"/>
        </w:rPr>
        <w:t>24</w:t>
      </w:r>
      <w:r w:rsidR="00D70B5E">
        <w:rPr>
          <w:rFonts w:cs="Arial"/>
          <w:snapToGrid w:val="0"/>
        </w:rPr>
        <w:t>6</w:t>
      </w:r>
      <w:r>
        <w:rPr>
          <w:rFonts w:cs="Arial"/>
          <w:snapToGrid w:val="0"/>
        </w:rPr>
        <w:t>.</w:t>
      </w:r>
    </w:p>
    <w:p w14:paraId="7867FBF3" w14:textId="77777777" w:rsidR="00885B79" w:rsidRDefault="00885B79" w:rsidP="00DC69D9">
      <w:pPr>
        <w:rPr>
          <w:rFonts w:cs="Arial"/>
          <w:snapToGrid w:val="0"/>
        </w:rPr>
      </w:pPr>
    </w:p>
    <w:p w14:paraId="37B5CA02" w14:textId="674A9D42" w:rsidR="0002601E" w:rsidRDefault="00885B79" w:rsidP="00DC69D9">
      <w:pPr>
        <w:rPr>
          <w:b/>
        </w:rPr>
      </w:pPr>
      <w:r w:rsidRPr="004C3107">
        <w:rPr>
          <w:rFonts w:cs="Arial"/>
          <w:noProof/>
          <w:snapToGrid w:val="0"/>
        </w:rPr>
        <mc:AlternateContent>
          <mc:Choice Requires="wps">
            <w:drawing>
              <wp:inline distT="0" distB="0" distL="0" distR="0" wp14:anchorId="7ADC8661" wp14:editId="20D2D340">
                <wp:extent cx="5943600" cy="1458334"/>
                <wp:effectExtent l="0" t="0" r="19050" b="18415"/>
                <wp:docPr id="1076003227" name="Text Box 1076003227" descr="P8921TB27#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458334"/>
                        </a:xfrm>
                        <a:prstGeom prst="rect">
                          <a:avLst/>
                        </a:prstGeom>
                        <a:solidFill>
                          <a:srgbClr val="FFFFFF"/>
                        </a:solidFill>
                        <a:ln w="9525">
                          <a:solidFill>
                            <a:srgbClr val="FF0000"/>
                          </a:solidFill>
                          <a:miter lim="800000"/>
                          <a:headEnd/>
                          <a:tailEnd/>
                        </a:ln>
                      </wps:spPr>
                      <wps:txbx>
                        <w:txbxContent>
                          <w:p w14:paraId="1AC44DE8" w14:textId="77777777" w:rsidR="00885B79" w:rsidRPr="009A5185" w:rsidRDefault="00885B79" w:rsidP="00885B79">
                            <w:pPr>
                              <w:spacing w:before="40"/>
                              <w:rPr>
                                <w:rFonts w:cs="Arial"/>
                                <w:b/>
                                <w:snapToGrid w:val="0"/>
                              </w:rPr>
                            </w:pPr>
                            <w:r w:rsidRPr="00533B1D">
                              <w:rPr>
                                <w:rFonts w:cs="Arial"/>
                                <w:b/>
                                <w:snapToGrid w:val="0"/>
                              </w:rPr>
                              <w:t xml:space="preserve"> </w:t>
                            </w:r>
                            <w:r w:rsidRPr="009A5185">
                              <w:rPr>
                                <w:rFonts w:cs="Arial"/>
                                <w:b/>
                                <w:snapToGrid w:val="0"/>
                              </w:rPr>
                              <w:t>Reporting Period: 12 months</w:t>
                            </w:r>
                          </w:p>
                          <w:p w14:paraId="77ED76E6" w14:textId="77777777" w:rsidR="00885B79" w:rsidRPr="00BE1D22" w:rsidRDefault="00885B79" w:rsidP="00AD309C">
                            <w:pPr>
                              <w:pStyle w:val="ListParagraph"/>
                              <w:numPr>
                                <w:ilvl w:val="0"/>
                                <w:numId w:val="36"/>
                              </w:numPr>
                              <w:rPr>
                                <w:rFonts w:cs="Arial"/>
                                <w:i/>
                                <w:snapToGrid w:val="0"/>
                              </w:rPr>
                            </w:pPr>
                            <w:r>
                              <w:rPr>
                                <w:rFonts w:cs="Arial"/>
                                <w:iCs/>
                                <w:snapToGrid w:val="0"/>
                              </w:rPr>
                              <w:t>Surveys submitted prior to September 1:</w:t>
                            </w:r>
                          </w:p>
                          <w:p w14:paraId="6BF7498B" w14:textId="01572CC9" w:rsidR="00885B79" w:rsidRPr="009A5185" w:rsidRDefault="00885B79" w:rsidP="00AD309C">
                            <w:pPr>
                              <w:pStyle w:val="ListParagraph"/>
                              <w:numPr>
                                <w:ilvl w:val="1"/>
                                <w:numId w:val="36"/>
                              </w:numPr>
                              <w:rPr>
                                <w:rFonts w:cs="Arial"/>
                                <w:i/>
                                <w:snapToGrid w:val="0"/>
                              </w:rPr>
                            </w:pPr>
                            <w:r>
                              <w:rPr>
                                <w:rFonts w:cs="Arial"/>
                                <w:iCs/>
                                <w:snapToGrid w:val="0"/>
                              </w:rPr>
                              <w:t>01/01/202</w:t>
                            </w:r>
                            <w:r w:rsidR="00030DA9">
                              <w:rPr>
                                <w:rFonts w:cs="Arial"/>
                                <w:iCs/>
                                <w:snapToGrid w:val="0"/>
                              </w:rPr>
                              <w:t>5</w:t>
                            </w:r>
                            <w:r>
                              <w:rPr>
                                <w:rFonts w:cs="Arial"/>
                                <w:iCs/>
                                <w:snapToGrid w:val="0"/>
                              </w:rPr>
                              <w:t xml:space="preserve"> – 12/31/202</w:t>
                            </w:r>
                            <w:r w:rsidR="00030DA9">
                              <w:rPr>
                                <w:rFonts w:cs="Arial"/>
                                <w:iCs/>
                                <w:snapToGrid w:val="0"/>
                              </w:rPr>
                              <w:t>5</w:t>
                            </w:r>
                          </w:p>
                          <w:p w14:paraId="08CD3A3B" w14:textId="77777777" w:rsidR="00885B79" w:rsidRPr="00BE1D22" w:rsidRDefault="00885B79" w:rsidP="00AD309C">
                            <w:pPr>
                              <w:pStyle w:val="ListParagraph"/>
                              <w:numPr>
                                <w:ilvl w:val="0"/>
                                <w:numId w:val="36"/>
                              </w:numPr>
                              <w:rPr>
                                <w:rFonts w:cs="Arial"/>
                                <w:i/>
                                <w:snapToGrid w:val="0"/>
                              </w:rPr>
                            </w:pPr>
                            <w:r w:rsidRPr="009A5185">
                              <w:rPr>
                                <w:rFonts w:cs="Arial"/>
                                <w:snapToGrid w:val="0"/>
                              </w:rPr>
                              <w:t xml:space="preserve">Surveys (re)submitted on or after September 1: </w:t>
                            </w:r>
                          </w:p>
                          <w:p w14:paraId="443FB017" w14:textId="6168DF8F" w:rsidR="00885B79" w:rsidRPr="00FD4BD9" w:rsidRDefault="00885B79" w:rsidP="00AD309C">
                            <w:pPr>
                              <w:pStyle w:val="ListParagraph"/>
                              <w:numPr>
                                <w:ilvl w:val="1"/>
                                <w:numId w:val="36"/>
                              </w:numPr>
                              <w:rPr>
                                <w:rFonts w:cs="Arial"/>
                                <w:i/>
                                <w:snapToGrid w:val="0"/>
                              </w:rPr>
                            </w:pPr>
                            <w:r w:rsidRPr="009A5185">
                              <w:rPr>
                                <w:rFonts w:cs="Arial"/>
                                <w:snapToGrid w:val="0"/>
                              </w:rPr>
                              <w:t>07/01/</w:t>
                            </w:r>
                            <w:r>
                              <w:rPr>
                                <w:rFonts w:cs="Arial"/>
                                <w:snapToGrid w:val="0"/>
                              </w:rPr>
                              <w:t>202</w:t>
                            </w:r>
                            <w:r w:rsidR="00030DA9">
                              <w:rPr>
                                <w:rFonts w:cs="Arial"/>
                                <w:snapToGrid w:val="0"/>
                              </w:rPr>
                              <w:t>5</w:t>
                            </w:r>
                            <w:r w:rsidRPr="009A5185">
                              <w:rPr>
                                <w:rFonts w:cs="Arial"/>
                                <w:snapToGrid w:val="0"/>
                              </w:rPr>
                              <w:t xml:space="preserve"> </w:t>
                            </w:r>
                            <w:r>
                              <w:rPr>
                                <w:rFonts w:cs="Arial"/>
                                <w:snapToGrid w:val="0"/>
                              </w:rPr>
                              <w:t>–</w:t>
                            </w:r>
                            <w:r w:rsidRPr="009A5185">
                              <w:rPr>
                                <w:rFonts w:cs="Arial"/>
                                <w:snapToGrid w:val="0"/>
                              </w:rPr>
                              <w:t xml:space="preserve"> 06/30/</w:t>
                            </w:r>
                            <w:r>
                              <w:rPr>
                                <w:rFonts w:cs="Arial"/>
                                <w:snapToGrid w:val="0"/>
                              </w:rPr>
                              <w:t>202</w:t>
                            </w:r>
                            <w:r w:rsidR="00030DA9">
                              <w:rPr>
                                <w:rFonts w:cs="Arial"/>
                                <w:snapToGrid w:val="0"/>
                              </w:rPr>
                              <w:t>6</w:t>
                            </w:r>
                          </w:p>
                          <w:p w14:paraId="5A534735" w14:textId="77777777" w:rsidR="00885B79" w:rsidRDefault="00885B79" w:rsidP="00885B79">
                            <w:pPr>
                              <w:rPr>
                                <w:rFonts w:cs="Arial"/>
                                <w:i/>
                                <w:snapToGrid w:val="0"/>
                              </w:rPr>
                            </w:pPr>
                          </w:p>
                          <w:p w14:paraId="47DFA8D3" w14:textId="77777777" w:rsidR="00885B79" w:rsidRDefault="00885B79" w:rsidP="00885B79">
                            <w:r w:rsidRPr="006547C0">
                              <w:rPr>
                                <w:rFonts w:cs="Arial"/>
                                <w:sz w:val="16"/>
                                <w:szCs w:val="16"/>
                              </w:rPr>
                              <w:t xml:space="preserve">Note: As a reminder, the </w:t>
                            </w:r>
                            <w:hyperlink r:id="rId366" w:history="1">
                              <w:r w:rsidRPr="006547C0">
                                <w:rPr>
                                  <w:rStyle w:val="Hyperlink"/>
                                  <w:rFonts w:cs="Arial"/>
                                  <w:sz w:val="16"/>
                                  <w:szCs w:val="16"/>
                                </w:rPr>
                                <w:t>Corrections Period</w:t>
                              </w:r>
                            </w:hyperlink>
                            <w:r w:rsidRPr="006547C0">
                              <w:rPr>
                                <w:rFonts w:cs="Arial"/>
                                <w:sz w:val="16"/>
                                <w:szCs w:val="16"/>
                              </w:rPr>
                              <w:t xml:space="preserve"> </w:t>
                            </w:r>
                            <w:r w:rsidRPr="00E65E68">
                              <w:rPr>
                                <w:rFonts w:cs="Arial"/>
                                <w:sz w:val="16"/>
                                <w:szCs w:val="16"/>
                              </w:rPr>
                              <w:t>(</w:t>
                            </w:r>
                            <w:r>
                              <w:rPr>
                                <w:rFonts w:cs="Arial"/>
                                <w:sz w:val="16"/>
                                <w:szCs w:val="16"/>
                              </w:rPr>
                              <w:t>December</w:t>
                            </w:r>
                            <w:r w:rsidRPr="00E65E68">
                              <w:rPr>
                                <w:rFonts w:cs="Arial"/>
                                <w:sz w:val="16"/>
                                <w:szCs w:val="16"/>
                              </w:rPr>
                              <w:t xml:space="preserve"> 1-January 31) is reserved for corrections to previously submitted Surveys only. </w:t>
                            </w:r>
                            <w:r w:rsidRPr="00E65E68">
                              <w:rPr>
                                <w:rFonts w:cs="Arial"/>
                                <w:bCs/>
                                <w:snapToGrid w:val="0"/>
                                <w:sz w:val="16"/>
                                <w:szCs w:val="16"/>
                              </w:rPr>
                              <w:t xml:space="preserve">Any updates made to reflect a change in performance must be made prior to the </w:t>
                            </w:r>
                            <w:r>
                              <w:rPr>
                                <w:rFonts w:cs="Arial"/>
                                <w:bCs/>
                                <w:snapToGrid w:val="0"/>
                                <w:sz w:val="16"/>
                                <w:szCs w:val="16"/>
                              </w:rPr>
                              <w:t>November 30</w:t>
                            </w:r>
                            <w:r w:rsidRPr="00E65E68">
                              <w:rPr>
                                <w:rFonts w:cs="Arial"/>
                                <w:bCs/>
                                <w:snapToGrid w:val="0"/>
                                <w:sz w:val="16"/>
                                <w:szCs w:val="16"/>
                              </w:rPr>
                              <w:t xml:space="preserve"> Late Submission </w:t>
                            </w:r>
                            <w:r w:rsidRPr="00AE38C7">
                              <w:rPr>
                                <w:rFonts w:cs="Arial"/>
                                <w:bCs/>
                                <w:snapToGrid w:val="0"/>
                                <w:sz w:val="16"/>
                                <w:szCs w:val="16"/>
                              </w:rPr>
                              <w:t>and Performance Update</w:t>
                            </w:r>
                            <w:r>
                              <w:rPr>
                                <w:rFonts w:cs="Arial"/>
                                <w:bCs/>
                                <w:snapToGrid w:val="0"/>
                                <w:sz w:val="16"/>
                                <w:szCs w:val="16"/>
                              </w:rPr>
                              <w:t xml:space="preserve"> </w:t>
                            </w:r>
                            <w:r w:rsidRPr="00E65E68">
                              <w:rPr>
                                <w:rFonts w:cs="Arial"/>
                                <w:bCs/>
                                <w:snapToGrid w:val="0"/>
                                <w:sz w:val="16"/>
                                <w:szCs w:val="16"/>
                              </w:rPr>
                              <w:t xml:space="preserve">Deadline. Updates made to reflect a change in performance after </w:t>
                            </w:r>
                            <w:r>
                              <w:rPr>
                                <w:rFonts w:cs="Arial"/>
                                <w:bCs/>
                                <w:snapToGrid w:val="0"/>
                                <w:sz w:val="16"/>
                                <w:szCs w:val="16"/>
                              </w:rPr>
                              <w:t>November 30</w:t>
                            </w:r>
                            <w:r w:rsidRPr="00E65E68">
                              <w:rPr>
                                <w:rFonts w:cs="Arial"/>
                                <w:bCs/>
                                <w:snapToGrid w:val="0"/>
                                <w:sz w:val="16"/>
                                <w:szCs w:val="16"/>
                              </w:rPr>
                              <w:t xml:space="preserve"> will not be scored or publicly reported.</w:t>
                            </w:r>
                          </w:p>
                        </w:txbxContent>
                      </wps:txbx>
                      <wps:bodyPr rot="0" vert="horz" wrap="square" lIns="91440" tIns="45720" rIns="91440" bIns="45720" anchor="t" anchorCtr="0">
                        <a:spAutoFit/>
                      </wps:bodyPr>
                    </wps:wsp>
                  </a:graphicData>
                </a:graphic>
              </wp:inline>
            </w:drawing>
          </mc:Choice>
          <mc:Fallback>
            <w:pict>
              <v:shape w14:anchorId="7ADC8661" id="Text Box 1076003227" o:spid="_x0000_s1054" type="#_x0000_t202" alt="P8921TB27#y1" style="width:468pt;height:114.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" strokecolor="red">
                <v:textbox style="mso-fit-shape-to-text:t">
                  <w:txbxContent>
                    <w:p w14:paraId="1AC44DE8" w14:textId="77777777" w:rsidR="00885B79" w:rsidRPr="009A5185" w:rsidRDefault="00885B79" w:rsidP="00885B79">
                      <w:pPr>
                        <w:spacing w:before="40"/>
                        <w:rPr>
                          <w:rFonts w:cs="Arial"/>
                          <w:b/>
                          <w:snapToGrid w:val="0"/>
                        </w:rPr>
                      </w:pPr>
                      <w:r w:rsidRPr="00533B1D">
                        <w:rPr>
                          <w:rFonts w:cs="Arial"/>
                          <w:b/>
                          <w:snapToGrid w:val="0"/>
                        </w:rPr>
                        <w:t xml:space="preserve"> </w:t>
                      </w:r>
                      <w:r w:rsidRPr="009A5185">
                        <w:rPr>
                          <w:rFonts w:cs="Arial"/>
                          <w:b/>
                          <w:snapToGrid w:val="0"/>
                        </w:rPr>
                        <w:t>Reporting Period: 12 months</w:t>
                      </w:r>
                    </w:p>
                    <w:p w14:paraId="77ED76E6" w14:textId="77777777" w:rsidR="00885B79" w:rsidRPr="00BE1D22" w:rsidRDefault="00885B79" w:rsidP="00AD309C">
                      <w:pPr>
                        <w:pStyle w:val="ListParagraph"/>
                        <w:numPr>
                          <w:ilvl w:val="0"/>
                          <w:numId w:val="36"/>
                        </w:numPr>
                        <w:rPr>
                          <w:rFonts w:cs="Arial"/>
                          <w:i/>
                          <w:snapToGrid w:val="0"/>
                        </w:rPr>
                      </w:pPr>
                      <w:r>
                        <w:rPr>
                          <w:rFonts w:cs="Arial"/>
                          <w:iCs/>
                          <w:snapToGrid w:val="0"/>
                        </w:rPr>
                        <w:t>Surveys submitted prior to September 1:</w:t>
                      </w:r>
                    </w:p>
                    <w:p w14:paraId="6BF7498B" w14:textId="01572CC9" w:rsidR="00885B79" w:rsidRPr="009A5185" w:rsidRDefault="00885B79" w:rsidP="00AD309C">
                      <w:pPr>
                        <w:pStyle w:val="ListParagraph"/>
                        <w:numPr>
                          <w:ilvl w:val="1"/>
                          <w:numId w:val="36"/>
                        </w:numPr>
                        <w:rPr>
                          <w:rFonts w:cs="Arial"/>
                          <w:i/>
                          <w:snapToGrid w:val="0"/>
                        </w:rPr>
                      </w:pPr>
                      <w:r>
                        <w:rPr>
                          <w:rFonts w:cs="Arial"/>
                          <w:iCs/>
                          <w:snapToGrid w:val="0"/>
                        </w:rPr>
                        <w:t>01/01/202</w:t>
                      </w:r>
                      <w:r w:rsidR="00030DA9">
                        <w:rPr>
                          <w:rFonts w:cs="Arial"/>
                          <w:iCs/>
                          <w:snapToGrid w:val="0"/>
                        </w:rPr>
                        <w:t>5</w:t>
                      </w:r>
                      <w:r>
                        <w:rPr>
                          <w:rFonts w:cs="Arial"/>
                          <w:iCs/>
                          <w:snapToGrid w:val="0"/>
                        </w:rPr>
                        <w:t xml:space="preserve"> – 12/31/202</w:t>
                      </w:r>
                      <w:r w:rsidR="00030DA9">
                        <w:rPr>
                          <w:rFonts w:cs="Arial"/>
                          <w:iCs/>
                          <w:snapToGrid w:val="0"/>
                        </w:rPr>
                        <w:t>5</w:t>
                      </w:r>
                    </w:p>
                    <w:p w14:paraId="08CD3A3B" w14:textId="77777777" w:rsidR="00885B79" w:rsidRPr="00BE1D22" w:rsidRDefault="00885B79" w:rsidP="00AD309C">
                      <w:pPr>
                        <w:pStyle w:val="ListParagraph"/>
                        <w:numPr>
                          <w:ilvl w:val="0"/>
                          <w:numId w:val="36"/>
                        </w:numPr>
                        <w:rPr>
                          <w:rFonts w:cs="Arial"/>
                          <w:i/>
                          <w:snapToGrid w:val="0"/>
                        </w:rPr>
                      </w:pPr>
                      <w:r w:rsidRPr="009A5185">
                        <w:rPr>
                          <w:rFonts w:cs="Arial"/>
                          <w:snapToGrid w:val="0"/>
                        </w:rPr>
                        <w:t xml:space="preserve">Surveys (re)submitted on or after September 1: </w:t>
                      </w:r>
                    </w:p>
                    <w:p w14:paraId="443FB017" w14:textId="6168DF8F" w:rsidR="00885B79" w:rsidRPr="00FD4BD9" w:rsidRDefault="00885B79" w:rsidP="00AD309C">
                      <w:pPr>
                        <w:pStyle w:val="ListParagraph"/>
                        <w:numPr>
                          <w:ilvl w:val="1"/>
                          <w:numId w:val="36"/>
                        </w:numPr>
                        <w:rPr>
                          <w:rFonts w:cs="Arial"/>
                          <w:i/>
                          <w:snapToGrid w:val="0"/>
                        </w:rPr>
                      </w:pPr>
                      <w:r w:rsidRPr="009A5185">
                        <w:rPr>
                          <w:rFonts w:cs="Arial"/>
                          <w:snapToGrid w:val="0"/>
                        </w:rPr>
                        <w:t>07/01/</w:t>
                      </w:r>
                      <w:r>
                        <w:rPr>
                          <w:rFonts w:cs="Arial"/>
                          <w:snapToGrid w:val="0"/>
                        </w:rPr>
                        <w:t>202</w:t>
                      </w:r>
                      <w:r w:rsidR="00030DA9">
                        <w:rPr>
                          <w:rFonts w:cs="Arial"/>
                          <w:snapToGrid w:val="0"/>
                        </w:rPr>
                        <w:t>5</w:t>
                      </w:r>
                      <w:r w:rsidRPr="009A5185">
                        <w:rPr>
                          <w:rFonts w:cs="Arial"/>
                          <w:snapToGrid w:val="0"/>
                        </w:rPr>
                        <w:t xml:space="preserve"> </w:t>
                      </w:r>
                      <w:r>
                        <w:rPr>
                          <w:rFonts w:cs="Arial"/>
                          <w:snapToGrid w:val="0"/>
                        </w:rPr>
                        <w:t>–</w:t>
                      </w:r>
                      <w:r w:rsidRPr="009A5185">
                        <w:rPr>
                          <w:rFonts w:cs="Arial"/>
                          <w:snapToGrid w:val="0"/>
                        </w:rPr>
                        <w:t xml:space="preserve"> 06/30/</w:t>
                      </w:r>
                      <w:r>
                        <w:rPr>
                          <w:rFonts w:cs="Arial"/>
                          <w:snapToGrid w:val="0"/>
                        </w:rPr>
                        <w:t>202</w:t>
                      </w:r>
                      <w:r w:rsidR="00030DA9">
                        <w:rPr>
                          <w:rFonts w:cs="Arial"/>
                          <w:snapToGrid w:val="0"/>
                        </w:rPr>
                        <w:t>6</w:t>
                      </w:r>
                    </w:p>
                    <w:p w14:paraId="5A534735" w14:textId="77777777" w:rsidR="00885B79" w:rsidRDefault="00885B79" w:rsidP="00885B79">
                      <w:pPr>
                        <w:rPr>
                          <w:rFonts w:cs="Arial"/>
                          <w:i/>
                          <w:snapToGrid w:val="0"/>
                        </w:rPr>
                      </w:pPr>
                    </w:p>
                    <w:p w14:paraId="47DFA8D3" w14:textId="77777777" w:rsidR="00885B79" w:rsidRDefault="00885B79" w:rsidP="00885B79">
                      <w:r w:rsidRPr="006547C0">
                        <w:rPr>
                          <w:rFonts w:cs="Arial"/>
                          <w:sz w:val="16"/>
                          <w:szCs w:val="16"/>
                        </w:rPr>
                        <w:t xml:space="preserve">Note: As a reminder, the </w:t>
                      </w:r>
                      <w:hyperlink r:id="rId367" w:history="1">
                        <w:r w:rsidRPr="006547C0">
                          <w:rPr>
                            <w:rStyle w:val="Hyperlink"/>
                            <w:rFonts w:cs="Arial"/>
                            <w:sz w:val="16"/>
                            <w:szCs w:val="16"/>
                          </w:rPr>
                          <w:t>Corrections Period</w:t>
                        </w:r>
                      </w:hyperlink>
                      <w:r w:rsidRPr="006547C0">
                        <w:rPr>
                          <w:rFonts w:cs="Arial"/>
                          <w:sz w:val="16"/>
                          <w:szCs w:val="16"/>
                        </w:rPr>
                        <w:t xml:space="preserve"> </w:t>
                      </w:r>
                      <w:r w:rsidRPr="00E65E68">
                        <w:rPr>
                          <w:rFonts w:cs="Arial"/>
                          <w:sz w:val="16"/>
                          <w:szCs w:val="16"/>
                        </w:rPr>
                        <w:t>(</w:t>
                      </w:r>
                      <w:r>
                        <w:rPr>
                          <w:rFonts w:cs="Arial"/>
                          <w:sz w:val="16"/>
                          <w:szCs w:val="16"/>
                        </w:rPr>
                        <w:t>December</w:t>
                      </w:r>
                      <w:r w:rsidRPr="00E65E68">
                        <w:rPr>
                          <w:rFonts w:cs="Arial"/>
                          <w:sz w:val="16"/>
                          <w:szCs w:val="16"/>
                        </w:rPr>
                        <w:t xml:space="preserve"> 1-January 31) is reserved for corrections to previously submitted Surveys only. </w:t>
                      </w:r>
                      <w:r w:rsidRPr="00E65E68">
                        <w:rPr>
                          <w:rFonts w:cs="Arial"/>
                          <w:bCs/>
                          <w:snapToGrid w:val="0"/>
                          <w:sz w:val="16"/>
                          <w:szCs w:val="16"/>
                        </w:rPr>
                        <w:t xml:space="preserve">Any updates made to reflect a change in performance must be made prior to the </w:t>
                      </w:r>
                      <w:r>
                        <w:rPr>
                          <w:rFonts w:cs="Arial"/>
                          <w:bCs/>
                          <w:snapToGrid w:val="0"/>
                          <w:sz w:val="16"/>
                          <w:szCs w:val="16"/>
                        </w:rPr>
                        <w:t>November 30</w:t>
                      </w:r>
                      <w:r w:rsidRPr="00E65E68">
                        <w:rPr>
                          <w:rFonts w:cs="Arial"/>
                          <w:bCs/>
                          <w:snapToGrid w:val="0"/>
                          <w:sz w:val="16"/>
                          <w:szCs w:val="16"/>
                        </w:rPr>
                        <w:t xml:space="preserve"> Late Submission </w:t>
                      </w:r>
                      <w:r w:rsidRPr="00AE38C7">
                        <w:rPr>
                          <w:rFonts w:cs="Arial"/>
                          <w:bCs/>
                          <w:snapToGrid w:val="0"/>
                          <w:sz w:val="16"/>
                          <w:szCs w:val="16"/>
                        </w:rPr>
                        <w:t>and Performance Update</w:t>
                      </w:r>
                      <w:r>
                        <w:rPr>
                          <w:rFonts w:cs="Arial"/>
                          <w:bCs/>
                          <w:snapToGrid w:val="0"/>
                          <w:sz w:val="16"/>
                          <w:szCs w:val="16"/>
                        </w:rPr>
                        <w:t xml:space="preserve"> </w:t>
                      </w:r>
                      <w:r w:rsidRPr="00E65E68">
                        <w:rPr>
                          <w:rFonts w:cs="Arial"/>
                          <w:bCs/>
                          <w:snapToGrid w:val="0"/>
                          <w:sz w:val="16"/>
                          <w:szCs w:val="16"/>
                        </w:rPr>
                        <w:t xml:space="preserve">Deadline. Updates made to reflect a change in performance after </w:t>
                      </w:r>
                      <w:r>
                        <w:rPr>
                          <w:rFonts w:cs="Arial"/>
                          <w:bCs/>
                          <w:snapToGrid w:val="0"/>
                          <w:sz w:val="16"/>
                          <w:szCs w:val="16"/>
                        </w:rPr>
                        <w:t>November 30</w:t>
                      </w:r>
                      <w:r w:rsidRPr="00E65E68">
                        <w:rPr>
                          <w:rFonts w:cs="Arial"/>
                          <w:bCs/>
                          <w:snapToGrid w:val="0"/>
                          <w:sz w:val="16"/>
                          <w:szCs w:val="16"/>
                        </w:rPr>
                        <w:t xml:space="preserve"> will not be scored or publicly reported.</w:t>
                      </w:r>
                    </w:p>
                  </w:txbxContent>
                </v:textbox>
                <w10:anchorlock/>
              </v:shape>
            </w:pict>
          </mc:Fallback>
        </mc:AlternateContent>
      </w:r>
    </w:p>
    <w:p w14:paraId="3D7E1CC0" w14:textId="77777777" w:rsidR="00885B79" w:rsidRPr="00B74BD8" w:rsidRDefault="00885B79" w:rsidP="00DC69D9">
      <w:pPr>
        <w:rPr>
          <w:b/>
          <w:i/>
        </w:rPr>
      </w:pPr>
    </w:p>
    <w:tbl>
      <w:tblPr>
        <w:tblStyle w:val="TableGrid"/>
        <w:tblW w:w="9547" w:type="dxa"/>
        <w:tblLook w:val="04A0" w:firstRow="1" w:lastRow="0" w:firstColumn="1" w:lastColumn="0" w:noHBand="0" w:noVBand="1"/>
      </w:tblPr>
      <w:tblGrid>
        <w:gridCol w:w="6638"/>
        <w:gridCol w:w="2909"/>
      </w:tblGrid>
      <w:tr w:rsidR="00AE4D8B" w:rsidRPr="0012358C" w14:paraId="7B6C209B" w14:textId="77777777" w:rsidTr="00D73F6A">
        <w:trPr>
          <w:trHeight w:val="432"/>
        </w:trPr>
        <w:tc>
          <w:tcPr>
            <w:tcW w:w="6638" w:type="dxa"/>
            <w:vAlign w:val="center"/>
          </w:tcPr>
          <w:p w14:paraId="72CF15F7" w14:textId="77777777" w:rsidR="00AE4D8B" w:rsidRPr="00A73031" w:rsidRDefault="00AE4D8B" w:rsidP="00AD309C">
            <w:pPr>
              <w:pStyle w:val="ListParagraph"/>
              <w:numPr>
                <w:ilvl w:val="0"/>
                <w:numId w:val="405"/>
              </w:numPr>
              <w:rPr>
                <w:rFonts w:cs="Arial"/>
                <w:snapToGrid w:val="0"/>
                <w:color w:val="000000"/>
              </w:rPr>
            </w:pPr>
            <w:bookmarkStart w:id="499" w:name="_Hlk182565511"/>
            <w:bookmarkEnd w:id="494"/>
            <w:r w:rsidRPr="00A73031">
              <w:rPr>
                <w:rFonts w:cs="Arial"/>
                <w:snapToGrid w:val="0"/>
                <w:color w:val="000000"/>
              </w:rPr>
              <w:t>12-month reporting period used:</w:t>
            </w:r>
          </w:p>
        </w:tc>
        <w:tc>
          <w:tcPr>
            <w:tcW w:w="2909" w:type="dxa"/>
            <w:vAlign w:val="center"/>
          </w:tcPr>
          <w:p w14:paraId="0D8A9666" w14:textId="5B1C5FC3" w:rsidR="00AE4D8B" w:rsidRPr="00A73031" w:rsidRDefault="00AE4D8B" w:rsidP="00AD309C">
            <w:pPr>
              <w:pStyle w:val="ListParagraph"/>
              <w:numPr>
                <w:ilvl w:val="0"/>
                <w:numId w:val="286"/>
              </w:numPr>
              <w:rPr>
                <w:rFonts w:cs="Arial"/>
                <w:iCs/>
              </w:rPr>
            </w:pPr>
            <w:r w:rsidRPr="00A73031">
              <w:rPr>
                <w:rFonts w:cs="Arial"/>
                <w:iCs/>
              </w:rPr>
              <w:t>01/01/202</w:t>
            </w:r>
            <w:r w:rsidR="00CB5407">
              <w:rPr>
                <w:rFonts w:cs="Arial"/>
                <w:iCs/>
              </w:rPr>
              <w:t>5</w:t>
            </w:r>
            <w:r w:rsidRPr="00A73031">
              <w:rPr>
                <w:rFonts w:cs="Arial"/>
                <w:iCs/>
              </w:rPr>
              <w:t xml:space="preserve"> – 12/31/202</w:t>
            </w:r>
            <w:r w:rsidR="00CB5407">
              <w:rPr>
                <w:rFonts w:cs="Arial"/>
                <w:iCs/>
              </w:rPr>
              <w:t>5</w:t>
            </w:r>
          </w:p>
          <w:p w14:paraId="18B88FAA" w14:textId="16D24B60" w:rsidR="00AE4D8B" w:rsidRPr="00A73031" w:rsidRDefault="00AE4D8B" w:rsidP="00AD309C">
            <w:pPr>
              <w:pStyle w:val="ListParagraph"/>
              <w:numPr>
                <w:ilvl w:val="0"/>
                <w:numId w:val="286"/>
              </w:numPr>
              <w:rPr>
                <w:rFonts w:cs="Arial"/>
                <w:i/>
              </w:rPr>
            </w:pPr>
            <w:r w:rsidRPr="00A73031">
              <w:rPr>
                <w:rFonts w:cs="Arial"/>
                <w:iCs/>
              </w:rPr>
              <w:t>07/01/202</w:t>
            </w:r>
            <w:r w:rsidR="00CB5407">
              <w:rPr>
                <w:rFonts w:cs="Arial"/>
                <w:iCs/>
              </w:rPr>
              <w:t>5</w:t>
            </w:r>
            <w:r w:rsidRPr="00A73031">
              <w:rPr>
                <w:rFonts w:cs="Arial"/>
                <w:iCs/>
              </w:rPr>
              <w:t xml:space="preserve"> – 06/30/202</w:t>
            </w:r>
            <w:r w:rsidR="00CB5407">
              <w:rPr>
                <w:rFonts w:cs="Arial"/>
                <w:iCs/>
              </w:rPr>
              <w:t>6</w:t>
            </w:r>
          </w:p>
        </w:tc>
      </w:tr>
      <w:tr w:rsidR="00AE4D8B" w:rsidRPr="0012358C" w14:paraId="5B63216C" w14:textId="77777777" w:rsidTr="00D73F6A">
        <w:trPr>
          <w:trHeight w:val="1872"/>
        </w:trPr>
        <w:tc>
          <w:tcPr>
            <w:tcW w:w="6638" w:type="dxa"/>
            <w:vAlign w:val="center"/>
          </w:tcPr>
          <w:p w14:paraId="7E2BCED2" w14:textId="073657D8" w:rsidR="00AE4D8B" w:rsidRPr="00A73031" w:rsidRDefault="00AE4D8B" w:rsidP="00AD309C">
            <w:pPr>
              <w:pStyle w:val="ListParagraph"/>
              <w:numPr>
                <w:ilvl w:val="0"/>
                <w:numId w:val="405"/>
              </w:numPr>
              <w:rPr>
                <w:rFonts w:cs="Arial"/>
                <w:snapToGrid w:val="0"/>
                <w:color w:val="000000"/>
              </w:rPr>
            </w:pPr>
            <w:r w:rsidRPr="00A73031">
              <w:rPr>
                <w:rFonts w:cs="Arial"/>
                <w:snapToGrid w:val="0"/>
                <w:color w:val="000000"/>
              </w:rPr>
              <w:t xml:space="preserve">Did your hospital operate a </w:t>
            </w:r>
            <w:hyperlink w:anchor="emergencydepartment_endnote" w:history="1">
              <w:r w:rsidRPr="00A73031">
                <w:rPr>
                  <w:rStyle w:val="Hyperlink"/>
                  <w:rFonts w:cs="Arial"/>
                  <w:snapToGrid w:val="0"/>
                </w:rPr>
                <w:t>dedicated emergency department (ED)</w:t>
              </w:r>
            </w:hyperlink>
            <w:r w:rsidR="00C2087D">
              <w:rPr>
                <w:rFonts w:ascii="ZWAdobeF" w:hAnsi="ZWAdobeF" w:cs="ZWAdobeF"/>
                <w:sz w:val="2"/>
                <w:szCs w:val="2"/>
              </w:rPr>
              <w:t>45F</w:t>
            </w:r>
            <w:r w:rsidR="00B55C41">
              <w:rPr>
                <w:rFonts w:ascii="ZWAdobeF" w:hAnsi="ZWAdobeF" w:cs="ZWAdobeF"/>
                <w:sz w:val="2"/>
                <w:szCs w:val="2"/>
              </w:rPr>
              <w:t>45F</w:t>
            </w:r>
            <w:r w:rsidR="006255A6">
              <w:rPr>
                <w:rFonts w:ascii="ZWAdobeF" w:hAnsi="ZWAdobeF" w:cs="ZWAdobeF"/>
                <w:sz w:val="2"/>
                <w:szCs w:val="2"/>
              </w:rPr>
              <w:t>45F</w:t>
            </w:r>
            <w:r w:rsidR="00E453C7">
              <w:rPr>
                <w:rFonts w:ascii="ZWAdobeF" w:hAnsi="ZWAdobeF" w:cs="ZWAdobeF"/>
                <w:sz w:val="2"/>
                <w:szCs w:val="2"/>
              </w:rPr>
              <w:t>45F</w:t>
            </w:r>
            <w:r w:rsidR="00953060">
              <w:rPr>
                <w:rFonts w:ascii="ZWAdobeF" w:hAnsi="ZWAdobeF" w:cs="ZWAdobeF"/>
                <w:sz w:val="2"/>
                <w:szCs w:val="2"/>
              </w:rPr>
              <w:t>45F</w:t>
            </w:r>
            <w:r w:rsidR="00DD04D6">
              <w:rPr>
                <w:rFonts w:ascii="ZWAdobeF" w:hAnsi="ZWAdobeF" w:cs="ZWAdobeF"/>
                <w:sz w:val="2"/>
                <w:szCs w:val="2"/>
              </w:rPr>
              <w:t>45F</w:t>
            </w:r>
            <w:r w:rsidRPr="00A73031">
              <w:rPr>
                <w:rStyle w:val="EndnoteReference"/>
                <w:snapToGrid w:val="0"/>
                <w:color w:val="000000"/>
              </w:rPr>
              <w:endnoteReference w:id="47"/>
            </w:r>
            <w:r w:rsidRPr="00A443D2">
              <w:rPr>
                <w:rFonts w:cs="Arial"/>
                <w:snapToGrid w:val="0"/>
                <w:color w:val="000000"/>
              </w:rPr>
              <w:t xml:space="preserve"> </w:t>
            </w:r>
            <w:r w:rsidRPr="00A73031">
              <w:rPr>
                <w:rFonts w:cs="Arial"/>
                <w:snapToGrid w:val="0"/>
                <w:color w:val="000000"/>
              </w:rPr>
              <w:t>during the reporting period?</w:t>
            </w:r>
          </w:p>
          <w:p w14:paraId="71AA3982" w14:textId="77777777" w:rsidR="00AE4D8B" w:rsidRPr="00A73031" w:rsidRDefault="00AE4D8B" w:rsidP="00D73F6A">
            <w:pPr>
              <w:pStyle w:val="ListParagraph"/>
              <w:ind w:left="360"/>
              <w:rPr>
                <w:rFonts w:cs="Arial"/>
                <w:snapToGrid w:val="0"/>
                <w:color w:val="000000"/>
              </w:rPr>
            </w:pPr>
          </w:p>
          <w:p w14:paraId="2A6D2DBC" w14:textId="6403686E" w:rsidR="00AE4D8B" w:rsidRPr="00A73031" w:rsidRDefault="00AE4D8B" w:rsidP="00D73F6A">
            <w:pPr>
              <w:pStyle w:val="ListParagraph"/>
              <w:ind w:left="360"/>
              <w:rPr>
                <w:rFonts w:cs="Arial"/>
                <w:snapToGrid w:val="0"/>
                <w:color w:val="000000"/>
              </w:rPr>
            </w:pPr>
            <w:r w:rsidRPr="00A73031">
              <w:rPr>
                <w:rFonts w:cs="Arial"/>
                <w:i/>
                <w:snapToGrid w:val="0"/>
              </w:rPr>
              <w:t>If “no” or “yes, but ED is now closed or wasn’t open for the entire reporting period,” skip questions #3-</w:t>
            </w:r>
            <w:r w:rsidR="00E10394">
              <w:rPr>
                <w:rFonts w:cs="Arial"/>
                <w:i/>
                <w:snapToGrid w:val="0"/>
              </w:rPr>
              <w:t>5</w:t>
            </w:r>
            <w:r w:rsidRPr="00A73031">
              <w:rPr>
                <w:rFonts w:cs="Arial"/>
                <w:i/>
                <w:snapToGrid w:val="0"/>
              </w:rPr>
              <w:t xml:space="preserve"> and </w:t>
            </w:r>
            <w:r w:rsidR="00AF00AC">
              <w:rPr>
                <w:rFonts w:cs="Arial"/>
                <w:i/>
                <w:snapToGrid w:val="0"/>
              </w:rPr>
              <w:t>go to the Affirmation of Accuracy</w:t>
            </w:r>
            <w:r w:rsidRPr="00A73031">
              <w:rPr>
                <w:rFonts w:cs="Arial"/>
                <w:i/>
                <w:snapToGrid w:val="0"/>
              </w:rPr>
              <w:t>.</w:t>
            </w:r>
          </w:p>
        </w:tc>
        <w:tc>
          <w:tcPr>
            <w:tcW w:w="2909" w:type="dxa"/>
            <w:vAlign w:val="center"/>
          </w:tcPr>
          <w:p w14:paraId="3980425D" w14:textId="77777777" w:rsidR="00AE4D8B" w:rsidRPr="00A73031" w:rsidRDefault="00AE4D8B" w:rsidP="00AD309C">
            <w:pPr>
              <w:pStyle w:val="ListParagraph"/>
              <w:numPr>
                <w:ilvl w:val="0"/>
                <w:numId w:val="287"/>
              </w:numPr>
              <w:rPr>
                <w:rFonts w:cs="Arial"/>
                <w:iCs/>
                <w:snapToGrid w:val="0"/>
                <w:color w:val="000000"/>
              </w:rPr>
            </w:pPr>
            <w:r w:rsidRPr="00A73031">
              <w:rPr>
                <w:rFonts w:cs="Arial"/>
                <w:iCs/>
                <w:snapToGrid w:val="0"/>
                <w:color w:val="000000"/>
              </w:rPr>
              <w:t>Yes</w:t>
            </w:r>
          </w:p>
          <w:p w14:paraId="087EC50D" w14:textId="77777777" w:rsidR="00AE4D8B" w:rsidRPr="00A73031" w:rsidRDefault="00AE4D8B" w:rsidP="00AD309C">
            <w:pPr>
              <w:pStyle w:val="ListParagraph"/>
              <w:numPr>
                <w:ilvl w:val="0"/>
                <w:numId w:val="287"/>
              </w:numPr>
              <w:rPr>
                <w:rFonts w:cs="Arial"/>
                <w:iCs/>
                <w:snapToGrid w:val="0"/>
                <w:color w:val="000000"/>
              </w:rPr>
            </w:pPr>
            <w:r w:rsidRPr="00A73031">
              <w:rPr>
                <w:rFonts w:cs="Arial"/>
                <w:iCs/>
                <w:snapToGrid w:val="0"/>
                <w:color w:val="000000"/>
              </w:rPr>
              <w:t>No</w:t>
            </w:r>
          </w:p>
          <w:p w14:paraId="025A4058" w14:textId="77777777" w:rsidR="00AE4D8B" w:rsidRPr="00A73031" w:rsidRDefault="00AE4D8B" w:rsidP="00AD309C">
            <w:pPr>
              <w:pStyle w:val="ListParagraph"/>
              <w:numPr>
                <w:ilvl w:val="0"/>
                <w:numId w:val="287"/>
              </w:numPr>
              <w:rPr>
                <w:rFonts w:cs="Arial"/>
                <w:iCs/>
                <w:snapToGrid w:val="0"/>
                <w:color w:val="000000"/>
              </w:rPr>
            </w:pPr>
            <w:r w:rsidRPr="00A73031">
              <w:rPr>
                <w:rFonts w:cs="Arial"/>
                <w:iCs/>
                <w:snapToGrid w:val="0"/>
                <w:color w:val="000000"/>
              </w:rPr>
              <w:t>Yes, but ED is now closed or wasn’t open for the entire reporting period</w:t>
            </w:r>
          </w:p>
        </w:tc>
      </w:tr>
      <w:tr w:rsidR="0060144B" w:rsidRPr="0012358C" w14:paraId="21629D52" w14:textId="77777777" w:rsidTr="00D73F6A">
        <w:trPr>
          <w:trHeight w:hRule="exact" w:val="1387"/>
        </w:trPr>
        <w:tc>
          <w:tcPr>
            <w:tcW w:w="6638" w:type="dxa"/>
            <w:vAlign w:val="center"/>
          </w:tcPr>
          <w:p w14:paraId="21CCF1EA" w14:textId="4F05C522" w:rsidR="0060144B" w:rsidRDefault="0060144B" w:rsidP="00AD309C">
            <w:pPr>
              <w:pStyle w:val="ListParagraph"/>
              <w:numPr>
                <w:ilvl w:val="0"/>
                <w:numId w:val="405"/>
              </w:numPr>
              <w:rPr>
                <w:rFonts w:cs="Arial"/>
                <w:snapToGrid w:val="0"/>
                <w:color w:val="000000"/>
              </w:rPr>
            </w:pPr>
            <w:r>
              <w:rPr>
                <w:rFonts w:cs="Arial"/>
                <w:snapToGrid w:val="0"/>
                <w:color w:val="000000"/>
              </w:rPr>
              <w:t>What type(s)</w:t>
            </w:r>
            <w:r w:rsidR="005F0350">
              <w:rPr>
                <w:rFonts w:cs="Arial"/>
                <w:snapToGrid w:val="0"/>
                <w:color w:val="000000"/>
              </w:rPr>
              <w:t xml:space="preserve"> of</w:t>
            </w:r>
            <w:r>
              <w:rPr>
                <w:rFonts w:cs="Arial"/>
                <w:snapToGrid w:val="0"/>
                <w:color w:val="000000"/>
              </w:rPr>
              <w:t xml:space="preserve"> </w:t>
            </w:r>
            <w:hyperlink w:anchor="emergencydepartment_endnote" w:history="1">
              <w:r w:rsidRPr="002F7BE6">
                <w:rPr>
                  <w:rStyle w:val="Hyperlink"/>
                  <w:rFonts w:cs="Arial"/>
                  <w:snapToGrid w:val="0"/>
                </w:rPr>
                <w:t>dedicated emergency department</w:t>
              </w:r>
              <w:r w:rsidR="0002161F" w:rsidRPr="002F7BE6">
                <w:rPr>
                  <w:rStyle w:val="Hyperlink"/>
                  <w:rFonts w:cs="Arial"/>
                  <w:snapToGrid w:val="0"/>
                </w:rPr>
                <w:t>(s)</w:t>
              </w:r>
            </w:hyperlink>
            <w:r w:rsidR="00CD6F6B">
              <w:rPr>
                <w:snapToGrid w:val="0"/>
                <w:color w:val="000000"/>
                <w:vertAlign w:val="superscript"/>
              </w:rPr>
              <w:t>46</w:t>
            </w:r>
            <w:r w:rsidRPr="00A73031">
              <w:rPr>
                <w:rFonts w:cs="Arial"/>
                <w:snapToGrid w:val="0"/>
                <w:color w:val="000000"/>
              </w:rPr>
              <w:t xml:space="preserve"> </w:t>
            </w:r>
            <w:r>
              <w:rPr>
                <w:rFonts w:cs="Arial"/>
                <w:snapToGrid w:val="0"/>
                <w:color w:val="000000"/>
              </w:rPr>
              <w:t>d</w:t>
            </w:r>
            <w:r w:rsidR="00FF4E60">
              <w:rPr>
                <w:rFonts w:cs="Arial"/>
                <w:snapToGrid w:val="0"/>
                <w:color w:val="000000"/>
              </w:rPr>
              <w:t>id</w:t>
            </w:r>
            <w:r>
              <w:rPr>
                <w:rFonts w:cs="Arial"/>
                <w:snapToGrid w:val="0"/>
                <w:color w:val="000000"/>
              </w:rPr>
              <w:t xml:space="preserve"> you</w:t>
            </w:r>
            <w:r w:rsidR="00FF4E60">
              <w:rPr>
                <w:rFonts w:cs="Arial"/>
                <w:snapToGrid w:val="0"/>
                <w:color w:val="000000"/>
              </w:rPr>
              <w:t>r</w:t>
            </w:r>
            <w:r>
              <w:rPr>
                <w:rFonts w:cs="Arial"/>
                <w:snapToGrid w:val="0"/>
                <w:color w:val="000000"/>
              </w:rPr>
              <w:t xml:space="preserve"> </w:t>
            </w:r>
            <w:r w:rsidR="004F73B9">
              <w:rPr>
                <w:rFonts w:cs="Arial"/>
                <w:snapToGrid w:val="0"/>
                <w:color w:val="000000"/>
              </w:rPr>
              <w:t xml:space="preserve">hospital </w:t>
            </w:r>
            <w:r>
              <w:rPr>
                <w:rFonts w:cs="Arial"/>
                <w:snapToGrid w:val="0"/>
                <w:color w:val="000000"/>
              </w:rPr>
              <w:t>operate?</w:t>
            </w:r>
          </w:p>
          <w:p w14:paraId="4E6953BB" w14:textId="77777777" w:rsidR="0060144B" w:rsidRDefault="0060144B" w:rsidP="0060144B">
            <w:pPr>
              <w:rPr>
                <w:rFonts w:cs="Arial"/>
                <w:snapToGrid w:val="0"/>
                <w:color w:val="000000"/>
              </w:rPr>
            </w:pPr>
          </w:p>
          <w:p w14:paraId="05060195" w14:textId="2F0EB754" w:rsidR="0060144B" w:rsidRPr="00A73031" w:rsidRDefault="0060144B" w:rsidP="00B226ED">
            <w:pPr>
              <w:pStyle w:val="ListParagraph"/>
              <w:ind w:left="360"/>
              <w:rPr>
                <w:rFonts w:cs="Arial"/>
                <w:snapToGrid w:val="0"/>
              </w:rPr>
            </w:pPr>
            <w:r>
              <w:rPr>
                <w:rFonts w:cs="Arial"/>
                <w:i/>
                <w:iCs/>
                <w:snapToGrid w:val="0"/>
                <w:color w:val="000000"/>
              </w:rPr>
              <w:t>Select all that apply.</w:t>
            </w:r>
          </w:p>
        </w:tc>
        <w:tc>
          <w:tcPr>
            <w:tcW w:w="2909" w:type="dxa"/>
            <w:vAlign w:val="center"/>
          </w:tcPr>
          <w:p w14:paraId="782B58FD" w14:textId="77777777" w:rsidR="0060144B" w:rsidRPr="006119D1" w:rsidRDefault="0060144B" w:rsidP="00AD309C">
            <w:pPr>
              <w:numPr>
                <w:ilvl w:val="0"/>
                <w:numId w:val="143"/>
              </w:numPr>
              <w:contextualSpacing/>
              <w:rPr>
                <w:rFonts w:cs="Arial"/>
                <w:iCs/>
              </w:rPr>
            </w:pPr>
            <w:r w:rsidRPr="006119D1">
              <w:rPr>
                <w:rFonts w:cs="Arial"/>
                <w:iCs/>
              </w:rPr>
              <w:t>Adult only</w:t>
            </w:r>
          </w:p>
          <w:p w14:paraId="67BECE04" w14:textId="4F796E03" w:rsidR="00B226ED" w:rsidRDefault="0060144B" w:rsidP="00AD309C">
            <w:pPr>
              <w:pStyle w:val="ListParagraph"/>
              <w:numPr>
                <w:ilvl w:val="0"/>
                <w:numId w:val="412"/>
              </w:numPr>
              <w:rPr>
                <w:rFonts w:cs="Arial"/>
                <w:iCs/>
              </w:rPr>
            </w:pPr>
            <w:r w:rsidRPr="00A32F53">
              <w:rPr>
                <w:rFonts w:cs="Arial"/>
                <w:iCs/>
              </w:rPr>
              <w:t>Pediatric only</w:t>
            </w:r>
          </w:p>
          <w:p w14:paraId="0241623E" w14:textId="1251D0AA" w:rsidR="0060144B" w:rsidRPr="006810DB" w:rsidRDefault="002D06C9" w:rsidP="00AD309C">
            <w:pPr>
              <w:pStyle w:val="ListParagraph"/>
              <w:numPr>
                <w:ilvl w:val="0"/>
                <w:numId w:val="412"/>
              </w:numPr>
              <w:rPr>
                <w:rFonts w:cs="Arial"/>
                <w:iCs/>
              </w:rPr>
            </w:pPr>
            <w:r w:rsidRPr="00B226ED">
              <w:rPr>
                <w:rFonts w:cs="Arial"/>
                <w:iCs/>
              </w:rPr>
              <w:t>Adu</w:t>
            </w:r>
            <w:r w:rsidR="00A32F53" w:rsidRPr="00B226ED">
              <w:rPr>
                <w:rFonts w:cs="Arial"/>
                <w:iCs/>
              </w:rPr>
              <w:t>lt/Pediatric combined</w:t>
            </w:r>
          </w:p>
        </w:tc>
      </w:tr>
    </w:tbl>
    <w:p w14:paraId="0251554F" w14:textId="77777777" w:rsidR="00873915" w:rsidRDefault="00873915"/>
    <w:p w14:paraId="3EC097F2" w14:textId="3C2AF0E7" w:rsidR="0011263C" w:rsidRPr="008D0477" w:rsidRDefault="0052620A" w:rsidP="0011263C">
      <w:r>
        <w:rPr>
          <w:bCs/>
          <w:i/>
          <w:iCs/>
        </w:rPr>
        <w:t xml:space="preserve">If “Adult only” or “Adult/Pediatric combined” to question #3, </w:t>
      </w:r>
      <w:r w:rsidRPr="008D0477">
        <w:rPr>
          <w:bCs/>
          <w:i/>
          <w:iCs/>
        </w:rPr>
        <w:t xml:space="preserve">answer question #4 based on the </w:t>
      </w:r>
      <w:r w:rsidRPr="00BA2C0A">
        <w:rPr>
          <w:bCs/>
          <w:i/>
          <w:iCs/>
        </w:rPr>
        <w:t>patients</w:t>
      </w:r>
      <w:r w:rsidRPr="001718CF">
        <w:rPr>
          <w:bCs/>
          <w:i/>
          <w:iCs/>
        </w:rPr>
        <w:t xml:space="preserve"> </w:t>
      </w:r>
      <w:r w:rsidRPr="008D0477">
        <w:rPr>
          <w:bCs/>
          <w:i/>
          <w:iCs/>
        </w:rPr>
        <w:t xml:space="preserve">admitted to </w:t>
      </w:r>
      <w:r w:rsidR="00827C86">
        <w:rPr>
          <w:bCs/>
          <w:i/>
          <w:iCs/>
        </w:rPr>
        <w:t xml:space="preserve">adult </w:t>
      </w:r>
      <w:r w:rsidRPr="008D0477">
        <w:rPr>
          <w:bCs/>
          <w:i/>
          <w:iCs/>
        </w:rPr>
        <w:t>inpatient non-psychiatric and psychiatric beds</w:t>
      </w:r>
      <w:r w:rsidR="0011263C" w:rsidRPr="008D0477">
        <w:rPr>
          <w:bCs/>
          <w:i/>
          <w:iCs/>
        </w:rPr>
        <w:t xml:space="preserve"> (</w:t>
      </w:r>
      <w:r w:rsidR="00A037B2" w:rsidRPr="008D0477">
        <w:rPr>
          <w:bCs/>
          <w:i/>
          <w:iCs/>
        </w:rPr>
        <w:t xml:space="preserve">including </w:t>
      </w:r>
      <w:r w:rsidR="00A037B2" w:rsidRPr="008D0477">
        <w:rPr>
          <w:rFonts w:cs="Arial"/>
          <w:i/>
          <w:iCs/>
        </w:rPr>
        <w:t>ED visits where the patient was placed in</w:t>
      </w:r>
      <w:r w:rsidR="00A037B2" w:rsidRPr="008D0477">
        <w:rPr>
          <w:bCs/>
          <w:i/>
          <w:iCs/>
        </w:rPr>
        <w:t xml:space="preserve"> </w:t>
      </w:r>
      <w:r w:rsidR="0011263C" w:rsidRPr="008D0477">
        <w:rPr>
          <w:bCs/>
          <w:i/>
          <w:iCs/>
        </w:rPr>
        <w:t>hospital observation status).</w:t>
      </w:r>
    </w:p>
    <w:p w14:paraId="6BF56538" w14:textId="7D9207E3" w:rsidR="0052620A" w:rsidRPr="008D0477" w:rsidRDefault="0052620A" w:rsidP="0052620A"/>
    <w:p w14:paraId="119DC342" w14:textId="77777777" w:rsidR="0052620A" w:rsidRPr="008D0477" w:rsidRDefault="0052620A"/>
    <w:tbl>
      <w:tblPr>
        <w:tblW w:w="10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72"/>
        <w:gridCol w:w="1629"/>
        <w:gridCol w:w="1629"/>
        <w:gridCol w:w="1574"/>
        <w:gridCol w:w="1574"/>
        <w:gridCol w:w="1687"/>
      </w:tblGrid>
      <w:tr w:rsidR="005A2026" w:rsidRPr="008D0477" w14:paraId="5F2CDFE7" w14:textId="77777777" w:rsidTr="005A2026">
        <w:trPr>
          <w:trHeight w:val="1410"/>
        </w:trPr>
        <w:tc>
          <w:tcPr>
            <w:tcW w:w="10265" w:type="dxa"/>
            <w:gridSpan w:val="6"/>
          </w:tcPr>
          <w:bookmarkEnd w:id="499"/>
          <w:p w14:paraId="31D2AAD4" w14:textId="53744C76" w:rsidR="005A2026" w:rsidRPr="008D0477" w:rsidRDefault="00631BAA" w:rsidP="00AD309C">
            <w:pPr>
              <w:numPr>
                <w:ilvl w:val="0"/>
                <w:numId w:val="405"/>
              </w:numPr>
              <w:contextualSpacing/>
              <w:rPr>
                <w:rFonts w:cs="Arial"/>
                <w:i/>
                <w:snapToGrid w:val="0"/>
              </w:rPr>
            </w:pPr>
            <w:r>
              <w:rPr>
                <w:rFonts w:cs="Arial"/>
              </w:rPr>
              <w:t>E</w:t>
            </w:r>
            <w:r w:rsidR="005A2026" w:rsidRPr="008D0477">
              <w:rPr>
                <w:rFonts w:cs="Arial"/>
              </w:rPr>
              <w:t xml:space="preserve">nter your hospital’s total number of emergency department (ED) visits with an admission to an </w:t>
            </w:r>
            <w:r w:rsidR="00E3616F">
              <w:rPr>
                <w:rFonts w:cs="Arial"/>
              </w:rPr>
              <w:t xml:space="preserve">adult </w:t>
            </w:r>
            <w:r w:rsidR="005A2026" w:rsidRPr="008D0477">
              <w:rPr>
                <w:rFonts w:cs="Arial"/>
              </w:rPr>
              <w:t>inpatient non-psychiatric or psychiatric bed (</w:t>
            </w:r>
            <w:r w:rsidR="005A2026" w:rsidRPr="008D0477">
              <w:rPr>
                <w:bCs/>
              </w:rPr>
              <w:t xml:space="preserve">including </w:t>
            </w:r>
            <w:r w:rsidR="005A2026" w:rsidRPr="008D0477">
              <w:rPr>
                <w:rFonts w:cs="Arial"/>
              </w:rPr>
              <w:t>ED visits where the patient was placed in</w:t>
            </w:r>
            <w:r w:rsidR="005A2026" w:rsidRPr="008D0477">
              <w:rPr>
                <w:bCs/>
                <w:i/>
                <w:iCs/>
              </w:rPr>
              <w:t xml:space="preserve"> </w:t>
            </w:r>
            <w:r w:rsidR="005A2026" w:rsidRPr="008D0477">
              <w:rPr>
                <w:rFonts w:cs="Arial"/>
              </w:rPr>
              <w:t>hospital observation status)</w:t>
            </w:r>
            <w:r w:rsidR="009659EC">
              <w:rPr>
                <w:rFonts w:cs="Arial"/>
              </w:rPr>
              <w:t xml:space="preserve"> in column </w:t>
            </w:r>
            <w:r w:rsidR="00FA2040">
              <w:rPr>
                <w:rFonts w:cs="Arial"/>
              </w:rPr>
              <w:t>(</w:t>
            </w:r>
            <w:r w:rsidR="009659EC">
              <w:rPr>
                <w:rFonts w:cs="Arial"/>
              </w:rPr>
              <w:t>a</w:t>
            </w:r>
            <w:r w:rsidR="00FA2040">
              <w:rPr>
                <w:rFonts w:cs="Arial"/>
              </w:rPr>
              <w:t>)</w:t>
            </w:r>
            <w:r w:rsidR="005A2026" w:rsidRPr="008D0477">
              <w:rPr>
                <w:rFonts w:cs="Arial"/>
              </w:rPr>
              <w:t xml:space="preserve">, the number of those ED visits </w:t>
            </w:r>
            <w:r w:rsidR="00FA2040">
              <w:rPr>
                <w:rFonts w:cs="Arial"/>
              </w:rPr>
              <w:t xml:space="preserve">indicated in column (a) </w:t>
            </w:r>
            <w:r w:rsidR="005A2026" w:rsidRPr="008D0477">
              <w:rPr>
                <w:rFonts w:cs="Arial"/>
              </w:rPr>
              <w:t>with a boarding time greater than 4 hours,</w:t>
            </w:r>
            <w:r w:rsidR="005A2026">
              <w:rPr>
                <w:rFonts w:cs="Arial"/>
              </w:rPr>
              <w:t xml:space="preserve"> the total boarding time (</w:t>
            </w:r>
            <w:r w:rsidR="00BA73E2">
              <w:rPr>
                <w:rFonts w:cs="Arial"/>
              </w:rPr>
              <w:t xml:space="preserve">in </w:t>
            </w:r>
            <w:r w:rsidR="005A2026">
              <w:rPr>
                <w:rFonts w:cs="Arial"/>
              </w:rPr>
              <w:t xml:space="preserve">hours) for </w:t>
            </w:r>
            <w:r w:rsidR="00FA2040">
              <w:rPr>
                <w:rFonts w:cs="Arial"/>
              </w:rPr>
              <w:t>ED visits indicated in column (a)</w:t>
            </w:r>
            <w:r w:rsidR="005A2026">
              <w:rPr>
                <w:rFonts w:cs="Arial"/>
              </w:rPr>
              <w:t xml:space="preserve">, </w:t>
            </w:r>
            <w:r w:rsidR="005A2026" w:rsidRPr="008D0477">
              <w:rPr>
                <w:rFonts w:cs="Arial"/>
              </w:rPr>
              <w:t xml:space="preserve">the median number of hours spent in the ED </w:t>
            </w:r>
            <w:r w:rsidR="006F75E8">
              <w:rPr>
                <w:rFonts w:cs="Arial"/>
              </w:rPr>
              <w:t>for ED visits indicated in column (a)</w:t>
            </w:r>
            <w:r w:rsidR="005A2026" w:rsidRPr="008D0477">
              <w:rPr>
                <w:rFonts w:cs="Arial"/>
              </w:rPr>
              <w:t>, and the 90</w:t>
            </w:r>
            <w:r w:rsidR="005A2026" w:rsidRPr="008D0477">
              <w:rPr>
                <w:rFonts w:cs="Arial"/>
                <w:vertAlign w:val="superscript"/>
              </w:rPr>
              <w:t>th</w:t>
            </w:r>
            <w:r w:rsidR="005A2026" w:rsidRPr="008D0477">
              <w:rPr>
                <w:rFonts w:cs="Arial"/>
              </w:rPr>
              <w:t xml:space="preserve"> percentile of hours spent in the ED for </w:t>
            </w:r>
            <w:r w:rsidR="006F75E8">
              <w:rPr>
                <w:rFonts w:cs="Arial"/>
              </w:rPr>
              <w:t>ED visits indicated in column (a)</w:t>
            </w:r>
            <w:r w:rsidR="005A2026" w:rsidRPr="008D0477">
              <w:rPr>
                <w:rFonts w:cs="Arial"/>
              </w:rPr>
              <w:t>.</w:t>
            </w:r>
          </w:p>
          <w:p w14:paraId="6796A480" w14:textId="77777777" w:rsidR="005A2026" w:rsidRPr="008D0477" w:rsidRDefault="005A2026" w:rsidP="00AB5FC0">
            <w:pPr>
              <w:ind w:left="360"/>
              <w:contextualSpacing/>
              <w:rPr>
                <w:rFonts w:cs="Arial"/>
                <w:i/>
                <w:snapToGrid w:val="0"/>
              </w:rPr>
            </w:pPr>
          </w:p>
          <w:p w14:paraId="5A6B6D97" w14:textId="04C2A105" w:rsidR="005A2026" w:rsidRPr="008D0477" w:rsidRDefault="005A2026" w:rsidP="00F843FE">
            <w:pPr>
              <w:ind w:left="360"/>
              <w:contextualSpacing/>
              <w:rPr>
                <w:rFonts w:cs="Arial"/>
                <w:i/>
                <w:snapToGrid w:val="0"/>
              </w:rPr>
            </w:pPr>
            <w:r w:rsidRPr="008D0477">
              <w:rPr>
                <w:rFonts w:cs="Arial"/>
                <w:i/>
                <w:snapToGrid w:val="0"/>
              </w:rPr>
              <w:t xml:space="preserve">If the number of visits for an adult admission type is less than 10 (in column a), skip columns b, c, </w:t>
            </w:r>
            <w:r>
              <w:rPr>
                <w:rFonts w:cs="Arial"/>
                <w:i/>
                <w:snapToGrid w:val="0"/>
              </w:rPr>
              <w:t xml:space="preserve">d, </w:t>
            </w:r>
            <w:r w:rsidRPr="008D0477">
              <w:rPr>
                <w:rFonts w:cs="Arial"/>
                <w:i/>
                <w:snapToGrid w:val="0"/>
              </w:rPr>
              <w:t xml:space="preserve">and </w:t>
            </w:r>
            <w:r>
              <w:rPr>
                <w:rFonts w:cs="Arial"/>
                <w:i/>
                <w:snapToGrid w:val="0"/>
              </w:rPr>
              <w:t>e</w:t>
            </w:r>
            <w:r w:rsidRPr="008D0477">
              <w:rPr>
                <w:rFonts w:cs="Arial"/>
                <w:i/>
                <w:snapToGrid w:val="0"/>
              </w:rPr>
              <w:t xml:space="preserve"> and then move to the next admission type. </w:t>
            </w:r>
          </w:p>
          <w:p w14:paraId="4ED586C9" w14:textId="77777777" w:rsidR="005A2026" w:rsidRPr="008D0477" w:rsidRDefault="005A2026" w:rsidP="00F843FE">
            <w:pPr>
              <w:ind w:left="360"/>
              <w:contextualSpacing/>
              <w:rPr>
                <w:rFonts w:cs="Arial"/>
                <w:i/>
                <w:snapToGrid w:val="0"/>
              </w:rPr>
            </w:pPr>
          </w:p>
          <w:p w14:paraId="76BB74E5" w14:textId="39A7EC8C" w:rsidR="005A2026" w:rsidRPr="008D0477" w:rsidRDefault="005A2026" w:rsidP="00F843FE">
            <w:pPr>
              <w:ind w:left="360"/>
              <w:contextualSpacing/>
              <w:rPr>
                <w:rFonts w:cs="Arial"/>
                <w:i/>
                <w:snapToGrid w:val="0"/>
              </w:rPr>
            </w:pPr>
            <w:r w:rsidRPr="008D0477">
              <w:rPr>
                <w:rFonts w:cs="Arial"/>
                <w:i/>
                <w:snapToGrid w:val="0"/>
              </w:rPr>
              <w:t>For columns c</w:t>
            </w:r>
            <w:r>
              <w:rPr>
                <w:rFonts w:cs="Arial"/>
                <w:i/>
                <w:snapToGrid w:val="0"/>
              </w:rPr>
              <w:t>,</w:t>
            </w:r>
            <w:r w:rsidRPr="008D0477">
              <w:rPr>
                <w:rFonts w:cs="Arial"/>
                <w:i/>
                <w:snapToGrid w:val="0"/>
              </w:rPr>
              <w:t xml:space="preserve"> </w:t>
            </w:r>
            <w:r>
              <w:rPr>
                <w:rFonts w:cs="Arial"/>
                <w:i/>
                <w:snapToGrid w:val="0"/>
              </w:rPr>
              <w:t xml:space="preserve">d, </w:t>
            </w:r>
            <w:r w:rsidRPr="008D0477">
              <w:rPr>
                <w:rFonts w:cs="Arial"/>
                <w:i/>
                <w:snapToGrid w:val="0"/>
              </w:rPr>
              <w:t xml:space="preserve">and </w:t>
            </w:r>
            <w:r>
              <w:rPr>
                <w:rFonts w:cs="Arial"/>
                <w:i/>
                <w:snapToGrid w:val="0"/>
              </w:rPr>
              <w:t>e</w:t>
            </w:r>
            <w:r w:rsidRPr="008D0477">
              <w:rPr>
                <w:rFonts w:cs="Arial"/>
                <w:i/>
                <w:snapToGrid w:val="0"/>
              </w:rPr>
              <w:t>, enter hours and minutes up to one decimal place (e.g., enter 1.5 to denote 1 hour and 30 minutes).</w:t>
            </w:r>
          </w:p>
          <w:p w14:paraId="44E34DCF" w14:textId="5E12AACD" w:rsidR="005A2026" w:rsidRPr="008D0477" w:rsidRDefault="005A2026" w:rsidP="00F843FE">
            <w:pPr>
              <w:ind w:left="360"/>
              <w:contextualSpacing/>
              <w:rPr>
                <w:rFonts w:cs="Arial"/>
                <w:i/>
                <w:snapToGrid w:val="0"/>
              </w:rPr>
            </w:pPr>
          </w:p>
        </w:tc>
      </w:tr>
      <w:tr w:rsidR="005A2026" w:rsidRPr="008D0477" w14:paraId="1D602917" w14:textId="77777777" w:rsidTr="00786FF3">
        <w:trPr>
          <w:trHeight w:val="223"/>
        </w:trPr>
        <w:tc>
          <w:tcPr>
            <w:tcW w:w="2172" w:type="dxa"/>
            <w:vMerge w:val="restart"/>
            <w:vAlign w:val="center"/>
          </w:tcPr>
          <w:p w14:paraId="57969BB9" w14:textId="2D0DEDA9" w:rsidR="005A2026" w:rsidRPr="008D0477" w:rsidRDefault="005A2026" w:rsidP="00B32532">
            <w:pPr>
              <w:contextualSpacing/>
              <w:rPr>
                <w:rFonts w:cs="Arial"/>
                <w:b/>
              </w:rPr>
            </w:pPr>
            <w:bookmarkStart w:id="501" w:name="_Hlk190864625"/>
            <w:r w:rsidRPr="008D0477">
              <w:rPr>
                <w:rFonts w:cs="Arial"/>
                <w:b/>
              </w:rPr>
              <w:t>Admission Type</w:t>
            </w:r>
          </w:p>
        </w:tc>
        <w:tc>
          <w:tcPr>
            <w:tcW w:w="8092" w:type="dxa"/>
            <w:gridSpan w:val="5"/>
            <w:shd w:val="clear" w:color="auto" w:fill="D9D9D9" w:themeFill="background1" w:themeFillShade="D9"/>
          </w:tcPr>
          <w:p w14:paraId="47E0FD3F" w14:textId="5499D3F9" w:rsidR="005A2026" w:rsidRPr="008D0477" w:rsidRDefault="005A2026">
            <w:pPr>
              <w:ind w:left="360"/>
              <w:contextualSpacing/>
              <w:jc w:val="center"/>
              <w:rPr>
                <w:rFonts w:cs="Arial"/>
                <w:b/>
              </w:rPr>
            </w:pPr>
            <w:r w:rsidRPr="008D0477">
              <w:rPr>
                <w:rFonts w:cs="Arial"/>
                <w:b/>
              </w:rPr>
              <w:t>ED Visits, Boarding Time, and Time Spent in the ED</w:t>
            </w:r>
          </w:p>
        </w:tc>
      </w:tr>
      <w:tr w:rsidR="005A2026" w:rsidRPr="008D0477" w14:paraId="219C81C4" w14:textId="77777777" w:rsidTr="003D7FDF">
        <w:trPr>
          <w:trHeight w:val="141"/>
        </w:trPr>
        <w:tc>
          <w:tcPr>
            <w:tcW w:w="2172" w:type="dxa"/>
            <w:vMerge/>
            <w:vAlign w:val="center"/>
          </w:tcPr>
          <w:p w14:paraId="0D150A9C" w14:textId="77777777" w:rsidR="005A2026" w:rsidRPr="008D0477" w:rsidRDefault="005A2026">
            <w:pPr>
              <w:ind w:left="360"/>
              <w:contextualSpacing/>
              <w:rPr>
                <w:rFonts w:cs="Arial"/>
                <w:b/>
              </w:rPr>
            </w:pPr>
          </w:p>
        </w:tc>
        <w:tc>
          <w:tcPr>
            <w:tcW w:w="1629" w:type="dxa"/>
            <w:vAlign w:val="center"/>
          </w:tcPr>
          <w:p w14:paraId="7B44BF6F" w14:textId="77777777" w:rsidR="005A2026" w:rsidRPr="008D0477" w:rsidRDefault="005A2026">
            <w:pPr>
              <w:contextualSpacing/>
              <w:rPr>
                <w:rFonts w:cs="Arial"/>
                <w:b/>
              </w:rPr>
            </w:pPr>
            <w:r w:rsidRPr="008D0477">
              <w:rPr>
                <w:rFonts w:cs="Arial"/>
                <w:b/>
              </w:rPr>
              <w:t>(a)</w:t>
            </w:r>
          </w:p>
          <w:p w14:paraId="17711171" w14:textId="4C34AB8D" w:rsidR="005A2026" w:rsidRPr="008D0477" w:rsidRDefault="005A2026">
            <w:pPr>
              <w:contextualSpacing/>
              <w:rPr>
                <w:rFonts w:cs="Arial"/>
                <w:b/>
              </w:rPr>
            </w:pPr>
            <w:r w:rsidRPr="008D0477">
              <w:rPr>
                <w:rFonts w:cs="Arial"/>
                <w:b/>
              </w:rPr>
              <w:t xml:space="preserve">Total number of ED </w:t>
            </w:r>
            <w:r w:rsidRPr="008D0477">
              <w:rPr>
                <w:rFonts w:cs="Arial"/>
                <w:b/>
                <w:u w:val="single"/>
              </w:rPr>
              <w:t>visits</w:t>
            </w:r>
            <w:r w:rsidRPr="008D0477">
              <w:rPr>
                <w:rFonts w:cs="Arial"/>
                <w:b/>
              </w:rPr>
              <w:t xml:space="preserve"> with an inpatient admission or </w:t>
            </w:r>
            <w:r w:rsidRPr="008D0477">
              <w:rPr>
                <w:rFonts w:cs="Arial"/>
                <w:b/>
                <w:bCs/>
              </w:rPr>
              <w:t>where the patient was placed in</w:t>
            </w:r>
            <w:r w:rsidRPr="008D0477">
              <w:rPr>
                <w:bCs/>
                <w:i/>
                <w:iCs/>
              </w:rPr>
              <w:t xml:space="preserve"> </w:t>
            </w:r>
            <w:r w:rsidRPr="008D0477">
              <w:rPr>
                <w:rFonts w:cs="Arial"/>
                <w:b/>
              </w:rPr>
              <w:t>hospital observation status</w:t>
            </w:r>
          </w:p>
        </w:tc>
        <w:tc>
          <w:tcPr>
            <w:tcW w:w="1629" w:type="dxa"/>
          </w:tcPr>
          <w:p w14:paraId="67B6E94D" w14:textId="49EFBFD3" w:rsidR="005A2026" w:rsidRPr="008D0477" w:rsidRDefault="005A2026" w:rsidP="00AB4CC0">
            <w:pPr>
              <w:contextualSpacing/>
              <w:rPr>
                <w:rFonts w:cs="Arial"/>
                <w:b/>
              </w:rPr>
            </w:pPr>
            <w:r w:rsidRPr="008D0477">
              <w:rPr>
                <w:rFonts w:cs="Arial"/>
                <w:b/>
              </w:rPr>
              <w:t>(b)</w:t>
            </w:r>
          </w:p>
          <w:p w14:paraId="6F211339" w14:textId="77777777" w:rsidR="005A2026" w:rsidRPr="008D0477" w:rsidRDefault="005A2026" w:rsidP="00AB4CC0">
            <w:pPr>
              <w:contextualSpacing/>
              <w:rPr>
                <w:rFonts w:cs="Arial"/>
                <w:b/>
              </w:rPr>
            </w:pPr>
            <w:r w:rsidRPr="008D0477">
              <w:rPr>
                <w:rFonts w:cs="Arial"/>
                <w:b/>
              </w:rPr>
              <w:t xml:space="preserve">Number of ED </w:t>
            </w:r>
            <w:r w:rsidRPr="008D0477">
              <w:rPr>
                <w:rFonts w:cs="Arial"/>
                <w:b/>
                <w:u w:val="single"/>
              </w:rPr>
              <w:t>visits</w:t>
            </w:r>
            <w:r w:rsidRPr="008D0477">
              <w:rPr>
                <w:rFonts w:cs="Arial"/>
                <w:b/>
              </w:rPr>
              <w:t xml:space="preserve"> indicated in column (a) with a boarding time greater than 4 hours</w:t>
            </w:r>
          </w:p>
        </w:tc>
        <w:tc>
          <w:tcPr>
            <w:tcW w:w="1574" w:type="dxa"/>
          </w:tcPr>
          <w:p w14:paraId="70270081" w14:textId="6246E648" w:rsidR="00226A35" w:rsidRPr="00AE0D23" w:rsidRDefault="00226A35" w:rsidP="00AB4CC0">
            <w:pPr>
              <w:contextualSpacing/>
              <w:rPr>
                <w:rFonts w:cs="Arial"/>
                <w:b/>
              </w:rPr>
            </w:pPr>
            <w:r w:rsidRPr="00AE0D23">
              <w:rPr>
                <w:rFonts w:cs="Arial"/>
                <w:b/>
              </w:rPr>
              <w:t xml:space="preserve">(c) </w:t>
            </w:r>
          </w:p>
          <w:p w14:paraId="169570FB" w14:textId="6F1DD34B" w:rsidR="005A2026" w:rsidRPr="008D0477" w:rsidRDefault="00226A35" w:rsidP="00AB4CC0">
            <w:pPr>
              <w:contextualSpacing/>
              <w:rPr>
                <w:rFonts w:cs="Arial"/>
                <w:b/>
              </w:rPr>
            </w:pPr>
            <w:r w:rsidRPr="00AE0D23">
              <w:rPr>
                <w:rFonts w:cs="Arial"/>
                <w:b/>
              </w:rPr>
              <w:t xml:space="preserve">Total </w:t>
            </w:r>
            <w:r w:rsidR="0030507E">
              <w:rPr>
                <w:rFonts w:cs="Arial"/>
                <w:b/>
              </w:rPr>
              <w:t>b</w:t>
            </w:r>
            <w:r w:rsidRPr="00AE0D23">
              <w:rPr>
                <w:rFonts w:cs="Arial"/>
                <w:b/>
              </w:rPr>
              <w:t xml:space="preserve">oarding </w:t>
            </w:r>
            <w:r w:rsidR="00960CA5">
              <w:rPr>
                <w:rFonts w:cs="Arial"/>
                <w:b/>
              </w:rPr>
              <w:t>t</w:t>
            </w:r>
            <w:r w:rsidRPr="00AE0D23">
              <w:rPr>
                <w:rFonts w:cs="Arial"/>
                <w:b/>
              </w:rPr>
              <w:t>ime (</w:t>
            </w:r>
            <w:r w:rsidR="001B2535">
              <w:rPr>
                <w:rFonts w:cs="Arial"/>
                <w:b/>
              </w:rPr>
              <w:t xml:space="preserve">in </w:t>
            </w:r>
            <w:r w:rsidRPr="00AE0D23">
              <w:rPr>
                <w:rFonts w:cs="Arial"/>
                <w:b/>
              </w:rPr>
              <w:t>hours) for ED visits indicated in column (a)</w:t>
            </w:r>
          </w:p>
        </w:tc>
        <w:tc>
          <w:tcPr>
            <w:tcW w:w="1574" w:type="dxa"/>
          </w:tcPr>
          <w:p w14:paraId="62EB7342" w14:textId="0EFB3373" w:rsidR="005A2026" w:rsidRPr="008D0477" w:rsidRDefault="005A2026" w:rsidP="00AB4CC0">
            <w:pPr>
              <w:contextualSpacing/>
              <w:rPr>
                <w:rFonts w:cs="Arial"/>
                <w:b/>
              </w:rPr>
            </w:pPr>
            <w:r w:rsidRPr="008D0477">
              <w:rPr>
                <w:rFonts w:cs="Arial"/>
                <w:b/>
              </w:rPr>
              <w:t>(</w:t>
            </w:r>
            <w:r w:rsidR="00226A35">
              <w:rPr>
                <w:rFonts w:cs="Arial"/>
                <w:b/>
              </w:rPr>
              <w:t>d</w:t>
            </w:r>
            <w:r w:rsidRPr="008D0477">
              <w:rPr>
                <w:rFonts w:cs="Arial"/>
                <w:b/>
              </w:rPr>
              <w:t xml:space="preserve">) </w:t>
            </w:r>
          </w:p>
          <w:p w14:paraId="7DB1870F" w14:textId="77777777" w:rsidR="005A2026" w:rsidRPr="008D0477" w:rsidRDefault="005A2026" w:rsidP="00AB4CC0">
            <w:pPr>
              <w:contextualSpacing/>
              <w:rPr>
                <w:rFonts w:cs="Arial"/>
                <w:b/>
              </w:rPr>
            </w:pPr>
            <w:r w:rsidRPr="008D0477">
              <w:rPr>
                <w:rFonts w:cs="Arial"/>
                <w:b/>
              </w:rPr>
              <w:t xml:space="preserve">Median number of </w:t>
            </w:r>
            <w:r w:rsidRPr="008D0477">
              <w:rPr>
                <w:rFonts w:cs="Arial"/>
                <w:b/>
                <w:u w:val="single"/>
              </w:rPr>
              <w:t>hours</w:t>
            </w:r>
            <w:r w:rsidRPr="008D0477">
              <w:rPr>
                <w:rFonts w:cs="Arial"/>
                <w:b/>
              </w:rPr>
              <w:t xml:space="preserve"> spent in the ED for ED visits indicated in column (a)</w:t>
            </w:r>
          </w:p>
        </w:tc>
        <w:tc>
          <w:tcPr>
            <w:tcW w:w="1684" w:type="dxa"/>
          </w:tcPr>
          <w:p w14:paraId="1E9753B8" w14:textId="55F18CA8" w:rsidR="005A2026" w:rsidRPr="008D0477" w:rsidRDefault="005A2026" w:rsidP="00AB4CC0">
            <w:pPr>
              <w:contextualSpacing/>
              <w:rPr>
                <w:rFonts w:cs="Arial"/>
                <w:b/>
              </w:rPr>
            </w:pPr>
            <w:r w:rsidRPr="008D0477">
              <w:rPr>
                <w:rFonts w:cs="Arial"/>
                <w:b/>
              </w:rPr>
              <w:t>(</w:t>
            </w:r>
            <w:r w:rsidR="00226A35">
              <w:rPr>
                <w:rFonts w:cs="Arial"/>
                <w:b/>
              </w:rPr>
              <w:t>e</w:t>
            </w:r>
            <w:r w:rsidRPr="008D0477">
              <w:rPr>
                <w:rFonts w:cs="Arial"/>
                <w:b/>
              </w:rPr>
              <w:t xml:space="preserve">) </w:t>
            </w:r>
          </w:p>
          <w:p w14:paraId="2E738AB1" w14:textId="77777777" w:rsidR="005A2026" w:rsidRPr="008D0477" w:rsidRDefault="005A2026" w:rsidP="00AB4CC0">
            <w:pPr>
              <w:contextualSpacing/>
              <w:rPr>
                <w:rFonts w:cs="Arial"/>
                <w:b/>
              </w:rPr>
            </w:pPr>
            <w:r w:rsidRPr="008D0477">
              <w:rPr>
                <w:rFonts w:cs="Arial"/>
                <w:b/>
              </w:rPr>
              <w:t>90</w:t>
            </w:r>
            <w:r w:rsidRPr="008D0477">
              <w:rPr>
                <w:rFonts w:cs="Arial"/>
                <w:b/>
                <w:vertAlign w:val="superscript"/>
              </w:rPr>
              <w:t>th</w:t>
            </w:r>
            <w:r w:rsidRPr="008D0477">
              <w:rPr>
                <w:rFonts w:cs="Arial"/>
                <w:b/>
              </w:rPr>
              <w:t xml:space="preserve"> percentile of </w:t>
            </w:r>
            <w:r w:rsidRPr="008D0477">
              <w:rPr>
                <w:rFonts w:cs="Arial"/>
                <w:b/>
                <w:u w:val="single"/>
              </w:rPr>
              <w:t>hours</w:t>
            </w:r>
            <w:r w:rsidRPr="008D0477">
              <w:rPr>
                <w:rFonts w:cs="Arial"/>
                <w:b/>
              </w:rPr>
              <w:t xml:space="preserve"> spent in the ED for ED visits indicated in column (a)</w:t>
            </w:r>
          </w:p>
        </w:tc>
      </w:tr>
      <w:tr w:rsidR="005A2026" w:rsidRPr="008D0477" w14:paraId="716BA6E0" w14:textId="77777777" w:rsidTr="003D7FDF">
        <w:trPr>
          <w:trHeight w:val="670"/>
        </w:trPr>
        <w:tc>
          <w:tcPr>
            <w:tcW w:w="2172" w:type="dxa"/>
          </w:tcPr>
          <w:p w14:paraId="0C2B1166" w14:textId="6094589A" w:rsidR="005A2026" w:rsidRPr="008D0477" w:rsidRDefault="005A2026">
            <w:pPr>
              <w:rPr>
                <w:rFonts w:cs="Arial"/>
              </w:rPr>
            </w:pPr>
            <w:r w:rsidRPr="008D0477">
              <w:rPr>
                <w:rFonts w:cs="Arial"/>
              </w:rPr>
              <w:t xml:space="preserve">Admitted to an </w:t>
            </w:r>
            <w:r>
              <w:rPr>
                <w:rFonts w:cs="Arial"/>
              </w:rPr>
              <w:t xml:space="preserve">adult </w:t>
            </w:r>
            <w:r w:rsidRPr="008D0477">
              <w:rPr>
                <w:rFonts w:cs="Arial"/>
              </w:rPr>
              <w:t xml:space="preserve">inpatient </w:t>
            </w:r>
            <w:r w:rsidRPr="008D0477">
              <w:rPr>
                <w:rFonts w:cs="Arial"/>
                <w:b/>
                <w:bCs/>
              </w:rPr>
              <w:t>non-psychiatric bed</w:t>
            </w:r>
          </w:p>
        </w:tc>
        <w:tc>
          <w:tcPr>
            <w:tcW w:w="1629" w:type="dxa"/>
            <w:vAlign w:val="center"/>
          </w:tcPr>
          <w:p w14:paraId="6B473DAF" w14:textId="77777777" w:rsidR="005A2026" w:rsidRPr="008D0477" w:rsidRDefault="005A2026">
            <w:pPr>
              <w:ind w:left="360"/>
              <w:contextualSpacing/>
              <w:rPr>
                <w:rFonts w:cs="Arial"/>
                <w:b/>
              </w:rPr>
            </w:pPr>
          </w:p>
        </w:tc>
        <w:tc>
          <w:tcPr>
            <w:tcW w:w="1629" w:type="dxa"/>
            <w:vAlign w:val="center"/>
          </w:tcPr>
          <w:p w14:paraId="2716554B" w14:textId="77777777" w:rsidR="005A2026" w:rsidRPr="008D0477" w:rsidRDefault="005A2026">
            <w:pPr>
              <w:ind w:left="360"/>
              <w:contextualSpacing/>
              <w:rPr>
                <w:rFonts w:cs="Arial"/>
                <w:b/>
              </w:rPr>
            </w:pPr>
          </w:p>
        </w:tc>
        <w:tc>
          <w:tcPr>
            <w:tcW w:w="1574" w:type="dxa"/>
          </w:tcPr>
          <w:p w14:paraId="6BDC7B49" w14:textId="77777777" w:rsidR="005A2026" w:rsidRPr="008D0477" w:rsidRDefault="005A2026">
            <w:pPr>
              <w:ind w:left="360"/>
              <w:contextualSpacing/>
              <w:rPr>
                <w:rFonts w:cs="Arial"/>
                <w:b/>
              </w:rPr>
            </w:pPr>
          </w:p>
        </w:tc>
        <w:tc>
          <w:tcPr>
            <w:tcW w:w="1574" w:type="dxa"/>
            <w:vAlign w:val="center"/>
          </w:tcPr>
          <w:p w14:paraId="1ED2D552" w14:textId="31FDACD7" w:rsidR="005A2026" w:rsidRPr="008D0477" w:rsidRDefault="005A2026">
            <w:pPr>
              <w:ind w:left="360"/>
              <w:contextualSpacing/>
              <w:rPr>
                <w:rFonts w:cs="Arial"/>
                <w:b/>
              </w:rPr>
            </w:pPr>
          </w:p>
        </w:tc>
        <w:tc>
          <w:tcPr>
            <w:tcW w:w="1684" w:type="dxa"/>
            <w:vAlign w:val="center"/>
          </w:tcPr>
          <w:p w14:paraId="194E71AD" w14:textId="77777777" w:rsidR="005A2026" w:rsidRPr="008D0477" w:rsidRDefault="005A2026">
            <w:pPr>
              <w:ind w:left="360"/>
              <w:contextualSpacing/>
              <w:rPr>
                <w:rFonts w:cs="Arial"/>
                <w:b/>
              </w:rPr>
            </w:pPr>
          </w:p>
        </w:tc>
      </w:tr>
      <w:tr w:rsidR="005A2026" w:rsidRPr="008D0477" w14:paraId="1350D812" w14:textId="77777777" w:rsidTr="003D7FDF">
        <w:trPr>
          <w:trHeight w:val="492"/>
        </w:trPr>
        <w:tc>
          <w:tcPr>
            <w:tcW w:w="2172" w:type="dxa"/>
          </w:tcPr>
          <w:p w14:paraId="49EDE5F2" w14:textId="7DA18955" w:rsidR="005A2026" w:rsidRPr="008D0477" w:rsidRDefault="005A2026">
            <w:pPr>
              <w:rPr>
                <w:rFonts w:cs="Arial"/>
                <w:b/>
                <w:bCs/>
              </w:rPr>
            </w:pPr>
            <w:r w:rsidRPr="008D0477">
              <w:rPr>
                <w:rFonts w:cs="Arial"/>
              </w:rPr>
              <w:t xml:space="preserve">Admitted to an </w:t>
            </w:r>
            <w:r>
              <w:rPr>
                <w:rFonts w:cs="Arial"/>
              </w:rPr>
              <w:t xml:space="preserve">adult </w:t>
            </w:r>
            <w:r w:rsidRPr="008D0477">
              <w:rPr>
                <w:rFonts w:cs="Arial"/>
              </w:rPr>
              <w:t xml:space="preserve">inpatient </w:t>
            </w:r>
            <w:r w:rsidRPr="008D0477">
              <w:rPr>
                <w:rFonts w:cs="Arial"/>
                <w:b/>
                <w:bCs/>
              </w:rPr>
              <w:t>psychiatric bed</w:t>
            </w:r>
          </w:p>
        </w:tc>
        <w:tc>
          <w:tcPr>
            <w:tcW w:w="1629" w:type="dxa"/>
            <w:vAlign w:val="center"/>
          </w:tcPr>
          <w:p w14:paraId="469B5772" w14:textId="77777777" w:rsidR="005A2026" w:rsidRPr="008D0477" w:rsidRDefault="005A2026">
            <w:pPr>
              <w:ind w:left="360"/>
              <w:contextualSpacing/>
              <w:rPr>
                <w:rFonts w:cs="Arial"/>
                <w:b/>
              </w:rPr>
            </w:pPr>
          </w:p>
        </w:tc>
        <w:tc>
          <w:tcPr>
            <w:tcW w:w="1629" w:type="dxa"/>
            <w:vAlign w:val="center"/>
          </w:tcPr>
          <w:p w14:paraId="507684C8" w14:textId="77777777" w:rsidR="005A2026" w:rsidRPr="008D0477" w:rsidRDefault="005A2026">
            <w:pPr>
              <w:ind w:left="360"/>
              <w:contextualSpacing/>
              <w:rPr>
                <w:rFonts w:cs="Arial"/>
                <w:b/>
              </w:rPr>
            </w:pPr>
          </w:p>
        </w:tc>
        <w:tc>
          <w:tcPr>
            <w:tcW w:w="1574" w:type="dxa"/>
          </w:tcPr>
          <w:p w14:paraId="4F957E47" w14:textId="77777777" w:rsidR="005A2026" w:rsidRPr="008D0477" w:rsidRDefault="005A2026">
            <w:pPr>
              <w:ind w:left="360"/>
              <w:contextualSpacing/>
              <w:rPr>
                <w:rFonts w:cs="Arial"/>
                <w:b/>
              </w:rPr>
            </w:pPr>
          </w:p>
        </w:tc>
        <w:tc>
          <w:tcPr>
            <w:tcW w:w="1574" w:type="dxa"/>
            <w:vAlign w:val="center"/>
          </w:tcPr>
          <w:p w14:paraId="6DD0DAB9" w14:textId="619FEEB5" w:rsidR="005A2026" w:rsidRPr="008D0477" w:rsidRDefault="005A2026">
            <w:pPr>
              <w:ind w:left="360"/>
              <w:contextualSpacing/>
              <w:rPr>
                <w:rFonts w:cs="Arial"/>
                <w:b/>
              </w:rPr>
            </w:pPr>
          </w:p>
        </w:tc>
        <w:tc>
          <w:tcPr>
            <w:tcW w:w="1684" w:type="dxa"/>
            <w:vAlign w:val="center"/>
          </w:tcPr>
          <w:p w14:paraId="0063E4E5" w14:textId="77777777" w:rsidR="005A2026" w:rsidRPr="008D0477" w:rsidRDefault="005A2026">
            <w:pPr>
              <w:ind w:left="360"/>
              <w:contextualSpacing/>
              <w:rPr>
                <w:rFonts w:cs="Arial"/>
                <w:b/>
              </w:rPr>
            </w:pPr>
          </w:p>
        </w:tc>
      </w:tr>
      <w:bookmarkEnd w:id="501"/>
    </w:tbl>
    <w:p w14:paraId="068F0B40" w14:textId="77777777" w:rsidR="00CA7E7D" w:rsidRPr="008D0477" w:rsidRDefault="00CA7E7D">
      <w:pPr>
        <w:rPr>
          <w:b/>
          <w:snapToGrid w:val="0"/>
          <w:color w:val="000000"/>
        </w:rPr>
      </w:pPr>
    </w:p>
    <w:p w14:paraId="64490DA1" w14:textId="4F74A63C" w:rsidR="000C5F0A" w:rsidRPr="008D0477" w:rsidRDefault="000C5F0A" w:rsidP="000C5F0A">
      <w:r w:rsidRPr="008D0477">
        <w:rPr>
          <w:bCs/>
          <w:i/>
          <w:iCs/>
        </w:rPr>
        <w:t xml:space="preserve">If “Pediatric only” or “Adult/Pediatric combined” to question #3, answer question #5 based on the </w:t>
      </w:r>
      <w:r w:rsidRPr="002A52C4">
        <w:rPr>
          <w:bCs/>
          <w:i/>
          <w:iCs/>
        </w:rPr>
        <w:t>patients</w:t>
      </w:r>
      <w:r w:rsidRPr="001718CF">
        <w:rPr>
          <w:bCs/>
          <w:i/>
          <w:iCs/>
        </w:rPr>
        <w:t xml:space="preserve"> </w:t>
      </w:r>
      <w:r w:rsidRPr="008D0477">
        <w:rPr>
          <w:bCs/>
          <w:i/>
          <w:iCs/>
        </w:rPr>
        <w:t>admitted to</w:t>
      </w:r>
      <w:r w:rsidR="00EE715A">
        <w:rPr>
          <w:bCs/>
          <w:i/>
          <w:iCs/>
        </w:rPr>
        <w:t xml:space="preserve"> pediatric</w:t>
      </w:r>
      <w:r w:rsidRPr="008D0477">
        <w:rPr>
          <w:bCs/>
          <w:i/>
          <w:iCs/>
        </w:rPr>
        <w:t xml:space="preserve"> inpatient non-psychiatric and psychiatric beds</w:t>
      </w:r>
      <w:r w:rsidR="00602AD9" w:rsidRPr="008D0477">
        <w:rPr>
          <w:bCs/>
          <w:i/>
          <w:iCs/>
        </w:rPr>
        <w:t xml:space="preserve"> (</w:t>
      </w:r>
      <w:r w:rsidR="00FF3D38" w:rsidRPr="008D0477">
        <w:rPr>
          <w:bCs/>
          <w:i/>
          <w:iCs/>
        </w:rPr>
        <w:t xml:space="preserve">including </w:t>
      </w:r>
      <w:r w:rsidR="00FF3D38" w:rsidRPr="008D0477">
        <w:rPr>
          <w:rFonts w:cs="Arial"/>
          <w:i/>
          <w:iCs/>
        </w:rPr>
        <w:t>ED visits where the patient was placed in</w:t>
      </w:r>
      <w:r w:rsidR="00FF3D38" w:rsidRPr="008D0477">
        <w:rPr>
          <w:bCs/>
          <w:i/>
          <w:iCs/>
        </w:rPr>
        <w:t xml:space="preserve"> </w:t>
      </w:r>
      <w:r w:rsidR="00602AD9" w:rsidRPr="008D0477">
        <w:rPr>
          <w:bCs/>
          <w:i/>
          <w:iCs/>
        </w:rPr>
        <w:t>hospital observation status).</w:t>
      </w:r>
    </w:p>
    <w:p w14:paraId="01F0CAD3" w14:textId="77777777" w:rsidR="005E0132" w:rsidRPr="008D0477" w:rsidRDefault="005E0132">
      <w:pPr>
        <w:rPr>
          <w:b/>
          <w:snapToGrid w:val="0"/>
          <w:color w:val="000000"/>
        </w:rPr>
      </w:pPr>
    </w:p>
    <w:tbl>
      <w:tblPr>
        <w:tblW w:w="102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76"/>
        <w:gridCol w:w="1631"/>
        <w:gridCol w:w="1631"/>
        <w:gridCol w:w="1576"/>
        <w:gridCol w:w="1576"/>
        <w:gridCol w:w="1687"/>
        <w:gridCol w:w="8"/>
      </w:tblGrid>
      <w:tr w:rsidR="00DD3734" w:rsidRPr="008D0477" w14:paraId="2C85E42D" w14:textId="77777777" w:rsidTr="00DD3734">
        <w:trPr>
          <w:trHeight w:val="1459"/>
        </w:trPr>
        <w:tc>
          <w:tcPr>
            <w:tcW w:w="10285" w:type="dxa"/>
            <w:gridSpan w:val="7"/>
          </w:tcPr>
          <w:p w14:paraId="0DA1AF90" w14:textId="47D367ED" w:rsidR="00DD3734" w:rsidRPr="008D0477" w:rsidRDefault="00CA6006" w:rsidP="00AD309C">
            <w:pPr>
              <w:numPr>
                <w:ilvl w:val="0"/>
                <w:numId w:val="405"/>
              </w:numPr>
              <w:contextualSpacing/>
              <w:rPr>
                <w:rFonts w:cs="Arial"/>
                <w:i/>
                <w:snapToGrid w:val="0"/>
              </w:rPr>
            </w:pPr>
            <w:r>
              <w:rPr>
                <w:rFonts w:cs="Arial"/>
              </w:rPr>
              <w:t>E</w:t>
            </w:r>
            <w:r w:rsidR="00DD3734" w:rsidRPr="008D0477">
              <w:rPr>
                <w:rFonts w:cs="Arial"/>
              </w:rPr>
              <w:t>nter your hospital’s total number of emergency department (ED) visits with an admission to a</w:t>
            </w:r>
            <w:r w:rsidR="00BD6B50">
              <w:rPr>
                <w:rFonts w:cs="Arial"/>
              </w:rPr>
              <w:t xml:space="preserve"> pediatric </w:t>
            </w:r>
            <w:r w:rsidR="00DD3734" w:rsidRPr="008D0477">
              <w:rPr>
                <w:rFonts w:cs="Arial"/>
              </w:rPr>
              <w:t>inpatient non-psychiatric or psychiatric bed (</w:t>
            </w:r>
            <w:r w:rsidR="00DD3734" w:rsidRPr="008D0477">
              <w:rPr>
                <w:bCs/>
              </w:rPr>
              <w:t xml:space="preserve">including </w:t>
            </w:r>
            <w:r w:rsidR="00DD3734" w:rsidRPr="008D0477">
              <w:rPr>
                <w:rFonts w:cs="Arial"/>
              </w:rPr>
              <w:t>ED visits where the patient was placed in</w:t>
            </w:r>
            <w:r w:rsidR="00DD3734" w:rsidRPr="008D0477">
              <w:rPr>
                <w:bCs/>
                <w:i/>
                <w:iCs/>
              </w:rPr>
              <w:t xml:space="preserve"> </w:t>
            </w:r>
            <w:r w:rsidR="00DD3734" w:rsidRPr="008D0477">
              <w:rPr>
                <w:rFonts w:cs="Arial"/>
              </w:rPr>
              <w:t>hospital observation status)</w:t>
            </w:r>
            <w:r w:rsidR="005C134F">
              <w:rPr>
                <w:rFonts w:cs="Arial"/>
              </w:rPr>
              <w:t xml:space="preserve"> in column (a)</w:t>
            </w:r>
            <w:r w:rsidR="00DD3734" w:rsidRPr="008D0477">
              <w:rPr>
                <w:rFonts w:cs="Arial"/>
              </w:rPr>
              <w:t xml:space="preserve">, the number of those ED visits </w:t>
            </w:r>
            <w:r w:rsidR="005C134F">
              <w:rPr>
                <w:rFonts w:cs="Arial"/>
              </w:rPr>
              <w:t xml:space="preserve">indicated in column (a) </w:t>
            </w:r>
            <w:r w:rsidR="00DD3734" w:rsidRPr="008D0477">
              <w:rPr>
                <w:rFonts w:cs="Arial"/>
              </w:rPr>
              <w:t xml:space="preserve">with a boarding time greater than 4 hours, </w:t>
            </w:r>
            <w:r w:rsidR="00A817CC" w:rsidRPr="003A03BA">
              <w:rPr>
                <w:rFonts w:cs="Arial"/>
              </w:rPr>
              <w:t>the total boarding time (</w:t>
            </w:r>
            <w:r w:rsidR="00167577">
              <w:rPr>
                <w:rFonts w:cs="Arial"/>
              </w:rPr>
              <w:t xml:space="preserve">in </w:t>
            </w:r>
            <w:r w:rsidR="00A817CC" w:rsidRPr="003A03BA">
              <w:rPr>
                <w:rFonts w:cs="Arial"/>
              </w:rPr>
              <w:t>hours</w:t>
            </w:r>
            <w:r w:rsidR="00960CA5">
              <w:rPr>
                <w:rFonts w:cs="Arial"/>
              </w:rPr>
              <w:t>)</w:t>
            </w:r>
            <w:r w:rsidR="00A817CC" w:rsidRPr="003A03BA">
              <w:rPr>
                <w:rFonts w:cs="Arial"/>
              </w:rPr>
              <w:t xml:space="preserve"> for </w:t>
            </w:r>
            <w:r w:rsidR="005C134F">
              <w:rPr>
                <w:rFonts w:cs="Arial"/>
              </w:rPr>
              <w:t>ED visits indicated in column (a)</w:t>
            </w:r>
            <w:r w:rsidR="00A817CC" w:rsidRPr="00DF3D4F">
              <w:rPr>
                <w:rFonts w:cs="Arial"/>
              </w:rPr>
              <w:t xml:space="preserve">, </w:t>
            </w:r>
            <w:r w:rsidR="00DD3734" w:rsidRPr="008D0477">
              <w:rPr>
                <w:rFonts w:cs="Arial"/>
              </w:rPr>
              <w:t>the median number of hours spent in the ED for</w:t>
            </w:r>
            <w:r w:rsidR="005C134F">
              <w:rPr>
                <w:rFonts w:cs="Arial"/>
              </w:rPr>
              <w:t xml:space="preserve"> ED visits indicated in column (a)</w:t>
            </w:r>
            <w:r w:rsidR="00DD3734" w:rsidRPr="008D0477">
              <w:rPr>
                <w:rFonts w:cs="Arial"/>
              </w:rPr>
              <w:t>, and the 90</w:t>
            </w:r>
            <w:r w:rsidR="00DD3734" w:rsidRPr="008D0477">
              <w:rPr>
                <w:rFonts w:cs="Arial"/>
                <w:vertAlign w:val="superscript"/>
              </w:rPr>
              <w:t>th</w:t>
            </w:r>
            <w:r w:rsidR="00DD3734" w:rsidRPr="008D0477">
              <w:rPr>
                <w:rFonts w:cs="Arial"/>
              </w:rPr>
              <w:t xml:space="preserve"> percentile of hours spent in the ED for</w:t>
            </w:r>
            <w:r w:rsidR="005C134F">
              <w:rPr>
                <w:rFonts w:cs="Arial"/>
              </w:rPr>
              <w:t xml:space="preserve"> ED visits indicated in column (a)</w:t>
            </w:r>
            <w:r w:rsidR="00DD3734" w:rsidRPr="008D0477">
              <w:rPr>
                <w:rFonts w:cs="Arial"/>
              </w:rPr>
              <w:t>.</w:t>
            </w:r>
          </w:p>
          <w:p w14:paraId="0ED8CF8E" w14:textId="77777777" w:rsidR="00DD3734" w:rsidRPr="008D0477" w:rsidRDefault="00DD3734" w:rsidP="00BF053F">
            <w:pPr>
              <w:contextualSpacing/>
              <w:rPr>
                <w:rFonts w:cs="Arial"/>
                <w:i/>
                <w:snapToGrid w:val="0"/>
              </w:rPr>
            </w:pPr>
          </w:p>
          <w:p w14:paraId="486ED4F5" w14:textId="0E531321" w:rsidR="00DD3734" w:rsidRPr="008D0477" w:rsidRDefault="00DD3734" w:rsidP="00BF053F">
            <w:pPr>
              <w:ind w:left="360"/>
              <w:contextualSpacing/>
              <w:rPr>
                <w:rFonts w:cs="Arial"/>
                <w:i/>
                <w:snapToGrid w:val="0"/>
              </w:rPr>
            </w:pPr>
            <w:r w:rsidRPr="008D0477">
              <w:rPr>
                <w:rFonts w:cs="Arial"/>
                <w:i/>
                <w:snapToGrid w:val="0"/>
              </w:rPr>
              <w:t xml:space="preserve">If the number of visits for a pediatric admission type is less than 10 (in column a), skip columns b, c, </w:t>
            </w:r>
            <w:r w:rsidR="00D02F95">
              <w:rPr>
                <w:rFonts w:cs="Arial"/>
                <w:i/>
                <w:snapToGrid w:val="0"/>
              </w:rPr>
              <w:t xml:space="preserve">d, </w:t>
            </w:r>
            <w:r w:rsidRPr="008D0477">
              <w:rPr>
                <w:rFonts w:cs="Arial"/>
                <w:i/>
                <w:snapToGrid w:val="0"/>
              </w:rPr>
              <w:t xml:space="preserve">and </w:t>
            </w:r>
            <w:r w:rsidR="00D02F95">
              <w:rPr>
                <w:rFonts w:cs="Arial"/>
                <w:i/>
                <w:snapToGrid w:val="0"/>
              </w:rPr>
              <w:t>e</w:t>
            </w:r>
            <w:r w:rsidRPr="008D0477">
              <w:rPr>
                <w:rFonts w:cs="Arial"/>
                <w:i/>
                <w:snapToGrid w:val="0"/>
              </w:rPr>
              <w:t xml:space="preserve"> and then move to the next admission type. </w:t>
            </w:r>
          </w:p>
          <w:p w14:paraId="34229F22" w14:textId="77777777" w:rsidR="00DD3734" w:rsidRPr="008D0477" w:rsidRDefault="00DD3734" w:rsidP="00BF053F">
            <w:pPr>
              <w:ind w:left="360"/>
              <w:contextualSpacing/>
              <w:rPr>
                <w:rFonts w:cs="Arial"/>
                <w:i/>
                <w:snapToGrid w:val="0"/>
              </w:rPr>
            </w:pPr>
          </w:p>
          <w:p w14:paraId="2F3FB9C3" w14:textId="2411A006" w:rsidR="00DD3734" w:rsidRPr="008D0477" w:rsidRDefault="00DD3734" w:rsidP="00DB35B9">
            <w:pPr>
              <w:ind w:left="360"/>
              <w:contextualSpacing/>
              <w:rPr>
                <w:rFonts w:cs="Arial"/>
                <w:i/>
                <w:snapToGrid w:val="0"/>
              </w:rPr>
            </w:pPr>
            <w:r w:rsidRPr="008D0477">
              <w:rPr>
                <w:rFonts w:cs="Arial"/>
                <w:i/>
                <w:snapToGrid w:val="0"/>
              </w:rPr>
              <w:t>For columns c</w:t>
            </w:r>
            <w:r w:rsidR="00D02F95">
              <w:rPr>
                <w:rFonts w:cs="Arial"/>
                <w:i/>
                <w:snapToGrid w:val="0"/>
              </w:rPr>
              <w:t>,</w:t>
            </w:r>
            <w:r w:rsidRPr="008D0477">
              <w:rPr>
                <w:rFonts w:cs="Arial"/>
                <w:i/>
                <w:snapToGrid w:val="0"/>
              </w:rPr>
              <w:t xml:space="preserve"> </w:t>
            </w:r>
            <w:r w:rsidR="00D02F95">
              <w:rPr>
                <w:rFonts w:cs="Arial"/>
                <w:i/>
                <w:snapToGrid w:val="0"/>
              </w:rPr>
              <w:t xml:space="preserve">d, </w:t>
            </w:r>
            <w:r w:rsidRPr="008D0477">
              <w:rPr>
                <w:rFonts w:cs="Arial"/>
                <w:i/>
                <w:snapToGrid w:val="0"/>
              </w:rPr>
              <w:t xml:space="preserve">and </w:t>
            </w:r>
            <w:r w:rsidR="00D02F95">
              <w:rPr>
                <w:rFonts w:cs="Arial"/>
                <w:i/>
                <w:snapToGrid w:val="0"/>
              </w:rPr>
              <w:t>e</w:t>
            </w:r>
            <w:r w:rsidRPr="008D0477">
              <w:rPr>
                <w:rFonts w:cs="Arial"/>
                <w:i/>
                <w:snapToGrid w:val="0"/>
              </w:rPr>
              <w:t>, enter hours and minutes up to one decimal place (e.g., enter 1.5 to denote 1 hour and 30 minutes).</w:t>
            </w:r>
          </w:p>
          <w:p w14:paraId="2E9F3375" w14:textId="58432A78" w:rsidR="00DD3734" w:rsidRPr="008D0477" w:rsidRDefault="00DD3734" w:rsidP="00BF053F">
            <w:pPr>
              <w:ind w:left="360"/>
              <w:contextualSpacing/>
              <w:rPr>
                <w:rFonts w:cs="Arial"/>
                <w:i/>
                <w:snapToGrid w:val="0"/>
              </w:rPr>
            </w:pPr>
          </w:p>
        </w:tc>
      </w:tr>
      <w:tr w:rsidR="00DD3734" w:rsidRPr="008D0477" w14:paraId="630DEC54" w14:textId="77777777" w:rsidTr="00DD3734">
        <w:trPr>
          <w:trHeight w:val="224"/>
        </w:trPr>
        <w:tc>
          <w:tcPr>
            <w:tcW w:w="2176" w:type="dxa"/>
            <w:vMerge w:val="restart"/>
            <w:vAlign w:val="center"/>
          </w:tcPr>
          <w:p w14:paraId="278F4F91" w14:textId="3D5145C7" w:rsidR="00DD3734" w:rsidRPr="008D0477" w:rsidRDefault="00DD3734" w:rsidP="00F5785C">
            <w:pPr>
              <w:contextualSpacing/>
              <w:rPr>
                <w:rFonts w:cs="Arial"/>
                <w:b/>
              </w:rPr>
            </w:pPr>
            <w:r w:rsidRPr="008D0477">
              <w:rPr>
                <w:rFonts w:cs="Arial"/>
                <w:b/>
              </w:rPr>
              <w:t>Admission Type</w:t>
            </w:r>
          </w:p>
        </w:tc>
        <w:tc>
          <w:tcPr>
            <w:tcW w:w="8109" w:type="dxa"/>
            <w:gridSpan w:val="6"/>
            <w:shd w:val="clear" w:color="auto" w:fill="D9D9D9" w:themeFill="background1" w:themeFillShade="D9"/>
          </w:tcPr>
          <w:p w14:paraId="3FEC3083" w14:textId="3D7A17E5" w:rsidR="00DD3734" w:rsidRPr="008D0477" w:rsidRDefault="00DD3734" w:rsidP="00BF053F">
            <w:pPr>
              <w:ind w:left="360"/>
              <w:contextualSpacing/>
              <w:jc w:val="center"/>
              <w:rPr>
                <w:rFonts w:cs="Arial"/>
                <w:b/>
              </w:rPr>
            </w:pPr>
            <w:r w:rsidRPr="008D0477">
              <w:rPr>
                <w:rFonts w:cs="Arial"/>
                <w:b/>
              </w:rPr>
              <w:t>ED Visits, Boarding Time, and Time Spent in the ED</w:t>
            </w:r>
          </w:p>
        </w:tc>
      </w:tr>
      <w:tr w:rsidR="00DD3734" w:rsidRPr="008D0477" w14:paraId="6BAB287B" w14:textId="77777777" w:rsidTr="00E173D0">
        <w:trPr>
          <w:gridAfter w:val="1"/>
          <w:wAfter w:w="8" w:type="dxa"/>
          <w:trHeight w:val="145"/>
        </w:trPr>
        <w:tc>
          <w:tcPr>
            <w:tcW w:w="2176" w:type="dxa"/>
            <w:vMerge/>
            <w:vAlign w:val="center"/>
          </w:tcPr>
          <w:p w14:paraId="28302B15" w14:textId="77777777" w:rsidR="00DD3734" w:rsidRPr="008D0477" w:rsidRDefault="00DD3734" w:rsidP="00BF053F">
            <w:pPr>
              <w:ind w:left="360"/>
              <w:contextualSpacing/>
              <w:rPr>
                <w:rFonts w:cs="Arial"/>
                <w:b/>
              </w:rPr>
            </w:pPr>
          </w:p>
        </w:tc>
        <w:tc>
          <w:tcPr>
            <w:tcW w:w="1631" w:type="dxa"/>
          </w:tcPr>
          <w:p w14:paraId="5AF192ED" w14:textId="77777777" w:rsidR="00DD3734" w:rsidRPr="008D0477" w:rsidRDefault="00DD3734" w:rsidP="00AB4CC0">
            <w:pPr>
              <w:contextualSpacing/>
              <w:rPr>
                <w:rFonts w:cs="Arial"/>
                <w:b/>
              </w:rPr>
            </w:pPr>
            <w:r w:rsidRPr="008D0477">
              <w:rPr>
                <w:rFonts w:cs="Arial"/>
                <w:b/>
              </w:rPr>
              <w:t>(a)</w:t>
            </w:r>
          </w:p>
          <w:p w14:paraId="009E8730" w14:textId="26220BB2" w:rsidR="00DD3734" w:rsidRPr="008D0477" w:rsidRDefault="00DD3734" w:rsidP="00AB4CC0">
            <w:pPr>
              <w:contextualSpacing/>
              <w:rPr>
                <w:rFonts w:cs="Arial"/>
                <w:b/>
              </w:rPr>
            </w:pPr>
            <w:r w:rsidRPr="008D0477">
              <w:rPr>
                <w:rFonts w:cs="Arial"/>
                <w:b/>
              </w:rPr>
              <w:t xml:space="preserve">Total number of ED </w:t>
            </w:r>
            <w:r w:rsidRPr="008D0477">
              <w:rPr>
                <w:rFonts w:cs="Arial"/>
                <w:b/>
                <w:u w:val="single"/>
              </w:rPr>
              <w:t>visits</w:t>
            </w:r>
            <w:r w:rsidRPr="008D0477">
              <w:rPr>
                <w:rFonts w:cs="Arial"/>
                <w:b/>
              </w:rPr>
              <w:t xml:space="preserve"> with an inpatient admission or </w:t>
            </w:r>
            <w:r w:rsidRPr="008D0477">
              <w:rPr>
                <w:rFonts w:cs="Arial"/>
                <w:b/>
                <w:bCs/>
              </w:rPr>
              <w:t>where the patient was placed in hospital</w:t>
            </w:r>
            <w:r w:rsidRPr="008D0477">
              <w:rPr>
                <w:bCs/>
                <w:i/>
                <w:iCs/>
              </w:rPr>
              <w:t xml:space="preserve"> </w:t>
            </w:r>
            <w:r w:rsidRPr="008D0477">
              <w:rPr>
                <w:rFonts w:cs="Arial"/>
                <w:b/>
              </w:rPr>
              <w:t>observation status</w:t>
            </w:r>
          </w:p>
        </w:tc>
        <w:tc>
          <w:tcPr>
            <w:tcW w:w="1631" w:type="dxa"/>
          </w:tcPr>
          <w:p w14:paraId="5CB4DDEE" w14:textId="77777777" w:rsidR="00DD3734" w:rsidRPr="008D0477" w:rsidRDefault="00DD3734" w:rsidP="00AB4CC0">
            <w:pPr>
              <w:contextualSpacing/>
              <w:rPr>
                <w:rFonts w:cs="Arial"/>
                <w:b/>
              </w:rPr>
            </w:pPr>
            <w:r w:rsidRPr="008D0477">
              <w:rPr>
                <w:rFonts w:cs="Arial"/>
                <w:b/>
              </w:rPr>
              <w:t>(b)</w:t>
            </w:r>
          </w:p>
          <w:p w14:paraId="21B2D4B9" w14:textId="77777777" w:rsidR="00DD3734" w:rsidRPr="008D0477" w:rsidRDefault="00DD3734" w:rsidP="00AB4CC0">
            <w:pPr>
              <w:contextualSpacing/>
              <w:rPr>
                <w:rFonts w:cs="Arial"/>
                <w:b/>
              </w:rPr>
            </w:pPr>
            <w:r w:rsidRPr="008D0477">
              <w:rPr>
                <w:rFonts w:cs="Arial"/>
                <w:b/>
              </w:rPr>
              <w:t xml:space="preserve">Number of ED </w:t>
            </w:r>
            <w:r w:rsidRPr="008D0477">
              <w:rPr>
                <w:rFonts w:cs="Arial"/>
                <w:b/>
                <w:u w:val="single"/>
              </w:rPr>
              <w:t>visits</w:t>
            </w:r>
            <w:r w:rsidRPr="008D0477">
              <w:rPr>
                <w:rFonts w:cs="Arial"/>
                <w:b/>
              </w:rPr>
              <w:t xml:space="preserve"> indicated in column (a) with a boarding time greater than 4 hours</w:t>
            </w:r>
          </w:p>
        </w:tc>
        <w:tc>
          <w:tcPr>
            <w:tcW w:w="1576" w:type="dxa"/>
          </w:tcPr>
          <w:p w14:paraId="65FB3C9D" w14:textId="717BE139" w:rsidR="00FC0A4D" w:rsidRPr="003A03BA" w:rsidRDefault="00FC0A4D" w:rsidP="00AB4CC0">
            <w:pPr>
              <w:contextualSpacing/>
              <w:rPr>
                <w:rFonts w:cs="Arial"/>
                <w:b/>
              </w:rPr>
            </w:pPr>
            <w:r w:rsidRPr="003A03BA">
              <w:rPr>
                <w:rFonts w:cs="Arial"/>
                <w:b/>
              </w:rPr>
              <w:t>(c)</w:t>
            </w:r>
          </w:p>
          <w:p w14:paraId="56AE7F33" w14:textId="71FFCBBF" w:rsidR="00DD3734" w:rsidRPr="008D0477" w:rsidRDefault="00FC0A4D" w:rsidP="00AB4CC0">
            <w:pPr>
              <w:contextualSpacing/>
              <w:rPr>
                <w:rFonts w:cs="Arial"/>
                <w:b/>
              </w:rPr>
            </w:pPr>
            <w:r w:rsidRPr="003A03BA">
              <w:rPr>
                <w:rFonts w:cs="Arial"/>
                <w:b/>
              </w:rPr>
              <w:t xml:space="preserve">Total </w:t>
            </w:r>
            <w:r w:rsidR="00960CA5">
              <w:rPr>
                <w:rFonts w:cs="Arial"/>
                <w:b/>
              </w:rPr>
              <w:t>b</w:t>
            </w:r>
            <w:r w:rsidR="0030507E">
              <w:rPr>
                <w:rFonts w:cs="Arial"/>
                <w:b/>
              </w:rPr>
              <w:t xml:space="preserve">oarding </w:t>
            </w:r>
            <w:r w:rsidR="00960CA5">
              <w:rPr>
                <w:rFonts w:cs="Arial"/>
                <w:b/>
              </w:rPr>
              <w:t xml:space="preserve">time </w:t>
            </w:r>
            <w:r w:rsidR="00BE53D1">
              <w:rPr>
                <w:rFonts w:cs="Arial"/>
                <w:b/>
              </w:rPr>
              <w:t>(</w:t>
            </w:r>
            <w:r w:rsidR="00960CA5">
              <w:rPr>
                <w:rFonts w:cs="Arial"/>
                <w:b/>
              </w:rPr>
              <w:t xml:space="preserve">in </w:t>
            </w:r>
            <w:r w:rsidR="00BE53D1">
              <w:rPr>
                <w:rFonts w:cs="Arial"/>
                <w:b/>
              </w:rPr>
              <w:t>hours)</w:t>
            </w:r>
            <w:r w:rsidRPr="003A03BA">
              <w:rPr>
                <w:rFonts w:cs="Arial"/>
                <w:b/>
              </w:rPr>
              <w:t xml:space="preserve"> for ED visits indicated in column (a)</w:t>
            </w:r>
          </w:p>
        </w:tc>
        <w:tc>
          <w:tcPr>
            <w:tcW w:w="1576" w:type="dxa"/>
          </w:tcPr>
          <w:p w14:paraId="6497734E" w14:textId="3C3579E4" w:rsidR="00DD3734" w:rsidRPr="008D0477" w:rsidRDefault="00DD3734" w:rsidP="00AB4CC0">
            <w:pPr>
              <w:contextualSpacing/>
              <w:rPr>
                <w:rFonts w:cs="Arial"/>
                <w:b/>
              </w:rPr>
            </w:pPr>
            <w:r w:rsidRPr="008D0477">
              <w:rPr>
                <w:rFonts w:cs="Arial"/>
                <w:b/>
              </w:rPr>
              <w:t>(</w:t>
            </w:r>
            <w:r w:rsidR="00FC0A4D">
              <w:rPr>
                <w:rFonts w:cs="Arial"/>
                <w:b/>
              </w:rPr>
              <w:t>d</w:t>
            </w:r>
            <w:r w:rsidRPr="008D0477">
              <w:rPr>
                <w:rFonts w:cs="Arial"/>
                <w:b/>
              </w:rPr>
              <w:t>)</w:t>
            </w:r>
          </w:p>
          <w:p w14:paraId="212F56B9" w14:textId="77777777" w:rsidR="00DD3734" w:rsidRPr="008D0477" w:rsidRDefault="00DD3734" w:rsidP="00AB4CC0">
            <w:pPr>
              <w:contextualSpacing/>
              <w:rPr>
                <w:rFonts w:cs="Arial"/>
                <w:b/>
              </w:rPr>
            </w:pPr>
            <w:r w:rsidRPr="008D0477">
              <w:rPr>
                <w:rFonts w:cs="Arial"/>
                <w:b/>
              </w:rPr>
              <w:t xml:space="preserve">Median number of </w:t>
            </w:r>
            <w:r w:rsidRPr="008D0477">
              <w:rPr>
                <w:rFonts w:cs="Arial"/>
                <w:b/>
                <w:u w:val="single"/>
              </w:rPr>
              <w:t>hours</w:t>
            </w:r>
            <w:r w:rsidRPr="008D0477">
              <w:rPr>
                <w:rFonts w:cs="Arial"/>
                <w:b/>
              </w:rPr>
              <w:t xml:space="preserve"> spent in the ED for ED visits indicated in column (a)</w:t>
            </w:r>
          </w:p>
        </w:tc>
        <w:tc>
          <w:tcPr>
            <w:tcW w:w="1687" w:type="dxa"/>
          </w:tcPr>
          <w:p w14:paraId="301EB373" w14:textId="6A91FE76" w:rsidR="00DD3734" w:rsidRPr="008D0477" w:rsidRDefault="00DD3734" w:rsidP="00AB4CC0">
            <w:pPr>
              <w:contextualSpacing/>
              <w:rPr>
                <w:rFonts w:cs="Arial"/>
                <w:b/>
              </w:rPr>
            </w:pPr>
            <w:r w:rsidRPr="008D0477">
              <w:rPr>
                <w:rFonts w:cs="Arial"/>
                <w:b/>
              </w:rPr>
              <w:t>(</w:t>
            </w:r>
            <w:r w:rsidR="00FC0A4D">
              <w:rPr>
                <w:rFonts w:cs="Arial"/>
                <w:b/>
              </w:rPr>
              <w:t>e</w:t>
            </w:r>
            <w:r w:rsidRPr="008D0477">
              <w:rPr>
                <w:rFonts w:cs="Arial"/>
                <w:b/>
              </w:rPr>
              <w:t>)</w:t>
            </w:r>
          </w:p>
          <w:p w14:paraId="24D71E1E" w14:textId="77777777" w:rsidR="00DD3734" w:rsidRPr="008D0477" w:rsidRDefault="00DD3734" w:rsidP="00AB4CC0">
            <w:pPr>
              <w:contextualSpacing/>
              <w:rPr>
                <w:rFonts w:cs="Arial"/>
                <w:b/>
              </w:rPr>
            </w:pPr>
            <w:r w:rsidRPr="008D0477">
              <w:rPr>
                <w:rFonts w:cs="Arial"/>
                <w:b/>
              </w:rPr>
              <w:t>90</w:t>
            </w:r>
            <w:r w:rsidRPr="008D0477">
              <w:rPr>
                <w:rFonts w:cs="Arial"/>
                <w:b/>
                <w:vertAlign w:val="superscript"/>
              </w:rPr>
              <w:t>th</w:t>
            </w:r>
            <w:r w:rsidRPr="008D0477">
              <w:rPr>
                <w:rFonts w:cs="Arial"/>
                <w:b/>
              </w:rPr>
              <w:t xml:space="preserve"> percentile of </w:t>
            </w:r>
            <w:r w:rsidRPr="008D0477">
              <w:rPr>
                <w:rFonts w:cs="Arial"/>
                <w:b/>
                <w:u w:val="single"/>
              </w:rPr>
              <w:t>hours</w:t>
            </w:r>
            <w:r w:rsidRPr="008D0477">
              <w:rPr>
                <w:rFonts w:cs="Arial"/>
                <w:b/>
              </w:rPr>
              <w:t xml:space="preserve"> spent in the ED for ED visits indicated in column (a)</w:t>
            </w:r>
          </w:p>
        </w:tc>
      </w:tr>
      <w:tr w:rsidR="00DD3734" w:rsidRPr="008D0477" w14:paraId="42478212" w14:textId="77777777" w:rsidTr="00DD3734">
        <w:trPr>
          <w:gridAfter w:val="1"/>
          <w:wAfter w:w="8" w:type="dxa"/>
          <w:trHeight w:val="458"/>
        </w:trPr>
        <w:tc>
          <w:tcPr>
            <w:tcW w:w="2176" w:type="dxa"/>
          </w:tcPr>
          <w:p w14:paraId="203CF0BE" w14:textId="7DDBDE83" w:rsidR="00DD3734" w:rsidRPr="008D0477" w:rsidRDefault="00DD3734" w:rsidP="00BF053F">
            <w:pPr>
              <w:rPr>
                <w:rFonts w:cs="Arial"/>
              </w:rPr>
            </w:pPr>
            <w:r w:rsidRPr="008D0477">
              <w:rPr>
                <w:rFonts w:cs="Arial"/>
              </w:rPr>
              <w:t>Admitted to a</w:t>
            </w:r>
            <w:r w:rsidR="007C324C">
              <w:rPr>
                <w:rFonts w:cs="Arial"/>
              </w:rPr>
              <w:t xml:space="preserve"> pediatric</w:t>
            </w:r>
            <w:r w:rsidRPr="008D0477">
              <w:rPr>
                <w:rFonts w:cs="Arial"/>
              </w:rPr>
              <w:t xml:space="preserve"> inpatient </w:t>
            </w:r>
            <w:r w:rsidRPr="008D0477">
              <w:rPr>
                <w:rFonts w:cs="Arial"/>
                <w:b/>
                <w:bCs/>
              </w:rPr>
              <w:t>non-psychiatric bed</w:t>
            </w:r>
          </w:p>
        </w:tc>
        <w:tc>
          <w:tcPr>
            <w:tcW w:w="1631" w:type="dxa"/>
            <w:vAlign w:val="center"/>
          </w:tcPr>
          <w:p w14:paraId="5CEC7ED1" w14:textId="77777777" w:rsidR="00DD3734" w:rsidRPr="008D0477" w:rsidRDefault="00DD3734" w:rsidP="00BF053F">
            <w:pPr>
              <w:ind w:left="360"/>
              <w:contextualSpacing/>
              <w:rPr>
                <w:rFonts w:cs="Arial"/>
                <w:b/>
              </w:rPr>
            </w:pPr>
          </w:p>
        </w:tc>
        <w:tc>
          <w:tcPr>
            <w:tcW w:w="1631" w:type="dxa"/>
            <w:vAlign w:val="center"/>
          </w:tcPr>
          <w:p w14:paraId="77C9F0F0" w14:textId="77777777" w:rsidR="00DD3734" w:rsidRPr="008D0477" w:rsidRDefault="00DD3734" w:rsidP="00BF053F">
            <w:pPr>
              <w:ind w:left="360"/>
              <w:contextualSpacing/>
              <w:rPr>
                <w:rFonts w:cs="Arial"/>
                <w:b/>
              </w:rPr>
            </w:pPr>
          </w:p>
        </w:tc>
        <w:tc>
          <w:tcPr>
            <w:tcW w:w="1576" w:type="dxa"/>
          </w:tcPr>
          <w:p w14:paraId="6430332C" w14:textId="77777777" w:rsidR="00DD3734" w:rsidRPr="008D0477" w:rsidRDefault="00DD3734" w:rsidP="00BF053F">
            <w:pPr>
              <w:ind w:left="360"/>
              <w:contextualSpacing/>
              <w:rPr>
                <w:rFonts w:cs="Arial"/>
                <w:b/>
              </w:rPr>
            </w:pPr>
          </w:p>
        </w:tc>
        <w:tc>
          <w:tcPr>
            <w:tcW w:w="1576" w:type="dxa"/>
            <w:vAlign w:val="center"/>
          </w:tcPr>
          <w:p w14:paraId="192D1F4D" w14:textId="5A435567" w:rsidR="00DD3734" w:rsidRPr="008D0477" w:rsidRDefault="00DD3734" w:rsidP="00BF053F">
            <w:pPr>
              <w:ind w:left="360"/>
              <w:contextualSpacing/>
              <w:rPr>
                <w:rFonts w:cs="Arial"/>
                <w:b/>
              </w:rPr>
            </w:pPr>
          </w:p>
        </w:tc>
        <w:tc>
          <w:tcPr>
            <w:tcW w:w="1687" w:type="dxa"/>
            <w:vAlign w:val="center"/>
          </w:tcPr>
          <w:p w14:paraId="7316870A" w14:textId="77777777" w:rsidR="00DD3734" w:rsidRPr="008D0477" w:rsidRDefault="00DD3734" w:rsidP="00BF053F">
            <w:pPr>
              <w:ind w:left="360"/>
              <w:contextualSpacing/>
              <w:rPr>
                <w:rFonts w:cs="Arial"/>
                <w:b/>
              </w:rPr>
            </w:pPr>
          </w:p>
        </w:tc>
      </w:tr>
      <w:tr w:rsidR="00DD3734" w:rsidRPr="009A5185" w14:paraId="3F1C2AE3" w14:textId="77777777" w:rsidTr="00DD3734">
        <w:trPr>
          <w:gridAfter w:val="1"/>
          <w:wAfter w:w="8" w:type="dxa"/>
          <w:trHeight w:val="820"/>
        </w:trPr>
        <w:tc>
          <w:tcPr>
            <w:tcW w:w="2176" w:type="dxa"/>
          </w:tcPr>
          <w:p w14:paraId="4C55B4B2" w14:textId="657047E8" w:rsidR="00DD3734" w:rsidRPr="006119D1" w:rsidRDefault="00DD3734" w:rsidP="00BF053F">
            <w:pPr>
              <w:rPr>
                <w:rFonts w:cs="Arial"/>
                <w:b/>
                <w:bCs/>
              </w:rPr>
            </w:pPr>
            <w:r w:rsidRPr="008D0477">
              <w:rPr>
                <w:rFonts w:cs="Arial"/>
              </w:rPr>
              <w:t>Admitted to a</w:t>
            </w:r>
            <w:r w:rsidR="007C324C">
              <w:rPr>
                <w:rFonts w:cs="Arial"/>
              </w:rPr>
              <w:t xml:space="preserve"> pediatric</w:t>
            </w:r>
            <w:r w:rsidRPr="008D0477">
              <w:rPr>
                <w:rFonts w:cs="Arial"/>
              </w:rPr>
              <w:t xml:space="preserve"> inpatient </w:t>
            </w:r>
            <w:r w:rsidRPr="008D0477">
              <w:rPr>
                <w:rFonts w:cs="Arial"/>
                <w:b/>
                <w:bCs/>
              </w:rPr>
              <w:t>psychiatric bed</w:t>
            </w:r>
          </w:p>
        </w:tc>
        <w:tc>
          <w:tcPr>
            <w:tcW w:w="1631" w:type="dxa"/>
            <w:vAlign w:val="center"/>
          </w:tcPr>
          <w:p w14:paraId="0F01E76F" w14:textId="77777777" w:rsidR="00DD3734" w:rsidRPr="009A5185" w:rsidRDefault="00DD3734" w:rsidP="00BF053F">
            <w:pPr>
              <w:ind w:left="360"/>
              <w:contextualSpacing/>
              <w:rPr>
                <w:rFonts w:cs="Arial"/>
                <w:b/>
              </w:rPr>
            </w:pPr>
          </w:p>
        </w:tc>
        <w:tc>
          <w:tcPr>
            <w:tcW w:w="1631" w:type="dxa"/>
            <w:vAlign w:val="center"/>
          </w:tcPr>
          <w:p w14:paraId="57184DD6" w14:textId="77777777" w:rsidR="00DD3734" w:rsidRPr="009A5185" w:rsidRDefault="00DD3734" w:rsidP="00BF053F">
            <w:pPr>
              <w:ind w:left="360"/>
              <w:contextualSpacing/>
              <w:rPr>
                <w:rFonts w:cs="Arial"/>
                <w:b/>
              </w:rPr>
            </w:pPr>
          </w:p>
        </w:tc>
        <w:tc>
          <w:tcPr>
            <w:tcW w:w="1576" w:type="dxa"/>
          </w:tcPr>
          <w:p w14:paraId="7AAB797D" w14:textId="77777777" w:rsidR="00DD3734" w:rsidRPr="009A5185" w:rsidRDefault="00DD3734" w:rsidP="00BF053F">
            <w:pPr>
              <w:ind w:left="360"/>
              <w:contextualSpacing/>
              <w:rPr>
                <w:rFonts w:cs="Arial"/>
                <w:b/>
              </w:rPr>
            </w:pPr>
          </w:p>
        </w:tc>
        <w:tc>
          <w:tcPr>
            <w:tcW w:w="1576" w:type="dxa"/>
            <w:vAlign w:val="center"/>
          </w:tcPr>
          <w:p w14:paraId="5A6EF3A4" w14:textId="6100E704" w:rsidR="00DD3734" w:rsidRPr="009A5185" w:rsidRDefault="00DD3734" w:rsidP="00BF053F">
            <w:pPr>
              <w:ind w:left="360"/>
              <w:contextualSpacing/>
              <w:rPr>
                <w:rFonts w:cs="Arial"/>
                <w:b/>
              </w:rPr>
            </w:pPr>
          </w:p>
        </w:tc>
        <w:tc>
          <w:tcPr>
            <w:tcW w:w="1687" w:type="dxa"/>
            <w:vAlign w:val="center"/>
          </w:tcPr>
          <w:p w14:paraId="6D85BFCE" w14:textId="77777777" w:rsidR="00DD3734" w:rsidRPr="009A5185" w:rsidRDefault="00DD3734" w:rsidP="00BF053F">
            <w:pPr>
              <w:ind w:left="360"/>
              <w:contextualSpacing/>
              <w:rPr>
                <w:rFonts w:cs="Arial"/>
                <w:b/>
              </w:rPr>
            </w:pPr>
          </w:p>
        </w:tc>
      </w:tr>
    </w:tbl>
    <w:p w14:paraId="559CA4E6" w14:textId="10345399" w:rsidR="00885B79" w:rsidRDefault="00885B79">
      <w:pPr>
        <w:rPr>
          <w:b/>
          <w:snapToGrid w:val="0"/>
          <w:color w:val="000000"/>
        </w:rPr>
      </w:pPr>
      <w:r>
        <w:rPr>
          <w:b/>
          <w:snapToGrid w:val="0"/>
          <w:color w:val="000000"/>
        </w:rPr>
        <w:br w:type="page"/>
      </w:r>
    </w:p>
    <w:p w14:paraId="2385D207" w14:textId="44E66424" w:rsidR="00563CD7" w:rsidRDefault="00563CD7" w:rsidP="00563CD7">
      <w:pPr>
        <w:rPr>
          <w:b/>
          <w:snapToGrid w:val="0"/>
          <w:color w:val="000000"/>
        </w:rPr>
      </w:pPr>
      <w:r>
        <w:rPr>
          <w:b/>
          <w:snapToGrid w:val="0"/>
          <w:color w:val="000000"/>
        </w:rPr>
        <w:t>Affirmation of Accuracy</w:t>
      </w:r>
    </w:p>
    <w:p w14:paraId="5FD71E9F" w14:textId="77777777" w:rsidR="00563CD7" w:rsidRDefault="00563CD7" w:rsidP="00563CD7">
      <w:pPr>
        <w:rPr>
          <w:rFonts w:cs="Arial"/>
          <w:snapToGrid w:val="0"/>
          <w:color w:val="000000"/>
        </w:rPr>
      </w:pPr>
    </w:p>
    <w:p w14:paraId="5ABEAFEC" w14:textId="74614C5B" w:rsidR="00563CD7" w:rsidRPr="00362B11" w:rsidRDefault="00563CD7" w:rsidP="00563CD7">
      <w:pPr>
        <w:rPr>
          <w:rFonts w:cs="Arial"/>
          <w:color w:val="000000"/>
        </w:rPr>
      </w:pPr>
      <w:r w:rsidRPr="00362B11">
        <w:rPr>
          <w:rFonts w:cs="Arial"/>
          <w:color w:val="000000"/>
        </w:rPr>
        <w:t xml:space="preserve">As the hospital CEO or as an employee of the hospital to whom the hospital CEO has delegated responsibility, </w:t>
      </w:r>
      <w:r>
        <w:rPr>
          <w:rFonts w:cs="Arial"/>
          <w:color w:val="000000"/>
        </w:rPr>
        <w:t>I have reviewed this information</w:t>
      </w:r>
      <w:r w:rsidRPr="00362B11">
        <w:rPr>
          <w:rFonts w:cs="Arial"/>
          <w:color w:val="000000"/>
        </w:rPr>
        <w:t xml:space="preserve"> </w:t>
      </w:r>
      <w:r>
        <w:rPr>
          <w:rFonts w:cs="Arial"/>
          <w:color w:val="000000"/>
        </w:rPr>
        <w:t xml:space="preserve">pertaining to the </w:t>
      </w:r>
      <w:r w:rsidR="00790F36">
        <w:rPr>
          <w:rFonts w:cs="Arial"/>
          <w:color w:val="000000"/>
        </w:rPr>
        <w:t xml:space="preserve">Patient </w:t>
      </w:r>
      <w:r>
        <w:rPr>
          <w:rFonts w:cs="Arial"/>
          <w:color w:val="000000"/>
        </w:rPr>
        <w:t>Safe</w:t>
      </w:r>
      <w:r w:rsidR="00790F36">
        <w:rPr>
          <w:rFonts w:cs="Arial"/>
          <w:color w:val="000000"/>
        </w:rPr>
        <w:t>ty</w:t>
      </w:r>
      <w:r>
        <w:rPr>
          <w:rFonts w:cs="Arial"/>
          <w:color w:val="000000"/>
        </w:rPr>
        <w:t xml:space="preserve"> Practices Section</w:t>
      </w:r>
      <w:r w:rsidRPr="00362B11">
        <w:rPr>
          <w:rFonts w:cs="Arial"/>
          <w:color w:val="000000"/>
        </w:rPr>
        <w:t xml:space="preserve"> at our hospital, and I here</w:t>
      </w:r>
      <w:r>
        <w:rPr>
          <w:rFonts w:cs="Arial"/>
          <w:color w:val="000000"/>
        </w:rPr>
        <w:t xml:space="preserve">by </w:t>
      </w:r>
      <w:r w:rsidR="00B01F4D">
        <w:rPr>
          <w:rFonts w:cs="Arial"/>
          <w:color w:val="000000"/>
        </w:rPr>
        <w:t>affirm</w:t>
      </w:r>
      <w:r>
        <w:rPr>
          <w:rFonts w:cs="Arial"/>
          <w:color w:val="000000"/>
        </w:rPr>
        <w:t xml:space="preserve"> that this information is</w:t>
      </w:r>
      <w:r w:rsidRPr="00362B11">
        <w:rPr>
          <w:rFonts w:cs="Arial"/>
          <w:color w:val="000000"/>
        </w:rPr>
        <w:t xml:space="preserve"> true, accurate, and reflect</w:t>
      </w:r>
      <w:r>
        <w:rPr>
          <w:rFonts w:cs="Arial"/>
          <w:color w:val="000000"/>
        </w:rPr>
        <w:t>s</w:t>
      </w:r>
      <w:r w:rsidRPr="00362B11">
        <w:rPr>
          <w:rFonts w:cs="Arial"/>
          <w:color w:val="000000"/>
        </w:rPr>
        <w:t xml:space="preserve"> the current, normal operating circumstances at our hospital. I am authorized to make this </w:t>
      </w:r>
      <w:r w:rsidR="00B01F4D">
        <w:rPr>
          <w:rFonts w:cs="Arial"/>
          <w:color w:val="000000"/>
        </w:rPr>
        <w:t>affirmation</w:t>
      </w:r>
      <w:r w:rsidRPr="00362B11">
        <w:rPr>
          <w:rFonts w:cs="Arial"/>
          <w:color w:val="000000"/>
        </w:rPr>
        <w:t xml:space="preserve"> on behalf of our hospital. </w:t>
      </w:r>
    </w:p>
    <w:p w14:paraId="606FDBBB" w14:textId="77777777" w:rsidR="00563CD7" w:rsidRPr="00362B11" w:rsidRDefault="00563CD7" w:rsidP="00563CD7">
      <w:pPr>
        <w:rPr>
          <w:rFonts w:cs="Arial"/>
          <w:color w:val="000000"/>
        </w:rPr>
      </w:pPr>
    </w:p>
    <w:p w14:paraId="39415DFC" w14:textId="77777777" w:rsidR="00C26134" w:rsidRPr="009A5185" w:rsidRDefault="00C26134" w:rsidP="00C26134">
      <w:pPr>
        <w:rPr>
          <w:rFonts w:cs="Arial"/>
          <w:sz w:val="22"/>
          <w:szCs w:val="22"/>
        </w:rPr>
      </w:pPr>
      <w:r w:rsidRPr="009A5185">
        <w:rPr>
          <w:rFonts w:cs="Arial"/>
        </w:rPr>
        <w:t xml:space="preserve">The </w:t>
      </w:r>
      <w:r w:rsidRPr="00534EFC">
        <w:rPr>
          <w:rFonts w:cs="Arial"/>
        </w:rPr>
        <w:t xml:space="preserve">hospital and I </w:t>
      </w:r>
      <w:r>
        <w:rPr>
          <w:rFonts w:cs="Arial"/>
        </w:rPr>
        <w:t>acknowledge</w:t>
      </w:r>
      <w:r w:rsidRPr="00534EFC">
        <w:rPr>
          <w:rFonts w:cs="Arial"/>
        </w:rPr>
        <w:t xml:space="preserve"> that The Leapfrog Group, its members, the public and entities and persons who contract or have other business dealings with The Leapfrog Group are relying on the truth and accuracy of this information. The hospital and I also </w:t>
      </w:r>
      <w:r>
        <w:rPr>
          <w:rFonts w:cs="Arial"/>
        </w:rPr>
        <w:t>acknowledge</w:t>
      </w:r>
      <w:r w:rsidRPr="00534EFC">
        <w:rPr>
          <w:rFonts w:cs="Arial"/>
        </w:rPr>
        <w:t xml:space="preserve"> that </w:t>
      </w:r>
      <w:r>
        <w:rPr>
          <w:rFonts w:cs="Arial"/>
        </w:rPr>
        <w:t xml:space="preserve">analyses and ratings </w:t>
      </w:r>
      <w:r w:rsidRPr="00534EFC">
        <w:rPr>
          <w:rFonts w:cs="Arial"/>
        </w:rPr>
        <w:t>The Leapfrog Group</w:t>
      </w:r>
      <w:r>
        <w:rPr>
          <w:rFonts w:cs="Arial"/>
        </w:rPr>
        <w:t xml:space="preserve"> derives from</w:t>
      </w:r>
      <w:r w:rsidRPr="00534EFC">
        <w:rPr>
          <w:rFonts w:cs="Arial"/>
        </w:rPr>
        <w:t xml:space="preserve"> this information</w:t>
      </w:r>
      <w:r>
        <w:rPr>
          <w:rFonts w:cs="Arial"/>
        </w:rPr>
        <w:t xml:space="preserve"> will be made public on</w:t>
      </w:r>
      <w:r w:rsidRPr="00534EFC">
        <w:rPr>
          <w:rFonts w:cs="Arial"/>
        </w:rPr>
        <w:t xml:space="preserve"> the Survey Results public reporting website, The Leapfrog Group’s Hospital Safety Grade</w:t>
      </w:r>
      <w:r>
        <w:rPr>
          <w:rFonts w:cs="Arial"/>
        </w:rPr>
        <w:t xml:space="preserve"> website</w:t>
      </w:r>
      <w:r w:rsidRPr="00534EFC">
        <w:rPr>
          <w:rFonts w:cs="Arial"/>
        </w:rPr>
        <w:t xml:space="preserve">, and/or other Leapfrog Group </w:t>
      </w:r>
      <w:r>
        <w:rPr>
          <w:rFonts w:cs="Arial"/>
        </w:rPr>
        <w:t xml:space="preserve">published works, </w:t>
      </w:r>
      <w:r w:rsidRPr="00534EFC">
        <w:rPr>
          <w:rFonts w:cs="Arial"/>
        </w:rPr>
        <w:t xml:space="preserve">products and services. </w:t>
      </w:r>
      <w:r>
        <w:rPr>
          <w:rFonts w:cs="Arial"/>
        </w:rPr>
        <w:t>The hospital and I acknowledge that analyses and ratings derived from t</w:t>
      </w:r>
      <w:r w:rsidRPr="00534EFC">
        <w:rPr>
          <w:rFonts w:cs="Arial"/>
        </w:rPr>
        <w:t>his information and all intellectual property rights</w:t>
      </w:r>
      <w:r>
        <w:rPr>
          <w:rFonts w:cs="Arial"/>
        </w:rPr>
        <w:t xml:space="preserve"> related to those analyses and ratings</w:t>
      </w:r>
      <w:r w:rsidRPr="00534EFC">
        <w:rPr>
          <w:rFonts w:cs="Arial"/>
        </w:rPr>
        <w:t xml:space="preserve"> shall be and remain the sole and exclusive property of The Leapfrog Group </w:t>
      </w:r>
      <w:r w:rsidRPr="00534EFC">
        <w:t>in which The Leapfrog Group retains exclusive ownership</w:t>
      </w:r>
      <w:r w:rsidRPr="00534EFC">
        <w:rPr>
          <w:rFonts w:cs="Arial"/>
        </w:rPr>
        <w:t xml:space="preserve">. </w:t>
      </w:r>
      <w:r>
        <w:rPr>
          <w:rFonts w:cs="Arial"/>
        </w:rPr>
        <w:t>I hereby affirm that t</w:t>
      </w:r>
      <w:r w:rsidRPr="00534EFC">
        <w:rPr>
          <w:rFonts w:cs="Arial"/>
        </w:rPr>
        <w:t>his information does not infringe upon any third-party intellectual property rights</w:t>
      </w:r>
      <w:r w:rsidRPr="00534EFC">
        <w:t xml:space="preserve"> or any other third-party rights whatsoever and is free and clear of all encumbrances and liens of any kind</w:t>
      </w:r>
      <w:r w:rsidRPr="00534EFC">
        <w:rPr>
          <w:rFonts w:cs="Arial"/>
        </w:rPr>
        <w:t xml:space="preserve">. The hospital and I acknowledge that The Leapfrog Group may </w:t>
      </w:r>
      <w:r>
        <w:rPr>
          <w:rFonts w:cs="Arial"/>
        </w:rPr>
        <w:t>license</w:t>
      </w:r>
      <w:r w:rsidRPr="00534EFC">
        <w:rPr>
          <w:rFonts w:cs="Arial"/>
        </w:rPr>
        <w:t xml:space="preserve"> </w:t>
      </w:r>
      <w:r>
        <w:rPr>
          <w:rFonts w:cs="Arial"/>
        </w:rPr>
        <w:t xml:space="preserve">analyses and ratings derived from </w:t>
      </w:r>
      <w:r w:rsidRPr="00534EFC">
        <w:rPr>
          <w:rFonts w:cs="Arial"/>
        </w:rPr>
        <w:t xml:space="preserve">this information </w:t>
      </w:r>
      <w:r>
        <w:rPr>
          <w:rFonts w:cs="Arial"/>
        </w:rPr>
        <w:t>to other entities including researchers, not-for-profit entities, and for-profit entities, and the revenue from such licensure will be used solely to support The Leapfrog Group’s not-for-profit mission</w:t>
      </w:r>
      <w:r w:rsidRPr="00534EFC">
        <w:rPr>
          <w:rFonts w:cs="Arial"/>
        </w:rPr>
        <w:t>. The hospital shall be liable for and shall hold harmless and indemnify The Leapfrog Group from any and all damages, demands, costs, or causes of action resulting from any inaccuracies in the information or any misrepresentations in this Affirmation of Accuracy. The Leapfrog Group and its members and entities and persons who contract or have other business dealings with The Leapfrog Group reserve the right to omit or disclaim information that is not current, accurate or truthful.</w:t>
      </w:r>
    </w:p>
    <w:p w14:paraId="3DD2DA41" w14:textId="52439CF9" w:rsidR="00563CD7" w:rsidRDefault="00563CD7" w:rsidP="00563CD7">
      <w:pPr>
        <w:rPr>
          <w:snapToGrid w:val="0"/>
          <w:color w:val="000000"/>
        </w:rPr>
      </w:pPr>
    </w:p>
    <w:p w14:paraId="5D0BC6E7" w14:textId="77777777" w:rsidR="00563CD7" w:rsidRDefault="00563CD7" w:rsidP="00563CD7">
      <w:pPr>
        <w:rPr>
          <w:snapToGrid w:val="0"/>
          <w:color w:val="000000"/>
        </w:rPr>
      </w:pPr>
    </w:p>
    <w:p w14:paraId="27DA7D36" w14:textId="77777777" w:rsidR="00563CD7" w:rsidRDefault="00563CD7" w:rsidP="00563CD7">
      <w:pPr>
        <w:spacing w:line="240" w:lineRule="exact"/>
        <w:rPr>
          <w:snapToGrid w:val="0"/>
          <w:color w:val="000000"/>
        </w:rPr>
      </w:pPr>
      <w:r>
        <w:rPr>
          <w:snapToGrid w:val="0"/>
          <w:color w:val="000000"/>
        </w:rPr>
        <w:t>Affirmed by _____________________, the hospital’s ___________________________,</w:t>
      </w:r>
    </w:p>
    <w:p w14:paraId="04024CAC" w14:textId="77777777" w:rsidR="008A631A" w:rsidRPr="009A5185" w:rsidRDefault="008A631A" w:rsidP="008A631A">
      <w:pPr>
        <w:pStyle w:val="BodyText2"/>
        <w:spacing w:line="240" w:lineRule="exact"/>
        <w:rPr>
          <w:rFonts w:cs="Arial"/>
        </w:rPr>
      </w:pPr>
      <w:r w:rsidRPr="009A5185">
        <w:rPr>
          <w:rFonts w:cs="Arial"/>
        </w:rPr>
        <w:tab/>
        <w:t xml:space="preserve"> </w:t>
      </w:r>
      <w:r>
        <w:rPr>
          <w:rFonts w:cs="Arial"/>
        </w:rPr>
        <w:t xml:space="preserve">    </w:t>
      </w:r>
      <w:r w:rsidRPr="009A5185">
        <w:rPr>
          <w:rFonts w:cs="Arial"/>
        </w:rPr>
        <w:t>(</w:t>
      </w:r>
      <w:r>
        <w:rPr>
          <w:rFonts w:cs="Arial"/>
        </w:rPr>
        <w:t xml:space="preserve">first </w:t>
      </w:r>
      <w:r w:rsidRPr="009A5185">
        <w:rPr>
          <w:rFonts w:cs="Arial"/>
        </w:rPr>
        <w:t>name</w:t>
      </w:r>
      <w:r>
        <w:rPr>
          <w:rFonts w:cs="Arial"/>
        </w:rPr>
        <w:t xml:space="preserve"> and last name)</w:t>
      </w:r>
      <w:r>
        <w:rPr>
          <w:rFonts w:cs="Arial"/>
        </w:rPr>
        <w:tab/>
      </w:r>
      <w:r>
        <w:rPr>
          <w:rFonts w:cs="Arial"/>
        </w:rPr>
        <w:tab/>
      </w:r>
      <w:r>
        <w:rPr>
          <w:rFonts w:cs="Arial"/>
        </w:rPr>
        <w:tab/>
      </w:r>
      <w:r>
        <w:rPr>
          <w:rFonts w:cs="Arial"/>
        </w:rPr>
        <w:tab/>
      </w:r>
      <w:r w:rsidRPr="009A5185">
        <w:rPr>
          <w:rFonts w:cs="Arial"/>
        </w:rPr>
        <w:t>(title)</w:t>
      </w:r>
    </w:p>
    <w:p w14:paraId="674423F8" w14:textId="77777777" w:rsidR="00563CD7" w:rsidRDefault="00563CD7" w:rsidP="00563CD7">
      <w:pPr>
        <w:spacing w:line="240" w:lineRule="exact"/>
        <w:rPr>
          <w:snapToGrid w:val="0"/>
          <w:color w:val="000000"/>
        </w:rPr>
      </w:pPr>
      <w:r>
        <w:rPr>
          <w:snapToGrid w:val="0"/>
          <w:color w:val="000000"/>
        </w:rPr>
        <w:t>on _______________________.</w:t>
      </w:r>
    </w:p>
    <w:p w14:paraId="3C24D7DB" w14:textId="77777777" w:rsidR="00563CD7" w:rsidRDefault="00563CD7" w:rsidP="00563CD7">
      <w:pPr>
        <w:pStyle w:val="BodyText2"/>
        <w:spacing w:line="240" w:lineRule="exact"/>
      </w:pPr>
      <w:r>
        <w:t xml:space="preserve">                    (date)</w:t>
      </w:r>
    </w:p>
    <w:p w14:paraId="6C79C293" w14:textId="77777777" w:rsidR="00563CD7" w:rsidRDefault="00563CD7" w:rsidP="00563CD7"/>
    <w:p w14:paraId="162A6F53" w14:textId="77777777" w:rsidR="00563CD7" w:rsidRDefault="00563CD7" w:rsidP="00563CD7">
      <w:pPr>
        <w:rPr>
          <w:lang w:eastAsia="ja-JP"/>
        </w:rPr>
      </w:pPr>
    </w:p>
    <w:p w14:paraId="74FD889C" w14:textId="77777777" w:rsidR="00563CD7" w:rsidRPr="00F279EA" w:rsidRDefault="00563CD7" w:rsidP="00563CD7">
      <w:pPr>
        <w:rPr>
          <w:lang w:eastAsia="ja-JP"/>
        </w:rPr>
      </w:pPr>
    </w:p>
    <w:p w14:paraId="3D6EB11F" w14:textId="77777777" w:rsidR="00563CD7" w:rsidRDefault="00563CD7" w:rsidP="00563CD7">
      <w:pPr>
        <w:rPr>
          <w:b/>
          <w:sz w:val="24"/>
        </w:rPr>
      </w:pPr>
      <w:bookmarkStart w:id="502" w:name="_Toc383775059"/>
      <w:r>
        <w:br w:type="page"/>
      </w:r>
    </w:p>
    <w:p w14:paraId="5A8DD431" w14:textId="36C14D50" w:rsidR="00563CD7" w:rsidRPr="007849B0" w:rsidRDefault="00563CD7" w:rsidP="00CF5A6E">
      <w:pPr>
        <w:pStyle w:val="Heading2"/>
      </w:pPr>
      <w:bookmarkStart w:id="503" w:name="_Toc510001897"/>
      <w:bookmarkStart w:id="504" w:name="_Toc225877791"/>
      <w:r w:rsidRPr="007849B0">
        <w:t xml:space="preserve">Section 6: </w:t>
      </w:r>
      <w:bookmarkEnd w:id="502"/>
      <w:r w:rsidR="00600EE7">
        <w:t>Patient</w:t>
      </w:r>
      <w:r>
        <w:t xml:space="preserve"> Safe</w:t>
      </w:r>
      <w:r w:rsidR="00600EE7">
        <w:t>ty</w:t>
      </w:r>
      <w:r>
        <w:t xml:space="preserve"> Practices</w:t>
      </w:r>
      <w:r w:rsidRPr="007849B0">
        <w:t xml:space="preserve"> Reference Information</w:t>
      </w:r>
      <w:bookmarkEnd w:id="503"/>
      <w:bookmarkEnd w:id="504"/>
    </w:p>
    <w:p w14:paraId="4A4B7649" w14:textId="77777777" w:rsidR="00764EEA" w:rsidRDefault="00764EEA" w:rsidP="00764EEA">
      <w:bookmarkStart w:id="505" w:name="_Toc236215446"/>
      <w:bookmarkStart w:id="506" w:name="_Toc383775060"/>
      <w:bookmarkStart w:id="507" w:name="_Toc510001898"/>
    </w:p>
    <w:p w14:paraId="6DF3AB7A" w14:textId="3ECF91E6" w:rsidR="00563CD7" w:rsidRPr="00764EEA" w:rsidRDefault="00563CD7" w:rsidP="00AB5B80">
      <w:pPr>
        <w:pStyle w:val="Heading3"/>
      </w:pPr>
      <w:bookmarkStart w:id="508" w:name="_Toc225877792"/>
      <w:r w:rsidRPr="007849B0">
        <w:rPr>
          <w:rFonts w:hint="eastAsia"/>
        </w:rPr>
        <w:t>What</w:t>
      </w:r>
      <w:r w:rsidRPr="007849B0">
        <w:t>’</w:t>
      </w:r>
      <w:r w:rsidRPr="007849B0">
        <w:rPr>
          <w:rFonts w:hint="eastAsia"/>
        </w:rPr>
        <w:t xml:space="preserve">s New </w:t>
      </w:r>
      <w:bookmarkEnd w:id="505"/>
      <w:r w:rsidRPr="007849B0">
        <w:rPr>
          <w:rFonts w:hint="eastAsia"/>
        </w:rPr>
        <w:t xml:space="preserve">in the </w:t>
      </w:r>
      <w:bookmarkEnd w:id="506"/>
      <w:r w:rsidR="00A236B1">
        <w:t>202</w:t>
      </w:r>
      <w:r w:rsidR="001D70C8">
        <w:t>6</w:t>
      </w:r>
      <w:r>
        <w:t xml:space="preserve"> Survey</w:t>
      </w:r>
      <w:bookmarkEnd w:id="507"/>
      <w:bookmarkEnd w:id="508"/>
    </w:p>
    <w:p w14:paraId="5D38EAA9" w14:textId="77777777" w:rsidR="00D20722" w:rsidRPr="000C6570" w:rsidRDefault="00D20722" w:rsidP="00D20722">
      <w:pPr>
        <w:pStyle w:val="Heading44"/>
        <w:rPr>
          <w:sz w:val="20"/>
        </w:rPr>
      </w:pPr>
      <w:bookmarkStart w:id="509" w:name="_Toc236215447"/>
      <w:bookmarkStart w:id="510" w:name="_Toc383775061"/>
    </w:p>
    <w:p w14:paraId="5FC358B5" w14:textId="24DA13DE" w:rsidR="00D20722" w:rsidRDefault="00D20722" w:rsidP="00D20722">
      <w:pPr>
        <w:pStyle w:val="Heading44"/>
      </w:pPr>
      <w:r w:rsidRPr="00AD46BD">
        <w:t>Section 6A: NQF Safe Practice #1 – Culture of Safety Leadership Structures and Systems</w:t>
      </w:r>
    </w:p>
    <w:p w14:paraId="31B48597" w14:textId="77777777" w:rsidR="003C64C1" w:rsidRDefault="00894C1D" w:rsidP="00D20722">
      <w:pPr>
        <w:pStyle w:val="Heading44"/>
        <w:rPr>
          <w:b w:val="0"/>
          <w:bCs/>
          <w:sz w:val="20"/>
        </w:rPr>
      </w:pPr>
      <w:r>
        <w:rPr>
          <w:b w:val="0"/>
          <w:bCs/>
          <w:sz w:val="20"/>
        </w:rPr>
        <w:t>In</w:t>
      </w:r>
      <w:r w:rsidR="000F1DB4" w:rsidRPr="000F1DB4">
        <w:rPr>
          <w:b w:val="0"/>
          <w:bCs/>
          <w:sz w:val="20"/>
        </w:rPr>
        <w:t xml:space="preserve"> consultation with Leapfrog’s </w:t>
      </w:r>
      <w:hyperlink r:id="rId368" w:history="1">
        <w:r w:rsidR="000F1DB4" w:rsidRPr="000F1DB4">
          <w:rPr>
            <w:rStyle w:val="Hyperlink"/>
            <w:b w:val="0"/>
            <w:bCs/>
            <w:sz w:val="20"/>
          </w:rPr>
          <w:t>Patient and Family Caregiver Expert Panel</w:t>
        </w:r>
      </w:hyperlink>
      <w:r w:rsidR="000F1DB4" w:rsidRPr="000F1DB4">
        <w:rPr>
          <w:b w:val="0"/>
          <w:bCs/>
          <w:sz w:val="20"/>
        </w:rPr>
        <w:t xml:space="preserve">, </w:t>
      </w:r>
      <w:r w:rsidR="003C64C1" w:rsidRPr="003C64C1">
        <w:rPr>
          <w:b w:val="0"/>
          <w:bCs/>
          <w:sz w:val="20"/>
        </w:rPr>
        <w:t>Leapfrog is updating the term used in Safe Practice 1.1b, from “patients and/or families of patients” to “patients and/or care partners,” to be inclusive of a broader population of potential active participants to consider for inclusion in the hospital-wide safety and quality committee.</w:t>
      </w:r>
    </w:p>
    <w:p w14:paraId="3F9365B0" w14:textId="77777777" w:rsidR="003C64C1" w:rsidRDefault="003C64C1" w:rsidP="00D20722">
      <w:pPr>
        <w:pStyle w:val="Heading44"/>
        <w:rPr>
          <w:b w:val="0"/>
          <w:bCs/>
          <w:sz w:val="20"/>
        </w:rPr>
      </w:pPr>
    </w:p>
    <w:p w14:paraId="330B748C" w14:textId="14B0D7E6" w:rsidR="003C64C1" w:rsidRDefault="003C64C1" w:rsidP="00D20722">
      <w:pPr>
        <w:pStyle w:val="Heading44"/>
        <w:rPr>
          <w:b w:val="0"/>
          <w:bCs/>
          <w:sz w:val="20"/>
        </w:rPr>
      </w:pPr>
      <w:r w:rsidRPr="003C64C1">
        <w:rPr>
          <w:b w:val="0"/>
          <w:bCs/>
          <w:sz w:val="20"/>
        </w:rPr>
        <w:t>Leapfrog is updating FAQ #9 in Section 1.1b to define a “patient and/or care partner” as any patient who has currently, or in the past, received care at the hospital campus, as well as their family members or other trusted individuals navigating or participating in a patient’s care at the hospital (e.g., facilitate communication, participate in consent process).</w:t>
      </w:r>
    </w:p>
    <w:p w14:paraId="10D39978" w14:textId="77777777" w:rsidR="003C64C1" w:rsidRDefault="003C64C1" w:rsidP="00D20722">
      <w:pPr>
        <w:pStyle w:val="Heading44"/>
        <w:rPr>
          <w:b w:val="0"/>
          <w:bCs/>
          <w:sz w:val="20"/>
        </w:rPr>
      </w:pPr>
    </w:p>
    <w:p w14:paraId="1A04C42B" w14:textId="0D623ECF" w:rsidR="003C64C1" w:rsidRDefault="003C64C1" w:rsidP="00D20722">
      <w:pPr>
        <w:pStyle w:val="Heading44"/>
        <w:rPr>
          <w:b w:val="0"/>
          <w:bCs/>
          <w:sz w:val="20"/>
        </w:rPr>
      </w:pPr>
      <w:r w:rsidRPr="003C64C1">
        <w:rPr>
          <w:b w:val="0"/>
          <w:bCs/>
          <w:sz w:val="20"/>
        </w:rPr>
        <w:t>Leapfrog received extensive public comments regarding a potential update to the 2027 Hospital Survey to strengthen the participation of patients and/or care partners on the hospital-wide quality and safety committee by</w:t>
      </w:r>
      <w:r>
        <w:rPr>
          <w:b w:val="0"/>
          <w:color w:val="auto"/>
          <w:sz w:val="20"/>
        </w:rPr>
        <w:t xml:space="preserve"> r</w:t>
      </w:r>
      <w:r w:rsidRPr="003C64C1">
        <w:rPr>
          <w:b w:val="0"/>
          <w:bCs/>
          <w:sz w:val="20"/>
        </w:rPr>
        <w:t>equiring two or more patients and/or care partners on committees. Commenters across stakeholder groups consistently support incorporating patients and their care partners in quality and safety committees and specifically cite the valuable feedback they have provided to hospitals in that context and the role they’ve played as partners in improving clinical care delivery. However, hospitals cited obstacles to increasing the number of representative participants and recommended that Leapfrog pursue a standard to further incorporate patients’ perspectives in quality and safety efforts that goes beyond participation in a specific committee, but instead reflects participation through other venues, including PFACs, structured post-care interviews, or other targeted ways to solicit patient feedback.</w:t>
      </w:r>
    </w:p>
    <w:p w14:paraId="171EF232" w14:textId="77777777" w:rsidR="003C64C1" w:rsidRDefault="003C64C1" w:rsidP="00D20722">
      <w:pPr>
        <w:pStyle w:val="Heading44"/>
        <w:rPr>
          <w:b w:val="0"/>
          <w:bCs/>
          <w:sz w:val="20"/>
        </w:rPr>
      </w:pPr>
    </w:p>
    <w:p w14:paraId="02016E5D" w14:textId="2E21CEB2" w:rsidR="003C64C1" w:rsidRDefault="008672E7" w:rsidP="00D20722">
      <w:pPr>
        <w:pStyle w:val="Heading44"/>
        <w:rPr>
          <w:b w:val="0"/>
          <w:bCs/>
          <w:sz w:val="20"/>
        </w:rPr>
      </w:pPr>
      <w:r w:rsidRPr="008672E7">
        <w:rPr>
          <w:b w:val="0"/>
          <w:bCs/>
          <w:sz w:val="20"/>
        </w:rPr>
        <w:t xml:space="preserve">Finally, hospitals in a health system noted that because they convene individual hospital committees at each campus, they are already hearing from numbers of patients and families, including at network committees that already will have the benefit of multiple participating patients. All comments will be reviewed with Leapfrog’s </w:t>
      </w:r>
      <w:hyperlink r:id="rId369" w:history="1">
        <w:r w:rsidRPr="008672E7">
          <w:rPr>
            <w:rStyle w:val="Hyperlink"/>
            <w:b w:val="0"/>
            <w:bCs/>
            <w:sz w:val="20"/>
          </w:rPr>
          <w:t>Expert Panel</w:t>
        </w:r>
      </w:hyperlink>
      <w:r w:rsidRPr="008672E7">
        <w:rPr>
          <w:b w:val="0"/>
          <w:bCs/>
          <w:sz w:val="20"/>
        </w:rPr>
        <w:t xml:space="preserve"> as part of Leapfrog’s regular standard review process prior to announcing any potential changes for the 2027 Leapfrog Hospital Survey.</w:t>
      </w:r>
    </w:p>
    <w:p w14:paraId="1425C31F" w14:textId="77777777" w:rsidR="00D20722" w:rsidRPr="000F1DB4" w:rsidRDefault="00D20722" w:rsidP="00D20722">
      <w:pPr>
        <w:rPr>
          <w:bCs/>
        </w:rPr>
      </w:pPr>
    </w:p>
    <w:p w14:paraId="07BB37D5" w14:textId="77777777" w:rsidR="00D20722" w:rsidRDefault="00D20722" w:rsidP="00D20722">
      <w:pPr>
        <w:pStyle w:val="Heading44"/>
      </w:pPr>
      <w:r w:rsidRPr="00AD46BD">
        <w:t>Section 6B: NQF Safe Practice #2 – Culture Measurement, Feedback, and Intervention</w:t>
      </w:r>
    </w:p>
    <w:p w14:paraId="3459A95E" w14:textId="77CA8858" w:rsidR="00D20722" w:rsidRPr="00B41AE9" w:rsidRDefault="00B41AE9" w:rsidP="00D20722">
      <w:r w:rsidRPr="00B41AE9">
        <w:t>There are no changes to this subsection</w:t>
      </w:r>
      <w:r w:rsidR="008C404D">
        <w:t xml:space="preserve">. </w:t>
      </w:r>
      <w:r w:rsidR="008C404D" w:rsidRPr="008C404D">
        <w:t xml:space="preserve">As a reminder, the AHRQ Hospital Survey on Patient Safety Culture Version 1.0 can no longer be used for the purposes of reporting on the 2026 Leapfrog Hospital Survey. Only Version 2.0 may be used. Similarly, SCORE can no longer be used for the purposes of reporting on the 2026 Leapfrog Hospital Survey. Only SCORE II may be used. Please reference the Guidelines for a Culture of Safety Survey document available on our </w:t>
      </w:r>
      <w:hyperlink r:id="rId370" w:history="1">
        <w:r w:rsidR="008C404D" w:rsidRPr="008C404D">
          <w:rPr>
            <w:rStyle w:val="Hyperlink"/>
          </w:rPr>
          <w:t>website</w:t>
        </w:r>
      </w:hyperlink>
      <w:r w:rsidR="008C404D" w:rsidRPr="008C404D">
        <w:t>.</w:t>
      </w:r>
    </w:p>
    <w:p w14:paraId="2FFFAFB4" w14:textId="77777777" w:rsidR="00B41AE9" w:rsidRPr="00AD46BD" w:rsidRDefault="00B41AE9" w:rsidP="00D20722">
      <w:pPr>
        <w:rPr>
          <w:b/>
          <w:bCs/>
        </w:rPr>
      </w:pPr>
    </w:p>
    <w:p w14:paraId="6B5D3F7D" w14:textId="256C130F" w:rsidR="00D20722" w:rsidRDefault="00D20722" w:rsidP="00E53A63">
      <w:pPr>
        <w:pStyle w:val="Heading44"/>
      </w:pPr>
      <w:r>
        <w:t>Section 6</w:t>
      </w:r>
      <w:r w:rsidR="00AA1BEF">
        <w:t>C</w:t>
      </w:r>
      <w:r>
        <w:t xml:space="preserve">: Hand Hygiene </w:t>
      </w:r>
    </w:p>
    <w:p w14:paraId="411D808D" w14:textId="1FFC0DAC" w:rsidR="005A54FF" w:rsidRPr="00C8561F" w:rsidRDefault="005A54FF" w:rsidP="00E53A63">
      <w:pPr>
        <w:pStyle w:val="Heading44"/>
        <w:rPr>
          <w:b w:val="0"/>
          <w:bCs/>
          <w:sz w:val="20"/>
        </w:rPr>
      </w:pPr>
      <w:r w:rsidRPr="00C8561F">
        <w:rPr>
          <w:b w:val="0"/>
          <w:bCs/>
          <w:sz w:val="20"/>
        </w:rPr>
        <w:t>There are no changes to this subsection.</w:t>
      </w:r>
    </w:p>
    <w:p w14:paraId="08DA0684" w14:textId="77777777" w:rsidR="00D20722" w:rsidRDefault="00D20722" w:rsidP="00552119">
      <w:pPr>
        <w:shd w:val="clear" w:color="auto" w:fill="FFFFFF"/>
        <w:contextualSpacing/>
      </w:pPr>
    </w:p>
    <w:p w14:paraId="3FE4AC54" w14:textId="77777777" w:rsidR="00620881" w:rsidRDefault="00620881" w:rsidP="00552119">
      <w:pPr>
        <w:shd w:val="clear" w:color="auto" w:fill="FFFFFF"/>
        <w:contextualSpacing/>
      </w:pPr>
      <w:r w:rsidRPr="00620881">
        <w:rPr>
          <w:b/>
          <w:bCs/>
        </w:rPr>
        <w:t>Request for Information</w:t>
      </w:r>
      <w:r w:rsidRPr="00620881">
        <w:t xml:space="preserve"> </w:t>
      </w:r>
    </w:p>
    <w:p w14:paraId="5A75A27E" w14:textId="77777777" w:rsidR="00620881" w:rsidRDefault="00620881" w:rsidP="00552119">
      <w:pPr>
        <w:shd w:val="clear" w:color="auto" w:fill="FFFFFF"/>
        <w:contextualSpacing/>
      </w:pPr>
      <w:r w:rsidRPr="00620881">
        <w:t xml:space="preserve">As part of our request for public comments, Leapfrog included a request for information and recommendations on strengthening all elements of the Hand Hygiene standard, prompted by ongoing dialogue with the Association for Professionals in Infection Control and Epidemiology (APIC). Leapfrog appreciates the over one hundred commenters that submitted information. Some comments supported APIC’s perspective that 50 observations are sufficient for monitoring. Several comments requested that Leapfrog consider alternatives to the monitoring requirements due to current burden and potential for reporting bias such as cumulative sampling and point prevalence models. Many also added that they encourage Leapfrog to maintain its current multimodal approach to hand hygiene and the five domains included while revisiting the monitoring requirements. Some commenters supported maintaining Leapfrog’s standard as is. One commenter suggested that the hand hygiene measure be removed entirely given the inclusion of associated outcomes like the healthcare-associated infections. </w:t>
      </w:r>
    </w:p>
    <w:p w14:paraId="6C31EDDD" w14:textId="77777777" w:rsidR="00620881" w:rsidRDefault="00620881" w:rsidP="00552119">
      <w:pPr>
        <w:shd w:val="clear" w:color="auto" w:fill="FFFFFF"/>
        <w:contextualSpacing/>
      </w:pPr>
    </w:p>
    <w:p w14:paraId="6D2DB345" w14:textId="7D66DD5C" w:rsidR="00620881" w:rsidRDefault="00620881" w:rsidP="00552119">
      <w:pPr>
        <w:shd w:val="clear" w:color="auto" w:fill="FFFFFF"/>
        <w:contextualSpacing/>
      </w:pPr>
      <w:r w:rsidRPr="00620881">
        <w:t xml:space="preserve">Leapfrog and its </w:t>
      </w:r>
      <w:hyperlink r:id="rId371" w:history="1">
        <w:r w:rsidRPr="00620881">
          <w:rPr>
            <w:rStyle w:val="Hyperlink"/>
          </w:rPr>
          <w:t>Hand Hygiene Expert Panel</w:t>
        </w:r>
      </w:hyperlink>
      <w:r w:rsidRPr="00620881">
        <w:t xml:space="preserve"> continue to conclude that the current monitoring standard is necessary to ensure hospitals are using reliable data on both hand hygiene compliance and changes in compliance levels. This is based on a comprehensive literature review and statistical analysis. However, given the relatively limited body of literature available on this topic and the compelling comments, Leapfrog will continue working with APIC, World Health Organization, and others to test the standard and determine if changes are merited for the 2027 Leapfrog Surveys.</w:t>
      </w:r>
    </w:p>
    <w:p w14:paraId="6C61D05D" w14:textId="77777777" w:rsidR="00620881" w:rsidRDefault="00620881" w:rsidP="00552119">
      <w:pPr>
        <w:shd w:val="clear" w:color="auto" w:fill="FFFFFF"/>
        <w:contextualSpacing/>
      </w:pPr>
    </w:p>
    <w:p w14:paraId="5908BCB9" w14:textId="3B5EAA7E" w:rsidR="004F2BE4" w:rsidRDefault="004F2BE4" w:rsidP="00C37A8D">
      <w:pPr>
        <w:pStyle w:val="Heading44"/>
      </w:pPr>
      <w:r>
        <w:t>Section 6</w:t>
      </w:r>
      <w:r w:rsidR="00AA1BEF">
        <w:t>D</w:t>
      </w:r>
      <w:r>
        <w:t>: Diagnostic Excellence</w:t>
      </w:r>
    </w:p>
    <w:p w14:paraId="27086169" w14:textId="665D397C" w:rsidR="00BE1F8C" w:rsidRDefault="00BE1F8C" w:rsidP="00C37A8D">
      <w:pPr>
        <w:pStyle w:val="Heading44"/>
        <w:rPr>
          <w:b w:val="0"/>
          <w:bCs/>
          <w:sz w:val="20"/>
        </w:rPr>
      </w:pPr>
      <w:r w:rsidRPr="00BE1F8C">
        <w:rPr>
          <w:b w:val="0"/>
          <w:bCs/>
          <w:sz w:val="20"/>
        </w:rPr>
        <w:t>To better assess overall national performance in this emerging area of patient safety, Leapfrog is requiring hospitals to report on Section 6D: Diagnostic Excellence beginning with the 2026 Leapfrog Hospital Survey. However, responses will not be scored or publicly reported.</w:t>
      </w:r>
    </w:p>
    <w:p w14:paraId="24FEF078" w14:textId="77777777" w:rsidR="00BE1F8C" w:rsidRDefault="00BE1F8C" w:rsidP="00C37A8D">
      <w:pPr>
        <w:pStyle w:val="Heading44"/>
        <w:rPr>
          <w:b w:val="0"/>
          <w:bCs/>
          <w:sz w:val="20"/>
        </w:rPr>
      </w:pPr>
    </w:p>
    <w:p w14:paraId="35AAD1D1" w14:textId="765B97D3" w:rsidR="00B41AE9" w:rsidRDefault="00BE1F8C" w:rsidP="00C37A8D">
      <w:pPr>
        <w:pStyle w:val="Heading44"/>
        <w:rPr>
          <w:b w:val="0"/>
          <w:bCs/>
          <w:sz w:val="20"/>
        </w:rPr>
      </w:pPr>
      <w:r w:rsidRPr="00BE1F8C">
        <w:rPr>
          <w:b w:val="0"/>
          <w:bCs/>
          <w:sz w:val="20"/>
        </w:rPr>
        <w:t xml:space="preserve">Leapfrog is removing several questions in this subsection to focus on the most effective evidence-based practices to reduce diagnostic errors, including convening a multidisciplinary team; leveraging that team to collect and review data, encourage data submission, assess progress on the Safer Dx Checklist; training staff using AHRQ’s </w:t>
      </w:r>
      <w:proofErr w:type="spellStart"/>
      <w:r w:rsidRPr="00BE1F8C">
        <w:rPr>
          <w:b w:val="0"/>
          <w:bCs/>
          <w:sz w:val="20"/>
        </w:rPr>
        <w:t>TeamSTEPPS</w:t>
      </w:r>
      <w:proofErr w:type="spellEnd"/>
      <w:r w:rsidRPr="00BE1F8C">
        <w:rPr>
          <w:b w:val="0"/>
          <w:bCs/>
          <w:sz w:val="20"/>
        </w:rPr>
        <w:t xml:space="preserve"> for Diagnosis Improvement, and convening emergency medicine staff, radiologists, and pathologists, to develop and implement protocols to reduce the incidence of diagnostic errors.</w:t>
      </w:r>
      <w:r w:rsidR="00B41AE9" w:rsidRPr="00B41AE9">
        <w:rPr>
          <w:b w:val="0"/>
          <w:bCs/>
          <w:sz w:val="20"/>
        </w:rPr>
        <w:t xml:space="preserve">. </w:t>
      </w:r>
    </w:p>
    <w:p w14:paraId="33D28D9B" w14:textId="77777777" w:rsidR="00B41AE9" w:rsidRDefault="00B41AE9" w:rsidP="00C37A8D">
      <w:pPr>
        <w:pStyle w:val="Heading44"/>
        <w:rPr>
          <w:b w:val="0"/>
          <w:bCs/>
          <w:sz w:val="20"/>
        </w:rPr>
      </w:pPr>
    </w:p>
    <w:p w14:paraId="71F1483E" w14:textId="7540037B" w:rsidR="00B41AE9" w:rsidRDefault="00B41AE9" w:rsidP="00C37A8D">
      <w:pPr>
        <w:pStyle w:val="Heading44"/>
        <w:rPr>
          <w:b w:val="0"/>
          <w:bCs/>
          <w:sz w:val="20"/>
        </w:rPr>
      </w:pPr>
      <w:r w:rsidRPr="00B41AE9">
        <w:rPr>
          <w:b w:val="0"/>
          <w:bCs/>
          <w:sz w:val="20"/>
        </w:rPr>
        <w:t>Progress on implementing these best practices will be assessed by eight questions, compared to 22 questions from the 2025 Hospital Survey.</w:t>
      </w:r>
    </w:p>
    <w:p w14:paraId="2D69B4C6" w14:textId="77777777" w:rsidR="006659EB" w:rsidRDefault="006659EB" w:rsidP="00C37A8D">
      <w:pPr>
        <w:pStyle w:val="Heading44"/>
        <w:rPr>
          <w:b w:val="0"/>
          <w:bCs/>
          <w:sz w:val="20"/>
        </w:rPr>
      </w:pPr>
    </w:p>
    <w:p w14:paraId="3278827D" w14:textId="77777777" w:rsidR="001F4F03" w:rsidRDefault="001F4F03" w:rsidP="001F4F03">
      <w:pPr>
        <w:pStyle w:val="Heading44"/>
        <w:rPr>
          <w:b w:val="0"/>
          <w:bCs/>
          <w:sz w:val="20"/>
        </w:rPr>
      </w:pPr>
      <w:r w:rsidRPr="001F4F03">
        <w:rPr>
          <w:b w:val="0"/>
          <w:bCs/>
          <w:sz w:val="20"/>
        </w:rPr>
        <w:t>We removed the following questions:</w:t>
      </w:r>
    </w:p>
    <w:p w14:paraId="74512A99" w14:textId="77777777" w:rsidR="00DB2035" w:rsidRDefault="00DB2035" w:rsidP="00DB2035">
      <w:pPr>
        <w:pStyle w:val="Heading44"/>
        <w:numPr>
          <w:ilvl w:val="0"/>
          <w:numId w:val="464"/>
        </w:numPr>
        <w:rPr>
          <w:b w:val="0"/>
          <w:bCs/>
          <w:sz w:val="20"/>
        </w:rPr>
      </w:pPr>
      <w:r w:rsidRPr="00DB2035">
        <w:rPr>
          <w:b w:val="0"/>
          <w:bCs/>
          <w:sz w:val="20"/>
        </w:rPr>
        <w:t xml:space="preserve">Questions #1 and #2, concerning hospital CEO or CMO commitment to reducing harm to patients due to diagnostic error and communicating specific actions as part of that commitment. </w:t>
      </w:r>
    </w:p>
    <w:p w14:paraId="47DA993B" w14:textId="5E2E314A" w:rsidR="00DB2035" w:rsidRDefault="00DB2035" w:rsidP="00DB2035">
      <w:pPr>
        <w:pStyle w:val="Heading44"/>
        <w:numPr>
          <w:ilvl w:val="1"/>
          <w:numId w:val="464"/>
        </w:numPr>
        <w:rPr>
          <w:b w:val="0"/>
          <w:bCs/>
          <w:sz w:val="20"/>
        </w:rPr>
      </w:pPr>
      <w:r w:rsidRPr="00DB2035">
        <w:rPr>
          <w:b w:val="0"/>
          <w:bCs/>
          <w:sz w:val="20"/>
        </w:rPr>
        <w:t xml:space="preserve">Note: The hospital’s CEO or CMO is still required to formally sponsor the multidisciplinary team, as well as review quarterly reports from the team and facilitate a report-out to the hospital board every year. As such, the hospital CEO and CMO are still required to meaningfully and publicly engage with staff to reduce harm to patients from diagnostic error; this question is being removed to streamline reporting. </w:t>
      </w:r>
    </w:p>
    <w:p w14:paraId="1BD2550C" w14:textId="77777777" w:rsidR="00DB2035" w:rsidRDefault="00DB2035" w:rsidP="00DB2035">
      <w:pPr>
        <w:pStyle w:val="Heading44"/>
        <w:numPr>
          <w:ilvl w:val="0"/>
          <w:numId w:val="464"/>
        </w:numPr>
        <w:rPr>
          <w:b w:val="0"/>
          <w:bCs/>
          <w:sz w:val="20"/>
        </w:rPr>
      </w:pPr>
      <w:r w:rsidRPr="00DB2035">
        <w:rPr>
          <w:b w:val="0"/>
          <w:bCs/>
          <w:sz w:val="20"/>
        </w:rPr>
        <w:t xml:space="preserve">Questions #3 and #4, concerning engaging with Patient and Family Advisory Councils (PFACs) on initiatives aimed at reducing errors in diagnosis. </w:t>
      </w:r>
    </w:p>
    <w:p w14:paraId="57B3309D" w14:textId="21EEA664" w:rsidR="0081747C" w:rsidRDefault="00DB2035" w:rsidP="00DB2035">
      <w:pPr>
        <w:pStyle w:val="Heading44"/>
        <w:numPr>
          <w:ilvl w:val="1"/>
          <w:numId w:val="464"/>
        </w:numPr>
        <w:rPr>
          <w:b w:val="0"/>
          <w:bCs/>
          <w:sz w:val="20"/>
        </w:rPr>
      </w:pPr>
      <w:r w:rsidRPr="00DB2035">
        <w:rPr>
          <w:b w:val="0"/>
          <w:bCs/>
          <w:sz w:val="20"/>
        </w:rPr>
        <w:t>Note: Leapfrog is adding a new requirement, that the hospital’s multidisciplinary team must include at least one patient and/or care partner (for example, the patient and/or care partner currently serving on the patient safety committee). The Agency for Healthcare Research and Quality has specifically cited including patients as members of quality and safety committees as a “next step” beyond convening a patient and family advisory council, representing a progressive incremental step in patient and care partner engagement (AHRQ Working with Patients and Families as Advisors Implementation Handbook). A majority of hospitals that report to the Leapfrog Hospital Survey have incorporated patients and care partners in their hospital-wide quality and safety committees; hospitals that elect to use these committees as an opportunity to prioritize diagnosis work by dedicating specific time on their agenda to diagnosis can continue to use the same patient and/or care partners, or use this opportunity to engage additional individuals.</w:t>
      </w:r>
    </w:p>
    <w:p w14:paraId="17B5E84E" w14:textId="77777777" w:rsidR="00790C31" w:rsidRDefault="00BB5567" w:rsidP="00BB5567">
      <w:pPr>
        <w:pStyle w:val="Heading44"/>
        <w:numPr>
          <w:ilvl w:val="0"/>
          <w:numId w:val="464"/>
        </w:numPr>
        <w:rPr>
          <w:b w:val="0"/>
          <w:bCs/>
          <w:sz w:val="20"/>
        </w:rPr>
      </w:pPr>
      <w:r w:rsidRPr="00BB5567">
        <w:rPr>
          <w:b w:val="0"/>
          <w:bCs/>
          <w:sz w:val="20"/>
        </w:rPr>
        <w:t xml:space="preserve">Question #8, concerning whether the multidisciplinary team focused on diagnostic excellence has educated staff on their efforts to reduce errors in diagnosis. </w:t>
      </w:r>
    </w:p>
    <w:p w14:paraId="2866F4DA" w14:textId="77777777" w:rsidR="00790C31" w:rsidRDefault="00790C31" w:rsidP="00BB5567">
      <w:pPr>
        <w:pStyle w:val="Heading44"/>
        <w:numPr>
          <w:ilvl w:val="0"/>
          <w:numId w:val="464"/>
        </w:numPr>
        <w:rPr>
          <w:b w:val="0"/>
          <w:bCs/>
          <w:sz w:val="20"/>
        </w:rPr>
      </w:pPr>
      <w:r>
        <w:rPr>
          <w:b w:val="0"/>
          <w:bCs/>
          <w:sz w:val="20"/>
        </w:rPr>
        <w:t>Q</w:t>
      </w:r>
      <w:r w:rsidR="00BB5567" w:rsidRPr="00BB5567">
        <w:rPr>
          <w:b w:val="0"/>
          <w:bCs/>
          <w:sz w:val="20"/>
        </w:rPr>
        <w:t xml:space="preserve">uestion #10, concerning whether the multidisciplinary team conducted any analyses or case reviews within four weeks of a diagnostic error being identified and ensured the findings were communicated to the individuals involved in the patient’s care and hospital leadership. </w:t>
      </w:r>
    </w:p>
    <w:p w14:paraId="192EDB32" w14:textId="031E3225" w:rsidR="00DB2035" w:rsidRDefault="00BB5567" w:rsidP="00BB5567">
      <w:pPr>
        <w:pStyle w:val="Heading44"/>
        <w:numPr>
          <w:ilvl w:val="0"/>
          <w:numId w:val="464"/>
        </w:numPr>
        <w:rPr>
          <w:b w:val="0"/>
          <w:bCs/>
          <w:sz w:val="20"/>
        </w:rPr>
      </w:pPr>
      <w:r w:rsidRPr="00BB5567">
        <w:rPr>
          <w:b w:val="0"/>
          <w:bCs/>
          <w:sz w:val="20"/>
        </w:rPr>
        <w:t>Questions #12 and #14, concerning the multidisciplinary team convening emergency medicine staff to identify commonly misdiagnosed conditions in the emergency department, as well as convening radiologists and pathologists to discuss diagnosis related issues. Instead, questions #13 and #15 are updated to capture this information.</w:t>
      </w:r>
    </w:p>
    <w:p w14:paraId="3716F8C3" w14:textId="5FADE7FE" w:rsidR="00DB2035" w:rsidRPr="00790C31" w:rsidRDefault="00790C31" w:rsidP="00DB2035">
      <w:pPr>
        <w:pStyle w:val="Heading44"/>
        <w:numPr>
          <w:ilvl w:val="0"/>
          <w:numId w:val="464"/>
        </w:numPr>
        <w:rPr>
          <w:b w:val="0"/>
          <w:bCs/>
          <w:sz w:val="20"/>
        </w:rPr>
      </w:pPr>
      <w:r w:rsidRPr="00790C31">
        <w:rPr>
          <w:b w:val="0"/>
          <w:bCs/>
          <w:sz w:val="20"/>
        </w:rPr>
        <w:t>Questions #17-22, assessing hospitals’ processes for assessing whether certain cancer diagnoses were communicated to patients or the ordering provider of the diagnostic test (closing the loop on cancer diagnosis).</w:t>
      </w:r>
    </w:p>
    <w:p w14:paraId="766FE48D" w14:textId="77777777" w:rsidR="00DB2035" w:rsidRDefault="00DB2035" w:rsidP="00DB2035">
      <w:pPr>
        <w:pStyle w:val="Heading44"/>
        <w:rPr>
          <w:b w:val="0"/>
          <w:bCs/>
          <w:sz w:val="20"/>
        </w:rPr>
      </w:pPr>
    </w:p>
    <w:p w14:paraId="3CE7A4B9" w14:textId="77777777" w:rsidR="00DB2035" w:rsidRDefault="00DB2035" w:rsidP="00DB2035">
      <w:pPr>
        <w:pStyle w:val="Heading44"/>
        <w:rPr>
          <w:b w:val="0"/>
          <w:bCs/>
          <w:sz w:val="20"/>
        </w:rPr>
      </w:pPr>
    </w:p>
    <w:p w14:paraId="19E71124" w14:textId="5CFC9271" w:rsidR="0081747C" w:rsidRDefault="0081747C" w:rsidP="0081747C">
      <w:pPr>
        <w:pStyle w:val="Heading44"/>
        <w:rPr>
          <w:b w:val="0"/>
          <w:bCs/>
          <w:sz w:val="20"/>
        </w:rPr>
      </w:pPr>
      <w:r w:rsidRPr="0081747C">
        <w:rPr>
          <w:b w:val="0"/>
          <w:bCs/>
          <w:sz w:val="20"/>
        </w:rPr>
        <w:t xml:space="preserve">In addition, </w:t>
      </w:r>
      <w:r w:rsidR="00337E47" w:rsidRPr="00337E47">
        <w:rPr>
          <w:b w:val="0"/>
          <w:bCs/>
          <w:sz w:val="20"/>
        </w:rPr>
        <w:t>Leapfrog is updating the current question #1, regarding whether a hospital has convened a multidisciplinary team focused on diagnostic excellence, in two key aspects:</w:t>
      </w:r>
    </w:p>
    <w:p w14:paraId="349BE2E0" w14:textId="77777777" w:rsidR="00337E47" w:rsidRDefault="00337E47" w:rsidP="0081747C">
      <w:pPr>
        <w:pStyle w:val="Heading44"/>
        <w:rPr>
          <w:b w:val="0"/>
          <w:bCs/>
          <w:sz w:val="20"/>
        </w:rPr>
      </w:pPr>
    </w:p>
    <w:p w14:paraId="70A6C969" w14:textId="77777777" w:rsidR="000A1580" w:rsidRDefault="000A1580" w:rsidP="000A1580">
      <w:pPr>
        <w:pStyle w:val="Heading44"/>
        <w:numPr>
          <w:ilvl w:val="0"/>
          <w:numId w:val="466"/>
        </w:numPr>
        <w:rPr>
          <w:b w:val="0"/>
          <w:bCs/>
          <w:sz w:val="20"/>
        </w:rPr>
      </w:pPr>
      <w:r w:rsidRPr="000A1580">
        <w:rPr>
          <w:b w:val="0"/>
          <w:bCs/>
          <w:sz w:val="20"/>
        </w:rPr>
        <w:t xml:space="preserve">First, Leapfrog is revising the guidance embedded in the question to read: “The multidisciplinary team can be the established hospital-wide safety and quality committee if the committee has a dedicated agenda item at least quarterly to review efforts focused on reducing harm to patients from errors in the diagnostic process.” </w:t>
      </w:r>
    </w:p>
    <w:p w14:paraId="402DDA28" w14:textId="77777777" w:rsidR="000A1580" w:rsidRDefault="000A1580" w:rsidP="000A1580">
      <w:pPr>
        <w:pStyle w:val="Heading44"/>
        <w:ind w:left="720"/>
        <w:rPr>
          <w:b w:val="0"/>
          <w:bCs/>
          <w:sz w:val="20"/>
        </w:rPr>
      </w:pPr>
    </w:p>
    <w:p w14:paraId="6976E42E" w14:textId="77777777" w:rsidR="00114D75" w:rsidRDefault="000A1580" w:rsidP="00114D75">
      <w:pPr>
        <w:pStyle w:val="Heading44"/>
        <w:ind w:left="720"/>
        <w:rPr>
          <w:b w:val="0"/>
          <w:bCs/>
          <w:sz w:val="20"/>
        </w:rPr>
      </w:pPr>
      <w:r w:rsidRPr="000A1580">
        <w:rPr>
          <w:b w:val="0"/>
          <w:bCs/>
          <w:sz w:val="20"/>
        </w:rPr>
        <w:t xml:space="preserve">In prior years, the guidance indicated that the multidisciplinary team should be a distinct entity and separate from the established hospital-wide safety and quality committee. However, in response to hospital feedback and in consultation with our </w:t>
      </w:r>
      <w:hyperlink r:id="rId372" w:history="1">
        <w:r w:rsidRPr="000A1580">
          <w:rPr>
            <w:rStyle w:val="Hyperlink"/>
            <w:b w:val="0"/>
            <w:bCs/>
            <w:sz w:val="20"/>
          </w:rPr>
          <w:t>Diagnostic Excellence Expert Panel</w:t>
        </w:r>
      </w:hyperlink>
      <w:r w:rsidRPr="000A1580">
        <w:rPr>
          <w:b w:val="0"/>
          <w:bCs/>
          <w:sz w:val="20"/>
        </w:rPr>
        <w:t xml:space="preserve">, Leapfrog determined that a safety and quality committee with dedicated time for discussion meets the intent of the question. </w:t>
      </w:r>
      <w:r w:rsidR="0081747C" w:rsidRPr="0081747C">
        <w:rPr>
          <w:b w:val="0"/>
          <w:bCs/>
          <w:sz w:val="20"/>
        </w:rPr>
        <w:t xml:space="preserve"> </w:t>
      </w:r>
    </w:p>
    <w:p w14:paraId="586721BA" w14:textId="77777777" w:rsidR="00114D75" w:rsidRDefault="00114D75" w:rsidP="00114D75">
      <w:pPr>
        <w:pStyle w:val="Heading44"/>
        <w:ind w:left="720"/>
        <w:rPr>
          <w:b w:val="0"/>
          <w:bCs/>
          <w:sz w:val="20"/>
        </w:rPr>
      </w:pPr>
    </w:p>
    <w:p w14:paraId="6F59B4D2" w14:textId="65D9A409" w:rsidR="002A1378" w:rsidRDefault="00114D75" w:rsidP="00114D75">
      <w:pPr>
        <w:pStyle w:val="Heading44"/>
        <w:numPr>
          <w:ilvl w:val="0"/>
          <w:numId w:val="466"/>
        </w:numPr>
        <w:rPr>
          <w:b w:val="0"/>
          <w:bCs/>
          <w:sz w:val="20"/>
        </w:rPr>
      </w:pPr>
      <w:r w:rsidRPr="00114D75">
        <w:rPr>
          <w:b w:val="0"/>
          <w:bCs/>
          <w:sz w:val="20"/>
        </w:rPr>
        <w:t>Second, Leapfrog is updating the wording of question #1 to read “does your hospital have a multidisciplinary team,” a change from the previous “does your hospital convene a multidisciplinary team,” to allow hospitals who belong to a system that has convened a system-level committee focused on diagnostic excellence to use that team to guide efforts at both a system level and on individual campuses.</w:t>
      </w:r>
    </w:p>
    <w:p w14:paraId="2768F585" w14:textId="77777777" w:rsidR="00C833AB" w:rsidRDefault="00C833AB" w:rsidP="00C833AB">
      <w:pPr>
        <w:pStyle w:val="Heading44"/>
        <w:ind w:left="720"/>
        <w:rPr>
          <w:b w:val="0"/>
          <w:bCs/>
          <w:sz w:val="20"/>
        </w:rPr>
      </w:pPr>
    </w:p>
    <w:p w14:paraId="3F20A78E" w14:textId="077A1451" w:rsidR="00114D75" w:rsidRDefault="00C833AB" w:rsidP="00114D75">
      <w:pPr>
        <w:pStyle w:val="Heading44"/>
        <w:numPr>
          <w:ilvl w:val="0"/>
          <w:numId w:val="466"/>
        </w:numPr>
        <w:rPr>
          <w:b w:val="0"/>
          <w:bCs/>
          <w:sz w:val="20"/>
        </w:rPr>
      </w:pPr>
      <w:r w:rsidRPr="00C833AB">
        <w:rPr>
          <w:b w:val="0"/>
          <w:bCs/>
          <w:sz w:val="20"/>
        </w:rPr>
        <w:t>Third and finally, as indicated above, Leapfrog now requires that the multidisciplinary team include at least one patient and/or care partner.</w:t>
      </w:r>
    </w:p>
    <w:p w14:paraId="603AA8B9" w14:textId="77777777" w:rsidR="00165BD9" w:rsidRDefault="00165BD9" w:rsidP="00237089"/>
    <w:p w14:paraId="60566BA6" w14:textId="15EBCB9E" w:rsidR="000B2069" w:rsidRDefault="002A1378" w:rsidP="00237089">
      <w:r w:rsidRPr="002A1378">
        <w:t xml:space="preserve">Furthermore, Leapfrog </w:t>
      </w:r>
      <w:r w:rsidR="00C833AB">
        <w:t>is updating</w:t>
      </w:r>
      <w:r w:rsidRPr="002A1378">
        <w:t xml:space="preserve"> the response options to indicate that if a different team at the hospital met the requirements of questions #</w:t>
      </w:r>
      <w:r w:rsidR="00C833AB">
        <w:t>3 and #4</w:t>
      </w:r>
      <w:r w:rsidRPr="002A1378">
        <w:t xml:space="preserve">, that team must also present their findings to the multidisciplinary team. </w:t>
      </w:r>
    </w:p>
    <w:p w14:paraId="5B32A476" w14:textId="77777777" w:rsidR="000B2069" w:rsidRDefault="000B2069" w:rsidP="00237089"/>
    <w:p w14:paraId="376E0460" w14:textId="7A7C09BA" w:rsidR="00CC1108" w:rsidRDefault="00CC1108" w:rsidP="00237089">
      <w:r w:rsidRPr="00CC1108">
        <w:t xml:space="preserve">To clarify the current question #6 and question #7, Leapfrog is adding a response option “Yes, but all practices are currently fully implemented” to question #6, and rephrasing question #7 to read “What steps has your hospital taken to implement one or more practices listed in the </w:t>
      </w:r>
      <w:hyperlink r:id="rId373" w:history="1">
        <w:r w:rsidRPr="00CC1108">
          <w:rPr>
            <w:rStyle w:val="Hyperlink"/>
          </w:rPr>
          <w:t>Safer Dx Checklist</w:t>
        </w:r>
      </w:hyperlink>
      <w:r w:rsidRPr="00CC1108">
        <w:t xml:space="preserve">?”. </w:t>
      </w:r>
    </w:p>
    <w:p w14:paraId="3AD9BC2D" w14:textId="77777777" w:rsidR="00CC1108" w:rsidRDefault="00CC1108" w:rsidP="00237089"/>
    <w:p w14:paraId="5D6324DE" w14:textId="12AABB22" w:rsidR="00CC1108" w:rsidRDefault="00CC1108" w:rsidP="00237089">
      <w:r w:rsidRPr="00CC1108">
        <w:t>To further clarify terminology used throughout this section, Leapfrog is replacing the term “errors in diagnosis” with “errors in the diagnostic process”, where applicable.</w:t>
      </w:r>
    </w:p>
    <w:p w14:paraId="363AFA80" w14:textId="77777777" w:rsidR="00CC1108" w:rsidRDefault="00CC1108" w:rsidP="00237089"/>
    <w:p w14:paraId="645A834E" w14:textId="5CFE0C35" w:rsidR="002E757E" w:rsidRDefault="002A1378" w:rsidP="00CC1108">
      <w:r w:rsidRPr="002A1378">
        <w:t xml:space="preserve">Finally, although Leapfrog </w:t>
      </w:r>
      <w:r w:rsidR="00CC1108">
        <w:t>is removing former</w:t>
      </w:r>
      <w:r w:rsidRPr="002A1378">
        <w:t xml:space="preserve"> questions #3, #4, and #10 in this subsection, the underlying diagnostic safety concepts associated with these questions remain important and addressable by hospitals using resources created by Leapfrog as part of our </w:t>
      </w:r>
      <w:hyperlink r:id="rId374" w:history="1">
        <w:r w:rsidRPr="000B2069">
          <w:rPr>
            <w:rStyle w:val="Hyperlink"/>
          </w:rPr>
          <w:t>Diagnostic Excellence initiative</w:t>
        </w:r>
      </w:hyperlink>
      <w:r w:rsidRPr="002A1378">
        <w:t xml:space="preserve">. As such, Leapfrog </w:t>
      </w:r>
      <w:r w:rsidR="004616D4">
        <w:t xml:space="preserve">is adding </w:t>
      </w:r>
      <w:r w:rsidRPr="002A1378">
        <w:t>two new FAQs to Section 6D: Diagnostic Excellence to direct hospitals to these resources:</w:t>
      </w:r>
      <w:r>
        <w:t xml:space="preserve"> </w:t>
      </w:r>
    </w:p>
    <w:p w14:paraId="49592183" w14:textId="77777777" w:rsidR="002A1378" w:rsidRDefault="002A1378" w:rsidP="00237089"/>
    <w:p w14:paraId="76035B9E" w14:textId="5ECB0C1E" w:rsidR="007B6C72" w:rsidRPr="00A851D1" w:rsidRDefault="007B6C72" w:rsidP="006B04C2">
      <w:pPr>
        <w:shd w:val="clear" w:color="auto" w:fill="FFFFFF"/>
        <w:contextualSpacing/>
        <w:rPr>
          <w:b/>
          <w:bCs/>
        </w:rPr>
      </w:pPr>
      <w:bookmarkStart w:id="511" w:name="_Toc510001899"/>
      <w:r w:rsidRPr="00A851D1">
        <w:rPr>
          <w:b/>
          <w:bCs/>
        </w:rPr>
        <w:t xml:space="preserve">Section 6E: </w:t>
      </w:r>
      <w:r w:rsidR="00E05CA0" w:rsidRPr="00A851D1">
        <w:rPr>
          <w:b/>
          <w:bCs/>
        </w:rPr>
        <w:t xml:space="preserve">Hospital Boarding in the </w:t>
      </w:r>
      <w:r w:rsidRPr="00A851D1">
        <w:rPr>
          <w:b/>
          <w:bCs/>
        </w:rPr>
        <w:t>Emergency Department (ED)</w:t>
      </w:r>
    </w:p>
    <w:p w14:paraId="0E79414D" w14:textId="026E2352" w:rsidR="00A851D1" w:rsidRDefault="00A851D1" w:rsidP="006B04C2">
      <w:pPr>
        <w:shd w:val="clear" w:color="auto" w:fill="FFFFFF"/>
        <w:contextualSpacing/>
      </w:pPr>
      <w:r w:rsidRPr="00A851D1">
        <w:t>In 2025, Leapfrog announced the decision to begin reporting on Emergency Department (ED) safety, recognizing the ED’s essential role in patient outcomes and importance to consumers and purchasers. As the first step in that</w:t>
      </w:r>
      <w:r w:rsidR="00887672" w:rsidRPr="00887672">
        <w:t xml:space="preserve"> reporting, the 2025 Leapfrog Hospital Survey introduced three fact-finding measures on hospital boarding in the ED. These included: the percentage of ED patients that are admitted to the hospital or for observation that had a boarding time greater than four hours, the median length of stay in the ED for patients admitted to the hospital or for observation, and the 90th percentile length of stay in the ED for patients admitted to the hospital or for observation. These measures excluded patients that were placed in ED observation status or transferred to another hospital.</w:t>
      </w:r>
    </w:p>
    <w:p w14:paraId="21CFD489" w14:textId="77777777" w:rsidR="00887672" w:rsidRDefault="00887672" w:rsidP="006B04C2">
      <w:pPr>
        <w:shd w:val="clear" w:color="auto" w:fill="FFFFFF"/>
        <w:contextualSpacing/>
      </w:pPr>
    </w:p>
    <w:p w14:paraId="113C7048" w14:textId="4790385D" w:rsidR="00887672" w:rsidRPr="00A851D1" w:rsidRDefault="00887672" w:rsidP="006B04C2">
      <w:pPr>
        <w:shd w:val="clear" w:color="auto" w:fill="FFFFFF"/>
        <w:contextualSpacing/>
      </w:pPr>
      <w:r w:rsidRPr="00887672">
        <w:t>Leapfrog is making several refinements to last year’s questions and measure specifications and will add one new question for the 2026 Leapfrog Hospital Survey, aimed at standardizing data collection, improving clarity, and strengthening the foundation for future benchmarking and public reporting.</w:t>
      </w:r>
      <w:r>
        <w:t xml:space="preserve"> </w:t>
      </w:r>
    </w:p>
    <w:p w14:paraId="1E493E1E" w14:textId="77777777" w:rsidR="006B04C2" w:rsidRDefault="006B04C2" w:rsidP="006B04C2">
      <w:pPr>
        <w:shd w:val="clear" w:color="auto" w:fill="FFFFFF"/>
        <w:contextualSpacing/>
      </w:pPr>
    </w:p>
    <w:p w14:paraId="1EE917EC" w14:textId="6A67FDF4" w:rsidR="00707FAB" w:rsidRDefault="006B04C2" w:rsidP="006B04C2">
      <w:pPr>
        <w:shd w:val="clear" w:color="auto" w:fill="FFFFFF"/>
        <w:contextualSpacing/>
      </w:pPr>
      <w:r w:rsidRPr="006B04C2">
        <w:t xml:space="preserve">First, based on feedback from Leapfrog’s </w:t>
      </w:r>
      <w:hyperlink r:id="rId375" w:history="1">
        <w:r w:rsidRPr="00694F51">
          <w:rPr>
            <w:rStyle w:val="Hyperlink"/>
          </w:rPr>
          <w:t>Emergency Department Boarding Expert Panel</w:t>
        </w:r>
      </w:hyperlink>
      <w:r w:rsidRPr="006B04C2">
        <w:t xml:space="preserve">, </w:t>
      </w:r>
      <w:r w:rsidR="00887672" w:rsidRPr="00887672">
        <w:t xml:space="preserve">we are updating questions #4 and #5 and asking hospitals to additionally report the </w:t>
      </w:r>
      <w:r w:rsidR="00887672" w:rsidRPr="00005079">
        <w:rPr>
          <w:u w:val="single"/>
        </w:rPr>
        <w:t>total boarding time (in hours)</w:t>
      </w:r>
      <w:r w:rsidR="00887672" w:rsidRPr="00887672">
        <w:t xml:space="preserve"> for all ED visits with an inpatient admission or where the patient was placed in hospital observation status. This will allow Leapfrog to understand the average hours patients admitted to the hospital boarded in the ED</w:t>
      </w:r>
      <w:r w:rsidR="00005079">
        <w:t xml:space="preserve">. </w:t>
      </w:r>
      <w:r w:rsidR="00887672" w:rsidRPr="00887672">
        <w:t>This information will complement the existing data collected about patients that board for four or more hours.</w:t>
      </w:r>
    </w:p>
    <w:p w14:paraId="513C38E0" w14:textId="77777777" w:rsidR="00887672" w:rsidRDefault="00887672" w:rsidP="006B04C2">
      <w:pPr>
        <w:shd w:val="clear" w:color="auto" w:fill="FFFFFF"/>
        <w:contextualSpacing/>
      </w:pPr>
    </w:p>
    <w:p w14:paraId="6E877079" w14:textId="77777777" w:rsidR="00005079" w:rsidRDefault="00005079" w:rsidP="006B04C2">
      <w:r w:rsidRPr="00005079">
        <w:t xml:space="preserve">Second, the notes and measure specifications will be updated for clarity and to support standardized data collection. Specifically, the definitions for boarding time, guidance for hospitals operating a single general ED that are admitting pediatric patients to adult inpatient beds or adult observation beds, and guidance for hospitals admitting patients to licensed detox beds. </w:t>
      </w:r>
    </w:p>
    <w:p w14:paraId="668CEDA5" w14:textId="77777777" w:rsidR="00005079" w:rsidRDefault="00005079" w:rsidP="006B04C2"/>
    <w:p w14:paraId="716FC1BA" w14:textId="77777777" w:rsidR="00005079" w:rsidRDefault="00005079" w:rsidP="006B04C2">
      <w:r w:rsidRPr="00005079">
        <w:t xml:space="preserve">Finally, four new FAQs will be added to provide additional clarification regarding reporting expectations and definitions. </w:t>
      </w:r>
    </w:p>
    <w:p w14:paraId="18FA84E4" w14:textId="77777777" w:rsidR="00005079" w:rsidRDefault="00005079" w:rsidP="006B04C2"/>
    <w:p w14:paraId="5FBE84B8" w14:textId="6767ECF6" w:rsidR="006B04C2" w:rsidRDefault="00005079" w:rsidP="006B04C2">
      <w:r w:rsidRPr="00005079">
        <w:t>These questions will remain optional and will not be used in scoring or public reporting in 2026.</w:t>
      </w:r>
    </w:p>
    <w:p w14:paraId="085F3150" w14:textId="77777777" w:rsidR="00005079" w:rsidRPr="006B04C2" w:rsidRDefault="00005079" w:rsidP="006B04C2">
      <w:pPr>
        <w:rPr>
          <w:lang w:eastAsia="ja-JP"/>
        </w:rPr>
      </w:pPr>
    </w:p>
    <w:p w14:paraId="41458768" w14:textId="2F65F8B7" w:rsidR="00563CD7" w:rsidRDefault="00563CD7" w:rsidP="00AB5B80">
      <w:pPr>
        <w:pStyle w:val="Heading3"/>
      </w:pPr>
      <w:bookmarkStart w:id="512" w:name="_Toc225877793"/>
      <w:r w:rsidRPr="00BC2D78">
        <w:rPr>
          <w:rFonts w:hint="eastAsia"/>
        </w:rPr>
        <w:t>Change Summary</w:t>
      </w:r>
      <w:bookmarkEnd w:id="509"/>
      <w:r w:rsidRPr="00BC2D78">
        <w:rPr>
          <w:rFonts w:hint="eastAsia"/>
        </w:rPr>
        <w:t xml:space="preserve"> </w:t>
      </w:r>
      <w:r w:rsidR="00764EEA">
        <w:t>S</w:t>
      </w:r>
      <w:r w:rsidRPr="00BC2D78">
        <w:rPr>
          <w:rFonts w:hint="eastAsia"/>
        </w:rPr>
        <w:t>ince Release</w:t>
      </w:r>
      <w:bookmarkEnd w:id="510"/>
      <w:bookmarkEnd w:id="511"/>
      <w:bookmarkEnd w:id="512"/>
    </w:p>
    <w:p w14:paraId="6B2801DE" w14:textId="77777777" w:rsidR="00C26E31" w:rsidRPr="00C26E31" w:rsidRDefault="00C26E31" w:rsidP="00C26E31">
      <w:pPr>
        <w:rPr>
          <w:lang w:eastAsia="ja-JP"/>
        </w:rPr>
      </w:pPr>
    </w:p>
    <w:p w14:paraId="4CE87D12" w14:textId="047D46E6" w:rsidR="00345F52" w:rsidRPr="00C26E31" w:rsidRDefault="008609DB" w:rsidP="00C26E31">
      <w:pPr>
        <w:pStyle w:val="BodyText3"/>
        <w:rPr>
          <w:rFonts w:cs="Arial"/>
        </w:rPr>
      </w:pPr>
      <w:r w:rsidRPr="00572F61">
        <w:rPr>
          <w:rFonts w:cs="Arial"/>
          <w:highlight w:val="yellow"/>
        </w:rPr>
        <w:t xml:space="preserve">June 23, 2026 – Added Psychological Safety Culture Survey as an approved Option 3 Culture of Safety Survey. All approved Culture of Safety Surveys are available in Guidelines for a Culture of Safety Survey available on the </w:t>
      </w:r>
      <w:hyperlink r:id="rId376" w:history="1">
        <w:r w:rsidRPr="00572F61">
          <w:rPr>
            <w:rStyle w:val="Hyperlink"/>
            <w:rFonts w:cs="Arial"/>
            <w:highlight w:val="yellow"/>
          </w:rPr>
          <w:t>Survey and CPOE Materials webpage</w:t>
        </w:r>
      </w:hyperlink>
      <w:r w:rsidRPr="00572F61">
        <w:rPr>
          <w:rFonts w:cs="Arial"/>
          <w:highlight w:val="yellow"/>
        </w:rPr>
        <w:t>.</w:t>
      </w:r>
    </w:p>
    <w:p w14:paraId="3F63AE78" w14:textId="5AEB1EB6" w:rsidR="00080756" w:rsidRPr="00080756" w:rsidRDefault="005B7CBC" w:rsidP="00080756">
      <w:pPr>
        <w:rPr>
          <w:lang w:eastAsia="ja-JP"/>
        </w:rPr>
      </w:pPr>
      <w:bookmarkStart w:id="513" w:name="_Hlk71041196"/>
      <w:r>
        <w:rPr>
          <w:lang w:eastAsia="ja-JP"/>
        </w:rPr>
        <w:br w:type="page"/>
      </w:r>
    </w:p>
    <w:p w14:paraId="6F5E71F4" w14:textId="2749FFAB" w:rsidR="006F27F2" w:rsidRDefault="00AD5731" w:rsidP="00CF5A6E">
      <w:pPr>
        <w:pStyle w:val="Heading2"/>
      </w:pPr>
      <w:bookmarkStart w:id="514" w:name="_Safe_Practices_Frequently"/>
      <w:bookmarkStart w:id="515" w:name="_Section_6E:_Nurse"/>
      <w:bookmarkStart w:id="516" w:name="_Toc89330977"/>
      <w:bookmarkStart w:id="517" w:name="_Ref123647404"/>
      <w:bookmarkStart w:id="518" w:name="_Toc225877794"/>
      <w:bookmarkStart w:id="519" w:name="_Toc510001900"/>
      <w:bookmarkStart w:id="520" w:name="SPFAQs"/>
      <w:bookmarkEnd w:id="513"/>
      <w:bookmarkEnd w:id="514"/>
      <w:bookmarkEnd w:id="515"/>
      <w:r>
        <w:t xml:space="preserve">Section 6: </w:t>
      </w:r>
      <w:r w:rsidR="00CC0F5D">
        <w:t>Patient Safety Practices</w:t>
      </w:r>
      <w:r w:rsidR="006F27F2">
        <w:t xml:space="preserve"> Measure Specifications</w:t>
      </w:r>
      <w:bookmarkEnd w:id="516"/>
      <w:bookmarkEnd w:id="517"/>
      <w:bookmarkEnd w:id="518"/>
    </w:p>
    <w:p w14:paraId="46ADDEC5" w14:textId="77777777" w:rsidR="00C414E2" w:rsidRDefault="00C414E2" w:rsidP="00C414E2">
      <w:pPr>
        <w:rPr>
          <w:lang w:eastAsia="ja-JP"/>
        </w:rPr>
      </w:pPr>
    </w:p>
    <w:p w14:paraId="7AB5977B" w14:textId="0333644D" w:rsidR="00C414E2" w:rsidRDefault="00C414E2" w:rsidP="00AB5B80">
      <w:pPr>
        <w:pStyle w:val="Heading3"/>
      </w:pPr>
      <w:bookmarkStart w:id="521" w:name="_NQF_Safe_Practice"/>
      <w:bookmarkStart w:id="522" w:name="_Toc225877795"/>
      <w:bookmarkEnd w:id="521"/>
      <w:r>
        <w:t>NQF Safe Practice Measure Specifications</w:t>
      </w:r>
      <w:bookmarkEnd w:id="522"/>
      <w:r>
        <w:t xml:space="preserve"> </w:t>
      </w:r>
    </w:p>
    <w:p w14:paraId="471C8FD1" w14:textId="77777777" w:rsidR="00C414E2" w:rsidRDefault="00C414E2" w:rsidP="00C414E2">
      <w:pPr>
        <w:rPr>
          <w:lang w:eastAsia="ja-JP"/>
        </w:rPr>
      </w:pPr>
    </w:p>
    <w:p w14:paraId="0A8BD448" w14:textId="3BD53ACE" w:rsidR="00C414E2" w:rsidRPr="00E53A63" w:rsidRDefault="00825F2C" w:rsidP="00E53A63">
      <w:pPr>
        <w:pStyle w:val="Heading44"/>
        <w:rPr>
          <w:sz w:val="20"/>
          <w:szCs w:val="18"/>
        </w:rPr>
      </w:pPr>
      <w:r w:rsidRPr="00E53A63">
        <w:rPr>
          <w:sz w:val="20"/>
          <w:szCs w:val="18"/>
          <w:lang w:eastAsia="ja-JP"/>
        </w:rPr>
        <w:t>Instructions</w:t>
      </w:r>
      <w:r w:rsidR="00C414E2" w:rsidRPr="00E53A63">
        <w:rPr>
          <w:sz w:val="20"/>
          <w:szCs w:val="18"/>
          <w:lang w:eastAsia="ja-JP"/>
        </w:rPr>
        <w:t xml:space="preserve"> for Reporting on NQF Safe Practices:</w:t>
      </w:r>
    </w:p>
    <w:p w14:paraId="23815158" w14:textId="77777777" w:rsidR="00C414E2" w:rsidRPr="009A5185" w:rsidRDefault="00C414E2" w:rsidP="00C414E2">
      <w:pPr>
        <w:rPr>
          <w:rFonts w:cs="Arial"/>
          <w:b/>
          <w:bCs/>
        </w:rPr>
      </w:pPr>
    </w:p>
    <w:p w14:paraId="331A5E62" w14:textId="77777777" w:rsidR="00C414E2" w:rsidRPr="009A5185" w:rsidRDefault="00C414E2" w:rsidP="00AD309C">
      <w:pPr>
        <w:pStyle w:val="ListParagraph"/>
        <w:numPr>
          <w:ilvl w:val="0"/>
          <w:numId w:val="193"/>
        </w:numPr>
        <w:ind w:left="360"/>
        <w:rPr>
          <w:rFonts w:cs="Arial"/>
        </w:rPr>
      </w:pPr>
      <w:r w:rsidRPr="009A5185">
        <w:rPr>
          <w:rFonts w:cs="Arial"/>
          <w:b/>
          <w:bCs/>
        </w:rPr>
        <w:t>Prepare</w:t>
      </w:r>
      <w:r>
        <w:rPr>
          <w:rFonts w:cs="Arial"/>
          <w:b/>
          <w:bCs/>
        </w:rPr>
        <w:t>:</w:t>
      </w:r>
    </w:p>
    <w:p w14:paraId="15A39F09" w14:textId="1789D20D" w:rsidR="00C414E2" w:rsidRPr="009A5185" w:rsidRDefault="00C414E2" w:rsidP="00AD309C">
      <w:pPr>
        <w:pStyle w:val="ListParagraph"/>
        <w:numPr>
          <w:ilvl w:val="1"/>
          <w:numId w:val="193"/>
        </w:numPr>
        <w:ind w:left="1080"/>
        <w:rPr>
          <w:rFonts w:cs="Arial"/>
        </w:rPr>
      </w:pPr>
      <w:r w:rsidRPr="009A5185">
        <w:rPr>
          <w:rFonts w:cs="Arial"/>
          <w:bCs/>
        </w:rPr>
        <w:t>Download and review a copy</w:t>
      </w:r>
      <w:r w:rsidRPr="009A5185">
        <w:rPr>
          <w:rFonts w:cs="Arial"/>
        </w:rPr>
        <w:t xml:space="preserve"> of the National Quality Forum’s </w:t>
      </w:r>
      <w:r w:rsidRPr="009A5185">
        <w:rPr>
          <w:rFonts w:cs="Arial"/>
          <w:i/>
        </w:rPr>
        <w:t>Safe Practices for Better Healthcare – 2010 Update</w:t>
      </w:r>
      <w:r w:rsidRPr="009A5185">
        <w:rPr>
          <w:rFonts w:cs="Arial"/>
        </w:rPr>
        <w:t xml:space="preserve"> report </w:t>
      </w:r>
      <w:r>
        <w:rPr>
          <w:rFonts w:cs="Arial"/>
        </w:rPr>
        <w:t xml:space="preserve">for reporting on subsections 6A </w:t>
      </w:r>
      <w:r w:rsidR="0074256B">
        <w:rPr>
          <w:rFonts w:cs="Arial"/>
        </w:rPr>
        <w:t xml:space="preserve">and </w:t>
      </w:r>
      <w:r>
        <w:rPr>
          <w:rFonts w:cs="Arial"/>
        </w:rPr>
        <w:t>6B</w:t>
      </w:r>
      <w:r w:rsidR="0074256B">
        <w:rPr>
          <w:rFonts w:cs="Arial"/>
        </w:rPr>
        <w:t xml:space="preserve"> </w:t>
      </w:r>
      <w:r>
        <w:rPr>
          <w:rFonts w:cs="Arial"/>
        </w:rPr>
        <w:t xml:space="preserve">available at </w:t>
      </w:r>
      <w:hyperlink r:id="rId377" w:history="1">
        <w:r w:rsidRPr="009A5185">
          <w:rPr>
            <w:rStyle w:val="Hyperlink"/>
            <w:rFonts w:cs="Arial"/>
          </w:rPr>
          <w:t>http://leapfroggroup.org/survey-materials/survey-and-cpoe-materials</w:t>
        </w:r>
      </w:hyperlink>
      <w:r>
        <w:rPr>
          <w:rFonts w:cs="Arial"/>
        </w:rPr>
        <w:t>.</w:t>
      </w:r>
    </w:p>
    <w:p w14:paraId="4118D00C" w14:textId="77777777" w:rsidR="00C414E2" w:rsidRDefault="00C414E2" w:rsidP="00AD309C">
      <w:pPr>
        <w:pStyle w:val="ListParagraph"/>
        <w:numPr>
          <w:ilvl w:val="1"/>
          <w:numId w:val="193"/>
        </w:numPr>
        <w:ind w:left="1080"/>
        <w:rPr>
          <w:rFonts w:cs="Arial"/>
        </w:rPr>
      </w:pPr>
      <w:r w:rsidRPr="009A5185">
        <w:rPr>
          <w:rFonts w:cs="Arial"/>
        </w:rPr>
        <w:t xml:space="preserve">Print and review a hard copy of (1) the Survey questions, (2) </w:t>
      </w:r>
      <w:r>
        <w:rPr>
          <w:rFonts w:cs="Arial"/>
        </w:rPr>
        <w:t xml:space="preserve">the </w:t>
      </w:r>
      <w:r w:rsidRPr="009A5185">
        <w:rPr>
          <w:rFonts w:cs="Arial"/>
        </w:rPr>
        <w:t>practice-specific FAQs, and (3) the scoring algorithm</w:t>
      </w:r>
      <w:r>
        <w:rPr>
          <w:rFonts w:cs="Arial"/>
        </w:rPr>
        <w:t>.</w:t>
      </w:r>
    </w:p>
    <w:p w14:paraId="6FF2238A" w14:textId="77777777" w:rsidR="00C414E2" w:rsidRPr="007E6ACF" w:rsidRDefault="00C414E2" w:rsidP="00C414E2">
      <w:pPr>
        <w:pStyle w:val="ListParagraph"/>
        <w:rPr>
          <w:rFonts w:cs="Arial"/>
        </w:rPr>
      </w:pPr>
    </w:p>
    <w:p w14:paraId="374A5467" w14:textId="77777777" w:rsidR="00C414E2" w:rsidRPr="007E6ACF" w:rsidRDefault="00C414E2" w:rsidP="00AD309C">
      <w:pPr>
        <w:pStyle w:val="ListParagraph"/>
        <w:numPr>
          <w:ilvl w:val="0"/>
          <w:numId w:val="193"/>
        </w:numPr>
        <w:ind w:left="360"/>
        <w:rPr>
          <w:rFonts w:cs="Arial"/>
        </w:rPr>
      </w:pPr>
      <w:r w:rsidRPr="007E6ACF">
        <w:rPr>
          <w:rFonts w:cs="Arial"/>
          <w:b/>
        </w:rPr>
        <w:t xml:space="preserve">Identify Individuals to Assist: </w:t>
      </w:r>
      <w:r w:rsidRPr="007E6ACF">
        <w:rPr>
          <w:rFonts w:cs="Arial"/>
        </w:rPr>
        <w:t xml:space="preserve">Decide who should participate on your team to assist in </w:t>
      </w:r>
      <w:r w:rsidRPr="007E6ACF">
        <w:rPr>
          <w:rFonts w:cs="Arial"/>
          <w:noProof/>
        </w:rPr>
        <w:t>collection</w:t>
      </w:r>
      <w:r w:rsidRPr="007E6ACF">
        <w:rPr>
          <w:rFonts w:cs="Arial"/>
        </w:rPr>
        <w:t xml:space="preserve"> of the documentation for assessment. </w:t>
      </w:r>
    </w:p>
    <w:p w14:paraId="3994C338" w14:textId="77777777" w:rsidR="00C414E2" w:rsidRPr="009A5185" w:rsidRDefault="00C414E2" w:rsidP="00C414E2">
      <w:pPr>
        <w:pStyle w:val="ListParagraph"/>
        <w:ind w:left="0"/>
        <w:rPr>
          <w:rFonts w:cs="Arial"/>
        </w:rPr>
      </w:pPr>
    </w:p>
    <w:p w14:paraId="1B11FFFB" w14:textId="77777777" w:rsidR="00C414E2" w:rsidRPr="009A5185" w:rsidRDefault="00C414E2" w:rsidP="00AD309C">
      <w:pPr>
        <w:pStyle w:val="ListParagraph"/>
        <w:numPr>
          <w:ilvl w:val="0"/>
          <w:numId w:val="193"/>
        </w:numPr>
        <w:ind w:left="360"/>
        <w:rPr>
          <w:rFonts w:cs="Arial"/>
        </w:rPr>
      </w:pPr>
      <w:r w:rsidRPr="009A5185">
        <w:rPr>
          <w:rFonts w:cs="Arial"/>
          <w:b/>
          <w:bCs/>
        </w:rPr>
        <w:t>Plan:</w:t>
      </w:r>
      <w:r w:rsidRPr="009A5185">
        <w:rPr>
          <w:rFonts w:cs="Arial"/>
        </w:rPr>
        <w:t xml:space="preserve"> The team should be briefed and assigned duties to help capture the key information necessary for submission of this section.</w:t>
      </w:r>
    </w:p>
    <w:p w14:paraId="1C960259" w14:textId="77777777" w:rsidR="00C414E2" w:rsidRPr="004025CC" w:rsidRDefault="00C414E2" w:rsidP="00C414E2">
      <w:pPr>
        <w:rPr>
          <w:rFonts w:cs="Arial"/>
          <w:b/>
          <w:bCs/>
        </w:rPr>
      </w:pPr>
    </w:p>
    <w:p w14:paraId="41E4D2B8" w14:textId="42405E7A" w:rsidR="00C414E2" w:rsidRPr="00916CA8" w:rsidRDefault="00C414E2" w:rsidP="00AD309C">
      <w:pPr>
        <w:pStyle w:val="ListParagraph"/>
        <w:numPr>
          <w:ilvl w:val="0"/>
          <w:numId w:val="193"/>
        </w:numPr>
        <w:ind w:left="360"/>
        <w:rPr>
          <w:rFonts w:cs="Arial"/>
        </w:rPr>
      </w:pPr>
      <w:r w:rsidRPr="009A5185">
        <w:rPr>
          <w:rFonts w:cs="Arial"/>
          <w:b/>
        </w:rPr>
        <w:t>Collect and Maintain</w:t>
      </w:r>
      <w:r w:rsidRPr="009A5185">
        <w:rPr>
          <w:rFonts w:cs="Arial"/>
        </w:rPr>
        <w:t xml:space="preserve">: Key documentation must be collected to support answering the questions in this section of the Survey. </w:t>
      </w:r>
      <w:r>
        <w:rPr>
          <w:rFonts w:cs="Arial"/>
        </w:rPr>
        <w:t xml:space="preserve">Please refer to the </w:t>
      </w:r>
      <w:hyperlink r:id="rId378" w:history="1">
        <w:r w:rsidRPr="000639C2">
          <w:rPr>
            <w:rStyle w:val="Hyperlink"/>
            <w:rFonts w:cs="Arial"/>
          </w:rPr>
          <w:t>Survey Binder</w:t>
        </w:r>
      </w:hyperlink>
      <w:r>
        <w:rPr>
          <w:rFonts w:cs="Arial"/>
        </w:rPr>
        <w:t xml:space="preserve"> for examples of acceptable documentation. </w:t>
      </w:r>
      <w:r w:rsidRPr="009A5185">
        <w:rPr>
          <w:rFonts w:cs="Arial"/>
        </w:rPr>
        <w:t>Documentation should be maintained to ensure that your hospital can respond to Leapfrog’s request</w:t>
      </w:r>
      <w:r>
        <w:rPr>
          <w:rFonts w:cs="Arial"/>
        </w:rPr>
        <w:t xml:space="preserve"> for documentation should you be</w:t>
      </w:r>
      <w:r w:rsidRPr="009A5185">
        <w:rPr>
          <w:rFonts w:cs="Arial"/>
        </w:rPr>
        <w:t xml:space="preserve"> selected for our </w:t>
      </w:r>
      <w:hyperlink r:id="rId379" w:history="1">
        <w:r w:rsidRPr="009858BE">
          <w:rPr>
            <w:rStyle w:val="Hyperlink"/>
            <w:rFonts w:cs="Arial"/>
          </w:rPr>
          <w:t>Monthly Documentation Requirements.</w:t>
        </w:r>
      </w:hyperlink>
      <w:r w:rsidRPr="009A5185">
        <w:rPr>
          <w:rFonts w:cs="Arial"/>
        </w:rPr>
        <w:t xml:space="preserve"> Reviews are performed every month during the </w:t>
      </w:r>
      <w:r>
        <w:rPr>
          <w:rFonts w:cs="Arial"/>
        </w:rPr>
        <w:t>Survey Cycle</w:t>
      </w:r>
      <w:r w:rsidRPr="009A5185">
        <w:rPr>
          <w:rFonts w:cs="Arial"/>
        </w:rPr>
        <w:t xml:space="preserve"> </w:t>
      </w:r>
      <w:r>
        <w:rPr>
          <w:rFonts w:cs="Arial"/>
        </w:rPr>
        <w:t>(April 1 to November 30</w:t>
      </w:r>
      <w:r w:rsidRPr="00916CA8">
        <w:rPr>
          <w:rFonts w:cs="Arial"/>
        </w:rPr>
        <w:t xml:space="preserve">) and throughout the Corrections Period. In addition, the documentation can be helpful if your hospital is planning to update and resubmit this section of the Survey prior to </w:t>
      </w:r>
      <w:r>
        <w:rPr>
          <w:rFonts w:cs="Arial"/>
        </w:rPr>
        <w:t>November 30</w:t>
      </w:r>
      <w:r w:rsidRPr="00916CA8">
        <w:rPr>
          <w:rFonts w:cs="Arial"/>
        </w:rPr>
        <w:t xml:space="preserve">. </w:t>
      </w:r>
    </w:p>
    <w:p w14:paraId="0274B424" w14:textId="77777777" w:rsidR="00C414E2" w:rsidRPr="004025CC" w:rsidRDefault="00C414E2" w:rsidP="00C414E2">
      <w:pPr>
        <w:rPr>
          <w:rFonts w:cs="Arial"/>
          <w:b/>
          <w:bCs/>
        </w:rPr>
      </w:pPr>
    </w:p>
    <w:p w14:paraId="522F6DA4" w14:textId="77777777" w:rsidR="00C414E2" w:rsidRPr="00916CA8" w:rsidRDefault="00C414E2" w:rsidP="00AD309C">
      <w:pPr>
        <w:pStyle w:val="ListParagraph"/>
        <w:numPr>
          <w:ilvl w:val="0"/>
          <w:numId w:val="193"/>
        </w:numPr>
        <w:ind w:left="360"/>
        <w:rPr>
          <w:rFonts w:cs="Arial"/>
        </w:rPr>
      </w:pPr>
      <w:r w:rsidRPr="009A5185">
        <w:rPr>
          <w:rFonts w:cs="Arial"/>
          <w:b/>
          <w:bCs/>
        </w:rPr>
        <w:t>Assess:</w:t>
      </w:r>
      <w:r w:rsidRPr="009A5185">
        <w:rPr>
          <w:rFonts w:cs="Arial"/>
        </w:rPr>
        <w:t xml:space="preserve"> When all the supporting documents are assembled, it is recommended that hospitals review their final responses to Section 6 with the CEO and/or responsible leadership. Hospitals should update their answers online as they adopt additional practices throughout the </w:t>
      </w:r>
      <w:r>
        <w:rPr>
          <w:rFonts w:cs="Arial"/>
        </w:rPr>
        <w:t>Survey Cycle</w:t>
      </w:r>
      <w:r w:rsidRPr="009A5185">
        <w:rPr>
          <w:rFonts w:cs="Arial"/>
        </w:rPr>
        <w:t xml:space="preserve"> (</w:t>
      </w:r>
      <w:r>
        <w:rPr>
          <w:rFonts w:cs="Arial"/>
        </w:rPr>
        <w:t>April 1 to November 30</w:t>
      </w:r>
      <w:r w:rsidRPr="00916CA8">
        <w:rPr>
          <w:rFonts w:cs="Arial"/>
        </w:rPr>
        <w:t xml:space="preserve">). As a reminder, the </w:t>
      </w:r>
      <w:hyperlink r:id="rId380" w:history="1">
        <w:r w:rsidRPr="00916CA8">
          <w:rPr>
            <w:rStyle w:val="Hyperlink"/>
            <w:rFonts w:cs="Arial"/>
          </w:rPr>
          <w:t>Corrections Period</w:t>
        </w:r>
      </w:hyperlink>
      <w:r w:rsidRPr="00916CA8">
        <w:rPr>
          <w:rFonts w:cs="Arial"/>
        </w:rPr>
        <w:t xml:space="preserve"> (</w:t>
      </w:r>
      <w:r>
        <w:rPr>
          <w:rFonts w:cs="Arial"/>
        </w:rPr>
        <w:t>December</w:t>
      </w:r>
      <w:r w:rsidRPr="00916CA8">
        <w:rPr>
          <w:rFonts w:cs="Arial"/>
        </w:rPr>
        <w:t xml:space="preserve"> 1-January 31) is reserved for corrections to previously submitted Surveys only. </w:t>
      </w:r>
      <w:r w:rsidRPr="00916CA8">
        <w:rPr>
          <w:rFonts w:cs="Arial"/>
          <w:bCs/>
          <w:snapToGrid w:val="0"/>
        </w:rPr>
        <w:t xml:space="preserve">Any updates made to reflect a change in performance must be made prior to the </w:t>
      </w:r>
      <w:r>
        <w:rPr>
          <w:rFonts w:cs="Arial"/>
        </w:rPr>
        <w:t>November 30</w:t>
      </w:r>
      <w:r w:rsidRPr="00916CA8">
        <w:rPr>
          <w:rFonts w:cs="Arial"/>
          <w:bCs/>
          <w:snapToGrid w:val="0"/>
        </w:rPr>
        <w:t xml:space="preserve"> Late Submission </w:t>
      </w:r>
      <w:r>
        <w:rPr>
          <w:rFonts w:cs="Arial"/>
          <w:bCs/>
          <w:snapToGrid w:val="0"/>
        </w:rPr>
        <w:t xml:space="preserve">and Performance Update </w:t>
      </w:r>
      <w:r w:rsidRPr="00916CA8">
        <w:rPr>
          <w:rFonts w:cs="Arial"/>
          <w:bCs/>
          <w:snapToGrid w:val="0"/>
        </w:rPr>
        <w:t xml:space="preserve">Deadline. Updates made to reflect a change in performance after </w:t>
      </w:r>
      <w:r>
        <w:rPr>
          <w:rFonts w:cs="Arial"/>
        </w:rPr>
        <w:t>November 30</w:t>
      </w:r>
      <w:r w:rsidRPr="00916CA8">
        <w:rPr>
          <w:rFonts w:cs="Arial"/>
          <w:bCs/>
          <w:snapToGrid w:val="0"/>
        </w:rPr>
        <w:t xml:space="preserve"> will not be scored or publicly reported.</w:t>
      </w:r>
    </w:p>
    <w:p w14:paraId="008E1F00" w14:textId="77777777" w:rsidR="00C414E2" w:rsidRPr="004025CC" w:rsidRDefault="00C414E2" w:rsidP="00C414E2">
      <w:pPr>
        <w:rPr>
          <w:rFonts w:cs="Arial"/>
          <w:b/>
          <w:bCs/>
        </w:rPr>
      </w:pPr>
    </w:p>
    <w:p w14:paraId="71B1F10A" w14:textId="54C14A42" w:rsidR="00C414E2" w:rsidRPr="008263FB" w:rsidRDefault="00C414E2" w:rsidP="00AD309C">
      <w:pPr>
        <w:pStyle w:val="ListParagraph"/>
        <w:numPr>
          <w:ilvl w:val="0"/>
          <w:numId w:val="193"/>
        </w:numPr>
        <w:ind w:left="360"/>
      </w:pPr>
      <w:r w:rsidRPr="009A5185">
        <w:rPr>
          <w:rFonts w:cs="Arial"/>
          <w:b/>
          <w:bCs/>
        </w:rPr>
        <w:t>Submit:</w:t>
      </w:r>
      <w:r w:rsidRPr="009A5185">
        <w:rPr>
          <w:rFonts w:cs="Arial"/>
        </w:rPr>
        <w:t xml:space="preserve"> Section 6 must be completed and affirmed before it can be submitted with the Survey. </w:t>
      </w:r>
    </w:p>
    <w:p w14:paraId="2C999109" w14:textId="77777777" w:rsidR="00E752F9" w:rsidRPr="00365263" w:rsidRDefault="00E752F9" w:rsidP="00E752F9">
      <w:pPr>
        <w:rPr>
          <w:sz w:val="16"/>
          <w:szCs w:val="16"/>
          <w:lang w:eastAsia="ja-JP"/>
        </w:rPr>
      </w:pPr>
    </w:p>
    <w:p w14:paraId="49F15A16" w14:textId="77777777" w:rsidR="00C414E2" w:rsidRDefault="00C414E2">
      <w:pPr>
        <w:rPr>
          <w:rFonts w:cs="Arial"/>
          <w:b/>
          <w:i/>
          <w:snapToGrid w:val="0"/>
          <w:sz w:val="22"/>
          <w:szCs w:val="22"/>
          <w:lang w:eastAsia="ja-JP"/>
        </w:rPr>
      </w:pPr>
      <w:bookmarkStart w:id="523" w:name="_Nursing_Workforce"/>
      <w:bookmarkEnd w:id="523"/>
      <w:r>
        <w:br w:type="page"/>
      </w:r>
    </w:p>
    <w:p w14:paraId="4CF9BF14" w14:textId="3923C5D2" w:rsidR="00760C43" w:rsidRDefault="00760C43">
      <w:pPr>
        <w:rPr>
          <w:rFonts w:cs="Arial"/>
          <w:b/>
          <w:i/>
          <w:snapToGrid w:val="0"/>
          <w:sz w:val="22"/>
          <w:szCs w:val="22"/>
          <w:lang w:eastAsia="ja-JP"/>
        </w:rPr>
      </w:pPr>
      <w:bookmarkStart w:id="524" w:name="_Nursing_Workforce_Measure"/>
      <w:bookmarkStart w:id="525" w:name="_Single_Acuity_Adult"/>
      <w:bookmarkStart w:id="526" w:name="_Adult_or_Pediatric"/>
      <w:bookmarkEnd w:id="524"/>
      <w:bookmarkEnd w:id="525"/>
      <w:bookmarkEnd w:id="526"/>
    </w:p>
    <w:p w14:paraId="0509FA7F" w14:textId="1C1F324D" w:rsidR="00823FED" w:rsidRDefault="00823FED" w:rsidP="00AB5B80">
      <w:pPr>
        <w:pStyle w:val="Heading3"/>
      </w:pPr>
      <w:bookmarkStart w:id="527" w:name="_Hand_Hygiene_Measure"/>
      <w:bookmarkStart w:id="528" w:name="_Hand_Hygiene"/>
      <w:bookmarkStart w:id="529" w:name="_Toc123908016"/>
      <w:bookmarkStart w:id="530" w:name="_Ref124154766"/>
      <w:bookmarkStart w:id="531" w:name="_Toc225877796"/>
      <w:bookmarkStart w:id="532" w:name="_Ref123647346"/>
      <w:bookmarkStart w:id="533" w:name="_Ref123647369"/>
      <w:bookmarkStart w:id="534" w:name="_Ref123647646"/>
      <w:bookmarkStart w:id="535" w:name="_Ref123647715"/>
      <w:bookmarkEnd w:id="527"/>
      <w:bookmarkEnd w:id="528"/>
      <w:r>
        <w:t>Hand Hygiene</w:t>
      </w:r>
      <w:bookmarkEnd w:id="529"/>
      <w:bookmarkEnd w:id="530"/>
      <w:r w:rsidR="00B078B4">
        <w:t xml:space="preserve"> Measure Specifications</w:t>
      </w:r>
      <w:bookmarkEnd w:id="531"/>
    </w:p>
    <w:p w14:paraId="6ADB7D93" w14:textId="77777777" w:rsidR="00823FED" w:rsidRPr="00481148" w:rsidRDefault="00823FED" w:rsidP="00823FED">
      <w:pPr>
        <w:rPr>
          <w:sz w:val="16"/>
          <w:szCs w:val="16"/>
        </w:rPr>
      </w:pPr>
    </w:p>
    <w:p w14:paraId="016D6D63" w14:textId="77777777" w:rsidR="00823FED" w:rsidRPr="009A5185" w:rsidRDefault="00823FED" w:rsidP="00823FED">
      <w:pPr>
        <w:rPr>
          <w:rFonts w:cs="Arial"/>
          <w:b/>
        </w:rPr>
      </w:pPr>
      <w:r w:rsidRPr="009A5185">
        <w:rPr>
          <w:rFonts w:cs="Arial"/>
          <w:b/>
          <w:color w:val="FF0000"/>
        </w:rPr>
        <w:t>Important Note:</w:t>
      </w:r>
      <w:r w:rsidRPr="009A5185">
        <w:rPr>
          <w:rFonts w:cs="Arial"/>
          <w:b/>
        </w:rPr>
        <w:t xml:space="preserve"> </w:t>
      </w:r>
      <w:r w:rsidRPr="009A5185">
        <w:rPr>
          <w:rFonts w:cs="Arial"/>
          <w:snapToGrid w:val="0"/>
        </w:rPr>
        <w:t xml:space="preserve">Hospitals that share a </w:t>
      </w:r>
      <w:r>
        <w:rPr>
          <w:rFonts w:cs="Arial"/>
          <w:snapToGrid w:val="0"/>
        </w:rPr>
        <w:t>CMS Certification Number</w:t>
      </w:r>
      <w:r w:rsidRPr="009A5185">
        <w:rPr>
          <w:rFonts w:cs="Arial"/>
          <w:snapToGrid w:val="0"/>
        </w:rPr>
        <w:t xml:space="preserve"> are required to report by facility. Please carefully review </w:t>
      </w:r>
      <w:hyperlink r:id="rId381" w:history="1">
        <w:r w:rsidRPr="009A5185">
          <w:rPr>
            <w:rStyle w:val="Hyperlink"/>
            <w:rFonts w:cs="Arial"/>
          </w:rPr>
          <w:t>Leapfrog’s Multi-Campus Reporting Policy</w:t>
        </w:r>
      </w:hyperlink>
      <w:r w:rsidRPr="009A5185">
        <w:rPr>
          <w:rFonts w:cs="Arial"/>
          <w:snapToGrid w:val="0"/>
        </w:rPr>
        <w:t>.</w:t>
      </w:r>
    </w:p>
    <w:p w14:paraId="5E0A218A" w14:textId="77777777" w:rsidR="00823FED" w:rsidRPr="00481148" w:rsidRDefault="00823FED" w:rsidP="00823FED">
      <w:pPr>
        <w:rPr>
          <w:sz w:val="16"/>
          <w:szCs w:val="16"/>
        </w:rPr>
      </w:pPr>
    </w:p>
    <w:tbl>
      <w:tblPr>
        <w:tblW w:w="93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87"/>
      </w:tblGrid>
      <w:tr w:rsidR="00823FED" w:rsidRPr="009A5185" w14:paraId="6339195F" w14:textId="77777777" w:rsidTr="00AF07E8">
        <w:trPr>
          <w:trHeight w:val="593"/>
          <w:jc w:val="center"/>
        </w:trPr>
        <w:tc>
          <w:tcPr>
            <w:tcW w:w="9387" w:type="dxa"/>
            <w:vAlign w:val="center"/>
          </w:tcPr>
          <w:p w14:paraId="45B59C47" w14:textId="77777777" w:rsidR="00823FED" w:rsidRPr="003E00DE" w:rsidRDefault="00823FED" w:rsidP="00EC4DCE">
            <w:pPr>
              <w:rPr>
                <w:rFonts w:cs="Arial"/>
              </w:rPr>
            </w:pPr>
            <w:r>
              <w:rPr>
                <w:rFonts w:cs="Arial"/>
                <w:b/>
                <w:snapToGrid w:val="0"/>
              </w:rPr>
              <w:t xml:space="preserve">Source: </w:t>
            </w:r>
            <w:r>
              <w:rPr>
                <w:rFonts w:cs="Arial"/>
              </w:rPr>
              <w:t xml:space="preserve">The framework and questions in this subsection are modeled after the World Health Organization’s </w:t>
            </w:r>
            <w:hyperlink r:id="rId382" w:history="1">
              <w:r w:rsidRPr="00402D7F">
                <w:rPr>
                  <w:rStyle w:val="Hyperlink"/>
                  <w:rFonts w:cs="Arial"/>
                </w:rPr>
                <w:t>Hand Hygiene Self-Assessment Framework</w:t>
              </w:r>
            </w:hyperlink>
            <w:r>
              <w:rPr>
                <w:rFonts w:cs="Arial"/>
              </w:rPr>
              <w:t>.</w:t>
            </w:r>
          </w:p>
        </w:tc>
      </w:tr>
      <w:tr w:rsidR="00823FED" w:rsidRPr="009A5185" w14:paraId="00B1D92F" w14:textId="77777777" w:rsidTr="00C37D4D">
        <w:trPr>
          <w:trHeight w:val="3600"/>
          <w:jc w:val="center"/>
        </w:trPr>
        <w:tc>
          <w:tcPr>
            <w:tcW w:w="9387" w:type="dxa"/>
            <w:vAlign w:val="center"/>
          </w:tcPr>
          <w:p w14:paraId="208F3997" w14:textId="2C68DC89" w:rsidR="00823FED" w:rsidRDefault="00823FED" w:rsidP="00EC4DCE">
            <w:pPr>
              <w:rPr>
                <w:rFonts w:cs="Arial"/>
                <w:bCs/>
                <w:snapToGrid w:val="0"/>
              </w:rPr>
            </w:pPr>
            <w:r w:rsidRPr="009A5185">
              <w:rPr>
                <w:rFonts w:cs="Arial"/>
                <w:b/>
                <w:snapToGrid w:val="0"/>
              </w:rPr>
              <w:t>Reporting Period:</w:t>
            </w:r>
            <w:r>
              <w:rPr>
                <w:rFonts w:cs="Arial"/>
                <w:b/>
                <w:snapToGrid w:val="0"/>
              </w:rPr>
              <w:t xml:space="preserve"> </w:t>
            </w:r>
            <w:r w:rsidRPr="00E9541D">
              <w:rPr>
                <w:rFonts w:cs="Arial"/>
                <w:bCs/>
                <w:snapToGrid w:val="0"/>
              </w:rPr>
              <w:t>Answer questions #1-2</w:t>
            </w:r>
            <w:r w:rsidR="00021B3B">
              <w:rPr>
                <w:rFonts w:cs="Arial"/>
                <w:bCs/>
                <w:snapToGrid w:val="0"/>
              </w:rPr>
              <w:t>1</w:t>
            </w:r>
            <w:r w:rsidRPr="00E9541D">
              <w:rPr>
                <w:rFonts w:cs="Arial"/>
                <w:bCs/>
                <w:snapToGrid w:val="0"/>
              </w:rPr>
              <w:t xml:space="preserve"> based on the practices currently in place at the time you submit this section of the Survey.</w:t>
            </w:r>
          </w:p>
          <w:p w14:paraId="31A114CC" w14:textId="77777777" w:rsidR="00823FED" w:rsidRPr="00481148" w:rsidRDefault="00823FED" w:rsidP="00EC4DCE">
            <w:pPr>
              <w:rPr>
                <w:rFonts w:cs="Arial"/>
                <w:bCs/>
                <w:snapToGrid w:val="0"/>
                <w:sz w:val="16"/>
                <w:szCs w:val="16"/>
              </w:rPr>
            </w:pPr>
          </w:p>
          <w:p w14:paraId="0BA79FC4" w14:textId="77777777" w:rsidR="00823FED" w:rsidRPr="00775498" w:rsidRDefault="00823FED" w:rsidP="00EC4DCE">
            <w:pPr>
              <w:pStyle w:val="EndnoteText"/>
              <w:rPr>
                <w:bCs/>
              </w:rPr>
            </w:pPr>
            <w:r>
              <w:rPr>
                <w:rFonts w:cs="Arial"/>
                <w:bCs/>
                <w:snapToGrid w:val="0"/>
              </w:rPr>
              <w:t xml:space="preserve">Note: </w:t>
            </w:r>
            <w:r w:rsidRPr="00775498">
              <w:rPr>
                <w:bCs/>
              </w:rPr>
              <w:t>For monitoring, this means that the monthly sample size (or quarterly sample size if answering question #10) would need to be met at least once in each patient care unit the month (or quarter) preceding the time of the submission of the Survey and there must be a process in place to meet the monthly (or quarterly) sample size thereafter in each patient care unit every month/quarter.</w:t>
            </w:r>
          </w:p>
          <w:p w14:paraId="38A8EAE2" w14:textId="77777777" w:rsidR="00823FED" w:rsidRPr="00481148" w:rsidRDefault="00823FED" w:rsidP="00EC4DCE">
            <w:pPr>
              <w:pStyle w:val="EndnoteText"/>
              <w:rPr>
                <w:bCs/>
                <w:sz w:val="16"/>
                <w:szCs w:val="16"/>
              </w:rPr>
            </w:pPr>
          </w:p>
          <w:p w14:paraId="4347C149" w14:textId="70BF9751" w:rsidR="00823FED" w:rsidRDefault="00823FED" w:rsidP="00EC4DCE">
            <w:pPr>
              <w:pStyle w:val="EndnoteText"/>
              <w:rPr>
                <w:bCs/>
              </w:rPr>
            </w:pPr>
            <w:r w:rsidRPr="00775498">
              <w:rPr>
                <w:bCs/>
              </w:rPr>
              <w:t xml:space="preserve">If the monitoring sample size is not met at any point after submission, the Survey </w:t>
            </w:r>
            <w:r w:rsidR="00CE4452">
              <w:rPr>
                <w:bCs/>
              </w:rPr>
              <w:t xml:space="preserve">must </w:t>
            </w:r>
            <w:r w:rsidRPr="00775498">
              <w:rPr>
                <w:bCs/>
              </w:rPr>
              <w:t xml:space="preserve">be updated and re-submitted. More information about updating a Survey can be found at </w:t>
            </w:r>
            <w:hyperlink r:id="rId383" w:history="1">
              <w:r w:rsidRPr="00F431A2">
                <w:rPr>
                  <w:rStyle w:val="Hyperlink"/>
                  <w:bCs/>
                </w:rPr>
                <w:t>https://www.leapfroggroup.org/survey-materials/updating-your-hospital-survey</w:t>
              </w:r>
            </w:hyperlink>
            <w:r w:rsidRPr="00775498">
              <w:rPr>
                <w:bCs/>
              </w:rPr>
              <w:t>.</w:t>
            </w:r>
          </w:p>
          <w:p w14:paraId="32CED78D" w14:textId="77777777" w:rsidR="00823FED" w:rsidRPr="00481148" w:rsidRDefault="00823FED" w:rsidP="00EC4DCE">
            <w:pPr>
              <w:pStyle w:val="EndnoteText"/>
              <w:rPr>
                <w:rFonts w:cs="Arial"/>
                <w:bCs/>
                <w:snapToGrid w:val="0"/>
                <w:sz w:val="16"/>
                <w:szCs w:val="16"/>
              </w:rPr>
            </w:pPr>
          </w:p>
          <w:p w14:paraId="44300162" w14:textId="77777777" w:rsidR="00823FED" w:rsidRPr="003E00DE" w:rsidRDefault="00823FED" w:rsidP="00EC4DCE">
            <w:pPr>
              <w:pStyle w:val="EndnoteText"/>
              <w:rPr>
                <w:rFonts w:cs="Arial"/>
                <w:bCs/>
                <w:snapToGrid w:val="0"/>
              </w:rPr>
            </w:pPr>
            <w:r>
              <w:rPr>
                <w:rFonts w:cs="Arial"/>
                <w:bCs/>
                <w:snapToGrid w:val="0"/>
              </w:rPr>
              <w:t xml:space="preserve">As a reminder, Leapfrog randomly requests </w:t>
            </w:r>
            <w:hyperlink r:id="rId384" w:history="1">
              <w:r w:rsidRPr="001446F9">
                <w:rPr>
                  <w:rStyle w:val="Hyperlink"/>
                  <w:rFonts w:cs="Arial"/>
                  <w:bCs/>
                  <w:snapToGrid w:val="0"/>
                </w:rPr>
                <w:t>documentation</w:t>
              </w:r>
            </w:hyperlink>
            <w:r>
              <w:rPr>
                <w:rFonts w:cs="Arial"/>
                <w:bCs/>
                <w:snapToGrid w:val="0"/>
              </w:rPr>
              <w:t xml:space="preserve"> on a monthly basis and key documentation must be collected and maintained to support responses to all questions. Hospitals are urged to regularly review their documentation, including reports supporting their monitoring of hand hygiene, and maintain copies throughout the Survey Cycle. Please refer to the </w:t>
            </w:r>
            <w:hyperlink r:id="rId385" w:history="1">
              <w:r w:rsidRPr="001446F9">
                <w:rPr>
                  <w:rStyle w:val="Hyperlink"/>
                  <w:rFonts w:cs="Arial"/>
                  <w:bCs/>
                  <w:snapToGrid w:val="0"/>
                </w:rPr>
                <w:t>Survey Binder</w:t>
              </w:r>
            </w:hyperlink>
            <w:r>
              <w:rPr>
                <w:rFonts w:cs="Arial"/>
                <w:bCs/>
                <w:snapToGrid w:val="0"/>
              </w:rPr>
              <w:t xml:space="preserve"> for examples.</w:t>
            </w:r>
          </w:p>
        </w:tc>
      </w:tr>
      <w:tr w:rsidR="00823FED" w:rsidRPr="009A5185" w14:paraId="00C57E8A" w14:textId="77777777" w:rsidTr="00C37D4D">
        <w:trPr>
          <w:trHeight w:val="3888"/>
          <w:jc w:val="center"/>
        </w:trPr>
        <w:tc>
          <w:tcPr>
            <w:tcW w:w="9387" w:type="dxa"/>
            <w:vAlign w:val="center"/>
          </w:tcPr>
          <w:p w14:paraId="41E5859D" w14:textId="1681F741" w:rsidR="00823FED" w:rsidRDefault="00823FED" w:rsidP="00EC4DCE">
            <w:pPr>
              <w:tabs>
                <w:tab w:val="left" w:pos="0"/>
              </w:tabs>
            </w:pPr>
            <w:r>
              <w:rPr>
                <w:rFonts w:cs="Arial"/>
                <w:b/>
                <w:bCs/>
              </w:rPr>
              <w:t xml:space="preserve">Patient Care Units: </w:t>
            </w:r>
            <w:r w:rsidR="004242DB">
              <w:rPr>
                <w:bCs/>
              </w:rPr>
              <w:t>Include only the following</w:t>
            </w:r>
            <w:r>
              <w:rPr>
                <w:bCs/>
              </w:rPr>
              <w:t xml:space="preserve"> </w:t>
            </w:r>
            <w:r w:rsidRPr="00D53AF3">
              <w:rPr>
                <w:bCs/>
              </w:rPr>
              <w:t xml:space="preserve">patient care units </w:t>
            </w:r>
            <w:r w:rsidR="004242DB">
              <w:rPr>
                <w:bCs/>
              </w:rPr>
              <w:t>when reporting on the questions in this subsection</w:t>
            </w:r>
            <w:r w:rsidRPr="00F35D30">
              <w:t xml:space="preserve">: </w:t>
            </w:r>
          </w:p>
          <w:p w14:paraId="490E9B62" w14:textId="07DBB20F" w:rsidR="00823FED" w:rsidRDefault="00577BEF" w:rsidP="00AD309C">
            <w:pPr>
              <w:pStyle w:val="ListParagraph"/>
              <w:numPr>
                <w:ilvl w:val="0"/>
                <w:numId w:val="138"/>
              </w:numPr>
              <w:tabs>
                <w:tab w:val="left" w:pos="0"/>
              </w:tabs>
            </w:pPr>
            <w:hyperlink w:anchor="MedicalandorSurgicalUnits" w:history="1">
              <w:r w:rsidRPr="009657C9">
                <w:rPr>
                  <w:rStyle w:val="Hyperlink"/>
                </w:rPr>
                <w:t>Medical</w:t>
              </w:r>
              <w:r w:rsidR="0074612B">
                <w:rPr>
                  <w:rStyle w:val="Hyperlink"/>
                </w:rPr>
                <w:t>,</w:t>
              </w:r>
              <w:r w:rsidRPr="009657C9">
                <w:rPr>
                  <w:rStyle w:val="Hyperlink"/>
                </w:rPr>
                <w:t xml:space="preserve"> Surgical</w:t>
              </w:r>
              <w:r w:rsidR="00F26839">
                <w:rPr>
                  <w:rStyle w:val="Hyperlink"/>
                </w:rPr>
                <w:t>, and Medical/Surgical</w:t>
              </w:r>
              <w:r w:rsidRPr="009657C9">
                <w:rPr>
                  <w:rStyle w:val="Hyperlink"/>
                </w:rPr>
                <w:t xml:space="preserve"> </w:t>
              </w:r>
              <w:r w:rsidR="00917DF5">
                <w:rPr>
                  <w:rStyle w:val="Hyperlink"/>
                </w:rPr>
                <w:t>U</w:t>
              </w:r>
              <w:r w:rsidRPr="009657C9">
                <w:rPr>
                  <w:rStyle w:val="Hyperlink"/>
                </w:rPr>
                <w:t>nits (including telemetry units)</w:t>
              </w:r>
            </w:hyperlink>
            <w:r w:rsidR="00823FED">
              <w:fldChar w:fldCharType="begin"/>
            </w:r>
            <w:r w:rsidR="00823FED">
              <w:instrText xml:space="preserve"> NOTEREF _Ref57907818 \f \h  \* MERGEFORMAT </w:instrText>
            </w:r>
            <w:r w:rsidR="00823FED">
              <w:fldChar w:fldCharType="separate"/>
            </w:r>
            <w:r w:rsidR="007D53A2" w:rsidRPr="000E4F8B">
              <w:rPr>
                <w:rStyle w:val="EndnoteReference"/>
              </w:rPr>
              <w:t>19</w:t>
            </w:r>
            <w:r w:rsidR="00823FED">
              <w:fldChar w:fldCharType="end"/>
            </w:r>
            <w:r w:rsidR="0019474A">
              <w:t xml:space="preserve"> (adult and</w:t>
            </w:r>
            <w:r w:rsidR="005A1735">
              <w:t>/or</w:t>
            </w:r>
            <w:r w:rsidR="0019474A">
              <w:t xml:space="preserve"> pediatric)</w:t>
            </w:r>
          </w:p>
          <w:p w14:paraId="2EB2963E" w14:textId="61BEC1E9" w:rsidR="00786E08" w:rsidRDefault="00786E08" w:rsidP="00AD309C">
            <w:pPr>
              <w:pStyle w:val="ListParagraph"/>
              <w:numPr>
                <w:ilvl w:val="0"/>
                <w:numId w:val="138"/>
              </w:numPr>
              <w:tabs>
                <w:tab w:val="left" w:pos="0"/>
              </w:tabs>
            </w:pPr>
            <w:hyperlink w:anchor="stepdown_progressiveunits_endnote20" w:history="1">
              <w:r w:rsidRPr="00016D78">
                <w:rPr>
                  <w:rStyle w:val="Hyperlink"/>
                </w:rPr>
                <w:t>Step-down/progressive Units</w:t>
              </w:r>
            </w:hyperlink>
            <w:r w:rsidR="00016D78" w:rsidRPr="00016D78">
              <w:rPr>
                <w:vertAlign w:val="superscript"/>
              </w:rPr>
              <w:t xml:space="preserve">20 </w:t>
            </w:r>
            <w:r w:rsidR="00AB682C">
              <w:t>(adult and/or pediatric)</w:t>
            </w:r>
          </w:p>
          <w:p w14:paraId="52784E73" w14:textId="5A0D6CF2" w:rsidR="00823FED" w:rsidRDefault="00A50BFC" w:rsidP="00AD309C">
            <w:pPr>
              <w:pStyle w:val="ListParagraph"/>
              <w:numPr>
                <w:ilvl w:val="0"/>
                <w:numId w:val="138"/>
              </w:numPr>
              <w:tabs>
                <w:tab w:val="left" w:pos="0"/>
              </w:tabs>
            </w:pPr>
            <w:r>
              <w:t>Obstetr</w:t>
            </w:r>
            <w:r w:rsidR="00EA7392">
              <w:t>i</w:t>
            </w:r>
            <w:r>
              <w:t>cal Units (</w:t>
            </w:r>
            <w:hyperlink w:anchor="LaborandDeliveryUnits" w:history="1">
              <w:r w:rsidRPr="00BD6114">
                <w:rPr>
                  <w:rStyle w:val="Hyperlink"/>
                </w:rPr>
                <w:t>L</w:t>
              </w:r>
              <w:r w:rsidR="00823FED" w:rsidRPr="00BD6114">
                <w:rPr>
                  <w:rStyle w:val="Hyperlink"/>
                </w:rPr>
                <w:t xml:space="preserve">abor and </w:t>
              </w:r>
              <w:r w:rsidRPr="00BD6114">
                <w:rPr>
                  <w:rStyle w:val="Hyperlink"/>
                </w:rPr>
                <w:t>D</w:t>
              </w:r>
              <w:r w:rsidR="00823FED" w:rsidRPr="00BD6114">
                <w:rPr>
                  <w:rStyle w:val="Hyperlink"/>
                </w:rPr>
                <w:t xml:space="preserve">elivery </w:t>
              </w:r>
              <w:r w:rsidRPr="00BD6114">
                <w:rPr>
                  <w:rStyle w:val="Hyperlink"/>
                </w:rPr>
                <w:t>U</w:t>
              </w:r>
              <w:r w:rsidR="00823FED" w:rsidRPr="00BD6114">
                <w:rPr>
                  <w:rStyle w:val="Hyperlink"/>
                </w:rPr>
                <w:t>nits</w:t>
              </w:r>
            </w:hyperlink>
            <w:r w:rsidR="00BD6114">
              <w:rPr>
                <w:vertAlign w:val="superscript"/>
              </w:rPr>
              <w:t>21</w:t>
            </w:r>
            <w:r w:rsidR="00B745A6">
              <w:t>,</w:t>
            </w:r>
            <w:r w:rsidR="00B745A6" w:rsidRPr="00E75BD3">
              <w:t xml:space="preserve"> nursery, etc., excluding procedural areas)</w:t>
            </w:r>
          </w:p>
          <w:p w14:paraId="23AF6909" w14:textId="5FD9157E" w:rsidR="00F51814" w:rsidRPr="00532D0A" w:rsidRDefault="00F51814" w:rsidP="00AD309C">
            <w:pPr>
              <w:pStyle w:val="ListParagraph"/>
              <w:numPr>
                <w:ilvl w:val="0"/>
                <w:numId w:val="138"/>
              </w:numPr>
              <w:rPr>
                <w:rStyle w:val="Hyperlink"/>
                <w:rFonts w:cs="Arial"/>
              </w:rPr>
            </w:pPr>
            <w:hyperlink w:anchor="generalmedicalsurgicalandneuroicu" w:history="1">
              <w:r w:rsidRPr="00BC1024">
                <w:rPr>
                  <w:rStyle w:val="Hyperlink"/>
                </w:rPr>
                <w:t>General Medical</w:t>
              </w:r>
              <w:r w:rsidR="009C4D09">
                <w:rPr>
                  <w:rStyle w:val="Hyperlink"/>
                </w:rPr>
                <w:t>,</w:t>
              </w:r>
              <w:r w:rsidR="00FC1246">
                <w:rPr>
                  <w:rStyle w:val="Hyperlink"/>
                </w:rPr>
                <w:t xml:space="preserve"> </w:t>
              </w:r>
              <w:r w:rsidRPr="00BC1024">
                <w:rPr>
                  <w:rStyle w:val="Hyperlink"/>
                </w:rPr>
                <w:t>Surgical</w:t>
              </w:r>
              <w:r w:rsidR="009C4D09">
                <w:rPr>
                  <w:rStyle w:val="Hyperlink"/>
                </w:rPr>
                <w:t xml:space="preserve">, Medical/Surgical, </w:t>
              </w:r>
              <w:r w:rsidRPr="00BC1024">
                <w:rPr>
                  <w:rStyle w:val="Hyperlink"/>
                </w:rPr>
                <w:t>and Neuro ICUs</w:t>
              </w:r>
            </w:hyperlink>
            <w:r w:rsidR="00BC1024" w:rsidRPr="00BC1024">
              <w:rPr>
                <w:vertAlign w:val="superscript"/>
              </w:rPr>
              <w:t>14</w:t>
            </w:r>
            <w:r w:rsidRPr="00ED0D69">
              <w:rPr>
                <w:rStyle w:val="Hyperlink"/>
                <w:rFonts w:ascii="ZWAdobeF" w:hAnsi="ZWAdobeF" w:cs="ZWAdobeF"/>
                <w:snapToGrid w:val="0"/>
                <w:sz w:val="2"/>
                <w:szCs w:val="2"/>
                <w:vertAlign w:val="superscript"/>
              </w:rPr>
              <w:t xml:space="preserve"> </w:t>
            </w:r>
            <w:r>
              <w:rPr>
                <w:rStyle w:val="Hyperlink"/>
                <w:rFonts w:ascii="ZWAdobeF" w:hAnsi="ZWAdobeF" w:cs="ZWAdobeF"/>
                <w:snapToGrid w:val="0"/>
                <w:sz w:val="2"/>
                <w:szCs w:val="2"/>
                <w:vertAlign w:val="superscript"/>
              </w:rPr>
              <w:t xml:space="preserve"> </w:t>
            </w:r>
            <w:r>
              <w:rPr>
                <w:rFonts w:cstheme="minorHAnsi"/>
              </w:rPr>
              <w:t>(adult and/or pediatric)</w:t>
            </w:r>
          </w:p>
          <w:p w14:paraId="1B5D4D3F" w14:textId="14698C33" w:rsidR="00F51814" w:rsidRPr="001F2388" w:rsidRDefault="00F20F57" w:rsidP="00AD309C">
            <w:pPr>
              <w:pStyle w:val="ListParagraph"/>
              <w:numPr>
                <w:ilvl w:val="0"/>
                <w:numId w:val="138"/>
              </w:numPr>
              <w:rPr>
                <w:rFonts w:cs="Arial"/>
                <w:color w:val="0000FF"/>
                <w:u w:val="single"/>
              </w:rPr>
            </w:pPr>
            <w:hyperlink w:anchor="neonatalICU" w:history="1">
              <w:r w:rsidRPr="00F20F57">
                <w:rPr>
                  <w:rStyle w:val="Hyperlink"/>
                </w:rPr>
                <w:t>Level II/III, Level III, or Level IV Neonatal ICU</w:t>
              </w:r>
            </w:hyperlink>
            <w:r w:rsidR="00BC1024" w:rsidRPr="00BC1024">
              <w:rPr>
                <w:vertAlign w:val="superscript"/>
              </w:rPr>
              <w:t>17</w:t>
            </w:r>
          </w:p>
          <w:p w14:paraId="65692E98" w14:textId="77777777" w:rsidR="00F51814" w:rsidRPr="003A39FC" w:rsidRDefault="00F51814" w:rsidP="00AD309C">
            <w:pPr>
              <w:pStyle w:val="ListParagraph"/>
              <w:numPr>
                <w:ilvl w:val="0"/>
                <w:numId w:val="138"/>
              </w:numPr>
              <w:rPr>
                <w:rStyle w:val="Hyperlink"/>
                <w:rFonts w:cs="Arial"/>
              </w:rPr>
            </w:pPr>
            <w:r w:rsidRPr="00E75BD3">
              <w:rPr>
                <w:rStyle w:val="Hyperlink"/>
                <w:rFonts w:cs="Arial"/>
                <w:snapToGrid w:val="0"/>
                <w:color w:val="auto"/>
                <w:u w:val="none"/>
              </w:rPr>
              <w:t>Specialty ICUs</w:t>
            </w:r>
            <w:r w:rsidRPr="003053D3">
              <w:rPr>
                <w:rStyle w:val="Hyperlink"/>
                <w:rFonts w:cs="Arial"/>
                <w:snapToGrid w:val="0"/>
                <w:color w:val="auto"/>
                <w:u w:val="none"/>
              </w:rPr>
              <w:t xml:space="preserve"> </w:t>
            </w:r>
            <w:r>
              <w:rPr>
                <w:rFonts w:cstheme="minorHAnsi"/>
              </w:rPr>
              <w:t>(adult and/or pediatric)</w:t>
            </w:r>
          </w:p>
          <w:p w14:paraId="5F4DE155" w14:textId="2985553F" w:rsidR="00823FED" w:rsidRDefault="00A90FCA" w:rsidP="00AD309C">
            <w:pPr>
              <w:pStyle w:val="ListParagraph"/>
              <w:numPr>
                <w:ilvl w:val="0"/>
                <w:numId w:val="201"/>
              </w:numPr>
              <w:tabs>
                <w:tab w:val="left" w:pos="0"/>
              </w:tabs>
            </w:pPr>
            <w:hyperlink w:anchor="pacusendnote" w:history="1">
              <w:r w:rsidRPr="009851EB">
                <w:rPr>
                  <w:rStyle w:val="Hyperlink"/>
                </w:rPr>
                <w:t>P</w:t>
              </w:r>
              <w:r w:rsidR="00823FED" w:rsidRPr="009851EB">
                <w:rPr>
                  <w:rStyle w:val="Hyperlink"/>
                </w:rPr>
                <w:t xml:space="preserve">re-operative and </w:t>
              </w:r>
              <w:r w:rsidR="00557FDF" w:rsidRPr="009851EB">
                <w:rPr>
                  <w:rStyle w:val="Hyperlink"/>
                </w:rPr>
                <w:t>P</w:t>
              </w:r>
              <w:r w:rsidR="000F04AC" w:rsidRPr="009851EB">
                <w:rPr>
                  <w:rStyle w:val="Hyperlink"/>
                </w:rPr>
                <w:t>ost</w:t>
              </w:r>
              <w:r w:rsidR="00823FED" w:rsidRPr="009851EB">
                <w:rPr>
                  <w:rStyle w:val="Hyperlink"/>
                </w:rPr>
                <w:t>-</w:t>
              </w:r>
              <w:r w:rsidR="000F04AC" w:rsidRPr="009851EB">
                <w:rPr>
                  <w:rStyle w:val="Hyperlink"/>
                </w:rPr>
                <w:t xml:space="preserve">anesthesia </w:t>
              </w:r>
              <w:r w:rsidR="007D61F9">
                <w:rPr>
                  <w:rStyle w:val="Hyperlink"/>
                </w:rPr>
                <w:t>C</w:t>
              </w:r>
              <w:r w:rsidR="000F04AC" w:rsidRPr="009851EB">
                <w:rPr>
                  <w:rStyle w:val="Hyperlink"/>
                </w:rPr>
                <w:t>are</w:t>
              </w:r>
              <w:r w:rsidR="00823FED" w:rsidRPr="009851EB">
                <w:rPr>
                  <w:rStyle w:val="Hyperlink"/>
                </w:rPr>
                <w:t xml:space="preserve"> </w:t>
              </w:r>
              <w:r w:rsidR="00E73964" w:rsidRPr="009851EB">
                <w:rPr>
                  <w:rStyle w:val="Hyperlink"/>
                </w:rPr>
                <w:t>U</w:t>
              </w:r>
              <w:r w:rsidR="00823FED" w:rsidRPr="009851EB">
                <w:rPr>
                  <w:rStyle w:val="Hyperlink"/>
                </w:rPr>
                <w:t>nit</w:t>
              </w:r>
              <w:r w:rsidR="00E73964" w:rsidRPr="009851EB">
                <w:rPr>
                  <w:rStyle w:val="Hyperlink"/>
                </w:rPr>
                <w:t>s</w:t>
              </w:r>
            </w:hyperlink>
            <w:r w:rsidR="009851EB" w:rsidRPr="009851EB">
              <w:rPr>
                <w:vertAlign w:val="superscript"/>
              </w:rPr>
              <w:t>22</w:t>
            </w:r>
            <w:r w:rsidR="00687066">
              <w:t xml:space="preserve"> </w:t>
            </w:r>
            <w:r w:rsidR="006319A2">
              <w:t>(adult and/or pediatric)</w:t>
            </w:r>
          </w:p>
          <w:p w14:paraId="62829752" w14:textId="4D529CFF" w:rsidR="0073002A" w:rsidRDefault="00657E00" w:rsidP="00AD309C">
            <w:pPr>
              <w:pStyle w:val="ListParagraph"/>
              <w:numPr>
                <w:ilvl w:val="0"/>
                <w:numId w:val="201"/>
              </w:numPr>
              <w:tabs>
                <w:tab w:val="left" w:pos="0"/>
              </w:tabs>
            </w:pPr>
            <w:r>
              <w:t>O</w:t>
            </w:r>
            <w:r w:rsidR="00823FED" w:rsidRPr="00F35D30">
              <w:t xml:space="preserve">bservation </w:t>
            </w:r>
            <w:r>
              <w:t>U</w:t>
            </w:r>
            <w:r w:rsidR="00823FED" w:rsidRPr="00F35D30">
              <w:t xml:space="preserve">nits </w:t>
            </w:r>
            <w:r w:rsidR="003F4DD8">
              <w:t>(adult and/or pediatric)</w:t>
            </w:r>
          </w:p>
          <w:p w14:paraId="49992EDC" w14:textId="6E9E8D5F" w:rsidR="00823FED" w:rsidRPr="00450934" w:rsidRDefault="0008758E" w:rsidP="00AD309C">
            <w:pPr>
              <w:pStyle w:val="ListParagraph"/>
              <w:numPr>
                <w:ilvl w:val="0"/>
                <w:numId w:val="201"/>
              </w:numPr>
              <w:tabs>
                <w:tab w:val="left" w:pos="0"/>
              </w:tabs>
            </w:pPr>
            <w:hyperlink w:anchor="emergencydepartment_endnote" w:history="1">
              <w:r>
                <w:rPr>
                  <w:rStyle w:val="Hyperlink"/>
                </w:rPr>
                <w:t>Dedicated Emergency Departments</w:t>
              </w:r>
            </w:hyperlink>
            <w:r w:rsidR="008C12AF" w:rsidRPr="008C12AF">
              <w:rPr>
                <w:vertAlign w:val="superscript"/>
              </w:rPr>
              <w:t>47</w:t>
            </w:r>
            <w:r w:rsidR="00687066">
              <w:rPr>
                <w:vertAlign w:val="superscript"/>
              </w:rPr>
              <w:t xml:space="preserve"> </w:t>
            </w:r>
            <w:r w:rsidR="00687066">
              <w:t>(adult and/or pediatric)</w:t>
            </w:r>
          </w:p>
          <w:p w14:paraId="5A981712" w14:textId="77777777" w:rsidR="00E74CD8" w:rsidRDefault="00E74CD8" w:rsidP="00E74CD8">
            <w:pPr>
              <w:tabs>
                <w:tab w:val="left" w:pos="0"/>
              </w:tabs>
            </w:pPr>
          </w:p>
          <w:p w14:paraId="601A97DB" w14:textId="6009CCAD" w:rsidR="00E74CD8" w:rsidRDefault="00E74CD8" w:rsidP="00E74CD8">
            <w:pPr>
              <w:tabs>
                <w:tab w:val="left" w:pos="0"/>
              </w:tabs>
            </w:pPr>
            <w:r>
              <w:t>Other units that are not denoted above would be excluded for the purposes of reporting on Section 6</w:t>
            </w:r>
            <w:r w:rsidR="00871D77">
              <w:t>C</w:t>
            </w:r>
            <w:r>
              <w:t xml:space="preserve"> Hand Hygiene. The following units would be excluded:</w:t>
            </w:r>
          </w:p>
          <w:p w14:paraId="74FF281A" w14:textId="786ECC92" w:rsidR="00D20722" w:rsidRDefault="00E5743C" w:rsidP="00AD309C">
            <w:pPr>
              <w:pStyle w:val="ListParagraph"/>
              <w:numPr>
                <w:ilvl w:val="0"/>
                <w:numId w:val="304"/>
              </w:numPr>
              <w:tabs>
                <w:tab w:val="left" w:pos="0"/>
              </w:tabs>
            </w:pPr>
            <w:r>
              <w:t>B</w:t>
            </w:r>
            <w:r w:rsidR="00D20722">
              <w:t xml:space="preserve">ehavioral </w:t>
            </w:r>
            <w:r w:rsidR="00155B1D">
              <w:t>H</w:t>
            </w:r>
            <w:r w:rsidR="00D20722">
              <w:t xml:space="preserve">ealth </w:t>
            </w:r>
            <w:r w:rsidR="00155B1D">
              <w:t>U</w:t>
            </w:r>
            <w:r w:rsidR="00D20722">
              <w:t>nits</w:t>
            </w:r>
          </w:p>
          <w:p w14:paraId="7BB25C7C" w14:textId="34B09A9D" w:rsidR="00D20722" w:rsidRDefault="00E5743C" w:rsidP="00AD309C">
            <w:pPr>
              <w:pStyle w:val="ListParagraph"/>
              <w:numPr>
                <w:ilvl w:val="0"/>
                <w:numId w:val="304"/>
              </w:numPr>
              <w:tabs>
                <w:tab w:val="left" w:pos="0"/>
              </w:tabs>
            </w:pPr>
            <w:r>
              <w:t>P</w:t>
            </w:r>
            <w:r w:rsidR="00D20722">
              <w:t xml:space="preserve">sychiatric </w:t>
            </w:r>
            <w:r w:rsidR="00155B1D">
              <w:t>U</w:t>
            </w:r>
            <w:r w:rsidR="00D20722">
              <w:t>nits</w:t>
            </w:r>
          </w:p>
          <w:p w14:paraId="049308BF" w14:textId="3B322F40" w:rsidR="00D20722" w:rsidRDefault="00E5743C" w:rsidP="00AD309C">
            <w:pPr>
              <w:pStyle w:val="ListParagraph"/>
              <w:numPr>
                <w:ilvl w:val="0"/>
                <w:numId w:val="304"/>
              </w:numPr>
              <w:tabs>
                <w:tab w:val="left" w:pos="0"/>
              </w:tabs>
            </w:pPr>
            <w:r>
              <w:t>P</w:t>
            </w:r>
            <w:r w:rsidR="00D20722">
              <w:t xml:space="preserve">alliative </w:t>
            </w:r>
            <w:r w:rsidR="00155B1D">
              <w:t>C</w:t>
            </w:r>
            <w:r w:rsidR="00D20722">
              <w:t xml:space="preserve">are and </w:t>
            </w:r>
            <w:r w:rsidR="00155B1D">
              <w:t>H</w:t>
            </w:r>
            <w:r w:rsidR="00D20722">
              <w:t xml:space="preserve">ospice </w:t>
            </w:r>
            <w:r w:rsidR="00155B1D">
              <w:t>U</w:t>
            </w:r>
            <w:r w:rsidR="00D20722">
              <w:t>nits</w:t>
            </w:r>
          </w:p>
          <w:p w14:paraId="17C33911" w14:textId="5B6132CE" w:rsidR="00D20722" w:rsidRDefault="00E5743C" w:rsidP="00AD309C">
            <w:pPr>
              <w:pStyle w:val="ListParagraph"/>
              <w:numPr>
                <w:ilvl w:val="0"/>
                <w:numId w:val="304"/>
              </w:numPr>
              <w:tabs>
                <w:tab w:val="left" w:pos="0"/>
              </w:tabs>
            </w:pPr>
            <w:r>
              <w:t>R</w:t>
            </w:r>
            <w:r w:rsidR="00D20722">
              <w:t xml:space="preserve">ehabilitation </w:t>
            </w:r>
            <w:r w:rsidR="005111BE">
              <w:t>U</w:t>
            </w:r>
            <w:r w:rsidR="00D20722">
              <w:t>nits</w:t>
            </w:r>
          </w:p>
          <w:p w14:paraId="37710510" w14:textId="49EB71FB" w:rsidR="00D20722" w:rsidRDefault="00E5743C" w:rsidP="00AD309C">
            <w:pPr>
              <w:pStyle w:val="ListParagraph"/>
              <w:numPr>
                <w:ilvl w:val="0"/>
                <w:numId w:val="304"/>
              </w:numPr>
              <w:tabs>
                <w:tab w:val="left" w:pos="0"/>
              </w:tabs>
            </w:pPr>
            <w:r>
              <w:t>O</w:t>
            </w:r>
            <w:r w:rsidR="00D20722">
              <w:t xml:space="preserve">perating </w:t>
            </w:r>
            <w:r w:rsidR="005111BE">
              <w:t>R</w:t>
            </w:r>
            <w:r w:rsidR="00D20722">
              <w:t>ooms</w:t>
            </w:r>
          </w:p>
          <w:p w14:paraId="5871715A" w14:textId="5AADFB2B" w:rsidR="00335C3D" w:rsidRDefault="00E5743C" w:rsidP="00AD309C">
            <w:pPr>
              <w:pStyle w:val="ListParagraph"/>
              <w:numPr>
                <w:ilvl w:val="0"/>
                <w:numId w:val="304"/>
              </w:numPr>
              <w:tabs>
                <w:tab w:val="left" w:pos="0"/>
              </w:tabs>
            </w:pPr>
            <w:r>
              <w:t>P</w:t>
            </w:r>
            <w:r w:rsidR="00D20722">
              <w:t xml:space="preserve">rocedural and </w:t>
            </w:r>
            <w:r w:rsidR="006A4E9E">
              <w:t>D</w:t>
            </w:r>
            <w:r w:rsidR="00D20722">
              <w:t xml:space="preserve">iagnostic </w:t>
            </w:r>
            <w:r w:rsidR="006A4E9E">
              <w:t>A</w:t>
            </w:r>
            <w:r w:rsidR="00D20722">
              <w:t xml:space="preserve">reas, such as </w:t>
            </w:r>
            <w:r w:rsidR="008A3148">
              <w:t>R</w:t>
            </w:r>
            <w:r w:rsidR="00D20722">
              <w:t>adiology</w:t>
            </w:r>
            <w:r w:rsidR="00335C3D">
              <w:t>, Endoscopy, Dialysis, and Radiation Units</w:t>
            </w:r>
          </w:p>
          <w:p w14:paraId="13166380" w14:textId="77777777" w:rsidR="00335C3D" w:rsidRDefault="00335C3D" w:rsidP="00AD309C">
            <w:pPr>
              <w:pStyle w:val="ListParagraph"/>
              <w:numPr>
                <w:ilvl w:val="0"/>
                <w:numId w:val="304"/>
              </w:numPr>
              <w:tabs>
                <w:tab w:val="left" w:pos="0"/>
              </w:tabs>
            </w:pPr>
            <w:r>
              <w:t>Admission Units that don’t hold patients overnight</w:t>
            </w:r>
          </w:p>
          <w:p w14:paraId="5CF3E08B" w14:textId="77777777" w:rsidR="00335C3D" w:rsidRDefault="00335C3D" w:rsidP="00AD309C">
            <w:pPr>
              <w:pStyle w:val="ListParagraph"/>
              <w:numPr>
                <w:ilvl w:val="0"/>
                <w:numId w:val="304"/>
              </w:numPr>
              <w:tabs>
                <w:tab w:val="left" w:pos="0"/>
              </w:tabs>
            </w:pPr>
            <w:r>
              <w:t>Primary Care Clinics</w:t>
            </w:r>
          </w:p>
          <w:p w14:paraId="643B9F9E" w14:textId="77777777" w:rsidR="00E74CD8" w:rsidRDefault="00335C3D" w:rsidP="00AD309C">
            <w:pPr>
              <w:pStyle w:val="ListParagraph"/>
              <w:numPr>
                <w:ilvl w:val="0"/>
                <w:numId w:val="304"/>
              </w:numPr>
              <w:tabs>
                <w:tab w:val="left" w:pos="0"/>
              </w:tabs>
            </w:pPr>
            <w:r>
              <w:t>Units that are not currently open and/or were not open consistently throughout the entire reporting period (i.e., most recent month or past three months based on responses selected in monitoring questions #8-10)</w:t>
            </w:r>
          </w:p>
          <w:p w14:paraId="75CAD11F" w14:textId="12FA136F" w:rsidR="00335C3D" w:rsidRPr="003E00DE" w:rsidRDefault="00335C3D" w:rsidP="00786E08">
            <w:pPr>
              <w:pStyle w:val="ListParagraph"/>
              <w:tabs>
                <w:tab w:val="left" w:pos="0"/>
              </w:tabs>
            </w:pPr>
          </w:p>
        </w:tc>
      </w:tr>
      <w:tr w:rsidR="00823FED" w:rsidRPr="009A5185" w14:paraId="52B84043" w14:textId="77777777" w:rsidTr="00C37D4D">
        <w:trPr>
          <w:trHeight w:val="288"/>
          <w:jc w:val="center"/>
        </w:trPr>
        <w:tc>
          <w:tcPr>
            <w:tcW w:w="9387" w:type="dxa"/>
            <w:vAlign w:val="center"/>
          </w:tcPr>
          <w:p w14:paraId="33941361" w14:textId="77777777" w:rsidR="00823FED" w:rsidRPr="00C811AB" w:rsidRDefault="00823FED" w:rsidP="00EC4DCE">
            <w:pPr>
              <w:tabs>
                <w:tab w:val="left" w:pos="0"/>
              </w:tabs>
              <w:rPr>
                <w:rFonts w:cs="Arial"/>
                <w:b/>
                <w:bCs/>
                <w:i/>
                <w:iCs/>
              </w:rPr>
            </w:pPr>
            <w:r w:rsidRPr="00C811AB">
              <w:rPr>
                <w:rFonts w:cs="Arial"/>
                <w:b/>
                <w:bCs/>
                <w:i/>
                <w:iCs/>
              </w:rPr>
              <w:t>Infrastructure</w:t>
            </w:r>
          </w:p>
        </w:tc>
      </w:tr>
      <w:tr w:rsidR="00823FED" w:rsidRPr="009A5185" w14:paraId="6915FBFA" w14:textId="77777777" w:rsidTr="00AF07E8">
        <w:trPr>
          <w:jc w:val="center"/>
        </w:trPr>
        <w:tc>
          <w:tcPr>
            <w:tcW w:w="9387" w:type="dxa"/>
            <w:vAlign w:val="center"/>
          </w:tcPr>
          <w:p w14:paraId="01862F63" w14:textId="7004518A" w:rsidR="00823FED" w:rsidRDefault="00823FED" w:rsidP="00EC4DCE">
            <w:pPr>
              <w:rPr>
                <w:rFonts w:cs="Arial"/>
              </w:rPr>
            </w:pPr>
            <w:r>
              <w:rPr>
                <w:rFonts w:cs="Arial"/>
                <w:b/>
                <w:bCs/>
              </w:rPr>
              <w:t>Question #4:</w:t>
            </w:r>
            <w:r w:rsidR="00F52B99">
              <w:rPr>
                <w:rFonts w:cs="Arial"/>
                <w:b/>
                <w:bCs/>
              </w:rPr>
              <w:t xml:space="preserve"> </w:t>
            </w:r>
            <w:r w:rsidRPr="001446F9">
              <w:rPr>
                <w:rFonts w:cs="Arial"/>
              </w:rPr>
              <w:t xml:space="preserve">Does your hospital have a process in place to ensure that </w:t>
            </w:r>
            <w:r w:rsidRPr="00083F4E">
              <w:rPr>
                <w:rFonts w:cs="Arial"/>
                <w:b/>
                <w:bCs/>
              </w:rPr>
              <w:t>all</w:t>
            </w:r>
            <w:r w:rsidRPr="001446F9">
              <w:rPr>
                <w:rFonts w:cs="Arial"/>
              </w:rPr>
              <w:t xml:space="preserve"> the following are done, as necessary, and quarterly audits are conducted on a sample of dispensers in your patient care units to ensure that the process is followed? </w:t>
            </w:r>
          </w:p>
          <w:p w14:paraId="13D48717" w14:textId="77777777" w:rsidR="00823FED" w:rsidRPr="001446F9" w:rsidRDefault="00823FED" w:rsidP="00AD309C">
            <w:pPr>
              <w:pStyle w:val="ListParagraph"/>
              <w:numPr>
                <w:ilvl w:val="0"/>
                <w:numId w:val="196"/>
              </w:numPr>
              <w:rPr>
                <w:rFonts w:cs="Arial"/>
                <w:b/>
                <w:bCs/>
              </w:rPr>
            </w:pPr>
            <w:r w:rsidRPr="001446F9">
              <w:rPr>
                <w:rFonts w:cs="Arial"/>
              </w:rPr>
              <w:t>Refill paper towels, soap dispensers, and alcohol</w:t>
            </w:r>
            <w:r>
              <w:rPr>
                <w:rFonts w:cs="Arial"/>
              </w:rPr>
              <w:t>-</w:t>
            </w:r>
            <w:r w:rsidRPr="001446F9">
              <w:rPr>
                <w:rFonts w:cs="Arial"/>
              </w:rPr>
              <w:t>based hand sanitizer dispensers when they are empty or near empty</w:t>
            </w:r>
          </w:p>
          <w:p w14:paraId="5B4F3195" w14:textId="77777777" w:rsidR="00823FED" w:rsidRPr="009F6D09" w:rsidRDefault="00823FED" w:rsidP="00AD309C">
            <w:pPr>
              <w:pStyle w:val="ListParagraph"/>
              <w:numPr>
                <w:ilvl w:val="0"/>
                <w:numId w:val="196"/>
              </w:numPr>
              <w:rPr>
                <w:rFonts w:cs="Arial"/>
                <w:b/>
                <w:bCs/>
              </w:rPr>
            </w:pPr>
            <w:r w:rsidRPr="001446F9">
              <w:rPr>
                <w:rFonts w:cs="Arial"/>
              </w:rPr>
              <w:t>Replace batteries in automated paper towel dispensers, soap dispensers, and alcohol-based hand sanitizer dispensers (if automated dispensers are used in the patient care units)</w:t>
            </w:r>
          </w:p>
          <w:p w14:paraId="4F59FFBA" w14:textId="77777777" w:rsidR="009F6D09" w:rsidRPr="001446F9" w:rsidRDefault="009F6D09" w:rsidP="009F6D09">
            <w:pPr>
              <w:pStyle w:val="ListParagraph"/>
              <w:rPr>
                <w:rFonts w:cs="Arial"/>
                <w:b/>
                <w:bCs/>
              </w:rPr>
            </w:pPr>
          </w:p>
          <w:p w14:paraId="78A0C811" w14:textId="7A0D6A91" w:rsidR="00823FED" w:rsidRDefault="00B72F05" w:rsidP="00EC4DCE">
            <w:pPr>
              <w:rPr>
                <w:rFonts w:cs="Arial"/>
              </w:rPr>
            </w:pPr>
            <w:r>
              <w:rPr>
                <w:rFonts w:cs="Arial"/>
              </w:rPr>
              <w:t>In order to respond “yes” to question #4, a</w:t>
            </w:r>
            <w:r w:rsidR="00823FED">
              <w:rPr>
                <w:rFonts w:cs="Arial"/>
              </w:rPr>
              <w:t xml:space="preserve"> process </w:t>
            </w:r>
            <w:r w:rsidR="00737469">
              <w:rPr>
                <w:rFonts w:cs="Arial"/>
              </w:rPr>
              <w:t xml:space="preserve">must </w:t>
            </w:r>
            <w:r w:rsidR="00823FED">
              <w:rPr>
                <w:rFonts w:cs="Arial"/>
              </w:rPr>
              <w:t xml:space="preserve">be in place to ensure that paper towel, soap, and alcohol-based hand sanitizer dispensers are refilled when they are empty or near empty and batteries are replaced in automated paper towel, soap, and alcohol-based hand sanitizer dispensers (if automated dispensers are used in patient care units). </w:t>
            </w:r>
          </w:p>
          <w:p w14:paraId="4B282B76" w14:textId="77777777" w:rsidR="00823FED" w:rsidRPr="00481148" w:rsidRDefault="00823FED" w:rsidP="00EC4DCE">
            <w:pPr>
              <w:rPr>
                <w:rFonts w:cs="Arial"/>
                <w:sz w:val="16"/>
                <w:szCs w:val="16"/>
              </w:rPr>
            </w:pPr>
          </w:p>
          <w:p w14:paraId="5F182E4C" w14:textId="2DD4375D" w:rsidR="00823FED" w:rsidRDefault="00823FED" w:rsidP="00EC4DCE">
            <w:pPr>
              <w:rPr>
                <w:rFonts w:cs="Arial"/>
              </w:rPr>
            </w:pPr>
            <w:r>
              <w:rPr>
                <w:rFonts w:cs="Arial"/>
              </w:rPr>
              <w:t xml:space="preserve">In addition, a quarterly audit must be conducted on a sample of paper towel, soap, and alcohol-based hand sanitizer dispensers to include checking that dispensers are refilled and that batteries in automated dispensers are replaced. </w:t>
            </w:r>
            <w:r w:rsidRPr="00D37A5F">
              <w:rPr>
                <w:rFonts w:cs="Arial"/>
              </w:rPr>
              <w:t xml:space="preserve">The quarterly audit should be a supplement to a system that checks these supplies on a routine basis (e.g., environmental services </w:t>
            </w:r>
            <w:r w:rsidR="0076627B" w:rsidRPr="00D37A5F">
              <w:rPr>
                <w:rFonts w:cs="Arial"/>
              </w:rPr>
              <w:t>check</w:t>
            </w:r>
            <w:r w:rsidRPr="00D37A5F">
              <w:rPr>
                <w:rFonts w:cs="Arial"/>
              </w:rPr>
              <w:t xml:space="preserve"> with their regular cleaning). </w:t>
            </w:r>
          </w:p>
          <w:p w14:paraId="3DB5110C" w14:textId="77777777" w:rsidR="00823FED" w:rsidRPr="00481148" w:rsidRDefault="00823FED" w:rsidP="00EC4DCE">
            <w:pPr>
              <w:tabs>
                <w:tab w:val="left" w:pos="0"/>
              </w:tabs>
              <w:rPr>
                <w:rFonts w:cs="Arial"/>
                <w:sz w:val="16"/>
                <w:szCs w:val="16"/>
              </w:rPr>
            </w:pPr>
          </w:p>
          <w:p w14:paraId="665BC15D" w14:textId="67194DD2" w:rsidR="00823FED" w:rsidRPr="004974B8" w:rsidRDefault="00823FED" w:rsidP="00EC4DCE">
            <w:pPr>
              <w:tabs>
                <w:tab w:val="left" w:pos="0"/>
              </w:tabs>
              <w:rPr>
                <w:rFonts w:cs="Arial"/>
                <w:sz w:val="10"/>
                <w:szCs w:val="10"/>
              </w:rPr>
            </w:pPr>
            <w:r>
              <w:rPr>
                <w:rFonts w:cs="Arial"/>
                <w:b/>
                <w:bCs/>
              </w:rPr>
              <w:t>Sampling Instructions:</w:t>
            </w:r>
            <w:r>
              <w:rPr>
                <w:rFonts w:cs="Arial"/>
              </w:rPr>
              <w:t xml:space="preserve"> </w:t>
            </w:r>
            <w:r w:rsidRPr="00893060">
              <w:t xml:space="preserve">The sample </w:t>
            </w:r>
            <w:r w:rsidR="004242DB">
              <w:t xml:space="preserve">must </w:t>
            </w:r>
            <w:r w:rsidRPr="00893060">
              <w:t>be based on a random or systematic sampling procedure, where the sampling plan assures wide sampling (i.e., the same places would not always be monitored)</w:t>
            </w:r>
            <w:r>
              <w:t xml:space="preserve"> and includes at least </w:t>
            </w:r>
            <w:r w:rsidRPr="00893060">
              <w:t xml:space="preserve">5% of the dispensers in 20% of the </w:t>
            </w:r>
            <w:r>
              <w:t xml:space="preserve">patient care </w:t>
            </w:r>
            <w:r w:rsidRPr="00893060">
              <w:t>units.</w:t>
            </w:r>
            <w:r>
              <w:br/>
            </w:r>
          </w:p>
        </w:tc>
      </w:tr>
      <w:tr w:rsidR="00F4327A" w:rsidRPr="009A5185" w14:paraId="7D58D7F4" w14:textId="77777777" w:rsidTr="00E53A63">
        <w:trPr>
          <w:trHeight w:val="576"/>
          <w:jc w:val="center"/>
        </w:trPr>
        <w:tc>
          <w:tcPr>
            <w:tcW w:w="9387" w:type="dxa"/>
          </w:tcPr>
          <w:p w14:paraId="0B7094F1" w14:textId="607C98DF" w:rsidR="00823FED" w:rsidRDefault="00823FED" w:rsidP="00EC4DCE">
            <w:pPr>
              <w:autoSpaceDE w:val="0"/>
              <w:autoSpaceDN w:val="0"/>
              <w:adjustRightInd w:val="0"/>
              <w:rPr>
                <w:rFonts w:cs="Arial"/>
              </w:rPr>
            </w:pPr>
            <w:r>
              <w:rPr>
                <w:rFonts w:cs="Arial"/>
                <w:b/>
                <w:bCs/>
              </w:rPr>
              <w:t xml:space="preserve">Question #6: </w:t>
            </w:r>
            <w:r w:rsidRPr="001446F9">
              <w:rPr>
                <w:rFonts w:cs="Arial"/>
              </w:rPr>
              <w:t>Does your hospital conduct audits of the volume of alcohol</w:t>
            </w:r>
            <w:r>
              <w:rPr>
                <w:rFonts w:cs="Arial"/>
              </w:rPr>
              <w:t>-</w:t>
            </w:r>
            <w:r w:rsidRPr="001446F9">
              <w:rPr>
                <w:rFonts w:cs="Arial"/>
              </w:rPr>
              <w:t xml:space="preserve">based hand sanitizer that is delivered with each activation of a wall-mounted dispenser (manual and automated) on a sample of dispensers in your patient care units at </w:t>
            </w:r>
            <w:r w:rsidRPr="00083F4E">
              <w:rPr>
                <w:rFonts w:cs="Arial"/>
                <w:b/>
                <w:bCs/>
              </w:rPr>
              <w:t>all</w:t>
            </w:r>
            <w:r w:rsidRPr="001446F9">
              <w:rPr>
                <w:rFonts w:cs="Arial"/>
              </w:rPr>
              <w:t xml:space="preserve"> the following times: </w:t>
            </w:r>
          </w:p>
          <w:p w14:paraId="790EA356" w14:textId="77777777" w:rsidR="00823FED" w:rsidRPr="001446F9" w:rsidRDefault="00823FED" w:rsidP="00AD309C">
            <w:pPr>
              <w:pStyle w:val="ListParagraph"/>
              <w:numPr>
                <w:ilvl w:val="0"/>
                <w:numId w:val="197"/>
              </w:numPr>
              <w:autoSpaceDE w:val="0"/>
              <w:autoSpaceDN w:val="0"/>
              <w:adjustRightInd w:val="0"/>
              <w:rPr>
                <w:rFonts w:cs="Arial"/>
                <w:b/>
                <w:bCs/>
              </w:rPr>
            </w:pPr>
            <w:r w:rsidRPr="001446F9">
              <w:rPr>
                <w:rFonts w:cs="Arial"/>
              </w:rPr>
              <w:t>upon installation;</w:t>
            </w:r>
          </w:p>
          <w:p w14:paraId="419D0684" w14:textId="77777777" w:rsidR="00823FED" w:rsidRPr="001446F9" w:rsidRDefault="00823FED" w:rsidP="00AD309C">
            <w:pPr>
              <w:pStyle w:val="ListParagraph"/>
              <w:numPr>
                <w:ilvl w:val="0"/>
                <w:numId w:val="197"/>
              </w:numPr>
              <w:autoSpaceDE w:val="0"/>
              <w:autoSpaceDN w:val="0"/>
              <w:adjustRightInd w:val="0"/>
              <w:rPr>
                <w:rFonts w:cs="Arial"/>
                <w:b/>
                <w:bCs/>
              </w:rPr>
            </w:pPr>
            <w:r w:rsidRPr="001446F9">
              <w:rPr>
                <w:rFonts w:cs="Arial"/>
              </w:rPr>
              <w:t>whenever the brand of product or system changes; and</w:t>
            </w:r>
          </w:p>
          <w:p w14:paraId="400FBB90" w14:textId="77777777" w:rsidR="00823FED" w:rsidRPr="001446F9" w:rsidRDefault="00823FED" w:rsidP="00AD309C">
            <w:pPr>
              <w:pStyle w:val="ListParagraph"/>
              <w:numPr>
                <w:ilvl w:val="0"/>
                <w:numId w:val="197"/>
              </w:numPr>
              <w:autoSpaceDE w:val="0"/>
              <w:autoSpaceDN w:val="0"/>
              <w:adjustRightInd w:val="0"/>
              <w:rPr>
                <w:rFonts w:cs="Arial"/>
                <w:b/>
                <w:bCs/>
              </w:rPr>
            </w:pPr>
            <w:r w:rsidRPr="001446F9">
              <w:rPr>
                <w:rFonts w:cs="Arial"/>
              </w:rPr>
              <w:t xml:space="preserve">whenever adjustments are made to the dispensers;  </w:t>
            </w:r>
          </w:p>
          <w:p w14:paraId="0183DE98" w14:textId="77777777" w:rsidR="005D3242" w:rsidRDefault="005D3242" w:rsidP="00EC4DCE">
            <w:pPr>
              <w:autoSpaceDE w:val="0"/>
              <w:autoSpaceDN w:val="0"/>
              <w:adjustRightInd w:val="0"/>
              <w:rPr>
                <w:rFonts w:cs="Arial"/>
              </w:rPr>
            </w:pPr>
          </w:p>
          <w:p w14:paraId="369B5356" w14:textId="5EEB3CAF" w:rsidR="00823FED" w:rsidRDefault="00823FED" w:rsidP="00EC4DCE">
            <w:pPr>
              <w:autoSpaceDE w:val="0"/>
              <w:autoSpaceDN w:val="0"/>
              <w:adjustRightInd w:val="0"/>
              <w:rPr>
                <w:rFonts w:cs="Arial"/>
              </w:rPr>
            </w:pPr>
            <w:r w:rsidRPr="001446F9">
              <w:rPr>
                <w:rFonts w:cs="Arial"/>
              </w:rPr>
              <w:t xml:space="preserve">OR </w:t>
            </w:r>
          </w:p>
          <w:p w14:paraId="50DFBD2D" w14:textId="77777777" w:rsidR="005D3242" w:rsidRDefault="005D3242" w:rsidP="00EC4DCE">
            <w:pPr>
              <w:autoSpaceDE w:val="0"/>
              <w:autoSpaceDN w:val="0"/>
              <w:adjustRightInd w:val="0"/>
              <w:rPr>
                <w:rFonts w:cs="Arial"/>
              </w:rPr>
            </w:pPr>
          </w:p>
          <w:p w14:paraId="7FD8E3C7" w14:textId="7BA70109" w:rsidR="00823FED" w:rsidRDefault="00823FED" w:rsidP="00EC4DCE">
            <w:pPr>
              <w:autoSpaceDE w:val="0"/>
              <w:autoSpaceDN w:val="0"/>
              <w:adjustRightInd w:val="0"/>
              <w:rPr>
                <w:rFonts w:cs="Arial"/>
              </w:rPr>
            </w:pPr>
            <w:r w:rsidRPr="001446F9">
              <w:rPr>
                <w:rFonts w:cs="Arial"/>
              </w:rPr>
              <w:t>Has your hospital conducted an audit of the volume of alcohol</w:t>
            </w:r>
            <w:r>
              <w:rPr>
                <w:rFonts w:cs="Arial"/>
              </w:rPr>
              <w:t>-</w:t>
            </w:r>
            <w:r w:rsidRPr="001446F9">
              <w:rPr>
                <w:rFonts w:cs="Arial"/>
              </w:rPr>
              <w:t xml:space="preserve">based hand sanitizer that is delivered with each activation of a wall-mounted dispenser (manual and automated) on a sample of your hospital’s existing dispensers if there have been no changes to any dispensers?  </w:t>
            </w:r>
          </w:p>
          <w:p w14:paraId="33147AF3" w14:textId="77777777" w:rsidR="00823FED" w:rsidRPr="00481148" w:rsidRDefault="00823FED" w:rsidP="00EC4DCE">
            <w:pPr>
              <w:autoSpaceDE w:val="0"/>
              <w:autoSpaceDN w:val="0"/>
              <w:adjustRightInd w:val="0"/>
              <w:rPr>
                <w:rFonts w:cs="Arial"/>
                <w:b/>
                <w:bCs/>
                <w:sz w:val="16"/>
                <w:szCs w:val="16"/>
              </w:rPr>
            </w:pPr>
          </w:p>
          <w:p w14:paraId="33BD96F1" w14:textId="0DFA2360" w:rsidR="00823FED" w:rsidRDefault="00B72F05" w:rsidP="00EC4DCE">
            <w:pPr>
              <w:autoSpaceDE w:val="0"/>
              <w:autoSpaceDN w:val="0"/>
              <w:adjustRightInd w:val="0"/>
              <w:rPr>
                <w:rFonts w:cs="Arial"/>
              </w:rPr>
            </w:pPr>
            <w:r>
              <w:rPr>
                <w:rFonts w:cs="Arial"/>
              </w:rPr>
              <w:t>In order to respond “yes” to question #6, a</w:t>
            </w:r>
            <w:r w:rsidR="00823FED">
              <w:rPr>
                <w:rFonts w:cs="Arial"/>
              </w:rPr>
              <w:t xml:space="preserve"> volume audit on a sample of wall-mounted alcohol-based hand sanitizer dispensers (manual and automated) in your patient care units must be conducted </w:t>
            </w:r>
            <w:r w:rsidR="00823FED">
              <w:rPr>
                <w:rFonts w:cs="Arial"/>
                <w:b/>
                <w:bCs/>
              </w:rPr>
              <w:t xml:space="preserve">at least </w:t>
            </w:r>
            <w:r w:rsidR="00823FED" w:rsidRPr="00CC3F0A">
              <w:rPr>
                <w:rFonts w:cs="Arial"/>
              </w:rPr>
              <w:t>once</w:t>
            </w:r>
            <w:r w:rsidR="00823FED">
              <w:rPr>
                <w:rFonts w:cs="Arial"/>
              </w:rPr>
              <w:t xml:space="preserve"> (upon installation, whenever the brand of product or system changes, and whenever adjustments are made to the dispensers) </w:t>
            </w:r>
            <w:r w:rsidR="00823FED" w:rsidRPr="00CC3F0A">
              <w:rPr>
                <w:rFonts w:cs="Arial"/>
              </w:rPr>
              <w:t>using</w:t>
            </w:r>
            <w:r w:rsidR="00823FED">
              <w:rPr>
                <w:rFonts w:cs="Arial"/>
              </w:rPr>
              <w:t xml:space="preserve"> one of the below methods. Prior volume audits are acceptable if they were conducted using the instructions in Leapfrog’s 2019-202</w:t>
            </w:r>
            <w:r w:rsidR="00E828E7">
              <w:rPr>
                <w:rFonts w:cs="Arial"/>
              </w:rPr>
              <w:t>5</w:t>
            </w:r>
            <w:r w:rsidR="00823FED">
              <w:rPr>
                <w:rFonts w:cs="Arial"/>
              </w:rPr>
              <w:t xml:space="preserve"> Surveys, documentation has been maintained, and no changes have been made to the dispensers since the audit.</w:t>
            </w:r>
          </w:p>
          <w:p w14:paraId="0B546D27" w14:textId="77777777" w:rsidR="00823FED" w:rsidRPr="00481148" w:rsidRDefault="00823FED" w:rsidP="00EC4DCE">
            <w:pPr>
              <w:autoSpaceDE w:val="0"/>
              <w:autoSpaceDN w:val="0"/>
              <w:adjustRightInd w:val="0"/>
              <w:rPr>
                <w:rFonts w:cs="Arial"/>
                <w:sz w:val="16"/>
                <w:szCs w:val="16"/>
              </w:rPr>
            </w:pPr>
          </w:p>
          <w:p w14:paraId="40EC1D3A" w14:textId="14F7F05A" w:rsidR="00823FED" w:rsidRDefault="00823FED" w:rsidP="00EC4DCE">
            <w:pPr>
              <w:autoSpaceDE w:val="0"/>
              <w:autoSpaceDN w:val="0"/>
              <w:adjustRightInd w:val="0"/>
            </w:pPr>
            <w:r>
              <w:rPr>
                <w:rFonts w:cs="Arial"/>
                <w:b/>
                <w:bCs/>
              </w:rPr>
              <w:t xml:space="preserve">Sampling Instructions: </w:t>
            </w:r>
            <w:r w:rsidRPr="00893060">
              <w:t xml:space="preserve">The sample </w:t>
            </w:r>
            <w:r w:rsidR="004242DB">
              <w:t>must</w:t>
            </w:r>
            <w:r w:rsidRPr="00893060">
              <w:t xml:space="preserve"> be based on a random or systematic sampling procedure, where the sampling plan assures wide sampling (i.e., the same places would not always be monitored)</w:t>
            </w:r>
            <w:r>
              <w:t xml:space="preserve"> and includes at least </w:t>
            </w:r>
            <w:r w:rsidRPr="00893060">
              <w:t>5% of the dispensers.</w:t>
            </w:r>
          </w:p>
          <w:p w14:paraId="3D2A0C6B" w14:textId="77777777" w:rsidR="00823FED" w:rsidRPr="00481148" w:rsidRDefault="00823FED" w:rsidP="00EC4DCE">
            <w:pPr>
              <w:autoSpaceDE w:val="0"/>
              <w:autoSpaceDN w:val="0"/>
              <w:adjustRightInd w:val="0"/>
              <w:rPr>
                <w:sz w:val="16"/>
                <w:szCs w:val="16"/>
              </w:rPr>
            </w:pPr>
          </w:p>
          <w:p w14:paraId="112B3041" w14:textId="77777777" w:rsidR="00823FED" w:rsidRPr="006D3828" w:rsidRDefault="00823FED" w:rsidP="00EC4DCE">
            <w:pPr>
              <w:autoSpaceDE w:val="0"/>
              <w:autoSpaceDN w:val="0"/>
              <w:adjustRightInd w:val="0"/>
              <w:rPr>
                <w:b/>
                <w:bCs/>
              </w:rPr>
            </w:pPr>
            <w:r>
              <w:rPr>
                <w:b/>
                <w:bCs/>
              </w:rPr>
              <w:t xml:space="preserve">Method #1 - Auditing Liquid Volume: </w:t>
            </w:r>
            <w:r w:rsidRPr="00B55BEE">
              <w:rPr>
                <w:bCs/>
              </w:rPr>
              <w:t xml:space="preserve">To audit the </w:t>
            </w:r>
            <w:r w:rsidRPr="00A81A4C">
              <w:rPr>
                <w:b/>
                <w:i/>
                <w:iCs/>
              </w:rPr>
              <w:t>liquid volume</w:t>
            </w:r>
            <w:r w:rsidRPr="00B55BEE">
              <w:rPr>
                <w:bCs/>
              </w:rPr>
              <w:t xml:space="preserve"> of alcohol-based hand sanitizer that is delivered with each activation of a wall-mounted dispenser (manual and automated), </w:t>
            </w:r>
            <w:r>
              <w:rPr>
                <w:bCs/>
              </w:rPr>
              <w:t>use</w:t>
            </w:r>
            <w:r w:rsidRPr="00B55BEE">
              <w:rPr>
                <w:bCs/>
              </w:rPr>
              <w:t xml:space="preserve"> the following process:</w:t>
            </w:r>
          </w:p>
          <w:p w14:paraId="40E6D6C0" w14:textId="77777777" w:rsidR="00823FED" w:rsidRDefault="00823FED" w:rsidP="00AD309C">
            <w:pPr>
              <w:pStyle w:val="EndnoteText"/>
              <w:numPr>
                <w:ilvl w:val="0"/>
                <w:numId w:val="190"/>
              </w:numPr>
              <w:ind w:left="360"/>
              <w:rPr>
                <w:bCs/>
              </w:rPr>
            </w:pPr>
            <w:r w:rsidRPr="00B55BEE">
              <w:rPr>
                <w:bCs/>
              </w:rPr>
              <w:t>Select a sample of dispensers based on a random or systematic sampling procedure</w:t>
            </w:r>
            <w:r>
              <w:rPr>
                <w:bCs/>
              </w:rPr>
              <w:t>.</w:t>
            </w:r>
          </w:p>
          <w:p w14:paraId="72C952DF" w14:textId="77777777" w:rsidR="00823FED" w:rsidRDefault="00823FED" w:rsidP="00AD309C">
            <w:pPr>
              <w:pStyle w:val="EndnoteText"/>
              <w:numPr>
                <w:ilvl w:val="0"/>
                <w:numId w:val="190"/>
              </w:numPr>
              <w:ind w:left="360"/>
              <w:rPr>
                <w:bCs/>
              </w:rPr>
            </w:pPr>
            <w:r w:rsidRPr="003051E2">
              <w:rPr>
                <w:bCs/>
              </w:rPr>
              <w:t>Take a small, graduated plastic medicine cup and have the dispenser deliver 10 doses of alcohol-based hand sanitizer.</w:t>
            </w:r>
          </w:p>
          <w:p w14:paraId="307D2E06" w14:textId="77777777" w:rsidR="00823FED" w:rsidRPr="003051E2" w:rsidRDefault="00823FED" w:rsidP="00AD309C">
            <w:pPr>
              <w:pStyle w:val="EndnoteText"/>
              <w:numPr>
                <w:ilvl w:val="0"/>
                <w:numId w:val="190"/>
              </w:numPr>
              <w:ind w:left="360"/>
              <w:rPr>
                <w:bCs/>
              </w:rPr>
            </w:pPr>
            <w:r w:rsidRPr="003051E2">
              <w:rPr>
                <w:bCs/>
              </w:rPr>
              <w:t>Divide the total volume dispensed by 10 to get an average of the amount dispensed.</w:t>
            </w:r>
          </w:p>
          <w:p w14:paraId="419CDDC7" w14:textId="61406B00" w:rsidR="00FC258A" w:rsidRPr="00B55BEE" w:rsidRDefault="00823FED" w:rsidP="00EC4DCE">
            <w:pPr>
              <w:pStyle w:val="EndnoteText"/>
              <w:rPr>
                <w:bCs/>
              </w:rPr>
            </w:pPr>
            <w:r>
              <w:rPr>
                <w:bCs/>
              </w:rPr>
              <w:br/>
            </w:r>
            <w:r w:rsidRPr="00C26A4A">
              <w:rPr>
                <w:bCs/>
              </w:rPr>
              <w:t>NOTE: Hospitals using foam alcohol-based hand sanitizer will need to follow the steps above, but will instead need to weigh the sample, divide the results by 10 to obtain the average output of the sample, and then convert the weight in grams to milliliters by dividing the weight by the density (which can be provided by your vendor for your specific product).</w:t>
            </w:r>
          </w:p>
          <w:p w14:paraId="08516E62" w14:textId="77777777" w:rsidR="00823FED" w:rsidRPr="00481148" w:rsidRDefault="00823FED" w:rsidP="00EC4DCE">
            <w:pPr>
              <w:autoSpaceDE w:val="0"/>
              <w:autoSpaceDN w:val="0"/>
              <w:adjustRightInd w:val="0"/>
              <w:rPr>
                <w:rFonts w:cs="Arial"/>
                <w:sz w:val="16"/>
                <w:szCs w:val="16"/>
              </w:rPr>
            </w:pPr>
          </w:p>
          <w:p w14:paraId="37045D46" w14:textId="77777777" w:rsidR="00823FED" w:rsidRPr="00B55BEE" w:rsidRDefault="00823FED" w:rsidP="00EC4DCE">
            <w:pPr>
              <w:pStyle w:val="EndnoteText"/>
              <w:rPr>
                <w:bCs/>
              </w:rPr>
            </w:pPr>
            <w:r>
              <w:rPr>
                <w:rFonts w:cs="Arial"/>
                <w:b/>
                <w:bCs/>
              </w:rPr>
              <w:t xml:space="preserve">Method #2 - Auditing Average Hand Rubbing Time: </w:t>
            </w:r>
            <w:r w:rsidRPr="00B55BEE">
              <w:rPr>
                <w:bCs/>
              </w:rPr>
              <w:t xml:space="preserve">To audit the </w:t>
            </w:r>
            <w:r w:rsidRPr="00A81A4C">
              <w:rPr>
                <w:b/>
                <w:i/>
                <w:iCs/>
              </w:rPr>
              <w:t>average hand rubbing time</w:t>
            </w:r>
            <w:r w:rsidRPr="00B55BEE">
              <w:rPr>
                <w:bCs/>
              </w:rPr>
              <w:t xml:space="preserve"> of alcohol-based hand sanitizer that is delivered with each activation of a wall-mounted dispenser (manual and automated), </w:t>
            </w:r>
            <w:r>
              <w:rPr>
                <w:bCs/>
              </w:rPr>
              <w:t>use</w:t>
            </w:r>
            <w:r w:rsidRPr="00B55BEE">
              <w:rPr>
                <w:bCs/>
              </w:rPr>
              <w:t xml:space="preserve"> the following process: </w:t>
            </w:r>
          </w:p>
          <w:p w14:paraId="3D7B1EB2" w14:textId="77777777" w:rsidR="00823FED" w:rsidRDefault="00823FED" w:rsidP="00AD309C">
            <w:pPr>
              <w:pStyle w:val="EndnoteText"/>
              <w:numPr>
                <w:ilvl w:val="0"/>
                <w:numId w:val="191"/>
              </w:numPr>
              <w:ind w:left="360"/>
              <w:rPr>
                <w:bCs/>
              </w:rPr>
            </w:pPr>
            <w:r w:rsidRPr="00B55BEE">
              <w:rPr>
                <w:bCs/>
              </w:rPr>
              <w:t>Select a sample of dispensers based on a random or systematic sampling procedure</w:t>
            </w:r>
            <w:r>
              <w:rPr>
                <w:bCs/>
              </w:rPr>
              <w:t>.</w:t>
            </w:r>
          </w:p>
          <w:p w14:paraId="37556B74" w14:textId="77777777" w:rsidR="00823FED" w:rsidRDefault="00823FED" w:rsidP="00AD309C">
            <w:pPr>
              <w:pStyle w:val="EndnoteText"/>
              <w:numPr>
                <w:ilvl w:val="0"/>
                <w:numId w:val="191"/>
              </w:numPr>
              <w:ind w:left="360"/>
              <w:rPr>
                <w:bCs/>
              </w:rPr>
            </w:pPr>
            <w:r w:rsidRPr="003051E2">
              <w:rPr>
                <w:bCs/>
              </w:rPr>
              <w:t>Identify multiple individuals (at least 10) with varying hand sizes (by quick observation).</w:t>
            </w:r>
          </w:p>
          <w:p w14:paraId="63082458" w14:textId="7A85657B" w:rsidR="00823FED" w:rsidRDefault="00823FED" w:rsidP="00AD309C">
            <w:pPr>
              <w:pStyle w:val="EndnoteText"/>
              <w:numPr>
                <w:ilvl w:val="0"/>
                <w:numId w:val="191"/>
              </w:numPr>
              <w:ind w:left="360"/>
              <w:rPr>
                <w:bCs/>
              </w:rPr>
            </w:pPr>
            <w:r w:rsidRPr="003051E2">
              <w:rPr>
                <w:bCs/>
              </w:rPr>
              <w:t>For each sampled dispenser, have each of the individuals identified in step #1 dispense a volume of alcohol-based hand sanitizer.</w:t>
            </w:r>
          </w:p>
          <w:p w14:paraId="4A6730B0" w14:textId="77777777" w:rsidR="00823FED" w:rsidRDefault="00823FED" w:rsidP="00AD309C">
            <w:pPr>
              <w:pStyle w:val="EndnoteText"/>
              <w:numPr>
                <w:ilvl w:val="0"/>
                <w:numId w:val="191"/>
              </w:numPr>
              <w:ind w:left="360"/>
              <w:rPr>
                <w:bCs/>
              </w:rPr>
            </w:pPr>
            <w:r w:rsidRPr="003051E2">
              <w:rPr>
                <w:bCs/>
              </w:rPr>
              <w:t>For each individual, have a separate individual time the amount of hand rubbing time required for hands to dry completely.</w:t>
            </w:r>
          </w:p>
          <w:p w14:paraId="73C3BF47" w14:textId="77777777" w:rsidR="00823FED" w:rsidRDefault="00823FED" w:rsidP="00AD309C">
            <w:pPr>
              <w:pStyle w:val="EndnoteText"/>
              <w:numPr>
                <w:ilvl w:val="0"/>
                <w:numId w:val="191"/>
              </w:numPr>
              <w:ind w:left="360"/>
              <w:rPr>
                <w:bCs/>
              </w:rPr>
            </w:pPr>
            <w:r w:rsidRPr="003051E2">
              <w:rPr>
                <w:bCs/>
              </w:rPr>
              <w:t xml:space="preserve">Repeat this process for each individual and calculate an </w:t>
            </w:r>
            <w:r w:rsidRPr="003051E2">
              <w:rPr>
                <w:b/>
              </w:rPr>
              <w:t>average</w:t>
            </w:r>
            <w:r w:rsidRPr="003051E2">
              <w:rPr>
                <w:bCs/>
              </w:rPr>
              <w:t xml:space="preserve"> time based on the ten observations conducted.</w:t>
            </w:r>
          </w:p>
          <w:p w14:paraId="6B38CE8D" w14:textId="1C9CB3F9" w:rsidR="00823FED" w:rsidRPr="00FC258A" w:rsidRDefault="00823FED" w:rsidP="00AD309C">
            <w:pPr>
              <w:pStyle w:val="EndnoteText"/>
              <w:numPr>
                <w:ilvl w:val="0"/>
                <w:numId w:val="191"/>
              </w:numPr>
              <w:ind w:left="360"/>
              <w:rPr>
                <w:bCs/>
              </w:rPr>
            </w:pPr>
            <w:r w:rsidRPr="003051E2">
              <w:rPr>
                <w:bCs/>
              </w:rPr>
              <w:t>Repeat this process for each sampled dispenser.</w:t>
            </w:r>
          </w:p>
        </w:tc>
      </w:tr>
      <w:tr w:rsidR="00823FED" w:rsidRPr="009A5185" w14:paraId="2F548CCD" w14:textId="77777777" w:rsidTr="00481148">
        <w:trPr>
          <w:trHeight w:val="432"/>
          <w:jc w:val="center"/>
        </w:trPr>
        <w:tc>
          <w:tcPr>
            <w:tcW w:w="9387" w:type="dxa"/>
          </w:tcPr>
          <w:p w14:paraId="3F411161" w14:textId="1D238F2B" w:rsidR="00481148" w:rsidRDefault="00823FED" w:rsidP="00EC4DCE">
            <w:pPr>
              <w:autoSpaceDE w:val="0"/>
              <w:autoSpaceDN w:val="0"/>
              <w:adjustRightInd w:val="0"/>
              <w:rPr>
                <w:rFonts w:cs="Arial"/>
              </w:rPr>
            </w:pPr>
            <w:r>
              <w:rPr>
                <w:rFonts w:cs="Arial"/>
                <w:b/>
                <w:bCs/>
              </w:rPr>
              <w:t xml:space="preserve">Question #7: </w:t>
            </w:r>
            <w:r w:rsidRPr="001446F9">
              <w:rPr>
                <w:rFonts w:cs="Arial"/>
              </w:rPr>
              <w:t>Do all the audited dispensers deliver, with one activation, 1.0 mL of alcohol-based hand sanitizer OR a volume of alcohol-based hand sanitizer that covers the hands completely and requires 15 or more seconds for hands to dry (on average)?</w:t>
            </w:r>
          </w:p>
          <w:p w14:paraId="4A5E3443" w14:textId="77777777" w:rsidR="009F6D09" w:rsidRPr="00C17B7F" w:rsidRDefault="009F6D09" w:rsidP="00EC4DCE">
            <w:pPr>
              <w:autoSpaceDE w:val="0"/>
              <w:autoSpaceDN w:val="0"/>
              <w:adjustRightInd w:val="0"/>
              <w:rPr>
                <w:rFonts w:cs="Arial"/>
              </w:rPr>
            </w:pPr>
          </w:p>
          <w:p w14:paraId="5A23ED54" w14:textId="77777777" w:rsidR="00823FED" w:rsidRPr="001446F9" w:rsidRDefault="00823FED" w:rsidP="00EC4DCE">
            <w:pPr>
              <w:pStyle w:val="EndnoteText"/>
              <w:rPr>
                <w:bCs/>
              </w:rPr>
            </w:pPr>
            <w:r w:rsidRPr="00B55BEE">
              <w:rPr>
                <w:bCs/>
              </w:rPr>
              <w:t xml:space="preserve">In order to </w:t>
            </w:r>
            <w:r>
              <w:rPr>
                <w:bCs/>
              </w:rPr>
              <w:t xml:space="preserve">respond </w:t>
            </w:r>
            <w:r w:rsidRPr="00B55BEE">
              <w:rPr>
                <w:bCs/>
              </w:rPr>
              <w:t xml:space="preserve">“yes” to question #7, the </w:t>
            </w:r>
            <w:r w:rsidRPr="00A81A4C">
              <w:rPr>
                <w:b/>
              </w:rPr>
              <w:t>average</w:t>
            </w:r>
            <w:r w:rsidRPr="00B55BEE">
              <w:rPr>
                <w:bCs/>
              </w:rPr>
              <w:t xml:space="preserve"> liquid volume for </w:t>
            </w:r>
            <w:r w:rsidRPr="00A81A4C">
              <w:rPr>
                <w:b/>
              </w:rPr>
              <w:t>each</w:t>
            </w:r>
            <w:r w:rsidRPr="00B55BEE">
              <w:rPr>
                <w:bCs/>
              </w:rPr>
              <w:t xml:space="preserve"> sampled dispenser needs to be at least 1.0 mL</w:t>
            </w:r>
            <w:r>
              <w:rPr>
                <w:bCs/>
              </w:rPr>
              <w:t xml:space="preserve"> (if using method #1) or the </w:t>
            </w:r>
            <w:r w:rsidRPr="00A81A4C">
              <w:rPr>
                <w:b/>
              </w:rPr>
              <w:t>average</w:t>
            </w:r>
            <w:r w:rsidRPr="00B55BEE">
              <w:rPr>
                <w:bCs/>
              </w:rPr>
              <w:t xml:space="preserve"> hand rubbing time for </w:t>
            </w:r>
            <w:r w:rsidRPr="00A81A4C">
              <w:rPr>
                <w:b/>
              </w:rPr>
              <w:t xml:space="preserve">each </w:t>
            </w:r>
            <w:r w:rsidRPr="00B55BEE">
              <w:rPr>
                <w:bCs/>
              </w:rPr>
              <w:t>sampled dispenser needs to be at least 15 seconds</w:t>
            </w:r>
            <w:r>
              <w:rPr>
                <w:bCs/>
              </w:rPr>
              <w:t xml:space="preserve"> (if using method #2).</w:t>
            </w:r>
          </w:p>
        </w:tc>
      </w:tr>
      <w:tr w:rsidR="00823FED" w:rsidRPr="009A5185" w14:paraId="7B289B4A" w14:textId="77777777" w:rsidTr="00C37D4D">
        <w:trPr>
          <w:trHeight w:val="288"/>
          <w:jc w:val="center"/>
        </w:trPr>
        <w:tc>
          <w:tcPr>
            <w:tcW w:w="9387" w:type="dxa"/>
            <w:vAlign w:val="center"/>
          </w:tcPr>
          <w:p w14:paraId="59AA73C8" w14:textId="77777777" w:rsidR="00823FED" w:rsidRPr="00C37F96" w:rsidRDefault="00823FED" w:rsidP="00EC4DCE">
            <w:pPr>
              <w:autoSpaceDE w:val="0"/>
              <w:autoSpaceDN w:val="0"/>
              <w:adjustRightInd w:val="0"/>
              <w:rPr>
                <w:rFonts w:cs="Arial"/>
                <w:b/>
                <w:bCs/>
                <w:i/>
                <w:iCs/>
              </w:rPr>
            </w:pPr>
            <w:r w:rsidRPr="00C37F96">
              <w:rPr>
                <w:rFonts w:cs="Arial"/>
                <w:b/>
                <w:bCs/>
                <w:i/>
                <w:iCs/>
              </w:rPr>
              <w:t>Monitoring</w:t>
            </w:r>
          </w:p>
        </w:tc>
      </w:tr>
      <w:tr w:rsidR="00823FED" w:rsidRPr="009A5185" w14:paraId="5962C21D" w14:textId="77777777" w:rsidTr="00C37D4D">
        <w:trPr>
          <w:trHeight w:val="2304"/>
          <w:jc w:val="center"/>
        </w:trPr>
        <w:tc>
          <w:tcPr>
            <w:tcW w:w="9387" w:type="dxa"/>
            <w:vAlign w:val="center"/>
          </w:tcPr>
          <w:p w14:paraId="74348A50" w14:textId="38D6283C" w:rsidR="00862551" w:rsidRDefault="00134A05" w:rsidP="00EC4DCE">
            <w:pPr>
              <w:pStyle w:val="EndnoteText"/>
              <w:rPr>
                <w:bCs/>
              </w:rPr>
            </w:pPr>
            <w:r w:rsidRPr="00FC258A">
              <w:rPr>
                <w:b/>
              </w:rPr>
              <w:t>H</w:t>
            </w:r>
            <w:r w:rsidR="00823FED">
              <w:rPr>
                <w:b/>
              </w:rPr>
              <w:t>and hygiene opportunities</w:t>
            </w:r>
            <w:r>
              <w:rPr>
                <w:b/>
              </w:rPr>
              <w:t xml:space="preserve">: </w:t>
            </w:r>
            <w:r w:rsidR="00823FED" w:rsidRPr="00893060">
              <w:rPr>
                <w:bCs/>
              </w:rPr>
              <w:t xml:space="preserve">Hand hygiene opportunities are the number of times that an individual who touches patients or who touches items used by patients should have cleaned </w:t>
            </w:r>
            <w:r w:rsidR="00823FED">
              <w:rPr>
                <w:bCs/>
              </w:rPr>
              <w:t>their</w:t>
            </w:r>
            <w:r w:rsidR="00823FED" w:rsidRPr="00893060">
              <w:rPr>
                <w:bCs/>
              </w:rPr>
              <w:t xml:space="preserve"> hands given the hand hygiene framework your hospital has adopted (e.g., WHO’s “5 moments</w:t>
            </w:r>
            <w:r w:rsidR="00455BA8">
              <w:rPr>
                <w:bCs/>
              </w:rPr>
              <w:t>,</w:t>
            </w:r>
            <w:r w:rsidR="00823FED" w:rsidRPr="00893060">
              <w:rPr>
                <w:bCs/>
              </w:rPr>
              <w:t>” Ontario’s 4 moments, CDC’s guidelines</w:t>
            </w:r>
            <w:r w:rsidR="00823FED">
              <w:rPr>
                <w:bCs/>
              </w:rPr>
              <w:t>, etc.</w:t>
            </w:r>
            <w:r w:rsidR="00823FED" w:rsidRPr="00893060">
              <w:rPr>
                <w:bCs/>
              </w:rPr>
              <w:t xml:space="preserve">). In terms of determining opportunities to monitor, this would depend on the guidelines </w:t>
            </w:r>
            <w:r w:rsidR="00823FED">
              <w:rPr>
                <w:bCs/>
              </w:rPr>
              <w:t>the</w:t>
            </w:r>
            <w:r w:rsidR="00823FED" w:rsidRPr="00893060">
              <w:rPr>
                <w:bCs/>
              </w:rPr>
              <w:t xml:space="preserve"> hospital chooses to follow. </w:t>
            </w:r>
          </w:p>
          <w:p w14:paraId="5C762009" w14:textId="77777777" w:rsidR="00862551" w:rsidRPr="00481148" w:rsidRDefault="00862551" w:rsidP="00EC4DCE">
            <w:pPr>
              <w:pStyle w:val="EndnoteText"/>
              <w:rPr>
                <w:bCs/>
                <w:sz w:val="16"/>
                <w:szCs w:val="16"/>
              </w:rPr>
            </w:pPr>
          </w:p>
          <w:p w14:paraId="1D9523B6" w14:textId="77777777" w:rsidR="00823FED" w:rsidRDefault="00823FED" w:rsidP="00EC4DCE">
            <w:pPr>
              <w:pStyle w:val="EndnoteText"/>
              <w:rPr>
                <w:bCs/>
              </w:rPr>
            </w:pPr>
            <w:r w:rsidRPr="00893060">
              <w:rPr>
                <w:bCs/>
              </w:rPr>
              <w:t xml:space="preserve">For example, many facilities choose to audit before and after patient contact or room entry and exit because this is operationally the </w:t>
            </w:r>
            <w:r w:rsidRPr="006F54F0">
              <w:rPr>
                <w:bCs/>
              </w:rPr>
              <w:t>simplest method.</w:t>
            </w:r>
            <w:r w:rsidRPr="00893060">
              <w:rPr>
                <w:bCs/>
              </w:rPr>
              <w:t xml:space="preserve"> Auditing opportunities before and after dirty tasks is operationally difficult. There is some evidence that measuring adherence on room entry and exit may be an acceptable stand-in for other opportunities within the patient encounter.</w:t>
            </w:r>
          </w:p>
          <w:p w14:paraId="64E30F52" w14:textId="77777777" w:rsidR="006771DE" w:rsidRDefault="006771DE" w:rsidP="00EC4DCE">
            <w:pPr>
              <w:pStyle w:val="EndnoteText"/>
              <w:rPr>
                <w:bCs/>
              </w:rPr>
            </w:pPr>
          </w:p>
          <w:p w14:paraId="5FDA6BB4" w14:textId="0B79A052" w:rsidR="006771DE" w:rsidRPr="004974B8" w:rsidRDefault="006771DE" w:rsidP="0078309C">
            <w:pPr>
              <w:pStyle w:val="EndnoteText"/>
              <w:rPr>
                <w:bCs/>
              </w:rPr>
            </w:pPr>
            <w:r>
              <w:rPr>
                <w:b/>
              </w:rPr>
              <w:t xml:space="preserve">Electronic compliance monitoring system: </w:t>
            </w:r>
            <w:r w:rsidRPr="00E75BD3">
              <w:rPr>
                <w:bCs/>
              </w:rPr>
              <w:t>Electronic compliance monitoring systems would include door minder or activity monitoring systems, systems that include the wearing of electronic badges, and camera-based systems</w:t>
            </w:r>
            <w:r>
              <w:rPr>
                <w:bCs/>
              </w:rPr>
              <w:t xml:space="preserve"> that are used to monitor hand hygiene compliance.</w:t>
            </w:r>
          </w:p>
        </w:tc>
      </w:tr>
      <w:tr w:rsidR="00823FED" w:rsidRPr="009A5185" w14:paraId="7E1C05C5" w14:textId="77777777" w:rsidTr="00481148">
        <w:trPr>
          <w:trHeight w:val="20"/>
          <w:jc w:val="center"/>
        </w:trPr>
        <w:tc>
          <w:tcPr>
            <w:tcW w:w="9387" w:type="dxa"/>
          </w:tcPr>
          <w:p w14:paraId="3CBDB7B0" w14:textId="77777777" w:rsidR="00823FED" w:rsidRPr="001446F9" w:rsidRDefault="00823FED" w:rsidP="00EC4DCE">
            <w:pPr>
              <w:autoSpaceDE w:val="0"/>
              <w:autoSpaceDN w:val="0"/>
              <w:adjustRightInd w:val="0"/>
              <w:rPr>
                <w:rFonts w:cs="Arial"/>
              </w:rPr>
            </w:pPr>
            <w:r>
              <w:rPr>
                <w:rFonts w:cs="Arial"/>
                <w:b/>
                <w:bCs/>
              </w:rPr>
              <w:t xml:space="preserve">Question #8: </w:t>
            </w:r>
            <w:r w:rsidRPr="001446F9">
              <w:rPr>
                <w:rFonts w:cs="Arial"/>
              </w:rPr>
              <w:t xml:space="preserve">Does your hospital collect hand hygiene compliance data on at least </w:t>
            </w:r>
            <w:r w:rsidRPr="008B7FFE">
              <w:rPr>
                <w:rFonts w:cs="Arial"/>
                <w:b/>
                <w:bCs/>
              </w:rPr>
              <w:t>200 hand hygiene opportunities</w:t>
            </w:r>
            <w:r w:rsidRPr="001446F9">
              <w:rPr>
                <w:rFonts w:cs="Arial"/>
              </w:rPr>
              <w:t xml:space="preserve">, or at least the number of hand hygiene opportunities outlined based on the unit type in Tables 1-3, </w:t>
            </w:r>
            <w:r w:rsidRPr="008B7FFE">
              <w:rPr>
                <w:rFonts w:cs="Arial"/>
                <w:b/>
                <w:bCs/>
              </w:rPr>
              <w:t xml:space="preserve">each </w:t>
            </w:r>
            <w:r w:rsidRPr="008B7FFE">
              <w:rPr>
                <w:rFonts w:cs="Arial"/>
                <w:b/>
                <w:bCs/>
                <w:u w:val="single"/>
              </w:rPr>
              <w:t>month</w:t>
            </w:r>
            <w:r w:rsidRPr="008B7FFE">
              <w:rPr>
                <w:rFonts w:cs="Arial"/>
                <w:b/>
                <w:bCs/>
              </w:rPr>
              <w:t xml:space="preserve"> in each </w:t>
            </w:r>
            <w:r w:rsidRPr="008B7FFE">
              <w:rPr>
                <w:rFonts w:cs="Arial"/>
                <w:b/>
                <w:bCs/>
                <w:u w:val="single"/>
              </w:rPr>
              <w:t>patient care unit</w:t>
            </w:r>
            <w:r w:rsidRPr="001446F9">
              <w:rPr>
                <w:rFonts w:cs="Arial"/>
              </w:rPr>
              <w:t>?</w:t>
            </w:r>
          </w:p>
          <w:p w14:paraId="301D99FA" w14:textId="77777777" w:rsidR="00AC6B98" w:rsidRPr="00481148" w:rsidRDefault="00AC6B98" w:rsidP="00EC4DCE">
            <w:pPr>
              <w:autoSpaceDE w:val="0"/>
              <w:autoSpaceDN w:val="0"/>
              <w:adjustRightInd w:val="0"/>
              <w:rPr>
                <w:rFonts w:cs="Arial"/>
                <w:b/>
                <w:sz w:val="16"/>
                <w:szCs w:val="16"/>
              </w:rPr>
            </w:pPr>
          </w:p>
          <w:p w14:paraId="39AFE818" w14:textId="4670E00A" w:rsidR="00823FED" w:rsidRDefault="00AC6B98" w:rsidP="00EC4DCE">
            <w:pPr>
              <w:autoSpaceDE w:val="0"/>
              <w:autoSpaceDN w:val="0"/>
              <w:adjustRightInd w:val="0"/>
              <w:rPr>
                <w:rFonts w:cs="Arial"/>
              </w:rPr>
            </w:pPr>
            <w:r>
              <w:rPr>
                <w:rFonts w:cs="Arial"/>
              </w:rPr>
              <w:t>In order t</w:t>
            </w:r>
            <w:r w:rsidR="00440F2D">
              <w:rPr>
                <w:rFonts w:cs="Arial"/>
              </w:rPr>
              <w:t>o respond “yes”</w:t>
            </w:r>
            <w:r>
              <w:rPr>
                <w:rFonts w:cs="Arial"/>
              </w:rPr>
              <w:t xml:space="preserve"> to question #8,</w:t>
            </w:r>
            <w:r w:rsidR="00440F2D">
              <w:rPr>
                <w:rFonts w:cs="Arial"/>
              </w:rPr>
              <w:t xml:space="preserve"> </w:t>
            </w:r>
            <w:r w:rsidR="00B72F05">
              <w:rPr>
                <w:rFonts w:cs="Arial"/>
              </w:rPr>
              <w:t>your</w:t>
            </w:r>
            <w:r w:rsidR="003515E9">
              <w:rPr>
                <w:rFonts w:cs="Arial"/>
              </w:rPr>
              <w:t xml:space="preserve"> </w:t>
            </w:r>
            <w:r w:rsidR="00440F2D">
              <w:rPr>
                <w:rFonts w:cs="Arial"/>
              </w:rPr>
              <w:t>h</w:t>
            </w:r>
            <w:r w:rsidR="00823FED">
              <w:rPr>
                <w:rFonts w:cs="Arial"/>
              </w:rPr>
              <w:t>ospital</w:t>
            </w:r>
            <w:r w:rsidR="003515E9">
              <w:rPr>
                <w:rFonts w:cs="Arial"/>
              </w:rPr>
              <w:t xml:space="preserve"> must</w:t>
            </w:r>
            <w:r w:rsidR="00823FED">
              <w:rPr>
                <w:rFonts w:cs="Arial"/>
              </w:rPr>
              <w:t xml:space="preserve"> monitor at least </w:t>
            </w:r>
            <w:r w:rsidR="00823FED" w:rsidRPr="00DC502B">
              <w:rPr>
                <w:rFonts w:cs="Arial"/>
                <w:b/>
                <w:bCs/>
              </w:rPr>
              <w:t>200 hand hygiene opportunities</w:t>
            </w:r>
            <w:r w:rsidR="00823FED">
              <w:rPr>
                <w:rFonts w:cs="Arial"/>
              </w:rPr>
              <w:t xml:space="preserve">, or at least the number of hand hygiene opportunities outlined based on the unit type in Tables 1-3, </w:t>
            </w:r>
            <w:r w:rsidR="00823FED" w:rsidRPr="00DC502B">
              <w:rPr>
                <w:rFonts w:cs="Arial"/>
                <w:b/>
                <w:bCs/>
              </w:rPr>
              <w:t xml:space="preserve">each </w:t>
            </w:r>
            <w:r w:rsidR="00823FED" w:rsidRPr="00DC502B">
              <w:rPr>
                <w:rFonts w:cs="Arial"/>
                <w:b/>
                <w:bCs/>
                <w:u w:val="single"/>
              </w:rPr>
              <w:t>month</w:t>
            </w:r>
            <w:r w:rsidR="00823FED" w:rsidRPr="00DC502B">
              <w:rPr>
                <w:rFonts w:cs="Arial"/>
                <w:b/>
                <w:bCs/>
              </w:rPr>
              <w:t xml:space="preserve"> in each </w:t>
            </w:r>
            <w:r w:rsidR="00823FED" w:rsidRPr="00FC258A">
              <w:rPr>
                <w:rFonts w:cs="Arial"/>
                <w:b/>
                <w:bCs/>
                <w:u w:val="single"/>
              </w:rPr>
              <w:t>patient care unit</w:t>
            </w:r>
            <w:r w:rsidR="00823FED">
              <w:rPr>
                <w:rFonts w:cs="Arial"/>
                <w:b/>
                <w:bCs/>
              </w:rPr>
              <w:t xml:space="preserve"> </w:t>
            </w:r>
            <w:r w:rsidR="00823FED">
              <w:rPr>
                <w:rFonts w:cs="Arial"/>
              </w:rPr>
              <w:t>using either:</w:t>
            </w:r>
          </w:p>
          <w:p w14:paraId="5F472261" w14:textId="5BD4C0C3" w:rsidR="00EF5CAF" w:rsidRPr="00EF5CAF" w:rsidRDefault="00823FED" w:rsidP="00AD309C">
            <w:pPr>
              <w:pStyle w:val="ListParagraph"/>
              <w:numPr>
                <w:ilvl w:val="0"/>
                <w:numId w:val="202"/>
              </w:numPr>
              <w:autoSpaceDE w:val="0"/>
              <w:autoSpaceDN w:val="0"/>
              <w:adjustRightInd w:val="0"/>
              <w:rPr>
                <w:rFonts w:cs="Arial"/>
              </w:rPr>
            </w:pPr>
            <w:r w:rsidRPr="00EF5CAF">
              <w:rPr>
                <w:rFonts w:cs="Arial"/>
              </w:rPr>
              <w:t>An electronic compliance monitoring system throughout all patient care units</w:t>
            </w:r>
          </w:p>
          <w:p w14:paraId="2FC75A68" w14:textId="472A8319" w:rsidR="00EF5CAF" w:rsidRPr="00EF5CAF" w:rsidRDefault="00823FED" w:rsidP="00AD309C">
            <w:pPr>
              <w:pStyle w:val="ListParagraph"/>
              <w:numPr>
                <w:ilvl w:val="0"/>
                <w:numId w:val="202"/>
              </w:numPr>
              <w:autoSpaceDE w:val="0"/>
              <w:autoSpaceDN w:val="0"/>
              <w:adjustRightInd w:val="0"/>
              <w:rPr>
                <w:rFonts w:cs="Arial"/>
              </w:rPr>
            </w:pPr>
            <w:r w:rsidRPr="00EF5CAF">
              <w:rPr>
                <w:rFonts w:cs="Arial"/>
              </w:rPr>
              <w:t>An electronic compliance monitoring system throughout some patient care units and only direct observation in all other patient care units</w:t>
            </w:r>
          </w:p>
          <w:p w14:paraId="5D8434F1" w14:textId="77777777" w:rsidR="00823FED" w:rsidRPr="00EF5CAF" w:rsidRDefault="00823FED" w:rsidP="00AD309C">
            <w:pPr>
              <w:pStyle w:val="ListParagraph"/>
              <w:numPr>
                <w:ilvl w:val="0"/>
                <w:numId w:val="202"/>
              </w:numPr>
              <w:autoSpaceDE w:val="0"/>
              <w:autoSpaceDN w:val="0"/>
              <w:adjustRightInd w:val="0"/>
              <w:rPr>
                <w:rFonts w:cs="Arial"/>
              </w:rPr>
            </w:pPr>
            <w:r w:rsidRPr="00EF5CAF">
              <w:rPr>
                <w:rFonts w:cs="Arial"/>
              </w:rPr>
              <w:t>Only direct observation throughout all patient care units</w:t>
            </w:r>
          </w:p>
          <w:p w14:paraId="33EFF0AC" w14:textId="77777777" w:rsidR="00823FED" w:rsidRPr="00481148" w:rsidRDefault="00823FED" w:rsidP="00EC4DCE">
            <w:pPr>
              <w:pStyle w:val="CommentText"/>
              <w:rPr>
                <w:sz w:val="16"/>
                <w:szCs w:val="16"/>
              </w:rPr>
            </w:pPr>
          </w:p>
          <w:p w14:paraId="16F0B846" w14:textId="52D36573" w:rsidR="00823FED" w:rsidRDefault="000A781D" w:rsidP="00EC4DCE">
            <w:pPr>
              <w:pStyle w:val="CommentText"/>
            </w:pPr>
            <w:r>
              <w:t>R</w:t>
            </w:r>
            <w:r w:rsidR="00823FED">
              <w:t xml:space="preserve">efer to the following tables to determine how many hand hygiene opportunities </w:t>
            </w:r>
            <w:r w:rsidR="004242DB">
              <w:t>must</w:t>
            </w:r>
            <w:r w:rsidR="00823FED">
              <w:t xml:space="preserve"> be monitored in each patient care unit monthly for question #8. </w:t>
            </w:r>
            <w:r w:rsidR="00823FED" w:rsidRPr="008B7FFE">
              <w:rPr>
                <w:b/>
                <w:bCs/>
              </w:rPr>
              <w:t>Historical data</w:t>
            </w:r>
            <w:r w:rsidR="00823FED">
              <w:t xml:space="preserve"> (e.g., past 3 months, 6 months, 12 months, etc.) on the monthly occupancy rates or procedure/patient volumes should be used. </w:t>
            </w:r>
          </w:p>
          <w:p w14:paraId="0C667ACD" w14:textId="77777777" w:rsidR="00E74CD8" w:rsidRDefault="00E74CD8" w:rsidP="00EC4DCE">
            <w:pPr>
              <w:pStyle w:val="CommentText"/>
            </w:pPr>
          </w:p>
          <w:p w14:paraId="730451FC" w14:textId="5FE21F9E" w:rsidR="00E74CD8" w:rsidRDefault="00E74CD8" w:rsidP="00EC4DCE">
            <w:pPr>
              <w:pStyle w:val="CommentText"/>
            </w:pPr>
            <w:r>
              <w:t>Units/areas c</w:t>
            </w:r>
            <w:r w:rsidR="00157FDB">
              <w:t>an</w:t>
            </w:r>
            <w:r>
              <w:t xml:space="preserve"> be combined </w:t>
            </w:r>
            <w:r w:rsidRPr="00915847">
              <w:t xml:space="preserve">for the purposes of determining if you have met the monthly or quarterly monitoring sample size </w:t>
            </w:r>
            <w:r>
              <w:t>if</w:t>
            </w:r>
            <w:r w:rsidRPr="00915847">
              <w:t xml:space="preserve"> they share a common group of staff</w:t>
            </w:r>
            <w:r>
              <w:t xml:space="preserve"> (</w:t>
            </w:r>
            <w:r w:rsidRPr="00915847">
              <w:t xml:space="preserve">i.e., staff are scheduled to work in the broader area and float between units </w:t>
            </w:r>
            <w:r>
              <w:t>or</w:t>
            </w:r>
            <w:r w:rsidRPr="00915847">
              <w:t xml:space="preserve"> staff may be scheduled to work either unit on any given day</w:t>
            </w:r>
            <w:r>
              <w:t>)</w:t>
            </w:r>
            <w:r w:rsidRPr="00915847">
              <w:t>.</w:t>
            </w:r>
            <w:r>
              <w:t xml:space="preserve"> Hand hygiene opportunities would still need to be monitored throughout both units/areas.</w:t>
            </w:r>
          </w:p>
          <w:p w14:paraId="2BDA1B57" w14:textId="77777777" w:rsidR="00823FED" w:rsidRDefault="00823FED" w:rsidP="00EC4DCE">
            <w:pPr>
              <w:pStyle w:val="CommentText"/>
              <w:rPr>
                <w:sz w:val="16"/>
                <w:szCs w:val="16"/>
              </w:rPr>
            </w:pPr>
          </w:p>
          <w:p w14:paraId="39FB5F2D" w14:textId="77777777" w:rsidR="00AB3334" w:rsidRDefault="00AB3334" w:rsidP="00EC4DCE">
            <w:pPr>
              <w:pStyle w:val="CommentText"/>
              <w:rPr>
                <w:sz w:val="16"/>
                <w:szCs w:val="16"/>
              </w:rPr>
            </w:pPr>
          </w:p>
          <w:p w14:paraId="4EF5571C" w14:textId="77777777" w:rsidR="00AB3334" w:rsidRDefault="00AB3334" w:rsidP="00EC4DCE">
            <w:pPr>
              <w:pStyle w:val="CommentText"/>
              <w:rPr>
                <w:sz w:val="16"/>
                <w:szCs w:val="16"/>
              </w:rPr>
            </w:pPr>
          </w:p>
          <w:p w14:paraId="032795A4" w14:textId="77777777" w:rsidR="00AB3334" w:rsidRPr="00481148" w:rsidRDefault="00AB3334" w:rsidP="00EC4DCE">
            <w:pPr>
              <w:pStyle w:val="CommentText"/>
              <w:rPr>
                <w:sz w:val="16"/>
                <w:szCs w:val="16"/>
              </w:rPr>
            </w:pPr>
          </w:p>
          <w:p w14:paraId="69579E23" w14:textId="77777777" w:rsidR="00823FED" w:rsidRDefault="00823FED" w:rsidP="00EC4DCE">
            <w:pPr>
              <w:contextualSpacing/>
              <w:rPr>
                <w:b/>
              </w:rPr>
            </w:pPr>
            <w:r>
              <w:rPr>
                <w:b/>
              </w:rPr>
              <w:t>Table 1: Units where the monthly occupancy rate can be calculated</w:t>
            </w:r>
          </w:p>
          <w:tbl>
            <w:tblPr>
              <w:tblStyle w:val="TableGrid"/>
              <w:tblW w:w="8689" w:type="dxa"/>
              <w:tblLook w:val="04A0" w:firstRow="1" w:lastRow="0" w:firstColumn="1" w:lastColumn="0" w:noHBand="0" w:noVBand="1"/>
            </w:tblPr>
            <w:tblGrid>
              <w:gridCol w:w="4344"/>
              <w:gridCol w:w="4345"/>
            </w:tblGrid>
            <w:tr w:rsidR="00823FED" w14:paraId="5679E0E0" w14:textId="77777777" w:rsidTr="00EC4DCE">
              <w:tc>
                <w:tcPr>
                  <w:tcW w:w="4344" w:type="dxa"/>
                  <w:tcBorders>
                    <w:top w:val="single" w:sz="4" w:space="0" w:color="auto"/>
                    <w:left w:val="single" w:sz="4" w:space="0" w:color="auto"/>
                    <w:bottom w:val="single" w:sz="4" w:space="0" w:color="auto"/>
                    <w:right w:val="single" w:sz="4" w:space="0" w:color="auto"/>
                  </w:tcBorders>
                  <w:hideMark/>
                </w:tcPr>
                <w:p w14:paraId="615A9422" w14:textId="77777777" w:rsidR="00823FED" w:rsidRDefault="00823FED" w:rsidP="00EC4DCE">
                  <w:pPr>
                    <w:contextualSpacing/>
                    <w:rPr>
                      <w:b/>
                    </w:rPr>
                  </w:pPr>
                  <w:r>
                    <w:rPr>
                      <w:b/>
                    </w:rPr>
                    <w:t>If your unit’s average daily census is…</w:t>
                  </w:r>
                </w:p>
              </w:tc>
              <w:tc>
                <w:tcPr>
                  <w:tcW w:w="4345" w:type="dxa"/>
                  <w:tcBorders>
                    <w:top w:val="single" w:sz="4" w:space="0" w:color="auto"/>
                    <w:left w:val="single" w:sz="4" w:space="0" w:color="auto"/>
                    <w:bottom w:val="single" w:sz="4" w:space="0" w:color="auto"/>
                    <w:right w:val="single" w:sz="4" w:space="0" w:color="auto"/>
                  </w:tcBorders>
                  <w:hideMark/>
                </w:tcPr>
                <w:p w14:paraId="6AF1BA02" w14:textId="77777777" w:rsidR="00823FED" w:rsidRDefault="00823FED" w:rsidP="00EC4DCE">
                  <w:pPr>
                    <w:contextualSpacing/>
                    <w:rPr>
                      <w:b/>
                    </w:rPr>
                  </w:pPr>
                  <w:r>
                    <w:rPr>
                      <w:b/>
                    </w:rPr>
                    <w:t>Your</w:t>
                  </w:r>
                  <w:r>
                    <w:rPr>
                      <w:b/>
                      <w:color w:val="FF0000"/>
                    </w:rPr>
                    <w:t xml:space="preserve"> patient care unit </w:t>
                  </w:r>
                  <w:r>
                    <w:rPr>
                      <w:b/>
                    </w:rPr>
                    <w:t xml:space="preserve">needs to collect hand hygiene compliance data for </w:t>
                  </w:r>
                  <w:r>
                    <w:rPr>
                      <w:b/>
                      <w:u w:val="single"/>
                    </w:rPr>
                    <w:t>at least</w:t>
                  </w:r>
                  <w:r>
                    <w:rPr>
                      <w:b/>
                    </w:rPr>
                    <w:t xml:space="preserve"> this number of </w:t>
                  </w:r>
                  <w:r>
                    <w:rPr>
                      <w:b/>
                      <w:u w:val="single"/>
                    </w:rPr>
                    <w:t xml:space="preserve">hand hygiene opportunities </w:t>
                  </w:r>
                  <w:r>
                    <w:rPr>
                      <w:b/>
                      <w:color w:val="FF0000"/>
                      <w:u w:val="single"/>
                    </w:rPr>
                    <w:t>per month</w:t>
                  </w:r>
                  <w:r w:rsidRPr="001B37FD">
                    <w:rPr>
                      <w:b/>
                    </w:rPr>
                    <w:t xml:space="preserve"> for question #8</w:t>
                  </w:r>
                  <w:r>
                    <w:rPr>
                      <w:b/>
                    </w:rPr>
                    <w:t>…</w:t>
                  </w:r>
                </w:p>
              </w:tc>
            </w:tr>
            <w:tr w:rsidR="00823FED" w14:paraId="66E91569" w14:textId="77777777" w:rsidTr="00EC4DCE">
              <w:tc>
                <w:tcPr>
                  <w:tcW w:w="4344" w:type="dxa"/>
                  <w:tcBorders>
                    <w:top w:val="single" w:sz="4" w:space="0" w:color="auto"/>
                    <w:left w:val="single" w:sz="4" w:space="0" w:color="auto"/>
                    <w:bottom w:val="single" w:sz="4" w:space="0" w:color="auto"/>
                    <w:right w:val="single" w:sz="4" w:space="0" w:color="auto"/>
                  </w:tcBorders>
                  <w:hideMark/>
                </w:tcPr>
                <w:p w14:paraId="1CB4DED9" w14:textId="77777777" w:rsidR="00823FED" w:rsidRDefault="00823FED" w:rsidP="00EC4DCE">
                  <w:pPr>
                    <w:contextualSpacing/>
                  </w:pPr>
                  <w:r>
                    <w:t>13 patients or higher</w:t>
                  </w:r>
                </w:p>
              </w:tc>
              <w:tc>
                <w:tcPr>
                  <w:tcW w:w="4345" w:type="dxa"/>
                  <w:tcBorders>
                    <w:top w:val="single" w:sz="4" w:space="0" w:color="auto"/>
                    <w:left w:val="single" w:sz="4" w:space="0" w:color="auto"/>
                    <w:bottom w:val="single" w:sz="4" w:space="0" w:color="auto"/>
                    <w:right w:val="single" w:sz="4" w:space="0" w:color="auto"/>
                  </w:tcBorders>
                  <w:hideMark/>
                </w:tcPr>
                <w:p w14:paraId="61D5ECC4" w14:textId="77777777" w:rsidR="00823FED" w:rsidRDefault="00823FED" w:rsidP="00EC4DCE">
                  <w:pPr>
                    <w:contextualSpacing/>
                  </w:pPr>
                  <w:r>
                    <w:t>200</w:t>
                  </w:r>
                </w:p>
              </w:tc>
            </w:tr>
            <w:tr w:rsidR="00823FED" w14:paraId="6502F468" w14:textId="77777777" w:rsidTr="00EC4DCE">
              <w:tc>
                <w:tcPr>
                  <w:tcW w:w="4344" w:type="dxa"/>
                  <w:tcBorders>
                    <w:top w:val="single" w:sz="4" w:space="0" w:color="auto"/>
                    <w:left w:val="single" w:sz="4" w:space="0" w:color="auto"/>
                    <w:bottom w:val="single" w:sz="4" w:space="0" w:color="auto"/>
                    <w:right w:val="single" w:sz="4" w:space="0" w:color="auto"/>
                  </w:tcBorders>
                  <w:hideMark/>
                </w:tcPr>
                <w:p w14:paraId="16E740CD" w14:textId="77777777" w:rsidR="00823FED" w:rsidRDefault="00823FED" w:rsidP="00EC4DCE">
                  <w:pPr>
                    <w:contextualSpacing/>
                  </w:pPr>
                  <w:r>
                    <w:t>10-12 patients</w:t>
                  </w:r>
                </w:p>
              </w:tc>
              <w:tc>
                <w:tcPr>
                  <w:tcW w:w="4345" w:type="dxa"/>
                  <w:tcBorders>
                    <w:top w:val="single" w:sz="4" w:space="0" w:color="auto"/>
                    <w:left w:val="single" w:sz="4" w:space="0" w:color="auto"/>
                    <w:bottom w:val="single" w:sz="4" w:space="0" w:color="auto"/>
                    <w:right w:val="single" w:sz="4" w:space="0" w:color="auto"/>
                  </w:tcBorders>
                  <w:hideMark/>
                </w:tcPr>
                <w:p w14:paraId="40ADC247" w14:textId="77777777" w:rsidR="00823FED" w:rsidRDefault="00823FED" w:rsidP="00EC4DCE">
                  <w:pPr>
                    <w:contextualSpacing/>
                  </w:pPr>
                  <w:r>
                    <w:t>150</w:t>
                  </w:r>
                </w:p>
              </w:tc>
            </w:tr>
            <w:tr w:rsidR="00823FED" w14:paraId="4567290C" w14:textId="77777777" w:rsidTr="00EC4DCE">
              <w:tc>
                <w:tcPr>
                  <w:tcW w:w="4344" w:type="dxa"/>
                  <w:tcBorders>
                    <w:top w:val="single" w:sz="4" w:space="0" w:color="auto"/>
                    <w:left w:val="single" w:sz="4" w:space="0" w:color="auto"/>
                    <w:bottom w:val="single" w:sz="4" w:space="0" w:color="auto"/>
                    <w:right w:val="single" w:sz="4" w:space="0" w:color="auto"/>
                  </w:tcBorders>
                  <w:hideMark/>
                </w:tcPr>
                <w:p w14:paraId="3D673916" w14:textId="609DD207" w:rsidR="00823FED" w:rsidRDefault="00823FED" w:rsidP="00FC258A">
                  <w:pPr>
                    <w:tabs>
                      <w:tab w:val="left" w:pos="1505"/>
                    </w:tabs>
                    <w:contextualSpacing/>
                    <w:jc w:val="both"/>
                  </w:pPr>
                  <w:r>
                    <w:t>7-9 patients</w:t>
                  </w:r>
                </w:p>
              </w:tc>
              <w:tc>
                <w:tcPr>
                  <w:tcW w:w="4345" w:type="dxa"/>
                  <w:tcBorders>
                    <w:top w:val="single" w:sz="4" w:space="0" w:color="auto"/>
                    <w:left w:val="single" w:sz="4" w:space="0" w:color="auto"/>
                    <w:bottom w:val="single" w:sz="4" w:space="0" w:color="auto"/>
                    <w:right w:val="single" w:sz="4" w:space="0" w:color="auto"/>
                  </w:tcBorders>
                  <w:hideMark/>
                </w:tcPr>
                <w:p w14:paraId="3C05CBC5" w14:textId="77777777" w:rsidR="00823FED" w:rsidRDefault="00823FED" w:rsidP="00EC4DCE">
                  <w:pPr>
                    <w:contextualSpacing/>
                  </w:pPr>
                  <w:r>
                    <w:t>100</w:t>
                  </w:r>
                </w:p>
              </w:tc>
            </w:tr>
            <w:tr w:rsidR="00823FED" w14:paraId="04FE906E" w14:textId="77777777" w:rsidTr="00EC4DCE">
              <w:tc>
                <w:tcPr>
                  <w:tcW w:w="4344" w:type="dxa"/>
                  <w:tcBorders>
                    <w:top w:val="single" w:sz="4" w:space="0" w:color="auto"/>
                    <w:left w:val="single" w:sz="4" w:space="0" w:color="auto"/>
                    <w:bottom w:val="single" w:sz="4" w:space="0" w:color="auto"/>
                    <w:right w:val="single" w:sz="4" w:space="0" w:color="auto"/>
                  </w:tcBorders>
                  <w:hideMark/>
                </w:tcPr>
                <w:p w14:paraId="219E7B17" w14:textId="77777777" w:rsidR="00823FED" w:rsidRDefault="00823FED" w:rsidP="00EC4DCE">
                  <w:pPr>
                    <w:contextualSpacing/>
                  </w:pPr>
                  <w:r>
                    <w:t>5-6 patients</w:t>
                  </w:r>
                </w:p>
              </w:tc>
              <w:tc>
                <w:tcPr>
                  <w:tcW w:w="4345" w:type="dxa"/>
                  <w:tcBorders>
                    <w:top w:val="single" w:sz="4" w:space="0" w:color="auto"/>
                    <w:left w:val="single" w:sz="4" w:space="0" w:color="auto"/>
                    <w:bottom w:val="single" w:sz="4" w:space="0" w:color="auto"/>
                    <w:right w:val="single" w:sz="4" w:space="0" w:color="auto"/>
                  </w:tcBorders>
                  <w:hideMark/>
                </w:tcPr>
                <w:p w14:paraId="57E4F101" w14:textId="77777777" w:rsidR="00823FED" w:rsidRDefault="00823FED" w:rsidP="00EC4DCE">
                  <w:pPr>
                    <w:contextualSpacing/>
                  </w:pPr>
                  <w:r>
                    <w:t>75</w:t>
                  </w:r>
                </w:p>
              </w:tc>
            </w:tr>
            <w:tr w:rsidR="00823FED" w14:paraId="2D241656" w14:textId="77777777" w:rsidTr="00EC4DCE">
              <w:tc>
                <w:tcPr>
                  <w:tcW w:w="4344" w:type="dxa"/>
                  <w:tcBorders>
                    <w:top w:val="single" w:sz="4" w:space="0" w:color="auto"/>
                    <w:left w:val="single" w:sz="4" w:space="0" w:color="auto"/>
                    <w:bottom w:val="single" w:sz="4" w:space="0" w:color="auto"/>
                    <w:right w:val="single" w:sz="4" w:space="0" w:color="auto"/>
                  </w:tcBorders>
                  <w:hideMark/>
                </w:tcPr>
                <w:p w14:paraId="34F77001" w14:textId="77777777" w:rsidR="00823FED" w:rsidRDefault="00823FED" w:rsidP="00EC4DCE">
                  <w:pPr>
                    <w:contextualSpacing/>
                  </w:pPr>
                  <w:r>
                    <w:t>3-4 patients</w:t>
                  </w:r>
                </w:p>
              </w:tc>
              <w:tc>
                <w:tcPr>
                  <w:tcW w:w="4345" w:type="dxa"/>
                  <w:tcBorders>
                    <w:top w:val="single" w:sz="4" w:space="0" w:color="auto"/>
                    <w:left w:val="single" w:sz="4" w:space="0" w:color="auto"/>
                    <w:bottom w:val="single" w:sz="4" w:space="0" w:color="auto"/>
                    <w:right w:val="single" w:sz="4" w:space="0" w:color="auto"/>
                  </w:tcBorders>
                  <w:hideMark/>
                </w:tcPr>
                <w:p w14:paraId="13909801" w14:textId="77777777" w:rsidR="00823FED" w:rsidRDefault="00823FED" w:rsidP="00EC4DCE">
                  <w:pPr>
                    <w:contextualSpacing/>
                  </w:pPr>
                  <w:r>
                    <w:t>45</w:t>
                  </w:r>
                </w:p>
              </w:tc>
            </w:tr>
            <w:tr w:rsidR="00823FED" w14:paraId="73E958F6" w14:textId="77777777" w:rsidTr="00EC4DCE">
              <w:tc>
                <w:tcPr>
                  <w:tcW w:w="4344" w:type="dxa"/>
                  <w:tcBorders>
                    <w:top w:val="single" w:sz="4" w:space="0" w:color="auto"/>
                    <w:left w:val="single" w:sz="4" w:space="0" w:color="auto"/>
                    <w:bottom w:val="single" w:sz="4" w:space="0" w:color="auto"/>
                    <w:right w:val="single" w:sz="4" w:space="0" w:color="auto"/>
                  </w:tcBorders>
                  <w:hideMark/>
                </w:tcPr>
                <w:p w14:paraId="5C79AF04" w14:textId="77777777" w:rsidR="00823FED" w:rsidRDefault="00823FED" w:rsidP="00EC4DCE">
                  <w:pPr>
                    <w:contextualSpacing/>
                  </w:pPr>
                  <w:r>
                    <w:t>1-2 patients</w:t>
                  </w:r>
                </w:p>
              </w:tc>
              <w:tc>
                <w:tcPr>
                  <w:tcW w:w="4345" w:type="dxa"/>
                  <w:tcBorders>
                    <w:top w:val="single" w:sz="4" w:space="0" w:color="auto"/>
                    <w:left w:val="single" w:sz="4" w:space="0" w:color="auto"/>
                    <w:bottom w:val="single" w:sz="4" w:space="0" w:color="auto"/>
                    <w:right w:val="single" w:sz="4" w:space="0" w:color="auto"/>
                  </w:tcBorders>
                  <w:hideMark/>
                </w:tcPr>
                <w:p w14:paraId="433C1B1F" w14:textId="77777777" w:rsidR="00823FED" w:rsidRDefault="00823FED" w:rsidP="00EC4DCE">
                  <w:pPr>
                    <w:contextualSpacing/>
                  </w:pPr>
                  <w:r>
                    <w:t>15</w:t>
                  </w:r>
                </w:p>
              </w:tc>
            </w:tr>
          </w:tbl>
          <w:p w14:paraId="5A06DA5D" w14:textId="77777777" w:rsidR="00823FED" w:rsidRPr="00481148" w:rsidRDefault="00823FED" w:rsidP="00EC4DCE">
            <w:pPr>
              <w:contextualSpacing/>
              <w:rPr>
                <w:sz w:val="16"/>
                <w:szCs w:val="16"/>
              </w:rPr>
            </w:pPr>
          </w:p>
          <w:p w14:paraId="53F40B82" w14:textId="77777777" w:rsidR="00823FED" w:rsidRDefault="00823FED" w:rsidP="00EC4DCE">
            <w:pPr>
              <w:contextualSpacing/>
              <w:rPr>
                <w:b/>
              </w:rPr>
            </w:pPr>
            <w:r>
              <w:rPr>
                <w:b/>
              </w:rPr>
              <w:t>Table 2: Units where the monthly occupancy rate cannot be calculated (e.g., PACU, labor and delivery, outpatient units)</w:t>
            </w:r>
          </w:p>
          <w:tbl>
            <w:tblPr>
              <w:tblStyle w:val="TableGrid"/>
              <w:tblW w:w="8689" w:type="dxa"/>
              <w:tblLook w:val="04A0" w:firstRow="1" w:lastRow="0" w:firstColumn="1" w:lastColumn="0" w:noHBand="0" w:noVBand="1"/>
            </w:tblPr>
            <w:tblGrid>
              <w:gridCol w:w="4344"/>
              <w:gridCol w:w="4345"/>
            </w:tblGrid>
            <w:tr w:rsidR="00823FED" w14:paraId="369890B6" w14:textId="77777777" w:rsidTr="00EC4DCE">
              <w:tc>
                <w:tcPr>
                  <w:tcW w:w="4344" w:type="dxa"/>
                  <w:tcBorders>
                    <w:top w:val="single" w:sz="4" w:space="0" w:color="auto"/>
                    <w:left w:val="single" w:sz="4" w:space="0" w:color="auto"/>
                    <w:bottom w:val="single" w:sz="4" w:space="0" w:color="auto"/>
                    <w:right w:val="single" w:sz="4" w:space="0" w:color="auto"/>
                  </w:tcBorders>
                  <w:hideMark/>
                </w:tcPr>
                <w:p w14:paraId="546A5F61" w14:textId="777B32C9" w:rsidR="00823FED" w:rsidRDefault="00823FED" w:rsidP="00EC4DCE">
                  <w:pPr>
                    <w:contextualSpacing/>
                    <w:rPr>
                      <w:b/>
                    </w:rPr>
                  </w:pPr>
                  <w:r>
                    <w:rPr>
                      <w:b/>
                    </w:rPr>
                    <w:t>If your unit’s average number of procedures</w:t>
                  </w:r>
                  <w:r w:rsidR="009672D0">
                    <w:rPr>
                      <w:b/>
                    </w:rPr>
                    <w:t>/patient volume</w:t>
                  </w:r>
                  <w:r>
                    <w:rPr>
                      <w:b/>
                    </w:rPr>
                    <w:t xml:space="preserve"> in a month is…</w:t>
                  </w:r>
                </w:p>
              </w:tc>
              <w:tc>
                <w:tcPr>
                  <w:tcW w:w="4345" w:type="dxa"/>
                  <w:tcBorders>
                    <w:top w:val="single" w:sz="4" w:space="0" w:color="auto"/>
                    <w:left w:val="single" w:sz="4" w:space="0" w:color="auto"/>
                    <w:bottom w:val="single" w:sz="4" w:space="0" w:color="auto"/>
                    <w:right w:val="single" w:sz="4" w:space="0" w:color="auto"/>
                  </w:tcBorders>
                  <w:hideMark/>
                </w:tcPr>
                <w:p w14:paraId="0FD9EE53" w14:textId="77777777" w:rsidR="00823FED" w:rsidRDefault="00823FED" w:rsidP="00EC4DCE">
                  <w:pPr>
                    <w:contextualSpacing/>
                    <w:rPr>
                      <w:b/>
                    </w:rPr>
                  </w:pPr>
                  <w:r>
                    <w:rPr>
                      <w:b/>
                    </w:rPr>
                    <w:t>Your</w:t>
                  </w:r>
                  <w:r>
                    <w:rPr>
                      <w:b/>
                      <w:color w:val="FF0000"/>
                    </w:rPr>
                    <w:t xml:space="preserve"> patient care unit </w:t>
                  </w:r>
                  <w:r>
                    <w:rPr>
                      <w:b/>
                    </w:rPr>
                    <w:t xml:space="preserve">needs to collect hand hygiene compliance data for </w:t>
                  </w:r>
                  <w:r>
                    <w:rPr>
                      <w:b/>
                      <w:u w:val="single"/>
                    </w:rPr>
                    <w:t>at least</w:t>
                  </w:r>
                  <w:r>
                    <w:rPr>
                      <w:b/>
                    </w:rPr>
                    <w:t xml:space="preserve"> this number of </w:t>
                  </w:r>
                  <w:r>
                    <w:rPr>
                      <w:b/>
                      <w:u w:val="single"/>
                    </w:rPr>
                    <w:t xml:space="preserve">hand hygiene opportunities </w:t>
                  </w:r>
                  <w:r>
                    <w:rPr>
                      <w:b/>
                      <w:color w:val="FF0000"/>
                      <w:u w:val="single"/>
                    </w:rPr>
                    <w:t>per month</w:t>
                  </w:r>
                  <w:r w:rsidRPr="001B37FD">
                    <w:rPr>
                      <w:b/>
                    </w:rPr>
                    <w:t xml:space="preserve"> for question #8</w:t>
                  </w:r>
                  <w:r>
                    <w:rPr>
                      <w:b/>
                    </w:rPr>
                    <w:t>…</w:t>
                  </w:r>
                </w:p>
              </w:tc>
            </w:tr>
            <w:tr w:rsidR="00823FED" w14:paraId="4267BB9E" w14:textId="77777777" w:rsidTr="00EC4DCE">
              <w:tc>
                <w:tcPr>
                  <w:tcW w:w="4344" w:type="dxa"/>
                  <w:tcBorders>
                    <w:top w:val="single" w:sz="4" w:space="0" w:color="auto"/>
                    <w:left w:val="single" w:sz="4" w:space="0" w:color="auto"/>
                    <w:bottom w:val="single" w:sz="4" w:space="0" w:color="auto"/>
                    <w:right w:val="single" w:sz="4" w:space="0" w:color="auto"/>
                  </w:tcBorders>
                  <w:hideMark/>
                </w:tcPr>
                <w:p w14:paraId="15F4768E" w14:textId="4DC1168B" w:rsidR="00823FED" w:rsidRDefault="00823FED" w:rsidP="00EC4DCE">
                  <w:pPr>
                    <w:contextualSpacing/>
                  </w:pPr>
                  <w:r>
                    <w:t>400 procedures</w:t>
                  </w:r>
                  <w:r w:rsidR="00F26AA9">
                    <w:t>/patients</w:t>
                  </w:r>
                  <w:r>
                    <w:t xml:space="preserve"> or greater</w:t>
                  </w:r>
                </w:p>
              </w:tc>
              <w:tc>
                <w:tcPr>
                  <w:tcW w:w="4345" w:type="dxa"/>
                  <w:tcBorders>
                    <w:top w:val="single" w:sz="4" w:space="0" w:color="auto"/>
                    <w:left w:val="single" w:sz="4" w:space="0" w:color="auto"/>
                    <w:bottom w:val="single" w:sz="4" w:space="0" w:color="auto"/>
                    <w:right w:val="single" w:sz="4" w:space="0" w:color="auto"/>
                  </w:tcBorders>
                  <w:hideMark/>
                </w:tcPr>
                <w:p w14:paraId="5E74D04B" w14:textId="77777777" w:rsidR="00823FED" w:rsidRDefault="00823FED" w:rsidP="00EC4DCE">
                  <w:pPr>
                    <w:contextualSpacing/>
                  </w:pPr>
                  <w:r>
                    <w:t>200</w:t>
                  </w:r>
                </w:p>
              </w:tc>
            </w:tr>
            <w:tr w:rsidR="00823FED" w14:paraId="638C8696" w14:textId="77777777" w:rsidTr="00EC4DCE">
              <w:tc>
                <w:tcPr>
                  <w:tcW w:w="4344" w:type="dxa"/>
                  <w:tcBorders>
                    <w:top w:val="single" w:sz="4" w:space="0" w:color="auto"/>
                    <w:left w:val="single" w:sz="4" w:space="0" w:color="auto"/>
                    <w:bottom w:val="single" w:sz="4" w:space="0" w:color="auto"/>
                    <w:right w:val="single" w:sz="4" w:space="0" w:color="auto"/>
                  </w:tcBorders>
                  <w:hideMark/>
                </w:tcPr>
                <w:p w14:paraId="2095653B" w14:textId="18168F2D" w:rsidR="00823FED" w:rsidRDefault="00823FED" w:rsidP="00EC4DCE">
                  <w:pPr>
                    <w:contextualSpacing/>
                  </w:pPr>
                  <w:r>
                    <w:t>320-399 procedures</w:t>
                  </w:r>
                  <w:r w:rsidR="00F26AA9">
                    <w:t>/patients</w:t>
                  </w:r>
                </w:p>
              </w:tc>
              <w:tc>
                <w:tcPr>
                  <w:tcW w:w="4345" w:type="dxa"/>
                  <w:tcBorders>
                    <w:top w:val="single" w:sz="4" w:space="0" w:color="auto"/>
                    <w:left w:val="single" w:sz="4" w:space="0" w:color="auto"/>
                    <w:bottom w:val="single" w:sz="4" w:space="0" w:color="auto"/>
                    <w:right w:val="single" w:sz="4" w:space="0" w:color="auto"/>
                  </w:tcBorders>
                  <w:hideMark/>
                </w:tcPr>
                <w:p w14:paraId="1E595131" w14:textId="77777777" w:rsidR="00823FED" w:rsidRDefault="00823FED" w:rsidP="00EC4DCE">
                  <w:pPr>
                    <w:contextualSpacing/>
                  </w:pPr>
                  <w:r>
                    <w:t>150</w:t>
                  </w:r>
                </w:p>
              </w:tc>
            </w:tr>
            <w:tr w:rsidR="00823FED" w14:paraId="7257E3B6" w14:textId="77777777" w:rsidTr="00EC4DCE">
              <w:tc>
                <w:tcPr>
                  <w:tcW w:w="4344" w:type="dxa"/>
                  <w:tcBorders>
                    <w:top w:val="single" w:sz="4" w:space="0" w:color="auto"/>
                    <w:left w:val="single" w:sz="4" w:space="0" w:color="auto"/>
                    <w:bottom w:val="single" w:sz="4" w:space="0" w:color="auto"/>
                    <w:right w:val="single" w:sz="4" w:space="0" w:color="auto"/>
                  </w:tcBorders>
                  <w:hideMark/>
                </w:tcPr>
                <w:p w14:paraId="211414C4" w14:textId="4BB6C9DA" w:rsidR="00823FED" w:rsidRDefault="00823FED" w:rsidP="00EC4DCE">
                  <w:pPr>
                    <w:tabs>
                      <w:tab w:val="left" w:pos="1505"/>
                    </w:tabs>
                    <w:contextualSpacing/>
                  </w:pPr>
                  <w:r>
                    <w:t>240-319 procedures</w:t>
                  </w:r>
                  <w:r w:rsidR="00F26AA9">
                    <w:t>/patients</w:t>
                  </w:r>
                </w:p>
              </w:tc>
              <w:tc>
                <w:tcPr>
                  <w:tcW w:w="4345" w:type="dxa"/>
                  <w:tcBorders>
                    <w:top w:val="single" w:sz="4" w:space="0" w:color="auto"/>
                    <w:left w:val="single" w:sz="4" w:space="0" w:color="auto"/>
                    <w:bottom w:val="single" w:sz="4" w:space="0" w:color="auto"/>
                    <w:right w:val="single" w:sz="4" w:space="0" w:color="auto"/>
                  </w:tcBorders>
                  <w:hideMark/>
                </w:tcPr>
                <w:p w14:paraId="1A6D68BD" w14:textId="77777777" w:rsidR="00823FED" w:rsidRDefault="00823FED" w:rsidP="00EC4DCE">
                  <w:pPr>
                    <w:contextualSpacing/>
                  </w:pPr>
                  <w:r>
                    <w:t>100</w:t>
                  </w:r>
                </w:p>
              </w:tc>
            </w:tr>
            <w:tr w:rsidR="00823FED" w14:paraId="6BA8946B" w14:textId="77777777" w:rsidTr="00EC4DCE">
              <w:tc>
                <w:tcPr>
                  <w:tcW w:w="4344" w:type="dxa"/>
                  <w:tcBorders>
                    <w:top w:val="single" w:sz="4" w:space="0" w:color="auto"/>
                    <w:left w:val="single" w:sz="4" w:space="0" w:color="auto"/>
                    <w:bottom w:val="single" w:sz="4" w:space="0" w:color="auto"/>
                    <w:right w:val="single" w:sz="4" w:space="0" w:color="auto"/>
                  </w:tcBorders>
                  <w:hideMark/>
                </w:tcPr>
                <w:p w14:paraId="30C7C124" w14:textId="65B6825E" w:rsidR="00823FED" w:rsidRDefault="00823FED" w:rsidP="00EC4DCE">
                  <w:pPr>
                    <w:contextualSpacing/>
                  </w:pPr>
                  <w:r>
                    <w:t>160-239 procedures</w:t>
                  </w:r>
                  <w:r w:rsidR="00F26AA9">
                    <w:t>/patients</w:t>
                  </w:r>
                </w:p>
              </w:tc>
              <w:tc>
                <w:tcPr>
                  <w:tcW w:w="4345" w:type="dxa"/>
                  <w:tcBorders>
                    <w:top w:val="single" w:sz="4" w:space="0" w:color="auto"/>
                    <w:left w:val="single" w:sz="4" w:space="0" w:color="auto"/>
                    <w:bottom w:val="single" w:sz="4" w:space="0" w:color="auto"/>
                    <w:right w:val="single" w:sz="4" w:space="0" w:color="auto"/>
                  </w:tcBorders>
                  <w:hideMark/>
                </w:tcPr>
                <w:p w14:paraId="7A495E03" w14:textId="77777777" w:rsidR="00823FED" w:rsidRDefault="00823FED" w:rsidP="00EC4DCE">
                  <w:pPr>
                    <w:contextualSpacing/>
                  </w:pPr>
                  <w:r>
                    <w:t>75</w:t>
                  </w:r>
                </w:p>
              </w:tc>
            </w:tr>
            <w:tr w:rsidR="00823FED" w14:paraId="0B3B288A" w14:textId="77777777" w:rsidTr="00EC4DCE">
              <w:trPr>
                <w:trHeight w:val="54"/>
              </w:trPr>
              <w:tc>
                <w:tcPr>
                  <w:tcW w:w="4344" w:type="dxa"/>
                  <w:tcBorders>
                    <w:top w:val="single" w:sz="4" w:space="0" w:color="auto"/>
                    <w:left w:val="single" w:sz="4" w:space="0" w:color="auto"/>
                    <w:bottom w:val="single" w:sz="4" w:space="0" w:color="auto"/>
                    <w:right w:val="single" w:sz="4" w:space="0" w:color="auto"/>
                  </w:tcBorders>
                  <w:hideMark/>
                </w:tcPr>
                <w:p w14:paraId="3D52CC79" w14:textId="646D9A33" w:rsidR="00823FED" w:rsidRDefault="00823FED" w:rsidP="00EC4DCE">
                  <w:pPr>
                    <w:contextualSpacing/>
                  </w:pPr>
                  <w:r>
                    <w:t>120-159 procedures</w:t>
                  </w:r>
                  <w:r w:rsidR="00F26AA9">
                    <w:t>/patients</w:t>
                  </w:r>
                </w:p>
              </w:tc>
              <w:tc>
                <w:tcPr>
                  <w:tcW w:w="4345" w:type="dxa"/>
                  <w:tcBorders>
                    <w:top w:val="single" w:sz="4" w:space="0" w:color="auto"/>
                    <w:left w:val="single" w:sz="4" w:space="0" w:color="auto"/>
                    <w:bottom w:val="single" w:sz="4" w:space="0" w:color="auto"/>
                    <w:right w:val="single" w:sz="4" w:space="0" w:color="auto"/>
                  </w:tcBorders>
                  <w:hideMark/>
                </w:tcPr>
                <w:p w14:paraId="2C7B24AF" w14:textId="77777777" w:rsidR="00823FED" w:rsidRDefault="00823FED" w:rsidP="00EC4DCE">
                  <w:pPr>
                    <w:contextualSpacing/>
                  </w:pPr>
                  <w:r>
                    <w:t>50</w:t>
                  </w:r>
                </w:p>
              </w:tc>
            </w:tr>
            <w:tr w:rsidR="00823FED" w14:paraId="6AF683B6" w14:textId="77777777" w:rsidTr="00EC4DCE">
              <w:tc>
                <w:tcPr>
                  <w:tcW w:w="4344" w:type="dxa"/>
                  <w:tcBorders>
                    <w:top w:val="single" w:sz="4" w:space="0" w:color="auto"/>
                    <w:left w:val="single" w:sz="4" w:space="0" w:color="auto"/>
                    <w:bottom w:val="single" w:sz="4" w:space="0" w:color="auto"/>
                    <w:right w:val="single" w:sz="4" w:space="0" w:color="auto"/>
                  </w:tcBorders>
                  <w:hideMark/>
                </w:tcPr>
                <w:p w14:paraId="778EFD3D" w14:textId="2DE6C01F" w:rsidR="00823FED" w:rsidRDefault="00823FED" w:rsidP="00EC4DCE">
                  <w:pPr>
                    <w:contextualSpacing/>
                  </w:pPr>
                  <w:r>
                    <w:t>60-119 procedures</w:t>
                  </w:r>
                  <w:r w:rsidR="00F26AA9">
                    <w:t>/patients</w:t>
                  </w:r>
                </w:p>
              </w:tc>
              <w:tc>
                <w:tcPr>
                  <w:tcW w:w="4345" w:type="dxa"/>
                  <w:tcBorders>
                    <w:top w:val="single" w:sz="4" w:space="0" w:color="auto"/>
                    <w:left w:val="single" w:sz="4" w:space="0" w:color="auto"/>
                    <w:bottom w:val="single" w:sz="4" w:space="0" w:color="auto"/>
                    <w:right w:val="single" w:sz="4" w:space="0" w:color="auto"/>
                  </w:tcBorders>
                  <w:hideMark/>
                </w:tcPr>
                <w:p w14:paraId="4395F576" w14:textId="77777777" w:rsidR="00823FED" w:rsidRDefault="00823FED" w:rsidP="00EC4DCE">
                  <w:pPr>
                    <w:contextualSpacing/>
                  </w:pPr>
                  <w:r>
                    <w:t>30</w:t>
                  </w:r>
                </w:p>
              </w:tc>
            </w:tr>
            <w:tr w:rsidR="00823FED" w14:paraId="7CEF03A7" w14:textId="77777777" w:rsidTr="00EC4DCE">
              <w:tc>
                <w:tcPr>
                  <w:tcW w:w="4344" w:type="dxa"/>
                  <w:tcBorders>
                    <w:top w:val="single" w:sz="4" w:space="0" w:color="auto"/>
                    <w:left w:val="single" w:sz="4" w:space="0" w:color="auto"/>
                    <w:bottom w:val="single" w:sz="4" w:space="0" w:color="auto"/>
                    <w:right w:val="single" w:sz="4" w:space="0" w:color="auto"/>
                  </w:tcBorders>
                  <w:hideMark/>
                </w:tcPr>
                <w:p w14:paraId="0E27C0C6" w14:textId="5F8976C9" w:rsidR="00823FED" w:rsidRDefault="00823FED" w:rsidP="00EC4DCE">
                  <w:pPr>
                    <w:contextualSpacing/>
                  </w:pPr>
                  <w:r>
                    <w:t>30-59 procedures</w:t>
                  </w:r>
                  <w:r w:rsidR="00F26AA9">
                    <w:t>/patients</w:t>
                  </w:r>
                </w:p>
              </w:tc>
              <w:tc>
                <w:tcPr>
                  <w:tcW w:w="4345" w:type="dxa"/>
                  <w:tcBorders>
                    <w:top w:val="single" w:sz="4" w:space="0" w:color="auto"/>
                    <w:left w:val="single" w:sz="4" w:space="0" w:color="auto"/>
                    <w:bottom w:val="single" w:sz="4" w:space="0" w:color="auto"/>
                    <w:right w:val="single" w:sz="4" w:space="0" w:color="auto"/>
                  </w:tcBorders>
                  <w:hideMark/>
                </w:tcPr>
                <w:p w14:paraId="261B35E3" w14:textId="77777777" w:rsidR="00823FED" w:rsidRDefault="00823FED" w:rsidP="00EC4DCE">
                  <w:pPr>
                    <w:contextualSpacing/>
                  </w:pPr>
                  <w:r>
                    <w:t>15</w:t>
                  </w:r>
                </w:p>
              </w:tc>
            </w:tr>
            <w:tr w:rsidR="00823FED" w14:paraId="4B9B0D3F" w14:textId="77777777" w:rsidTr="00EC4DCE">
              <w:tc>
                <w:tcPr>
                  <w:tcW w:w="4344" w:type="dxa"/>
                  <w:tcBorders>
                    <w:top w:val="single" w:sz="4" w:space="0" w:color="auto"/>
                    <w:left w:val="single" w:sz="4" w:space="0" w:color="auto"/>
                    <w:bottom w:val="single" w:sz="4" w:space="0" w:color="auto"/>
                    <w:right w:val="single" w:sz="4" w:space="0" w:color="auto"/>
                  </w:tcBorders>
                  <w:hideMark/>
                </w:tcPr>
                <w:p w14:paraId="786C14BA" w14:textId="7A74D808" w:rsidR="00823FED" w:rsidRDefault="00823FED" w:rsidP="00EC4DCE">
                  <w:pPr>
                    <w:contextualSpacing/>
                  </w:pPr>
                  <w:r>
                    <w:t>&lt;30 procedures</w:t>
                  </w:r>
                  <w:r w:rsidR="00F26AA9">
                    <w:t>/patients</w:t>
                  </w:r>
                </w:p>
              </w:tc>
              <w:tc>
                <w:tcPr>
                  <w:tcW w:w="4345" w:type="dxa"/>
                  <w:tcBorders>
                    <w:top w:val="single" w:sz="4" w:space="0" w:color="auto"/>
                    <w:left w:val="single" w:sz="4" w:space="0" w:color="auto"/>
                    <w:bottom w:val="single" w:sz="4" w:space="0" w:color="auto"/>
                    <w:right w:val="single" w:sz="4" w:space="0" w:color="auto"/>
                  </w:tcBorders>
                  <w:hideMark/>
                </w:tcPr>
                <w:p w14:paraId="65641589" w14:textId="77777777" w:rsidR="00823FED" w:rsidRDefault="00823FED" w:rsidP="00EC4DCE">
                  <w:pPr>
                    <w:contextualSpacing/>
                  </w:pPr>
                  <w:r>
                    <w:t>5</w:t>
                  </w:r>
                </w:p>
              </w:tc>
            </w:tr>
          </w:tbl>
          <w:p w14:paraId="7C33659E" w14:textId="77777777" w:rsidR="00C37D4D" w:rsidRDefault="00C37D4D" w:rsidP="00C37D4D">
            <w:pPr>
              <w:contextualSpacing/>
              <w:rPr>
                <w:b/>
              </w:rPr>
            </w:pPr>
          </w:p>
          <w:p w14:paraId="51669254" w14:textId="5ACE6139" w:rsidR="00C37D4D" w:rsidRDefault="00C37D4D" w:rsidP="00C37D4D">
            <w:pPr>
              <w:contextualSpacing/>
              <w:rPr>
                <w:b/>
              </w:rPr>
            </w:pPr>
            <w:r>
              <w:rPr>
                <w:b/>
              </w:rPr>
              <w:t>Table 3: Emergency department units</w:t>
            </w:r>
          </w:p>
          <w:tbl>
            <w:tblPr>
              <w:tblStyle w:val="TableGrid"/>
              <w:tblW w:w="8689" w:type="dxa"/>
              <w:tblLook w:val="04A0" w:firstRow="1" w:lastRow="0" w:firstColumn="1" w:lastColumn="0" w:noHBand="0" w:noVBand="1"/>
            </w:tblPr>
            <w:tblGrid>
              <w:gridCol w:w="4344"/>
              <w:gridCol w:w="4345"/>
            </w:tblGrid>
            <w:tr w:rsidR="00C37D4D" w14:paraId="43863855" w14:textId="77777777" w:rsidTr="00EC4DCE">
              <w:tc>
                <w:tcPr>
                  <w:tcW w:w="4344" w:type="dxa"/>
                  <w:tcBorders>
                    <w:top w:val="single" w:sz="4" w:space="0" w:color="auto"/>
                    <w:left w:val="single" w:sz="4" w:space="0" w:color="auto"/>
                    <w:bottom w:val="single" w:sz="4" w:space="0" w:color="auto"/>
                    <w:right w:val="single" w:sz="4" w:space="0" w:color="auto"/>
                  </w:tcBorders>
                  <w:hideMark/>
                </w:tcPr>
                <w:p w14:paraId="670888BD" w14:textId="77777777" w:rsidR="00C37D4D" w:rsidRDefault="00C37D4D" w:rsidP="00C37D4D">
                  <w:pPr>
                    <w:contextualSpacing/>
                    <w:rPr>
                      <w:b/>
                    </w:rPr>
                  </w:pPr>
                  <w:r>
                    <w:rPr>
                      <w:b/>
                    </w:rPr>
                    <w:t>If your emergency department’s average number of visits in a month is…</w:t>
                  </w:r>
                </w:p>
              </w:tc>
              <w:tc>
                <w:tcPr>
                  <w:tcW w:w="4345" w:type="dxa"/>
                  <w:tcBorders>
                    <w:top w:val="single" w:sz="4" w:space="0" w:color="auto"/>
                    <w:left w:val="single" w:sz="4" w:space="0" w:color="auto"/>
                    <w:bottom w:val="single" w:sz="4" w:space="0" w:color="auto"/>
                    <w:right w:val="single" w:sz="4" w:space="0" w:color="auto"/>
                  </w:tcBorders>
                  <w:hideMark/>
                </w:tcPr>
                <w:p w14:paraId="4D72ADE6" w14:textId="77777777" w:rsidR="00C37D4D" w:rsidRDefault="00C37D4D" w:rsidP="00C37D4D">
                  <w:pPr>
                    <w:contextualSpacing/>
                    <w:rPr>
                      <w:b/>
                    </w:rPr>
                  </w:pPr>
                  <w:r>
                    <w:rPr>
                      <w:b/>
                    </w:rPr>
                    <w:t>Your</w:t>
                  </w:r>
                  <w:r>
                    <w:rPr>
                      <w:b/>
                      <w:color w:val="FF0000"/>
                    </w:rPr>
                    <w:t xml:space="preserve"> patient care unit </w:t>
                  </w:r>
                  <w:r>
                    <w:rPr>
                      <w:b/>
                    </w:rPr>
                    <w:t xml:space="preserve">needs to collect hand hygiene compliance data for </w:t>
                  </w:r>
                  <w:r>
                    <w:rPr>
                      <w:b/>
                      <w:u w:val="single"/>
                    </w:rPr>
                    <w:t>at least</w:t>
                  </w:r>
                  <w:r>
                    <w:rPr>
                      <w:b/>
                    </w:rPr>
                    <w:t xml:space="preserve"> this number of </w:t>
                  </w:r>
                  <w:r>
                    <w:rPr>
                      <w:b/>
                      <w:u w:val="single"/>
                    </w:rPr>
                    <w:t xml:space="preserve">hand hygiene opportunities </w:t>
                  </w:r>
                  <w:r>
                    <w:rPr>
                      <w:b/>
                      <w:color w:val="FF0000"/>
                      <w:u w:val="single"/>
                    </w:rPr>
                    <w:t>per month</w:t>
                  </w:r>
                  <w:r w:rsidRPr="001B37FD">
                    <w:rPr>
                      <w:b/>
                    </w:rPr>
                    <w:t xml:space="preserve"> for question #8</w:t>
                  </w:r>
                  <w:r>
                    <w:rPr>
                      <w:b/>
                    </w:rPr>
                    <w:t>…</w:t>
                  </w:r>
                </w:p>
              </w:tc>
            </w:tr>
            <w:tr w:rsidR="00C37D4D" w14:paraId="0B9C3D4A" w14:textId="77777777" w:rsidTr="00EC4DCE">
              <w:tc>
                <w:tcPr>
                  <w:tcW w:w="4344" w:type="dxa"/>
                  <w:tcBorders>
                    <w:top w:val="single" w:sz="4" w:space="0" w:color="auto"/>
                    <w:left w:val="single" w:sz="4" w:space="0" w:color="auto"/>
                    <w:bottom w:val="single" w:sz="4" w:space="0" w:color="auto"/>
                    <w:right w:val="single" w:sz="4" w:space="0" w:color="auto"/>
                  </w:tcBorders>
                  <w:hideMark/>
                </w:tcPr>
                <w:p w14:paraId="0F2BDE50" w14:textId="77777777" w:rsidR="00C37D4D" w:rsidRDefault="00C37D4D" w:rsidP="00C37D4D">
                  <w:pPr>
                    <w:contextualSpacing/>
                  </w:pPr>
                  <w:r>
                    <w:t>2000 visits or greater</w:t>
                  </w:r>
                </w:p>
              </w:tc>
              <w:tc>
                <w:tcPr>
                  <w:tcW w:w="4345" w:type="dxa"/>
                  <w:tcBorders>
                    <w:top w:val="single" w:sz="4" w:space="0" w:color="auto"/>
                    <w:left w:val="single" w:sz="4" w:space="0" w:color="auto"/>
                    <w:bottom w:val="single" w:sz="4" w:space="0" w:color="auto"/>
                    <w:right w:val="single" w:sz="4" w:space="0" w:color="auto"/>
                  </w:tcBorders>
                  <w:hideMark/>
                </w:tcPr>
                <w:p w14:paraId="20FC56D7" w14:textId="77777777" w:rsidR="00C37D4D" w:rsidRDefault="00C37D4D" w:rsidP="00C37D4D">
                  <w:pPr>
                    <w:contextualSpacing/>
                  </w:pPr>
                  <w:r>
                    <w:t>200</w:t>
                  </w:r>
                </w:p>
              </w:tc>
            </w:tr>
            <w:tr w:rsidR="00C37D4D" w14:paraId="35EBD8D7" w14:textId="77777777" w:rsidTr="00EC4DCE">
              <w:tc>
                <w:tcPr>
                  <w:tcW w:w="4344" w:type="dxa"/>
                  <w:tcBorders>
                    <w:top w:val="single" w:sz="4" w:space="0" w:color="auto"/>
                    <w:left w:val="single" w:sz="4" w:space="0" w:color="auto"/>
                    <w:bottom w:val="single" w:sz="4" w:space="0" w:color="auto"/>
                    <w:right w:val="single" w:sz="4" w:space="0" w:color="auto"/>
                  </w:tcBorders>
                  <w:hideMark/>
                </w:tcPr>
                <w:p w14:paraId="03E808CB" w14:textId="77777777" w:rsidR="00C37D4D" w:rsidRDefault="00C37D4D" w:rsidP="00C37D4D">
                  <w:pPr>
                    <w:contextualSpacing/>
                  </w:pPr>
                  <w:r>
                    <w:t>1500-1999 visits</w:t>
                  </w:r>
                </w:p>
              </w:tc>
              <w:tc>
                <w:tcPr>
                  <w:tcW w:w="4345" w:type="dxa"/>
                  <w:tcBorders>
                    <w:top w:val="single" w:sz="4" w:space="0" w:color="auto"/>
                    <w:left w:val="single" w:sz="4" w:space="0" w:color="auto"/>
                    <w:bottom w:val="single" w:sz="4" w:space="0" w:color="auto"/>
                    <w:right w:val="single" w:sz="4" w:space="0" w:color="auto"/>
                  </w:tcBorders>
                  <w:hideMark/>
                </w:tcPr>
                <w:p w14:paraId="77A5FD1A" w14:textId="77777777" w:rsidR="00C37D4D" w:rsidRDefault="00C37D4D" w:rsidP="00C37D4D">
                  <w:pPr>
                    <w:contextualSpacing/>
                  </w:pPr>
                  <w:r>
                    <w:t>150</w:t>
                  </w:r>
                </w:p>
              </w:tc>
            </w:tr>
            <w:tr w:rsidR="00C37D4D" w14:paraId="66DCFA4F" w14:textId="77777777" w:rsidTr="00EC4DCE">
              <w:tc>
                <w:tcPr>
                  <w:tcW w:w="4344" w:type="dxa"/>
                  <w:tcBorders>
                    <w:top w:val="single" w:sz="4" w:space="0" w:color="auto"/>
                    <w:left w:val="single" w:sz="4" w:space="0" w:color="auto"/>
                    <w:bottom w:val="single" w:sz="4" w:space="0" w:color="auto"/>
                    <w:right w:val="single" w:sz="4" w:space="0" w:color="auto"/>
                  </w:tcBorders>
                  <w:hideMark/>
                </w:tcPr>
                <w:p w14:paraId="33EA7677" w14:textId="77777777" w:rsidR="00C37D4D" w:rsidRDefault="00C37D4D" w:rsidP="00C37D4D">
                  <w:pPr>
                    <w:tabs>
                      <w:tab w:val="left" w:pos="1505"/>
                    </w:tabs>
                    <w:contextualSpacing/>
                  </w:pPr>
                  <w:r>
                    <w:t>1000-1499 visits</w:t>
                  </w:r>
                </w:p>
              </w:tc>
              <w:tc>
                <w:tcPr>
                  <w:tcW w:w="4345" w:type="dxa"/>
                  <w:tcBorders>
                    <w:top w:val="single" w:sz="4" w:space="0" w:color="auto"/>
                    <w:left w:val="single" w:sz="4" w:space="0" w:color="auto"/>
                    <w:bottom w:val="single" w:sz="4" w:space="0" w:color="auto"/>
                    <w:right w:val="single" w:sz="4" w:space="0" w:color="auto"/>
                  </w:tcBorders>
                  <w:hideMark/>
                </w:tcPr>
                <w:p w14:paraId="44CF7C36" w14:textId="77777777" w:rsidR="00C37D4D" w:rsidRDefault="00C37D4D" w:rsidP="00C37D4D">
                  <w:pPr>
                    <w:contextualSpacing/>
                  </w:pPr>
                  <w:r>
                    <w:t>100</w:t>
                  </w:r>
                </w:p>
              </w:tc>
            </w:tr>
            <w:tr w:rsidR="00C37D4D" w14:paraId="576B6E5E" w14:textId="77777777" w:rsidTr="00EC4DCE">
              <w:tc>
                <w:tcPr>
                  <w:tcW w:w="4344" w:type="dxa"/>
                  <w:tcBorders>
                    <w:top w:val="single" w:sz="4" w:space="0" w:color="auto"/>
                    <w:left w:val="single" w:sz="4" w:space="0" w:color="auto"/>
                    <w:bottom w:val="single" w:sz="4" w:space="0" w:color="auto"/>
                    <w:right w:val="single" w:sz="4" w:space="0" w:color="auto"/>
                  </w:tcBorders>
                  <w:hideMark/>
                </w:tcPr>
                <w:p w14:paraId="467B889B" w14:textId="77777777" w:rsidR="00C37D4D" w:rsidRDefault="00C37D4D" w:rsidP="00C37D4D">
                  <w:pPr>
                    <w:contextualSpacing/>
                  </w:pPr>
                  <w:r>
                    <w:t>750-999 visits</w:t>
                  </w:r>
                </w:p>
              </w:tc>
              <w:tc>
                <w:tcPr>
                  <w:tcW w:w="4345" w:type="dxa"/>
                  <w:tcBorders>
                    <w:top w:val="single" w:sz="4" w:space="0" w:color="auto"/>
                    <w:left w:val="single" w:sz="4" w:space="0" w:color="auto"/>
                    <w:bottom w:val="single" w:sz="4" w:space="0" w:color="auto"/>
                    <w:right w:val="single" w:sz="4" w:space="0" w:color="auto"/>
                  </w:tcBorders>
                  <w:hideMark/>
                </w:tcPr>
                <w:p w14:paraId="0C348F55" w14:textId="77777777" w:rsidR="00C37D4D" w:rsidRDefault="00C37D4D" w:rsidP="00C37D4D">
                  <w:pPr>
                    <w:contextualSpacing/>
                  </w:pPr>
                  <w:r>
                    <w:t>75</w:t>
                  </w:r>
                </w:p>
              </w:tc>
            </w:tr>
            <w:tr w:rsidR="00C37D4D" w14:paraId="7DB8522E" w14:textId="77777777" w:rsidTr="00EC4DCE">
              <w:trPr>
                <w:trHeight w:val="54"/>
              </w:trPr>
              <w:tc>
                <w:tcPr>
                  <w:tcW w:w="4344" w:type="dxa"/>
                  <w:tcBorders>
                    <w:top w:val="single" w:sz="4" w:space="0" w:color="auto"/>
                    <w:left w:val="single" w:sz="4" w:space="0" w:color="auto"/>
                    <w:bottom w:val="single" w:sz="4" w:space="0" w:color="auto"/>
                    <w:right w:val="single" w:sz="4" w:space="0" w:color="auto"/>
                  </w:tcBorders>
                  <w:hideMark/>
                </w:tcPr>
                <w:p w14:paraId="4F75F8B8" w14:textId="77777777" w:rsidR="00C37D4D" w:rsidRDefault="00C37D4D" w:rsidP="00C37D4D">
                  <w:pPr>
                    <w:contextualSpacing/>
                  </w:pPr>
                  <w:r>
                    <w:t>500-749 visits</w:t>
                  </w:r>
                </w:p>
              </w:tc>
              <w:tc>
                <w:tcPr>
                  <w:tcW w:w="4345" w:type="dxa"/>
                  <w:tcBorders>
                    <w:top w:val="single" w:sz="4" w:space="0" w:color="auto"/>
                    <w:left w:val="single" w:sz="4" w:space="0" w:color="auto"/>
                    <w:bottom w:val="single" w:sz="4" w:space="0" w:color="auto"/>
                    <w:right w:val="single" w:sz="4" w:space="0" w:color="auto"/>
                  </w:tcBorders>
                  <w:hideMark/>
                </w:tcPr>
                <w:p w14:paraId="7BD38C3F" w14:textId="77777777" w:rsidR="00C37D4D" w:rsidRDefault="00C37D4D" w:rsidP="00C37D4D">
                  <w:pPr>
                    <w:contextualSpacing/>
                  </w:pPr>
                  <w:r>
                    <w:t>50</w:t>
                  </w:r>
                </w:p>
              </w:tc>
            </w:tr>
            <w:tr w:rsidR="00C37D4D" w14:paraId="33844C9A" w14:textId="77777777" w:rsidTr="00EC4DCE">
              <w:tc>
                <w:tcPr>
                  <w:tcW w:w="4344" w:type="dxa"/>
                  <w:tcBorders>
                    <w:top w:val="single" w:sz="4" w:space="0" w:color="auto"/>
                    <w:left w:val="single" w:sz="4" w:space="0" w:color="auto"/>
                    <w:bottom w:val="single" w:sz="4" w:space="0" w:color="auto"/>
                    <w:right w:val="single" w:sz="4" w:space="0" w:color="auto"/>
                  </w:tcBorders>
                  <w:hideMark/>
                </w:tcPr>
                <w:p w14:paraId="2335B44F" w14:textId="77777777" w:rsidR="00C37D4D" w:rsidRDefault="00C37D4D" w:rsidP="00C37D4D">
                  <w:pPr>
                    <w:contextualSpacing/>
                  </w:pPr>
                  <w:r>
                    <w:t>250-499 visits</w:t>
                  </w:r>
                </w:p>
              </w:tc>
              <w:tc>
                <w:tcPr>
                  <w:tcW w:w="4345" w:type="dxa"/>
                  <w:tcBorders>
                    <w:top w:val="single" w:sz="4" w:space="0" w:color="auto"/>
                    <w:left w:val="single" w:sz="4" w:space="0" w:color="auto"/>
                    <w:bottom w:val="single" w:sz="4" w:space="0" w:color="auto"/>
                    <w:right w:val="single" w:sz="4" w:space="0" w:color="auto"/>
                  </w:tcBorders>
                  <w:hideMark/>
                </w:tcPr>
                <w:p w14:paraId="5E530F71" w14:textId="77777777" w:rsidR="00C37D4D" w:rsidRDefault="00C37D4D" w:rsidP="00C37D4D">
                  <w:pPr>
                    <w:contextualSpacing/>
                  </w:pPr>
                  <w:r>
                    <w:t>25</w:t>
                  </w:r>
                </w:p>
              </w:tc>
            </w:tr>
            <w:tr w:rsidR="00C37D4D" w14:paraId="12F26446" w14:textId="77777777" w:rsidTr="00EC4DCE">
              <w:trPr>
                <w:trHeight w:val="54"/>
              </w:trPr>
              <w:tc>
                <w:tcPr>
                  <w:tcW w:w="4344" w:type="dxa"/>
                  <w:tcBorders>
                    <w:top w:val="single" w:sz="4" w:space="0" w:color="auto"/>
                    <w:left w:val="single" w:sz="4" w:space="0" w:color="auto"/>
                    <w:bottom w:val="single" w:sz="4" w:space="0" w:color="auto"/>
                    <w:right w:val="single" w:sz="4" w:space="0" w:color="auto"/>
                  </w:tcBorders>
                  <w:hideMark/>
                </w:tcPr>
                <w:p w14:paraId="757B6EA8" w14:textId="77777777" w:rsidR="00C37D4D" w:rsidRDefault="00C37D4D" w:rsidP="00C37D4D">
                  <w:pPr>
                    <w:contextualSpacing/>
                  </w:pPr>
                  <w:r>
                    <w:t>150-249 visits</w:t>
                  </w:r>
                </w:p>
              </w:tc>
              <w:tc>
                <w:tcPr>
                  <w:tcW w:w="4345" w:type="dxa"/>
                  <w:tcBorders>
                    <w:top w:val="single" w:sz="4" w:space="0" w:color="auto"/>
                    <w:left w:val="single" w:sz="4" w:space="0" w:color="auto"/>
                    <w:bottom w:val="single" w:sz="4" w:space="0" w:color="auto"/>
                    <w:right w:val="single" w:sz="4" w:space="0" w:color="auto"/>
                  </w:tcBorders>
                  <w:hideMark/>
                </w:tcPr>
                <w:p w14:paraId="1B512483" w14:textId="77777777" w:rsidR="00C37D4D" w:rsidRDefault="00C37D4D" w:rsidP="00C37D4D">
                  <w:pPr>
                    <w:contextualSpacing/>
                  </w:pPr>
                  <w:r>
                    <w:t>15</w:t>
                  </w:r>
                </w:p>
              </w:tc>
            </w:tr>
            <w:tr w:rsidR="00C37D4D" w14:paraId="28ED8408" w14:textId="77777777" w:rsidTr="00EC4DCE">
              <w:trPr>
                <w:trHeight w:val="144"/>
              </w:trPr>
              <w:tc>
                <w:tcPr>
                  <w:tcW w:w="4344" w:type="dxa"/>
                  <w:tcBorders>
                    <w:top w:val="single" w:sz="4" w:space="0" w:color="auto"/>
                    <w:left w:val="single" w:sz="4" w:space="0" w:color="auto"/>
                    <w:bottom w:val="single" w:sz="4" w:space="0" w:color="auto"/>
                    <w:right w:val="single" w:sz="4" w:space="0" w:color="auto"/>
                  </w:tcBorders>
                  <w:hideMark/>
                </w:tcPr>
                <w:p w14:paraId="77FD8B1F" w14:textId="77777777" w:rsidR="00C37D4D" w:rsidRDefault="00C37D4D" w:rsidP="00C37D4D">
                  <w:pPr>
                    <w:contextualSpacing/>
                  </w:pPr>
                  <w:r>
                    <w:t>&lt;150 visits</w:t>
                  </w:r>
                </w:p>
              </w:tc>
              <w:tc>
                <w:tcPr>
                  <w:tcW w:w="4345" w:type="dxa"/>
                  <w:tcBorders>
                    <w:top w:val="single" w:sz="4" w:space="0" w:color="auto"/>
                    <w:left w:val="single" w:sz="4" w:space="0" w:color="auto"/>
                    <w:bottom w:val="single" w:sz="4" w:space="0" w:color="auto"/>
                    <w:right w:val="single" w:sz="4" w:space="0" w:color="auto"/>
                  </w:tcBorders>
                  <w:hideMark/>
                </w:tcPr>
                <w:p w14:paraId="54CF1F38" w14:textId="77777777" w:rsidR="00C37D4D" w:rsidRDefault="00C37D4D" w:rsidP="00C37D4D">
                  <w:pPr>
                    <w:contextualSpacing/>
                  </w:pPr>
                  <w:r>
                    <w:t>5</w:t>
                  </w:r>
                </w:p>
              </w:tc>
            </w:tr>
          </w:tbl>
          <w:p w14:paraId="210CAB80" w14:textId="637D136E" w:rsidR="00823FED" w:rsidRPr="00790BCB" w:rsidRDefault="00823FED" w:rsidP="00C37D4D">
            <w:pPr>
              <w:pStyle w:val="EndnoteText"/>
              <w:rPr>
                <w:bCs/>
                <w:sz w:val="8"/>
                <w:szCs w:val="8"/>
              </w:rPr>
            </w:pPr>
            <w:r>
              <w:rPr>
                <w:bCs/>
                <w:sz w:val="18"/>
                <w:szCs w:val="18"/>
              </w:rPr>
              <w:br/>
            </w:r>
          </w:p>
        </w:tc>
      </w:tr>
      <w:tr w:rsidR="00823FED" w:rsidRPr="009A5185" w14:paraId="03EAB4E4" w14:textId="77777777" w:rsidTr="00481148">
        <w:trPr>
          <w:trHeight w:val="3024"/>
          <w:jc w:val="center"/>
        </w:trPr>
        <w:tc>
          <w:tcPr>
            <w:tcW w:w="9387" w:type="dxa"/>
          </w:tcPr>
          <w:p w14:paraId="14164038" w14:textId="77777777" w:rsidR="00823FED" w:rsidRPr="00A00D74" w:rsidRDefault="00823FED" w:rsidP="00EC4DCE">
            <w:pPr>
              <w:autoSpaceDE w:val="0"/>
              <w:autoSpaceDN w:val="0"/>
              <w:adjustRightInd w:val="0"/>
              <w:rPr>
                <w:rFonts w:cs="Arial"/>
              </w:rPr>
            </w:pPr>
            <w:r>
              <w:rPr>
                <w:rFonts w:cs="Arial"/>
                <w:b/>
                <w:bCs/>
              </w:rPr>
              <w:t xml:space="preserve">Question #9: </w:t>
            </w:r>
            <w:r w:rsidRPr="00A00D74">
              <w:rPr>
                <w:rFonts w:cs="Arial"/>
              </w:rPr>
              <w:t xml:space="preserve">Does your hospital collect hand hygiene compliance data on at least </w:t>
            </w:r>
            <w:r w:rsidRPr="008B7FFE">
              <w:rPr>
                <w:rFonts w:cs="Arial"/>
                <w:b/>
                <w:bCs/>
              </w:rPr>
              <w:t>100 hand hygiene opportunities</w:t>
            </w:r>
            <w:r w:rsidRPr="00A00D74">
              <w:rPr>
                <w:rFonts w:cs="Arial"/>
              </w:rPr>
              <w:t xml:space="preserve">, or at least the number of hand hygiene opportunities outlined based on the unit type in Tables 4-6, </w:t>
            </w:r>
            <w:r w:rsidRPr="008B7FFE">
              <w:rPr>
                <w:rFonts w:cs="Arial"/>
                <w:b/>
                <w:bCs/>
              </w:rPr>
              <w:t xml:space="preserve">each </w:t>
            </w:r>
            <w:r w:rsidRPr="008B7FFE">
              <w:rPr>
                <w:rFonts w:cs="Arial"/>
                <w:b/>
                <w:bCs/>
                <w:u w:val="single"/>
              </w:rPr>
              <w:t>month</w:t>
            </w:r>
            <w:r w:rsidRPr="008B7FFE">
              <w:rPr>
                <w:rFonts w:cs="Arial"/>
                <w:b/>
                <w:bCs/>
              </w:rPr>
              <w:t xml:space="preserve"> in each </w:t>
            </w:r>
            <w:r w:rsidRPr="008B7FFE">
              <w:rPr>
                <w:rFonts w:cs="Arial"/>
                <w:b/>
                <w:bCs/>
                <w:u w:val="single"/>
              </w:rPr>
              <w:t>patient care unit</w:t>
            </w:r>
            <w:r w:rsidRPr="00A00D74">
              <w:rPr>
                <w:rFonts w:cs="Arial"/>
              </w:rPr>
              <w:t>?</w:t>
            </w:r>
          </w:p>
          <w:p w14:paraId="34AA5C51" w14:textId="77777777" w:rsidR="00823FED" w:rsidRPr="00481148" w:rsidRDefault="00823FED" w:rsidP="00EC4DCE">
            <w:pPr>
              <w:autoSpaceDE w:val="0"/>
              <w:autoSpaceDN w:val="0"/>
              <w:adjustRightInd w:val="0"/>
              <w:rPr>
                <w:rFonts w:cs="Arial"/>
                <w:b/>
                <w:bCs/>
                <w:sz w:val="16"/>
                <w:szCs w:val="16"/>
              </w:rPr>
            </w:pPr>
          </w:p>
          <w:p w14:paraId="06A45D35" w14:textId="21AEEB2B" w:rsidR="00823FED" w:rsidRDefault="00AC6B98" w:rsidP="00EC4DCE">
            <w:pPr>
              <w:autoSpaceDE w:val="0"/>
              <w:autoSpaceDN w:val="0"/>
              <w:adjustRightInd w:val="0"/>
              <w:rPr>
                <w:rFonts w:cs="Arial"/>
              </w:rPr>
            </w:pPr>
            <w:r>
              <w:rPr>
                <w:rFonts w:cs="Arial"/>
              </w:rPr>
              <w:t xml:space="preserve">In order to respond “yes” to question #9, </w:t>
            </w:r>
            <w:r w:rsidR="00B72F05">
              <w:rPr>
                <w:rFonts w:cs="Arial"/>
              </w:rPr>
              <w:t>your</w:t>
            </w:r>
            <w:r>
              <w:rPr>
                <w:rFonts w:cs="Arial"/>
              </w:rPr>
              <w:t xml:space="preserve"> h</w:t>
            </w:r>
            <w:r w:rsidR="00823FED">
              <w:rPr>
                <w:rFonts w:cs="Arial"/>
              </w:rPr>
              <w:t>ospital</w:t>
            </w:r>
            <w:r>
              <w:rPr>
                <w:rFonts w:cs="Arial"/>
              </w:rPr>
              <w:t xml:space="preserve"> must</w:t>
            </w:r>
            <w:r w:rsidR="00823FED">
              <w:rPr>
                <w:rFonts w:cs="Arial"/>
              </w:rPr>
              <w:t xml:space="preserve"> monitor at least </w:t>
            </w:r>
            <w:r w:rsidR="00823FED" w:rsidRPr="00BC0D3C">
              <w:rPr>
                <w:rFonts w:cs="Arial"/>
                <w:b/>
                <w:bCs/>
              </w:rPr>
              <w:t xml:space="preserve">100 </w:t>
            </w:r>
            <w:r w:rsidR="00823FED" w:rsidRPr="00DC502B">
              <w:rPr>
                <w:rFonts w:cs="Arial"/>
                <w:b/>
                <w:bCs/>
              </w:rPr>
              <w:t>hand hygiene opportunities</w:t>
            </w:r>
            <w:r w:rsidR="00823FED">
              <w:rPr>
                <w:rFonts w:cs="Arial"/>
              </w:rPr>
              <w:t xml:space="preserve">, or at least the number of hand hygiene opportunities outlined based on the unit type in Tables 4-6, </w:t>
            </w:r>
            <w:r w:rsidR="00823FED" w:rsidRPr="00DC502B">
              <w:rPr>
                <w:rFonts w:cs="Arial"/>
                <w:b/>
                <w:bCs/>
              </w:rPr>
              <w:t xml:space="preserve">each </w:t>
            </w:r>
            <w:r w:rsidR="00823FED" w:rsidRPr="00DC502B">
              <w:rPr>
                <w:rFonts w:cs="Arial"/>
                <w:b/>
                <w:bCs/>
                <w:u w:val="single"/>
              </w:rPr>
              <w:t>month</w:t>
            </w:r>
            <w:r w:rsidR="00823FED" w:rsidRPr="00DC502B">
              <w:rPr>
                <w:rFonts w:cs="Arial"/>
                <w:b/>
                <w:bCs/>
              </w:rPr>
              <w:t xml:space="preserve"> in each </w:t>
            </w:r>
            <w:r w:rsidR="00823FED" w:rsidRPr="00FC258A">
              <w:rPr>
                <w:rFonts w:cs="Arial"/>
                <w:b/>
                <w:bCs/>
                <w:u w:val="single"/>
              </w:rPr>
              <w:t>patient care unit</w:t>
            </w:r>
            <w:r w:rsidR="00823FED">
              <w:rPr>
                <w:rFonts w:cs="Arial"/>
                <w:b/>
                <w:bCs/>
              </w:rPr>
              <w:t xml:space="preserve"> </w:t>
            </w:r>
            <w:r w:rsidR="00823FED">
              <w:rPr>
                <w:rFonts w:cs="Arial"/>
              </w:rPr>
              <w:t>using either:</w:t>
            </w:r>
          </w:p>
          <w:p w14:paraId="40159CF2" w14:textId="085A810E" w:rsidR="001E32D3" w:rsidRPr="001E32D3" w:rsidRDefault="00823FED" w:rsidP="00AD309C">
            <w:pPr>
              <w:pStyle w:val="ListParagraph"/>
              <w:numPr>
                <w:ilvl w:val="0"/>
                <w:numId w:val="203"/>
              </w:numPr>
              <w:autoSpaceDE w:val="0"/>
              <w:autoSpaceDN w:val="0"/>
              <w:adjustRightInd w:val="0"/>
              <w:rPr>
                <w:rFonts w:cs="Arial"/>
              </w:rPr>
            </w:pPr>
            <w:r w:rsidRPr="001E32D3">
              <w:rPr>
                <w:rFonts w:cs="Arial"/>
              </w:rPr>
              <w:t>An electronic compliance monitoring system throughout all patient care units</w:t>
            </w:r>
          </w:p>
          <w:p w14:paraId="42EF6DFC" w14:textId="3C4ABE1B" w:rsidR="001E32D3" w:rsidRPr="001E32D3" w:rsidRDefault="00823FED" w:rsidP="00AD309C">
            <w:pPr>
              <w:pStyle w:val="ListParagraph"/>
              <w:numPr>
                <w:ilvl w:val="0"/>
                <w:numId w:val="203"/>
              </w:numPr>
              <w:autoSpaceDE w:val="0"/>
              <w:autoSpaceDN w:val="0"/>
              <w:adjustRightInd w:val="0"/>
              <w:rPr>
                <w:rFonts w:cs="Arial"/>
              </w:rPr>
            </w:pPr>
            <w:r w:rsidRPr="001E32D3">
              <w:rPr>
                <w:rFonts w:cs="Arial"/>
              </w:rPr>
              <w:t>An electronic compliance monitoring system throughout some patient care units and only direct observation in all other patient care units</w:t>
            </w:r>
          </w:p>
          <w:p w14:paraId="49ADF948" w14:textId="77777777" w:rsidR="00823FED" w:rsidRPr="001E32D3" w:rsidRDefault="00823FED" w:rsidP="00AD309C">
            <w:pPr>
              <w:pStyle w:val="ListParagraph"/>
              <w:numPr>
                <w:ilvl w:val="0"/>
                <w:numId w:val="203"/>
              </w:numPr>
              <w:autoSpaceDE w:val="0"/>
              <w:autoSpaceDN w:val="0"/>
              <w:adjustRightInd w:val="0"/>
              <w:rPr>
                <w:rFonts w:cs="Arial"/>
              </w:rPr>
            </w:pPr>
            <w:r w:rsidRPr="001E32D3">
              <w:rPr>
                <w:rFonts w:cs="Arial"/>
              </w:rPr>
              <w:t>Only direct observation throughout all patient care units</w:t>
            </w:r>
          </w:p>
          <w:p w14:paraId="324128E2" w14:textId="77777777" w:rsidR="00823FED" w:rsidRPr="00481148" w:rsidRDefault="00823FED" w:rsidP="00EC4DCE">
            <w:pPr>
              <w:autoSpaceDE w:val="0"/>
              <w:autoSpaceDN w:val="0"/>
              <w:adjustRightInd w:val="0"/>
              <w:rPr>
                <w:rFonts w:cs="Arial"/>
                <w:b/>
                <w:bCs/>
                <w:sz w:val="16"/>
                <w:szCs w:val="16"/>
              </w:rPr>
            </w:pPr>
          </w:p>
          <w:p w14:paraId="4DF620E9" w14:textId="64430A47" w:rsidR="00823FED" w:rsidRDefault="00AC6B98" w:rsidP="00EC4DCE">
            <w:pPr>
              <w:pStyle w:val="CommentText"/>
            </w:pPr>
            <w:r>
              <w:t>R</w:t>
            </w:r>
            <w:r w:rsidR="00823FED">
              <w:t xml:space="preserve">efer to the following tables to determine how many hand hygiene opportunities </w:t>
            </w:r>
            <w:r w:rsidR="00A77239">
              <w:t>must</w:t>
            </w:r>
            <w:r w:rsidR="00823FED">
              <w:t xml:space="preserve"> be monitored in each patient care unit monthly for question #9. </w:t>
            </w:r>
            <w:r w:rsidR="00823FED" w:rsidRPr="00BC0D3C">
              <w:rPr>
                <w:b/>
                <w:bCs/>
              </w:rPr>
              <w:t>Historical data</w:t>
            </w:r>
            <w:r w:rsidR="00823FED">
              <w:t xml:space="preserve"> (e.g., past 3 months, 6 months, 12 months, etc.) on the monthly occupancy rates or procedure/patient volumes should be used.</w:t>
            </w:r>
          </w:p>
          <w:p w14:paraId="62F0E984" w14:textId="77777777" w:rsidR="00E74CD8" w:rsidRDefault="00E74CD8" w:rsidP="00EC4DCE">
            <w:pPr>
              <w:pStyle w:val="CommentText"/>
            </w:pPr>
          </w:p>
          <w:p w14:paraId="65ECCDB3" w14:textId="099F4368" w:rsidR="00EC7E25" w:rsidRDefault="00E74CD8" w:rsidP="00EC4DCE">
            <w:pPr>
              <w:pStyle w:val="CommentText"/>
              <w:rPr>
                <w:sz w:val="16"/>
                <w:szCs w:val="16"/>
              </w:rPr>
            </w:pPr>
            <w:r>
              <w:t>Units/areas c</w:t>
            </w:r>
            <w:r w:rsidR="00157FDB">
              <w:t>an</w:t>
            </w:r>
            <w:r>
              <w:t xml:space="preserve"> be combined </w:t>
            </w:r>
            <w:r w:rsidRPr="00915847">
              <w:t xml:space="preserve">for the purposes of determining if you have met the monthly or quarterly monitoring sample size </w:t>
            </w:r>
            <w:r>
              <w:t>if</w:t>
            </w:r>
            <w:r w:rsidRPr="00915847">
              <w:t xml:space="preserve"> they share a common group of staff</w:t>
            </w:r>
            <w:r>
              <w:t xml:space="preserve"> (</w:t>
            </w:r>
            <w:r w:rsidRPr="00915847">
              <w:t xml:space="preserve">i.e., staff are scheduled to work in the broader area and float between units </w:t>
            </w:r>
            <w:r>
              <w:t>or</w:t>
            </w:r>
            <w:r w:rsidRPr="00915847">
              <w:t xml:space="preserve"> staff may be scheduled to work either unit on any given day</w:t>
            </w:r>
            <w:r>
              <w:t>)</w:t>
            </w:r>
            <w:r w:rsidRPr="00915847">
              <w:t>.</w:t>
            </w:r>
            <w:r>
              <w:t xml:space="preserve"> Hand hygiene opportunities would still need to be monitored throughout both units/areas.</w:t>
            </w:r>
          </w:p>
          <w:p w14:paraId="152C9F21" w14:textId="77777777" w:rsidR="00EC7E25" w:rsidRPr="00481148" w:rsidRDefault="00EC7E25" w:rsidP="00EC4DCE">
            <w:pPr>
              <w:pStyle w:val="CommentText"/>
              <w:rPr>
                <w:sz w:val="16"/>
                <w:szCs w:val="16"/>
              </w:rPr>
            </w:pPr>
          </w:p>
          <w:p w14:paraId="76595B90" w14:textId="77777777" w:rsidR="00823FED" w:rsidRDefault="00823FED" w:rsidP="00EC4DCE">
            <w:pPr>
              <w:contextualSpacing/>
              <w:rPr>
                <w:b/>
              </w:rPr>
            </w:pPr>
            <w:r>
              <w:rPr>
                <w:b/>
              </w:rPr>
              <w:t>Table 4: Units where the monthly occupancy rate can be calculated</w:t>
            </w:r>
          </w:p>
          <w:tbl>
            <w:tblPr>
              <w:tblStyle w:val="TableGrid"/>
              <w:tblW w:w="8689" w:type="dxa"/>
              <w:tblLook w:val="04A0" w:firstRow="1" w:lastRow="0" w:firstColumn="1" w:lastColumn="0" w:noHBand="0" w:noVBand="1"/>
            </w:tblPr>
            <w:tblGrid>
              <w:gridCol w:w="4344"/>
              <w:gridCol w:w="4345"/>
            </w:tblGrid>
            <w:tr w:rsidR="00823FED" w14:paraId="162AA9C4" w14:textId="77777777" w:rsidTr="00EC4DCE">
              <w:tc>
                <w:tcPr>
                  <w:tcW w:w="4344" w:type="dxa"/>
                  <w:tcBorders>
                    <w:top w:val="single" w:sz="4" w:space="0" w:color="auto"/>
                    <w:left w:val="single" w:sz="4" w:space="0" w:color="auto"/>
                    <w:bottom w:val="single" w:sz="4" w:space="0" w:color="auto"/>
                    <w:right w:val="single" w:sz="4" w:space="0" w:color="auto"/>
                  </w:tcBorders>
                  <w:hideMark/>
                </w:tcPr>
                <w:p w14:paraId="5D1AAA1B" w14:textId="77777777" w:rsidR="00823FED" w:rsidRDefault="00823FED" w:rsidP="00EC4DCE">
                  <w:pPr>
                    <w:contextualSpacing/>
                    <w:rPr>
                      <w:b/>
                    </w:rPr>
                  </w:pPr>
                  <w:r>
                    <w:rPr>
                      <w:b/>
                    </w:rPr>
                    <w:t>If your unit’s average daily census is…</w:t>
                  </w:r>
                </w:p>
              </w:tc>
              <w:tc>
                <w:tcPr>
                  <w:tcW w:w="4345" w:type="dxa"/>
                  <w:tcBorders>
                    <w:top w:val="single" w:sz="4" w:space="0" w:color="auto"/>
                    <w:left w:val="single" w:sz="4" w:space="0" w:color="auto"/>
                    <w:bottom w:val="single" w:sz="4" w:space="0" w:color="auto"/>
                    <w:right w:val="single" w:sz="4" w:space="0" w:color="auto"/>
                  </w:tcBorders>
                  <w:hideMark/>
                </w:tcPr>
                <w:p w14:paraId="62FCC551" w14:textId="77777777" w:rsidR="00823FED" w:rsidRDefault="00823FED" w:rsidP="00EC4DCE">
                  <w:pPr>
                    <w:contextualSpacing/>
                    <w:rPr>
                      <w:b/>
                    </w:rPr>
                  </w:pPr>
                  <w:r>
                    <w:rPr>
                      <w:b/>
                    </w:rPr>
                    <w:t>Your</w:t>
                  </w:r>
                  <w:r>
                    <w:rPr>
                      <w:b/>
                      <w:color w:val="FF0000"/>
                    </w:rPr>
                    <w:t xml:space="preserve"> patient care unit </w:t>
                  </w:r>
                  <w:r>
                    <w:rPr>
                      <w:b/>
                    </w:rPr>
                    <w:t xml:space="preserve">needs to collect hand hygiene compliance data for </w:t>
                  </w:r>
                  <w:r>
                    <w:rPr>
                      <w:b/>
                      <w:u w:val="single"/>
                    </w:rPr>
                    <w:t>at least</w:t>
                  </w:r>
                  <w:r>
                    <w:rPr>
                      <w:b/>
                    </w:rPr>
                    <w:t xml:space="preserve"> this number of </w:t>
                  </w:r>
                  <w:r>
                    <w:rPr>
                      <w:b/>
                      <w:u w:val="single"/>
                    </w:rPr>
                    <w:t xml:space="preserve">hand hygiene opportunities </w:t>
                  </w:r>
                  <w:r>
                    <w:rPr>
                      <w:b/>
                      <w:color w:val="FF0000"/>
                      <w:u w:val="single"/>
                    </w:rPr>
                    <w:t>per month</w:t>
                  </w:r>
                  <w:r w:rsidRPr="001B37FD">
                    <w:rPr>
                      <w:b/>
                    </w:rPr>
                    <w:t xml:space="preserve"> for question #</w:t>
                  </w:r>
                  <w:r>
                    <w:rPr>
                      <w:b/>
                    </w:rPr>
                    <w:t>9…</w:t>
                  </w:r>
                </w:p>
              </w:tc>
            </w:tr>
            <w:tr w:rsidR="00823FED" w14:paraId="309A1D58" w14:textId="77777777" w:rsidTr="00EC4DCE">
              <w:tc>
                <w:tcPr>
                  <w:tcW w:w="4344" w:type="dxa"/>
                  <w:tcBorders>
                    <w:top w:val="single" w:sz="4" w:space="0" w:color="auto"/>
                    <w:left w:val="single" w:sz="4" w:space="0" w:color="auto"/>
                    <w:bottom w:val="single" w:sz="4" w:space="0" w:color="auto"/>
                    <w:right w:val="single" w:sz="4" w:space="0" w:color="auto"/>
                  </w:tcBorders>
                  <w:hideMark/>
                </w:tcPr>
                <w:p w14:paraId="7DBF88E9" w14:textId="77777777" w:rsidR="00823FED" w:rsidRDefault="00823FED" w:rsidP="00EC4DCE">
                  <w:pPr>
                    <w:contextualSpacing/>
                  </w:pPr>
                  <w:r>
                    <w:t>13 patients or higher</w:t>
                  </w:r>
                </w:p>
              </w:tc>
              <w:tc>
                <w:tcPr>
                  <w:tcW w:w="4345" w:type="dxa"/>
                  <w:tcBorders>
                    <w:top w:val="single" w:sz="4" w:space="0" w:color="auto"/>
                    <w:left w:val="single" w:sz="4" w:space="0" w:color="auto"/>
                    <w:bottom w:val="single" w:sz="4" w:space="0" w:color="auto"/>
                    <w:right w:val="single" w:sz="4" w:space="0" w:color="auto"/>
                  </w:tcBorders>
                  <w:hideMark/>
                </w:tcPr>
                <w:p w14:paraId="37F44223" w14:textId="77777777" w:rsidR="00823FED" w:rsidRDefault="00823FED" w:rsidP="00EC4DCE">
                  <w:pPr>
                    <w:contextualSpacing/>
                  </w:pPr>
                  <w:r>
                    <w:t>100</w:t>
                  </w:r>
                </w:p>
              </w:tc>
            </w:tr>
            <w:tr w:rsidR="00823FED" w14:paraId="75A5A592" w14:textId="77777777" w:rsidTr="00EC4DCE">
              <w:tc>
                <w:tcPr>
                  <w:tcW w:w="4344" w:type="dxa"/>
                  <w:tcBorders>
                    <w:top w:val="single" w:sz="4" w:space="0" w:color="auto"/>
                    <w:left w:val="single" w:sz="4" w:space="0" w:color="auto"/>
                    <w:bottom w:val="single" w:sz="4" w:space="0" w:color="auto"/>
                    <w:right w:val="single" w:sz="4" w:space="0" w:color="auto"/>
                  </w:tcBorders>
                  <w:hideMark/>
                </w:tcPr>
                <w:p w14:paraId="236490A3" w14:textId="77777777" w:rsidR="00823FED" w:rsidRDefault="00823FED" w:rsidP="00EC4DCE">
                  <w:pPr>
                    <w:contextualSpacing/>
                  </w:pPr>
                  <w:r>
                    <w:t>10-12 patients</w:t>
                  </w:r>
                </w:p>
              </w:tc>
              <w:tc>
                <w:tcPr>
                  <w:tcW w:w="4345" w:type="dxa"/>
                  <w:tcBorders>
                    <w:top w:val="single" w:sz="4" w:space="0" w:color="auto"/>
                    <w:left w:val="single" w:sz="4" w:space="0" w:color="auto"/>
                    <w:bottom w:val="single" w:sz="4" w:space="0" w:color="auto"/>
                    <w:right w:val="single" w:sz="4" w:space="0" w:color="auto"/>
                  </w:tcBorders>
                  <w:hideMark/>
                </w:tcPr>
                <w:p w14:paraId="640D849F" w14:textId="77777777" w:rsidR="00823FED" w:rsidRDefault="00823FED" w:rsidP="00EC4DCE">
                  <w:pPr>
                    <w:contextualSpacing/>
                  </w:pPr>
                  <w:r>
                    <w:t>75</w:t>
                  </w:r>
                </w:p>
              </w:tc>
            </w:tr>
            <w:tr w:rsidR="00823FED" w14:paraId="21672E4D" w14:textId="77777777" w:rsidTr="00EC4DCE">
              <w:tc>
                <w:tcPr>
                  <w:tcW w:w="4344" w:type="dxa"/>
                  <w:tcBorders>
                    <w:top w:val="single" w:sz="4" w:space="0" w:color="auto"/>
                    <w:left w:val="single" w:sz="4" w:space="0" w:color="auto"/>
                    <w:bottom w:val="single" w:sz="4" w:space="0" w:color="auto"/>
                    <w:right w:val="single" w:sz="4" w:space="0" w:color="auto"/>
                  </w:tcBorders>
                  <w:hideMark/>
                </w:tcPr>
                <w:p w14:paraId="6ECDBBC3" w14:textId="07D39E54" w:rsidR="00823FED" w:rsidRDefault="00823FED" w:rsidP="00EC4DCE">
                  <w:pPr>
                    <w:tabs>
                      <w:tab w:val="left" w:pos="1505"/>
                    </w:tabs>
                    <w:contextualSpacing/>
                  </w:pPr>
                  <w:r>
                    <w:t>7-9 patients</w:t>
                  </w:r>
                </w:p>
              </w:tc>
              <w:tc>
                <w:tcPr>
                  <w:tcW w:w="4345" w:type="dxa"/>
                  <w:tcBorders>
                    <w:top w:val="single" w:sz="4" w:space="0" w:color="auto"/>
                    <w:left w:val="single" w:sz="4" w:space="0" w:color="auto"/>
                    <w:bottom w:val="single" w:sz="4" w:space="0" w:color="auto"/>
                    <w:right w:val="single" w:sz="4" w:space="0" w:color="auto"/>
                  </w:tcBorders>
                  <w:hideMark/>
                </w:tcPr>
                <w:p w14:paraId="65A90D11" w14:textId="77777777" w:rsidR="00823FED" w:rsidRDefault="00823FED" w:rsidP="00EC4DCE">
                  <w:pPr>
                    <w:contextualSpacing/>
                  </w:pPr>
                  <w:r>
                    <w:t>50</w:t>
                  </w:r>
                </w:p>
              </w:tc>
            </w:tr>
            <w:tr w:rsidR="00823FED" w14:paraId="6E87E00A" w14:textId="77777777" w:rsidTr="00EC4DCE">
              <w:tc>
                <w:tcPr>
                  <w:tcW w:w="4344" w:type="dxa"/>
                  <w:tcBorders>
                    <w:top w:val="single" w:sz="4" w:space="0" w:color="auto"/>
                    <w:left w:val="single" w:sz="4" w:space="0" w:color="auto"/>
                    <w:bottom w:val="single" w:sz="4" w:space="0" w:color="auto"/>
                    <w:right w:val="single" w:sz="4" w:space="0" w:color="auto"/>
                  </w:tcBorders>
                  <w:hideMark/>
                </w:tcPr>
                <w:p w14:paraId="0E6813BF" w14:textId="77777777" w:rsidR="00823FED" w:rsidRDefault="00823FED" w:rsidP="00EC4DCE">
                  <w:pPr>
                    <w:contextualSpacing/>
                  </w:pPr>
                  <w:r>
                    <w:t>5-6 patients</w:t>
                  </w:r>
                </w:p>
              </w:tc>
              <w:tc>
                <w:tcPr>
                  <w:tcW w:w="4345" w:type="dxa"/>
                  <w:tcBorders>
                    <w:top w:val="single" w:sz="4" w:space="0" w:color="auto"/>
                    <w:left w:val="single" w:sz="4" w:space="0" w:color="auto"/>
                    <w:bottom w:val="single" w:sz="4" w:space="0" w:color="auto"/>
                    <w:right w:val="single" w:sz="4" w:space="0" w:color="auto"/>
                  </w:tcBorders>
                  <w:hideMark/>
                </w:tcPr>
                <w:p w14:paraId="49CA3CB6" w14:textId="77777777" w:rsidR="00823FED" w:rsidRDefault="00823FED" w:rsidP="00EC4DCE">
                  <w:pPr>
                    <w:contextualSpacing/>
                  </w:pPr>
                  <w:r>
                    <w:t>37</w:t>
                  </w:r>
                </w:p>
              </w:tc>
            </w:tr>
            <w:tr w:rsidR="00823FED" w14:paraId="19B84F18" w14:textId="77777777" w:rsidTr="00EC4DCE">
              <w:tc>
                <w:tcPr>
                  <w:tcW w:w="4344" w:type="dxa"/>
                  <w:tcBorders>
                    <w:top w:val="single" w:sz="4" w:space="0" w:color="auto"/>
                    <w:left w:val="single" w:sz="4" w:space="0" w:color="auto"/>
                    <w:bottom w:val="single" w:sz="4" w:space="0" w:color="auto"/>
                    <w:right w:val="single" w:sz="4" w:space="0" w:color="auto"/>
                  </w:tcBorders>
                  <w:hideMark/>
                </w:tcPr>
                <w:p w14:paraId="6DAADC3C" w14:textId="77777777" w:rsidR="00823FED" w:rsidRDefault="00823FED" w:rsidP="00EC4DCE">
                  <w:pPr>
                    <w:contextualSpacing/>
                  </w:pPr>
                  <w:r>
                    <w:t>3-4 patients</w:t>
                  </w:r>
                </w:p>
              </w:tc>
              <w:tc>
                <w:tcPr>
                  <w:tcW w:w="4345" w:type="dxa"/>
                  <w:tcBorders>
                    <w:top w:val="single" w:sz="4" w:space="0" w:color="auto"/>
                    <w:left w:val="single" w:sz="4" w:space="0" w:color="auto"/>
                    <w:bottom w:val="single" w:sz="4" w:space="0" w:color="auto"/>
                    <w:right w:val="single" w:sz="4" w:space="0" w:color="auto"/>
                  </w:tcBorders>
                  <w:hideMark/>
                </w:tcPr>
                <w:p w14:paraId="4ECFECB2" w14:textId="77777777" w:rsidR="00823FED" w:rsidRDefault="00823FED" w:rsidP="00EC4DCE">
                  <w:pPr>
                    <w:contextualSpacing/>
                  </w:pPr>
                  <w:r>
                    <w:t>22</w:t>
                  </w:r>
                </w:p>
              </w:tc>
            </w:tr>
            <w:tr w:rsidR="00823FED" w14:paraId="5122F22F" w14:textId="77777777" w:rsidTr="00EC4DCE">
              <w:tc>
                <w:tcPr>
                  <w:tcW w:w="4344" w:type="dxa"/>
                  <w:tcBorders>
                    <w:top w:val="single" w:sz="4" w:space="0" w:color="auto"/>
                    <w:left w:val="single" w:sz="4" w:space="0" w:color="auto"/>
                    <w:bottom w:val="single" w:sz="4" w:space="0" w:color="auto"/>
                    <w:right w:val="single" w:sz="4" w:space="0" w:color="auto"/>
                  </w:tcBorders>
                  <w:hideMark/>
                </w:tcPr>
                <w:p w14:paraId="4EBF0ACF" w14:textId="77777777" w:rsidR="00823FED" w:rsidRDefault="00823FED" w:rsidP="00EC4DCE">
                  <w:pPr>
                    <w:contextualSpacing/>
                  </w:pPr>
                  <w:r>
                    <w:t>1-2 patients</w:t>
                  </w:r>
                </w:p>
              </w:tc>
              <w:tc>
                <w:tcPr>
                  <w:tcW w:w="4345" w:type="dxa"/>
                  <w:tcBorders>
                    <w:top w:val="single" w:sz="4" w:space="0" w:color="auto"/>
                    <w:left w:val="single" w:sz="4" w:space="0" w:color="auto"/>
                    <w:bottom w:val="single" w:sz="4" w:space="0" w:color="auto"/>
                    <w:right w:val="single" w:sz="4" w:space="0" w:color="auto"/>
                  </w:tcBorders>
                  <w:hideMark/>
                </w:tcPr>
                <w:p w14:paraId="120E7ECB" w14:textId="77777777" w:rsidR="00823FED" w:rsidRDefault="00823FED" w:rsidP="00EC4DCE">
                  <w:pPr>
                    <w:contextualSpacing/>
                  </w:pPr>
                  <w:r>
                    <w:t>7</w:t>
                  </w:r>
                </w:p>
              </w:tc>
            </w:tr>
          </w:tbl>
          <w:p w14:paraId="44B1D701" w14:textId="77777777" w:rsidR="00823FED" w:rsidRPr="00481148" w:rsidRDefault="00823FED" w:rsidP="00EC4DCE">
            <w:pPr>
              <w:contextualSpacing/>
              <w:rPr>
                <w:sz w:val="16"/>
                <w:szCs w:val="16"/>
              </w:rPr>
            </w:pPr>
          </w:p>
          <w:p w14:paraId="75922AB6" w14:textId="77777777" w:rsidR="00823FED" w:rsidRDefault="00823FED" w:rsidP="00EC4DCE">
            <w:pPr>
              <w:contextualSpacing/>
              <w:rPr>
                <w:b/>
              </w:rPr>
            </w:pPr>
            <w:r>
              <w:rPr>
                <w:b/>
              </w:rPr>
              <w:t>Table 5: Units where the monthly occupancy rate cannot be calculated (e.g., PACU, labor and delivery, outpatient units)</w:t>
            </w:r>
          </w:p>
          <w:tbl>
            <w:tblPr>
              <w:tblStyle w:val="TableGrid"/>
              <w:tblW w:w="8689" w:type="dxa"/>
              <w:tblLook w:val="04A0" w:firstRow="1" w:lastRow="0" w:firstColumn="1" w:lastColumn="0" w:noHBand="0" w:noVBand="1"/>
            </w:tblPr>
            <w:tblGrid>
              <w:gridCol w:w="4344"/>
              <w:gridCol w:w="4345"/>
            </w:tblGrid>
            <w:tr w:rsidR="00823FED" w14:paraId="4DDC1D75" w14:textId="77777777" w:rsidTr="00EC4DCE">
              <w:tc>
                <w:tcPr>
                  <w:tcW w:w="4344" w:type="dxa"/>
                  <w:tcBorders>
                    <w:top w:val="single" w:sz="4" w:space="0" w:color="auto"/>
                    <w:left w:val="single" w:sz="4" w:space="0" w:color="auto"/>
                    <w:bottom w:val="single" w:sz="4" w:space="0" w:color="auto"/>
                    <w:right w:val="single" w:sz="4" w:space="0" w:color="auto"/>
                  </w:tcBorders>
                  <w:hideMark/>
                </w:tcPr>
                <w:p w14:paraId="037D70CC" w14:textId="6CB7E86C" w:rsidR="00823FED" w:rsidRDefault="00823FED" w:rsidP="00EC4DCE">
                  <w:pPr>
                    <w:contextualSpacing/>
                    <w:rPr>
                      <w:b/>
                    </w:rPr>
                  </w:pPr>
                  <w:r>
                    <w:rPr>
                      <w:b/>
                    </w:rPr>
                    <w:t>If your unit’s average number of procedures</w:t>
                  </w:r>
                  <w:r w:rsidR="006B4260">
                    <w:t>/patient volume</w:t>
                  </w:r>
                  <w:r>
                    <w:rPr>
                      <w:b/>
                    </w:rPr>
                    <w:t xml:space="preserve"> in a month is…</w:t>
                  </w:r>
                </w:p>
              </w:tc>
              <w:tc>
                <w:tcPr>
                  <w:tcW w:w="4345" w:type="dxa"/>
                  <w:tcBorders>
                    <w:top w:val="single" w:sz="4" w:space="0" w:color="auto"/>
                    <w:left w:val="single" w:sz="4" w:space="0" w:color="auto"/>
                    <w:bottom w:val="single" w:sz="4" w:space="0" w:color="auto"/>
                    <w:right w:val="single" w:sz="4" w:space="0" w:color="auto"/>
                  </w:tcBorders>
                  <w:hideMark/>
                </w:tcPr>
                <w:p w14:paraId="7E5CEC24" w14:textId="77777777" w:rsidR="00823FED" w:rsidRDefault="00823FED" w:rsidP="00EC4DCE">
                  <w:pPr>
                    <w:contextualSpacing/>
                    <w:rPr>
                      <w:b/>
                    </w:rPr>
                  </w:pPr>
                  <w:r>
                    <w:rPr>
                      <w:b/>
                    </w:rPr>
                    <w:t>Your</w:t>
                  </w:r>
                  <w:r>
                    <w:rPr>
                      <w:b/>
                      <w:color w:val="FF0000"/>
                    </w:rPr>
                    <w:t xml:space="preserve"> patient care unit </w:t>
                  </w:r>
                  <w:r>
                    <w:rPr>
                      <w:b/>
                    </w:rPr>
                    <w:t xml:space="preserve">needs to collect hand hygiene compliance data for </w:t>
                  </w:r>
                  <w:r>
                    <w:rPr>
                      <w:b/>
                      <w:u w:val="single"/>
                    </w:rPr>
                    <w:t>at least</w:t>
                  </w:r>
                  <w:r>
                    <w:rPr>
                      <w:b/>
                    </w:rPr>
                    <w:t xml:space="preserve"> this number of </w:t>
                  </w:r>
                  <w:r>
                    <w:rPr>
                      <w:b/>
                      <w:u w:val="single"/>
                    </w:rPr>
                    <w:t xml:space="preserve">hand hygiene opportunities </w:t>
                  </w:r>
                  <w:r>
                    <w:rPr>
                      <w:b/>
                      <w:color w:val="FF0000"/>
                      <w:u w:val="single"/>
                    </w:rPr>
                    <w:t>per month</w:t>
                  </w:r>
                  <w:r w:rsidRPr="001B37FD">
                    <w:rPr>
                      <w:b/>
                    </w:rPr>
                    <w:t xml:space="preserve"> for question #</w:t>
                  </w:r>
                  <w:r>
                    <w:rPr>
                      <w:b/>
                    </w:rPr>
                    <w:t>9…</w:t>
                  </w:r>
                </w:p>
              </w:tc>
            </w:tr>
            <w:tr w:rsidR="00823FED" w14:paraId="7B9E27A9" w14:textId="77777777" w:rsidTr="00EC4DCE">
              <w:tc>
                <w:tcPr>
                  <w:tcW w:w="4344" w:type="dxa"/>
                  <w:tcBorders>
                    <w:top w:val="single" w:sz="4" w:space="0" w:color="auto"/>
                    <w:left w:val="single" w:sz="4" w:space="0" w:color="auto"/>
                    <w:bottom w:val="single" w:sz="4" w:space="0" w:color="auto"/>
                    <w:right w:val="single" w:sz="4" w:space="0" w:color="auto"/>
                  </w:tcBorders>
                  <w:hideMark/>
                </w:tcPr>
                <w:p w14:paraId="1062FF6D" w14:textId="394BBAAC" w:rsidR="00823FED" w:rsidRDefault="00823FED" w:rsidP="00EC4DCE">
                  <w:pPr>
                    <w:contextualSpacing/>
                  </w:pPr>
                  <w:r>
                    <w:t>400 procedures</w:t>
                  </w:r>
                  <w:r w:rsidR="007D76EA">
                    <w:t>/patients</w:t>
                  </w:r>
                  <w:r>
                    <w:t xml:space="preserve"> or greater</w:t>
                  </w:r>
                </w:p>
              </w:tc>
              <w:tc>
                <w:tcPr>
                  <w:tcW w:w="4345" w:type="dxa"/>
                  <w:tcBorders>
                    <w:top w:val="single" w:sz="4" w:space="0" w:color="auto"/>
                    <w:left w:val="single" w:sz="4" w:space="0" w:color="auto"/>
                    <w:bottom w:val="single" w:sz="4" w:space="0" w:color="auto"/>
                    <w:right w:val="single" w:sz="4" w:space="0" w:color="auto"/>
                  </w:tcBorders>
                  <w:hideMark/>
                </w:tcPr>
                <w:p w14:paraId="40EDBDFB" w14:textId="77777777" w:rsidR="00823FED" w:rsidRDefault="00823FED" w:rsidP="00EC4DCE">
                  <w:pPr>
                    <w:contextualSpacing/>
                  </w:pPr>
                  <w:r>
                    <w:t>100</w:t>
                  </w:r>
                </w:p>
              </w:tc>
            </w:tr>
            <w:tr w:rsidR="00823FED" w14:paraId="46A28079" w14:textId="77777777" w:rsidTr="00EC4DCE">
              <w:tc>
                <w:tcPr>
                  <w:tcW w:w="4344" w:type="dxa"/>
                  <w:tcBorders>
                    <w:top w:val="single" w:sz="4" w:space="0" w:color="auto"/>
                    <w:left w:val="single" w:sz="4" w:space="0" w:color="auto"/>
                    <w:bottom w:val="single" w:sz="4" w:space="0" w:color="auto"/>
                    <w:right w:val="single" w:sz="4" w:space="0" w:color="auto"/>
                  </w:tcBorders>
                  <w:hideMark/>
                </w:tcPr>
                <w:p w14:paraId="7D648AA8" w14:textId="44D967B3" w:rsidR="00823FED" w:rsidRDefault="00823FED" w:rsidP="00EC4DCE">
                  <w:pPr>
                    <w:contextualSpacing/>
                  </w:pPr>
                  <w:r>
                    <w:t>320-399 procedures</w:t>
                  </w:r>
                  <w:r w:rsidR="007D76EA">
                    <w:t>/patients</w:t>
                  </w:r>
                </w:p>
              </w:tc>
              <w:tc>
                <w:tcPr>
                  <w:tcW w:w="4345" w:type="dxa"/>
                  <w:tcBorders>
                    <w:top w:val="single" w:sz="4" w:space="0" w:color="auto"/>
                    <w:left w:val="single" w:sz="4" w:space="0" w:color="auto"/>
                    <w:bottom w:val="single" w:sz="4" w:space="0" w:color="auto"/>
                    <w:right w:val="single" w:sz="4" w:space="0" w:color="auto"/>
                  </w:tcBorders>
                  <w:hideMark/>
                </w:tcPr>
                <w:p w14:paraId="1528506F" w14:textId="77777777" w:rsidR="00823FED" w:rsidRDefault="00823FED" w:rsidP="00EC4DCE">
                  <w:pPr>
                    <w:contextualSpacing/>
                  </w:pPr>
                  <w:r>
                    <w:t>75</w:t>
                  </w:r>
                </w:p>
              </w:tc>
            </w:tr>
            <w:tr w:rsidR="00823FED" w14:paraId="30F7E8CA" w14:textId="77777777" w:rsidTr="00EC4DCE">
              <w:tc>
                <w:tcPr>
                  <w:tcW w:w="4344" w:type="dxa"/>
                  <w:tcBorders>
                    <w:top w:val="single" w:sz="4" w:space="0" w:color="auto"/>
                    <w:left w:val="single" w:sz="4" w:space="0" w:color="auto"/>
                    <w:bottom w:val="single" w:sz="4" w:space="0" w:color="auto"/>
                    <w:right w:val="single" w:sz="4" w:space="0" w:color="auto"/>
                  </w:tcBorders>
                  <w:hideMark/>
                </w:tcPr>
                <w:p w14:paraId="63278D1A" w14:textId="74088743" w:rsidR="00823FED" w:rsidRDefault="00823FED" w:rsidP="00EC4DCE">
                  <w:pPr>
                    <w:tabs>
                      <w:tab w:val="left" w:pos="1505"/>
                    </w:tabs>
                    <w:contextualSpacing/>
                  </w:pPr>
                  <w:r>
                    <w:t>240-319 procedures</w:t>
                  </w:r>
                  <w:r w:rsidR="007D76EA">
                    <w:t>/patients</w:t>
                  </w:r>
                </w:p>
              </w:tc>
              <w:tc>
                <w:tcPr>
                  <w:tcW w:w="4345" w:type="dxa"/>
                  <w:tcBorders>
                    <w:top w:val="single" w:sz="4" w:space="0" w:color="auto"/>
                    <w:left w:val="single" w:sz="4" w:space="0" w:color="auto"/>
                    <w:bottom w:val="single" w:sz="4" w:space="0" w:color="auto"/>
                    <w:right w:val="single" w:sz="4" w:space="0" w:color="auto"/>
                  </w:tcBorders>
                  <w:hideMark/>
                </w:tcPr>
                <w:p w14:paraId="7F5D14E7" w14:textId="77777777" w:rsidR="00823FED" w:rsidRDefault="00823FED" w:rsidP="00EC4DCE">
                  <w:pPr>
                    <w:contextualSpacing/>
                  </w:pPr>
                  <w:r>
                    <w:t>50</w:t>
                  </w:r>
                </w:p>
              </w:tc>
            </w:tr>
            <w:tr w:rsidR="00823FED" w14:paraId="6CC1C040" w14:textId="77777777" w:rsidTr="00EC4DCE">
              <w:tc>
                <w:tcPr>
                  <w:tcW w:w="4344" w:type="dxa"/>
                  <w:tcBorders>
                    <w:top w:val="single" w:sz="4" w:space="0" w:color="auto"/>
                    <w:left w:val="single" w:sz="4" w:space="0" w:color="auto"/>
                    <w:bottom w:val="single" w:sz="4" w:space="0" w:color="auto"/>
                    <w:right w:val="single" w:sz="4" w:space="0" w:color="auto"/>
                  </w:tcBorders>
                  <w:hideMark/>
                </w:tcPr>
                <w:p w14:paraId="31AA656D" w14:textId="74960743" w:rsidR="00823FED" w:rsidRDefault="00823FED" w:rsidP="00EC4DCE">
                  <w:pPr>
                    <w:contextualSpacing/>
                  </w:pPr>
                  <w:r>
                    <w:t>160-239 procedures</w:t>
                  </w:r>
                  <w:r w:rsidR="007D76EA">
                    <w:t>/patients</w:t>
                  </w:r>
                </w:p>
              </w:tc>
              <w:tc>
                <w:tcPr>
                  <w:tcW w:w="4345" w:type="dxa"/>
                  <w:tcBorders>
                    <w:top w:val="single" w:sz="4" w:space="0" w:color="auto"/>
                    <w:left w:val="single" w:sz="4" w:space="0" w:color="auto"/>
                    <w:bottom w:val="single" w:sz="4" w:space="0" w:color="auto"/>
                    <w:right w:val="single" w:sz="4" w:space="0" w:color="auto"/>
                  </w:tcBorders>
                  <w:hideMark/>
                </w:tcPr>
                <w:p w14:paraId="7101CA7B" w14:textId="77777777" w:rsidR="00823FED" w:rsidRDefault="00823FED" w:rsidP="00EC4DCE">
                  <w:pPr>
                    <w:contextualSpacing/>
                  </w:pPr>
                  <w:r>
                    <w:t>37</w:t>
                  </w:r>
                </w:p>
              </w:tc>
            </w:tr>
            <w:tr w:rsidR="00823FED" w14:paraId="425C64C8" w14:textId="77777777" w:rsidTr="00EC4DCE">
              <w:trPr>
                <w:trHeight w:val="54"/>
              </w:trPr>
              <w:tc>
                <w:tcPr>
                  <w:tcW w:w="4344" w:type="dxa"/>
                  <w:tcBorders>
                    <w:top w:val="single" w:sz="4" w:space="0" w:color="auto"/>
                    <w:left w:val="single" w:sz="4" w:space="0" w:color="auto"/>
                    <w:bottom w:val="single" w:sz="4" w:space="0" w:color="auto"/>
                    <w:right w:val="single" w:sz="4" w:space="0" w:color="auto"/>
                  </w:tcBorders>
                  <w:hideMark/>
                </w:tcPr>
                <w:p w14:paraId="5FF942EC" w14:textId="67F4B959" w:rsidR="00823FED" w:rsidRDefault="00823FED" w:rsidP="00EC4DCE">
                  <w:pPr>
                    <w:contextualSpacing/>
                  </w:pPr>
                  <w:r>
                    <w:t>120-159 procedures</w:t>
                  </w:r>
                  <w:r w:rsidR="007D76EA">
                    <w:t>/patients</w:t>
                  </w:r>
                </w:p>
              </w:tc>
              <w:tc>
                <w:tcPr>
                  <w:tcW w:w="4345" w:type="dxa"/>
                  <w:tcBorders>
                    <w:top w:val="single" w:sz="4" w:space="0" w:color="auto"/>
                    <w:left w:val="single" w:sz="4" w:space="0" w:color="auto"/>
                    <w:bottom w:val="single" w:sz="4" w:space="0" w:color="auto"/>
                    <w:right w:val="single" w:sz="4" w:space="0" w:color="auto"/>
                  </w:tcBorders>
                  <w:hideMark/>
                </w:tcPr>
                <w:p w14:paraId="78893252" w14:textId="77777777" w:rsidR="00823FED" w:rsidRDefault="00823FED" w:rsidP="00EC4DCE">
                  <w:pPr>
                    <w:contextualSpacing/>
                  </w:pPr>
                  <w:r>
                    <w:t>25</w:t>
                  </w:r>
                </w:p>
              </w:tc>
            </w:tr>
            <w:tr w:rsidR="00823FED" w14:paraId="4170568D" w14:textId="77777777" w:rsidTr="00EC4DCE">
              <w:tc>
                <w:tcPr>
                  <w:tcW w:w="4344" w:type="dxa"/>
                  <w:tcBorders>
                    <w:top w:val="single" w:sz="4" w:space="0" w:color="auto"/>
                    <w:left w:val="single" w:sz="4" w:space="0" w:color="auto"/>
                    <w:bottom w:val="single" w:sz="4" w:space="0" w:color="auto"/>
                    <w:right w:val="single" w:sz="4" w:space="0" w:color="auto"/>
                  </w:tcBorders>
                  <w:hideMark/>
                </w:tcPr>
                <w:p w14:paraId="6D932332" w14:textId="4DCF6E80" w:rsidR="00823FED" w:rsidRDefault="00823FED" w:rsidP="00EC4DCE">
                  <w:pPr>
                    <w:contextualSpacing/>
                  </w:pPr>
                  <w:r>
                    <w:t>60-119 procedures</w:t>
                  </w:r>
                  <w:r w:rsidR="007D76EA">
                    <w:t>/patients</w:t>
                  </w:r>
                </w:p>
              </w:tc>
              <w:tc>
                <w:tcPr>
                  <w:tcW w:w="4345" w:type="dxa"/>
                  <w:tcBorders>
                    <w:top w:val="single" w:sz="4" w:space="0" w:color="auto"/>
                    <w:left w:val="single" w:sz="4" w:space="0" w:color="auto"/>
                    <w:bottom w:val="single" w:sz="4" w:space="0" w:color="auto"/>
                    <w:right w:val="single" w:sz="4" w:space="0" w:color="auto"/>
                  </w:tcBorders>
                  <w:hideMark/>
                </w:tcPr>
                <w:p w14:paraId="40BA2D80" w14:textId="77777777" w:rsidR="00823FED" w:rsidRDefault="00823FED" w:rsidP="00EC4DCE">
                  <w:pPr>
                    <w:contextualSpacing/>
                  </w:pPr>
                  <w:r>
                    <w:t>15</w:t>
                  </w:r>
                </w:p>
              </w:tc>
            </w:tr>
            <w:tr w:rsidR="00823FED" w14:paraId="5D32FD19" w14:textId="77777777" w:rsidTr="00EC4DCE">
              <w:tc>
                <w:tcPr>
                  <w:tcW w:w="4344" w:type="dxa"/>
                  <w:tcBorders>
                    <w:top w:val="single" w:sz="4" w:space="0" w:color="auto"/>
                    <w:left w:val="single" w:sz="4" w:space="0" w:color="auto"/>
                    <w:bottom w:val="single" w:sz="4" w:space="0" w:color="auto"/>
                    <w:right w:val="single" w:sz="4" w:space="0" w:color="auto"/>
                  </w:tcBorders>
                  <w:hideMark/>
                </w:tcPr>
                <w:p w14:paraId="0DB52AE7" w14:textId="379EF8E0" w:rsidR="00823FED" w:rsidRDefault="00823FED" w:rsidP="00EC4DCE">
                  <w:pPr>
                    <w:contextualSpacing/>
                  </w:pPr>
                  <w:r>
                    <w:t>30-59 procedures</w:t>
                  </w:r>
                  <w:r w:rsidR="007D76EA">
                    <w:t>/patients</w:t>
                  </w:r>
                </w:p>
              </w:tc>
              <w:tc>
                <w:tcPr>
                  <w:tcW w:w="4345" w:type="dxa"/>
                  <w:tcBorders>
                    <w:top w:val="single" w:sz="4" w:space="0" w:color="auto"/>
                    <w:left w:val="single" w:sz="4" w:space="0" w:color="auto"/>
                    <w:bottom w:val="single" w:sz="4" w:space="0" w:color="auto"/>
                    <w:right w:val="single" w:sz="4" w:space="0" w:color="auto"/>
                  </w:tcBorders>
                  <w:hideMark/>
                </w:tcPr>
                <w:p w14:paraId="7A3BA4EC" w14:textId="77777777" w:rsidR="00823FED" w:rsidRDefault="00823FED" w:rsidP="00EC4DCE">
                  <w:pPr>
                    <w:contextualSpacing/>
                  </w:pPr>
                  <w:r>
                    <w:t>7</w:t>
                  </w:r>
                </w:p>
              </w:tc>
            </w:tr>
            <w:tr w:rsidR="00823FED" w14:paraId="096A2381" w14:textId="77777777" w:rsidTr="00EC4DCE">
              <w:tc>
                <w:tcPr>
                  <w:tcW w:w="4344" w:type="dxa"/>
                  <w:tcBorders>
                    <w:top w:val="single" w:sz="4" w:space="0" w:color="auto"/>
                    <w:left w:val="single" w:sz="4" w:space="0" w:color="auto"/>
                    <w:bottom w:val="single" w:sz="4" w:space="0" w:color="auto"/>
                    <w:right w:val="single" w:sz="4" w:space="0" w:color="auto"/>
                  </w:tcBorders>
                  <w:hideMark/>
                </w:tcPr>
                <w:p w14:paraId="0824A298" w14:textId="699C3F3A" w:rsidR="00823FED" w:rsidRDefault="00823FED" w:rsidP="00EC4DCE">
                  <w:pPr>
                    <w:contextualSpacing/>
                  </w:pPr>
                  <w:r>
                    <w:t>&lt;30 procedures</w:t>
                  </w:r>
                  <w:r w:rsidR="007D76EA">
                    <w:t>/patients</w:t>
                  </w:r>
                </w:p>
              </w:tc>
              <w:tc>
                <w:tcPr>
                  <w:tcW w:w="4345" w:type="dxa"/>
                  <w:tcBorders>
                    <w:top w:val="single" w:sz="4" w:space="0" w:color="auto"/>
                    <w:left w:val="single" w:sz="4" w:space="0" w:color="auto"/>
                    <w:bottom w:val="single" w:sz="4" w:space="0" w:color="auto"/>
                    <w:right w:val="single" w:sz="4" w:space="0" w:color="auto"/>
                  </w:tcBorders>
                  <w:hideMark/>
                </w:tcPr>
                <w:p w14:paraId="007E5406" w14:textId="77777777" w:rsidR="00823FED" w:rsidRDefault="00823FED" w:rsidP="00EC4DCE">
                  <w:pPr>
                    <w:contextualSpacing/>
                  </w:pPr>
                  <w:r>
                    <w:t>2</w:t>
                  </w:r>
                </w:p>
              </w:tc>
            </w:tr>
          </w:tbl>
          <w:p w14:paraId="12E7FD5C" w14:textId="77777777" w:rsidR="00C37D4D" w:rsidRDefault="00C37D4D" w:rsidP="00EC4DCE">
            <w:pPr>
              <w:contextualSpacing/>
              <w:rPr>
                <w:b/>
              </w:rPr>
            </w:pPr>
          </w:p>
          <w:p w14:paraId="13D72CC2" w14:textId="7E9E1DBE" w:rsidR="00823FED" w:rsidRDefault="00823FED" w:rsidP="00EC4DCE">
            <w:pPr>
              <w:contextualSpacing/>
              <w:rPr>
                <w:b/>
              </w:rPr>
            </w:pPr>
            <w:r>
              <w:rPr>
                <w:b/>
              </w:rPr>
              <w:t>Table 6: Emergency department units</w:t>
            </w:r>
          </w:p>
          <w:tbl>
            <w:tblPr>
              <w:tblStyle w:val="TableGrid"/>
              <w:tblW w:w="8689" w:type="dxa"/>
              <w:tblLook w:val="04A0" w:firstRow="1" w:lastRow="0" w:firstColumn="1" w:lastColumn="0" w:noHBand="0" w:noVBand="1"/>
            </w:tblPr>
            <w:tblGrid>
              <w:gridCol w:w="4344"/>
              <w:gridCol w:w="4345"/>
            </w:tblGrid>
            <w:tr w:rsidR="00823FED" w14:paraId="531E784F" w14:textId="77777777" w:rsidTr="00EC4DCE">
              <w:tc>
                <w:tcPr>
                  <w:tcW w:w="4344" w:type="dxa"/>
                  <w:tcBorders>
                    <w:top w:val="single" w:sz="4" w:space="0" w:color="auto"/>
                    <w:left w:val="single" w:sz="4" w:space="0" w:color="auto"/>
                    <w:bottom w:val="single" w:sz="4" w:space="0" w:color="auto"/>
                    <w:right w:val="single" w:sz="4" w:space="0" w:color="auto"/>
                  </w:tcBorders>
                  <w:hideMark/>
                </w:tcPr>
                <w:p w14:paraId="40DCBBE2" w14:textId="77777777" w:rsidR="00823FED" w:rsidRDefault="00823FED" w:rsidP="00EC4DCE">
                  <w:pPr>
                    <w:contextualSpacing/>
                    <w:rPr>
                      <w:b/>
                    </w:rPr>
                  </w:pPr>
                  <w:r>
                    <w:rPr>
                      <w:b/>
                    </w:rPr>
                    <w:t>If your emergency department’s average number of visits in a month is…</w:t>
                  </w:r>
                </w:p>
              </w:tc>
              <w:tc>
                <w:tcPr>
                  <w:tcW w:w="4345" w:type="dxa"/>
                  <w:tcBorders>
                    <w:top w:val="single" w:sz="4" w:space="0" w:color="auto"/>
                    <w:left w:val="single" w:sz="4" w:space="0" w:color="auto"/>
                    <w:bottom w:val="single" w:sz="4" w:space="0" w:color="auto"/>
                    <w:right w:val="single" w:sz="4" w:space="0" w:color="auto"/>
                  </w:tcBorders>
                  <w:hideMark/>
                </w:tcPr>
                <w:p w14:paraId="6F20A9C9" w14:textId="77777777" w:rsidR="00823FED" w:rsidRDefault="00823FED" w:rsidP="00EC4DCE">
                  <w:pPr>
                    <w:contextualSpacing/>
                    <w:rPr>
                      <w:b/>
                    </w:rPr>
                  </w:pPr>
                  <w:r>
                    <w:rPr>
                      <w:b/>
                    </w:rPr>
                    <w:t>Your</w:t>
                  </w:r>
                  <w:r>
                    <w:rPr>
                      <w:b/>
                      <w:color w:val="FF0000"/>
                    </w:rPr>
                    <w:t xml:space="preserve"> patient care unit </w:t>
                  </w:r>
                  <w:r>
                    <w:rPr>
                      <w:b/>
                    </w:rPr>
                    <w:t xml:space="preserve">needs to collect hand hygiene compliance data for </w:t>
                  </w:r>
                  <w:r>
                    <w:rPr>
                      <w:b/>
                      <w:u w:val="single"/>
                    </w:rPr>
                    <w:t>at least</w:t>
                  </w:r>
                  <w:r>
                    <w:rPr>
                      <w:b/>
                    </w:rPr>
                    <w:t xml:space="preserve"> this number of </w:t>
                  </w:r>
                  <w:r>
                    <w:rPr>
                      <w:b/>
                      <w:u w:val="single"/>
                    </w:rPr>
                    <w:t xml:space="preserve">hand hygiene opportunities </w:t>
                  </w:r>
                  <w:r>
                    <w:rPr>
                      <w:b/>
                      <w:color w:val="FF0000"/>
                      <w:u w:val="single"/>
                    </w:rPr>
                    <w:t>per month</w:t>
                  </w:r>
                  <w:r w:rsidRPr="001B37FD">
                    <w:rPr>
                      <w:b/>
                    </w:rPr>
                    <w:t xml:space="preserve"> for question #</w:t>
                  </w:r>
                  <w:r>
                    <w:rPr>
                      <w:b/>
                    </w:rPr>
                    <w:t>9…</w:t>
                  </w:r>
                </w:p>
              </w:tc>
            </w:tr>
            <w:tr w:rsidR="00823FED" w14:paraId="67A78879" w14:textId="77777777" w:rsidTr="00EC4DCE">
              <w:tc>
                <w:tcPr>
                  <w:tcW w:w="4344" w:type="dxa"/>
                  <w:tcBorders>
                    <w:top w:val="single" w:sz="4" w:space="0" w:color="auto"/>
                    <w:left w:val="single" w:sz="4" w:space="0" w:color="auto"/>
                    <w:bottom w:val="single" w:sz="4" w:space="0" w:color="auto"/>
                    <w:right w:val="single" w:sz="4" w:space="0" w:color="auto"/>
                  </w:tcBorders>
                  <w:hideMark/>
                </w:tcPr>
                <w:p w14:paraId="52FA44F1" w14:textId="77777777" w:rsidR="00823FED" w:rsidRDefault="00823FED" w:rsidP="00EC4DCE">
                  <w:pPr>
                    <w:contextualSpacing/>
                  </w:pPr>
                  <w:r>
                    <w:t>2000 visits or greater</w:t>
                  </w:r>
                </w:p>
              </w:tc>
              <w:tc>
                <w:tcPr>
                  <w:tcW w:w="4345" w:type="dxa"/>
                  <w:tcBorders>
                    <w:top w:val="single" w:sz="4" w:space="0" w:color="auto"/>
                    <w:left w:val="single" w:sz="4" w:space="0" w:color="auto"/>
                    <w:bottom w:val="single" w:sz="4" w:space="0" w:color="auto"/>
                    <w:right w:val="single" w:sz="4" w:space="0" w:color="auto"/>
                  </w:tcBorders>
                  <w:hideMark/>
                </w:tcPr>
                <w:p w14:paraId="6633AE03" w14:textId="77777777" w:rsidR="00823FED" w:rsidRDefault="00823FED" w:rsidP="00EC4DCE">
                  <w:pPr>
                    <w:contextualSpacing/>
                  </w:pPr>
                  <w:r>
                    <w:t>100</w:t>
                  </w:r>
                </w:p>
              </w:tc>
            </w:tr>
            <w:tr w:rsidR="00823FED" w14:paraId="40F5E941" w14:textId="77777777" w:rsidTr="00EC4DCE">
              <w:tc>
                <w:tcPr>
                  <w:tcW w:w="4344" w:type="dxa"/>
                  <w:tcBorders>
                    <w:top w:val="single" w:sz="4" w:space="0" w:color="auto"/>
                    <w:left w:val="single" w:sz="4" w:space="0" w:color="auto"/>
                    <w:bottom w:val="single" w:sz="4" w:space="0" w:color="auto"/>
                    <w:right w:val="single" w:sz="4" w:space="0" w:color="auto"/>
                  </w:tcBorders>
                  <w:hideMark/>
                </w:tcPr>
                <w:p w14:paraId="212B6C91" w14:textId="77777777" w:rsidR="00823FED" w:rsidRDefault="00823FED" w:rsidP="00EC4DCE">
                  <w:pPr>
                    <w:contextualSpacing/>
                  </w:pPr>
                  <w:r>
                    <w:t>1500-1999 visits</w:t>
                  </w:r>
                </w:p>
              </w:tc>
              <w:tc>
                <w:tcPr>
                  <w:tcW w:w="4345" w:type="dxa"/>
                  <w:tcBorders>
                    <w:top w:val="single" w:sz="4" w:space="0" w:color="auto"/>
                    <w:left w:val="single" w:sz="4" w:space="0" w:color="auto"/>
                    <w:bottom w:val="single" w:sz="4" w:space="0" w:color="auto"/>
                    <w:right w:val="single" w:sz="4" w:space="0" w:color="auto"/>
                  </w:tcBorders>
                  <w:hideMark/>
                </w:tcPr>
                <w:p w14:paraId="19F0ABA7" w14:textId="77777777" w:rsidR="00823FED" w:rsidRDefault="00823FED" w:rsidP="00EC4DCE">
                  <w:pPr>
                    <w:contextualSpacing/>
                  </w:pPr>
                  <w:r>
                    <w:t>75</w:t>
                  </w:r>
                </w:p>
              </w:tc>
            </w:tr>
            <w:tr w:rsidR="00823FED" w14:paraId="2735BCEB" w14:textId="77777777" w:rsidTr="00EC4DCE">
              <w:tc>
                <w:tcPr>
                  <w:tcW w:w="4344" w:type="dxa"/>
                  <w:tcBorders>
                    <w:top w:val="single" w:sz="4" w:space="0" w:color="auto"/>
                    <w:left w:val="single" w:sz="4" w:space="0" w:color="auto"/>
                    <w:bottom w:val="single" w:sz="4" w:space="0" w:color="auto"/>
                    <w:right w:val="single" w:sz="4" w:space="0" w:color="auto"/>
                  </w:tcBorders>
                  <w:hideMark/>
                </w:tcPr>
                <w:p w14:paraId="3502364F" w14:textId="77777777" w:rsidR="00823FED" w:rsidRDefault="00823FED" w:rsidP="00EC4DCE">
                  <w:pPr>
                    <w:tabs>
                      <w:tab w:val="left" w:pos="1505"/>
                    </w:tabs>
                    <w:contextualSpacing/>
                  </w:pPr>
                  <w:r>
                    <w:t>1000-1499 visits</w:t>
                  </w:r>
                </w:p>
              </w:tc>
              <w:tc>
                <w:tcPr>
                  <w:tcW w:w="4345" w:type="dxa"/>
                  <w:tcBorders>
                    <w:top w:val="single" w:sz="4" w:space="0" w:color="auto"/>
                    <w:left w:val="single" w:sz="4" w:space="0" w:color="auto"/>
                    <w:bottom w:val="single" w:sz="4" w:space="0" w:color="auto"/>
                    <w:right w:val="single" w:sz="4" w:space="0" w:color="auto"/>
                  </w:tcBorders>
                  <w:hideMark/>
                </w:tcPr>
                <w:p w14:paraId="30EA4A6B" w14:textId="77777777" w:rsidR="00823FED" w:rsidRDefault="00823FED" w:rsidP="00EC4DCE">
                  <w:pPr>
                    <w:contextualSpacing/>
                  </w:pPr>
                  <w:r>
                    <w:t>50</w:t>
                  </w:r>
                </w:p>
              </w:tc>
            </w:tr>
            <w:tr w:rsidR="00823FED" w14:paraId="6EE9AE11" w14:textId="77777777" w:rsidTr="00EC4DCE">
              <w:tc>
                <w:tcPr>
                  <w:tcW w:w="4344" w:type="dxa"/>
                  <w:tcBorders>
                    <w:top w:val="single" w:sz="4" w:space="0" w:color="auto"/>
                    <w:left w:val="single" w:sz="4" w:space="0" w:color="auto"/>
                    <w:bottom w:val="single" w:sz="4" w:space="0" w:color="auto"/>
                    <w:right w:val="single" w:sz="4" w:space="0" w:color="auto"/>
                  </w:tcBorders>
                  <w:hideMark/>
                </w:tcPr>
                <w:p w14:paraId="539D593D" w14:textId="77777777" w:rsidR="00823FED" w:rsidRDefault="00823FED" w:rsidP="00EC4DCE">
                  <w:pPr>
                    <w:contextualSpacing/>
                  </w:pPr>
                  <w:r>
                    <w:t>750-999 visits</w:t>
                  </w:r>
                </w:p>
              </w:tc>
              <w:tc>
                <w:tcPr>
                  <w:tcW w:w="4345" w:type="dxa"/>
                  <w:tcBorders>
                    <w:top w:val="single" w:sz="4" w:space="0" w:color="auto"/>
                    <w:left w:val="single" w:sz="4" w:space="0" w:color="auto"/>
                    <w:bottom w:val="single" w:sz="4" w:space="0" w:color="auto"/>
                    <w:right w:val="single" w:sz="4" w:space="0" w:color="auto"/>
                  </w:tcBorders>
                  <w:hideMark/>
                </w:tcPr>
                <w:p w14:paraId="56755924" w14:textId="77777777" w:rsidR="00823FED" w:rsidRDefault="00823FED" w:rsidP="00EC4DCE">
                  <w:pPr>
                    <w:contextualSpacing/>
                  </w:pPr>
                  <w:r>
                    <w:t>37</w:t>
                  </w:r>
                </w:p>
              </w:tc>
            </w:tr>
            <w:tr w:rsidR="00823FED" w14:paraId="6A09EDD3" w14:textId="77777777" w:rsidTr="00EC4DCE">
              <w:trPr>
                <w:trHeight w:val="54"/>
              </w:trPr>
              <w:tc>
                <w:tcPr>
                  <w:tcW w:w="4344" w:type="dxa"/>
                  <w:tcBorders>
                    <w:top w:val="single" w:sz="4" w:space="0" w:color="auto"/>
                    <w:left w:val="single" w:sz="4" w:space="0" w:color="auto"/>
                    <w:bottom w:val="single" w:sz="4" w:space="0" w:color="auto"/>
                    <w:right w:val="single" w:sz="4" w:space="0" w:color="auto"/>
                  </w:tcBorders>
                  <w:hideMark/>
                </w:tcPr>
                <w:p w14:paraId="15C7A2E9" w14:textId="77777777" w:rsidR="00823FED" w:rsidRDefault="00823FED" w:rsidP="00EC4DCE">
                  <w:pPr>
                    <w:contextualSpacing/>
                  </w:pPr>
                  <w:r>
                    <w:t>500-749 visits</w:t>
                  </w:r>
                </w:p>
              </w:tc>
              <w:tc>
                <w:tcPr>
                  <w:tcW w:w="4345" w:type="dxa"/>
                  <w:tcBorders>
                    <w:top w:val="single" w:sz="4" w:space="0" w:color="auto"/>
                    <w:left w:val="single" w:sz="4" w:space="0" w:color="auto"/>
                    <w:bottom w:val="single" w:sz="4" w:space="0" w:color="auto"/>
                    <w:right w:val="single" w:sz="4" w:space="0" w:color="auto"/>
                  </w:tcBorders>
                  <w:hideMark/>
                </w:tcPr>
                <w:p w14:paraId="26C18B4E" w14:textId="77777777" w:rsidR="00823FED" w:rsidRDefault="00823FED" w:rsidP="00EC4DCE">
                  <w:pPr>
                    <w:contextualSpacing/>
                  </w:pPr>
                  <w:r>
                    <w:t>25</w:t>
                  </w:r>
                </w:p>
              </w:tc>
            </w:tr>
            <w:tr w:rsidR="00823FED" w14:paraId="37D33778" w14:textId="77777777" w:rsidTr="00EC4DCE">
              <w:tc>
                <w:tcPr>
                  <w:tcW w:w="4344" w:type="dxa"/>
                  <w:tcBorders>
                    <w:top w:val="single" w:sz="4" w:space="0" w:color="auto"/>
                    <w:left w:val="single" w:sz="4" w:space="0" w:color="auto"/>
                    <w:bottom w:val="single" w:sz="4" w:space="0" w:color="auto"/>
                    <w:right w:val="single" w:sz="4" w:space="0" w:color="auto"/>
                  </w:tcBorders>
                  <w:hideMark/>
                </w:tcPr>
                <w:p w14:paraId="19F5A43A" w14:textId="77777777" w:rsidR="00823FED" w:rsidRDefault="00823FED" w:rsidP="00EC4DCE">
                  <w:pPr>
                    <w:contextualSpacing/>
                  </w:pPr>
                  <w:r>
                    <w:t>250-499 visits</w:t>
                  </w:r>
                </w:p>
              </w:tc>
              <w:tc>
                <w:tcPr>
                  <w:tcW w:w="4345" w:type="dxa"/>
                  <w:tcBorders>
                    <w:top w:val="single" w:sz="4" w:space="0" w:color="auto"/>
                    <w:left w:val="single" w:sz="4" w:space="0" w:color="auto"/>
                    <w:bottom w:val="single" w:sz="4" w:space="0" w:color="auto"/>
                    <w:right w:val="single" w:sz="4" w:space="0" w:color="auto"/>
                  </w:tcBorders>
                  <w:hideMark/>
                </w:tcPr>
                <w:p w14:paraId="7FAA001C" w14:textId="77777777" w:rsidR="00823FED" w:rsidRDefault="00823FED" w:rsidP="00EC4DCE">
                  <w:pPr>
                    <w:contextualSpacing/>
                  </w:pPr>
                  <w:r>
                    <w:t>15</w:t>
                  </w:r>
                </w:p>
              </w:tc>
            </w:tr>
            <w:tr w:rsidR="00823FED" w14:paraId="4053EF27" w14:textId="77777777" w:rsidTr="00E53A63">
              <w:trPr>
                <w:trHeight w:val="144"/>
              </w:trPr>
              <w:tc>
                <w:tcPr>
                  <w:tcW w:w="4344" w:type="dxa"/>
                  <w:tcBorders>
                    <w:top w:val="single" w:sz="4" w:space="0" w:color="auto"/>
                    <w:left w:val="single" w:sz="4" w:space="0" w:color="auto"/>
                    <w:bottom w:val="single" w:sz="4" w:space="0" w:color="auto"/>
                    <w:right w:val="single" w:sz="4" w:space="0" w:color="auto"/>
                  </w:tcBorders>
                  <w:hideMark/>
                </w:tcPr>
                <w:p w14:paraId="3D03D5D4" w14:textId="77777777" w:rsidR="00823FED" w:rsidRDefault="00823FED" w:rsidP="00EC4DCE">
                  <w:pPr>
                    <w:contextualSpacing/>
                  </w:pPr>
                  <w:r>
                    <w:t>150-249 visits</w:t>
                  </w:r>
                </w:p>
              </w:tc>
              <w:tc>
                <w:tcPr>
                  <w:tcW w:w="4345" w:type="dxa"/>
                  <w:tcBorders>
                    <w:top w:val="single" w:sz="4" w:space="0" w:color="auto"/>
                    <w:left w:val="single" w:sz="4" w:space="0" w:color="auto"/>
                    <w:bottom w:val="single" w:sz="4" w:space="0" w:color="auto"/>
                    <w:right w:val="single" w:sz="4" w:space="0" w:color="auto"/>
                  </w:tcBorders>
                  <w:hideMark/>
                </w:tcPr>
                <w:p w14:paraId="572EFAAF" w14:textId="77777777" w:rsidR="00823FED" w:rsidRDefault="00823FED" w:rsidP="00EC4DCE">
                  <w:pPr>
                    <w:contextualSpacing/>
                  </w:pPr>
                  <w:r>
                    <w:t>7</w:t>
                  </w:r>
                </w:p>
              </w:tc>
            </w:tr>
            <w:tr w:rsidR="007C65AA" w14:paraId="35F4D360" w14:textId="77777777" w:rsidTr="00E53A63">
              <w:trPr>
                <w:trHeight w:val="144"/>
              </w:trPr>
              <w:tc>
                <w:tcPr>
                  <w:tcW w:w="4344" w:type="dxa"/>
                  <w:tcBorders>
                    <w:top w:val="single" w:sz="4" w:space="0" w:color="auto"/>
                    <w:left w:val="single" w:sz="4" w:space="0" w:color="auto"/>
                    <w:bottom w:val="single" w:sz="4" w:space="0" w:color="auto"/>
                    <w:right w:val="single" w:sz="4" w:space="0" w:color="auto"/>
                  </w:tcBorders>
                </w:tcPr>
                <w:p w14:paraId="7623B178" w14:textId="3A2D382B" w:rsidR="007C65AA" w:rsidRDefault="00B402FC" w:rsidP="00EC4DCE">
                  <w:pPr>
                    <w:contextualSpacing/>
                  </w:pPr>
                  <w:r>
                    <w:t>&lt;</w:t>
                  </w:r>
                  <w:r w:rsidR="007C65AA">
                    <w:t>150</w:t>
                  </w:r>
                  <w:r>
                    <w:t xml:space="preserve"> visits</w:t>
                  </w:r>
                </w:p>
              </w:tc>
              <w:tc>
                <w:tcPr>
                  <w:tcW w:w="4345" w:type="dxa"/>
                  <w:tcBorders>
                    <w:top w:val="single" w:sz="4" w:space="0" w:color="auto"/>
                    <w:left w:val="single" w:sz="4" w:space="0" w:color="auto"/>
                    <w:bottom w:val="single" w:sz="4" w:space="0" w:color="auto"/>
                    <w:right w:val="single" w:sz="4" w:space="0" w:color="auto"/>
                  </w:tcBorders>
                </w:tcPr>
                <w:p w14:paraId="525C31F1" w14:textId="73D0AEEC" w:rsidR="007C65AA" w:rsidRDefault="00B402FC" w:rsidP="00EC4DCE">
                  <w:pPr>
                    <w:contextualSpacing/>
                  </w:pPr>
                  <w:r>
                    <w:t>2</w:t>
                  </w:r>
                </w:p>
              </w:tc>
            </w:tr>
          </w:tbl>
          <w:p w14:paraId="646B1FF7" w14:textId="77777777" w:rsidR="00823FED" w:rsidRDefault="00823FED" w:rsidP="00EC4DCE">
            <w:pPr>
              <w:autoSpaceDE w:val="0"/>
              <w:autoSpaceDN w:val="0"/>
              <w:adjustRightInd w:val="0"/>
              <w:rPr>
                <w:rFonts w:cs="Arial"/>
                <w:b/>
                <w:bCs/>
                <w:sz w:val="16"/>
                <w:szCs w:val="16"/>
              </w:rPr>
            </w:pPr>
          </w:p>
          <w:p w14:paraId="6F0A945D" w14:textId="5C99E68D" w:rsidR="00B402FC" w:rsidRPr="00E53A63" w:rsidRDefault="00B402FC" w:rsidP="00EC4DCE">
            <w:pPr>
              <w:autoSpaceDE w:val="0"/>
              <w:autoSpaceDN w:val="0"/>
              <w:adjustRightInd w:val="0"/>
              <w:rPr>
                <w:rFonts w:cs="Arial"/>
                <w:b/>
                <w:bCs/>
                <w:sz w:val="16"/>
                <w:szCs w:val="16"/>
              </w:rPr>
            </w:pPr>
          </w:p>
        </w:tc>
      </w:tr>
      <w:tr w:rsidR="00823FED" w:rsidRPr="009A5185" w14:paraId="47E2CA96" w14:textId="77777777" w:rsidTr="00450934">
        <w:trPr>
          <w:trHeight w:val="521"/>
          <w:jc w:val="center"/>
        </w:trPr>
        <w:tc>
          <w:tcPr>
            <w:tcW w:w="9387" w:type="dxa"/>
            <w:vAlign w:val="center"/>
          </w:tcPr>
          <w:p w14:paraId="5E2A411A" w14:textId="77777777" w:rsidR="00823FED" w:rsidRDefault="00823FED" w:rsidP="00EC4DCE">
            <w:pPr>
              <w:autoSpaceDE w:val="0"/>
              <w:autoSpaceDN w:val="0"/>
              <w:adjustRightInd w:val="0"/>
              <w:rPr>
                <w:rFonts w:cs="Arial"/>
              </w:rPr>
            </w:pPr>
            <w:r>
              <w:rPr>
                <w:rFonts w:cs="Arial"/>
                <w:b/>
                <w:bCs/>
              </w:rPr>
              <w:t>Question #10:</w:t>
            </w:r>
            <w:r>
              <w:rPr>
                <w:rFonts w:cs="Arial"/>
              </w:rPr>
              <w:t xml:space="preserve"> </w:t>
            </w:r>
            <w:r w:rsidRPr="00A00D74">
              <w:rPr>
                <w:rFonts w:cs="Arial"/>
              </w:rPr>
              <w:t xml:space="preserve">Does your hospital collect hand hygiene compliance data on at least </w:t>
            </w:r>
            <w:r w:rsidRPr="00BC0D3C">
              <w:rPr>
                <w:rFonts w:cs="Arial"/>
                <w:b/>
                <w:bCs/>
              </w:rPr>
              <w:t xml:space="preserve">100 hand hygiene opportunities each </w:t>
            </w:r>
            <w:r w:rsidRPr="00BC0D3C">
              <w:rPr>
                <w:rFonts w:cs="Arial"/>
                <w:b/>
                <w:bCs/>
                <w:u w:val="single"/>
              </w:rPr>
              <w:t xml:space="preserve">quarter </w:t>
            </w:r>
            <w:r w:rsidRPr="00BC0D3C">
              <w:rPr>
                <w:rFonts w:cs="Arial"/>
                <w:b/>
                <w:bCs/>
              </w:rPr>
              <w:t xml:space="preserve">in each </w:t>
            </w:r>
            <w:r w:rsidRPr="00BC0D3C">
              <w:rPr>
                <w:rFonts w:cs="Arial"/>
                <w:b/>
                <w:bCs/>
                <w:u w:val="single"/>
              </w:rPr>
              <w:t>patient care unit</w:t>
            </w:r>
            <w:r w:rsidRPr="00A00D74">
              <w:rPr>
                <w:rFonts w:cs="Arial"/>
              </w:rPr>
              <w:t>?</w:t>
            </w:r>
          </w:p>
          <w:p w14:paraId="16107E14" w14:textId="77777777" w:rsidR="00823FED" w:rsidRPr="00481148" w:rsidRDefault="00823FED" w:rsidP="00EC4DCE">
            <w:pPr>
              <w:autoSpaceDE w:val="0"/>
              <w:autoSpaceDN w:val="0"/>
              <w:adjustRightInd w:val="0"/>
              <w:rPr>
                <w:rFonts w:cs="Arial"/>
                <w:sz w:val="16"/>
                <w:szCs w:val="16"/>
              </w:rPr>
            </w:pPr>
          </w:p>
          <w:p w14:paraId="11C193DE" w14:textId="402E4BF1" w:rsidR="00823FED" w:rsidRDefault="002D479A" w:rsidP="00EC4DCE">
            <w:pPr>
              <w:autoSpaceDE w:val="0"/>
              <w:autoSpaceDN w:val="0"/>
              <w:adjustRightInd w:val="0"/>
              <w:rPr>
                <w:rFonts w:cs="Arial"/>
              </w:rPr>
            </w:pPr>
            <w:r>
              <w:rPr>
                <w:rFonts w:cs="Arial"/>
              </w:rPr>
              <w:t xml:space="preserve">In order to </w:t>
            </w:r>
            <w:r w:rsidR="003C66B3">
              <w:rPr>
                <w:rFonts w:cs="Arial"/>
              </w:rPr>
              <w:t>respond</w:t>
            </w:r>
            <w:r>
              <w:rPr>
                <w:rFonts w:cs="Arial"/>
              </w:rPr>
              <w:t xml:space="preserve"> “yes” to question #10,</w:t>
            </w:r>
            <w:r w:rsidR="00B72F05">
              <w:rPr>
                <w:rFonts w:cs="Arial"/>
              </w:rPr>
              <w:t xml:space="preserve"> your</w:t>
            </w:r>
            <w:r>
              <w:rPr>
                <w:rFonts w:cs="Arial"/>
              </w:rPr>
              <w:t xml:space="preserve"> h</w:t>
            </w:r>
            <w:r w:rsidR="00823FED">
              <w:rPr>
                <w:rFonts w:cs="Arial"/>
              </w:rPr>
              <w:t>ospital</w:t>
            </w:r>
            <w:r>
              <w:rPr>
                <w:rFonts w:cs="Arial"/>
              </w:rPr>
              <w:t xml:space="preserve"> must</w:t>
            </w:r>
            <w:r w:rsidR="00823FED">
              <w:rPr>
                <w:rFonts w:cs="Arial"/>
              </w:rPr>
              <w:t xml:space="preserve"> monitor at least </w:t>
            </w:r>
            <w:r w:rsidR="00823FED">
              <w:rPr>
                <w:rFonts w:cs="Arial"/>
                <w:b/>
                <w:bCs/>
              </w:rPr>
              <w:t>1</w:t>
            </w:r>
            <w:r w:rsidR="00823FED" w:rsidRPr="00DC502B">
              <w:rPr>
                <w:rFonts w:cs="Arial"/>
                <w:b/>
                <w:bCs/>
              </w:rPr>
              <w:t>00 hand hygiene opportunities</w:t>
            </w:r>
            <w:r w:rsidR="00823FED">
              <w:rPr>
                <w:rFonts w:cs="Arial"/>
                <w:b/>
                <w:bCs/>
              </w:rPr>
              <w:t xml:space="preserve"> </w:t>
            </w:r>
            <w:r w:rsidR="00823FED" w:rsidRPr="00DC502B">
              <w:rPr>
                <w:rFonts w:cs="Arial"/>
                <w:b/>
                <w:bCs/>
              </w:rPr>
              <w:t xml:space="preserve">each </w:t>
            </w:r>
            <w:r w:rsidR="00823FED">
              <w:rPr>
                <w:rFonts w:cs="Arial"/>
                <w:b/>
                <w:bCs/>
                <w:u w:val="single"/>
              </w:rPr>
              <w:t>quarter</w:t>
            </w:r>
            <w:r w:rsidR="00823FED" w:rsidRPr="00DC502B">
              <w:rPr>
                <w:rFonts w:cs="Arial"/>
                <w:b/>
                <w:bCs/>
              </w:rPr>
              <w:t xml:space="preserve"> in each </w:t>
            </w:r>
            <w:r w:rsidR="00823FED" w:rsidRPr="00FC258A">
              <w:rPr>
                <w:rFonts w:cs="Arial"/>
                <w:b/>
                <w:bCs/>
                <w:u w:val="single"/>
              </w:rPr>
              <w:t>patient care unit</w:t>
            </w:r>
            <w:r w:rsidR="00823FED">
              <w:rPr>
                <w:rFonts w:cs="Arial"/>
                <w:b/>
                <w:bCs/>
              </w:rPr>
              <w:t xml:space="preserve"> </w:t>
            </w:r>
            <w:r w:rsidR="00823FED">
              <w:rPr>
                <w:rFonts w:cs="Arial"/>
              </w:rPr>
              <w:t>using either:</w:t>
            </w:r>
          </w:p>
          <w:p w14:paraId="13FE9060" w14:textId="216B2F21" w:rsidR="00440F2D" w:rsidRPr="00440F2D" w:rsidRDefault="00823FED" w:rsidP="00AD309C">
            <w:pPr>
              <w:pStyle w:val="ListParagraph"/>
              <w:numPr>
                <w:ilvl w:val="0"/>
                <w:numId w:val="204"/>
              </w:numPr>
              <w:autoSpaceDE w:val="0"/>
              <w:autoSpaceDN w:val="0"/>
              <w:adjustRightInd w:val="0"/>
              <w:rPr>
                <w:rFonts w:cs="Arial"/>
              </w:rPr>
            </w:pPr>
            <w:r w:rsidRPr="00440F2D">
              <w:rPr>
                <w:rFonts w:cs="Arial"/>
              </w:rPr>
              <w:t>An electronic compliance monitoring system throughout all patient care units</w:t>
            </w:r>
          </w:p>
          <w:p w14:paraId="7C86A80C" w14:textId="4F85EB79" w:rsidR="00440F2D" w:rsidRPr="00440F2D" w:rsidRDefault="00823FED" w:rsidP="00AD309C">
            <w:pPr>
              <w:pStyle w:val="ListParagraph"/>
              <w:numPr>
                <w:ilvl w:val="0"/>
                <w:numId w:val="204"/>
              </w:numPr>
              <w:autoSpaceDE w:val="0"/>
              <w:autoSpaceDN w:val="0"/>
              <w:adjustRightInd w:val="0"/>
              <w:rPr>
                <w:rFonts w:cs="Arial"/>
              </w:rPr>
            </w:pPr>
            <w:r w:rsidRPr="00440F2D">
              <w:rPr>
                <w:rFonts w:cs="Arial"/>
              </w:rPr>
              <w:t>An electronic compliance monitoring system throughout some patient care units and only direct observation in all other patient care units</w:t>
            </w:r>
          </w:p>
          <w:p w14:paraId="6BCC70B6" w14:textId="77777777" w:rsidR="00823FED" w:rsidRPr="00440F2D" w:rsidRDefault="00823FED" w:rsidP="00AD309C">
            <w:pPr>
              <w:pStyle w:val="ListParagraph"/>
              <w:numPr>
                <w:ilvl w:val="0"/>
                <w:numId w:val="204"/>
              </w:numPr>
              <w:autoSpaceDE w:val="0"/>
              <w:autoSpaceDN w:val="0"/>
              <w:adjustRightInd w:val="0"/>
              <w:rPr>
                <w:rFonts w:cs="Arial"/>
              </w:rPr>
            </w:pPr>
            <w:r w:rsidRPr="00440F2D">
              <w:rPr>
                <w:rFonts w:cs="Arial"/>
              </w:rPr>
              <w:t>Only direct observation throughout all patient care units</w:t>
            </w:r>
          </w:p>
          <w:p w14:paraId="1D0CDF65" w14:textId="77777777" w:rsidR="00823FED" w:rsidRPr="00481148" w:rsidRDefault="00823FED" w:rsidP="00EC4DCE">
            <w:pPr>
              <w:autoSpaceDE w:val="0"/>
              <w:autoSpaceDN w:val="0"/>
              <w:adjustRightInd w:val="0"/>
              <w:rPr>
                <w:rFonts w:cs="Arial"/>
                <w:sz w:val="16"/>
                <w:szCs w:val="16"/>
              </w:rPr>
            </w:pPr>
          </w:p>
          <w:p w14:paraId="1CD6A227" w14:textId="77777777" w:rsidR="00823FED" w:rsidRDefault="00823FED" w:rsidP="00EC4DCE">
            <w:pPr>
              <w:pStyle w:val="CommentText"/>
            </w:pPr>
            <w:r w:rsidRPr="00CB7625">
              <w:t>There are no alternate sample sizes for the quarterly requirement. Hospitals trying to meet the quarterly requirement in question #10 will need to monitor 100 hand hygiene opportunities a quarter.</w:t>
            </w:r>
          </w:p>
          <w:p w14:paraId="29DCBA07" w14:textId="77777777" w:rsidR="00E74CD8" w:rsidRDefault="00E74CD8" w:rsidP="00EC4DCE">
            <w:pPr>
              <w:pStyle w:val="CommentText"/>
            </w:pPr>
          </w:p>
          <w:p w14:paraId="11E2E11D" w14:textId="3EE99BD0" w:rsidR="00E74CD8" w:rsidRPr="00790BCB" w:rsidRDefault="00E74CD8" w:rsidP="00EC4DCE">
            <w:pPr>
              <w:pStyle w:val="CommentText"/>
            </w:pPr>
            <w:r>
              <w:t>Units/areas c</w:t>
            </w:r>
            <w:r w:rsidR="00157FDB">
              <w:t>an</w:t>
            </w:r>
            <w:r>
              <w:t xml:space="preserve"> be combined </w:t>
            </w:r>
            <w:r w:rsidRPr="00915847">
              <w:t xml:space="preserve">for the purposes of determining if you have met the monthly or quarterly monitoring sample size </w:t>
            </w:r>
            <w:r>
              <w:t>if</w:t>
            </w:r>
            <w:r w:rsidRPr="00915847">
              <w:t xml:space="preserve"> they share a common group of staff</w:t>
            </w:r>
            <w:r>
              <w:t xml:space="preserve"> (</w:t>
            </w:r>
            <w:r w:rsidRPr="00915847">
              <w:t xml:space="preserve">i.e., staff are scheduled to work in the broader area and float between units </w:t>
            </w:r>
            <w:r>
              <w:t>or</w:t>
            </w:r>
            <w:r w:rsidRPr="00915847">
              <w:t xml:space="preserve"> staff may be scheduled to work either unit on any given day</w:t>
            </w:r>
            <w:r>
              <w:t>)</w:t>
            </w:r>
            <w:r w:rsidRPr="00915847">
              <w:t>.</w:t>
            </w:r>
            <w:r>
              <w:t xml:space="preserve"> Hand hygiene opportunities would still need to be monitored throughout both units/areas.</w:t>
            </w:r>
          </w:p>
        </w:tc>
      </w:tr>
      <w:tr w:rsidR="00823FED" w:rsidRPr="009A5185" w14:paraId="42A87541" w14:textId="77777777" w:rsidTr="00481148">
        <w:trPr>
          <w:trHeight w:val="20"/>
          <w:jc w:val="center"/>
        </w:trPr>
        <w:tc>
          <w:tcPr>
            <w:tcW w:w="9387" w:type="dxa"/>
          </w:tcPr>
          <w:p w14:paraId="6282A70B" w14:textId="77777777" w:rsidR="00823FED" w:rsidRDefault="00823FED" w:rsidP="00EC4DCE">
            <w:pPr>
              <w:autoSpaceDE w:val="0"/>
              <w:autoSpaceDN w:val="0"/>
              <w:adjustRightInd w:val="0"/>
              <w:rPr>
                <w:rFonts w:cs="Arial"/>
              </w:rPr>
            </w:pPr>
            <w:r>
              <w:rPr>
                <w:rFonts w:cs="Arial"/>
                <w:b/>
                <w:bCs/>
              </w:rPr>
              <w:t>Question #12:</w:t>
            </w:r>
            <w:r>
              <w:rPr>
                <w:rFonts w:cs="Arial"/>
              </w:rPr>
              <w:t xml:space="preserve"> </w:t>
            </w:r>
            <w:r w:rsidRPr="00A00D74">
              <w:rPr>
                <w:rFonts w:cs="Arial"/>
              </w:rPr>
              <w:t>In those patient care units where an electronic compliance monitoring system is used, does the monitoring system used meet both of the following criteria?</w:t>
            </w:r>
          </w:p>
          <w:p w14:paraId="494F46EF" w14:textId="77777777" w:rsidR="00823FED" w:rsidRDefault="00823FED" w:rsidP="00AD309C">
            <w:pPr>
              <w:pStyle w:val="ListParagraph"/>
              <w:numPr>
                <w:ilvl w:val="0"/>
                <w:numId w:val="198"/>
              </w:numPr>
              <w:autoSpaceDE w:val="0"/>
              <w:autoSpaceDN w:val="0"/>
              <w:adjustRightInd w:val="0"/>
              <w:rPr>
                <w:rFonts w:cs="Arial"/>
              </w:rPr>
            </w:pPr>
            <w:r w:rsidRPr="00A00D74">
              <w:rPr>
                <w:rFonts w:cs="Arial"/>
              </w:rPr>
              <w:t>The system can identify both opportunities for hand hygiene and that hand hygiene was performed</w:t>
            </w:r>
          </w:p>
          <w:p w14:paraId="495BBDD1" w14:textId="4FE7B205" w:rsidR="00823FED" w:rsidRPr="00E53A63" w:rsidRDefault="00823FED" w:rsidP="00AD309C">
            <w:pPr>
              <w:pStyle w:val="ListParagraph"/>
              <w:numPr>
                <w:ilvl w:val="0"/>
                <w:numId w:val="198"/>
              </w:numPr>
              <w:autoSpaceDE w:val="0"/>
              <w:autoSpaceDN w:val="0"/>
              <w:adjustRightInd w:val="0"/>
              <w:rPr>
                <w:rFonts w:cs="Arial"/>
                <w:sz w:val="16"/>
                <w:szCs w:val="16"/>
              </w:rPr>
            </w:pPr>
            <w:r w:rsidRPr="00A00D74">
              <w:rPr>
                <w:rFonts w:cs="Arial"/>
              </w:rPr>
              <w:t>The hospital itself has validated the accuracy of the data collected by the electronic compliance monitoring system</w:t>
            </w:r>
          </w:p>
          <w:p w14:paraId="7D9C1F32" w14:textId="6E8B2B1C" w:rsidR="00887651" w:rsidRDefault="00B72F05" w:rsidP="00EC4DCE">
            <w:pPr>
              <w:autoSpaceDE w:val="0"/>
              <w:autoSpaceDN w:val="0"/>
              <w:adjustRightInd w:val="0"/>
              <w:rPr>
                <w:rFonts w:cs="Arial"/>
              </w:rPr>
            </w:pPr>
            <w:r>
              <w:rPr>
                <w:rFonts w:cs="Arial"/>
              </w:rPr>
              <w:t>In order to respond “yes” to question #12, the e</w:t>
            </w:r>
            <w:r w:rsidR="00823FED">
              <w:rPr>
                <w:rFonts w:cs="Arial"/>
              </w:rPr>
              <w:t>lectronic monitoring system</w:t>
            </w:r>
            <w:r>
              <w:rPr>
                <w:rFonts w:cs="Arial"/>
              </w:rPr>
              <w:t xml:space="preserve"> in use </w:t>
            </w:r>
            <w:r w:rsidR="00823FED">
              <w:rPr>
                <w:rFonts w:cs="Arial"/>
              </w:rPr>
              <w:t>must identify both opportunities and that hand hygiene was performed, which could include both g</w:t>
            </w:r>
            <w:r w:rsidR="00823FED" w:rsidRPr="003E3AFA">
              <w:rPr>
                <w:rFonts w:cs="Arial"/>
              </w:rPr>
              <w:t xml:space="preserve">roup monitoring systems and badge-based systems. </w:t>
            </w:r>
          </w:p>
          <w:p w14:paraId="6EEC4277" w14:textId="77777777" w:rsidR="00887651" w:rsidRPr="00481148" w:rsidRDefault="00887651" w:rsidP="00EC4DCE">
            <w:pPr>
              <w:autoSpaceDE w:val="0"/>
              <w:autoSpaceDN w:val="0"/>
              <w:adjustRightInd w:val="0"/>
              <w:rPr>
                <w:rFonts w:cs="Arial"/>
                <w:sz w:val="16"/>
                <w:szCs w:val="16"/>
              </w:rPr>
            </w:pPr>
          </w:p>
          <w:p w14:paraId="5F8DE847" w14:textId="6DE46B10" w:rsidR="00823FED" w:rsidRDefault="00823FED" w:rsidP="00EC4DCE">
            <w:pPr>
              <w:autoSpaceDE w:val="0"/>
              <w:autoSpaceDN w:val="0"/>
              <w:adjustRightInd w:val="0"/>
              <w:rPr>
                <w:rFonts w:cs="Arial"/>
              </w:rPr>
            </w:pPr>
            <w:r w:rsidRPr="003E3AFA">
              <w:rPr>
                <w:rFonts w:cs="Arial"/>
              </w:rPr>
              <w:t>For example, an electronic monitoring system that records when an individual (not identified) enters and exits a room and also records if a dispenser was used within the same time frame, would qualify as the entry and exit is used as a proxy for a hand hygiene opportunity (before and after touching a patient) and the dispenser use is used as a proxy for a hand hygiene event. This data can be adjusted to take visitors into account and used to estimate hand hygiene compliance. Another example would be a badge-based system where individuals or their roles can be identified.</w:t>
            </w:r>
          </w:p>
          <w:p w14:paraId="6214D537" w14:textId="77777777" w:rsidR="00823FED" w:rsidRPr="00481148" w:rsidRDefault="00823FED" w:rsidP="00EC4DCE">
            <w:pPr>
              <w:autoSpaceDE w:val="0"/>
              <w:autoSpaceDN w:val="0"/>
              <w:adjustRightInd w:val="0"/>
              <w:rPr>
                <w:rFonts w:cs="Arial"/>
                <w:sz w:val="16"/>
                <w:szCs w:val="16"/>
              </w:rPr>
            </w:pPr>
          </w:p>
          <w:p w14:paraId="0E5DE1B4" w14:textId="07EBAB6E" w:rsidR="00823FED" w:rsidRPr="00790BCB" w:rsidRDefault="000F2E52" w:rsidP="00FC258A">
            <w:pPr>
              <w:pStyle w:val="ListParagraph"/>
              <w:ind w:left="0"/>
              <w:rPr>
                <w:sz w:val="10"/>
                <w:szCs w:val="10"/>
              </w:rPr>
            </w:pPr>
            <w:r>
              <w:rPr>
                <w:rFonts w:cs="Arial"/>
              </w:rPr>
              <w:t>In addition, v</w:t>
            </w:r>
            <w:r w:rsidR="00823FED">
              <w:rPr>
                <w:rFonts w:cs="Arial"/>
              </w:rPr>
              <w:t>alidation of the accuracy of the data collected by the electronic compliance monitoring syste</w:t>
            </w:r>
            <w:r w:rsidR="00FC258A">
              <w:rPr>
                <w:rFonts w:cs="Arial"/>
              </w:rPr>
              <w:t xml:space="preserve">m must </w:t>
            </w:r>
            <w:r w:rsidR="00823FED" w:rsidRPr="00FA6B75">
              <w:t xml:space="preserve">be performed by hospital personnel or independent </w:t>
            </w:r>
            <w:r w:rsidR="00823FED">
              <w:t>third</w:t>
            </w:r>
            <w:r w:rsidR="00823FED" w:rsidRPr="00FA6B75">
              <w:t xml:space="preserve">-party personnel, in addition to any validation conducted by the manufacturer. It </w:t>
            </w:r>
            <w:r w:rsidR="00FC258A">
              <w:t>needs to</w:t>
            </w:r>
            <w:r w:rsidR="00823FED" w:rsidRPr="00FA6B75">
              <w:t xml:space="preserve"> include both a "planned path</w:t>
            </w:r>
            <w:r w:rsidR="00823FED">
              <w:t>”</w:t>
            </w:r>
            <w:r w:rsidR="00823FED" w:rsidRPr="00FA6B75">
              <w:t xml:space="preserve"> phase where the researcher(s) make timed observations of room entries and exits and use of dispensers and compare their results to data recorded by the </w:t>
            </w:r>
            <w:r w:rsidR="00823FED">
              <w:t>electronic compliance monitoring</w:t>
            </w:r>
            <w:r w:rsidR="00823FED" w:rsidRPr="00FA6B75">
              <w:t xml:space="preserve"> system. Followed by a "behavioral path" </w:t>
            </w:r>
            <w:r w:rsidR="00823FED">
              <w:t xml:space="preserve">phase </w:t>
            </w:r>
            <w:r w:rsidR="00823FED" w:rsidRPr="00FA6B75">
              <w:t>where observers record the same variables when</w:t>
            </w:r>
            <w:r w:rsidR="00823FED">
              <w:t xml:space="preserve"> individuals who touch patients or who touch items that will be used by patients</w:t>
            </w:r>
            <w:r w:rsidR="00823FED" w:rsidRPr="00FA6B75">
              <w:t xml:space="preserve"> are performing their usual duties, as this tends to be more chaotic and variable. A general validation protocol that can be used for both group monitoring systems and badge-based systems has been described in a fair amount of detail</w:t>
            </w:r>
            <w:r w:rsidR="00823FED">
              <w:t xml:space="preserve"> in</w:t>
            </w:r>
            <w:r w:rsidR="00823FED" w:rsidRPr="00FA6B75">
              <w:t xml:space="preserve"> the 2016 article by Limper H et al. Similar methods for conducting validation studies of badge-based system have been described by </w:t>
            </w:r>
            <w:proofErr w:type="spellStart"/>
            <w:r w:rsidR="00823FED" w:rsidRPr="00FA6B75">
              <w:t>Pineles</w:t>
            </w:r>
            <w:proofErr w:type="spellEnd"/>
            <w:r w:rsidR="00823FED" w:rsidRPr="00FA6B75">
              <w:t xml:space="preserve"> LL, et al</w:t>
            </w:r>
            <w:r w:rsidR="003701F1">
              <w:t>.</w:t>
            </w:r>
            <w:r w:rsidR="00823FED" w:rsidRPr="00FA6B75">
              <w:t xml:space="preserve"> in 2014, and by Doll ME et al. in 2019.</w:t>
            </w:r>
            <w:r w:rsidR="005D628A">
              <w:t xml:space="preserve"> The 2023 article from Parker et al. regarding sample sizes for the validation can also be referenced.</w:t>
            </w:r>
            <w:r w:rsidR="00823FED">
              <w:rPr>
                <w:sz w:val="18"/>
                <w:szCs w:val="18"/>
              </w:rPr>
              <w:br/>
            </w:r>
          </w:p>
        </w:tc>
      </w:tr>
      <w:tr w:rsidR="00823FED" w:rsidRPr="009A5185" w14:paraId="5056DE7F" w14:textId="77777777" w:rsidTr="00C37D4D">
        <w:trPr>
          <w:trHeight w:val="864"/>
          <w:jc w:val="center"/>
        </w:trPr>
        <w:tc>
          <w:tcPr>
            <w:tcW w:w="9387" w:type="dxa"/>
          </w:tcPr>
          <w:p w14:paraId="53A727A9" w14:textId="3DE99A7D" w:rsidR="00823FED" w:rsidRDefault="00823FED" w:rsidP="00EC4DCE">
            <w:pPr>
              <w:autoSpaceDE w:val="0"/>
              <w:autoSpaceDN w:val="0"/>
              <w:adjustRightInd w:val="0"/>
              <w:rPr>
                <w:rFonts w:cs="Arial"/>
              </w:rPr>
            </w:pPr>
            <w:r>
              <w:rPr>
                <w:rFonts w:cs="Arial"/>
                <w:b/>
                <w:bCs/>
              </w:rPr>
              <w:t xml:space="preserve">Question #13: </w:t>
            </w:r>
            <w:r w:rsidRPr="00A00D74">
              <w:rPr>
                <w:rFonts w:cs="Arial"/>
              </w:rPr>
              <w:t>In those patient care units where an electronic compliance monitoring system is used, are direct observations also conducted for coaching and intervention purposes that meet all the following criteria?</w:t>
            </w:r>
          </w:p>
          <w:p w14:paraId="4EA9718F" w14:textId="77777777" w:rsidR="00823FED" w:rsidRPr="00A00D74" w:rsidRDefault="00823FED" w:rsidP="00AD309C">
            <w:pPr>
              <w:pStyle w:val="ListParagraph"/>
              <w:numPr>
                <w:ilvl w:val="0"/>
                <w:numId w:val="199"/>
              </w:numPr>
              <w:autoSpaceDE w:val="0"/>
              <w:autoSpaceDN w:val="0"/>
              <w:adjustRightInd w:val="0"/>
              <w:rPr>
                <w:rFonts w:cs="Arial"/>
              </w:rPr>
            </w:pPr>
            <w:r w:rsidRPr="00A00D74">
              <w:rPr>
                <w:rFonts w:cs="Arial"/>
              </w:rPr>
              <w:t>Observers immediately intervene prior to any harm occurring to provide non-compliant individuals with immediate feedback</w:t>
            </w:r>
          </w:p>
          <w:p w14:paraId="55765BC1" w14:textId="77777777" w:rsidR="00823FED" w:rsidRPr="00A00D74" w:rsidRDefault="00823FED" w:rsidP="00AD309C">
            <w:pPr>
              <w:pStyle w:val="ListParagraph"/>
              <w:numPr>
                <w:ilvl w:val="0"/>
                <w:numId w:val="199"/>
              </w:numPr>
              <w:autoSpaceDE w:val="0"/>
              <w:autoSpaceDN w:val="0"/>
              <w:adjustRightInd w:val="0"/>
              <w:rPr>
                <w:rFonts w:cs="Arial"/>
              </w:rPr>
            </w:pPr>
            <w:r w:rsidRPr="00A00D74">
              <w:rPr>
                <w:rFonts w:cs="Arial"/>
              </w:rPr>
              <w:t>Observations identify both opportunities for hand hygiene and compliance with those opportunities</w:t>
            </w:r>
          </w:p>
          <w:p w14:paraId="38AAEF07" w14:textId="77777777" w:rsidR="00823FED" w:rsidRPr="00A00D74" w:rsidRDefault="00823FED" w:rsidP="00AD309C">
            <w:pPr>
              <w:pStyle w:val="ListParagraph"/>
              <w:numPr>
                <w:ilvl w:val="0"/>
                <w:numId w:val="199"/>
              </w:numPr>
              <w:autoSpaceDE w:val="0"/>
              <w:autoSpaceDN w:val="0"/>
              <w:adjustRightInd w:val="0"/>
              <w:rPr>
                <w:rFonts w:cs="Arial"/>
              </w:rPr>
            </w:pPr>
            <w:r w:rsidRPr="00A00D74">
              <w:rPr>
                <w:rFonts w:cs="Arial"/>
              </w:rPr>
              <w:t>Observations determine who practiced hand hygiene, verify when they practiced it, and whether their technique was correct</w:t>
            </w:r>
          </w:p>
          <w:p w14:paraId="10A0B94F" w14:textId="6D8CA6D8" w:rsidR="00823FED" w:rsidRPr="00A00D74" w:rsidRDefault="00823FED" w:rsidP="00AD309C">
            <w:pPr>
              <w:pStyle w:val="ListParagraph"/>
              <w:numPr>
                <w:ilvl w:val="0"/>
                <w:numId w:val="199"/>
              </w:numPr>
              <w:autoSpaceDE w:val="0"/>
              <w:autoSpaceDN w:val="0"/>
              <w:adjustRightInd w:val="0"/>
              <w:rPr>
                <w:rFonts w:cs="Arial"/>
              </w:rPr>
            </w:pPr>
            <w:r w:rsidRPr="00A00D74">
              <w:rPr>
                <w:rFonts w:cs="Arial"/>
              </w:rPr>
              <w:t xml:space="preserve">Observations within a unit are conducted weekly or monthly across all shifts and on all days of the week proportional to the number of </w:t>
            </w:r>
            <w:hyperlink w:anchor="HHtouchpatientsendnote" w:history="1">
              <w:r w:rsidRPr="00A00D74">
                <w:rPr>
                  <w:rStyle w:val="Hyperlink"/>
                  <w:rFonts w:cs="Arial"/>
                </w:rPr>
                <w:t>individuals who touch patients or who touch items that will be used by patients</w:t>
              </w:r>
            </w:hyperlink>
            <w:r w:rsidR="00C24018">
              <w:fldChar w:fldCharType="begin"/>
            </w:r>
            <w:r w:rsidR="00C24018">
              <w:rPr>
                <w:rStyle w:val="Hyperlink"/>
                <w:rFonts w:cs="Arial"/>
              </w:rPr>
              <w:instrText xml:space="preserve"> NOTEREF _Ref131591135 \f \h </w:instrText>
            </w:r>
            <w:r w:rsidR="00C24018">
              <w:fldChar w:fldCharType="separate"/>
            </w:r>
            <w:r w:rsidR="007D53A2" w:rsidRPr="000E4F8B">
              <w:rPr>
                <w:rStyle w:val="EndnoteReference"/>
              </w:rPr>
              <w:t>44</w:t>
            </w:r>
            <w:r w:rsidR="00C24018">
              <w:fldChar w:fldCharType="end"/>
            </w:r>
            <w:r w:rsidRPr="00A00D74">
              <w:rPr>
                <w:rFonts w:cs="Arial"/>
              </w:rPr>
              <w:t xml:space="preserve"> on duty for that shift</w:t>
            </w:r>
          </w:p>
          <w:p w14:paraId="00F1D668" w14:textId="47E9A3E8" w:rsidR="00823FED" w:rsidRPr="00A00D74" w:rsidRDefault="00823FED" w:rsidP="00AD309C">
            <w:pPr>
              <w:pStyle w:val="ListParagraph"/>
              <w:numPr>
                <w:ilvl w:val="0"/>
                <w:numId w:val="199"/>
              </w:numPr>
              <w:autoSpaceDE w:val="0"/>
              <w:autoSpaceDN w:val="0"/>
              <w:adjustRightInd w:val="0"/>
              <w:rPr>
                <w:rFonts w:cs="Arial"/>
              </w:rPr>
            </w:pPr>
            <w:r w:rsidRPr="00A00D74">
              <w:rPr>
                <w:rFonts w:cs="Arial"/>
              </w:rPr>
              <w:t xml:space="preserve">Observations capture a representative sample of the different roles of </w:t>
            </w:r>
            <w:hyperlink w:anchor="HHtouchpatientsendnote" w:history="1">
              <w:r w:rsidRPr="00A00D74">
                <w:rPr>
                  <w:rStyle w:val="Hyperlink"/>
                  <w:rFonts w:cs="Arial"/>
                </w:rPr>
                <w:t>individuals who touch patients or who touch items that will be used by patients</w:t>
              </w:r>
            </w:hyperlink>
            <w:r w:rsidR="00E82AD0">
              <w:fldChar w:fldCharType="begin"/>
            </w:r>
            <w:r w:rsidR="00E82AD0">
              <w:rPr>
                <w:rStyle w:val="Hyperlink"/>
                <w:rFonts w:cs="Arial"/>
              </w:rPr>
              <w:instrText xml:space="preserve"> NOTEREF _Ref131591135 \f \h </w:instrText>
            </w:r>
            <w:r w:rsidR="00E82AD0">
              <w:fldChar w:fldCharType="separate"/>
            </w:r>
            <w:r w:rsidR="007D53A2" w:rsidRPr="000E4F8B">
              <w:rPr>
                <w:rStyle w:val="EndnoteReference"/>
              </w:rPr>
              <w:t>44</w:t>
            </w:r>
            <w:r w:rsidR="00E82AD0">
              <w:fldChar w:fldCharType="end"/>
            </w:r>
            <w:r w:rsidRPr="00A00D74">
              <w:rPr>
                <w:rFonts w:cs="Arial"/>
              </w:rPr>
              <w:t xml:space="preserve"> (e.g., nurses, physicians, techs, environmental services workers)</w:t>
            </w:r>
          </w:p>
          <w:p w14:paraId="1A9F1A51" w14:textId="77777777" w:rsidR="00823FED" w:rsidRPr="00481148" w:rsidRDefault="00823FED" w:rsidP="00EC4DCE">
            <w:pPr>
              <w:autoSpaceDE w:val="0"/>
              <w:autoSpaceDN w:val="0"/>
              <w:adjustRightInd w:val="0"/>
              <w:rPr>
                <w:rFonts w:cs="Arial"/>
                <w:b/>
                <w:bCs/>
                <w:sz w:val="16"/>
                <w:szCs w:val="16"/>
              </w:rPr>
            </w:pPr>
          </w:p>
          <w:p w14:paraId="66391609" w14:textId="7BA4F508" w:rsidR="00823FED" w:rsidRDefault="005F0A97" w:rsidP="00EC4DCE">
            <w:pPr>
              <w:autoSpaceDE w:val="0"/>
              <w:autoSpaceDN w:val="0"/>
              <w:adjustRightInd w:val="0"/>
              <w:rPr>
                <w:rFonts w:cs="Arial"/>
              </w:rPr>
            </w:pPr>
            <w:r>
              <w:rPr>
                <w:rFonts w:cs="Arial"/>
              </w:rPr>
              <w:t>In order to respond “yes</w:t>
            </w:r>
            <w:r w:rsidR="00E724B9">
              <w:rPr>
                <w:rFonts w:cs="Arial"/>
              </w:rPr>
              <w:t>”</w:t>
            </w:r>
            <w:r>
              <w:rPr>
                <w:rFonts w:cs="Arial"/>
              </w:rPr>
              <w:t xml:space="preserve"> to question #13, </w:t>
            </w:r>
            <w:r w:rsidR="00823FED">
              <w:rPr>
                <w:rFonts w:cs="Arial"/>
              </w:rPr>
              <w:t>direct observations must be conducted for coaching and intervention purposes an</w:t>
            </w:r>
            <w:r w:rsidR="003A3BA8">
              <w:rPr>
                <w:rFonts w:cs="Arial"/>
              </w:rPr>
              <w:t>d</w:t>
            </w:r>
            <w:r w:rsidR="00823FED">
              <w:rPr>
                <w:rFonts w:cs="Arial"/>
              </w:rPr>
              <w:t xml:space="preserve"> meet the following sample size</w:t>
            </w:r>
            <w:r w:rsidR="003A3BA8">
              <w:rPr>
                <w:rFonts w:cs="Arial"/>
              </w:rPr>
              <w:t>s</w:t>
            </w:r>
            <w:r w:rsidR="00823FED">
              <w:rPr>
                <w:rFonts w:cs="Arial"/>
              </w:rPr>
              <w:t xml:space="preserve"> at a minimum:</w:t>
            </w:r>
          </w:p>
          <w:p w14:paraId="23578F15" w14:textId="77777777" w:rsidR="00AF07E8" w:rsidRPr="00481148" w:rsidRDefault="00AF07E8" w:rsidP="00EC4DCE">
            <w:pPr>
              <w:autoSpaceDE w:val="0"/>
              <w:autoSpaceDN w:val="0"/>
              <w:adjustRightInd w:val="0"/>
              <w:rPr>
                <w:rFonts w:cs="Arial"/>
                <w:sz w:val="16"/>
                <w:szCs w:val="16"/>
              </w:rPr>
            </w:pPr>
          </w:p>
          <w:p w14:paraId="370F4BEF" w14:textId="19B8AE2D" w:rsidR="00823FED" w:rsidRPr="004B06A4" w:rsidRDefault="00823FED" w:rsidP="00EC4DCE">
            <w:pPr>
              <w:autoSpaceDE w:val="0"/>
              <w:autoSpaceDN w:val="0"/>
              <w:adjustRightInd w:val="0"/>
              <w:rPr>
                <w:rFonts w:cs="Arial"/>
                <w:b/>
                <w:bCs/>
              </w:rPr>
            </w:pPr>
            <w:r w:rsidRPr="001B37FD">
              <w:rPr>
                <w:b/>
                <w:bCs/>
              </w:rPr>
              <w:t xml:space="preserve">In units with </w:t>
            </w:r>
            <w:r w:rsidR="000D7158">
              <w:rPr>
                <w:b/>
                <w:bCs/>
              </w:rPr>
              <w:t xml:space="preserve">either </w:t>
            </w:r>
            <w:r w:rsidRPr="001B37FD">
              <w:rPr>
                <w:b/>
                <w:bCs/>
              </w:rPr>
              <w:t>low hand hygiene compliance</w:t>
            </w:r>
            <w:r w:rsidR="00E52EF1">
              <w:rPr>
                <w:b/>
                <w:bCs/>
              </w:rPr>
              <w:t>*</w:t>
            </w:r>
            <w:r w:rsidRPr="001B37FD">
              <w:rPr>
                <w:b/>
                <w:bCs/>
              </w:rPr>
              <w:t xml:space="preserve"> and/or units with high infection rates</w:t>
            </w:r>
            <w:r w:rsidR="00B279E6">
              <w:rPr>
                <w:b/>
                <w:bCs/>
              </w:rPr>
              <w:t>**</w:t>
            </w:r>
            <w:r w:rsidR="00EF456F">
              <w:rPr>
                <w:b/>
                <w:bCs/>
              </w:rPr>
              <w:t>:</w:t>
            </w:r>
          </w:p>
          <w:p w14:paraId="099B6762" w14:textId="2834AA6F" w:rsidR="003A3BA8" w:rsidRPr="00E527A5" w:rsidRDefault="00823FED" w:rsidP="00AD309C">
            <w:pPr>
              <w:pStyle w:val="EndnoteText"/>
              <w:numPr>
                <w:ilvl w:val="0"/>
                <w:numId w:val="205"/>
              </w:numPr>
              <w:spacing w:before="120"/>
              <w:rPr>
                <w:bCs/>
              </w:rPr>
            </w:pPr>
            <w:r w:rsidRPr="00E527A5">
              <w:rPr>
                <w:bCs/>
              </w:rPr>
              <w:t>On a </w:t>
            </w:r>
            <w:r w:rsidRPr="00E527A5">
              <w:rPr>
                <w:bCs/>
                <w:u w:val="single"/>
              </w:rPr>
              <w:t>monthly</w:t>
            </w:r>
            <w:r w:rsidRPr="00E527A5">
              <w:rPr>
                <w:bCs/>
              </w:rPr>
              <w:t> basis, hospitals will need to perform 20 direct observations.</w:t>
            </w:r>
          </w:p>
          <w:p w14:paraId="26BA4AD5" w14:textId="29DDF7E7" w:rsidR="003A3BA8" w:rsidRPr="003A3BA8" w:rsidRDefault="00823FED" w:rsidP="00AD309C">
            <w:pPr>
              <w:pStyle w:val="EndnoteText"/>
              <w:numPr>
                <w:ilvl w:val="0"/>
                <w:numId w:val="205"/>
              </w:numPr>
              <w:spacing w:before="120"/>
              <w:rPr>
                <w:bCs/>
              </w:rPr>
            </w:pPr>
            <w:r w:rsidRPr="003A3BA8">
              <w:rPr>
                <w:bCs/>
              </w:rPr>
              <w:t>If after collecting those observations, </w:t>
            </w:r>
            <w:r w:rsidRPr="003A3BA8">
              <w:rPr>
                <w:bCs/>
                <w:u w:val="single"/>
              </w:rPr>
              <w:t>more than 50%</w:t>
            </w:r>
            <w:r w:rsidRPr="003A3BA8">
              <w:rPr>
                <w:bCs/>
              </w:rPr>
              <w:t> of the observations were NOT compliant and/or did NOT demonstrate proper technique, the hospital will need to perform an additional 20 observations the following month (40 total observations per unit with low hand hygiene compliance or high infection rates). </w:t>
            </w:r>
          </w:p>
          <w:p w14:paraId="2EA339BD" w14:textId="21B5FFFB" w:rsidR="00823FED" w:rsidRPr="003A3BA8" w:rsidRDefault="00823FED" w:rsidP="00AD309C">
            <w:pPr>
              <w:pStyle w:val="EndnoteText"/>
              <w:numPr>
                <w:ilvl w:val="0"/>
                <w:numId w:val="205"/>
              </w:numPr>
              <w:spacing w:before="120"/>
              <w:rPr>
                <w:bCs/>
              </w:rPr>
            </w:pPr>
            <w:r w:rsidRPr="003A3BA8">
              <w:rPr>
                <w:bCs/>
              </w:rPr>
              <w:t xml:space="preserve">The hospital </w:t>
            </w:r>
            <w:r w:rsidR="00A77239">
              <w:rPr>
                <w:bCs/>
              </w:rPr>
              <w:t>must</w:t>
            </w:r>
            <w:r w:rsidRPr="003A3BA8">
              <w:rPr>
                <w:bCs/>
              </w:rPr>
              <w:t xml:space="preserve"> continue to collect 40 observations per month until the number of observations that are NOT compliant and/or did not demonstrate proper technique is reduced to </w:t>
            </w:r>
            <w:r w:rsidRPr="003A3BA8">
              <w:rPr>
                <w:bCs/>
                <w:u w:val="single"/>
              </w:rPr>
              <w:t>less than 50%</w:t>
            </w:r>
            <w:r w:rsidRPr="003A3BA8">
              <w:rPr>
                <w:bCs/>
              </w:rPr>
              <w:t>.</w:t>
            </w:r>
          </w:p>
          <w:p w14:paraId="46EAD8A8" w14:textId="04FA8583" w:rsidR="00823FED" w:rsidRDefault="00823FED" w:rsidP="00EC4DCE">
            <w:pPr>
              <w:pStyle w:val="EndnoteText"/>
              <w:spacing w:before="120"/>
              <w:rPr>
                <w:bCs/>
              </w:rPr>
            </w:pPr>
            <w:r>
              <w:rPr>
                <w:bCs/>
              </w:rPr>
              <w:t xml:space="preserve">Compliance and infection rates </w:t>
            </w:r>
            <w:r w:rsidR="00A77239">
              <w:rPr>
                <w:bCs/>
              </w:rPr>
              <w:t>must</w:t>
            </w:r>
            <w:r>
              <w:rPr>
                <w:bCs/>
              </w:rPr>
              <w:t xml:space="preserve"> be assessed at least quarterly and additional observations </w:t>
            </w:r>
            <w:r w:rsidR="00A77239">
              <w:rPr>
                <w:bCs/>
              </w:rPr>
              <w:t>need to</w:t>
            </w:r>
            <w:r>
              <w:rPr>
                <w:bCs/>
              </w:rPr>
              <w:t xml:space="preserve"> be collected on a monthly basis for the entire quarter if warranted based on the above rules. If a standardized infection ratio cannot be calculated for the quarter, units with 2 or more observed infections should do the additional collection of direct observations.</w:t>
            </w:r>
          </w:p>
          <w:p w14:paraId="7083690E" w14:textId="77777777" w:rsidR="00EF456F" w:rsidRPr="00EF456F" w:rsidRDefault="00EF456F" w:rsidP="00EF456F">
            <w:pPr>
              <w:pStyle w:val="EndnoteText"/>
              <w:spacing w:before="120"/>
              <w:rPr>
                <w:bCs/>
                <w:i/>
                <w:iCs/>
              </w:rPr>
            </w:pPr>
            <w:r w:rsidRPr="00EF456F">
              <w:rPr>
                <w:bCs/>
                <w:i/>
                <w:iCs/>
              </w:rPr>
              <w:t xml:space="preserve">*Low hand hygiene compliance is defined as two or more standard deviations below the hospital's overall mean hand hygiene compliance rate.  </w:t>
            </w:r>
          </w:p>
          <w:p w14:paraId="4E592B79" w14:textId="6DB588C9" w:rsidR="00EF456F" w:rsidRPr="00EF456F" w:rsidRDefault="00EF456F" w:rsidP="00EF456F">
            <w:pPr>
              <w:pStyle w:val="EndnoteText"/>
              <w:spacing w:before="120"/>
              <w:rPr>
                <w:bCs/>
                <w:i/>
                <w:iCs/>
              </w:rPr>
            </w:pPr>
            <w:r w:rsidRPr="00EF456F">
              <w:rPr>
                <w:bCs/>
                <w:i/>
                <w:iCs/>
              </w:rPr>
              <w:t xml:space="preserve">**High infection rates </w:t>
            </w:r>
            <w:r w:rsidR="005C2640" w:rsidRPr="00EF456F">
              <w:rPr>
                <w:bCs/>
                <w:i/>
                <w:iCs/>
              </w:rPr>
              <w:t>are</w:t>
            </w:r>
            <w:r w:rsidRPr="00EF456F">
              <w:rPr>
                <w:bCs/>
                <w:i/>
                <w:iCs/>
              </w:rPr>
              <w:t xml:space="preserve"> defined as two or more standard deviations above the hospital's standardized infection ratio for any of the following healthcare-associated infection measures: CLABSI, CAUTI, MRSA, and </w:t>
            </w:r>
            <w:proofErr w:type="spellStart"/>
            <w:r w:rsidRPr="00EF456F">
              <w:rPr>
                <w:bCs/>
                <w:i/>
                <w:iCs/>
              </w:rPr>
              <w:t>C.diff</w:t>
            </w:r>
            <w:proofErr w:type="spellEnd"/>
            <w:r w:rsidRPr="00EF456F">
              <w:rPr>
                <w:bCs/>
                <w:i/>
                <w:iCs/>
              </w:rPr>
              <w:t>.</w:t>
            </w:r>
          </w:p>
          <w:p w14:paraId="3A868C6F" w14:textId="77777777" w:rsidR="00823FED" w:rsidRPr="001B37FD" w:rsidRDefault="00823FED" w:rsidP="00EC4DCE">
            <w:pPr>
              <w:pStyle w:val="EndnoteText"/>
              <w:spacing w:before="120"/>
              <w:rPr>
                <w:b/>
                <w:bCs/>
              </w:rPr>
            </w:pPr>
            <w:r w:rsidRPr="001B37FD">
              <w:rPr>
                <w:b/>
                <w:bCs/>
              </w:rPr>
              <w:t>In all other units: </w:t>
            </w:r>
          </w:p>
          <w:p w14:paraId="55315A9F" w14:textId="6EABD200" w:rsidR="003A3BA8" w:rsidRPr="00E527A5" w:rsidRDefault="00823FED" w:rsidP="00AD309C">
            <w:pPr>
              <w:pStyle w:val="EndnoteText"/>
              <w:numPr>
                <w:ilvl w:val="0"/>
                <w:numId w:val="206"/>
              </w:numPr>
              <w:spacing w:before="120"/>
              <w:rPr>
                <w:bCs/>
              </w:rPr>
            </w:pPr>
            <w:r w:rsidRPr="00E527A5">
              <w:rPr>
                <w:bCs/>
              </w:rPr>
              <w:t>On a </w:t>
            </w:r>
            <w:r w:rsidRPr="00E527A5">
              <w:rPr>
                <w:bCs/>
                <w:u w:val="single"/>
              </w:rPr>
              <w:t>quarterly</w:t>
            </w:r>
            <w:r w:rsidRPr="00E527A5">
              <w:rPr>
                <w:bCs/>
              </w:rPr>
              <w:t> basis, hospitals using ECM need to perform 10% of the observations noted in Tables 1-3 in ALL patient care units included in Leapfrog’s Hand Hygiene Standard (e.g., if the unit would require 200 direct observations without ECM, then with the use of ECM, they need to collect 20 direct observations).  </w:t>
            </w:r>
          </w:p>
          <w:p w14:paraId="1042AB2D" w14:textId="77777777" w:rsidR="00823FED" w:rsidRPr="003A3BA8" w:rsidRDefault="00823FED" w:rsidP="00AD309C">
            <w:pPr>
              <w:pStyle w:val="EndnoteText"/>
              <w:numPr>
                <w:ilvl w:val="0"/>
                <w:numId w:val="206"/>
              </w:numPr>
              <w:spacing w:before="120"/>
              <w:rPr>
                <w:bCs/>
              </w:rPr>
            </w:pPr>
            <w:r w:rsidRPr="003A3BA8">
              <w:rPr>
                <w:bCs/>
              </w:rPr>
              <w:t>Units in which direct observation data is being collected monthly (i.e., units with low hand hygiene compliance and/or high infection rates) do not require the additional quarterly data collection.</w:t>
            </w:r>
          </w:p>
          <w:p w14:paraId="68ADA2A7" w14:textId="77777777" w:rsidR="00823FED" w:rsidRPr="00481148" w:rsidRDefault="00823FED" w:rsidP="00EC4DCE">
            <w:pPr>
              <w:autoSpaceDE w:val="0"/>
              <w:autoSpaceDN w:val="0"/>
              <w:adjustRightInd w:val="0"/>
              <w:rPr>
                <w:rFonts w:cs="Arial"/>
                <w:b/>
                <w:bCs/>
                <w:sz w:val="16"/>
                <w:szCs w:val="16"/>
              </w:rPr>
            </w:pPr>
          </w:p>
          <w:p w14:paraId="6845E18B" w14:textId="77777777" w:rsidR="00823FED" w:rsidRDefault="00823FED" w:rsidP="00EC4DCE">
            <w:pPr>
              <w:autoSpaceDE w:val="0"/>
              <w:autoSpaceDN w:val="0"/>
              <w:adjustRightInd w:val="0"/>
              <w:rPr>
                <w:rFonts w:cs="Arial"/>
              </w:rPr>
            </w:pPr>
            <w:r>
              <w:rPr>
                <w:rFonts w:cs="Arial"/>
              </w:rPr>
              <w:t>All direct observations conducted must meet the following criteria:</w:t>
            </w:r>
          </w:p>
          <w:p w14:paraId="0F0C1C38" w14:textId="1DEA8A39" w:rsidR="003A3BA8" w:rsidRDefault="00823FED" w:rsidP="00AD309C">
            <w:pPr>
              <w:pStyle w:val="ListParagraph"/>
              <w:numPr>
                <w:ilvl w:val="0"/>
                <w:numId w:val="207"/>
              </w:numPr>
            </w:pPr>
            <w:r>
              <w:t>Observers immediately intervene prior to any harm occurring to provide non-compliant individuals with immediate feedback</w:t>
            </w:r>
          </w:p>
          <w:p w14:paraId="25DAAB44" w14:textId="2BAA9344" w:rsidR="003A3BA8" w:rsidRDefault="00823FED" w:rsidP="00AD309C">
            <w:pPr>
              <w:pStyle w:val="ListParagraph"/>
              <w:numPr>
                <w:ilvl w:val="0"/>
                <w:numId w:val="207"/>
              </w:numPr>
            </w:pPr>
            <w:r>
              <w:t xml:space="preserve">Observations identify both opportunities for hand hygiene and compliance with those </w:t>
            </w:r>
            <w:r w:rsidR="005C0485">
              <w:t>opportunities</w:t>
            </w:r>
          </w:p>
          <w:p w14:paraId="785A23C9" w14:textId="4428D23C" w:rsidR="003A3BA8" w:rsidRDefault="00823FED" w:rsidP="00AD309C">
            <w:pPr>
              <w:pStyle w:val="ListParagraph"/>
              <w:numPr>
                <w:ilvl w:val="0"/>
                <w:numId w:val="207"/>
              </w:numPr>
            </w:pPr>
            <w:r>
              <w:t xml:space="preserve">Observations determine who practiced hand hygiene, verify when they practiced it, and whether their technique was </w:t>
            </w:r>
            <w:r w:rsidR="005C0485">
              <w:t>correct</w:t>
            </w:r>
          </w:p>
          <w:p w14:paraId="26E219B5" w14:textId="77777777" w:rsidR="00752112" w:rsidRDefault="00823FED" w:rsidP="00752112">
            <w:pPr>
              <w:pStyle w:val="ListParagraph"/>
              <w:numPr>
                <w:ilvl w:val="0"/>
                <w:numId w:val="207"/>
              </w:numPr>
            </w:pPr>
            <w:r>
              <w:t xml:space="preserve">Observations within a unit are conducted weekly or monthly across all shifts and on all days of the week proportional to the number of </w:t>
            </w:r>
            <w:hyperlink w:anchor="HHtouchpatientsendnote" w:history="1">
              <w:r w:rsidRPr="001A5CC5">
                <w:rPr>
                  <w:rStyle w:val="Hyperlink"/>
                </w:rPr>
                <w:t>individuals who touch patients or who touch items that will be used by patients</w:t>
              </w:r>
            </w:hyperlink>
            <w:r>
              <w:fldChar w:fldCharType="begin"/>
            </w:r>
            <w:r>
              <w:instrText xml:space="preserve"> NOTEREF _Ref25671414 \f \h  \* MERGEFORMAT </w:instrText>
            </w:r>
            <w:r>
              <w:fldChar w:fldCharType="separate"/>
            </w:r>
            <w:r w:rsidR="007D53A2" w:rsidRPr="000E4F8B">
              <w:rPr>
                <w:rStyle w:val="EndnoteReference"/>
              </w:rPr>
              <w:t>44</w:t>
            </w:r>
            <w:r>
              <w:fldChar w:fldCharType="end"/>
            </w:r>
            <w:r>
              <w:t xml:space="preserve"> on duty for that shift</w:t>
            </w:r>
          </w:p>
          <w:p w14:paraId="1DA79B21" w14:textId="3A248A80" w:rsidR="009C0D49" w:rsidRPr="00F43FAB" w:rsidRDefault="00823FED" w:rsidP="00752112">
            <w:pPr>
              <w:pStyle w:val="ListParagraph"/>
              <w:numPr>
                <w:ilvl w:val="0"/>
                <w:numId w:val="207"/>
              </w:numPr>
            </w:pPr>
            <w:r>
              <w:t xml:space="preserve">Observations capture a representative sample of the different roles of </w:t>
            </w:r>
            <w:hyperlink w:anchor="HHtouchpatientsendnote" w:history="1">
              <w:r w:rsidRPr="001A5CC5">
                <w:rPr>
                  <w:rStyle w:val="Hyperlink"/>
                </w:rPr>
                <w:t>individuals who touch patients or who touch items that will be used by patients</w:t>
              </w:r>
            </w:hyperlink>
            <w:r>
              <w:fldChar w:fldCharType="begin"/>
            </w:r>
            <w:r>
              <w:instrText xml:space="preserve"> NOTEREF _Ref25671414 \f \h  \* MERGEFORMAT </w:instrText>
            </w:r>
            <w:r>
              <w:fldChar w:fldCharType="separate"/>
            </w:r>
            <w:r w:rsidR="007D53A2" w:rsidRPr="000E4F8B">
              <w:rPr>
                <w:rStyle w:val="EndnoteReference"/>
              </w:rPr>
              <w:t>44</w:t>
            </w:r>
            <w:r>
              <w:fldChar w:fldCharType="end"/>
            </w:r>
            <w:r>
              <w:t xml:space="preserve"> (e.g., nurses, physicians, techs, environmental services workers)</w:t>
            </w:r>
          </w:p>
          <w:p w14:paraId="12007B90" w14:textId="77777777" w:rsidR="009C0D49" w:rsidRPr="00481148" w:rsidRDefault="009C0D49" w:rsidP="009C0D49">
            <w:pPr>
              <w:autoSpaceDE w:val="0"/>
              <w:autoSpaceDN w:val="0"/>
              <w:adjustRightInd w:val="0"/>
              <w:rPr>
                <w:rFonts w:cs="Arial"/>
                <w:b/>
                <w:bCs/>
                <w:sz w:val="16"/>
                <w:szCs w:val="16"/>
              </w:rPr>
            </w:pPr>
          </w:p>
          <w:p w14:paraId="01846CEE" w14:textId="7DEFE3D9" w:rsidR="00823FED" w:rsidRPr="00F331CD" w:rsidRDefault="00823FED" w:rsidP="00FC258A">
            <w:r>
              <w:t xml:space="preserve">Observers </w:t>
            </w:r>
            <w:r w:rsidR="004242DB">
              <w:t xml:space="preserve">must record </w:t>
            </w:r>
            <w:r w:rsidRPr="00F331CD">
              <w:t>at least the following:</w:t>
            </w:r>
          </w:p>
          <w:p w14:paraId="404B665E" w14:textId="27A935AF" w:rsidR="00A00586" w:rsidRPr="00F331CD" w:rsidRDefault="00823FED" w:rsidP="00AD309C">
            <w:pPr>
              <w:pStyle w:val="EndnoteText"/>
              <w:numPr>
                <w:ilvl w:val="0"/>
                <w:numId w:val="208"/>
              </w:numPr>
              <w:rPr>
                <w:bCs/>
              </w:rPr>
            </w:pPr>
            <w:r w:rsidRPr="00F331CD">
              <w:rPr>
                <w:bCs/>
              </w:rPr>
              <w:t xml:space="preserve">The date as well as the start and end time </w:t>
            </w:r>
            <w:r>
              <w:rPr>
                <w:bCs/>
              </w:rPr>
              <w:t>of</w:t>
            </w:r>
            <w:r w:rsidRPr="00F331CD">
              <w:rPr>
                <w:bCs/>
              </w:rPr>
              <w:t xml:space="preserve"> the observation session</w:t>
            </w:r>
            <w:r>
              <w:rPr>
                <w:bCs/>
              </w:rPr>
              <w:t xml:space="preserve"> (or the date and shift being observed</w:t>
            </w:r>
            <w:r w:rsidR="000C5C0B">
              <w:rPr>
                <w:bCs/>
              </w:rPr>
              <w:t>)</w:t>
            </w:r>
          </w:p>
          <w:p w14:paraId="55A3A9AB" w14:textId="4B498BD5" w:rsidR="00A00586" w:rsidRPr="009C0D49" w:rsidRDefault="00823FED" w:rsidP="00AD309C">
            <w:pPr>
              <w:pStyle w:val="EndnoteText"/>
              <w:numPr>
                <w:ilvl w:val="0"/>
                <w:numId w:val="208"/>
              </w:numPr>
              <w:rPr>
                <w:bCs/>
              </w:rPr>
            </w:pPr>
            <w:r w:rsidRPr="009C0D49">
              <w:rPr>
                <w:bCs/>
              </w:rPr>
              <w:t xml:space="preserve">The unit </w:t>
            </w:r>
            <w:r>
              <w:t>where the observation session is being conducte</w:t>
            </w:r>
            <w:r w:rsidR="00EF5B7A">
              <w:t>d</w:t>
            </w:r>
          </w:p>
          <w:p w14:paraId="1F646F1C" w14:textId="3D50D131" w:rsidR="00A00586" w:rsidRPr="00A00586" w:rsidRDefault="00823FED" w:rsidP="00AD309C">
            <w:pPr>
              <w:pStyle w:val="EndnoteText"/>
              <w:numPr>
                <w:ilvl w:val="0"/>
                <w:numId w:val="208"/>
              </w:numPr>
              <w:rPr>
                <w:bCs/>
              </w:rPr>
            </w:pPr>
            <w:r w:rsidRPr="00A00586">
              <w:rPr>
                <w:bCs/>
              </w:rPr>
              <w:t>The role of the individual being observed (e.g., nurse, physician, etc.)</w:t>
            </w:r>
          </w:p>
          <w:p w14:paraId="37CFD208" w14:textId="3D3209D3" w:rsidR="00A00586" w:rsidRPr="00A00586" w:rsidRDefault="00823FED" w:rsidP="00AD309C">
            <w:pPr>
              <w:pStyle w:val="EndnoteText"/>
              <w:numPr>
                <w:ilvl w:val="0"/>
                <w:numId w:val="208"/>
              </w:numPr>
              <w:rPr>
                <w:bCs/>
              </w:rPr>
            </w:pPr>
            <w:r w:rsidRPr="00A00586">
              <w:rPr>
                <w:bCs/>
              </w:rPr>
              <w:t>The indication (or moment) for performing hand hygiene (e.g., before/after touching a patient, before/after a procedure, before/after touching patient surroundings, etc.)</w:t>
            </w:r>
          </w:p>
          <w:p w14:paraId="61B74ECC" w14:textId="20EDD132" w:rsidR="00AF07E8" w:rsidRPr="00A00586" w:rsidRDefault="00823FED" w:rsidP="00AD309C">
            <w:pPr>
              <w:pStyle w:val="EndnoteText"/>
              <w:numPr>
                <w:ilvl w:val="0"/>
                <w:numId w:val="208"/>
              </w:numPr>
              <w:rPr>
                <w:bCs/>
              </w:rPr>
            </w:pPr>
            <w:r w:rsidRPr="00A00586">
              <w:rPr>
                <w:bCs/>
              </w:rPr>
              <w:t>Whether hand hygiene was performed or not performed based on the indication noted and if the technique was correct</w:t>
            </w:r>
          </w:p>
        </w:tc>
      </w:tr>
      <w:tr w:rsidR="00823FED" w:rsidRPr="009A5185" w14:paraId="6A1B9C6D" w14:textId="77777777" w:rsidTr="00E53A63">
        <w:trPr>
          <w:trHeight w:val="4032"/>
          <w:jc w:val="center"/>
        </w:trPr>
        <w:tc>
          <w:tcPr>
            <w:tcW w:w="9387" w:type="dxa"/>
            <w:vAlign w:val="center"/>
          </w:tcPr>
          <w:p w14:paraId="2FA287AD" w14:textId="286FAA50" w:rsidR="00823FED" w:rsidRDefault="00823FED" w:rsidP="00EC4DCE">
            <w:pPr>
              <w:autoSpaceDE w:val="0"/>
              <w:autoSpaceDN w:val="0"/>
              <w:adjustRightInd w:val="0"/>
              <w:rPr>
                <w:rFonts w:cs="Arial"/>
              </w:rPr>
            </w:pPr>
            <w:r>
              <w:rPr>
                <w:rFonts w:cs="Arial"/>
                <w:b/>
                <w:bCs/>
              </w:rPr>
              <w:t xml:space="preserve">Question #14: </w:t>
            </w:r>
            <w:r w:rsidRPr="00A00D74">
              <w:rPr>
                <w:rFonts w:cs="Arial"/>
              </w:rPr>
              <w:t>In those patient care units where an electronic compliance monitoring system is NOT used, do the direct observations meet all the following criteria?</w:t>
            </w:r>
          </w:p>
          <w:p w14:paraId="093BD403" w14:textId="77777777" w:rsidR="00823FED" w:rsidRDefault="00823FED" w:rsidP="00AD309C">
            <w:pPr>
              <w:pStyle w:val="ListParagraph"/>
              <w:numPr>
                <w:ilvl w:val="0"/>
                <w:numId w:val="200"/>
              </w:numPr>
            </w:pPr>
            <w:r>
              <w:t>Observations identify both opportunities for hand hygiene and compliance with those opportunities</w:t>
            </w:r>
          </w:p>
          <w:p w14:paraId="57413A99" w14:textId="77777777" w:rsidR="00823FED" w:rsidRDefault="00823FED" w:rsidP="00AD309C">
            <w:pPr>
              <w:pStyle w:val="ListParagraph"/>
              <w:numPr>
                <w:ilvl w:val="0"/>
                <w:numId w:val="200"/>
              </w:numPr>
            </w:pPr>
            <w:r>
              <w:t>Observations determine who practiced hand hygiene, verify when they practiced it, and whether their technique was correct</w:t>
            </w:r>
          </w:p>
          <w:p w14:paraId="7C71F2AB" w14:textId="1E9C0152" w:rsidR="00823FED" w:rsidRDefault="00823FED" w:rsidP="00AD309C">
            <w:pPr>
              <w:pStyle w:val="ListParagraph"/>
              <w:numPr>
                <w:ilvl w:val="0"/>
                <w:numId w:val="200"/>
              </w:numPr>
            </w:pPr>
            <w:r>
              <w:t xml:space="preserve">Observations within a unit are conducted weekly or monthly across all shifts and on all days of the week proportional to the number of </w:t>
            </w:r>
            <w:hyperlink w:anchor="HHtouchpatientsendnote" w:history="1">
              <w:r w:rsidRPr="001A5CC5">
                <w:rPr>
                  <w:rStyle w:val="Hyperlink"/>
                </w:rPr>
                <w:t>individuals who touch patients or who touch items that will be used by patients</w:t>
              </w:r>
            </w:hyperlink>
            <w:r>
              <w:fldChar w:fldCharType="begin"/>
            </w:r>
            <w:r>
              <w:instrText xml:space="preserve"> NOTEREF _Ref25671414 \f \h  \* MERGEFORMAT </w:instrText>
            </w:r>
            <w:r>
              <w:fldChar w:fldCharType="separate"/>
            </w:r>
            <w:r w:rsidR="007D53A2" w:rsidRPr="000E4F8B">
              <w:rPr>
                <w:rStyle w:val="EndnoteReference"/>
              </w:rPr>
              <w:t>44</w:t>
            </w:r>
            <w:r>
              <w:fldChar w:fldCharType="end"/>
            </w:r>
            <w:r>
              <w:t xml:space="preserve"> on duty for that shift</w:t>
            </w:r>
          </w:p>
          <w:p w14:paraId="3A778A53" w14:textId="0CA2899C" w:rsidR="00823FED" w:rsidRPr="00A00D74" w:rsidRDefault="00823FED" w:rsidP="00AD309C">
            <w:pPr>
              <w:pStyle w:val="ListParagraph"/>
              <w:numPr>
                <w:ilvl w:val="0"/>
                <w:numId w:val="200"/>
              </w:numPr>
            </w:pPr>
            <w:r>
              <w:t xml:space="preserve">Observations capture a representative sample of the different roles of </w:t>
            </w:r>
            <w:hyperlink w:anchor="HHtouchpatientsendnote" w:history="1">
              <w:r w:rsidRPr="001A5CC5">
                <w:rPr>
                  <w:rStyle w:val="Hyperlink"/>
                </w:rPr>
                <w:t>individuals who touch patients or who touch items that will be used by patients</w:t>
              </w:r>
            </w:hyperlink>
            <w:r>
              <w:fldChar w:fldCharType="begin"/>
            </w:r>
            <w:r>
              <w:instrText xml:space="preserve"> NOTEREF _Ref25671414 \f \h  \* MERGEFORMAT </w:instrText>
            </w:r>
            <w:r>
              <w:fldChar w:fldCharType="separate"/>
            </w:r>
            <w:r w:rsidR="007D53A2" w:rsidRPr="000E4F8B">
              <w:rPr>
                <w:rStyle w:val="EndnoteReference"/>
              </w:rPr>
              <w:t>44</w:t>
            </w:r>
            <w:r>
              <w:fldChar w:fldCharType="end"/>
            </w:r>
            <w:r>
              <w:t xml:space="preserve"> (e.g., nurses, physicians, techs, environmental services workers)</w:t>
            </w:r>
          </w:p>
          <w:p w14:paraId="51BF4EE9" w14:textId="77777777" w:rsidR="00823FED" w:rsidRDefault="00823FED" w:rsidP="00EC4DCE">
            <w:pPr>
              <w:autoSpaceDE w:val="0"/>
              <w:autoSpaceDN w:val="0"/>
              <w:adjustRightInd w:val="0"/>
              <w:rPr>
                <w:rFonts w:cs="Arial"/>
                <w:b/>
                <w:bCs/>
              </w:rPr>
            </w:pPr>
          </w:p>
          <w:p w14:paraId="29B3DB90" w14:textId="77777777" w:rsidR="000748AA" w:rsidRDefault="000748AA" w:rsidP="000748AA">
            <w:pPr>
              <w:pStyle w:val="EndnoteText"/>
              <w:rPr>
                <w:bCs/>
              </w:rPr>
            </w:pPr>
            <w:r>
              <w:rPr>
                <w:bCs/>
              </w:rPr>
              <w:t>In order to respond “yes” to question #14, direct observations must be conducted in patient care units that do not use an electronic compliance monitoring system and must meet the following criteria:</w:t>
            </w:r>
          </w:p>
          <w:p w14:paraId="73FAE7B8" w14:textId="77777777" w:rsidR="000748AA" w:rsidRDefault="000748AA" w:rsidP="00AD309C">
            <w:pPr>
              <w:pStyle w:val="ListParagraph"/>
              <w:numPr>
                <w:ilvl w:val="0"/>
                <w:numId w:val="200"/>
              </w:numPr>
            </w:pPr>
            <w:r>
              <w:t>Observations identify both opportunities for hand hygiene and compliance with those opportunities</w:t>
            </w:r>
          </w:p>
          <w:p w14:paraId="7B9877D3" w14:textId="77777777" w:rsidR="000748AA" w:rsidRDefault="000748AA" w:rsidP="00AD309C">
            <w:pPr>
              <w:pStyle w:val="ListParagraph"/>
              <w:numPr>
                <w:ilvl w:val="0"/>
                <w:numId w:val="200"/>
              </w:numPr>
            </w:pPr>
            <w:r>
              <w:t>Observations determine who practiced hand hygiene, verify when they practiced it, and whether their technique was correct</w:t>
            </w:r>
          </w:p>
          <w:p w14:paraId="2339CEC4" w14:textId="575E8A26" w:rsidR="000748AA" w:rsidRDefault="000748AA" w:rsidP="00AD309C">
            <w:pPr>
              <w:pStyle w:val="ListParagraph"/>
              <w:numPr>
                <w:ilvl w:val="0"/>
                <w:numId w:val="200"/>
              </w:numPr>
            </w:pPr>
            <w:r>
              <w:t xml:space="preserve">Observations within a unit are conducted weekly or monthly across all shifts and on all days of the week proportional to the number of </w:t>
            </w:r>
            <w:hyperlink w:anchor="HHtouchpatientsendnote" w:history="1">
              <w:r w:rsidRPr="001A5CC5">
                <w:rPr>
                  <w:rStyle w:val="Hyperlink"/>
                </w:rPr>
                <w:t>individuals who touch patients or who touch items that will be used by patients</w:t>
              </w:r>
            </w:hyperlink>
            <w:r>
              <w:fldChar w:fldCharType="begin"/>
            </w:r>
            <w:r>
              <w:instrText xml:space="preserve"> NOTEREF _Ref25671414 \f \h  \* MERGEFORMAT </w:instrText>
            </w:r>
            <w:r>
              <w:fldChar w:fldCharType="separate"/>
            </w:r>
            <w:r w:rsidR="007D53A2" w:rsidRPr="000E4F8B">
              <w:rPr>
                <w:rStyle w:val="EndnoteReference"/>
              </w:rPr>
              <w:t>44</w:t>
            </w:r>
            <w:r>
              <w:fldChar w:fldCharType="end"/>
            </w:r>
            <w:r>
              <w:t xml:space="preserve"> on duty for that shift</w:t>
            </w:r>
          </w:p>
          <w:p w14:paraId="7BBE0B71" w14:textId="1879CE5E" w:rsidR="000748AA" w:rsidRPr="00A00D74" w:rsidRDefault="000748AA" w:rsidP="00AD309C">
            <w:pPr>
              <w:pStyle w:val="ListParagraph"/>
              <w:numPr>
                <w:ilvl w:val="0"/>
                <w:numId w:val="200"/>
              </w:numPr>
            </w:pPr>
            <w:r>
              <w:t xml:space="preserve">Observations capture a representative sample of the different roles of </w:t>
            </w:r>
            <w:hyperlink w:anchor="HHtouchpatientsendnote" w:history="1">
              <w:r w:rsidRPr="001A5CC5">
                <w:rPr>
                  <w:rStyle w:val="Hyperlink"/>
                </w:rPr>
                <w:t>individuals who touch patients or who touch items that will be used by patients</w:t>
              </w:r>
            </w:hyperlink>
            <w:r>
              <w:fldChar w:fldCharType="begin"/>
            </w:r>
            <w:r>
              <w:instrText xml:space="preserve"> NOTEREF _Ref25671414 \f \h  \* MERGEFORMAT </w:instrText>
            </w:r>
            <w:r>
              <w:fldChar w:fldCharType="separate"/>
            </w:r>
            <w:r w:rsidR="007D53A2" w:rsidRPr="000E4F8B">
              <w:rPr>
                <w:rStyle w:val="EndnoteReference"/>
              </w:rPr>
              <w:t>44</w:t>
            </w:r>
            <w:r>
              <w:fldChar w:fldCharType="end"/>
            </w:r>
            <w:r>
              <w:t xml:space="preserve"> (e.g., nurses, physicians, techs, environmental services workers)</w:t>
            </w:r>
          </w:p>
          <w:p w14:paraId="60EAC5D1" w14:textId="77777777" w:rsidR="000748AA" w:rsidRDefault="000748AA" w:rsidP="00EC4DCE">
            <w:pPr>
              <w:autoSpaceDE w:val="0"/>
              <w:autoSpaceDN w:val="0"/>
              <w:adjustRightInd w:val="0"/>
              <w:rPr>
                <w:rFonts w:cs="Arial"/>
                <w:b/>
                <w:bCs/>
              </w:rPr>
            </w:pPr>
          </w:p>
          <w:p w14:paraId="33BFF1AA" w14:textId="0FDFD167" w:rsidR="00823FED" w:rsidRPr="00F331CD" w:rsidRDefault="00823FED" w:rsidP="00EC4DCE">
            <w:pPr>
              <w:pStyle w:val="EndnoteText"/>
              <w:rPr>
                <w:bCs/>
              </w:rPr>
            </w:pPr>
            <w:r>
              <w:rPr>
                <w:bCs/>
              </w:rPr>
              <w:t xml:space="preserve">Observers </w:t>
            </w:r>
            <w:r w:rsidR="004242DB">
              <w:rPr>
                <w:bCs/>
              </w:rPr>
              <w:t xml:space="preserve">must </w:t>
            </w:r>
            <w:r w:rsidRPr="00F331CD">
              <w:rPr>
                <w:bCs/>
              </w:rPr>
              <w:t>record at least the following:</w:t>
            </w:r>
          </w:p>
          <w:p w14:paraId="65A6CF36" w14:textId="77777777" w:rsidR="00823FED" w:rsidRPr="00F331CD" w:rsidRDefault="00823FED" w:rsidP="00AD309C">
            <w:pPr>
              <w:pStyle w:val="EndnoteText"/>
              <w:numPr>
                <w:ilvl w:val="0"/>
                <w:numId w:val="200"/>
              </w:numPr>
              <w:rPr>
                <w:bCs/>
              </w:rPr>
            </w:pPr>
            <w:r w:rsidRPr="00F331CD">
              <w:rPr>
                <w:bCs/>
              </w:rPr>
              <w:t xml:space="preserve">The date as well as the start and end time </w:t>
            </w:r>
            <w:r>
              <w:rPr>
                <w:bCs/>
              </w:rPr>
              <w:t>of</w:t>
            </w:r>
            <w:r w:rsidRPr="00F331CD">
              <w:rPr>
                <w:bCs/>
              </w:rPr>
              <w:t xml:space="preserve"> the observation session</w:t>
            </w:r>
            <w:r>
              <w:rPr>
                <w:bCs/>
              </w:rPr>
              <w:t xml:space="preserve"> (or the date and shift being observed)</w:t>
            </w:r>
          </w:p>
          <w:p w14:paraId="4B683D42" w14:textId="77777777" w:rsidR="00823FED" w:rsidRPr="00085FB4" w:rsidRDefault="00823FED" w:rsidP="00AD309C">
            <w:pPr>
              <w:pStyle w:val="EndnoteText"/>
              <w:numPr>
                <w:ilvl w:val="0"/>
                <w:numId w:val="200"/>
              </w:numPr>
              <w:rPr>
                <w:bCs/>
              </w:rPr>
            </w:pPr>
            <w:r w:rsidRPr="00F331CD">
              <w:rPr>
                <w:bCs/>
              </w:rPr>
              <w:t xml:space="preserve">The unit </w:t>
            </w:r>
            <w:r>
              <w:t>where the observation session is being conducted</w:t>
            </w:r>
          </w:p>
          <w:p w14:paraId="7902E35E" w14:textId="77777777" w:rsidR="00823FED" w:rsidRDefault="00823FED" w:rsidP="00AD309C">
            <w:pPr>
              <w:pStyle w:val="EndnoteText"/>
              <w:numPr>
                <w:ilvl w:val="0"/>
                <w:numId w:val="200"/>
              </w:numPr>
              <w:rPr>
                <w:bCs/>
              </w:rPr>
            </w:pPr>
            <w:r w:rsidRPr="00F331CD">
              <w:rPr>
                <w:bCs/>
              </w:rPr>
              <w:t>The role of the individual being observed (e.g., nurse, physician, etc.)</w:t>
            </w:r>
          </w:p>
          <w:p w14:paraId="7ED9778B" w14:textId="77777777" w:rsidR="00823FED" w:rsidRPr="00A00D74" w:rsidRDefault="00823FED" w:rsidP="00AD309C">
            <w:pPr>
              <w:pStyle w:val="EndnoteText"/>
              <w:numPr>
                <w:ilvl w:val="0"/>
                <w:numId w:val="200"/>
              </w:numPr>
              <w:rPr>
                <w:bCs/>
              </w:rPr>
            </w:pPr>
            <w:r w:rsidRPr="00A00D74">
              <w:rPr>
                <w:bCs/>
              </w:rPr>
              <w:t>The indication (or moment) for performing hand hygiene (e.g., before/after touching a patient, before/after a procedure, before/after touching patient surroundings, etc.)</w:t>
            </w:r>
          </w:p>
          <w:p w14:paraId="77CC0CFF" w14:textId="77777777" w:rsidR="00823FED" w:rsidRPr="00790BCB" w:rsidRDefault="00823FED" w:rsidP="00AD309C">
            <w:pPr>
              <w:pStyle w:val="EndnoteText"/>
              <w:numPr>
                <w:ilvl w:val="0"/>
                <w:numId w:val="200"/>
              </w:numPr>
              <w:rPr>
                <w:bCs/>
              </w:rPr>
            </w:pPr>
            <w:r w:rsidRPr="00F331CD">
              <w:rPr>
                <w:bCs/>
              </w:rPr>
              <w:t>Whether hand hygiene was performed or not performed based on the indication noted and if the technique was correct</w:t>
            </w:r>
          </w:p>
        </w:tc>
      </w:tr>
      <w:tr w:rsidR="00823FED" w:rsidRPr="009A5185" w14:paraId="1B03B0A9" w14:textId="77777777" w:rsidTr="004242DB">
        <w:trPr>
          <w:trHeight w:val="620"/>
          <w:jc w:val="center"/>
        </w:trPr>
        <w:tc>
          <w:tcPr>
            <w:tcW w:w="9387" w:type="dxa"/>
            <w:vAlign w:val="center"/>
          </w:tcPr>
          <w:p w14:paraId="404D034D" w14:textId="77777777" w:rsidR="00823FED" w:rsidRDefault="00823FED" w:rsidP="00EC4DCE">
            <w:pPr>
              <w:pStyle w:val="EndnoteText"/>
              <w:rPr>
                <w:rFonts w:cs="Arial"/>
              </w:rPr>
            </w:pPr>
            <w:r>
              <w:rPr>
                <w:rFonts w:cs="Arial"/>
                <w:b/>
                <w:bCs/>
              </w:rPr>
              <w:t>Question #15</w:t>
            </w:r>
            <w:r>
              <w:rPr>
                <w:rFonts w:cs="Arial"/>
              </w:rPr>
              <w:t xml:space="preserve">: </w:t>
            </w:r>
            <w:r w:rsidRPr="00A00D74">
              <w:rPr>
                <w:rFonts w:cs="Arial"/>
              </w:rPr>
              <w:t>Does your hospital have a system in place for both the initial and recurrent training and validation of hand hygiene compliance observers?</w:t>
            </w:r>
          </w:p>
          <w:p w14:paraId="6584648E" w14:textId="77777777" w:rsidR="00823FED" w:rsidRPr="00481148" w:rsidRDefault="00823FED" w:rsidP="00EC4DCE">
            <w:pPr>
              <w:pStyle w:val="EndnoteText"/>
              <w:rPr>
                <w:rFonts w:cs="Arial"/>
                <w:sz w:val="16"/>
                <w:szCs w:val="16"/>
              </w:rPr>
            </w:pPr>
          </w:p>
          <w:p w14:paraId="231295A5" w14:textId="0B364812" w:rsidR="00823FED" w:rsidRPr="00790BCB" w:rsidRDefault="003926AE" w:rsidP="00EC4DCE">
            <w:pPr>
              <w:pStyle w:val="EndnoteText"/>
            </w:pPr>
            <w:bookmarkStart w:id="536" w:name="_Hlk129358469"/>
            <w:r>
              <w:rPr>
                <w:rFonts w:cs="Arial"/>
              </w:rPr>
              <w:t xml:space="preserve">In order to respond “yes” to question #15, your hospital must </w:t>
            </w:r>
            <w:r w:rsidR="00823FED">
              <w:rPr>
                <w:rFonts w:cs="Arial"/>
              </w:rPr>
              <w:t>regular</w:t>
            </w:r>
            <w:r w:rsidR="004F52B6">
              <w:rPr>
                <w:rFonts w:cs="Arial"/>
              </w:rPr>
              <w:t xml:space="preserve">ly monitor the </w:t>
            </w:r>
            <w:r w:rsidR="00823FED">
              <w:rPr>
                <w:rFonts w:cs="Arial"/>
              </w:rPr>
              <w:t xml:space="preserve">quality </w:t>
            </w:r>
            <w:r w:rsidR="004F52B6">
              <w:rPr>
                <w:rFonts w:cs="Arial"/>
              </w:rPr>
              <w:t xml:space="preserve">and </w:t>
            </w:r>
            <w:r w:rsidR="00823FED">
              <w:rPr>
                <w:rFonts w:cs="Arial"/>
              </w:rPr>
              <w:t xml:space="preserve">accuracy of observations that are collected by each observer </w:t>
            </w:r>
            <w:r w:rsidR="00344592">
              <w:rPr>
                <w:rFonts w:cs="Arial"/>
              </w:rPr>
              <w:t xml:space="preserve">through </w:t>
            </w:r>
            <w:r w:rsidR="00823FED">
              <w:rPr>
                <w:rFonts w:cs="Arial"/>
              </w:rPr>
              <w:t xml:space="preserve">initial and recurrent validation (at least once a year) of hand hygiene compliance observers. </w:t>
            </w:r>
            <w:r w:rsidR="00823FED" w:rsidRPr="00B41400">
              <w:t xml:space="preserve">This would include having an individual </w:t>
            </w:r>
            <w:r w:rsidR="00823FED">
              <w:t>trained in i</w:t>
            </w:r>
            <w:r w:rsidR="00823FED" w:rsidRPr="00B41400">
              <w:t xml:space="preserve">nfection </w:t>
            </w:r>
            <w:r w:rsidR="00823FED">
              <w:t>c</w:t>
            </w:r>
            <w:r w:rsidR="00823FED" w:rsidRPr="00B41400">
              <w:t>ontrol simultaneously collecting data with the hand hygiene compliance observers and comparing results.</w:t>
            </w:r>
            <w:r w:rsidR="00823FED">
              <w:t xml:space="preserve"> Alternatively,</w:t>
            </w:r>
            <w:r w:rsidR="00823FED" w:rsidRPr="009B4891">
              <w:t xml:space="preserve"> videos which include an interactive assessment and completion of an observation form, such as the</w:t>
            </w:r>
            <w:r w:rsidR="00823FED">
              <w:t xml:space="preserve"> </w:t>
            </w:r>
            <w:hyperlink r:id="rId386" w:history="1">
              <w:r w:rsidR="00823FED" w:rsidRPr="00F630DD">
                <w:rPr>
                  <w:rStyle w:val="Hyperlink"/>
                </w:rPr>
                <w:t>WHO Hand Hygiene Training Film</w:t>
              </w:r>
            </w:hyperlink>
            <w:r w:rsidR="00823FED" w:rsidRPr="009B4891">
              <w:t xml:space="preserve"> </w:t>
            </w:r>
            <w:r w:rsidR="00823FED">
              <w:t xml:space="preserve">and </w:t>
            </w:r>
            <w:hyperlink r:id="rId387" w:history="1">
              <w:r w:rsidR="00823FED">
                <w:rPr>
                  <w:rStyle w:val="Hyperlink"/>
                </w:rPr>
                <w:t>Slides Accompanying the Training Films</w:t>
              </w:r>
            </w:hyperlink>
            <w:r w:rsidR="00823FED" w:rsidRPr="009B4891">
              <w:t xml:space="preserve">, </w:t>
            </w:r>
            <w:hyperlink r:id="rId388" w:history="1">
              <w:r w:rsidR="00823FED" w:rsidRPr="00F630DD">
                <w:rPr>
                  <w:rStyle w:val="Hyperlink"/>
                </w:rPr>
                <w:t>Videos from Han</w:t>
              </w:r>
              <w:r w:rsidR="00823FED">
                <w:rPr>
                  <w:rStyle w:val="Hyperlink"/>
                </w:rPr>
                <w:t>d</w:t>
              </w:r>
              <w:r w:rsidR="00823FED" w:rsidRPr="00F630DD">
                <w:rPr>
                  <w:rStyle w:val="Hyperlink"/>
                </w:rPr>
                <w:t xml:space="preserve"> Hygiene Australia</w:t>
              </w:r>
            </w:hyperlink>
            <w:r w:rsidR="00823FED">
              <w:t xml:space="preserve">, or internally developed videos with assessment, </w:t>
            </w:r>
            <w:r w:rsidR="00823FED" w:rsidRPr="009B4891">
              <w:t xml:space="preserve">would also be sufficient </w:t>
            </w:r>
            <w:r w:rsidR="00823FED">
              <w:t xml:space="preserve">for </w:t>
            </w:r>
            <w:r w:rsidR="00823FED" w:rsidRPr="009B4891">
              <w:t>validating hand hygiene compliance observers</w:t>
            </w:r>
            <w:r w:rsidR="00823FED">
              <w:t>. H</w:t>
            </w:r>
            <w:r w:rsidR="00823FED" w:rsidRPr="009B4891">
              <w:t xml:space="preserve">ospitals </w:t>
            </w:r>
            <w:r w:rsidR="004242DB">
              <w:t>must</w:t>
            </w:r>
            <w:r w:rsidR="00823FED" w:rsidRPr="009B4891">
              <w:t xml:space="preserve"> expand the testing scenarios that are included in the</w:t>
            </w:r>
            <w:r w:rsidR="00823FED">
              <w:t xml:space="preserve"> </w:t>
            </w:r>
            <w:r w:rsidR="00823FED" w:rsidRPr="009B4891">
              <w:t>videos (i.e., the videos should be expanded to include: various types of individuals who touch patients or who touch items that will be used by patients, a larger number of scenarios where individuals are adherent and non-adherent, the inclusion of all moments observed, etc.)</w:t>
            </w:r>
            <w:r w:rsidR="00823FED">
              <w:t>.</w:t>
            </w:r>
            <w:bookmarkEnd w:id="536"/>
          </w:p>
        </w:tc>
      </w:tr>
    </w:tbl>
    <w:p w14:paraId="779D1570" w14:textId="77777777" w:rsidR="00823FED" w:rsidRDefault="00823FED" w:rsidP="00823FED"/>
    <w:p w14:paraId="604C65EB" w14:textId="0CAFB756" w:rsidR="00823FED" w:rsidRPr="009A5185" w:rsidRDefault="00823FED" w:rsidP="00823FED">
      <w:pPr>
        <w:rPr>
          <w:rFonts w:cs="Arial"/>
        </w:rPr>
      </w:pPr>
      <w:r w:rsidRPr="009A5185">
        <w:rPr>
          <w:rFonts w:cs="Arial"/>
          <w:color w:val="000000"/>
        </w:rPr>
        <w:t>See</w:t>
      </w:r>
      <w:r>
        <w:rPr>
          <w:rFonts w:cs="Arial"/>
          <w:color w:val="000000"/>
        </w:rPr>
        <w:t xml:space="preserve"> </w:t>
      </w:r>
      <w:hyperlink w:anchor="_Hand_Hygiene_1" w:history="1">
        <w:r>
          <w:rPr>
            <w:rStyle w:val="Hyperlink"/>
            <w:rFonts w:cs="Arial"/>
          </w:rPr>
          <w:t>FAQs</w:t>
        </w:r>
      </w:hyperlink>
      <w:r w:rsidRPr="009A5185">
        <w:rPr>
          <w:rFonts w:cs="Arial"/>
          <w:color w:val="000000"/>
        </w:rPr>
        <w:t xml:space="preserve"> for additional information about responding to</w:t>
      </w:r>
      <w:r>
        <w:rPr>
          <w:rFonts w:cs="Arial"/>
          <w:color w:val="000000"/>
        </w:rPr>
        <w:t xml:space="preserve"> the</w:t>
      </w:r>
      <w:r w:rsidRPr="009A5185">
        <w:rPr>
          <w:rFonts w:cs="Arial"/>
          <w:color w:val="000000"/>
        </w:rPr>
        <w:t xml:space="preserve"> questions in this section.</w:t>
      </w:r>
    </w:p>
    <w:p w14:paraId="6DEEC880" w14:textId="77777777" w:rsidR="00823FED" w:rsidRPr="008147F3" w:rsidRDefault="00823FED" w:rsidP="00823FED">
      <w:pPr>
        <w:rPr>
          <w:b/>
          <w:snapToGrid w:val="0"/>
          <w:sz w:val="28"/>
          <w:szCs w:val="24"/>
          <w:u w:val="single"/>
          <w:lang w:eastAsia="ja-JP"/>
        </w:rPr>
      </w:pPr>
    </w:p>
    <w:p w14:paraId="26CE141D" w14:textId="572E71FF" w:rsidR="00C0336A" w:rsidRDefault="00745DD7">
      <w:bookmarkStart w:id="537" w:name="_Patient_Safety_Practices"/>
      <w:bookmarkEnd w:id="537"/>
      <w:r>
        <w:br w:type="page"/>
      </w:r>
    </w:p>
    <w:p w14:paraId="013FB492" w14:textId="2C597B0B" w:rsidR="00617ECE" w:rsidRPr="000C2C54" w:rsidRDefault="00786120" w:rsidP="00AB5B80">
      <w:pPr>
        <w:pStyle w:val="Heading3"/>
      </w:pPr>
      <w:bookmarkStart w:id="538" w:name="_Closing_the_Loop"/>
      <w:bookmarkStart w:id="539" w:name="_Emergency_Department_(ED)"/>
      <w:bookmarkStart w:id="540" w:name="_Hospital_Boarding_in"/>
      <w:bookmarkStart w:id="541" w:name="_Toc225877797"/>
      <w:bookmarkEnd w:id="538"/>
      <w:bookmarkEnd w:id="539"/>
      <w:bookmarkEnd w:id="540"/>
      <w:r>
        <w:t xml:space="preserve">Hospital Boarding in the </w:t>
      </w:r>
      <w:r w:rsidR="00617ECE">
        <w:t>Emergency Department (ED) Boarding Measure Specifications</w:t>
      </w:r>
      <w:bookmarkEnd w:id="541"/>
    </w:p>
    <w:p w14:paraId="03FF08EE" w14:textId="77777777" w:rsidR="00617ECE" w:rsidRPr="00371FEA" w:rsidRDefault="00617ECE" w:rsidP="00617ECE">
      <w:pPr>
        <w:rPr>
          <w:rFonts w:cs="Arial"/>
          <w:b/>
          <w:color w:val="FF0000"/>
          <w:lang w:eastAsia="ja-JP"/>
        </w:rPr>
      </w:pPr>
    </w:p>
    <w:p w14:paraId="0B37C212" w14:textId="509C8DF4" w:rsidR="00617ECE" w:rsidRDefault="00617ECE" w:rsidP="00440F7D">
      <w:pPr>
        <w:spacing w:after="120"/>
        <w:rPr>
          <w:rFonts w:cs="Arial"/>
          <w:snapToGrid w:val="0"/>
        </w:rPr>
      </w:pPr>
      <w:r w:rsidRPr="009A5185">
        <w:rPr>
          <w:rFonts w:cs="Arial"/>
          <w:b/>
          <w:color w:val="FF0000"/>
          <w:lang w:eastAsia="ja-JP"/>
        </w:rPr>
        <w:t>Important Note</w:t>
      </w:r>
      <w:r w:rsidR="002E5479">
        <w:rPr>
          <w:rFonts w:cs="Arial"/>
          <w:b/>
          <w:color w:val="FF0000"/>
          <w:lang w:eastAsia="ja-JP"/>
        </w:rPr>
        <w:t xml:space="preserve">: </w:t>
      </w:r>
      <w:r w:rsidRPr="009A5185">
        <w:rPr>
          <w:rFonts w:cs="Arial"/>
          <w:snapToGrid w:val="0"/>
        </w:rPr>
        <w:t xml:space="preserve">Hospitals that share a </w:t>
      </w:r>
      <w:r>
        <w:rPr>
          <w:rFonts w:cs="Arial"/>
          <w:snapToGrid w:val="0"/>
        </w:rPr>
        <w:t>CMS Certification Number</w:t>
      </w:r>
      <w:r w:rsidRPr="009A5185">
        <w:rPr>
          <w:rFonts w:cs="Arial"/>
          <w:snapToGrid w:val="0"/>
        </w:rPr>
        <w:t xml:space="preserve"> are required to report by facility. Please carefully review </w:t>
      </w:r>
      <w:hyperlink r:id="rId389" w:history="1">
        <w:r w:rsidRPr="009A5185">
          <w:rPr>
            <w:rStyle w:val="Hyperlink"/>
            <w:rFonts w:cs="Arial"/>
            <w:snapToGrid w:val="0"/>
          </w:rPr>
          <w:t>Leapfrog’s Multi-Campus Reporting Policy</w:t>
        </w:r>
      </w:hyperlink>
      <w:r w:rsidRPr="009A5185">
        <w:rPr>
          <w:rFonts w:cs="Arial"/>
          <w:snapToGrid w:val="0"/>
        </w:rPr>
        <w:t>.</w:t>
      </w:r>
    </w:p>
    <w:p w14:paraId="751CE0C3" w14:textId="77777777" w:rsidR="00617ECE" w:rsidRPr="007A60D4" w:rsidRDefault="00617ECE" w:rsidP="00617ECE">
      <w:pPr>
        <w:rPr>
          <w:rFonts w:cs="Arial"/>
          <w:snapToGrid w:val="0"/>
          <w:sz w:val="16"/>
          <w:szCs w:val="16"/>
        </w:rPr>
      </w:pPr>
    </w:p>
    <w:tbl>
      <w:tblPr>
        <w:tblW w:w="95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62"/>
      </w:tblGrid>
      <w:tr w:rsidR="00617ECE" w:rsidRPr="009A5185" w14:paraId="209F86EC" w14:textId="77777777" w:rsidTr="00D73F6A">
        <w:trPr>
          <w:trHeight w:val="360"/>
          <w:jc w:val="center"/>
        </w:trPr>
        <w:tc>
          <w:tcPr>
            <w:tcW w:w="9562" w:type="dxa"/>
            <w:vAlign w:val="center"/>
          </w:tcPr>
          <w:p w14:paraId="6FE789D4" w14:textId="77777777" w:rsidR="00617ECE" w:rsidRPr="009A5185" w:rsidRDefault="00617ECE" w:rsidP="00D73F6A">
            <w:pPr>
              <w:rPr>
                <w:rFonts w:cs="Arial"/>
                <w:b/>
                <w:snapToGrid w:val="0"/>
              </w:rPr>
            </w:pPr>
            <w:bookmarkStart w:id="542" w:name="_Hlk182565468"/>
            <w:r>
              <w:rPr>
                <w:rFonts w:cs="Arial"/>
                <w:b/>
                <w:snapToGrid w:val="0"/>
              </w:rPr>
              <w:t xml:space="preserve">Source: </w:t>
            </w:r>
            <w:r w:rsidRPr="002F0E9F">
              <w:rPr>
                <w:rFonts w:cs="Arial"/>
                <w:bCs/>
                <w:snapToGrid w:val="0"/>
              </w:rPr>
              <w:t>The Leapfrog Group</w:t>
            </w:r>
          </w:p>
        </w:tc>
      </w:tr>
      <w:tr w:rsidR="00617ECE" w:rsidRPr="009A5185" w14:paraId="79E8ADB6" w14:textId="77777777" w:rsidTr="00D73F6A">
        <w:trPr>
          <w:trHeight w:val="360"/>
          <w:jc w:val="center"/>
        </w:trPr>
        <w:tc>
          <w:tcPr>
            <w:tcW w:w="9562" w:type="dxa"/>
            <w:vAlign w:val="center"/>
          </w:tcPr>
          <w:p w14:paraId="2307DDC8" w14:textId="77777777" w:rsidR="00617ECE" w:rsidRPr="00BB3760" w:rsidRDefault="00617ECE" w:rsidP="00D73F6A">
            <w:pPr>
              <w:rPr>
                <w:rFonts w:cs="Arial"/>
                <w:bCs/>
                <w:snapToGrid w:val="0"/>
              </w:rPr>
            </w:pPr>
            <w:r w:rsidRPr="00BB3760">
              <w:rPr>
                <w:rFonts w:cs="Arial"/>
                <w:b/>
                <w:snapToGrid w:val="0"/>
              </w:rPr>
              <w:t>Reporting Period: 12 months</w:t>
            </w:r>
          </w:p>
          <w:p w14:paraId="7FD41785" w14:textId="77777777" w:rsidR="00617ECE" w:rsidRPr="00BB3760" w:rsidRDefault="00617ECE" w:rsidP="00AD309C">
            <w:pPr>
              <w:pStyle w:val="ListParagraph"/>
              <w:numPr>
                <w:ilvl w:val="0"/>
                <w:numId w:val="151"/>
              </w:numPr>
              <w:rPr>
                <w:rFonts w:cs="Arial"/>
                <w:bCs/>
              </w:rPr>
            </w:pPr>
            <w:r w:rsidRPr="00BB3760">
              <w:rPr>
                <w:rFonts w:cs="Arial"/>
                <w:bCs/>
              </w:rPr>
              <w:t>Survey submitted prior to September 1:</w:t>
            </w:r>
          </w:p>
          <w:p w14:paraId="06974FAB" w14:textId="0E895174" w:rsidR="00617ECE" w:rsidRPr="00BB3760" w:rsidRDefault="00617ECE" w:rsidP="00AD309C">
            <w:pPr>
              <w:pStyle w:val="ListParagraph"/>
              <w:numPr>
                <w:ilvl w:val="1"/>
                <w:numId w:val="151"/>
              </w:numPr>
              <w:rPr>
                <w:rFonts w:cs="Arial"/>
                <w:bCs/>
              </w:rPr>
            </w:pPr>
            <w:r w:rsidRPr="00BB3760">
              <w:rPr>
                <w:rFonts w:cs="Arial"/>
                <w:bCs/>
              </w:rPr>
              <w:t>01/01/202</w:t>
            </w:r>
            <w:r w:rsidR="007D696C">
              <w:rPr>
                <w:rFonts w:cs="Arial"/>
                <w:bCs/>
              </w:rPr>
              <w:t>5</w:t>
            </w:r>
            <w:r w:rsidRPr="00BB3760">
              <w:rPr>
                <w:rFonts w:cs="Arial"/>
                <w:bCs/>
              </w:rPr>
              <w:t xml:space="preserve"> – 12/31/202</w:t>
            </w:r>
            <w:r w:rsidR="007D696C">
              <w:rPr>
                <w:rFonts w:cs="Arial"/>
                <w:bCs/>
              </w:rPr>
              <w:t>5</w:t>
            </w:r>
          </w:p>
          <w:p w14:paraId="75D7FA75" w14:textId="77777777" w:rsidR="00617ECE" w:rsidRDefault="00617ECE" w:rsidP="00AD309C">
            <w:pPr>
              <w:pStyle w:val="ListParagraph"/>
              <w:numPr>
                <w:ilvl w:val="0"/>
                <w:numId w:val="151"/>
              </w:numPr>
              <w:rPr>
                <w:rFonts w:cs="Arial"/>
                <w:bCs/>
              </w:rPr>
            </w:pPr>
            <w:r w:rsidRPr="00BB3760">
              <w:rPr>
                <w:rFonts w:cs="Arial"/>
                <w:bCs/>
              </w:rPr>
              <w:t>Surveys submitted on or after September 1:</w:t>
            </w:r>
          </w:p>
          <w:p w14:paraId="79B04234" w14:textId="7C099C04" w:rsidR="00617ECE" w:rsidRPr="001F2388" w:rsidRDefault="00617ECE" w:rsidP="00AD309C">
            <w:pPr>
              <w:pStyle w:val="ListParagraph"/>
              <w:numPr>
                <w:ilvl w:val="1"/>
                <w:numId w:val="151"/>
              </w:numPr>
              <w:rPr>
                <w:rFonts w:cs="Arial"/>
                <w:bCs/>
              </w:rPr>
            </w:pPr>
            <w:r w:rsidRPr="007411DF">
              <w:rPr>
                <w:rFonts w:cs="Arial"/>
                <w:bCs/>
              </w:rPr>
              <w:t>07/01/202</w:t>
            </w:r>
            <w:r w:rsidR="007D696C">
              <w:rPr>
                <w:rFonts w:cs="Arial"/>
                <w:bCs/>
              </w:rPr>
              <w:t>5</w:t>
            </w:r>
            <w:r w:rsidRPr="007411DF">
              <w:rPr>
                <w:rFonts w:cs="Arial"/>
                <w:bCs/>
              </w:rPr>
              <w:t xml:space="preserve"> – 06/30/202</w:t>
            </w:r>
            <w:r w:rsidR="007D696C">
              <w:rPr>
                <w:rFonts w:cs="Arial"/>
                <w:bCs/>
              </w:rPr>
              <w:t>6</w:t>
            </w:r>
          </w:p>
        </w:tc>
      </w:tr>
      <w:tr w:rsidR="00E506B4" w:rsidRPr="009A5185" w14:paraId="103FC3A9" w14:textId="77777777" w:rsidTr="00D73F6A">
        <w:trPr>
          <w:trHeight w:val="360"/>
          <w:jc w:val="center"/>
        </w:trPr>
        <w:tc>
          <w:tcPr>
            <w:tcW w:w="9562" w:type="dxa"/>
            <w:vAlign w:val="center"/>
          </w:tcPr>
          <w:p w14:paraId="676AFE86" w14:textId="0A26061C" w:rsidR="00E506B4" w:rsidRDefault="001D39C7" w:rsidP="00D73F6A">
            <w:pPr>
              <w:rPr>
                <w:rFonts w:cs="Arial"/>
                <w:b/>
                <w:snapToGrid w:val="0"/>
              </w:rPr>
            </w:pPr>
            <w:r>
              <w:rPr>
                <w:rFonts w:cs="Arial"/>
                <w:b/>
                <w:snapToGrid w:val="0"/>
              </w:rPr>
              <w:t xml:space="preserve">Hospital Boarding in the ED </w:t>
            </w:r>
            <w:r w:rsidRPr="00D75A1C">
              <w:rPr>
                <w:rFonts w:cs="Arial"/>
                <w:b/>
                <w:snapToGrid w:val="0"/>
              </w:rPr>
              <w:t>Workbook (Excel)</w:t>
            </w:r>
            <w:r>
              <w:rPr>
                <w:rFonts w:cs="Arial"/>
                <w:b/>
                <w:snapToGrid w:val="0"/>
              </w:rPr>
              <w:t xml:space="preserve">: </w:t>
            </w:r>
          </w:p>
          <w:p w14:paraId="2F5064B6" w14:textId="77777777" w:rsidR="00732E39" w:rsidRDefault="00732E39" w:rsidP="00732E39">
            <w:pPr>
              <w:rPr>
                <w:rFonts w:cs="Arial"/>
                <w:bCs/>
                <w:snapToGrid w:val="0"/>
              </w:rPr>
            </w:pPr>
          </w:p>
          <w:p w14:paraId="0AB1E383" w14:textId="482C0397" w:rsidR="00C52D7A" w:rsidRDefault="00732E39" w:rsidP="00732E39">
            <w:pPr>
              <w:rPr>
                <w:rFonts w:cs="Arial"/>
                <w:bCs/>
                <w:snapToGrid w:val="0"/>
              </w:rPr>
            </w:pPr>
            <w:r w:rsidRPr="00732E39">
              <w:rPr>
                <w:rFonts w:cs="Arial"/>
                <w:bCs/>
                <w:snapToGrid w:val="0"/>
              </w:rPr>
              <w:t xml:space="preserve">To complete the data collection and respond to questions #4-5, hospitals should download the Hospital Boarding in the Emergency Department Workbook (Excel). This workbook includes five tabs: Instructions, Adult Inpatient Non-Psychiatric, Adult Psychiatric, Pediatric Inpatient Non-Psychiatric, Pediatric Psychiatric. </w:t>
            </w:r>
            <w:r w:rsidR="003E1E9B">
              <w:rPr>
                <w:rFonts w:cs="Arial"/>
                <w:bCs/>
                <w:snapToGrid w:val="0"/>
              </w:rPr>
              <w:t xml:space="preserve">The workbook can be used to calculate the </w:t>
            </w:r>
            <w:r w:rsidRPr="00732E39">
              <w:rPr>
                <w:rFonts w:cs="Arial"/>
                <w:bCs/>
                <w:snapToGrid w:val="0"/>
              </w:rPr>
              <w:t>responses to questions #4</w:t>
            </w:r>
            <w:r w:rsidR="00C52D7A">
              <w:rPr>
                <w:rFonts w:cs="Arial"/>
                <w:bCs/>
                <w:snapToGrid w:val="0"/>
              </w:rPr>
              <w:t xml:space="preserve"> and #5:</w:t>
            </w:r>
          </w:p>
          <w:p w14:paraId="44B6FCAD" w14:textId="77777777" w:rsidR="00E76094" w:rsidRPr="00E76094" w:rsidRDefault="00E76094" w:rsidP="00E76094">
            <w:pPr>
              <w:pStyle w:val="ListParagraph"/>
              <w:numPr>
                <w:ilvl w:val="0"/>
                <w:numId w:val="458"/>
              </w:numPr>
              <w:rPr>
                <w:rFonts w:cs="Arial"/>
                <w:bCs/>
                <w:snapToGrid w:val="0"/>
              </w:rPr>
            </w:pPr>
            <w:r w:rsidRPr="00E76094">
              <w:rPr>
                <w:rFonts w:cs="Arial"/>
                <w:bCs/>
                <w:snapToGrid w:val="0"/>
              </w:rPr>
              <w:t>(b) Number of ED visits indicated in column (a) with a boarding time greater than 4 hours</w:t>
            </w:r>
          </w:p>
          <w:p w14:paraId="3B085C81" w14:textId="77777777" w:rsidR="00E76094" w:rsidRPr="00E76094" w:rsidRDefault="00E76094" w:rsidP="00E76094">
            <w:pPr>
              <w:pStyle w:val="ListParagraph"/>
              <w:numPr>
                <w:ilvl w:val="0"/>
                <w:numId w:val="458"/>
              </w:numPr>
              <w:rPr>
                <w:rFonts w:cs="Arial"/>
                <w:bCs/>
                <w:snapToGrid w:val="0"/>
              </w:rPr>
            </w:pPr>
            <w:r w:rsidRPr="00E76094">
              <w:rPr>
                <w:rFonts w:cs="Arial"/>
                <w:bCs/>
                <w:snapToGrid w:val="0"/>
              </w:rPr>
              <w:t>(c) Total boarding time (in hours) for ED visits indicated in column (a)</w:t>
            </w:r>
          </w:p>
          <w:p w14:paraId="4AD18AAB" w14:textId="77777777" w:rsidR="00E76094" w:rsidRPr="00E76094" w:rsidRDefault="00E76094" w:rsidP="00E76094">
            <w:pPr>
              <w:pStyle w:val="ListParagraph"/>
              <w:numPr>
                <w:ilvl w:val="0"/>
                <w:numId w:val="458"/>
              </w:numPr>
              <w:rPr>
                <w:rFonts w:cs="Arial"/>
                <w:bCs/>
                <w:snapToGrid w:val="0"/>
              </w:rPr>
            </w:pPr>
            <w:r w:rsidRPr="00E76094">
              <w:rPr>
                <w:rFonts w:cs="Arial"/>
                <w:bCs/>
                <w:snapToGrid w:val="0"/>
              </w:rPr>
              <w:t>(d) Median number of hours spent in the ED for ED visits indicated in column (a)</w:t>
            </w:r>
          </w:p>
          <w:p w14:paraId="13AD8A15" w14:textId="1F4AFE2F" w:rsidR="00CF41B4" w:rsidRPr="00CF41B4" w:rsidRDefault="00E76094" w:rsidP="005A1909">
            <w:pPr>
              <w:pStyle w:val="ListParagraph"/>
              <w:numPr>
                <w:ilvl w:val="0"/>
                <w:numId w:val="458"/>
              </w:numPr>
              <w:rPr>
                <w:rFonts w:cs="Arial"/>
                <w:bCs/>
                <w:snapToGrid w:val="0"/>
              </w:rPr>
            </w:pPr>
            <w:r w:rsidRPr="00E76094">
              <w:rPr>
                <w:rFonts w:cs="Arial"/>
                <w:bCs/>
                <w:snapToGrid w:val="0"/>
              </w:rPr>
              <w:t>(e) 90th percentile of hours spent in the ED for ED visits indicated in column (a)</w:t>
            </w:r>
          </w:p>
          <w:p w14:paraId="260F1CDC" w14:textId="77777777" w:rsidR="00732E39" w:rsidRDefault="00732E39" w:rsidP="005A1909">
            <w:pPr>
              <w:pStyle w:val="ListParagraph"/>
              <w:rPr>
                <w:b/>
                <w:snapToGrid w:val="0"/>
              </w:rPr>
            </w:pPr>
          </w:p>
          <w:p w14:paraId="63E2D62F" w14:textId="0D4BD6EB" w:rsidR="00732E39" w:rsidRPr="00BB3760" w:rsidRDefault="00732E39" w:rsidP="00D73F6A">
            <w:pPr>
              <w:rPr>
                <w:rFonts w:cs="Arial"/>
                <w:b/>
                <w:snapToGrid w:val="0"/>
              </w:rPr>
            </w:pPr>
            <w:r>
              <w:t xml:space="preserve">The workbook is available on the </w:t>
            </w:r>
            <w:hyperlink r:id="rId390" w:history="1">
              <w:r w:rsidRPr="00AD5B49">
                <w:rPr>
                  <w:rStyle w:val="Hyperlink"/>
                </w:rPr>
                <w:t>Survey Materials Webpage</w:t>
              </w:r>
            </w:hyperlink>
            <w:r>
              <w:t xml:space="preserve">. </w:t>
            </w:r>
          </w:p>
        </w:tc>
      </w:tr>
      <w:tr w:rsidR="00617ECE" w:rsidRPr="009A5185" w14:paraId="0DC35FA5" w14:textId="77777777" w:rsidTr="00D73F6A">
        <w:trPr>
          <w:trHeight w:val="467"/>
          <w:jc w:val="center"/>
        </w:trPr>
        <w:tc>
          <w:tcPr>
            <w:tcW w:w="9562" w:type="dxa"/>
            <w:vAlign w:val="center"/>
          </w:tcPr>
          <w:p w14:paraId="6E5D23D0" w14:textId="77777777" w:rsidR="00617ECE" w:rsidRPr="008820E0" w:rsidRDefault="00617ECE" w:rsidP="00D73F6A">
            <w:pPr>
              <w:rPr>
                <w:rFonts w:cs="Arial"/>
                <w:bCs/>
              </w:rPr>
            </w:pPr>
            <w:r w:rsidRPr="008820E0">
              <w:rPr>
                <w:rFonts w:cs="Arial"/>
                <w:b/>
              </w:rPr>
              <w:t xml:space="preserve">Included Units: </w:t>
            </w:r>
          </w:p>
          <w:p w14:paraId="0633D6C8" w14:textId="508A6E5E" w:rsidR="00617ECE" w:rsidRPr="005C4D4C" w:rsidRDefault="00617ECE" w:rsidP="005C4D4C">
            <w:pPr>
              <w:pStyle w:val="ListParagraph"/>
              <w:numPr>
                <w:ilvl w:val="0"/>
                <w:numId w:val="458"/>
              </w:numPr>
              <w:rPr>
                <w:rFonts w:cs="Arial"/>
                <w:bCs/>
              </w:rPr>
            </w:pPr>
            <w:hyperlink w:anchor="emergencydepartment_endnote" w:history="1">
              <w:r w:rsidRPr="005C4D4C">
                <w:rPr>
                  <w:rStyle w:val="Hyperlink"/>
                  <w:rFonts w:cs="Arial"/>
                  <w:bCs/>
                </w:rPr>
                <w:t>Dedicated Emergency Department</w:t>
              </w:r>
            </w:hyperlink>
            <w:r w:rsidR="00763439" w:rsidRPr="005C4D4C">
              <w:rPr>
                <w:rFonts w:cs="Arial"/>
                <w:bCs/>
                <w:vertAlign w:val="superscript"/>
              </w:rPr>
              <w:t>4</w:t>
            </w:r>
            <w:r w:rsidR="00CD6F6B" w:rsidRPr="005C4D4C">
              <w:rPr>
                <w:rFonts w:cs="Arial"/>
                <w:bCs/>
                <w:vertAlign w:val="superscript"/>
              </w:rPr>
              <w:t>6</w:t>
            </w:r>
            <w:r w:rsidR="00FA48A3" w:rsidRPr="005C4D4C">
              <w:rPr>
                <w:rFonts w:cs="Arial"/>
                <w:bCs/>
                <w:vertAlign w:val="superscript"/>
              </w:rPr>
              <w:t xml:space="preserve"> </w:t>
            </w:r>
            <w:r w:rsidR="00FA48A3" w:rsidRPr="005C4D4C">
              <w:rPr>
                <w:rFonts w:cs="Arial"/>
                <w:bCs/>
              </w:rPr>
              <w:t>(adult, pediatric, and adult/pediatric)</w:t>
            </w:r>
          </w:p>
        </w:tc>
      </w:tr>
      <w:tr w:rsidR="000F1C53" w:rsidRPr="009A5185" w14:paraId="61A36BEC" w14:textId="77777777" w:rsidTr="00D73F6A">
        <w:trPr>
          <w:trHeight w:val="20"/>
          <w:jc w:val="center"/>
        </w:trPr>
        <w:tc>
          <w:tcPr>
            <w:tcW w:w="9562" w:type="dxa"/>
            <w:vAlign w:val="center"/>
          </w:tcPr>
          <w:p w14:paraId="337E6C70" w14:textId="7987C125" w:rsidR="000F1C53" w:rsidRPr="008820E0" w:rsidRDefault="000F1C53" w:rsidP="000F1C53">
            <w:pPr>
              <w:rPr>
                <w:rFonts w:cs="Arial"/>
              </w:rPr>
            </w:pPr>
            <w:r w:rsidRPr="008820E0">
              <w:rPr>
                <w:rFonts w:cs="Arial"/>
                <w:b/>
                <w:bCs/>
              </w:rPr>
              <w:t xml:space="preserve">Question #4, column </w:t>
            </w:r>
            <w:r w:rsidR="00083AAA" w:rsidRPr="008820E0">
              <w:rPr>
                <w:rFonts w:cs="Arial"/>
                <w:b/>
                <w:bCs/>
              </w:rPr>
              <w:t>a</w:t>
            </w:r>
            <w:r w:rsidRPr="008820E0">
              <w:rPr>
                <w:rFonts w:cs="Arial"/>
                <w:b/>
                <w:bCs/>
              </w:rPr>
              <w:t xml:space="preserve">: </w:t>
            </w:r>
            <w:r w:rsidRPr="008820E0">
              <w:rPr>
                <w:rFonts w:cs="Arial"/>
              </w:rPr>
              <w:t xml:space="preserve">Total number of ED </w:t>
            </w:r>
            <w:r w:rsidRPr="008820E0">
              <w:rPr>
                <w:rFonts w:cs="Arial"/>
                <w:b/>
                <w:bCs/>
                <w:u w:val="single"/>
              </w:rPr>
              <w:t>visits</w:t>
            </w:r>
            <w:r w:rsidRPr="008820E0">
              <w:rPr>
                <w:rFonts w:cs="Arial"/>
              </w:rPr>
              <w:t xml:space="preserve"> with an inpatient admission or </w:t>
            </w:r>
            <w:r w:rsidR="002D41F9" w:rsidRPr="008820E0">
              <w:rPr>
                <w:rFonts w:cs="Arial"/>
              </w:rPr>
              <w:t>where the patient was placed in</w:t>
            </w:r>
            <w:r w:rsidR="00CA2231" w:rsidRPr="008820E0">
              <w:rPr>
                <w:rFonts w:cs="Arial"/>
              </w:rPr>
              <w:t xml:space="preserve"> hospital</w:t>
            </w:r>
            <w:r w:rsidR="002D41F9" w:rsidRPr="008820E0">
              <w:rPr>
                <w:bCs/>
              </w:rPr>
              <w:t xml:space="preserve"> </w:t>
            </w:r>
            <w:r w:rsidRPr="008820E0">
              <w:rPr>
                <w:rFonts w:cs="Arial"/>
              </w:rPr>
              <w:t>observation status.</w:t>
            </w:r>
          </w:p>
          <w:p w14:paraId="1412CF78" w14:textId="77777777" w:rsidR="000F1C53" w:rsidRPr="008820E0" w:rsidRDefault="000F1C53" w:rsidP="000F1C53">
            <w:pPr>
              <w:rPr>
                <w:rFonts w:cs="Arial"/>
                <w:b/>
                <w:bCs/>
              </w:rPr>
            </w:pPr>
          </w:p>
          <w:p w14:paraId="30ADECB6" w14:textId="77777777" w:rsidR="000F1C53" w:rsidRDefault="000F1C53" w:rsidP="000F1C53">
            <w:pPr>
              <w:rPr>
                <w:rFonts w:cs="Arial"/>
                <w:bCs/>
              </w:rPr>
            </w:pPr>
            <w:r w:rsidRPr="008820E0">
              <w:rPr>
                <w:rFonts w:cs="Arial"/>
              </w:rPr>
              <w:t xml:space="preserve">Enter the total </w:t>
            </w:r>
            <w:r w:rsidRPr="008820E0">
              <w:rPr>
                <w:rFonts w:cs="Arial"/>
                <w:bCs/>
              </w:rPr>
              <w:t>number of emergency department (ED) visits during the reporting period for each of the following admission types:</w:t>
            </w:r>
          </w:p>
          <w:p w14:paraId="1B5ECBD9" w14:textId="4B5283E4" w:rsidR="000F1C53" w:rsidRPr="008820E0" w:rsidRDefault="00B42501" w:rsidP="000F1C53">
            <w:pPr>
              <w:ind w:left="720"/>
              <w:rPr>
                <w:b/>
                <w:bCs/>
              </w:rPr>
            </w:pPr>
            <w:r w:rsidRPr="007F2F8A">
              <w:t>P</w:t>
            </w:r>
            <w:r w:rsidR="000F1C53" w:rsidRPr="008820E0">
              <w:t xml:space="preserve">atients admitted to an </w:t>
            </w:r>
            <w:r w:rsidR="00F878B6">
              <w:t xml:space="preserve">adult </w:t>
            </w:r>
            <w:r w:rsidR="000F1C53" w:rsidRPr="008820E0">
              <w:t xml:space="preserve">inpatient </w:t>
            </w:r>
            <w:r w:rsidR="000F1C53" w:rsidRPr="008820E0">
              <w:rPr>
                <w:b/>
                <w:bCs/>
              </w:rPr>
              <w:t>non-psychiatric bed</w:t>
            </w:r>
          </w:p>
          <w:p w14:paraId="1EBF137C" w14:textId="4467732B" w:rsidR="000F1C53" w:rsidRPr="008820E0" w:rsidRDefault="00B42501" w:rsidP="000F1C53">
            <w:pPr>
              <w:ind w:left="720"/>
              <w:rPr>
                <w:b/>
                <w:bCs/>
              </w:rPr>
            </w:pPr>
            <w:r>
              <w:t>P</w:t>
            </w:r>
            <w:r w:rsidR="000F1C53" w:rsidRPr="008820E0">
              <w:t xml:space="preserve">atients admitted to an </w:t>
            </w:r>
            <w:r w:rsidR="00F878B6">
              <w:t xml:space="preserve">adult </w:t>
            </w:r>
            <w:r w:rsidR="000F1C53" w:rsidRPr="008820E0">
              <w:t xml:space="preserve">inpatient </w:t>
            </w:r>
            <w:r w:rsidR="000F1C53" w:rsidRPr="008820E0">
              <w:rPr>
                <w:b/>
                <w:bCs/>
              </w:rPr>
              <w:t>psychiatric bed</w:t>
            </w:r>
          </w:p>
          <w:p w14:paraId="235B32BF" w14:textId="77777777" w:rsidR="000F1C53" w:rsidRPr="008820E0" w:rsidRDefault="000F1C53" w:rsidP="000F1C53">
            <w:pPr>
              <w:rPr>
                <w:rFonts w:cs="Arial"/>
                <w:snapToGrid w:val="0"/>
                <w:sz w:val="16"/>
                <w:szCs w:val="16"/>
              </w:rPr>
            </w:pPr>
          </w:p>
          <w:p w14:paraId="7CB693CA" w14:textId="77777777" w:rsidR="000F1C53" w:rsidRPr="008820E0" w:rsidRDefault="000F1C53" w:rsidP="000F1C53">
            <w:pPr>
              <w:rPr>
                <w:rFonts w:cs="Arial"/>
                <w:snapToGrid w:val="0"/>
              </w:rPr>
            </w:pPr>
            <w:r w:rsidRPr="008820E0">
              <w:rPr>
                <w:rFonts w:cs="Arial"/>
                <w:b/>
                <w:snapToGrid w:val="0"/>
              </w:rPr>
              <w:t>Include:</w:t>
            </w:r>
          </w:p>
          <w:p w14:paraId="03509463" w14:textId="5A087EFB" w:rsidR="000F1C53" w:rsidRPr="001C4D9F" w:rsidRDefault="000F1C53" w:rsidP="00AD309C">
            <w:pPr>
              <w:pStyle w:val="ListParagraph"/>
              <w:numPr>
                <w:ilvl w:val="0"/>
                <w:numId w:val="85"/>
              </w:numPr>
              <w:rPr>
                <w:rFonts w:cs="Arial"/>
                <w:lang w:eastAsia="ja-JP"/>
              </w:rPr>
            </w:pPr>
            <w:r w:rsidRPr="008820E0">
              <w:rPr>
                <w:rFonts w:cs="Arial"/>
                <w:snapToGrid w:val="0"/>
              </w:rPr>
              <w:t xml:space="preserve">Patients with an ED visit that were admitted to the hospital’s inpatient setting or </w:t>
            </w:r>
            <w:r w:rsidR="00E96D79" w:rsidRPr="008820E0">
              <w:rPr>
                <w:rFonts w:cs="Arial"/>
                <w:snapToGrid w:val="0"/>
              </w:rPr>
              <w:t>placed in</w:t>
            </w:r>
            <w:r w:rsidRPr="008820E0">
              <w:rPr>
                <w:rFonts w:cs="Arial"/>
                <w:snapToGrid w:val="0"/>
              </w:rPr>
              <w:t xml:space="preserve"> hospital observation status.</w:t>
            </w:r>
          </w:p>
          <w:p w14:paraId="15DBA5CC" w14:textId="59CE1E40" w:rsidR="00A95B48" w:rsidRPr="001C4D9F" w:rsidRDefault="00E904E2" w:rsidP="00A95B48">
            <w:pPr>
              <w:pStyle w:val="ListParagraph"/>
              <w:numPr>
                <w:ilvl w:val="0"/>
                <w:numId w:val="85"/>
              </w:numPr>
              <w:rPr>
                <w:rFonts w:cs="Arial"/>
                <w:lang w:eastAsia="ja-JP"/>
              </w:rPr>
            </w:pPr>
            <w:r w:rsidRPr="00E904E2">
              <w:rPr>
                <w:rFonts w:cs="Arial"/>
                <w:snapToGrid w:val="0"/>
                <w:lang w:eastAsia="ja-JP"/>
              </w:rPr>
              <w:t xml:space="preserve">Patients with an ED visit that were admitted to the hospital’s </w:t>
            </w:r>
            <w:r w:rsidR="00A95B48" w:rsidRPr="00A95B48">
              <w:rPr>
                <w:rFonts w:cs="Arial"/>
                <w:snapToGrid w:val="0"/>
                <w:lang w:eastAsia="ja-JP"/>
              </w:rPr>
              <w:t xml:space="preserve">licensed detoxification beds should be included in this </w:t>
            </w:r>
            <w:r w:rsidR="0026086B">
              <w:rPr>
                <w:rFonts w:cs="Arial"/>
                <w:snapToGrid w:val="0"/>
                <w:lang w:eastAsia="ja-JP"/>
              </w:rPr>
              <w:t>question’</w:t>
            </w:r>
            <w:r w:rsidR="00A95B48" w:rsidRPr="00A95B48">
              <w:rPr>
                <w:rFonts w:cs="Arial"/>
                <w:snapToGrid w:val="0"/>
                <w:lang w:eastAsia="ja-JP"/>
              </w:rPr>
              <w:t xml:space="preserve">s </w:t>
            </w:r>
            <w:r w:rsidR="0038394E">
              <w:rPr>
                <w:rFonts w:cs="Arial"/>
                <w:snapToGrid w:val="0"/>
                <w:lang w:eastAsia="ja-JP"/>
              </w:rPr>
              <w:t xml:space="preserve">count of </w:t>
            </w:r>
            <w:r w:rsidR="001E4DDD">
              <w:rPr>
                <w:rFonts w:cs="Arial"/>
                <w:snapToGrid w:val="0"/>
                <w:lang w:eastAsia="ja-JP"/>
              </w:rPr>
              <w:t xml:space="preserve">patients admitted to inpatient </w:t>
            </w:r>
            <w:r w:rsidR="00A95B48" w:rsidRPr="00A95B48">
              <w:rPr>
                <w:rFonts w:cs="Arial"/>
                <w:snapToGrid w:val="0"/>
                <w:lang w:eastAsia="ja-JP"/>
              </w:rPr>
              <w:t>psychiatric beds</w:t>
            </w:r>
          </w:p>
          <w:p w14:paraId="5E3EB947" w14:textId="3D72C3A3" w:rsidR="00AC78AA" w:rsidRPr="00AC78AA" w:rsidRDefault="00AC78AA" w:rsidP="00AC78AA">
            <w:pPr>
              <w:pStyle w:val="ListParagraph"/>
              <w:numPr>
                <w:ilvl w:val="0"/>
                <w:numId w:val="85"/>
              </w:numPr>
              <w:rPr>
                <w:rFonts w:cs="Arial"/>
                <w:lang w:eastAsia="ja-JP"/>
              </w:rPr>
            </w:pPr>
            <w:r w:rsidRPr="00AC78AA">
              <w:rPr>
                <w:rFonts w:cs="Arial"/>
                <w:lang w:eastAsia="ja-JP"/>
              </w:rPr>
              <w:t>Patients with an ED visit that were admitted to a psychiatric unit located or co-located with the hospital, even if that unit operates under a separate CCN.</w:t>
            </w:r>
          </w:p>
          <w:p w14:paraId="455951F0" w14:textId="77777777" w:rsidR="000F1C53" w:rsidRPr="008820E0" w:rsidRDefault="000F1C53" w:rsidP="000F1C53">
            <w:pPr>
              <w:rPr>
                <w:rFonts w:cs="Arial"/>
                <w:lang w:eastAsia="ja-JP"/>
              </w:rPr>
            </w:pPr>
          </w:p>
          <w:p w14:paraId="0EA931F8" w14:textId="77777777" w:rsidR="000F1C53" w:rsidRPr="008820E0" w:rsidRDefault="000F1C53" w:rsidP="000F1C53">
            <w:pPr>
              <w:rPr>
                <w:rFonts w:cs="Arial"/>
                <w:b/>
                <w:bCs/>
                <w:lang w:eastAsia="ja-JP"/>
              </w:rPr>
            </w:pPr>
            <w:r w:rsidRPr="008820E0">
              <w:rPr>
                <w:rFonts w:cs="Arial"/>
                <w:b/>
                <w:bCs/>
                <w:lang w:eastAsia="ja-JP"/>
              </w:rPr>
              <w:t>Exclude:</w:t>
            </w:r>
          </w:p>
          <w:p w14:paraId="0BEEB00B" w14:textId="5728A411" w:rsidR="000F1C53" w:rsidRPr="008820E0" w:rsidRDefault="000F1C53" w:rsidP="00AD309C">
            <w:pPr>
              <w:pStyle w:val="ListParagraph"/>
              <w:numPr>
                <w:ilvl w:val="0"/>
                <w:numId w:val="85"/>
              </w:numPr>
              <w:rPr>
                <w:rFonts w:cs="Arial"/>
                <w:lang w:eastAsia="ja-JP"/>
              </w:rPr>
            </w:pPr>
            <w:r w:rsidRPr="008820E0">
              <w:rPr>
                <w:rFonts w:cs="Arial"/>
                <w:lang w:eastAsia="ja-JP"/>
              </w:rPr>
              <w:t xml:space="preserve">Patients with an ED visit that were </w:t>
            </w:r>
            <w:r w:rsidR="008A7A80" w:rsidRPr="008820E0">
              <w:rPr>
                <w:rFonts w:cs="Arial"/>
                <w:lang w:eastAsia="ja-JP"/>
              </w:rPr>
              <w:t>placed in</w:t>
            </w:r>
            <w:r w:rsidRPr="008820E0">
              <w:rPr>
                <w:rFonts w:cs="Arial"/>
                <w:lang w:eastAsia="ja-JP"/>
              </w:rPr>
              <w:t xml:space="preserve"> ED observation status.</w:t>
            </w:r>
          </w:p>
          <w:p w14:paraId="5EE44B45" w14:textId="04CE7A34" w:rsidR="000F1C53" w:rsidRPr="008820E0" w:rsidRDefault="00A536BD" w:rsidP="00A536BD">
            <w:pPr>
              <w:pStyle w:val="ListParagraph"/>
              <w:numPr>
                <w:ilvl w:val="0"/>
                <w:numId w:val="85"/>
              </w:numPr>
              <w:rPr>
                <w:rFonts w:cs="Arial"/>
                <w:lang w:eastAsia="ja-JP"/>
              </w:rPr>
            </w:pPr>
            <w:r w:rsidRPr="008820E0">
              <w:rPr>
                <w:rFonts w:cs="Arial"/>
                <w:lang w:eastAsia="ja-JP"/>
              </w:rPr>
              <w:t xml:space="preserve">Patients transferred to another hospital. </w:t>
            </w:r>
          </w:p>
          <w:p w14:paraId="372026F4" w14:textId="77777777" w:rsidR="00A536BD" w:rsidRPr="008820E0" w:rsidRDefault="00A536BD" w:rsidP="00A536BD">
            <w:pPr>
              <w:pStyle w:val="ListParagraph"/>
              <w:rPr>
                <w:rFonts w:cs="Arial"/>
                <w:lang w:eastAsia="ja-JP"/>
              </w:rPr>
            </w:pPr>
          </w:p>
          <w:p w14:paraId="77287586" w14:textId="6774D800" w:rsidR="000F1C53" w:rsidRPr="008820E0" w:rsidRDefault="000F1C53" w:rsidP="000F1C53">
            <w:pPr>
              <w:rPr>
                <w:rFonts w:cs="Arial"/>
              </w:rPr>
            </w:pPr>
            <w:r w:rsidRPr="008820E0">
              <w:rPr>
                <w:rFonts w:cs="Arial"/>
              </w:rPr>
              <w:t xml:space="preserve">Note: A patient can have multiple ED visits with a hospital admission </w:t>
            </w:r>
            <w:r w:rsidR="00EA1597" w:rsidRPr="008820E0">
              <w:rPr>
                <w:rFonts w:cs="Arial"/>
              </w:rPr>
              <w:t xml:space="preserve">and/or placed in hospital observation status </w:t>
            </w:r>
            <w:r w:rsidRPr="008820E0">
              <w:rPr>
                <w:rFonts w:cs="Arial"/>
              </w:rPr>
              <w:t xml:space="preserve">during the performance period so each patient ED visit with an inpatient admission </w:t>
            </w:r>
            <w:r w:rsidR="00F36236" w:rsidRPr="008820E0">
              <w:rPr>
                <w:rFonts w:cs="Arial"/>
              </w:rPr>
              <w:t>or</w:t>
            </w:r>
            <w:r w:rsidR="00E117B9" w:rsidRPr="008820E0">
              <w:rPr>
                <w:rFonts w:cs="Arial"/>
              </w:rPr>
              <w:t xml:space="preserve"> placement into hospital observation status is includ</w:t>
            </w:r>
            <w:r w:rsidRPr="008820E0">
              <w:rPr>
                <w:rFonts w:cs="Arial"/>
              </w:rPr>
              <w:t>ed in the denominator (question #4a).</w:t>
            </w:r>
          </w:p>
          <w:p w14:paraId="66317F40" w14:textId="77777777" w:rsidR="000F1C53" w:rsidRPr="008820E0" w:rsidRDefault="000F1C53" w:rsidP="000F1C53">
            <w:pPr>
              <w:rPr>
                <w:rFonts w:cs="Arial"/>
              </w:rPr>
            </w:pPr>
          </w:p>
          <w:p w14:paraId="0C4F84B9" w14:textId="6562E80A" w:rsidR="000F1C53" w:rsidRPr="008820E0" w:rsidRDefault="000F1C53" w:rsidP="000F1C53">
            <w:pPr>
              <w:rPr>
                <w:rFonts w:cs="Arial"/>
              </w:rPr>
            </w:pPr>
            <w:r w:rsidRPr="008820E0">
              <w:rPr>
                <w:rFonts w:cs="Arial"/>
                <w:b/>
                <w:bCs/>
                <w:i/>
                <w:iCs/>
              </w:rPr>
              <w:t xml:space="preserve">If the number of visits for an adult admission type is less than 10 (in column a), skip columns b, c, </w:t>
            </w:r>
            <w:r w:rsidR="00926F8B">
              <w:rPr>
                <w:rFonts w:cs="Arial"/>
                <w:b/>
                <w:bCs/>
                <w:i/>
                <w:iCs/>
              </w:rPr>
              <w:t xml:space="preserve">d, </w:t>
            </w:r>
            <w:r w:rsidRPr="008820E0">
              <w:rPr>
                <w:rFonts w:cs="Arial"/>
                <w:b/>
                <w:bCs/>
                <w:i/>
                <w:iCs/>
              </w:rPr>
              <w:t xml:space="preserve">and </w:t>
            </w:r>
            <w:r w:rsidR="00926F8B">
              <w:rPr>
                <w:rFonts w:cs="Arial"/>
                <w:b/>
                <w:bCs/>
                <w:i/>
                <w:iCs/>
              </w:rPr>
              <w:t>e</w:t>
            </w:r>
            <w:r w:rsidRPr="008820E0">
              <w:rPr>
                <w:rFonts w:cs="Arial"/>
                <w:b/>
                <w:bCs/>
                <w:i/>
                <w:iCs/>
              </w:rPr>
              <w:t xml:space="preserve"> and then move to the next admission type. </w:t>
            </w:r>
          </w:p>
        </w:tc>
      </w:tr>
      <w:tr w:rsidR="000F1C53" w:rsidRPr="009A5185" w14:paraId="20DC6F3B" w14:textId="77777777" w:rsidTr="006A35F6">
        <w:trPr>
          <w:trHeight w:val="1331"/>
          <w:jc w:val="center"/>
        </w:trPr>
        <w:tc>
          <w:tcPr>
            <w:tcW w:w="9562" w:type="dxa"/>
            <w:vAlign w:val="center"/>
          </w:tcPr>
          <w:p w14:paraId="3DC385AB" w14:textId="77777777" w:rsidR="000F1C53" w:rsidRPr="008820E0" w:rsidRDefault="000F1C53" w:rsidP="000F1C53">
            <w:pPr>
              <w:rPr>
                <w:rFonts w:cs="Arial"/>
              </w:rPr>
            </w:pPr>
            <w:r w:rsidRPr="008820E0">
              <w:rPr>
                <w:rFonts w:cs="Arial"/>
                <w:b/>
                <w:bCs/>
              </w:rPr>
              <w:t xml:space="preserve">Question #4, column b: </w:t>
            </w:r>
            <w:r w:rsidRPr="008820E0">
              <w:rPr>
                <w:rFonts w:cs="Arial"/>
              </w:rPr>
              <w:t xml:space="preserve">Number of ED </w:t>
            </w:r>
            <w:r w:rsidRPr="008820E0">
              <w:rPr>
                <w:rFonts w:cs="Arial"/>
                <w:b/>
                <w:bCs/>
                <w:u w:val="single"/>
              </w:rPr>
              <w:t>visits</w:t>
            </w:r>
            <w:r w:rsidRPr="008820E0">
              <w:rPr>
                <w:rFonts w:cs="Arial"/>
              </w:rPr>
              <w:t xml:space="preserve"> indicated in column (a) with a boarding time greater than 4 hours.</w:t>
            </w:r>
          </w:p>
          <w:p w14:paraId="10EBD8FA" w14:textId="77777777" w:rsidR="000F1C53" w:rsidRPr="008820E0" w:rsidRDefault="000F1C53" w:rsidP="000F1C53">
            <w:pPr>
              <w:rPr>
                <w:rFonts w:cs="Arial"/>
                <w:snapToGrid w:val="0"/>
              </w:rPr>
            </w:pPr>
          </w:p>
          <w:p w14:paraId="32EA39DF" w14:textId="32451832" w:rsidR="001633C9" w:rsidRPr="008820E0" w:rsidRDefault="000F1C53" w:rsidP="000F1C53">
            <w:pPr>
              <w:rPr>
                <w:rFonts w:cs="Arial"/>
                <w:bCs/>
              </w:rPr>
            </w:pPr>
            <w:r w:rsidRPr="008820E0">
              <w:rPr>
                <w:rFonts w:cs="Arial"/>
                <w:bCs/>
              </w:rPr>
              <w:t xml:space="preserve">Enter the total number of emergency department (ED) </w:t>
            </w:r>
            <w:r w:rsidRPr="008820E0">
              <w:rPr>
                <w:rFonts w:cs="Arial"/>
                <w:b/>
                <w:u w:val="single"/>
              </w:rPr>
              <w:t>visits</w:t>
            </w:r>
            <w:r w:rsidRPr="008820E0">
              <w:rPr>
                <w:rFonts w:cs="Arial"/>
                <w:bCs/>
              </w:rPr>
              <w:t xml:space="preserve"> indicated in column (a) with a boarding time greater than 4 hours for each of the following admission types:</w:t>
            </w:r>
          </w:p>
          <w:p w14:paraId="7CC7DF93" w14:textId="208E463D" w:rsidR="000F1C53" w:rsidRPr="008820E0" w:rsidRDefault="009573FA" w:rsidP="000F1C53">
            <w:pPr>
              <w:ind w:left="720"/>
              <w:rPr>
                <w:b/>
                <w:bCs/>
              </w:rPr>
            </w:pPr>
            <w:r>
              <w:t>P</w:t>
            </w:r>
            <w:r w:rsidR="000F1C53" w:rsidRPr="008820E0">
              <w:t xml:space="preserve">atients admitted to an </w:t>
            </w:r>
            <w:r w:rsidR="000C2CAF">
              <w:t xml:space="preserve">adult </w:t>
            </w:r>
            <w:r w:rsidR="000F1C53" w:rsidRPr="008820E0">
              <w:t xml:space="preserve">inpatient </w:t>
            </w:r>
            <w:r w:rsidR="000F1C53" w:rsidRPr="008820E0">
              <w:rPr>
                <w:b/>
                <w:bCs/>
              </w:rPr>
              <w:t>non-psychiatric bed</w:t>
            </w:r>
          </w:p>
          <w:p w14:paraId="1AD8F853" w14:textId="116C7C34" w:rsidR="000F1C53" w:rsidRPr="008820E0" w:rsidRDefault="009573FA" w:rsidP="000F1C53">
            <w:pPr>
              <w:ind w:left="720"/>
              <w:rPr>
                <w:b/>
                <w:bCs/>
              </w:rPr>
            </w:pPr>
            <w:r>
              <w:t>P</w:t>
            </w:r>
            <w:r w:rsidR="000F1C53" w:rsidRPr="008820E0">
              <w:t xml:space="preserve">atients admitted to an </w:t>
            </w:r>
            <w:r w:rsidR="000C2CAF">
              <w:t xml:space="preserve">adult </w:t>
            </w:r>
            <w:r w:rsidR="000F1C53" w:rsidRPr="008820E0">
              <w:t xml:space="preserve">inpatient </w:t>
            </w:r>
            <w:r w:rsidR="000F1C53" w:rsidRPr="008820E0">
              <w:rPr>
                <w:b/>
                <w:bCs/>
              </w:rPr>
              <w:t>psychiatric bed</w:t>
            </w:r>
          </w:p>
          <w:p w14:paraId="10BB4D9D" w14:textId="77777777" w:rsidR="000F1C53" w:rsidRPr="008820E0" w:rsidRDefault="000F1C53" w:rsidP="000F1C53">
            <w:pPr>
              <w:rPr>
                <w:rFonts w:cs="Arial"/>
                <w:snapToGrid w:val="0"/>
              </w:rPr>
            </w:pPr>
          </w:p>
          <w:p w14:paraId="7C9D421E" w14:textId="1AD96213" w:rsidR="000F1C53" w:rsidRPr="008820E0" w:rsidRDefault="000F1C53" w:rsidP="000F1C53">
            <w:pPr>
              <w:rPr>
                <w:rFonts w:cs="Arial"/>
                <w:b/>
                <w:snapToGrid w:val="0"/>
              </w:rPr>
            </w:pPr>
            <w:r w:rsidRPr="008820E0">
              <w:rPr>
                <w:rFonts w:cs="Arial"/>
                <w:b/>
                <w:snapToGrid w:val="0"/>
              </w:rPr>
              <w:t>Include:</w:t>
            </w:r>
          </w:p>
          <w:p w14:paraId="37FE810B" w14:textId="7E2B3464" w:rsidR="000F1C53" w:rsidRPr="008820E0" w:rsidRDefault="000F1C53" w:rsidP="00AD309C">
            <w:pPr>
              <w:pStyle w:val="ListParagraph"/>
              <w:numPr>
                <w:ilvl w:val="0"/>
                <w:numId w:val="87"/>
              </w:numPr>
              <w:rPr>
                <w:rFonts w:cs="Arial"/>
                <w:lang w:eastAsia="ja-JP"/>
              </w:rPr>
            </w:pPr>
            <w:r w:rsidRPr="008820E0">
              <w:rPr>
                <w:rFonts w:cs="Arial"/>
                <w:lang w:eastAsia="ja-JP"/>
              </w:rPr>
              <w:t xml:space="preserve">Patients with an ED visit that </w:t>
            </w:r>
            <w:r w:rsidR="00FD4099" w:rsidRPr="008820E0">
              <w:rPr>
                <w:rFonts w:cs="Arial"/>
                <w:lang w:eastAsia="ja-JP"/>
              </w:rPr>
              <w:t xml:space="preserve">were </w:t>
            </w:r>
            <w:r w:rsidRPr="008820E0">
              <w:rPr>
                <w:rFonts w:cs="Arial"/>
                <w:lang w:eastAsia="ja-JP"/>
              </w:rPr>
              <w:t xml:space="preserve">admitted to the hospital’s inpatient setting or </w:t>
            </w:r>
            <w:r w:rsidR="00FD4099" w:rsidRPr="008820E0">
              <w:rPr>
                <w:rFonts w:cs="Arial"/>
                <w:lang w:eastAsia="ja-JP"/>
              </w:rPr>
              <w:t>placed in</w:t>
            </w:r>
            <w:r w:rsidRPr="008820E0">
              <w:rPr>
                <w:rFonts w:cs="Arial"/>
                <w:lang w:eastAsia="ja-JP"/>
              </w:rPr>
              <w:t xml:space="preserve"> hospital observation status with an ED boarding time that was longer than 4 hours.</w:t>
            </w:r>
          </w:p>
          <w:p w14:paraId="39A95E7C" w14:textId="77777777" w:rsidR="000F1C53" w:rsidRPr="008820E0" w:rsidRDefault="000F1C53" w:rsidP="000F1C53">
            <w:pPr>
              <w:rPr>
                <w:rFonts w:cs="Arial"/>
                <w:lang w:eastAsia="ja-JP"/>
              </w:rPr>
            </w:pPr>
          </w:p>
          <w:p w14:paraId="40694081" w14:textId="61BF7173" w:rsidR="000F1C53" w:rsidRPr="008820E0" w:rsidRDefault="000F1C53" w:rsidP="000F1C53">
            <w:pPr>
              <w:rPr>
                <w:rFonts w:cs="Arial"/>
              </w:rPr>
            </w:pPr>
            <w:r w:rsidRPr="008820E0">
              <w:rPr>
                <w:rFonts w:cs="Arial"/>
                <w:b/>
                <w:bCs/>
                <w:lang w:eastAsia="ja-JP"/>
              </w:rPr>
              <w:t>Boarding time</w:t>
            </w:r>
            <w:r w:rsidRPr="008820E0">
              <w:rPr>
                <w:rFonts w:cs="Arial"/>
                <w:lang w:eastAsia="ja-JP"/>
              </w:rPr>
              <w:t xml:space="preserve"> is defined as the </w:t>
            </w:r>
            <w:r w:rsidR="00177D1B">
              <w:rPr>
                <w:rFonts w:cs="Arial"/>
                <w:lang w:eastAsia="ja-JP"/>
              </w:rPr>
              <w:t xml:space="preserve">time </w:t>
            </w:r>
            <w:r w:rsidR="001A6885">
              <w:rPr>
                <w:rFonts w:cs="Arial"/>
                <w:lang w:eastAsia="ja-JP"/>
              </w:rPr>
              <w:t xml:space="preserve">from </w:t>
            </w:r>
            <w:r w:rsidRPr="008820E0">
              <w:rPr>
                <w:rFonts w:cs="Arial"/>
                <w:lang w:eastAsia="ja-JP"/>
              </w:rPr>
              <w:t xml:space="preserve">the </w:t>
            </w:r>
            <w:r w:rsidR="001A6885">
              <w:rPr>
                <w:rFonts w:cs="Arial"/>
                <w:lang w:eastAsia="ja-JP"/>
              </w:rPr>
              <w:t xml:space="preserve">decision to admit (e.g., </w:t>
            </w:r>
            <w:r w:rsidRPr="008820E0">
              <w:rPr>
                <w:rFonts w:cs="Arial"/>
                <w:lang w:eastAsia="ja-JP"/>
              </w:rPr>
              <w:t>admission order</w:t>
            </w:r>
            <w:r w:rsidR="001A6885">
              <w:rPr>
                <w:rFonts w:cs="Arial"/>
                <w:lang w:eastAsia="ja-JP"/>
              </w:rPr>
              <w:t>)</w:t>
            </w:r>
            <w:r w:rsidRPr="008820E0">
              <w:rPr>
                <w:rFonts w:cs="Arial"/>
                <w:lang w:eastAsia="ja-JP"/>
              </w:rPr>
              <w:t xml:space="preserve"> to </w:t>
            </w:r>
            <w:r w:rsidR="001A6885">
              <w:rPr>
                <w:rFonts w:cs="Arial"/>
                <w:lang w:eastAsia="ja-JP"/>
              </w:rPr>
              <w:t xml:space="preserve">the patient’s </w:t>
            </w:r>
            <w:r w:rsidR="009937BD">
              <w:rPr>
                <w:rFonts w:cs="Arial"/>
                <w:lang w:eastAsia="ja-JP"/>
              </w:rPr>
              <w:t>final</w:t>
            </w:r>
            <w:r w:rsidR="00773C15">
              <w:rPr>
                <w:rFonts w:cs="Arial"/>
                <w:lang w:eastAsia="ja-JP"/>
              </w:rPr>
              <w:t xml:space="preserve"> </w:t>
            </w:r>
            <w:r w:rsidRPr="008820E0">
              <w:rPr>
                <w:rFonts w:cs="Arial"/>
                <w:lang w:eastAsia="ja-JP"/>
              </w:rPr>
              <w:t>departure from the ED</w:t>
            </w:r>
            <w:r w:rsidR="006A35F6" w:rsidRPr="008820E0">
              <w:rPr>
                <w:rFonts w:cs="Arial"/>
                <w:lang w:eastAsia="ja-JP"/>
              </w:rPr>
              <w:t>.”</w:t>
            </w:r>
            <w:r w:rsidRPr="008820E0">
              <w:rPr>
                <w:rFonts w:cs="Arial"/>
                <w:lang w:eastAsia="ja-JP"/>
              </w:rPr>
              <w:t xml:space="preserve"> </w:t>
            </w:r>
          </w:p>
        </w:tc>
      </w:tr>
      <w:tr w:rsidR="008613B1" w:rsidRPr="009A5185" w14:paraId="05607B0F" w14:textId="77777777" w:rsidTr="006A35F6">
        <w:trPr>
          <w:trHeight w:val="1331"/>
          <w:jc w:val="center"/>
        </w:trPr>
        <w:tc>
          <w:tcPr>
            <w:tcW w:w="9562" w:type="dxa"/>
            <w:vAlign w:val="center"/>
          </w:tcPr>
          <w:p w14:paraId="04B2FF88" w14:textId="41C29177" w:rsidR="002F2F1C" w:rsidRPr="004F7C13" w:rsidRDefault="002F2F1C" w:rsidP="002F2F1C">
            <w:pPr>
              <w:rPr>
                <w:rFonts w:cs="Arial"/>
              </w:rPr>
            </w:pPr>
            <w:r w:rsidRPr="004F7C13">
              <w:rPr>
                <w:rFonts w:cs="Arial"/>
                <w:b/>
                <w:bCs/>
              </w:rPr>
              <w:t xml:space="preserve">Question #4, column c: </w:t>
            </w:r>
            <w:r w:rsidRPr="004F7C13">
              <w:rPr>
                <w:rFonts w:cs="Arial"/>
                <w:bCs/>
              </w:rPr>
              <w:t xml:space="preserve">Total </w:t>
            </w:r>
            <w:r w:rsidR="00B57F28">
              <w:rPr>
                <w:rFonts w:cs="Arial"/>
                <w:bCs/>
              </w:rPr>
              <w:t>b</w:t>
            </w:r>
            <w:r w:rsidRPr="004F7C13">
              <w:rPr>
                <w:rFonts w:cs="Arial"/>
                <w:bCs/>
              </w:rPr>
              <w:t xml:space="preserve">oarding </w:t>
            </w:r>
            <w:r w:rsidR="00B57F28">
              <w:rPr>
                <w:rFonts w:cs="Arial"/>
                <w:bCs/>
              </w:rPr>
              <w:t>t</w:t>
            </w:r>
            <w:r w:rsidRPr="004F7C13">
              <w:rPr>
                <w:rFonts w:cs="Arial"/>
                <w:bCs/>
              </w:rPr>
              <w:t>ime</w:t>
            </w:r>
            <w:r w:rsidR="00B96D63">
              <w:rPr>
                <w:rFonts w:cs="Arial"/>
                <w:bCs/>
              </w:rPr>
              <w:t xml:space="preserve"> (</w:t>
            </w:r>
            <w:r w:rsidR="00223654">
              <w:rPr>
                <w:rFonts w:cs="Arial"/>
                <w:bCs/>
              </w:rPr>
              <w:t xml:space="preserve">in </w:t>
            </w:r>
            <w:r w:rsidR="00B96D63">
              <w:rPr>
                <w:rFonts w:cs="Arial"/>
                <w:bCs/>
              </w:rPr>
              <w:t>hours)</w:t>
            </w:r>
            <w:r w:rsidRPr="004F7C13">
              <w:rPr>
                <w:rFonts w:cs="Arial"/>
                <w:bCs/>
              </w:rPr>
              <w:t xml:space="preserve"> </w:t>
            </w:r>
            <w:r w:rsidR="00DC3778">
              <w:rPr>
                <w:rFonts w:cs="Arial"/>
                <w:bCs/>
              </w:rPr>
              <w:t>for ED visits indicated in column (a)</w:t>
            </w:r>
            <w:r w:rsidR="00926F21">
              <w:rPr>
                <w:rFonts w:cs="Arial"/>
                <w:bCs/>
              </w:rPr>
              <w:t>.</w:t>
            </w:r>
          </w:p>
          <w:p w14:paraId="6201A599" w14:textId="77777777" w:rsidR="002F2F1C" w:rsidRPr="004F7C13" w:rsidRDefault="002F2F1C" w:rsidP="002F2F1C">
            <w:pPr>
              <w:rPr>
                <w:rFonts w:cs="Arial"/>
                <w:snapToGrid w:val="0"/>
              </w:rPr>
            </w:pPr>
          </w:p>
          <w:p w14:paraId="743ACA53" w14:textId="41DE5066" w:rsidR="002F2F1C" w:rsidRPr="004F7C13" w:rsidRDefault="00674274" w:rsidP="002F2F1C">
            <w:pPr>
              <w:rPr>
                <w:rFonts w:cs="Arial"/>
                <w:bCs/>
              </w:rPr>
            </w:pPr>
            <w:r>
              <w:rPr>
                <w:rFonts w:cs="Arial"/>
                <w:bCs/>
              </w:rPr>
              <w:t>Enter</w:t>
            </w:r>
            <w:r w:rsidR="004C4CC5">
              <w:rPr>
                <w:rFonts w:cs="Arial"/>
                <w:bCs/>
              </w:rPr>
              <w:t xml:space="preserve"> the</w:t>
            </w:r>
            <w:r>
              <w:rPr>
                <w:rFonts w:cs="Arial"/>
                <w:bCs/>
              </w:rPr>
              <w:t xml:space="preserve"> t</w:t>
            </w:r>
            <w:r w:rsidR="00F34636" w:rsidRPr="00F34636">
              <w:rPr>
                <w:rFonts w:cs="Arial"/>
                <w:bCs/>
              </w:rPr>
              <w:t xml:space="preserve">otal </w:t>
            </w:r>
            <w:r w:rsidR="00223654">
              <w:rPr>
                <w:rFonts w:cs="Arial"/>
                <w:bCs/>
              </w:rPr>
              <w:t>boarding time</w:t>
            </w:r>
            <w:r w:rsidR="00F34636" w:rsidRPr="00F34636">
              <w:rPr>
                <w:rFonts w:cs="Arial"/>
                <w:bCs/>
              </w:rPr>
              <w:t xml:space="preserve"> </w:t>
            </w:r>
            <w:r w:rsidR="00223654">
              <w:rPr>
                <w:rFonts w:cs="Arial"/>
                <w:bCs/>
              </w:rPr>
              <w:t xml:space="preserve">(in </w:t>
            </w:r>
            <w:r w:rsidR="00F34636" w:rsidRPr="00F34636">
              <w:rPr>
                <w:rFonts w:cs="Arial"/>
                <w:bCs/>
              </w:rPr>
              <w:t>hours</w:t>
            </w:r>
            <w:r w:rsidR="00223654">
              <w:rPr>
                <w:rFonts w:cs="Arial"/>
                <w:bCs/>
              </w:rPr>
              <w:t>)</w:t>
            </w:r>
            <w:r w:rsidR="00F34636" w:rsidRPr="00F34636">
              <w:rPr>
                <w:rFonts w:cs="Arial"/>
                <w:bCs/>
              </w:rPr>
              <w:t xml:space="preserve"> for ED</w:t>
            </w:r>
            <w:r w:rsidR="007C41D4">
              <w:rPr>
                <w:rFonts w:cs="Arial"/>
                <w:bCs/>
              </w:rPr>
              <w:t xml:space="preserve"> </w:t>
            </w:r>
            <w:r w:rsidR="002F2F1C" w:rsidRPr="004F7C13">
              <w:rPr>
                <w:rFonts w:cs="Arial"/>
                <w:bCs/>
              </w:rPr>
              <w:t>visits indicated in column (a) for each of the following admission types:</w:t>
            </w:r>
          </w:p>
          <w:p w14:paraId="0E70DA00" w14:textId="75B2E6DD" w:rsidR="002F2F1C" w:rsidRPr="004F7C13" w:rsidRDefault="00A60AFF" w:rsidP="002F2F1C">
            <w:pPr>
              <w:ind w:left="720"/>
              <w:rPr>
                <w:b/>
                <w:bCs/>
              </w:rPr>
            </w:pPr>
            <w:r w:rsidRPr="005A1909">
              <w:t>P</w:t>
            </w:r>
            <w:r w:rsidR="002F2F1C" w:rsidRPr="004F7C13">
              <w:t xml:space="preserve">atients admitted to an </w:t>
            </w:r>
            <w:r w:rsidR="00E05B0F">
              <w:t xml:space="preserve">adult </w:t>
            </w:r>
            <w:r w:rsidR="002F2F1C" w:rsidRPr="004F7C13">
              <w:t xml:space="preserve">inpatient </w:t>
            </w:r>
            <w:r w:rsidR="002F2F1C" w:rsidRPr="004F7C13">
              <w:rPr>
                <w:b/>
                <w:bCs/>
              </w:rPr>
              <w:t>non-psychiatric bed</w:t>
            </w:r>
          </w:p>
          <w:p w14:paraId="1A67F19E" w14:textId="0AEB0999" w:rsidR="002F2F1C" w:rsidRPr="004F7C13" w:rsidRDefault="00A60AFF" w:rsidP="002F2F1C">
            <w:pPr>
              <w:ind w:left="720"/>
              <w:rPr>
                <w:b/>
                <w:bCs/>
              </w:rPr>
            </w:pPr>
            <w:r>
              <w:t>P</w:t>
            </w:r>
            <w:r w:rsidR="002F2F1C" w:rsidRPr="004F7C13">
              <w:t xml:space="preserve">atients admitted to an </w:t>
            </w:r>
            <w:r w:rsidR="00E05B0F">
              <w:t xml:space="preserve">adult </w:t>
            </w:r>
            <w:r w:rsidR="002F2F1C" w:rsidRPr="004F7C13">
              <w:t xml:space="preserve">inpatient </w:t>
            </w:r>
            <w:r w:rsidR="002F2F1C" w:rsidRPr="004F7C13">
              <w:rPr>
                <w:b/>
                <w:bCs/>
              </w:rPr>
              <w:t>psychiatric bed</w:t>
            </w:r>
          </w:p>
          <w:p w14:paraId="20ACF60B" w14:textId="77777777" w:rsidR="002F2F1C" w:rsidRPr="004F7C13" w:rsidRDefault="002F2F1C" w:rsidP="002F2F1C">
            <w:pPr>
              <w:rPr>
                <w:rFonts w:cs="Arial"/>
                <w:snapToGrid w:val="0"/>
              </w:rPr>
            </w:pPr>
          </w:p>
          <w:p w14:paraId="2667CDF4" w14:textId="77777777" w:rsidR="002F2F1C" w:rsidRPr="004F7C13" w:rsidRDefault="002F2F1C" w:rsidP="002F2F1C">
            <w:pPr>
              <w:rPr>
                <w:rFonts w:cs="Arial"/>
                <w:b/>
                <w:snapToGrid w:val="0"/>
              </w:rPr>
            </w:pPr>
            <w:r w:rsidRPr="004F7C13">
              <w:rPr>
                <w:rFonts w:cs="Arial"/>
                <w:b/>
                <w:snapToGrid w:val="0"/>
              </w:rPr>
              <w:t>Include:</w:t>
            </w:r>
          </w:p>
          <w:p w14:paraId="7754C7D4" w14:textId="2424FFCC" w:rsidR="002F2F1C" w:rsidRPr="004F7C13" w:rsidRDefault="00141E0A" w:rsidP="002F2F1C">
            <w:pPr>
              <w:pStyle w:val="ListParagraph"/>
              <w:numPr>
                <w:ilvl w:val="0"/>
                <w:numId w:val="87"/>
              </w:numPr>
              <w:rPr>
                <w:rFonts w:cs="Arial"/>
                <w:lang w:eastAsia="ja-JP"/>
              </w:rPr>
            </w:pPr>
            <w:r>
              <w:rPr>
                <w:rFonts w:cs="Arial"/>
                <w:lang w:eastAsia="ja-JP"/>
              </w:rPr>
              <w:t xml:space="preserve">Total number of </w:t>
            </w:r>
            <w:r w:rsidR="00970E45">
              <w:rPr>
                <w:rFonts w:cs="Arial"/>
                <w:lang w:eastAsia="ja-JP"/>
              </w:rPr>
              <w:t>h</w:t>
            </w:r>
            <w:r w:rsidR="002F2F1C" w:rsidRPr="004F7C13">
              <w:rPr>
                <w:rFonts w:cs="Arial"/>
                <w:lang w:eastAsia="ja-JP"/>
              </w:rPr>
              <w:t>ours spent in the ED for patients with an ED visit that were admitted to the hospital’s inpatient setting or placed in hospital observation status.</w:t>
            </w:r>
          </w:p>
          <w:p w14:paraId="0A830715" w14:textId="77777777" w:rsidR="002F2F1C" w:rsidRPr="004F7C13" w:rsidRDefault="002F2F1C" w:rsidP="002F2F1C">
            <w:pPr>
              <w:pStyle w:val="ListParagraph"/>
              <w:rPr>
                <w:rFonts w:cs="Arial"/>
                <w:lang w:eastAsia="ja-JP"/>
              </w:rPr>
            </w:pPr>
          </w:p>
          <w:p w14:paraId="7D140DC0" w14:textId="47B528F0" w:rsidR="008613B1" w:rsidRPr="008820E0" w:rsidRDefault="00141E0A" w:rsidP="002F2F1C">
            <w:pPr>
              <w:rPr>
                <w:rFonts w:cs="Arial"/>
                <w:b/>
                <w:bCs/>
              </w:rPr>
            </w:pPr>
            <w:r w:rsidRPr="008820E0">
              <w:rPr>
                <w:rFonts w:cs="Arial"/>
                <w:b/>
                <w:bCs/>
                <w:lang w:eastAsia="ja-JP"/>
              </w:rPr>
              <w:t>Boarding time</w:t>
            </w:r>
            <w:r w:rsidRPr="008820E0">
              <w:rPr>
                <w:rFonts w:cs="Arial"/>
                <w:lang w:eastAsia="ja-JP"/>
              </w:rPr>
              <w:t xml:space="preserve"> is defined as the</w:t>
            </w:r>
            <w:r>
              <w:rPr>
                <w:rFonts w:cs="Arial"/>
                <w:lang w:eastAsia="ja-JP"/>
              </w:rPr>
              <w:t xml:space="preserve"> time from</w:t>
            </w:r>
            <w:r w:rsidRPr="008820E0">
              <w:rPr>
                <w:rFonts w:cs="Arial"/>
                <w:lang w:eastAsia="ja-JP"/>
              </w:rPr>
              <w:t xml:space="preserve"> the </w:t>
            </w:r>
            <w:r>
              <w:rPr>
                <w:rFonts w:cs="Arial"/>
                <w:lang w:eastAsia="ja-JP"/>
              </w:rPr>
              <w:t xml:space="preserve">decision to admit (e.g., </w:t>
            </w:r>
            <w:r w:rsidRPr="008820E0">
              <w:rPr>
                <w:rFonts w:cs="Arial"/>
                <w:lang w:eastAsia="ja-JP"/>
              </w:rPr>
              <w:t>admission order</w:t>
            </w:r>
            <w:r>
              <w:rPr>
                <w:rFonts w:cs="Arial"/>
                <w:lang w:eastAsia="ja-JP"/>
              </w:rPr>
              <w:t>)</w:t>
            </w:r>
            <w:r w:rsidRPr="008820E0">
              <w:rPr>
                <w:rFonts w:cs="Arial"/>
                <w:lang w:eastAsia="ja-JP"/>
              </w:rPr>
              <w:t xml:space="preserve"> to </w:t>
            </w:r>
            <w:r>
              <w:rPr>
                <w:rFonts w:cs="Arial"/>
                <w:lang w:eastAsia="ja-JP"/>
              </w:rPr>
              <w:t xml:space="preserve">the </w:t>
            </w:r>
            <w:r w:rsidRPr="008820E0">
              <w:rPr>
                <w:rFonts w:cs="Arial"/>
                <w:lang w:eastAsia="ja-JP"/>
              </w:rPr>
              <w:t>patient</w:t>
            </w:r>
            <w:r>
              <w:rPr>
                <w:rFonts w:cs="Arial"/>
                <w:lang w:eastAsia="ja-JP"/>
              </w:rPr>
              <w:t>’s final</w:t>
            </w:r>
            <w:r w:rsidRPr="008820E0">
              <w:rPr>
                <w:rFonts w:cs="Arial"/>
                <w:lang w:eastAsia="ja-JP"/>
              </w:rPr>
              <w:t xml:space="preserve"> departure from the ED.</w:t>
            </w:r>
          </w:p>
        </w:tc>
      </w:tr>
      <w:tr w:rsidR="000F1C53" w:rsidRPr="009A5185" w14:paraId="23F83BCC" w14:textId="77777777" w:rsidTr="00450934">
        <w:trPr>
          <w:trHeight w:val="1511"/>
          <w:jc w:val="center"/>
        </w:trPr>
        <w:tc>
          <w:tcPr>
            <w:tcW w:w="9562" w:type="dxa"/>
            <w:vAlign w:val="center"/>
          </w:tcPr>
          <w:p w14:paraId="1BF4203E" w14:textId="295176A6" w:rsidR="000F1C53" w:rsidRPr="008820E0" w:rsidRDefault="000F1C53" w:rsidP="000F1C53">
            <w:pPr>
              <w:rPr>
                <w:rFonts w:cs="Arial"/>
              </w:rPr>
            </w:pPr>
            <w:r w:rsidRPr="008820E0">
              <w:rPr>
                <w:rFonts w:cs="Arial"/>
                <w:b/>
                <w:bCs/>
              </w:rPr>
              <w:t xml:space="preserve">Question #4, column </w:t>
            </w:r>
            <w:r w:rsidR="00185B12">
              <w:rPr>
                <w:rFonts w:cs="Arial"/>
                <w:b/>
                <w:bCs/>
              </w:rPr>
              <w:t>d</w:t>
            </w:r>
            <w:r w:rsidRPr="008820E0">
              <w:rPr>
                <w:rFonts w:cs="Arial"/>
                <w:b/>
                <w:bCs/>
              </w:rPr>
              <w:t xml:space="preserve">: </w:t>
            </w:r>
            <w:r w:rsidRPr="008820E0">
              <w:rPr>
                <w:rFonts w:cs="Arial"/>
              </w:rPr>
              <w:t xml:space="preserve">Median number of </w:t>
            </w:r>
            <w:r w:rsidRPr="008820E0">
              <w:rPr>
                <w:rFonts w:cs="Arial"/>
                <w:b/>
                <w:bCs/>
                <w:u w:val="single"/>
              </w:rPr>
              <w:t>hours</w:t>
            </w:r>
            <w:r w:rsidRPr="008820E0">
              <w:rPr>
                <w:rFonts w:cs="Arial"/>
              </w:rPr>
              <w:t xml:space="preserve"> spent in the ED for ED visits indicated in column (a).</w:t>
            </w:r>
          </w:p>
          <w:p w14:paraId="7F85B586" w14:textId="77777777" w:rsidR="000F1C53" w:rsidRPr="008820E0" w:rsidRDefault="000F1C53" w:rsidP="000F1C53">
            <w:pPr>
              <w:rPr>
                <w:rFonts w:cs="Arial"/>
                <w:snapToGrid w:val="0"/>
              </w:rPr>
            </w:pPr>
          </w:p>
          <w:p w14:paraId="4791CF10" w14:textId="77777777" w:rsidR="000F1C53" w:rsidRPr="008820E0" w:rsidRDefault="000F1C53" w:rsidP="000F1C53">
            <w:pPr>
              <w:rPr>
                <w:rFonts w:cs="Arial"/>
                <w:bCs/>
              </w:rPr>
            </w:pPr>
            <w:r w:rsidRPr="008820E0">
              <w:rPr>
                <w:rFonts w:cs="Arial"/>
                <w:bCs/>
              </w:rPr>
              <w:t>Enter the median number of hours spent in the ED for ED visits indicated in column (a) for each of the following admission types:</w:t>
            </w:r>
          </w:p>
          <w:p w14:paraId="3FC17C8B" w14:textId="30AA52C9" w:rsidR="000F1C53" w:rsidRPr="008820E0" w:rsidRDefault="008702C1" w:rsidP="000F1C53">
            <w:pPr>
              <w:ind w:left="720"/>
              <w:rPr>
                <w:b/>
                <w:bCs/>
              </w:rPr>
            </w:pPr>
            <w:r w:rsidRPr="007F2F8A">
              <w:t>P</w:t>
            </w:r>
            <w:r w:rsidR="000F1C53" w:rsidRPr="008820E0">
              <w:t xml:space="preserve">atients admitted to an </w:t>
            </w:r>
            <w:r w:rsidR="00D742BA">
              <w:t xml:space="preserve">adult </w:t>
            </w:r>
            <w:r w:rsidR="000F1C53" w:rsidRPr="008820E0">
              <w:t xml:space="preserve">inpatient </w:t>
            </w:r>
            <w:r w:rsidR="000F1C53" w:rsidRPr="008820E0">
              <w:rPr>
                <w:b/>
                <w:bCs/>
              </w:rPr>
              <w:t>non-psychiatric bed</w:t>
            </w:r>
          </w:p>
          <w:p w14:paraId="7CD3B144" w14:textId="21F499D4" w:rsidR="000F1C53" w:rsidRPr="008820E0" w:rsidRDefault="008702C1" w:rsidP="000F1C53">
            <w:pPr>
              <w:ind w:left="720"/>
              <w:rPr>
                <w:b/>
                <w:bCs/>
              </w:rPr>
            </w:pPr>
            <w:r w:rsidRPr="007F2F8A">
              <w:t>P</w:t>
            </w:r>
            <w:r w:rsidR="000F1C53" w:rsidRPr="008820E0">
              <w:t xml:space="preserve">atients admitted to an </w:t>
            </w:r>
            <w:r w:rsidR="00D742BA">
              <w:t xml:space="preserve">adult </w:t>
            </w:r>
            <w:r w:rsidR="000F1C53" w:rsidRPr="008820E0">
              <w:t xml:space="preserve">inpatient </w:t>
            </w:r>
            <w:r w:rsidR="000F1C53" w:rsidRPr="008820E0">
              <w:rPr>
                <w:b/>
                <w:bCs/>
              </w:rPr>
              <w:t>psychiatric bed</w:t>
            </w:r>
          </w:p>
          <w:p w14:paraId="60447690" w14:textId="77777777" w:rsidR="000F1C53" w:rsidRPr="008820E0" w:rsidRDefault="000F1C53" w:rsidP="000F1C53">
            <w:pPr>
              <w:rPr>
                <w:rFonts w:cs="Arial"/>
                <w:snapToGrid w:val="0"/>
              </w:rPr>
            </w:pPr>
          </w:p>
          <w:p w14:paraId="3D854BB4" w14:textId="77777777" w:rsidR="000F1C53" w:rsidRPr="008820E0" w:rsidRDefault="000F1C53" w:rsidP="000F1C53">
            <w:pPr>
              <w:rPr>
                <w:rFonts w:cs="Arial"/>
                <w:b/>
                <w:snapToGrid w:val="0"/>
              </w:rPr>
            </w:pPr>
            <w:r w:rsidRPr="008820E0">
              <w:rPr>
                <w:rFonts w:cs="Arial"/>
                <w:b/>
                <w:snapToGrid w:val="0"/>
              </w:rPr>
              <w:t>Include:</w:t>
            </w:r>
          </w:p>
          <w:p w14:paraId="3DB6069E" w14:textId="022CEAF3" w:rsidR="000F1C53" w:rsidRPr="008820E0" w:rsidRDefault="000F1C53" w:rsidP="00AD309C">
            <w:pPr>
              <w:pStyle w:val="ListParagraph"/>
              <w:numPr>
                <w:ilvl w:val="0"/>
                <w:numId w:val="87"/>
              </w:numPr>
              <w:rPr>
                <w:rFonts w:cs="Arial"/>
                <w:lang w:eastAsia="ja-JP"/>
              </w:rPr>
            </w:pPr>
            <w:r w:rsidRPr="008820E0">
              <w:rPr>
                <w:rFonts w:cs="Arial"/>
                <w:lang w:eastAsia="ja-JP"/>
              </w:rPr>
              <w:t xml:space="preserve">Hours spent in the ED for patients with an ED visit that </w:t>
            </w:r>
            <w:r w:rsidR="00584A4F" w:rsidRPr="008820E0">
              <w:rPr>
                <w:rFonts w:cs="Arial"/>
                <w:lang w:eastAsia="ja-JP"/>
              </w:rPr>
              <w:t>were</w:t>
            </w:r>
            <w:r w:rsidRPr="008820E0">
              <w:rPr>
                <w:rFonts w:cs="Arial"/>
                <w:lang w:eastAsia="ja-JP"/>
              </w:rPr>
              <w:t xml:space="preserve"> admitted to the hospital’s inpatient setting or </w:t>
            </w:r>
            <w:r w:rsidR="007946BF" w:rsidRPr="008820E0">
              <w:rPr>
                <w:rFonts w:cs="Arial"/>
                <w:lang w:eastAsia="ja-JP"/>
              </w:rPr>
              <w:t xml:space="preserve">placed in </w:t>
            </w:r>
            <w:r w:rsidRPr="008820E0">
              <w:rPr>
                <w:rFonts w:cs="Arial"/>
                <w:lang w:eastAsia="ja-JP"/>
              </w:rPr>
              <w:t>hospital observation status.</w:t>
            </w:r>
          </w:p>
          <w:p w14:paraId="0B28A728" w14:textId="77777777" w:rsidR="000F1C53" w:rsidRPr="008820E0" w:rsidRDefault="000F1C53" w:rsidP="000F1C53">
            <w:pPr>
              <w:pStyle w:val="ListParagraph"/>
              <w:rPr>
                <w:rFonts w:cs="Arial"/>
                <w:lang w:eastAsia="ja-JP"/>
              </w:rPr>
            </w:pPr>
          </w:p>
          <w:p w14:paraId="4E1C04FD" w14:textId="54AEFD2A" w:rsidR="000F1C53" w:rsidRPr="008820E0" w:rsidRDefault="000F1C53" w:rsidP="000F1C53">
            <w:pPr>
              <w:rPr>
                <w:rFonts w:cs="Arial"/>
              </w:rPr>
            </w:pPr>
            <w:r w:rsidRPr="008820E0">
              <w:rPr>
                <w:rFonts w:cs="Arial"/>
                <w:b/>
                <w:bCs/>
                <w:lang w:eastAsia="ja-JP"/>
              </w:rPr>
              <w:t>Hours spent in the ED</w:t>
            </w:r>
            <w:r w:rsidRPr="008820E0">
              <w:rPr>
                <w:rFonts w:cs="Arial"/>
                <w:lang w:eastAsia="ja-JP"/>
              </w:rPr>
              <w:t xml:space="preserve"> is defined as the difference between the “patient arrival time at the ED” to “</w:t>
            </w:r>
            <w:r w:rsidR="00926F21">
              <w:rPr>
                <w:rFonts w:cs="Arial"/>
                <w:lang w:eastAsia="ja-JP"/>
              </w:rPr>
              <w:t xml:space="preserve">final </w:t>
            </w:r>
            <w:r w:rsidRPr="008820E0">
              <w:rPr>
                <w:rFonts w:cs="Arial"/>
                <w:lang w:eastAsia="ja-JP"/>
              </w:rPr>
              <w:t xml:space="preserve">patient departure from the </w:t>
            </w:r>
            <w:r w:rsidR="007946BF" w:rsidRPr="008820E0">
              <w:rPr>
                <w:rFonts w:cs="Arial"/>
                <w:lang w:eastAsia="ja-JP"/>
              </w:rPr>
              <w:t>ED.</w:t>
            </w:r>
            <w:r w:rsidR="0086493B" w:rsidRPr="008820E0">
              <w:rPr>
                <w:rFonts w:cs="Arial"/>
                <w:lang w:eastAsia="ja-JP"/>
              </w:rPr>
              <w:t>”</w:t>
            </w:r>
          </w:p>
        </w:tc>
      </w:tr>
      <w:tr w:rsidR="000F1C53" w:rsidRPr="009A5185" w14:paraId="6E9CFA33" w14:textId="77777777" w:rsidTr="00D73F6A">
        <w:trPr>
          <w:trHeight w:val="1970"/>
          <w:jc w:val="center"/>
        </w:trPr>
        <w:tc>
          <w:tcPr>
            <w:tcW w:w="9562" w:type="dxa"/>
            <w:vAlign w:val="center"/>
          </w:tcPr>
          <w:p w14:paraId="2CCC87AC" w14:textId="78EF709B" w:rsidR="000F1C53" w:rsidRPr="008820E0" w:rsidRDefault="000F1C53" w:rsidP="000F1C53">
            <w:pPr>
              <w:rPr>
                <w:rFonts w:cs="Arial"/>
              </w:rPr>
            </w:pPr>
            <w:r w:rsidRPr="008820E0">
              <w:rPr>
                <w:rFonts w:cs="Arial"/>
                <w:b/>
                <w:bCs/>
              </w:rPr>
              <w:t xml:space="preserve">Question #4, column </w:t>
            </w:r>
            <w:r w:rsidR="00185B12">
              <w:rPr>
                <w:rFonts w:cs="Arial"/>
                <w:b/>
                <w:bCs/>
              </w:rPr>
              <w:t>e</w:t>
            </w:r>
            <w:r w:rsidRPr="008820E0">
              <w:rPr>
                <w:rFonts w:cs="Arial"/>
                <w:b/>
                <w:bCs/>
              </w:rPr>
              <w:t xml:space="preserve">: </w:t>
            </w:r>
            <w:r w:rsidRPr="008820E0">
              <w:rPr>
                <w:rFonts w:cs="Arial"/>
              </w:rPr>
              <w:t>90</w:t>
            </w:r>
            <w:r w:rsidRPr="008820E0">
              <w:rPr>
                <w:rFonts w:cs="Arial"/>
                <w:vertAlign w:val="superscript"/>
              </w:rPr>
              <w:t>th</w:t>
            </w:r>
            <w:r w:rsidRPr="008820E0">
              <w:rPr>
                <w:rFonts w:cs="Arial"/>
              </w:rPr>
              <w:t xml:space="preserve"> percentile of </w:t>
            </w:r>
            <w:r w:rsidRPr="008820E0">
              <w:rPr>
                <w:rFonts w:cs="Arial"/>
                <w:b/>
                <w:bCs/>
                <w:u w:val="single"/>
              </w:rPr>
              <w:t>hours</w:t>
            </w:r>
            <w:r w:rsidRPr="008820E0">
              <w:rPr>
                <w:rFonts w:cs="Arial"/>
              </w:rPr>
              <w:t xml:space="preserve"> spent in the ED for ED visits indicated in column (a).</w:t>
            </w:r>
          </w:p>
          <w:p w14:paraId="3D7DA721" w14:textId="77777777" w:rsidR="000F1C53" w:rsidRPr="008820E0" w:rsidRDefault="000F1C53" w:rsidP="000F1C53">
            <w:pPr>
              <w:rPr>
                <w:rFonts w:cs="Arial"/>
                <w:snapToGrid w:val="0"/>
              </w:rPr>
            </w:pPr>
          </w:p>
          <w:p w14:paraId="18816812" w14:textId="77777777" w:rsidR="000F1C53" w:rsidRPr="008820E0" w:rsidRDefault="000F1C53" w:rsidP="000F1C53">
            <w:pPr>
              <w:rPr>
                <w:rFonts w:cs="Arial"/>
                <w:bCs/>
              </w:rPr>
            </w:pPr>
            <w:r w:rsidRPr="008820E0">
              <w:rPr>
                <w:rFonts w:cs="Arial"/>
                <w:bCs/>
              </w:rPr>
              <w:t>Enter the 90</w:t>
            </w:r>
            <w:r w:rsidRPr="008820E0">
              <w:rPr>
                <w:rFonts w:cs="Arial"/>
                <w:bCs/>
                <w:vertAlign w:val="superscript"/>
              </w:rPr>
              <w:t>th</w:t>
            </w:r>
            <w:r w:rsidRPr="008820E0">
              <w:rPr>
                <w:rFonts w:cs="Arial"/>
                <w:bCs/>
              </w:rPr>
              <w:t xml:space="preserve"> percentile of hours spent in the ED for ED visits indicated in column (a) for each of the following admission types:</w:t>
            </w:r>
          </w:p>
          <w:p w14:paraId="37822E2A" w14:textId="04A0B090" w:rsidR="000F1C53" w:rsidRPr="008820E0" w:rsidRDefault="00070E63" w:rsidP="000F1C53">
            <w:pPr>
              <w:ind w:left="720"/>
              <w:rPr>
                <w:b/>
                <w:bCs/>
              </w:rPr>
            </w:pPr>
            <w:r w:rsidRPr="007F2F8A">
              <w:t>P</w:t>
            </w:r>
            <w:r w:rsidR="000F1C53" w:rsidRPr="008820E0">
              <w:t xml:space="preserve">atients admitted to an </w:t>
            </w:r>
            <w:r w:rsidR="00537FB6">
              <w:t xml:space="preserve">adult </w:t>
            </w:r>
            <w:r w:rsidR="000F1C53" w:rsidRPr="008820E0">
              <w:t xml:space="preserve">inpatient </w:t>
            </w:r>
            <w:r w:rsidR="000F1C53" w:rsidRPr="008820E0">
              <w:rPr>
                <w:b/>
                <w:bCs/>
              </w:rPr>
              <w:t>non-psychiatric bed</w:t>
            </w:r>
          </w:p>
          <w:p w14:paraId="1831E0DE" w14:textId="3F995049" w:rsidR="000F1C53" w:rsidRPr="008820E0" w:rsidRDefault="00070E63" w:rsidP="000F1C53">
            <w:pPr>
              <w:ind w:left="720"/>
              <w:rPr>
                <w:b/>
                <w:bCs/>
              </w:rPr>
            </w:pPr>
            <w:r w:rsidRPr="007F2F8A">
              <w:t>P</w:t>
            </w:r>
            <w:r w:rsidR="000F1C53" w:rsidRPr="008820E0">
              <w:t xml:space="preserve">atients admitted to an </w:t>
            </w:r>
            <w:r w:rsidR="00537FB6">
              <w:t xml:space="preserve">adult </w:t>
            </w:r>
            <w:r w:rsidR="000F1C53" w:rsidRPr="008820E0">
              <w:t xml:space="preserve">inpatient </w:t>
            </w:r>
            <w:r w:rsidR="000F1C53" w:rsidRPr="008820E0">
              <w:rPr>
                <w:b/>
                <w:bCs/>
              </w:rPr>
              <w:t>psychiatric bed</w:t>
            </w:r>
          </w:p>
          <w:p w14:paraId="6B57FD93" w14:textId="77777777" w:rsidR="00E07178" w:rsidRDefault="00E07178" w:rsidP="000F1C53">
            <w:bookmarkStart w:id="543" w:name="_Hlk213843622"/>
          </w:p>
          <w:p w14:paraId="4C8C75CC" w14:textId="327C664A" w:rsidR="000F1C53" w:rsidRDefault="00E07178" w:rsidP="000F1C53">
            <w:r w:rsidRPr="004F7C13">
              <w:t xml:space="preserve">The </w:t>
            </w:r>
            <w:r w:rsidRPr="004F7C13">
              <w:rPr>
                <w:b/>
                <w:bCs/>
              </w:rPr>
              <w:t>90th percentile</w:t>
            </w:r>
            <w:r w:rsidRPr="004F7C13">
              <w:t xml:space="preserve"> </w:t>
            </w:r>
            <w:bookmarkEnd w:id="543"/>
            <w:r w:rsidR="007C1FBB" w:rsidRPr="007C1FBB">
              <w:t>represents the amount of time in which 90% of the patients fall below that value. For example, if your hospital’s 90th percentile of hours spent in the ED is 36.5 hours, it means that 90% of your ED patients who were admitted to the hospital were in the ED for 36.5 hours or less.</w:t>
            </w:r>
          </w:p>
          <w:p w14:paraId="18FDEEDF" w14:textId="77777777" w:rsidR="00E07178" w:rsidRPr="008820E0" w:rsidRDefault="00E07178" w:rsidP="000F1C53">
            <w:pPr>
              <w:rPr>
                <w:rFonts w:cs="Arial"/>
                <w:snapToGrid w:val="0"/>
              </w:rPr>
            </w:pPr>
          </w:p>
          <w:p w14:paraId="438FE215" w14:textId="77777777" w:rsidR="000F1C53" w:rsidRPr="008820E0" w:rsidRDefault="000F1C53" w:rsidP="000F1C53">
            <w:pPr>
              <w:rPr>
                <w:rFonts w:cs="Arial"/>
                <w:b/>
                <w:snapToGrid w:val="0"/>
              </w:rPr>
            </w:pPr>
            <w:r w:rsidRPr="008820E0">
              <w:rPr>
                <w:rFonts w:cs="Arial"/>
                <w:b/>
                <w:snapToGrid w:val="0"/>
              </w:rPr>
              <w:t>Include:</w:t>
            </w:r>
          </w:p>
          <w:p w14:paraId="01E12AB5" w14:textId="17E19683" w:rsidR="000F1C53" w:rsidRPr="008820E0" w:rsidRDefault="000F1C53" w:rsidP="00AD309C">
            <w:pPr>
              <w:pStyle w:val="ListParagraph"/>
              <w:numPr>
                <w:ilvl w:val="0"/>
                <w:numId w:val="87"/>
              </w:numPr>
              <w:rPr>
                <w:rFonts w:cs="Arial"/>
                <w:lang w:eastAsia="ja-JP"/>
              </w:rPr>
            </w:pPr>
            <w:r w:rsidRPr="008820E0">
              <w:rPr>
                <w:rFonts w:cs="Arial"/>
                <w:lang w:eastAsia="ja-JP"/>
              </w:rPr>
              <w:t xml:space="preserve">Hours spent in the ED for patients with an ED visit that </w:t>
            </w:r>
            <w:r w:rsidR="00AA4B2E" w:rsidRPr="008820E0">
              <w:rPr>
                <w:rFonts w:cs="Arial"/>
                <w:lang w:eastAsia="ja-JP"/>
              </w:rPr>
              <w:t>were</w:t>
            </w:r>
            <w:r w:rsidRPr="008820E0">
              <w:rPr>
                <w:rFonts w:cs="Arial"/>
                <w:lang w:eastAsia="ja-JP"/>
              </w:rPr>
              <w:t xml:space="preserve"> admitted to the hospital’s inpatient setting or </w:t>
            </w:r>
            <w:r w:rsidR="0070675C" w:rsidRPr="008820E0">
              <w:rPr>
                <w:rFonts w:cs="Arial"/>
                <w:lang w:eastAsia="ja-JP"/>
              </w:rPr>
              <w:t>placed in</w:t>
            </w:r>
            <w:r w:rsidRPr="008820E0">
              <w:rPr>
                <w:rFonts w:cs="Arial"/>
                <w:lang w:eastAsia="ja-JP"/>
              </w:rPr>
              <w:t xml:space="preserve"> hospital observation status.</w:t>
            </w:r>
          </w:p>
          <w:p w14:paraId="36300486" w14:textId="77777777" w:rsidR="000F1C53" w:rsidRPr="008820E0" w:rsidRDefault="000F1C53" w:rsidP="000F1C53">
            <w:pPr>
              <w:pStyle w:val="ListParagraph"/>
              <w:rPr>
                <w:rFonts w:cs="Arial"/>
                <w:lang w:eastAsia="ja-JP"/>
              </w:rPr>
            </w:pPr>
          </w:p>
          <w:p w14:paraId="7AE642C8" w14:textId="525DF4A3" w:rsidR="000F1C53" w:rsidRPr="008820E0" w:rsidRDefault="000F1C53" w:rsidP="000F1C53">
            <w:pPr>
              <w:rPr>
                <w:rFonts w:cs="Arial"/>
                <w:b/>
                <w:bCs/>
              </w:rPr>
            </w:pPr>
            <w:r w:rsidRPr="008820E0">
              <w:rPr>
                <w:rFonts w:cs="Arial"/>
                <w:b/>
                <w:bCs/>
                <w:lang w:eastAsia="ja-JP"/>
              </w:rPr>
              <w:t>Hours spent in the ED</w:t>
            </w:r>
            <w:r w:rsidRPr="008820E0">
              <w:rPr>
                <w:rFonts w:cs="Arial"/>
                <w:lang w:eastAsia="ja-JP"/>
              </w:rPr>
              <w:t xml:space="preserve"> is defined as the difference between the “patient arrival time at the ED” to “</w:t>
            </w:r>
            <w:r w:rsidR="00926F21">
              <w:rPr>
                <w:rFonts w:cs="Arial"/>
                <w:lang w:eastAsia="ja-JP"/>
              </w:rPr>
              <w:t xml:space="preserve">final </w:t>
            </w:r>
            <w:r w:rsidRPr="008820E0">
              <w:rPr>
                <w:rFonts w:cs="Arial"/>
                <w:lang w:eastAsia="ja-JP"/>
              </w:rPr>
              <w:t>patient departure from the ED</w:t>
            </w:r>
            <w:r w:rsidR="00484456" w:rsidRPr="008820E0">
              <w:rPr>
                <w:rFonts w:cs="Arial"/>
                <w:lang w:eastAsia="ja-JP"/>
              </w:rPr>
              <w:t>.</w:t>
            </w:r>
            <w:r w:rsidR="0086493B" w:rsidRPr="008820E0">
              <w:rPr>
                <w:rFonts w:cs="Arial"/>
                <w:lang w:eastAsia="ja-JP"/>
              </w:rPr>
              <w:t>”</w:t>
            </w:r>
          </w:p>
        </w:tc>
      </w:tr>
      <w:tr w:rsidR="00C11556" w:rsidRPr="009A5185" w14:paraId="69FB9E44" w14:textId="77777777" w:rsidTr="00D73F6A">
        <w:trPr>
          <w:trHeight w:val="1970"/>
          <w:jc w:val="center"/>
        </w:trPr>
        <w:tc>
          <w:tcPr>
            <w:tcW w:w="9562" w:type="dxa"/>
            <w:vAlign w:val="center"/>
          </w:tcPr>
          <w:p w14:paraId="4D14EAF9" w14:textId="02645270" w:rsidR="00C11556" w:rsidRPr="008820E0" w:rsidRDefault="00C11556" w:rsidP="00C11556">
            <w:pPr>
              <w:rPr>
                <w:rFonts w:cs="Arial"/>
              </w:rPr>
            </w:pPr>
            <w:r w:rsidRPr="008820E0">
              <w:rPr>
                <w:rFonts w:cs="Arial"/>
                <w:b/>
                <w:bCs/>
              </w:rPr>
              <w:t xml:space="preserve">Question #5, column </w:t>
            </w:r>
            <w:r w:rsidR="00083AAA" w:rsidRPr="008820E0">
              <w:rPr>
                <w:rFonts w:cs="Arial"/>
                <w:b/>
                <w:bCs/>
              </w:rPr>
              <w:t>a</w:t>
            </w:r>
            <w:r w:rsidRPr="008820E0">
              <w:rPr>
                <w:rFonts w:cs="Arial"/>
                <w:b/>
                <w:bCs/>
              </w:rPr>
              <w:t xml:space="preserve">: </w:t>
            </w:r>
            <w:r w:rsidRPr="008820E0">
              <w:rPr>
                <w:rFonts w:cs="Arial"/>
              </w:rPr>
              <w:t xml:space="preserve">Total number of ED </w:t>
            </w:r>
            <w:r w:rsidRPr="008820E0">
              <w:rPr>
                <w:rFonts w:cs="Arial"/>
                <w:b/>
                <w:bCs/>
                <w:u w:val="single"/>
              </w:rPr>
              <w:t>visits</w:t>
            </w:r>
            <w:r w:rsidRPr="008820E0">
              <w:rPr>
                <w:rFonts w:cs="Arial"/>
              </w:rPr>
              <w:t xml:space="preserve"> with an inpatient admission or </w:t>
            </w:r>
            <w:r w:rsidR="0086493B" w:rsidRPr="008820E0">
              <w:rPr>
                <w:rFonts w:cs="Arial"/>
              </w:rPr>
              <w:t xml:space="preserve">where the patient was placed in hospital </w:t>
            </w:r>
            <w:r w:rsidRPr="008820E0">
              <w:rPr>
                <w:rFonts w:cs="Arial"/>
              </w:rPr>
              <w:t>observation status.</w:t>
            </w:r>
          </w:p>
          <w:p w14:paraId="36872C26" w14:textId="77777777" w:rsidR="00C11556" w:rsidRPr="008820E0" w:rsidRDefault="00C11556" w:rsidP="00C11556">
            <w:pPr>
              <w:rPr>
                <w:rFonts w:cs="Arial"/>
                <w:b/>
                <w:bCs/>
              </w:rPr>
            </w:pPr>
          </w:p>
          <w:p w14:paraId="7AB57189" w14:textId="77777777" w:rsidR="00C11556" w:rsidRPr="008820E0" w:rsidRDefault="00C11556" w:rsidP="00C11556">
            <w:pPr>
              <w:rPr>
                <w:rFonts w:cs="Arial"/>
                <w:bCs/>
              </w:rPr>
            </w:pPr>
            <w:r w:rsidRPr="008820E0">
              <w:rPr>
                <w:rFonts w:cs="Arial"/>
              </w:rPr>
              <w:t xml:space="preserve">Enter the total </w:t>
            </w:r>
            <w:r w:rsidRPr="008820E0">
              <w:rPr>
                <w:rFonts w:cs="Arial"/>
                <w:bCs/>
              </w:rPr>
              <w:t>number of emergency department (ED) visits during the reporting period for each of the following admission types:</w:t>
            </w:r>
          </w:p>
          <w:p w14:paraId="1DD19CC4" w14:textId="27158593" w:rsidR="00C11556" w:rsidRPr="008820E0" w:rsidRDefault="00724231" w:rsidP="00C11556">
            <w:pPr>
              <w:ind w:left="720"/>
              <w:rPr>
                <w:b/>
                <w:bCs/>
              </w:rPr>
            </w:pPr>
            <w:r w:rsidRPr="007F2F8A">
              <w:t>P</w:t>
            </w:r>
            <w:r w:rsidR="00C11556" w:rsidRPr="008820E0">
              <w:t xml:space="preserve">atients admitted to a </w:t>
            </w:r>
            <w:r>
              <w:t xml:space="preserve">pediatric </w:t>
            </w:r>
            <w:r w:rsidR="00C11556" w:rsidRPr="008820E0">
              <w:t xml:space="preserve">inpatient </w:t>
            </w:r>
            <w:r w:rsidR="00C11556" w:rsidRPr="008820E0">
              <w:rPr>
                <w:b/>
                <w:bCs/>
              </w:rPr>
              <w:t>non-psychiatric bed</w:t>
            </w:r>
          </w:p>
          <w:p w14:paraId="0D77D8C2" w14:textId="062D4A77" w:rsidR="00C11556" w:rsidRPr="008820E0" w:rsidRDefault="00724231" w:rsidP="00C11556">
            <w:pPr>
              <w:ind w:left="720"/>
              <w:rPr>
                <w:b/>
                <w:bCs/>
              </w:rPr>
            </w:pPr>
            <w:r w:rsidRPr="007F2F8A">
              <w:t>P</w:t>
            </w:r>
            <w:r w:rsidR="00C11556" w:rsidRPr="008820E0">
              <w:t xml:space="preserve">atients admitted to a </w:t>
            </w:r>
            <w:r>
              <w:t xml:space="preserve">pediatric </w:t>
            </w:r>
            <w:r w:rsidR="00C11556" w:rsidRPr="008820E0">
              <w:t xml:space="preserve">inpatient </w:t>
            </w:r>
            <w:r w:rsidR="00C11556" w:rsidRPr="008820E0">
              <w:rPr>
                <w:b/>
                <w:bCs/>
              </w:rPr>
              <w:t>psychiatric bed</w:t>
            </w:r>
          </w:p>
          <w:p w14:paraId="49C33DE1" w14:textId="77777777" w:rsidR="00C11556" w:rsidRPr="008820E0" w:rsidRDefault="00C11556" w:rsidP="00C11556">
            <w:pPr>
              <w:rPr>
                <w:rFonts w:cs="Arial"/>
                <w:snapToGrid w:val="0"/>
                <w:sz w:val="16"/>
                <w:szCs w:val="16"/>
              </w:rPr>
            </w:pPr>
          </w:p>
          <w:p w14:paraId="6229AB71" w14:textId="77777777" w:rsidR="00C11556" w:rsidRPr="008820E0" w:rsidRDefault="00C11556" w:rsidP="00C11556">
            <w:pPr>
              <w:rPr>
                <w:rFonts w:cs="Arial"/>
                <w:snapToGrid w:val="0"/>
              </w:rPr>
            </w:pPr>
            <w:r w:rsidRPr="008820E0">
              <w:rPr>
                <w:rFonts w:cs="Arial"/>
                <w:b/>
                <w:snapToGrid w:val="0"/>
              </w:rPr>
              <w:t>Include:</w:t>
            </w:r>
          </w:p>
          <w:p w14:paraId="73A2EB8F" w14:textId="518E0EAC" w:rsidR="00C11556" w:rsidRPr="001C4D9F" w:rsidRDefault="00C11556" w:rsidP="00AD309C">
            <w:pPr>
              <w:pStyle w:val="ListParagraph"/>
              <w:numPr>
                <w:ilvl w:val="0"/>
                <w:numId w:val="85"/>
              </w:numPr>
              <w:rPr>
                <w:rFonts w:cs="Arial"/>
                <w:lang w:eastAsia="ja-JP"/>
              </w:rPr>
            </w:pPr>
            <w:r w:rsidRPr="008820E0">
              <w:rPr>
                <w:rFonts w:cs="Arial"/>
                <w:snapToGrid w:val="0"/>
              </w:rPr>
              <w:t xml:space="preserve">Patients with an ED visit that </w:t>
            </w:r>
            <w:r w:rsidR="00AA4B2E" w:rsidRPr="008820E0">
              <w:rPr>
                <w:rFonts w:cs="Arial"/>
                <w:snapToGrid w:val="0"/>
              </w:rPr>
              <w:t>were</w:t>
            </w:r>
            <w:r w:rsidRPr="008820E0">
              <w:rPr>
                <w:rFonts w:cs="Arial"/>
                <w:snapToGrid w:val="0"/>
              </w:rPr>
              <w:t xml:space="preserve"> admitted to the hospital’s inpatient setting or </w:t>
            </w:r>
            <w:r w:rsidR="004F6D6B" w:rsidRPr="008820E0">
              <w:rPr>
                <w:rFonts w:cs="Arial"/>
                <w:snapToGrid w:val="0"/>
              </w:rPr>
              <w:t>placed in</w:t>
            </w:r>
            <w:r w:rsidRPr="008820E0">
              <w:rPr>
                <w:rFonts w:cs="Arial"/>
                <w:snapToGrid w:val="0"/>
              </w:rPr>
              <w:t xml:space="preserve"> hospital observation status.</w:t>
            </w:r>
          </w:p>
          <w:p w14:paraId="06A4E200" w14:textId="63DD3F35" w:rsidR="007B215D" w:rsidRPr="001C4D9F" w:rsidRDefault="000E7A62" w:rsidP="007B215D">
            <w:pPr>
              <w:pStyle w:val="ListParagraph"/>
              <w:numPr>
                <w:ilvl w:val="0"/>
                <w:numId w:val="85"/>
              </w:numPr>
              <w:rPr>
                <w:rFonts w:cs="Arial"/>
                <w:lang w:eastAsia="ja-JP"/>
              </w:rPr>
            </w:pPr>
            <w:r w:rsidRPr="000E7A62">
              <w:rPr>
                <w:rFonts w:cs="Arial"/>
                <w:snapToGrid w:val="0"/>
                <w:lang w:eastAsia="ja-JP"/>
              </w:rPr>
              <w:t xml:space="preserve">Patients with an ED visit that were admitted to the hospital’s </w:t>
            </w:r>
            <w:r w:rsidR="007B215D" w:rsidRPr="007B215D">
              <w:rPr>
                <w:rFonts w:cs="Arial"/>
                <w:snapToGrid w:val="0"/>
                <w:lang w:eastAsia="ja-JP"/>
              </w:rPr>
              <w:t xml:space="preserve">licensed detoxification beds should be included in this </w:t>
            </w:r>
            <w:r w:rsidR="00EA6BDB">
              <w:rPr>
                <w:rFonts w:cs="Arial"/>
                <w:snapToGrid w:val="0"/>
                <w:lang w:eastAsia="ja-JP"/>
              </w:rPr>
              <w:t>question’</w:t>
            </w:r>
            <w:r w:rsidR="007B215D" w:rsidRPr="007B215D">
              <w:rPr>
                <w:rFonts w:cs="Arial"/>
                <w:snapToGrid w:val="0"/>
                <w:lang w:eastAsia="ja-JP"/>
              </w:rPr>
              <w:t xml:space="preserve">s </w:t>
            </w:r>
            <w:r w:rsidR="00EA6BDB">
              <w:rPr>
                <w:rFonts w:cs="Arial"/>
                <w:snapToGrid w:val="0"/>
                <w:lang w:eastAsia="ja-JP"/>
              </w:rPr>
              <w:t xml:space="preserve">count of </w:t>
            </w:r>
            <w:r w:rsidR="0080164E">
              <w:rPr>
                <w:rFonts w:cs="Arial"/>
                <w:snapToGrid w:val="0"/>
                <w:lang w:eastAsia="ja-JP"/>
              </w:rPr>
              <w:t xml:space="preserve">patients admitted to inpatient </w:t>
            </w:r>
            <w:r w:rsidR="007B215D" w:rsidRPr="007B215D">
              <w:rPr>
                <w:rFonts w:cs="Arial"/>
                <w:snapToGrid w:val="0"/>
                <w:lang w:eastAsia="ja-JP"/>
              </w:rPr>
              <w:t>psychiatric beds</w:t>
            </w:r>
          </w:p>
          <w:p w14:paraId="285801D0" w14:textId="3F9038BE" w:rsidR="003957A3" w:rsidRPr="003957A3" w:rsidRDefault="003957A3" w:rsidP="003957A3">
            <w:pPr>
              <w:pStyle w:val="ListParagraph"/>
              <w:numPr>
                <w:ilvl w:val="0"/>
                <w:numId w:val="85"/>
              </w:numPr>
              <w:rPr>
                <w:rFonts w:cs="Arial"/>
                <w:lang w:eastAsia="ja-JP"/>
              </w:rPr>
            </w:pPr>
            <w:r w:rsidRPr="003957A3">
              <w:rPr>
                <w:rFonts w:cs="Arial"/>
                <w:lang w:eastAsia="ja-JP"/>
              </w:rPr>
              <w:t>Patients with an ED visit that were admitted to a psychiatric unit located or co-located with the hospital, even if that unit operates under a separate CCN.</w:t>
            </w:r>
          </w:p>
          <w:p w14:paraId="0DE62A1D" w14:textId="77777777" w:rsidR="005F1CA5" w:rsidRPr="008820E0" w:rsidRDefault="005F1CA5" w:rsidP="005F1CA5">
            <w:pPr>
              <w:rPr>
                <w:rFonts w:cs="Arial"/>
                <w:lang w:eastAsia="ja-JP"/>
              </w:rPr>
            </w:pPr>
          </w:p>
          <w:p w14:paraId="6B66A83A" w14:textId="77777777" w:rsidR="005F1CA5" w:rsidRPr="008820E0" w:rsidRDefault="005F1CA5" w:rsidP="005F1CA5">
            <w:pPr>
              <w:rPr>
                <w:rFonts w:cs="Arial"/>
                <w:b/>
                <w:bCs/>
                <w:lang w:eastAsia="ja-JP"/>
              </w:rPr>
            </w:pPr>
            <w:r w:rsidRPr="008820E0">
              <w:rPr>
                <w:rFonts w:cs="Arial"/>
                <w:b/>
                <w:bCs/>
                <w:lang w:eastAsia="ja-JP"/>
              </w:rPr>
              <w:t xml:space="preserve">Exclude: </w:t>
            </w:r>
          </w:p>
          <w:p w14:paraId="228D21A8" w14:textId="66B435B7" w:rsidR="005F1CA5" w:rsidRPr="008820E0" w:rsidRDefault="005F1CA5" w:rsidP="00AD309C">
            <w:pPr>
              <w:pStyle w:val="ListParagraph"/>
              <w:numPr>
                <w:ilvl w:val="0"/>
                <w:numId w:val="85"/>
              </w:numPr>
              <w:rPr>
                <w:rFonts w:cs="Arial"/>
                <w:lang w:eastAsia="ja-JP"/>
              </w:rPr>
            </w:pPr>
            <w:r w:rsidRPr="008820E0">
              <w:rPr>
                <w:rFonts w:cs="Arial"/>
                <w:lang w:eastAsia="ja-JP"/>
              </w:rPr>
              <w:t xml:space="preserve">Patients with an ED visit that were </w:t>
            </w:r>
            <w:r w:rsidR="00DB4FCB" w:rsidRPr="008820E0">
              <w:rPr>
                <w:rFonts w:cs="Arial"/>
                <w:lang w:eastAsia="ja-JP"/>
              </w:rPr>
              <w:t xml:space="preserve">placed </w:t>
            </w:r>
            <w:r w:rsidRPr="008820E0">
              <w:rPr>
                <w:rFonts w:cs="Arial"/>
                <w:lang w:eastAsia="ja-JP"/>
              </w:rPr>
              <w:t>in ED observation status.</w:t>
            </w:r>
          </w:p>
          <w:p w14:paraId="4F32379E" w14:textId="76B8AC74" w:rsidR="00DB4FCB" w:rsidRPr="008820E0" w:rsidRDefault="00DB4FCB" w:rsidP="00DB4FCB">
            <w:pPr>
              <w:pStyle w:val="ListParagraph"/>
              <w:numPr>
                <w:ilvl w:val="0"/>
                <w:numId w:val="85"/>
              </w:numPr>
              <w:rPr>
                <w:rFonts w:cs="Arial"/>
                <w:lang w:eastAsia="ja-JP"/>
              </w:rPr>
            </w:pPr>
            <w:r w:rsidRPr="008820E0">
              <w:rPr>
                <w:rFonts w:cs="Arial"/>
                <w:lang w:eastAsia="ja-JP"/>
              </w:rPr>
              <w:t xml:space="preserve">Patients transferred to another hospital. </w:t>
            </w:r>
          </w:p>
          <w:p w14:paraId="4C33C12A" w14:textId="77777777" w:rsidR="00C11556" w:rsidRPr="008820E0" w:rsidRDefault="00C11556" w:rsidP="00C11556">
            <w:pPr>
              <w:rPr>
                <w:rFonts w:cs="Arial"/>
              </w:rPr>
            </w:pPr>
          </w:p>
          <w:p w14:paraId="7886379B" w14:textId="52E5B0F1" w:rsidR="00C11556" w:rsidRPr="008820E0" w:rsidRDefault="00C11556" w:rsidP="00C11556">
            <w:pPr>
              <w:rPr>
                <w:rFonts w:cs="Arial"/>
              </w:rPr>
            </w:pPr>
            <w:r w:rsidRPr="008820E0">
              <w:rPr>
                <w:rFonts w:cs="Arial"/>
              </w:rPr>
              <w:t xml:space="preserve">Note: A patient can have multiple ED visits with a hospital admission </w:t>
            </w:r>
            <w:r w:rsidR="001444EA" w:rsidRPr="008820E0">
              <w:rPr>
                <w:rFonts w:cs="Arial"/>
              </w:rPr>
              <w:t xml:space="preserve">and/or placed in hospital observation status </w:t>
            </w:r>
            <w:r w:rsidRPr="008820E0">
              <w:rPr>
                <w:rFonts w:cs="Arial"/>
              </w:rPr>
              <w:t xml:space="preserve">during the performance period so each patient ED visit with an inpatient admission </w:t>
            </w:r>
            <w:r w:rsidR="00E66443" w:rsidRPr="008820E0">
              <w:rPr>
                <w:rFonts w:cs="Arial"/>
              </w:rPr>
              <w:t>or placement into hospital observation status is</w:t>
            </w:r>
            <w:r w:rsidRPr="008820E0">
              <w:rPr>
                <w:rFonts w:cs="Arial"/>
              </w:rPr>
              <w:t xml:space="preserve"> included in the denominator (question #</w:t>
            </w:r>
            <w:r w:rsidR="00806ECD">
              <w:rPr>
                <w:rFonts w:cs="Arial"/>
              </w:rPr>
              <w:t>5</w:t>
            </w:r>
            <w:r w:rsidRPr="008820E0">
              <w:rPr>
                <w:rFonts w:cs="Arial"/>
              </w:rPr>
              <w:t>a).</w:t>
            </w:r>
          </w:p>
          <w:p w14:paraId="50101CDC" w14:textId="77777777" w:rsidR="00C11556" w:rsidRPr="008820E0" w:rsidRDefault="00C11556" w:rsidP="00C11556">
            <w:pPr>
              <w:rPr>
                <w:rFonts w:cs="Arial"/>
              </w:rPr>
            </w:pPr>
          </w:p>
          <w:p w14:paraId="4A34E32A" w14:textId="003C56BB" w:rsidR="00F92E61" w:rsidRPr="008820E0" w:rsidRDefault="00C11556" w:rsidP="00C11556">
            <w:pPr>
              <w:rPr>
                <w:rFonts w:cs="Arial"/>
                <w:b/>
                <w:bCs/>
              </w:rPr>
            </w:pPr>
            <w:r w:rsidRPr="008820E0">
              <w:rPr>
                <w:rFonts w:cs="Arial"/>
                <w:b/>
                <w:bCs/>
                <w:i/>
                <w:iCs/>
              </w:rPr>
              <w:t xml:space="preserve">If the number of visits for a pediatric admission type is less than 10 (in column a), skip columns b, c, </w:t>
            </w:r>
            <w:r w:rsidR="00036208">
              <w:rPr>
                <w:rFonts w:cs="Arial"/>
                <w:b/>
                <w:bCs/>
                <w:i/>
                <w:iCs/>
              </w:rPr>
              <w:t xml:space="preserve">d, </w:t>
            </w:r>
            <w:r w:rsidRPr="008820E0">
              <w:rPr>
                <w:rFonts w:cs="Arial"/>
                <w:b/>
                <w:bCs/>
                <w:i/>
                <w:iCs/>
              </w:rPr>
              <w:t xml:space="preserve">and </w:t>
            </w:r>
            <w:r w:rsidR="00036208">
              <w:rPr>
                <w:rFonts w:cs="Arial"/>
                <w:b/>
                <w:bCs/>
                <w:i/>
                <w:iCs/>
              </w:rPr>
              <w:t>e</w:t>
            </w:r>
            <w:r w:rsidR="00492A6E">
              <w:rPr>
                <w:rFonts w:cs="Arial"/>
                <w:b/>
                <w:bCs/>
                <w:i/>
                <w:iCs/>
              </w:rPr>
              <w:t xml:space="preserve"> and then move to the next admission type</w:t>
            </w:r>
            <w:r w:rsidRPr="008820E0">
              <w:rPr>
                <w:rFonts w:cs="Arial"/>
                <w:b/>
                <w:bCs/>
                <w:i/>
                <w:iCs/>
              </w:rPr>
              <w:t>.</w:t>
            </w:r>
          </w:p>
        </w:tc>
      </w:tr>
      <w:tr w:rsidR="00C11556" w:rsidRPr="009A5185" w14:paraId="318DEEDA" w14:textId="77777777" w:rsidTr="00300531">
        <w:trPr>
          <w:trHeight w:val="611"/>
          <w:jc w:val="center"/>
        </w:trPr>
        <w:tc>
          <w:tcPr>
            <w:tcW w:w="9562" w:type="dxa"/>
            <w:vAlign w:val="center"/>
          </w:tcPr>
          <w:p w14:paraId="6D54F171" w14:textId="77777777" w:rsidR="00C11556" w:rsidRPr="008820E0" w:rsidRDefault="00C11556" w:rsidP="00C11556">
            <w:pPr>
              <w:rPr>
                <w:rFonts w:cs="Arial"/>
              </w:rPr>
            </w:pPr>
            <w:r w:rsidRPr="008820E0">
              <w:rPr>
                <w:rFonts w:cs="Arial"/>
                <w:b/>
                <w:bCs/>
              </w:rPr>
              <w:t xml:space="preserve">Question #5, column b: </w:t>
            </w:r>
            <w:r w:rsidRPr="008820E0">
              <w:rPr>
                <w:rFonts w:cs="Arial"/>
              </w:rPr>
              <w:t xml:space="preserve">Number of ED </w:t>
            </w:r>
            <w:r w:rsidRPr="008820E0">
              <w:rPr>
                <w:rFonts w:cs="Arial"/>
                <w:b/>
                <w:bCs/>
                <w:u w:val="single"/>
              </w:rPr>
              <w:t>visits</w:t>
            </w:r>
            <w:r w:rsidRPr="008820E0">
              <w:rPr>
                <w:rFonts w:cs="Arial"/>
              </w:rPr>
              <w:t xml:space="preserve"> indicated in column (a) with a boarding time greater than 4 hours.</w:t>
            </w:r>
          </w:p>
          <w:p w14:paraId="6EBF603A" w14:textId="77777777" w:rsidR="00C11556" w:rsidRPr="008820E0" w:rsidRDefault="00C11556" w:rsidP="00C11556">
            <w:pPr>
              <w:rPr>
                <w:rFonts w:cs="Arial"/>
                <w:snapToGrid w:val="0"/>
              </w:rPr>
            </w:pPr>
          </w:p>
          <w:p w14:paraId="3EDB8BBA" w14:textId="77777777" w:rsidR="00C11556" w:rsidRPr="008820E0" w:rsidRDefault="00C11556" w:rsidP="00C11556">
            <w:pPr>
              <w:rPr>
                <w:rFonts w:cs="Arial"/>
                <w:bCs/>
              </w:rPr>
            </w:pPr>
            <w:r w:rsidRPr="008820E0">
              <w:rPr>
                <w:rFonts w:cs="Arial"/>
                <w:bCs/>
              </w:rPr>
              <w:t xml:space="preserve">Enter the total number of emergency department (ED) </w:t>
            </w:r>
            <w:r w:rsidRPr="008820E0">
              <w:rPr>
                <w:rFonts w:cs="Arial"/>
                <w:b/>
                <w:u w:val="single"/>
              </w:rPr>
              <w:t>visits</w:t>
            </w:r>
            <w:r w:rsidRPr="008820E0">
              <w:rPr>
                <w:rFonts w:cs="Arial"/>
                <w:bCs/>
              </w:rPr>
              <w:t xml:space="preserve"> indicated in column (a) with a boarding time greater than 4 hours for each of the following admission types:</w:t>
            </w:r>
          </w:p>
          <w:p w14:paraId="078C45C0" w14:textId="40621BF1" w:rsidR="00C11556" w:rsidRPr="008820E0" w:rsidRDefault="005D1416" w:rsidP="00C11556">
            <w:pPr>
              <w:ind w:left="720"/>
              <w:rPr>
                <w:b/>
                <w:bCs/>
              </w:rPr>
            </w:pPr>
            <w:r w:rsidRPr="001C4D9F">
              <w:t>Patients</w:t>
            </w:r>
            <w:r w:rsidR="00C11556" w:rsidRPr="008820E0">
              <w:t xml:space="preserve"> admitted to a</w:t>
            </w:r>
            <w:r>
              <w:t xml:space="preserve"> pediatric </w:t>
            </w:r>
            <w:r w:rsidR="00C11556" w:rsidRPr="008820E0">
              <w:t xml:space="preserve">inpatient </w:t>
            </w:r>
            <w:r w:rsidR="00C11556" w:rsidRPr="008820E0">
              <w:rPr>
                <w:b/>
                <w:bCs/>
              </w:rPr>
              <w:t>non-psychiatric bed</w:t>
            </w:r>
          </w:p>
          <w:p w14:paraId="2B5C8ECC" w14:textId="630B7F0F" w:rsidR="00C11556" w:rsidRPr="008820E0" w:rsidRDefault="005D1416" w:rsidP="00C11556">
            <w:pPr>
              <w:ind w:left="720"/>
              <w:rPr>
                <w:b/>
                <w:bCs/>
              </w:rPr>
            </w:pPr>
            <w:r>
              <w:t>P</w:t>
            </w:r>
            <w:r w:rsidR="00C11556" w:rsidRPr="008820E0">
              <w:t>atients admitted to a</w:t>
            </w:r>
            <w:r>
              <w:t xml:space="preserve"> pediatric</w:t>
            </w:r>
            <w:r w:rsidR="00C11556" w:rsidRPr="008820E0">
              <w:t xml:space="preserve"> inpatient </w:t>
            </w:r>
            <w:r w:rsidR="00C11556" w:rsidRPr="008820E0">
              <w:rPr>
                <w:b/>
                <w:bCs/>
              </w:rPr>
              <w:t>psychiatric bed</w:t>
            </w:r>
          </w:p>
          <w:p w14:paraId="18DEFCDB" w14:textId="77777777" w:rsidR="00C11556" w:rsidRPr="008820E0" w:rsidRDefault="00C11556" w:rsidP="00C11556">
            <w:pPr>
              <w:rPr>
                <w:rFonts w:cs="Arial"/>
                <w:snapToGrid w:val="0"/>
              </w:rPr>
            </w:pPr>
          </w:p>
          <w:p w14:paraId="3D9721BE" w14:textId="77777777" w:rsidR="00C11556" w:rsidRPr="008820E0" w:rsidRDefault="00C11556" w:rsidP="00C11556">
            <w:pPr>
              <w:rPr>
                <w:rFonts w:cs="Arial"/>
                <w:b/>
                <w:snapToGrid w:val="0"/>
              </w:rPr>
            </w:pPr>
            <w:r w:rsidRPr="008820E0">
              <w:rPr>
                <w:rFonts w:cs="Arial"/>
                <w:b/>
                <w:snapToGrid w:val="0"/>
              </w:rPr>
              <w:t>Include:</w:t>
            </w:r>
          </w:p>
          <w:p w14:paraId="69F65B19" w14:textId="610402D8" w:rsidR="00C11556" w:rsidRPr="008820E0" w:rsidRDefault="00C11556" w:rsidP="00AD309C">
            <w:pPr>
              <w:pStyle w:val="ListParagraph"/>
              <w:numPr>
                <w:ilvl w:val="0"/>
                <w:numId w:val="87"/>
              </w:numPr>
              <w:rPr>
                <w:rFonts w:cs="Arial"/>
                <w:lang w:eastAsia="ja-JP"/>
              </w:rPr>
            </w:pPr>
            <w:r w:rsidRPr="008820E0">
              <w:rPr>
                <w:rFonts w:cs="Arial"/>
                <w:lang w:eastAsia="ja-JP"/>
              </w:rPr>
              <w:t xml:space="preserve">Patients with an ED visit that </w:t>
            </w:r>
            <w:r w:rsidR="001E7C79" w:rsidRPr="008820E0">
              <w:rPr>
                <w:rFonts w:cs="Arial"/>
                <w:lang w:eastAsia="ja-JP"/>
              </w:rPr>
              <w:t>were</w:t>
            </w:r>
            <w:r w:rsidRPr="008820E0">
              <w:rPr>
                <w:rFonts w:cs="Arial"/>
                <w:lang w:eastAsia="ja-JP"/>
              </w:rPr>
              <w:t xml:space="preserve"> admitted to the hospital’s inpatient setting or </w:t>
            </w:r>
            <w:r w:rsidR="00DE431B" w:rsidRPr="008820E0">
              <w:rPr>
                <w:rFonts w:cs="Arial"/>
                <w:lang w:eastAsia="ja-JP"/>
              </w:rPr>
              <w:t>placed in</w:t>
            </w:r>
            <w:r w:rsidR="00C86A15" w:rsidRPr="008820E0">
              <w:rPr>
                <w:rFonts w:cs="Arial"/>
                <w:lang w:eastAsia="ja-JP"/>
              </w:rPr>
              <w:t xml:space="preserve"> </w:t>
            </w:r>
            <w:r w:rsidRPr="008820E0">
              <w:rPr>
                <w:rFonts w:cs="Arial"/>
                <w:lang w:eastAsia="ja-JP"/>
              </w:rPr>
              <w:t>hospital observation status with an ED boarding time that was longer than 4 hours.</w:t>
            </w:r>
          </w:p>
          <w:p w14:paraId="2B11CF8F" w14:textId="77777777" w:rsidR="00C11556" w:rsidRPr="008820E0" w:rsidRDefault="00C11556" w:rsidP="00C11556">
            <w:pPr>
              <w:rPr>
                <w:rFonts w:cs="Arial"/>
                <w:lang w:eastAsia="ja-JP"/>
              </w:rPr>
            </w:pPr>
          </w:p>
          <w:p w14:paraId="0000962D" w14:textId="470530F1" w:rsidR="00C11556" w:rsidRPr="008820E0" w:rsidRDefault="00C11556" w:rsidP="00C11556">
            <w:pPr>
              <w:rPr>
                <w:rFonts w:cs="Arial"/>
                <w:b/>
                <w:bCs/>
              </w:rPr>
            </w:pPr>
            <w:r w:rsidRPr="008820E0">
              <w:rPr>
                <w:rFonts w:cs="Arial"/>
                <w:b/>
                <w:bCs/>
                <w:lang w:eastAsia="ja-JP"/>
              </w:rPr>
              <w:t>Boarding time</w:t>
            </w:r>
            <w:r w:rsidRPr="008820E0">
              <w:rPr>
                <w:rFonts w:cs="Arial"/>
                <w:lang w:eastAsia="ja-JP"/>
              </w:rPr>
              <w:t xml:space="preserve"> is defined as the </w:t>
            </w:r>
            <w:r w:rsidR="00C143BF">
              <w:rPr>
                <w:rFonts w:cs="Arial"/>
                <w:lang w:eastAsia="ja-JP"/>
              </w:rPr>
              <w:t xml:space="preserve">time from </w:t>
            </w:r>
            <w:r w:rsidRPr="008820E0">
              <w:rPr>
                <w:rFonts w:cs="Arial"/>
                <w:lang w:eastAsia="ja-JP"/>
              </w:rPr>
              <w:t xml:space="preserve">the </w:t>
            </w:r>
            <w:r w:rsidR="00C143BF">
              <w:rPr>
                <w:rFonts w:cs="Arial"/>
                <w:lang w:eastAsia="ja-JP"/>
              </w:rPr>
              <w:t xml:space="preserve">decision to admit (e.g., </w:t>
            </w:r>
            <w:r w:rsidRPr="008820E0">
              <w:rPr>
                <w:rFonts w:cs="Arial"/>
                <w:lang w:eastAsia="ja-JP"/>
              </w:rPr>
              <w:t>admission order</w:t>
            </w:r>
            <w:r w:rsidR="00C143BF">
              <w:rPr>
                <w:rFonts w:cs="Arial"/>
                <w:lang w:eastAsia="ja-JP"/>
              </w:rPr>
              <w:t>)</w:t>
            </w:r>
            <w:r w:rsidRPr="008820E0">
              <w:rPr>
                <w:rFonts w:cs="Arial"/>
                <w:lang w:eastAsia="ja-JP"/>
              </w:rPr>
              <w:t xml:space="preserve"> to </w:t>
            </w:r>
            <w:r w:rsidR="00C143BF">
              <w:rPr>
                <w:rFonts w:cs="Arial"/>
                <w:lang w:eastAsia="ja-JP"/>
              </w:rPr>
              <w:t xml:space="preserve">the patient’s final </w:t>
            </w:r>
            <w:r w:rsidRPr="008820E0">
              <w:rPr>
                <w:rFonts w:cs="Arial"/>
                <w:lang w:eastAsia="ja-JP"/>
              </w:rPr>
              <w:t>departure from the ED</w:t>
            </w:r>
            <w:r w:rsidR="001E7C79" w:rsidRPr="008820E0">
              <w:rPr>
                <w:rFonts w:cs="Arial"/>
                <w:lang w:eastAsia="ja-JP"/>
              </w:rPr>
              <w:t>.</w:t>
            </w:r>
          </w:p>
        </w:tc>
      </w:tr>
      <w:tr w:rsidR="005D2693" w:rsidRPr="009A5185" w14:paraId="324C0C99" w14:textId="77777777" w:rsidTr="00300531">
        <w:trPr>
          <w:trHeight w:val="611"/>
          <w:jc w:val="center"/>
        </w:trPr>
        <w:tc>
          <w:tcPr>
            <w:tcW w:w="9562" w:type="dxa"/>
            <w:vAlign w:val="center"/>
          </w:tcPr>
          <w:p w14:paraId="33EFF66F" w14:textId="318F46F9" w:rsidR="001F2EBB" w:rsidRPr="004F7C13" w:rsidRDefault="001F2EBB" w:rsidP="001F2EBB">
            <w:pPr>
              <w:rPr>
                <w:rFonts w:cs="Arial"/>
              </w:rPr>
            </w:pPr>
            <w:r w:rsidRPr="004F7C13">
              <w:rPr>
                <w:rFonts w:cs="Arial"/>
                <w:b/>
                <w:bCs/>
              </w:rPr>
              <w:t xml:space="preserve">Question #5, column c: </w:t>
            </w:r>
            <w:r w:rsidRPr="004F7C13">
              <w:rPr>
                <w:rFonts w:cs="Arial"/>
                <w:bCs/>
              </w:rPr>
              <w:t xml:space="preserve">Total </w:t>
            </w:r>
            <w:r w:rsidR="00C01F1A">
              <w:rPr>
                <w:rFonts w:cs="Arial"/>
                <w:bCs/>
              </w:rPr>
              <w:t>b</w:t>
            </w:r>
            <w:r w:rsidRPr="004F7C13">
              <w:rPr>
                <w:rFonts w:cs="Arial"/>
                <w:bCs/>
              </w:rPr>
              <w:t xml:space="preserve">oarding </w:t>
            </w:r>
            <w:r w:rsidR="00C01F1A">
              <w:rPr>
                <w:rFonts w:cs="Arial"/>
                <w:bCs/>
              </w:rPr>
              <w:t>t</w:t>
            </w:r>
            <w:r w:rsidRPr="004F7C13">
              <w:rPr>
                <w:rFonts w:cs="Arial"/>
                <w:bCs/>
              </w:rPr>
              <w:t>ime</w:t>
            </w:r>
            <w:r w:rsidR="004151EC">
              <w:rPr>
                <w:rFonts w:cs="Arial"/>
                <w:bCs/>
              </w:rPr>
              <w:t xml:space="preserve"> (</w:t>
            </w:r>
            <w:r w:rsidR="00911150">
              <w:rPr>
                <w:rFonts w:cs="Arial"/>
                <w:bCs/>
              </w:rPr>
              <w:t xml:space="preserve">in </w:t>
            </w:r>
            <w:r w:rsidR="004151EC">
              <w:rPr>
                <w:rFonts w:cs="Arial"/>
                <w:bCs/>
              </w:rPr>
              <w:t xml:space="preserve">hours) for ED visits </w:t>
            </w:r>
            <w:r w:rsidR="00BA1C92">
              <w:rPr>
                <w:rFonts w:cs="Arial"/>
                <w:bCs/>
              </w:rPr>
              <w:t xml:space="preserve">indicated </w:t>
            </w:r>
            <w:r w:rsidRPr="004F7C13">
              <w:rPr>
                <w:rFonts w:cs="Arial"/>
                <w:bCs/>
              </w:rPr>
              <w:t>in column (a)</w:t>
            </w:r>
            <w:r w:rsidR="00926F21">
              <w:rPr>
                <w:rFonts w:cs="Arial"/>
                <w:bCs/>
              </w:rPr>
              <w:t>.</w:t>
            </w:r>
          </w:p>
          <w:p w14:paraId="17CDD5AC" w14:textId="77777777" w:rsidR="001F2EBB" w:rsidRPr="004F7C13" w:rsidRDefault="001F2EBB" w:rsidP="001F2EBB">
            <w:pPr>
              <w:rPr>
                <w:rFonts w:cs="Arial"/>
                <w:snapToGrid w:val="0"/>
              </w:rPr>
            </w:pPr>
          </w:p>
          <w:p w14:paraId="4E8AD6B0" w14:textId="213918DD" w:rsidR="001F2EBB" w:rsidRPr="004F7C13" w:rsidRDefault="00E527D0" w:rsidP="001F2EBB">
            <w:pPr>
              <w:rPr>
                <w:rFonts w:cs="Arial"/>
                <w:bCs/>
              </w:rPr>
            </w:pPr>
            <w:r>
              <w:rPr>
                <w:rFonts w:cs="Arial"/>
                <w:bCs/>
              </w:rPr>
              <w:t>Enter the t</w:t>
            </w:r>
            <w:r w:rsidR="004E65A5" w:rsidRPr="005A1909">
              <w:rPr>
                <w:rFonts w:cs="Arial"/>
                <w:bCs/>
              </w:rPr>
              <w:t xml:space="preserve">otal </w:t>
            </w:r>
            <w:r w:rsidR="00911150">
              <w:rPr>
                <w:rFonts w:cs="Arial"/>
                <w:bCs/>
              </w:rPr>
              <w:t>boarding time (in</w:t>
            </w:r>
            <w:r w:rsidR="004E65A5" w:rsidRPr="005A1909">
              <w:rPr>
                <w:rFonts w:cs="Arial"/>
                <w:bCs/>
              </w:rPr>
              <w:t xml:space="preserve"> hours</w:t>
            </w:r>
            <w:r w:rsidR="00911150">
              <w:rPr>
                <w:rFonts w:cs="Arial"/>
                <w:bCs/>
              </w:rPr>
              <w:t xml:space="preserve">) </w:t>
            </w:r>
            <w:r w:rsidR="004E65A5" w:rsidRPr="005A1909">
              <w:rPr>
                <w:rFonts w:cs="Arial"/>
                <w:bCs/>
              </w:rPr>
              <w:t xml:space="preserve">for ED </w:t>
            </w:r>
            <w:r w:rsidR="001F2EBB" w:rsidRPr="004F7C13">
              <w:rPr>
                <w:rFonts w:cs="Arial"/>
                <w:bCs/>
              </w:rPr>
              <w:t>visits indicated in column (a) for each of the following admission types:</w:t>
            </w:r>
          </w:p>
          <w:p w14:paraId="3F5B0869" w14:textId="682BF7C1" w:rsidR="001F2EBB" w:rsidRPr="004F7C13" w:rsidRDefault="000F5309" w:rsidP="001F2EBB">
            <w:pPr>
              <w:ind w:left="720"/>
              <w:rPr>
                <w:b/>
                <w:bCs/>
              </w:rPr>
            </w:pPr>
            <w:r w:rsidRPr="007F2F8A">
              <w:t>P</w:t>
            </w:r>
            <w:r w:rsidR="001F2EBB" w:rsidRPr="004F7C13">
              <w:t xml:space="preserve">atients admitted to </w:t>
            </w:r>
            <w:r>
              <w:t>a pediatric</w:t>
            </w:r>
            <w:r w:rsidR="001F2EBB" w:rsidRPr="004F7C13">
              <w:t xml:space="preserve"> inpatient </w:t>
            </w:r>
            <w:r w:rsidR="001F2EBB" w:rsidRPr="004F7C13">
              <w:rPr>
                <w:b/>
                <w:bCs/>
              </w:rPr>
              <w:t>non-psychiatric bed</w:t>
            </w:r>
          </w:p>
          <w:p w14:paraId="225E8242" w14:textId="614F6BE7" w:rsidR="001F2EBB" w:rsidRPr="004F7C13" w:rsidRDefault="000F5309" w:rsidP="001F2EBB">
            <w:pPr>
              <w:ind w:left="720"/>
              <w:rPr>
                <w:b/>
                <w:bCs/>
              </w:rPr>
            </w:pPr>
            <w:r w:rsidRPr="007F2F8A">
              <w:t>P</w:t>
            </w:r>
            <w:r w:rsidR="001F2EBB" w:rsidRPr="004F7C13">
              <w:t>atients admitted to a</w:t>
            </w:r>
            <w:r>
              <w:t xml:space="preserve"> pediatric </w:t>
            </w:r>
            <w:r w:rsidR="001F2EBB" w:rsidRPr="004F7C13">
              <w:t xml:space="preserve">inpatient </w:t>
            </w:r>
            <w:r w:rsidR="001F2EBB" w:rsidRPr="004F7C13">
              <w:rPr>
                <w:b/>
                <w:bCs/>
              </w:rPr>
              <w:t>psychiatric bed</w:t>
            </w:r>
          </w:p>
          <w:p w14:paraId="1EB7D6D9" w14:textId="77777777" w:rsidR="001F2EBB" w:rsidRPr="004F7C13" w:rsidRDefault="001F2EBB" w:rsidP="001F2EBB">
            <w:pPr>
              <w:rPr>
                <w:rFonts w:cs="Arial"/>
                <w:snapToGrid w:val="0"/>
              </w:rPr>
            </w:pPr>
          </w:p>
          <w:p w14:paraId="0DBA1781" w14:textId="77777777" w:rsidR="001F2EBB" w:rsidRPr="004F7C13" w:rsidRDefault="001F2EBB" w:rsidP="001F2EBB">
            <w:pPr>
              <w:rPr>
                <w:rFonts w:cs="Arial"/>
                <w:b/>
                <w:snapToGrid w:val="0"/>
              </w:rPr>
            </w:pPr>
            <w:r w:rsidRPr="004F7C13">
              <w:rPr>
                <w:rFonts w:cs="Arial"/>
                <w:b/>
                <w:snapToGrid w:val="0"/>
              </w:rPr>
              <w:t>Include:</w:t>
            </w:r>
          </w:p>
          <w:p w14:paraId="37246D15" w14:textId="2AD29F73" w:rsidR="001F2EBB" w:rsidRPr="004F7C13" w:rsidRDefault="00970E45" w:rsidP="001F2EBB">
            <w:pPr>
              <w:pStyle w:val="ListParagraph"/>
              <w:numPr>
                <w:ilvl w:val="0"/>
                <w:numId w:val="87"/>
              </w:numPr>
              <w:rPr>
                <w:rFonts w:cs="Arial"/>
                <w:lang w:eastAsia="ja-JP"/>
              </w:rPr>
            </w:pPr>
            <w:r>
              <w:rPr>
                <w:rFonts w:cs="Arial"/>
                <w:lang w:eastAsia="ja-JP"/>
              </w:rPr>
              <w:t>Total number of h</w:t>
            </w:r>
            <w:r w:rsidR="001F2EBB" w:rsidRPr="004F7C13">
              <w:rPr>
                <w:rFonts w:cs="Arial"/>
                <w:lang w:eastAsia="ja-JP"/>
              </w:rPr>
              <w:t>ours spent in the ED for patients with an ED visit that were admitted to the hospital’s inpatient setting or placed in hospital observation status.</w:t>
            </w:r>
          </w:p>
          <w:p w14:paraId="0B798178" w14:textId="77777777" w:rsidR="001F2EBB" w:rsidRPr="004F7C13" w:rsidRDefault="001F2EBB" w:rsidP="001F2EBB">
            <w:pPr>
              <w:pStyle w:val="ListParagraph"/>
              <w:rPr>
                <w:rFonts w:cs="Arial"/>
                <w:lang w:eastAsia="ja-JP"/>
              </w:rPr>
            </w:pPr>
          </w:p>
          <w:p w14:paraId="2AA90C5D" w14:textId="30D509E1" w:rsidR="005D2693" w:rsidRPr="008820E0" w:rsidRDefault="00773C15" w:rsidP="001F2EBB">
            <w:pPr>
              <w:rPr>
                <w:rFonts w:cs="Arial"/>
                <w:b/>
                <w:bCs/>
              </w:rPr>
            </w:pPr>
            <w:r w:rsidRPr="008820E0">
              <w:rPr>
                <w:rFonts w:cs="Arial"/>
                <w:b/>
                <w:bCs/>
                <w:lang w:eastAsia="ja-JP"/>
              </w:rPr>
              <w:t>Boarding time</w:t>
            </w:r>
            <w:r w:rsidRPr="008820E0">
              <w:rPr>
                <w:rFonts w:cs="Arial"/>
                <w:lang w:eastAsia="ja-JP"/>
              </w:rPr>
              <w:t xml:space="preserve"> is defined as the</w:t>
            </w:r>
            <w:r>
              <w:rPr>
                <w:rFonts w:cs="Arial"/>
                <w:lang w:eastAsia="ja-JP"/>
              </w:rPr>
              <w:t xml:space="preserve"> time from</w:t>
            </w:r>
            <w:r w:rsidRPr="008820E0">
              <w:rPr>
                <w:rFonts w:cs="Arial"/>
                <w:lang w:eastAsia="ja-JP"/>
              </w:rPr>
              <w:t xml:space="preserve"> the </w:t>
            </w:r>
            <w:r>
              <w:rPr>
                <w:rFonts w:cs="Arial"/>
                <w:lang w:eastAsia="ja-JP"/>
              </w:rPr>
              <w:t xml:space="preserve">decision to admit (e.g., </w:t>
            </w:r>
            <w:r w:rsidRPr="008820E0">
              <w:rPr>
                <w:rFonts w:cs="Arial"/>
                <w:lang w:eastAsia="ja-JP"/>
              </w:rPr>
              <w:t>admission order</w:t>
            </w:r>
            <w:r>
              <w:rPr>
                <w:rFonts w:cs="Arial"/>
                <w:lang w:eastAsia="ja-JP"/>
              </w:rPr>
              <w:t>)</w:t>
            </w:r>
            <w:r w:rsidRPr="008820E0">
              <w:rPr>
                <w:rFonts w:cs="Arial"/>
                <w:lang w:eastAsia="ja-JP"/>
              </w:rPr>
              <w:t xml:space="preserve"> to </w:t>
            </w:r>
            <w:r>
              <w:rPr>
                <w:rFonts w:cs="Arial"/>
                <w:lang w:eastAsia="ja-JP"/>
              </w:rPr>
              <w:t xml:space="preserve">the </w:t>
            </w:r>
            <w:r w:rsidRPr="008820E0">
              <w:rPr>
                <w:rFonts w:cs="Arial"/>
                <w:lang w:eastAsia="ja-JP"/>
              </w:rPr>
              <w:t>patient</w:t>
            </w:r>
            <w:r>
              <w:rPr>
                <w:rFonts w:cs="Arial"/>
                <w:lang w:eastAsia="ja-JP"/>
              </w:rPr>
              <w:t>’s final</w:t>
            </w:r>
            <w:r w:rsidRPr="008820E0">
              <w:rPr>
                <w:rFonts w:cs="Arial"/>
                <w:lang w:eastAsia="ja-JP"/>
              </w:rPr>
              <w:t xml:space="preserve"> departure from the ED.</w:t>
            </w:r>
          </w:p>
        </w:tc>
      </w:tr>
      <w:tr w:rsidR="00C11556" w:rsidRPr="009A5185" w14:paraId="7F4E391E" w14:textId="77777777" w:rsidTr="00D73F6A">
        <w:trPr>
          <w:trHeight w:val="1970"/>
          <w:jc w:val="center"/>
        </w:trPr>
        <w:tc>
          <w:tcPr>
            <w:tcW w:w="9562" w:type="dxa"/>
            <w:vAlign w:val="center"/>
          </w:tcPr>
          <w:p w14:paraId="743F7154" w14:textId="42687519" w:rsidR="00C11556" w:rsidRPr="008820E0" w:rsidRDefault="00C11556" w:rsidP="00C11556">
            <w:pPr>
              <w:rPr>
                <w:rFonts w:cs="Arial"/>
              </w:rPr>
            </w:pPr>
            <w:r w:rsidRPr="008820E0">
              <w:rPr>
                <w:rFonts w:cs="Arial"/>
                <w:b/>
                <w:bCs/>
              </w:rPr>
              <w:t xml:space="preserve">Question #5, column </w:t>
            </w:r>
            <w:r w:rsidR="005D2693">
              <w:rPr>
                <w:rFonts w:cs="Arial"/>
                <w:b/>
                <w:bCs/>
              </w:rPr>
              <w:t>d</w:t>
            </w:r>
            <w:r w:rsidRPr="008820E0">
              <w:rPr>
                <w:rFonts w:cs="Arial"/>
                <w:b/>
                <w:bCs/>
              </w:rPr>
              <w:t xml:space="preserve">: </w:t>
            </w:r>
            <w:r w:rsidRPr="008820E0">
              <w:rPr>
                <w:rFonts w:cs="Arial"/>
              </w:rPr>
              <w:t xml:space="preserve">Median number of </w:t>
            </w:r>
            <w:r w:rsidRPr="008820E0">
              <w:rPr>
                <w:rFonts w:cs="Arial"/>
                <w:b/>
                <w:bCs/>
                <w:u w:val="single"/>
              </w:rPr>
              <w:t>hours</w:t>
            </w:r>
            <w:r w:rsidRPr="008820E0">
              <w:rPr>
                <w:rFonts w:cs="Arial"/>
              </w:rPr>
              <w:t xml:space="preserve"> spent in the ED for ED visits indicated in column (a).</w:t>
            </w:r>
          </w:p>
          <w:p w14:paraId="40EB9E79" w14:textId="77777777" w:rsidR="00C11556" w:rsidRPr="008820E0" w:rsidRDefault="00C11556" w:rsidP="00C11556">
            <w:pPr>
              <w:rPr>
                <w:rFonts w:cs="Arial"/>
                <w:snapToGrid w:val="0"/>
              </w:rPr>
            </w:pPr>
          </w:p>
          <w:p w14:paraId="2A2B64A5" w14:textId="77777777" w:rsidR="00C11556" w:rsidRPr="008820E0" w:rsidRDefault="00C11556" w:rsidP="00C11556">
            <w:pPr>
              <w:rPr>
                <w:rFonts w:cs="Arial"/>
                <w:bCs/>
              </w:rPr>
            </w:pPr>
            <w:r w:rsidRPr="008820E0">
              <w:rPr>
                <w:rFonts w:cs="Arial"/>
                <w:bCs/>
              </w:rPr>
              <w:t>Enter the median number of hours spent in the ED for ED visits indicated in column (a) for each of the following admission types:</w:t>
            </w:r>
          </w:p>
          <w:p w14:paraId="5DC0DBDE" w14:textId="72C47F10" w:rsidR="00C11556" w:rsidRPr="008820E0" w:rsidRDefault="000A6C8F" w:rsidP="00C11556">
            <w:pPr>
              <w:ind w:left="720"/>
              <w:rPr>
                <w:b/>
                <w:bCs/>
              </w:rPr>
            </w:pPr>
            <w:r w:rsidRPr="001C4D9F">
              <w:t>P</w:t>
            </w:r>
            <w:r w:rsidR="00C11556" w:rsidRPr="008820E0">
              <w:t>atients admitted to a</w:t>
            </w:r>
            <w:r>
              <w:t xml:space="preserve"> pediatric</w:t>
            </w:r>
            <w:r w:rsidR="00C11556" w:rsidRPr="008820E0">
              <w:t xml:space="preserve"> inpatient </w:t>
            </w:r>
            <w:r w:rsidR="00C11556" w:rsidRPr="008820E0">
              <w:rPr>
                <w:b/>
                <w:bCs/>
              </w:rPr>
              <w:t>non-psychiatric bed</w:t>
            </w:r>
          </w:p>
          <w:p w14:paraId="4ABFA9E4" w14:textId="74C9AF25" w:rsidR="00C11556" w:rsidRPr="008820E0" w:rsidRDefault="000A6C8F" w:rsidP="00C11556">
            <w:pPr>
              <w:ind w:left="720"/>
              <w:rPr>
                <w:b/>
                <w:bCs/>
              </w:rPr>
            </w:pPr>
            <w:r>
              <w:t>P</w:t>
            </w:r>
            <w:r w:rsidR="00C11556" w:rsidRPr="008820E0">
              <w:t>atients admitted to a</w:t>
            </w:r>
            <w:r>
              <w:t xml:space="preserve"> pediatric</w:t>
            </w:r>
            <w:r w:rsidR="00C11556" w:rsidRPr="008820E0">
              <w:t xml:space="preserve"> inpatient </w:t>
            </w:r>
            <w:r w:rsidR="00C11556" w:rsidRPr="008820E0">
              <w:rPr>
                <w:b/>
                <w:bCs/>
              </w:rPr>
              <w:t>psychiatric bed</w:t>
            </w:r>
          </w:p>
          <w:p w14:paraId="35E56C4A" w14:textId="77777777" w:rsidR="00C11556" w:rsidRPr="008820E0" w:rsidRDefault="00C11556" w:rsidP="00C11556">
            <w:pPr>
              <w:rPr>
                <w:rFonts w:cs="Arial"/>
                <w:snapToGrid w:val="0"/>
              </w:rPr>
            </w:pPr>
          </w:p>
          <w:p w14:paraId="3D783244" w14:textId="77777777" w:rsidR="00C11556" w:rsidRPr="008820E0" w:rsidRDefault="00C11556" w:rsidP="00C11556">
            <w:pPr>
              <w:rPr>
                <w:rFonts w:cs="Arial"/>
                <w:b/>
                <w:snapToGrid w:val="0"/>
              </w:rPr>
            </w:pPr>
            <w:r w:rsidRPr="008820E0">
              <w:rPr>
                <w:rFonts w:cs="Arial"/>
                <w:b/>
                <w:snapToGrid w:val="0"/>
              </w:rPr>
              <w:t>Include:</w:t>
            </w:r>
          </w:p>
          <w:p w14:paraId="472D3D4F" w14:textId="5AC07A53" w:rsidR="00C11556" w:rsidRPr="008820E0" w:rsidRDefault="00C11556" w:rsidP="00AD309C">
            <w:pPr>
              <w:pStyle w:val="ListParagraph"/>
              <w:numPr>
                <w:ilvl w:val="0"/>
                <w:numId w:val="87"/>
              </w:numPr>
              <w:rPr>
                <w:rFonts w:cs="Arial"/>
                <w:lang w:eastAsia="ja-JP"/>
              </w:rPr>
            </w:pPr>
            <w:r w:rsidRPr="008820E0">
              <w:rPr>
                <w:rFonts w:cs="Arial"/>
                <w:lang w:eastAsia="ja-JP"/>
              </w:rPr>
              <w:t xml:space="preserve">Hours spent in the ED for patients with an ED visit that </w:t>
            </w:r>
            <w:r w:rsidR="005D79A8" w:rsidRPr="008820E0">
              <w:rPr>
                <w:rFonts w:cs="Arial"/>
                <w:lang w:eastAsia="ja-JP"/>
              </w:rPr>
              <w:t>were</w:t>
            </w:r>
            <w:r w:rsidRPr="008820E0">
              <w:rPr>
                <w:rFonts w:cs="Arial"/>
                <w:lang w:eastAsia="ja-JP"/>
              </w:rPr>
              <w:t xml:space="preserve"> admitted to the hospital’s inpatient setting or </w:t>
            </w:r>
            <w:r w:rsidR="002F2473" w:rsidRPr="008820E0">
              <w:rPr>
                <w:rFonts w:cs="Arial"/>
                <w:lang w:eastAsia="ja-JP"/>
              </w:rPr>
              <w:t>placed in</w:t>
            </w:r>
            <w:r w:rsidRPr="008820E0">
              <w:rPr>
                <w:rFonts w:cs="Arial"/>
                <w:lang w:eastAsia="ja-JP"/>
              </w:rPr>
              <w:t xml:space="preserve"> hospital observation status.</w:t>
            </w:r>
          </w:p>
          <w:p w14:paraId="2D95DB0A" w14:textId="77777777" w:rsidR="00C11556" w:rsidRPr="008820E0" w:rsidRDefault="00C11556" w:rsidP="00C11556">
            <w:pPr>
              <w:pStyle w:val="ListParagraph"/>
              <w:rPr>
                <w:rFonts w:cs="Arial"/>
                <w:lang w:eastAsia="ja-JP"/>
              </w:rPr>
            </w:pPr>
          </w:p>
          <w:p w14:paraId="25065742" w14:textId="156F137D" w:rsidR="00C11556" w:rsidRPr="008820E0" w:rsidRDefault="00C11556" w:rsidP="00C11556">
            <w:pPr>
              <w:rPr>
                <w:rFonts w:cs="Arial"/>
                <w:b/>
                <w:bCs/>
              </w:rPr>
            </w:pPr>
            <w:r w:rsidRPr="008820E0">
              <w:rPr>
                <w:rFonts w:cs="Arial"/>
                <w:b/>
                <w:bCs/>
                <w:lang w:eastAsia="ja-JP"/>
              </w:rPr>
              <w:t>Hours spent in the ED</w:t>
            </w:r>
            <w:r w:rsidRPr="008820E0">
              <w:rPr>
                <w:rFonts w:cs="Arial"/>
                <w:lang w:eastAsia="ja-JP"/>
              </w:rPr>
              <w:t xml:space="preserve"> is defined as the difference between the “patient arrival time at the ED” to “</w:t>
            </w:r>
            <w:r w:rsidR="00DE757A">
              <w:rPr>
                <w:rFonts w:cs="Arial"/>
                <w:lang w:eastAsia="ja-JP"/>
              </w:rPr>
              <w:t xml:space="preserve">final </w:t>
            </w:r>
            <w:r w:rsidRPr="008820E0">
              <w:rPr>
                <w:rFonts w:cs="Arial"/>
                <w:lang w:eastAsia="ja-JP"/>
              </w:rPr>
              <w:t>patient departure from the ED</w:t>
            </w:r>
            <w:r w:rsidR="004B610C" w:rsidRPr="008820E0">
              <w:rPr>
                <w:rFonts w:cs="Arial"/>
                <w:lang w:eastAsia="ja-JP"/>
              </w:rPr>
              <w:t>.”</w:t>
            </w:r>
          </w:p>
        </w:tc>
      </w:tr>
      <w:tr w:rsidR="00C11556" w:rsidRPr="009A5185" w14:paraId="2A9CF93D" w14:textId="77777777" w:rsidTr="00D73F6A">
        <w:trPr>
          <w:trHeight w:val="1970"/>
          <w:jc w:val="center"/>
        </w:trPr>
        <w:tc>
          <w:tcPr>
            <w:tcW w:w="9562" w:type="dxa"/>
            <w:vAlign w:val="center"/>
          </w:tcPr>
          <w:p w14:paraId="5F8D8209" w14:textId="78510E62" w:rsidR="00C11556" w:rsidRPr="008820E0" w:rsidRDefault="00C11556" w:rsidP="00C11556">
            <w:pPr>
              <w:rPr>
                <w:rFonts w:cs="Arial"/>
              </w:rPr>
            </w:pPr>
            <w:r w:rsidRPr="008820E0">
              <w:rPr>
                <w:rFonts w:cs="Arial"/>
                <w:b/>
                <w:bCs/>
              </w:rPr>
              <w:t xml:space="preserve">Question #5, column </w:t>
            </w:r>
            <w:r w:rsidR="009E3A4E">
              <w:rPr>
                <w:rFonts w:cs="Arial"/>
                <w:b/>
                <w:bCs/>
              </w:rPr>
              <w:t>e</w:t>
            </w:r>
            <w:r w:rsidRPr="008820E0">
              <w:rPr>
                <w:rFonts w:cs="Arial"/>
                <w:b/>
                <w:bCs/>
              </w:rPr>
              <w:t xml:space="preserve">: </w:t>
            </w:r>
            <w:r w:rsidRPr="008820E0">
              <w:rPr>
                <w:rFonts w:cs="Arial"/>
              </w:rPr>
              <w:t>90</w:t>
            </w:r>
            <w:r w:rsidRPr="008820E0">
              <w:rPr>
                <w:rFonts w:cs="Arial"/>
                <w:vertAlign w:val="superscript"/>
              </w:rPr>
              <w:t>th</w:t>
            </w:r>
            <w:r w:rsidRPr="008820E0">
              <w:rPr>
                <w:rFonts w:cs="Arial"/>
              </w:rPr>
              <w:t xml:space="preserve"> percentile of </w:t>
            </w:r>
            <w:r w:rsidRPr="008820E0">
              <w:rPr>
                <w:rFonts w:cs="Arial"/>
                <w:b/>
                <w:bCs/>
                <w:u w:val="single"/>
              </w:rPr>
              <w:t>hours</w:t>
            </w:r>
            <w:r w:rsidRPr="008820E0">
              <w:rPr>
                <w:rFonts w:cs="Arial"/>
              </w:rPr>
              <w:t xml:space="preserve"> spent in the ED for ED visits indicated in column (a).</w:t>
            </w:r>
          </w:p>
          <w:p w14:paraId="52C28F5A" w14:textId="77777777" w:rsidR="00C11556" w:rsidRPr="008820E0" w:rsidRDefault="00C11556" w:rsidP="00C11556">
            <w:pPr>
              <w:rPr>
                <w:rFonts w:cs="Arial"/>
                <w:snapToGrid w:val="0"/>
              </w:rPr>
            </w:pPr>
          </w:p>
          <w:p w14:paraId="0D0241BF" w14:textId="77777777" w:rsidR="00C11556" w:rsidRPr="008820E0" w:rsidRDefault="00C11556" w:rsidP="00C11556">
            <w:pPr>
              <w:rPr>
                <w:rFonts w:cs="Arial"/>
                <w:bCs/>
              </w:rPr>
            </w:pPr>
            <w:r w:rsidRPr="008820E0">
              <w:rPr>
                <w:rFonts w:cs="Arial"/>
                <w:bCs/>
              </w:rPr>
              <w:t>Enter the 90</w:t>
            </w:r>
            <w:r w:rsidRPr="008820E0">
              <w:rPr>
                <w:rFonts w:cs="Arial"/>
                <w:bCs/>
                <w:vertAlign w:val="superscript"/>
              </w:rPr>
              <w:t>th</w:t>
            </w:r>
            <w:r w:rsidRPr="008820E0">
              <w:rPr>
                <w:rFonts w:cs="Arial"/>
                <w:bCs/>
              </w:rPr>
              <w:t xml:space="preserve"> percentile of hours spent in the ED for ED visits indicated in column (a) for each of the following admission types:</w:t>
            </w:r>
          </w:p>
          <w:p w14:paraId="2AA0EBE5" w14:textId="1CC3B7F3" w:rsidR="00C11556" w:rsidRPr="008820E0" w:rsidRDefault="00C47F6F" w:rsidP="00C11556">
            <w:pPr>
              <w:ind w:left="720"/>
              <w:rPr>
                <w:b/>
                <w:bCs/>
              </w:rPr>
            </w:pPr>
            <w:r>
              <w:t>P</w:t>
            </w:r>
            <w:r w:rsidR="00C11556" w:rsidRPr="008820E0">
              <w:t>atients admitted to a</w:t>
            </w:r>
            <w:r w:rsidR="003C652D">
              <w:t xml:space="preserve"> pediatric</w:t>
            </w:r>
            <w:r w:rsidR="00C11556" w:rsidRPr="008820E0">
              <w:t xml:space="preserve"> inpatient </w:t>
            </w:r>
            <w:r w:rsidR="00C11556" w:rsidRPr="008820E0">
              <w:rPr>
                <w:b/>
                <w:bCs/>
              </w:rPr>
              <w:t>non-psychiatric bed</w:t>
            </w:r>
          </w:p>
          <w:p w14:paraId="7A8669CF" w14:textId="6AB6B14F" w:rsidR="00C11556" w:rsidRPr="008820E0" w:rsidRDefault="00C47F6F" w:rsidP="00C11556">
            <w:pPr>
              <w:ind w:left="720"/>
              <w:rPr>
                <w:b/>
                <w:bCs/>
              </w:rPr>
            </w:pPr>
            <w:r>
              <w:t>P</w:t>
            </w:r>
            <w:r w:rsidR="00C11556" w:rsidRPr="008820E0">
              <w:t>atients admitted to a</w:t>
            </w:r>
            <w:r w:rsidR="003C652D">
              <w:t xml:space="preserve"> pediatric</w:t>
            </w:r>
            <w:r w:rsidR="00C11556" w:rsidRPr="008820E0">
              <w:t xml:space="preserve"> inpatient </w:t>
            </w:r>
            <w:r w:rsidR="00C11556" w:rsidRPr="008820E0">
              <w:rPr>
                <w:b/>
                <w:bCs/>
              </w:rPr>
              <w:t>psychiatric bed</w:t>
            </w:r>
          </w:p>
          <w:p w14:paraId="6DCD292D" w14:textId="77777777" w:rsidR="0077309D" w:rsidRDefault="0077309D" w:rsidP="0077309D"/>
          <w:p w14:paraId="5EEF8E65" w14:textId="0EF515A7" w:rsidR="0077309D" w:rsidRPr="00A25B79" w:rsidRDefault="0077309D" w:rsidP="0077309D">
            <w:pPr>
              <w:rPr>
                <w:rFonts w:cs="Arial"/>
                <w:snapToGrid w:val="0"/>
              </w:rPr>
            </w:pPr>
            <w:r w:rsidRPr="004F7C13">
              <w:t xml:space="preserve">The </w:t>
            </w:r>
            <w:r w:rsidRPr="004F7C13">
              <w:rPr>
                <w:b/>
                <w:bCs/>
              </w:rPr>
              <w:t xml:space="preserve">90th percentile </w:t>
            </w:r>
            <w:r w:rsidR="006D3894" w:rsidRPr="006D3894">
              <w:t>represents the amount of time in which 90% of the patients fall below that value. For example, if your hospital’s 90th percentile of hours spent in the ED is 36.5 hours, it means that 90% of your ED patients who were admitted to the hospital were in the ED for 36.5 hours or less.</w:t>
            </w:r>
          </w:p>
          <w:p w14:paraId="2736AB8F" w14:textId="77777777" w:rsidR="0077309D" w:rsidRPr="00A25B79" w:rsidRDefault="0077309D" w:rsidP="0077309D">
            <w:pPr>
              <w:rPr>
                <w:rFonts w:cs="Arial"/>
                <w:snapToGrid w:val="0"/>
              </w:rPr>
            </w:pPr>
          </w:p>
          <w:p w14:paraId="710D7690" w14:textId="77777777" w:rsidR="00C11556" w:rsidRPr="008820E0" w:rsidRDefault="00C11556" w:rsidP="00C11556">
            <w:pPr>
              <w:rPr>
                <w:rFonts w:cs="Arial"/>
                <w:b/>
                <w:snapToGrid w:val="0"/>
              </w:rPr>
            </w:pPr>
            <w:r w:rsidRPr="008820E0">
              <w:rPr>
                <w:rFonts w:cs="Arial"/>
                <w:b/>
                <w:snapToGrid w:val="0"/>
              </w:rPr>
              <w:t>Include:</w:t>
            </w:r>
          </w:p>
          <w:p w14:paraId="2C8A7690" w14:textId="75E1B7A7" w:rsidR="00C11556" w:rsidRPr="008820E0" w:rsidRDefault="00C11556" w:rsidP="00AD309C">
            <w:pPr>
              <w:pStyle w:val="ListParagraph"/>
              <w:numPr>
                <w:ilvl w:val="0"/>
                <w:numId w:val="87"/>
              </w:numPr>
              <w:rPr>
                <w:rFonts w:cs="Arial"/>
                <w:lang w:eastAsia="ja-JP"/>
              </w:rPr>
            </w:pPr>
            <w:r w:rsidRPr="008820E0">
              <w:rPr>
                <w:rFonts w:cs="Arial"/>
                <w:lang w:eastAsia="ja-JP"/>
              </w:rPr>
              <w:t xml:space="preserve">Hours spent in the ED for patients with an ED visit that </w:t>
            </w:r>
            <w:r w:rsidR="005D79A8" w:rsidRPr="008820E0">
              <w:rPr>
                <w:rFonts w:cs="Arial"/>
                <w:lang w:eastAsia="ja-JP"/>
              </w:rPr>
              <w:t>were</w:t>
            </w:r>
            <w:r w:rsidRPr="008820E0">
              <w:rPr>
                <w:rFonts w:cs="Arial"/>
                <w:lang w:eastAsia="ja-JP"/>
              </w:rPr>
              <w:t xml:space="preserve"> admitted to the hospital’s inpatient setting or </w:t>
            </w:r>
            <w:r w:rsidR="00474B5A" w:rsidRPr="008820E0">
              <w:rPr>
                <w:rFonts w:cs="Arial"/>
                <w:lang w:eastAsia="ja-JP"/>
              </w:rPr>
              <w:t>placed in</w:t>
            </w:r>
            <w:r w:rsidRPr="008820E0">
              <w:rPr>
                <w:rFonts w:cs="Arial"/>
                <w:lang w:eastAsia="ja-JP"/>
              </w:rPr>
              <w:t xml:space="preserve"> hospital observation status.</w:t>
            </w:r>
          </w:p>
          <w:p w14:paraId="56F33CB7" w14:textId="77777777" w:rsidR="00C11556" w:rsidRPr="008820E0" w:rsidRDefault="00C11556" w:rsidP="00C11556">
            <w:pPr>
              <w:pStyle w:val="ListParagraph"/>
              <w:rPr>
                <w:rFonts w:cs="Arial"/>
                <w:lang w:eastAsia="ja-JP"/>
              </w:rPr>
            </w:pPr>
          </w:p>
          <w:p w14:paraId="26587569" w14:textId="18D8928A" w:rsidR="00C11556" w:rsidRPr="008820E0" w:rsidRDefault="00C11556" w:rsidP="00C11556">
            <w:pPr>
              <w:rPr>
                <w:rFonts w:cs="Arial"/>
                <w:b/>
                <w:bCs/>
              </w:rPr>
            </w:pPr>
            <w:r w:rsidRPr="008820E0">
              <w:rPr>
                <w:rFonts w:cs="Arial"/>
                <w:b/>
                <w:bCs/>
                <w:lang w:eastAsia="ja-JP"/>
              </w:rPr>
              <w:t>Hours spent in the ED</w:t>
            </w:r>
            <w:r w:rsidRPr="008820E0">
              <w:rPr>
                <w:rFonts w:cs="Arial"/>
                <w:lang w:eastAsia="ja-JP"/>
              </w:rPr>
              <w:t xml:space="preserve"> is defined as the difference between the “patient arrival time at the ED” to “</w:t>
            </w:r>
            <w:r w:rsidR="00DE757A">
              <w:rPr>
                <w:rFonts w:cs="Arial"/>
                <w:lang w:eastAsia="ja-JP"/>
              </w:rPr>
              <w:t xml:space="preserve">final </w:t>
            </w:r>
            <w:r w:rsidRPr="008820E0">
              <w:rPr>
                <w:rFonts w:cs="Arial"/>
                <w:lang w:eastAsia="ja-JP"/>
              </w:rPr>
              <w:t>patient departure from the ED</w:t>
            </w:r>
            <w:r w:rsidR="00474B5A" w:rsidRPr="008820E0">
              <w:rPr>
                <w:rFonts w:cs="Arial"/>
                <w:lang w:eastAsia="ja-JP"/>
              </w:rPr>
              <w:t>.”</w:t>
            </w:r>
          </w:p>
        </w:tc>
      </w:tr>
      <w:bookmarkEnd w:id="542"/>
    </w:tbl>
    <w:p w14:paraId="051ACB71" w14:textId="60BD8A4A" w:rsidR="00617ECE" w:rsidRDefault="00617ECE" w:rsidP="00617ECE">
      <w:pPr>
        <w:rPr>
          <w:b/>
          <w:snapToGrid w:val="0"/>
          <w:sz w:val="28"/>
          <w:szCs w:val="24"/>
          <w:u w:val="single"/>
          <w:lang w:eastAsia="ja-JP"/>
        </w:rPr>
      </w:pPr>
    </w:p>
    <w:p w14:paraId="7C8ED86C" w14:textId="61D69F37" w:rsidR="00823FED" w:rsidRDefault="00823FED" w:rsidP="00823FED">
      <w:pPr>
        <w:rPr>
          <w:b/>
          <w:snapToGrid w:val="0"/>
          <w:sz w:val="28"/>
          <w:szCs w:val="24"/>
          <w:u w:val="single"/>
          <w:lang w:eastAsia="ja-JP"/>
        </w:rPr>
      </w:pPr>
    </w:p>
    <w:p w14:paraId="42BEFCC1" w14:textId="77777777" w:rsidR="00AE47DC" w:rsidRDefault="00AE47DC">
      <w:pPr>
        <w:rPr>
          <w:b/>
          <w:snapToGrid w:val="0"/>
          <w:sz w:val="28"/>
          <w:szCs w:val="24"/>
          <w:u w:val="single"/>
          <w:lang w:eastAsia="ja-JP"/>
        </w:rPr>
      </w:pPr>
      <w:bookmarkStart w:id="544" w:name="_Patient_Safety_Practices_1"/>
      <w:bookmarkStart w:id="545" w:name="_Ref130479276"/>
      <w:bookmarkStart w:id="546" w:name="_Ref130479337"/>
      <w:bookmarkStart w:id="547" w:name="_Ref130479382"/>
      <w:bookmarkStart w:id="548" w:name="_Ref130479446"/>
      <w:bookmarkEnd w:id="544"/>
      <w:r>
        <w:br w:type="page"/>
      </w:r>
    </w:p>
    <w:p w14:paraId="472B73B6" w14:textId="6DDDF7FC" w:rsidR="00563CD7" w:rsidRDefault="005735C3" w:rsidP="00CF5A6E">
      <w:pPr>
        <w:pStyle w:val="Heading2"/>
      </w:pPr>
      <w:bookmarkStart w:id="549" w:name="_Patient_Safety_Practices_2"/>
      <w:bookmarkStart w:id="550" w:name="_Toc225877798"/>
      <w:bookmarkEnd w:id="549"/>
      <w:r>
        <w:t xml:space="preserve">Section 6: </w:t>
      </w:r>
      <w:r w:rsidR="00600EE7">
        <w:t xml:space="preserve">Patient </w:t>
      </w:r>
      <w:r w:rsidR="00563CD7">
        <w:t>Safe</w:t>
      </w:r>
      <w:r w:rsidR="00600EE7">
        <w:t>ty</w:t>
      </w:r>
      <w:r w:rsidR="00563CD7">
        <w:t xml:space="preserve"> Practices Frequently Asked Questions (FAQs)</w:t>
      </w:r>
      <w:bookmarkEnd w:id="519"/>
      <w:bookmarkEnd w:id="520"/>
      <w:bookmarkEnd w:id="532"/>
      <w:bookmarkEnd w:id="533"/>
      <w:bookmarkEnd w:id="534"/>
      <w:bookmarkEnd w:id="535"/>
      <w:bookmarkEnd w:id="545"/>
      <w:bookmarkEnd w:id="546"/>
      <w:bookmarkEnd w:id="547"/>
      <w:bookmarkEnd w:id="548"/>
      <w:bookmarkEnd w:id="550"/>
    </w:p>
    <w:p w14:paraId="6902D86B" w14:textId="77777777" w:rsidR="00563CD7" w:rsidRDefault="00563CD7" w:rsidP="0002601E"/>
    <w:p w14:paraId="2D357B3B" w14:textId="54723A02" w:rsidR="00563CD7" w:rsidRPr="00EC77C5" w:rsidRDefault="00563CD7" w:rsidP="00AB5B80">
      <w:pPr>
        <w:pStyle w:val="Heading3"/>
      </w:pPr>
      <w:bookmarkStart w:id="551" w:name="_Toc502828414"/>
      <w:bookmarkStart w:id="552" w:name="_Toc225877799"/>
      <w:r w:rsidRPr="00EC77C5">
        <w:t xml:space="preserve">General </w:t>
      </w:r>
      <w:r w:rsidR="00211AF2">
        <w:t>Questions</w:t>
      </w:r>
      <w:bookmarkEnd w:id="551"/>
      <w:bookmarkEnd w:id="552"/>
    </w:p>
    <w:p w14:paraId="77C551A9" w14:textId="77777777" w:rsidR="00563CD7" w:rsidRDefault="00563CD7" w:rsidP="0002601E"/>
    <w:p w14:paraId="67DAA851" w14:textId="4F03F416" w:rsidR="00563CD7" w:rsidRPr="00A63676" w:rsidRDefault="00563CD7" w:rsidP="00AD309C">
      <w:pPr>
        <w:pStyle w:val="ListParagraph"/>
        <w:numPr>
          <w:ilvl w:val="0"/>
          <w:numId w:val="410"/>
        </w:numPr>
      </w:pPr>
      <w:bookmarkStart w:id="553" w:name="ForthepurposesofreportingonSection6"/>
      <w:r w:rsidRPr="00616AEC">
        <w:rPr>
          <w:rFonts w:cs="Arial"/>
          <w:b/>
        </w:rPr>
        <w:t>For the purposes of reporting on Section 6 of the Leapfrog Hospital Survey:</w:t>
      </w:r>
      <w:r w:rsidR="00592852" w:rsidRPr="00616AEC">
        <w:rPr>
          <w:b/>
        </w:rPr>
        <w:br/>
      </w:r>
    </w:p>
    <w:p w14:paraId="4A78293B" w14:textId="20D64C81" w:rsidR="00563CD7" w:rsidRDefault="00563CD7" w:rsidP="00AD309C">
      <w:pPr>
        <w:numPr>
          <w:ilvl w:val="1"/>
          <w:numId w:val="410"/>
        </w:numPr>
        <w:spacing w:after="120"/>
        <w:ind w:left="936"/>
      </w:pPr>
      <w:bookmarkStart w:id="554" w:name="FrontlineCaregivers"/>
      <w:bookmarkEnd w:id="553"/>
      <w:r>
        <w:rPr>
          <w:b/>
        </w:rPr>
        <w:t>Frontline caregivers</w:t>
      </w:r>
      <w:r w:rsidRPr="00716B66">
        <w:t xml:space="preserve"> </w:t>
      </w:r>
      <w:bookmarkEnd w:id="554"/>
      <w:r w:rsidRPr="00716B66">
        <w:t xml:space="preserve">include, but are </w:t>
      </w:r>
      <w:r w:rsidR="00D23F6F">
        <w:t xml:space="preserve">not </w:t>
      </w:r>
      <w:r w:rsidR="00881BED">
        <w:t>necessarily limited to</w:t>
      </w:r>
      <w:r w:rsidRPr="00716B66">
        <w:t xml:space="preserve"> employed physicians, mid-levels (NPs, PAs), nurses, environmental services staff, allied health professionals, and occupational and physical therapists. </w:t>
      </w:r>
    </w:p>
    <w:p w14:paraId="7ED2954C" w14:textId="77777777" w:rsidR="002B5372" w:rsidRDefault="002B5372" w:rsidP="00AD309C">
      <w:pPr>
        <w:numPr>
          <w:ilvl w:val="1"/>
          <w:numId w:val="410"/>
        </w:numPr>
        <w:spacing w:after="120"/>
        <w:ind w:left="936"/>
      </w:pPr>
      <w:bookmarkStart w:id="555" w:name="ServiceLineManagement"/>
      <w:r>
        <w:rPr>
          <w:b/>
        </w:rPr>
        <w:t xml:space="preserve">Service line management </w:t>
      </w:r>
      <w:bookmarkEnd w:id="555"/>
      <w:r>
        <w:t xml:space="preserve">refers to those who </w:t>
      </w:r>
      <w:r>
        <w:rPr>
          <w:color w:val="222222"/>
          <w:shd w:val="clear" w:color="auto" w:fill="FFFFFF"/>
        </w:rPr>
        <w:t xml:space="preserve">manage </w:t>
      </w:r>
      <w:r>
        <w:rPr>
          <w:color w:val="000000"/>
          <w:shd w:val="clear" w:color="auto" w:fill="FFFFFF"/>
        </w:rPr>
        <w:t xml:space="preserve">all functions within a specific service line (e.g., oncology, cardiac, women's, orthopedics). These individuals may be managing a departmental sub-function within a broader department (e.g., cardiac care within the </w:t>
      </w:r>
      <w:r w:rsidR="00B342C9">
        <w:rPr>
          <w:color w:val="000000"/>
          <w:shd w:val="clear" w:color="auto" w:fill="FFFFFF"/>
        </w:rPr>
        <w:t>D</w:t>
      </w:r>
      <w:r w:rsidRPr="008306A5">
        <w:rPr>
          <w:noProof/>
          <w:color w:val="000000"/>
          <w:shd w:val="clear" w:color="auto" w:fill="FFFFFF"/>
        </w:rPr>
        <w:t>epartment</w:t>
      </w:r>
      <w:r>
        <w:rPr>
          <w:color w:val="000000"/>
          <w:shd w:val="clear" w:color="auto" w:fill="FFFFFF"/>
        </w:rPr>
        <w:t xml:space="preserve"> of Medicine).</w:t>
      </w:r>
    </w:p>
    <w:p w14:paraId="6FB66EC8" w14:textId="77777777" w:rsidR="00563CD7" w:rsidRDefault="00563CD7" w:rsidP="00AD309C">
      <w:pPr>
        <w:numPr>
          <w:ilvl w:val="1"/>
          <w:numId w:val="410"/>
        </w:numPr>
        <w:spacing w:after="120"/>
        <w:ind w:left="936"/>
      </w:pPr>
      <w:bookmarkStart w:id="556" w:name="MidlevelManagement"/>
      <w:r>
        <w:rPr>
          <w:b/>
        </w:rPr>
        <w:t>Midlevel management</w:t>
      </w:r>
      <w:r>
        <w:t xml:space="preserve"> </w:t>
      </w:r>
      <w:bookmarkEnd w:id="556"/>
      <w:r w:rsidRPr="007507F3">
        <w:t>includes the intermediate management of an organization that is subordinate to the executive management and responsible for at least two low</w:t>
      </w:r>
      <w:r>
        <w:t>er levels of staff below them. </w:t>
      </w:r>
      <w:r w:rsidRPr="007507F3">
        <w:t>An example would include a Director of Nursing, who might oversee Nursing Managers, who oversee the nurses who care directly for patients.</w:t>
      </w:r>
    </w:p>
    <w:p w14:paraId="44C4D755" w14:textId="77777777" w:rsidR="00563CD7" w:rsidRPr="002B5372" w:rsidRDefault="00563CD7" w:rsidP="00AD309C">
      <w:pPr>
        <w:numPr>
          <w:ilvl w:val="1"/>
          <w:numId w:val="410"/>
        </w:numPr>
        <w:spacing w:after="120"/>
        <w:ind w:left="936"/>
      </w:pPr>
      <w:bookmarkStart w:id="557" w:name="PhysicianLeadership"/>
      <w:r w:rsidRPr="002B5372">
        <w:rPr>
          <w:b/>
        </w:rPr>
        <w:t>Physician leadership</w:t>
      </w:r>
      <w:r w:rsidRPr="002B5372">
        <w:t xml:space="preserve"> </w:t>
      </w:r>
      <w:bookmarkEnd w:id="557"/>
      <w:r w:rsidRPr="002B5372">
        <w:t xml:space="preserve">refers to physicians who serve in a leadership role in the organization. Titles may include positions such as Chief Medical Officer, Vice President for Medical Affairs, </w:t>
      </w:r>
      <w:r w:rsidRPr="002B5372">
        <w:rPr>
          <w:shd w:val="clear" w:color="auto" w:fill="FFFFFF"/>
        </w:rPr>
        <w:t>Medical Director, and/or Department Chair</w:t>
      </w:r>
      <w:r w:rsidRPr="002B5372">
        <w:rPr>
          <w:color w:val="545454"/>
          <w:shd w:val="clear" w:color="auto" w:fill="FFFFFF"/>
        </w:rPr>
        <w:t>.</w:t>
      </w:r>
    </w:p>
    <w:p w14:paraId="4E85A847" w14:textId="77777777" w:rsidR="002B5372" w:rsidRPr="002B5372" w:rsidRDefault="00BB2CFC" w:rsidP="00AD309C">
      <w:pPr>
        <w:numPr>
          <w:ilvl w:val="1"/>
          <w:numId w:val="410"/>
        </w:numPr>
        <w:spacing w:after="120"/>
        <w:ind w:left="936"/>
      </w:pPr>
      <w:bookmarkStart w:id="558" w:name="NursingLeadership"/>
      <w:r>
        <w:rPr>
          <w:b/>
        </w:rPr>
        <w:t>Nursing</w:t>
      </w:r>
      <w:r w:rsidR="002B5372" w:rsidRPr="002B5372">
        <w:rPr>
          <w:b/>
        </w:rPr>
        <w:t xml:space="preserve"> leadership</w:t>
      </w:r>
      <w:r w:rsidR="002B5372" w:rsidRPr="002B5372">
        <w:t xml:space="preserve"> </w:t>
      </w:r>
      <w:bookmarkEnd w:id="558"/>
      <w:r w:rsidR="002B5372" w:rsidRPr="002B5372">
        <w:t xml:space="preserve">refers to nurses who serve in a leadership role (e.g., Chief </w:t>
      </w:r>
      <w:r>
        <w:t xml:space="preserve">Nursing Officer, Vice President/Assistant Vice President </w:t>
      </w:r>
      <w:r w:rsidR="002B5372" w:rsidRPr="002B5372">
        <w:t>of Nursing, Vice President</w:t>
      </w:r>
      <w:r>
        <w:t>/Assistant Vice President</w:t>
      </w:r>
      <w:r w:rsidR="002B5372" w:rsidRPr="002B5372">
        <w:t xml:space="preserve"> for Clinical Operations, etc.)</w:t>
      </w:r>
    </w:p>
    <w:p w14:paraId="789581CF" w14:textId="77777777" w:rsidR="002B5372" w:rsidRPr="002B5372" w:rsidRDefault="002B5372" w:rsidP="00AD309C">
      <w:pPr>
        <w:numPr>
          <w:ilvl w:val="1"/>
          <w:numId w:val="410"/>
        </w:numPr>
        <w:spacing w:after="120"/>
        <w:ind w:left="936"/>
      </w:pPr>
      <w:bookmarkStart w:id="559" w:name="SeniorAdministrativeLeadership"/>
      <w:r w:rsidRPr="002B5372">
        <w:rPr>
          <w:b/>
        </w:rPr>
        <w:t>Senior administrative leadership</w:t>
      </w:r>
      <w:r w:rsidRPr="002B5372">
        <w:t xml:space="preserve"> </w:t>
      </w:r>
      <w:bookmarkEnd w:id="559"/>
      <w:r w:rsidRPr="002B5372">
        <w:t>refers to administrators who are responsible for hospital-wide departments or services (e.g., Chief Executive Officer, Chief Administrative Officer, Chief Nursing Officer, Chief Medical Officer, etc.).</w:t>
      </w:r>
    </w:p>
    <w:p w14:paraId="1AA1D01F" w14:textId="4D617DA6" w:rsidR="00BB2CFC" w:rsidRDefault="00563CD7" w:rsidP="00AD309C">
      <w:pPr>
        <w:numPr>
          <w:ilvl w:val="1"/>
          <w:numId w:val="410"/>
        </w:numPr>
        <w:spacing w:after="120"/>
        <w:ind w:left="936"/>
      </w:pPr>
      <w:r w:rsidRPr="00222580">
        <w:rPr>
          <w:b/>
        </w:rPr>
        <w:t>Patient</w:t>
      </w:r>
      <w:bookmarkStart w:id="560" w:name="PatientSafetyOfficer"/>
      <w:bookmarkEnd w:id="560"/>
      <w:r w:rsidRPr="00222580">
        <w:rPr>
          <w:b/>
        </w:rPr>
        <w:t xml:space="preserve"> Safety Officer</w:t>
      </w:r>
      <w:r w:rsidR="002B5372">
        <w:t xml:space="preserve"> refers to the patient safety leader </w:t>
      </w:r>
      <w:r w:rsidRPr="00A63676">
        <w:t xml:space="preserve">(who may or may not have the title “Patient Safety Officer”) </w:t>
      </w:r>
      <w:r>
        <w:t>who</w:t>
      </w:r>
      <w:r w:rsidRPr="00A63676">
        <w:t xml:space="preserve"> has responsibility for multiple and integrated areas of patient safety. The organization may appoint an officer who may have other assigned duties or may specifically employ a </w:t>
      </w:r>
      <w:r w:rsidR="00104C85">
        <w:t>P</w:t>
      </w:r>
      <w:r w:rsidRPr="00A63676">
        <w:t xml:space="preserve">atient </w:t>
      </w:r>
      <w:r w:rsidR="00104C85">
        <w:t>S</w:t>
      </w:r>
      <w:r w:rsidRPr="00A63676">
        <w:t xml:space="preserve">afety </w:t>
      </w:r>
      <w:r w:rsidR="00104C85">
        <w:t>O</w:t>
      </w:r>
      <w:r w:rsidRPr="00A63676">
        <w:t>fficer des</w:t>
      </w:r>
      <w:r w:rsidR="002B5372">
        <w:t>ignated with this responsibility</w:t>
      </w:r>
      <w:r>
        <w:t xml:space="preserve">. </w:t>
      </w:r>
      <w:r w:rsidRPr="00A63676">
        <w:t xml:space="preserve">Multiple executives who </w:t>
      </w:r>
      <w:r w:rsidR="002B5372">
        <w:t xml:space="preserve">are </w:t>
      </w:r>
      <w:r w:rsidR="007614E4">
        <w:t>responsible for individual areas (</w:t>
      </w:r>
      <w:r w:rsidR="000A554A">
        <w:t>i.e.,</w:t>
      </w:r>
      <w:r w:rsidR="007614E4">
        <w:t xml:space="preserve"> risk, quality, infection prevention, etc.)</w:t>
      </w:r>
      <w:r w:rsidR="002B5372">
        <w:t xml:space="preserve">, but do not </w:t>
      </w:r>
      <w:r w:rsidRPr="00A63676">
        <w:t xml:space="preserve">assess the integrated safety issues, would not qualify. </w:t>
      </w:r>
    </w:p>
    <w:p w14:paraId="38AB23BB" w14:textId="531E9417" w:rsidR="00F83C07" w:rsidRDefault="00563CD7" w:rsidP="00AD309C">
      <w:pPr>
        <w:numPr>
          <w:ilvl w:val="1"/>
          <w:numId w:val="410"/>
        </w:numPr>
        <w:ind w:left="936"/>
      </w:pPr>
      <w:bookmarkStart w:id="561" w:name="Board"/>
      <w:r w:rsidRPr="00B71EB1">
        <w:rPr>
          <w:b/>
        </w:rPr>
        <w:t>Board (governance)</w:t>
      </w:r>
      <w:r w:rsidRPr="00B71EB1">
        <w:t xml:space="preserve"> </w:t>
      </w:r>
      <w:bookmarkEnd w:id="561"/>
      <w:r w:rsidRPr="00B71EB1">
        <w:t xml:space="preserve">refers to the </w:t>
      </w:r>
      <w:r w:rsidR="007614E4" w:rsidRPr="00B71EB1">
        <w:t xml:space="preserve">individual </w:t>
      </w:r>
      <w:r w:rsidRPr="00B71EB1">
        <w:t xml:space="preserve">hospital’s board of </w:t>
      </w:r>
      <w:r w:rsidRPr="00B71EB1">
        <w:rPr>
          <w:noProof/>
        </w:rPr>
        <w:t>directors,</w:t>
      </w:r>
      <w:r w:rsidRPr="00B71EB1">
        <w:t xml:space="preserve"> or the board that governs the hospital and </w:t>
      </w:r>
      <w:r w:rsidR="006671F0">
        <w:t>can</w:t>
      </w:r>
      <w:r w:rsidRPr="00B71EB1">
        <w:t xml:space="preserve"> pass policies that impact the hospital</w:t>
      </w:r>
      <w:r w:rsidR="00B71EB1" w:rsidRPr="00B71EB1">
        <w:t xml:space="preserve">, </w:t>
      </w:r>
      <w:r w:rsidR="001D49B7" w:rsidRPr="00E321D5">
        <w:rPr>
          <w:rFonts w:cs="Arial"/>
        </w:rPr>
        <w:t>or a system-wide board that governs hospitals in the system</w:t>
      </w:r>
      <w:r w:rsidR="001D49B7">
        <w:rPr>
          <w:rFonts w:cs="Arial"/>
        </w:rPr>
        <w:t xml:space="preserve">, </w:t>
      </w:r>
      <w:r w:rsidR="00B71EB1" w:rsidRPr="00B71EB1">
        <w:t xml:space="preserve">or </w:t>
      </w:r>
      <w:r w:rsidR="008A5717">
        <w:t xml:space="preserve">a </w:t>
      </w:r>
      <w:r w:rsidR="00B71EB1" w:rsidRPr="00B71EB1">
        <w:t xml:space="preserve">committee of the board (such as a board-appointed, </w:t>
      </w:r>
      <w:r w:rsidR="00C939C0" w:rsidRPr="00B71EB1">
        <w:t>hospital</w:t>
      </w:r>
      <w:r w:rsidR="00B71EB1" w:rsidRPr="00B71EB1">
        <w:t>-wide Patient Safety and Quality Committee</w:t>
      </w:r>
      <w:r w:rsidR="008A5717">
        <w:t>, which includes board members</w:t>
      </w:r>
      <w:r w:rsidR="00B71EB1" w:rsidRPr="00B71EB1">
        <w:t>)</w:t>
      </w:r>
      <w:r w:rsidRPr="00B71EB1">
        <w:t>.</w:t>
      </w:r>
      <w:bookmarkStart w:id="562" w:name="MEC"/>
    </w:p>
    <w:p w14:paraId="0E9FB891" w14:textId="77777777" w:rsidR="00751E5F" w:rsidRDefault="00751E5F" w:rsidP="00751E5F">
      <w:pPr>
        <w:ind w:left="936"/>
      </w:pPr>
    </w:p>
    <w:p w14:paraId="0CA61808" w14:textId="0F75E3A6" w:rsidR="00E55358" w:rsidRPr="00E55358" w:rsidRDefault="00E55358" w:rsidP="00AD309C">
      <w:pPr>
        <w:numPr>
          <w:ilvl w:val="1"/>
          <w:numId w:val="410"/>
        </w:numPr>
        <w:ind w:left="936"/>
      </w:pPr>
      <w:r w:rsidRPr="00F83C07">
        <w:rPr>
          <w:b/>
        </w:rPr>
        <w:t>Medical executive committee</w:t>
      </w:r>
      <w:bookmarkEnd w:id="562"/>
      <w:r>
        <w:t xml:space="preserve"> refers to a primary governance committee for medical staff. The medical executive committee makes leadership decisions related to medical staff policies, procedures, and rules, with an emphasis on quality control and quality improvement. They also adopt and implemen</w:t>
      </w:r>
      <w:r w:rsidR="00881BED">
        <w:t>t these policies and procedures</w:t>
      </w:r>
      <w:r>
        <w:t xml:space="preserve"> and are responsible for medical staff appointment and reappointment.</w:t>
      </w:r>
    </w:p>
    <w:p w14:paraId="5AF49FF4" w14:textId="61A9745C" w:rsidR="00563CD7" w:rsidRPr="00E41076" w:rsidRDefault="00563CD7" w:rsidP="00B71EB1"/>
    <w:p w14:paraId="68643CCA" w14:textId="22F22AFD" w:rsidR="004E5FA1" w:rsidRDefault="00563CD7" w:rsidP="00AD309C">
      <w:pPr>
        <w:pStyle w:val="ListParagraph"/>
        <w:numPr>
          <w:ilvl w:val="0"/>
          <w:numId w:val="410"/>
        </w:numPr>
      </w:pPr>
      <w:r w:rsidRPr="001902B0">
        <w:rPr>
          <w:b/>
        </w:rPr>
        <w:t>Why is it necessary to continue to review a safe practice once it has been implemented?</w:t>
      </w:r>
      <w:r w:rsidRPr="001902B0">
        <w:rPr>
          <w:b/>
        </w:rPr>
        <w:br/>
      </w:r>
      <w:r w:rsidRPr="00AB547D">
        <w:t>All too often in the hectic pace of providing patient care in a hospital, with frequent staff turnover and lots of part-time employees, it is difficult to get a change in practice well</w:t>
      </w:r>
      <w:r w:rsidR="00D23F6F">
        <w:t>-</w:t>
      </w:r>
      <w:r w:rsidRPr="00AB547D">
        <w:t>established. Annual review with monitoring and tracking of the safe practices will ensure that they are embedded in the operations of the hospital and not lost in the transition of new staff coming in or part-t</w:t>
      </w:r>
      <w:r>
        <w:t>ime employees coming and going.</w:t>
      </w:r>
      <w:r>
        <w:br/>
      </w:r>
    </w:p>
    <w:p w14:paraId="3F67DE0A" w14:textId="77777777" w:rsidR="004E5FA1" w:rsidRDefault="004E5FA1">
      <w:r>
        <w:br w:type="page"/>
      </w:r>
    </w:p>
    <w:p w14:paraId="79B7F185" w14:textId="77777777" w:rsidR="00563CD7" w:rsidRDefault="00563CD7" w:rsidP="00AD309C">
      <w:pPr>
        <w:numPr>
          <w:ilvl w:val="0"/>
          <w:numId w:val="410"/>
        </w:numPr>
      </w:pPr>
      <w:bookmarkStart w:id="563" w:name="PerformanceReviewsorCompensation"/>
      <w:r w:rsidRPr="00FB1445">
        <w:rPr>
          <w:b/>
        </w:rPr>
        <w:t>The phrase</w:t>
      </w:r>
      <w:r>
        <w:rPr>
          <w:b/>
        </w:rPr>
        <w:t xml:space="preserve"> </w:t>
      </w:r>
      <w:r w:rsidRPr="00FB1445">
        <w:rPr>
          <w:b/>
        </w:rPr>
        <w:t>“performance reviews</w:t>
      </w:r>
      <w:r>
        <w:rPr>
          <w:b/>
        </w:rPr>
        <w:t xml:space="preserve"> or compensation</w:t>
      </w:r>
      <w:r w:rsidRPr="00FB1445">
        <w:rPr>
          <w:b/>
        </w:rPr>
        <w:t xml:space="preserve">” </w:t>
      </w:r>
      <w:r>
        <w:rPr>
          <w:b/>
        </w:rPr>
        <w:t>is used throughout Section 6</w:t>
      </w:r>
      <w:r w:rsidRPr="00FB1445">
        <w:rPr>
          <w:b/>
        </w:rPr>
        <w:t xml:space="preserve"> within many </w:t>
      </w:r>
      <w:r w:rsidRPr="00FB1445">
        <w:rPr>
          <w:b/>
          <w:i/>
        </w:rPr>
        <w:t>Accountable</w:t>
      </w:r>
      <w:r>
        <w:rPr>
          <w:b/>
        </w:rPr>
        <w:t xml:space="preserve"> elements</w:t>
      </w:r>
      <w:r w:rsidRPr="00FB1445">
        <w:rPr>
          <w:b/>
        </w:rPr>
        <w:t>.</w:t>
      </w:r>
      <w:r>
        <w:rPr>
          <w:b/>
        </w:rPr>
        <w:t xml:space="preserve"> Do performance reviews and compensation plans</w:t>
      </w:r>
      <w:r w:rsidRPr="00FB1445">
        <w:rPr>
          <w:b/>
        </w:rPr>
        <w:t xml:space="preserve"> need to </w:t>
      </w:r>
      <w:r>
        <w:rPr>
          <w:b/>
        </w:rPr>
        <w:t>have specific language about the Safe Practice</w:t>
      </w:r>
      <w:r w:rsidRPr="00FB1445">
        <w:rPr>
          <w:b/>
        </w:rPr>
        <w:t xml:space="preserve"> or can a set of patient safety goals</w:t>
      </w:r>
      <w:r>
        <w:rPr>
          <w:b/>
        </w:rPr>
        <w:t xml:space="preserve"> related to the specific Safe Practice</w:t>
      </w:r>
      <w:r w:rsidRPr="00FB1445">
        <w:rPr>
          <w:b/>
        </w:rPr>
        <w:t xml:space="preserve"> be attached?</w:t>
      </w:r>
      <w:bookmarkEnd w:id="563"/>
      <w:r>
        <w:rPr>
          <w:b/>
        </w:rPr>
        <w:br/>
      </w:r>
      <w:r w:rsidRPr="00FB1445">
        <w:t>A</w:t>
      </w:r>
      <w:r>
        <w:t xml:space="preserve"> performance review or compensation</w:t>
      </w:r>
      <w:r w:rsidRPr="00FB1445">
        <w:t xml:space="preserve"> plan should include specifi</w:t>
      </w:r>
      <w:r>
        <w:t>c language about a Safe Practice</w:t>
      </w:r>
      <w:r w:rsidRPr="00FB1445">
        <w:t>.</w:t>
      </w:r>
      <w:r>
        <w:t xml:space="preserve"> A list of Safe P</w:t>
      </w:r>
      <w:r w:rsidRPr="00FB1445">
        <w:t>ractices and related goals may be incorporated into the per</w:t>
      </w:r>
      <w:r>
        <w:t>formance review and/or compensation</w:t>
      </w:r>
      <w:r w:rsidRPr="00FB1445">
        <w:t xml:space="preserve"> plan</w:t>
      </w:r>
      <w:r>
        <w:t xml:space="preserve"> or</w:t>
      </w:r>
      <w:r w:rsidRPr="00D5209E">
        <w:rPr>
          <w:b/>
        </w:rPr>
        <w:t xml:space="preserve"> </w:t>
      </w:r>
      <w:r>
        <w:t xml:space="preserve">formalized programs whereby a measure of </w:t>
      </w:r>
      <w:r w:rsidRPr="008306A5">
        <w:rPr>
          <w:noProof/>
        </w:rPr>
        <w:t>success</w:t>
      </w:r>
      <w:r>
        <w:t xml:space="preserve"> of those activities or programs is tied to individual performance reviews or compensation incentive plans of executives.</w:t>
      </w:r>
    </w:p>
    <w:p w14:paraId="20B977ED" w14:textId="77777777" w:rsidR="00563CD7" w:rsidRDefault="00563CD7" w:rsidP="00563CD7">
      <w:pPr>
        <w:pStyle w:val="ListParagraph"/>
        <w:ind w:left="576"/>
      </w:pPr>
    </w:p>
    <w:p w14:paraId="063A7546" w14:textId="448A3CFC" w:rsidR="00563CD7" w:rsidRDefault="00563CD7" w:rsidP="004E5FA1">
      <w:pPr>
        <w:pStyle w:val="ListParagraph"/>
      </w:pPr>
      <w:r>
        <w:t xml:space="preserve">Every employee should have a patient safety component </w:t>
      </w:r>
      <w:r w:rsidR="00B342C9">
        <w:t>included in</w:t>
      </w:r>
      <w:r>
        <w:t xml:space="preserve"> their annual review. Another option is to include in the employee’s competency review (</w:t>
      </w:r>
      <w:r w:rsidR="00E90805">
        <w:t>Ongoing Professional Practice Evaluation, Focused Professional Practice Evaluation</w:t>
      </w:r>
      <w:r>
        <w:t>).</w:t>
      </w:r>
    </w:p>
    <w:p w14:paraId="0BB1BE6C" w14:textId="77777777" w:rsidR="00563CD7" w:rsidRPr="008C51CB" w:rsidRDefault="00563CD7" w:rsidP="00563CD7">
      <w:pPr>
        <w:pStyle w:val="Heading44"/>
        <w:rPr>
          <w:sz w:val="20"/>
        </w:rPr>
      </w:pPr>
    </w:p>
    <w:p w14:paraId="3CE2ED5B" w14:textId="77777777" w:rsidR="00563CD7" w:rsidRDefault="00563CD7" w:rsidP="00AD309C">
      <w:pPr>
        <w:pStyle w:val="ListParagraph"/>
        <w:numPr>
          <w:ilvl w:val="0"/>
          <w:numId w:val="410"/>
        </w:numPr>
        <w:rPr>
          <w:b/>
        </w:rPr>
      </w:pPr>
      <w:bookmarkStart w:id="564" w:name="Budget"/>
      <w:bookmarkEnd w:id="564"/>
      <w:r>
        <w:rPr>
          <w:b/>
        </w:rPr>
        <w:t xml:space="preserve">There are several references to hospital budgets throughout Section 6 within many </w:t>
      </w:r>
      <w:r w:rsidRPr="003D0AE3">
        <w:rPr>
          <w:b/>
          <w:i/>
        </w:rPr>
        <w:t>Ability</w:t>
      </w:r>
      <w:r>
        <w:rPr>
          <w:b/>
        </w:rPr>
        <w:t xml:space="preserve"> elements. How can hospitals meet the intent of these elements? </w:t>
      </w:r>
    </w:p>
    <w:p w14:paraId="68B897C5" w14:textId="77777777" w:rsidR="00563CD7" w:rsidRDefault="00563CD7" w:rsidP="004E5FA1">
      <w:pPr>
        <w:pStyle w:val="ListParagraph"/>
      </w:pPr>
      <w:r>
        <w:t xml:space="preserve">The intent of these elements is to </w:t>
      </w:r>
      <w:r w:rsidRPr="00FF6BCE">
        <w:t>verify</w:t>
      </w:r>
      <w:r>
        <w:t xml:space="preserve"> </w:t>
      </w:r>
      <w:r w:rsidRPr="0089561A">
        <w:t xml:space="preserve">that </w:t>
      </w:r>
      <w:r>
        <w:t xml:space="preserve">actions specific to the Safe Practices have been included in hospital budgets. To meet the intent of these elements, hospitals should ensure that these actions can be identified within a department budget or hospital budget. If the </w:t>
      </w:r>
      <w:r w:rsidR="00B342C9">
        <w:t>budget includes categories that</w:t>
      </w:r>
      <w:r>
        <w:t xml:space="preserve"> address the Safe </w:t>
      </w:r>
      <w:r w:rsidR="00B342C9">
        <w:rPr>
          <w:noProof/>
        </w:rPr>
        <w:t>Practice</w:t>
      </w:r>
      <w:r>
        <w:t xml:space="preserve"> but do not specifically name the Safe Practice, then the intent of the element is met. </w:t>
      </w:r>
    </w:p>
    <w:p w14:paraId="0CA346FF" w14:textId="77777777" w:rsidR="00563CD7" w:rsidRPr="002E6AC5" w:rsidRDefault="00563CD7" w:rsidP="00563CD7">
      <w:pPr>
        <w:rPr>
          <w:b/>
        </w:rPr>
      </w:pPr>
    </w:p>
    <w:p w14:paraId="6EE763B9" w14:textId="77777777" w:rsidR="00563CD7" w:rsidRPr="006B1516" w:rsidRDefault="00563CD7" w:rsidP="005859F8">
      <w:pPr>
        <w:pStyle w:val="ListParagraph"/>
        <w:rPr>
          <w:b/>
        </w:rPr>
      </w:pPr>
      <w:r>
        <w:t>Further, if</w:t>
      </w:r>
      <w:r w:rsidRPr="000B316F">
        <w:t xml:space="preserve"> a hospital has not allocated budget dollars for </w:t>
      </w:r>
      <w:r>
        <w:t xml:space="preserve">activities </w:t>
      </w:r>
      <w:r w:rsidRPr="000B316F">
        <w:t xml:space="preserve">tied </w:t>
      </w:r>
      <w:r>
        <w:t>to a Safe P</w:t>
      </w:r>
      <w:r w:rsidRPr="000B316F">
        <w:t>ractice</w:t>
      </w:r>
      <w:r>
        <w:t xml:space="preserve"> but can document </w:t>
      </w:r>
      <w:r w:rsidRPr="000B316F">
        <w:t xml:space="preserve">expenses </w:t>
      </w:r>
      <w:r>
        <w:t>specific to the Safe Practice during the reporting period, the intent of the element is met. P</w:t>
      </w:r>
      <w:r w:rsidRPr="000B316F">
        <w:t xml:space="preserve">lans to allocate specific budget dollars </w:t>
      </w:r>
      <w:r>
        <w:t>for a Safe P</w:t>
      </w:r>
      <w:r w:rsidRPr="000B316F">
        <w:t>ractice should be incorporated into the next upcoming budget year as an ongoing process</w:t>
      </w:r>
      <w:r>
        <w:t>.</w:t>
      </w:r>
    </w:p>
    <w:p w14:paraId="3DE9AE29" w14:textId="77777777" w:rsidR="00563CD7" w:rsidRDefault="00563CD7" w:rsidP="00563CD7">
      <w:pPr>
        <w:ind w:left="576"/>
      </w:pPr>
    </w:p>
    <w:p w14:paraId="48CB41C5" w14:textId="77777777" w:rsidR="00563CD7" w:rsidRDefault="00563CD7" w:rsidP="005859F8">
      <w:pPr>
        <w:ind w:left="720"/>
      </w:pPr>
      <w:r>
        <w:t>Hospitals may also document training or education expenditure</w:t>
      </w:r>
      <w:r w:rsidR="006B60C8">
        <w:t>s specific to the Safe Practice</w:t>
      </w:r>
      <w:r>
        <w:t xml:space="preserve"> or expenditures on educational materials that </w:t>
      </w:r>
      <w:r w:rsidR="006B60C8">
        <w:t xml:space="preserve">are </w:t>
      </w:r>
      <w:r>
        <w:t xml:space="preserve">specific to the Safe Practice. </w:t>
      </w:r>
    </w:p>
    <w:p w14:paraId="38A70B77" w14:textId="77777777" w:rsidR="00563CD7" w:rsidRDefault="00563CD7" w:rsidP="005859F8">
      <w:pPr>
        <w:ind w:left="720"/>
      </w:pPr>
    </w:p>
    <w:p w14:paraId="7B6FB975" w14:textId="142464C8" w:rsidR="00563CD7" w:rsidRPr="00267E35" w:rsidRDefault="00563CD7" w:rsidP="005859F8">
      <w:pPr>
        <w:ind w:left="720"/>
      </w:pPr>
      <w:r>
        <w:t>Hospitals that have invested in in-house staff educator</w:t>
      </w:r>
      <w:r w:rsidRPr="00FB1445">
        <w:t>s</w:t>
      </w:r>
      <w:r>
        <w:t xml:space="preserve"> and who include in their </w:t>
      </w:r>
      <w:r w:rsidRPr="00FB1445">
        <w:t>job descr</w:t>
      </w:r>
      <w:r>
        <w:t xml:space="preserve">iptions the coordination and delivery of training and education to appropriate hospital staff on specific Safe Practices meet the </w:t>
      </w:r>
      <w:r w:rsidRPr="00FB1445">
        <w:t>inten</w:t>
      </w:r>
      <w:r>
        <w:t>t of this element.</w:t>
      </w:r>
      <w:r w:rsidR="00113D1F" w:rsidRPr="00113D1F">
        <w:t xml:space="preserve"> </w:t>
      </w:r>
      <w:r w:rsidR="00113D1F">
        <w:t>For example, if the position description</w:t>
      </w:r>
      <w:r w:rsidR="0024401D">
        <w:t xml:space="preserve"> for an in-house educator, such as the Quality Director, includes the coordination and delivery of in-service training and educational sessions related to improving the culture of safety based on the organization’s culture of safety survey results, then the intent of this practice is met.</w:t>
      </w:r>
      <w:r>
        <w:t xml:space="preserve"> S</w:t>
      </w:r>
      <w:r w:rsidRPr="00FB1445">
        <w:t xml:space="preserve">pecific </w:t>
      </w:r>
      <w:r>
        <w:t>t</w:t>
      </w:r>
      <w:r w:rsidRPr="00FB1445">
        <w:t xml:space="preserve">ime allocations are not required as long as there is documentation of staff participation through </w:t>
      </w:r>
      <w:r>
        <w:t xml:space="preserve">dated </w:t>
      </w:r>
      <w:r w:rsidRPr="00FB1445">
        <w:t>meeting minutes</w:t>
      </w:r>
      <w:r>
        <w:t xml:space="preserve"> or </w:t>
      </w:r>
      <w:r w:rsidRPr="00FB1445">
        <w:t>attendance records.</w:t>
      </w:r>
      <w:r w:rsidR="006F55E1">
        <w:t xml:space="preserve"> Training can be in-person or virtual/ computer-based.</w:t>
      </w:r>
    </w:p>
    <w:p w14:paraId="082AA68F" w14:textId="77777777" w:rsidR="00563CD7" w:rsidRPr="00AF7578" w:rsidRDefault="00563CD7" w:rsidP="00563CD7">
      <w:pPr>
        <w:rPr>
          <w:b/>
        </w:rPr>
      </w:pPr>
      <w:bookmarkStart w:id="565" w:name="Education"/>
      <w:bookmarkEnd w:id="565"/>
    </w:p>
    <w:p w14:paraId="67446289" w14:textId="77777777" w:rsidR="00563CD7" w:rsidRPr="001C5C4F" w:rsidRDefault="00563CD7" w:rsidP="00AD309C">
      <w:pPr>
        <w:numPr>
          <w:ilvl w:val="0"/>
          <w:numId w:val="410"/>
        </w:numPr>
        <w:rPr>
          <w:b/>
        </w:rPr>
      </w:pPr>
      <w:bookmarkStart w:id="566" w:name="StaffEducation"/>
      <w:r w:rsidRPr="001C5C4F">
        <w:rPr>
          <w:b/>
        </w:rPr>
        <w:t>How should staff education be measured?</w:t>
      </w:r>
    </w:p>
    <w:bookmarkEnd w:id="566"/>
    <w:p w14:paraId="45851083" w14:textId="5D99237F" w:rsidR="00563CD7" w:rsidRPr="00112B98" w:rsidRDefault="00563CD7" w:rsidP="005859F8">
      <w:pPr>
        <w:ind w:left="720"/>
        <w:rPr>
          <w:b/>
        </w:rPr>
      </w:pPr>
      <w:r w:rsidRPr="001C5C4F">
        <w:t xml:space="preserve">Educational meetings should clearly address the subject matter pertinent to adverse events and performance improvement targeted by the specific Safe Practice. Hospitals should track meeting dates, </w:t>
      </w:r>
      <w:r w:rsidRPr="001C5C4F">
        <w:rPr>
          <w:noProof/>
        </w:rPr>
        <w:t>frequency</w:t>
      </w:r>
      <w:r w:rsidRPr="001C5C4F">
        <w:t xml:space="preserve"> of training sessions provided, attendance records or completion records, and the percentage of the total staff who received the information.</w:t>
      </w:r>
      <w:r w:rsidR="006F55E1">
        <w:t xml:space="preserve"> Training can be in-person or virtual/ computer-based.</w:t>
      </w:r>
      <w:r>
        <w:br/>
      </w:r>
    </w:p>
    <w:p w14:paraId="1CD75D44" w14:textId="747FD7C3" w:rsidR="00563CD7" w:rsidRPr="0068079E" w:rsidRDefault="00563CD7" w:rsidP="00AD309C">
      <w:pPr>
        <w:numPr>
          <w:ilvl w:val="0"/>
          <w:numId w:val="410"/>
        </w:numPr>
        <w:rPr>
          <w:b/>
        </w:rPr>
      </w:pPr>
      <w:bookmarkStart w:id="567" w:name="PerformanceImprovementPrograms"/>
      <w:r>
        <w:rPr>
          <w:b/>
        </w:rPr>
        <w:t xml:space="preserve">There are several references to developing or implementing Performance Improvement Programs throughout Section 6 within many </w:t>
      </w:r>
      <w:r w:rsidRPr="006C1C1E">
        <w:rPr>
          <w:b/>
          <w:i/>
        </w:rPr>
        <w:t>Action</w:t>
      </w:r>
      <w:r>
        <w:rPr>
          <w:b/>
        </w:rPr>
        <w:t xml:space="preserve"> elements. How can hospitals meet the intent of these elements? </w:t>
      </w:r>
      <w:bookmarkEnd w:id="567"/>
      <w:r>
        <w:rPr>
          <w:b/>
        </w:rPr>
        <w:br/>
      </w:r>
      <w:r>
        <w:t xml:space="preserve">At a minimum, performance improvement programs should include </w:t>
      </w:r>
      <w:r w:rsidR="00A3620A" w:rsidRPr="00F771C0">
        <w:rPr>
          <w:b/>
        </w:rPr>
        <w:t>all</w:t>
      </w:r>
      <w:r>
        <w:t xml:space="preserve"> the following five criteria: </w:t>
      </w:r>
    </w:p>
    <w:p w14:paraId="62FC8FDB" w14:textId="77777777" w:rsidR="0068079E" w:rsidRPr="00F771C0" w:rsidRDefault="0068079E" w:rsidP="0068079E">
      <w:pPr>
        <w:ind w:left="720"/>
        <w:rPr>
          <w:b/>
        </w:rPr>
      </w:pPr>
    </w:p>
    <w:p w14:paraId="0D21ADDB" w14:textId="77777777" w:rsidR="00563CD7" w:rsidRPr="00F771C0" w:rsidRDefault="00563CD7" w:rsidP="00AD309C">
      <w:pPr>
        <w:pStyle w:val="ListParagraph"/>
        <w:numPr>
          <w:ilvl w:val="0"/>
          <w:numId w:val="58"/>
        </w:numPr>
        <w:rPr>
          <w:b/>
        </w:rPr>
      </w:pPr>
      <w:r w:rsidRPr="00F771C0">
        <w:rPr>
          <w:b/>
        </w:rPr>
        <w:t>E</w:t>
      </w:r>
      <w:r w:rsidRPr="00F771C0">
        <w:rPr>
          <w:b/>
          <w:bCs/>
        </w:rPr>
        <w:t>ducation</w:t>
      </w:r>
      <w:r>
        <w:t xml:space="preserve"> regarding the pertinent adverse event frequency, severity, and/or impact of best practices. These expenses should be budgeted and tracked to meet the budget elements of the Safe Practices. </w:t>
      </w:r>
    </w:p>
    <w:p w14:paraId="60176E38" w14:textId="77777777" w:rsidR="00563CD7" w:rsidRPr="006C1C1E" w:rsidRDefault="00563CD7" w:rsidP="00AD309C">
      <w:pPr>
        <w:pStyle w:val="ListParagraph"/>
        <w:numPr>
          <w:ilvl w:val="0"/>
          <w:numId w:val="58"/>
        </w:numPr>
        <w:rPr>
          <w:b/>
        </w:rPr>
      </w:pPr>
      <w:r>
        <w:rPr>
          <w:b/>
        </w:rPr>
        <w:t>S</w:t>
      </w:r>
      <w:r w:rsidRPr="00F771C0">
        <w:rPr>
          <w:b/>
          <w:bCs/>
        </w:rPr>
        <w:t>kill building</w:t>
      </w:r>
      <w:r>
        <w:t xml:space="preserve"> in use of performance improvement tools. These expenses should be budgeted and tracked to meet the budget elements of the Safe Practices. </w:t>
      </w:r>
    </w:p>
    <w:p w14:paraId="359116FF" w14:textId="049A0FF8" w:rsidR="00F27CC8" w:rsidRPr="00F27CC8" w:rsidRDefault="00563CD7" w:rsidP="00F27CC8">
      <w:pPr>
        <w:pStyle w:val="ListParagraph"/>
        <w:numPr>
          <w:ilvl w:val="0"/>
          <w:numId w:val="58"/>
        </w:numPr>
      </w:pPr>
      <w:r w:rsidRPr="006C1C1E">
        <w:rPr>
          <w:b/>
          <w:bCs/>
        </w:rPr>
        <w:t>Measurement</w:t>
      </w:r>
      <w:r>
        <w:t xml:space="preserve"> of process measures or outcomes measures. The “Outcome, Process, Structure, and Patient-Centered Measures” section at the end of each Safe Practice in</w:t>
      </w:r>
      <w:r w:rsidRPr="00B62984">
        <w:t xml:space="preserve"> the </w:t>
      </w:r>
      <w:r w:rsidRPr="006A5F1D">
        <w:t>NQF Safe Practices for Better Healthcare 2010 Update</w:t>
      </w:r>
      <w:r>
        <w:t xml:space="preserve"> suggests performance measures that can be used to support measuring and monitoring quality improvement efforts</w:t>
      </w:r>
      <w:r w:rsidR="00F27CC8">
        <w:t xml:space="preserve">. </w:t>
      </w:r>
      <w:r w:rsidR="00F27CC8" w:rsidRPr="00F27CC8">
        <w:t xml:space="preserve">The </w:t>
      </w:r>
      <w:r w:rsidR="00F27CC8">
        <w:t>N</w:t>
      </w:r>
      <w:r w:rsidR="00F27CC8" w:rsidRPr="00F27CC8">
        <w:t xml:space="preserve">QF Safe Practices for Better Healthcare – 2010 Update report is available for download here: </w:t>
      </w:r>
      <w:hyperlink r:id="rId391" w:history="1">
        <w:r w:rsidR="00F27CC8" w:rsidRPr="00F27CC8">
          <w:rPr>
            <w:rStyle w:val="Hyperlink"/>
          </w:rPr>
          <w:t>http://www.leapfroggroup.org/survey-materials/survey-and-cpoe-materials</w:t>
        </w:r>
      </w:hyperlink>
      <w:r w:rsidR="00F27CC8" w:rsidRPr="00F27CC8">
        <w:t>.</w:t>
      </w:r>
    </w:p>
    <w:p w14:paraId="69BA5F52" w14:textId="77777777" w:rsidR="00563CD7" w:rsidRPr="00F771C0" w:rsidRDefault="00563CD7" w:rsidP="00AD309C">
      <w:pPr>
        <w:pStyle w:val="ListParagraph"/>
        <w:numPr>
          <w:ilvl w:val="0"/>
          <w:numId w:val="58"/>
        </w:numPr>
        <w:rPr>
          <w:b/>
        </w:rPr>
      </w:pPr>
      <w:r>
        <w:rPr>
          <w:b/>
          <w:bCs/>
        </w:rPr>
        <w:t>P</w:t>
      </w:r>
      <w:r w:rsidRPr="00F771C0">
        <w:rPr>
          <w:b/>
          <w:bCs/>
        </w:rPr>
        <w:t>rocess improvement</w:t>
      </w:r>
      <w:r>
        <w:t xml:space="preserve"> and interventions. </w:t>
      </w:r>
    </w:p>
    <w:p w14:paraId="2DE7C5A6" w14:textId="77777777" w:rsidR="00563CD7" w:rsidRPr="002F249D" w:rsidRDefault="00563CD7" w:rsidP="00AD309C">
      <w:pPr>
        <w:pStyle w:val="ListParagraph"/>
        <w:numPr>
          <w:ilvl w:val="0"/>
          <w:numId w:val="58"/>
        </w:numPr>
        <w:rPr>
          <w:b/>
        </w:rPr>
      </w:pPr>
      <w:r>
        <w:rPr>
          <w:b/>
          <w:bCs/>
        </w:rPr>
        <w:t>R</w:t>
      </w:r>
      <w:r w:rsidRPr="00F771C0">
        <w:rPr>
          <w:b/>
          <w:bCs/>
        </w:rPr>
        <w:t>eporting</w:t>
      </w:r>
      <w:r>
        <w:t xml:space="preserve"> of performance outcomes. </w:t>
      </w:r>
    </w:p>
    <w:p w14:paraId="2F964A9F" w14:textId="77777777" w:rsidR="00563CD7" w:rsidRDefault="00563CD7" w:rsidP="00563CD7">
      <w:pPr>
        <w:ind w:left="576"/>
      </w:pPr>
    </w:p>
    <w:p w14:paraId="33B97D05" w14:textId="77777777" w:rsidR="00563CD7" w:rsidRDefault="00563CD7" w:rsidP="005859F8">
      <w:pPr>
        <w:ind w:left="720"/>
      </w:pPr>
      <w:r>
        <w:t>A</w:t>
      </w:r>
      <w:r w:rsidRPr="002F249D">
        <w:t xml:space="preserve"> </w:t>
      </w:r>
      <w:r>
        <w:t xml:space="preserve">“campaign” such as an awareness </w:t>
      </w:r>
      <w:r w:rsidRPr="002F249D">
        <w:t>campaign would not mee</w:t>
      </w:r>
      <w:r>
        <w:t xml:space="preserve">t the intent of these elements. </w:t>
      </w:r>
      <w:bookmarkStart w:id="568" w:name="_Toc502828415"/>
    </w:p>
    <w:p w14:paraId="6DFDF8B0" w14:textId="77777777" w:rsidR="00563CD7" w:rsidRPr="00417A53" w:rsidRDefault="00563CD7" w:rsidP="00563CD7">
      <w:pPr>
        <w:rPr>
          <w:lang w:eastAsia="ja-JP"/>
        </w:rPr>
      </w:pPr>
    </w:p>
    <w:p w14:paraId="433A69E7" w14:textId="3D94E7F1" w:rsidR="00563CD7" w:rsidRDefault="0053750F" w:rsidP="00AB5B80">
      <w:pPr>
        <w:pStyle w:val="Heading3"/>
      </w:pPr>
      <w:bookmarkStart w:id="569" w:name="_FAQs_Specific_to"/>
      <w:bookmarkStart w:id="570" w:name="_Toc225877800"/>
      <w:bookmarkEnd w:id="569"/>
      <w:r>
        <w:t xml:space="preserve">NQF </w:t>
      </w:r>
      <w:r w:rsidR="00341A49" w:rsidRPr="003F7FFA">
        <w:t>Safe P</w:t>
      </w:r>
      <w:r w:rsidR="00341A49">
        <w:t xml:space="preserve">ractice </w:t>
      </w:r>
      <w:r w:rsidR="00DB7F48">
        <w:t>#</w:t>
      </w:r>
      <w:r w:rsidR="00341A49" w:rsidRPr="003F7FFA">
        <w:t xml:space="preserve">1 </w:t>
      </w:r>
      <w:r w:rsidR="00211AF2">
        <w:t xml:space="preserve">– </w:t>
      </w:r>
      <w:r w:rsidR="00341A49" w:rsidRPr="003F7FFA">
        <w:t>Leadership Structures and Systems</w:t>
      </w:r>
      <w:bookmarkEnd w:id="568"/>
      <w:r w:rsidR="00B078B4">
        <w:t xml:space="preserve"> FAQs</w:t>
      </w:r>
      <w:bookmarkEnd w:id="570"/>
    </w:p>
    <w:p w14:paraId="057C97AC" w14:textId="77777777" w:rsidR="00563CD7" w:rsidRDefault="00563CD7" w:rsidP="00563CD7"/>
    <w:p w14:paraId="17D3582F" w14:textId="6EAFC2BD" w:rsidR="00563CD7" w:rsidRPr="004C06CE" w:rsidRDefault="00563CD7" w:rsidP="00AD309C">
      <w:pPr>
        <w:pStyle w:val="CommentText"/>
        <w:numPr>
          <w:ilvl w:val="0"/>
          <w:numId w:val="410"/>
        </w:numPr>
        <w:rPr>
          <w:b/>
        </w:rPr>
      </w:pPr>
      <w:r w:rsidRPr="004C06CE">
        <w:rPr>
          <w:b/>
        </w:rPr>
        <w:t>1.1</w:t>
      </w:r>
      <w:bookmarkStart w:id="571" w:name="SP1_RegularCommunication"/>
      <w:bookmarkEnd w:id="571"/>
      <w:r w:rsidRPr="004C06CE">
        <w:rPr>
          <w:b/>
        </w:rPr>
        <w:t xml:space="preserve">a, 1.2b, and 1.2d: Several elements within </w:t>
      </w:r>
      <w:r w:rsidR="0053750F">
        <w:rPr>
          <w:b/>
        </w:rPr>
        <w:t xml:space="preserve">NQF </w:t>
      </w:r>
      <w:r w:rsidRPr="004C06CE">
        <w:rPr>
          <w:b/>
        </w:rPr>
        <w:t xml:space="preserve">Safe Practice </w:t>
      </w:r>
      <w:r w:rsidR="00DB7F48">
        <w:rPr>
          <w:b/>
        </w:rPr>
        <w:t>#</w:t>
      </w:r>
      <w:r w:rsidRPr="004C06CE">
        <w:rPr>
          <w:b/>
        </w:rPr>
        <w:t xml:space="preserve">1 mention that “regular communication” is required. How does Leapfrog define </w:t>
      </w:r>
      <w:r w:rsidR="00D23F6F">
        <w:rPr>
          <w:b/>
        </w:rPr>
        <w:t>“</w:t>
      </w:r>
      <w:r w:rsidRPr="004C06CE">
        <w:rPr>
          <w:b/>
        </w:rPr>
        <w:t>regular communication</w:t>
      </w:r>
      <w:r w:rsidR="00D23F6F">
        <w:rPr>
          <w:b/>
        </w:rPr>
        <w:t>”</w:t>
      </w:r>
      <w:r w:rsidR="008E6024">
        <w:rPr>
          <w:b/>
        </w:rPr>
        <w:t>?</w:t>
      </w:r>
    </w:p>
    <w:p w14:paraId="21EACD7B" w14:textId="576AFE4C" w:rsidR="00563CD7" w:rsidRPr="004C06CE" w:rsidRDefault="00563CD7" w:rsidP="005859F8">
      <w:pPr>
        <w:pStyle w:val="CommentText"/>
        <w:ind w:left="720"/>
      </w:pPr>
      <w:r w:rsidRPr="004C06CE">
        <w:t xml:space="preserve">Regular communication means more than once a year. Some hospitals may discuss these items quarterly or even monthly. Hospitals can document </w:t>
      </w:r>
      <w:r w:rsidR="00B342C9">
        <w:t xml:space="preserve">that </w:t>
      </w:r>
      <w:r w:rsidRPr="004C06CE">
        <w:t>these communications took place through dated meeting minutes. We would urge hospitals to improve the detail</w:t>
      </w:r>
      <w:r w:rsidR="009A4DD7">
        <w:t>s</w:t>
      </w:r>
      <w:r w:rsidRPr="004C06CE">
        <w:t xml:space="preserve"> of their board and other meeting minutes to ensure they are able to clearly document that the issues were discussed. </w:t>
      </w:r>
    </w:p>
    <w:p w14:paraId="47D9A952" w14:textId="77777777" w:rsidR="00563CD7" w:rsidRPr="004C06CE" w:rsidRDefault="00563CD7" w:rsidP="00563CD7">
      <w:pPr>
        <w:pStyle w:val="CommentText"/>
        <w:ind w:left="576"/>
      </w:pPr>
    </w:p>
    <w:p w14:paraId="04418D21" w14:textId="0AEA1745" w:rsidR="00563CD7" w:rsidRPr="004C06CE" w:rsidRDefault="00563CD7" w:rsidP="005859F8">
      <w:pPr>
        <w:pStyle w:val="CommentText"/>
        <w:ind w:left="720"/>
      </w:pPr>
      <w:r w:rsidRPr="004C06CE">
        <w:t xml:space="preserve">The discussion of these items can be a general note in the minutes, without specific details. However, hospitals should maintain copies of dated presentations and reports related to these agenda items in order to document </w:t>
      </w:r>
      <w:r w:rsidRPr="008306A5">
        <w:rPr>
          <w:noProof/>
        </w:rPr>
        <w:t>adherence</w:t>
      </w:r>
      <w:r w:rsidRPr="004C06CE">
        <w:t xml:space="preserve"> </w:t>
      </w:r>
      <w:r w:rsidR="00B342C9">
        <w:t xml:space="preserve">to </w:t>
      </w:r>
      <w:r w:rsidRPr="004C06CE">
        <w:t xml:space="preserve">these elements. </w:t>
      </w:r>
      <w:r w:rsidR="006F55E1">
        <w:t>Meetings can be in-person or virtual.</w:t>
      </w:r>
    </w:p>
    <w:p w14:paraId="61CFD266" w14:textId="77777777" w:rsidR="00563CD7" w:rsidRPr="00125826" w:rsidRDefault="00563CD7" w:rsidP="00563CD7">
      <w:pPr>
        <w:pStyle w:val="CommentText"/>
        <w:ind w:left="576"/>
      </w:pPr>
    </w:p>
    <w:p w14:paraId="49A14305" w14:textId="5B5BE263" w:rsidR="005D1457" w:rsidRPr="001C5C4F" w:rsidRDefault="005D1457" w:rsidP="00AD309C">
      <w:pPr>
        <w:pStyle w:val="CommentText"/>
        <w:numPr>
          <w:ilvl w:val="0"/>
          <w:numId w:val="410"/>
        </w:numPr>
        <w:rPr>
          <w:b/>
        </w:rPr>
      </w:pPr>
      <w:bookmarkStart w:id="572" w:name="SP1_1a"/>
      <w:bookmarkEnd w:id="572"/>
      <w:r w:rsidRPr="001C5C4F">
        <w:rPr>
          <w:b/>
        </w:rPr>
        <w:t xml:space="preserve">1.1a: If </w:t>
      </w:r>
      <w:r w:rsidR="0053750F" w:rsidRPr="0002601E">
        <w:rPr>
          <w:b/>
          <w:bCs/>
          <w:lang w:eastAsia="ja-JP"/>
        </w:rPr>
        <w:t xml:space="preserve">NQF </w:t>
      </w:r>
      <w:r w:rsidRPr="001C5C4F">
        <w:rPr>
          <w:b/>
        </w:rPr>
        <w:t>Safe Practice #4</w:t>
      </w:r>
      <w:r w:rsidR="00E53C8F">
        <w:rPr>
          <w:b/>
        </w:rPr>
        <w:t xml:space="preserve"> – </w:t>
      </w:r>
      <w:r w:rsidRPr="001C5C4F">
        <w:rPr>
          <w:b/>
        </w:rPr>
        <w:t>Identification and Mitigation of Risks and Hazards has been removed from the Leapfrog Hospital Survey, are hospital boards still expected to communicate regularly regarding risks and hazards?</w:t>
      </w:r>
    </w:p>
    <w:p w14:paraId="4A94E7BD" w14:textId="78621ACD" w:rsidR="005D1457" w:rsidRPr="0037002D" w:rsidRDefault="005D1457" w:rsidP="005859F8">
      <w:pPr>
        <w:pStyle w:val="CommentText"/>
        <w:ind w:left="720"/>
        <w:rPr>
          <w:bCs/>
        </w:rPr>
      </w:pPr>
      <w:r w:rsidRPr="001C5C4F">
        <w:rPr>
          <w:bCs/>
        </w:rPr>
        <w:t xml:space="preserve">Though we are not </w:t>
      </w:r>
      <w:r w:rsidR="00323791" w:rsidRPr="001C5C4F">
        <w:rPr>
          <w:bCs/>
        </w:rPr>
        <w:t>asking hospitals to report</w:t>
      </w:r>
      <w:r w:rsidR="008911FE" w:rsidRPr="001C5C4F">
        <w:rPr>
          <w:bCs/>
        </w:rPr>
        <w:t xml:space="preserve"> </w:t>
      </w:r>
      <w:r w:rsidRPr="001C5C4F">
        <w:rPr>
          <w:bCs/>
        </w:rPr>
        <w:t xml:space="preserve">on this </w:t>
      </w:r>
      <w:r w:rsidR="00323791" w:rsidRPr="001C5C4F">
        <w:rPr>
          <w:bCs/>
        </w:rPr>
        <w:t>S</w:t>
      </w:r>
      <w:r w:rsidRPr="001C5C4F">
        <w:rPr>
          <w:bCs/>
        </w:rPr>
        <w:t xml:space="preserve">afe </w:t>
      </w:r>
      <w:r w:rsidR="00323791" w:rsidRPr="001C5C4F">
        <w:rPr>
          <w:bCs/>
        </w:rPr>
        <w:t>P</w:t>
      </w:r>
      <w:r w:rsidRPr="001C5C4F">
        <w:rPr>
          <w:bCs/>
        </w:rPr>
        <w:t>ractice, it remains important to communicate the actions you are taking to identify and mitigate risks and hazards to patients</w:t>
      </w:r>
      <w:r w:rsidR="00323791" w:rsidRPr="001C5C4F">
        <w:rPr>
          <w:bCs/>
        </w:rPr>
        <w:t xml:space="preserve"> to your board</w:t>
      </w:r>
      <w:r w:rsidRPr="001C5C4F">
        <w:rPr>
          <w:bCs/>
        </w:rPr>
        <w:t>.</w:t>
      </w:r>
    </w:p>
    <w:p w14:paraId="0BA47B36" w14:textId="4D8B1E18" w:rsidR="005D1457" w:rsidRDefault="005D1457" w:rsidP="005D1457">
      <w:pPr>
        <w:pStyle w:val="CommentText"/>
        <w:ind w:left="576"/>
        <w:rPr>
          <w:b/>
        </w:rPr>
      </w:pPr>
    </w:p>
    <w:p w14:paraId="7CC781B8" w14:textId="32B07A39" w:rsidR="00563CD7" w:rsidRPr="00C05C88" w:rsidRDefault="00563CD7" w:rsidP="00AD309C">
      <w:pPr>
        <w:pStyle w:val="CommentText"/>
        <w:numPr>
          <w:ilvl w:val="0"/>
          <w:numId w:val="410"/>
        </w:numPr>
        <w:rPr>
          <w:b/>
        </w:rPr>
      </w:pPr>
      <w:r w:rsidRPr="00C05C88">
        <w:rPr>
          <w:b/>
        </w:rPr>
        <w:t>1</w:t>
      </w:r>
      <w:bookmarkStart w:id="573" w:name="SP1_1b_ActiveParticipants"/>
      <w:bookmarkEnd w:id="573"/>
      <w:r w:rsidRPr="00C05C88">
        <w:rPr>
          <w:b/>
        </w:rPr>
        <w:t>.1b: What is meant by “patients and</w:t>
      </w:r>
      <w:r w:rsidR="007A5D35">
        <w:rPr>
          <w:b/>
        </w:rPr>
        <w:t>/or</w:t>
      </w:r>
      <w:r w:rsidRPr="00C05C88">
        <w:rPr>
          <w:b/>
        </w:rPr>
        <w:t xml:space="preserve"> </w:t>
      </w:r>
      <w:r w:rsidR="00FA710E">
        <w:rPr>
          <w:b/>
        </w:rPr>
        <w:t>care partners</w:t>
      </w:r>
      <w:r w:rsidRPr="00C05C88">
        <w:rPr>
          <w:b/>
        </w:rPr>
        <w:t xml:space="preserve"> are active participants in</w:t>
      </w:r>
      <w:r w:rsidR="00D8573E">
        <w:rPr>
          <w:b/>
        </w:rPr>
        <w:t xml:space="preserve"> the hospital-wide</w:t>
      </w:r>
      <w:r w:rsidRPr="00C05C88">
        <w:rPr>
          <w:b/>
        </w:rPr>
        <w:t xml:space="preserve"> safety and quality committee?”</w:t>
      </w:r>
    </w:p>
    <w:p w14:paraId="5D0423BC" w14:textId="7E9C86A8" w:rsidR="00C2074A" w:rsidRPr="00C2074A" w:rsidRDefault="00563CD7" w:rsidP="00C2074A">
      <w:pPr>
        <w:pStyle w:val="ListParagraph"/>
      </w:pPr>
      <w:r>
        <w:t xml:space="preserve">To meet the intent of this element, hospitals must have </w:t>
      </w:r>
      <w:r w:rsidRPr="001314B0">
        <w:t xml:space="preserve">patients and/or </w:t>
      </w:r>
      <w:r w:rsidR="006912B5">
        <w:t>care partners</w:t>
      </w:r>
      <w:r w:rsidRPr="001314B0">
        <w:t xml:space="preserve"> participate </w:t>
      </w:r>
      <w:r w:rsidRPr="001314B0">
        <w:rPr>
          <w:noProof/>
        </w:rPr>
        <w:t>on</w:t>
      </w:r>
      <w:r w:rsidRPr="001314B0">
        <w:t xml:space="preserve"> the hospital-wide safety and quality committee.</w:t>
      </w:r>
      <w:r w:rsidR="00F93AB7">
        <w:t xml:space="preserve"> A patient and/or care partner can be any patient who </w:t>
      </w:r>
      <w:r w:rsidR="00BE5641">
        <w:t xml:space="preserve">has </w:t>
      </w:r>
      <w:r w:rsidR="00F93AB7">
        <w:t>currently, or in the past, received care at the hospital campus, as we</w:t>
      </w:r>
      <w:r w:rsidR="00BE5641">
        <w:t>ll as</w:t>
      </w:r>
      <w:r w:rsidR="00944CD3">
        <w:t xml:space="preserve"> </w:t>
      </w:r>
      <w:r w:rsidR="00F93AB7">
        <w:t>their family members</w:t>
      </w:r>
      <w:r w:rsidR="00C2074A">
        <w:t xml:space="preserve"> </w:t>
      </w:r>
      <w:r w:rsidR="00C2074A" w:rsidRPr="00C2074A">
        <w:t>or other trusted individuals navigating or participating in a patient’s care at the hospital (e.g., facilitate communication, participate in consent process).</w:t>
      </w:r>
    </w:p>
    <w:p w14:paraId="364FAF67" w14:textId="77777777" w:rsidR="00F93AB7" w:rsidRDefault="00F93AB7" w:rsidP="005859F8">
      <w:pPr>
        <w:pStyle w:val="ListParagraph"/>
      </w:pPr>
    </w:p>
    <w:p w14:paraId="1379EFE5" w14:textId="7FEEFC20" w:rsidR="00A07632" w:rsidRDefault="00D8573E" w:rsidP="005859F8">
      <w:pPr>
        <w:pStyle w:val="ListParagraph"/>
        <w:rPr>
          <w:rFonts w:cs="Arial"/>
        </w:rPr>
      </w:pPr>
      <w:r>
        <w:t>The s</w:t>
      </w:r>
      <w:r w:rsidR="0097088C" w:rsidRPr="001314B0">
        <w:t>afety and quality c</w:t>
      </w:r>
      <w:r w:rsidR="00563CD7" w:rsidRPr="001314B0">
        <w:t>ommittee should have influence over hospital-wide quality and safety issues, not jus</w:t>
      </w:r>
      <w:r w:rsidR="00563CD7" w:rsidRPr="001C5C4F">
        <w:t>t a particular department or service line.</w:t>
      </w:r>
      <w:r w:rsidR="00A07632">
        <w:t xml:space="preserve"> </w:t>
      </w:r>
      <w:r w:rsidR="00A07632" w:rsidRPr="00E321D5">
        <w:rPr>
          <w:rFonts w:cs="Arial"/>
        </w:rPr>
        <w:t>Hospitals with a system-wide safety and quality committee must have one patient representative per campus on the system-wide safety and quality committee.</w:t>
      </w:r>
    </w:p>
    <w:p w14:paraId="6CE5FA67" w14:textId="77777777" w:rsidR="00A07632" w:rsidRDefault="00A07632" w:rsidP="00563CD7">
      <w:pPr>
        <w:pStyle w:val="ListParagraph"/>
        <w:ind w:left="576"/>
        <w:rPr>
          <w:rFonts w:cs="Arial"/>
        </w:rPr>
      </w:pPr>
    </w:p>
    <w:p w14:paraId="0043F2E0" w14:textId="5724142A" w:rsidR="00232979" w:rsidRDefault="00563CD7" w:rsidP="005859F8">
      <w:pPr>
        <w:pStyle w:val="ListParagraph"/>
      </w:pPr>
      <w:r w:rsidRPr="001C5C4F">
        <w:t>Meetings should be formal</w:t>
      </w:r>
      <w:r w:rsidR="00881BED" w:rsidRPr="001C5C4F">
        <w:t>,</w:t>
      </w:r>
      <w:r w:rsidRPr="001C5C4F">
        <w:t xml:space="preserve"> and minutes should be taken.</w:t>
      </w:r>
      <w:r w:rsidR="001524C1" w:rsidRPr="001C5C4F">
        <w:t xml:space="preserve"> </w:t>
      </w:r>
      <w:r w:rsidR="005D1457" w:rsidRPr="001C5C4F">
        <w:t xml:space="preserve">Topics covered should be related to broad oversight of hospital-wide patient safety and quality issues and what is being done to effect changes. An example would be tracking and preventing adverse events. </w:t>
      </w:r>
    </w:p>
    <w:p w14:paraId="478A022F" w14:textId="77777777" w:rsidR="00232979" w:rsidRDefault="00232979" w:rsidP="005859F8">
      <w:pPr>
        <w:pStyle w:val="ListParagraph"/>
      </w:pPr>
    </w:p>
    <w:p w14:paraId="0CC87AEA" w14:textId="11F44AB1" w:rsidR="00563CD7" w:rsidRDefault="001524C1" w:rsidP="005859F8">
      <w:pPr>
        <w:pStyle w:val="ListParagraph"/>
      </w:pPr>
      <w:r w:rsidRPr="001C5C4F">
        <w:t>In most hospitals, due to the scope of issues discussed at Patient and Family Advisory Council (PFAC) meetings, having a PFAC would not meet the criteria for a safety and quality committee.</w:t>
      </w:r>
      <w:r w:rsidR="00232979">
        <w:t xml:space="preserve"> </w:t>
      </w:r>
      <w:r w:rsidR="00232979" w:rsidRPr="00232979">
        <w:t>If your hospital has a PFAC member on the hospital-wide patient safety and quality committee, then your hospital is meeting the intent of this safe practice.</w:t>
      </w:r>
    </w:p>
    <w:p w14:paraId="02201B48" w14:textId="77777777" w:rsidR="00563CD7" w:rsidRDefault="00563CD7" w:rsidP="005859F8">
      <w:pPr>
        <w:pStyle w:val="ListParagraph"/>
      </w:pPr>
    </w:p>
    <w:p w14:paraId="24C35C72" w14:textId="39948556" w:rsidR="00563CD7" w:rsidRDefault="00563CD7" w:rsidP="005859F8">
      <w:pPr>
        <w:pStyle w:val="ListParagraph"/>
      </w:pPr>
      <w:r>
        <w:t xml:space="preserve">Patients and/or </w:t>
      </w:r>
      <w:r w:rsidR="003A50AA">
        <w:t>care partners</w:t>
      </w:r>
      <w:r>
        <w:t xml:space="preserve"> can participate in these meetings in</w:t>
      </w:r>
      <w:r w:rsidR="00D23F6F">
        <w:t xml:space="preserve"> </w:t>
      </w:r>
      <w:r>
        <w:t>person, via conference call, or via video conference. Hospitals do not meet the intent of this element if the patient</w:t>
      </w:r>
      <w:r w:rsidR="009A5764">
        <w:t>s</w:t>
      </w:r>
      <w:r>
        <w:t xml:space="preserve"> and/or </w:t>
      </w:r>
      <w:r w:rsidR="006D3116">
        <w:t>care partners</w:t>
      </w:r>
      <w:r w:rsidR="00881BED">
        <w:t xml:space="preserve"> </w:t>
      </w:r>
      <w:r w:rsidR="007A5D35">
        <w:t>are</w:t>
      </w:r>
      <w:r w:rsidR="00881BED">
        <w:t xml:space="preserve"> invited</w:t>
      </w:r>
      <w:r>
        <w:t xml:space="preserve"> but do not regularly attend. It is the responsibility of the hospital to ensure that patients and/or </w:t>
      </w:r>
      <w:r w:rsidR="005C33B3">
        <w:t>care partners</w:t>
      </w:r>
      <w:r>
        <w:t xml:space="preserve"> can provide their perspectives to other committee members during meetings. </w:t>
      </w:r>
      <w:r w:rsidR="007203C0">
        <w:t>T</w:t>
      </w:r>
      <w:r w:rsidR="007203C0" w:rsidRPr="00FB3F1C">
        <w:t>he patient serving on that committee should have the experience, orientation or training needed to understand and effectively contribute to safety and quality committee issues.</w:t>
      </w:r>
      <w:r w:rsidR="007203C0">
        <w:t xml:space="preserve"> </w:t>
      </w:r>
      <w:r w:rsidR="008911FE">
        <w:t>Hospitals should</w:t>
      </w:r>
      <w:r>
        <w:t xml:space="preserve"> identify </w:t>
      </w:r>
      <w:r w:rsidR="00ED52BB">
        <w:t>people who are not Board members or employees</w:t>
      </w:r>
      <w:r>
        <w:t xml:space="preserve"> to serve on the committee so the participant can represent the views of patients and without conflict. Board members have a fiduciary responsibility to the organization, and therefore may have a potential conflict representing the views of patients and/or </w:t>
      </w:r>
      <w:r w:rsidR="008C75C3">
        <w:t>care partners</w:t>
      </w:r>
      <w:r>
        <w:t>.</w:t>
      </w:r>
    </w:p>
    <w:p w14:paraId="75BE393C" w14:textId="77777777" w:rsidR="00563CD7" w:rsidRDefault="00563CD7" w:rsidP="005859F8">
      <w:pPr>
        <w:ind w:left="144"/>
      </w:pPr>
    </w:p>
    <w:p w14:paraId="75AF3DC5" w14:textId="57CC3CA0" w:rsidR="005D1457" w:rsidRPr="001C5C4F" w:rsidRDefault="00563CD7" w:rsidP="005859F8">
      <w:pPr>
        <w:pStyle w:val="ListParagraph"/>
      </w:pPr>
      <w:r>
        <w:t xml:space="preserve">Hospitals can document adherence to this element by maintaining committee rosters and meeting minutes with attendance and participation noted. Patients and/or </w:t>
      </w:r>
      <w:r w:rsidR="00587948">
        <w:t xml:space="preserve">care partners </w:t>
      </w:r>
      <w:r>
        <w:t xml:space="preserve">should have the opportunity to present or co-present a </w:t>
      </w:r>
      <w:r w:rsidRPr="001C5C4F">
        <w:t>topic, lead or co-lead a discussion, or co-chair the committee</w:t>
      </w:r>
      <w:r w:rsidR="00D23F6F" w:rsidRPr="001C5C4F">
        <w:t>,</w:t>
      </w:r>
      <w:r w:rsidRPr="001C5C4F">
        <w:t xml:space="preserve"> and this should be noted in the meeting minutes. </w:t>
      </w:r>
      <w:r w:rsidR="005D1457" w:rsidRPr="001C5C4F">
        <w:t xml:space="preserve">Patients and/or </w:t>
      </w:r>
      <w:r w:rsidR="00C12B2F">
        <w:t>care partners</w:t>
      </w:r>
      <w:r w:rsidR="005D1457" w:rsidRPr="001C5C4F">
        <w:t xml:space="preserve"> should have attended at least one meeting prior to Survey submission.</w:t>
      </w:r>
    </w:p>
    <w:p w14:paraId="3EF27563" w14:textId="77777777" w:rsidR="007A42F9" w:rsidRPr="001C5C4F" w:rsidRDefault="007A42F9" w:rsidP="005D1457">
      <w:pPr>
        <w:pStyle w:val="ListParagraph"/>
        <w:ind w:left="576"/>
      </w:pPr>
    </w:p>
    <w:p w14:paraId="1170BF1C" w14:textId="513EBAA3" w:rsidR="005D1457" w:rsidRDefault="00323791" w:rsidP="005859F8">
      <w:pPr>
        <w:pStyle w:val="ListParagraph"/>
      </w:pPr>
      <w:r w:rsidRPr="001C5C4F">
        <w:t xml:space="preserve">Hospitals </w:t>
      </w:r>
      <w:r w:rsidR="005D1457" w:rsidRPr="001C5C4F">
        <w:t>in the process of adding patients/</w:t>
      </w:r>
      <w:r w:rsidR="003D16CD">
        <w:t xml:space="preserve">care partners </w:t>
      </w:r>
      <w:r w:rsidR="005D1457" w:rsidRPr="001C5C4F">
        <w:t xml:space="preserve">to </w:t>
      </w:r>
      <w:r w:rsidRPr="001C5C4F">
        <w:t xml:space="preserve">the </w:t>
      </w:r>
      <w:r w:rsidR="005D1457" w:rsidRPr="001C5C4F">
        <w:t xml:space="preserve">hospital-wide safety and quality committee </w:t>
      </w:r>
      <w:r w:rsidRPr="001C5C4F">
        <w:t xml:space="preserve">can refer to </w:t>
      </w:r>
      <w:r w:rsidR="005D1457" w:rsidRPr="001C5C4F">
        <w:t>AHRQ’s toolkit for engaging patients and families in hospital improvement work</w:t>
      </w:r>
      <w:r w:rsidRPr="001C5C4F">
        <w:t xml:space="preserve"> for more information at </w:t>
      </w:r>
      <w:hyperlink r:id="rId392" w:history="1">
        <w:r w:rsidR="00CC72B7" w:rsidRPr="00AD647D">
          <w:rPr>
            <w:rStyle w:val="Hyperlink"/>
          </w:rPr>
          <w:t>https://www.ahrq.gov/patient-safety/patients-families/engagingfamilies/index.html</w:t>
        </w:r>
      </w:hyperlink>
      <w:r w:rsidR="005D1457" w:rsidRPr="001C5C4F">
        <w:t>.</w:t>
      </w:r>
    </w:p>
    <w:p w14:paraId="1EBADDEC" w14:textId="77777777" w:rsidR="00563CD7" w:rsidRDefault="00563CD7" w:rsidP="00563CD7"/>
    <w:p w14:paraId="01E06C1F" w14:textId="70098043" w:rsidR="00563CD7" w:rsidRPr="001C5C4F" w:rsidRDefault="00563CD7" w:rsidP="00AD309C">
      <w:pPr>
        <w:pStyle w:val="ListParagraph"/>
        <w:numPr>
          <w:ilvl w:val="0"/>
          <w:numId w:val="410"/>
        </w:numPr>
      </w:pPr>
      <w:r w:rsidRPr="001C5C4F">
        <w:rPr>
          <w:b/>
        </w:rPr>
        <w:t>1.</w:t>
      </w:r>
      <w:bookmarkStart w:id="574" w:name="SP1_1c"/>
      <w:bookmarkEnd w:id="574"/>
      <w:r w:rsidRPr="001C5C4F">
        <w:rPr>
          <w:b/>
        </w:rPr>
        <w:t xml:space="preserve">1c: </w:t>
      </w:r>
      <w:r w:rsidR="001C5C4F" w:rsidRPr="001C5C4F">
        <w:rPr>
          <w:b/>
        </w:rPr>
        <w:t xml:space="preserve">What are some examples of how a hospital can report </w:t>
      </w:r>
      <w:r w:rsidRPr="001C5C4F">
        <w:rPr>
          <w:b/>
        </w:rPr>
        <w:t xml:space="preserve">to the community ongoing efforts </w:t>
      </w:r>
      <w:r w:rsidRPr="001C5C4F">
        <w:rPr>
          <w:b/>
          <w:u w:val="single"/>
        </w:rPr>
        <w:t>and</w:t>
      </w:r>
      <w:r w:rsidRPr="001C5C4F">
        <w:rPr>
          <w:b/>
        </w:rPr>
        <w:t xml:space="preserve"> results of these efforts to improve safety and quality?</w:t>
      </w:r>
    </w:p>
    <w:p w14:paraId="19A09C62" w14:textId="1C8EFF01" w:rsidR="00607C6B" w:rsidRPr="001C5C4F" w:rsidRDefault="00563CD7" w:rsidP="005859F8">
      <w:pPr>
        <w:pStyle w:val="EndnoteText"/>
        <w:ind w:left="720"/>
      </w:pPr>
      <w:r w:rsidRPr="001C5C4F">
        <w:t>Hospitals can utilize several communication vehicles</w:t>
      </w:r>
      <w:r w:rsidR="005D1457" w:rsidRPr="001C5C4F">
        <w:t xml:space="preserve"> to reach the broader community</w:t>
      </w:r>
      <w:r w:rsidR="00B342C9" w:rsidRPr="001C5C4F">
        <w:t>, including</w:t>
      </w:r>
      <w:r w:rsidRPr="001C5C4F">
        <w:t xml:space="preserve"> webpages that are prominent from the organization’s homepage, electronic newsletters, mailings or annual reports, or an ad in the local paper. The communication must include </w:t>
      </w:r>
      <w:r w:rsidRPr="001C5C4F">
        <w:rPr>
          <w:b/>
          <w:u w:val="single"/>
        </w:rPr>
        <w:t>both</w:t>
      </w:r>
      <w:r w:rsidRPr="001C5C4F">
        <w:t xml:space="preserve"> efforts the hospital is taking to improve</w:t>
      </w:r>
      <w:r w:rsidR="00C92C0C" w:rsidRPr="001C5C4F">
        <w:t xml:space="preserve"> safety and quality</w:t>
      </w:r>
      <w:r w:rsidRPr="001C5C4F">
        <w:t xml:space="preserve"> and the results of those efforts.</w:t>
      </w:r>
      <w:r w:rsidR="00C92C0C" w:rsidRPr="001C5C4F">
        <w:t xml:space="preserve"> As the sole focus of the NQF Safe Practices for Better Health Care report is reducing or preventing adverse events (refer to NQF list of adverse events at</w:t>
      </w:r>
      <w:r w:rsidR="006B581F">
        <w:t xml:space="preserve"> </w:t>
      </w:r>
      <w:hyperlink r:id="rId393" w:history="1">
        <w:r w:rsidR="006B581F" w:rsidRPr="004103A9">
          <w:rPr>
            <w:rStyle w:val="Hyperlink"/>
          </w:rPr>
          <w:t>https://digitalassets.jointcommission.org/api/public/content/4534bbaaee4f4bd280c2054765f37f4b?v=a60f8f9a</w:t>
        </w:r>
      </w:hyperlink>
      <w:r w:rsidR="00C92C0C" w:rsidRPr="001C5C4F">
        <w:t xml:space="preserve">), patient safety and quality efforts </w:t>
      </w:r>
      <w:r w:rsidR="00C92C0C" w:rsidRPr="001C5C4F">
        <w:rPr>
          <w:b/>
          <w:u w:val="single"/>
        </w:rPr>
        <w:t>reported to the community</w:t>
      </w:r>
      <w:r w:rsidR="00C92C0C" w:rsidRPr="001C5C4F">
        <w:t xml:space="preserve"> must have this focus as well.</w:t>
      </w:r>
      <w:r w:rsidR="00607C6B" w:rsidRPr="001C5C4F">
        <w:t xml:space="preserve"> In other words, efforts the hospital is taking to improve safety and quality should be related to reducing or preventing these adverse events and the results of those efforts would be the measurable outcomes.</w:t>
      </w:r>
    </w:p>
    <w:p w14:paraId="419C1B25" w14:textId="77777777" w:rsidR="00607C6B" w:rsidRPr="001C5C4F" w:rsidRDefault="00607C6B" w:rsidP="00607C6B">
      <w:pPr>
        <w:pStyle w:val="EndnoteText"/>
        <w:ind w:left="576"/>
      </w:pPr>
    </w:p>
    <w:p w14:paraId="1CCA261F" w14:textId="77777777" w:rsidR="00607C6B" w:rsidRPr="001C5C4F" w:rsidRDefault="00607C6B" w:rsidP="005859F8">
      <w:pPr>
        <w:pStyle w:val="EndnoteText"/>
        <w:ind w:left="720"/>
      </w:pPr>
      <w:r w:rsidRPr="001C5C4F">
        <w:t>Meetings where a few community members are present would not meet the intent of this practice as the intent is to reach a larger audience.</w:t>
      </w:r>
    </w:p>
    <w:p w14:paraId="12253846" w14:textId="7A5B6F84" w:rsidR="00563CD7" w:rsidRPr="001C5C4F" w:rsidRDefault="00563CD7" w:rsidP="005859F8">
      <w:pPr>
        <w:pStyle w:val="EndnoteText"/>
        <w:ind w:left="720"/>
      </w:pPr>
    </w:p>
    <w:p w14:paraId="20D2049B" w14:textId="34076648" w:rsidR="005D1457" w:rsidRPr="00C92C0C" w:rsidRDefault="005D1457" w:rsidP="005859F8">
      <w:pPr>
        <w:pStyle w:val="EndnoteText"/>
        <w:ind w:left="720"/>
      </w:pPr>
      <w:r w:rsidRPr="001C5C4F">
        <w:t>Each hospital within the same health care system would need to report the results to the community for each hospital in the system because the results of efforts to improve safety and quality would be different at each hospital.</w:t>
      </w:r>
    </w:p>
    <w:p w14:paraId="38EC9412" w14:textId="77777777" w:rsidR="00563CD7" w:rsidRDefault="00563CD7" w:rsidP="005859F8">
      <w:pPr>
        <w:pStyle w:val="EndnoteText"/>
        <w:ind w:left="144"/>
      </w:pPr>
    </w:p>
    <w:p w14:paraId="7122C615" w14:textId="77777777" w:rsidR="00563CD7" w:rsidRPr="00AD3AD8" w:rsidRDefault="00563CD7" w:rsidP="00AD309C">
      <w:pPr>
        <w:pStyle w:val="ListParagraph"/>
        <w:numPr>
          <w:ilvl w:val="0"/>
          <w:numId w:val="410"/>
        </w:numPr>
        <w:rPr>
          <w:b/>
        </w:rPr>
      </w:pPr>
      <w:r w:rsidRPr="00AD3AD8">
        <w:rPr>
          <w:b/>
        </w:rPr>
        <w:t>1</w:t>
      </w:r>
      <w:bookmarkStart w:id="575" w:name="SP1_PatientSafetyProgram"/>
      <w:bookmarkEnd w:id="575"/>
      <w:r w:rsidRPr="00AD3AD8">
        <w:rPr>
          <w:b/>
        </w:rPr>
        <w:t>.2a, 1.3a, 1.4c: What are the minimum requirements to qualif</w:t>
      </w:r>
      <w:r>
        <w:rPr>
          <w:b/>
        </w:rPr>
        <w:t>y as a “</w:t>
      </w:r>
      <w:bookmarkStart w:id="576" w:name="PatientSafetyProgram"/>
      <w:r>
        <w:rPr>
          <w:b/>
        </w:rPr>
        <w:t>patient safety program</w:t>
      </w:r>
      <w:bookmarkEnd w:id="576"/>
      <w:r>
        <w:rPr>
          <w:b/>
        </w:rPr>
        <w:t>?”</w:t>
      </w:r>
    </w:p>
    <w:p w14:paraId="5E1604D8" w14:textId="46269C4D" w:rsidR="00563CD7" w:rsidRPr="004C4797" w:rsidRDefault="00563CD7" w:rsidP="005859F8">
      <w:pPr>
        <w:pStyle w:val="ListParagraph"/>
      </w:pPr>
      <w:r>
        <w:t>As part of accreditation through The Joint Commission, hospitals are required to meet standard LD.0</w:t>
      </w:r>
      <w:r w:rsidR="00AA0F9B">
        <w:t>3</w:t>
      </w:r>
      <w:r>
        <w:t>.0</w:t>
      </w:r>
      <w:r w:rsidR="00AA0F9B">
        <w:t>9</w:t>
      </w:r>
      <w:r>
        <w:t>.0</w:t>
      </w:r>
      <w:r w:rsidR="00AA0F9B">
        <w:t>1</w:t>
      </w:r>
      <w:r>
        <w:t xml:space="preserve">, which identifies the elements that must be included in an integrated patient safety program (see pages </w:t>
      </w:r>
      <w:r w:rsidR="00462A6B">
        <w:rPr>
          <w:rFonts w:cs="Arial"/>
        </w:rPr>
        <w:t xml:space="preserve">57 – 62 </w:t>
      </w:r>
      <w:r w:rsidR="00462A6B" w:rsidRPr="00E321D5">
        <w:rPr>
          <w:rFonts w:cs="Arial"/>
        </w:rPr>
        <w:t>in</w:t>
      </w:r>
      <w:r w:rsidR="00462A6B">
        <w:rPr>
          <w:rFonts w:cs="Arial"/>
        </w:rPr>
        <w:t xml:space="preserve"> the</w:t>
      </w:r>
      <w:r w:rsidR="00462A6B" w:rsidRPr="00E321D5">
        <w:rPr>
          <w:rFonts w:cs="Arial"/>
        </w:rPr>
        <w:t xml:space="preserve"> </w:t>
      </w:r>
      <w:r w:rsidR="00462A6B">
        <w:rPr>
          <w:rFonts w:cs="Arial"/>
        </w:rPr>
        <w:t>Organization Culture and System Performance Expectations</w:t>
      </w:r>
      <w:r w:rsidR="00462A6B" w:rsidRPr="00E321D5">
        <w:rPr>
          <w:rFonts w:cs="Arial"/>
        </w:rPr>
        <w:t xml:space="preserve"> chapter of </w:t>
      </w:r>
      <w:hyperlink r:id="rId394" w:history="1">
        <w:r w:rsidR="00462A6B" w:rsidRPr="000566C6">
          <w:rPr>
            <w:rStyle w:val="Hyperlink"/>
            <w:rFonts w:cs="Arial"/>
          </w:rPr>
          <w:t>The Joint Commission E-</w:t>
        </w:r>
        <w:proofErr w:type="spellStart"/>
        <w:r w:rsidR="00462A6B" w:rsidRPr="000566C6">
          <w:rPr>
            <w:rStyle w:val="Hyperlink"/>
            <w:rFonts w:cs="Arial"/>
          </w:rPr>
          <w:t>dition</w:t>
        </w:r>
        <w:proofErr w:type="spellEnd"/>
      </w:hyperlink>
      <w:r w:rsidR="00462A6B" w:rsidRPr="00E321D5">
        <w:rPr>
          <w:rFonts w:cs="Arial"/>
        </w:rPr>
        <w:t xml:space="preserve">). </w:t>
      </w:r>
      <w:r>
        <w:t>Hospitals that are not accredited by The Joint Commission can use these elements as a guide as well.</w:t>
      </w:r>
      <w:r w:rsidRPr="00FD07E4">
        <w:rPr>
          <w:b/>
        </w:rPr>
        <w:br/>
      </w:r>
    </w:p>
    <w:p w14:paraId="0DC4BDFF" w14:textId="6C73ECB8" w:rsidR="00563CD7" w:rsidRDefault="00563CD7" w:rsidP="00AD309C">
      <w:pPr>
        <w:numPr>
          <w:ilvl w:val="0"/>
          <w:numId w:val="410"/>
        </w:numPr>
        <w:tabs>
          <w:tab w:val="num" w:pos="576"/>
        </w:tabs>
      </w:pPr>
      <w:r w:rsidRPr="00417A53">
        <w:rPr>
          <w:b/>
        </w:rPr>
        <w:t>1.</w:t>
      </w:r>
      <w:bookmarkStart w:id="577" w:name="SP1_2d"/>
      <w:bookmarkEnd w:id="577"/>
      <w:r w:rsidRPr="00417A53">
        <w:rPr>
          <w:b/>
        </w:rPr>
        <w:t>2d:</w:t>
      </w:r>
      <w:r w:rsidR="001C6BC8">
        <w:rPr>
          <w:b/>
        </w:rPr>
        <w:t xml:space="preserve"> </w:t>
      </w:r>
      <w:r w:rsidRPr="00417A53">
        <w:rPr>
          <w:b/>
        </w:rPr>
        <w:t>What is the role of an interdisciplinary patient safety committee?</w:t>
      </w:r>
      <w:r w:rsidRPr="00417A53">
        <w:br/>
        <w:t xml:space="preserve">An interdisciplinary patient safety committee is an internal hospital committee that oversees the activities defined in the NQF Safe Practice </w:t>
      </w:r>
      <w:r w:rsidR="00DB7F48">
        <w:t>#</w:t>
      </w:r>
      <w:r w:rsidRPr="00417A53">
        <w:t>1 Practice Element Specifications and develops action plans to create solutions and changes in performance.</w:t>
      </w:r>
    </w:p>
    <w:p w14:paraId="4FB985D9" w14:textId="77777777" w:rsidR="00563CD7" w:rsidRDefault="00563CD7" w:rsidP="00563CD7"/>
    <w:p w14:paraId="1B50C81A" w14:textId="77777777" w:rsidR="00563CD7" w:rsidRPr="0022345D" w:rsidRDefault="00563CD7" w:rsidP="00AD309C">
      <w:pPr>
        <w:pStyle w:val="ListParagraph"/>
        <w:numPr>
          <w:ilvl w:val="0"/>
          <w:numId w:val="410"/>
        </w:numPr>
        <w:rPr>
          <w:b/>
        </w:rPr>
      </w:pPr>
      <w:bookmarkStart w:id="578" w:name="TeamTraining"/>
      <w:r w:rsidRPr="0022345D">
        <w:rPr>
          <w:b/>
        </w:rPr>
        <w:t xml:space="preserve">1.2d: </w:t>
      </w:r>
      <w:r>
        <w:rPr>
          <w:b/>
        </w:rPr>
        <w:t xml:space="preserve">What </w:t>
      </w:r>
      <w:r w:rsidRPr="0022345D">
        <w:rPr>
          <w:b/>
        </w:rPr>
        <w:t xml:space="preserve">is </w:t>
      </w:r>
      <w:r>
        <w:rPr>
          <w:b/>
        </w:rPr>
        <w:t>an example of team training that is appropriate for care</w:t>
      </w:r>
      <w:r w:rsidRPr="0022345D">
        <w:rPr>
          <w:b/>
        </w:rPr>
        <w:t>givers?</w:t>
      </w:r>
    </w:p>
    <w:bookmarkEnd w:id="578"/>
    <w:p w14:paraId="05194100" w14:textId="67CEBC4D" w:rsidR="00563CD7" w:rsidRDefault="00563CD7" w:rsidP="005859F8">
      <w:pPr>
        <w:pStyle w:val="ListParagraph"/>
      </w:pPr>
      <w:r>
        <w:t xml:space="preserve">Hospitals can utilize </w:t>
      </w:r>
      <w:hyperlink r:id="rId395" w:history="1">
        <w:r w:rsidRPr="0044746F">
          <w:rPr>
            <w:rStyle w:val="Hyperlink"/>
          </w:rPr>
          <w:t>TeamSTEPPS</w:t>
        </w:r>
      </w:hyperlink>
      <w:r>
        <w:t>, a comprehensive, evidence-based training program for health</w:t>
      </w:r>
      <w:r w:rsidR="008E6024">
        <w:t xml:space="preserve"> </w:t>
      </w:r>
      <w:r>
        <w:t xml:space="preserve">care professionals. </w:t>
      </w:r>
      <w:r w:rsidR="00607C6B">
        <w:t xml:space="preserve">At a minimum, the elements of basic teamwork training should be met as described on page 96 of the Safe Practices for Better Healthcare– 2010 Update, which is available for download here: </w:t>
      </w:r>
      <w:hyperlink r:id="rId396" w:history="1">
        <w:r w:rsidR="00370ADE" w:rsidRPr="00066414">
          <w:rPr>
            <w:rStyle w:val="Hyperlink"/>
          </w:rPr>
          <w:t>http://www.leapfroggroup.org/survey-materials/survey-and-cpoe-materials</w:t>
        </w:r>
      </w:hyperlink>
      <w:r w:rsidR="00607C6B">
        <w:t>.</w:t>
      </w:r>
    </w:p>
    <w:p w14:paraId="1607D1B6" w14:textId="41912065" w:rsidR="00370ADE" w:rsidRDefault="00370ADE" w:rsidP="00563CD7">
      <w:pPr>
        <w:pStyle w:val="ListParagraph"/>
        <w:ind w:left="576"/>
      </w:pPr>
    </w:p>
    <w:p w14:paraId="1AE70359" w14:textId="77777777" w:rsidR="00370ADE" w:rsidRDefault="00370ADE" w:rsidP="00F9543A">
      <w:pPr>
        <w:pStyle w:val="ListParagraph"/>
        <w:rPr>
          <w:color w:val="FF0000"/>
        </w:rPr>
      </w:pPr>
      <w:r w:rsidRPr="001C5C4F">
        <w:t>Team training to caregivers would need to be provided and then reported to senior administrative leadership by the interdisciplinary patient safety team to meet the intent of Safe Practice 1.2d.</w:t>
      </w:r>
    </w:p>
    <w:p w14:paraId="34DF4F47" w14:textId="77777777" w:rsidR="00563CD7" w:rsidRDefault="00563CD7" w:rsidP="00563CD7">
      <w:pPr>
        <w:rPr>
          <w:color w:val="FF0000"/>
        </w:rPr>
      </w:pPr>
    </w:p>
    <w:p w14:paraId="75F12C0F" w14:textId="77777777" w:rsidR="00563CD7" w:rsidRDefault="00563CD7" w:rsidP="00AD309C">
      <w:pPr>
        <w:numPr>
          <w:ilvl w:val="0"/>
          <w:numId w:val="410"/>
        </w:numPr>
        <w:rPr>
          <w:b/>
        </w:rPr>
      </w:pPr>
      <w:r>
        <w:rPr>
          <w:b/>
        </w:rPr>
        <w:t>1.2</w:t>
      </w:r>
      <w:bookmarkStart w:id="579" w:name="SP1_2e"/>
      <w:bookmarkEnd w:id="579"/>
      <w:r>
        <w:rPr>
          <w:b/>
        </w:rPr>
        <w:t>e: How can hospitals that have not had any adverse events during the reporting period earn credit for this element?</w:t>
      </w:r>
    </w:p>
    <w:p w14:paraId="4034306A" w14:textId="0AA26045" w:rsidR="00563CD7" w:rsidRDefault="00563CD7" w:rsidP="005859F8">
      <w:pPr>
        <w:ind w:left="720"/>
      </w:pPr>
      <w:r>
        <w:t xml:space="preserve">First, we urge your hospital to reassess its conclusion that no adverse events occurred; that would be highly unusual. Following the reassessment, if no adverse events were identified </w:t>
      </w:r>
      <w:r w:rsidRPr="000C22B5">
        <w:rPr>
          <w:b/>
          <w:u w:val="single"/>
        </w:rPr>
        <w:t>and</w:t>
      </w:r>
      <w:r>
        <w:t xml:space="preserve"> the hospital can document that it has policies in place to report such events when they do occur (to a mandatory or voluntary program), the hospital would meet the intent of this element. Please see Section 7A</w:t>
      </w:r>
      <w:r w:rsidR="00E53C8F">
        <w:t>:</w:t>
      </w:r>
      <w:r>
        <w:t xml:space="preserve"> Never Events for a list of adverse events and components of a Never Events Policy.  </w:t>
      </w:r>
    </w:p>
    <w:p w14:paraId="2D321AD1" w14:textId="77777777" w:rsidR="00563CD7" w:rsidRPr="009C02E2" w:rsidRDefault="00563CD7" w:rsidP="002B2EAA"/>
    <w:p w14:paraId="763B8243" w14:textId="2B961666" w:rsidR="00563CD7" w:rsidRPr="001C5C4F" w:rsidRDefault="00563CD7" w:rsidP="00AD309C">
      <w:pPr>
        <w:numPr>
          <w:ilvl w:val="0"/>
          <w:numId w:val="410"/>
        </w:numPr>
      </w:pPr>
      <w:r w:rsidRPr="001C5C4F">
        <w:rPr>
          <w:b/>
        </w:rPr>
        <w:t>1.</w:t>
      </w:r>
      <w:bookmarkStart w:id="580" w:name="SP1_4a_PersonallyEngaged"/>
      <w:bookmarkEnd w:id="580"/>
      <w:r w:rsidRPr="001C5C4F">
        <w:rPr>
          <w:b/>
        </w:rPr>
        <w:t xml:space="preserve">4a: </w:t>
      </w:r>
      <w:r w:rsidR="00CC7572">
        <w:rPr>
          <w:b/>
        </w:rPr>
        <w:t>What are some examples of h</w:t>
      </w:r>
      <w:r w:rsidRPr="001C5C4F">
        <w:rPr>
          <w:b/>
        </w:rPr>
        <w:t xml:space="preserve">ow </w:t>
      </w:r>
      <w:r w:rsidR="00CC7572">
        <w:rPr>
          <w:b/>
        </w:rPr>
        <w:t xml:space="preserve">the </w:t>
      </w:r>
      <w:r w:rsidRPr="001C5C4F">
        <w:rPr>
          <w:b/>
        </w:rPr>
        <w:t xml:space="preserve">CEO and senior administrative leadership </w:t>
      </w:r>
      <w:r w:rsidR="00CC7572">
        <w:rPr>
          <w:b/>
        </w:rPr>
        <w:t xml:space="preserve">can be </w:t>
      </w:r>
      <w:r w:rsidRPr="001C5C4F">
        <w:rPr>
          <w:b/>
        </w:rPr>
        <w:t>personally engage</w:t>
      </w:r>
      <w:r w:rsidR="00CC7572">
        <w:rPr>
          <w:b/>
        </w:rPr>
        <w:t>d</w:t>
      </w:r>
      <w:r w:rsidRPr="001C5C4F">
        <w:rPr>
          <w:b/>
        </w:rPr>
        <w:t xml:space="preserve"> in reinforcing patient safety improvements? </w:t>
      </w:r>
      <w:r w:rsidRPr="001C5C4F">
        <w:rPr>
          <w:b/>
        </w:rPr>
        <w:br/>
      </w:r>
      <w:bookmarkStart w:id="581" w:name="_Hlk59201197"/>
      <w:r w:rsidRPr="001C5C4F">
        <w:t>Executive walk-arounds are an example of how the CEO and senior administrative leadership can be personally engaged in reinforcing patient safety improvements. The executive walk-arounds provide staff with visibility and access to senior management. They also provide the CEO and senior administrative leadership with the opportunity to address issues and concerns in various departments in real-time</w:t>
      </w:r>
      <w:r w:rsidR="00CC7572">
        <w:t>, rather than in monthly meetings</w:t>
      </w:r>
      <w:r w:rsidRPr="001C5C4F">
        <w:t>. Monthly meetings with staff in a centralized location do not meet the intent of this Safe Practice.</w:t>
      </w:r>
    </w:p>
    <w:p w14:paraId="64014956" w14:textId="77777777" w:rsidR="00563CD7" w:rsidRPr="001C5C4F" w:rsidRDefault="00563CD7" w:rsidP="00563CD7">
      <w:pPr>
        <w:ind w:left="576"/>
      </w:pPr>
    </w:p>
    <w:p w14:paraId="206751F8" w14:textId="5A0CBBBA" w:rsidR="00563CD7" w:rsidRDefault="00563CD7" w:rsidP="005859F8">
      <w:pPr>
        <w:ind w:left="720"/>
      </w:pPr>
      <w:r w:rsidRPr="001C5C4F">
        <w:t>Progress on the implementation of walk-arounds can be measured by tracking the number of walk-</w:t>
      </w:r>
      <w:r w:rsidR="00CC7572">
        <w:t>a</w:t>
      </w:r>
      <w:r w:rsidRPr="001C5C4F">
        <w:t>rounds performed per unit or clinical area for designated time periods as shown in the calendars of the CEO and senior administrative leadership. Some progressive hospitals have tied incentives to regular executive walk-rounds and to reliable exchange of information on clinical unit performance. Some hospitals have established a feedback loop between the CEO and senior administrative leadership and staff to measure the implementation of performance improvement ideas that were generated during executive walk-arounds.</w:t>
      </w:r>
      <w:r>
        <w:t xml:space="preserve"> </w:t>
      </w:r>
    </w:p>
    <w:bookmarkEnd w:id="581"/>
    <w:p w14:paraId="6EF2D3FB" w14:textId="77777777" w:rsidR="00370ADE" w:rsidRDefault="00370ADE" w:rsidP="00CC7572">
      <w:pPr>
        <w:rPr>
          <w:b/>
        </w:rPr>
      </w:pPr>
    </w:p>
    <w:p w14:paraId="4542253B" w14:textId="4FE81EB7" w:rsidR="001241F3" w:rsidRPr="00AB20E3" w:rsidRDefault="00563CD7" w:rsidP="00AB20E3">
      <w:pPr>
        <w:numPr>
          <w:ilvl w:val="0"/>
          <w:numId w:val="410"/>
        </w:numPr>
        <w:rPr>
          <w:b/>
        </w:rPr>
      </w:pPr>
      <w:r w:rsidRPr="00CD2479">
        <w:rPr>
          <w:b/>
        </w:rPr>
        <w:t>1</w:t>
      </w:r>
      <w:bookmarkStart w:id="582" w:name="SP1_4b_ActivelyEngaged"/>
      <w:bookmarkEnd w:id="582"/>
      <w:r w:rsidRPr="00CD2479">
        <w:rPr>
          <w:b/>
        </w:rPr>
        <w:t xml:space="preserve">.4b: What are some examples </w:t>
      </w:r>
      <w:r w:rsidR="00B342C9">
        <w:rPr>
          <w:b/>
        </w:rPr>
        <w:t xml:space="preserve">of </w:t>
      </w:r>
      <w:r w:rsidRPr="00CD2479">
        <w:rPr>
          <w:b/>
        </w:rPr>
        <w:t>how the CEO can actively engage leaders from service lines, midlevel management, clinical leadership</w:t>
      </w:r>
      <w:r w:rsidR="00D23F6F">
        <w:rPr>
          <w:b/>
        </w:rPr>
        <w:t>,</w:t>
      </w:r>
      <w:r w:rsidRPr="00CD2479">
        <w:rPr>
          <w:b/>
        </w:rPr>
        <w:t xml:space="preserve"> and physician leadership in patient safety improvement actions?</w:t>
      </w:r>
      <w:r w:rsidRPr="00CD2479">
        <w:rPr>
          <w:b/>
        </w:rPr>
        <w:br/>
      </w:r>
      <w:r w:rsidRPr="00CD2479">
        <w:t xml:space="preserve">Hospitals can refer to the American College of Healthcare Executives </w:t>
      </w:r>
      <w:hyperlink r:id="rId397" w:history="1">
        <w:r w:rsidRPr="00D36222">
          <w:rPr>
            <w:rStyle w:val="Hyperlink"/>
            <w:color w:val="0000CC"/>
          </w:rPr>
          <w:t>professional policy statement</w:t>
        </w:r>
      </w:hyperlink>
      <w:r w:rsidRPr="00CD2479">
        <w:t xml:space="preserve">, which includes </w:t>
      </w:r>
      <w:r w:rsidR="007F6F14">
        <w:t>two evidence-based resources</w:t>
      </w:r>
      <w:r w:rsidR="001241F3">
        <w:t>:</w:t>
      </w:r>
    </w:p>
    <w:p w14:paraId="0BABA130" w14:textId="6EA82FE4" w:rsidR="00563CD7" w:rsidRPr="00CD2479" w:rsidRDefault="00563CD7" w:rsidP="004C0A75">
      <w:pPr>
        <w:rPr>
          <w:b/>
        </w:rPr>
      </w:pPr>
      <w:r w:rsidRPr="00CD2479">
        <w:t xml:space="preserve"> </w:t>
      </w:r>
    </w:p>
    <w:p w14:paraId="7060E45A" w14:textId="77777777" w:rsidR="00AA3F87" w:rsidRDefault="00AA3F87" w:rsidP="00AA3F87">
      <w:pPr>
        <w:numPr>
          <w:ilvl w:val="0"/>
          <w:numId w:val="463"/>
        </w:numPr>
        <w:ind w:left="1350"/>
        <w:rPr>
          <w:u w:val="single"/>
        </w:rPr>
      </w:pPr>
      <w:hyperlink r:id="rId398" w:anchor="download" w:tgtFrame="_self" w:history="1">
        <w:r w:rsidRPr="00C51EE9">
          <w:rPr>
            <w:rStyle w:val="Hyperlink"/>
          </w:rPr>
          <w:t>Leading a Culture of Safety: A Blueprint for Success</w:t>
        </w:r>
      </w:hyperlink>
    </w:p>
    <w:p w14:paraId="7271EC44" w14:textId="5B8DF79B" w:rsidR="00AA3F87" w:rsidRPr="00C51EE9" w:rsidRDefault="00AA3F87" w:rsidP="00C51EE9">
      <w:pPr>
        <w:numPr>
          <w:ilvl w:val="0"/>
          <w:numId w:val="463"/>
        </w:numPr>
        <w:ind w:left="1350"/>
        <w:rPr>
          <w:u w:val="single"/>
        </w:rPr>
      </w:pPr>
      <w:hyperlink r:id="rId399" w:tgtFrame="_self" w:history="1">
        <w:r w:rsidRPr="00C51EE9">
          <w:rPr>
            <w:rStyle w:val="Hyperlink"/>
          </w:rPr>
          <w:t>Safer Together: A National Plan to Advance Patient Safety</w:t>
        </w:r>
      </w:hyperlink>
    </w:p>
    <w:p w14:paraId="447FCCD8" w14:textId="77777777" w:rsidR="004C0A75" w:rsidRPr="00CD2479" w:rsidRDefault="004C0A75" w:rsidP="00563CD7">
      <w:pPr>
        <w:ind w:left="576"/>
        <w:rPr>
          <w:b/>
        </w:rPr>
      </w:pPr>
    </w:p>
    <w:p w14:paraId="628A0F11" w14:textId="77777777" w:rsidR="00563CD7" w:rsidRPr="008B1E7E" w:rsidRDefault="00563CD7" w:rsidP="00AD309C">
      <w:pPr>
        <w:numPr>
          <w:ilvl w:val="0"/>
          <w:numId w:val="410"/>
        </w:numPr>
        <w:tabs>
          <w:tab w:val="num" w:pos="576"/>
        </w:tabs>
      </w:pPr>
      <w:r w:rsidRPr="008B1E7E">
        <w:rPr>
          <w:b/>
        </w:rPr>
        <w:t>1.</w:t>
      </w:r>
      <w:bookmarkStart w:id="583" w:name="SP1_4c_StructureforInput"/>
      <w:bookmarkEnd w:id="583"/>
      <w:r w:rsidRPr="008B1E7E">
        <w:rPr>
          <w:b/>
        </w:rPr>
        <w:t>4c:</w:t>
      </w:r>
      <w:r w:rsidRPr="008B1E7E">
        <w:t xml:space="preserve"> </w:t>
      </w:r>
      <w:r w:rsidRPr="008B1E7E">
        <w:rPr>
          <w:b/>
        </w:rPr>
        <w:t>Wh</w:t>
      </w:r>
      <w:r>
        <w:rPr>
          <w:b/>
        </w:rPr>
        <w:t xml:space="preserve">at are some examples of how hospitals can </w:t>
      </w:r>
      <w:r w:rsidRPr="008B1E7E">
        <w:rPr>
          <w:b/>
        </w:rPr>
        <w:t>engage the medical staff as direct c</w:t>
      </w:r>
      <w:r>
        <w:rPr>
          <w:b/>
        </w:rPr>
        <w:t>ontributors to the</w:t>
      </w:r>
      <w:r w:rsidRPr="008B1E7E">
        <w:rPr>
          <w:b/>
        </w:rPr>
        <w:t xml:space="preserve"> patient safety program?</w:t>
      </w:r>
      <w:r w:rsidRPr="008B1E7E">
        <w:rPr>
          <w:b/>
        </w:rPr>
        <w:br/>
      </w:r>
      <w:r w:rsidRPr="008B1E7E">
        <w:t>Examples may include:</w:t>
      </w:r>
    </w:p>
    <w:p w14:paraId="6570F69C" w14:textId="77777777" w:rsidR="00563CD7" w:rsidRPr="008B1E7E" w:rsidRDefault="00563CD7" w:rsidP="00AD309C">
      <w:pPr>
        <w:pStyle w:val="ListParagraph"/>
        <w:numPr>
          <w:ilvl w:val="0"/>
          <w:numId w:val="411"/>
        </w:numPr>
        <w:tabs>
          <w:tab w:val="left" w:pos="270"/>
          <w:tab w:val="left" w:pos="4410"/>
        </w:tabs>
      </w:pPr>
      <w:r w:rsidRPr="008B1E7E">
        <w:t xml:space="preserve">Senior leadership requests time on Medical Staff Department standing agendas to provide patient safety updates and elicit direct feedback on specific areas as well as </w:t>
      </w:r>
      <w:r w:rsidR="00607C6B">
        <w:t>“</w:t>
      </w:r>
      <w:r w:rsidRPr="008B1E7E">
        <w:t>what keeps the medical staff up at night.”</w:t>
      </w:r>
    </w:p>
    <w:p w14:paraId="39B1AD0B" w14:textId="77777777" w:rsidR="00563CD7" w:rsidRPr="008B1E7E" w:rsidRDefault="00563CD7" w:rsidP="00AD309C">
      <w:pPr>
        <w:pStyle w:val="ListParagraph"/>
        <w:numPr>
          <w:ilvl w:val="0"/>
          <w:numId w:val="411"/>
        </w:numPr>
        <w:tabs>
          <w:tab w:val="left" w:pos="270"/>
          <w:tab w:val="left" w:pos="4410"/>
        </w:tabs>
      </w:pPr>
      <w:r w:rsidRPr="008B1E7E">
        <w:t xml:space="preserve">Medical staff </w:t>
      </w:r>
      <w:r w:rsidRPr="008306A5">
        <w:rPr>
          <w:noProof/>
        </w:rPr>
        <w:t>are</w:t>
      </w:r>
      <w:r w:rsidRPr="008B1E7E">
        <w:t xml:space="preserve"> invited and encouraged to be active participants </w:t>
      </w:r>
      <w:r w:rsidR="00B342C9">
        <w:rPr>
          <w:noProof/>
        </w:rPr>
        <w:t>in</w:t>
      </w:r>
      <w:r w:rsidRPr="008B1E7E">
        <w:t xml:space="preserve"> clinical unit meetings where patient safety is addressed. </w:t>
      </w:r>
    </w:p>
    <w:p w14:paraId="704847D3" w14:textId="77777777" w:rsidR="00563CD7" w:rsidRPr="00F9543A" w:rsidRDefault="00563CD7" w:rsidP="00AD309C">
      <w:pPr>
        <w:pStyle w:val="ListParagraph"/>
        <w:numPr>
          <w:ilvl w:val="0"/>
          <w:numId w:val="411"/>
        </w:numPr>
        <w:tabs>
          <w:tab w:val="left" w:pos="270"/>
          <w:tab w:val="left" w:pos="4410"/>
        </w:tabs>
        <w:rPr>
          <w:b/>
        </w:rPr>
      </w:pPr>
      <w:r w:rsidRPr="008B1E7E">
        <w:t xml:space="preserve">The board appoints a community-based active medical staff member to represent the organization on a regional patient safety initiative. </w:t>
      </w:r>
      <w:r w:rsidRPr="00F9543A">
        <w:rPr>
          <w:b/>
        </w:rPr>
        <w:br/>
      </w:r>
    </w:p>
    <w:p w14:paraId="1FF858C6" w14:textId="3141811F" w:rsidR="00563CD7" w:rsidRPr="00E3501E" w:rsidRDefault="00563CD7" w:rsidP="00AD309C">
      <w:pPr>
        <w:numPr>
          <w:ilvl w:val="0"/>
          <w:numId w:val="410"/>
        </w:numPr>
      </w:pPr>
      <w:r w:rsidRPr="008B1E7E">
        <w:rPr>
          <w:rFonts w:cs="Arial"/>
          <w:b/>
        </w:rPr>
        <w:t>1.</w:t>
      </w:r>
      <w:bookmarkStart w:id="584" w:name="SP1_4c_InformalMedicalLeaders"/>
      <w:bookmarkEnd w:id="584"/>
      <w:r>
        <w:rPr>
          <w:rFonts w:cs="Arial"/>
          <w:b/>
        </w:rPr>
        <w:t>4c: In a hospital</w:t>
      </w:r>
      <w:r w:rsidRPr="008B1E7E">
        <w:rPr>
          <w:rFonts w:cs="Arial"/>
          <w:b/>
        </w:rPr>
        <w:t xml:space="preserve"> where all medical staff is employed, </w:t>
      </w:r>
      <w:r>
        <w:rPr>
          <w:rFonts w:cs="Arial"/>
          <w:b/>
        </w:rPr>
        <w:t>h</w:t>
      </w:r>
      <w:r w:rsidRPr="008B1E7E">
        <w:rPr>
          <w:rFonts w:cs="Arial"/>
          <w:b/>
        </w:rPr>
        <w:t>ow do we answer this question?</w:t>
      </w:r>
      <w:r w:rsidRPr="008B1E7E">
        <w:rPr>
          <w:rFonts w:cs="Arial"/>
          <w:b/>
        </w:rPr>
        <w:br/>
      </w:r>
      <w:r w:rsidRPr="0022345D">
        <w:rPr>
          <w:rFonts w:cs="Arial"/>
        </w:rPr>
        <w:t xml:space="preserve">The </w:t>
      </w:r>
      <w:r>
        <w:rPr>
          <w:rFonts w:cs="Arial"/>
        </w:rPr>
        <w:t>intent of this element is to ensure that physicians and medical staff have the opportunity to provide input on the hospital’s patient safety plan because o</w:t>
      </w:r>
      <w:r w:rsidRPr="0022345D">
        <w:rPr>
          <w:rFonts w:cs="Arial"/>
        </w:rPr>
        <w:t xml:space="preserve">ften they do not have a significant position in the hierarchal structure of an </w:t>
      </w:r>
      <w:r w:rsidR="00FF09F6" w:rsidRPr="0022345D">
        <w:rPr>
          <w:rFonts w:cs="Arial"/>
        </w:rPr>
        <w:t>organization</w:t>
      </w:r>
      <w:r w:rsidR="00FF09F6">
        <w:rPr>
          <w:rFonts w:cs="Arial"/>
        </w:rPr>
        <w:t xml:space="preserve"> but</w:t>
      </w:r>
      <w:r w:rsidRPr="0022345D">
        <w:rPr>
          <w:rFonts w:cs="Arial"/>
        </w:rPr>
        <w:t xml:space="preserve"> carry a great deal of influence over how the organization is run. Thus, they are informal leaders who can be change agents and “accelerators or barriers for improvement.” If the organization's </w:t>
      </w:r>
      <w:r>
        <w:rPr>
          <w:rFonts w:cs="Arial"/>
        </w:rPr>
        <w:t xml:space="preserve">board and senior administrative leadership </w:t>
      </w:r>
      <w:r w:rsidRPr="0022345D">
        <w:rPr>
          <w:rFonts w:cs="Arial"/>
        </w:rPr>
        <w:t>seek and document inp</w:t>
      </w:r>
      <w:r>
        <w:rPr>
          <w:rFonts w:cs="Arial"/>
        </w:rPr>
        <w:t xml:space="preserve">ut from physicians and medical staff </w:t>
      </w:r>
      <w:r w:rsidRPr="0022345D">
        <w:rPr>
          <w:rFonts w:cs="Arial"/>
        </w:rPr>
        <w:t>regarding patient safety programs,</w:t>
      </w:r>
      <w:r>
        <w:rPr>
          <w:rFonts w:cs="Arial"/>
        </w:rPr>
        <w:t xml:space="preserve"> the intent of this element has been met. </w:t>
      </w:r>
    </w:p>
    <w:p w14:paraId="157265CB" w14:textId="77777777" w:rsidR="00563CD7" w:rsidRDefault="00563CD7" w:rsidP="00563CD7"/>
    <w:p w14:paraId="60B7E99F" w14:textId="10A5E58C" w:rsidR="00563CD7" w:rsidRPr="003F7FFA" w:rsidRDefault="0053750F" w:rsidP="00AB5B80">
      <w:pPr>
        <w:pStyle w:val="Heading3"/>
      </w:pPr>
      <w:bookmarkStart w:id="585" w:name="_Toc225877801"/>
      <w:r>
        <w:t xml:space="preserve">NQF </w:t>
      </w:r>
      <w:r w:rsidR="00AD026E">
        <w:t xml:space="preserve">Safe Practice </w:t>
      </w:r>
      <w:r w:rsidR="00DB7F48">
        <w:t>#</w:t>
      </w:r>
      <w:r w:rsidR="00563CD7" w:rsidRPr="003F7FFA">
        <w:t xml:space="preserve">2 </w:t>
      </w:r>
      <w:r w:rsidR="00211AF2">
        <w:t xml:space="preserve">– </w:t>
      </w:r>
      <w:r w:rsidR="00563CD7" w:rsidRPr="003F7FFA">
        <w:t>Culture Measurement, Feedback, and Intervention</w:t>
      </w:r>
      <w:r w:rsidR="00B078B4">
        <w:t xml:space="preserve"> FAQs</w:t>
      </w:r>
      <w:bookmarkEnd w:id="585"/>
    </w:p>
    <w:p w14:paraId="0A8A608A" w14:textId="77777777" w:rsidR="00563CD7" w:rsidRPr="008C51CB" w:rsidRDefault="00563CD7" w:rsidP="00563CD7">
      <w:pPr>
        <w:pStyle w:val="Heading44"/>
        <w:rPr>
          <w:sz w:val="20"/>
        </w:rPr>
      </w:pPr>
    </w:p>
    <w:p w14:paraId="79A6578F" w14:textId="4070A279" w:rsidR="00AD026E" w:rsidRPr="00DE70DC" w:rsidRDefault="00AD026E" w:rsidP="00AD309C">
      <w:pPr>
        <w:pStyle w:val="ListParagraph"/>
        <w:numPr>
          <w:ilvl w:val="0"/>
          <w:numId w:val="410"/>
        </w:numPr>
      </w:pPr>
      <w:bookmarkStart w:id="586" w:name="_Hlk36416962"/>
      <w:r w:rsidRPr="00DE70DC">
        <w:rPr>
          <w:b/>
        </w:rPr>
        <w:t>W</w:t>
      </w:r>
      <w:r w:rsidR="000039B5" w:rsidRPr="00DE70DC">
        <w:rPr>
          <w:b/>
        </w:rPr>
        <w:t xml:space="preserve">hy </w:t>
      </w:r>
      <w:r w:rsidRPr="00DE70DC">
        <w:rPr>
          <w:b/>
        </w:rPr>
        <w:t xml:space="preserve">are two different reporting periods used in </w:t>
      </w:r>
      <w:r w:rsidR="0053750F" w:rsidRPr="0002601E">
        <w:rPr>
          <w:b/>
          <w:bCs/>
          <w:lang w:eastAsia="ja-JP"/>
        </w:rPr>
        <w:t xml:space="preserve">NQF </w:t>
      </w:r>
      <w:r w:rsidRPr="00DE70DC">
        <w:rPr>
          <w:b/>
        </w:rPr>
        <w:t xml:space="preserve">Safe Practice </w:t>
      </w:r>
      <w:r w:rsidR="00DB7F48">
        <w:rPr>
          <w:b/>
        </w:rPr>
        <w:t>#</w:t>
      </w:r>
      <w:r w:rsidRPr="00DE70DC">
        <w:rPr>
          <w:b/>
        </w:rPr>
        <w:t xml:space="preserve">2? </w:t>
      </w:r>
    </w:p>
    <w:p w14:paraId="7D7A0973" w14:textId="4CB46B00" w:rsidR="000039B5" w:rsidRPr="000D28B0" w:rsidRDefault="00AD026E" w:rsidP="00F9543A">
      <w:pPr>
        <w:pStyle w:val="ListParagraph"/>
      </w:pPr>
      <w:r w:rsidRPr="00DE70DC">
        <w:t xml:space="preserve">Within the </w:t>
      </w:r>
      <w:r w:rsidRPr="00DE70DC">
        <w:rPr>
          <w:i/>
        </w:rPr>
        <w:t xml:space="preserve">Awareness and Accountability </w:t>
      </w:r>
      <w:r w:rsidRPr="00DE70DC">
        <w:t>elements</w:t>
      </w:r>
      <w:r w:rsidR="000D28B0" w:rsidRPr="00DE70DC">
        <w:t>,</w:t>
      </w:r>
      <w:r w:rsidRPr="00DE70DC">
        <w:t xml:space="preserve"> a </w:t>
      </w:r>
      <w:r w:rsidR="00136451">
        <w:t>24</w:t>
      </w:r>
      <w:r w:rsidR="000D28B0" w:rsidRPr="00DE70DC">
        <w:t>-</w:t>
      </w:r>
      <w:r w:rsidR="000039B5" w:rsidRPr="00DE70DC">
        <w:t>month reporting period</w:t>
      </w:r>
      <w:r w:rsidR="007D1EC5" w:rsidRPr="00DE70DC">
        <w:rPr>
          <w:bCs/>
        </w:rPr>
        <w:t xml:space="preserve"> </w:t>
      </w:r>
      <w:r w:rsidRPr="00DE70DC">
        <w:t>is used</w:t>
      </w:r>
      <w:r w:rsidR="000039B5" w:rsidRPr="00DE70DC">
        <w:t xml:space="preserve"> because these elements are related to conducting the culture of safety survey, which is typically conducted every other year.</w:t>
      </w:r>
      <w:r w:rsidR="000D28B0" w:rsidRPr="00DE70DC">
        <w:t xml:space="preserve"> Within the </w:t>
      </w:r>
      <w:r w:rsidR="000D28B0" w:rsidRPr="00DE70DC">
        <w:rPr>
          <w:i/>
        </w:rPr>
        <w:t xml:space="preserve">Ability and Action </w:t>
      </w:r>
      <w:r w:rsidR="000D28B0" w:rsidRPr="00DE70DC">
        <w:t>elements</w:t>
      </w:r>
      <w:r w:rsidR="00B342C9" w:rsidRPr="00DE70DC">
        <w:t>,</w:t>
      </w:r>
      <w:r w:rsidR="000D28B0" w:rsidRPr="00DE70DC">
        <w:t xml:space="preserve"> a </w:t>
      </w:r>
      <w:r w:rsidR="00136451">
        <w:t>12</w:t>
      </w:r>
      <w:r w:rsidR="000D28B0" w:rsidRPr="00DE70DC">
        <w:t xml:space="preserve">-month </w:t>
      </w:r>
      <w:r w:rsidR="000039B5" w:rsidRPr="00DE70DC">
        <w:t>reporting period</w:t>
      </w:r>
      <w:r w:rsidR="002363D1" w:rsidRPr="00DE70DC">
        <w:t xml:space="preserve"> </w:t>
      </w:r>
      <w:r w:rsidR="000D28B0" w:rsidRPr="00DE70DC">
        <w:t>is used</w:t>
      </w:r>
      <w:r w:rsidR="000039B5" w:rsidRPr="00DE70DC">
        <w:t xml:space="preserve"> because these practices are related to follow-up activities that would be completed</w:t>
      </w:r>
      <w:r w:rsidR="000D28B0" w:rsidRPr="00DE70DC">
        <w:t xml:space="preserve"> after the results from the culture of safety survey are available.</w:t>
      </w:r>
      <w:r w:rsidR="000D28B0" w:rsidRPr="000D28B0">
        <w:t xml:space="preserve"> </w:t>
      </w:r>
    </w:p>
    <w:bookmarkEnd w:id="586"/>
    <w:p w14:paraId="421F2967" w14:textId="77777777" w:rsidR="008D611A" w:rsidRPr="000039B5" w:rsidRDefault="008D611A" w:rsidP="000039B5">
      <w:pPr>
        <w:rPr>
          <w:b/>
          <w:color w:val="000080"/>
        </w:rPr>
      </w:pPr>
    </w:p>
    <w:p w14:paraId="37C2678F" w14:textId="2D691159" w:rsidR="001A1BD2" w:rsidRPr="001A1BD2" w:rsidRDefault="00563CD7" w:rsidP="00AD309C">
      <w:pPr>
        <w:numPr>
          <w:ilvl w:val="0"/>
          <w:numId w:val="410"/>
        </w:numPr>
        <w:tabs>
          <w:tab w:val="num" w:pos="576"/>
        </w:tabs>
        <w:rPr>
          <w:b/>
          <w:color w:val="000080"/>
        </w:rPr>
      </w:pPr>
      <w:r w:rsidRPr="008B1E7E">
        <w:rPr>
          <w:b/>
        </w:rPr>
        <w:t>2.1</w:t>
      </w:r>
      <w:bookmarkStart w:id="587" w:name="SP2_1a_CultureSurvey"/>
      <w:bookmarkEnd w:id="587"/>
      <w:r w:rsidRPr="008B1E7E">
        <w:rPr>
          <w:b/>
        </w:rPr>
        <w:t xml:space="preserve">a: What </w:t>
      </w:r>
      <w:r>
        <w:rPr>
          <w:b/>
        </w:rPr>
        <w:t>are the requirements to quali</w:t>
      </w:r>
      <w:r w:rsidR="00D23F6F">
        <w:rPr>
          <w:b/>
        </w:rPr>
        <w:t>f</w:t>
      </w:r>
      <w:r>
        <w:rPr>
          <w:b/>
        </w:rPr>
        <w:t>y as a “culture of safety survey?”</w:t>
      </w:r>
      <w:r w:rsidRPr="008B1E7E">
        <w:rPr>
          <w:b/>
        </w:rPr>
        <w:br/>
      </w:r>
      <w:r w:rsidR="00C47231">
        <w:t>Several</w:t>
      </w:r>
      <w:r w:rsidRPr="008B1E7E">
        <w:t xml:space="preserve"> surveys are readily available that specifically address culture, safety climate, and teamwork. These surveys incorporate all the additional specifications as outlined in NQF Safe Practice </w:t>
      </w:r>
      <w:r w:rsidR="00DB7F48">
        <w:t>#</w:t>
      </w:r>
      <w:r w:rsidRPr="008B1E7E">
        <w:t xml:space="preserve">2 (see 2010 NQF Safe Practice Report). </w:t>
      </w:r>
    </w:p>
    <w:p w14:paraId="32CE4CF4" w14:textId="3726B6E4" w:rsidR="001A1BD2" w:rsidRDefault="001A1BD2" w:rsidP="00DD05E6">
      <w:pPr>
        <w:ind w:left="720"/>
        <w:rPr>
          <w:b/>
          <w:color w:val="000080"/>
        </w:rPr>
      </w:pPr>
    </w:p>
    <w:p w14:paraId="5470090D" w14:textId="5EB822F6" w:rsidR="001A1BD2" w:rsidRDefault="001A1BD2" w:rsidP="00DD05E6">
      <w:pPr>
        <w:pStyle w:val="EndnoteText"/>
        <w:ind w:left="720"/>
        <w:rPr>
          <w:rFonts w:cs="Arial"/>
        </w:rPr>
      </w:pPr>
      <w:r>
        <w:rPr>
          <w:rFonts w:cs="Arial"/>
        </w:rPr>
        <w:t xml:space="preserve">Hospitals that do not use a nationally recognized culture of safety tool must ensure that their culture </w:t>
      </w:r>
      <w:r w:rsidR="003B6E90">
        <w:rPr>
          <w:rFonts w:cs="Arial"/>
        </w:rPr>
        <w:t xml:space="preserve">of safety </w:t>
      </w:r>
      <w:r>
        <w:rPr>
          <w:rFonts w:cs="Arial"/>
        </w:rPr>
        <w:t xml:space="preserve">survey meets Leapfrog’s guidelines for what constitutes a valid, consistent, and reliable survey tool. These guidelines were developed in consultation with Leapfrog’s Culture of Safety Expert Panel. The guidelines can be found on the </w:t>
      </w:r>
      <w:hyperlink r:id="rId400" w:history="1">
        <w:r w:rsidRPr="00343EC0">
          <w:rPr>
            <w:rStyle w:val="Hyperlink"/>
            <w:rFonts w:cs="Arial"/>
          </w:rPr>
          <w:t>Survey and CPOE Materials webpage</w:t>
        </w:r>
      </w:hyperlink>
      <w:r>
        <w:rPr>
          <w:rFonts w:cs="Arial"/>
        </w:rPr>
        <w:t xml:space="preserve"> under supporting materials for Section 6. </w:t>
      </w:r>
    </w:p>
    <w:p w14:paraId="0EB308BB" w14:textId="77777777" w:rsidR="0098703D" w:rsidRPr="0098703D" w:rsidRDefault="0098703D" w:rsidP="00DD05E6">
      <w:pPr>
        <w:pStyle w:val="EndnoteText"/>
        <w:ind w:left="720"/>
        <w:rPr>
          <w:rFonts w:cs="Arial"/>
        </w:rPr>
      </w:pPr>
    </w:p>
    <w:p w14:paraId="2B6996D7" w14:textId="693B3C51" w:rsidR="0098703D" w:rsidRPr="0098703D" w:rsidRDefault="0098703D" w:rsidP="00DD05E6">
      <w:pPr>
        <w:pStyle w:val="EndnoteText"/>
        <w:ind w:left="720"/>
        <w:rPr>
          <w:rFonts w:cs="Arial"/>
        </w:rPr>
      </w:pPr>
      <w:r w:rsidRPr="0098703D">
        <w:rPr>
          <w:rFonts w:cs="Arial"/>
        </w:rPr>
        <w:t>As a reminder, the AHRQ Hospital Survey on Patient Safety Culture Version 1.0 can no longer be used for the purposes of reporting on the 2026 Leapfrog Hospital Survey. Only Version 2.0 may be used. Similarly, SCORE can no longer be used for the purposes of reporting on the 2026 Leapfrog Hospital Survey. Only SCORE II may be used.</w:t>
      </w:r>
    </w:p>
    <w:p w14:paraId="45B88FC3" w14:textId="77777777" w:rsidR="001A1BD2" w:rsidRPr="0098703D" w:rsidRDefault="001A1BD2" w:rsidP="0098703D">
      <w:pPr>
        <w:ind w:left="720"/>
        <w:rPr>
          <w:b/>
          <w:color w:val="000080"/>
        </w:rPr>
      </w:pPr>
    </w:p>
    <w:p w14:paraId="439D0F01" w14:textId="5B2D1592" w:rsidR="00563CD7" w:rsidRPr="0098703D" w:rsidRDefault="00563CD7" w:rsidP="00DD05E6">
      <w:pPr>
        <w:ind w:left="720"/>
      </w:pPr>
      <w:r w:rsidRPr="0098703D">
        <w:t xml:space="preserve">A general employee satisfaction survey that has a small component of the survey addressing organizational culture does not qualify. </w:t>
      </w:r>
    </w:p>
    <w:p w14:paraId="171A901C" w14:textId="77777777" w:rsidR="00563CD7" w:rsidRPr="000D28B0" w:rsidRDefault="00563CD7" w:rsidP="00370ADE">
      <w:pPr>
        <w:rPr>
          <w:b/>
        </w:rPr>
      </w:pPr>
    </w:p>
    <w:p w14:paraId="56792CB1" w14:textId="7DE8E403" w:rsidR="00370ADE" w:rsidRPr="001C5C4F" w:rsidRDefault="00370ADE" w:rsidP="00AD309C">
      <w:pPr>
        <w:numPr>
          <w:ilvl w:val="0"/>
          <w:numId w:val="410"/>
        </w:numPr>
        <w:rPr>
          <w:b/>
        </w:rPr>
      </w:pPr>
      <w:r w:rsidRPr="001C5C4F">
        <w:rPr>
          <w:b/>
        </w:rPr>
        <w:t>2.1a Can an employee engagement survey and nationally recognized culture of safety tool be conducted at the same time?</w:t>
      </w:r>
    </w:p>
    <w:p w14:paraId="55181715" w14:textId="76AD04BC" w:rsidR="00370ADE" w:rsidRPr="00370ADE" w:rsidRDefault="00BE764C" w:rsidP="00DD05E6">
      <w:pPr>
        <w:pStyle w:val="ListParagraph"/>
        <w:ind w:left="576" w:firstLine="144"/>
        <w:rPr>
          <w:b/>
          <w:color w:val="000080"/>
        </w:rPr>
      </w:pPr>
      <w:r w:rsidRPr="001C5C4F">
        <w:t xml:space="preserve">Yes, </w:t>
      </w:r>
      <w:r w:rsidR="001C5C4F" w:rsidRPr="001C5C4F">
        <w:t>if</w:t>
      </w:r>
      <w:r w:rsidR="00370ADE" w:rsidRPr="001C5C4F">
        <w:t xml:space="preserve"> the culture of safety tool </w:t>
      </w:r>
      <w:r w:rsidR="00370ADE" w:rsidRPr="001C5C4F">
        <w:rPr>
          <w:rFonts w:cs="Arial"/>
        </w:rPr>
        <w:t>is unaltered and administered in its entirety.</w:t>
      </w:r>
    </w:p>
    <w:p w14:paraId="224A6DE4" w14:textId="77777777" w:rsidR="00370ADE" w:rsidRDefault="00370ADE" w:rsidP="00370ADE">
      <w:pPr>
        <w:ind w:left="576"/>
        <w:rPr>
          <w:b/>
        </w:rPr>
      </w:pPr>
    </w:p>
    <w:p w14:paraId="71174561" w14:textId="0B17443F" w:rsidR="002D34BD" w:rsidRPr="000D28B0" w:rsidRDefault="002D34BD" w:rsidP="00AD309C">
      <w:pPr>
        <w:numPr>
          <w:ilvl w:val="0"/>
          <w:numId w:val="410"/>
        </w:numPr>
        <w:rPr>
          <w:b/>
        </w:rPr>
      </w:pPr>
      <w:r w:rsidRPr="000D28B0">
        <w:rPr>
          <w:b/>
        </w:rPr>
        <w:t xml:space="preserve">2.1a: What does “50% of the aggregated care delivered to patients within the </w:t>
      </w:r>
      <w:r w:rsidR="00261D05">
        <w:rPr>
          <w:b/>
        </w:rPr>
        <w:t>hospital</w:t>
      </w:r>
      <w:r w:rsidRPr="000D28B0">
        <w:rPr>
          <w:b/>
        </w:rPr>
        <w:t>” mean?</w:t>
      </w:r>
    </w:p>
    <w:p w14:paraId="24CD97D2" w14:textId="77777777" w:rsidR="002D34BD" w:rsidRPr="000D28B0" w:rsidRDefault="000D28B0" w:rsidP="00DD05E6">
      <w:pPr>
        <w:ind w:left="720"/>
      </w:pPr>
      <w:r w:rsidRPr="000D28B0">
        <w:t xml:space="preserve">As described on page </w:t>
      </w:r>
      <w:r w:rsidR="002D34BD" w:rsidRPr="000D28B0">
        <w:t xml:space="preserve">88 of the NQF Safe Practices for Better Healthcare Report, </w:t>
      </w:r>
      <w:r w:rsidRPr="000D28B0">
        <w:t>“</w:t>
      </w:r>
      <w:r w:rsidR="002D34BD" w:rsidRPr="000D28B0">
        <w:t>a census of units or service areas that in aggregate deliver care to more than 50 percent of the patients receiving care should be surveyed, service lines or units where there is a high patient safety risk should be measured, and there should be a valid sample to allow for unit-level analysis and facilitate improvement.</w:t>
      </w:r>
      <w:r w:rsidRPr="000D28B0">
        <w:t>”</w:t>
      </w:r>
    </w:p>
    <w:p w14:paraId="7E46173F" w14:textId="77777777" w:rsidR="002D34BD" w:rsidRPr="002D34BD" w:rsidRDefault="002D34BD" w:rsidP="002D34BD">
      <w:pPr>
        <w:ind w:left="576"/>
        <w:rPr>
          <w:color w:val="000080"/>
        </w:rPr>
      </w:pPr>
    </w:p>
    <w:p w14:paraId="61F6C26C" w14:textId="77777777" w:rsidR="00563CD7" w:rsidRPr="008B1E7E" w:rsidRDefault="00563CD7" w:rsidP="00AD309C">
      <w:pPr>
        <w:numPr>
          <w:ilvl w:val="0"/>
          <w:numId w:val="410"/>
        </w:numPr>
        <w:tabs>
          <w:tab w:val="num" w:pos="576"/>
        </w:tabs>
        <w:rPr>
          <w:b/>
          <w:color w:val="000080"/>
        </w:rPr>
      </w:pPr>
      <w:r w:rsidRPr="008B1E7E">
        <w:rPr>
          <w:b/>
        </w:rPr>
        <w:t>2.</w:t>
      </w:r>
      <w:bookmarkStart w:id="588" w:name="SP2_1b"/>
      <w:bookmarkEnd w:id="588"/>
      <w:r w:rsidRPr="008B1E7E">
        <w:rPr>
          <w:b/>
        </w:rPr>
        <w:t>1b: For reporting individual unit level results, what is th</w:t>
      </w:r>
      <w:r>
        <w:rPr>
          <w:b/>
        </w:rPr>
        <w:t>e minimum number of responses a hospital</w:t>
      </w:r>
      <w:r w:rsidRPr="008B1E7E">
        <w:rPr>
          <w:b/>
        </w:rPr>
        <w:t xml:space="preserve"> should have?</w:t>
      </w:r>
    </w:p>
    <w:p w14:paraId="528D90DC" w14:textId="77777777" w:rsidR="00563CD7" w:rsidRPr="008B1E7E" w:rsidRDefault="00563CD7" w:rsidP="00DD05E6">
      <w:pPr>
        <w:ind w:left="720"/>
      </w:pPr>
      <w:r>
        <w:t xml:space="preserve">Most major </w:t>
      </w:r>
      <w:r w:rsidRPr="008B1E7E">
        <w:t>vendors use a threshold of 5 or more re</w:t>
      </w:r>
      <w:r>
        <w:t xml:space="preserve">sponses and a 40% response rate. </w:t>
      </w:r>
      <w:r w:rsidRPr="008B1E7E">
        <w:t>For larger units, a lower response rate may be acceptable. If a unit does not meet these thresholds, your hospital could</w:t>
      </w:r>
      <w:r>
        <w:t xml:space="preserve"> aggregate the results of “like”</w:t>
      </w:r>
      <w:r w:rsidRPr="008B1E7E">
        <w:t xml:space="preserve"> units together (e.g</w:t>
      </w:r>
      <w:r>
        <w:t>., med</w:t>
      </w:r>
      <w:r w:rsidR="000C2775">
        <w:t>ical</w:t>
      </w:r>
      <w:r>
        <w:t>/surg</w:t>
      </w:r>
      <w:r w:rsidR="000C2775">
        <w:t>ical</w:t>
      </w:r>
      <w:r>
        <w:t xml:space="preserve"> units, ICUs, ORs). </w:t>
      </w:r>
      <w:r w:rsidRPr="008B1E7E">
        <w:t>Hospitals should not combin</w:t>
      </w:r>
      <w:r>
        <w:t>e results across “unlike” units.</w:t>
      </w:r>
    </w:p>
    <w:p w14:paraId="1BFB29C8" w14:textId="77777777" w:rsidR="00563CD7" w:rsidRPr="008B1E7E" w:rsidRDefault="00563CD7" w:rsidP="00563CD7">
      <w:pPr>
        <w:ind w:left="576"/>
        <w:rPr>
          <w:color w:val="000080"/>
        </w:rPr>
      </w:pPr>
    </w:p>
    <w:p w14:paraId="0D7E99AD" w14:textId="77777777" w:rsidR="00563CD7" w:rsidRDefault="00563CD7" w:rsidP="00AD309C">
      <w:pPr>
        <w:pStyle w:val="ListParagraph"/>
        <w:numPr>
          <w:ilvl w:val="0"/>
          <w:numId w:val="410"/>
        </w:numPr>
        <w:rPr>
          <w:b/>
        </w:rPr>
      </w:pPr>
      <w:r w:rsidRPr="002E5696">
        <w:rPr>
          <w:b/>
        </w:rPr>
        <w:t>2.</w:t>
      </w:r>
      <w:bookmarkStart w:id="589" w:name="SP2_1c"/>
      <w:bookmarkEnd w:id="589"/>
      <w:r w:rsidRPr="002E5696">
        <w:rPr>
          <w:b/>
        </w:rPr>
        <w:t>1c: Wha</w:t>
      </w:r>
      <w:r>
        <w:rPr>
          <w:b/>
        </w:rPr>
        <w:t>t is meant by “like” hospitals? Can hospitals</w:t>
      </w:r>
      <w:r w:rsidRPr="002E5696">
        <w:rPr>
          <w:b/>
        </w:rPr>
        <w:t xml:space="preserve"> benchmark against </w:t>
      </w:r>
      <w:r>
        <w:rPr>
          <w:b/>
        </w:rPr>
        <w:t>those within the same network or system</w:t>
      </w:r>
      <w:r w:rsidRPr="002E5696">
        <w:rPr>
          <w:b/>
        </w:rPr>
        <w:t>?</w:t>
      </w:r>
      <w:r>
        <w:rPr>
          <w:b/>
        </w:rPr>
        <w:t xml:space="preserve"> How would a pediatric hospital benchmark against other pediatric hospitals?</w:t>
      </w:r>
    </w:p>
    <w:p w14:paraId="4CDA4848" w14:textId="77777777" w:rsidR="00563CD7" w:rsidRDefault="00563CD7" w:rsidP="00DD05E6">
      <w:pPr>
        <w:pStyle w:val="ListParagraph"/>
      </w:pPr>
      <w:r>
        <w:t>Hospitals should benchmark their results against hospitals with similar demographics, such as hospital type, number of beds, number of admissions, urban/rural designation, etc. Hospitals in systems or healthcare networks should benchmark throughout the health system, but not within the same region.</w:t>
      </w:r>
    </w:p>
    <w:p w14:paraId="6D13C21A" w14:textId="77777777" w:rsidR="00563CD7" w:rsidRDefault="00563CD7" w:rsidP="00563CD7">
      <w:pPr>
        <w:pStyle w:val="ListParagraph"/>
        <w:ind w:left="576"/>
      </w:pPr>
    </w:p>
    <w:p w14:paraId="2A0A5862" w14:textId="0ABE92A5" w:rsidR="00563CD7" w:rsidRPr="001148DB" w:rsidRDefault="00563CD7" w:rsidP="00DD05E6">
      <w:pPr>
        <w:pStyle w:val="ListParagraph"/>
        <w:rPr>
          <w:b/>
        </w:rPr>
      </w:pPr>
      <w:r>
        <w:t>Pediatric hospitals utilizing the AHRQ Hospital S</w:t>
      </w:r>
      <w:r w:rsidR="00B342C9">
        <w:t>urvey on Patient Safety Culture</w:t>
      </w:r>
      <w:r>
        <w:t xml:space="preserve"> can benchmark their results using the </w:t>
      </w:r>
      <w:hyperlink r:id="rId401" w:history="1">
        <w:r w:rsidRPr="001148DB">
          <w:rPr>
            <w:rStyle w:val="Hyperlink"/>
          </w:rPr>
          <w:t>AHRQ’s User Comparative Database Report</w:t>
        </w:r>
      </w:hyperlink>
      <w:r>
        <w:t xml:space="preserve"> (</w:t>
      </w:r>
      <w:r w:rsidRPr="00F04564">
        <w:t>refer to instructions starting on page 29</w:t>
      </w:r>
      <w:r>
        <w:t>).</w:t>
      </w:r>
    </w:p>
    <w:p w14:paraId="25DF16AF" w14:textId="77777777" w:rsidR="00940535" w:rsidRPr="00B233F4" w:rsidRDefault="00940535" w:rsidP="00563CD7">
      <w:pPr>
        <w:pStyle w:val="ListParagraph"/>
        <w:ind w:left="576"/>
      </w:pPr>
    </w:p>
    <w:p w14:paraId="52C8D48E" w14:textId="77777777" w:rsidR="00563CD7" w:rsidRPr="009E3932" w:rsidRDefault="00563CD7" w:rsidP="00AD309C">
      <w:pPr>
        <w:pStyle w:val="ListParagraph"/>
        <w:numPr>
          <w:ilvl w:val="0"/>
          <w:numId w:val="410"/>
        </w:numPr>
        <w:rPr>
          <w:b/>
        </w:rPr>
      </w:pPr>
      <w:r w:rsidRPr="009E3932">
        <w:rPr>
          <w:b/>
        </w:rPr>
        <w:t>2.</w:t>
      </w:r>
      <w:bookmarkStart w:id="590" w:name="SP2_1d"/>
      <w:bookmarkEnd w:id="590"/>
      <w:r w:rsidRPr="009E3932">
        <w:rPr>
          <w:b/>
        </w:rPr>
        <w:t>1d: What is meant by roles and staff levels?</w:t>
      </w:r>
    </w:p>
    <w:p w14:paraId="7D8F39F4" w14:textId="77777777" w:rsidR="00563CD7" w:rsidRDefault="00563CD7" w:rsidP="00DD05E6">
      <w:pPr>
        <w:pStyle w:val="ListParagraph"/>
      </w:pPr>
      <w:r w:rsidRPr="00B45A26">
        <w:t>Roles are job types (e.g.</w:t>
      </w:r>
      <w:r w:rsidR="00D23F6F">
        <w:t>,</w:t>
      </w:r>
      <w:r w:rsidRPr="00B45A26">
        <w:t xml:space="preserve"> surgeons, nurses, hospitalists, physician assistants, or clinical and non-clinical</w:t>
      </w:r>
      <w:r>
        <w:t>, etc.</w:t>
      </w:r>
      <w:r w:rsidRPr="00B45A26">
        <w:t>).</w:t>
      </w:r>
      <w:r>
        <w:t xml:space="preserve"> Staff levels are defined within the organization’s </w:t>
      </w:r>
      <w:r w:rsidRPr="00B45A26">
        <w:t>hierarchy (e.g.</w:t>
      </w:r>
      <w:r w:rsidR="00D23F6F">
        <w:t>,</w:t>
      </w:r>
      <w:r w:rsidRPr="00B45A26">
        <w:t xml:space="preserve"> senior administrators, directors, managers</w:t>
      </w:r>
      <w:r>
        <w:t>, etc.</w:t>
      </w:r>
      <w:r w:rsidRPr="00B45A26">
        <w:t>).</w:t>
      </w:r>
    </w:p>
    <w:p w14:paraId="7AAF34D5" w14:textId="77777777" w:rsidR="00563CD7" w:rsidRDefault="00563CD7" w:rsidP="00317433"/>
    <w:p w14:paraId="2E8ABE80" w14:textId="77777777" w:rsidR="00563CD7" w:rsidRPr="00F20E22" w:rsidRDefault="00563CD7" w:rsidP="00AD309C">
      <w:pPr>
        <w:pStyle w:val="ListParagraph"/>
        <w:numPr>
          <w:ilvl w:val="0"/>
          <w:numId w:val="410"/>
        </w:numPr>
        <w:rPr>
          <w:b/>
        </w:rPr>
      </w:pPr>
      <w:r w:rsidRPr="003C2C1B">
        <w:rPr>
          <w:b/>
        </w:rPr>
        <w:t>2.</w:t>
      </w:r>
      <w:bookmarkStart w:id="591" w:name="SP2_2c"/>
      <w:bookmarkEnd w:id="591"/>
      <w:r w:rsidR="00B135E6">
        <w:rPr>
          <w:b/>
        </w:rPr>
        <w:t>2b</w:t>
      </w:r>
      <w:r w:rsidRPr="003C2C1B">
        <w:rPr>
          <w:b/>
        </w:rPr>
        <w:t xml:space="preserve">: </w:t>
      </w:r>
      <w:r w:rsidRPr="00F20E22">
        <w:rPr>
          <w:b/>
        </w:rPr>
        <w:t>Does performance evaluation criteria for senior administrative leadership need to include the actual targeted response rate to the culture of safety survey?</w:t>
      </w:r>
    </w:p>
    <w:p w14:paraId="1BBAF65D" w14:textId="40843659" w:rsidR="00563CD7" w:rsidRDefault="00563CD7" w:rsidP="00DD05E6">
      <w:pPr>
        <w:pStyle w:val="ListParagraph"/>
      </w:pPr>
      <w:r>
        <w:t xml:space="preserve">Yes. The organization’s targeted response rate to the culture of safety survey should be included in performance evaluation criteria for senior administrative leadership. Criteria for using the survey results in improvement efforts should also be included to meet the intent of this element. </w:t>
      </w:r>
    </w:p>
    <w:p w14:paraId="6E8A1AA9" w14:textId="77777777" w:rsidR="00563CD7" w:rsidRPr="008B1E7E" w:rsidRDefault="00563CD7" w:rsidP="00563CD7"/>
    <w:p w14:paraId="432DAD2C" w14:textId="77777777" w:rsidR="00563CD7" w:rsidRPr="008B1E7E" w:rsidRDefault="00563CD7" w:rsidP="00AD309C">
      <w:pPr>
        <w:numPr>
          <w:ilvl w:val="0"/>
          <w:numId w:val="410"/>
        </w:numPr>
        <w:tabs>
          <w:tab w:val="num" w:pos="576"/>
        </w:tabs>
        <w:rPr>
          <w:b/>
        </w:rPr>
      </w:pPr>
      <w:r w:rsidRPr="008B1E7E">
        <w:rPr>
          <w:b/>
        </w:rPr>
        <w:t>2.</w:t>
      </w:r>
      <w:bookmarkStart w:id="592" w:name="SP2_3a"/>
      <w:bookmarkEnd w:id="592"/>
      <w:r w:rsidRPr="008B1E7E">
        <w:rPr>
          <w:b/>
        </w:rPr>
        <w:t>3a</w:t>
      </w:r>
      <w:r>
        <w:rPr>
          <w:b/>
        </w:rPr>
        <w:t xml:space="preserve">: </w:t>
      </w:r>
      <w:r w:rsidRPr="008B1E7E">
        <w:rPr>
          <w:b/>
        </w:rPr>
        <w:t xml:space="preserve">Which employees should be included </w:t>
      </w:r>
      <w:r>
        <w:rPr>
          <w:b/>
        </w:rPr>
        <w:t>in the staff education program?</w:t>
      </w:r>
      <w:r w:rsidRPr="008B1E7E">
        <w:rPr>
          <w:b/>
        </w:rPr>
        <w:t xml:space="preserve"> Employees in all units or just those in low-performing units?</w:t>
      </w:r>
    </w:p>
    <w:p w14:paraId="4A593A7D" w14:textId="77777777" w:rsidR="00563CD7" w:rsidRDefault="00563CD7" w:rsidP="00DD05E6">
      <w:pPr>
        <w:ind w:left="720"/>
      </w:pPr>
      <w:r w:rsidRPr="008B1E7E">
        <w:t xml:space="preserve">Staff education needs to include education for </w:t>
      </w:r>
      <w:r>
        <w:t xml:space="preserve">all levels of staff, from </w:t>
      </w:r>
      <w:r w:rsidRPr="008B1E7E">
        <w:t>sen</w:t>
      </w:r>
      <w:r>
        <w:t xml:space="preserve">ior administrative and clinical leadership to frontline caregivers. In addition, because </w:t>
      </w:r>
      <w:r w:rsidRPr="008B1E7E">
        <w:t xml:space="preserve">all units have opportunities for improvement, the staff education should </w:t>
      </w:r>
      <w:r>
        <w:t xml:space="preserve">include all </w:t>
      </w:r>
      <w:r w:rsidR="00B342C9">
        <w:rPr>
          <w:noProof/>
        </w:rPr>
        <w:t>units</w:t>
      </w:r>
      <w:r>
        <w:t xml:space="preserve"> but can focus on deficiencies of a specific unit or department. </w:t>
      </w:r>
    </w:p>
    <w:p w14:paraId="5C25AE84" w14:textId="77777777" w:rsidR="00563CD7" w:rsidRDefault="00563CD7" w:rsidP="00563CD7">
      <w:pPr>
        <w:ind w:left="576"/>
      </w:pPr>
    </w:p>
    <w:p w14:paraId="2CA4E761" w14:textId="77777777" w:rsidR="00563CD7" w:rsidRPr="00B05B81" w:rsidRDefault="00563CD7" w:rsidP="00AD309C">
      <w:pPr>
        <w:numPr>
          <w:ilvl w:val="0"/>
          <w:numId w:val="410"/>
        </w:numPr>
        <w:tabs>
          <w:tab w:val="num" w:pos="576"/>
        </w:tabs>
        <w:rPr>
          <w:b/>
        </w:rPr>
      </w:pPr>
      <w:r>
        <w:rPr>
          <w:b/>
        </w:rPr>
        <w:t>2.1</w:t>
      </w:r>
      <w:bookmarkStart w:id="593" w:name="SP2_1e_vs_2_4b"/>
      <w:bookmarkEnd w:id="593"/>
      <w:r>
        <w:rPr>
          <w:b/>
        </w:rPr>
        <w:t xml:space="preserve">e and 2.4b: </w:t>
      </w:r>
      <w:r w:rsidRPr="00B05B81">
        <w:rPr>
          <w:b/>
        </w:rPr>
        <w:t>What is the difference between 2.1e and 2.4b? Both seem to focus on sharing and discussing the Culture of Safety Survey results.</w:t>
      </w:r>
    </w:p>
    <w:p w14:paraId="4D4D3D85" w14:textId="77777777" w:rsidR="00563CD7" w:rsidRPr="00E3237B" w:rsidRDefault="00563CD7" w:rsidP="00DD05E6">
      <w:pPr>
        <w:ind w:left="720"/>
      </w:pPr>
      <w:r>
        <w:t xml:space="preserve">While both elements focus on sharing and discussing Culture of Safety Survey results, these elements focus on different audiences and activities, and the result is that different kinds of feedback are collected. Safe Practice 2.1e requires </w:t>
      </w:r>
      <w:r w:rsidRPr="00C45500">
        <w:rPr>
          <w:u w:val="single"/>
        </w:rPr>
        <w:t>local leaders</w:t>
      </w:r>
      <w:r>
        <w:t xml:space="preserve"> (e.g.</w:t>
      </w:r>
      <w:r w:rsidR="00D23F6F">
        <w:t>,</w:t>
      </w:r>
      <w:r>
        <w:t xml:space="preserve"> unit/department manager) to engage their unit/departments in a discussion about the survey results, while Safe Practice 2.4b requires </w:t>
      </w:r>
      <w:r w:rsidRPr="0040649E">
        <w:rPr>
          <w:u w:val="single"/>
        </w:rPr>
        <w:t>senior administrative leadership</w:t>
      </w:r>
      <w:r>
        <w:t xml:space="preserve"> to engage each sampled unit in a discussion about the survey results and their concerns. </w:t>
      </w:r>
    </w:p>
    <w:p w14:paraId="273DE385" w14:textId="7E61AEB5" w:rsidR="00563CD7" w:rsidRPr="008C51CB" w:rsidRDefault="00563CD7" w:rsidP="00563CD7">
      <w:pPr>
        <w:rPr>
          <w:b/>
        </w:rPr>
      </w:pPr>
      <w:bookmarkStart w:id="594" w:name="SP4_4a"/>
      <w:bookmarkEnd w:id="594"/>
    </w:p>
    <w:p w14:paraId="3E4191A1" w14:textId="674A62A5" w:rsidR="00175583" w:rsidRDefault="00175583" w:rsidP="00AB5B80">
      <w:pPr>
        <w:pStyle w:val="Heading3"/>
      </w:pPr>
      <w:bookmarkStart w:id="595" w:name="_Total_Nursing_Care"/>
      <w:bookmarkStart w:id="596" w:name="SP9_1a"/>
      <w:bookmarkStart w:id="597" w:name="SP9_3b"/>
      <w:bookmarkStart w:id="598" w:name="_Hand_Hygiene_1"/>
      <w:bookmarkStart w:id="599" w:name="_Toc225877802"/>
      <w:bookmarkEnd w:id="595"/>
      <w:bookmarkEnd w:id="596"/>
      <w:bookmarkEnd w:id="597"/>
      <w:bookmarkEnd w:id="598"/>
      <w:r>
        <w:t>Hand Hygiene</w:t>
      </w:r>
      <w:r w:rsidR="00B078B4">
        <w:t xml:space="preserve"> FAQs</w:t>
      </w:r>
      <w:bookmarkEnd w:id="599"/>
    </w:p>
    <w:p w14:paraId="181C7D20" w14:textId="17F8F1D8" w:rsidR="00855160" w:rsidRDefault="00855160" w:rsidP="00855160">
      <w:pPr>
        <w:pStyle w:val="EndnoteText"/>
        <w:rPr>
          <w:bCs/>
        </w:rPr>
      </w:pPr>
      <w:bookmarkStart w:id="600" w:name="Demonstrate"/>
      <w:bookmarkStart w:id="601" w:name="SP19_4a"/>
    </w:p>
    <w:p w14:paraId="4A388049" w14:textId="77AD01DF" w:rsidR="007A0378" w:rsidRPr="008C51CB" w:rsidRDefault="00855160" w:rsidP="0002601E">
      <w:pPr>
        <w:pStyle w:val="Heading44"/>
        <w:rPr>
          <w:sz w:val="20"/>
        </w:rPr>
      </w:pPr>
      <w:r>
        <w:t>Training and Education</w:t>
      </w:r>
      <w:r w:rsidR="00211AF2">
        <w:br/>
      </w:r>
    </w:p>
    <w:p w14:paraId="41EC0434" w14:textId="26D9D0F5" w:rsidR="00D53AF3" w:rsidRPr="00893060" w:rsidRDefault="00D53AF3" w:rsidP="00AD309C">
      <w:pPr>
        <w:pStyle w:val="EndnoteText"/>
        <w:numPr>
          <w:ilvl w:val="0"/>
          <w:numId w:val="410"/>
        </w:numPr>
        <w:rPr>
          <w:b/>
        </w:rPr>
      </w:pPr>
      <w:r w:rsidRPr="00893060">
        <w:rPr>
          <w:b/>
        </w:rPr>
        <w:t>Are online training modules acceptable for the purposes of question #1 and question #3?</w:t>
      </w:r>
    </w:p>
    <w:p w14:paraId="16369E96" w14:textId="77777777" w:rsidR="006B6045" w:rsidRDefault="00D53AF3" w:rsidP="00DD05E6">
      <w:pPr>
        <w:pStyle w:val="EndnoteText"/>
        <w:ind w:left="720"/>
        <w:rPr>
          <w:bCs/>
        </w:rPr>
      </w:pPr>
      <w:r w:rsidRPr="00893060">
        <w:rPr>
          <w:bCs/>
        </w:rPr>
        <w:t xml:space="preserve">Online training modules are acceptable for the purposes of answering question #1 and question #3 </w:t>
      </w:r>
      <w:r w:rsidR="004E079F" w:rsidRPr="00893060">
        <w:rPr>
          <w:bCs/>
        </w:rPr>
        <w:t>if</w:t>
      </w:r>
      <w:r w:rsidRPr="00893060">
        <w:rPr>
          <w:bCs/>
        </w:rPr>
        <w:t xml:space="preserve"> they meet all requirements outlined in the question. </w:t>
      </w:r>
    </w:p>
    <w:p w14:paraId="5948938F" w14:textId="77777777" w:rsidR="006B6045" w:rsidRDefault="006B6045" w:rsidP="00D53AF3">
      <w:pPr>
        <w:pStyle w:val="EndnoteText"/>
        <w:ind w:left="576"/>
        <w:rPr>
          <w:bCs/>
        </w:rPr>
      </w:pPr>
    </w:p>
    <w:p w14:paraId="166A04F4" w14:textId="45E0AD3D" w:rsidR="00D53AF3" w:rsidRPr="009C4ACB" w:rsidRDefault="00D53AF3" w:rsidP="00DD05E6">
      <w:pPr>
        <w:pStyle w:val="EndnoteText"/>
        <w:ind w:left="720"/>
        <w:rPr>
          <w:bCs/>
        </w:rPr>
      </w:pPr>
      <w:r w:rsidRPr="00893060">
        <w:rPr>
          <w:bCs/>
        </w:rPr>
        <w:t xml:space="preserve">For question #1, the online training must be done at the frequency specified and would need to be delivered </w:t>
      </w:r>
      <w:r w:rsidR="004402A7" w:rsidRPr="009C4ACB">
        <w:rPr>
          <w:bCs/>
        </w:rPr>
        <w:t xml:space="preserve">and/or developed </w:t>
      </w:r>
      <w:r w:rsidRPr="009C4ACB">
        <w:rPr>
          <w:bCs/>
        </w:rPr>
        <w:t xml:space="preserve">by a </w:t>
      </w:r>
      <w:hyperlink w:anchor="profwapproptrainandskill" w:history="1">
        <w:r w:rsidRPr="009C4ACB">
          <w:rPr>
            <w:rStyle w:val="Hyperlink"/>
          </w:rPr>
          <w:t>professional with appropriate training and skills</w:t>
        </w:r>
      </w:hyperlink>
      <w:r w:rsidR="0002601E">
        <w:rPr>
          <w:rStyle w:val="Hyperlink"/>
        </w:rPr>
        <w:t>.</w:t>
      </w:r>
      <w:r w:rsidRPr="009C4ACB">
        <w:rPr>
          <w:bCs/>
        </w:rPr>
        <w:t xml:space="preserve"> For question #3, the online training must meet all six topics outlined in the question. </w:t>
      </w:r>
    </w:p>
    <w:p w14:paraId="690019CB" w14:textId="77777777" w:rsidR="00D53AF3" w:rsidRPr="00893060" w:rsidRDefault="00D53AF3" w:rsidP="009B4891">
      <w:pPr>
        <w:pStyle w:val="EndnoteText"/>
        <w:rPr>
          <w:bCs/>
        </w:rPr>
      </w:pPr>
    </w:p>
    <w:p w14:paraId="43EA82D2" w14:textId="77777777" w:rsidR="00D53AF3" w:rsidRPr="00893060" w:rsidRDefault="00D53AF3" w:rsidP="00DD05E6">
      <w:pPr>
        <w:pStyle w:val="EndnoteText"/>
        <w:ind w:left="576" w:firstLine="144"/>
        <w:rPr>
          <w:bCs/>
        </w:rPr>
      </w:pPr>
      <w:r w:rsidRPr="00893060">
        <w:rPr>
          <w:bCs/>
        </w:rPr>
        <w:t xml:space="preserve">Physical demonstration (question #2) </w:t>
      </w:r>
      <w:r w:rsidRPr="00893060">
        <w:rPr>
          <w:b/>
        </w:rPr>
        <w:t>cannot</w:t>
      </w:r>
      <w:r w:rsidRPr="00893060">
        <w:rPr>
          <w:bCs/>
        </w:rPr>
        <w:t xml:space="preserve"> be done using an online training module.</w:t>
      </w:r>
    </w:p>
    <w:p w14:paraId="59C2FBE1" w14:textId="77777777" w:rsidR="00B65D10" w:rsidRPr="00893060" w:rsidRDefault="00B65D10" w:rsidP="002B2EAA">
      <w:pPr>
        <w:pStyle w:val="EndnoteText"/>
        <w:rPr>
          <w:bCs/>
        </w:rPr>
      </w:pPr>
    </w:p>
    <w:p w14:paraId="4F38F619" w14:textId="77777777" w:rsidR="00A26E56" w:rsidRDefault="00A26E56" w:rsidP="00AD309C">
      <w:pPr>
        <w:pStyle w:val="EndnoteText"/>
        <w:numPr>
          <w:ilvl w:val="0"/>
          <w:numId w:val="410"/>
        </w:numPr>
        <w:rPr>
          <w:b/>
        </w:rPr>
      </w:pPr>
      <w:bookmarkStart w:id="602" w:name="HH_demonstrate"/>
      <w:bookmarkEnd w:id="602"/>
      <w:r>
        <w:rPr>
          <w:b/>
        </w:rPr>
        <w:t>Can a hospital answer “yes” to the training and education questions #1-3 if the training and education for medical/nursing/pharmacy students is done by the medical/nursing/pharmacy school?</w:t>
      </w:r>
    </w:p>
    <w:p w14:paraId="574602AF" w14:textId="6258D2A0" w:rsidR="00A26E56" w:rsidRDefault="00A26E56" w:rsidP="00DD05E6">
      <w:pPr>
        <w:pStyle w:val="EndnoteText"/>
        <w:ind w:left="720"/>
        <w:rPr>
          <w:bCs/>
        </w:rPr>
      </w:pPr>
      <w:r>
        <w:rPr>
          <w:bCs/>
        </w:rPr>
        <w:t xml:space="preserve">Yes, you can answer “yes” to questions #1-3 if your hospital, alone, or in combination with other hospitals, has developed a standard orientation/on-boarding curriculum for students that meets all requirements outlined in the training and education questions. Your hospital will need to have continued and ongoing input into the curriculum, but the </w:t>
      </w:r>
      <w:r w:rsidRPr="00493567">
        <w:rPr>
          <w:bCs/>
          <w:u w:val="single"/>
        </w:rPr>
        <w:t>administration</w:t>
      </w:r>
      <w:r>
        <w:rPr>
          <w:bCs/>
        </w:rPr>
        <w:t xml:space="preserve"> of the training and education for students, including physical demonstration of proper hand hygiene technique, could be conducted by the school.</w:t>
      </w:r>
      <w:r>
        <w:rPr>
          <w:bCs/>
        </w:rPr>
        <w:br/>
      </w:r>
    </w:p>
    <w:p w14:paraId="1B98918D" w14:textId="77777777" w:rsidR="008C51CB" w:rsidRDefault="008C51CB" w:rsidP="00DD05E6">
      <w:pPr>
        <w:pStyle w:val="EndnoteText"/>
        <w:ind w:left="720"/>
        <w:rPr>
          <w:bCs/>
        </w:rPr>
      </w:pPr>
    </w:p>
    <w:p w14:paraId="6A3FC307" w14:textId="77777777" w:rsidR="008C51CB" w:rsidRDefault="008C51CB" w:rsidP="00DD05E6">
      <w:pPr>
        <w:pStyle w:val="EndnoteText"/>
        <w:ind w:left="720"/>
        <w:rPr>
          <w:bCs/>
        </w:rPr>
      </w:pPr>
    </w:p>
    <w:p w14:paraId="035489F0" w14:textId="12B668CB" w:rsidR="00D53AF3" w:rsidRPr="00A26E56" w:rsidRDefault="00D53AF3" w:rsidP="00AD309C">
      <w:pPr>
        <w:pStyle w:val="EndnoteText"/>
        <w:numPr>
          <w:ilvl w:val="0"/>
          <w:numId w:val="410"/>
        </w:numPr>
        <w:rPr>
          <w:b/>
        </w:rPr>
      </w:pPr>
      <w:r w:rsidRPr="00A26E56">
        <w:rPr>
          <w:b/>
        </w:rPr>
        <w:t>What are examples of what can count as “physically demonstrating” proper hand hygiene during the initial hand hygiene training?</w:t>
      </w:r>
    </w:p>
    <w:bookmarkEnd w:id="600"/>
    <w:p w14:paraId="24224ABA" w14:textId="53B89CBD" w:rsidR="006B6045" w:rsidRDefault="00D53AF3" w:rsidP="00DD05E6">
      <w:pPr>
        <w:pStyle w:val="EndnoteText"/>
        <w:ind w:left="720"/>
      </w:pPr>
      <w:r w:rsidRPr="00893060">
        <w:t xml:space="preserve">Before new individuals to your hospital have contact with patients and the patient care space, they will need to demonstrate proper hand hygiene with soap and water and alcohol-based hand sanitizer. This demonstration could be done </w:t>
      </w:r>
      <w:r w:rsidR="006B6045">
        <w:t>as part of other onboarding activities, during occupational health activities as part of the TB test, during department orientations, in small groups, etc.</w:t>
      </w:r>
      <w:r w:rsidRPr="00893060">
        <w:t xml:space="preserve">  A group “teach-back” would be acceptable, but with no more than 10 students per one trainer/monitor. </w:t>
      </w:r>
      <w:r w:rsidR="006B6045">
        <w:t>An online or in-person “simulation” would not be sufficient for this purpose.</w:t>
      </w:r>
      <w:r w:rsidR="00AA3DD9">
        <w:t xml:space="preserve"> </w:t>
      </w:r>
      <w:r w:rsidR="007619EF" w:rsidRPr="007619EF">
        <w:t>Computer-based assessments of an individual’s hand hygiene technique are acceptable if the assessment tracks an individual’s hand motions, is done without providing instructions to the individual during the assessment, and feedback is given to them at the end.</w:t>
      </w:r>
    </w:p>
    <w:p w14:paraId="18F6927D" w14:textId="77777777" w:rsidR="00D464DC" w:rsidRDefault="00D464DC" w:rsidP="00D53AF3">
      <w:pPr>
        <w:pStyle w:val="EndnoteText"/>
        <w:ind w:left="576"/>
      </w:pPr>
    </w:p>
    <w:p w14:paraId="5D3C6D6A" w14:textId="18087A6F" w:rsidR="00D53AF3" w:rsidRPr="00893060" w:rsidRDefault="00D53AF3" w:rsidP="00DD05E6">
      <w:pPr>
        <w:pStyle w:val="EndnoteText"/>
        <w:ind w:left="720"/>
      </w:pPr>
      <w:r w:rsidRPr="00893060">
        <w:t xml:space="preserve">Hospitals that are starting to implement this component should add physical demonstration to their </w:t>
      </w:r>
      <w:r w:rsidRPr="00893060">
        <w:rPr>
          <w:b/>
          <w:bCs/>
        </w:rPr>
        <w:t>initial</w:t>
      </w:r>
      <w:r w:rsidRPr="00893060">
        <w:t xml:space="preserve"> training for any </w:t>
      </w:r>
      <w:r w:rsidRPr="00893060">
        <w:rPr>
          <w:b/>
          <w:bCs/>
        </w:rPr>
        <w:t xml:space="preserve">new </w:t>
      </w:r>
      <w:hyperlink w:anchor="HHtouchpatientsendnote" w:history="1">
        <w:r w:rsidR="00157FDB" w:rsidRPr="004B4271">
          <w:rPr>
            <w:rStyle w:val="Hyperlink"/>
          </w:rPr>
          <w:t>individuals who touch patients or who touch items that will be used by patients</w:t>
        </w:r>
      </w:hyperlink>
      <w:r w:rsidR="00157FDB">
        <w:rPr>
          <w:rStyle w:val="Hyperlink"/>
        </w:rPr>
        <w:t xml:space="preserve"> at their hospital</w:t>
      </w:r>
      <w:r w:rsidR="006554E9">
        <w:rPr>
          <w:b/>
          <w:bCs/>
        </w:rPr>
        <w:t xml:space="preserve">. </w:t>
      </w:r>
      <w:r w:rsidR="006554E9">
        <w:t>Leapfrog is not asking hospitals to retroactively train individuals</w:t>
      </w:r>
      <w:r w:rsidRPr="00893060">
        <w:t>.</w:t>
      </w:r>
    </w:p>
    <w:p w14:paraId="205A23EE" w14:textId="77777777" w:rsidR="000D66A1" w:rsidRPr="00893060" w:rsidRDefault="000D66A1" w:rsidP="00D53AF3">
      <w:pPr>
        <w:pStyle w:val="EndnoteText"/>
        <w:ind w:left="576"/>
        <w:rPr>
          <w:b/>
        </w:rPr>
      </w:pPr>
    </w:p>
    <w:p w14:paraId="1F619948" w14:textId="428D6F8B" w:rsidR="00600E1F" w:rsidRPr="008C51CB" w:rsidRDefault="00FA5114" w:rsidP="00844D05">
      <w:pPr>
        <w:pStyle w:val="Heading44"/>
        <w:rPr>
          <w:sz w:val="20"/>
        </w:rPr>
      </w:pPr>
      <w:r>
        <w:t>Infrastructure</w:t>
      </w:r>
      <w:r w:rsidR="00211AF2">
        <w:br/>
      </w:r>
      <w:bookmarkStart w:id="603" w:name="HH_audits"/>
      <w:bookmarkStart w:id="604" w:name="_Hlk66281298"/>
      <w:bookmarkEnd w:id="603"/>
    </w:p>
    <w:p w14:paraId="41098903" w14:textId="08214F71" w:rsidR="00600E19" w:rsidRPr="0023222C" w:rsidRDefault="00600E19" w:rsidP="00AD309C">
      <w:pPr>
        <w:pStyle w:val="EndnoteText"/>
        <w:numPr>
          <w:ilvl w:val="0"/>
          <w:numId w:val="410"/>
        </w:numPr>
        <w:rPr>
          <w:b/>
        </w:rPr>
      </w:pPr>
      <w:bookmarkStart w:id="605" w:name="HH_volaudits"/>
      <w:bookmarkEnd w:id="605"/>
      <w:r>
        <w:rPr>
          <w:b/>
        </w:rPr>
        <w:t>Is having</w:t>
      </w:r>
      <w:r w:rsidRPr="0023222C">
        <w:rPr>
          <w:b/>
        </w:rPr>
        <w:t xml:space="preserve"> an electronic system and dashboards that display low product and low battery reports which </w:t>
      </w:r>
      <w:r>
        <w:rPr>
          <w:b/>
        </w:rPr>
        <w:t>are</w:t>
      </w:r>
      <w:r w:rsidRPr="0023222C">
        <w:rPr>
          <w:b/>
        </w:rPr>
        <w:t xml:space="preserve"> used to ensure </w:t>
      </w:r>
      <w:r>
        <w:rPr>
          <w:b/>
        </w:rPr>
        <w:t>that the r</w:t>
      </w:r>
      <w:r w:rsidRPr="0023222C">
        <w:rPr>
          <w:b/>
        </w:rPr>
        <w:t xml:space="preserve">efilling and replacing </w:t>
      </w:r>
      <w:r>
        <w:rPr>
          <w:b/>
        </w:rPr>
        <w:t>of dispensers is c</w:t>
      </w:r>
      <w:r w:rsidRPr="0023222C">
        <w:rPr>
          <w:b/>
        </w:rPr>
        <w:t>ompleted in a timely manner</w:t>
      </w:r>
      <w:r>
        <w:rPr>
          <w:b/>
        </w:rPr>
        <w:t xml:space="preserve"> sufficient for meeting the quarterly audit requirements in question #4?</w:t>
      </w:r>
    </w:p>
    <w:p w14:paraId="25DA03C5" w14:textId="77777777" w:rsidR="00600E19" w:rsidRDefault="00600E19" w:rsidP="00600E19">
      <w:pPr>
        <w:pStyle w:val="EndnoteText"/>
        <w:ind w:left="720"/>
        <w:rPr>
          <w:bCs/>
        </w:rPr>
      </w:pPr>
      <w:r>
        <w:rPr>
          <w:bCs/>
        </w:rPr>
        <w:t>Yes, i</w:t>
      </w:r>
      <w:r w:rsidRPr="007B5FAA">
        <w:rPr>
          <w:bCs/>
        </w:rPr>
        <w:t>f you have ongoing and reliable electronic ways of understanding when product or batteries are low, that would suffice for the audit. The goal is to make sure that supplies are available</w:t>
      </w:r>
      <w:r>
        <w:rPr>
          <w:bCs/>
        </w:rPr>
        <w:t xml:space="preserve"> in soap, alcohol-based hand sanitizer, and paper towel dispensers.</w:t>
      </w:r>
    </w:p>
    <w:p w14:paraId="3ECB06D0" w14:textId="77777777" w:rsidR="00F36D8D" w:rsidRDefault="00F36D8D" w:rsidP="00600E19">
      <w:pPr>
        <w:pStyle w:val="EndnoteText"/>
        <w:ind w:left="720"/>
        <w:rPr>
          <w:bCs/>
        </w:rPr>
      </w:pPr>
    </w:p>
    <w:p w14:paraId="2B5618C2" w14:textId="59D611C0" w:rsidR="00055106" w:rsidRDefault="00055106" w:rsidP="00AD309C">
      <w:pPr>
        <w:pStyle w:val="EndnoteText"/>
        <w:numPr>
          <w:ilvl w:val="0"/>
          <w:numId w:val="410"/>
        </w:numPr>
        <w:rPr>
          <w:b/>
        </w:rPr>
      </w:pPr>
      <w:r w:rsidRPr="00055106">
        <w:rPr>
          <w:b/>
        </w:rPr>
        <w:t>What does Leapfrog mean by “equally accessible to the location of all patients in the room or bed space” for the purposes of question #5?</w:t>
      </w:r>
    </w:p>
    <w:p w14:paraId="474E3D6B" w14:textId="04CB1C66" w:rsidR="00D62526" w:rsidRPr="00844D05" w:rsidRDefault="002E2314" w:rsidP="00DD05E6">
      <w:pPr>
        <w:pStyle w:val="EndnoteText"/>
        <w:ind w:left="720"/>
        <w:rPr>
          <w:bCs/>
        </w:rPr>
      </w:pPr>
      <w:r w:rsidRPr="002E2314">
        <w:rPr>
          <w:bCs/>
        </w:rPr>
        <w:t>Equally mean</w:t>
      </w:r>
      <w:r w:rsidR="002835ED">
        <w:rPr>
          <w:bCs/>
        </w:rPr>
        <w:t>s</w:t>
      </w:r>
      <w:r w:rsidRPr="002E2314">
        <w:rPr>
          <w:bCs/>
        </w:rPr>
        <w:t xml:space="preserve"> the same distance from </w:t>
      </w:r>
      <w:r w:rsidR="002835ED">
        <w:rPr>
          <w:bCs/>
        </w:rPr>
        <w:t xml:space="preserve">any </w:t>
      </w:r>
      <w:r w:rsidRPr="002E2314">
        <w:rPr>
          <w:bCs/>
        </w:rPr>
        <w:t>patient's bed</w:t>
      </w:r>
      <w:r>
        <w:rPr>
          <w:bCs/>
        </w:rPr>
        <w:t>, which c</w:t>
      </w:r>
      <w:r w:rsidR="002835ED">
        <w:rPr>
          <w:bCs/>
        </w:rPr>
        <w:t>an</w:t>
      </w:r>
      <w:r>
        <w:rPr>
          <w:bCs/>
        </w:rPr>
        <w:t xml:space="preserve"> be measured in steps. </w:t>
      </w:r>
      <w:r w:rsidR="002835ED">
        <w:rPr>
          <w:bCs/>
        </w:rPr>
        <w:t>Leapfrog is</w:t>
      </w:r>
      <w:r>
        <w:rPr>
          <w:bCs/>
        </w:rPr>
        <w:t xml:space="preserve"> not looking for an exact distance, but rather the </w:t>
      </w:r>
      <w:r w:rsidR="002835ED">
        <w:rPr>
          <w:bCs/>
        </w:rPr>
        <w:t>goal</w:t>
      </w:r>
      <w:r>
        <w:rPr>
          <w:bCs/>
        </w:rPr>
        <w:t xml:space="preserve"> is to ensure </w:t>
      </w:r>
      <w:r w:rsidRPr="002E2314">
        <w:rPr>
          <w:bCs/>
        </w:rPr>
        <w:t xml:space="preserve">that hand hygiene can be </w:t>
      </w:r>
      <w:r w:rsidR="002835ED">
        <w:rPr>
          <w:bCs/>
        </w:rPr>
        <w:t xml:space="preserve">easily </w:t>
      </w:r>
      <w:r w:rsidRPr="002E2314">
        <w:rPr>
          <w:bCs/>
        </w:rPr>
        <w:t>performed regardless of the</w:t>
      </w:r>
      <w:r>
        <w:rPr>
          <w:bCs/>
        </w:rPr>
        <w:t xml:space="preserve"> location</w:t>
      </w:r>
      <w:r w:rsidRPr="002E2314">
        <w:rPr>
          <w:bCs/>
        </w:rPr>
        <w:t xml:space="preserve"> </w:t>
      </w:r>
      <w:r w:rsidR="002835ED">
        <w:rPr>
          <w:bCs/>
        </w:rPr>
        <w:t>o</w:t>
      </w:r>
      <w:r w:rsidR="00F55748">
        <w:rPr>
          <w:bCs/>
        </w:rPr>
        <w:t>f</w:t>
      </w:r>
      <w:r w:rsidR="002835ED">
        <w:rPr>
          <w:bCs/>
        </w:rPr>
        <w:t xml:space="preserve"> the </w:t>
      </w:r>
      <w:r w:rsidRPr="002E2314">
        <w:rPr>
          <w:bCs/>
        </w:rPr>
        <w:t>patient being cared for</w:t>
      </w:r>
      <w:r>
        <w:rPr>
          <w:bCs/>
        </w:rPr>
        <w:t xml:space="preserve"> in the room or bed space</w:t>
      </w:r>
      <w:r w:rsidRPr="002E2314">
        <w:rPr>
          <w:bCs/>
        </w:rPr>
        <w:t>.</w:t>
      </w:r>
      <w:bookmarkEnd w:id="604"/>
    </w:p>
    <w:p w14:paraId="2CE3E04E" w14:textId="77777777" w:rsidR="006E0696" w:rsidRDefault="006E0696" w:rsidP="00C66188">
      <w:pPr>
        <w:tabs>
          <w:tab w:val="left" w:pos="0"/>
        </w:tabs>
      </w:pPr>
    </w:p>
    <w:p w14:paraId="3FDFCAE8" w14:textId="6EFB6CD3" w:rsidR="00537F41" w:rsidRDefault="00537F41" w:rsidP="00211AF2">
      <w:pPr>
        <w:pStyle w:val="Heading44"/>
      </w:pPr>
      <w:bookmarkStart w:id="606" w:name="HH_opportunity"/>
      <w:bookmarkEnd w:id="606"/>
      <w:r w:rsidRPr="00537F41">
        <w:t>Monitoring</w:t>
      </w:r>
    </w:p>
    <w:p w14:paraId="40F1B5A5" w14:textId="77777777" w:rsidR="00E6339B" w:rsidRPr="00E6339B" w:rsidRDefault="00E6339B" w:rsidP="00844D05">
      <w:pPr>
        <w:pStyle w:val="EndnoteText"/>
        <w:rPr>
          <w:bCs/>
          <w:highlight w:val="yellow"/>
        </w:rPr>
      </w:pPr>
      <w:bookmarkStart w:id="607" w:name="CompObserve"/>
    </w:p>
    <w:p w14:paraId="495B9007" w14:textId="21F097CC" w:rsidR="00362D65" w:rsidRDefault="00362D65" w:rsidP="00AD309C">
      <w:pPr>
        <w:pStyle w:val="EndnoteText"/>
        <w:numPr>
          <w:ilvl w:val="0"/>
          <w:numId w:val="410"/>
        </w:numPr>
        <w:rPr>
          <w:b/>
        </w:rPr>
      </w:pPr>
      <w:r>
        <w:rPr>
          <w:b/>
        </w:rPr>
        <w:t>Why did Leapfrog select 200 hand hygiene opportunities for monthly monitoring in question #8?</w:t>
      </w:r>
    </w:p>
    <w:p w14:paraId="5764B7A8" w14:textId="2142151F" w:rsidR="00362D65" w:rsidRDefault="00362D65" w:rsidP="00DD05E6">
      <w:pPr>
        <w:pStyle w:val="EndnoteText"/>
        <w:ind w:left="720"/>
        <w:rPr>
          <w:bCs/>
        </w:rPr>
      </w:pPr>
      <w:r w:rsidRPr="00362D65">
        <w:rPr>
          <w:bCs/>
        </w:rPr>
        <w:t xml:space="preserve">200 hand hygiene opportunities were chosen as the sample size based on a study by Yin et. al which showed that 180-195 opportunities would need to be monitored to accurately observe a 10% change in hand hygiene compliance (Yin et al.). The additional sample sizes </w:t>
      </w:r>
      <w:r>
        <w:rPr>
          <w:bCs/>
        </w:rPr>
        <w:t>outlined in the measure specifications</w:t>
      </w:r>
      <w:r w:rsidRPr="00362D65">
        <w:rPr>
          <w:bCs/>
        </w:rPr>
        <w:t xml:space="preserve"> are for smaller patient care units where monitoring 200 opportunities may not be feasible.</w:t>
      </w:r>
    </w:p>
    <w:p w14:paraId="79A79EC7" w14:textId="77777777" w:rsidR="00362D65" w:rsidRDefault="00362D65" w:rsidP="00362D65">
      <w:pPr>
        <w:pStyle w:val="EndnoteText"/>
        <w:ind w:left="576"/>
        <w:rPr>
          <w:bCs/>
        </w:rPr>
      </w:pPr>
    </w:p>
    <w:p w14:paraId="0646479F" w14:textId="77777777" w:rsidR="00362D65" w:rsidRDefault="00362D65" w:rsidP="00DD05E6">
      <w:pPr>
        <w:pStyle w:val="EndnoteText"/>
        <w:ind w:left="576" w:firstLine="144"/>
        <w:rPr>
          <w:bCs/>
        </w:rPr>
      </w:pPr>
      <w:r w:rsidRPr="00362D65">
        <w:rPr>
          <w:bCs/>
        </w:rPr>
        <w:t>References:</w:t>
      </w:r>
    </w:p>
    <w:p w14:paraId="15E5E25F" w14:textId="23D20320" w:rsidR="00362D65" w:rsidRDefault="00362D65" w:rsidP="00DD05E6">
      <w:pPr>
        <w:pStyle w:val="EndnoteText"/>
        <w:ind w:left="720"/>
        <w:rPr>
          <w:bCs/>
        </w:rPr>
      </w:pPr>
      <w:r w:rsidRPr="00362D65">
        <w:rPr>
          <w:bCs/>
        </w:rPr>
        <w:t xml:space="preserve">Steed C, Kelly JW, Blackhurst D, Boeker S, Diller T, Alper P, Larson E. Hospital hand hygiene opportunities: where and when (HOW2)? The HOW2 Benchmark Study. American </w:t>
      </w:r>
      <w:r w:rsidR="00CC72B7">
        <w:rPr>
          <w:bCs/>
        </w:rPr>
        <w:t>J</w:t>
      </w:r>
      <w:r w:rsidRPr="00362D65">
        <w:rPr>
          <w:bCs/>
        </w:rPr>
        <w:t xml:space="preserve">ournal of </w:t>
      </w:r>
      <w:r w:rsidR="00CC72B7">
        <w:rPr>
          <w:bCs/>
        </w:rPr>
        <w:t>I</w:t>
      </w:r>
      <w:r w:rsidRPr="00362D65">
        <w:rPr>
          <w:bCs/>
        </w:rPr>
        <w:t xml:space="preserve">nfection control. 2011 Feb 1;39(1):19-26. </w:t>
      </w:r>
    </w:p>
    <w:p w14:paraId="0E0D7649" w14:textId="77777777" w:rsidR="00362D65" w:rsidRDefault="00362D65" w:rsidP="00362D65">
      <w:pPr>
        <w:pStyle w:val="EndnoteText"/>
        <w:ind w:left="576"/>
        <w:rPr>
          <w:bCs/>
        </w:rPr>
      </w:pPr>
    </w:p>
    <w:p w14:paraId="36C11DF5" w14:textId="35156F9B" w:rsidR="00362D65" w:rsidRDefault="00EC314A" w:rsidP="00DD05E6">
      <w:pPr>
        <w:pStyle w:val="EndnoteText"/>
        <w:ind w:left="720"/>
        <w:rPr>
          <w:b/>
        </w:rPr>
      </w:pPr>
      <w:r w:rsidRPr="00EC314A">
        <w:rPr>
          <w:bCs/>
        </w:rPr>
        <w:t>Jun Yin MS, Heather Schacht Reisinger PhD, Mark Vander Weg PhD, Marin L. Schweizer PhD, Andrew Jesson, Daniel J. Morgan MD MS, Graeme Forrest MD, Margaret Graham, Lisa Pineles MA and Eli N. Perencevich MD MS.  Establishing evidence-based criteria for directly observed hand hygiene compliance monitoring programs: a prospective, multicenter cohort study. Infection Control and Hospital Epidemiology Vol. 35, No. 9 2014 Sep, pp. 1163-8.</w:t>
      </w:r>
      <w:r>
        <w:rPr>
          <w:bCs/>
        </w:rPr>
        <w:br/>
      </w:r>
    </w:p>
    <w:p w14:paraId="1E5CEBE6" w14:textId="396741FE" w:rsidR="00CF4A9B" w:rsidRPr="009C4ACB" w:rsidRDefault="00CF4A9B" w:rsidP="00AD309C">
      <w:pPr>
        <w:pStyle w:val="EndnoteText"/>
        <w:numPr>
          <w:ilvl w:val="0"/>
          <w:numId w:val="410"/>
        </w:numPr>
        <w:rPr>
          <w:b/>
        </w:rPr>
      </w:pPr>
      <w:r w:rsidRPr="009C4ACB">
        <w:rPr>
          <w:b/>
        </w:rPr>
        <w:t>My hospital uses an electronic compliance monitoring system, but it does not meet all the criteria outlined in question</w:t>
      </w:r>
      <w:r w:rsidR="0034195E">
        <w:rPr>
          <w:b/>
        </w:rPr>
        <w:t>s</w:t>
      </w:r>
      <w:r w:rsidRPr="009C4ACB">
        <w:rPr>
          <w:b/>
        </w:rPr>
        <w:t xml:space="preserve"> #1</w:t>
      </w:r>
      <w:r w:rsidR="006E178C">
        <w:rPr>
          <w:b/>
        </w:rPr>
        <w:t>2</w:t>
      </w:r>
      <w:r w:rsidR="003F67B9" w:rsidRPr="009C4ACB">
        <w:rPr>
          <w:b/>
        </w:rPr>
        <w:t>-1</w:t>
      </w:r>
      <w:r w:rsidR="006E178C">
        <w:rPr>
          <w:b/>
        </w:rPr>
        <w:t>3</w:t>
      </w:r>
      <w:r w:rsidRPr="009C4ACB">
        <w:rPr>
          <w:b/>
        </w:rPr>
        <w:t xml:space="preserve">. Can I report on the hand hygiene compliance data </w:t>
      </w:r>
      <w:r w:rsidR="005F224C">
        <w:rPr>
          <w:b/>
        </w:rPr>
        <w:t>we</w:t>
      </w:r>
      <w:r w:rsidRPr="009C4ACB">
        <w:rPr>
          <w:b/>
        </w:rPr>
        <w:t xml:space="preserve"> collect via direct observation instead?</w:t>
      </w:r>
    </w:p>
    <w:p w14:paraId="41E3E7B1" w14:textId="14744696" w:rsidR="00621980" w:rsidRPr="009C4ACB" w:rsidRDefault="00CF4A9B" w:rsidP="00DD05E6">
      <w:pPr>
        <w:pStyle w:val="EndnoteText"/>
        <w:ind w:left="720"/>
        <w:rPr>
          <w:bCs/>
        </w:rPr>
      </w:pPr>
      <w:r w:rsidRPr="009C4ACB">
        <w:rPr>
          <w:bCs/>
        </w:rPr>
        <w:t>Ye</w:t>
      </w:r>
      <w:r w:rsidR="00FB19BC" w:rsidRPr="009C4ACB">
        <w:rPr>
          <w:bCs/>
        </w:rPr>
        <w:t>s. If</w:t>
      </w:r>
      <w:r w:rsidRPr="009C4ACB">
        <w:rPr>
          <w:bCs/>
        </w:rPr>
        <w:t xml:space="preserve"> your hospital also uses direct observation to collect hand hygiene compliance data (not just for coaching/intervention) </w:t>
      </w:r>
      <w:r w:rsidR="00280F73">
        <w:rPr>
          <w:bCs/>
        </w:rPr>
        <w:t>throughout</w:t>
      </w:r>
      <w:r w:rsidRPr="009C4ACB">
        <w:rPr>
          <w:bCs/>
        </w:rPr>
        <w:t xml:space="preserve"> </w:t>
      </w:r>
      <w:r w:rsidRPr="009C4ACB">
        <w:rPr>
          <w:b/>
        </w:rPr>
        <w:t>all</w:t>
      </w:r>
      <w:r w:rsidRPr="009C4ACB">
        <w:rPr>
          <w:bCs/>
        </w:rPr>
        <w:t xml:space="preserve"> patient care units (including those with the electronic compliance monitoring system), you can select “yes, using only direct observation” in </w:t>
      </w:r>
      <w:r w:rsidR="00A81A4C">
        <w:rPr>
          <w:bCs/>
        </w:rPr>
        <w:t xml:space="preserve">either </w:t>
      </w:r>
      <w:r w:rsidRPr="009C4ACB">
        <w:rPr>
          <w:bCs/>
        </w:rPr>
        <w:t>question #8</w:t>
      </w:r>
      <w:r w:rsidR="006E178C">
        <w:rPr>
          <w:bCs/>
        </w:rPr>
        <w:t xml:space="preserve">, </w:t>
      </w:r>
      <w:r w:rsidR="00A81A4C">
        <w:rPr>
          <w:bCs/>
        </w:rPr>
        <w:t xml:space="preserve">question </w:t>
      </w:r>
      <w:r w:rsidRPr="009C4ACB">
        <w:rPr>
          <w:bCs/>
        </w:rPr>
        <w:t>#9</w:t>
      </w:r>
      <w:r w:rsidR="006E178C">
        <w:rPr>
          <w:bCs/>
        </w:rPr>
        <w:t>, or</w:t>
      </w:r>
      <w:r w:rsidR="00A81A4C">
        <w:rPr>
          <w:bCs/>
        </w:rPr>
        <w:t xml:space="preserve"> question</w:t>
      </w:r>
      <w:r w:rsidR="006E178C">
        <w:rPr>
          <w:bCs/>
        </w:rPr>
        <w:t xml:space="preserve"> #10</w:t>
      </w:r>
      <w:r w:rsidRPr="009C4ACB">
        <w:rPr>
          <w:bCs/>
        </w:rPr>
        <w:t xml:space="preserve"> and report on your adherence to the direct observation criteria only. Otherwise, you will need to respond “no” to question #1</w:t>
      </w:r>
      <w:r w:rsidR="006E178C">
        <w:rPr>
          <w:bCs/>
        </w:rPr>
        <w:t>2</w:t>
      </w:r>
      <w:r w:rsidRPr="009C4ACB">
        <w:rPr>
          <w:bCs/>
        </w:rPr>
        <w:t>.</w:t>
      </w:r>
    </w:p>
    <w:p w14:paraId="6E1B58AE" w14:textId="77777777" w:rsidR="00B65D10" w:rsidRPr="00844D05" w:rsidRDefault="00B65D10" w:rsidP="00844D05">
      <w:pPr>
        <w:rPr>
          <w:b/>
        </w:rPr>
      </w:pPr>
      <w:bookmarkStart w:id="608" w:name="HH_ecmidentify"/>
      <w:bookmarkEnd w:id="608"/>
    </w:p>
    <w:p w14:paraId="652DD6CE" w14:textId="64A84482" w:rsidR="00431312" w:rsidRPr="00D32DDF" w:rsidRDefault="00431312" w:rsidP="00AD309C">
      <w:pPr>
        <w:pStyle w:val="EndnoteText"/>
        <w:numPr>
          <w:ilvl w:val="0"/>
          <w:numId w:val="410"/>
        </w:numPr>
        <w:rPr>
          <w:b/>
        </w:rPr>
      </w:pPr>
      <w:r w:rsidRPr="009C4ACB">
        <w:rPr>
          <w:b/>
        </w:rPr>
        <w:t>Is</w:t>
      </w:r>
      <w:r w:rsidRPr="00D32DDF">
        <w:rPr>
          <w:b/>
        </w:rPr>
        <w:t xml:space="preserve"> Leapfrog encouraging hospitals to implement electronic compliance monitoring? These systems can be </w:t>
      </w:r>
      <w:r w:rsidR="00AE0BA7" w:rsidRPr="00D32DDF">
        <w:rPr>
          <w:b/>
        </w:rPr>
        <w:t>costly,</w:t>
      </w:r>
      <w:r w:rsidRPr="00D32DDF">
        <w:rPr>
          <w:b/>
        </w:rPr>
        <w:t xml:space="preserve"> and the technology still needs to advance.</w:t>
      </w:r>
    </w:p>
    <w:p w14:paraId="21227B7F" w14:textId="422F2C3B" w:rsidR="000C71F8" w:rsidRPr="00D32DDF" w:rsidRDefault="000C71F8" w:rsidP="00DD05E6">
      <w:pPr>
        <w:pStyle w:val="ListParagraph"/>
      </w:pPr>
      <w:r w:rsidRPr="00D32DDF">
        <w:t xml:space="preserve">The questions in the hand hygiene standard ask about a variety of strategies that can be used to monitor and improve hand hygiene. Leapfrog is encouraging hospitals to take a multimodal approach. </w:t>
      </w:r>
      <w:r w:rsidR="00F630DD" w:rsidRPr="00D32DDF">
        <w:t>Regarding</w:t>
      </w:r>
      <w:r w:rsidRPr="00D32DDF">
        <w:t xml:space="preserve"> monitoring, while hospitals can achieve the Leapfrog standard with direct observation alone, Leapfrog is communicating a strong preference for use of electronic monitoring (implemented according to evidence-based principles). In addition to literature suggesting electronic monitoring works better to pinpoint compliance issues, </w:t>
      </w:r>
      <w:r w:rsidR="00AA3DE5">
        <w:t xml:space="preserve">the difference in the </w:t>
      </w:r>
      <w:r w:rsidRPr="00D32DDF">
        <w:t xml:space="preserve">sheer number of </w:t>
      </w:r>
      <w:r w:rsidR="00311218">
        <w:t>hand hygiene opportunities</w:t>
      </w:r>
      <w:r w:rsidRPr="00D32DDF">
        <w:t xml:space="preserve"> covered by the two monitoring strategies represent powerful evidence in favor of electronic monitoring. Electronic monitoring allows facilities to monitor virtually every patient encounter, while direct observation monitors a selection. Based on the evidence, our standard calls for</w:t>
      </w:r>
      <w:r w:rsidR="00311218">
        <w:t xml:space="preserve"> monitoring</w:t>
      </w:r>
      <w:r w:rsidRPr="00D32DDF">
        <w:t xml:space="preserve"> 200 </w:t>
      </w:r>
      <w:r w:rsidR="00311218">
        <w:t>hand hygiene opportunities</w:t>
      </w:r>
      <w:r w:rsidRPr="00D32DDF">
        <w:t xml:space="preserve"> per unit per month, which is a small subset of overall hand hygiene opportunities. Even beyond capturing more encounters aligned with the evidence, electronic monitoring alleviates the ethical quandary of an observer watching patient harm without intervening. </w:t>
      </w:r>
    </w:p>
    <w:p w14:paraId="4BA9C088" w14:textId="77777777" w:rsidR="000C71F8" w:rsidRPr="00D32DDF" w:rsidRDefault="000C71F8" w:rsidP="000C71F8">
      <w:pPr>
        <w:pStyle w:val="ListParagraph"/>
        <w:ind w:left="576"/>
      </w:pPr>
    </w:p>
    <w:p w14:paraId="42E8746E" w14:textId="40AD1920" w:rsidR="000C71F8" w:rsidRPr="00D32DDF" w:rsidRDefault="000C71F8" w:rsidP="00DD05E6">
      <w:pPr>
        <w:pStyle w:val="ListParagraph"/>
      </w:pPr>
      <w:r w:rsidRPr="00D32DDF">
        <w:t>As with Computerized Physician Order Entry (CPOE) systems and Bar Code Medication Administration (BCMA) systems, we anticipate that electronic compliance monitoring technology will improve over time and become an important component of a comprehensive hand hygiene program. Electronic monitoring is a routine component of public safety in other industries where compliance is critical, so health care can and should achieve those standards for its patients.</w:t>
      </w:r>
    </w:p>
    <w:p w14:paraId="62D25073" w14:textId="77777777" w:rsidR="000C71F8" w:rsidRPr="00D32DDF" w:rsidRDefault="000C71F8" w:rsidP="000C71F8">
      <w:pPr>
        <w:pStyle w:val="ListParagraph"/>
        <w:ind w:left="576"/>
      </w:pPr>
    </w:p>
    <w:p w14:paraId="563EE98D" w14:textId="62C794CB" w:rsidR="00DD3DA9" w:rsidRPr="00154CD8" w:rsidRDefault="000C71F8" w:rsidP="00DD05E6">
      <w:pPr>
        <w:pStyle w:val="ListParagraph"/>
        <w:rPr>
          <w:bCs/>
          <w:highlight w:val="yellow"/>
        </w:rPr>
      </w:pPr>
      <w:r w:rsidRPr="00D32DDF">
        <w:t>All items included in Section 6</w:t>
      </w:r>
      <w:r w:rsidR="00B67D70">
        <w:t>C</w:t>
      </w:r>
      <w:r w:rsidRPr="00D32DDF">
        <w:t xml:space="preserve"> are based on the evidence review and recommendations from Leapfrog's national </w:t>
      </w:r>
      <w:hyperlink r:id="rId402" w:history="1">
        <w:r w:rsidRPr="00D32DDF">
          <w:rPr>
            <w:rStyle w:val="Hyperlink"/>
          </w:rPr>
          <w:t>Hand Hygiene Expert Panel</w:t>
        </w:r>
      </w:hyperlink>
      <w:r w:rsidRPr="00D32DDF">
        <w:t xml:space="preserve"> and others. We have included in the Hand Hygiene bibliography </w:t>
      </w:r>
      <w:r w:rsidR="00F630DD" w:rsidRPr="00D32DDF">
        <w:t>several</w:t>
      </w:r>
      <w:r w:rsidRPr="00D32DDF">
        <w:t xml:space="preserve"> peer-reviewed studies that have examined the benefits of using electronic monitoring systems over direct observation. The bibliography is available at </w:t>
      </w:r>
      <w:bookmarkStart w:id="609" w:name="HH_directobsdoc"/>
      <w:bookmarkEnd w:id="609"/>
      <w:r w:rsidR="00D72472">
        <w:fldChar w:fldCharType="begin"/>
      </w:r>
      <w:r w:rsidR="00D72472">
        <w:instrText>HYPERLINK "</w:instrText>
      </w:r>
      <w:r w:rsidR="00D72472" w:rsidRPr="00D72472">
        <w:instrText>https://ratings.leapfroggroup.org/measure/hospital/2025/handwashing</w:instrText>
      </w:r>
      <w:r w:rsidR="00D72472">
        <w:instrText>"</w:instrText>
      </w:r>
      <w:r w:rsidR="00D72472">
        <w:fldChar w:fldCharType="separate"/>
      </w:r>
      <w:r w:rsidR="00D72472" w:rsidRPr="00C37B4B">
        <w:rPr>
          <w:rStyle w:val="Hyperlink"/>
        </w:rPr>
        <w:t>https://ratings.leapfroggroup.org/measure/hospital/2025/handwashing</w:t>
      </w:r>
      <w:r w:rsidR="00D72472">
        <w:fldChar w:fldCharType="end"/>
      </w:r>
      <w:r w:rsidR="00D72472">
        <w:t xml:space="preserve">. </w:t>
      </w:r>
      <w:r w:rsidR="00746388">
        <w:br/>
      </w:r>
    </w:p>
    <w:p w14:paraId="0BC6F6E1" w14:textId="77777777" w:rsidR="00160788" w:rsidRDefault="00160788" w:rsidP="00AD309C">
      <w:pPr>
        <w:pStyle w:val="ListParagraph"/>
        <w:numPr>
          <w:ilvl w:val="0"/>
          <w:numId w:val="410"/>
        </w:numPr>
        <w:spacing w:after="120" w:line="264" w:lineRule="auto"/>
        <w:rPr>
          <w:b/>
        </w:rPr>
      </w:pPr>
      <w:bookmarkStart w:id="610" w:name="FAQ_OnlineTrainObservers"/>
      <w:bookmarkStart w:id="611" w:name="_Hlk181952362"/>
      <w:bookmarkEnd w:id="610"/>
      <w:r>
        <w:rPr>
          <w:b/>
        </w:rPr>
        <w:t>How does reporting the number of hand hygiene opportunities monitored in questions #8-10 impact our hospital’s scoring?</w:t>
      </w:r>
    </w:p>
    <w:p w14:paraId="2BE3744C" w14:textId="32472786" w:rsidR="00160788" w:rsidRDefault="00160788" w:rsidP="00DD05E6">
      <w:pPr>
        <w:pStyle w:val="ListParagraph"/>
        <w:contextualSpacing w:val="0"/>
        <w:rPr>
          <w:bCs/>
        </w:rPr>
      </w:pPr>
      <w:r>
        <w:rPr>
          <w:bCs/>
        </w:rPr>
        <w:t>Hospitals</w:t>
      </w:r>
      <w:r w:rsidRPr="00DF2331">
        <w:rPr>
          <w:bCs/>
        </w:rPr>
        <w:t xml:space="preserve"> can earn “Achieved the Standard” by either answering “yes” to question #8 and monitoring 200 hand hygiene opportunities </w:t>
      </w:r>
      <w:r w:rsidR="00E25B25">
        <w:rPr>
          <w:bCs/>
        </w:rPr>
        <w:t xml:space="preserve">(or at least the number of hand hygiene opportunities outlined based on the unit type in Tables 1-3 of the </w:t>
      </w:r>
      <w:hyperlink w:anchor="_Hand_Hygiene_Measure" w:history="1">
        <w:r w:rsidR="00E25B25" w:rsidRPr="009F4783">
          <w:rPr>
            <w:rStyle w:val="Hyperlink"/>
            <w:bCs/>
          </w:rPr>
          <w:t>Hand Hygiene Measure Specifications</w:t>
        </w:r>
      </w:hyperlink>
      <w:r w:rsidR="00E25B25">
        <w:rPr>
          <w:bCs/>
        </w:rPr>
        <w:t>)</w:t>
      </w:r>
      <w:r w:rsidR="00E25B25" w:rsidRPr="00DF2331">
        <w:rPr>
          <w:bCs/>
        </w:rPr>
        <w:t xml:space="preserve"> </w:t>
      </w:r>
      <w:r w:rsidRPr="00DF2331">
        <w:rPr>
          <w:bCs/>
        </w:rPr>
        <w:t xml:space="preserve">each month </w:t>
      </w:r>
      <w:r>
        <w:rPr>
          <w:bCs/>
        </w:rPr>
        <w:t xml:space="preserve">in each patient care unit </w:t>
      </w:r>
      <w:r w:rsidRPr="00DF2331">
        <w:rPr>
          <w:bCs/>
        </w:rPr>
        <w:t xml:space="preserve">and also meeting all other elements of the Monitoring and Feedback domains, as well as </w:t>
      </w:r>
      <w:r w:rsidR="00185680">
        <w:rPr>
          <w:bCs/>
        </w:rPr>
        <w:t xml:space="preserve">meeting all elements in </w:t>
      </w:r>
      <w:r w:rsidRPr="00DF2331">
        <w:rPr>
          <w:bCs/>
        </w:rPr>
        <w:t xml:space="preserve">2 of the 3 remaining domains OR by answering “yes” to question #9 and monitoring at least 100 hand hygiene opportunities </w:t>
      </w:r>
      <w:r w:rsidR="00495895">
        <w:rPr>
          <w:bCs/>
        </w:rPr>
        <w:t xml:space="preserve">(or at least the number of hand hygiene opportunities outlined based on the unit type in Tables 4-6 of the </w:t>
      </w:r>
      <w:hyperlink w:anchor="_Hand_Hygiene_Measure" w:history="1">
        <w:r w:rsidR="00495895" w:rsidRPr="00D6154D">
          <w:rPr>
            <w:rStyle w:val="Hyperlink"/>
            <w:bCs/>
          </w:rPr>
          <w:t>Hand Hygiene Measure Specifications</w:t>
        </w:r>
      </w:hyperlink>
      <w:r w:rsidR="00495895">
        <w:rPr>
          <w:bCs/>
        </w:rPr>
        <w:t>)</w:t>
      </w:r>
      <w:r w:rsidR="00495895" w:rsidRPr="00DF2331">
        <w:rPr>
          <w:bCs/>
        </w:rPr>
        <w:t xml:space="preserve"> </w:t>
      </w:r>
      <w:r w:rsidRPr="00DF2331">
        <w:rPr>
          <w:bCs/>
        </w:rPr>
        <w:t>each month</w:t>
      </w:r>
      <w:r>
        <w:rPr>
          <w:bCs/>
        </w:rPr>
        <w:t xml:space="preserve"> in each patient care unit</w:t>
      </w:r>
      <w:r w:rsidRPr="00DF2331">
        <w:rPr>
          <w:bCs/>
        </w:rPr>
        <w:t xml:space="preserve"> and also meeting all other elements of the Monitoring</w:t>
      </w:r>
      <w:r w:rsidR="00BC4DBF">
        <w:rPr>
          <w:bCs/>
        </w:rPr>
        <w:t xml:space="preserve"> domain</w:t>
      </w:r>
      <w:r w:rsidRPr="00DF2331">
        <w:rPr>
          <w:bCs/>
        </w:rPr>
        <w:t xml:space="preserve"> and all </w:t>
      </w:r>
      <w:r w:rsidR="00F55D99">
        <w:rPr>
          <w:bCs/>
        </w:rPr>
        <w:t xml:space="preserve">elements in the </w:t>
      </w:r>
      <w:r w:rsidRPr="00DF2331">
        <w:rPr>
          <w:bCs/>
        </w:rPr>
        <w:t>remaining</w:t>
      </w:r>
      <w:r w:rsidR="00235229">
        <w:rPr>
          <w:bCs/>
        </w:rPr>
        <w:t xml:space="preserve"> four</w:t>
      </w:r>
      <w:r w:rsidRPr="00DF2331">
        <w:rPr>
          <w:bCs/>
        </w:rPr>
        <w:t xml:space="preserve"> domains. Facilities that answer “yes” to question #10 and only monitor 100 hand hygiene opportunities a quarter are only eligible to earn a maximum performance category of “Considerable Achievement” based on their adherence to</w:t>
      </w:r>
      <w:r w:rsidR="00200BBE">
        <w:rPr>
          <w:bCs/>
        </w:rPr>
        <w:t xml:space="preserve"> the elements in</w:t>
      </w:r>
      <w:r w:rsidRPr="00DF2331">
        <w:rPr>
          <w:bCs/>
        </w:rPr>
        <w:t xml:space="preserve"> the other domains.</w:t>
      </w:r>
      <w:bookmarkEnd w:id="611"/>
      <w:r w:rsidR="00EC2F94" w:rsidRPr="00EC2F94">
        <w:rPr>
          <w:bCs/>
        </w:rPr>
        <w:t xml:space="preserve"> </w:t>
      </w:r>
      <w:r w:rsidR="00EC2F94">
        <w:rPr>
          <w:bCs/>
        </w:rPr>
        <w:t xml:space="preserve">Hospitals should review the Hand Hygiene scoring algorithm in the </w:t>
      </w:r>
      <w:hyperlink r:id="rId403" w:history="1">
        <w:r w:rsidR="00EC2F94" w:rsidRPr="00514D3F">
          <w:rPr>
            <w:rStyle w:val="Hyperlink"/>
            <w:bCs/>
          </w:rPr>
          <w:t>2025 Leapfrog Hospital Survey Scoring</w:t>
        </w:r>
      </w:hyperlink>
      <w:r w:rsidR="00EC2F94">
        <w:rPr>
          <w:bCs/>
        </w:rPr>
        <w:t xml:space="preserve"> Algorithms document for more details.</w:t>
      </w:r>
    </w:p>
    <w:p w14:paraId="2AD0BE7C" w14:textId="77777777" w:rsidR="00E77B4E" w:rsidRDefault="00E77B4E" w:rsidP="00E77B4E">
      <w:pPr>
        <w:pStyle w:val="ListParagraph"/>
        <w:ind w:left="576"/>
        <w:contextualSpacing w:val="0"/>
        <w:rPr>
          <w:bCs/>
        </w:rPr>
      </w:pPr>
    </w:p>
    <w:p w14:paraId="45096BE9" w14:textId="71B52624" w:rsidR="00C66188" w:rsidRPr="00893060" w:rsidRDefault="00C66188" w:rsidP="00AD309C">
      <w:pPr>
        <w:pStyle w:val="EndnoteText"/>
        <w:numPr>
          <w:ilvl w:val="0"/>
          <w:numId w:val="410"/>
        </w:numPr>
        <w:rPr>
          <w:b/>
        </w:rPr>
      </w:pPr>
      <w:r w:rsidRPr="00893060">
        <w:rPr>
          <w:b/>
        </w:rPr>
        <w:t>Are online training modules acceptable for the purposes of training hand hygiene compliance observers in question #1</w:t>
      </w:r>
      <w:r w:rsidR="00FF3311">
        <w:rPr>
          <w:b/>
        </w:rPr>
        <w:t>5</w:t>
      </w:r>
      <w:r w:rsidRPr="00893060">
        <w:rPr>
          <w:b/>
        </w:rPr>
        <w:t>?</w:t>
      </w:r>
    </w:p>
    <w:p w14:paraId="4FD70E8D" w14:textId="0290680C" w:rsidR="00E77B4E" w:rsidRPr="00161376" w:rsidRDefault="00C66188" w:rsidP="00DD05E6">
      <w:pPr>
        <w:pStyle w:val="EndnoteText"/>
        <w:ind w:left="720"/>
        <w:rPr>
          <w:bCs/>
        </w:rPr>
      </w:pPr>
      <w:bookmarkStart w:id="612" w:name="_Hlk43155249"/>
      <w:r w:rsidRPr="00E77B4E">
        <w:rPr>
          <w:bCs/>
        </w:rPr>
        <w:t>Online</w:t>
      </w:r>
      <w:r w:rsidRPr="00893060">
        <w:rPr>
          <w:bCs/>
        </w:rPr>
        <w:t xml:space="preserve"> training can be used for the initial and recurrent training of hand hygiene compliance observers</w:t>
      </w:r>
      <w:r w:rsidR="009B4891">
        <w:rPr>
          <w:bCs/>
        </w:rPr>
        <w:t xml:space="preserve">. Please refer to </w:t>
      </w:r>
      <w:r w:rsidR="00844D05">
        <w:rPr>
          <w:bCs/>
        </w:rPr>
        <w:t>the Hand Hygiene Measure Specifications</w:t>
      </w:r>
      <w:r w:rsidR="009B4891">
        <w:rPr>
          <w:bCs/>
        </w:rPr>
        <w:t xml:space="preserve"> for more information on the requirements for the</w:t>
      </w:r>
      <w:r w:rsidRPr="00893060">
        <w:rPr>
          <w:bCs/>
        </w:rPr>
        <w:t xml:space="preserve"> validation</w:t>
      </w:r>
      <w:r w:rsidR="009B4891">
        <w:rPr>
          <w:bCs/>
        </w:rPr>
        <w:t xml:space="preserve"> of </w:t>
      </w:r>
      <w:r w:rsidRPr="00893060">
        <w:rPr>
          <w:bCs/>
        </w:rPr>
        <w:t>hand hygiene compliance observers</w:t>
      </w:r>
      <w:r w:rsidRPr="00251EA1">
        <w:rPr>
          <w:bCs/>
        </w:rPr>
        <w:t>.</w:t>
      </w:r>
      <w:bookmarkEnd w:id="607"/>
      <w:bookmarkEnd w:id="612"/>
    </w:p>
    <w:p w14:paraId="6CC0862A" w14:textId="77777777" w:rsidR="008536F5" w:rsidRPr="008C51CB" w:rsidRDefault="008536F5" w:rsidP="0002601E">
      <w:pPr>
        <w:pStyle w:val="Heading44"/>
        <w:rPr>
          <w:sz w:val="20"/>
        </w:rPr>
      </w:pPr>
    </w:p>
    <w:p w14:paraId="75EA3C63" w14:textId="00A3CF29" w:rsidR="00C66188" w:rsidRPr="0002601E" w:rsidRDefault="00C66188" w:rsidP="0002601E">
      <w:pPr>
        <w:pStyle w:val="Heading44"/>
      </w:pPr>
      <w:r w:rsidRPr="0002601E">
        <w:t>Feedback</w:t>
      </w:r>
    </w:p>
    <w:p w14:paraId="0CC59EAD" w14:textId="77777777" w:rsidR="00211AF2" w:rsidRPr="008C51CB" w:rsidRDefault="00211AF2" w:rsidP="0002601E">
      <w:pPr>
        <w:pStyle w:val="Heading44"/>
        <w:rPr>
          <w:i/>
          <w:sz w:val="20"/>
        </w:rPr>
      </w:pPr>
    </w:p>
    <w:p w14:paraId="1DB908BD" w14:textId="31A2D1AD" w:rsidR="00C66188" w:rsidRPr="00893060" w:rsidRDefault="00C66188" w:rsidP="00AD309C">
      <w:pPr>
        <w:pStyle w:val="EndnoteText"/>
        <w:numPr>
          <w:ilvl w:val="0"/>
          <w:numId w:val="410"/>
        </w:numPr>
        <w:rPr>
          <w:b/>
        </w:rPr>
      </w:pPr>
      <w:bookmarkStart w:id="613" w:name="HH_accountability"/>
      <w:bookmarkStart w:id="614" w:name="HH_PerformanceReview"/>
      <w:bookmarkEnd w:id="613"/>
      <w:r w:rsidRPr="00893060">
        <w:rPr>
          <w:b/>
        </w:rPr>
        <w:t>For the purposes of responding to question #1</w:t>
      </w:r>
      <w:r w:rsidR="00FF3311">
        <w:rPr>
          <w:b/>
        </w:rPr>
        <w:t>9</w:t>
      </w:r>
      <w:r w:rsidRPr="00893060">
        <w:rPr>
          <w:b/>
        </w:rPr>
        <w:t>, what are some examples of how hospital leadership can be held accountable through performance reviews or compensation?</w:t>
      </w:r>
    </w:p>
    <w:p w14:paraId="7BB007FE" w14:textId="181F2AD4" w:rsidR="00C66188" w:rsidRPr="001666D3" w:rsidRDefault="00C66188" w:rsidP="00DD05E6">
      <w:pPr>
        <w:pStyle w:val="EndnoteText"/>
        <w:ind w:left="720"/>
      </w:pPr>
      <w:r w:rsidRPr="00893060">
        <w:t>A performance review or compensation plan should include specific language about hand hygiene performance. A list of hand hygiene practices and related goals may be incorporated into the performance review and/or compensation plan or</w:t>
      </w:r>
      <w:r w:rsidRPr="00893060">
        <w:rPr>
          <w:b/>
        </w:rPr>
        <w:t xml:space="preserve"> </w:t>
      </w:r>
      <w:r w:rsidRPr="00893060">
        <w:t xml:space="preserve">formalized programs whereby a measure of </w:t>
      </w:r>
      <w:r w:rsidRPr="00893060">
        <w:rPr>
          <w:noProof/>
        </w:rPr>
        <w:t>success</w:t>
      </w:r>
      <w:r w:rsidRPr="00893060">
        <w:t xml:space="preserve"> of those activities or programs is tied to individual performance reviews or compensation incentive plans of executives. Examples include meeting targets for hand hygiene compliance rates, having bonuses tied to structural changes like the implementation of electronic compliance monitoring systems, etc. Language pertaining solely to infection control practices and performance would NOT be sufficient.</w:t>
      </w:r>
      <w:r w:rsidR="00161376">
        <w:br/>
      </w:r>
    </w:p>
    <w:p w14:paraId="2B2F91A9" w14:textId="07324728" w:rsidR="00C66188" w:rsidRDefault="00C66188" w:rsidP="00211AF2">
      <w:pPr>
        <w:pStyle w:val="Heading44"/>
      </w:pPr>
      <w:r w:rsidRPr="00893060">
        <w:t>Culture</w:t>
      </w:r>
    </w:p>
    <w:p w14:paraId="1CAD5A54" w14:textId="77777777" w:rsidR="00211AF2" w:rsidRPr="008C51CB" w:rsidRDefault="00211AF2" w:rsidP="0002601E">
      <w:pPr>
        <w:pStyle w:val="Heading44"/>
        <w:rPr>
          <w:sz w:val="20"/>
        </w:rPr>
      </w:pPr>
    </w:p>
    <w:p w14:paraId="5AF3D9EF" w14:textId="77777777" w:rsidR="00C66188" w:rsidRPr="00893060" w:rsidRDefault="00C66188" w:rsidP="00AD309C">
      <w:pPr>
        <w:pStyle w:val="EndnoteText"/>
        <w:numPr>
          <w:ilvl w:val="0"/>
          <w:numId w:val="410"/>
        </w:numPr>
        <w:rPr>
          <w:b/>
        </w:rPr>
      </w:pPr>
      <w:bookmarkStart w:id="615" w:name="HH_remind"/>
      <w:bookmarkEnd w:id="615"/>
      <w:r w:rsidRPr="00893060">
        <w:rPr>
          <w:b/>
        </w:rPr>
        <w:t>What are some examples of how patients and visitors can be invited to remind individuals who touch patients or who touch items that will be used by patients to perform hand hygiene?</w:t>
      </w:r>
    </w:p>
    <w:p w14:paraId="57FC81FC" w14:textId="77777777" w:rsidR="00C66188" w:rsidRPr="00893060" w:rsidRDefault="00C66188" w:rsidP="00DD05E6">
      <w:pPr>
        <w:pStyle w:val="EndnoteText"/>
        <w:ind w:left="720"/>
      </w:pPr>
      <w:r w:rsidRPr="00893060">
        <w:t>Patients and visitors can be invited to remind individuals who touch patients or who touch items that will be used by patients to perform hand hygiene with posters placed in patient care units, bedside placards, buttons worn by the staff, etc.</w:t>
      </w:r>
    </w:p>
    <w:p w14:paraId="0D138A6D" w14:textId="77777777" w:rsidR="00C66188" w:rsidRPr="00893060" w:rsidRDefault="00C66188" w:rsidP="00C66188">
      <w:pPr>
        <w:pStyle w:val="EndnoteText"/>
        <w:ind w:left="576"/>
      </w:pPr>
    </w:p>
    <w:p w14:paraId="41B21DF6" w14:textId="2EB5EEAE" w:rsidR="00C66188" w:rsidRPr="00893060" w:rsidRDefault="00C66188" w:rsidP="00AD309C">
      <w:pPr>
        <w:pStyle w:val="EndnoteText"/>
        <w:numPr>
          <w:ilvl w:val="0"/>
          <w:numId w:val="410"/>
        </w:numPr>
        <w:rPr>
          <w:b/>
        </w:rPr>
      </w:pPr>
      <w:bookmarkStart w:id="616" w:name="HH_commitment"/>
      <w:bookmarkEnd w:id="616"/>
      <w:r w:rsidRPr="00893060">
        <w:rPr>
          <w:b/>
        </w:rPr>
        <w:t>What are some examples of demonstrating a commitment to hand hygiene improvement as referenced in question #2</w:t>
      </w:r>
      <w:r w:rsidR="00FF3311">
        <w:rPr>
          <w:b/>
        </w:rPr>
        <w:t>1</w:t>
      </w:r>
      <w:r w:rsidRPr="00893060">
        <w:rPr>
          <w:b/>
        </w:rPr>
        <w:t>?</w:t>
      </w:r>
    </w:p>
    <w:p w14:paraId="0805D665" w14:textId="5825CA78" w:rsidR="00371FF5" w:rsidRDefault="00C66188" w:rsidP="006A64B0">
      <w:pPr>
        <w:ind w:left="720"/>
      </w:pPr>
      <w:r w:rsidRPr="00893060">
        <w:t>Some examples of how individuals can demonstrate a commitment to support hand hygiene improvement are written or verbal commitments given during town hall meetings, videos, e-mails from the CEO, public comments to staff, etc. This needs to be a verbal or written commitment that is delivered to those</w:t>
      </w:r>
      <w:r w:rsidRPr="007D3558">
        <w:t xml:space="preserve"> individuals who touch patients or who touch items that will be used by patients</w:t>
      </w:r>
      <w:r w:rsidRPr="00893060">
        <w:t>.</w:t>
      </w:r>
      <w:bookmarkEnd w:id="601"/>
      <w:bookmarkEnd w:id="614"/>
    </w:p>
    <w:p w14:paraId="3039B6D8" w14:textId="77777777" w:rsidR="006A64B0" w:rsidRDefault="006A64B0" w:rsidP="006A64B0">
      <w:pPr>
        <w:ind w:left="720"/>
        <w:rPr>
          <w:snapToGrid w:val="0"/>
          <w:lang w:eastAsia="ja-JP"/>
        </w:rPr>
      </w:pPr>
    </w:p>
    <w:p w14:paraId="3DA95ACE" w14:textId="1631346D" w:rsidR="00B65144" w:rsidRDefault="00B65144" w:rsidP="00AB5B80">
      <w:pPr>
        <w:pStyle w:val="Heading3"/>
      </w:pPr>
      <w:bookmarkStart w:id="617" w:name="_Toc225877803"/>
      <w:r>
        <w:t>Diagnostic Excellence</w:t>
      </w:r>
      <w:r w:rsidR="00D57961">
        <w:t xml:space="preserve"> FAQs</w:t>
      </w:r>
      <w:bookmarkEnd w:id="617"/>
    </w:p>
    <w:p w14:paraId="250D5818" w14:textId="77777777" w:rsidR="00B65144" w:rsidRDefault="00B65144" w:rsidP="00B65144"/>
    <w:p w14:paraId="66FB1E3E" w14:textId="77777777" w:rsidR="00671AD8" w:rsidRPr="00061299" w:rsidRDefault="00671AD8" w:rsidP="00AD309C">
      <w:pPr>
        <w:pStyle w:val="ListParagraph"/>
        <w:numPr>
          <w:ilvl w:val="0"/>
          <w:numId w:val="410"/>
        </w:numPr>
        <w:rPr>
          <w:b/>
        </w:rPr>
      </w:pPr>
      <w:r w:rsidRPr="00061299">
        <w:rPr>
          <w:b/>
        </w:rPr>
        <w:t>Can our hospital system convene a multidisciplinary team at the system level, instead of individual hospitals assembling teams at their respective facilities?</w:t>
      </w:r>
    </w:p>
    <w:p w14:paraId="520733B8" w14:textId="5AA54941" w:rsidR="008D1EED" w:rsidRDefault="008D1EED" w:rsidP="008D1EED">
      <w:pPr>
        <w:pStyle w:val="ListParagraph"/>
        <w:rPr>
          <w:rFonts w:cs="Arial"/>
        </w:rPr>
      </w:pPr>
      <w:r w:rsidRPr="00D63647">
        <w:rPr>
          <w:rFonts w:cs="Arial"/>
        </w:rPr>
        <w:t>Multidisciplinary teams convened to solely focus on reducing errors</w:t>
      </w:r>
      <w:r w:rsidR="00F357C7">
        <w:rPr>
          <w:rFonts w:cs="Arial"/>
        </w:rPr>
        <w:t xml:space="preserve"> in the </w:t>
      </w:r>
      <w:r w:rsidR="00F357C7" w:rsidRPr="00D63647">
        <w:rPr>
          <w:rFonts w:cs="Arial"/>
        </w:rPr>
        <w:t>diagnostic</w:t>
      </w:r>
      <w:r w:rsidR="00F357C7">
        <w:rPr>
          <w:rFonts w:cs="Arial"/>
        </w:rPr>
        <w:t xml:space="preserve"> process</w:t>
      </w:r>
      <w:r w:rsidRPr="00D63647">
        <w:rPr>
          <w:rFonts w:cs="Arial"/>
        </w:rPr>
        <w:t xml:space="preserve"> can be convened at the system level. However, each meeting must include specific discussion of each individual hospital in the system, in order to closely </w:t>
      </w:r>
      <w:r w:rsidRPr="00D63647">
        <w:rPr>
          <w:rFonts w:cs="Arial"/>
          <w:b/>
          <w:bCs/>
        </w:rPr>
        <w:t>oversee</w:t>
      </w:r>
      <w:r w:rsidRPr="00D63647">
        <w:rPr>
          <w:rFonts w:cs="Arial"/>
        </w:rPr>
        <w:t xml:space="preserve"> case analyses, review data specific to individual sites, and be responsive to the individual hospital’s leadership.</w:t>
      </w:r>
    </w:p>
    <w:p w14:paraId="79580D4E" w14:textId="77777777" w:rsidR="008D1EED" w:rsidRDefault="008D1EED" w:rsidP="008D1EED">
      <w:pPr>
        <w:pStyle w:val="ListParagraph"/>
        <w:rPr>
          <w:rFonts w:cs="Arial"/>
        </w:rPr>
      </w:pPr>
    </w:p>
    <w:p w14:paraId="42036604" w14:textId="7A468DBA" w:rsidR="008D1EED" w:rsidRPr="003041BC" w:rsidRDefault="008D1EED" w:rsidP="008D1EED">
      <w:pPr>
        <w:pStyle w:val="ListParagraph"/>
        <w:numPr>
          <w:ilvl w:val="0"/>
          <w:numId w:val="410"/>
        </w:numPr>
        <w:rPr>
          <w:rFonts w:cs="Aptos"/>
          <w:b/>
          <w:bCs/>
        </w:rPr>
      </w:pPr>
      <w:r w:rsidRPr="003041BC">
        <w:rPr>
          <w:rFonts w:cs="Arial"/>
          <w:b/>
          <w:bCs/>
        </w:rPr>
        <w:t xml:space="preserve">As our hospital </w:t>
      </w:r>
      <w:r w:rsidRPr="003041BC">
        <w:rPr>
          <w:rFonts w:cs="Aptos"/>
          <w:b/>
          <w:bCs/>
        </w:rPr>
        <w:t xml:space="preserve">reviews clinical or administrative data, patient experience or patient reported data, or incident reports to identify or track errors in </w:t>
      </w:r>
      <w:r w:rsidR="003C2564">
        <w:rPr>
          <w:rFonts w:cs="Aptos"/>
          <w:b/>
          <w:bCs/>
        </w:rPr>
        <w:t>the diagnostic process</w:t>
      </w:r>
      <w:r w:rsidRPr="003041BC">
        <w:rPr>
          <w:rFonts w:cs="Aptos"/>
          <w:b/>
          <w:bCs/>
        </w:rPr>
        <w:t>, as described in question #2, what specific methodology should be used to conduct a root cause analysis of these errors in</w:t>
      </w:r>
      <w:r w:rsidR="005D33B8">
        <w:rPr>
          <w:rFonts w:cs="Aptos"/>
          <w:b/>
          <w:bCs/>
        </w:rPr>
        <w:t xml:space="preserve"> the diagnostic process</w:t>
      </w:r>
      <w:r w:rsidRPr="003041BC">
        <w:rPr>
          <w:rFonts w:cs="Aptos"/>
          <w:b/>
          <w:bCs/>
        </w:rPr>
        <w:t>?</w:t>
      </w:r>
    </w:p>
    <w:p w14:paraId="176D8AE3" w14:textId="77777777" w:rsidR="008D1EED" w:rsidRDefault="008D1EED" w:rsidP="008D1EED">
      <w:pPr>
        <w:ind w:left="720"/>
        <w:contextualSpacing/>
        <w:rPr>
          <w:rFonts w:cs="Arial"/>
        </w:rPr>
      </w:pPr>
      <w:r>
        <w:rPr>
          <w:rFonts w:cs="Arial"/>
        </w:rPr>
        <w:t xml:space="preserve">Together with a team of leading experts, Leapfrog has </w:t>
      </w:r>
      <w:r w:rsidRPr="000850DD">
        <w:t xml:space="preserve">published </w:t>
      </w:r>
      <w:hyperlink r:id="rId404" w:history="1">
        <w:r w:rsidRPr="00855D4C">
          <w:rPr>
            <w:rStyle w:val="Hyperlink"/>
            <w:rFonts w:cs="Arial"/>
          </w:rPr>
          <w:t>Root Cause Analysis of Cases Involving Diagnosis: A Handbook for Healthcare Organizations</w:t>
        </w:r>
      </w:hyperlink>
      <w:r>
        <w:rPr>
          <w:rFonts w:cs="Arial"/>
        </w:rPr>
        <w:t>. This resource offers authoritative guidance on how to modify existing approaches to conducting a RCA to study cases involving diagnosis. Guidance covers the process for finding cases of diagnostic error and how to convene an RCA team, map problems with the diagnostic process, use fishbone diagrams to consider possible domains of causes, and select appropriate interventions.</w:t>
      </w:r>
    </w:p>
    <w:p w14:paraId="09813023" w14:textId="77777777" w:rsidR="0029191D" w:rsidRDefault="0029191D" w:rsidP="008D1EED">
      <w:pPr>
        <w:ind w:left="720"/>
        <w:contextualSpacing/>
        <w:rPr>
          <w:rFonts w:cs="Arial"/>
        </w:rPr>
      </w:pPr>
    </w:p>
    <w:p w14:paraId="25D429BB" w14:textId="46DF5CEE" w:rsidR="0029191D" w:rsidRDefault="0029191D" w:rsidP="008D1EED">
      <w:pPr>
        <w:ind w:left="720"/>
        <w:contextualSpacing/>
        <w:rPr>
          <w:rFonts w:cs="Arial"/>
        </w:rPr>
      </w:pPr>
      <w:r w:rsidRPr="000F113B">
        <w:rPr>
          <w:rFonts w:cs="Arial"/>
        </w:rPr>
        <w:t xml:space="preserve">The Agency for Healthcare Research and Quality has also published </w:t>
      </w:r>
      <w:hyperlink r:id="rId405" w:history="1">
        <w:r w:rsidR="00195294" w:rsidRPr="005A1909">
          <w:rPr>
            <w:rStyle w:val="Hyperlink"/>
            <w:rFonts w:cs="Arial"/>
          </w:rPr>
          <w:t>Measure Dx: A Resource to Identify, Analyze, and Learn from Diagnostic Safety Events</w:t>
        </w:r>
      </w:hyperlink>
      <w:r w:rsidR="00195294">
        <w:rPr>
          <w:rFonts w:cs="Arial"/>
        </w:rPr>
        <w:t xml:space="preserve"> </w:t>
      </w:r>
      <w:r w:rsidRPr="000F113B">
        <w:rPr>
          <w:rFonts w:cs="Arial"/>
        </w:rPr>
        <w:t>that can be further leveraged as resource. The toolkit is open access, and includes strategies and resources (e.g. infographics, checklists, case review tools) that can be used to set a baseline for implementation, conduct a self-assessment, implement strategies, and reviewing and analyzing case data to identify actionable insights to improve patient safety and reduce diagnostic errors.</w:t>
      </w:r>
    </w:p>
    <w:p w14:paraId="6075DB5D" w14:textId="77777777" w:rsidR="008D1EED" w:rsidRDefault="008D1EED" w:rsidP="008D1EED">
      <w:pPr>
        <w:ind w:left="720"/>
        <w:contextualSpacing/>
        <w:rPr>
          <w:rFonts w:cs="Arial"/>
        </w:rPr>
      </w:pPr>
    </w:p>
    <w:p w14:paraId="246D61C4" w14:textId="2801D907" w:rsidR="008D1EED" w:rsidRPr="003041BC" w:rsidRDefault="008D1EED" w:rsidP="008D1EED">
      <w:pPr>
        <w:pStyle w:val="ListParagraph"/>
        <w:numPr>
          <w:ilvl w:val="0"/>
          <w:numId w:val="410"/>
        </w:numPr>
        <w:rPr>
          <w:rFonts w:cs="Arial"/>
          <w:b/>
          <w:bCs/>
        </w:rPr>
      </w:pPr>
      <w:r w:rsidRPr="003041BC">
        <w:rPr>
          <w:rFonts w:cs="Arial"/>
          <w:b/>
          <w:bCs/>
        </w:rPr>
        <w:t xml:space="preserve">As our hospital pursues initiatives aimed at reducing harm to patients from errors in </w:t>
      </w:r>
      <w:r w:rsidR="00F61371">
        <w:rPr>
          <w:rFonts w:cs="Aptos"/>
          <w:b/>
          <w:bCs/>
        </w:rPr>
        <w:t>the diagnostic process</w:t>
      </w:r>
      <w:r w:rsidRPr="003041BC">
        <w:rPr>
          <w:rFonts w:cs="Arial"/>
          <w:b/>
          <w:bCs/>
        </w:rPr>
        <w:t>, how can patients and</w:t>
      </w:r>
      <w:r w:rsidR="00173960">
        <w:rPr>
          <w:rFonts w:cs="Arial"/>
          <w:b/>
          <w:bCs/>
        </w:rPr>
        <w:t>/or care partners</w:t>
      </w:r>
      <w:r w:rsidRPr="003041BC">
        <w:rPr>
          <w:rFonts w:cs="Arial"/>
          <w:b/>
          <w:bCs/>
        </w:rPr>
        <w:t xml:space="preserve"> be engaged in that effort?</w:t>
      </w:r>
    </w:p>
    <w:p w14:paraId="134C7406" w14:textId="69BE83E7" w:rsidR="008D1EED" w:rsidRDefault="009933B2" w:rsidP="008D1EED">
      <w:pPr>
        <w:ind w:left="720"/>
        <w:contextualSpacing/>
        <w:rPr>
          <w:rFonts w:cs="Arial"/>
        </w:rPr>
      </w:pPr>
      <w:r>
        <w:rPr>
          <w:rFonts w:cs="Arial"/>
        </w:rPr>
        <w:t xml:space="preserve">In addition to including a patient and/or care partner on the multidisciplinary team </w:t>
      </w:r>
      <w:r>
        <w:rPr>
          <w:rFonts w:cstheme="minorHAnsi"/>
        </w:rPr>
        <w:t>f</w:t>
      </w:r>
      <w:r w:rsidRPr="00D66BB6">
        <w:rPr>
          <w:rFonts w:cstheme="minorHAnsi"/>
        </w:rPr>
        <w:t xml:space="preserve">ocused on reducing harm to patients from errors in </w:t>
      </w:r>
      <w:r>
        <w:rPr>
          <w:rFonts w:cstheme="minorHAnsi"/>
        </w:rPr>
        <w:t xml:space="preserve">the </w:t>
      </w:r>
      <w:r w:rsidRPr="00D66BB6">
        <w:rPr>
          <w:rFonts w:cstheme="minorHAnsi"/>
        </w:rPr>
        <w:t>diagnos</w:t>
      </w:r>
      <w:r>
        <w:rPr>
          <w:rFonts w:cstheme="minorHAnsi"/>
        </w:rPr>
        <w:t>tic process, hospitals can work with their PFACs to reduce errors in the diagnostic process.</w:t>
      </w:r>
      <w:r>
        <w:rPr>
          <w:rFonts w:cs="Arial"/>
        </w:rPr>
        <w:t xml:space="preserve"> </w:t>
      </w:r>
      <w:r w:rsidR="008D1EED">
        <w:rPr>
          <w:rFonts w:cs="Arial"/>
        </w:rPr>
        <w:t xml:space="preserve">Leapfrog has created a </w:t>
      </w:r>
      <w:hyperlink r:id="rId406" w:history="1">
        <w:r w:rsidR="008D1EED" w:rsidRPr="00A376A4">
          <w:rPr>
            <w:rStyle w:val="Hyperlink"/>
            <w:rFonts w:cs="Arial"/>
          </w:rPr>
          <w:t>Patient and Family Advisory Council (PFAC) Toolkit for Exploring Diagnostic Quality</w:t>
        </w:r>
      </w:hyperlink>
      <w:r w:rsidR="008D1EED">
        <w:rPr>
          <w:rFonts w:cs="Arial"/>
        </w:rPr>
        <w:t>, which offers specific guidance for hospitals and PFAC members who look to partner in designing and deploying initiatives to push for diagnostic safety. This web-based tool includes overall introductions to patient and family engagement and convening a PFAC, detailed information and educational materials on the diagnostic process aimed at a lay audience, and specific examples of model PFAC initiatives focused on diagnostic safety and quality.</w:t>
      </w:r>
    </w:p>
    <w:p w14:paraId="46DF9A0B" w14:textId="3B963C3E" w:rsidR="00A26F99" w:rsidRDefault="00A26F99">
      <w:pPr>
        <w:rPr>
          <w:bCs/>
        </w:rPr>
      </w:pPr>
      <w:bookmarkStart w:id="618" w:name="pathologyFAQ_6D"/>
      <w:bookmarkEnd w:id="618"/>
    </w:p>
    <w:p w14:paraId="7B1937DD" w14:textId="6B1DB60E" w:rsidR="00762AAA" w:rsidRPr="00CF4B6D" w:rsidRDefault="00762AAA" w:rsidP="006A751F">
      <w:pPr>
        <w:pStyle w:val="ListParagraph"/>
        <w:numPr>
          <w:ilvl w:val="0"/>
          <w:numId w:val="410"/>
        </w:numPr>
        <w:rPr>
          <w:rFonts w:cs="Arial"/>
          <w:b/>
          <w:bCs/>
        </w:rPr>
      </w:pPr>
      <w:bookmarkStart w:id="619" w:name="teamstepps"/>
      <w:bookmarkEnd w:id="619"/>
      <w:r w:rsidRPr="00CF4B6D">
        <w:rPr>
          <w:rFonts w:cs="Arial"/>
          <w:b/>
          <w:bCs/>
        </w:rPr>
        <w:t xml:space="preserve">If our hospital is already conducting a </w:t>
      </w:r>
      <w:proofErr w:type="spellStart"/>
      <w:r w:rsidRPr="00CF4B6D">
        <w:rPr>
          <w:rFonts w:cs="Arial"/>
          <w:b/>
          <w:bCs/>
        </w:rPr>
        <w:t>TeamSTEPPS</w:t>
      </w:r>
      <w:proofErr w:type="spellEnd"/>
      <w:r w:rsidRPr="00CF4B6D">
        <w:rPr>
          <w:rFonts w:cs="Arial"/>
          <w:b/>
          <w:bCs/>
        </w:rPr>
        <w:t xml:space="preserve"> 3.0 training for staff, can the elements from </w:t>
      </w:r>
      <w:proofErr w:type="spellStart"/>
      <w:r w:rsidRPr="00CF4B6D">
        <w:rPr>
          <w:rFonts w:cs="Arial"/>
          <w:b/>
          <w:bCs/>
        </w:rPr>
        <w:t>TeamSTEPPS</w:t>
      </w:r>
      <w:proofErr w:type="spellEnd"/>
      <w:r w:rsidRPr="00CF4B6D">
        <w:rPr>
          <w:rFonts w:cs="Arial"/>
          <w:b/>
          <w:bCs/>
        </w:rPr>
        <w:t xml:space="preserve"> for Diagnosis Improvement be incorporated into the general </w:t>
      </w:r>
      <w:proofErr w:type="spellStart"/>
      <w:r w:rsidRPr="00CF4B6D">
        <w:rPr>
          <w:rFonts w:cs="Arial"/>
          <w:b/>
          <w:bCs/>
        </w:rPr>
        <w:t>TeamSTEPPS</w:t>
      </w:r>
      <w:proofErr w:type="spellEnd"/>
      <w:r w:rsidRPr="00CF4B6D">
        <w:rPr>
          <w:rFonts w:cs="Arial"/>
          <w:b/>
          <w:bCs/>
        </w:rPr>
        <w:t xml:space="preserve"> 3.0 training, rather than given as a standalone training?</w:t>
      </w:r>
    </w:p>
    <w:p w14:paraId="5B2623B0" w14:textId="5ADFE626" w:rsidR="0004549D" w:rsidRPr="00762AAA" w:rsidRDefault="00762AAA" w:rsidP="00762AAA">
      <w:pPr>
        <w:pStyle w:val="ListParagraph"/>
        <w:rPr>
          <w:rFonts w:cs="Arial"/>
        </w:rPr>
      </w:pPr>
      <w:r w:rsidRPr="00713A4D">
        <w:rPr>
          <w:rFonts w:cs="Arial"/>
        </w:rPr>
        <w:t xml:space="preserve">If your course facilitator for the </w:t>
      </w:r>
      <w:proofErr w:type="spellStart"/>
      <w:r w:rsidRPr="00713A4D">
        <w:rPr>
          <w:rFonts w:cs="Arial"/>
        </w:rPr>
        <w:t>TeamSTEPPS</w:t>
      </w:r>
      <w:proofErr w:type="spellEnd"/>
      <w:r w:rsidRPr="00713A4D">
        <w:rPr>
          <w:rFonts w:cs="Arial"/>
        </w:rPr>
        <w:t xml:space="preserve"> program specifically incorporates slides from the </w:t>
      </w:r>
      <w:proofErr w:type="spellStart"/>
      <w:r w:rsidRPr="00713A4D">
        <w:rPr>
          <w:rFonts w:cs="Arial"/>
        </w:rPr>
        <w:t>TeamSTEPPS</w:t>
      </w:r>
      <w:proofErr w:type="spellEnd"/>
      <w:r w:rsidRPr="00713A4D">
        <w:rPr>
          <w:rFonts w:cs="Arial"/>
        </w:rPr>
        <w:t xml:space="preserve"> for Diagnosis program to cover diagnosis-specific concepts and tools, that would be an acceptable approach, and is supported by the </w:t>
      </w:r>
      <w:proofErr w:type="spellStart"/>
      <w:r w:rsidRPr="00713A4D">
        <w:rPr>
          <w:rFonts w:cs="Arial"/>
        </w:rPr>
        <w:t>TeamSTEPPS</w:t>
      </w:r>
      <w:proofErr w:type="spellEnd"/>
      <w:r w:rsidRPr="00713A4D">
        <w:rPr>
          <w:rFonts w:cs="Arial"/>
        </w:rPr>
        <w:t xml:space="preserve"> for Diagnosis Course itself. </w:t>
      </w:r>
      <w:r>
        <w:rPr>
          <w:rFonts w:cs="Arial"/>
        </w:rPr>
        <w:t>Note that in</w:t>
      </w:r>
      <w:r w:rsidRPr="00713A4D">
        <w:rPr>
          <w:rFonts w:cs="Arial"/>
        </w:rPr>
        <w:t xml:space="preserve"> slide 13 of the </w:t>
      </w:r>
      <w:proofErr w:type="spellStart"/>
      <w:r w:rsidRPr="00713A4D">
        <w:rPr>
          <w:rFonts w:cs="Arial"/>
        </w:rPr>
        <w:t>TeamSTEPPS</w:t>
      </w:r>
      <w:proofErr w:type="spellEnd"/>
      <w:r w:rsidRPr="00713A4D">
        <w:rPr>
          <w:rFonts w:cs="Arial"/>
        </w:rPr>
        <w:t xml:space="preserve"> for Dx Introduction Slide Set</w:t>
      </w:r>
      <w:r>
        <w:rPr>
          <w:rFonts w:cs="Arial"/>
        </w:rPr>
        <w:t>, facilitators are encouraged to “</w:t>
      </w:r>
      <w:r w:rsidRPr="00713A4D">
        <w:rPr>
          <w:rFonts w:cs="Arial"/>
        </w:rPr>
        <w:t xml:space="preserve">review all the </w:t>
      </w:r>
      <w:proofErr w:type="spellStart"/>
      <w:r w:rsidRPr="00713A4D">
        <w:rPr>
          <w:rFonts w:cs="Arial"/>
        </w:rPr>
        <w:t>TeamSTEPPS</w:t>
      </w:r>
      <w:proofErr w:type="spellEnd"/>
      <w:r w:rsidRPr="00713A4D">
        <w:rPr>
          <w:rFonts w:cs="Arial"/>
        </w:rPr>
        <w:t xml:space="preserve"> materials before planning your training. In this way, you can determine your site’s communication needs and develop a targeted approach using the diagnosis-specific and general </w:t>
      </w:r>
      <w:proofErr w:type="spellStart"/>
      <w:r w:rsidRPr="00713A4D">
        <w:rPr>
          <w:rFonts w:cs="Arial"/>
        </w:rPr>
        <w:t>TeamSTEPPS</w:t>
      </w:r>
      <w:proofErr w:type="spellEnd"/>
      <w:r w:rsidRPr="00713A4D">
        <w:rPr>
          <w:rFonts w:cs="Arial"/>
        </w:rPr>
        <w:t xml:space="preserve"> tools as appropriate.</w:t>
      </w:r>
      <w:r>
        <w:rPr>
          <w:rFonts w:cs="Arial"/>
        </w:rPr>
        <w:t>”</w:t>
      </w:r>
      <w:r w:rsidRPr="00713A4D">
        <w:rPr>
          <w:rFonts w:cs="Arial"/>
        </w:rPr>
        <w:br/>
      </w:r>
      <w:r w:rsidRPr="00713A4D">
        <w:rPr>
          <w:rFonts w:cs="Arial"/>
        </w:rPr>
        <w:br/>
      </w:r>
      <w:r>
        <w:rPr>
          <w:rFonts w:cs="Arial"/>
        </w:rPr>
        <w:t xml:space="preserve">Note that in order to document </w:t>
      </w:r>
      <w:r w:rsidRPr="00713A4D">
        <w:rPr>
          <w:rFonts w:cs="Arial"/>
        </w:rPr>
        <w:t xml:space="preserve">that the </w:t>
      </w:r>
      <w:proofErr w:type="spellStart"/>
      <w:r w:rsidRPr="00713A4D">
        <w:rPr>
          <w:rFonts w:cs="Arial"/>
        </w:rPr>
        <w:t>TeamSTEPPS</w:t>
      </w:r>
      <w:proofErr w:type="spellEnd"/>
      <w:r w:rsidRPr="00713A4D">
        <w:rPr>
          <w:rFonts w:cs="Arial"/>
        </w:rPr>
        <w:t xml:space="preserve"> for Diagnosis training was conducted, </w:t>
      </w:r>
      <w:r>
        <w:rPr>
          <w:rFonts w:cs="Arial"/>
        </w:rPr>
        <w:t>course materials should be saved and clear</w:t>
      </w:r>
      <w:r w:rsidR="00A83DB7">
        <w:rPr>
          <w:rFonts w:cs="Arial"/>
        </w:rPr>
        <w:t>ly</w:t>
      </w:r>
      <w:r>
        <w:rPr>
          <w:rFonts w:cs="Arial"/>
        </w:rPr>
        <w:t xml:space="preserve"> indicate</w:t>
      </w:r>
      <w:r w:rsidRPr="00713A4D">
        <w:rPr>
          <w:rFonts w:cs="Arial"/>
        </w:rPr>
        <w:t xml:space="preserve"> </w:t>
      </w:r>
      <w:r>
        <w:rPr>
          <w:rFonts w:cs="Arial"/>
        </w:rPr>
        <w:t xml:space="preserve">the </w:t>
      </w:r>
      <w:proofErr w:type="spellStart"/>
      <w:r>
        <w:rPr>
          <w:rFonts w:cs="Arial"/>
        </w:rPr>
        <w:t>TeamSTEPPS</w:t>
      </w:r>
      <w:proofErr w:type="spellEnd"/>
      <w:r>
        <w:rPr>
          <w:rFonts w:cs="Arial"/>
        </w:rPr>
        <w:t xml:space="preserve"> </w:t>
      </w:r>
      <w:r w:rsidRPr="00713A4D">
        <w:rPr>
          <w:rFonts w:cs="Arial"/>
        </w:rPr>
        <w:t xml:space="preserve">content specific to diagnosis has been </w:t>
      </w:r>
      <w:r>
        <w:rPr>
          <w:rFonts w:cs="Arial"/>
        </w:rPr>
        <w:t>incorporated</w:t>
      </w:r>
      <w:r w:rsidRPr="00713A4D">
        <w:rPr>
          <w:rFonts w:cs="Arial"/>
        </w:rPr>
        <w:t>, including key terms and examples used.</w:t>
      </w:r>
    </w:p>
    <w:p w14:paraId="5716CC59" w14:textId="77777777" w:rsidR="0036306B" w:rsidRPr="008C51CB" w:rsidRDefault="0036306B">
      <w:pPr>
        <w:rPr>
          <w:rFonts w:cs="Arial"/>
          <w:b/>
          <w:i/>
          <w:snapToGrid w:val="0"/>
          <w:lang w:eastAsia="ja-JP"/>
        </w:rPr>
      </w:pPr>
    </w:p>
    <w:p w14:paraId="30FBC622" w14:textId="3859768F" w:rsidR="00A26F99" w:rsidRDefault="004F1346" w:rsidP="00A26F99">
      <w:pPr>
        <w:pStyle w:val="Heading3"/>
      </w:pPr>
      <w:bookmarkStart w:id="620" w:name="_Toc225877804"/>
      <w:r>
        <w:t>Hospital Boarding in the Emergency Department (</w:t>
      </w:r>
      <w:r w:rsidR="00A26F99">
        <w:t>ED</w:t>
      </w:r>
      <w:r>
        <w:t xml:space="preserve">) </w:t>
      </w:r>
      <w:r w:rsidR="00A26F99">
        <w:t>FAQs</w:t>
      </w:r>
      <w:bookmarkEnd w:id="620"/>
    </w:p>
    <w:p w14:paraId="31C23603" w14:textId="77777777" w:rsidR="0036306B" w:rsidRDefault="0036306B" w:rsidP="0036306B">
      <w:pPr>
        <w:rPr>
          <w:lang w:eastAsia="ja-JP"/>
        </w:rPr>
      </w:pPr>
    </w:p>
    <w:p w14:paraId="40475A2D" w14:textId="168AFCF5" w:rsidR="00250A5E" w:rsidRPr="00D971B2" w:rsidRDefault="00250A5E" w:rsidP="005A1909">
      <w:pPr>
        <w:pStyle w:val="ListParagraph"/>
        <w:numPr>
          <w:ilvl w:val="0"/>
          <w:numId w:val="410"/>
        </w:numPr>
        <w:rPr>
          <w:b/>
        </w:rPr>
      </w:pPr>
      <w:r w:rsidRPr="00D971B2">
        <w:rPr>
          <w:b/>
        </w:rPr>
        <w:t xml:space="preserve">Can </w:t>
      </w:r>
      <w:r w:rsidR="00F74EF3">
        <w:rPr>
          <w:b/>
        </w:rPr>
        <w:t>hospitals</w:t>
      </w:r>
      <w:r w:rsidR="00F74EF3" w:rsidRPr="00D971B2">
        <w:rPr>
          <w:b/>
        </w:rPr>
        <w:t xml:space="preserve"> </w:t>
      </w:r>
      <w:r w:rsidRPr="00D971B2">
        <w:rPr>
          <w:b/>
        </w:rPr>
        <w:t>use patient sampling to report data for Section 6E?</w:t>
      </w:r>
    </w:p>
    <w:p w14:paraId="0C5B483E" w14:textId="77777777" w:rsidR="00250A5E" w:rsidRDefault="00250A5E" w:rsidP="00250A5E">
      <w:pPr>
        <w:pStyle w:val="ListParagraph"/>
        <w:rPr>
          <w:bCs/>
        </w:rPr>
      </w:pPr>
      <w:r w:rsidRPr="00C31974">
        <w:rPr>
          <w:bCs/>
        </w:rPr>
        <w:t>No, hospitals are required to report on all applicable ED visits and cannot report using a sample.</w:t>
      </w:r>
    </w:p>
    <w:p w14:paraId="495671FC" w14:textId="77777777" w:rsidR="00250A5E" w:rsidRDefault="00250A5E" w:rsidP="00C5453C">
      <w:pPr>
        <w:pStyle w:val="ListParagraph"/>
        <w:rPr>
          <w:b/>
        </w:rPr>
      </w:pPr>
    </w:p>
    <w:p w14:paraId="01D6086F" w14:textId="77777777" w:rsidR="0058775B" w:rsidRPr="005A1909" w:rsidRDefault="0058775B" w:rsidP="0058775B">
      <w:pPr>
        <w:pStyle w:val="ListParagraph"/>
        <w:numPr>
          <w:ilvl w:val="0"/>
          <w:numId w:val="410"/>
        </w:numPr>
        <w:rPr>
          <w:b/>
        </w:rPr>
      </w:pPr>
      <w:r w:rsidRPr="005A1909">
        <w:rPr>
          <w:b/>
        </w:rPr>
        <w:t>How should a co-located pediatric hospital within an adult hospital, sharing a single ED that treats both adult and pediatric patients, respond to this section?</w:t>
      </w:r>
    </w:p>
    <w:p w14:paraId="383D7ECF" w14:textId="45EFBE7F" w:rsidR="00852F16" w:rsidRPr="001E5400" w:rsidRDefault="0058775B" w:rsidP="00852F16">
      <w:pPr>
        <w:pStyle w:val="ListParagraph"/>
        <w:rPr>
          <w:rFonts w:eastAsia="MS PGothic" w:cs="Arial"/>
          <w:bCs/>
        </w:rPr>
      </w:pPr>
      <w:r w:rsidRPr="00674866">
        <w:rPr>
          <w:rFonts w:eastAsia="MS PGothic" w:cs="Arial"/>
          <w:bCs/>
        </w:rPr>
        <w:t xml:space="preserve">Hospitals should report on operating a pediatric emergency department in question #3 and then respond to question #5, where hospitals report on ED visits </w:t>
      </w:r>
      <w:r w:rsidR="00852F16">
        <w:rPr>
          <w:rFonts w:eastAsia="MS PGothic" w:cs="Arial"/>
          <w:bCs/>
        </w:rPr>
        <w:t xml:space="preserve">with </w:t>
      </w:r>
      <w:r w:rsidR="00852F16" w:rsidRPr="008D0477">
        <w:rPr>
          <w:rFonts w:cs="Arial"/>
        </w:rPr>
        <w:t>an admission to a</w:t>
      </w:r>
      <w:r w:rsidR="00852F16">
        <w:rPr>
          <w:rFonts w:cs="Arial"/>
        </w:rPr>
        <w:t xml:space="preserve"> pediatric </w:t>
      </w:r>
      <w:r w:rsidR="00852F16" w:rsidRPr="008D0477">
        <w:rPr>
          <w:rFonts w:cs="Arial"/>
        </w:rPr>
        <w:t>inpatient non-psychiatric or psychiatric bed (</w:t>
      </w:r>
      <w:r w:rsidR="00852F16" w:rsidRPr="008D0477">
        <w:rPr>
          <w:bCs/>
        </w:rPr>
        <w:t xml:space="preserve">including </w:t>
      </w:r>
      <w:r w:rsidR="00852F16" w:rsidRPr="008D0477">
        <w:rPr>
          <w:rFonts w:cs="Arial"/>
        </w:rPr>
        <w:t>ED visits where the patient was placed in</w:t>
      </w:r>
      <w:r w:rsidR="00852F16" w:rsidRPr="008D0477">
        <w:rPr>
          <w:bCs/>
          <w:i/>
          <w:iCs/>
        </w:rPr>
        <w:t xml:space="preserve"> </w:t>
      </w:r>
      <w:r w:rsidR="00852F16" w:rsidRPr="008D0477">
        <w:rPr>
          <w:rFonts w:cs="Arial"/>
        </w:rPr>
        <w:t>hospital observation status)</w:t>
      </w:r>
      <w:r w:rsidR="00852F16" w:rsidRPr="001E5400">
        <w:rPr>
          <w:rFonts w:eastAsia="MS PGothic" w:cs="Arial"/>
          <w:bCs/>
        </w:rPr>
        <w:t>.</w:t>
      </w:r>
    </w:p>
    <w:p w14:paraId="52F50C66" w14:textId="2A369A66" w:rsidR="0058775B" w:rsidRPr="00674866" w:rsidRDefault="0058775B" w:rsidP="0058775B">
      <w:pPr>
        <w:pStyle w:val="ListParagraph"/>
        <w:rPr>
          <w:rFonts w:eastAsia="MS PGothic" w:cs="Arial"/>
          <w:bCs/>
        </w:rPr>
      </w:pPr>
    </w:p>
    <w:p w14:paraId="54DD8C5B" w14:textId="0E39F6EA" w:rsidR="00C13BEC" w:rsidRPr="005A1909" w:rsidRDefault="0051476B" w:rsidP="00C13BEC">
      <w:pPr>
        <w:pStyle w:val="ListParagraph"/>
        <w:numPr>
          <w:ilvl w:val="0"/>
          <w:numId w:val="410"/>
        </w:numPr>
        <w:rPr>
          <w:b/>
        </w:rPr>
      </w:pPr>
      <w:r w:rsidRPr="00662391">
        <w:rPr>
          <w:rFonts w:eastAsia="MS PGothic" w:cs="Arial"/>
          <w:b/>
          <w:bCs/>
        </w:rPr>
        <w:t xml:space="preserve">How should boarding time be calculated for ED patients who are admitted to the hospital </w:t>
      </w:r>
      <w:r w:rsidR="00351497">
        <w:rPr>
          <w:rFonts w:eastAsia="MS PGothic" w:cs="Arial"/>
          <w:b/>
          <w:bCs/>
        </w:rPr>
        <w:t>but</w:t>
      </w:r>
      <w:r>
        <w:rPr>
          <w:rFonts w:eastAsia="MS PGothic" w:cs="Arial"/>
          <w:b/>
          <w:bCs/>
        </w:rPr>
        <w:t xml:space="preserve"> </w:t>
      </w:r>
      <w:r w:rsidR="00C13BEC" w:rsidRPr="005A1909">
        <w:rPr>
          <w:b/>
        </w:rPr>
        <w:t xml:space="preserve">transferred from the ED to the cardiac catheterization lab </w:t>
      </w:r>
      <w:r w:rsidR="003B5008" w:rsidRPr="00662391">
        <w:rPr>
          <w:rFonts w:eastAsia="MS PGothic" w:cs="Arial"/>
          <w:b/>
          <w:bCs/>
        </w:rPr>
        <w:t>or another diagnostic or procedural area before being transferred to the inpatient unit?</w:t>
      </w:r>
    </w:p>
    <w:p w14:paraId="56C82210" w14:textId="77777777" w:rsidR="00FD117E" w:rsidRPr="00FD117E" w:rsidRDefault="00FD117E" w:rsidP="00C51EE9">
      <w:pPr>
        <w:pStyle w:val="ListParagraph"/>
        <w:rPr>
          <w:rFonts w:eastAsia="MS PGothic" w:cs="Arial"/>
        </w:rPr>
      </w:pPr>
      <w:r w:rsidRPr="00FD117E">
        <w:rPr>
          <w:rFonts w:eastAsia="MS PGothic" w:cs="Arial"/>
        </w:rPr>
        <w:t xml:space="preserve">Boarding time is calculated using the final departure time from the ED. If a patient leaves the ED for a test, treatment, or procedure, but then returns to the ED prior to being transferred to the inpatient bed, boarding time will continue and include the time spent in the test, treatment, or procedural area. </w:t>
      </w:r>
    </w:p>
    <w:p w14:paraId="5DD93A9D" w14:textId="77777777" w:rsidR="00E820DE" w:rsidRDefault="00E820DE" w:rsidP="0058775B">
      <w:pPr>
        <w:pStyle w:val="ListParagraph"/>
        <w:rPr>
          <w:rFonts w:eastAsia="MS PGothic" w:cs="Arial"/>
        </w:rPr>
      </w:pPr>
    </w:p>
    <w:p w14:paraId="39D0E37E" w14:textId="77777777" w:rsidR="00E820DE" w:rsidRPr="00662391" w:rsidRDefault="00E820DE" w:rsidP="00E820DE">
      <w:pPr>
        <w:pStyle w:val="ListParagraph"/>
        <w:numPr>
          <w:ilvl w:val="0"/>
          <w:numId w:val="410"/>
        </w:numPr>
        <w:rPr>
          <w:rFonts w:eastAsia="MS PGothic" w:cs="Arial"/>
          <w:b/>
          <w:bCs/>
        </w:rPr>
      </w:pPr>
      <w:r w:rsidRPr="00662391">
        <w:rPr>
          <w:rFonts w:eastAsia="MS PGothic" w:cs="Arial"/>
          <w:b/>
          <w:bCs/>
        </w:rPr>
        <w:t xml:space="preserve">How should boarding time be calculated for ED patients who are admitted to the hospital but transferred from the ED to an operating room for a surgical procedure before being transferred to the inpatient unit? </w:t>
      </w:r>
    </w:p>
    <w:p w14:paraId="370D3DEA" w14:textId="34C4DA5B" w:rsidR="003E769A" w:rsidRPr="00C31974" w:rsidRDefault="00E820DE" w:rsidP="00C51EE9">
      <w:pPr>
        <w:ind w:left="720"/>
        <w:rPr>
          <w:bCs/>
        </w:rPr>
      </w:pPr>
      <w:r w:rsidRPr="00B76FF4">
        <w:rPr>
          <w:rFonts w:eastAsia="MS PGothic" w:cs="Arial"/>
        </w:rPr>
        <w:t xml:space="preserve">Boarding time is </w:t>
      </w:r>
      <w:r>
        <w:rPr>
          <w:rFonts w:eastAsia="MS PGothic" w:cs="Arial"/>
        </w:rPr>
        <w:t>calculated using</w:t>
      </w:r>
      <w:r w:rsidRPr="00B76FF4">
        <w:rPr>
          <w:rFonts w:eastAsia="MS PGothic" w:cs="Arial"/>
        </w:rPr>
        <w:t xml:space="preserve"> the final departure time from the ED. If a patient leaves the ED </w:t>
      </w:r>
      <w:r w:rsidR="005C09E0" w:rsidRPr="00B76FF4">
        <w:rPr>
          <w:rFonts w:eastAsia="MS PGothic" w:cs="Arial"/>
        </w:rPr>
        <w:t>for a</w:t>
      </w:r>
      <w:r w:rsidR="005C09E0">
        <w:rPr>
          <w:rFonts w:eastAsia="MS PGothic" w:cs="Arial"/>
        </w:rPr>
        <w:t xml:space="preserve"> surgical procedure, boarding time will end when they are transferred to the operating room if they do not return to the ED.</w:t>
      </w:r>
    </w:p>
    <w:p w14:paraId="6B33CACF" w14:textId="095F2E91" w:rsidR="00671AD8" w:rsidRDefault="00A26F99" w:rsidP="001C4D9F">
      <w:pPr>
        <w:rPr>
          <w:b/>
        </w:rPr>
      </w:pPr>
      <w:r>
        <w:rPr>
          <w:b/>
        </w:rPr>
        <w:br w:type="page"/>
      </w:r>
    </w:p>
    <w:p w14:paraId="5962682F" w14:textId="24E6E4ED" w:rsidR="00F22717" w:rsidRPr="00B65144" w:rsidRDefault="00F22717" w:rsidP="0002601E">
      <w:pPr>
        <w:rPr>
          <w:snapToGrid w:val="0"/>
          <w:sz w:val="40"/>
          <w:szCs w:val="40"/>
          <w:lang w:eastAsia="ja-JP"/>
        </w:rPr>
      </w:pPr>
    </w:p>
    <w:p w14:paraId="22962E97" w14:textId="0BB6C1AC" w:rsidR="005F497A" w:rsidRPr="009A5185" w:rsidRDefault="00B86043" w:rsidP="00D32C75">
      <w:pPr>
        <w:pStyle w:val="SectionHeader"/>
      </w:pPr>
      <w:bookmarkStart w:id="621" w:name="_Toc225877805"/>
      <w:r w:rsidRPr="009A5185">
        <w:t>Page Intentionally Left Blank</w:t>
      </w:r>
      <w:bookmarkEnd w:id="621"/>
    </w:p>
    <w:p w14:paraId="76860DDA" w14:textId="77777777" w:rsidR="00B86043" w:rsidRPr="009A5185" w:rsidRDefault="00B86043">
      <w:pPr>
        <w:rPr>
          <w:rFonts w:cs="Arial"/>
          <w:b/>
          <w:snapToGrid w:val="0"/>
          <w:color w:val="A6A6A6" w:themeColor="background1" w:themeShade="A6"/>
          <w:sz w:val="40"/>
          <w:szCs w:val="40"/>
          <w:lang w:eastAsia="ja-JP"/>
        </w:rPr>
      </w:pPr>
      <w:r w:rsidRPr="009A5185">
        <w:rPr>
          <w:rFonts w:cs="Arial"/>
          <w:color w:val="A6A6A6" w:themeColor="background1" w:themeShade="A6"/>
        </w:rPr>
        <w:br w:type="page"/>
      </w:r>
    </w:p>
    <w:p w14:paraId="0FCE4A7A" w14:textId="77777777" w:rsidR="00920EF6" w:rsidRPr="009A5185" w:rsidRDefault="00920EF6" w:rsidP="0011459E">
      <w:pPr>
        <w:rPr>
          <w:b/>
          <w:i/>
        </w:rPr>
        <w:sectPr w:rsidR="00920EF6" w:rsidRPr="009A5185" w:rsidSect="00062F69">
          <w:headerReference w:type="default" r:id="rId407"/>
          <w:endnotePr>
            <w:numFmt w:val="decimal"/>
          </w:endnotePr>
          <w:type w:val="continuous"/>
          <w:pgSz w:w="12240" w:h="15840"/>
          <w:pgMar w:top="1080" w:right="1440" w:bottom="1080" w:left="1440" w:header="720" w:footer="720" w:gutter="0"/>
          <w:cols w:space="720"/>
          <w:docGrid w:linePitch="272"/>
        </w:sectPr>
      </w:pPr>
    </w:p>
    <w:p w14:paraId="780BDB8C" w14:textId="77777777" w:rsidR="00B86043" w:rsidRPr="009A5185" w:rsidRDefault="00B86043" w:rsidP="008D407F"/>
    <w:p w14:paraId="79F270A8" w14:textId="77777777" w:rsidR="005F497A" w:rsidRPr="009A5185" w:rsidRDefault="005F497A" w:rsidP="008D407F"/>
    <w:p w14:paraId="4C884CD5" w14:textId="77777777" w:rsidR="00F750C5" w:rsidRDefault="00F750C5" w:rsidP="00F750C5"/>
    <w:p w14:paraId="6E1BCC9F" w14:textId="77777777" w:rsidR="00BD7783" w:rsidRDefault="00BD7783" w:rsidP="00F750C5"/>
    <w:p w14:paraId="341D42DD" w14:textId="77777777" w:rsidR="00BD7783" w:rsidRDefault="00BD7783" w:rsidP="00F750C5"/>
    <w:p w14:paraId="0E957AD4" w14:textId="77777777" w:rsidR="00BD7783" w:rsidRDefault="00BD7783" w:rsidP="00F750C5"/>
    <w:p w14:paraId="69B9A79B" w14:textId="77777777" w:rsidR="00BD7783" w:rsidRDefault="00BD7783" w:rsidP="00F750C5"/>
    <w:p w14:paraId="010C25C3" w14:textId="77777777" w:rsidR="00BD7783" w:rsidRDefault="00BD7783" w:rsidP="00F750C5"/>
    <w:p w14:paraId="161EEAA5" w14:textId="77777777" w:rsidR="00BD7783" w:rsidRDefault="00BD7783" w:rsidP="00F750C5"/>
    <w:p w14:paraId="50FBBEBA" w14:textId="77777777" w:rsidR="00BD7783" w:rsidRDefault="00BD7783" w:rsidP="00F750C5"/>
    <w:p w14:paraId="37E16A18" w14:textId="77777777" w:rsidR="00BD7783" w:rsidRDefault="00BD7783" w:rsidP="00F750C5"/>
    <w:p w14:paraId="3ED64B32" w14:textId="77777777" w:rsidR="00BD7783" w:rsidRDefault="00BD7783" w:rsidP="00F750C5"/>
    <w:p w14:paraId="348AB303" w14:textId="77777777" w:rsidR="00BD7783" w:rsidRDefault="00BD7783" w:rsidP="00F750C5"/>
    <w:p w14:paraId="4DC46AE5" w14:textId="77777777" w:rsidR="00BD7783" w:rsidRDefault="00BD7783" w:rsidP="00F750C5"/>
    <w:p w14:paraId="3C12C951" w14:textId="77777777" w:rsidR="00BD7783" w:rsidRDefault="00BD7783" w:rsidP="00F750C5"/>
    <w:p w14:paraId="1FF78FB4" w14:textId="77777777" w:rsidR="00BD7783" w:rsidRDefault="00BD7783" w:rsidP="00F750C5"/>
    <w:p w14:paraId="20055A57" w14:textId="77777777" w:rsidR="00BD7783" w:rsidRDefault="00BD7783" w:rsidP="00F750C5"/>
    <w:p w14:paraId="5D6B153A" w14:textId="77777777" w:rsidR="00A040BA" w:rsidRDefault="00A040BA" w:rsidP="00F750C5"/>
    <w:p w14:paraId="37BCF3B0" w14:textId="77777777" w:rsidR="00A040BA" w:rsidRDefault="00A040BA" w:rsidP="00F750C5"/>
    <w:p w14:paraId="33DCB418" w14:textId="77777777" w:rsidR="00BD7783" w:rsidRDefault="00BD7783" w:rsidP="00F750C5"/>
    <w:p w14:paraId="144815F4" w14:textId="77777777" w:rsidR="00190DE5" w:rsidRPr="009A5185" w:rsidRDefault="004B7F4F" w:rsidP="00D32C75">
      <w:pPr>
        <w:pStyle w:val="SectionHeader"/>
      </w:pPr>
      <w:bookmarkStart w:id="622" w:name="_Toc225877806"/>
      <w:bookmarkStart w:id="623" w:name="Sec7"/>
      <w:r w:rsidRPr="009A5185">
        <w:t xml:space="preserve">SECTION 7: </w:t>
      </w:r>
      <w:r w:rsidR="005F497A" w:rsidRPr="009A5185">
        <w:t>MANAGING SERIOUS ERRORS</w:t>
      </w:r>
      <w:bookmarkEnd w:id="622"/>
    </w:p>
    <w:bookmarkEnd w:id="623"/>
    <w:p w14:paraId="2C7EF4B4" w14:textId="77777777" w:rsidR="005F497A" w:rsidRPr="009A5185" w:rsidRDefault="005F497A" w:rsidP="0002601E"/>
    <w:p w14:paraId="1D7E66AC" w14:textId="77777777" w:rsidR="005F497A" w:rsidRPr="009A5185" w:rsidRDefault="005F497A" w:rsidP="005F497A">
      <w:pPr>
        <w:rPr>
          <w:rFonts w:cs="Arial"/>
        </w:rPr>
      </w:pPr>
      <w:r w:rsidRPr="009A5185">
        <w:rPr>
          <w:rFonts w:cs="Arial"/>
        </w:rPr>
        <w:t xml:space="preserve">This section includes questions and reference information for Section </w:t>
      </w:r>
      <w:r w:rsidR="00C224E8" w:rsidRPr="009A5185">
        <w:rPr>
          <w:rFonts w:cs="Arial"/>
        </w:rPr>
        <w:t>7</w:t>
      </w:r>
      <w:r w:rsidR="004A4FD0" w:rsidRPr="009A5185">
        <w:rPr>
          <w:rFonts w:cs="Arial"/>
        </w:rPr>
        <w:t>:</w:t>
      </w:r>
      <w:r w:rsidR="00C224E8" w:rsidRPr="009A5185">
        <w:rPr>
          <w:rFonts w:cs="Arial"/>
        </w:rPr>
        <w:t xml:space="preserve"> Managing Serious Errors</w:t>
      </w:r>
      <w:r w:rsidRPr="009A5185">
        <w:rPr>
          <w:rFonts w:cs="Arial"/>
        </w:rPr>
        <w:t xml:space="preserve">. Please carefully review the questions, </w:t>
      </w:r>
      <w:r w:rsidR="00B94757" w:rsidRPr="009A5185">
        <w:rPr>
          <w:rFonts w:cs="Arial"/>
        </w:rPr>
        <w:t>endnotes</w:t>
      </w:r>
      <w:r w:rsidRPr="009A5185">
        <w:rPr>
          <w:rFonts w:cs="Arial"/>
        </w:rPr>
        <w:t>, and reference information (e.g.</w:t>
      </w:r>
      <w:r w:rsidR="004D6571" w:rsidRPr="009A5185">
        <w:rPr>
          <w:rFonts w:cs="Arial"/>
        </w:rPr>
        <w:t>,</w:t>
      </w:r>
      <w:r w:rsidRPr="009A5185">
        <w:rPr>
          <w:rFonts w:cs="Arial"/>
        </w:rPr>
        <w:t xml:space="preserve"> measure specifications, notes, and frequen</w:t>
      </w:r>
      <w:r w:rsidR="005471DC" w:rsidRPr="009A5185">
        <w:rPr>
          <w:rFonts w:cs="Arial"/>
        </w:rPr>
        <w:t>tl</w:t>
      </w:r>
      <w:r w:rsidRPr="009A5185">
        <w:rPr>
          <w:rFonts w:cs="Arial"/>
        </w:rPr>
        <w:t xml:space="preserve">y asked questions) before you begin. Failure to review the reference information could result in inaccurate responses. </w:t>
      </w:r>
    </w:p>
    <w:p w14:paraId="1535A0B0" w14:textId="77777777" w:rsidR="005F497A" w:rsidRPr="009A5185" w:rsidRDefault="005F497A" w:rsidP="0002601E"/>
    <w:p w14:paraId="45624F5D" w14:textId="77777777" w:rsidR="005F497A" w:rsidRPr="009A5185" w:rsidRDefault="005F497A" w:rsidP="0002601E"/>
    <w:p w14:paraId="678B6AF0" w14:textId="77777777" w:rsidR="005F497A" w:rsidRPr="009A5185" w:rsidRDefault="005F497A" w:rsidP="005F497A">
      <w:pPr>
        <w:rPr>
          <w:rFonts w:cs="Arial"/>
          <w:b/>
          <w:snapToGrid w:val="0"/>
          <w:sz w:val="40"/>
          <w:szCs w:val="40"/>
          <w:lang w:eastAsia="ja-JP"/>
        </w:rPr>
      </w:pPr>
      <w:r w:rsidRPr="009A5185">
        <w:rPr>
          <w:rFonts w:cs="Arial"/>
        </w:rPr>
        <w:br w:type="page"/>
      </w:r>
    </w:p>
    <w:p w14:paraId="6A927651" w14:textId="0D3AA0CD" w:rsidR="008910AA" w:rsidRPr="009A5185" w:rsidRDefault="00ED60CE" w:rsidP="00CF5A6E">
      <w:pPr>
        <w:pStyle w:val="Heading2"/>
      </w:pPr>
      <w:bookmarkStart w:id="624" w:name="_Section_7:_Managing"/>
      <w:bookmarkStart w:id="625" w:name="_Toc225877807"/>
      <w:bookmarkEnd w:id="624"/>
      <w:r w:rsidRPr="009A5185">
        <w:t>Section 7:</w:t>
      </w:r>
      <w:r w:rsidR="008910AA" w:rsidRPr="009A5185">
        <w:t xml:space="preserve"> Managing Serious Errors</w:t>
      </w:r>
      <w:bookmarkEnd w:id="625"/>
    </w:p>
    <w:p w14:paraId="0FD1E84E" w14:textId="77777777" w:rsidR="00EF7CC9" w:rsidRPr="009A5185" w:rsidRDefault="00EF7CC9">
      <w:pPr>
        <w:pStyle w:val="BodyText3"/>
        <w:rPr>
          <w:rFonts w:cs="Arial"/>
          <w:b/>
        </w:rPr>
      </w:pPr>
    </w:p>
    <w:p w14:paraId="2493575C" w14:textId="6C1058FB" w:rsidR="00652583" w:rsidRDefault="00BA20DA">
      <w:pPr>
        <w:pStyle w:val="BodyText3"/>
      </w:pPr>
      <w:r>
        <w:rPr>
          <w:rFonts w:cs="Arial"/>
          <w:b/>
        </w:rPr>
        <w:t>Never Events</w:t>
      </w:r>
      <w:r w:rsidR="000C3BE1" w:rsidRPr="009A5185">
        <w:rPr>
          <w:rFonts w:cs="Arial"/>
          <w:b/>
        </w:rPr>
        <w:t xml:space="preserve"> Fact Sheet:</w:t>
      </w:r>
      <w:r w:rsidR="00E03E77" w:rsidRPr="009A5185">
        <w:rPr>
          <w:rFonts w:cs="Arial"/>
          <w:b/>
        </w:rPr>
        <w:t xml:space="preserve"> </w:t>
      </w:r>
      <w:hyperlink r:id="rId408" w:history="1">
        <w:r w:rsidR="000E5DB2" w:rsidRPr="00A2752F">
          <w:rPr>
            <w:rStyle w:val="Hyperlink"/>
          </w:rPr>
          <w:t>https://ratings.leapfroggroup.org/measure/hospital/2026/responding-never-events</w:t>
        </w:r>
      </w:hyperlink>
    </w:p>
    <w:p w14:paraId="38CA3846" w14:textId="77777777" w:rsidR="000E5DB2" w:rsidRDefault="000E5DB2">
      <w:pPr>
        <w:pStyle w:val="BodyText3"/>
        <w:rPr>
          <w:rFonts w:cs="Arial"/>
          <w:snapToGrid w:val="0"/>
        </w:rPr>
      </w:pPr>
    </w:p>
    <w:p w14:paraId="38B72920" w14:textId="4597E47F" w:rsidR="00174828" w:rsidRPr="00EB6A1E" w:rsidRDefault="00652583">
      <w:pPr>
        <w:pStyle w:val="BodyText3"/>
        <w:rPr>
          <w:rFonts w:cs="Arial"/>
        </w:rPr>
      </w:pPr>
      <w:r w:rsidRPr="009A5185">
        <w:rPr>
          <w:rFonts w:cs="Arial"/>
          <w:snapToGrid w:val="0"/>
        </w:rPr>
        <w:t xml:space="preserve">Section 7 includes questions about your hospital’s response to </w:t>
      </w:r>
      <w:r w:rsidRPr="009A5185">
        <w:rPr>
          <w:rFonts w:cs="Arial"/>
        </w:rPr>
        <w:t xml:space="preserve">Never Events. In addition, Leapfrog collects information via its NHSN Group about five healthcare-associated infections (CLABSI, CAUTI, MRSA, </w:t>
      </w:r>
      <w:r w:rsidRPr="00CA12B2">
        <w:rPr>
          <w:rFonts w:cs="Arial"/>
          <w:i/>
          <w:snapToGrid w:val="0"/>
        </w:rPr>
        <w:t xml:space="preserve">C. </w:t>
      </w:r>
      <w:r w:rsidR="00756D15">
        <w:rPr>
          <w:rFonts w:cs="Arial"/>
          <w:i/>
          <w:snapToGrid w:val="0"/>
        </w:rPr>
        <w:t>d</w:t>
      </w:r>
      <w:r w:rsidRPr="00CA12B2">
        <w:rPr>
          <w:rFonts w:cs="Arial"/>
          <w:i/>
          <w:snapToGrid w:val="0"/>
        </w:rPr>
        <w:t>iff.</w:t>
      </w:r>
      <w:r w:rsidRPr="009A5185">
        <w:rPr>
          <w:rFonts w:cs="Arial"/>
        </w:rPr>
        <w:t>, and SSI</w:t>
      </w:r>
      <w:r>
        <w:rPr>
          <w:rFonts w:cs="Arial"/>
        </w:rPr>
        <w:t>:</w:t>
      </w:r>
      <w:r w:rsidRPr="009A5185">
        <w:rPr>
          <w:rFonts w:cs="Arial"/>
        </w:rPr>
        <w:t xml:space="preserve"> Colon)</w:t>
      </w:r>
      <w:r>
        <w:rPr>
          <w:rFonts w:cs="Arial"/>
        </w:rPr>
        <w:t xml:space="preserve">. </w:t>
      </w:r>
      <w:r w:rsidRPr="009A5185">
        <w:rPr>
          <w:rFonts w:cs="Arial"/>
        </w:rPr>
        <w:t>Hospitals reporting on Section 7B</w:t>
      </w:r>
      <w:r>
        <w:rPr>
          <w:rFonts w:cs="Arial"/>
        </w:rPr>
        <w:t>:</w:t>
      </w:r>
      <w:r w:rsidRPr="009A5185">
        <w:rPr>
          <w:rFonts w:cs="Arial"/>
        </w:rPr>
        <w:t xml:space="preserve"> </w:t>
      </w:r>
      <w:r w:rsidRPr="00EB6A1E">
        <w:rPr>
          <w:rFonts w:cs="Arial"/>
        </w:rPr>
        <w:t xml:space="preserve">Healthcare-Associated Infections are required to join Leapfrog’s NHSN Group. Important information and deadlines are available on the </w:t>
      </w:r>
      <w:r w:rsidR="00EB6A1E" w:rsidRPr="00EB6A1E">
        <w:rPr>
          <w:rFonts w:cs="Arial"/>
          <w:i/>
          <w:snapToGrid w:val="0"/>
        </w:rPr>
        <w:t>Review NHSN Instructions</w:t>
      </w:r>
      <w:hyperlink r:id="rId409" w:history="1">
        <w:r w:rsidR="00EB6A1E" w:rsidRPr="00EB6A1E">
          <w:rPr>
            <w:rStyle w:val="Hyperlink"/>
            <w:rFonts w:cs="Arial"/>
            <w:i/>
            <w:snapToGrid w:val="0"/>
          </w:rPr>
          <w:t xml:space="preserve"> webpage</w:t>
        </w:r>
      </w:hyperlink>
      <w:r w:rsidR="00EB6A1E" w:rsidRPr="00EB6A1E">
        <w:rPr>
          <w:i/>
        </w:rPr>
        <w:t>.</w:t>
      </w:r>
    </w:p>
    <w:p w14:paraId="2AECF5B3" w14:textId="77777777" w:rsidR="00652583" w:rsidRPr="00EB6A1E" w:rsidRDefault="00652583">
      <w:pPr>
        <w:pStyle w:val="BodyText3"/>
        <w:rPr>
          <w:rFonts w:cs="Arial"/>
          <w:b/>
        </w:rPr>
      </w:pPr>
    </w:p>
    <w:p w14:paraId="6743CF84" w14:textId="33979945" w:rsidR="00E645BE" w:rsidRDefault="00E645BE">
      <w:pPr>
        <w:pStyle w:val="BodyText3"/>
        <w:rPr>
          <w:rFonts w:cs="Arial"/>
          <w:b/>
        </w:rPr>
      </w:pPr>
      <w:r w:rsidRPr="009A5185">
        <w:rPr>
          <w:rFonts w:cs="Arial"/>
          <w:b/>
        </w:rPr>
        <w:t xml:space="preserve">Each hospital </w:t>
      </w:r>
      <w:r>
        <w:rPr>
          <w:rFonts w:cs="Arial"/>
          <w:b/>
        </w:rPr>
        <w:t>achieving</w:t>
      </w:r>
      <w:r w:rsidRPr="009A5185">
        <w:rPr>
          <w:rFonts w:cs="Arial"/>
          <w:b/>
        </w:rPr>
        <w:t xml:space="preserve"> th</w:t>
      </w:r>
      <w:r>
        <w:rPr>
          <w:rFonts w:cs="Arial"/>
          <w:b/>
        </w:rPr>
        <w:t>e</w:t>
      </w:r>
      <w:r w:rsidRPr="009A5185">
        <w:rPr>
          <w:rFonts w:cs="Arial"/>
          <w:b/>
        </w:rPr>
        <w:t xml:space="preserve"> standard</w:t>
      </w:r>
      <w:r>
        <w:rPr>
          <w:rFonts w:cs="Arial"/>
          <w:b/>
        </w:rPr>
        <w:t xml:space="preserve"> for Never Events</w:t>
      </w:r>
      <w:r w:rsidR="003D1441">
        <w:rPr>
          <w:rFonts w:cs="Arial"/>
          <w:b/>
        </w:rPr>
        <w:t>:</w:t>
      </w:r>
    </w:p>
    <w:p w14:paraId="109966A6" w14:textId="78A16ED1" w:rsidR="00E645BE" w:rsidRPr="00E645BE" w:rsidRDefault="00E645BE" w:rsidP="00E645BE">
      <w:pPr>
        <w:pStyle w:val="BodyText3"/>
        <w:spacing w:line="276" w:lineRule="auto"/>
        <w:rPr>
          <w:rFonts w:cs="Arial"/>
        </w:rPr>
      </w:pPr>
      <w:r w:rsidRPr="009A5185">
        <w:rPr>
          <w:rFonts w:cs="Arial"/>
        </w:rPr>
        <w:t xml:space="preserve">Has a policy that includes the nine principles of Leapfrog’s Never Events policy and will implement this policy if a “never event” occurs within their </w:t>
      </w:r>
      <w:r>
        <w:rPr>
          <w:rFonts w:cs="Arial"/>
        </w:rPr>
        <w:t>hospital</w:t>
      </w:r>
      <w:r w:rsidRPr="009A5185">
        <w:rPr>
          <w:rFonts w:cs="Arial"/>
        </w:rPr>
        <w:t>.</w:t>
      </w:r>
    </w:p>
    <w:p w14:paraId="4F87141B" w14:textId="77777777" w:rsidR="00E645BE" w:rsidRDefault="00E645BE">
      <w:pPr>
        <w:pStyle w:val="BodyText3"/>
        <w:rPr>
          <w:rFonts w:cs="Arial"/>
          <w:b/>
        </w:rPr>
      </w:pPr>
    </w:p>
    <w:p w14:paraId="3A584932" w14:textId="6EA715D9" w:rsidR="008910AA" w:rsidRPr="00E645BE" w:rsidRDefault="008910AA">
      <w:pPr>
        <w:pStyle w:val="BodyText3"/>
        <w:rPr>
          <w:rFonts w:cs="Arial"/>
          <w:b/>
        </w:rPr>
      </w:pPr>
      <w:r w:rsidRPr="009A5185">
        <w:rPr>
          <w:rFonts w:cs="Arial"/>
          <w:b/>
        </w:rPr>
        <w:t xml:space="preserve">Each hospital </w:t>
      </w:r>
      <w:r w:rsidR="00F20FF5">
        <w:rPr>
          <w:rFonts w:cs="Arial"/>
          <w:b/>
        </w:rPr>
        <w:t>achieving</w:t>
      </w:r>
      <w:r w:rsidR="00F20FF5" w:rsidRPr="009A5185">
        <w:rPr>
          <w:rFonts w:cs="Arial"/>
          <w:b/>
        </w:rPr>
        <w:t xml:space="preserve"> th</w:t>
      </w:r>
      <w:r w:rsidR="00F20FF5">
        <w:rPr>
          <w:rFonts w:cs="Arial"/>
          <w:b/>
        </w:rPr>
        <w:t>e</w:t>
      </w:r>
      <w:r w:rsidR="00F20FF5" w:rsidRPr="009A5185">
        <w:rPr>
          <w:rFonts w:cs="Arial"/>
          <w:b/>
        </w:rPr>
        <w:t xml:space="preserve"> standard</w:t>
      </w:r>
      <w:r w:rsidR="00C663E4">
        <w:rPr>
          <w:rFonts w:cs="Arial"/>
          <w:b/>
        </w:rPr>
        <w:t>s</w:t>
      </w:r>
      <w:r w:rsidRPr="009A5185">
        <w:rPr>
          <w:rFonts w:cs="Arial"/>
          <w:b/>
        </w:rPr>
        <w:t xml:space="preserve"> </w:t>
      </w:r>
      <w:r w:rsidR="00E645BE">
        <w:rPr>
          <w:rFonts w:cs="Arial"/>
          <w:b/>
        </w:rPr>
        <w:t xml:space="preserve">for </w:t>
      </w:r>
      <w:r w:rsidR="00E645BE" w:rsidRPr="00E645BE">
        <w:rPr>
          <w:rFonts w:cs="Arial"/>
          <w:b/>
        </w:rPr>
        <w:t>Healthcare-Associated Infections</w:t>
      </w:r>
      <w:r w:rsidR="00693D1C">
        <w:rPr>
          <w:rFonts w:cs="Arial"/>
          <w:b/>
        </w:rPr>
        <w:t xml:space="preserve"> (2015 Baseline Used for the June and August NHSN Downloads)</w:t>
      </w:r>
      <w:r w:rsidR="00A75CD9">
        <w:rPr>
          <w:rFonts w:cs="Arial"/>
          <w:b/>
        </w:rPr>
        <w:t xml:space="preserve">: </w:t>
      </w:r>
    </w:p>
    <w:p w14:paraId="1800B438" w14:textId="0692D74A" w:rsidR="00972C2D" w:rsidRPr="005D4733" w:rsidRDefault="008910AA" w:rsidP="00AD309C">
      <w:pPr>
        <w:pStyle w:val="BodyText3"/>
        <w:numPr>
          <w:ilvl w:val="0"/>
          <w:numId w:val="11"/>
        </w:numPr>
        <w:spacing w:line="276" w:lineRule="auto"/>
        <w:rPr>
          <w:rFonts w:cs="Arial"/>
        </w:rPr>
      </w:pPr>
      <w:r w:rsidRPr="009A5185">
        <w:rPr>
          <w:rFonts w:cs="Arial"/>
        </w:rPr>
        <w:t xml:space="preserve">Has a </w:t>
      </w:r>
      <w:r w:rsidR="001354B2" w:rsidRPr="009A5185">
        <w:rPr>
          <w:rFonts w:cs="Arial"/>
        </w:rPr>
        <w:t xml:space="preserve">CLABSI </w:t>
      </w:r>
      <w:r w:rsidR="00A75E87" w:rsidRPr="009A5185">
        <w:rPr>
          <w:rFonts w:cs="Arial"/>
        </w:rPr>
        <w:t xml:space="preserve">standardized infection ratio </w:t>
      </w:r>
      <w:r w:rsidRPr="009A5185">
        <w:rPr>
          <w:rFonts w:cs="Arial"/>
        </w:rPr>
        <w:t xml:space="preserve">of </w:t>
      </w:r>
      <w:r w:rsidR="00F26C79" w:rsidRPr="009A5185">
        <w:rPr>
          <w:rFonts w:cs="Arial"/>
        </w:rPr>
        <w:t>less than or equal to 0.</w:t>
      </w:r>
      <w:r w:rsidR="00BD7397" w:rsidRPr="009A5185">
        <w:rPr>
          <w:rFonts w:cs="Arial"/>
        </w:rPr>
        <w:t>413</w:t>
      </w:r>
      <w:r w:rsidR="004F49DA">
        <w:rPr>
          <w:rFonts w:cs="Arial"/>
        </w:rPr>
        <w:t>*</w:t>
      </w:r>
      <w:r w:rsidR="00BD7397" w:rsidRPr="009A5185">
        <w:rPr>
          <w:rFonts w:cs="Arial"/>
        </w:rPr>
        <w:t xml:space="preserve"> </w:t>
      </w:r>
      <w:r w:rsidR="00E97757" w:rsidRPr="009A5185">
        <w:rPr>
          <w:rFonts w:cs="Arial"/>
        </w:rPr>
        <w:t xml:space="preserve">for </w:t>
      </w:r>
      <w:r w:rsidR="00F26C79" w:rsidRPr="009A5185">
        <w:rPr>
          <w:rFonts w:cs="Arial"/>
        </w:rPr>
        <w:t>ICU and select ward</w:t>
      </w:r>
      <w:r w:rsidR="00E97757" w:rsidRPr="009A5185">
        <w:rPr>
          <w:rFonts w:cs="Arial"/>
        </w:rPr>
        <w:t xml:space="preserve"> inpatients</w:t>
      </w:r>
      <w:r w:rsidR="00C80178" w:rsidRPr="009A5185">
        <w:rPr>
          <w:rFonts w:cs="Arial"/>
        </w:rPr>
        <w:t>.</w:t>
      </w:r>
    </w:p>
    <w:p w14:paraId="3BA2C51E" w14:textId="7A59B901" w:rsidR="00EE1B88" w:rsidRPr="005D4733" w:rsidRDefault="00972C2D" w:rsidP="00AD309C">
      <w:pPr>
        <w:pStyle w:val="ListParagraph"/>
        <w:numPr>
          <w:ilvl w:val="0"/>
          <w:numId w:val="11"/>
        </w:numPr>
        <w:spacing w:line="276" w:lineRule="auto"/>
        <w:rPr>
          <w:rFonts w:cs="Arial"/>
        </w:rPr>
      </w:pPr>
      <w:r w:rsidRPr="009A5185">
        <w:rPr>
          <w:rFonts w:cs="Arial"/>
        </w:rPr>
        <w:t xml:space="preserve">Has a </w:t>
      </w:r>
      <w:r w:rsidR="001354B2" w:rsidRPr="009A5185">
        <w:rPr>
          <w:rFonts w:cs="Arial"/>
        </w:rPr>
        <w:t xml:space="preserve">CAUTI </w:t>
      </w:r>
      <w:r w:rsidRPr="009A5185">
        <w:rPr>
          <w:rFonts w:cs="Arial"/>
        </w:rPr>
        <w:t>standardized in</w:t>
      </w:r>
      <w:r w:rsidR="00D23307" w:rsidRPr="009A5185">
        <w:rPr>
          <w:rFonts w:cs="Arial"/>
        </w:rPr>
        <w:t xml:space="preserve">fection ratio of less than </w:t>
      </w:r>
      <w:r w:rsidR="00F534DA" w:rsidRPr="009A5185">
        <w:rPr>
          <w:rFonts w:cs="Arial"/>
        </w:rPr>
        <w:t xml:space="preserve">or equal to </w:t>
      </w:r>
      <w:r w:rsidR="00F26C79" w:rsidRPr="009A5185">
        <w:rPr>
          <w:rFonts w:cs="Arial"/>
        </w:rPr>
        <w:t>0.</w:t>
      </w:r>
      <w:r w:rsidR="00BD7397" w:rsidRPr="009A5185">
        <w:rPr>
          <w:rFonts w:cs="Arial"/>
        </w:rPr>
        <w:t>427</w:t>
      </w:r>
      <w:r w:rsidR="004F49DA">
        <w:rPr>
          <w:rFonts w:cs="Arial"/>
        </w:rPr>
        <w:t>*</w:t>
      </w:r>
      <w:r w:rsidR="00E97757" w:rsidRPr="009A5185">
        <w:rPr>
          <w:rFonts w:cs="Arial"/>
        </w:rPr>
        <w:t xml:space="preserve"> for </w:t>
      </w:r>
      <w:r w:rsidR="00F26C79" w:rsidRPr="009A5185">
        <w:rPr>
          <w:rFonts w:cs="Arial"/>
        </w:rPr>
        <w:t xml:space="preserve">ICU and select ward </w:t>
      </w:r>
      <w:r w:rsidR="00E97757" w:rsidRPr="009A5185">
        <w:rPr>
          <w:rFonts w:cs="Arial"/>
        </w:rPr>
        <w:t>inpatients</w:t>
      </w:r>
      <w:r w:rsidR="00C80178" w:rsidRPr="009A5185">
        <w:rPr>
          <w:rFonts w:cs="Arial"/>
        </w:rPr>
        <w:t>.</w:t>
      </w:r>
    </w:p>
    <w:p w14:paraId="7D4243A3" w14:textId="355326F4" w:rsidR="00F534DA" w:rsidRPr="005D4733" w:rsidRDefault="00EE1B88" w:rsidP="00AD309C">
      <w:pPr>
        <w:pStyle w:val="ListParagraph"/>
        <w:numPr>
          <w:ilvl w:val="0"/>
          <w:numId w:val="11"/>
        </w:numPr>
        <w:spacing w:line="276" w:lineRule="auto"/>
        <w:rPr>
          <w:rFonts w:cs="Arial"/>
        </w:rPr>
      </w:pPr>
      <w:r w:rsidRPr="009A5185">
        <w:rPr>
          <w:rFonts w:cs="Arial"/>
        </w:rPr>
        <w:t xml:space="preserve">Has a MRSA standardized </w:t>
      </w:r>
      <w:r w:rsidR="00F534DA" w:rsidRPr="009A5185">
        <w:rPr>
          <w:rFonts w:cs="Arial"/>
        </w:rPr>
        <w:t>infection ratio of less than or equal to</w:t>
      </w:r>
      <w:r w:rsidR="00F26C79" w:rsidRPr="009A5185">
        <w:rPr>
          <w:rFonts w:cs="Arial"/>
        </w:rPr>
        <w:t xml:space="preserve"> 0.</w:t>
      </w:r>
      <w:r w:rsidR="00BD7397" w:rsidRPr="009A5185">
        <w:rPr>
          <w:rFonts w:cs="Arial"/>
        </w:rPr>
        <w:t>496</w:t>
      </w:r>
      <w:r w:rsidR="004F49DA">
        <w:rPr>
          <w:rFonts w:cs="Arial"/>
        </w:rPr>
        <w:t>*</w:t>
      </w:r>
      <w:r w:rsidR="00D902C9" w:rsidRPr="009A5185">
        <w:rPr>
          <w:rFonts w:cs="Arial"/>
        </w:rPr>
        <w:t xml:space="preserve"> for </w:t>
      </w:r>
      <w:r w:rsidR="00931DA1" w:rsidRPr="009A5185">
        <w:rPr>
          <w:rFonts w:cs="Arial"/>
        </w:rPr>
        <w:t>facility-wide inpatients.</w:t>
      </w:r>
    </w:p>
    <w:p w14:paraId="48E7FD08" w14:textId="2B409F24" w:rsidR="00F534DA" w:rsidRPr="005D4733" w:rsidRDefault="00FD25FE" w:rsidP="00AD309C">
      <w:pPr>
        <w:pStyle w:val="ListParagraph"/>
        <w:numPr>
          <w:ilvl w:val="0"/>
          <w:numId w:val="11"/>
        </w:numPr>
        <w:spacing w:line="276" w:lineRule="auto"/>
        <w:rPr>
          <w:rFonts w:cs="Arial"/>
        </w:rPr>
      </w:pPr>
      <w:r w:rsidRPr="009A5185">
        <w:rPr>
          <w:rFonts w:cs="Arial"/>
        </w:rPr>
        <w:t xml:space="preserve">Has a </w:t>
      </w:r>
      <w:r w:rsidRPr="009B095B">
        <w:rPr>
          <w:rFonts w:cs="Arial"/>
          <w:i/>
        </w:rPr>
        <w:t xml:space="preserve">C. </w:t>
      </w:r>
      <w:r w:rsidR="00756D15">
        <w:rPr>
          <w:rFonts w:cs="Arial"/>
          <w:i/>
        </w:rPr>
        <w:t>d</w:t>
      </w:r>
      <w:r w:rsidRPr="009B095B">
        <w:rPr>
          <w:rFonts w:cs="Arial"/>
          <w:i/>
        </w:rPr>
        <w:t>iff.</w:t>
      </w:r>
      <w:r w:rsidR="00F534DA" w:rsidRPr="009A5185">
        <w:rPr>
          <w:rFonts w:cs="Arial"/>
        </w:rPr>
        <w:t xml:space="preserve"> standardized infection ratio of less than or equal to</w:t>
      </w:r>
      <w:r w:rsidR="00F26C79" w:rsidRPr="009A5185">
        <w:rPr>
          <w:rFonts w:cs="Arial"/>
        </w:rPr>
        <w:t xml:space="preserve"> 0.</w:t>
      </w:r>
      <w:r w:rsidR="00BD7397" w:rsidRPr="009A5185">
        <w:rPr>
          <w:rFonts w:cs="Arial"/>
        </w:rPr>
        <w:t>621</w:t>
      </w:r>
      <w:r w:rsidR="004F49DA">
        <w:rPr>
          <w:rFonts w:cs="Arial"/>
        </w:rPr>
        <w:t>*</w:t>
      </w:r>
      <w:r w:rsidR="00931DA1" w:rsidRPr="009A5185">
        <w:rPr>
          <w:rFonts w:cs="Arial"/>
        </w:rPr>
        <w:t xml:space="preserve"> for facility-wide inpatients.</w:t>
      </w:r>
    </w:p>
    <w:p w14:paraId="06E2E4F7" w14:textId="66C0E42D" w:rsidR="00F534DA" w:rsidRPr="009A5185" w:rsidRDefault="00F534DA" w:rsidP="00AD309C">
      <w:pPr>
        <w:pStyle w:val="ListParagraph"/>
        <w:numPr>
          <w:ilvl w:val="0"/>
          <w:numId w:val="11"/>
        </w:numPr>
        <w:spacing w:line="276" w:lineRule="auto"/>
        <w:rPr>
          <w:rFonts w:cs="Arial"/>
        </w:rPr>
      </w:pPr>
      <w:r w:rsidRPr="009A5185">
        <w:rPr>
          <w:rFonts w:cs="Arial"/>
        </w:rPr>
        <w:t xml:space="preserve">Has </w:t>
      </w:r>
      <w:r w:rsidR="00084BFE" w:rsidRPr="009A5185">
        <w:rPr>
          <w:rFonts w:cs="Arial"/>
        </w:rPr>
        <w:t>an</w:t>
      </w:r>
      <w:r w:rsidRPr="009A5185">
        <w:rPr>
          <w:rFonts w:cs="Arial"/>
        </w:rPr>
        <w:t xml:space="preserve"> SSI</w:t>
      </w:r>
      <w:r w:rsidR="00D62974" w:rsidRPr="009A5185">
        <w:rPr>
          <w:rFonts w:cs="Arial"/>
        </w:rPr>
        <w:t>:</w:t>
      </w:r>
      <w:r w:rsidRPr="009A5185">
        <w:rPr>
          <w:rFonts w:cs="Arial"/>
        </w:rPr>
        <w:t xml:space="preserve"> Colon standardized infection ratio of less than or equal to </w:t>
      </w:r>
      <w:r w:rsidR="00F26C79" w:rsidRPr="009A5185">
        <w:rPr>
          <w:rFonts w:cs="Arial"/>
        </w:rPr>
        <w:t>0.</w:t>
      </w:r>
      <w:r w:rsidR="00BD7397" w:rsidRPr="009A5185">
        <w:rPr>
          <w:rFonts w:cs="Arial"/>
        </w:rPr>
        <w:t>349</w:t>
      </w:r>
      <w:r w:rsidR="004F49DA">
        <w:rPr>
          <w:rFonts w:cs="Arial"/>
        </w:rPr>
        <w:t>*</w:t>
      </w:r>
      <w:r w:rsidR="00931DA1" w:rsidRPr="009A5185">
        <w:rPr>
          <w:rFonts w:cs="Arial"/>
        </w:rPr>
        <w:t xml:space="preserve"> for inpatients following eligible colon procedures.</w:t>
      </w:r>
    </w:p>
    <w:p w14:paraId="321DD0F4" w14:textId="77777777" w:rsidR="0000761E" w:rsidRDefault="0000761E" w:rsidP="0000761E">
      <w:pPr>
        <w:rPr>
          <w:rFonts w:cs="Arial"/>
          <w:b/>
        </w:rPr>
      </w:pPr>
    </w:p>
    <w:p w14:paraId="206991B8" w14:textId="71C51E06" w:rsidR="0000761E" w:rsidRDefault="0000761E" w:rsidP="00694F51">
      <w:r w:rsidRPr="0000761E">
        <w:rPr>
          <w:rFonts w:cs="Arial"/>
          <w:b/>
        </w:rPr>
        <w:t xml:space="preserve">* </w:t>
      </w:r>
      <w:r w:rsidRPr="000850DD">
        <w:t>Once CMS begins calculating and publicly reporting HAI measures on Care Compare using the 2022 Baseline, Leapfrog will also transition to using data calculated with the 2022 Baseline</w:t>
      </w:r>
      <w:r>
        <w:t xml:space="preserve"> in a reasonable and feasible timeframe</w:t>
      </w:r>
      <w:r w:rsidRPr="000850DD">
        <w:t>.</w:t>
      </w:r>
      <w:r>
        <w:t xml:space="preserve"> Following the first download of data with the 2022 Baseline, Leapfrog will reestablish cut-points used for the performance categories in Section 7B:</w:t>
      </w:r>
      <w:r w:rsidRPr="00DE5DC3">
        <w:t xml:space="preserve"> Healthcare-Associated Infections (HAIs)</w:t>
      </w:r>
      <w:r>
        <w:t>.</w:t>
      </w:r>
    </w:p>
    <w:p w14:paraId="5DF85D7E" w14:textId="77777777" w:rsidR="00693D1C" w:rsidRDefault="00693D1C" w:rsidP="00694F51"/>
    <w:p w14:paraId="42DD4CEF" w14:textId="3D6A4449" w:rsidR="00693D1C" w:rsidRPr="00693D1C" w:rsidRDefault="00693D1C" w:rsidP="00693D1C">
      <w:pPr>
        <w:pStyle w:val="BodyText3"/>
        <w:rPr>
          <w:rFonts w:cs="Arial"/>
          <w:b/>
          <w:highlight w:val="yellow"/>
        </w:rPr>
      </w:pPr>
      <w:r w:rsidRPr="00693D1C">
        <w:rPr>
          <w:rFonts w:cs="Arial"/>
          <w:b/>
          <w:highlight w:val="yellow"/>
        </w:rPr>
        <w:t xml:space="preserve">Each hospital achieving the standards for Healthcare-Associated Infections (2022 Baseline Used for the October and December NHSN Downloads): </w:t>
      </w:r>
    </w:p>
    <w:p w14:paraId="17492FCA" w14:textId="343AF83B" w:rsidR="009D4EAF" w:rsidRDefault="00693D1C" w:rsidP="009D4EAF">
      <w:pPr>
        <w:rPr>
          <w:rFonts w:cs="Arial"/>
        </w:rPr>
      </w:pPr>
      <w:r>
        <w:rPr>
          <w:rFonts w:cs="Arial"/>
          <w:color w:val="000000"/>
          <w:highlight w:val="yellow"/>
          <w:lang w:eastAsia="ja-JP"/>
        </w:rPr>
        <w:t xml:space="preserve">Has a standardized infection ratio </w:t>
      </w:r>
      <w:r w:rsidR="005F2274" w:rsidRPr="005F2274">
        <w:rPr>
          <w:rFonts w:cs="Arial"/>
          <w:highlight w:val="yellow"/>
        </w:rPr>
        <w:t xml:space="preserve">less than or equal to 0.333 for the </w:t>
      </w:r>
      <w:r>
        <w:rPr>
          <w:rFonts w:cs="Arial"/>
          <w:highlight w:val="yellow"/>
        </w:rPr>
        <w:t>applicable HAI</w:t>
      </w:r>
      <w:r w:rsidR="005F2274" w:rsidRPr="005F2274">
        <w:rPr>
          <w:rFonts w:cs="Arial"/>
          <w:highlight w:val="yellow"/>
        </w:rPr>
        <w:t xml:space="preserve"> measure</w:t>
      </w:r>
      <w:r>
        <w:rPr>
          <w:rFonts w:cs="Arial"/>
          <w:highlight w:val="yellow"/>
        </w:rPr>
        <w:t xml:space="preserve"> (CLABSI, CAUTI, MRSA, </w:t>
      </w:r>
      <w:r>
        <w:rPr>
          <w:rFonts w:cs="Arial"/>
          <w:i/>
          <w:iCs/>
          <w:highlight w:val="yellow"/>
        </w:rPr>
        <w:t>C. diff</w:t>
      </w:r>
      <w:r>
        <w:rPr>
          <w:rFonts w:cs="Arial"/>
          <w:highlight w:val="yellow"/>
        </w:rPr>
        <w:t>, or SSI: Colon)</w:t>
      </w:r>
      <w:r w:rsidR="005F2274" w:rsidRPr="005F2274">
        <w:rPr>
          <w:rFonts w:cs="Arial"/>
          <w:highlight w:val="yellow"/>
        </w:rPr>
        <w:t>.</w:t>
      </w:r>
    </w:p>
    <w:p w14:paraId="7F57600E" w14:textId="77777777" w:rsidR="005F2274" w:rsidRPr="009A5185" w:rsidRDefault="005F2274" w:rsidP="009D4EAF">
      <w:pPr>
        <w:rPr>
          <w:rFonts w:cs="Arial"/>
          <w:b/>
        </w:rPr>
      </w:pPr>
    </w:p>
    <w:p w14:paraId="6DBB154C" w14:textId="6166CFE4" w:rsidR="0082085D" w:rsidRPr="009A5185" w:rsidRDefault="0082085D" w:rsidP="0082085D">
      <w:pPr>
        <w:rPr>
          <w:rFonts w:cs="Arial"/>
          <w:b/>
        </w:rPr>
      </w:pPr>
      <w:r w:rsidRPr="009A5185">
        <w:rPr>
          <w:rFonts w:cs="Arial"/>
          <w:b/>
        </w:rPr>
        <w:t xml:space="preserve">Download the </w:t>
      </w:r>
      <w:r w:rsidR="00A236B1">
        <w:rPr>
          <w:rFonts w:cs="Arial"/>
          <w:b/>
        </w:rPr>
        <w:t>202</w:t>
      </w:r>
      <w:r w:rsidR="006C0089">
        <w:rPr>
          <w:rFonts w:cs="Arial"/>
          <w:b/>
        </w:rPr>
        <w:t>6</w:t>
      </w:r>
      <w:r w:rsidRPr="009A5185">
        <w:rPr>
          <w:rFonts w:cs="Arial"/>
          <w:b/>
        </w:rPr>
        <w:t xml:space="preserve"> Leapfrog Hospital </w:t>
      </w:r>
      <w:r w:rsidR="00C14AFF" w:rsidRPr="009A5185">
        <w:rPr>
          <w:rFonts w:cs="Arial"/>
          <w:b/>
        </w:rPr>
        <w:t>Survey</w:t>
      </w:r>
      <w:r w:rsidRPr="009A5185">
        <w:rPr>
          <w:rFonts w:cs="Arial"/>
          <w:b/>
        </w:rPr>
        <w:t xml:space="preserve"> Scoring Algorithm on the </w:t>
      </w:r>
      <w:hyperlink r:id="rId410" w:history="1">
        <w:r w:rsidRPr="009A5185">
          <w:rPr>
            <w:rStyle w:val="Hyperlink"/>
            <w:rFonts w:cs="Arial"/>
            <w:b/>
          </w:rPr>
          <w:t>Scoring and Results webpage</w:t>
        </w:r>
      </w:hyperlink>
      <w:r w:rsidRPr="009A5185">
        <w:rPr>
          <w:rFonts w:cs="Arial"/>
          <w:b/>
        </w:rPr>
        <w:t>.</w:t>
      </w:r>
    </w:p>
    <w:p w14:paraId="12F5FF62" w14:textId="0253034F" w:rsidR="006922BB" w:rsidRDefault="006922BB" w:rsidP="009D4EAF">
      <w:pPr>
        <w:rPr>
          <w:rFonts w:cs="Arial"/>
        </w:rPr>
      </w:pPr>
    </w:p>
    <w:p w14:paraId="45B2A3B9" w14:textId="713FC89F" w:rsidR="006922BB" w:rsidRDefault="006922BB" w:rsidP="009D4EAF">
      <w:pPr>
        <w:rPr>
          <w:rFonts w:cs="Arial"/>
        </w:rPr>
      </w:pPr>
    </w:p>
    <w:p w14:paraId="3700797E" w14:textId="2841A8D2" w:rsidR="006922BB" w:rsidRDefault="006922BB" w:rsidP="009D4EAF">
      <w:pPr>
        <w:rPr>
          <w:rFonts w:cs="Arial"/>
        </w:rPr>
      </w:pPr>
    </w:p>
    <w:p w14:paraId="79F65627" w14:textId="7A541C83" w:rsidR="006922BB" w:rsidRDefault="006922BB" w:rsidP="009D4EAF">
      <w:pPr>
        <w:rPr>
          <w:rFonts w:cs="Arial"/>
        </w:rPr>
      </w:pPr>
    </w:p>
    <w:p w14:paraId="07D6C1A8" w14:textId="54D00B71" w:rsidR="006922BB" w:rsidRDefault="006922BB" w:rsidP="009D4EAF">
      <w:pPr>
        <w:rPr>
          <w:rFonts w:cs="Arial"/>
        </w:rPr>
      </w:pPr>
    </w:p>
    <w:p w14:paraId="4C53DDD8" w14:textId="4872819B" w:rsidR="006922BB" w:rsidRDefault="006922BB" w:rsidP="009D4EAF">
      <w:pPr>
        <w:rPr>
          <w:rFonts w:cs="Arial"/>
        </w:rPr>
      </w:pPr>
    </w:p>
    <w:p w14:paraId="6BE304DA" w14:textId="7F3E0E76" w:rsidR="006922BB" w:rsidRDefault="006922BB" w:rsidP="009D4EAF">
      <w:pPr>
        <w:rPr>
          <w:rFonts w:cs="Arial"/>
        </w:rPr>
      </w:pPr>
    </w:p>
    <w:p w14:paraId="0ABDBB08" w14:textId="2BBCE69E" w:rsidR="006922BB" w:rsidRDefault="006922BB" w:rsidP="009D4EAF">
      <w:pPr>
        <w:rPr>
          <w:rFonts w:cs="Arial"/>
        </w:rPr>
      </w:pPr>
    </w:p>
    <w:p w14:paraId="08E80488" w14:textId="480293AC" w:rsidR="006922BB" w:rsidRDefault="006922BB" w:rsidP="009D4EAF">
      <w:pPr>
        <w:rPr>
          <w:rFonts w:cs="Arial"/>
        </w:rPr>
      </w:pPr>
    </w:p>
    <w:p w14:paraId="25E80527" w14:textId="511A7093" w:rsidR="006922BB" w:rsidRDefault="006922BB" w:rsidP="009D4EAF">
      <w:pPr>
        <w:rPr>
          <w:rFonts w:cs="Arial"/>
        </w:rPr>
      </w:pPr>
    </w:p>
    <w:p w14:paraId="7E5D9536" w14:textId="67322257" w:rsidR="006922BB" w:rsidRDefault="006922BB" w:rsidP="009D4EAF">
      <w:pPr>
        <w:rPr>
          <w:rFonts w:cs="Arial"/>
        </w:rPr>
      </w:pPr>
    </w:p>
    <w:p w14:paraId="095C48D6" w14:textId="3462FC6E" w:rsidR="006922BB" w:rsidRDefault="006922BB" w:rsidP="009D4EAF">
      <w:pPr>
        <w:rPr>
          <w:rFonts w:cs="Arial"/>
        </w:rPr>
      </w:pPr>
    </w:p>
    <w:p w14:paraId="547AD4C3" w14:textId="07411DA7" w:rsidR="006922BB" w:rsidRDefault="006922BB" w:rsidP="009D4EAF">
      <w:pPr>
        <w:rPr>
          <w:rFonts w:cs="Arial"/>
        </w:rPr>
      </w:pPr>
    </w:p>
    <w:p w14:paraId="681B36DA" w14:textId="77144952" w:rsidR="006922BB" w:rsidRDefault="006922BB" w:rsidP="009D4EAF">
      <w:pPr>
        <w:rPr>
          <w:rFonts w:cs="Arial"/>
        </w:rPr>
      </w:pPr>
    </w:p>
    <w:p w14:paraId="604DBFDB" w14:textId="21C61225" w:rsidR="006922BB" w:rsidRDefault="006922BB" w:rsidP="009D4EAF">
      <w:pPr>
        <w:rPr>
          <w:rFonts w:cs="Arial"/>
        </w:rPr>
      </w:pPr>
    </w:p>
    <w:p w14:paraId="46B2EA43" w14:textId="58D1D77E" w:rsidR="006922BB" w:rsidRDefault="006922BB" w:rsidP="009D4EAF">
      <w:pPr>
        <w:rPr>
          <w:rFonts w:cs="Arial"/>
        </w:rPr>
      </w:pPr>
    </w:p>
    <w:p w14:paraId="0544DDBC" w14:textId="3DFB2A6C" w:rsidR="006922BB" w:rsidRDefault="006922BB" w:rsidP="009D4EAF">
      <w:pPr>
        <w:rPr>
          <w:rFonts w:cs="Arial"/>
        </w:rPr>
      </w:pPr>
    </w:p>
    <w:p w14:paraId="679742C1" w14:textId="30E8D7EE" w:rsidR="006922BB" w:rsidRDefault="006922BB" w:rsidP="009D4EAF">
      <w:pPr>
        <w:rPr>
          <w:rFonts w:cs="Arial"/>
        </w:rPr>
      </w:pPr>
    </w:p>
    <w:p w14:paraId="6FB09BED" w14:textId="655AC476" w:rsidR="006922BB" w:rsidRDefault="006922BB" w:rsidP="009D4EAF">
      <w:pPr>
        <w:rPr>
          <w:rFonts w:cs="Arial"/>
        </w:rPr>
      </w:pPr>
    </w:p>
    <w:p w14:paraId="662FDC53" w14:textId="552446D9" w:rsidR="006922BB" w:rsidRDefault="006922BB" w:rsidP="009D4EAF">
      <w:pPr>
        <w:rPr>
          <w:rFonts w:cs="Arial"/>
        </w:rPr>
      </w:pPr>
    </w:p>
    <w:p w14:paraId="6BBEE5D8" w14:textId="158488B5" w:rsidR="006922BB" w:rsidRDefault="006922BB" w:rsidP="009D4EAF">
      <w:pPr>
        <w:rPr>
          <w:rFonts w:cs="Arial"/>
        </w:rPr>
      </w:pPr>
    </w:p>
    <w:p w14:paraId="187D3756" w14:textId="16C09ED5" w:rsidR="006922BB" w:rsidRDefault="006922BB" w:rsidP="009D4EAF">
      <w:pPr>
        <w:rPr>
          <w:rFonts w:cs="Arial"/>
        </w:rPr>
      </w:pPr>
    </w:p>
    <w:p w14:paraId="211C195F" w14:textId="77777777" w:rsidR="00D41E0D" w:rsidRDefault="00D41E0D">
      <w:pPr>
        <w:rPr>
          <w:b/>
          <w:snapToGrid w:val="0"/>
          <w:sz w:val="28"/>
          <w:szCs w:val="24"/>
          <w:u w:val="single"/>
          <w:lang w:eastAsia="ja-JP"/>
        </w:rPr>
      </w:pPr>
      <w:r>
        <w:br w:type="page"/>
      </w:r>
    </w:p>
    <w:p w14:paraId="57572845" w14:textId="2E0555D3" w:rsidR="006922BB" w:rsidRDefault="006922BB" w:rsidP="00CF5A6E">
      <w:pPr>
        <w:pStyle w:val="Heading2"/>
      </w:pPr>
      <w:bookmarkStart w:id="626" w:name="_Toc225877808"/>
      <w:r>
        <w:t xml:space="preserve">7A: </w:t>
      </w:r>
      <w:r w:rsidRPr="006922BB">
        <w:t>Never Events</w:t>
      </w:r>
      <w:bookmarkEnd w:id="626"/>
    </w:p>
    <w:p w14:paraId="29AF3710" w14:textId="77777777" w:rsidR="006922BB" w:rsidRPr="00BE2BD0" w:rsidRDefault="006922BB" w:rsidP="006922BB">
      <w:pPr>
        <w:rPr>
          <w:rFonts w:cs="Arial"/>
          <w:snapToGrid w:val="0"/>
          <w:sz w:val="14"/>
          <w:szCs w:val="14"/>
        </w:rPr>
      </w:pPr>
    </w:p>
    <w:p w14:paraId="3F07ECCC" w14:textId="33C31DBA" w:rsidR="006922BB" w:rsidRPr="009A5185" w:rsidRDefault="006922BB" w:rsidP="006922BB">
      <w:pPr>
        <w:rPr>
          <w:rFonts w:cs="Arial"/>
        </w:rPr>
      </w:pPr>
      <w:r w:rsidRPr="009A5185">
        <w:rPr>
          <w:rFonts w:cs="Arial"/>
          <w:snapToGrid w:val="0"/>
        </w:rPr>
        <w:t xml:space="preserve">Hospitals that share a </w:t>
      </w:r>
      <w:r>
        <w:rPr>
          <w:rFonts w:cs="Arial"/>
          <w:snapToGrid w:val="0"/>
        </w:rPr>
        <w:t>CMS Certification Number</w:t>
      </w:r>
      <w:r w:rsidRPr="009A5185">
        <w:rPr>
          <w:rFonts w:cs="Arial"/>
          <w:snapToGrid w:val="0"/>
        </w:rPr>
        <w:t xml:space="preserve"> are required to report by facility. Please carefully review </w:t>
      </w:r>
      <w:hyperlink r:id="rId411" w:history="1">
        <w:r w:rsidRPr="009A5185">
          <w:rPr>
            <w:rStyle w:val="Hyperlink"/>
            <w:rFonts w:cs="Arial"/>
            <w:snapToGrid w:val="0"/>
          </w:rPr>
          <w:t>Leapfrog’s Multi-Campus Reporting Policy</w:t>
        </w:r>
      </w:hyperlink>
      <w:r w:rsidRPr="009A5185">
        <w:rPr>
          <w:rFonts w:cs="Arial"/>
          <w:snapToGrid w:val="0"/>
        </w:rPr>
        <w:t>.</w:t>
      </w:r>
    </w:p>
    <w:p w14:paraId="2E1421A8" w14:textId="77777777" w:rsidR="006922BB" w:rsidRPr="007A420B" w:rsidRDefault="006922BB" w:rsidP="006922BB">
      <w:pPr>
        <w:pStyle w:val="EndnoteText"/>
        <w:rPr>
          <w:rFonts w:cs="Arial"/>
          <w:b/>
          <w:snapToGrid w:val="0"/>
          <w:sz w:val="14"/>
          <w:szCs w:val="14"/>
        </w:rPr>
      </w:pPr>
    </w:p>
    <w:p w14:paraId="435892DA" w14:textId="7C4B3C37" w:rsidR="006922BB" w:rsidRDefault="006922BB" w:rsidP="006922BB">
      <w:pPr>
        <w:pStyle w:val="EndnoteText"/>
      </w:pPr>
      <w:r w:rsidRPr="00690C11">
        <w:rPr>
          <w:rFonts w:cs="Arial"/>
          <w:b/>
          <w:snapToGrid w:val="0"/>
          <w:color w:val="FF0000"/>
        </w:rPr>
        <w:t xml:space="preserve">Important Note: </w:t>
      </w:r>
      <w:r w:rsidR="00D31F3B" w:rsidRPr="00D31F3B">
        <w:rPr>
          <w:rFonts w:cs="Arial"/>
        </w:rPr>
        <w:t xml:space="preserve">To earn credit for these questions, hospitals must have a policy in place that addresses the National Quality Forum’s list of Serious Reportable </w:t>
      </w:r>
      <w:r w:rsidR="00606A90">
        <w:rPr>
          <w:rFonts w:cs="Arial"/>
        </w:rPr>
        <w:t>Events</w:t>
      </w:r>
      <w:r w:rsidR="00D31F3B" w:rsidRPr="00D31F3B">
        <w:rPr>
          <w:rFonts w:cs="Arial"/>
        </w:rPr>
        <w:t xml:space="preserve">. All references to “never event” or “serious reportable event” </w:t>
      </w:r>
      <w:r w:rsidR="005F6A83">
        <w:rPr>
          <w:rFonts w:cs="Arial"/>
        </w:rPr>
        <w:t>are specific</w:t>
      </w:r>
      <w:r w:rsidR="00D31F3B" w:rsidRPr="00D31F3B">
        <w:rPr>
          <w:rFonts w:cs="Arial"/>
        </w:rPr>
        <w:t xml:space="preserve"> to the National Quality Forum list available at </w:t>
      </w:r>
      <w:hyperlink r:id="rId412" w:history="1">
        <w:r w:rsidR="005F57C5" w:rsidRPr="00D95C78">
          <w:rPr>
            <w:rStyle w:val="Hyperlink"/>
            <w:rFonts w:cs="Arial"/>
          </w:rPr>
          <w:t>https://digitalassets.jointcommission.org/api/public/content/4534bbaaee4f4bd280c2054765f37f4b?v=a60f8f9a</w:t>
        </w:r>
      </w:hyperlink>
      <w:r w:rsidR="005F57C5">
        <w:rPr>
          <w:rFonts w:cs="Arial"/>
        </w:rPr>
        <w:t xml:space="preserve">. </w:t>
      </w:r>
    </w:p>
    <w:p w14:paraId="7A6A2144" w14:textId="77777777" w:rsidR="005F6A83" w:rsidRPr="007A420B" w:rsidRDefault="005F6A83" w:rsidP="006922BB">
      <w:pPr>
        <w:pStyle w:val="EndnoteText"/>
        <w:rPr>
          <w:rFonts w:cs="Arial"/>
          <w:sz w:val="14"/>
          <w:szCs w:val="14"/>
        </w:rPr>
      </w:pPr>
    </w:p>
    <w:p w14:paraId="38068A51" w14:textId="77777777" w:rsidR="006922BB" w:rsidRDefault="006922BB" w:rsidP="006922BB">
      <w:pPr>
        <w:pStyle w:val="EndnoteText"/>
        <w:rPr>
          <w:rFonts w:cs="Arial"/>
        </w:rPr>
      </w:pPr>
      <w:r>
        <w:rPr>
          <w:noProof/>
        </w:rPr>
        <mc:AlternateContent>
          <mc:Choice Requires="wps">
            <w:drawing>
              <wp:inline distT="0" distB="0" distL="0" distR="0" wp14:anchorId="4A7747AC" wp14:editId="1D0D15E5">
                <wp:extent cx="5924550" cy="1133475"/>
                <wp:effectExtent l="0" t="0" r="19050" b="28575"/>
                <wp:docPr id="11" name="Text Box 11" descr="P9963TB28#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1133475"/>
                        </a:xfrm>
                        <a:prstGeom prst="rect">
                          <a:avLst/>
                        </a:prstGeom>
                        <a:solidFill>
                          <a:srgbClr val="FFFFFF"/>
                        </a:solidFill>
                        <a:ln w="9525">
                          <a:solidFill>
                            <a:srgbClr val="FF0000"/>
                          </a:solidFill>
                          <a:miter lim="800000"/>
                          <a:headEnd/>
                          <a:tailEnd/>
                        </a:ln>
                      </wps:spPr>
                      <wps:txbx>
                        <w:txbxContent>
                          <w:p w14:paraId="45B1B4E0" w14:textId="5302DBAF" w:rsidR="003529A4" w:rsidRDefault="006922BB" w:rsidP="006922BB">
                            <w:pPr>
                              <w:rPr>
                                <w:bCs/>
                              </w:rPr>
                            </w:pPr>
                            <w:r w:rsidRPr="000F3A53">
                              <w:rPr>
                                <w:b/>
                              </w:rPr>
                              <w:t>Reporting Period:</w:t>
                            </w:r>
                            <w:r w:rsidRPr="000F3A53">
                              <w:rPr>
                                <w:bCs/>
                              </w:rPr>
                              <w:t xml:space="preserve"> </w:t>
                            </w:r>
                          </w:p>
                          <w:p w14:paraId="095D4740" w14:textId="2518DBB7" w:rsidR="006922BB" w:rsidRPr="000F3A53" w:rsidRDefault="006922BB" w:rsidP="006922BB">
                            <w:pPr>
                              <w:rPr>
                                <w:bCs/>
                              </w:rPr>
                            </w:pPr>
                            <w:r w:rsidRPr="000F3A53">
                              <w:rPr>
                                <w:bCs/>
                              </w:rPr>
                              <w:t>Answer questions #1-9 based on the principles currently included in your hospital’s never events policy at the time you submit this section of the Survey.</w:t>
                            </w:r>
                          </w:p>
                          <w:p w14:paraId="5A83076A" w14:textId="77777777" w:rsidR="006922BB" w:rsidRPr="00CE5AC0" w:rsidRDefault="006922BB" w:rsidP="006922BB">
                            <w:pPr>
                              <w:rPr>
                                <w:bCs/>
                                <w:sz w:val="16"/>
                                <w:szCs w:val="16"/>
                              </w:rPr>
                            </w:pPr>
                          </w:p>
                          <w:p w14:paraId="6FC04AF1" w14:textId="77777777" w:rsidR="006922BB" w:rsidRPr="00B012F9" w:rsidRDefault="006922BB" w:rsidP="006922BB">
                            <w:pPr>
                              <w:rPr>
                                <w:rFonts w:cs="Arial"/>
                                <w:bCs/>
                                <w:snapToGrid w:val="0"/>
                                <w:sz w:val="16"/>
                                <w:szCs w:val="16"/>
                              </w:rPr>
                            </w:pPr>
                            <w:r w:rsidRPr="006547C0">
                              <w:rPr>
                                <w:rFonts w:cs="Arial"/>
                                <w:sz w:val="16"/>
                                <w:szCs w:val="16"/>
                              </w:rPr>
                              <w:t xml:space="preserve">Note: As a reminder, the </w:t>
                            </w:r>
                            <w:hyperlink r:id="rId413" w:history="1">
                              <w:r w:rsidRPr="006547C0">
                                <w:rPr>
                                  <w:rStyle w:val="Hyperlink"/>
                                  <w:rFonts w:cs="Arial"/>
                                  <w:sz w:val="16"/>
                                  <w:szCs w:val="16"/>
                                </w:rPr>
                                <w:t>Corrections Period</w:t>
                              </w:r>
                            </w:hyperlink>
                            <w:r w:rsidRPr="006547C0">
                              <w:rPr>
                                <w:rFonts w:cs="Arial"/>
                                <w:sz w:val="16"/>
                                <w:szCs w:val="16"/>
                              </w:rPr>
                              <w:t xml:space="preserve"> </w:t>
                            </w:r>
                            <w:r w:rsidRPr="00E65E68">
                              <w:rPr>
                                <w:rFonts w:cs="Arial"/>
                                <w:sz w:val="16"/>
                                <w:szCs w:val="16"/>
                              </w:rPr>
                              <w:t>(</w:t>
                            </w:r>
                            <w:r>
                              <w:rPr>
                                <w:rFonts w:cs="Arial"/>
                                <w:sz w:val="16"/>
                                <w:szCs w:val="16"/>
                              </w:rPr>
                              <w:t>December</w:t>
                            </w:r>
                            <w:r w:rsidRPr="00E65E68">
                              <w:rPr>
                                <w:rFonts w:cs="Arial"/>
                                <w:sz w:val="16"/>
                                <w:szCs w:val="16"/>
                              </w:rPr>
                              <w:t xml:space="preserve"> 1-January 31) is reserved for corrections to previously submitted Surveys only. </w:t>
                            </w:r>
                            <w:r w:rsidRPr="00E65E68">
                              <w:rPr>
                                <w:rFonts w:cs="Arial"/>
                                <w:bCs/>
                                <w:snapToGrid w:val="0"/>
                                <w:sz w:val="16"/>
                                <w:szCs w:val="16"/>
                              </w:rPr>
                              <w:t xml:space="preserve">Any updates made to reflect a change in performance must be made prior to the </w:t>
                            </w:r>
                            <w:r>
                              <w:rPr>
                                <w:rFonts w:cs="Arial"/>
                                <w:bCs/>
                                <w:snapToGrid w:val="0"/>
                                <w:sz w:val="16"/>
                                <w:szCs w:val="16"/>
                              </w:rPr>
                              <w:t>November 30</w:t>
                            </w:r>
                            <w:r w:rsidRPr="00E65E68">
                              <w:rPr>
                                <w:rFonts w:cs="Arial"/>
                                <w:bCs/>
                                <w:snapToGrid w:val="0"/>
                                <w:sz w:val="16"/>
                                <w:szCs w:val="16"/>
                              </w:rPr>
                              <w:t xml:space="preserve"> Late Submission </w:t>
                            </w:r>
                            <w:r w:rsidRPr="00AE38C7">
                              <w:rPr>
                                <w:rFonts w:cs="Arial"/>
                                <w:bCs/>
                                <w:snapToGrid w:val="0"/>
                                <w:sz w:val="16"/>
                                <w:szCs w:val="16"/>
                              </w:rPr>
                              <w:t>and Performance Update</w:t>
                            </w:r>
                            <w:r>
                              <w:rPr>
                                <w:rFonts w:cs="Arial"/>
                                <w:bCs/>
                                <w:snapToGrid w:val="0"/>
                                <w:sz w:val="16"/>
                                <w:szCs w:val="16"/>
                              </w:rPr>
                              <w:t xml:space="preserve"> </w:t>
                            </w:r>
                            <w:r w:rsidRPr="00E65E68">
                              <w:rPr>
                                <w:rFonts w:cs="Arial"/>
                                <w:bCs/>
                                <w:snapToGrid w:val="0"/>
                                <w:sz w:val="16"/>
                                <w:szCs w:val="16"/>
                              </w:rPr>
                              <w:t xml:space="preserve">Deadline. Updates made to reflect a change in performance after </w:t>
                            </w:r>
                            <w:r>
                              <w:rPr>
                                <w:rFonts w:cs="Arial"/>
                                <w:bCs/>
                                <w:snapToGrid w:val="0"/>
                                <w:sz w:val="16"/>
                                <w:szCs w:val="16"/>
                              </w:rPr>
                              <w:t>November 30</w:t>
                            </w:r>
                            <w:r w:rsidRPr="00E65E68">
                              <w:rPr>
                                <w:rFonts w:cs="Arial"/>
                                <w:bCs/>
                                <w:snapToGrid w:val="0"/>
                                <w:sz w:val="16"/>
                                <w:szCs w:val="16"/>
                              </w:rPr>
                              <w:t xml:space="preserve"> will not be scored or publicly reported.</w:t>
                            </w:r>
                          </w:p>
                        </w:txbxContent>
                      </wps:txbx>
                      <wps:bodyPr rot="0" vert="horz" wrap="square" lIns="91440" tIns="45720" rIns="91440" bIns="45720" anchor="t" anchorCtr="0">
                        <a:noAutofit/>
                      </wps:bodyPr>
                    </wps:wsp>
                  </a:graphicData>
                </a:graphic>
              </wp:inline>
            </w:drawing>
          </mc:Choice>
          <mc:Fallback>
            <w:pict>
              <v:shape w14:anchorId="4A7747AC" id="Text Box 11" o:spid="_x0000_s1055" type="#_x0000_t202" alt="P9963TB28#y1" style="width:466.5pt;height:89.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" strokecolor="red">
                <v:textbox>
                  <w:txbxContent>
                    <w:p w14:paraId="45B1B4E0" w14:textId="5302DBAF" w:rsidR="003529A4" w:rsidRDefault="006922BB" w:rsidP="006922BB">
                      <w:pPr>
                        <w:rPr>
                          <w:bCs/>
                        </w:rPr>
                      </w:pPr>
                      <w:r w:rsidRPr="000F3A53">
                        <w:rPr>
                          <w:b/>
                        </w:rPr>
                        <w:t>Reporting Period:</w:t>
                      </w:r>
                      <w:r w:rsidRPr="000F3A53">
                        <w:rPr>
                          <w:bCs/>
                        </w:rPr>
                        <w:t xml:space="preserve"> </w:t>
                      </w:r>
                    </w:p>
                    <w:p w14:paraId="095D4740" w14:textId="2518DBB7" w:rsidR="006922BB" w:rsidRPr="000F3A53" w:rsidRDefault="006922BB" w:rsidP="006922BB">
                      <w:pPr>
                        <w:rPr>
                          <w:bCs/>
                        </w:rPr>
                      </w:pPr>
                      <w:r w:rsidRPr="000F3A53">
                        <w:rPr>
                          <w:bCs/>
                        </w:rPr>
                        <w:t>Answer questions #1-9 based on the principles currently included in your hospital’s never events policy at the time you submit this section of the Survey.</w:t>
                      </w:r>
                    </w:p>
                    <w:p w14:paraId="5A83076A" w14:textId="77777777" w:rsidR="006922BB" w:rsidRPr="00CE5AC0" w:rsidRDefault="006922BB" w:rsidP="006922BB">
                      <w:pPr>
                        <w:rPr>
                          <w:bCs/>
                          <w:sz w:val="16"/>
                          <w:szCs w:val="16"/>
                        </w:rPr>
                      </w:pPr>
                    </w:p>
                    <w:p w14:paraId="6FC04AF1" w14:textId="77777777" w:rsidR="006922BB" w:rsidRPr="00B012F9" w:rsidRDefault="006922BB" w:rsidP="006922BB">
                      <w:pPr>
                        <w:rPr>
                          <w:rFonts w:cs="Arial"/>
                          <w:bCs/>
                          <w:snapToGrid w:val="0"/>
                          <w:sz w:val="16"/>
                          <w:szCs w:val="16"/>
                        </w:rPr>
                      </w:pPr>
                      <w:r w:rsidRPr="006547C0">
                        <w:rPr>
                          <w:rFonts w:cs="Arial"/>
                          <w:sz w:val="16"/>
                          <w:szCs w:val="16"/>
                        </w:rPr>
                        <w:t xml:space="preserve">Note: As a reminder, the </w:t>
                      </w:r>
                      <w:hyperlink r:id="rId414" w:history="1">
                        <w:r w:rsidRPr="006547C0">
                          <w:rPr>
                            <w:rStyle w:val="Hyperlink"/>
                            <w:rFonts w:cs="Arial"/>
                            <w:sz w:val="16"/>
                            <w:szCs w:val="16"/>
                          </w:rPr>
                          <w:t>Corrections Period</w:t>
                        </w:r>
                      </w:hyperlink>
                      <w:r w:rsidRPr="006547C0">
                        <w:rPr>
                          <w:rFonts w:cs="Arial"/>
                          <w:sz w:val="16"/>
                          <w:szCs w:val="16"/>
                        </w:rPr>
                        <w:t xml:space="preserve"> </w:t>
                      </w:r>
                      <w:r w:rsidRPr="00E65E68">
                        <w:rPr>
                          <w:rFonts w:cs="Arial"/>
                          <w:sz w:val="16"/>
                          <w:szCs w:val="16"/>
                        </w:rPr>
                        <w:t>(</w:t>
                      </w:r>
                      <w:r>
                        <w:rPr>
                          <w:rFonts w:cs="Arial"/>
                          <w:sz w:val="16"/>
                          <w:szCs w:val="16"/>
                        </w:rPr>
                        <w:t>December</w:t>
                      </w:r>
                      <w:r w:rsidRPr="00E65E68">
                        <w:rPr>
                          <w:rFonts w:cs="Arial"/>
                          <w:sz w:val="16"/>
                          <w:szCs w:val="16"/>
                        </w:rPr>
                        <w:t xml:space="preserve"> 1-January 31) is reserved for corrections to previously submitted Surveys only. </w:t>
                      </w:r>
                      <w:r w:rsidRPr="00E65E68">
                        <w:rPr>
                          <w:rFonts w:cs="Arial"/>
                          <w:bCs/>
                          <w:snapToGrid w:val="0"/>
                          <w:sz w:val="16"/>
                          <w:szCs w:val="16"/>
                        </w:rPr>
                        <w:t xml:space="preserve">Any updates made to reflect a change in performance must be made prior to the </w:t>
                      </w:r>
                      <w:r>
                        <w:rPr>
                          <w:rFonts w:cs="Arial"/>
                          <w:bCs/>
                          <w:snapToGrid w:val="0"/>
                          <w:sz w:val="16"/>
                          <w:szCs w:val="16"/>
                        </w:rPr>
                        <w:t>November 30</w:t>
                      </w:r>
                      <w:r w:rsidRPr="00E65E68">
                        <w:rPr>
                          <w:rFonts w:cs="Arial"/>
                          <w:bCs/>
                          <w:snapToGrid w:val="0"/>
                          <w:sz w:val="16"/>
                          <w:szCs w:val="16"/>
                        </w:rPr>
                        <w:t xml:space="preserve"> Late Submission </w:t>
                      </w:r>
                      <w:r w:rsidRPr="00AE38C7">
                        <w:rPr>
                          <w:rFonts w:cs="Arial"/>
                          <w:bCs/>
                          <w:snapToGrid w:val="0"/>
                          <w:sz w:val="16"/>
                          <w:szCs w:val="16"/>
                        </w:rPr>
                        <w:t>and Performance Update</w:t>
                      </w:r>
                      <w:r>
                        <w:rPr>
                          <w:rFonts w:cs="Arial"/>
                          <w:bCs/>
                          <w:snapToGrid w:val="0"/>
                          <w:sz w:val="16"/>
                          <w:szCs w:val="16"/>
                        </w:rPr>
                        <w:t xml:space="preserve"> </w:t>
                      </w:r>
                      <w:r w:rsidRPr="00E65E68">
                        <w:rPr>
                          <w:rFonts w:cs="Arial"/>
                          <w:bCs/>
                          <w:snapToGrid w:val="0"/>
                          <w:sz w:val="16"/>
                          <w:szCs w:val="16"/>
                        </w:rPr>
                        <w:t xml:space="preserve">Deadline. Updates made to reflect a change in performance after </w:t>
                      </w:r>
                      <w:r>
                        <w:rPr>
                          <w:rFonts w:cs="Arial"/>
                          <w:bCs/>
                          <w:snapToGrid w:val="0"/>
                          <w:sz w:val="16"/>
                          <w:szCs w:val="16"/>
                        </w:rPr>
                        <w:t>November 30</w:t>
                      </w:r>
                      <w:r w:rsidRPr="00E65E68">
                        <w:rPr>
                          <w:rFonts w:cs="Arial"/>
                          <w:bCs/>
                          <w:snapToGrid w:val="0"/>
                          <w:sz w:val="16"/>
                          <w:szCs w:val="16"/>
                        </w:rPr>
                        <w:t xml:space="preserve"> will not be scored or publicly reported.</w:t>
                      </w:r>
                    </w:p>
                  </w:txbxContent>
                </v:textbox>
                <w10:anchorlock/>
              </v:shape>
            </w:pict>
          </mc:Fallback>
        </mc:AlternateContent>
      </w:r>
    </w:p>
    <w:p w14:paraId="6DF50616" w14:textId="77777777" w:rsidR="006922BB" w:rsidRPr="007A420B" w:rsidRDefault="006922BB" w:rsidP="006922BB">
      <w:pPr>
        <w:pStyle w:val="EndnoteText"/>
        <w:rPr>
          <w:rFonts w:cs="Arial"/>
          <w:sz w:val="14"/>
          <w:szCs w:val="14"/>
        </w:rPr>
      </w:pPr>
    </w:p>
    <w:p w14:paraId="42B1ACF3" w14:textId="4AD4A993" w:rsidR="00803D50" w:rsidRPr="009A5185" w:rsidRDefault="00803D50" w:rsidP="00803D50">
      <w:pPr>
        <w:pStyle w:val="EndnoteText"/>
        <w:rPr>
          <w:rFonts w:cs="Arial"/>
        </w:rPr>
      </w:pPr>
      <w:r w:rsidRPr="009A5185">
        <w:rPr>
          <w:rFonts w:cs="Arial"/>
        </w:rPr>
        <w:t xml:space="preserve">Below are the nine elements which make up The Leapfrog Group’s Policy Statement regarding </w:t>
      </w:r>
      <w:hyperlink w:anchor="Endnote36_NeverEvent" w:history="1">
        <w:r w:rsidRPr="009A5185">
          <w:rPr>
            <w:rStyle w:val="Hyperlink"/>
            <w:rFonts w:cs="Arial"/>
          </w:rPr>
          <w:t>never events</w:t>
        </w:r>
      </w:hyperlink>
      <w:r w:rsidRPr="009A5185">
        <w:rPr>
          <w:rFonts w:cs="Arial"/>
        </w:rPr>
        <w:t>.</w:t>
      </w:r>
      <w:bookmarkStart w:id="627" w:name="_Ref534278133"/>
      <w:r w:rsidR="000F0582">
        <w:rPr>
          <w:rFonts w:ascii="ZWAdobeF" w:hAnsi="ZWAdobeF" w:cs="ZWAdobeF"/>
          <w:sz w:val="2"/>
          <w:szCs w:val="2"/>
        </w:rPr>
        <w:t>45F</w:t>
      </w:r>
      <w:r w:rsidR="00BF053F">
        <w:rPr>
          <w:rFonts w:ascii="ZWAdobeF" w:hAnsi="ZWAdobeF" w:cs="ZWAdobeF"/>
          <w:sz w:val="2"/>
          <w:szCs w:val="2"/>
        </w:rPr>
        <w:t>47F</w:t>
      </w:r>
      <w:r w:rsidR="004C7557">
        <w:rPr>
          <w:rFonts w:ascii="ZWAdobeF" w:hAnsi="ZWAdobeF" w:cs="ZWAdobeF"/>
          <w:sz w:val="2"/>
          <w:szCs w:val="2"/>
        </w:rPr>
        <w:t>47F</w:t>
      </w:r>
      <w:r w:rsidR="00C2087D">
        <w:rPr>
          <w:rFonts w:ascii="ZWAdobeF" w:hAnsi="ZWAdobeF" w:cs="ZWAdobeF"/>
          <w:sz w:val="2"/>
          <w:szCs w:val="2"/>
        </w:rPr>
        <w:t>46F</w:t>
      </w:r>
      <w:r w:rsidR="00B55C41">
        <w:rPr>
          <w:rFonts w:ascii="ZWAdobeF" w:hAnsi="ZWAdobeF" w:cs="ZWAdobeF"/>
          <w:sz w:val="2"/>
          <w:szCs w:val="2"/>
        </w:rPr>
        <w:t>46F</w:t>
      </w:r>
      <w:r w:rsidR="006255A6">
        <w:rPr>
          <w:rFonts w:ascii="ZWAdobeF" w:hAnsi="ZWAdobeF" w:cs="ZWAdobeF"/>
          <w:sz w:val="2"/>
          <w:szCs w:val="2"/>
        </w:rPr>
        <w:t>46F</w:t>
      </w:r>
      <w:r w:rsidR="00E453C7">
        <w:rPr>
          <w:rFonts w:ascii="ZWAdobeF" w:hAnsi="ZWAdobeF" w:cs="ZWAdobeF"/>
          <w:sz w:val="2"/>
          <w:szCs w:val="2"/>
        </w:rPr>
        <w:t>46F</w:t>
      </w:r>
      <w:r w:rsidR="00953060">
        <w:rPr>
          <w:rFonts w:ascii="ZWAdobeF" w:hAnsi="ZWAdobeF" w:cs="ZWAdobeF"/>
          <w:sz w:val="2"/>
          <w:szCs w:val="2"/>
        </w:rPr>
        <w:t>46F</w:t>
      </w:r>
      <w:r w:rsidR="00DD04D6">
        <w:rPr>
          <w:rFonts w:ascii="ZWAdobeF" w:hAnsi="ZWAdobeF" w:cs="ZWAdobeF"/>
          <w:sz w:val="2"/>
          <w:szCs w:val="2"/>
        </w:rPr>
        <w:t>46F</w:t>
      </w:r>
      <w:r w:rsidRPr="009A5185">
        <w:rPr>
          <w:rStyle w:val="EndnoteReference"/>
          <w:rFonts w:cs="Arial"/>
        </w:rPr>
        <w:endnoteReference w:id="48"/>
      </w:r>
      <w:bookmarkEnd w:id="627"/>
      <w:r w:rsidRPr="009A5185">
        <w:rPr>
          <w:rFonts w:cs="Arial"/>
        </w:rPr>
        <w:t xml:space="preserve"> Indicate which of the following principles are included in your hospital’s</w:t>
      </w:r>
      <w:r>
        <w:rPr>
          <w:rFonts w:cs="Arial"/>
        </w:rPr>
        <w:t xml:space="preserve"> current</w:t>
      </w:r>
      <w:r w:rsidRPr="009A5185">
        <w:rPr>
          <w:rFonts w:cs="Arial"/>
        </w:rPr>
        <w:t xml:space="preserve"> never events policy. </w:t>
      </w:r>
    </w:p>
    <w:p w14:paraId="24283C31" w14:textId="77777777" w:rsidR="00803D50" w:rsidRPr="007A420B" w:rsidRDefault="00803D50" w:rsidP="006922BB">
      <w:pPr>
        <w:pStyle w:val="EndnoteText"/>
        <w:rPr>
          <w:rFonts w:cs="Arial"/>
          <w:sz w:val="14"/>
          <w:szCs w:val="14"/>
        </w:rPr>
      </w:pPr>
    </w:p>
    <w:tbl>
      <w:tblPr>
        <w:tblStyle w:val="TableGrid"/>
        <w:tblW w:w="9332" w:type="dxa"/>
        <w:tblLayout w:type="fixed"/>
        <w:tblLook w:val="04A0" w:firstRow="1" w:lastRow="0" w:firstColumn="1" w:lastColumn="0" w:noHBand="0" w:noVBand="1"/>
      </w:tblPr>
      <w:tblGrid>
        <w:gridCol w:w="7177"/>
        <w:gridCol w:w="2155"/>
      </w:tblGrid>
      <w:tr w:rsidR="006922BB" w:rsidRPr="009A5185" w14:paraId="46DAF556" w14:textId="77777777" w:rsidTr="00C641A4">
        <w:trPr>
          <w:trHeight w:val="20"/>
        </w:trPr>
        <w:tc>
          <w:tcPr>
            <w:tcW w:w="7177" w:type="dxa"/>
            <w:vAlign w:val="center"/>
          </w:tcPr>
          <w:p w14:paraId="1F1F10B1" w14:textId="5B7A3767" w:rsidR="006922BB" w:rsidRPr="009E40B6" w:rsidRDefault="006922BB" w:rsidP="00AD309C">
            <w:pPr>
              <w:pStyle w:val="BodyText2"/>
              <w:numPr>
                <w:ilvl w:val="0"/>
                <w:numId w:val="54"/>
              </w:numPr>
              <w:rPr>
                <w:rFonts w:cs="Arial"/>
                <w:i w:val="0"/>
                <w:color w:val="auto"/>
              </w:rPr>
            </w:pPr>
            <w:r w:rsidRPr="009A5185">
              <w:rPr>
                <w:rFonts w:cs="Arial"/>
                <w:i w:val="0"/>
                <w:color w:val="auto"/>
              </w:rPr>
              <w:t xml:space="preserve">We </w:t>
            </w:r>
            <w:hyperlink w:anchor="Endnote37_Apology" w:history="1">
              <w:r w:rsidRPr="009A5185">
                <w:rPr>
                  <w:rStyle w:val="Hyperlink"/>
                  <w:rFonts w:cs="Arial"/>
                  <w:i w:val="0"/>
                </w:rPr>
                <w:t>apologize to the patient</w:t>
              </w:r>
            </w:hyperlink>
            <w:bookmarkStart w:id="629" w:name="_Ref534278066"/>
            <w:r w:rsidR="000F0582">
              <w:rPr>
                <w:rStyle w:val="Hyperlink"/>
                <w:rFonts w:ascii="ZWAdobeF" w:hAnsi="ZWAdobeF" w:cs="ZWAdobeF"/>
                <w:i w:val="0"/>
                <w:color w:val="auto"/>
                <w:sz w:val="2"/>
                <w:szCs w:val="2"/>
                <w:u w:val="none"/>
              </w:rPr>
              <w:t>46F</w:t>
            </w:r>
            <w:r w:rsidR="00BF053F">
              <w:rPr>
                <w:rStyle w:val="Hyperlink"/>
                <w:rFonts w:ascii="ZWAdobeF" w:hAnsi="ZWAdobeF" w:cs="ZWAdobeF"/>
                <w:i w:val="0"/>
                <w:color w:val="auto"/>
                <w:sz w:val="2"/>
                <w:szCs w:val="2"/>
                <w:u w:val="none"/>
              </w:rPr>
              <w:t>48F</w:t>
            </w:r>
            <w:r w:rsidR="004C7557">
              <w:rPr>
                <w:rStyle w:val="Hyperlink"/>
                <w:rFonts w:ascii="ZWAdobeF" w:hAnsi="ZWAdobeF" w:cs="ZWAdobeF"/>
                <w:i w:val="0"/>
                <w:color w:val="auto"/>
                <w:sz w:val="2"/>
                <w:szCs w:val="2"/>
                <w:u w:val="none"/>
              </w:rPr>
              <w:t>48F</w:t>
            </w:r>
            <w:r w:rsidR="00C2087D">
              <w:rPr>
                <w:rStyle w:val="Hyperlink"/>
                <w:rFonts w:ascii="ZWAdobeF" w:hAnsi="ZWAdobeF" w:cs="ZWAdobeF"/>
                <w:i w:val="0"/>
                <w:color w:val="auto"/>
                <w:sz w:val="2"/>
                <w:szCs w:val="2"/>
                <w:u w:val="none"/>
              </w:rPr>
              <w:t>47F</w:t>
            </w:r>
            <w:r w:rsidR="00B55C41">
              <w:rPr>
                <w:rStyle w:val="Hyperlink"/>
                <w:rFonts w:ascii="ZWAdobeF" w:hAnsi="ZWAdobeF" w:cs="ZWAdobeF"/>
                <w:i w:val="0"/>
                <w:color w:val="auto"/>
                <w:sz w:val="2"/>
                <w:szCs w:val="2"/>
                <w:u w:val="none"/>
              </w:rPr>
              <w:t>47F</w:t>
            </w:r>
            <w:r w:rsidR="006255A6">
              <w:rPr>
                <w:rStyle w:val="Hyperlink"/>
                <w:rFonts w:ascii="ZWAdobeF" w:hAnsi="ZWAdobeF" w:cs="ZWAdobeF"/>
                <w:i w:val="0"/>
                <w:color w:val="auto"/>
                <w:sz w:val="2"/>
                <w:szCs w:val="2"/>
                <w:u w:val="none"/>
              </w:rPr>
              <w:t>47F</w:t>
            </w:r>
            <w:r w:rsidR="00E453C7">
              <w:rPr>
                <w:rStyle w:val="Hyperlink"/>
                <w:rFonts w:ascii="ZWAdobeF" w:hAnsi="ZWAdobeF" w:cs="ZWAdobeF"/>
                <w:i w:val="0"/>
                <w:color w:val="auto"/>
                <w:sz w:val="2"/>
                <w:szCs w:val="2"/>
                <w:u w:val="none"/>
              </w:rPr>
              <w:t>47F</w:t>
            </w:r>
            <w:r w:rsidR="00953060">
              <w:rPr>
                <w:rStyle w:val="Hyperlink"/>
                <w:rFonts w:ascii="ZWAdobeF" w:hAnsi="ZWAdobeF" w:cs="ZWAdobeF"/>
                <w:i w:val="0"/>
                <w:color w:val="auto"/>
                <w:sz w:val="2"/>
                <w:szCs w:val="2"/>
                <w:u w:val="none"/>
              </w:rPr>
              <w:t>47F</w:t>
            </w:r>
            <w:r w:rsidR="00DD04D6">
              <w:rPr>
                <w:rStyle w:val="Hyperlink"/>
                <w:rFonts w:ascii="ZWAdobeF" w:hAnsi="ZWAdobeF" w:cs="ZWAdobeF"/>
                <w:i w:val="0"/>
                <w:color w:val="auto"/>
                <w:sz w:val="2"/>
                <w:szCs w:val="2"/>
                <w:u w:val="none"/>
              </w:rPr>
              <w:t>47F</w:t>
            </w:r>
            <w:r w:rsidRPr="009A5185">
              <w:rPr>
                <w:rStyle w:val="EndnoteReference"/>
                <w:rFonts w:cs="Arial"/>
                <w:i w:val="0"/>
                <w:color w:val="auto"/>
              </w:rPr>
              <w:endnoteReference w:id="49"/>
            </w:r>
            <w:bookmarkEnd w:id="629"/>
            <w:r w:rsidRPr="009A5185">
              <w:rPr>
                <w:rFonts w:cs="Arial"/>
                <w:i w:val="0"/>
                <w:color w:val="auto"/>
              </w:rPr>
              <w:t xml:space="preserve"> and/or family affected by the </w:t>
            </w:r>
            <w:hyperlink w:anchor="Endnote36_NeverEvent" w:history="1">
              <w:r w:rsidRPr="0002601E">
                <w:rPr>
                  <w:rStyle w:val="Hyperlink"/>
                  <w:rFonts w:cs="Arial"/>
                  <w:i w:val="0"/>
                  <w:iCs/>
                </w:rPr>
                <w:t xml:space="preserve">never </w:t>
              </w:r>
              <w:r w:rsidRPr="00D14D23">
                <w:rPr>
                  <w:rStyle w:val="Hyperlink"/>
                  <w:rFonts w:cs="Arial"/>
                  <w:i w:val="0"/>
                  <w:iCs/>
                </w:rPr>
                <w:t>event</w:t>
              </w:r>
            </w:hyperlink>
            <w:r w:rsidRPr="00D14D23">
              <w:rPr>
                <w:i w:val="0"/>
                <w:iCs/>
                <w:color w:val="auto"/>
                <w:vertAlign w:val="superscript"/>
              </w:rPr>
              <w:fldChar w:fldCharType="begin"/>
            </w:r>
            <w:r w:rsidRPr="00D14D23">
              <w:rPr>
                <w:rStyle w:val="Hyperlink"/>
                <w:rFonts w:cs="Arial"/>
                <w:i w:val="0"/>
                <w:iCs/>
              </w:rPr>
              <w:instrText xml:space="preserve"> NOTEREF _Ref534278133 \f \h </w:instrText>
            </w:r>
            <w:r w:rsidRPr="00D14D23">
              <w:rPr>
                <w:i w:val="0"/>
                <w:iCs/>
                <w:color w:val="auto"/>
                <w:vertAlign w:val="superscript"/>
              </w:rPr>
              <w:instrText xml:space="preserve"> \* MERGEFORMAT </w:instrText>
            </w:r>
            <w:r w:rsidRPr="00D14D23">
              <w:rPr>
                <w:i w:val="0"/>
                <w:iCs/>
                <w:color w:val="auto"/>
                <w:vertAlign w:val="superscript"/>
              </w:rPr>
            </w:r>
            <w:r w:rsidRPr="00D14D23">
              <w:rPr>
                <w:i w:val="0"/>
                <w:iCs/>
                <w:color w:val="auto"/>
                <w:vertAlign w:val="superscript"/>
              </w:rPr>
              <w:fldChar w:fldCharType="separate"/>
            </w:r>
            <w:r w:rsidR="007D53A2" w:rsidRPr="00995FE1">
              <w:rPr>
                <w:rStyle w:val="EndnoteReference"/>
              </w:rPr>
              <w:t>47</w:t>
            </w:r>
            <w:r w:rsidRPr="00D14D23">
              <w:rPr>
                <w:i w:val="0"/>
                <w:iCs/>
                <w:color w:val="auto"/>
                <w:vertAlign w:val="superscript"/>
              </w:rPr>
              <w:fldChar w:fldCharType="end"/>
            </w:r>
            <w:r w:rsidRPr="0002601E">
              <w:rPr>
                <w:rFonts w:cs="Arial"/>
                <w:i w:val="0"/>
                <w:iCs/>
                <w:color w:val="auto"/>
              </w:rPr>
              <w:t>.</w:t>
            </w:r>
          </w:p>
        </w:tc>
        <w:tc>
          <w:tcPr>
            <w:tcW w:w="2155" w:type="dxa"/>
            <w:vAlign w:val="center"/>
          </w:tcPr>
          <w:p w14:paraId="05D020EF" w14:textId="77777777" w:rsidR="006922BB" w:rsidRPr="00FC08A6" w:rsidRDefault="006922BB" w:rsidP="00AD309C">
            <w:pPr>
              <w:pStyle w:val="EndnoteText"/>
              <w:numPr>
                <w:ilvl w:val="0"/>
                <w:numId w:val="245"/>
              </w:numPr>
              <w:rPr>
                <w:rFonts w:cs="Arial"/>
                <w:iCs/>
              </w:rPr>
            </w:pPr>
            <w:r w:rsidRPr="00FC08A6">
              <w:rPr>
                <w:rFonts w:cs="Arial"/>
                <w:iCs/>
              </w:rPr>
              <w:t>Yes</w:t>
            </w:r>
          </w:p>
          <w:p w14:paraId="1C8C2101" w14:textId="77777777" w:rsidR="006922BB" w:rsidRPr="006A67FA" w:rsidRDefault="006922BB" w:rsidP="00AD309C">
            <w:pPr>
              <w:pStyle w:val="EndnoteText"/>
              <w:numPr>
                <w:ilvl w:val="0"/>
                <w:numId w:val="245"/>
              </w:numPr>
              <w:rPr>
                <w:rFonts w:cs="Arial"/>
                <w:iCs/>
              </w:rPr>
            </w:pPr>
            <w:r w:rsidRPr="00FC08A6">
              <w:rPr>
                <w:rFonts w:cs="Arial"/>
                <w:iCs/>
              </w:rPr>
              <w:t>No</w:t>
            </w:r>
          </w:p>
        </w:tc>
      </w:tr>
      <w:tr w:rsidR="006922BB" w:rsidRPr="009A5185" w14:paraId="77C44959" w14:textId="77777777" w:rsidTr="00C641A4">
        <w:trPr>
          <w:trHeight w:val="864"/>
        </w:trPr>
        <w:tc>
          <w:tcPr>
            <w:tcW w:w="7177" w:type="dxa"/>
            <w:vAlign w:val="center"/>
          </w:tcPr>
          <w:p w14:paraId="5902B324" w14:textId="7AAC63CC" w:rsidR="006922BB" w:rsidRPr="009A5185" w:rsidRDefault="006922BB" w:rsidP="00AD309C">
            <w:pPr>
              <w:pStyle w:val="BodyText2"/>
              <w:numPr>
                <w:ilvl w:val="0"/>
                <w:numId w:val="54"/>
              </w:numPr>
              <w:rPr>
                <w:rFonts w:cs="Arial"/>
                <w:i w:val="0"/>
                <w:color w:val="auto"/>
              </w:rPr>
            </w:pPr>
            <w:r w:rsidRPr="009A5185">
              <w:rPr>
                <w:rFonts w:cs="Arial"/>
                <w:i w:val="0"/>
                <w:color w:val="auto"/>
              </w:rPr>
              <w:t xml:space="preserve">We report the event to at least one of the following </w:t>
            </w:r>
            <w:hyperlink w:anchor="Endnote38_ExternalAgency" w:history="1">
              <w:r w:rsidRPr="009A5185">
                <w:rPr>
                  <w:rStyle w:val="Hyperlink"/>
                  <w:rFonts w:cs="Arial"/>
                  <w:i w:val="0"/>
                </w:rPr>
                <w:t>external agencies</w:t>
              </w:r>
            </w:hyperlink>
            <w:r w:rsidR="000F0582">
              <w:rPr>
                <w:rStyle w:val="Hyperlink"/>
                <w:rFonts w:ascii="ZWAdobeF" w:hAnsi="ZWAdobeF" w:cs="ZWAdobeF"/>
                <w:i w:val="0"/>
                <w:color w:val="auto"/>
                <w:sz w:val="2"/>
                <w:szCs w:val="2"/>
                <w:u w:val="none"/>
              </w:rPr>
              <w:t>47F</w:t>
            </w:r>
            <w:r w:rsidR="00BF053F">
              <w:rPr>
                <w:rStyle w:val="Hyperlink"/>
                <w:rFonts w:ascii="ZWAdobeF" w:hAnsi="ZWAdobeF" w:cs="ZWAdobeF"/>
                <w:i w:val="0"/>
                <w:color w:val="auto"/>
                <w:sz w:val="2"/>
                <w:szCs w:val="2"/>
                <w:u w:val="none"/>
              </w:rPr>
              <w:t>49F</w:t>
            </w:r>
            <w:r w:rsidR="004C7557">
              <w:rPr>
                <w:rStyle w:val="Hyperlink"/>
                <w:rFonts w:ascii="ZWAdobeF" w:hAnsi="ZWAdobeF" w:cs="ZWAdobeF"/>
                <w:i w:val="0"/>
                <w:color w:val="auto"/>
                <w:sz w:val="2"/>
                <w:szCs w:val="2"/>
                <w:u w:val="none"/>
              </w:rPr>
              <w:t>49F</w:t>
            </w:r>
            <w:r w:rsidR="00C2087D">
              <w:rPr>
                <w:rStyle w:val="Hyperlink"/>
                <w:rFonts w:ascii="ZWAdobeF" w:hAnsi="ZWAdobeF" w:cs="ZWAdobeF"/>
                <w:i w:val="0"/>
                <w:color w:val="auto"/>
                <w:sz w:val="2"/>
                <w:szCs w:val="2"/>
                <w:u w:val="none"/>
              </w:rPr>
              <w:t>48F</w:t>
            </w:r>
            <w:r w:rsidR="00B55C41">
              <w:rPr>
                <w:rStyle w:val="Hyperlink"/>
                <w:rFonts w:ascii="ZWAdobeF" w:hAnsi="ZWAdobeF" w:cs="ZWAdobeF"/>
                <w:i w:val="0"/>
                <w:color w:val="auto"/>
                <w:sz w:val="2"/>
                <w:szCs w:val="2"/>
                <w:u w:val="none"/>
              </w:rPr>
              <w:t>48F</w:t>
            </w:r>
            <w:r w:rsidR="006255A6">
              <w:rPr>
                <w:rStyle w:val="Hyperlink"/>
                <w:rFonts w:ascii="ZWAdobeF" w:hAnsi="ZWAdobeF" w:cs="ZWAdobeF"/>
                <w:i w:val="0"/>
                <w:color w:val="auto"/>
                <w:sz w:val="2"/>
                <w:szCs w:val="2"/>
                <w:u w:val="none"/>
              </w:rPr>
              <w:t>48F</w:t>
            </w:r>
            <w:r w:rsidR="00E453C7">
              <w:rPr>
                <w:rStyle w:val="Hyperlink"/>
                <w:rFonts w:ascii="ZWAdobeF" w:hAnsi="ZWAdobeF" w:cs="ZWAdobeF"/>
                <w:i w:val="0"/>
                <w:color w:val="auto"/>
                <w:sz w:val="2"/>
                <w:szCs w:val="2"/>
                <w:u w:val="none"/>
              </w:rPr>
              <w:t>48F</w:t>
            </w:r>
            <w:r w:rsidR="00953060">
              <w:rPr>
                <w:rStyle w:val="Hyperlink"/>
                <w:rFonts w:ascii="ZWAdobeF" w:hAnsi="ZWAdobeF" w:cs="ZWAdobeF"/>
                <w:i w:val="0"/>
                <w:color w:val="auto"/>
                <w:sz w:val="2"/>
                <w:szCs w:val="2"/>
                <w:u w:val="none"/>
              </w:rPr>
              <w:t>48F</w:t>
            </w:r>
            <w:r w:rsidR="00DD04D6">
              <w:rPr>
                <w:rStyle w:val="Hyperlink"/>
                <w:rFonts w:ascii="ZWAdobeF" w:hAnsi="ZWAdobeF" w:cs="ZWAdobeF"/>
                <w:i w:val="0"/>
                <w:color w:val="auto"/>
                <w:sz w:val="2"/>
                <w:szCs w:val="2"/>
                <w:u w:val="none"/>
              </w:rPr>
              <w:t>48F</w:t>
            </w:r>
            <w:r w:rsidRPr="009A5185">
              <w:rPr>
                <w:rStyle w:val="EndnoteReference"/>
                <w:rFonts w:cs="Arial"/>
                <w:i w:val="0"/>
                <w:color w:val="auto"/>
              </w:rPr>
              <w:endnoteReference w:id="50"/>
            </w:r>
            <w:r w:rsidRPr="009A5185">
              <w:rPr>
                <w:rFonts w:cs="Arial"/>
                <w:i w:val="0"/>
                <w:color w:val="auto"/>
              </w:rPr>
              <w:t xml:space="preserve"> within 15 business days of becoming aware that the </w:t>
            </w:r>
            <w:hyperlink w:anchor="Endnote36_NeverEvent" w:history="1">
              <w:r w:rsidRPr="009A5185">
                <w:rPr>
                  <w:rStyle w:val="Hyperlink"/>
                  <w:rFonts w:cs="Arial"/>
                  <w:i w:val="0"/>
                </w:rPr>
                <w:t xml:space="preserve">never </w:t>
              </w:r>
              <w:r w:rsidRPr="00D14D23">
                <w:rPr>
                  <w:rStyle w:val="Hyperlink"/>
                  <w:rFonts w:cs="Arial"/>
                  <w:i w:val="0"/>
                  <w:iCs/>
                </w:rPr>
                <w:t>event</w:t>
              </w:r>
            </w:hyperlink>
            <w:r w:rsidRPr="00D14D23">
              <w:rPr>
                <w:i w:val="0"/>
                <w:iCs/>
                <w:color w:val="auto"/>
                <w:vertAlign w:val="superscript"/>
              </w:rPr>
              <w:fldChar w:fldCharType="begin"/>
            </w:r>
            <w:r w:rsidRPr="00D14D23">
              <w:rPr>
                <w:rStyle w:val="Hyperlink"/>
                <w:rFonts w:cs="Arial"/>
                <w:i w:val="0"/>
                <w:iCs/>
              </w:rPr>
              <w:instrText xml:space="preserve"> NOTEREF _Ref534278133 \f \h </w:instrText>
            </w:r>
            <w:r w:rsidRPr="00D14D23">
              <w:rPr>
                <w:i w:val="0"/>
                <w:iCs/>
                <w:color w:val="auto"/>
                <w:vertAlign w:val="superscript"/>
              </w:rPr>
              <w:instrText xml:space="preserve"> \* MERGEFORMAT </w:instrText>
            </w:r>
            <w:r w:rsidRPr="00D14D23">
              <w:rPr>
                <w:i w:val="0"/>
                <w:iCs/>
                <w:color w:val="auto"/>
                <w:vertAlign w:val="superscript"/>
              </w:rPr>
            </w:r>
            <w:r w:rsidRPr="00D14D23">
              <w:rPr>
                <w:i w:val="0"/>
                <w:iCs/>
                <w:color w:val="auto"/>
                <w:vertAlign w:val="superscript"/>
              </w:rPr>
              <w:fldChar w:fldCharType="separate"/>
            </w:r>
            <w:r w:rsidR="007D53A2" w:rsidRPr="00995FE1">
              <w:rPr>
                <w:rStyle w:val="EndnoteReference"/>
              </w:rPr>
              <w:t>47</w:t>
            </w:r>
            <w:r w:rsidRPr="00D14D23">
              <w:rPr>
                <w:i w:val="0"/>
                <w:iCs/>
                <w:color w:val="auto"/>
                <w:vertAlign w:val="superscript"/>
              </w:rPr>
              <w:fldChar w:fldCharType="end"/>
            </w:r>
            <w:r w:rsidRPr="0002601E">
              <w:rPr>
                <w:rFonts w:cs="Arial"/>
                <w:i w:val="0"/>
                <w:iCs/>
                <w:color w:val="auto"/>
              </w:rPr>
              <w:t xml:space="preserve"> </w:t>
            </w:r>
            <w:r w:rsidRPr="009A5185">
              <w:rPr>
                <w:rFonts w:cs="Arial"/>
                <w:i w:val="0"/>
                <w:color w:val="auto"/>
              </w:rPr>
              <w:t>has occurred:</w:t>
            </w:r>
          </w:p>
          <w:p w14:paraId="579F502E" w14:textId="6A692E98" w:rsidR="006922BB" w:rsidRDefault="006922BB" w:rsidP="00AD309C">
            <w:pPr>
              <w:pStyle w:val="BodyText2"/>
              <w:numPr>
                <w:ilvl w:val="0"/>
                <w:numId w:val="391"/>
              </w:numPr>
              <w:rPr>
                <w:rFonts w:cs="Arial"/>
                <w:i w:val="0"/>
                <w:color w:val="auto"/>
              </w:rPr>
            </w:pPr>
            <w:r w:rsidRPr="009A5185">
              <w:rPr>
                <w:rFonts w:cs="Arial"/>
                <w:i w:val="0"/>
                <w:color w:val="auto"/>
              </w:rPr>
              <w:t>Joint Commission, as part of its Sentinel Events policy</w:t>
            </w:r>
            <w:r w:rsidR="00DB05C1">
              <w:rPr>
                <w:rFonts w:cs="Arial"/>
                <w:i w:val="0"/>
                <w:color w:val="auto"/>
              </w:rPr>
              <w:t>;</w:t>
            </w:r>
          </w:p>
          <w:p w14:paraId="15D3E854" w14:textId="745BF060" w:rsidR="006922BB" w:rsidRPr="009A5185" w:rsidRDefault="006922BB" w:rsidP="00AD309C">
            <w:pPr>
              <w:pStyle w:val="BodyText2"/>
              <w:numPr>
                <w:ilvl w:val="0"/>
                <w:numId w:val="391"/>
              </w:numPr>
              <w:rPr>
                <w:rFonts w:cs="Arial"/>
                <w:i w:val="0"/>
                <w:color w:val="auto"/>
              </w:rPr>
            </w:pPr>
            <w:r>
              <w:rPr>
                <w:rFonts w:cs="Arial"/>
                <w:i w:val="0"/>
                <w:color w:val="auto"/>
              </w:rPr>
              <w:t>DNV GL Healthcare</w:t>
            </w:r>
            <w:r w:rsidR="00DB05C1">
              <w:rPr>
                <w:rFonts w:cs="Arial"/>
                <w:i w:val="0"/>
                <w:color w:val="auto"/>
              </w:rPr>
              <w:t>;</w:t>
            </w:r>
          </w:p>
          <w:p w14:paraId="7D849C67" w14:textId="347607D4" w:rsidR="006922BB" w:rsidRPr="009A5185" w:rsidRDefault="006922BB" w:rsidP="00AD309C">
            <w:pPr>
              <w:pStyle w:val="BodyText2"/>
              <w:numPr>
                <w:ilvl w:val="0"/>
                <w:numId w:val="391"/>
              </w:numPr>
              <w:rPr>
                <w:rFonts w:cs="Arial"/>
                <w:i w:val="0"/>
                <w:color w:val="auto"/>
              </w:rPr>
            </w:pPr>
            <w:r w:rsidRPr="009A5185">
              <w:rPr>
                <w:rFonts w:cs="Arial"/>
                <w:i w:val="0"/>
                <w:color w:val="auto"/>
              </w:rPr>
              <w:t>State reporting program for medical errors</w:t>
            </w:r>
            <w:r w:rsidR="00DB05C1">
              <w:rPr>
                <w:rFonts w:cs="Arial"/>
                <w:i w:val="0"/>
                <w:color w:val="auto"/>
              </w:rPr>
              <w:t>; or</w:t>
            </w:r>
          </w:p>
          <w:p w14:paraId="0571322F" w14:textId="175639CC" w:rsidR="006922BB" w:rsidRPr="009E40B6" w:rsidRDefault="006922BB" w:rsidP="00AD309C">
            <w:pPr>
              <w:pStyle w:val="BodyText2"/>
              <w:numPr>
                <w:ilvl w:val="0"/>
                <w:numId w:val="391"/>
              </w:numPr>
              <w:rPr>
                <w:rFonts w:cs="Arial"/>
              </w:rPr>
            </w:pPr>
            <w:r w:rsidRPr="009A5185">
              <w:rPr>
                <w:rFonts w:cs="Arial"/>
                <w:i w:val="0"/>
                <w:color w:val="auto"/>
              </w:rPr>
              <w:t>Patient Safety Organization (as defined in The Patient Safety and Quality Improvement Act of 2005)</w:t>
            </w:r>
            <w:r w:rsidR="00DB05C1">
              <w:rPr>
                <w:rFonts w:cs="Arial"/>
                <w:i w:val="0"/>
                <w:color w:val="auto"/>
              </w:rPr>
              <w:t>.</w:t>
            </w:r>
          </w:p>
        </w:tc>
        <w:tc>
          <w:tcPr>
            <w:tcW w:w="2155" w:type="dxa"/>
            <w:vAlign w:val="center"/>
          </w:tcPr>
          <w:p w14:paraId="629EF19D" w14:textId="77777777" w:rsidR="006922BB" w:rsidRPr="00FC08A6" w:rsidRDefault="006922BB" w:rsidP="00AD309C">
            <w:pPr>
              <w:pStyle w:val="EndnoteText"/>
              <w:numPr>
                <w:ilvl w:val="0"/>
                <w:numId w:val="245"/>
              </w:numPr>
              <w:rPr>
                <w:rFonts w:cs="Arial"/>
                <w:iCs/>
              </w:rPr>
            </w:pPr>
            <w:r w:rsidRPr="00FC08A6">
              <w:rPr>
                <w:rFonts w:cs="Arial"/>
                <w:iCs/>
              </w:rPr>
              <w:t>Yes</w:t>
            </w:r>
          </w:p>
          <w:p w14:paraId="06A80B40" w14:textId="77777777" w:rsidR="006922BB" w:rsidRPr="006A67FA" w:rsidRDefault="006922BB" w:rsidP="00AD309C">
            <w:pPr>
              <w:pStyle w:val="EndnoteText"/>
              <w:numPr>
                <w:ilvl w:val="0"/>
                <w:numId w:val="245"/>
              </w:numPr>
              <w:rPr>
                <w:rFonts w:cs="Arial"/>
                <w:iCs/>
              </w:rPr>
            </w:pPr>
            <w:r w:rsidRPr="00FC08A6">
              <w:rPr>
                <w:rFonts w:cs="Arial"/>
                <w:iCs/>
              </w:rPr>
              <w:t>No</w:t>
            </w:r>
          </w:p>
        </w:tc>
      </w:tr>
      <w:tr w:rsidR="006922BB" w:rsidRPr="009A5185" w14:paraId="53F1CFF2" w14:textId="77777777" w:rsidTr="00C641A4">
        <w:trPr>
          <w:trHeight w:val="504"/>
        </w:trPr>
        <w:tc>
          <w:tcPr>
            <w:tcW w:w="7177" w:type="dxa"/>
            <w:vAlign w:val="center"/>
          </w:tcPr>
          <w:p w14:paraId="7244E205" w14:textId="427D9334" w:rsidR="006922BB" w:rsidRDefault="006922BB" w:rsidP="00AD309C">
            <w:pPr>
              <w:pStyle w:val="BodyText2"/>
              <w:numPr>
                <w:ilvl w:val="0"/>
                <w:numId w:val="54"/>
              </w:numPr>
              <w:rPr>
                <w:rFonts w:cs="Arial"/>
                <w:i w:val="0"/>
                <w:color w:val="auto"/>
              </w:rPr>
            </w:pPr>
            <w:r w:rsidRPr="009A5185">
              <w:rPr>
                <w:rFonts w:cs="Arial"/>
                <w:i w:val="0"/>
                <w:color w:val="auto"/>
              </w:rPr>
              <w:t xml:space="preserve">We perform a </w:t>
            </w:r>
            <w:hyperlink w:anchor="Endnote39_RCA" w:history="1">
              <w:r w:rsidRPr="009A5185">
                <w:rPr>
                  <w:rStyle w:val="Hyperlink"/>
                  <w:rFonts w:cs="Arial"/>
                  <w:i w:val="0"/>
                </w:rPr>
                <w:t>root cause analysis</w:t>
              </w:r>
            </w:hyperlink>
            <w:bookmarkStart w:id="632" w:name="_Ref121771518"/>
            <w:r w:rsidR="000F0582">
              <w:rPr>
                <w:rStyle w:val="Hyperlink"/>
                <w:rFonts w:ascii="ZWAdobeF" w:hAnsi="ZWAdobeF" w:cs="ZWAdobeF"/>
                <w:i w:val="0"/>
                <w:color w:val="auto"/>
                <w:sz w:val="2"/>
                <w:szCs w:val="2"/>
                <w:u w:val="none"/>
              </w:rPr>
              <w:t>48F</w:t>
            </w:r>
            <w:r w:rsidR="00BF053F">
              <w:rPr>
                <w:rStyle w:val="Hyperlink"/>
                <w:rFonts w:ascii="ZWAdobeF" w:hAnsi="ZWAdobeF" w:cs="ZWAdobeF"/>
                <w:i w:val="0"/>
                <w:color w:val="auto"/>
                <w:sz w:val="2"/>
                <w:szCs w:val="2"/>
                <w:u w:val="none"/>
              </w:rPr>
              <w:t>50F</w:t>
            </w:r>
            <w:r w:rsidR="004C7557">
              <w:rPr>
                <w:rStyle w:val="Hyperlink"/>
                <w:rFonts w:ascii="ZWAdobeF" w:hAnsi="ZWAdobeF" w:cs="ZWAdobeF"/>
                <w:i w:val="0"/>
                <w:color w:val="auto"/>
                <w:sz w:val="2"/>
                <w:szCs w:val="2"/>
                <w:u w:val="none"/>
              </w:rPr>
              <w:t>50F</w:t>
            </w:r>
            <w:r w:rsidR="00C2087D">
              <w:rPr>
                <w:rStyle w:val="Hyperlink"/>
                <w:rFonts w:ascii="ZWAdobeF" w:hAnsi="ZWAdobeF" w:cs="ZWAdobeF"/>
                <w:i w:val="0"/>
                <w:color w:val="auto"/>
                <w:sz w:val="2"/>
                <w:szCs w:val="2"/>
                <w:u w:val="none"/>
              </w:rPr>
              <w:t>49F</w:t>
            </w:r>
            <w:r w:rsidR="00B55C41">
              <w:rPr>
                <w:rStyle w:val="Hyperlink"/>
                <w:rFonts w:ascii="ZWAdobeF" w:hAnsi="ZWAdobeF" w:cs="ZWAdobeF"/>
                <w:i w:val="0"/>
                <w:color w:val="auto"/>
                <w:sz w:val="2"/>
                <w:szCs w:val="2"/>
                <w:u w:val="none"/>
              </w:rPr>
              <w:t>49F</w:t>
            </w:r>
            <w:r w:rsidR="006255A6">
              <w:rPr>
                <w:rStyle w:val="Hyperlink"/>
                <w:rFonts w:ascii="ZWAdobeF" w:hAnsi="ZWAdobeF" w:cs="ZWAdobeF"/>
                <w:i w:val="0"/>
                <w:color w:val="auto"/>
                <w:sz w:val="2"/>
                <w:szCs w:val="2"/>
                <w:u w:val="none"/>
              </w:rPr>
              <w:t>49F</w:t>
            </w:r>
            <w:r w:rsidR="00E453C7">
              <w:rPr>
                <w:rStyle w:val="Hyperlink"/>
                <w:rFonts w:ascii="ZWAdobeF" w:hAnsi="ZWAdobeF" w:cs="ZWAdobeF"/>
                <w:i w:val="0"/>
                <w:color w:val="auto"/>
                <w:sz w:val="2"/>
                <w:szCs w:val="2"/>
                <w:u w:val="none"/>
              </w:rPr>
              <w:t>49F</w:t>
            </w:r>
            <w:r w:rsidR="00953060">
              <w:rPr>
                <w:rStyle w:val="Hyperlink"/>
                <w:rFonts w:ascii="ZWAdobeF" w:hAnsi="ZWAdobeF" w:cs="ZWAdobeF"/>
                <w:i w:val="0"/>
                <w:color w:val="auto"/>
                <w:sz w:val="2"/>
                <w:szCs w:val="2"/>
                <w:u w:val="none"/>
              </w:rPr>
              <w:t>49F</w:t>
            </w:r>
            <w:r w:rsidR="00DD04D6">
              <w:rPr>
                <w:rStyle w:val="Hyperlink"/>
                <w:rFonts w:ascii="ZWAdobeF" w:hAnsi="ZWAdobeF" w:cs="ZWAdobeF"/>
                <w:i w:val="0"/>
                <w:color w:val="auto"/>
                <w:sz w:val="2"/>
                <w:szCs w:val="2"/>
                <w:u w:val="none"/>
              </w:rPr>
              <w:t>49F</w:t>
            </w:r>
            <w:r w:rsidRPr="009A5185">
              <w:rPr>
                <w:rStyle w:val="EndnoteReference"/>
                <w:rFonts w:cs="Arial"/>
                <w:i w:val="0"/>
                <w:color w:val="auto"/>
              </w:rPr>
              <w:endnoteReference w:id="51"/>
            </w:r>
            <w:bookmarkEnd w:id="632"/>
            <w:r>
              <w:rPr>
                <w:rFonts w:cs="Arial"/>
                <w:i w:val="0"/>
              </w:rPr>
              <w:t>,</w:t>
            </w:r>
            <w:r w:rsidRPr="009A5185">
              <w:rPr>
                <w:rFonts w:cs="Arial"/>
                <w:i w:val="0"/>
                <w:color w:val="auto"/>
              </w:rPr>
              <w:t xml:space="preserve"> which at a minimum, includes the elements required by the chosen external reporting agency.</w:t>
            </w:r>
          </w:p>
          <w:p w14:paraId="45C6B089" w14:textId="71F0FEA7" w:rsidR="0069523F" w:rsidRPr="00A90AE6" w:rsidRDefault="0069523F" w:rsidP="00A90AE6">
            <w:pPr>
              <w:pStyle w:val="BodyText2"/>
              <w:ind w:left="360"/>
              <w:rPr>
                <w:rFonts w:cs="Arial"/>
                <w:iCs/>
                <w:color w:val="auto"/>
              </w:rPr>
            </w:pPr>
            <w:r>
              <w:rPr>
                <w:rFonts w:cs="Arial"/>
                <w:i w:val="0"/>
                <w:color w:val="auto"/>
              </w:rPr>
              <w:br/>
            </w:r>
            <w:bookmarkStart w:id="634" w:name="_Hlk162548084"/>
            <w:bookmarkStart w:id="635" w:name="_Hlk162548306"/>
            <w:r>
              <w:rPr>
                <w:rFonts w:cs="Arial"/>
                <w:iCs/>
                <w:color w:val="auto"/>
              </w:rPr>
              <w:t>If “no</w:t>
            </w:r>
            <w:r w:rsidR="006B6EB1">
              <w:rPr>
                <w:rFonts w:cs="Arial"/>
                <w:iCs/>
                <w:color w:val="auto"/>
              </w:rPr>
              <w:t>,</w:t>
            </w:r>
            <w:r>
              <w:rPr>
                <w:rFonts w:cs="Arial"/>
                <w:iCs/>
                <w:color w:val="auto"/>
              </w:rPr>
              <w:t>” skip questions #6</w:t>
            </w:r>
            <w:r w:rsidR="006760C3">
              <w:rPr>
                <w:rFonts w:cs="Arial"/>
                <w:iCs/>
                <w:color w:val="auto"/>
              </w:rPr>
              <w:t>-</w:t>
            </w:r>
            <w:r>
              <w:rPr>
                <w:rFonts w:cs="Arial"/>
                <w:iCs/>
                <w:color w:val="auto"/>
              </w:rPr>
              <w:t>7</w:t>
            </w:r>
            <w:bookmarkEnd w:id="634"/>
            <w:r>
              <w:rPr>
                <w:rFonts w:cs="Arial"/>
                <w:iCs/>
                <w:color w:val="auto"/>
              </w:rPr>
              <w:t>.</w:t>
            </w:r>
            <w:r w:rsidR="000C20C6">
              <w:rPr>
                <w:rFonts w:cs="Arial"/>
                <w:iCs/>
                <w:color w:val="auto"/>
              </w:rPr>
              <w:t xml:space="preserve"> The hospital will be scored as “Limited Achievement.”</w:t>
            </w:r>
            <w:bookmarkEnd w:id="635"/>
          </w:p>
        </w:tc>
        <w:tc>
          <w:tcPr>
            <w:tcW w:w="2155" w:type="dxa"/>
            <w:vAlign w:val="center"/>
          </w:tcPr>
          <w:p w14:paraId="726F4B16" w14:textId="77777777" w:rsidR="006922BB" w:rsidRPr="00FC08A6" w:rsidRDefault="006922BB" w:rsidP="00AD309C">
            <w:pPr>
              <w:pStyle w:val="EndnoteText"/>
              <w:numPr>
                <w:ilvl w:val="0"/>
                <w:numId w:val="245"/>
              </w:numPr>
              <w:rPr>
                <w:rFonts w:cs="Arial"/>
                <w:iCs/>
              </w:rPr>
            </w:pPr>
            <w:r w:rsidRPr="00FC08A6">
              <w:rPr>
                <w:rFonts w:cs="Arial"/>
                <w:iCs/>
              </w:rPr>
              <w:t>Yes</w:t>
            </w:r>
          </w:p>
          <w:p w14:paraId="32A08A99" w14:textId="77777777" w:rsidR="006922BB" w:rsidRPr="006A67FA" w:rsidRDefault="006922BB" w:rsidP="00AD309C">
            <w:pPr>
              <w:pStyle w:val="EndnoteText"/>
              <w:numPr>
                <w:ilvl w:val="0"/>
                <w:numId w:val="245"/>
              </w:numPr>
              <w:rPr>
                <w:rFonts w:cs="Arial"/>
                <w:iCs/>
              </w:rPr>
            </w:pPr>
            <w:r w:rsidRPr="00FC08A6">
              <w:rPr>
                <w:rFonts w:cs="Arial"/>
                <w:iCs/>
              </w:rPr>
              <w:t>No</w:t>
            </w:r>
          </w:p>
        </w:tc>
      </w:tr>
      <w:tr w:rsidR="006922BB" w:rsidRPr="009A5185" w14:paraId="1599EBB1" w14:textId="77777777" w:rsidTr="00CE5AC0">
        <w:trPr>
          <w:trHeight w:val="864"/>
        </w:trPr>
        <w:tc>
          <w:tcPr>
            <w:tcW w:w="7177" w:type="dxa"/>
            <w:vAlign w:val="center"/>
          </w:tcPr>
          <w:p w14:paraId="7EC351E0" w14:textId="4A478F49" w:rsidR="006922BB" w:rsidRDefault="006922BB" w:rsidP="00AD309C">
            <w:pPr>
              <w:pStyle w:val="BodyText2"/>
              <w:numPr>
                <w:ilvl w:val="0"/>
                <w:numId w:val="54"/>
              </w:numPr>
              <w:rPr>
                <w:rFonts w:cs="Arial"/>
                <w:i w:val="0"/>
                <w:color w:val="auto"/>
              </w:rPr>
            </w:pPr>
            <w:r w:rsidRPr="009A5185">
              <w:rPr>
                <w:rFonts w:cs="Arial"/>
                <w:i w:val="0"/>
                <w:color w:val="auto"/>
              </w:rPr>
              <w:t xml:space="preserve">We waive all costs directly related to the </w:t>
            </w:r>
            <w:hyperlink w:anchor="Endnote36_NeverEvent" w:history="1">
              <w:r w:rsidR="0018745F" w:rsidRPr="0002601E">
                <w:rPr>
                  <w:rStyle w:val="Hyperlink"/>
                  <w:rFonts w:cs="Arial"/>
                  <w:i w:val="0"/>
                  <w:iCs/>
                </w:rPr>
                <w:t>never event</w:t>
              </w:r>
            </w:hyperlink>
            <w:r w:rsidR="0018745F" w:rsidRPr="00D14D23">
              <w:rPr>
                <w:i w:val="0"/>
                <w:iCs/>
                <w:color w:val="auto"/>
                <w:vertAlign w:val="superscript"/>
              </w:rPr>
              <w:fldChar w:fldCharType="begin"/>
            </w:r>
            <w:r w:rsidR="0018745F" w:rsidRPr="00D14D23">
              <w:rPr>
                <w:rStyle w:val="Hyperlink"/>
                <w:rFonts w:cs="Arial"/>
                <w:i w:val="0"/>
                <w:iCs/>
              </w:rPr>
              <w:instrText xml:space="preserve"> NOTEREF _Ref534278133 \f \h </w:instrText>
            </w:r>
            <w:r w:rsidR="0018745F" w:rsidRPr="00D14D23">
              <w:rPr>
                <w:i w:val="0"/>
                <w:iCs/>
                <w:color w:val="auto"/>
                <w:vertAlign w:val="superscript"/>
              </w:rPr>
              <w:instrText xml:space="preserve"> \* MERGEFORMAT </w:instrText>
            </w:r>
            <w:r w:rsidR="0018745F" w:rsidRPr="00D14D23">
              <w:rPr>
                <w:i w:val="0"/>
                <w:iCs/>
                <w:color w:val="auto"/>
                <w:vertAlign w:val="superscript"/>
              </w:rPr>
            </w:r>
            <w:r w:rsidR="0018745F" w:rsidRPr="00D14D23">
              <w:rPr>
                <w:i w:val="0"/>
                <w:iCs/>
                <w:color w:val="auto"/>
                <w:vertAlign w:val="superscript"/>
              </w:rPr>
              <w:fldChar w:fldCharType="separate"/>
            </w:r>
            <w:r w:rsidR="007D53A2" w:rsidRPr="00995FE1">
              <w:rPr>
                <w:rStyle w:val="EndnoteReference"/>
              </w:rPr>
              <w:t>47</w:t>
            </w:r>
            <w:r w:rsidR="0018745F" w:rsidRPr="00D14D23">
              <w:rPr>
                <w:i w:val="0"/>
                <w:iCs/>
                <w:color w:val="auto"/>
                <w:vertAlign w:val="superscript"/>
              </w:rPr>
              <w:fldChar w:fldCharType="end"/>
            </w:r>
            <w:r w:rsidR="0018745F" w:rsidRPr="0002601E">
              <w:rPr>
                <w:rFonts w:cs="Arial"/>
                <w:i w:val="0"/>
                <w:iCs/>
                <w:color w:val="auto"/>
              </w:rPr>
              <w:t>.</w:t>
            </w:r>
          </w:p>
          <w:p w14:paraId="7FCFA669" w14:textId="77777777" w:rsidR="007A3815" w:rsidRPr="00CE5AC0" w:rsidRDefault="007A3815" w:rsidP="0027679D">
            <w:pPr>
              <w:pStyle w:val="BodyText2"/>
              <w:rPr>
                <w:rFonts w:cs="Arial"/>
                <w:i w:val="0"/>
                <w:color w:val="auto"/>
                <w:sz w:val="16"/>
                <w:szCs w:val="16"/>
              </w:rPr>
            </w:pPr>
          </w:p>
          <w:p w14:paraId="2628EBD9" w14:textId="596E12AB" w:rsidR="006922BB" w:rsidRPr="009A5185" w:rsidRDefault="00C502A5" w:rsidP="0027679D">
            <w:pPr>
              <w:pStyle w:val="BodyText2"/>
              <w:ind w:left="360"/>
              <w:rPr>
                <w:rFonts w:cs="Arial"/>
              </w:rPr>
            </w:pPr>
            <w:r w:rsidRPr="0027679D">
              <w:rPr>
                <w:rFonts w:cs="Arial"/>
                <w:iCs/>
                <w:color w:val="auto"/>
              </w:rPr>
              <w:t>In order to respond “</w:t>
            </w:r>
            <w:r w:rsidR="00D8562E">
              <w:rPr>
                <w:rFonts w:cs="Arial"/>
                <w:iCs/>
                <w:color w:val="auto"/>
              </w:rPr>
              <w:t>y</w:t>
            </w:r>
            <w:r w:rsidRPr="0027679D">
              <w:rPr>
                <w:rFonts w:cs="Arial"/>
                <w:iCs/>
                <w:color w:val="auto"/>
              </w:rPr>
              <w:t xml:space="preserve">es” to this question, all costs directly related to the never event must be waived to both </w:t>
            </w:r>
            <w:r w:rsidR="009E40B6" w:rsidRPr="0027679D">
              <w:rPr>
                <w:rFonts w:cs="Arial"/>
                <w:iCs/>
                <w:color w:val="auto"/>
              </w:rPr>
              <w:t xml:space="preserve">the patient and the payor. </w:t>
            </w:r>
          </w:p>
        </w:tc>
        <w:tc>
          <w:tcPr>
            <w:tcW w:w="2155" w:type="dxa"/>
            <w:vAlign w:val="center"/>
          </w:tcPr>
          <w:p w14:paraId="0AECA5D9" w14:textId="77777777" w:rsidR="006922BB" w:rsidRPr="00FC08A6" w:rsidRDefault="006922BB" w:rsidP="00AD309C">
            <w:pPr>
              <w:pStyle w:val="EndnoteText"/>
              <w:numPr>
                <w:ilvl w:val="0"/>
                <w:numId w:val="245"/>
              </w:numPr>
              <w:rPr>
                <w:rFonts w:cs="Arial"/>
                <w:iCs/>
              </w:rPr>
            </w:pPr>
            <w:r w:rsidRPr="00FC08A6">
              <w:rPr>
                <w:rFonts w:cs="Arial"/>
                <w:iCs/>
              </w:rPr>
              <w:t>Yes</w:t>
            </w:r>
          </w:p>
          <w:p w14:paraId="33A32A48" w14:textId="77777777" w:rsidR="006922BB" w:rsidRPr="006A67FA" w:rsidRDefault="006922BB" w:rsidP="00AD309C">
            <w:pPr>
              <w:pStyle w:val="EndnoteText"/>
              <w:numPr>
                <w:ilvl w:val="0"/>
                <w:numId w:val="245"/>
              </w:numPr>
              <w:rPr>
                <w:rFonts w:cs="Arial"/>
                <w:iCs/>
              </w:rPr>
            </w:pPr>
            <w:r w:rsidRPr="00FC08A6">
              <w:rPr>
                <w:rFonts w:cs="Arial"/>
                <w:iCs/>
              </w:rPr>
              <w:t>No</w:t>
            </w:r>
          </w:p>
        </w:tc>
      </w:tr>
      <w:tr w:rsidR="006922BB" w:rsidRPr="009A5185" w14:paraId="726B030A" w14:textId="77777777" w:rsidTr="00C641A4">
        <w:trPr>
          <w:trHeight w:val="504"/>
        </w:trPr>
        <w:tc>
          <w:tcPr>
            <w:tcW w:w="7177" w:type="dxa"/>
            <w:vAlign w:val="center"/>
          </w:tcPr>
          <w:p w14:paraId="3B9FD4C8" w14:textId="347A03E2" w:rsidR="006922BB" w:rsidRPr="009E40B6" w:rsidRDefault="006922BB" w:rsidP="00AD309C">
            <w:pPr>
              <w:pStyle w:val="BodyText2"/>
              <w:numPr>
                <w:ilvl w:val="0"/>
                <w:numId w:val="54"/>
              </w:numPr>
              <w:rPr>
                <w:rFonts w:cs="Arial"/>
                <w:i w:val="0"/>
                <w:color w:val="auto"/>
              </w:rPr>
            </w:pPr>
            <w:r w:rsidRPr="009A5185">
              <w:rPr>
                <w:rFonts w:cs="Arial"/>
                <w:i w:val="0"/>
                <w:color w:val="auto"/>
              </w:rPr>
              <w:t>We make a copy of this policy available to patients, patients’ family members, and payers upon request.</w:t>
            </w:r>
          </w:p>
        </w:tc>
        <w:tc>
          <w:tcPr>
            <w:tcW w:w="2155" w:type="dxa"/>
            <w:vAlign w:val="center"/>
          </w:tcPr>
          <w:p w14:paraId="7DB2C0FD" w14:textId="77777777" w:rsidR="006922BB" w:rsidRPr="00FC08A6" w:rsidRDefault="006922BB" w:rsidP="00AD309C">
            <w:pPr>
              <w:pStyle w:val="EndnoteText"/>
              <w:numPr>
                <w:ilvl w:val="0"/>
                <w:numId w:val="245"/>
              </w:numPr>
              <w:rPr>
                <w:rFonts w:cs="Arial"/>
                <w:iCs/>
              </w:rPr>
            </w:pPr>
            <w:r w:rsidRPr="00FC08A6">
              <w:rPr>
                <w:rFonts w:cs="Arial"/>
                <w:iCs/>
              </w:rPr>
              <w:t>Yes</w:t>
            </w:r>
          </w:p>
          <w:p w14:paraId="4DA29CED" w14:textId="77777777" w:rsidR="006922BB" w:rsidRPr="00FC08A6" w:rsidRDefault="006922BB" w:rsidP="00AD309C">
            <w:pPr>
              <w:pStyle w:val="EndnoteText"/>
              <w:numPr>
                <w:ilvl w:val="0"/>
                <w:numId w:val="245"/>
              </w:numPr>
              <w:rPr>
                <w:rFonts w:cs="Arial"/>
                <w:iCs/>
              </w:rPr>
            </w:pPr>
            <w:r w:rsidRPr="00FC08A6">
              <w:rPr>
                <w:rFonts w:cs="Arial"/>
                <w:iCs/>
              </w:rPr>
              <w:t>No</w:t>
            </w:r>
          </w:p>
        </w:tc>
      </w:tr>
      <w:tr w:rsidR="006922BB" w:rsidRPr="009A5185" w14:paraId="18B8FD48" w14:textId="77777777" w:rsidTr="00B81910">
        <w:trPr>
          <w:trHeight w:val="504"/>
        </w:trPr>
        <w:tc>
          <w:tcPr>
            <w:tcW w:w="7177" w:type="dxa"/>
            <w:vAlign w:val="center"/>
          </w:tcPr>
          <w:p w14:paraId="2AF77C86" w14:textId="7B9C2E51" w:rsidR="00CE5AC0" w:rsidRPr="009E40B6" w:rsidRDefault="006922BB" w:rsidP="00AD309C">
            <w:pPr>
              <w:pStyle w:val="BodyText2"/>
              <w:numPr>
                <w:ilvl w:val="0"/>
                <w:numId w:val="54"/>
              </w:numPr>
              <w:rPr>
                <w:rFonts w:cs="Arial"/>
              </w:rPr>
            </w:pPr>
            <w:r w:rsidRPr="009A5185">
              <w:rPr>
                <w:rFonts w:cs="Arial"/>
                <w:i w:val="0"/>
                <w:color w:val="auto"/>
              </w:rPr>
              <w:t>We interview patients and/or families</w:t>
            </w:r>
            <w:r>
              <w:rPr>
                <w:rFonts w:cs="Arial"/>
                <w:i w:val="0"/>
                <w:color w:val="auto"/>
              </w:rPr>
              <w:t>,</w:t>
            </w:r>
            <w:r w:rsidRPr="009A5185">
              <w:rPr>
                <w:rFonts w:cs="Arial"/>
                <w:i w:val="0"/>
                <w:color w:val="auto"/>
              </w:rPr>
              <w:t xml:space="preserve"> who are willing and able, to gather evidence for the</w:t>
            </w:r>
            <w:r w:rsidR="00BF2133">
              <w:rPr>
                <w:rFonts w:cs="Arial"/>
                <w:i w:val="0"/>
                <w:color w:val="auto"/>
              </w:rPr>
              <w:t xml:space="preserve"> </w:t>
            </w:r>
            <w:hyperlink w:anchor="Endnote39_RCA" w:history="1">
              <w:r w:rsidR="00BF2133" w:rsidRPr="00BF2133">
                <w:rPr>
                  <w:rStyle w:val="Hyperlink"/>
                  <w:rFonts w:cs="Arial"/>
                  <w:i w:val="0"/>
                </w:rPr>
                <w:t>root cause analysis</w:t>
              </w:r>
            </w:hyperlink>
            <w:r w:rsidR="00BF2133" w:rsidRPr="00BF2133">
              <w:rPr>
                <w:rFonts w:cs="Arial"/>
                <w:i w:val="0"/>
                <w:color w:val="auto"/>
                <w:vertAlign w:val="superscript"/>
              </w:rPr>
              <w:t>5</w:t>
            </w:r>
            <w:r w:rsidR="00540485">
              <w:rPr>
                <w:rFonts w:cs="Arial"/>
                <w:i w:val="0"/>
                <w:color w:val="auto"/>
                <w:vertAlign w:val="superscript"/>
              </w:rPr>
              <w:t>0</w:t>
            </w:r>
            <w:r w:rsidRPr="009A5185">
              <w:rPr>
                <w:rFonts w:cs="Arial"/>
                <w:i w:val="0"/>
                <w:color w:val="auto"/>
              </w:rPr>
              <w:t>.</w:t>
            </w:r>
            <w:r w:rsidR="00090DB8">
              <w:rPr>
                <w:rFonts w:cs="Arial"/>
                <w:i w:val="0"/>
                <w:color w:val="auto"/>
              </w:rPr>
              <w:t xml:space="preserve"> </w:t>
            </w:r>
          </w:p>
        </w:tc>
        <w:tc>
          <w:tcPr>
            <w:tcW w:w="2155" w:type="dxa"/>
            <w:vAlign w:val="center"/>
          </w:tcPr>
          <w:p w14:paraId="7370DA5F" w14:textId="77777777" w:rsidR="006922BB" w:rsidRPr="00FC08A6" w:rsidRDefault="006922BB" w:rsidP="00AD309C">
            <w:pPr>
              <w:pStyle w:val="EndnoteText"/>
              <w:numPr>
                <w:ilvl w:val="0"/>
                <w:numId w:val="245"/>
              </w:numPr>
              <w:rPr>
                <w:rFonts w:cs="Arial"/>
                <w:iCs/>
              </w:rPr>
            </w:pPr>
            <w:r w:rsidRPr="00FC08A6">
              <w:rPr>
                <w:rFonts w:cs="Arial"/>
                <w:iCs/>
              </w:rPr>
              <w:t>Yes</w:t>
            </w:r>
          </w:p>
          <w:p w14:paraId="4B766978" w14:textId="77777777" w:rsidR="006922BB" w:rsidRPr="006A67FA" w:rsidRDefault="006922BB" w:rsidP="00AD309C">
            <w:pPr>
              <w:pStyle w:val="EndnoteText"/>
              <w:numPr>
                <w:ilvl w:val="0"/>
                <w:numId w:val="245"/>
              </w:numPr>
              <w:rPr>
                <w:rFonts w:cs="Arial"/>
                <w:iCs/>
              </w:rPr>
            </w:pPr>
            <w:r w:rsidRPr="00FC08A6">
              <w:rPr>
                <w:rFonts w:cs="Arial"/>
                <w:iCs/>
              </w:rPr>
              <w:t>No</w:t>
            </w:r>
          </w:p>
        </w:tc>
      </w:tr>
      <w:tr w:rsidR="006922BB" w:rsidRPr="009A5185" w14:paraId="3E254049" w14:textId="77777777" w:rsidTr="00B81910">
        <w:trPr>
          <w:trHeight w:val="792"/>
        </w:trPr>
        <w:tc>
          <w:tcPr>
            <w:tcW w:w="7177" w:type="dxa"/>
            <w:vAlign w:val="center"/>
          </w:tcPr>
          <w:p w14:paraId="3239D8DF" w14:textId="3755FC8C" w:rsidR="00CE5AC0" w:rsidRPr="009E40B6" w:rsidRDefault="006922BB" w:rsidP="00AD309C">
            <w:pPr>
              <w:pStyle w:val="BodyText2"/>
              <w:numPr>
                <w:ilvl w:val="0"/>
                <w:numId w:val="54"/>
              </w:numPr>
              <w:rPr>
                <w:rFonts w:cs="Arial"/>
              </w:rPr>
            </w:pPr>
            <w:r w:rsidRPr="009A5185">
              <w:rPr>
                <w:rFonts w:cs="Arial"/>
                <w:i w:val="0"/>
                <w:color w:val="auto"/>
              </w:rPr>
              <w:t xml:space="preserve">We inform the patient and/or </w:t>
            </w:r>
            <w:r>
              <w:rPr>
                <w:rFonts w:cs="Arial"/>
                <w:i w:val="0"/>
                <w:color w:val="auto"/>
              </w:rPr>
              <w:t>the patient’s</w:t>
            </w:r>
            <w:r w:rsidRPr="009A5185">
              <w:rPr>
                <w:rFonts w:cs="Arial"/>
                <w:i w:val="0"/>
                <w:color w:val="auto"/>
              </w:rPr>
              <w:t xml:space="preserve"> family of the action(s) that our hospital will take to prevent future recurrences of similar events based on the findings from the</w:t>
            </w:r>
            <w:r w:rsidR="00122E1F">
              <w:rPr>
                <w:rFonts w:cs="Arial"/>
                <w:i w:val="0"/>
                <w:color w:val="auto"/>
              </w:rPr>
              <w:t xml:space="preserve"> </w:t>
            </w:r>
            <w:hyperlink w:anchor="Endnote39_RCA" w:history="1">
              <w:r w:rsidR="00122E1F" w:rsidRPr="00BF2133">
                <w:rPr>
                  <w:rStyle w:val="Hyperlink"/>
                  <w:rFonts w:cs="Arial"/>
                  <w:i w:val="0"/>
                </w:rPr>
                <w:t>root cause analysis</w:t>
              </w:r>
            </w:hyperlink>
            <w:r w:rsidR="00122E1F" w:rsidRPr="00BF2133">
              <w:rPr>
                <w:rFonts w:cs="Arial"/>
                <w:i w:val="0"/>
                <w:color w:val="auto"/>
                <w:vertAlign w:val="superscript"/>
              </w:rPr>
              <w:t>5</w:t>
            </w:r>
            <w:r w:rsidR="002A2DC2">
              <w:rPr>
                <w:rFonts w:cs="Arial"/>
                <w:i w:val="0"/>
                <w:color w:val="auto"/>
                <w:vertAlign w:val="superscript"/>
              </w:rPr>
              <w:t>0</w:t>
            </w:r>
            <w:r w:rsidR="00122E1F" w:rsidRPr="009A5185">
              <w:rPr>
                <w:rFonts w:cs="Arial"/>
                <w:i w:val="0"/>
                <w:color w:val="auto"/>
              </w:rPr>
              <w:t>.</w:t>
            </w:r>
          </w:p>
        </w:tc>
        <w:tc>
          <w:tcPr>
            <w:tcW w:w="2155" w:type="dxa"/>
            <w:vAlign w:val="center"/>
          </w:tcPr>
          <w:p w14:paraId="7041BF78" w14:textId="77777777" w:rsidR="006922BB" w:rsidRPr="00FC08A6" w:rsidRDefault="006922BB" w:rsidP="00AD309C">
            <w:pPr>
              <w:pStyle w:val="EndnoteText"/>
              <w:numPr>
                <w:ilvl w:val="0"/>
                <w:numId w:val="245"/>
              </w:numPr>
              <w:rPr>
                <w:rFonts w:cs="Arial"/>
                <w:iCs/>
              </w:rPr>
            </w:pPr>
            <w:r w:rsidRPr="00FC08A6">
              <w:rPr>
                <w:rFonts w:cs="Arial"/>
                <w:iCs/>
              </w:rPr>
              <w:t>Yes</w:t>
            </w:r>
          </w:p>
          <w:p w14:paraId="255B6458" w14:textId="77777777" w:rsidR="006922BB" w:rsidRPr="006A67FA" w:rsidRDefault="006922BB" w:rsidP="00AD309C">
            <w:pPr>
              <w:pStyle w:val="EndnoteText"/>
              <w:numPr>
                <w:ilvl w:val="0"/>
                <w:numId w:val="245"/>
              </w:numPr>
              <w:rPr>
                <w:rFonts w:cs="Arial"/>
                <w:iCs/>
              </w:rPr>
            </w:pPr>
            <w:r w:rsidRPr="00FC08A6">
              <w:rPr>
                <w:rFonts w:cs="Arial"/>
                <w:iCs/>
              </w:rPr>
              <w:t>No</w:t>
            </w:r>
          </w:p>
        </w:tc>
      </w:tr>
      <w:tr w:rsidR="006922BB" w:rsidRPr="009A5185" w14:paraId="3B26D881" w14:textId="77777777" w:rsidTr="00B81910">
        <w:trPr>
          <w:trHeight w:val="720"/>
        </w:trPr>
        <w:tc>
          <w:tcPr>
            <w:tcW w:w="7177" w:type="dxa"/>
            <w:tcBorders>
              <w:bottom w:val="single" w:sz="4" w:space="0" w:color="auto"/>
            </w:tcBorders>
            <w:vAlign w:val="center"/>
          </w:tcPr>
          <w:p w14:paraId="077F0E7C" w14:textId="2CA685FC" w:rsidR="006922BB" w:rsidRPr="009E40B6" w:rsidRDefault="006922BB" w:rsidP="00AD309C">
            <w:pPr>
              <w:pStyle w:val="ListParagraph"/>
              <w:numPr>
                <w:ilvl w:val="0"/>
                <w:numId w:val="54"/>
              </w:numPr>
              <w:rPr>
                <w:rFonts w:cs="Arial"/>
              </w:rPr>
            </w:pPr>
            <w:r w:rsidRPr="009A5185">
              <w:rPr>
                <w:rFonts w:cs="Arial"/>
              </w:rPr>
              <w:t xml:space="preserve">We have a protocol in place to provide support for caregivers involved in </w:t>
            </w:r>
            <w:hyperlink w:anchor="Endnote36_NeverEvent" w:history="1">
              <w:r w:rsidRPr="009A5185">
                <w:rPr>
                  <w:rStyle w:val="Hyperlink"/>
                  <w:rFonts w:cs="Arial"/>
                </w:rPr>
                <w:t>never events</w:t>
              </w:r>
            </w:hyperlink>
            <w:r w:rsidRPr="00D14D23">
              <w:rPr>
                <w:vertAlign w:val="superscript"/>
              </w:rPr>
              <w:fldChar w:fldCharType="begin"/>
            </w:r>
            <w:r w:rsidRPr="00D14D23">
              <w:rPr>
                <w:rStyle w:val="Hyperlink"/>
                <w:rFonts w:cs="Arial"/>
              </w:rPr>
              <w:instrText xml:space="preserve"> NOTEREF _Ref534278133 \f \h </w:instrText>
            </w:r>
            <w:r w:rsidRPr="00D14D23">
              <w:rPr>
                <w:vertAlign w:val="superscript"/>
              </w:rPr>
              <w:instrText xml:space="preserve"> \* MERGEFORMAT </w:instrText>
            </w:r>
            <w:r w:rsidRPr="00D14D23">
              <w:rPr>
                <w:vertAlign w:val="superscript"/>
              </w:rPr>
            </w:r>
            <w:r w:rsidRPr="00D14D23">
              <w:rPr>
                <w:vertAlign w:val="superscript"/>
              </w:rPr>
              <w:fldChar w:fldCharType="separate"/>
            </w:r>
            <w:r w:rsidR="007D53A2" w:rsidRPr="00995FE1">
              <w:rPr>
                <w:rStyle w:val="EndnoteReference"/>
              </w:rPr>
              <w:t>47</w:t>
            </w:r>
            <w:r w:rsidRPr="00D14D23">
              <w:rPr>
                <w:vertAlign w:val="superscript"/>
              </w:rPr>
              <w:fldChar w:fldCharType="end"/>
            </w:r>
            <w:r w:rsidRPr="00D14D23">
              <w:rPr>
                <w:rFonts w:cs="Arial"/>
              </w:rPr>
              <w:t xml:space="preserve"> </w:t>
            </w:r>
            <w:r w:rsidRPr="009A5185">
              <w:rPr>
                <w:rFonts w:cs="Arial"/>
              </w:rPr>
              <w:t>and make that protocol known to all caregivers and affiliated clinicians.</w:t>
            </w:r>
          </w:p>
        </w:tc>
        <w:tc>
          <w:tcPr>
            <w:tcW w:w="2155" w:type="dxa"/>
            <w:vAlign w:val="center"/>
          </w:tcPr>
          <w:p w14:paraId="305B58C1" w14:textId="77777777" w:rsidR="006922BB" w:rsidRPr="00FC08A6" w:rsidRDefault="006922BB" w:rsidP="00AD309C">
            <w:pPr>
              <w:pStyle w:val="EndnoteText"/>
              <w:numPr>
                <w:ilvl w:val="0"/>
                <w:numId w:val="245"/>
              </w:numPr>
              <w:rPr>
                <w:rFonts w:cs="Arial"/>
                <w:iCs/>
              </w:rPr>
            </w:pPr>
            <w:r w:rsidRPr="00FC08A6">
              <w:rPr>
                <w:rFonts w:cs="Arial"/>
                <w:iCs/>
              </w:rPr>
              <w:t>Yes</w:t>
            </w:r>
          </w:p>
          <w:p w14:paraId="3B68B64F" w14:textId="77777777" w:rsidR="006922BB" w:rsidRPr="006A67FA" w:rsidRDefault="006922BB" w:rsidP="00AD309C">
            <w:pPr>
              <w:pStyle w:val="EndnoteText"/>
              <w:numPr>
                <w:ilvl w:val="0"/>
                <w:numId w:val="245"/>
              </w:numPr>
              <w:rPr>
                <w:rFonts w:cs="Arial"/>
                <w:iCs/>
              </w:rPr>
            </w:pPr>
            <w:r w:rsidRPr="00FC08A6">
              <w:rPr>
                <w:rFonts w:cs="Arial"/>
                <w:iCs/>
              </w:rPr>
              <w:t>No</w:t>
            </w:r>
          </w:p>
        </w:tc>
      </w:tr>
      <w:tr w:rsidR="006922BB" w:rsidRPr="009A5185" w14:paraId="3559A0B6" w14:textId="77777777" w:rsidTr="00C641A4">
        <w:trPr>
          <w:trHeight w:val="288"/>
        </w:trPr>
        <w:tc>
          <w:tcPr>
            <w:tcW w:w="7177" w:type="dxa"/>
            <w:tcBorders>
              <w:bottom w:val="single" w:sz="4" w:space="0" w:color="auto"/>
            </w:tcBorders>
            <w:vAlign w:val="center"/>
          </w:tcPr>
          <w:p w14:paraId="5C4CA49A" w14:textId="235609EF" w:rsidR="006922BB" w:rsidRDefault="006922BB" w:rsidP="00AD309C">
            <w:pPr>
              <w:pStyle w:val="BodyText2"/>
              <w:numPr>
                <w:ilvl w:val="0"/>
                <w:numId w:val="54"/>
              </w:numPr>
              <w:rPr>
                <w:rFonts w:cs="Arial"/>
                <w:i w:val="0"/>
                <w:color w:val="auto"/>
              </w:rPr>
            </w:pPr>
            <w:r w:rsidRPr="009A5185">
              <w:rPr>
                <w:rFonts w:cs="Arial"/>
                <w:i w:val="0"/>
                <w:color w:val="auto"/>
              </w:rPr>
              <w:t xml:space="preserve">We perform an annual review to ensure compliance with each element of Leapfrog’s Never Events Policy for each </w:t>
            </w:r>
            <w:hyperlink w:anchor="Endnote36_NeverEvent" w:history="1">
              <w:r w:rsidR="00D73F6A" w:rsidRPr="00D73F6A">
                <w:rPr>
                  <w:rStyle w:val="Hyperlink"/>
                  <w:rFonts w:cs="Arial"/>
                  <w:i w:val="0"/>
                </w:rPr>
                <w:t>never event</w:t>
              </w:r>
            </w:hyperlink>
            <w:r w:rsidR="00D73F6A" w:rsidRPr="00D73F6A">
              <w:rPr>
                <w:rFonts w:cs="Arial"/>
                <w:i w:val="0"/>
                <w:color w:val="auto"/>
                <w:vertAlign w:val="superscript"/>
              </w:rPr>
              <w:t>4</w:t>
            </w:r>
            <w:r w:rsidR="002A2DC2">
              <w:rPr>
                <w:rFonts w:cs="Arial"/>
                <w:i w:val="0"/>
                <w:color w:val="auto"/>
                <w:vertAlign w:val="superscript"/>
              </w:rPr>
              <w:t>7</w:t>
            </w:r>
            <w:r w:rsidR="00D73F6A">
              <w:rPr>
                <w:rFonts w:cs="Arial"/>
                <w:i w:val="0"/>
                <w:color w:val="auto"/>
              </w:rPr>
              <w:t xml:space="preserve"> </w:t>
            </w:r>
            <w:r w:rsidRPr="009A5185">
              <w:rPr>
                <w:rFonts w:cs="Arial"/>
                <w:i w:val="0"/>
                <w:color w:val="auto"/>
              </w:rPr>
              <w:t>that occurred.</w:t>
            </w:r>
          </w:p>
          <w:p w14:paraId="03539CB0" w14:textId="77777777" w:rsidR="006922BB" w:rsidRPr="00CE5AC0" w:rsidRDefault="006922BB" w:rsidP="0027679D">
            <w:pPr>
              <w:pStyle w:val="BodyText2"/>
              <w:ind w:left="360"/>
              <w:rPr>
                <w:rFonts w:cs="Arial"/>
                <w:iCs/>
                <w:color w:val="auto"/>
                <w:sz w:val="16"/>
                <w:szCs w:val="16"/>
              </w:rPr>
            </w:pPr>
          </w:p>
          <w:p w14:paraId="39AEBF44" w14:textId="68B652FF" w:rsidR="00F45F4C" w:rsidRPr="0064417A" w:rsidRDefault="00AB0525" w:rsidP="0027679D">
            <w:pPr>
              <w:pStyle w:val="BodyText2"/>
              <w:ind w:left="360"/>
              <w:rPr>
                <w:rFonts w:cs="Arial"/>
                <w:iCs/>
                <w:color w:val="auto"/>
              </w:rPr>
            </w:pPr>
            <w:bookmarkStart w:id="636" w:name="_Hlk162548375"/>
            <w:r>
              <w:rPr>
                <w:rFonts w:cs="Arial"/>
                <w:iCs/>
                <w:color w:val="auto"/>
              </w:rPr>
              <w:t>If “no” to any question</w:t>
            </w:r>
            <w:r w:rsidR="006760C3">
              <w:rPr>
                <w:rFonts w:cs="Arial"/>
                <w:iCs/>
                <w:color w:val="auto"/>
              </w:rPr>
              <w:t>s</w:t>
            </w:r>
            <w:r>
              <w:rPr>
                <w:rFonts w:cs="Arial"/>
                <w:iCs/>
                <w:color w:val="auto"/>
              </w:rPr>
              <w:t xml:space="preserve"> #1-8, skip this question and </w:t>
            </w:r>
            <w:r w:rsidR="000C20C6">
              <w:rPr>
                <w:rFonts w:cs="Arial"/>
                <w:iCs/>
                <w:color w:val="auto"/>
              </w:rPr>
              <w:t>continue</w:t>
            </w:r>
            <w:r>
              <w:rPr>
                <w:rFonts w:cs="Arial"/>
                <w:iCs/>
                <w:color w:val="auto"/>
              </w:rPr>
              <w:t xml:space="preserve"> to the next subsection. </w:t>
            </w:r>
            <w:bookmarkEnd w:id="636"/>
          </w:p>
        </w:tc>
        <w:tc>
          <w:tcPr>
            <w:tcW w:w="2155" w:type="dxa"/>
            <w:vAlign w:val="center"/>
          </w:tcPr>
          <w:p w14:paraId="7FEC5770" w14:textId="77777777" w:rsidR="006922BB" w:rsidRPr="00FC08A6" w:rsidRDefault="006922BB" w:rsidP="00AD309C">
            <w:pPr>
              <w:pStyle w:val="EndnoteText"/>
              <w:numPr>
                <w:ilvl w:val="0"/>
                <w:numId w:val="245"/>
              </w:numPr>
              <w:rPr>
                <w:rFonts w:cs="Arial"/>
                <w:iCs/>
              </w:rPr>
            </w:pPr>
            <w:r w:rsidRPr="00FC08A6">
              <w:rPr>
                <w:rFonts w:cs="Arial"/>
                <w:iCs/>
              </w:rPr>
              <w:t>Yes</w:t>
            </w:r>
          </w:p>
          <w:p w14:paraId="28E35C53" w14:textId="77777777" w:rsidR="006922BB" w:rsidRPr="006A67FA" w:rsidRDefault="006922BB" w:rsidP="00AD309C">
            <w:pPr>
              <w:pStyle w:val="EndnoteText"/>
              <w:numPr>
                <w:ilvl w:val="0"/>
                <w:numId w:val="245"/>
              </w:numPr>
              <w:rPr>
                <w:rFonts w:cs="Arial"/>
                <w:iCs/>
              </w:rPr>
            </w:pPr>
            <w:r w:rsidRPr="00FC08A6">
              <w:rPr>
                <w:rFonts w:cs="Arial"/>
                <w:iCs/>
              </w:rPr>
              <w:t>No</w:t>
            </w:r>
          </w:p>
        </w:tc>
      </w:tr>
    </w:tbl>
    <w:p w14:paraId="4F1B4A45" w14:textId="30574DF9" w:rsidR="00F45F4C" w:rsidRPr="009A5185" w:rsidRDefault="00F45F4C" w:rsidP="00CF5A6E">
      <w:pPr>
        <w:pStyle w:val="Heading2"/>
      </w:pPr>
      <w:bookmarkStart w:id="637" w:name="_Toc225877809"/>
      <w:r w:rsidRPr="009A5185">
        <w:t>7B: Healthcare-Associated Infections</w:t>
      </w:r>
      <w:bookmarkEnd w:id="637"/>
    </w:p>
    <w:p w14:paraId="64FD130E" w14:textId="77777777" w:rsidR="00F45F4C" w:rsidRPr="009A5185" w:rsidRDefault="00F45F4C" w:rsidP="00F45F4C">
      <w:pPr>
        <w:rPr>
          <w:rFonts w:cs="Arial"/>
          <w:lang w:eastAsia="ja-JP"/>
        </w:rPr>
      </w:pPr>
    </w:p>
    <w:p w14:paraId="5BD0F6B2" w14:textId="473D5D22" w:rsidR="00F45F4C" w:rsidRPr="009A5185" w:rsidRDefault="00F45F4C" w:rsidP="00F45F4C">
      <w:pPr>
        <w:rPr>
          <w:rFonts w:cs="Arial"/>
          <w:b/>
        </w:rPr>
      </w:pPr>
      <w:r w:rsidRPr="009A5185">
        <w:rPr>
          <w:rFonts w:cs="Arial"/>
          <w:snapToGrid w:val="0"/>
        </w:rPr>
        <w:t xml:space="preserve">Hospitals that share a </w:t>
      </w:r>
      <w:r>
        <w:rPr>
          <w:rFonts w:cs="Arial"/>
          <w:snapToGrid w:val="0"/>
        </w:rPr>
        <w:t>CMS Certification Number</w:t>
      </w:r>
      <w:r w:rsidRPr="009A5185">
        <w:rPr>
          <w:rFonts w:cs="Arial"/>
          <w:snapToGrid w:val="0"/>
        </w:rPr>
        <w:t xml:space="preserve"> must have a unique NHSN ID as required by NHSN. Please carefully review Leapfrog’s </w:t>
      </w:r>
      <w:r w:rsidR="003C2B03">
        <w:rPr>
          <w:rFonts w:cs="Arial"/>
          <w:snapToGrid w:val="0"/>
        </w:rPr>
        <w:t xml:space="preserve">Multi-Campus Reporting Policy on the </w:t>
      </w:r>
      <w:hyperlink r:id="rId415" w:history="1">
        <w:r w:rsidR="001C44C9" w:rsidRPr="001A2CED">
          <w:rPr>
            <w:rStyle w:val="Hyperlink"/>
            <w:rFonts w:cs="Arial"/>
            <w:snapToGrid w:val="0"/>
          </w:rPr>
          <w:t xml:space="preserve">Review NHSN Instructions </w:t>
        </w:r>
        <w:r w:rsidR="001A2CED" w:rsidRPr="001A2CED">
          <w:rPr>
            <w:rStyle w:val="Hyperlink"/>
            <w:rFonts w:cs="Arial"/>
            <w:snapToGrid w:val="0"/>
          </w:rPr>
          <w:t xml:space="preserve"> webpage</w:t>
        </w:r>
      </w:hyperlink>
      <w:r w:rsidRPr="009A5185">
        <w:rPr>
          <w:rFonts w:cs="Arial"/>
          <w:snapToGrid w:val="0"/>
        </w:rPr>
        <w:t>.</w:t>
      </w:r>
    </w:p>
    <w:p w14:paraId="7A94F91B" w14:textId="77777777" w:rsidR="00F45F4C" w:rsidRDefault="00F45F4C" w:rsidP="00F45F4C">
      <w:pPr>
        <w:rPr>
          <w:rFonts w:cs="Arial"/>
          <w:b/>
          <w:snapToGrid w:val="0"/>
        </w:rPr>
      </w:pPr>
    </w:p>
    <w:p w14:paraId="402576F9" w14:textId="422B7C14" w:rsidR="00F45F4C" w:rsidRDefault="00F45F4C" w:rsidP="00F45F4C">
      <w:pPr>
        <w:rPr>
          <w:rFonts w:cs="Arial"/>
        </w:rPr>
      </w:pPr>
      <w:r w:rsidRPr="009A5185">
        <w:rPr>
          <w:rFonts w:cs="Arial"/>
          <w:b/>
          <w:snapToGrid w:val="0"/>
        </w:rPr>
        <w:t>Specifications:</w:t>
      </w:r>
      <w:r w:rsidRPr="009A5185">
        <w:rPr>
          <w:rFonts w:cs="Arial"/>
          <w:snapToGrid w:val="0"/>
        </w:rPr>
        <w:t xml:space="preserve"> See </w:t>
      </w:r>
      <w:hyperlink w:anchor="_Healthcare-Associated_Infections_Me_1" w:history="1">
        <w:r>
          <w:rPr>
            <w:rStyle w:val="Hyperlink"/>
            <w:rFonts w:cs="Arial"/>
            <w:b/>
            <w:i/>
            <w:snapToGrid w:val="0"/>
          </w:rPr>
          <w:t>Healthcare-Associated Infections Measure Specifications</w:t>
        </w:r>
      </w:hyperlink>
      <w:r w:rsidRPr="009A5185">
        <w:rPr>
          <w:rFonts w:cs="Arial"/>
        </w:rPr>
        <w:t xml:space="preserve"> </w:t>
      </w:r>
      <w:r w:rsidRPr="009A5185">
        <w:rPr>
          <w:rFonts w:cs="Arial"/>
          <w:snapToGrid w:val="0"/>
        </w:rPr>
        <w:t xml:space="preserve">in the Reference Information </w:t>
      </w:r>
      <w:r w:rsidR="00BD32AD">
        <w:rPr>
          <w:rFonts w:cs="Arial"/>
        </w:rPr>
        <w:t xml:space="preserve">beginning on page </w:t>
      </w:r>
      <w:r w:rsidR="00A01DE7">
        <w:rPr>
          <w:rFonts w:cs="Arial"/>
        </w:rPr>
        <w:t>26</w:t>
      </w:r>
      <w:r w:rsidR="002D6D62">
        <w:rPr>
          <w:rFonts w:cs="Arial"/>
        </w:rPr>
        <w:t>8</w:t>
      </w:r>
      <w:r w:rsidR="00A01DE7">
        <w:rPr>
          <w:rFonts w:cs="Arial"/>
        </w:rPr>
        <w:t>.</w:t>
      </w:r>
    </w:p>
    <w:p w14:paraId="5719D979" w14:textId="77777777" w:rsidR="00454B36" w:rsidRPr="009A5185" w:rsidRDefault="00454B36" w:rsidP="00F45F4C">
      <w:pPr>
        <w:rPr>
          <w:rFonts w:cs="Arial"/>
          <w:snapToGrid w:val="0"/>
        </w:rPr>
      </w:pPr>
    </w:p>
    <w:p w14:paraId="11808762" w14:textId="77CA1385" w:rsidR="00F45F4C" w:rsidRPr="00B967F4" w:rsidRDefault="00454B36" w:rsidP="00F45F4C">
      <w:pPr>
        <w:ind w:right="-108"/>
        <w:rPr>
          <w:rFonts w:cs="Arial"/>
          <w:b/>
          <w:i/>
          <w:snapToGrid w:val="0"/>
        </w:rPr>
      </w:pPr>
      <w:r w:rsidRPr="00B967F4">
        <w:rPr>
          <w:rFonts w:cs="Arial"/>
          <w:b/>
          <w:i/>
          <w:noProof/>
          <w:snapToGrid w:val="0"/>
        </w:rPr>
        <mc:AlternateContent>
          <mc:Choice Requires="wps">
            <w:drawing>
              <wp:inline distT="0" distB="0" distL="0" distR="0" wp14:anchorId="1E5BC137" wp14:editId="1B510380">
                <wp:extent cx="5852160" cy="1404620"/>
                <wp:effectExtent l="0" t="0" r="15240" b="27305"/>
                <wp:docPr id="40" name="Text Box 40" descr="P10018TB29#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2160" cy="1404620"/>
                        </a:xfrm>
                        <a:prstGeom prst="rect">
                          <a:avLst/>
                        </a:prstGeom>
                        <a:solidFill>
                          <a:srgbClr val="FFFFFF"/>
                        </a:solidFill>
                        <a:ln w="9525">
                          <a:solidFill>
                            <a:srgbClr val="FF0000"/>
                          </a:solidFill>
                          <a:miter lim="800000"/>
                          <a:headEnd/>
                          <a:tailEnd/>
                        </a:ln>
                      </wps:spPr>
                      <wps:txbx>
                        <w:txbxContent>
                          <w:p w14:paraId="0DDA01DC" w14:textId="092BCC7B" w:rsidR="00454B36" w:rsidRPr="00A10EEC" w:rsidRDefault="00454B36" w:rsidP="00454B36">
                            <w:pPr>
                              <w:spacing w:before="120"/>
                              <w:rPr>
                                <w:rFonts w:cs="Arial"/>
                                <w:snapToGrid w:val="0"/>
                              </w:rPr>
                            </w:pPr>
                            <w:r w:rsidRPr="00A10EEC">
                              <w:rPr>
                                <w:rFonts w:cs="Arial"/>
                                <w:b/>
                                <w:snapToGrid w:val="0"/>
                              </w:rPr>
                              <w:t>Reporting Period: 12 months</w:t>
                            </w:r>
                          </w:p>
                          <w:p w14:paraId="7F8619C7" w14:textId="6C504B7E" w:rsidR="00454B36" w:rsidRPr="007E0ED9" w:rsidRDefault="00454B36" w:rsidP="00AD309C">
                            <w:pPr>
                              <w:pStyle w:val="ListParagraph"/>
                              <w:numPr>
                                <w:ilvl w:val="0"/>
                                <w:numId w:val="34"/>
                              </w:numPr>
                              <w:spacing w:after="120"/>
                              <w:rPr>
                                <w:rFonts w:cs="Arial"/>
                                <w:i/>
                                <w:snapToGrid w:val="0"/>
                              </w:rPr>
                            </w:pPr>
                            <w:r w:rsidRPr="007E0ED9">
                              <w:rPr>
                                <w:rFonts w:cs="Arial"/>
                                <w:snapToGrid w:val="0"/>
                              </w:rPr>
                              <w:t xml:space="preserve">June and August Data Downloads: </w:t>
                            </w:r>
                            <w:r w:rsidRPr="007E0ED9">
                              <w:t>01/01/202</w:t>
                            </w:r>
                            <w:r w:rsidR="00965998">
                              <w:t>5</w:t>
                            </w:r>
                            <w:r w:rsidRPr="007E0ED9">
                              <w:t xml:space="preserve"> – 12/31/202</w:t>
                            </w:r>
                            <w:r w:rsidR="00965998">
                              <w:t>5</w:t>
                            </w:r>
                            <w:r w:rsidRPr="007E0ED9">
                              <w:t xml:space="preserve"> </w:t>
                            </w:r>
                          </w:p>
                          <w:p w14:paraId="5697E4B9" w14:textId="259FF59A" w:rsidR="00454B36" w:rsidRPr="005F2274" w:rsidRDefault="00454B36" w:rsidP="00AD309C">
                            <w:pPr>
                              <w:pStyle w:val="ListParagraph"/>
                              <w:numPr>
                                <w:ilvl w:val="0"/>
                                <w:numId w:val="34"/>
                              </w:numPr>
                              <w:spacing w:after="120"/>
                              <w:rPr>
                                <w:rFonts w:cs="Arial"/>
                                <w:i/>
                                <w:snapToGrid w:val="0"/>
                              </w:rPr>
                            </w:pPr>
                            <w:r w:rsidRPr="007E0ED9">
                              <w:rPr>
                                <w:rFonts w:cs="Arial"/>
                                <w:snapToGrid w:val="0"/>
                              </w:rPr>
                              <w:t>October and December Data Downloads:</w:t>
                            </w:r>
                            <w:r w:rsidRPr="007E0ED9">
                              <w:rPr>
                                <w:rFonts w:cs="Arial"/>
                                <w:i/>
                                <w:snapToGrid w:val="0"/>
                              </w:rPr>
                              <w:t xml:space="preserve"> </w:t>
                            </w:r>
                            <w:r w:rsidRPr="007E0ED9">
                              <w:rPr>
                                <w:rFonts w:cs="Arial"/>
                                <w:iCs/>
                                <w:snapToGrid w:val="0"/>
                              </w:rPr>
                              <w:t>07/01/202</w:t>
                            </w:r>
                            <w:r w:rsidR="00965998">
                              <w:rPr>
                                <w:rFonts w:cs="Arial"/>
                                <w:iCs/>
                                <w:snapToGrid w:val="0"/>
                              </w:rPr>
                              <w:t>5</w:t>
                            </w:r>
                            <w:r w:rsidRPr="007E0ED9">
                              <w:rPr>
                                <w:rFonts w:cs="Arial"/>
                                <w:iCs/>
                                <w:snapToGrid w:val="0"/>
                              </w:rPr>
                              <w:t xml:space="preserve"> – 06/30/202</w:t>
                            </w:r>
                            <w:r w:rsidR="00965998">
                              <w:rPr>
                                <w:rFonts w:cs="Arial"/>
                                <w:iCs/>
                                <w:snapToGrid w:val="0"/>
                              </w:rPr>
                              <w:t>6</w:t>
                            </w:r>
                            <w:r w:rsidRPr="007E0ED9">
                              <w:rPr>
                                <w:rFonts w:cs="Arial"/>
                                <w:iCs/>
                                <w:snapToGrid w:val="0"/>
                              </w:rPr>
                              <w:t xml:space="preserve"> </w:t>
                            </w:r>
                          </w:p>
                          <w:p w14:paraId="508EFE98" w14:textId="09C2941E" w:rsidR="005F2274" w:rsidRPr="005F2274" w:rsidRDefault="005F2274" w:rsidP="005F2274">
                            <w:pPr>
                              <w:pStyle w:val="ListParagraph"/>
                              <w:numPr>
                                <w:ilvl w:val="0"/>
                                <w:numId w:val="34"/>
                              </w:numPr>
                              <w:spacing w:after="120"/>
                              <w:rPr>
                                <w:rFonts w:cs="Arial"/>
                                <w:i/>
                                <w:snapToGrid w:val="0"/>
                                <w:highlight w:val="yellow"/>
                              </w:rPr>
                            </w:pPr>
                            <w:r w:rsidRPr="005F2274">
                              <w:rPr>
                                <w:rFonts w:cs="Arial"/>
                                <w:snapToGrid w:val="0"/>
                                <w:highlight w:val="yellow"/>
                              </w:rPr>
                              <w:t>October and December Data Download for hospitals with 50 or fewer beds*:</w:t>
                            </w:r>
                            <w:r w:rsidRPr="005F2274">
                              <w:rPr>
                                <w:rFonts w:cs="Arial"/>
                                <w:i/>
                                <w:snapToGrid w:val="0"/>
                                <w:highlight w:val="yellow"/>
                              </w:rPr>
                              <w:t xml:space="preserve"> </w:t>
                            </w:r>
                            <w:r w:rsidRPr="005F2274">
                              <w:rPr>
                                <w:rFonts w:cs="Arial"/>
                                <w:iCs/>
                                <w:snapToGrid w:val="0"/>
                                <w:highlight w:val="yellow"/>
                              </w:rPr>
                              <w:t>07/01/202</w:t>
                            </w:r>
                            <w:r>
                              <w:rPr>
                                <w:rFonts w:cs="Arial"/>
                                <w:iCs/>
                                <w:snapToGrid w:val="0"/>
                                <w:highlight w:val="yellow"/>
                              </w:rPr>
                              <w:t>4</w:t>
                            </w:r>
                            <w:r w:rsidRPr="005F2274">
                              <w:rPr>
                                <w:rFonts w:cs="Arial"/>
                                <w:iCs/>
                                <w:snapToGrid w:val="0"/>
                                <w:highlight w:val="yellow"/>
                              </w:rPr>
                              <w:t xml:space="preserve"> – 06/30/2026 </w:t>
                            </w:r>
                          </w:p>
                          <w:p w14:paraId="2FB3D035" w14:textId="77777777" w:rsidR="005F2274" w:rsidRDefault="005F2274" w:rsidP="00454B36">
                            <w:pPr>
                              <w:spacing w:after="120"/>
                              <w:rPr>
                                <w:rFonts w:cs="Arial"/>
                                <w:i/>
                                <w:snapToGrid w:val="0"/>
                                <w:sz w:val="16"/>
                                <w:szCs w:val="16"/>
                              </w:rPr>
                            </w:pPr>
                            <w:r w:rsidRPr="005F2274">
                              <w:rPr>
                                <w:rFonts w:cs="Arial"/>
                                <w:i/>
                                <w:snapToGrid w:val="0"/>
                                <w:sz w:val="16"/>
                                <w:szCs w:val="16"/>
                              </w:rPr>
                              <w:t>*Bed size reported via the 2025 NHSN Patient Safety Component - Annual Survey’s “Total Number of Beds Set Up and Staffed”</w:t>
                            </w:r>
                          </w:p>
                          <w:p w14:paraId="1C2E69BF" w14:textId="5DF8DFF0" w:rsidR="00454B36" w:rsidRPr="005D6155" w:rsidRDefault="00454B36" w:rsidP="00454B36">
                            <w:pPr>
                              <w:spacing w:after="120"/>
                              <w:rPr>
                                <w:rFonts w:cs="Arial"/>
                                <w:i/>
                                <w:snapToGrid w:val="0"/>
                                <w:sz w:val="16"/>
                                <w:szCs w:val="16"/>
                              </w:rPr>
                            </w:pPr>
                            <w:r w:rsidRPr="005D6155">
                              <w:rPr>
                                <w:rFonts w:cs="Arial"/>
                                <w:i/>
                                <w:snapToGrid w:val="0"/>
                                <w:sz w:val="16"/>
                                <w:szCs w:val="16"/>
                              </w:rPr>
                              <w:t>Leapfrog will update data four times per Survey Cycle for all members of our NHSN group that have provided an accurate NHSN ID in the Hospital Profile and submitted the 202</w:t>
                            </w:r>
                            <w:r w:rsidR="00670B35">
                              <w:rPr>
                                <w:rFonts w:cs="Arial"/>
                                <w:i/>
                                <w:snapToGrid w:val="0"/>
                                <w:sz w:val="16"/>
                                <w:szCs w:val="16"/>
                              </w:rPr>
                              <w:t>6</w:t>
                            </w:r>
                            <w:r w:rsidRPr="005D6155">
                              <w:rPr>
                                <w:rFonts w:cs="Arial"/>
                                <w:i/>
                                <w:snapToGrid w:val="0"/>
                                <w:sz w:val="16"/>
                                <w:szCs w:val="16"/>
                              </w:rPr>
                              <w:t xml:space="preserve"> Leapfrog Hospital Survey. </w:t>
                            </w:r>
                          </w:p>
                          <w:p w14:paraId="6BC3A1F3" w14:textId="7CD1A311" w:rsidR="00454B36" w:rsidRPr="0064007F" w:rsidRDefault="00454B36" w:rsidP="00454B36">
                            <w:pPr>
                              <w:rPr>
                                <w:sz w:val="16"/>
                                <w:szCs w:val="16"/>
                              </w:rPr>
                            </w:pPr>
                            <w:r w:rsidRPr="0064007F">
                              <w:rPr>
                                <w:rFonts w:cs="Arial"/>
                                <w:i/>
                                <w:snapToGrid w:val="0"/>
                                <w:sz w:val="16"/>
                                <w:szCs w:val="16"/>
                              </w:rPr>
                              <w:t>Visit the</w:t>
                            </w:r>
                            <w:r w:rsidR="0064007F" w:rsidRPr="0064007F">
                              <w:rPr>
                                <w:rFonts w:cs="Arial"/>
                                <w:i/>
                                <w:snapToGrid w:val="0"/>
                                <w:sz w:val="16"/>
                                <w:szCs w:val="16"/>
                              </w:rPr>
                              <w:t xml:space="preserve"> Review NHSN Instructions</w:t>
                            </w:r>
                            <w:hyperlink r:id="rId416" w:history="1">
                              <w:r w:rsidR="0064007F" w:rsidRPr="0064007F">
                                <w:rPr>
                                  <w:rStyle w:val="Hyperlink"/>
                                  <w:rFonts w:cs="Arial"/>
                                  <w:i/>
                                  <w:snapToGrid w:val="0"/>
                                  <w:sz w:val="16"/>
                                  <w:szCs w:val="16"/>
                                </w:rPr>
                                <w:t xml:space="preserve"> webpage</w:t>
                              </w:r>
                            </w:hyperlink>
                            <w:r w:rsidRPr="0064007F">
                              <w:rPr>
                                <w:rFonts w:cs="Arial"/>
                                <w:i/>
                                <w:snapToGrid w:val="0"/>
                                <w:sz w:val="16"/>
                                <w:szCs w:val="16"/>
                              </w:rPr>
                              <w:t xml:space="preserve"> for important information on deadlines for joining Leapfrog’s NHSN Group.</w:t>
                            </w:r>
                          </w:p>
                        </w:txbxContent>
                      </wps:txbx>
                      <wps:bodyPr rot="0" vert="horz" wrap="square" lIns="91440" tIns="45720" rIns="91440" bIns="45720" anchor="t" anchorCtr="0">
                        <a:spAutoFit/>
                      </wps:bodyPr>
                    </wps:wsp>
                  </a:graphicData>
                </a:graphic>
              </wp:inline>
            </w:drawing>
          </mc:Choice>
          <mc:Fallback>
            <w:pict>
              <v:shape w14:anchorId="1E5BC137" id="Text Box 40" o:spid="_x0000_s1056" type="#_x0000_t202" alt="P10018TB29#y1" style="width:460.8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" strokecolor="red">
                <v:textbox style="mso-fit-shape-to-text:t">
                  <w:txbxContent>
                    <w:p w14:paraId="0DDA01DC" w14:textId="092BCC7B" w:rsidR="00454B36" w:rsidRPr="00A10EEC" w:rsidRDefault="00454B36" w:rsidP="00454B36">
                      <w:pPr>
                        <w:spacing w:before="120"/>
                        <w:rPr>
                          <w:rFonts w:cs="Arial"/>
                          <w:snapToGrid w:val="0"/>
                        </w:rPr>
                      </w:pPr>
                      <w:r w:rsidRPr="00A10EEC">
                        <w:rPr>
                          <w:rFonts w:cs="Arial"/>
                          <w:b/>
                          <w:snapToGrid w:val="0"/>
                        </w:rPr>
                        <w:t>Reporting Period: 12 months</w:t>
                      </w:r>
                    </w:p>
                    <w:p w14:paraId="7F8619C7" w14:textId="6C504B7E" w:rsidR="00454B36" w:rsidRPr="007E0ED9" w:rsidRDefault="00454B36" w:rsidP="00AD309C">
                      <w:pPr>
                        <w:pStyle w:val="ListParagraph"/>
                        <w:numPr>
                          <w:ilvl w:val="0"/>
                          <w:numId w:val="34"/>
                        </w:numPr>
                        <w:spacing w:after="120"/>
                        <w:rPr>
                          <w:rFonts w:cs="Arial"/>
                          <w:i/>
                          <w:snapToGrid w:val="0"/>
                        </w:rPr>
                      </w:pPr>
                      <w:r w:rsidRPr="007E0ED9">
                        <w:rPr>
                          <w:rFonts w:cs="Arial"/>
                          <w:snapToGrid w:val="0"/>
                        </w:rPr>
                        <w:t xml:space="preserve">June and August Data Downloads: </w:t>
                      </w:r>
                      <w:r w:rsidRPr="007E0ED9">
                        <w:t>01/01/202</w:t>
                      </w:r>
                      <w:r w:rsidR="00965998">
                        <w:t>5</w:t>
                      </w:r>
                      <w:r w:rsidRPr="007E0ED9">
                        <w:t xml:space="preserve"> – 12/31/202</w:t>
                      </w:r>
                      <w:r w:rsidR="00965998">
                        <w:t>5</w:t>
                      </w:r>
                      <w:r w:rsidRPr="007E0ED9">
                        <w:t xml:space="preserve"> </w:t>
                      </w:r>
                    </w:p>
                    <w:p w14:paraId="5697E4B9" w14:textId="259FF59A" w:rsidR="00454B36" w:rsidRPr="005F2274" w:rsidRDefault="00454B36" w:rsidP="00AD309C">
                      <w:pPr>
                        <w:pStyle w:val="ListParagraph"/>
                        <w:numPr>
                          <w:ilvl w:val="0"/>
                          <w:numId w:val="34"/>
                        </w:numPr>
                        <w:spacing w:after="120"/>
                        <w:rPr>
                          <w:rFonts w:cs="Arial"/>
                          <w:i/>
                          <w:snapToGrid w:val="0"/>
                        </w:rPr>
                      </w:pPr>
                      <w:r w:rsidRPr="007E0ED9">
                        <w:rPr>
                          <w:rFonts w:cs="Arial"/>
                          <w:snapToGrid w:val="0"/>
                        </w:rPr>
                        <w:t>October and December Data Downloads:</w:t>
                      </w:r>
                      <w:r w:rsidRPr="007E0ED9">
                        <w:rPr>
                          <w:rFonts w:cs="Arial"/>
                          <w:i/>
                          <w:snapToGrid w:val="0"/>
                        </w:rPr>
                        <w:t xml:space="preserve"> </w:t>
                      </w:r>
                      <w:r w:rsidRPr="007E0ED9">
                        <w:rPr>
                          <w:rFonts w:cs="Arial"/>
                          <w:iCs/>
                          <w:snapToGrid w:val="0"/>
                        </w:rPr>
                        <w:t>07/01/202</w:t>
                      </w:r>
                      <w:r w:rsidR="00965998">
                        <w:rPr>
                          <w:rFonts w:cs="Arial"/>
                          <w:iCs/>
                          <w:snapToGrid w:val="0"/>
                        </w:rPr>
                        <w:t>5</w:t>
                      </w:r>
                      <w:r w:rsidRPr="007E0ED9">
                        <w:rPr>
                          <w:rFonts w:cs="Arial"/>
                          <w:iCs/>
                          <w:snapToGrid w:val="0"/>
                        </w:rPr>
                        <w:t xml:space="preserve"> – 06/30/202</w:t>
                      </w:r>
                      <w:r w:rsidR="00965998">
                        <w:rPr>
                          <w:rFonts w:cs="Arial"/>
                          <w:iCs/>
                          <w:snapToGrid w:val="0"/>
                        </w:rPr>
                        <w:t>6</w:t>
                      </w:r>
                      <w:r w:rsidRPr="007E0ED9">
                        <w:rPr>
                          <w:rFonts w:cs="Arial"/>
                          <w:iCs/>
                          <w:snapToGrid w:val="0"/>
                        </w:rPr>
                        <w:t xml:space="preserve"> </w:t>
                      </w:r>
                    </w:p>
                    <w:p w14:paraId="508EFE98" w14:textId="09C2941E" w:rsidR="005F2274" w:rsidRPr="005F2274" w:rsidRDefault="005F2274" w:rsidP="005F2274">
                      <w:pPr>
                        <w:pStyle w:val="ListParagraph"/>
                        <w:numPr>
                          <w:ilvl w:val="0"/>
                          <w:numId w:val="34"/>
                        </w:numPr>
                        <w:spacing w:after="120"/>
                        <w:rPr>
                          <w:rFonts w:cs="Arial"/>
                          <w:i/>
                          <w:snapToGrid w:val="0"/>
                          <w:highlight w:val="yellow"/>
                        </w:rPr>
                      </w:pPr>
                      <w:r w:rsidRPr="005F2274">
                        <w:rPr>
                          <w:rFonts w:cs="Arial"/>
                          <w:snapToGrid w:val="0"/>
                          <w:highlight w:val="yellow"/>
                        </w:rPr>
                        <w:t>October and December Data Download for hospitals with 50 or fewer beds*:</w:t>
                      </w:r>
                      <w:r w:rsidRPr="005F2274">
                        <w:rPr>
                          <w:rFonts w:cs="Arial"/>
                          <w:i/>
                          <w:snapToGrid w:val="0"/>
                          <w:highlight w:val="yellow"/>
                        </w:rPr>
                        <w:t xml:space="preserve"> </w:t>
                      </w:r>
                      <w:r w:rsidRPr="005F2274">
                        <w:rPr>
                          <w:rFonts w:cs="Arial"/>
                          <w:iCs/>
                          <w:snapToGrid w:val="0"/>
                          <w:highlight w:val="yellow"/>
                        </w:rPr>
                        <w:t>07/01/202</w:t>
                      </w:r>
                      <w:r>
                        <w:rPr>
                          <w:rFonts w:cs="Arial"/>
                          <w:iCs/>
                          <w:snapToGrid w:val="0"/>
                          <w:highlight w:val="yellow"/>
                        </w:rPr>
                        <w:t>4</w:t>
                      </w:r>
                      <w:r w:rsidRPr="005F2274">
                        <w:rPr>
                          <w:rFonts w:cs="Arial"/>
                          <w:iCs/>
                          <w:snapToGrid w:val="0"/>
                          <w:highlight w:val="yellow"/>
                        </w:rPr>
                        <w:t xml:space="preserve"> – 06/30/2026 </w:t>
                      </w:r>
                    </w:p>
                    <w:p w14:paraId="2FB3D035" w14:textId="77777777" w:rsidR="005F2274" w:rsidRDefault="005F2274" w:rsidP="00454B36">
                      <w:pPr>
                        <w:spacing w:after="120"/>
                        <w:rPr>
                          <w:rFonts w:cs="Arial"/>
                          <w:i/>
                          <w:snapToGrid w:val="0"/>
                          <w:sz w:val="16"/>
                          <w:szCs w:val="16"/>
                        </w:rPr>
                      </w:pPr>
                      <w:r w:rsidRPr="005F2274">
                        <w:rPr>
                          <w:rFonts w:cs="Arial"/>
                          <w:i/>
                          <w:snapToGrid w:val="0"/>
                          <w:sz w:val="16"/>
                          <w:szCs w:val="16"/>
                        </w:rPr>
                        <w:t>*Bed size reported via the 2025 NHSN Patient Safety Component - Annual Survey’s “Total Number of Beds Set Up and Staffed”</w:t>
                      </w:r>
                    </w:p>
                    <w:p w14:paraId="1C2E69BF" w14:textId="5DF8DFF0" w:rsidR="00454B36" w:rsidRPr="005D6155" w:rsidRDefault="00454B36" w:rsidP="00454B36">
                      <w:pPr>
                        <w:spacing w:after="120"/>
                        <w:rPr>
                          <w:rFonts w:cs="Arial"/>
                          <w:i/>
                          <w:snapToGrid w:val="0"/>
                          <w:sz w:val="16"/>
                          <w:szCs w:val="16"/>
                        </w:rPr>
                      </w:pPr>
                      <w:r w:rsidRPr="005D6155">
                        <w:rPr>
                          <w:rFonts w:cs="Arial"/>
                          <w:i/>
                          <w:snapToGrid w:val="0"/>
                          <w:sz w:val="16"/>
                          <w:szCs w:val="16"/>
                        </w:rPr>
                        <w:t>Leapfrog will update data four times per Survey Cycle for all members of our NHSN group that have provided an accurate NHSN ID in the Hospital Profile and submitted the 202</w:t>
                      </w:r>
                      <w:r w:rsidR="00670B35">
                        <w:rPr>
                          <w:rFonts w:cs="Arial"/>
                          <w:i/>
                          <w:snapToGrid w:val="0"/>
                          <w:sz w:val="16"/>
                          <w:szCs w:val="16"/>
                        </w:rPr>
                        <w:t>6</w:t>
                      </w:r>
                      <w:r w:rsidRPr="005D6155">
                        <w:rPr>
                          <w:rFonts w:cs="Arial"/>
                          <w:i/>
                          <w:snapToGrid w:val="0"/>
                          <w:sz w:val="16"/>
                          <w:szCs w:val="16"/>
                        </w:rPr>
                        <w:t xml:space="preserve"> Leapfrog Hospital Survey. </w:t>
                      </w:r>
                    </w:p>
                    <w:p w14:paraId="6BC3A1F3" w14:textId="7CD1A311" w:rsidR="00454B36" w:rsidRPr="0064007F" w:rsidRDefault="00454B36" w:rsidP="00454B36">
                      <w:pPr>
                        <w:rPr>
                          <w:sz w:val="16"/>
                          <w:szCs w:val="16"/>
                        </w:rPr>
                      </w:pPr>
                      <w:r w:rsidRPr="0064007F">
                        <w:rPr>
                          <w:rFonts w:cs="Arial"/>
                          <w:i/>
                          <w:snapToGrid w:val="0"/>
                          <w:sz w:val="16"/>
                          <w:szCs w:val="16"/>
                        </w:rPr>
                        <w:t>Visit the</w:t>
                      </w:r>
                      <w:r w:rsidR="0064007F" w:rsidRPr="0064007F">
                        <w:rPr>
                          <w:rFonts w:cs="Arial"/>
                          <w:i/>
                          <w:snapToGrid w:val="0"/>
                          <w:sz w:val="16"/>
                          <w:szCs w:val="16"/>
                        </w:rPr>
                        <w:t xml:space="preserve"> Review NHSN Instructions</w:t>
                      </w:r>
                      <w:hyperlink r:id="rId417" w:history="1">
                        <w:r w:rsidR="0064007F" w:rsidRPr="0064007F">
                          <w:rPr>
                            <w:rStyle w:val="Hyperlink"/>
                            <w:rFonts w:cs="Arial"/>
                            <w:i/>
                            <w:snapToGrid w:val="0"/>
                            <w:sz w:val="16"/>
                            <w:szCs w:val="16"/>
                          </w:rPr>
                          <w:t xml:space="preserve"> webpage</w:t>
                        </w:r>
                      </w:hyperlink>
                      <w:r w:rsidRPr="0064007F">
                        <w:rPr>
                          <w:rFonts w:cs="Arial"/>
                          <w:i/>
                          <w:snapToGrid w:val="0"/>
                          <w:sz w:val="16"/>
                          <w:szCs w:val="16"/>
                        </w:rPr>
                        <w:t xml:space="preserve"> for important information on deadlines for joining Leapfrog’s NHSN Group.</w:t>
                      </w:r>
                    </w:p>
                  </w:txbxContent>
                </v:textbox>
                <w10:anchorlock/>
              </v:shape>
            </w:pict>
          </mc:Fallback>
        </mc:AlternateContent>
      </w:r>
    </w:p>
    <w:p w14:paraId="1E5303E0" w14:textId="77777777" w:rsidR="00F45F4C" w:rsidRPr="00B967F4" w:rsidRDefault="00F45F4C" w:rsidP="00F45F4C">
      <w:pPr>
        <w:rPr>
          <w:rFonts w:cs="Arial"/>
          <w:snapToGrid w:val="0"/>
        </w:rPr>
      </w:pPr>
    </w:p>
    <w:p w14:paraId="5A5DFFA8" w14:textId="77777777" w:rsidR="006130A0" w:rsidRDefault="006130A0" w:rsidP="006130A0">
      <w:pPr>
        <w:rPr>
          <w:rFonts w:cs="Arial"/>
          <w:snapToGrid w:val="0"/>
        </w:rPr>
      </w:pPr>
      <w:r w:rsidRPr="009A5185">
        <w:rPr>
          <w:rFonts w:cs="Arial"/>
        </w:rPr>
        <w:t xml:space="preserve">Leapfrog </w:t>
      </w:r>
      <w:r>
        <w:rPr>
          <w:rFonts w:cs="Arial"/>
        </w:rPr>
        <w:t>downloads s</w:t>
      </w:r>
      <w:r w:rsidRPr="00A44C0E">
        <w:rPr>
          <w:rFonts w:cs="Arial"/>
          <w:snapToGrid w:val="0"/>
        </w:rPr>
        <w:t xml:space="preserve">tandardized infection ratios (SIRs) directly from the CDC’s National Healthcare Safety Network (NHSN) </w:t>
      </w:r>
      <w:r>
        <w:t>four times during the Survey Cycle</w:t>
      </w:r>
      <w:r w:rsidRPr="00DB52A2">
        <w:t xml:space="preserve"> </w:t>
      </w:r>
      <w:r w:rsidRPr="00A44C0E">
        <w:rPr>
          <w:rFonts w:cs="Arial"/>
          <w:snapToGrid w:val="0"/>
        </w:rPr>
        <w:t>for the following infection measures</w:t>
      </w:r>
      <w:r>
        <w:rPr>
          <w:rFonts w:cs="Arial"/>
          <w:snapToGrid w:val="0"/>
        </w:rPr>
        <w:t>:</w:t>
      </w:r>
    </w:p>
    <w:p w14:paraId="6325C2BF" w14:textId="77777777" w:rsidR="006130A0" w:rsidRDefault="006130A0" w:rsidP="006130A0">
      <w:pPr>
        <w:rPr>
          <w:rFonts w:cs="Arial"/>
          <w:snapToGrid w:val="0"/>
        </w:rPr>
      </w:pPr>
    </w:p>
    <w:p w14:paraId="3AACF6BF" w14:textId="77777777" w:rsidR="006130A0" w:rsidRPr="00B967F4" w:rsidRDefault="006130A0" w:rsidP="006130A0">
      <w:pPr>
        <w:pStyle w:val="ListParagraph"/>
        <w:numPr>
          <w:ilvl w:val="0"/>
          <w:numId w:val="394"/>
        </w:numPr>
        <w:rPr>
          <w:rFonts w:cs="Arial"/>
          <w:snapToGrid w:val="0"/>
        </w:rPr>
      </w:pPr>
      <w:r w:rsidRPr="00B967F4">
        <w:rPr>
          <w:rFonts w:cs="Arial"/>
          <w:snapToGrid w:val="0"/>
        </w:rPr>
        <w:t>CLABSI in ICUs and select wards</w:t>
      </w:r>
      <w:r>
        <w:rPr>
          <w:rFonts w:cs="Arial"/>
          <w:snapToGrid w:val="0"/>
        </w:rPr>
        <w:t>;</w:t>
      </w:r>
    </w:p>
    <w:p w14:paraId="1882E3AB" w14:textId="77777777" w:rsidR="006130A0" w:rsidRPr="00B967F4" w:rsidRDefault="006130A0" w:rsidP="006130A0">
      <w:pPr>
        <w:pStyle w:val="ListParagraph"/>
        <w:numPr>
          <w:ilvl w:val="0"/>
          <w:numId w:val="394"/>
        </w:numPr>
        <w:rPr>
          <w:rFonts w:cs="Arial"/>
          <w:snapToGrid w:val="0"/>
        </w:rPr>
      </w:pPr>
      <w:r w:rsidRPr="00B967F4">
        <w:rPr>
          <w:rFonts w:cs="Arial"/>
          <w:snapToGrid w:val="0"/>
        </w:rPr>
        <w:t>CAUTI in ICUs and select wards</w:t>
      </w:r>
      <w:r>
        <w:rPr>
          <w:rFonts w:cs="Arial"/>
          <w:snapToGrid w:val="0"/>
        </w:rPr>
        <w:t>;</w:t>
      </w:r>
    </w:p>
    <w:p w14:paraId="7064C845" w14:textId="77777777" w:rsidR="006130A0" w:rsidRPr="00B967F4" w:rsidRDefault="006130A0" w:rsidP="006130A0">
      <w:pPr>
        <w:pStyle w:val="ListParagraph"/>
        <w:numPr>
          <w:ilvl w:val="0"/>
          <w:numId w:val="394"/>
        </w:numPr>
        <w:rPr>
          <w:rFonts w:cs="Arial"/>
          <w:snapToGrid w:val="0"/>
        </w:rPr>
      </w:pPr>
      <w:r w:rsidRPr="00B967F4">
        <w:rPr>
          <w:rFonts w:cs="Arial"/>
          <w:snapToGrid w:val="0"/>
        </w:rPr>
        <w:t>Facility-wide inpatient MRSA Blood Laboratory-identified Events</w:t>
      </w:r>
      <w:r>
        <w:rPr>
          <w:rFonts w:cs="Arial"/>
          <w:snapToGrid w:val="0"/>
        </w:rPr>
        <w:t>;</w:t>
      </w:r>
    </w:p>
    <w:p w14:paraId="65640543" w14:textId="77777777" w:rsidR="006130A0" w:rsidRDefault="006130A0" w:rsidP="006130A0">
      <w:pPr>
        <w:pStyle w:val="ListParagraph"/>
        <w:numPr>
          <w:ilvl w:val="0"/>
          <w:numId w:val="394"/>
        </w:numPr>
        <w:rPr>
          <w:rFonts w:cs="Arial"/>
          <w:snapToGrid w:val="0"/>
        </w:rPr>
      </w:pPr>
      <w:r w:rsidRPr="00A44C0E">
        <w:rPr>
          <w:rFonts w:cs="Arial"/>
          <w:snapToGrid w:val="0"/>
        </w:rPr>
        <w:t xml:space="preserve">Facility-wide inpatient C. diff. Laboratory-identified Events; and </w:t>
      </w:r>
    </w:p>
    <w:p w14:paraId="492AC178" w14:textId="77777777" w:rsidR="006130A0" w:rsidRPr="00A44C0E" w:rsidRDefault="006130A0" w:rsidP="006130A0">
      <w:pPr>
        <w:pStyle w:val="ListParagraph"/>
        <w:numPr>
          <w:ilvl w:val="0"/>
          <w:numId w:val="394"/>
        </w:numPr>
        <w:rPr>
          <w:rFonts w:cs="Arial"/>
          <w:snapToGrid w:val="0"/>
        </w:rPr>
      </w:pPr>
      <w:r w:rsidRPr="00A44C0E">
        <w:rPr>
          <w:rFonts w:cs="Arial"/>
          <w:snapToGrid w:val="0"/>
        </w:rPr>
        <w:t>SSI: Colon</w:t>
      </w:r>
    </w:p>
    <w:p w14:paraId="084CE22D" w14:textId="77777777" w:rsidR="006130A0" w:rsidRDefault="006130A0" w:rsidP="006130A0">
      <w:pPr>
        <w:rPr>
          <w:rFonts w:cs="Arial"/>
          <w:snapToGrid w:val="0"/>
        </w:rPr>
      </w:pPr>
    </w:p>
    <w:p w14:paraId="21A52D4B" w14:textId="0592EC5E" w:rsidR="006130A0" w:rsidRDefault="006130A0" w:rsidP="00F45F4C">
      <w:pPr>
        <w:rPr>
          <w:rFonts w:cs="Arial"/>
          <w:snapToGrid w:val="0"/>
        </w:rPr>
      </w:pPr>
      <w:r w:rsidRPr="00A44C0E">
        <w:rPr>
          <w:rFonts w:cs="Arial"/>
        </w:rPr>
        <w:t xml:space="preserve">The measures are calculated by NHSN and will be scored and publicly reported for each hospital that joins Leapfrog’s NHSN group, provides a valid NHSN ID in their Leapfrog Survey Profile, and submits a 2026 Leapfrog Hospital Survey </w:t>
      </w:r>
      <w:r w:rsidRPr="00A44C0E">
        <w:rPr>
          <w:rFonts w:cs="Arial"/>
          <w:snapToGrid w:val="0"/>
        </w:rPr>
        <w:t xml:space="preserve">by the published </w:t>
      </w:r>
      <w:hyperlink r:id="rId418" w:history="1">
        <w:r w:rsidRPr="00A44C0E">
          <w:rPr>
            <w:rStyle w:val="Hyperlink"/>
            <w:rFonts w:cs="Arial"/>
            <w:snapToGrid w:val="0"/>
          </w:rPr>
          <w:t>deadlines</w:t>
        </w:r>
      </w:hyperlink>
      <w:r w:rsidRPr="00A44C0E">
        <w:rPr>
          <w:rFonts w:cs="Arial"/>
          <w:snapToGrid w:val="0"/>
        </w:rPr>
        <w:t>. Hospitals that have a predicted value &lt;1 for an infection measure will be scored as “Unable to Calculate” for that measure.</w:t>
      </w:r>
    </w:p>
    <w:p w14:paraId="57A8322E" w14:textId="77777777" w:rsidR="00D75EAC" w:rsidRPr="00B967F4" w:rsidRDefault="00D75EAC" w:rsidP="00F45F4C">
      <w:pPr>
        <w:rPr>
          <w:rFonts w:cs="Arial"/>
          <w:snapToGrid w:val="0"/>
        </w:rPr>
      </w:pPr>
    </w:p>
    <w:tbl>
      <w:tblPr>
        <w:tblStyle w:val="TableGrid"/>
        <w:tblW w:w="0" w:type="auto"/>
        <w:tblLook w:val="04A0" w:firstRow="1" w:lastRow="0" w:firstColumn="1" w:lastColumn="0" w:noHBand="0" w:noVBand="1"/>
      </w:tblPr>
      <w:tblGrid>
        <w:gridCol w:w="4675"/>
        <w:gridCol w:w="4675"/>
      </w:tblGrid>
      <w:tr w:rsidR="00AE306D" w14:paraId="11730B57" w14:textId="77777777" w:rsidTr="00BE7E56">
        <w:tc>
          <w:tcPr>
            <w:tcW w:w="4675" w:type="dxa"/>
          </w:tcPr>
          <w:p w14:paraId="405D3968" w14:textId="51447203" w:rsidR="00AE306D" w:rsidRPr="00B967F4" w:rsidRDefault="00275192" w:rsidP="00334846">
            <w:pPr>
              <w:pStyle w:val="ListParagraph"/>
              <w:numPr>
                <w:ilvl w:val="0"/>
                <w:numId w:val="393"/>
              </w:numPr>
              <w:rPr>
                <w:rFonts w:cs="Arial"/>
                <w:i/>
                <w:iCs/>
                <w:snapToGrid w:val="0"/>
              </w:rPr>
            </w:pPr>
            <w:r>
              <w:rPr>
                <w:rFonts w:cs="Arial"/>
                <w:snapToGrid w:val="0"/>
              </w:rPr>
              <w:t>Has your h</w:t>
            </w:r>
            <w:r w:rsidR="00B54290" w:rsidRPr="00B967F4">
              <w:rPr>
                <w:rFonts w:cs="Arial"/>
                <w:snapToGrid w:val="0"/>
              </w:rPr>
              <w:t>ospital join</w:t>
            </w:r>
            <w:r>
              <w:rPr>
                <w:rFonts w:cs="Arial"/>
                <w:snapToGrid w:val="0"/>
              </w:rPr>
              <w:t>ed</w:t>
            </w:r>
            <w:r w:rsidR="00B54290" w:rsidRPr="00B967F4">
              <w:rPr>
                <w:rFonts w:cs="Arial"/>
                <w:snapToGrid w:val="0"/>
              </w:rPr>
              <w:t xml:space="preserve"> Leapfrog’s NHSN Group</w:t>
            </w:r>
            <w:r w:rsidR="00407596">
              <w:rPr>
                <w:rFonts w:cs="Arial"/>
                <w:snapToGrid w:val="0"/>
              </w:rPr>
              <w:t xml:space="preserve">, </w:t>
            </w:r>
            <w:r w:rsidR="00CB37F6">
              <w:rPr>
                <w:rFonts w:cs="Arial"/>
                <w:snapToGrid w:val="0"/>
              </w:rPr>
              <w:t>reviewed Leapfrog’s</w:t>
            </w:r>
            <w:r w:rsidR="00121E76">
              <w:rPr>
                <w:rFonts w:cs="Arial"/>
                <w:snapToGrid w:val="0"/>
              </w:rPr>
              <w:t xml:space="preserve"> Data Rights Template</w:t>
            </w:r>
            <w:r w:rsidR="00407596">
              <w:rPr>
                <w:rFonts w:cs="Arial"/>
                <w:snapToGrid w:val="0"/>
              </w:rPr>
              <w:t>, and provided a valid NHSN ID in the Profile</w:t>
            </w:r>
            <w:r w:rsidR="00121E76">
              <w:rPr>
                <w:rFonts w:cs="Arial"/>
                <w:snapToGrid w:val="0"/>
              </w:rPr>
              <w:t xml:space="preserve">? </w:t>
            </w:r>
          </w:p>
        </w:tc>
        <w:tc>
          <w:tcPr>
            <w:tcW w:w="4675" w:type="dxa"/>
          </w:tcPr>
          <w:p w14:paraId="6DA51CEB" w14:textId="47277754" w:rsidR="00121E76" w:rsidRPr="00B967F4" w:rsidRDefault="007820E9" w:rsidP="00121E76">
            <w:pPr>
              <w:pStyle w:val="ListParagraph"/>
              <w:numPr>
                <w:ilvl w:val="0"/>
                <w:numId w:val="395"/>
              </w:numPr>
              <w:rPr>
                <w:rFonts w:cs="Arial"/>
                <w:snapToGrid w:val="0"/>
              </w:rPr>
            </w:pPr>
            <w:r>
              <w:rPr>
                <w:rFonts w:cs="Arial"/>
                <w:snapToGrid w:val="0"/>
              </w:rPr>
              <w:t>Yes</w:t>
            </w:r>
          </w:p>
          <w:p w14:paraId="53702CC9" w14:textId="31FDF448" w:rsidR="00AE306D" w:rsidRPr="00B967F4" w:rsidRDefault="007820E9" w:rsidP="00121E76">
            <w:pPr>
              <w:pStyle w:val="ListParagraph"/>
              <w:numPr>
                <w:ilvl w:val="0"/>
                <w:numId w:val="395"/>
              </w:numPr>
              <w:rPr>
                <w:rFonts w:cs="Arial"/>
                <w:snapToGrid w:val="0"/>
              </w:rPr>
            </w:pPr>
            <w:r>
              <w:rPr>
                <w:rFonts w:cs="Arial"/>
                <w:snapToGrid w:val="0"/>
              </w:rPr>
              <w:t>No, t</w:t>
            </w:r>
            <w:r w:rsidR="0029433B" w:rsidRPr="00B967F4">
              <w:rPr>
                <w:rFonts w:cs="Arial"/>
                <w:snapToGrid w:val="0"/>
              </w:rPr>
              <w:t xml:space="preserve">he hospital </w:t>
            </w:r>
            <w:r w:rsidR="00121E76">
              <w:rPr>
                <w:rFonts w:cs="Arial"/>
                <w:snapToGrid w:val="0"/>
              </w:rPr>
              <w:t xml:space="preserve">acknowledges that they </w:t>
            </w:r>
            <w:r w:rsidR="0029433B" w:rsidRPr="00B967F4">
              <w:rPr>
                <w:rFonts w:cs="Arial"/>
                <w:snapToGrid w:val="0"/>
              </w:rPr>
              <w:t xml:space="preserve">will be </w:t>
            </w:r>
            <w:r w:rsidR="008F04CE">
              <w:rPr>
                <w:rFonts w:cs="Arial"/>
                <w:snapToGrid w:val="0"/>
              </w:rPr>
              <w:t xml:space="preserve">publicly </w:t>
            </w:r>
            <w:r w:rsidR="0029433B" w:rsidRPr="00B967F4">
              <w:rPr>
                <w:rFonts w:cs="Arial"/>
                <w:snapToGrid w:val="0"/>
              </w:rPr>
              <w:t>reported as "Declined to Re</w:t>
            </w:r>
            <w:r w:rsidR="009679D5">
              <w:rPr>
                <w:rFonts w:cs="Arial"/>
                <w:snapToGrid w:val="0"/>
              </w:rPr>
              <w:t>port</w:t>
            </w:r>
            <w:r w:rsidR="0029433B" w:rsidRPr="00B967F4">
              <w:rPr>
                <w:rFonts w:cs="Arial"/>
                <w:snapToGrid w:val="0"/>
              </w:rPr>
              <w:t xml:space="preserve">” for all five infection measures </w:t>
            </w:r>
          </w:p>
        </w:tc>
      </w:tr>
    </w:tbl>
    <w:p w14:paraId="380DDFDE" w14:textId="77777777" w:rsidR="004B2FA7" w:rsidRDefault="004B2FA7" w:rsidP="00F45F4C">
      <w:pPr>
        <w:rPr>
          <w:rFonts w:cs="Arial"/>
          <w:snapToGrid w:val="0"/>
        </w:rPr>
      </w:pPr>
    </w:p>
    <w:p w14:paraId="2C8C817A" w14:textId="77777777" w:rsidR="00D213BE" w:rsidRPr="009A5185" w:rsidRDefault="00D213BE">
      <w:pPr>
        <w:rPr>
          <w:rFonts w:cs="Arial"/>
        </w:rPr>
      </w:pPr>
    </w:p>
    <w:p w14:paraId="254FFC04" w14:textId="77777777" w:rsidR="00D77B9A" w:rsidRPr="009A5185" w:rsidRDefault="00D77B9A">
      <w:pPr>
        <w:rPr>
          <w:rFonts w:cs="Arial"/>
          <w:b/>
          <w:snapToGrid w:val="0"/>
          <w:color w:val="000000"/>
        </w:rPr>
      </w:pPr>
      <w:r w:rsidRPr="009A5185">
        <w:rPr>
          <w:rFonts w:cs="Arial"/>
          <w:b/>
          <w:snapToGrid w:val="0"/>
          <w:color w:val="000000"/>
        </w:rPr>
        <w:br w:type="page"/>
      </w:r>
    </w:p>
    <w:p w14:paraId="16304C85" w14:textId="77777777" w:rsidR="008910AA" w:rsidRPr="009A5185" w:rsidRDefault="008910AA" w:rsidP="00D24FC1">
      <w:pPr>
        <w:spacing w:after="200" w:line="276" w:lineRule="auto"/>
        <w:rPr>
          <w:rFonts w:cs="Arial"/>
          <w:snapToGrid w:val="0"/>
          <w:color w:val="000000"/>
        </w:rPr>
      </w:pPr>
      <w:r w:rsidRPr="009A5185">
        <w:rPr>
          <w:rFonts w:cs="Arial"/>
          <w:b/>
          <w:snapToGrid w:val="0"/>
          <w:color w:val="000000"/>
        </w:rPr>
        <w:t>Affirmation of Accuracy</w:t>
      </w:r>
    </w:p>
    <w:p w14:paraId="55F43B05" w14:textId="027D192A" w:rsidR="00C075C3" w:rsidRPr="00A8045B" w:rsidRDefault="00C075C3" w:rsidP="00C075C3">
      <w:pPr>
        <w:rPr>
          <w:rFonts w:cs="Arial"/>
          <w:color w:val="000000"/>
        </w:rPr>
      </w:pPr>
      <w:r w:rsidRPr="00A8045B">
        <w:rPr>
          <w:rFonts w:cs="Arial"/>
          <w:color w:val="000000"/>
        </w:rPr>
        <w:t xml:space="preserve">As the hospital CEO or as an employee of the hospital to whom the hospital CEO has delegated responsibility, I have reviewed this information pertaining to the Managing Serious Errors Section at our hospital, and I hereby </w:t>
      </w:r>
      <w:r w:rsidR="00C26134">
        <w:rPr>
          <w:rFonts w:cs="Arial"/>
          <w:color w:val="000000"/>
        </w:rPr>
        <w:t>affirm</w:t>
      </w:r>
      <w:r w:rsidRPr="00A8045B">
        <w:rPr>
          <w:rFonts w:cs="Arial"/>
          <w:color w:val="000000"/>
        </w:rPr>
        <w:t xml:space="preserve"> that this information is true, accurate, and reflect</w:t>
      </w:r>
      <w:r w:rsidR="00B7608D" w:rsidRPr="00A8045B">
        <w:rPr>
          <w:rFonts w:cs="Arial"/>
          <w:color w:val="000000"/>
        </w:rPr>
        <w:t>s</w:t>
      </w:r>
      <w:r w:rsidRPr="00A8045B">
        <w:rPr>
          <w:rFonts w:cs="Arial"/>
          <w:color w:val="000000"/>
        </w:rPr>
        <w:t xml:space="preserve"> the current, normal operating circumstances at our hospital. I am authorized to make this </w:t>
      </w:r>
      <w:r w:rsidR="00C26134">
        <w:rPr>
          <w:rFonts w:cs="Arial"/>
          <w:color w:val="000000"/>
        </w:rPr>
        <w:t>affirmation</w:t>
      </w:r>
      <w:r w:rsidRPr="00A8045B">
        <w:rPr>
          <w:rFonts w:cs="Arial"/>
          <w:color w:val="000000"/>
        </w:rPr>
        <w:t xml:space="preserve"> on behalf of our hospital. </w:t>
      </w:r>
    </w:p>
    <w:p w14:paraId="15890B35" w14:textId="77777777" w:rsidR="00C075C3" w:rsidRPr="00A8045B" w:rsidRDefault="00C075C3" w:rsidP="00C075C3">
      <w:pPr>
        <w:rPr>
          <w:rFonts w:cs="Arial"/>
          <w:color w:val="000000"/>
        </w:rPr>
      </w:pPr>
    </w:p>
    <w:p w14:paraId="661BAAF5" w14:textId="77777777" w:rsidR="00C26134" w:rsidRPr="009A5185" w:rsidRDefault="00C26134" w:rsidP="00C26134">
      <w:pPr>
        <w:rPr>
          <w:rFonts w:cs="Arial"/>
          <w:sz w:val="22"/>
          <w:szCs w:val="22"/>
        </w:rPr>
      </w:pPr>
      <w:r w:rsidRPr="009A5185">
        <w:rPr>
          <w:rFonts w:cs="Arial"/>
        </w:rPr>
        <w:t xml:space="preserve">The </w:t>
      </w:r>
      <w:r w:rsidRPr="00534EFC">
        <w:rPr>
          <w:rFonts w:cs="Arial"/>
        </w:rPr>
        <w:t xml:space="preserve">hospital and I </w:t>
      </w:r>
      <w:r>
        <w:rPr>
          <w:rFonts w:cs="Arial"/>
        </w:rPr>
        <w:t>acknowledge</w:t>
      </w:r>
      <w:r w:rsidRPr="00534EFC">
        <w:rPr>
          <w:rFonts w:cs="Arial"/>
        </w:rPr>
        <w:t xml:space="preserve"> that The Leapfrog Group, its members, the public and entities and persons who contract or have other business dealings with The Leapfrog Group are relying on the truth and accuracy of this information. The hospital and I also </w:t>
      </w:r>
      <w:r>
        <w:rPr>
          <w:rFonts w:cs="Arial"/>
        </w:rPr>
        <w:t>acknowledge</w:t>
      </w:r>
      <w:r w:rsidRPr="00534EFC">
        <w:rPr>
          <w:rFonts w:cs="Arial"/>
        </w:rPr>
        <w:t xml:space="preserve"> that </w:t>
      </w:r>
      <w:r>
        <w:rPr>
          <w:rFonts w:cs="Arial"/>
        </w:rPr>
        <w:t xml:space="preserve">analyses and ratings </w:t>
      </w:r>
      <w:r w:rsidRPr="00534EFC">
        <w:rPr>
          <w:rFonts w:cs="Arial"/>
        </w:rPr>
        <w:t>The Leapfrog Group</w:t>
      </w:r>
      <w:r>
        <w:rPr>
          <w:rFonts w:cs="Arial"/>
        </w:rPr>
        <w:t xml:space="preserve"> derives from</w:t>
      </w:r>
      <w:r w:rsidRPr="00534EFC">
        <w:rPr>
          <w:rFonts w:cs="Arial"/>
        </w:rPr>
        <w:t xml:space="preserve"> this information</w:t>
      </w:r>
      <w:r>
        <w:rPr>
          <w:rFonts w:cs="Arial"/>
        </w:rPr>
        <w:t xml:space="preserve"> will be made public on</w:t>
      </w:r>
      <w:r w:rsidRPr="00534EFC">
        <w:rPr>
          <w:rFonts w:cs="Arial"/>
        </w:rPr>
        <w:t xml:space="preserve"> the Survey Results public reporting website, The Leapfrog Group’s Hospital Safety Grade</w:t>
      </w:r>
      <w:r>
        <w:rPr>
          <w:rFonts w:cs="Arial"/>
        </w:rPr>
        <w:t xml:space="preserve"> website</w:t>
      </w:r>
      <w:r w:rsidRPr="00534EFC">
        <w:rPr>
          <w:rFonts w:cs="Arial"/>
        </w:rPr>
        <w:t xml:space="preserve">, and/or other Leapfrog Group </w:t>
      </w:r>
      <w:r>
        <w:rPr>
          <w:rFonts w:cs="Arial"/>
        </w:rPr>
        <w:t xml:space="preserve">published works, </w:t>
      </w:r>
      <w:r w:rsidRPr="00534EFC">
        <w:rPr>
          <w:rFonts w:cs="Arial"/>
        </w:rPr>
        <w:t xml:space="preserve">products and services. </w:t>
      </w:r>
      <w:r>
        <w:rPr>
          <w:rFonts w:cs="Arial"/>
        </w:rPr>
        <w:t>The hospital and I acknowledge that analyses and ratings derived from t</w:t>
      </w:r>
      <w:r w:rsidRPr="00534EFC">
        <w:rPr>
          <w:rFonts w:cs="Arial"/>
        </w:rPr>
        <w:t>his information and all intellectual property rights</w:t>
      </w:r>
      <w:r>
        <w:rPr>
          <w:rFonts w:cs="Arial"/>
        </w:rPr>
        <w:t xml:space="preserve"> related to those analyses and ratings</w:t>
      </w:r>
      <w:r w:rsidRPr="00534EFC">
        <w:rPr>
          <w:rFonts w:cs="Arial"/>
        </w:rPr>
        <w:t xml:space="preserve"> shall be and remain the sole and exclusive property of The Leapfrog Group </w:t>
      </w:r>
      <w:r w:rsidRPr="00534EFC">
        <w:t>in which The Leapfrog Group retains exclusive ownership</w:t>
      </w:r>
      <w:r w:rsidRPr="00534EFC">
        <w:rPr>
          <w:rFonts w:cs="Arial"/>
        </w:rPr>
        <w:t xml:space="preserve">. </w:t>
      </w:r>
      <w:r>
        <w:rPr>
          <w:rFonts w:cs="Arial"/>
        </w:rPr>
        <w:t>I hereby affirm that t</w:t>
      </w:r>
      <w:r w:rsidRPr="00534EFC">
        <w:rPr>
          <w:rFonts w:cs="Arial"/>
        </w:rPr>
        <w:t>his information does not infringe upon any third-party intellectual property rights</w:t>
      </w:r>
      <w:r w:rsidRPr="00534EFC">
        <w:t xml:space="preserve"> or any other third-party rights whatsoever and is free and clear of all encumbrances and liens of any kind</w:t>
      </w:r>
      <w:r w:rsidRPr="00534EFC">
        <w:rPr>
          <w:rFonts w:cs="Arial"/>
        </w:rPr>
        <w:t xml:space="preserve">. The hospital and I acknowledge that The Leapfrog Group may </w:t>
      </w:r>
      <w:r>
        <w:rPr>
          <w:rFonts w:cs="Arial"/>
        </w:rPr>
        <w:t>license</w:t>
      </w:r>
      <w:r w:rsidRPr="00534EFC">
        <w:rPr>
          <w:rFonts w:cs="Arial"/>
        </w:rPr>
        <w:t xml:space="preserve"> </w:t>
      </w:r>
      <w:r>
        <w:rPr>
          <w:rFonts w:cs="Arial"/>
        </w:rPr>
        <w:t xml:space="preserve">analyses and ratings derived from </w:t>
      </w:r>
      <w:r w:rsidRPr="00534EFC">
        <w:rPr>
          <w:rFonts w:cs="Arial"/>
        </w:rPr>
        <w:t xml:space="preserve">this information </w:t>
      </w:r>
      <w:r>
        <w:rPr>
          <w:rFonts w:cs="Arial"/>
        </w:rPr>
        <w:t>to other entities including researchers, not-for-profit entities, and for-profit entities, and the revenue from such licensure will be used solely to support The Leapfrog Group’s not-for-profit mission</w:t>
      </w:r>
      <w:r w:rsidRPr="00534EFC">
        <w:rPr>
          <w:rFonts w:cs="Arial"/>
        </w:rPr>
        <w:t>. The hospital shall be liable for and shall hold harmless and indemnify The Leapfrog Group from any and all damages, demands, costs, or causes of action resulting from any inaccuracies in the information or any misrepresentations in this Affirmation of Accuracy. The Leapfrog Group and its members and entities and persons who contract or have other business dealings with The Leapfrog Group reserve the right to omit or disclaim information that is not current, accurate or truthful.</w:t>
      </w:r>
    </w:p>
    <w:p w14:paraId="721EF7D0" w14:textId="77777777" w:rsidR="00C26134" w:rsidRPr="009A5185" w:rsidRDefault="00C26134">
      <w:pPr>
        <w:rPr>
          <w:rFonts w:cs="Arial"/>
          <w:snapToGrid w:val="0"/>
          <w:color w:val="000000"/>
        </w:rPr>
      </w:pPr>
    </w:p>
    <w:p w14:paraId="43384DC7" w14:textId="77777777" w:rsidR="008910AA" w:rsidRPr="009A5185" w:rsidRDefault="008910AA">
      <w:pPr>
        <w:rPr>
          <w:rFonts w:cs="Arial"/>
          <w:snapToGrid w:val="0"/>
          <w:color w:val="000000"/>
        </w:rPr>
      </w:pPr>
    </w:p>
    <w:p w14:paraId="620C9266" w14:textId="77777777" w:rsidR="008910AA" w:rsidRPr="009A5185" w:rsidRDefault="008910AA">
      <w:pPr>
        <w:rPr>
          <w:rFonts w:cs="Arial"/>
          <w:snapToGrid w:val="0"/>
          <w:color w:val="000000"/>
        </w:rPr>
      </w:pPr>
      <w:r w:rsidRPr="009A5185">
        <w:rPr>
          <w:rFonts w:cs="Arial"/>
          <w:snapToGrid w:val="0"/>
          <w:color w:val="000000"/>
        </w:rPr>
        <w:t>Affirmed by _____________________, the hospital’s ___________________________,</w:t>
      </w:r>
    </w:p>
    <w:p w14:paraId="17593B5C" w14:textId="77777777" w:rsidR="008A631A" w:rsidRPr="009A5185" w:rsidRDefault="008A631A" w:rsidP="008A631A">
      <w:pPr>
        <w:pStyle w:val="BodyText2"/>
        <w:spacing w:line="240" w:lineRule="exact"/>
        <w:rPr>
          <w:rFonts w:cs="Arial"/>
        </w:rPr>
      </w:pPr>
      <w:r w:rsidRPr="009A5185">
        <w:rPr>
          <w:rFonts w:cs="Arial"/>
        </w:rPr>
        <w:tab/>
        <w:t xml:space="preserve"> </w:t>
      </w:r>
      <w:r>
        <w:rPr>
          <w:rFonts w:cs="Arial"/>
        </w:rPr>
        <w:t xml:space="preserve">    </w:t>
      </w:r>
      <w:r w:rsidRPr="009A5185">
        <w:rPr>
          <w:rFonts w:cs="Arial"/>
        </w:rPr>
        <w:t>(</w:t>
      </w:r>
      <w:r>
        <w:rPr>
          <w:rFonts w:cs="Arial"/>
        </w:rPr>
        <w:t xml:space="preserve">first </w:t>
      </w:r>
      <w:r w:rsidRPr="009A5185">
        <w:rPr>
          <w:rFonts w:cs="Arial"/>
        </w:rPr>
        <w:t>name</w:t>
      </w:r>
      <w:r>
        <w:rPr>
          <w:rFonts w:cs="Arial"/>
        </w:rPr>
        <w:t xml:space="preserve"> and last name)</w:t>
      </w:r>
      <w:r>
        <w:rPr>
          <w:rFonts w:cs="Arial"/>
        </w:rPr>
        <w:tab/>
      </w:r>
      <w:r>
        <w:rPr>
          <w:rFonts w:cs="Arial"/>
        </w:rPr>
        <w:tab/>
      </w:r>
      <w:r>
        <w:rPr>
          <w:rFonts w:cs="Arial"/>
        </w:rPr>
        <w:tab/>
      </w:r>
      <w:r>
        <w:rPr>
          <w:rFonts w:cs="Arial"/>
        </w:rPr>
        <w:tab/>
      </w:r>
      <w:r w:rsidRPr="009A5185">
        <w:rPr>
          <w:rFonts w:cs="Arial"/>
        </w:rPr>
        <w:t>(title)</w:t>
      </w:r>
    </w:p>
    <w:p w14:paraId="5546E5E7" w14:textId="77777777" w:rsidR="008910AA" w:rsidRPr="009A5185" w:rsidRDefault="008910AA">
      <w:pPr>
        <w:rPr>
          <w:rFonts w:cs="Arial"/>
          <w:snapToGrid w:val="0"/>
          <w:color w:val="000000"/>
        </w:rPr>
      </w:pPr>
      <w:r w:rsidRPr="009A5185">
        <w:rPr>
          <w:rFonts w:cs="Arial"/>
          <w:snapToGrid w:val="0"/>
          <w:color w:val="000000"/>
        </w:rPr>
        <w:t>on _______________________.</w:t>
      </w:r>
    </w:p>
    <w:p w14:paraId="1BEEB293" w14:textId="77777777" w:rsidR="008910AA" w:rsidRPr="009A5185" w:rsidRDefault="008910AA">
      <w:pPr>
        <w:pStyle w:val="BodyText2"/>
        <w:rPr>
          <w:rFonts w:cs="Arial"/>
        </w:rPr>
      </w:pPr>
      <w:r w:rsidRPr="009A5185">
        <w:rPr>
          <w:rFonts w:cs="Arial"/>
        </w:rPr>
        <w:t xml:space="preserve">                    (date)</w:t>
      </w:r>
    </w:p>
    <w:p w14:paraId="2F457B35" w14:textId="77777777" w:rsidR="008910AA" w:rsidRPr="009A5185" w:rsidRDefault="008910AA">
      <w:pPr>
        <w:rPr>
          <w:rFonts w:cs="Arial"/>
        </w:rPr>
      </w:pPr>
    </w:p>
    <w:p w14:paraId="179476E0" w14:textId="77777777" w:rsidR="00884856" w:rsidRPr="009A5185" w:rsidRDefault="00884856">
      <w:pPr>
        <w:rPr>
          <w:rFonts w:cs="Arial"/>
        </w:rPr>
      </w:pPr>
    </w:p>
    <w:p w14:paraId="01A0586C" w14:textId="7EC48EDB" w:rsidR="005A41AD" w:rsidRPr="009A5185" w:rsidRDefault="007F7C05">
      <w:pPr>
        <w:rPr>
          <w:rFonts w:cs="Arial"/>
        </w:rPr>
      </w:pPr>
      <w:r w:rsidRPr="009A5185">
        <w:rPr>
          <w:rFonts w:cs="Arial"/>
        </w:rPr>
        <w:br w:type="page"/>
      </w:r>
    </w:p>
    <w:p w14:paraId="7F6CE559" w14:textId="22A54396" w:rsidR="005A41AD" w:rsidRPr="009A5185" w:rsidRDefault="00416368" w:rsidP="00CF5A6E">
      <w:pPr>
        <w:pStyle w:val="Heading2"/>
      </w:pPr>
      <w:bookmarkStart w:id="638" w:name="_Toc383775064"/>
      <w:bookmarkStart w:id="639" w:name="_Toc225877810"/>
      <w:r w:rsidRPr="009A5185">
        <w:t xml:space="preserve">Section 7: </w:t>
      </w:r>
      <w:r w:rsidR="005A41AD" w:rsidRPr="009A5185">
        <w:t>Managing Serious Errors</w:t>
      </w:r>
      <w:bookmarkEnd w:id="638"/>
      <w:r w:rsidR="007F7C05" w:rsidRPr="009A5185">
        <w:t xml:space="preserve"> Reference Information</w:t>
      </w:r>
      <w:bookmarkEnd w:id="639"/>
    </w:p>
    <w:p w14:paraId="0FA7776E" w14:textId="77777777" w:rsidR="005A41AD" w:rsidRPr="009A5185" w:rsidRDefault="005A41AD" w:rsidP="005A41AD">
      <w:pPr>
        <w:rPr>
          <w:rFonts w:cs="Arial"/>
          <w:bCs/>
          <w:sz w:val="32"/>
          <w:lang w:eastAsia="ja-JP"/>
        </w:rPr>
      </w:pPr>
    </w:p>
    <w:p w14:paraId="269D6BCA" w14:textId="2AA37D45" w:rsidR="005A41AD" w:rsidRDefault="005A41AD" w:rsidP="00AB5B80">
      <w:pPr>
        <w:pStyle w:val="Heading3"/>
      </w:pPr>
      <w:bookmarkStart w:id="640" w:name="_Toc236218074"/>
      <w:bookmarkStart w:id="641" w:name="_Toc383775065"/>
      <w:bookmarkStart w:id="642" w:name="_Toc225877811"/>
      <w:r w:rsidRPr="009A5185">
        <w:t>What’s New</w:t>
      </w:r>
      <w:bookmarkEnd w:id="640"/>
      <w:r w:rsidRPr="009A5185">
        <w:t xml:space="preserve"> in the </w:t>
      </w:r>
      <w:bookmarkEnd w:id="641"/>
      <w:r w:rsidR="00A236B1">
        <w:t>202</w:t>
      </w:r>
      <w:r w:rsidR="00F84D2F">
        <w:t>6</w:t>
      </w:r>
      <w:r w:rsidR="00A41390" w:rsidRPr="009A5185">
        <w:t xml:space="preserve"> </w:t>
      </w:r>
      <w:r w:rsidR="004F68CC" w:rsidRPr="009A5185">
        <w:t>Survey</w:t>
      </w:r>
      <w:bookmarkEnd w:id="642"/>
    </w:p>
    <w:p w14:paraId="2A604742" w14:textId="77777777" w:rsidR="00694F51" w:rsidRPr="00694F51" w:rsidRDefault="00694F51" w:rsidP="00694F51">
      <w:pPr>
        <w:rPr>
          <w:lang w:eastAsia="ja-JP"/>
        </w:rPr>
      </w:pPr>
    </w:p>
    <w:p w14:paraId="1D230501" w14:textId="112874F1" w:rsidR="00F54C7F" w:rsidRDefault="00F54C7F" w:rsidP="00F54C7F">
      <w:pPr>
        <w:pStyle w:val="Heading44"/>
      </w:pPr>
      <w:r w:rsidRPr="00AD46BD">
        <w:t xml:space="preserve">Section </w:t>
      </w:r>
      <w:r w:rsidR="005F5E57">
        <w:t>7</w:t>
      </w:r>
      <w:r>
        <w:t xml:space="preserve">A: </w:t>
      </w:r>
      <w:r w:rsidR="005F5E57">
        <w:t>Never Events</w:t>
      </w:r>
      <w:r>
        <w:t xml:space="preserve"> </w:t>
      </w:r>
    </w:p>
    <w:p w14:paraId="6383C19E" w14:textId="7D568B68" w:rsidR="00F54C7F" w:rsidRPr="005018CA" w:rsidRDefault="00F54C7F" w:rsidP="00F54C7F">
      <w:pPr>
        <w:pStyle w:val="Heading44"/>
        <w:rPr>
          <w:b w:val="0"/>
          <w:bCs/>
          <w:sz w:val="20"/>
        </w:rPr>
      </w:pPr>
      <w:r w:rsidRPr="005018CA">
        <w:rPr>
          <w:b w:val="0"/>
          <w:bCs/>
          <w:sz w:val="20"/>
        </w:rPr>
        <w:t>There are no changes to th</w:t>
      </w:r>
      <w:r w:rsidR="005F5E57">
        <w:rPr>
          <w:b w:val="0"/>
          <w:bCs/>
          <w:sz w:val="20"/>
        </w:rPr>
        <w:t>is</w:t>
      </w:r>
      <w:r w:rsidRPr="005018CA">
        <w:rPr>
          <w:b w:val="0"/>
          <w:bCs/>
          <w:sz w:val="20"/>
        </w:rPr>
        <w:t xml:space="preserve"> subsection.</w:t>
      </w:r>
    </w:p>
    <w:p w14:paraId="50A7A476" w14:textId="77777777" w:rsidR="00F54C7F" w:rsidRDefault="00F54C7F" w:rsidP="00F54C7F">
      <w:pPr>
        <w:rPr>
          <w:rFonts w:cs="Arial"/>
        </w:rPr>
      </w:pPr>
    </w:p>
    <w:p w14:paraId="4A5D2972" w14:textId="25C5F6F3" w:rsidR="00F54C7F" w:rsidRDefault="00F54C7F" w:rsidP="00F54C7F">
      <w:pPr>
        <w:pStyle w:val="Heading44"/>
      </w:pPr>
      <w:r w:rsidRPr="00AD46BD">
        <w:t xml:space="preserve">Section </w:t>
      </w:r>
      <w:r w:rsidR="005F5E57">
        <w:t>7B</w:t>
      </w:r>
      <w:r w:rsidRPr="00AD46BD">
        <w:t>:</w:t>
      </w:r>
      <w:r w:rsidR="005F5E57">
        <w:t xml:space="preserve"> </w:t>
      </w:r>
      <w:r w:rsidR="005F5E57" w:rsidRPr="00DE5DC3">
        <w:t>Healthcare-Associated Infections</w:t>
      </w:r>
    </w:p>
    <w:p w14:paraId="46B1A79D" w14:textId="63645E88" w:rsidR="002D2FAA" w:rsidRDefault="00C97BC9" w:rsidP="002D2FAA">
      <w:bookmarkStart w:id="643" w:name="_Hlk214029530"/>
      <w:r w:rsidRPr="00C97BC9">
        <w:t xml:space="preserve">Leapfrog downloads HAI data from the Centers for Disease Control and Prevention’s (CDC) National Healthcare Safety Network (NHSN) four times during the Survey Cycle for use in the Leapfrog Hospital Survey. Both Leapfrog and CMS currently use and publicly report data that is calculated using a 2015 Baseline (i.e., Standard Population Data Year). Starting in fall 2026, CMS </w:t>
      </w:r>
      <w:hyperlink r:id="rId419" w:history="1">
        <w:r w:rsidRPr="00C97BC9">
          <w:rPr>
            <w:rStyle w:val="Hyperlink"/>
          </w:rPr>
          <w:t>plans to</w:t>
        </w:r>
      </w:hyperlink>
      <w:r w:rsidRPr="00C97BC9">
        <w:t xml:space="preserve"> calculate HAI measures using NHSN’s new 2022 Baseline for data publicly reported on the Care Compare website. Once CMS begins calculating and publicly reporting HAI measures on Care Compare using the 2022 Baseline, Leapfrog will also transition to using data calculated with the 2022 Baseline in a reasonable and feasible timeframe.</w:t>
      </w:r>
    </w:p>
    <w:p w14:paraId="05D8BC5B" w14:textId="77777777" w:rsidR="00C97BC9" w:rsidRPr="005C6BC1" w:rsidRDefault="00C97BC9" w:rsidP="002D2FAA">
      <w:pPr>
        <w:rPr>
          <w:b/>
          <w:bCs/>
        </w:rPr>
      </w:pPr>
    </w:p>
    <w:p w14:paraId="2877FBC4" w14:textId="1DC09633" w:rsidR="002D2FAA" w:rsidRDefault="002D2FAA" w:rsidP="002D2FAA">
      <w:r>
        <w:t xml:space="preserve">Leapfrog anticipates using 2015 Baseline CMS IPPS Reports </w:t>
      </w:r>
      <w:r w:rsidR="005349FE">
        <w:t xml:space="preserve">for scoring </w:t>
      </w:r>
      <w:r>
        <w:t>in the first two NHSN data downloads (June and August), then 2022 Baseline CMS IPPS Reports</w:t>
      </w:r>
      <w:r w:rsidR="00B0782F">
        <w:t xml:space="preserve"> for scoring</w:t>
      </w:r>
      <w:r>
        <w:t xml:space="preserve"> in the next two NHSN data downloads (October and December). However, this plan is subject to CMS’ actual rollout of the new baseline on Care Compare. </w:t>
      </w:r>
    </w:p>
    <w:p w14:paraId="1E025DDB" w14:textId="77777777" w:rsidR="002D2FAA" w:rsidRPr="005C6BC1" w:rsidRDefault="002D2FAA" w:rsidP="002D2FAA">
      <w:pPr>
        <w:rPr>
          <w:rFonts w:cs="Arial"/>
        </w:rPr>
      </w:pPr>
    </w:p>
    <w:p w14:paraId="165A6C4D" w14:textId="4563F80D" w:rsidR="0049493E" w:rsidRDefault="00AE09AD" w:rsidP="00764EEA">
      <w:bookmarkStart w:id="644" w:name="_Toc236218075"/>
      <w:bookmarkStart w:id="645" w:name="_Toc383775066"/>
      <w:bookmarkEnd w:id="643"/>
      <w:r w:rsidRPr="00AE09AD">
        <w:t>In order to ensure that hospitals have adequate time to review updates to the scoring algorithm for these five measures, Leapfrog plans to download 2022 Baseline CMS IPPS Reports, with the reporting period of 01/01/2025 – 12/31/2025, in June to model a new scoring algorithm for Section 7B: Healthcare-Associated Infections (HAIs). The new scoring algorithm will be available for public comment and finalized prior to its anticipated use in October 2026.</w:t>
      </w:r>
    </w:p>
    <w:p w14:paraId="7D49E4AA" w14:textId="77777777" w:rsidR="00DA19BE" w:rsidRDefault="00DA19BE" w:rsidP="00764EEA"/>
    <w:p w14:paraId="2CB0AE0E" w14:textId="291D8799" w:rsidR="00AE09AD" w:rsidRDefault="00DA19BE" w:rsidP="00764EEA">
      <w:r w:rsidRPr="00DA19BE">
        <w:t>The deadlines to join Leapfrog’s NHSN Group and anticipated use of the 2022 Baseline can be found in</w:t>
      </w:r>
      <w:r>
        <w:t xml:space="preserve"> the measure specifications.</w:t>
      </w:r>
    </w:p>
    <w:p w14:paraId="08B446AD" w14:textId="77777777" w:rsidR="00DA19BE" w:rsidRPr="009A5185" w:rsidRDefault="00DA19BE" w:rsidP="00764EEA"/>
    <w:p w14:paraId="63683AB2" w14:textId="0DFC3A8B" w:rsidR="005A41AD" w:rsidRDefault="005A41AD" w:rsidP="00AB5B80">
      <w:pPr>
        <w:pStyle w:val="Heading3"/>
      </w:pPr>
      <w:bookmarkStart w:id="646" w:name="_Toc225877812"/>
      <w:r w:rsidRPr="009A5185">
        <w:t>Change Summary</w:t>
      </w:r>
      <w:bookmarkEnd w:id="644"/>
      <w:r w:rsidRPr="009A5185">
        <w:t xml:space="preserve"> </w:t>
      </w:r>
      <w:r w:rsidR="00764EEA">
        <w:t>S</w:t>
      </w:r>
      <w:r w:rsidRPr="009A5185">
        <w:t>ince Release</w:t>
      </w:r>
      <w:bookmarkEnd w:id="645"/>
      <w:bookmarkEnd w:id="646"/>
    </w:p>
    <w:p w14:paraId="66F4D6D4" w14:textId="77777777" w:rsidR="00DB6C78" w:rsidRDefault="00DB6C78" w:rsidP="00DB6C78">
      <w:pPr>
        <w:pStyle w:val="BodyText3"/>
        <w:rPr>
          <w:lang w:eastAsia="ja-JP"/>
        </w:rPr>
      </w:pPr>
    </w:p>
    <w:p w14:paraId="394AB69B" w14:textId="23F2DEA1" w:rsidR="005F2274" w:rsidRPr="005F2274" w:rsidRDefault="005F2274" w:rsidP="005F2274">
      <w:pPr>
        <w:pStyle w:val="EndnoteText"/>
        <w:rPr>
          <w:rFonts w:cs="Arial"/>
          <w:color w:val="000000"/>
          <w:highlight w:val="yellow"/>
          <w:lang w:eastAsia="ja-JP"/>
        </w:rPr>
      </w:pPr>
      <w:r w:rsidRPr="005F2274">
        <w:rPr>
          <w:rFonts w:cs="Arial"/>
          <w:highlight w:val="yellow"/>
        </w:rPr>
        <w:t xml:space="preserve">October 20, 2026 – </w:t>
      </w:r>
      <w:r w:rsidRPr="005F2274">
        <w:rPr>
          <w:rFonts w:cs="Arial"/>
          <w:color w:val="000000"/>
          <w:highlight w:val="yellow"/>
          <w:lang w:eastAsia="ja-JP"/>
        </w:rPr>
        <w:t xml:space="preserve">Updated the reporting period used in Section 7B Healthcare-Associated Infections for the October and December NHSN Data Downloads to use a 24-month reporting period (07/01/2024 – 06/30/2026), rather than a 12-month reporting period for hospitals that reported 50 or fewer staffed beds (&lt;=50) on their 2025 NHSN Patient Safety Component – Annual Survey. Hospitals reporting more than 50 staffed beds will continue to utilize a 12-month reporting period (07/01/2025 – 06/30/2026). Leapfrog is now also using the NHSN 2022 Baselines and updated risk-adjustment model. Please review the updated information in the Section 7B Healthcare-Associated Infections Measure Specifications and in the updated “NHSN Guidance: Join the Group, Review/Accept Data Rights Template, and Download Reports” document on the </w:t>
      </w:r>
      <w:hyperlink r:id="rId420" w:tooltip="Original URL: https://www.leapfroggroup.org/survey-materials/review-nhsn-instructions. Click or tap if you trust this link." w:history="1">
        <w:r w:rsidRPr="005F2274">
          <w:rPr>
            <w:rStyle w:val="Hyperlink"/>
            <w:rFonts w:cs="Arial"/>
            <w:highlight w:val="yellow"/>
            <w:lang w:eastAsia="ja-JP"/>
          </w:rPr>
          <w:t>Review NHSN Instructions webpage</w:t>
        </w:r>
      </w:hyperlink>
      <w:r w:rsidRPr="005F2274">
        <w:rPr>
          <w:rFonts w:cs="Arial"/>
          <w:color w:val="000000"/>
          <w:highlight w:val="yellow"/>
          <w:lang w:eastAsia="ja-JP"/>
        </w:rPr>
        <w:t>.</w:t>
      </w:r>
    </w:p>
    <w:p w14:paraId="024C312D" w14:textId="77777777" w:rsidR="005F2274" w:rsidRPr="005F2274" w:rsidRDefault="005F2274" w:rsidP="005F2274">
      <w:pPr>
        <w:pStyle w:val="EndnoteText"/>
        <w:rPr>
          <w:rFonts w:cs="Arial"/>
          <w:color w:val="000000"/>
          <w:highlight w:val="yellow"/>
          <w:lang w:eastAsia="ja-JP"/>
        </w:rPr>
      </w:pPr>
      <w:r w:rsidRPr="005F2274">
        <w:rPr>
          <w:rFonts w:cs="Arial"/>
          <w:color w:val="000000"/>
          <w:highlight w:val="yellow"/>
          <w:lang w:eastAsia="ja-JP"/>
        </w:rPr>
        <w:t> </w:t>
      </w:r>
    </w:p>
    <w:p w14:paraId="40074F28" w14:textId="77777777" w:rsidR="005F2274" w:rsidRPr="005F2274" w:rsidRDefault="005F2274" w:rsidP="005F2274">
      <w:pPr>
        <w:pStyle w:val="EndnoteText"/>
        <w:rPr>
          <w:rFonts w:cs="Arial"/>
          <w:color w:val="000000"/>
          <w:lang w:eastAsia="ja-JP"/>
        </w:rPr>
      </w:pPr>
      <w:r w:rsidRPr="005F2274">
        <w:rPr>
          <w:rFonts w:cs="Arial"/>
          <w:color w:val="000000"/>
          <w:highlight w:val="yellow"/>
          <w:lang w:eastAsia="ja-JP"/>
        </w:rPr>
        <w:t xml:space="preserve">Updates have also been made to the Section 7B Healthcare-Associated Infections Scoring Algorithm and can be reviewed in the updated 2026 Leapfrog Hospital Survey Scoring Algorithms document published on October 20, 2026 </w:t>
      </w:r>
      <w:hyperlink r:id="rId421" w:tooltip="Original URL: https://www.leapfroggroup.org/survey-materials/scoring-and-results. Click or tap if you trust this link." w:history="1">
        <w:r w:rsidRPr="005F2274">
          <w:rPr>
            <w:rStyle w:val="Hyperlink"/>
            <w:rFonts w:cs="Arial"/>
            <w:highlight w:val="yellow"/>
            <w:lang w:eastAsia="ja-JP"/>
          </w:rPr>
          <w:t>here</w:t>
        </w:r>
      </w:hyperlink>
      <w:r w:rsidRPr="005F2274">
        <w:rPr>
          <w:rFonts w:cs="Arial"/>
          <w:color w:val="000000"/>
          <w:highlight w:val="yellow"/>
          <w:lang w:eastAsia="ja-JP"/>
        </w:rPr>
        <w:t>.</w:t>
      </w:r>
    </w:p>
    <w:p w14:paraId="07B6457F" w14:textId="77777777" w:rsidR="005A41AD" w:rsidRPr="009A5185" w:rsidRDefault="005A41AD" w:rsidP="005A41AD">
      <w:pPr>
        <w:pStyle w:val="EndnoteText"/>
        <w:rPr>
          <w:rFonts w:cs="Arial"/>
          <w:i/>
        </w:rPr>
      </w:pPr>
    </w:p>
    <w:p w14:paraId="41E805C6" w14:textId="3C629AB0" w:rsidR="00FC7AFA" w:rsidRPr="009A5185" w:rsidRDefault="00FC7AFA" w:rsidP="00764EEA">
      <w:bookmarkStart w:id="647" w:name="_CLABSI_and_CAUTI"/>
      <w:bookmarkEnd w:id="647"/>
    </w:p>
    <w:p w14:paraId="61FD893D" w14:textId="77777777" w:rsidR="00A7567E" w:rsidRDefault="00A7567E">
      <w:pPr>
        <w:rPr>
          <w:b/>
          <w:snapToGrid w:val="0"/>
          <w:sz w:val="28"/>
          <w:szCs w:val="24"/>
          <w:u w:val="single"/>
          <w:lang w:eastAsia="ja-JP"/>
        </w:rPr>
      </w:pPr>
      <w:bookmarkStart w:id="648" w:name="_Healthcare-Associated_Infections_Sp"/>
      <w:bookmarkStart w:id="649" w:name="_Healthcare-Associated_and_Antibioti"/>
      <w:bookmarkStart w:id="650" w:name="_Healthcare-Associated_Infections_an"/>
      <w:bookmarkStart w:id="651" w:name="_Healthcare-Associated_Infections_Me"/>
      <w:bookmarkEnd w:id="648"/>
      <w:bookmarkEnd w:id="649"/>
      <w:bookmarkEnd w:id="650"/>
      <w:bookmarkEnd w:id="651"/>
      <w:r>
        <w:br w:type="page"/>
      </w:r>
    </w:p>
    <w:p w14:paraId="7D3241B6" w14:textId="1F1D2CE8" w:rsidR="005A41AD" w:rsidRPr="009A5185" w:rsidRDefault="00B078B4" w:rsidP="00CF5A6E">
      <w:pPr>
        <w:pStyle w:val="Heading2"/>
      </w:pPr>
      <w:bookmarkStart w:id="652" w:name="_Healthcare-Associated_Infections_Me_1"/>
      <w:bookmarkStart w:id="653" w:name="_Section_7B:_Healthcare-Associated"/>
      <w:bookmarkStart w:id="654" w:name="_Ref123647745"/>
      <w:bookmarkStart w:id="655" w:name="_Toc225877813"/>
      <w:bookmarkEnd w:id="652"/>
      <w:bookmarkEnd w:id="653"/>
      <w:r>
        <w:t xml:space="preserve">Section 7B: </w:t>
      </w:r>
      <w:r w:rsidR="00E41CC6" w:rsidRPr="009A5185">
        <w:t xml:space="preserve">Healthcare-Associated </w:t>
      </w:r>
      <w:r w:rsidR="00542CE6">
        <w:t>Infections</w:t>
      </w:r>
      <w:r w:rsidR="006F2901" w:rsidRPr="006F2901">
        <w:t xml:space="preserve"> </w:t>
      </w:r>
      <w:r w:rsidR="006F2901">
        <w:t xml:space="preserve">Measure </w:t>
      </w:r>
      <w:r w:rsidR="005B78E1" w:rsidRPr="009A5185">
        <w:t>Specifications</w:t>
      </w:r>
      <w:bookmarkEnd w:id="654"/>
      <w:bookmarkEnd w:id="655"/>
    </w:p>
    <w:p w14:paraId="0C0FD995" w14:textId="77777777" w:rsidR="000D0813" w:rsidRPr="00CC1D4D" w:rsidRDefault="000D0813" w:rsidP="002B3F29">
      <w:pPr>
        <w:rPr>
          <w:rFonts w:cs="Arial"/>
          <w:snapToGrid w:val="0"/>
        </w:rPr>
      </w:pPr>
      <w:bookmarkStart w:id="656" w:name="CLABSISpecs"/>
    </w:p>
    <w:p w14:paraId="7AB407D0" w14:textId="004B9499" w:rsidR="00174828" w:rsidRPr="006D6FE4" w:rsidRDefault="00451080" w:rsidP="00174828">
      <w:pPr>
        <w:rPr>
          <w:rFonts w:cs="Arial"/>
          <w:b/>
        </w:rPr>
      </w:pPr>
      <w:bookmarkStart w:id="657" w:name="NHSN_Checklist"/>
      <w:bookmarkStart w:id="658" w:name="_Toc383775081"/>
      <w:bookmarkEnd w:id="656"/>
      <w:r w:rsidRPr="00451080">
        <w:rPr>
          <w:rFonts w:cs="Arial"/>
          <w:b/>
          <w:bCs/>
          <w:snapToGrid w:val="0"/>
          <w:color w:val="FF0000"/>
        </w:rPr>
        <w:t>Important Note:</w:t>
      </w:r>
      <w:r w:rsidRPr="00451080">
        <w:rPr>
          <w:rFonts w:cs="Arial"/>
          <w:snapToGrid w:val="0"/>
          <w:color w:val="FF0000"/>
        </w:rPr>
        <w:t xml:space="preserve"> </w:t>
      </w:r>
      <w:r w:rsidR="00174828" w:rsidRPr="009A5185">
        <w:rPr>
          <w:rFonts w:cs="Arial"/>
          <w:snapToGrid w:val="0"/>
        </w:rPr>
        <w:t xml:space="preserve">Hospitals that share a </w:t>
      </w:r>
      <w:r w:rsidR="00174828">
        <w:rPr>
          <w:rFonts w:cs="Arial"/>
          <w:snapToGrid w:val="0"/>
        </w:rPr>
        <w:t>CMS Certification Number</w:t>
      </w:r>
      <w:r w:rsidR="00174828" w:rsidRPr="009A5185">
        <w:rPr>
          <w:rFonts w:cs="Arial"/>
          <w:snapToGrid w:val="0"/>
        </w:rPr>
        <w:t xml:space="preserve"> must have a unique NHSN ID as required by NHSN. Please carefully review Leapfrog’s </w:t>
      </w:r>
      <w:r w:rsidR="0045202E">
        <w:rPr>
          <w:rFonts w:cs="Arial"/>
          <w:snapToGrid w:val="0"/>
        </w:rPr>
        <w:t xml:space="preserve">Multi-Campus Reporting Policy on the </w:t>
      </w:r>
      <w:hyperlink r:id="rId422" w:history="1">
        <w:r w:rsidR="00C82158" w:rsidRPr="00F16D46">
          <w:rPr>
            <w:rStyle w:val="Hyperlink"/>
            <w:rFonts w:cs="Arial"/>
            <w:snapToGrid w:val="0"/>
          </w:rPr>
          <w:t xml:space="preserve">Review NHSN Instructions </w:t>
        </w:r>
        <w:r w:rsidR="00F16D46" w:rsidRPr="00F16D46">
          <w:rPr>
            <w:rStyle w:val="Hyperlink"/>
            <w:rFonts w:cs="Arial"/>
            <w:snapToGrid w:val="0"/>
          </w:rPr>
          <w:t>webpage</w:t>
        </w:r>
      </w:hyperlink>
      <w:r w:rsidR="0045202E" w:rsidRPr="009A5185">
        <w:rPr>
          <w:rFonts w:cs="Arial"/>
          <w:snapToGrid w:val="0"/>
        </w:rPr>
        <w:t>.</w:t>
      </w:r>
    </w:p>
    <w:p w14:paraId="35E45304" w14:textId="77777777" w:rsidR="00174828" w:rsidRPr="00CC1D4D" w:rsidRDefault="00174828" w:rsidP="006F2901">
      <w:pPr>
        <w:rPr>
          <w:b/>
          <w:lang w:eastAsia="ja-JP"/>
        </w:rPr>
      </w:pPr>
    </w:p>
    <w:p w14:paraId="571AE359" w14:textId="01CBB198" w:rsidR="006F2901" w:rsidRPr="00760C43" w:rsidRDefault="006F2901" w:rsidP="00AB5B80">
      <w:pPr>
        <w:pStyle w:val="Heading3"/>
      </w:pPr>
      <w:bookmarkStart w:id="659" w:name="_Toc225877814"/>
      <w:r w:rsidRPr="00760C43">
        <w:t>Checklist</w:t>
      </w:r>
      <w:bookmarkEnd w:id="657"/>
      <w:r w:rsidRPr="00760C43">
        <w:t xml:space="preserve"> for Joining Leapfrog’s NHSN Group and Ensuring the Data are Accurate</w:t>
      </w:r>
      <w:r w:rsidR="00C64E7A" w:rsidRPr="00760C43">
        <w:t>:</w:t>
      </w:r>
      <w:bookmarkEnd w:id="659"/>
    </w:p>
    <w:p w14:paraId="3D90AC57" w14:textId="77777777" w:rsidR="006F2901" w:rsidRPr="00263D83" w:rsidRDefault="006F2901" w:rsidP="006F2901">
      <w:pPr>
        <w:rPr>
          <w:lang w:eastAsia="ja-JP"/>
        </w:rPr>
      </w:pPr>
    </w:p>
    <w:p w14:paraId="72306BBB" w14:textId="7771BA81" w:rsidR="006F2901" w:rsidRPr="00A90AE6" w:rsidRDefault="006F2901" w:rsidP="00AD309C">
      <w:pPr>
        <w:pStyle w:val="Heading44"/>
        <w:numPr>
          <w:ilvl w:val="0"/>
          <w:numId w:val="265"/>
        </w:numPr>
        <w:rPr>
          <w:sz w:val="20"/>
          <w:lang w:eastAsia="ja-JP"/>
        </w:rPr>
      </w:pPr>
      <w:r w:rsidRPr="00A90AE6">
        <w:rPr>
          <w:sz w:val="20"/>
          <w:lang w:eastAsia="ja-JP"/>
        </w:rPr>
        <w:t>Join or verify that you are in Leapfrog’s NHSN Group</w:t>
      </w:r>
    </w:p>
    <w:p w14:paraId="46A1D4E0" w14:textId="5BE60F47" w:rsidR="006F2901" w:rsidRPr="00263D83" w:rsidRDefault="006F2901" w:rsidP="00AD309C">
      <w:pPr>
        <w:pStyle w:val="ListParagraph"/>
        <w:numPr>
          <w:ilvl w:val="0"/>
          <w:numId w:val="392"/>
        </w:numPr>
        <w:rPr>
          <w:lang w:eastAsia="ja-JP"/>
        </w:rPr>
      </w:pPr>
      <w:r w:rsidRPr="00263D83">
        <w:rPr>
          <w:lang w:eastAsia="ja-JP"/>
        </w:rPr>
        <w:t xml:space="preserve">Instructions for joining or verifying that you are in Leapfrog’s NHSN Group are available </w:t>
      </w:r>
      <w:hyperlink r:id="rId423" w:history="1">
        <w:r w:rsidRPr="00263D83">
          <w:rPr>
            <w:rStyle w:val="Hyperlink"/>
            <w:lang w:eastAsia="ja-JP"/>
          </w:rPr>
          <w:t>here</w:t>
        </w:r>
      </w:hyperlink>
      <w:r w:rsidR="00174828" w:rsidRPr="00263D83">
        <w:rPr>
          <w:lang w:eastAsia="ja-JP"/>
        </w:rPr>
        <w:t xml:space="preserve"> in the</w:t>
      </w:r>
      <w:r w:rsidRPr="00263D83">
        <w:t xml:space="preserve"> </w:t>
      </w:r>
      <w:r w:rsidR="007C69A0" w:rsidRPr="00263D83">
        <w:t xml:space="preserve">“NHSN Guidance: Join the Group, </w:t>
      </w:r>
      <w:r w:rsidR="00095923" w:rsidRPr="00263D83">
        <w:t xml:space="preserve">Review/Accept </w:t>
      </w:r>
      <w:r w:rsidR="007C69A0" w:rsidRPr="00263D83">
        <w:t>Data Rights Template, and Download Reports”</w:t>
      </w:r>
      <w:r w:rsidR="00174828" w:rsidRPr="00263D83">
        <w:t xml:space="preserve"> document.</w:t>
      </w:r>
    </w:p>
    <w:p w14:paraId="49707D9A" w14:textId="2199AB23" w:rsidR="006F2901" w:rsidRPr="00263D83" w:rsidRDefault="00976707" w:rsidP="00AD309C">
      <w:pPr>
        <w:pStyle w:val="ListParagraph"/>
        <w:numPr>
          <w:ilvl w:val="0"/>
          <w:numId w:val="392"/>
        </w:numPr>
        <w:rPr>
          <w:lang w:eastAsia="ja-JP"/>
        </w:rPr>
      </w:pPr>
      <w:r>
        <w:t>Hospitals must belong to Leapfrog’s NHSN Group prior to the NHSN Download Dates</w:t>
      </w:r>
      <w:r w:rsidRPr="00263D83" w:rsidDel="00976707">
        <w:t xml:space="preserve"> </w:t>
      </w:r>
      <w:r w:rsidR="006F2901" w:rsidRPr="00263D83">
        <w:t>listed in the “Deadlines and Reporting Periods” table below.</w:t>
      </w:r>
    </w:p>
    <w:p w14:paraId="7B8F49D2" w14:textId="77777777" w:rsidR="006F2901" w:rsidRPr="00263D83" w:rsidRDefault="006F2901" w:rsidP="00CE5714">
      <w:pPr>
        <w:pStyle w:val="ListParagraph"/>
        <w:ind w:left="1080"/>
        <w:rPr>
          <w:lang w:eastAsia="ja-JP"/>
        </w:rPr>
      </w:pPr>
    </w:p>
    <w:p w14:paraId="430FE511" w14:textId="77777777" w:rsidR="006F2901" w:rsidRPr="00A90AE6" w:rsidRDefault="006F2901" w:rsidP="00AD309C">
      <w:pPr>
        <w:pStyle w:val="Heading44"/>
        <w:numPr>
          <w:ilvl w:val="0"/>
          <w:numId w:val="266"/>
        </w:numPr>
        <w:rPr>
          <w:sz w:val="20"/>
          <w:lang w:eastAsia="ja-JP"/>
        </w:rPr>
      </w:pPr>
      <w:bookmarkStart w:id="660" w:name="_Hlk36418726"/>
      <w:r w:rsidRPr="00A90AE6">
        <w:rPr>
          <w:sz w:val="20"/>
          <w:lang w:eastAsia="ja-JP"/>
        </w:rPr>
        <w:t>Review and accept Leapfrog’s Data Rights Template within NHSN</w:t>
      </w:r>
    </w:p>
    <w:p w14:paraId="53D386AE" w14:textId="395198F1" w:rsidR="006F2901" w:rsidRPr="00263D83" w:rsidRDefault="006F2901" w:rsidP="00AD309C">
      <w:pPr>
        <w:pStyle w:val="ListParagraph"/>
        <w:numPr>
          <w:ilvl w:val="0"/>
          <w:numId w:val="267"/>
        </w:numPr>
        <w:rPr>
          <w:lang w:eastAsia="ja-JP"/>
        </w:rPr>
      </w:pPr>
      <w:bookmarkStart w:id="661" w:name="_Hlk36555318"/>
      <w:r w:rsidRPr="00263D83">
        <w:rPr>
          <w:b/>
          <w:u w:val="single"/>
          <w:lang w:eastAsia="ja-JP"/>
        </w:rPr>
        <w:t>All hospitals</w:t>
      </w:r>
      <w:r w:rsidRPr="00263D83">
        <w:rPr>
          <w:u w:val="single"/>
          <w:lang w:eastAsia="ja-JP"/>
        </w:rPr>
        <w:t xml:space="preserve"> </w:t>
      </w:r>
      <w:r w:rsidRPr="00263D83">
        <w:rPr>
          <w:lang w:eastAsia="ja-JP"/>
        </w:rPr>
        <w:t xml:space="preserve">are required to review and accept the Data Rights Template </w:t>
      </w:r>
      <w:r w:rsidR="001B7172" w:rsidRPr="00263D83">
        <w:rPr>
          <w:lang w:eastAsia="ja-JP"/>
        </w:rPr>
        <w:t xml:space="preserve">at least </w:t>
      </w:r>
      <w:r w:rsidRPr="00263D83">
        <w:rPr>
          <w:lang w:eastAsia="ja-JP"/>
        </w:rPr>
        <w:t xml:space="preserve">annually before </w:t>
      </w:r>
      <w:r w:rsidR="00CA2BB3" w:rsidRPr="00263D83">
        <w:rPr>
          <w:b/>
          <w:bCs/>
          <w:lang w:eastAsia="ja-JP"/>
        </w:rPr>
        <w:t>J</w:t>
      </w:r>
      <w:r w:rsidR="005A5A08" w:rsidRPr="00263D83">
        <w:rPr>
          <w:b/>
          <w:bCs/>
          <w:lang w:eastAsia="ja-JP"/>
        </w:rPr>
        <w:t>u</w:t>
      </w:r>
      <w:r w:rsidR="009929CD" w:rsidRPr="00263D83">
        <w:rPr>
          <w:b/>
          <w:bCs/>
          <w:lang w:eastAsia="ja-JP"/>
        </w:rPr>
        <w:t>ne</w:t>
      </w:r>
      <w:r w:rsidR="00CA2BB3" w:rsidRPr="00263D83">
        <w:rPr>
          <w:b/>
          <w:bCs/>
          <w:lang w:eastAsia="ja-JP"/>
        </w:rPr>
        <w:t xml:space="preserve"> </w:t>
      </w:r>
      <w:r w:rsidR="00DF11B8">
        <w:rPr>
          <w:b/>
          <w:bCs/>
          <w:lang w:eastAsia="ja-JP"/>
        </w:rPr>
        <w:t>2</w:t>
      </w:r>
      <w:r w:rsidR="00C85002">
        <w:rPr>
          <w:b/>
          <w:bCs/>
          <w:lang w:eastAsia="ja-JP"/>
        </w:rPr>
        <w:t>2</w:t>
      </w:r>
      <w:r w:rsidR="007E3C31" w:rsidRPr="00263D83">
        <w:rPr>
          <w:b/>
          <w:bCs/>
          <w:lang w:eastAsia="ja-JP"/>
        </w:rPr>
        <w:t xml:space="preserve">, </w:t>
      </w:r>
      <w:r w:rsidR="00BD66F6" w:rsidRPr="00263D83">
        <w:rPr>
          <w:b/>
          <w:bCs/>
          <w:lang w:eastAsia="ja-JP"/>
        </w:rPr>
        <w:t>202</w:t>
      </w:r>
      <w:r w:rsidR="006C0089">
        <w:rPr>
          <w:b/>
          <w:bCs/>
          <w:lang w:eastAsia="ja-JP"/>
        </w:rPr>
        <w:t>6</w:t>
      </w:r>
      <w:r w:rsidR="00BD66F6" w:rsidRPr="00263D83">
        <w:rPr>
          <w:b/>
          <w:bCs/>
          <w:lang w:eastAsia="ja-JP"/>
        </w:rPr>
        <w:t>,</w:t>
      </w:r>
      <w:r w:rsidR="007E3C31" w:rsidRPr="00263D83">
        <w:rPr>
          <w:b/>
          <w:bCs/>
          <w:lang w:eastAsia="ja-JP"/>
        </w:rPr>
        <w:t xml:space="preserve"> </w:t>
      </w:r>
      <w:r w:rsidR="001B7172" w:rsidRPr="00263D83">
        <w:rPr>
          <w:bCs/>
          <w:lang w:eastAsia="ja-JP"/>
        </w:rPr>
        <w:t>and whenever updates are made to their location mapping in NHSN</w:t>
      </w:r>
      <w:r w:rsidR="00174828" w:rsidRPr="00263D83">
        <w:rPr>
          <w:bCs/>
          <w:lang w:eastAsia="ja-JP"/>
        </w:rPr>
        <w:t>.</w:t>
      </w:r>
    </w:p>
    <w:bookmarkEnd w:id="661"/>
    <w:p w14:paraId="74E2A251" w14:textId="77777777" w:rsidR="006F2901" w:rsidRDefault="006F2901" w:rsidP="00AD309C">
      <w:pPr>
        <w:pStyle w:val="ListParagraph"/>
        <w:numPr>
          <w:ilvl w:val="1"/>
          <w:numId w:val="267"/>
        </w:numPr>
        <w:rPr>
          <w:lang w:eastAsia="ja-JP"/>
        </w:rPr>
      </w:pPr>
      <w:r w:rsidRPr="00263D83">
        <w:rPr>
          <w:lang w:eastAsia="ja-JP"/>
        </w:rPr>
        <w:t>Include any locations that</w:t>
      </w:r>
      <w:r w:rsidRPr="0083001C">
        <w:rPr>
          <w:lang w:eastAsia="ja-JP"/>
        </w:rPr>
        <w:t xml:space="preserve"> were active during the reporting</w:t>
      </w:r>
      <w:r w:rsidRPr="0083001C">
        <w:rPr>
          <w:b/>
          <w:lang w:eastAsia="ja-JP"/>
        </w:rPr>
        <w:t xml:space="preserve"> </w:t>
      </w:r>
      <w:r w:rsidRPr="0083001C">
        <w:rPr>
          <w:lang w:eastAsia="ja-JP"/>
        </w:rPr>
        <w:t>period even if they are currently inactive to ensure that Leapfrog obtains the appropriate SIR.</w:t>
      </w:r>
    </w:p>
    <w:p w14:paraId="3579E6DA" w14:textId="1C322E44" w:rsidR="006F2901" w:rsidRPr="0083001C" w:rsidRDefault="006F2901" w:rsidP="00AD309C">
      <w:pPr>
        <w:pStyle w:val="ListParagraph"/>
        <w:numPr>
          <w:ilvl w:val="1"/>
          <w:numId w:val="267"/>
        </w:numPr>
        <w:rPr>
          <w:lang w:eastAsia="ja-JP"/>
        </w:rPr>
      </w:pPr>
      <w:r>
        <w:rPr>
          <w:lang w:eastAsia="ja-JP"/>
        </w:rPr>
        <w:t xml:space="preserve">Confirm that you have given Leapfrog access to data from your </w:t>
      </w:r>
      <w:r w:rsidR="001B18B6">
        <w:rPr>
          <w:lang w:eastAsia="ja-JP"/>
        </w:rPr>
        <w:t xml:space="preserve">most recent </w:t>
      </w:r>
      <w:r>
        <w:rPr>
          <w:lang w:eastAsia="ja-JP"/>
        </w:rPr>
        <w:t>NHSN Patient Safety Component</w:t>
      </w:r>
      <w:r w:rsidR="00416C61">
        <w:rPr>
          <w:lang w:eastAsia="ja-JP"/>
        </w:rPr>
        <w:t xml:space="preserve"> </w:t>
      </w:r>
      <w:r>
        <w:rPr>
          <w:lang w:eastAsia="ja-JP"/>
        </w:rPr>
        <w:t xml:space="preserve">- Annual Hospital Survey. </w:t>
      </w:r>
      <w:r w:rsidR="00C30C17" w:rsidRPr="00C30C17">
        <w:rPr>
          <w:lang w:eastAsia="ja-JP"/>
        </w:rPr>
        <w:t xml:space="preserve">Surveillance data from the </w:t>
      </w:r>
      <w:r w:rsidR="007D3046">
        <w:rPr>
          <w:lang w:eastAsia="ja-JP"/>
        </w:rPr>
        <w:t xml:space="preserve">most recent </w:t>
      </w:r>
      <w:r w:rsidR="00C30C17" w:rsidRPr="00C30C17">
        <w:rPr>
          <w:lang w:eastAsia="ja-JP"/>
        </w:rPr>
        <w:t xml:space="preserve">NHSN Annual Hospital Survey is used by NHSN to risk adjust SIRs; SIRs cannot be calculated by NHSN or downloaded by Leapfrog if you restrict access to this data. </w:t>
      </w:r>
    </w:p>
    <w:p w14:paraId="209A028D" w14:textId="7EFBC9FF" w:rsidR="006F2901" w:rsidRPr="0083001C" w:rsidRDefault="006F2901" w:rsidP="00AD309C">
      <w:pPr>
        <w:pStyle w:val="ListParagraph"/>
        <w:numPr>
          <w:ilvl w:val="1"/>
          <w:numId w:val="267"/>
        </w:numPr>
        <w:rPr>
          <w:lang w:eastAsia="ja-JP"/>
        </w:rPr>
      </w:pPr>
      <w:r w:rsidRPr="0083001C">
        <w:rPr>
          <w:lang w:eastAsia="ja-JP"/>
        </w:rPr>
        <w:t xml:space="preserve">Failure to </w:t>
      </w:r>
      <w:r>
        <w:rPr>
          <w:lang w:eastAsia="ja-JP"/>
        </w:rPr>
        <w:t xml:space="preserve">review and </w:t>
      </w:r>
      <w:r w:rsidRPr="0083001C">
        <w:rPr>
          <w:lang w:eastAsia="ja-JP"/>
        </w:rPr>
        <w:t xml:space="preserve">update </w:t>
      </w:r>
      <w:r>
        <w:rPr>
          <w:lang w:eastAsia="ja-JP"/>
        </w:rPr>
        <w:t xml:space="preserve">(as needed) </w:t>
      </w:r>
      <w:r w:rsidRPr="0083001C">
        <w:rPr>
          <w:lang w:eastAsia="ja-JP"/>
        </w:rPr>
        <w:t xml:space="preserve">your Data Rights Template may result in Leapfrog pulling incorrect data for your </w:t>
      </w:r>
      <w:r w:rsidR="00261D05">
        <w:rPr>
          <w:lang w:eastAsia="ja-JP"/>
        </w:rPr>
        <w:t>hospital</w:t>
      </w:r>
      <w:r>
        <w:rPr>
          <w:lang w:eastAsia="ja-JP"/>
        </w:rPr>
        <w:t>.</w:t>
      </w:r>
    </w:p>
    <w:bookmarkEnd w:id="660"/>
    <w:p w14:paraId="4F60AE64" w14:textId="47D28951" w:rsidR="006F2901" w:rsidRPr="0083001C" w:rsidRDefault="006F2901" w:rsidP="00AD309C">
      <w:pPr>
        <w:pStyle w:val="ListParagraph"/>
        <w:numPr>
          <w:ilvl w:val="0"/>
          <w:numId w:val="267"/>
        </w:numPr>
        <w:rPr>
          <w:lang w:eastAsia="ja-JP"/>
        </w:rPr>
      </w:pPr>
      <w:r w:rsidRPr="0083001C">
        <w:rPr>
          <w:lang w:eastAsia="ja-JP"/>
        </w:rPr>
        <w:t>Instructions</w:t>
      </w:r>
      <w:r>
        <w:rPr>
          <w:lang w:eastAsia="ja-JP"/>
        </w:rPr>
        <w:t xml:space="preserve"> for reviewing and accepting the Data Rights Template are available </w:t>
      </w:r>
      <w:hyperlink r:id="rId424" w:history="1">
        <w:r w:rsidRPr="002C6747">
          <w:rPr>
            <w:rStyle w:val="Hyperlink"/>
            <w:lang w:eastAsia="ja-JP"/>
          </w:rPr>
          <w:t>here</w:t>
        </w:r>
      </w:hyperlink>
      <w:r w:rsidR="00174828">
        <w:t xml:space="preserve"> in the </w:t>
      </w:r>
      <w:r w:rsidRPr="0083001C">
        <w:t>“</w:t>
      </w:r>
      <w:r w:rsidR="007C69A0">
        <w:t>N</w:t>
      </w:r>
      <w:r w:rsidRPr="0083001C">
        <w:t xml:space="preserve">HSN </w:t>
      </w:r>
      <w:r w:rsidR="007C69A0">
        <w:t xml:space="preserve">Guidance: Join the </w:t>
      </w:r>
      <w:r w:rsidRPr="0083001C">
        <w:t>Group</w:t>
      </w:r>
      <w:r w:rsidR="007C69A0">
        <w:t>,</w:t>
      </w:r>
      <w:r w:rsidRPr="0083001C">
        <w:t xml:space="preserve"> </w:t>
      </w:r>
      <w:r w:rsidR="00B771B4">
        <w:t xml:space="preserve">Review/Accept </w:t>
      </w:r>
      <w:r w:rsidRPr="0083001C">
        <w:t>Data Rights Template</w:t>
      </w:r>
      <w:r w:rsidR="007C69A0">
        <w:t>, and Download Reports</w:t>
      </w:r>
      <w:r w:rsidRPr="0083001C">
        <w:t>”</w:t>
      </w:r>
      <w:r w:rsidR="00174828">
        <w:t xml:space="preserve"> document.</w:t>
      </w:r>
    </w:p>
    <w:p w14:paraId="4B0F23FE" w14:textId="77777777" w:rsidR="006F2901" w:rsidRPr="00CC1D4D" w:rsidRDefault="006F2901" w:rsidP="00CE5714">
      <w:pPr>
        <w:rPr>
          <w:lang w:eastAsia="ja-JP"/>
        </w:rPr>
      </w:pPr>
    </w:p>
    <w:p w14:paraId="1EE4B62B" w14:textId="77777777" w:rsidR="006F2901" w:rsidRPr="00A90AE6" w:rsidRDefault="006F2901" w:rsidP="00AD309C">
      <w:pPr>
        <w:pStyle w:val="Heading44"/>
        <w:numPr>
          <w:ilvl w:val="0"/>
          <w:numId w:val="268"/>
        </w:numPr>
        <w:rPr>
          <w:sz w:val="20"/>
          <w:lang w:eastAsia="ja-JP"/>
        </w:rPr>
      </w:pPr>
      <w:r w:rsidRPr="00A90AE6">
        <w:rPr>
          <w:sz w:val="20"/>
          <w:lang w:eastAsia="ja-JP"/>
        </w:rPr>
        <w:t xml:space="preserve">Generate datasets and download reports within NHSN on the same day as Leapfrog </w:t>
      </w:r>
    </w:p>
    <w:p w14:paraId="472D62DE" w14:textId="04910A90" w:rsidR="006F2901" w:rsidRPr="00263D83" w:rsidRDefault="006F2901" w:rsidP="00AD309C">
      <w:pPr>
        <w:pStyle w:val="ListParagraph"/>
        <w:numPr>
          <w:ilvl w:val="0"/>
          <w:numId w:val="269"/>
        </w:numPr>
        <w:rPr>
          <w:b/>
          <w:lang w:eastAsia="ja-JP"/>
        </w:rPr>
      </w:pPr>
      <w:r w:rsidRPr="00263D83">
        <w:rPr>
          <w:lang w:eastAsia="ja-JP"/>
        </w:rPr>
        <w:t xml:space="preserve">All hospitals are required </w:t>
      </w:r>
      <w:r w:rsidR="00C14D49" w:rsidRPr="00263D83">
        <w:rPr>
          <w:lang w:eastAsia="ja-JP"/>
        </w:rPr>
        <w:t xml:space="preserve">to </w:t>
      </w:r>
      <w:r w:rsidRPr="00263D83">
        <w:rPr>
          <w:lang w:eastAsia="ja-JP"/>
        </w:rPr>
        <w:t>(a) generate datasets within NHSN, (b) download CMS I</w:t>
      </w:r>
      <w:r w:rsidR="007008F0" w:rsidRPr="00263D83">
        <w:rPr>
          <w:lang w:eastAsia="ja-JP"/>
        </w:rPr>
        <w:t>PPS</w:t>
      </w:r>
      <w:r w:rsidRPr="00263D83">
        <w:rPr>
          <w:lang w:eastAsia="ja-JP"/>
        </w:rPr>
        <w:t xml:space="preserve"> reports, and (c)</w:t>
      </w:r>
      <w:r w:rsidR="008110E0" w:rsidRPr="00263D83">
        <w:rPr>
          <w:lang w:eastAsia="ja-JP"/>
        </w:rPr>
        <w:t xml:space="preserve"> </w:t>
      </w:r>
      <w:r w:rsidRPr="00263D83">
        <w:rPr>
          <w:lang w:eastAsia="ja-JP"/>
        </w:rPr>
        <w:t xml:space="preserve">download a copy of your </w:t>
      </w:r>
      <w:r w:rsidR="003E6FC0" w:rsidRPr="00263D83">
        <w:rPr>
          <w:lang w:eastAsia="ja-JP"/>
        </w:rPr>
        <w:t>20</w:t>
      </w:r>
      <w:r w:rsidR="00CA2BB3" w:rsidRPr="00263D83">
        <w:rPr>
          <w:lang w:eastAsia="ja-JP"/>
        </w:rPr>
        <w:t>2</w:t>
      </w:r>
      <w:r w:rsidR="00FD0767">
        <w:rPr>
          <w:lang w:eastAsia="ja-JP"/>
        </w:rPr>
        <w:t>5</w:t>
      </w:r>
      <w:r w:rsidRPr="00263D83">
        <w:rPr>
          <w:lang w:eastAsia="ja-JP"/>
        </w:rPr>
        <w:t xml:space="preserve"> Patient Safety Component - Annual Hospital Survey from NHSN on the </w:t>
      </w:r>
      <w:hyperlink w:anchor="NHSN_datapulldates" w:history="1">
        <w:r w:rsidRPr="00263D83">
          <w:rPr>
            <w:rStyle w:val="Hyperlink"/>
            <w:b/>
            <w:lang w:eastAsia="ja-JP"/>
          </w:rPr>
          <w:t>same day</w:t>
        </w:r>
      </w:hyperlink>
      <w:r w:rsidRPr="00263D83">
        <w:rPr>
          <w:b/>
          <w:lang w:eastAsia="ja-JP"/>
        </w:rPr>
        <w:t xml:space="preserve"> </w:t>
      </w:r>
      <w:r w:rsidRPr="00263D83">
        <w:rPr>
          <w:lang w:eastAsia="ja-JP"/>
        </w:rPr>
        <w:t xml:space="preserve">that Leapfrog will be downloading the data from NHSN for all current group members. </w:t>
      </w:r>
    </w:p>
    <w:p w14:paraId="3336B0EC" w14:textId="247E2F6A" w:rsidR="006F2901" w:rsidRPr="00263D83" w:rsidRDefault="006F2901" w:rsidP="00AD309C">
      <w:pPr>
        <w:pStyle w:val="ListParagraph"/>
        <w:numPr>
          <w:ilvl w:val="0"/>
          <w:numId w:val="269"/>
        </w:numPr>
        <w:rPr>
          <w:lang w:eastAsia="ja-JP"/>
        </w:rPr>
      </w:pPr>
      <w:r w:rsidRPr="00263D83">
        <w:rPr>
          <w:lang w:eastAsia="ja-JP"/>
        </w:rPr>
        <w:t>Instructions for generating datasets and d</w:t>
      </w:r>
      <w:r w:rsidR="00416C61" w:rsidRPr="00263D83">
        <w:rPr>
          <w:lang w:eastAsia="ja-JP"/>
        </w:rPr>
        <w:t>ownloading these reports from N</w:t>
      </w:r>
      <w:r w:rsidRPr="00263D83">
        <w:rPr>
          <w:lang w:eastAsia="ja-JP"/>
        </w:rPr>
        <w:t>H</w:t>
      </w:r>
      <w:r w:rsidR="00416C61" w:rsidRPr="00263D83">
        <w:rPr>
          <w:lang w:eastAsia="ja-JP"/>
        </w:rPr>
        <w:t>S</w:t>
      </w:r>
      <w:r w:rsidRPr="00263D83">
        <w:rPr>
          <w:lang w:eastAsia="ja-JP"/>
        </w:rPr>
        <w:t xml:space="preserve">N are available </w:t>
      </w:r>
      <w:hyperlink r:id="rId425" w:history="1">
        <w:r w:rsidRPr="00263D83">
          <w:rPr>
            <w:rStyle w:val="Hyperlink"/>
            <w:lang w:eastAsia="ja-JP"/>
          </w:rPr>
          <w:t>here</w:t>
        </w:r>
      </w:hyperlink>
      <w:r w:rsidR="00174828" w:rsidRPr="00263D83">
        <w:t xml:space="preserve"> </w:t>
      </w:r>
      <w:r w:rsidR="00174828" w:rsidRPr="00263D83">
        <w:rPr>
          <w:lang w:eastAsia="ja-JP"/>
        </w:rPr>
        <w:t>in the</w:t>
      </w:r>
      <w:r w:rsidRPr="00263D83">
        <w:t xml:space="preserve"> “</w:t>
      </w:r>
      <w:r w:rsidR="007C69A0" w:rsidRPr="00263D83">
        <w:t xml:space="preserve">NHSN Guidance: Join the Group, </w:t>
      </w:r>
      <w:r w:rsidR="00D40420" w:rsidRPr="00263D83">
        <w:t xml:space="preserve">Review/Accept </w:t>
      </w:r>
      <w:r w:rsidR="007C69A0" w:rsidRPr="00263D83">
        <w:t>Data Rights Template, and Download Reports</w:t>
      </w:r>
      <w:r w:rsidRPr="00263D83">
        <w:t>”</w:t>
      </w:r>
      <w:r w:rsidR="00174828" w:rsidRPr="00263D83">
        <w:t xml:space="preserve"> document. </w:t>
      </w:r>
    </w:p>
    <w:p w14:paraId="542E1225" w14:textId="6F0F82D4" w:rsidR="006F2901" w:rsidRPr="00263D83" w:rsidRDefault="006F2901" w:rsidP="00AD309C">
      <w:pPr>
        <w:pStyle w:val="ListParagraph"/>
        <w:numPr>
          <w:ilvl w:val="0"/>
          <w:numId w:val="269"/>
        </w:numPr>
        <w:rPr>
          <w:lang w:eastAsia="ja-JP"/>
        </w:rPr>
      </w:pPr>
      <w:r w:rsidRPr="00263D83">
        <w:rPr>
          <w:lang w:eastAsia="ja-JP"/>
        </w:rPr>
        <w:t xml:space="preserve">NHSN data download dates are listed in the “Deadlines and Reporting Periods” table below (please note that there are </w:t>
      </w:r>
      <w:r w:rsidR="00174828" w:rsidRPr="00263D83">
        <w:rPr>
          <w:lang w:eastAsia="ja-JP"/>
        </w:rPr>
        <w:t>four</w:t>
      </w:r>
      <w:r w:rsidRPr="00263D83">
        <w:rPr>
          <w:lang w:eastAsia="ja-JP"/>
        </w:rPr>
        <w:t xml:space="preserve"> NHSN </w:t>
      </w:r>
      <w:r w:rsidR="00FA32C0" w:rsidRPr="00263D83">
        <w:rPr>
          <w:lang w:eastAsia="ja-JP"/>
        </w:rPr>
        <w:t xml:space="preserve">data </w:t>
      </w:r>
      <w:r w:rsidR="005A321B" w:rsidRPr="00263D83">
        <w:rPr>
          <w:lang w:eastAsia="ja-JP"/>
        </w:rPr>
        <w:t>download</w:t>
      </w:r>
      <w:r w:rsidRPr="00263D83">
        <w:rPr>
          <w:lang w:eastAsia="ja-JP"/>
        </w:rPr>
        <w:t xml:space="preserve"> dates per Survey Cycle)</w:t>
      </w:r>
      <w:r w:rsidR="00E47F2E" w:rsidRPr="00263D83">
        <w:rPr>
          <w:lang w:eastAsia="ja-JP"/>
        </w:rPr>
        <w:t>.</w:t>
      </w:r>
    </w:p>
    <w:p w14:paraId="067AE911" w14:textId="733D8C2D" w:rsidR="006F2901" w:rsidRPr="00263D83" w:rsidRDefault="006F2901" w:rsidP="00AD309C">
      <w:pPr>
        <w:pStyle w:val="ListParagraph"/>
        <w:numPr>
          <w:ilvl w:val="0"/>
          <w:numId w:val="269"/>
        </w:numPr>
        <w:rPr>
          <w:lang w:eastAsia="ja-JP"/>
        </w:rPr>
      </w:pPr>
      <w:r w:rsidRPr="00263D83">
        <w:rPr>
          <w:lang w:eastAsia="ja-JP"/>
        </w:rPr>
        <w:t xml:space="preserve">By generating datasets and downloading reports within NHSN on the same day as Leapfrog, hospitals </w:t>
      </w:r>
      <w:r w:rsidR="00174828" w:rsidRPr="00263D83">
        <w:rPr>
          <w:lang w:eastAsia="ja-JP"/>
        </w:rPr>
        <w:t>can confirm</w:t>
      </w:r>
      <w:r w:rsidRPr="00263D83">
        <w:rPr>
          <w:lang w:eastAsia="ja-JP"/>
        </w:rPr>
        <w:t xml:space="preserve"> that the</w:t>
      </w:r>
      <w:r w:rsidR="00174828" w:rsidRPr="00263D83">
        <w:rPr>
          <w:lang w:eastAsia="ja-JP"/>
        </w:rPr>
        <w:t>ir</w:t>
      </w:r>
      <w:r w:rsidRPr="00263D83">
        <w:rPr>
          <w:lang w:eastAsia="ja-JP"/>
        </w:rPr>
        <w:t xml:space="preserve"> data matches </w:t>
      </w:r>
      <w:r w:rsidR="00174828" w:rsidRPr="00263D83">
        <w:rPr>
          <w:lang w:eastAsia="ja-JP"/>
        </w:rPr>
        <w:t xml:space="preserve">the data </w:t>
      </w:r>
      <w:r w:rsidRPr="00263D83">
        <w:rPr>
          <w:lang w:eastAsia="ja-JP"/>
        </w:rPr>
        <w:t>Leapfrog has obtained.</w:t>
      </w:r>
    </w:p>
    <w:p w14:paraId="344BD990" w14:textId="77777777" w:rsidR="006F2901" w:rsidRDefault="006F2901" w:rsidP="00AD309C">
      <w:pPr>
        <w:pStyle w:val="ListParagraph"/>
        <w:numPr>
          <w:ilvl w:val="0"/>
          <w:numId w:val="269"/>
        </w:numPr>
        <w:rPr>
          <w:lang w:eastAsia="ja-JP"/>
        </w:rPr>
      </w:pPr>
      <w:r w:rsidRPr="00263D83">
        <w:rPr>
          <w:lang w:eastAsia="ja-JP"/>
        </w:rPr>
        <w:t>If hospitals do not generate datasets and download reports on the same day as Leapfrog, the Help Desk will not review any discrepancies.</w:t>
      </w:r>
    </w:p>
    <w:p w14:paraId="11BB8693" w14:textId="05EA6F39" w:rsidR="005D6A20" w:rsidRPr="00693D1C" w:rsidRDefault="005D6A20" w:rsidP="009600D3">
      <w:pPr>
        <w:pStyle w:val="ListParagraph"/>
        <w:numPr>
          <w:ilvl w:val="0"/>
          <w:numId w:val="269"/>
        </w:numPr>
        <w:rPr>
          <w:highlight w:val="yellow"/>
          <w:lang w:eastAsia="ja-JP"/>
        </w:rPr>
      </w:pPr>
      <w:r w:rsidRPr="00693D1C">
        <w:rPr>
          <w:color w:val="EE0000"/>
          <w:highlight w:val="yellow"/>
        </w:rPr>
        <w:t xml:space="preserve">Note that Leapfrog </w:t>
      </w:r>
      <w:r w:rsidR="00693D1C">
        <w:rPr>
          <w:color w:val="EE0000"/>
          <w:highlight w:val="yellow"/>
        </w:rPr>
        <w:t xml:space="preserve">will </w:t>
      </w:r>
      <w:r w:rsidRPr="00693D1C">
        <w:rPr>
          <w:color w:val="EE0000"/>
          <w:highlight w:val="yellow"/>
        </w:rPr>
        <w:t>download and us</w:t>
      </w:r>
      <w:r w:rsidR="00693D1C">
        <w:rPr>
          <w:color w:val="EE0000"/>
          <w:highlight w:val="yellow"/>
        </w:rPr>
        <w:t>e</w:t>
      </w:r>
      <w:r w:rsidRPr="00693D1C">
        <w:rPr>
          <w:color w:val="EE0000"/>
          <w:highlight w:val="yellow"/>
        </w:rPr>
        <w:t xml:space="preserve"> 2015 Baseline CMS IPPS Reports in the first two NHSN data downloads (June and August), then 2022 Baseline CMS IPPS Reports in the next two NHSN data downloads (October and December). </w:t>
      </w:r>
      <w:r w:rsidR="00693D1C">
        <w:rPr>
          <w:color w:val="EE0000"/>
          <w:highlight w:val="yellow"/>
        </w:rPr>
        <w:t xml:space="preserve">See </w:t>
      </w:r>
      <w:r w:rsidR="00693D1C" w:rsidRPr="00693D1C">
        <w:rPr>
          <w:b/>
          <w:bCs/>
          <w:i/>
          <w:iCs/>
          <w:color w:val="EE0000"/>
          <w:highlight w:val="yellow"/>
        </w:rPr>
        <w:t>Deadlines and Reporting Periods</w:t>
      </w:r>
      <w:r w:rsidR="00693D1C">
        <w:rPr>
          <w:color w:val="EE0000"/>
          <w:highlight w:val="yellow"/>
        </w:rPr>
        <w:t xml:space="preserve"> for updated information. </w:t>
      </w:r>
    </w:p>
    <w:p w14:paraId="5CE63F7B" w14:textId="77777777" w:rsidR="006F2901" w:rsidRPr="00263D83" w:rsidRDefault="006F2901" w:rsidP="00CE5714">
      <w:pPr>
        <w:pStyle w:val="ListParagraph"/>
        <w:ind w:left="1080"/>
        <w:rPr>
          <w:lang w:eastAsia="ja-JP"/>
        </w:rPr>
      </w:pPr>
    </w:p>
    <w:p w14:paraId="081E272E" w14:textId="34D36EB8" w:rsidR="006F2901" w:rsidRPr="00A90AE6" w:rsidRDefault="006F2901" w:rsidP="00AD309C">
      <w:pPr>
        <w:pStyle w:val="Heading44"/>
        <w:numPr>
          <w:ilvl w:val="0"/>
          <w:numId w:val="270"/>
        </w:numPr>
        <w:rPr>
          <w:sz w:val="20"/>
          <w:lang w:eastAsia="ja-JP"/>
        </w:rPr>
      </w:pPr>
      <w:r w:rsidRPr="00A90AE6">
        <w:rPr>
          <w:sz w:val="20"/>
        </w:rPr>
        <w:t>Review SIRs</w:t>
      </w:r>
    </w:p>
    <w:p w14:paraId="07D1CCDB" w14:textId="250226CB" w:rsidR="006F2901" w:rsidRPr="00263D83" w:rsidRDefault="006F2901" w:rsidP="00AD309C">
      <w:pPr>
        <w:pStyle w:val="ListParagraph"/>
        <w:numPr>
          <w:ilvl w:val="0"/>
          <w:numId w:val="271"/>
        </w:numPr>
        <w:rPr>
          <w:lang w:eastAsia="ja-JP"/>
        </w:rPr>
      </w:pPr>
      <w:r w:rsidRPr="00263D83">
        <w:rPr>
          <w:lang w:eastAsia="ja-JP"/>
        </w:rPr>
        <w:t xml:space="preserve">For verification purposes, hospitals are required to </w:t>
      </w:r>
      <w:r w:rsidR="005A321B" w:rsidRPr="00263D83">
        <w:rPr>
          <w:lang w:eastAsia="ja-JP"/>
        </w:rPr>
        <w:t>download</w:t>
      </w:r>
      <w:r w:rsidRPr="00263D83">
        <w:rPr>
          <w:lang w:eastAsia="ja-JP"/>
        </w:rPr>
        <w:t xml:space="preserve"> reports from NHSN on the </w:t>
      </w:r>
      <w:hyperlink w:anchor="NHSN_datapulldates" w:history="1">
        <w:r w:rsidRPr="00263D83">
          <w:rPr>
            <w:rStyle w:val="Hyperlink"/>
            <w:b/>
            <w:lang w:eastAsia="ja-JP"/>
          </w:rPr>
          <w:t>same day</w:t>
        </w:r>
      </w:hyperlink>
      <w:r w:rsidR="00807A86" w:rsidRPr="00263D83">
        <w:rPr>
          <w:lang w:eastAsia="ja-JP"/>
        </w:rPr>
        <w:t>,</w:t>
      </w:r>
      <w:r w:rsidR="003217A6" w:rsidRPr="00263D83">
        <w:rPr>
          <w:lang w:eastAsia="ja-JP"/>
        </w:rPr>
        <w:t xml:space="preserve"> </w:t>
      </w:r>
      <w:r w:rsidRPr="00263D83">
        <w:rPr>
          <w:lang w:eastAsia="ja-JP"/>
        </w:rPr>
        <w:t>as described above.</w:t>
      </w:r>
    </w:p>
    <w:p w14:paraId="16ACA96E" w14:textId="385AF38F" w:rsidR="006F2901" w:rsidRPr="00263D83" w:rsidRDefault="006F2901" w:rsidP="00AD309C">
      <w:pPr>
        <w:pStyle w:val="ListParagraph"/>
        <w:numPr>
          <w:ilvl w:val="0"/>
          <w:numId w:val="271"/>
        </w:numPr>
        <w:rPr>
          <w:rStyle w:val="Hyperlink"/>
          <w:color w:val="auto"/>
          <w:u w:val="none"/>
          <w:lang w:eastAsia="ja-JP"/>
        </w:rPr>
      </w:pPr>
      <w:r w:rsidRPr="00263D83">
        <w:rPr>
          <w:lang w:eastAsia="ja-JP"/>
        </w:rPr>
        <w:t xml:space="preserve">Once Leapfrog has published the healthcare-associated infection Survey Results on the </w:t>
      </w:r>
      <w:hyperlink r:id="rId426" w:history="1">
        <w:r w:rsidRPr="00263D83">
          <w:rPr>
            <w:rStyle w:val="Hyperlink"/>
          </w:rPr>
          <w:t>Hospital Details Page</w:t>
        </w:r>
      </w:hyperlink>
      <w:r w:rsidRPr="00263D83">
        <w:rPr>
          <w:rStyle w:val="Hyperlink"/>
          <w:color w:val="auto"/>
          <w:u w:val="none"/>
        </w:rPr>
        <w:t xml:space="preserve">, hospitals are urged to compare the Survey Results to their NHSN reports that were pulled on the </w:t>
      </w:r>
      <w:hyperlink w:anchor="NHSN_datapulldates" w:history="1">
        <w:r w:rsidRPr="00263D83">
          <w:rPr>
            <w:rStyle w:val="Hyperlink"/>
          </w:rPr>
          <w:t>same day</w:t>
        </w:r>
      </w:hyperlink>
      <w:r w:rsidRPr="00263D83">
        <w:rPr>
          <w:rStyle w:val="Hyperlink"/>
          <w:color w:val="auto"/>
          <w:u w:val="none"/>
        </w:rPr>
        <w:t xml:space="preserve"> as Leapfrog. </w:t>
      </w:r>
    </w:p>
    <w:p w14:paraId="78EC9974" w14:textId="77777777" w:rsidR="006F2901" w:rsidRDefault="006F2901" w:rsidP="00AD309C">
      <w:pPr>
        <w:pStyle w:val="ListParagraph"/>
        <w:numPr>
          <w:ilvl w:val="0"/>
          <w:numId w:val="271"/>
        </w:numPr>
        <w:rPr>
          <w:lang w:eastAsia="ja-JP"/>
        </w:rPr>
      </w:pPr>
      <w:r w:rsidRPr="00263D83">
        <w:t>Dates on which the Survey</w:t>
      </w:r>
      <w:r>
        <w:t xml:space="preserve"> Results will be available on the Hospital Details page are listed in the “Deadlines and Reporting Periods” table below. </w:t>
      </w:r>
    </w:p>
    <w:p w14:paraId="5A149E3A" w14:textId="77777777" w:rsidR="00FF1F80" w:rsidRPr="00CC1D4D" w:rsidRDefault="00FF1F80" w:rsidP="00CE5714">
      <w:pPr>
        <w:pStyle w:val="ListParagraph"/>
        <w:ind w:left="360"/>
        <w:rPr>
          <w:lang w:eastAsia="ja-JP"/>
        </w:rPr>
      </w:pPr>
    </w:p>
    <w:p w14:paraId="3D297F90" w14:textId="77777777" w:rsidR="006F2901" w:rsidRPr="00A90AE6" w:rsidRDefault="006F2901" w:rsidP="00AD309C">
      <w:pPr>
        <w:pStyle w:val="Heading44"/>
        <w:numPr>
          <w:ilvl w:val="0"/>
          <w:numId w:val="272"/>
        </w:numPr>
        <w:rPr>
          <w:sz w:val="20"/>
          <w:lang w:eastAsia="ja-JP"/>
        </w:rPr>
      </w:pPr>
      <w:r w:rsidRPr="00A90AE6">
        <w:rPr>
          <w:sz w:val="20"/>
          <w:lang w:eastAsia="ja-JP"/>
        </w:rPr>
        <w:t>Report discrepancies</w:t>
      </w:r>
    </w:p>
    <w:p w14:paraId="579373B3" w14:textId="5AB33FA0" w:rsidR="006F2901" w:rsidRDefault="006F2901" w:rsidP="000D0069">
      <w:pPr>
        <w:ind w:left="360"/>
        <w:rPr>
          <w:lang w:eastAsia="ja-JP"/>
        </w:rPr>
      </w:pPr>
      <w:r>
        <w:rPr>
          <w:lang w:eastAsia="ja-JP"/>
        </w:rPr>
        <w:t xml:space="preserve">If, while comparing your NHSN reports to your Leapfrog Hospital Survey Results, you find a discrepancy, you must contact Leapfrog’s </w:t>
      </w:r>
      <w:hyperlink r:id="rId427" w:history="1">
        <w:r w:rsidRPr="005F772A">
          <w:rPr>
            <w:rStyle w:val="Hyperlink"/>
            <w:lang w:eastAsia="ja-JP"/>
          </w:rPr>
          <w:t>Help Desk</w:t>
        </w:r>
      </w:hyperlink>
      <w:r>
        <w:rPr>
          <w:lang w:eastAsia="ja-JP"/>
        </w:rPr>
        <w:t xml:space="preserve"> immediately. If you do not contact Leapfrog by the </w:t>
      </w:r>
      <w:r w:rsidRPr="000D0069">
        <w:rPr>
          <w:b/>
          <w:lang w:eastAsia="ja-JP"/>
        </w:rPr>
        <w:t xml:space="preserve">end of the month </w:t>
      </w:r>
      <w:r w:rsidRPr="005F772A">
        <w:rPr>
          <w:lang w:eastAsia="ja-JP"/>
        </w:rPr>
        <w:t xml:space="preserve">in </w:t>
      </w:r>
      <w:r>
        <w:rPr>
          <w:lang w:eastAsia="ja-JP"/>
        </w:rPr>
        <w:t xml:space="preserve">which scored results are </w:t>
      </w:r>
      <w:hyperlink w:anchor="NHSN_HospDetailsPage" w:history="1">
        <w:r w:rsidRPr="005F772A">
          <w:rPr>
            <w:rStyle w:val="Hyperlink"/>
            <w:lang w:eastAsia="ja-JP"/>
          </w:rPr>
          <w:t>available</w:t>
        </w:r>
      </w:hyperlink>
      <w:r>
        <w:rPr>
          <w:lang w:eastAsia="ja-JP"/>
        </w:rPr>
        <w:t xml:space="preserve"> on your Hospital Details Page (i.e., </w:t>
      </w:r>
      <w:r w:rsidR="001116F9">
        <w:rPr>
          <w:lang w:eastAsia="ja-JP"/>
        </w:rPr>
        <w:t>July</w:t>
      </w:r>
      <w:r w:rsidR="007C69A0">
        <w:rPr>
          <w:lang w:eastAsia="ja-JP"/>
        </w:rPr>
        <w:t>,</w:t>
      </w:r>
      <w:r w:rsidR="00CA2BB3">
        <w:rPr>
          <w:lang w:eastAsia="ja-JP"/>
        </w:rPr>
        <w:t xml:space="preserve"> </w:t>
      </w:r>
      <w:r>
        <w:rPr>
          <w:lang w:eastAsia="ja-JP"/>
        </w:rPr>
        <w:t>September, November, and January, respectively), the issue will not be investigated by the Help Desk.</w:t>
      </w:r>
    </w:p>
    <w:p w14:paraId="399B98A8" w14:textId="77777777" w:rsidR="00174828" w:rsidRPr="008D611A" w:rsidRDefault="00174828" w:rsidP="0002601E">
      <w:pPr>
        <w:rPr>
          <w:lang w:eastAsia="ja-JP"/>
        </w:rPr>
      </w:pPr>
    </w:p>
    <w:p w14:paraId="4ECA88D9" w14:textId="616165B6" w:rsidR="006F2901" w:rsidRPr="00FF1F80" w:rsidRDefault="006F2901" w:rsidP="00AB5B80">
      <w:pPr>
        <w:pStyle w:val="Heading3"/>
      </w:pPr>
      <w:bookmarkStart w:id="662" w:name="_Deadlines_and_Reporting_1"/>
      <w:bookmarkStart w:id="663" w:name="_Toc225877815"/>
      <w:bookmarkEnd w:id="662"/>
      <w:r w:rsidRPr="00FF1F80">
        <w:t>Deadlines and Reporting Periods</w:t>
      </w:r>
      <w:bookmarkEnd w:id="663"/>
    </w:p>
    <w:p w14:paraId="4AF0B91C" w14:textId="77777777" w:rsidR="006F2901" w:rsidRPr="006A36F7" w:rsidRDefault="006F2901" w:rsidP="006F2901">
      <w:pPr>
        <w:rPr>
          <w:rFonts w:cs="Arial"/>
        </w:rPr>
      </w:pPr>
    </w:p>
    <w:p w14:paraId="11CEDA45" w14:textId="77777777" w:rsidR="005F2274" w:rsidRDefault="005F2274" w:rsidP="005F2274">
      <w:pPr>
        <w:spacing w:before="120"/>
        <w:contextualSpacing/>
      </w:pPr>
      <w:bookmarkStart w:id="664" w:name="_Hlk36419531"/>
      <w:r w:rsidRPr="00241E15">
        <w:rPr>
          <w:highlight w:val="yellow"/>
        </w:rPr>
        <w:t>Highlighted</w:t>
      </w:r>
      <w:r>
        <w:t xml:space="preserve"> section updated on October 20, 2026.</w:t>
      </w:r>
    </w:p>
    <w:p w14:paraId="47983D84" w14:textId="77777777" w:rsidR="005F2274" w:rsidRPr="00762B12" w:rsidRDefault="005F2274" w:rsidP="005F2274">
      <w:pPr>
        <w:spacing w:before="120"/>
        <w:contextualSpacing/>
      </w:pPr>
    </w:p>
    <w:tbl>
      <w:tblPr>
        <w:tblStyle w:val="LightList-Accent31"/>
        <w:tblW w:w="5000" w:type="pct"/>
        <w:tblInd w:w="0"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397"/>
        <w:gridCol w:w="1399"/>
        <w:gridCol w:w="1249"/>
        <w:gridCol w:w="2625"/>
        <w:gridCol w:w="1350"/>
        <w:gridCol w:w="1330"/>
      </w:tblGrid>
      <w:tr w:rsidR="005F2274" w:rsidRPr="005F2274" w14:paraId="0FB42204" w14:textId="77777777" w:rsidTr="005F2274">
        <w:trPr>
          <w:cnfStyle w:val="100000000000" w:firstRow="1" w:lastRow="0" w:firstColumn="0" w:lastColumn="0" w:oddVBand="0" w:evenVBand="0" w:oddHBand="0" w:evenHBand="0" w:firstRowFirstColumn="0" w:firstRowLastColumn="0" w:lastRowFirstColumn="0" w:lastRowLastColumn="0"/>
          <w:trHeight w:val="773"/>
        </w:trPr>
        <w:tc>
          <w:tcPr>
            <w:cnfStyle w:val="001000000000" w:firstRow="0" w:lastRow="0" w:firstColumn="1" w:lastColumn="0" w:oddVBand="0" w:evenVBand="0" w:oddHBand="0" w:evenHBand="0" w:firstRowFirstColumn="0" w:firstRowLastColumn="0" w:lastRowFirstColumn="0" w:lastRowLastColumn="0"/>
            <w:tcW w:w="747" w:type="pct"/>
            <w:shd w:val="clear" w:color="auto" w:fill="213468"/>
          </w:tcPr>
          <w:p w14:paraId="367CD07D" w14:textId="77777777" w:rsidR="005F2274" w:rsidRPr="005F2274" w:rsidRDefault="005F2274" w:rsidP="00270B5A">
            <w:pPr>
              <w:rPr>
                <w:rFonts w:cs="Arial"/>
                <w:sz w:val="20"/>
                <w:szCs w:val="20"/>
              </w:rPr>
            </w:pPr>
            <w:r w:rsidRPr="005F2274">
              <w:rPr>
                <w:rFonts w:cs="Arial"/>
                <w:sz w:val="20"/>
                <w:szCs w:val="20"/>
              </w:rPr>
              <w:t>Join By Date</w:t>
            </w:r>
          </w:p>
        </w:tc>
        <w:tc>
          <w:tcPr>
            <w:tcW w:w="748" w:type="pct"/>
            <w:shd w:val="clear" w:color="auto" w:fill="213468"/>
          </w:tcPr>
          <w:p w14:paraId="6D571596" w14:textId="77777777" w:rsidR="005F2274" w:rsidRPr="005F2274" w:rsidRDefault="005F2274" w:rsidP="00270B5A">
            <w:pPr>
              <w:cnfStyle w:val="100000000000" w:firstRow="1" w:lastRow="0" w:firstColumn="0" w:lastColumn="0" w:oddVBand="0" w:evenVBand="0" w:oddHBand="0" w:evenHBand="0" w:firstRowFirstColumn="0" w:firstRowLastColumn="0" w:lastRowFirstColumn="0" w:lastRowLastColumn="0"/>
              <w:rPr>
                <w:rFonts w:cs="Arial"/>
                <w:sz w:val="20"/>
                <w:szCs w:val="20"/>
              </w:rPr>
            </w:pPr>
            <w:r w:rsidRPr="005F2274">
              <w:rPr>
                <w:rFonts w:cs="Arial"/>
                <w:sz w:val="20"/>
                <w:szCs w:val="20"/>
              </w:rPr>
              <w:t>NHSN Download Date</w:t>
            </w:r>
          </w:p>
        </w:tc>
        <w:tc>
          <w:tcPr>
            <w:tcW w:w="668" w:type="pct"/>
            <w:shd w:val="clear" w:color="auto" w:fill="213468"/>
          </w:tcPr>
          <w:p w14:paraId="40E414F4" w14:textId="77777777" w:rsidR="005F2274" w:rsidRPr="005F2274" w:rsidRDefault="005F2274" w:rsidP="00270B5A">
            <w:pPr>
              <w:cnfStyle w:val="100000000000" w:firstRow="1" w:lastRow="0" w:firstColumn="0" w:lastColumn="0" w:oddVBand="0" w:evenVBand="0" w:oddHBand="0" w:evenHBand="0" w:firstRowFirstColumn="0" w:firstRowLastColumn="0" w:lastRowFirstColumn="0" w:lastRowLastColumn="0"/>
              <w:rPr>
                <w:rFonts w:cs="Arial"/>
                <w:color w:val="FFFFFF" w:themeColor="background1"/>
                <w:sz w:val="20"/>
                <w:szCs w:val="20"/>
              </w:rPr>
            </w:pPr>
            <w:r w:rsidRPr="005F2274">
              <w:rPr>
                <w:rFonts w:cs="Arial"/>
                <w:sz w:val="20"/>
                <w:szCs w:val="20"/>
              </w:rPr>
              <w:t>NHSN Baseline</w:t>
            </w:r>
          </w:p>
        </w:tc>
        <w:tc>
          <w:tcPr>
            <w:tcW w:w="1404" w:type="pct"/>
            <w:shd w:val="clear" w:color="auto" w:fill="213468"/>
          </w:tcPr>
          <w:p w14:paraId="0904990E" w14:textId="77777777" w:rsidR="005F2274" w:rsidRPr="005F2274" w:rsidRDefault="005F2274" w:rsidP="00270B5A">
            <w:pPr>
              <w:cnfStyle w:val="100000000000" w:firstRow="1" w:lastRow="0" w:firstColumn="0" w:lastColumn="0" w:oddVBand="0" w:evenVBand="0" w:oddHBand="0" w:evenHBand="0" w:firstRowFirstColumn="0" w:firstRowLastColumn="0" w:lastRowFirstColumn="0" w:lastRowLastColumn="0"/>
              <w:rPr>
                <w:rFonts w:cs="Arial"/>
                <w:sz w:val="20"/>
                <w:szCs w:val="20"/>
              </w:rPr>
            </w:pPr>
            <w:r w:rsidRPr="005F2274">
              <w:rPr>
                <w:rFonts w:cs="Arial"/>
                <w:sz w:val="20"/>
                <w:szCs w:val="20"/>
              </w:rPr>
              <w:t>HAI Reporting Period</w:t>
            </w:r>
          </w:p>
        </w:tc>
        <w:tc>
          <w:tcPr>
            <w:tcW w:w="722" w:type="pct"/>
            <w:shd w:val="clear" w:color="auto" w:fill="213468"/>
          </w:tcPr>
          <w:p w14:paraId="10705B59" w14:textId="77777777" w:rsidR="005F2274" w:rsidRPr="005F2274" w:rsidRDefault="005F2274" w:rsidP="00270B5A">
            <w:pPr>
              <w:cnfStyle w:val="100000000000" w:firstRow="1" w:lastRow="0" w:firstColumn="0" w:lastColumn="0" w:oddVBand="0" w:evenVBand="0" w:oddHBand="0" w:evenHBand="0" w:firstRowFirstColumn="0" w:firstRowLastColumn="0" w:lastRowFirstColumn="0" w:lastRowLastColumn="0"/>
              <w:rPr>
                <w:rFonts w:cs="Arial"/>
                <w:sz w:val="20"/>
                <w:szCs w:val="20"/>
              </w:rPr>
            </w:pPr>
            <w:r w:rsidRPr="005F2274">
              <w:rPr>
                <w:rFonts w:cs="Arial"/>
                <w:sz w:val="20"/>
                <w:szCs w:val="20"/>
              </w:rPr>
              <w:t>Leapfrog Survey Submission Date</w:t>
            </w:r>
          </w:p>
        </w:tc>
        <w:tc>
          <w:tcPr>
            <w:tcW w:w="711" w:type="pct"/>
            <w:shd w:val="clear" w:color="auto" w:fill="213468"/>
          </w:tcPr>
          <w:p w14:paraId="416D0DB8" w14:textId="77777777" w:rsidR="005F2274" w:rsidRPr="005F2274" w:rsidRDefault="005F2274" w:rsidP="00270B5A">
            <w:pPr>
              <w:cnfStyle w:val="100000000000" w:firstRow="1" w:lastRow="0" w:firstColumn="0" w:lastColumn="0" w:oddVBand="0" w:evenVBand="0" w:oddHBand="0" w:evenHBand="0" w:firstRowFirstColumn="0" w:firstRowLastColumn="0" w:lastRowFirstColumn="0" w:lastRowLastColumn="0"/>
              <w:rPr>
                <w:rFonts w:cs="Arial"/>
                <w:sz w:val="20"/>
                <w:szCs w:val="20"/>
              </w:rPr>
            </w:pPr>
            <w:r w:rsidRPr="005F2274">
              <w:rPr>
                <w:rFonts w:cs="Arial"/>
                <w:sz w:val="20"/>
                <w:szCs w:val="20"/>
              </w:rPr>
              <w:t>Verify Results</w:t>
            </w:r>
          </w:p>
        </w:tc>
      </w:tr>
      <w:tr w:rsidR="005F2274" w:rsidRPr="005F2274" w14:paraId="6F312363" w14:textId="77777777" w:rsidTr="005F2274">
        <w:trPr>
          <w:cnfStyle w:val="000000100000" w:firstRow="0" w:lastRow="0" w:firstColumn="0" w:lastColumn="0" w:oddVBand="0" w:evenVBand="0" w:oddHBand="1" w:evenHBand="0" w:firstRowFirstColumn="0" w:firstRowLastColumn="0" w:lastRowFirstColumn="0" w:lastRowLastColumn="0"/>
          <w:trHeight w:val="1776"/>
        </w:trPr>
        <w:tc>
          <w:tcPr>
            <w:cnfStyle w:val="001000000000" w:firstRow="0" w:lastRow="0" w:firstColumn="1" w:lastColumn="0" w:oddVBand="0" w:evenVBand="0" w:oddHBand="0" w:evenHBand="0" w:firstRowFirstColumn="0" w:firstRowLastColumn="0" w:lastRowFirstColumn="0" w:lastRowLastColumn="0"/>
            <w:tcW w:w="747" w:type="pct"/>
            <w:shd w:val="clear" w:color="auto" w:fill="213468"/>
          </w:tcPr>
          <w:p w14:paraId="0C89A296" w14:textId="77777777" w:rsidR="005F2274" w:rsidRPr="005F2274" w:rsidRDefault="005F2274" w:rsidP="00270B5A">
            <w:pPr>
              <w:rPr>
                <w:rFonts w:cs="Arial"/>
                <w:b w:val="0"/>
                <w:bCs w:val="0"/>
                <w:i/>
                <w:iCs/>
                <w:color w:val="FFFFFF"/>
                <w:sz w:val="20"/>
                <w:szCs w:val="20"/>
              </w:rPr>
            </w:pPr>
            <w:r w:rsidRPr="005F2274">
              <w:rPr>
                <w:rFonts w:cs="Arial"/>
                <w:b w:val="0"/>
                <w:bCs w:val="0"/>
                <w:i/>
                <w:iCs/>
                <w:color w:val="FFFFFF"/>
                <w:sz w:val="20"/>
                <w:szCs w:val="20"/>
              </w:rPr>
              <w:t>Hospitals must have joined and completed all required steps by this date</w:t>
            </w:r>
          </w:p>
        </w:tc>
        <w:tc>
          <w:tcPr>
            <w:tcW w:w="748" w:type="pct"/>
            <w:shd w:val="clear" w:color="auto" w:fill="213468"/>
          </w:tcPr>
          <w:p w14:paraId="172F11A3" w14:textId="77777777" w:rsidR="005F2274" w:rsidRPr="005F2274" w:rsidRDefault="005F2274" w:rsidP="00270B5A">
            <w:pPr>
              <w:cnfStyle w:val="000000100000" w:firstRow="0" w:lastRow="0" w:firstColumn="0" w:lastColumn="0" w:oddVBand="0" w:evenVBand="0" w:oddHBand="1" w:evenHBand="0" w:firstRowFirstColumn="0" w:firstRowLastColumn="0" w:lastRowFirstColumn="0" w:lastRowLastColumn="0"/>
              <w:rPr>
                <w:rFonts w:cs="Arial"/>
                <w:i/>
                <w:iCs/>
                <w:color w:val="FFFFFF"/>
                <w:sz w:val="20"/>
                <w:szCs w:val="20"/>
              </w:rPr>
            </w:pPr>
            <w:r w:rsidRPr="005F2274">
              <w:rPr>
                <w:rFonts w:cs="Arial"/>
                <w:i/>
                <w:iCs/>
                <w:color w:val="FFFFFF"/>
                <w:sz w:val="20"/>
                <w:szCs w:val="20"/>
              </w:rPr>
              <w:t>Hospitals should download their reports</w:t>
            </w:r>
          </w:p>
          <w:p w14:paraId="03C45616" w14:textId="77777777" w:rsidR="005F2274" w:rsidRPr="005F2274" w:rsidRDefault="005F2274" w:rsidP="00270B5A">
            <w:pPr>
              <w:cnfStyle w:val="000000100000" w:firstRow="0" w:lastRow="0" w:firstColumn="0" w:lastColumn="0" w:oddVBand="0" w:evenVBand="0" w:oddHBand="1" w:evenHBand="0" w:firstRowFirstColumn="0" w:firstRowLastColumn="0" w:lastRowFirstColumn="0" w:lastRowLastColumn="0"/>
              <w:rPr>
                <w:rFonts w:cs="Arial"/>
                <w:b/>
                <w:bCs/>
                <w:sz w:val="20"/>
                <w:szCs w:val="20"/>
              </w:rPr>
            </w:pPr>
            <w:r w:rsidRPr="005F2274">
              <w:rPr>
                <w:rFonts w:cs="Arial"/>
                <w:i/>
                <w:iCs/>
                <w:color w:val="FFFFFF"/>
                <w:sz w:val="20"/>
                <w:szCs w:val="20"/>
              </w:rPr>
              <w:t>on this date (the same date as Leapfrog)</w:t>
            </w:r>
          </w:p>
        </w:tc>
        <w:tc>
          <w:tcPr>
            <w:tcW w:w="668" w:type="pct"/>
            <w:shd w:val="clear" w:color="auto" w:fill="213468"/>
          </w:tcPr>
          <w:p w14:paraId="1E27427E" w14:textId="77777777" w:rsidR="005F2274" w:rsidRPr="005F2274" w:rsidRDefault="005F2274" w:rsidP="00270B5A">
            <w:pPr>
              <w:cnfStyle w:val="000000100000" w:firstRow="0" w:lastRow="0" w:firstColumn="0" w:lastColumn="0" w:oddVBand="0" w:evenVBand="0" w:oddHBand="1" w:evenHBand="0" w:firstRowFirstColumn="0" w:firstRowLastColumn="0" w:lastRowFirstColumn="0" w:lastRowLastColumn="0"/>
              <w:rPr>
                <w:rFonts w:cs="Arial"/>
                <w:color w:val="C4BC96" w:themeColor="background2" w:themeShade="BF"/>
                <w:sz w:val="20"/>
                <w:szCs w:val="20"/>
              </w:rPr>
            </w:pPr>
            <w:r w:rsidRPr="005F2274">
              <w:rPr>
                <w:rFonts w:cs="Arial"/>
                <w:bCs/>
                <w:i/>
                <w:iCs/>
                <w:color w:val="FFFFFF"/>
                <w:sz w:val="20"/>
                <w:szCs w:val="20"/>
              </w:rPr>
              <w:t>Hospitals should download reports with this baseline on the NHSN Download Date</w:t>
            </w:r>
          </w:p>
        </w:tc>
        <w:tc>
          <w:tcPr>
            <w:tcW w:w="1404" w:type="pct"/>
            <w:shd w:val="clear" w:color="auto" w:fill="213468"/>
          </w:tcPr>
          <w:p w14:paraId="632E8D99" w14:textId="77777777" w:rsidR="005F2274" w:rsidRPr="005F2274" w:rsidRDefault="005F2274" w:rsidP="00270B5A">
            <w:pPr>
              <w:cnfStyle w:val="000000100000" w:firstRow="0" w:lastRow="0" w:firstColumn="0" w:lastColumn="0" w:oddVBand="0" w:evenVBand="0" w:oddHBand="1" w:evenHBand="0" w:firstRowFirstColumn="0" w:firstRowLastColumn="0" w:lastRowFirstColumn="0" w:lastRowLastColumn="0"/>
              <w:rPr>
                <w:rFonts w:cs="Arial"/>
                <w:sz w:val="20"/>
                <w:szCs w:val="20"/>
              </w:rPr>
            </w:pPr>
            <w:r w:rsidRPr="005F2274">
              <w:rPr>
                <w:rFonts w:cs="Arial"/>
                <w:bCs/>
                <w:i/>
                <w:iCs/>
                <w:color w:val="FFFFFF"/>
                <w:sz w:val="20"/>
                <w:szCs w:val="20"/>
              </w:rPr>
              <w:t>Hospitals should download reports with this reporting period on the NHSN Download Date</w:t>
            </w:r>
          </w:p>
        </w:tc>
        <w:tc>
          <w:tcPr>
            <w:tcW w:w="722" w:type="pct"/>
            <w:shd w:val="clear" w:color="auto" w:fill="213468"/>
          </w:tcPr>
          <w:p w14:paraId="0BFB1EC5" w14:textId="77777777" w:rsidR="005F2274" w:rsidRPr="005F2274" w:rsidRDefault="005F2274" w:rsidP="00270B5A">
            <w:pPr>
              <w:cnfStyle w:val="000000100000" w:firstRow="0" w:lastRow="0" w:firstColumn="0" w:lastColumn="0" w:oddVBand="0" w:evenVBand="0" w:oddHBand="1" w:evenHBand="0" w:firstRowFirstColumn="0" w:firstRowLastColumn="0" w:lastRowFirstColumn="0" w:lastRowLastColumn="0"/>
              <w:rPr>
                <w:rFonts w:cs="Arial"/>
                <w:sz w:val="20"/>
                <w:szCs w:val="20"/>
              </w:rPr>
            </w:pPr>
            <w:r w:rsidRPr="005F2274">
              <w:rPr>
                <w:rFonts w:cs="Arial"/>
                <w:bCs/>
                <w:i/>
                <w:iCs/>
                <w:color w:val="FFFFFF"/>
                <w:sz w:val="20"/>
                <w:szCs w:val="20"/>
              </w:rPr>
              <w:t>HAI data will not be publicly reported if hospitals have not submitted and provided a valid NHSN ID by this date</w:t>
            </w:r>
          </w:p>
        </w:tc>
        <w:tc>
          <w:tcPr>
            <w:tcW w:w="711" w:type="pct"/>
            <w:shd w:val="clear" w:color="auto" w:fill="213468"/>
          </w:tcPr>
          <w:p w14:paraId="3BD82C88" w14:textId="77777777" w:rsidR="005F2274" w:rsidRPr="005F2274" w:rsidRDefault="005F2274" w:rsidP="00270B5A">
            <w:pPr>
              <w:cnfStyle w:val="000000100000" w:firstRow="0" w:lastRow="0" w:firstColumn="0" w:lastColumn="0" w:oddVBand="0" w:evenVBand="0" w:oddHBand="1" w:evenHBand="0" w:firstRowFirstColumn="0" w:firstRowLastColumn="0" w:lastRowFirstColumn="0" w:lastRowLastColumn="0"/>
              <w:rPr>
                <w:rFonts w:cs="Arial"/>
                <w:sz w:val="20"/>
                <w:szCs w:val="20"/>
              </w:rPr>
            </w:pPr>
            <w:bookmarkStart w:id="665" w:name="DataRightsTamplate_HospDetailsPage"/>
            <w:bookmarkStart w:id="666" w:name="NHSN_HospDetailsPage"/>
            <w:r w:rsidRPr="005F2274">
              <w:rPr>
                <w:rFonts w:cs="Arial"/>
                <w:bCs/>
                <w:i/>
                <w:iCs/>
                <w:color w:val="FFFFFF"/>
                <w:sz w:val="20"/>
                <w:szCs w:val="20"/>
              </w:rPr>
              <w:t>Data pulled by Leapfrog will be available to review on the Hospital Details Page or Public Reporting Website by these dates</w:t>
            </w:r>
            <w:bookmarkEnd w:id="665"/>
            <w:bookmarkEnd w:id="666"/>
          </w:p>
        </w:tc>
      </w:tr>
      <w:tr w:rsidR="005F2274" w:rsidRPr="005F2274" w14:paraId="74B268DB" w14:textId="77777777" w:rsidTr="005F2274">
        <w:trPr>
          <w:trHeight w:val="448"/>
        </w:trPr>
        <w:tc>
          <w:tcPr>
            <w:cnfStyle w:val="001000000000" w:firstRow="0" w:lastRow="0" w:firstColumn="1" w:lastColumn="0" w:oddVBand="0" w:evenVBand="0" w:oddHBand="0" w:evenHBand="0" w:firstRowFirstColumn="0" w:firstRowLastColumn="0" w:lastRowFirstColumn="0" w:lastRowLastColumn="0"/>
            <w:tcW w:w="747" w:type="pct"/>
            <w:vAlign w:val="center"/>
          </w:tcPr>
          <w:p w14:paraId="4B277FD4" w14:textId="77777777" w:rsidR="005F2274" w:rsidRPr="005F2274" w:rsidRDefault="005F2274" w:rsidP="005F2274">
            <w:pPr>
              <w:rPr>
                <w:rFonts w:cs="Arial"/>
                <w:b w:val="0"/>
                <w:bCs w:val="0"/>
                <w:sz w:val="20"/>
                <w:szCs w:val="20"/>
              </w:rPr>
            </w:pPr>
            <w:r w:rsidRPr="005F2274">
              <w:rPr>
                <w:rFonts w:cs="Arial"/>
                <w:b w:val="0"/>
                <w:bCs w:val="0"/>
                <w:sz w:val="20"/>
                <w:szCs w:val="20"/>
              </w:rPr>
              <w:t>June 21</w:t>
            </w:r>
          </w:p>
        </w:tc>
        <w:tc>
          <w:tcPr>
            <w:tcW w:w="748" w:type="pct"/>
            <w:vAlign w:val="center"/>
          </w:tcPr>
          <w:p w14:paraId="455FD363" w14:textId="77777777" w:rsidR="005F2274" w:rsidRPr="005F2274" w:rsidRDefault="005F2274" w:rsidP="005F2274">
            <w:pPr>
              <w:cnfStyle w:val="000000000000" w:firstRow="0" w:lastRow="0" w:firstColumn="0" w:lastColumn="0" w:oddVBand="0" w:evenVBand="0" w:oddHBand="0" w:evenHBand="0" w:firstRowFirstColumn="0" w:firstRowLastColumn="0" w:lastRowFirstColumn="0" w:lastRowLastColumn="0"/>
              <w:rPr>
                <w:rFonts w:cs="Arial"/>
                <w:b/>
                <w:sz w:val="20"/>
                <w:szCs w:val="20"/>
              </w:rPr>
            </w:pPr>
            <w:r w:rsidRPr="005F2274">
              <w:rPr>
                <w:rFonts w:cs="Arial"/>
                <w:sz w:val="20"/>
                <w:szCs w:val="20"/>
              </w:rPr>
              <w:t>June 22</w:t>
            </w:r>
          </w:p>
        </w:tc>
        <w:tc>
          <w:tcPr>
            <w:tcW w:w="668" w:type="pct"/>
            <w:vAlign w:val="center"/>
          </w:tcPr>
          <w:p w14:paraId="083D61F9" w14:textId="77777777" w:rsidR="005F2274" w:rsidRPr="005F2274" w:rsidRDefault="005F2274" w:rsidP="005F2274">
            <w:pPr>
              <w:cnfStyle w:val="000000000000" w:firstRow="0" w:lastRow="0" w:firstColumn="0" w:lastColumn="0" w:oddVBand="0" w:evenVBand="0" w:oddHBand="0" w:evenHBand="0" w:firstRowFirstColumn="0" w:firstRowLastColumn="0" w:lastRowFirstColumn="0" w:lastRowLastColumn="0"/>
              <w:rPr>
                <w:rFonts w:cs="Arial"/>
                <w:sz w:val="20"/>
                <w:szCs w:val="20"/>
              </w:rPr>
            </w:pPr>
            <w:r w:rsidRPr="005F2274">
              <w:rPr>
                <w:rFonts w:cs="Arial"/>
                <w:b/>
                <w:bCs/>
                <w:sz w:val="20"/>
                <w:szCs w:val="20"/>
              </w:rPr>
              <w:t>2015 Baseline</w:t>
            </w:r>
          </w:p>
        </w:tc>
        <w:tc>
          <w:tcPr>
            <w:tcW w:w="1404" w:type="pct"/>
            <w:vAlign w:val="center"/>
          </w:tcPr>
          <w:p w14:paraId="35E43B3D" w14:textId="77777777" w:rsidR="005F2274" w:rsidRPr="005F2274" w:rsidRDefault="005F2274" w:rsidP="005F2274">
            <w:pPr>
              <w:cnfStyle w:val="000000000000" w:firstRow="0" w:lastRow="0" w:firstColumn="0" w:lastColumn="0" w:oddVBand="0" w:evenVBand="0" w:oddHBand="0" w:evenHBand="0" w:firstRowFirstColumn="0" w:firstRowLastColumn="0" w:lastRowFirstColumn="0" w:lastRowLastColumn="0"/>
              <w:rPr>
                <w:rFonts w:cs="Arial"/>
                <w:sz w:val="20"/>
                <w:szCs w:val="20"/>
              </w:rPr>
            </w:pPr>
            <w:r w:rsidRPr="005F2274">
              <w:rPr>
                <w:rFonts w:cs="Arial"/>
                <w:sz w:val="20"/>
                <w:szCs w:val="20"/>
              </w:rPr>
              <w:t>01/01/2025 – 12/31/2025</w:t>
            </w:r>
          </w:p>
        </w:tc>
        <w:tc>
          <w:tcPr>
            <w:tcW w:w="722" w:type="pct"/>
            <w:vAlign w:val="center"/>
          </w:tcPr>
          <w:p w14:paraId="0FC16C54" w14:textId="77777777" w:rsidR="005F2274" w:rsidRPr="005F2274" w:rsidRDefault="005F2274" w:rsidP="005F2274">
            <w:pPr>
              <w:cnfStyle w:val="000000000000" w:firstRow="0" w:lastRow="0" w:firstColumn="0" w:lastColumn="0" w:oddVBand="0" w:evenVBand="0" w:oddHBand="0" w:evenHBand="0" w:firstRowFirstColumn="0" w:firstRowLastColumn="0" w:lastRowFirstColumn="0" w:lastRowLastColumn="0"/>
              <w:rPr>
                <w:rFonts w:cs="Arial"/>
                <w:sz w:val="20"/>
                <w:szCs w:val="20"/>
              </w:rPr>
            </w:pPr>
            <w:r w:rsidRPr="005F2274">
              <w:rPr>
                <w:rFonts w:cs="Arial"/>
                <w:sz w:val="20"/>
                <w:szCs w:val="20"/>
              </w:rPr>
              <w:t>June 30</w:t>
            </w:r>
          </w:p>
        </w:tc>
        <w:tc>
          <w:tcPr>
            <w:tcW w:w="711" w:type="pct"/>
            <w:vAlign w:val="center"/>
          </w:tcPr>
          <w:p w14:paraId="0A658BD7" w14:textId="07366064" w:rsidR="005F2274" w:rsidRPr="005F2274" w:rsidRDefault="005F2274" w:rsidP="005F2274">
            <w:pPr>
              <w:cnfStyle w:val="000000000000" w:firstRow="0" w:lastRow="0" w:firstColumn="0" w:lastColumn="0" w:oddVBand="0" w:evenVBand="0" w:oddHBand="0" w:evenHBand="0" w:firstRowFirstColumn="0" w:firstRowLastColumn="0" w:lastRowFirstColumn="0" w:lastRowLastColumn="0"/>
              <w:rPr>
                <w:rFonts w:cs="Arial"/>
                <w:sz w:val="20"/>
                <w:szCs w:val="20"/>
              </w:rPr>
            </w:pPr>
            <w:r w:rsidRPr="005F2274">
              <w:rPr>
                <w:rFonts w:cs="Arial"/>
                <w:sz w:val="20"/>
                <w:szCs w:val="20"/>
              </w:rPr>
              <w:t>July 12</w:t>
            </w:r>
          </w:p>
        </w:tc>
      </w:tr>
      <w:tr w:rsidR="005F2274" w:rsidRPr="005F2274" w14:paraId="339577AC" w14:textId="77777777" w:rsidTr="005F2274">
        <w:trPr>
          <w:cnfStyle w:val="000000100000" w:firstRow="0" w:lastRow="0" w:firstColumn="0" w:lastColumn="0" w:oddVBand="0" w:evenVBand="0" w:oddHBand="1" w:evenHBand="0" w:firstRowFirstColumn="0" w:firstRowLastColumn="0" w:lastRowFirstColumn="0" w:lastRowLastColumn="0"/>
          <w:trHeight w:val="431"/>
        </w:trPr>
        <w:tc>
          <w:tcPr>
            <w:cnfStyle w:val="001000000000" w:firstRow="0" w:lastRow="0" w:firstColumn="1" w:lastColumn="0" w:oddVBand="0" w:evenVBand="0" w:oddHBand="0" w:evenHBand="0" w:firstRowFirstColumn="0" w:firstRowLastColumn="0" w:lastRowFirstColumn="0" w:lastRowLastColumn="0"/>
            <w:tcW w:w="747" w:type="pct"/>
            <w:shd w:val="clear" w:color="auto" w:fill="D9D9D9" w:themeFill="background1" w:themeFillShade="D9"/>
            <w:vAlign w:val="center"/>
          </w:tcPr>
          <w:p w14:paraId="7B6D8AC6" w14:textId="77777777" w:rsidR="005F2274" w:rsidRPr="005F2274" w:rsidRDefault="005F2274" w:rsidP="005F2274">
            <w:pPr>
              <w:rPr>
                <w:rFonts w:cs="Arial"/>
                <w:b w:val="0"/>
                <w:bCs w:val="0"/>
                <w:sz w:val="20"/>
                <w:szCs w:val="20"/>
              </w:rPr>
            </w:pPr>
            <w:r w:rsidRPr="005F2274">
              <w:rPr>
                <w:rFonts w:cs="Arial"/>
                <w:b w:val="0"/>
                <w:bCs w:val="0"/>
                <w:sz w:val="20"/>
                <w:szCs w:val="20"/>
              </w:rPr>
              <w:t>Aug 19</w:t>
            </w:r>
          </w:p>
        </w:tc>
        <w:tc>
          <w:tcPr>
            <w:tcW w:w="748" w:type="pct"/>
            <w:shd w:val="clear" w:color="auto" w:fill="D9D9D9" w:themeFill="background1" w:themeFillShade="D9"/>
            <w:vAlign w:val="center"/>
          </w:tcPr>
          <w:p w14:paraId="3471B974" w14:textId="77777777" w:rsidR="005F2274" w:rsidRPr="005F2274" w:rsidRDefault="005F2274" w:rsidP="005F2274">
            <w:pPr>
              <w:cnfStyle w:val="000000100000" w:firstRow="0" w:lastRow="0" w:firstColumn="0" w:lastColumn="0" w:oddVBand="0" w:evenVBand="0" w:oddHBand="1" w:evenHBand="0" w:firstRowFirstColumn="0" w:firstRowLastColumn="0" w:lastRowFirstColumn="0" w:lastRowLastColumn="0"/>
              <w:rPr>
                <w:rFonts w:cs="Arial"/>
                <w:b/>
                <w:sz w:val="20"/>
                <w:szCs w:val="20"/>
              </w:rPr>
            </w:pPr>
            <w:r w:rsidRPr="005F2274">
              <w:rPr>
                <w:rFonts w:cs="Arial"/>
                <w:sz w:val="20"/>
                <w:szCs w:val="20"/>
              </w:rPr>
              <w:t>Aug 20</w:t>
            </w:r>
          </w:p>
        </w:tc>
        <w:tc>
          <w:tcPr>
            <w:tcW w:w="668" w:type="pct"/>
            <w:shd w:val="clear" w:color="auto" w:fill="D9D9D9" w:themeFill="background1" w:themeFillShade="D9"/>
            <w:vAlign w:val="center"/>
          </w:tcPr>
          <w:p w14:paraId="09E463CC" w14:textId="77777777" w:rsidR="005F2274" w:rsidRPr="005F2274" w:rsidRDefault="005F2274" w:rsidP="005F2274">
            <w:pPr>
              <w:cnfStyle w:val="000000100000" w:firstRow="0" w:lastRow="0" w:firstColumn="0" w:lastColumn="0" w:oddVBand="0" w:evenVBand="0" w:oddHBand="1" w:evenHBand="0" w:firstRowFirstColumn="0" w:firstRowLastColumn="0" w:lastRowFirstColumn="0" w:lastRowLastColumn="0"/>
              <w:rPr>
                <w:rFonts w:cs="Arial"/>
                <w:sz w:val="20"/>
                <w:szCs w:val="20"/>
              </w:rPr>
            </w:pPr>
            <w:r w:rsidRPr="005F2274">
              <w:rPr>
                <w:rFonts w:cs="Arial"/>
                <w:b/>
                <w:bCs/>
                <w:sz w:val="20"/>
                <w:szCs w:val="20"/>
              </w:rPr>
              <w:t>2015 Baseline</w:t>
            </w:r>
          </w:p>
        </w:tc>
        <w:tc>
          <w:tcPr>
            <w:tcW w:w="1404" w:type="pct"/>
            <w:shd w:val="clear" w:color="auto" w:fill="D9D9D9" w:themeFill="background1" w:themeFillShade="D9"/>
            <w:vAlign w:val="center"/>
          </w:tcPr>
          <w:p w14:paraId="19D5359F" w14:textId="77777777" w:rsidR="005F2274" w:rsidRPr="005F2274" w:rsidRDefault="005F2274" w:rsidP="005F2274">
            <w:pPr>
              <w:cnfStyle w:val="000000100000" w:firstRow="0" w:lastRow="0" w:firstColumn="0" w:lastColumn="0" w:oddVBand="0" w:evenVBand="0" w:oddHBand="1" w:evenHBand="0" w:firstRowFirstColumn="0" w:firstRowLastColumn="0" w:lastRowFirstColumn="0" w:lastRowLastColumn="0"/>
              <w:rPr>
                <w:rFonts w:cs="Arial"/>
                <w:sz w:val="20"/>
                <w:szCs w:val="20"/>
              </w:rPr>
            </w:pPr>
            <w:r w:rsidRPr="005F2274">
              <w:rPr>
                <w:rFonts w:cs="Arial"/>
                <w:sz w:val="20"/>
                <w:szCs w:val="20"/>
              </w:rPr>
              <w:t>01/01/2025 – 12/31/2025</w:t>
            </w:r>
          </w:p>
        </w:tc>
        <w:tc>
          <w:tcPr>
            <w:tcW w:w="722" w:type="pct"/>
            <w:shd w:val="clear" w:color="auto" w:fill="D9D9D9" w:themeFill="background1" w:themeFillShade="D9"/>
            <w:vAlign w:val="center"/>
          </w:tcPr>
          <w:p w14:paraId="2376C432" w14:textId="77777777" w:rsidR="005F2274" w:rsidRPr="005F2274" w:rsidRDefault="005F2274" w:rsidP="005F2274">
            <w:pPr>
              <w:cnfStyle w:val="000000100000" w:firstRow="0" w:lastRow="0" w:firstColumn="0" w:lastColumn="0" w:oddVBand="0" w:evenVBand="0" w:oddHBand="1" w:evenHBand="0" w:firstRowFirstColumn="0" w:firstRowLastColumn="0" w:lastRowFirstColumn="0" w:lastRowLastColumn="0"/>
              <w:rPr>
                <w:rFonts w:cs="Arial"/>
                <w:sz w:val="20"/>
                <w:szCs w:val="20"/>
              </w:rPr>
            </w:pPr>
            <w:r w:rsidRPr="005F2274">
              <w:rPr>
                <w:rFonts w:cs="Arial"/>
                <w:sz w:val="20"/>
                <w:szCs w:val="20"/>
              </w:rPr>
              <w:t>Aug 31</w:t>
            </w:r>
          </w:p>
        </w:tc>
        <w:tc>
          <w:tcPr>
            <w:tcW w:w="711" w:type="pct"/>
            <w:shd w:val="clear" w:color="auto" w:fill="D9D9D9" w:themeFill="background1" w:themeFillShade="D9"/>
            <w:vAlign w:val="center"/>
          </w:tcPr>
          <w:p w14:paraId="1E5164D1" w14:textId="3BA64E56" w:rsidR="005F2274" w:rsidRPr="005F2274" w:rsidRDefault="005F2274" w:rsidP="005F2274">
            <w:pPr>
              <w:cnfStyle w:val="000000100000" w:firstRow="0" w:lastRow="0" w:firstColumn="0" w:lastColumn="0" w:oddVBand="0" w:evenVBand="0" w:oddHBand="1" w:evenHBand="0" w:firstRowFirstColumn="0" w:firstRowLastColumn="0" w:lastRowFirstColumn="0" w:lastRowLastColumn="0"/>
              <w:rPr>
                <w:rFonts w:cs="Arial"/>
                <w:sz w:val="20"/>
                <w:szCs w:val="20"/>
              </w:rPr>
            </w:pPr>
            <w:r w:rsidRPr="005F2274">
              <w:rPr>
                <w:rFonts w:cs="Arial"/>
                <w:sz w:val="20"/>
                <w:szCs w:val="20"/>
              </w:rPr>
              <w:t>Sep 10</w:t>
            </w:r>
          </w:p>
        </w:tc>
      </w:tr>
      <w:tr w:rsidR="005F2274" w:rsidRPr="005F2274" w14:paraId="530430DD" w14:textId="77777777" w:rsidTr="005F2274">
        <w:trPr>
          <w:trHeight w:val="233"/>
        </w:trPr>
        <w:tc>
          <w:tcPr>
            <w:cnfStyle w:val="001000000000" w:firstRow="0" w:lastRow="0" w:firstColumn="1" w:lastColumn="0" w:oddVBand="0" w:evenVBand="0" w:oddHBand="0" w:evenHBand="0" w:firstRowFirstColumn="0" w:firstRowLastColumn="0" w:lastRowFirstColumn="0" w:lastRowLastColumn="0"/>
            <w:tcW w:w="747" w:type="pct"/>
            <w:vMerge w:val="restart"/>
            <w:vAlign w:val="center"/>
          </w:tcPr>
          <w:p w14:paraId="081CE1D9" w14:textId="77777777" w:rsidR="005F2274" w:rsidRPr="005F2274" w:rsidRDefault="005F2274" w:rsidP="005F2274">
            <w:pPr>
              <w:rPr>
                <w:rFonts w:cs="Arial"/>
                <w:b w:val="0"/>
                <w:bCs w:val="0"/>
                <w:sz w:val="20"/>
                <w:szCs w:val="20"/>
              </w:rPr>
            </w:pPr>
            <w:r w:rsidRPr="005F2274">
              <w:rPr>
                <w:rFonts w:cs="Arial"/>
                <w:b w:val="0"/>
                <w:bCs w:val="0"/>
                <w:sz w:val="20"/>
                <w:szCs w:val="20"/>
              </w:rPr>
              <w:t>Oct 21</w:t>
            </w:r>
          </w:p>
        </w:tc>
        <w:tc>
          <w:tcPr>
            <w:tcW w:w="748" w:type="pct"/>
            <w:vMerge w:val="restart"/>
            <w:vAlign w:val="center"/>
          </w:tcPr>
          <w:p w14:paraId="5710E592" w14:textId="77777777" w:rsidR="005F2274" w:rsidRPr="005F2274" w:rsidRDefault="005F2274" w:rsidP="005F2274">
            <w:pPr>
              <w:cnfStyle w:val="000000000000" w:firstRow="0" w:lastRow="0" w:firstColumn="0" w:lastColumn="0" w:oddVBand="0" w:evenVBand="0" w:oddHBand="0" w:evenHBand="0" w:firstRowFirstColumn="0" w:firstRowLastColumn="0" w:lastRowFirstColumn="0" w:lastRowLastColumn="0"/>
              <w:rPr>
                <w:rFonts w:cs="Arial"/>
                <w:b/>
                <w:sz w:val="20"/>
                <w:szCs w:val="20"/>
              </w:rPr>
            </w:pPr>
            <w:r w:rsidRPr="005F2274">
              <w:rPr>
                <w:rFonts w:cs="Arial"/>
                <w:sz w:val="20"/>
                <w:szCs w:val="20"/>
              </w:rPr>
              <w:t>Oct 22</w:t>
            </w:r>
          </w:p>
        </w:tc>
        <w:tc>
          <w:tcPr>
            <w:tcW w:w="668" w:type="pct"/>
            <w:vMerge w:val="restart"/>
            <w:vAlign w:val="center"/>
          </w:tcPr>
          <w:p w14:paraId="3E440488" w14:textId="77777777" w:rsidR="005F2274" w:rsidRPr="005F2274" w:rsidRDefault="005F2274" w:rsidP="005F2274">
            <w:pPr>
              <w:cnfStyle w:val="000000000000" w:firstRow="0" w:lastRow="0" w:firstColumn="0" w:lastColumn="0" w:oddVBand="0" w:evenVBand="0" w:oddHBand="0" w:evenHBand="0" w:firstRowFirstColumn="0" w:firstRowLastColumn="0" w:lastRowFirstColumn="0" w:lastRowLastColumn="0"/>
              <w:rPr>
                <w:rFonts w:cs="Arial"/>
                <w:color w:val="EE0000"/>
                <w:sz w:val="20"/>
                <w:szCs w:val="20"/>
              </w:rPr>
            </w:pPr>
            <w:r w:rsidRPr="005F2274">
              <w:rPr>
                <w:rFonts w:cs="Arial"/>
                <w:b/>
                <w:bCs/>
                <w:color w:val="EE0000"/>
                <w:sz w:val="20"/>
                <w:szCs w:val="20"/>
              </w:rPr>
              <w:t>2022 Baseline</w:t>
            </w:r>
          </w:p>
        </w:tc>
        <w:tc>
          <w:tcPr>
            <w:tcW w:w="1404" w:type="pct"/>
            <w:vAlign w:val="center"/>
          </w:tcPr>
          <w:p w14:paraId="526E9DDC" w14:textId="77777777" w:rsidR="005F2274" w:rsidRPr="005F2274" w:rsidRDefault="005F2274" w:rsidP="005F2274">
            <w:pPr>
              <w:cnfStyle w:val="000000000000" w:firstRow="0" w:lastRow="0" w:firstColumn="0" w:lastColumn="0" w:oddVBand="0" w:evenVBand="0" w:oddHBand="0" w:evenHBand="0" w:firstRowFirstColumn="0" w:firstRowLastColumn="0" w:lastRowFirstColumn="0" w:lastRowLastColumn="0"/>
              <w:rPr>
                <w:rFonts w:cs="Arial"/>
                <w:sz w:val="20"/>
                <w:szCs w:val="20"/>
                <w:highlight w:val="yellow"/>
              </w:rPr>
            </w:pPr>
            <w:r w:rsidRPr="005F2274">
              <w:rPr>
                <w:rFonts w:cs="Arial"/>
                <w:b/>
                <w:bCs/>
                <w:color w:val="EE0000"/>
                <w:sz w:val="20"/>
                <w:szCs w:val="20"/>
                <w:highlight w:val="yellow"/>
              </w:rPr>
              <w:t xml:space="preserve">50 or fewer beds*: </w:t>
            </w:r>
            <w:r w:rsidRPr="005F2274">
              <w:rPr>
                <w:rFonts w:cs="Arial"/>
                <w:color w:val="EE0000"/>
                <w:sz w:val="20"/>
                <w:szCs w:val="20"/>
                <w:highlight w:val="yellow"/>
              </w:rPr>
              <w:t>07/01/2024 – 06/30/2026</w:t>
            </w:r>
          </w:p>
        </w:tc>
        <w:tc>
          <w:tcPr>
            <w:tcW w:w="722" w:type="pct"/>
            <w:vMerge w:val="restart"/>
            <w:vAlign w:val="center"/>
          </w:tcPr>
          <w:p w14:paraId="78AAF38F" w14:textId="77777777" w:rsidR="005F2274" w:rsidRPr="005F2274" w:rsidRDefault="005F2274" w:rsidP="005F2274">
            <w:pPr>
              <w:cnfStyle w:val="000000000000" w:firstRow="0" w:lastRow="0" w:firstColumn="0" w:lastColumn="0" w:oddVBand="0" w:evenVBand="0" w:oddHBand="0" w:evenHBand="0" w:firstRowFirstColumn="0" w:firstRowLastColumn="0" w:lastRowFirstColumn="0" w:lastRowLastColumn="0"/>
              <w:rPr>
                <w:rFonts w:cs="Arial"/>
                <w:sz w:val="20"/>
                <w:szCs w:val="20"/>
              </w:rPr>
            </w:pPr>
            <w:r w:rsidRPr="005F2274">
              <w:rPr>
                <w:rFonts w:cs="Arial"/>
                <w:sz w:val="20"/>
                <w:szCs w:val="20"/>
              </w:rPr>
              <w:t>Oct 31</w:t>
            </w:r>
          </w:p>
        </w:tc>
        <w:tc>
          <w:tcPr>
            <w:tcW w:w="711" w:type="pct"/>
            <w:vMerge w:val="restart"/>
            <w:vAlign w:val="center"/>
          </w:tcPr>
          <w:p w14:paraId="514EB1B4" w14:textId="359CB22C" w:rsidR="005F2274" w:rsidRPr="005F2274" w:rsidRDefault="005F2274" w:rsidP="005F2274">
            <w:pPr>
              <w:cnfStyle w:val="000000000000" w:firstRow="0" w:lastRow="0" w:firstColumn="0" w:lastColumn="0" w:oddVBand="0" w:evenVBand="0" w:oddHBand="0" w:evenHBand="0" w:firstRowFirstColumn="0" w:firstRowLastColumn="0" w:lastRowFirstColumn="0" w:lastRowLastColumn="0"/>
              <w:rPr>
                <w:rFonts w:cs="Arial"/>
                <w:sz w:val="20"/>
                <w:szCs w:val="20"/>
              </w:rPr>
            </w:pPr>
            <w:r w:rsidRPr="005F2274">
              <w:rPr>
                <w:rFonts w:cs="Arial"/>
                <w:sz w:val="20"/>
                <w:szCs w:val="20"/>
              </w:rPr>
              <w:t>Nov 10</w:t>
            </w:r>
          </w:p>
        </w:tc>
      </w:tr>
      <w:tr w:rsidR="005F2274" w:rsidRPr="005F2274" w14:paraId="18E9F885" w14:textId="77777777" w:rsidTr="005F2274">
        <w:trPr>
          <w:cnfStyle w:val="000000100000" w:firstRow="0" w:lastRow="0" w:firstColumn="0" w:lastColumn="0" w:oddVBand="0" w:evenVBand="0" w:oddHBand="1" w:evenHBand="0" w:firstRowFirstColumn="0" w:firstRowLastColumn="0" w:lastRowFirstColumn="0" w:lastRowLastColumn="0"/>
          <w:trHeight w:val="232"/>
        </w:trPr>
        <w:tc>
          <w:tcPr>
            <w:cnfStyle w:val="001000000000" w:firstRow="0" w:lastRow="0" w:firstColumn="1" w:lastColumn="0" w:oddVBand="0" w:evenVBand="0" w:oddHBand="0" w:evenHBand="0" w:firstRowFirstColumn="0" w:firstRowLastColumn="0" w:lastRowFirstColumn="0" w:lastRowLastColumn="0"/>
            <w:tcW w:w="747" w:type="pct"/>
            <w:vMerge/>
            <w:vAlign w:val="center"/>
          </w:tcPr>
          <w:p w14:paraId="62D36C65" w14:textId="77777777" w:rsidR="005F2274" w:rsidRPr="005F2274" w:rsidRDefault="005F2274" w:rsidP="005F2274">
            <w:pPr>
              <w:rPr>
                <w:rFonts w:cs="Arial"/>
                <w:b w:val="0"/>
                <w:bCs w:val="0"/>
                <w:sz w:val="20"/>
                <w:szCs w:val="20"/>
              </w:rPr>
            </w:pPr>
          </w:p>
        </w:tc>
        <w:tc>
          <w:tcPr>
            <w:tcW w:w="748" w:type="pct"/>
            <w:vMerge/>
            <w:vAlign w:val="center"/>
          </w:tcPr>
          <w:p w14:paraId="63F23DEC" w14:textId="77777777" w:rsidR="005F2274" w:rsidRPr="005F2274" w:rsidRDefault="005F2274" w:rsidP="005F2274">
            <w:pP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668" w:type="pct"/>
            <w:vMerge/>
            <w:vAlign w:val="center"/>
          </w:tcPr>
          <w:p w14:paraId="5F3E81C4" w14:textId="77777777" w:rsidR="005F2274" w:rsidRPr="005F2274" w:rsidRDefault="005F2274" w:rsidP="005F2274">
            <w:pPr>
              <w:cnfStyle w:val="000000100000" w:firstRow="0" w:lastRow="0" w:firstColumn="0" w:lastColumn="0" w:oddVBand="0" w:evenVBand="0" w:oddHBand="1" w:evenHBand="0" w:firstRowFirstColumn="0" w:firstRowLastColumn="0" w:lastRowFirstColumn="0" w:lastRowLastColumn="0"/>
              <w:rPr>
                <w:rFonts w:cs="Arial"/>
                <w:b/>
                <w:bCs/>
                <w:color w:val="EE0000"/>
                <w:sz w:val="20"/>
                <w:szCs w:val="20"/>
              </w:rPr>
            </w:pPr>
          </w:p>
        </w:tc>
        <w:tc>
          <w:tcPr>
            <w:tcW w:w="1404" w:type="pct"/>
            <w:shd w:val="clear" w:color="auto" w:fill="FFFFFF" w:themeFill="background1"/>
            <w:vAlign w:val="center"/>
          </w:tcPr>
          <w:p w14:paraId="7C051FC8" w14:textId="77777777" w:rsidR="005F2274" w:rsidRPr="005F2274" w:rsidRDefault="005F2274" w:rsidP="005F2274">
            <w:pPr>
              <w:pStyle w:val="TableParagraph"/>
              <w:ind w:left="0"/>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highlight w:val="yellow"/>
              </w:rPr>
            </w:pPr>
            <w:r w:rsidRPr="005F2274">
              <w:rPr>
                <w:rFonts w:ascii="Arial" w:hAnsi="Arial" w:cs="Arial"/>
                <w:b/>
                <w:bCs/>
                <w:sz w:val="20"/>
                <w:szCs w:val="20"/>
                <w:highlight w:val="yellow"/>
              </w:rPr>
              <w:t>More than 50 beds*:</w:t>
            </w:r>
          </w:p>
          <w:p w14:paraId="6BA124DA" w14:textId="77777777" w:rsidR="005F2274" w:rsidRPr="005F2274" w:rsidRDefault="005F2274" w:rsidP="005F2274">
            <w:pPr>
              <w:cnfStyle w:val="000000100000" w:firstRow="0" w:lastRow="0" w:firstColumn="0" w:lastColumn="0" w:oddVBand="0" w:evenVBand="0" w:oddHBand="1" w:evenHBand="0" w:firstRowFirstColumn="0" w:firstRowLastColumn="0" w:lastRowFirstColumn="0" w:lastRowLastColumn="0"/>
              <w:rPr>
                <w:rFonts w:cs="Arial"/>
                <w:sz w:val="20"/>
                <w:szCs w:val="20"/>
                <w:highlight w:val="yellow"/>
              </w:rPr>
            </w:pPr>
            <w:r w:rsidRPr="005F2274">
              <w:rPr>
                <w:rFonts w:cs="Arial"/>
                <w:sz w:val="20"/>
                <w:szCs w:val="20"/>
                <w:highlight w:val="yellow"/>
              </w:rPr>
              <w:t>07/01/2025 – 06/30/2026</w:t>
            </w:r>
          </w:p>
        </w:tc>
        <w:tc>
          <w:tcPr>
            <w:tcW w:w="722" w:type="pct"/>
            <w:vMerge/>
            <w:vAlign w:val="center"/>
          </w:tcPr>
          <w:p w14:paraId="200FC04D" w14:textId="77777777" w:rsidR="005F2274" w:rsidRPr="005F2274" w:rsidRDefault="005F2274" w:rsidP="005F2274">
            <w:pP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711" w:type="pct"/>
            <w:vMerge/>
            <w:vAlign w:val="center"/>
          </w:tcPr>
          <w:p w14:paraId="1750FC41" w14:textId="77777777" w:rsidR="005F2274" w:rsidRPr="005F2274" w:rsidRDefault="005F2274" w:rsidP="005F2274">
            <w:pPr>
              <w:cnfStyle w:val="000000100000" w:firstRow="0" w:lastRow="0" w:firstColumn="0" w:lastColumn="0" w:oddVBand="0" w:evenVBand="0" w:oddHBand="1" w:evenHBand="0" w:firstRowFirstColumn="0" w:firstRowLastColumn="0" w:lastRowFirstColumn="0" w:lastRowLastColumn="0"/>
              <w:rPr>
                <w:rFonts w:cs="Arial"/>
                <w:sz w:val="20"/>
                <w:szCs w:val="20"/>
              </w:rPr>
            </w:pPr>
          </w:p>
        </w:tc>
      </w:tr>
      <w:tr w:rsidR="005F2274" w:rsidRPr="005F2274" w14:paraId="71FFD4FB" w14:textId="77777777" w:rsidTr="005F2274">
        <w:trPr>
          <w:trHeight w:val="293"/>
        </w:trPr>
        <w:tc>
          <w:tcPr>
            <w:cnfStyle w:val="001000000000" w:firstRow="0" w:lastRow="0" w:firstColumn="1" w:lastColumn="0" w:oddVBand="0" w:evenVBand="0" w:oddHBand="0" w:evenHBand="0" w:firstRowFirstColumn="0" w:firstRowLastColumn="0" w:lastRowFirstColumn="0" w:lastRowLastColumn="0"/>
            <w:tcW w:w="747" w:type="pct"/>
            <w:vMerge w:val="restart"/>
            <w:shd w:val="clear" w:color="auto" w:fill="D9D9D9" w:themeFill="background1" w:themeFillShade="D9"/>
            <w:vAlign w:val="center"/>
          </w:tcPr>
          <w:p w14:paraId="62EFD4EA" w14:textId="77777777" w:rsidR="005F2274" w:rsidRPr="005F2274" w:rsidRDefault="005F2274" w:rsidP="005F2274">
            <w:pPr>
              <w:rPr>
                <w:rFonts w:cs="Arial"/>
                <w:b w:val="0"/>
                <w:bCs w:val="0"/>
                <w:sz w:val="20"/>
                <w:szCs w:val="20"/>
              </w:rPr>
            </w:pPr>
            <w:r w:rsidRPr="005F2274">
              <w:rPr>
                <w:rFonts w:cs="Arial"/>
                <w:b w:val="0"/>
                <w:bCs w:val="0"/>
                <w:sz w:val="20"/>
                <w:szCs w:val="20"/>
              </w:rPr>
              <w:t>Dec 16</w:t>
            </w:r>
          </w:p>
        </w:tc>
        <w:tc>
          <w:tcPr>
            <w:tcW w:w="748" w:type="pct"/>
            <w:vMerge w:val="restart"/>
            <w:shd w:val="clear" w:color="auto" w:fill="D9D9D9" w:themeFill="background1" w:themeFillShade="D9"/>
            <w:vAlign w:val="center"/>
          </w:tcPr>
          <w:p w14:paraId="25C8039B" w14:textId="77777777" w:rsidR="005F2274" w:rsidRPr="005F2274" w:rsidRDefault="005F2274" w:rsidP="005F2274">
            <w:pPr>
              <w:cnfStyle w:val="000000000000" w:firstRow="0" w:lastRow="0" w:firstColumn="0" w:lastColumn="0" w:oddVBand="0" w:evenVBand="0" w:oddHBand="0" w:evenHBand="0" w:firstRowFirstColumn="0" w:firstRowLastColumn="0" w:lastRowFirstColumn="0" w:lastRowLastColumn="0"/>
              <w:rPr>
                <w:rFonts w:cs="Arial"/>
                <w:b/>
                <w:sz w:val="20"/>
                <w:szCs w:val="20"/>
              </w:rPr>
            </w:pPr>
            <w:r w:rsidRPr="005F2274">
              <w:rPr>
                <w:rFonts w:cs="Arial"/>
                <w:sz w:val="20"/>
                <w:szCs w:val="20"/>
              </w:rPr>
              <w:t>Dec 17**</w:t>
            </w:r>
          </w:p>
        </w:tc>
        <w:tc>
          <w:tcPr>
            <w:tcW w:w="668" w:type="pct"/>
            <w:vMerge w:val="restart"/>
            <w:shd w:val="clear" w:color="auto" w:fill="D9D9D9" w:themeFill="background1" w:themeFillShade="D9"/>
            <w:vAlign w:val="center"/>
          </w:tcPr>
          <w:p w14:paraId="053F08AF" w14:textId="77777777" w:rsidR="005F2274" w:rsidRPr="005F2274" w:rsidRDefault="005F2274" w:rsidP="005F2274">
            <w:pPr>
              <w:cnfStyle w:val="000000000000" w:firstRow="0" w:lastRow="0" w:firstColumn="0" w:lastColumn="0" w:oddVBand="0" w:evenVBand="0" w:oddHBand="0" w:evenHBand="0" w:firstRowFirstColumn="0" w:firstRowLastColumn="0" w:lastRowFirstColumn="0" w:lastRowLastColumn="0"/>
              <w:rPr>
                <w:rFonts w:cs="Arial"/>
                <w:color w:val="EE0000"/>
                <w:sz w:val="20"/>
                <w:szCs w:val="20"/>
              </w:rPr>
            </w:pPr>
            <w:r w:rsidRPr="005F2274">
              <w:rPr>
                <w:rFonts w:cs="Arial"/>
                <w:b/>
                <w:bCs/>
                <w:color w:val="EE0000"/>
                <w:sz w:val="20"/>
                <w:szCs w:val="20"/>
              </w:rPr>
              <w:t>2022 Baseline</w:t>
            </w:r>
          </w:p>
        </w:tc>
        <w:tc>
          <w:tcPr>
            <w:tcW w:w="1404" w:type="pct"/>
            <w:shd w:val="clear" w:color="auto" w:fill="D9D9D9" w:themeFill="background1" w:themeFillShade="D9"/>
            <w:vAlign w:val="center"/>
          </w:tcPr>
          <w:p w14:paraId="5E3CDDF7" w14:textId="77777777" w:rsidR="005F2274" w:rsidRPr="005F2274" w:rsidRDefault="005F2274" w:rsidP="005F2274">
            <w:pPr>
              <w:cnfStyle w:val="000000000000" w:firstRow="0" w:lastRow="0" w:firstColumn="0" w:lastColumn="0" w:oddVBand="0" w:evenVBand="0" w:oddHBand="0" w:evenHBand="0" w:firstRowFirstColumn="0" w:firstRowLastColumn="0" w:lastRowFirstColumn="0" w:lastRowLastColumn="0"/>
              <w:rPr>
                <w:rFonts w:cs="Arial"/>
                <w:sz w:val="20"/>
                <w:szCs w:val="20"/>
                <w:highlight w:val="yellow"/>
              </w:rPr>
            </w:pPr>
            <w:r w:rsidRPr="005F2274">
              <w:rPr>
                <w:rFonts w:cs="Arial"/>
                <w:b/>
                <w:bCs/>
                <w:color w:val="EE0000"/>
                <w:sz w:val="20"/>
                <w:szCs w:val="20"/>
                <w:highlight w:val="yellow"/>
              </w:rPr>
              <w:t xml:space="preserve">50 or fewer beds*: </w:t>
            </w:r>
            <w:r w:rsidRPr="005F2274">
              <w:rPr>
                <w:rFonts w:cs="Arial"/>
                <w:color w:val="EE0000"/>
                <w:sz w:val="20"/>
                <w:szCs w:val="20"/>
                <w:highlight w:val="yellow"/>
              </w:rPr>
              <w:t>07/01/2024 – 06/30/2026</w:t>
            </w:r>
          </w:p>
        </w:tc>
        <w:tc>
          <w:tcPr>
            <w:tcW w:w="722" w:type="pct"/>
            <w:vMerge w:val="restart"/>
            <w:shd w:val="clear" w:color="auto" w:fill="D9D9D9" w:themeFill="background1" w:themeFillShade="D9"/>
            <w:vAlign w:val="center"/>
          </w:tcPr>
          <w:p w14:paraId="601C3601" w14:textId="77777777" w:rsidR="005F2274" w:rsidRPr="005F2274" w:rsidRDefault="005F2274" w:rsidP="005F2274">
            <w:pPr>
              <w:cnfStyle w:val="000000000000" w:firstRow="0" w:lastRow="0" w:firstColumn="0" w:lastColumn="0" w:oddVBand="0" w:evenVBand="0" w:oddHBand="0" w:evenHBand="0" w:firstRowFirstColumn="0" w:firstRowLastColumn="0" w:lastRowFirstColumn="0" w:lastRowLastColumn="0"/>
              <w:rPr>
                <w:rFonts w:cs="Arial"/>
                <w:sz w:val="20"/>
                <w:szCs w:val="20"/>
              </w:rPr>
            </w:pPr>
            <w:r w:rsidRPr="005F2274">
              <w:rPr>
                <w:rFonts w:cs="Arial"/>
                <w:sz w:val="20"/>
                <w:szCs w:val="20"/>
              </w:rPr>
              <w:t>Nov 30</w:t>
            </w:r>
          </w:p>
        </w:tc>
        <w:tc>
          <w:tcPr>
            <w:tcW w:w="711" w:type="pct"/>
            <w:vMerge w:val="restart"/>
            <w:shd w:val="clear" w:color="auto" w:fill="D9D9D9" w:themeFill="background1" w:themeFillShade="D9"/>
            <w:vAlign w:val="center"/>
          </w:tcPr>
          <w:p w14:paraId="3550A612" w14:textId="77777777" w:rsidR="005F2274" w:rsidRPr="005F2274" w:rsidRDefault="005F2274" w:rsidP="005F2274">
            <w:pPr>
              <w:cnfStyle w:val="000000000000" w:firstRow="0" w:lastRow="0" w:firstColumn="0" w:lastColumn="0" w:oddVBand="0" w:evenVBand="0" w:oddHBand="0" w:evenHBand="0" w:firstRowFirstColumn="0" w:firstRowLastColumn="0" w:lastRowFirstColumn="0" w:lastRowLastColumn="0"/>
              <w:rPr>
                <w:rFonts w:cs="Arial"/>
                <w:sz w:val="20"/>
                <w:szCs w:val="20"/>
              </w:rPr>
            </w:pPr>
            <w:r w:rsidRPr="005F2274">
              <w:rPr>
                <w:rFonts w:cs="Arial"/>
                <w:sz w:val="20"/>
                <w:szCs w:val="20"/>
              </w:rPr>
              <w:t>Jan 12, 2027</w:t>
            </w:r>
          </w:p>
        </w:tc>
      </w:tr>
      <w:tr w:rsidR="005F2274" w:rsidRPr="005F2274" w14:paraId="0F5D1534" w14:textId="77777777" w:rsidTr="005F2274">
        <w:trPr>
          <w:cnfStyle w:val="000000100000" w:firstRow="0" w:lastRow="0" w:firstColumn="0" w:lastColumn="0" w:oddVBand="0" w:evenVBand="0" w:oddHBand="1"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747" w:type="pct"/>
            <w:vMerge/>
          </w:tcPr>
          <w:p w14:paraId="7E9A9638" w14:textId="77777777" w:rsidR="005F2274" w:rsidRPr="005F2274" w:rsidRDefault="005F2274" w:rsidP="00270B5A">
            <w:pPr>
              <w:rPr>
                <w:rFonts w:cs="Arial"/>
                <w:b w:val="0"/>
                <w:bCs w:val="0"/>
                <w:sz w:val="20"/>
                <w:szCs w:val="20"/>
              </w:rPr>
            </w:pPr>
          </w:p>
        </w:tc>
        <w:tc>
          <w:tcPr>
            <w:tcW w:w="748" w:type="pct"/>
            <w:vMerge/>
            <w:vAlign w:val="center"/>
          </w:tcPr>
          <w:p w14:paraId="0B81D80F" w14:textId="77777777" w:rsidR="005F2274" w:rsidRPr="005F2274" w:rsidRDefault="005F2274" w:rsidP="00270B5A">
            <w:pP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668" w:type="pct"/>
            <w:vMerge/>
            <w:vAlign w:val="center"/>
          </w:tcPr>
          <w:p w14:paraId="0F4A78B7" w14:textId="77777777" w:rsidR="005F2274" w:rsidRPr="005F2274" w:rsidRDefault="005F2274" w:rsidP="00270B5A">
            <w:pPr>
              <w:cnfStyle w:val="000000100000" w:firstRow="0" w:lastRow="0" w:firstColumn="0" w:lastColumn="0" w:oddVBand="0" w:evenVBand="0" w:oddHBand="1" w:evenHBand="0" w:firstRowFirstColumn="0" w:firstRowLastColumn="0" w:lastRowFirstColumn="0" w:lastRowLastColumn="0"/>
              <w:rPr>
                <w:rFonts w:cs="Arial"/>
                <w:b/>
                <w:bCs/>
                <w:color w:val="EE0000"/>
                <w:sz w:val="20"/>
                <w:szCs w:val="20"/>
              </w:rPr>
            </w:pPr>
          </w:p>
        </w:tc>
        <w:tc>
          <w:tcPr>
            <w:tcW w:w="1404" w:type="pct"/>
            <w:shd w:val="clear" w:color="auto" w:fill="D9D9D9" w:themeFill="background1" w:themeFillShade="D9"/>
            <w:vAlign w:val="center"/>
          </w:tcPr>
          <w:p w14:paraId="3705BFF9" w14:textId="77777777" w:rsidR="005F2274" w:rsidRPr="005F2274" w:rsidRDefault="005F2274" w:rsidP="00270B5A">
            <w:pPr>
              <w:pStyle w:val="TableParagraph"/>
              <w:ind w:left="0"/>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highlight w:val="yellow"/>
              </w:rPr>
            </w:pPr>
            <w:r w:rsidRPr="005F2274">
              <w:rPr>
                <w:rFonts w:ascii="Arial" w:hAnsi="Arial" w:cs="Arial"/>
                <w:b/>
                <w:bCs/>
                <w:sz w:val="20"/>
                <w:szCs w:val="20"/>
                <w:highlight w:val="yellow"/>
              </w:rPr>
              <w:t>More than 50 beds*:</w:t>
            </w:r>
          </w:p>
          <w:p w14:paraId="72A295D6" w14:textId="77777777" w:rsidR="005F2274" w:rsidRPr="005F2274" w:rsidRDefault="005F2274" w:rsidP="00270B5A">
            <w:pPr>
              <w:cnfStyle w:val="000000100000" w:firstRow="0" w:lastRow="0" w:firstColumn="0" w:lastColumn="0" w:oddVBand="0" w:evenVBand="0" w:oddHBand="1" w:evenHBand="0" w:firstRowFirstColumn="0" w:firstRowLastColumn="0" w:lastRowFirstColumn="0" w:lastRowLastColumn="0"/>
              <w:rPr>
                <w:rFonts w:cs="Arial"/>
                <w:sz w:val="20"/>
                <w:szCs w:val="20"/>
              </w:rPr>
            </w:pPr>
            <w:r w:rsidRPr="005F2274">
              <w:rPr>
                <w:rFonts w:cs="Arial"/>
                <w:sz w:val="20"/>
                <w:szCs w:val="20"/>
                <w:highlight w:val="yellow"/>
              </w:rPr>
              <w:t>07/01/2025 – 06/30/2026</w:t>
            </w:r>
          </w:p>
        </w:tc>
        <w:tc>
          <w:tcPr>
            <w:tcW w:w="722" w:type="pct"/>
            <w:vMerge/>
            <w:vAlign w:val="center"/>
          </w:tcPr>
          <w:p w14:paraId="625B1F89" w14:textId="77777777" w:rsidR="005F2274" w:rsidRPr="005F2274" w:rsidRDefault="005F2274" w:rsidP="00270B5A">
            <w:pP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711" w:type="pct"/>
            <w:vMerge/>
            <w:vAlign w:val="center"/>
          </w:tcPr>
          <w:p w14:paraId="5CD5C114" w14:textId="77777777" w:rsidR="005F2274" w:rsidRPr="005F2274" w:rsidRDefault="005F2274" w:rsidP="00270B5A">
            <w:pPr>
              <w:cnfStyle w:val="000000100000" w:firstRow="0" w:lastRow="0" w:firstColumn="0" w:lastColumn="0" w:oddVBand="0" w:evenVBand="0" w:oddHBand="1" w:evenHBand="0" w:firstRowFirstColumn="0" w:firstRowLastColumn="0" w:lastRowFirstColumn="0" w:lastRowLastColumn="0"/>
              <w:rPr>
                <w:rFonts w:cs="Arial"/>
                <w:sz w:val="20"/>
                <w:szCs w:val="20"/>
              </w:rPr>
            </w:pPr>
          </w:p>
        </w:tc>
      </w:tr>
    </w:tbl>
    <w:p w14:paraId="4C7E3262" w14:textId="77777777" w:rsidR="005F2274" w:rsidRDefault="005F2274" w:rsidP="005F2274">
      <w:bookmarkStart w:id="667" w:name="_Hlk35602646"/>
    </w:p>
    <w:p w14:paraId="010325D0" w14:textId="65216074" w:rsidR="005F2274" w:rsidRDefault="005F2274" w:rsidP="005F2274">
      <w:r w:rsidRPr="005F2274">
        <w:rPr>
          <w:highlight w:val="yellow"/>
        </w:rPr>
        <w:t>*Bed size reported via the 2025 NHSN Patient Safety Component - Annual Survey’s “Total Number of Beds Set Up and Staffed”</w:t>
      </w:r>
    </w:p>
    <w:p w14:paraId="074F1461" w14:textId="77777777" w:rsidR="005F2274" w:rsidRDefault="005F2274" w:rsidP="005F2274"/>
    <w:p w14:paraId="70CE5FB2" w14:textId="77777777" w:rsidR="005F2274" w:rsidRDefault="005F2274" w:rsidP="005F2274">
      <w:r>
        <w:rPr>
          <w:rFonts w:cs="Arial"/>
        </w:rPr>
        <w:t>**</w:t>
      </w:r>
      <w:r w:rsidRPr="00454CF7">
        <w:rPr>
          <w:rFonts w:cs="Arial"/>
        </w:rPr>
        <w:t>The Leapfrog Hospital Survey closes on November 30, 202</w:t>
      </w:r>
      <w:r>
        <w:rPr>
          <w:rFonts w:cs="Arial"/>
        </w:rPr>
        <w:t>6</w:t>
      </w:r>
      <w:r w:rsidRPr="00454CF7">
        <w:rPr>
          <w:rFonts w:cs="Arial"/>
        </w:rPr>
        <w:t>. The last NHSN data download is on December 1</w:t>
      </w:r>
      <w:r>
        <w:rPr>
          <w:rFonts w:cs="Arial"/>
        </w:rPr>
        <w:t>7</w:t>
      </w:r>
      <w:r w:rsidRPr="00454CF7">
        <w:rPr>
          <w:rFonts w:cs="Arial"/>
        </w:rPr>
        <w:t>, 202</w:t>
      </w:r>
      <w:r>
        <w:rPr>
          <w:rFonts w:cs="Arial"/>
        </w:rPr>
        <w:t>6</w:t>
      </w:r>
      <w:r w:rsidRPr="00454CF7">
        <w:rPr>
          <w:rFonts w:cs="Arial"/>
        </w:rPr>
        <w:t xml:space="preserve">, to incorporate any facilities and corrections from facilities that joined </w:t>
      </w:r>
      <w:r>
        <w:rPr>
          <w:rFonts w:cs="Arial"/>
        </w:rPr>
        <w:t>prior to this last download date.</w:t>
      </w:r>
      <w:bookmarkEnd w:id="667"/>
    </w:p>
    <w:p w14:paraId="3667C4B0" w14:textId="42958777" w:rsidR="006E672C" w:rsidRDefault="004F0511">
      <w:pPr>
        <w:rPr>
          <w:rFonts w:cs="Arial"/>
        </w:rPr>
      </w:pPr>
      <w:r w:rsidRPr="009A5185">
        <w:rPr>
          <w:rFonts w:cs="Arial"/>
        </w:rPr>
        <w:br w:type="page"/>
      </w:r>
      <w:bookmarkStart w:id="668" w:name="_Antibiotic_Stewardship_Practices"/>
      <w:bookmarkStart w:id="669" w:name="PUInjSpecs"/>
      <w:bookmarkEnd w:id="668"/>
    </w:p>
    <w:p w14:paraId="32C4F871" w14:textId="4A1A706B" w:rsidR="00A7567E" w:rsidRPr="00E01A15" w:rsidRDefault="00B078B4" w:rsidP="00CF5A6E">
      <w:pPr>
        <w:pStyle w:val="Heading2"/>
      </w:pPr>
      <w:bookmarkStart w:id="670" w:name="_Toc225877816"/>
      <w:bookmarkEnd w:id="664"/>
      <w:r>
        <w:t xml:space="preserve">Section 7A: </w:t>
      </w:r>
      <w:r w:rsidR="00A7567E" w:rsidRPr="009A5185">
        <w:t>Never Events Frequently Asked Questions (FAQs)</w:t>
      </w:r>
      <w:bookmarkEnd w:id="670"/>
    </w:p>
    <w:p w14:paraId="497BE6E2" w14:textId="77777777" w:rsidR="00A7567E" w:rsidRPr="009A5185" w:rsidRDefault="00A7567E" w:rsidP="00A7567E">
      <w:pPr>
        <w:rPr>
          <w:rFonts w:cs="Arial"/>
          <w:color w:val="000000"/>
        </w:rPr>
      </w:pPr>
    </w:p>
    <w:p w14:paraId="7897CA91" w14:textId="77777777" w:rsidR="00845865" w:rsidRPr="00845865" w:rsidRDefault="00845865" w:rsidP="00845865">
      <w:pPr>
        <w:numPr>
          <w:ilvl w:val="0"/>
          <w:numId w:val="21"/>
        </w:numPr>
        <w:rPr>
          <w:rFonts w:cs="Arial"/>
          <w:b/>
          <w:bCs/>
          <w:color w:val="000000"/>
        </w:rPr>
      </w:pPr>
      <w:r w:rsidRPr="00845865">
        <w:rPr>
          <w:rFonts w:cs="Arial"/>
          <w:b/>
          <w:bCs/>
          <w:color w:val="000000"/>
        </w:rPr>
        <w:t>The National Quality Forum released an updated Serious Reportable Events list in January 2026. Should our Never Events Policy refer to the 2011 Serious Reportable Events list, or the new 2025 Sentinel Events and Serious Reportable Events list?</w:t>
      </w:r>
    </w:p>
    <w:p w14:paraId="6DA7B795" w14:textId="2BF3ACBB" w:rsidR="00845865" w:rsidRDefault="00845865" w:rsidP="00845865">
      <w:pPr>
        <w:ind w:left="720"/>
        <w:rPr>
          <w:rFonts w:cs="Arial"/>
          <w:color w:val="000000"/>
        </w:rPr>
      </w:pPr>
      <w:r w:rsidRPr="00845865">
        <w:rPr>
          <w:rFonts w:cs="Arial"/>
          <w:color w:val="000000"/>
        </w:rPr>
        <w:t xml:space="preserve">To earn credit for these questions, hospitals must have a policy in place that addresses the National Quality Forum’s list of Serious Reportable Events (SREs). All references to “never event” or “serious reportable event” refer specifically to the National Quality Forum SRE list. For the 2026 Leapfrog Hospital Survey, hospitals may reference either the </w:t>
      </w:r>
      <w:hyperlink r:id="rId428" w:history="1">
        <w:r w:rsidRPr="00845865">
          <w:rPr>
            <w:rStyle w:val="Hyperlink"/>
            <w:rFonts w:cs="Arial"/>
          </w:rPr>
          <w:t>2011 Serious Reportable Events list</w:t>
        </w:r>
      </w:hyperlink>
      <w:r w:rsidRPr="00845865">
        <w:rPr>
          <w:rFonts w:cs="Arial"/>
          <w:color w:val="000000"/>
        </w:rPr>
        <w:t xml:space="preserve"> or the </w:t>
      </w:r>
      <w:hyperlink r:id="rId429" w:history="1">
        <w:r w:rsidRPr="00845865">
          <w:rPr>
            <w:rStyle w:val="Hyperlink"/>
            <w:rFonts w:cs="Arial"/>
          </w:rPr>
          <w:t>2025 Sentinel Events and Serious Reportable Events</w:t>
        </w:r>
      </w:hyperlink>
      <w:r w:rsidRPr="00845865">
        <w:rPr>
          <w:rFonts w:cs="Arial"/>
          <w:color w:val="000000"/>
        </w:rPr>
        <w:t xml:space="preserve">. Beginning with the 2027 Leapfrog Hospital Survey, only the </w:t>
      </w:r>
      <w:hyperlink r:id="rId430" w:history="1">
        <w:r w:rsidRPr="00845865">
          <w:rPr>
            <w:rStyle w:val="Hyperlink"/>
            <w:rFonts w:cs="Arial"/>
          </w:rPr>
          <w:t>2025 Sentinel Events and Serious Reportable Events</w:t>
        </w:r>
      </w:hyperlink>
      <w:r w:rsidRPr="00845865">
        <w:rPr>
          <w:rFonts w:cs="Arial"/>
          <w:color w:val="000000"/>
        </w:rPr>
        <w:t xml:space="preserve"> list will be accepted. Both SRE lists are available at </w:t>
      </w:r>
      <w:hyperlink r:id="rId431" w:history="1">
        <w:r w:rsidRPr="00845865">
          <w:rPr>
            <w:rStyle w:val="Hyperlink"/>
            <w:rFonts w:cs="Arial"/>
          </w:rPr>
          <w:t>https://www.qualityforum.org/en-us/key-initiatives/updating-the-serious-reportable-events-sre-list</w:t>
        </w:r>
      </w:hyperlink>
      <w:r w:rsidRPr="00845865">
        <w:rPr>
          <w:rFonts w:cs="Arial"/>
          <w:color w:val="000000"/>
        </w:rPr>
        <w:t>.</w:t>
      </w:r>
    </w:p>
    <w:p w14:paraId="0936420C" w14:textId="77777777" w:rsidR="00845865" w:rsidRPr="00845865" w:rsidRDefault="00845865" w:rsidP="00845865">
      <w:pPr>
        <w:ind w:left="720"/>
        <w:rPr>
          <w:rFonts w:cs="Arial"/>
          <w:color w:val="000000"/>
        </w:rPr>
      </w:pPr>
    </w:p>
    <w:p w14:paraId="31555228" w14:textId="064DB1B9" w:rsidR="00A7567E" w:rsidRPr="009A5185" w:rsidRDefault="00A7567E" w:rsidP="00AD309C">
      <w:pPr>
        <w:numPr>
          <w:ilvl w:val="0"/>
          <w:numId w:val="21"/>
        </w:numPr>
        <w:rPr>
          <w:rFonts w:cs="Arial"/>
          <w:color w:val="000000"/>
        </w:rPr>
      </w:pPr>
      <w:r w:rsidRPr="009A5185">
        <w:rPr>
          <w:rFonts w:cs="Arial"/>
          <w:b/>
          <w:bCs/>
          <w:color w:val="000000"/>
        </w:rPr>
        <w:t>When reporting Never Events, what “state reporting program for medical errors” applies in my state?</w:t>
      </w:r>
      <w:r w:rsidRPr="009A5185">
        <w:rPr>
          <w:rFonts w:cs="Arial"/>
          <w:b/>
          <w:bCs/>
          <w:color w:val="000000"/>
        </w:rPr>
        <w:br/>
      </w:r>
      <w:r w:rsidRPr="009A5185">
        <w:rPr>
          <w:rFonts w:cs="Arial"/>
          <w:bCs/>
          <w:color w:val="000000"/>
        </w:rPr>
        <w:t xml:space="preserve">Congress has passed legislation requiring all states to develop a reporting program for medical errors. </w:t>
      </w:r>
      <w:r w:rsidRPr="009A5185">
        <w:rPr>
          <w:rFonts w:cs="Arial"/>
          <w:color w:val="000000"/>
        </w:rPr>
        <w:t xml:space="preserve">At this time, many states have already enacted or adopted some requirement that hospitals report serious medical errors or similar adverse events to a state agency. Others are still implementing legislation or regulations that define that requirement. States that have developed programs may also define reportable events differently. </w:t>
      </w:r>
    </w:p>
    <w:p w14:paraId="313D8B25" w14:textId="77777777" w:rsidR="00A7567E" w:rsidRPr="009A5185" w:rsidRDefault="00A7567E" w:rsidP="00A7567E">
      <w:pPr>
        <w:ind w:left="720"/>
        <w:rPr>
          <w:rFonts w:cs="Arial"/>
          <w:color w:val="000000"/>
        </w:rPr>
      </w:pPr>
    </w:p>
    <w:p w14:paraId="210FD047" w14:textId="6BB97139" w:rsidR="00A7567E" w:rsidRPr="009A5185" w:rsidRDefault="00A7567E" w:rsidP="00AD309C">
      <w:pPr>
        <w:numPr>
          <w:ilvl w:val="0"/>
          <w:numId w:val="21"/>
        </w:numPr>
        <w:rPr>
          <w:rFonts w:cs="Arial"/>
          <w:color w:val="000000"/>
        </w:rPr>
      </w:pPr>
      <w:r w:rsidRPr="009A5185">
        <w:rPr>
          <w:rFonts w:cs="Arial"/>
          <w:b/>
          <w:bCs/>
          <w:color w:val="000000"/>
        </w:rPr>
        <w:t>What if there is no “state reporting program for medical errors” in my state? Do we still have to report Never Events to meet Leapfrog principles for this policy? To whom?</w:t>
      </w:r>
      <w:r w:rsidRPr="009A5185">
        <w:rPr>
          <w:rFonts w:cs="Arial"/>
          <w:b/>
          <w:bCs/>
          <w:color w:val="000000"/>
        </w:rPr>
        <w:br/>
      </w:r>
      <w:r w:rsidRPr="009A5185">
        <w:rPr>
          <w:rFonts w:cs="Arial"/>
          <w:bCs/>
          <w:color w:val="000000"/>
        </w:rPr>
        <w:t>Hospitals in states that do not have a state reporting program or requirement in effect can meet the reporting requirement of Leapfrog’s principles for implementation of a Never Events policy by reporting all Never Events voluntarily to The Joint Commission</w:t>
      </w:r>
      <w:r>
        <w:rPr>
          <w:rFonts w:cs="Arial"/>
          <w:bCs/>
          <w:color w:val="000000"/>
        </w:rPr>
        <w:t>,</w:t>
      </w:r>
      <w:r w:rsidRPr="009A5185">
        <w:rPr>
          <w:rFonts w:cs="Arial"/>
          <w:bCs/>
          <w:color w:val="000000"/>
        </w:rPr>
        <w:t xml:space="preserve"> </w:t>
      </w:r>
      <w:r>
        <w:rPr>
          <w:rFonts w:cs="Arial"/>
          <w:bCs/>
          <w:color w:val="000000"/>
        </w:rPr>
        <w:t xml:space="preserve">DNV GL Healthcare, </w:t>
      </w:r>
      <w:r w:rsidRPr="009A5185">
        <w:rPr>
          <w:rFonts w:cs="Arial"/>
          <w:bCs/>
          <w:color w:val="000000"/>
        </w:rPr>
        <w:t xml:space="preserve">or a Patient Safety Organization. </w:t>
      </w:r>
      <w:r w:rsidRPr="009A5185">
        <w:rPr>
          <w:rFonts w:cs="Arial"/>
          <w:bCs/>
          <w:color w:val="000000"/>
        </w:rPr>
        <w:br/>
      </w:r>
      <w:r w:rsidRPr="009A5185">
        <w:rPr>
          <w:rFonts w:cs="Arial"/>
          <w:bCs/>
          <w:color w:val="000000"/>
        </w:rPr>
        <w:br/>
        <w:t xml:space="preserve">If there is no state-required reporting program in effect, no available Patient Safety Organization to which your hospital can report, </w:t>
      </w:r>
      <w:r w:rsidRPr="009A5185">
        <w:rPr>
          <w:rFonts w:cs="Arial"/>
          <w:bCs/>
          <w:color w:val="000000"/>
          <w:u w:val="single"/>
        </w:rPr>
        <w:t>and</w:t>
      </w:r>
      <w:r w:rsidRPr="009A5185">
        <w:rPr>
          <w:rFonts w:cs="Arial"/>
          <w:bCs/>
          <w:color w:val="000000"/>
        </w:rPr>
        <w:t xml:space="preserve"> your hospital is not Joint Commission </w:t>
      </w:r>
      <w:r>
        <w:rPr>
          <w:rFonts w:cs="Arial"/>
          <w:bCs/>
          <w:color w:val="000000"/>
        </w:rPr>
        <w:t xml:space="preserve">or DNV GL Healthcare </w:t>
      </w:r>
      <w:r w:rsidRPr="009A5185">
        <w:rPr>
          <w:rFonts w:cs="Arial"/>
          <w:bCs/>
          <w:color w:val="000000"/>
        </w:rPr>
        <w:t xml:space="preserve">accredited, the Leapfrog requirement for reporting to an external agency is amended. Hospitals must report the </w:t>
      </w:r>
      <w:r w:rsidR="002B52E2" w:rsidRPr="009A5185">
        <w:rPr>
          <w:rFonts w:cs="Arial"/>
          <w:bCs/>
          <w:color w:val="000000"/>
        </w:rPr>
        <w:t>Never Event</w:t>
      </w:r>
      <w:r w:rsidRPr="009A5185">
        <w:rPr>
          <w:rFonts w:cs="Arial"/>
          <w:bCs/>
          <w:color w:val="000000"/>
        </w:rPr>
        <w:t xml:space="preserve"> to their governance board</w:t>
      </w:r>
      <w:r w:rsidR="005F7282">
        <w:rPr>
          <w:rFonts w:cs="Arial"/>
          <w:bCs/>
          <w:color w:val="000000"/>
        </w:rPr>
        <w:t xml:space="preserve"> a</w:t>
      </w:r>
      <w:r w:rsidRPr="009A5185">
        <w:rPr>
          <w:rFonts w:cs="Arial"/>
          <w:bCs/>
          <w:color w:val="000000"/>
        </w:rPr>
        <w:t xml:space="preserve">nd must still perform a root-cause analysis internally of each Never Event to meet Leapfrog’s principle for full implementation of its Never Events policy. </w:t>
      </w:r>
    </w:p>
    <w:p w14:paraId="76B5F25B" w14:textId="77777777" w:rsidR="00A7567E" w:rsidRPr="009A5185" w:rsidRDefault="00A7567E" w:rsidP="00A7567E">
      <w:pPr>
        <w:rPr>
          <w:rFonts w:cs="Arial"/>
          <w:color w:val="000000"/>
        </w:rPr>
      </w:pPr>
    </w:p>
    <w:p w14:paraId="3D1F8099" w14:textId="42598940" w:rsidR="00A7567E" w:rsidRPr="009A5185" w:rsidRDefault="00A7567E" w:rsidP="00AD309C">
      <w:pPr>
        <w:numPr>
          <w:ilvl w:val="0"/>
          <w:numId w:val="21"/>
        </w:numPr>
        <w:rPr>
          <w:rFonts w:cs="Arial"/>
          <w:color w:val="000000"/>
        </w:rPr>
      </w:pPr>
      <w:r w:rsidRPr="009A5185">
        <w:rPr>
          <w:rFonts w:cs="Arial"/>
          <w:b/>
          <w:bCs/>
          <w:color w:val="000000"/>
        </w:rPr>
        <w:t xml:space="preserve">The reportable adverse events defined by our state’s reporting program don’t include all </w:t>
      </w:r>
      <w:r w:rsidR="008E6024">
        <w:rPr>
          <w:rFonts w:cs="Arial"/>
          <w:b/>
          <w:bCs/>
          <w:color w:val="000000"/>
        </w:rPr>
        <w:t>2</w:t>
      </w:r>
      <w:r w:rsidR="00321597">
        <w:rPr>
          <w:rFonts w:cs="Arial"/>
          <w:b/>
          <w:bCs/>
          <w:color w:val="000000"/>
        </w:rPr>
        <w:t>9</w:t>
      </w:r>
      <w:r w:rsidRPr="009A5185">
        <w:rPr>
          <w:rFonts w:cs="Arial"/>
          <w:b/>
          <w:bCs/>
          <w:color w:val="000000"/>
        </w:rPr>
        <w:t xml:space="preserve"> Never Events endorsed by the National Quality Forum (NQF) and adopted in the Leapfrog policy. Will reporting </w:t>
      </w:r>
      <w:r w:rsidRPr="009A5185">
        <w:rPr>
          <w:rFonts w:cs="Arial"/>
          <w:b/>
          <w:bCs/>
          <w:color w:val="000000"/>
          <w:u w:val="single"/>
        </w:rPr>
        <w:t>only</w:t>
      </w:r>
      <w:r w:rsidRPr="009A5185">
        <w:rPr>
          <w:rFonts w:cs="Arial"/>
          <w:b/>
          <w:bCs/>
          <w:color w:val="000000"/>
        </w:rPr>
        <w:t xml:space="preserve"> the state-required reportable events to the state agency suffice for meeting Leapfrog’s requirement for reporting Never Events to an external agency? Does our hospital have to report other Never Events, as defined by NQF/Leapfrog, to that state agency even though not required by our state’s reporting program?</w:t>
      </w:r>
      <w:r w:rsidRPr="009A5185">
        <w:rPr>
          <w:rFonts w:cs="Arial"/>
          <w:b/>
          <w:bCs/>
          <w:color w:val="000000"/>
        </w:rPr>
        <w:br/>
      </w:r>
      <w:r w:rsidRPr="009A5185">
        <w:rPr>
          <w:rFonts w:cs="Arial"/>
          <w:bCs/>
          <w:color w:val="000000"/>
        </w:rPr>
        <w:t>Hospitals</w:t>
      </w:r>
      <w:r w:rsidRPr="009A5185">
        <w:rPr>
          <w:rFonts w:cs="Arial"/>
          <w:b/>
          <w:bCs/>
          <w:color w:val="000000"/>
        </w:rPr>
        <w:t xml:space="preserve"> </w:t>
      </w:r>
      <w:r w:rsidRPr="009A5185">
        <w:rPr>
          <w:rFonts w:cs="Arial"/>
          <w:bCs/>
          <w:color w:val="000000"/>
        </w:rPr>
        <w:t>should report all their state-required reportable events to the state agency. All other Never Events, as defined by NQF’s list of Serious Reportable Events,</w:t>
      </w:r>
      <w:r w:rsidR="00920051">
        <w:rPr>
          <w:rFonts w:cs="Arial"/>
          <w:bCs/>
          <w:color w:val="000000"/>
        </w:rPr>
        <w:t xml:space="preserve"> which</w:t>
      </w:r>
      <w:r w:rsidRPr="009A5185">
        <w:rPr>
          <w:rFonts w:cs="Arial"/>
          <w:bCs/>
          <w:color w:val="000000"/>
        </w:rPr>
        <w:t xml:space="preserve"> cannot be reported to the state agency, should be reported to another external agency (e.g., accreditor, Patient Safety Organization), if possible. If reporting those events to another external agency is not possible, the final option is to report those events to the hospital’s governance board.</w:t>
      </w:r>
    </w:p>
    <w:p w14:paraId="7C954B04" w14:textId="77777777" w:rsidR="00A7567E" w:rsidRPr="009A5185" w:rsidRDefault="00A7567E" w:rsidP="00A7567E">
      <w:pPr>
        <w:rPr>
          <w:rFonts w:cs="Arial"/>
          <w:color w:val="000000"/>
        </w:rPr>
      </w:pPr>
    </w:p>
    <w:p w14:paraId="066BC5B4" w14:textId="77777777" w:rsidR="00A7567E" w:rsidRPr="009A5185" w:rsidRDefault="00A7567E" w:rsidP="00AD309C">
      <w:pPr>
        <w:numPr>
          <w:ilvl w:val="0"/>
          <w:numId w:val="21"/>
        </w:numPr>
        <w:rPr>
          <w:rFonts w:cs="Arial"/>
          <w:b/>
          <w:bCs/>
          <w:color w:val="000000"/>
        </w:rPr>
      </w:pPr>
      <w:r w:rsidRPr="009A5185">
        <w:rPr>
          <w:rFonts w:cs="Arial"/>
          <w:b/>
          <w:color w:val="000000"/>
        </w:rPr>
        <w:t>Won’t Leapfrog’s request to have hospitals apologize to the patient put the hospital at risk for liability?</w:t>
      </w:r>
      <w:r w:rsidRPr="009A5185">
        <w:rPr>
          <w:rFonts w:cs="Arial"/>
          <w:b/>
          <w:color w:val="000000"/>
        </w:rPr>
        <w:br/>
      </w:r>
      <w:r w:rsidRPr="009A5185">
        <w:rPr>
          <w:rFonts w:cs="Arial"/>
          <w:color w:val="000000"/>
        </w:rPr>
        <w:t>Not necessarily. Research indicates that malpractice suits are often the result of a failure on the hospital’s part to communicate openly with the patient and apologize for its error. Patients feel the most anger when they perceive that no one is willing to take responsibility for the adverse event that has occurred. A sincere apology from the responsible hospital staff can help to heal the breach of trust between doctor/hospital and patient. (When Things Go Wrong: Responding to Adverse Events. Boston, 2006. Mass Coalition for the Prevention of Medical Errors)</w:t>
      </w:r>
    </w:p>
    <w:p w14:paraId="6F8C3792" w14:textId="77777777" w:rsidR="00A7567E" w:rsidRPr="009A5185" w:rsidRDefault="00A7567E" w:rsidP="00A7567E">
      <w:pPr>
        <w:rPr>
          <w:rFonts w:cs="Arial"/>
          <w:b/>
          <w:bCs/>
          <w:color w:val="000000"/>
        </w:rPr>
      </w:pPr>
    </w:p>
    <w:p w14:paraId="713CCA2E" w14:textId="00BB9E83" w:rsidR="00A7567E" w:rsidRPr="009A5185" w:rsidRDefault="00A7567E" w:rsidP="00AD309C">
      <w:pPr>
        <w:numPr>
          <w:ilvl w:val="0"/>
          <w:numId w:val="21"/>
        </w:numPr>
        <w:rPr>
          <w:rFonts w:cs="Arial"/>
          <w:bCs/>
          <w:color w:val="000000"/>
        </w:rPr>
      </w:pPr>
      <w:r w:rsidRPr="009A5185">
        <w:rPr>
          <w:rFonts w:cs="Arial"/>
          <w:b/>
          <w:bCs/>
          <w:color w:val="000000"/>
        </w:rPr>
        <w:t>How do</w:t>
      </w:r>
      <w:r>
        <w:rPr>
          <w:rFonts w:cs="Arial"/>
          <w:b/>
          <w:bCs/>
          <w:color w:val="000000"/>
        </w:rPr>
        <w:t>es Leapfrog define “waive cost?”</w:t>
      </w:r>
      <w:r w:rsidRPr="009A5185">
        <w:rPr>
          <w:rFonts w:cs="Arial"/>
          <w:b/>
          <w:bCs/>
          <w:color w:val="000000"/>
        </w:rPr>
        <w:br/>
      </w:r>
      <w:r w:rsidRPr="009A5185">
        <w:rPr>
          <w:rFonts w:cs="Arial"/>
          <w:bCs/>
          <w:color w:val="000000"/>
        </w:rPr>
        <w:t>At its core, Leapfrog’s approach to never events is about improving patient care. While the policy asks hospitals to refrain from billing either the patient or a third</w:t>
      </w:r>
      <w:r>
        <w:rPr>
          <w:rFonts w:cs="Arial"/>
          <w:bCs/>
          <w:color w:val="000000"/>
        </w:rPr>
        <w:t>-</w:t>
      </w:r>
      <w:r w:rsidRPr="009A5185">
        <w:rPr>
          <w:rFonts w:cs="Arial"/>
          <w:bCs/>
          <w:color w:val="000000"/>
        </w:rPr>
        <w:t>party payer, such as a health plan or employer company, for any costs directly related to a serious reportable adverse event, Leapfrog understands that, due to the wide array of circumstances surrounding never events, specific details of what constitutes “waiving cost” should be handled on a case-by-case basis by the parties involved.</w:t>
      </w:r>
      <w:r>
        <w:rPr>
          <w:rFonts w:cs="Arial"/>
          <w:bCs/>
          <w:color w:val="000000"/>
        </w:rPr>
        <w:t xml:space="preserve"> For an example, please see “</w:t>
      </w:r>
      <w:hyperlink r:id="rId432" w:history="1">
        <w:r w:rsidRPr="0029328C">
          <w:rPr>
            <w:rStyle w:val="Hyperlink"/>
            <w:rFonts w:cs="Arial"/>
            <w:bCs/>
          </w:rPr>
          <w:t>Lessons learned from implementing a principled approach to resolution following patient harm</w:t>
        </w:r>
      </w:hyperlink>
      <w:r>
        <w:rPr>
          <w:rFonts w:cs="Arial"/>
          <w:bCs/>
          <w:color w:val="000000"/>
        </w:rPr>
        <w:t>” by Smith et. al.</w:t>
      </w:r>
    </w:p>
    <w:p w14:paraId="49402B99" w14:textId="77777777" w:rsidR="00A7567E" w:rsidRPr="009A5185" w:rsidRDefault="00A7567E" w:rsidP="00A7567E">
      <w:pPr>
        <w:pStyle w:val="ListParagraph"/>
        <w:rPr>
          <w:rFonts w:cs="Arial"/>
          <w:bCs/>
          <w:color w:val="000000"/>
        </w:rPr>
      </w:pPr>
    </w:p>
    <w:p w14:paraId="3DD559AF" w14:textId="77777777" w:rsidR="00A7567E" w:rsidRPr="009A5185" w:rsidRDefault="00A7567E" w:rsidP="00AD309C">
      <w:pPr>
        <w:numPr>
          <w:ilvl w:val="0"/>
          <w:numId w:val="21"/>
        </w:numPr>
        <w:rPr>
          <w:rFonts w:cs="Arial"/>
          <w:bCs/>
          <w:color w:val="000000"/>
        </w:rPr>
      </w:pPr>
      <w:r w:rsidRPr="009A5185">
        <w:rPr>
          <w:rFonts w:cs="Arial"/>
          <w:b/>
          <w:bCs/>
          <w:color w:val="000000"/>
        </w:rPr>
        <w:t>Does Leapfrog recommend any resources for hospitals looking to adhere to Leapfrog’s Never Events principles?</w:t>
      </w:r>
    </w:p>
    <w:p w14:paraId="3CDE64E4" w14:textId="5FC80C35" w:rsidR="00A7567E" w:rsidRPr="009A5185" w:rsidRDefault="00A7567E" w:rsidP="00A7567E">
      <w:pPr>
        <w:ind w:left="720"/>
        <w:rPr>
          <w:rFonts w:cs="Arial"/>
          <w:bCs/>
          <w:color w:val="000000"/>
        </w:rPr>
      </w:pPr>
      <w:r w:rsidRPr="009A5185">
        <w:rPr>
          <w:rFonts w:cs="Arial"/>
          <w:bCs/>
          <w:color w:val="000000"/>
        </w:rPr>
        <w:t xml:space="preserve">Yes, the Agency for Healthcare Research and Quality (AHRQ) has developed and tested the </w:t>
      </w:r>
      <w:hyperlink r:id="rId433" w:history="1">
        <w:r w:rsidRPr="009A5185">
          <w:rPr>
            <w:rStyle w:val="Hyperlink"/>
            <w:rFonts w:cs="Arial"/>
            <w:bCs/>
          </w:rPr>
          <w:t>Communication and Optimal Resolution (CANDOR) Toolkit</w:t>
        </w:r>
      </w:hyperlink>
      <w:r w:rsidRPr="009A5185">
        <w:rPr>
          <w:rFonts w:cs="Arial"/>
          <w:bCs/>
          <w:color w:val="000000"/>
        </w:rPr>
        <w:t xml:space="preserve">, which outlines a process for hospitals and practitioners to respond to unexpected events in a timely, thorough, and just way. The National Patient Safety Foundation (NPSF) has issued a report titled </w:t>
      </w:r>
      <w:hyperlink r:id="rId434" w:history="1">
        <w:r w:rsidRPr="009A5185">
          <w:rPr>
            <w:rStyle w:val="Hyperlink"/>
            <w:rFonts w:cs="Arial"/>
            <w:bCs/>
          </w:rPr>
          <w:t>RCA</w:t>
        </w:r>
        <w:r w:rsidRPr="009A5185">
          <w:rPr>
            <w:rStyle w:val="Hyperlink"/>
            <w:rFonts w:cs="Arial"/>
            <w:bCs/>
            <w:vertAlign w:val="superscript"/>
          </w:rPr>
          <w:t>2</w:t>
        </w:r>
        <w:r w:rsidRPr="009A5185">
          <w:rPr>
            <w:rStyle w:val="Hyperlink"/>
            <w:rFonts w:cs="Arial"/>
            <w:bCs/>
          </w:rPr>
          <w:t>: Improving Root Cause Analyses and Actions to Prevent Harm</w:t>
        </w:r>
      </w:hyperlink>
      <w:r w:rsidRPr="009A5185">
        <w:rPr>
          <w:rFonts w:cs="Arial"/>
          <w:bCs/>
          <w:color w:val="000000"/>
        </w:rPr>
        <w:t xml:space="preserve">, which examines best practices and provides guidelines to help standardize and improve Root Cause Analysis. In addition, hospitals can download tips and tools for interviewing patients and families for the Root Cause Analysis on the </w:t>
      </w:r>
      <w:hyperlink r:id="rId435" w:history="1">
        <w:r w:rsidRPr="009A5185">
          <w:rPr>
            <w:rStyle w:val="Hyperlink"/>
            <w:rFonts w:cs="Arial"/>
            <w:bCs/>
          </w:rPr>
          <w:t>Survey and CPOE Materials webpage</w:t>
        </w:r>
      </w:hyperlink>
      <w:r w:rsidRPr="009A5185">
        <w:rPr>
          <w:rFonts w:cs="Arial"/>
          <w:bCs/>
          <w:color w:val="000000"/>
        </w:rPr>
        <w:t xml:space="preserve">. </w:t>
      </w:r>
      <w:r w:rsidRPr="009A5185">
        <w:rPr>
          <w:rFonts w:cs="Arial"/>
          <w:bCs/>
          <w:color w:val="000000"/>
        </w:rPr>
        <w:br/>
      </w:r>
    </w:p>
    <w:p w14:paraId="3AD16242" w14:textId="77777777" w:rsidR="00A7567E" w:rsidRPr="009A5185" w:rsidRDefault="00A7567E" w:rsidP="00A7567E">
      <w:pPr>
        <w:rPr>
          <w:rFonts w:cs="Arial"/>
          <w:lang w:eastAsia="ja-JP"/>
        </w:rPr>
      </w:pPr>
    </w:p>
    <w:p w14:paraId="45F16024" w14:textId="77777777" w:rsidR="00EE3221" w:rsidRPr="009A5185" w:rsidRDefault="00EE3221" w:rsidP="0002601E"/>
    <w:bookmarkEnd w:id="658"/>
    <w:bookmarkEnd w:id="669"/>
    <w:p w14:paraId="7B1BA1C3" w14:textId="77777777" w:rsidR="00A7567E" w:rsidRDefault="00A7567E">
      <w:pPr>
        <w:rPr>
          <w:b/>
          <w:bCs/>
          <w:i/>
          <w:iCs/>
          <w:snapToGrid w:val="0"/>
          <w:sz w:val="40"/>
          <w:szCs w:val="40"/>
          <w:lang w:eastAsia="ja-JP"/>
        </w:rPr>
      </w:pPr>
      <w:r>
        <w:br w:type="page"/>
      </w:r>
    </w:p>
    <w:p w14:paraId="1CDC6822" w14:textId="77777777" w:rsidR="00A7567E" w:rsidRDefault="00A7567E" w:rsidP="0002601E"/>
    <w:p w14:paraId="23EAAA90" w14:textId="1E4EAE6C" w:rsidR="00920EF6" w:rsidRPr="009A5185" w:rsidRDefault="006770C2" w:rsidP="000B6BA4">
      <w:pPr>
        <w:pStyle w:val="SectionHeader"/>
        <w:sectPr w:rsidR="00920EF6" w:rsidRPr="009A5185" w:rsidSect="00062F69">
          <w:headerReference w:type="default" r:id="rId436"/>
          <w:endnotePr>
            <w:numFmt w:val="decimal"/>
          </w:endnotePr>
          <w:type w:val="continuous"/>
          <w:pgSz w:w="12240" w:h="15840"/>
          <w:pgMar w:top="1080" w:right="1440" w:bottom="1080" w:left="1440" w:header="720" w:footer="720" w:gutter="0"/>
          <w:cols w:space="720"/>
          <w:docGrid w:linePitch="272"/>
        </w:sectPr>
      </w:pPr>
      <w:bookmarkStart w:id="671" w:name="_Toc225877817"/>
      <w:r w:rsidRPr="009A5185">
        <w:t>Page Intentionally Left Blank</w:t>
      </w:r>
      <w:bookmarkEnd w:id="671"/>
    </w:p>
    <w:p w14:paraId="7738834B" w14:textId="77777777" w:rsidR="006770C2" w:rsidRPr="009A5185" w:rsidRDefault="006770C2" w:rsidP="0002601E"/>
    <w:p w14:paraId="1C9744F6" w14:textId="77777777" w:rsidR="000B6BA4" w:rsidRDefault="000B6BA4">
      <w:pPr>
        <w:rPr>
          <w:b/>
          <w:bCs/>
          <w:i/>
          <w:iCs/>
          <w:snapToGrid w:val="0"/>
          <w:sz w:val="40"/>
          <w:szCs w:val="40"/>
          <w:lang w:eastAsia="ja-JP"/>
        </w:rPr>
      </w:pPr>
      <w:bookmarkStart w:id="672" w:name="Sect9"/>
      <w:bookmarkStart w:id="673" w:name="PedCare"/>
      <w:r>
        <w:br w:type="page"/>
      </w:r>
    </w:p>
    <w:p w14:paraId="3A2C38C5" w14:textId="77777777" w:rsidR="000B6BA4" w:rsidRDefault="000B6BA4" w:rsidP="0002601E"/>
    <w:p w14:paraId="7295EB9A" w14:textId="77777777" w:rsidR="000B6BA4" w:rsidRDefault="000B6BA4" w:rsidP="0002601E"/>
    <w:p w14:paraId="4D6B89C6" w14:textId="77777777" w:rsidR="000B6BA4" w:rsidRDefault="000B6BA4" w:rsidP="0002601E"/>
    <w:p w14:paraId="30F65652" w14:textId="77777777" w:rsidR="000B6BA4" w:rsidRDefault="000B6BA4" w:rsidP="0002601E"/>
    <w:p w14:paraId="27493032" w14:textId="77777777" w:rsidR="000B6BA4" w:rsidRDefault="000B6BA4" w:rsidP="0002601E"/>
    <w:p w14:paraId="268D29DE" w14:textId="77777777" w:rsidR="000B6BA4" w:rsidRDefault="000B6BA4" w:rsidP="0002601E"/>
    <w:p w14:paraId="618F1C35" w14:textId="77777777" w:rsidR="000B6BA4" w:rsidRDefault="000B6BA4" w:rsidP="0002601E"/>
    <w:p w14:paraId="3049FD0B" w14:textId="77777777" w:rsidR="000B6BA4" w:rsidRDefault="000B6BA4" w:rsidP="0002601E"/>
    <w:p w14:paraId="60238E55" w14:textId="77777777" w:rsidR="000B6BA4" w:rsidRDefault="000B6BA4" w:rsidP="0002601E"/>
    <w:p w14:paraId="256CCD02" w14:textId="00CD93FD" w:rsidR="000B6BA4" w:rsidRDefault="000B6BA4" w:rsidP="000B6BA4"/>
    <w:p w14:paraId="69B30462" w14:textId="6B0C3287" w:rsidR="000B6BA4" w:rsidRDefault="000B6BA4" w:rsidP="000B6BA4"/>
    <w:p w14:paraId="4DFB62B2" w14:textId="40063808" w:rsidR="000B6BA4" w:rsidRDefault="000B6BA4" w:rsidP="000B6BA4"/>
    <w:p w14:paraId="49A05DED" w14:textId="1282183B" w:rsidR="000B6BA4" w:rsidRDefault="000B6BA4" w:rsidP="000B6BA4"/>
    <w:p w14:paraId="23E85A24" w14:textId="2C09451A" w:rsidR="000B6BA4" w:rsidRDefault="000B6BA4" w:rsidP="000B6BA4"/>
    <w:p w14:paraId="7AACD35A" w14:textId="0CC25CF8" w:rsidR="000B6BA4" w:rsidRDefault="000B6BA4" w:rsidP="000B6BA4"/>
    <w:p w14:paraId="17753DA9" w14:textId="513E3771" w:rsidR="000B6BA4" w:rsidRDefault="000B6BA4" w:rsidP="000B6BA4"/>
    <w:p w14:paraId="5AE1C5E9" w14:textId="77777777" w:rsidR="000B6BA4" w:rsidRDefault="000B6BA4" w:rsidP="0002601E"/>
    <w:p w14:paraId="7AAE206A" w14:textId="77777777" w:rsidR="00082F78" w:rsidRDefault="00082F78" w:rsidP="0002601E"/>
    <w:p w14:paraId="3711F609" w14:textId="77777777" w:rsidR="00082F78" w:rsidRDefault="00082F78" w:rsidP="0002601E"/>
    <w:p w14:paraId="4E11DC9D" w14:textId="1E7B3883" w:rsidR="00275C5C" w:rsidRPr="009A5185" w:rsidRDefault="0051125F" w:rsidP="00D32C75">
      <w:pPr>
        <w:pStyle w:val="SectionHeader"/>
      </w:pPr>
      <w:bookmarkStart w:id="674" w:name="_Toc225877818"/>
      <w:r w:rsidRPr="009A5185">
        <w:t xml:space="preserve">SECTION </w:t>
      </w:r>
      <w:r w:rsidR="0012772F">
        <w:t>8</w:t>
      </w:r>
      <w:r w:rsidRPr="009A5185">
        <w:t xml:space="preserve">: </w:t>
      </w:r>
      <w:r w:rsidR="00062434" w:rsidRPr="009A5185">
        <w:t>PEDIATRIC CARE</w:t>
      </w:r>
      <w:bookmarkEnd w:id="674"/>
    </w:p>
    <w:bookmarkEnd w:id="672"/>
    <w:bookmarkEnd w:id="673"/>
    <w:p w14:paraId="1E49635B" w14:textId="77777777" w:rsidR="004B7F4F" w:rsidRPr="009A5185" w:rsidRDefault="004B7F4F" w:rsidP="0002601E"/>
    <w:p w14:paraId="00755841" w14:textId="58196C86" w:rsidR="004B7F4F" w:rsidRPr="009A5185" w:rsidRDefault="004B7F4F" w:rsidP="004B7F4F">
      <w:pPr>
        <w:rPr>
          <w:rFonts w:cs="Arial"/>
        </w:rPr>
      </w:pPr>
      <w:r w:rsidRPr="009A5185">
        <w:rPr>
          <w:rFonts w:cs="Arial"/>
        </w:rPr>
        <w:t xml:space="preserve">This section includes questions and reference information for Section </w:t>
      </w:r>
      <w:r w:rsidR="0012772F">
        <w:rPr>
          <w:rFonts w:cs="Arial"/>
        </w:rPr>
        <w:t>8</w:t>
      </w:r>
      <w:r w:rsidR="004A4FD0" w:rsidRPr="009A5185">
        <w:rPr>
          <w:rFonts w:cs="Arial"/>
        </w:rPr>
        <w:t>:</w:t>
      </w:r>
      <w:r w:rsidRPr="009A5185">
        <w:rPr>
          <w:rFonts w:cs="Arial"/>
        </w:rPr>
        <w:t xml:space="preserve"> </w:t>
      </w:r>
      <w:r w:rsidR="00062434" w:rsidRPr="009A5185">
        <w:rPr>
          <w:rFonts w:cs="Arial"/>
        </w:rPr>
        <w:t>Pediatric Care</w:t>
      </w:r>
      <w:r w:rsidRPr="009A5185">
        <w:rPr>
          <w:rFonts w:cs="Arial"/>
        </w:rPr>
        <w:t xml:space="preserve">. Please carefully review the questions, </w:t>
      </w:r>
      <w:r w:rsidR="00B94757" w:rsidRPr="009A5185">
        <w:rPr>
          <w:rFonts w:cs="Arial"/>
        </w:rPr>
        <w:t>endnotes</w:t>
      </w:r>
      <w:r w:rsidRPr="009A5185">
        <w:rPr>
          <w:rFonts w:cs="Arial"/>
        </w:rPr>
        <w:t>, and reference information (e.g.</w:t>
      </w:r>
      <w:r w:rsidR="001D41B0" w:rsidRPr="009A5185">
        <w:rPr>
          <w:rFonts w:cs="Arial"/>
        </w:rPr>
        <w:t>,</w:t>
      </w:r>
      <w:r w:rsidRPr="009A5185">
        <w:rPr>
          <w:rFonts w:cs="Arial"/>
        </w:rPr>
        <w:t xml:space="preserve"> measure specifications, notes, and frequen</w:t>
      </w:r>
      <w:r w:rsidR="00EC191D" w:rsidRPr="009A5185">
        <w:rPr>
          <w:rFonts w:cs="Arial"/>
        </w:rPr>
        <w:t>tl</w:t>
      </w:r>
      <w:r w:rsidRPr="009A5185">
        <w:rPr>
          <w:rFonts w:cs="Arial"/>
        </w:rPr>
        <w:t xml:space="preserve">y asked questions) before you begin. Failure to review the reference information could result in inaccurate responses. </w:t>
      </w:r>
    </w:p>
    <w:p w14:paraId="30C75FF3" w14:textId="77777777" w:rsidR="004B7F4F" w:rsidRPr="009A5185" w:rsidRDefault="004B7F4F" w:rsidP="0002601E"/>
    <w:p w14:paraId="6BB8B8CE" w14:textId="77777777" w:rsidR="007F3F62" w:rsidRPr="009A5185" w:rsidRDefault="007F3F62">
      <w:pPr>
        <w:rPr>
          <w:rFonts w:cs="Arial"/>
        </w:rPr>
      </w:pPr>
      <w:r w:rsidRPr="009A5185">
        <w:rPr>
          <w:rFonts w:cs="Arial"/>
        </w:rPr>
        <w:br w:type="page"/>
      </w:r>
    </w:p>
    <w:p w14:paraId="28969FC6" w14:textId="324A37F8" w:rsidR="008910AA" w:rsidRPr="009A5185" w:rsidRDefault="008910AA" w:rsidP="00CF5A6E">
      <w:pPr>
        <w:pStyle w:val="Heading2"/>
      </w:pPr>
      <w:bookmarkStart w:id="675" w:name="_Section_8:_Pediatric"/>
      <w:bookmarkStart w:id="676" w:name="_Toc225877819"/>
      <w:bookmarkEnd w:id="675"/>
      <w:r w:rsidRPr="009A5185">
        <w:t xml:space="preserve">Section </w:t>
      </w:r>
      <w:r w:rsidR="0012772F">
        <w:t>8</w:t>
      </w:r>
      <w:r w:rsidR="002E05B5" w:rsidRPr="009A5185">
        <w:t xml:space="preserve">: </w:t>
      </w:r>
      <w:r w:rsidR="00FF6E8B" w:rsidRPr="009A5185">
        <w:t>Pediatric Care</w:t>
      </w:r>
      <w:bookmarkEnd w:id="676"/>
    </w:p>
    <w:p w14:paraId="357C4493" w14:textId="77777777" w:rsidR="008910AA" w:rsidRPr="009A5185" w:rsidRDefault="008910AA">
      <w:pPr>
        <w:pStyle w:val="BodyText3"/>
        <w:rPr>
          <w:rFonts w:cs="Arial"/>
          <w:highlight w:val="yellow"/>
        </w:rPr>
      </w:pPr>
    </w:p>
    <w:p w14:paraId="34D11CE4" w14:textId="7802B2D4" w:rsidR="00BF68ED" w:rsidRDefault="007370E8" w:rsidP="00BF68ED">
      <w:r w:rsidRPr="009A5185">
        <w:rPr>
          <w:rFonts w:cs="Arial"/>
          <w:b/>
        </w:rPr>
        <w:t>Pediatric Care Fact Sheet:</w:t>
      </w:r>
      <w:r w:rsidRPr="009A5185">
        <w:rPr>
          <w:rFonts w:cs="Arial"/>
        </w:rPr>
        <w:t xml:space="preserve"> </w:t>
      </w:r>
      <w:hyperlink r:id="rId437" w:history="1">
        <w:r w:rsidR="00183977" w:rsidRPr="00A2752F">
          <w:rPr>
            <w:rStyle w:val="Hyperlink"/>
          </w:rPr>
          <w:t>https://ratings.leapfroggroup.org/measure/hospital/2026/pediatric-care</w:t>
        </w:r>
      </w:hyperlink>
    </w:p>
    <w:p w14:paraId="3B1EAEBE" w14:textId="77777777" w:rsidR="00832DF8" w:rsidRDefault="00832DF8" w:rsidP="00BF68ED">
      <w:pPr>
        <w:rPr>
          <w:rFonts w:cs="Arial"/>
          <w:b/>
          <w:color w:val="FF0000"/>
        </w:rPr>
      </w:pPr>
    </w:p>
    <w:p w14:paraId="1E7FD125" w14:textId="2297E0C8" w:rsidR="00EA251E" w:rsidRDefault="00EA251E" w:rsidP="00EA251E">
      <w:pPr>
        <w:pStyle w:val="BodyText3"/>
        <w:rPr>
          <w:rFonts w:cs="Arial"/>
          <w:b/>
          <w:color w:val="FF0000"/>
        </w:rPr>
      </w:pPr>
      <w:r>
        <w:rPr>
          <w:rFonts w:cs="Arial"/>
          <w:b/>
          <w:color w:val="FF0000"/>
        </w:rPr>
        <w:t xml:space="preserve">Section 8 is </w:t>
      </w:r>
      <w:r w:rsidR="00C93E4F">
        <w:rPr>
          <w:rFonts w:cs="Arial"/>
          <w:b/>
          <w:color w:val="FF0000"/>
        </w:rPr>
        <w:t xml:space="preserve">applicable to all hospitals but </w:t>
      </w:r>
      <w:r w:rsidR="00EE1FC8">
        <w:rPr>
          <w:rFonts w:cs="Arial"/>
          <w:b/>
          <w:color w:val="FF0000"/>
        </w:rPr>
        <w:t xml:space="preserve">is </w:t>
      </w:r>
      <w:r w:rsidR="00FC2A08">
        <w:rPr>
          <w:rFonts w:cs="Arial"/>
          <w:b/>
          <w:color w:val="FF0000"/>
        </w:rPr>
        <w:t xml:space="preserve">a </w:t>
      </w:r>
      <w:r w:rsidR="00EE1FC8">
        <w:rPr>
          <w:rFonts w:cs="Arial"/>
          <w:b/>
          <w:color w:val="FF0000"/>
        </w:rPr>
        <w:t>required</w:t>
      </w:r>
      <w:r>
        <w:rPr>
          <w:rFonts w:cs="Arial"/>
          <w:b/>
          <w:color w:val="FF0000"/>
        </w:rPr>
        <w:t xml:space="preserve"> </w:t>
      </w:r>
      <w:r w:rsidR="00FC2A08">
        <w:rPr>
          <w:rFonts w:cs="Arial"/>
          <w:b/>
          <w:color w:val="FF0000"/>
        </w:rPr>
        <w:t xml:space="preserve">section for Survey submission </w:t>
      </w:r>
      <w:r>
        <w:rPr>
          <w:rFonts w:cs="Arial"/>
          <w:b/>
          <w:color w:val="FF0000"/>
        </w:rPr>
        <w:t>for pediatric hospitals ONLY.</w:t>
      </w:r>
    </w:p>
    <w:p w14:paraId="5BD69988" w14:textId="77777777" w:rsidR="00EA251E" w:rsidRDefault="00EA251E" w:rsidP="0028154C">
      <w:pPr>
        <w:pStyle w:val="BodyText3"/>
        <w:rPr>
          <w:rFonts w:cs="Arial"/>
          <w:b/>
          <w:color w:val="FF0000"/>
        </w:rPr>
      </w:pPr>
    </w:p>
    <w:p w14:paraId="7B5F867A" w14:textId="04B2D65E" w:rsidR="00230976" w:rsidRDefault="00DD3C3C" w:rsidP="0028154C">
      <w:pPr>
        <w:pStyle w:val="BodyText3"/>
        <w:rPr>
          <w:rFonts w:cs="Arial"/>
          <w:b/>
          <w:color w:val="FF0000"/>
        </w:rPr>
      </w:pPr>
      <w:r w:rsidRPr="00DD3C3C">
        <w:rPr>
          <w:rFonts w:cs="Arial"/>
          <w:b/>
          <w:color w:val="FF0000"/>
        </w:rPr>
        <w:t xml:space="preserve">Hospitals that do not care for </w:t>
      </w:r>
      <w:r w:rsidR="005A677E">
        <w:rPr>
          <w:rFonts w:cs="Arial"/>
          <w:b/>
          <w:color w:val="FF0000"/>
        </w:rPr>
        <w:t xml:space="preserve">(or perform CT scans on) </w:t>
      </w:r>
      <w:r w:rsidR="00230976" w:rsidRPr="00DD3C3C">
        <w:rPr>
          <w:rFonts w:cs="Arial"/>
          <w:b/>
          <w:color w:val="FF0000"/>
        </w:rPr>
        <w:t>patients 17 years of age or younger</w:t>
      </w:r>
      <w:r w:rsidR="005A677E">
        <w:rPr>
          <w:rFonts w:cs="Arial"/>
          <w:b/>
          <w:color w:val="FF0000"/>
        </w:rPr>
        <w:t xml:space="preserve"> </w:t>
      </w:r>
      <w:r w:rsidRPr="00DD3C3C">
        <w:rPr>
          <w:rFonts w:cs="Arial"/>
          <w:b/>
          <w:color w:val="FF0000"/>
        </w:rPr>
        <w:t xml:space="preserve">should respond </w:t>
      </w:r>
      <w:r w:rsidR="00310226">
        <w:rPr>
          <w:rFonts w:cs="Arial"/>
          <w:b/>
          <w:color w:val="FF0000"/>
        </w:rPr>
        <w:t>“</w:t>
      </w:r>
      <w:r w:rsidRPr="00DD3C3C">
        <w:rPr>
          <w:rFonts w:cs="Arial"/>
          <w:b/>
          <w:color w:val="FF0000"/>
        </w:rPr>
        <w:t>no</w:t>
      </w:r>
      <w:r w:rsidR="00310226">
        <w:rPr>
          <w:rFonts w:cs="Arial"/>
          <w:b/>
          <w:color w:val="FF0000"/>
        </w:rPr>
        <w:t>”</w:t>
      </w:r>
      <w:r w:rsidRPr="00DD3C3C">
        <w:rPr>
          <w:rFonts w:cs="Arial"/>
          <w:b/>
          <w:color w:val="FF0000"/>
        </w:rPr>
        <w:t xml:space="preserve"> to question #2 in </w:t>
      </w:r>
      <w:r w:rsidR="0012772F">
        <w:rPr>
          <w:rFonts w:cs="Arial"/>
          <w:b/>
          <w:color w:val="FF0000"/>
        </w:rPr>
        <w:t>8</w:t>
      </w:r>
      <w:r w:rsidRPr="00DD3C3C">
        <w:rPr>
          <w:rFonts w:cs="Arial"/>
          <w:b/>
          <w:color w:val="FF0000"/>
        </w:rPr>
        <w:t xml:space="preserve">A and </w:t>
      </w:r>
      <w:r w:rsidR="0012772F">
        <w:rPr>
          <w:rFonts w:cs="Arial"/>
          <w:b/>
          <w:color w:val="FF0000"/>
        </w:rPr>
        <w:t>8</w:t>
      </w:r>
      <w:r w:rsidRPr="00DD3C3C">
        <w:rPr>
          <w:rFonts w:cs="Arial"/>
          <w:b/>
          <w:color w:val="FF0000"/>
        </w:rPr>
        <w:t>B and move on to the Affirmation of Accuracy</w:t>
      </w:r>
      <w:r w:rsidR="00230976" w:rsidRPr="00DD3C3C">
        <w:rPr>
          <w:rFonts w:cs="Arial"/>
          <w:b/>
          <w:color w:val="FF0000"/>
        </w:rPr>
        <w:t>.</w:t>
      </w:r>
      <w:r w:rsidRPr="00DD3C3C">
        <w:rPr>
          <w:rFonts w:cs="Arial"/>
          <w:b/>
          <w:color w:val="FF0000"/>
        </w:rPr>
        <w:t xml:space="preserve"> </w:t>
      </w:r>
      <w:r>
        <w:rPr>
          <w:rFonts w:cs="Arial"/>
          <w:b/>
          <w:color w:val="FF0000"/>
        </w:rPr>
        <w:t>Your hospital’s results will be displayed a</w:t>
      </w:r>
      <w:r w:rsidR="004F3773">
        <w:rPr>
          <w:rFonts w:cs="Arial"/>
          <w:b/>
          <w:color w:val="FF0000"/>
        </w:rPr>
        <w:t>s</w:t>
      </w:r>
      <w:r>
        <w:rPr>
          <w:rFonts w:cs="Arial"/>
          <w:b/>
          <w:color w:val="FF0000"/>
        </w:rPr>
        <w:t xml:space="preserve"> “Does Not Apply” on Leapfrog’s public reporting website.</w:t>
      </w:r>
    </w:p>
    <w:p w14:paraId="4C06BDBD" w14:textId="77777777" w:rsidR="00C95CCE" w:rsidRPr="009A5185" w:rsidRDefault="00C95CCE" w:rsidP="0028154C">
      <w:pPr>
        <w:pStyle w:val="BodyText3"/>
        <w:rPr>
          <w:rFonts w:cs="Arial"/>
          <w:color w:val="auto"/>
        </w:rPr>
      </w:pPr>
    </w:p>
    <w:p w14:paraId="41317B0A" w14:textId="01319D56" w:rsidR="005462C5" w:rsidRDefault="00652583" w:rsidP="0028154C">
      <w:pPr>
        <w:pStyle w:val="BodyText3"/>
        <w:rPr>
          <w:rFonts w:cs="Arial"/>
          <w:snapToGrid w:val="0"/>
        </w:rPr>
      </w:pPr>
      <w:r w:rsidRPr="009A5185">
        <w:rPr>
          <w:rFonts w:cs="Arial"/>
          <w:snapToGrid w:val="0"/>
        </w:rPr>
        <w:t xml:space="preserve">Section </w:t>
      </w:r>
      <w:r>
        <w:rPr>
          <w:rFonts w:cs="Arial"/>
          <w:snapToGrid w:val="0"/>
        </w:rPr>
        <w:t>8</w:t>
      </w:r>
      <w:r w:rsidRPr="009A5185">
        <w:rPr>
          <w:rFonts w:cs="Arial"/>
          <w:snapToGrid w:val="0"/>
        </w:rPr>
        <w:t xml:space="preserve"> includes questions about patient experience (CAHPS Child Hospital Survey) and Computed Tomography (CT) radiation dose</w:t>
      </w:r>
      <w:r>
        <w:rPr>
          <w:rFonts w:cs="Arial"/>
          <w:snapToGrid w:val="0"/>
        </w:rPr>
        <w:t xml:space="preserve"> for pediatric patients</w:t>
      </w:r>
      <w:r w:rsidRPr="009A5185">
        <w:rPr>
          <w:rFonts w:cs="Arial"/>
          <w:snapToGrid w:val="0"/>
        </w:rPr>
        <w:t>.</w:t>
      </w:r>
      <w:r w:rsidR="000F4A43">
        <w:rPr>
          <w:rFonts w:cs="Arial"/>
          <w:snapToGrid w:val="0"/>
        </w:rPr>
        <w:t xml:space="preserve"> For 2026, this section is required for submission for pediatric hospitals.</w:t>
      </w:r>
    </w:p>
    <w:p w14:paraId="0EABC42C" w14:textId="77777777" w:rsidR="00652583" w:rsidRPr="009A5185" w:rsidRDefault="00652583" w:rsidP="0028154C">
      <w:pPr>
        <w:pStyle w:val="BodyText3"/>
        <w:rPr>
          <w:rFonts w:cs="Arial"/>
          <w:color w:val="auto"/>
        </w:rPr>
      </w:pPr>
    </w:p>
    <w:p w14:paraId="2249F43E" w14:textId="79C54DD6" w:rsidR="002C263C" w:rsidRPr="009A5185" w:rsidRDefault="002C263C" w:rsidP="0028154C">
      <w:pPr>
        <w:pStyle w:val="BodyText3"/>
        <w:rPr>
          <w:rFonts w:cs="Arial"/>
          <w:b/>
          <w:color w:val="auto"/>
        </w:rPr>
      </w:pPr>
      <w:r w:rsidRPr="009A5185">
        <w:rPr>
          <w:rFonts w:cs="Arial"/>
          <w:b/>
          <w:color w:val="auto"/>
        </w:rPr>
        <w:t xml:space="preserve">Each </w:t>
      </w:r>
      <w:r w:rsidR="00F20FF5" w:rsidRPr="009A5185">
        <w:rPr>
          <w:rFonts w:cs="Arial"/>
          <w:b/>
        </w:rPr>
        <w:t xml:space="preserve">hospital </w:t>
      </w:r>
      <w:r w:rsidR="00F20FF5">
        <w:rPr>
          <w:rFonts w:cs="Arial"/>
          <w:b/>
        </w:rPr>
        <w:t>achieving</w:t>
      </w:r>
      <w:r w:rsidR="00F20FF5" w:rsidRPr="009A5185">
        <w:rPr>
          <w:rFonts w:cs="Arial"/>
          <w:b/>
        </w:rPr>
        <w:t xml:space="preserve"> th</w:t>
      </w:r>
      <w:r w:rsidR="00F20FF5">
        <w:rPr>
          <w:rFonts w:cs="Arial"/>
          <w:b/>
        </w:rPr>
        <w:t>e</w:t>
      </w:r>
      <w:r w:rsidR="00F20FF5" w:rsidRPr="009A5185">
        <w:rPr>
          <w:rFonts w:cs="Arial"/>
          <w:b/>
        </w:rPr>
        <w:t xml:space="preserve"> standard</w:t>
      </w:r>
      <w:r w:rsidR="00F20FF5">
        <w:rPr>
          <w:rFonts w:cs="Arial"/>
          <w:b/>
        </w:rPr>
        <w:t xml:space="preserve"> for</w:t>
      </w:r>
      <w:r w:rsidRPr="009A5185">
        <w:rPr>
          <w:rFonts w:cs="Arial"/>
          <w:b/>
          <w:color w:val="auto"/>
        </w:rPr>
        <w:t xml:space="preserve"> </w:t>
      </w:r>
      <w:r w:rsidR="0002601E">
        <w:rPr>
          <w:rFonts w:cs="Arial"/>
          <w:b/>
          <w:color w:val="auto"/>
        </w:rPr>
        <w:t>Patient Experience (CAHPS Child Hospital Survey)</w:t>
      </w:r>
      <w:r w:rsidRPr="009A5185">
        <w:rPr>
          <w:rFonts w:cs="Arial"/>
          <w:b/>
          <w:color w:val="auto"/>
        </w:rPr>
        <w:t>:</w:t>
      </w:r>
    </w:p>
    <w:p w14:paraId="0A2BBE8D" w14:textId="6C2CB4E3" w:rsidR="002C263C" w:rsidRPr="001341A0" w:rsidRDefault="00931A85" w:rsidP="0002601E">
      <w:pPr>
        <w:pStyle w:val="BodyText3"/>
        <w:rPr>
          <w:rFonts w:cs="Arial"/>
          <w:color w:val="auto"/>
        </w:rPr>
      </w:pPr>
      <w:r w:rsidRPr="009A5185">
        <w:rPr>
          <w:rFonts w:cs="Arial"/>
          <w:color w:val="auto"/>
        </w:rPr>
        <w:t xml:space="preserve">Performed in the top quartile </w:t>
      </w:r>
      <w:r w:rsidRPr="001341A0">
        <w:rPr>
          <w:rFonts w:cs="Arial"/>
          <w:color w:val="auto"/>
        </w:rPr>
        <w:t xml:space="preserve">for </w:t>
      </w:r>
      <w:r w:rsidR="00FA355D" w:rsidRPr="001341A0">
        <w:rPr>
          <w:rFonts w:cs="Arial"/>
          <w:color w:val="auto"/>
        </w:rPr>
        <w:t xml:space="preserve">at least 4 of the </w:t>
      </w:r>
      <w:r w:rsidR="007B51DB" w:rsidRPr="001341A0">
        <w:rPr>
          <w:rFonts w:cs="Arial"/>
          <w:color w:val="auto"/>
        </w:rPr>
        <w:t>5</w:t>
      </w:r>
      <w:r w:rsidRPr="001341A0">
        <w:rPr>
          <w:rFonts w:cs="Arial"/>
          <w:color w:val="auto"/>
        </w:rPr>
        <w:t xml:space="preserve"> </w:t>
      </w:r>
      <w:r w:rsidR="0002601E">
        <w:rPr>
          <w:rFonts w:cs="Arial"/>
          <w:color w:val="auto"/>
        </w:rPr>
        <w:t>CAHPS Child Hospital Survey</w:t>
      </w:r>
      <w:r w:rsidR="00FA355D" w:rsidRPr="001341A0">
        <w:rPr>
          <w:rFonts w:cs="Arial"/>
          <w:color w:val="auto"/>
        </w:rPr>
        <w:t xml:space="preserve"> domains (a subset </w:t>
      </w:r>
      <w:r w:rsidRPr="001341A0">
        <w:rPr>
          <w:rFonts w:cs="Arial"/>
          <w:color w:val="auto"/>
        </w:rPr>
        <w:t xml:space="preserve">of the 18 </w:t>
      </w:r>
      <w:r w:rsidR="0002601E">
        <w:rPr>
          <w:rFonts w:cs="Arial"/>
          <w:color w:val="auto"/>
        </w:rPr>
        <w:t xml:space="preserve">total </w:t>
      </w:r>
      <w:r w:rsidRPr="001341A0">
        <w:rPr>
          <w:rFonts w:cs="Arial"/>
          <w:color w:val="auto"/>
        </w:rPr>
        <w:t>domains</w:t>
      </w:r>
      <w:r w:rsidR="00FA355D" w:rsidRPr="001341A0">
        <w:rPr>
          <w:rFonts w:cs="Arial"/>
          <w:color w:val="auto"/>
        </w:rPr>
        <w:t>)</w:t>
      </w:r>
      <w:r w:rsidRPr="001341A0">
        <w:rPr>
          <w:rFonts w:cs="Arial"/>
          <w:color w:val="auto"/>
        </w:rPr>
        <w:t>, listed below:</w:t>
      </w:r>
    </w:p>
    <w:p w14:paraId="4B39DA66" w14:textId="77777777" w:rsidR="00931A85" w:rsidRPr="001341A0" w:rsidRDefault="00314B49" w:rsidP="00AD309C">
      <w:pPr>
        <w:pStyle w:val="BodyText3"/>
        <w:numPr>
          <w:ilvl w:val="0"/>
          <w:numId w:val="187"/>
        </w:numPr>
        <w:rPr>
          <w:rFonts w:cs="Arial"/>
          <w:color w:val="auto"/>
        </w:rPr>
      </w:pPr>
      <w:r w:rsidRPr="001341A0">
        <w:rPr>
          <w:rFonts w:cs="Arial"/>
          <w:color w:val="auto"/>
        </w:rPr>
        <w:t>Communication with Parent</w:t>
      </w:r>
      <w:r w:rsidR="00931A85" w:rsidRPr="001341A0">
        <w:rPr>
          <w:rFonts w:cs="Arial"/>
          <w:color w:val="auto"/>
        </w:rPr>
        <w:t xml:space="preserve"> – Communication about your child’s medicines</w:t>
      </w:r>
    </w:p>
    <w:p w14:paraId="057C5738" w14:textId="77777777" w:rsidR="00931A85" w:rsidRPr="001341A0" w:rsidRDefault="00314B49" w:rsidP="00AD309C">
      <w:pPr>
        <w:pStyle w:val="BodyText3"/>
        <w:numPr>
          <w:ilvl w:val="0"/>
          <w:numId w:val="187"/>
        </w:numPr>
        <w:rPr>
          <w:rFonts w:cs="Arial"/>
          <w:color w:val="auto"/>
        </w:rPr>
      </w:pPr>
      <w:r w:rsidRPr="001341A0">
        <w:rPr>
          <w:rFonts w:cs="Arial"/>
          <w:color w:val="auto"/>
        </w:rPr>
        <w:t>Communication with Parent</w:t>
      </w:r>
      <w:r w:rsidR="00931A85" w:rsidRPr="001341A0">
        <w:rPr>
          <w:rFonts w:cs="Arial"/>
          <w:color w:val="auto"/>
        </w:rPr>
        <w:t xml:space="preserve"> – Keeping you informed about your child’s care</w:t>
      </w:r>
    </w:p>
    <w:p w14:paraId="0E2AC2DC" w14:textId="77777777" w:rsidR="00931A85" w:rsidRPr="001341A0" w:rsidRDefault="00314B49" w:rsidP="00AD309C">
      <w:pPr>
        <w:pStyle w:val="BodyText3"/>
        <w:numPr>
          <w:ilvl w:val="0"/>
          <w:numId w:val="187"/>
        </w:numPr>
        <w:rPr>
          <w:rFonts w:cs="Arial"/>
          <w:color w:val="auto"/>
        </w:rPr>
      </w:pPr>
      <w:r w:rsidRPr="001341A0">
        <w:rPr>
          <w:rFonts w:cs="Arial"/>
          <w:color w:val="auto"/>
        </w:rPr>
        <w:t>Communication with Child</w:t>
      </w:r>
      <w:r w:rsidR="00931A85" w:rsidRPr="001341A0">
        <w:rPr>
          <w:rFonts w:cs="Arial"/>
          <w:color w:val="auto"/>
        </w:rPr>
        <w:t xml:space="preserve"> – How well nurses communicate with your child</w:t>
      </w:r>
    </w:p>
    <w:p w14:paraId="1982184A" w14:textId="77777777" w:rsidR="00931A85" w:rsidRPr="001341A0" w:rsidRDefault="00314B49" w:rsidP="00AD309C">
      <w:pPr>
        <w:pStyle w:val="BodyText3"/>
        <w:numPr>
          <w:ilvl w:val="0"/>
          <w:numId w:val="187"/>
        </w:numPr>
        <w:rPr>
          <w:rFonts w:cs="Arial"/>
          <w:color w:val="auto"/>
        </w:rPr>
      </w:pPr>
      <w:r w:rsidRPr="001341A0">
        <w:rPr>
          <w:rFonts w:cs="Arial"/>
          <w:color w:val="auto"/>
        </w:rPr>
        <w:t>Communication with Child</w:t>
      </w:r>
      <w:r w:rsidR="00931A85" w:rsidRPr="001341A0">
        <w:rPr>
          <w:rFonts w:cs="Arial"/>
          <w:color w:val="auto"/>
        </w:rPr>
        <w:t xml:space="preserve"> – How well doctors communicate with your child</w:t>
      </w:r>
    </w:p>
    <w:p w14:paraId="71947992" w14:textId="1C0C6B1E" w:rsidR="0002601E" w:rsidRPr="0002601E" w:rsidRDefault="00931A85" w:rsidP="00AD309C">
      <w:pPr>
        <w:pStyle w:val="BodyText3"/>
        <w:numPr>
          <w:ilvl w:val="0"/>
          <w:numId w:val="187"/>
        </w:numPr>
        <w:rPr>
          <w:rFonts w:cs="Arial"/>
          <w:color w:val="auto"/>
        </w:rPr>
      </w:pPr>
      <w:r w:rsidRPr="001341A0">
        <w:rPr>
          <w:rFonts w:cs="Arial"/>
          <w:color w:val="auto"/>
        </w:rPr>
        <w:t>Attention to Safety and Comfort – Preventing mistakes and helping you report concerns</w:t>
      </w:r>
    </w:p>
    <w:p w14:paraId="1AC76AAE" w14:textId="65711545" w:rsidR="0002601E" w:rsidRDefault="0002601E" w:rsidP="0002601E">
      <w:pPr>
        <w:pStyle w:val="BodyText3"/>
        <w:rPr>
          <w:rFonts w:cs="Arial"/>
          <w:color w:val="auto"/>
        </w:rPr>
      </w:pPr>
    </w:p>
    <w:p w14:paraId="3E49E443" w14:textId="10B73C70" w:rsidR="0002601E" w:rsidRPr="0002601E" w:rsidRDefault="0002601E" w:rsidP="0002601E">
      <w:pPr>
        <w:pStyle w:val="BodyText3"/>
        <w:rPr>
          <w:rFonts w:cs="Arial"/>
          <w:b/>
          <w:bCs/>
          <w:color w:val="auto"/>
        </w:rPr>
      </w:pPr>
      <w:r w:rsidRPr="0002601E">
        <w:rPr>
          <w:rFonts w:cs="Arial"/>
          <w:b/>
          <w:bCs/>
          <w:color w:val="auto"/>
        </w:rPr>
        <w:t xml:space="preserve">Each hospital achieving the standard for Pediatric Computed Tomography (CT) Dose: </w:t>
      </w:r>
    </w:p>
    <w:p w14:paraId="7597D517" w14:textId="7401B706" w:rsidR="00931A85" w:rsidRPr="001341A0" w:rsidRDefault="00931A85" w:rsidP="0002601E">
      <w:pPr>
        <w:pStyle w:val="BodyText3"/>
        <w:rPr>
          <w:rFonts w:cs="Arial"/>
          <w:color w:val="auto"/>
        </w:rPr>
      </w:pPr>
      <w:r w:rsidRPr="001341A0">
        <w:rPr>
          <w:rFonts w:cs="Arial"/>
          <w:color w:val="auto"/>
        </w:rPr>
        <w:t xml:space="preserve">Received 75% or more of the possible points based on comparing CT radiation doses across two anatomic areas </w:t>
      </w:r>
      <w:r w:rsidR="005F1256">
        <w:rPr>
          <w:rFonts w:cs="Arial"/>
          <w:color w:val="auto"/>
        </w:rPr>
        <w:t xml:space="preserve">(head and abdomen/pelvis) </w:t>
      </w:r>
      <w:r w:rsidRPr="001341A0">
        <w:rPr>
          <w:rFonts w:cs="Arial"/>
          <w:color w:val="auto"/>
        </w:rPr>
        <w:t xml:space="preserve">and </w:t>
      </w:r>
      <w:r w:rsidR="00560EEE">
        <w:rPr>
          <w:rFonts w:cs="Arial"/>
          <w:color w:val="auto"/>
        </w:rPr>
        <w:t>five</w:t>
      </w:r>
      <w:r w:rsidRPr="001341A0">
        <w:rPr>
          <w:rFonts w:cs="Arial"/>
          <w:color w:val="auto"/>
        </w:rPr>
        <w:t xml:space="preserve"> age strata to</w:t>
      </w:r>
      <w:r w:rsidR="005F1256">
        <w:rPr>
          <w:rFonts w:cs="Arial"/>
          <w:color w:val="auto"/>
        </w:rPr>
        <w:t xml:space="preserve"> national</w:t>
      </w:r>
      <w:r w:rsidRPr="001341A0">
        <w:rPr>
          <w:rFonts w:cs="Arial"/>
          <w:color w:val="auto"/>
        </w:rPr>
        <w:t xml:space="preserve"> benchmarks.</w:t>
      </w:r>
    </w:p>
    <w:p w14:paraId="0FB511E9" w14:textId="77777777" w:rsidR="00857762" w:rsidRDefault="00857762" w:rsidP="00857762">
      <w:pPr>
        <w:rPr>
          <w:rFonts w:cs="Arial"/>
          <w:b/>
        </w:rPr>
      </w:pPr>
    </w:p>
    <w:p w14:paraId="4FF4E592" w14:textId="0675698F" w:rsidR="00857762" w:rsidRPr="009A5185" w:rsidRDefault="00857762" w:rsidP="00857762">
      <w:pPr>
        <w:rPr>
          <w:rFonts w:cs="Arial"/>
          <w:b/>
        </w:rPr>
      </w:pPr>
      <w:r w:rsidRPr="009A5185">
        <w:rPr>
          <w:rFonts w:cs="Arial"/>
          <w:b/>
        </w:rPr>
        <w:t xml:space="preserve">Download the </w:t>
      </w:r>
      <w:r w:rsidR="00A236B1">
        <w:rPr>
          <w:rFonts w:cs="Arial"/>
          <w:b/>
        </w:rPr>
        <w:t>202</w:t>
      </w:r>
      <w:r w:rsidR="006C0089">
        <w:rPr>
          <w:rFonts w:cs="Arial"/>
          <w:b/>
        </w:rPr>
        <w:t>6</w:t>
      </w:r>
      <w:r w:rsidRPr="009A5185">
        <w:rPr>
          <w:rFonts w:cs="Arial"/>
          <w:b/>
        </w:rPr>
        <w:t xml:space="preserve"> Leapfrog Hospital Survey Scoring Algorithm on the </w:t>
      </w:r>
      <w:hyperlink r:id="rId438" w:history="1">
        <w:r w:rsidRPr="009A5185">
          <w:rPr>
            <w:rStyle w:val="Hyperlink"/>
            <w:rFonts w:cs="Arial"/>
            <w:b/>
          </w:rPr>
          <w:t>Scoring and Results webpage</w:t>
        </w:r>
      </w:hyperlink>
      <w:r w:rsidRPr="009A5185">
        <w:rPr>
          <w:rFonts w:cs="Arial"/>
          <w:b/>
        </w:rPr>
        <w:t>.</w:t>
      </w:r>
    </w:p>
    <w:p w14:paraId="43EC0126" w14:textId="77777777" w:rsidR="00857762" w:rsidRPr="009A5185" w:rsidRDefault="00857762" w:rsidP="0028154C">
      <w:pPr>
        <w:pStyle w:val="BodyText3"/>
        <w:rPr>
          <w:rFonts w:cs="Arial"/>
          <w:color w:val="auto"/>
        </w:rPr>
      </w:pPr>
    </w:p>
    <w:p w14:paraId="386DA779" w14:textId="77777777" w:rsidR="00230976" w:rsidRPr="009A5185" w:rsidRDefault="00230976">
      <w:pPr>
        <w:rPr>
          <w:rFonts w:cs="Arial"/>
          <w:b/>
        </w:rPr>
      </w:pPr>
      <w:r w:rsidRPr="009A5185">
        <w:rPr>
          <w:rFonts w:cs="Arial"/>
          <w:b/>
        </w:rPr>
        <w:br w:type="page"/>
      </w:r>
    </w:p>
    <w:p w14:paraId="61BE9FAD" w14:textId="77777777" w:rsidR="004B2891" w:rsidRPr="009A5185" w:rsidRDefault="004B2891" w:rsidP="0028154C">
      <w:pPr>
        <w:pStyle w:val="BodyText3"/>
        <w:rPr>
          <w:rFonts w:cs="Arial"/>
        </w:rPr>
      </w:pPr>
    </w:p>
    <w:p w14:paraId="0BE6A332" w14:textId="2C90DA53" w:rsidR="007F3F62" w:rsidRDefault="00DB33CD" w:rsidP="00CF5A6E">
      <w:pPr>
        <w:pStyle w:val="Heading2"/>
      </w:pPr>
      <w:bookmarkStart w:id="677" w:name="_Toc225877820"/>
      <w:r>
        <w:t>8</w:t>
      </w:r>
      <w:r w:rsidRPr="009A5185">
        <w:t>A</w:t>
      </w:r>
      <w:r>
        <w:t>:</w:t>
      </w:r>
      <w:r w:rsidRPr="009A5185">
        <w:t xml:space="preserve"> Patient Experience (CAHPS Child Hospital Survey)</w:t>
      </w:r>
      <w:bookmarkEnd w:id="677"/>
    </w:p>
    <w:p w14:paraId="51B1D3C4" w14:textId="77777777" w:rsidR="00DB33CD" w:rsidRPr="00FF6EC5" w:rsidRDefault="00DB33CD">
      <w:pPr>
        <w:rPr>
          <w:rFonts w:cs="Arial"/>
          <w:color w:val="000000"/>
        </w:rPr>
      </w:pPr>
    </w:p>
    <w:p w14:paraId="3C7353E6" w14:textId="0B4D1DEE" w:rsidR="0012772F" w:rsidRPr="009A5185" w:rsidRDefault="0012772F" w:rsidP="0012772F">
      <w:pPr>
        <w:rPr>
          <w:rFonts w:cs="Arial"/>
        </w:rPr>
      </w:pPr>
      <w:r w:rsidRPr="009A5185">
        <w:rPr>
          <w:rFonts w:cs="Arial"/>
          <w:snapToGrid w:val="0"/>
        </w:rPr>
        <w:t xml:space="preserve">Hospitals that share a </w:t>
      </w:r>
      <w:r>
        <w:rPr>
          <w:rFonts w:cs="Arial"/>
          <w:snapToGrid w:val="0"/>
        </w:rPr>
        <w:t>CMS Certification Number</w:t>
      </w:r>
      <w:r w:rsidRPr="009A5185">
        <w:rPr>
          <w:rFonts w:cs="Arial"/>
          <w:snapToGrid w:val="0"/>
        </w:rPr>
        <w:t xml:space="preserve"> are required to report by facility. Please carefully review </w:t>
      </w:r>
      <w:hyperlink r:id="rId439" w:history="1">
        <w:r w:rsidRPr="009A5185">
          <w:rPr>
            <w:rStyle w:val="Hyperlink"/>
            <w:rFonts w:cs="Arial"/>
            <w:snapToGrid w:val="0"/>
          </w:rPr>
          <w:t>Leapfrog’s Multi-Campus Reporting Policy</w:t>
        </w:r>
      </w:hyperlink>
      <w:r w:rsidRPr="009A5185">
        <w:rPr>
          <w:rFonts w:cs="Arial"/>
          <w:snapToGrid w:val="0"/>
        </w:rPr>
        <w:t>.</w:t>
      </w:r>
    </w:p>
    <w:p w14:paraId="5359F0AF" w14:textId="77777777" w:rsidR="0012772F" w:rsidRPr="00FF6EC5" w:rsidRDefault="0012772F">
      <w:pPr>
        <w:rPr>
          <w:rFonts w:cs="Arial"/>
          <w:color w:val="000000"/>
        </w:rPr>
      </w:pPr>
    </w:p>
    <w:p w14:paraId="2A0F5BC2" w14:textId="77777777" w:rsidR="003D43E7" w:rsidRPr="009A5185" w:rsidRDefault="003D43E7" w:rsidP="003A1A40">
      <w:pPr>
        <w:pStyle w:val="BodyText3"/>
        <w:rPr>
          <w:rFonts w:cs="Arial"/>
          <w:b/>
          <w:color w:val="FF0000"/>
        </w:rPr>
      </w:pPr>
      <w:bookmarkStart w:id="678" w:name="_9B_Readmission_for"/>
      <w:bookmarkEnd w:id="678"/>
      <w:r w:rsidRPr="009A5185">
        <w:rPr>
          <w:rFonts w:cs="Arial"/>
          <w:b/>
          <w:color w:val="FF0000"/>
        </w:rPr>
        <w:t>Important Notes:</w:t>
      </w:r>
    </w:p>
    <w:p w14:paraId="2A3FDA7D" w14:textId="77777777" w:rsidR="003D43E7" w:rsidRPr="00FF6EC5" w:rsidRDefault="003D43E7" w:rsidP="003A1A40">
      <w:pPr>
        <w:pStyle w:val="BodyText3"/>
        <w:rPr>
          <w:rFonts w:cs="Arial"/>
          <w:b/>
          <w:color w:val="FF0000"/>
        </w:rPr>
      </w:pPr>
    </w:p>
    <w:p w14:paraId="6EADC0C4" w14:textId="3173EB46" w:rsidR="003A1A40" w:rsidRPr="00C665F4" w:rsidRDefault="003D43E7" w:rsidP="003A1A40">
      <w:pPr>
        <w:pStyle w:val="BodyText3"/>
        <w:rPr>
          <w:rFonts w:cs="Arial"/>
          <w:b/>
          <w:color w:val="FF0000"/>
        </w:rPr>
      </w:pPr>
      <w:r w:rsidRPr="009A5185">
        <w:rPr>
          <w:rFonts w:cs="Arial"/>
          <w:color w:val="auto"/>
        </w:rPr>
        <w:t xml:space="preserve">Note 1: </w:t>
      </w:r>
      <w:r w:rsidR="003A1A40" w:rsidRPr="009A5185">
        <w:rPr>
          <w:rFonts w:cs="Arial"/>
          <w:color w:val="auto"/>
        </w:rPr>
        <w:t xml:space="preserve">This </w:t>
      </w:r>
      <w:r w:rsidR="00B34039">
        <w:rPr>
          <w:rFonts w:cs="Arial"/>
          <w:color w:val="auto"/>
        </w:rPr>
        <w:t>sub</w:t>
      </w:r>
      <w:r w:rsidR="003A1A40" w:rsidRPr="009A5185">
        <w:rPr>
          <w:rFonts w:cs="Arial"/>
          <w:color w:val="auto"/>
        </w:rPr>
        <w:t>section is only applicable to hospitals that care for patients 17 years of age or younger.</w:t>
      </w:r>
      <w:r w:rsidR="00C665F4">
        <w:rPr>
          <w:rFonts w:cs="Arial"/>
          <w:color w:val="auto"/>
        </w:rPr>
        <w:t xml:space="preserve"> </w:t>
      </w:r>
      <w:r w:rsidR="0056464E" w:rsidRPr="00D65BBD">
        <w:rPr>
          <w:rFonts w:cs="Arial"/>
          <w:bCs/>
          <w:color w:val="auto"/>
        </w:rPr>
        <w:t xml:space="preserve">Hospitals that do </w:t>
      </w:r>
      <w:r w:rsidR="00D73A36">
        <w:rPr>
          <w:rFonts w:cs="Arial"/>
          <w:bCs/>
          <w:color w:val="auto"/>
        </w:rPr>
        <w:t xml:space="preserve">not </w:t>
      </w:r>
      <w:r w:rsidR="0056464E">
        <w:rPr>
          <w:rFonts w:cs="Arial"/>
          <w:bCs/>
          <w:color w:val="auto"/>
        </w:rPr>
        <w:t xml:space="preserve">care for patients </w:t>
      </w:r>
      <w:r w:rsidR="0056464E" w:rsidRPr="00D65BBD">
        <w:rPr>
          <w:rFonts w:cs="Arial"/>
          <w:bCs/>
          <w:color w:val="auto"/>
        </w:rPr>
        <w:t xml:space="preserve">17 years of age or younger should respond “no” to question #2 in </w:t>
      </w:r>
      <w:r w:rsidR="00560EEE">
        <w:rPr>
          <w:rFonts w:cs="Arial"/>
          <w:bCs/>
          <w:color w:val="auto"/>
        </w:rPr>
        <w:t>8</w:t>
      </w:r>
      <w:r w:rsidR="0056464E">
        <w:rPr>
          <w:rFonts w:cs="Arial"/>
          <w:bCs/>
          <w:color w:val="auto"/>
        </w:rPr>
        <w:t>A</w:t>
      </w:r>
      <w:r w:rsidR="0056464E" w:rsidRPr="00D65BBD">
        <w:rPr>
          <w:rFonts w:cs="Arial"/>
          <w:bCs/>
          <w:color w:val="auto"/>
        </w:rPr>
        <w:t xml:space="preserve"> and move on to </w:t>
      </w:r>
      <w:r w:rsidR="00560EEE">
        <w:rPr>
          <w:rFonts w:cs="Arial"/>
          <w:bCs/>
          <w:color w:val="auto"/>
        </w:rPr>
        <w:t>8</w:t>
      </w:r>
      <w:r w:rsidR="0056464E">
        <w:rPr>
          <w:rFonts w:cs="Arial"/>
          <w:bCs/>
          <w:color w:val="auto"/>
        </w:rPr>
        <w:t xml:space="preserve">B. </w:t>
      </w:r>
      <w:r w:rsidR="0056464E" w:rsidRPr="00D65BBD">
        <w:rPr>
          <w:rFonts w:cs="Arial"/>
          <w:bCs/>
          <w:color w:val="auto"/>
        </w:rPr>
        <w:t>Your hospital’s results will be displayed a</w:t>
      </w:r>
      <w:r w:rsidR="00FE0E25">
        <w:rPr>
          <w:rFonts w:cs="Arial"/>
          <w:bCs/>
          <w:color w:val="auto"/>
        </w:rPr>
        <w:t>s</w:t>
      </w:r>
      <w:r w:rsidR="0056464E" w:rsidRPr="00D65BBD">
        <w:rPr>
          <w:rFonts w:cs="Arial"/>
          <w:bCs/>
          <w:color w:val="auto"/>
        </w:rPr>
        <w:t xml:space="preserve"> “Does Not Apply”</w:t>
      </w:r>
      <w:r w:rsidR="0056464E">
        <w:rPr>
          <w:rFonts w:cs="Arial"/>
          <w:bCs/>
          <w:color w:val="auto"/>
        </w:rPr>
        <w:t xml:space="preserve"> </w:t>
      </w:r>
      <w:r w:rsidR="00B34039">
        <w:rPr>
          <w:rFonts w:cs="Arial"/>
          <w:bCs/>
          <w:color w:val="auto"/>
        </w:rPr>
        <w:t xml:space="preserve">on </w:t>
      </w:r>
      <w:r w:rsidR="0056464E" w:rsidRPr="00D65BBD">
        <w:rPr>
          <w:rFonts w:cs="Arial"/>
          <w:bCs/>
          <w:color w:val="auto"/>
        </w:rPr>
        <w:t>Leapfrog’s public reporting website.</w:t>
      </w:r>
    </w:p>
    <w:p w14:paraId="1AC90F1C" w14:textId="77777777" w:rsidR="003D43E7" w:rsidRPr="00FF6EC5" w:rsidRDefault="003D43E7">
      <w:pPr>
        <w:rPr>
          <w:rFonts w:cs="Arial"/>
        </w:rPr>
      </w:pPr>
    </w:p>
    <w:p w14:paraId="2E55769F" w14:textId="0B29CFA9" w:rsidR="003D43E7" w:rsidRPr="009A5185" w:rsidRDefault="00244AAA">
      <w:pPr>
        <w:rPr>
          <w:rFonts w:cs="Arial"/>
        </w:rPr>
      </w:pPr>
      <w:r w:rsidRPr="009A5185">
        <w:rPr>
          <w:rFonts w:cs="Arial"/>
        </w:rPr>
        <w:t>Note 2</w:t>
      </w:r>
      <w:r w:rsidR="003D43E7" w:rsidRPr="009A5185">
        <w:rPr>
          <w:rFonts w:cs="Arial"/>
        </w:rPr>
        <w:t xml:space="preserve">: </w:t>
      </w:r>
      <w:r w:rsidR="00BF65F6">
        <w:rPr>
          <w:rFonts w:cs="Arial"/>
        </w:rPr>
        <w:t xml:space="preserve">To help ensure that the </w:t>
      </w:r>
      <w:hyperlink w:anchor="Endnote48_TopBox" w:history="1">
        <w:r w:rsidR="00BF65F6" w:rsidRPr="001A699F">
          <w:rPr>
            <w:rStyle w:val="Hyperlink"/>
            <w:rFonts w:cs="Arial"/>
          </w:rPr>
          <w:t>Top Box Scores</w:t>
        </w:r>
      </w:hyperlink>
      <w:r w:rsidR="001A699F" w:rsidRPr="00653AE3">
        <w:rPr>
          <w:rFonts w:cs="Arial"/>
        </w:rPr>
        <w:fldChar w:fldCharType="begin"/>
      </w:r>
      <w:r w:rsidR="001A699F" w:rsidRPr="00653AE3">
        <w:rPr>
          <w:rFonts w:cs="Arial"/>
        </w:rPr>
        <w:instrText xml:space="preserve"> NOTEREF _Ref534391669 \f \h </w:instrText>
      </w:r>
      <w:r w:rsidR="001A699F" w:rsidRPr="00653AE3">
        <w:rPr>
          <w:rFonts w:cs="Arial"/>
        </w:rPr>
      </w:r>
      <w:r w:rsidR="001A699F" w:rsidRPr="00653AE3">
        <w:rPr>
          <w:rFonts w:cs="Arial"/>
        </w:rPr>
        <w:fldChar w:fldCharType="separate"/>
      </w:r>
      <w:r w:rsidR="007D53A2" w:rsidRPr="00231ED2">
        <w:rPr>
          <w:rStyle w:val="EndnoteReference"/>
        </w:rPr>
        <w:t>51</w:t>
      </w:r>
      <w:r w:rsidR="001A699F" w:rsidRPr="00653AE3">
        <w:rPr>
          <w:rFonts w:cs="Arial"/>
        </w:rPr>
        <w:fldChar w:fldCharType="end"/>
      </w:r>
      <w:r w:rsidR="00BF65F6">
        <w:rPr>
          <w:rFonts w:cs="Arial"/>
        </w:rPr>
        <w:t xml:space="preserve"> represent an appropriate sample of patients, hospitals must have at least 100 pediatric acute-care admissions to inpatient units other than a neonatal ICU (NICU). Otherwise, they should respond “Yes, but fewer than 100 pediatric admissions were for non-NICU patients</w:t>
      </w:r>
      <w:r w:rsidR="003D43E7" w:rsidRPr="009A5185">
        <w:rPr>
          <w:rFonts w:cs="Arial"/>
        </w:rPr>
        <w:t>” to question #2 and skip the rema</w:t>
      </w:r>
      <w:r w:rsidR="00BF65F6">
        <w:rPr>
          <w:rFonts w:cs="Arial"/>
        </w:rPr>
        <w:t xml:space="preserve">ining questions in Section </w:t>
      </w:r>
      <w:r w:rsidR="00560EEE">
        <w:rPr>
          <w:rFonts w:cs="Arial"/>
        </w:rPr>
        <w:t>8</w:t>
      </w:r>
      <w:r w:rsidR="00BF65F6">
        <w:rPr>
          <w:rFonts w:cs="Arial"/>
        </w:rPr>
        <w:t xml:space="preserve">A. </w:t>
      </w:r>
      <w:r w:rsidR="003D43E7" w:rsidRPr="009A5185">
        <w:rPr>
          <w:rFonts w:cs="Arial"/>
        </w:rPr>
        <w:t>The hospital will be scored as “Does Not Apply</w:t>
      </w:r>
      <w:r w:rsidR="00664BDF">
        <w:rPr>
          <w:rFonts w:cs="Arial"/>
        </w:rPr>
        <w:t>.</w:t>
      </w:r>
      <w:r w:rsidR="003D43E7" w:rsidRPr="009A5185">
        <w:rPr>
          <w:rFonts w:cs="Arial"/>
        </w:rPr>
        <w:t>”</w:t>
      </w:r>
      <w:r w:rsidR="00BF65F6">
        <w:rPr>
          <w:rFonts w:cs="Arial"/>
        </w:rPr>
        <w:t xml:space="preserve"> For example, if your hospital had 600 pediatric acute-care admissions, and 550 of those admissions were to a neonatal ICU, you should respond “Yes, but fewer than 100 pediatric admissions were for non-NICU patients” to question #2 as your hospital only has 50 admissions to inpatient units other than a neonatal ICU. </w:t>
      </w:r>
    </w:p>
    <w:p w14:paraId="1FB47640" w14:textId="77777777" w:rsidR="005D3D07" w:rsidRPr="00FF6EC5" w:rsidRDefault="005D3D07">
      <w:pPr>
        <w:rPr>
          <w:rFonts w:cs="Arial"/>
        </w:rPr>
      </w:pPr>
    </w:p>
    <w:p w14:paraId="69292979" w14:textId="5A82C7F5" w:rsidR="00244AAA" w:rsidRDefault="00244AAA" w:rsidP="00244AAA">
      <w:pPr>
        <w:rPr>
          <w:rFonts w:cs="Arial"/>
        </w:rPr>
      </w:pPr>
      <w:r w:rsidRPr="009A5185">
        <w:rPr>
          <w:rFonts w:cs="Arial"/>
          <w:b/>
          <w:snapToGrid w:val="0"/>
        </w:rPr>
        <w:t xml:space="preserve">Specifications: </w:t>
      </w:r>
      <w:r w:rsidRPr="009A5185">
        <w:rPr>
          <w:rFonts w:cs="Arial"/>
          <w:snapToGrid w:val="0"/>
        </w:rPr>
        <w:t xml:space="preserve">See </w:t>
      </w:r>
      <w:hyperlink w:anchor="CAHPSSpecs" w:history="1">
        <w:r w:rsidR="00921D33">
          <w:rPr>
            <w:rStyle w:val="Hyperlink"/>
            <w:rFonts w:cs="Arial"/>
            <w:b/>
            <w:i/>
          </w:rPr>
          <w:t>Patient Experience (CAHPS Child Hospital Survey) Measure Specifications</w:t>
        </w:r>
      </w:hyperlink>
      <w:r w:rsidRPr="009A5185">
        <w:rPr>
          <w:rFonts w:cs="Arial"/>
          <w:snapToGrid w:val="0"/>
        </w:rPr>
        <w:t xml:space="preserve"> in the Reference Information </w:t>
      </w:r>
      <w:r w:rsidR="00127E33">
        <w:rPr>
          <w:rFonts w:cs="Arial"/>
        </w:rPr>
        <w:t xml:space="preserve">beginning on page </w:t>
      </w:r>
      <w:r w:rsidR="007D12FE">
        <w:rPr>
          <w:rFonts w:cs="Arial"/>
        </w:rPr>
        <w:t>28</w:t>
      </w:r>
      <w:r w:rsidR="002D6D62">
        <w:rPr>
          <w:rFonts w:cs="Arial"/>
        </w:rPr>
        <w:t>1</w:t>
      </w:r>
      <w:r w:rsidR="007D12FE">
        <w:rPr>
          <w:rFonts w:cs="Arial"/>
        </w:rPr>
        <w:t>.</w:t>
      </w:r>
    </w:p>
    <w:p w14:paraId="2E23C6BE" w14:textId="77777777" w:rsidR="00FF6EC5" w:rsidRPr="009A5185" w:rsidRDefault="00FF6EC5" w:rsidP="00244AAA">
      <w:pPr>
        <w:rPr>
          <w:rFonts w:cs="Arial"/>
          <w:snapToGrid w:val="0"/>
        </w:rPr>
      </w:pPr>
    </w:p>
    <w:p w14:paraId="76157955" w14:textId="517F7291" w:rsidR="00244AAA" w:rsidRPr="009A5185" w:rsidRDefault="00FF6EC5">
      <w:pPr>
        <w:rPr>
          <w:rFonts w:cs="Arial"/>
        </w:rPr>
      </w:pPr>
      <w:r w:rsidRPr="00FF6EC5">
        <w:rPr>
          <w:rFonts w:cs="Arial"/>
          <w:noProof/>
        </w:rPr>
        <mc:AlternateContent>
          <mc:Choice Requires="wps">
            <w:drawing>
              <wp:inline distT="0" distB="0" distL="0" distR="0" wp14:anchorId="215B0D94" wp14:editId="2FF3E103">
                <wp:extent cx="6329238" cy="1404620"/>
                <wp:effectExtent l="0" t="0" r="14605" b="25400"/>
                <wp:docPr id="41" name="Text Box 41" descr="P10235TB30#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9238" cy="1404620"/>
                        </a:xfrm>
                        <a:prstGeom prst="rect">
                          <a:avLst/>
                        </a:prstGeom>
                        <a:solidFill>
                          <a:srgbClr val="FFFFFF"/>
                        </a:solidFill>
                        <a:ln w="9525">
                          <a:solidFill>
                            <a:srgbClr val="FF0000"/>
                          </a:solidFill>
                          <a:miter lim="800000"/>
                          <a:headEnd/>
                          <a:tailEnd/>
                        </a:ln>
                      </wps:spPr>
                      <wps:txbx>
                        <w:txbxContent>
                          <w:p w14:paraId="13AF9A92" w14:textId="56933AD5" w:rsidR="00FF6EC5" w:rsidRPr="009A5185" w:rsidRDefault="00FF6EC5" w:rsidP="00FF6EC5">
                            <w:pPr>
                              <w:spacing w:before="40"/>
                              <w:rPr>
                                <w:rFonts w:cs="Arial"/>
                                <w:b/>
                                <w:snapToGrid w:val="0"/>
                              </w:rPr>
                            </w:pPr>
                            <w:r w:rsidRPr="009A5185">
                              <w:rPr>
                                <w:rFonts w:cs="Arial"/>
                                <w:b/>
                                <w:snapToGrid w:val="0"/>
                              </w:rPr>
                              <w:t>Reporting Period: 12 months</w:t>
                            </w:r>
                          </w:p>
                          <w:p w14:paraId="52C99FD7" w14:textId="77777777" w:rsidR="00FF6EC5" w:rsidRDefault="00FF6EC5" w:rsidP="00FF6EC5">
                            <w:pPr>
                              <w:spacing w:before="40"/>
                              <w:rPr>
                                <w:rFonts w:cs="Arial"/>
                                <w:snapToGrid w:val="0"/>
                              </w:rPr>
                            </w:pPr>
                            <w:r w:rsidRPr="009A5185">
                              <w:rPr>
                                <w:rFonts w:cs="Arial"/>
                                <w:snapToGrid w:val="0"/>
                              </w:rPr>
                              <w:t>Answer questions #1-</w:t>
                            </w:r>
                            <w:r>
                              <w:rPr>
                                <w:rFonts w:cs="Arial"/>
                                <w:snapToGrid w:val="0"/>
                              </w:rPr>
                              <w:t>12</w:t>
                            </w:r>
                            <w:r w:rsidRPr="009A5185">
                              <w:rPr>
                                <w:rFonts w:cs="Arial"/>
                                <w:snapToGrid w:val="0"/>
                              </w:rPr>
                              <w:t xml:space="preserve"> for the latest 12-month period prior to the submission of this section of the Survey.</w:t>
                            </w:r>
                          </w:p>
                          <w:p w14:paraId="1C05DBEA" w14:textId="77777777" w:rsidR="00FF6EC5" w:rsidRDefault="00FF6EC5" w:rsidP="00FF6EC5">
                            <w:pPr>
                              <w:spacing w:before="40"/>
                              <w:rPr>
                                <w:rFonts w:cs="Arial"/>
                                <w:snapToGrid w:val="0"/>
                              </w:rPr>
                            </w:pPr>
                          </w:p>
                          <w:p w14:paraId="54F07515" w14:textId="0F80ADAB" w:rsidR="00FF6EC5" w:rsidRDefault="00FF6EC5" w:rsidP="00FF6EC5">
                            <w:r w:rsidRPr="006547C0">
                              <w:rPr>
                                <w:rFonts w:cs="Arial"/>
                                <w:sz w:val="16"/>
                                <w:szCs w:val="16"/>
                              </w:rPr>
                              <w:t xml:space="preserve">Note: As a reminder, the </w:t>
                            </w:r>
                            <w:hyperlink r:id="rId440" w:history="1">
                              <w:r w:rsidRPr="006547C0">
                                <w:rPr>
                                  <w:rStyle w:val="Hyperlink"/>
                                  <w:rFonts w:cs="Arial"/>
                                  <w:sz w:val="16"/>
                                  <w:szCs w:val="16"/>
                                </w:rPr>
                                <w:t>Corrections Period</w:t>
                              </w:r>
                            </w:hyperlink>
                            <w:r w:rsidRPr="006547C0">
                              <w:rPr>
                                <w:rFonts w:cs="Arial"/>
                                <w:sz w:val="16"/>
                                <w:szCs w:val="16"/>
                              </w:rPr>
                              <w:t xml:space="preserve"> </w:t>
                            </w:r>
                            <w:r w:rsidRPr="00E65E68">
                              <w:rPr>
                                <w:rFonts w:cs="Arial"/>
                                <w:sz w:val="16"/>
                                <w:szCs w:val="16"/>
                              </w:rPr>
                              <w:t>(</w:t>
                            </w:r>
                            <w:r>
                              <w:rPr>
                                <w:rFonts w:cs="Arial"/>
                                <w:sz w:val="16"/>
                                <w:szCs w:val="16"/>
                              </w:rPr>
                              <w:t>December</w:t>
                            </w:r>
                            <w:r w:rsidRPr="00E65E68">
                              <w:rPr>
                                <w:rFonts w:cs="Arial"/>
                                <w:sz w:val="16"/>
                                <w:szCs w:val="16"/>
                              </w:rPr>
                              <w:t xml:space="preserve"> 1-January 31) is reserved for corrections to previously submitted Surveys only. </w:t>
                            </w:r>
                            <w:r w:rsidRPr="00E65E68">
                              <w:rPr>
                                <w:rFonts w:cs="Arial"/>
                                <w:bCs/>
                                <w:snapToGrid w:val="0"/>
                                <w:sz w:val="16"/>
                                <w:szCs w:val="16"/>
                              </w:rPr>
                              <w:t xml:space="preserve">Any updates made to reflect a change in performance must be made prior to the </w:t>
                            </w:r>
                            <w:r>
                              <w:rPr>
                                <w:rFonts w:cs="Arial"/>
                                <w:bCs/>
                                <w:snapToGrid w:val="0"/>
                                <w:sz w:val="16"/>
                                <w:szCs w:val="16"/>
                              </w:rPr>
                              <w:t>November 30</w:t>
                            </w:r>
                            <w:r w:rsidRPr="00E65E68">
                              <w:rPr>
                                <w:rFonts w:cs="Arial"/>
                                <w:bCs/>
                                <w:snapToGrid w:val="0"/>
                                <w:sz w:val="16"/>
                                <w:szCs w:val="16"/>
                              </w:rPr>
                              <w:t xml:space="preserve"> Late Submission </w:t>
                            </w:r>
                            <w:r>
                              <w:rPr>
                                <w:rFonts w:cs="Arial"/>
                                <w:bCs/>
                                <w:snapToGrid w:val="0"/>
                                <w:sz w:val="16"/>
                                <w:szCs w:val="16"/>
                              </w:rPr>
                              <w:t xml:space="preserve">and Performance Update </w:t>
                            </w:r>
                            <w:r w:rsidRPr="00E65E68">
                              <w:rPr>
                                <w:rFonts w:cs="Arial"/>
                                <w:bCs/>
                                <w:snapToGrid w:val="0"/>
                                <w:sz w:val="16"/>
                                <w:szCs w:val="16"/>
                              </w:rPr>
                              <w:t xml:space="preserve">Deadline. Updates made to reflect a change in performance after </w:t>
                            </w:r>
                            <w:r>
                              <w:rPr>
                                <w:rFonts w:cs="Arial"/>
                                <w:bCs/>
                                <w:snapToGrid w:val="0"/>
                                <w:sz w:val="16"/>
                                <w:szCs w:val="16"/>
                              </w:rPr>
                              <w:t>November 30</w:t>
                            </w:r>
                            <w:r w:rsidRPr="00E65E68">
                              <w:rPr>
                                <w:rFonts w:cs="Arial"/>
                                <w:bCs/>
                                <w:snapToGrid w:val="0"/>
                                <w:sz w:val="16"/>
                                <w:szCs w:val="16"/>
                              </w:rPr>
                              <w:t xml:space="preserve"> will not be scored or publicly reported.</w:t>
                            </w:r>
                          </w:p>
                        </w:txbxContent>
                      </wps:txbx>
                      <wps:bodyPr rot="0" vert="horz" wrap="square" lIns="91440" tIns="45720" rIns="91440" bIns="45720" anchor="t" anchorCtr="0">
                        <a:spAutoFit/>
                      </wps:bodyPr>
                    </wps:wsp>
                  </a:graphicData>
                </a:graphic>
              </wp:inline>
            </w:drawing>
          </mc:Choice>
          <mc:Fallback>
            <w:pict>
              <v:shape w14:anchorId="215B0D94" id="_x0000_s1057" type="#_x0000_t202" alt="P10235TB30#y1" style="width:498.3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" strokecolor="red">
                <v:textbox style="mso-fit-shape-to-text:t">
                  <w:txbxContent>
                    <w:p w14:paraId="13AF9A92" w14:textId="56933AD5" w:rsidR="00FF6EC5" w:rsidRPr="009A5185" w:rsidRDefault="00FF6EC5" w:rsidP="00FF6EC5">
                      <w:pPr>
                        <w:spacing w:before="40"/>
                        <w:rPr>
                          <w:rFonts w:cs="Arial"/>
                          <w:b/>
                          <w:snapToGrid w:val="0"/>
                        </w:rPr>
                      </w:pPr>
                      <w:r w:rsidRPr="009A5185">
                        <w:rPr>
                          <w:rFonts w:cs="Arial"/>
                          <w:b/>
                          <w:snapToGrid w:val="0"/>
                        </w:rPr>
                        <w:t>Reporting Period: 12 months</w:t>
                      </w:r>
                    </w:p>
                    <w:p w14:paraId="52C99FD7" w14:textId="77777777" w:rsidR="00FF6EC5" w:rsidRDefault="00FF6EC5" w:rsidP="00FF6EC5">
                      <w:pPr>
                        <w:spacing w:before="40"/>
                        <w:rPr>
                          <w:rFonts w:cs="Arial"/>
                          <w:snapToGrid w:val="0"/>
                        </w:rPr>
                      </w:pPr>
                      <w:r w:rsidRPr="009A5185">
                        <w:rPr>
                          <w:rFonts w:cs="Arial"/>
                          <w:snapToGrid w:val="0"/>
                        </w:rPr>
                        <w:t>Answer questions #1-</w:t>
                      </w:r>
                      <w:r>
                        <w:rPr>
                          <w:rFonts w:cs="Arial"/>
                          <w:snapToGrid w:val="0"/>
                        </w:rPr>
                        <w:t>12</w:t>
                      </w:r>
                      <w:r w:rsidRPr="009A5185">
                        <w:rPr>
                          <w:rFonts w:cs="Arial"/>
                          <w:snapToGrid w:val="0"/>
                        </w:rPr>
                        <w:t xml:space="preserve"> for the latest 12-month period prior to the submission of this section of the Survey.</w:t>
                      </w:r>
                    </w:p>
                    <w:p w14:paraId="1C05DBEA" w14:textId="77777777" w:rsidR="00FF6EC5" w:rsidRDefault="00FF6EC5" w:rsidP="00FF6EC5">
                      <w:pPr>
                        <w:spacing w:before="40"/>
                        <w:rPr>
                          <w:rFonts w:cs="Arial"/>
                          <w:snapToGrid w:val="0"/>
                        </w:rPr>
                      </w:pPr>
                    </w:p>
                    <w:p w14:paraId="54F07515" w14:textId="0F80ADAB" w:rsidR="00FF6EC5" w:rsidRDefault="00FF6EC5" w:rsidP="00FF6EC5">
                      <w:r w:rsidRPr="006547C0">
                        <w:rPr>
                          <w:rFonts w:cs="Arial"/>
                          <w:sz w:val="16"/>
                          <w:szCs w:val="16"/>
                        </w:rPr>
                        <w:t xml:space="preserve">Note: As a reminder, the </w:t>
                      </w:r>
                      <w:hyperlink r:id="rId441" w:history="1">
                        <w:r w:rsidRPr="006547C0">
                          <w:rPr>
                            <w:rStyle w:val="Hyperlink"/>
                            <w:rFonts w:cs="Arial"/>
                            <w:sz w:val="16"/>
                            <w:szCs w:val="16"/>
                          </w:rPr>
                          <w:t>Corrections Period</w:t>
                        </w:r>
                      </w:hyperlink>
                      <w:r w:rsidRPr="006547C0">
                        <w:rPr>
                          <w:rFonts w:cs="Arial"/>
                          <w:sz w:val="16"/>
                          <w:szCs w:val="16"/>
                        </w:rPr>
                        <w:t xml:space="preserve"> </w:t>
                      </w:r>
                      <w:r w:rsidRPr="00E65E68">
                        <w:rPr>
                          <w:rFonts w:cs="Arial"/>
                          <w:sz w:val="16"/>
                          <w:szCs w:val="16"/>
                        </w:rPr>
                        <w:t>(</w:t>
                      </w:r>
                      <w:r>
                        <w:rPr>
                          <w:rFonts w:cs="Arial"/>
                          <w:sz w:val="16"/>
                          <w:szCs w:val="16"/>
                        </w:rPr>
                        <w:t>December</w:t>
                      </w:r>
                      <w:r w:rsidRPr="00E65E68">
                        <w:rPr>
                          <w:rFonts w:cs="Arial"/>
                          <w:sz w:val="16"/>
                          <w:szCs w:val="16"/>
                        </w:rPr>
                        <w:t xml:space="preserve"> 1-January 31) is reserved for corrections to previously submitted Surveys only. </w:t>
                      </w:r>
                      <w:r w:rsidRPr="00E65E68">
                        <w:rPr>
                          <w:rFonts w:cs="Arial"/>
                          <w:bCs/>
                          <w:snapToGrid w:val="0"/>
                          <w:sz w:val="16"/>
                          <w:szCs w:val="16"/>
                        </w:rPr>
                        <w:t xml:space="preserve">Any updates made to reflect a change in performance must be made prior to the </w:t>
                      </w:r>
                      <w:r>
                        <w:rPr>
                          <w:rFonts w:cs="Arial"/>
                          <w:bCs/>
                          <w:snapToGrid w:val="0"/>
                          <w:sz w:val="16"/>
                          <w:szCs w:val="16"/>
                        </w:rPr>
                        <w:t>November 30</w:t>
                      </w:r>
                      <w:r w:rsidRPr="00E65E68">
                        <w:rPr>
                          <w:rFonts w:cs="Arial"/>
                          <w:bCs/>
                          <w:snapToGrid w:val="0"/>
                          <w:sz w:val="16"/>
                          <w:szCs w:val="16"/>
                        </w:rPr>
                        <w:t xml:space="preserve"> Late Submission </w:t>
                      </w:r>
                      <w:r>
                        <w:rPr>
                          <w:rFonts w:cs="Arial"/>
                          <w:bCs/>
                          <w:snapToGrid w:val="0"/>
                          <w:sz w:val="16"/>
                          <w:szCs w:val="16"/>
                        </w:rPr>
                        <w:t xml:space="preserve">and Performance Update </w:t>
                      </w:r>
                      <w:r w:rsidRPr="00E65E68">
                        <w:rPr>
                          <w:rFonts w:cs="Arial"/>
                          <w:bCs/>
                          <w:snapToGrid w:val="0"/>
                          <w:sz w:val="16"/>
                          <w:szCs w:val="16"/>
                        </w:rPr>
                        <w:t xml:space="preserve">Deadline. Updates made to reflect a change in performance after </w:t>
                      </w:r>
                      <w:r>
                        <w:rPr>
                          <w:rFonts w:cs="Arial"/>
                          <w:bCs/>
                          <w:snapToGrid w:val="0"/>
                          <w:sz w:val="16"/>
                          <w:szCs w:val="16"/>
                        </w:rPr>
                        <w:t>November 30</w:t>
                      </w:r>
                      <w:r w:rsidRPr="00E65E68">
                        <w:rPr>
                          <w:rFonts w:cs="Arial"/>
                          <w:bCs/>
                          <w:snapToGrid w:val="0"/>
                          <w:sz w:val="16"/>
                          <w:szCs w:val="16"/>
                        </w:rPr>
                        <w:t xml:space="preserve"> will not be scored or publicly reported.</w:t>
                      </w:r>
                    </w:p>
                  </w:txbxContent>
                </v:textbox>
                <w10:anchorlock/>
              </v:shape>
            </w:pict>
          </mc:Fallback>
        </mc:AlternateContent>
      </w:r>
    </w:p>
    <w:p w14:paraId="3C942EB1" w14:textId="77777777" w:rsidR="005D3D07" w:rsidRPr="00FF6EC5" w:rsidRDefault="005D3D07">
      <w:pPr>
        <w:rPr>
          <w:rFonts w:cs="Arial"/>
        </w:rPr>
      </w:pPr>
    </w:p>
    <w:tbl>
      <w:tblPr>
        <w:tblW w:w="99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67"/>
        <w:gridCol w:w="2908"/>
      </w:tblGrid>
      <w:tr w:rsidR="005D3D07" w:rsidRPr="009A5185" w14:paraId="3B7D3754" w14:textId="77777777" w:rsidTr="002D5AA9">
        <w:trPr>
          <w:trHeight w:val="20"/>
        </w:trPr>
        <w:tc>
          <w:tcPr>
            <w:tcW w:w="7067" w:type="dxa"/>
            <w:vAlign w:val="center"/>
          </w:tcPr>
          <w:p w14:paraId="1BD01325" w14:textId="6F39D84F" w:rsidR="005D3D07" w:rsidRPr="009A5185" w:rsidRDefault="002D77A1" w:rsidP="00AD309C">
            <w:pPr>
              <w:numPr>
                <w:ilvl w:val="0"/>
                <w:numId w:val="50"/>
              </w:numPr>
              <w:spacing w:before="120" w:after="120"/>
              <w:rPr>
                <w:rFonts w:cs="Arial"/>
              </w:rPr>
            </w:pPr>
            <w:r w:rsidRPr="009A5185">
              <w:rPr>
                <w:rFonts w:cs="Arial"/>
              </w:rPr>
              <w:t>What is the latest 12-month reporting period for which your hospital is submitting responses to this section? 12-month reporting period</w:t>
            </w:r>
            <w:r w:rsidR="00734158" w:rsidRPr="009A5185">
              <w:rPr>
                <w:rFonts w:cs="Arial"/>
              </w:rPr>
              <w:t xml:space="preserve"> ending</w:t>
            </w:r>
            <w:r w:rsidRPr="009A5185">
              <w:rPr>
                <w:rFonts w:cs="Arial"/>
              </w:rPr>
              <w:t>:</w:t>
            </w:r>
          </w:p>
        </w:tc>
        <w:tc>
          <w:tcPr>
            <w:tcW w:w="2908" w:type="dxa"/>
            <w:vAlign w:val="center"/>
          </w:tcPr>
          <w:p w14:paraId="4A69F783" w14:textId="67AE5FC0" w:rsidR="002D77A1" w:rsidRPr="009A5185" w:rsidRDefault="00560EEE" w:rsidP="00560EEE">
            <w:pPr>
              <w:jc w:val="center"/>
              <w:rPr>
                <w:rFonts w:cs="Arial"/>
              </w:rPr>
            </w:pPr>
            <w:r>
              <w:rPr>
                <w:rFonts w:cs="Arial"/>
                <w:snapToGrid w:val="0"/>
              </w:rPr>
              <w:t>__</w:t>
            </w:r>
            <w:r w:rsidR="002D77A1" w:rsidRPr="009A5185">
              <w:rPr>
                <w:rFonts w:cs="Arial"/>
              </w:rPr>
              <w:t>____</w:t>
            </w:r>
          </w:p>
          <w:p w14:paraId="5E494231" w14:textId="4ADF915C" w:rsidR="002D77A1" w:rsidRPr="009A5185" w:rsidRDefault="002D77A1" w:rsidP="00560EEE">
            <w:pPr>
              <w:jc w:val="center"/>
              <w:rPr>
                <w:rFonts w:cs="Arial"/>
                <w:i/>
                <w:snapToGrid w:val="0"/>
              </w:rPr>
            </w:pPr>
            <w:r w:rsidRPr="009A5185">
              <w:rPr>
                <w:rFonts w:cs="Arial"/>
                <w:i/>
                <w:snapToGrid w:val="0"/>
                <w:sz w:val="16"/>
                <w:szCs w:val="16"/>
              </w:rPr>
              <w:t>Format: M</w:t>
            </w:r>
            <w:r w:rsidR="00971518">
              <w:rPr>
                <w:rFonts w:cs="Arial"/>
                <w:i/>
                <w:snapToGrid w:val="0"/>
                <w:sz w:val="16"/>
                <w:szCs w:val="16"/>
              </w:rPr>
              <w:t>on</w:t>
            </w:r>
            <w:r w:rsidR="0074456F">
              <w:rPr>
                <w:rFonts w:cs="Arial"/>
                <w:i/>
                <w:snapToGrid w:val="0"/>
                <w:sz w:val="16"/>
                <w:szCs w:val="16"/>
              </w:rPr>
              <w:t>th</w:t>
            </w:r>
            <w:r w:rsidRPr="009A5185">
              <w:rPr>
                <w:rFonts w:cs="Arial"/>
                <w:i/>
                <w:snapToGrid w:val="0"/>
                <w:sz w:val="16"/>
                <w:szCs w:val="16"/>
              </w:rPr>
              <w:t>/Y</w:t>
            </w:r>
            <w:r w:rsidR="0074456F">
              <w:rPr>
                <w:rFonts w:cs="Arial"/>
                <w:i/>
                <w:snapToGrid w:val="0"/>
                <w:sz w:val="16"/>
                <w:szCs w:val="16"/>
              </w:rPr>
              <w:t>ear</w:t>
            </w:r>
          </w:p>
        </w:tc>
      </w:tr>
      <w:tr w:rsidR="00404E56" w:rsidRPr="009A5185" w14:paraId="52365BB4" w14:textId="77777777" w:rsidTr="003E37E3">
        <w:trPr>
          <w:trHeight w:val="2160"/>
        </w:trPr>
        <w:tc>
          <w:tcPr>
            <w:tcW w:w="7067" w:type="dxa"/>
            <w:vAlign w:val="center"/>
          </w:tcPr>
          <w:p w14:paraId="4DC07013" w14:textId="77777777" w:rsidR="00FE1E3D" w:rsidRPr="009A5185" w:rsidRDefault="00D623D8" w:rsidP="00AD309C">
            <w:pPr>
              <w:pStyle w:val="ListParagraph"/>
              <w:numPr>
                <w:ilvl w:val="0"/>
                <w:numId w:val="61"/>
              </w:numPr>
              <w:rPr>
                <w:rFonts w:cs="Arial"/>
              </w:rPr>
            </w:pPr>
            <w:r w:rsidRPr="009A5185">
              <w:rPr>
                <w:rFonts w:cs="Arial"/>
              </w:rPr>
              <w:t xml:space="preserve">Did your hospital have at least </w:t>
            </w:r>
            <w:r w:rsidR="00B816E7" w:rsidRPr="009A5185">
              <w:rPr>
                <w:rFonts w:cs="Arial"/>
              </w:rPr>
              <w:t>500</w:t>
            </w:r>
            <w:r w:rsidRPr="009A5185">
              <w:rPr>
                <w:rFonts w:cs="Arial"/>
              </w:rPr>
              <w:t xml:space="preserve"> pediatric acute-care admissions during the </w:t>
            </w:r>
            <w:r w:rsidR="004C6F16" w:rsidRPr="009A5185">
              <w:rPr>
                <w:rFonts w:cs="Arial"/>
              </w:rPr>
              <w:t>12-month p</w:t>
            </w:r>
            <w:r w:rsidR="00923671" w:rsidRPr="009A5185">
              <w:rPr>
                <w:rFonts w:cs="Arial"/>
              </w:rPr>
              <w:t>eriod referenced in Section 1, q</w:t>
            </w:r>
            <w:r w:rsidR="004C6F16" w:rsidRPr="009A5185">
              <w:rPr>
                <w:rFonts w:cs="Arial"/>
              </w:rPr>
              <w:t>uestion #5</w:t>
            </w:r>
            <w:r w:rsidRPr="009A5185">
              <w:rPr>
                <w:rFonts w:cs="Arial"/>
              </w:rPr>
              <w:t>?</w:t>
            </w:r>
          </w:p>
          <w:p w14:paraId="6A986B95" w14:textId="77777777" w:rsidR="00D623D8" w:rsidRPr="009A5185" w:rsidRDefault="00D623D8" w:rsidP="003E37E3">
            <w:pPr>
              <w:ind w:left="360"/>
              <w:rPr>
                <w:rFonts w:cs="Arial"/>
              </w:rPr>
            </w:pPr>
          </w:p>
          <w:p w14:paraId="7464156F" w14:textId="24F93AEE" w:rsidR="00360059" w:rsidRDefault="00FE1E3D" w:rsidP="003E37E3">
            <w:pPr>
              <w:ind w:left="360"/>
              <w:rPr>
                <w:rFonts w:cs="Arial"/>
                <w:i/>
              </w:rPr>
            </w:pPr>
            <w:r w:rsidRPr="009A5185">
              <w:rPr>
                <w:rFonts w:cs="Arial"/>
                <w:i/>
              </w:rPr>
              <w:t>Refer to your response</w:t>
            </w:r>
            <w:r w:rsidR="000D708D">
              <w:rPr>
                <w:rFonts w:cs="Arial"/>
                <w:i/>
              </w:rPr>
              <w:t>s</w:t>
            </w:r>
            <w:r w:rsidRPr="009A5185">
              <w:rPr>
                <w:rFonts w:cs="Arial"/>
                <w:i/>
              </w:rPr>
              <w:t xml:space="preserve"> to question</w:t>
            </w:r>
            <w:r w:rsidR="000D708D">
              <w:rPr>
                <w:rFonts w:cs="Arial"/>
                <w:i/>
              </w:rPr>
              <w:t>s</w:t>
            </w:r>
            <w:r w:rsidRPr="009A5185">
              <w:rPr>
                <w:rFonts w:cs="Arial"/>
                <w:i/>
              </w:rPr>
              <w:t xml:space="preserve"> #5</w:t>
            </w:r>
            <w:r w:rsidR="000D708D">
              <w:rPr>
                <w:rFonts w:cs="Arial"/>
                <w:i/>
              </w:rPr>
              <w:t xml:space="preserve"> and #1</w:t>
            </w:r>
            <w:r w:rsidR="009F5229">
              <w:rPr>
                <w:rFonts w:cs="Arial"/>
                <w:i/>
              </w:rPr>
              <w:t>2</w:t>
            </w:r>
            <w:r w:rsidRPr="009A5185">
              <w:rPr>
                <w:rFonts w:cs="Arial"/>
                <w:i/>
              </w:rPr>
              <w:t xml:space="preserve"> in </w:t>
            </w:r>
            <w:hyperlink w:anchor="_1A:_Basic_Hospital" w:history="1">
              <w:r w:rsidRPr="009A5185">
                <w:rPr>
                  <w:rStyle w:val="Hyperlink"/>
                  <w:rFonts w:cs="Arial"/>
                  <w:i/>
                </w:rPr>
                <w:t>Section 1</w:t>
              </w:r>
              <w:r w:rsidR="00D35771">
                <w:rPr>
                  <w:rStyle w:val="Hyperlink"/>
                  <w:rFonts w:cs="Arial"/>
                  <w:i/>
                </w:rPr>
                <w:t>A</w:t>
              </w:r>
              <w:r w:rsidR="005F6F34">
                <w:rPr>
                  <w:rStyle w:val="Hyperlink"/>
                  <w:rFonts w:cs="Arial"/>
                  <w:i/>
                </w:rPr>
                <w:t>:</w:t>
              </w:r>
              <w:r w:rsidRPr="009A5185">
                <w:rPr>
                  <w:rStyle w:val="Hyperlink"/>
                  <w:rFonts w:cs="Arial"/>
                  <w:i/>
                </w:rPr>
                <w:t xml:space="preserve"> Basic Hospital Information</w:t>
              </w:r>
            </w:hyperlink>
            <w:r w:rsidRPr="009A5185">
              <w:rPr>
                <w:rFonts w:cs="Arial"/>
                <w:i/>
              </w:rPr>
              <w:t>.</w:t>
            </w:r>
            <w:r w:rsidR="00044480" w:rsidRPr="009A5185">
              <w:rPr>
                <w:rFonts w:cs="Arial"/>
                <w:i/>
              </w:rPr>
              <w:t xml:space="preserve"> </w:t>
            </w:r>
          </w:p>
          <w:p w14:paraId="3E972927" w14:textId="77777777" w:rsidR="00360059" w:rsidRDefault="00360059" w:rsidP="003E37E3">
            <w:pPr>
              <w:ind w:left="360"/>
              <w:rPr>
                <w:rFonts w:cs="Arial"/>
                <w:i/>
              </w:rPr>
            </w:pPr>
          </w:p>
          <w:p w14:paraId="0B5D833B" w14:textId="13512671" w:rsidR="00FC1052" w:rsidRPr="003E37E3" w:rsidRDefault="00404E56" w:rsidP="003E37E3">
            <w:pPr>
              <w:ind w:left="360"/>
              <w:rPr>
                <w:rFonts w:cs="Arial"/>
                <w:i/>
              </w:rPr>
            </w:pPr>
            <w:r w:rsidRPr="002D735F">
              <w:rPr>
                <w:rFonts w:cs="Arial"/>
                <w:i/>
              </w:rPr>
              <w:t>If “no”</w:t>
            </w:r>
            <w:r w:rsidR="00B811B6" w:rsidRPr="002D735F">
              <w:rPr>
                <w:rFonts w:cs="Arial"/>
                <w:i/>
              </w:rPr>
              <w:t xml:space="preserve"> </w:t>
            </w:r>
            <w:r w:rsidR="009F5A9D" w:rsidRPr="002D735F">
              <w:rPr>
                <w:rFonts w:cs="Arial"/>
                <w:i/>
              </w:rPr>
              <w:t>or “yes, but fewer than 100 pediatric admi</w:t>
            </w:r>
            <w:r w:rsidR="000A63E5" w:rsidRPr="002D735F">
              <w:rPr>
                <w:rFonts w:cs="Arial"/>
                <w:i/>
              </w:rPr>
              <w:t>s</w:t>
            </w:r>
            <w:r w:rsidR="009F5A9D" w:rsidRPr="002D735F">
              <w:rPr>
                <w:rFonts w:cs="Arial"/>
                <w:i/>
              </w:rPr>
              <w:t>sions were for non-NICU patients</w:t>
            </w:r>
            <w:r w:rsidR="00B811B6" w:rsidRPr="002D735F">
              <w:rPr>
                <w:rFonts w:cs="Arial"/>
                <w:i/>
              </w:rPr>
              <w:t>,</w:t>
            </w:r>
            <w:r w:rsidR="009F5A9D" w:rsidRPr="002D735F">
              <w:rPr>
                <w:rFonts w:cs="Arial"/>
                <w:i/>
              </w:rPr>
              <w:t>”</w:t>
            </w:r>
            <w:r w:rsidRPr="002D735F">
              <w:rPr>
                <w:rFonts w:cs="Arial"/>
                <w:i/>
              </w:rPr>
              <w:t xml:space="preserve"> skip questions</w:t>
            </w:r>
            <w:r w:rsidR="00B811B6" w:rsidRPr="002D735F">
              <w:rPr>
                <w:rFonts w:cs="Arial"/>
                <w:i/>
              </w:rPr>
              <w:t xml:space="preserve"> #3-</w:t>
            </w:r>
            <w:r w:rsidR="000F4863">
              <w:rPr>
                <w:rFonts w:cs="Arial"/>
                <w:i/>
              </w:rPr>
              <w:t>1</w:t>
            </w:r>
            <w:r w:rsidR="00411788">
              <w:rPr>
                <w:rFonts w:cs="Arial"/>
                <w:i/>
              </w:rPr>
              <w:t>2</w:t>
            </w:r>
            <w:r w:rsidR="000F4863" w:rsidRPr="002D735F">
              <w:rPr>
                <w:rFonts w:cs="Arial"/>
                <w:i/>
              </w:rPr>
              <w:t xml:space="preserve"> </w:t>
            </w:r>
            <w:r w:rsidR="00B11972" w:rsidRPr="002D735F">
              <w:rPr>
                <w:rFonts w:cs="Arial"/>
                <w:i/>
              </w:rPr>
              <w:t xml:space="preserve">and </w:t>
            </w:r>
            <w:r w:rsidR="00B811B6" w:rsidRPr="002D735F">
              <w:rPr>
                <w:rFonts w:cs="Arial"/>
                <w:i/>
              </w:rPr>
              <w:t>continue</w:t>
            </w:r>
            <w:r w:rsidR="00B11972" w:rsidRPr="002D735F">
              <w:rPr>
                <w:rFonts w:cs="Arial"/>
                <w:i/>
              </w:rPr>
              <w:t xml:space="preserve"> to the next subsection.</w:t>
            </w:r>
            <w:r w:rsidR="0079612A" w:rsidRPr="002D735F">
              <w:rPr>
                <w:rFonts w:cs="Arial"/>
                <w:i/>
              </w:rPr>
              <w:t xml:space="preserve"> The hospital wil</w:t>
            </w:r>
            <w:r w:rsidR="00FC1052" w:rsidRPr="002D735F">
              <w:rPr>
                <w:rFonts w:cs="Arial"/>
                <w:i/>
              </w:rPr>
              <w:t>l be scored as “Does Not Apply.”</w:t>
            </w:r>
          </w:p>
        </w:tc>
        <w:tc>
          <w:tcPr>
            <w:tcW w:w="2908" w:type="dxa"/>
            <w:vAlign w:val="center"/>
          </w:tcPr>
          <w:p w14:paraId="5881EF3A" w14:textId="72DB8953" w:rsidR="00404E56" w:rsidRPr="00B11BF3" w:rsidRDefault="00404E56" w:rsidP="00AD309C">
            <w:pPr>
              <w:pStyle w:val="ListParagraph"/>
              <w:numPr>
                <w:ilvl w:val="0"/>
                <w:numId w:val="322"/>
              </w:numPr>
            </w:pPr>
            <w:r w:rsidRPr="00B11BF3">
              <w:t>Yes</w:t>
            </w:r>
          </w:p>
          <w:p w14:paraId="0BC3754A" w14:textId="6B301762" w:rsidR="009F5A9D" w:rsidRPr="00B11BF3" w:rsidRDefault="009F5A9D" w:rsidP="00AD309C">
            <w:pPr>
              <w:pStyle w:val="ListParagraph"/>
              <w:numPr>
                <w:ilvl w:val="0"/>
                <w:numId w:val="322"/>
              </w:numPr>
              <w:rPr>
                <w:rFonts w:cs="Arial"/>
                <w:iCs/>
              </w:rPr>
            </w:pPr>
            <w:r w:rsidRPr="00B11BF3">
              <w:rPr>
                <w:rFonts w:cs="Arial"/>
                <w:iCs/>
              </w:rPr>
              <w:t>Yes, but fewer than 100 pediatric admissions were for non-NICU patients</w:t>
            </w:r>
          </w:p>
          <w:p w14:paraId="64775CF7" w14:textId="77777777" w:rsidR="00404E56" w:rsidRPr="00B11BF3" w:rsidRDefault="00404E56" w:rsidP="00AD309C">
            <w:pPr>
              <w:pStyle w:val="ListParagraph"/>
              <w:numPr>
                <w:ilvl w:val="0"/>
                <w:numId w:val="322"/>
              </w:numPr>
              <w:rPr>
                <w:rFonts w:cs="Arial"/>
                <w:iCs/>
                <w:snapToGrid w:val="0"/>
              </w:rPr>
            </w:pPr>
            <w:r w:rsidRPr="00B11BF3">
              <w:rPr>
                <w:rFonts w:cs="Arial"/>
                <w:iCs/>
              </w:rPr>
              <w:t>No</w:t>
            </w:r>
          </w:p>
        </w:tc>
      </w:tr>
      <w:tr w:rsidR="005D3D07" w:rsidRPr="009A5185" w14:paraId="6DC8C611" w14:textId="77777777" w:rsidTr="002D5AA9">
        <w:trPr>
          <w:trHeight w:val="1152"/>
        </w:trPr>
        <w:tc>
          <w:tcPr>
            <w:tcW w:w="7067" w:type="dxa"/>
            <w:vAlign w:val="center"/>
          </w:tcPr>
          <w:p w14:paraId="2E395565" w14:textId="46DE0229" w:rsidR="0093731B" w:rsidRDefault="00FE1E3D" w:rsidP="00AD309C">
            <w:pPr>
              <w:numPr>
                <w:ilvl w:val="0"/>
                <w:numId w:val="62"/>
              </w:numPr>
              <w:rPr>
                <w:rFonts w:cs="Arial"/>
              </w:rPr>
            </w:pPr>
            <w:bookmarkStart w:id="679" w:name="_Hlk67925719"/>
            <w:r w:rsidRPr="00AC02AA">
              <w:rPr>
                <w:rFonts w:cs="Arial"/>
              </w:rPr>
              <w:t>Has your hospital administered</w:t>
            </w:r>
            <w:r w:rsidR="00B51AD5" w:rsidRPr="00AC02AA">
              <w:rPr>
                <w:rFonts w:cs="Arial"/>
              </w:rPr>
              <w:t xml:space="preserve">, </w:t>
            </w:r>
            <w:r w:rsidR="002D77A1" w:rsidRPr="00AC02AA">
              <w:rPr>
                <w:rFonts w:cs="Arial"/>
              </w:rPr>
              <w:t>or started to administer</w:t>
            </w:r>
            <w:r w:rsidR="00B40EA4">
              <w:rPr>
                <w:rFonts w:cs="Arial"/>
              </w:rPr>
              <w:t xml:space="preserve"> the</w:t>
            </w:r>
            <w:r w:rsidR="001440BF" w:rsidRPr="00AC02AA">
              <w:rPr>
                <w:rFonts w:cs="Arial"/>
              </w:rPr>
              <w:t xml:space="preserve"> </w:t>
            </w:r>
            <w:r w:rsidR="002D77A1" w:rsidRPr="00AC02AA">
              <w:rPr>
                <w:rFonts w:cs="Arial"/>
              </w:rPr>
              <w:t xml:space="preserve">CAHPS Child Hospital </w:t>
            </w:r>
            <w:r w:rsidR="00C14AFF" w:rsidRPr="00AC02AA">
              <w:rPr>
                <w:rFonts w:cs="Arial"/>
              </w:rPr>
              <w:t>Survey</w:t>
            </w:r>
            <w:r w:rsidRPr="00AC02AA">
              <w:rPr>
                <w:rFonts w:cs="Arial"/>
              </w:rPr>
              <w:t xml:space="preserve"> during the reporting period</w:t>
            </w:r>
            <w:r w:rsidR="00D14644">
              <w:rPr>
                <w:rFonts w:cs="Arial"/>
              </w:rPr>
              <w:t>?</w:t>
            </w:r>
          </w:p>
          <w:bookmarkEnd w:id="679"/>
          <w:p w14:paraId="7343340B" w14:textId="77777777" w:rsidR="005D3D07" w:rsidRPr="00127403" w:rsidRDefault="005D3D07" w:rsidP="003E37E3">
            <w:pPr>
              <w:rPr>
                <w:rFonts w:cs="Arial"/>
              </w:rPr>
            </w:pPr>
          </w:p>
          <w:p w14:paraId="058BB458" w14:textId="142D113E" w:rsidR="008D6E32" w:rsidRPr="0002601E" w:rsidRDefault="005D3D07" w:rsidP="003E37E3">
            <w:pPr>
              <w:ind w:left="360"/>
              <w:rPr>
                <w:rFonts w:cs="Arial"/>
                <w:i/>
              </w:rPr>
            </w:pPr>
            <w:r w:rsidRPr="00127403">
              <w:rPr>
                <w:rFonts w:cs="Arial"/>
                <w:i/>
              </w:rPr>
              <w:t>If “no”</w:t>
            </w:r>
            <w:r w:rsidR="00BD27CC" w:rsidRPr="00127403">
              <w:rPr>
                <w:rFonts w:cs="Arial"/>
                <w:i/>
              </w:rPr>
              <w:t xml:space="preserve"> to question #3,</w:t>
            </w:r>
            <w:r w:rsidRPr="00127403">
              <w:rPr>
                <w:rFonts w:cs="Arial"/>
                <w:i/>
              </w:rPr>
              <w:t xml:space="preserve"> skip questions </w:t>
            </w:r>
            <w:r w:rsidR="00BD27CC" w:rsidRPr="00127403">
              <w:rPr>
                <w:rFonts w:cs="Arial"/>
                <w:i/>
              </w:rPr>
              <w:t>#4-</w:t>
            </w:r>
            <w:r w:rsidR="00097EDF">
              <w:rPr>
                <w:rFonts w:cs="Arial"/>
                <w:i/>
              </w:rPr>
              <w:t>1</w:t>
            </w:r>
            <w:r w:rsidR="00411788">
              <w:rPr>
                <w:rFonts w:cs="Arial"/>
                <w:i/>
              </w:rPr>
              <w:t>2</w:t>
            </w:r>
            <w:r w:rsidR="002D77A1" w:rsidRPr="00127403">
              <w:rPr>
                <w:rFonts w:cs="Arial"/>
                <w:i/>
              </w:rPr>
              <w:t xml:space="preserve"> and </w:t>
            </w:r>
            <w:r w:rsidR="00BD27CC" w:rsidRPr="00127403">
              <w:rPr>
                <w:rFonts w:cs="Arial"/>
                <w:i/>
              </w:rPr>
              <w:t>continue</w:t>
            </w:r>
            <w:r w:rsidR="002D77A1" w:rsidRPr="00127403">
              <w:rPr>
                <w:rFonts w:cs="Arial"/>
                <w:i/>
              </w:rPr>
              <w:t xml:space="preserve"> to the next subsection</w:t>
            </w:r>
            <w:r w:rsidR="00F83ABA" w:rsidRPr="00127403">
              <w:rPr>
                <w:rFonts w:cs="Arial"/>
                <w:i/>
              </w:rPr>
              <w:t>.</w:t>
            </w:r>
            <w:r w:rsidR="0079612A" w:rsidRPr="00127403">
              <w:rPr>
                <w:rFonts w:cs="Arial"/>
                <w:i/>
              </w:rPr>
              <w:t xml:space="preserve"> The hospital will be </w:t>
            </w:r>
            <w:r w:rsidR="00044480" w:rsidRPr="00127403">
              <w:rPr>
                <w:rFonts w:cs="Arial"/>
                <w:i/>
              </w:rPr>
              <w:t>scored as “</w:t>
            </w:r>
            <w:r w:rsidR="000B346C">
              <w:rPr>
                <w:rFonts w:cs="Arial"/>
                <w:i/>
              </w:rPr>
              <w:t>Did Not Measure</w:t>
            </w:r>
            <w:r w:rsidR="00044480" w:rsidRPr="00127403">
              <w:rPr>
                <w:rFonts w:cs="Arial"/>
                <w:i/>
              </w:rPr>
              <w:t>.”</w:t>
            </w:r>
          </w:p>
        </w:tc>
        <w:tc>
          <w:tcPr>
            <w:tcW w:w="2908" w:type="dxa"/>
            <w:vAlign w:val="center"/>
          </w:tcPr>
          <w:p w14:paraId="5B924858" w14:textId="77777777" w:rsidR="005D3D07" w:rsidRPr="00B11BF3" w:rsidRDefault="005D3D07" w:rsidP="00AD309C">
            <w:pPr>
              <w:pStyle w:val="ListParagraph"/>
              <w:numPr>
                <w:ilvl w:val="0"/>
                <w:numId w:val="321"/>
              </w:numPr>
              <w:rPr>
                <w:rFonts w:cs="Arial"/>
                <w:iCs/>
              </w:rPr>
            </w:pPr>
            <w:r w:rsidRPr="00B11BF3">
              <w:rPr>
                <w:rFonts w:cs="Arial"/>
                <w:iCs/>
              </w:rPr>
              <w:t>Yes</w:t>
            </w:r>
          </w:p>
          <w:p w14:paraId="15EE3089" w14:textId="77777777" w:rsidR="005D3D07" w:rsidRPr="00B11BF3" w:rsidRDefault="005D3D07" w:rsidP="00AD309C">
            <w:pPr>
              <w:pStyle w:val="ListParagraph"/>
              <w:numPr>
                <w:ilvl w:val="0"/>
                <w:numId w:val="321"/>
              </w:numPr>
              <w:rPr>
                <w:rFonts w:cs="Arial"/>
                <w:iCs/>
              </w:rPr>
            </w:pPr>
            <w:r w:rsidRPr="00B11BF3">
              <w:rPr>
                <w:rFonts w:cs="Arial"/>
                <w:iCs/>
              </w:rPr>
              <w:t>No</w:t>
            </w:r>
          </w:p>
        </w:tc>
      </w:tr>
      <w:tr w:rsidR="00411788" w:rsidRPr="009A5185" w14:paraId="0D413722" w14:textId="77777777" w:rsidTr="00EA43F0">
        <w:trPr>
          <w:trHeight w:val="1440"/>
        </w:trPr>
        <w:tc>
          <w:tcPr>
            <w:tcW w:w="7067" w:type="dxa"/>
            <w:vAlign w:val="center"/>
          </w:tcPr>
          <w:p w14:paraId="4F1DA0BC" w14:textId="5D1B16D0" w:rsidR="00411788" w:rsidRDefault="00411788" w:rsidP="00AD309C">
            <w:pPr>
              <w:numPr>
                <w:ilvl w:val="0"/>
                <w:numId w:val="62"/>
              </w:numPr>
              <w:rPr>
                <w:rFonts w:cs="Arial"/>
              </w:rPr>
            </w:pPr>
            <w:r>
              <w:rPr>
                <w:rFonts w:cs="Arial"/>
              </w:rPr>
              <w:t>Did your hospital administer the full CAHPS Child Hospital Survey or a truncated version?</w:t>
            </w:r>
          </w:p>
          <w:p w14:paraId="297A6322" w14:textId="77777777" w:rsidR="00411788" w:rsidRDefault="00411788" w:rsidP="003E37E3">
            <w:pPr>
              <w:rPr>
                <w:rFonts w:cs="Arial"/>
              </w:rPr>
            </w:pPr>
          </w:p>
          <w:p w14:paraId="6186E4F2" w14:textId="599B6377" w:rsidR="00411788" w:rsidRPr="0002601E" w:rsidRDefault="00411788" w:rsidP="003E37E3">
            <w:pPr>
              <w:ind w:left="360"/>
              <w:rPr>
                <w:rFonts w:cs="Arial"/>
                <w:i/>
                <w:iCs/>
              </w:rPr>
            </w:pPr>
            <w:r w:rsidRPr="0002601E">
              <w:rPr>
                <w:rFonts w:cs="Arial"/>
                <w:i/>
                <w:iCs/>
              </w:rPr>
              <w:t xml:space="preserve">If administering a truncated version, hospitals must follow the specifications for truncating the survey provided in the </w:t>
            </w:r>
            <w:hyperlink w:anchor="_Patient_Experience_(CAHPS_2" w:history="1">
              <w:r w:rsidRPr="003A20BE">
                <w:rPr>
                  <w:rStyle w:val="Hyperlink"/>
                  <w:rFonts w:cs="Arial"/>
                  <w:i/>
                  <w:iCs/>
                </w:rPr>
                <w:t>Patient Experience (CAHPS Child Hospital Survey) Measure Specifications</w:t>
              </w:r>
            </w:hyperlink>
            <w:r w:rsidRPr="0002601E">
              <w:rPr>
                <w:rFonts w:cs="Arial"/>
                <w:i/>
                <w:iCs/>
              </w:rPr>
              <w:t xml:space="preserve">. </w:t>
            </w:r>
          </w:p>
        </w:tc>
        <w:tc>
          <w:tcPr>
            <w:tcW w:w="2908" w:type="dxa"/>
            <w:vAlign w:val="center"/>
          </w:tcPr>
          <w:p w14:paraId="10E627D2" w14:textId="77777777" w:rsidR="00411788" w:rsidRPr="00B11BF3" w:rsidRDefault="00411788" w:rsidP="00AD309C">
            <w:pPr>
              <w:pStyle w:val="ListParagraph"/>
              <w:numPr>
                <w:ilvl w:val="0"/>
                <w:numId w:val="321"/>
              </w:numPr>
              <w:rPr>
                <w:rFonts w:cs="Arial"/>
                <w:iCs/>
              </w:rPr>
            </w:pPr>
            <w:r w:rsidRPr="00B11BF3">
              <w:rPr>
                <w:rFonts w:cs="Arial"/>
                <w:iCs/>
              </w:rPr>
              <w:t>Full version</w:t>
            </w:r>
          </w:p>
          <w:p w14:paraId="0F09FD25" w14:textId="76A55650" w:rsidR="00411788" w:rsidRPr="00B11BF3" w:rsidRDefault="00411788" w:rsidP="00AD309C">
            <w:pPr>
              <w:pStyle w:val="ListParagraph"/>
              <w:numPr>
                <w:ilvl w:val="0"/>
                <w:numId w:val="321"/>
              </w:numPr>
              <w:rPr>
                <w:rFonts w:cs="Arial"/>
                <w:iCs/>
              </w:rPr>
            </w:pPr>
            <w:r w:rsidRPr="00B11BF3">
              <w:rPr>
                <w:rFonts w:cs="Arial"/>
                <w:iCs/>
              </w:rPr>
              <w:t xml:space="preserve">Truncated version </w:t>
            </w:r>
          </w:p>
        </w:tc>
      </w:tr>
      <w:tr w:rsidR="00662C5E" w:rsidRPr="009A5185" w14:paraId="34D5374B" w14:textId="77777777" w:rsidTr="003E37E3">
        <w:trPr>
          <w:trHeight w:val="1008"/>
        </w:trPr>
        <w:tc>
          <w:tcPr>
            <w:tcW w:w="7067" w:type="dxa"/>
            <w:vAlign w:val="center"/>
          </w:tcPr>
          <w:p w14:paraId="7686F46B" w14:textId="77777777" w:rsidR="00662C5E" w:rsidRPr="00127403" w:rsidRDefault="00662C5E" w:rsidP="00AD309C">
            <w:pPr>
              <w:numPr>
                <w:ilvl w:val="0"/>
                <w:numId w:val="62"/>
              </w:numPr>
              <w:rPr>
                <w:rFonts w:cs="Arial"/>
              </w:rPr>
            </w:pPr>
            <w:r w:rsidRPr="00127403">
              <w:rPr>
                <w:rFonts w:cs="Arial"/>
              </w:rPr>
              <w:t xml:space="preserve">How many surveys were </w:t>
            </w:r>
            <w:r w:rsidR="00B816E7" w:rsidRPr="00127403">
              <w:rPr>
                <w:rFonts w:cs="Arial"/>
              </w:rPr>
              <w:t xml:space="preserve">returned </w:t>
            </w:r>
            <w:r w:rsidRPr="00127403">
              <w:rPr>
                <w:rFonts w:cs="Arial"/>
              </w:rPr>
              <w:t>during the reporting period?</w:t>
            </w:r>
          </w:p>
          <w:p w14:paraId="325BA43C" w14:textId="77777777" w:rsidR="00B816E7" w:rsidRPr="00127403" w:rsidRDefault="00B816E7" w:rsidP="003E37E3">
            <w:pPr>
              <w:ind w:left="360"/>
              <w:rPr>
                <w:rFonts w:cs="Arial"/>
              </w:rPr>
            </w:pPr>
          </w:p>
          <w:p w14:paraId="64F0E6EF" w14:textId="283CE896" w:rsidR="00560EEE" w:rsidRPr="009044C0" w:rsidRDefault="007648AC" w:rsidP="003E37E3">
            <w:pPr>
              <w:ind w:left="360"/>
              <w:rPr>
                <w:rFonts w:cs="Arial"/>
                <w:i/>
              </w:rPr>
            </w:pPr>
            <w:r>
              <w:rPr>
                <w:rFonts w:cs="Arial"/>
                <w:i/>
              </w:rPr>
              <w:t xml:space="preserve">If less than 100, skip </w:t>
            </w:r>
            <w:r w:rsidR="00B816E7" w:rsidRPr="00127403">
              <w:rPr>
                <w:rFonts w:cs="Arial"/>
                <w:i/>
              </w:rPr>
              <w:t xml:space="preserve">questions </w:t>
            </w:r>
            <w:r w:rsidR="00FE2DD2" w:rsidRPr="00127403">
              <w:rPr>
                <w:rFonts w:cs="Arial"/>
                <w:i/>
              </w:rPr>
              <w:t>#</w:t>
            </w:r>
            <w:r w:rsidR="00411788">
              <w:rPr>
                <w:rFonts w:cs="Arial"/>
                <w:i/>
              </w:rPr>
              <w:t>6</w:t>
            </w:r>
            <w:r w:rsidR="00FE2DD2" w:rsidRPr="00127403">
              <w:rPr>
                <w:rFonts w:cs="Arial"/>
                <w:i/>
              </w:rPr>
              <w:t>-</w:t>
            </w:r>
            <w:r w:rsidR="00097EDF">
              <w:rPr>
                <w:rFonts w:cs="Arial"/>
                <w:i/>
              </w:rPr>
              <w:t>1</w:t>
            </w:r>
            <w:r w:rsidR="00411788">
              <w:rPr>
                <w:rFonts w:cs="Arial"/>
                <w:i/>
              </w:rPr>
              <w:t>2</w:t>
            </w:r>
            <w:r w:rsidR="00097EDF" w:rsidRPr="00127403">
              <w:rPr>
                <w:rFonts w:cs="Arial"/>
                <w:i/>
              </w:rPr>
              <w:t xml:space="preserve"> </w:t>
            </w:r>
            <w:r w:rsidR="00B816E7" w:rsidRPr="00127403">
              <w:rPr>
                <w:rFonts w:cs="Arial"/>
                <w:i/>
              </w:rPr>
              <w:t xml:space="preserve">and </w:t>
            </w:r>
            <w:r w:rsidR="00FE2DD2" w:rsidRPr="00127403">
              <w:rPr>
                <w:rFonts w:cs="Arial"/>
                <w:i/>
              </w:rPr>
              <w:t>continue</w:t>
            </w:r>
            <w:r w:rsidR="00B816E7" w:rsidRPr="00127403">
              <w:rPr>
                <w:rFonts w:cs="Arial"/>
                <w:i/>
              </w:rPr>
              <w:t xml:space="preserve"> to the next subsection. </w:t>
            </w:r>
            <w:r w:rsidR="006934A3">
              <w:rPr>
                <w:rFonts w:cs="Arial"/>
                <w:i/>
              </w:rPr>
              <w:t>The h</w:t>
            </w:r>
            <w:r w:rsidR="00B816E7" w:rsidRPr="00127403">
              <w:rPr>
                <w:rFonts w:cs="Arial"/>
                <w:i/>
              </w:rPr>
              <w:t>ospital will be scored as “Unable to Calculate Score.”</w:t>
            </w:r>
          </w:p>
        </w:tc>
        <w:tc>
          <w:tcPr>
            <w:tcW w:w="2908" w:type="dxa"/>
            <w:vAlign w:val="center"/>
          </w:tcPr>
          <w:p w14:paraId="1730590E" w14:textId="7740D805" w:rsidR="00662C5E" w:rsidRPr="001F5E91" w:rsidRDefault="00560EEE" w:rsidP="001F5E91">
            <w:pPr>
              <w:jc w:val="center"/>
              <w:rPr>
                <w:rFonts w:cs="Arial"/>
              </w:rPr>
            </w:pPr>
            <w:r>
              <w:rPr>
                <w:rFonts w:cs="Arial"/>
              </w:rPr>
              <w:t>____</w:t>
            </w:r>
            <w:r w:rsidR="00662C5E" w:rsidRPr="009A5185">
              <w:rPr>
                <w:rFonts w:cs="Arial"/>
              </w:rPr>
              <w:t>__</w:t>
            </w:r>
          </w:p>
        </w:tc>
      </w:tr>
      <w:tr w:rsidR="00047305" w:rsidRPr="009A5185" w14:paraId="19A29AB1" w14:textId="77777777" w:rsidTr="003E37E3">
        <w:tc>
          <w:tcPr>
            <w:tcW w:w="7067" w:type="dxa"/>
            <w:vAlign w:val="center"/>
          </w:tcPr>
          <w:p w14:paraId="74DE188A" w14:textId="77777777" w:rsidR="00047305" w:rsidRPr="009A5185" w:rsidRDefault="00047305" w:rsidP="00AD309C">
            <w:pPr>
              <w:numPr>
                <w:ilvl w:val="0"/>
                <w:numId w:val="62"/>
              </w:numPr>
              <w:rPr>
                <w:rFonts w:cs="Arial"/>
              </w:rPr>
            </w:pPr>
            <w:r w:rsidRPr="009A5185">
              <w:rPr>
                <w:rFonts w:cs="Arial"/>
              </w:rPr>
              <w:t>Which of the following modes were used to administer the survey?</w:t>
            </w:r>
          </w:p>
          <w:p w14:paraId="07604F09" w14:textId="77777777" w:rsidR="00047305" w:rsidRPr="009A5185" w:rsidRDefault="00047305" w:rsidP="003E37E3">
            <w:pPr>
              <w:ind w:left="360" w:hanging="360"/>
              <w:rPr>
                <w:rFonts w:cs="Arial"/>
              </w:rPr>
            </w:pPr>
          </w:p>
          <w:p w14:paraId="18C01769" w14:textId="14C4CB23" w:rsidR="00047305" w:rsidRPr="00127403" w:rsidRDefault="00047305" w:rsidP="003E37E3">
            <w:pPr>
              <w:ind w:left="360"/>
              <w:rPr>
                <w:rFonts w:cs="Arial"/>
              </w:rPr>
            </w:pPr>
            <w:r w:rsidRPr="009A5185">
              <w:rPr>
                <w:rFonts w:cs="Arial"/>
                <w:i/>
              </w:rPr>
              <w:t>Select all that apply.</w:t>
            </w:r>
          </w:p>
        </w:tc>
        <w:tc>
          <w:tcPr>
            <w:tcW w:w="2908" w:type="dxa"/>
            <w:vAlign w:val="center"/>
          </w:tcPr>
          <w:p w14:paraId="5CB1C066" w14:textId="77777777" w:rsidR="00047305" w:rsidRPr="009A5185" w:rsidRDefault="00047305" w:rsidP="00AD309C">
            <w:pPr>
              <w:pStyle w:val="ListParagraph"/>
              <w:numPr>
                <w:ilvl w:val="0"/>
                <w:numId w:val="371"/>
              </w:numPr>
              <w:rPr>
                <w:rFonts w:cs="Arial"/>
              </w:rPr>
            </w:pPr>
            <w:r w:rsidRPr="009A5185">
              <w:rPr>
                <w:rFonts w:cs="Arial"/>
              </w:rPr>
              <w:t>Mail</w:t>
            </w:r>
          </w:p>
          <w:p w14:paraId="2A2EFC39" w14:textId="77777777" w:rsidR="00047305" w:rsidRPr="009A5185" w:rsidRDefault="00047305" w:rsidP="00AD309C">
            <w:pPr>
              <w:pStyle w:val="ListParagraph"/>
              <w:numPr>
                <w:ilvl w:val="0"/>
                <w:numId w:val="371"/>
              </w:numPr>
              <w:rPr>
                <w:rFonts w:cs="Arial"/>
              </w:rPr>
            </w:pPr>
            <w:r w:rsidRPr="009A5185">
              <w:rPr>
                <w:rFonts w:cs="Arial"/>
              </w:rPr>
              <w:t>Phone</w:t>
            </w:r>
          </w:p>
          <w:p w14:paraId="252A1474" w14:textId="77777777" w:rsidR="00047305" w:rsidRDefault="00047305" w:rsidP="00AD309C">
            <w:pPr>
              <w:pStyle w:val="ListParagraph"/>
              <w:numPr>
                <w:ilvl w:val="0"/>
                <w:numId w:val="371"/>
              </w:numPr>
              <w:rPr>
                <w:rFonts w:cs="Arial"/>
              </w:rPr>
            </w:pPr>
            <w:r w:rsidRPr="009A5185">
              <w:rPr>
                <w:rFonts w:cs="Arial"/>
              </w:rPr>
              <w:t>Email</w:t>
            </w:r>
          </w:p>
          <w:p w14:paraId="1C4EE48C" w14:textId="112074B6" w:rsidR="00047305" w:rsidRPr="00047305" w:rsidRDefault="00047305" w:rsidP="00AD309C">
            <w:pPr>
              <w:pStyle w:val="ListParagraph"/>
              <w:numPr>
                <w:ilvl w:val="0"/>
                <w:numId w:val="371"/>
              </w:numPr>
              <w:rPr>
                <w:rFonts w:cs="Arial"/>
              </w:rPr>
            </w:pPr>
            <w:r w:rsidRPr="00047305">
              <w:rPr>
                <w:rFonts w:cs="Arial"/>
              </w:rPr>
              <w:t>Tablet</w:t>
            </w:r>
          </w:p>
        </w:tc>
      </w:tr>
      <w:tr w:rsidR="00047305" w:rsidRPr="009A5185" w14:paraId="46CCB737" w14:textId="77777777" w:rsidTr="003E37E3">
        <w:trPr>
          <w:trHeight w:val="1008"/>
        </w:trPr>
        <w:tc>
          <w:tcPr>
            <w:tcW w:w="7067" w:type="dxa"/>
            <w:vAlign w:val="center"/>
          </w:tcPr>
          <w:p w14:paraId="63DB769B" w14:textId="77777777" w:rsidR="00047305" w:rsidRPr="009A5185" w:rsidRDefault="00047305" w:rsidP="00AD309C">
            <w:pPr>
              <w:numPr>
                <w:ilvl w:val="0"/>
                <w:numId w:val="62"/>
              </w:numPr>
              <w:rPr>
                <w:rFonts w:cs="Arial"/>
              </w:rPr>
            </w:pPr>
            <w:r w:rsidRPr="009A5185">
              <w:rPr>
                <w:rFonts w:cs="Arial"/>
              </w:rPr>
              <w:t>Which of the following times were surveys administered during the reporting period?</w:t>
            </w:r>
          </w:p>
          <w:p w14:paraId="75620986" w14:textId="77777777" w:rsidR="00047305" w:rsidRPr="009A5185" w:rsidRDefault="00047305" w:rsidP="003E37E3">
            <w:pPr>
              <w:ind w:left="360" w:hanging="360"/>
              <w:rPr>
                <w:rFonts w:cs="Arial"/>
              </w:rPr>
            </w:pPr>
          </w:p>
          <w:p w14:paraId="70F0C92D" w14:textId="43B39A4F" w:rsidR="00047305" w:rsidRPr="00127403" w:rsidRDefault="00047305" w:rsidP="003E37E3">
            <w:pPr>
              <w:ind w:left="360"/>
              <w:rPr>
                <w:rFonts w:cs="Arial"/>
              </w:rPr>
            </w:pPr>
            <w:r w:rsidRPr="009A5185">
              <w:rPr>
                <w:rFonts w:cs="Arial"/>
                <w:i/>
              </w:rPr>
              <w:t>Select all that apply.</w:t>
            </w:r>
          </w:p>
        </w:tc>
        <w:tc>
          <w:tcPr>
            <w:tcW w:w="2908" w:type="dxa"/>
            <w:vAlign w:val="center"/>
          </w:tcPr>
          <w:p w14:paraId="6C121DAE" w14:textId="77777777" w:rsidR="00047305" w:rsidRDefault="00047305" w:rsidP="00AD309C">
            <w:pPr>
              <w:pStyle w:val="ListParagraph"/>
              <w:numPr>
                <w:ilvl w:val="0"/>
                <w:numId w:val="371"/>
              </w:numPr>
              <w:rPr>
                <w:rFonts w:cs="Arial"/>
              </w:rPr>
            </w:pPr>
            <w:r w:rsidRPr="009A5185">
              <w:rPr>
                <w:rFonts w:cs="Arial"/>
              </w:rPr>
              <w:t>Day of discharge</w:t>
            </w:r>
          </w:p>
          <w:p w14:paraId="6062BBD5" w14:textId="440E1A42" w:rsidR="00047305" w:rsidRPr="00047305" w:rsidRDefault="00047305" w:rsidP="00AD309C">
            <w:pPr>
              <w:pStyle w:val="ListParagraph"/>
              <w:numPr>
                <w:ilvl w:val="0"/>
                <w:numId w:val="371"/>
              </w:numPr>
              <w:rPr>
                <w:rFonts w:cs="Arial"/>
              </w:rPr>
            </w:pPr>
            <w:r w:rsidRPr="00047305">
              <w:rPr>
                <w:rFonts w:cs="Arial"/>
              </w:rPr>
              <w:t>After discharge</w:t>
            </w:r>
          </w:p>
        </w:tc>
      </w:tr>
    </w:tbl>
    <w:p w14:paraId="5838D9A8" w14:textId="77777777" w:rsidR="005D3D07" w:rsidRPr="009A5185" w:rsidRDefault="005D3D07" w:rsidP="005D3D07">
      <w:pPr>
        <w:rPr>
          <w:rFonts w:cs="Arial"/>
        </w:rPr>
      </w:pPr>
    </w:p>
    <w:p w14:paraId="1802E34A" w14:textId="1AC271B7" w:rsidR="005D3D07" w:rsidRPr="0002601E" w:rsidRDefault="009E2186" w:rsidP="005D3D07">
      <w:pPr>
        <w:rPr>
          <w:rFonts w:cs="Arial"/>
          <w:bCs/>
        </w:rPr>
      </w:pPr>
      <w:r w:rsidRPr="0002601E">
        <w:rPr>
          <w:rFonts w:cs="Arial"/>
          <w:bCs/>
        </w:rPr>
        <w:t xml:space="preserve">In </w:t>
      </w:r>
      <w:r w:rsidR="005D3D07" w:rsidRPr="0002601E">
        <w:rPr>
          <w:rFonts w:cs="Arial"/>
          <w:bCs/>
        </w:rPr>
        <w:t>questions #</w:t>
      </w:r>
      <w:r w:rsidR="00411788">
        <w:rPr>
          <w:rFonts w:cs="Arial"/>
          <w:bCs/>
        </w:rPr>
        <w:t>8-</w:t>
      </w:r>
      <w:r w:rsidR="00133AE2" w:rsidRPr="0011459E">
        <w:rPr>
          <w:rFonts w:cs="Arial"/>
          <w:bCs/>
        </w:rPr>
        <w:t>1</w:t>
      </w:r>
      <w:r w:rsidR="00411788">
        <w:rPr>
          <w:rFonts w:cs="Arial"/>
          <w:bCs/>
        </w:rPr>
        <w:t>2</w:t>
      </w:r>
      <w:r w:rsidR="005D3D07" w:rsidRPr="0011459E">
        <w:rPr>
          <w:rFonts w:cs="Arial"/>
          <w:bCs/>
        </w:rPr>
        <w:t>, report your</w:t>
      </w:r>
      <w:r w:rsidRPr="0011459E">
        <w:rPr>
          <w:rFonts w:cs="Arial"/>
          <w:bCs/>
        </w:rPr>
        <w:t xml:space="preserve"> hospital’s</w:t>
      </w:r>
      <w:r w:rsidR="005D3D07" w:rsidRPr="0011459E">
        <w:rPr>
          <w:rFonts w:cs="Arial"/>
          <w:bCs/>
        </w:rPr>
        <w:t xml:space="preserve"> </w:t>
      </w:r>
      <w:hyperlink w:anchor="Endnote48_TopBox" w:history="1">
        <w:r w:rsidR="005D3D07" w:rsidRPr="0002601E">
          <w:rPr>
            <w:rStyle w:val="Hyperlink"/>
            <w:rFonts w:cs="Arial"/>
            <w:bCs/>
          </w:rPr>
          <w:t>Top Box Score</w:t>
        </w:r>
      </w:hyperlink>
      <w:r w:rsidR="004512F7" w:rsidRPr="0002601E">
        <w:rPr>
          <w:rFonts w:cs="Arial"/>
          <w:bCs/>
        </w:rPr>
        <w:fldChar w:fldCharType="begin"/>
      </w:r>
      <w:r w:rsidR="004512F7" w:rsidRPr="0002601E">
        <w:rPr>
          <w:rFonts w:cs="Arial"/>
          <w:bCs/>
        </w:rPr>
        <w:instrText xml:space="preserve"> NOTEREF _Ref534391669 \f \h </w:instrText>
      </w:r>
      <w:r w:rsidR="00560EEE">
        <w:rPr>
          <w:rFonts w:cs="Arial"/>
          <w:bCs/>
        </w:rPr>
        <w:instrText xml:space="preserve"> \* MERGEFORMAT </w:instrText>
      </w:r>
      <w:r w:rsidR="004512F7" w:rsidRPr="0002601E">
        <w:rPr>
          <w:rFonts w:cs="Arial"/>
          <w:bCs/>
        </w:rPr>
      </w:r>
      <w:r w:rsidR="004512F7" w:rsidRPr="0002601E">
        <w:rPr>
          <w:rFonts w:cs="Arial"/>
          <w:bCs/>
        </w:rPr>
        <w:fldChar w:fldCharType="separate"/>
      </w:r>
      <w:r w:rsidR="007D53A2" w:rsidRPr="00231ED2">
        <w:rPr>
          <w:rStyle w:val="EndnoteReference"/>
        </w:rPr>
        <w:t>51</w:t>
      </w:r>
      <w:r w:rsidR="004512F7" w:rsidRPr="0002601E">
        <w:rPr>
          <w:rFonts w:cs="Arial"/>
          <w:bCs/>
        </w:rPr>
        <w:fldChar w:fldCharType="end"/>
      </w:r>
      <w:r w:rsidR="005D3D07" w:rsidRPr="0002601E">
        <w:rPr>
          <w:rFonts w:cs="Arial"/>
          <w:bCs/>
        </w:rPr>
        <w:t xml:space="preserve"> </w:t>
      </w:r>
      <w:r w:rsidR="005F5962" w:rsidRPr="0002601E">
        <w:rPr>
          <w:bCs/>
          <w:szCs w:val="24"/>
        </w:rPr>
        <w:t>(rounded to the nearest whole number)</w:t>
      </w:r>
      <w:r w:rsidR="005F5962" w:rsidRPr="00560EEE">
        <w:rPr>
          <w:bCs/>
          <w:szCs w:val="24"/>
        </w:rPr>
        <w:t xml:space="preserve"> </w:t>
      </w:r>
      <w:r w:rsidR="005D3D07" w:rsidRPr="0002601E">
        <w:rPr>
          <w:rFonts w:cs="Arial"/>
          <w:bCs/>
        </w:rPr>
        <w:t xml:space="preserve">from each </w:t>
      </w:r>
      <w:r w:rsidR="00710790" w:rsidRPr="0002601E">
        <w:rPr>
          <w:rFonts w:cs="Arial"/>
          <w:bCs/>
        </w:rPr>
        <w:t xml:space="preserve">of the five publicly reported </w:t>
      </w:r>
      <w:r w:rsidR="005D3D07" w:rsidRPr="0002601E">
        <w:rPr>
          <w:rFonts w:cs="Arial"/>
          <w:bCs/>
        </w:rPr>
        <w:t>patient experience measure</w:t>
      </w:r>
      <w:r w:rsidR="00710790" w:rsidRPr="0002601E">
        <w:rPr>
          <w:rFonts w:cs="Arial"/>
          <w:bCs/>
        </w:rPr>
        <w:t>s</w:t>
      </w:r>
      <w:r w:rsidR="005D3D07" w:rsidRPr="0002601E">
        <w:rPr>
          <w:rFonts w:cs="Arial"/>
          <w:bCs/>
        </w:rPr>
        <w:t xml:space="preserve"> from your 12-month vendor report that matches the reporting period that you selected in question #1.</w:t>
      </w:r>
    </w:p>
    <w:p w14:paraId="41D65EE1" w14:textId="77777777" w:rsidR="005D3D07" w:rsidRPr="009A5185" w:rsidRDefault="005D3D07" w:rsidP="005D3D07">
      <w:pPr>
        <w:rPr>
          <w:rFonts w:cs="Arial"/>
        </w:rPr>
      </w:pPr>
    </w:p>
    <w:tbl>
      <w:tblPr>
        <w:tblW w:w="99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67"/>
        <w:gridCol w:w="2927"/>
      </w:tblGrid>
      <w:tr w:rsidR="001F5E91" w:rsidRPr="009A5185" w14:paraId="2BB07FB2" w14:textId="77777777" w:rsidTr="00EA43F0">
        <w:trPr>
          <w:trHeight w:val="864"/>
        </w:trPr>
        <w:tc>
          <w:tcPr>
            <w:tcW w:w="7067" w:type="dxa"/>
            <w:vAlign w:val="center"/>
          </w:tcPr>
          <w:p w14:paraId="364FA1C3" w14:textId="77777777" w:rsidR="001F5E91" w:rsidRPr="009A5185" w:rsidRDefault="001F5E91" w:rsidP="00AD309C">
            <w:pPr>
              <w:numPr>
                <w:ilvl w:val="0"/>
                <w:numId w:val="62"/>
              </w:numPr>
              <w:rPr>
                <w:rFonts w:cs="Arial"/>
              </w:rPr>
            </w:pPr>
            <w:r w:rsidRPr="009A5185">
              <w:rPr>
                <w:rFonts w:cs="Arial"/>
              </w:rPr>
              <w:t>Communication with Parent – Communication about your child’s medicines</w:t>
            </w:r>
          </w:p>
        </w:tc>
        <w:tc>
          <w:tcPr>
            <w:tcW w:w="2927" w:type="dxa"/>
            <w:vAlign w:val="center"/>
          </w:tcPr>
          <w:p w14:paraId="1F3E14CB" w14:textId="075EC8ED" w:rsidR="001F5E91" w:rsidRPr="009A5185" w:rsidRDefault="001F5E91" w:rsidP="001F5E91">
            <w:pPr>
              <w:jc w:val="center"/>
              <w:rPr>
                <w:rFonts w:cs="Arial"/>
                <w:i/>
              </w:rPr>
            </w:pPr>
            <w:r w:rsidRPr="007877F1">
              <w:rPr>
                <w:rFonts w:cs="Arial"/>
              </w:rPr>
              <w:t>______</w:t>
            </w:r>
          </w:p>
        </w:tc>
      </w:tr>
      <w:tr w:rsidR="001F5E91" w:rsidRPr="009A5185" w14:paraId="3A0EFD39" w14:textId="77777777" w:rsidTr="00EA43F0">
        <w:trPr>
          <w:trHeight w:val="864"/>
        </w:trPr>
        <w:tc>
          <w:tcPr>
            <w:tcW w:w="7067" w:type="dxa"/>
            <w:vAlign w:val="center"/>
          </w:tcPr>
          <w:p w14:paraId="2D1FA23D" w14:textId="77777777" w:rsidR="001F5E91" w:rsidRPr="009A5185" w:rsidRDefault="001F5E91" w:rsidP="00AD309C">
            <w:pPr>
              <w:numPr>
                <w:ilvl w:val="0"/>
                <w:numId w:val="62"/>
              </w:numPr>
              <w:rPr>
                <w:rFonts w:cs="Arial"/>
              </w:rPr>
            </w:pPr>
            <w:r w:rsidRPr="009A5185">
              <w:rPr>
                <w:rFonts w:cs="Arial"/>
              </w:rPr>
              <w:t>Communication with Parent – Keeping you informed about your child’s care</w:t>
            </w:r>
          </w:p>
        </w:tc>
        <w:tc>
          <w:tcPr>
            <w:tcW w:w="2927" w:type="dxa"/>
            <w:vAlign w:val="center"/>
          </w:tcPr>
          <w:p w14:paraId="75A0EF73" w14:textId="1C37BADB" w:rsidR="001F5E91" w:rsidRPr="009A5185" w:rsidRDefault="001F5E91" w:rsidP="001F5E91">
            <w:pPr>
              <w:jc w:val="center"/>
              <w:rPr>
                <w:rFonts w:cs="Arial"/>
                <w:i/>
              </w:rPr>
            </w:pPr>
            <w:r w:rsidRPr="007877F1">
              <w:rPr>
                <w:rFonts w:cs="Arial"/>
              </w:rPr>
              <w:t>______</w:t>
            </w:r>
          </w:p>
        </w:tc>
      </w:tr>
      <w:tr w:rsidR="001F5E91" w:rsidRPr="009A5185" w14:paraId="3585265D" w14:textId="77777777" w:rsidTr="00EA43F0">
        <w:trPr>
          <w:trHeight w:val="864"/>
        </w:trPr>
        <w:tc>
          <w:tcPr>
            <w:tcW w:w="7067" w:type="dxa"/>
            <w:vAlign w:val="center"/>
          </w:tcPr>
          <w:p w14:paraId="5ABC2A39" w14:textId="77777777" w:rsidR="001F5E91" w:rsidRPr="009A5185" w:rsidRDefault="001F5E91" w:rsidP="00AD309C">
            <w:pPr>
              <w:numPr>
                <w:ilvl w:val="0"/>
                <w:numId w:val="62"/>
              </w:numPr>
              <w:rPr>
                <w:rFonts w:cs="Arial"/>
              </w:rPr>
            </w:pPr>
            <w:r w:rsidRPr="009A5185">
              <w:rPr>
                <w:rFonts w:cs="Arial"/>
              </w:rPr>
              <w:t>Communication with Child – How well nurses communicate with your child</w:t>
            </w:r>
          </w:p>
        </w:tc>
        <w:tc>
          <w:tcPr>
            <w:tcW w:w="2927" w:type="dxa"/>
            <w:vAlign w:val="center"/>
          </w:tcPr>
          <w:p w14:paraId="1B4808C5" w14:textId="5198E136" w:rsidR="001F5E91" w:rsidRPr="009A5185" w:rsidRDefault="001F5E91" w:rsidP="001F5E91">
            <w:pPr>
              <w:jc w:val="center"/>
              <w:rPr>
                <w:rFonts w:cs="Arial"/>
                <w:i/>
              </w:rPr>
            </w:pPr>
            <w:r w:rsidRPr="007877F1">
              <w:rPr>
                <w:rFonts w:cs="Arial"/>
              </w:rPr>
              <w:t>______</w:t>
            </w:r>
          </w:p>
        </w:tc>
      </w:tr>
      <w:tr w:rsidR="001F5E91" w:rsidRPr="009A5185" w14:paraId="02B62E8D" w14:textId="77777777" w:rsidTr="00EA43F0">
        <w:trPr>
          <w:trHeight w:val="864"/>
        </w:trPr>
        <w:tc>
          <w:tcPr>
            <w:tcW w:w="7067" w:type="dxa"/>
            <w:vAlign w:val="center"/>
          </w:tcPr>
          <w:p w14:paraId="501D8B7C" w14:textId="77777777" w:rsidR="001F5E91" w:rsidRPr="009A5185" w:rsidRDefault="001F5E91" w:rsidP="00AD309C">
            <w:pPr>
              <w:numPr>
                <w:ilvl w:val="0"/>
                <w:numId w:val="62"/>
              </w:numPr>
              <w:rPr>
                <w:rFonts w:cs="Arial"/>
              </w:rPr>
            </w:pPr>
            <w:r w:rsidRPr="009A5185">
              <w:rPr>
                <w:rFonts w:cs="Arial"/>
              </w:rPr>
              <w:t>Communication with Child – How well doctors communicate with your child</w:t>
            </w:r>
          </w:p>
        </w:tc>
        <w:tc>
          <w:tcPr>
            <w:tcW w:w="2927" w:type="dxa"/>
            <w:vAlign w:val="center"/>
          </w:tcPr>
          <w:p w14:paraId="67CB70E0" w14:textId="5E68B05C" w:rsidR="001F5E91" w:rsidRPr="009A5185" w:rsidRDefault="001F5E91" w:rsidP="001F5E91">
            <w:pPr>
              <w:jc w:val="center"/>
              <w:rPr>
                <w:rFonts w:cs="Arial"/>
                <w:i/>
              </w:rPr>
            </w:pPr>
            <w:r w:rsidRPr="007877F1">
              <w:rPr>
                <w:rFonts w:cs="Arial"/>
              </w:rPr>
              <w:t>______</w:t>
            </w:r>
          </w:p>
        </w:tc>
      </w:tr>
      <w:tr w:rsidR="001F5E91" w:rsidRPr="009A5185" w14:paraId="1E7996CE" w14:textId="77777777" w:rsidTr="00EA43F0">
        <w:trPr>
          <w:trHeight w:val="864"/>
        </w:trPr>
        <w:tc>
          <w:tcPr>
            <w:tcW w:w="7067" w:type="dxa"/>
            <w:vAlign w:val="center"/>
          </w:tcPr>
          <w:p w14:paraId="4B02808D" w14:textId="77777777" w:rsidR="001F5E91" w:rsidRPr="009A5185" w:rsidRDefault="001F5E91" w:rsidP="00AD309C">
            <w:pPr>
              <w:numPr>
                <w:ilvl w:val="0"/>
                <w:numId w:val="62"/>
              </w:numPr>
              <w:rPr>
                <w:rFonts w:cs="Arial"/>
              </w:rPr>
            </w:pPr>
            <w:r w:rsidRPr="009A5185">
              <w:rPr>
                <w:rFonts w:cs="Arial"/>
              </w:rPr>
              <w:t>Attention to Safety and Comfort – Preventing mistakes and helping you report concerns</w:t>
            </w:r>
          </w:p>
        </w:tc>
        <w:tc>
          <w:tcPr>
            <w:tcW w:w="2927" w:type="dxa"/>
            <w:vAlign w:val="center"/>
          </w:tcPr>
          <w:p w14:paraId="04893316" w14:textId="25541DC5" w:rsidR="001F5E91" w:rsidRPr="009A5185" w:rsidRDefault="001F5E91" w:rsidP="001F5E91">
            <w:pPr>
              <w:jc w:val="center"/>
              <w:rPr>
                <w:rFonts w:cs="Arial"/>
                <w:i/>
              </w:rPr>
            </w:pPr>
            <w:r w:rsidRPr="007877F1">
              <w:rPr>
                <w:rFonts w:cs="Arial"/>
              </w:rPr>
              <w:t>______</w:t>
            </w:r>
          </w:p>
        </w:tc>
      </w:tr>
    </w:tbl>
    <w:p w14:paraId="17E48F05" w14:textId="77777777" w:rsidR="00332D42" w:rsidRPr="009A5185" w:rsidRDefault="00332D42" w:rsidP="00D623D8">
      <w:pPr>
        <w:rPr>
          <w:rFonts w:cs="Arial"/>
        </w:rPr>
      </w:pPr>
    </w:p>
    <w:p w14:paraId="364F6CE3" w14:textId="77777777" w:rsidR="00332D42" w:rsidRPr="009A5185" w:rsidRDefault="00332D42" w:rsidP="00D623D8">
      <w:pPr>
        <w:rPr>
          <w:rFonts w:cs="Arial"/>
        </w:rPr>
      </w:pPr>
      <w:r w:rsidRPr="009A5185">
        <w:rPr>
          <w:rFonts w:cs="Arial"/>
        </w:rPr>
        <w:br w:type="page"/>
      </w:r>
    </w:p>
    <w:p w14:paraId="2011118A" w14:textId="77777777" w:rsidR="00332D42" w:rsidRPr="009A5185" w:rsidRDefault="00332D42" w:rsidP="00332D42">
      <w:pPr>
        <w:pStyle w:val="BodyText3"/>
        <w:rPr>
          <w:rFonts w:cs="Arial"/>
        </w:rPr>
      </w:pPr>
    </w:p>
    <w:p w14:paraId="34CA032A" w14:textId="5265DC03" w:rsidR="00B6773E" w:rsidRDefault="00DB33CD" w:rsidP="00CF5A6E">
      <w:pPr>
        <w:pStyle w:val="Heading2"/>
      </w:pPr>
      <w:bookmarkStart w:id="680" w:name="_Toc225877821"/>
      <w:r>
        <w:t>8</w:t>
      </w:r>
      <w:r w:rsidRPr="009A5185">
        <w:t>B</w:t>
      </w:r>
      <w:r>
        <w:t>:</w:t>
      </w:r>
      <w:r w:rsidRPr="009A5185">
        <w:t xml:space="preserve"> Pediatric Computed Tomography (CT) Radiation Dose</w:t>
      </w:r>
      <w:bookmarkEnd w:id="680"/>
    </w:p>
    <w:p w14:paraId="4952048A" w14:textId="77777777" w:rsidR="00DB33CD" w:rsidRPr="002D5AA9" w:rsidRDefault="00DB33CD" w:rsidP="00C665F4">
      <w:pPr>
        <w:pStyle w:val="BodyText3"/>
        <w:rPr>
          <w:rFonts w:cs="Arial"/>
          <w:bCs/>
          <w:color w:val="FF0000"/>
        </w:rPr>
      </w:pPr>
    </w:p>
    <w:p w14:paraId="640C67F1" w14:textId="7720AE26" w:rsidR="0012772F" w:rsidRPr="009A5185" w:rsidRDefault="0012772F" w:rsidP="0012772F">
      <w:pPr>
        <w:rPr>
          <w:rFonts w:cs="Arial"/>
        </w:rPr>
      </w:pPr>
      <w:r w:rsidRPr="009A5185">
        <w:rPr>
          <w:rFonts w:cs="Arial"/>
          <w:snapToGrid w:val="0"/>
        </w:rPr>
        <w:t xml:space="preserve">Hospitals that share a </w:t>
      </w:r>
      <w:r>
        <w:rPr>
          <w:rFonts w:cs="Arial"/>
          <w:snapToGrid w:val="0"/>
        </w:rPr>
        <w:t>CMS Certification Number</w:t>
      </w:r>
      <w:r w:rsidRPr="009A5185">
        <w:rPr>
          <w:rFonts w:cs="Arial"/>
          <w:snapToGrid w:val="0"/>
        </w:rPr>
        <w:t xml:space="preserve"> are required to report by facility. Please carefully review </w:t>
      </w:r>
      <w:hyperlink r:id="rId442" w:history="1">
        <w:r w:rsidRPr="009A5185">
          <w:rPr>
            <w:rStyle w:val="Hyperlink"/>
            <w:rFonts w:cs="Arial"/>
            <w:snapToGrid w:val="0"/>
          </w:rPr>
          <w:t>Leapfrog’s Multi-Campus Reporting Policy</w:t>
        </w:r>
      </w:hyperlink>
      <w:r w:rsidRPr="009A5185">
        <w:rPr>
          <w:rFonts w:cs="Arial"/>
          <w:snapToGrid w:val="0"/>
        </w:rPr>
        <w:t>.</w:t>
      </w:r>
    </w:p>
    <w:p w14:paraId="067F7DDE" w14:textId="77777777" w:rsidR="0012772F" w:rsidRPr="002D5AA9" w:rsidRDefault="0012772F" w:rsidP="00C665F4">
      <w:pPr>
        <w:pStyle w:val="BodyText3"/>
        <w:rPr>
          <w:rFonts w:cs="Arial"/>
          <w:bCs/>
          <w:color w:val="FF0000"/>
        </w:rPr>
      </w:pPr>
    </w:p>
    <w:p w14:paraId="5C928970" w14:textId="77777777" w:rsidR="007E404D" w:rsidRPr="00722F1B" w:rsidRDefault="007E404D" w:rsidP="007E404D">
      <w:pPr>
        <w:rPr>
          <w:b/>
          <w:bCs/>
          <w:color w:val="FF0000"/>
        </w:rPr>
      </w:pPr>
      <w:r w:rsidRPr="00722F1B">
        <w:rPr>
          <w:b/>
          <w:bCs/>
          <w:color w:val="FF0000"/>
        </w:rPr>
        <w:t>Important Notes:</w:t>
      </w:r>
    </w:p>
    <w:p w14:paraId="7CAF829C" w14:textId="77777777" w:rsidR="007E404D" w:rsidRPr="002D5AA9" w:rsidRDefault="007E404D" w:rsidP="007E404D">
      <w:pPr>
        <w:rPr>
          <w:bCs/>
        </w:rPr>
      </w:pPr>
    </w:p>
    <w:p w14:paraId="18F07A5A" w14:textId="4A9E20D4" w:rsidR="007E404D" w:rsidRDefault="007E404D" w:rsidP="007E404D">
      <w:pPr>
        <w:rPr>
          <w:rFonts w:cs="Arial"/>
        </w:rPr>
      </w:pPr>
      <w:r>
        <w:rPr>
          <w:bCs/>
        </w:rPr>
        <w:t>Note 1:</w:t>
      </w:r>
      <w:r>
        <w:rPr>
          <w:rFonts w:cs="Arial"/>
          <w:snapToGrid w:val="0"/>
        </w:rPr>
        <w:t xml:space="preserve"> </w:t>
      </w:r>
      <w:r w:rsidRPr="009A5185">
        <w:rPr>
          <w:rFonts w:cs="Arial"/>
        </w:rPr>
        <w:t>All pediatric patient (</w:t>
      </w:r>
      <w:r>
        <w:rPr>
          <w:rFonts w:cs="Arial"/>
        </w:rPr>
        <w:t xml:space="preserve">ages </w:t>
      </w:r>
      <w:r w:rsidRPr="009A5185">
        <w:rPr>
          <w:rFonts w:cs="Arial"/>
        </w:rPr>
        <w:t xml:space="preserve">17 years </w:t>
      </w:r>
      <w:r>
        <w:rPr>
          <w:rFonts w:cs="Arial"/>
        </w:rPr>
        <w:t>and</w:t>
      </w:r>
      <w:r w:rsidRPr="009A5185">
        <w:rPr>
          <w:rFonts w:cs="Arial"/>
        </w:rPr>
        <w:t xml:space="preserve"> younger) scans </w:t>
      </w:r>
      <w:r>
        <w:rPr>
          <w:rFonts w:cs="Arial"/>
        </w:rPr>
        <w:t xml:space="preserve">performed at your hospital </w:t>
      </w:r>
      <w:r w:rsidRPr="009A5185">
        <w:rPr>
          <w:rFonts w:cs="Arial"/>
        </w:rPr>
        <w:t>should be included when reporting on this measure, including cases that were never admitted to an inpatient ward.</w:t>
      </w:r>
    </w:p>
    <w:p w14:paraId="2F5E4DFE" w14:textId="55C96751" w:rsidR="00C665F4" w:rsidRDefault="00C665F4" w:rsidP="007E404D">
      <w:pPr>
        <w:rPr>
          <w:rFonts w:cs="Arial"/>
        </w:rPr>
      </w:pPr>
    </w:p>
    <w:p w14:paraId="2A8D65A5" w14:textId="52709AA2" w:rsidR="00C665F4" w:rsidRDefault="00C665F4" w:rsidP="00D65BBD">
      <w:pPr>
        <w:pStyle w:val="BodyText3"/>
        <w:rPr>
          <w:rFonts w:cs="Arial"/>
          <w:bCs/>
          <w:color w:val="auto"/>
        </w:rPr>
      </w:pPr>
      <w:r>
        <w:rPr>
          <w:rFonts w:cs="Arial"/>
        </w:rPr>
        <w:t>Note 2:</w:t>
      </w:r>
      <w:r w:rsidRPr="009A5185">
        <w:rPr>
          <w:rFonts w:cs="Arial"/>
          <w:color w:val="auto"/>
        </w:rPr>
        <w:t xml:space="preserve"> This section is only applicable to hospitals that </w:t>
      </w:r>
      <w:r w:rsidR="00B4674C">
        <w:rPr>
          <w:rFonts w:cs="Arial"/>
          <w:color w:val="auto"/>
        </w:rPr>
        <w:t xml:space="preserve">perform </w:t>
      </w:r>
      <w:r w:rsidR="00B34039">
        <w:rPr>
          <w:rFonts w:cs="Arial"/>
          <w:color w:val="auto"/>
        </w:rPr>
        <w:t xml:space="preserve">CT </w:t>
      </w:r>
      <w:r w:rsidR="00B4674C">
        <w:rPr>
          <w:rFonts w:cs="Arial"/>
          <w:color w:val="auto"/>
        </w:rPr>
        <w:t xml:space="preserve">scans on patients </w:t>
      </w:r>
      <w:r w:rsidRPr="009A5185">
        <w:rPr>
          <w:rFonts w:cs="Arial"/>
          <w:color w:val="auto"/>
        </w:rPr>
        <w:t>17 years of age or younger.</w:t>
      </w:r>
      <w:r>
        <w:rPr>
          <w:rFonts w:cs="Arial"/>
          <w:color w:val="auto"/>
        </w:rPr>
        <w:t xml:space="preserve"> </w:t>
      </w:r>
      <w:r w:rsidR="00B4674C" w:rsidRPr="00D65BBD">
        <w:rPr>
          <w:rFonts w:cs="Arial"/>
          <w:bCs/>
          <w:color w:val="auto"/>
        </w:rPr>
        <w:t xml:space="preserve">Hospitals that do </w:t>
      </w:r>
      <w:r w:rsidR="000C3596">
        <w:rPr>
          <w:rFonts w:cs="Arial"/>
          <w:bCs/>
          <w:color w:val="auto"/>
        </w:rPr>
        <w:t xml:space="preserve">not </w:t>
      </w:r>
      <w:r w:rsidR="00B4674C">
        <w:rPr>
          <w:rFonts w:cs="Arial"/>
          <w:bCs/>
          <w:color w:val="auto"/>
        </w:rPr>
        <w:t xml:space="preserve">perform </w:t>
      </w:r>
      <w:r w:rsidR="00B34039">
        <w:rPr>
          <w:rFonts w:cs="Arial"/>
          <w:bCs/>
          <w:color w:val="auto"/>
        </w:rPr>
        <w:t xml:space="preserve">CT </w:t>
      </w:r>
      <w:r w:rsidR="00B4674C">
        <w:rPr>
          <w:rFonts w:cs="Arial"/>
          <w:bCs/>
          <w:color w:val="auto"/>
        </w:rPr>
        <w:t xml:space="preserve">scans on patients </w:t>
      </w:r>
      <w:r w:rsidR="00B4674C" w:rsidRPr="00D65BBD">
        <w:rPr>
          <w:rFonts w:cs="Arial"/>
          <w:bCs/>
          <w:color w:val="auto"/>
        </w:rPr>
        <w:t xml:space="preserve">17 years of age or younger should respond “no” to question #2 in </w:t>
      </w:r>
      <w:r w:rsidR="009A058A">
        <w:rPr>
          <w:rFonts w:cs="Arial"/>
          <w:bCs/>
          <w:color w:val="auto"/>
        </w:rPr>
        <w:t>8</w:t>
      </w:r>
      <w:r w:rsidR="00B4674C" w:rsidRPr="00D65BBD">
        <w:rPr>
          <w:rFonts w:cs="Arial"/>
          <w:bCs/>
          <w:color w:val="auto"/>
        </w:rPr>
        <w:t>B and move on to the Affirmation of Accuracy. Your hospital’s results will be displayed a</w:t>
      </w:r>
      <w:r w:rsidR="00C82C89">
        <w:rPr>
          <w:rFonts w:cs="Arial"/>
          <w:bCs/>
          <w:color w:val="auto"/>
        </w:rPr>
        <w:t>s</w:t>
      </w:r>
      <w:r w:rsidR="00B4674C" w:rsidRPr="00D65BBD">
        <w:rPr>
          <w:rFonts w:cs="Arial"/>
          <w:bCs/>
          <w:color w:val="auto"/>
        </w:rPr>
        <w:t xml:space="preserve"> “Does Not Apply” on Leapfrog’s public reporting website.</w:t>
      </w:r>
    </w:p>
    <w:p w14:paraId="162CEF4D" w14:textId="77777777" w:rsidR="007E404D" w:rsidRDefault="007E404D" w:rsidP="007E404D">
      <w:pPr>
        <w:rPr>
          <w:rFonts w:cs="Arial"/>
          <w:b/>
        </w:rPr>
      </w:pPr>
    </w:p>
    <w:p w14:paraId="44E827CB" w14:textId="6F05152E" w:rsidR="00B6773E" w:rsidRDefault="00B6773E" w:rsidP="00B6773E">
      <w:pPr>
        <w:rPr>
          <w:rFonts w:cs="Arial"/>
        </w:rPr>
      </w:pPr>
      <w:r w:rsidRPr="009A5185">
        <w:rPr>
          <w:rFonts w:cs="Arial"/>
          <w:b/>
        </w:rPr>
        <w:t xml:space="preserve">Specifications: </w:t>
      </w:r>
      <w:r w:rsidRPr="009A5185">
        <w:rPr>
          <w:rFonts w:cs="Arial"/>
        </w:rPr>
        <w:t xml:space="preserve">See </w:t>
      </w:r>
      <w:hyperlink w:anchor="_Pediatric_Computed_Tomography" w:history="1">
        <w:r w:rsidR="00921D33">
          <w:rPr>
            <w:rStyle w:val="Hyperlink"/>
            <w:rFonts w:cs="Arial"/>
            <w:b/>
            <w:i/>
          </w:rPr>
          <w:t>Pediatric Computed Tomography (CT) Radiation Dose Measure Specifications</w:t>
        </w:r>
      </w:hyperlink>
      <w:r w:rsidRPr="009A5185">
        <w:rPr>
          <w:rFonts w:cs="Arial"/>
          <w:b/>
          <w:i/>
        </w:rPr>
        <w:t xml:space="preserve"> </w:t>
      </w:r>
      <w:r w:rsidRPr="009A5185">
        <w:rPr>
          <w:rFonts w:cs="Arial"/>
        </w:rPr>
        <w:t xml:space="preserve">in the Reference Information </w:t>
      </w:r>
      <w:r w:rsidR="00127E33">
        <w:rPr>
          <w:rFonts w:cs="Arial"/>
        </w:rPr>
        <w:t xml:space="preserve">beginning on page </w:t>
      </w:r>
      <w:r w:rsidR="00D93990">
        <w:rPr>
          <w:rFonts w:cs="Arial"/>
        </w:rPr>
        <w:t>28</w:t>
      </w:r>
      <w:r w:rsidR="002D6D62">
        <w:rPr>
          <w:rFonts w:cs="Arial"/>
        </w:rPr>
        <w:t>2</w:t>
      </w:r>
      <w:r w:rsidR="00D93990">
        <w:rPr>
          <w:rFonts w:cs="Arial"/>
        </w:rPr>
        <w:t>.</w:t>
      </w:r>
    </w:p>
    <w:p w14:paraId="6704040C" w14:textId="77777777" w:rsidR="000505C8" w:rsidRPr="009A5185" w:rsidRDefault="000505C8" w:rsidP="00B6773E">
      <w:pPr>
        <w:rPr>
          <w:rFonts w:cs="Arial"/>
        </w:rPr>
      </w:pPr>
    </w:p>
    <w:p w14:paraId="547C0923" w14:textId="128C7BC6" w:rsidR="00B6773E" w:rsidRPr="009A5185" w:rsidRDefault="002D5AA9" w:rsidP="00B6773E">
      <w:pPr>
        <w:rPr>
          <w:rFonts w:cs="Arial"/>
        </w:rPr>
      </w:pPr>
      <w:r w:rsidRPr="002D5AA9">
        <w:rPr>
          <w:rFonts w:cs="Arial"/>
          <w:noProof/>
        </w:rPr>
        <mc:AlternateContent>
          <mc:Choice Requires="wps">
            <w:drawing>
              <wp:inline distT="0" distB="0" distL="0" distR="0" wp14:anchorId="32750856" wp14:editId="778D27AB">
                <wp:extent cx="6329238" cy="1637969"/>
                <wp:effectExtent l="0" t="0" r="14605" b="19685"/>
                <wp:docPr id="42" name="Text Box 42" descr="P10314TB31#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9238" cy="1637969"/>
                        </a:xfrm>
                        <a:prstGeom prst="rect">
                          <a:avLst/>
                        </a:prstGeom>
                        <a:solidFill>
                          <a:srgbClr val="FFFFFF"/>
                        </a:solidFill>
                        <a:ln w="9525">
                          <a:solidFill>
                            <a:srgbClr val="FF0000"/>
                          </a:solidFill>
                          <a:miter lim="800000"/>
                          <a:headEnd/>
                          <a:tailEnd/>
                        </a:ln>
                      </wps:spPr>
                      <wps:txbx>
                        <w:txbxContent>
                          <w:p w14:paraId="78D872D8" w14:textId="133A5252" w:rsidR="002D5AA9" w:rsidRPr="009A5185" w:rsidRDefault="002D5AA9" w:rsidP="002D5AA9">
                            <w:pPr>
                              <w:spacing w:before="120"/>
                              <w:rPr>
                                <w:rFonts w:cs="Arial"/>
                                <w:b/>
                                <w:snapToGrid w:val="0"/>
                              </w:rPr>
                            </w:pPr>
                            <w:r w:rsidRPr="009A5185">
                              <w:rPr>
                                <w:rFonts w:cs="Arial"/>
                                <w:b/>
                                <w:snapToGrid w:val="0"/>
                              </w:rPr>
                              <w:t>Reporting Period: 12 months</w:t>
                            </w:r>
                          </w:p>
                          <w:p w14:paraId="22BAB8F0" w14:textId="7A7474DD" w:rsidR="002D5AA9" w:rsidRPr="009A5185" w:rsidRDefault="002D5AA9" w:rsidP="002D5AA9">
                            <w:pPr>
                              <w:rPr>
                                <w:rFonts w:cs="Arial"/>
                                <w:b/>
                                <w:snapToGrid w:val="0"/>
                              </w:rPr>
                            </w:pPr>
                            <w:r w:rsidRPr="009A5185">
                              <w:rPr>
                                <w:rFonts w:cs="Arial"/>
                                <w:snapToGrid w:val="0"/>
                              </w:rPr>
                              <w:t xml:space="preserve">Answer </w:t>
                            </w:r>
                            <w:r w:rsidRPr="00CC0E71">
                              <w:rPr>
                                <w:rFonts w:cs="Arial"/>
                                <w:snapToGrid w:val="0"/>
                              </w:rPr>
                              <w:t>questions #1-</w:t>
                            </w:r>
                            <w:r w:rsidR="00897A3E">
                              <w:rPr>
                                <w:rFonts w:cs="Arial"/>
                                <w:snapToGrid w:val="0"/>
                              </w:rPr>
                              <w:t>7</w:t>
                            </w:r>
                            <w:r w:rsidRPr="00CC0E71">
                              <w:rPr>
                                <w:rFonts w:cs="Arial"/>
                                <w:snapToGrid w:val="0"/>
                              </w:rPr>
                              <w:t xml:space="preserve"> based </w:t>
                            </w:r>
                            <w:r w:rsidRPr="00CC0E71">
                              <w:rPr>
                                <w:rFonts w:cs="Arial"/>
                                <w:snapToGrid w:val="0"/>
                                <w:color w:val="000000"/>
                              </w:rPr>
                              <w:t xml:space="preserve">on </w:t>
                            </w:r>
                            <w:r w:rsidRPr="00CC0E71">
                              <w:rPr>
                                <w:rFonts w:cs="Arial"/>
                                <w:snapToGrid w:val="0"/>
                              </w:rPr>
                              <w:t>all</w:t>
                            </w:r>
                            <w:r w:rsidRPr="009A5185">
                              <w:rPr>
                                <w:rFonts w:cs="Arial"/>
                                <w:snapToGrid w:val="0"/>
                              </w:rPr>
                              <w:t xml:space="preserve"> cases </w:t>
                            </w:r>
                            <w:r w:rsidRPr="009A5185">
                              <w:rPr>
                                <w:rFonts w:cs="Arial"/>
                              </w:rPr>
                              <w:t xml:space="preserve">(or a </w:t>
                            </w:r>
                            <w:r w:rsidRPr="00E5287F">
                              <w:t>sufficient sample of them</w:t>
                            </w:r>
                            <w:r w:rsidRPr="009A5185">
                              <w:rPr>
                                <w:rFonts w:cs="Arial"/>
                                <w:snapToGrid w:val="0"/>
                              </w:rPr>
                              <w:t>)</w:t>
                            </w:r>
                            <w:r w:rsidRPr="009A5185">
                              <w:rPr>
                                <w:rFonts w:cs="Arial"/>
                                <w:b/>
                                <w:snapToGrid w:val="0"/>
                              </w:rPr>
                              <w:t xml:space="preserve"> </w:t>
                            </w:r>
                          </w:p>
                          <w:p w14:paraId="70559B63" w14:textId="77777777" w:rsidR="002D5AA9" w:rsidRPr="00A87554" w:rsidRDefault="002D5AA9" w:rsidP="00AD309C">
                            <w:pPr>
                              <w:pStyle w:val="ListParagraph"/>
                              <w:numPr>
                                <w:ilvl w:val="0"/>
                                <w:numId w:val="36"/>
                              </w:numPr>
                              <w:rPr>
                                <w:rFonts w:cs="Arial"/>
                                <w:i/>
                                <w:snapToGrid w:val="0"/>
                              </w:rPr>
                            </w:pPr>
                            <w:r>
                              <w:rPr>
                                <w:rFonts w:cs="Arial"/>
                                <w:iCs/>
                                <w:snapToGrid w:val="0"/>
                              </w:rPr>
                              <w:t>Surveys submitted prior to September 1:</w:t>
                            </w:r>
                          </w:p>
                          <w:p w14:paraId="1F371AC1" w14:textId="23571E7E" w:rsidR="002D5AA9" w:rsidRPr="009A5185" w:rsidRDefault="002D5AA9" w:rsidP="00AD309C">
                            <w:pPr>
                              <w:pStyle w:val="ListParagraph"/>
                              <w:numPr>
                                <w:ilvl w:val="1"/>
                                <w:numId w:val="36"/>
                              </w:numPr>
                              <w:rPr>
                                <w:rFonts w:cs="Arial"/>
                                <w:i/>
                                <w:snapToGrid w:val="0"/>
                              </w:rPr>
                            </w:pPr>
                            <w:r>
                              <w:rPr>
                                <w:rFonts w:cs="Arial"/>
                                <w:snapToGrid w:val="0"/>
                              </w:rPr>
                              <w:t>01/01/202</w:t>
                            </w:r>
                            <w:r w:rsidR="00AA1E22">
                              <w:rPr>
                                <w:rFonts w:cs="Arial"/>
                                <w:snapToGrid w:val="0"/>
                              </w:rPr>
                              <w:t>5</w:t>
                            </w:r>
                            <w:r>
                              <w:rPr>
                                <w:rFonts w:cs="Arial"/>
                                <w:snapToGrid w:val="0"/>
                              </w:rPr>
                              <w:t xml:space="preserve"> – 12/31/202</w:t>
                            </w:r>
                            <w:r w:rsidR="00AA1E22">
                              <w:rPr>
                                <w:rFonts w:cs="Arial"/>
                                <w:snapToGrid w:val="0"/>
                              </w:rPr>
                              <w:t>5</w:t>
                            </w:r>
                          </w:p>
                          <w:p w14:paraId="200A2646" w14:textId="77777777" w:rsidR="002D5AA9" w:rsidRPr="0088233D" w:rsidRDefault="002D5AA9" w:rsidP="00AD309C">
                            <w:pPr>
                              <w:pStyle w:val="ListParagraph"/>
                              <w:numPr>
                                <w:ilvl w:val="0"/>
                                <w:numId w:val="36"/>
                              </w:numPr>
                              <w:spacing w:after="120"/>
                              <w:rPr>
                                <w:rFonts w:cs="Arial"/>
                                <w:i/>
                                <w:snapToGrid w:val="0"/>
                              </w:rPr>
                            </w:pPr>
                            <w:r w:rsidRPr="009A5185">
                              <w:rPr>
                                <w:rFonts w:cs="Arial"/>
                                <w:snapToGrid w:val="0"/>
                              </w:rPr>
                              <w:t xml:space="preserve">Surveys (re)submitted on or after September 1: </w:t>
                            </w:r>
                          </w:p>
                          <w:p w14:paraId="406AFBD5" w14:textId="1C3F29A0" w:rsidR="002D5AA9" w:rsidRPr="00FD4BD9" w:rsidRDefault="002D5AA9" w:rsidP="00AD309C">
                            <w:pPr>
                              <w:pStyle w:val="ListParagraph"/>
                              <w:numPr>
                                <w:ilvl w:val="1"/>
                                <w:numId w:val="36"/>
                              </w:numPr>
                              <w:spacing w:after="120"/>
                              <w:rPr>
                                <w:rFonts w:cs="Arial"/>
                                <w:i/>
                                <w:snapToGrid w:val="0"/>
                              </w:rPr>
                            </w:pPr>
                            <w:r w:rsidRPr="009A5185">
                              <w:rPr>
                                <w:rFonts w:cs="Arial"/>
                                <w:snapToGrid w:val="0"/>
                              </w:rPr>
                              <w:t>07/01/</w:t>
                            </w:r>
                            <w:r>
                              <w:rPr>
                                <w:rFonts w:cs="Arial"/>
                                <w:snapToGrid w:val="0"/>
                              </w:rPr>
                              <w:t>202</w:t>
                            </w:r>
                            <w:r w:rsidR="00AA1E22">
                              <w:rPr>
                                <w:rFonts w:cs="Arial"/>
                                <w:snapToGrid w:val="0"/>
                              </w:rPr>
                              <w:t>5</w:t>
                            </w:r>
                            <w:r w:rsidRPr="009A5185">
                              <w:rPr>
                                <w:rFonts w:cs="Arial"/>
                                <w:snapToGrid w:val="0"/>
                              </w:rPr>
                              <w:t xml:space="preserve"> </w:t>
                            </w:r>
                            <w:r>
                              <w:rPr>
                                <w:rFonts w:cs="Arial"/>
                                <w:snapToGrid w:val="0"/>
                              </w:rPr>
                              <w:t>–</w:t>
                            </w:r>
                            <w:r w:rsidRPr="009A5185">
                              <w:rPr>
                                <w:rFonts w:cs="Arial"/>
                                <w:snapToGrid w:val="0"/>
                              </w:rPr>
                              <w:t xml:space="preserve"> 06/30/</w:t>
                            </w:r>
                            <w:r>
                              <w:rPr>
                                <w:rFonts w:cs="Arial"/>
                                <w:snapToGrid w:val="0"/>
                              </w:rPr>
                              <w:t>202</w:t>
                            </w:r>
                            <w:r w:rsidR="00AA1E22">
                              <w:rPr>
                                <w:rFonts w:cs="Arial"/>
                                <w:snapToGrid w:val="0"/>
                              </w:rPr>
                              <w:t>6</w:t>
                            </w:r>
                          </w:p>
                          <w:p w14:paraId="634C0141" w14:textId="77777777" w:rsidR="002D5AA9" w:rsidRDefault="002D5AA9" w:rsidP="002D5AA9">
                            <w:pPr>
                              <w:rPr>
                                <w:rFonts w:cs="Arial"/>
                                <w:sz w:val="16"/>
                                <w:szCs w:val="16"/>
                                <w:highlight w:val="cyan"/>
                              </w:rPr>
                            </w:pPr>
                          </w:p>
                          <w:p w14:paraId="1633EA6B" w14:textId="28D1C9E0" w:rsidR="002D5AA9" w:rsidRDefault="002D5AA9" w:rsidP="002D5AA9">
                            <w:r w:rsidRPr="006547C0">
                              <w:rPr>
                                <w:rFonts w:cs="Arial"/>
                                <w:sz w:val="16"/>
                                <w:szCs w:val="16"/>
                              </w:rPr>
                              <w:t xml:space="preserve">Note: As a reminder, the </w:t>
                            </w:r>
                            <w:hyperlink r:id="rId443" w:history="1">
                              <w:r w:rsidRPr="006547C0">
                                <w:rPr>
                                  <w:rStyle w:val="Hyperlink"/>
                                  <w:rFonts w:cs="Arial"/>
                                  <w:sz w:val="16"/>
                                  <w:szCs w:val="16"/>
                                </w:rPr>
                                <w:t>Corrections Period</w:t>
                              </w:r>
                            </w:hyperlink>
                            <w:r w:rsidRPr="006547C0">
                              <w:rPr>
                                <w:rFonts w:cs="Arial"/>
                                <w:sz w:val="16"/>
                                <w:szCs w:val="16"/>
                              </w:rPr>
                              <w:t xml:space="preserve"> </w:t>
                            </w:r>
                            <w:r w:rsidRPr="00E65E68">
                              <w:rPr>
                                <w:rFonts w:cs="Arial"/>
                                <w:sz w:val="16"/>
                                <w:szCs w:val="16"/>
                              </w:rPr>
                              <w:t>(</w:t>
                            </w:r>
                            <w:r>
                              <w:rPr>
                                <w:rFonts w:cs="Arial"/>
                                <w:sz w:val="16"/>
                                <w:szCs w:val="16"/>
                              </w:rPr>
                              <w:t>December</w:t>
                            </w:r>
                            <w:r w:rsidRPr="00E65E68">
                              <w:rPr>
                                <w:rFonts w:cs="Arial"/>
                                <w:sz w:val="16"/>
                                <w:szCs w:val="16"/>
                              </w:rPr>
                              <w:t xml:space="preserve"> 1-January 31) is reserved for corrections to previously submitted Surveys only. </w:t>
                            </w:r>
                            <w:r w:rsidRPr="00E65E68">
                              <w:rPr>
                                <w:rFonts w:cs="Arial"/>
                                <w:bCs/>
                                <w:snapToGrid w:val="0"/>
                                <w:sz w:val="16"/>
                                <w:szCs w:val="16"/>
                              </w:rPr>
                              <w:t xml:space="preserve">Any updates made to reflect a change in performance must be made prior to the </w:t>
                            </w:r>
                            <w:r>
                              <w:rPr>
                                <w:rFonts w:cs="Arial"/>
                                <w:bCs/>
                                <w:snapToGrid w:val="0"/>
                                <w:sz w:val="16"/>
                                <w:szCs w:val="16"/>
                              </w:rPr>
                              <w:t>November 30</w:t>
                            </w:r>
                            <w:r w:rsidRPr="00E65E68">
                              <w:rPr>
                                <w:rFonts w:cs="Arial"/>
                                <w:bCs/>
                                <w:snapToGrid w:val="0"/>
                                <w:sz w:val="16"/>
                                <w:szCs w:val="16"/>
                              </w:rPr>
                              <w:t xml:space="preserve"> Late Submission </w:t>
                            </w:r>
                            <w:r>
                              <w:rPr>
                                <w:rFonts w:cs="Arial"/>
                                <w:bCs/>
                                <w:snapToGrid w:val="0"/>
                                <w:sz w:val="16"/>
                                <w:szCs w:val="16"/>
                              </w:rPr>
                              <w:t xml:space="preserve">and Performance Update </w:t>
                            </w:r>
                            <w:r w:rsidRPr="00E65E68">
                              <w:rPr>
                                <w:rFonts w:cs="Arial"/>
                                <w:bCs/>
                                <w:snapToGrid w:val="0"/>
                                <w:sz w:val="16"/>
                                <w:szCs w:val="16"/>
                              </w:rPr>
                              <w:t xml:space="preserve">Deadline. Updates made to reflect a change in performance after </w:t>
                            </w:r>
                            <w:r>
                              <w:rPr>
                                <w:rFonts w:cs="Arial"/>
                                <w:bCs/>
                                <w:snapToGrid w:val="0"/>
                                <w:sz w:val="16"/>
                                <w:szCs w:val="16"/>
                              </w:rPr>
                              <w:t>November 30</w:t>
                            </w:r>
                            <w:r w:rsidRPr="00E65E68">
                              <w:rPr>
                                <w:rFonts w:cs="Arial"/>
                                <w:bCs/>
                                <w:snapToGrid w:val="0"/>
                                <w:sz w:val="16"/>
                                <w:szCs w:val="16"/>
                              </w:rPr>
                              <w:t xml:space="preserve"> will not be scored or publicly reported.</w:t>
                            </w:r>
                          </w:p>
                        </w:txbxContent>
                      </wps:txbx>
                      <wps:bodyPr rot="0" vert="horz" wrap="square" lIns="91440" tIns="45720" rIns="91440" bIns="45720" anchor="t" anchorCtr="0">
                        <a:noAutofit/>
                      </wps:bodyPr>
                    </wps:wsp>
                  </a:graphicData>
                </a:graphic>
              </wp:inline>
            </w:drawing>
          </mc:Choice>
          <mc:Fallback>
            <w:pict>
              <v:shape w14:anchorId="32750856" id="Text Box 42" o:spid="_x0000_s1058" type="#_x0000_t202" alt="P10314TB31#y1" style="width:498.35pt;height:128.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" strokecolor="red">
                <v:textbox>
                  <w:txbxContent>
                    <w:p w14:paraId="78D872D8" w14:textId="133A5252" w:rsidR="002D5AA9" w:rsidRPr="009A5185" w:rsidRDefault="002D5AA9" w:rsidP="002D5AA9">
                      <w:pPr>
                        <w:spacing w:before="120"/>
                        <w:rPr>
                          <w:rFonts w:cs="Arial"/>
                          <w:b/>
                          <w:snapToGrid w:val="0"/>
                        </w:rPr>
                      </w:pPr>
                      <w:r w:rsidRPr="009A5185">
                        <w:rPr>
                          <w:rFonts w:cs="Arial"/>
                          <w:b/>
                          <w:snapToGrid w:val="0"/>
                        </w:rPr>
                        <w:t>Reporting Period: 12 months</w:t>
                      </w:r>
                    </w:p>
                    <w:p w14:paraId="22BAB8F0" w14:textId="7A7474DD" w:rsidR="002D5AA9" w:rsidRPr="009A5185" w:rsidRDefault="002D5AA9" w:rsidP="002D5AA9">
                      <w:pPr>
                        <w:rPr>
                          <w:rFonts w:cs="Arial"/>
                          <w:b/>
                          <w:snapToGrid w:val="0"/>
                        </w:rPr>
                      </w:pPr>
                      <w:r w:rsidRPr="009A5185">
                        <w:rPr>
                          <w:rFonts w:cs="Arial"/>
                          <w:snapToGrid w:val="0"/>
                        </w:rPr>
                        <w:t xml:space="preserve">Answer </w:t>
                      </w:r>
                      <w:r w:rsidRPr="00CC0E71">
                        <w:rPr>
                          <w:rFonts w:cs="Arial"/>
                          <w:snapToGrid w:val="0"/>
                        </w:rPr>
                        <w:t>questions #1-</w:t>
                      </w:r>
                      <w:r w:rsidR="00897A3E">
                        <w:rPr>
                          <w:rFonts w:cs="Arial"/>
                          <w:snapToGrid w:val="0"/>
                        </w:rPr>
                        <w:t>7</w:t>
                      </w:r>
                      <w:r w:rsidRPr="00CC0E71">
                        <w:rPr>
                          <w:rFonts w:cs="Arial"/>
                          <w:snapToGrid w:val="0"/>
                        </w:rPr>
                        <w:t xml:space="preserve"> based </w:t>
                      </w:r>
                      <w:r w:rsidRPr="00CC0E71">
                        <w:rPr>
                          <w:rFonts w:cs="Arial"/>
                          <w:snapToGrid w:val="0"/>
                          <w:color w:val="000000"/>
                        </w:rPr>
                        <w:t xml:space="preserve">on </w:t>
                      </w:r>
                      <w:r w:rsidRPr="00CC0E71">
                        <w:rPr>
                          <w:rFonts w:cs="Arial"/>
                          <w:snapToGrid w:val="0"/>
                        </w:rPr>
                        <w:t>all</w:t>
                      </w:r>
                      <w:r w:rsidRPr="009A5185">
                        <w:rPr>
                          <w:rFonts w:cs="Arial"/>
                          <w:snapToGrid w:val="0"/>
                        </w:rPr>
                        <w:t xml:space="preserve"> cases </w:t>
                      </w:r>
                      <w:r w:rsidRPr="009A5185">
                        <w:rPr>
                          <w:rFonts w:cs="Arial"/>
                        </w:rPr>
                        <w:t xml:space="preserve">(or a </w:t>
                      </w:r>
                      <w:r w:rsidRPr="00E5287F">
                        <w:t>sufficient sample of them</w:t>
                      </w:r>
                      <w:r w:rsidRPr="009A5185">
                        <w:rPr>
                          <w:rFonts w:cs="Arial"/>
                          <w:snapToGrid w:val="0"/>
                        </w:rPr>
                        <w:t>)</w:t>
                      </w:r>
                      <w:r w:rsidRPr="009A5185">
                        <w:rPr>
                          <w:rFonts w:cs="Arial"/>
                          <w:b/>
                          <w:snapToGrid w:val="0"/>
                        </w:rPr>
                        <w:t xml:space="preserve"> </w:t>
                      </w:r>
                    </w:p>
                    <w:p w14:paraId="70559B63" w14:textId="77777777" w:rsidR="002D5AA9" w:rsidRPr="00A87554" w:rsidRDefault="002D5AA9" w:rsidP="00AD309C">
                      <w:pPr>
                        <w:pStyle w:val="ListParagraph"/>
                        <w:numPr>
                          <w:ilvl w:val="0"/>
                          <w:numId w:val="36"/>
                        </w:numPr>
                        <w:rPr>
                          <w:rFonts w:cs="Arial"/>
                          <w:i/>
                          <w:snapToGrid w:val="0"/>
                        </w:rPr>
                      </w:pPr>
                      <w:r>
                        <w:rPr>
                          <w:rFonts w:cs="Arial"/>
                          <w:iCs/>
                          <w:snapToGrid w:val="0"/>
                        </w:rPr>
                        <w:t>Surveys submitted prior to September 1:</w:t>
                      </w:r>
                    </w:p>
                    <w:p w14:paraId="1F371AC1" w14:textId="23571E7E" w:rsidR="002D5AA9" w:rsidRPr="009A5185" w:rsidRDefault="002D5AA9" w:rsidP="00AD309C">
                      <w:pPr>
                        <w:pStyle w:val="ListParagraph"/>
                        <w:numPr>
                          <w:ilvl w:val="1"/>
                          <w:numId w:val="36"/>
                        </w:numPr>
                        <w:rPr>
                          <w:rFonts w:cs="Arial"/>
                          <w:i/>
                          <w:snapToGrid w:val="0"/>
                        </w:rPr>
                      </w:pPr>
                      <w:r>
                        <w:rPr>
                          <w:rFonts w:cs="Arial"/>
                          <w:snapToGrid w:val="0"/>
                        </w:rPr>
                        <w:t>01/01/202</w:t>
                      </w:r>
                      <w:r w:rsidR="00AA1E22">
                        <w:rPr>
                          <w:rFonts w:cs="Arial"/>
                          <w:snapToGrid w:val="0"/>
                        </w:rPr>
                        <w:t>5</w:t>
                      </w:r>
                      <w:r>
                        <w:rPr>
                          <w:rFonts w:cs="Arial"/>
                          <w:snapToGrid w:val="0"/>
                        </w:rPr>
                        <w:t xml:space="preserve"> – 12/31/202</w:t>
                      </w:r>
                      <w:r w:rsidR="00AA1E22">
                        <w:rPr>
                          <w:rFonts w:cs="Arial"/>
                          <w:snapToGrid w:val="0"/>
                        </w:rPr>
                        <w:t>5</w:t>
                      </w:r>
                    </w:p>
                    <w:p w14:paraId="200A2646" w14:textId="77777777" w:rsidR="002D5AA9" w:rsidRPr="0088233D" w:rsidRDefault="002D5AA9" w:rsidP="00AD309C">
                      <w:pPr>
                        <w:pStyle w:val="ListParagraph"/>
                        <w:numPr>
                          <w:ilvl w:val="0"/>
                          <w:numId w:val="36"/>
                        </w:numPr>
                        <w:spacing w:after="120"/>
                        <w:rPr>
                          <w:rFonts w:cs="Arial"/>
                          <w:i/>
                          <w:snapToGrid w:val="0"/>
                        </w:rPr>
                      </w:pPr>
                      <w:r w:rsidRPr="009A5185">
                        <w:rPr>
                          <w:rFonts w:cs="Arial"/>
                          <w:snapToGrid w:val="0"/>
                        </w:rPr>
                        <w:t xml:space="preserve">Surveys (re)submitted on or after September 1: </w:t>
                      </w:r>
                    </w:p>
                    <w:p w14:paraId="406AFBD5" w14:textId="1C3F29A0" w:rsidR="002D5AA9" w:rsidRPr="00FD4BD9" w:rsidRDefault="002D5AA9" w:rsidP="00AD309C">
                      <w:pPr>
                        <w:pStyle w:val="ListParagraph"/>
                        <w:numPr>
                          <w:ilvl w:val="1"/>
                          <w:numId w:val="36"/>
                        </w:numPr>
                        <w:spacing w:after="120"/>
                        <w:rPr>
                          <w:rFonts w:cs="Arial"/>
                          <w:i/>
                          <w:snapToGrid w:val="0"/>
                        </w:rPr>
                      </w:pPr>
                      <w:r w:rsidRPr="009A5185">
                        <w:rPr>
                          <w:rFonts w:cs="Arial"/>
                          <w:snapToGrid w:val="0"/>
                        </w:rPr>
                        <w:t>07/01/</w:t>
                      </w:r>
                      <w:r>
                        <w:rPr>
                          <w:rFonts w:cs="Arial"/>
                          <w:snapToGrid w:val="0"/>
                        </w:rPr>
                        <w:t>202</w:t>
                      </w:r>
                      <w:r w:rsidR="00AA1E22">
                        <w:rPr>
                          <w:rFonts w:cs="Arial"/>
                          <w:snapToGrid w:val="0"/>
                        </w:rPr>
                        <w:t>5</w:t>
                      </w:r>
                      <w:r w:rsidRPr="009A5185">
                        <w:rPr>
                          <w:rFonts w:cs="Arial"/>
                          <w:snapToGrid w:val="0"/>
                        </w:rPr>
                        <w:t xml:space="preserve"> </w:t>
                      </w:r>
                      <w:r>
                        <w:rPr>
                          <w:rFonts w:cs="Arial"/>
                          <w:snapToGrid w:val="0"/>
                        </w:rPr>
                        <w:t>–</w:t>
                      </w:r>
                      <w:r w:rsidRPr="009A5185">
                        <w:rPr>
                          <w:rFonts w:cs="Arial"/>
                          <w:snapToGrid w:val="0"/>
                        </w:rPr>
                        <w:t xml:space="preserve"> 06/30/</w:t>
                      </w:r>
                      <w:r>
                        <w:rPr>
                          <w:rFonts w:cs="Arial"/>
                          <w:snapToGrid w:val="0"/>
                        </w:rPr>
                        <w:t>202</w:t>
                      </w:r>
                      <w:r w:rsidR="00AA1E22">
                        <w:rPr>
                          <w:rFonts w:cs="Arial"/>
                          <w:snapToGrid w:val="0"/>
                        </w:rPr>
                        <w:t>6</w:t>
                      </w:r>
                    </w:p>
                    <w:p w14:paraId="634C0141" w14:textId="77777777" w:rsidR="002D5AA9" w:rsidRDefault="002D5AA9" w:rsidP="002D5AA9">
                      <w:pPr>
                        <w:rPr>
                          <w:rFonts w:cs="Arial"/>
                          <w:sz w:val="16"/>
                          <w:szCs w:val="16"/>
                          <w:highlight w:val="cyan"/>
                        </w:rPr>
                      </w:pPr>
                    </w:p>
                    <w:p w14:paraId="1633EA6B" w14:textId="28D1C9E0" w:rsidR="002D5AA9" w:rsidRDefault="002D5AA9" w:rsidP="002D5AA9">
                      <w:r w:rsidRPr="006547C0">
                        <w:rPr>
                          <w:rFonts w:cs="Arial"/>
                          <w:sz w:val="16"/>
                          <w:szCs w:val="16"/>
                        </w:rPr>
                        <w:t xml:space="preserve">Note: As a reminder, the </w:t>
                      </w:r>
                      <w:hyperlink r:id="rId444" w:history="1">
                        <w:r w:rsidRPr="006547C0">
                          <w:rPr>
                            <w:rStyle w:val="Hyperlink"/>
                            <w:rFonts w:cs="Arial"/>
                            <w:sz w:val="16"/>
                            <w:szCs w:val="16"/>
                          </w:rPr>
                          <w:t>Corrections Period</w:t>
                        </w:r>
                      </w:hyperlink>
                      <w:r w:rsidRPr="006547C0">
                        <w:rPr>
                          <w:rFonts w:cs="Arial"/>
                          <w:sz w:val="16"/>
                          <w:szCs w:val="16"/>
                        </w:rPr>
                        <w:t xml:space="preserve"> </w:t>
                      </w:r>
                      <w:r w:rsidRPr="00E65E68">
                        <w:rPr>
                          <w:rFonts w:cs="Arial"/>
                          <w:sz w:val="16"/>
                          <w:szCs w:val="16"/>
                        </w:rPr>
                        <w:t>(</w:t>
                      </w:r>
                      <w:r>
                        <w:rPr>
                          <w:rFonts w:cs="Arial"/>
                          <w:sz w:val="16"/>
                          <w:szCs w:val="16"/>
                        </w:rPr>
                        <w:t>December</w:t>
                      </w:r>
                      <w:r w:rsidRPr="00E65E68">
                        <w:rPr>
                          <w:rFonts w:cs="Arial"/>
                          <w:sz w:val="16"/>
                          <w:szCs w:val="16"/>
                        </w:rPr>
                        <w:t xml:space="preserve"> 1-January 31) is reserved for corrections to previously submitted Surveys only. </w:t>
                      </w:r>
                      <w:r w:rsidRPr="00E65E68">
                        <w:rPr>
                          <w:rFonts w:cs="Arial"/>
                          <w:bCs/>
                          <w:snapToGrid w:val="0"/>
                          <w:sz w:val="16"/>
                          <w:szCs w:val="16"/>
                        </w:rPr>
                        <w:t xml:space="preserve">Any updates made to reflect a change in performance must be made prior to the </w:t>
                      </w:r>
                      <w:r>
                        <w:rPr>
                          <w:rFonts w:cs="Arial"/>
                          <w:bCs/>
                          <w:snapToGrid w:val="0"/>
                          <w:sz w:val="16"/>
                          <w:szCs w:val="16"/>
                        </w:rPr>
                        <w:t>November 30</w:t>
                      </w:r>
                      <w:r w:rsidRPr="00E65E68">
                        <w:rPr>
                          <w:rFonts w:cs="Arial"/>
                          <w:bCs/>
                          <w:snapToGrid w:val="0"/>
                          <w:sz w:val="16"/>
                          <w:szCs w:val="16"/>
                        </w:rPr>
                        <w:t xml:space="preserve"> Late Submission </w:t>
                      </w:r>
                      <w:r>
                        <w:rPr>
                          <w:rFonts w:cs="Arial"/>
                          <w:bCs/>
                          <w:snapToGrid w:val="0"/>
                          <w:sz w:val="16"/>
                          <w:szCs w:val="16"/>
                        </w:rPr>
                        <w:t xml:space="preserve">and Performance Update </w:t>
                      </w:r>
                      <w:r w:rsidRPr="00E65E68">
                        <w:rPr>
                          <w:rFonts w:cs="Arial"/>
                          <w:bCs/>
                          <w:snapToGrid w:val="0"/>
                          <w:sz w:val="16"/>
                          <w:szCs w:val="16"/>
                        </w:rPr>
                        <w:t xml:space="preserve">Deadline. Updates made to reflect a change in performance after </w:t>
                      </w:r>
                      <w:r>
                        <w:rPr>
                          <w:rFonts w:cs="Arial"/>
                          <w:bCs/>
                          <w:snapToGrid w:val="0"/>
                          <w:sz w:val="16"/>
                          <w:szCs w:val="16"/>
                        </w:rPr>
                        <w:t>November 30</w:t>
                      </w:r>
                      <w:r w:rsidRPr="00E65E68">
                        <w:rPr>
                          <w:rFonts w:cs="Arial"/>
                          <w:bCs/>
                          <w:snapToGrid w:val="0"/>
                          <w:sz w:val="16"/>
                          <w:szCs w:val="16"/>
                        </w:rPr>
                        <w:t xml:space="preserve"> will not be scored or publicly reported.</w:t>
                      </w:r>
                    </w:p>
                  </w:txbxContent>
                </v:textbox>
                <w10:anchorlock/>
              </v:shape>
            </w:pict>
          </mc:Fallback>
        </mc:AlternateContent>
      </w:r>
    </w:p>
    <w:p w14:paraId="42BE52F4" w14:textId="1602B4B0" w:rsidR="00B6773E" w:rsidRPr="002D5AA9" w:rsidRDefault="00B6773E" w:rsidP="00B6773E">
      <w:pPr>
        <w:rPr>
          <w:rFonts w:cs="Arial"/>
        </w:rPr>
      </w:pPr>
    </w:p>
    <w:p w14:paraId="443C96E7" w14:textId="3067CC7B" w:rsidR="00A51133" w:rsidRDefault="00E64B75" w:rsidP="00B6773E">
      <w:r w:rsidRPr="0002601E">
        <w:rPr>
          <w:b/>
          <w:bCs/>
        </w:rPr>
        <w:t>Sufficient Sample:</w:t>
      </w:r>
      <w:r>
        <w:t xml:space="preserve"> See </w:t>
      </w:r>
      <w:hyperlink w:anchor="_Pediatric_Computed_Tomography" w:history="1">
        <w:r>
          <w:rPr>
            <w:rStyle w:val="Hyperlink"/>
            <w:rFonts w:cs="Arial"/>
            <w:b/>
            <w:i/>
          </w:rPr>
          <w:t>Pediatric Computed Tomography (CT) Radiation Dose Measure Specifications</w:t>
        </w:r>
      </w:hyperlink>
      <w:r>
        <w:rPr>
          <w:rStyle w:val="Hyperlink"/>
          <w:rFonts w:cs="Arial"/>
          <w:b/>
          <w:i/>
        </w:rPr>
        <w:t xml:space="preserve"> </w:t>
      </w:r>
      <w:r>
        <w:t>for instructions on identifying a sufficient sample for questions #2-7.</w:t>
      </w:r>
    </w:p>
    <w:p w14:paraId="1B94281E" w14:textId="77777777" w:rsidR="00E64B75" w:rsidRPr="002D5AA9" w:rsidRDefault="00E64B75" w:rsidP="00B6773E">
      <w:pPr>
        <w:rPr>
          <w:rFonts w:cs="Arial"/>
        </w:rPr>
      </w:pPr>
    </w:p>
    <w:tbl>
      <w:tblPr>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67"/>
        <w:gridCol w:w="2918"/>
      </w:tblGrid>
      <w:tr w:rsidR="00B6773E" w:rsidRPr="009A5185" w14:paraId="29809792" w14:textId="77777777" w:rsidTr="00224935">
        <w:trPr>
          <w:trHeight w:val="576"/>
        </w:trPr>
        <w:tc>
          <w:tcPr>
            <w:tcW w:w="7067" w:type="dxa"/>
            <w:tcBorders>
              <w:bottom w:val="single" w:sz="4" w:space="0" w:color="auto"/>
            </w:tcBorders>
            <w:vAlign w:val="center"/>
          </w:tcPr>
          <w:p w14:paraId="1A813395" w14:textId="24066C22" w:rsidR="00B6773E" w:rsidRPr="009A5185" w:rsidRDefault="00B6773E" w:rsidP="00AD309C">
            <w:pPr>
              <w:numPr>
                <w:ilvl w:val="0"/>
                <w:numId w:val="52"/>
              </w:numPr>
              <w:rPr>
                <w:rFonts w:cs="Arial"/>
              </w:rPr>
            </w:pPr>
            <w:r w:rsidRPr="009A5185">
              <w:rPr>
                <w:rFonts w:cs="Arial"/>
              </w:rPr>
              <w:t>12-month reporting period used</w:t>
            </w:r>
            <w:r w:rsidRPr="009A5185">
              <w:rPr>
                <w:rFonts w:cs="Arial"/>
                <w:snapToGrid w:val="0"/>
                <w:color w:val="000000"/>
              </w:rPr>
              <w:t>:</w:t>
            </w:r>
          </w:p>
        </w:tc>
        <w:tc>
          <w:tcPr>
            <w:tcW w:w="2918" w:type="dxa"/>
            <w:tcBorders>
              <w:bottom w:val="single" w:sz="4" w:space="0" w:color="auto"/>
            </w:tcBorders>
            <w:vAlign w:val="center"/>
          </w:tcPr>
          <w:p w14:paraId="14589B88" w14:textId="520ECC71" w:rsidR="00514540" w:rsidRPr="00C06753" w:rsidRDefault="00514540" w:rsidP="00AD309C">
            <w:pPr>
              <w:pStyle w:val="ListParagraph"/>
              <w:numPr>
                <w:ilvl w:val="0"/>
                <w:numId w:val="323"/>
              </w:numPr>
              <w:rPr>
                <w:rFonts w:cs="Arial"/>
                <w:snapToGrid w:val="0"/>
              </w:rPr>
            </w:pPr>
            <w:r w:rsidRPr="004F63C1">
              <w:rPr>
                <w:rFonts w:cs="Arial"/>
                <w:snapToGrid w:val="0"/>
              </w:rPr>
              <w:t>01/01/202</w:t>
            </w:r>
            <w:r w:rsidR="00AA1E22">
              <w:rPr>
                <w:rFonts w:cs="Arial"/>
                <w:snapToGrid w:val="0"/>
              </w:rPr>
              <w:t>5</w:t>
            </w:r>
            <w:r w:rsidRPr="00C06753">
              <w:rPr>
                <w:rFonts w:cs="Arial"/>
                <w:snapToGrid w:val="0"/>
              </w:rPr>
              <w:t xml:space="preserve"> </w:t>
            </w:r>
            <w:r w:rsidR="009A058A" w:rsidRPr="00C06753">
              <w:rPr>
                <w:rFonts w:cs="Arial"/>
                <w:snapToGrid w:val="0"/>
              </w:rPr>
              <w:t>–</w:t>
            </w:r>
            <w:r w:rsidRPr="00C06753">
              <w:rPr>
                <w:rFonts w:cs="Arial"/>
                <w:snapToGrid w:val="0"/>
              </w:rPr>
              <w:t xml:space="preserve"> 12/31/202</w:t>
            </w:r>
            <w:r w:rsidR="00AA1E22">
              <w:rPr>
                <w:rFonts w:cs="Arial"/>
                <w:snapToGrid w:val="0"/>
              </w:rPr>
              <w:t>5</w:t>
            </w:r>
          </w:p>
          <w:p w14:paraId="6C7D99C2" w14:textId="6D979FC2" w:rsidR="00B6773E" w:rsidRPr="00B11BF3" w:rsidRDefault="00B6773E" w:rsidP="00AD309C">
            <w:pPr>
              <w:pStyle w:val="ListParagraph"/>
              <w:numPr>
                <w:ilvl w:val="0"/>
                <w:numId w:val="323"/>
              </w:numPr>
              <w:rPr>
                <w:rFonts w:cs="Arial"/>
                <w:snapToGrid w:val="0"/>
              </w:rPr>
            </w:pPr>
            <w:r w:rsidRPr="00C06753">
              <w:rPr>
                <w:rFonts w:cs="Arial"/>
                <w:snapToGrid w:val="0"/>
              </w:rPr>
              <w:t>07/01/</w:t>
            </w:r>
            <w:r w:rsidR="00514540" w:rsidRPr="00C06753">
              <w:rPr>
                <w:rFonts w:cs="Arial"/>
                <w:snapToGrid w:val="0"/>
              </w:rPr>
              <w:t>202</w:t>
            </w:r>
            <w:r w:rsidR="00AA1E22">
              <w:rPr>
                <w:rFonts w:cs="Arial"/>
                <w:snapToGrid w:val="0"/>
              </w:rPr>
              <w:t>5</w:t>
            </w:r>
            <w:r w:rsidR="0018756C" w:rsidRPr="00C06753">
              <w:rPr>
                <w:rFonts w:cs="Arial"/>
                <w:snapToGrid w:val="0"/>
              </w:rPr>
              <w:t xml:space="preserve"> </w:t>
            </w:r>
            <w:r w:rsidR="009A058A" w:rsidRPr="00C06753">
              <w:rPr>
                <w:rFonts w:cs="Arial"/>
                <w:snapToGrid w:val="0"/>
              </w:rPr>
              <w:t>–</w:t>
            </w:r>
            <w:r w:rsidR="0018756C" w:rsidRPr="00C06753">
              <w:rPr>
                <w:rFonts w:cs="Arial"/>
                <w:snapToGrid w:val="0"/>
              </w:rPr>
              <w:t xml:space="preserve"> </w:t>
            </w:r>
            <w:r w:rsidRPr="00C06753">
              <w:rPr>
                <w:rFonts w:cs="Arial"/>
                <w:snapToGrid w:val="0"/>
              </w:rPr>
              <w:t>06/30/</w:t>
            </w:r>
            <w:r w:rsidR="00514540" w:rsidRPr="00C06753">
              <w:rPr>
                <w:rFonts w:cs="Arial"/>
                <w:snapToGrid w:val="0"/>
              </w:rPr>
              <w:t>202</w:t>
            </w:r>
            <w:r w:rsidR="00AA1E22">
              <w:rPr>
                <w:rFonts w:cs="Arial"/>
                <w:snapToGrid w:val="0"/>
              </w:rPr>
              <w:t>6</w:t>
            </w:r>
          </w:p>
        </w:tc>
      </w:tr>
      <w:tr w:rsidR="00B6773E" w:rsidRPr="009A5185" w14:paraId="28996708" w14:textId="77777777" w:rsidTr="00A212A4">
        <w:trPr>
          <w:trHeight w:val="1440"/>
        </w:trPr>
        <w:tc>
          <w:tcPr>
            <w:tcW w:w="7067" w:type="dxa"/>
            <w:vAlign w:val="center"/>
          </w:tcPr>
          <w:p w14:paraId="45438BB0" w14:textId="77777777" w:rsidR="00B6773E" w:rsidRPr="005A1356" w:rsidRDefault="00B6773E" w:rsidP="00AD309C">
            <w:pPr>
              <w:numPr>
                <w:ilvl w:val="0"/>
                <w:numId w:val="52"/>
              </w:numPr>
              <w:rPr>
                <w:rFonts w:cs="Arial"/>
              </w:rPr>
            </w:pPr>
            <w:r w:rsidRPr="005A1356">
              <w:rPr>
                <w:rFonts w:cs="Arial"/>
              </w:rPr>
              <w:t>Does your hospital perform CT scans on pediatric patients?</w:t>
            </w:r>
          </w:p>
          <w:p w14:paraId="4B52BC00" w14:textId="77777777" w:rsidR="00B6773E" w:rsidRPr="005A1356" w:rsidRDefault="00B6773E" w:rsidP="00237A9D">
            <w:pPr>
              <w:ind w:left="360"/>
              <w:rPr>
                <w:rFonts w:cs="Arial"/>
              </w:rPr>
            </w:pPr>
          </w:p>
          <w:p w14:paraId="40031667" w14:textId="4CF67C86" w:rsidR="00EF65B5" w:rsidRPr="00A212A4" w:rsidRDefault="00B6773E" w:rsidP="00A212A4">
            <w:pPr>
              <w:pStyle w:val="ListParagraph"/>
              <w:ind w:left="360"/>
              <w:rPr>
                <w:rFonts w:cs="Arial"/>
                <w:i/>
              </w:rPr>
            </w:pPr>
            <w:r w:rsidRPr="005A1356">
              <w:rPr>
                <w:rFonts w:cs="Arial"/>
                <w:i/>
              </w:rPr>
              <w:t>If “no”</w:t>
            </w:r>
            <w:r w:rsidR="00A37F69" w:rsidRPr="005A1356">
              <w:rPr>
                <w:rFonts w:cs="Arial"/>
                <w:i/>
              </w:rPr>
              <w:t xml:space="preserve"> to question #2,</w:t>
            </w:r>
            <w:r w:rsidRPr="005A1356">
              <w:rPr>
                <w:rFonts w:cs="Arial"/>
                <w:i/>
              </w:rPr>
              <w:t xml:space="preserve"> skip </w:t>
            </w:r>
            <w:r w:rsidR="00A37F69" w:rsidRPr="005A1356">
              <w:rPr>
                <w:rFonts w:cs="Arial"/>
                <w:i/>
              </w:rPr>
              <w:t xml:space="preserve">the </w:t>
            </w:r>
            <w:r w:rsidRPr="005A1356">
              <w:rPr>
                <w:rFonts w:cs="Arial"/>
                <w:i/>
              </w:rPr>
              <w:t xml:space="preserve">remaining questions in Section </w:t>
            </w:r>
            <w:r w:rsidR="008D407F">
              <w:rPr>
                <w:rFonts w:cs="Arial"/>
                <w:i/>
              </w:rPr>
              <w:t>8</w:t>
            </w:r>
            <w:r w:rsidRPr="005A1356">
              <w:rPr>
                <w:rFonts w:cs="Arial"/>
                <w:i/>
              </w:rPr>
              <w:t>B</w:t>
            </w:r>
            <w:r w:rsidR="00481A3D" w:rsidRPr="005A1356">
              <w:rPr>
                <w:rFonts w:cs="Arial"/>
                <w:i/>
              </w:rPr>
              <w:t xml:space="preserve">, and go to the Affirmation of Accuracy. </w:t>
            </w:r>
            <w:r w:rsidR="00A37F69" w:rsidRPr="005A1356">
              <w:rPr>
                <w:rFonts w:cs="Arial"/>
                <w:i/>
              </w:rPr>
              <w:t>The hospital will be scored as “Does Not Apply.”</w:t>
            </w:r>
          </w:p>
        </w:tc>
        <w:tc>
          <w:tcPr>
            <w:tcW w:w="2918" w:type="dxa"/>
            <w:vAlign w:val="center"/>
          </w:tcPr>
          <w:p w14:paraId="517F556B" w14:textId="77777777" w:rsidR="00B6773E" w:rsidRPr="004F63C1" w:rsidRDefault="00B6773E" w:rsidP="00AD309C">
            <w:pPr>
              <w:pStyle w:val="ListParagraph"/>
              <w:numPr>
                <w:ilvl w:val="0"/>
                <w:numId w:val="323"/>
              </w:numPr>
              <w:rPr>
                <w:rFonts w:cs="Arial"/>
              </w:rPr>
            </w:pPr>
            <w:r w:rsidRPr="004F63C1">
              <w:rPr>
                <w:rFonts w:cs="Arial"/>
              </w:rPr>
              <w:t>Yes</w:t>
            </w:r>
          </w:p>
          <w:p w14:paraId="1CFCC835" w14:textId="77777777" w:rsidR="00B6773E" w:rsidRPr="004F63C1" w:rsidRDefault="00B6773E" w:rsidP="00AD309C">
            <w:pPr>
              <w:pStyle w:val="ListParagraph"/>
              <w:numPr>
                <w:ilvl w:val="0"/>
                <w:numId w:val="323"/>
              </w:numPr>
              <w:rPr>
                <w:rFonts w:cs="Arial"/>
              </w:rPr>
            </w:pPr>
            <w:r w:rsidRPr="004F63C1">
              <w:rPr>
                <w:rFonts w:cs="Arial"/>
              </w:rPr>
              <w:t>No</w:t>
            </w:r>
          </w:p>
        </w:tc>
      </w:tr>
      <w:tr w:rsidR="005E3A23" w:rsidRPr="009A5185" w14:paraId="4207367C" w14:textId="77777777" w:rsidTr="001D62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72"/>
        </w:trPr>
        <w:tc>
          <w:tcPr>
            <w:tcW w:w="7067" w:type="dxa"/>
            <w:tcBorders>
              <w:top w:val="single" w:sz="4" w:space="0" w:color="auto"/>
              <w:left w:val="single" w:sz="4" w:space="0" w:color="auto"/>
              <w:bottom w:val="single" w:sz="4" w:space="0" w:color="auto"/>
              <w:right w:val="single" w:sz="4" w:space="0" w:color="auto"/>
            </w:tcBorders>
            <w:vAlign w:val="center"/>
          </w:tcPr>
          <w:p w14:paraId="20126637" w14:textId="77777777" w:rsidR="005E3A23" w:rsidRPr="00E56A49" w:rsidRDefault="00AB6034" w:rsidP="00AD309C">
            <w:pPr>
              <w:numPr>
                <w:ilvl w:val="0"/>
                <w:numId w:val="52"/>
              </w:numPr>
              <w:rPr>
                <w:rFonts w:cs="Arial"/>
              </w:rPr>
            </w:pPr>
            <w:r w:rsidRPr="00E56A49">
              <w:rPr>
                <w:rFonts w:cs="Arial"/>
              </w:rPr>
              <w:t>Did</w:t>
            </w:r>
            <w:r w:rsidR="005E3A23" w:rsidRPr="00E56A49">
              <w:rPr>
                <w:rFonts w:cs="Arial"/>
              </w:rPr>
              <w:t xml:space="preserve"> your hospital calculate its distribution of CT radiation doses for pediatric patients over the reporting period, and do you choose to report those data to this </w:t>
            </w:r>
            <w:r w:rsidR="00C14AFF" w:rsidRPr="00E56A49">
              <w:rPr>
                <w:rFonts w:cs="Arial"/>
              </w:rPr>
              <w:t>Survey</w:t>
            </w:r>
            <w:r w:rsidR="005E3A23" w:rsidRPr="00E56A49">
              <w:rPr>
                <w:rFonts w:cs="Arial"/>
              </w:rPr>
              <w:t>?</w:t>
            </w:r>
          </w:p>
          <w:p w14:paraId="7CE80A51" w14:textId="77777777" w:rsidR="005E3A23" w:rsidRPr="00E56A49" w:rsidRDefault="005E3A23" w:rsidP="005E3A23">
            <w:pPr>
              <w:rPr>
                <w:rFonts w:cs="Arial"/>
              </w:rPr>
            </w:pPr>
          </w:p>
          <w:p w14:paraId="6CE0CA6C" w14:textId="22849A84" w:rsidR="00EF65B5" w:rsidRPr="00A212A4" w:rsidRDefault="005E3A23" w:rsidP="00A212A4">
            <w:pPr>
              <w:pStyle w:val="ListParagraph"/>
              <w:ind w:left="360"/>
              <w:rPr>
                <w:rFonts w:cs="Arial"/>
                <w:i/>
              </w:rPr>
            </w:pPr>
            <w:r w:rsidRPr="00E56A49">
              <w:rPr>
                <w:rFonts w:cs="Arial"/>
                <w:i/>
              </w:rPr>
              <w:t>If “no”</w:t>
            </w:r>
            <w:r w:rsidR="00196958" w:rsidRPr="00E56A49">
              <w:rPr>
                <w:rFonts w:cs="Arial"/>
                <w:i/>
              </w:rPr>
              <w:t xml:space="preserve"> to question #3,</w:t>
            </w:r>
            <w:r w:rsidRPr="00E56A49">
              <w:rPr>
                <w:rFonts w:cs="Arial"/>
                <w:i/>
              </w:rPr>
              <w:t xml:space="preserve"> skip </w:t>
            </w:r>
            <w:r w:rsidR="00525FAB" w:rsidRPr="00E56A49">
              <w:rPr>
                <w:rFonts w:cs="Arial"/>
                <w:i/>
              </w:rPr>
              <w:t xml:space="preserve">the </w:t>
            </w:r>
            <w:r w:rsidRPr="00E56A49">
              <w:rPr>
                <w:rFonts w:cs="Arial"/>
                <w:i/>
              </w:rPr>
              <w:t xml:space="preserve">remaining questions in Section </w:t>
            </w:r>
            <w:r w:rsidR="008D407F">
              <w:rPr>
                <w:rFonts w:cs="Arial"/>
                <w:i/>
              </w:rPr>
              <w:t>8</w:t>
            </w:r>
            <w:r w:rsidRPr="00E56A49">
              <w:rPr>
                <w:rFonts w:cs="Arial"/>
                <w:i/>
              </w:rPr>
              <w:t>B, and go to the Affirmation of Accuracy.</w:t>
            </w:r>
            <w:r w:rsidR="00AB6034" w:rsidRPr="00E56A49">
              <w:rPr>
                <w:rFonts w:cs="Arial"/>
                <w:i/>
              </w:rPr>
              <w:t xml:space="preserve"> The hospital will be scored as “</w:t>
            </w:r>
            <w:r w:rsidR="00CF006B">
              <w:rPr>
                <w:rFonts w:cs="Arial"/>
                <w:i/>
              </w:rPr>
              <w:t>Did Not Measure</w:t>
            </w:r>
            <w:r w:rsidR="00AB6034" w:rsidRPr="00E56A49">
              <w:rPr>
                <w:rFonts w:cs="Arial"/>
                <w:i/>
              </w:rPr>
              <w:t>.”</w:t>
            </w:r>
          </w:p>
        </w:tc>
        <w:tc>
          <w:tcPr>
            <w:tcW w:w="2918" w:type="dxa"/>
            <w:tcBorders>
              <w:top w:val="single" w:sz="4" w:space="0" w:color="auto"/>
              <w:left w:val="single" w:sz="4" w:space="0" w:color="auto"/>
              <w:bottom w:val="single" w:sz="4" w:space="0" w:color="auto"/>
              <w:right w:val="single" w:sz="4" w:space="0" w:color="auto"/>
            </w:tcBorders>
            <w:vAlign w:val="center"/>
          </w:tcPr>
          <w:p w14:paraId="06C27AF6" w14:textId="77777777" w:rsidR="005E3A23" w:rsidRPr="004F63C1" w:rsidRDefault="005E3A23" w:rsidP="00AD309C">
            <w:pPr>
              <w:pStyle w:val="ListParagraph"/>
              <w:numPr>
                <w:ilvl w:val="0"/>
                <w:numId w:val="323"/>
              </w:numPr>
              <w:rPr>
                <w:rFonts w:cs="Arial"/>
              </w:rPr>
            </w:pPr>
            <w:r w:rsidRPr="004F63C1">
              <w:rPr>
                <w:rFonts w:cs="Arial"/>
              </w:rPr>
              <w:t>Yes</w:t>
            </w:r>
          </w:p>
          <w:p w14:paraId="6DF3EE3B" w14:textId="77777777" w:rsidR="005E3A23" w:rsidRPr="004F63C1" w:rsidRDefault="005E3A23" w:rsidP="00AD309C">
            <w:pPr>
              <w:pStyle w:val="Header"/>
              <w:numPr>
                <w:ilvl w:val="0"/>
                <w:numId w:val="323"/>
              </w:numPr>
              <w:tabs>
                <w:tab w:val="clear" w:pos="4320"/>
                <w:tab w:val="clear" w:pos="8640"/>
              </w:tabs>
              <w:rPr>
                <w:rFonts w:cs="Arial"/>
              </w:rPr>
            </w:pPr>
            <w:r w:rsidRPr="004F63C1">
              <w:rPr>
                <w:rFonts w:cs="Arial"/>
              </w:rPr>
              <w:t>No</w:t>
            </w:r>
          </w:p>
        </w:tc>
      </w:tr>
      <w:tr w:rsidR="006160D4" w:rsidRPr="009A5185" w14:paraId="057501F7" w14:textId="77777777" w:rsidTr="001D6202">
        <w:trPr>
          <w:trHeight w:val="1296"/>
        </w:trPr>
        <w:tc>
          <w:tcPr>
            <w:tcW w:w="7067" w:type="dxa"/>
            <w:tcBorders>
              <w:top w:val="single" w:sz="4" w:space="0" w:color="auto"/>
              <w:left w:val="single" w:sz="4" w:space="0" w:color="auto"/>
              <w:bottom w:val="single" w:sz="4" w:space="0" w:color="auto"/>
              <w:right w:val="single" w:sz="4" w:space="0" w:color="auto"/>
            </w:tcBorders>
            <w:vAlign w:val="center"/>
          </w:tcPr>
          <w:p w14:paraId="29C20000" w14:textId="40C43179" w:rsidR="006160D4" w:rsidRPr="009A5185" w:rsidRDefault="00C63FE8" w:rsidP="00AD309C">
            <w:pPr>
              <w:numPr>
                <w:ilvl w:val="0"/>
                <w:numId w:val="52"/>
              </w:numPr>
              <w:rPr>
                <w:rFonts w:cs="Arial"/>
              </w:rPr>
            </w:pPr>
            <w:r w:rsidRPr="009A5185">
              <w:rPr>
                <w:rFonts w:cs="Arial"/>
              </w:rPr>
              <w:t>Which o</w:t>
            </w:r>
            <w:r w:rsidRPr="00AF3FB1">
              <w:rPr>
                <w:rFonts w:cs="Arial"/>
              </w:rPr>
              <w:t xml:space="preserve">f </w:t>
            </w:r>
            <w:r w:rsidR="00B36C21" w:rsidRPr="00AF3FB1">
              <w:rPr>
                <w:rFonts w:cs="Arial"/>
              </w:rPr>
              <w:t>the</w:t>
            </w:r>
            <w:r w:rsidR="00B36C21">
              <w:rPr>
                <w:rFonts w:cs="Arial"/>
              </w:rPr>
              <w:t xml:space="preserve"> </w:t>
            </w:r>
            <w:r w:rsidRPr="009A5185">
              <w:rPr>
                <w:rFonts w:cs="Arial"/>
              </w:rPr>
              <w:t xml:space="preserve">following is your hospital using to report the CT radiation dose length product (DLP)? </w:t>
            </w:r>
          </w:p>
          <w:p w14:paraId="4CDBF128" w14:textId="77777777" w:rsidR="005A1356" w:rsidRDefault="005A1356" w:rsidP="0011459E">
            <w:pPr>
              <w:rPr>
                <w:rFonts w:cs="Arial"/>
                <w:i/>
              </w:rPr>
            </w:pPr>
          </w:p>
          <w:p w14:paraId="2CBF758E" w14:textId="599C18BD" w:rsidR="00135BE4" w:rsidRPr="009A5185" w:rsidRDefault="00524869" w:rsidP="00A212A4">
            <w:pPr>
              <w:ind w:left="360"/>
              <w:rPr>
                <w:rFonts w:cs="Arial"/>
                <w:i/>
              </w:rPr>
            </w:pPr>
            <w:r>
              <w:rPr>
                <w:rFonts w:cs="Arial"/>
                <w:i/>
              </w:rPr>
              <w:t>If “manual data collection”</w:t>
            </w:r>
            <w:r w:rsidR="00256CDD">
              <w:rPr>
                <w:rFonts w:cs="Arial"/>
                <w:i/>
              </w:rPr>
              <w:t xml:space="preserve"> is not selected</w:t>
            </w:r>
            <w:r w:rsidR="00F52CCC">
              <w:rPr>
                <w:rFonts w:cs="Arial"/>
                <w:i/>
              </w:rPr>
              <w:t>, skip question #5 and continue to question #6.</w:t>
            </w:r>
          </w:p>
        </w:tc>
        <w:tc>
          <w:tcPr>
            <w:tcW w:w="2918" w:type="dxa"/>
            <w:tcBorders>
              <w:top w:val="single" w:sz="4" w:space="0" w:color="auto"/>
              <w:left w:val="single" w:sz="4" w:space="0" w:color="auto"/>
              <w:bottom w:val="single" w:sz="4" w:space="0" w:color="auto"/>
              <w:right w:val="single" w:sz="4" w:space="0" w:color="auto"/>
            </w:tcBorders>
            <w:vAlign w:val="center"/>
          </w:tcPr>
          <w:p w14:paraId="480DA340" w14:textId="69AD45E7" w:rsidR="00DD3AC9" w:rsidRPr="004F63C1" w:rsidRDefault="00DD3AC9" w:rsidP="00AD309C">
            <w:pPr>
              <w:pStyle w:val="ListParagraph"/>
              <w:numPr>
                <w:ilvl w:val="0"/>
                <w:numId w:val="323"/>
              </w:numPr>
              <w:rPr>
                <w:rFonts w:cs="Arial"/>
              </w:rPr>
            </w:pPr>
            <w:r w:rsidRPr="004F63C1">
              <w:rPr>
                <w:rFonts w:cs="Arial"/>
              </w:rPr>
              <w:t xml:space="preserve">Manual </w:t>
            </w:r>
            <w:r w:rsidR="00F05160" w:rsidRPr="004F63C1">
              <w:rPr>
                <w:rFonts w:cs="Arial"/>
              </w:rPr>
              <w:t>D</w:t>
            </w:r>
            <w:r w:rsidRPr="004F63C1">
              <w:rPr>
                <w:rFonts w:cs="Arial"/>
              </w:rPr>
              <w:t xml:space="preserve">ata </w:t>
            </w:r>
            <w:r w:rsidR="00F05160" w:rsidRPr="004F63C1">
              <w:rPr>
                <w:rFonts w:cs="Arial"/>
              </w:rPr>
              <w:t>C</w:t>
            </w:r>
            <w:r w:rsidRPr="004F63C1">
              <w:rPr>
                <w:rFonts w:cs="Arial"/>
              </w:rPr>
              <w:t>ollection</w:t>
            </w:r>
          </w:p>
          <w:p w14:paraId="4E3C9FD9" w14:textId="77777777" w:rsidR="006160D4" w:rsidRPr="004F63C1" w:rsidRDefault="00DD3AC9" w:rsidP="00AD309C">
            <w:pPr>
              <w:pStyle w:val="ListParagraph"/>
              <w:numPr>
                <w:ilvl w:val="0"/>
                <w:numId w:val="323"/>
              </w:numPr>
              <w:rPr>
                <w:rFonts w:cs="Arial"/>
              </w:rPr>
            </w:pPr>
            <w:r w:rsidRPr="004F63C1">
              <w:rPr>
                <w:rFonts w:cs="Arial"/>
              </w:rPr>
              <w:t>Dose Monitoring Software</w:t>
            </w:r>
          </w:p>
          <w:p w14:paraId="06CD1A42" w14:textId="77777777" w:rsidR="00DD3AC9" w:rsidRPr="00B11BF3" w:rsidRDefault="00DD3AC9" w:rsidP="00AD309C">
            <w:pPr>
              <w:pStyle w:val="ListParagraph"/>
              <w:numPr>
                <w:ilvl w:val="0"/>
                <w:numId w:val="323"/>
              </w:numPr>
              <w:rPr>
                <w:rFonts w:cs="Arial"/>
              </w:rPr>
            </w:pPr>
            <w:r w:rsidRPr="004F63C1">
              <w:rPr>
                <w:rFonts w:cs="Arial"/>
              </w:rPr>
              <w:t xml:space="preserve">ACR </w:t>
            </w:r>
            <w:r w:rsidR="005E549F" w:rsidRPr="004F63C1">
              <w:rPr>
                <w:rFonts w:cs="Arial"/>
              </w:rPr>
              <w:t xml:space="preserve">National Radiology Data Registry </w:t>
            </w:r>
            <w:r w:rsidRPr="004F63C1">
              <w:rPr>
                <w:rFonts w:cs="Arial"/>
              </w:rPr>
              <w:t>Report</w:t>
            </w:r>
          </w:p>
        </w:tc>
      </w:tr>
      <w:tr w:rsidR="00065C38" w:rsidRPr="009A5185" w14:paraId="5D5D715F" w14:textId="77777777" w:rsidTr="001D6202">
        <w:trPr>
          <w:trHeight w:val="1584"/>
        </w:trPr>
        <w:tc>
          <w:tcPr>
            <w:tcW w:w="7067" w:type="dxa"/>
            <w:tcBorders>
              <w:top w:val="single" w:sz="4" w:space="0" w:color="auto"/>
              <w:left w:val="single" w:sz="4" w:space="0" w:color="auto"/>
              <w:bottom w:val="single" w:sz="4" w:space="0" w:color="auto"/>
              <w:right w:val="single" w:sz="4" w:space="0" w:color="auto"/>
            </w:tcBorders>
            <w:vAlign w:val="center"/>
          </w:tcPr>
          <w:p w14:paraId="184DB379" w14:textId="436B7296" w:rsidR="007A0EC7" w:rsidRPr="007A0EC7" w:rsidRDefault="00065C38" w:rsidP="00AD309C">
            <w:pPr>
              <w:numPr>
                <w:ilvl w:val="0"/>
                <w:numId w:val="52"/>
              </w:numPr>
              <w:rPr>
                <w:rFonts w:cs="Arial"/>
                <w:i/>
                <w:iCs/>
              </w:rPr>
            </w:pPr>
            <w:r>
              <w:rPr>
                <w:rFonts w:cs="Arial"/>
              </w:rPr>
              <w:t>If using manual data collection, do</w:t>
            </w:r>
            <w:r w:rsidR="00937087">
              <w:rPr>
                <w:rFonts w:cs="Arial"/>
              </w:rPr>
              <w:t xml:space="preserve"> the responses in questions #6 and #7</w:t>
            </w:r>
            <w:r>
              <w:rPr>
                <w:rFonts w:cs="Arial"/>
              </w:rPr>
              <w:t xml:space="preserve"> represent a sample</w:t>
            </w:r>
            <w:r w:rsidR="007A0EC7">
              <w:rPr>
                <w:rFonts w:cs="Arial"/>
              </w:rPr>
              <w:t>?</w:t>
            </w:r>
          </w:p>
          <w:p w14:paraId="68E99787" w14:textId="41A6CB85" w:rsidR="001134C2" w:rsidRDefault="001134C2" w:rsidP="00124C42">
            <w:pPr>
              <w:rPr>
                <w:rFonts w:cs="Arial"/>
                <w:i/>
                <w:iCs/>
              </w:rPr>
            </w:pPr>
          </w:p>
          <w:p w14:paraId="74D905BE" w14:textId="18CADE15" w:rsidR="00ED77BD" w:rsidRPr="007A0EC7" w:rsidRDefault="007A0EC7" w:rsidP="00A212A4">
            <w:pPr>
              <w:ind w:left="360"/>
              <w:rPr>
                <w:rFonts w:cs="Arial"/>
                <w:i/>
                <w:iCs/>
              </w:rPr>
            </w:pPr>
            <w:r w:rsidRPr="007A0EC7">
              <w:rPr>
                <w:rStyle w:val="cf01"/>
                <w:rFonts w:ascii="Arial" w:hAnsi="Arial" w:cs="Arial"/>
                <w:i/>
                <w:iCs/>
                <w:sz w:val="20"/>
                <w:szCs w:val="20"/>
              </w:rPr>
              <w:t xml:space="preserve">If your hospital </w:t>
            </w:r>
            <w:r w:rsidR="00E1736B">
              <w:rPr>
                <w:rStyle w:val="cf01"/>
                <w:rFonts w:ascii="Arial" w:hAnsi="Arial" w:cs="Arial"/>
                <w:i/>
                <w:iCs/>
                <w:sz w:val="20"/>
                <w:szCs w:val="20"/>
              </w:rPr>
              <w:t xml:space="preserve">reviewed all cases for age </w:t>
            </w:r>
            <w:r w:rsidR="00C026EC">
              <w:rPr>
                <w:rStyle w:val="cf01"/>
                <w:rFonts w:ascii="Arial" w:hAnsi="Arial" w:cs="Arial"/>
                <w:i/>
                <w:iCs/>
                <w:sz w:val="20"/>
                <w:szCs w:val="20"/>
              </w:rPr>
              <w:t>strata</w:t>
            </w:r>
            <w:r w:rsidR="00E1736B">
              <w:rPr>
                <w:rStyle w:val="cf01"/>
                <w:rFonts w:ascii="Arial" w:hAnsi="Arial" w:cs="Arial"/>
                <w:i/>
                <w:iCs/>
                <w:sz w:val="20"/>
                <w:szCs w:val="20"/>
              </w:rPr>
              <w:t xml:space="preserve"> with fewer than 30 encounters and </w:t>
            </w:r>
            <w:r w:rsidRPr="007A0EC7">
              <w:rPr>
                <w:rStyle w:val="cf01"/>
                <w:rFonts w:ascii="Arial" w:hAnsi="Arial" w:cs="Arial"/>
                <w:i/>
                <w:iCs/>
                <w:sz w:val="20"/>
                <w:szCs w:val="20"/>
              </w:rPr>
              <w:t xml:space="preserve">sampled </w:t>
            </w:r>
            <w:r w:rsidR="00136570">
              <w:rPr>
                <w:rStyle w:val="cf01"/>
                <w:rFonts w:ascii="Arial" w:hAnsi="Arial" w:cs="Arial"/>
                <w:i/>
                <w:iCs/>
                <w:sz w:val="20"/>
                <w:szCs w:val="20"/>
              </w:rPr>
              <w:t xml:space="preserve">for </w:t>
            </w:r>
            <w:r w:rsidR="00154CC0">
              <w:rPr>
                <w:rStyle w:val="cf01"/>
                <w:rFonts w:ascii="Arial" w:hAnsi="Arial" w:cs="Arial"/>
                <w:i/>
                <w:iCs/>
                <w:sz w:val="20"/>
                <w:szCs w:val="20"/>
              </w:rPr>
              <w:t xml:space="preserve">those </w:t>
            </w:r>
            <w:r w:rsidRPr="007A0EC7">
              <w:rPr>
                <w:rStyle w:val="cf01"/>
                <w:rFonts w:ascii="Arial" w:hAnsi="Arial" w:cs="Arial"/>
                <w:i/>
                <w:iCs/>
                <w:sz w:val="20"/>
                <w:szCs w:val="20"/>
              </w:rPr>
              <w:t xml:space="preserve">age </w:t>
            </w:r>
            <w:r w:rsidR="00C026EC">
              <w:rPr>
                <w:rStyle w:val="cf01"/>
                <w:rFonts w:ascii="Arial" w:hAnsi="Arial" w:cs="Arial"/>
                <w:i/>
                <w:iCs/>
                <w:sz w:val="20"/>
                <w:szCs w:val="20"/>
              </w:rPr>
              <w:t>strata</w:t>
            </w:r>
            <w:r w:rsidR="008B25CE">
              <w:rPr>
                <w:rStyle w:val="cf01"/>
                <w:rFonts w:ascii="Arial" w:hAnsi="Arial" w:cs="Arial"/>
                <w:i/>
                <w:iCs/>
                <w:sz w:val="20"/>
                <w:szCs w:val="20"/>
              </w:rPr>
              <w:t xml:space="preserve"> </w:t>
            </w:r>
            <w:r w:rsidRPr="007A0EC7">
              <w:rPr>
                <w:rStyle w:val="cf01"/>
                <w:rFonts w:ascii="Arial" w:hAnsi="Arial" w:cs="Arial"/>
                <w:i/>
                <w:iCs/>
                <w:sz w:val="20"/>
                <w:szCs w:val="20"/>
              </w:rPr>
              <w:t xml:space="preserve">with greater than 30 </w:t>
            </w:r>
            <w:r w:rsidR="00650086">
              <w:rPr>
                <w:rStyle w:val="cf01"/>
                <w:rFonts w:ascii="Arial" w:hAnsi="Arial" w:cs="Arial"/>
                <w:i/>
                <w:iCs/>
                <w:sz w:val="20"/>
                <w:szCs w:val="20"/>
              </w:rPr>
              <w:t>encounters</w:t>
            </w:r>
            <w:r w:rsidR="004F1475" w:rsidRPr="007A0EC7">
              <w:rPr>
                <w:rStyle w:val="cf01"/>
                <w:rFonts w:ascii="Arial" w:hAnsi="Arial" w:cs="Arial"/>
                <w:i/>
                <w:iCs/>
                <w:sz w:val="20"/>
                <w:szCs w:val="20"/>
              </w:rPr>
              <w:t>,</w:t>
            </w:r>
            <w:r w:rsidRPr="007A0EC7">
              <w:rPr>
                <w:rStyle w:val="cf01"/>
                <w:rFonts w:ascii="Arial" w:hAnsi="Arial" w:cs="Arial"/>
                <w:i/>
                <w:iCs/>
                <w:sz w:val="20"/>
                <w:szCs w:val="20"/>
              </w:rPr>
              <w:t xml:space="preserve"> </w:t>
            </w:r>
            <w:r w:rsidR="00E27AB9">
              <w:rPr>
                <w:rStyle w:val="cf01"/>
                <w:rFonts w:ascii="Arial" w:hAnsi="Arial" w:cs="Arial"/>
                <w:i/>
                <w:iCs/>
                <w:sz w:val="20"/>
                <w:szCs w:val="20"/>
              </w:rPr>
              <w:t>select</w:t>
            </w:r>
            <w:r w:rsidR="00E27AB9" w:rsidRPr="007A0EC7">
              <w:rPr>
                <w:rStyle w:val="cf01"/>
                <w:rFonts w:ascii="Arial" w:hAnsi="Arial" w:cs="Arial"/>
                <w:i/>
                <w:iCs/>
                <w:sz w:val="20"/>
                <w:szCs w:val="20"/>
              </w:rPr>
              <w:t xml:space="preserve"> </w:t>
            </w:r>
            <w:r w:rsidRPr="007A0EC7">
              <w:rPr>
                <w:rStyle w:val="cf01"/>
                <w:rFonts w:ascii="Arial" w:hAnsi="Arial" w:cs="Arial"/>
                <w:i/>
                <w:iCs/>
                <w:sz w:val="20"/>
                <w:szCs w:val="20"/>
              </w:rPr>
              <w:t>“yes.”</w:t>
            </w:r>
          </w:p>
        </w:tc>
        <w:tc>
          <w:tcPr>
            <w:tcW w:w="2918" w:type="dxa"/>
            <w:tcBorders>
              <w:top w:val="single" w:sz="4" w:space="0" w:color="auto"/>
              <w:left w:val="single" w:sz="4" w:space="0" w:color="auto"/>
              <w:bottom w:val="single" w:sz="4" w:space="0" w:color="auto"/>
              <w:right w:val="single" w:sz="4" w:space="0" w:color="auto"/>
            </w:tcBorders>
            <w:vAlign w:val="center"/>
          </w:tcPr>
          <w:p w14:paraId="44BE3FE3" w14:textId="487CD62C" w:rsidR="00065C38" w:rsidRPr="004F63C1" w:rsidRDefault="00065C38" w:rsidP="00AD309C">
            <w:pPr>
              <w:pStyle w:val="ListParagraph"/>
              <w:numPr>
                <w:ilvl w:val="0"/>
                <w:numId w:val="324"/>
              </w:numPr>
              <w:rPr>
                <w:rFonts w:cs="Arial"/>
                <w:iCs/>
              </w:rPr>
            </w:pPr>
            <w:r w:rsidRPr="004F63C1">
              <w:rPr>
                <w:rFonts w:cs="Arial"/>
                <w:iCs/>
              </w:rPr>
              <w:t>Yes</w:t>
            </w:r>
          </w:p>
          <w:p w14:paraId="51A5B6AA" w14:textId="330521E0" w:rsidR="001134C2" w:rsidRPr="00897A3E" w:rsidRDefault="00065C38" w:rsidP="00AD309C">
            <w:pPr>
              <w:pStyle w:val="ListParagraph"/>
              <w:numPr>
                <w:ilvl w:val="0"/>
                <w:numId w:val="324"/>
              </w:numPr>
              <w:rPr>
                <w:rFonts w:cs="Arial"/>
                <w:i/>
              </w:rPr>
            </w:pPr>
            <w:r w:rsidRPr="004F63C1">
              <w:rPr>
                <w:rFonts w:cs="Arial"/>
                <w:iCs/>
              </w:rPr>
              <w:t>No</w:t>
            </w:r>
          </w:p>
        </w:tc>
      </w:tr>
    </w:tbl>
    <w:p w14:paraId="64D32CA4" w14:textId="3185DE11" w:rsidR="00332D42" w:rsidRPr="00013A27" w:rsidRDefault="00332D42" w:rsidP="00B224AF">
      <w:pPr>
        <w:rPr>
          <w:rFonts w:cs="Arial"/>
        </w:rPr>
      </w:pPr>
    </w:p>
    <w:tbl>
      <w:tblPr>
        <w:tblW w:w="99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98"/>
        <w:gridCol w:w="1874"/>
        <w:gridCol w:w="1874"/>
        <w:gridCol w:w="1811"/>
        <w:gridCol w:w="1937"/>
      </w:tblGrid>
      <w:tr w:rsidR="00125826" w:rsidRPr="009A5185" w14:paraId="77552070" w14:textId="77777777" w:rsidTr="00A212A4">
        <w:trPr>
          <w:trHeight w:val="1440"/>
        </w:trPr>
        <w:tc>
          <w:tcPr>
            <w:tcW w:w="9994" w:type="dxa"/>
            <w:gridSpan w:val="5"/>
            <w:tcBorders>
              <w:bottom w:val="single" w:sz="4" w:space="0" w:color="auto"/>
            </w:tcBorders>
            <w:vAlign w:val="center"/>
          </w:tcPr>
          <w:p w14:paraId="39C29C41" w14:textId="08A0B337" w:rsidR="00125826" w:rsidRPr="009A5185" w:rsidRDefault="00401C2A" w:rsidP="00AD309C">
            <w:pPr>
              <w:numPr>
                <w:ilvl w:val="0"/>
                <w:numId w:val="52"/>
              </w:numPr>
              <w:contextualSpacing/>
              <w:rPr>
                <w:rFonts w:cs="Arial"/>
                <w:i/>
                <w:snapToGrid w:val="0"/>
              </w:rPr>
            </w:pPr>
            <w:r w:rsidRPr="009A5185">
              <w:rPr>
                <w:rFonts w:cs="Arial"/>
              </w:rPr>
              <w:t>E</w:t>
            </w:r>
            <w:r w:rsidR="000C0434" w:rsidRPr="009A5185">
              <w:rPr>
                <w:rFonts w:cs="Arial"/>
              </w:rPr>
              <w:t>nter</w:t>
            </w:r>
            <w:r w:rsidR="00125826" w:rsidRPr="009A5185">
              <w:rPr>
                <w:rFonts w:cs="Arial"/>
              </w:rPr>
              <w:t xml:space="preserve"> your </w:t>
            </w:r>
            <w:r w:rsidR="00261D05">
              <w:rPr>
                <w:rFonts w:cs="Arial"/>
              </w:rPr>
              <w:t>hospital</w:t>
            </w:r>
            <w:r w:rsidR="00125826" w:rsidRPr="009A5185">
              <w:rPr>
                <w:rFonts w:cs="Arial"/>
              </w:rPr>
              <w:t>’s 25</w:t>
            </w:r>
            <w:r w:rsidR="00125826" w:rsidRPr="009A5185">
              <w:rPr>
                <w:rFonts w:cs="Arial"/>
                <w:vertAlign w:val="superscript"/>
              </w:rPr>
              <w:t>th</w:t>
            </w:r>
            <w:r w:rsidR="00125826" w:rsidRPr="009A5185">
              <w:rPr>
                <w:rFonts w:cs="Arial"/>
              </w:rPr>
              <w:t>, 50</w:t>
            </w:r>
            <w:r w:rsidR="00125826" w:rsidRPr="009A5185">
              <w:rPr>
                <w:rFonts w:cs="Arial"/>
                <w:vertAlign w:val="superscript"/>
              </w:rPr>
              <w:t>th</w:t>
            </w:r>
            <w:r w:rsidR="00125826" w:rsidRPr="009A5185">
              <w:rPr>
                <w:rFonts w:cs="Arial"/>
              </w:rPr>
              <w:t>, and 75</w:t>
            </w:r>
            <w:r w:rsidR="00125826" w:rsidRPr="009A5185">
              <w:rPr>
                <w:rFonts w:cs="Arial"/>
                <w:vertAlign w:val="superscript"/>
              </w:rPr>
              <w:t>th</w:t>
            </w:r>
            <w:r w:rsidR="00125826" w:rsidRPr="009A5185">
              <w:rPr>
                <w:rFonts w:cs="Arial"/>
              </w:rPr>
              <w:t xml:space="preserve"> percentiles </w:t>
            </w:r>
            <w:r w:rsidR="008047A3">
              <w:rPr>
                <w:rFonts w:cs="Arial"/>
              </w:rPr>
              <w:t xml:space="preserve">(rounded to the nearest whole number) </w:t>
            </w:r>
            <w:r w:rsidR="00125826" w:rsidRPr="009A5185">
              <w:rPr>
                <w:rFonts w:cs="Arial"/>
              </w:rPr>
              <w:t>for CT radiation dose</w:t>
            </w:r>
            <w:r w:rsidR="00B02C5D" w:rsidRPr="009A5185">
              <w:rPr>
                <w:rFonts w:cs="Arial"/>
              </w:rPr>
              <w:t xml:space="preserve"> length product (DLP</w:t>
            </w:r>
            <w:r w:rsidR="00B02C5D" w:rsidRPr="00522212">
              <w:rPr>
                <w:rFonts w:cs="Arial"/>
              </w:rPr>
              <w:t>)</w:t>
            </w:r>
            <w:r w:rsidR="00125826" w:rsidRPr="00522212">
              <w:rPr>
                <w:rFonts w:cs="Arial"/>
              </w:rPr>
              <w:t xml:space="preserve"> in</w:t>
            </w:r>
            <w:r w:rsidR="00125826" w:rsidRPr="009A5185">
              <w:rPr>
                <w:rFonts w:cs="Arial"/>
              </w:rPr>
              <w:t xml:space="preserve"> </w:t>
            </w:r>
            <w:r w:rsidR="00125826" w:rsidRPr="009A5185">
              <w:rPr>
                <w:rFonts w:cs="Arial"/>
                <w:b/>
              </w:rPr>
              <w:t>head</w:t>
            </w:r>
            <w:r w:rsidR="00125826" w:rsidRPr="009A5185">
              <w:rPr>
                <w:rFonts w:cs="Arial"/>
              </w:rPr>
              <w:t xml:space="preserve"> scans for pediatric patients for each age stratum</w:t>
            </w:r>
            <w:r w:rsidR="00BF5577">
              <w:rPr>
                <w:rFonts w:cs="Arial"/>
              </w:rPr>
              <w:t xml:space="preserve"> standardized to 16cm phantoms</w:t>
            </w:r>
            <w:r w:rsidR="00B07F7A" w:rsidRPr="009A5185">
              <w:rPr>
                <w:rFonts w:cs="Arial"/>
              </w:rPr>
              <w:t>.</w:t>
            </w:r>
          </w:p>
          <w:p w14:paraId="79F13EF4" w14:textId="77777777" w:rsidR="00125826" w:rsidRPr="009A5185" w:rsidRDefault="00125826" w:rsidP="00B02C5D">
            <w:pPr>
              <w:contextualSpacing/>
              <w:rPr>
                <w:rFonts w:cs="Arial"/>
                <w:i/>
                <w:snapToGrid w:val="0"/>
              </w:rPr>
            </w:pPr>
          </w:p>
          <w:p w14:paraId="721A55A9" w14:textId="39B6967C" w:rsidR="00B529B7" w:rsidRPr="009A5185" w:rsidRDefault="009A0347" w:rsidP="00A212A4">
            <w:pPr>
              <w:ind w:left="360"/>
              <w:contextualSpacing/>
              <w:rPr>
                <w:rFonts w:cs="Arial"/>
                <w:i/>
                <w:snapToGrid w:val="0"/>
              </w:rPr>
            </w:pPr>
            <w:r w:rsidRPr="009A5185">
              <w:rPr>
                <w:rFonts w:cs="Arial"/>
                <w:i/>
                <w:snapToGrid w:val="0"/>
              </w:rPr>
              <w:t>If the number of encounters</w:t>
            </w:r>
            <w:r w:rsidR="00125826" w:rsidRPr="009A5185">
              <w:rPr>
                <w:rFonts w:cs="Arial"/>
                <w:i/>
                <w:snapToGrid w:val="0"/>
              </w:rPr>
              <w:t xml:space="preserve"> for an age stratum is less than 10</w:t>
            </w:r>
            <w:r w:rsidR="00B02C5D" w:rsidRPr="009A5185">
              <w:rPr>
                <w:rFonts w:cs="Arial"/>
                <w:i/>
                <w:snapToGrid w:val="0"/>
              </w:rPr>
              <w:t xml:space="preserve"> (in column a)</w:t>
            </w:r>
            <w:r w:rsidR="00125826" w:rsidRPr="009A5185">
              <w:rPr>
                <w:rFonts w:cs="Arial"/>
                <w:i/>
                <w:snapToGrid w:val="0"/>
              </w:rPr>
              <w:t xml:space="preserve">, skip </w:t>
            </w:r>
            <w:r w:rsidR="00B02C5D" w:rsidRPr="009A5185">
              <w:rPr>
                <w:rFonts w:cs="Arial"/>
                <w:i/>
                <w:snapToGrid w:val="0"/>
              </w:rPr>
              <w:t xml:space="preserve">columns b, c, and d and then move </w:t>
            </w:r>
            <w:r w:rsidR="00125826" w:rsidRPr="009A5185">
              <w:rPr>
                <w:rFonts w:cs="Arial"/>
                <w:i/>
                <w:snapToGrid w:val="0"/>
              </w:rPr>
              <w:t>to the next age stratum.</w:t>
            </w:r>
            <w:r w:rsidR="00870267" w:rsidRPr="009A5185">
              <w:rPr>
                <w:rFonts w:cs="Arial"/>
                <w:i/>
                <w:snapToGrid w:val="0"/>
              </w:rPr>
              <w:t xml:space="preserve"> If zero, enter “0” in column a.</w:t>
            </w:r>
            <w:r w:rsidR="006934A3">
              <w:rPr>
                <w:rFonts w:cs="Arial"/>
                <w:i/>
                <w:snapToGrid w:val="0"/>
              </w:rPr>
              <w:t xml:space="preserve"> </w:t>
            </w:r>
            <w:r w:rsidR="006934A3" w:rsidRPr="00F61E74">
              <w:rPr>
                <w:rFonts w:cs="Arial"/>
                <w:i/>
              </w:rPr>
              <w:t>The hospital will be scored as “</w:t>
            </w:r>
            <w:r w:rsidR="006934A3">
              <w:rPr>
                <w:rFonts w:cs="Arial"/>
                <w:i/>
              </w:rPr>
              <w:t>Unable to Calculate Score” if all age strat</w:t>
            </w:r>
            <w:r w:rsidR="003E14DF">
              <w:rPr>
                <w:rFonts w:cs="Arial"/>
                <w:i/>
              </w:rPr>
              <w:t>a</w:t>
            </w:r>
            <w:r w:rsidR="006934A3">
              <w:rPr>
                <w:rFonts w:cs="Arial"/>
                <w:i/>
              </w:rPr>
              <w:t xml:space="preserve"> have less than 10 encounters.</w:t>
            </w:r>
          </w:p>
        </w:tc>
      </w:tr>
      <w:tr w:rsidR="00125826" w:rsidRPr="009A5185" w14:paraId="276937B3" w14:textId="77777777" w:rsidTr="0088552D">
        <w:tc>
          <w:tcPr>
            <w:tcW w:w="2498" w:type="dxa"/>
            <w:vMerge w:val="restart"/>
            <w:vAlign w:val="center"/>
          </w:tcPr>
          <w:p w14:paraId="17CA6632" w14:textId="2CB7D822" w:rsidR="00125826" w:rsidRPr="009A5185" w:rsidRDefault="00125826" w:rsidP="00C90CC3">
            <w:pPr>
              <w:ind w:left="360"/>
              <w:contextualSpacing/>
              <w:rPr>
                <w:rFonts w:cs="Arial"/>
                <w:b/>
              </w:rPr>
            </w:pPr>
            <w:r w:rsidRPr="009A5185">
              <w:rPr>
                <w:rFonts w:cs="Arial"/>
                <w:b/>
              </w:rPr>
              <w:t xml:space="preserve">Age </w:t>
            </w:r>
            <w:r w:rsidR="00C026EC">
              <w:rPr>
                <w:rFonts w:cs="Arial"/>
                <w:b/>
              </w:rPr>
              <w:t>Stratum</w:t>
            </w:r>
          </w:p>
        </w:tc>
        <w:tc>
          <w:tcPr>
            <w:tcW w:w="7496" w:type="dxa"/>
            <w:gridSpan w:val="4"/>
            <w:shd w:val="clear" w:color="auto" w:fill="D9D9D9" w:themeFill="background1" w:themeFillShade="D9"/>
            <w:vAlign w:val="center"/>
          </w:tcPr>
          <w:p w14:paraId="4ABF493B" w14:textId="77777777" w:rsidR="00125826" w:rsidRPr="009A5185" w:rsidRDefault="00125826" w:rsidP="00C90CC3">
            <w:pPr>
              <w:ind w:left="360"/>
              <w:contextualSpacing/>
              <w:jc w:val="center"/>
              <w:rPr>
                <w:rFonts w:cs="Arial"/>
                <w:b/>
              </w:rPr>
            </w:pPr>
            <w:r w:rsidRPr="009A5185">
              <w:rPr>
                <w:rFonts w:cs="Arial"/>
                <w:b/>
              </w:rPr>
              <w:t>HEAD</w:t>
            </w:r>
          </w:p>
        </w:tc>
      </w:tr>
      <w:tr w:rsidR="00125826" w:rsidRPr="009A5185" w14:paraId="0CC63AB1" w14:textId="77777777" w:rsidTr="0088552D">
        <w:tc>
          <w:tcPr>
            <w:tcW w:w="2498" w:type="dxa"/>
            <w:vMerge/>
            <w:vAlign w:val="center"/>
          </w:tcPr>
          <w:p w14:paraId="0A8A8AA6" w14:textId="77777777" w:rsidR="00125826" w:rsidRPr="009A5185" w:rsidRDefault="00125826" w:rsidP="00C90CC3">
            <w:pPr>
              <w:ind w:left="360"/>
              <w:contextualSpacing/>
              <w:rPr>
                <w:rFonts w:cs="Arial"/>
                <w:b/>
              </w:rPr>
            </w:pPr>
          </w:p>
        </w:tc>
        <w:tc>
          <w:tcPr>
            <w:tcW w:w="1874" w:type="dxa"/>
            <w:vAlign w:val="center"/>
          </w:tcPr>
          <w:p w14:paraId="7FF5B3C1" w14:textId="77777777" w:rsidR="00125826" w:rsidRPr="009A5185" w:rsidRDefault="003736C5" w:rsidP="00C90CC3">
            <w:pPr>
              <w:contextualSpacing/>
              <w:rPr>
                <w:rFonts w:cs="Arial"/>
                <w:b/>
              </w:rPr>
            </w:pPr>
            <w:r w:rsidRPr="009A5185">
              <w:rPr>
                <w:rFonts w:cs="Arial"/>
                <w:b/>
              </w:rPr>
              <w:t>(</w:t>
            </w:r>
            <w:r w:rsidR="00125826" w:rsidRPr="009A5185">
              <w:rPr>
                <w:rFonts w:cs="Arial"/>
                <w:b/>
              </w:rPr>
              <w:t>a)</w:t>
            </w:r>
          </w:p>
          <w:p w14:paraId="0FFDEED3" w14:textId="77777777" w:rsidR="00125826" w:rsidRPr="009A5185" w:rsidRDefault="00DC28FF" w:rsidP="00C90CC3">
            <w:pPr>
              <w:contextualSpacing/>
              <w:rPr>
                <w:rFonts w:cs="Arial"/>
                <w:b/>
              </w:rPr>
            </w:pPr>
            <w:r w:rsidRPr="009A5185">
              <w:rPr>
                <w:rFonts w:cs="Arial"/>
                <w:b/>
              </w:rPr>
              <w:t>Number of encounters</w:t>
            </w:r>
          </w:p>
        </w:tc>
        <w:tc>
          <w:tcPr>
            <w:tcW w:w="1874" w:type="dxa"/>
            <w:vAlign w:val="center"/>
          </w:tcPr>
          <w:p w14:paraId="1BBFC3EF" w14:textId="77777777" w:rsidR="00125826" w:rsidRPr="009A5185" w:rsidRDefault="003736C5" w:rsidP="00C90CC3">
            <w:pPr>
              <w:contextualSpacing/>
              <w:rPr>
                <w:rFonts w:cs="Arial"/>
                <w:b/>
              </w:rPr>
            </w:pPr>
            <w:r w:rsidRPr="009A5185">
              <w:rPr>
                <w:rFonts w:cs="Arial"/>
                <w:b/>
              </w:rPr>
              <w:t>(</w:t>
            </w:r>
            <w:r w:rsidR="00125826" w:rsidRPr="009A5185">
              <w:rPr>
                <w:rFonts w:cs="Arial"/>
                <w:b/>
              </w:rPr>
              <w:t>b)</w:t>
            </w:r>
          </w:p>
          <w:p w14:paraId="26CC72E7" w14:textId="77777777" w:rsidR="00125826" w:rsidRPr="009A5185" w:rsidRDefault="00125826" w:rsidP="00C90CC3">
            <w:pPr>
              <w:contextualSpacing/>
              <w:rPr>
                <w:rFonts w:cs="Arial"/>
                <w:b/>
              </w:rPr>
            </w:pPr>
            <w:r w:rsidRPr="009A5185">
              <w:rPr>
                <w:rFonts w:cs="Arial"/>
                <w:b/>
              </w:rPr>
              <w:t>25</w:t>
            </w:r>
            <w:r w:rsidRPr="009A5185">
              <w:rPr>
                <w:rFonts w:cs="Arial"/>
                <w:b/>
                <w:vertAlign w:val="superscript"/>
              </w:rPr>
              <w:t>th</w:t>
            </w:r>
            <w:r w:rsidRPr="009A5185">
              <w:rPr>
                <w:rFonts w:cs="Arial"/>
                <w:b/>
              </w:rPr>
              <w:t xml:space="preserve"> Percentile</w:t>
            </w:r>
          </w:p>
        </w:tc>
        <w:tc>
          <w:tcPr>
            <w:tcW w:w="1811" w:type="dxa"/>
            <w:vAlign w:val="center"/>
          </w:tcPr>
          <w:p w14:paraId="0C60E1E9" w14:textId="77777777" w:rsidR="00125826" w:rsidRPr="009A5185" w:rsidRDefault="003736C5" w:rsidP="00C90CC3">
            <w:pPr>
              <w:contextualSpacing/>
              <w:rPr>
                <w:rFonts w:cs="Arial"/>
                <w:b/>
              </w:rPr>
            </w:pPr>
            <w:r w:rsidRPr="009A5185">
              <w:rPr>
                <w:rFonts w:cs="Arial"/>
                <w:b/>
              </w:rPr>
              <w:t>(c</w:t>
            </w:r>
            <w:r w:rsidR="00125826" w:rsidRPr="009A5185">
              <w:rPr>
                <w:rFonts w:cs="Arial"/>
                <w:b/>
              </w:rPr>
              <w:t xml:space="preserve">) </w:t>
            </w:r>
          </w:p>
          <w:p w14:paraId="7BC760E3" w14:textId="77777777" w:rsidR="00125826" w:rsidRPr="009A5185" w:rsidRDefault="00125826" w:rsidP="00C90CC3">
            <w:pPr>
              <w:contextualSpacing/>
              <w:rPr>
                <w:rFonts w:cs="Arial"/>
                <w:b/>
              </w:rPr>
            </w:pPr>
            <w:r w:rsidRPr="009A5185">
              <w:rPr>
                <w:rFonts w:cs="Arial"/>
                <w:b/>
              </w:rPr>
              <w:t>50</w:t>
            </w:r>
            <w:r w:rsidRPr="009A5185">
              <w:rPr>
                <w:rFonts w:cs="Arial"/>
                <w:b/>
                <w:vertAlign w:val="superscript"/>
              </w:rPr>
              <w:t>th</w:t>
            </w:r>
            <w:r w:rsidRPr="009A5185">
              <w:rPr>
                <w:rFonts w:cs="Arial"/>
                <w:b/>
              </w:rPr>
              <w:t xml:space="preserve"> Percentile</w:t>
            </w:r>
          </w:p>
        </w:tc>
        <w:tc>
          <w:tcPr>
            <w:tcW w:w="1937" w:type="dxa"/>
            <w:vAlign w:val="center"/>
          </w:tcPr>
          <w:p w14:paraId="2ADCDBFA" w14:textId="77777777" w:rsidR="00125826" w:rsidRPr="009A5185" w:rsidRDefault="003736C5" w:rsidP="00620FCB">
            <w:pPr>
              <w:contextualSpacing/>
              <w:rPr>
                <w:rFonts w:cs="Arial"/>
                <w:b/>
              </w:rPr>
            </w:pPr>
            <w:r w:rsidRPr="009A5185">
              <w:rPr>
                <w:rFonts w:cs="Arial"/>
                <w:b/>
              </w:rPr>
              <w:t>(</w:t>
            </w:r>
            <w:r w:rsidR="00125826" w:rsidRPr="009A5185">
              <w:rPr>
                <w:rFonts w:cs="Arial"/>
                <w:b/>
              </w:rPr>
              <w:t xml:space="preserve">d) </w:t>
            </w:r>
          </w:p>
          <w:p w14:paraId="75EFD4DE" w14:textId="77777777" w:rsidR="00125826" w:rsidRPr="009A5185" w:rsidRDefault="00125826" w:rsidP="00620FCB">
            <w:pPr>
              <w:contextualSpacing/>
              <w:rPr>
                <w:rFonts w:cs="Arial"/>
                <w:b/>
              </w:rPr>
            </w:pPr>
            <w:r w:rsidRPr="009A5185">
              <w:rPr>
                <w:rFonts w:cs="Arial"/>
                <w:b/>
              </w:rPr>
              <w:t>75</w:t>
            </w:r>
            <w:r w:rsidRPr="009A5185">
              <w:rPr>
                <w:rFonts w:cs="Arial"/>
                <w:b/>
                <w:vertAlign w:val="superscript"/>
              </w:rPr>
              <w:t>th</w:t>
            </w:r>
            <w:r w:rsidRPr="009A5185">
              <w:rPr>
                <w:rFonts w:cs="Arial"/>
                <w:b/>
              </w:rPr>
              <w:t xml:space="preserve"> Percentile</w:t>
            </w:r>
          </w:p>
        </w:tc>
      </w:tr>
      <w:tr w:rsidR="00125826" w:rsidRPr="009A5185" w14:paraId="3864580C" w14:textId="77777777" w:rsidTr="0088552D">
        <w:tc>
          <w:tcPr>
            <w:tcW w:w="2498" w:type="dxa"/>
          </w:tcPr>
          <w:p w14:paraId="2BC65D76" w14:textId="77777777" w:rsidR="00125826" w:rsidRPr="009A5185" w:rsidRDefault="00125826" w:rsidP="00C90CC3">
            <w:pPr>
              <w:jc w:val="center"/>
              <w:rPr>
                <w:rFonts w:cs="Arial"/>
              </w:rPr>
            </w:pPr>
            <w:r w:rsidRPr="009A5185">
              <w:rPr>
                <w:rFonts w:cs="Arial"/>
              </w:rPr>
              <w:t>&lt; 1 year</w:t>
            </w:r>
          </w:p>
        </w:tc>
        <w:tc>
          <w:tcPr>
            <w:tcW w:w="1874" w:type="dxa"/>
            <w:vAlign w:val="center"/>
          </w:tcPr>
          <w:p w14:paraId="73FC4471" w14:textId="77777777" w:rsidR="00125826" w:rsidRPr="009A5185" w:rsidRDefault="00125826" w:rsidP="00C90CC3">
            <w:pPr>
              <w:ind w:left="360"/>
              <w:contextualSpacing/>
              <w:rPr>
                <w:rFonts w:cs="Arial"/>
                <w:b/>
              </w:rPr>
            </w:pPr>
          </w:p>
        </w:tc>
        <w:tc>
          <w:tcPr>
            <w:tcW w:w="1874" w:type="dxa"/>
            <w:vAlign w:val="center"/>
          </w:tcPr>
          <w:p w14:paraId="2FDA9551" w14:textId="77777777" w:rsidR="00125826" w:rsidRPr="009A5185" w:rsidRDefault="00125826" w:rsidP="00C90CC3">
            <w:pPr>
              <w:ind w:left="360"/>
              <w:contextualSpacing/>
              <w:rPr>
                <w:rFonts w:cs="Arial"/>
                <w:b/>
              </w:rPr>
            </w:pPr>
          </w:p>
        </w:tc>
        <w:tc>
          <w:tcPr>
            <w:tcW w:w="1811" w:type="dxa"/>
            <w:vAlign w:val="center"/>
          </w:tcPr>
          <w:p w14:paraId="6F9F1E69" w14:textId="77777777" w:rsidR="00125826" w:rsidRPr="009A5185" w:rsidRDefault="00125826" w:rsidP="00C90CC3">
            <w:pPr>
              <w:ind w:left="360"/>
              <w:contextualSpacing/>
              <w:rPr>
                <w:rFonts w:cs="Arial"/>
                <w:b/>
              </w:rPr>
            </w:pPr>
          </w:p>
        </w:tc>
        <w:tc>
          <w:tcPr>
            <w:tcW w:w="1937" w:type="dxa"/>
            <w:vAlign w:val="center"/>
          </w:tcPr>
          <w:p w14:paraId="465EA81E" w14:textId="77777777" w:rsidR="00125826" w:rsidRPr="009A5185" w:rsidRDefault="00125826" w:rsidP="00C90CC3">
            <w:pPr>
              <w:ind w:left="360"/>
              <w:contextualSpacing/>
              <w:rPr>
                <w:rFonts w:cs="Arial"/>
                <w:b/>
              </w:rPr>
            </w:pPr>
          </w:p>
        </w:tc>
      </w:tr>
      <w:tr w:rsidR="00125826" w:rsidRPr="009A5185" w14:paraId="585048FD" w14:textId="77777777" w:rsidTr="0088552D">
        <w:tc>
          <w:tcPr>
            <w:tcW w:w="2498" w:type="dxa"/>
          </w:tcPr>
          <w:p w14:paraId="7C929355" w14:textId="77777777" w:rsidR="00125826" w:rsidRPr="009A5185" w:rsidRDefault="0018756C" w:rsidP="00C90CC3">
            <w:pPr>
              <w:jc w:val="center"/>
              <w:rPr>
                <w:rFonts w:cs="Arial"/>
              </w:rPr>
            </w:pPr>
            <w:r w:rsidRPr="009A5185">
              <w:rPr>
                <w:rFonts w:cs="Arial"/>
              </w:rPr>
              <w:t xml:space="preserve">1 - </w:t>
            </w:r>
            <w:r w:rsidR="007E3461" w:rsidRPr="009A5185">
              <w:rPr>
                <w:rFonts w:cs="Arial"/>
              </w:rPr>
              <w:t>4</w:t>
            </w:r>
          </w:p>
        </w:tc>
        <w:tc>
          <w:tcPr>
            <w:tcW w:w="1874" w:type="dxa"/>
            <w:vAlign w:val="center"/>
          </w:tcPr>
          <w:p w14:paraId="1E2B0EF4" w14:textId="77777777" w:rsidR="00125826" w:rsidRPr="009A5185" w:rsidRDefault="00125826" w:rsidP="00C90CC3">
            <w:pPr>
              <w:ind w:left="360"/>
              <w:contextualSpacing/>
              <w:rPr>
                <w:rFonts w:cs="Arial"/>
                <w:b/>
              </w:rPr>
            </w:pPr>
          </w:p>
        </w:tc>
        <w:tc>
          <w:tcPr>
            <w:tcW w:w="1874" w:type="dxa"/>
            <w:vAlign w:val="center"/>
          </w:tcPr>
          <w:p w14:paraId="74E96FD8" w14:textId="77777777" w:rsidR="00125826" w:rsidRPr="009A5185" w:rsidRDefault="00125826" w:rsidP="00C90CC3">
            <w:pPr>
              <w:ind w:left="360"/>
              <w:contextualSpacing/>
              <w:rPr>
                <w:rFonts w:cs="Arial"/>
                <w:b/>
              </w:rPr>
            </w:pPr>
          </w:p>
        </w:tc>
        <w:tc>
          <w:tcPr>
            <w:tcW w:w="1811" w:type="dxa"/>
            <w:vAlign w:val="center"/>
          </w:tcPr>
          <w:p w14:paraId="3A749D11" w14:textId="77777777" w:rsidR="00125826" w:rsidRPr="009A5185" w:rsidRDefault="00125826" w:rsidP="00C90CC3">
            <w:pPr>
              <w:ind w:left="360"/>
              <w:contextualSpacing/>
              <w:rPr>
                <w:rFonts w:cs="Arial"/>
                <w:b/>
              </w:rPr>
            </w:pPr>
          </w:p>
        </w:tc>
        <w:tc>
          <w:tcPr>
            <w:tcW w:w="1937" w:type="dxa"/>
            <w:vAlign w:val="center"/>
          </w:tcPr>
          <w:p w14:paraId="26BA68B9" w14:textId="77777777" w:rsidR="00125826" w:rsidRPr="009A5185" w:rsidRDefault="00125826" w:rsidP="00C90CC3">
            <w:pPr>
              <w:ind w:left="360"/>
              <w:contextualSpacing/>
              <w:rPr>
                <w:rFonts w:cs="Arial"/>
                <w:b/>
              </w:rPr>
            </w:pPr>
          </w:p>
        </w:tc>
      </w:tr>
      <w:tr w:rsidR="00125826" w:rsidRPr="009A5185" w14:paraId="1458C732" w14:textId="77777777" w:rsidTr="0088552D">
        <w:tc>
          <w:tcPr>
            <w:tcW w:w="2498" w:type="dxa"/>
          </w:tcPr>
          <w:p w14:paraId="1B0CEC34" w14:textId="77777777" w:rsidR="00125826" w:rsidRPr="009A5185" w:rsidRDefault="007E3461" w:rsidP="00C90CC3">
            <w:pPr>
              <w:jc w:val="center"/>
              <w:rPr>
                <w:rFonts w:cs="Arial"/>
              </w:rPr>
            </w:pPr>
            <w:r w:rsidRPr="009A5185">
              <w:rPr>
                <w:rFonts w:cs="Arial"/>
              </w:rPr>
              <w:t>5 - 9</w:t>
            </w:r>
          </w:p>
        </w:tc>
        <w:tc>
          <w:tcPr>
            <w:tcW w:w="1874" w:type="dxa"/>
            <w:vAlign w:val="center"/>
          </w:tcPr>
          <w:p w14:paraId="59CE35A5" w14:textId="77777777" w:rsidR="00125826" w:rsidRPr="009A5185" w:rsidRDefault="00125826" w:rsidP="00C90CC3">
            <w:pPr>
              <w:ind w:left="360"/>
              <w:contextualSpacing/>
              <w:rPr>
                <w:rFonts w:cs="Arial"/>
                <w:b/>
              </w:rPr>
            </w:pPr>
          </w:p>
        </w:tc>
        <w:tc>
          <w:tcPr>
            <w:tcW w:w="1874" w:type="dxa"/>
            <w:vAlign w:val="center"/>
          </w:tcPr>
          <w:p w14:paraId="56ECE1F7" w14:textId="77777777" w:rsidR="00125826" w:rsidRPr="009A5185" w:rsidRDefault="00125826" w:rsidP="00C90CC3">
            <w:pPr>
              <w:ind w:left="360"/>
              <w:contextualSpacing/>
              <w:rPr>
                <w:rFonts w:cs="Arial"/>
                <w:b/>
              </w:rPr>
            </w:pPr>
          </w:p>
        </w:tc>
        <w:tc>
          <w:tcPr>
            <w:tcW w:w="1811" w:type="dxa"/>
            <w:vAlign w:val="center"/>
          </w:tcPr>
          <w:p w14:paraId="58A5B791" w14:textId="77777777" w:rsidR="00125826" w:rsidRPr="009A5185" w:rsidRDefault="00125826" w:rsidP="00C90CC3">
            <w:pPr>
              <w:ind w:left="360"/>
              <w:contextualSpacing/>
              <w:rPr>
                <w:rFonts w:cs="Arial"/>
                <w:b/>
              </w:rPr>
            </w:pPr>
          </w:p>
        </w:tc>
        <w:tc>
          <w:tcPr>
            <w:tcW w:w="1937" w:type="dxa"/>
            <w:vAlign w:val="center"/>
          </w:tcPr>
          <w:p w14:paraId="688012A9" w14:textId="77777777" w:rsidR="00125826" w:rsidRPr="009A5185" w:rsidRDefault="00125826" w:rsidP="00C90CC3">
            <w:pPr>
              <w:ind w:left="360"/>
              <w:contextualSpacing/>
              <w:rPr>
                <w:rFonts w:cs="Arial"/>
                <w:b/>
              </w:rPr>
            </w:pPr>
          </w:p>
        </w:tc>
      </w:tr>
      <w:tr w:rsidR="00125826" w:rsidRPr="009A5185" w14:paraId="1613F7E6" w14:textId="77777777" w:rsidTr="0088552D">
        <w:tc>
          <w:tcPr>
            <w:tcW w:w="2498" w:type="dxa"/>
            <w:tcBorders>
              <w:bottom w:val="single" w:sz="4" w:space="0" w:color="auto"/>
            </w:tcBorders>
          </w:tcPr>
          <w:p w14:paraId="2CDE8EEC" w14:textId="77777777" w:rsidR="00125826" w:rsidRPr="009A5185" w:rsidRDefault="007E3461" w:rsidP="00C90CC3">
            <w:pPr>
              <w:jc w:val="center"/>
              <w:rPr>
                <w:rFonts w:cs="Arial"/>
              </w:rPr>
            </w:pPr>
            <w:r w:rsidRPr="009A5185">
              <w:rPr>
                <w:rFonts w:cs="Arial"/>
              </w:rPr>
              <w:t>10 - 14</w:t>
            </w:r>
          </w:p>
        </w:tc>
        <w:tc>
          <w:tcPr>
            <w:tcW w:w="1874" w:type="dxa"/>
            <w:vAlign w:val="center"/>
          </w:tcPr>
          <w:p w14:paraId="711DD1B1" w14:textId="77777777" w:rsidR="00125826" w:rsidRPr="009A5185" w:rsidRDefault="00125826" w:rsidP="00C90CC3">
            <w:pPr>
              <w:ind w:left="360"/>
              <w:contextualSpacing/>
              <w:rPr>
                <w:rFonts w:cs="Arial"/>
                <w:b/>
              </w:rPr>
            </w:pPr>
          </w:p>
        </w:tc>
        <w:tc>
          <w:tcPr>
            <w:tcW w:w="1874" w:type="dxa"/>
            <w:vAlign w:val="center"/>
          </w:tcPr>
          <w:p w14:paraId="20026AF7" w14:textId="77777777" w:rsidR="00125826" w:rsidRPr="009A5185" w:rsidRDefault="00125826" w:rsidP="00C90CC3">
            <w:pPr>
              <w:ind w:left="360"/>
              <w:contextualSpacing/>
              <w:rPr>
                <w:rFonts w:cs="Arial"/>
                <w:b/>
              </w:rPr>
            </w:pPr>
          </w:p>
        </w:tc>
        <w:tc>
          <w:tcPr>
            <w:tcW w:w="1811" w:type="dxa"/>
            <w:tcBorders>
              <w:bottom w:val="single" w:sz="4" w:space="0" w:color="auto"/>
            </w:tcBorders>
            <w:vAlign w:val="center"/>
          </w:tcPr>
          <w:p w14:paraId="17CE3C5B" w14:textId="77777777" w:rsidR="00125826" w:rsidRPr="009A5185" w:rsidRDefault="00125826" w:rsidP="00C90CC3">
            <w:pPr>
              <w:ind w:left="360"/>
              <w:contextualSpacing/>
              <w:rPr>
                <w:rFonts w:cs="Arial"/>
                <w:b/>
              </w:rPr>
            </w:pPr>
          </w:p>
        </w:tc>
        <w:tc>
          <w:tcPr>
            <w:tcW w:w="1937" w:type="dxa"/>
            <w:tcBorders>
              <w:bottom w:val="single" w:sz="4" w:space="0" w:color="auto"/>
            </w:tcBorders>
            <w:vAlign w:val="center"/>
          </w:tcPr>
          <w:p w14:paraId="5DEE327E" w14:textId="77777777" w:rsidR="00125826" w:rsidRPr="009A5185" w:rsidRDefault="00125826" w:rsidP="00C90CC3">
            <w:pPr>
              <w:ind w:left="360"/>
              <w:contextualSpacing/>
              <w:rPr>
                <w:rFonts w:cs="Arial"/>
                <w:b/>
              </w:rPr>
            </w:pPr>
          </w:p>
        </w:tc>
      </w:tr>
      <w:tr w:rsidR="00125826" w:rsidRPr="009A5185" w14:paraId="34AC2A44" w14:textId="77777777" w:rsidTr="0088552D">
        <w:tc>
          <w:tcPr>
            <w:tcW w:w="2498" w:type="dxa"/>
            <w:tcBorders>
              <w:bottom w:val="single" w:sz="4" w:space="0" w:color="auto"/>
            </w:tcBorders>
          </w:tcPr>
          <w:p w14:paraId="1719EA28" w14:textId="77777777" w:rsidR="00125826" w:rsidRPr="009A5185" w:rsidRDefault="007E3461" w:rsidP="00C90CC3">
            <w:pPr>
              <w:jc w:val="center"/>
              <w:rPr>
                <w:rFonts w:cs="Arial"/>
              </w:rPr>
            </w:pPr>
            <w:r w:rsidRPr="009A5185">
              <w:rPr>
                <w:rFonts w:cs="Arial"/>
              </w:rPr>
              <w:t>15 - 17</w:t>
            </w:r>
          </w:p>
        </w:tc>
        <w:tc>
          <w:tcPr>
            <w:tcW w:w="1874" w:type="dxa"/>
            <w:tcBorders>
              <w:bottom w:val="single" w:sz="4" w:space="0" w:color="auto"/>
            </w:tcBorders>
            <w:vAlign w:val="center"/>
          </w:tcPr>
          <w:p w14:paraId="5838AB77" w14:textId="77777777" w:rsidR="00125826" w:rsidRPr="009A5185" w:rsidRDefault="00125826" w:rsidP="00C90CC3">
            <w:pPr>
              <w:ind w:left="360"/>
              <w:contextualSpacing/>
              <w:rPr>
                <w:rFonts w:cs="Arial"/>
                <w:b/>
              </w:rPr>
            </w:pPr>
          </w:p>
        </w:tc>
        <w:tc>
          <w:tcPr>
            <w:tcW w:w="1874" w:type="dxa"/>
            <w:tcBorders>
              <w:bottom w:val="single" w:sz="4" w:space="0" w:color="auto"/>
            </w:tcBorders>
            <w:vAlign w:val="center"/>
          </w:tcPr>
          <w:p w14:paraId="1116D125" w14:textId="77777777" w:rsidR="00125826" w:rsidRPr="009A5185" w:rsidRDefault="00125826" w:rsidP="00C90CC3">
            <w:pPr>
              <w:ind w:left="360"/>
              <w:contextualSpacing/>
              <w:rPr>
                <w:rFonts w:cs="Arial"/>
                <w:b/>
              </w:rPr>
            </w:pPr>
          </w:p>
        </w:tc>
        <w:tc>
          <w:tcPr>
            <w:tcW w:w="1811" w:type="dxa"/>
            <w:tcBorders>
              <w:bottom w:val="single" w:sz="4" w:space="0" w:color="auto"/>
            </w:tcBorders>
            <w:vAlign w:val="center"/>
          </w:tcPr>
          <w:p w14:paraId="336234E9" w14:textId="77777777" w:rsidR="00125826" w:rsidRPr="009A5185" w:rsidRDefault="00125826" w:rsidP="00C90CC3">
            <w:pPr>
              <w:ind w:left="360"/>
              <w:contextualSpacing/>
              <w:rPr>
                <w:rFonts w:cs="Arial"/>
                <w:b/>
              </w:rPr>
            </w:pPr>
          </w:p>
        </w:tc>
        <w:tc>
          <w:tcPr>
            <w:tcW w:w="1937" w:type="dxa"/>
            <w:tcBorders>
              <w:bottom w:val="single" w:sz="4" w:space="0" w:color="auto"/>
            </w:tcBorders>
            <w:vAlign w:val="center"/>
          </w:tcPr>
          <w:p w14:paraId="59949886" w14:textId="77777777" w:rsidR="00125826" w:rsidRPr="009A5185" w:rsidRDefault="00125826" w:rsidP="00C90CC3">
            <w:pPr>
              <w:ind w:left="360"/>
              <w:contextualSpacing/>
              <w:rPr>
                <w:rFonts w:cs="Arial"/>
                <w:b/>
              </w:rPr>
            </w:pPr>
          </w:p>
        </w:tc>
      </w:tr>
    </w:tbl>
    <w:p w14:paraId="4BDE4786" w14:textId="77777777" w:rsidR="009F3018" w:rsidRPr="007A0EC7" w:rsidRDefault="009F3018"/>
    <w:tbl>
      <w:tblPr>
        <w:tblW w:w="99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98"/>
        <w:gridCol w:w="1874"/>
        <w:gridCol w:w="1874"/>
        <w:gridCol w:w="1811"/>
        <w:gridCol w:w="1937"/>
      </w:tblGrid>
      <w:tr w:rsidR="00125826" w:rsidRPr="009A5185" w14:paraId="2FD2C983" w14:textId="77777777" w:rsidTr="00A212A4">
        <w:trPr>
          <w:trHeight w:val="1440"/>
        </w:trPr>
        <w:tc>
          <w:tcPr>
            <w:tcW w:w="9994" w:type="dxa"/>
            <w:gridSpan w:val="5"/>
            <w:tcBorders>
              <w:left w:val="single" w:sz="4" w:space="0" w:color="auto"/>
              <w:right w:val="single" w:sz="4" w:space="0" w:color="auto"/>
            </w:tcBorders>
            <w:vAlign w:val="center"/>
          </w:tcPr>
          <w:p w14:paraId="137D682B" w14:textId="1807F50D" w:rsidR="00125826" w:rsidRPr="009A5185" w:rsidRDefault="00401C2A" w:rsidP="00AD309C">
            <w:pPr>
              <w:numPr>
                <w:ilvl w:val="0"/>
                <w:numId w:val="52"/>
              </w:numPr>
              <w:contextualSpacing/>
              <w:rPr>
                <w:rFonts w:cs="Arial"/>
                <w:i/>
                <w:snapToGrid w:val="0"/>
              </w:rPr>
            </w:pPr>
            <w:r w:rsidRPr="009A5185">
              <w:rPr>
                <w:rFonts w:cs="Arial"/>
              </w:rPr>
              <w:t>E</w:t>
            </w:r>
            <w:r w:rsidR="00654269" w:rsidRPr="009A5185">
              <w:rPr>
                <w:rFonts w:cs="Arial"/>
              </w:rPr>
              <w:t xml:space="preserve">nter </w:t>
            </w:r>
            <w:r w:rsidR="00125826" w:rsidRPr="009A5185">
              <w:rPr>
                <w:rFonts w:cs="Arial"/>
              </w:rPr>
              <w:t xml:space="preserve">your </w:t>
            </w:r>
            <w:r w:rsidR="00261D05">
              <w:rPr>
                <w:rFonts w:cs="Arial"/>
              </w:rPr>
              <w:t>hospital</w:t>
            </w:r>
            <w:r w:rsidR="00125826" w:rsidRPr="009A5185">
              <w:rPr>
                <w:rFonts w:cs="Arial"/>
              </w:rPr>
              <w:t>’s 25</w:t>
            </w:r>
            <w:r w:rsidR="00125826" w:rsidRPr="009A5185">
              <w:rPr>
                <w:rFonts w:cs="Arial"/>
                <w:vertAlign w:val="superscript"/>
              </w:rPr>
              <w:t>th</w:t>
            </w:r>
            <w:r w:rsidR="00125826" w:rsidRPr="009A5185">
              <w:rPr>
                <w:rFonts w:cs="Arial"/>
              </w:rPr>
              <w:t>, 50</w:t>
            </w:r>
            <w:r w:rsidR="00125826" w:rsidRPr="009A5185">
              <w:rPr>
                <w:rFonts w:cs="Arial"/>
                <w:vertAlign w:val="superscript"/>
              </w:rPr>
              <w:t>th</w:t>
            </w:r>
            <w:r w:rsidR="00125826" w:rsidRPr="009A5185">
              <w:rPr>
                <w:rFonts w:cs="Arial"/>
              </w:rPr>
              <w:t>, and 75</w:t>
            </w:r>
            <w:r w:rsidR="00125826" w:rsidRPr="009A5185">
              <w:rPr>
                <w:rFonts w:cs="Arial"/>
                <w:vertAlign w:val="superscript"/>
              </w:rPr>
              <w:t>th</w:t>
            </w:r>
            <w:r w:rsidR="00125826" w:rsidRPr="009A5185">
              <w:rPr>
                <w:rFonts w:cs="Arial"/>
              </w:rPr>
              <w:t xml:space="preserve"> percentiles </w:t>
            </w:r>
            <w:r w:rsidR="008047A3">
              <w:rPr>
                <w:rFonts w:cs="Arial"/>
              </w:rPr>
              <w:t xml:space="preserve">(rounded to the nearest whole number) </w:t>
            </w:r>
            <w:r w:rsidR="00125826" w:rsidRPr="009A5185">
              <w:rPr>
                <w:rFonts w:cs="Arial"/>
              </w:rPr>
              <w:t>for CT radiation dose</w:t>
            </w:r>
            <w:r w:rsidR="00B02C5D" w:rsidRPr="009A5185">
              <w:rPr>
                <w:rFonts w:cs="Arial"/>
              </w:rPr>
              <w:t xml:space="preserve"> length product (D</w:t>
            </w:r>
            <w:r w:rsidR="00B02C5D" w:rsidRPr="00522212">
              <w:rPr>
                <w:rFonts w:cs="Arial"/>
              </w:rPr>
              <w:t>LP)</w:t>
            </w:r>
            <w:r w:rsidR="00125826" w:rsidRPr="00522212">
              <w:rPr>
                <w:rFonts w:cs="Arial"/>
              </w:rPr>
              <w:t xml:space="preserve"> in</w:t>
            </w:r>
            <w:r w:rsidR="00125826" w:rsidRPr="009A5185">
              <w:rPr>
                <w:rFonts w:cs="Arial"/>
              </w:rPr>
              <w:t xml:space="preserve"> </w:t>
            </w:r>
            <w:r w:rsidR="00125826" w:rsidRPr="009A5185">
              <w:rPr>
                <w:rFonts w:cs="Arial"/>
                <w:b/>
              </w:rPr>
              <w:t>abdomen/pelvis</w:t>
            </w:r>
            <w:r w:rsidR="00125826" w:rsidRPr="009A5185">
              <w:rPr>
                <w:rFonts w:cs="Arial"/>
              </w:rPr>
              <w:t xml:space="preserve"> scans for pediatric patients for each age stratum</w:t>
            </w:r>
            <w:r w:rsidR="00BF5577">
              <w:rPr>
                <w:rFonts w:cs="Arial"/>
              </w:rPr>
              <w:t xml:space="preserve"> standardized to 32cm phantoms</w:t>
            </w:r>
            <w:r w:rsidR="00B07F7A" w:rsidRPr="009A5185">
              <w:rPr>
                <w:rFonts w:cs="Arial"/>
              </w:rPr>
              <w:t>.</w:t>
            </w:r>
          </w:p>
          <w:p w14:paraId="4D11E2E8" w14:textId="77777777" w:rsidR="00125826" w:rsidRPr="009A5185" w:rsidRDefault="00125826" w:rsidP="00B02C5D">
            <w:pPr>
              <w:contextualSpacing/>
              <w:rPr>
                <w:rFonts w:cs="Arial"/>
                <w:i/>
                <w:snapToGrid w:val="0"/>
              </w:rPr>
            </w:pPr>
          </w:p>
          <w:p w14:paraId="6231E95F" w14:textId="23EB55F6" w:rsidR="00B529B7" w:rsidRPr="00A212A4" w:rsidRDefault="009A0347" w:rsidP="00A212A4">
            <w:pPr>
              <w:ind w:left="360"/>
              <w:contextualSpacing/>
              <w:rPr>
                <w:rFonts w:cs="Arial"/>
                <w:i/>
                <w:snapToGrid w:val="0"/>
              </w:rPr>
            </w:pPr>
            <w:r w:rsidRPr="009A5185">
              <w:rPr>
                <w:rFonts w:cs="Arial"/>
                <w:i/>
                <w:snapToGrid w:val="0"/>
              </w:rPr>
              <w:t>If the number of encounters</w:t>
            </w:r>
            <w:r w:rsidR="00B02C5D" w:rsidRPr="009A5185">
              <w:rPr>
                <w:rFonts w:cs="Arial"/>
                <w:i/>
                <w:snapToGrid w:val="0"/>
              </w:rPr>
              <w:t xml:space="preserve"> for an age stratum is less than 10 (in column a), skip columns b, c, and d and then move to the next age stratum.</w:t>
            </w:r>
            <w:r w:rsidR="00870267" w:rsidRPr="009A5185">
              <w:rPr>
                <w:rFonts w:cs="Arial"/>
                <w:i/>
                <w:snapToGrid w:val="0"/>
              </w:rPr>
              <w:t xml:space="preserve"> If zero, enter “0” in column a.</w:t>
            </w:r>
            <w:r w:rsidR="006934A3">
              <w:rPr>
                <w:rFonts w:cs="Arial"/>
                <w:i/>
                <w:snapToGrid w:val="0"/>
              </w:rPr>
              <w:t xml:space="preserve"> </w:t>
            </w:r>
            <w:r w:rsidR="006934A3" w:rsidRPr="00F61E74">
              <w:rPr>
                <w:rFonts w:cs="Arial"/>
                <w:i/>
              </w:rPr>
              <w:t>The hospital will be scored as “</w:t>
            </w:r>
            <w:r w:rsidR="006934A3">
              <w:rPr>
                <w:rFonts w:cs="Arial"/>
                <w:i/>
              </w:rPr>
              <w:t>Unable to Calculate Score” if all age strat</w:t>
            </w:r>
            <w:r w:rsidR="00E95C58">
              <w:rPr>
                <w:rFonts w:cs="Arial"/>
                <w:i/>
              </w:rPr>
              <w:t>a</w:t>
            </w:r>
            <w:r w:rsidR="006934A3">
              <w:rPr>
                <w:rFonts w:cs="Arial"/>
                <w:i/>
              </w:rPr>
              <w:t xml:space="preserve"> have less than 10 encounters.</w:t>
            </w:r>
          </w:p>
        </w:tc>
      </w:tr>
      <w:tr w:rsidR="00125826" w:rsidRPr="009A5185" w14:paraId="7A2E6AAD" w14:textId="77777777" w:rsidTr="009F3018">
        <w:tc>
          <w:tcPr>
            <w:tcW w:w="2498" w:type="dxa"/>
            <w:vMerge w:val="restart"/>
            <w:vAlign w:val="center"/>
          </w:tcPr>
          <w:p w14:paraId="448984ED" w14:textId="164D8E65" w:rsidR="00125826" w:rsidRPr="009A5185" w:rsidRDefault="00125826" w:rsidP="00C90CC3">
            <w:pPr>
              <w:ind w:left="360"/>
              <w:contextualSpacing/>
              <w:rPr>
                <w:rFonts w:cs="Arial"/>
                <w:b/>
              </w:rPr>
            </w:pPr>
            <w:r w:rsidRPr="009A5185">
              <w:rPr>
                <w:rFonts w:cs="Arial"/>
                <w:b/>
              </w:rPr>
              <w:t xml:space="preserve">Age </w:t>
            </w:r>
            <w:r w:rsidR="00E95C58">
              <w:rPr>
                <w:rFonts w:cs="Arial"/>
                <w:b/>
              </w:rPr>
              <w:t>Stratum</w:t>
            </w:r>
          </w:p>
        </w:tc>
        <w:tc>
          <w:tcPr>
            <w:tcW w:w="7496" w:type="dxa"/>
            <w:gridSpan w:val="4"/>
            <w:shd w:val="clear" w:color="auto" w:fill="D9D9D9" w:themeFill="background1" w:themeFillShade="D9"/>
            <w:vAlign w:val="center"/>
          </w:tcPr>
          <w:p w14:paraId="6ABD45DF" w14:textId="77777777" w:rsidR="00125826" w:rsidRPr="009A5185" w:rsidRDefault="00125826" w:rsidP="00C90CC3">
            <w:pPr>
              <w:ind w:left="360"/>
              <w:contextualSpacing/>
              <w:jc w:val="center"/>
              <w:rPr>
                <w:rFonts w:cs="Arial"/>
                <w:b/>
              </w:rPr>
            </w:pPr>
            <w:r w:rsidRPr="009A5185">
              <w:rPr>
                <w:rFonts w:cs="Arial"/>
                <w:b/>
              </w:rPr>
              <w:t>ABDOMEN/PELVIS</w:t>
            </w:r>
          </w:p>
        </w:tc>
      </w:tr>
      <w:tr w:rsidR="00125826" w:rsidRPr="009A5185" w14:paraId="1EC1199C" w14:textId="77777777" w:rsidTr="009F3018">
        <w:tc>
          <w:tcPr>
            <w:tcW w:w="2498" w:type="dxa"/>
            <w:vMerge/>
            <w:vAlign w:val="center"/>
          </w:tcPr>
          <w:p w14:paraId="61BF79EA" w14:textId="77777777" w:rsidR="00125826" w:rsidRPr="009A5185" w:rsidRDefault="00125826" w:rsidP="00C90CC3">
            <w:pPr>
              <w:ind w:left="360"/>
              <w:contextualSpacing/>
              <w:rPr>
                <w:rFonts w:cs="Arial"/>
                <w:b/>
              </w:rPr>
            </w:pPr>
          </w:p>
        </w:tc>
        <w:tc>
          <w:tcPr>
            <w:tcW w:w="1874" w:type="dxa"/>
            <w:vAlign w:val="center"/>
          </w:tcPr>
          <w:p w14:paraId="09B4E4A5" w14:textId="77777777" w:rsidR="00125826" w:rsidRPr="009A5185" w:rsidRDefault="003736C5" w:rsidP="00C90CC3">
            <w:pPr>
              <w:contextualSpacing/>
              <w:rPr>
                <w:rFonts w:cs="Arial"/>
                <w:b/>
              </w:rPr>
            </w:pPr>
            <w:r w:rsidRPr="009A5185">
              <w:rPr>
                <w:rFonts w:cs="Arial"/>
                <w:b/>
              </w:rPr>
              <w:t>(</w:t>
            </w:r>
            <w:r w:rsidR="00125826" w:rsidRPr="009A5185">
              <w:rPr>
                <w:rFonts w:cs="Arial"/>
                <w:b/>
              </w:rPr>
              <w:t>a)</w:t>
            </w:r>
          </w:p>
          <w:p w14:paraId="7BB45139" w14:textId="77777777" w:rsidR="00125826" w:rsidRPr="009A5185" w:rsidRDefault="00DC28FF" w:rsidP="00C90CC3">
            <w:pPr>
              <w:contextualSpacing/>
              <w:rPr>
                <w:rFonts w:cs="Arial"/>
                <w:b/>
              </w:rPr>
            </w:pPr>
            <w:r w:rsidRPr="009A5185">
              <w:rPr>
                <w:rFonts w:cs="Arial"/>
                <w:b/>
              </w:rPr>
              <w:t>Number of encounters</w:t>
            </w:r>
          </w:p>
        </w:tc>
        <w:tc>
          <w:tcPr>
            <w:tcW w:w="1874" w:type="dxa"/>
            <w:vAlign w:val="center"/>
          </w:tcPr>
          <w:p w14:paraId="4F9CFC41" w14:textId="77777777" w:rsidR="00125826" w:rsidRPr="009A5185" w:rsidRDefault="003736C5" w:rsidP="00C90CC3">
            <w:pPr>
              <w:contextualSpacing/>
              <w:rPr>
                <w:rFonts w:cs="Arial"/>
                <w:b/>
              </w:rPr>
            </w:pPr>
            <w:r w:rsidRPr="009A5185">
              <w:rPr>
                <w:rFonts w:cs="Arial"/>
                <w:b/>
              </w:rPr>
              <w:t>(</w:t>
            </w:r>
            <w:r w:rsidR="00125826" w:rsidRPr="009A5185">
              <w:rPr>
                <w:rFonts w:cs="Arial"/>
                <w:b/>
              </w:rPr>
              <w:t>b)</w:t>
            </w:r>
          </w:p>
          <w:p w14:paraId="54862FE4" w14:textId="77777777" w:rsidR="00125826" w:rsidRPr="009A5185" w:rsidRDefault="00125826" w:rsidP="00C90CC3">
            <w:pPr>
              <w:contextualSpacing/>
              <w:rPr>
                <w:rFonts w:cs="Arial"/>
                <w:b/>
              </w:rPr>
            </w:pPr>
            <w:r w:rsidRPr="009A5185">
              <w:rPr>
                <w:rFonts w:cs="Arial"/>
                <w:b/>
              </w:rPr>
              <w:t>25</w:t>
            </w:r>
            <w:r w:rsidRPr="009A5185">
              <w:rPr>
                <w:rFonts w:cs="Arial"/>
                <w:b/>
                <w:vertAlign w:val="superscript"/>
              </w:rPr>
              <w:t>th</w:t>
            </w:r>
            <w:r w:rsidRPr="009A5185">
              <w:rPr>
                <w:rFonts w:cs="Arial"/>
                <w:b/>
              </w:rPr>
              <w:t xml:space="preserve"> Percentile</w:t>
            </w:r>
          </w:p>
        </w:tc>
        <w:tc>
          <w:tcPr>
            <w:tcW w:w="1811" w:type="dxa"/>
            <w:vAlign w:val="center"/>
          </w:tcPr>
          <w:p w14:paraId="3AE81558" w14:textId="77777777" w:rsidR="00125826" w:rsidRPr="009A5185" w:rsidRDefault="003736C5" w:rsidP="00C90CC3">
            <w:pPr>
              <w:contextualSpacing/>
              <w:rPr>
                <w:rFonts w:cs="Arial"/>
                <w:b/>
              </w:rPr>
            </w:pPr>
            <w:r w:rsidRPr="009A5185">
              <w:rPr>
                <w:rFonts w:cs="Arial"/>
                <w:b/>
              </w:rPr>
              <w:t>(</w:t>
            </w:r>
            <w:r w:rsidR="00125826" w:rsidRPr="009A5185">
              <w:rPr>
                <w:rFonts w:cs="Arial"/>
                <w:b/>
              </w:rPr>
              <w:t xml:space="preserve">c) </w:t>
            </w:r>
          </w:p>
          <w:p w14:paraId="7487B0CD" w14:textId="77777777" w:rsidR="00125826" w:rsidRPr="009A5185" w:rsidRDefault="00125826" w:rsidP="00C90CC3">
            <w:pPr>
              <w:contextualSpacing/>
              <w:rPr>
                <w:rFonts w:cs="Arial"/>
                <w:b/>
              </w:rPr>
            </w:pPr>
            <w:r w:rsidRPr="009A5185">
              <w:rPr>
                <w:rFonts w:cs="Arial"/>
                <w:b/>
              </w:rPr>
              <w:t>50</w:t>
            </w:r>
            <w:r w:rsidRPr="009A5185">
              <w:rPr>
                <w:rFonts w:cs="Arial"/>
                <w:b/>
                <w:vertAlign w:val="superscript"/>
              </w:rPr>
              <w:t>th</w:t>
            </w:r>
            <w:r w:rsidRPr="009A5185">
              <w:rPr>
                <w:rFonts w:cs="Arial"/>
                <w:b/>
              </w:rPr>
              <w:t xml:space="preserve"> Percentile</w:t>
            </w:r>
          </w:p>
        </w:tc>
        <w:tc>
          <w:tcPr>
            <w:tcW w:w="1937" w:type="dxa"/>
            <w:vAlign w:val="center"/>
          </w:tcPr>
          <w:p w14:paraId="14968E87" w14:textId="77777777" w:rsidR="00125826" w:rsidRPr="009A5185" w:rsidRDefault="003736C5" w:rsidP="00620FCB">
            <w:pPr>
              <w:contextualSpacing/>
              <w:rPr>
                <w:rFonts w:cs="Arial"/>
                <w:b/>
              </w:rPr>
            </w:pPr>
            <w:r w:rsidRPr="009A5185">
              <w:rPr>
                <w:rFonts w:cs="Arial"/>
                <w:b/>
              </w:rPr>
              <w:t>(</w:t>
            </w:r>
            <w:r w:rsidR="00125826" w:rsidRPr="009A5185">
              <w:rPr>
                <w:rFonts w:cs="Arial"/>
                <w:b/>
              </w:rPr>
              <w:t xml:space="preserve">d) </w:t>
            </w:r>
          </w:p>
          <w:p w14:paraId="6EE693CD" w14:textId="77777777" w:rsidR="00125826" w:rsidRPr="009A5185" w:rsidRDefault="00125826" w:rsidP="00620FCB">
            <w:pPr>
              <w:contextualSpacing/>
              <w:rPr>
                <w:rFonts w:cs="Arial"/>
                <w:b/>
              </w:rPr>
            </w:pPr>
            <w:r w:rsidRPr="009A5185">
              <w:rPr>
                <w:rFonts w:cs="Arial"/>
                <w:b/>
              </w:rPr>
              <w:t>75</w:t>
            </w:r>
            <w:r w:rsidRPr="009A5185">
              <w:rPr>
                <w:rFonts w:cs="Arial"/>
                <w:b/>
                <w:vertAlign w:val="superscript"/>
              </w:rPr>
              <w:t>th</w:t>
            </w:r>
            <w:r w:rsidRPr="009A5185">
              <w:rPr>
                <w:rFonts w:cs="Arial"/>
                <w:b/>
              </w:rPr>
              <w:t xml:space="preserve"> Percentile</w:t>
            </w:r>
          </w:p>
        </w:tc>
      </w:tr>
      <w:tr w:rsidR="007E3461" w:rsidRPr="009A5185" w14:paraId="0D2109DA" w14:textId="77777777" w:rsidTr="009F3018">
        <w:tc>
          <w:tcPr>
            <w:tcW w:w="2498" w:type="dxa"/>
          </w:tcPr>
          <w:p w14:paraId="71002C24" w14:textId="77777777" w:rsidR="007E3461" w:rsidRPr="009A5185" w:rsidRDefault="007E3461" w:rsidP="00C90CC3">
            <w:pPr>
              <w:jc w:val="center"/>
              <w:rPr>
                <w:rFonts w:cs="Arial"/>
              </w:rPr>
            </w:pPr>
            <w:r w:rsidRPr="009A5185">
              <w:rPr>
                <w:rFonts w:cs="Arial"/>
              </w:rPr>
              <w:t>&lt; 1 year</w:t>
            </w:r>
          </w:p>
        </w:tc>
        <w:tc>
          <w:tcPr>
            <w:tcW w:w="1874" w:type="dxa"/>
            <w:vAlign w:val="center"/>
          </w:tcPr>
          <w:p w14:paraId="2EAA634E" w14:textId="77777777" w:rsidR="007E3461" w:rsidRPr="009A5185" w:rsidRDefault="007E3461" w:rsidP="00C90CC3">
            <w:pPr>
              <w:ind w:left="360"/>
              <w:contextualSpacing/>
              <w:rPr>
                <w:rFonts w:cs="Arial"/>
                <w:b/>
              </w:rPr>
            </w:pPr>
          </w:p>
        </w:tc>
        <w:tc>
          <w:tcPr>
            <w:tcW w:w="1874" w:type="dxa"/>
            <w:vAlign w:val="center"/>
          </w:tcPr>
          <w:p w14:paraId="59B0757C" w14:textId="77777777" w:rsidR="007E3461" w:rsidRPr="009A5185" w:rsidRDefault="007E3461" w:rsidP="00C90CC3">
            <w:pPr>
              <w:ind w:left="360"/>
              <w:contextualSpacing/>
              <w:rPr>
                <w:rFonts w:cs="Arial"/>
                <w:b/>
              </w:rPr>
            </w:pPr>
          </w:p>
        </w:tc>
        <w:tc>
          <w:tcPr>
            <w:tcW w:w="1811" w:type="dxa"/>
            <w:vAlign w:val="center"/>
          </w:tcPr>
          <w:p w14:paraId="61980131" w14:textId="77777777" w:rsidR="007E3461" w:rsidRPr="009A5185" w:rsidRDefault="007E3461" w:rsidP="00C90CC3">
            <w:pPr>
              <w:ind w:left="360"/>
              <w:contextualSpacing/>
              <w:rPr>
                <w:rFonts w:cs="Arial"/>
                <w:b/>
              </w:rPr>
            </w:pPr>
          </w:p>
        </w:tc>
        <w:tc>
          <w:tcPr>
            <w:tcW w:w="1937" w:type="dxa"/>
            <w:vAlign w:val="center"/>
          </w:tcPr>
          <w:p w14:paraId="1F72AB44" w14:textId="77777777" w:rsidR="007E3461" w:rsidRPr="009A5185" w:rsidRDefault="007E3461" w:rsidP="00C90CC3">
            <w:pPr>
              <w:ind w:left="360"/>
              <w:contextualSpacing/>
              <w:rPr>
                <w:rFonts w:cs="Arial"/>
                <w:b/>
              </w:rPr>
            </w:pPr>
          </w:p>
        </w:tc>
      </w:tr>
      <w:tr w:rsidR="007E3461" w:rsidRPr="009A5185" w14:paraId="5FBE857C" w14:textId="77777777" w:rsidTr="009F3018">
        <w:tc>
          <w:tcPr>
            <w:tcW w:w="2498" w:type="dxa"/>
          </w:tcPr>
          <w:p w14:paraId="4783A1DF" w14:textId="77777777" w:rsidR="007E3461" w:rsidRPr="009A5185" w:rsidRDefault="0018756C" w:rsidP="00C90CC3">
            <w:pPr>
              <w:jc w:val="center"/>
              <w:rPr>
                <w:rFonts w:cs="Arial"/>
              </w:rPr>
            </w:pPr>
            <w:r w:rsidRPr="009A5185">
              <w:rPr>
                <w:rFonts w:cs="Arial"/>
              </w:rPr>
              <w:t xml:space="preserve">1 - </w:t>
            </w:r>
            <w:r w:rsidR="007E3461" w:rsidRPr="009A5185">
              <w:rPr>
                <w:rFonts w:cs="Arial"/>
              </w:rPr>
              <w:t>4</w:t>
            </w:r>
          </w:p>
        </w:tc>
        <w:tc>
          <w:tcPr>
            <w:tcW w:w="1874" w:type="dxa"/>
            <w:vAlign w:val="center"/>
          </w:tcPr>
          <w:p w14:paraId="1FE5D243" w14:textId="77777777" w:rsidR="007E3461" w:rsidRPr="009A5185" w:rsidRDefault="007E3461" w:rsidP="00C90CC3">
            <w:pPr>
              <w:ind w:left="360"/>
              <w:contextualSpacing/>
              <w:rPr>
                <w:rFonts w:cs="Arial"/>
                <w:b/>
              </w:rPr>
            </w:pPr>
          </w:p>
        </w:tc>
        <w:tc>
          <w:tcPr>
            <w:tcW w:w="1874" w:type="dxa"/>
            <w:vAlign w:val="center"/>
          </w:tcPr>
          <w:p w14:paraId="4EC01D8B" w14:textId="77777777" w:rsidR="007E3461" w:rsidRPr="009A5185" w:rsidRDefault="007E3461" w:rsidP="00C90CC3">
            <w:pPr>
              <w:ind w:left="360"/>
              <w:contextualSpacing/>
              <w:rPr>
                <w:rFonts w:cs="Arial"/>
                <w:b/>
              </w:rPr>
            </w:pPr>
          </w:p>
        </w:tc>
        <w:tc>
          <w:tcPr>
            <w:tcW w:w="1811" w:type="dxa"/>
            <w:vAlign w:val="center"/>
          </w:tcPr>
          <w:p w14:paraId="3B3A4918" w14:textId="77777777" w:rsidR="007E3461" w:rsidRPr="009A5185" w:rsidRDefault="007E3461" w:rsidP="00C90CC3">
            <w:pPr>
              <w:ind w:left="360"/>
              <w:contextualSpacing/>
              <w:rPr>
                <w:rFonts w:cs="Arial"/>
                <w:b/>
              </w:rPr>
            </w:pPr>
          </w:p>
        </w:tc>
        <w:tc>
          <w:tcPr>
            <w:tcW w:w="1937" w:type="dxa"/>
            <w:vAlign w:val="center"/>
          </w:tcPr>
          <w:p w14:paraId="4612F144" w14:textId="77777777" w:rsidR="007E3461" w:rsidRPr="009A5185" w:rsidRDefault="007E3461" w:rsidP="00C90CC3">
            <w:pPr>
              <w:ind w:left="360"/>
              <w:contextualSpacing/>
              <w:rPr>
                <w:rFonts w:cs="Arial"/>
                <w:b/>
              </w:rPr>
            </w:pPr>
          </w:p>
        </w:tc>
      </w:tr>
      <w:tr w:rsidR="007E3461" w:rsidRPr="009A5185" w14:paraId="01449F6B" w14:textId="77777777" w:rsidTr="009F3018">
        <w:tc>
          <w:tcPr>
            <w:tcW w:w="2498" w:type="dxa"/>
          </w:tcPr>
          <w:p w14:paraId="2B13C056" w14:textId="77777777" w:rsidR="007E3461" w:rsidRPr="009A5185" w:rsidRDefault="007E3461" w:rsidP="00C90CC3">
            <w:pPr>
              <w:jc w:val="center"/>
              <w:rPr>
                <w:rFonts w:cs="Arial"/>
              </w:rPr>
            </w:pPr>
            <w:r w:rsidRPr="009A5185">
              <w:rPr>
                <w:rFonts w:cs="Arial"/>
              </w:rPr>
              <w:t>5 - 9</w:t>
            </w:r>
          </w:p>
        </w:tc>
        <w:tc>
          <w:tcPr>
            <w:tcW w:w="1874" w:type="dxa"/>
            <w:vAlign w:val="center"/>
          </w:tcPr>
          <w:p w14:paraId="2FC6785D" w14:textId="77777777" w:rsidR="007E3461" w:rsidRPr="009A5185" w:rsidRDefault="007E3461" w:rsidP="00C90CC3">
            <w:pPr>
              <w:ind w:left="360"/>
              <w:contextualSpacing/>
              <w:rPr>
                <w:rFonts w:cs="Arial"/>
                <w:b/>
              </w:rPr>
            </w:pPr>
          </w:p>
        </w:tc>
        <w:tc>
          <w:tcPr>
            <w:tcW w:w="1874" w:type="dxa"/>
            <w:vAlign w:val="center"/>
          </w:tcPr>
          <w:p w14:paraId="6C044872" w14:textId="77777777" w:rsidR="007E3461" w:rsidRPr="009A5185" w:rsidRDefault="007E3461" w:rsidP="00C90CC3">
            <w:pPr>
              <w:ind w:left="360"/>
              <w:contextualSpacing/>
              <w:rPr>
                <w:rFonts w:cs="Arial"/>
                <w:b/>
              </w:rPr>
            </w:pPr>
          </w:p>
        </w:tc>
        <w:tc>
          <w:tcPr>
            <w:tcW w:w="1811" w:type="dxa"/>
            <w:vAlign w:val="center"/>
          </w:tcPr>
          <w:p w14:paraId="7B5C343F" w14:textId="77777777" w:rsidR="007E3461" w:rsidRPr="009A5185" w:rsidRDefault="007E3461" w:rsidP="00C90CC3">
            <w:pPr>
              <w:ind w:left="360"/>
              <w:contextualSpacing/>
              <w:rPr>
                <w:rFonts w:cs="Arial"/>
                <w:b/>
              </w:rPr>
            </w:pPr>
          </w:p>
        </w:tc>
        <w:tc>
          <w:tcPr>
            <w:tcW w:w="1937" w:type="dxa"/>
            <w:vAlign w:val="center"/>
          </w:tcPr>
          <w:p w14:paraId="1B4D5863" w14:textId="77777777" w:rsidR="007E3461" w:rsidRPr="009A5185" w:rsidRDefault="007E3461" w:rsidP="00C90CC3">
            <w:pPr>
              <w:ind w:left="360"/>
              <w:contextualSpacing/>
              <w:rPr>
                <w:rFonts w:cs="Arial"/>
                <w:b/>
              </w:rPr>
            </w:pPr>
          </w:p>
        </w:tc>
      </w:tr>
      <w:tr w:rsidR="007E3461" w:rsidRPr="009A5185" w14:paraId="77B312F9" w14:textId="77777777" w:rsidTr="009F3018">
        <w:tc>
          <w:tcPr>
            <w:tcW w:w="2498" w:type="dxa"/>
            <w:tcBorders>
              <w:bottom w:val="single" w:sz="4" w:space="0" w:color="auto"/>
            </w:tcBorders>
          </w:tcPr>
          <w:p w14:paraId="40A469FE" w14:textId="77777777" w:rsidR="007E3461" w:rsidRPr="009A5185" w:rsidRDefault="007E3461" w:rsidP="00C90CC3">
            <w:pPr>
              <w:jc w:val="center"/>
              <w:rPr>
                <w:rFonts w:cs="Arial"/>
              </w:rPr>
            </w:pPr>
            <w:r w:rsidRPr="009A5185">
              <w:rPr>
                <w:rFonts w:cs="Arial"/>
              </w:rPr>
              <w:t>10 - 14</w:t>
            </w:r>
          </w:p>
        </w:tc>
        <w:tc>
          <w:tcPr>
            <w:tcW w:w="1874" w:type="dxa"/>
            <w:vAlign w:val="center"/>
          </w:tcPr>
          <w:p w14:paraId="7E830FDC" w14:textId="77777777" w:rsidR="007E3461" w:rsidRPr="009A5185" w:rsidRDefault="007E3461" w:rsidP="00C90CC3">
            <w:pPr>
              <w:ind w:left="360"/>
              <w:contextualSpacing/>
              <w:rPr>
                <w:rFonts w:cs="Arial"/>
                <w:b/>
              </w:rPr>
            </w:pPr>
          </w:p>
        </w:tc>
        <w:tc>
          <w:tcPr>
            <w:tcW w:w="1874" w:type="dxa"/>
            <w:vAlign w:val="center"/>
          </w:tcPr>
          <w:p w14:paraId="05046762" w14:textId="77777777" w:rsidR="007E3461" w:rsidRPr="009A5185" w:rsidRDefault="007E3461" w:rsidP="00C90CC3">
            <w:pPr>
              <w:ind w:left="360"/>
              <w:contextualSpacing/>
              <w:rPr>
                <w:rFonts w:cs="Arial"/>
                <w:b/>
              </w:rPr>
            </w:pPr>
          </w:p>
        </w:tc>
        <w:tc>
          <w:tcPr>
            <w:tcW w:w="1811" w:type="dxa"/>
            <w:tcBorders>
              <w:bottom w:val="single" w:sz="4" w:space="0" w:color="auto"/>
            </w:tcBorders>
            <w:vAlign w:val="center"/>
          </w:tcPr>
          <w:p w14:paraId="14FEC2D7" w14:textId="77777777" w:rsidR="007E3461" w:rsidRPr="009A5185" w:rsidRDefault="007E3461" w:rsidP="00C90CC3">
            <w:pPr>
              <w:ind w:left="360"/>
              <w:contextualSpacing/>
              <w:rPr>
                <w:rFonts w:cs="Arial"/>
                <w:b/>
              </w:rPr>
            </w:pPr>
          </w:p>
        </w:tc>
        <w:tc>
          <w:tcPr>
            <w:tcW w:w="1937" w:type="dxa"/>
            <w:tcBorders>
              <w:bottom w:val="single" w:sz="4" w:space="0" w:color="auto"/>
            </w:tcBorders>
            <w:vAlign w:val="center"/>
          </w:tcPr>
          <w:p w14:paraId="0C857A57" w14:textId="77777777" w:rsidR="007E3461" w:rsidRPr="009A5185" w:rsidRDefault="007E3461" w:rsidP="00C90CC3">
            <w:pPr>
              <w:ind w:left="360"/>
              <w:contextualSpacing/>
              <w:rPr>
                <w:rFonts w:cs="Arial"/>
                <w:b/>
              </w:rPr>
            </w:pPr>
          </w:p>
        </w:tc>
      </w:tr>
      <w:tr w:rsidR="007E3461" w:rsidRPr="009A5185" w14:paraId="77F24810" w14:textId="77777777" w:rsidTr="009F3018">
        <w:trPr>
          <w:trHeight w:val="64"/>
        </w:trPr>
        <w:tc>
          <w:tcPr>
            <w:tcW w:w="2498" w:type="dxa"/>
            <w:tcBorders>
              <w:bottom w:val="single" w:sz="4" w:space="0" w:color="auto"/>
            </w:tcBorders>
          </w:tcPr>
          <w:p w14:paraId="2BEBE394" w14:textId="77777777" w:rsidR="007E3461" w:rsidRPr="009A5185" w:rsidRDefault="007E3461" w:rsidP="00C90CC3">
            <w:pPr>
              <w:jc w:val="center"/>
              <w:rPr>
                <w:rFonts w:cs="Arial"/>
              </w:rPr>
            </w:pPr>
            <w:r w:rsidRPr="009A5185">
              <w:rPr>
                <w:rFonts w:cs="Arial"/>
              </w:rPr>
              <w:t>15 - 17</w:t>
            </w:r>
          </w:p>
        </w:tc>
        <w:tc>
          <w:tcPr>
            <w:tcW w:w="1874" w:type="dxa"/>
            <w:tcBorders>
              <w:bottom w:val="single" w:sz="4" w:space="0" w:color="auto"/>
            </w:tcBorders>
            <w:vAlign w:val="center"/>
          </w:tcPr>
          <w:p w14:paraId="138667D4" w14:textId="77777777" w:rsidR="007E3461" w:rsidRPr="009A5185" w:rsidRDefault="007E3461" w:rsidP="00C90CC3">
            <w:pPr>
              <w:ind w:left="360"/>
              <w:contextualSpacing/>
              <w:rPr>
                <w:rFonts w:cs="Arial"/>
                <w:b/>
              </w:rPr>
            </w:pPr>
          </w:p>
        </w:tc>
        <w:tc>
          <w:tcPr>
            <w:tcW w:w="1874" w:type="dxa"/>
            <w:tcBorders>
              <w:bottom w:val="single" w:sz="4" w:space="0" w:color="auto"/>
            </w:tcBorders>
            <w:vAlign w:val="center"/>
          </w:tcPr>
          <w:p w14:paraId="2649F94C" w14:textId="77777777" w:rsidR="007E3461" w:rsidRPr="009A5185" w:rsidRDefault="007E3461" w:rsidP="00C90CC3">
            <w:pPr>
              <w:ind w:left="360"/>
              <w:contextualSpacing/>
              <w:rPr>
                <w:rFonts w:cs="Arial"/>
                <w:b/>
              </w:rPr>
            </w:pPr>
          </w:p>
        </w:tc>
        <w:tc>
          <w:tcPr>
            <w:tcW w:w="1811" w:type="dxa"/>
            <w:tcBorders>
              <w:bottom w:val="single" w:sz="4" w:space="0" w:color="auto"/>
            </w:tcBorders>
            <w:vAlign w:val="center"/>
          </w:tcPr>
          <w:p w14:paraId="7EEDA4CF" w14:textId="77777777" w:rsidR="007E3461" w:rsidRPr="009A5185" w:rsidRDefault="007E3461" w:rsidP="00C90CC3">
            <w:pPr>
              <w:ind w:left="360"/>
              <w:contextualSpacing/>
              <w:rPr>
                <w:rFonts w:cs="Arial"/>
                <w:b/>
              </w:rPr>
            </w:pPr>
          </w:p>
        </w:tc>
        <w:tc>
          <w:tcPr>
            <w:tcW w:w="1937" w:type="dxa"/>
            <w:tcBorders>
              <w:bottom w:val="single" w:sz="4" w:space="0" w:color="auto"/>
            </w:tcBorders>
            <w:vAlign w:val="center"/>
          </w:tcPr>
          <w:p w14:paraId="7DD88EFC" w14:textId="77777777" w:rsidR="007E3461" w:rsidRPr="009A5185" w:rsidRDefault="007E3461" w:rsidP="00C90CC3">
            <w:pPr>
              <w:ind w:left="360"/>
              <w:contextualSpacing/>
              <w:rPr>
                <w:rFonts w:cs="Arial"/>
                <w:b/>
              </w:rPr>
            </w:pPr>
          </w:p>
        </w:tc>
      </w:tr>
    </w:tbl>
    <w:p w14:paraId="3BA0DFB2" w14:textId="77777777" w:rsidR="007A0EC7" w:rsidRPr="007A0EC7" w:rsidRDefault="007A0EC7">
      <w:pPr>
        <w:rPr>
          <w:rFonts w:cs="Arial"/>
          <w:b/>
          <w:snapToGrid w:val="0"/>
          <w:color w:val="000000"/>
        </w:rPr>
      </w:pPr>
    </w:p>
    <w:p w14:paraId="43F5735A" w14:textId="29040492" w:rsidR="00897A3E" w:rsidRDefault="00897A3E">
      <w:pPr>
        <w:rPr>
          <w:lang w:eastAsia="ja-JP"/>
        </w:rPr>
      </w:pPr>
    </w:p>
    <w:p w14:paraId="1A302D9B" w14:textId="77777777" w:rsidR="00897A3E" w:rsidRDefault="00897A3E">
      <w:pPr>
        <w:rPr>
          <w:lang w:eastAsia="ja-JP"/>
        </w:rPr>
      </w:pPr>
      <w:r>
        <w:rPr>
          <w:lang w:eastAsia="ja-JP"/>
        </w:rPr>
        <w:br w:type="page"/>
      </w:r>
    </w:p>
    <w:p w14:paraId="43D57EA9" w14:textId="1E132BE7" w:rsidR="008910AA" w:rsidRPr="009A5185" w:rsidRDefault="00B13271">
      <w:pPr>
        <w:rPr>
          <w:rFonts w:cs="Arial"/>
          <w:b/>
          <w:snapToGrid w:val="0"/>
          <w:color w:val="000000"/>
        </w:rPr>
      </w:pPr>
      <w:r w:rsidRPr="009A5185">
        <w:rPr>
          <w:rFonts w:cs="Arial"/>
          <w:b/>
          <w:snapToGrid w:val="0"/>
          <w:color w:val="000000"/>
        </w:rPr>
        <w:t>Affirmation of Accuracy</w:t>
      </w:r>
    </w:p>
    <w:p w14:paraId="7068F1BB" w14:textId="77777777" w:rsidR="008910AA" w:rsidRPr="009A5185" w:rsidRDefault="008910AA">
      <w:pPr>
        <w:rPr>
          <w:rFonts w:cs="Arial"/>
          <w:snapToGrid w:val="0"/>
          <w:color w:val="000000"/>
        </w:rPr>
      </w:pPr>
    </w:p>
    <w:p w14:paraId="050E990F" w14:textId="0ECBA811" w:rsidR="00912FBC" w:rsidRPr="006D5153" w:rsidRDefault="00912FBC" w:rsidP="00912FBC">
      <w:pPr>
        <w:rPr>
          <w:rFonts w:cs="Arial"/>
          <w:color w:val="000000"/>
        </w:rPr>
      </w:pPr>
      <w:r w:rsidRPr="006D5153">
        <w:rPr>
          <w:rFonts w:cs="Arial"/>
          <w:color w:val="000000"/>
        </w:rPr>
        <w:t>As the hospital CEO or as an employee of the hospital to whom the hospital CEO has delegated responsibility, I have reviewed this information pertainin</w:t>
      </w:r>
      <w:r w:rsidR="00925916" w:rsidRPr="006D5153">
        <w:rPr>
          <w:rFonts w:cs="Arial"/>
          <w:color w:val="000000"/>
        </w:rPr>
        <w:t>g to the Pediatric Care</w:t>
      </w:r>
      <w:r w:rsidRPr="006D5153">
        <w:rPr>
          <w:rFonts w:cs="Arial"/>
          <w:color w:val="000000"/>
        </w:rPr>
        <w:t xml:space="preserve"> Section at our hospital, and I hereby </w:t>
      </w:r>
      <w:r w:rsidR="00F04B47">
        <w:rPr>
          <w:rFonts w:cs="Arial"/>
          <w:color w:val="000000"/>
        </w:rPr>
        <w:t>affirm</w:t>
      </w:r>
      <w:r w:rsidRPr="006D5153">
        <w:rPr>
          <w:rFonts w:cs="Arial"/>
          <w:color w:val="000000"/>
        </w:rPr>
        <w:t xml:space="preserve"> that this information is true, accurate, and reflect</w:t>
      </w:r>
      <w:r w:rsidR="00B7608D" w:rsidRPr="006D5153">
        <w:rPr>
          <w:rFonts w:cs="Arial"/>
          <w:color w:val="000000"/>
        </w:rPr>
        <w:t>s</w:t>
      </w:r>
      <w:r w:rsidRPr="006D5153">
        <w:rPr>
          <w:rFonts w:cs="Arial"/>
          <w:color w:val="000000"/>
        </w:rPr>
        <w:t xml:space="preserve"> the current, normal operating circumstances at our hospital. I am authorized to make this </w:t>
      </w:r>
      <w:r w:rsidR="00F04B47">
        <w:rPr>
          <w:rFonts w:cs="Arial"/>
          <w:color w:val="000000"/>
        </w:rPr>
        <w:t>affirmation</w:t>
      </w:r>
      <w:r w:rsidRPr="006D5153">
        <w:rPr>
          <w:rFonts w:cs="Arial"/>
          <w:color w:val="000000"/>
        </w:rPr>
        <w:t xml:space="preserve"> on behalf of our hospital. </w:t>
      </w:r>
    </w:p>
    <w:p w14:paraId="1C128D53" w14:textId="77777777" w:rsidR="00912FBC" w:rsidRPr="006D5153" w:rsidRDefault="00912FBC" w:rsidP="00912FBC">
      <w:pPr>
        <w:rPr>
          <w:rFonts w:cs="Arial"/>
          <w:color w:val="000000"/>
        </w:rPr>
      </w:pPr>
    </w:p>
    <w:p w14:paraId="4C12A68B" w14:textId="77777777" w:rsidR="00E71283" w:rsidRPr="009A5185" w:rsidRDefault="00E71283" w:rsidP="00E71283">
      <w:pPr>
        <w:rPr>
          <w:rFonts w:cs="Arial"/>
          <w:sz w:val="22"/>
          <w:szCs w:val="22"/>
        </w:rPr>
      </w:pPr>
      <w:r w:rsidRPr="009A5185">
        <w:rPr>
          <w:rFonts w:cs="Arial"/>
        </w:rPr>
        <w:t xml:space="preserve">The </w:t>
      </w:r>
      <w:r w:rsidRPr="00534EFC">
        <w:rPr>
          <w:rFonts w:cs="Arial"/>
        </w:rPr>
        <w:t xml:space="preserve">hospital and I </w:t>
      </w:r>
      <w:r>
        <w:rPr>
          <w:rFonts w:cs="Arial"/>
        </w:rPr>
        <w:t>acknowledge</w:t>
      </w:r>
      <w:r w:rsidRPr="00534EFC">
        <w:rPr>
          <w:rFonts w:cs="Arial"/>
        </w:rPr>
        <w:t xml:space="preserve"> that The Leapfrog Group, its members, the public and entities and persons who contract or have other business dealings with The Leapfrog Group are relying on the truth and accuracy of this information. The hospital and I also </w:t>
      </w:r>
      <w:r>
        <w:rPr>
          <w:rFonts w:cs="Arial"/>
        </w:rPr>
        <w:t>acknowledge</w:t>
      </w:r>
      <w:r w:rsidRPr="00534EFC">
        <w:rPr>
          <w:rFonts w:cs="Arial"/>
        </w:rPr>
        <w:t xml:space="preserve"> that </w:t>
      </w:r>
      <w:r>
        <w:rPr>
          <w:rFonts w:cs="Arial"/>
        </w:rPr>
        <w:t xml:space="preserve">analyses and ratings </w:t>
      </w:r>
      <w:r w:rsidRPr="00534EFC">
        <w:rPr>
          <w:rFonts w:cs="Arial"/>
        </w:rPr>
        <w:t>The Leapfrog Group</w:t>
      </w:r>
      <w:r>
        <w:rPr>
          <w:rFonts w:cs="Arial"/>
        </w:rPr>
        <w:t xml:space="preserve"> derives from</w:t>
      </w:r>
      <w:r w:rsidRPr="00534EFC">
        <w:rPr>
          <w:rFonts w:cs="Arial"/>
        </w:rPr>
        <w:t xml:space="preserve"> this information</w:t>
      </w:r>
      <w:r>
        <w:rPr>
          <w:rFonts w:cs="Arial"/>
        </w:rPr>
        <w:t xml:space="preserve"> will be made public on</w:t>
      </w:r>
      <w:r w:rsidRPr="00534EFC">
        <w:rPr>
          <w:rFonts w:cs="Arial"/>
        </w:rPr>
        <w:t xml:space="preserve"> the Survey Results public reporting website, The Leapfrog Group’s Hospital Safety Grade</w:t>
      </w:r>
      <w:r>
        <w:rPr>
          <w:rFonts w:cs="Arial"/>
        </w:rPr>
        <w:t xml:space="preserve"> website</w:t>
      </w:r>
      <w:r w:rsidRPr="00534EFC">
        <w:rPr>
          <w:rFonts w:cs="Arial"/>
        </w:rPr>
        <w:t xml:space="preserve">, and/or other Leapfrog Group </w:t>
      </w:r>
      <w:r>
        <w:rPr>
          <w:rFonts w:cs="Arial"/>
        </w:rPr>
        <w:t xml:space="preserve">published works, </w:t>
      </w:r>
      <w:r w:rsidRPr="00534EFC">
        <w:rPr>
          <w:rFonts w:cs="Arial"/>
        </w:rPr>
        <w:t xml:space="preserve">products and services. </w:t>
      </w:r>
      <w:r>
        <w:rPr>
          <w:rFonts w:cs="Arial"/>
        </w:rPr>
        <w:t>The hospital and I acknowledge that analyses and ratings derived from t</w:t>
      </w:r>
      <w:r w:rsidRPr="00534EFC">
        <w:rPr>
          <w:rFonts w:cs="Arial"/>
        </w:rPr>
        <w:t>his information and all intellectual property rights</w:t>
      </w:r>
      <w:r>
        <w:rPr>
          <w:rFonts w:cs="Arial"/>
        </w:rPr>
        <w:t xml:space="preserve"> related to those analyses and ratings</w:t>
      </w:r>
      <w:r w:rsidRPr="00534EFC">
        <w:rPr>
          <w:rFonts w:cs="Arial"/>
        </w:rPr>
        <w:t xml:space="preserve"> shall be and remain the sole and exclusive property of The Leapfrog Group </w:t>
      </w:r>
      <w:r w:rsidRPr="00534EFC">
        <w:t>in which The Leapfrog Group retains exclusive ownership</w:t>
      </w:r>
      <w:r w:rsidRPr="00534EFC">
        <w:rPr>
          <w:rFonts w:cs="Arial"/>
        </w:rPr>
        <w:t xml:space="preserve">. </w:t>
      </w:r>
      <w:r>
        <w:rPr>
          <w:rFonts w:cs="Arial"/>
        </w:rPr>
        <w:t>I hereby affirm that t</w:t>
      </w:r>
      <w:r w:rsidRPr="00534EFC">
        <w:rPr>
          <w:rFonts w:cs="Arial"/>
        </w:rPr>
        <w:t>his information does not infringe upon any third-party intellectual property rights</w:t>
      </w:r>
      <w:r w:rsidRPr="00534EFC">
        <w:t xml:space="preserve"> or any other third-party rights whatsoever and is free and clear of all encumbrances and liens of any kind</w:t>
      </w:r>
      <w:r w:rsidRPr="00534EFC">
        <w:rPr>
          <w:rFonts w:cs="Arial"/>
        </w:rPr>
        <w:t xml:space="preserve">. The hospital and I acknowledge that The Leapfrog Group may </w:t>
      </w:r>
      <w:r>
        <w:rPr>
          <w:rFonts w:cs="Arial"/>
        </w:rPr>
        <w:t>license</w:t>
      </w:r>
      <w:r w:rsidRPr="00534EFC">
        <w:rPr>
          <w:rFonts w:cs="Arial"/>
        </w:rPr>
        <w:t xml:space="preserve"> </w:t>
      </w:r>
      <w:r>
        <w:rPr>
          <w:rFonts w:cs="Arial"/>
        </w:rPr>
        <w:t xml:space="preserve">analyses and ratings derived from </w:t>
      </w:r>
      <w:r w:rsidRPr="00534EFC">
        <w:rPr>
          <w:rFonts w:cs="Arial"/>
        </w:rPr>
        <w:t xml:space="preserve">this information </w:t>
      </w:r>
      <w:r>
        <w:rPr>
          <w:rFonts w:cs="Arial"/>
        </w:rPr>
        <w:t>to other entities including researchers, not-for-profit entities, and for-profit entities, and the revenue from such licensure will be used solely to support The Leapfrog Group’s not-for-profit mission</w:t>
      </w:r>
      <w:r w:rsidRPr="00534EFC">
        <w:rPr>
          <w:rFonts w:cs="Arial"/>
        </w:rPr>
        <w:t>. The hospital shall be liable for and shall hold harmless and indemnify The Leapfrog Group from any and all damages, demands, costs, or causes of action resulting from any inaccuracies in the information or any misrepresentations in this Affirmation of Accuracy. The Leapfrog Group and its members and entities and persons who contract or have other business dealings with The Leapfrog Group reserve the right to omit or disclaim information that is not current, accurate or truthful.</w:t>
      </w:r>
    </w:p>
    <w:p w14:paraId="4A550820" w14:textId="77777777" w:rsidR="00E71283" w:rsidRPr="009A5185" w:rsidRDefault="00E71283">
      <w:pPr>
        <w:rPr>
          <w:rFonts w:cs="Arial"/>
          <w:snapToGrid w:val="0"/>
          <w:color w:val="000000"/>
        </w:rPr>
      </w:pPr>
    </w:p>
    <w:p w14:paraId="6E8899D3" w14:textId="77777777" w:rsidR="00AE4409" w:rsidRPr="009A5185" w:rsidRDefault="00AE4409">
      <w:pPr>
        <w:rPr>
          <w:rFonts w:cs="Arial"/>
          <w:snapToGrid w:val="0"/>
          <w:color w:val="000000"/>
        </w:rPr>
      </w:pPr>
    </w:p>
    <w:p w14:paraId="098234C2" w14:textId="77777777" w:rsidR="008910AA" w:rsidRPr="009A5185" w:rsidRDefault="008910AA">
      <w:pPr>
        <w:rPr>
          <w:rFonts w:cs="Arial"/>
          <w:snapToGrid w:val="0"/>
          <w:color w:val="000000"/>
        </w:rPr>
      </w:pPr>
      <w:r w:rsidRPr="009A5185">
        <w:rPr>
          <w:rFonts w:cs="Arial"/>
          <w:snapToGrid w:val="0"/>
          <w:color w:val="000000"/>
        </w:rPr>
        <w:t>Affirmed by _____________________, the hospital’s ___________________________,</w:t>
      </w:r>
    </w:p>
    <w:p w14:paraId="632EA8C0" w14:textId="77777777" w:rsidR="008A631A" w:rsidRPr="009A5185" w:rsidRDefault="008A631A" w:rsidP="008A631A">
      <w:pPr>
        <w:pStyle w:val="BodyText2"/>
        <w:spacing w:line="240" w:lineRule="exact"/>
        <w:rPr>
          <w:rFonts w:cs="Arial"/>
        </w:rPr>
      </w:pPr>
      <w:r w:rsidRPr="009A5185">
        <w:rPr>
          <w:rFonts w:cs="Arial"/>
        </w:rPr>
        <w:tab/>
        <w:t xml:space="preserve"> </w:t>
      </w:r>
      <w:r>
        <w:rPr>
          <w:rFonts w:cs="Arial"/>
        </w:rPr>
        <w:t xml:space="preserve">    </w:t>
      </w:r>
      <w:r w:rsidRPr="009A5185">
        <w:rPr>
          <w:rFonts w:cs="Arial"/>
        </w:rPr>
        <w:t>(</w:t>
      </w:r>
      <w:r>
        <w:rPr>
          <w:rFonts w:cs="Arial"/>
        </w:rPr>
        <w:t xml:space="preserve">first </w:t>
      </w:r>
      <w:r w:rsidRPr="009A5185">
        <w:rPr>
          <w:rFonts w:cs="Arial"/>
        </w:rPr>
        <w:t>name</w:t>
      </w:r>
      <w:r>
        <w:rPr>
          <w:rFonts w:cs="Arial"/>
        </w:rPr>
        <w:t xml:space="preserve"> and last name)</w:t>
      </w:r>
      <w:r>
        <w:rPr>
          <w:rFonts w:cs="Arial"/>
        </w:rPr>
        <w:tab/>
      </w:r>
      <w:r>
        <w:rPr>
          <w:rFonts w:cs="Arial"/>
        </w:rPr>
        <w:tab/>
      </w:r>
      <w:r>
        <w:rPr>
          <w:rFonts w:cs="Arial"/>
        </w:rPr>
        <w:tab/>
      </w:r>
      <w:r>
        <w:rPr>
          <w:rFonts w:cs="Arial"/>
        </w:rPr>
        <w:tab/>
      </w:r>
      <w:r w:rsidRPr="009A5185">
        <w:rPr>
          <w:rFonts w:cs="Arial"/>
        </w:rPr>
        <w:t>(title)</w:t>
      </w:r>
    </w:p>
    <w:p w14:paraId="100CC963" w14:textId="77777777" w:rsidR="008910AA" w:rsidRPr="009A5185" w:rsidRDefault="008910AA">
      <w:pPr>
        <w:rPr>
          <w:rFonts w:cs="Arial"/>
          <w:snapToGrid w:val="0"/>
          <w:color w:val="000000"/>
        </w:rPr>
      </w:pPr>
      <w:r w:rsidRPr="009A5185">
        <w:rPr>
          <w:rFonts w:cs="Arial"/>
          <w:snapToGrid w:val="0"/>
          <w:color w:val="000000"/>
        </w:rPr>
        <w:t>on _______________________.</w:t>
      </w:r>
    </w:p>
    <w:p w14:paraId="55968333" w14:textId="77777777" w:rsidR="006D003E" w:rsidRPr="009A5185" w:rsidRDefault="008910AA" w:rsidP="006D003E">
      <w:pPr>
        <w:pStyle w:val="BodyText2"/>
        <w:rPr>
          <w:rFonts w:cs="Arial"/>
        </w:rPr>
      </w:pPr>
      <w:r w:rsidRPr="009A5185">
        <w:rPr>
          <w:rFonts w:cs="Arial"/>
        </w:rPr>
        <w:t xml:space="preserve">                    (date)</w:t>
      </w:r>
    </w:p>
    <w:p w14:paraId="0A342A20" w14:textId="77777777" w:rsidR="00DD50D1" w:rsidRPr="009A5185" w:rsidRDefault="00DD50D1">
      <w:pPr>
        <w:rPr>
          <w:rFonts w:cs="Arial"/>
          <w:i/>
          <w:color w:val="000000"/>
        </w:rPr>
      </w:pPr>
    </w:p>
    <w:p w14:paraId="0E40C500" w14:textId="77777777" w:rsidR="00602272" w:rsidRPr="009A5185" w:rsidRDefault="00602272">
      <w:pPr>
        <w:rPr>
          <w:rFonts w:cs="Arial"/>
          <w:i/>
          <w:color w:val="000000"/>
        </w:rPr>
      </w:pPr>
      <w:r w:rsidRPr="009A5185">
        <w:rPr>
          <w:rFonts w:cs="Arial"/>
          <w:i/>
          <w:color w:val="000000"/>
        </w:rPr>
        <w:br w:type="page"/>
      </w:r>
    </w:p>
    <w:p w14:paraId="65D24D64" w14:textId="043DEF9B" w:rsidR="00561293" w:rsidRPr="009A5185" w:rsidRDefault="00561293" w:rsidP="00CF5A6E">
      <w:pPr>
        <w:pStyle w:val="Heading2"/>
      </w:pPr>
      <w:bookmarkStart w:id="681" w:name="_Toc383775093"/>
      <w:bookmarkStart w:id="682" w:name="_Toc225877822"/>
      <w:r w:rsidRPr="009A5185">
        <w:t xml:space="preserve">Section </w:t>
      </w:r>
      <w:r w:rsidR="00412884">
        <w:t>8</w:t>
      </w:r>
      <w:r w:rsidRPr="009A5185">
        <w:t>:</w:t>
      </w:r>
      <w:r w:rsidR="002912EE">
        <w:t xml:space="preserve"> </w:t>
      </w:r>
      <w:r w:rsidR="00FF6E8B" w:rsidRPr="009A5185">
        <w:t>Pediatric Care Reference Information</w:t>
      </w:r>
      <w:bookmarkEnd w:id="681"/>
      <w:bookmarkEnd w:id="682"/>
    </w:p>
    <w:p w14:paraId="4FEFDE9A" w14:textId="77777777" w:rsidR="00561293" w:rsidRPr="009A5185" w:rsidRDefault="00561293" w:rsidP="00561293">
      <w:pPr>
        <w:pStyle w:val="BodyText3"/>
        <w:rPr>
          <w:rFonts w:cs="Arial"/>
          <w:color w:val="FF0000"/>
          <w:lang w:eastAsia="ja-JP"/>
        </w:rPr>
      </w:pPr>
    </w:p>
    <w:p w14:paraId="403B9BA7" w14:textId="2FF3F648" w:rsidR="00561293" w:rsidRDefault="00561293" w:rsidP="00AB5B80">
      <w:pPr>
        <w:pStyle w:val="Heading3"/>
      </w:pPr>
      <w:bookmarkStart w:id="683" w:name="_Toc383775094"/>
      <w:bookmarkStart w:id="684" w:name="_Toc225877823"/>
      <w:r w:rsidRPr="009A5185">
        <w:t xml:space="preserve">What’s New in the </w:t>
      </w:r>
      <w:bookmarkEnd w:id="683"/>
      <w:r w:rsidR="00A236B1">
        <w:t>202</w:t>
      </w:r>
      <w:r w:rsidR="00F84D2F">
        <w:t>6</w:t>
      </w:r>
      <w:r w:rsidR="002C1D78" w:rsidRPr="009A5185">
        <w:t xml:space="preserve"> </w:t>
      </w:r>
      <w:r w:rsidR="004F68CC" w:rsidRPr="009A5185">
        <w:t>Survey</w:t>
      </w:r>
      <w:bookmarkEnd w:id="684"/>
    </w:p>
    <w:p w14:paraId="081126CA" w14:textId="77777777" w:rsidR="0017705C" w:rsidRDefault="0017705C" w:rsidP="0017705C">
      <w:pPr>
        <w:rPr>
          <w:lang w:eastAsia="ja-JP"/>
        </w:rPr>
      </w:pPr>
    </w:p>
    <w:p w14:paraId="4E56644A" w14:textId="768F0CCE" w:rsidR="0081720C" w:rsidRDefault="00DA19BE" w:rsidP="0081720C">
      <w:pPr>
        <w:rPr>
          <w:lang w:eastAsia="ja-JP"/>
        </w:rPr>
      </w:pPr>
      <w:r w:rsidRPr="00DA19BE">
        <w:rPr>
          <w:lang w:eastAsia="ja-JP"/>
        </w:rPr>
        <w:t>Leapfrog is adding Section 8: Pediatric Care as a minimum required section for Survey submission for pediatric hospitals ONLY. Pediatric hospitals that respond in Section 8A: Patient Experience that they did not administer the CAHPS Child Hospital Survey and/or in Section 8B: Pediatric Computed Tomography (CT) Radiation Dose that they did not calculate their distribution of CT radiation doses will be publicly reported as "Did Not Measure."</w:t>
      </w:r>
      <w:r>
        <w:rPr>
          <w:lang w:eastAsia="ja-JP"/>
        </w:rPr>
        <w:t xml:space="preserve"> </w:t>
      </w:r>
    </w:p>
    <w:p w14:paraId="1F95EACD" w14:textId="77777777" w:rsidR="00DA19BE" w:rsidRDefault="00DA19BE" w:rsidP="0081720C">
      <w:pPr>
        <w:rPr>
          <w:rFonts w:cstheme="minorHAnsi"/>
        </w:rPr>
      </w:pPr>
    </w:p>
    <w:p w14:paraId="3C0F3CF5" w14:textId="25CCFEDA" w:rsidR="0081720C" w:rsidRPr="0081720C" w:rsidRDefault="0081720C" w:rsidP="00EE1FC8">
      <w:pPr>
        <w:rPr>
          <w:rFonts w:cstheme="minorHAnsi"/>
        </w:rPr>
      </w:pPr>
      <w:r>
        <w:rPr>
          <w:rFonts w:cstheme="minorHAnsi"/>
        </w:rPr>
        <w:t>There are no changes to Section 8A: Patient Experience (CAHPS Child Hospital Survey) or Section 8B: Pediatric CT Radiation Dose.</w:t>
      </w:r>
    </w:p>
    <w:p w14:paraId="0EA3613A" w14:textId="0B609941" w:rsidR="00764EEA" w:rsidRDefault="00764EEA" w:rsidP="00764EEA">
      <w:pPr>
        <w:rPr>
          <w:lang w:eastAsia="ja-JP"/>
        </w:rPr>
      </w:pPr>
    </w:p>
    <w:p w14:paraId="14CB03F2" w14:textId="0BFF7C20" w:rsidR="00561293" w:rsidRPr="009A5185" w:rsidRDefault="001F4B3E" w:rsidP="00AB5B80">
      <w:pPr>
        <w:pStyle w:val="Heading3"/>
      </w:pPr>
      <w:bookmarkStart w:id="685" w:name="_Toc383775095"/>
      <w:bookmarkStart w:id="686" w:name="_Toc225877824"/>
      <w:r>
        <w:t xml:space="preserve">Change Summary </w:t>
      </w:r>
      <w:r w:rsidR="00764EEA">
        <w:t>S</w:t>
      </w:r>
      <w:r>
        <w:t>ince</w:t>
      </w:r>
      <w:r w:rsidR="00561293" w:rsidRPr="009A5185">
        <w:t xml:space="preserve"> Release</w:t>
      </w:r>
      <w:bookmarkEnd w:id="685"/>
      <w:bookmarkEnd w:id="686"/>
    </w:p>
    <w:p w14:paraId="4B630C4B" w14:textId="77777777" w:rsidR="00561293" w:rsidRPr="009A5185" w:rsidRDefault="00561293" w:rsidP="00561293">
      <w:pPr>
        <w:rPr>
          <w:rFonts w:cs="Arial"/>
          <w:lang w:eastAsia="ja-JP"/>
        </w:rPr>
      </w:pPr>
    </w:p>
    <w:p w14:paraId="31DB679F" w14:textId="3D1A2994" w:rsidR="00BB3F27" w:rsidRPr="009A5185" w:rsidRDefault="00BB3F27" w:rsidP="00BB3F27">
      <w:pPr>
        <w:pStyle w:val="BodyText3"/>
        <w:rPr>
          <w:rFonts w:cs="Arial"/>
          <w:lang w:eastAsia="ja-JP"/>
        </w:rPr>
      </w:pPr>
      <w:r w:rsidRPr="009A5185">
        <w:rPr>
          <w:rFonts w:cs="Arial"/>
          <w:lang w:eastAsia="ja-JP"/>
        </w:rPr>
        <w:t>None. If substantive changes a</w:t>
      </w:r>
      <w:r w:rsidR="00C14AFF" w:rsidRPr="009A5185">
        <w:rPr>
          <w:rFonts w:cs="Arial"/>
          <w:lang w:eastAsia="ja-JP"/>
        </w:rPr>
        <w:t>re made to this section of the S</w:t>
      </w:r>
      <w:r w:rsidRPr="009A5185">
        <w:rPr>
          <w:rFonts w:cs="Arial"/>
          <w:lang w:eastAsia="ja-JP"/>
        </w:rPr>
        <w:t xml:space="preserve">urvey after release on April 1, </w:t>
      </w:r>
      <w:r w:rsidR="00A236B1">
        <w:rPr>
          <w:rFonts w:cs="Arial"/>
          <w:lang w:eastAsia="ja-JP"/>
        </w:rPr>
        <w:t>202</w:t>
      </w:r>
      <w:r w:rsidR="00F84D2F">
        <w:rPr>
          <w:rFonts w:cs="Arial"/>
          <w:lang w:eastAsia="ja-JP"/>
        </w:rPr>
        <w:t>6</w:t>
      </w:r>
      <w:r w:rsidRPr="009A5185">
        <w:rPr>
          <w:rFonts w:cs="Arial"/>
          <w:lang w:eastAsia="ja-JP"/>
        </w:rPr>
        <w:t>, they will be documented in this Change Summary section.</w:t>
      </w:r>
    </w:p>
    <w:p w14:paraId="49231873" w14:textId="77777777" w:rsidR="00524C4F" w:rsidRPr="009A5185" w:rsidRDefault="00524C4F" w:rsidP="00BB3F27">
      <w:pPr>
        <w:pStyle w:val="BodyText3"/>
        <w:rPr>
          <w:rFonts w:cs="Arial"/>
          <w:lang w:eastAsia="ja-JP"/>
        </w:rPr>
      </w:pPr>
    </w:p>
    <w:p w14:paraId="626DDDE0" w14:textId="77777777" w:rsidR="00B40585" w:rsidRPr="009A5185" w:rsidRDefault="00B40585" w:rsidP="00B40585">
      <w:pPr>
        <w:rPr>
          <w:rFonts w:cs="Arial"/>
        </w:rPr>
      </w:pPr>
    </w:p>
    <w:p w14:paraId="2BE5BC02" w14:textId="77777777" w:rsidR="00B40585" w:rsidRPr="009A5185" w:rsidRDefault="00B40585">
      <w:pPr>
        <w:rPr>
          <w:rFonts w:cs="Arial"/>
        </w:rPr>
      </w:pPr>
      <w:r w:rsidRPr="009A5185">
        <w:rPr>
          <w:rFonts w:cs="Arial"/>
        </w:rPr>
        <w:br w:type="page"/>
      </w:r>
    </w:p>
    <w:p w14:paraId="276A6634" w14:textId="0E2B50DA" w:rsidR="00244AAA" w:rsidRDefault="007C4627" w:rsidP="00CF5A6E">
      <w:pPr>
        <w:pStyle w:val="Heading2"/>
      </w:pPr>
      <w:bookmarkStart w:id="687" w:name="CAHPSSpecs"/>
      <w:bookmarkStart w:id="688" w:name="_Patient_Experience_(CAHPS"/>
      <w:bookmarkStart w:id="689" w:name="_Toc225877825"/>
      <w:bookmarkEnd w:id="687"/>
      <w:bookmarkEnd w:id="688"/>
      <w:r>
        <w:t xml:space="preserve">Section 8: </w:t>
      </w:r>
      <w:r w:rsidR="00DB33CD">
        <w:t xml:space="preserve">Pediatric Care </w:t>
      </w:r>
      <w:r w:rsidR="00DA4364">
        <w:t xml:space="preserve">Measure </w:t>
      </w:r>
      <w:r w:rsidR="00B92FBB" w:rsidRPr="009A5185">
        <w:t>Specifications</w:t>
      </w:r>
      <w:bookmarkEnd w:id="689"/>
      <w:r w:rsidR="00244AAA" w:rsidRPr="009A5185">
        <w:t xml:space="preserve"> </w:t>
      </w:r>
    </w:p>
    <w:p w14:paraId="761289B5" w14:textId="4039DE10" w:rsidR="00DB33CD" w:rsidRPr="009358B5" w:rsidRDefault="00DB33CD" w:rsidP="00DB33CD">
      <w:pPr>
        <w:rPr>
          <w:sz w:val="16"/>
          <w:szCs w:val="16"/>
          <w:lang w:eastAsia="ja-JP"/>
        </w:rPr>
      </w:pPr>
    </w:p>
    <w:p w14:paraId="0708E8A7" w14:textId="0243BD1B" w:rsidR="00DB33CD" w:rsidRPr="00DB33CD" w:rsidRDefault="00DB33CD" w:rsidP="00AB5B80">
      <w:pPr>
        <w:pStyle w:val="Heading3"/>
      </w:pPr>
      <w:bookmarkStart w:id="690" w:name="_Patient_Experience_(CAHPS_2"/>
      <w:bookmarkStart w:id="691" w:name="_Ref123648253"/>
      <w:bookmarkStart w:id="692" w:name="_Toc225877826"/>
      <w:bookmarkEnd w:id="690"/>
      <w:r w:rsidRPr="009A5185">
        <w:t>Patient Experience (CAHPS Child Hospital Survey)</w:t>
      </w:r>
      <w:bookmarkEnd w:id="691"/>
      <w:r w:rsidR="00B078B4">
        <w:t xml:space="preserve"> Measure Specifications</w:t>
      </w:r>
      <w:bookmarkEnd w:id="692"/>
    </w:p>
    <w:p w14:paraId="37DFABB0" w14:textId="682564A9" w:rsidR="00244AAA" w:rsidRPr="009358B5" w:rsidRDefault="00244AAA">
      <w:pPr>
        <w:rPr>
          <w:rFonts w:cs="Arial"/>
          <w:b/>
          <w:sz w:val="16"/>
          <w:szCs w:val="16"/>
          <w:u w:val="single"/>
          <w:lang w:eastAsia="ja-JP"/>
        </w:rPr>
      </w:pPr>
    </w:p>
    <w:p w14:paraId="02E032E5" w14:textId="14385135" w:rsidR="003B4C3F" w:rsidRPr="009A5185" w:rsidRDefault="003B4C3F" w:rsidP="003B4C3F">
      <w:pPr>
        <w:rPr>
          <w:rFonts w:cs="Arial"/>
          <w:b/>
        </w:rPr>
      </w:pPr>
      <w:r w:rsidRPr="009A5185">
        <w:rPr>
          <w:rFonts w:cs="Arial"/>
          <w:b/>
          <w:color w:val="FF0000"/>
        </w:rPr>
        <w:t>Important Note:</w:t>
      </w:r>
      <w:r w:rsidRPr="009A5185">
        <w:rPr>
          <w:rFonts w:cs="Arial"/>
          <w:b/>
        </w:rPr>
        <w:t xml:space="preserve"> </w:t>
      </w:r>
      <w:r w:rsidRPr="009A5185">
        <w:rPr>
          <w:rFonts w:cs="Arial"/>
          <w:snapToGrid w:val="0"/>
        </w:rPr>
        <w:t xml:space="preserve">Hospitals that share a </w:t>
      </w:r>
      <w:r>
        <w:rPr>
          <w:rFonts w:cs="Arial"/>
          <w:snapToGrid w:val="0"/>
        </w:rPr>
        <w:t>CMS Certification Number</w:t>
      </w:r>
      <w:r w:rsidRPr="009A5185">
        <w:rPr>
          <w:rFonts w:cs="Arial"/>
          <w:snapToGrid w:val="0"/>
        </w:rPr>
        <w:t xml:space="preserve"> are required to report by facility. Please carefully review </w:t>
      </w:r>
      <w:hyperlink r:id="rId445" w:history="1">
        <w:r w:rsidRPr="009A5185">
          <w:rPr>
            <w:rStyle w:val="Hyperlink"/>
            <w:rFonts w:cs="Arial"/>
          </w:rPr>
          <w:t>Leapfrog’s Multi-Campus Reporting Policy</w:t>
        </w:r>
      </w:hyperlink>
      <w:r w:rsidRPr="009A5185">
        <w:rPr>
          <w:rFonts w:cs="Arial"/>
          <w:snapToGrid w:val="0"/>
        </w:rPr>
        <w:t>.</w:t>
      </w:r>
    </w:p>
    <w:p w14:paraId="7D93990F" w14:textId="77777777" w:rsidR="003B4C3F" w:rsidRPr="00753419" w:rsidRDefault="003B4C3F">
      <w:pPr>
        <w:rPr>
          <w:rFonts w:cs="Arial"/>
          <w:b/>
          <w:sz w:val="16"/>
          <w:szCs w:val="16"/>
          <w:u w:val="single"/>
          <w:lang w:eastAsia="ja-JP"/>
        </w:rPr>
      </w:pPr>
    </w:p>
    <w:tbl>
      <w:tblPr>
        <w:tblStyle w:val="TableGrid"/>
        <w:tblW w:w="0" w:type="auto"/>
        <w:tblLook w:val="04A0" w:firstRow="1" w:lastRow="0" w:firstColumn="1" w:lastColumn="0" w:noHBand="0" w:noVBand="1"/>
      </w:tblPr>
      <w:tblGrid>
        <w:gridCol w:w="9350"/>
      </w:tblGrid>
      <w:tr w:rsidR="00B92FBB" w:rsidRPr="009A5185" w14:paraId="5E160EF9" w14:textId="77777777" w:rsidTr="009358B5">
        <w:trPr>
          <w:trHeight w:val="216"/>
        </w:trPr>
        <w:tc>
          <w:tcPr>
            <w:tcW w:w="9350" w:type="dxa"/>
          </w:tcPr>
          <w:p w14:paraId="1ACA4DC4" w14:textId="77777777" w:rsidR="00B92FBB" w:rsidRPr="009A5185" w:rsidRDefault="00B92FBB">
            <w:pPr>
              <w:rPr>
                <w:rFonts w:cs="Arial"/>
                <w:sz w:val="28"/>
                <w:u w:val="single"/>
                <w:lang w:eastAsia="ja-JP"/>
              </w:rPr>
            </w:pPr>
            <w:r w:rsidRPr="009A5185">
              <w:rPr>
                <w:rFonts w:cs="Arial"/>
                <w:b/>
              </w:rPr>
              <w:t>Source</w:t>
            </w:r>
            <w:r w:rsidR="00617E4B" w:rsidRPr="009A5185">
              <w:rPr>
                <w:rFonts w:cs="Arial"/>
                <w:b/>
              </w:rPr>
              <w:t xml:space="preserve">: </w:t>
            </w:r>
            <w:r w:rsidR="00617E4B" w:rsidRPr="009A5185">
              <w:rPr>
                <w:rFonts w:cs="Arial"/>
              </w:rPr>
              <w:t>Agency for Healthcare Quality and Research (AHRQ) (NQF #2548)</w:t>
            </w:r>
          </w:p>
        </w:tc>
      </w:tr>
      <w:tr w:rsidR="00B92FBB" w:rsidRPr="009A5185" w14:paraId="3F432EEC" w14:textId="77777777" w:rsidTr="00D3457B">
        <w:trPr>
          <w:trHeight w:val="504"/>
        </w:trPr>
        <w:tc>
          <w:tcPr>
            <w:tcW w:w="9350" w:type="dxa"/>
          </w:tcPr>
          <w:p w14:paraId="0CAF61AF" w14:textId="76B246B7" w:rsidR="005A212B" w:rsidRPr="009A5185" w:rsidRDefault="00B92FBB">
            <w:pPr>
              <w:rPr>
                <w:rFonts w:cs="Arial"/>
              </w:rPr>
            </w:pPr>
            <w:r w:rsidRPr="009A5185">
              <w:rPr>
                <w:rFonts w:cs="Arial"/>
                <w:b/>
              </w:rPr>
              <w:t>Reporting Period</w:t>
            </w:r>
            <w:r w:rsidR="00617E4B" w:rsidRPr="009A5185">
              <w:rPr>
                <w:rFonts w:cs="Arial"/>
                <w:b/>
              </w:rPr>
              <w:t xml:space="preserve">: </w:t>
            </w:r>
            <w:r w:rsidR="00AA3C63" w:rsidRPr="00AA3C63">
              <w:rPr>
                <w:rFonts w:cs="Arial"/>
                <w:bCs/>
              </w:rPr>
              <w:t>T</w:t>
            </w:r>
            <w:r w:rsidR="005A212B" w:rsidRPr="009A5185">
              <w:rPr>
                <w:rFonts w:cs="Arial"/>
                <w:snapToGrid w:val="0"/>
              </w:rPr>
              <w:t xml:space="preserve">he latest 12-month period prior to the submission of this section of the Survey. </w:t>
            </w:r>
            <w:r w:rsidR="004F39A3">
              <w:rPr>
                <w:rFonts w:cs="Arial"/>
                <w:snapToGrid w:val="0"/>
              </w:rPr>
              <w:t xml:space="preserve">Hospitals can elect to use either survey return date or discharge date </w:t>
            </w:r>
            <w:r w:rsidR="003A3A49">
              <w:rPr>
                <w:rFonts w:cs="Arial"/>
                <w:snapToGrid w:val="0"/>
              </w:rPr>
              <w:t xml:space="preserve">to pull reports for this measure. </w:t>
            </w:r>
          </w:p>
        </w:tc>
      </w:tr>
      <w:tr w:rsidR="00B92FBB" w:rsidRPr="009A5185" w14:paraId="60927DA1" w14:textId="77777777" w:rsidTr="00753419">
        <w:trPr>
          <w:trHeight w:val="10592"/>
        </w:trPr>
        <w:tc>
          <w:tcPr>
            <w:tcW w:w="9350" w:type="dxa"/>
          </w:tcPr>
          <w:p w14:paraId="0F2998CB" w14:textId="668502BC" w:rsidR="00133AE2" w:rsidRDefault="005A212B" w:rsidP="00133AE2">
            <w:pPr>
              <w:rPr>
                <w:rFonts w:cs="Arial"/>
              </w:rPr>
            </w:pPr>
            <w:r w:rsidRPr="009A5185">
              <w:rPr>
                <w:rFonts w:cs="Arial"/>
              </w:rPr>
              <w:t xml:space="preserve">This section of the </w:t>
            </w:r>
            <w:r w:rsidR="00295138">
              <w:rPr>
                <w:rFonts w:cs="Arial"/>
              </w:rPr>
              <w:t xml:space="preserve">Leapfrog Hospital </w:t>
            </w:r>
            <w:r w:rsidRPr="009A5185">
              <w:rPr>
                <w:rFonts w:cs="Arial"/>
              </w:rPr>
              <w:t xml:space="preserve">Survey asks hospitals who care for pediatric patients about their results from the </w:t>
            </w:r>
            <w:hyperlink r:id="rId446" w:history="1">
              <w:r w:rsidRPr="00D87339">
                <w:rPr>
                  <w:rStyle w:val="Hyperlink"/>
                  <w:rFonts w:cs="Arial"/>
                </w:rPr>
                <w:t>CAHPS</w:t>
              </w:r>
              <w:r w:rsidR="00D51CA8" w:rsidRPr="00D87339">
                <w:rPr>
                  <w:rStyle w:val="Hyperlink"/>
                  <w:rFonts w:cs="Arial"/>
                </w:rPr>
                <w:t xml:space="preserve"> Child Hospital</w:t>
              </w:r>
              <w:r w:rsidRPr="00D87339">
                <w:rPr>
                  <w:rStyle w:val="Hyperlink"/>
                  <w:rFonts w:cs="Arial"/>
                </w:rPr>
                <w:t xml:space="preserve"> Survey</w:t>
              </w:r>
            </w:hyperlink>
            <w:r w:rsidRPr="009A5185">
              <w:rPr>
                <w:rFonts w:cs="Arial"/>
              </w:rPr>
              <w:t xml:space="preserve">. The first several questions are designed to learn more about the current administration of the survey. The last </w:t>
            </w:r>
            <w:r w:rsidR="00411788">
              <w:rPr>
                <w:rFonts w:cs="Arial"/>
              </w:rPr>
              <w:t>five</w:t>
            </w:r>
            <w:r w:rsidRPr="009A5185">
              <w:rPr>
                <w:rFonts w:cs="Arial"/>
              </w:rPr>
              <w:t xml:space="preserve"> questions </w:t>
            </w:r>
            <w:r w:rsidR="00D87339">
              <w:rPr>
                <w:rFonts w:cs="Arial"/>
              </w:rPr>
              <w:t>collect</w:t>
            </w:r>
            <w:r w:rsidRPr="009A5185">
              <w:rPr>
                <w:rFonts w:cs="Arial"/>
              </w:rPr>
              <w:t xml:space="preserve"> the “</w:t>
            </w:r>
            <w:hyperlink w:anchor="Endnote48_TopBox" w:history="1">
              <w:r w:rsidRPr="009A5185">
                <w:rPr>
                  <w:rStyle w:val="Hyperlink"/>
                  <w:rFonts w:cs="Arial"/>
                </w:rPr>
                <w:t>Top Box</w:t>
              </w:r>
            </w:hyperlink>
            <w:r w:rsidRPr="009A5185">
              <w:rPr>
                <w:rFonts w:cs="Arial"/>
              </w:rPr>
              <w:t>”</w:t>
            </w:r>
            <w:bookmarkStart w:id="693" w:name="_Ref534391669"/>
            <w:r w:rsidR="000F0582">
              <w:rPr>
                <w:rFonts w:ascii="ZWAdobeF" w:hAnsi="ZWAdobeF" w:cs="ZWAdobeF"/>
                <w:sz w:val="2"/>
                <w:szCs w:val="2"/>
              </w:rPr>
              <w:t>49F</w:t>
            </w:r>
            <w:r w:rsidR="00BF053F">
              <w:rPr>
                <w:rFonts w:ascii="ZWAdobeF" w:hAnsi="ZWAdobeF" w:cs="ZWAdobeF"/>
                <w:sz w:val="2"/>
                <w:szCs w:val="2"/>
              </w:rPr>
              <w:t>51F</w:t>
            </w:r>
            <w:r w:rsidR="004C7557">
              <w:rPr>
                <w:rFonts w:ascii="ZWAdobeF" w:hAnsi="ZWAdobeF" w:cs="ZWAdobeF"/>
                <w:sz w:val="2"/>
                <w:szCs w:val="2"/>
              </w:rPr>
              <w:t>51F</w:t>
            </w:r>
            <w:r w:rsidR="00C2087D">
              <w:rPr>
                <w:rFonts w:ascii="ZWAdobeF" w:hAnsi="ZWAdobeF" w:cs="ZWAdobeF"/>
                <w:sz w:val="2"/>
                <w:szCs w:val="2"/>
              </w:rPr>
              <w:t>50F</w:t>
            </w:r>
            <w:r w:rsidR="00B55C41">
              <w:rPr>
                <w:rFonts w:ascii="ZWAdobeF" w:hAnsi="ZWAdobeF" w:cs="ZWAdobeF"/>
                <w:sz w:val="2"/>
                <w:szCs w:val="2"/>
              </w:rPr>
              <w:t>50F</w:t>
            </w:r>
            <w:r w:rsidR="006255A6">
              <w:rPr>
                <w:rFonts w:ascii="ZWAdobeF" w:hAnsi="ZWAdobeF" w:cs="ZWAdobeF"/>
                <w:sz w:val="2"/>
                <w:szCs w:val="2"/>
              </w:rPr>
              <w:t>50F</w:t>
            </w:r>
            <w:r w:rsidR="00E453C7">
              <w:rPr>
                <w:rFonts w:ascii="ZWAdobeF" w:hAnsi="ZWAdobeF" w:cs="ZWAdobeF"/>
                <w:sz w:val="2"/>
                <w:szCs w:val="2"/>
              </w:rPr>
              <w:t>50F</w:t>
            </w:r>
            <w:r w:rsidR="00953060">
              <w:rPr>
                <w:rFonts w:ascii="ZWAdobeF" w:hAnsi="ZWAdobeF" w:cs="ZWAdobeF"/>
                <w:sz w:val="2"/>
                <w:szCs w:val="2"/>
              </w:rPr>
              <w:t>50F</w:t>
            </w:r>
            <w:r w:rsidR="00DD04D6">
              <w:rPr>
                <w:rFonts w:ascii="ZWAdobeF" w:hAnsi="ZWAdobeF" w:cs="ZWAdobeF"/>
                <w:sz w:val="2"/>
                <w:szCs w:val="2"/>
              </w:rPr>
              <w:t>50F</w:t>
            </w:r>
            <w:r w:rsidRPr="009A5185">
              <w:rPr>
                <w:rStyle w:val="EndnoteReference"/>
                <w:rFonts w:cs="Arial"/>
              </w:rPr>
              <w:endnoteReference w:id="52"/>
            </w:r>
            <w:bookmarkEnd w:id="693"/>
            <w:r w:rsidRPr="009A5185">
              <w:rPr>
                <w:rFonts w:cs="Arial"/>
              </w:rPr>
              <w:t xml:space="preserve"> score for each of the </w:t>
            </w:r>
            <w:r w:rsidR="00133AE2">
              <w:rPr>
                <w:rFonts w:cs="Arial"/>
              </w:rPr>
              <w:t>following five domains:</w:t>
            </w:r>
          </w:p>
          <w:p w14:paraId="49D76289" w14:textId="35E2AC25" w:rsidR="00133AE2" w:rsidRPr="0093731B" w:rsidRDefault="00133AE2" w:rsidP="00AD309C">
            <w:pPr>
              <w:pStyle w:val="ListParagraph"/>
              <w:numPr>
                <w:ilvl w:val="0"/>
                <w:numId w:val="146"/>
              </w:numPr>
              <w:rPr>
                <w:rFonts w:cs="Arial"/>
              </w:rPr>
            </w:pPr>
            <w:r w:rsidRPr="0093731B">
              <w:rPr>
                <w:rFonts w:cs="Arial"/>
              </w:rPr>
              <w:t xml:space="preserve">Communication with Parent – Communication about your child’s medicines </w:t>
            </w:r>
          </w:p>
          <w:p w14:paraId="66EC03D9" w14:textId="77777777" w:rsidR="00133AE2" w:rsidRPr="0093731B" w:rsidRDefault="00133AE2" w:rsidP="00AD309C">
            <w:pPr>
              <w:pStyle w:val="ListParagraph"/>
              <w:numPr>
                <w:ilvl w:val="0"/>
                <w:numId w:val="146"/>
              </w:numPr>
              <w:rPr>
                <w:rFonts w:cs="Arial"/>
              </w:rPr>
            </w:pPr>
            <w:r w:rsidRPr="0093731B">
              <w:rPr>
                <w:rFonts w:cs="Arial"/>
              </w:rPr>
              <w:t xml:space="preserve">Communication with Parent – Keeping you informed about your child’s care </w:t>
            </w:r>
          </w:p>
          <w:p w14:paraId="075C931F" w14:textId="77777777" w:rsidR="00133AE2" w:rsidRPr="0093731B" w:rsidRDefault="00133AE2" w:rsidP="00AD309C">
            <w:pPr>
              <w:pStyle w:val="ListParagraph"/>
              <w:numPr>
                <w:ilvl w:val="0"/>
                <w:numId w:val="146"/>
              </w:numPr>
              <w:rPr>
                <w:rFonts w:cs="Arial"/>
              </w:rPr>
            </w:pPr>
            <w:r w:rsidRPr="0093731B">
              <w:rPr>
                <w:rFonts w:cs="Arial"/>
              </w:rPr>
              <w:t xml:space="preserve">Communication with Child – How well nurses communicate with your child </w:t>
            </w:r>
          </w:p>
          <w:p w14:paraId="0584C656" w14:textId="77777777" w:rsidR="00133AE2" w:rsidRPr="0093731B" w:rsidRDefault="00133AE2" w:rsidP="00AD309C">
            <w:pPr>
              <w:pStyle w:val="ListParagraph"/>
              <w:numPr>
                <w:ilvl w:val="0"/>
                <w:numId w:val="146"/>
              </w:numPr>
              <w:rPr>
                <w:rFonts w:cs="Arial"/>
              </w:rPr>
            </w:pPr>
            <w:r w:rsidRPr="0093731B">
              <w:rPr>
                <w:rFonts w:cs="Arial"/>
              </w:rPr>
              <w:t xml:space="preserve">Communication with Child – How well doctors communicate with your child </w:t>
            </w:r>
          </w:p>
          <w:p w14:paraId="51B97BF3" w14:textId="77777777" w:rsidR="00133AE2" w:rsidRPr="0093731B" w:rsidRDefault="00133AE2" w:rsidP="00AD309C">
            <w:pPr>
              <w:pStyle w:val="ListParagraph"/>
              <w:numPr>
                <w:ilvl w:val="0"/>
                <w:numId w:val="146"/>
              </w:numPr>
              <w:rPr>
                <w:rFonts w:cs="Arial"/>
              </w:rPr>
            </w:pPr>
            <w:r w:rsidRPr="0093731B">
              <w:rPr>
                <w:rFonts w:cs="Arial"/>
              </w:rPr>
              <w:t>Attention to Safety and Comfort – Preventing mistakes and helping you report concerns</w:t>
            </w:r>
          </w:p>
          <w:p w14:paraId="266E9309" w14:textId="77777777" w:rsidR="005A212B" w:rsidRPr="004F63C1" w:rsidRDefault="005A212B">
            <w:pPr>
              <w:rPr>
                <w:rFonts w:cs="Arial"/>
                <w:b/>
                <w:sz w:val="16"/>
                <w:szCs w:val="16"/>
              </w:rPr>
            </w:pPr>
          </w:p>
          <w:p w14:paraId="7B0B8D4B" w14:textId="6E083EB5" w:rsidR="005A212B" w:rsidRDefault="005A212B" w:rsidP="005A212B">
            <w:pPr>
              <w:rPr>
                <w:rFonts w:cs="Arial"/>
              </w:rPr>
            </w:pPr>
            <w:r w:rsidRPr="009A5185">
              <w:rPr>
                <w:rFonts w:cs="Arial"/>
              </w:rPr>
              <w:t>Hospitals using Press Ganey</w:t>
            </w:r>
            <w:r w:rsidR="00EA04B2">
              <w:rPr>
                <w:rFonts w:cs="Arial"/>
              </w:rPr>
              <w:t>,</w:t>
            </w:r>
            <w:r w:rsidRPr="009A5185">
              <w:rPr>
                <w:rFonts w:cs="Arial"/>
              </w:rPr>
              <w:t xml:space="preserve"> NRC</w:t>
            </w:r>
            <w:r w:rsidR="00EA04B2">
              <w:rPr>
                <w:rFonts w:cs="Arial"/>
              </w:rPr>
              <w:t>, or PRC</w:t>
            </w:r>
            <w:r w:rsidRPr="009A5185">
              <w:rPr>
                <w:rFonts w:cs="Arial"/>
              </w:rPr>
              <w:t xml:space="preserve"> to administer the </w:t>
            </w:r>
            <w:hyperlink r:id="rId447" w:history="1">
              <w:r w:rsidRPr="00D87339">
                <w:rPr>
                  <w:rStyle w:val="Hyperlink"/>
                  <w:rFonts w:cs="Arial"/>
                </w:rPr>
                <w:t>CAHPS Child Hospital Survey</w:t>
              </w:r>
            </w:hyperlink>
            <w:r w:rsidRPr="009A5185">
              <w:rPr>
                <w:rFonts w:cs="Arial"/>
              </w:rPr>
              <w:t xml:space="preserve"> can use the AHRQ CAHPS Crosswalk </w:t>
            </w:r>
            <w:r w:rsidR="000446FA">
              <w:rPr>
                <w:rFonts w:cs="Arial"/>
              </w:rPr>
              <w:t>below</w:t>
            </w:r>
            <w:r w:rsidR="00D87339">
              <w:rPr>
                <w:rFonts w:cs="Arial"/>
              </w:rPr>
              <w:t xml:space="preserve"> to ensure they are reporting on the correct domains</w:t>
            </w:r>
            <w:r w:rsidR="000446FA">
              <w:rPr>
                <w:rFonts w:cs="Arial"/>
              </w:rPr>
              <w:t>. The Cro</w:t>
            </w:r>
            <w:r w:rsidRPr="009A5185">
              <w:rPr>
                <w:rFonts w:cs="Arial"/>
              </w:rPr>
              <w:t>sswalk is designed to help translate the standard vendor report to the AHRQ Domains used in questions #</w:t>
            </w:r>
            <w:r w:rsidR="00411788">
              <w:rPr>
                <w:rFonts w:cs="Arial"/>
              </w:rPr>
              <w:t>8-12</w:t>
            </w:r>
            <w:r w:rsidR="00295138">
              <w:rPr>
                <w:rFonts w:cs="Arial"/>
              </w:rPr>
              <w:t xml:space="preserve"> of the Leapfrog Hospital Survey</w:t>
            </w:r>
            <w:r w:rsidRPr="009A5185">
              <w:rPr>
                <w:rFonts w:cs="Arial"/>
              </w:rPr>
              <w:t>.</w:t>
            </w:r>
          </w:p>
          <w:p w14:paraId="7CA863E8" w14:textId="77777777" w:rsidR="005033A6" w:rsidRPr="004F63C1" w:rsidRDefault="005033A6" w:rsidP="005A212B">
            <w:pPr>
              <w:rPr>
                <w:rFonts w:cs="Arial"/>
                <w:sz w:val="16"/>
                <w:szCs w:val="16"/>
              </w:rPr>
            </w:pPr>
          </w:p>
          <w:p w14:paraId="0ADC63A2" w14:textId="27F12D19" w:rsidR="00411788" w:rsidRDefault="00D87339" w:rsidP="00D87339">
            <w:pPr>
              <w:rPr>
                <w:rFonts w:cs="Arial"/>
              </w:rPr>
            </w:pPr>
            <w:r w:rsidRPr="00D87339">
              <w:rPr>
                <w:rFonts w:cs="Arial"/>
              </w:rPr>
              <w:t>Hospitals</w:t>
            </w:r>
            <w:r>
              <w:rPr>
                <w:rFonts w:cs="Arial"/>
              </w:rPr>
              <w:t xml:space="preserve"> that opt to truncate the </w:t>
            </w:r>
            <w:hyperlink r:id="rId448" w:history="1">
              <w:r w:rsidRPr="00D87339">
                <w:rPr>
                  <w:rStyle w:val="Hyperlink"/>
                  <w:rFonts w:cs="Arial"/>
                </w:rPr>
                <w:t>CAHPS Child Hospital Survey</w:t>
              </w:r>
            </w:hyperlink>
            <w:r w:rsidRPr="00D87339">
              <w:rPr>
                <w:rFonts w:cs="Arial"/>
              </w:rPr>
              <w:t xml:space="preserve"> after question 40, which is the last question </w:t>
            </w:r>
            <w:r>
              <w:rPr>
                <w:rFonts w:cs="Arial"/>
              </w:rPr>
              <w:t xml:space="preserve">required to report on the </w:t>
            </w:r>
            <w:r w:rsidR="00411788">
              <w:rPr>
                <w:rFonts w:cs="Arial"/>
              </w:rPr>
              <w:t>five</w:t>
            </w:r>
            <w:r>
              <w:rPr>
                <w:rFonts w:cs="Arial"/>
              </w:rPr>
              <w:t xml:space="preserve"> domains listed above, must ensure that all </w:t>
            </w:r>
            <w:r w:rsidRPr="00D87339">
              <w:rPr>
                <w:rFonts w:cs="Arial"/>
              </w:rPr>
              <w:t>questions prior to and including question 40</w:t>
            </w:r>
            <w:r>
              <w:rPr>
                <w:rFonts w:cs="Arial"/>
              </w:rPr>
              <w:t xml:space="preserve"> </w:t>
            </w:r>
            <w:r w:rsidRPr="00D87339">
              <w:rPr>
                <w:rFonts w:cs="Arial"/>
              </w:rPr>
              <w:t>remain in order and unaltered</w:t>
            </w:r>
            <w:r>
              <w:rPr>
                <w:rFonts w:cs="Arial"/>
              </w:rPr>
              <w:t xml:space="preserve">. </w:t>
            </w:r>
            <w:r w:rsidR="00295138">
              <w:rPr>
                <w:rFonts w:cs="Arial"/>
              </w:rPr>
              <w:t>In addition, hospitals opting to truncate the survey must retain questions 50-</w:t>
            </w:r>
            <w:r w:rsidR="00411788">
              <w:rPr>
                <w:rFonts w:cs="Arial"/>
              </w:rPr>
              <w:t>54 and 56-57</w:t>
            </w:r>
            <w:r w:rsidR="00295138">
              <w:rPr>
                <w:rFonts w:cs="Arial"/>
              </w:rPr>
              <w:t xml:space="preserve"> (</w:t>
            </w:r>
            <w:r w:rsidR="00295138" w:rsidRPr="00D87339">
              <w:rPr>
                <w:rFonts w:cs="Arial"/>
              </w:rPr>
              <w:t>in order and unaltered</w:t>
            </w:r>
            <w:r w:rsidR="00295138">
              <w:rPr>
                <w:rFonts w:cs="Arial"/>
              </w:rPr>
              <w:t xml:space="preserve">) which ask for the child and survey participant’s demographic information. </w:t>
            </w:r>
            <w:r w:rsidR="00411788">
              <w:rPr>
                <w:rFonts w:cs="Arial"/>
              </w:rPr>
              <w:t xml:space="preserve">Note: Hospitals that collect information captured in questions 51-52 administratively are not required to retained them. </w:t>
            </w:r>
          </w:p>
          <w:p w14:paraId="1BD583A2" w14:textId="77777777" w:rsidR="00411788" w:rsidRPr="004F63C1" w:rsidRDefault="00411788" w:rsidP="00D87339">
            <w:pPr>
              <w:rPr>
                <w:rFonts w:cs="Arial"/>
                <w:sz w:val="16"/>
                <w:szCs w:val="16"/>
              </w:rPr>
            </w:pPr>
          </w:p>
          <w:p w14:paraId="580DE2FE" w14:textId="60AB06F4" w:rsidR="00D87339" w:rsidRPr="00D87339" w:rsidRDefault="00D87339" w:rsidP="00D87339">
            <w:pPr>
              <w:rPr>
                <w:rFonts w:cs="Arial"/>
              </w:rPr>
            </w:pPr>
            <w:r w:rsidRPr="00D87339">
              <w:rPr>
                <w:rFonts w:cs="Arial"/>
              </w:rPr>
              <w:t xml:space="preserve">For more information </w:t>
            </w:r>
            <w:r>
              <w:rPr>
                <w:rFonts w:cs="Arial"/>
              </w:rPr>
              <w:t>regarding</w:t>
            </w:r>
            <w:r w:rsidRPr="00D87339">
              <w:rPr>
                <w:rFonts w:cs="Arial"/>
              </w:rPr>
              <w:t xml:space="preserve"> which questions from the CAHPS Child Hospital Survey correspond </w:t>
            </w:r>
            <w:r>
              <w:rPr>
                <w:rFonts w:cs="Arial"/>
              </w:rPr>
              <w:t>to</w:t>
            </w:r>
            <w:r w:rsidRPr="00D87339">
              <w:rPr>
                <w:rFonts w:cs="Arial"/>
              </w:rPr>
              <w:t xml:space="preserve"> the </w:t>
            </w:r>
            <w:r w:rsidR="00411788">
              <w:rPr>
                <w:rFonts w:cs="Arial"/>
              </w:rPr>
              <w:t>five</w:t>
            </w:r>
            <w:r>
              <w:rPr>
                <w:rFonts w:cs="Arial"/>
              </w:rPr>
              <w:t xml:space="preserve"> </w:t>
            </w:r>
            <w:r w:rsidRPr="00D87339">
              <w:rPr>
                <w:rFonts w:cs="Arial"/>
              </w:rPr>
              <w:t xml:space="preserve">domains </w:t>
            </w:r>
            <w:r>
              <w:rPr>
                <w:rFonts w:cs="Arial"/>
              </w:rPr>
              <w:t xml:space="preserve">listed above, visit </w:t>
            </w:r>
            <w:hyperlink r:id="rId449" w:history="1">
              <w:r w:rsidR="00654BBA" w:rsidRPr="007F5FDB">
                <w:rPr>
                  <w:rStyle w:val="Hyperlink"/>
                  <w:rFonts w:cs="Arial"/>
                </w:rPr>
                <w:t>https://www.ahrq.gov/cahps/surveys-guidance/hp/about/child-survey-measures.html</w:t>
              </w:r>
            </w:hyperlink>
            <w:r w:rsidRPr="00D87339">
              <w:rPr>
                <w:rFonts w:cs="Arial"/>
              </w:rPr>
              <w:t xml:space="preserve">. </w:t>
            </w:r>
          </w:p>
          <w:p w14:paraId="7D4FED1B" w14:textId="77777777" w:rsidR="006F55E1" w:rsidRPr="004F63C1" w:rsidRDefault="006F55E1" w:rsidP="000446FA">
            <w:pPr>
              <w:rPr>
                <w:rFonts w:cs="Arial"/>
                <w:sz w:val="16"/>
                <w:szCs w:val="16"/>
              </w:rPr>
            </w:pPr>
          </w:p>
          <w:p w14:paraId="22DECC5C" w14:textId="53B31CC7" w:rsidR="000446FA" w:rsidRDefault="000446FA" w:rsidP="000446FA">
            <w:pPr>
              <w:rPr>
                <w:rFonts w:cs="Arial"/>
              </w:rPr>
            </w:pPr>
            <w:r w:rsidRPr="00D22664">
              <w:rPr>
                <w:rFonts w:cs="Arial"/>
                <w:b/>
                <w:bCs/>
              </w:rPr>
              <w:t>CAHPS</w:t>
            </w:r>
            <w:r w:rsidR="00D87339">
              <w:rPr>
                <w:rFonts w:cs="Arial"/>
                <w:b/>
                <w:bCs/>
              </w:rPr>
              <w:t xml:space="preserve"> Child Hospital Survey Domain</w:t>
            </w:r>
            <w:r w:rsidRPr="00D22664">
              <w:rPr>
                <w:rFonts w:cs="Arial"/>
                <w:b/>
                <w:bCs/>
              </w:rPr>
              <w:t xml:space="preserve"> Crosswalk</w:t>
            </w:r>
          </w:p>
          <w:p w14:paraId="77163AD0" w14:textId="56F38A50" w:rsidR="000446FA" w:rsidRPr="00753419" w:rsidRDefault="000446FA" w:rsidP="000446FA">
            <w:pPr>
              <w:rPr>
                <w:rFonts w:cs="Arial"/>
                <w:sz w:val="16"/>
                <w:szCs w:val="16"/>
              </w:rPr>
            </w:pPr>
          </w:p>
          <w:tbl>
            <w:tblPr>
              <w:tblStyle w:val="TableColumns3"/>
              <w:tblW w:w="0" w:type="auto"/>
              <w:tblBorders>
                <w:insideH w:val="single" w:sz="6" w:space="0" w:color="000080"/>
              </w:tblBorders>
              <w:tblLook w:val="04A0" w:firstRow="1" w:lastRow="0" w:firstColumn="1" w:lastColumn="0" w:noHBand="0" w:noVBand="1"/>
            </w:tblPr>
            <w:tblGrid>
              <w:gridCol w:w="3024"/>
              <w:gridCol w:w="1728"/>
              <w:gridCol w:w="2359"/>
              <w:gridCol w:w="2007"/>
            </w:tblGrid>
            <w:tr w:rsidR="00B37B7A" w:rsidRPr="00D22664" w14:paraId="4AFD608D" w14:textId="77777777" w:rsidTr="00753419">
              <w:trPr>
                <w:cnfStyle w:val="100000000000" w:firstRow="1" w:lastRow="0" w:firstColumn="0" w:lastColumn="0" w:oddVBand="0" w:evenVBand="0" w:oddHBand="0" w:evenHBand="0" w:firstRowFirstColumn="0" w:firstRowLastColumn="0" w:lastRowFirstColumn="0" w:lastRowLastColumn="0"/>
                <w:trHeight w:val="586"/>
              </w:trPr>
              <w:tc>
                <w:tcPr>
                  <w:cnfStyle w:val="001000000000" w:firstRow="0" w:lastRow="0" w:firstColumn="1" w:lastColumn="0" w:oddVBand="0" w:evenVBand="0" w:oddHBand="0" w:evenHBand="0" w:firstRowFirstColumn="0" w:firstRowLastColumn="0" w:lastRowFirstColumn="0" w:lastRowLastColumn="0"/>
                  <w:tcW w:w="3024" w:type="dxa"/>
                  <w:shd w:val="clear" w:color="auto" w:fill="213468"/>
                  <w:vAlign w:val="center"/>
                </w:tcPr>
                <w:p w14:paraId="2D264FAA" w14:textId="77777777" w:rsidR="00B37B7A" w:rsidRPr="00D87339" w:rsidRDefault="00B37B7A" w:rsidP="00411788">
                  <w:pPr>
                    <w:rPr>
                      <w:rFonts w:cs="Arial"/>
                      <w:b/>
                      <w:bCs/>
                    </w:rPr>
                  </w:pPr>
                  <w:r w:rsidRPr="00D87339">
                    <w:rPr>
                      <w:rFonts w:cs="Arial"/>
                      <w:b/>
                      <w:bCs/>
                    </w:rPr>
                    <w:t>AHRQ Domain Name</w:t>
                  </w:r>
                </w:p>
              </w:tc>
              <w:tc>
                <w:tcPr>
                  <w:tcW w:w="1665" w:type="dxa"/>
                  <w:shd w:val="clear" w:color="auto" w:fill="213468"/>
                  <w:vAlign w:val="center"/>
                </w:tcPr>
                <w:p w14:paraId="31CB0B05" w14:textId="77777777" w:rsidR="00B37B7A" w:rsidRPr="00D87339" w:rsidRDefault="00B37B7A" w:rsidP="00411788">
                  <w:pPr>
                    <w:cnfStyle w:val="100000000000" w:firstRow="1" w:lastRow="0" w:firstColumn="0" w:lastColumn="0" w:oddVBand="0" w:evenVBand="0" w:oddHBand="0" w:evenHBand="0" w:firstRowFirstColumn="0" w:firstRowLastColumn="0" w:lastRowFirstColumn="0" w:lastRowLastColumn="0"/>
                    <w:rPr>
                      <w:rFonts w:cs="Arial"/>
                    </w:rPr>
                  </w:pPr>
                  <w:r w:rsidRPr="00D87339">
                    <w:rPr>
                      <w:rFonts w:cs="Arial"/>
                    </w:rPr>
                    <w:t>Press Ganey Domain Name</w:t>
                  </w:r>
                </w:p>
              </w:tc>
              <w:tc>
                <w:tcPr>
                  <w:tcW w:w="0" w:type="auto"/>
                  <w:shd w:val="clear" w:color="auto" w:fill="213468"/>
                  <w:vAlign w:val="center"/>
                </w:tcPr>
                <w:p w14:paraId="5572859F" w14:textId="77777777" w:rsidR="00B37B7A" w:rsidRPr="00D87339" w:rsidRDefault="00B37B7A" w:rsidP="00411788">
                  <w:pPr>
                    <w:cnfStyle w:val="100000000000" w:firstRow="1" w:lastRow="0" w:firstColumn="0" w:lastColumn="0" w:oddVBand="0" w:evenVBand="0" w:oddHBand="0" w:evenHBand="0" w:firstRowFirstColumn="0" w:firstRowLastColumn="0" w:lastRowFirstColumn="0" w:lastRowLastColumn="0"/>
                    <w:rPr>
                      <w:rFonts w:cs="Arial"/>
                    </w:rPr>
                  </w:pPr>
                  <w:r w:rsidRPr="00D87339">
                    <w:rPr>
                      <w:rFonts w:cs="Arial"/>
                    </w:rPr>
                    <w:t>NRC Domain Name</w:t>
                  </w:r>
                </w:p>
              </w:tc>
              <w:tc>
                <w:tcPr>
                  <w:tcW w:w="0" w:type="auto"/>
                  <w:shd w:val="clear" w:color="auto" w:fill="213468"/>
                  <w:vAlign w:val="center"/>
                </w:tcPr>
                <w:p w14:paraId="257D178E" w14:textId="77777777" w:rsidR="00B37B7A" w:rsidRPr="00D87339" w:rsidRDefault="00B37B7A" w:rsidP="00411788">
                  <w:pPr>
                    <w:cnfStyle w:val="100000000000" w:firstRow="1" w:lastRow="0" w:firstColumn="0" w:lastColumn="0" w:oddVBand="0" w:evenVBand="0" w:oddHBand="0" w:evenHBand="0" w:firstRowFirstColumn="0" w:firstRowLastColumn="0" w:lastRowFirstColumn="0" w:lastRowLastColumn="0"/>
                    <w:rPr>
                      <w:rFonts w:cs="Arial"/>
                    </w:rPr>
                  </w:pPr>
                  <w:r w:rsidRPr="00D87339">
                    <w:rPr>
                      <w:rFonts w:cs="Arial"/>
                    </w:rPr>
                    <w:t>PRC Domain Name</w:t>
                  </w:r>
                </w:p>
              </w:tc>
            </w:tr>
            <w:tr w:rsidR="00B37B7A" w:rsidRPr="00D22664" w14:paraId="6A2B629B" w14:textId="77777777" w:rsidTr="00753419">
              <w:trPr>
                <w:trHeight w:val="586"/>
              </w:trPr>
              <w:tc>
                <w:tcPr>
                  <w:cnfStyle w:val="001000000000" w:firstRow="0" w:lastRow="0" w:firstColumn="1" w:lastColumn="0" w:oddVBand="0" w:evenVBand="0" w:oddHBand="0" w:evenHBand="0" w:firstRowFirstColumn="0" w:firstRowLastColumn="0" w:lastRowFirstColumn="0" w:lastRowLastColumn="0"/>
                  <w:tcW w:w="3024" w:type="dxa"/>
                </w:tcPr>
                <w:p w14:paraId="756DE360" w14:textId="77777777" w:rsidR="00B37B7A" w:rsidRPr="00D87339" w:rsidRDefault="00B37B7A" w:rsidP="00B37B7A">
                  <w:pPr>
                    <w:rPr>
                      <w:rFonts w:cs="Arial"/>
                      <w:b/>
                      <w:color w:val="000000"/>
                    </w:rPr>
                  </w:pPr>
                  <w:r w:rsidRPr="00D87339">
                    <w:rPr>
                      <w:rFonts w:cs="Arial"/>
                      <w:color w:val="000000"/>
                    </w:rPr>
                    <w:t>Communication with Parent – Communication about your child’s medicines</w:t>
                  </w:r>
                </w:p>
              </w:tc>
              <w:tc>
                <w:tcPr>
                  <w:tcW w:w="1665" w:type="dxa"/>
                </w:tcPr>
                <w:p w14:paraId="13B8D822" w14:textId="77777777" w:rsidR="00B37B7A" w:rsidRPr="00D87339" w:rsidRDefault="00B37B7A" w:rsidP="00B37B7A">
                  <w:pPr>
                    <w:cnfStyle w:val="000000000000" w:firstRow="0" w:lastRow="0" w:firstColumn="0" w:lastColumn="0" w:oddVBand="0" w:evenVBand="0" w:oddHBand="0" w:evenHBand="0" w:firstRowFirstColumn="0" w:firstRowLastColumn="0" w:lastRowFirstColumn="0" w:lastRowLastColumn="0"/>
                    <w:rPr>
                      <w:rFonts w:cs="Arial"/>
                      <w:b w:val="0"/>
                      <w:bCs w:val="0"/>
                      <w:color w:val="000000"/>
                    </w:rPr>
                  </w:pPr>
                  <w:r w:rsidRPr="00D87339">
                    <w:rPr>
                      <w:rFonts w:cs="Arial"/>
                      <w:color w:val="000000"/>
                    </w:rPr>
                    <w:t>Communication Child's Med</w:t>
                  </w:r>
                </w:p>
              </w:tc>
              <w:tc>
                <w:tcPr>
                  <w:tcW w:w="0" w:type="auto"/>
                </w:tcPr>
                <w:p w14:paraId="35484660" w14:textId="77777777" w:rsidR="00B37B7A" w:rsidRPr="00D87339" w:rsidRDefault="00B37B7A" w:rsidP="00B37B7A">
                  <w:pPr>
                    <w:cnfStyle w:val="000000000000" w:firstRow="0" w:lastRow="0" w:firstColumn="0" w:lastColumn="0" w:oddVBand="0" w:evenVBand="0" w:oddHBand="0" w:evenHBand="0" w:firstRowFirstColumn="0" w:firstRowLastColumn="0" w:lastRowFirstColumn="0" w:lastRowLastColumn="0"/>
                    <w:rPr>
                      <w:rFonts w:cs="Arial"/>
                      <w:b w:val="0"/>
                      <w:bCs w:val="0"/>
                      <w:color w:val="000000"/>
                    </w:rPr>
                  </w:pPr>
                  <w:r w:rsidRPr="00D87339">
                    <w:rPr>
                      <w:rFonts w:cs="Arial"/>
                      <w:color w:val="000000"/>
                    </w:rPr>
                    <w:t>Communication About Meds</w:t>
                  </w:r>
                </w:p>
              </w:tc>
              <w:tc>
                <w:tcPr>
                  <w:tcW w:w="0" w:type="auto"/>
                </w:tcPr>
                <w:p w14:paraId="30C0A94B" w14:textId="77777777" w:rsidR="00B37B7A" w:rsidRPr="00D87339" w:rsidRDefault="00B37B7A" w:rsidP="00B37B7A">
                  <w:pPr>
                    <w:cnfStyle w:val="000000000000" w:firstRow="0" w:lastRow="0" w:firstColumn="0" w:lastColumn="0" w:oddVBand="0" w:evenVBand="0" w:oddHBand="0" w:evenHBand="0" w:firstRowFirstColumn="0" w:firstRowLastColumn="0" w:lastRowFirstColumn="0" w:lastRowLastColumn="0"/>
                    <w:rPr>
                      <w:rFonts w:cs="Arial"/>
                      <w:b w:val="0"/>
                      <w:bCs w:val="0"/>
                      <w:color w:val="000000"/>
                    </w:rPr>
                  </w:pPr>
                  <w:r w:rsidRPr="00D87339">
                    <w:rPr>
                      <w:rFonts w:cs="Arial"/>
                      <w:color w:val="000000"/>
                    </w:rPr>
                    <w:t>Communication About Medicines</w:t>
                  </w:r>
                </w:p>
              </w:tc>
            </w:tr>
            <w:tr w:rsidR="00054CB1" w:rsidRPr="00D22664" w14:paraId="25E7B0B0" w14:textId="77777777" w:rsidTr="00753419">
              <w:trPr>
                <w:trHeight w:val="586"/>
              </w:trPr>
              <w:tc>
                <w:tcPr>
                  <w:cnfStyle w:val="001000000000" w:firstRow="0" w:lastRow="0" w:firstColumn="1" w:lastColumn="0" w:oddVBand="0" w:evenVBand="0" w:oddHBand="0" w:evenHBand="0" w:firstRowFirstColumn="0" w:firstRowLastColumn="0" w:lastRowFirstColumn="0" w:lastRowLastColumn="0"/>
                  <w:tcW w:w="3024" w:type="dxa"/>
                </w:tcPr>
                <w:p w14:paraId="0A34C207" w14:textId="30D2F2CB" w:rsidR="00054CB1" w:rsidRPr="00D87339" w:rsidRDefault="00054CB1" w:rsidP="00054CB1">
                  <w:pPr>
                    <w:rPr>
                      <w:rFonts w:cs="Arial"/>
                      <w:color w:val="000000"/>
                    </w:rPr>
                  </w:pPr>
                  <w:r w:rsidRPr="00D87339">
                    <w:rPr>
                      <w:rFonts w:cs="Arial"/>
                      <w:color w:val="000000"/>
                    </w:rPr>
                    <w:t>Communication with Parent – Keeping you informed about your child’s care</w:t>
                  </w:r>
                </w:p>
              </w:tc>
              <w:tc>
                <w:tcPr>
                  <w:tcW w:w="1665" w:type="dxa"/>
                </w:tcPr>
                <w:p w14:paraId="250449E8" w14:textId="27B91FED" w:rsidR="00054CB1" w:rsidRPr="00D87339" w:rsidRDefault="00054CB1" w:rsidP="00054CB1">
                  <w:pPr>
                    <w:cnfStyle w:val="000000000000" w:firstRow="0" w:lastRow="0" w:firstColumn="0" w:lastColumn="0" w:oddVBand="0" w:evenVBand="0" w:oddHBand="0" w:evenHBand="0" w:firstRowFirstColumn="0" w:firstRowLastColumn="0" w:lastRowFirstColumn="0" w:lastRowLastColumn="0"/>
                    <w:rPr>
                      <w:rFonts w:cs="Arial"/>
                      <w:color w:val="000000"/>
                    </w:rPr>
                  </w:pPr>
                  <w:r w:rsidRPr="00D87339">
                    <w:rPr>
                      <w:rFonts w:cs="Arial"/>
                      <w:color w:val="000000"/>
                    </w:rPr>
                    <w:t>Informed Child's Care</w:t>
                  </w:r>
                </w:p>
              </w:tc>
              <w:tc>
                <w:tcPr>
                  <w:tcW w:w="0" w:type="auto"/>
                </w:tcPr>
                <w:p w14:paraId="30940813" w14:textId="040A9A32" w:rsidR="00054CB1" w:rsidRPr="00D87339" w:rsidRDefault="00054CB1" w:rsidP="00054CB1">
                  <w:pPr>
                    <w:cnfStyle w:val="000000000000" w:firstRow="0" w:lastRow="0" w:firstColumn="0" w:lastColumn="0" w:oddVBand="0" w:evenVBand="0" w:oddHBand="0" w:evenHBand="0" w:firstRowFirstColumn="0" w:firstRowLastColumn="0" w:lastRowFirstColumn="0" w:lastRowLastColumn="0"/>
                    <w:rPr>
                      <w:rFonts w:cs="Arial"/>
                      <w:color w:val="000000"/>
                    </w:rPr>
                  </w:pPr>
                  <w:r w:rsidRPr="00D87339">
                    <w:rPr>
                      <w:rFonts w:cs="Arial"/>
                      <w:color w:val="000000"/>
                    </w:rPr>
                    <w:t>Keeping You Informed About Your Child’s Care</w:t>
                  </w:r>
                </w:p>
              </w:tc>
              <w:tc>
                <w:tcPr>
                  <w:tcW w:w="0" w:type="auto"/>
                </w:tcPr>
                <w:p w14:paraId="3A067C9F" w14:textId="25CA3480" w:rsidR="00054CB1" w:rsidRPr="00D87339" w:rsidRDefault="00054CB1" w:rsidP="00054CB1">
                  <w:pPr>
                    <w:cnfStyle w:val="000000000000" w:firstRow="0" w:lastRow="0" w:firstColumn="0" w:lastColumn="0" w:oddVBand="0" w:evenVBand="0" w:oddHBand="0" w:evenHBand="0" w:firstRowFirstColumn="0" w:firstRowLastColumn="0" w:lastRowFirstColumn="0" w:lastRowLastColumn="0"/>
                    <w:rPr>
                      <w:rFonts w:cs="Arial"/>
                      <w:color w:val="000000"/>
                    </w:rPr>
                  </w:pPr>
                  <w:r w:rsidRPr="00D87339">
                    <w:rPr>
                      <w:rFonts w:cs="Arial"/>
                      <w:color w:val="000000"/>
                    </w:rPr>
                    <w:t>Keeping Parent Informed</w:t>
                  </w:r>
                </w:p>
              </w:tc>
            </w:tr>
            <w:tr w:rsidR="00B37B7A" w:rsidRPr="00D22664" w14:paraId="061FDBC7" w14:textId="77777777" w:rsidTr="00753419">
              <w:trPr>
                <w:trHeight w:val="586"/>
              </w:trPr>
              <w:tc>
                <w:tcPr>
                  <w:cnfStyle w:val="001000000000" w:firstRow="0" w:lastRow="0" w:firstColumn="1" w:lastColumn="0" w:oddVBand="0" w:evenVBand="0" w:oddHBand="0" w:evenHBand="0" w:firstRowFirstColumn="0" w:firstRowLastColumn="0" w:lastRowFirstColumn="0" w:lastRowLastColumn="0"/>
                  <w:tcW w:w="3024" w:type="dxa"/>
                </w:tcPr>
                <w:p w14:paraId="66C2D1E0" w14:textId="77777777" w:rsidR="00B37B7A" w:rsidRPr="00D87339" w:rsidRDefault="00B37B7A" w:rsidP="00B37B7A">
                  <w:pPr>
                    <w:rPr>
                      <w:rFonts w:cs="Arial"/>
                      <w:color w:val="000000"/>
                    </w:rPr>
                  </w:pPr>
                  <w:r w:rsidRPr="00D87339">
                    <w:rPr>
                      <w:rFonts w:cs="Arial"/>
                      <w:color w:val="000000"/>
                    </w:rPr>
                    <w:t>Communication with Child – How well nurses communicate with your child</w:t>
                  </w:r>
                </w:p>
              </w:tc>
              <w:tc>
                <w:tcPr>
                  <w:tcW w:w="1665" w:type="dxa"/>
                </w:tcPr>
                <w:p w14:paraId="5AFA7B5B" w14:textId="77777777" w:rsidR="00B37B7A" w:rsidRPr="00D87339" w:rsidRDefault="00B37B7A" w:rsidP="00B37B7A">
                  <w:pPr>
                    <w:cnfStyle w:val="000000000000" w:firstRow="0" w:lastRow="0" w:firstColumn="0" w:lastColumn="0" w:oddVBand="0" w:evenVBand="0" w:oddHBand="0" w:evenHBand="0" w:firstRowFirstColumn="0" w:firstRowLastColumn="0" w:lastRowFirstColumn="0" w:lastRowLastColumn="0"/>
                    <w:rPr>
                      <w:rFonts w:cs="Arial"/>
                      <w:b w:val="0"/>
                      <w:bCs w:val="0"/>
                      <w:color w:val="000000"/>
                    </w:rPr>
                  </w:pPr>
                  <w:r w:rsidRPr="00D87339">
                    <w:rPr>
                      <w:rFonts w:cs="Arial"/>
                      <w:color w:val="000000"/>
                    </w:rPr>
                    <w:t>Nurses Communicate Child</w:t>
                  </w:r>
                </w:p>
              </w:tc>
              <w:tc>
                <w:tcPr>
                  <w:tcW w:w="0" w:type="auto"/>
                </w:tcPr>
                <w:p w14:paraId="565B2AFF" w14:textId="77777777" w:rsidR="00B37B7A" w:rsidRPr="00D87339" w:rsidRDefault="00B37B7A" w:rsidP="00B37B7A">
                  <w:pPr>
                    <w:cnfStyle w:val="000000000000" w:firstRow="0" w:lastRow="0" w:firstColumn="0" w:lastColumn="0" w:oddVBand="0" w:evenVBand="0" w:oddHBand="0" w:evenHBand="0" w:firstRowFirstColumn="0" w:firstRowLastColumn="0" w:lastRowFirstColumn="0" w:lastRowLastColumn="0"/>
                    <w:rPr>
                      <w:rFonts w:cs="Arial"/>
                      <w:b w:val="0"/>
                      <w:bCs w:val="0"/>
                      <w:color w:val="000000"/>
                    </w:rPr>
                  </w:pPr>
                  <w:r w:rsidRPr="00D87339">
                    <w:rPr>
                      <w:rFonts w:cs="Arial"/>
                      <w:color w:val="000000"/>
                    </w:rPr>
                    <w:t>Nurse Communication With Child</w:t>
                  </w:r>
                </w:p>
              </w:tc>
              <w:tc>
                <w:tcPr>
                  <w:tcW w:w="0" w:type="auto"/>
                </w:tcPr>
                <w:p w14:paraId="028D69C8" w14:textId="77777777" w:rsidR="00B37B7A" w:rsidRPr="00D87339" w:rsidRDefault="00B37B7A" w:rsidP="00B37B7A">
                  <w:pPr>
                    <w:cnfStyle w:val="000000000000" w:firstRow="0" w:lastRow="0" w:firstColumn="0" w:lastColumn="0" w:oddVBand="0" w:evenVBand="0" w:oddHBand="0" w:evenHBand="0" w:firstRowFirstColumn="0" w:firstRowLastColumn="0" w:lastRowFirstColumn="0" w:lastRowLastColumn="0"/>
                    <w:rPr>
                      <w:rFonts w:cs="Arial"/>
                      <w:b w:val="0"/>
                      <w:bCs w:val="0"/>
                      <w:color w:val="000000"/>
                    </w:rPr>
                  </w:pPr>
                  <w:r w:rsidRPr="00D87339">
                    <w:rPr>
                      <w:rFonts w:cs="Arial"/>
                      <w:color w:val="000000"/>
                    </w:rPr>
                    <w:t xml:space="preserve">Nurses – Child </w:t>
                  </w:r>
                </w:p>
              </w:tc>
            </w:tr>
            <w:tr w:rsidR="00B37B7A" w:rsidRPr="00D22664" w14:paraId="081F8798" w14:textId="77777777" w:rsidTr="00753419">
              <w:trPr>
                <w:trHeight w:val="586"/>
              </w:trPr>
              <w:tc>
                <w:tcPr>
                  <w:cnfStyle w:val="001000000000" w:firstRow="0" w:lastRow="0" w:firstColumn="1" w:lastColumn="0" w:oddVBand="0" w:evenVBand="0" w:oddHBand="0" w:evenHBand="0" w:firstRowFirstColumn="0" w:firstRowLastColumn="0" w:lastRowFirstColumn="0" w:lastRowLastColumn="0"/>
                  <w:tcW w:w="3024" w:type="dxa"/>
                </w:tcPr>
                <w:p w14:paraId="0F3F04AA" w14:textId="77777777" w:rsidR="00B37B7A" w:rsidRPr="00D87339" w:rsidRDefault="00B37B7A" w:rsidP="00B37B7A">
                  <w:pPr>
                    <w:rPr>
                      <w:rFonts w:cs="Arial"/>
                      <w:b/>
                      <w:color w:val="000000"/>
                    </w:rPr>
                  </w:pPr>
                  <w:r w:rsidRPr="00D87339">
                    <w:rPr>
                      <w:rFonts w:cs="Arial"/>
                      <w:color w:val="000000"/>
                    </w:rPr>
                    <w:t>Communication with Child – How well doctors communicate with your child</w:t>
                  </w:r>
                </w:p>
              </w:tc>
              <w:tc>
                <w:tcPr>
                  <w:tcW w:w="1665" w:type="dxa"/>
                </w:tcPr>
                <w:p w14:paraId="7FA2AE09" w14:textId="77777777" w:rsidR="00B37B7A" w:rsidRPr="00D87339" w:rsidRDefault="00B37B7A" w:rsidP="00B37B7A">
                  <w:pPr>
                    <w:cnfStyle w:val="000000000000" w:firstRow="0" w:lastRow="0" w:firstColumn="0" w:lastColumn="0" w:oddVBand="0" w:evenVBand="0" w:oddHBand="0" w:evenHBand="0" w:firstRowFirstColumn="0" w:firstRowLastColumn="0" w:lastRowFirstColumn="0" w:lastRowLastColumn="0"/>
                    <w:rPr>
                      <w:rFonts w:cs="Arial"/>
                      <w:b w:val="0"/>
                      <w:bCs w:val="0"/>
                      <w:color w:val="000000"/>
                    </w:rPr>
                  </w:pPr>
                  <w:r w:rsidRPr="00D87339">
                    <w:rPr>
                      <w:rFonts w:cs="Arial"/>
                      <w:color w:val="000000"/>
                    </w:rPr>
                    <w:t>Doctors Communicate Child</w:t>
                  </w:r>
                </w:p>
              </w:tc>
              <w:tc>
                <w:tcPr>
                  <w:tcW w:w="0" w:type="auto"/>
                </w:tcPr>
                <w:p w14:paraId="1EFB7A62" w14:textId="77777777" w:rsidR="00B37B7A" w:rsidRPr="00D87339" w:rsidRDefault="00B37B7A" w:rsidP="00B37B7A">
                  <w:pPr>
                    <w:cnfStyle w:val="000000000000" w:firstRow="0" w:lastRow="0" w:firstColumn="0" w:lastColumn="0" w:oddVBand="0" w:evenVBand="0" w:oddHBand="0" w:evenHBand="0" w:firstRowFirstColumn="0" w:firstRowLastColumn="0" w:lastRowFirstColumn="0" w:lastRowLastColumn="0"/>
                    <w:rPr>
                      <w:rFonts w:cs="Arial"/>
                      <w:b w:val="0"/>
                      <w:bCs w:val="0"/>
                      <w:color w:val="000000"/>
                    </w:rPr>
                  </w:pPr>
                  <w:r w:rsidRPr="00D87339">
                    <w:rPr>
                      <w:rFonts w:cs="Arial"/>
                      <w:color w:val="000000"/>
                    </w:rPr>
                    <w:t>Doctor Communication With Child</w:t>
                  </w:r>
                </w:p>
              </w:tc>
              <w:tc>
                <w:tcPr>
                  <w:tcW w:w="0" w:type="auto"/>
                </w:tcPr>
                <w:p w14:paraId="3092BB13" w14:textId="77777777" w:rsidR="00B37B7A" w:rsidRPr="00D87339" w:rsidRDefault="00B37B7A" w:rsidP="00B37B7A">
                  <w:pPr>
                    <w:cnfStyle w:val="000000000000" w:firstRow="0" w:lastRow="0" w:firstColumn="0" w:lastColumn="0" w:oddVBand="0" w:evenVBand="0" w:oddHBand="0" w:evenHBand="0" w:firstRowFirstColumn="0" w:firstRowLastColumn="0" w:lastRowFirstColumn="0" w:lastRowLastColumn="0"/>
                    <w:rPr>
                      <w:rFonts w:cs="Arial"/>
                      <w:b w:val="0"/>
                      <w:bCs w:val="0"/>
                      <w:color w:val="000000"/>
                    </w:rPr>
                  </w:pPr>
                  <w:r w:rsidRPr="00D87339">
                    <w:rPr>
                      <w:rFonts w:cs="Arial"/>
                      <w:color w:val="000000"/>
                    </w:rPr>
                    <w:t>Doctors – Child</w:t>
                  </w:r>
                </w:p>
              </w:tc>
            </w:tr>
            <w:tr w:rsidR="00054CB1" w:rsidRPr="00D22664" w14:paraId="172703B5" w14:textId="77777777" w:rsidTr="00753419">
              <w:trPr>
                <w:trHeight w:val="586"/>
              </w:trPr>
              <w:tc>
                <w:tcPr>
                  <w:cnfStyle w:val="001000000000" w:firstRow="0" w:lastRow="0" w:firstColumn="1" w:lastColumn="0" w:oddVBand="0" w:evenVBand="0" w:oddHBand="0" w:evenHBand="0" w:firstRowFirstColumn="0" w:firstRowLastColumn="0" w:lastRowFirstColumn="0" w:lastRowLastColumn="0"/>
                  <w:tcW w:w="3024" w:type="dxa"/>
                </w:tcPr>
                <w:p w14:paraId="3CA194D5" w14:textId="641C4847" w:rsidR="00054CB1" w:rsidRPr="00D87339" w:rsidRDefault="00054CB1" w:rsidP="00054CB1">
                  <w:pPr>
                    <w:rPr>
                      <w:rFonts w:cs="Arial"/>
                      <w:b/>
                      <w:color w:val="000000"/>
                    </w:rPr>
                  </w:pPr>
                  <w:r w:rsidRPr="00D87339">
                    <w:rPr>
                      <w:rFonts w:cs="Arial"/>
                      <w:color w:val="000000"/>
                    </w:rPr>
                    <w:t>Attention to Safety and Comfort – Preventing mistakes and helping you report concerns</w:t>
                  </w:r>
                </w:p>
              </w:tc>
              <w:tc>
                <w:tcPr>
                  <w:tcW w:w="1665" w:type="dxa"/>
                </w:tcPr>
                <w:p w14:paraId="1DD77537" w14:textId="2C0DACD4" w:rsidR="00054CB1" w:rsidRPr="00D87339" w:rsidRDefault="00054CB1" w:rsidP="00054CB1">
                  <w:pPr>
                    <w:cnfStyle w:val="000000000000" w:firstRow="0" w:lastRow="0" w:firstColumn="0" w:lastColumn="0" w:oddVBand="0" w:evenVBand="0" w:oddHBand="0" w:evenHBand="0" w:firstRowFirstColumn="0" w:firstRowLastColumn="0" w:lastRowFirstColumn="0" w:lastRowLastColumn="0"/>
                    <w:rPr>
                      <w:rFonts w:cs="Arial"/>
                      <w:b w:val="0"/>
                      <w:bCs w:val="0"/>
                      <w:color w:val="000000"/>
                    </w:rPr>
                  </w:pPr>
                  <w:r w:rsidRPr="00D87339">
                    <w:rPr>
                      <w:rFonts w:cs="Arial"/>
                      <w:color w:val="000000"/>
                    </w:rPr>
                    <w:t xml:space="preserve">Prevent Mistakes </w:t>
                  </w:r>
                  <w:proofErr w:type="spellStart"/>
                  <w:r w:rsidRPr="00D87339">
                    <w:rPr>
                      <w:rFonts w:cs="Arial"/>
                      <w:color w:val="000000"/>
                    </w:rPr>
                    <w:t>Rpt</w:t>
                  </w:r>
                  <w:proofErr w:type="spellEnd"/>
                  <w:r w:rsidRPr="00D87339">
                    <w:rPr>
                      <w:rFonts w:cs="Arial"/>
                      <w:color w:val="000000"/>
                    </w:rPr>
                    <w:t xml:space="preserve"> Conc</w:t>
                  </w:r>
                </w:p>
              </w:tc>
              <w:tc>
                <w:tcPr>
                  <w:tcW w:w="0" w:type="auto"/>
                </w:tcPr>
                <w:p w14:paraId="6DB87D8B" w14:textId="23ABFD1C" w:rsidR="00054CB1" w:rsidRPr="00D87339" w:rsidRDefault="00054CB1" w:rsidP="00054CB1">
                  <w:pPr>
                    <w:cnfStyle w:val="000000000000" w:firstRow="0" w:lastRow="0" w:firstColumn="0" w:lastColumn="0" w:oddVBand="0" w:evenVBand="0" w:oddHBand="0" w:evenHBand="0" w:firstRowFirstColumn="0" w:firstRowLastColumn="0" w:lastRowFirstColumn="0" w:lastRowLastColumn="0"/>
                    <w:rPr>
                      <w:rFonts w:cs="Arial"/>
                      <w:b w:val="0"/>
                      <w:bCs w:val="0"/>
                      <w:color w:val="000000"/>
                    </w:rPr>
                  </w:pPr>
                  <w:r w:rsidRPr="00D87339">
                    <w:rPr>
                      <w:rFonts w:cs="Arial"/>
                      <w:color w:val="000000"/>
                    </w:rPr>
                    <w:t>Preventing Mistakes and Helping You Report Concerns</w:t>
                  </w:r>
                </w:p>
              </w:tc>
              <w:tc>
                <w:tcPr>
                  <w:tcW w:w="0" w:type="auto"/>
                </w:tcPr>
                <w:p w14:paraId="59B53109" w14:textId="1819E893" w:rsidR="00054CB1" w:rsidRPr="00D87339" w:rsidRDefault="00054CB1" w:rsidP="00054CB1">
                  <w:pPr>
                    <w:cnfStyle w:val="000000000000" w:firstRow="0" w:lastRow="0" w:firstColumn="0" w:lastColumn="0" w:oddVBand="0" w:evenVBand="0" w:oddHBand="0" w:evenHBand="0" w:firstRowFirstColumn="0" w:firstRowLastColumn="0" w:lastRowFirstColumn="0" w:lastRowLastColumn="0"/>
                    <w:rPr>
                      <w:rFonts w:cs="Arial"/>
                      <w:b w:val="0"/>
                      <w:bCs w:val="0"/>
                      <w:color w:val="000000"/>
                    </w:rPr>
                  </w:pPr>
                  <w:r w:rsidRPr="00D87339">
                    <w:rPr>
                      <w:rFonts w:cs="Arial"/>
                      <w:color w:val="000000"/>
                    </w:rPr>
                    <w:t>Preventing Mistakes</w:t>
                  </w:r>
                </w:p>
              </w:tc>
            </w:tr>
          </w:tbl>
          <w:p w14:paraId="05386BF6" w14:textId="77777777" w:rsidR="005A212B" w:rsidRPr="009A5185" w:rsidRDefault="005A212B">
            <w:pPr>
              <w:rPr>
                <w:rFonts w:cs="Arial"/>
                <w:b/>
              </w:rPr>
            </w:pPr>
          </w:p>
        </w:tc>
      </w:tr>
    </w:tbl>
    <w:p w14:paraId="6EEA6B58" w14:textId="5D220398" w:rsidR="00244AAA" w:rsidRPr="00753419" w:rsidRDefault="00244AAA">
      <w:pPr>
        <w:rPr>
          <w:rFonts w:cs="Arial"/>
          <w:b/>
          <w:sz w:val="10"/>
          <w:szCs w:val="10"/>
          <w:u w:val="single"/>
          <w:lang w:eastAsia="ja-JP"/>
        </w:rPr>
      </w:pPr>
    </w:p>
    <w:p w14:paraId="3224F15A" w14:textId="776A427F" w:rsidR="00244AAA" w:rsidRPr="009A5185" w:rsidRDefault="00482FC0">
      <w:pPr>
        <w:rPr>
          <w:rFonts w:cs="Arial"/>
          <w:b/>
          <w:sz w:val="28"/>
          <w:u w:val="single"/>
          <w:lang w:eastAsia="ja-JP"/>
        </w:rPr>
      </w:pPr>
      <w:r w:rsidRPr="009A5185">
        <w:rPr>
          <w:rFonts w:cs="Arial"/>
          <w:color w:val="000000"/>
        </w:rPr>
        <w:t>See</w:t>
      </w:r>
      <w:r>
        <w:rPr>
          <w:rFonts w:cs="Arial"/>
          <w:color w:val="000000"/>
        </w:rPr>
        <w:t xml:space="preserve"> </w:t>
      </w:r>
      <w:hyperlink w:anchor="_Patient_Experience_(CAHPS_1" w:history="1">
        <w:r>
          <w:rPr>
            <w:rStyle w:val="Hyperlink"/>
            <w:rFonts w:cs="Arial"/>
          </w:rPr>
          <w:t>FAQs</w:t>
        </w:r>
      </w:hyperlink>
      <w:r w:rsidRPr="009A5185">
        <w:rPr>
          <w:rFonts w:cs="Arial"/>
          <w:color w:val="000000"/>
        </w:rPr>
        <w:t xml:space="preserve"> for additional information about responding to</w:t>
      </w:r>
      <w:r>
        <w:rPr>
          <w:rFonts w:cs="Arial"/>
          <w:color w:val="000000"/>
        </w:rPr>
        <w:t xml:space="preserve"> the</w:t>
      </w:r>
      <w:r w:rsidRPr="009A5185">
        <w:rPr>
          <w:rFonts w:cs="Arial"/>
          <w:color w:val="000000"/>
        </w:rPr>
        <w:t xml:space="preserve"> questions in this section.</w:t>
      </w:r>
    </w:p>
    <w:p w14:paraId="5797D6DF" w14:textId="24E821C7" w:rsidR="00FF6E8B" w:rsidRPr="009A5185" w:rsidRDefault="00FF6E8B" w:rsidP="00AB5B80">
      <w:pPr>
        <w:pStyle w:val="Heading3"/>
      </w:pPr>
      <w:bookmarkStart w:id="695" w:name="_Patient_Experience_(CAHPS_1"/>
      <w:bookmarkStart w:id="696" w:name="_Pediatric_Computed_Tomography"/>
      <w:bookmarkStart w:id="697" w:name="_Ref123648274"/>
      <w:bookmarkStart w:id="698" w:name="_Toc225877827"/>
      <w:bookmarkStart w:id="699" w:name="PedCTSpecs"/>
      <w:bookmarkEnd w:id="695"/>
      <w:bookmarkEnd w:id="696"/>
      <w:r w:rsidRPr="009A5185">
        <w:t>Pediatric Computed Tomography (CT) Radiation Dose</w:t>
      </w:r>
      <w:bookmarkEnd w:id="697"/>
      <w:r w:rsidRPr="009A5185">
        <w:t xml:space="preserve"> </w:t>
      </w:r>
      <w:r w:rsidR="00B078B4">
        <w:t>Measure Specifications</w:t>
      </w:r>
      <w:bookmarkEnd w:id="698"/>
    </w:p>
    <w:bookmarkEnd w:id="699"/>
    <w:p w14:paraId="771B17C1" w14:textId="77777777" w:rsidR="00B40585" w:rsidRPr="00C670ED" w:rsidRDefault="00B40585">
      <w:pPr>
        <w:rPr>
          <w:rFonts w:cs="Arial"/>
          <w:sz w:val="16"/>
          <w:szCs w:val="16"/>
          <w:lang w:eastAsia="ja-JP"/>
        </w:rPr>
      </w:pPr>
    </w:p>
    <w:p w14:paraId="656B32C9" w14:textId="535F32F0" w:rsidR="00974669" w:rsidRDefault="00DC28FF" w:rsidP="00D85DCF">
      <w:pPr>
        <w:rPr>
          <w:rFonts w:cs="Arial"/>
          <w:b/>
          <w:color w:val="FF0000"/>
          <w:lang w:eastAsia="ja-JP"/>
        </w:rPr>
      </w:pPr>
      <w:r w:rsidRPr="009A5185">
        <w:rPr>
          <w:rFonts w:cs="Arial"/>
          <w:b/>
          <w:color w:val="FF0000"/>
          <w:lang w:eastAsia="ja-JP"/>
        </w:rPr>
        <w:t>Important Note</w:t>
      </w:r>
      <w:r w:rsidR="009A0347" w:rsidRPr="009A5185">
        <w:rPr>
          <w:rFonts w:cs="Arial"/>
          <w:b/>
          <w:color w:val="FF0000"/>
          <w:lang w:eastAsia="ja-JP"/>
        </w:rPr>
        <w:t>s</w:t>
      </w:r>
      <w:r w:rsidRPr="009A5185">
        <w:rPr>
          <w:rFonts w:cs="Arial"/>
          <w:b/>
          <w:color w:val="FF0000"/>
          <w:lang w:eastAsia="ja-JP"/>
        </w:rPr>
        <w:t>:</w:t>
      </w:r>
    </w:p>
    <w:p w14:paraId="6B3705FC" w14:textId="77777777" w:rsidR="00C12B40" w:rsidRPr="00C670ED" w:rsidRDefault="00C12B40" w:rsidP="00C12B40">
      <w:pPr>
        <w:rPr>
          <w:rFonts w:cs="Arial"/>
          <w:b/>
          <w:color w:val="FF0000"/>
          <w:sz w:val="16"/>
          <w:szCs w:val="16"/>
          <w:lang w:eastAsia="ja-JP"/>
        </w:rPr>
      </w:pPr>
    </w:p>
    <w:p w14:paraId="16BFE383" w14:textId="2920406C" w:rsidR="003B4C3F" w:rsidRPr="009A5185" w:rsidRDefault="00C12B40" w:rsidP="003B4C3F">
      <w:pPr>
        <w:rPr>
          <w:rFonts w:cs="Arial"/>
          <w:b/>
        </w:rPr>
      </w:pPr>
      <w:r w:rsidRPr="009A5185">
        <w:rPr>
          <w:rFonts w:cs="Arial"/>
        </w:rPr>
        <w:t xml:space="preserve">Note 1: </w:t>
      </w:r>
      <w:r w:rsidR="003B4C3F" w:rsidRPr="009A5185">
        <w:rPr>
          <w:rFonts w:cs="Arial"/>
          <w:snapToGrid w:val="0"/>
        </w:rPr>
        <w:t xml:space="preserve">Hospitals that share a </w:t>
      </w:r>
      <w:r w:rsidR="003B4C3F">
        <w:rPr>
          <w:rFonts w:cs="Arial"/>
          <w:snapToGrid w:val="0"/>
        </w:rPr>
        <w:t>CMS Certification Number</w:t>
      </w:r>
      <w:r w:rsidR="003B4C3F" w:rsidRPr="009A5185">
        <w:rPr>
          <w:rFonts w:cs="Arial"/>
          <w:snapToGrid w:val="0"/>
        </w:rPr>
        <w:t xml:space="preserve"> are required to report by facility. Please carefully review </w:t>
      </w:r>
      <w:hyperlink r:id="rId450" w:history="1">
        <w:r w:rsidR="003B4C3F" w:rsidRPr="009A5185">
          <w:rPr>
            <w:rStyle w:val="Hyperlink"/>
            <w:rFonts w:cs="Arial"/>
          </w:rPr>
          <w:t>Leapfrog’s Multi-Campus Reporting Policy</w:t>
        </w:r>
      </w:hyperlink>
      <w:r w:rsidR="003B4C3F" w:rsidRPr="009A5185">
        <w:rPr>
          <w:rFonts w:cs="Arial"/>
          <w:snapToGrid w:val="0"/>
        </w:rPr>
        <w:t>.</w:t>
      </w:r>
    </w:p>
    <w:p w14:paraId="6D302BEC" w14:textId="77777777" w:rsidR="003B4C3F" w:rsidRPr="004F63C1" w:rsidRDefault="003B4C3F" w:rsidP="00C12B40">
      <w:pPr>
        <w:rPr>
          <w:rFonts w:cs="Arial"/>
          <w:sz w:val="16"/>
          <w:szCs w:val="16"/>
        </w:rPr>
      </w:pPr>
    </w:p>
    <w:p w14:paraId="38ED81F1" w14:textId="14048B46" w:rsidR="00C12B40" w:rsidRPr="009A5185" w:rsidRDefault="003B4C3F" w:rsidP="00C12B40">
      <w:pPr>
        <w:rPr>
          <w:rFonts w:cs="Arial"/>
        </w:rPr>
      </w:pPr>
      <w:r>
        <w:rPr>
          <w:rFonts w:cs="Arial"/>
        </w:rPr>
        <w:t xml:space="preserve">Note 2: </w:t>
      </w:r>
      <w:r w:rsidR="00C12B40" w:rsidRPr="009A5185">
        <w:rPr>
          <w:rFonts w:cs="Arial"/>
        </w:rPr>
        <w:t>For purposes of this measure, an “encounter” consists of a full examination and any CT scans performed within one hour of each other involving the designated anatomic area (</w:t>
      </w:r>
      <w:r w:rsidR="00342951" w:rsidRPr="009A5185">
        <w:rPr>
          <w:rFonts w:cs="Arial"/>
        </w:rPr>
        <w:t>i.e.,</w:t>
      </w:r>
      <w:r w:rsidR="00C12B40" w:rsidRPr="009A5185">
        <w:rPr>
          <w:rFonts w:cs="Arial"/>
        </w:rPr>
        <w:t xml:space="preserve"> head</w:t>
      </w:r>
      <w:r w:rsidR="00C12B40">
        <w:rPr>
          <w:rFonts w:cs="Arial"/>
        </w:rPr>
        <w:t xml:space="preserve"> or </w:t>
      </w:r>
      <w:r w:rsidR="00C12B40" w:rsidRPr="009A5185">
        <w:rPr>
          <w:rFonts w:cs="Arial"/>
        </w:rPr>
        <w:t xml:space="preserve">abdomen/pelvis). For example, </w:t>
      </w:r>
      <w:r w:rsidR="00C12B40">
        <w:rPr>
          <w:rFonts w:cs="Arial"/>
        </w:rPr>
        <w:t xml:space="preserve">two </w:t>
      </w:r>
      <w:r w:rsidR="00C12B40" w:rsidRPr="009A5185">
        <w:rPr>
          <w:rFonts w:cs="Arial"/>
        </w:rPr>
        <w:t>CT scan</w:t>
      </w:r>
      <w:r w:rsidR="00C12B40">
        <w:rPr>
          <w:rFonts w:cs="Arial"/>
        </w:rPr>
        <w:t>s</w:t>
      </w:r>
      <w:r w:rsidR="00C12B40" w:rsidRPr="009A5185">
        <w:rPr>
          <w:rFonts w:cs="Arial"/>
        </w:rPr>
        <w:t xml:space="preserve"> conducted </w:t>
      </w:r>
      <w:r w:rsidR="00C12B40">
        <w:rPr>
          <w:rFonts w:cs="Arial"/>
        </w:rPr>
        <w:t xml:space="preserve">30-minutes apart </w:t>
      </w:r>
      <w:r w:rsidR="00C12B40" w:rsidRPr="009A5185">
        <w:rPr>
          <w:rFonts w:cs="Arial"/>
        </w:rPr>
        <w:t>on the same patient’s head</w:t>
      </w:r>
      <w:r w:rsidR="00C12B40">
        <w:rPr>
          <w:rFonts w:cs="Arial"/>
        </w:rPr>
        <w:t xml:space="preserve"> are considered one “encounter.”</w:t>
      </w:r>
      <w:r w:rsidR="00C12B40" w:rsidRPr="009A5185">
        <w:rPr>
          <w:rFonts w:cs="Arial"/>
        </w:rPr>
        <w:t xml:space="preserve"> </w:t>
      </w:r>
      <w:r w:rsidR="00C12B40">
        <w:rPr>
          <w:rFonts w:cs="Arial"/>
        </w:rPr>
        <w:t xml:space="preserve">CT scans of the same anatomic area performed with and without contrast are considered one “encounter.” </w:t>
      </w:r>
      <w:r w:rsidR="00C12B40" w:rsidRPr="009A5185">
        <w:rPr>
          <w:rFonts w:cs="Arial"/>
        </w:rPr>
        <w:t xml:space="preserve">Scans of two different anatomic areas </w:t>
      </w:r>
      <w:r w:rsidR="00C12B40">
        <w:rPr>
          <w:rFonts w:cs="Arial"/>
        </w:rPr>
        <w:t xml:space="preserve">performed within one hour </w:t>
      </w:r>
      <w:r w:rsidR="00C12B40" w:rsidRPr="009A5185">
        <w:rPr>
          <w:rFonts w:cs="Arial"/>
        </w:rPr>
        <w:t>would not be considered the same “encounter.” Scans of the same anatomic area performed greater than 60 minutes apart would also not be considered the same “encounter</w:t>
      </w:r>
      <w:r w:rsidR="00654BBA">
        <w:rPr>
          <w:rFonts w:cs="Arial"/>
        </w:rPr>
        <w:t>.</w:t>
      </w:r>
      <w:r w:rsidR="00C12B40" w:rsidRPr="009A5185">
        <w:rPr>
          <w:rFonts w:cs="Arial"/>
        </w:rPr>
        <w:t>”</w:t>
      </w:r>
    </w:p>
    <w:p w14:paraId="0A9EDBE3" w14:textId="77777777" w:rsidR="00C12B40" w:rsidRPr="00C670ED" w:rsidRDefault="00C12B40" w:rsidP="00C12B40">
      <w:pPr>
        <w:rPr>
          <w:rFonts w:cs="Arial"/>
          <w:sz w:val="16"/>
          <w:szCs w:val="16"/>
        </w:rPr>
      </w:pPr>
    </w:p>
    <w:p w14:paraId="0B664512" w14:textId="617CA17B" w:rsidR="00C12B40" w:rsidRDefault="00C12B40" w:rsidP="00C12B40">
      <w:pPr>
        <w:rPr>
          <w:rFonts w:cs="Arial"/>
        </w:rPr>
      </w:pPr>
      <w:r w:rsidRPr="009A5185">
        <w:rPr>
          <w:rFonts w:cs="Arial"/>
        </w:rPr>
        <w:t xml:space="preserve">Note </w:t>
      </w:r>
      <w:r w:rsidR="003B4C3F">
        <w:rPr>
          <w:rFonts w:cs="Arial"/>
        </w:rPr>
        <w:t>3</w:t>
      </w:r>
      <w:r w:rsidRPr="009A5185">
        <w:rPr>
          <w:rFonts w:cs="Arial"/>
        </w:rPr>
        <w:t xml:space="preserve">: This measure includes two sets of instructions in the table below: one for hospitals using dose monitoring software and one for hospitals that are not using dose monitoring software. Please be sure to use the correct set of instructions. </w:t>
      </w:r>
    </w:p>
    <w:p w14:paraId="6D748074" w14:textId="77777777" w:rsidR="00C12B40" w:rsidRPr="00C670ED" w:rsidRDefault="00C12B40" w:rsidP="00C12B40">
      <w:pPr>
        <w:rPr>
          <w:rFonts w:cs="Arial"/>
          <w:sz w:val="16"/>
          <w:szCs w:val="16"/>
        </w:rPr>
      </w:pPr>
    </w:p>
    <w:p w14:paraId="2970D5D5" w14:textId="1A8A71D9" w:rsidR="00C12B40" w:rsidRDefault="00C12B40" w:rsidP="00C12B40">
      <w:pPr>
        <w:rPr>
          <w:snapToGrid w:val="0"/>
        </w:rPr>
      </w:pPr>
      <w:r>
        <w:rPr>
          <w:rFonts w:cs="Arial"/>
        </w:rPr>
        <w:t xml:space="preserve">Note </w:t>
      </w:r>
      <w:r w:rsidR="003B4C3F">
        <w:rPr>
          <w:rFonts w:cs="Arial"/>
        </w:rPr>
        <w:t>4</w:t>
      </w:r>
      <w:r>
        <w:rPr>
          <w:rFonts w:cs="Arial"/>
        </w:rPr>
        <w:t xml:space="preserve">: Hospitals performing manual data collection must use the CT Dose Workbook </w:t>
      </w:r>
      <w:r w:rsidR="00123D1F">
        <w:rPr>
          <w:rFonts w:cs="Arial"/>
        </w:rPr>
        <w:t xml:space="preserve">provided on the </w:t>
      </w:r>
      <w:hyperlink r:id="rId451" w:history="1">
        <w:r w:rsidR="00123D1F" w:rsidRPr="00123D1F">
          <w:rPr>
            <w:rStyle w:val="Hyperlink"/>
            <w:rFonts w:cs="Arial"/>
          </w:rPr>
          <w:t xml:space="preserve">Survey </w:t>
        </w:r>
        <w:r w:rsidR="001B004E">
          <w:rPr>
            <w:rStyle w:val="Hyperlink"/>
            <w:rFonts w:cs="Arial"/>
          </w:rPr>
          <w:t xml:space="preserve">and CPOE </w:t>
        </w:r>
        <w:r w:rsidR="00123D1F" w:rsidRPr="00123D1F">
          <w:rPr>
            <w:rStyle w:val="Hyperlink"/>
            <w:rFonts w:cs="Arial"/>
          </w:rPr>
          <w:t>Materials webpage</w:t>
        </w:r>
      </w:hyperlink>
      <w:r w:rsidR="00123D1F">
        <w:rPr>
          <w:rFonts w:cs="Arial"/>
        </w:rPr>
        <w:t xml:space="preserve"> </w:t>
      </w:r>
      <w:r>
        <w:rPr>
          <w:rFonts w:cs="Arial"/>
        </w:rPr>
        <w:t xml:space="preserve">to standardize their CT radiation dose length product (DLP) for head scans to </w:t>
      </w:r>
      <w:r w:rsidRPr="00C04766">
        <w:rPr>
          <w:snapToGrid w:val="0"/>
        </w:rPr>
        <w:t>16cm phantoms and abdomen/pelvis scans to 32cm phantoms.</w:t>
      </w:r>
    </w:p>
    <w:p w14:paraId="68C8113C" w14:textId="77777777" w:rsidR="00C12B40" w:rsidRPr="00C670ED" w:rsidRDefault="00C12B40" w:rsidP="00C12B40">
      <w:pPr>
        <w:rPr>
          <w:snapToGrid w:val="0"/>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0"/>
      </w:tblGrid>
      <w:tr w:rsidR="00C12B40" w:rsidRPr="009A5185" w14:paraId="5DF61575" w14:textId="77777777" w:rsidTr="00CA1CBD">
        <w:trPr>
          <w:trHeight w:val="288"/>
        </w:trPr>
        <w:tc>
          <w:tcPr>
            <w:tcW w:w="5000" w:type="pct"/>
            <w:vAlign w:val="center"/>
          </w:tcPr>
          <w:p w14:paraId="5E4A283A" w14:textId="77777777" w:rsidR="00C12B40" w:rsidRPr="009A5185" w:rsidRDefault="00C12B40" w:rsidP="00CA75AB">
            <w:pPr>
              <w:autoSpaceDE w:val="0"/>
              <w:autoSpaceDN w:val="0"/>
              <w:adjustRightInd w:val="0"/>
              <w:rPr>
                <w:rFonts w:cs="Arial"/>
                <w:b/>
              </w:rPr>
            </w:pPr>
            <w:r w:rsidRPr="009A5185">
              <w:rPr>
                <w:rFonts w:cs="Arial"/>
                <w:b/>
              </w:rPr>
              <w:t xml:space="preserve">Source: </w:t>
            </w:r>
            <w:r w:rsidRPr="009A5185">
              <w:rPr>
                <w:rFonts w:cs="Arial"/>
              </w:rPr>
              <w:t>University of California, San Francisco (NQF #2820)</w:t>
            </w:r>
          </w:p>
        </w:tc>
      </w:tr>
      <w:tr w:rsidR="00C12B40" w:rsidRPr="009A5185" w14:paraId="31017588" w14:textId="77777777" w:rsidTr="00CA1CBD">
        <w:trPr>
          <w:trHeight w:val="1152"/>
        </w:trPr>
        <w:tc>
          <w:tcPr>
            <w:tcW w:w="5000" w:type="pct"/>
          </w:tcPr>
          <w:p w14:paraId="44A201EB" w14:textId="49667A83" w:rsidR="00C12B40" w:rsidRPr="009A5185" w:rsidRDefault="00C12B40" w:rsidP="00CA75AB">
            <w:pPr>
              <w:autoSpaceDE w:val="0"/>
              <w:autoSpaceDN w:val="0"/>
              <w:adjustRightInd w:val="0"/>
              <w:rPr>
                <w:rFonts w:cs="Arial"/>
                <w:b/>
              </w:rPr>
            </w:pPr>
            <w:r w:rsidRPr="009A5185">
              <w:rPr>
                <w:rFonts w:cs="Arial"/>
                <w:b/>
                <w:snapToGrid w:val="0"/>
              </w:rPr>
              <w:t>Reporting Period: 12 months</w:t>
            </w:r>
          </w:p>
          <w:p w14:paraId="07A6B633" w14:textId="5E2C062D" w:rsidR="00932F07" w:rsidRPr="00932F07" w:rsidRDefault="00932F07" w:rsidP="00AD309C">
            <w:pPr>
              <w:pStyle w:val="ListParagraph"/>
              <w:numPr>
                <w:ilvl w:val="0"/>
                <w:numId w:val="36"/>
              </w:numPr>
              <w:rPr>
                <w:rFonts w:cs="Arial"/>
                <w:i/>
                <w:snapToGrid w:val="0"/>
              </w:rPr>
            </w:pPr>
            <w:r>
              <w:rPr>
                <w:rFonts w:cs="Arial"/>
                <w:iCs/>
                <w:snapToGrid w:val="0"/>
              </w:rPr>
              <w:t>Surveys submitted prior to September 1:</w:t>
            </w:r>
          </w:p>
          <w:p w14:paraId="47C90E31" w14:textId="263B71F5" w:rsidR="00932F07" w:rsidRPr="009A5185" w:rsidRDefault="00932F07" w:rsidP="00AD309C">
            <w:pPr>
              <w:pStyle w:val="ListParagraph"/>
              <w:numPr>
                <w:ilvl w:val="1"/>
                <w:numId w:val="36"/>
              </w:numPr>
              <w:rPr>
                <w:rFonts w:cs="Arial"/>
                <w:i/>
                <w:snapToGrid w:val="0"/>
              </w:rPr>
            </w:pPr>
            <w:r>
              <w:rPr>
                <w:rFonts w:cs="Arial"/>
                <w:iCs/>
                <w:snapToGrid w:val="0"/>
              </w:rPr>
              <w:t>01/01/202</w:t>
            </w:r>
            <w:r w:rsidR="00AA1E22">
              <w:rPr>
                <w:rFonts w:cs="Arial"/>
                <w:iCs/>
                <w:snapToGrid w:val="0"/>
              </w:rPr>
              <w:t>5</w:t>
            </w:r>
            <w:r>
              <w:rPr>
                <w:rFonts w:cs="Arial"/>
                <w:iCs/>
                <w:snapToGrid w:val="0"/>
              </w:rPr>
              <w:t xml:space="preserve"> </w:t>
            </w:r>
            <w:r w:rsidR="00FC78C7">
              <w:rPr>
                <w:rFonts w:cs="Arial"/>
                <w:iCs/>
                <w:snapToGrid w:val="0"/>
              </w:rPr>
              <w:t>–</w:t>
            </w:r>
            <w:r>
              <w:rPr>
                <w:rFonts w:cs="Arial"/>
                <w:iCs/>
                <w:snapToGrid w:val="0"/>
              </w:rPr>
              <w:t xml:space="preserve"> 12/31/202</w:t>
            </w:r>
            <w:r w:rsidR="00AA1E22">
              <w:rPr>
                <w:rFonts w:cs="Arial"/>
                <w:iCs/>
                <w:snapToGrid w:val="0"/>
              </w:rPr>
              <w:t>5</w:t>
            </w:r>
          </w:p>
          <w:p w14:paraId="597DDBAD" w14:textId="77777777" w:rsidR="00932F07" w:rsidRPr="00932F07" w:rsidRDefault="00C12B40" w:rsidP="00AD309C">
            <w:pPr>
              <w:pStyle w:val="ListParagraph"/>
              <w:numPr>
                <w:ilvl w:val="0"/>
                <w:numId w:val="36"/>
              </w:numPr>
              <w:rPr>
                <w:rFonts w:cs="Arial"/>
                <w:i/>
                <w:snapToGrid w:val="0"/>
              </w:rPr>
            </w:pPr>
            <w:r w:rsidRPr="009A5185">
              <w:rPr>
                <w:rFonts w:cs="Arial"/>
                <w:snapToGrid w:val="0"/>
              </w:rPr>
              <w:t>Surveys (re)submitted on or after September 1</w:t>
            </w:r>
            <w:r w:rsidR="00932F07">
              <w:rPr>
                <w:rFonts w:cs="Arial"/>
                <w:snapToGrid w:val="0"/>
              </w:rPr>
              <w:t>:</w:t>
            </w:r>
          </w:p>
          <w:p w14:paraId="62D21877" w14:textId="659AC6BC" w:rsidR="00C12B40" w:rsidRPr="00753419" w:rsidRDefault="00C12B40" w:rsidP="00AD309C">
            <w:pPr>
              <w:pStyle w:val="ListParagraph"/>
              <w:numPr>
                <w:ilvl w:val="1"/>
                <w:numId w:val="36"/>
              </w:numPr>
              <w:rPr>
                <w:rFonts w:cs="Arial"/>
                <w:i/>
                <w:snapToGrid w:val="0"/>
              </w:rPr>
            </w:pPr>
            <w:r w:rsidRPr="009A5185">
              <w:rPr>
                <w:rFonts w:cs="Arial"/>
                <w:snapToGrid w:val="0"/>
              </w:rPr>
              <w:t>07/01/</w:t>
            </w:r>
            <w:r>
              <w:rPr>
                <w:rFonts w:cs="Arial"/>
                <w:snapToGrid w:val="0"/>
              </w:rPr>
              <w:t>20</w:t>
            </w:r>
            <w:r w:rsidR="00932F07">
              <w:rPr>
                <w:rFonts w:cs="Arial"/>
                <w:snapToGrid w:val="0"/>
              </w:rPr>
              <w:t>2</w:t>
            </w:r>
            <w:r w:rsidR="00AA1E22">
              <w:rPr>
                <w:rFonts w:cs="Arial"/>
                <w:snapToGrid w:val="0"/>
              </w:rPr>
              <w:t>5</w:t>
            </w:r>
            <w:r w:rsidRPr="009A5185">
              <w:rPr>
                <w:rFonts w:cs="Arial"/>
                <w:snapToGrid w:val="0"/>
              </w:rPr>
              <w:t xml:space="preserve"> </w:t>
            </w:r>
            <w:r w:rsidR="00FC78C7">
              <w:rPr>
                <w:rFonts w:cs="Arial"/>
                <w:snapToGrid w:val="0"/>
              </w:rPr>
              <w:t>–</w:t>
            </w:r>
            <w:r w:rsidRPr="009A5185">
              <w:rPr>
                <w:rFonts w:cs="Arial"/>
                <w:snapToGrid w:val="0"/>
              </w:rPr>
              <w:t xml:space="preserve"> 06/30/</w:t>
            </w:r>
            <w:r>
              <w:rPr>
                <w:rFonts w:cs="Arial"/>
                <w:snapToGrid w:val="0"/>
              </w:rPr>
              <w:t>202</w:t>
            </w:r>
            <w:r w:rsidR="00AA1E22">
              <w:rPr>
                <w:rFonts w:cs="Arial"/>
                <w:snapToGrid w:val="0"/>
              </w:rPr>
              <w:t>6</w:t>
            </w:r>
            <w:r w:rsidR="00FC78C7">
              <w:rPr>
                <w:rFonts w:cs="Arial"/>
                <w:snapToGrid w:val="0"/>
              </w:rPr>
              <w:t xml:space="preserve"> </w:t>
            </w:r>
          </w:p>
        </w:tc>
      </w:tr>
    </w:tbl>
    <w:p w14:paraId="2006B641" w14:textId="77777777" w:rsidR="00C12B40" w:rsidRPr="00C670ED" w:rsidRDefault="00C12B40" w:rsidP="00C12B40">
      <w:pPr>
        <w:rPr>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0"/>
      </w:tblGrid>
      <w:tr w:rsidR="00C12B40" w:rsidRPr="009A5185" w14:paraId="4D74109C" w14:textId="77777777" w:rsidTr="004F63C1">
        <w:trPr>
          <w:trHeight w:val="432"/>
        </w:trPr>
        <w:tc>
          <w:tcPr>
            <w:tcW w:w="5000" w:type="pct"/>
            <w:shd w:val="clear" w:color="auto" w:fill="BFBFBF" w:themeFill="background1" w:themeFillShade="BF"/>
            <w:vAlign w:val="center"/>
          </w:tcPr>
          <w:p w14:paraId="3C8A98E8" w14:textId="77777777" w:rsidR="00C12B40" w:rsidRPr="009A5185" w:rsidRDefault="00C12B40" w:rsidP="00A212A4">
            <w:pPr>
              <w:pStyle w:val="NoSpacing"/>
              <w:rPr>
                <w:rFonts w:ascii="Arial" w:hAnsi="Arial" w:cs="Arial"/>
                <w:b/>
                <w:sz w:val="20"/>
              </w:rPr>
            </w:pPr>
            <w:r w:rsidRPr="009A5185">
              <w:rPr>
                <w:rFonts w:ascii="Arial" w:hAnsi="Arial" w:cs="Arial"/>
                <w:b/>
                <w:sz w:val="20"/>
              </w:rPr>
              <w:t>Hospitals participating in the ACR National Radiology Data Registry:</w:t>
            </w:r>
          </w:p>
          <w:p w14:paraId="2C18C616" w14:textId="77777777" w:rsidR="00C12B40" w:rsidRPr="009A5185" w:rsidRDefault="00C12B40" w:rsidP="00A212A4">
            <w:pPr>
              <w:pStyle w:val="NoSpacing"/>
              <w:rPr>
                <w:rFonts w:ascii="Arial" w:hAnsi="Arial" w:cs="Arial"/>
                <w:sz w:val="20"/>
              </w:rPr>
            </w:pPr>
            <w:r w:rsidRPr="009A5185">
              <w:rPr>
                <w:rFonts w:ascii="Arial" w:hAnsi="Arial" w:cs="Arial"/>
                <w:sz w:val="20"/>
              </w:rPr>
              <w:t>Data for this measure can be obtained directly from a special Leapfrog report. See details below.</w:t>
            </w:r>
          </w:p>
        </w:tc>
      </w:tr>
      <w:tr w:rsidR="00C12B40" w:rsidRPr="009A5185" w14:paraId="4FAD8E31" w14:textId="77777777" w:rsidTr="004F63C1">
        <w:trPr>
          <w:trHeight w:val="2016"/>
        </w:trPr>
        <w:tc>
          <w:tcPr>
            <w:tcW w:w="5000" w:type="pct"/>
            <w:vAlign w:val="center"/>
          </w:tcPr>
          <w:p w14:paraId="47B396D0" w14:textId="2794C953" w:rsidR="00C12B40" w:rsidRPr="009A5185" w:rsidRDefault="00C12B40" w:rsidP="00A212A4">
            <w:pPr>
              <w:rPr>
                <w:rFonts w:cs="Arial"/>
                <w:b/>
              </w:rPr>
            </w:pPr>
            <w:r w:rsidRPr="009A5185">
              <w:rPr>
                <w:rFonts w:cs="Arial"/>
              </w:rPr>
              <w:t>Hospitals that report to the American College of Radiology (ACR) and receive reports through the National Radiology Data Registry (NRDR) will be able to respond to questions #</w:t>
            </w:r>
            <w:r>
              <w:rPr>
                <w:rFonts w:cs="Arial"/>
              </w:rPr>
              <w:t xml:space="preserve">6-7 </w:t>
            </w:r>
            <w:r w:rsidRPr="009A5185">
              <w:rPr>
                <w:rFonts w:cs="Arial"/>
              </w:rPr>
              <w:t xml:space="preserve">in Section </w:t>
            </w:r>
            <w:r w:rsidR="00FC78C7">
              <w:rPr>
                <w:rFonts w:cs="Arial"/>
              </w:rPr>
              <w:t>8</w:t>
            </w:r>
            <w:r w:rsidRPr="009A5185">
              <w:rPr>
                <w:rFonts w:cs="Arial"/>
              </w:rPr>
              <w:t xml:space="preserve">B using a specialized report that will be made available with the quarterly Dose Index Registry Executive Summary reports. This separate “Leapfrog” report will be available for download through the NRDR </w:t>
            </w:r>
            <w:r w:rsidR="006730FE" w:rsidRPr="009A5185">
              <w:rPr>
                <w:rFonts w:cs="Arial"/>
              </w:rPr>
              <w:t>portal and</w:t>
            </w:r>
            <w:r w:rsidRPr="009A5185">
              <w:rPr>
                <w:rFonts w:cs="Arial"/>
              </w:rPr>
              <w:t xml:space="preserve"> will contain data according to the age ranges and measure specifications of the Leapfrog Hospital Survey. </w:t>
            </w:r>
            <w:r w:rsidRPr="00C93EC1">
              <w:rPr>
                <w:rFonts w:cs="Arial"/>
                <w:b/>
              </w:rPr>
              <w:t xml:space="preserve">Enter values </w:t>
            </w:r>
            <w:r>
              <w:rPr>
                <w:rFonts w:cs="Arial"/>
                <w:b/>
              </w:rPr>
              <w:t xml:space="preserve">from the “Leapfrog” tab using the “Table: Pediatric Exams for Leapfrog Survey” and the appropriate percentiles in the Head and Abdomen Pelvis columns </w:t>
            </w:r>
            <w:r w:rsidRPr="00C93EC1">
              <w:rPr>
                <w:rFonts w:cs="Arial"/>
                <w:b/>
              </w:rPr>
              <w:t xml:space="preserve">rounded to the nearest </w:t>
            </w:r>
            <w:r>
              <w:rPr>
                <w:rFonts w:cs="Arial"/>
                <w:b/>
              </w:rPr>
              <w:t>whole number directly into the Online Hospital Survey Tool</w:t>
            </w:r>
            <w:r w:rsidRPr="00C93EC1">
              <w:rPr>
                <w:rFonts w:cs="Arial"/>
                <w:b/>
              </w:rPr>
              <w:t>.</w:t>
            </w:r>
            <w:r>
              <w:rPr>
                <w:rFonts w:cs="Arial"/>
                <w:b/>
              </w:rPr>
              <w:t xml:space="preserve"> </w:t>
            </w:r>
            <w:r w:rsidR="009752AC" w:rsidRPr="009752AC">
              <w:rPr>
                <w:rFonts w:cs="Arial"/>
                <w:bCs/>
              </w:rPr>
              <w:t>While this report should be from the most recent 12 months, it does not need to include the full 12 months.</w:t>
            </w:r>
            <w:r w:rsidR="009752AC">
              <w:rPr>
                <w:rFonts w:cs="Arial"/>
                <w:b/>
              </w:rPr>
              <w:t xml:space="preserve"> </w:t>
            </w:r>
          </w:p>
        </w:tc>
      </w:tr>
    </w:tbl>
    <w:p w14:paraId="5034C577" w14:textId="77777777" w:rsidR="00C12B40" w:rsidRPr="00C670ED" w:rsidRDefault="00C12B40" w:rsidP="00C12B40">
      <w:pPr>
        <w:rPr>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0"/>
      </w:tblGrid>
      <w:tr w:rsidR="00C12B40" w:rsidRPr="009A5185" w14:paraId="7FB42BEB" w14:textId="77777777" w:rsidTr="004F63C1">
        <w:trPr>
          <w:trHeight w:val="432"/>
        </w:trPr>
        <w:tc>
          <w:tcPr>
            <w:tcW w:w="5000" w:type="pct"/>
            <w:shd w:val="clear" w:color="auto" w:fill="BFBFBF" w:themeFill="background1" w:themeFillShade="BF"/>
            <w:vAlign w:val="center"/>
          </w:tcPr>
          <w:p w14:paraId="13885401" w14:textId="77777777" w:rsidR="00C12B40" w:rsidRPr="009A5185" w:rsidRDefault="00C12B40" w:rsidP="00A212A4">
            <w:pPr>
              <w:pStyle w:val="NoSpacing"/>
              <w:rPr>
                <w:rFonts w:ascii="Arial" w:hAnsi="Arial" w:cs="Arial"/>
                <w:b/>
                <w:sz w:val="20"/>
              </w:rPr>
            </w:pPr>
            <w:r w:rsidRPr="009A5185">
              <w:rPr>
                <w:rFonts w:ascii="Arial" w:hAnsi="Arial" w:cs="Arial"/>
                <w:b/>
                <w:sz w:val="20"/>
              </w:rPr>
              <w:t xml:space="preserve">Hospitals using dose monitoring software: </w:t>
            </w:r>
          </w:p>
          <w:p w14:paraId="700B61CF" w14:textId="77777777" w:rsidR="00C12B40" w:rsidRPr="009A5185" w:rsidRDefault="00C12B40" w:rsidP="00A212A4">
            <w:pPr>
              <w:pStyle w:val="NoSpacing"/>
              <w:rPr>
                <w:rFonts w:ascii="Arial" w:hAnsi="Arial" w:cs="Arial"/>
                <w:sz w:val="20"/>
              </w:rPr>
            </w:pPr>
            <w:r w:rsidRPr="009A5185">
              <w:rPr>
                <w:rFonts w:ascii="Arial" w:hAnsi="Arial" w:cs="Arial"/>
                <w:sz w:val="20"/>
              </w:rPr>
              <w:t>Data for this measure can be obtained using dose monitoring software. See instructions below.</w:t>
            </w:r>
          </w:p>
        </w:tc>
      </w:tr>
      <w:tr w:rsidR="00C12B40" w:rsidRPr="009A5185" w14:paraId="5B216E90" w14:textId="77777777" w:rsidTr="00A212A4">
        <w:tc>
          <w:tcPr>
            <w:tcW w:w="5000" w:type="pct"/>
            <w:vAlign w:val="center"/>
          </w:tcPr>
          <w:p w14:paraId="3E05E1F7" w14:textId="7E4BFF3C" w:rsidR="00C12B40" w:rsidRPr="009A5185" w:rsidRDefault="00C12B40" w:rsidP="00A212A4">
            <w:pPr>
              <w:pStyle w:val="NoSpacing"/>
              <w:rPr>
                <w:rFonts w:ascii="Arial" w:hAnsi="Arial" w:cs="Arial"/>
                <w:b/>
                <w:sz w:val="20"/>
                <w:szCs w:val="20"/>
              </w:rPr>
            </w:pPr>
            <w:r w:rsidRPr="009A5185">
              <w:rPr>
                <w:rFonts w:ascii="Arial" w:hAnsi="Arial" w:cs="Arial"/>
                <w:b/>
                <w:sz w:val="20"/>
                <w:szCs w:val="20"/>
              </w:rPr>
              <w:t>Q</w:t>
            </w:r>
            <w:r w:rsidR="00FC78C7">
              <w:rPr>
                <w:rFonts w:ascii="Arial" w:hAnsi="Arial" w:cs="Arial"/>
                <w:b/>
                <w:sz w:val="20"/>
                <w:szCs w:val="20"/>
              </w:rPr>
              <w:t>uestion #</w:t>
            </w:r>
            <w:r>
              <w:rPr>
                <w:rFonts w:ascii="Arial" w:hAnsi="Arial" w:cs="Arial"/>
                <w:b/>
                <w:sz w:val="20"/>
                <w:szCs w:val="20"/>
              </w:rPr>
              <w:t>6</w:t>
            </w:r>
            <w:r w:rsidRPr="009A5185">
              <w:rPr>
                <w:rFonts w:ascii="Arial" w:hAnsi="Arial" w:cs="Arial"/>
                <w:b/>
                <w:sz w:val="20"/>
                <w:szCs w:val="20"/>
              </w:rPr>
              <w:t>, column a: Total Number of Encounters</w:t>
            </w:r>
          </w:p>
          <w:p w14:paraId="02BA837F" w14:textId="15D0665D" w:rsidR="00C12B40" w:rsidRDefault="00C12B40" w:rsidP="00A212A4">
            <w:pPr>
              <w:pStyle w:val="NoSpacing"/>
              <w:rPr>
                <w:rFonts w:ascii="Arial" w:hAnsi="Arial" w:cs="Arial"/>
                <w:sz w:val="20"/>
                <w:szCs w:val="20"/>
              </w:rPr>
            </w:pPr>
            <w:r w:rsidRPr="009A5185">
              <w:rPr>
                <w:rFonts w:ascii="Arial" w:hAnsi="Arial" w:cs="Arial"/>
                <w:sz w:val="20"/>
                <w:szCs w:val="20"/>
              </w:rPr>
              <w:t>Using your dose monitoring software, obtain the total number of encounters in</w:t>
            </w:r>
            <w:r w:rsidR="00B36C21">
              <w:rPr>
                <w:rFonts w:ascii="Arial" w:hAnsi="Arial" w:cs="Arial"/>
                <w:sz w:val="20"/>
                <w:szCs w:val="20"/>
              </w:rPr>
              <w:t xml:space="preserve"> </w:t>
            </w:r>
            <w:r w:rsidRPr="009A5185">
              <w:rPr>
                <w:rFonts w:ascii="Arial" w:hAnsi="Arial" w:cs="Arial"/>
                <w:b/>
                <w:sz w:val="20"/>
                <w:szCs w:val="20"/>
              </w:rPr>
              <w:t>head scans</w:t>
            </w:r>
            <w:r w:rsidRPr="009A5185">
              <w:rPr>
                <w:rFonts w:ascii="Arial" w:hAnsi="Arial" w:cs="Arial"/>
                <w:sz w:val="20"/>
                <w:szCs w:val="20"/>
              </w:rPr>
              <w:t xml:space="preserve"> for each age stratum (&lt;1, 1-4, 5-9, 10-14, 15-17). Enter these values into the Survey. </w:t>
            </w:r>
          </w:p>
          <w:p w14:paraId="48534C8B" w14:textId="77777777" w:rsidR="00C12B40" w:rsidRDefault="00C12B40" w:rsidP="00A212A4">
            <w:pPr>
              <w:pStyle w:val="NoSpacing"/>
              <w:rPr>
                <w:rFonts w:ascii="Arial" w:hAnsi="Arial" w:cs="Arial"/>
                <w:sz w:val="20"/>
                <w:szCs w:val="20"/>
              </w:rPr>
            </w:pPr>
          </w:p>
          <w:p w14:paraId="094A9BC6" w14:textId="77777777" w:rsidR="00521831" w:rsidRPr="009F758E" w:rsidRDefault="00521831" w:rsidP="00A212A4">
            <w:pPr>
              <w:pStyle w:val="NoSpacing"/>
              <w:rPr>
                <w:rFonts w:ascii="Arial" w:hAnsi="Arial" w:cs="Arial"/>
                <w:sz w:val="20"/>
                <w:szCs w:val="20"/>
              </w:rPr>
            </w:pPr>
            <w:r w:rsidRPr="006A08C6">
              <w:rPr>
                <w:rFonts w:ascii="Arial" w:hAnsi="Arial" w:cs="Arial"/>
                <w:b/>
                <w:sz w:val="20"/>
                <w:szCs w:val="20"/>
              </w:rPr>
              <w:t>Inclusions:</w:t>
            </w:r>
          </w:p>
          <w:p w14:paraId="0E46B6F3" w14:textId="77777777" w:rsidR="00521831" w:rsidRPr="00F214DA" w:rsidRDefault="00521831" w:rsidP="00A212A4">
            <w:pPr>
              <w:pStyle w:val="NoSpacing"/>
              <w:rPr>
                <w:rFonts w:ascii="Arial" w:hAnsi="Arial" w:cs="Arial"/>
                <w:bCs/>
                <w:sz w:val="20"/>
                <w:szCs w:val="20"/>
              </w:rPr>
            </w:pPr>
            <w:r w:rsidRPr="00F214DA">
              <w:rPr>
                <w:rFonts w:ascii="Arial" w:hAnsi="Arial" w:cs="Arial"/>
                <w:bCs/>
                <w:sz w:val="20"/>
                <w:szCs w:val="20"/>
              </w:rPr>
              <w:t>CT HEAD BRN WO IVCON</w:t>
            </w:r>
          </w:p>
          <w:p w14:paraId="49E54EB6" w14:textId="77777777" w:rsidR="00521831" w:rsidRPr="00F214DA" w:rsidRDefault="00521831" w:rsidP="00A212A4">
            <w:pPr>
              <w:pStyle w:val="NoSpacing"/>
              <w:rPr>
                <w:rFonts w:ascii="Arial" w:hAnsi="Arial" w:cs="Arial"/>
                <w:bCs/>
                <w:sz w:val="20"/>
                <w:szCs w:val="20"/>
              </w:rPr>
            </w:pPr>
            <w:r w:rsidRPr="00F214DA">
              <w:rPr>
                <w:rFonts w:ascii="Arial" w:hAnsi="Arial" w:cs="Arial"/>
                <w:bCs/>
                <w:sz w:val="20"/>
                <w:szCs w:val="20"/>
              </w:rPr>
              <w:t>CT HEAD WO IVCON</w:t>
            </w:r>
          </w:p>
          <w:p w14:paraId="7D096C10" w14:textId="77777777" w:rsidR="00521831" w:rsidRPr="00F214DA" w:rsidRDefault="00521831" w:rsidP="00A212A4">
            <w:pPr>
              <w:pStyle w:val="NoSpacing"/>
              <w:rPr>
                <w:rFonts w:ascii="Arial" w:hAnsi="Arial" w:cs="Arial"/>
                <w:bCs/>
                <w:sz w:val="20"/>
                <w:szCs w:val="20"/>
              </w:rPr>
            </w:pPr>
            <w:r w:rsidRPr="00F214DA">
              <w:rPr>
                <w:rFonts w:ascii="Arial" w:hAnsi="Arial" w:cs="Arial"/>
                <w:bCs/>
                <w:sz w:val="20"/>
                <w:szCs w:val="20"/>
              </w:rPr>
              <w:t>CT PEDS HEAD WO IVCON</w:t>
            </w:r>
          </w:p>
          <w:p w14:paraId="6D839ABF" w14:textId="77777777" w:rsidR="00521831" w:rsidRPr="00F214DA" w:rsidRDefault="00521831" w:rsidP="00A212A4">
            <w:pPr>
              <w:pStyle w:val="NoSpacing"/>
              <w:rPr>
                <w:rFonts w:ascii="Arial" w:hAnsi="Arial" w:cs="Arial"/>
                <w:bCs/>
                <w:sz w:val="20"/>
                <w:szCs w:val="20"/>
              </w:rPr>
            </w:pPr>
            <w:r w:rsidRPr="00F214DA">
              <w:rPr>
                <w:rFonts w:ascii="Arial" w:hAnsi="Arial" w:cs="Arial"/>
                <w:bCs/>
                <w:sz w:val="20"/>
                <w:szCs w:val="20"/>
              </w:rPr>
              <w:t>CT HEAD</w:t>
            </w:r>
          </w:p>
          <w:p w14:paraId="6CD471D1" w14:textId="77777777" w:rsidR="00521831" w:rsidRPr="00F214DA" w:rsidRDefault="00521831" w:rsidP="00A212A4">
            <w:pPr>
              <w:pStyle w:val="NoSpacing"/>
              <w:rPr>
                <w:rFonts w:ascii="Arial" w:hAnsi="Arial" w:cs="Arial"/>
                <w:bCs/>
                <w:sz w:val="20"/>
                <w:szCs w:val="20"/>
              </w:rPr>
            </w:pPr>
            <w:r w:rsidRPr="00F214DA">
              <w:rPr>
                <w:rFonts w:ascii="Arial" w:hAnsi="Arial" w:cs="Arial"/>
                <w:bCs/>
                <w:sz w:val="20"/>
                <w:szCs w:val="20"/>
              </w:rPr>
              <w:t>CT PEDS HEAD BRN WO IVCON</w:t>
            </w:r>
          </w:p>
          <w:p w14:paraId="2D1F5670" w14:textId="77777777" w:rsidR="00521831" w:rsidRPr="00F214DA" w:rsidRDefault="00521831" w:rsidP="00A212A4">
            <w:pPr>
              <w:pStyle w:val="NoSpacing"/>
              <w:rPr>
                <w:rFonts w:ascii="Arial" w:hAnsi="Arial" w:cs="Arial"/>
                <w:bCs/>
                <w:sz w:val="20"/>
                <w:szCs w:val="20"/>
              </w:rPr>
            </w:pPr>
            <w:r w:rsidRPr="00F214DA">
              <w:rPr>
                <w:rFonts w:ascii="Arial" w:hAnsi="Arial" w:cs="Arial"/>
                <w:bCs/>
                <w:sz w:val="20"/>
                <w:szCs w:val="20"/>
              </w:rPr>
              <w:t>CT BRN WO IVCON</w:t>
            </w:r>
          </w:p>
          <w:p w14:paraId="2643D5BD" w14:textId="77777777" w:rsidR="00521831" w:rsidRPr="00F214DA" w:rsidRDefault="00521831" w:rsidP="00A212A4">
            <w:pPr>
              <w:pStyle w:val="NoSpacing"/>
              <w:rPr>
                <w:rFonts w:ascii="Arial" w:hAnsi="Arial" w:cs="Arial"/>
                <w:bCs/>
                <w:sz w:val="20"/>
                <w:szCs w:val="20"/>
              </w:rPr>
            </w:pPr>
            <w:r w:rsidRPr="00F214DA">
              <w:rPr>
                <w:rFonts w:ascii="Arial" w:hAnsi="Arial" w:cs="Arial"/>
                <w:bCs/>
                <w:sz w:val="20"/>
                <w:szCs w:val="20"/>
              </w:rPr>
              <w:t>CT HEAD BRN</w:t>
            </w:r>
          </w:p>
          <w:p w14:paraId="136B7F57" w14:textId="77777777" w:rsidR="00521831" w:rsidRPr="00F214DA" w:rsidRDefault="00521831" w:rsidP="00A212A4">
            <w:pPr>
              <w:pStyle w:val="NoSpacing"/>
              <w:rPr>
                <w:rFonts w:ascii="Arial" w:hAnsi="Arial" w:cs="Arial"/>
                <w:bCs/>
                <w:sz w:val="20"/>
                <w:szCs w:val="20"/>
              </w:rPr>
            </w:pPr>
            <w:r w:rsidRPr="00F214DA">
              <w:rPr>
                <w:rFonts w:ascii="Arial" w:hAnsi="Arial" w:cs="Arial"/>
                <w:bCs/>
                <w:sz w:val="20"/>
                <w:szCs w:val="20"/>
              </w:rPr>
              <w:t>CT HEAD BRN W IVCON</w:t>
            </w:r>
          </w:p>
          <w:p w14:paraId="1E00F19E" w14:textId="77777777" w:rsidR="00521831" w:rsidRPr="00F214DA" w:rsidRDefault="00521831" w:rsidP="00A212A4">
            <w:pPr>
              <w:pStyle w:val="NoSpacing"/>
              <w:rPr>
                <w:rFonts w:ascii="Arial" w:hAnsi="Arial" w:cs="Arial"/>
                <w:bCs/>
                <w:sz w:val="20"/>
                <w:szCs w:val="20"/>
              </w:rPr>
            </w:pPr>
            <w:r w:rsidRPr="00F214DA">
              <w:rPr>
                <w:rFonts w:ascii="Arial" w:hAnsi="Arial" w:cs="Arial"/>
                <w:bCs/>
                <w:sz w:val="20"/>
                <w:szCs w:val="20"/>
              </w:rPr>
              <w:t>CT HEAD W IVCON</w:t>
            </w:r>
          </w:p>
          <w:p w14:paraId="2541F90A" w14:textId="77777777" w:rsidR="00521831" w:rsidRPr="00F214DA" w:rsidRDefault="00521831" w:rsidP="00A212A4">
            <w:pPr>
              <w:pStyle w:val="NoSpacing"/>
              <w:rPr>
                <w:rFonts w:ascii="Arial" w:hAnsi="Arial" w:cs="Arial"/>
                <w:bCs/>
                <w:sz w:val="20"/>
                <w:szCs w:val="20"/>
              </w:rPr>
            </w:pPr>
            <w:r w:rsidRPr="00F214DA">
              <w:rPr>
                <w:rFonts w:ascii="Arial" w:hAnsi="Arial" w:cs="Arial"/>
                <w:bCs/>
                <w:sz w:val="20"/>
                <w:szCs w:val="20"/>
              </w:rPr>
              <w:t>CT HEAD WO &amp; W IVCON</w:t>
            </w:r>
          </w:p>
          <w:p w14:paraId="6EFBC8C6" w14:textId="77777777" w:rsidR="00521831" w:rsidRPr="00F214DA" w:rsidRDefault="00521831" w:rsidP="00A212A4">
            <w:pPr>
              <w:pStyle w:val="NoSpacing"/>
              <w:rPr>
                <w:rFonts w:ascii="Arial" w:hAnsi="Arial" w:cs="Arial"/>
                <w:bCs/>
                <w:sz w:val="20"/>
                <w:szCs w:val="20"/>
              </w:rPr>
            </w:pPr>
            <w:r w:rsidRPr="00F214DA">
              <w:rPr>
                <w:rFonts w:ascii="Arial" w:hAnsi="Arial" w:cs="Arial"/>
                <w:bCs/>
                <w:sz w:val="20"/>
                <w:szCs w:val="20"/>
              </w:rPr>
              <w:t>CT HEAD BRN WO &amp; W IVCON</w:t>
            </w:r>
          </w:p>
          <w:p w14:paraId="4C525375" w14:textId="77777777" w:rsidR="00521831" w:rsidRPr="00F214DA" w:rsidRDefault="00521831" w:rsidP="00A212A4">
            <w:pPr>
              <w:pStyle w:val="NoSpacing"/>
              <w:rPr>
                <w:rFonts w:ascii="Arial" w:hAnsi="Arial" w:cs="Arial"/>
                <w:bCs/>
                <w:sz w:val="20"/>
                <w:szCs w:val="20"/>
              </w:rPr>
            </w:pPr>
            <w:r w:rsidRPr="00F214DA">
              <w:rPr>
                <w:rFonts w:ascii="Arial" w:hAnsi="Arial" w:cs="Arial"/>
                <w:bCs/>
                <w:sz w:val="20"/>
                <w:szCs w:val="20"/>
              </w:rPr>
              <w:t>CT BRN WO &amp; W IVCON</w:t>
            </w:r>
          </w:p>
          <w:p w14:paraId="0D588F57" w14:textId="77777777" w:rsidR="00521831" w:rsidRPr="00F214DA" w:rsidRDefault="00521831" w:rsidP="00A212A4">
            <w:pPr>
              <w:pStyle w:val="NoSpacing"/>
              <w:rPr>
                <w:rFonts w:ascii="Arial" w:hAnsi="Arial" w:cs="Arial"/>
                <w:bCs/>
                <w:sz w:val="20"/>
                <w:szCs w:val="20"/>
              </w:rPr>
            </w:pPr>
            <w:r w:rsidRPr="00F214DA">
              <w:rPr>
                <w:rFonts w:ascii="Arial" w:hAnsi="Arial" w:cs="Arial"/>
                <w:bCs/>
                <w:sz w:val="20"/>
                <w:szCs w:val="20"/>
              </w:rPr>
              <w:t>CT BRN W IVCON</w:t>
            </w:r>
          </w:p>
          <w:p w14:paraId="728EA533" w14:textId="77777777" w:rsidR="00C12B40" w:rsidRPr="009A5185" w:rsidRDefault="00C12B40" w:rsidP="00A212A4">
            <w:pPr>
              <w:pStyle w:val="NoSpacing"/>
              <w:rPr>
                <w:rFonts w:ascii="Arial" w:hAnsi="Arial" w:cs="Arial"/>
                <w:b/>
                <w:sz w:val="20"/>
                <w:szCs w:val="20"/>
              </w:rPr>
            </w:pPr>
          </w:p>
          <w:p w14:paraId="65647D27" w14:textId="77777777" w:rsidR="00C12B40" w:rsidRPr="009A5185" w:rsidRDefault="00C12B40" w:rsidP="00A212A4">
            <w:pPr>
              <w:pStyle w:val="NoSpacing"/>
              <w:rPr>
                <w:rFonts w:ascii="Arial" w:hAnsi="Arial" w:cs="Arial"/>
                <w:b/>
                <w:sz w:val="20"/>
                <w:szCs w:val="20"/>
              </w:rPr>
            </w:pPr>
            <w:r w:rsidRPr="009A5185">
              <w:rPr>
                <w:rFonts w:ascii="Arial" w:hAnsi="Arial" w:cs="Arial"/>
                <w:b/>
                <w:sz w:val="20"/>
                <w:szCs w:val="20"/>
              </w:rPr>
              <w:t>Exclusions:</w:t>
            </w:r>
          </w:p>
          <w:p w14:paraId="5B222319" w14:textId="77777777" w:rsidR="00C12B40" w:rsidRDefault="00C12B40" w:rsidP="00AD309C">
            <w:pPr>
              <w:pStyle w:val="ListParagraph"/>
              <w:numPr>
                <w:ilvl w:val="0"/>
                <w:numId w:val="135"/>
              </w:numPr>
              <w:rPr>
                <w:rFonts w:cs="Arial"/>
              </w:rPr>
            </w:pPr>
            <w:r>
              <w:rPr>
                <w:rFonts w:cs="Arial"/>
              </w:rPr>
              <w:t xml:space="preserve">Encounters involving facial bones or sinuses </w:t>
            </w:r>
          </w:p>
          <w:p w14:paraId="47A95F6E" w14:textId="77777777" w:rsidR="00C12B40" w:rsidRDefault="00C12B40" w:rsidP="00AD309C">
            <w:pPr>
              <w:pStyle w:val="ListParagraph"/>
              <w:numPr>
                <w:ilvl w:val="0"/>
                <w:numId w:val="135"/>
              </w:numPr>
              <w:rPr>
                <w:rFonts w:cs="Arial"/>
              </w:rPr>
            </w:pPr>
            <w:r>
              <w:rPr>
                <w:rFonts w:cs="Arial"/>
              </w:rPr>
              <w:t>Encounters where the indication is for a biopsy, including prop studies and stereotactic studies and procedures</w:t>
            </w:r>
          </w:p>
          <w:p w14:paraId="47BEE7A3" w14:textId="720F29C2" w:rsidR="00C12B40" w:rsidRDefault="00C12B40" w:rsidP="00AD309C">
            <w:pPr>
              <w:pStyle w:val="ListParagraph"/>
              <w:numPr>
                <w:ilvl w:val="0"/>
                <w:numId w:val="135"/>
              </w:numPr>
              <w:rPr>
                <w:rFonts w:cs="Arial"/>
              </w:rPr>
            </w:pPr>
            <w:r w:rsidRPr="009F758E">
              <w:rPr>
                <w:rFonts w:cs="Arial"/>
              </w:rPr>
              <w:t>Encounters that cross multiple anatomic areas should be excluded. For example, encounters involving both the head and neck are excluded from the “head” anatomic region.</w:t>
            </w:r>
          </w:p>
          <w:p w14:paraId="4AC1EC11" w14:textId="4BC090FF" w:rsidR="005D4462" w:rsidRPr="009F758E" w:rsidRDefault="005D4462" w:rsidP="00AD309C">
            <w:pPr>
              <w:pStyle w:val="ListParagraph"/>
              <w:numPr>
                <w:ilvl w:val="0"/>
                <w:numId w:val="135"/>
              </w:numPr>
              <w:rPr>
                <w:rFonts w:cs="Arial"/>
              </w:rPr>
            </w:pPr>
            <w:r w:rsidRPr="005D4462">
              <w:rPr>
                <w:rFonts w:cs="Arial"/>
              </w:rPr>
              <w:t xml:space="preserve">Encounters where the documented age is </w:t>
            </w:r>
            <w:r>
              <w:rPr>
                <w:rFonts w:cs="Arial"/>
              </w:rPr>
              <w:t xml:space="preserve">missing or listed as </w:t>
            </w:r>
            <w:r w:rsidRPr="005D4462">
              <w:rPr>
                <w:rFonts w:cs="Arial"/>
              </w:rPr>
              <w:t>the date of admission (i.e., an accurate birthday could not be obtained and therefore the admission date was used), as i</w:t>
            </w:r>
            <w:r>
              <w:rPr>
                <w:rFonts w:cs="Arial"/>
              </w:rPr>
              <w:t>s</w:t>
            </w:r>
            <w:r w:rsidRPr="005D4462">
              <w:rPr>
                <w:rFonts w:cs="Arial"/>
              </w:rPr>
              <w:t xml:space="preserve"> the case </w:t>
            </w:r>
            <w:r>
              <w:rPr>
                <w:rFonts w:cs="Arial"/>
              </w:rPr>
              <w:t>for some</w:t>
            </w:r>
            <w:r w:rsidRPr="005D4462">
              <w:rPr>
                <w:rFonts w:cs="Arial"/>
              </w:rPr>
              <w:t xml:space="preserve"> trauma patients</w:t>
            </w:r>
          </w:p>
          <w:p w14:paraId="01C9288B" w14:textId="77777777" w:rsidR="00C12B40" w:rsidRPr="009A5185" w:rsidRDefault="00C12B40" w:rsidP="00A212A4">
            <w:pPr>
              <w:rPr>
                <w:rFonts w:cs="Arial"/>
              </w:rPr>
            </w:pPr>
          </w:p>
          <w:p w14:paraId="7DBF145B" w14:textId="181E450F" w:rsidR="00C12B40" w:rsidRDefault="00C12B40" w:rsidP="004F63C1">
            <w:r w:rsidRPr="009A5185">
              <w:rPr>
                <w:rFonts w:cs="Arial"/>
                <w:b/>
              </w:rPr>
              <w:t>Sampling Cases:</w:t>
            </w:r>
            <w:r w:rsidR="005D3242">
              <w:rPr>
                <w:rFonts w:cs="Arial"/>
                <w:b/>
              </w:rPr>
              <w:t xml:space="preserve"> </w:t>
            </w:r>
            <w:r w:rsidRPr="009A5185">
              <w:t>Hospitals using dose monitoring software</w:t>
            </w:r>
            <w:r>
              <w:t xml:space="preserve"> must </w:t>
            </w:r>
            <w:r w:rsidRPr="009A5185">
              <w:t xml:space="preserve">report on </w:t>
            </w:r>
            <w:r w:rsidRPr="009A5185">
              <w:rPr>
                <w:u w:val="single"/>
              </w:rPr>
              <w:t>all</w:t>
            </w:r>
            <w:r w:rsidRPr="009A5185">
              <w:t xml:space="preserve"> encounters in the 12-month reporting period.</w:t>
            </w:r>
          </w:p>
          <w:p w14:paraId="1FF4B032" w14:textId="77777777" w:rsidR="002A2454" w:rsidRDefault="002A2454" w:rsidP="00A212A4">
            <w:pPr>
              <w:pStyle w:val="NoSpacing"/>
              <w:rPr>
                <w:rFonts w:ascii="Arial" w:hAnsi="Arial" w:cs="Arial"/>
                <w:sz w:val="20"/>
                <w:szCs w:val="20"/>
              </w:rPr>
            </w:pPr>
          </w:p>
          <w:p w14:paraId="08FC4B11" w14:textId="77777777" w:rsidR="002A2454" w:rsidRPr="002A2454" w:rsidRDefault="002A2454" w:rsidP="002A2454">
            <w:pPr>
              <w:rPr>
                <w:rFonts w:ascii="Calibri" w:hAnsi="Calibri"/>
                <w:b/>
                <w:bCs/>
              </w:rPr>
            </w:pPr>
            <w:r w:rsidRPr="002A2454">
              <w:rPr>
                <w:b/>
                <w:bCs/>
              </w:rPr>
              <w:t xml:space="preserve">Hospitals using </w:t>
            </w:r>
            <w:proofErr w:type="spellStart"/>
            <w:r w:rsidRPr="002A2454">
              <w:rPr>
                <w:b/>
                <w:bCs/>
              </w:rPr>
              <w:t>Radimetrics</w:t>
            </w:r>
            <w:proofErr w:type="spellEnd"/>
            <w:r w:rsidRPr="002A2454">
              <w:rPr>
                <w:b/>
                <w:bCs/>
              </w:rPr>
              <w:t xml:space="preserve"> Dose Monitoring Software: </w:t>
            </w:r>
          </w:p>
          <w:p w14:paraId="51D87D61" w14:textId="1BE34DEC" w:rsidR="002A2454" w:rsidRPr="002A2454" w:rsidRDefault="002A2454" w:rsidP="00AD309C">
            <w:pPr>
              <w:pStyle w:val="ListParagraph"/>
              <w:numPr>
                <w:ilvl w:val="0"/>
                <w:numId w:val="227"/>
              </w:numPr>
              <w:contextualSpacing w:val="0"/>
            </w:pPr>
            <w:r w:rsidRPr="002A2454">
              <w:t xml:space="preserve">If your hospital is using unique study instance UIDs for every scan performed, review your data to ensure that any scans performed on the same patient and same anatomic area within a one-hour timeframe are being combined into one encounter. The DLPs for all scans within the one-hour timeframe should be combined and that combined value used to calculate the percentiles reported to Leapfrog. </w:t>
            </w:r>
          </w:p>
          <w:p w14:paraId="54E47320" w14:textId="01A6B664" w:rsidR="002A2454" w:rsidRPr="002A2454" w:rsidRDefault="002A2454" w:rsidP="00AD309C">
            <w:pPr>
              <w:pStyle w:val="ListParagraph"/>
              <w:numPr>
                <w:ilvl w:val="0"/>
                <w:numId w:val="227"/>
              </w:numPr>
              <w:contextualSpacing w:val="0"/>
              <w:rPr>
                <w:i/>
                <w:iCs/>
              </w:rPr>
            </w:pPr>
            <w:r w:rsidRPr="002A2454">
              <w:t>If your hospital is NOT using unique study instance UIDs and is combining DLPs for all scans performed on the same patient and same anatomic area within one hour into one study instance UID, no review is required as this adheres to the definition of encounter. However, these hospitals should review any repeat or delayed scans to ensure repeat or delayed scans performed greater than 60 minutes apart are not being combined into the same study instance UID.</w:t>
            </w:r>
          </w:p>
        </w:tc>
      </w:tr>
      <w:tr w:rsidR="00C12B40" w:rsidRPr="009A5185" w14:paraId="3A1C859B" w14:textId="77777777" w:rsidTr="004F63C1">
        <w:trPr>
          <w:trHeight w:val="3600"/>
        </w:trPr>
        <w:tc>
          <w:tcPr>
            <w:tcW w:w="5000" w:type="pct"/>
            <w:vAlign w:val="center"/>
          </w:tcPr>
          <w:p w14:paraId="2C9B5F48" w14:textId="02CAD50F" w:rsidR="00C12B40" w:rsidRPr="009A5185" w:rsidRDefault="00C12B40" w:rsidP="00A212A4">
            <w:pPr>
              <w:pStyle w:val="NoSpacing"/>
              <w:rPr>
                <w:rFonts w:ascii="Arial" w:hAnsi="Arial" w:cs="Arial"/>
                <w:b/>
                <w:sz w:val="20"/>
              </w:rPr>
            </w:pPr>
            <w:r w:rsidRPr="009A5185">
              <w:rPr>
                <w:rFonts w:ascii="Arial" w:hAnsi="Arial" w:cs="Arial"/>
                <w:b/>
                <w:sz w:val="20"/>
              </w:rPr>
              <w:t>Q</w:t>
            </w:r>
            <w:r w:rsidR="00FC78C7">
              <w:rPr>
                <w:rFonts w:ascii="Arial" w:hAnsi="Arial" w:cs="Arial"/>
                <w:b/>
                <w:sz w:val="20"/>
              </w:rPr>
              <w:t>uestion #</w:t>
            </w:r>
            <w:r>
              <w:rPr>
                <w:rFonts w:ascii="Arial" w:hAnsi="Arial" w:cs="Arial"/>
                <w:b/>
                <w:sz w:val="20"/>
              </w:rPr>
              <w:t>6</w:t>
            </w:r>
            <w:r w:rsidRPr="009A5185">
              <w:rPr>
                <w:rFonts w:ascii="Arial" w:hAnsi="Arial" w:cs="Arial"/>
                <w:b/>
                <w:sz w:val="20"/>
              </w:rPr>
              <w:t>, columns b, c, and d: 25</w:t>
            </w:r>
            <w:r w:rsidRPr="009A5185">
              <w:rPr>
                <w:rFonts w:ascii="Arial" w:hAnsi="Arial" w:cs="Arial"/>
                <w:b/>
                <w:sz w:val="20"/>
                <w:vertAlign w:val="superscript"/>
              </w:rPr>
              <w:t>th</w:t>
            </w:r>
            <w:r w:rsidRPr="009A5185">
              <w:rPr>
                <w:rFonts w:ascii="Arial" w:hAnsi="Arial" w:cs="Arial"/>
                <w:b/>
                <w:sz w:val="20"/>
              </w:rPr>
              <w:t>, 50</w:t>
            </w:r>
            <w:r w:rsidRPr="009A5185">
              <w:rPr>
                <w:rFonts w:ascii="Arial" w:hAnsi="Arial" w:cs="Arial"/>
                <w:b/>
                <w:sz w:val="20"/>
                <w:vertAlign w:val="superscript"/>
              </w:rPr>
              <w:t>th</w:t>
            </w:r>
            <w:r w:rsidRPr="009A5185">
              <w:rPr>
                <w:rFonts w:ascii="Arial" w:hAnsi="Arial" w:cs="Arial"/>
                <w:b/>
                <w:sz w:val="20"/>
              </w:rPr>
              <w:t>, and 75</w:t>
            </w:r>
            <w:r w:rsidRPr="009A5185">
              <w:rPr>
                <w:rFonts w:ascii="Arial" w:hAnsi="Arial" w:cs="Arial"/>
                <w:b/>
                <w:sz w:val="20"/>
                <w:vertAlign w:val="superscript"/>
              </w:rPr>
              <w:t>th</w:t>
            </w:r>
            <w:r w:rsidRPr="009A5185">
              <w:rPr>
                <w:rFonts w:ascii="Arial" w:hAnsi="Arial" w:cs="Arial"/>
                <w:b/>
                <w:sz w:val="20"/>
              </w:rPr>
              <w:t xml:space="preserve"> Percentiles </w:t>
            </w:r>
          </w:p>
          <w:p w14:paraId="5FA3263F" w14:textId="7D5FEEF5" w:rsidR="00C12B40" w:rsidRPr="009A5185" w:rsidRDefault="00C12B40" w:rsidP="00A212A4">
            <w:pPr>
              <w:pStyle w:val="NoSpacing"/>
              <w:rPr>
                <w:rFonts w:ascii="Arial" w:hAnsi="Arial" w:cs="Arial"/>
                <w:sz w:val="20"/>
              </w:rPr>
            </w:pPr>
            <w:r w:rsidRPr="009A5185">
              <w:rPr>
                <w:rFonts w:ascii="Arial" w:hAnsi="Arial" w:cs="Arial"/>
                <w:sz w:val="20"/>
              </w:rPr>
              <w:t>Based on the encounters identified for each age stratum (column a), use your dose monitoring software to calculate the 25</w:t>
            </w:r>
            <w:r w:rsidRPr="009A5185">
              <w:rPr>
                <w:rFonts w:ascii="Arial" w:hAnsi="Arial" w:cs="Arial"/>
                <w:sz w:val="20"/>
                <w:vertAlign w:val="superscript"/>
              </w:rPr>
              <w:t xml:space="preserve">th </w:t>
            </w:r>
            <w:r w:rsidRPr="009A5185">
              <w:rPr>
                <w:rFonts w:ascii="Arial" w:hAnsi="Arial" w:cs="Arial"/>
                <w:sz w:val="20"/>
              </w:rPr>
              <w:t>percentile (column b), the 50</w:t>
            </w:r>
            <w:r w:rsidRPr="009A5185">
              <w:rPr>
                <w:rFonts w:ascii="Arial" w:hAnsi="Arial" w:cs="Arial"/>
                <w:sz w:val="20"/>
                <w:vertAlign w:val="superscript"/>
              </w:rPr>
              <w:t>th</w:t>
            </w:r>
            <w:r w:rsidRPr="009A5185">
              <w:rPr>
                <w:rFonts w:ascii="Arial" w:hAnsi="Arial" w:cs="Arial"/>
                <w:sz w:val="20"/>
              </w:rPr>
              <w:t xml:space="preserve"> percentile (column c), and the 75</w:t>
            </w:r>
            <w:r w:rsidRPr="009A5185">
              <w:rPr>
                <w:rFonts w:ascii="Arial" w:hAnsi="Arial" w:cs="Arial"/>
                <w:sz w:val="20"/>
                <w:vertAlign w:val="superscript"/>
              </w:rPr>
              <w:t>th</w:t>
            </w:r>
            <w:r w:rsidRPr="009A5185">
              <w:rPr>
                <w:rFonts w:ascii="Arial" w:hAnsi="Arial" w:cs="Arial"/>
                <w:sz w:val="20"/>
              </w:rPr>
              <w:t xml:space="preserve"> percentile (column d) for CT radiation dose length product (DLP) in</w:t>
            </w:r>
            <w:r w:rsidR="00B36C21">
              <w:rPr>
                <w:rFonts w:ascii="Arial" w:hAnsi="Arial" w:cs="Arial"/>
                <w:sz w:val="20"/>
              </w:rPr>
              <w:t xml:space="preserve"> </w:t>
            </w:r>
            <w:r w:rsidRPr="009A5185">
              <w:rPr>
                <w:rFonts w:ascii="Arial" w:hAnsi="Arial" w:cs="Arial"/>
                <w:b/>
                <w:sz w:val="20"/>
              </w:rPr>
              <w:t>head scans</w:t>
            </w:r>
            <w:r>
              <w:rPr>
                <w:rFonts w:ascii="Arial" w:hAnsi="Arial" w:cs="Arial"/>
                <w:b/>
                <w:sz w:val="20"/>
              </w:rPr>
              <w:t xml:space="preserve"> standardized to 16cm phantoms</w:t>
            </w:r>
            <w:r w:rsidRPr="009A5185">
              <w:rPr>
                <w:rFonts w:ascii="Arial" w:hAnsi="Arial" w:cs="Arial"/>
                <w:sz w:val="20"/>
              </w:rPr>
              <w:t xml:space="preserve">. Enter these values into the Survey rounded to the nearest whole number. </w:t>
            </w:r>
          </w:p>
          <w:p w14:paraId="10FF179B" w14:textId="77777777" w:rsidR="00C12B40" w:rsidRPr="009A5185" w:rsidRDefault="00C12B40" w:rsidP="00A212A4">
            <w:pPr>
              <w:pStyle w:val="NoSpacing"/>
              <w:rPr>
                <w:rFonts w:ascii="Arial" w:hAnsi="Arial" w:cs="Arial"/>
                <w:sz w:val="20"/>
              </w:rPr>
            </w:pPr>
          </w:p>
          <w:p w14:paraId="25394B2F" w14:textId="6742BBA3" w:rsidR="00C12B40" w:rsidRPr="009A5185" w:rsidRDefault="00C12B40" w:rsidP="00A212A4">
            <w:pPr>
              <w:pStyle w:val="NoSpacing"/>
              <w:rPr>
                <w:rFonts w:ascii="Arial" w:hAnsi="Arial" w:cs="Arial"/>
                <w:sz w:val="20"/>
              </w:rPr>
            </w:pPr>
            <w:r w:rsidRPr="009A5185">
              <w:rPr>
                <w:rFonts w:ascii="Arial" w:hAnsi="Arial" w:cs="Arial"/>
                <w:sz w:val="20"/>
              </w:rPr>
              <w:t>If the number of encounters for an age stratum (</w:t>
            </w:r>
            <w:r w:rsidR="00CD1F88" w:rsidRPr="009A5185">
              <w:rPr>
                <w:rFonts w:ascii="Arial" w:hAnsi="Arial" w:cs="Arial"/>
                <w:sz w:val="20"/>
              </w:rPr>
              <w:t>i.e.,</w:t>
            </w:r>
            <w:r w:rsidRPr="009A5185">
              <w:rPr>
                <w:rFonts w:ascii="Arial" w:hAnsi="Arial" w:cs="Arial"/>
                <w:sz w:val="20"/>
              </w:rPr>
              <w:t xml:space="preserve"> &lt;1 or 1-4, etc.) is less than 10 (column a), skip columns b, c, and d. If the number of encounters for an age stratum is zero, enter “0” in column a, and skip columns b, c, and d. You cannot leave any rows in column a blank. </w:t>
            </w:r>
          </w:p>
          <w:p w14:paraId="2206148E" w14:textId="77777777" w:rsidR="00C12B40" w:rsidRPr="009A5185" w:rsidRDefault="00C12B40" w:rsidP="00A212A4">
            <w:pPr>
              <w:pStyle w:val="NoSpacing"/>
              <w:rPr>
                <w:rFonts w:ascii="Arial" w:hAnsi="Arial" w:cs="Arial"/>
                <w:b/>
                <w:sz w:val="20"/>
                <w:szCs w:val="20"/>
              </w:rPr>
            </w:pPr>
          </w:p>
          <w:p w14:paraId="5E4F5431" w14:textId="77777777" w:rsidR="00C12B40" w:rsidRPr="009A5185" w:rsidRDefault="00C12B40" w:rsidP="00A212A4">
            <w:pPr>
              <w:pStyle w:val="NoSpacing"/>
              <w:rPr>
                <w:rFonts w:ascii="Arial" w:hAnsi="Arial" w:cs="Arial"/>
                <w:b/>
                <w:sz w:val="20"/>
                <w:szCs w:val="20"/>
              </w:rPr>
            </w:pPr>
            <w:r w:rsidRPr="009A5185">
              <w:rPr>
                <w:rFonts w:ascii="Arial" w:hAnsi="Arial" w:cs="Arial"/>
                <w:b/>
                <w:sz w:val="20"/>
                <w:szCs w:val="20"/>
              </w:rPr>
              <w:t>Phantom Dose Specifications:</w:t>
            </w:r>
          </w:p>
          <w:p w14:paraId="66D4C15B" w14:textId="1BF11D51" w:rsidR="00C12B40" w:rsidRDefault="00C12B40" w:rsidP="00A212A4">
            <w:pPr>
              <w:pStyle w:val="NoSpacing"/>
              <w:rPr>
                <w:rFonts w:ascii="Arial" w:hAnsi="Arial" w:cs="Arial"/>
                <w:sz w:val="20"/>
                <w:szCs w:val="20"/>
              </w:rPr>
            </w:pPr>
            <w:r w:rsidRPr="009A5185">
              <w:rPr>
                <w:rFonts w:ascii="Arial" w:hAnsi="Arial" w:cs="Arial"/>
                <w:sz w:val="20"/>
                <w:szCs w:val="20"/>
              </w:rPr>
              <w:t xml:space="preserve">For head scans, use a 16 cm phantom dose value. The </w:t>
            </w:r>
            <w:r w:rsidR="00FE0E25">
              <w:rPr>
                <w:rFonts w:ascii="Arial" w:hAnsi="Arial" w:cs="Arial"/>
                <w:sz w:val="20"/>
                <w:szCs w:val="20"/>
              </w:rPr>
              <w:t>orange</w:t>
            </w:r>
            <w:r w:rsidRPr="009A5185">
              <w:rPr>
                <w:rFonts w:ascii="Arial" w:hAnsi="Arial" w:cs="Arial"/>
                <w:sz w:val="20"/>
                <w:szCs w:val="20"/>
              </w:rPr>
              <w:t xml:space="preserve"> box in the screenshot below the table is an example of a Dose Report which shows the phantom dose value used. The phantom dose value is used to estimate the radiation dose to the patient.</w:t>
            </w:r>
          </w:p>
          <w:p w14:paraId="05CE8669" w14:textId="7C35A98B" w:rsidR="00ED06C6" w:rsidRDefault="00ED06C6" w:rsidP="00A212A4">
            <w:pPr>
              <w:pStyle w:val="NoSpacing"/>
              <w:rPr>
                <w:rFonts w:ascii="Arial" w:hAnsi="Arial" w:cs="Arial"/>
                <w:sz w:val="20"/>
                <w:szCs w:val="20"/>
              </w:rPr>
            </w:pPr>
          </w:p>
          <w:p w14:paraId="245DB604" w14:textId="31C7CA3E" w:rsidR="002D1792" w:rsidRPr="009A5185" w:rsidRDefault="00ED06C6" w:rsidP="005D3242">
            <w:pPr>
              <w:pStyle w:val="NoSpacing"/>
              <w:rPr>
                <w:rFonts w:ascii="Arial" w:hAnsi="Arial" w:cs="Arial"/>
                <w:sz w:val="20"/>
                <w:szCs w:val="20"/>
              </w:rPr>
            </w:pPr>
            <w:r w:rsidRPr="00ED06C6">
              <w:rPr>
                <w:rFonts w:ascii="Arial" w:hAnsi="Arial" w:cs="Arial"/>
                <w:b/>
                <w:bCs/>
                <w:sz w:val="20"/>
                <w:szCs w:val="20"/>
              </w:rPr>
              <w:t>Scout Doses (</w:t>
            </w:r>
            <w:proofErr w:type="spellStart"/>
            <w:r w:rsidRPr="00ED06C6">
              <w:rPr>
                <w:rFonts w:ascii="Arial" w:hAnsi="Arial" w:cs="Arial"/>
                <w:b/>
                <w:bCs/>
                <w:sz w:val="20"/>
                <w:szCs w:val="20"/>
              </w:rPr>
              <w:t>Topograms</w:t>
            </w:r>
            <w:proofErr w:type="spellEnd"/>
            <w:r w:rsidRPr="00ED06C6">
              <w:rPr>
                <w:rFonts w:ascii="Arial" w:hAnsi="Arial" w:cs="Arial"/>
                <w:b/>
                <w:bCs/>
                <w:sz w:val="20"/>
                <w:szCs w:val="20"/>
              </w:rPr>
              <w:t>)</w:t>
            </w:r>
            <w:r>
              <w:rPr>
                <w:rFonts w:ascii="Arial" w:hAnsi="Arial" w:cs="Arial"/>
                <w:sz w:val="20"/>
                <w:szCs w:val="20"/>
              </w:rPr>
              <w:t xml:space="preserve"> should not be included when calculating the 25</w:t>
            </w:r>
            <w:r w:rsidRPr="00ED06C6">
              <w:rPr>
                <w:rFonts w:ascii="Arial" w:hAnsi="Arial" w:cs="Arial"/>
                <w:sz w:val="20"/>
                <w:szCs w:val="20"/>
                <w:vertAlign w:val="superscript"/>
              </w:rPr>
              <w:t>th</w:t>
            </w:r>
            <w:r>
              <w:rPr>
                <w:rFonts w:ascii="Arial" w:hAnsi="Arial" w:cs="Arial"/>
                <w:sz w:val="20"/>
                <w:szCs w:val="20"/>
              </w:rPr>
              <w:t>, 50</w:t>
            </w:r>
            <w:r w:rsidRPr="00ED06C6">
              <w:rPr>
                <w:rFonts w:ascii="Arial" w:hAnsi="Arial" w:cs="Arial"/>
                <w:sz w:val="20"/>
                <w:szCs w:val="20"/>
                <w:vertAlign w:val="superscript"/>
              </w:rPr>
              <w:t>th</w:t>
            </w:r>
            <w:r>
              <w:rPr>
                <w:rFonts w:ascii="Arial" w:hAnsi="Arial" w:cs="Arial"/>
                <w:sz w:val="20"/>
                <w:szCs w:val="20"/>
              </w:rPr>
              <w:t>, or 75</w:t>
            </w:r>
            <w:r w:rsidRPr="00ED06C6">
              <w:rPr>
                <w:rFonts w:ascii="Arial" w:hAnsi="Arial" w:cs="Arial"/>
                <w:sz w:val="20"/>
                <w:szCs w:val="20"/>
                <w:vertAlign w:val="superscript"/>
              </w:rPr>
              <w:t>th</w:t>
            </w:r>
            <w:r>
              <w:rPr>
                <w:rFonts w:ascii="Arial" w:hAnsi="Arial" w:cs="Arial"/>
                <w:sz w:val="20"/>
                <w:szCs w:val="20"/>
              </w:rPr>
              <w:t xml:space="preserve"> percentiles. </w:t>
            </w:r>
          </w:p>
        </w:tc>
      </w:tr>
      <w:tr w:rsidR="00C12B40" w:rsidRPr="009A5185" w14:paraId="353051A2" w14:textId="77777777" w:rsidTr="00A212A4">
        <w:tc>
          <w:tcPr>
            <w:tcW w:w="5000" w:type="pct"/>
            <w:vAlign w:val="center"/>
          </w:tcPr>
          <w:p w14:paraId="733E5017" w14:textId="3A5C6010" w:rsidR="00C12B40" w:rsidRPr="009F758E" w:rsidRDefault="00C12B40" w:rsidP="00A212A4">
            <w:pPr>
              <w:pStyle w:val="NoSpacing"/>
              <w:rPr>
                <w:rFonts w:ascii="Arial" w:hAnsi="Arial" w:cs="Arial"/>
                <w:b/>
                <w:sz w:val="20"/>
              </w:rPr>
            </w:pPr>
            <w:r w:rsidRPr="009A5185">
              <w:rPr>
                <w:rFonts w:ascii="Arial" w:hAnsi="Arial" w:cs="Arial"/>
                <w:b/>
                <w:sz w:val="20"/>
              </w:rPr>
              <w:t>Q</w:t>
            </w:r>
            <w:r w:rsidR="00FC78C7">
              <w:rPr>
                <w:rFonts w:ascii="Arial" w:hAnsi="Arial" w:cs="Arial"/>
                <w:b/>
                <w:sz w:val="20"/>
              </w:rPr>
              <w:t>uestion #</w:t>
            </w:r>
            <w:r>
              <w:rPr>
                <w:rFonts w:ascii="Arial" w:hAnsi="Arial" w:cs="Arial"/>
                <w:b/>
                <w:sz w:val="20"/>
              </w:rPr>
              <w:t xml:space="preserve">7 </w:t>
            </w:r>
            <w:r w:rsidRPr="009A5185">
              <w:rPr>
                <w:rFonts w:ascii="Arial" w:hAnsi="Arial" w:cs="Arial"/>
                <w:b/>
                <w:sz w:val="20"/>
                <w:szCs w:val="20"/>
              </w:rPr>
              <w:t>column a: Total Number of Encounters</w:t>
            </w:r>
          </w:p>
          <w:p w14:paraId="389378D1" w14:textId="31EEA0A8" w:rsidR="00C12B40" w:rsidRDefault="00C12B40" w:rsidP="00A212A4">
            <w:pPr>
              <w:pStyle w:val="NoSpacing"/>
              <w:rPr>
                <w:rFonts w:ascii="Arial" w:hAnsi="Arial" w:cs="Arial"/>
                <w:sz w:val="20"/>
                <w:szCs w:val="20"/>
              </w:rPr>
            </w:pPr>
            <w:r w:rsidRPr="009A5185">
              <w:rPr>
                <w:rFonts w:ascii="Arial" w:hAnsi="Arial" w:cs="Arial"/>
                <w:sz w:val="20"/>
                <w:szCs w:val="20"/>
              </w:rPr>
              <w:t>Using your dose monitoring software, obtain th</w:t>
            </w:r>
            <w:r>
              <w:rPr>
                <w:rFonts w:ascii="Arial" w:hAnsi="Arial" w:cs="Arial"/>
                <w:sz w:val="20"/>
                <w:szCs w:val="20"/>
              </w:rPr>
              <w:t>e total number of encounters in</w:t>
            </w:r>
            <w:r w:rsidR="00B36C21">
              <w:rPr>
                <w:rFonts w:ascii="Arial" w:hAnsi="Arial" w:cs="Arial"/>
                <w:sz w:val="20"/>
                <w:szCs w:val="20"/>
              </w:rPr>
              <w:t xml:space="preserve"> </w:t>
            </w:r>
            <w:r w:rsidRPr="006A08C6">
              <w:rPr>
                <w:rFonts w:ascii="Arial" w:hAnsi="Arial" w:cs="Arial"/>
                <w:b/>
                <w:sz w:val="20"/>
                <w:szCs w:val="20"/>
              </w:rPr>
              <w:t>abdomen/pelvis</w:t>
            </w:r>
            <w:r w:rsidRPr="009A5185">
              <w:rPr>
                <w:rFonts w:ascii="Arial" w:hAnsi="Arial" w:cs="Arial"/>
                <w:sz w:val="20"/>
                <w:szCs w:val="20"/>
              </w:rPr>
              <w:t xml:space="preserve"> for each age stratum (&lt;1, 1-4, 5-9, 10-14, 15-17). Enter these values into the Survey. </w:t>
            </w:r>
          </w:p>
          <w:p w14:paraId="0C8ECA83" w14:textId="77777777" w:rsidR="00C12B40" w:rsidRDefault="00C12B40" w:rsidP="00A212A4">
            <w:pPr>
              <w:pStyle w:val="NoSpacing"/>
              <w:rPr>
                <w:rFonts w:ascii="Arial" w:hAnsi="Arial" w:cs="Arial"/>
                <w:sz w:val="20"/>
                <w:szCs w:val="20"/>
              </w:rPr>
            </w:pPr>
          </w:p>
          <w:p w14:paraId="0AD3C4F9" w14:textId="77777777" w:rsidR="00521831" w:rsidRPr="009F758E" w:rsidRDefault="00521831" w:rsidP="00A212A4">
            <w:pPr>
              <w:pStyle w:val="NoSpacing"/>
              <w:rPr>
                <w:rFonts w:ascii="Arial" w:hAnsi="Arial" w:cs="Arial"/>
                <w:sz w:val="20"/>
                <w:szCs w:val="20"/>
              </w:rPr>
            </w:pPr>
            <w:r w:rsidRPr="00C14B09">
              <w:rPr>
                <w:rFonts w:ascii="Arial" w:hAnsi="Arial" w:cs="Arial"/>
                <w:b/>
                <w:sz w:val="20"/>
                <w:szCs w:val="20"/>
              </w:rPr>
              <w:t>Inclusions:</w:t>
            </w:r>
          </w:p>
          <w:p w14:paraId="79383502" w14:textId="77777777" w:rsidR="00521831" w:rsidRPr="00F214DA" w:rsidRDefault="00521831" w:rsidP="00A212A4">
            <w:pPr>
              <w:pStyle w:val="NoSpacing"/>
              <w:rPr>
                <w:rFonts w:ascii="Arial" w:hAnsi="Arial" w:cs="Arial"/>
                <w:sz w:val="20"/>
                <w:szCs w:val="20"/>
              </w:rPr>
            </w:pPr>
            <w:r w:rsidRPr="00F214DA">
              <w:rPr>
                <w:rFonts w:ascii="Arial" w:hAnsi="Arial" w:cs="Arial"/>
                <w:color w:val="000000"/>
                <w:sz w:val="20"/>
                <w:szCs w:val="20"/>
              </w:rPr>
              <w:t>CT ABD PELVIS W IVCON</w:t>
            </w:r>
          </w:p>
          <w:p w14:paraId="7C568289" w14:textId="77777777" w:rsidR="00521831" w:rsidRPr="00F214DA" w:rsidRDefault="00521831" w:rsidP="00A212A4">
            <w:pPr>
              <w:pStyle w:val="NoSpacing"/>
              <w:rPr>
                <w:rFonts w:ascii="Arial" w:hAnsi="Arial" w:cs="Arial"/>
                <w:sz w:val="20"/>
                <w:szCs w:val="20"/>
              </w:rPr>
            </w:pPr>
            <w:r w:rsidRPr="00F214DA">
              <w:rPr>
                <w:rFonts w:ascii="Arial" w:hAnsi="Arial" w:cs="Arial"/>
                <w:sz w:val="20"/>
                <w:szCs w:val="20"/>
              </w:rPr>
              <w:t>CT ABD/PEL W IVCON</w:t>
            </w:r>
          </w:p>
          <w:p w14:paraId="1DDAC8DE" w14:textId="77777777" w:rsidR="00521831" w:rsidRPr="00F214DA" w:rsidRDefault="00521831" w:rsidP="00A212A4">
            <w:pPr>
              <w:pStyle w:val="NoSpacing"/>
              <w:rPr>
                <w:rFonts w:ascii="Arial" w:hAnsi="Arial" w:cs="Arial"/>
                <w:sz w:val="20"/>
                <w:szCs w:val="20"/>
              </w:rPr>
            </w:pPr>
            <w:r w:rsidRPr="00F214DA">
              <w:rPr>
                <w:rFonts w:ascii="Arial" w:hAnsi="Arial" w:cs="Arial"/>
                <w:sz w:val="20"/>
                <w:szCs w:val="20"/>
              </w:rPr>
              <w:t>CT PEDS ABD PELVIS</w:t>
            </w:r>
          </w:p>
          <w:p w14:paraId="6D58B34E" w14:textId="77777777" w:rsidR="00521831" w:rsidRPr="00F214DA" w:rsidRDefault="00521831" w:rsidP="00A212A4">
            <w:pPr>
              <w:pStyle w:val="NoSpacing"/>
              <w:rPr>
                <w:rFonts w:ascii="Arial" w:hAnsi="Arial" w:cs="Arial"/>
                <w:sz w:val="20"/>
                <w:szCs w:val="20"/>
              </w:rPr>
            </w:pPr>
            <w:r w:rsidRPr="00F214DA">
              <w:rPr>
                <w:rFonts w:ascii="Arial" w:hAnsi="Arial" w:cs="Arial"/>
                <w:sz w:val="20"/>
                <w:szCs w:val="20"/>
              </w:rPr>
              <w:t>CT ABD PELVIS WO IVCON</w:t>
            </w:r>
          </w:p>
          <w:p w14:paraId="7EE39C30" w14:textId="77777777" w:rsidR="00521831" w:rsidRPr="00F214DA" w:rsidRDefault="00521831" w:rsidP="00A212A4">
            <w:pPr>
              <w:pStyle w:val="NoSpacing"/>
              <w:rPr>
                <w:rFonts w:ascii="Arial" w:hAnsi="Arial" w:cs="Arial"/>
                <w:sz w:val="20"/>
                <w:szCs w:val="20"/>
              </w:rPr>
            </w:pPr>
            <w:r w:rsidRPr="00F214DA">
              <w:rPr>
                <w:rFonts w:ascii="Arial" w:hAnsi="Arial" w:cs="Arial"/>
                <w:sz w:val="20"/>
                <w:szCs w:val="20"/>
              </w:rPr>
              <w:t>CT ABD/PEL WO IVCON</w:t>
            </w:r>
          </w:p>
          <w:p w14:paraId="7CEBCA28" w14:textId="77777777" w:rsidR="00521831" w:rsidRPr="00F214DA" w:rsidRDefault="00521831" w:rsidP="00A212A4">
            <w:pPr>
              <w:pStyle w:val="NoSpacing"/>
              <w:rPr>
                <w:rFonts w:ascii="Arial" w:hAnsi="Arial" w:cs="Arial"/>
                <w:sz w:val="20"/>
                <w:szCs w:val="20"/>
              </w:rPr>
            </w:pPr>
            <w:r w:rsidRPr="00F214DA">
              <w:rPr>
                <w:rFonts w:ascii="Arial" w:hAnsi="Arial" w:cs="Arial"/>
                <w:sz w:val="20"/>
                <w:szCs w:val="20"/>
              </w:rPr>
              <w:t>CT ABD/PEL</w:t>
            </w:r>
          </w:p>
          <w:p w14:paraId="7CB74FF2" w14:textId="77777777" w:rsidR="00521831" w:rsidRPr="00F214DA" w:rsidRDefault="00521831" w:rsidP="00A212A4">
            <w:pPr>
              <w:pStyle w:val="NoSpacing"/>
              <w:rPr>
                <w:rFonts w:ascii="Arial" w:hAnsi="Arial" w:cs="Arial"/>
                <w:sz w:val="20"/>
                <w:szCs w:val="20"/>
              </w:rPr>
            </w:pPr>
            <w:r w:rsidRPr="00F214DA">
              <w:rPr>
                <w:rFonts w:ascii="Arial" w:hAnsi="Arial" w:cs="Arial"/>
                <w:sz w:val="20"/>
                <w:szCs w:val="20"/>
              </w:rPr>
              <w:t>CT PEDS ABD/PEL WO IVCON</w:t>
            </w:r>
          </w:p>
          <w:p w14:paraId="1F82FB04" w14:textId="77777777" w:rsidR="00521831" w:rsidRPr="00F214DA" w:rsidRDefault="00521831" w:rsidP="00A212A4">
            <w:pPr>
              <w:pStyle w:val="NoSpacing"/>
              <w:rPr>
                <w:rFonts w:ascii="Arial" w:hAnsi="Arial" w:cs="Arial"/>
                <w:sz w:val="20"/>
                <w:szCs w:val="20"/>
              </w:rPr>
            </w:pPr>
            <w:r w:rsidRPr="00F214DA">
              <w:rPr>
                <w:rFonts w:ascii="Arial" w:hAnsi="Arial" w:cs="Arial"/>
                <w:sz w:val="20"/>
                <w:szCs w:val="20"/>
              </w:rPr>
              <w:t>CT ABD PELVIS WO &amp; W IVCON</w:t>
            </w:r>
          </w:p>
          <w:p w14:paraId="7EE484EB" w14:textId="77777777" w:rsidR="00521831" w:rsidRPr="00F214DA" w:rsidRDefault="00521831" w:rsidP="00A212A4">
            <w:pPr>
              <w:pStyle w:val="NoSpacing"/>
              <w:rPr>
                <w:rFonts w:ascii="Arial" w:hAnsi="Arial" w:cs="Arial"/>
                <w:sz w:val="20"/>
                <w:szCs w:val="20"/>
              </w:rPr>
            </w:pPr>
            <w:r w:rsidRPr="00F214DA">
              <w:rPr>
                <w:rFonts w:ascii="Arial" w:hAnsi="Arial" w:cs="Arial"/>
                <w:sz w:val="20"/>
                <w:szCs w:val="20"/>
              </w:rPr>
              <w:t>CT ABD/PEL WO &amp; W IVCON</w:t>
            </w:r>
          </w:p>
          <w:p w14:paraId="1FCC1B9E" w14:textId="77777777" w:rsidR="00521831" w:rsidRPr="00F214DA" w:rsidRDefault="00521831" w:rsidP="00A212A4">
            <w:pPr>
              <w:pStyle w:val="NoSpacing"/>
              <w:rPr>
                <w:rFonts w:ascii="Arial" w:hAnsi="Arial" w:cs="Arial"/>
                <w:sz w:val="20"/>
                <w:szCs w:val="20"/>
              </w:rPr>
            </w:pPr>
            <w:r w:rsidRPr="00F214DA">
              <w:rPr>
                <w:rFonts w:ascii="Arial" w:hAnsi="Arial" w:cs="Arial"/>
                <w:sz w:val="20"/>
                <w:szCs w:val="20"/>
              </w:rPr>
              <w:t>CT ABD PELVIS</w:t>
            </w:r>
          </w:p>
          <w:p w14:paraId="744C33C5" w14:textId="77777777" w:rsidR="00521831" w:rsidRPr="00F214DA" w:rsidRDefault="00521831" w:rsidP="00A212A4">
            <w:pPr>
              <w:pStyle w:val="NoSpacing"/>
              <w:rPr>
                <w:rFonts w:ascii="Arial" w:hAnsi="Arial" w:cs="Arial"/>
                <w:sz w:val="20"/>
                <w:szCs w:val="20"/>
              </w:rPr>
            </w:pPr>
            <w:r w:rsidRPr="00F214DA">
              <w:rPr>
                <w:rFonts w:ascii="Arial" w:hAnsi="Arial" w:cs="Arial"/>
                <w:sz w:val="20"/>
                <w:szCs w:val="20"/>
              </w:rPr>
              <w:t>CT ABD PELVIS WO IVCON</w:t>
            </w:r>
          </w:p>
          <w:p w14:paraId="6C9D972E" w14:textId="77777777" w:rsidR="00B84E83" w:rsidRDefault="00B84E83" w:rsidP="00A212A4">
            <w:pPr>
              <w:pStyle w:val="NoSpacing"/>
              <w:rPr>
                <w:rFonts w:ascii="Arial" w:hAnsi="Arial" w:cs="Arial"/>
                <w:b/>
                <w:sz w:val="20"/>
                <w:szCs w:val="20"/>
              </w:rPr>
            </w:pPr>
          </w:p>
          <w:p w14:paraId="638F88DB" w14:textId="487C88EC" w:rsidR="00C12B40" w:rsidRPr="006A08C6" w:rsidRDefault="00C12B40" w:rsidP="00A212A4">
            <w:pPr>
              <w:pStyle w:val="NoSpacing"/>
              <w:rPr>
                <w:rFonts w:cs="Arial"/>
                <w:b/>
              </w:rPr>
            </w:pPr>
            <w:r w:rsidRPr="009A5185">
              <w:rPr>
                <w:rFonts w:ascii="Arial" w:hAnsi="Arial" w:cs="Arial"/>
                <w:b/>
                <w:sz w:val="20"/>
                <w:szCs w:val="20"/>
              </w:rPr>
              <w:t>Exclusions:</w:t>
            </w:r>
          </w:p>
          <w:p w14:paraId="14823498" w14:textId="77777777" w:rsidR="00C12B40" w:rsidRDefault="00C12B40" w:rsidP="00AD309C">
            <w:pPr>
              <w:pStyle w:val="ListParagraph"/>
              <w:numPr>
                <w:ilvl w:val="0"/>
                <w:numId w:val="135"/>
              </w:numPr>
              <w:rPr>
                <w:rFonts w:cs="Arial"/>
              </w:rPr>
            </w:pPr>
            <w:r>
              <w:rPr>
                <w:rFonts w:cs="Arial"/>
              </w:rPr>
              <w:t>Encounters where the indication is for a biopsy, including prop studies and stereotactic studies and procedures</w:t>
            </w:r>
          </w:p>
          <w:p w14:paraId="6228686F" w14:textId="26956E19" w:rsidR="00C12B40" w:rsidRDefault="00C12B40" w:rsidP="00AD309C">
            <w:pPr>
              <w:pStyle w:val="ListParagraph"/>
              <w:numPr>
                <w:ilvl w:val="0"/>
                <w:numId w:val="135"/>
              </w:numPr>
              <w:rPr>
                <w:rFonts w:cs="Arial"/>
              </w:rPr>
            </w:pPr>
            <w:r w:rsidRPr="009F758E">
              <w:rPr>
                <w:rFonts w:cs="Arial"/>
              </w:rPr>
              <w:t xml:space="preserve">Encounters that cross multiple anatomic areas should be excluded. For example, encounters involving both the </w:t>
            </w:r>
            <w:r>
              <w:rPr>
                <w:rFonts w:cs="Arial"/>
              </w:rPr>
              <w:t>chest and abdomen/pelvis are excluded from the “abdomen/pelvis</w:t>
            </w:r>
            <w:r w:rsidRPr="009F758E">
              <w:rPr>
                <w:rFonts w:cs="Arial"/>
              </w:rPr>
              <w:t>” anatomic region.</w:t>
            </w:r>
          </w:p>
          <w:p w14:paraId="4DAD6C9A" w14:textId="47165A2B" w:rsidR="005D4462" w:rsidRPr="005D4462" w:rsidRDefault="005D4462" w:rsidP="00AD309C">
            <w:pPr>
              <w:pStyle w:val="ListParagraph"/>
              <w:numPr>
                <w:ilvl w:val="0"/>
                <w:numId w:val="135"/>
              </w:numPr>
              <w:rPr>
                <w:rFonts w:cs="Arial"/>
              </w:rPr>
            </w:pPr>
            <w:r w:rsidRPr="005D4462">
              <w:rPr>
                <w:rFonts w:cs="Arial"/>
              </w:rPr>
              <w:t xml:space="preserve">Encounters where the documented age is </w:t>
            </w:r>
            <w:r>
              <w:rPr>
                <w:rFonts w:cs="Arial"/>
              </w:rPr>
              <w:t xml:space="preserve">missing or listed as </w:t>
            </w:r>
            <w:r w:rsidRPr="005D4462">
              <w:rPr>
                <w:rFonts w:cs="Arial"/>
              </w:rPr>
              <w:t>the date of admission (i.e., an accurate birthday could not be obtained and therefore the admission date was used), as i</w:t>
            </w:r>
            <w:r>
              <w:rPr>
                <w:rFonts w:cs="Arial"/>
              </w:rPr>
              <w:t>s</w:t>
            </w:r>
            <w:r w:rsidRPr="005D4462">
              <w:rPr>
                <w:rFonts w:cs="Arial"/>
              </w:rPr>
              <w:t xml:space="preserve"> the case </w:t>
            </w:r>
            <w:r>
              <w:rPr>
                <w:rFonts w:cs="Arial"/>
              </w:rPr>
              <w:t>for some</w:t>
            </w:r>
            <w:r w:rsidRPr="005D4462">
              <w:rPr>
                <w:rFonts w:cs="Arial"/>
              </w:rPr>
              <w:t xml:space="preserve"> trauma patients</w:t>
            </w:r>
          </w:p>
          <w:p w14:paraId="433B5386" w14:textId="77777777" w:rsidR="00C12B40" w:rsidRPr="009A5185" w:rsidRDefault="00C12B40" w:rsidP="00A212A4">
            <w:pPr>
              <w:rPr>
                <w:rFonts w:cs="Arial"/>
              </w:rPr>
            </w:pPr>
          </w:p>
          <w:p w14:paraId="3E5099FD" w14:textId="27B3CE8B" w:rsidR="00C12B40" w:rsidRPr="00577976" w:rsidRDefault="00C12B40" w:rsidP="004F63C1">
            <w:r w:rsidRPr="009A5185">
              <w:rPr>
                <w:rFonts w:cs="Arial"/>
                <w:b/>
              </w:rPr>
              <w:t>Sampling Cases:</w:t>
            </w:r>
            <w:r w:rsidR="005D3242">
              <w:rPr>
                <w:rFonts w:cs="Arial"/>
                <w:b/>
              </w:rPr>
              <w:t xml:space="preserve"> </w:t>
            </w:r>
            <w:r w:rsidRPr="009A5185">
              <w:t>Hospitals using dose monitoring software</w:t>
            </w:r>
            <w:r>
              <w:t xml:space="preserve"> must </w:t>
            </w:r>
            <w:r w:rsidRPr="009A5185">
              <w:t xml:space="preserve">report on </w:t>
            </w:r>
            <w:r w:rsidRPr="009A5185">
              <w:rPr>
                <w:u w:val="single"/>
              </w:rPr>
              <w:t>all</w:t>
            </w:r>
            <w:r w:rsidRPr="009A5185">
              <w:t xml:space="preserve"> encounters in the 12-month reporting period.</w:t>
            </w:r>
          </w:p>
        </w:tc>
      </w:tr>
      <w:tr w:rsidR="00C12B40" w:rsidRPr="009A5185" w14:paraId="400DC6AE" w14:textId="77777777" w:rsidTr="004F63C1">
        <w:trPr>
          <w:trHeight w:val="3888"/>
        </w:trPr>
        <w:tc>
          <w:tcPr>
            <w:tcW w:w="5000" w:type="pct"/>
            <w:vAlign w:val="center"/>
          </w:tcPr>
          <w:p w14:paraId="19B87BB6" w14:textId="04DE27D3" w:rsidR="00C12B40" w:rsidRPr="009A5185" w:rsidRDefault="00C12B40" w:rsidP="00A212A4">
            <w:pPr>
              <w:pStyle w:val="NoSpacing"/>
              <w:rPr>
                <w:rFonts w:ascii="Arial" w:hAnsi="Arial" w:cs="Arial"/>
                <w:b/>
                <w:sz w:val="20"/>
              </w:rPr>
            </w:pPr>
            <w:r w:rsidRPr="009A5185">
              <w:rPr>
                <w:rFonts w:ascii="Arial" w:hAnsi="Arial" w:cs="Arial"/>
                <w:b/>
                <w:sz w:val="20"/>
              </w:rPr>
              <w:t>Q</w:t>
            </w:r>
            <w:r w:rsidR="00FC78C7">
              <w:rPr>
                <w:rFonts w:ascii="Arial" w:hAnsi="Arial" w:cs="Arial"/>
                <w:b/>
                <w:sz w:val="20"/>
              </w:rPr>
              <w:t>uestion #</w:t>
            </w:r>
            <w:r>
              <w:rPr>
                <w:rFonts w:ascii="Arial" w:hAnsi="Arial" w:cs="Arial"/>
                <w:b/>
                <w:sz w:val="20"/>
              </w:rPr>
              <w:t>7</w:t>
            </w:r>
            <w:r w:rsidRPr="009A5185">
              <w:rPr>
                <w:rFonts w:ascii="Arial" w:hAnsi="Arial" w:cs="Arial"/>
                <w:b/>
                <w:sz w:val="20"/>
              </w:rPr>
              <w:t>, columns b, c, and d: 25</w:t>
            </w:r>
            <w:r w:rsidRPr="009A5185">
              <w:rPr>
                <w:rFonts w:ascii="Arial" w:hAnsi="Arial" w:cs="Arial"/>
                <w:b/>
                <w:sz w:val="20"/>
                <w:vertAlign w:val="superscript"/>
              </w:rPr>
              <w:t>th</w:t>
            </w:r>
            <w:r w:rsidRPr="009A5185">
              <w:rPr>
                <w:rFonts w:ascii="Arial" w:hAnsi="Arial" w:cs="Arial"/>
                <w:b/>
                <w:sz w:val="20"/>
              </w:rPr>
              <w:t>, 50</w:t>
            </w:r>
            <w:r w:rsidRPr="009A5185">
              <w:rPr>
                <w:rFonts w:ascii="Arial" w:hAnsi="Arial" w:cs="Arial"/>
                <w:b/>
                <w:sz w:val="20"/>
                <w:vertAlign w:val="superscript"/>
              </w:rPr>
              <w:t>th</w:t>
            </w:r>
            <w:r w:rsidRPr="009A5185">
              <w:rPr>
                <w:rFonts w:ascii="Arial" w:hAnsi="Arial" w:cs="Arial"/>
                <w:b/>
                <w:sz w:val="20"/>
              </w:rPr>
              <w:t>, and 75</w:t>
            </w:r>
            <w:r w:rsidRPr="009A5185">
              <w:rPr>
                <w:rFonts w:ascii="Arial" w:hAnsi="Arial" w:cs="Arial"/>
                <w:b/>
                <w:sz w:val="20"/>
                <w:vertAlign w:val="superscript"/>
              </w:rPr>
              <w:t>th</w:t>
            </w:r>
            <w:r w:rsidRPr="009A5185">
              <w:rPr>
                <w:rFonts w:ascii="Arial" w:hAnsi="Arial" w:cs="Arial"/>
                <w:b/>
                <w:sz w:val="20"/>
              </w:rPr>
              <w:t xml:space="preserve"> Percentiles </w:t>
            </w:r>
          </w:p>
          <w:p w14:paraId="556EB003" w14:textId="5D94A83A" w:rsidR="00C12B40" w:rsidRPr="009A5185" w:rsidRDefault="00C12B40" w:rsidP="00A212A4">
            <w:pPr>
              <w:pStyle w:val="NoSpacing"/>
              <w:rPr>
                <w:rFonts w:ascii="Arial" w:hAnsi="Arial" w:cs="Arial"/>
                <w:sz w:val="20"/>
              </w:rPr>
            </w:pPr>
            <w:r w:rsidRPr="009A5185">
              <w:rPr>
                <w:rFonts w:ascii="Arial" w:hAnsi="Arial" w:cs="Arial"/>
                <w:sz w:val="20"/>
              </w:rPr>
              <w:t>Based on the encounters identified for each age stratum (column a), use your dose monitoring software to calculate the 25</w:t>
            </w:r>
            <w:r w:rsidRPr="009A5185">
              <w:rPr>
                <w:rFonts w:ascii="Arial" w:hAnsi="Arial" w:cs="Arial"/>
                <w:sz w:val="20"/>
                <w:vertAlign w:val="superscript"/>
              </w:rPr>
              <w:t xml:space="preserve">th </w:t>
            </w:r>
            <w:r w:rsidRPr="009A5185">
              <w:rPr>
                <w:rFonts w:ascii="Arial" w:hAnsi="Arial" w:cs="Arial"/>
                <w:sz w:val="20"/>
              </w:rPr>
              <w:t>percentile (column b), the 50</w:t>
            </w:r>
            <w:r w:rsidRPr="009A5185">
              <w:rPr>
                <w:rFonts w:ascii="Arial" w:hAnsi="Arial" w:cs="Arial"/>
                <w:sz w:val="20"/>
                <w:vertAlign w:val="superscript"/>
              </w:rPr>
              <w:t>th</w:t>
            </w:r>
            <w:r w:rsidRPr="009A5185">
              <w:rPr>
                <w:rFonts w:ascii="Arial" w:hAnsi="Arial" w:cs="Arial"/>
                <w:sz w:val="20"/>
              </w:rPr>
              <w:t xml:space="preserve"> percentile (column c), and the 75</w:t>
            </w:r>
            <w:r w:rsidRPr="009A5185">
              <w:rPr>
                <w:rFonts w:ascii="Arial" w:hAnsi="Arial" w:cs="Arial"/>
                <w:sz w:val="20"/>
                <w:vertAlign w:val="superscript"/>
              </w:rPr>
              <w:t>th</w:t>
            </w:r>
            <w:r w:rsidRPr="009A5185">
              <w:rPr>
                <w:rFonts w:ascii="Arial" w:hAnsi="Arial" w:cs="Arial"/>
                <w:sz w:val="20"/>
              </w:rPr>
              <w:t xml:space="preserve"> percentile (column d) for CT radiation dose length product (DLP) in</w:t>
            </w:r>
            <w:r w:rsidR="00B36C21">
              <w:rPr>
                <w:rFonts w:ascii="Arial" w:hAnsi="Arial" w:cs="Arial"/>
                <w:sz w:val="20"/>
              </w:rPr>
              <w:t xml:space="preserve"> </w:t>
            </w:r>
            <w:r>
              <w:rPr>
                <w:rFonts w:ascii="Arial" w:hAnsi="Arial" w:cs="Arial"/>
                <w:b/>
                <w:sz w:val="20"/>
              </w:rPr>
              <w:t>abdomen/pelvis</w:t>
            </w:r>
            <w:r w:rsidRPr="009A5185">
              <w:rPr>
                <w:rFonts w:ascii="Arial" w:hAnsi="Arial" w:cs="Arial"/>
                <w:b/>
                <w:sz w:val="20"/>
              </w:rPr>
              <w:t xml:space="preserve"> scans</w:t>
            </w:r>
            <w:r>
              <w:rPr>
                <w:rFonts w:ascii="Arial" w:hAnsi="Arial" w:cs="Arial"/>
                <w:b/>
                <w:sz w:val="20"/>
              </w:rPr>
              <w:t xml:space="preserve"> standardized to 32cm phantoms</w:t>
            </w:r>
            <w:r w:rsidRPr="009A5185">
              <w:rPr>
                <w:rFonts w:ascii="Arial" w:hAnsi="Arial" w:cs="Arial"/>
                <w:sz w:val="20"/>
              </w:rPr>
              <w:t xml:space="preserve">. Enter these values into the Survey rounded to the nearest whole number. </w:t>
            </w:r>
          </w:p>
          <w:p w14:paraId="12633417" w14:textId="77777777" w:rsidR="00C12B40" w:rsidRPr="009A5185" w:rsidRDefault="00C12B40" w:rsidP="00A212A4">
            <w:pPr>
              <w:pStyle w:val="NoSpacing"/>
              <w:rPr>
                <w:rFonts w:ascii="Arial" w:hAnsi="Arial" w:cs="Arial"/>
                <w:sz w:val="20"/>
              </w:rPr>
            </w:pPr>
          </w:p>
          <w:p w14:paraId="02D21766" w14:textId="198FA5E0" w:rsidR="00C12B40" w:rsidRPr="009A5185" w:rsidRDefault="00C12B40" w:rsidP="00A212A4">
            <w:pPr>
              <w:pStyle w:val="NoSpacing"/>
              <w:rPr>
                <w:rFonts w:ascii="Arial" w:hAnsi="Arial" w:cs="Arial"/>
                <w:sz w:val="20"/>
              </w:rPr>
            </w:pPr>
            <w:r w:rsidRPr="009A5185">
              <w:rPr>
                <w:rFonts w:ascii="Arial" w:hAnsi="Arial" w:cs="Arial"/>
                <w:sz w:val="20"/>
              </w:rPr>
              <w:t>If the number of encounters for an age stratum (</w:t>
            </w:r>
            <w:r w:rsidR="00342951" w:rsidRPr="009A5185">
              <w:rPr>
                <w:rFonts w:ascii="Arial" w:hAnsi="Arial" w:cs="Arial"/>
                <w:sz w:val="20"/>
              </w:rPr>
              <w:t>i.e.,</w:t>
            </w:r>
            <w:r w:rsidRPr="009A5185">
              <w:rPr>
                <w:rFonts w:ascii="Arial" w:hAnsi="Arial" w:cs="Arial"/>
                <w:sz w:val="20"/>
              </w:rPr>
              <w:t xml:space="preserve"> &lt;1 or 1-4, etc.) is less than 10 (column a), skip columns b, c, and d. If the number of encounters for an age stratum is zero, enter “0” in column a, and skip columns b, c, and d. You cannot leave any rows in column a blank. </w:t>
            </w:r>
          </w:p>
          <w:p w14:paraId="50D84AA4" w14:textId="77777777" w:rsidR="00C12B40" w:rsidRPr="009A5185" w:rsidRDefault="00C12B40" w:rsidP="00A212A4">
            <w:pPr>
              <w:pStyle w:val="NoSpacing"/>
              <w:rPr>
                <w:rFonts w:ascii="Arial" w:hAnsi="Arial" w:cs="Arial"/>
                <w:b/>
                <w:sz w:val="20"/>
                <w:szCs w:val="20"/>
              </w:rPr>
            </w:pPr>
          </w:p>
          <w:p w14:paraId="14B46454" w14:textId="77777777" w:rsidR="00C12B40" w:rsidRPr="009A5185" w:rsidRDefault="00C12B40" w:rsidP="00A212A4">
            <w:pPr>
              <w:pStyle w:val="NoSpacing"/>
              <w:rPr>
                <w:rFonts w:ascii="Arial" w:hAnsi="Arial" w:cs="Arial"/>
                <w:b/>
                <w:sz w:val="20"/>
                <w:szCs w:val="20"/>
              </w:rPr>
            </w:pPr>
            <w:r w:rsidRPr="009A5185">
              <w:rPr>
                <w:rFonts w:ascii="Arial" w:hAnsi="Arial" w:cs="Arial"/>
                <w:b/>
                <w:sz w:val="20"/>
                <w:szCs w:val="20"/>
              </w:rPr>
              <w:t>Phantom Dose Specifications:</w:t>
            </w:r>
          </w:p>
          <w:p w14:paraId="1167B233" w14:textId="271D12C3" w:rsidR="00C12B40" w:rsidRDefault="00C12B40" w:rsidP="00A212A4">
            <w:pPr>
              <w:pStyle w:val="NoSpacing"/>
              <w:rPr>
                <w:rFonts w:ascii="Arial" w:hAnsi="Arial" w:cs="Arial"/>
                <w:sz w:val="20"/>
                <w:szCs w:val="20"/>
              </w:rPr>
            </w:pPr>
            <w:r>
              <w:rPr>
                <w:rFonts w:ascii="Arial" w:hAnsi="Arial" w:cs="Arial"/>
                <w:sz w:val="20"/>
                <w:szCs w:val="20"/>
              </w:rPr>
              <w:t>For abdomen/pelvis scans, use a 32</w:t>
            </w:r>
            <w:r w:rsidRPr="009A5185">
              <w:rPr>
                <w:rFonts w:ascii="Arial" w:hAnsi="Arial" w:cs="Arial"/>
                <w:sz w:val="20"/>
                <w:szCs w:val="20"/>
              </w:rPr>
              <w:t xml:space="preserve">cm phantom dose value. The </w:t>
            </w:r>
            <w:r w:rsidR="00FE0E25">
              <w:rPr>
                <w:rFonts w:ascii="Arial" w:hAnsi="Arial" w:cs="Arial"/>
                <w:sz w:val="20"/>
                <w:szCs w:val="20"/>
              </w:rPr>
              <w:t>orange</w:t>
            </w:r>
            <w:r w:rsidRPr="009A5185">
              <w:rPr>
                <w:rFonts w:ascii="Arial" w:hAnsi="Arial" w:cs="Arial"/>
                <w:sz w:val="20"/>
                <w:szCs w:val="20"/>
              </w:rPr>
              <w:t xml:space="preserve"> box in the screenshot below the table is an example of a Dose Report which shows the phantom dose value used. The phantom dose value is used to estimate the radiation dose to the patient.</w:t>
            </w:r>
          </w:p>
          <w:p w14:paraId="68505B5E" w14:textId="77777777" w:rsidR="00ED06C6" w:rsidRDefault="00ED06C6" w:rsidP="00A212A4">
            <w:pPr>
              <w:pStyle w:val="NoSpacing"/>
              <w:rPr>
                <w:rFonts w:ascii="Arial" w:hAnsi="Arial" w:cs="Arial"/>
                <w:b/>
                <w:sz w:val="20"/>
              </w:rPr>
            </w:pPr>
          </w:p>
          <w:p w14:paraId="6779A076" w14:textId="08702744" w:rsidR="00ED06C6" w:rsidRPr="00720995" w:rsidRDefault="00ED06C6" w:rsidP="00A212A4">
            <w:pPr>
              <w:pStyle w:val="NoSpacing"/>
              <w:rPr>
                <w:rFonts w:ascii="Arial" w:hAnsi="Arial" w:cs="Arial"/>
                <w:sz w:val="20"/>
                <w:szCs w:val="20"/>
              </w:rPr>
            </w:pPr>
            <w:r w:rsidRPr="00ED06C6">
              <w:rPr>
                <w:rFonts w:ascii="Arial" w:hAnsi="Arial" w:cs="Arial"/>
                <w:b/>
                <w:bCs/>
                <w:sz w:val="20"/>
                <w:szCs w:val="20"/>
              </w:rPr>
              <w:t>Scout Doses (</w:t>
            </w:r>
            <w:proofErr w:type="spellStart"/>
            <w:r w:rsidRPr="00ED06C6">
              <w:rPr>
                <w:rFonts w:ascii="Arial" w:hAnsi="Arial" w:cs="Arial"/>
                <w:b/>
                <w:bCs/>
                <w:sz w:val="20"/>
                <w:szCs w:val="20"/>
              </w:rPr>
              <w:t>Topograms</w:t>
            </w:r>
            <w:proofErr w:type="spellEnd"/>
            <w:r w:rsidRPr="00ED06C6">
              <w:rPr>
                <w:rFonts w:ascii="Arial" w:hAnsi="Arial" w:cs="Arial"/>
                <w:b/>
                <w:bCs/>
                <w:sz w:val="20"/>
                <w:szCs w:val="20"/>
              </w:rPr>
              <w:t>)</w:t>
            </w:r>
            <w:r w:rsidR="005D3242">
              <w:rPr>
                <w:rFonts w:ascii="Arial" w:hAnsi="Arial" w:cs="Arial"/>
                <w:sz w:val="20"/>
                <w:szCs w:val="20"/>
              </w:rPr>
              <w:t xml:space="preserve"> </w:t>
            </w:r>
            <w:r>
              <w:rPr>
                <w:rFonts w:ascii="Arial" w:hAnsi="Arial" w:cs="Arial"/>
                <w:sz w:val="20"/>
                <w:szCs w:val="20"/>
              </w:rPr>
              <w:t>should not be included when calculating the 25</w:t>
            </w:r>
            <w:r w:rsidRPr="00ED06C6">
              <w:rPr>
                <w:rFonts w:ascii="Arial" w:hAnsi="Arial" w:cs="Arial"/>
                <w:sz w:val="20"/>
                <w:szCs w:val="20"/>
                <w:vertAlign w:val="superscript"/>
              </w:rPr>
              <w:t>th</w:t>
            </w:r>
            <w:r>
              <w:rPr>
                <w:rFonts w:ascii="Arial" w:hAnsi="Arial" w:cs="Arial"/>
                <w:sz w:val="20"/>
                <w:szCs w:val="20"/>
              </w:rPr>
              <w:t>, 50</w:t>
            </w:r>
            <w:r w:rsidRPr="00ED06C6">
              <w:rPr>
                <w:rFonts w:ascii="Arial" w:hAnsi="Arial" w:cs="Arial"/>
                <w:sz w:val="20"/>
                <w:szCs w:val="20"/>
                <w:vertAlign w:val="superscript"/>
              </w:rPr>
              <w:t>th</w:t>
            </w:r>
            <w:r>
              <w:rPr>
                <w:rFonts w:ascii="Arial" w:hAnsi="Arial" w:cs="Arial"/>
                <w:sz w:val="20"/>
                <w:szCs w:val="20"/>
              </w:rPr>
              <w:t>, or 75</w:t>
            </w:r>
            <w:r w:rsidRPr="00ED06C6">
              <w:rPr>
                <w:rFonts w:ascii="Arial" w:hAnsi="Arial" w:cs="Arial"/>
                <w:sz w:val="20"/>
                <w:szCs w:val="20"/>
                <w:vertAlign w:val="superscript"/>
              </w:rPr>
              <w:t>th</w:t>
            </w:r>
            <w:r>
              <w:rPr>
                <w:rFonts w:ascii="Arial" w:hAnsi="Arial" w:cs="Arial"/>
                <w:sz w:val="20"/>
                <w:szCs w:val="20"/>
              </w:rPr>
              <w:t xml:space="preserve"> percentiles. </w:t>
            </w:r>
          </w:p>
        </w:tc>
      </w:tr>
    </w:tbl>
    <w:p w14:paraId="6B8BC5B1" w14:textId="77777777" w:rsidR="00C12B40" w:rsidRPr="00C670ED" w:rsidRDefault="00C12B40" w:rsidP="00C12B40">
      <w:pPr>
        <w:rPr>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0"/>
      </w:tblGrid>
      <w:tr w:rsidR="00C12B40" w:rsidRPr="009A5185" w14:paraId="2ECF4103" w14:textId="77777777" w:rsidTr="004F63C1">
        <w:trPr>
          <w:trHeight w:val="864"/>
        </w:trPr>
        <w:tc>
          <w:tcPr>
            <w:tcW w:w="5000" w:type="pct"/>
            <w:shd w:val="clear" w:color="auto" w:fill="BFBFBF" w:themeFill="background1" w:themeFillShade="BF"/>
            <w:vAlign w:val="center"/>
          </w:tcPr>
          <w:p w14:paraId="6C2C1840" w14:textId="77777777" w:rsidR="00C12B40" w:rsidRPr="009A5185" w:rsidRDefault="00C12B40" w:rsidP="00A212A4">
            <w:pPr>
              <w:pStyle w:val="NoSpacing"/>
              <w:rPr>
                <w:rFonts w:ascii="Arial" w:hAnsi="Arial" w:cs="Arial"/>
                <w:b/>
                <w:sz w:val="20"/>
              </w:rPr>
            </w:pPr>
            <w:r w:rsidRPr="009A5185">
              <w:rPr>
                <w:rFonts w:ascii="Arial" w:hAnsi="Arial" w:cs="Arial"/>
                <w:b/>
                <w:sz w:val="20"/>
              </w:rPr>
              <w:t xml:space="preserve">Hospitals </w:t>
            </w:r>
            <w:r w:rsidRPr="009A5185">
              <w:rPr>
                <w:rFonts w:ascii="Arial" w:hAnsi="Arial" w:cs="Arial"/>
                <w:b/>
                <w:sz w:val="20"/>
                <w:u w:val="single"/>
              </w:rPr>
              <w:t>not</w:t>
            </w:r>
            <w:r w:rsidRPr="009A5185">
              <w:rPr>
                <w:rFonts w:ascii="Arial" w:hAnsi="Arial" w:cs="Arial"/>
                <w:b/>
                <w:sz w:val="20"/>
              </w:rPr>
              <w:t xml:space="preserve"> using dose monitoring software:</w:t>
            </w:r>
          </w:p>
          <w:p w14:paraId="72AB4050" w14:textId="77777777" w:rsidR="00C12B40" w:rsidRPr="009A5185" w:rsidRDefault="00C12B40" w:rsidP="00A212A4">
            <w:pPr>
              <w:pStyle w:val="NoSpacing"/>
              <w:rPr>
                <w:rFonts w:ascii="Arial" w:hAnsi="Arial" w:cs="Arial"/>
                <w:sz w:val="20"/>
              </w:rPr>
            </w:pPr>
            <w:r w:rsidRPr="009A5185">
              <w:rPr>
                <w:rFonts w:ascii="Arial" w:hAnsi="Arial" w:cs="Arial"/>
                <w:sz w:val="20"/>
              </w:rPr>
              <w:t>Data for this measure can be obtained from Dose Reports that come directly from the CT Machine and are sent along with the images to the Picture Archiving and Communications (PACS) used to review the images. See instructions below.</w:t>
            </w:r>
          </w:p>
        </w:tc>
      </w:tr>
      <w:tr w:rsidR="00C12B40" w:rsidRPr="009A5185" w14:paraId="769F0E83" w14:textId="77777777" w:rsidTr="004F63C1">
        <w:trPr>
          <w:trHeight w:val="2592"/>
        </w:trPr>
        <w:tc>
          <w:tcPr>
            <w:tcW w:w="5000" w:type="pct"/>
            <w:vAlign w:val="center"/>
          </w:tcPr>
          <w:p w14:paraId="5FFDE4FB" w14:textId="77777777" w:rsidR="00C12B40" w:rsidRPr="009A5185" w:rsidRDefault="00C12B40" w:rsidP="00A212A4">
            <w:pPr>
              <w:pStyle w:val="NoSpacing"/>
              <w:rPr>
                <w:rFonts w:ascii="Arial" w:hAnsi="Arial" w:cs="Arial"/>
                <w:b/>
                <w:sz w:val="20"/>
              </w:rPr>
            </w:pPr>
            <w:r w:rsidRPr="009A5185">
              <w:rPr>
                <w:rFonts w:ascii="Arial" w:hAnsi="Arial" w:cs="Arial"/>
                <w:b/>
                <w:sz w:val="20"/>
              </w:rPr>
              <w:t>CT Dose Excel Workbook</w:t>
            </w:r>
          </w:p>
          <w:p w14:paraId="2A4669AC" w14:textId="2689138D" w:rsidR="00C12B40" w:rsidRPr="009A5185" w:rsidRDefault="00C12B40" w:rsidP="00A212A4">
            <w:pPr>
              <w:pStyle w:val="EndnoteText"/>
              <w:rPr>
                <w:rFonts w:cs="Arial"/>
                <w:bCs/>
              </w:rPr>
            </w:pPr>
            <w:r w:rsidRPr="009A5185">
              <w:rPr>
                <w:rFonts w:cs="Arial"/>
              </w:rPr>
              <w:t>To assist hospitals who do not use dose monitoring software in calculating the responses to questions #</w:t>
            </w:r>
            <w:r w:rsidR="00DC7CD7">
              <w:rPr>
                <w:rFonts w:cs="Arial"/>
              </w:rPr>
              <w:t>6 and #7</w:t>
            </w:r>
            <w:r w:rsidRPr="009A5185">
              <w:rPr>
                <w:rFonts w:cs="Arial"/>
              </w:rPr>
              <w:t>, Leapfrog has developed a CT Dose Workbook</w:t>
            </w:r>
            <w:r>
              <w:rPr>
                <w:rFonts w:cs="Arial"/>
              </w:rPr>
              <w:t xml:space="preserve"> to assist hospitals in standardizing their CT dose data based on these specifications</w:t>
            </w:r>
            <w:r w:rsidRPr="009A5185">
              <w:rPr>
                <w:rFonts w:cs="Arial"/>
              </w:rPr>
              <w:t xml:space="preserve">. </w:t>
            </w:r>
            <w:r w:rsidR="00F731E1" w:rsidRPr="009A5185">
              <w:rPr>
                <w:rFonts w:cs="Arial"/>
              </w:rPr>
              <w:t xml:space="preserve">The workbook includes </w:t>
            </w:r>
            <w:r w:rsidR="00F731E1">
              <w:rPr>
                <w:rFonts w:cs="Arial"/>
              </w:rPr>
              <w:t>12</w:t>
            </w:r>
            <w:r w:rsidR="00F731E1" w:rsidRPr="009A5185">
              <w:rPr>
                <w:rFonts w:cs="Arial"/>
              </w:rPr>
              <w:t xml:space="preserve"> tabs: Instructions, </w:t>
            </w:r>
            <w:r w:rsidR="00F731E1">
              <w:rPr>
                <w:rFonts w:cs="Arial"/>
              </w:rPr>
              <w:t xml:space="preserve">Summary, and 10 Data Entry tabs for each anatomic area/age </w:t>
            </w:r>
            <w:r w:rsidR="00A670DB">
              <w:rPr>
                <w:rFonts w:cs="Arial"/>
              </w:rPr>
              <w:t>stratum</w:t>
            </w:r>
            <w:r w:rsidR="00F731E1">
              <w:rPr>
                <w:rFonts w:cs="Arial"/>
              </w:rPr>
              <w:t xml:space="preserve"> combination. The tabs for head scans are red and the tabs for abdomen/pelvis scans are blue.</w:t>
            </w:r>
            <w:r w:rsidR="00F731E1" w:rsidRPr="009A5185">
              <w:rPr>
                <w:rFonts w:cs="Arial"/>
              </w:rPr>
              <w:t xml:space="preserve"> Once you enter your hospital’s CT radiation dose length product (DLP) data into the appropriate tab, </w:t>
            </w:r>
            <w:r w:rsidR="00F731E1" w:rsidRPr="009A5185">
              <w:rPr>
                <w:rFonts w:cs="Arial"/>
                <w:bCs/>
              </w:rPr>
              <w:t>the workbook will automatically calculate you</w:t>
            </w:r>
            <w:r w:rsidR="00F731E1">
              <w:rPr>
                <w:rFonts w:cs="Arial"/>
                <w:bCs/>
              </w:rPr>
              <w:t>r responses to questions #6</w:t>
            </w:r>
            <w:r w:rsidR="00F731E1" w:rsidRPr="009A5185">
              <w:rPr>
                <w:rFonts w:cs="Arial"/>
                <w:bCs/>
              </w:rPr>
              <w:t xml:space="preserve"> and #</w:t>
            </w:r>
            <w:r w:rsidR="00F731E1">
              <w:rPr>
                <w:rFonts w:cs="Arial"/>
                <w:bCs/>
              </w:rPr>
              <w:t>7 in the Summary tab</w:t>
            </w:r>
            <w:r w:rsidR="00F731E1" w:rsidRPr="009A5185">
              <w:rPr>
                <w:rFonts w:cs="Arial"/>
                <w:bCs/>
              </w:rPr>
              <w:t>, and those values should be entered in the Survey.</w:t>
            </w:r>
          </w:p>
          <w:p w14:paraId="6A50A1F4" w14:textId="77777777" w:rsidR="00C12B40" w:rsidRPr="009A5185" w:rsidRDefault="00C12B40" w:rsidP="00A212A4">
            <w:pPr>
              <w:pStyle w:val="EndnoteText"/>
              <w:rPr>
                <w:rFonts w:cs="Arial"/>
                <w:bCs/>
              </w:rPr>
            </w:pPr>
          </w:p>
          <w:p w14:paraId="770785A5" w14:textId="0E937B3E" w:rsidR="00C12B40" w:rsidRPr="00C670ED" w:rsidRDefault="00C12B40" w:rsidP="00A212A4">
            <w:pPr>
              <w:pStyle w:val="EndnoteText"/>
              <w:rPr>
                <w:rFonts w:cs="Arial"/>
              </w:rPr>
            </w:pPr>
            <w:r w:rsidRPr="009A5185">
              <w:rPr>
                <w:rFonts w:cs="Arial"/>
              </w:rPr>
              <w:t xml:space="preserve">The </w:t>
            </w:r>
            <w:r w:rsidR="00F731E1" w:rsidRPr="00F731E1">
              <w:rPr>
                <w:rFonts w:cs="Arial"/>
              </w:rPr>
              <w:t>CT Dose Workbook</w:t>
            </w:r>
            <w:r w:rsidRPr="009A5185">
              <w:rPr>
                <w:rFonts w:cs="Arial"/>
              </w:rPr>
              <w:t xml:space="preserve"> is available on the Survey and CPOE Materials </w:t>
            </w:r>
            <w:hyperlink r:id="rId452" w:history="1">
              <w:r w:rsidRPr="009A5185">
                <w:rPr>
                  <w:rStyle w:val="Hyperlink"/>
                  <w:rFonts w:cs="Arial"/>
                </w:rPr>
                <w:t>webpage</w:t>
              </w:r>
            </w:hyperlink>
            <w:r w:rsidRPr="009A5185">
              <w:rPr>
                <w:rFonts w:cs="Arial"/>
              </w:rPr>
              <w:t xml:space="preserve"> and should be used when reporting on this measure.</w:t>
            </w:r>
          </w:p>
        </w:tc>
      </w:tr>
      <w:tr w:rsidR="00C12B40" w:rsidRPr="009A5185" w14:paraId="0323B230" w14:textId="77777777" w:rsidTr="004F63C1">
        <w:trPr>
          <w:trHeight w:val="8640"/>
        </w:trPr>
        <w:tc>
          <w:tcPr>
            <w:tcW w:w="5000" w:type="pct"/>
            <w:vAlign w:val="center"/>
          </w:tcPr>
          <w:p w14:paraId="4EFCB64B" w14:textId="59AA843F" w:rsidR="00C12B40" w:rsidRPr="009A5185" w:rsidRDefault="00C12B40" w:rsidP="00A212A4">
            <w:pPr>
              <w:pStyle w:val="EndnoteText"/>
              <w:rPr>
                <w:rFonts w:cs="Arial"/>
                <w:b/>
                <w:bCs/>
              </w:rPr>
            </w:pPr>
            <w:r w:rsidRPr="009A5185">
              <w:rPr>
                <w:rFonts w:cs="Arial"/>
                <w:b/>
                <w:bCs/>
              </w:rPr>
              <w:t>Q</w:t>
            </w:r>
            <w:r w:rsidR="00FC78C7">
              <w:rPr>
                <w:rFonts w:cs="Arial"/>
                <w:b/>
                <w:bCs/>
              </w:rPr>
              <w:t>uestion #</w:t>
            </w:r>
            <w:r>
              <w:rPr>
                <w:rFonts w:cs="Arial"/>
                <w:b/>
                <w:bCs/>
              </w:rPr>
              <w:t>6</w:t>
            </w:r>
            <w:r w:rsidRPr="009A5185">
              <w:rPr>
                <w:rFonts w:cs="Arial"/>
                <w:b/>
                <w:bCs/>
              </w:rPr>
              <w:t xml:space="preserve">, column a: Total Number of Encounters </w:t>
            </w:r>
          </w:p>
          <w:p w14:paraId="4FEA3B14" w14:textId="35F129CF" w:rsidR="00C12B40" w:rsidRPr="009A5185" w:rsidRDefault="00C12B40" w:rsidP="00A212A4">
            <w:pPr>
              <w:pStyle w:val="EndnoteText"/>
              <w:rPr>
                <w:rFonts w:cs="Arial"/>
              </w:rPr>
            </w:pPr>
            <w:r w:rsidRPr="009A5185">
              <w:rPr>
                <w:rFonts w:cs="Arial"/>
              </w:rPr>
              <w:t xml:space="preserve">To determine the total number of encounters </w:t>
            </w:r>
            <w:r>
              <w:rPr>
                <w:rFonts w:cs="Arial"/>
              </w:rPr>
              <w:t xml:space="preserve">in </w:t>
            </w:r>
            <w:r w:rsidRPr="00B36C21">
              <w:rPr>
                <w:rFonts w:cs="Arial"/>
                <w:b/>
                <w:bCs/>
              </w:rPr>
              <w:t>head</w:t>
            </w:r>
            <w:r w:rsidR="00B36C21" w:rsidRPr="00B36C21">
              <w:rPr>
                <w:rFonts w:cs="Arial"/>
                <w:b/>
                <w:bCs/>
              </w:rPr>
              <w:t xml:space="preserve"> scans</w:t>
            </w:r>
            <w:r w:rsidRPr="009A5185">
              <w:rPr>
                <w:rFonts w:cs="Arial"/>
              </w:rPr>
              <w:t xml:space="preserve"> </w:t>
            </w:r>
            <w:r>
              <w:rPr>
                <w:rFonts w:cs="Arial"/>
              </w:rPr>
              <w:t>for each</w:t>
            </w:r>
            <w:r w:rsidRPr="009A5185">
              <w:rPr>
                <w:rFonts w:cs="Arial"/>
              </w:rPr>
              <w:t xml:space="preserve"> age stratum</w:t>
            </w:r>
            <w:r>
              <w:rPr>
                <w:rFonts w:cs="Arial"/>
              </w:rPr>
              <w:t xml:space="preserve"> </w:t>
            </w:r>
            <w:r w:rsidRPr="009A5185">
              <w:rPr>
                <w:rFonts w:cs="Arial"/>
              </w:rPr>
              <w:t>(&lt;1, 1-4, 5-9, 10-14, 15-17), you will need to obtain dose reports. See sampling instructions below.</w:t>
            </w:r>
          </w:p>
          <w:p w14:paraId="67E95451" w14:textId="77777777" w:rsidR="00C12B40" w:rsidRDefault="00C12B40" w:rsidP="00A212A4">
            <w:pPr>
              <w:pStyle w:val="EndnoteText"/>
              <w:rPr>
                <w:rFonts w:cs="Arial"/>
              </w:rPr>
            </w:pPr>
          </w:p>
          <w:p w14:paraId="114DC65B" w14:textId="77777777" w:rsidR="00577976" w:rsidRPr="006A08C6" w:rsidRDefault="00577976" w:rsidP="00A212A4">
            <w:pPr>
              <w:pStyle w:val="EndnoteText"/>
              <w:rPr>
                <w:rFonts w:cs="Arial"/>
                <w:b/>
                <w:bCs/>
              </w:rPr>
            </w:pPr>
            <w:r w:rsidRPr="006A08C6">
              <w:rPr>
                <w:rFonts w:cs="Arial"/>
                <w:b/>
                <w:bCs/>
              </w:rPr>
              <w:t>Inclusions:</w:t>
            </w:r>
          </w:p>
          <w:p w14:paraId="6FBF51A5" w14:textId="77777777" w:rsidR="00577976" w:rsidRPr="00F214DA" w:rsidRDefault="00577976" w:rsidP="00A212A4">
            <w:pPr>
              <w:pStyle w:val="NoSpacing"/>
              <w:rPr>
                <w:rFonts w:ascii="Arial" w:hAnsi="Arial" w:cs="Arial"/>
                <w:bCs/>
                <w:sz w:val="20"/>
                <w:szCs w:val="20"/>
              </w:rPr>
            </w:pPr>
            <w:r w:rsidRPr="00F214DA">
              <w:rPr>
                <w:rFonts w:ascii="Arial" w:hAnsi="Arial" w:cs="Arial"/>
                <w:bCs/>
                <w:sz w:val="20"/>
                <w:szCs w:val="20"/>
              </w:rPr>
              <w:t>CT HEAD BRN WO IVCON</w:t>
            </w:r>
          </w:p>
          <w:p w14:paraId="19AC16D0" w14:textId="77777777" w:rsidR="00577976" w:rsidRPr="00F214DA" w:rsidRDefault="00577976" w:rsidP="00A212A4">
            <w:pPr>
              <w:pStyle w:val="NoSpacing"/>
              <w:rPr>
                <w:rFonts w:ascii="Arial" w:hAnsi="Arial" w:cs="Arial"/>
                <w:bCs/>
                <w:sz w:val="20"/>
                <w:szCs w:val="20"/>
              </w:rPr>
            </w:pPr>
            <w:r w:rsidRPr="00F214DA">
              <w:rPr>
                <w:rFonts w:ascii="Arial" w:hAnsi="Arial" w:cs="Arial"/>
                <w:bCs/>
                <w:sz w:val="20"/>
                <w:szCs w:val="20"/>
              </w:rPr>
              <w:t>CT HEAD WO IVCON</w:t>
            </w:r>
          </w:p>
          <w:p w14:paraId="79F3E461" w14:textId="77777777" w:rsidR="00577976" w:rsidRPr="00F214DA" w:rsidRDefault="00577976" w:rsidP="00A212A4">
            <w:pPr>
              <w:pStyle w:val="NoSpacing"/>
              <w:rPr>
                <w:rFonts w:ascii="Arial" w:hAnsi="Arial" w:cs="Arial"/>
                <w:bCs/>
                <w:sz w:val="20"/>
                <w:szCs w:val="20"/>
              </w:rPr>
            </w:pPr>
            <w:r w:rsidRPr="00F214DA">
              <w:rPr>
                <w:rFonts w:ascii="Arial" w:hAnsi="Arial" w:cs="Arial"/>
                <w:bCs/>
                <w:sz w:val="20"/>
                <w:szCs w:val="20"/>
              </w:rPr>
              <w:t>CT PEDS HEAD WO IVCON</w:t>
            </w:r>
          </w:p>
          <w:p w14:paraId="1C8D4DA2" w14:textId="77777777" w:rsidR="00577976" w:rsidRPr="00F214DA" w:rsidRDefault="00577976" w:rsidP="00A212A4">
            <w:pPr>
              <w:pStyle w:val="NoSpacing"/>
              <w:rPr>
                <w:rFonts w:ascii="Arial" w:hAnsi="Arial" w:cs="Arial"/>
                <w:bCs/>
                <w:sz w:val="20"/>
                <w:szCs w:val="20"/>
              </w:rPr>
            </w:pPr>
            <w:r w:rsidRPr="00F214DA">
              <w:rPr>
                <w:rFonts w:ascii="Arial" w:hAnsi="Arial" w:cs="Arial"/>
                <w:bCs/>
                <w:sz w:val="20"/>
                <w:szCs w:val="20"/>
              </w:rPr>
              <w:t>CT HEAD</w:t>
            </w:r>
          </w:p>
          <w:p w14:paraId="73E80502" w14:textId="77777777" w:rsidR="00577976" w:rsidRPr="00F214DA" w:rsidRDefault="00577976" w:rsidP="00A212A4">
            <w:pPr>
              <w:pStyle w:val="NoSpacing"/>
              <w:rPr>
                <w:rFonts w:ascii="Arial" w:hAnsi="Arial" w:cs="Arial"/>
                <w:bCs/>
                <w:sz w:val="20"/>
                <w:szCs w:val="20"/>
              </w:rPr>
            </w:pPr>
            <w:r w:rsidRPr="00F214DA">
              <w:rPr>
                <w:rFonts w:ascii="Arial" w:hAnsi="Arial" w:cs="Arial"/>
                <w:bCs/>
                <w:sz w:val="20"/>
                <w:szCs w:val="20"/>
              </w:rPr>
              <w:t>CT PEDS HEAD BRN WO IVCON</w:t>
            </w:r>
          </w:p>
          <w:p w14:paraId="271510AB" w14:textId="77777777" w:rsidR="00577976" w:rsidRPr="00F214DA" w:rsidRDefault="00577976" w:rsidP="00A212A4">
            <w:pPr>
              <w:pStyle w:val="NoSpacing"/>
              <w:rPr>
                <w:rFonts w:ascii="Arial" w:hAnsi="Arial" w:cs="Arial"/>
                <w:bCs/>
                <w:sz w:val="20"/>
                <w:szCs w:val="20"/>
              </w:rPr>
            </w:pPr>
            <w:r w:rsidRPr="00F214DA">
              <w:rPr>
                <w:rFonts w:ascii="Arial" w:hAnsi="Arial" w:cs="Arial"/>
                <w:bCs/>
                <w:sz w:val="20"/>
                <w:szCs w:val="20"/>
              </w:rPr>
              <w:t>CT BRN WO IVCON</w:t>
            </w:r>
          </w:p>
          <w:p w14:paraId="6E2D3C2C" w14:textId="77777777" w:rsidR="00577976" w:rsidRPr="00F214DA" w:rsidRDefault="00577976" w:rsidP="00A212A4">
            <w:pPr>
              <w:pStyle w:val="NoSpacing"/>
              <w:rPr>
                <w:rFonts w:ascii="Arial" w:hAnsi="Arial" w:cs="Arial"/>
                <w:bCs/>
                <w:sz w:val="20"/>
                <w:szCs w:val="20"/>
              </w:rPr>
            </w:pPr>
            <w:r w:rsidRPr="00F214DA">
              <w:rPr>
                <w:rFonts w:ascii="Arial" w:hAnsi="Arial" w:cs="Arial"/>
                <w:bCs/>
                <w:sz w:val="20"/>
                <w:szCs w:val="20"/>
              </w:rPr>
              <w:t>CT HEAD BRN</w:t>
            </w:r>
          </w:p>
          <w:p w14:paraId="586A4BD5" w14:textId="77777777" w:rsidR="00577976" w:rsidRPr="00F214DA" w:rsidRDefault="00577976" w:rsidP="00A212A4">
            <w:pPr>
              <w:pStyle w:val="NoSpacing"/>
              <w:rPr>
                <w:rFonts w:ascii="Arial" w:hAnsi="Arial" w:cs="Arial"/>
                <w:bCs/>
                <w:sz w:val="20"/>
                <w:szCs w:val="20"/>
              </w:rPr>
            </w:pPr>
            <w:r w:rsidRPr="00F214DA">
              <w:rPr>
                <w:rFonts w:ascii="Arial" w:hAnsi="Arial" w:cs="Arial"/>
                <w:bCs/>
                <w:sz w:val="20"/>
                <w:szCs w:val="20"/>
              </w:rPr>
              <w:t>CT HEAD BRN W IVCON</w:t>
            </w:r>
          </w:p>
          <w:p w14:paraId="00EC214B" w14:textId="77777777" w:rsidR="00577976" w:rsidRPr="00F214DA" w:rsidRDefault="00577976" w:rsidP="00A212A4">
            <w:pPr>
              <w:pStyle w:val="NoSpacing"/>
              <w:rPr>
                <w:rFonts w:ascii="Arial" w:hAnsi="Arial" w:cs="Arial"/>
                <w:bCs/>
                <w:sz w:val="20"/>
                <w:szCs w:val="20"/>
              </w:rPr>
            </w:pPr>
            <w:r w:rsidRPr="00F214DA">
              <w:rPr>
                <w:rFonts w:ascii="Arial" w:hAnsi="Arial" w:cs="Arial"/>
                <w:bCs/>
                <w:sz w:val="20"/>
                <w:szCs w:val="20"/>
              </w:rPr>
              <w:t>CT HEAD W IVCON</w:t>
            </w:r>
          </w:p>
          <w:p w14:paraId="7DC5F7D5" w14:textId="77777777" w:rsidR="00577976" w:rsidRPr="00F214DA" w:rsidRDefault="00577976" w:rsidP="00A212A4">
            <w:pPr>
              <w:pStyle w:val="NoSpacing"/>
              <w:rPr>
                <w:rFonts w:ascii="Arial" w:hAnsi="Arial" w:cs="Arial"/>
                <w:bCs/>
                <w:sz w:val="20"/>
                <w:szCs w:val="20"/>
              </w:rPr>
            </w:pPr>
            <w:r w:rsidRPr="00F214DA">
              <w:rPr>
                <w:rFonts w:ascii="Arial" w:hAnsi="Arial" w:cs="Arial"/>
                <w:bCs/>
                <w:sz w:val="20"/>
                <w:szCs w:val="20"/>
              </w:rPr>
              <w:t>CT HEAD WO &amp; W IVCON</w:t>
            </w:r>
          </w:p>
          <w:p w14:paraId="2EC1B26C" w14:textId="77777777" w:rsidR="00577976" w:rsidRPr="00F214DA" w:rsidRDefault="00577976" w:rsidP="00A212A4">
            <w:pPr>
              <w:pStyle w:val="NoSpacing"/>
              <w:rPr>
                <w:rFonts w:ascii="Arial" w:hAnsi="Arial" w:cs="Arial"/>
                <w:bCs/>
                <w:sz w:val="20"/>
                <w:szCs w:val="20"/>
              </w:rPr>
            </w:pPr>
            <w:r w:rsidRPr="00F214DA">
              <w:rPr>
                <w:rFonts w:ascii="Arial" w:hAnsi="Arial" w:cs="Arial"/>
                <w:bCs/>
                <w:sz w:val="20"/>
                <w:szCs w:val="20"/>
              </w:rPr>
              <w:t>CT HEAD BRN WO &amp; W IVCON</w:t>
            </w:r>
          </w:p>
          <w:p w14:paraId="57E6AAFB" w14:textId="77777777" w:rsidR="00577976" w:rsidRPr="00F214DA" w:rsidRDefault="00577976" w:rsidP="00A212A4">
            <w:pPr>
              <w:pStyle w:val="NoSpacing"/>
              <w:rPr>
                <w:rFonts w:ascii="Arial" w:hAnsi="Arial" w:cs="Arial"/>
                <w:bCs/>
                <w:sz w:val="20"/>
                <w:szCs w:val="20"/>
              </w:rPr>
            </w:pPr>
            <w:r w:rsidRPr="00F214DA">
              <w:rPr>
                <w:rFonts w:ascii="Arial" w:hAnsi="Arial" w:cs="Arial"/>
                <w:bCs/>
                <w:sz w:val="20"/>
                <w:szCs w:val="20"/>
              </w:rPr>
              <w:t>CT BRN WO &amp; W IVCON</w:t>
            </w:r>
          </w:p>
          <w:p w14:paraId="473A3F8B" w14:textId="77777777" w:rsidR="00577976" w:rsidRPr="00F214DA" w:rsidRDefault="00577976" w:rsidP="00A212A4">
            <w:pPr>
              <w:pStyle w:val="NoSpacing"/>
              <w:rPr>
                <w:rFonts w:ascii="Arial" w:hAnsi="Arial" w:cs="Arial"/>
                <w:bCs/>
                <w:sz w:val="20"/>
                <w:szCs w:val="20"/>
              </w:rPr>
            </w:pPr>
            <w:r w:rsidRPr="00F214DA">
              <w:rPr>
                <w:rFonts w:ascii="Arial" w:hAnsi="Arial" w:cs="Arial"/>
                <w:bCs/>
                <w:sz w:val="20"/>
                <w:szCs w:val="20"/>
              </w:rPr>
              <w:t>CT BRN W IVCON</w:t>
            </w:r>
          </w:p>
          <w:p w14:paraId="22D7C22F" w14:textId="77777777" w:rsidR="00C12B40" w:rsidRPr="009A5185" w:rsidRDefault="00C12B40" w:rsidP="00A212A4">
            <w:pPr>
              <w:pStyle w:val="EndnoteText"/>
              <w:rPr>
                <w:rFonts w:cs="Arial"/>
              </w:rPr>
            </w:pPr>
          </w:p>
          <w:p w14:paraId="4A415A0B" w14:textId="77777777" w:rsidR="00C12B40" w:rsidRPr="009A5185" w:rsidRDefault="00C12B40" w:rsidP="00A212A4">
            <w:pPr>
              <w:pStyle w:val="NoSpacing"/>
              <w:rPr>
                <w:rFonts w:ascii="Arial" w:hAnsi="Arial" w:cs="Arial"/>
                <w:b/>
                <w:sz w:val="20"/>
                <w:szCs w:val="20"/>
              </w:rPr>
            </w:pPr>
            <w:r w:rsidRPr="009A5185">
              <w:rPr>
                <w:rFonts w:ascii="Arial" w:hAnsi="Arial" w:cs="Arial"/>
                <w:b/>
                <w:sz w:val="20"/>
                <w:szCs w:val="20"/>
              </w:rPr>
              <w:t>Exclusions:</w:t>
            </w:r>
          </w:p>
          <w:p w14:paraId="48283116" w14:textId="77777777" w:rsidR="00C12B40" w:rsidRDefault="00C12B40" w:rsidP="00AD309C">
            <w:pPr>
              <w:pStyle w:val="ListParagraph"/>
              <w:numPr>
                <w:ilvl w:val="0"/>
                <w:numId w:val="135"/>
              </w:numPr>
              <w:rPr>
                <w:rFonts w:cs="Arial"/>
              </w:rPr>
            </w:pPr>
            <w:r>
              <w:rPr>
                <w:rFonts w:cs="Arial"/>
              </w:rPr>
              <w:t xml:space="preserve">Encounters involving facial bones or sinuses </w:t>
            </w:r>
          </w:p>
          <w:p w14:paraId="48EFF1B5" w14:textId="77777777" w:rsidR="00C12B40" w:rsidRDefault="00C12B40" w:rsidP="00AD309C">
            <w:pPr>
              <w:pStyle w:val="ListParagraph"/>
              <w:numPr>
                <w:ilvl w:val="0"/>
                <w:numId w:val="135"/>
              </w:numPr>
              <w:rPr>
                <w:rFonts w:cs="Arial"/>
              </w:rPr>
            </w:pPr>
            <w:r>
              <w:rPr>
                <w:rFonts w:cs="Arial"/>
              </w:rPr>
              <w:t>Encounters where the indication is for a biopsy, including prop studies and stereotactic studies and procedures</w:t>
            </w:r>
          </w:p>
          <w:p w14:paraId="381888FE" w14:textId="3F8E00D5" w:rsidR="00C12B40" w:rsidRDefault="00C12B40" w:rsidP="00AD309C">
            <w:pPr>
              <w:pStyle w:val="ListParagraph"/>
              <w:numPr>
                <w:ilvl w:val="0"/>
                <w:numId w:val="135"/>
              </w:numPr>
              <w:rPr>
                <w:rFonts w:cs="Arial"/>
              </w:rPr>
            </w:pPr>
            <w:r w:rsidRPr="009F758E">
              <w:rPr>
                <w:rFonts w:cs="Arial"/>
              </w:rPr>
              <w:t>Encounters that cross multiple anatomic areas should be excluded. For example, encounters involving both the head and neck are excluded from the “head” anatomic region.</w:t>
            </w:r>
          </w:p>
          <w:p w14:paraId="45C2C3B8" w14:textId="4030E0F6" w:rsidR="005D4462" w:rsidRPr="005D4462" w:rsidRDefault="005D4462" w:rsidP="00AD309C">
            <w:pPr>
              <w:pStyle w:val="ListParagraph"/>
              <w:numPr>
                <w:ilvl w:val="0"/>
                <w:numId w:val="135"/>
              </w:numPr>
              <w:rPr>
                <w:rFonts w:cs="Arial"/>
              </w:rPr>
            </w:pPr>
            <w:r w:rsidRPr="005D4462">
              <w:rPr>
                <w:rFonts w:cs="Arial"/>
              </w:rPr>
              <w:t xml:space="preserve">Encounters where the documented age is </w:t>
            </w:r>
            <w:r>
              <w:rPr>
                <w:rFonts w:cs="Arial"/>
              </w:rPr>
              <w:t xml:space="preserve">missing or listed as </w:t>
            </w:r>
            <w:r w:rsidRPr="005D4462">
              <w:rPr>
                <w:rFonts w:cs="Arial"/>
              </w:rPr>
              <w:t>the date of admission (i.e., an accurate birthday could not be obtained and therefore the admission date was used), as i</w:t>
            </w:r>
            <w:r>
              <w:rPr>
                <w:rFonts w:cs="Arial"/>
              </w:rPr>
              <w:t>s</w:t>
            </w:r>
            <w:r w:rsidRPr="005D4462">
              <w:rPr>
                <w:rFonts w:cs="Arial"/>
              </w:rPr>
              <w:t xml:space="preserve"> the case </w:t>
            </w:r>
            <w:r>
              <w:rPr>
                <w:rFonts w:cs="Arial"/>
              </w:rPr>
              <w:t>for some</w:t>
            </w:r>
            <w:r w:rsidRPr="005D4462">
              <w:rPr>
                <w:rFonts w:cs="Arial"/>
              </w:rPr>
              <w:t xml:space="preserve"> trauma patients</w:t>
            </w:r>
          </w:p>
          <w:p w14:paraId="204C42C1" w14:textId="77777777" w:rsidR="00C12B40" w:rsidRPr="009A5185" w:rsidRDefault="00C12B40" w:rsidP="00A212A4">
            <w:pPr>
              <w:rPr>
                <w:rFonts w:cs="Arial"/>
              </w:rPr>
            </w:pPr>
          </w:p>
          <w:p w14:paraId="28A9AEB8" w14:textId="77777777" w:rsidR="00C12B40" w:rsidRPr="009A5185" w:rsidRDefault="00C12B40" w:rsidP="00A212A4">
            <w:pPr>
              <w:pStyle w:val="EndnoteText"/>
              <w:rPr>
                <w:rFonts w:cs="Arial"/>
                <w:b/>
                <w:bCs/>
              </w:rPr>
            </w:pPr>
            <w:r w:rsidRPr="009A5185">
              <w:rPr>
                <w:rFonts w:cs="Arial"/>
                <w:b/>
                <w:bCs/>
              </w:rPr>
              <w:t xml:space="preserve">Sampling Cases: </w:t>
            </w:r>
            <w:r w:rsidRPr="009A5185">
              <w:rPr>
                <w:rFonts w:cs="Arial"/>
                <w:b/>
              </w:rPr>
              <w:br/>
            </w:r>
            <w:r w:rsidRPr="009A5185">
              <w:rPr>
                <w:rFonts w:cs="Arial"/>
              </w:rPr>
              <w:t>Hospitals that are using information stored in the CT Machine have the option of reporting on all encounters or a sample of encounters. Hospitals opting to identify a sample of encounters for this measure should follow these instructions:</w:t>
            </w:r>
          </w:p>
          <w:p w14:paraId="10A0A310" w14:textId="6BC44627" w:rsidR="00C12B40" w:rsidRPr="009A5185" w:rsidRDefault="00C12B40" w:rsidP="00AD309C">
            <w:pPr>
              <w:numPr>
                <w:ilvl w:val="0"/>
                <w:numId w:val="17"/>
              </w:numPr>
              <w:autoSpaceDE w:val="0"/>
              <w:autoSpaceDN w:val="0"/>
              <w:adjustRightInd w:val="0"/>
              <w:rPr>
                <w:rFonts w:cs="Arial"/>
              </w:rPr>
            </w:pPr>
            <w:r w:rsidRPr="009A5185">
              <w:rPr>
                <w:rFonts w:cs="Arial"/>
              </w:rPr>
              <w:t xml:space="preserve">Review your hospital’s scans starting on January 15, </w:t>
            </w:r>
            <w:r>
              <w:rPr>
                <w:rFonts w:cs="Arial"/>
              </w:rPr>
              <w:t>20</w:t>
            </w:r>
            <w:r w:rsidR="00A75B58">
              <w:rPr>
                <w:rFonts w:cs="Arial"/>
              </w:rPr>
              <w:t>2</w:t>
            </w:r>
            <w:r w:rsidR="003E1307">
              <w:rPr>
                <w:rFonts w:cs="Arial"/>
              </w:rPr>
              <w:t>5</w:t>
            </w:r>
            <w:r w:rsidRPr="009A5185">
              <w:rPr>
                <w:rFonts w:cs="Arial"/>
              </w:rPr>
              <w:t xml:space="preserve"> (or July 15, </w:t>
            </w:r>
            <w:r>
              <w:rPr>
                <w:rFonts w:cs="Arial"/>
              </w:rPr>
              <w:t>20</w:t>
            </w:r>
            <w:r w:rsidR="00A75B58">
              <w:rPr>
                <w:rFonts w:cs="Arial"/>
              </w:rPr>
              <w:t>2</w:t>
            </w:r>
            <w:r w:rsidR="003E1307">
              <w:rPr>
                <w:rFonts w:cs="Arial"/>
              </w:rPr>
              <w:t>5</w:t>
            </w:r>
            <w:r w:rsidRPr="009A5185">
              <w:rPr>
                <w:rFonts w:cs="Arial"/>
              </w:rPr>
              <w:t xml:space="preserve"> if (re)submitting a Survey on or after September 1, </w:t>
            </w:r>
            <w:r>
              <w:rPr>
                <w:rFonts w:cs="Arial"/>
              </w:rPr>
              <w:t>202</w:t>
            </w:r>
            <w:r w:rsidR="003E1307">
              <w:rPr>
                <w:rFonts w:cs="Arial"/>
              </w:rPr>
              <w:t>6</w:t>
            </w:r>
            <w:r w:rsidRPr="009A5185">
              <w:rPr>
                <w:rFonts w:cs="Arial"/>
              </w:rPr>
              <w:t>).</w:t>
            </w:r>
          </w:p>
          <w:p w14:paraId="6F008CBA" w14:textId="12DA8377" w:rsidR="00C12B40" w:rsidRPr="00C670ED" w:rsidRDefault="00C12B40" w:rsidP="00AD309C">
            <w:pPr>
              <w:numPr>
                <w:ilvl w:val="0"/>
                <w:numId w:val="17"/>
              </w:numPr>
              <w:autoSpaceDE w:val="0"/>
              <w:autoSpaceDN w:val="0"/>
              <w:adjustRightInd w:val="0"/>
              <w:rPr>
                <w:rFonts w:cs="Arial"/>
              </w:rPr>
            </w:pPr>
            <w:r w:rsidRPr="009A5185">
              <w:rPr>
                <w:rFonts w:cs="Arial"/>
              </w:rPr>
              <w:t xml:space="preserve">Work sequentially until </w:t>
            </w:r>
            <w:r w:rsidRPr="009A5185">
              <w:rPr>
                <w:rFonts w:cs="Arial"/>
                <w:b/>
                <w:u w:val="single"/>
              </w:rPr>
              <w:t>a sample of at least 30 encounters per anatomic area and age strata combination</w:t>
            </w:r>
            <w:r w:rsidRPr="009A5185">
              <w:rPr>
                <w:rFonts w:cs="Arial"/>
              </w:rPr>
              <w:t xml:space="preserve"> (</w:t>
            </w:r>
            <w:r w:rsidR="00342951" w:rsidRPr="009A5185">
              <w:rPr>
                <w:rFonts w:cs="Arial"/>
              </w:rPr>
              <w:t>i.e.,</w:t>
            </w:r>
            <w:r w:rsidRPr="009A5185">
              <w:rPr>
                <w:rFonts w:cs="Arial"/>
              </w:rPr>
              <w:t xml:space="preserve"> head &lt;1; head 1-4, etc.) is reached, or all cases in the reporting period are reviewed, whichever comes first. </w:t>
            </w:r>
          </w:p>
        </w:tc>
      </w:tr>
      <w:tr w:rsidR="00C12B40" w:rsidRPr="009A5185" w14:paraId="332002A2" w14:textId="77777777" w:rsidTr="004F63C1">
        <w:trPr>
          <w:trHeight w:val="3600"/>
        </w:trPr>
        <w:tc>
          <w:tcPr>
            <w:tcW w:w="5000" w:type="pct"/>
            <w:vAlign w:val="center"/>
          </w:tcPr>
          <w:p w14:paraId="0B777D3C" w14:textId="2F2CA9B2" w:rsidR="00C12B40" w:rsidRPr="009A5185" w:rsidRDefault="00C12B40" w:rsidP="00A212A4">
            <w:pPr>
              <w:pStyle w:val="EndnoteText"/>
              <w:rPr>
                <w:rFonts w:cs="Arial"/>
                <w:b/>
                <w:bCs/>
              </w:rPr>
            </w:pPr>
            <w:r w:rsidRPr="009A5185">
              <w:rPr>
                <w:rFonts w:cs="Arial"/>
                <w:b/>
                <w:bCs/>
              </w:rPr>
              <w:t>Q</w:t>
            </w:r>
            <w:r w:rsidR="00FC78C7">
              <w:rPr>
                <w:rFonts w:cs="Arial"/>
                <w:b/>
                <w:bCs/>
              </w:rPr>
              <w:t>uestion #</w:t>
            </w:r>
            <w:r>
              <w:rPr>
                <w:rFonts w:cs="Arial"/>
                <w:b/>
                <w:bCs/>
              </w:rPr>
              <w:t>6</w:t>
            </w:r>
            <w:r w:rsidRPr="009A5185">
              <w:rPr>
                <w:rFonts w:cs="Arial"/>
                <w:b/>
                <w:bCs/>
              </w:rPr>
              <w:t>, columns b, c, and d: 25</w:t>
            </w:r>
            <w:r w:rsidRPr="009A5185">
              <w:rPr>
                <w:rFonts w:cs="Arial"/>
                <w:b/>
                <w:bCs/>
                <w:vertAlign w:val="superscript"/>
              </w:rPr>
              <w:t>th</w:t>
            </w:r>
            <w:r w:rsidRPr="009A5185">
              <w:rPr>
                <w:rFonts w:cs="Arial"/>
                <w:b/>
                <w:bCs/>
              </w:rPr>
              <w:t>, 50</w:t>
            </w:r>
            <w:r w:rsidRPr="009A5185">
              <w:rPr>
                <w:rFonts w:cs="Arial"/>
                <w:b/>
                <w:bCs/>
                <w:vertAlign w:val="superscript"/>
              </w:rPr>
              <w:t>th</w:t>
            </w:r>
            <w:r w:rsidRPr="009A5185">
              <w:rPr>
                <w:rFonts w:cs="Arial"/>
                <w:b/>
                <w:bCs/>
              </w:rPr>
              <w:t>, and 75</w:t>
            </w:r>
            <w:r w:rsidRPr="009A5185">
              <w:rPr>
                <w:rFonts w:cs="Arial"/>
                <w:b/>
                <w:bCs/>
                <w:vertAlign w:val="superscript"/>
              </w:rPr>
              <w:t>th</w:t>
            </w:r>
            <w:r w:rsidRPr="009A5185">
              <w:rPr>
                <w:rFonts w:cs="Arial"/>
                <w:b/>
                <w:bCs/>
              </w:rPr>
              <w:t xml:space="preserve"> Percentiles </w:t>
            </w:r>
          </w:p>
          <w:p w14:paraId="1AAE7968" w14:textId="1484B1B4" w:rsidR="00720995" w:rsidRDefault="00C12B40" w:rsidP="00A212A4">
            <w:pPr>
              <w:pStyle w:val="NoSpacing"/>
              <w:rPr>
                <w:rFonts w:ascii="Arial" w:hAnsi="Arial" w:cs="Arial"/>
                <w:sz w:val="20"/>
              </w:rPr>
            </w:pPr>
            <w:bookmarkStart w:id="700" w:name="_Hlk36540983"/>
            <w:r w:rsidRPr="009A5185">
              <w:rPr>
                <w:rFonts w:ascii="Arial" w:hAnsi="Arial" w:cs="Arial"/>
                <w:sz w:val="20"/>
              </w:rPr>
              <w:t>Using your dose reports, enter the</w:t>
            </w:r>
            <w:r>
              <w:rPr>
                <w:rFonts w:ascii="Arial" w:hAnsi="Arial" w:cs="Arial"/>
                <w:sz w:val="20"/>
              </w:rPr>
              <w:t xml:space="preserve"> phantom dose and</w:t>
            </w:r>
            <w:r w:rsidRPr="009A5185">
              <w:rPr>
                <w:rFonts w:ascii="Arial" w:hAnsi="Arial" w:cs="Arial"/>
                <w:sz w:val="20"/>
              </w:rPr>
              <w:t xml:space="preserve"> </w:t>
            </w:r>
            <w:r w:rsidRPr="009A5185">
              <w:rPr>
                <w:rFonts w:ascii="Arial" w:hAnsi="Arial" w:cs="Arial"/>
                <w:b/>
                <w:sz w:val="20"/>
              </w:rPr>
              <w:t>Total DLP (</w:t>
            </w:r>
            <w:proofErr w:type="spellStart"/>
            <w:r w:rsidRPr="009A5185">
              <w:rPr>
                <w:rFonts w:ascii="Arial" w:hAnsi="Arial" w:cs="Arial"/>
                <w:b/>
                <w:sz w:val="20"/>
              </w:rPr>
              <w:t>mGY</w:t>
            </w:r>
            <w:proofErr w:type="spellEnd"/>
            <w:r w:rsidRPr="009A5185">
              <w:rPr>
                <w:rFonts w:ascii="Arial" w:hAnsi="Arial" w:cs="Arial"/>
                <w:b/>
                <w:sz w:val="20"/>
              </w:rPr>
              <w:t>-cm)</w:t>
            </w:r>
            <w:r w:rsidRPr="009A5185">
              <w:rPr>
                <w:rFonts w:ascii="Arial" w:hAnsi="Arial" w:cs="Arial"/>
                <w:sz w:val="20"/>
              </w:rPr>
              <w:t xml:space="preserve"> for each encounter into</w:t>
            </w:r>
            <w:r>
              <w:rPr>
                <w:rFonts w:ascii="Arial" w:hAnsi="Arial" w:cs="Arial"/>
                <w:sz w:val="20"/>
              </w:rPr>
              <w:t xml:space="preserve"> </w:t>
            </w:r>
            <w:r w:rsidR="00A670DB">
              <w:rPr>
                <w:rFonts w:ascii="Arial" w:hAnsi="Arial" w:cs="Arial"/>
                <w:sz w:val="20"/>
              </w:rPr>
              <w:t xml:space="preserve">each of </w:t>
            </w:r>
            <w:r>
              <w:rPr>
                <w:rFonts w:ascii="Arial" w:hAnsi="Arial" w:cs="Arial"/>
                <w:sz w:val="20"/>
              </w:rPr>
              <w:t>the</w:t>
            </w:r>
            <w:r w:rsidRPr="009A5185">
              <w:rPr>
                <w:rFonts w:ascii="Arial" w:hAnsi="Arial" w:cs="Arial"/>
                <w:sz w:val="20"/>
              </w:rPr>
              <w:t xml:space="preserve"> </w:t>
            </w:r>
            <w:r w:rsidR="00A670DB">
              <w:rPr>
                <w:rFonts w:ascii="Arial" w:hAnsi="Arial" w:cs="Arial"/>
                <w:sz w:val="20"/>
              </w:rPr>
              <w:t xml:space="preserve">5 </w:t>
            </w:r>
            <w:r>
              <w:rPr>
                <w:rFonts w:ascii="Arial" w:hAnsi="Arial" w:cs="Arial"/>
                <w:sz w:val="20"/>
              </w:rPr>
              <w:t>“Head”</w:t>
            </w:r>
            <w:r w:rsidRPr="009A5185">
              <w:rPr>
                <w:rFonts w:ascii="Arial" w:hAnsi="Arial" w:cs="Arial"/>
                <w:sz w:val="20"/>
              </w:rPr>
              <w:t xml:space="preserve"> tab</w:t>
            </w:r>
            <w:r w:rsidR="00A670DB">
              <w:rPr>
                <w:rFonts w:ascii="Arial" w:hAnsi="Arial" w:cs="Arial"/>
                <w:sz w:val="20"/>
              </w:rPr>
              <w:t xml:space="preserve">s </w:t>
            </w:r>
            <w:r w:rsidRPr="009A5185">
              <w:rPr>
                <w:rFonts w:ascii="Arial" w:hAnsi="Arial" w:cs="Arial"/>
                <w:sz w:val="20"/>
              </w:rPr>
              <w:t xml:space="preserve">of the </w:t>
            </w:r>
            <w:hyperlink r:id="rId453" w:history="1">
              <w:r w:rsidRPr="001D3F0D">
                <w:rPr>
                  <w:rStyle w:val="Hyperlink"/>
                  <w:rFonts w:ascii="Arial" w:hAnsi="Arial" w:cs="Arial"/>
                  <w:sz w:val="20"/>
                  <w:szCs w:val="20"/>
                </w:rPr>
                <w:t>CT Dose Workbook</w:t>
              </w:r>
            </w:hyperlink>
            <w:r w:rsidRPr="001D3F0D">
              <w:rPr>
                <w:rFonts w:ascii="Arial" w:hAnsi="Arial" w:cs="Arial"/>
                <w:sz w:val="20"/>
              </w:rPr>
              <w:t>.</w:t>
            </w:r>
            <w:bookmarkEnd w:id="700"/>
            <w:r w:rsidRPr="009A5185">
              <w:rPr>
                <w:rFonts w:ascii="Arial" w:hAnsi="Arial" w:cs="Arial"/>
                <w:sz w:val="20"/>
              </w:rPr>
              <w:t xml:space="preserve"> Be sure to review the instructions tab carefully before you begin entering data.</w:t>
            </w:r>
            <w:r>
              <w:rPr>
                <w:rFonts w:ascii="Arial" w:hAnsi="Arial" w:cs="Arial"/>
                <w:sz w:val="20"/>
              </w:rPr>
              <w:t xml:space="preserve"> The worksheet will automatically standardize your dose data to a 16cm phantom, if necessary. </w:t>
            </w:r>
            <w:r w:rsidRPr="009A5185">
              <w:rPr>
                <w:rFonts w:ascii="Arial" w:hAnsi="Arial" w:cs="Arial"/>
                <w:sz w:val="20"/>
              </w:rPr>
              <w:t>The worksheet will</w:t>
            </w:r>
            <w:r>
              <w:rPr>
                <w:rFonts w:ascii="Arial" w:hAnsi="Arial" w:cs="Arial"/>
                <w:sz w:val="20"/>
              </w:rPr>
              <w:t xml:space="preserve"> then</w:t>
            </w:r>
            <w:r w:rsidRPr="009A5185">
              <w:rPr>
                <w:rFonts w:ascii="Arial" w:hAnsi="Arial" w:cs="Arial"/>
                <w:sz w:val="20"/>
              </w:rPr>
              <w:t xml:space="preserve"> automatically calculate the total number of encounters, as well as the 25</w:t>
            </w:r>
            <w:r w:rsidRPr="009A5185">
              <w:rPr>
                <w:rFonts w:ascii="Arial" w:hAnsi="Arial" w:cs="Arial"/>
                <w:sz w:val="20"/>
                <w:vertAlign w:val="superscript"/>
              </w:rPr>
              <w:t>th</w:t>
            </w:r>
            <w:r w:rsidRPr="009A5185">
              <w:rPr>
                <w:rFonts w:ascii="Arial" w:hAnsi="Arial" w:cs="Arial"/>
                <w:sz w:val="20"/>
              </w:rPr>
              <w:t>, 50</w:t>
            </w:r>
            <w:r w:rsidRPr="009A5185">
              <w:rPr>
                <w:rFonts w:ascii="Arial" w:hAnsi="Arial" w:cs="Arial"/>
                <w:sz w:val="20"/>
                <w:vertAlign w:val="superscript"/>
              </w:rPr>
              <w:t>th</w:t>
            </w:r>
            <w:r w:rsidRPr="009A5185">
              <w:rPr>
                <w:rFonts w:ascii="Arial" w:hAnsi="Arial" w:cs="Arial"/>
                <w:sz w:val="20"/>
              </w:rPr>
              <w:t>, and 75</w:t>
            </w:r>
            <w:r w:rsidRPr="009A5185">
              <w:rPr>
                <w:rFonts w:ascii="Arial" w:hAnsi="Arial" w:cs="Arial"/>
                <w:sz w:val="20"/>
                <w:vertAlign w:val="superscript"/>
              </w:rPr>
              <w:t>th</w:t>
            </w:r>
            <w:r w:rsidRPr="009A5185">
              <w:rPr>
                <w:rFonts w:ascii="Arial" w:hAnsi="Arial" w:cs="Arial"/>
                <w:sz w:val="20"/>
              </w:rPr>
              <w:t xml:space="preserve"> percentiles for each anatomic area and age stratum. </w:t>
            </w:r>
          </w:p>
          <w:p w14:paraId="191F3831" w14:textId="77777777" w:rsidR="00720995" w:rsidRDefault="00720995" w:rsidP="00A212A4">
            <w:pPr>
              <w:pStyle w:val="NoSpacing"/>
              <w:rPr>
                <w:rFonts w:ascii="Arial" w:hAnsi="Arial" w:cs="Arial"/>
                <w:sz w:val="20"/>
              </w:rPr>
            </w:pPr>
          </w:p>
          <w:p w14:paraId="7A5F30EC" w14:textId="6D0D2DAB" w:rsidR="00A1287D" w:rsidRDefault="00C12B40" w:rsidP="00A212A4">
            <w:pPr>
              <w:pStyle w:val="NoSpacing"/>
              <w:rPr>
                <w:rFonts w:ascii="Arial" w:hAnsi="Arial" w:cs="Arial"/>
                <w:sz w:val="20"/>
              </w:rPr>
            </w:pPr>
            <w:r w:rsidRPr="009A5185">
              <w:rPr>
                <w:rFonts w:ascii="Arial" w:hAnsi="Arial" w:cs="Arial"/>
                <w:sz w:val="20"/>
              </w:rPr>
              <w:t xml:space="preserve">See the example CT Dose Report from a CT scanner </w:t>
            </w:r>
            <w:r w:rsidR="00FE0E25">
              <w:rPr>
                <w:rFonts w:ascii="Arial" w:hAnsi="Arial" w:cs="Arial"/>
                <w:sz w:val="20"/>
              </w:rPr>
              <w:t>at the end of</w:t>
            </w:r>
            <w:r w:rsidRPr="009A5185">
              <w:rPr>
                <w:rFonts w:ascii="Arial" w:hAnsi="Arial" w:cs="Arial"/>
                <w:sz w:val="20"/>
              </w:rPr>
              <w:t xml:space="preserve"> this table</w:t>
            </w:r>
            <w:r w:rsidR="00A1287D">
              <w:rPr>
                <w:rFonts w:ascii="Arial" w:hAnsi="Arial" w:cs="Arial"/>
                <w:sz w:val="20"/>
              </w:rPr>
              <w:t>:</w:t>
            </w:r>
          </w:p>
          <w:p w14:paraId="09945C79" w14:textId="4317D4B2" w:rsidR="00A1287D" w:rsidRDefault="00C12B40" w:rsidP="00AD309C">
            <w:pPr>
              <w:pStyle w:val="NoSpacing"/>
              <w:numPr>
                <w:ilvl w:val="0"/>
                <w:numId w:val="163"/>
              </w:numPr>
              <w:rPr>
                <w:rFonts w:ascii="Arial" w:hAnsi="Arial" w:cs="Arial"/>
                <w:sz w:val="20"/>
                <w:szCs w:val="20"/>
              </w:rPr>
            </w:pPr>
            <w:r w:rsidRPr="009A5185">
              <w:rPr>
                <w:rFonts w:ascii="Arial" w:hAnsi="Arial" w:cs="Arial"/>
                <w:sz w:val="20"/>
                <w:szCs w:val="20"/>
              </w:rPr>
              <w:t xml:space="preserve">The </w:t>
            </w:r>
            <w:r w:rsidR="00FE0E25">
              <w:rPr>
                <w:rFonts w:ascii="Arial" w:hAnsi="Arial" w:cs="Arial"/>
                <w:sz w:val="20"/>
                <w:szCs w:val="20"/>
              </w:rPr>
              <w:t>orange</w:t>
            </w:r>
            <w:r w:rsidRPr="009A5185">
              <w:rPr>
                <w:rFonts w:ascii="Arial" w:hAnsi="Arial" w:cs="Arial"/>
                <w:sz w:val="20"/>
                <w:szCs w:val="20"/>
              </w:rPr>
              <w:t xml:space="preserve"> box in the screenshot is an example of a Dose Report which shows the phantom dose value used. The phantom dose value is used to estimate the radiation dose to the patient</w:t>
            </w:r>
            <w:r>
              <w:rPr>
                <w:rFonts w:ascii="Arial" w:hAnsi="Arial" w:cs="Arial"/>
                <w:sz w:val="20"/>
                <w:szCs w:val="20"/>
              </w:rPr>
              <w:t xml:space="preserve">. </w:t>
            </w:r>
          </w:p>
          <w:p w14:paraId="020C1735" w14:textId="79C15986" w:rsidR="00C12B40" w:rsidRPr="00A1287D" w:rsidRDefault="00C12B40" w:rsidP="00AD309C">
            <w:pPr>
              <w:pStyle w:val="NoSpacing"/>
              <w:numPr>
                <w:ilvl w:val="0"/>
                <w:numId w:val="163"/>
              </w:numPr>
              <w:rPr>
                <w:rFonts w:ascii="Arial" w:hAnsi="Arial" w:cs="Arial"/>
                <w:sz w:val="20"/>
                <w:szCs w:val="20"/>
              </w:rPr>
            </w:pPr>
            <w:r w:rsidRPr="00A1287D">
              <w:rPr>
                <w:rFonts w:ascii="Arial" w:hAnsi="Arial" w:cs="Arial"/>
                <w:sz w:val="20"/>
              </w:rPr>
              <w:t xml:space="preserve">The red box highlights the Total DLP. Note that your CT scanner may have a differently formatted Dose Report. </w:t>
            </w:r>
          </w:p>
          <w:p w14:paraId="71C5C9A0" w14:textId="4331C04B" w:rsidR="00720995" w:rsidRDefault="00720995" w:rsidP="00A212A4">
            <w:pPr>
              <w:pStyle w:val="NoSpacing"/>
              <w:rPr>
                <w:rFonts w:ascii="Arial" w:hAnsi="Arial" w:cs="Arial"/>
                <w:sz w:val="20"/>
              </w:rPr>
            </w:pPr>
          </w:p>
          <w:p w14:paraId="24E2FD66" w14:textId="23AB5D25" w:rsidR="00897A3E" w:rsidRPr="00C670ED" w:rsidRDefault="00720995" w:rsidP="00A212A4">
            <w:pPr>
              <w:pStyle w:val="NoSpacing"/>
              <w:rPr>
                <w:rFonts w:ascii="Arial" w:hAnsi="Arial" w:cs="Arial"/>
                <w:sz w:val="20"/>
                <w:szCs w:val="20"/>
              </w:rPr>
            </w:pPr>
            <w:r w:rsidRPr="00ED06C6">
              <w:rPr>
                <w:rFonts w:ascii="Arial" w:hAnsi="Arial" w:cs="Arial"/>
                <w:b/>
                <w:bCs/>
                <w:sz w:val="20"/>
                <w:szCs w:val="20"/>
              </w:rPr>
              <w:t>Scout Doses (</w:t>
            </w:r>
            <w:proofErr w:type="spellStart"/>
            <w:r w:rsidRPr="00ED06C6">
              <w:rPr>
                <w:rFonts w:ascii="Arial" w:hAnsi="Arial" w:cs="Arial"/>
                <w:b/>
                <w:bCs/>
                <w:sz w:val="20"/>
                <w:szCs w:val="20"/>
              </w:rPr>
              <w:t>Topograms</w:t>
            </w:r>
            <w:proofErr w:type="spellEnd"/>
            <w:r w:rsidRPr="00ED06C6">
              <w:rPr>
                <w:rFonts w:ascii="Arial" w:hAnsi="Arial" w:cs="Arial"/>
                <w:b/>
                <w:bCs/>
                <w:sz w:val="20"/>
                <w:szCs w:val="20"/>
              </w:rPr>
              <w:t>)</w:t>
            </w:r>
            <w:r w:rsidR="005D3242">
              <w:rPr>
                <w:rFonts w:ascii="Arial" w:hAnsi="Arial" w:cs="Arial"/>
                <w:sz w:val="20"/>
                <w:szCs w:val="20"/>
              </w:rPr>
              <w:t xml:space="preserve"> </w:t>
            </w:r>
            <w:r>
              <w:rPr>
                <w:rFonts w:ascii="Arial" w:hAnsi="Arial" w:cs="Arial"/>
                <w:sz w:val="20"/>
                <w:szCs w:val="20"/>
              </w:rPr>
              <w:t xml:space="preserve">should not be included when entering the Total DLP for each encounter into the CT Dose Workbook. </w:t>
            </w:r>
          </w:p>
        </w:tc>
      </w:tr>
      <w:tr w:rsidR="00C12B40" w:rsidRPr="009A5185" w14:paraId="4A25A1B1" w14:textId="77777777" w:rsidTr="004F63C1">
        <w:trPr>
          <w:trHeight w:val="5760"/>
        </w:trPr>
        <w:tc>
          <w:tcPr>
            <w:tcW w:w="5000" w:type="pct"/>
            <w:vAlign w:val="center"/>
          </w:tcPr>
          <w:p w14:paraId="6E11DCDC" w14:textId="6DFC5F24" w:rsidR="00C12B40" w:rsidRPr="009F758E" w:rsidRDefault="00FC78C7" w:rsidP="00A212A4">
            <w:pPr>
              <w:pStyle w:val="NoSpacing"/>
              <w:rPr>
                <w:rFonts w:ascii="Arial" w:hAnsi="Arial" w:cs="Arial"/>
                <w:b/>
                <w:sz w:val="20"/>
              </w:rPr>
            </w:pPr>
            <w:r w:rsidRPr="009A5185">
              <w:rPr>
                <w:rFonts w:ascii="Arial" w:hAnsi="Arial" w:cs="Arial"/>
                <w:b/>
                <w:sz w:val="20"/>
              </w:rPr>
              <w:t>Q</w:t>
            </w:r>
            <w:r>
              <w:rPr>
                <w:rFonts w:ascii="Arial" w:hAnsi="Arial" w:cs="Arial"/>
                <w:b/>
                <w:sz w:val="20"/>
              </w:rPr>
              <w:t>uestion #</w:t>
            </w:r>
            <w:r w:rsidR="00C12B40">
              <w:rPr>
                <w:rFonts w:ascii="Arial" w:hAnsi="Arial" w:cs="Arial"/>
                <w:b/>
                <w:sz w:val="20"/>
              </w:rPr>
              <w:t xml:space="preserve">7 </w:t>
            </w:r>
            <w:r w:rsidR="00C12B40" w:rsidRPr="009A5185">
              <w:rPr>
                <w:rFonts w:ascii="Arial" w:hAnsi="Arial" w:cs="Arial"/>
                <w:b/>
                <w:sz w:val="20"/>
                <w:szCs w:val="20"/>
              </w:rPr>
              <w:t>column a: Total Number of Encounters</w:t>
            </w:r>
          </w:p>
          <w:p w14:paraId="3E52E639" w14:textId="7912ACAC" w:rsidR="00C12B40" w:rsidRPr="009A5185" w:rsidRDefault="00C12B40" w:rsidP="00A212A4">
            <w:pPr>
              <w:pStyle w:val="EndnoteText"/>
              <w:rPr>
                <w:rFonts w:cs="Arial"/>
              </w:rPr>
            </w:pPr>
            <w:r w:rsidRPr="009A5185">
              <w:rPr>
                <w:rFonts w:cs="Arial"/>
              </w:rPr>
              <w:t xml:space="preserve">To determine the total number of encounters </w:t>
            </w:r>
            <w:r>
              <w:rPr>
                <w:rFonts w:cs="Arial"/>
              </w:rPr>
              <w:t>in</w:t>
            </w:r>
            <w:r w:rsidR="004E5A95">
              <w:rPr>
                <w:rFonts w:cs="Arial"/>
              </w:rPr>
              <w:t xml:space="preserve"> </w:t>
            </w:r>
            <w:r w:rsidRPr="004E5A95">
              <w:rPr>
                <w:rFonts w:cs="Arial"/>
                <w:b/>
                <w:bCs/>
              </w:rPr>
              <w:t>abdomen/pelvis</w:t>
            </w:r>
            <w:r w:rsidR="004E5A95" w:rsidRPr="004E5A95">
              <w:rPr>
                <w:rFonts w:cs="Arial"/>
                <w:b/>
                <w:bCs/>
              </w:rPr>
              <w:t xml:space="preserve"> scans</w:t>
            </w:r>
            <w:r w:rsidRPr="004E5A95">
              <w:rPr>
                <w:rFonts w:cs="Arial"/>
                <w:b/>
                <w:bCs/>
              </w:rPr>
              <w:t xml:space="preserve"> </w:t>
            </w:r>
            <w:r>
              <w:rPr>
                <w:rFonts w:cs="Arial"/>
              </w:rPr>
              <w:t>for each</w:t>
            </w:r>
            <w:r w:rsidRPr="009A5185">
              <w:rPr>
                <w:rFonts w:cs="Arial"/>
              </w:rPr>
              <w:t xml:space="preserve"> age stratum</w:t>
            </w:r>
            <w:r>
              <w:rPr>
                <w:rFonts w:cs="Arial"/>
              </w:rPr>
              <w:t xml:space="preserve"> </w:t>
            </w:r>
            <w:r w:rsidRPr="009A5185">
              <w:rPr>
                <w:rFonts w:cs="Arial"/>
              </w:rPr>
              <w:t>(&lt;1, 1-4, 5-9, 10-14, 15-17), you will need to obtain dose reports. See sampling instructions below.</w:t>
            </w:r>
          </w:p>
          <w:p w14:paraId="0D56EDC1" w14:textId="77777777" w:rsidR="00C12B40" w:rsidRDefault="00C12B40" w:rsidP="00A212A4">
            <w:pPr>
              <w:pStyle w:val="NoSpacing"/>
              <w:rPr>
                <w:rFonts w:ascii="Arial" w:hAnsi="Arial" w:cs="Arial"/>
                <w:sz w:val="20"/>
                <w:szCs w:val="20"/>
              </w:rPr>
            </w:pPr>
          </w:p>
          <w:p w14:paraId="27FF209C" w14:textId="77777777" w:rsidR="00577976" w:rsidRPr="009F758E" w:rsidRDefault="00577976" w:rsidP="00A212A4">
            <w:pPr>
              <w:pStyle w:val="NoSpacing"/>
              <w:rPr>
                <w:rFonts w:ascii="Arial" w:hAnsi="Arial" w:cs="Arial"/>
                <w:sz w:val="20"/>
                <w:szCs w:val="20"/>
              </w:rPr>
            </w:pPr>
            <w:r w:rsidRPr="00C14B09">
              <w:rPr>
                <w:rFonts w:ascii="Arial" w:hAnsi="Arial" w:cs="Arial"/>
                <w:b/>
                <w:sz w:val="20"/>
                <w:szCs w:val="20"/>
              </w:rPr>
              <w:t>Inclusions:</w:t>
            </w:r>
          </w:p>
          <w:p w14:paraId="0192D3D9" w14:textId="77777777" w:rsidR="00577976" w:rsidRPr="00F214DA" w:rsidRDefault="00577976" w:rsidP="00A212A4">
            <w:pPr>
              <w:pStyle w:val="NoSpacing"/>
              <w:rPr>
                <w:rFonts w:ascii="Arial" w:hAnsi="Arial" w:cs="Arial"/>
                <w:sz w:val="20"/>
                <w:szCs w:val="20"/>
              </w:rPr>
            </w:pPr>
            <w:r w:rsidRPr="00F214DA">
              <w:rPr>
                <w:rFonts w:ascii="Arial" w:hAnsi="Arial" w:cs="Arial"/>
                <w:color w:val="000000"/>
                <w:sz w:val="20"/>
                <w:szCs w:val="20"/>
              </w:rPr>
              <w:t>CT ABD PELVIS W IVCON</w:t>
            </w:r>
          </w:p>
          <w:p w14:paraId="78D5D0C5" w14:textId="77777777" w:rsidR="00577976" w:rsidRPr="00F214DA" w:rsidRDefault="00577976" w:rsidP="00A212A4">
            <w:pPr>
              <w:pStyle w:val="NoSpacing"/>
              <w:rPr>
                <w:rFonts w:ascii="Arial" w:hAnsi="Arial" w:cs="Arial"/>
                <w:sz w:val="20"/>
                <w:szCs w:val="20"/>
              </w:rPr>
            </w:pPr>
            <w:r w:rsidRPr="00F214DA">
              <w:rPr>
                <w:rFonts w:ascii="Arial" w:hAnsi="Arial" w:cs="Arial"/>
                <w:sz w:val="20"/>
                <w:szCs w:val="20"/>
              </w:rPr>
              <w:t>CT ABD/PEL W IVCON</w:t>
            </w:r>
          </w:p>
          <w:p w14:paraId="3DB70476" w14:textId="77777777" w:rsidR="00577976" w:rsidRPr="00F214DA" w:rsidRDefault="00577976" w:rsidP="00A212A4">
            <w:pPr>
              <w:pStyle w:val="NoSpacing"/>
              <w:rPr>
                <w:rFonts w:ascii="Arial" w:hAnsi="Arial" w:cs="Arial"/>
                <w:sz w:val="20"/>
                <w:szCs w:val="20"/>
              </w:rPr>
            </w:pPr>
            <w:r w:rsidRPr="00F214DA">
              <w:rPr>
                <w:rFonts w:ascii="Arial" w:hAnsi="Arial" w:cs="Arial"/>
                <w:sz w:val="20"/>
                <w:szCs w:val="20"/>
              </w:rPr>
              <w:t>CT PEDS ABD PELVIS</w:t>
            </w:r>
          </w:p>
          <w:p w14:paraId="313301A7" w14:textId="77777777" w:rsidR="00577976" w:rsidRPr="00F214DA" w:rsidRDefault="00577976" w:rsidP="00A212A4">
            <w:pPr>
              <w:pStyle w:val="NoSpacing"/>
              <w:rPr>
                <w:rFonts w:ascii="Arial" w:hAnsi="Arial" w:cs="Arial"/>
                <w:sz w:val="20"/>
                <w:szCs w:val="20"/>
              </w:rPr>
            </w:pPr>
            <w:r w:rsidRPr="00F214DA">
              <w:rPr>
                <w:rFonts w:ascii="Arial" w:hAnsi="Arial" w:cs="Arial"/>
                <w:sz w:val="20"/>
                <w:szCs w:val="20"/>
              </w:rPr>
              <w:t>CT ABD PELVIS WO IVCON</w:t>
            </w:r>
          </w:p>
          <w:p w14:paraId="0CD334E5" w14:textId="77777777" w:rsidR="00577976" w:rsidRPr="00F214DA" w:rsidRDefault="00577976" w:rsidP="00A212A4">
            <w:pPr>
              <w:pStyle w:val="NoSpacing"/>
              <w:rPr>
                <w:rFonts w:ascii="Arial" w:hAnsi="Arial" w:cs="Arial"/>
                <w:sz w:val="20"/>
                <w:szCs w:val="20"/>
              </w:rPr>
            </w:pPr>
            <w:r w:rsidRPr="00F214DA">
              <w:rPr>
                <w:rFonts w:ascii="Arial" w:hAnsi="Arial" w:cs="Arial"/>
                <w:sz w:val="20"/>
                <w:szCs w:val="20"/>
              </w:rPr>
              <w:t>CT ABD/PEL WO IVCON</w:t>
            </w:r>
          </w:p>
          <w:p w14:paraId="1DA0E4C6" w14:textId="77777777" w:rsidR="00577976" w:rsidRPr="00F214DA" w:rsidRDefault="00577976" w:rsidP="00A212A4">
            <w:pPr>
              <w:pStyle w:val="NoSpacing"/>
              <w:rPr>
                <w:rFonts w:ascii="Arial" w:hAnsi="Arial" w:cs="Arial"/>
                <w:sz w:val="20"/>
                <w:szCs w:val="20"/>
              </w:rPr>
            </w:pPr>
            <w:r w:rsidRPr="00F214DA">
              <w:rPr>
                <w:rFonts w:ascii="Arial" w:hAnsi="Arial" w:cs="Arial"/>
                <w:sz w:val="20"/>
                <w:szCs w:val="20"/>
              </w:rPr>
              <w:t>CT ABD/PEL</w:t>
            </w:r>
          </w:p>
          <w:p w14:paraId="40754085" w14:textId="77777777" w:rsidR="00577976" w:rsidRPr="00F214DA" w:rsidRDefault="00577976" w:rsidP="00A212A4">
            <w:pPr>
              <w:pStyle w:val="NoSpacing"/>
              <w:rPr>
                <w:rFonts w:ascii="Arial" w:hAnsi="Arial" w:cs="Arial"/>
                <w:sz w:val="20"/>
                <w:szCs w:val="20"/>
              </w:rPr>
            </w:pPr>
            <w:r w:rsidRPr="00F214DA">
              <w:rPr>
                <w:rFonts w:ascii="Arial" w:hAnsi="Arial" w:cs="Arial"/>
                <w:sz w:val="20"/>
                <w:szCs w:val="20"/>
              </w:rPr>
              <w:t>CT PEDS ABD/PEL WO IVCON</w:t>
            </w:r>
          </w:p>
          <w:p w14:paraId="6D38F7D2" w14:textId="77777777" w:rsidR="00577976" w:rsidRPr="00F214DA" w:rsidRDefault="00577976" w:rsidP="00A212A4">
            <w:pPr>
              <w:pStyle w:val="NoSpacing"/>
              <w:rPr>
                <w:rFonts w:ascii="Arial" w:hAnsi="Arial" w:cs="Arial"/>
                <w:sz w:val="20"/>
                <w:szCs w:val="20"/>
              </w:rPr>
            </w:pPr>
            <w:r w:rsidRPr="00F214DA">
              <w:rPr>
                <w:rFonts w:ascii="Arial" w:hAnsi="Arial" w:cs="Arial"/>
                <w:sz w:val="20"/>
                <w:szCs w:val="20"/>
              </w:rPr>
              <w:t>CT ABD PELVIS WO &amp; W IVCON</w:t>
            </w:r>
          </w:p>
          <w:p w14:paraId="3D881466" w14:textId="77777777" w:rsidR="00577976" w:rsidRPr="00F214DA" w:rsidRDefault="00577976" w:rsidP="00A212A4">
            <w:pPr>
              <w:pStyle w:val="NoSpacing"/>
              <w:rPr>
                <w:rFonts w:ascii="Arial" w:hAnsi="Arial" w:cs="Arial"/>
                <w:sz w:val="20"/>
                <w:szCs w:val="20"/>
              </w:rPr>
            </w:pPr>
            <w:r w:rsidRPr="00F214DA">
              <w:rPr>
                <w:rFonts w:ascii="Arial" w:hAnsi="Arial" w:cs="Arial"/>
                <w:sz w:val="20"/>
                <w:szCs w:val="20"/>
              </w:rPr>
              <w:t>CT ABD/PEL WO &amp; W IVCON</w:t>
            </w:r>
          </w:p>
          <w:p w14:paraId="2883501E" w14:textId="77777777" w:rsidR="00577976" w:rsidRPr="00F214DA" w:rsidRDefault="00577976" w:rsidP="00A212A4">
            <w:pPr>
              <w:pStyle w:val="NoSpacing"/>
              <w:rPr>
                <w:rFonts w:ascii="Arial" w:hAnsi="Arial" w:cs="Arial"/>
                <w:sz w:val="20"/>
                <w:szCs w:val="20"/>
              </w:rPr>
            </w:pPr>
            <w:r w:rsidRPr="00F214DA">
              <w:rPr>
                <w:rFonts w:ascii="Arial" w:hAnsi="Arial" w:cs="Arial"/>
                <w:sz w:val="20"/>
                <w:szCs w:val="20"/>
              </w:rPr>
              <w:t>CT ABD PELVIS</w:t>
            </w:r>
          </w:p>
          <w:p w14:paraId="50A5582D" w14:textId="77777777" w:rsidR="00577976" w:rsidRPr="00F214DA" w:rsidRDefault="00577976" w:rsidP="00A212A4">
            <w:pPr>
              <w:pStyle w:val="NoSpacing"/>
              <w:rPr>
                <w:rFonts w:ascii="Arial" w:hAnsi="Arial" w:cs="Arial"/>
                <w:sz w:val="20"/>
                <w:szCs w:val="20"/>
              </w:rPr>
            </w:pPr>
            <w:r w:rsidRPr="00F214DA">
              <w:rPr>
                <w:rFonts w:ascii="Arial" w:hAnsi="Arial" w:cs="Arial"/>
                <w:sz w:val="20"/>
                <w:szCs w:val="20"/>
              </w:rPr>
              <w:t>CT ABD PELVIS WO IVCON</w:t>
            </w:r>
          </w:p>
          <w:p w14:paraId="57B3E32C" w14:textId="77777777" w:rsidR="00C12B40" w:rsidRDefault="00C12B40" w:rsidP="00A212A4">
            <w:pPr>
              <w:pStyle w:val="NoSpacing"/>
              <w:rPr>
                <w:rFonts w:ascii="Arial" w:hAnsi="Arial" w:cs="Arial"/>
                <w:b/>
                <w:sz w:val="20"/>
                <w:szCs w:val="20"/>
              </w:rPr>
            </w:pPr>
          </w:p>
          <w:p w14:paraId="2B1EEF45" w14:textId="77777777" w:rsidR="00C12B40" w:rsidRPr="006A08C6" w:rsidRDefault="00C12B40" w:rsidP="00A212A4">
            <w:pPr>
              <w:pStyle w:val="NoSpacing"/>
              <w:rPr>
                <w:rFonts w:cs="Arial"/>
                <w:b/>
              </w:rPr>
            </w:pPr>
            <w:r w:rsidRPr="009A5185">
              <w:rPr>
                <w:rFonts w:ascii="Arial" w:hAnsi="Arial" w:cs="Arial"/>
                <w:b/>
                <w:sz w:val="20"/>
                <w:szCs w:val="20"/>
              </w:rPr>
              <w:t>Exclusions:</w:t>
            </w:r>
          </w:p>
          <w:p w14:paraId="5CCDED33" w14:textId="77777777" w:rsidR="00C12B40" w:rsidRDefault="00C12B40" w:rsidP="00AD309C">
            <w:pPr>
              <w:pStyle w:val="ListParagraph"/>
              <w:numPr>
                <w:ilvl w:val="0"/>
                <w:numId w:val="135"/>
              </w:numPr>
              <w:rPr>
                <w:rFonts w:cs="Arial"/>
              </w:rPr>
            </w:pPr>
            <w:r>
              <w:rPr>
                <w:rFonts w:cs="Arial"/>
              </w:rPr>
              <w:t>Encounters where the indication is for a biopsy, including prop studies and stereotactic studies and procedures</w:t>
            </w:r>
          </w:p>
          <w:p w14:paraId="6311B423" w14:textId="2E332538" w:rsidR="00C12B40" w:rsidRDefault="00C12B40" w:rsidP="00AD309C">
            <w:pPr>
              <w:pStyle w:val="ListParagraph"/>
              <w:numPr>
                <w:ilvl w:val="0"/>
                <w:numId w:val="135"/>
              </w:numPr>
              <w:rPr>
                <w:rFonts w:cs="Arial"/>
              </w:rPr>
            </w:pPr>
            <w:r w:rsidRPr="009F758E">
              <w:rPr>
                <w:rFonts w:cs="Arial"/>
              </w:rPr>
              <w:t xml:space="preserve">Encounters that cross multiple anatomic areas should be excluded. For example, encounters involving both the </w:t>
            </w:r>
            <w:r>
              <w:rPr>
                <w:rFonts w:cs="Arial"/>
              </w:rPr>
              <w:t>chest and abdomen/pelvis are excluded from the “abdomen/pelvis</w:t>
            </w:r>
            <w:r w:rsidRPr="009F758E">
              <w:rPr>
                <w:rFonts w:cs="Arial"/>
              </w:rPr>
              <w:t>” anatomic region.</w:t>
            </w:r>
          </w:p>
          <w:p w14:paraId="39389129" w14:textId="44CD3573" w:rsidR="00C12B40" w:rsidRPr="00C670ED" w:rsidRDefault="005D4462" w:rsidP="00AD309C">
            <w:pPr>
              <w:pStyle w:val="ListParagraph"/>
              <w:numPr>
                <w:ilvl w:val="0"/>
                <w:numId w:val="135"/>
              </w:numPr>
              <w:rPr>
                <w:rFonts w:cs="Arial"/>
              </w:rPr>
            </w:pPr>
            <w:r w:rsidRPr="005D4462">
              <w:rPr>
                <w:rFonts w:cs="Arial"/>
              </w:rPr>
              <w:t xml:space="preserve">Encounters where the documented age is </w:t>
            </w:r>
            <w:r>
              <w:rPr>
                <w:rFonts w:cs="Arial"/>
              </w:rPr>
              <w:t xml:space="preserve">missing or listed as </w:t>
            </w:r>
            <w:r w:rsidRPr="005D4462">
              <w:rPr>
                <w:rFonts w:cs="Arial"/>
              </w:rPr>
              <w:t>the date of admission (i.e., an accurate birthday could not be obtained and therefore the admission date was used), as i</w:t>
            </w:r>
            <w:r>
              <w:rPr>
                <w:rFonts w:cs="Arial"/>
              </w:rPr>
              <w:t>s</w:t>
            </w:r>
            <w:r w:rsidRPr="005D4462">
              <w:rPr>
                <w:rFonts w:cs="Arial"/>
              </w:rPr>
              <w:t xml:space="preserve"> the case </w:t>
            </w:r>
            <w:r>
              <w:rPr>
                <w:rFonts w:cs="Arial"/>
              </w:rPr>
              <w:t>for some</w:t>
            </w:r>
            <w:r w:rsidRPr="005D4462">
              <w:rPr>
                <w:rFonts w:cs="Arial"/>
              </w:rPr>
              <w:t xml:space="preserve"> trauma patients</w:t>
            </w:r>
          </w:p>
        </w:tc>
      </w:tr>
      <w:tr w:rsidR="00C12B40" w:rsidRPr="009A5185" w14:paraId="4E7D6BE3" w14:textId="77777777" w:rsidTr="004F63C1">
        <w:trPr>
          <w:trHeight w:val="3456"/>
        </w:trPr>
        <w:tc>
          <w:tcPr>
            <w:tcW w:w="5000" w:type="pct"/>
            <w:tcBorders>
              <w:top w:val="single" w:sz="4" w:space="0" w:color="auto"/>
              <w:left w:val="single" w:sz="4" w:space="0" w:color="auto"/>
              <w:bottom w:val="single" w:sz="4" w:space="0" w:color="auto"/>
              <w:right w:val="single" w:sz="4" w:space="0" w:color="auto"/>
            </w:tcBorders>
            <w:vAlign w:val="center"/>
          </w:tcPr>
          <w:p w14:paraId="20B8EE4D" w14:textId="05DACBD0" w:rsidR="00C12B40" w:rsidRPr="006A08C6" w:rsidRDefault="00C12B40" w:rsidP="00A212A4">
            <w:pPr>
              <w:pStyle w:val="NoSpacing"/>
              <w:rPr>
                <w:rFonts w:ascii="Arial" w:hAnsi="Arial" w:cs="Arial"/>
                <w:b/>
                <w:sz w:val="20"/>
                <w:szCs w:val="20"/>
              </w:rPr>
            </w:pPr>
            <w:r w:rsidRPr="006A08C6">
              <w:rPr>
                <w:rFonts w:ascii="Arial" w:hAnsi="Arial" w:cs="Arial"/>
                <w:b/>
                <w:sz w:val="20"/>
                <w:szCs w:val="20"/>
              </w:rPr>
              <w:t>Q</w:t>
            </w:r>
            <w:r w:rsidR="00FC78C7">
              <w:rPr>
                <w:rFonts w:ascii="Arial" w:hAnsi="Arial" w:cs="Arial"/>
                <w:b/>
                <w:sz w:val="20"/>
                <w:szCs w:val="20"/>
              </w:rPr>
              <w:t>uestion #</w:t>
            </w:r>
            <w:r w:rsidRPr="006A08C6">
              <w:rPr>
                <w:rFonts w:ascii="Arial" w:hAnsi="Arial" w:cs="Arial"/>
                <w:b/>
                <w:sz w:val="20"/>
                <w:szCs w:val="20"/>
              </w:rPr>
              <w:t xml:space="preserve">7 </w:t>
            </w:r>
            <w:r w:rsidRPr="006A08C6">
              <w:rPr>
                <w:rFonts w:ascii="Arial" w:hAnsi="Arial" w:cs="Arial"/>
                <w:b/>
                <w:bCs/>
                <w:sz w:val="20"/>
                <w:szCs w:val="20"/>
              </w:rPr>
              <w:t>columns b, c, and d: 25</w:t>
            </w:r>
            <w:r w:rsidRPr="006A08C6">
              <w:rPr>
                <w:rFonts w:ascii="Arial" w:hAnsi="Arial" w:cs="Arial"/>
                <w:b/>
                <w:bCs/>
                <w:sz w:val="20"/>
                <w:szCs w:val="20"/>
                <w:vertAlign w:val="superscript"/>
              </w:rPr>
              <w:t>th</w:t>
            </w:r>
            <w:r w:rsidRPr="006A08C6">
              <w:rPr>
                <w:rFonts w:ascii="Arial" w:hAnsi="Arial" w:cs="Arial"/>
                <w:b/>
                <w:bCs/>
                <w:sz w:val="20"/>
                <w:szCs w:val="20"/>
              </w:rPr>
              <w:t>, 50</w:t>
            </w:r>
            <w:r w:rsidRPr="006A08C6">
              <w:rPr>
                <w:rFonts w:ascii="Arial" w:hAnsi="Arial" w:cs="Arial"/>
                <w:b/>
                <w:bCs/>
                <w:sz w:val="20"/>
                <w:szCs w:val="20"/>
                <w:vertAlign w:val="superscript"/>
              </w:rPr>
              <w:t>th</w:t>
            </w:r>
            <w:r w:rsidRPr="006A08C6">
              <w:rPr>
                <w:rFonts w:ascii="Arial" w:hAnsi="Arial" w:cs="Arial"/>
                <w:b/>
                <w:bCs/>
                <w:sz w:val="20"/>
                <w:szCs w:val="20"/>
              </w:rPr>
              <w:t>, and 75</w:t>
            </w:r>
            <w:r w:rsidRPr="006A08C6">
              <w:rPr>
                <w:rFonts w:ascii="Arial" w:hAnsi="Arial" w:cs="Arial"/>
                <w:b/>
                <w:bCs/>
                <w:sz w:val="20"/>
                <w:szCs w:val="20"/>
                <w:vertAlign w:val="superscript"/>
              </w:rPr>
              <w:t>th</w:t>
            </w:r>
            <w:r w:rsidRPr="006A08C6">
              <w:rPr>
                <w:rFonts w:ascii="Arial" w:hAnsi="Arial" w:cs="Arial"/>
                <w:b/>
                <w:bCs/>
                <w:sz w:val="20"/>
                <w:szCs w:val="20"/>
              </w:rPr>
              <w:t xml:space="preserve"> Percentiles</w:t>
            </w:r>
          </w:p>
          <w:p w14:paraId="4EFCF358" w14:textId="7821A5D5" w:rsidR="006B37FF" w:rsidRDefault="00C12B40" w:rsidP="00A212A4">
            <w:pPr>
              <w:pStyle w:val="NoSpacing"/>
              <w:rPr>
                <w:rFonts w:ascii="Arial" w:hAnsi="Arial" w:cs="Arial"/>
                <w:sz w:val="20"/>
                <w:szCs w:val="20"/>
              </w:rPr>
            </w:pPr>
            <w:bookmarkStart w:id="701" w:name="_Hlk36541016"/>
            <w:r w:rsidRPr="006A08C6">
              <w:rPr>
                <w:rFonts w:ascii="Arial" w:hAnsi="Arial" w:cs="Arial"/>
                <w:sz w:val="20"/>
                <w:szCs w:val="20"/>
              </w:rPr>
              <w:t xml:space="preserve">Using your dose reports, enter the phantom dose and </w:t>
            </w:r>
            <w:r w:rsidRPr="006A08C6">
              <w:rPr>
                <w:rFonts w:ascii="Arial" w:hAnsi="Arial" w:cs="Arial"/>
                <w:b/>
                <w:sz w:val="20"/>
                <w:szCs w:val="20"/>
              </w:rPr>
              <w:t>Total DLP (</w:t>
            </w:r>
            <w:proofErr w:type="spellStart"/>
            <w:r w:rsidRPr="006A08C6">
              <w:rPr>
                <w:rFonts w:ascii="Arial" w:hAnsi="Arial" w:cs="Arial"/>
                <w:b/>
                <w:sz w:val="20"/>
                <w:szCs w:val="20"/>
              </w:rPr>
              <w:t>mGY</w:t>
            </w:r>
            <w:proofErr w:type="spellEnd"/>
            <w:r w:rsidRPr="006A08C6">
              <w:rPr>
                <w:rFonts w:ascii="Arial" w:hAnsi="Arial" w:cs="Arial"/>
                <w:b/>
                <w:sz w:val="20"/>
                <w:szCs w:val="20"/>
              </w:rPr>
              <w:t>-cm)</w:t>
            </w:r>
            <w:r w:rsidRPr="006A08C6">
              <w:rPr>
                <w:rFonts w:ascii="Arial" w:hAnsi="Arial" w:cs="Arial"/>
                <w:sz w:val="20"/>
                <w:szCs w:val="20"/>
              </w:rPr>
              <w:t xml:space="preserve"> for each encounter into </w:t>
            </w:r>
            <w:r w:rsidR="00A670DB">
              <w:rPr>
                <w:rFonts w:ascii="Arial" w:hAnsi="Arial" w:cs="Arial"/>
                <w:sz w:val="20"/>
                <w:szCs w:val="20"/>
              </w:rPr>
              <w:t>each of the 5</w:t>
            </w:r>
            <w:r w:rsidRPr="006A08C6">
              <w:rPr>
                <w:rFonts w:ascii="Arial" w:hAnsi="Arial" w:cs="Arial"/>
                <w:sz w:val="20"/>
                <w:szCs w:val="20"/>
              </w:rPr>
              <w:t xml:space="preserve"> “Abdomen Pelvis” tab</w:t>
            </w:r>
            <w:r w:rsidR="00A670DB">
              <w:rPr>
                <w:rFonts w:ascii="Arial" w:hAnsi="Arial" w:cs="Arial"/>
                <w:sz w:val="20"/>
                <w:szCs w:val="20"/>
              </w:rPr>
              <w:t>s</w:t>
            </w:r>
            <w:r w:rsidRPr="006A08C6">
              <w:rPr>
                <w:rFonts w:ascii="Arial" w:hAnsi="Arial" w:cs="Arial"/>
                <w:sz w:val="20"/>
                <w:szCs w:val="20"/>
              </w:rPr>
              <w:t xml:space="preserve"> of the </w:t>
            </w:r>
            <w:hyperlink r:id="rId454" w:history="1">
              <w:r w:rsidRPr="00DC7CD7">
                <w:rPr>
                  <w:rStyle w:val="Hyperlink"/>
                  <w:rFonts w:ascii="Arial" w:hAnsi="Arial" w:cs="Arial"/>
                  <w:sz w:val="20"/>
                  <w:szCs w:val="20"/>
                </w:rPr>
                <w:t>CT Dose Workbook</w:t>
              </w:r>
            </w:hyperlink>
            <w:r w:rsidRPr="00DC7CD7">
              <w:rPr>
                <w:rFonts w:ascii="Arial" w:hAnsi="Arial" w:cs="Arial"/>
                <w:sz w:val="20"/>
                <w:szCs w:val="20"/>
              </w:rPr>
              <w:t>.</w:t>
            </w:r>
            <w:r w:rsidRPr="006A08C6">
              <w:rPr>
                <w:rFonts w:ascii="Arial" w:hAnsi="Arial" w:cs="Arial"/>
                <w:sz w:val="20"/>
                <w:szCs w:val="20"/>
              </w:rPr>
              <w:t xml:space="preserve"> </w:t>
            </w:r>
            <w:bookmarkEnd w:id="701"/>
            <w:r w:rsidRPr="006A08C6">
              <w:rPr>
                <w:rFonts w:ascii="Arial" w:hAnsi="Arial" w:cs="Arial"/>
                <w:sz w:val="20"/>
                <w:szCs w:val="20"/>
              </w:rPr>
              <w:t xml:space="preserve">Be sure to review the instructions tab carefully before you begin entering data. The worksheet will automatically standardize your dose data to a </w:t>
            </w:r>
            <w:r w:rsidR="00DC7CD7">
              <w:rPr>
                <w:rFonts w:ascii="Arial" w:hAnsi="Arial" w:cs="Arial"/>
                <w:sz w:val="20"/>
                <w:szCs w:val="20"/>
              </w:rPr>
              <w:t>32</w:t>
            </w:r>
            <w:r w:rsidRPr="006A08C6">
              <w:rPr>
                <w:rFonts w:ascii="Arial" w:hAnsi="Arial" w:cs="Arial"/>
                <w:sz w:val="20"/>
                <w:szCs w:val="20"/>
              </w:rPr>
              <w:t>cm phantom, if necessary. The worksheet will then automatically calculate the total number of encounters, as well as the 25</w:t>
            </w:r>
            <w:r w:rsidRPr="006A08C6">
              <w:rPr>
                <w:rFonts w:ascii="Arial" w:hAnsi="Arial" w:cs="Arial"/>
                <w:sz w:val="20"/>
                <w:szCs w:val="20"/>
                <w:vertAlign w:val="superscript"/>
              </w:rPr>
              <w:t>th</w:t>
            </w:r>
            <w:r w:rsidRPr="006A08C6">
              <w:rPr>
                <w:rFonts w:ascii="Arial" w:hAnsi="Arial" w:cs="Arial"/>
                <w:sz w:val="20"/>
                <w:szCs w:val="20"/>
              </w:rPr>
              <w:t>, 50</w:t>
            </w:r>
            <w:r w:rsidRPr="006A08C6">
              <w:rPr>
                <w:rFonts w:ascii="Arial" w:hAnsi="Arial" w:cs="Arial"/>
                <w:sz w:val="20"/>
                <w:szCs w:val="20"/>
                <w:vertAlign w:val="superscript"/>
              </w:rPr>
              <w:t>th</w:t>
            </w:r>
            <w:r w:rsidRPr="006A08C6">
              <w:rPr>
                <w:rFonts w:ascii="Arial" w:hAnsi="Arial" w:cs="Arial"/>
                <w:sz w:val="20"/>
                <w:szCs w:val="20"/>
              </w:rPr>
              <w:t>, and 75</w:t>
            </w:r>
            <w:r w:rsidRPr="006A08C6">
              <w:rPr>
                <w:rFonts w:ascii="Arial" w:hAnsi="Arial" w:cs="Arial"/>
                <w:sz w:val="20"/>
                <w:szCs w:val="20"/>
                <w:vertAlign w:val="superscript"/>
              </w:rPr>
              <w:t>th</w:t>
            </w:r>
            <w:r w:rsidRPr="006A08C6">
              <w:rPr>
                <w:rFonts w:ascii="Arial" w:hAnsi="Arial" w:cs="Arial"/>
                <w:sz w:val="20"/>
                <w:szCs w:val="20"/>
              </w:rPr>
              <w:t xml:space="preserve"> percentiles for each anatomic area and age stratum. </w:t>
            </w:r>
          </w:p>
          <w:p w14:paraId="38BAA8DE" w14:textId="77777777" w:rsidR="006B37FF" w:rsidRDefault="006B37FF" w:rsidP="00A212A4">
            <w:pPr>
              <w:pStyle w:val="NoSpacing"/>
              <w:rPr>
                <w:rFonts w:ascii="Arial" w:hAnsi="Arial" w:cs="Arial"/>
                <w:sz w:val="20"/>
                <w:szCs w:val="20"/>
              </w:rPr>
            </w:pPr>
          </w:p>
          <w:p w14:paraId="1B731B39" w14:textId="77777777" w:rsidR="00FE0E25" w:rsidRDefault="00FE0E25" w:rsidP="00FE0E25">
            <w:pPr>
              <w:pStyle w:val="NoSpacing"/>
              <w:rPr>
                <w:rFonts w:ascii="Arial" w:hAnsi="Arial" w:cs="Arial"/>
                <w:sz w:val="20"/>
              </w:rPr>
            </w:pPr>
            <w:r w:rsidRPr="009A5185">
              <w:rPr>
                <w:rFonts w:ascii="Arial" w:hAnsi="Arial" w:cs="Arial"/>
                <w:sz w:val="20"/>
              </w:rPr>
              <w:t xml:space="preserve">See the example CT Dose Report from a CT scanner </w:t>
            </w:r>
            <w:r>
              <w:rPr>
                <w:rFonts w:ascii="Arial" w:hAnsi="Arial" w:cs="Arial"/>
                <w:sz w:val="20"/>
              </w:rPr>
              <w:t>at the end of</w:t>
            </w:r>
            <w:r w:rsidRPr="009A5185">
              <w:rPr>
                <w:rFonts w:ascii="Arial" w:hAnsi="Arial" w:cs="Arial"/>
                <w:sz w:val="20"/>
              </w:rPr>
              <w:t xml:space="preserve"> this table</w:t>
            </w:r>
            <w:r>
              <w:rPr>
                <w:rFonts w:ascii="Arial" w:hAnsi="Arial" w:cs="Arial"/>
                <w:sz w:val="20"/>
              </w:rPr>
              <w:t>:</w:t>
            </w:r>
          </w:p>
          <w:p w14:paraId="29E8131B" w14:textId="77777777" w:rsidR="00FE0E25" w:rsidRDefault="00FE0E25" w:rsidP="00AD309C">
            <w:pPr>
              <w:pStyle w:val="NoSpacing"/>
              <w:numPr>
                <w:ilvl w:val="0"/>
                <w:numId w:val="163"/>
              </w:numPr>
              <w:rPr>
                <w:rFonts w:ascii="Arial" w:hAnsi="Arial" w:cs="Arial"/>
                <w:sz w:val="20"/>
                <w:szCs w:val="20"/>
              </w:rPr>
            </w:pPr>
            <w:r w:rsidRPr="009A5185">
              <w:rPr>
                <w:rFonts w:ascii="Arial" w:hAnsi="Arial" w:cs="Arial"/>
                <w:sz w:val="20"/>
                <w:szCs w:val="20"/>
              </w:rPr>
              <w:t xml:space="preserve">The </w:t>
            </w:r>
            <w:r>
              <w:rPr>
                <w:rFonts w:ascii="Arial" w:hAnsi="Arial" w:cs="Arial"/>
                <w:sz w:val="20"/>
                <w:szCs w:val="20"/>
              </w:rPr>
              <w:t>orange</w:t>
            </w:r>
            <w:r w:rsidRPr="009A5185">
              <w:rPr>
                <w:rFonts w:ascii="Arial" w:hAnsi="Arial" w:cs="Arial"/>
                <w:sz w:val="20"/>
                <w:szCs w:val="20"/>
              </w:rPr>
              <w:t xml:space="preserve"> box in the screenshot is an example of a Dose Report which shows the phantom dose value used. The phantom dose value is used to estimate the radiation dose to the patient</w:t>
            </w:r>
            <w:r>
              <w:rPr>
                <w:rFonts w:ascii="Arial" w:hAnsi="Arial" w:cs="Arial"/>
                <w:sz w:val="20"/>
                <w:szCs w:val="20"/>
              </w:rPr>
              <w:t xml:space="preserve">. </w:t>
            </w:r>
          </w:p>
          <w:p w14:paraId="4731AB87" w14:textId="77777777" w:rsidR="00FE0E25" w:rsidRPr="00A1287D" w:rsidRDefault="00FE0E25" w:rsidP="00AD309C">
            <w:pPr>
              <w:pStyle w:val="NoSpacing"/>
              <w:numPr>
                <w:ilvl w:val="0"/>
                <w:numId w:val="163"/>
              </w:numPr>
              <w:rPr>
                <w:rFonts w:ascii="Arial" w:hAnsi="Arial" w:cs="Arial"/>
                <w:sz w:val="20"/>
                <w:szCs w:val="20"/>
              </w:rPr>
            </w:pPr>
            <w:r w:rsidRPr="00A1287D">
              <w:rPr>
                <w:rFonts w:ascii="Arial" w:hAnsi="Arial" w:cs="Arial"/>
                <w:sz w:val="20"/>
              </w:rPr>
              <w:t xml:space="preserve">The red box highlights the Total DLP. Note that your CT scanner may have a differently formatted Dose Report. </w:t>
            </w:r>
          </w:p>
          <w:p w14:paraId="2958E7AB" w14:textId="3DF64006" w:rsidR="006B37FF" w:rsidRDefault="005D3242" w:rsidP="00A212A4">
            <w:pPr>
              <w:pStyle w:val="NoSpacing"/>
              <w:rPr>
                <w:rFonts w:ascii="Arial" w:hAnsi="Arial" w:cs="Arial"/>
                <w:sz w:val="20"/>
              </w:rPr>
            </w:pPr>
            <w:r w:rsidRPr="009A5185">
              <w:rPr>
                <w:rFonts w:ascii="Arial" w:hAnsi="Arial" w:cs="Arial"/>
                <w:noProof/>
                <w:sz w:val="20"/>
              </w:rPr>
              <w:drawing>
                <wp:anchor distT="0" distB="0" distL="114300" distR="114300" simplePos="0" relativeHeight="251658240" behindDoc="0" locked="0" layoutInCell="1" allowOverlap="1" wp14:anchorId="173D3E90" wp14:editId="562F79AF">
                  <wp:simplePos x="0" y="0"/>
                  <wp:positionH relativeFrom="column">
                    <wp:posOffset>1360170</wp:posOffset>
                  </wp:positionH>
                  <wp:positionV relativeFrom="paragraph">
                    <wp:posOffset>13970</wp:posOffset>
                  </wp:positionV>
                  <wp:extent cx="2523490" cy="1793875"/>
                  <wp:effectExtent l="0" t="0" r="0" b="0"/>
                  <wp:wrapSquare wrapText="bothSides"/>
                  <wp:docPr id="2131590917" name="Picture 2131590917" descr="P10708C6T147#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1590917" name="Picture 2131590917" descr="P10708C6T147#y1"/>
                          <pic:cNvPicPr>
                            <a:picLocks noChangeAspect="1" noChangeArrowheads="1"/>
                          </pic:cNvPicPr>
                        </pic:nvPicPr>
                        <pic:blipFill>
                          <a:blip r:embed="rId455">
                            <a:extLst>
                              <a:ext uri="{28A0092B-C50C-407E-A947-70E740481C1C}">
                                <a14:useLocalDpi xmlns:a14="http://schemas.microsoft.com/office/drawing/2010/main" val="0"/>
                              </a:ext>
                            </a:extLst>
                          </a:blip>
                          <a:srcRect/>
                          <a:stretch>
                            <a:fillRect/>
                          </a:stretch>
                        </pic:blipFill>
                        <pic:spPr bwMode="auto">
                          <a:xfrm>
                            <a:off x="0" y="0"/>
                            <a:ext cx="2523490" cy="17938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B4F5C21" w14:textId="77777777" w:rsidR="005D3242" w:rsidRDefault="005D3242" w:rsidP="00A212A4">
            <w:pPr>
              <w:pStyle w:val="NoSpacing"/>
              <w:rPr>
                <w:rFonts w:ascii="Arial" w:hAnsi="Arial" w:cs="Arial"/>
                <w:b/>
                <w:bCs/>
                <w:sz w:val="20"/>
                <w:szCs w:val="20"/>
              </w:rPr>
            </w:pPr>
          </w:p>
          <w:p w14:paraId="593C76CC" w14:textId="77777777" w:rsidR="005D3242" w:rsidRDefault="005D3242" w:rsidP="00A212A4">
            <w:pPr>
              <w:pStyle w:val="NoSpacing"/>
              <w:rPr>
                <w:rFonts w:ascii="Arial" w:hAnsi="Arial" w:cs="Arial"/>
                <w:b/>
                <w:bCs/>
                <w:sz w:val="20"/>
                <w:szCs w:val="20"/>
              </w:rPr>
            </w:pPr>
          </w:p>
          <w:p w14:paraId="3BA88438" w14:textId="77777777" w:rsidR="005D3242" w:rsidRDefault="005D3242" w:rsidP="00A212A4">
            <w:pPr>
              <w:pStyle w:val="NoSpacing"/>
              <w:rPr>
                <w:rFonts w:ascii="Arial" w:hAnsi="Arial" w:cs="Arial"/>
                <w:b/>
                <w:bCs/>
                <w:sz w:val="20"/>
                <w:szCs w:val="20"/>
              </w:rPr>
            </w:pPr>
          </w:p>
          <w:p w14:paraId="0CBCB4DE" w14:textId="3D2E6038" w:rsidR="005D3242" w:rsidRDefault="005D3242" w:rsidP="00A212A4">
            <w:pPr>
              <w:pStyle w:val="NoSpacing"/>
              <w:rPr>
                <w:rFonts w:ascii="Arial" w:hAnsi="Arial" w:cs="Arial"/>
                <w:b/>
                <w:bCs/>
                <w:sz w:val="20"/>
                <w:szCs w:val="20"/>
              </w:rPr>
            </w:pPr>
            <w:r w:rsidRPr="009A5185">
              <w:rPr>
                <w:rFonts w:ascii="Arial" w:hAnsi="Arial" w:cs="Arial"/>
                <w:noProof/>
                <w:sz w:val="20"/>
              </w:rPr>
              <mc:AlternateContent>
                <mc:Choice Requires="wps">
                  <w:drawing>
                    <wp:anchor distT="0" distB="0" distL="114300" distR="114300" simplePos="0" relativeHeight="251658243" behindDoc="0" locked="0" layoutInCell="1" allowOverlap="1" wp14:anchorId="673CDEA3" wp14:editId="253D9894">
                      <wp:simplePos x="0" y="0"/>
                      <wp:positionH relativeFrom="column">
                        <wp:posOffset>3483610</wp:posOffset>
                      </wp:positionH>
                      <wp:positionV relativeFrom="paragraph">
                        <wp:posOffset>114935</wp:posOffset>
                      </wp:positionV>
                      <wp:extent cx="390525" cy="800735"/>
                      <wp:effectExtent l="19050" t="19050" r="28575" b="18415"/>
                      <wp:wrapNone/>
                      <wp:docPr id="5" name="Rectangle 5" descr="P10712C6T147#y1"/>
                      <wp:cNvGraphicFramePr/>
                      <a:graphic xmlns:a="http://schemas.openxmlformats.org/drawingml/2006/main">
                        <a:graphicData uri="http://schemas.microsoft.com/office/word/2010/wordprocessingShape">
                          <wps:wsp>
                            <wps:cNvSpPr/>
                            <wps:spPr>
                              <a:xfrm>
                                <a:off x="0" y="0"/>
                                <a:ext cx="390525" cy="800735"/>
                              </a:xfrm>
                              <a:prstGeom prst="rect">
                                <a:avLst/>
                              </a:prstGeom>
                              <a:noFill/>
                              <a:ln w="28575">
                                <a:solidFill>
                                  <a:schemeClr val="accent6"/>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2F32BA57" id="Rectangle 5" o:spid="_x0000_s1026" alt="P10712C6T147#y1" style="position:absolute;margin-left:274.3pt;margin-top:9.05pt;width:30.75pt;height:63.0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" filled="f" strokecolor="#f79646 [3209]" strokeweight="2.25pt"/>
                  </w:pict>
                </mc:Fallback>
              </mc:AlternateContent>
            </w:r>
          </w:p>
          <w:p w14:paraId="010D94B0" w14:textId="0E85B7B1" w:rsidR="005D3242" w:rsidRDefault="005D3242" w:rsidP="00A212A4">
            <w:pPr>
              <w:pStyle w:val="NoSpacing"/>
              <w:rPr>
                <w:rFonts w:ascii="Arial" w:hAnsi="Arial" w:cs="Arial"/>
                <w:b/>
                <w:bCs/>
                <w:sz w:val="20"/>
                <w:szCs w:val="20"/>
              </w:rPr>
            </w:pPr>
          </w:p>
          <w:p w14:paraId="090166E8" w14:textId="525DA8EC" w:rsidR="005D3242" w:rsidRDefault="005D3242" w:rsidP="00A212A4">
            <w:pPr>
              <w:pStyle w:val="NoSpacing"/>
              <w:rPr>
                <w:rFonts w:ascii="Arial" w:hAnsi="Arial" w:cs="Arial"/>
                <w:b/>
                <w:bCs/>
                <w:sz w:val="20"/>
                <w:szCs w:val="20"/>
              </w:rPr>
            </w:pPr>
          </w:p>
          <w:p w14:paraId="65ACE79D" w14:textId="77777777" w:rsidR="005D3242" w:rsidRDefault="005D3242" w:rsidP="00A212A4">
            <w:pPr>
              <w:pStyle w:val="NoSpacing"/>
              <w:rPr>
                <w:rFonts w:ascii="Arial" w:hAnsi="Arial" w:cs="Arial"/>
                <w:b/>
                <w:bCs/>
                <w:sz w:val="20"/>
                <w:szCs w:val="20"/>
              </w:rPr>
            </w:pPr>
          </w:p>
          <w:p w14:paraId="44C6390C" w14:textId="1F608361" w:rsidR="005D3242" w:rsidRDefault="005D3242" w:rsidP="00A212A4">
            <w:pPr>
              <w:pStyle w:val="NoSpacing"/>
              <w:rPr>
                <w:rFonts w:ascii="Arial" w:hAnsi="Arial" w:cs="Arial"/>
                <w:b/>
                <w:bCs/>
                <w:sz w:val="20"/>
                <w:szCs w:val="20"/>
              </w:rPr>
            </w:pPr>
          </w:p>
          <w:p w14:paraId="7FC2F97F" w14:textId="040330B8" w:rsidR="005D3242" w:rsidRDefault="005D3242" w:rsidP="00A212A4">
            <w:pPr>
              <w:pStyle w:val="NoSpacing"/>
              <w:rPr>
                <w:rFonts w:ascii="Arial" w:hAnsi="Arial" w:cs="Arial"/>
                <w:b/>
                <w:bCs/>
                <w:sz w:val="20"/>
                <w:szCs w:val="20"/>
              </w:rPr>
            </w:pPr>
          </w:p>
          <w:p w14:paraId="4376907C" w14:textId="77777777" w:rsidR="005D3242" w:rsidRDefault="005D3242" w:rsidP="00A212A4">
            <w:pPr>
              <w:pStyle w:val="NoSpacing"/>
              <w:rPr>
                <w:rFonts w:ascii="Arial" w:hAnsi="Arial" w:cs="Arial"/>
                <w:b/>
                <w:bCs/>
                <w:sz w:val="20"/>
                <w:szCs w:val="20"/>
              </w:rPr>
            </w:pPr>
          </w:p>
          <w:p w14:paraId="65E6D9BE" w14:textId="77777777" w:rsidR="005D3242" w:rsidRDefault="005D3242" w:rsidP="00A212A4">
            <w:pPr>
              <w:pStyle w:val="NoSpacing"/>
              <w:rPr>
                <w:rFonts w:ascii="Arial" w:hAnsi="Arial" w:cs="Arial"/>
                <w:b/>
                <w:bCs/>
                <w:sz w:val="20"/>
                <w:szCs w:val="20"/>
              </w:rPr>
            </w:pPr>
          </w:p>
          <w:p w14:paraId="44463881" w14:textId="77777777" w:rsidR="005D3242" w:rsidRDefault="005D3242" w:rsidP="00A212A4">
            <w:pPr>
              <w:pStyle w:val="NoSpacing"/>
              <w:rPr>
                <w:rFonts w:ascii="Arial" w:hAnsi="Arial" w:cs="Arial"/>
                <w:b/>
                <w:bCs/>
                <w:sz w:val="20"/>
                <w:szCs w:val="20"/>
              </w:rPr>
            </w:pPr>
          </w:p>
          <w:p w14:paraId="59167B1A" w14:textId="6B69125C" w:rsidR="00C12B40" w:rsidRPr="006A08C6" w:rsidRDefault="006B37FF" w:rsidP="00A212A4">
            <w:pPr>
              <w:pStyle w:val="NoSpacing"/>
              <w:rPr>
                <w:rFonts w:ascii="Arial" w:hAnsi="Arial" w:cs="Arial"/>
                <w:b/>
                <w:sz w:val="20"/>
                <w:szCs w:val="20"/>
              </w:rPr>
            </w:pPr>
            <w:r w:rsidRPr="00ED06C6">
              <w:rPr>
                <w:rFonts w:ascii="Arial" w:hAnsi="Arial" w:cs="Arial"/>
                <w:b/>
                <w:bCs/>
                <w:sz w:val="20"/>
                <w:szCs w:val="20"/>
              </w:rPr>
              <w:t>Scout Doses (</w:t>
            </w:r>
            <w:proofErr w:type="spellStart"/>
            <w:r w:rsidRPr="00ED06C6">
              <w:rPr>
                <w:rFonts w:ascii="Arial" w:hAnsi="Arial" w:cs="Arial"/>
                <w:b/>
                <w:bCs/>
                <w:sz w:val="20"/>
                <w:szCs w:val="20"/>
              </w:rPr>
              <w:t>Topograms</w:t>
            </w:r>
            <w:proofErr w:type="spellEnd"/>
            <w:r w:rsidRPr="00ED06C6">
              <w:rPr>
                <w:rFonts w:ascii="Arial" w:hAnsi="Arial" w:cs="Arial"/>
                <w:b/>
                <w:bCs/>
                <w:sz w:val="20"/>
                <w:szCs w:val="20"/>
              </w:rPr>
              <w:t>)</w:t>
            </w:r>
            <w:r w:rsidR="005D3242">
              <w:rPr>
                <w:rFonts w:ascii="Arial" w:hAnsi="Arial" w:cs="Arial"/>
                <w:sz w:val="20"/>
                <w:szCs w:val="20"/>
              </w:rPr>
              <w:t xml:space="preserve"> </w:t>
            </w:r>
            <w:r>
              <w:rPr>
                <w:rFonts w:ascii="Arial" w:hAnsi="Arial" w:cs="Arial"/>
                <w:sz w:val="20"/>
                <w:szCs w:val="20"/>
              </w:rPr>
              <w:t>should not be included when entering the Total DLP for each encounter into the CT Dose Workbook.</w:t>
            </w:r>
          </w:p>
        </w:tc>
      </w:tr>
    </w:tbl>
    <w:p w14:paraId="72CD22DA" w14:textId="2C8B5738" w:rsidR="00C12B40" w:rsidRDefault="00C12B40" w:rsidP="004F63C1">
      <w:pPr>
        <w:pStyle w:val="NoSpacing"/>
        <w:rPr>
          <w:rFonts w:ascii="Arial" w:hAnsi="Arial" w:cs="Arial"/>
          <w:sz w:val="20"/>
        </w:rPr>
      </w:pPr>
    </w:p>
    <w:p w14:paraId="79C8EF73" w14:textId="1A987F35" w:rsidR="00577976" w:rsidRPr="00A212A4" w:rsidRDefault="00CC18EA">
      <w:r w:rsidRPr="009A5185">
        <w:rPr>
          <w:rFonts w:cs="Arial"/>
          <w:color w:val="000000"/>
        </w:rPr>
        <w:t>See</w:t>
      </w:r>
      <w:r>
        <w:rPr>
          <w:rFonts w:cs="Arial"/>
          <w:color w:val="000000"/>
        </w:rPr>
        <w:t xml:space="preserve"> </w:t>
      </w:r>
      <w:hyperlink w:anchor="_Pediatric_CT_Radiation" w:history="1">
        <w:r>
          <w:rPr>
            <w:rStyle w:val="Hyperlink"/>
            <w:rFonts w:cs="Arial"/>
          </w:rPr>
          <w:t>FAQs</w:t>
        </w:r>
      </w:hyperlink>
      <w:r w:rsidRPr="009A5185">
        <w:rPr>
          <w:rFonts w:cs="Arial"/>
          <w:color w:val="000000"/>
        </w:rPr>
        <w:t xml:space="preserve"> for additional information about responding to</w:t>
      </w:r>
      <w:r>
        <w:rPr>
          <w:rFonts w:cs="Arial"/>
          <w:color w:val="000000"/>
        </w:rPr>
        <w:t xml:space="preserve"> the</w:t>
      </w:r>
      <w:r w:rsidRPr="009A5185">
        <w:rPr>
          <w:rFonts w:cs="Arial"/>
          <w:color w:val="000000"/>
        </w:rPr>
        <w:t xml:space="preserve"> questions in this section.</w:t>
      </w:r>
      <w:r w:rsidR="00577976">
        <w:br w:type="page"/>
      </w:r>
    </w:p>
    <w:p w14:paraId="78B8E34B" w14:textId="7C579BF5" w:rsidR="00B574C8" w:rsidRDefault="00BD4578" w:rsidP="00CF5A6E">
      <w:pPr>
        <w:pStyle w:val="Heading2"/>
      </w:pPr>
      <w:bookmarkStart w:id="702" w:name="_Pediatric_CT_Radiation"/>
      <w:bookmarkStart w:id="703" w:name="_Toc225877828"/>
      <w:bookmarkEnd w:id="702"/>
      <w:r>
        <w:t xml:space="preserve">Section 8: </w:t>
      </w:r>
      <w:r w:rsidR="00B574C8">
        <w:t>Pediatric Care Frequently Asked Questions (FAQs)</w:t>
      </w:r>
      <w:bookmarkEnd w:id="703"/>
    </w:p>
    <w:p w14:paraId="66A1C9CF" w14:textId="77777777" w:rsidR="00B574C8" w:rsidRPr="009A5185" w:rsidRDefault="00B574C8" w:rsidP="00753419"/>
    <w:p w14:paraId="513214AD" w14:textId="67BF000A" w:rsidR="00B574C8" w:rsidRDefault="00B574C8" w:rsidP="00AB5B80">
      <w:pPr>
        <w:pStyle w:val="Heading3"/>
      </w:pPr>
      <w:bookmarkStart w:id="704" w:name="_Toc225877829"/>
      <w:r>
        <w:t>Patient Experience (CAHPS Child Hospital Survey)</w:t>
      </w:r>
      <w:r w:rsidR="00B078B4">
        <w:t xml:space="preserve"> FAQs</w:t>
      </w:r>
      <w:bookmarkEnd w:id="704"/>
    </w:p>
    <w:p w14:paraId="4C56AE5F" w14:textId="77777777" w:rsidR="00B574C8" w:rsidRPr="009A5185" w:rsidRDefault="00B574C8" w:rsidP="00B574C8">
      <w:pPr>
        <w:rPr>
          <w:rFonts w:cs="Arial"/>
          <w:lang w:eastAsia="ja-JP"/>
        </w:rPr>
      </w:pPr>
    </w:p>
    <w:p w14:paraId="095009A4" w14:textId="1BAEEAA1" w:rsidR="00B574C8" w:rsidRPr="002F6824" w:rsidRDefault="00B574C8" w:rsidP="00AD309C">
      <w:pPr>
        <w:pStyle w:val="ListParagraph"/>
        <w:numPr>
          <w:ilvl w:val="0"/>
          <w:numId w:val="66"/>
        </w:numPr>
        <w:rPr>
          <w:rFonts w:cs="Arial"/>
          <w:b/>
        </w:rPr>
      </w:pPr>
      <w:r w:rsidRPr="002F6824">
        <w:rPr>
          <w:rFonts w:cs="Arial"/>
          <w:b/>
        </w:rPr>
        <w:t xml:space="preserve">Why does Leapfrog refer to two different reporting periods in Section </w:t>
      </w:r>
      <w:r w:rsidR="00FC78C7">
        <w:rPr>
          <w:rFonts w:cs="Arial"/>
          <w:b/>
        </w:rPr>
        <w:t>8</w:t>
      </w:r>
      <w:r w:rsidRPr="002F6824">
        <w:rPr>
          <w:rFonts w:cs="Arial"/>
          <w:b/>
        </w:rPr>
        <w:t xml:space="preserve">A </w:t>
      </w:r>
      <w:r>
        <w:rPr>
          <w:rFonts w:cs="Arial"/>
          <w:b/>
        </w:rPr>
        <w:t>q</w:t>
      </w:r>
      <w:r w:rsidRPr="002F6824">
        <w:rPr>
          <w:rFonts w:cs="Arial"/>
          <w:b/>
        </w:rPr>
        <w:t>uestion #2: one reporting period which refers to the number of pediatric admissions during the 12</w:t>
      </w:r>
      <w:r>
        <w:rPr>
          <w:rFonts w:cs="Arial"/>
          <w:b/>
        </w:rPr>
        <w:t xml:space="preserve"> months</w:t>
      </w:r>
      <w:r w:rsidRPr="002F6824">
        <w:rPr>
          <w:rFonts w:cs="Arial"/>
          <w:b/>
        </w:rPr>
        <w:t xml:space="preserve"> from Section 1 and one reporting period which refers to the results of our CAHPS Child Hospital Survey?</w:t>
      </w:r>
    </w:p>
    <w:p w14:paraId="5E8E956B" w14:textId="206BDAB0" w:rsidR="00B574C8" w:rsidRDefault="00B574C8" w:rsidP="00B574C8">
      <w:pPr>
        <w:pStyle w:val="ListParagraph"/>
        <w:rPr>
          <w:rFonts w:cs="Arial"/>
        </w:rPr>
      </w:pPr>
      <w:r w:rsidRPr="002F6824">
        <w:rPr>
          <w:rFonts w:cs="Arial"/>
        </w:rPr>
        <w:t>These two reporting periods are different because hospitals that have not historically had 500 pediatric admissions annually may not have begun to administer the CAHPS Survey to their patients and therefore it would not be appropriate to ask these facilities to report on their</w:t>
      </w:r>
      <w:r>
        <w:rPr>
          <w:rFonts w:cs="Arial"/>
        </w:rPr>
        <w:t xml:space="preserve"> current results in Section </w:t>
      </w:r>
      <w:r w:rsidR="00FC78C7">
        <w:rPr>
          <w:rFonts w:cs="Arial"/>
        </w:rPr>
        <w:t>8</w:t>
      </w:r>
      <w:r>
        <w:rPr>
          <w:rFonts w:cs="Arial"/>
        </w:rPr>
        <w:t>A.</w:t>
      </w:r>
    </w:p>
    <w:p w14:paraId="1F071698" w14:textId="77777777" w:rsidR="00B574C8" w:rsidRPr="002F6824" w:rsidRDefault="00B574C8" w:rsidP="00B574C8">
      <w:pPr>
        <w:pStyle w:val="ListParagraph"/>
        <w:rPr>
          <w:rFonts w:cs="Arial"/>
        </w:rPr>
      </w:pPr>
    </w:p>
    <w:p w14:paraId="6DFA8E32" w14:textId="115F2F06" w:rsidR="00B574C8" w:rsidRPr="009A5185" w:rsidRDefault="00B574C8" w:rsidP="00AD309C">
      <w:pPr>
        <w:pStyle w:val="ListParagraph"/>
        <w:numPr>
          <w:ilvl w:val="0"/>
          <w:numId w:val="66"/>
        </w:numPr>
        <w:rPr>
          <w:rFonts w:cs="Arial"/>
        </w:rPr>
      </w:pPr>
      <w:r w:rsidRPr="00021044">
        <w:rPr>
          <w:rFonts w:cs="Arial"/>
          <w:b/>
        </w:rPr>
        <w:t xml:space="preserve">Do I need to include </w:t>
      </w:r>
      <w:r>
        <w:rPr>
          <w:rFonts w:cs="Arial"/>
          <w:b/>
        </w:rPr>
        <w:t>neonatal ICU (</w:t>
      </w:r>
      <w:r w:rsidRPr="00021044">
        <w:rPr>
          <w:rFonts w:cs="Arial"/>
          <w:b/>
        </w:rPr>
        <w:t>NICU</w:t>
      </w:r>
      <w:r>
        <w:rPr>
          <w:rFonts w:cs="Arial"/>
          <w:b/>
        </w:rPr>
        <w:t>)</w:t>
      </w:r>
      <w:r w:rsidRPr="00021044">
        <w:rPr>
          <w:rFonts w:cs="Arial"/>
          <w:b/>
        </w:rPr>
        <w:t xml:space="preserve"> discharges when administering the CAHPS Child Hospital Survey and reporting those results to Leapfrog?</w:t>
      </w:r>
      <w:r w:rsidRPr="009A5185">
        <w:rPr>
          <w:rFonts w:cs="Arial"/>
          <w:b/>
        </w:rPr>
        <w:br/>
      </w:r>
      <w:r w:rsidRPr="009A5185">
        <w:rPr>
          <w:rFonts w:cs="Arial"/>
        </w:rPr>
        <w:t xml:space="preserve">The Child CAHPS Hospital Survey was designed to be administered to pediatric discharges including NICU discharges. Additional details on fielding the CAHPS Child Hospital Survey can be found </w:t>
      </w:r>
      <w:hyperlink r:id="rId456" w:history="1">
        <w:r w:rsidRPr="009A5185">
          <w:rPr>
            <w:rStyle w:val="Hyperlink"/>
            <w:rFonts w:cs="Arial"/>
          </w:rPr>
          <w:t>here</w:t>
        </w:r>
      </w:hyperlink>
      <w:r w:rsidRPr="009A5185">
        <w:rPr>
          <w:rFonts w:cs="Arial"/>
        </w:rPr>
        <w:t xml:space="preserve">. </w:t>
      </w:r>
    </w:p>
    <w:p w14:paraId="402E1138" w14:textId="77777777" w:rsidR="00B574C8" w:rsidRPr="009A5185" w:rsidRDefault="00B574C8" w:rsidP="00B574C8">
      <w:pPr>
        <w:pStyle w:val="ListParagraph"/>
        <w:rPr>
          <w:rFonts w:cs="Arial"/>
        </w:rPr>
      </w:pPr>
    </w:p>
    <w:p w14:paraId="42577154" w14:textId="7D113122" w:rsidR="00B574C8" w:rsidRPr="009A5185" w:rsidRDefault="00B574C8" w:rsidP="00B574C8">
      <w:pPr>
        <w:pStyle w:val="ListParagraph"/>
        <w:rPr>
          <w:rFonts w:cs="Arial"/>
        </w:rPr>
      </w:pPr>
      <w:r>
        <w:rPr>
          <w:rFonts w:cs="Arial"/>
        </w:rPr>
        <w:t>In 202</w:t>
      </w:r>
      <w:r w:rsidR="00DA2326">
        <w:rPr>
          <w:rFonts w:cs="Arial"/>
        </w:rPr>
        <w:t>6</w:t>
      </w:r>
      <w:r w:rsidRPr="009A5185">
        <w:rPr>
          <w:rFonts w:cs="Arial"/>
        </w:rPr>
        <w:t xml:space="preserve">, hospitals that have been administering the CAHPS survey without including NICU discharges in their sample can report those results to Leapfrog, provided they meet the minimum sample size and timing requirements in the Leapfrog Hospital Survey. However, we are urging those hospitals to begin including NICU discharges-- per the manual guidelines-- immediately, as CAHPS is designed to include those patients. Hospitals that are just starting </w:t>
      </w:r>
      <w:r>
        <w:rPr>
          <w:rFonts w:cs="Arial"/>
        </w:rPr>
        <w:t>to administer the survey in 202</w:t>
      </w:r>
      <w:r w:rsidR="00DA2326">
        <w:rPr>
          <w:rFonts w:cs="Arial"/>
        </w:rPr>
        <w:t>6</w:t>
      </w:r>
      <w:r w:rsidRPr="009A5185">
        <w:rPr>
          <w:rFonts w:cs="Arial"/>
        </w:rPr>
        <w:t xml:space="preserve"> should include NICU discharges in their sample per the sampling framework detailed in the manual. </w:t>
      </w:r>
    </w:p>
    <w:p w14:paraId="2FA37125" w14:textId="77777777" w:rsidR="00B574C8" w:rsidRPr="00E64F99" w:rsidRDefault="00B574C8" w:rsidP="00B574C8">
      <w:pPr>
        <w:rPr>
          <w:rFonts w:cs="Arial"/>
        </w:rPr>
      </w:pPr>
    </w:p>
    <w:p w14:paraId="2C3852D0" w14:textId="77777777" w:rsidR="00B574C8" w:rsidRPr="00021044" w:rsidRDefault="00B574C8" w:rsidP="00AD309C">
      <w:pPr>
        <w:pStyle w:val="ListParagraph"/>
        <w:numPr>
          <w:ilvl w:val="0"/>
          <w:numId w:val="66"/>
        </w:numPr>
        <w:contextualSpacing w:val="0"/>
        <w:rPr>
          <w:rFonts w:ascii="Calibri" w:hAnsi="Calibri"/>
          <w:b/>
        </w:rPr>
      </w:pPr>
      <w:r w:rsidRPr="00021044">
        <w:rPr>
          <w:b/>
        </w:rPr>
        <w:t>Can we use other lower cost modes for administering the CAHPS Child Hospital Survey? Survey administration is costly, and our hospital has low response rates.</w:t>
      </w:r>
    </w:p>
    <w:p w14:paraId="07CDBC26" w14:textId="77777777" w:rsidR="00B574C8" w:rsidRPr="009A5185" w:rsidRDefault="00B574C8" w:rsidP="00B574C8">
      <w:pPr>
        <w:pStyle w:val="ListParagraph"/>
        <w:rPr>
          <w:rFonts w:cs="Arial"/>
        </w:rPr>
      </w:pPr>
      <w:r w:rsidRPr="009A5185">
        <w:rPr>
          <w:rFonts w:cs="Arial"/>
        </w:rPr>
        <w:t>Some hospitals have asked about the use of alternative, lower cost modes of survey administration, such as administering paper surveys a</w:t>
      </w:r>
      <w:r>
        <w:rPr>
          <w:rFonts w:cs="Arial"/>
        </w:rPr>
        <w:t>t</w:t>
      </w:r>
      <w:r w:rsidRPr="009A5185">
        <w:rPr>
          <w:rFonts w:cs="Arial"/>
        </w:rPr>
        <w:t xml:space="preserve"> discharge that can then be batched and mailed to a vendor to calculate results. This approach is potentially an opportunity both</w:t>
      </w:r>
      <w:r>
        <w:rPr>
          <w:rFonts w:cs="Arial"/>
        </w:rPr>
        <w:t xml:space="preserve"> to</w:t>
      </w:r>
      <w:r w:rsidRPr="009A5185">
        <w:rPr>
          <w:rFonts w:cs="Arial"/>
        </w:rPr>
        <w:t xml:space="preserve"> lower the cost of administration and </w:t>
      </w:r>
      <w:r>
        <w:rPr>
          <w:rFonts w:cs="Arial"/>
        </w:rPr>
        <w:t xml:space="preserve">to </w:t>
      </w:r>
      <w:r w:rsidRPr="009A5185">
        <w:rPr>
          <w:rFonts w:cs="Arial"/>
        </w:rPr>
        <w:t xml:space="preserve">increase response rates. </w:t>
      </w:r>
    </w:p>
    <w:p w14:paraId="7AB7B553" w14:textId="77777777" w:rsidR="00B574C8" w:rsidRPr="009A5185" w:rsidRDefault="00B574C8" w:rsidP="00B574C8">
      <w:pPr>
        <w:pStyle w:val="ListParagraph"/>
        <w:rPr>
          <w:rFonts w:cs="Arial"/>
        </w:rPr>
      </w:pPr>
    </w:p>
    <w:p w14:paraId="74B421D7" w14:textId="1796E987" w:rsidR="00B574C8" w:rsidRDefault="00B574C8" w:rsidP="00B574C8">
      <w:pPr>
        <w:pStyle w:val="ListParagraph"/>
        <w:rPr>
          <w:rFonts w:cs="Arial"/>
        </w:rPr>
      </w:pPr>
      <w:hyperlink r:id="rId457" w:history="1">
        <w:r w:rsidRPr="00B13D73">
          <w:rPr>
            <w:rStyle w:val="Hyperlink"/>
            <w:rFonts w:cs="Arial"/>
          </w:rPr>
          <w:t>Leapfrog’s Pediatric Expert Panel</w:t>
        </w:r>
      </w:hyperlink>
      <w:r w:rsidRPr="009A5185">
        <w:rPr>
          <w:rFonts w:cs="Arial"/>
        </w:rPr>
        <w:t xml:space="preserve"> has noted that while administering the CAHPS Child Hospital Survey using paper forms at discharge </w:t>
      </w:r>
      <w:r>
        <w:rPr>
          <w:rFonts w:cs="Arial"/>
        </w:rPr>
        <w:t xml:space="preserve">is not </w:t>
      </w:r>
      <w:r w:rsidRPr="009A5185">
        <w:rPr>
          <w:rFonts w:cs="Arial"/>
        </w:rPr>
        <w:t xml:space="preserve">on the list of AHRQ-approved modes, hospitals that are trying to find ways to administer the survey and increase response rate should be able to submit results to the </w:t>
      </w:r>
      <w:r>
        <w:rPr>
          <w:rFonts w:cs="Arial"/>
        </w:rPr>
        <w:t>202</w:t>
      </w:r>
      <w:r w:rsidR="00242AC1">
        <w:rPr>
          <w:rFonts w:cs="Arial"/>
        </w:rPr>
        <w:t>6</w:t>
      </w:r>
      <w:r w:rsidRPr="009A5185">
        <w:rPr>
          <w:rFonts w:cs="Arial"/>
        </w:rPr>
        <w:t xml:space="preserve"> Leapfrog Hospital Survey. That said, the Pediatric Expert Panel has expressed a desire for these different modes to be tested, and so we cannot guarantee that you will be able to submit these results for future Leapfrog Hospital Surveys.</w:t>
      </w:r>
    </w:p>
    <w:p w14:paraId="3D833C80" w14:textId="77777777" w:rsidR="00B574C8" w:rsidRPr="00C50210" w:rsidRDefault="00B574C8" w:rsidP="00B574C8">
      <w:pPr>
        <w:rPr>
          <w:rFonts w:cs="Arial"/>
          <w:b/>
          <w:u w:val="single"/>
          <w:lang w:eastAsia="ja-JP"/>
        </w:rPr>
      </w:pPr>
    </w:p>
    <w:p w14:paraId="6EB4DD07" w14:textId="77777777" w:rsidR="00B574C8" w:rsidRPr="009A5185" w:rsidRDefault="00B574C8" w:rsidP="00AD309C">
      <w:pPr>
        <w:pStyle w:val="ListParagraph"/>
        <w:numPr>
          <w:ilvl w:val="0"/>
          <w:numId w:val="66"/>
        </w:numPr>
        <w:rPr>
          <w:rFonts w:cs="Arial"/>
          <w:b/>
          <w:u w:val="single"/>
          <w:lang w:eastAsia="ja-JP"/>
        </w:rPr>
      </w:pPr>
      <w:r w:rsidRPr="009A5185">
        <w:rPr>
          <w:rFonts w:cs="Arial"/>
          <w:b/>
          <w:lang w:eastAsia="ja-JP"/>
        </w:rPr>
        <w:t>Is Interactive Voice Response (IVR) or texting a link to an online survey an acceptable mode for administering the CAHPS Child Hospital Survey?</w:t>
      </w:r>
    </w:p>
    <w:p w14:paraId="2B905047" w14:textId="7F695E98" w:rsidR="00B574C8" w:rsidRPr="00644B83" w:rsidRDefault="00B574C8" w:rsidP="00B574C8">
      <w:pPr>
        <w:pStyle w:val="ListParagraph"/>
      </w:pPr>
      <w:r w:rsidRPr="009A5185">
        <w:rPr>
          <w:rFonts w:cs="Arial"/>
        </w:rPr>
        <w:t xml:space="preserve">Hospitals that administer the CAHPS Child Hospital Survey via IVR should select “phone” in </w:t>
      </w:r>
      <w:r w:rsidRPr="00FC78C7">
        <w:rPr>
          <w:rFonts w:cs="Arial"/>
        </w:rPr>
        <w:t>question #</w:t>
      </w:r>
      <w:r w:rsidR="00FC78C7" w:rsidRPr="00753419">
        <w:rPr>
          <w:rFonts w:cs="Arial"/>
        </w:rPr>
        <w:t>6</w:t>
      </w:r>
      <w:r w:rsidRPr="00FC78C7">
        <w:rPr>
          <w:rFonts w:cs="Arial"/>
        </w:rPr>
        <w:t>.</w:t>
      </w:r>
      <w:r w:rsidRPr="009A5185">
        <w:rPr>
          <w:rFonts w:cs="Arial"/>
        </w:rPr>
        <w:t xml:space="preserve"> Hospitals that administer the CAHPS Child Hospital Survey by texting a link to an online survey to the patient should select “email</w:t>
      </w:r>
      <w:r>
        <w:rPr>
          <w:rFonts w:cs="Arial"/>
        </w:rPr>
        <w:t>.</w:t>
      </w:r>
      <w:r w:rsidRPr="009A5185">
        <w:rPr>
          <w:rFonts w:cs="Arial"/>
        </w:rPr>
        <w:t>”</w:t>
      </w:r>
    </w:p>
    <w:p w14:paraId="5CA30BCB" w14:textId="798620A5" w:rsidR="00B574C8" w:rsidRDefault="00B574C8" w:rsidP="00B574C8">
      <w:pPr>
        <w:rPr>
          <w:rFonts w:cs="Arial"/>
        </w:rPr>
      </w:pPr>
    </w:p>
    <w:p w14:paraId="299F40AB" w14:textId="66DF1F5B" w:rsidR="00B574C8" w:rsidRPr="009A5185" w:rsidRDefault="00B574C8" w:rsidP="00AB5B80">
      <w:pPr>
        <w:pStyle w:val="Heading3"/>
        <w:rPr>
          <w:u w:val="single"/>
        </w:rPr>
      </w:pPr>
      <w:bookmarkStart w:id="705" w:name="_Toc225877830"/>
      <w:r>
        <w:t xml:space="preserve">Pediatric Computed Tomography (CT) Radiation Dose </w:t>
      </w:r>
      <w:r w:rsidR="00B078B4">
        <w:t>FAQs</w:t>
      </w:r>
      <w:bookmarkEnd w:id="705"/>
    </w:p>
    <w:p w14:paraId="3F590E0B" w14:textId="77777777" w:rsidR="002F3F90" w:rsidRPr="009A5185" w:rsidRDefault="002F3F90" w:rsidP="00753419"/>
    <w:p w14:paraId="567C9D41" w14:textId="1D076072" w:rsidR="00E42AFC" w:rsidRPr="00753419" w:rsidRDefault="00E42AFC" w:rsidP="00AD309C">
      <w:pPr>
        <w:pStyle w:val="ListParagraph"/>
        <w:numPr>
          <w:ilvl w:val="0"/>
          <w:numId w:val="66"/>
        </w:numPr>
        <w:spacing w:after="200" w:line="276" w:lineRule="auto"/>
        <w:rPr>
          <w:rFonts w:cs="Arial"/>
          <w:b/>
        </w:rPr>
      </w:pPr>
      <w:r w:rsidRPr="00753419">
        <w:rPr>
          <w:rFonts w:cs="Arial"/>
          <w:b/>
        </w:rPr>
        <w:t xml:space="preserve">Is this measure only applicable to pediatric inpatients, or should all pediatric scans be included? </w:t>
      </w:r>
    </w:p>
    <w:p w14:paraId="05A9979D" w14:textId="1E1DAEE1" w:rsidR="002F3F90" w:rsidRDefault="00E42AFC" w:rsidP="00681690">
      <w:pPr>
        <w:pStyle w:val="ListParagraph"/>
        <w:spacing w:after="200" w:line="276" w:lineRule="auto"/>
        <w:rPr>
          <w:rFonts w:cs="Arial"/>
        </w:rPr>
      </w:pPr>
      <w:r w:rsidRPr="009A5185">
        <w:rPr>
          <w:rFonts w:cs="Arial"/>
        </w:rPr>
        <w:t>All pediatric patient (</w:t>
      </w:r>
      <w:r w:rsidR="002F3283">
        <w:rPr>
          <w:rFonts w:cs="Arial"/>
        </w:rPr>
        <w:t xml:space="preserve">ages </w:t>
      </w:r>
      <w:r w:rsidRPr="009A5185">
        <w:rPr>
          <w:rFonts w:cs="Arial"/>
        </w:rPr>
        <w:t xml:space="preserve">17 years </w:t>
      </w:r>
      <w:r w:rsidR="002F3283">
        <w:rPr>
          <w:rFonts w:cs="Arial"/>
        </w:rPr>
        <w:t>and</w:t>
      </w:r>
      <w:r w:rsidRPr="009A5185">
        <w:rPr>
          <w:rFonts w:cs="Arial"/>
        </w:rPr>
        <w:t xml:space="preserve"> younger) scans should be included when reporting on this measure, including cases that were never admitted to an inpatient ward.</w:t>
      </w:r>
      <w:r w:rsidR="00DC28FF" w:rsidRPr="009A5185">
        <w:rPr>
          <w:rFonts w:cs="Arial"/>
        </w:rPr>
        <w:br/>
      </w:r>
    </w:p>
    <w:p w14:paraId="73CAB2D2" w14:textId="649329B1" w:rsidR="00B574C8" w:rsidRDefault="00B574C8" w:rsidP="00681690">
      <w:pPr>
        <w:pStyle w:val="ListParagraph"/>
        <w:spacing w:after="200" w:line="276" w:lineRule="auto"/>
        <w:rPr>
          <w:rFonts w:cs="Arial"/>
        </w:rPr>
      </w:pPr>
    </w:p>
    <w:p w14:paraId="7CB35D7D" w14:textId="77777777" w:rsidR="00B574C8" w:rsidRPr="009A5185" w:rsidRDefault="00B574C8" w:rsidP="00681690">
      <w:pPr>
        <w:pStyle w:val="ListParagraph"/>
        <w:spacing w:after="200" w:line="276" w:lineRule="auto"/>
        <w:rPr>
          <w:rFonts w:cs="Arial"/>
        </w:rPr>
      </w:pPr>
    </w:p>
    <w:p w14:paraId="562A2312" w14:textId="77777777" w:rsidR="002F3F90" w:rsidRPr="00681690" w:rsidRDefault="002F3F90" w:rsidP="00AD309C">
      <w:pPr>
        <w:pStyle w:val="ListParagraph"/>
        <w:numPr>
          <w:ilvl w:val="0"/>
          <w:numId w:val="66"/>
        </w:numPr>
        <w:spacing w:after="200" w:line="276" w:lineRule="auto"/>
        <w:rPr>
          <w:rFonts w:cs="Arial"/>
          <w:b/>
        </w:rPr>
      </w:pPr>
      <w:r w:rsidRPr="00681690">
        <w:rPr>
          <w:rFonts w:cs="Arial"/>
          <w:b/>
        </w:rPr>
        <w:t>Should multiple phase scans be included in the reporting?</w:t>
      </w:r>
    </w:p>
    <w:p w14:paraId="62572F45" w14:textId="613FD25E" w:rsidR="008D1AC4" w:rsidRDefault="002F3F90" w:rsidP="00681690">
      <w:pPr>
        <w:pStyle w:val="ListParagraph"/>
        <w:spacing w:after="200"/>
        <w:rPr>
          <w:rFonts w:cs="Arial"/>
        </w:rPr>
      </w:pPr>
      <w:r w:rsidRPr="009A5185">
        <w:rPr>
          <w:rFonts w:cs="Arial"/>
        </w:rPr>
        <w:t>Yes, the intent of this measure is to capture the entire dose a patient receives, even if this radiation is received over multiple phase scans.</w:t>
      </w:r>
    </w:p>
    <w:p w14:paraId="6876514A" w14:textId="77777777" w:rsidR="008D1AC4" w:rsidRPr="008D1AC4" w:rsidRDefault="008D1AC4" w:rsidP="008D1AC4">
      <w:pPr>
        <w:pStyle w:val="ListParagraph"/>
        <w:spacing w:after="200"/>
        <w:rPr>
          <w:rFonts w:cs="Arial"/>
        </w:rPr>
      </w:pPr>
    </w:p>
    <w:p w14:paraId="5E246DFE" w14:textId="1AB9907C" w:rsidR="002F3F90" w:rsidRPr="009A5185" w:rsidRDefault="002F3F90" w:rsidP="00AD309C">
      <w:pPr>
        <w:pStyle w:val="ListParagraph"/>
        <w:numPr>
          <w:ilvl w:val="0"/>
          <w:numId w:val="66"/>
        </w:numPr>
        <w:spacing w:after="200" w:line="276" w:lineRule="auto"/>
        <w:rPr>
          <w:rFonts w:cs="Arial"/>
          <w:b/>
        </w:rPr>
      </w:pPr>
      <w:r w:rsidRPr="009A5185">
        <w:rPr>
          <w:rFonts w:cs="Arial"/>
          <w:b/>
        </w:rPr>
        <w:t xml:space="preserve">Should any CT encounters involving anatomic areas not listed in the </w:t>
      </w:r>
      <w:r w:rsidR="00C14AFF" w:rsidRPr="009A5185">
        <w:rPr>
          <w:rFonts w:cs="Arial"/>
          <w:b/>
        </w:rPr>
        <w:t>Survey</w:t>
      </w:r>
      <w:r w:rsidRPr="009A5185">
        <w:rPr>
          <w:rFonts w:cs="Arial"/>
          <w:b/>
        </w:rPr>
        <w:t xml:space="preserve"> </w:t>
      </w:r>
      <w:r w:rsidR="00833C54" w:rsidRPr="009A5185">
        <w:rPr>
          <w:rFonts w:cs="Arial"/>
          <w:b/>
        </w:rPr>
        <w:t>questions (</w:t>
      </w:r>
      <w:r w:rsidR="000A554A" w:rsidRPr="009A5185">
        <w:rPr>
          <w:rFonts w:cs="Arial"/>
          <w:b/>
        </w:rPr>
        <w:t>i.e.,</w:t>
      </w:r>
      <w:r w:rsidRPr="009A5185">
        <w:rPr>
          <w:rFonts w:cs="Arial"/>
          <w:b/>
        </w:rPr>
        <w:t xml:space="preserve"> head</w:t>
      </w:r>
      <w:r w:rsidR="00390C9B" w:rsidRPr="009A5185">
        <w:rPr>
          <w:rFonts w:cs="Arial"/>
          <w:b/>
        </w:rPr>
        <w:t xml:space="preserve"> or</w:t>
      </w:r>
      <w:r w:rsidRPr="009A5185">
        <w:rPr>
          <w:rFonts w:cs="Arial"/>
          <w:b/>
        </w:rPr>
        <w:t xml:space="preserve"> abdomen/pelvis) be included in the reporting? </w:t>
      </w:r>
    </w:p>
    <w:p w14:paraId="369CA13C" w14:textId="77777777" w:rsidR="002F3F90" w:rsidRPr="004153E6" w:rsidRDefault="002F3F90" w:rsidP="00681690">
      <w:pPr>
        <w:pStyle w:val="ListParagraph"/>
        <w:rPr>
          <w:rFonts w:cs="Arial"/>
        </w:rPr>
      </w:pPr>
      <w:r w:rsidRPr="009A5185">
        <w:rPr>
          <w:rFonts w:cs="Arial"/>
        </w:rPr>
        <w:t xml:space="preserve">No. When reporting CT encounters in the </w:t>
      </w:r>
      <w:r w:rsidR="00C14AFF" w:rsidRPr="009A5185">
        <w:rPr>
          <w:rFonts w:cs="Arial"/>
        </w:rPr>
        <w:t>Survey</w:t>
      </w:r>
      <w:r w:rsidRPr="009A5185">
        <w:rPr>
          <w:rFonts w:cs="Arial"/>
        </w:rPr>
        <w:t>, only encounters involving the head</w:t>
      </w:r>
      <w:r w:rsidR="00390C9B" w:rsidRPr="009A5185">
        <w:rPr>
          <w:rFonts w:cs="Arial"/>
        </w:rPr>
        <w:t xml:space="preserve"> or</w:t>
      </w:r>
      <w:r w:rsidRPr="009A5185">
        <w:rPr>
          <w:rFonts w:cs="Arial"/>
        </w:rPr>
        <w:t xml:space="preserve"> abdomen/pelvis should be included. Encounters involving any other anatomic area should not be reported. For example, encounters involving both the head and neck are excluded from the </w:t>
      </w:r>
      <w:r w:rsidRPr="004153E6">
        <w:rPr>
          <w:rFonts w:cs="Arial"/>
        </w:rPr>
        <w:t>“head” anatomic region.</w:t>
      </w:r>
    </w:p>
    <w:p w14:paraId="31E24D38" w14:textId="77777777" w:rsidR="002F3F90" w:rsidRPr="004153E6" w:rsidRDefault="002F3F90" w:rsidP="002F3F90">
      <w:pPr>
        <w:pStyle w:val="ListParagraph"/>
        <w:rPr>
          <w:rFonts w:cs="Arial"/>
        </w:rPr>
      </w:pPr>
    </w:p>
    <w:p w14:paraId="51B92FB0" w14:textId="77777777" w:rsidR="002F3F90" w:rsidRPr="004153E6" w:rsidRDefault="002F3F90" w:rsidP="00AD309C">
      <w:pPr>
        <w:pStyle w:val="ListParagraph"/>
        <w:numPr>
          <w:ilvl w:val="0"/>
          <w:numId w:val="66"/>
        </w:numPr>
        <w:spacing w:after="200" w:line="276" w:lineRule="auto"/>
        <w:rPr>
          <w:rFonts w:cs="Arial"/>
          <w:b/>
        </w:rPr>
      </w:pPr>
      <w:r w:rsidRPr="004153E6">
        <w:rPr>
          <w:rFonts w:cs="Arial"/>
          <w:b/>
        </w:rPr>
        <w:t>Are the CT doses adjusted for any factors other than age, such as height and weight?</w:t>
      </w:r>
    </w:p>
    <w:p w14:paraId="418E36B6" w14:textId="189A9A09" w:rsidR="00A4487F" w:rsidRPr="00681690" w:rsidRDefault="002F3F90" w:rsidP="004F63C1">
      <w:pPr>
        <w:pStyle w:val="ListParagraph"/>
        <w:sectPr w:rsidR="00A4487F" w:rsidRPr="00681690" w:rsidSect="00062F69">
          <w:headerReference w:type="default" r:id="rId458"/>
          <w:endnotePr>
            <w:numFmt w:val="decimal"/>
          </w:endnotePr>
          <w:type w:val="continuous"/>
          <w:pgSz w:w="12240" w:h="15840"/>
          <w:pgMar w:top="1080" w:right="1440" w:bottom="1080" w:left="1440" w:header="720" w:footer="720" w:gutter="0"/>
          <w:cols w:space="720"/>
          <w:docGrid w:linePitch="272"/>
        </w:sectPr>
      </w:pPr>
      <w:r w:rsidRPr="004153E6">
        <w:rPr>
          <w:rFonts w:cs="Arial"/>
        </w:rPr>
        <w:t xml:space="preserve">No, CT doses are only stratified by age and anatomic region. </w:t>
      </w:r>
      <w:r w:rsidR="00233436" w:rsidRPr="004153E6">
        <w:rPr>
          <w:rFonts w:cs="Arial"/>
        </w:rPr>
        <w:t xml:space="preserve">The pediatric CT radiation dose measure is an NQF-endorsed measure, developed so that all hospitals in the country who do pediatric CT scans can report. Its known limitation is that it does not consider patient size (e.g., height and weight) but instead uses age as a proxy for size. Part of the reason is that unless hospitals use dose monitoring software, which not all hospitals currently do due to cost, they would not have this information readily available to them. </w:t>
      </w:r>
      <w:r w:rsidR="008D1AC4" w:rsidRPr="004153E6">
        <w:rPr>
          <w:rFonts w:cs="Arial"/>
        </w:rPr>
        <w:t>However,</w:t>
      </w:r>
      <w:r w:rsidR="008D1AC4" w:rsidRPr="004153E6">
        <w:t xml:space="preserve"> </w:t>
      </w:r>
      <w:r w:rsidR="008D1AC4" w:rsidRPr="004153E6">
        <w:rPr>
          <w:rFonts w:cs="Arial"/>
        </w:rPr>
        <w:t>to align with the American College of Radiology (ACR), head scans are standardized to 16cm phantoms and abdomen/pelvis scans are standardized to 32cm phantoms.</w:t>
      </w:r>
    </w:p>
    <w:p w14:paraId="753789E5" w14:textId="77777777" w:rsidR="00A4487F" w:rsidRPr="009A5185" w:rsidRDefault="00A4487F" w:rsidP="00753419"/>
    <w:p w14:paraId="4B646F52" w14:textId="77777777" w:rsidR="00082F78" w:rsidRDefault="00082F78">
      <w:pPr>
        <w:rPr>
          <w:b/>
          <w:bCs/>
          <w:i/>
          <w:iCs/>
          <w:snapToGrid w:val="0"/>
          <w:sz w:val="40"/>
          <w:szCs w:val="40"/>
          <w:lang w:eastAsia="ja-JP"/>
        </w:rPr>
      </w:pPr>
      <w:r>
        <w:br w:type="page"/>
      </w:r>
    </w:p>
    <w:p w14:paraId="6EB2180A" w14:textId="60F8FF3B" w:rsidR="00A4487F" w:rsidRPr="00B574C8" w:rsidRDefault="00B574C8" w:rsidP="00B574C8">
      <w:pPr>
        <w:pStyle w:val="SectionHeader"/>
      </w:pPr>
      <w:bookmarkStart w:id="706" w:name="_Toc225877831"/>
      <w:r w:rsidRPr="00B574C8">
        <w:t>Page Intentionally Left Blank</w:t>
      </w:r>
      <w:bookmarkEnd w:id="706"/>
    </w:p>
    <w:p w14:paraId="41512F98" w14:textId="77777777" w:rsidR="00A01F0A" w:rsidRDefault="00A01F0A" w:rsidP="00D32C75">
      <w:pPr>
        <w:pStyle w:val="SectionHeader"/>
        <w:sectPr w:rsidR="00A01F0A" w:rsidSect="00062F69">
          <w:headerReference w:type="default" r:id="rId459"/>
          <w:endnotePr>
            <w:numFmt w:val="decimal"/>
          </w:endnotePr>
          <w:type w:val="continuous"/>
          <w:pgSz w:w="12240" w:h="15840"/>
          <w:pgMar w:top="1080" w:right="1440" w:bottom="1080" w:left="1440" w:header="720" w:footer="720" w:gutter="0"/>
          <w:cols w:space="720"/>
          <w:docGrid w:linePitch="272"/>
        </w:sectPr>
      </w:pPr>
    </w:p>
    <w:p w14:paraId="1417C166" w14:textId="0EE70D3D" w:rsidR="00412884" w:rsidRDefault="00412884">
      <w:pPr>
        <w:rPr>
          <w:b/>
          <w:bCs/>
          <w:i/>
          <w:iCs/>
          <w:snapToGrid w:val="0"/>
          <w:sz w:val="40"/>
          <w:szCs w:val="40"/>
          <w:lang w:eastAsia="ja-JP"/>
        </w:rPr>
      </w:pPr>
      <w:bookmarkStart w:id="707" w:name="Sect10"/>
      <w:r>
        <w:br w:type="page"/>
      </w:r>
    </w:p>
    <w:p w14:paraId="69643DA4" w14:textId="77777777" w:rsidR="00412884" w:rsidRDefault="00412884" w:rsidP="00764EEA"/>
    <w:p w14:paraId="0DF01B99" w14:textId="77777777" w:rsidR="00412884" w:rsidRDefault="00412884" w:rsidP="00764EEA"/>
    <w:p w14:paraId="14EF7210" w14:textId="77777777" w:rsidR="00412884" w:rsidRDefault="00412884" w:rsidP="00764EEA"/>
    <w:p w14:paraId="3CD8AFF9" w14:textId="77777777" w:rsidR="00412884" w:rsidRDefault="00412884" w:rsidP="00764EEA"/>
    <w:p w14:paraId="14854576" w14:textId="77777777" w:rsidR="00412884" w:rsidRDefault="00412884" w:rsidP="00764EEA"/>
    <w:p w14:paraId="68B108C8" w14:textId="77777777" w:rsidR="00412884" w:rsidRDefault="00412884" w:rsidP="00764EEA"/>
    <w:p w14:paraId="4F85F059" w14:textId="77777777" w:rsidR="00412884" w:rsidRDefault="00412884" w:rsidP="00764EEA"/>
    <w:p w14:paraId="73BE7CA2" w14:textId="77777777" w:rsidR="00412884" w:rsidRDefault="00412884" w:rsidP="00764EEA"/>
    <w:p w14:paraId="6B3CAC14" w14:textId="77777777" w:rsidR="00412884" w:rsidRDefault="00412884" w:rsidP="00764EEA"/>
    <w:p w14:paraId="6C5E7382" w14:textId="77777777" w:rsidR="00412884" w:rsidRDefault="00412884" w:rsidP="00764EEA"/>
    <w:p w14:paraId="4F9B8B3C" w14:textId="4E349EB3" w:rsidR="00412884" w:rsidRDefault="00412884" w:rsidP="00F750C5"/>
    <w:p w14:paraId="53B918A3" w14:textId="765C09C1" w:rsidR="00F750C5" w:rsidRDefault="00F750C5" w:rsidP="00F750C5"/>
    <w:p w14:paraId="43EF2195" w14:textId="46801E5A" w:rsidR="00F750C5" w:rsidRDefault="00F750C5" w:rsidP="00F750C5"/>
    <w:p w14:paraId="3C194BBF" w14:textId="4FEADB3C" w:rsidR="00F750C5" w:rsidRDefault="00F750C5" w:rsidP="00F750C5"/>
    <w:p w14:paraId="7FE97EE9" w14:textId="5BE546C0" w:rsidR="00F750C5" w:rsidRDefault="00F750C5" w:rsidP="00F750C5"/>
    <w:p w14:paraId="05D80F9E" w14:textId="660220B7" w:rsidR="00F750C5" w:rsidRDefault="00F750C5" w:rsidP="00F750C5"/>
    <w:p w14:paraId="7AADF4ED" w14:textId="2F7AD0E3" w:rsidR="00F750C5" w:rsidRDefault="00F750C5" w:rsidP="00F750C5"/>
    <w:p w14:paraId="15AC6E3B" w14:textId="31127EC1" w:rsidR="00F750C5" w:rsidRDefault="00F750C5" w:rsidP="00F750C5"/>
    <w:p w14:paraId="2D957793" w14:textId="77777777" w:rsidR="00F750C5" w:rsidRDefault="00F750C5" w:rsidP="00764EEA"/>
    <w:p w14:paraId="629BACB7" w14:textId="382289AA" w:rsidR="00A4487F" w:rsidRPr="009A5185" w:rsidRDefault="00A4487F" w:rsidP="00D32C75">
      <w:pPr>
        <w:pStyle w:val="SectionHeader"/>
      </w:pPr>
      <w:bookmarkStart w:id="708" w:name="_Toc225877832"/>
      <w:r>
        <w:t xml:space="preserve">SECTION </w:t>
      </w:r>
      <w:r w:rsidR="00412884">
        <w:t>9</w:t>
      </w:r>
      <w:r>
        <w:t>:</w:t>
      </w:r>
      <w:r w:rsidR="000625A6">
        <w:t xml:space="preserve"> OUTPATIENT PROCEDURES</w:t>
      </w:r>
      <w:bookmarkEnd w:id="708"/>
    </w:p>
    <w:bookmarkEnd w:id="707"/>
    <w:p w14:paraId="093DC1CC" w14:textId="77777777" w:rsidR="00A4487F" w:rsidRPr="009A5185" w:rsidRDefault="00A4487F" w:rsidP="00764EEA"/>
    <w:p w14:paraId="2140765E" w14:textId="611BDF5E" w:rsidR="00A4487F" w:rsidRPr="009A5185" w:rsidRDefault="00A4487F" w:rsidP="00A4487F">
      <w:pPr>
        <w:rPr>
          <w:rFonts w:cs="Arial"/>
        </w:rPr>
      </w:pPr>
      <w:r w:rsidRPr="009A5185">
        <w:rPr>
          <w:rFonts w:cs="Arial"/>
        </w:rPr>
        <w:t>This section includes questions and ref</w:t>
      </w:r>
      <w:r>
        <w:rPr>
          <w:rFonts w:cs="Arial"/>
        </w:rPr>
        <w:t xml:space="preserve">erence information for Section </w:t>
      </w:r>
      <w:r w:rsidR="00412884">
        <w:rPr>
          <w:rFonts w:cs="Arial"/>
        </w:rPr>
        <w:t>9</w:t>
      </w:r>
      <w:r>
        <w:rPr>
          <w:rFonts w:cs="Arial"/>
        </w:rPr>
        <w:t>:</w:t>
      </w:r>
      <w:r w:rsidRPr="009A5185">
        <w:rPr>
          <w:rFonts w:cs="Arial"/>
        </w:rPr>
        <w:t xml:space="preserve"> </w:t>
      </w:r>
      <w:r>
        <w:rPr>
          <w:rFonts w:cs="Arial"/>
        </w:rPr>
        <w:t xml:space="preserve">Outpatient </w:t>
      </w:r>
      <w:r w:rsidR="00D50B7F">
        <w:rPr>
          <w:rFonts w:cs="Arial"/>
        </w:rPr>
        <w:t>Procedures</w:t>
      </w:r>
      <w:r w:rsidRPr="009A5185">
        <w:rPr>
          <w:rFonts w:cs="Arial"/>
        </w:rPr>
        <w:t xml:space="preserve">. Please carefully review the questions, endnotes, and reference information (e.g., measure specifications, notes, and frequently asked questions) before you begin. Failure to review the reference information could result in inaccurate responses. </w:t>
      </w:r>
    </w:p>
    <w:p w14:paraId="4109C406" w14:textId="77777777" w:rsidR="00A4487F" w:rsidRPr="009A5185" w:rsidRDefault="00A4487F" w:rsidP="00764EEA"/>
    <w:p w14:paraId="2EB1E5C9" w14:textId="77777777" w:rsidR="00A4487F" w:rsidRPr="009A5185" w:rsidRDefault="00A4487F" w:rsidP="00A4487F">
      <w:pPr>
        <w:rPr>
          <w:rFonts w:cs="Arial"/>
        </w:rPr>
      </w:pPr>
      <w:r w:rsidRPr="009A5185">
        <w:rPr>
          <w:rFonts w:cs="Arial"/>
        </w:rPr>
        <w:br w:type="page"/>
      </w:r>
    </w:p>
    <w:p w14:paraId="79C90E0F" w14:textId="30FA7783" w:rsidR="00A4487F" w:rsidRPr="009A5185" w:rsidRDefault="00A4487F" w:rsidP="00CF5A6E">
      <w:pPr>
        <w:pStyle w:val="Heading2"/>
      </w:pPr>
      <w:bookmarkStart w:id="709" w:name="_Section_9:_Outpatient"/>
      <w:bookmarkStart w:id="710" w:name="_Toc225877833"/>
      <w:bookmarkEnd w:id="709"/>
      <w:r>
        <w:t xml:space="preserve">Section </w:t>
      </w:r>
      <w:r w:rsidR="00412884">
        <w:t>9</w:t>
      </w:r>
      <w:r w:rsidR="00D50B7F">
        <w:t xml:space="preserve">: </w:t>
      </w:r>
      <w:r>
        <w:t xml:space="preserve">Outpatient </w:t>
      </w:r>
      <w:r w:rsidR="00D50B7F">
        <w:t>Procedures</w:t>
      </w:r>
      <w:bookmarkEnd w:id="710"/>
    </w:p>
    <w:p w14:paraId="312D3E93" w14:textId="77777777" w:rsidR="00A4487F" w:rsidRPr="009A5185" w:rsidRDefault="00A4487F" w:rsidP="00A4487F">
      <w:pPr>
        <w:pStyle w:val="BodyText3"/>
        <w:rPr>
          <w:rFonts w:cs="Arial"/>
          <w:highlight w:val="yellow"/>
        </w:rPr>
      </w:pPr>
    </w:p>
    <w:p w14:paraId="160A28E4" w14:textId="02F23A62" w:rsidR="001275CD" w:rsidRDefault="0041452B" w:rsidP="009463BA">
      <w:r>
        <w:rPr>
          <w:rFonts w:cs="Arial"/>
          <w:b/>
        </w:rPr>
        <w:t xml:space="preserve">Outpatient Procedures </w:t>
      </w:r>
      <w:r w:rsidR="00A5474F">
        <w:rPr>
          <w:rFonts w:cs="Arial"/>
          <w:b/>
        </w:rPr>
        <w:t>Fact Sheet</w:t>
      </w:r>
      <w:r w:rsidR="009778A5">
        <w:rPr>
          <w:rFonts w:cs="Arial"/>
          <w:b/>
        </w:rPr>
        <w:t xml:space="preserve"> and Bibliography</w:t>
      </w:r>
      <w:r>
        <w:rPr>
          <w:rFonts w:cs="Arial"/>
          <w:b/>
        </w:rPr>
        <w:t xml:space="preserve">: </w:t>
      </w:r>
      <w:hyperlink r:id="rId460" w:history="1">
        <w:r w:rsidR="009463BA" w:rsidRPr="00A2752F">
          <w:rPr>
            <w:rStyle w:val="Hyperlink"/>
          </w:rPr>
          <w:t>https://ratings.leapfroggroup.org/measure/hospital/2026/care-elective-outpatient-surgery-patients</w:t>
        </w:r>
      </w:hyperlink>
    </w:p>
    <w:p w14:paraId="70E14FCC" w14:textId="77777777" w:rsidR="009463BA" w:rsidRDefault="009463BA" w:rsidP="009463BA">
      <w:pPr>
        <w:rPr>
          <w:rFonts w:cs="Arial"/>
        </w:rPr>
      </w:pPr>
    </w:p>
    <w:p w14:paraId="2E13F96C" w14:textId="14612AB5" w:rsidR="003A7DE7" w:rsidRDefault="003A7DE7" w:rsidP="00A24425">
      <w:pPr>
        <w:pStyle w:val="BodyText3"/>
        <w:rPr>
          <w:rFonts w:cs="Arial"/>
          <w:snapToGrid w:val="0"/>
        </w:rPr>
      </w:pPr>
      <w:r>
        <w:rPr>
          <w:rFonts w:cs="Arial"/>
          <w:snapToGrid w:val="0"/>
        </w:rPr>
        <w:t>Section 9 includes questions about the volume and safety of same-day procedures performed in hospital outpatient departments. Additionally, Leapfrog downloads CMS data on unplanned hospital visits after an outpatient colonoscopy (OP-32) and the experience of patients who had a same-day surgery performed (OAS CAHPS). For 2026, reporting on Section 9C: Volume of Procedures is optional.</w:t>
      </w:r>
    </w:p>
    <w:p w14:paraId="1CC7F00F" w14:textId="77777777" w:rsidR="00652583" w:rsidRDefault="00652583" w:rsidP="00A24425">
      <w:pPr>
        <w:pStyle w:val="BodyText3"/>
        <w:rPr>
          <w:rFonts w:cs="Arial"/>
          <w:snapToGrid w:val="0"/>
        </w:rPr>
      </w:pPr>
    </w:p>
    <w:p w14:paraId="6543628E" w14:textId="549E8F94" w:rsidR="00F0772B" w:rsidRPr="00F0772B" w:rsidRDefault="00F0772B" w:rsidP="00A24425">
      <w:pPr>
        <w:pStyle w:val="BodyText3"/>
        <w:rPr>
          <w:rFonts w:cs="Arial"/>
          <w:b/>
          <w:bCs/>
          <w:snapToGrid w:val="0"/>
          <w:color w:val="FF0000"/>
        </w:rPr>
      </w:pPr>
      <w:bookmarkStart w:id="711" w:name="_Hlk121755000"/>
      <w:r w:rsidRPr="00F0772B">
        <w:rPr>
          <w:rFonts w:cs="Arial"/>
          <w:b/>
          <w:bCs/>
          <w:snapToGrid w:val="0"/>
          <w:color w:val="FF0000"/>
        </w:rPr>
        <w:t>Hospitals will not be able to access Section 9 until the American Medical Association’s Terms of Use are completed via the CPT Code Workbook button on the Survey Dashboard</w:t>
      </w:r>
      <w:r>
        <w:rPr>
          <w:rFonts w:cs="Arial"/>
          <w:b/>
          <w:bCs/>
          <w:snapToGrid w:val="0"/>
          <w:color w:val="FF0000"/>
        </w:rPr>
        <w:t xml:space="preserve">, and the appropriate CPT Code Workbook is downloaded. </w:t>
      </w:r>
    </w:p>
    <w:bookmarkEnd w:id="711"/>
    <w:p w14:paraId="27675282" w14:textId="77777777" w:rsidR="00DD2598" w:rsidRPr="00A24425" w:rsidRDefault="00DD2598" w:rsidP="00A24425">
      <w:pPr>
        <w:pStyle w:val="BodyText3"/>
        <w:rPr>
          <w:rFonts w:cs="Arial"/>
          <w:color w:val="auto"/>
        </w:rPr>
      </w:pPr>
    </w:p>
    <w:p w14:paraId="49899614" w14:textId="2E20DCE5" w:rsidR="00C663E4" w:rsidRPr="009A5185" w:rsidRDefault="00C663E4" w:rsidP="00C663E4">
      <w:pPr>
        <w:rPr>
          <w:rFonts w:cs="Arial"/>
          <w:b/>
        </w:rPr>
      </w:pPr>
      <w:r w:rsidRPr="009A5185">
        <w:rPr>
          <w:rFonts w:cs="Arial"/>
          <w:b/>
        </w:rPr>
        <w:t xml:space="preserve">Each hospital </w:t>
      </w:r>
      <w:r>
        <w:rPr>
          <w:rFonts w:cs="Arial"/>
          <w:b/>
        </w:rPr>
        <w:t>achieving</w:t>
      </w:r>
      <w:r w:rsidRPr="009A5185">
        <w:rPr>
          <w:rFonts w:cs="Arial"/>
          <w:b/>
        </w:rPr>
        <w:t xml:space="preserve"> th</w:t>
      </w:r>
      <w:r>
        <w:rPr>
          <w:rFonts w:cs="Arial"/>
          <w:b/>
        </w:rPr>
        <w:t>e</w:t>
      </w:r>
      <w:r w:rsidRPr="009A5185">
        <w:rPr>
          <w:rFonts w:cs="Arial"/>
          <w:b/>
        </w:rPr>
        <w:t xml:space="preserve"> standar</w:t>
      </w:r>
      <w:r w:rsidR="00D66C9E">
        <w:rPr>
          <w:rFonts w:cs="Arial"/>
          <w:b/>
        </w:rPr>
        <w:t xml:space="preserve">ds for </w:t>
      </w:r>
      <w:r w:rsidR="00170461" w:rsidRPr="00170461">
        <w:rPr>
          <w:rFonts w:cs="Arial"/>
          <w:b/>
        </w:rPr>
        <w:t>Certified Clinicians Present While Patients Are Recovering</w:t>
      </w:r>
      <w:r w:rsidR="00170461">
        <w:rPr>
          <w:rFonts w:cs="Arial"/>
          <w:b/>
        </w:rPr>
        <w:t>:</w:t>
      </w:r>
    </w:p>
    <w:p w14:paraId="492C3193" w14:textId="3AD2515D" w:rsidR="00C663E4" w:rsidRDefault="00C663E4" w:rsidP="00AD309C">
      <w:pPr>
        <w:numPr>
          <w:ilvl w:val="0"/>
          <w:numId w:val="139"/>
        </w:numPr>
        <w:rPr>
          <w:rFonts w:cs="Arial"/>
          <w:snapToGrid w:val="0"/>
          <w:color w:val="000000"/>
        </w:rPr>
      </w:pPr>
      <w:r w:rsidRPr="00C663E4">
        <w:rPr>
          <w:rFonts w:cs="Arial"/>
          <w:snapToGrid w:val="0"/>
          <w:color w:val="000000"/>
        </w:rPr>
        <w:t xml:space="preserve">Has an ACLS certified clinician, plus a second clinician, present at all times and immediately available in the building while adult patients are present in the </w:t>
      </w:r>
      <w:r>
        <w:rPr>
          <w:rFonts w:cs="Arial"/>
          <w:snapToGrid w:val="0"/>
          <w:color w:val="000000"/>
        </w:rPr>
        <w:t>hospital outpatient department</w:t>
      </w:r>
      <w:r w:rsidR="00EE7395">
        <w:rPr>
          <w:rFonts w:cs="Arial"/>
          <w:snapToGrid w:val="0"/>
          <w:color w:val="000000"/>
        </w:rPr>
        <w:t>.</w:t>
      </w:r>
    </w:p>
    <w:p w14:paraId="0FD4D020" w14:textId="63CB2F66" w:rsidR="00597183" w:rsidRDefault="00597183" w:rsidP="00AD309C">
      <w:pPr>
        <w:numPr>
          <w:ilvl w:val="0"/>
          <w:numId w:val="139"/>
        </w:numPr>
        <w:rPr>
          <w:rFonts w:cs="Arial"/>
          <w:snapToGrid w:val="0"/>
          <w:color w:val="000000"/>
        </w:rPr>
      </w:pPr>
      <w:r>
        <w:rPr>
          <w:rFonts w:cs="Arial"/>
          <w:snapToGrid w:val="0"/>
          <w:color w:val="000000"/>
        </w:rPr>
        <w:t>Has a PAL</w:t>
      </w:r>
      <w:r w:rsidR="00CF7C5B">
        <w:rPr>
          <w:rFonts w:cs="Arial"/>
          <w:snapToGrid w:val="0"/>
          <w:color w:val="000000"/>
        </w:rPr>
        <w:t>S</w:t>
      </w:r>
      <w:r>
        <w:rPr>
          <w:rFonts w:cs="Arial"/>
          <w:snapToGrid w:val="0"/>
          <w:color w:val="000000"/>
        </w:rPr>
        <w:t xml:space="preserve"> </w:t>
      </w:r>
      <w:r w:rsidRPr="00C663E4">
        <w:rPr>
          <w:rFonts w:cs="Arial"/>
          <w:snapToGrid w:val="0"/>
          <w:color w:val="000000"/>
        </w:rPr>
        <w:t xml:space="preserve">certified clinician, plus a second clinician, present at all times and immediately available in the building while </w:t>
      </w:r>
      <w:r>
        <w:rPr>
          <w:rFonts w:cs="Arial"/>
          <w:snapToGrid w:val="0"/>
          <w:color w:val="000000"/>
        </w:rPr>
        <w:t>pediatric</w:t>
      </w:r>
      <w:r w:rsidRPr="00C663E4">
        <w:rPr>
          <w:rFonts w:cs="Arial"/>
          <w:snapToGrid w:val="0"/>
          <w:color w:val="000000"/>
        </w:rPr>
        <w:t xml:space="preserve"> patients are present in the </w:t>
      </w:r>
      <w:r>
        <w:rPr>
          <w:rFonts w:cs="Arial"/>
          <w:snapToGrid w:val="0"/>
          <w:color w:val="000000"/>
        </w:rPr>
        <w:t>hospital outpatient department</w:t>
      </w:r>
      <w:r w:rsidR="00EE7395">
        <w:rPr>
          <w:rFonts w:cs="Arial"/>
          <w:snapToGrid w:val="0"/>
          <w:color w:val="000000"/>
        </w:rPr>
        <w:t>.</w:t>
      </w:r>
    </w:p>
    <w:p w14:paraId="67B0B450" w14:textId="77777777" w:rsidR="00EE0CC8" w:rsidRDefault="00EE0CC8" w:rsidP="00A14CB5">
      <w:pPr>
        <w:rPr>
          <w:rFonts w:cs="Arial"/>
          <w:snapToGrid w:val="0"/>
          <w:color w:val="000000"/>
        </w:rPr>
      </w:pPr>
    </w:p>
    <w:p w14:paraId="1C8A41E6" w14:textId="3B265B92" w:rsidR="00D66C9E" w:rsidRPr="00BC3C78" w:rsidRDefault="00D66C9E" w:rsidP="00D66C9E">
      <w:pPr>
        <w:rPr>
          <w:rFonts w:cs="Arial"/>
          <w:b/>
          <w:bCs/>
          <w:color w:val="000000"/>
        </w:rPr>
      </w:pPr>
      <w:r w:rsidRPr="00BC3C78">
        <w:rPr>
          <w:rFonts w:cs="Arial"/>
          <w:b/>
          <w:bCs/>
          <w:color w:val="000000"/>
        </w:rPr>
        <w:t xml:space="preserve">Each hospital achieving the standard for </w:t>
      </w:r>
      <w:r>
        <w:rPr>
          <w:rFonts w:cs="Arial"/>
          <w:b/>
          <w:bCs/>
          <w:color w:val="000000"/>
        </w:rPr>
        <w:t xml:space="preserve">the </w:t>
      </w:r>
      <w:r w:rsidR="00641230">
        <w:rPr>
          <w:rFonts w:cs="Arial"/>
          <w:b/>
          <w:bCs/>
          <w:color w:val="000000"/>
        </w:rPr>
        <w:t>S</w:t>
      </w:r>
      <w:r>
        <w:rPr>
          <w:rFonts w:cs="Arial"/>
          <w:b/>
          <w:bCs/>
          <w:color w:val="000000"/>
        </w:rPr>
        <w:t xml:space="preserve">afe </w:t>
      </w:r>
      <w:r w:rsidR="00641230">
        <w:rPr>
          <w:rFonts w:cs="Arial"/>
          <w:b/>
          <w:bCs/>
          <w:color w:val="000000"/>
        </w:rPr>
        <w:t>S</w:t>
      </w:r>
      <w:r>
        <w:rPr>
          <w:rFonts w:cs="Arial"/>
          <w:b/>
          <w:bCs/>
          <w:color w:val="000000"/>
        </w:rPr>
        <w:t xml:space="preserve">urgery </w:t>
      </w:r>
      <w:r w:rsidR="00641230">
        <w:rPr>
          <w:rFonts w:cs="Arial"/>
          <w:b/>
          <w:bCs/>
          <w:color w:val="000000"/>
        </w:rPr>
        <w:t>C</w:t>
      </w:r>
      <w:r>
        <w:rPr>
          <w:rFonts w:cs="Arial"/>
          <w:b/>
          <w:bCs/>
          <w:color w:val="000000"/>
        </w:rPr>
        <w:t>hecklist</w:t>
      </w:r>
      <w:r w:rsidRPr="00BC3C78">
        <w:rPr>
          <w:rFonts w:cs="Arial"/>
          <w:b/>
          <w:bCs/>
          <w:color w:val="000000"/>
        </w:rPr>
        <w:t>:</w:t>
      </w:r>
    </w:p>
    <w:p w14:paraId="7F0EE40D" w14:textId="62A67ACD" w:rsidR="00D66C9E" w:rsidRPr="0074772E" w:rsidRDefault="00D66C9E" w:rsidP="00AD309C">
      <w:pPr>
        <w:pStyle w:val="ListParagraph"/>
        <w:numPr>
          <w:ilvl w:val="0"/>
          <w:numId w:val="169"/>
        </w:numPr>
        <w:spacing w:after="120" w:line="264" w:lineRule="auto"/>
        <w:rPr>
          <w:rFonts w:cstheme="minorHAnsi"/>
        </w:rPr>
      </w:pPr>
      <w:r w:rsidRPr="00720A62">
        <w:rPr>
          <w:rFonts w:cstheme="minorHAnsi"/>
        </w:rPr>
        <w:t xml:space="preserve">Uses a safe surgery checklist on </w:t>
      </w:r>
      <w:r w:rsidRPr="00720A62">
        <w:rPr>
          <w:rFonts w:cstheme="minorHAnsi"/>
          <w:b/>
          <w:bCs/>
        </w:rPr>
        <w:t xml:space="preserve">all </w:t>
      </w:r>
      <w:r w:rsidRPr="00720A62">
        <w:rPr>
          <w:rFonts w:cstheme="minorHAnsi"/>
        </w:rPr>
        <w:t xml:space="preserve">patients undergoing an applicable procedure (reported on in Section </w:t>
      </w:r>
      <w:r w:rsidR="00A879E1">
        <w:rPr>
          <w:rFonts w:cstheme="minorHAnsi"/>
        </w:rPr>
        <w:t>9</w:t>
      </w:r>
      <w:r w:rsidR="00B163D4">
        <w:rPr>
          <w:rFonts w:cstheme="minorHAnsi"/>
        </w:rPr>
        <w:t>C</w:t>
      </w:r>
      <w:r w:rsidR="00F955FE">
        <w:rPr>
          <w:rFonts w:cstheme="minorHAnsi"/>
        </w:rPr>
        <w:t>, if applicable</w:t>
      </w:r>
      <w:r w:rsidRPr="00720A62">
        <w:rPr>
          <w:rFonts w:cstheme="minorHAnsi"/>
        </w:rPr>
        <w:t>)</w:t>
      </w:r>
      <w:r>
        <w:rPr>
          <w:rFonts w:cstheme="minorHAnsi"/>
        </w:rPr>
        <w:t xml:space="preserve"> that </w:t>
      </w:r>
      <w:r>
        <w:t>includes</w:t>
      </w:r>
      <w:r w:rsidRPr="00AD521E">
        <w:t xml:space="preserve"> </w:t>
      </w:r>
      <w:r w:rsidRPr="00D65587">
        <w:rPr>
          <w:b/>
          <w:bCs/>
        </w:rPr>
        <w:t>all</w:t>
      </w:r>
      <w:r w:rsidRPr="00AD521E">
        <w:rPr>
          <w:b/>
          <w:bCs/>
        </w:rPr>
        <w:t xml:space="preserve"> </w:t>
      </w:r>
      <w:r w:rsidRPr="00AD521E">
        <w:t xml:space="preserve">safe </w:t>
      </w:r>
      <w:r>
        <w:t>surgery</w:t>
      </w:r>
      <w:r w:rsidRPr="00AD521E">
        <w:t xml:space="preserve"> checklist elements</w:t>
      </w:r>
      <w:r w:rsidR="00F955FE">
        <w:t>;</w:t>
      </w:r>
      <w:r w:rsidR="00B7570B">
        <w:t xml:space="preserve"> </w:t>
      </w:r>
      <w:r w:rsidR="00B7570B" w:rsidRPr="00B7570B">
        <w:rPr>
          <w:b/>
          <w:bCs/>
        </w:rPr>
        <w:t xml:space="preserve">and </w:t>
      </w:r>
    </w:p>
    <w:p w14:paraId="794FBC35" w14:textId="16B7720E" w:rsidR="00D66C9E" w:rsidRPr="00B7570B" w:rsidRDefault="00D66C9E" w:rsidP="00AD309C">
      <w:pPr>
        <w:pStyle w:val="ListParagraph"/>
        <w:numPr>
          <w:ilvl w:val="0"/>
          <w:numId w:val="169"/>
        </w:numPr>
        <w:spacing w:after="120" w:line="264" w:lineRule="auto"/>
        <w:rPr>
          <w:rFonts w:cstheme="minorHAnsi"/>
        </w:rPr>
      </w:pPr>
      <w:r>
        <w:rPr>
          <w:rFonts w:cstheme="minorHAnsi"/>
        </w:rPr>
        <w:t xml:space="preserve">Verbalizes </w:t>
      </w:r>
      <w:r w:rsidRPr="00E53952">
        <w:rPr>
          <w:rFonts w:cstheme="minorHAnsi"/>
          <w:b/>
          <w:bCs/>
        </w:rPr>
        <w:t>all</w:t>
      </w:r>
      <w:r>
        <w:rPr>
          <w:rFonts w:cstheme="minorHAnsi"/>
        </w:rPr>
        <w:t xml:space="preserve"> </w:t>
      </w:r>
      <w:r w:rsidR="00F955FE">
        <w:rPr>
          <w:rFonts w:cstheme="minorHAnsi"/>
        </w:rPr>
        <w:t xml:space="preserve">safe surgery checklist </w:t>
      </w:r>
      <w:r>
        <w:rPr>
          <w:rFonts w:cstheme="minorHAnsi"/>
        </w:rPr>
        <w:t xml:space="preserve">elements </w:t>
      </w:r>
      <w:r>
        <w:t>in the presence of the appropriate personnel</w:t>
      </w:r>
      <w:r w:rsidR="00F955FE">
        <w:t>;</w:t>
      </w:r>
      <w:r w:rsidR="00B7570B">
        <w:t xml:space="preserve"> </w:t>
      </w:r>
      <w:r w:rsidR="00B7570B" w:rsidRPr="00B7570B">
        <w:rPr>
          <w:b/>
          <w:bCs/>
        </w:rPr>
        <w:t xml:space="preserve">and </w:t>
      </w:r>
    </w:p>
    <w:p w14:paraId="45C8BADE" w14:textId="4E1441A1" w:rsidR="00445E84" w:rsidRPr="00B7570B" w:rsidRDefault="00445E84" w:rsidP="00AD309C">
      <w:pPr>
        <w:pStyle w:val="ListParagraph"/>
        <w:numPr>
          <w:ilvl w:val="0"/>
          <w:numId w:val="169"/>
        </w:numPr>
        <w:spacing w:after="120" w:line="264" w:lineRule="auto"/>
        <w:rPr>
          <w:rFonts w:cstheme="minorHAnsi"/>
        </w:rPr>
      </w:pPr>
      <w:r>
        <w:t xml:space="preserve">Completes an audit </w:t>
      </w:r>
      <w:r w:rsidR="003F4A36">
        <w:t>on</w:t>
      </w:r>
      <w:r>
        <w:t xml:space="preserve"> </w:t>
      </w:r>
      <w:r w:rsidR="00D25C4F">
        <w:t>a sufficient sample</w:t>
      </w:r>
      <w:r w:rsidR="00764EEA">
        <w:t xml:space="preserve"> of</w:t>
      </w:r>
      <w:r>
        <w:t xml:space="preserve"> patients to document adherence to the checklist</w:t>
      </w:r>
      <w:r w:rsidR="00F955FE">
        <w:t>;</w:t>
      </w:r>
      <w:r w:rsidR="00B7570B">
        <w:t xml:space="preserve"> </w:t>
      </w:r>
      <w:r w:rsidR="00B7570B" w:rsidRPr="00B7570B">
        <w:rPr>
          <w:b/>
          <w:bCs/>
        </w:rPr>
        <w:t xml:space="preserve">and </w:t>
      </w:r>
    </w:p>
    <w:p w14:paraId="6E2C0EC0" w14:textId="67458EA4" w:rsidR="00BF12B1" w:rsidRPr="00BF12B1" w:rsidRDefault="000833A6" w:rsidP="009463BA">
      <w:pPr>
        <w:pStyle w:val="ListParagraph"/>
        <w:numPr>
          <w:ilvl w:val="0"/>
          <w:numId w:val="169"/>
        </w:numPr>
        <w:spacing w:after="120"/>
        <w:rPr>
          <w:rFonts w:cs="Arial"/>
          <w:b/>
          <w:bCs/>
          <w:szCs w:val="28"/>
        </w:rPr>
      </w:pPr>
      <w:r>
        <w:t>Documents</w:t>
      </w:r>
      <w:r w:rsidR="00445E84">
        <w:t xml:space="preserve"> adherence to the checklist for at least 90% of the patients included in the audit</w:t>
      </w:r>
      <w:r w:rsidR="00B7570B">
        <w:t>.</w:t>
      </w:r>
    </w:p>
    <w:p w14:paraId="2B04A308" w14:textId="77777777" w:rsidR="009463BA" w:rsidRDefault="009463BA" w:rsidP="009463BA">
      <w:pPr>
        <w:spacing w:after="120"/>
        <w:contextualSpacing/>
        <w:rPr>
          <w:rFonts w:cs="Arial"/>
          <w:b/>
        </w:rPr>
      </w:pPr>
    </w:p>
    <w:p w14:paraId="738CFCC3" w14:textId="492852FD" w:rsidR="009463BA" w:rsidRDefault="004C5EE6" w:rsidP="009463BA">
      <w:pPr>
        <w:spacing w:after="120"/>
        <w:contextualSpacing/>
        <w:rPr>
          <w:rFonts w:cs="Arial"/>
          <w:bCs/>
        </w:rPr>
      </w:pPr>
      <w:r w:rsidRPr="00BF12B1">
        <w:rPr>
          <w:rFonts w:cs="Arial"/>
          <w:b/>
        </w:rPr>
        <w:t xml:space="preserve">Each hospital achieving the standard for </w:t>
      </w:r>
      <w:r w:rsidR="00641230">
        <w:rPr>
          <w:rFonts w:cs="Arial"/>
          <w:b/>
        </w:rPr>
        <w:t>M</w:t>
      </w:r>
      <w:r w:rsidRPr="00BF12B1">
        <w:rPr>
          <w:rFonts w:cs="Arial"/>
          <w:b/>
        </w:rPr>
        <w:t xml:space="preserve">edication </w:t>
      </w:r>
      <w:r w:rsidR="00641230">
        <w:rPr>
          <w:rFonts w:cs="Arial"/>
          <w:b/>
        </w:rPr>
        <w:t>S</w:t>
      </w:r>
      <w:r w:rsidRPr="00BF12B1">
        <w:rPr>
          <w:rFonts w:cs="Arial"/>
          <w:b/>
        </w:rPr>
        <w:t xml:space="preserve">afety for </w:t>
      </w:r>
      <w:r w:rsidR="00641230">
        <w:rPr>
          <w:rFonts w:cs="Arial"/>
          <w:b/>
        </w:rPr>
        <w:t>O</w:t>
      </w:r>
      <w:r w:rsidRPr="00BF12B1">
        <w:rPr>
          <w:rFonts w:cs="Arial"/>
          <w:b/>
        </w:rPr>
        <w:t xml:space="preserve">utpatient </w:t>
      </w:r>
      <w:r w:rsidR="00641230">
        <w:rPr>
          <w:rFonts w:cs="Arial"/>
          <w:b/>
        </w:rPr>
        <w:t>P</w:t>
      </w:r>
      <w:r w:rsidRPr="00BF12B1">
        <w:rPr>
          <w:rFonts w:cs="Arial"/>
          <w:b/>
        </w:rPr>
        <w:t>rocedures:</w:t>
      </w:r>
      <w:r w:rsidRPr="00BF12B1">
        <w:rPr>
          <w:rFonts w:cs="Arial"/>
          <w:b/>
        </w:rPr>
        <w:br/>
      </w:r>
      <w:r w:rsidR="00EF5931" w:rsidRPr="00BF12B1">
        <w:rPr>
          <w:rFonts w:cs="Arial"/>
          <w:bCs/>
        </w:rPr>
        <w:t>Has met the 90% target for documenting all three components: home medications, visit medications, and allergies/adverse reaction(s) in the clinical record.</w:t>
      </w:r>
    </w:p>
    <w:p w14:paraId="0D09AF57" w14:textId="77777777" w:rsidR="009463BA" w:rsidRDefault="009463BA" w:rsidP="009463BA">
      <w:pPr>
        <w:spacing w:after="120"/>
        <w:contextualSpacing/>
        <w:rPr>
          <w:rFonts w:cs="Arial"/>
          <w:bCs/>
        </w:rPr>
      </w:pPr>
    </w:p>
    <w:p w14:paraId="0102525C" w14:textId="71F2329F" w:rsidR="00EE0CC8" w:rsidRDefault="00EE0CC8" w:rsidP="009463BA">
      <w:pPr>
        <w:spacing w:after="120"/>
        <w:contextualSpacing/>
        <w:rPr>
          <w:rFonts w:cs="Arial"/>
          <w:b/>
          <w:bCs/>
          <w:snapToGrid w:val="0"/>
          <w:color w:val="000000"/>
        </w:rPr>
      </w:pPr>
      <w:r w:rsidRPr="00A14CB5">
        <w:rPr>
          <w:rFonts w:cs="Arial"/>
          <w:b/>
          <w:bCs/>
          <w:snapToGrid w:val="0"/>
          <w:color w:val="000000"/>
        </w:rPr>
        <w:t xml:space="preserve">Each hospital achieving the standard for </w:t>
      </w:r>
      <w:r w:rsidR="009B4A20" w:rsidRPr="00EE6B65">
        <w:rPr>
          <w:rFonts w:cs="Arial"/>
          <w:b/>
          <w:bCs/>
          <w:snapToGrid w:val="0"/>
          <w:color w:val="000000"/>
        </w:rPr>
        <w:t xml:space="preserve">Rate of Unplanned Hospital Visits After an Outpatient Colonoscopy </w:t>
      </w:r>
      <w:r w:rsidR="009B4A20">
        <w:rPr>
          <w:rFonts w:cs="Arial"/>
          <w:b/>
          <w:bCs/>
          <w:snapToGrid w:val="0"/>
          <w:color w:val="000000"/>
        </w:rPr>
        <w:t>(OP-32)</w:t>
      </w:r>
      <w:r w:rsidRPr="00A14CB5">
        <w:rPr>
          <w:rFonts w:cs="Arial"/>
          <w:b/>
          <w:bCs/>
          <w:snapToGrid w:val="0"/>
          <w:color w:val="000000"/>
        </w:rPr>
        <w:t>:</w:t>
      </w:r>
    </w:p>
    <w:p w14:paraId="698A15DF" w14:textId="3494F938" w:rsidR="002F2352" w:rsidRDefault="000833A6" w:rsidP="002F2352">
      <w:r>
        <w:t>Performs</w:t>
      </w:r>
      <w:r w:rsidR="00BC140A">
        <w:t xml:space="preserve"> </w:t>
      </w:r>
      <w:r w:rsidR="00EE0CC8" w:rsidRPr="00517A2A">
        <w:t xml:space="preserve">in the top quartile </w:t>
      </w:r>
      <w:r w:rsidR="00EE0CC8">
        <w:t xml:space="preserve">for OP-32, </w:t>
      </w:r>
      <w:r w:rsidR="00EE0CC8" w:rsidRPr="00335A1F">
        <w:t>Rate of Unplanned Hospital Visits After an Outpatient Colonoscopy</w:t>
      </w:r>
      <w:r w:rsidR="00997778">
        <w:t>.</w:t>
      </w:r>
      <w:r w:rsidR="002F2352" w:rsidRPr="002F2352">
        <w:t xml:space="preserve"> </w:t>
      </w:r>
      <w:r w:rsidR="002F2352">
        <w:t xml:space="preserve">Quartiles </w:t>
      </w:r>
      <w:r w:rsidR="005C2D7B">
        <w:t xml:space="preserve">are </w:t>
      </w:r>
      <w:r w:rsidR="002F2352">
        <w:t xml:space="preserve">determined </w:t>
      </w:r>
      <w:r w:rsidR="002F2352">
        <w:rPr>
          <w:rFonts w:cs="Arial"/>
        </w:rPr>
        <w:t xml:space="preserve">using </w:t>
      </w:r>
      <w:r w:rsidR="002F2352">
        <w:rPr>
          <w:bdr w:val="none" w:sz="0" w:space="0" w:color="auto" w:frame="1"/>
        </w:rPr>
        <w:t>results published by CMS</w:t>
      </w:r>
      <w:r w:rsidR="002F2352" w:rsidRPr="00DC6999">
        <w:rPr>
          <w:bdr w:val="none" w:sz="0" w:space="0" w:color="auto" w:frame="1"/>
        </w:rPr>
        <w:t xml:space="preserve"> </w:t>
      </w:r>
      <w:r w:rsidR="002F2352">
        <w:rPr>
          <w:bdr w:val="none" w:sz="0" w:space="0" w:color="auto" w:frame="1"/>
        </w:rPr>
        <w:t>for both Ambulatory Surgery Centers (ASCs) and hospitals</w:t>
      </w:r>
      <w:r w:rsidR="002F2352" w:rsidRPr="00DC6999">
        <w:rPr>
          <w:bdr w:val="none" w:sz="0" w:space="0" w:color="auto" w:frame="1"/>
        </w:rPr>
        <w:t xml:space="preserve"> on June 30, 2026</w:t>
      </w:r>
      <w:r w:rsidR="00F01CE1">
        <w:rPr>
          <w:bdr w:val="none" w:sz="0" w:space="0" w:color="auto" w:frame="1"/>
        </w:rPr>
        <w:t>.</w:t>
      </w:r>
    </w:p>
    <w:p w14:paraId="7F5628F7" w14:textId="47984EE2" w:rsidR="006C07FD" w:rsidRDefault="006C07FD" w:rsidP="00FC2A08">
      <w:pPr>
        <w:rPr>
          <w:rFonts w:cs="Arial"/>
          <w:b/>
        </w:rPr>
      </w:pPr>
    </w:p>
    <w:p w14:paraId="2B2E53E3" w14:textId="5A0567DE" w:rsidR="00613881" w:rsidRPr="004C5EE6" w:rsidRDefault="004C5EE6" w:rsidP="004C5EE6">
      <w:pPr>
        <w:spacing w:after="120" w:line="264" w:lineRule="auto"/>
        <w:rPr>
          <w:rFonts w:cs="Arial"/>
          <w:b/>
        </w:rPr>
      </w:pPr>
      <w:r>
        <w:rPr>
          <w:rFonts w:cs="Arial"/>
          <w:b/>
        </w:rPr>
        <w:t xml:space="preserve">Each hospital achieving the standard for </w:t>
      </w:r>
      <w:r w:rsidR="00641230">
        <w:rPr>
          <w:rFonts w:cs="Arial"/>
          <w:b/>
        </w:rPr>
        <w:t>P</w:t>
      </w:r>
      <w:r>
        <w:rPr>
          <w:rFonts w:cs="Arial"/>
          <w:b/>
        </w:rPr>
        <w:t xml:space="preserve">atient </w:t>
      </w:r>
      <w:r w:rsidR="00641230">
        <w:rPr>
          <w:rFonts w:cs="Arial"/>
          <w:b/>
        </w:rPr>
        <w:t>E</w:t>
      </w:r>
      <w:r>
        <w:rPr>
          <w:rFonts w:cs="Arial"/>
          <w:b/>
        </w:rPr>
        <w:t>xperience (OAS CAHPS):</w:t>
      </w:r>
      <w:r>
        <w:rPr>
          <w:rFonts w:cs="Arial"/>
          <w:b/>
        </w:rPr>
        <w:br/>
      </w:r>
      <w:r w:rsidR="000833A6">
        <w:t>Performs</w:t>
      </w:r>
      <w:r w:rsidR="00613881" w:rsidRPr="004C5EE6">
        <w:rPr>
          <w:rFonts w:cs="Arial"/>
        </w:rPr>
        <w:t xml:space="preserve"> in the top quartile</w:t>
      </w:r>
      <w:r w:rsidR="0060691F" w:rsidRPr="0060691F">
        <w:rPr>
          <w:rFonts w:cs="Arial"/>
        </w:rPr>
        <w:t xml:space="preserve"> </w:t>
      </w:r>
      <w:r w:rsidR="0060691F">
        <w:rPr>
          <w:rFonts w:cs="Arial"/>
        </w:rPr>
        <w:t>for four OAS CAHPS domains. Quartiles are</w:t>
      </w:r>
      <w:r w:rsidR="00610AC8">
        <w:rPr>
          <w:rFonts w:cs="Arial"/>
        </w:rPr>
        <w:t xml:space="preserve"> determined using </w:t>
      </w:r>
      <w:r w:rsidR="00610AC8">
        <w:rPr>
          <w:bdr w:val="none" w:sz="0" w:space="0" w:color="auto" w:frame="1"/>
        </w:rPr>
        <w:t>results published by CMS</w:t>
      </w:r>
      <w:r w:rsidR="00610AC8" w:rsidRPr="00DC6999">
        <w:rPr>
          <w:bdr w:val="none" w:sz="0" w:space="0" w:color="auto" w:frame="1"/>
        </w:rPr>
        <w:t xml:space="preserve"> </w:t>
      </w:r>
      <w:r w:rsidR="00610AC8">
        <w:rPr>
          <w:bdr w:val="none" w:sz="0" w:space="0" w:color="auto" w:frame="1"/>
        </w:rPr>
        <w:t>for both Ambulatory Surgery Centers (ASCs) and hospitals</w:t>
      </w:r>
      <w:r w:rsidR="00610AC8" w:rsidRPr="00DC6999">
        <w:rPr>
          <w:bdr w:val="none" w:sz="0" w:space="0" w:color="auto" w:frame="1"/>
        </w:rPr>
        <w:t xml:space="preserve"> on June 30, 2026</w:t>
      </w:r>
      <w:r w:rsidR="00A13214">
        <w:rPr>
          <w:rFonts w:cs="Arial"/>
        </w:rPr>
        <w:t>,</w:t>
      </w:r>
      <w:r w:rsidR="00613881" w:rsidRPr="004C5EE6">
        <w:rPr>
          <w:rFonts w:cs="Arial"/>
        </w:rPr>
        <w:t xml:space="preserve"> for the </w:t>
      </w:r>
      <w:r w:rsidR="008E7151">
        <w:rPr>
          <w:rFonts w:cs="Arial"/>
        </w:rPr>
        <w:t>four</w:t>
      </w:r>
      <w:r w:rsidR="00613881" w:rsidRPr="004C5EE6">
        <w:rPr>
          <w:rFonts w:cs="Arial"/>
        </w:rPr>
        <w:t xml:space="preserve"> OAS CAHPS domains, listed below: </w:t>
      </w:r>
    </w:p>
    <w:p w14:paraId="329886C5" w14:textId="440266CB" w:rsidR="00613881" w:rsidRPr="00613881" w:rsidRDefault="00613881" w:rsidP="00AD309C">
      <w:pPr>
        <w:pStyle w:val="ListParagraph"/>
        <w:numPr>
          <w:ilvl w:val="1"/>
          <w:numId w:val="139"/>
        </w:numPr>
        <w:spacing w:after="120" w:line="264" w:lineRule="auto"/>
        <w:rPr>
          <w:rFonts w:cs="Arial"/>
        </w:rPr>
      </w:pPr>
      <w:r w:rsidRPr="00613881">
        <w:rPr>
          <w:rFonts w:cs="Arial"/>
        </w:rPr>
        <w:t>Facilities and Staff</w:t>
      </w:r>
    </w:p>
    <w:p w14:paraId="20770098" w14:textId="77777777" w:rsidR="00613881" w:rsidRPr="00613881" w:rsidRDefault="00613881" w:rsidP="00AD309C">
      <w:pPr>
        <w:pStyle w:val="ListParagraph"/>
        <w:numPr>
          <w:ilvl w:val="1"/>
          <w:numId w:val="139"/>
        </w:numPr>
        <w:spacing w:after="120" w:line="264" w:lineRule="auto"/>
        <w:rPr>
          <w:rFonts w:cs="Arial"/>
        </w:rPr>
      </w:pPr>
      <w:r w:rsidRPr="00613881">
        <w:rPr>
          <w:rFonts w:cs="Arial"/>
        </w:rPr>
        <w:t>Communication About Your Procedure</w:t>
      </w:r>
    </w:p>
    <w:p w14:paraId="105E9692" w14:textId="77777777" w:rsidR="00613881" w:rsidRPr="00613881" w:rsidRDefault="00613881" w:rsidP="00AD309C">
      <w:pPr>
        <w:pStyle w:val="ListParagraph"/>
        <w:numPr>
          <w:ilvl w:val="1"/>
          <w:numId w:val="139"/>
        </w:numPr>
        <w:spacing w:after="120" w:line="264" w:lineRule="auto"/>
        <w:rPr>
          <w:rFonts w:cs="Arial"/>
        </w:rPr>
      </w:pPr>
      <w:r w:rsidRPr="00613881">
        <w:rPr>
          <w:rFonts w:cs="Arial"/>
        </w:rPr>
        <w:t>Patients’ Rating of the Facility</w:t>
      </w:r>
    </w:p>
    <w:p w14:paraId="42F5F917" w14:textId="7ED3A88B" w:rsidR="00A5474F" w:rsidRDefault="00613881" w:rsidP="009463BA">
      <w:pPr>
        <w:pStyle w:val="ListParagraph"/>
        <w:numPr>
          <w:ilvl w:val="1"/>
          <w:numId w:val="139"/>
        </w:numPr>
        <w:spacing w:after="120"/>
        <w:rPr>
          <w:rFonts w:cs="Arial"/>
        </w:rPr>
      </w:pPr>
      <w:r w:rsidRPr="00613881">
        <w:rPr>
          <w:rFonts w:cs="Arial"/>
        </w:rPr>
        <w:t>Patients Recommending the Facility</w:t>
      </w:r>
    </w:p>
    <w:p w14:paraId="2C8F7100" w14:textId="77777777" w:rsidR="009463BA" w:rsidRDefault="009463BA" w:rsidP="009463BA">
      <w:pPr>
        <w:spacing w:after="120"/>
        <w:contextualSpacing/>
        <w:rPr>
          <w:rFonts w:cs="Arial"/>
          <w:b/>
        </w:rPr>
      </w:pPr>
    </w:p>
    <w:p w14:paraId="434D6E2B" w14:textId="39A93CD4" w:rsidR="00A5474F" w:rsidRPr="00A5474F" w:rsidRDefault="00A5474F" w:rsidP="009463BA">
      <w:pPr>
        <w:spacing w:after="120"/>
        <w:contextualSpacing/>
        <w:rPr>
          <w:rFonts w:cs="Arial"/>
        </w:rPr>
      </w:pPr>
      <w:r w:rsidRPr="00A5474F">
        <w:rPr>
          <w:rFonts w:cs="Arial"/>
          <w:b/>
        </w:rPr>
        <w:t>Download the 202</w:t>
      </w:r>
      <w:r w:rsidR="00D9383B">
        <w:rPr>
          <w:rFonts w:cs="Arial"/>
          <w:b/>
        </w:rPr>
        <w:t>6</w:t>
      </w:r>
      <w:r w:rsidRPr="00A5474F">
        <w:rPr>
          <w:rFonts w:cs="Arial"/>
          <w:b/>
        </w:rPr>
        <w:t xml:space="preserve"> Leapfrog Hospital Survey Scoring Algorithm on the </w:t>
      </w:r>
      <w:hyperlink r:id="rId461" w:history="1">
        <w:r w:rsidRPr="00A5474F">
          <w:rPr>
            <w:rStyle w:val="Hyperlink"/>
            <w:rFonts w:cs="Arial"/>
            <w:b/>
          </w:rPr>
          <w:t>Scoring and Results webpage</w:t>
        </w:r>
      </w:hyperlink>
      <w:r w:rsidRPr="00A5474F">
        <w:rPr>
          <w:rFonts w:cs="Arial"/>
          <w:b/>
        </w:rPr>
        <w:t>.</w:t>
      </w:r>
    </w:p>
    <w:p w14:paraId="73CFC628" w14:textId="41158B77" w:rsidR="00A4487F" w:rsidRPr="00A5474F" w:rsidRDefault="00A4487F" w:rsidP="00A5474F">
      <w:pPr>
        <w:spacing w:after="120" w:line="264" w:lineRule="auto"/>
        <w:rPr>
          <w:rFonts w:cs="Arial"/>
        </w:rPr>
      </w:pPr>
      <w:r w:rsidRPr="00A5474F">
        <w:rPr>
          <w:rFonts w:cs="Arial"/>
          <w:b/>
        </w:rPr>
        <w:br w:type="page"/>
      </w:r>
    </w:p>
    <w:p w14:paraId="04F1F0DC" w14:textId="77777777" w:rsidR="00A4487F" w:rsidRPr="009A5185" w:rsidRDefault="00A4487F" w:rsidP="00A4487F">
      <w:pPr>
        <w:pStyle w:val="BodyText3"/>
        <w:rPr>
          <w:rFonts w:cs="Arial"/>
        </w:rPr>
      </w:pPr>
    </w:p>
    <w:p w14:paraId="08BD1DE3" w14:textId="276BF9FD" w:rsidR="00A4487F" w:rsidRDefault="002F3A65" w:rsidP="00CF5A6E">
      <w:pPr>
        <w:pStyle w:val="Heading2"/>
      </w:pPr>
      <w:bookmarkStart w:id="712" w:name="_Toc225877834"/>
      <w:r>
        <w:t>9A: Basic Outpatient Department Information</w:t>
      </w:r>
      <w:bookmarkEnd w:id="712"/>
    </w:p>
    <w:p w14:paraId="74622CAF" w14:textId="77777777" w:rsidR="002F3A65" w:rsidRPr="009358B5" w:rsidRDefault="002F3A65" w:rsidP="00A4487F">
      <w:pPr>
        <w:rPr>
          <w:rFonts w:cs="Arial"/>
          <w:color w:val="000000"/>
        </w:rPr>
      </w:pPr>
    </w:p>
    <w:p w14:paraId="60932F3F" w14:textId="2DFD7AE2" w:rsidR="00D3503C" w:rsidRDefault="00D3503C" w:rsidP="00D3503C">
      <w:pPr>
        <w:rPr>
          <w:rFonts w:cs="Arial"/>
          <w:snapToGrid w:val="0"/>
        </w:rPr>
      </w:pPr>
      <w:r w:rsidRPr="009A5185">
        <w:rPr>
          <w:rFonts w:cs="Arial"/>
          <w:snapToGrid w:val="0"/>
        </w:rPr>
        <w:t xml:space="preserve">Hospitals that share a </w:t>
      </w:r>
      <w:r>
        <w:rPr>
          <w:rFonts w:cs="Arial"/>
          <w:snapToGrid w:val="0"/>
        </w:rPr>
        <w:t>CMS Certification Number</w:t>
      </w:r>
      <w:r w:rsidRPr="009A5185">
        <w:rPr>
          <w:rFonts w:cs="Arial"/>
          <w:snapToGrid w:val="0"/>
        </w:rPr>
        <w:t xml:space="preserve"> are required to report by facility. Please carefully review </w:t>
      </w:r>
      <w:hyperlink r:id="rId462" w:history="1">
        <w:r w:rsidRPr="009A5185">
          <w:rPr>
            <w:rStyle w:val="Hyperlink"/>
            <w:rFonts w:cs="Arial"/>
            <w:snapToGrid w:val="0"/>
          </w:rPr>
          <w:t>Leapfrog’s Multi-Campus Reporting Policy</w:t>
        </w:r>
      </w:hyperlink>
      <w:r w:rsidRPr="009A5185">
        <w:rPr>
          <w:rFonts w:cs="Arial"/>
          <w:snapToGrid w:val="0"/>
        </w:rPr>
        <w:t>.</w:t>
      </w:r>
    </w:p>
    <w:p w14:paraId="0A25A0B6" w14:textId="77777777" w:rsidR="00D3503C" w:rsidRPr="009358B5" w:rsidRDefault="00D3503C" w:rsidP="00A4487F">
      <w:pPr>
        <w:rPr>
          <w:rFonts w:cs="Arial"/>
          <w:color w:val="000000"/>
        </w:rPr>
      </w:pPr>
    </w:p>
    <w:p w14:paraId="630D41CC" w14:textId="77777777" w:rsidR="00590A28" w:rsidRDefault="00A4487F" w:rsidP="00A4487F">
      <w:pPr>
        <w:pStyle w:val="BodyText3"/>
        <w:rPr>
          <w:rFonts w:cs="Arial"/>
          <w:b/>
          <w:color w:val="FF0000"/>
        </w:rPr>
      </w:pPr>
      <w:r w:rsidRPr="009A5185">
        <w:rPr>
          <w:rFonts w:cs="Arial"/>
          <w:b/>
          <w:color w:val="FF0000"/>
        </w:rPr>
        <w:t>Important Notes:</w:t>
      </w:r>
      <w:bookmarkStart w:id="713" w:name="HOPD"/>
      <w:bookmarkEnd w:id="713"/>
      <w:r w:rsidR="00B34039">
        <w:rPr>
          <w:rFonts w:cs="Arial"/>
          <w:b/>
          <w:color w:val="FF0000"/>
        </w:rPr>
        <w:t xml:space="preserve"> </w:t>
      </w:r>
    </w:p>
    <w:p w14:paraId="62E5284B" w14:textId="77777777" w:rsidR="00590A28" w:rsidRPr="009358B5" w:rsidRDefault="00590A28" w:rsidP="00A4487F">
      <w:pPr>
        <w:pStyle w:val="BodyText3"/>
        <w:rPr>
          <w:rFonts w:cs="Arial"/>
          <w:b/>
          <w:color w:val="FF0000"/>
        </w:rPr>
      </w:pPr>
    </w:p>
    <w:p w14:paraId="4AD78725" w14:textId="45DC5A5A" w:rsidR="00590A28" w:rsidRPr="00CC2F8A" w:rsidRDefault="00590A28" w:rsidP="00CC2F8A">
      <w:pPr>
        <w:rPr>
          <w:bCs/>
        </w:rPr>
      </w:pPr>
      <w:r w:rsidRPr="00442338">
        <w:rPr>
          <w:rFonts w:cs="Arial"/>
          <w:bCs/>
        </w:rPr>
        <w:t xml:space="preserve">Note 1: </w:t>
      </w:r>
      <w:bookmarkStart w:id="714" w:name="_Hlk121754974"/>
      <w:r w:rsidRPr="00CC2F8A">
        <w:rPr>
          <w:bCs/>
        </w:rPr>
        <w:t xml:space="preserve">In order to access this section in the Online Survey Tool, hospitals must complete the American Medical Association’s Terms of Use via the CPT Code Workbook button next to Section 9 on the Survey Dashboard and download the appropriate CPT Code Workbook. </w:t>
      </w:r>
      <w:r w:rsidRPr="00CC2F8A">
        <w:rPr>
          <w:bCs/>
          <w:lang w:eastAsia="ja-JP"/>
        </w:rPr>
        <w:t xml:space="preserve">Instructions for downloading the CPT Code Workbook are available in the </w:t>
      </w:r>
      <w:hyperlink w:anchor="_Volume_of_Procedures_2" w:history="1">
        <w:r w:rsidRPr="00CC2F8A">
          <w:rPr>
            <w:rStyle w:val="Hyperlink"/>
            <w:bCs/>
            <w:lang w:eastAsia="ja-JP"/>
          </w:rPr>
          <w:t>Volume of Procedures Measure Specifications.</w:t>
        </w:r>
      </w:hyperlink>
      <w:r w:rsidRPr="00CC2F8A">
        <w:rPr>
          <w:bCs/>
        </w:rPr>
        <w:t xml:space="preserve"> Each hospital must complete these steps even if they are part of a hospital system.</w:t>
      </w:r>
      <w:bookmarkEnd w:id="714"/>
    </w:p>
    <w:p w14:paraId="47C92D75" w14:textId="77777777" w:rsidR="00590A28" w:rsidRPr="009358B5" w:rsidRDefault="00590A28" w:rsidP="00A4487F">
      <w:pPr>
        <w:pStyle w:val="BodyText3"/>
        <w:rPr>
          <w:rFonts w:cs="Arial"/>
          <w:b/>
          <w:color w:val="FF0000"/>
        </w:rPr>
      </w:pPr>
    </w:p>
    <w:p w14:paraId="22AE0089" w14:textId="6AC8FE30" w:rsidR="006A5355" w:rsidRDefault="00590A28" w:rsidP="00A4487F">
      <w:pPr>
        <w:pStyle w:val="BodyText3"/>
        <w:rPr>
          <w:rFonts w:cs="Arial"/>
        </w:rPr>
      </w:pPr>
      <w:r>
        <w:rPr>
          <w:rFonts w:cs="Arial"/>
          <w:color w:val="auto"/>
        </w:rPr>
        <w:t>Note 2: This subsection will not be scored but will be used in public reporting.</w:t>
      </w:r>
      <w:r w:rsidR="008D2D17">
        <w:rPr>
          <w:rFonts w:cs="Arial"/>
          <w:color w:val="auto"/>
        </w:rPr>
        <w:t xml:space="preserve"> </w:t>
      </w:r>
      <w:r w:rsidR="008D2D17" w:rsidRPr="008D2D17">
        <w:rPr>
          <w:rFonts w:cs="Arial"/>
        </w:rPr>
        <w:t>Your selection(s) of procedure categories</w:t>
      </w:r>
      <w:r w:rsidR="006A5355">
        <w:rPr>
          <w:rFonts w:cs="Arial"/>
        </w:rPr>
        <w:t xml:space="preserve"> in question #3 </w:t>
      </w:r>
      <w:r w:rsidR="008D2D17" w:rsidRPr="008D2D17">
        <w:rPr>
          <w:rFonts w:cs="Arial"/>
        </w:rPr>
        <w:t xml:space="preserve">will be used in our procedure-based search tool at </w:t>
      </w:r>
      <w:r w:rsidR="006A5355">
        <w:rPr>
          <w:rFonts w:cs="Arial"/>
        </w:rPr>
        <w:t>ratings.leapfroggroup.org.</w:t>
      </w:r>
    </w:p>
    <w:p w14:paraId="02D73C2B" w14:textId="77777777" w:rsidR="006A5355" w:rsidRPr="009358B5" w:rsidRDefault="006A5355" w:rsidP="00A4487F">
      <w:pPr>
        <w:pStyle w:val="BodyText3"/>
        <w:rPr>
          <w:rFonts w:cs="Arial"/>
          <w:color w:val="auto"/>
        </w:rPr>
      </w:pPr>
    </w:p>
    <w:p w14:paraId="36D54638" w14:textId="5F8A0490" w:rsidR="00797B77" w:rsidRPr="00B34039" w:rsidRDefault="00590A28" w:rsidP="00A4487F">
      <w:pPr>
        <w:pStyle w:val="BodyText3"/>
        <w:rPr>
          <w:rFonts w:cs="Arial"/>
          <w:b/>
          <w:color w:val="FF0000"/>
        </w:rPr>
      </w:pPr>
      <w:r>
        <w:rPr>
          <w:rFonts w:cs="Arial"/>
          <w:color w:val="auto"/>
        </w:rPr>
        <w:t xml:space="preserve">Note 3: </w:t>
      </w:r>
      <w:r w:rsidR="00797B77">
        <w:rPr>
          <w:rFonts w:cs="Arial"/>
          <w:color w:val="auto"/>
        </w:rPr>
        <w:t>The term “</w:t>
      </w:r>
      <w:r w:rsidR="00130F88">
        <w:rPr>
          <w:rFonts w:cs="Arial"/>
          <w:color w:val="auto"/>
        </w:rPr>
        <w:t>hospital outpatient department</w:t>
      </w:r>
      <w:r w:rsidR="00797B77">
        <w:rPr>
          <w:rFonts w:cs="Arial"/>
          <w:color w:val="auto"/>
        </w:rPr>
        <w:t xml:space="preserve">” is used to refer to </w:t>
      </w:r>
      <w:r w:rsidR="00130F88">
        <w:rPr>
          <w:rFonts w:cs="Arial"/>
          <w:color w:val="auto"/>
        </w:rPr>
        <w:t>all hospital outpatient departments</w:t>
      </w:r>
      <w:r w:rsidR="00416FE8">
        <w:rPr>
          <w:rFonts w:cs="Arial"/>
          <w:color w:val="auto"/>
        </w:rPr>
        <w:t xml:space="preserve"> or areas of the hospital, including </w:t>
      </w:r>
      <w:r w:rsidR="00505A8A">
        <w:rPr>
          <w:rFonts w:cs="Arial"/>
          <w:color w:val="auto"/>
        </w:rPr>
        <w:t xml:space="preserve">areas that are used for </w:t>
      </w:r>
      <w:r w:rsidR="00505A8A">
        <w:rPr>
          <w:rFonts w:cs="Arial"/>
          <w:b/>
          <w:bCs/>
          <w:color w:val="auto"/>
        </w:rPr>
        <w:t xml:space="preserve">both </w:t>
      </w:r>
      <w:r w:rsidR="00416FE8">
        <w:rPr>
          <w:rFonts w:cs="Arial"/>
          <w:color w:val="auto"/>
        </w:rPr>
        <w:t>inpatient</w:t>
      </w:r>
      <w:r w:rsidR="00505A8A">
        <w:rPr>
          <w:rFonts w:cs="Arial"/>
          <w:color w:val="auto"/>
        </w:rPr>
        <w:t xml:space="preserve"> and outpatient procedures</w:t>
      </w:r>
      <w:r w:rsidR="00416FE8">
        <w:rPr>
          <w:rFonts w:cs="Arial"/>
          <w:color w:val="auto"/>
        </w:rPr>
        <w:t>,</w:t>
      </w:r>
      <w:r w:rsidR="00130F88">
        <w:rPr>
          <w:rFonts w:cs="Arial"/>
          <w:color w:val="auto"/>
        </w:rPr>
        <w:t xml:space="preserve"> that</w:t>
      </w:r>
      <w:r w:rsidR="001969F6">
        <w:rPr>
          <w:rFonts w:cs="Arial"/>
          <w:color w:val="auto"/>
        </w:rPr>
        <w:t xml:space="preserve"> perform the </w:t>
      </w:r>
      <w:r w:rsidR="00416FE8">
        <w:rPr>
          <w:rFonts w:cs="Arial"/>
          <w:color w:val="auto"/>
        </w:rPr>
        <w:t xml:space="preserve">outpatient </w:t>
      </w:r>
      <w:r w:rsidR="001969F6">
        <w:rPr>
          <w:rFonts w:cs="Arial"/>
          <w:color w:val="auto"/>
        </w:rPr>
        <w:t xml:space="preserve">procedures listed in Section </w:t>
      </w:r>
      <w:r w:rsidR="002F3A65">
        <w:rPr>
          <w:rFonts w:cs="Arial"/>
          <w:color w:val="auto"/>
        </w:rPr>
        <w:t>9</w:t>
      </w:r>
      <w:r w:rsidR="001969F6">
        <w:rPr>
          <w:rFonts w:cs="Arial"/>
          <w:color w:val="auto"/>
        </w:rPr>
        <w:t>C and that</w:t>
      </w:r>
      <w:r w:rsidR="00130F88">
        <w:rPr>
          <w:rFonts w:cs="Arial"/>
          <w:color w:val="auto"/>
        </w:rPr>
        <w:t xml:space="preserve"> share your hospital’s license </w:t>
      </w:r>
      <w:r w:rsidR="006308BB">
        <w:rPr>
          <w:rFonts w:cs="Arial"/>
          <w:color w:val="auto"/>
        </w:rPr>
        <w:t xml:space="preserve">or </w:t>
      </w:r>
      <w:r w:rsidR="00130F88">
        <w:rPr>
          <w:rFonts w:cs="Arial"/>
          <w:color w:val="auto"/>
        </w:rPr>
        <w:t xml:space="preserve">CMS Certification Number (CCN). This would include, but is not limited to </w:t>
      </w:r>
      <w:r w:rsidR="001969F6">
        <w:rPr>
          <w:rFonts w:cs="Arial"/>
          <w:color w:val="auto"/>
        </w:rPr>
        <w:t xml:space="preserve">surgery centers, </w:t>
      </w:r>
      <w:r w:rsidR="00D712B8">
        <w:rPr>
          <w:rFonts w:cs="Arial"/>
          <w:color w:val="auto"/>
        </w:rPr>
        <w:t>free-standing</w:t>
      </w:r>
      <w:r w:rsidR="001969F6">
        <w:rPr>
          <w:rFonts w:cs="Arial"/>
          <w:color w:val="auto"/>
        </w:rPr>
        <w:t xml:space="preserve"> </w:t>
      </w:r>
      <w:r w:rsidR="00130F88">
        <w:rPr>
          <w:rFonts w:cs="Arial"/>
          <w:color w:val="auto"/>
        </w:rPr>
        <w:t>hospital outpatient departments</w:t>
      </w:r>
      <w:r w:rsidR="001969F6">
        <w:rPr>
          <w:rFonts w:cs="Arial"/>
          <w:color w:val="auto"/>
        </w:rPr>
        <w:t xml:space="preserve">, </w:t>
      </w:r>
      <w:r w:rsidR="00130F88">
        <w:rPr>
          <w:rFonts w:cs="Arial"/>
          <w:color w:val="auto"/>
        </w:rPr>
        <w:t xml:space="preserve">as well as outpatient departments that are located in your hospital or are </w:t>
      </w:r>
      <w:hyperlink w:anchor="Endnote19_ColocatedNICU" w:history="1">
        <w:r w:rsidR="00130F88" w:rsidRPr="005C395A">
          <w:rPr>
            <w:rStyle w:val="Hyperlink"/>
          </w:rPr>
          <w:t>co-located</w:t>
        </w:r>
      </w:hyperlink>
      <w:r w:rsidR="00130F88">
        <w:fldChar w:fldCharType="begin"/>
      </w:r>
      <w:r w:rsidR="00130F88">
        <w:instrText xml:space="preserve"> NOTEREF _Ref2332683 \f \h </w:instrText>
      </w:r>
      <w:r w:rsidR="00130F88">
        <w:fldChar w:fldCharType="separate"/>
      </w:r>
      <w:r w:rsidR="007D53A2" w:rsidRPr="00E362A3">
        <w:rPr>
          <w:rStyle w:val="EndnoteReference"/>
        </w:rPr>
        <w:t>31</w:t>
      </w:r>
      <w:r w:rsidR="00130F88">
        <w:fldChar w:fldCharType="end"/>
      </w:r>
      <w:r w:rsidR="00130F88">
        <w:rPr>
          <w:rFonts w:cs="Arial"/>
          <w:color w:val="auto"/>
        </w:rPr>
        <w:t xml:space="preserve"> with your hospital. Hospitals should only include hospital outpatient departments </w:t>
      </w:r>
      <w:r w:rsidR="00416FE8">
        <w:rPr>
          <w:rFonts w:cs="Arial"/>
          <w:color w:val="auto"/>
        </w:rPr>
        <w:t>or areas</w:t>
      </w:r>
      <w:r w:rsidR="008E7151">
        <w:rPr>
          <w:rFonts w:cs="Arial"/>
          <w:color w:val="auto"/>
        </w:rPr>
        <w:t xml:space="preserve"> of the hospital</w:t>
      </w:r>
      <w:r w:rsidR="00416FE8">
        <w:rPr>
          <w:rFonts w:cs="Arial"/>
          <w:color w:val="auto"/>
        </w:rPr>
        <w:t xml:space="preserve"> </w:t>
      </w:r>
      <w:r w:rsidR="00130F88">
        <w:rPr>
          <w:rFonts w:cs="Arial"/>
          <w:color w:val="auto"/>
        </w:rPr>
        <w:t xml:space="preserve">that perform the procedures listed in Section </w:t>
      </w:r>
      <w:r w:rsidR="002F3A65">
        <w:rPr>
          <w:rFonts w:cs="Arial"/>
          <w:color w:val="auto"/>
        </w:rPr>
        <w:t>9</w:t>
      </w:r>
      <w:r w:rsidR="00130F88">
        <w:rPr>
          <w:rFonts w:cs="Arial"/>
          <w:color w:val="auto"/>
        </w:rPr>
        <w:t>C</w:t>
      </w:r>
      <w:r w:rsidR="008E7151">
        <w:rPr>
          <w:rFonts w:cs="Arial"/>
          <w:color w:val="auto"/>
        </w:rPr>
        <w:t xml:space="preserve"> in </w:t>
      </w:r>
      <w:r w:rsidR="00753419">
        <w:rPr>
          <w:rFonts w:cs="Arial"/>
          <w:color w:val="auto"/>
        </w:rPr>
        <w:t xml:space="preserve">an </w:t>
      </w:r>
      <w:hyperlink w:anchor="Endnote49_OR" w:history="1">
        <w:r w:rsidR="00753419" w:rsidRPr="00A879E1">
          <w:rPr>
            <w:rStyle w:val="Hyperlink"/>
          </w:rPr>
          <w:t>operating room</w:t>
        </w:r>
      </w:hyperlink>
      <w:r w:rsidR="00753419">
        <w:rPr>
          <w:vertAlign w:val="superscript"/>
        </w:rPr>
        <w:fldChar w:fldCharType="begin"/>
      </w:r>
      <w:r w:rsidR="00753419">
        <w:instrText xml:space="preserve"> NOTEREF _Ref534299024 \f \h </w:instrText>
      </w:r>
      <w:r w:rsidR="00753419">
        <w:rPr>
          <w:vertAlign w:val="superscript"/>
        </w:rPr>
      </w:r>
      <w:r w:rsidR="00753419">
        <w:rPr>
          <w:vertAlign w:val="superscript"/>
        </w:rPr>
        <w:fldChar w:fldCharType="separate"/>
      </w:r>
      <w:r w:rsidR="007D53A2" w:rsidRPr="00E362A3">
        <w:rPr>
          <w:rStyle w:val="EndnoteReference"/>
        </w:rPr>
        <w:t>52</w:t>
      </w:r>
      <w:r w:rsidR="00753419">
        <w:rPr>
          <w:vertAlign w:val="superscript"/>
        </w:rPr>
        <w:fldChar w:fldCharType="end"/>
      </w:r>
      <w:r w:rsidR="00753419">
        <w:t xml:space="preserve"> or </w:t>
      </w:r>
      <w:hyperlink w:anchor="procedureroom" w:history="1">
        <w:r w:rsidR="00753419" w:rsidRPr="00A879E1">
          <w:rPr>
            <w:rStyle w:val="Hyperlink"/>
          </w:rPr>
          <w:t>procedure room</w:t>
        </w:r>
      </w:hyperlink>
      <w:r w:rsidR="00753419">
        <w:fldChar w:fldCharType="begin"/>
      </w:r>
      <w:r w:rsidR="00753419">
        <w:instrText xml:space="preserve"> NOTEREF _Ref534299351 \f \h </w:instrText>
      </w:r>
      <w:r w:rsidR="00753419">
        <w:fldChar w:fldCharType="separate"/>
      </w:r>
      <w:r w:rsidR="007D53A2" w:rsidRPr="00E362A3">
        <w:rPr>
          <w:rStyle w:val="EndnoteReference"/>
        </w:rPr>
        <w:t>53</w:t>
      </w:r>
      <w:r w:rsidR="00753419">
        <w:fldChar w:fldCharType="end"/>
      </w:r>
      <w:r w:rsidR="00753419">
        <w:t>.</w:t>
      </w:r>
    </w:p>
    <w:p w14:paraId="4EBE278F" w14:textId="6D948AC8" w:rsidR="0045293D" w:rsidRPr="009358B5" w:rsidRDefault="0045293D" w:rsidP="00A4487F">
      <w:pPr>
        <w:rPr>
          <w:rFonts w:cs="Arial"/>
          <w:snapToGrid w:val="0"/>
        </w:rPr>
      </w:pPr>
    </w:p>
    <w:p w14:paraId="76D730AC" w14:textId="769D0AAC" w:rsidR="00D3503C" w:rsidRDefault="00F827D4" w:rsidP="00CD7961">
      <w:pPr>
        <w:rPr>
          <w:sz w:val="16"/>
        </w:rPr>
      </w:pPr>
      <w:r w:rsidRPr="00F827D4">
        <w:rPr>
          <w:rFonts w:cs="Arial"/>
          <w:noProof/>
          <w:snapToGrid w:val="0"/>
        </w:rPr>
        <mc:AlternateContent>
          <mc:Choice Requires="wps">
            <w:drawing>
              <wp:inline distT="0" distB="0" distL="0" distR="0" wp14:anchorId="1500B869" wp14:editId="608000E6">
                <wp:extent cx="5915770" cy="1524000"/>
                <wp:effectExtent l="0" t="0" r="27940" b="19050"/>
                <wp:docPr id="43" name="Text Box 43" descr="P10831TB32#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5770" cy="1524000"/>
                        </a:xfrm>
                        <a:prstGeom prst="rect">
                          <a:avLst/>
                        </a:prstGeom>
                        <a:solidFill>
                          <a:srgbClr val="FFFFFF"/>
                        </a:solidFill>
                        <a:ln w="9525">
                          <a:solidFill>
                            <a:srgbClr val="FF0000"/>
                          </a:solidFill>
                          <a:miter lim="800000"/>
                          <a:headEnd/>
                          <a:tailEnd/>
                        </a:ln>
                      </wps:spPr>
                      <wps:txbx>
                        <w:txbxContent>
                          <w:p w14:paraId="6371DE80" w14:textId="3CB2DE51" w:rsidR="00F827D4" w:rsidRPr="009A5185" w:rsidRDefault="00F827D4" w:rsidP="00F827D4">
                            <w:pPr>
                              <w:spacing w:before="120"/>
                              <w:rPr>
                                <w:rFonts w:cs="Arial"/>
                                <w:b/>
                                <w:snapToGrid w:val="0"/>
                              </w:rPr>
                            </w:pPr>
                            <w:r w:rsidRPr="009A5185">
                              <w:rPr>
                                <w:rFonts w:cs="Arial"/>
                                <w:b/>
                                <w:snapToGrid w:val="0"/>
                              </w:rPr>
                              <w:t>Reporting Period: 12 months</w:t>
                            </w:r>
                          </w:p>
                          <w:p w14:paraId="2271BAA1" w14:textId="77777777" w:rsidR="00F827D4" w:rsidRPr="009639B4" w:rsidRDefault="00F827D4" w:rsidP="00AD309C">
                            <w:pPr>
                              <w:pStyle w:val="ListParagraph"/>
                              <w:numPr>
                                <w:ilvl w:val="0"/>
                                <w:numId w:val="36"/>
                              </w:numPr>
                              <w:rPr>
                                <w:rFonts w:cs="Arial"/>
                                <w:i/>
                                <w:snapToGrid w:val="0"/>
                              </w:rPr>
                            </w:pPr>
                            <w:r>
                              <w:rPr>
                                <w:rFonts w:cs="Arial"/>
                                <w:iCs/>
                                <w:snapToGrid w:val="0"/>
                              </w:rPr>
                              <w:t>Surveys submitted prior to September 1:</w:t>
                            </w:r>
                          </w:p>
                          <w:p w14:paraId="00117C12" w14:textId="73B09E51" w:rsidR="00F827D4" w:rsidRPr="009A5185" w:rsidRDefault="00F827D4" w:rsidP="00AD309C">
                            <w:pPr>
                              <w:pStyle w:val="ListParagraph"/>
                              <w:numPr>
                                <w:ilvl w:val="1"/>
                                <w:numId w:val="36"/>
                              </w:numPr>
                              <w:rPr>
                                <w:rFonts w:cs="Arial"/>
                                <w:i/>
                                <w:snapToGrid w:val="0"/>
                              </w:rPr>
                            </w:pPr>
                            <w:r>
                              <w:rPr>
                                <w:rFonts w:cs="Arial"/>
                                <w:snapToGrid w:val="0"/>
                              </w:rPr>
                              <w:t>01/01/202</w:t>
                            </w:r>
                            <w:r w:rsidR="009435D8">
                              <w:rPr>
                                <w:rFonts w:cs="Arial"/>
                                <w:snapToGrid w:val="0"/>
                              </w:rPr>
                              <w:t>5</w:t>
                            </w:r>
                            <w:r>
                              <w:rPr>
                                <w:rFonts w:cs="Arial"/>
                                <w:snapToGrid w:val="0"/>
                              </w:rPr>
                              <w:t xml:space="preserve"> – 12/31/202</w:t>
                            </w:r>
                            <w:r w:rsidR="009435D8">
                              <w:rPr>
                                <w:rFonts w:cs="Arial"/>
                                <w:snapToGrid w:val="0"/>
                              </w:rPr>
                              <w:t>5</w:t>
                            </w:r>
                          </w:p>
                          <w:p w14:paraId="39D18040" w14:textId="77777777" w:rsidR="00F827D4" w:rsidRPr="009639B4" w:rsidRDefault="00F827D4" w:rsidP="00AD309C">
                            <w:pPr>
                              <w:pStyle w:val="ListParagraph"/>
                              <w:numPr>
                                <w:ilvl w:val="0"/>
                                <w:numId w:val="36"/>
                              </w:numPr>
                              <w:rPr>
                                <w:rFonts w:cs="Arial"/>
                                <w:i/>
                                <w:snapToGrid w:val="0"/>
                              </w:rPr>
                            </w:pPr>
                            <w:r w:rsidRPr="009A5185">
                              <w:rPr>
                                <w:rFonts w:cs="Arial"/>
                                <w:snapToGrid w:val="0"/>
                              </w:rPr>
                              <w:t xml:space="preserve">Surveys (re)submitted on or after September 1: </w:t>
                            </w:r>
                          </w:p>
                          <w:p w14:paraId="3531FC8E" w14:textId="47E5189A" w:rsidR="00F827D4" w:rsidRPr="006E2CB6" w:rsidRDefault="00F827D4" w:rsidP="00AD309C">
                            <w:pPr>
                              <w:pStyle w:val="ListParagraph"/>
                              <w:numPr>
                                <w:ilvl w:val="1"/>
                                <w:numId w:val="36"/>
                              </w:numPr>
                              <w:rPr>
                                <w:rFonts w:cs="Arial"/>
                                <w:i/>
                                <w:snapToGrid w:val="0"/>
                              </w:rPr>
                            </w:pPr>
                            <w:r w:rsidRPr="009A5185">
                              <w:rPr>
                                <w:rFonts w:cs="Arial"/>
                                <w:snapToGrid w:val="0"/>
                              </w:rPr>
                              <w:t>07/01/</w:t>
                            </w:r>
                            <w:r>
                              <w:rPr>
                                <w:rFonts w:cs="Arial"/>
                                <w:snapToGrid w:val="0"/>
                              </w:rPr>
                              <w:t>202</w:t>
                            </w:r>
                            <w:r w:rsidR="009435D8">
                              <w:rPr>
                                <w:rFonts w:cs="Arial"/>
                                <w:snapToGrid w:val="0"/>
                              </w:rPr>
                              <w:t>5</w:t>
                            </w:r>
                            <w:r w:rsidRPr="009A5185">
                              <w:rPr>
                                <w:rFonts w:cs="Arial"/>
                                <w:snapToGrid w:val="0"/>
                              </w:rPr>
                              <w:t xml:space="preserve"> </w:t>
                            </w:r>
                            <w:r>
                              <w:rPr>
                                <w:rFonts w:cs="Arial"/>
                                <w:snapToGrid w:val="0"/>
                              </w:rPr>
                              <w:t>–</w:t>
                            </w:r>
                            <w:r w:rsidRPr="009A5185">
                              <w:rPr>
                                <w:rFonts w:cs="Arial"/>
                                <w:snapToGrid w:val="0"/>
                              </w:rPr>
                              <w:t xml:space="preserve"> 06/30/</w:t>
                            </w:r>
                            <w:r>
                              <w:rPr>
                                <w:rFonts w:cs="Arial"/>
                                <w:snapToGrid w:val="0"/>
                              </w:rPr>
                              <w:t>202</w:t>
                            </w:r>
                            <w:r w:rsidR="009435D8">
                              <w:rPr>
                                <w:rFonts w:cs="Arial"/>
                                <w:snapToGrid w:val="0"/>
                              </w:rPr>
                              <w:t>6</w:t>
                            </w:r>
                          </w:p>
                          <w:p w14:paraId="59B2AAE0" w14:textId="77777777" w:rsidR="00F827D4" w:rsidRPr="009358B5" w:rsidRDefault="00F827D4" w:rsidP="00F827D4">
                            <w:pPr>
                              <w:rPr>
                                <w:rFonts w:cs="Arial"/>
                              </w:rPr>
                            </w:pPr>
                          </w:p>
                          <w:p w14:paraId="04335329" w14:textId="70711155" w:rsidR="00F827D4" w:rsidRDefault="00F827D4" w:rsidP="00F827D4">
                            <w:r w:rsidRPr="006547C0">
                              <w:rPr>
                                <w:rFonts w:cs="Arial"/>
                                <w:sz w:val="16"/>
                                <w:szCs w:val="16"/>
                              </w:rPr>
                              <w:t xml:space="preserve">Note: As a reminder, the </w:t>
                            </w:r>
                            <w:hyperlink r:id="rId463" w:history="1">
                              <w:r w:rsidRPr="006547C0">
                                <w:rPr>
                                  <w:rStyle w:val="Hyperlink"/>
                                  <w:rFonts w:cs="Arial"/>
                                  <w:sz w:val="16"/>
                                  <w:szCs w:val="16"/>
                                </w:rPr>
                                <w:t>Corrections Period</w:t>
                              </w:r>
                            </w:hyperlink>
                            <w:r w:rsidRPr="006547C0">
                              <w:rPr>
                                <w:rFonts w:cs="Arial"/>
                                <w:sz w:val="16"/>
                                <w:szCs w:val="16"/>
                              </w:rPr>
                              <w:t xml:space="preserve"> </w:t>
                            </w:r>
                            <w:r w:rsidRPr="00E65E68">
                              <w:rPr>
                                <w:rFonts w:cs="Arial"/>
                                <w:sz w:val="16"/>
                                <w:szCs w:val="16"/>
                              </w:rPr>
                              <w:t>(</w:t>
                            </w:r>
                            <w:r>
                              <w:rPr>
                                <w:rFonts w:cs="Arial"/>
                                <w:sz w:val="16"/>
                                <w:szCs w:val="16"/>
                              </w:rPr>
                              <w:t>December</w:t>
                            </w:r>
                            <w:r w:rsidRPr="00E65E68">
                              <w:rPr>
                                <w:rFonts w:cs="Arial"/>
                                <w:sz w:val="16"/>
                                <w:szCs w:val="16"/>
                              </w:rPr>
                              <w:t xml:space="preserve"> 1-January 31) is reserved for corrections to previously submitted Surveys only. </w:t>
                            </w:r>
                            <w:r w:rsidRPr="00E65E68">
                              <w:rPr>
                                <w:rFonts w:cs="Arial"/>
                                <w:bCs/>
                                <w:snapToGrid w:val="0"/>
                                <w:sz w:val="16"/>
                                <w:szCs w:val="16"/>
                              </w:rPr>
                              <w:t xml:space="preserve">Any updates made to reflect a change in performance must be made prior to the </w:t>
                            </w:r>
                            <w:r>
                              <w:rPr>
                                <w:rFonts w:cs="Arial"/>
                                <w:bCs/>
                                <w:snapToGrid w:val="0"/>
                                <w:sz w:val="16"/>
                                <w:szCs w:val="16"/>
                              </w:rPr>
                              <w:t>November 30</w:t>
                            </w:r>
                            <w:r w:rsidRPr="00E65E68">
                              <w:rPr>
                                <w:rFonts w:cs="Arial"/>
                                <w:bCs/>
                                <w:snapToGrid w:val="0"/>
                                <w:sz w:val="16"/>
                                <w:szCs w:val="16"/>
                              </w:rPr>
                              <w:t xml:space="preserve"> Late Submission </w:t>
                            </w:r>
                            <w:r>
                              <w:rPr>
                                <w:rFonts w:cs="Arial"/>
                                <w:bCs/>
                                <w:snapToGrid w:val="0"/>
                                <w:sz w:val="16"/>
                                <w:szCs w:val="16"/>
                              </w:rPr>
                              <w:t xml:space="preserve">and Performance Update </w:t>
                            </w:r>
                            <w:r w:rsidRPr="00E65E68">
                              <w:rPr>
                                <w:rFonts w:cs="Arial"/>
                                <w:bCs/>
                                <w:snapToGrid w:val="0"/>
                                <w:sz w:val="16"/>
                                <w:szCs w:val="16"/>
                              </w:rPr>
                              <w:t xml:space="preserve">Deadline. Updates made to reflect a change in performance after </w:t>
                            </w:r>
                            <w:r>
                              <w:rPr>
                                <w:rFonts w:cs="Arial"/>
                                <w:bCs/>
                                <w:snapToGrid w:val="0"/>
                                <w:sz w:val="16"/>
                                <w:szCs w:val="16"/>
                              </w:rPr>
                              <w:t>November 30</w:t>
                            </w:r>
                            <w:r w:rsidRPr="00E65E68">
                              <w:rPr>
                                <w:rFonts w:cs="Arial"/>
                                <w:bCs/>
                                <w:snapToGrid w:val="0"/>
                                <w:sz w:val="16"/>
                                <w:szCs w:val="16"/>
                              </w:rPr>
                              <w:t xml:space="preserve"> will not be scored or publicly reported.</w:t>
                            </w:r>
                          </w:p>
                        </w:txbxContent>
                      </wps:txbx>
                      <wps:bodyPr rot="0" vert="horz" wrap="square" lIns="91440" tIns="45720" rIns="91440" bIns="45720" anchor="t" anchorCtr="0">
                        <a:noAutofit/>
                      </wps:bodyPr>
                    </wps:wsp>
                  </a:graphicData>
                </a:graphic>
              </wp:inline>
            </w:drawing>
          </mc:Choice>
          <mc:Fallback>
            <w:pict>
              <v:shape w14:anchorId="1500B869" id="Text Box 43" o:spid="_x0000_s1059" type="#_x0000_t202" alt="P10831TB32#y1" style="width:465.8pt;height:12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" strokecolor="red">
                <v:textbox>
                  <w:txbxContent>
                    <w:p w14:paraId="6371DE80" w14:textId="3CB2DE51" w:rsidR="00F827D4" w:rsidRPr="009A5185" w:rsidRDefault="00F827D4" w:rsidP="00F827D4">
                      <w:pPr>
                        <w:spacing w:before="120"/>
                        <w:rPr>
                          <w:rFonts w:cs="Arial"/>
                          <w:b/>
                          <w:snapToGrid w:val="0"/>
                        </w:rPr>
                      </w:pPr>
                      <w:r w:rsidRPr="009A5185">
                        <w:rPr>
                          <w:rFonts w:cs="Arial"/>
                          <w:b/>
                          <w:snapToGrid w:val="0"/>
                        </w:rPr>
                        <w:t>Reporting Period: 12 months</w:t>
                      </w:r>
                    </w:p>
                    <w:p w14:paraId="2271BAA1" w14:textId="77777777" w:rsidR="00F827D4" w:rsidRPr="009639B4" w:rsidRDefault="00F827D4" w:rsidP="00AD309C">
                      <w:pPr>
                        <w:pStyle w:val="ListParagraph"/>
                        <w:numPr>
                          <w:ilvl w:val="0"/>
                          <w:numId w:val="36"/>
                        </w:numPr>
                        <w:rPr>
                          <w:rFonts w:cs="Arial"/>
                          <w:i/>
                          <w:snapToGrid w:val="0"/>
                        </w:rPr>
                      </w:pPr>
                      <w:r>
                        <w:rPr>
                          <w:rFonts w:cs="Arial"/>
                          <w:iCs/>
                          <w:snapToGrid w:val="0"/>
                        </w:rPr>
                        <w:t>Surveys submitted prior to September 1:</w:t>
                      </w:r>
                    </w:p>
                    <w:p w14:paraId="00117C12" w14:textId="73B09E51" w:rsidR="00F827D4" w:rsidRPr="009A5185" w:rsidRDefault="00F827D4" w:rsidP="00AD309C">
                      <w:pPr>
                        <w:pStyle w:val="ListParagraph"/>
                        <w:numPr>
                          <w:ilvl w:val="1"/>
                          <w:numId w:val="36"/>
                        </w:numPr>
                        <w:rPr>
                          <w:rFonts w:cs="Arial"/>
                          <w:i/>
                          <w:snapToGrid w:val="0"/>
                        </w:rPr>
                      </w:pPr>
                      <w:r>
                        <w:rPr>
                          <w:rFonts w:cs="Arial"/>
                          <w:snapToGrid w:val="0"/>
                        </w:rPr>
                        <w:t>01/01/202</w:t>
                      </w:r>
                      <w:r w:rsidR="009435D8">
                        <w:rPr>
                          <w:rFonts w:cs="Arial"/>
                          <w:snapToGrid w:val="0"/>
                        </w:rPr>
                        <w:t>5</w:t>
                      </w:r>
                      <w:r>
                        <w:rPr>
                          <w:rFonts w:cs="Arial"/>
                          <w:snapToGrid w:val="0"/>
                        </w:rPr>
                        <w:t xml:space="preserve"> – 12/31/202</w:t>
                      </w:r>
                      <w:r w:rsidR="009435D8">
                        <w:rPr>
                          <w:rFonts w:cs="Arial"/>
                          <w:snapToGrid w:val="0"/>
                        </w:rPr>
                        <w:t>5</w:t>
                      </w:r>
                    </w:p>
                    <w:p w14:paraId="39D18040" w14:textId="77777777" w:rsidR="00F827D4" w:rsidRPr="009639B4" w:rsidRDefault="00F827D4" w:rsidP="00AD309C">
                      <w:pPr>
                        <w:pStyle w:val="ListParagraph"/>
                        <w:numPr>
                          <w:ilvl w:val="0"/>
                          <w:numId w:val="36"/>
                        </w:numPr>
                        <w:rPr>
                          <w:rFonts w:cs="Arial"/>
                          <w:i/>
                          <w:snapToGrid w:val="0"/>
                        </w:rPr>
                      </w:pPr>
                      <w:r w:rsidRPr="009A5185">
                        <w:rPr>
                          <w:rFonts w:cs="Arial"/>
                          <w:snapToGrid w:val="0"/>
                        </w:rPr>
                        <w:t xml:space="preserve">Surveys (re)submitted on or after September 1: </w:t>
                      </w:r>
                    </w:p>
                    <w:p w14:paraId="3531FC8E" w14:textId="47E5189A" w:rsidR="00F827D4" w:rsidRPr="006E2CB6" w:rsidRDefault="00F827D4" w:rsidP="00AD309C">
                      <w:pPr>
                        <w:pStyle w:val="ListParagraph"/>
                        <w:numPr>
                          <w:ilvl w:val="1"/>
                          <w:numId w:val="36"/>
                        </w:numPr>
                        <w:rPr>
                          <w:rFonts w:cs="Arial"/>
                          <w:i/>
                          <w:snapToGrid w:val="0"/>
                        </w:rPr>
                      </w:pPr>
                      <w:r w:rsidRPr="009A5185">
                        <w:rPr>
                          <w:rFonts w:cs="Arial"/>
                          <w:snapToGrid w:val="0"/>
                        </w:rPr>
                        <w:t>07/01/</w:t>
                      </w:r>
                      <w:r>
                        <w:rPr>
                          <w:rFonts w:cs="Arial"/>
                          <w:snapToGrid w:val="0"/>
                        </w:rPr>
                        <w:t>202</w:t>
                      </w:r>
                      <w:r w:rsidR="009435D8">
                        <w:rPr>
                          <w:rFonts w:cs="Arial"/>
                          <w:snapToGrid w:val="0"/>
                        </w:rPr>
                        <w:t>5</w:t>
                      </w:r>
                      <w:r w:rsidRPr="009A5185">
                        <w:rPr>
                          <w:rFonts w:cs="Arial"/>
                          <w:snapToGrid w:val="0"/>
                        </w:rPr>
                        <w:t xml:space="preserve"> </w:t>
                      </w:r>
                      <w:r>
                        <w:rPr>
                          <w:rFonts w:cs="Arial"/>
                          <w:snapToGrid w:val="0"/>
                        </w:rPr>
                        <w:t>–</w:t>
                      </w:r>
                      <w:r w:rsidRPr="009A5185">
                        <w:rPr>
                          <w:rFonts w:cs="Arial"/>
                          <w:snapToGrid w:val="0"/>
                        </w:rPr>
                        <w:t xml:space="preserve"> 06/30/</w:t>
                      </w:r>
                      <w:r>
                        <w:rPr>
                          <w:rFonts w:cs="Arial"/>
                          <w:snapToGrid w:val="0"/>
                        </w:rPr>
                        <w:t>202</w:t>
                      </w:r>
                      <w:r w:rsidR="009435D8">
                        <w:rPr>
                          <w:rFonts w:cs="Arial"/>
                          <w:snapToGrid w:val="0"/>
                        </w:rPr>
                        <w:t>6</w:t>
                      </w:r>
                    </w:p>
                    <w:p w14:paraId="59B2AAE0" w14:textId="77777777" w:rsidR="00F827D4" w:rsidRPr="009358B5" w:rsidRDefault="00F827D4" w:rsidP="00F827D4">
                      <w:pPr>
                        <w:rPr>
                          <w:rFonts w:cs="Arial"/>
                        </w:rPr>
                      </w:pPr>
                    </w:p>
                    <w:p w14:paraId="04335329" w14:textId="70711155" w:rsidR="00F827D4" w:rsidRDefault="00F827D4" w:rsidP="00F827D4">
                      <w:r w:rsidRPr="006547C0">
                        <w:rPr>
                          <w:rFonts w:cs="Arial"/>
                          <w:sz w:val="16"/>
                          <w:szCs w:val="16"/>
                        </w:rPr>
                        <w:t xml:space="preserve">Note: As a reminder, the </w:t>
                      </w:r>
                      <w:hyperlink r:id="rId464" w:history="1">
                        <w:r w:rsidRPr="006547C0">
                          <w:rPr>
                            <w:rStyle w:val="Hyperlink"/>
                            <w:rFonts w:cs="Arial"/>
                            <w:sz w:val="16"/>
                            <w:szCs w:val="16"/>
                          </w:rPr>
                          <w:t>Corrections Period</w:t>
                        </w:r>
                      </w:hyperlink>
                      <w:r w:rsidRPr="006547C0">
                        <w:rPr>
                          <w:rFonts w:cs="Arial"/>
                          <w:sz w:val="16"/>
                          <w:szCs w:val="16"/>
                        </w:rPr>
                        <w:t xml:space="preserve"> </w:t>
                      </w:r>
                      <w:r w:rsidRPr="00E65E68">
                        <w:rPr>
                          <w:rFonts w:cs="Arial"/>
                          <w:sz w:val="16"/>
                          <w:szCs w:val="16"/>
                        </w:rPr>
                        <w:t>(</w:t>
                      </w:r>
                      <w:r>
                        <w:rPr>
                          <w:rFonts w:cs="Arial"/>
                          <w:sz w:val="16"/>
                          <w:szCs w:val="16"/>
                        </w:rPr>
                        <w:t>December</w:t>
                      </w:r>
                      <w:r w:rsidRPr="00E65E68">
                        <w:rPr>
                          <w:rFonts w:cs="Arial"/>
                          <w:sz w:val="16"/>
                          <w:szCs w:val="16"/>
                        </w:rPr>
                        <w:t xml:space="preserve"> 1-January 31) is reserved for corrections to previously submitted Surveys only. </w:t>
                      </w:r>
                      <w:r w:rsidRPr="00E65E68">
                        <w:rPr>
                          <w:rFonts w:cs="Arial"/>
                          <w:bCs/>
                          <w:snapToGrid w:val="0"/>
                          <w:sz w:val="16"/>
                          <w:szCs w:val="16"/>
                        </w:rPr>
                        <w:t xml:space="preserve">Any updates made to reflect a change in performance must be made prior to the </w:t>
                      </w:r>
                      <w:r>
                        <w:rPr>
                          <w:rFonts w:cs="Arial"/>
                          <w:bCs/>
                          <w:snapToGrid w:val="0"/>
                          <w:sz w:val="16"/>
                          <w:szCs w:val="16"/>
                        </w:rPr>
                        <w:t>November 30</w:t>
                      </w:r>
                      <w:r w:rsidRPr="00E65E68">
                        <w:rPr>
                          <w:rFonts w:cs="Arial"/>
                          <w:bCs/>
                          <w:snapToGrid w:val="0"/>
                          <w:sz w:val="16"/>
                          <w:szCs w:val="16"/>
                        </w:rPr>
                        <w:t xml:space="preserve"> Late Submission </w:t>
                      </w:r>
                      <w:r>
                        <w:rPr>
                          <w:rFonts w:cs="Arial"/>
                          <w:bCs/>
                          <w:snapToGrid w:val="0"/>
                          <w:sz w:val="16"/>
                          <w:szCs w:val="16"/>
                        </w:rPr>
                        <w:t xml:space="preserve">and Performance Update </w:t>
                      </w:r>
                      <w:r w:rsidRPr="00E65E68">
                        <w:rPr>
                          <w:rFonts w:cs="Arial"/>
                          <w:bCs/>
                          <w:snapToGrid w:val="0"/>
                          <w:sz w:val="16"/>
                          <w:szCs w:val="16"/>
                        </w:rPr>
                        <w:t xml:space="preserve">Deadline. Updates made to reflect a change in performance after </w:t>
                      </w:r>
                      <w:r>
                        <w:rPr>
                          <w:rFonts w:cs="Arial"/>
                          <w:bCs/>
                          <w:snapToGrid w:val="0"/>
                          <w:sz w:val="16"/>
                          <w:szCs w:val="16"/>
                        </w:rPr>
                        <w:t>November 30</w:t>
                      </w:r>
                      <w:r w:rsidRPr="00E65E68">
                        <w:rPr>
                          <w:rFonts w:cs="Arial"/>
                          <w:bCs/>
                          <w:snapToGrid w:val="0"/>
                          <w:sz w:val="16"/>
                          <w:szCs w:val="16"/>
                        </w:rPr>
                        <w:t xml:space="preserve"> will not be scored or publicly reported.</w:t>
                      </w:r>
                    </w:p>
                  </w:txbxContent>
                </v:textbox>
                <w10:anchorlock/>
              </v:shape>
            </w:pict>
          </mc:Fallback>
        </mc:AlternateContent>
      </w:r>
    </w:p>
    <w:p w14:paraId="491FDB23" w14:textId="77777777" w:rsidR="00F827D4" w:rsidRPr="009358B5" w:rsidRDefault="00F827D4" w:rsidP="00CD7961">
      <w:pPr>
        <w:rPr>
          <w:szCs w:val="24"/>
        </w:rPr>
      </w:pPr>
    </w:p>
    <w:tbl>
      <w:tblPr>
        <w:tblStyle w:val="TableGrid10"/>
        <w:tblW w:w="5000" w:type="pct"/>
        <w:tblLook w:val="04A0" w:firstRow="1" w:lastRow="0" w:firstColumn="1" w:lastColumn="0" w:noHBand="0" w:noVBand="1"/>
      </w:tblPr>
      <w:tblGrid>
        <w:gridCol w:w="6476"/>
        <w:gridCol w:w="2874"/>
      </w:tblGrid>
      <w:tr w:rsidR="00AB7923" w:rsidRPr="00CD7961" w14:paraId="4E7A1B4A" w14:textId="77777777" w:rsidTr="00511B89">
        <w:trPr>
          <w:trHeight w:val="20"/>
        </w:trPr>
        <w:tc>
          <w:tcPr>
            <w:tcW w:w="3463" w:type="pct"/>
            <w:tcMar>
              <w:top w:w="72" w:type="dxa"/>
              <w:left w:w="115" w:type="dxa"/>
              <w:bottom w:w="72" w:type="dxa"/>
              <w:right w:w="115" w:type="dxa"/>
            </w:tcMar>
            <w:vAlign w:val="center"/>
          </w:tcPr>
          <w:p w14:paraId="634704E6" w14:textId="50FE2D0C" w:rsidR="00AB7923" w:rsidRDefault="0048344F" w:rsidP="00AD309C">
            <w:pPr>
              <w:numPr>
                <w:ilvl w:val="0"/>
                <w:numId w:val="89"/>
              </w:numPr>
              <w:spacing w:before="120" w:after="120" w:line="276" w:lineRule="auto"/>
            </w:pPr>
            <w:r>
              <w:t>12-month r</w:t>
            </w:r>
            <w:r w:rsidR="00AB7923" w:rsidRPr="00CD7961">
              <w:t xml:space="preserve">eporting period used: </w:t>
            </w:r>
          </w:p>
        </w:tc>
        <w:tc>
          <w:tcPr>
            <w:tcW w:w="1537" w:type="pct"/>
            <w:tcMar>
              <w:top w:w="72" w:type="dxa"/>
              <w:left w:w="115" w:type="dxa"/>
              <w:bottom w:w="72" w:type="dxa"/>
              <w:right w:w="115" w:type="dxa"/>
            </w:tcMar>
            <w:vAlign w:val="center"/>
          </w:tcPr>
          <w:p w14:paraId="42B31C13" w14:textId="49544952" w:rsidR="002F3A65" w:rsidRPr="00C06753" w:rsidRDefault="00923FD2" w:rsidP="00AD309C">
            <w:pPr>
              <w:pStyle w:val="ListParagraph"/>
              <w:numPr>
                <w:ilvl w:val="0"/>
                <w:numId w:val="316"/>
              </w:numPr>
              <w:spacing w:line="276" w:lineRule="auto"/>
            </w:pPr>
            <w:r w:rsidRPr="004F63C1">
              <w:t>01/01/202</w:t>
            </w:r>
            <w:r w:rsidR="009435D8">
              <w:t>5</w:t>
            </w:r>
            <w:r w:rsidRPr="00C06753">
              <w:t xml:space="preserve"> </w:t>
            </w:r>
            <w:r w:rsidR="002F3A65" w:rsidRPr="00C06753">
              <w:t>–</w:t>
            </w:r>
            <w:r w:rsidRPr="00C06753">
              <w:t xml:space="preserve"> 12/31/202</w:t>
            </w:r>
            <w:r w:rsidR="009435D8">
              <w:t>5</w:t>
            </w:r>
          </w:p>
          <w:p w14:paraId="602D8CA9" w14:textId="746B048F" w:rsidR="00AB7923" w:rsidRPr="00C06753" w:rsidRDefault="00AB7923" w:rsidP="00AD309C">
            <w:pPr>
              <w:pStyle w:val="ListParagraph"/>
              <w:numPr>
                <w:ilvl w:val="0"/>
                <w:numId w:val="316"/>
              </w:numPr>
              <w:spacing w:line="276" w:lineRule="auto"/>
            </w:pPr>
            <w:r w:rsidRPr="00C06753">
              <w:t>07/01/</w:t>
            </w:r>
            <w:r w:rsidR="00923FD2" w:rsidRPr="00C06753">
              <w:t>202</w:t>
            </w:r>
            <w:r w:rsidR="009435D8">
              <w:t>5</w:t>
            </w:r>
            <w:r w:rsidRPr="00C06753">
              <w:t xml:space="preserve"> </w:t>
            </w:r>
            <w:r w:rsidR="002F3A65" w:rsidRPr="00C06753">
              <w:t>–</w:t>
            </w:r>
            <w:r w:rsidRPr="00C06753">
              <w:t xml:space="preserve"> 06/30/</w:t>
            </w:r>
            <w:r w:rsidR="00923FD2" w:rsidRPr="00C06753">
              <w:t>202</w:t>
            </w:r>
            <w:r w:rsidR="009435D8">
              <w:t>6</w:t>
            </w:r>
          </w:p>
        </w:tc>
      </w:tr>
      <w:tr w:rsidR="00CD7961" w:rsidRPr="00CD7961" w14:paraId="6E97BCAF" w14:textId="77777777" w:rsidTr="00511B89">
        <w:trPr>
          <w:trHeight w:val="20"/>
        </w:trPr>
        <w:tc>
          <w:tcPr>
            <w:tcW w:w="3463" w:type="pct"/>
            <w:tcMar>
              <w:top w:w="72" w:type="dxa"/>
              <w:left w:w="115" w:type="dxa"/>
              <w:bottom w:w="72" w:type="dxa"/>
              <w:right w:w="115" w:type="dxa"/>
            </w:tcMar>
            <w:vAlign w:val="center"/>
          </w:tcPr>
          <w:p w14:paraId="248A5E5C" w14:textId="2FA0CFA1" w:rsidR="00F24EDE" w:rsidRPr="0030216C" w:rsidRDefault="00A27D7B" w:rsidP="0030216C">
            <w:pPr>
              <w:numPr>
                <w:ilvl w:val="0"/>
                <w:numId w:val="89"/>
              </w:numPr>
              <w:spacing w:before="120" w:after="120" w:line="276" w:lineRule="auto"/>
            </w:pPr>
            <w:r>
              <w:t xml:space="preserve">Does your hospital perform </w:t>
            </w:r>
            <w:r w:rsidR="002619EF">
              <w:t xml:space="preserve">any of the </w:t>
            </w:r>
            <w:r w:rsidR="0047588B">
              <w:t>procedures</w:t>
            </w:r>
            <w:r w:rsidR="002619EF">
              <w:t xml:space="preserve"> listed in Section </w:t>
            </w:r>
            <w:r w:rsidR="002F3A65">
              <w:t>9</w:t>
            </w:r>
            <w:r w:rsidR="002619EF">
              <w:t>C</w:t>
            </w:r>
            <w:r w:rsidR="0047588B">
              <w:t xml:space="preserve"> </w:t>
            </w:r>
            <w:r w:rsidR="00AA7B9F">
              <w:t>on an outpatient basis</w:t>
            </w:r>
            <w:r w:rsidR="00511B89">
              <w:t>:</w:t>
            </w:r>
            <w:r w:rsidR="00AA7B9F">
              <w:t xml:space="preserve"> </w:t>
            </w:r>
          </w:p>
          <w:p w14:paraId="71E14546" w14:textId="1B0FCAE0" w:rsidR="00A11EA6" w:rsidRPr="002666BD" w:rsidRDefault="0047588B" w:rsidP="0030216C">
            <w:pPr>
              <w:numPr>
                <w:ilvl w:val="1"/>
                <w:numId w:val="370"/>
              </w:numPr>
              <w:spacing w:before="120" w:after="120"/>
              <w:rPr>
                <w:szCs w:val="20"/>
              </w:rPr>
            </w:pPr>
            <w:r w:rsidRPr="00B32681">
              <w:rPr>
                <w:b/>
              </w:rPr>
              <w:t>in</w:t>
            </w:r>
            <w:r w:rsidR="009E5C60" w:rsidRPr="00B32681">
              <w:rPr>
                <w:b/>
              </w:rPr>
              <w:t xml:space="preserve"> the hospital</w:t>
            </w:r>
            <w:r w:rsidR="00A11EA6" w:rsidRPr="00B32681">
              <w:t xml:space="preserve"> </w:t>
            </w:r>
            <w:r w:rsidR="00A11EA6" w:rsidRPr="007C2798">
              <w:t xml:space="preserve">or </w:t>
            </w:r>
            <w:r w:rsidR="00F62669" w:rsidRPr="007C2798">
              <w:t xml:space="preserve">at </w:t>
            </w:r>
            <w:r w:rsidR="009E5C60" w:rsidRPr="007C2798">
              <w:t>a</w:t>
            </w:r>
            <w:r w:rsidR="009E5C60" w:rsidRPr="00B32681">
              <w:t xml:space="preserve"> </w:t>
            </w:r>
            <w:r w:rsidR="00110197" w:rsidRPr="00B32681">
              <w:rPr>
                <w:b/>
                <w:bCs/>
              </w:rPr>
              <w:t>hospital outpatient department</w:t>
            </w:r>
            <w:r w:rsidR="009E5C60" w:rsidRPr="00B32681">
              <w:rPr>
                <w:b/>
                <w:bCs/>
              </w:rPr>
              <w:t xml:space="preserve"> </w:t>
            </w:r>
            <w:hyperlink w:anchor="Endnote19_ColocatedNICU" w:history="1">
              <w:r w:rsidR="009E5C60" w:rsidRPr="00B32681">
                <w:rPr>
                  <w:rStyle w:val="Hyperlink"/>
                </w:rPr>
                <w:t>co-located</w:t>
              </w:r>
            </w:hyperlink>
            <w:r w:rsidR="003E31E4" w:rsidRPr="00B32681">
              <w:rPr>
                <w:vertAlign w:val="superscript"/>
              </w:rPr>
              <w:t>31</w:t>
            </w:r>
            <w:r w:rsidR="00AA7B9F" w:rsidRPr="00B32681">
              <w:t xml:space="preserve"> with the hospital</w:t>
            </w:r>
            <w:r w:rsidR="00511B89" w:rsidRPr="00B32681">
              <w:t xml:space="preserve"> </w:t>
            </w:r>
          </w:p>
          <w:p w14:paraId="7E3E4969" w14:textId="6694DABA" w:rsidR="00CD7961" w:rsidRPr="00A11EA6" w:rsidRDefault="00E061FE" w:rsidP="0030216C">
            <w:pPr>
              <w:spacing w:before="120" w:after="120"/>
              <w:ind w:left="720"/>
            </w:pPr>
            <w:r>
              <w:t>and/</w:t>
            </w:r>
            <w:r w:rsidR="00511B89" w:rsidRPr="00A11EA6">
              <w:t>or</w:t>
            </w:r>
          </w:p>
          <w:p w14:paraId="3D75D54D" w14:textId="3F49BD74" w:rsidR="00511B89" w:rsidRPr="008E6C4C" w:rsidRDefault="00511B89" w:rsidP="008E6C4C">
            <w:pPr>
              <w:pStyle w:val="ListParagraph"/>
              <w:numPr>
                <w:ilvl w:val="1"/>
                <w:numId w:val="370"/>
              </w:numPr>
            </w:pPr>
            <w:r w:rsidRPr="008E6C4C">
              <w:t xml:space="preserve">at a </w:t>
            </w:r>
            <w:r w:rsidRPr="008E6C4C">
              <w:rPr>
                <w:b/>
                <w:bCs/>
              </w:rPr>
              <w:t>surgery center</w:t>
            </w:r>
            <w:r w:rsidRPr="008E6C4C">
              <w:t xml:space="preserve"> </w:t>
            </w:r>
            <w:r w:rsidRPr="008E6C4C">
              <w:rPr>
                <w:b/>
                <w:bCs/>
              </w:rPr>
              <w:t>or</w:t>
            </w:r>
            <w:r w:rsidRPr="008E6C4C">
              <w:t xml:space="preserve"> </w:t>
            </w:r>
            <w:r w:rsidRPr="008E6C4C">
              <w:rPr>
                <w:b/>
              </w:rPr>
              <w:t>free-standing</w:t>
            </w:r>
            <w:r w:rsidRPr="008E6C4C">
              <w:rPr>
                <w:b/>
                <w:bCs/>
              </w:rPr>
              <w:t xml:space="preserve"> hospital outpatient department</w:t>
            </w:r>
            <w:r w:rsidRPr="008E6C4C">
              <w:t xml:space="preserve"> that shares your hospital’s license or CMS Certification Number?</w:t>
            </w:r>
          </w:p>
        </w:tc>
        <w:tc>
          <w:tcPr>
            <w:tcW w:w="1537" w:type="pct"/>
            <w:tcMar>
              <w:top w:w="72" w:type="dxa"/>
              <w:left w:w="115" w:type="dxa"/>
              <w:bottom w:w="72" w:type="dxa"/>
              <w:right w:w="115" w:type="dxa"/>
            </w:tcMar>
            <w:vAlign w:val="center"/>
          </w:tcPr>
          <w:p w14:paraId="6C84C8A1" w14:textId="5C442D9A" w:rsidR="00CD7961" w:rsidRPr="005F39CC" w:rsidRDefault="0047588B" w:rsidP="0030216C">
            <w:pPr>
              <w:pStyle w:val="ListParagraph"/>
              <w:numPr>
                <w:ilvl w:val="0"/>
                <w:numId w:val="316"/>
              </w:numPr>
              <w:spacing w:line="276" w:lineRule="auto"/>
              <w:rPr>
                <w:rFonts w:cs="Arial"/>
                <w:iCs/>
              </w:rPr>
            </w:pPr>
            <w:r w:rsidRPr="005F39CC">
              <w:rPr>
                <w:rFonts w:cs="Arial"/>
                <w:iCs/>
              </w:rPr>
              <w:t>Yes</w:t>
            </w:r>
          </w:p>
          <w:p w14:paraId="3D11CAA4" w14:textId="55E3D146" w:rsidR="0047588B" w:rsidRPr="005F39CC" w:rsidRDefault="0047588B" w:rsidP="0030216C">
            <w:pPr>
              <w:pStyle w:val="ListParagraph"/>
              <w:numPr>
                <w:ilvl w:val="0"/>
                <w:numId w:val="316"/>
              </w:numPr>
              <w:spacing w:line="276" w:lineRule="auto"/>
            </w:pPr>
            <w:r w:rsidRPr="005F39CC">
              <w:t>No</w:t>
            </w:r>
          </w:p>
        </w:tc>
      </w:tr>
    </w:tbl>
    <w:p w14:paraId="265ADF32" w14:textId="77777777" w:rsidR="00D93BEF" w:rsidRDefault="009358B5" w:rsidP="00CD7961">
      <w:pPr>
        <w:rPr>
          <w:i/>
        </w:rPr>
      </w:pPr>
      <w:r>
        <w:rPr>
          <w:i/>
        </w:rPr>
        <w:br/>
      </w:r>
      <w:r w:rsidR="00804620" w:rsidRPr="00F86CBE">
        <w:rPr>
          <w:i/>
        </w:rPr>
        <w:t xml:space="preserve">If “no” to question #2, skip the remaining questions in Section </w:t>
      </w:r>
      <w:r w:rsidR="00804620">
        <w:rPr>
          <w:i/>
        </w:rPr>
        <w:t>9</w:t>
      </w:r>
      <w:r w:rsidR="00804620" w:rsidRPr="00F86CBE">
        <w:rPr>
          <w:i/>
        </w:rPr>
        <w:t>, including all subsections, and go to the Affirmation of Accuracy.</w:t>
      </w:r>
    </w:p>
    <w:p w14:paraId="5D87D6F4" w14:textId="48F6279F" w:rsidR="00CD7961" w:rsidRPr="009358B5" w:rsidRDefault="00804620" w:rsidP="00CD7961">
      <w:pPr>
        <w:rPr>
          <w:b/>
        </w:rPr>
      </w:pPr>
      <w:r>
        <w:rPr>
          <w:i/>
        </w:rPr>
        <w:br/>
      </w:r>
    </w:p>
    <w:tbl>
      <w:tblPr>
        <w:tblStyle w:val="TableGrid10"/>
        <w:tblW w:w="0" w:type="auto"/>
        <w:tblLook w:val="04A0" w:firstRow="1" w:lastRow="0" w:firstColumn="1" w:lastColumn="0" w:noHBand="0" w:noVBand="1"/>
      </w:tblPr>
      <w:tblGrid>
        <w:gridCol w:w="6835"/>
        <w:gridCol w:w="2515"/>
      </w:tblGrid>
      <w:tr w:rsidR="00D93BEF" w:rsidRPr="00104AE3" w14:paraId="72C65AC4" w14:textId="77777777" w:rsidTr="009358B5">
        <w:trPr>
          <w:trHeight w:val="20"/>
        </w:trPr>
        <w:tc>
          <w:tcPr>
            <w:tcW w:w="6835" w:type="dxa"/>
            <w:tcMar>
              <w:top w:w="72" w:type="dxa"/>
              <w:left w:w="115" w:type="dxa"/>
              <w:bottom w:w="72" w:type="dxa"/>
              <w:right w:w="115" w:type="dxa"/>
            </w:tcMar>
            <w:vAlign w:val="center"/>
          </w:tcPr>
          <w:p w14:paraId="0A5B136F" w14:textId="37530995" w:rsidR="00D93BEF" w:rsidRDefault="00D17F17" w:rsidP="00D93BEF">
            <w:pPr>
              <w:numPr>
                <w:ilvl w:val="0"/>
                <w:numId w:val="89"/>
              </w:numPr>
              <w:spacing w:before="120" w:after="120" w:line="276" w:lineRule="auto"/>
            </w:pPr>
            <w:r>
              <w:t xml:space="preserve">Which of the following </w:t>
            </w:r>
            <w:r w:rsidR="00D93BEF">
              <w:t xml:space="preserve">procedure specialties </w:t>
            </w:r>
            <w:r w:rsidR="00AB0A84">
              <w:t>does</w:t>
            </w:r>
            <w:r w:rsidR="00441DBE">
              <w:t xml:space="preserve"> your hospital perform </w:t>
            </w:r>
            <w:r w:rsidR="00D93BEF">
              <w:t>on an outpatient basis?</w:t>
            </w:r>
          </w:p>
          <w:p w14:paraId="78C3E4F4" w14:textId="3733F328" w:rsidR="00DE6D12" w:rsidRDefault="000D52DA" w:rsidP="00D93BEF">
            <w:pPr>
              <w:spacing w:before="120" w:after="120" w:line="276" w:lineRule="auto"/>
              <w:ind w:left="360"/>
              <w:rPr>
                <w:i/>
                <w:iCs/>
              </w:rPr>
            </w:pPr>
            <w:r w:rsidRPr="000D52DA">
              <w:rPr>
                <w:i/>
                <w:iCs/>
              </w:rPr>
              <w:t>Cardiothoracic Surgery, Oral and Maxillofacial Surgery, Pain Management, Podiatry, and Vascular Surgery appl</w:t>
            </w:r>
            <w:r w:rsidR="004614EE">
              <w:rPr>
                <w:i/>
                <w:iCs/>
              </w:rPr>
              <w:t>y</w:t>
            </w:r>
            <w:r w:rsidRPr="000D52DA">
              <w:rPr>
                <w:i/>
                <w:iCs/>
              </w:rPr>
              <w:t xml:space="preserve"> to adult patients only. All other surgical specialties apply to adult or adult/pediatric patients.</w:t>
            </w:r>
          </w:p>
          <w:p w14:paraId="6085D130" w14:textId="1AD5023F" w:rsidR="00D93BEF" w:rsidRPr="004949F2" w:rsidRDefault="00D93BEF" w:rsidP="00D93BEF">
            <w:pPr>
              <w:spacing w:before="120" w:after="120" w:line="276" w:lineRule="auto"/>
              <w:ind w:left="360"/>
            </w:pPr>
            <w:r w:rsidRPr="00F35982">
              <w:rPr>
                <w:i/>
                <w:iCs/>
              </w:rPr>
              <w:t>Select all that apply.</w:t>
            </w:r>
          </w:p>
        </w:tc>
        <w:tc>
          <w:tcPr>
            <w:tcW w:w="2515" w:type="dxa"/>
            <w:tcMar>
              <w:top w:w="72" w:type="dxa"/>
              <w:left w:w="115" w:type="dxa"/>
              <w:bottom w:w="72" w:type="dxa"/>
              <w:right w:w="115" w:type="dxa"/>
            </w:tcMar>
            <w:vAlign w:val="center"/>
          </w:tcPr>
          <w:p w14:paraId="5BA6CE62" w14:textId="61CCDB95" w:rsidR="00D93BEF" w:rsidRPr="00334727" w:rsidRDefault="00D93BEF" w:rsidP="00567026">
            <w:pPr>
              <w:pStyle w:val="ListParagraph"/>
              <w:numPr>
                <w:ilvl w:val="0"/>
                <w:numId w:val="457"/>
              </w:numPr>
              <w:spacing w:line="276" w:lineRule="auto"/>
              <w:rPr>
                <w:szCs w:val="20"/>
              </w:rPr>
            </w:pPr>
            <w:bookmarkStart w:id="715" w:name="_Hlk25053351"/>
            <w:r w:rsidRPr="00334727">
              <w:rPr>
                <w:szCs w:val="20"/>
              </w:rPr>
              <w:t>Cardiothoracic Surgery</w:t>
            </w:r>
          </w:p>
          <w:p w14:paraId="29487446" w14:textId="43445BC4" w:rsidR="00D93BEF" w:rsidRPr="00334727" w:rsidRDefault="00D93BEF" w:rsidP="00567026">
            <w:pPr>
              <w:pStyle w:val="ListParagraph"/>
              <w:numPr>
                <w:ilvl w:val="0"/>
                <w:numId w:val="457"/>
              </w:numPr>
              <w:spacing w:line="276" w:lineRule="auto"/>
              <w:rPr>
                <w:szCs w:val="20"/>
              </w:rPr>
            </w:pPr>
            <w:r w:rsidRPr="00334727">
              <w:rPr>
                <w:szCs w:val="20"/>
              </w:rPr>
              <w:t xml:space="preserve">Gastroenterology </w:t>
            </w:r>
          </w:p>
          <w:p w14:paraId="5BA15FC5" w14:textId="3F715D08" w:rsidR="00D93BEF" w:rsidRPr="00334727" w:rsidRDefault="00D93BEF" w:rsidP="00567026">
            <w:pPr>
              <w:pStyle w:val="ListParagraph"/>
              <w:numPr>
                <w:ilvl w:val="0"/>
                <w:numId w:val="457"/>
              </w:numPr>
              <w:spacing w:line="276" w:lineRule="auto"/>
              <w:rPr>
                <w:szCs w:val="20"/>
              </w:rPr>
            </w:pPr>
            <w:r w:rsidRPr="00334727">
              <w:rPr>
                <w:szCs w:val="20"/>
              </w:rPr>
              <w:t xml:space="preserve">General Surgery </w:t>
            </w:r>
          </w:p>
          <w:p w14:paraId="58E3E733" w14:textId="4F78D364" w:rsidR="00D93BEF" w:rsidRPr="00334727" w:rsidRDefault="00D93BEF" w:rsidP="00567026">
            <w:pPr>
              <w:pStyle w:val="ListParagraph"/>
              <w:numPr>
                <w:ilvl w:val="0"/>
                <w:numId w:val="457"/>
              </w:numPr>
              <w:spacing w:line="276" w:lineRule="auto"/>
              <w:rPr>
                <w:szCs w:val="20"/>
              </w:rPr>
            </w:pPr>
            <w:r w:rsidRPr="00334727">
              <w:rPr>
                <w:szCs w:val="20"/>
              </w:rPr>
              <w:t>Neurological Surgery</w:t>
            </w:r>
          </w:p>
          <w:p w14:paraId="3A29792D" w14:textId="6488ABE5" w:rsidR="00D93BEF" w:rsidRPr="00334727" w:rsidRDefault="00D93BEF" w:rsidP="00567026">
            <w:pPr>
              <w:pStyle w:val="ListParagraph"/>
              <w:numPr>
                <w:ilvl w:val="0"/>
                <w:numId w:val="457"/>
              </w:numPr>
              <w:spacing w:line="276" w:lineRule="auto"/>
              <w:rPr>
                <w:szCs w:val="20"/>
              </w:rPr>
            </w:pPr>
            <w:r w:rsidRPr="00334727">
              <w:rPr>
                <w:szCs w:val="20"/>
              </w:rPr>
              <w:t>Obstetrics and Gynecology</w:t>
            </w:r>
          </w:p>
          <w:p w14:paraId="641A9188" w14:textId="6BDC83A5" w:rsidR="00D93BEF" w:rsidRPr="00334727" w:rsidRDefault="00D93BEF" w:rsidP="00567026">
            <w:pPr>
              <w:pStyle w:val="ListParagraph"/>
              <w:numPr>
                <w:ilvl w:val="0"/>
                <w:numId w:val="457"/>
              </w:numPr>
              <w:spacing w:line="276" w:lineRule="auto"/>
              <w:rPr>
                <w:szCs w:val="20"/>
              </w:rPr>
            </w:pPr>
            <w:r w:rsidRPr="00334727">
              <w:rPr>
                <w:szCs w:val="20"/>
              </w:rPr>
              <w:t>Ophthalmology</w:t>
            </w:r>
          </w:p>
          <w:p w14:paraId="6A4DF49B" w14:textId="7326D90C" w:rsidR="00D93BEF" w:rsidRPr="00334727" w:rsidRDefault="00D93BEF" w:rsidP="00567026">
            <w:pPr>
              <w:pStyle w:val="ListParagraph"/>
              <w:numPr>
                <w:ilvl w:val="0"/>
                <w:numId w:val="457"/>
              </w:numPr>
              <w:spacing w:line="276" w:lineRule="auto"/>
              <w:rPr>
                <w:szCs w:val="20"/>
              </w:rPr>
            </w:pPr>
            <w:r w:rsidRPr="00334727">
              <w:rPr>
                <w:szCs w:val="20"/>
              </w:rPr>
              <w:t>Oral and Maxillofacial Surgery</w:t>
            </w:r>
          </w:p>
          <w:p w14:paraId="4BADD538" w14:textId="466F13D4" w:rsidR="00D93BEF" w:rsidRPr="00334727" w:rsidRDefault="00D93BEF" w:rsidP="00567026">
            <w:pPr>
              <w:pStyle w:val="ListParagraph"/>
              <w:numPr>
                <w:ilvl w:val="0"/>
                <w:numId w:val="457"/>
              </w:numPr>
              <w:spacing w:line="276" w:lineRule="auto"/>
              <w:rPr>
                <w:szCs w:val="20"/>
              </w:rPr>
            </w:pPr>
            <w:r w:rsidRPr="00334727">
              <w:rPr>
                <w:szCs w:val="20"/>
              </w:rPr>
              <w:t>Orthopedics</w:t>
            </w:r>
          </w:p>
          <w:p w14:paraId="66D9A94C" w14:textId="740F60D7" w:rsidR="00D93BEF" w:rsidRPr="00334727" w:rsidRDefault="00D93BEF" w:rsidP="00567026">
            <w:pPr>
              <w:pStyle w:val="ListParagraph"/>
              <w:numPr>
                <w:ilvl w:val="0"/>
                <w:numId w:val="457"/>
              </w:numPr>
              <w:spacing w:line="276" w:lineRule="auto"/>
              <w:rPr>
                <w:szCs w:val="20"/>
              </w:rPr>
            </w:pPr>
            <w:r w:rsidRPr="00334727">
              <w:rPr>
                <w:szCs w:val="20"/>
              </w:rPr>
              <w:t xml:space="preserve">Otolaryngology </w:t>
            </w:r>
          </w:p>
          <w:p w14:paraId="4740AE49" w14:textId="52CE1B5E" w:rsidR="00D93BEF" w:rsidRPr="00334727" w:rsidRDefault="00D93BEF" w:rsidP="00567026">
            <w:pPr>
              <w:pStyle w:val="ListParagraph"/>
              <w:numPr>
                <w:ilvl w:val="0"/>
                <w:numId w:val="457"/>
              </w:numPr>
              <w:spacing w:line="276" w:lineRule="auto"/>
              <w:rPr>
                <w:szCs w:val="20"/>
              </w:rPr>
            </w:pPr>
            <w:r w:rsidRPr="00334727">
              <w:rPr>
                <w:szCs w:val="20"/>
              </w:rPr>
              <w:t>Pain Management</w:t>
            </w:r>
          </w:p>
          <w:p w14:paraId="176B1305" w14:textId="33BE601C" w:rsidR="00D93BEF" w:rsidRPr="00334727" w:rsidRDefault="00D93BEF" w:rsidP="00567026">
            <w:pPr>
              <w:pStyle w:val="ListParagraph"/>
              <w:numPr>
                <w:ilvl w:val="0"/>
                <w:numId w:val="457"/>
              </w:numPr>
              <w:spacing w:line="276" w:lineRule="auto"/>
              <w:rPr>
                <w:szCs w:val="20"/>
              </w:rPr>
            </w:pPr>
            <w:r w:rsidRPr="00334727">
              <w:rPr>
                <w:szCs w:val="20"/>
              </w:rPr>
              <w:t>Plastic and Reconstructive Surgery</w:t>
            </w:r>
          </w:p>
          <w:p w14:paraId="01C55AE5" w14:textId="72845BB6" w:rsidR="00D93BEF" w:rsidRPr="00334727" w:rsidRDefault="00D93BEF" w:rsidP="00567026">
            <w:pPr>
              <w:pStyle w:val="ListParagraph"/>
              <w:numPr>
                <w:ilvl w:val="0"/>
                <w:numId w:val="457"/>
              </w:numPr>
              <w:spacing w:line="276" w:lineRule="auto"/>
              <w:rPr>
                <w:szCs w:val="20"/>
              </w:rPr>
            </w:pPr>
            <w:r w:rsidRPr="00334727">
              <w:rPr>
                <w:szCs w:val="20"/>
              </w:rPr>
              <w:t>Podiatry</w:t>
            </w:r>
          </w:p>
          <w:p w14:paraId="0B3CBFE3" w14:textId="5EB15822" w:rsidR="00567026" w:rsidRDefault="00D93BEF" w:rsidP="00567026">
            <w:pPr>
              <w:pStyle w:val="ListParagraph"/>
              <w:numPr>
                <w:ilvl w:val="0"/>
                <w:numId w:val="457"/>
              </w:numPr>
              <w:spacing w:line="276" w:lineRule="auto"/>
              <w:rPr>
                <w:szCs w:val="20"/>
              </w:rPr>
            </w:pPr>
            <w:r w:rsidRPr="00334727">
              <w:rPr>
                <w:szCs w:val="20"/>
              </w:rPr>
              <w:t xml:space="preserve">Urology </w:t>
            </w:r>
            <w:bookmarkEnd w:id="715"/>
          </w:p>
          <w:p w14:paraId="08B715A7" w14:textId="28B5318F" w:rsidR="00D93BEF" w:rsidRPr="00727C3E" w:rsidRDefault="0092567D" w:rsidP="0092567D">
            <w:pPr>
              <w:pStyle w:val="ListParagraph"/>
              <w:numPr>
                <w:ilvl w:val="0"/>
                <w:numId w:val="457"/>
              </w:numPr>
              <w:spacing w:line="276" w:lineRule="auto"/>
              <w:rPr>
                <w:szCs w:val="20"/>
              </w:rPr>
            </w:pPr>
            <w:r>
              <w:rPr>
                <w:szCs w:val="20"/>
              </w:rPr>
              <w:t>Vascular Surgery</w:t>
            </w:r>
          </w:p>
        </w:tc>
      </w:tr>
      <w:tr w:rsidR="00D93BEF" w:rsidRPr="00104AE3" w14:paraId="07F4E344" w14:textId="77777777" w:rsidTr="009358B5">
        <w:trPr>
          <w:trHeight w:val="20"/>
        </w:trPr>
        <w:tc>
          <w:tcPr>
            <w:tcW w:w="6835" w:type="dxa"/>
            <w:tcMar>
              <w:top w:w="72" w:type="dxa"/>
              <w:left w:w="115" w:type="dxa"/>
              <w:bottom w:w="72" w:type="dxa"/>
              <w:right w:w="115" w:type="dxa"/>
            </w:tcMar>
            <w:vAlign w:val="center"/>
          </w:tcPr>
          <w:p w14:paraId="3F4E2EC6" w14:textId="17C6E621" w:rsidR="00D93BEF" w:rsidRPr="004949F2" w:rsidRDefault="00D93BEF" w:rsidP="00D93BEF">
            <w:pPr>
              <w:numPr>
                <w:ilvl w:val="0"/>
                <w:numId w:val="89"/>
              </w:numPr>
              <w:spacing w:before="120" w:after="120" w:line="276" w:lineRule="auto"/>
            </w:pPr>
            <w:r w:rsidRPr="004949F2">
              <w:t xml:space="preserve">Total number of </w:t>
            </w:r>
            <w:hyperlink w:anchor="Endnote49_OR" w:history="1">
              <w:r w:rsidRPr="004949F2">
                <w:rPr>
                  <w:rStyle w:val="Hyperlink"/>
                </w:rPr>
                <w:t>operating rooms</w:t>
              </w:r>
            </w:hyperlink>
            <w:bookmarkStart w:id="716" w:name="_Ref534299024"/>
            <w:r>
              <w:rPr>
                <w:rStyle w:val="Hyperlink"/>
                <w:rFonts w:ascii="ZWAdobeF" w:hAnsi="ZWAdobeF" w:cs="ZWAdobeF"/>
                <w:color w:val="auto"/>
                <w:sz w:val="2"/>
                <w:szCs w:val="2"/>
                <w:u w:val="none"/>
              </w:rPr>
              <w:t>50F52F52F</w:t>
            </w:r>
            <w:r w:rsidR="00C2087D">
              <w:rPr>
                <w:rStyle w:val="Hyperlink"/>
                <w:rFonts w:ascii="ZWAdobeF" w:hAnsi="ZWAdobeF" w:cs="ZWAdobeF"/>
                <w:color w:val="auto"/>
                <w:sz w:val="2"/>
                <w:szCs w:val="2"/>
                <w:u w:val="none"/>
              </w:rPr>
              <w:t>51F</w:t>
            </w:r>
            <w:r w:rsidR="00B55C41">
              <w:rPr>
                <w:rStyle w:val="Hyperlink"/>
                <w:rFonts w:ascii="ZWAdobeF" w:hAnsi="ZWAdobeF" w:cs="ZWAdobeF"/>
                <w:color w:val="auto"/>
                <w:sz w:val="2"/>
                <w:szCs w:val="2"/>
                <w:u w:val="none"/>
              </w:rPr>
              <w:t>51F</w:t>
            </w:r>
            <w:r w:rsidR="006255A6">
              <w:rPr>
                <w:rStyle w:val="Hyperlink"/>
                <w:rFonts w:ascii="ZWAdobeF" w:hAnsi="ZWAdobeF" w:cs="ZWAdobeF"/>
                <w:color w:val="auto"/>
                <w:sz w:val="2"/>
                <w:szCs w:val="2"/>
                <w:u w:val="none"/>
              </w:rPr>
              <w:t>51F</w:t>
            </w:r>
            <w:r w:rsidR="00E453C7">
              <w:rPr>
                <w:rStyle w:val="Hyperlink"/>
                <w:rFonts w:ascii="ZWAdobeF" w:hAnsi="ZWAdobeF" w:cs="ZWAdobeF"/>
                <w:color w:val="auto"/>
                <w:sz w:val="2"/>
                <w:szCs w:val="2"/>
                <w:u w:val="none"/>
              </w:rPr>
              <w:t>51F</w:t>
            </w:r>
            <w:r w:rsidR="00953060">
              <w:rPr>
                <w:rStyle w:val="Hyperlink"/>
                <w:rFonts w:ascii="ZWAdobeF" w:hAnsi="ZWAdobeF" w:cs="ZWAdobeF"/>
                <w:color w:val="auto"/>
                <w:sz w:val="2"/>
                <w:szCs w:val="2"/>
                <w:u w:val="none"/>
              </w:rPr>
              <w:t>51F</w:t>
            </w:r>
            <w:r w:rsidR="00DD04D6">
              <w:rPr>
                <w:rStyle w:val="Hyperlink"/>
                <w:rFonts w:ascii="ZWAdobeF" w:hAnsi="ZWAdobeF" w:cs="ZWAdobeF"/>
                <w:color w:val="auto"/>
                <w:sz w:val="2"/>
                <w:szCs w:val="2"/>
                <w:u w:val="none"/>
              </w:rPr>
              <w:t>51F</w:t>
            </w:r>
            <w:r w:rsidRPr="004949F2">
              <w:rPr>
                <w:rStyle w:val="EndnoteReference"/>
              </w:rPr>
              <w:endnoteReference w:id="53"/>
            </w:r>
            <w:bookmarkEnd w:id="716"/>
            <w:r w:rsidRPr="004949F2">
              <w:rPr>
                <w:rStyle w:val="Hyperlink"/>
                <w:color w:val="auto"/>
                <w:u w:val="none"/>
              </w:rPr>
              <w:t xml:space="preserve"> used to perform the outpatient procedures listed in Section </w:t>
            </w:r>
            <w:r>
              <w:rPr>
                <w:rStyle w:val="Hyperlink"/>
                <w:color w:val="auto"/>
                <w:u w:val="none"/>
              </w:rPr>
              <w:t>9</w:t>
            </w:r>
            <w:r w:rsidRPr="004949F2">
              <w:rPr>
                <w:rStyle w:val="Hyperlink"/>
                <w:color w:val="auto"/>
                <w:u w:val="none"/>
              </w:rPr>
              <w:t>C</w:t>
            </w:r>
            <w:r>
              <w:rPr>
                <w:rStyle w:val="Hyperlink"/>
                <w:color w:val="auto"/>
                <w:u w:val="none"/>
              </w:rPr>
              <w:t>:</w:t>
            </w:r>
          </w:p>
        </w:tc>
        <w:tc>
          <w:tcPr>
            <w:tcW w:w="2515" w:type="dxa"/>
            <w:tcMar>
              <w:top w:w="72" w:type="dxa"/>
              <w:left w:w="115" w:type="dxa"/>
              <w:bottom w:w="72" w:type="dxa"/>
              <w:right w:w="115" w:type="dxa"/>
            </w:tcMar>
            <w:vAlign w:val="center"/>
          </w:tcPr>
          <w:p w14:paraId="35653D7E" w14:textId="77777777" w:rsidR="00D93BEF" w:rsidRPr="004949F2" w:rsidRDefault="00D93BEF" w:rsidP="00D93BEF">
            <w:pPr>
              <w:spacing w:line="276" w:lineRule="auto"/>
              <w:jc w:val="center"/>
            </w:pPr>
            <w:r w:rsidRPr="004949F2">
              <w:t>_____</w:t>
            </w:r>
          </w:p>
        </w:tc>
      </w:tr>
      <w:tr w:rsidR="00D93BEF" w:rsidRPr="00104AE3" w14:paraId="5E99B704" w14:textId="77777777" w:rsidTr="009358B5">
        <w:trPr>
          <w:trHeight w:val="20"/>
        </w:trPr>
        <w:tc>
          <w:tcPr>
            <w:tcW w:w="6835" w:type="dxa"/>
            <w:tcMar>
              <w:top w:w="72" w:type="dxa"/>
              <w:left w:w="115" w:type="dxa"/>
              <w:bottom w:w="72" w:type="dxa"/>
              <w:right w:w="115" w:type="dxa"/>
            </w:tcMar>
            <w:vAlign w:val="center"/>
          </w:tcPr>
          <w:p w14:paraId="58BF6F09" w14:textId="44772ED2" w:rsidR="00D93BEF" w:rsidRPr="004949F2" w:rsidRDefault="00D93BEF" w:rsidP="00D93BEF">
            <w:pPr>
              <w:numPr>
                <w:ilvl w:val="0"/>
                <w:numId w:val="89"/>
              </w:numPr>
              <w:spacing w:before="120" w:after="120" w:line="276" w:lineRule="auto"/>
            </w:pPr>
            <w:r w:rsidRPr="004949F2">
              <w:t xml:space="preserve">Total number of </w:t>
            </w:r>
            <w:hyperlink w:anchor="procedureroom" w:history="1">
              <w:r w:rsidRPr="004949F2">
                <w:rPr>
                  <w:rStyle w:val="Hyperlink"/>
                </w:rPr>
                <w:t>endoscopic procedure rooms</w:t>
              </w:r>
            </w:hyperlink>
            <w:bookmarkStart w:id="719" w:name="_Ref534299351"/>
            <w:r>
              <w:rPr>
                <w:rStyle w:val="Hyperlink"/>
                <w:rFonts w:ascii="ZWAdobeF" w:hAnsi="ZWAdobeF" w:cs="ZWAdobeF"/>
                <w:color w:val="auto"/>
                <w:sz w:val="2"/>
                <w:szCs w:val="2"/>
                <w:u w:val="none"/>
              </w:rPr>
              <w:t>51F53F53F</w:t>
            </w:r>
            <w:r w:rsidR="00C2087D">
              <w:rPr>
                <w:rStyle w:val="Hyperlink"/>
                <w:rFonts w:ascii="ZWAdobeF" w:hAnsi="ZWAdobeF" w:cs="ZWAdobeF"/>
                <w:color w:val="auto"/>
                <w:sz w:val="2"/>
                <w:szCs w:val="2"/>
                <w:u w:val="none"/>
              </w:rPr>
              <w:t>52F</w:t>
            </w:r>
            <w:r w:rsidR="00B55C41">
              <w:rPr>
                <w:rStyle w:val="Hyperlink"/>
                <w:rFonts w:ascii="ZWAdobeF" w:hAnsi="ZWAdobeF" w:cs="ZWAdobeF"/>
                <w:color w:val="auto"/>
                <w:sz w:val="2"/>
                <w:szCs w:val="2"/>
                <w:u w:val="none"/>
              </w:rPr>
              <w:t>52F</w:t>
            </w:r>
            <w:r w:rsidR="006255A6">
              <w:rPr>
                <w:rStyle w:val="Hyperlink"/>
                <w:rFonts w:ascii="ZWAdobeF" w:hAnsi="ZWAdobeF" w:cs="ZWAdobeF"/>
                <w:color w:val="auto"/>
                <w:sz w:val="2"/>
                <w:szCs w:val="2"/>
                <w:u w:val="none"/>
              </w:rPr>
              <w:t>52F</w:t>
            </w:r>
            <w:r w:rsidR="00E453C7">
              <w:rPr>
                <w:rStyle w:val="Hyperlink"/>
                <w:rFonts w:ascii="ZWAdobeF" w:hAnsi="ZWAdobeF" w:cs="ZWAdobeF"/>
                <w:color w:val="auto"/>
                <w:sz w:val="2"/>
                <w:szCs w:val="2"/>
                <w:u w:val="none"/>
              </w:rPr>
              <w:t>52F</w:t>
            </w:r>
            <w:r w:rsidR="00953060">
              <w:rPr>
                <w:rStyle w:val="Hyperlink"/>
                <w:rFonts w:ascii="ZWAdobeF" w:hAnsi="ZWAdobeF" w:cs="ZWAdobeF"/>
                <w:color w:val="auto"/>
                <w:sz w:val="2"/>
                <w:szCs w:val="2"/>
                <w:u w:val="none"/>
              </w:rPr>
              <w:t>52F</w:t>
            </w:r>
            <w:r w:rsidR="00DD04D6">
              <w:rPr>
                <w:rStyle w:val="Hyperlink"/>
                <w:rFonts w:ascii="ZWAdobeF" w:hAnsi="ZWAdobeF" w:cs="ZWAdobeF"/>
                <w:color w:val="auto"/>
                <w:sz w:val="2"/>
                <w:szCs w:val="2"/>
                <w:u w:val="none"/>
              </w:rPr>
              <w:t>52F</w:t>
            </w:r>
            <w:r w:rsidRPr="004949F2">
              <w:rPr>
                <w:rStyle w:val="EndnoteReference"/>
              </w:rPr>
              <w:endnoteReference w:id="54"/>
            </w:r>
            <w:bookmarkEnd w:id="719"/>
            <w:r w:rsidRPr="004949F2">
              <w:rPr>
                <w:rStyle w:val="Hyperlink"/>
                <w:color w:val="auto"/>
                <w:u w:val="none"/>
              </w:rPr>
              <w:t xml:space="preserve"> used to perform the outpatient procedures listed in Section </w:t>
            </w:r>
            <w:r>
              <w:rPr>
                <w:rStyle w:val="Hyperlink"/>
                <w:color w:val="auto"/>
                <w:u w:val="none"/>
              </w:rPr>
              <w:t>9</w:t>
            </w:r>
            <w:r w:rsidRPr="004949F2">
              <w:rPr>
                <w:rStyle w:val="Hyperlink"/>
                <w:color w:val="auto"/>
                <w:u w:val="none"/>
              </w:rPr>
              <w:t>C</w:t>
            </w:r>
            <w:r>
              <w:rPr>
                <w:rStyle w:val="Hyperlink"/>
                <w:color w:val="auto"/>
                <w:u w:val="none"/>
              </w:rPr>
              <w:t>:</w:t>
            </w:r>
            <w:r w:rsidRPr="004949F2">
              <w:t xml:space="preserve"> </w:t>
            </w:r>
          </w:p>
        </w:tc>
        <w:tc>
          <w:tcPr>
            <w:tcW w:w="2515" w:type="dxa"/>
            <w:tcMar>
              <w:top w:w="72" w:type="dxa"/>
              <w:left w:w="115" w:type="dxa"/>
              <w:bottom w:w="72" w:type="dxa"/>
              <w:right w:w="115" w:type="dxa"/>
            </w:tcMar>
            <w:vAlign w:val="center"/>
          </w:tcPr>
          <w:p w14:paraId="4313831D" w14:textId="77777777" w:rsidR="00D93BEF" w:rsidRPr="004949F2" w:rsidRDefault="00D93BEF" w:rsidP="00D93BEF">
            <w:pPr>
              <w:spacing w:line="276" w:lineRule="auto"/>
              <w:jc w:val="center"/>
            </w:pPr>
            <w:r w:rsidRPr="004949F2">
              <w:t>_____</w:t>
            </w:r>
          </w:p>
        </w:tc>
      </w:tr>
    </w:tbl>
    <w:p w14:paraId="6F66E9AC" w14:textId="77777777" w:rsidR="00CD7961" w:rsidRPr="00CD7961" w:rsidRDefault="00CD7961" w:rsidP="00CD7961">
      <w:pPr>
        <w:rPr>
          <w:szCs w:val="24"/>
        </w:rPr>
      </w:pPr>
    </w:p>
    <w:p w14:paraId="5A1F5282" w14:textId="77777777" w:rsidR="00EB73D8" w:rsidRDefault="00CD7961">
      <w:pPr>
        <w:rPr>
          <w:szCs w:val="24"/>
        </w:rPr>
      </w:pPr>
      <w:r w:rsidRPr="00CD7961">
        <w:rPr>
          <w:szCs w:val="24"/>
        </w:rPr>
        <w:br w:type="page"/>
      </w:r>
    </w:p>
    <w:p w14:paraId="76866D58" w14:textId="148D27DF" w:rsidR="00EB73D8" w:rsidRDefault="002F3A65" w:rsidP="00CF5A6E">
      <w:pPr>
        <w:pStyle w:val="Heading2"/>
      </w:pPr>
      <w:bookmarkStart w:id="721" w:name="_Toc225877835"/>
      <w:r>
        <w:t>9B: Medical, Surgical, and Clinical Staff</w:t>
      </w:r>
      <w:bookmarkEnd w:id="721"/>
    </w:p>
    <w:p w14:paraId="063F5A93" w14:textId="77777777" w:rsidR="002F3A65" w:rsidRPr="00F827D4" w:rsidRDefault="002F3A65" w:rsidP="00EB73D8">
      <w:pPr>
        <w:rPr>
          <w:rFonts w:cs="Arial"/>
          <w:color w:val="000000"/>
        </w:rPr>
      </w:pPr>
    </w:p>
    <w:p w14:paraId="7215CA6A" w14:textId="337CF828" w:rsidR="00D3503C" w:rsidRDefault="00D3503C" w:rsidP="00D3503C">
      <w:pPr>
        <w:rPr>
          <w:rFonts w:cs="Arial"/>
          <w:snapToGrid w:val="0"/>
        </w:rPr>
      </w:pPr>
      <w:r w:rsidRPr="009A5185">
        <w:rPr>
          <w:rFonts w:cs="Arial"/>
          <w:snapToGrid w:val="0"/>
        </w:rPr>
        <w:t xml:space="preserve">Hospitals that share a </w:t>
      </w:r>
      <w:r>
        <w:rPr>
          <w:rFonts w:cs="Arial"/>
          <w:snapToGrid w:val="0"/>
        </w:rPr>
        <w:t>CMS Certification Number</w:t>
      </w:r>
      <w:r w:rsidRPr="009A5185">
        <w:rPr>
          <w:rFonts w:cs="Arial"/>
          <w:snapToGrid w:val="0"/>
        </w:rPr>
        <w:t xml:space="preserve"> are required to report by facility. Please carefully review </w:t>
      </w:r>
      <w:hyperlink r:id="rId465" w:history="1">
        <w:r w:rsidRPr="009A5185">
          <w:rPr>
            <w:rStyle w:val="Hyperlink"/>
            <w:rFonts w:cs="Arial"/>
            <w:snapToGrid w:val="0"/>
          </w:rPr>
          <w:t>Leapfrog’s Multi-Campus Reporting Policy</w:t>
        </w:r>
      </w:hyperlink>
      <w:r w:rsidRPr="009A5185">
        <w:rPr>
          <w:rFonts w:cs="Arial"/>
          <w:snapToGrid w:val="0"/>
        </w:rPr>
        <w:t>.</w:t>
      </w:r>
    </w:p>
    <w:p w14:paraId="60993F14" w14:textId="77777777" w:rsidR="00D3503C" w:rsidRPr="00F827D4" w:rsidRDefault="00D3503C" w:rsidP="00EB73D8">
      <w:pPr>
        <w:rPr>
          <w:rFonts w:cs="Arial"/>
          <w:color w:val="000000"/>
        </w:rPr>
      </w:pPr>
    </w:p>
    <w:p w14:paraId="780BE346" w14:textId="77777777" w:rsidR="00FF1F80" w:rsidRDefault="00EB73D8" w:rsidP="00753419">
      <w:pPr>
        <w:pStyle w:val="BodyText3"/>
        <w:rPr>
          <w:rFonts w:cs="Arial"/>
          <w:b/>
          <w:color w:val="FF0000"/>
        </w:rPr>
      </w:pPr>
      <w:r w:rsidRPr="009A5185">
        <w:rPr>
          <w:rFonts w:cs="Arial"/>
          <w:b/>
          <w:color w:val="FF0000"/>
        </w:rPr>
        <w:t>Important Note</w:t>
      </w:r>
      <w:r w:rsidR="00FF1F80">
        <w:rPr>
          <w:rFonts w:cs="Arial"/>
          <w:b/>
          <w:color w:val="FF0000"/>
        </w:rPr>
        <w:t>s</w:t>
      </w:r>
      <w:r w:rsidR="00D3503C">
        <w:rPr>
          <w:rFonts w:cs="Arial"/>
          <w:b/>
          <w:color w:val="FF0000"/>
        </w:rPr>
        <w:t xml:space="preserve">: </w:t>
      </w:r>
    </w:p>
    <w:p w14:paraId="761EDCBB" w14:textId="77777777" w:rsidR="00FF1F80" w:rsidRDefault="00FF1F80" w:rsidP="00753419">
      <w:pPr>
        <w:pStyle w:val="BodyText3"/>
        <w:rPr>
          <w:rFonts w:cs="Arial"/>
          <w:b/>
          <w:color w:val="FF0000"/>
        </w:rPr>
      </w:pPr>
    </w:p>
    <w:p w14:paraId="557E012D" w14:textId="059D8F83" w:rsidR="008E7151" w:rsidRDefault="00FF1F80" w:rsidP="00753419">
      <w:pPr>
        <w:pStyle w:val="BodyText3"/>
      </w:pPr>
      <w:r w:rsidRPr="00EE7395">
        <w:rPr>
          <w:rFonts w:cs="Arial"/>
          <w:bCs/>
          <w:color w:val="auto"/>
        </w:rPr>
        <w:t>Note 1:</w:t>
      </w:r>
      <w:r w:rsidRPr="00EE7395">
        <w:rPr>
          <w:rFonts w:cs="Arial"/>
          <w:b/>
          <w:color w:val="auto"/>
        </w:rPr>
        <w:t xml:space="preserve"> </w:t>
      </w:r>
      <w:r w:rsidR="003F6DF1">
        <w:rPr>
          <w:rFonts w:cs="Arial"/>
          <w:color w:val="auto"/>
        </w:rPr>
        <w:t xml:space="preserve">The term “hospital outpatient department” is used to refer to all hospital outpatient departments or areas of the hospital, including areas that are used for </w:t>
      </w:r>
      <w:r w:rsidR="003F6DF1">
        <w:rPr>
          <w:rFonts w:cs="Arial"/>
          <w:b/>
          <w:bCs/>
          <w:color w:val="auto"/>
        </w:rPr>
        <w:t xml:space="preserve">both </w:t>
      </w:r>
      <w:r w:rsidR="003F6DF1">
        <w:rPr>
          <w:rFonts w:cs="Arial"/>
          <w:color w:val="auto"/>
        </w:rPr>
        <w:t xml:space="preserve">inpatient and outpatient procedures, that perform the outpatient procedures listed in Section 9C and that share your hospital’s license or CMS Certification Number (CCN). This would include, but is not limited to surgery centers, free-standing hospital outpatient departments, as well as outpatient departments that are located in your hospital or are </w:t>
      </w:r>
      <w:hyperlink w:anchor="Endnote19_ColocatedNICU" w:history="1">
        <w:r w:rsidR="003F6DF1" w:rsidRPr="005C395A">
          <w:rPr>
            <w:rStyle w:val="Hyperlink"/>
          </w:rPr>
          <w:t>co-located</w:t>
        </w:r>
      </w:hyperlink>
      <w:r w:rsidR="003E5A10">
        <w:fldChar w:fldCharType="begin"/>
      </w:r>
      <w:r w:rsidR="003E5A10">
        <w:rPr>
          <w:rStyle w:val="Hyperlink"/>
        </w:rPr>
        <w:instrText xml:space="preserve"> NOTEREF _Ref134616250 \f \h </w:instrText>
      </w:r>
      <w:r w:rsidR="003E5A10">
        <w:fldChar w:fldCharType="separate"/>
      </w:r>
      <w:r w:rsidR="007D53A2" w:rsidRPr="00E362A3">
        <w:rPr>
          <w:rStyle w:val="EndnoteReference"/>
        </w:rPr>
        <w:t>31</w:t>
      </w:r>
      <w:r w:rsidR="003E5A10">
        <w:fldChar w:fldCharType="end"/>
      </w:r>
      <w:r w:rsidR="003F6DF1">
        <w:rPr>
          <w:rFonts w:cs="Arial"/>
          <w:color w:val="auto"/>
        </w:rPr>
        <w:t xml:space="preserve"> with your hospital. Hospitals should only include hospital outpatient departments or areas of the hospital that perform the procedures listed in Section 9C in an </w:t>
      </w:r>
      <w:hyperlink w:anchor="Endnote49_OR" w:history="1">
        <w:r w:rsidR="003F6DF1" w:rsidRPr="00A879E1">
          <w:rPr>
            <w:rStyle w:val="Hyperlink"/>
          </w:rPr>
          <w:t>operating room</w:t>
        </w:r>
      </w:hyperlink>
      <w:r w:rsidR="003F6DF1">
        <w:rPr>
          <w:vertAlign w:val="superscript"/>
        </w:rPr>
        <w:fldChar w:fldCharType="begin"/>
      </w:r>
      <w:r w:rsidR="003F6DF1">
        <w:instrText xml:space="preserve"> NOTEREF _Ref534299024 \f \h </w:instrText>
      </w:r>
      <w:r w:rsidR="003F6DF1">
        <w:rPr>
          <w:vertAlign w:val="superscript"/>
        </w:rPr>
      </w:r>
      <w:r w:rsidR="003F6DF1">
        <w:rPr>
          <w:vertAlign w:val="superscript"/>
        </w:rPr>
        <w:fldChar w:fldCharType="separate"/>
      </w:r>
      <w:r w:rsidR="007D53A2" w:rsidRPr="00E362A3">
        <w:rPr>
          <w:rStyle w:val="EndnoteReference"/>
        </w:rPr>
        <w:t>52</w:t>
      </w:r>
      <w:r w:rsidR="003F6DF1">
        <w:rPr>
          <w:vertAlign w:val="superscript"/>
        </w:rPr>
        <w:fldChar w:fldCharType="end"/>
      </w:r>
      <w:r w:rsidR="003F6DF1">
        <w:t xml:space="preserve"> or </w:t>
      </w:r>
      <w:hyperlink w:anchor="procedureroom" w:history="1">
        <w:r w:rsidR="003F6DF1" w:rsidRPr="00A879E1">
          <w:rPr>
            <w:rStyle w:val="Hyperlink"/>
          </w:rPr>
          <w:t>procedure room</w:t>
        </w:r>
      </w:hyperlink>
      <w:r w:rsidR="003F6DF1">
        <w:fldChar w:fldCharType="begin"/>
      </w:r>
      <w:r w:rsidR="003F6DF1">
        <w:instrText xml:space="preserve"> NOTEREF _Ref534299351 \f \h </w:instrText>
      </w:r>
      <w:r w:rsidR="003F6DF1">
        <w:fldChar w:fldCharType="separate"/>
      </w:r>
      <w:r w:rsidR="007D53A2" w:rsidRPr="00E362A3">
        <w:rPr>
          <w:rStyle w:val="EndnoteReference"/>
        </w:rPr>
        <w:t>53</w:t>
      </w:r>
      <w:r w:rsidR="003F6DF1">
        <w:fldChar w:fldCharType="end"/>
      </w:r>
      <w:r w:rsidR="003F6DF1">
        <w:t>.</w:t>
      </w:r>
    </w:p>
    <w:p w14:paraId="63C8FE0B" w14:textId="77777777" w:rsidR="00FF1F80" w:rsidRDefault="00FF1F80" w:rsidP="00753419">
      <w:pPr>
        <w:pStyle w:val="BodyText3"/>
      </w:pPr>
    </w:p>
    <w:p w14:paraId="5A6EB652" w14:textId="1E9605FB" w:rsidR="00FF1F80" w:rsidRDefault="00FF1F80" w:rsidP="00753419">
      <w:pPr>
        <w:pStyle w:val="BodyText3"/>
      </w:pPr>
      <w:r>
        <w:t xml:space="preserve">Note 2: Hyperlinks throughout these questions refer to the </w:t>
      </w:r>
      <w:hyperlink w:anchor="_Medical,_Surgical,_and" w:history="1">
        <w:r w:rsidRPr="00D40420">
          <w:rPr>
            <w:rStyle w:val="Hyperlink"/>
          </w:rPr>
          <w:t>Medical, Surgical, and Clinical Staff FAQs</w:t>
        </w:r>
      </w:hyperlink>
      <w:r>
        <w:t xml:space="preserve"> beginning on page</w:t>
      </w:r>
      <w:r w:rsidR="00D40420">
        <w:t xml:space="preserve"> </w:t>
      </w:r>
      <w:r w:rsidR="00D40420">
        <w:fldChar w:fldCharType="begin"/>
      </w:r>
      <w:r w:rsidR="00D40420">
        <w:instrText xml:space="preserve"> PAGEREF _Ref153447294 \h </w:instrText>
      </w:r>
      <w:r w:rsidR="00D40420">
        <w:fldChar w:fldCharType="separate"/>
      </w:r>
      <w:r w:rsidR="00C4182A">
        <w:rPr>
          <w:noProof/>
        </w:rPr>
        <w:t>318</w:t>
      </w:r>
      <w:r w:rsidR="00D40420">
        <w:fldChar w:fldCharType="end"/>
      </w:r>
      <w:r>
        <w:t>, as well as to endnotes. FAQ hyperlinks are not included in the Online Survey Tool.</w:t>
      </w:r>
    </w:p>
    <w:p w14:paraId="28492AA0" w14:textId="77777777" w:rsidR="00F827D4" w:rsidRPr="003D7705" w:rsidRDefault="00F827D4" w:rsidP="00753419">
      <w:pPr>
        <w:pStyle w:val="BodyText3"/>
        <w:rPr>
          <w:snapToGrid w:val="0"/>
        </w:rPr>
      </w:pPr>
    </w:p>
    <w:p w14:paraId="01C7FFC8" w14:textId="2B56FE12" w:rsidR="00EB73D8" w:rsidRPr="00F827D4" w:rsidRDefault="00F827D4" w:rsidP="008E7151">
      <w:pPr>
        <w:pStyle w:val="BodyText3"/>
        <w:rPr>
          <w:szCs w:val="24"/>
        </w:rPr>
      </w:pPr>
      <w:r w:rsidRPr="00F827D4">
        <w:rPr>
          <w:noProof/>
          <w:szCs w:val="24"/>
        </w:rPr>
        <mc:AlternateContent>
          <mc:Choice Requires="wps">
            <w:drawing>
              <wp:inline distT="0" distB="0" distL="0" distR="0" wp14:anchorId="435DC497" wp14:editId="46CF55FC">
                <wp:extent cx="5923722" cy="1404620"/>
                <wp:effectExtent l="0" t="0" r="20320" b="22860"/>
                <wp:docPr id="44" name="Text Box 44" descr="P10882TB33#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3722" cy="1404620"/>
                        </a:xfrm>
                        <a:prstGeom prst="rect">
                          <a:avLst/>
                        </a:prstGeom>
                        <a:solidFill>
                          <a:srgbClr val="FFFFFF"/>
                        </a:solidFill>
                        <a:ln w="9525">
                          <a:solidFill>
                            <a:srgbClr val="FF0000"/>
                          </a:solidFill>
                          <a:miter lim="800000"/>
                          <a:headEnd/>
                          <a:tailEnd/>
                        </a:ln>
                      </wps:spPr>
                      <wps:txbx>
                        <w:txbxContent>
                          <w:p w14:paraId="099E17AC" w14:textId="26AAA68D" w:rsidR="00F827D4" w:rsidRDefault="00F827D4" w:rsidP="00F827D4">
                            <w:pPr>
                              <w:pStyle w:val="Header"/>
                              <w:tabs>
                                <w:tab w:val="clear" w:pos="4320"/>
                                <w:tab w:val="clear" w:pos="8640"/>
                              </w:tabs>
                              <w:spacing w:before="40"/>
                              <w:rPr>
                                <w:rFonts w:cs="Arial"/>
                                <w:b/>
                              </w:rPr>
                            </w:pPr>
                            <w:r w:rsidRPr="0092522B">
                              <w:rPr>
                                <w:rFonts w:cs="Arial"/>
                                <w:b/>
                              </w:rPr>
                              <w:t xml:space="preserve">Reporting Period: </w:t>
                            </w:r>
                            <w:r>
                              <w:rPr>
                                <w:rFonts w:cs="Arial"/>
                                <w:b/>
                              </w:rPr>
                              <w:t>3 months</w:t>
                            </w:r>
                          </w:p>
                          <w:p w14:paraId="10FECB4C" w14:textId="19D2E990" w:rsidR="00F827D4" w:rsidRPr="0092522B" w:rsidRDefault="00F827D4" w:rsidP="00F827D4">
                            <w:pPr>
                              <w:pStyle w:val="Header"/>
                              <w:tabs>
                                <w:tab w:val="clear" w:pos="4320"/>
                                <w:tab w:val="clear" w:pos="8640"/>
                              </w:tabs>
                              <w:spacing w:before="40"/>
                              <w:rPr>
                                <w:rFonts w:cs="Arial"/>
                              </w:rPr>
                            </w:pPr>
                            <w:r w:rsidRPr="0092522B">
                              <w:rPr>
                                <w:rFonts w:cs="Arial"/>
                              </w:rPr>
                              <w:t>Answer questions #1-</w:t>
                            </w:r>
                            <w:r w:rsidR="00EE7395">
                              <w:rPr>
                                <w:rFonts w:cs="Arial"/>
                              </w:rPr>
                              <w:t>2</w:t>
                            </w:r>
                            <w:r w:rsidRPr="0092522B">
                              <w:rPr>
                                <w:rFonts w:cs="Arial"/>
                              </w:rPr>
                              <w:t xml:space="preserve"> based on the staffing structure currently in place at the time that you submit this section of the Survey. The staffing structure should have been in place for at least the past 3 months and reflect the ordinary staffing structure for each applicable hospital outpatient department.</w:t>
                            </w:r>
                          </w:p>
                          <w:p w14:paraId="19C9E3BA" w14:textId="77777777" w:rsidR="00F827D4" w:rsidRPr="00357E20" w:rsidRDefault="00F827D4" w:rsidP="00F827D4">
                            <w:pPr>
                              <w:pStyle w:val="Header"/>
                              <w:tabs>
                                <w:tab w:val="clear" w:pos="4320"/>
                                <w:tab w:val="clear" w:pos="8640"/>
                              </w:tabs>
                              <w:rPr>
                                <w:rFonts w:cs="Arial"/>
                                <w:b/>
                              </w:rPr>
                            </w:pPr>
                          </w:p>
                          <w:p w14:paraId="14077751" w14:textId="7F77815C" w:rsidR="00F827D4" w:rsidRDefault="00F827D4" w:rsidP="00F827D4">
                            <w:r w:rsidRPr="0002601E">
                              <w:rPr>
                                <w:rFonts w:cs="Arial"/>
                                <w:sz w:val="16"/>
                                <w:szCs w:val="16"/>
                              </w:rPr>
                              <w:t xml:space="preserve">Note: As a reminder, the </w:t>
                            </w:r>
                            <w:hyperlink r:id="rId466" w:history="1">
                              <w:r w:rsidRPr="0002601E">
                                <w:rPr>
                                  <w:rStyle w:val="Hyperlink"/>
                                  <w:rFonts w:cs="Arial"/>
                                  <w:sz w:val="16"/>
                                  <w:szCs w:val="16"/>
                                </w:rPr>
                                <w:t>Corrections Period</w:t>
                              </w:r>
                            </w:hyperlink>
                            <w:r w:rsidRPr="0002601E">
                              <w:rPr>
                                <w:rFonts w:cs="Arial"/>
                                <w:sz w:val="16"/>
                                <w:szCs w:val="16"/>
                              </w:rPr>
                              <w:t xml:space="preserve"> (December 1-January 31) is reserved for corrections to previously submitted Surveys only. </w:t>
                            </w:r>
                            <w:r w:rsidRPr="0002601E">
                              <w:rPr>
                                <w:rFonts w:cs="Arial"/>
                                <w:bCs/>
                                <w:snapToGrid w:val="0"/>
                                <w:sz w:val="16"/>
                                <w:szCs w:val="16"/>
                              </w:rPr>
                              <w:t>Any updates made to reflect a change in performance must be made prior to the November 30 Late Submission and Performance Update Deadline. Updates made to reflect a change in performance after November 30 will not be scored or publicly reported.</w:t>
                            </w:r>
                          </w:p>
                        </w:txbxContent>
                      </wps:txbx>
                      <wps:bodyPr rot="0" vert="horz" wrap="square" lIns="91440" tIns="45720" rIns="91440" bIns="45720" anchor="t" anchorCtr="0">
                        <a:spAutoFit/>
                      </wps:bodyPr>
                    </wps:wsp>
                  </a:graphicData>
                </a:graphic>
              </wp:inline>
            </w:drawing>
          </mc:Choice>
          <mc:Fallback>
            <w:pict>
              <v:shape w14:anchorId="435DC497" id="Text Box 44" o:spid="_x0000_s1060" type="#_x0000_t202" alt="P10882TB33#y1" style="width:466.4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" strokecolor="red">
                <v:textbox style="mso-fit-shape-to-text:t">
                  <w:txbxContent>
                    <w:p w14:paraId="099E17AC" w14:textId="26AAA68D" w:rsidR="00F827D4" w:rsidRDefault="00F827D4" w:rsidP="00F827D4">
                      <w:pPr>
                        <w:pStyle w:val="Header"/>
                        <w:tabs>
                          <w:tab w:val="clear" w:pos="4320"/>
                          <w:tab w:val="clear" w:pos="8640"/>
                        </w:tabs>
                        <w:spacing w:before="40"/>
                        <w:rPr>
                          <w:rFonts w:cs="Arial"/>
                          <w:b/>
                        </w:rPr>
                      </w:pPr>
                      <w:r w:rsidRPr="0092522B">
                        <w:rPr>
                          <w:rFonts w:cs="Arial"/>
                          <w:b/>
                        </w:rPr>
                        <w:t xml:space="preserve">Reporting Period: </w:t>
                      </w:r>
                      <w:r>
                        <w:rPr>
                          <w:rFonts w:cs="Arial"/>
                          <w:b/>
                        </w:rPr>
                        <w:t>3 months</w:t>
                      </w:r>
                    </w:p>
                    <w:p w14:paraId="10FECB4C" w14:textId="19D2E990" w:rsidR="00F827D4" w:rsidRPr="0092522B" w:rsidRDefault="00F827D4" w:rsidP="00F827D4">
                      <w:pPr>
                        <w:pStyle w:val="Header"/>
                        <w:tabs>
                          <w:tab w:val="clear" w:pos="4320"/>
                          <w:tab w:val="clear" w:pos="8640"/>
                        </w:tabs>
                        <w:spacing w:before="40"/>
                        <w:rPr>
                          <w:rFonts w:cs="Arial"/>
                        </w:rPr>
                      </w:pPr>
                      <w:r w:rsidRPr="0092522B">
                        <w:rPr>
                          <w:rFonts w:cs="Arial"/>
                        </w:rPr>
                        <w:t>Answer questions #1-</w:t>
                      </w:r>
                      <w:r w:rsidR="00EE7395">
                        <w:rPr>
                          <w:rFonts w:cs="Arial"/>
                        </w:rPr>
                        <w:t>2</w:t>
                      </w:r>
                      <w:r w:rsidRPr="0092522B">
                        <w:rPr>
                          <w:rFonts w:cs="Arial"/>
                        </w:rPr>
                        <w:t xml:space="preserve"> based on the staffing structure currently in place at the time that you submit this section of the Survey. The staffing structure should have been in place for at least the past 3 months and reflect the ordinary staffing structure for each applicable hospital outpatient department.</w:t>
                      </w:r>
                    </w:p>
                    <w:p w14:paraId="19C9E3BA" w14:textId="77777777" w:rsidR="00F827D4" w:rsidRPr="00357E20" w:rsidRDefault="00F827D4" w:rsidP="00F827D4">
                      <w:pPr>
                        <w:pStyle w:val="Header"/>
                        <w:tabs>
                          <w:tab w:val="clear" w:pos="4320"/>
                          <w:tab w:val="clear" w:pos="8640"/>
                        </w:tabs>
                        <w:rPr>
                          <w:rFonts w:cs="Arial"/>
                          <w:b/>
                        </w:rPr>
                      </w:pPr>
                    </w:p>
                    <w:p w14:paraId="14077751" w14:textId="7F77815C" w:rsidR="00F827D4" w:rsidRDefault="00F827D4" w:rsidP="00F827D4">
                      <w:r w:rsidRPr="0002601E">
                        <w:rPr>
                          <w:rFonts w:cs="Arial"/>
                          <w:sz w:val="16"/>
                          <w:szCs w:val="16"/>
                        </w:rPr>
                        <w:t xml:space="preserve">Note: As a reminder, the </w:t>
                      </w:r>
                      <w:hyperlink r:id="rId467" w:history="1">
                        <w:r w:rsidRPr="0002601E">
                          <w:rPr>
                            <w:rStyle w:val="Hyperlink"/>
                            <w:rFonts w:cs="Arial"/>
                            <w:sz w:val="16"/>
                            <w:szCs w:val="16"/>
                          </w:rPr>
                          <w:t>Corrections Period</w:t>
                        </w:r>
                      </w:hyperlink>
                      <w:r w:rsidRPr="0002601E">
                        <w:rPr>
                          <w:rFonts w:cs="Arial"/>
                          <w:sz w:val="16"/>
                          <w:szCs w:val="16"/>
                        </w:rPr>
                        <w:t xml:space="preserve"> (December 1-January 31) is reserved for corrections to previously submitted Surveys only. </w:t>
                      </w:r>
                      <w:r w:rsidRPr="0002601E">
                        <w:rPr>
                          <w:rFonts w:cs="Arial"/>
                          <w:bCs/>
                          <w:snapToGrid w:val="0"/>
                          <w:sz w:val="16"/>
                          <w:szCs w:val="16"/>
                        </w:rPr>
                        <w:t>Any updates made to reflect a change in performance must be made prior to the November 30 Late Submission and Performance Update Deadline. Updates made to reflect a change in performance after November 30 will not be scored or publicly reported.</w:t>
                      </w:r>
                    </w:p>
                  </w:txbxContent>
                </v:textbox>
                <w10:anchorlock/>
              </v:shape>
            </w:pict>
          </mc:Fallback>
        </mc:AlternateContent>
      </w:r>
    </w:p>
    <w:p w14:paraId="6F1BE3BC" w14:textId="77777777" w:rsidR="000F6B49" w:rsidRPr="00F827D4" w:rsidRDefault="000F6B49">
      <w:pPr>
        <w:rPr>
          <w:szCs w:val="24"/>
        </w:rPr>
      </w:pPr>
    </w:p>
    <w:tbl>
      <w:tblPr>
        <w:tblStyle w:val="TableGrid2"/>
        <w:tblW w:w="0" w:type="auto"/>
        <w:tblLook w:val="04A0" w:firstRow="1" w:lastRow="0" w:firstColumn="1" w:lastColumn="0" w:noHBand="0" w:noVBand="1"/>
      </w:tblPr>
      <w:tblGrid>
        <w:gridCol w:w="6835"/>
        <w:gridCol w:w="2515"/>
      </w:tblGrid>
      <w:tr w:rsidR="00A92537" w:rsidRPr="00A92537" w14:paraId="67402C29" w14:textId="77777777" w:rsidTr="00357E20">
        <w:trPr>
          <w:trHeight w:val="5040"/>
        </w:trPr>
        <w:tc>
          <w:tcPr>
            <w:tcW w:w="6835" w:type="dxa"/>
            <w:tcMar>
              <w:top w:w="72" w:type="dxa"/>
              <w:left w:w="115" w:type="dxa"/>
              <w:bottom w:w="72" w:type="dxa"/>
              <w:right w:w="115" w:type="dxa"/>
            </w:tcMar>
            <w:vAlign w:val="center"/>
          </w:tcPr>
          <w:p w14:paraId="70AC569F" w14:textId="2B4BF5EC" w:rsidR="001879BA" w:rsidRDefault="00A92537" w:rsidP="00AD309C">
            <w:pPr>
              <w:numPr>
                <w:ilvl w:val="0"/>
                <w:numId w:val="90"/>
              </w:numPr>
              <w:spacing w:after="160" w:line="276" w:lineRule="auto"/>
              <w:contextualSpacing/>
            </w:pPr>
            <w:r w:rsidRPr="00A92537">
              <w:t xml:space="preserve">Is there an </w:t>
            </w:r>
            <w:r w:rsidR="00F054C6">
              <w:t>Advanced Cardiovascular Life Support (</w:t>
            </w:r>
            <w:r w:rsidRPr="00A92537">
              <w:t>ACLS</w:t>
            </w:r>
            <w:r w:rsidR="00F054C6">
              <w:t>)</w:t>
            </w:r>
            <w:r w:rsidRPr="00A92537">
              <w:t xml:space="preserve"> trained </w:t>
            </w:r>
            <w:hyperlink w:anchor="clinicianendnote" w:history="1">
              <w:r w:rsidRPr="00203CF4">
                <w:rPr>
                  <w:rStyle w:val="Hyperlink"/>
                </w:rPr>
                <w:t>clinician</w:t>
              </w:r>
              <w:bookmarkStart w:id="722" w:name="_Ref529284687"/>
            </w:hyperlink>
            <w:bookmarkStart w:id="723" w:name="_Ref534380332"/>
            <w:r w:rsidR="000F0582">
              <w:rPr>
                <w:rStyle w:val="Hyperlink"/>
                <w:rFonts w:ascii="ZWAdobeF" w:hAnsi="ZWAdobeF" w:cs="ZWAdobeF"/>
                <w:color w:val="auto"/>
                <w:sz w:val="2"/>
                <w:szCs w:val="2"/>
                <w:u w:val="none"/>
              </w:rPr>
              <w:t>52F</w:t>
            </w:r>
            <w:r w:rsidR="00BF053F">
              <w:rPr>
                <w:rStyle w:val="Hyperlink"/>
                <w:rFonts w:ascii="ZWAdobeF" w:hAnsi="ZWAdobeF" w:cs="ZWAdobeF"/>
                <w:color w:val="auto"/>
                <w:sz w:val="2"/>
                <w:szCs w:val="2"/>
                <w:u w:val="none"/>
              </w:rPr>
              <w:t>54F</w:t>
            </w:r>
            <w:r w:rsidR="004C7557">
              <w:rPr>
                <w:rStyle w:val="Hyperlink"/>
                <w:rFonts w:ascii="ZWAdobeF" w:hAnsi="ZWAdobeF" w:cs="ZWAdobeF"/>
                <w:color w:val="auto"/>
                <w:sz w:val="2"/>
                <w:szCs w:val="2"/>
                <w:u w:val="none"/>
              </w:rPr>
              <w:t>54F</w:t>
            </w:r>
            <w:r w:rsidR="00C2087D">
              <w:rPr>
                <w:rStyle w:val="Hyperlink"/>
                <w:rFonts w:ascii="ZWAdobeF" w:hAnsi="ZWAdobeF" w:cs="ZWAdobeF"/>
                <w:color w:val="auto"/>
                <w:sz w:val="2"/>
                <w:szCs w:val="2"/>
                <w:u w:val="none"/>
              </w:rPr>
              <w:t>53F</w:t>
            </w:r>
            <w:r w:rsidR="00B55C41">
              <w:rPr>
                <w:rStyle w:val="Hyperlink"/>
                <w:rFonts w:ascii="ZWAdobeF" w:hAnsi="ZWAdobeF" w:cs="ZWAdobeF"/>
                <w:color w:val="auto"/>
                <w:sz w:val="2"/>
                <w:szCs w:val="2"/>
                <w:u w:val="none"/>
              </w:rPr>
              <w:t>53F</w:t>
            </w:r>
            <w:r w:rsidR="006255A6">
              <w:rPr>
                <w:rStyle w:val="Hyperlink"/>
                <w:rFonts w:ascii="ZWAdobeF" w:hAnsi="ZWAdobeF" w:cs="ZWAdobeF"/>
                <w:color w:val="auto"/>
                <w:sz w:val="2"/>
                <w:szCs w:val="2"/>
                <w:u w:val="none"/>
              </w:rPr>
              <w:t>53F</w:t>
            </w:r>
            <w:r w:rsidR="00E453C7">
              <w:rPr>
                <w:rStyle w:val="Hyperlink"/>
                <w:rFonts w:ascii="ZWAdobeF" w:hAnsi="ZWAdobeF" w:cs="ZWAdobeF"/>
                <w:color w:val="auto"/>
                <w:sz w:val="2"/>
                <w:szCs w:val="2"/>
                <w:u w:val="none"/>
              </w:rPr>
              <w:t>53F</w:t>
            </w:r>
            <w:r w:rsidR="00953060">
              <w:rPr>
                <w:rStyle w:val="Hyperlink"/>
                <w:rFonts w:ascii="ZWAdobeF" w:hAnsi="ZWAdobeF" w:cs="ZWAdobeF"/>
                <w:color w:val="auto"/>
                <w:sz w:val="2"/>
                <w:szCs w:val="2"/>
                <w:u w:val="none"/>
              </w:rPr>
              <w:t>53F</w:t>
            </w:r>
            <w:r w:rsidR="00DD04D6">
              <w:rPr>
                <w:rStyle w:val="Hyperlink"/>
                <w:rFonts w:ascii="ZWAdobeF" w:hAnsi="ZWAdobeF" w:cs="ZWAdobeF"/>
                <w:color w:val="auto"/>
                <w:sz w:val="2"/>
                <w:szCs w:val="2"/>
                <w:u w:val="none"/>
              </w:rPr>
              <w:t>53F</w:t>
            </w:r>
            <w:r w:rsidRPr="00A92537">
              <w:rPr>
                <w:vertAlign w:val="superscript"/>
              </w:rPr>
              <w:endnoteReference w:id="55"/>
            </w:r>
            <w:bookmarkEnd w:id="722"/>
            <w:bookmarkEnd w:id="723"/>
            <w:r w:rsidRPr="00A92537">
              <w:t>, as well as a</w:t>
            </w:r>
            <w:r w:rsidR="007F00A8">
              <w:t xml:space="preserve"> second</w:t>
            </w:r>
            <w:r w:rsidR="00026138">
              <w:t xml:space="preserve"> </w:t>
            </w:r>
            <w:hyperlink w:anchor="clinicianendnote" w:history="1">
              <w:r w:rsidR="00026138" w:rsidRPr="00026138">
                <w:rPr>
                  <w:rStyle w:val="Hyperlink"/>
                  <w:szCs w:val="20"/>
                </w:rPr>
                <w:t>clinic</w:t>
              </w:r>
              <w:r w:rsidR="00026138" w:rsidRPr="00026138">
                <w:rPr>
                  <w:rStyle w:val="Hyperlink"/>
                </w:rPr>
                <w:t>ian</w:t>
              </w:r>
            </w:hyperlink>
            <w:r w:rsidR="00026138" w:rsidRPr="00026138">
              <w:rPr>
                <w:vertAlign w:val="superscript"/>
              </w:rPr>
              <w:t>5</w:t>
            </w:r>
            <w:r w:rsidR="009826B3">
              <w:rPr>
                <w:vertAlign w:val="superscript"/>
              </w:rPr>
              <w:t>4</w:t>
            </w:r>
            <w:r w:rsidRPr="00A92537">
              <w:t xml:space="preserve"> (regardless of ACLS training), presen</w:t>
            </w:r>
            <w:r>
              <w:t xml:space="preserve">t at all times </w:t>
            </w:r>
            <w:r w:rsidR="00A62740">
              <w:t xml:space="preserve">and immediately available </w:t>
            </w:r>
            <w:r>
              <w:t xml:space="preserve">in the </w:t>
            </w:r>
            <w:r w:rsidR="00181955">
              <w:t>building</w:t>
            </w:r>
            <w:r w:rsidR="00A9568F" w:rsidRPr="00A92537">
              <w:t xml:space="preserve"> </w:t>
            </w:r>
            <w:r w:rsidRPr="00A92537">
              <w:t>while a</w:t>
            </w:r>
            <w:r w:rsidR="00A62740">
              <w:t>n adult</w:t>
            </w:r>
            <w:r w:rsidRPr="00A92537">
              <w:t xml:space="preserve"> patient </w:t>
            </w:r>
            <w:r w:rsidR="008E7151">
              <w:t>(13 years and older)</w:t>
            </w:r>
            <w:r w:rsidR="008E7151" w:rsidRPr="00A92537">
              <w:t xml:space="preserve"> </w:t>
            </w:r>
            <w:r w:rsidRPr="00A92537">
              <w:t xml:space="preserve">is </w:t>
            </w:r>
            <w:r w:rsidR="00ED0C79">
              <w:t xml:space="preserve">present in the </w:t>
            </w:r>
            <w:r w:rsidR="00181955">
              <w:t>hospital outpatient department</w:t>
            </w:r>
            <w:r w:rsidRPr="00A92537">
              <w:t>?</w:t>
            </w:r>
          </w:p>
          <w:p w14:paraId="1E841018" w14:textId="2347E922" w:rsidR="001879BA" w:rsidRPr="005E0B47" w:rsidRDefault="001879BA" w:rsidP="001879BA">
            <w:pPr>
              <w:spacing w:after="160" w:line="276" w:lineRule="auto"/>
              <w:ind w:left="360"/>
              <w:contextualSpacing/>
              <w:rPr>
                <w:sz w:val="16"/>
                <w:szCs w:val="20"/>
              </w:rPr>
            </w:pPr>
          </w:p>
          <w:p w14:paraId="18C7740D" w14:textId="781B08E3" w:rsidR="00181955" w:rsidRDefault="00181955" w:rsidP="001879BA">
            <w:pPr>
              <w:spacing w:after="160" w:line="276" w:lineRule="auto"/>
              <w:ind w:left="360"/>
              <w:contextualSpacing/>
              <w:rPr>
                <w:i/>
                <w:iCs/>
              </w:rPr>
            </w:pPr>
            <w:r w:rsidRPr="00181955">
              <w:rPr>
                <w:i/>
                <w:iCs/>
              </w:rPr>
              <w:t>Hospitals with more than one hospital outpatient department, including a</w:t>
            </w:r>
            <w:r w:rsidR="00E61B83">
              <w:rPr>
                <w:i/>
                <w:iCs/>
              </w:rPr>
              <w:t xml:space="preserve"> </w:t>
            </w:r>
            <w:r w:rsidRPr="00181955">
              <w:rPr>
                <w:i/>
                <w:iCs/>
              </w:rPr>
              <w:t xml:space="preserve">surgery center or </w:t>
            </w:r>
            <w:r w:rsidR="00507F26">
              <w:rPr>
                <w:i/>
                <w:iCs/>
              </w:rPr>
              <w:t>free-standing</w:t>
            </w:r>
            <w:r w:rsidRPr="00181955">
              <w:rPr>
                <w:i/>
                <w:iCs/>
              </w:rPr>
              <w:t xml:space="preserve"> hospital outpatient department, should respond based on the least intensively staffed </w:t>
            </w:r>
            <w:r w:rsidR="00F021CB">
              <w:rPr>
                <w:i/>
                <w:iCs/>
              </w:rPr>
              <w:t>location</w:t>
            </w:r>
            <w:r w:rsidRPr="00181955">
              <w:rPr>
                <w:i/>
                <w:iCs/>
              </w:rPr>
              <w:t>.</w:t>
            </w:r>
          </w:p>
          <w:p w14:paraId="4030F745" w14:textId="318AEB9B" w:rsidR="00CF7C5B" w:rsidRPr="005E0B47" w:rsidRDefault="00CF7C5B" w:rsidP="001879BA">
            <w:pPr>
              <w:spacing w:after="160" w:line="276" w:lineRule="auto"/>
              <w:ind w:left="360"/>
              <w:contextualSpacing/>
              <w:rPr>
                <w:i/>
                <w:iCs/>
                <w:sz w:val="16"/>
                <w:szCs w:val="20"/>
              </w:rPr>
            </w:pPr>
          </w:p>
          <w:p w14:paraId="397D7579" w14:textId="4E829804" w:rsidR="00CF7C5B" w:rsidRDefault="00CF7C5B" w:rsidP="00CF7C5B">
            <w:pPr>
              <w:spacing w:after="160" w:line="276" w:lineRule="auto"/>
              <w:ind w:left="360"/>
              <w:contextualSpacing/>
              <w:rPr>
                <w:i/>
                <w:iCs/>
              </w:rPr>
            </w:pPr>
            <w:r>
              <w:rPr>
                <w:i/>
                <w:iCs/>
              </w:rPr>
              <w:t xml:space="preserve">Hospitals should report on all hospital outpatient departments or areas of the hospital that perform the outpatient procedures listed in Section </w:t>
            </w:r>
            <w:r w:rsidR="002F3A65">
              <w:rPr>
                <w:i/>
                <w:iCs/>
              </w:rPr>
              <w:t>9</w:t>
            </w:r>
            <w:r>
              <w:rPr>
                <w:i/>
                <w:iCs/>
              </w:rPr>
              <w:t>C and that share the hospital’s license or CCN.</w:t>
            </w:r>
          </w:p>
          <w:p w14:paraId="1368ABDF" w14:textId="549D777A" w:rsidR="00B2256D" w:rsidRPr="005E0B47" w:rsidRDefault="00B2256D" w:rsidP="00CF7C5B">
            <w:pPr>
              <w:spacing w:after="160" w:line="276" w:lineRule="auto"/>
              <w:contextualSpacing/>
              <w:rPr>
                <w:i/>
                <w:sz w:val="16"/>
                <w:szCs w:val="20"/>
              </w:rPr>
            </w:pPr>
          </w:p>
          <w:p w14:paraId="4B6A3CB7" w14:textId="65EB7CC7" w:rsidR="00A92537" w:rsidRPr="001879BA" w:rsidRDefault="008E7151" w:rsidP="00A62740">
            <w:pPr>
              <w:spacing w:after="160" w:line="276" w:lineRule="auto"/>
              <w:ind w:left="360"/>
              <w:contextualSpacing/>
              <w:rPr>
                <w:i/>
              </w:rPr>
            </w:pPr>
            <w:r>
              <w:rPr>
                <w:i/>
                <w:iCs/>
              </w:rPr>
              <w:t>Hospitals that did not perform any applicable procedures on</w:t>
            </w:r>
            <w:r>
              <w:rPr>
                <w:i/>
              </w:rPr>
              <w:t xml:space="preserve"> patients 13 years </w:t>
            </w:r>
            <w:r w:rsidR="0062530A">
              <w:rPr>
                <w:i/>
              </w:rPr>
              <w:t xml:space="preserve">and </w:t>
            </w:r>
            <w:r>
              <w:rPr>
                <w:i/>
              </w:rPr>
              <w:t>old</w:t>
            </w:r>
            <w:r w:rsidR="0062530A">
              <w:rPr>
                <w:i/>
              </w:rPr>
              <w:t>er</w:t>
            </w:r>
            <w:r>
              <w:rPr>
                <w:i/>
              </w:rPr>
              <w:t xml:space="preserve"> during the reporting period should select “</w:t>
            </w:r>
            <w:r w:rsidR="00D47F64">
              <w:rPr>
                <w:i/>
              </w:rPr>
              <w:t>n</w:t>
            </w:r>
            <w:r>
              <w:rPr>
                <w:i/>
              </w:rPr>
              <w:t>ot applicable; pediatric patients only</w:t>
            </w:r>
            <w:r w:rsidR="00EE7395">
              <w:rPr>
                <w:i/>
              </w:rPr>
              <w:t>.</w:t>
            </w:r>
            <w:r>
              <w:rPr>
                <w:i/>
              </w:rPr>
              <w:t>”</w:t>
            </w:r>
            <w:r w:rsidR="00357E20">
              <w:rPr>
                <w:i/>
              </w:rPr>
              <w:t xml:space="preserve"> </w:t>
            </w:r>
            <w:r w:rsidR="00B2256D" w:rsidRPr="00B14E88">
              <w:rPr>
                <w:rFonts w:cs="Arial"/>
                <w:i/>
                <w:snapToGrid w:val="0"/>
                <w:color w:val="000000"/>
              </w:rPr>
              <w:t>The hospital will be scored as “Does Not Apply.”</w:t>
            </w:r>
          </w:p>
        </w:tc>
        <w:tc>
          <w:tcPr>
            <w:tcW w:w="2515" w:type="dxa"/>
            <w:tcMar>
              <w:top w:w="72" w:type="dxa"/>
              <w:left w:w="115" w:type="dxa"/>
              <w:bottom w:w="72" w:type="dxa"/>
              <w:right w:w="115" w:type="dxa"/>
            </w:tcMar>
            <w:vAlign w:val="center"/>
          </w:tcPr>
          <w:p w14:paraId="59A31EAE" w14:textId="1F4F37F3" w:rsidR="00A92537" w:rsidRPr="004F63C1" w:rsidRDefault="00A92537" w:rsidP="00AD309C">
            <w:pPr>
              <w:pStyle w:val="ListParagraph"/>
              <w:numPr>
                <w:ilvl w:val="0"/>
                <w:numId w:val="367"/>
              </w:numPr>
              <w:spacing w:line="276" w:lineRule="auto"/>
              <w:rPr>
                <w:iCs/>
              </w:rPr>
            </w:pPr>
            <w:r w:rsidRPr="004F63C1">
              <w:rPr>
                <w:iCs/>
              </w:rPr>
              <w:t>Yes</w:t>
            </w:r>
          </w:p>
          <w:p w14:paraId="6F3A8FA9" w14:textId="751B7B90" w:rsidR="00461EED" w:rsidRPr="004F63C1" w:rsidRDefault="00A92537" w:rsidP="00AD309C">
            <w:pPr>
              <w:pStyle w:val="ListParagraph"/>
              <w:numPr>
                <w:ilvl w:val="0"/>
                <w:numId w:val="367"/>
              </w:numPr>
              <w:spacing w:line="276" w:lineRule="auto"/>
              <w:rPr>
                <w:iCs/>
              </w:rPr>
            </w:pPr>
            <w:r w:rsidRPr="004F63C1">
              <w:rPr>
                <w:iCs/>
              </w:rPr>
              <w:t>No</w:t>
            </w:r>
          </w:p>
          <w:p w14:paraId="34A634B1" w14:textId="77777777" w:rsidR="00461EED" w:rsidRPr="006E0696" w:rsidRDefault="00461EED" w:rsidP="00AD309C">
            <w:pPr>
              <w:pStyle w:val="ListParagraph"/>
              <w:numPr>
                <w:ilvl w:val="0"/>
                <w:numId w:val="367"/>
              </w:numPr>
              <w:spacing w:line="276" w:lineRule="auto"/>
              <w:rPr>
                <w:iCs/>
              </w:rPr>
            </w:pPr>
            <w:r w:rsidRPr="004F63C1">
              <w:rPr>
                <w:iCs/>
              </w:rPr>
              <w:t>Not applicable; pediatric patients only</w:t>
            </w:r>
          </w:p>
        </w:tc>
      </w:tr>
      <w:tr w:rsidR="00A92537" w:rsidRPr="00A92537" w14:paraId="7D4EC7EB" w14:textId="77777777" w:rsidTr="00357E20">
        <w:trPr>
          <w:trHeight w:val="5040"/>
        </w:trPr>
        <w:tc>
          <w:tcPr>
            <w:tcW w:w="6835" w:type="dxa"/>
            <w:tcMar>
              <w:top w:w="72" w:type="dxa"/>
              <w:left w:w="115" w:type="dxa"/>
              <w:bottom w:w="72" w:type="dxa"/>
              <w:right w:w="115" w:type="dxa"/>
            </w:tcMar>
            <w:vAlign w:val="center"/>
          </w:tcPr>
          <w:p w14:paraId="777CFD36" w14:textId="76912943" w:rsidR="00A92537" w:rsidRPr="00A711A3" w:rsidRDefault="00A92537" w:rsidP="00AD309C">
            <w:pPr>
              <w:numPr>
                <w:ilvl w:val="0"/>
                <w:numId w:val="90"/>
              </w:numPr>
              <w:spacing w:line="276" w:lineRule="auto"/>
              <w:contextualSpacing/>
            </w:pPr>
            <w:r w:rsidRPr="00A92537">
              <w:t xml:space="preserve">Is there a </w:t>
            </w:r>
            <w:r w:rsidR="00793BC2">
              <w:t>Pediatric Advanced Life Support (</w:t>
            </w:r>
            <w:r w:rsidRPr="00A92537">
              <w:t>PALS</w:t>
            </w:r>
            <w:r w:rsidR="00793BC2">
              <w:t>)</w:t>
            </w:r>
            <w:r w:rsidRPr="00A92537">
              <w:t xml:space="preserve"> trained </w:t>
            </w:r>
            <w:hyperlink w:anchor="clinicianendnote" w:history="1">
              <w:r w:rsidRPr="00A424DD">
                <w:rPr>
                  <w:rStyle w:val="Hyperlink"/>
                </w:rPr>
                <w:t>clinician</w:t>
              </w:r>
            </w:hyperlink>
            <w:r w:rsidR="005B38C4" w:rsidRPr="005B38C4">
              <w:rPr>
                <w:vertAlign w:val="superscript"/>
              </w:rPr>
              <w:t>5</w:t>
            </w:r>
            <w:r w:rsidR="002740E6">
              <w:rPr>
                <w:vertAlign w:val="superscript"/>
              </w:rPr>
              <w:t>4</w:t>
            </w:r>
            <w:r w:rsidRPr="00A92537">
              <w:t>, as well as a</w:t>
            </w:r>
            <w:r w:rsidR="007F00A8">
              <w:t xml:space="preserve"> second</w:t>
            </w:r>
            <w:r w:rsidRPr="00A92537">
              <w:t xml:space="preserve"> </w:t>
            </w:r>
            <w:hyperlink w:anchor="clinicianendnote" w:history="1">
              <w:r w:rsidR="007F00A8" w:rsidRPr="00FF13AC">
                <w:rPr>
                  <w:rStyle w:val="Hyperlink"/>
                </w:rPr>
                <w:t>clinician</w:t>
              </w:r>
            </w:hyperlink>
            <w:r w:rsidR="005B38C4" w:rsidRPr="005B38C4">
              <w:rPr>
                <w:vertAlign w:val="superscript"/>
              </w:rPr>
              <w:t>5</w:t>
            </w:r>
            <w:r w:rsidR="002740E6">
              <w:rPr>
                <w:vertAlign w:val="superscript"/>
              </w:rPr>
              <w:t>4</w:t>
            </w:r>
            <w:r w:rsidR="007819B9" w:rsidRPr="00FF13AC">
              <w:t xml:space="preserve"> (regardless of PALS training)</w:t>
            </w:r>
            <w:r w:rsidR="007819B9">
              <w:t xml:space="preserve">, </w:t>
            </w:r>
            <w:r w:rsidRPr="00A92537">
              <w:t>present at all times</w:t>
            </w:r>
            <w:r w:rsidR="00F01E73">
              <w:t xml:space="preserve"> and immediately available</w:t>
            </w:r>
            <w:r w:rsidRPr="00A92537">
              <w:t xml:space="preserve"> in t</w:t>
            </w:r>
            <w:r>
              <w:t xml:space="preserve">he </w:t>
            </w:r>
            <w:r w:rsidR="00451BBA">
              <w:t>building</w:t>
            </w:r>
            <w:r w:rsidR="00793BC2" w:rsidRPr="00A711A3">
              <w:t xml:space="preserve"> </w:t>
            </w:r>
            <w:r w:rsidRPr="00A711A3">
              <w:t xml:space="preserve">while a </w:t>
            </w:r>
            <w:r w:rsidR="001C1A34" w:rsidRPr="00A711A3">
              <w:t xml:space="preserve">pediatric </w:t>
            </w:r>
            <w:r w:rsidRPr="00A711A3">
              <w:t>patient</w:t>
            </w:r>
            <w:r w:rsidR="00ED0C79">
              <w:t xml:space="preserve"> (infant through 12 years)</w:t>
            </w:r>
            <w:r w:rsidRPr="00A711A3">
              <w:t xml:space="preserve"> is </w:t>
            </w:r>
            <w:r w:rsidR="00ED0C79">
              <w:t xml:space="preserve">present in the </w:t>
            </w:r>
            <w:r w:rsidR="00451BBA">
              <w:t>hospital outpatient department</w:t>
            </w:r>
            <w:r w:rsidRPr="00A711A3">
              <w:t>?</w:t>
            </w:r>
          </w:p>
          <w:p w14:paraId="110AFC54" w14:textId="64EE0429" w:rsidR="001C1A34" w:rsidRDefault="001C1A34" w:rsidP="001C1A34">
            <w:pPr>
              <w:spacing w:line="276" w:lineRule="auto"/>
              <w:ind w:left="360"/>
              <w:contextualSpacing/>
            </w:pPr>
          </w:p>
          <w:p w14:paraId="3AC2D7FD" w14:textId="4B783E26" w:rsidR="00451BBA" w:rsidRDefault="00451BBA" w:rsidP="00451BBA">
            <w:pPr>
              <w:spacing w:after="160" w:line="276" w:lineRule="auto"/>
              <w:ind w:left="360"/>
              <w:contextualSpacing/>
              <w:rPr>
                <w:i/>
                <w:iCs/>
              </w:rPr>
            </w:pPr>
            <w:r w:rsidRPr="00181955">
              <w:rPr>
                <w:i/>
                <w:iCs/>
              </w:rPr>
              <w:t>Hospitals with more than one hospital outpatient department, including a</w:t>
            </w:r>
            <w:r>
              <w:rPr>
                <w:i/>
                <w:iCs/>
              </w:rPr>
              <w:t xml:space="preserve"> </w:t>
            </w:r>
            <w:r w:rsidRPr="00181955">
              <w:rPr>
                <w:i/>
                <w:iCs/>
              </w:rPr>
              <w:t xml:space="preserve">surgery center or </w:t>
            </w:r>
            <w:r w:rsidR="00507F26">
              <w:rPr>
                <w:i/>
                <w:iCs/>
              </w:rPr>
              <w:t>free-standing</w:t>
            </w:r>
            <w:r w:rsidRPr="00181955">
              <w:rPr>
                <w:i/>
                <w:iCs/>
              </w:rPr>
              <w:t xml:space="preserve"> hospital outpatient department, should respond based on the least intensively staffed </w:t>
            </w:r>
            <w:r w:rsidR="00F021CB">
              <w:rPr>
                <w:i/>
                <w:iCs/>
              </w:rPr>
              <w:t>location</w:t>
            </w:r>
            <w:r w:rsidRPr="00181955">
              <w:rPr>
                <w:i/>
                <w:iCs/>
              </w:rPr>
              <w:t>.</w:t>
            </w:r>
          </w:p>
          <w:p w14:paraId="1A228E89" w14:textId="77777777" w:rsidR="00451BBA" w:rsidRPr="00A711A3" w:rsidRDefault="00451BBA" w:rsidP="001C1A34">
            <w:pPr>
              <w:spacing w:line="276" w:lineRule="auto"/>
              <w:ind w:left="360"/>
              <w:contextualSpacing/>
            </w:pPr>
          </w:p>
          <w:p w14:paraId="39A1C88A" w14:textId="63459721" w:rsidR="00CD0E49" w:rsidRDefault="00CD0E49" w:rsidP="00CD0E49">
            <w:pPr>
              <w:spacing w:after="160" w:line="276" w:lineRule="auto"/>
              <w:ind w:left="360"/>
              <w:contextualSpacing/>
              <w:rPr>
                <w:i/>
                <w:iCs/>
              </w:rPr>
            </w:pPr>
            <w:r>
              <w:rPr>
                <w:i/>
                <w:iCs/>
              </w:rPr>
              <w:t xml:space="preserve">Hospitals should report on all hospital outpatient departments or areas of the hospital that perform the outpatient procedures listed in Section </w:t>
            </w:r>
            <w:r w:rsidR="002F3A65">
              <w:rPr>
                <w:i/>
                <w:iCs/>
              </w:rPr>
              <w:t>9</w:t>
            </w:r>
            <w:r>
              <w:rPr>
                <w:i/>
                <w:iCs/>
              </w:rPr>
              <w:t>C and that share the hospital’s license or CCN.</w:t>
            </w:r>
          </w:p>
          <w:p w14:paraId="37912E00" w14:textId="77777777" w:rsidR="003C56C1" w:rsidRDefault="003C56C1" w:rsidP="00F01E73">
            <w:pPr>
              <w:spacing w:line="276" w:lineRule="auto"/>
              <w:ind w:left="360"/>
              <w:contextualSpacing/>
              <w:rPr>
                <w:i/>
              </w:rPr>
            </w:pPr>
          </w:p>
          <w:p w14:paraId="6D7ED1CB" w14:textId="6C8221CB" w:rsidR="001C1A34" w:rsidRPr="001C1A34" w:rsidRDefault="00CA6E55" w:rsidP="00F01E73">
            <w:pPr>
              <w:spacing w:line="276" w:lineRule="auto"/>
              <w:ind w:left="360"/>
              <w:contextualSpacing/>
              <w:rPr>
                <w:i/>
              </w:rPr>
            </w:pPr>
            <w:r>
              <w:rPr>
                <w:i/>
                <w:iCs/>
              </w:rPr>
              <w:t xml:space="preserve">Hospitals </w:t>
            </w:r>
            <w:r w:rsidRPr="00E4578D">
              <w:rPr>
                <w:i/>
                <w:iCs/>
              </w:rPr>
              <w:t>that do not care for pediatric patients should select “</w:t>
            </w:r>
            <w:r w:rsidR="00D47F64">
              <w:rPr>
                <w:i/>
                <w:iCs/>
              </w:rPr>
              <w:t>n</w:t>
            </w:r>
            <w:r w:rsidRPr="00E4578D">
              <w:rPr>
                <w:i/>
                <w:iCs/>
              </w:rPr>
              <w:t xml:space="preserve">ot </w:t>
            </w:r>
            <w:r w:rsidR="00D47F64">
              <w:rPr>
                <w:i/>
                <w:iCs/>
              </w:rPr>
              <w:t>a</w:t>
            </w:r>
            <w:r w:rsidRPr="00E4578D">
              <w:rPr>
                <w:i/>
                <w:iCs/>
              </w:rPr>
              <w:t>pplicable; adult patients only” and hospitals that only performed applicable pediatric procedures on pediatric patients 13 years and older during the reporting period should select “</w:t>
            </w:r>
            <w:r w:rsidR="00D47F64">
              <w:rPr>
                <w:i/>
                <w:iCs/>
              </w:rPr>
              <w:t>n</w:t>
            </w:r>
            <w:r w:rsidRPr="00E4578D">
              <w:rPr>
                <w:i/>
                <w:iCs/>
              </w:rPr>
              <w:t xml:space="preserve">ot applicable; pediatric patients are all aged 13-17,” regardless of the presence of clinicians trained in PALS. </w:t>
            </w:r>
            <w:r w:rsidR="00B2256D" w:rsidRPr="00B14E88">
              <w:rPr>
                <w:rFonts w:cs="Arial"/>
                <w:i/>
                <w:snapToGrid w:val="0"/>
                <w:color w:val="000000"/>
              </w:rPr>
              <w:t>The hospital will be scored as “Does Not Apply.”</w:t>
            </w:r>
          </w:p>
        </w:tc>
        <w:tc>
          <w:tcPr>
            <w:tcW w:w="2515" w:type="dxa"/>
            <w:tcMar>
              <w:top w:w="72" w:type="dxa"/>
              <w:left w:w="115" w:type="dxa"/>
              <w:bottom w:w="72" w:type="dxa"/>
              <w:right w:w="115" w:type="dxa"/>
            </w:tcMar>
            <w:vAlign w:val="center"/>
          </w:tcPr>
          <w:p w14:paraId="7181ED93" w14:textId="392A033E" w:rsidR="00A92537" w:rsidRPr="006E0696" w:rsidRDefault="00A92537" w:rsidP="00AD309C">
            <w:pPr>
              <w:pStyle w:val="ListParagraph"/>
              <w:numPr>
                <w:ilvl w:val="0"/>
                <w:numId w:val="368"/>
              </w:numPr>
              <w:spacing w:line="276" w:lineRule="auto"/>
              <w:rPr>
                <w:iCs/>
              </w:rPr>
            </w:pPr>
            <w:r w:rsidRPr="006E0696">
              <w:rPr>
                <w:iCs/>
              </w:rPr>
              <w:t>Yes</w:t>
            </w:r>
          </w:p>
          <w:p w14:paraId="0517EC56" w14:textId="7BFA55C7" w:rsidR="001C1A34" w:rsidRPr="006E0696" w:rsidRDefault="00A92537" w:rsidP="00AD309C">
            <w:pPr>
              <w:pStyle w:val="ListParagraph"/>
              <w:numPr>
                <w:ilvl w:val="0"/>
                <w:numId w:val="368"/>
              </w:numPr>
              <w:spacing w:line="276" w:lineRule="auto"/>
              <w:rPr>
                <w:iCs/>
              </w:rPr>
            </w:pPr>
            <w:r w:rsidRPr="006E0696">
              <w:rPr>
                <w:iCs/>
              </w:rPr>
              <w:t>No</w:t>
            </w:r>
          </w:p>
          <w:p w14:paraId="5D5057D7" w14:textId="77777777" w:rsidR="001C1A34" w:rsidRDefault="001C1A34" w:rsidP="00AD309C">
            <w:pPr>
              <w:pStyle w:val="ListParagraph"/>
              <w:numPr>
                <w:ilvl w:val="0"/>
                <w:numId w:val="368"/>
              </w:numPr>
              <w:spacing w:line="276" w:lineRule="auto"/>
              <w:rPr>
                <w:iCs/>
              </w:rPr>
            </w:pPr>
            <w:r w:rsidRPr="006E0696">
              <w:rPr>
                <w:iCs/>
              </w:rPr>
              <w:t>Not applicable; adult patients only</w:t>
            </w:r>
          </w:p>
          <w:p w14:paraId="01D2568B" w14:textId="5FBE6C88" w:rsidR="00B26BB4" w:rsidRPr="006E0696" w:rsidRDefault="00B26BB4" w:rsidP="00AD309C">
            <w:pPr>
              <w:pStyle w:val="ListParagraph"/>
              <w:numPr>
                <w:ilvl w:val="0"/>
                <w:numId w:val="368"/>
              </w:numPr>
              <w:spacing w:line="276" w:lineRule="auto"/>
              <w:rPr>
                <w:iCs/>
              </w:rPr>
            </w:pPr>
            <w:r w:rsidRPr="00E4578D">
              <w:rPr>
                <w:iCs/>
              </w:rPr>
              <w:t>Not applicable; pediatric patients are all aged 13-17</w:t>
            </w:r>
          </w:p>
        </w:tc>
      </w:tr>
    </w:tbl>
    <w:p w14:paraId="7C3D9F65" w14:textId="77777777" w:rsidR="00461EED" w:rsidRDefault="00461EED">
      <w:r>
        <w:rPr>
          <w:b/>
        </w:rPr>
        <w:br w:type="page"/>
      </w:r>
    </w:p>
    <w:p w14:paraId="216B87AF" w14:textId="036F5277" w:rsidR="00804EE5" w:rsidRDefault="002F3A65" w:rsidP="00CF5A6E">
      <w:pPr>
        <w:pStyle w:val="Heading2"/>
      </w:pPr>
      <w:bookmarkStart w:id="725" w:name="_Toc225877836"/>
      <w:r>
        <w:t>9C: Volume of Procedures</w:t>
      </w:r>
      <w:r w:rsidR="00BF1A6A">
        <w:t xml:space="preserve"> (Optional)</w:t>
      </w:r>
      <w:bookmarkEnd w:id="725"/>
    </w:p>
    <w:p w14:paraId="7640BCAF" w14:textId="77777777" w:rsidR="002F3A65" w:rsidRPr="00245AFD" w:rsidRDefault="002F3A65" w:rsidP="007C5AC4">
      <w:pPr>
        <w:pStyle w:val="BodyText3"/>
        <w:rPr>
          <w:rFonts w:cs="Arial"/>
          <w:b/>
          <w:color w:val="FF0000"/>
        </w:rPr>
      </w:pPr>
    </w:p>
    <w:p w14:paraId="0F40824F" w14:textId="042AA89F" w:rsidR="00D3503C" w:rsidRDefault="00D3503C" w:rsidP="00D3503C">
      <w:pPr>
        <w:rPr>
          <w:rFonts w:cs="Arial"/>
          <w:snapToGrid w:val="0"/>
        </w:rPr>
      </w:pPr>
      <w:r w:rsidRPr="009A5185">
        <w:rPr>
          <w:rFonts w:cs="Arial"/>
          <w:snapToGrid w:val="0"/>
        </w:rPr>
        <w:t xml:space="preserve">Hospitals that share a </w:t>
      </w:r>
      <w:r>
        <w:rPr>
          <w:rFonts w:cs="Arial"/>
          <w:snapToGrid w:val="0"/>
        </w:rPr>
        <w:t>CMS Certification Number</w:t>
      </w:r>
      <w:r w:rsidRPr="009A5185">
        <w:rPr>
          <w:rFonts w:cs="Arial"/>
          <w:snapToGrid w:val="0"/>
        </w:rPr>
        <w:t xml:space="preserve"> are required to report by facility. Please carefully review </w:t>
      </w:r>
      <w:hyperlink r:id="rId468" w:history="1">
        <w:r w:rsidRPr="009A5185">
          <w:rPr>
            <w:rStyle w:val="Hyperlink"/>
            <w:rFonts w:cs="Arial"/>
            <w:snapToGrid w:val="0"/>
          </w:rPr>
          <w:t>Leapfrog’s Multi-Campus Reporting Policy</w:t>
        </w:r>
      </w:hyperlink>
      <w:r w:rsidRPr="009A5185">
        <w:rPr>
          <w:rFonts w:cs="Arial"/>
          <w:snapToGrid w:val="0"/>
        </w:rPr>
        <w:t>.</w:t>
      </w:r>
    </w:p>
    <w:p w14:paraId="51AE9C41" w14:textId="77777777" w:rsidR="00D3503C" w:rsidRPr="00245AFD" w:rsidRDefault="00D3503C" w:rsidP="007C5AC4">
      <w:pPr>
        <w:pStyle w:val="BodyText3"/>
        <w:rPr>
          <w:rFonts w:cs="Arial"/>
          <w:b/>
          <w:color w:val="FF0000"/>
        </w:rPr>
      </w:pPr>
    </w:p>
    <w:p w14:paraId="35410FA7" w14:textId="77777777" w:rsidR="007C5AC4" w:rsidRPr="009A5185" w:rsidRDefault="007C5AC4" w:rsidP="007C5AC4">
      <w:pPr>
        <w:pStyle w:val="BodyText3"/>
        <w:rPr>
          <w:rFonts w:cs="Arial"/>
          <w:b/>
          <w:color w:val="FF0000"/>
        </w:rPr>
      </w:pPr>
      <w:r w:rsidRPr="009A5185">
        <w:rPr>
          <w:rFonts w:cs="Arial"/>
          <w:b/>
          <w:color w:val="FF0000"/>
        </w:rPr>
        <w:t>Important Notes:</w:t>
      </w:r>
    </w:p>
    <w:p w14:paraId="1C0253A9" w14:textId="77777777" w:rsidR="007C5AC4" w:rsidRPr="00245AFD" w:rsidRDefault="007C5AC4" w:rsidP="007C5AC4">
      <w:pPr>
        <w:pStyle w:val="BodyText3"/>
        <w:rPr>
          <w:rFonts w:cs="Arial"/>
          <w:b/>
          <w:color w:val="FF0000"/>
        </w:rPr>
      </w:pPr>
    </w:p>
    <w:p w14:paraId="77C34941" w14:textId="2B825A32" w:rsidR="003023AB" w:rsidRPr="00D51874" w:rsidRDefault="00DA07D2" w:rsidP="003023AB">
      <w:pPr>
        <w:rPr>
          <w:rFonts w:cs="Arial"/>
          <w:lang w:eastAsia="ja-JP"/>
        </w:rPr>
      </w:pPr>
      <w:r w:rsidRPr="00D25C4F">
        <w:rPr>
          <w:rFonts w:cs="Arial"/>
          <w:lang w:eastAsia="ja-JP"/>
        </w:rPr>
        <w:t xml:space="preserve">Note </w:t>
      </w:r>
      <w:r>
        <w:rPr>
          <w:rFonts w:cs="Arial"/>
          <w:lang w:eastAsia="ja-JP"/>
        </w:rPr>
        <w:t>1</w:t>
      </w:r>
      <w:r w:rsidRPr="00D25C4F">
        <w:rPr>
          <w:rFonts w:cs="Arial"/>
          <w:lang w:eastAsia="ja-JP"/>
        </w:rPr>
        <w:t xml:space="preserve">: </w:t>
      </w:r>
      <w:r w:rsidR="003023AB" w:rsidRPr="00D51874">
        <w:rPr>
          <w:rFonts w:cs="Arial"/>
          <w:lang w:eastAsia="ja-JP"/>
        </w:rPr>
        <w:t xml:space="preserve">CPT Codes are provided in downloadable </w:t>
      </w:r>
      <w:r w:rsidR="00E51CC3">
        <w:rPr>
          <w:rFonts w:cs="Arial"/>
          <w:lang w:eastAsia="ja-JP"/>
        </w:rPr>
        <w:t>E</w:t>
      </w:r>
      <w:r w:rsidR="003023AB" w:rsidRPr="00D51874">
        <w:rPr>
          <w:rFonts w:cs="Arial"/>
          <w:lang w:eastAsia="ja-JP"/>
        </w:rPr>
        <w:t xml:space="preserve">xcel files </w:t>
      </w:r>
      <w:r w:rsidR="003023AB">
        <w:rPr>
          <w:rFonts w:cs="Arial"/>
          <w:lang w:eastAsia="ja-JP"/>
        </w:rPr>
        <w:t>on the Survey Dashboard</w:t>
      </w:r>
      <w:r w:rsidR="003023AB" w:rsidRPr="00D51874">
        <w:rPr>
          <w:rFonts w:cs="Arial"/>
          <w:lang w:eastAsia="ja-JP"/>
        </w:rPr>
        <w:t xml:space="preserve">. To access the files, click the CPT Code Workbook button </w:t>
      </w:r>
      <w:r w:rsidR="003023AB" w:rsidRPr="00D51874">
        <w:rPr>
          <w:rStyle w:val="Hyperlink"/>
          <w:rFonts w:cs="Arial"/>
          <w:color w:val="auto"/>
          <w:u w:val="none"/>
          <w:lang w:eastAsia="ja-JP"/>
        </w:rPr>
        <w:t>next to Section 9</w:t>
      </w:r>
      <w:r w:rsidR="003023AB">
        <w:rPr>
          <w:rStyle w:val="Hyperlink"/>
          <w:rFonts w:cs="Arial"/>
          <w:color w:val="auto"/>
          <w:u w:val="none"/>
          <w:lang w:eastAsia="ja-JP"/>
        </w:rPr>
        <w:t>.</w:t>
      </w:r>
      <w:r w:rsidR="003023AB" w:rsidRPr="00D51874">
        <w:rPr>
          <w:rStyle w:val="Hyperlink"/>
          <w:rFonts w:cs="Arial"/>
          <w:color w:val="auto"/>
          <w:u w:val="none"/>
          <w:lang w:eastAsia="ja-JP"/>
        </w:rPr>
        <w:t xml:space="preserve"> </w:t>
      </w:r>
      <w:r w:rsidR="003023AB">
        <w:rPr>
          <w:rFonts w:cs="Arial"/>
          <w:lang w:eastAsia="ja-JP"/>
        </w:rPr>
        <w:t>Y</w:t>
      </w:r>
      <w:r w:rsidR="003023AB" w:rsidRPr="00D51874">
        <w:rPr>
          <w:rFonts w:cs="Arial"/>
          <w:lang w:eastAsia="ja-JP"/>
        </w:rPr>
        <w:t>ou will be required to complete the American Medical Association’s Terms of Use</w:t>
      </w:r>
      <w:r w:rsidR="003023AB" w:rsidRPr="00D51874">
        <w:rPr>
          <w:lang w:eastAsia="ja-JP"/>
        </w:rPr>
        <w:t xml:space="preserve"> before downloading the </w:t>
      </w:r>
      <w:r w:rsidR="00E51CC3">
        <w:rPr>
          <w:lang w:eastAsia="ja-JP"/>
        </w:rPr>
        <w:t>E</w:t>
      </w:r>
      <w:r w:rsidR="003023AB" w:rsidRPr="00D51874">
        <w:rPr>
          <w:lang w:eastAsia="ja-JP"/>
        </w:rPr>
        <w:t xml:space="preserve">xcel file and using the individual CPT codes to query </w:t>
      </w:r>
      <w:r w:rsidR="003023AB">
        <w:rPr>
          <w:lang w:eastAsia="ja-JP"/>
        </w:rPr>
        <w:t xml:space="preserve">your </w:t>
      </w:r>
      <w:r w:rsidR="003023AB" w:rsidRPr="00D51874">
        <w:rPr>
          <w:lang w:eastAsia="ja-JP"/>
        </w:rPr>
        <w:t xml:space="preserve">EHR or billing system. </w:t>
      </w:r>
      <w:r w:rsidR="003023AB" w:rsidRPr="00D51874">
        <w:rPr>
          <w:rFonts w:cs="Arial"/>
          <w:lang w:eastAsia="ja-JP"/>
        </w:rPr>
        <w:t xml:space="preserve">You are only required to complete the Terms of Use once per Survey Cycle (April 1 – November 30). </w:t>
      </w:r>
    </w:p>
    <w:p w14:paraId="19DE41D8" w14:textId="77777777" w:rsidR="003023AB" w:rsidRPr="00D51874" w:rsidRDefault="003023AB" w:rsidP="003023AB">
      <w:pPr>
        <w:rPr>
          <w:rFonts w:cs="Arial"/>
          <w:lang w:eastAsia="ja-JP"/>
        </w:rPr>
      </w:pPr>
    </w:p>
    <w:p w14:paraId="50C172FA" w14:textId="31011B97" w:rsidR="00DA07D2" w:rsidRDefault="003023AB" w:rsidP="00FB41BD">
      <w:pPr>
        <w:rPr>
          <w:rFonts w:cs="Arial"/>
          <w:lang w:eastAsia="ja-JP"/>
        </w:rPr>
      </w:pPr>
      <w:r>
        <w:rPr>
          <w:rFonts w:cs="Arial"/>
          <w:lang w:eastAsia="ja-JP"/>
        </w:rPr>
        <w:t xml:space="preserve">The </w:t>
      </w:r>
      <w:r w:rsidRPr="00D51874">
        <w:rPr>
          <w:rFonts w:cs="Arial"/>
          <w:lang w:eastAsia="ja-JP"/>
        </w:rPr>
        <w:t>CPT Code Workbook</w:t>
      </w:r>
      <w:r>
        <w:rPr>
          <w:rFonts w:cs="Arial"/>
          <w:lang w:eastAsia="ja-JP"/>
        </w:rPr>
        <w:t>s</w:t>
      </w:r>
      <w:r w:rsidRPr="00D51874">
        <w:rPr>
          <w:rFonts w:cs="Arial"/>
          <w:lang w:eastAsia="ja-JP"/>
        </w:rPr>
        <w:t xml:space="preserve"> (</w:t>
      </w:r>
      <w:r w:rsidR="00E51CC3">
        <w:rPr>
          <w:rFonts w:cs="Arial"/>
          <w:lang w:eastAsia="ja-JP"/>
        </w:rPr>
        <w:t>E</w:t>
      </w:r>
      <w:r w:rsidRPr="00D51874">
        <w:rPr>
          <w:rFonts w:cs="Arial"/>
          <w:lang w:eastAsia="ja-JP"/>
        </w:rPr>
        <w:t>xcel file</w:t>
      </w:r>
      <w:r>
        <w:rPr>
          <w:rFonts w:cs="Arial"/>
          <w:lang w:eastAsia="ja-JP"/>
        </w:rPr>
        <w:t>s</w:t>
      </w:r>
      <w:r w:rsidRPr="00D51874">
        <w:rPr>
          <w:rFonts w:cs="Arial"/>
          <w:lang w:eastAsia="ja-JP"/>
        </w:rPr>
        <w:t xml:space="preserve">) are labeled </w:t>
      </w:r>
      <w:r>
        <w:rPr>
          <w:rFonts w:cs="Arial"/>
          <w:lang w:eastAsia="ja-JP"/>
        </w:rPr>
        <w:t xml:space="preserve">for </w:t>
      </w:r>
      <w:r w:rsidRPr="00D51874">
        <w:rPr>
          <w:rFonts w:cs="Arial"/>
          <w:lang w:eastAsia="ja-JP"/>
        </w:rPr>
        <w:t xml:space="preserve">Section 3A: Total Hip Replacement, Total Knee Replacement, and Bariatric Surgery for Weight Loss and Section 9C: Volume of Procedures. </w:t>
      </w:r>
      <w:r w:rsidR="00FB41BD" w:rsidRPr="00D51874">
        <w:rPr>
          <w:rFonts w:cs="Arial"/>
          <w:lang w:eastAsia="ja-JP"/>
        </w:rPr>
        <w:t>Please note</w:t>
      </w:r>
      <w:r w:rsidR="00FB41BD">
        <w:rPr>
          <w:rFonts w:cs="Arial"/>
          <w:lang w:eastAsia="ja-JP"/>
        </w:rPr>
        <w:t>, i</w:t>
      </w:r>
      <w:r w:rsidR="00FB41BD" w:rsidRPr="00FB41BD">
        <w:rPr>
          <w:rFonts w:cs="Arial"/>
          <w:lang w:eastAsia="ja-JP"/>
        </w:rPr>
        <w:t>f you are part of a hospital system, each hospital will need to complete the Terms of Use. This is a requirement of the American Medical Association.</w:t>
      </w:r>
    </w:p>
    <w:p w14:paraId="276A8C13" w14:textId="77777777" w:rsidR="00FB41BD" w:rsidRPr="003C56C1" w:rsidRDefault="00FB41BD" w:rsidP="00FB41BD">
      <w:pPr>
        <w:rPr>
          <w:rFonts w:cs="Arial"/>
        </w:rPr>
      </w:pPr>
    </w:p>
    <w:p w14:paraId="3FD9EBBA" w14:textId="353626BF" w:rsidR="007C5AC4" w:rsidRDefault="007C5AC4" w:rsidP="00D84506">
      <w:pPr>
        <w:pStyle w:val="BodyText3"/>
        <w:rPr>
          <w:rFonts w:cs="Arial"/>
          <w:color w:val="auto"/>
        </w:rPr>
      </w:pPr>
      <w:r w:rsidRPr="009A5185">
        <w:rPr>
          <w:rFonts w:cs="Arial"/>
          <w:color w:val="auto"/>
        </w:rPr>
        <w:t xml:space="preserve">Note </w:t>
      </w:r>
      <w:r w:rsidR="003C56C1">
        <w:rPr>
          <w:rFonts w:cs="Arial"/>
          <w:color w:val="auto"/>
        </w:rPr>
        <w:t>2</w:t>
      </w:r>
      <w:r w:rsidRPr="009A5185">
        <w:rPr>
          <w:rFonts w:cs="Arial"/>
          <w:color w:val="auto"/>
        </w:rPr>
        <w:t xml:space="preserve">: </w:t>
      </w:r>
      <w:r w:rsidR="00590A28">
        <w:rPr>
          <w:rFonts w:cs="Arial"/>
          <w:color w:val="auto"/>
        </w:rPr>
        <w:t>This subsection</w:t>
      </w:r>
      <w:r w:rsidR="00206A52">
        <w:rPr>
          <w:rFonts w:cs="Arial"/>
          <w:color w:val="auto"/>
        </w:rPr>
        <w:t xml:space="preserve"> is optional and</w:t>
      </w:r>
      <w:r w:rsidR="00D84506" w:rsidRPr="00D84506">
        <w:rPr>
          <w:rFonts w:cs="Arial"/>
          <w:color w:val="auto"/>
        </w:rPr>
        <w:t xml:space="preserve"> will not be scored but will be used in public reporting to inform purchasers and consumers about the </w:t>
      </w:r>
      <w:r w:rsidR="00796A12">
        <w:rPr>
          <w:rFonts w:cs="Arial"/>
          <w:color w:val="auto"/>
        </w:rPr>
        <w:t>hospital’</w:t>
      </w:r>
      <w:r w:rsidR="00D84506" w:rsidRPr="00D84506">
        <w:rPr>
          <w:rFonts w:cs="Arial"/>
          <w:color w:val="auto"/>
        </w:rPr>
        <w:t>s experience with the procedure.</w:t>
      </w:r>
    </w:p>
    <w:p w14:paraId="087C587F" w14:textId="77777777" w:rsidR="00014A06" w:rsidRPr="00245AFD" w:rsidRDefault="00014A06" w:rsidP="00D84506">
      <w:pPr>
        <w:pStyle w:val="BodyText3"/>
        <w:rPr>
          <w:rFonts w:cs="Arial"/>
          <w:snapToGrid w:val="0"/>
        </w:rPr>
      </w:pPr>
    </w:p>
    <w:p w14:paraId="1E911330" w14:textId="00ADB2F1" w:rsidR="00753419" w:rsidRDefault="00A54CE4" w:rsidP="00B105E4">
      <w:pPr>
        <w:rPr>
          <w:rFonts w:cs="Arial"/>
          <w:snapToGrid w:val="0"/>
        </w:rPr>
      </w:pPr>
      <w:r>
        <w:rPr>
          <w:rFonts w:cs="Arial"/>
          <w:snapToGrid w:val="0"/>
        </w:rPr>
        <w:t xml:space="preserve">Note </w:t>
      </w:r>
      <w:r w:rsidR="00A0632A">
        <w:rPr>
          <w:rFonts w:cs="Arial"/>
          <w:snapToGrid w:val="0"/>
        </w:rPr>
        <w:t>3</w:t>
      </w:r>
      <w:r>
        <w:rPr>
          <w:rFonts w:cs="Arial"/>
          <w:snapToGrid w:val="0"/>
        </w:rPr>
        <w:t>:</w:t>
      </w:r>
      <w:r w:rsidR="00063C35" w:rsidRPr="00063C35">
        <w:rPr>
          <w:rFonts w:cs="Arial"/>
        </w:rPr>
        <w:t xml:space="preserve"> </w:t>
      </w:r>
      <w:r w:rsidR="003F6DF1">
        <w:rPr>
          <w:rFonts w:cs="Arial"/>
        </w:rPr>
        <w:t xml:space="preserve">The term “hospital outpatient department” is used to refer to all hospital outpatient departments or areas of the hospital, including areas that are used for </w:t>
      </w:r>
      <w:r w:rsidR="003F6DF1">
        <w:rPr>
          <w:rFonts w:cs="Arial"/>
          <w:b/>
          <w:bCs/>
        </w:rPr>
        <w:t xml:space="preserve">both </w:t>
      </w:r>
      <w:r w:rsidR="003F6DF1">
        <w:rPr>
          <w:rFonts w:cs="Arial"/>
        </w:rPr>
        <w:t xml:space="preserve">inpatient and outpatient procedures, that perform the outpatient procedures listed in Section 9C and that share your hospital’s license or CMS Certification Number (CCN). This would include, but is not limited to surgery centers, free-standing hospital outpatient departments, as well as outpatient departments that are located in your hospital or are </w:t>
      </w:r>
      <w:hyperlink w:anchor="Endnote19_ColocatedNICU" w:history="1">
        <w:r w:rsidR="003F6DF1" w:rsidRPr="005C395A">
          <w:rPr>
            <w:rStyle w:val="Hyperlink"/>
          </w:rPr>
          <w:t>co-located</w:t>
        </w:r>
      </w:hyperlink>
      <w:r w:rsidR="003E5A10">
        <w:fldChar w:fldCharType="begin"/>
      </w:r>
      <w:r w:rsidR="003E5A10">
        <w:rPr>
          <w:rStyle w:val="Hyperlink"/>
        </w:rPr>
        <w:instrText xml:space="preserve"> NOTEREF _Ref134616250 \f \h </w:instrText>
      </w:r>
      <w:r w:rsidR="003E5A10">
        <w:fldChar w:fldCharType="separate"/>
      </w:r>
      <w:r w:rsidR="007D53A2" w:rsidRPr="00E362A3">
        <w:rPr>
          <w:rStyle w:val="EndnoteReference"/>
        </w:rPr>
        <w:t>31</w:t>
      </w:r>
      <w:r w:rsidR="003E5A10">
        <w:fldChar w:fldCharType="end"/>
      </w:r>
      <w:r w:rsidR="003F6DF1">
        <w:rPr>
          <w:rFonts w:cs="Arial"/>
        </w:rPr>
        <w:t xml:space="preserve"> with your hospital. Hospitals should only include hospital outpatient departments or areas of the hospital that perform the procedures listed in Section 9C in an </w:t>
      </w:r>
      <w:hyperlink w:anchor="Endnote49_OR" w:history="1">
        <w:r w:rsidR="003F6DF1" w:rsidRPr="00A879E1">
          <w:rPr>
            <w:rStyle w:val="Hyperlink"/>
          </w:rPr>
          <w:t>operating room</w:t>
        </w:r>
      </w:hyperlink>
      <w:r w:rsidR="003F6DF1">
        <w:rPr>
          <w:vertAlign w:val="superscript"/>
        </w:rPr>
        <w:fldChar w:fldCharType="begin"/>
      </w:r>
      <w:r w:rsidR="003F6DF1">
        <w:instrText xml:space="preserve"> NOTEREF _Ref534299024 \f \h </w:instrText>
      </w:r>
      <w:r w:rsidR="003F6DF1">
        <w:rPr>
          <w:vertAlign w:val="superscript"/>
        </w:rPr>
      </w:r>
      <w:r w:rsidR="003F6DF1">
        <w:rPr>
          <w:vertAlign w:val="superscript"/>
        </w:rPr>
        <w:fldChar w:fldCharType="separate"/>
      </w:r>
      <w:r w:rsidR="007D53A2" w:rsidRPr="00E362A3">
        <w:rPr>
          <w:rStyle w:val="EndnoteReference"/>
        </w:rPr>
        <w:t>52</w:t>
      </w:r>
      <w:r w:rsidR="003F6DF1">
        <w:rPr>
          <w:vertAlign w:val="superscript"/>
        </w:rPr>
        <w:fldChar w:fldCharType="end"/>
      </w:r>
      <w:r w:rsidR="003F6DF1">
        <w:t xml:space="preserve"> or </w:t>
      </w:r>
      <w:hyperlink w:anchor="procedureroom" w:history="1">
        <w:r w:rsidR="003F6DF1" w:rsidRPr="00A879E1">
          <w:rPr>
            <w:rStyle w:val="Hyperlink"/>
          </w:rPr>
          <w:t>procedure room</w:t>
        </w:r>
      </w:hyperlink>
      <w:r w:rsidR="003F6DF1">
        <w:fldChar w:fldCharType="begin"/>
      </w:r>
      <w:r w:rsidR="003F6DF1">
        <w:instrText xml:space="preserve"> NOTEREF _Ref534299351 \f \h </w:instrText>
      </w:r>
      <w:r w:rsidR="003F6DF1">
        <w:fldChar w:fldCharType="separate"/>
      </w:r>
      <w:r w:rsidR="007D53A2" w:rsidRPr="00E362A3">
        <w:rPr>
          <w:rStyle w:val="EndnoteReference"/>
        </w:rPr>
        <w:t>53</w:t>
      </w:r>
      <w:r w:rsidR="003F6DF1">
        <w:fldChar w:fldCharType="end"/>
      </w:r>
      <w:r w:rsidR="003F6DF1">
        <w:t>.</w:t>
      </w:r>
    </w:p>
    <w:p w14:paraId="3C9A5040" w14:textId="77777777" w:rsidR="00C96704" w:rsidRPr="00245AFD" w:rsidRDefault="00C96704" w:rsidP="00B105E4">
      <w:pPr>
        <w:rPr>
          <w:rFonts w:cs="Arial"/>
          <w:snapToGrid w:val="0"/>
        </w:rPr>
      </w:pPr>
    </w:p>
    <w:p w14:paraId="33740C2F" w14:textId="33DE0F7C" w:rsidR="000F6B49" w:rsidRDefault="00C96704" w:rsidP="00C96704">
      <w:pPr>
        <w:rPr>
          <w:rFonts w:cs="Arial"/>
          <w:snapToGrid w:val="0"/>
        </w:rPr>
      </w:pPr>
      <w:r>
        <w:rPr>
          <w:rFonts w:cs="Arial"/>
          <w:snapToGrid w:val="0"/>
        </w:rPr>
        <w:t xml:space="preserve">Note </w:t>
      </w:r>
      <w:r w:rsidR="00A0632A">
        <w:rPr>
          <w:rFonts w:cs="Arial"/>
          <w:snapToGrid w:val="0"/>
        </w:rPr>
        <w:t>4</w:t>
      </w:r>
      <w:r>
        <w:rPr>
          <w:rFonts w:cs="Arial"/>
          <w:snapToGrid w:val="0"/>
        </w:rPr>
        <w:t xml:space="preserve">: Hospitals should only report on procedures they electively perform. </w:t>
      </w:r>
      <w:r w:rsidRPr="00C96704">
        <w:rPr>
          <w:rFonts w:cs="Arial"/>
          <w:snapToGrid w:val="0"/>
        </w:rPr>
        <w:t xml:space="preserve">If your </w:t>
      </w:r>
      <w:r w:rsidR="00B12442">
        <w:rPr>
          <w:rFonts w:cs="Arial"/>
          <w:snapToGrid w:val="0"/>
        </w:rPr>
        <w:t>hospital</w:t>
      </w:r>
      <w:r w:rsidR="003723FD">
        <w:rPr>
          <w:rFonts w:cs="Arial"/>
          <w:snapToGrid w:val="0"/>
        </w:rPr>
        <w:t xml:space="preserve"> </w:t>
      </w:r>
      <w:r w:rsidRPr="00C96704">
        <w:rPr>
          <w:rFonts w:cs="Arial"/>
          <w:snapToGrid w:val="0"/>
        </w:rPr>
        <w:t>do</w:t>
      </w:r>
      <w:r>
        <w:rPr>
          <w:rFonts w:cs="Arial"/>
          <w:snapToGrid w:val="0"/>
        </w:rPr>
        <w:t xml:space="preserve">es not perform the procedure on an outpatient basis or ONLY does so </w:t>
      </w:r>
      <w:r w:rsidRPr="00C96704">
        <w:rPr>
          <w:rFonts w:cs="Arial"/>
          <w:snapToGrid w:val="0"/>
        </w:rPr>
        <w:t xml:space="preserve">when a procedure is urgent, </w:t>
      </w:r>
      <w:r w:rsidR="003723FD">
        <w:rPr>
          <w:rFonts w:cs="Arial"/>
          <w:snapToGrid w:val="0"/>
        </w:rPr>
        <w:t>you should answer</w:t>
      </w:r>
      <w:r>
        <w:rPr>
          <w:rFonts w:cs="Arial"/>
          <w:snapToGrid w:val="0"/>
        </w:rPr>
        <w:t xml:space="preserve"> “</w:t>
      </w:r>
      <w:r w:rsidR="003723FD">
        <w:rPr>
          <w:rFonts w:cs="Arial"/>
          <w:snapToGrid w:val="0"/>
        </w:rPr>
        <w:t>no</w:t>
      </w:r>
      <w:r>
        <w:rPr>
          <w:rFonts w:cs="Arial"/>
          <w:snapToGrid w:val="0"/>
        </w:rPr>
        <w:t xml:space="preserve">” </w:t>
      </w:r>
      <w:r w:rsidR="003723FD">
        <w:rPr>
          <w:rFonts w:cs="Arial"/>
          <w:snapToGrid w:val="0"/>
        </w:rPr>
        <w:t>and not</w:t>
      </w:r>
      <w:r>
        <w:rPr>
          <w:rFonts w:cs="Arial"/>
          <w:snapToGrid w:val="0"/>
        </w:rPr>
        <w:t xml:space="preserve"> report on those procedures</w:t>
      </w:r>
      <w:r w:rsidR="00C60116">
        <w:rPr>
          <w:rFonts w:cs="Arial"/>
          <w:snapToGrid w:val="0"/>
        </w:rPr>
        <w:t>.</w:t>
      </w:r>
    </w:p>
    <w:p w14:paraId="6D3DD70A" w14:textId="77777777" w:rsidR="000F6B49" w:rsidRDefault="000F6B49" w:rsidP="00C96704">
      <w:pPr>
        <w:rPr>
          <w:rFonts w:cs="Arial"/>
          <w:snapToGrid w:val="0"/>
        </w:rPr>
      </w:pPr>
    </w:p>
    <w:p w14:paraId="2EA3E41B" w14:textId="713E82A5" w:rsidR="00CE0DC8" w:rsidRDefault="00CE0DC8" w:rsidP="00C96704">
      <w:pPr>
        <w:rPr>
          <w:rFonts w:cs="Arial"/>
        </w:rPr>
      </w:pPr>
      <w:r w:rsidRPr="009A5185">
        <w:rPr>
          <w:rFonts w:cs="Arial"/>
          <w:b/>
        </w:rPr>
        <w:t xml:space="preserve">Specifications: </w:t>
      </w:r>
      <w:r w:rsidRPr="009A5185">
        <w:rPr>
          <w:rFonts w:cs="Arial"/>
          <w:snapToGrid w:val="0"/>
        </w:rPr>
        <w:t xml:space="preserve">See </w:t>
      </w:r>
      <w:hyperlink w:anchor="_Volume_of_Procedures_2" w:history="1">
        <w:r>
          <w:rPr>
            <w:rStyle w:val="Hyperlink"/>
            <w:rFonts w:cs="Arial"/>
            <w:b/>
            <w:i/>
            <w:snapToGrid w:val="0"/>
          </w:rPr>
          <w:t>Volume of Procedures Measure Specifications</w:t>
        </w:r>
      </w:hyperlink>
      <w:r w:rsidRPr="009A5185">
        <w:rPr>
          <w:rFonts w:cs="Arial"/>
          <w:snapToGrid w:val="0"/>
        </w:rPr>
        <w:t xml:space="preserve"> in the Reference Information </w:t>
      </w:r>
      <w:r w:rsidR="001E43A6">
        <w:rPr>
          <w:rFonts w:cs="Arial"/>
        </w:rPr>
        <w:t xml:space="preserve">beginning on page </w:t>
      </w:r>
      <w:r w:rsidR="00005F56">
        <w:rPr>
          <w:rFonts w:cs="Arial"/>
        </w:rPr>
        <w:t>3</w:t>
      </w:r>
      <w:r w:rsidR="0023754B">
        <w:rPr>
          <w:rFonts w:cs="Arial"/>
        </w:rPr>
        <w:t>19</w:t>
      </w:r>
      <w:r w:rsidR="00005F56">
        <w:rPr>
          <w:rFonts w:cs="Arial"/>
        </w:rPr>
        <w:t>.</w:t>
      </w:r>
    </w:p>
    <w:p w14:paraId="6EA7F2C8" w14:textId="77777777" w:rsidR="006A0F86" w:rsidRPr="00B105E4" w:rsidRDefault="006A0F86" w:rsidP="00C96704">
      <w:pPr>
        <w:rPr>
          <w:rFonts w:cs="Arial"/>
          <w:snapToGrid w:val="0"/>
        </w:rPr>
      </w:pPr>
    </w:p>
    <w:p w14:paraId="494DC703" w14:textId="0B229086" w:rsidR="005C0E45" w:rsidRPr="00245AFD" w:rsidRDefault="006A0F86" w:rsidP="007C5AC4">
      <w:pPr>
        <w:rPr>
          <w:rFonts w:cs="Arial"/>
          <w:snapToGrid w:val="0"/>
        </w:rPr>
      </w:pPr>
      <w:r w:rsidRPr="006A0F86">
        <w:rPr>
          <w:rFonts w:cs="Arial"/>
          <w:noProof/>
          <w:snapToGrid w:val="0"/>
        </w:rPr>
        <mc:AlternateContent>
          <mc:Choice Requires="wps">
            <w:drawing>
              <wp:inline distT="0" distB="0" distL="0" distR="0" wp14:anchorId="480F2558" wp14:editId="12AB4C6B">
                <wp:extent cx="5923722" cy="1404620"/>
                <wp:effectExtent l="0" t="0" r="20320" b="20955"/>
                <wp:docPr id="45" name="Text Box 45" descr="P10926TB34#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3722" cy="1404620"/>
                        </a:xfrm>
                        <a:prstGeom prst="rect">
                          <a:avLst/>
                        </a:prstGeom>
                        <a:solidFill>
                          <a:srgbClr val="FFFFFF"/>
                        </a:solidFill>
                        <a:ln w="9525">
                          <a:solidFill>
                            <a:srgbClr val="FF0000"/>
                          </a:solidFill>
                          <a:miter lim="800000"/>
                          <a:headEnd/>
                          <a:tailEnd/>
                        </a:ln>
                      </wps:spPr>
                      <wps:txbx>
                        <w:txbxContent>
                          <w:p w14:paraId="7E19402B" w14:textId="109AF7E1" w:rsidR="006A0F86" w:rsidRPr="009A5185" w:rsidRDefault="006A0F86" w:rsidP="006A0F86">
                            <w:pPr>
                              <w:spacing w:before="80"/>
                              <w:rPr>
                                <w:rFonts w:cs="Arial"/>
                                <w:b/>
                                <w:snapToGrid w:val="0"/>
                              </w:rPr>
                            </w:pPr>
                            <w:r w:rsidRPr="009A5185">
                              <w:rPr>
                                <w:rFonts w:cs="Arial"/>
                                <w:b/>
                                <w:snapToGrid w:val="0"/>
                              </w:rPr>
                              <w:t>Reporting Period: 12 months</w:t>
                            </w:r>
                          </w:p>
                          <w:p w14:paraId="399D64A1" w14:textId="4567D115" w:rsidR="006A0F86" w:rsidRDefault="006A0F86" w:rsidP="00AD309C">
                            <w:pPr>
                              <w:pStyle w:val="ListParagraph"/>
                              <w:numPr>
                                <w:ilvl w:val="0"/>
                                <w:numId w:val="36"/>
                              </w:numPr>
                              <w:rPr>
                                <w:i/>
                                <w:snapToGrid w:val="0"/>
                              </w:rPr>
                            </w:pPr>
                            <w:r w:rsidRPr="00897A3E">
                              <w:rPr>
                                <w:rFonts w:cs="Arial"/>
                                <w:snapToGrid w:val="0"/>
                              </w:rPr>
                              <w:t>01/01/202</w:t>
                            </w:r>
                            <w:r w:rsidR="00E41884">
                              <w:rPr>
                                <w:rFonts w:cs="Arial"/>
                                <w:snapToGrid w:val="0"/>
                              </w:rPr>
                              <w:t>5</w:t>
                            </w:r>
                            <w:r w:rsidRPr="00897A3E">
                              <w:rPr>
                                <w:rFonts w:cs="Arial"/>
                                <w:snapToGrid w:val="0"/>
                              </w:rPr>
                              <w:t xml:space="preserve"> – 12/31/202</w:t>
                            </w:r>
                            <w:r w:rsidR="00E41884">
                              <w:rPr>
                                <w:rFonts w:cs="Arial"/>
                                <w:snapToGrid w:val="0"/>
                              </w:rPr>
                              <w:t>5</w:t>
                            </w:r>
                            <w:r w:rsidR="001A4A1F">
                              <w:rPr>
                                <w:rFonts w:cs="Arial"/>
                                <w:snapToGrid w:val="0"/>
                              </w:rPr>
                              <w:br/>
                            </w:r>
                          </w:p>
                          <w:p w14:paraId="47B5BCDD" w14:textId="3745ECD2" w:rsidR="006A0F86" w:rsidRDefault="006A0F86" w:rsidP="006A0F86">
                            <w:r w:rsidRPr="006547C0">
                              <w:rPr>
                                <w:rFonts w:cs="Arial"/>
                                <w:sz w:val="16"/>
                                <w:szCs w:val="16"/>
                              </w:rPr>
                              <w:t xml:space="preserve">Note: As a reminder, the </w:t>
                            </w:r>
                            <w:hyperlink r:id="rId469" w:history="1">
                              <w:r w:rsidRPr="006547C0">
                                <w:rPr>
                                  <w:rStyle w:val="Hyperlink"/>
                                  <w:rFonts w:cs="Arial"/>
                                  <w:sz w:val="16"/>
                                  <w:szCs w:val="16"/>
                                </w:rPr>
                                <w:t>Corrections Period</w:t>
                              </w:r>
                            </w:hyperlink>
                            <w:r w:rsidRPr="006547C0">
                              <w:rPr>
                                <w:rFonts w:cs="Arial"/>
                                <w:sz w:val="16"/>
                                <w:szCs w:val="16"/>
                              </w:rPr>
                              <w:t xml:space="preserve"> </w:t>
                            </w:r>
                            <w:r w:rsidRPr="00E65E68">
                              <w:rPr>
                                <w:rFonts w:cs="Arial"/>
                                <w:sz w:val="16"/>
                                <w:szCs w:val="16"/>
                              </w:rPr>
                              <w:t>(</w:t>
                            </w:r>
                            <w:r>
                              <w:rPr>
                                <w:rFonts w:cs="Arial"/>
                                <w:sz w:val="16"/>
                                <w:szCs w:val="16"/>
                              </w:rPr>
                              <w:t>December</w:t>
                            </w:r>
                            <w:r w:rsidRPr="00E65E68">
                              <w:rPr>
                                <w:rFonts w:cs="Arial"/>
                                <w:sz w:val="16"/>
                                <w:szCs w:val="16"/>
                              </w:rPr>
                              <w:t xml:space="preserve"> 1-January 31) is reserved for corrections to previously submitted Surveys only. </w:t>
                            </w:r>
                            <w:r w:rsidRPr="00E65E68">
                              <w:rPr>
                                <w:rFonts w:cs="Arial"/>
                                <w:bCs/>
                                <w:snapToGrid w:val="0"/>
                                <w:sz w:val="16"/>
                                <w:szCs w:val="16"/>
                              </w:rPr>
                              <w:t xml:space="preserve">Any updates made to reflect a change in performance must be made prior to the </w:t>
                            </w:r>
                            <w:r>
                              <w:rPr>
                                <w:rFonts w:cs="Arial"/>
                                <w:bCs/>
                                <w:snapToGrid w:val="0"/>
                                <w:sz w:val="16"/>
                                <w:szCs w:val="16"/>
                              </w:rPr>
                              <w:t>November 30</w:t>
                            </w:r>
                            <w:r w:rsidRPr="00E65E68">
                              <w:rPr>
                                <w:rFonts w:cs="Arial"/>
                                <w:bCs/>
                                <w:snapToGrid w:val="0"/>
                                <w:sz w:val="16"/>
                                <w:szCs w:val="16"/>
                              </w:rPr>
                              <w:t xml:space="preserve"> Late Submission </w:t>
                            </w:r>
                            <w:r>
                              <w:rPr>
                                <w:rFonts w:cs="Arial"/>
                                <w:bCs/>
                                <w:snapToGrid w:val="0"/>
                                <w:sz w:val="16"/>
                                <w:szCs w:val="16"/>
                              </w:rPr>
                              <w:t xml:space="preserve">and Performance Update </w:t>
                            </w:r>
                            <w:r w:rsidRPr="00E65E68">
                              <w:rPr>
                                <w:rFonts w:cs="Arial"/>
                                <w:bCs/>
                                <w:snapToGrid w:val="0"/>
                                <w:sz w:val="16"/>
                                <w:szCs w:val="16"/>
                              </w:rPr>
                              <w:t xml:space="preserve">Deadline. Updates made to reflect a change in performance after </w:t>
                            </w:r>
                            <w:r>
                              <w:rPr>
                                <w:rFonts w:cs="Arial"/>
                                <w:bCs/>
                                <w:snapToGrid w:val="0"/>
                                <w:sz w:val="16"/>
                                <w:szCs w:val="16"/>
                              </w:rPr>
                              <w:t>November 30</w:t>
                            </w:r>
                            <w:r w:rsidRPr="00E65E68">
                              <w:rPr>
                                <w:rFonts w:cs="Arial"/>
                                <w:bCs/>
                                <w:snapToGrid w:val="0"/>
                                <w:sz w:val="16"/>
                                <w:szCs w:val="16"/>
                              </w:rPr>
                              <w:t xml:space="preserve"> will not be scored or publicly reported.</w:t>
                            </w:r>
                          </w:p>
                        </w:txbxContent>
                      </wps:txbx>
                      <wps:bodyPr rot="0" vert="horz" wrap="square" lIns="91440" tIns="45720" rIns="91440" bIns="45720" anchor="t" anchorCtr="0">
                        <a:spAutoFit/>
                      </wps:bodyPr>
                    </wps:wsp>
                  </a:graphicData>
                </a:graphic>
              </wp:inline>
            </w:drawing>
          </mc:Choice>
          <mc:Fallback>
            <w:pict>
              <v:shape w14:anchorId="480F2558" id="Text Box 45" o:spid="_x0000_s1061" type="#_x0000_t202" alt="P10926TB34#y1" style="width:466.4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" strokecolor="red">
                <v:textbox style="mso-fit-shape-to-text:t">
                  <w:txbxContent>
                    <w:p w14:paraId="7E19402B" w14:textId="109AF7E1" w:rsidR="006A0F86" w:rsidRPr="009A5185" w:rsidRDefault="006A0F86" w:rsidP="006A0F86">
                      <w:pPr>
                        <w:spacing w:before="80"/>
                        <w:rPr>
                          <w:rFonts w:cs="Arial"/>
                          <w:b/>
                          <w:snapToGrid w:val="0"/>
                        </w:rPr>
                      </w:pPr>
                      <w:r w:rsidRPr="009A5185">
                        <w:rPr>
                          <w:rFonts w:cs="Arial"/>
                          <w:b/>
                          <w:snapToGrid w:val="0"/>
                        </w:rPr>
                        <w:t>Reporting Period: 12 months</w:t>
                      </w:r>
                    </w:p>
                    <w:p w14:paraId="399D64A1" w14:textId="4567D115" w:rsidR="006A0F86" w:rsidRDefault="006A0F86" w:rsidP="00AD309C">
                      <w:pPr>
                        <w:pStyle w:val="ListParagraph"/>
                        <w:numPr>
                          <w:ilvl w:val="0"/>
                          <w:numId w:val="36"/>
                        </w:numPr>
                        <w:rPr>
                          <w:i/>
                          <w:snapToGrid w:val="0"/>
                        </w:rPr>
                      </w:pPr>
                      <w:r w:rsidRPr="00897A3E">
                        <w:rPr>
                          <w:rFonts w:cs="Arial"/>
                          <w:snapToGrid w:val="0"/>
                        </w:rPr>
                        <w:t>01/01/202</w:t>
                      </w:r>
                      <w:r w:rsidR="00E41884">
                        <w:rPr>
                          <w:rFonts w:cs="Arial"/>
                          <w:snapToGrid w:val="0"/>
                        </w:rPr>
                        <w:t>5</w:t>
                      </w:r>
                      <w:r w:rsidRPr="00897A3E">
                        <w:rPr>
                          <w:rFonts w:cs="Arial"/>
                          <w:snapToGrid w:val="0"/>
                        </w:rPr>
                        <w:t xml:space="preserve"> – 12/31/202</w:t>
                      </w:r>
                      <w:r w:rsidR="00E41884">
                        <w:rPr>
                          <w:rFonts w:cs="Arial"/>
                          <w:snapToGrid w:val="0"/>
                        </w:rPr>
                        <w:t>5</w:t>
                      </w:r>
                      <w:r w:rsidR="001A4A1F">
                        <w:rPr>
                          <w:rFonts w:cs="Arial"/>
                          <w:snapToGrid w:val="0"/>
                        </w:rPr>
                        <w:br/>
                      </w:r>
                    </w:p>
                    <w:p w14:paraId="47B5BCDD" w14:textId="3745ECD2" w:rsidR="006A0F86" w:rsidRDefault="006A0F86" w:rsidP="006A0F86">
                      <w:r w:rsidRPr="006547C0">
                        <w:rPr>
                          <w:rFonts w:cs="Arial"/>
                          <w:sz w:val="16"/>
                          <w:szCs w:val="16"/>
                        </w:rPr>
                        <w:t xml:space="preserve">Note: As a reminder, the </w:t>
                      </w:r>
                      <w:hyperlink r:id="rId470" w:history="1">
                        <w:r w:rsidRPr="006547C0">
                          <w:rPr>
                            <w:rStyle w:val="Hyperlink"/>
                            <w:rFonts w:cs="Arial"/>
                            <w:sz w:val="16"/>
                            <w:szCs w:val="16"/>
                          </w:rPr>
                          <w:t>Corrections Period</w:t>
                        </w:r>
                      </w:hyperlink>
                      <w:r w:rsidRPr="006547C0">
                        <w:rPr>
                          <w:rFonts w:cs="Arial"/>
                          <w:sz w:val="16"/>
                          <w:szCs w:val="16"/>
                        </w:rPr>
                        <w:t xml:space="preserve"> </w:t>
                      </w:r>
                      <w:r w:rsidRPr="00E65E68">
                        <w:rPr>
                          <w:rFonts w:cs="Arial"/>
                          <w:sz w:val="16"/>
                          <w:szCs w:val="16"/>
                        </w:rPr>
                        <w:t>(</w:t>
                      </w:r>
                      <w:r>
                        <w:rPr>
                          <w:rFonts w:cs="Arial"/>
                          <w:sz w:val="16"/>
                          <w:szCs w:val="16"/>
                        </w:rPr>
                        <w:t>December</w:t>
                      </w:r>
                      <w:r w:rsidRPr="00E65E68">
                        <w:rPr>
                          <w:rFonts w:cs="Arial"/>
                          <w:sz w:val="16"/>
                          <w:szCs w:val="16"/>
                        </w:rPr>
                        <w:t xml:space="preserve"> 1-January 31) is reserved for corrections to previously submitted Surveys only. </w:t>
                      </w:r>
                      <w:r w:rsidRPr="00E65E68">
                        <w:rPr>
                          <w:rFonts w:cs="Arial"/>
                          <w:bCs/>
                          <w:snapToGrid w:val="0"/>
                          <w:sz w:val="16"/>
                          <w:szCs w:val="16"/>
                        </w:rPr>
                        <w:t xml:space="preserve">Any updates made to reflect a change in performance must be made prior to the </w:t>
                      </w:r>
                      <w:r>
                        <w:rPr>
                          <w:rFonts w:cs="Arial"/>
                          <w:bCs/>
                          <w:snapToGrid w:val="0"/>
                          <w:sz w:val="16"/>
                          <w:szCs w:val="16"/>
                        </w:rPr>
                        <w:t>November 30</w:t>
                      </w:r>
                      <w:r w:rsidRPr="00E65E68">
                        <w:rPr>
                          <w:rFonts w:cs="Arial"/>
                          <w:bCs/>
                          <w:snapToGrid w:val="0"/>
                          <w:sz w:val="16"/>
                          <w:szCs w:val="16"/>
                        </w:rPr>
                        <w:t xml:space="preserve"> Late Submission </w:t>
                      </w:r>
                      <w:r>
                        <w:rPr>
                          <w:rFonts w:cs="Arial"/>
                          <w:bCs/>
                          <w:snapToGrid w:val="0"/>
                          <w:sz w:val="16"/>
                          <w:szCs w:val="16"/>
                        </w:rPr>
                        <w:t xml:space="preserve">and Performance Update </w:t>
                      </w:r>
                      <w:r w:rsidRPr="00E65E68">
                        <w:rPr>
                          <w:rFonts w:cs="Arial"/>
                          <w:bCs/>
                          <w:snapToGrid w:val="0"/>
                          <w:sz w:val="16"/>
                          <w:szCs w:val="16"/>
                        </w:rPr>
                        <w:t xml:space="preserve">Deadline. Updates made to reflect a change in performance after </w:t>
                      </w:r>
                      <w:r>
                        <w:rPr>
                          <w:rFonts w:cs="Arial"/>
                          <w:bCs/>
                          <w:snapToGrid w:val="0"/>
                          <w:sz w:val="16"/>
                          <w:szCs w:val="16"/>
                        </w:rPr>
                        <w:t>November 30</w:t>
                      </w:r>
                      <w:r w:rsidRPr="00E65E68">
                        <w:rPr>
                          <w:rFonts w:cs="Arial"/>
                          <w:bCs/>
                          <w:snapToGrid w:val="0"/>
                          <w:sz w:val="16"/>
                          <w:szCs w:val="16"/>
                        </w:rPr>
                        <w:t xml:space="preserve"> will not be scored or publicly reported.</w:t>
                      </w:r>
                    </w:p>
                  </w:txbxContent>
                </v:textbox>
                <w10:anchorlock/>
              </v:shape>
            </w:pict>
          </mc:Fallback>
        </mc:AlternateContent>
      </w:r>
    </w:p>
    <w:p w14:paraId="13A1CD91" w14:textId="77777777" w:rsidR="001E43A6" w:rsidRPr="006A0F86" w:rsidRDefault="001E43A6" w:rsidP="00F0772B">
      <w:pPr>
        <w:rPr>
          <w:lang w:eastAsia="ja-JP"/>
        </w:rPr>
      </w:pPr>
    </w:p>
    <w:tbl>
      <w:tblPr>
        <w:tblStyle w:val="TableGrid"/>
        <w:tblW w:w="0" w:type="auto"/>
        <w:tblLayout w:type="fixed"/>
        <w:tblCellMar>
          <w:left w:w="115" w:type="dxa"/>
          <w:right w:w="115" w:type="dxa"/>
        </w:tblCellMar>
        <w:tblLook w:val="04A0" w:firstRow="1" w:lastRow="0" w:firstColumn="1" w:lastColumn="0" w:noHBand="0" w:noVBand="1"/>
      </w:tblPr>
      <w:tblGrid>
        <w:gridCol w:w="6475"/>
        <w:gridCol w:w="2875"/>
      </w:tblGrid>
      <w:tr w:rsidR="00FE3C05" w:rsidRPr="00EE0483" w14:paraId="1DD5547C" w14:textId="77777777" w:rsidTr="00C06753">
        <w:trPr>
          <w:trHeight w:val="288"/>
        </w:trPr>
        <w:tc>
          <w:tcPr>
            <w:tcW w:w="6475" w:type="dxa"/>
            <w:tcMar>
              <w:top w:w="72" w:type="dxa"/>
              <w:left w:w="115" w:type="dxa"/>
              <w:bottom w:w="72" w:type="dxa"/>
              <w:right w:w="115" w:type="dxa"/>
            </w:tcMar>
            <w:vAlign w:val="center"/>
          </w:tcPr>
          <w:p w14:paraId="06309B19" w14:textId="477C29F6" w:rsidR="00CA1D99" w:rsidRPr="00CA1D99" w:rsidRDefault="00FE3C05" w:rsidP="00AD309C">
            <w:pPr>
              <w:pStyle w:val="ListParagraph"/>
              <w:numPr>
                <w:ilvl w:val="0"/>
                <w:numId w:val="91"/>
              </w:numPr>
            </w:pPr>
            <w:r w:rsidRPr="005D2045">
              <w:t xml:space="preserve">12-month reporting period used: </w:t>
            </w:r>
          </w:p>
        </w:tc>
        <w:tc>
          <w:tcPr>
            <w:tcW w:w="2875" w:type="dxa"/>
            <w:shd w:val="clear" w:color="auto" w:fill="BFBFBF" w:themeFill="background1" w:themeFillShade="BF"/>
            <w:vAlign w:val="center"/>
          </w:tcPr>
          <w:p w14:paraId="454FB4BB" w14:textId="3FCF537F" w:rsidR="00CA1D99" w:rsidRPr="00CA1D99" w:rsidRDefault="003D4CDD" w:rsidP="00C06753">
            <w:pPr>
              <w:jc w:val="center"/>
            </w:pPr>
            <w:r w:rsidRPr="003D4CDD">
              <w:rPr>
                <w:rFonts w:cs="Arial"/>
                <w:i/>
                <w:snapToGrid w:val="0"/>
              </w:rPr>
              <w:t xml:space="preserve">No response required here. Reporting period automatically </w:t>
            </w:r>
            <w:r w:rsidRPr="00C06753">
              <w:rPr>
                <w:rFonts w:cs="Arial"/>
                <w:i/>
                <w:snapToGrid w:val="0"/>
              </w:rPr>
              <w:t>01/01/202</w:t>
            </w:r>
            <w:r w:rsidR="00E41884">
              <w:rPr>
                <w:rFonts w:cs="Arial"/>
                <w:i/>
                <w:snapToGrid w:val="0"/>
              </w:rPr>
              <w:t>5</w:t>
            </w:r>
            <w:r w:rsidRPr="00C06753">
              <w:rPr>
                <w:rFonts w:cs="Arial"/>
                <w:i/>
                <w:snapToGrid w:val="0"/>
              </w:rPr>
              <w:t xml:space="preserve"> – 12/31/202</w:t>
            </w:r>
            <w:r w:rsidR="00E41884">
              <w:rPr>
                <w:rFonts w:cs="Arial"/>
                <w:i/>
                <w:snapToGrid w:val="0"/>
              </w:rPr>
              <w:t>5</w:t>
            </w:r>
            <w:r w:rsidRPr="00C06753">
              <w:rPr>
                <w:rFonts w:cs="Arial"/>
                <w:i/>
                <w:snapToGrid w:val="0"/>
              </w:rPr>
              <w:t>.</w:t>
            </w:r>
          </w:p>
        </w:tc>
      </w:tr>
      <w:tr w:rsidR="00B92EC0" w:rsidRPr="00EE0483" w14:paraId="0BBCFA0B" w14:textId="77777777" w:rsidTr="00F83C07">
        <w:trPr>
          <w:trHeight w:val="1440"/>
        </w:trPr>
        <w:tc>
          <w:tcPr>
            <w:tcW w:w="6475" w:type="dxa"/>
            <w:tcMar>
              <w:top w:w="72" w:type="dxa"/>
              <w:left w:w="115" w:type="dxa"/>
              <w:bottom w:w="72" w:type="dxa"/>
              <w:right w:w="115" w:type="dxa"/>
            </w:tcMar>
            <w:vAlign w:val="center"/>
          </w:tcPr>
          <w:p w14:paraId="1B1BCC25" w14:textId="3F95A983" w:rsidR="00B92EC0" w:rsidRPr="005D2045" w:rsidRDefault="00B92EC0" w:rsidP="00AD309C">
            <w:pPr>
              <w:pStyle w:val="ListParagraph"/>
              <w:numPr>
                <w:ilvl w:val="0"/>
                <w:numId w:val="91"/>
              </w:numPr>
            </w:pPr>
            <w:r w:rsidRPr="005D2045">
              <w:t xml:space="preserve">During the reporting period, were one or more of the following </w:t>
            </w:r>
            <w:r w:rsidRPr="005D2045">
              <w:rPr>
                <w:b/>
              </w:rPr>
              <w:t xml:space="preserve">ophthalmology </w:t>
            </w:r>
            <w:r w:rsidRPr="005D2045">
              <w:t xml:space="preserve">procedures performed at your </w:t>
            </w:r>
            <w:r>
              <w:t>hospital outpatient department(s)</w:t>
            </w:r>
            <w:r w:rsidRPr="005D2045">
              <w:t xml:space="preserve"> on </w:t>
            </w:r>
            <w:r w:rsidRPr="005D2045">
              <w:rPr>
                <w:u w:val="single"/>
              </w:rPr>
              <w:t>adult</w:t>
            </w:r>
            <w:r w:rsidRPr="000530FC">
              <w:t xml:space="preserve"> </w:t>
            </w:r>
            <w:r>
              <w:t>and/</w:t>
            </w:r>
            <w:r w:rsidRPr="000530FC">
              <w:t>or</w:t>
            </w:r>
            <w:r w:rsidRPr="005D2045">
              <w:rPr>
                <w:u w:val="single"/>
              </w:rPr>
              <w:t xml:space="preserve"> pediatric</w:t>
            </w:r>
            <w:r w:rsidRPr="005D2045">
              <w:t xml:space="preserve"> patients</w:t>
            </w:r>
            <w:r w:rsidR="00803B4E">
              <w:t>:</w:t>
            </w:r>
          </w:p>
          <w:p w14:paraId="14736E7A" w14:textId="77777777" w:rsidR="00B92EC0" w:rsidRPr="005D2045" w:rsidRDefault="00B92EC0" w:rsidP="00B92EC0">
            <w:pPr>
              <w:pStyle w:val="ListParagraph"/>
              <w:ind w:left="360"/>
            </w:pPr>
          </w:p>
          <w:p w14:paraId="2B61F94A" w14:textId="002A0568" w:rsidR="00B92EC0" w:rsidRPr="005D2045" w:rsidRDefault="00B92EC0" w:rsidP="00AD309C">
            <w:pPr>
              <w:pStyle w:val="ListParagraph"/>
              <w:numPr>
                <w:ilvl w:val="0"/>
                <w:numId w:val="108"/>
              </w:numPr>
            </w:pPr>
            <w:r w:rsidRPr="005D2045">
              <w:t>Anterior segment eye procedures</w:t>
            </w:r>
            <w:r w:rsidR="00803B4E">
              <w:t>,</w:t>
            </w:r>
          </w:p>
          <w:p w14:paraId="68A563D9" w14:textId="2439ECD7" w:rsidR="00B92EC0" w:rsidRDefault="00B92EC0" w:rsidP="00AD309C">
            <w:pPr>
              <w:pStyle w:val="ListParagraph"/>
              <w:numPr>
                <w:ilvl w:val="0"/>
                <w:numId w:val="108"/>
              </w:numPr>
            </w:pPr>
            <w:r w:rsidRPr="005D2045">
              <w:t>Posterior segment eye procedures</w:t>
            </w:r>
            <w:r w:rsidR="00803B4E">
              <w:t>, or</w:t>
            </w:r>
          </w:p>
          <w:p w14:paraId="2BF45F1D" w14:textId="76AE4BCB" w:rsidR="00B92EC0" w:rsidRPr="005D2045" w:rsidRDefault="00B92EC0" w:rsidP="00AD309C">
            <w:pPr>
              <w:pStyle w:val="ListParagraph"/>
              <w:numPr>
                <w:ilvl w:val="0"/>
                <w:numId w:val="108"/>
              </w:numPr>
            </w:pPr>
            <w:r w:rsidRPr="009011FE">
              <w:t>Ocular adnexa and other eye procedures</w:t>
            </w:r>
            <w:r w:rsidR="00803B4E">
              <w:t>?</w:t>
            </w:r>
          </w:p>
          <w:p w14:paraId="58F1A8DC" w14:textId="77777777" w:rsidR="00B92EC0" w:rsidRPr="005D2045" w:rsidRDefault="00B92EC0" w:rsidP="00B92EC0">
            <w:pPr>
              <w:pStyle w:val="ListParagraph"/>
              <w:ind w:left="360"/>
            </w:pPr>
          </w:p>
          <w:p w14:paraId="48167485" w14:textId="19AB846F" w:rsidR="00B92EC0" w:rsidRPr="005D2045" w:rsidRDefault="00B92EC0" w:rsidP="004F63C1">
            <w:pPr>
              <w:pStyle w:val="ListParagraph"/>
              <w:ind w:left="360"/>
            </w:pPr>
            <w:r w:rsidRPr="005D2045">
              <w:rPr>
                <w:i/>
              </w:rPr>
              <w:t>If “no” or “yes, but no longer perform</w:t>
            </w:r>
            <w:r>
              <w:rPr>
                <w:i/>
              </w:rPr>
              <w:t>s</w:t>
            </w:r>
            <w:r w:rsidRPr="005D2045">
              <w:rPr>
                <w:i/>
              </w:rPr>
              <w:t xml:space="preserve"> these procedures,” skip question</w:t>
            </w:r>
            <w:r>
              <w:rPr>
                <w:i/>
              </w:rPr>
              <w:t>s</w:t>
            </w:r>
            <w:r w:rsidRPr="005D2045">
              <w:rPr>
                <w:i/>
              </w:rPr>
              <w:t xml:space="preserve"> #</w:t>
            </w:r>
            <w:r>
              <w:rPr>
                <w:i/>
              </w:rPr>
              <w:t>11-13</w:t>
            </w:r>
            <w:r w:rsidRPr="005D2045">
              <w:rPr>
                <w:i/>
              </w:rPr>
              <w:t xml:space="preserve"> below.</w:t>
            </w:r>
          </w:p>
        </w:tc>
        <w:tc>
          <w:tcPr>
            <w:tcW w:w="2875" w:type="dxa"/>
            <w:vAlign w:val="center"/>
          </w:tcPr>
          <w:p w14:paraId="6134C182" w14:textId="77777777" w:rsidR="00B92EC0" w:rsidRPr="0029141C" w:rsidRDefault="00B92EC0" w:rsidP="00AD309C">
            <w:pPr>
              <w:pStyle w:val="ListParagraph"/>
              <w:numPr>
                <w:ilvl w:val="0"/>
                <w:numId w:val="325"/>
              </w:numPr>
              <w:rPr>
                <w:iCs/>
              </w:rPr>
            </w:pPr>
            <w:r w:rsidRPr="0029141C">
              <w:rPr>
                <w:iCs/>
              </w:rPr>
              <w:t>Yes</w:t>
            </w:r>
          </w:p>
          <w:p w14:paraId="2FB8E43F" w14:textId="77777777" w:rsidR="00B92EC0" w:rsidRDefault="00B92EC0" w:rsidP="00AD309C">
            <w:pPr>
              <w:pStyle w:val="ListParagraph"/>
              <w:numPr>
                <w:ilvl w:val="0"/>
                <w:numId w:val="325"/>
              </w:numPr>
              <w:rPr>
                <w:iCs/>
              </w:rPr>
            </w:pPr>
            <w:r w:rsidRPr="0029141C">
              <w:rPr>
                <w:iCs/>
              </w:rPr>
              <w:t>Yes, but no longer performs these procedures</w:t>
            </w:r>
          </w:p>
          <w:p w14:paraId="2080E424" w14:textId="280DAD2A" w:rsidR="00B92EC0" w:rsidRPr="00B92EC0" w:rsidRDefault="00B92EC0" w:rsidP="00AD309C">
            <w:pPr>
              <w:pStyle w:val="ListParagraph"/>
              <w:numPr>
                <w:ilvl w:val="0"/>
                <w:numId w:val="325"/>
              </w:numPr>
              <w:rPr>
                <w:iCs/>
              </w:rPr>
            </w:pPr>
            <w:r w:rsidRPr="00B92EC0">
              <w:rPr>
                <w:iCs/>
              </w:rPr>
              <w:t>No</w:t>
            </w:r>
          </w:p>
        </w:tc>
      </w:tr>
      <w:tr w:rsidR="00B92EC0" w:rsidRPr="00EE0483" w14:paraId="531D6C11" w14:textId="77777777" w:rsidTr="00A212A4">
        <w:trPr>
          <w:trHeight w:val="576"/>
        </w:trPr>
        <w:tc>
          <w:tcPr>
            <w:tcW w:w="6475" w:type="dxa"/>
            <w:tcMar>
              <w:top w:w="72" w:type="dxa"/>
              <w:left w:w="115" w:type="dxa"/>
              <w:bottom w:w="72" w:type="dxa"/>
              <w:right w:w="115" w:type="dxa"/>
            </w:tcMar>
            <w:vAlign w:val="center"/>
          </w:tcPr>
          <w:p w14:paraId="22DDB982" w14:textId="6B94D7F6" w:rsidR="00B92EC0" w:rsidRPr="005D2045" w:rsidRDefault="00B92EC0" w:rsidP="00AD309C">
            <w:pPr>
              <w:pStyle w:val="ListParagraph"/>
              <w:numPr>
                <w:ilvl w:val="0"/>
                <w:numId w:val="91"/>
              </w:numPr>
            </w:pPr>
            <w:r w:rsidRPr="005D2045">
              <w:t xml:space="preserve">During the reporting period, were one or more of the following </w:t>
            </w:r>
            <w:r w:rsidRPr="005D2045">
              <w:rPr>
                <w:b/>
              </w:rPr>
              <w:t>orthopedic</w:t>
            </w:r>
            <w:r w:rsidRPr="005D2045">
              <w:t xml:space="preserve"> procedures performed at your </w:t>
            </w:r>
            <w:r>
              <w:t>hospital outpatient department(s)</w:t>
            </w:r>
            <w:r w:rsidRPr="005D2045">
              <w:t xml:space="preserve"> on </w:t>
            </w:r>
            <w:r w:rsidRPr="005D2045">
              <w:rPr>
                <w:u w:val="single"/>
              </w:rPr>
              <w:t>adult</w:t>
            </w:r>
            <w:r w:rsidRPr="000530FC">
              <w:t xml:space="preserve"> </w:t>
            </w:r>
            <w:r w:rsidR="001A4A1F">
              <w:t>and/</w:t>
            </w:r>
            <w:r w:rsidRPr="000530FC">
              <w:t>or</w:t>
            </w:r>
            <w:r w:rsidRPr="005D2045">
              <w:rPr>
                <w:u w:val="single"/>
              </w:rPr>
              <w:t xml:space="preserve"> pediatric</w:t>
            </w:r>
            <w:r w:rsidRPr="005D2045">
              <w:t xml:space="preserve"> patients</w:t>
            </w:r>
            <w:r w:rsidR="00803B4E">
              <w:t>:</w:t>
            </w:r>
          </w:p>
          <w:p w14:paraId="2F2264D4" w14:textId="77777777" w:rsidR="00B92EC0" w:rsidRPr="005D2045" w:rsidRDefault="00B92EC0" w:rsidP="00B92EC0">
            <w:pPr>
              <w:pStyle w:val="ListParagraph"/>
              <w:ind w:left="360"/>
            </w:pPr>
          </w:p>
          <w:p w14:paraId="5582E01F" w14:textId="0DF1A21A" w:rsidR="00B92EC0" w:rsidRDefault="00B92EC0" w:rsidP="00AD309C">
            <w:pPr>
              <w:pStyle w:val="ListParagraph"/>
              <w:numPr>
                <w:ilvl w:val="0"/>
                <w:numId w:val="109"/>
              </w:numPr>
            </w:pPr>
            <w:r w:rsidRPr="005D2045">
              <w:t>Finger, hand, wrist</w:t>
            </w:r>
            <w:r>
              <w:t>, forearm, and elbow procedures</w:t>
            </w:r>
            <w:r w:rsidR="00803B4E">
              <w:t>;</w:t>
            </w:r>
          </w:p>
          <w:p w14:paraId="18DCED91" w14:textId="0ABCABF1" w:rsidR="00B92EC0" w:rsidRPr="005D2045" w:rsidRDefault="00B92EC0" w:rsidP="00AD309C">
            <w:pPr>
              <w:pStyle w:val="ListParagraph"/>
              <w:numPr>
                <w:ilvl w:val="0"/>
                <w:numId w:val="109"/>
              </w:numPr>
            </w:pPr>
            <w:r w:rsidRPr="005D2045">
              <w:t>Shoulder procedures</w:t>
            </w:r>
            <w:r w:rsidR="00803B4E">
              <w:t>;</w:t>
            </w:r>
          </w:p>
          <w:p w14:paraId="6E928128" w14:textId="536C6C38" w:rsidR="00B92EC0" w:rsidRPr="005D2045" w:rsidRDefault="00B92EC0" w:rsidP="00AD309C">
            <w:pPr>
              <w:pStyle w:val="ListParagraph"/>
              <w:numPr>
                <w:ilvl w:val="0"/>
                <w:numId w:val="109"/>
              </w:numPr>
            </w:pPr>
            <w:r w:rsidRPr="005D2045">
              <w:t>Spine procedures</w:t>
            </w:r>
            <w:r w:rsidR="00803B4E">
              <w:t>;</w:t>
            </w:r>
          </w:p>
          <w:p w14:paraId="0571BF31" w14:textId="25ACE9E9" w:rsidR="00B92EC0" w:rsidRDefault="00B92EC0" w:rsidP="00AD309C">
            <w:pPr>
              <w:pStyle w:val="ListParagraph"/>
              <w:numPr>
                <w:ilvl w:val="0"/>
                <w:numId w:val="109"/>
              </w:numPr>
            </w:pPr>
            <w:r>
              <w:t>Hip procedures</w:t>
            </w:r>
            <w:r w:rsidR="00803B4E">
              <w:t>;</w:t>
            </w:r>
          </w:p>
          <w:p w14:paraId="77C05E63" w14:textId="19726959" w:rsidR="00B92EC0" w:rsidRPr="005D2045" w:rsidRDefault="00B92EC0" w:rsidP="00AD309C">
            <w:pPr>
              <w:pStyle w:val="ListParagraph"/>
              <w:numPr>
                <w:ilvl w:val="0"/>
                <w:numId w:val="109"/>
              </w:numPr>
            </w:pPr>
            <w:r w:rsidRPr="005D2045">
              <w:t xml:space="preserve">Knee </w:t>
            </w:r>
            <w:r>
              <w:t>p</w:t>
            </w:r>
            <w:r w:rsidRPr="005D2045">
              <w:t>rocedures</w:t>
            </w:r>
            <w:r w:rsidR="00803B4E">
              <w:t>;</w:t>
            </w:r>
          </w:p>
          <w:p w14:paraId="29F206E2" w14:textId="0041D3F5" w:rsidR="00B92EC0" w:rsidRPr="005D2045" w:rsidRDefault="00B92EC0" w:rsidP="00AD309C">
            <w:pPr>
              <w:pStyle w:val="ListParagraph"/>
              <w:numPr>
                <w:ilvl w:val="0"/>
                <w:numId w:val="109"/>
              </w:numPr>
            </w:pPr>
            <w:r w:rsidRPr="005D2045">
              <w:t>Toe, foot, ankle, and leg procedures</w:t>
            </w:r>
            <w:r w:rsidR="00803B4E">
              <w:t>; or</w:t>
            </w:r>
          </w:p>
          <w:p w14:paraId="44FEDCF3" w14:textId="703DACEB" w:rsidR="00B92EC0" w:rsidRPr="005D2045" w:rsidRDefault="00B92EC0" w:rsidP="00AD309C">
            <w:pPr>
              <w:pStyle w:val="ListParagraph"/>
              <w:numPr>
                <w:ilvl w:val="0"/>
                <w:numId w:val="109"/>
              </w:numPr>
            </w:pPr>
            <w:r w:rsidRPr="005D2045">
              <w:t>General orthopedic procedures</w:t>
            </w:r>
            <w:r w:rsidR="00803B4E">
              <w:t>?</w:t>
            </w:r>
          </w:p>
          <w:p w14:paraId="006F2FBF" w14:textId="77777777" w:rsidR="00B92EC0" w:rsidRPr="005D2045" w:rsidRDefault="00B92EC0" w:rsidP="00B92EC0">
            <w:pPr>
              <w:pStyle w:val="ListParagraph"/>
              <w:ind w:left="360"/>
            </w:pPr>
          </w:p>
          <w:p w14:paraId="09BA8034" w14:textId="14336089" w:rsidR="00B92EC0" w:rsidRPr="005D2045" w:rsidRDefault="00B92EC0" w:rsidP="004F63C1">
            <w:pPr>
              <w:pStyle w:val="ListParagraph"/>
              <w:ind w:left="360"/>
            </w:pPr>
            <w:r w:rsidRPr="005D2045">
              <w:rPr>
                <w:i/>
              </w:rPr>
              <w:t>If “no” or “yes, but no longer perform</w:t>
            </w:r>
            <w:r>
              <w:rPr>
                <w:i/>
              </w:rPr>
              <w:t>s</w:t>
            </w:r>
            <w:r w:rsidRPr="005D2045">
              <w:rPr>
                <w:i/>
              </w:rPr>
              <w:t xml:space="preserve"> these procedures,” skip question</w:t>
            </w:r>
            <w:r>
              <w:rPr>
                <w:i/>
              </w:rPr>
              <w:t>s</w:t>
            </w:r>
            <w:r w:rsidRPr="005D2045">
              <w:rPr>
                <w:i/>
              </w:rPr>
              <w:t xml:space="preserve"> #</w:t>
            </w:r>
            <w:r>
              <w:rPr>
                <w:i/>
              </w:rPr>
              <w:t>14-16</w:t>
            </w:r>
            <w:r w:rsidRPr="005D2045">
              <w:rPr>
                <w:i/>
              </w:rPr>
              <w:t xml:space="preserve"> below.</w:t>
            </w:r>
          </w:p>
        </w:tc>
        <w:tc>
          <w:tcPr>
            <w:tcW w:w="2875" w:type="dxa"/>
            <w:vAlign w:val="center"/>
          </w:tcPr>
          <w:p w14:paraId="18A968FB" w14:textId="77777777" w:rsidR="00B92EC0" w:rsidRPr="0029141C" w:rsidRDefault="00B92EC0" w:rsidP="00AD309C">
            <w:pPr>
              <w:pStyle w:val="ListParagraph"/>
              <w:numPr>
                <w:ilvl w:val="0"/>
                <w:numId w:val="325"/>
              </w:numPr>
              <w:rPr>
                <w:iCs/>
              </w:rPr>
            </w:pPr>
            <w:r w:rsidRPr="0029141C">
              <w:rPr>
                <w:iCs/>
              </w:rPr>
              <w:t>Yes</w:t>
            </w:r>
          </w:p>
          <w:p w14:paraId="36C9F975" w14:textId="77777777" w:rsidR="00B92EC0" w:rsidRDefault="00B92EC0" w:rsidP="00AD309C">
            <w:pPr>
              <w:pStyle w:val="ListParagraph"/>
              <w:numPr>
                <w:ilvl w:val="0"/>
                <w:numId w:val="325"/>
              </w:numPr>
              <w:rPr>
                <w:iCs/>
              </w:rPr>
            </w:pPr>
            <w:r w:rsidRPr="0029141C">
              <w:rPr>
                <w:iCs/>
              </w:rPr>
              <w:t>Yes, but no longer performs these procedures</w:t>
            </w:r>
          </w:p>
          <w:p w14:paraId="52D511EC" w14:textId="6C348B1E" w:rsidR="00B92EC0" w:rsidRPr="00B92EC0" w:rsidRDefault="00B92EC0" w:rsidP="00AD309C">
            <w:pPr>
              <w:pStyle w:val="ListParagraph"/>
              <w:numPr>
                <w:ilvl w:val="0"/>
                <w:numId w:val="325"/>
              </w:numPr>
              <w:rPr>
                <w:iCs/>
              </w:rPr>
            </w:pPr>
            <w:r w:rsidRPr="00B92EC0">
              <w:rPr>
                <w:iCs/>
              </w:rPr>
              <w:t>No</w:t>
            </w:r>
          </w:p>
        </w:tc>
      </w:tr>
      <w:tr w:rsidR="00B92EC0" w:rsidRPr="00EE0483" w14:paraId="7199A7BD" w14:textId="77777777" w:rsidTr="00A212A4">
        <w:trPr>
          <w:trHeight w:val="576"/>
        </w:trPr>
        <w:tc>
          <w:tcPr>
            <w:tcW w:w="6475" w:type="dxa"/>
            <w:tcMar>
              <w:top w:w="72" w:type="dxa"/>
              <w:left w:w="115" w:type="dxa"/>
              <w:bottom w:w="72" w:type="dxa"/>
              <w:right w:w="115" w:type="dxa"/>
            </w:tcMar>
            <w:vAlign w:val="center"/>
          </w:tcPr>
          <w:p w14:paraId="3C1B8385" w14:textId="482DDC3F" w:rsidR="00B92EC0" w:rsidRPr="005D2045" w:rsidRDefault="00B92EC0" w:rsidP="00AD309C">
            <w:pPr>
              <w:pStyle w:val="ListParagraph"/>
              <w:numPr>
                <w:ilvl w:val="0"/>
                <w:numId w:val="91"/>
              </w:numPr>
            </w:pPr>
            <w:r w:rsidRPr="005D2045">
              <w:t xml:space="preserve">During the reporting period, were one or more of the following </w:t>
            </w:r>
            <w:r w:rsidRPr="005D2045">
              <w:rPr>
                <w:b/>
              </w:rPr>
              <w:t xml:space="preserve">otolaryngology </w:t>
            </w:r>
            <w:r w:rsidRPr="005D2045">
              <w:t xml:space="preserve">procedures performed at your </w:t>
            </w:r>
            <w:r>
              <w:t>hospital outpatient department(s)</w:t>
            </w:r>
            <w:r w:rsidRPr="005D2045">
              <w:t xml:space="preserve"> on </w:t>
            </w:r>
            <w:r w:rsidRPr="005D2045">
              <w:rPr>
                <w:u w:val="single"/>
              </w:rPr>
              <w:t>adult</w:t>
            </w:r>
            <w:r w:rsidRPr="000530FC">
              <w:t xml:space="preserve"> </w:t>
            </w:r>
            <w:r w:rsidR="001A4A1F">
              <w:t>and/</w:t>
            </w:r>
            <w:r w:rsidRPr="000530FC">
              <w:t>or</w:t>
            </w:r>
            <w:r w:rsidRPr="005D2045">
              <w:rPr>
                <w:u w:val="single"/>
              </w:rPr>
              <w:t xml:space="preserve"> pediatric</w:t>
            </w:r>
            <w:r w:rsidRPr="005D2045">
              <w:t xml:space="preserve"> patients</w:t>
            </w:r>
            <w:r w:rsidR="00803B4E">
              <w:t>:</w:t>
            </w:r>
          </w:p>
          <w:p w14:paraId="06914994" w14:textId="77777777" w:rsidR="00B92EC0" w:rsidRPr="005D2045" w:rsidRDefault="00B92EC0" w:rsidP="00B92EC0"/>
          <w:p w14:paraId="0EC07874" w14:textId="1D9F86C7" w:rsidR="00B92EC0" w:rsidRPr="005D2045" w:rsidRDefault="00B92EC0" w:rsidP="00AD309C">
            <w:pPr>
              <w:pStyle w:val="ListParagraph"/>
              <w:numPr>
                <w:ilvl w:val="0"/>
                <w:numId w:val="110"/>
              </w:numPr>
            </w:pPr>
            <w:r w:rsidRPr="005D2045">
              <w:t>Ear procedures</w:t>
            </w:r>
            <w:r w:rsidR="00DA4888">
              <w:t>;</w:t>
            </w:r>
          </w:p>
          <w:p w14:paraId="08D9AAC6" w14:textId="789E87CE" w:rsidR="00B92EC0" w:rsidRPr="005D2045" w:rsidRDefault="00B92EC0" w:rsidP="00AD309C">
            <w:pPr>
              <w:pStyle w:val="ListParagraph"/>
              <w:numPr>
                <w:ilvl w:val="0"/>
                <w:numId w:val="110"/>
              </w:numPr>
            </w:pPr>
            <w:r w:rsidRPr="005D2045">
              <w:t>Mouth procedures</w:t>
            </w:r>
            <w:r w:rsidR="00DA4888">
              <w:t>;</w:t>
            </w:r>
          </w:p>
          <w:p w14:paraId="21791CFD" w14:textId="0D1E7E9D" w:rsidR="00B92EC0" w:rsidRPr="005D2045" w:rsidRDefault="00B92EC0" w:rsidP="00AD309C">
            <w:pPr>
              <w:pStyle w:val="ListParagraph"/>
              <w:numPr>
                <w:ilvl w:val="0"/>
                <w:numId w:val="110"/>
              </w:numPr>
            </w:pPr>
            <w:r w:rsidRPr="005D2045">
              <w:t>Nasal/sinus procedures</w:t>
            </w:r>
            <w:r w:rsidR="00DA4888">
              <w:t>;</w:t>
            </w:r>
            <w:r w:rsidR="00803B4E">
              <w:t xml:space="preserve"> or</w:t>
            </w:r>
          </w:p>
          <w:p w14:paraId="3E59CC15" w14:textId="6E27ADFF" w:rsidR="00B92EC0" w:rsidRPr="005D2045" w:rsidRDefault="00B92EC0" w:rsidP="00AD309C">
            <w:pPr>
              <w:pStyle w:val="ListParagraph"/>
              <w:numPr>
                <w:ilvl w:val="0"/>
                <w:numId w:val="110"/>
              </w:numPr>
            </w:pPr>
            <w:r>
              <w:t>Pharynx/adenoid/tonsil</w:t>
            </w:r>
            <w:r w:rsidRPr="005D2045">
              <w:t xml:space="preserve"> procedures</w:t>
            </w:r>
            <w:r w:rsidR="00803B4E">
              <w:t>?</w:t>
            </w:r>
          </w:p>
          <w:p w14:paraId="15F727FC" w14:textId="77777777" w:rsidR="00B92EC0" w:rsidRPr="005D2045" w:rsidRDefault="00B92EC0" w:rsidP="00B92EC0">
            <w:pPr>
              <w:pStyle w:val="ListParagraph"/>
              <w:ind w:left="360"/>
            </w:pPr>
          </w:p>
          <w:p w14:paraId="7CA65F00" w14:textId="0C5D96A8" w:rsidR="00B92EC0" w:rsidRPr="005D2045" w:rsidRDefault="00B92EC0" w:rsidP="004F63C1">
            <w:pPr>
              <w:pStyle w:val="ListParagraph"/>
              <w:ind w:left="360"/>
            </w:pPr>
            <w:r w:rsidRPr="005D2045">
              <w:rPr>
                <w:i/>
              </w:rPr>
              <w:t>If “no” or “yes, but no longer perform</w:t>
            </w:r>
            <w:r>
              <w:rPr>
                <w:i/>
              </w:rPr>
              <w:t>s</w:t>
            </w:r>
            <w:r w:rsidRPr="005D2045">
              <w:rPr>
                <w:i/>
              </w:rPr>
              <w:t xml:space="preserve"> these procedures,” skip question</w:t>
            </w:r>
            <w:r>
              <w:rPr>
                <w:i/>
              </w:rPr>
              <w:t>s</w:t>
            </w:r>
            <w:r w:rsidRPr="005D2045">
              <w:rPr>
                <w:i/>
              </w:rPr>
              <w:t xml:space="preserve"> #</w:t>
            </w:r>
            <w:r>
              <w:rPr>
                <w:i/>
              </w:rPr>
              <w:t>17-19</w:t>
            </w:r>
            <w:r w:rsidRPr="005D2045">
              <w:rPr>
                <w:i/>
              </w:rPr>
              <w:t xml:space="preserve"> below.</w:t>
            </w:r>
          </w:p>
        </w:tc>
        <w:tc>
          <w:tcPr>
            <w:tcW w:w="2875" w:type="dxa"/>
            <w:vAlign w:val="center"/>
          </w:tcPr>
          <w:p w14:paraId="4A97C9D5" w14:textId="77777777" w:rsidR="00B92EC0" w:rsidRPr="0029141C" w:rsidRDefault="00B92EC0" w:rsidP="00AD309C">
            <w:pPr>
              <w:pStyle w:val="ListParagraph"/>
              <w:numPr>
                <w:ilvl w:val="0"/>
                <w:numId w:val="325"/>
              </w:numPr>
              <w:rPr>
                <w:iCs/>
              </w:rPr>
            </w:pPr>
            <w:r w:rsidRPr="0029141C">
              <w:rPr>
                <w:iCs/>
              </w:rPr>
              <w:t>Yes</w:t>
            </w:r>
          </w:p>
          <w:p w14:paraId="7A50BB44" w14:textId="77777777" w:rsidR="00B92EC0" w:rsidRDefault="00B92EC0" w:rsidP="00AD309C">
            <w:pPr>
              <w:pStyle w:val="ListParagraph"/>
              <w:numPr>
                <w:ilvl w:val="0"/>
                <w:numId w:val="325"/>
              </w:numPr>
              <w:rPr>
                <w:iCs/>
              </w:rPr>
            </w:pPr>
            <w:r w:rsidRPr="0029141C">
              <w:rPr>
                <w:iCs/>
              </w:rPr>
              <w:t>Yes, but no longer performs these procedures</w:t>
            </w:r>
          </w:p>
          <w:p w14:paraId="15978A19" w14:textId="1F8988C5" w:rsidR="00B92EC0" w:rsidRPr="00B92EC0" w:rsidRDefault="00B92EC0" w:rsidP="00AD309C">
            <w:pPr>
              <w:pStyle w:val="ListParagraph"/>
              <w:numPr>
                <w:ilvl w:val="0"/>
                <w:numId w:val="325"/>
              </w:numPr>
              <w:rPr>
                <w:iCs/>
              </w:rPr>
            </w:pPr>
            <w:r w:rsidRPr="00B92EC0">
              <w:rPr>
                <w:iCs/>
              </w:rPr>
              <w:t>No</w:t>
            </w:r>
          </w:p>
        </w:tc>
      </w:tr>
      <w:tr w:rsidR="00B92EC0" w:rsidRPr="00EE0483" w14:paraId="13938867" w14:textId="77777777" w:rsidTr="00FB41BD">
        <w:trPr>
          <w:trHeight w:val="1152"/>
        </w:trPr>
        <w:tc>
          <w:tcPr>
            <w:tcW w:w="6475" w:type="dxa"/>
            <w:tcMar>
              <w:top w:w="72" w:type="dxa"/>
              <w:left w:w="115" w:type="dxa"/>
              <w:bottom w:w="72" w:type="dxa"/>
              <w:right w:w="115" w:type="dxa"/>
            </w:tcMar>
            <w:vAlign w:val="center"/>
          </w:tcPr>
          <w:p w14:paraId="1C16D7C4" w14:textId="22673BAC" w:rsidR="00B92EC0" w:rsidRPr="005D2045" w:rsidRDefault="00B92EC0" w:rsidP="00AD309C">
            <w:pPr>
              <w:pStyle w:val="ListParagraph"/>
              <w:numPr>
                <w:ilvl w:val="0"/>
                <w:numId w:val="91"/>
              </w:numPr>
              <w:rPr>
                <w:b/>
                <w:i/>
              </w:rPr>
            </w:pPr>
            <w:r w:rsidRPr="005D2045">
              <w:t xml:space="preserve">During the reporting period, were one or more of the following </w:t>
            </w:r>
            <w:r w:rsidRPr="005D2045">
              <w:rPr>
                <w:b/>
              </w:rPr>
              <w:t xml:space="preserve">gastroenterology </w:t>
            </w:r>
            <w:r w:rsidRPr="005D2045">
              <w:t xml:space="preserve">procedures performed at your </w:t>
            </w:r>
            <w:r>
              <w:t>hospital outpatient department(s)</w:t>
            </w:r>
            <w:r w:rsidRPr="005D2045">
              <w:t xml:space="preserve"> on </w:t>
            </w:r>
            <w:r w:rsidRPr="005D2045">
              <w:rPr>
                <w:u w:val="single"/>
              </w:rPr>
              <w:t xml:space="preserve">adult </w:t>
            </w:r>
            <w:r w:rsidRPr="005D2045">
              <w:t>patients</w:t>
            </w:r>
            <w:r w:rsidR="00803B4E">
              <w:t>:</w:t>
            </w:r>
          </w:p>
          <w:p w14:paraId="33602EF4" w14:textId="77777777" w:rsidR="00B92EC0" w:rsidRPr="005D2045" w:rsidRDefault="00B92EC0" w:rsidP="00B92EC0">
            <w:pPr>
              <w:pStyle w:val="ListParagraph"/>
              <w:ind w:left="360"/>
            </w:pPr>
          </w:p>
          <w:p w14:paraId="0BF61BB0" w14:textId="7A270DDE" w:rsidR="00B92EC0" w:rsidRPr="005D2045" w:rsidRDefault="00B92EC0" w:rsidP="00AD309C">
            <w:pPr>
              <w:pStyle w:val="ListParagraph"/>
              <w:numPr>
                <w:ilvl w:val="0"/>
                <w:numId w:val="106"/>
              </w:numPr>
            </w:pPr>
            <w:r w:rsidRPr="005D2045">
              <w:t xml:space="preserve">Upper GI </w:t>
            </w:r>
            <w:r>
              <w:t>e</w:t>
            </w:r>
            <w:r w:rsidRPr="005D2045">
              <w:t>ndoscopy</w:t>
            </w:r>
            <w:r w:rsidR="00803B4E">
              <w:t>, or</w:t>
            </w:r>
          </w:p>
          <w:p w14:paraId="11A8E91A" w14:textId="000FDDF5" w:rsidR="00B92EC0" w:rsidRPr="005D2045" w:rsidRDefault="00B92EC0" w:rsidP="00AD309C">
            <w:pPr>
              <w:pStyle w:val="ListParagraph"/>
              <w:numPr>
                <w:ilvl w:val="0"/>
                <w:numId w:val="106"/>
              </w:numPr>
            </w:pPr>
            <w:r w:rsidRPr="005D2045">
              <w:t xml:space="preserve">Lower GI </w:t>
            </w:r>
            <w:r>
              <w:t>e</w:t>
            </w:r>
            <w:r w:rsidRPr="005D2045">
              <w:t>ndoscopy</w:t>
            </w:r>
            <w:r w:rsidR="00803B4E">
              <w:t>?</w:t>
            </w:r>
          </w:p>
          <w:p w14:paraId="18035860" w14:textId="77777777" w:rsidR="00B92EC0" w:rsidRPr="005D2045" w:rsidRDefault="00B92EC0" w:rsidP="00B92EC0">
            <w:pPr>
              <w:ind w:left="360"/>
            </w:pPr>
          </w:p>
          <w:p w14:paraId="53621641" w14:textId="2A37A367" w:rsidR="00B92EC0" w:rsidRPr="005D2045" w:rsidRDefault="00B92EC0" w:rsidP="00B92EC0">
            <w:pPr>
              <w:ind w:left="360"/>
              <w:rPr>
                <w:b/>
                <w:i/>
              </w:rPr>
            </w:pPr>
            <w:r w:rsidRPr="005D2045">
              <w:rPr>
                <w:i/>
              </w:rPr>
              <w:t>If “no” or “yes, but no longer perform</w:t>
            </w:r>
            <w:r>
              <w:rPr>
                <w:i/>
              </w:rPr>
              <w:t>s</w:t>
            </w:r>
            <w:r w:rsidRPr="005D2045">
              <w:rPr>
                <w:i/>
              </w:rPr>
              <w:t xml:space="preserve"> these procedures,” skip question</w:t>
            </w:r>
            <w:r>
              <w:rPr>
                <w:i/>
              </w:rPr>
              <w:t>s</w:t>
            </w:r>
            <w:r w:rsidRPr="005D2045">
              <w:rPr>
                <w:i/>
              </w:rPr>
              <w:t xml:space="preserve"> #</w:t>
            </w:r>
            <w:r>
              <w:rPr>
                <w:i/>
              </w:rPr>
              <w:t>20-22</w:t>
            </w:r>
            <w:r w:rsidRPr="005D2045">
              <w:rPr>
                <w:i/>
              </w:rPr>
              <w:t xml:space="preserve"> below.</w:t>
            </w:r>
          </w:p>
        </w:tc>
        <w:tc>
          <w:tcPr>
            <w:tcW w:w="2875" w:type="dxa"/>
            <w:vAlign w:val="center"/>
          </w:tcPr>
          <w:p w14:paraId="74FCA6B8" w14:textId="77777777" w:rsidR="00B92EC0" w:rsidRPr="004F63C1" w:rsidRDefault="00B92EC0" w:rsidP="00AD309C">
            <w:pPr>
              <w:pStyle w:val="ListParagraph"/>
              <w:numPr>
                <w:ilvl w:val="0"/>
                <w:numId w:val="325"/>
              </w:numPr>
              <w:rPr>
                <w:iCs/>
              </w:rPr>
            </w:pPr>
            <w:r w:rsidRPr="004F63C1">
              <w:rPr>
                <w:iCs/>
              </w:rPr>
              <w:t>Yes</w:t>
            </w:r>
          </w:p>
          <w:p w14:paraId="1B94E6F8" w14:textId="255D8EE2" w:rsidR="00B92EC0" w:rsidRPr="004F63C1" w:rsidRDefault="00B92EC0" w:rsidP="00AD309C">
            <w:pPr>
              <w:pStyle w:val="ListParagraph"/>
              <w:numPr>
                <w:ilvl w:val="0"/>
                <w:numId w:val="325"/>
              </w:numPr>
              <w:rPr>
                <w:iCs/>
              </w:rPr>
            </w:pPr>
            <w:r w:rsidRPr="004F63C1">
              <w:rPr>
                <w:iCs/>
              </w:rPr>
              <w:t>Yes, but no longer performs these procedures</w:t>
            </w:r>
          </w:p>
          <w:p w14:paraId="3A6D70F7" w14:textId="77777777" w:rsidR="00B92EC0" w:rsidRPr="004F63C1" w:rsidRDefault="00B92EC0" w:rsidP="00AD309C">
            <w:pPr>
              <w:pStyle w:val="ListParagraph"/>
              <w:numPr>
                <w:ilvl w:val="0"/>
                <w:numId w:val="325"/>
              </w:numPr>
              <w:rPr>
                <w:iCs/>
              </w:rPr>
            </w:pPr>
            <w:r w:rsidRPr="004F63C1">
              <w:rPr>
                <w:iCs/>
              </w:rPr>
              <w:t>No</w:t>
            </w:r>
          </w:p>
        </w:tc>
      </w:tr>
      <w:tr w:rsidR="00B92EC0" w:rsidRPr="00EE0483" w14:paraId="25C7ACC2" w14:textId="77777777" w:rsidTr="00F83C07">
        <w:trPr>
          <w:trHeight w:val="2304"/>
        </w:trPr>
        <w:tc>
          <w:tcPr>
            <w:tcW w:w="6475" w:type="dxa"/>
            <w:tcMar>
              <w:top w:w="72" w:type="dxa"/>
              <w:left w:w="115" w:type="dxa"/>
              <w:bottom w:w="72" w:type="dxa"/>
              <w:right w:w="115" w:type="dxa"/>
            </w:tcMar>
            <w:vAlign w:val="center"/>
          </w:tcPr>
          <w:p w14:paraId="1DE494A3" w14:textId="6D6906B4" w:rsidR="00B92EC0" w:rsidRPr="005D2045" w:rsidRDefault="00B92EC0" w:rsidP="00AD309C">
            <w:pPr>
              <w:pStyle w:val="ListParagraph"/>
              <w:numPr>
                <w:ilvl w:val="0"/>
                <w:numId w:val="91"/>
              </w:numPr>
            </w:pPr>
            <w:r w:rsidRPr="005D2045">
              <w:t xml:space="preserve">During the reporting period, were one or more of the following </w:t>
            </w:r>
            <w:r w:rsidRPr="005D2045">
              <w:rPr>
                <w:b/>
              </w:rPr>
              <w:t>general surgery</w:t>
            </w:r>
            <w:r w:rsidRPr="005D2045">
              <w:t xml:space="preserve"> procedures performed at your </w:t>
            </w:r>
            <w:r>
              <w:t>hospital outpatient department(s)</w:t>
            </w:r>
            <w:r w:rsidRPr="005D2045">
              <w:t xml:space="preserve"> on </w:t>
            </w:r>
            <w:r w:rsidRPr="005D2045">
              <w:rPr>
                <w:u w:val="single"/>
              </w:rPr>
              <w:t>adult</w:t>
            </w:r>
            <w:r w:rsidRPr="000530FC">
              <w:t xml:space="preserve"> </w:t>
            </w:r>
            <w:r w:rsidRPr="005D2045">
              <w:t>patients</w:t>
            </w:r>
            <w:r w:rsidR="00803B4E">
              <w:t>:</w:t>
            </w:r>
          </w:p>
          <w:p w14:paraId="6526F40D" w14:textId="77777777" w:rsidR="00B92EC0" w:rsidRPr="005D2045" w:rsidRDefault="00B92EC0" w:rsidP="00B92EC0">
            <w:pPr>
              <w:pStyle w:val="ListParagraph"/>
              <w:ind w:left="360"/>
            </w:pPr>
          </w:p>
          <w:p w14:paraId="226D7177" w14:textId="0CCBE65D" w:rsidR="00B92EC0" w:rsidRPr="005D2045" w:rsidRDefault="00B92EC0" w:rsidP="00AD309C">
            <w:pPr>
              <w:pStyle w:val="ListParagraph"/>
              <w:numPr>
                <w:ilvl w:val="0"/>
                <w:numId w:val="107"/>
              </w:numPr>
            </w:pPr>
            <w:r w:rsidRPr="005D2045">
              <w:t>Cholecystectomy and common duct exploration</w:t>
            </w:r>
            <w:r w:rsidR="005B075F">
              <w:t>;</w:t>
            </w:r>
          </w:p>
          <w:p w14:paraId="209934A0" w14:textId="05512C18" w:rsidR="00B92EC0" w:rsidRPr="005D2045" w:rsidRDefault="00B92EC0" w:rsidP="00AD309C">
            <w:pPr>
              <w:pStyle w:val="ListParagraph"/>
              <w:numPr>
                <w:ilvl w:val="0"/>
                <w:numId w:val="107"/>
              </w:numPr>
            </w:pPr>
            <w:r w:rsidRPr="005D2045">
              <w:t>Hemorrhoid procedures</w:t>
            </w:r>
            <w:r w:rsidR="005B075F">
              <w:t>;</w:t>
            </w:r>
          </w:p>
          <w:p w14:paraId="3084B0D9" w14:textId="161551F0" w:rsidR="00B92EC0" w:rsidRPr="005D2045" w:rsidRDefault="00B92EC0" w:rsidP="00AD309C">
            <w:pPr>
              <w:pStyle w:val="ListParagraph"/>
              <w:numPr>
                <w:ilvl w:val="0"/>
                <w:numId w:val="107"/>
              </w:numPr>
            </w:pPr>
            <w:r w:rsidRPr="005D2045">
              <w:t>Inguinal and femoral hernia repair</w:t>
            </w:r>
            <w:r w:rsidR="005B075F">
              <w:t>;</w:t>
            </w:r>
          </w:p>
          <w:p w14:paraId="6D813CB0" w14:textId="1F59B677" w:rsidR="00B92EC0" w:rsidRPr="005D2045" w:rsidRDefault="00B92EC0" w:rsidP="00AD309C">
            <w:pPr>
              <w:pStyle w:val="ListParagraph"/>
              <w:numPr>
                <w:ilvl w:val="0"/>
                <w:numId w:val="107"/>
              </w:numPr>
            </w:pPr>
            <w:r w:rsidRPr="005D2045">
              <w:t>Other hernia repair</w:t>
            </w:r>
            <w:r w:rsidR="005B075F">
              <w:t>;</w:t>
            </w:r>
          </w:p>
          <w:p w14:paraId="12020D33" w14:textId="541F343A" w:rsidR="00B92EC0" w:rsidRPr="005D2045" w:rsidRDefault="00B92EC0" w:rsidP="00AD309C">
            <w:pPr>
              <w:pStyle w:val="ListParagraph"/>
              <w:numPr>
                <w:ilvl w:val="0"/>
                <w:numId w:val="107"/>
              </w:numPr>
            </w:pPr>
            <w:r w:rsidRPr="005D2045">
              <w:t>Laparoscopy</w:t>
            </w:r>
            <w:r w:rsidR="005B075F">
              <w:t>;</w:t>
            </w:r>
          </w:p>
          <w:p w14:paraId="73C1084F" w14:textId="03C20ED8" w:rsidR="00B92EC0" w:rsidRPr="005D2045" w:rsidRDefault="00B92EC0" w:rsidP="00AD309C">
            <w:pPr>
              <w:pStyle w:val="ListParagraph"/>
              <w:numPr>
                <w:ilvl w:val="0"/>
                <w:numId w:val="107"/>
              </w:numPr>
            </w:pPr>
            <w:r w:rsidRPr="005D2045">
              <w:t>Lumpectomy or quadrantectomy of breast</w:t>
            </w:r>
            <w:r w:rsidR="005B075F">
              <w:t>;</w:t>
            </w:r>
            <w:r w:rsidR="00803B4E">
              <w:t xml:space="preserve"> or</w:t>
            </w:r>
          </w:p>
          <w:p w14:paraId="4F68B409" w14:textId="44FBC530" w:rsidR="00B92EC0" w:rsidRPr="005D2045" w:rsidRDefault="00B92EC0" w:rsidP="00AD309C">
            <w:pPr>
              <w:pStyle w:val="ListParagraph"/>
              <w:numPr>
                <w:ilvl w:val="0"/>
                <w:numId w:val="107"/>
              </w:numPr>
            </w:pPr>
            <w:r w:rsidRPr="005D2045">
              <w:t>Mastectomy</w:t>
            </w:r>
            <w:r w:rsidR="00803B4E">
              <w:t>?</w:t>
            </w:r>
          </w:p>
          <w:p w14:paraId="7F7FC0D6" w14:textId="77777777" w:rsidR="00B92EC0" w:rsidRPr="005D2045" w:rsidRDefault="00B92EC0" w:rsidP="00B92EC0">
            <w:pPr>
              <w:pStyle w:val="ListParagraph"/>
              <w:ind w:left="360"/>
            </w:pPr>
          </w:p>
          <w:p w14:paraId="6315D4A4" w14:textId="6DE03125" w:rsidR="00B92EC0" w:rsidRPr="005D2045" w:rsidRDefault="00B92EC0" w:rsidP="00B92EC0">
            <w:pPr>
              <w:pStyle w:val="ListParagraph"/>
              <w:ind w:left="360"/>
            </w:pPr>
            <w:r w:rsidRPr="005D2045">
              <w:rPr>
                <w:i/>
              </w:rPr>
              <w:t>If “no” or “yes, but no longer perform</w:t>
            </w:r>
            <w:r>
              <w:rPr>
                <w:i/>
              </w:rPr>
              <w:t>s</w:t>
            </w:r>
            <w:r w:rsidRPr="005D2045">
              <w:rPr>
                <w:i/>
              </w:rPr>
              <w:t xml:space="preserve"> these procedures,” skip question</w:t>
            </w:r>
            <w:r>
              <w:rPr>
                <w:i/>
              </w:rPr>
              <w:t>s</w:t>
            </w:r>
            <w:r w:rsidRPr="005D2045">
              <w:rPr>
                <w:i/>
              </w:rPr>
              <w:t xml:space="preserve"> #</w:t>
            </w:r>
            <w:r>
              <w:rPr>
                <w:i/>
              </w:rPr>
              <w:t>23-25</w:t>
            </w:r>
            <w:r w:rsidRPr="005D2045">
              <w:rPr>
                <w:i/>
              </w:rPr>
              <w:t xml:space="preserve"> below.</w:t>
            </w:r>
          </w:p>
        </w:tc>
        <w:tc>
          <w:tcPr>
            <w:tcW w:w="2875" w:type="dxa"/>
            <w:vAlign w:val="center"/>
          </w:tcPr>
          <w:p w14:paraId="578B7E01" w14:textId="77777777" w:rsidR="00B92EC0" w:rsidRPr="004F63C1" w:rsidRDefault="00B92EC0" w:rsidP="00AD309C">
            <w:pPr>
              <w:pStyle w:val="ListParagraph"/>
              <w:numPr>
                <w:ilvl w:val="0"/>
                <w:numId w:val="325"/>
              </w:numPr>
              <w:rPr>
                <w:iCs/>
              </w:rPr>
            </w:pPr>
            <w:r w:rsidRPr="004F63C1">
              <w:rPr>
                <w:iCs/>
              </w:rPr>
              <w:t>Yes</w:t>
            </w:r>
          </w:p>
          <w:p w14:paraId="1D6DD1D2" w14:textId="113F3119" w:rsidR="00B92EC0" w:rsidRPr="004F63C1" w:rsidRDefault="00B92EC0" w:rsidP="00AD309C">
            <w:pPr>
              <w:pStyle w:val="ListParagraph"/>
              <w:numPr>
                <w:ilvl w:val="0"/>
                <w:numId w:val="325"/>
              </w:numPr>
              <w:rPr>
                <w:iCs/>
              </w:rPr>
            </w:pPr>
            <w:r w:rsidRPr="004F63C1">
              <w:rPr>
                <w:iCs/>
              </w:rPr>
              <w:t>Yes, but no longer performs these procedures</w:t>
            </w:r>
          </w:p>
          <w:p w14:paraId="19171685" w14:textId="77777777" w:rsidR="00B92EC0" w:rsidRPr="004F63C1" w:rsidRDefault="00B92EC0" w:rsidP="00AD309C">
            <w:pPr>
              <w:pStyle w:val="ListParagraph"/>
              <w:numPr>
                <w:ilvl w:val="0"/>
                <w:numId w:val="325"/>
              </w:numPr>
              <w:rPr>
                <w:iCs/>
              </w:rPr>
            </w:pPr>
            <w:r w:rsidRPr="004F63C1">
              <w:rPr>
                <w:iCs/>
              </w:rPr>
              <w:t>No</w:t>
            </w:r>
          </w:p>
        </w:tc>
      </w:tr>
      <w:tr w:rsidR="00B92EC0" w:rsidRPr="00EE0483" w14:paraId="30E547E5" w14:textId="77777777" w:rsidTr="009358B5">
        <w:trPr>
          <w:trHeight w:val="1152"/>
        </w:trPr>
        <w:tc>
          <w:tcPr>
            <w:tcW w:w="6475" w:type="dxa"/>
            <w:tcMar>
              <w:top w:w="72" w:type="dxa"/>
              <w:left w:w="115" w:type="dxa"/>
              <w:bottom w:w="72" w:type="dxa"/>
              <w:right w:w="115" w:type="dxa"/>
            </w:tcMar>
            <w:vAlign w:val="center"/>
          </w:tcPr>
          <w:p w14:paraId="582D3FE8" w14:textId="713323B2" w:rsidR="00B92EC0" w:rsidRPr="005D2045" w:rsidRDefault="00B92EC0" w:rsidP="00AD309C">
            <w:pPr>
              <w:pStyle w:val="ListParagraph"/>
              <w:numPr>
                <w:ilvl w:val="0"/>
                <w:numId w:val="91"/>
              </w:numPr>
            </w:pPr>
            <w:r w:rsidRPr="005D2045">
              <w:t xml:space="preserve">During the reporting period, were one or more of the following </w:t>
            </w:r>
            <w:r w:rsidRPr="005D2045">
              <w:rPr>
                <w:b/>
              </w:rPr>
              <w:t>urology</w:t>
            </w:r>
            <w:r w:rsidRPr="005D2045">
              <w:t xml:space="preserve"> procedures performed at your </w:t>
            </w:r>
            <w:r>
              <w:t>hospital outpatient department(s)</w:t>
            </w:r>
            <w:r w:rsidRPr="005D2045">
              <w:t xml:space="preserve"> on </w:t>
            </w:r>
            <w:r w:rsidRPr="005D2045">
              <w:rPr>
                <w:u w:val="single"/>
              </w:rPr>
              <w:t>adult</w:t>
            </w:r>
            <w:r w:rsidRPr="000530FC">
              <w:t xml:space="preserve"> patients</w:t>
            </w:r>
            <w:r w:rsidR="00803B4E">
              <w:t>:</w:t>
            </w:r>
          </w:p>
          <w:p w14:paraId="5AF9992C" w14:textId="77777777" w:rsidR="00B92EC0" w:rsidRPr="005D2045" w:rsidRDefault="00B92EC0" w:rsidP="00B92EC0">
            <w:pPr>
              <w:pStyle w:val="ListParagraph"/>
              <w:ind w:left="360"/>
            </w:pPr>
          </w:p>
          <w:p w14:paraId="34760A6C" w14:textId="50009A2F" w:rsidR="00B92EC0" w:rsidRDefault="00B92EC0" w:rsidP="00AD309C">
            <w:pPr>
              <w:pStyle w:val="ListParagraph"/>
              <w:numPr>
                <w:ilvl w:val="0"/>
                <w:numId w:val="111"/>
              </w:numPr>
            </w:pPr>
            <w:r>
              <w:t>Circumcision</w:t>
            </w:r>
            <w:r w:rsidR="009C3188">
              <w:t>;</w:t>
            </w:r>
          </w:p>
          <w:p w14:paraId="2F7A981E" w14:textId="4227D138" w:rsidR="00B92EC0" w:rsidRPr="005D2045" w:rsidRDefault="00B92EC0" w:rsidP="00AD309C">
            <w:pPr>
              <w:pStyle w:val="ListParagraph"/>
              <w:numPr>
                <w:ilvl w:val="0"/>
                <w:numId w:val="111"/>
              </w:numPr>
            </w:pPr>
            <w:r w:rsidRPr="005D2045">
              <w:t>Cystourethroscopy</w:t>
            </w:r>
            <w:r w:rsidR="009C3188">
              <w:t>;</w:t>
            </w:r>
          </w:p>
          <w:p w14:paraId="0D2A8A4C" w14:textId="72AF2FFE" w:rsidR="00B92EC0" w:rsidRPr="005D2045" w:rsidRDefault="00B92EC0" w:rsidP="00AD309C">
            <w:pPr>
              <w:pStyle w:val="ListParagraph"/>
              <w:numPr>
                <w:ilvl w:val="0"/>
                <w:numId w:val="111"/>
              </w:numPr>
            </w:pPr>
            <w:r w:rsidRPr="005D2045">
              <w:t>Male genital procedures</w:t>
            </w:r>
            <w:r w:rsidR="009C3188">
              <w:t>;</w:t>
            </w:r>
          </w:p>
          <w:p w14:paraId="3B7727AC" w14:textId="2910879E" w:rsidR="00B92EC0" w:rsidRPr="005D2045" w:rsidRDefault="00B92EC0" w:rsidP="00AD309C">
            <w:pPr>
              <w:pStyle w:val="ListParagraph"/>
              <w:numPr>
                <w:ilvl w:val="0"/>
                <w:numId w:val="111"/>
              </w:numPr>
            </w:pPr>
            <w:r w:rsidRPr="005D2045">
              <w:t>Urethra procedures</w:t>
            </w:r>
            <w:r w:rsidR="009C3188">
              <w:t>;</w:t>
            </w:r>
            <w:r w:rsidR="00803B4E">
              <w:t xml:space="preserve"> or</w:t>
            </w:r>
          </w:p>
          <w:p w14:paraId="6539C5DA" w14:textId="2A6D721D" w:rsidR="00B92EC0" w:rsidRPr="005D2045" w:rsidRDefault="00B92EC0" w:rsidP="00AD309C">
            <w:pPr>
              <w:pStyle w:val="ListParagraph"/>
              <w:numPr>
                <w:ilvl w:val="0"/>
                <w:numId w:val="111"/>
              </w:numPr>
            </w:pPr>
            <w:r w:rsidRPr="005D2045">
              <w:t>Vaginal repair procedures</w:t>
            </w:r>
            <w:r w:rsidR="00803B4E">
              <w:t>?</w:t>
            </w:r>
          </w:p>
          <w:p w14:paraId="74682A43" w14:textId="77777777" w:rsidR="00B92EC0" w:rsidRPr="005D2045" w:rsidRDefault="00B92EC0" w:rsidP="00B92EC0">
            <w:pPr>
              <w:pStyle w:val="ListParagraph"/>
              <w:ind w:left="360"/>
            </w:pPr>
          </w:p>
          <w:p w14:paraId="5B2A4606" w14:textId="712328B9" w:rsidR="00B92EC0" w:rsidRPr="005D2045" w:rsidRDefault="00B92EC0" w:rsidP="00B92EC0">
            <w:pPr>
              <w:pStyle w:val="ListParagraph"/>
              <w:ind w:left="360"/>
            </w:pPr>
            <w:r w:rsidRPr="005D2045">
              <w:rPr>
                <w:i/>
              </w:rPr>
              <w:t>If “no” or “yes, but no longer perform</w:t>
            </w:r>
            <w:r>
              <w:rPr>
                <w:i/>
              </w:rPr>
              <w:t>s</w:t>
            </w:r>
            <w:r w:rsidRPr="005D2045">
              <w:rPr>
                <w:i/>
              </w:rPr>
              <w:t xml:space="preserve"> these procedures,” skip question</w:t>
            </w:r>
            <w:r>
              <w:rPr>
                <w:i/>
              </w:rPr>
              <w:t>s</w:t>
            </w:r>
            <w:r w:rsidRPr="005D2045">
              <w:rPr>
                <w:i/>
              </w:rPr>
              <w:t xml:space="preserve"> #</w:t>
            </w:r>
            <w:r>
              <w:rPr>
                <w:i/>
              </w:rPr>
              <w:t>26-28</w:t>
            </w:r>
            <w:r w:rsidRPr="005D2045">
              <w:rPr>
                <w:i/>
              </w:rPr>
              <w:t xml:space="preserve"> below.</w:t>
            </w:r>
          </w:p>
        </w:tc>
        <w:tc>
          <w:tcPr>
            <w:tcW w:w="2875" w:type="dxa"/>
            <w:vAlign w:val="center"/>
          </w:tcPr>
          <w:p w14:paraId="7FCD2D6A" w14:textId="77777777" w:rsidR="00B92EC0" w:rsidRPr="004F63C1" w:rsidRDefault="00B92EC0" w:rsidP="00AD309C">
            <w:pPr>
              <w:pStyle w:val="ListParagraph"/>
              <w:numPr>
                <w:ilvl w:val="0"/>
                <w:numId w:val="326"/>
              </w:numPr>
              <w:rPr>
                <w:iCs/>
              </w:rPr>
            </w:pPr>
            <w:r w:rsidRPr="004F63C1">
              <w:rPr>
                <w:iCs/>
              </w:rPr>
              <w:t>Yes</w:t>
            </w:r>
          </w:p>
          <w:p w14:paraId="7D544885" w14:textId="041B0264" w:rsidR="00B92EC0" w:rsidRPr="004F63C1" w:rsidRDefault="00B92EC0" w:rsidP="00AD309C">
            <w:pPr>
              <w:pStyle w:val="ListParagraph"/>
              <w:numPr>
                <w:ilvl w:val="0"/>
                <w:numId w:val="326"/>
              </w:numPr>
              <w:rPr>
                <w:iCs/>
              </w:rPr>
            </w:pPr>
            <w:r w:rsidRPr="004F63C1">
              <w:rPr>
                <w:iCs/>
              </w:rPr>
              <w:t>Yes, but no longer performs these procedures</w:t>
            </w:r>
          </w:p>
          <w:p w14:paraId="256F10D3" w14:textId="77777777" w:rsidR="00B92EC0" w:rsidRPr="004F63C1" w:rsidRDefault="00B92EC0" w:rsidP="00AD309C">
            <w:pPr>
              <w:pStyle w:val="ListParagraph"/>
              <w:numPr>
                <w:ilvl w:val="0"/>
                <w:numId w:val="326"/>
              </w:numPr>
              <w:rPr>
                <w:iCs/>
              </w:rPr>
            </w:pPr>
            <w:r w:rsidRPr="004F63C1">
              <w:rPr>
                <w:iCs/>
              </w:rPr>
              <w:t>No</w:t>
            </w:r>
          </w:p>
        </w:tc>
      </w:tr>
      <w:tr w:rsidR="00B92EC0" w:rsidRPr="00EE0483" w14:paraId="61AD4E38" w14:textId="77777777" w:rsidTr="009358B5">
        <w:trPr>
          <w:trHeight w:val="432"/>
        </w:trPr>
        <w:tc>
          <w:tcPr>
            <w:tcW w:w="6475" w:type="dxa"/>
            <w:tcMar>
              <w:top w:w="72" w:type="dxa"/>
              <w:left w:w="115" w:type="dxa"/>
              <w:bottom w:w="72" w:type="dxa"/>
              <w:right w:w="115" w:type="dxa"/>
            </w:tcMar>
            <w:vAlign w:val="center"/>
          </w:tcPr>
          <w:p w14:paraId="788A17CE" w14:textId="082CC0CA" w:rsidR="00B92EC0" w:rsidRPr="005D2045" w:rsidRDefault="00B92EC0" w:rsidP="00AD309C">
            <w:pPr>
              <w:pStyle w:val="ListParagraph"/>
              <w:numPr>
                <w:ilvl w:val="0"/>
                <w:numId w:val="91"/>
              </w:numPr>
            </w:pPr>
            <w:r w:rsidRPr="005D2045">
              <w:t xml:space="preserve">During the reporting period, </w:t>
            </w:r>
            <w:r>
              <w:t xml:space="preserve">was the </w:t>
            </w:r>
            <w:r w:rsidRPr="005D2045">
              <w:t xml:space="preserve">following </w:t>
            </w:r>
            <w:r w:rsidRPr="005D2045">
              <w:rPr>
                <w:b/>
              </w:rPr>
              <w:t>neurological surgery</w:t>
            </w:r>
            <w:r>
              <w:t xml:space="preserve"> procedure</w:t>
            </w:r>
            <w:r w:rsidRPr="005D2045">
              <w:t xml:space="preserve"> performed at your </w:t>
            </w:r>
            <w:r>
              <w:t>hospital outpatient department(s)</w:t>
            </w:r>
            <w:r w:rsidRPr="005D2045">
              <w:t xml:space="preserve"> on </w:t>
            </w:r>
            <w:r w:rsidRPr="005D2045">
              <w:rPr>
                <w:u w:val="single"/>
              </w:rPr>
              <w:t>adult</w:t>
            </w:r>
            <w:r w:rsidRPr="005D2045">
              <w:t xml:space="preserve"> patients</w:t>
            </w:r>
            <w:r w:rsidR="00803B4E">
              <w:t>:</w:t>
            </w:r>
          </w:p>
          <w:p w14:paraId="64C02B6D" w14:textId="77777777" w:rsidR="00B92EC0" w:rsidRPr="005D2045" w:rsidRDefault="00B92EC0" w:rsidP="00B92EC0">
            <w:pPr>
              <w:ind w:left="360"/>
            </w:pPr>
          </w:p>
          <w:p w14:paraId="3B4EDC86" w14:textId="18913C1B" w:rsidR="00B92EC0" w:rsidRPr="005D2045" w:rsidRDefault="00B92EC0" w:rsidP="00AD309C">
            <w:pPr>
              <w:pStyle w:val="ListParagraph"/>
              <w:numPr>
                <w:ilvl w:val="0"/>
                <w:numId w:val="112"/>
              </w:numPr>
            </w:pPr>
            <w:r>
              <w:t>Spinal fusion</w:t>
            </w:r>
            <w:r w:rsidRPr="005D2045">
              <w:t xml:space="preserve"> procedures</w:t>
            </w:r>
            <w:r w:rsidR="00803B4E">
              <w:t>?</w:t>
            </w:r>
          </w:p>
          <w:p w14:paraId="5B6ED80B" w14:textId="77777777" w:rsidR="00B92EC0" w:rsidRPr="005D2045" w:rsidRDefault="00B92EC0" w:rsidP="00B92EC0">
            <w:pPr>
              <w:ind w:left="360"/>
            </w:pPr>
          </w:p>
          <w:p w14:paraId="46631642" w14:textId="7C1CD5DD" w:rsidR="00B92EC0" w:rsidRPr="005D2045" w:rsidRDefault="00B92EC0" w:rsidP="00B92EC0">
            <w:pPr>
              <w:ind w:left="360"/>
              <w:rPr>
                <w:b/>
                <w:i/>
              </w:rPr>
            </w:pPr>
            <w:r w:rsidRPr="005D2045">
              <w:rPr>
                <w:i/>
              </w:rPr>
              <w:t>If “no” or “</w:t>
            </w:r>
            <w:r>
              <w:rPr>
                <w:i/>
              </w:rPr>
              <w:t>yes, but no longer performs this</w:t>
            </w:r>
            <w:r w:rsidRPr="005D2045">
              <w:rPr>
                <w:i/>
              </w:rPr>
              <w:t xml:space="preserve"> procedu</w:t>
            </w:r>
            <w:r>
              <w:rPr>
                <w:i/>
              </w:rPr>
              <w:t>re</w:t>
            </w:r>
            <w:r w:rsidRPr="005D2045">
              <w:rPr>
                <w:i/>
              </w:rPr>
              <w:t>,” skip question</w:t>
            </w:r>
            <w:r>
              <w:rPr>
                <w:i/>
              </w:rPr>
              <w:t>s</w:t>
            </w:r>
            <w:r w:rsidRPr="005D2045">
              <w:rPr>
                <w:i/>
              </w:rPr>
              <w:t xml:space="preserve"> #</w:t>
            </w:r>
            <w:r>
              <w:rPr>
                <w:i/>
              </w:rPr>
              <w:t>29-31</w:t>
            </w:r>
            <w:r w:rsidRPr="005D2045">
              <w:rPr>
                <w:i/>
              </w:rPr>
              <w:t xml:space="preserve"> below.</w:t>
            </w:r>
          </w:p>
        </w:tc>
        <w:tc>
          <w:tcPr>
            <w:tcW w:w="2875" w:type="dxa"/>
            <w:vAlign w:val="center"/>
          </w:tcPr>
          <w:p w14:paraId="6259A9E8" w14:textId="77777777" w:rsidR="00B92EC0" w:rsidRPr="004F63C1" w:rsidRDefault="00B92EC0" w:rsidP="00AD309C">
            <w:pPr>
              <w:pStyle w:val="ListParagraph"/>
              <w:numPr>
                <w:ilvl w:val="0"/>
                <w:numId w:val="326"/>
              </w:numPr>
              <w:rPr>
                <w:iCs/>
              </w:rPr>
            </w:pPr>
            <w:r w:rsidRPr="004F63C1">
              <w:rPr>
                <w:iCs/>
              </w:rPr>
              <w:t>Yes</w:t>
            </w:r>
          </w:p>
          <w:p w14:paraId="24D81182" w14:textId="3A557951" w:rsidR="00B92EC0" w:rsidRPr="004F63C1" w:rsidRDefault="00B92EC0" w:rsidP="00AD309C">
            <w:pPr>
              <w:pStyle w:val="ListParagraph"/>
              <w:numPr>
                <w:ilvl w:val="0"/>
                <w:numId w:val="326"/>
              </w:numPr>
              <w:rPr>
                <w:iCs/>
              </w:rPr>
            </w:pPr>
            <w:r w:rsidRPr="004F63C1">
              <w:rPr>
                <w:iCs/>
              </w:rPr>
              <w:t>Yes, but no longer performs this procedure</w:t>
            </w:r>
          </w:p>
          <w:p w14:paraId="1024751B" w14:textId="77777777" w:rsidR="00B92EC0" w:rsidRPr="004F63C1" w:rsidRDefault="00B92EC0" w:rsidP="00AD309C">
            <w:pPr>
              <w:pStyle w:val="ListParagraph"/>
              <w:numPr>
                <w:ilvl w:val="0"/>
                <w:numId w:val="326"/>
              </w:numPr>
              <w:rPr>
                <w:iCs/>
              </w:rPr>
            </w:pPr>
            <w:r w:rsidRPr="004F63C1">
              <w:rPr>
                <w:iCs/>
              </w:rPr>
              <w:t>No</w:t>
            </w:r>
          </w:p>
        </w:tc>
      </w:tr>
      <w:tr w:rsidR="00B92EC0" w:rsidRPr="00EE0483" w14:paraId="7D28A77F" w14:textId="77777777" w:rsidTr="009358B5">
        <w:trPr>
          <w:trHeight w:val="1296"/>
        </w:trPr>
        <w:tc>
          <w:tcPr>
            <w:tcW w:w="6475" w:type="dxa"/>
            <w:tcMar>
              <w:top w:w="72" w:type="dxa"/>
              <w:left w:w="115" w:type="dxa"/>
              <w:bottom w:w="72" w:type="dxa"/>
              <w:right w:w="115" w:type="dxa"/>
            </w:tcMar>
            <w:vAlign w:val="center"/>
          </w:tcPr>
          <w:p w14:paraId="509EAA23" w14:textId="37ECC4B3" w:rsidR="00B92EC0" w:rsidRPr="005D2045" w:rsidRDefault="00B92EC0" w:rsidP="00AD309C">
            <w:pPr>
              <w:pStyle w:val="ListParagraph"/>
              <w:numPr>
                <w:ilvl w:val="0"/>
                <w:numId w:val="91"/>
              </w:numPr>
            </w:pPr>
            <w:r w:rsidRPr="005D2045">
              <w:t xml:space="preserve">During the reporting period, were one or more of the following </w:t>
            </w:r>
            <w:r w:rsidRPr="005D2045">
              <w:rPr>
                <w:b/>
              </w:rPr>
              <w:t>obstetrics and gynecology</w:t>
            </w:r>
            <w:r w:rsidRPr="005D2045">
              <w:t xml:space="preserve"> procedures performed at your </w:t>
            </w:r>
            <w:r>
              <w:t>hospital outpatient department(s)</w:t>
            </w:r>
            <w:r w:rsidRPr="005D2045">
              <w:t xml:space="preserve"> on </w:t>
            </w:r>
            <w:r w:rsidRPr="005D2045">
              <w:rPr>
                <w:u w:val="single"/>
              </w:rPr>
              <w:t>adult</w:t>
            </w:r>
            <w:r w:rsidRPr="005D2045">
              <w:t xml:space="preserve"> patients</w:t>
            </w:r>
            <w:r w:rsidR="00803B4E">
              <w:t>:</w:t>
            </w:r>
          </w:p>
          <w:p w14:paraId="71F1DADA" w14:textId="77777777" w:rsidR="00B92EC0" w:rsidRPr="005D2045" w:rsidRDefault="00B92EC0" w:rsidP="00B92EC0"/>
          <w:p w14:paraId="6665CABD" w14:textId="1142CD2A" w:rsidR="00B92EC0" w:rsidRDefault="00B92EC0" w:rsidP="00AD309C">
            <w:pPr>
              <w:pStyle w:val="ListParagraph"/>
              <w:numPr>
                <w:ilvl w:val="0"/>
                <w:numId w:val="112"/>
              </w:numPr>
            </w:pPr>
            <w:r w:rsidRPr="005D2045">
              <w:t>Cervix procedures</w:t>
            </w:r>
            <w:r w:rsidR="00803B4E">
              <w:t>,</w:t>
            </w:r>
          </w:p>
          <w:p w14:paraId="6A1FA414" w14:textId="7CA12A5D" w:rsidR="00B92EC0" w:rsidRPr="005D2045" w:rsidRDefault="00B92EC0" w:rsidP="00AD309C">
            <w:pPr>
              <w:pStyle w:val="ListParagraph"/>
              <w:numPr>
                <w:ilvl w:val="0"/>
                <w:numId w:val="112"/>
              </w:numPr>
            </w:pPr>
            <w:r>
              <w:t>H</w:t>
            </w:r>
            <w:r w:rsidRPr="00736D8A">
              <w:t>ysteroscopy</w:t>
            </w:r>
            <w:r w:rsidR="00803B4E">
              <w:t>, or</w:t>
            </w:r>
          </w:p>
          <w:p w14:paraId="5AE670ED" w14:textId="7483A858" w:rsidR="00B92EC0" w:rsidRPr="005D2045" w:rsidRDefault="00B92EC0" w:rsidP="00AD309C">
            <w:pPr>
              <w:pStyle w:val="ListParagraph"/>
              <w:numPr>
                <w:ilvl w:val="0"/>
                <w:numId w:val="112"/>
              </w:numPr>
            </w:pPr>
            <w:r w:rsidRPr="005D2045">
              <w:t>Uterus and adnexa laparoscopies</w:t>
            </w:r>
            <w:r w:rsidR="00803B4E">
              <w:t>?</w:t>
            </w:r>
          </w:p>
          <w:p w14:paraId="55870FE2" w14:textId="77777777" w:rsidR="00B92EC0" w:rsidRPr="005D2045" w:rsidRDefault="00B92EC0" w:rsidP="00B92EC0">
            <w:pPr>
              <w:ind w:left="360"/>
            </w:pPr>
          </w:p>
          <w:p w14:paraId="39793E7F" w14:textId="76E2F6A3" w:rsidR="00B92EC0" w:rsidRPr="005D2045" w:rsidRDefault="00B92EC0" w:rsidP="00B92EC0">
            <w:pPr>
              <w:ind w:left="360"/>
            </w:pPr>
            <w:r w:rsidRPr="005D2045">
              <w:rPr>
                <w:i/>
              </w:rPr>
              <w:t>If “no” or “yes, but no longer perform</w:t>
            </w:r>
            <w:r>
              <w:rPr>
                <w:i/>
              </w:rPr>
              <w:t>s</w:t>
            </w:r>
            <w:r w:rsidRPr="005D2045">
              <w:rPr>
                <w:i/>
              </w:rPr>
              <w:t xml:space="preserve"> these procedures,” skip question</w:t>
            </w:r>
            <w:r>
              <w:rPr>
                <w:i/>
              </w:rPr>
              <w:t>s</w:t>
            </w:r>
            <w:r w:rsidRPr="005D2045">
              <w:rPr>
                <w:i/>
              </w:rPr>
              <w:t xml:space="preserve"> #</w:t>
            </w:r>
            <w:r>
              <w:rPr>
                <w:i/>
              </w:rPr>
              <w:t>32-34</w:t>
            </w:r>
            <w:r w:rsidRPr="005D2045">
              <w:rPr>
                <w:i/>
              </w:rPr>
              <w:t xml:space="preserve"> below.</w:t>
            </w:r>
          </w:p>
        </w:tc>
        <w:tc>
          <w:tcPr>
            <w:tcW w:w="2875" w:type="dxa"/>
            <w:vAlign w:val="center"/>
          </w:tcPr>
          <w:p w14:paraId="7B5F6F77" w14:textId="77777777" w:rsidR="00B92EC0" w:rsidRPr="004F63C1" w:rsidRDefault="00B92EC0" w:rsidP="00AD309C">
            <w:pPr>
              <w:pStyle w:val="ListParagraph"/>
              <w:numPr>
                <w:ilvl w:val="0"/>
                <w:numId w:val="326"/>
              </w:numPr>
              <w:rPr>
                <w:iCs/>
              </w:rPr>
            </w:pPr>
            <w:r w:rsidRPr="004F63C1">
              <w:rPr>
                <w:iCs/>
              </w:rPr>
              <w:t>Yes</w:t>
            </w:r>
          </w:p>
          <w:p w14:paraId="17442690" w14:textId="54B188D3" w:rsidR="00B92EC0" w:rsidRPr="004F63C1" w:rsidRDefault="00B92EC0" w:rsidP="00AD309C">
            <w:pPr>
              <w:pStyle w:val="ListParagraph"/>
              <w:numPr>
                <w:ilvl w:val="0"/>
                <w:numId w:val="326"/>
              </w:numPr>
              <w:rPr>
                <w:iCs/>
              </w:rPr>
            </w:pPr>
            <w:r w:rsidRPr="004F63C1">
              <w:rPr>
                <w:iCs/>
              </w:rPr>
              <w:t>Yes, but no longer performs these procedures</w:t>
            </w:r>
          </w:p>
          <w:p w14:paraId="2C881F61" w14:textId="77777777" w:rsidR="00B92EC0" w:rsidRPr="004F63C1" w:rsidRDefault="00B92EC0" w:rsidP="00AD309C">
            <w:pPr>
              <w:pStyle w:val="ListParagraph"/>
              <w:numPr>
                <w:ilvl w:val="0"/>
                <w:numId w:val="326"/>
              </w:numPr>
              <w:rPr>
                <w:iCs/>
              </w:rPr>
            </w:pPr>
            <w:r w:rsidRPr="004F63C1">
              <w:rPr>
                <w:iCs/>
              </w:rPr>
              <w:t>No</w:t>
            </w:r>
          </w:p>
        </w:tc>
      </w:tr>
      <w:tr w:rsidR="00B92EC0" w:rsidRPr="00EE0483" w14:paraId="344D3628" w14:textId="77777777" w:rsidTr="009358B5">
        <w:trPr>
          <w:trHeight w:val="1152"/>
        </w:trPr>
        <w:tc>
          <w:tcPr>
            <w:tcW w:w="6475" w:type="dxa"/>
            <w:tcMar>
              <w:top w:w="72" w:type="dxa"/>
              <w:left w:w="115" w:type="dxa"/>
              <w:bottom w:w="72" w:type="dxa"/>
              <w:right w:w="115" w:type="dxa"/>
            </w:tcMar>
            <w:vAlign w:val="center"/>
          </w:tcPr>
          <w:p w14:paraId="1BAEBC7C" w14:textId="4AC57855" w:rsidR="00B92EC0" w:rsidRPr="005D2045" w:rsidRDefault="00B92EC0" w:rsidP="00AD309C">
            <w:pPr>
              <w:pStyle w:val="ListParagraph"/>
              <w:numPr>
                <w:ilvl w:val="0"/>
                <w:numId w:val="91"/>
              </w:numPr>
            </w:pPr>
            <w:r w:rsidRPr="005D2045">
              <w:t xml:space="preserve">During the reporting period, were one or more of the following </w:t>
            </w:r>
            <w:r w:rsidRPr="005D2045">
              <w:rPr>
                <w:b/>
              </w:rPr>
              <w:t>plastic and reconstructive surgery</w:t>
            </w:r>
            <w:r w:rsidRPr="005D2045">
              <w:t xml:space="preserve"> procedures performed at your </w:t>
            </w:r>
            <w:r>
              <w:t>hospital outpatient department(s)</w:t>
            </w:r>
            <w:r w:rsidRPr="005D2045">
              <w:t xml:space="preserve"> on </w:t>
            </w:r>
            <w:r w:rsidRPr="005D2045">
              <w:rPr>
                <w:u w:val="single"/>
              </w:rPr>
              <w:t>adult</w:t>
            </w:r>
            <w:r w:rsidRPr="005D2045">
              <w:t xml:space="preserve"> patients</w:t>
            </w:r>
            <w:r w:rsidR="00803B4E">
              <w:t>:</w:t>
            </w:r>
          </w:p>
          <w:p w14:paraId="19819294" w14:textId="77777777" w:rsidR="00B92EC0" w:rsidRPr="005D2045" w:rsidRDefault="00B92EC0" w:rsidP="00B92EC0"/>
          <w:p w14:paraId="1AE0EDB7" w14:textId="72DBC6C4" w:rsidR="00B92EC0" w:rsidRDefault="00B92EC0" w:rsidP="00AD309C">
            <w:pPr>
              <w:pStyle w:val="ListParagraph"/>
              <w:numPr>
                <w:ilvl w:val="0"/>
                <w:numId w:val="113"/>
              </w:numPr>
            </w:pPr>
            <w:r w:rsidRPr="005D2045">
              <w:t>Breast repair or reconstruction</w:t>
            </w:r>
            <w:r w:rsidR="00803B4E">
              <w:t>, or</w:t>
            </w:r>
          </w:p>
          <w:p w14:paraId="6E3FF235" w14:textId="55BEDF7B" w:rsidR="00B92EC0" w:rsidRPr="005D2045" w:rsidRDefault="00B92EC0" w:rsidP="00AD309C">
            <w:pPr>
              <w:pStyle w:val="ListParagraph"/>
              <w:numPr>
                <w:ilvl w:val="0"/>
                <w:numId w:val="113"/>
              </w:numPr>
            </w:pPr>
            <w:r>
              <w:t>Skin graft/reconstruction procedures</w:t>
            </w:r>
            <w:r w:rsidR="00803B4E">
              <w:t>?</w:t>
            </w:r>
          </w:p>
          <w:p w14:paraId="6E6FACF1" w14:textId="77777777" w:rsidR="00B92EC0" w:rsidRPr="005D2045" w:rsidRDefault="00B92EC0" w:rsidP="00B92EC0">
            <w:pPr>
              <w:pStyle w:val="ListParagraph"/>
              <w:ind w:left="360"/>
            </w:pPr>
          </w:p>
          <w:p w14:paraId="4D4A9A80" w14:textId="7930088B" w:rsidR="00B92EC0" w:rsidRPr="005D2045" w:rsidRDefault="00B92EC0" w:rsidP="00B92EC0">
            <w:pPr>
              <w:pStyle w:val="ListParagraph"/>
              <w:ind w:left="360"/>
            </w:pPr>
            <w:r w:rsidRPr="005D2045">
              <w:rPr>
                <w:i/>
              </w:rPr>
              <w:t>If “no” or “yes, but no longer perform</w:t>
            </w:r>
            <w:r>
              <w:rPr>
                <w:i/>
              </w:rPr>
              <w:t>s</w:t>
            </w:r>
            <w:r w:rsidRPr="005D2045">
              <w:rPr>
                <w:i/>
              </w:rPr>
              <w:t xml:space="preserve"> these procedures,” skip question</w:t>
            </w:r>
            <w:r>
              <w:rPr>
                <w:i/>
              </w:rPr>
              <w:t>s</w:t>
            </w:r>
            <w:r w:rsidRPr="005D2045">
              <w:rPr>
                <w:i/>
              </w:rPr>
              <w:t xml:space="preserve"> #</w:t>
            </w:r>
            <w:r>
              <w:rPr>
                <w:i/>
              </w:rPr>
              <w:t>35-37</w:t>
            </w:r>
            <w:r w:rsidRPr="005D2045">
              <w:rPr>
                <w:i/>
              </w:rPr>
              <w:t xml:space="preserve"> below.</w:t>
            </w:r>
          </w:p>
        </w:tc>
        <w:tc>
          <w:tcPr>
            <w:tcW w:w="2875" w:type="dxa"/>
            <w:vAlign w:val="center"/>
          </w:tcPr>
          <w:p w14:paraId="42161191" w14:textId="77777777" w:rsidR="00B92EC0" w:rsidRPr="004F63C1" w:rsidRDefault="00B92EC0" w:rsidP="00AD309C">
            <w:pPr>
              <w:pStyle w:val="ListParagraph"/>
              <w:numPr>
                <w:ilvl w:val="0"/>
                <w:numId w:val="326"/>
              </w:numPr>
              <w:rPr>
                <w:iCs/>
              </w:rPr>
            </w:pPr>
            <w:r w:rsidRPr="004F63C1">
              <w:rPr>
                <w:iCs/>
              </w:rPr>
              <w:t>Yes</w:t>
            </w:r>
          </w:p>
          <w:p w14:paraId="63ACC52F" w14:textId="7C1BE1C7" w:rsidR="00B92EC0" w:rsidRPr="004F63C1" w:rsidRDefault="00B92EC0" w:rsidP="00AD309C">
            <w:pPr>
              <w:pStyle w:val="ListParagraph"/>
              <w:numPr>
                <w:ilvl w:val="0"/>
                <w:numId w:val="326"/>
              </w:numPr>
              <w:rPr>
                <w:iCs/>
              </w:rPr>
            </w:pPr>
            <w:r w:rsidRPr="004F63C1">
              <w:rPr>
                <w:iCs/>
              </w:rPr>
              <w:t>Yes, but no longer performs these procedures</w:t>
            </w:r>
          </w:p>
          <w:p w14:paraId="76159049" w14:textId="77777777" w:rsidR="00B92EC0" w:rsidRPr="004F63C1" w:rsidRDefault="00B92EC0" w:rsidP="00AD309C">
            <w:pPr>
              <w:pStyle w:val="ListParagraph"/>
              <w:numPr>
                <w:ilvl w:val="0"/>
                <w:numId w:val="326"/>
              </w:numPr>
              <w:rPr>
                <w:iCs/>
              </w:rPr>
            </w:pPr>
            <w:r w:rsidRPr="004F63C1">
              <w:rPr>
                <w:iCs/>
              </w:rPr>
              <w:t>No</w:t>
            </w:r>
          </w:p>
        </w:tc>
      </w:tr>
    </w:tbl>
    <w:p w14:paraId="0DDAB185" w14:textId="1849DB89" w:rsidR="00B92EC0" w:rsidRPr="00841998" w:rsidRDefault="00EE7395" w:rsidP="00AB5B80">
      <w:pPr>
        <w:pStyle w:val="Heading3"/>
      </w:pPr>
      <w:r>
        <w:br/>
      </w:r>
      <w:bookmarkStart w:id="726" w:name="_Toc225877837"/>
      <w:r w:rsidR="00B92EC0" w:rsidRPr="00AD5994">
        <w:t>Ophthalmology</w:t>
      </w:r>
      <w:bookmarkEnd w:id="726"/>
      <w:r w:rsidR="00B92EC0">
        <w:br/>
      </w:r>
    </w:p>
    <w:tbl>
      <w:tblPr>
        <w:tblStyle w:val="TableGrid120"/>
        <w:tblW w:w="0" w:type="auto"/>
        <w:tblLook w:val="04A0" w:firstRow="1" w:lastRow="0" w:firstColumn="1" w:lastColumn="0" w:noHBand="0" w:noVBand="1"/>
      </w:tblPr>
      <w:tblGrid>
        <w:gridCol w:w="5015"/>
        <w:gridCol w:w="2090"/>
        <w:gridCol w:w="2245"/>
      </w:tblGrid>
      <w:tr w:rsidR="00B92EC0" w:rsidRPr="00612A0A" w14:paraId="6070082A" w14:textId="77777777" w:rsidTr="00EC4DCE">
        <w:trPr>
          <w:trHeight w:val="20"/>
        </w:trPr>
        <w:tc>
          <w:tcPr>
            <w:tcW w:w="9350" w:type="dxa"/>
            <w:gridSpan w:val="3"/>
            <w:tcMar>
              <w:top w:w="72" w:type="dxa"/>
              <w:left w:w="115" w:type="dxa"/>
              <w:bottom w:w="72" w:type="dxa"/>
              <w:right w:w="115" w:type="dxa"/>
            </w:tcMar>
            <w:vAlign w:val="center"/>
          </w:tcPr>
          <w:p w14:paraId="19D90473" w14:textId="77777777" w:rsidR="00B92EC0" w:rsidRPr="00612A0A" w:rsidRDefault="00B92EC0" w:rsidP="00AD309C">
            <w:pPr>
              <w:numPr>
                <w:ilvl w:val="0"/>
                <w:numId w:val="91"/>
              </w:numPr>
              <w:spacing w:line="276" w:lineRule="auto"/>
              <w:rPr>
                <w:rFonts w:eastAsia="Yu Gothic Light"/>
              </w:rPr>
            </w:pPr>
            <w:r w:rsidRPr="00612A0A">
              <w:rPr>
                <w:rFonts w:eastAsia="Yu Gothic Light"/>
              </w:rPr>
              <w:t xml:space="preserve">Total adult and/or pediatric volume for each of the following applicable procedures performed at your </w:t>
            </w:r>
            <w:r>
              <w:rPr>
                <w:rFonts w:eastAsia="Yu Gothic Light"/>
              </w:rPr>
              <w:t>hospital outpatient department(s)</w:t>
            </w:r>
            <w:r w:rsidRPr="00612A0A">
              <w:rPr>
                <w:rFonts w:eastAsia="Yu Gothic Light"/>
              </w:rPr>
              <w:t xml:space="preserve"> during the reporting period.</w:t>
            </w:r>
          </w:p>
          <w:p w14:paraId="358C6E0B" w14:textId="77777777" w:rsidR="00B92EC0" w:rsidRPr="00612A0A" w:rsidRDefault="00B92EC0" w:rsidP="00EC4DCE"/>
          <w:p w14:paraId="676673A9" w14:textId="4EE002ED" w:rsidR="00B92EC0" w:rsidRPr="00612A0A" w:rsidRDefault="00B92EC0" w:rsidP="00EC4DCE">
            <w:pPr>
              <w:ind w:left="360"/>
              <w:rPr>
                <w:i/>
              </w:rPr>
            </w:pPr>
            <w:r w:rsidRPr="00612A0A">
              <w:rPr>
                <w:i/>
              </w:rPr>
              <w:t xml:space="preserve">You cannot leave any blank. If you did not perform one or more of the procedures listed below enter 0 (zero). If you had zero volume for </w:t>
            </w:r>
            <w:r w:rsidRPr="00612A0A">
              <w:rPr>
                <w:b/>
                <w:i/>
                <w:u w:val="single"/>
              </w:rPr>
              <w:t>all</w:t>
            </w:r>
            <w:r w:rsidRPr="00612A0A">
              <w:rPr>
                <w:i/>
              </w:rPr>
              <w:t xml:space="preserve"> procedures, go back to question #</w:t>
            </w:r>
            <w:r>
              <w:rPr>
                <w:i/>
              </w:rPr>
              <w:t>2</w:t>
            </w:r>
            <w:r w:rsidRPr="00612A0A">
              <w:rPr>
                <w:i/>
              </w:rPr>
              <w:t xml:space="preserve"> and update your response from “yes” to “no.”</w:t>
            </w:r>
          </w:p>
        </w:tc>
      </w:tr>
      <w:tr w:rsidR="00B92EC0" w:rsidRPr="00612A0A" w14:paraId="0F9E9FD7" w14:textId="77777777" w:rsidTr="00EC4DCE">
        <w:trPr>
          <w:trHeight w:val="20"/>
        </w:trPr>
        <w:tc>
          <w:tcPr>
            <w:tcW w:w="5015" w:type="dxa"/>
            <w:tcMar>
              <w:top w:w="72" w:type="dxa"/>
              <w:left w:w="115" w:type="dxa"/>
              <w:bottom w:w="72" w:type="dxa"/>
              <w:right w:w="115" w:type="dxa"/>
            </w:tcMar>
            <w:vAlign w:val="center"/>
          </w:tcPr>
          <w:p w14:paraId="44F61111" w14:textId="77777777" w:rsidR="00B92EC0" w:rsidRPr="00612A0A" w:rsidRDefault="00B92EC0" w:rsidP="00EC4DCE">
            <w:pPr>
              <w:spacing w:line="276" w:lineRule="auto"/>
              <w:ind w:left="360"/>
              <w:rPr>
                <w:rFonts w:eastAsia="Yu Gothic Light"/>
              </w:rPr>
            </w:pPr>
          </w:p>
        </w:tc>
        <w:tc>
          <w:tcPr>
            <w:tcW w:w="2090" w:type="dxa"/>
            <w:tcMar>
              <w:top w:w="72" w:type="dxa"/>
              <w:left w:w="115" w:type="dxa"/>
              <w:bottom w:w="72" w:type="dxa"/>
              <w:right w:w="115" w:type="dxa"/>
            </w:tcMar>
          </w:tcPr>
          <w:p w14:paraId="2EF9A2E7" w14:textId="77777777" w:rsidR="00B92EC0" w:rsidRPr="00612A0A" w:rsidRDefault="00B92EC0" w:rsidP="00AD309C">
            <w:pPr>
              <w:numPr>
                <w:ilvl w:val="0"/>
                <w:numId w:val="102"/>
              </w:numPr>
            </w:pPr>
            <w:r w:rsidRPr="00612A0A">
              <w:rPr>
                <w:i/>
              </w:rPr>
              <w:t>Adult Volume</w:t>
            </w:r>
          </w:p>
        </w:tc>
        <w:tc>
          <w:tcPr>
            <w:tcW w:w="2245" w:type="dxa"/>
          </w:tcPr>
          <w:p w14:paraId="39EB36B5" w14:textId="77777777" w:rsidR="00B92EC0" w:rsidRPr="00612A0A" w:rsidRDefault="00B92EC0" w:rsidP="00AD309C">
            <w:pPr>
              <w:numPr>
                <w:ilvl w:val="0"/>
                <w:numId w:val="102"/>
              </w:numPr>
            </w:pPr>
            <w:r w:rsidRPr="00612A0A">
              <w:rPr>
                <w:i/>
              </w:rPr>
              <w:t>Pediatric Volume</w:t>
            </w:r>
          </w:p>
        </w:tc>
      </w:tr>
      <w:tr w:rsidR="00B92EC0" w:rsidRPr="00612A0A" w14:paraId="07E8C463" w14:textId="77777777" w:rsidTr="004F63C1">
        <w:trPr>
          <w:trHeight w:val="20"/>
        </w:trPr>
        <w:tc>
          <w:tcPr>
            <w:tcW w:w="5015" w:type="dxa"/>
            <w:tcMar>
              <w:top w:w="72" w:type="dxa"/>
              <w:left w:w="115" w:type="dxa"/>
              <w:bottom w:w="72" w:type="dxa"/>
              <w:right w:w="115" w:type="dxa"/>
            </w:tcMar>
            <w:vAlign w:val="center"/>
          </w:tcPr>
          <w:p w14:paraId="5366A5AA" w14:textId="77777777" w:rsidR="00B92EC0" w:rsidRPr="00612A0A" w:rsidRDefault="00B92EC0" w:rsidP="00EC4DCE">
            <w:pPr>
              <w:spacing w:line="276" w:lineRule="auto"/>
              <w:rPr>
                <w:rFonts w:eastAsia="Yu Gothic Light"/>
                <w:b/>
              </w:rPr>
            </w:pPr>
            <w:r w:rsidRPr="00612A0A">
              <w:rPr>
                <w:rFonts w:eastAsia="Yu Gothic Light"/>
                <w:b/>
              </w:rPr>
              <w:t xml:space="preserve">Anterior segment eye procedures </w:t>
            </w:r>
          </w:p>
        </w:tc>
        <w:tc>
          <w:tcPr>
            <w:tcW w:w="2090" w:type="dxa"/>
            <w:tcMar>
              <w:top w:w="72" w:type="dxa"/>
              <w:left w:w="115" w:type="dxa"/>
              <w:bottom w:w="72" w:type="dxa"/>
              <w:right w:w="115" w:type="dxa"/>
            </w:tcMar>
            <w:vAlign w:val="center"/>
          </w:tcPr>
          <w:p w14:paraId="23EE4B31" w14:textId="77777777" w:rsidR="00B92EC0" w:rsidRPr="00612A0A" w:rsidRDefault="00B92EC0" w:rsidP="00EC4DCE">
            <w:pPr>
              <w:jc w:val="center"/>
            </w:pPr>
            <w:r w:rsidRPr="00612A0A">
              <w:t>_____</w:t>
            </w:r>
          </w:p>
        </w:tc>
        <w:tc>
          <w:tcPr>
            <w:tcW w:w="2245" w:type="dxa"/>
            <w:shd w:val="clear" w:color="auto" w:fill="BFBFBF" w:themeFill="background1" w:themeFillShade="BF"/>
            <w:vAlign w:val="center"/>
          </w:tcPr>
          <w:p w14:paraId="07C767E0" w14:textId="086652BF" w:rsidR="00B92EC0" w:rsidRPr="00612A0A" w:rsidRDefault="00B92EC0" w:rsidP="00EC4DCE">
            <w:pPr>
              <w:jc w:val="center"/>
            </w:pPr>
          </w:p>
        </w:tc>
      </w:tr>
      <w:tr w:rsidR="00B92EC0" w:rsidRPr="00612A0A" w14:paraId="247318C8" w14:textId="77777777" w:rsidTr="004F63C1">
        <w:trPr>
          <w:trHeight w:val="20"/>
        </w:trPr>
        <w:tc>
          <w:tcPr>
            <w:tcW w:w="5015" w:type="dxa"/>
            <w:tcMar>
              <w:top w:w="72" w:type="dxa"/>
              <w:left w:w="115" w:type="dxa"/>
              <w:bottom w:w="72" w:type="dxa"/>
              <w:right w:w="115" w:type="dxa"/>
            </w:tcMar>
            <w:vAlign w:val="center"/>
          </w:tcPr>
          <w:p w14:paraId="07C2AC70" w14:textId="77777777" w:rsidR="00B92EC0" w:rsidRPr="00612A0A" w:rsidRDefault="00B92EC0" w:rsidP="00EC4DCE">
            <w:pPr>
              <w:spacing w:line="276" w:lineRule="auto"/>
              <w:rPr>
                <w:rFonts w:eastAsia="Yu Gothic Light"/>
                <w:b/>
              </w:rPr>
            </w:pPr>
            <w:r w:rsidRPr="00612A0A">
              <w:rPr>
                <w:rFonts w:eastAsia="Yu Gothic Light"/>
                <w:b/>
              </w:rPr>
              <w:t>Posterior segment eye procedures</w:t>
            </w:r>
          </w:p>
        </w:tc>
        <w:tc>
          <w:tcPr>
            <w:tcW w:w="2090" w:type="dxa"/>
            <w:tcMar>
              <w:top w:w="72" w:type="dxa"/>
              <w:left w:w="115" w:type="dxa"/>
              <w:bottom w:w="72" w:type="dxa"/>
              <w:right w:w="115" w:type="dxa"/>
            </w:tcMar>
            <w:vAlign w:val="center"/>
          </w:tcPr>
          <w:p w14:paraId="525DE714" w14:textId="77777777" w:rsidR="00B92EC0" w:rsidRPr="00612A0A" w:rsidRDefault="00B92EC0" w:rsidP="00EC4DCE">
            <w:pPr>
              <w:jc w:val="center"/>
              <w:rPr>
                <w:i/>
              </w:rPr>
            </w:pPr>
            <w:r w:rsidRPr="00612A0A">
              <w:t>_____</w:t>
            </w:r>
          </w:p>
        </w:tc>
        <w:tc>
          <w:tcPr>
            <w:tcW w:w="2245" w:type="dxa"/>
            <w:shd w:val="clear" w:color="auto" w:fill="BFBFBF" w:themeFill="background1" w:themeFillShade="BF"/>
            <w:vAlign w:val="center"/>
          </w:tcPr>
          <w:p w14:paraId="7776D26A" w14:textId="588121E2" w:rsidR="00B92EC0" w:rsidRPr="00612A0A" w:rsidRDefault="00B92EC0" w:rsidP="00EC4DCE">
            <w:pPr>
              <w:jc w:val="center"/>
              <w:rPr>
                <w:i/>
              </w:rPr>
            </w:pPr>
          </w:p>
        </w:tc>
      </w:tr>
      <w:tr w:rsidR="00B92EC0" w:rsidRPr="00612A0A" w14:paraId="5B459155" w14:textId="77777777" w:rsidTr="00EC4DCE">
        <w:trPr>
          <w:trHeight w:val="20"/>
        </w:trPr>
        <w:tc>
          <w:tcPr>
            <w:tcW w:w="5015" w:type="dxa"/>
            <w:tcMar>
              <w:top w:w="72" w:type="dxa"/>
              <w:left w:w="115" w:type="dxa"/>
              <w:bottom w:w="72" w:type="dxa"/>
              <w:right w:w="115" w:type="dxa"/>
            </w:tcMar>
            <w:vAlign w:val="center"/>
          </w:tcPr>
          <w:p w14:paraId="6E8A7643" w14:textId="77777777" w:rsidR="00B92EC0" w:rsidRPr="00612A0A" w:rsidRDefault="00B92EC0" w:rsidP="00EC4DCE">
            <w:pPr>
              <w:spacing w:line="276" w:lineRule="auto"/>
              <w:rPr>
                <w:rFonts w:eastAsia="Yu Gothic Light"/>
                <w:b/>
              </w:rPr>
            </w:pPr>
            <w:r>
              <w:rPr>
                <w:rFonts w:eastAsia="Yu Gothic Light"/>
                <w:b/>
              </w:rPr>
              <w:t>Ocular adnexa and other eye procedures</w:t>
            </w:r>
          </w:p>
        </w:tc>
        <w:tc>
          <w:tcPr>
            <w:tcW w:w="2090" w:type="dxa"/>
            <w:tcMar>
              <w:top w:w="72" w:type="dxa"/>
              <w:left w:w="115" w:type="dxa"/>
              <w:bottom w:w="72" w:type="dxa"/>
              <w:right w:w="115" w:type="dxa"/>
            </w:tcMar>
            <w:vAlign w:val="center"/>
          </w:tcPr>
          <w:p w14:paraId="50E7DEBA" w14:textId="77777777" w:rsidR="00B92EC0" w:rsidRPr="00612A0A" w:rsidRDefault="00B92EC0" w:rsidP="00EC4DCE">
            <w:pPr>
              <w:jc w:val="center"/>
            </w:pPr>
            <w:r w:rsidRPr="00612A0A">
              <w:t>_____</w:t>
            </w:r>
          </w:p>
        </w:tc>
        <w:tc>
          <w:tcPr>
            <w:tcW w:w="2245" w:type="dxa"/>
            <w:vAlign w:val="center"/>
          </w:tcPr>
          <w:p w14:paraId="6A585F1B" w14:textId="77777777" w:rsidR="00B92EC0" w:rsidRPr="00612A0A" w:rsidRDefault="00B92EC0" w:rsidP="00EC4DCE">
            <w:pPr>
              <w:jc w:val="center"/>
              <w:rPr>
                <w:i/>
              </w:rPr>
            </w:pPr>
            <w:r w:rsidRPr="00612A0A">
              <w:t>_____</w:t>
            </w:r>
          </w:p>
        </w:tc>
      </w:tr>
    </w:tbl>
    <w:p w14:paraId="16E553C1" w14:textId="77777777" w:rsidR="00B92EC0" w:rsidRDefault="00B92EC0" w:rsidP="00B92EC0"/>
    <w:tbl>
      <w:tblPr>
        <w:tblStyle w:val="TableGrid"/>
        <w:tblW w:w="0" w:type="auto"/>
        <w:tblLayout w:type="fixed"/>
        <w:tblCellMar>
          <w:left w:w="115" w:type="dxa"/>
          <w:right w:w="115" w:type="dxa"/>
        </w:tblCellMar>
        <w:tblLook w:val="04A0" w:firstRow="1" w:lastRow="0" w:firstColumn="1" w:lastColumn="0" w:noHBand="0" w:noVBand="1"/>
      </w:tblPr>
      <w:tblGrid>
        <w:gridCol w:w="6205"/>
        <w:gridCol w:w="3145"/>
      </w:tblGrid>
      <w:tr w:rsidR="00B92EC0" w:rsidRPr="005B2F83" w14:paraId="3E63F6C9" w14:textId="77777777" w:rsidTr="00EC4DCE">
        <w:trPr>
          <w:trHeight w:val="20"/>
        </w:trPr>
        <w:tc>
          <w:tcPr>
            <w:tcW w:w="6205" w:type="dxa"/>
            <w:tcMar>
              <w:top w:w="72" w:type="dxa"/>
              <w:left w:w="115" w:type="dxa"/>
              <w:bottom w:w="72" w:type="dxa"/>
              <w:right w:w="115" w:type="dxa"/>
            </w:tcMar>
            <w:vAlign w:val="center"/>
          </w:tcPr>
          <w:p w14:paraId="76CADFD6" w14:textId="77777777" w:rsidR="00B92EC0" w:rsidRDefault="00B92EC0" w:rsidP="00AD309C">
            <w:pPr>
              <w:pStyle w:val="ListParagraph"/>
              <w:numPr>
                <w:ilvl w:val="0"/>
                <w:numId w:val="91"/>
              </w:numPr>
            </w:pPr>
            <w:r>
              <w:t xml:space="preserve">Where were these </w:t>
            </w:r>
            <w:r w:rsidRPr="00AB1823">
              <w:rPr>
                <w:b/>
              </w:rPr>
              <w:t>ophthalmology</w:t>
            </w:r>
            <w:r w:rsidRPr="005D2045">
              <w:rPr>
                <w:b/>
              </w:rPr>
              <w:t xml:space="preserve"> </w:t>
            </w:r>
            <w:r>
              <w:t>procedures performed?</w:t>
            </w:r>
          </w:p>
          <w:p w14:paraId="5FFA14F1" w14:textId="77777777" w:rsidR="00B92EC0" w:rsidRDefault="00B92EC0" w:rsidP="00EC4DCE">
            <w:pPr>
              <w:pStyle w:val="ListParagraph"/>
              <w:ind w:left="360"/>
            </w:pPr>
          </w:p>
          <w:p w14:paraId="180259AA" w14:textId="77777777" w:rsidR="00B92EC0" w:rsidRPr="00131F2C" w:rsidRDefault="00B92EC0" w:rsidP="00EC4DCE">
            <w:pPr>
              <w:pStyle w:val="ListParagraph"/>
              <w:ind w:left="360"/>
              <w:rPr>
                <w:i/>
              </w:rPr>
            </w:pPr>
            <w:r>
              <w:rPr>
                <w:i/>
              </w:rPr>
              <w:t>Select all that apply.</w:t>
            </w:r>
          </w:p>
          <w:p w14:paraId="2D3688C1" w14:textId="77777777" w:rsidR="00B92EC0" w:rsidRPr="005D2045" w:rsidRDefault="00B92EC0" w:rsidP="00EC4DCE">
            <w:pPr>
              <w:pStyle w:val="ListParagraph"/>
              <w:ind w:left="360"/>
            </w:pPr>
          </w:p>
          <w:p w14:paraId="20291E38" w14:textId="045542B2" w:rsidR="00B92EC0" w:rsidRPr="005D2045" w:rsidRDefault="00B92EC0" w:rsidP="00EC4DCE">
            <w:pPr>
              <w:pStyle w:val="ListParagraph"/>
              <w:ind w:left="360"/>
            </w:pPr>
            <w:r w:rsidRPr="007D5AE3">
              <w:rPr>
                <w:i/>
              </w:rPr>
              <w:t>If only “hospital” is selected,</w:t>
            </w:r>
            <w:r>
              <w:rPr>
                <w:i/>
              </w:rPr>
              <w:t xml:space="preserve"> </w:t>
            </w:r>
            <w:r w:rsidRPr="00B674A0">
              <w:rPr>
                <w:i/>
              </w:rPr>
              <w:t xml:space="preserve">skip </w:t>
            </w:r>
            <w:r>
              <w:rPr>
                <w:i/>
              </w:rPr>
              <w:t>question #13 and continue to question #14.</w:t>
            </w:r>
          </w:p>
        </w:tc>
        <w:tc>
          <w:tcPr>
            <w:tcW w:w="3145" w:type="dxa"/>
            <w:vAlign w:val="center"/>
          </w:tcPr>
          <w:p w14:paraId="64791678" w14:textId="77777777" w:rsidR="00B92EC0" w:rsidRPr="00753419" w:rsidRDefault="00B92EC0" w:rsidP="00AD309C">
            <w:pPr>
              <w:pStyle w:val="ListParagraph"/>
              <w:numPr>
                <w:ilvl w:val="0"/>
                <w:numId w:val="94"/>
              </w:numPr>
              <w:spacing w:line="276" w:lineRule="auto"/>
              <w:rPr>
                <w:iCs/>
              </w:rPr>
            </w:pPr>
            <w:r w:rsidRPr="00753419">
              <w:rPr>
                <w:iCs/>
              </w:rPr>
              <w:t>Hospital</w:t>
            </w:r>
          </w:p>
          <w:p w14:paraId="145FE86A" w14:textId="77777777" w:rsidR="00B92EC0" w:rsidRPr="00551F82" w:rsidRDefault="00B92EC0" w:rsidP="00AD309C">
            <w:pPr>
              <w:pStyle w:val="ListParagraph"/>
              <w:numPr>
                <w:ilvl w:val="0"/>
                <w:numId w:val="94"/>
              </w:numPr>
              <w:spacing w:line="276" w:lineRule="auto"/>
              <w:rPr>
                <w:i/>
              </w:rPr>
            </w:pPr>
            <w:r w:rsidRPr="00753419">
              <w:rPr>
                <w:iCs/>
              </w:rPr>
              <w:t>Surgery center or free-standing hospital outpatient department</w:t>
            </w:r>
          </w:p>
        </w:tc>
      </w:tr>
    </w:tbl>
    <w:p w14:paraId="1BFF536A" w14:textId="77777777" w:rsidR="00B92EC0" w:rsidRDefault="00B92EC0" w:rsidP="00B92EC0"/>
    <w:tbl>
      <w:tblPr>
        <w:tblStyle w:val="TableGrid"/>
        <w:tblW w:w="0" w:type="auto"/>
        <w:tblLayout w:type="fixed"/>
        <w:tblCellMar>
          <w:left w:w="115" w:type="dxa"/>
          <w:right w:w="115" w:type="dxa"/>
        </w:tblCellMar>
        <w:tblLook w:val="04A0" w:firstRow="1" w:lastRow="0" w:firstColumn="1" w:lastColumn="0" w:noHBand="0" w:noVBand="1"/>
      </w:tblPr>
      <w:tblGrid>
        <w:gridCol w:w="4135"/>
        <w:gridCol w:w="2098"/>
        <w:gridCol w:w="3117"/>
      </w:tblGrid>
      <w:tr w:rsidR="00B92EC0" w:rsidRPr="005B2F83" w14:paraId="1DED24A4" w14:textId="77777777" w:rsidTr="00EC4DCE">
        <w:trPr>
          <w:trHeight w:val="20"/>
        </w:trPr>
        <w:tc>
          <w:tcPr>
            <w:tcW w:w="9350" w:type="dxa"/>
            <w:gridSpan w:val="3"/>
            <w:tcMar>
              <w:top w:w="72" w:type="dxa"/>
              <w:left w:w="115" w:type="dxa"/>
              <w:bottom w:w="72" w:type="dxa"/>
              <w:right w:w="115" w:type="dxa"/>
            </w:tcMar>
            <w:vAlign w:val="center"/>
          </w:tcPr>
          <w:p w14:paraId="2D2FCD8B" w14:textId="77777777" w:rsidR="00B92EC0" w:rsidRDefault="00B92EC0" w:rsidP="00AD309C">
            <w:pPr>
              <w:pStyle w:val="ListParagraph"/>
              <w:numPr>
                <w:ilvl w:val="0"/>
                <w:numId w:val="91"/>
              </w:numPr>
              <w:spacing w:line="276" w:lineRule="auto"/>
              <w:rPr>
                <w:i/>
              </w:rPr>
            </w:pPr>
            <w:r>
              <w:t xml:space="preserve">Please provide the name and city location of each surgery center or free-standing hospital outpatient department performing </w:t>
            </w:r>
            <w:r w:rsidRPr="00AB1823">
              <w:rPr>
                <w:b/>
              </w:rPr>
              <w:t>ophthalmology</w:t>
            </w:r>
            <w:r>
              <w:t xml:space="preserve"> procedures:</w:t>
            </w:r>
          </w:p>
        </w:tc>
      </w:tr>
      <w:tr w:rsidR="00B92EC0" w:rsidRPr="005B2F83" w14:paraId="30E6BCA0" w14:textId="77777777" w:rsidTr="00EC4DCE">
        <w:trPr>
          <w:trHeight w:val="20"/>
        </w:trPr>
        <w:tc>
          <w:tcPr>
            <w:tcW w:w="4135" w:type="dxa"/>
            <w:tcMar>
              <w:top w:w="72" w:type="dxa"/>
              <w:left w:w="115" w:type="dxa"/>
              <w:bottom w:w="72" w:type="dxa"/>
              <w:right w:w="115" w:type="dxa"/>
            </w:tcMar>
            <w:vAlign w:val="center"/>
          </w:tcPr>
          <w:p w14:paraId="2DA36492" w14:textId="77777777" w:rsidR="00B92EC0" w:rsidRDefault="00B92EC0" w:rsidP="00EC4DCE">
            <w:pPr>
              <w:pStyle w:val="ListParagraph"/>
              <w:spacing w:line="276" w:lineRule="auto"/>
              <w:ind w:left="360"/>
            </w:pPr>
          </w:p>
        </w:tc>
        <w:tc>
          <w:tcPr>
            <w:tcW w:w="2098" w:type="dxa"/>
            <w:vAlign w:val="center"/>
          </w:tcPr>
          <w:p w14:paraId="70560955" w14:textId="77777777" w:rsidR="00B92EC0" w:rsidRPr="005C60B1" w:rsidRDefault="00B92EC0" w:rsidP="004F63C1">
            <w:pPr>
              <w:spacing w:line="276" w:lineRule="auto"/>
              <w:jc w:val="center"/>
              <w:rPr>
                <w:i/>
              </w:rPr>
            </w:pPr>
            <w:r w:rsidRPr="005C60B1">
              <w:rPr>
                <w:i/>
              </w:rPr>
              <w:t>Name</w:t>
            </w:r>
          </w:p>
        </w:tc>
        <w:tc>
          <w:tcPr>
            <w:tcW w:w="3117" w:type="dxa"/>
            <w:vAlign w:val="center"/>
          </w:tcPr>
          <w:p w14:paraId="2FB0E8FB" w14:textId="77777777" w:rsidR="00B92EC0" w:rsidRPr="005C60B1" w:rsidRDefault="00B92EC0" w:rsidP="004F63C1">
            <w:pPr>
              <w:spacing w:line="276" w:lineRule="auto"/>
              <w:jc w:val="center"/>
              <w:rPr>
                <w:i/>
              </w:rPr>
            </w:pPr>
            <w:r w:rsidRPr="005C60B1">
              <w:rPr>
                <w:i/>
              </w:rPr>
              <w:t>City</w:t>
            </w:r>
          </w:p>
        </w:tc>
      </w:tr>
      <w:tr w:rsidR="00B92EC0" w:rsidRPr="005B2F83" w14:paraId="0336C0CB" w14:textId="77777777" w:rsidTr="00EC4DCE">
        <w:trPr>
          <w:trHeight w:val="476"/>
        </w:trPr>
        <w:tc>
          <w:tcPr>
            <w:tcW w:w="4135" w:type="dxa"/>
            <w:tcMar>
              <w:top w:w="72" w:type="dxa"/>
              <w:left w:w="115" w:type="dxa"/>
              <w:bottom w:w="72" w:type="dxa"/>
              <w:right w:w="115" w:type="dxa"/>
            </w:tcMar>
            <w:vAlign w:val="center"/>
          </w:tcPr>
          <w:p w14:paraId="1EDF1EFE" w14:textId="77777777" w:rsidR="00B92EC0" w:rsidRPr="00914F12" w:rsidRDefault="00B92EC0" w:rsidP="00EC4DCE">
            <w:pPr>
              <w:pStyle w:val="ListParagraph"/>
              <w:spacing w:line="276" w:lineRule="auto"/>
              <w:ind w:left="360"/>
              <w:rPr>
                <w:b/>
              </w:rPr>
            </w:pPr>
            <w:r>
              <w:rPr>
                <w:b/>
              </w:rPr>
              <w:t>Surgery Center/</w:t>
            </w:r>
            <w:r w:rsidRPr="00914F12">
              <w:rPr>
                <w:b/>
              </w:rPr>
              <w:t>Free-Standing Hospital Outpatient Department 1</w:t>
            </w:r>
          </w:p>
        </w:tc>
        <w:tc>
          <w:tcPr>
            <w:tcW w:w="2098" w:type="dxa"/>
            <w:vAlign w:val="center"/>
          </w:tcPr>
          <w:p w14:paraId="70B4BA15" w14:textId="77777777" w:rsidR="00B92EC0" w:rsidRDefault="00B92EC0" w:rsidP="00EC4DCE">
            <w:pPr>
              <w:pStyle w:val="ListParagraph"/>
              <w:spacing w:line="276" w:lineRule="auto"/>
              <w:ind w:left="360"/>
            </w:pPr>
          </w:p>
        </w:tc>
        <w:tc>
          <w:tcPr>
            <w:tcW w:w="3117" w:type="dxa"/>
            <w:vAlign w:val="center"/>
          </w:tcPr>
          <w:p w14:paraId="6053A03A" w14:textId="77777777" w:rsidR="00B92EC0" w:rsidRDefault="00B92EC0" w:rsidP="00EC4DCE">
            <w:pPr>
              <w:pStyle w:val="ListParagraph"/>
              <w:spacing w:line="276" w:lineRule="auto"/>
              <w:ind w:left="360"/>
            </w:pPr>
          </w:p>
        </w:tc>
      </w:tr>
      <w:tr w:rsidR="00B92EC0" w:rsidRPr="005B2F83" w14:paraId="7B41B5F6" w14:textId="77777777" w:rsidTr="00EC4DCE">
        <w:trPr>
          <w:trHeight w:val="476"/>
        </w:trPr>
        <w:tc>
          <w:tcPr>
            <w:tcW w:w="4135" w:type="dxa"/>
            <w:tcMar>
              <w:top w:w="72" w:type="dxa"/>
              <w:left w:w="115" w:type="dxa"/>
              <w:bottom w:w="72" w:type="dxa"/>
              <w:right w:w="115" w:type="dxa"/>
            </w:tcMar>
            <w:vAlign w:val="center"/>
          </w:tcPr>
          <w:p w14:paraId="668ED88D" w14:textId="77777777" w:rsidR="00B92EC0" w:rsidRPr="00914F12" w:rsidRDefault="00B92EC0" w:rsidP="00EC4DCE">
            <w:pPr>
              <w:pStyle w:val="ListParagraph"/>
              <w:spacing w:line="276" w:lineRule="auto"/>
              <w:ind w:left="360"/>
              <w:rPr>
                <w:b/>
              </w:rPr>
            </w:pPr>
            <w:r>
              <w:rPr>
                <w:b/>
              </w:rPr>
              <w:t>Surgery Center/</w:t>
            </w:r>
            <w:r w:rsidRPr="00914F12">
              <w:rPr>
                <w:b/>
              </w:rPr>
              <w:t>Free-Standing Hospital Outpatient Department 2</w:t>
            </w:r>
          </w:p>
        </w:tc>
        <w:tc>
          <w:tcPr>
            <w:tcW w:w="2098" w:type="dxa"/>
            <w:vAlign w:val="center"/>
          </w:tcPr>
          <w:p w14:paraId="11168AE5" w14:textId="77777777" w:rsidR="00B92EC0" w:rsidRDefault="00B92EC0" w:rsidP="00EC4DCE">
            <w:pPr>
              <w:pStyle w:val="ListParagraph"/>
              <w:spacing w:line="276" w:lineRule="auto"/>
              <w:ind w:left="360"/>
            </w:pPr>
          </w:p>
        </w:tc>
        <w:tc>
          <w:tcPr>
            <w:tcW w:w="3117" w:type="dxa"/>
            <w:vAlign w:val="center"/>
          </w:tcPr>
          <w:p w14:paraId="28DB2C5D" w14:textId="77777777" w:rsidR="00B92EC0" w:rsidRDefault="00B92EC0" w:rsidP="00EC4DCE">
            <w:pPr>
              <w:pStyle w:val="ListParagraph"/>
              <w:spacing w:line="276" w:lineRule="auto"/>
              <w:ind w:left="360"/>
            </w:pPr>
          </w:p>
        </w:tc>
      </w:tr>
      <w:tr w:rsidR="00B92EC0" w:rsidRPr="005B2F83" w14:paraId="40809C18" w14:textId="77777777" w:rsidTr="00EC4DCE">
        <w:trPr>
          <w:trHeight w:val="476"/>
        </w:trPr>
        <w:tc>
          <w:tcPr>
            <w:tcW w:w="4135" w:type="dxa"/>
            <w:tcMar>
              <w:top w:w="72" w:type="dxa"/>
              <w:left w:w="115" w:type="dxa"/>
              <w:bottom w:w="72" w:type="dxa"/>
              <w:right w:w="115" w:type="dxa"/>
            </w:tcMar>
            <w:vAlign w:val="center"/>
          </w:tcPr>
          <w:p w14:paraId="22EE97D4" w14:textId="77777777" w:rsidR="00B92EC0" w:rsidRPr="00914F12" w:rsidRDefault="00B92EC0" w:rsidP="00EC4DCE">
            <w:pPr>
              <w:pStyle w:val="ListParagraph"/>
              <w:spacing w:line="276" w:lineRule="auto"/>
              <w:ind w:left="360"/>
              <w:rPr>
                <w:b/>
              </w:rPr>
            </w:pPr>
            <w:r>
              <w:rPr>
                <w:b/>
              </w:rPr>
              <w:t>Surgery Center/</w:t>
            </w:r>
            <w:r w:rsidRPr="00914F12">
              <w:rPr>
                <w:b/>
              </w:rPr>
              <w:t>Free-Standing Hospital Outpatient Department 3</w:t>
            </w:r>
          </w:p>
        </w:tc>
        <w:tc>
          <w:tcPr>
            <w:tcW w:w="2098" w:type="dxa"/>
            <w:vAlign w:val="center"/>
          </w:tcPr>
          <w:p w14:paraId="3643646D" w14:textId="77777777" w:rsidR="00B92EC0" w:rsidRDefault="00B92EC0" w:rsidP="00EC4DCE">
            <w:pPr>
              <w:pStyle w:val="ListParagraph"/>
              <w:spacing w:line="276" w:lineRule="auto"/>
              <w:ind w:left="360"/>
            </w:pPr>
          </w:p>
        </w:tc>
        <w:tc>
          <w:tcPr>
            <w:tcW w:w="3117" w:type="dxa"/>
            <w:vAlign w:val="center"/>
          </w:tcPr>
          <w:p w14:paraId="52707D38" w14:textId="77777777" w:rsidR="00B92EC0" w:rsidRDefault="00B92EC0" w:rsidP="00EC4DCE">
            <w:pPr>
              <w:pStyle w:val="ListParagraph"/>
              <w:spacing w:line="276" w:lineRule="auto"/>
              <w:ind w:left="360"/>
            </w:pPr>
          </w:p>
        </w:tc>
      </w:tr>
      <w:tr w:rsidR="00B92EC0" w:rsidRPr="005B2F83" w14:paraId="1D043276" w14:textId="77777777" w:rsidTr="00EC4DCE">
        <w:trPr>
          <w:trHeight w:val="476"/>
        </w:trPr>
        <w:tc>
          <w:tcPr>
            <w:tcW w:w="4135" w:type="dxa"/>
            <w:tcMar>
              <w:top w:w="72" w:type="dxa"/>
              <w:left w:w="115" w:type="dxa"/>
              <w:bottom w:w="72" w:type="dxa"/>
              <w:right w:w="115" w:type="dxa"/>
            </w:tcMar>
            <w:vAlign w:val="center"/>
          </w:tcPr>
          <w:p w14:paraId="20F11AE3" w14:textId="77777777" w:rsidR="00B92EC0" w:rsidRPr="00914F12" w:rsidRDefault="00B92EC0" w:rsidP="00EC4DCE">
            <w:pPr>
              <w:pStyle w:val="ListParagraph"/>
              <w:spacing w:line="276" w:lineRule="auto"/>
              <w:ind w:left="360"/>
              <w:rPr>
                <w:b/>
              </w:rPr>
            </w:pPr>
            <w:r>
              <w:rPr>
                <w:b/>
              </w:rPr>
              <w:t>Surgery Center/</w:t>
            </w:r>
            <w:r w:rsidRPr="00914F12">
              <w:rPr>
                <w:b/>
              </w:rPr>
              <w:t>Free-Standing Hospital Outpatient Department 4</w:t>
            </w:r>
          </w:p>
        </w:tc>
        <w:tc>
          <w:tcPr>
            <w:tcW w:w="2098" w:type="dxa"/>
            <w:vAlign w:val="center"/>
          </w:tcPr>
          <w:p w14:paraId="5CA14BF5" w14:textId="77777777" w:rsidR="00B92EC0" w:rsidRDefault="00B92EC0" w:rsidP="00EC4DCE">
            <w:pPr>
              <w:pStyle w:val="ListParagraph"/>
              <w:spacing w:line="276" w:lineRule="auto"/>
              <w:ind w:left="360"/>
            </w:pPr>
          </w:p>
        </w:tc>
        <w:tc>
          <w:tcPr>
            <w:tcW w:w="3117" w:type="dxa"/>
            <w:vAlign w:val="center"/>
          </w:tcPr>
          <w:p w14:paraId="32EBD983" w14:textId="77777777" w:rsidR="00B92EC0" w:rsidRDefault="00B92EC0" w:rsidP="00EC4DCE">
            <w:pPr>
              <w:pStyle w:val="ListParagraph"/>
              <w:spacing w:line="276" w:lineRule="auto"/>
              <w:ind w:left="360"/>
            </w:pPr>
          </w:p>
        </w:tc>
      </w:tr>
      <w:tr w:rsidR="00B92EC0" w:rsidRPr="005B2F83" w14:paraId="46A5B6E7" w14:textId="77777777" w:rsidTr="00EC4DCE">
        <w:trPr>
          <w:trHeight w:val="476"/>
        </w:trPr>
        <w:tc>
          <w:tcPr>
            <w:tcW w:w="4135" w:type="dxa"/>
            <w:tcMar>
              <w:top w:w="72" w:type="dxa"/>
              <w:left w:w="115" w:type="dxa"/>
              <w:bottom w:w="72" w:type="dxa"/>
              <w:right w:w="115" w:type="dxa"/>
            </w:tcMar>
            <w:vAlign w:val="center"/>
          </w:tcPr>
          <w:p w14:paraId="4510915D" w14:textId="77777777" w:rsidR="00B92EC0" w:rsidRPr="00914F12" w:rsidRDefault="00B92EC0" w:rsidP="00EC4DCE">
            <w:pPr>
              <w:pStyle w:val="ListParagraph"/>
              <w:spacing w:line="276" w:lineRule="auto"/>
              <w:ind w:left="360"/>
              <w:rPr>
                <w:b/>
              </w:rPr>
            </w:pPr>
            <w:r>
              <w:rPr>
                <w:b/>
              </w:rPr>
              <w:t>Surgery Center/</w:t>
            </w:r>
            <w:r w:rsidRPr="00914F12">
              <w:rPr>
                <w:b/>
              </w:rPr>
              <w:t>Free-Standing Hospital Outpatient Department 5</w:t>
            </w:r>
          </w:p>
        </w:tc>
        <w:tc>
          <w:tcPr>
            <w:tcW w:w="2098" w:type="dxa"/>
            <w:vAlign w:val="center"/>
          </w:tcPr>
          <w:p w14:paraId="27A574FA" w14:textId="77777777" w:rsidR="00B92EC0" w:rsidRDefault="00B92EC0" w:rsidP="00EC4DCE">
            <w:pPr>
              <w:pStyle w:val="ListParagraph"/>
              <w:spacing w:line="276" w:lineRule="auto"/>
              <w:ind w:left="360"/>
            </w:pPr>
          </w:p>
        </w:tc>
        <w:tc>
          <w:tcPr>
            <w:tcW w:w="3117" w:type="dxa"/>
            <w:vAlign w:val="center"/>
          </w:tcPr>
          <w:p w14:paraId="11856CA5" w14:textId="77777777" w:rsidR="00B92EC0" w:rsidRDefault="00B92EC0" w:rsidP="00EC4DCE">
            <w:pPr>
              <w:pStyle w:val="ListParagraph"/>
              <w:spacing w:line="276" w:lineRule="auto"/>
              <w:ind w:left="360"/>
            </w:pPr>
          </w:p>
        </w:tc>
      </w:tr>
    </w:tbl>
    <w:p w14:paraId="5E66A843" w14:textId="77777777" w:rsidR="00B92EC0" w:rsidRDefault="00B92EC0" w:rsidP="00B92EC0"/>
    <w:p w14:paraId="73DBFD93" w14:textId="77777777" w:rsidR="00F83C07" w:rsidRDefault="00F83C07" w:rsidP="00B92EC0"/>
    <w:p w14:paraId="110F4CBB" w14:textId="77777777" w:rsidR="00F83C07" w:rsidRDefault="00F83C07" w:rsidP="00B92EC0"/>
    <w:p w14:paraId="7C9DDF47" w14:textId="77777777" w:rsidR="00F83C07" w:rsidRDefault="00F83C07" w:rsidP="00B92EC0"/>
    <w:p w14:paraId="662A5BDA" w14:textId="77777777" w:rsidR="00F83C07" w:rsidRDefault="00F83C07" w:rsidP="00B92EC0"/>
    <w:p w14:paraId="1E6CF401" w14:textId="77777777" w:rsidR="00F83C07" w:rsidRDefault="00F83C07" w:rsidP="00B92EC0"/>
    <w:p w14:paraId="3496EB7E" w14:textId="77777777" w:rsidR="00F83C07" w:rsidRDefault="00F83C07" w:rsidP="00B92EC0"/>
    <w:p w14:paraId="5FA63EB2" w14:textId="77777777" w:rsidR="00F83C07" w:rsidRDefault="00F83C07" w:rsidP="00B92EC0"/>
    <w:p w14:paraId="23520535" w14:textId="77777777" w:rsidR="00B92EC0" w:rsidRPr="00841998" w:rsidRDefault="00B92EC0" w:rsidP="00AB5B80">
      <w:pPr>
        <w:pStyle w:val="Heading3"/>
        <w:rPr>
          <w:sz w:val="20"/>
          <w:szCs w:val="20"/>
        </w:rPr>
      </w:pPr>
      <w:bookmarkStart w:id="727" w:name="_Toc225877838"/>
      <w:r w:rsidRPr="00AD5994">
        <w:t>Orthopedic</w:t>
      </w:r>
      <w:bookmarkEnd w:id="727"/>
      <w:r>
        <w:br/>
      </w:r>
    </w:p>
    <w:tbl>
      <w:tblPr>
        <w:tblStyle w:val="TableGrid13"/>
        <w:tblW w:w="0" w:type="auto"/>
        <w:tblLook w:val="04A0" w:firstRow="1" w:lastRow="0" w:firstColumn="1" w:lastColumn="0" w:noHBand="0" w:noVBand="1"/>
      </w:tblPr>
      <w:tblGrid>
        <w:gridCol w:w="5015"/>
        <w:gridCol w:w="2090"/>
        <w:gridCol w:w="2245"/>
      </w:tblGrid>
      <w:tr w:rsidR="00B92EC0" w:rsidRPr="00073B66" w14:paraId="7ED59F7E" w14:textId="77777777" w:rsidTr="00EC4DCE">
        <w:trPr>
          <w:trHeight w:val="20"/>
        </w:trPr>
        <w:tc>
          <w:tcPr>
            <w:tcW w:w="9350" w:type="dxa"/>
            <w:gridSpan w:val="3"/>
            <w:tcMar>
              <w:top w:w="72" w:type="dxa"/>
              <w:left w:w="115" w:type="dxa"/>
              <w:bottom w:w="72" w:type="dxa"/>
              <w:right w:w="115" w:type="dxa"/>
            </w:tcMar>
            <w:vAlign w:val="center"/>
          </w:tcPr>
          <w:p w14:paraId="1C9E8731" w14:textId="77777777" w:rsidR="00B92EC0" w:rsidRPr="00073B66" w:rsidRDefault="00B92EC0" w:rsidP="00AD309C">
            <w:pPr>
              <w:numPr>
                <w:ilvl w:val="0"/>
                <w:numId w:val="91"/>
              </w:numPr>
              <w:spacing w:line="276" w:lineRule="auto"/>
              <w:rPr>
                <w:rFonts w:eastAsia="Yu Gothic Light"/>
              </w:rPr>
            </w:pPr>
            <w:r w:rsidRPr="00073B66">
              <w:rPr>
                <w:rFonts w:eastAsia="Yu Gothic Light"/>
              </w:rPr>
              <w:t xml:space="preserve">Total adult and/or pediatric volume for each of the following applicable procedures performed at your </w:t>
            </w:r>
            <w:r>
              <w:rPr>
                <w:rFonts w:eastAsia="Yu Gothic Light"/>
              </w:rPr>
              <w:t>hospital outpatient department(s)</w:t>
            </w:r>
            <w:r w:rsidRPr="00073B66">
              <w:rPr>
                <w:rFonts w:eastAsia="Yu Gothic Light"/>
              </w:rPr>
              <w:t xml:space="preserve"> during the reporting period.</w:t>
            </w:r>
          </w:p>
          <w:p w14:paraId="08B51A7A" w14:textId="77777777" w:rsidR="00B92EC0" w:rsidRPr="00073B66" w:rsidRDefault="00B92EC0" w:rsidP="00EC4DCE">
            <w:pPr>
              <w:spacing w:line="276" w:lineRule="auto"/>
              <w:rPr>
                <w:rFonts w:eastAsia="Yu Gothic Light"/>
              </w:rPr>
            </w:pPr>
          </w:p>
          <w:p w14:paraId="26C56C39" w14:textId="46D516A8" w:rsidR="00B92EC0" w:rsidRPr="00073B66" w:rsidRDefault="00B92EC0" w:rsidP="00EC4DCE">
            <w:pPr>
              <w:ind w:left="360"/>
              <w:rPr>
                <w:i/>
              </w:rPr>
            </w:pPr>
            <w:r w:rsidRPr="00073B66">
              <w:rPr>
                <w:i/>
              </w:rPr>
              <w:t xml:space="preserve">You cannot leave any blank. If you did not perform one or more of the procedures listed below enter 0 (zero). If you had zero volume for </w:t>
            </w:r>
            <w:r w:rsidRPr="00073B66">
              <w:rPr>
                <w:b/>
                <w:i/>
                <w:u w:val="single"/>
              </w:rPr>
              <w:t>all</w:t>
            </w:r>
            <w:r w:rsidRPr="00073B66">
              <w:rPr>
                <w:i/>
              </w:rPr>
              <w:t xml:space="preserve"> procedures, go back to question #</w:t>
            </w:r>
            <w:r>
              <w:rPr>
                <w:i/>
              </w:rPr>
              <w:t>3</w:t>
            </w:r>
            <w:r w:rsidRPr="00073B66">
              <w:rPr>
                <w:i/>
              </w:rPr>
              <w:t xml:space="preserve"> and update your response from “yes” to “no.”</w:t>
            </w:r>
          </w:p>
        </w:tc>
      </w:tr>
      <w:tr w:rsidR="00B92EC0" w:rsidRPr="00073B66" w14:paraId="3B08EDD4" w14:textId="77777777" w:rsidTr="00EC4DCE">
        <w:trPr>
          <w:trHeight w:val="20"/>
        </w:trPr>
        <w:tc>
          <w:tcPr>
            <w:tcW w:w="5015" w:type="dxa"/>
            <w:tcMar>
              <w:top w:w="72" w:type="dxa"/>
              <w:left w:w="115" w:type="dxa"/>
              <w:bottom w:w="72" w:type="dxa"/>
              <w:right w:w="115" w:type="dxa"/>
            </w:tcMar>
            <w:vAlign w:val="center"/>
          </w:tcPr>
          <w:p w14:paraId="6454AE57" w14:textId="77777777" w:rsidR="00B92EC0" w:rsidRPr="00073B66" w:rsidRDefault="00B92EC0" w:rsidP="00EC4DCE">
            <w:pPr>
              <w:spacing w:line="276" w:lineRule="auto"/>
              <w:ind w:left="360"/>
              <w:rPr>
                <w:rFonts w:eastAsia="Yu Gothic Light"/>
              </w:rPr>
            </w:pPr>
          </w:p>
        </w:tc>
        <w:tc>
          <w:tcPr>
            <w:tcW w:w="2090" w:type="dxa"/>
            <w:tcMar>
              <w:top w:w="72" w:type="dxa"/>
              <w:left w:w="115" w:type="dxa"/>
              <w:bottom w:w="72" w:type="dxa"/>
              <w:right w:w="115" w:type="dxa"/>
            </w:tcMar>
          </w:tcPr>
          <w:p w14:paraId="1FB12C54" w14:textId="77777777" w:rsidR="00B92EC0" w:rsidRPr="00073B66" w:rsidRDefault="00B92EC0" w:rsidP="00AD309C">
            <w:pPr>
              <w:numPr>
                <w:ilvl w:val="0"/>
                <w:numId w:val="103"/>
              </w:numPr>
              <w:rPr>
                <w:i/>
              </w:rPr>
            </w:pPr>
            <w:r w:rsidRPr="00073B66">
              <w:rPr>
                <w:i/>
              </w:rPr>
              <w:t>Adult Volume</w:t>
            </w:r>
          </w:p>
        </w:tc>
        <w:tc>
          <w:tcPr>
            <w:tcW w:w="2245" w:type="dxa"/>
          </w:tcPr>
          <w:p w14:paraId="6AFE5B7E" w14:textId="77777777" w:rsidR="00B92EC0" w:rsidRPr="00073B66" w:rsidRDefault="00B92EC0" w:rsidP="00AD309C">
            <w:pPr>
              <w:numPr>
                <w:ilvl w:val="0"/>
                <w:numId w:val="103"/>
              </w:numPr>
              <w:rPr>
                <w:i/>
              </w:rPr>
            </w:pPr>
            <w:r w:rsidRPr="00073B66">
              <w:rPr>
                <w:i/>
              </w:rPr>
              <w:t>Pediatric Volume</w:t>
            </w:r>
          </w:p>
        </w:tc>
      </w:tr>
      <w:tr w:rsidR="00B92EC0" w:rsidRPr="00073B66" w14:paraId="64BE9B81" w14:textId="77777777" w:rsidTr="00EC4DCE">
        <w:trPr>
          <w:trHeight w:val="20"/>
        </w:trPr>
        <w:tc>
          <w:tcPr>
            <w:tcW w:w="5015" w:type="dxa"/>
            <w:tcMar>
              <w:top w:w="72" w:type="dxa"/>
              <w:left w:w="115" w:type="dxa"/>
              <w:bottom w:w="72" w:type="dxa"/>
              <w:right w:w="115" w:type="dxa"/>
            </w:tcMar>
            <w:vAlign w:val="center"/>
          </w:tcPr>
          <w:p w14:paraId="6098BDFF" w14:textId="77777777" w:rsidR="00B92EC0" w:rsidRPr="00073B66" w:rsidRDefault="00B92EC0" w:rsidP="00EC4DCE">
            <w:pPr>
              <w:spacing w:line="276" w:lineRule="auto"/>
              <w:rPr>
                <w:rFonts w:eastAsia="Yu Gothic Light"/>
                <w:b/>
              </w:rPr>
            </w:pPr>
            <w:r w:rsidRPr="00073B66">
              <w:rPr>
                <w:rFonts w:eastAsia="Yu Gothic Light"/>
                <w:b/>
              </w:rPr>
              <w:t>Finger, hand, wrist, forearm, and elbow procedures</w:t>
            </w:r>
          </w:p>
        </w:tc>
        <w:tc>
          <w:tcPr>
            <w:tcW w:w="2090" w:type="dxa"/>
            <w:tcMar>
              <w:top w:w="72" w:type="dxa"/>
              <w:left w:w="115" w:type="dxa"/>
              <w:bottom w:w="72" w:type="dxa"/>
              <w:right w:w="115" w:type="dxa"/>
            </w:tcMar>
            <w:vAlign w:val="center"/>
          </w:tcPr>
          <w:p w14:paraId="5EBDD3A0" w14:textId="77777777" w:rsidR="00B92EC0" w:rsidRPr="00073B66" w:rsidRDefault="00B92EC0" w:rsidP="00EC4DCE">
            <w:pPr>
              <w:jc w:val="center"/>
            </w:pPr>
            <w:r w:rsidRPr="00073B66">
              <w:t>_____</w:t>
            </w:r>
          </w:p>
        </w:tc>
        <w:tc>
          <w:tcPr>
            <w:tcW w:w="2245" w:type="dxa"/>
            <w:vAlign w:val="center"/>
          </w:tcPr>
          <w:p w14:paraId="336C81DC" w14:textId="77777777" w:rsidR="00B92EC0" w:rsidRPr="00073B66" w:rsidRDefault="00B92EC0" w:rsidP="00EC4DCE">
            <w:pPr>
              <w:jc w:val="center"/>
            </w:pPr>
            <w:r w:rsidRPr="00073B66">
              <w:t>_____</w:t>
            </w:r>
          </w:p>
        </w:tc>
      </w:tr>
      <w:tr w:rsidR="00B92EC0" w:rsidRPr="00073B66" w14:paraId="72B93B10" w14:textId="77777777" w:rsidTr="00EC4DCE">
        <w:trPr>
          <w:trHeight w:val="20"/>
        </w:trPr>
        <w:tc>
          <w:tcPr>
            <w:tcW w:w="5015" w:type="dxa"/>
            <w:tcMar>
              <w:top w:w="72" w:type="dxa"/>
              <w:left w:w="115" w:type="dxa"/>
              <w:bottom w:w="72" w:type="dxa"/>
              <w:right w:w="115" w:type="dxa"/>
            </w:tcMar>
            <w:vAlign w:val="center"/>
          </w:tcPr>
          <w:p w14:paraId="7F6081BF" w14:textId="77777777" w:rsidR="00B92EC0" w:rsidRPr="00073B66" w:rsidRDefault="00B92EC0" w:rsidP="00EC4DCE">
            <w:pPr>
              <w:spacing w:line="276" w:lineRule="auto"/>
              <w:rPr>
                <w:rFonts w:eastAsia="Yu Gothic Light"/>
                <w:b/>
              </w:rPr>
            </w:pPr>
            <w:r w:rsidRPr="00073B66">
              <w:rPr>
                <w:rFonts w:eastAsia="Yu Gothic Light"/>
                <w:b/>
              </w:rPr>
              <w:t>Shoulder procedures</w:t>
            </w:r>
          </w:p>
        </w:tc>
        <w:tc>
          <w:tcPr>
            <w:tcW w:w="2090" w:type="dxa"/>
            <w:tcMar>
              <w:top w:w="72" w:type="dxa"/>
              <w:left w:w="115" w:type="dxa"/>
              <w:bottom w:w="72" w:type="dxa"/>
              <w:right w:w="115" w:type="dxa"/>
            </w:tcMar>
            <w:vAlign w:val="center"/>
          </w:tcPr>
          <w:p w14:paraId="345E6D14" w14:textId="77777777" w:rsidR="00B92EC0" w:rsidRPr="00073B66" w:rsidRDefault="00B92EC0" w:rsidP="00EC4DCE">
            <w:pPr>
              <w:jc w:val="center"/>
              <w:rPr>
                <w:i/>
              </w:rPr>
            </w:pPr>
            <w:r w:rsidRPr="00073B66">
              <w:t>_____</w:t>
            </w:r>
          </w:p>
        </w:tc>
        <w:tc>
          <w:tcPr>
            <w:tcW w:w="2245" w:type="dxa"/>
            <w:vAlign w:val="center"/>
          </w:tcPr>
          <w:p w14:paraId="258B794D" w14:textId="77777777" w:rsidR="00B92EC0" w:rsidRPr="00073B66" w:rsidRDefault="00B92EC0" w:rsidP="00EC4DCE">
            <w:pPr>
              <w:jc w:val="center"/>
              <w:rPr>
                <w:i/>
              </w:rPr>
            </w:pPr>
            <w:r w:rsidRPr="00073B66">
              <w:t>_____</w:t>
            </w:r>
          </w:p>
        </w:tc>
      </w:tr>
      <w:tr w:rsidR="00B92EC0" w:rsidRPr="00073B66" w14:paraId="0539ECEA" w14:textId="77777777" w:rsidTr="00EC4DCE">
        <w:trPr>
          <w:trHeight w:val="20"/>
        </w:trPr>
        <w:tc>
          <w:tcPr>
            <w:tcW w:w="5015" w:type="dxa"/>
            <w:tcMar>
              <w:top w:w="72" w:type="dxa"/>
              <w:left w:w="115" w:type="dxa"/>
              <w:bottom w:w="72" w:type="dxa"/>
              <w:right w:w="115" w:type="dxa"/>
            </w:tcMar>
            <w:vAlign w:val="center"/>
          </w:tcPr>
          <w:p w14:paraId="471BC894" w14:textId="77777777" w:rsidR="00B92EC0" w:rsidRPr="00073B66" w:rsidRDefault="00B92EC0" w:rsidP="00EC4DCE">
            <w:pPr>
              <w:spacing w:line="276" w:lineRule="auto"/>
              <w:rPr>
                <w:rFonts w:eastAsia="Yu Gothic Light"/>
                <w:b/>
              </w:rPr>
            </w:pPr>
            <w:r w:rsidRPr="00073B66">
              <w:rPr>
                <w:rFonts w:eastAsia="Yu Gothic Light"/>
                <w:b/>
              </w:rPr>
              <w:t>Spine procedures</w:t>
            </w:r>
          </w:p>
        </w:tc>
        <w:tc>
          <w:tcPr>
            <w:tcW w:w="2090" w:type="dxa"/>
            <w:tcMar>
              <w:top w:w="72" w:type="dxa"/>
              <w:left w:w="115" w:type="dxa"/>
              <w:bottom w:w="72" w:type="dxa"/>
              <w:right w:w="115" w:type="dxa"/>
            </w:tcMar>
            <w:vAlign w:val="center"/>
          </w:tcPr>
          <w:p w14:paraId="0FEAA1AC" w14:textId="77777777" w:rsidR="00B92EC0" w:rsidRPr="00073B66" w:rsidRDefault="00B92EC0" w:rsidP="00EC4DCE">
            <w:pPr>
              <w:jc w:val="center"/>
            </w:pPr>
            <w:r w:rsidRPr="00073B66">
              <w:t>_____</w:t>
            </w:r>
          </w:p>
        </w:tc>
        <w:tc>
          <w:tcPr>
            <w:tcW w:w="2245" w:type="dxa"/>
            <w:shd w:val="clear" w:color="auto" w:fill="BFBFBF" w:themeFill="background1" w:themeFillShade="BF"/>
            <w:vAlign w:val="center"/>
          </w:tcPr>
          <w:p w14:paraId="3748F709" w14:textId="77777777" w:rsidR="00B92EC0" w:rsidRPr="00073B66" w:rsidRDefault="00B92EC0" w:rsidP="00EC4DCE">
            <w:pPr>
              <w:rPr>
                <w:i/>
              </w:rPr>
            </w:pPr>
          </w:p>
        </w:tc>
      </w:tr>
      <w:tr w:rsidR="00B92EC0" w:rsidRPr="00073B66" w14:paraId="3ADF81A7" w14:textId="77777777" w:rsidTr="00EC4DCE">
        <w:trPr>
          <w:trHeight w:val="144"/>
        </w:trPr>
        <w:tc>
          <w:tcPr>
            <w:tcW w:w="5015" w:type="dxa"/>
            <w:tcMar>
              <w:top w:w="72" w:type="dxa"/>
              <w:left w:w="115" w:type="dxa"/>
              <w:bottom w:w="72" w:type="dxa"/>
              <w:right w:w="115" w:type="dxa"/>
            </w:tcMar>
            <w:vAlign w:val="center"/>
          </w:tcPr>
          <w:p w14:paraId="1A427BEA" w14:textId="77777777" w:rsidR="00B92EC0" w:rsidRPr="00073B66" w:rsidRDefault="00B92EC0" w:rsidP="00EC4DCE">
            <w:pPr>
              <w:spacing w:line="276" w:lineRule="auto"/>
              <w:rPr>
                <w:rFonts w:eastAsia="Yu Gothic Light"/>
                <w:b/>
              </w:rPr>
            </w:pPr>
            <w:r w:rsidRPr="00073B66">
              <w:rPr>
                <w:rFonts w:eastAsia="Yu Gothic Light"/>
                <w:b/>
              </w:rPr>
              <w:t>Hip procedures</w:t>
            </w:r>
          </w:p>
        </w:tc>
        <w:tc>
          <w:tcPr>
            <w:tcW w:w="2090" w:type="dxa"/>
            <w:tcMar>
              <w:top w:w="72" w:type="dxa"/>
              <w:left w:w="115" w:type="dxa"/>
              <w:bottom w:w="72" w:type="dxa"/>
              <w:right w:w="115" w:type="dxa"/>
            </w:tcMar>
            <w:vAlign w:val="center"/>
          </w:tcPr>
          <w:p w14:paraId="03988E9D" w14:textId="77777777" w:rsidR="00B92EC0" w:rsidRPr="00073B66" w:rsidRDefault="00B92EC0" w:rsidP="00EC4DCE">
            <w:pPr>
              <w:jc w:val="center"/>
            </w:pPr>
            <w:r w:rsidRPr="00073B66">
              <w:t>_____</w:t>
            </w:r>
          </w:p>
        </w:tc>
        <w:tc>
          <w:tcPr>
            <w:tcW w:w="2245" w:type="dxa"/>
            <w:shd w:val="clear" w:color="auto" w:fill="BFBFBF" w:themeFill="background1" w:themeFillShade="BF"/>
            <w:vAlign w:val="center"/>
          </w:tcPr>
          <w:p w14:paraId="0EA3BEE8" w14:textId="77777777" w:rsidR="00B92EC0" w:rsidRPr="00073B66" w:rsidRDefault="00B92EC0" w:rsidP="00EC4DCE">
            <w:pPr>
              <w:rPr>
                <w:i/>
              </w:rPr>
            </w:pPr>
          </w:p>
        </w:tc>
      </w:tr>
      <w:tr w:rsidR="00B92EC0" w:rsidRPr="00073B66" w14:paraId="3E4EC745" w14:textId="77777777" w:rsidTr="00EC4DCE">
        <w:trPr>
          <w:trHeight w:val="144"/>
        </w:trPr>
        <w:tc>
          <w:tcPr>
            <w:tcW w:w="5015" w:type="dxa"/>
            <w:tcMar>
              <w:top w:w="72" w:type="dxa"/>
              <w:left w:w="115" w:type="dxa"/>
              <w:bottom w:w="72" w:type="dxa"/>
              <w:right w:w="115" w:type="dxa"/>
            </w:tcMar>
            <w:vAlign w:val="center"/>
          </w:tcPr>
          <w:p w14:paraId="2B7DC66D" w14:textId="77777777" w:rsidR="00B92EC0" w:rsidRPr="00073B66" w:rsidRDefault="00B92EC0" w:rsidP="00EC4DCE">
            <w:pPr>
              <w:spacing w:line="276" w:lineRule="auto"/>
              <w:rPr>
                <w:rFonts w:eastAsia="Yu Gothic Light"/>
                <w:b/>
              </w:rPr>
            </w:pPr>
            <w:r w:rsidRPr="00073B66">
              <w:rPr>
                <w:rFonts w:eastAsia="Yu Gothic Light"/>
                <w:b/>
              </w:rPr>
              <w:t>Knee procedures</w:t>
            </w:r>
          </w:p>
        </w:tc>
        <w:tc>
          <w:tcPr>
            <w:tcW w:w="2090" w:type="dxa"/>
            <w:tcMar>
              <w:top w:w="72" w:type="dxa"/>
              <w:left w:w="115" w:type="dxa"/>
              <w:bottom w:w="72" w:type="dxa"/>
              <w:right w:w="115" w:type="dxa"/>
            </w:tcMar>
            <w:vAlign w:val="center"/>
          </w:tcPr>
          <w:p w14:paraId="13320683" w14:textId="77777777" w:rsidR="00B92EC0" w:rsidRPr="00073B66" w:rsidRDefault="00B92EC0" w:rsidP="00EC4DCE">
            <w:pPr>
              <w:jc w:val="center"/>
            </w:pPr>
            <w:r w:rsidRPr="00073B66">
              <w:t>_____</w:t>
            </w:r>
          </w:p>
        </w:tc>
        <w:tc>
          <w:tcPr>
            <w:tcW w:w="2245" w:type="dxa"/>
            <w:vAlign w:val="center"/>
          </w:tcPr>
          <w:p w14:paraId="01308AF0" w14:textId="77777777" w:rsidR="00B92EC0" w:rsidRPr="00073B66" w:rsidRDefault="00B92EC0" w:rsidP="00EC4DCE">
            <w:pPr>
              <w:jc w:val="center"/>
              <w:rPr>
                <w:i/>
              </w:rPr>
            </w:pPr>
            <w:r w:rsidRPr="00073B66">
              <w:t>_____</w:t>
            </w:r>
          </w:p>
        </w:tc>
      </w:tr>
      <w:tr w:rsidR="00B92EC0" w:rsidRPr="00073B66" w14:paraId="18204202" w14:textId="77777777" w:rsidTr="00EC4DCE">
        <w:trPr>
          <w:trHeight w:val="144"/>
        </w:trPr>
        <w:tc>
          <w:tcPr>
            <w:tcW w:w="5015" w:type="dxa"/>
            <w:tcMar>
              <w:top w:w="72" w:type="dxa"/>
              <w:left w:w="115" w:type="dxa"/>
              <w:bottom w:w="72" w:type="dxa"/>
              <w:right w:w="115" w:type="dxa"/>
            </w:tcMar>
            <w:vAlign w:val="center"/>
          </w:tcPr>
          <w:p w14:paraId="6F3F70BD" w14:textId="77777777" w:rsidR="00B92EC0" w:rsidRPr="00073B66" w:rsidRDefault="00B92EC0" w:rsidP="00EC4DCE">
            <w:pPr>
              <w:spacing w:line="276" w:lineRule="auto"/>
              <w:rPr>
                <w:rFonts w:eastAsia="Yu Gothic Light"/>
                <w:b/>
              </w:rPr>
            </w:pPr>
            <w:r w:rsidRPr="00073B66">
              <w:rPr>
                <w:rFonts w:eastAsia="Yu Gothic Light"/>
                <w:b/>
              </w:rPr>
              <w:t>Toe, foot, ankle, and leg procedures</w:t>
            </w:r>
          </w:p>
        </w:tc>
        <w:tc>
          <w:tcPr>
            <w:tcW w:w="2090" w:type="dxa"/>
            <w:tcMar>
              <w:top w:w="72" w:type="dxa"/>
              <w:left w:w="115" w:type="dxa"/>
              <w:bottom w:w="72" w:type="dxa"/>
              <w:right w:w="115" w:type="dxa"/>
            </w:tcMar>
            <w:vAlign w:val="center"/>
          </w:tcPr>
          <w:p w14:paraId="6FD503AF" w14:textId="77777777" w:rsidR="00B92EC0" w:rsidRPr="00073B66" w:rsidRDefault="00B92EC0" w:rsidP="00EC4DCE">
            <w:pPr>
              <w:jc w:val="center"/>
            </w:pPr>
            <w:r w:rsidRPr="00073B66">
              <w:t>_____</w:t>
            </w:r>
          </w:p>
        </w:tc>
        <w:tc>
          <w:tcPr>
            <w:tcW w:w="2245" w:type="dxa"/>
            <w:vAlign w:val="center"/>
          </w:tcPr>
          <w:p w14:paraId="59FB48AF" w14:textId="77777777" w:rsidR="00B92EC0" w:rsidRPr="00073B66" w:rsidRDefault="00B92EC0" w:rsidP="00EC4DCE">
            <w:pPr>
              <w:jc w:val="center"/>
              <w:rPr>
                <w:i/>
              </w:rPr>
            </w:pPr>
            <w:r w:rsidRPr="00073B66">
              <w:t>_____</w:t>
            </w:r>
          </w:p>
        </w:tc>
      </w:tr>
      <w:tr w:rsidR="00B92EC0" w:rsidRPr="00073B66" w14:paraId="24167EB6" w14:textId="77777777" w:rsidTr="00EC4DCE">
        <w:trPr>
          <w:trHeight w:val="20"/>
        </w:trPr>
        <w:tc>
          <w:tcPr>
            <w:tcW w:w="5015" w:type="dxa"/>
            <w:tcMar>
              <w:top w:w="72" w:type="dxa"/>
              <w:left w:w="115" w:type="dxa"/>
              <w:bottom w:w="72" w:type="dxa"/>
              <w:right w:w="115" w:type="dxa"/>
            </w:tcMar>
            <w:vAlign w:val="center"/>
          </w:tcPr>
          <w:p w14:paraId="289117CD" w14:textId="77777777" w:rsidR="00B92EC0" w:rsidRPr="00073B66" w:rsidRDefault="00B92EC0" w:rsidP="00EC4DCE">
            <w:pPr>
              <w:spacing w:line="276" w:lineRule="auto"/>
              <w:rPr>
                <w:rFonts w:eastAsia="Yu Gothic Light"/>
                <w:b/>
              </w:rPr>
            </w:pPr>
            <w:r w:rsidRPr="00073B66">
              <w:rPr>
                <w:rFonts w:eastAsia="Yu Gothic Light"/>
                <w:b/>
              </w:rPr>
              <w:t>General orthopedic procedures</w:t>
            </w:r>
          </w:p>
        </w:tc>
        <w:tc>
          <w:tcPr>
            <w:tcW w:w="2090" w:type="dxa"/>
            <w:tcMar>
              <w:top w:w="72" w:type="dxa"/>
              <w:left w:w="115" w:type="dxa"/>
              <w:bottom w:w="72" w:type="dxa"/>
              <w:right w:w="115" w:type="dxa"/>
            </w:tcMar>
            <w:vAlign w:val="center"/>
          </w:tcPr>
          <w:p w14:paraId="614ADB7A" w14:textId="77777777" w:rsidR="00B92EC0" w:rsidRPr="00073B66" w:rsidRDefault="00B92EC0" w:rsidP="00EC4DCE">
            <w:pPr>
              <w:jc w:val="center"/>
            </w:pPr>
            <w:r w:rsidRPr="00073B66">
              <w:t>_____</w:t>
            </w:r>
          </w:p>
        </w:tc>
        <w:tc>
          <w:tcPr>
            <w:tcW w:w="2245" w:type="dxa"/>
            <w:vAlign w:val="center"/>
          </w:tcPr>
          <w:p w14:paraId="0FD2C684" w14:textId="77777777" w:rsidR="00B92EC0" w:rsidRPr="00073B66" w:rsidRDefault="00B92EC0" w:rsidP="00EC4DCE">
            <w:pPr>
              <w:jc w:val="center"/>
              <w:rPr>
                <w:i/>
              </w:rPr>
            </w:pPr>
            <w:r w:rsidRPr="00073B66">
              <w:t>_____</w:t>
            </w:r>
          </w:p>
        </w:tc>
      </w:tr>
    </w:tbl>
    <w:p w14:paraId="0E07CDE8" w14:textId="77777777" w:rsidR="00B92EC0" w:rsidRDefault="00B92EC0" w:rsidP="00B92EC0"/>
    <w:tbl>
      <w:tblPr>
        <w:tblStyle w:val="TableGrid"/>
        <w:tblW w:w="0" w:type="auto"/>
        <w:tblLayout w:type="fixed"/>
        <w:tblCellMar>
          <w:left w:w="115" w:type="dxa"/>
          <w:right w:w="115" w:type="dxa"/>
        </w:tblCellMar>
        <w:tblLook w:val="04A0" w:firstRow="1" w:lastRow="0" w:firstColumn="1" w:lastColumn="0" w:noHBand="0" w:noVBand="1"/>
      </w:tblPr>
      <w:tblGrid>
        <w:gridCol w:w="6205"/>
        <w:gridCol w:w="3145"/>
      </w:tblGrid>
      <w:tr w:rsidR="00B92EC0" w:rsidRPr="005B2F83" w14:paraId="7BB9F666" w14:textId="77777777" w:rsidTr="00EC4DCE">
        <w:trPr>
          <w:trHeight w:val="288"/>
        </w:trPr>
        <w:tc>
          <w:tcPr>
            <w:tcW w:w="6205" w:type="dxa"/>
            <w:tcMar>
              <w:top w:w="72" w:type="dxa"/>
              <w:left w:w="115" w:type="dxa"/>
              <w:bottom w:w="72" w:type="dxa"/>
              <w:right w:w="115" w:type="dxa"/>
            </w:tcMar>
            <w:vAlign w:val="center"/>
          </w:tcPr>
          <w:p w14:paraId="5C730330" w14:textId="77777777" w:rsidR="00B92EC0" w:rsidRDefault="00B92EC0" w:rsidP="00AD309C">
            <w:pPr>
              <w:pStyle w:val="ListParagraph"/>
              <w:numPr>
                <w:ilvl w:val="0"/>
                <w:numId w:val="91"/>
              </w:numPr>
            </w:pPr>
            <w:r>
              <w:t xml:space="preserve">Where were these </w:t>
            </w:r>
            <w:r>
              <w:rPr>
                <w:b/>
              </w:rPr>
              <w:t>orthopedic</w:t>
            </w:r>
            <w:r w:rsidRPr="005D2045">
              <w:rPr>
                <w:b/>
              </w:rPr>
              <w:t xml:space="preserve"> </w:t>
            </w:r>
            <w:r>
              <w:t>procedures performed?</w:t>
            </w:r>
          </w:p>
          <w:p w14:paraId="434E3456" w14:textId="77777777" w:rsidR="00B92EC0" w:rsidRDefault="00B92EC0" w:rsidP="00EC4DCE">
            <w:pPr>
              <w:pStyle w:val="ListParagraph"/>
              <w:ind w:left="360"/>
            </w:pPr>
          </w:p>
          <w:p w14:paraId="2A3A904D" w14:textId="77777777" w:rsidR="00B92EC0" w:rsidRPr="00131F2C" w:rsidRDefault="00B92EC0" w:rsidP="00EC4DCE">
            <w:pPr>
              <w:pStyle w:val="ListParagraph"/>
              <w:ind w:left="360"/>
              <w:rPr>
                <w:i/>
              </w:rPr>
            </w:pPr>
            <w:r>
              <w:rPr>
                <w:i/>
              </w:rPr>
              <w:t>Select all that apply.</w:t>
            </w:r>
          </w:p>
          <w:p w14:paraId="23BE9146" w14:textId="77777777" w:rsidR="00B92EC0" w:rsidRPr="005D2045" w:rsidRDefault="00B92EC0" w:rsidP="00EC4DCE">
            <w:pPr>
              <w:pStyle w:val="ListParagraph"/>
              <w:ind w:left="360"/>
            </w:pPr>
          </w:p>
          <w:p w14:paraId="60D7DFDA" w14:textId="3F5D8A58" w:rsidR="00B92EC0" w:rsidRPr="005D2045" w:rsidRDefault="00B92EC0" w:rsidP="00EC4DCE">
            <w:pPr>
              <w:pStyle w:val="ListParagraph"/>
              <w:ind w:left="360"/>
            </w:pPr>
            <w:r w:rsidRPr="007D5AE3">
              <w:rPr>
                <w:i/>
              </w:rPr>
              <w:t>If only “hospital” is selected,</w:t>
            </w:r>
            <w:r>
              <w:rPr>
                <w:i/>
              </w:rPr>
              <w:t xml:space="preserve"> </w:t>
            </w:r>
            <w:r w:rsidRPr="00B674A0">
              <w:rPr>
                <w:i/>
              </w:rPr>
              <w:t xml:space="preserve">skip </w:t>
            </w:r>
            <w:r>
              <w:rPr>
                <w:i/>
              </w:rPr>
              <w:t>question #16 and continue to question #17.</w:t>
            </w:r>
          </w:p>
        </w:tc>
        <w:tc>
          <w:tcPr>
            <w:tcW w:w="3145" w:type="dxa"/>
            <w:vAlign w:val="center"/>
          </w:tcPr>
          <w:p w14:paraId="54B39B97" w14:textId="77777777" w:rsidR="00B92EC0" w:rsidRPr="00753419" w:rsidRDefault="00B92EC0" w:rsidP="00AD309C">
            <w:pPr>
              <w:pStyle w:val="ListParagraph"/>
              <w:numPr>
                <w:ilvl w:val="0"/>
                <w:numId w:val="94"/>
              </w:numPr>
              <w:spacing w:line="276" w:lineRule="auto"/>
              <w:rPr>
                <w:iCs/>
              </w:rPr>
            </w:pPr>
            <w:r w:rsidRPr="00753419">
              <w:rPr>
                <w:iCs/>
              </w:rPr>
              <w:t>Hospital</w:t>
            </w:r>
          </w:p>
          <w:p w14:paraId="0964D131" w14:textId="77777777" w:rsidR="00B92EC0" w:rsidRPr="00551F82" w:rsidRDefault="00B92EC0" w:rsidP="00AD309C">
            <w:pPr>
              <w:pStyle w:val="ListParagraph"/>
              <w:numPr>
                <w:ilvl w:val="0"/>
                <w:numId w:val="94"/>
              </w:numPr>
              <w:spacing w:line="276" w:lineRule="auto"/>
              <w:rPr>
                <w:i/>
              </w:rPr>
            </w:pPr>
            <w:r w:rsidRPr="00753419">
              <w:rPr>
                <w:iCs/>
              </w:rPr>
              <w:t>Surgery center or free-standing hospital outpatient department</w:t>
            </w:r>
          </w:p>
        </w:tc>
      </w:tr>
    </w:tbl>
    <w:p w14:paraId="282EB0B3" w14:textId="77777777" w:rsidR="00B92EC0" w:rsidRDefault="00B92EC0" w:rsidP="00B92EC0"/>
    <w:tbl>
      <w:tblPr>
        <w:tblStyle w:val="TableGrid"/>
        <w:tblW w:w="0" w:type="auto"/>
        <w:tblLayout w:type="fixed"/>
        <w:tblCellMar>
          <w:left w:w="115" w:type="dxa"/>
          <w:right w:w="115" w:type="dxa"/>
        </w:tblCellMar>
        <w:tblLook w:val="04A0" w:firstRow="1" w:lastRow="0" w:firstColumn="1" w:lastColumn="0" w:noHBand="0" w:noVBand="1"/>
      </w:tblPr>
      <w:tblGrid>
        <w:gridCol w:w="4135"/>
        <w:gridCol w:w="2340"/>
        <w:gridCol w:w="2875"/>
      </w:tblGrid>
      <w:tr w:rsidR="00B92EC0" w:rsidRPr="005B2F83" w14:paraId="2EDA97CA" w14:textId="77777777" w:rsidTr="00EC4DCE">
        <w:trPr>
          <w:trHeight w:val="20"/>
        </w:trPr>
        <w:tc>
          <w:tcPr>
            <w:tcW w:w="9350" w:type="dxa"/>
            <w:gridSpan w:val="3"/>
            <w:tcMar>
              <w:top w:w="72" w:type="dxa"/>
              <w:left w:w="115" w:type="dxa"/>
              <w:bottom w:w="72" w:type="dxa"/>
              <w:right w:w="115" w:type="dxa"/>
            </w:tcMar>
            <w:vAlign w:val="center"/>
          </w:tcPr>
          <w:p w14:paraId="223D906E" w14:textId="77777777" w:rsidR="00B92EC0" w:rsidRDefault="00B92EC0" w:rsidP="00AD309C">
            <w:pPr>
              <w:pStyle w:val="ListParagraph"/>
              <w:numPr>
                <w:ilvl w:val="0"/>
                <w:numId w:val="91"/>
              </w:numPr>
              <w:spacing w:line="276" w:lineRule="auto"/>
              <w:rPr>
                <w:i/>
              </w:rPr>
            </w:pPr>
            <w:r>
              <w:t xml:space="preserve">Please provide the name and city location of each surgery center or free-standing hospital outpatient department performing </w:t>
            </w:r>
            <w:r w:rsidRPr="00AB1823">
              <w:rPr>
                <w:b/>
              </w:rPr>
              <w:t>o</w:t>
            </w:r>
            <w:r>
              <w:rPr>
                <w:b/>
              </w:rPr>
              <w:t>rthopedic</w:t>
            </w:r>
            <w:r>
              <w:t xml:space="preserve"> procedures:</w:t>
            </w:r>
          </w:p>
        </w:tc>
      </w:tr>
      <w:tr w:rsidR="00B92EC0" w:rsidRPr="005B2F83" w14:paraId="5A2DD40F" w14:textId="77777777" w:rsidTr="00EC4DCE">
        <w:trPr>
          <w:trHeight w:val="20"/>
        </w:trPr>
        <w:tc>
          <w:tcPr>
            <w:tcW w:w="4135" w:type="dxa"/>
            <w:tcMar>
              <w:top w:w="72" w:type="dxa"/>
              <w:left w:w="115" w:type="dxa"/>
              <w:bottom w:w="72" w:type="dxa"/>
              <w:right w:w="115" w:type="dxa"/>
            </w:tcMar>
            <w:vAlign w:val="center"/>
          </w:tcPr>
          <w:p w14:paraId="12FDF355" w14:textId="77777777" w:rsidR="00B92EC0" w:rsidRDefault="00B92EC0" w:rsidP="00EC4DCE">
            <w:pPr>
              <w:pStyle w:val="ListParagraph"/>
              <w:spacing w:line="276" w:lineRule="auto"/>
              <w:ind w:left="360"/>
            </w:pPr>
          </w:p>
        </w:tc>
        <w:tc>
          <w:tcPr>
            <w:tcW w:w="2340" w:type="dxa"/>
            <w:vAlign w:val="center"/>
          </w:tcPr>
          <w:p w14:paraId="336CBA47" w14:textId="77777777" w:rsidR="00B92EC0" w:rsidRPr="005C60B1" w:rsidRDefault="00B92EC0" w:rsidP="004F63C1">
            <w:pPr>
              <w:spacing w:line="276" w:lineRule="auto"/>
              <w:jc w:val="center"/>
              <w:rPr>
                <w:i/>
              </w:rPr>
            </w:pPr>
            <w:r w:rsidRPr="005C60B1">
              <w:rPr>
                <w:i/>
              </w:rPr>
              <w:t>Name</w:t>
            </w:r>
          </w:p>
        </w:tc>
        <w:tc>
          <w:tcPr>
            <w:tcW w:w="2875" w:type="dxa"/>
            <w:vAlign w:val="center"/>
          </w:tcPr>
          <w:p w14:paraId="6D330AAF" w14:textId="77777777" w:rsidR="00B92EC0" w:rsidRPr="005C60B1" w:rsidRDefault="00B92EC0" w:rsidP="004F63C1">
            <w:pPr>
              <w:spacing w:line="276" w:lineRule="auto"/>
              <w:jc w:val="center"/>
              <w:rPr>
                <w:i/>
              </w:rPr>
            </w:pPr>
            <w:r w:rsidRPr="005C60B1">
              <w:rPr>
                <w:i/>
              </w:rPr>
              <w:t>City</w:t>
            </w:r>
          </w:p>
        </w:tc>
      </w:tr>
      <w:tr w:rsidR="00B92EC0" w:rsidRPr="005B2F83" w14:paraId="0CDB263C" w14:textId="77777777" w:rsidTr="00EC4DCE">
        <w:trPr>
          <w:trHeight w:val="20"/>
        </w:trPr>
        <w:tc>
          <w:tcPr>
            <w:tcW w:w="4135" w:type="dxa"/>
            <w:tcMar>
              <w:top w:w="72" w:type="dxa"/>
              <w:left w:w="115" w:type="dxa"/>
              <w:bottom w:w="72" w:type="dxa"/>
              <w:right w:w="115" w:type="dxa"/>
            </w:tcMar>
            <w:vAlign w:val="center"/>
          </w:tcPr>
          <w:p w14:paraId="2B2D2049" w14:textId="77777777" w:rsidR="00B92EC0" w:rsidRPr="00914F12" w:rsidRDefault="00B92EC0" w:rsidP="00EC4DCE">
            <w:pPr>
              <w:pStyle w:val="ListParagraph"/>
              <w:spacing w:line="276" w:lineRule="auto"/>
              <w:ind w:left="360"/>
              <w:rPr>
                <w:b/>
              </w:rPr>
            </w:pPr>
            <w:r>
              <w:rPr>
                <w:b/>
              </w:rPr>
              <w:t>Surgery Center/</w:t>
            </w:r>
            <w:r w:rsidRPr="00914F12">
              <w:rPr>
                <w:b/>
              </w:rPr>
              <w:t>Free-Standing Hospital Outpatient Department 1</w:t>
            </w:r>
          </w:p>
        </w:tc>
        <w:tc>
          <w:tcPr>
            <w:tcW w:w="2340" w:type="dxa"/>
            <w:vAlign w:val="center"/>
          </w:tcPr>
          <w:p w14:paraId="7D3C6C61" w14:textId="77777777" w:rsidR="00B92EC0" w:rsidRDefault="00B92EC0" w:rsidP="00EC4DCE">
            <w:pPr>
              <w:pStyle w:val="ListParagraph"/>
              <w:spacing w:line="276" w:lineRule="auto"/>
              <w:ind w:left="360"/>
            </w:pPr>
          </w:p>
        </w:tc>
        <w:tc>
          <w:tcPr>
            <w:tcW w:w="2875" w:type="dxa"/>
            <w:vAlign w:val="center"/>
          </w:tcPr>
          <w:p w14:paraId="1216B99B" w14:textId="77777777" w:rsidR="00B92EC0" w:rsidRDefault="00B92EC0" w:rsidP="00EC4DCE">
            <w:pPr>
              <w:pStyle w:val="ListParagraph"/>
              <w:spacing w:line="276" w:lineRule="auto"/>
              <w:ind w:left="360"/>
            </w:pPr>
          </w:p>
        </w:tc>
      </w:tr>
      <w:tr w:rsidR="00B92EC0" w:rsidRPr="005B2F83" w14:paraId="10C146C6" w14:textId="77777777" w:rsidTr="00EC4DCE">
        <w:trPr>
          <w:trHeight w:val="288"/>
        </w:trPr>
        <w:tc>
          <w:tcPr>
            <w:tcW w:w="4135" w:type="dxa"/>
            <w:tcMar>
              <w:top w:w="72" w:type="dxa"/>
              <w:left w:w="115" w:type="dxa"/>
              <w:bottom w:w="72" w:type="dxa"/>
              <w:right w:w="115" w:type="dxa"/>
            </w:tcMar>
            <w:vAlign w:val="center"/>
          </w:tcPr>
          <w:p w14:paraId="4E5684BE" w14:textId="77777777" w:rsidR="00B92EC0" w:rsidRPr="00914F12" w:rsidRDefault="00B92EC0" w:rsidP="00EC4DCE">
            <w:pPr>
              <w:pStyle w:val="ListParagraph"/>
              <w:spacing w:line="276" w:lineRule="auto"/>
              <w:ind w:left="360"/>
              <w:rPr>
                <w:b/>
              </w:rPr>
            </w:pPr>
            <w:r>
              <w:rPr>
                <w:b/>
              </w:rPr>
              <w:t>Surgery Center/</w:t>
            </w:r>
            <w:r w:rsidRPr="00914F12">
              <w:rPr>
                <w:b/>
              </w:rPr>
              <w:t>Free-Standing Hospital Outpatient Department 2</w:t>
            </w:r>
          </w:p>
        </w:tc>
        <w:tc>
          <w:tcPr>
            <w:tcW w:w="2340" w:type="dxa"/>
            <w:vAlign w:val="center"/>
          </w:tcPr>
          <w:p w14:paraId="682F48A9" w14:textId="77777777" w:rsidR="00B92EC0" w:rsidRDefault="00B92EC0" w:rsidP="00EC4DCE">
            <w:pPr>
              <w:pStyle w:val="ListParagraph"/>
              <w:spacing w:line="276" w:lineRule="auto"/>
              <w:ind w:left="360"/>
            </w:pPr>
          </w:p>
        </w:tc>
        <w:tc>
          <w:tcPr>
            <w:tcW w:w="2875" w:type="dxa"/>
            <w:vAlign w:val="center"/>
          </w:tcPr>
          <w:p w14:paraId="79035ADA" w14:textId="77777777" w:rsidR="00B92EC0" w:rsidRDefault="00B92EC0" w:rsidP="00EC4DCE">
            <w:pPr>
              <w:pStyle w:val="ListParagraph"/>
              <w:spacing w:line="276" w:lineRule="auto"/>
              <w:ind w:left="360"/>
            </w:pPr>
          </w:p>
        </w:tc>
      </w:tr>
      <w:tr w:rsidR="00B92EC0" w:rsidRPr="005B2F83" w14:paraId="3C13D7BD" w14:textId="77777777" w:rsidTr="00EC4DCE">
        <w:trPr>
          <w:trHeight w:val="288"/>
        </w:trPr>
        <w:tc>
          <w:tcPr>
            <w:tcW w:w="4135" w:type="dxa"/>
            <w:tcMar>
              <w:top w:w="72" w:type="dxa"/>
              <w:left w:w="115" w:type="dxa"/>
              <w:bottom w:w="72" w:type="dxa"/>
              <w:right w:w="115" w:type="dxa"/>
            </w:tcMar>
            <w:vAlign w:val="center"/>
          </w:tcPr>
          <w:p w14:paraId="61C4CADB" w14:textId="77777777" w:rsidR="00B92EC0" w:rsidRPr="00914F12" w:rsidRDefault="00B92EC0" w:rsidP="00EC4DCE">
            <w:pPr>
              <w:pStyle w:val="ListParagraph"/>
              <w:spacing w:line="276" w:lineRule="auto"/>
              <w:ind w:left="360"/>
              <w:rPr>
                <w:b/>
              </w:rPr>
            </w:pPr>
            <w:r>
              <w:rPr>
                <w:b/>
              </w:rPr>
              <w:t>Surgery Center/</w:t>
            </w:r>
            <w:r w:rsidRPr="00914F12">
              <w:rPr>
                <w:b/>
              </w:rPr>
              <w:t>Free-Standing Hospital Outpatient Department 3</w:t>
            </w:r>
          </w:p>
        </w:tc>
        <w:tc>
          <w:tcPr>
            <w:tcW w:w="2340" w:type="dxa"/>
            <w:vAlign w:val="center"/>
          </w:tcPr>
          <w:p w14:paraId="55A724D9" w14:textId="77777777" w:rsidR="00B92EC0" w:rsidRDefault="00B92EC0" w:rsidP="00EC4DCE">
            <w:pPr>
              <w:pStyle w:val="ListParagraph"/>
              <w:spacing w:line="276" w:lineRule="auto"/>
              <w:ind w:left="360"/>
            </w:pPr>
          </w:p>
        </w:tc>
        <w:tc>
          <w:tcPr>
            <w:tcW w:w="2875" w:type="dxa"/>
            <w:vAlign w:val="center"/>
          </w:tcPr>
          <w:p w14:paraId="083D8B40" w14:textId="77777777" w:rsidR="00B92EC0" w:rsidRDefault="00B92EC0" w:rsidP="00EC4DCE">
            <w:pPr>
              <w:pStyle w:val="ListParagraph"/>
              <w:spacing w:line="276" w:lineRule="auto"/>
              <w:ind w:left="360"/>
            </w:pPr>
          </w:p>
        </w:tc>
      </w:tr>
      <w:tr w:rsidR="00B92EC0" w:rsidRPr="005B2F83" w14:paraId="7E63278C" w14:textId="77777777" w:rsidTr="00EC4DCE">
        <w:trPr>
          <w:trHeight w:val="144"/>
        </w:trPr>
        <w:tc>
          <w:tcPr>
            <w:tcW w:w="4135" w:type="dxa"/>
            <w:tcMar>
              <w:top w:w="72" w:type="dxa"/>
              <w:left w:w="115" w:type="dxa"/>
              <w:bottom w:w="72" w:type="dxa"/>
              <w:right w:w="115" w:type="dxa"/>
            </w:tcMar>
            <w:vAlign w:val="center"/>
          </w:tcPr>
          <w:p w14:paraId="60483E0E" w14:textId="77777777" w:rsidR="00B92EC0" w:rsidRPr="00914F12" w:rsidRDefault="00B92EC0" w:rsidP="00EC4DCE">
            <w:pPr>
              <w:pStyle w:val="ListParagraph"/>
              <w:spacing w:line="276" w:lineRule="auto"/>
              <w:ind w:left="360"/>
              <w:rPr>
                <w:b/>
              </w:rPr>
            </w:pPr>
            <w:r>
              <w:rPr>
                <w:b/>
              </w:rPr>
              <w:t>Surgery Center/</w:t>
            </w:r>
            <w:r w:rsidRPr="00914F12">
              <w:rPr>
                <w:b/>
              </w:rPr>
              <w:t>Free-Standing Hospital Outpatient Department 4</w:t>
            </w:r>
          </w:p>
        </w:tc>
        <w:tc>
          <w:tcPr>
            <w:tcW w:w="2340" w:type="dxa"/>
            <w:vAlign w:val="center"/>
          </w:tcPr>
          <w:p w14:paraId="4E819B77" w14:textId="77777777" w:rsidR="00B92EC0" w:rsidRDefault="00B92EC0" w:rsidP="00EC4DCE">
            <w:pPr>
              <w:pStyle w:val="ListParagraph"/>
              <w:spacing w:line="276" w:lineRule="auto"/>
              <w:ind w:left="360"/>
            </w:pPr>
          </w:p>
        </w:tc>
        <w:tc>
          <w:tcPr>
            <w:tcW w:w="2875" w:type="dxa"/>
            <w:vAlign w:val="center"/>
          </w:tcPr>
          <w:p w14:paraId="5D361226" w14:textId="77777777" w:rsidR="00B92EC0" w:rsidRDefault="00B92EC0" w:rsidP="00EC4DCE">
            <w:pPr>
              <w:pStyle w:val="ListParagraph"/>
              <w:spacing w:line="276" w:lineRule="auto"/>
              <w:ind w:left="360"/>
            </w:pPr>
          </w:p>
        </w:tc>
      </w:tr>
      <w:tr w:rsidR="00B92EC0" w:rsidRPr="005B2F83" w14:paraId="4A7DD87C" w14:textId="77777777" w:rsidTr="00EC4DCE">
        <w:trPr>
          <w:trHeight w:val="144"/>
        </w:trPr>
        <w:tc>
          <w:tcPr>
            <w:tcW w:w="4135" w:type="dxa"/>
            <w:tcMar>
              <w:top w:w="72" w:type="dxa"/>
              <w:left w:w="115" w:type="dxa"/>
              <w:bottom w:w="72" w:type="dxa"/>
              <w:right w:w="115" w:type="dxa"/>
            </w:tcMar>
            <w:vAlign w:val="center"/>
          </w:tcPr>
          <w:p w14:paraId="3CF12DB4" w14:textId="77777777" w:rsidR="00B92EC0" w:rsidRPr="00914F12" w:rsidRDefault="00B92EC0" w:rsidP="00EC4DCE">
            <w:pPr>
              <w:pStyle w:val="ListParagraph"/>
              <w:spacing w:line="276" w:lineRule="auto"/>
              <w:ind w:left="360"/>
              <w:rPr>
                <w:b/>
              </w:rPr>
            </w:pPr>
            <w:r>
              <w:rPr>
                <w:b/>
              </w:rPr>
              <w:t>Surgery Center/</w:t>
            </w:r>
            <w:r w:rsidRPr="00914F12">
              <w:rPr>
                <w:b/>
              </w:rPr>
              <w:t>Free-Standing Hospital Outpatient Department 5</w:t>
            </w:r>
          </w:p>
        </w:tc>
        <w:tc>
          <w:tcPr>
            <w:tcW w:w="2340" w:type="dxa"/>
            <w:vAlign w:val="center"/>
          </w:tcPr>
          <w:p w14:paraId="0B73385F" w14:textId="77777777" w:rsidR="00B92EC0" w:rsidRDefault="00B92EC0" w:rsidP="00EC4DCE">
            <w:pPr>
              <w:pStyle w:val="ListParagraph"/>
              <w:spacing w:line="276" w:lineRule="auto"/>
              <w:ind w:left="360"/>
            </w:pPr>
          </w:p>
        </w:tc>
        <w:tc>
          <w:tcPr>
            <w:tcW w:w="2875" w:type="dxa"/>
            <w:vAlign w:val="center"/>
          </w:tcPr>
          <w:p w14:paraId="5E465027" w14:textId="77777777" w:rsidR="00B92EC0" w:rsidRDefault="00B92EC0" w:rsidP="00EC4DCE">
            <w:pPr>
              <w:pStyle w:val="ListParagraph"/>
              <w:spacing w:line="276" w:lineRule="auto"/>
              <w:ind w:left="360"/>
            </w:pPr>
          </w:p>
        </w:tc>
      </w:tr>
    </w:tbl>
    <w:p w14:paraId="58E6F199" w14:textId="77777777" w:rsidR="00B92EC0" w:rsidRDefault="00B92EC0" w:rsidP="00B92EC0"/>
    <w:p w14:paraId="2ECF71A5" w14:textId="77777777" w:rsidR="00B92EC0" w:rsidRPr="00841998" w:rsidRDefault="00B92EC0" w:rsidP="00AB5B80">
      <w:pPr>
        <w:pStyle w:val="Heading3"/>
        <w:rPr>
          <w:sz w:val="20"/>
          <w:szCs w:val="20"/>
        </w:rPr>
      </w:pPr>
      <w:bookmarkStart w:id="728" w:name="_Toc225877839"/>
      <w:r w:rsidRPr="00AD5994">
        <w:t>Otolaryngology</w:t>
      </w:r>
      <w:bookmarkEnd w:id="728"/>
      <w:r>
        <w:br/>
      </w:r>
    </w:p>
    <w:tbl>
      <w:tblPr>
        <w:tblStyle w:val="TableGrid14"/>
        <w:tblW w:w="0" w:type="auto"/>
        <w:tblLook w:val="04A0" w:firstRow="1" w:lastRow="0" w:firstColumn="1" w:lastColumn="0" w:noHBand="0" w:noVBand="1"/>
      </w:tblPr>
      <w:tblGrid>
        <w:gridCol w:w="5015"/>
        <w:gridCol w:w="2090"/>
        <w:gridCol w:w="2245"/>
      </w:tblGrid>
      <w:tr w:rsidR="00B92EC0" w:rsidRPr="00073B66" w14:paraId="3F17C8C7" w14:textId="77777777" w:rsidTr="00EC4DCE">
        <w:trPr>
          <w:trHeight w:val="144"/>
        </w:trPr>
        <w:tc>
          <w:tcPr>
            <w:tcW w:w="9350" w:type="dxa"/>
            <w:gridSpan w:val="3"/>
            <w:tcMar>
              <w:top w:w="72" w:type="dxa"/>
              <w:left w:w="115" w:type="dxa"/>
              <w:bottom w:w="72" w:type="dxa"/>
              <w:right w:w="115" w:type="dxa"/>
            </w:tcMar>
            <w:vAlign w:val="center"/>
          </w:tcPr>
          <w:p w14:paraId="67479278" w14:textId="77777777" w:rsidR="00B92EC0" w:rsidRPr="00073B66" w:rsidRDefault="00B92EC0" w:rsidP="00AD309C">
            <w:pPr>
              <w:numPr>
                <w:ilvl w:val="0"/>
                <w:numId w:val="91"/>
              </w:numPr>
              <w:spacing w:line="276" w:lineRule="auto"/>
              <w:rPr>
                <w:rFonts w:eastAsia="Yu Gothic Light"/>
              </w:rPr>
            </w:pPr>
            <w:r w:rsidRPr="00073B66">
              <w:rPr>
                <w:rFonts w:eastAsia="Yu Gothic Light"/>
              </w:rPr>
              <w:t xml:space="preserve">Total adult and/or pediatric volume for each of the following applicable procedures performed at your </w:t>
            </w:r>
            <w:r>
              <w:rPr>
                <w:rFonts w:eastAsia="Yu Gothic Light"/>
              </w:rPr>
              <w:t>hospital outpatient department(s)</w:t>
            </w:r>
            <w:r w:rsidRPr="00073B66">
              <w:rPr>
                <w:rFonts w:eastAsia="Yu Gothic Light"/>
              </w:rPr>
              <w:t xml:space="preserve"> during the reporting period.</w:t>
            </w:r>
          </w:p>
          <w:p w14:paraId="3FCAE308" w14:textId="77777777" w:rsidR="00B92EC0" w:rsidRPr="00073B66" w:rsidRDefault="00B92EC0" w:rsidP="00EC4DCE">
            <w:pPr>
              <w:spacing w:line="276" w:lineRule="auto"/>
              <w:rPr>
                <w:rFonts w:eastAsia="Yu Gothic Light"/>
              </w:rPr>
            </w:pPr>
          </w:p>
          <w:p w14:paraId="657470C9" w14:textId="7214C44E" w:rsidR="00B92EC0" w:rsidRPr="00073B66" w:rsidRDefault="00B92EC0" w:rsidP="00EC4DCE">
            <w:pPr>
              <w:ind w:left="360"/>
            </w:pPr>
            <w:r w:rsidRPr="00073B66">
              <w:rPr>
                <w:i/>
              </w:rPr>
              <w:t xml:space="preserve">You cannot leave any blank. If you did not perform one or more of the procedures listed below enter 0 (zero). If you had zero volume for </w:t>
            </w:r>
            <w:r w:rsidRPr="00073B66">
              <w:rPr>
                <w:b/>
                <w:i/>
                <w:u w:val="single"/>
              </w:rPr>
              <w:t>all</w:t>
            </w:r>
            <w:r w:rsidRPr="00073B66">
              <w:rPr>
                <w:i/>
              </w:rPr>
              <w:t xml:space="preserve"> procedures, go back to question #</w:t>
            </w:r>
            <w:r>
              <w:rPr>
                <w:i/>
              </w:rPr>
              <w:t>4</w:t>
            </w:r>
            <w:r w:rsidRPr="00073B66">
              <w:rPr>
                <w:i/>
              </w:rPr>
              <w:t xml:space="preserve"> and update your response from “yes” to “no.”</w:t>
            </w:r>
          </w:p>
        </w:tc>
      </w:tr>
      <w:tr w:rsidR="00B92EC0" w:rsidRPr="00073B66" w14:paraId="58BC1180" w14:textId="77777777" w:rsidTr="00EC4DCE">
        <w:trPr>
          <w:trHeight w:val="20"/>
        </w:trPr>
        <w:tc>
          <w:tcPr>
            <w:tcW w:w="5015" w:type="dxa"/>
            <w:tcMar>
              <w:top w:w="72" w:type="dxa"/>
              <w:left w:w="115" w:type="dxa"/>
              <w:bottom w:w="72" w:type="dxa"/>
              <w:right w:w="115" w:type="dxa"/>
            </w:tcMar>
            <w:vAlign w:val="center"/>
          </w:tcPr>
          <w:p w14:paraId="0E7E5A81" w14:textId="77777777" w:rsidR="00B92EC0" w:rsidRPr="00073B66" w:rsidRDefault="00B92EC0" w:rsidP="00EC4DCE">
            <w:pPr>
              <w:spacing w:line="276" w:lineRule="auto"/>
              <w:rPr>
                <w:rFonts w:eastAsia="Yu Gothic Light"/>
              </w:rPr>
            </w:pPr>
          </w:p>
        </w:tc>
        <w:tc>
          <w:tcPr>
            <w:tcW w:w="2090" w:type="dxa"/>
            <w:tcMar>
              <w:top w:w="72" w:type="dxa"/>
              <w:left w:w="115" w:type="dxa"/>
              <w:bottom w:w="72" w:type="dxa"/>
              <w:right w:w="115" w:type="dxa"/>
            </w:tcMar>
          </w:tcPr>
          <w:p w14:paraId="2062C308" w14:textId="77777777" w:rsidR="00B92EC0" w:rsidRPr="00073B66" w:rsidRDefault="00B92EC0" w:rsidP="00AD309C">
            <w:pPr>
              <w:numPr>
                <w:ilvl w:val="0"/>
                <w:numId w:val="104"/>
              </w:numPr>
              <w:rPr>
                <w:i/>
              </w:rPr>
            </w:pPr>
            <w:r w:rsidRPr="00073B66">
              <w:rPr>
                <w:i/>
              </w:rPr>
              <w:t>Adult Volume</w:t>
            </w:r>
          </w:p>
        </w:tc>
        <w:tc>
          <w:tcPr>
            <w:tcW w:w="2245" w:type="dxa"/>
          </w:tcPr>
          <w:p w14:paraId="07E0DE47" w14:textId="77777777" w:rsidR="00B92EC0" w:rsidRPr="00073B66" w:rsidRDefault="00B92EC0" w:rsidP="00AD309C">
            <w:pPr>
              <w:numPr>
                <w:ilvl w:val="0"/>
                <w:numId w:val="104"/>
              </w:numPr>
              <w:rPr>
                <w:i/>
              </w:rPr>
            </w:pPr>
            <w:r w:rsidRPr="00073B66">
              <w:rPr>
                <w:i/>
              </w:rPr>
              <w:t>Pediatric Volume</w:t>
            </w:r>
          </w:p>
        </w:tc>
      </w:tr>
      <w:tr w:rsidR="00B92EC0" w:rsidRPr="00073B66" w14:paraId="7577FCA8" w14:textId="77777777" w:rsidTr="00EC4DCE">
        <w:trPr>
          <w:trHeight w:val="20"/>
        </w:trPr>
        <w:tc>
          <w:tcPr>
            <w:tcW w:w="5015" w:type="dxa"/>
            <w:tcMar>
              <w:top w:w="72" w:type="dxa"/>
              <w:left w:w="115" w:type="dxa"/>
              <w:bottom w:w="72" w:type="dxa"/>
              <w:right w:w="115" w:type="dxa"/>
            </w:tcMar>
            <w:vAlign w:val="center"/>
          </w:tcPr>
          <w:p w14:paraId="41F82ED2" w14:textId="77777777" w:rsidR="00B92EC0" w:rsidRPr="00073B66" w:rsidRDefault="00B92EC0" w:rsidP="00EC4DCE">
            <w:pPr>
              <w:spacing w:line="276" w:lineRule="auto"/>
              <w:rPr>
                <w:rFonts w:eastAsia="Yu Gothic Light"/>
                <w:b/>
              </w:rPr>
            </w:pPr>
            <w:r w:rsidRPr="00073B66">
              <w:rPr>
                <w:rFonts w:eastAsia="Yu Gothic Light"/>
                <w:b/>
              </w:rPr>
              <w:t>Ear procedures</w:t>
            </w:r>
          </w:p>
        </w:tc>
        <w:tc>
          <w:tcPr>
            <w:tcW w:w="2090" w:type="dxa"/>
            <w:tcMar>
              <w:top w:w="72" w:type="dxa"/>
              <w:left w:w="115" w:type="dxa"/>
              <w:bottom w:w="72" w:type="dxa"/>
              <w:right w:w="115" w:type="dxa"/>
            </w:tcMar>
            <w:vAlign w:val="center"/>
          </w:tcPr>
          <w:p w14:paraId="69290787" w14:textId="77777777" w:rsidR="00B92EC0" w:rsidRPr="00073B66" w:rsidRDefault="00B92EC0" w:rsidP="00EC4DCE">
            <w:pPr>
              <w:jc w:val="center"/>
            </w:pPr>
            <w:r w:rsidRPr="00073B66">
              <w:t>_____</w:t>
            </w:r>
          </w:p>
        </w:tc>
        <w:tc>
          <w:tcPr>
            <w:tcW w:w="2245" w:type="dxa"/>
            <w:vAlign w:val="center"/>
          </w:tcPr>
          <w:p w14:paraId="6612ACB1" w14:textId="77777777" w:rsidR="00B92EC0" w:rsidRPr="00073B66" w:rsidRDefault="00B92EC0" w:rsidP="00EC4DCE">
            <w:pPr>
              <w:jc w:val="center"/>
            </w:pPr>
            <w:r w:rsidRPr="00073B66">
              <w:t>_____</w:t>
            </w:r>
          </w:p>
        </w:tc>
      </w:tr>
      <w:tr w:rsidR="00B92EC0" w:rsidRPr="00073B66" w14:paraId="73EEA261" w14:textId="77777777" w:rsidTr="00EC4DCE">
        <w:trPr>
          <w:trHeight w:val="20"/>
        </w:trPr>
        <w:tc>
          <w:tcPr>
            <w:tcW w:w="5015" w:type="dxa"/>
            <w:tcMar>
              <w:top w:w="72" w:type="dxa"/>
              <w:left w:w="115" w:type="dxa"/>
              <w:bottom w:w="72" w:type="dxa"/>
              <w:right w:w="115" w:type="dxa"/>
            </w:tcMar>
            <w:vAlign w:val="center"/>
          </w:tcPr>
          <w:p w14:paraId="1724AAA0" w14:textId="77777777" w:rsidR="00B92EC0" w:rsidRPr="00073B66" w:rsidRDefault="00B92EC0" w:rsidP="00EC4DCE">
            <w:pPr>
              <w:spacing w:line="276" w:lineRule="auto"/>
              <w:rPr>
                <w:rFonts w:eastAsia="Yu Gothic Light"/>
                <w:b/>
              </w:rPr>
            </w:pPr>
            <w:r w:rsidRPr="00073B66">
              <w:rPr>
                <w:rFonts w:eastAsia="Yu Gothic Light"/>
                <w:b/>
              </w:rPr>
              <w:t>Mouth procedures</w:t>
            </w:r>
          </w:p>
        </w:tc>
        <w:tc>
          <w:tcPr>
            <w:tcW w:w="2090" w:type="dxa"/>
            <w:tcMar>
              <w:top w:w="72" w:type="dxa"/>
              <w:left w:w="115" w:type="dxa"/>
              <w:bottom w:w="72" w:type="dxa"/>
              <w:right w:w="115" w:type="dxa"/>
            </w:tcMar>
            <w:vAlign w:val="center"/>
          </w:tcPr>
          <w:p w14:paraId="74B27DAF" w14:textId="77777777" w:rsidR="00B92EC0" w:rsidRPr="00073B66" w:rsidRDefault="00B92EC0" w:rsidP="00EC4DCE">
            <w:pPr>
              <w:jc w:val="center"/>
              <w:rPr>
                <w:i/>
              </w:rPr>
            </w:pPr>
            <w:r w:rsidRPr="00073B66">
              <w:t>_____</w:t>
            </w:r>
          </w:p>
        </w:tc>
        <w:tc>
          <w:tcPr>
            <w:tcW w:w="2245" w:type="dxa"/>
            <w:vAlign w:val="center"/>
          </w:tcPr>
          <w:p w14:paraId="7E8CA04D" w14:textId="77777777" w:rsidR="00B92EC0" w:rsidRPr="00073B66" w:rsidRDefault="00B92EC0" w:rsidP="00EC4DCE">
            <w:pPr>
              <w:jc w:val="center"/>
              <w:rPr>
                <w:i/>
              </w:rPr>
            </w:pPr>
            <w:r w:rsidRPr="00073B66">
              <w:t>_____</w:t>
            </w:r>
          </w:p>
        </w:tc>
      </w:tr>
      <w:tr w:rsidR="00B92EC0" w:rsidRPr="00073B66" w14:paraId="21009428" w14:textId="77777777" w:rsidTr="00EC4DCE">
        <w:trPr>
          <w:trHeight w:val="20"/>
        </w:trPr>
        <w:tc>
          <w:tcPr>
            <w:tcW w:w="5015" w:type="dxa"/>
            <w:tcMar>
              <w:top w:w="72" w:type="dxa"/>
              <w:left w:w="115" w:type="dxa"/>
              <w:bottom w:w="72" w:type="dxa"/>
              <w:right w:w="115" w:type="dxa"/>
            </w:tcMar>
            <w:vAlign w:val="center"/>
          </w:tcPr>
          <w:p w14:paraId="24D85F8C" w14:textId="77777777" w:rsidR="00B92EC0" w:rsidRPr="00073B66" w:rsidRDefault="00B92EC0" w:rsidP="00EC4DCE">
            <w:pPr>
              <w:spacing w:line="276" w:lineRule="auto"/>
              <w:rPr>
                <w:rFonts w:eastAsia="Yu Gothic Light"/>
                <w:b/>
              </w:rPr>
            </w:pPr>
            <w:r w:rsidRPr="00073B66">
              <w:rPr>
                <w:rFonts w:eastAsia="Yu Gothic Light"/>
                <w:b/>
              </w:rPr>
              <w:t>Nasal</w:t>
            </w:r>
            <w:r>
              <w:rPr>
                <w:rFonts w:eastAsia="Yu Gothic Light"/>
                <w:b/>
              </w:rPr>
              <w:t>/</w:t>
            </w:r>
            <w:r w:rsidRPr="00073B66">
              <w:rPr>
                <w:rFonts w:eastAsia="Yu Gothic Light"/>
                <w:b/>
              </w:rPr>
              <w:t>sinus procedures</w:t>
            </w:r>
          </w:p>
        </w:tc>
        <w:tc>
          <w:tcPr>
            <w:tcW w:w="2090" w:type="dxa"/>
            <w:tcMar>
              <w:top w:w="72" w:type="dxa"/>
              <w:left w:w="115" w:type="dxa"/>
              <w:bottom w:w="72" w:type="dxa"/>
              <w:right w:w="115" w:type="dxa"/>
            </w:tcMar>
            <w:vAlign w:val="center"/>
          </w:tcPr>
          <w:p w14:paraId="1BD63E86" w14:textId="77777777" w:rsidR="00B92EC0" w:rsidRPr="00073B66" w:rsidRDefault="00B92EC0" w:rsidP="00EC4DCE">
            <w:pPr>
              <w:jc w:val="center"/>
            </w:pPr>
            <w:r w:rsidRPr="00073B66">
              <w:t>_____</w:t>
            </w:r>
          </w:p>
        </w:tc>
        <w:tc>
          <w:tcPr>
            <w:tcW w:w="2245" w:type="dxa"/>
            <w:vAlign w:val="center"/>
          </w:tcPr>
          <w:p w14:paraId="05296B28" w14:textId="77777777" w:rsidR="00B92EC0" w:rsidRPr="00073B66" w:rsidRDefault="00B92EC0" w:rsidP="00EC4DCE">
            <w:pPr>
              <w:jc w:val="center"/>
              <w:rPr>
                <w:i/>
              </w:rPr>
            </w:pPr>
            <w:r w:rsidRPr="00073B66">
              <w:t>_____</w:t>
            </w:r>
          </w:p>
        </w:tc>
      </w:tr>
      <w:tr w:rsidR="00B92EC0" w:rsidRPr="00073B66" w14:paraId="33C5D4FB" w14:textId="77777777" w:rsidTr="00EC4DCE">
        <w:trPr>
          <w:trHeight w:val="20"/>
        </w:trPr>
        <w:tc>
          <w:tcPr>
            <w:tcW w:w="5015" w:type="dxa"/>
            <w:tcMar>
              <w:top w:w="72" w:type="dxa"/>
              <w:left w:w="115" w:type="dxa"/>
              <w:bottom w:w="72" w:type="dxa"/>
              <w:right w:w="115" w:type="dxa"/>
            </w:tcMar>
            <w:vAlign w:val="center"/>
          </w:tcPr>
          <w:p w14:paraId="2E4085F8" w14:textId="77777777" w:rsidR="00B92EC0" w:rsidRPr="00073B66" w:rsidRDefault="00B92EC0" w:rsidP="00EC4DCE">
            <w:pPr>
              <w:spacing w:line="276" w:lineRule="auto"/>
              <w:rPr>
                <w:rFonts w:eastAsia="Yu Gothic Light"/>
                <w:b/>
              </w:rPr>
            </w:pPr>
            <w:r>
              <w:rPr>
                <w:rFonts w:eastAsia="Yu Gothic Light"/>
                <w:b/>
              </w:rPr>
              <w:t>Pharynx/adenoid/</w:t>
            </w:r>
            <w:r w:rsidRPr="00EB1493">
              <w:rPr>
                <w:rFonts w:eastAsia="Yu Gothic Light"/>
                <w:b/>
              </w:rPr>
              <w:t>tonsil p</w:t>
            </w:r>
            <w:r w:rsidRPr="00073B66">
              <w:rPr>
                <w:rFonts w:eastAsia="Yu Gothic Light"/>
                <w:b/>
              </w:rPr>
              <w:t>rocedures</w:t>
            </w:r>
          </w:p>
        </w:tc>
        <w:tc>
          <w:tcPr>
            <w:tcW w:w="2090" w:type="dxa"/>
            <w:shd w:val="clear" w:color="auto" w:fill="BFBFBF" w:themeFill="background1" w:themeFillShade="BF"/>
            <w:tcMar>
              <w:top w:w="72" w:type="dxa"/>
              <w:left w:w="115" w:type="dxa"/>
              <w:bottom w:w="72" w:type="dxa"/>
              <w:right w:w="115" w:type="dxa"/>
            </w:tcMar>
            <w:vAlign w:val="center"/>
          </w:tcPr>
          <w:p w14:paraId="7C6040D9" w14:textId="77777777" w:rsidR="00B92EC0" w:rsidRPr="00073B66" w:rsidRDefault="00B92EC0" w:rsidP="00EC4DCE">
            <w:pPr>
              <w:jc w:val="center"/>
            </w:pPr>
          </w:p>
        </w:tc>
        <w:tc>
          <w:tcPr>
            <w:tcW w:w="2245" w:type="dxa"/>
            <w:vAlign w:val="center"/>
          </w:tcPr>
          <w:p w14:paraId="13A4C929" w14:textId="77777777" w:rsidR="00B92EC0" w:rsidRPr="00073B66" w:rsidRDefault="00B92EC0" w:rsidP="00EC4DCE">
            <w:pPr>
              <w:jc w:val="center"/>
              <w:rPr>
                <w:i/>
              </w:rPr>
            </w:pPr>
            <w:r w:rsidRPr="00073B66">
              <w:t>_____</w:t>
            </w:r>
          </w:p>
        </w:tc>
      </w:tr>
    </w:tbl>
    <w:p w14:paraId="478865AB" w14:textId="77777777" w:rsidR="00B92EC0" w:rsidRDefault="00B92EC0" w:rsidP="00B92EC0"/>
    <w:tbl>
      <w:tblPr>
        <w:tblStyle w:val="TableGrid"/>
        <w:tblW w:w="0" w:type="auto"/>
        <w:tblLayout w:type="fixed"/>
        <w:tblCellMar>
          <w:left w:w="115" w:type="dxa"/>
          <w:right w:w="115" w:type="dxa"/>
        </w:tblCellMar>
        <w:tblLook w:val="04A0" w:firstRow="1" w:lastRow="0" w:firstColumn="1" w:lastColumn="0" w:noHBand="0" w:noVBand="1"/>
      </w:tblPr>
      <w:tblGrid>
        <w:gridCol w:w="6205"/>
        <w:gridCol w:w="3145"/>
      </w:tblGrid>
      <w:tr w:rsidR="00B92EC0" w:rsidRPr="005B2F83" w14:paraId="75C9D71C" w14:textId="77777777" w:rsidTr="00EC4DCE">
        <w:trPr>
          <w:trHeight w:val="864"/>
        </w:trPr>
        <w:tc>
          <w:tcPr>
            <w:tcW w:w="6205" w:type="dxa"/>
            <w:tcMar>
              <w:top w:w="72" w:type="dxa"/>
              <w:left w:w="115" w:type="dxa"/>
              <w:bottom w:w="72" w:type="dxa"/>
              <w:right w:w="115" w:type="dxa"/>
            </w:tcMar>
            <w:vAlign w:val="center"/>
          </w:tcPr>
          <w:p w14:paraId="56B12BB5" w14:textId="77777777" w:rsidR="00B92EC0" w:rsidRDefault="00B92EC0" w:rsidP="00AD309C">
            <w:pPr>
              <w:pStyle w:val="ListParagraph"/>
              <w:numPr>
                <w:ilvl w:val="0"/>
                <w:numId w:val="91"/>
              </w:numPr>
            </w:pPr>
            <w:r>
              <w:t xml:space="preserve">Where were these </w:t>
            </w:r>
            <w:r w:rsidRPr="00190B61">
              <w:rPr>
                <w:b/>
              </w:rPr>
              <w:t>otolaryngology</w:t>
            </w:r>
            <w:r w:rsidRPr="005D2045">
              <w:rPr>
                <w:b/>
              </w:rPr>
              <w:t xml:space="preserve"> </w:t>
            </w:r>
            <w:r>
              <w:t>procedures performed?</w:t>
            </w:r>
          </w:p>
          <w:p w14:paraId="65E6AFBE" w14:textId="77777777" w:rsidR="00B92EC0" w:rsidRDefault="00B92EC0" w:rsidP="00EC4DCE">
            <w:pPr>
              <w:pStyle w:val="ListParagraph"/>
              <w:ind w:left="360"/>
            </w:pPr>
          </w:p>
          <w:p w14:paraId="5DF108ED" w14:textId="77777777" w:rsidR="00B92EC0" w:rsidRPr="00131F2C" w:rsidRDefault="00B92EC0" w:rsidP="00EC4DCE">
            <w:pPr>
              <w:pStyle w:val="ListParagraph"/>
              <w:ind w:left="360"/>
              <w:rPr>
                <w:i/>
              </w:rPr>
            </w:pPr>
            <w:r>
              <w:rPr>
                <w:i/>
              </w:rPr>
              <w:t>Select all that apply.</w:t>
            </w:r>
          </w:p>
          <w:p w14:paraId="02F06470" w14:textId="77777777" w:rsidR="00B92EC0" w:rsidRPr="005D2045" w:rsidRDefault="00B92EC0" w:rsidP="00EC4DCE">
            <w:pPr>
              <w:pStyle w:val="ListParagraph"/>
              <w:ind w:left="360"/>
            </w:pPr>
          </w:p>
          <w:p w14:paraId="5B49C539" w14:textId="06C15F0F" w:rsidR="00B92EC0" w:rsidRPr="005D2045" w:rsidRDefault="00B92EC0" w:rsidP="00EC4DCE">
            <w:pPr>
              <w:pStyle w:val="ListParagraph"/>
              <w:ind w:left="360"/>
            </w:pPr>
            <w:r w:rsidRPr="007D5AE3">
              <w:rPr>
                <w:i/>
              </w:rPr>
              <w:t>If only “hospital” is selected,</w:t>
            </w:r>
            <w:r>
              <w:rPr>
                <w:i/>
              </w:rPr>
              <w:t xml:space="preserve"> </w:t>
            </w:r>
            <w:r w:rsidRPr="00B674A0">
              <w:rPr>
                <w:i/>
              </w:rPr>
              <w:t xml:space="preserve">skip </w:t>
            </w:r>
            <w:r>
              <w:rPr>
                <w:i/>
              </w:rPr>
              <w:t>question #</w:t>
            </w:r>
            <w:r w:rsidR="005E5021">
              <w:rPr>
                <w:i/>
              </w:rPr>
              <w:t>19</w:t>
            </w:r>
            <w:r>
              <w:rPr>
                <w:i/>
              </w:rPr>
              <w:t xml:space="preserve"> and continue to question #2</w:t>
            </w:r>
            <w:r w:rsidR="005E5021">
              <w:rPr>
                <w:i/>
              </w:rPr>
              <w:t>0</w:t>
            </w:r>
            <w:r>
              <w:rPr>
                <w:i/>
              </w:rPr>
              <w:t>.</w:t>
            </w:r>
          </w:p>
        </w:tc>
        <w:tc>
          <w:tcPr>
            <w:tcW w:w="3145" w:type="dxa"/>
            <w:vAlign w:val="center"/>
          </w:tcPr>
          <w:p w14:paraId="381FFFD0" w14:textId="77777777" w:rsidR="00B92EC0" w:rsidRPr="00753419" w:rsidRDefault="00B92EC0" w:rsidP="00AD309C">
            <w:pPr>
              <w:pStyle w:val="ListParagraph"/>
              <w:numPr>
                <w:ilvl w:val="0"/>
                <w:numId w:val="94"/>
              </w:numPr>
              <w:spacing w:line="276" w:lineRule="auto"/>
              <w:rPr>
                <w:iCs/>
              </w:rPr>
            </w:pPr>
            <w:r w:rsidRPr="00753419">
              <w:rPr>
                <w:iCs/>
              </w:rPr>
              <w:t>Hospital</w:t>
            </w:r>
          </w:p>
          <w:p w14:paraId="3EA5B2D1" w14:textId="77777777" w:rsidR="00B92EC0" w:rsidRPr="00551F82" w:rsidRDefault="00B92EC0" w:rsidP="00AD309C">
            <w:pPr>
              <w:pStyle w:val="ListParagraph"/>
              <w:numPr>
                <w:ilvl w:val="0"/>
                <w:numId w:val="94"/>
              </w:numPr>
              <w:spacing w:line="276" w:lineRule="auto"/>
              <w:rPr>
                <w:i/>
              </w:rPr>
            </w:pPr>
            <w:r w:rsidRPr="00753419">
              <w:rPr>
                <w:iCs/>
              </w:rPr>
              <w:t>Surgery center or free-standing hospital outpatient department</w:t>
            </w:r>
          </w:p>
        </w:tc>
      </w:tr>
    </w:tbl>
    <w:p w14:paraId="5B4E4F8C" w14:textId="77777777" w:rsidR="00B92EC0" w:rsidRDefault="00B92EC0" w:rsidP="00B92EC0"/>
    <w:tbl>
      <w:tblPr>
        <w:tblStyle w:val="TableGrid"/>
        <w:tblW w:w="0" w:type="auto"/>
        <w:tblLayout w:type="fixed"/>
        <w:tblCellMar>
          <w:left w:w="115" w:type="dxa"/>
          <w:right w:w="115" w:type="dxa"/>
        </w:tblCellMar>
        <w:tblLook w:val="04A0" w:firstRow="1" w:lastRow="0" w:firstColumn="1" w:lastColumn="0" w:noHBand="0" w:noVBand="1"/>
      </w:tblPr>
      <w:tblGrid>
        <w:gridCol w:w="4225"/>
        <w:gridCol w:w="2008"/>
        <w:gridCol w:w="3117"/>
      </w:tblGrid>
      <w:tr w:rsidR="00B92EC0" w:rsidRPr="005B2F83" w14:paraId="6E092C13" w14:textId="77777777" w:rsidTr="00EC4DCE">
        <w:trPr>
          <w:trHeight w:val="20"/>
        </w:trPr>
        <w:tc>
          <w:tcPr>
            <w:tcW w:w="9350" w:type="dxa"/>
            <w:gridSpan w:val="3"/>
            <w:tcMar>
              <w:top w:w="72" w:type="dxa"/>
              <w:left w:w="115" w:type="dxa"/>
              <w:bottom w:w="72" w:type="dxa"/>
              <w:right w:w="115" w:type="dxa"/>
            </w:tcMar>
            <w:vAlign w:val="center"/>
          </w:tcPr>
          <w:p w14:paraId="664E89CB" w14:textId="77777777" w:rsidR="00B92EC0" w:rsidRDefault="00B92EC0" w:rsidP="00AD309C">
            <w:pPr>
              <w:pStyle w:val="ListParagraph"/>
              <w:numPr>
                <w:ilvl w:val="0"/>
                <w:numId w:val="91"/>
              </w:numPr>
              <w:spacing w:line="276" w:lineRule="auto"/>
              <w:rPr>
                <w:i/>
              </w:rPr>
            </w:pPr>
            <w:r>
              <w:t xml:space="preserve">Please provide the name and city location of each surgery center or free-standing hospital outpatient department performing </w:t>
            </w:r>
            <w:r w:rsidRPr="00190B61">
              <w:rPr>
                <w:b/>
              </w:rPr>
              <w:t>otolaryngology</w:t>
            </w:r>
            <w:r>
              <w:t xml:space="preserve"> procedures:</w:t>
            </w:r>
          </w:p>
        </w:tc>
      </w:tr>
      <w:tr w:rsidR="00B92EC0" w:rsidRPr="005B2F83" w14:paraId="47D9A4DC" w14:textId="77777777" w:rsidTr="00EC4DCE">
        <w:trPr>
          <w:trHeight w:val="20"/>
        </w:trPr>
        <w:tc>
          <w:tcPr>
            <w:tcW w:w="4225" w:type="dxa"/>
            <w:tcMar>
              <w:top w:w="72" w:type="dxa"/>
              <w:left w:w="115" w:type="dxa"/>
              <w:bottom w:w="72" w:type="dxa"/>
              <w:right w:w="115" w:type="dxa"/>
            </w:tcMar>
            <w:vAlign w:val="center"/>
          </w:tcPr>
          <w:p w14:paraId="70ECD45A" w14:textId="77777777" w:rsidR="00B92EC0" w:rsidRDefault="00B92EC0" w:rsidP="00EC4DCE">
            <w:pPr>
              <w:pStyle w:val="ListParagraph"/>
              <w:spacing w:line="276" w:lineRule="auto"/>
              <w:ind w:left="360"/>
            </w:pPr>
          </w:p>
        </w:tc>
        <w:tc>
          <w:tcPr>
            <w:tcW w:w="2008" w:type="dxa"/>
            <w:vAlign w:val="center"/>
          </w:tcPr>
          <w:p w14:paraId="489B7FD9" w14:textId="77777777" w:rsidR="00B92EC0" w:rsidRPr="005C60B1" w:rsidRDefault="00B92EC0" w:rsidP="004F63C1">
            <w:pPr>
              <w:spacing w:line="276" w:lineRule="auto"/>
              <w:jc w:val="center"/>
              <w:rPr>
                <w:i/>
              </w:rPr>
            </w:pPr>
            <w:r w:rsidRPr="005C60B1">
              <w:rPr>
                <w:i/>
              </w:rPr>
              <w:t>Name</w:t>
            </w:r>
          </w:p>
        </w:tc>
        <w:tc>
          <w:tcPr>
            <w:tcW w:w="3117" w:type="dxa"/>
            <w:vAlign w:val="center"/>
          </w:tcPr>
          <w:p w14:paraId="10848B1E" w14:textId="77777777" w:rsidR="00B92EC0" w:rsidRPr="005C60B1" w:rsidRDefault="00B92EC0" w:rsidP="004F63C1">
            <w:pPr>
              <w:spacing w:line="276" w:lineRule="auto"/>
              <w:jc w:val="center"/>
              <w:rPr>
                <w:i/>
              </w:rPr>
            </w:pPr>
            <w:r w:rsidRPr="005C60B1">
              <w:rPr>
                <w:i/>
              </w:rPr>
              <w:t>City</w:t>
            </w:r>
          </w:p>
        </w:tc>
      </w:tr>
      <w:tr w:rsidR="00B92EC0" w:rsidRPr="005B2F83" w14:paraId="687F3F73" w14:textId="77777777" w:rsidTr="00EC4DCE">
        <w:trPr>
          <w:trHeight w:val="20"/>
        </w:trPr>
        <w:tc>
          <w:tcPr>
            <w:tcW w:w="4225" w:type="dxa"/>
            <w:tcMar>
              <w:top w:w="72" w:type="dxa"/>
              <w:left w:w="115" w:type="dxa"/>
              <w:bottom w:w="72" w:type="dxa"/>
              <w:right w:w="115" w:type="dxa"/>
            </w:tcMar>
            <w:vAlign w:val="center"/>
          </w:tcPr>
          <w:p w14:paraId="03967726" w14:textId="77777777" w:rsidR="00B92EC0" w:rsidRPr="00914F12" w:rsidRDefault="00B92EC0" w:rsidP="00EC4DCE">
            <w:pPr>
              <w:pStyle w:val="ListParagraph"/>
              <w:spacing w:line="276" w:lineRule="auto"/>
              <w:ind w:left="360"/>
              <w:rPr>
                <w:b/>
              </w:rPr>
            </w:pPr>
            <w:r>
              <w:rPr>
                <w:b/>
              </w:rPr>
              <w:t>Surgery Center/</w:t>
            </w:r>
            <w:r w:rsidRPr="00914F12">
              <w:rPr>
                <w:b/>
              </w:rPr>
              <w:t>Free-Standing Hospital Outpatient Department 1</w:t>
            </w:r>
          </w:p>
        </w:tc>
        <w:tc>
          <w:tcPr>
            <w:tcW w:w="2008" w:type="dxa"/>
            <w:vAlign w:val="center"/>
          </w:tcPr>
          <w:p w14:paraId="3E659D82" w14:textId="77777777" w:rsidR="00B92EC0" w:rsidRDefault="00B92EC0" w:rsidP="00EC4DCE">
            <w:pPr>
              <w:pStyle w:val="ListParagraph"/>
              <w:spacing w:line="276" w:lineRule="auto"/>
              <w:ind w:left="360"/>
            </w:pPr>
          </w:p>
        </w:tc>
        <w:tc>
          <w:tcPr>
            <w:tcW w:w="3117" w:type="dxa"/>
            <w:vAlign w:val="center"/>
          </w:tcPr>
          <w:p w14:paraId="5B58609D" w14:textId="77777777" w:rsidR="00B92EC0" w:rsidRDefault="00B92EC0" w:rsidP="00EC4DCE">
            <w:pPr>
              <w:pStyle w:val="ListParagraph"/>
              <w:spacing w:line="276" w:lineRule="auto"/>
              <w:ind w:left="360"/>
            </w:pPr>
          </w:p>
        </w:tc>
      </w:tr>
      <w:tr w:rsidR="00B92EC0" w:rsidRPr="005B2F83" w14:paraId="31682961" w14:textId="77777777" w:rsidTr="00EC4DCE">
        <w:trPr>
          <w:trHeight w:val="20"/>
        </w:trPr>
        <w:tc>
          <w:tcPr>
            <w:tcW w:w="4225" w:type="dxa"/>
            <w:tcMar>
              <w:top w:w="72" w:type="dxa"/>
              <w:left w:w="115" w:type="dxa"/>
              <w:bottom w:w="72" w:type="dxa"/>
              <w:right w:w="115" w:type="dxa"/>
            </w:tcMar>
            <w:vAlign w:val="center"/>
          </w:tcPr>
          <w:p w14:paraId="74B20580" w14:textId="77777777" w:rsidR="00B92EC0" w:rsidRPr="00914F12" w:rsidRDefault="00B92EC0" w:rsidP="00EC4DCE">
            <w:pPr>
              <w:pStyle w:val="ListParagraph"/>
              <w:spacing w:line="276" w:lineRule="auto"/>
              <w:ind w:left="360"/>
              <w:rPr>
                <w:b/>
              </w:rPr>
            </w:pPr>
            <w:r>
              <w:rPr>
                <w:b/>
              </w:rPr>
              <w:t>Surgery Center/</w:t>
            </w:r>
            <w:r w:rsidRPr="00914F12">
              <w:rPr>
                <w:b/>
              </w:rPr>
              <w:t>Free-Standing Hospital Outpatient Department 2</w:t>
            </w:r>
          </w:p>
        </w:tc>
        <w:tc>
          <w:tcPr>
            <w:tcW w:w="2008" w:type="dxa"/>
            <w:vAlign w:val="center"/>
          </w:tcPr>
          <w:p w14:paraId="6C8A00D3" w14:textId="77777777" w:rsidR="00B92EC0" w:rsidRDefault="00B92EC0" w:rsidP="00EC4DCE">
            <w:pPr>
              <w:pStyle w:val="ListParagraph"/>
              <w:spacing w:line="276" w:lineRule="auto"/>
              <w:ind w:left="360"/>
            </w:pPr>
          </w:p>
        </w:tc>
        <w:tc>
          <w:tcPr>
            <w:tcW w:w="3117" w:type="dxa"/>
            <w:vAlign w:val="center"/>
          </w:tcPr>
          <w:p w14:paraId="054E8C47" w14:textId="77777777" w:rsidR="00B92EC0" w:rsidRDefault="00B92EC0" w:rsidP="00EC4DCE">
            <w:pPr>
              <w:pStyle w:val="ListParagraph"/>
              <w:spacing w:line="276" w:lineRule="auto"/>
              <w:ind w:left="360"/>
            </w:pPr>
          </w:p>
        </w:tc>
      </w:tr>
      <w:tr w:rsidR="00B92EC0" w:rsidRPr="005B2F83" w14:paraId="7B37E052" w14:textId="77777777" w:rsidTr="00EC4DCE">
        <w:trPr>
          <w:trHeight w:val="20"/>
        </w:trPr>
        <w:tc>
          <w:tcPr>
            <w:tcW w:w="4225" w:type="dxa"/>
            <w:tcMar>
              <w:top w:w="72" w:type="dxa"/>
              <w:left w:w="115" w:type="dxa"/>
              <w:bottom w:w="72" w:type="dxa"/>
              <w:right w:w="115" w:type="dxa"/>
            </w:tcMar>
            <w:vAlign w:val="center"/>
          </w:tcPr>
          <w:p w14:paraId="040840D0" w14:textId="77777777" w:rsidR="00B92EC0" w:rsidRPr="00914F12" w:rsidRDefault="00B92EC0" w:rsidP="00EC4DCE">
            <w:pPr>
              <w:pStyle w:val="ListParagraph"/>
              <w:spacing w:line="276" w:lineRule="auto"/>
              <w:ind w:left="360"/>
              <w:rPr>
                <w:b/>
              </w:rPr>
            </w:pPr>
            <w:r>
              <w:rPr>
                <w:b/>
              </w:rPr>
              <w:t>Surgery Center/</w:t>
            </w:r>
            <w:r w:rsidRPr="00914F12">
              <w:rPr>
                <w:b/>
              </w:rPr>
              <w:t>Free-Standing Hospital Outpatient Department 3</w:t>
            </w:r>
          </w:p>
        </w:tc>
        <w:tc>
          <w:tcPr>
            <w:tcW w:w="2008" w:type="dxa"/>
            <w:vAlign w:val="center"/>
          </w:tcPr>
          <w:p w14:paraId="4BAB257B" w14:textId="77777777" w:rsidR="00B92EC0" w:rsidRDefault="00B92EC0" w:rsidP="00EC4DCE">
            <w:pPr>
              <w:pStyle w:val="ListParagraph"/>
              <w:spacing w:line="276" w:lineRule="auto"/>
              <w:ind w:left="360"/>
            </w:pPr>
          </w:p>
        </w:tc>
        <w:tc>
          <w:tcPr>
            <w:tcW w:w="3117" w:type="dxa"/>
            <w:vAlign w:val="center"/>
          </w:tcPr>
          <w:p w14:paraId="7FC9C92E" w14:textId="77777777" w:rsidR="00B92EC0" w:rsidRDefault="00B92EC0" w:rsidP="00EC4DCE">
            <w:pPr>
              <w:pStyle w:val="ListParagraph"/>
              <w:spacing w:line="276" w:lineRule="auto"/>
              <w:ind w:left="360"/>
            </w:pPr>
          </w:p>
        </w:tc>
      </w:tr>
      <w:tr w:rsidR="00B92EC0" w:rsidRPr="005B2F83" w14:paraId="7B7E7798" w14:textId="77777777" w:rsidTr="00EC4DCE">
        <w:trPr>
          <w:trHeight w:val="20"/>
        </w:trPr>
        <w:tc>
          <w:tcPr>
            <w:tcW w:w="4225" w:type="dxa"/>
            <w:tcMar>
              <w:top w:w="72" w:type="dxa"/>
              <w:left w:w="115" w:type="dxa"/>
              <w:bottom w:w="72" w:type="dxa"/>
              <w:right w:w="115" w:type="dxa"/>
            </w:tcMar>
            <w:vAlign w:val="center"/>
          </w:tcPr>
          <w:p w14:paraId="29A5984F" w14:textId="77777777" w:rsidR="00B92EC0" w:rsidRPr="00914F12" w:rsidRDefault="00B92EC0" w:rsidP="00EC4DCE">
            <w:pPr>
              <w:pStyle w:val="ListParagraph"/>
              <w:spacing w:line="276" w:lineRule="auto"/>
              <w:ind w:left="360"/>
              <w:rPr>
                <w:b/>
              </w:rPr>
            </w:pPr>
            <w:r>
              <w:rPr>
                <w:b/>
              </w:rPr>
              <w:t>Surgery Center/</w:t>
            </w:r>
            <w:r w:rsidRPr="00914F12">
              <w:rPr>
                <w:b/>
              </w:rPr>
              <w:t>Free-Standing Hospital Outpatient Department 4</w:t>
            </w:r>
          </w:p>
        </w:tc>
        <w:tc>
          <w:tcPr>
            <w:tcW w:w="2008" w:type="dxa"/>
            <w:vAlign w:val="center"/>
          </w:tcPr>
          <w:p w14:paraId="50D0E58A" w14:textId="77777777" w:rsidR="00B92EC0" w:rsidRDefault="00B92EC0" w:rsidP="00EC4DCE">
            <w:pPr>
              <w:pStyle w:val="ListParagraph"/>
              <w:spacing w:line="276" w:lineRule="auto"/>
              <w:ind w:left="360"/>
            </w:pPr>
          </w:p>
        </w:tc>
        <w:tc>
          <w:tcPr>
            <w:tcW w:w="3117" w:type="dxa"/>
            <w:vAlign w:val="center"/>
          </w:tcPr>
          <w:p w14:paraId="7902CCF9" w14:textId="77777777" w:rsidR="00B92EC0" w:rsidRDefault="00B92EC0" w:rsidP="00EC4DCE">
            <w:pPr>
              <w:pStyle w:val="ListParagraph"/>
              <w:spacing w:line="276" w:lineRule="auto"/>
              <w:ind w:left="360"/>
            </w:pPr>
          </w:p>
        </w:tc>
      </w:tr>
      <w:tr w:rsidR="00B92EC0" w:rsidRPr="005B2F83" w14:paraId="4B3091A3" w14:textId="77777777" w:rsidTr="00EC4DCE">
        <w:trPr>
          <w:trHeight w:val="20"/>
        </w:trPr>
        <w:tc>
          <w:tcPr>
            <w:tcW w:w="4225" w:type="dxa"/>
            <w:tcMar>
              <w:top w:w="72" w:type="dxa"/>
              <w:left w:w="115" w:type="dxa"/>
              <w:bottom w:w="72" w:type="dxa"/>
              <w:right w:w="115" w:type="dxa"/>
            </w:tcMar>
            <w:vAlign w:val="center"/>
          </w:tcPr>
          <w:p w14:paraId="3DBF0E43" w14:textId="77777777" w:rsidR="00B92EC0" w:rsidRPr="00914F12" w:rsidRDefault="00B92EC0" w:rsidP="00EC4DCE">
            <w:pPr>
              <w:pStyle w:val="ListParagraph"/>
              <w:spacing w:line="276" w:lineRule="auto"/>
              <w:ind w:left="360"/>
              <w:rPr>
                <w:b/>
              </w:rPr>
            </w:pPr>
            <w:r>
              <w:rPr>
                <w:b/>
              </w:rPr>
              <w:t>Surgery Center/</w:t>
            </w:r>
            <w:r w:rsidRPr="00914F12">
              <w:rPr>
                <w:b/>
              </w:rPr>
              <w:t>Free-Standing Hospital Outpatient Department 5</w:t>
            </w:r>
          </w:p>
        </w:tc>
        <w:tc>
          <w:tcPr>
            <w:tcW w:w="2008" w:type="dxa"/>
            <w:vAlign w:val="center"/>
          </w:tcPr>
          <w:p w14:paraId="6592E68C" w14:textId="77777777" w:rsidR="00B92EC0" w:rsidRDefault="00B92EC0" w:rsidP="00EC4DCE">
            <w:pPr>
              <w:pStyle w:val="ListParagraph"/>
              <w:spacing w:line="276" w:lineRule="auto"/>
              <w:ind w:left="360"/>
            </w:pPr>
          </w:p>
        </w:tc>
        <w:tc>
          <w:tcPr>
            <w:tcW w:w="3117" w:type="dxa"/>
            <w:vAlign w:val="center"/>
          </w:tcPr>
          <w:p w14:paraId="4FA36A44" w14:textId="77777777" w:rsidR="00B92EC0" w:rsidRDefault="00B92EC0" w:rsidP="00EC4DCE">
            <w:pPr>
              <w:pStyle w:val="ListParagraph"/>
              <w:spacing w:line="276" w:lineRule="auto"/>
              <w:ind w:left="360"/>
            </w:pPr>
          </w:p>
        </w:tc>
      </w:tr>
    </w:tbl>
    <w:p w14:paraId="1561ABFB" w14:textId="77777777" w:rsidR="00F32D66" w:rsidRDefault="00F32D66" w:rsidP="006606DD"/>
    <w:p w14:paraId="70A18C78" w14:textId="77777777" w:rsidR="00F83C07" w:rsidRDefault="00F83C07" w:rsidP="006606DD"/>
    <w:p w14:paraId="08A4A4CA" w14:textId="77777777" w:rsidR="00F83C07" w:rsidRDefault="00F83C07" w:rsidP="006606DD"/>
    <w:p w14:paraId="22043B81" w14:textId="77777777" w:rsidR="00F83C07" w:rsidRDefault="00F83C07" w:rsidP="006606DD"/>
    <w:p w14:paraId="7EF04429" w14:textId="77777777" w:rsidR="00F83C07" w:rsidRDefault="00F83C07" w:rsidP="006606DD"/>
    <w:p w14:paraId="2A12D406" w14:textId="77777777" w:rsidR="00F83C07" w:rsidRDefault="00F83C07" w:rsidP="006606DD"/>
    <w:p w14:paraId="4F23EEE8" w14:textId="77777777" w:rsidR="00F83C07" w:rsidRDefault="00F83C07" w:rsidP="006606DD"/>
    <w:p w14:paraId="5DCE9EF8" w14:textId="77777777" w:rsidR="00F83C07" w:rsidRDefault="00F83C07" w:rsidP="006606DD"/>
    <w:p w14:paraId="7D67E322" w14:textId="77777777" w:rsidR="00F83C07" w:rsidRDefault="00F83C07" w:rsidP="006606DD"/>
    <w:p w14:paraId="5BC33820" w14:textId="77777777" w:rsidR="00F83C07" w:rsidRDefault="00F83C07" w:rsidP="006606DD"/>
    <w:p w14:paraId="1133019E" w14:textId="736423A8" w:rsidR="006606DD" w:rsidRDefault="006606DD" w:rsidP="00AB5B80">
      <w:pPr>
        <w:pStyle w:val="Heading3"/>
      </w:pPr>
      <w:bookmarkStart w:id="729" w:name="_Toc225877840"/>
      <w:r>
        <w:t>Gastroenterology</w:t>
      </w:r>
      <w:bookmarkEnd w:id="729"/>
      <w:r>
        <w:t xml:space="preserve"> </w:t>
      </w:r>
    </w:p>
    <w:p w14:paraId="7100F9A6" w14:textId="77777777" w:rsidR="006606DD" w:rsidRDefault="006606DD" w:rsidP="006606DD"/>
    <w:tbl>
      <w:tblPr>
        <w:tblStyle w:val="TableGrid100"/>
        <w:tblW w:w="0" w:type="auto"/>
        <w:tblLook w:val="04A0" w:firstRow="1" w:lastRow="0" w:firstColumn="1" w:lastColumn="0" w:noHBand="0" w:noVBand="1"/>
      </w:tblPr>
      <w:tblGrid>
        <w:gridCol w:w="5015"/>
        <w:gridCol w:w="4335"/>
      </w:tblGrid>
      <w:tr w:rsidR="006A0D20" w:rsidRPr="006A0D20" w14:paraId="47F9DBD5" w14:textId="77777777" w:rsidTr="004551E0">
        <w:trPr>
          <w:trHeight w:val="720"/>
        </w:trPr>
        <w:tc>
          <w:tcPr>
            <w:tcW w:w="9350" w:type="dxa"/>
            <w:gridSpan w:val="2"/>
            <w:tcBorders>
              <w:bottom w:val="single" w:sz="4" w:space="0" w:color="auto"/>
            </w:tcBorders>
            <w:tcMar>
              <w:top w:w="72" w:type="dxa"/>
              <w:left w:w="115" w:type="dxa"/>
              <w:bottom w:w="72" w:type="dxa"/>
              <w:right w:w="115" w:type="dxa"/>
            </w:tcMar>
            <w:vAlign w:val="center"/>
          </w:tcPr>
          <w:p w14:paraId="1BD4A63B" w14:textId="7FE9AA83" w:rsidR="006A0D20" w:rsidRPr="006A0D20" w:rsidRDefault="006A0D20" w:rsidP="00AD309C">
            <w:pPr>
              <w:numPr>
                <w:ilvl w:val="0"/>
                <w:numId w:val="91"/>
              </w:numPr>
              <w:contextualSpacing/>
              <w:rPr>
                <w:i/>
              </w:rPr>
            </w:pPr>
            <w:r w:rsidRPr="006A0D20">
              <w:t xml:space="preserve">Total adult volume for each of the following applicable procedures performed at your </w:t>
            </w:r>
            <w:r w:rsidR="00045B2E">
              <w:t>hospital outpatient department(s)</w:t>
            </w:r>
            <w:r w:rsidRPr="006A0D20">
              <w:t xml:space="preserve"> during the reporting period.</w:t>
            </w:r>
            <w:r w:rsidRPr="006A0D20">
              <w:br/>
            </w:r>
            <w:r w:rsidRPr="006A0D20">
              <w:br/>
            </w:r>
            <w:r w:rsidRPr="006A0D20">
              <w:rPr>
                <w:i/>
              </w:rPr>
              <w:t xml:space="preserve">You cannot leave any blank. If you did not perform one or more of the procedures listed below enter 0 (zero). If you had zero volume for </w:t>
            </w:r>
            <w:r w:rsidRPr="006A0D20">
              <w:rPr>
                <w:b/>
                <w:i/>
                <w:u w:val="single"/>
              </w:rPr>
              <w:t>all</w:t>
            </w:r>
            <w:r w:rsidRPr="006A0D20">
              <w:rPr>
                <w:i/>
              </w:rPr>
              <w:t xml:space="preserve"> procedures, go back to question #</w:t>
            </w:r>
            <w:r w:rsidR="00B92EC0">
              <w:rPr>
                <w:i/>
              </w:rPr>
              <w:t>5</w:t>
            </w:r>
            <w:r w:rsidRPr="006A0D20">
              <w:rPr>
                <w:i/>
              </w:rPr>
              <w:t xml:space="preserve"> and update your response from “yes” to “no.”</w:t>
            </w:r>
            <w:r w:rsidRPr="006A0D20">
              <w:t xml:space="preserve"> </w:t>
            </w:r>
          </w:p>
        </w:tc>
      </w:tr>
      <w:tr w:rsidR="001A4A1F" w:rsidRPr="006A0D20" w14:paraId="55B4F363" w14:textId="77777777" w:rsidTr="0001518E">
        <w:trPr>
          <w:trHeight w:val="20"/>
        </w:trPr>
        <w:tc>
          <w:tcPr>
            <w:tcW w:w="5015" w:type="dxa"/>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vAlign w:val="center"/>
          </w:tcPr>
          <w:p w14:paraId="57734F46" w14:textId="77777777" w:rsidR="001A4A1F" w:rsidRPr="006A0D20" w:rsidRDefault="001A4A1F" w:rsidP="0001518E">
            <w:pPr>
              <w:spacing w:line="276" w:lineRule="auto"/>
              <w:rPr>
                <w:rFonts w:eastAsia="Yu Gothic Light"/>
              </w:rPr>
            </w:pPr>
          </w:p>
        </w:tc>
        <w:tc>
          <w:tcPr>
            <w:tcW w:w="4335" w:type="dxa"/>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tcPr>
          <w:p w14:paraId="242FB810" w14:textId="48DA6789" w:rsidR="001A4A1F" w:rsidRPr="006A0D20" w:rsidRDefault="001A4A1F" w:rsidP="004F63C1">
            <w:pPr>
              <w:contextualSpacing/>
              <w:jc w:val="center"/>
              <w:rPr>
                <w:i/>
              </w:rPr>
            </w:pPr>
            <w:r w:rsidRPr="006A0D20">
              <w:rPr>
                <w:i/>
              </w:rPr>
              <w:t>Adult Volume</w:t>
            </w:r>
          </w:p>
        </w:tc>
      </w:tr>
      <w:tr w:rsidR="001A4A1F" w:rsidRPr="006A0D20" w14:paraId="5DF9A071" w14:textId="77777777" w:rsidTr="00EC4DCE">
        <w:trPr>
          <w:trHeight w:val="20"/>
        </w:trPr>
        <w:tc>
          <w:tcPr>
            <w:tcW w:w="5015" w:type="dxa"/>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vAlign w:val="center"/>
          </w:tcPr>
          <w:p w14:paraId="19E9F1F0" w14:textId="77777777" w:rsidR="001A4A1F" w:rsidRPr="006A0D20" w:rsidRDefault="001A4A1F" w:rsidP="006A0D20">
            <w:pPr>
              <w:spacing w:line="276" w:lineRule="auto"/>
              <w:rPr>
                <w:rFonts w:eastAsia="Yu Gothic Light"/>
                <w:b/>
              </w:rPr>
            </w:pPr>
            <w:r w:rsidRPr="006A0D20">
              <w:rPr>
                <w:rFonts w:eastAsia="Yu Gothic Light"/>
                <w:b/>
              </w:rPr>
              <w:t>Upper GI endoscopies</w:t>
            </w:r>
          </w:p>
        </w:tc>
        <w:tc>
          <w:tcPr>
            <w:tcW w:w="4335" w:type="dxa"/>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vAlign w:val="center"/>
          </w:tcPr>
          <w:p w14:paraId="138E87BA" w14:textId="006221DA" w:rsidR="001A4A1F" w:rsidRPr="006A0D20" w:rsidRDefault="001A4A1F" w:rsidP="001A4A1F">
            <w:pPr>
              <w:jc w:val="center"/>
            </w:pPr>
            <w:r w:rsidRPr="006A0D20">
              <w:t>_____</w:t>
            </w:r>
          </w:p>
        </w:tc>
      </w:tr>
      <w:tr w:rsidR="001A4A1F" w:rsidRPr="006A0D20" w14:paraId="788255E7" w14:textId="77777777" w:rsidTr="00EC4DCE">
        <w:trPr>
          <w:trHeight w:val="20"/>
        </w:trPr>
        <w:tc>
          <w:tcPr>
            <w:tcW w:w="5015" w:type="dxa"/>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vAlign w:val="center"/>
          </w:tcPr>
          <w:p w14:paraId="06E7038E" w14:textId="77777777" w:rsidR="001A4A1F" w:rsidRPr="006A0D20" w:rsidRDefault="001A4A1F" w:rsidP="006A0D20">
            <w:pPr>
              <w:spacing w:line="276" w:lineRule="auto"/>
              <w:rPr>
                <w:rFonts w:eastAsia="Yu Gothic Light"/>
                <w:b/>
              </w:rPr>
            </w:pPr>
            <w:r w:rsidRPr="006A0D20">
              <w:rPr>
                <w:rFonts w:eastAsia="Yu Gothic Light"/>
                <w:b/>
              </w:rPr>
              <w:t xml:space="preserve">Lower GI endoscopies </w:t>
            </w:r>
          </w:p>
        </w:tc>
        <w:tc>
          <w:tcPr>
            <w:tcW w:w="4335" w:type="dxa"/>
            <w:tcBorders>
              <w:top w:val="single" w:sz="4" w:space="0" w:color="auto"/>
              <w:left w:val="single" w:sz="4" w:space="0" w:color="auto"/>
              <w:bottom w:val="single" w:sz="4" w:space="0" w:color="auto"/>
              <w:right w:val="single" w:sz="4" w:space="0" w:color="auto"/>
            </w:tcBorders>
            <w:tcMar>
              <w:top w:w="72" w:type="dxa"/>
              <w:left w:w="115" w:type="dxa"/>
              <w:bottom w:w="72" w:type="dxa"/>
              <w:right w:w="115" w:type="dxa"/>
            </w:tcMar>
            <w:vAlign w:val="center"/>
          </w:tcPr>
          <w:p w14:paraId="3769FFAD" w14:textId="3A539399" w:rsidR="001A4A1F" w:rsidRPr="006A0D20" w:rsidRDefault="001A4A1F" w:rsidP="001A4A1F">
            <w:pPr>
              <w:jc w:val="center"/>
            </w:pPr>
            <w:r w:rsidRPr="006A0D20">
              <w:t>_____</w:t>
            </w:r>
          </w:p>
        </w:tc>
      </w:tr>
    </w:tbl>
    <w:tbl>
      <w:tblPr>
        <w:tblStyle w:val="TableGrid"/>
        <w:tblpPr w:leftFromText="180" w:rightFromText="180" w:vertAnchor="text" w:horzAnchor="margin" w:tblpY="244"/>
        <w:tblOverlap w:val="never"/>
        <w:tblW w:w="0" w:type="auto"/>
        <w:tblLayout w:type="fixed"/>
        <w:tblCellMar>
          <w:left w:w="115" w:type="dxa"/>
          <w:right w:w="115" w:type="dxa"/>
        </w:tblCellMar>
        <w:tblLook w:val="04A0" w:firstRow="1" w:lastRow="0" w:firstColumn="1" w:lastColumn="0" w:noHBand="0" w:noVBand="1"/>
      </w:tblPr>
      <w:tblGrid>
        <w:gridCol w:w="6205"/>
        <w:gridCol w:w="3145"/>
      </w:tblGrid>
      <w:tr w:rsidR="006E35A8" w:rsidRPr="005B2F83" w14:paraId="2DF54C61" w14:textId="77777777" w:rsidTr="006E35A8">
        <w:trPr>
          <w:trHeight w:val="1008"/>
        </w:trPr>
        <w:tc>
          <w:tcPr>
            <w:tcW w:w="6205" w:type="dxa"/>
            <w:tcMar>
              <w:top w:w="72" w:type="dxa"/>
              <w:left w:w="115" w:type="dxa"/>
              <w:bottom w:w="72" w:type="dxa"/>
              <w:right w:w="115" w:type="dxa"/>
            </w:tcMar>
            <w:vAlign w:val="center"/>
          </w:tcPr>
          <w:p w14:paraId="20302C04" w14:textId="77777777" w:rsidR="006E35A8" w:rsidRDefault="006E35A8" w:rsidP="00AD309C">
            <w:pPr>
              <w:pStyle w:val="ListParagraph"/>
              <w:numPr>
                <w:ilvl w:val="0"/>
                <w:numId w:val="91"/>
              </w:numPr>
            </w:pPr>
            <w:r>
              <w:t xml:space="preserve">Where were these </w:t>
            </w:r>
            <w:r w:rsidRPr="005D2045">
              <w:rPr>
                <w:b/>
              </w:rPr>
              <w:t xml:space="preserve">gastroenterology </w:t>
            </w:r>
            <w:r>
              <w:t>procedures performed?</w:t>
            </w:r>
          </w:p>
          <w:p w14:paraId="73156A58" w14:textId="77777777" w:rsidR="006E35A8" w:rsidRDefault="006E35A8" w:rsidP="006E35A8">
            <w:pPr>
              <w:pStyle w:val="ListParagraph"/>
              <w:ind w:left="360"/>
            </w:pPr>
          </w:p>
          <w:p w14:paraId="179DAA75" w14:textId="77777777" w:rsidR="006E35A8" w:rsidRPr="00131F2C" w:rsidRDefault="006E35A8" w:rsidP="006E35A8">
            <w:pPr>
              <w:pStyle w:val="ListParagraph"/>
              <w:ind w:left="360"/>
              <w:rPr>
                <w:i/>
              </w:rPr>
            </w:pPr>
            <w:r>
              <w:rPr>
                <w:i/>
              </w:rPr>
              <w:t>Select all that apply.</w:t>
            </w:r>
          </w:p>
          <w:p w14:paraId="16A100FB" w14:textId="77777777" w:rsidR="006E35A8" w:rsidRPr="005D2045" w:rsidRDefault="006E35A8" w:rsidP="006E35A8">
            <w:pPr>
              <w:pStyle w:val="ListParagraph"/>
              <w:ind w:left="360"/>
            </w:pPr>
          </w:p>
          <w:p w14:paraId="39AF52AF" w14:textId="1FD2A20B" w:rsidR="006E35A8" w:rsidRPr="005D2045" w:rsidRDefault="006E35A8" w:rsidP="006E35A8">
            <w:pPr>
              <w:pStyle w:val="ListParagraph"/>
              <w:ind w:left="360"/>
            </w:pPr>
            <w:r w:rsidRPr="005E3B4A">
              <w:rPr>
                <w:i/>
              </w:rPr>
              <w:t>If only “hospital” is selected, s</w:t>
            </w:r>
            <w:r w:rsidRPr="00B674A0">
              <w:rPr>
                <w:i/>
              </w:rPr>
              <w:t xml:space="preserve">kip </w:t>
            </w:r>
            <w:r>
              <w:rPr>
                <w:i/>
              </w:rPr>
              <w:t>question #</w:t>
            </w:r>
            <w:r w:rsidR="005E5021">
              <w:rPr>
                <w:i/>
              </w:rPr>
              <w:t>22</w:t>
            </w:r>
            <w:r>
              <w:rPr>
                <w:i/>
              </w:rPr>
              <w:t xml:space="preserve"> and continue to question #</w:t>
            </w:r>
            <w:r w:rsidR="005E5021">
              <w:rPr>
                <w:i/>
              </w:rPr>
              <w:t>23</w:t>
            </w:r>
            <w:r>
              <w:rPr>
                <w:i/>
              </w:rPr>
              <w:t>.</w:t>
            </w:r>
          </w:p>
        </w:tc>
        <w:tc>
          <w:tcPr>
            <w:tcW w:w="3145" w:type="dxa"/>
            <w:vAlign w:val="center"/>
          </w:tcPr>
          <w:p w14:paraId="1603D194" w14:textId="77777777" w:rsidR="006E35A8" w:rsidRPr="00753419" w:rsidRDefault="006E35A8" w:rsidP="00AD309C">
            <w:pPr>
              <w:pStyle w:val="ListParagraph"/>
              <w:numPr>
                <w:ilvl w:val="0"/>
                <w:numId w:val="94"/>
              </w:numPr>
              <w:spacing w:line="276" w:lineRule="auto"/>
              <w:rPr>
                <w:iCs/>
              </w:rPr>
            </w:pPr>
            <w:r w:rsidRPr="00753419">
              <w:rPr>
                <w:iCs/>
              </w:rPr>
              <w:t>Hospital</w:t>
            </w:r>
          </w:p>
          <w:p w14:paraId="2B8BD19D" w14:textId="77777777" w:rsidR="006E35A8" w:rsidRPr="00551F82" w:rsidRDefault="006E35A8" w:rsidP="00AD309C">
            <w:pPr>
              <w:pStyle w:val="ListParagraph"/>
              <w:numPr>
                <w:ilvl w:val="0"/>
                <w:numId w:val="94"/>
              </w:numPr>
              <w:spacing w:line="276" w:lineRule="auto"/>
              <w:rPr>
                <w:i/>
              </w:rPr>
            </w:pPr>
            <w:r w:rsidRPr="00753419">
              <w:rPr>
                <w:iCs/>
              </w:rPr>
              <w:t>Surgery center or free-standing hospital outpatient department</w:t>
            </w:r>
          </w:p>
        </w:tc>
      </w:tr>
    </w:tbl>
    <w:p w14:paraId="68B8B5FF" w14:textId="77777777" w:rsidR="003E3EDD" w:rsidRDefault="003E3EDD"/>
    <w:p w14:paraId="628CCBEF" w14:textId="77777777" w:rsidR="006E35A8" w:rsidRDefault="006E35A8"/>
    <w:tbl>
      <w:tblPr>
        <w:tblStyle w:val="TableGrid"/>
        <w:tblW w:w="0" w:type="auto"/>
        <w:tblLayout w:type="fixed"/>
        <w:tblCellMar>
          <w:left w:w="115" w:type="dxa"/>
          <w:right w:w="115" w:type="dxa"/>
        </w:tblCellMar>
        <w:tblLook w:val="04A0" w:firstRow="1" w:lastRow="0" w:firstColumn="1" w:lastColumn="0" w:noHBand="0" w:noVBand="1"/>
      </w:tblPr>
      <w:tblGrid>
        <w:gridCol w:w="5305"/>
        <w:gridCol w:w="1980"/>
        <w:gridCol w:w="2065"/>
      </w:tblGrid>
      <w:tr w:rsidR="00D07D70" w:rsidRPr="005B2F83" w14:paraId="35EC01E0" w14:textId="77777777" w:rsidTr="004551E0">
        <w:trPr>
          <w:trHeight w:val="20"/>
        </w:trPr>
        <w:tc>
          <w:tcPr>
            <w:tcW w:w="9350" w:type="dxa"/>
            <w:gridSpan w:val="3"/>
            <w:tcMar>
              <w:top w:w="72" w:type="dxa"/>
              <w:left w:w="115" w:type="dxa"/>
              <w:bottom w:w="72" w:type="dxa"/>
              <w:right w:w="115" w:type="dxa"/>
            </w:tcMar>
            <w:vAlign w:val="center"/>
          </w:tcPr>
          <w:p w14:paraId="112AE6FC" w14:textId="62A437E0" w:rsidR="00D07D70" w:rsidRDefault="00D07D70" w:rsidP="00AD309C">
            <w:pPr>
              <w:pStyle w:val="ListParagraph"/>
              <w:numPr>
                <w:ilvl w:val="0"/>
                <w:numId w:val="91"/>
              </w:numPr>
              <w:spacing w:line="276" w:lineRule="auto"/>
              <w:rPr>
                <w:i/>
              </w:rPr>
            </w:pPr>
            <w:r>
              <w:t xml:space="preserve">Please provide the name and city location of each </w:t>
            </w:r>
            <w:r w:rsidR="00676EE9">
              <w:t xml:space="preserve">surgery center or </w:t>
            </w:r>
            <w:r w:rsidR="00FC36EC">
              <w:t>free-standing</w:t>
            </w:r>
            <w:r w:rsidR="001D59DB">
              <w:t xml:space="preserve"> hospital outpatient department</w:t>
            </w:r>
            <w:r>
              <w:t xml:space="preserve"> performing </w:t>
            </w:r>
            <w:r w:rsidRPr="00A30D38">
              <w:rPr>
                <w:b/>
              </w:rPr>
              <w:t>gastroenterology</w:t>
            </w:r>
            <w:r>
              <w:t xml:space="preserve"> procedures:</w:t>
            </w:r>
          </w:p>
        </w:tc>
      </w:tr>
      <w:tr w:rsidR="00D07D70" w:rsidRPr="005B2F83" w14:paraId="39667D19" w14:textId="77777777" w:rsidTr="004551E0">
        <w:trPr>
          <w:trHeight w:val="20"/>
        </w:trPr>
        <w:tc>
          <w:tcPr>
            <w:tcW w:w="5305" w:type="dxa"/>
            <w:tcMar>
              <w:top w:w="72" w:type="dxa"/>
              <w:left w:w="115" w:type="dxa"/>
              <w:bottom w:w="72" w:type="dxa"/>
              <w:right w:w="115" w:type="dxa"/>
            </w:tcMar>
            <w:vAlign w:val="center"/>
          </w:tcPr>
          <w:p w14:paraId="3A10CE49" w14:textId="77777777" w:rsidR="00D07D70" w:rsidRDefault="00D07D70" w:rsidP="00A30D38">
            <w:pPr>
              <w:pStyle w:val="ListParagraph"/>
              <w:spacing w:line="276" w:lineRule="auto"/>
              <w:ind w:left="360"/>
            </w:pPr>
          </w:p>
        </w:tc>
        <w:tc>
          <w:tcPr>
            <w:tcW w:w="1980" w:type="dxa"/>
            <w:vAlign w:val="center"/>
          </w:tcPr>
          <w:p w14:paraId="31C68D2E" w14:textId="795B498D" w:rsidR="00D07D70" w:rsidRPr="00C01AAF" w:rsidRDefault="00D07D70" w:rsidP="004F63C1">
            <w:pPr>
              <w:spacing w:line="276" w:lineRule="auto"/>
              <w:jc w:val="center"/>
              <w:rPr>
                <w:i/>
              </w:rPr>
            </w:pPr>
            <w:r w:rsidRPr="00C01AAF">
              <w:rPr>
                <w:i/>
              </w:rPr>
              <w:t>Name</w:t>
            </w:r>
          </w:p>
        </w:tc>
        <w:tc>
          <w:tcPr>
            <w:tcW w:w="2065" w:type="dxa"/>
            <w:vAlign w:val="center"/>
          </w:tcPr>
          <w:p w14:paraId="2922DC34" w14:textId="4EE59765" w:rsidR="00D07D70" w:rsidRPr="00C01AAF" w:rsidRDefault="00D07D70" w:rsidP="004F63C1">
            <w:pPr>
              <w:spacing w:line="276" w:lineRule="auto"/>
              <w:jc w:val="center"/>
              <w:rPr>
                <w:i/>
              </w:rPr>
            </w:pPr>
            <w:r w:rsidRPr="00C01AAF">
              <w:rPr>
                <w:i/>
              </w:rPr>
              <w:t>City</w:t>
            </w:r>
          </w:p>
        </w:tc>
      </w:tr>
      <w:tr w:rsidR="00D07D70" w:rsidRPr="005B2F83" w14:paraId="758F49B0" w14:textId="77777777" w:rsidTr="004551E0">
        <w:trPr>
          <w:trHeight w:val="20"/>
        </w:trPr>
        <w:tc>
          <w:tcPr>
            <w:tcW w:w="5305" w:type="dxa"/>
            <w:tcMar>
              <w:top w:w="72" w:type="dxa"/>
              <w:left w:w="115" w:type="dxa"/>
              <w:bottom w:w="72" w:type="dxa"/>
              <w:right w:w="115" w:type="dxa"/>
            </w:tcMar>
            <w:vAlign w:val="center"/>
          </w:tcPr>
          <w:p w14:paraId="2BDA097E" w14:textId="11E72022" w:rsidR="00D07D70" w:rsidRPr="00E17F7C" w:rsidRDefault="00676EE9" w:rsidP="00E17F7C">
            <w:pPr>
              <w:pStyle w:val="ListParagraph"/>
              <w:spacing w:line="276" w:lineRule="auto"/>
              <w:ind w:left="360"/>
              <w:rPr>
                <w:b/>
              </w:rPr>
            </w:pPr>
            <w:r>
              <w:rPr>
                <w:b/>
              </w:rPr>
              <w:t>Surgery Center/</w:t>
            </w:r>
            <w:r w:rsidRPr="00E17F7C">
              <w:rPr>
                <w:b/>
              </w:rPr>
              <w:t xml:space="preserve">Free-Standing </w:t>
            </w:r>
            <w:r w:rsidR="001D59DB" w:rsidRPr="00E17F7C">
              <w:rPr>
                <w:b/>
              </w:rPr>
              <w:t>Hospital Outpatient Department</w:t>
            </w:r>
            <w:r w:rsidR="00D07D70" w:rsidRPr="00E17F7C">
              <w:rPr>
                <w:b/>
              </w:rPr>
              <w:t xml:space="preserve"> 1</w:t>
            </w:r>
          </w:p>
        </w:tc>
        <w:tc>
          <w:tcPr>
            <w:tcW w:w="1980" w:type="dxa"/>
            <w:vAlign w:val="center"/>
          </w:tcPr>
          <w:p w14:paraId="66AADF58" w14:textId="77777777" w:rsidR="00D07D70" w:rsidRDefault="00D07D70" w:rsidP="00A30D38">
            <w:pPr>
              <w:pStyle w:val="ListParagraph"/>
              <w:spacing w:line="276" w:lineRule="auto"/>
              <w:ind w:left="360"/>
            </w:pPr>
          </w:p>
        </w:tc>
        <w:tc>
          <w:tcPr>
            <w:tcW w:w="2065" w:type="dxa"/>
            <w:vAlign w:val="center"/>
          </w:tcPr>
          <w:p w14:paraId="44471221" w14:textId="77777777" w:rsidR="00D07D70" w:rsidRDefault="00D07D70" w:rsidP="00A30D38">
            <w:pPr>
              <w:pStyle w:val="ListParagraph"/>
              <w:spacing w:line="276" w:lineRule="auto"/>
              <w:ind w:left="360"/>
            </w:pPr>
          </w:p>
        </w:tc>
      </w:tr>
      <w:tr w:rsidR="00D07D70" w:rsidRPr="005B2F83" w14:paraId="18996300" w14:textId="77777777" w:rsidTr="004551E0">
        <w:trPr>
          <w:trHeight w:val="144"/>
        </w:trPr>
        <w:tc>
          <w:tcPr>
            <w:tcW w:w="5305" w:type="dxa"/>
            <w:tcMar>
              <w:top w:w="72" w:type="dxa"/>
              <w:left w:w="115" w:type="dxa"/>
              <w:bottom w:w="72" w:type="dxa"/>
              <w:right w:w="115" w:type="dxa"/>
            </w:tcMar>
            <w:vAlign w:val="center"/>
          </w:tcPr>
          <w:p w14:paraId="150ACCA4" w14:textId="3D3AE572" w:rsidR="00D07D70" w:rsidRPr="00E17F7C" w:rsidRDefault="00676EE9" w:rsidP="00E17F7C">
            <w:pPr>
              <w:pStyle w:val="ListParagraph"/>
              <w:spacing w:line="276" w:lineRule="auto"/>
              <w:ind w:left="360"/>
              <w:rPr>
                <w:b/>
              </w:rPr>
            </w:pPr>
            <w:r>
              <w:rPr>
                <w:b/>
              </w:rPr>
              <w:t>Surgery Center/</w:t>
            </w:r>
            <w:r w:rsidRPr="00E17F7C">
              <w:rPr>
                <w:b/>
              </w:rPr>
              <w:t>Free-Standing Hospital Outpatient Department 2</w:t>
            </w:r>
          </w:p>
        </w:tc>
        <w:tc>
          <w:tcPr>
            <w:tcW w:w="1980" w:type="dxa"/>
            <w:vAlign w:val="center"/>
          </w:tcPr>
          <w:p w14:paraId="5A59720A" w14:textId="77777777" w:rsidR="00D07D70" w:rsidRDefault="00D07D70" w:rsidP="00A30D38">
            <w:pPr>
              <w:pStyle w:val="ListParagraph"/>
              <w:spacing w:line="276" w:lineRule="auto"/>
              <w:ind w:left="360"/>
            </w:pPr>
          </w:p>
        </w:tc>
        <w:tc>
          <w:tcPr>
            <w:tcW w:w="2065" w:type="dxa"/>
            <w:vAlign w:val="center"/>
          </w:tcPr>
          <w:p w14:paraId="3478C7E5" w14:textId="77777777" w:rsidR="00D07D70" w:rsidRDefault="00D07D70" w:rsidP="00A30D38">
            <w:pPr>
              <w:pStyle w:val="ListParagraph"/>
              <w:spacing w:line="276" w:lineRule="auto"/>
              <w:ind w:left="360"/>
            </w:pPr>
          </w:p>
        </w:tc>
      </w:tr>
      <w:tr w:rsidR="00D07D70" w:rsidRPr="005B2F83" w14:paraId="65853381" w14:textId="77777777" w:rsidTr="004551E0">
        <w:trPr>
          <w:trHeight w:val="144"/>
        </w:trPr>
        <w:tc>
          <w:tcPr>
            <w:tcW w:w="5305" w:type="dxa"/>
            <w:tcMar>
              <w:top w:w="72" w:type="dxa"/>
              <w:left w:w="115" w:type="dxa"/>
              <w:bottom w:w="72" w:type="dxa"/>
              <w:right w:w="115" w:type="dxa"/>
            </w:tcMar>
            <w:vAlign w:val="center"/>
          </w:tcPr>
          <w:p w14:paraId="4F77C36D" w14:textId="0CB8160D" w:rsidR="00D07D70" w:rsidRPr="00E17F7C" w:rsidRDefault="00676EE9" w:rsidP="00E17F7C">
            <w:pPr>
              <w:pStyle w:val="ListParagraph"/>
              <w:spacing w:line="276" w:lineRule="auto"/>
              <w:ind w:left="360"/>
              <w:rPr>
                <w:b/>
              </w:rPr>
            </w:pPr>
            <w:r>
              <w:rPr>
                <w:b/>
              </w:rPr>
              <w:t>Surgery Center/</w:t>
            </w:r>
            <w:r w:rsidRPr="00E17F7C">
              <w:rPr>
                <w:b/>
              </w:rPr>
              <w:t xml:space="preserve">Free-Standing </w:t>
            </w:r>
            <w:r w:rsidR="001D59DB" w:rsidRPr="00E17F7C">
              <w:rPr>
                <w:b/>
              </w:rPr>
              <w:t>Hospital Outpatient Department</w:t>
            </w:r>
            <w:r w:rsidR="00D07D70" w:rsidRPr="00E17F7C">
              <w:rPr>
                <w:b/>
              </w:rPr>
              <w:t xml:space="preserve"> 3</w:t>
            </w:r>
          </w:p>
        </w:tc>
        <w:tc>
          <w:tcPr>
            <w:tcW w:w="1980" w:type="dxa"/>
            <w:vAlign w:val="center"/>
          </w:tcPr>
          <w:p w14:paraId="409110ED" w14:textId="77777777" w:rsidR="00D07D70" w:rsidRDefault="00D07D70" w:rsidP="00A30D38">
            <w:pPr>
              <w:pStyle w:val="ListParagraph"/>
              <w:spacing w:line="276" w:lineRule="auto"/>
              <w:ind w:left="360"/>
            </w:pPr>
          </w:p>
        </w:tc>
        <w:tc>
          <w:tcPr>
            <w:tcW w:w="2065" w:type="dxa"/>
            <w:vAlign w:val="center"/>
          </w:tcPr>
          <w:p w14:paraId="18433642" w14:textId="77777777" w:rsidR="00D07D70" w:rsidRDefault="00D07D70" w:rsidP="00A30D38">
            <w:pPr>
              <w:pStyle w:val="ListParagraph"/>
              <w:spacing w:line="276" w:lineRule="auto"/>
              <w:ind w:left="360"/>
            </w:pPr>
          </w:p>
        </w:tc>
      </w:tr>
      <w:tr w:rsidR="00D07D70" w:rsidRPr="005B2F83" w14:paraId="36C0BECF" w14:textId="77777777" w:rsidTr="004551E0">
        <w:trPr>
          <w:trHeight w:val="144"/>
        </w:trPr>
        <w:tc>
          <w:tcPr>
            <w:tcW w:w="5305" w:type="dxa"/>
            <w:tcMar>
              <w:top w:w="72" w:type="dxa"/>
              <w:left w:w="115" w:type="dxa"/>
              <w:bottom w:w="72" w:type="dxa"/>
              <w:right w:w="115" w:type="dxa"/>
            </w:tcMar>
            <w:vAlign w:val="center"/>
          </w:tcPr>
          <w:p w14:paraId="4215B82D" w14:textId="3AC90F7C" w:rsidR="00D07D70" w:rsidRPr="00E17F7C" w:rsidRDefault="00676EE9" w:rsidP="00E17F7C">
            <w:pPr>
              <w:pStyle w:val="ListParagraph"/>
              <w:spacing w:line="276" w:lineRule="auto"/>
              <w:ind w:left="360"/>
              <w:rPr>
                <w:b/>
              </w:rPr>
            </w:pPr>
            <w:r>
              <w:rPr>
                <w:b/>
              </w:rPr>
              <w:t>Surgery Center/</w:t>
            </w:r>
            <w:r w:rsidRPr="00E17F7C">
              <w:rPr>
                <w:b/>
              </w:rPr>
              <w:t xml:space="preserve">Free-Standing </w:t>
            </w:r>
            <w:r w:rsidR="001D59DB" w:rsidRPr="00E17F7C">
              <w:rPr>
                <w:b/>
              </w:rPr>
              <w:t>Hospital Outpatient Department</w:t>
            </w:r>
            <w:r w:rsidR="00D07D70" w:rsidRPr="00E17F7C">
              <w:rPr>
                <w:b/>
              </w:rPr>
              <w:t xml:space="preserve"> 4</w:t>
            </w:r>
          </w:p>
        </w:tc>
        <w:tc>
          <w:tcPr>
            <w:tcW w:w="1980" w:type="dxa"/>
            <w:vAlign w:val="center"/>
          </w:tcPr>
          <w:p w14:paraId="564767CB" w14:textId="77777777" w:rsidR="00D07D70" w:rsidRDefault="00D07D70" w:rsidP="00A30D38">
            <w:pPr>
              <w:pStyle w:val="ListParagraph"/>
              <w:spacing w:line="276" w:lineRule="auto"/>
              <w:ind w:left="360"/>
            </w:pPr>
          </w:p>
        </w:tc>
        <w:tc>
          <w:tcPr>
            <w:tcW w:w="2065" w:type="dxa"/>
            <w:vAlign w:val="center"/>
          </w:tcPr>
          <w:p w14:paraId="0C65C199" w14:textId="77777777" w:rsidR="00D07D70" w:rsidRDefault="00D07D70" w:rsidP="00A30D38">
            <w:pPr>
              <w:pStyle w:val="ListParagraph"/>
              <w:spacing w:line="276" w:lineRule="auto"/>
              <w:ind w:left="360"/>
            </w:pPr>
          </w:p>
        </w:tc>
      </w:tr>
      <w:tr w:rsidR="00D07D70" w:rsidRPr="005B2F83" w14:paraId="53CFEBA2" w14:textId="77777777" w:rsidTr="004551E0">
        <w:trPr>
          <w:trHeight w:val="20"/>
        </w:trPr>
        <w:tc>
          <w:tcPr>
            <w:tcW w:w="5305" w:type="dxa"/>
            <w:tcMar>
              <w:top w:w="72" w:type="dxa"/>
              <w:left w:w="115" w:type="dxa"/>
              <w:bottom w:w="72" w:type="dxa"/>
              <w:right w:w="115" w:type="dxa"/>
            </w:tcMar>
            <w:vAlign w:val="center"/>
          </w:tcPr>
          <w:p w14:paraId="1B64D5D5" w14:textId="359FFC8E" w:rsidR="00D07D70" w:rsidRPr="00E17F7C" w:rsidRDefault="00676EE9" w:rsidP="00993E22">
            <w:pPr>
              <w:pStyle w:val="ListParagraph"/>
              <w:spacing w:line="276" w:lineRule="auto"/>
              <w:ind w:left="360"/>
              <w:rPr>
                <w:b/>
              </w:rPr>
            </w:pPr>
            <w:r>
              <w:rPr>
                <w:b/>
              </w:rPr>
              <w:t>Surgery Center/</w:t>
            </w:r>
            <w:r w:rsidRPr="00E17F7C">
              <w:rPr>
                <w:b/>
              </w:rPr>
              <w:t xml:space="preserve">Free-Standing </w:t>
            </w:r>
            <w:r w:rsidR="001D59DB" w:rsidRPr="00E17F7C">
              <w:rPr>
                <w:b/>
              </w:rPr>
              <w:t>Hospital Outpatient Department</w:t>
            </w:r>
            <w:r w:rsidR="00D07D70" w:rsidRPr="00E17F7C">
              <w:rPr>
                <w:b/>
              </w:rPr>
              <w:t xml:space="preserve"> 5</w:t>
            </w:r>
          </w:p>
        </w:tc>
        <w:tc>
          <w:tcPr>
            <w:tcW w:w="1980" w:type="dxa"/>
            <w:vAlign w:val="center"/>
          </w:tcPr>
          <w:p w14:paraId="066BFC90" w14:textId="77777777" w:rsidR="00D07D70" w:rsidRDefault="00D07D70" w:rsidP="00A30D38">
            <w:pPr>
              <w:pStyle w:val="ListParagraph"/>
              <w:spacing w:line="276" w:lineRule="auto"/>
              <w:ind w:left="360"/>
            </w:pPr>
          </w:p>
        </w:tc>
        <w:tc>
          <w:tcPr>
            <w:tcW w:w="2065" w:type="dxa"/>
            <w:vAlign w:val="center"/>
          </w:tcPr>
          <w:p w14:paraId="77C4CBEB" w14:textId="77777777" w:rsidR="00D07D70" w:rsidRDefault="00D07D70" w:rsidP="00A30D38">
            <w:pPr>
              <w:pStyle w:val="ListParagraph"/>
              <w:spacing w:line="276" w:lineRule="auto"/>
              <w:ind w:left="360"/>
            </w:pPr>
          </w:p>
        </w:tc>
      </w:tr>
    </w:tbl>
    <w:p w14:paraId="7D6E8A15" w14:textId="77777777" w:rsidR="00914F12" w:rsidRDefault="00914F12" w:rsidP="00914F12">
      <w:bookmarkStart w:id="730" w:name="_Toc534296012"/>
    </w:p>
    <w:p w14:paraId="518FACC1" w14:textId="77777777" w:rsidR="00F83C07" w:rsidRDefault="00F83C07" w:rsidP="00914F12"/>
    <w:p w14:paraId="5D4841F3" w14:textId="77777777" w:rsidR="00F83C07" w:rsidRDefault="00F83C07" w:rsidP="00914F12"/>
    <w:p w14:paraId="66308E17" w14:textId="77777777" w:rsidR="00F83C07" w:rsidRDefault="00F83C07" w:rsidP="00914F12"/>
    <w:p w14:paraId="0F5A76ED" w14:textId="77777777" w:rsidR="00F83C07" w:rsidRDefault="00F83C07" w:rsidP="00914F12"/>
    <w:p w14:paraId="72AEBEBA" w14:textId="77777777" w:rsidR="00F83C07" w:rsidRDefault="00F83C07" w:rsidP="00914F12"/>
    <w:p w14:paraId="64FE75D0" w14:textId="77777777" w:rsidR="00F83C07" w:rsidRDefault="00F83C07" w:rsidP="00914F12"/>
    <w:p w14:paraId="13AAAE54" w14:textId="77777777" w:rsidR="00F83C07" w:rsidRDefault="00F83C07" w:rsidP="00914F12"/>
    <w:p w14:paraId="5A6DB287" w14:textId="77777777" w:rsidR="00F83C07" w:rsidRDefault="00F83C07" w:rsidP="00914F12"/>
    <w:p w14:paraId="1E3AE5BC" w14:textId="77777777" w:rsidR="00F83C07" w:rsidRDefault="00F83C07" w:rsidP="00914F12"/>
    <w:p w14:paraId="047DD9AE" w14:textId="77777777" w:rsidR="00F83C07" w:rsidRDefault="00F83C07" w:rsidP="00914F12"/>
    <w:p w14:paraId="1FAF2921" w14:textId="240C292E" w:rsidR="006E467C" w:rsidRPr="00914F12" w:rsidRDefault="006E467C" w:rsidP="00AB5B80">
      <w:pPr>
        <w:pStyle w:val="Heading3"/>
        <w:rPr>
          <w:sz w:val="20"/>
          <w:szCs w:val="20"/>
        </w:rPr>
      </w:pPr>
      <w:bookmarkStart w:id="731" w:name="_Toc225877841"/>
      <w:r w:rsidRPr="006E467C">
        <w:t>General Surgery</w:t>
      </w:r>
      <w:bookmarkEnd w:id="730"/>
      <w:bookmarkEnd w:id="731"/>
      <w:r w:rsidR="006606DD">
        <w:br/>
      </w:r>
    </w:p>
    <w:tbl>
      <w:tblPr>
        <w:tblStyle w:val="TableGrid110"/>
        <w:tblW w:w="0" w:type="auto"/>
        <w:tblLook w:val="04A0" w:firstRow="1" w:lastRow="0" w:firstColumn="1" w:lastColumn="0" w:noHBand="0" w:noVBand="1"/>
      </w:tblPr>
      <w:tblGrid>
        <w:gridCol w:w="5845"/>
        <w:gridCol w:w="3505"/>
      </w:tblGrid>
      <w:tr w:rsidR="006A0D20" w:rsidRPr="006A0D20" w14:paraId="2BA46C3A" w14:textId="77777777" w:rsidTr="004B6D61">
        <w:trPr>
          <w:trHeight w:val="20"/>
        </w:trPr>
        <w:tc>
          <w:tcPr>
            <w:tcW w:w="9350" w:type="dxa"/>
            <w:gridSpan w:val="2"/>
            <w:tcMar>
              <w:top w:w="72" w:type="dxa"/>
              <w:left w:w="115" w:type="dxa"/>
              <w:bottom w:w="72" w:type="dxa"/>
              <w:right w:w="115" w:type="dxa"/>
            </w:tcMar>
            <w:vAlign w:val="center"/>
          </w:tcPr>
          <w:p w14:paraId="53ACEA46" w14:textId="6E35A73A" w:rsidR="006A0D20" w:rsidRPr="006A0D20" w:rsidRDefault="006A0D20" w:rsidP="00AD309C">
            <w:pPr>
              <w:numPr>
                <w:ilvl w:val="0"/>
                <w:numId w:val="91"/>
              </w:numPr>
              <w:spacing w:after="120" w:line="264" w:lineRule="auto"/>
              <w:contextualSpacing/>
            </w:pPr>
            <w:bookmarkStart w:id="732" w:name="_Toc534296013"/>
            <w:r w:rsidRPr="006A0D20">
              <w:t xml:space="preserve">Total adult volume for each of the following applicable procedures performed at your </w:t>
            </w:r>
            <w:r w:rsidR="00045B2E">
              <w:t>hospital outpatient department(s)</w:t>
            </w:r>
            <w:r w:rsidRPr="006A0D20">
              <w:t xml:space="preserve"> during the reporting period.</w:t>
            </w:r>
            <w:r w:rsidRPr="006A0D20">
              <w:br/>
            </w:r>
            <w:r w:rsidRPr="006A0D20">
              <w:br/>
            </w:r>
            <w:r w:rsidRPr="006A0D20">
              <w:rPr>
                <w:i/>
              </w:rPr>
              <w:t xml:space="preserve">You cannot leave any blank. If you did not perform one or more of the procedures listed below enter 0 (zero). If you had zero volume for </w:t>
            </w:r>
            <w:r w:rsidRPr="006A0D20">
              <w:rPr>
                <w:b/>
                <w:i/>
                <w:u w:val="single"/>
              </w:rPr>
              <w:t>all</w:t>
            </w:r>
            <w:r w:rsidRPr="006A0D20">
              <w:rPr>
                <w:i/>
              </w:rPr>
              <w:t xml:space="preserve"> procedures, go back to question #</w:t>
            </w:r>
            <w:r w:rsidR="00B92EC0">
              <w:rPr>
                <w:i/>
              </w:rPr>
              <w:t>6</w:t>
            </w:r>
            <w:r w:rsidRPr="006A0D20">
              <w:rPr>
                <w:i/>
              </w:rPr>
              <w:t xml:space="preserve"> and update your response from “yes” to “no.”</w:t>
            </w:r>
          </w:p>
        </w:tc>
      </w:tr>
      <w:tr w:rsidR="001A4A1F" w:rsidRPr="006A0D20" w14:paraId="3180CB63" w14:textId="77777777" w:rsidTr="00C06753">
        <w:trPr>
          <w:trHeight w:val="20"/>
        </w:trPr>
        <w:tc>
          <w:tcPr>
            <w:tcW w:w="5845" w:type="dxa"/>
            <w:tcMar>
              <w:top w:w="72" w:type="dxa"/>
              <w:left w:w="115" w:type="dxa"/>
              <w:bottom w:w="72" w:type="dxa"/>
              <w:right w:w="115" w:type="dxa"/>
            </w:tcMar>
            <w:vAlign w:val="center"/>
          </w:tcPr>
          <w:p w14:paraId="5DD8BD04" w14:textId="77777777" w:rsidR="001A4A1F" w:rsidRPr="006A0D20" w:rsidRDefault="001A4A1F" w:rsidP="00A91579">
            <w:pPr>
              <w:spacing w:after="120" w:line="276" w:lineRule="auto"/>
              <w:rPr>
                <w:rFonts w:eastAsia="Yu Gothic Light"/>
              </w:rPr>
            </w:pPr>
          </w:p>
        </w:tc>
        <w:tc>
          <w:tcPr>
            <w:tcW w:w="3505" w:type="dxa"/>
            <w:tcMar>
              <w:top w:w="72" w:type="dxa"/>
              <w:left w:w="115" w:type="dxa"/>
              <w:bottom w:w="72" w:type="dxa"/>
              <w:right w:w="115" w:type="dxa"/>
            </w:tcMar>
            <w:vAlign w:val="center"/>
          </w:tcPr>
          <w:p w14:paraId="286B2540" w14:textId="1E834670" w:rsidR="001A4A1F" w:rsidRPr="006A0D20" w:rsidRDefault="001A4A1F" w:rsidP="004F63C1">
            <w:pPr>
              <w:spacing w:after="120" w:line="264" w:lineRule="auto"/>
              <w:contextualSpacing/>
              <w:jc w:val="center"/>
              <w:rPr>
                <w:i/>
              </w:rPr>
            </w:pPr>
            <w:r w:rsidRPr="006A0D20">
              <w:rPr>
                <w:i/>
              </w:rPr>
              <w:t>Adult Volume</w:t>
            </w:r>
          </w:p>
        </w:tc>
      </w:tr>
      <w:tr w:rsidR="001A4A1F" w:rsidRPr="006A0D20" w14:paraId="03853BC0" w14:textId="77777777" w:rsidTr="00C06753">
        <w:trPr>
          <w:trHeight w:val="20"/>
        </w:trPr>
        <w:tc>
          <w:tcPr>
            <w:tcW w:w="5845" w:type="dxa"/>
            <w:tcMar>
              <w:top w:w="72" w:type="dxa"/>
              <w:left w:w="115" w:type="dxa"/>
              <w:bottom w:w="72" w:type="dxa"/>
              <w:right w:w="115" w:type="dxa"/>
            </w:tcMar>
            <w:vAlign w:val="center"/>
          </w:tcPr>
          <w:p w14:paraId="35076537" w14:textId="679554C3" w:rsidR="001A4A1F" w:rsidRPr="006A0D20" w:rsidRDefault="001A4A1F" w:rsidP="001A4A1F">
            <w:pPr>
              <w:spacing w:after="120" w:line="276" w:lineRule="auto"/>
              <w:rPr>
                <w:rFonts w:eastAsia="Yu Gothic Light"/>
                <w:b/>
              </w:rPr>
            </w:pPr>
            <w:r w:rsidRPr="006A0D20">
              <w:rPr>
                <w:rFonts w:eastAsia="Yu Gothic Light"/>
                <w:b/>
              </w:rPr>
              <w:t>Cholecystectomies and common duct explorations</w:t>
            </w:r>
          </w:p>
        </w:tc>
        <w:tc>
          <w:tcPr>
            <w:tcW w:w="3505" w:type="dxa"/>
            <w:tcMar>
              <w:top w:w="72" w:type="dxa"/>
              <w:left w:w="115" w:type="dxa"/>
              <w:bottom w:w="72" w:type="dxa"/>
              <w:right w:w="115" w:type="dxa"/>
            </w:tcMar>
            <w:vAlign w:val="center"/>
          </w:tcPr>
          <w:p w14:paraId="03F5B09D" w14:textId="3D92B424" w:rsidR="001A4A1F" w:rsidRPr="006A0D20" w:rsidRDefault="001A4A1F" w:rsidP="004F63C1">
            <w:pPr>
              <w:jc w:val="center"/>
            </w:pPr>
            <w:r w:rsidRPr="006A0D20">
              <w:t>_____</w:t>
            </w:r>
          </w:p>
        </w:tc>
      </w:tr>
      <w:tr w:rsidR="001A4A1F" w:rsidRPr="006A0D20" w14:paraId="08AA7E51" w14:textId="77777777" w:rsidTr="00C06753">
        <w:trPr>
          <w:trHeight w:val="20"/>
        </w:trPr>
        <w:tc>
          <w:tcPr>
            <w:tcW w:w="5845" w:type="dxa"/>
            <w:tcMar>
              <w:top w:w="72" w:type="dxa"/>
              <w:left w:w="115" w:type="dxa"/>
              <w:bottom w:w="72" w:type="dxa"/>
              <w:right w:w="115" w:type="dxa"/>
            </w:tcMar>
            <w:vAlign w:val="center"/>
          </w:tcPr>
          <w:p w14:paraId="1EC6A0C4" w14:textId="77777777" w:rsidR="001A4A1F" w:rsidRPr="006A0D20" w:rsidRDefault="001A4A1F" w:rsidP="001A4A1F">
            <w:pPr>
              <w:spacing w:after="120" w:line="276" w:lineRule="auto"/>
              <w:rPr>
                <w:rFonts w:eastAsia="Yu Gothic Light"/>
                <w:b/>
              </w:rPr>
            </w:pPr>
            <w:r w:rsidRPr="006A0D20">
              <w:rPr>
                <w:rFonts w:eastAsia="Yu Gothic Light"/>
                <w:b/>
              </w:rPr>
              <w:t>Hemorrhoid procedures</w:t>
            </w:r>
          </w:p>
        </w:tc>
        <w:tc>
          <w:tcPr>
            <w:tcW w:w="3505" w:type="dxa"/>
            <w:tcMar>
              <w:top w:w="72" w:type="dxa"/>
              <w:left w:w="115" w:type="dxa"/>
              <w:bottom w:w="72" w:type="dxa"/>
              <w:right w:w="115" w:type="dxa"/>
            </w:tcMar>
            <w:vAlign w:val="center"/>
          </w:tcPr>
          <w:p w14:paraId="68907377" w14:textId="21D75C87" w:rsidR="001A4A1F" w:rsidRPr="006A0D20" w:rsidRDefault="001A4A1F" w:rsidP="001A4A1F">
            <w:pPr>
              <w:spacing w:after="120" w:line="264" w:lineRule="auto"/>
              <w:jc w:val="center"/>
            </w:pPr>
            <w:r w:rsidRPr="006A0D20">
              <w:t>_____</w:t>
            </w:r>
          </w:p>
        </w:tc>
      </w:tr>
      <w:tr w:rsidR="001A4A1F" w:rsidRPr="006A0D20" w14:paraId="1D5C7BFC" w14:textId="77777777" w:rsidTr="00C06753">
        <w:trPr>
          <w:trHeight w:val="20"/>
        </w:trPr>
        <w:tc>
          <w:tcPr>
            <w:tcW w:w="5845" w:type="dxa"/>
            <w:tcMar>
              <w:top w:w="72" w:type="dxa"/>
              <w:left w:w="115" w:type="dxa"/>
              <w:bottom w:w="72" w:type="dxa"/>
              <w:right w:w="115" w:type="dxa"/>
            </w:tcMar>
            <w:vAlign w:val="center"/>
          </w:tcPr>
          <w:p w14:paraId="0FBC93FD" w14:textId="77777777" w:rsidR="001A4A1F" w:rsidRPr="006A0D20" w:rsidRDefault="001A4A1F" w:rsidP="001A4A1F">
            <w:pPr>
              <w:spacing w:after="120" w:line="276" w:lineRule="auto"/>
              <w:rPr>
                <w:rFonts w:eastAsia="Yu Gothic Light"/>
                <w:b/>
              </w:rPr>
            </w:pPr>
            <w:r w:rsidRPr="006A0D20">
              <w:rPr>
                <w:rFonts w:eastAsia="Yu Gothic Light"/>
                <w:b/>
              </w:rPr>
              <w:t>Inguinal and femoral hernia repairs</w:t>
            </w:r>
          </w:p>
        </w:tc>
        <w:tc>
          <w:tcPr>
            <w:tcW w:w="3505" w:type="dxa"/>
            <w:tcMar>
              <w:top w:w="72" w:type="dxa"/>
              <w:left w:w="115" w:type="dxa"/>
              <w:bottom w:w="72" w:type="dxa"/>
              <w:right w:w="115" w:type="dxa"/>
            </w:tcMar>
            <w:vAlign w:val="center"/>
          </w:tcPr>
          <w:p w14:paraId="41601042" w14:textId="51C80ABD" w:rsidR="001A4A1F" w:rsidRPr="006A0D20" w:rsidRDefault="001A4A1F" w:rsidP="001A4A1F">
            <w:pPr>
              <w:spacing w:after="120" w:line="264" w:lineRule="auto"/>
              <w:jc w:val="center"/>
            </w:pPr>
            <w:r w:rsidRPr="006A0D20">
              <w:t>_____</w:t>
            </w:r>
          </w:p>
        </w:tc>
      </w:tr>
      <w:tr w:rsidR="001A4A1F" w:rsidRPr="006A0D20" w14:paraId="670B0129" w14:textId="77777777" w:rsidTr="00C06753">
        <w:trPr>
          <w:trHeight w:val="20"/>
        </w:trPr>
        <w:tc>
          <w:tcPr>
            <w:tcW w:w="5845" w:type="dxa"/>
            <w:tcMar>
              <w:top w:w="72" w:type="dxa"/>
              <w:left w:w="115" w:type="dxa"/>
              <w:bottom w:w="72" w:type="dxa"/>
              <w:right w:w="115" w:type="dxa"/>
            </w:tcMar>
            <w:vAlign w:val="center"/>
          </w:tcPr>
          <w:p w14:paraId="000D3B62" w14:textId="77777777" w:rsidR="001A4A1F" w:rsidRPr="006A0D20" w:rsidRDefault="001A4A1F" w:rsidP="001A4A1F">
            <w:pPr>
              <w:spacing w:after="120" w:line="276" w:lineRule="auto"/>
              <w:rPr>
                <w:rFonts w:eastAsia="Yu Gothic Light"/>
                <w:b/>
              </w:rPr>
            </w:pPr>
            <w:r w:rsidRPr="006A0D20">
              <w:rPr>
                <w:rFonts w:eastAsia="Yu Gothic Light"/>
                <w:b/>
              </w:rPr>
              <w:t>Other hernia repairs</w:t>
            </w:r>
          </w:p>
        </w:tc>
        <w:tc>
          <w:tcPr>
            <w:tcW w:w="3505" w:type="dxa"/>
            <w:tcMar>
              <w:top w:w="72" w:type="dxa"/>
              <w:left w:w="115" w:type="dxa"/>
              <w:bottom w:w="72" w:type="dxa"/>
              <w:right w:w="115" w:type="dxa"/>
            </w:tcMar>
            <w:vAlign w:val="center"/>
          </w:tcPr>
          <w:p w14:paraId="5617B86D" w14:textId="7E58CF10" w:rsidR="001A4A1F" w:rsidRPr="006A0D20" w:rsidRDefault="001A4A1F" w:rsidP="001A4A1F">
            <w:pPr>
              <w:spacing w:after="120" w:line="264" w:lineRule="auto"/>
              <w:jc w:val="center"/>
            </w:pPr>
            <w:r w:rsidRPr="006A0D20">
              <w:t>_____</w:t>
            </w:r>
          </w:p>
        </w:tc>
      </w:tr>
      <w:tr w:rsidR="001A4A1F" w:rsidRPr="006A0D20" w14:paraId="4A61E7EE" w14:textId="77777777" w:rsidTr="00C06753">
        <w:trPr>
          <w:trHeight w:val="20"/>
        </w:trPr>
        <w:tc>
          <w:tcPr>
            <w:tcW w:w="5845" w:type="dxa"/>
            <w:tcMar>
              <w:top w:w="72" w:type="dxa"/>
              <w:left w:w="115" w:type="dxa"/>
              <w:bottom w:w="72" w:type="dxa"/>
              <w:right w:w="115" w:type="dxa"/>
            </w:tcMar>
            <w:vAlign w:val="center"/>
          </w:tcPr>
          <w:p w14:paraId="2C38682C" w14:textId="77777777" w:rsidR="001A4A1F" w:rsidRPr="006A0D20" w:rsidRDefault="001A4A1F" w:rsidP="001A4A1F">
            <w:pPr>
              <w:spacing w:after="120" w:line="276" w:lineRule="auto"/>
              <w:rPr>
                <w:rFonts w:eastAsia="Yu Gothic Light"/>
                <w:b/>
              </w:rPr>
            </w:pPr>
            <w:r w:rsidRPr="006A0D20">
              <w:rPr>
                <w:rFonts w:eastAsia="Yu Gothic Light"/>
                <w:b/>
              </w:rPr>
              <w:t>Laparoscopies</w:t>
            </w:r>
          </w:p>
        </w:tc>
        <w:tc>
          <w:tcPr>
            <w:tcW w:w="3505" w:type="dxa"/>
            <w:tcMar>
              <w:top w:w="72" w:type="dxa"/>
              <w:left w:w="115" w:type="dxa"/>
              <w:bottom w:w="72" w:type="dxa"/>
              <w:right w:w="115" w:type="dxa"/>
            </w:tcMar>
            <w:vAlign w:val="center"/>
          </w:tcPr>
          <w:p w14:paraId="48BB0955" w14:textId="49E12226" w:rsidR="001A4A1F" w:rsidRPr="006A0D20" w:rsidRDefault="001A4A1F" w:rsidP="004F63C1">
            <w:pPr>
              <w:spacing w:after="120" w:line="264" w:lineRule="auto"/>
              <w:jc w:val="center"/>
            </w:pPr>
            <w:r w:rsidRPr="006A0D20">
              <w:t>_____</w:t>
            </w:r>
          </w:p>
        </w:tc>
      </w:tr>
      <w:tr w:rsidR="001A4A1F" w:rsidRPr="006A0D20" w14:paraId="0508D911" w14:textId="77777777" w:rsidTr="00C06753">
        <w:trPr>
          <w:trHeight w:val="20"/>
        </w:trPr>
        <w:tc>
          <w:tcPr>
            <w:tcW w:w="5845" w:type="dxa"/>
            <w:tcMar>
              <w:top w:w="72" w:type="dxa"/>
              <w:left w:w="115" w:type="dxa"/>
              <w:bottom w:w="72" w:type="dxa"/>
              <w:right w:w="115" w:type="dxa"/>
            </w:tcMar>
            <w:vAlign w:val="center"/>
          </w:tcPr>
          <w:p w14:paraId="290B7E70" w14:textId="77777777" w:rsidR="001A4A1F" w:rsidRPr="006A0D20" w:rsidRDefault="001A4A1F" w:rsidP="001A4A1F">
            <w:pPr>
              <w:spacing w:after="120" w:line="276" w:lineRule="auto"/>
              <w:rPr>
                <w:rFonts w:eastAsia="Yu Gothic Light"/>
                <w:b/>
              </w:rPr>
            </w:pPr>
            <w:r w:rsidRPr="006A0D20">
              <w:rPr>
                <w:rFonts w:eastAsia="Yu Gothic Light"/>
                <w:b/>
              </w:rPr>
              <w:t>Lumpectomies or quadrantectomy of breast procedures</w:t>
            </w:r>
          </w:p>
        </w:tc>
        <w:tc>
          <w:tcPr>
            <w:tcW w:w="3505" w:type="dxa"/>
            <w:tcMar>
              <w:top w:w="72" w:type="dxa"/>
              <w:left w:w="115" w:type="dxa"/>
              <w:bottom w:w="72" w:type="dxa"/>
              <w:right w:w="115" w:type="dxa"/>
            </w:tcMar>
            <w:vAlign w:val="center"/>
          </w:tcPr>
          <w:p w14:paraId="0FFD5740" w14:textId="3D134C54" w:rsidR="001A4A1F" w:rsidRPr="006A0D20" w:rsidRDefault="001A4A1F" w:rsidP="004F63C1">
            <w:pPr>
              <w:spacing w:after="120" w:line="264" w:lineRule="auto"/>
              <w:jc w:val="center"/>
            </w:pPr>
            <w:r w:rsidRPr="006A0D20">
              <w:t>_____</w:t>
            </w:r>
          </w:p>
        </w:tc>
      </w:tr>
      <w:tr w:rsidR="001A4A1F" w:rsidRPr="006A0D20" w14:paraId="75178430" w14:textId="77777777" w:rsidTr="00C06753">
        <w:trPr>
          <w:trHeight w:val="20"/>
        </w:trPr>
        <w:tc>
          <w:tcPr>
            <w:tcW w:w="5845" w:type="dxa"/>
            <w:tcMar>
              <w:top w:w="72" w:type="dxa"/>
              <w:left w:w="115" w:type="dxa"/>
              <w:bottom w:w="72" w:type="dxa"/>
              <w:right w:w="115" w:type="dxa"/>
            </w:tcMar>
            <w:vAlign w:val="center"/>
          </w:tcPr>
          <w:p w14:paraId="3F7C1819" w14:textId="77777777" w:rsidR="001A4A1F" w:rsidRPr="006A0D20" w:rsidRDefault="001A4A1F" w:rsidP="001A4A1F">
            <w:pPr>
              <w:spacing w:after="120" w:line="276" w:lineRule="auto"/>
              <w:rPr>
                <w:rFonts w:eastAsia="Yu Gothic Light"/>
                <w:b/>
              </w:rPr>
            </w:pPr>
            <w:r w:rsidRPr="006A0D20">
              <w:rPr>
                <w:rFonts w:eastAsia="Yu Gothic Light"/>
                <w:b/>
              </w:rPr>
              <w:t>Mastectomies</w:t>
            </w:r>
          </w:p>
        </w:tc>
        <w:tc>
          <w:tcPr>
            <w:tcW w:w="3505" w:type="dxa"/>
            <w:tcMar>
              <w:top w:w="72" w:type="dxa"/>
              <w:left w:w="115" w:type="dxa"/>
              <w:bottom w:w="72" w:type="dxa"/>
              <w:right w:w="115" w:type="dxa"/>
            </w:tcMar>
            <w:vAlign w:val="center"/>
          </w:tcPr>
          <w:p w14:paraId="45C015F7" w14:textId="26582202" w:rsidR="001A4A1F" w:rsidRPr="006A0D20" w:rsidRDefault="001A4A1F" w:rsidP="004F63C1">
            <w:pPr>
              <w:spacing w:after="120" w:line="264" w:lineRule="auto"/>
              <w:jc w:val="center"/>
            </w:pPr>
            <w:r w:rsidRPr="006A0D20">
              <w:t>_____</w:t>
            </w:r>
          </w:p>
        </w:tc>
      </w:tr>
    </w:tbl>
    <w:p w14:paraId="578D445A" w14:textId="77777777" w:rsidR="006A0D20" w:rsidRPr="009D100B" w:rsidRDefault="006A0D20" w:rsidP="00753419"/>
    <w:tbl>
      <w:tblPr>
        <w:tblStyle w:val="TableGrid"/>
        <w:tblW w:w="0" w:type="auto"/>
        <w:tblLayout w:type="fixed"/>
        <w:tblCellMar>
          <w:left w:w="115" w:type="dxa"/>
          <w:right w:w="115" w:type="dxa"/>
        </w:tblCellMar>
        <w:tblLook w:val="04A0" w:firstRow="1" w:lastRow="0" w:firstColumn="1" w:lastColumn="0" w:noHBand="0" w:noVBand="1"/>
      </w:tblPr>
      <w:tblGrid>
        <w:gridCol w:w="6205"/>
        <w:gridCol w:w="3145"/>
      </w:tblGrid>
      <w:tr w:rsidR="00637BD3" w:rsidRPr="005B2F83" w14:paraId="6A6E77DA" w14:textId="77777777" w:rsidTr="00914F12">
        <w:trPr>
          <w:trHeight w:val="20"/>
        </w:trPr>
        <w:tc>
          <w:tcPr>
            <w:tcW w:w="6205" w:type="dxa"/>
            <w:tcMar>
              <w:top w:w="72" w:type="dxa"/>
              <w:left w:w="115" w:type="dxa"/>
              <w:bottom w:w="72" w:type="dxa"/>
              <w:right w:w="115" w:type="dxa"/>
            </w:tcMar>
            <w:vAlign w:val="center"/>
          </w:tcPr>
          <w:p w14:paraId="61842774" w14:textId="77777777" w:rsidR="00637BD3" w:rsidRDefault="00637BD3" w:rsidP="00AD309C">
            <w:pPr>
              <w:pStyle w:val="ListParagraph"/>
              <w:numPr>
                <w:ilvl w:val="0"/>
                <w:numId w:val="91"/>
              </w:numPr>
            </w:pPr>
            <w:r>
              <w:t xml:space="preserve">Where were these </w:t>
            </w:r>
            <w:r>
              <w:rPr>
                <w:b/>
              </w:rPr>
              <w:t>general surgery</w:t>
            </w:r>
            <w:r w:rsidRPr="005D2045">
              <w:rPr>
                <w:b/>
              </w:rPr>
              <w:t xml:space="preserve"> </w:t>
            </w:r>
            <w:r>
              <w:t>procedures performed?</w:t>
            </w:r>
          </w:p>
          <w:p w14:paraId="25EA8986" w14:textId="77777777" w:rsidR="00637BD3" w:rsidRDefault="00637BD3" w:rsidP="00CA75AB">
            <w:pPr>
              <w:pStyle w:val="ListParagraph"/>
              <w:ind w:left="360"/>
            </w:pPr>
          </w:p>
          <w:p w14:paraId="31AAA13D" w14:textId="77777777" w:rsidR="00637BD3" w:rsidRPr="00131F2C" w:rsidRDefault="00637BD3" w:rsidP="00CA75AB">
            <w:pPr>
              <w:pStyle w:val="ListParagraph"/>
              <w:ind w:left="360"/>
              <w:rPr>
                <w:i/>
              </w:rPr>
            </w:pPr>
            <w:r>
              <w:rPr>
                <w:i/>
              </w:rPr>
              <w:t>Select all that apply.</w:t>
            </w:r>
          </w:p>
          <w:p w14:paraId="79F8668A" w14:textId="77777777" w:rsidR="00637BD3" w:rsidRPr="005D2045" w:rsidRDefault="00637BD3" w:rsidP="00CA75AB">
            <w:pPr>
              <w:pStyle w:val="ListParagraph"/>
              <w:ind w:left="360"/>
            </w:pPr>
          </w:p>
          <w:p w14:paraId="4982C3FA" w14:textId="5C6C9A2C" w:rsidR="00637BD3" w:rsidRPr="005D2045" w:rsidRDefault="00EF5178" w:rsidP="00CA75AB">
            <w:pPr>
              <w:pStyle w:val="ListParagraph"/>
              <w:ind w:left="360"/>
            </w:pPr>
            <w:r w:rsidRPr="005B79B4">
              <w:rPr>
                <w:i/>
              </w:rPr>
              <w:t>If only “hospital” is selected,</w:t>
            </w:r>
            <w:r>
              <w:rPr>
                <w:i/>
              </w:rPr>
              <w:t xml:space="preserve"> </w:t>
            </w:r>
            <w:r w:rsidR="00637BD3" w:rsidRPr="00B674A0">
              <w:rPr>
                <w:i/>
              </w:rPr>
              <w:t xml:space="preserve">skip </w:t>
            </w:r>
            <w:r w:rsidR="00637BD3">
              <w:rPr>
                <w:i/>
              </w:rPr>
              <w:t>question #</w:t>
            </w:r>
            <w:r w:rsidR="005E5021">
              <w:rPr>
                <w:i/>
              </w:rPr>
              <w:t>25</w:t>
            </w:r>
            <w:r w:rsidR="00637BD3">
              <w:rPr>
                <w:i/>
              </w:rPr>
              <w:t xml:space="preserve"> and continue to question #</w:t>
            </w:r>
            <w:r w:rsidR="005E5021">
              <w:rPr>
                <w:i/>
              </w:rPr>
              <w:t>26.</w:t>
            </w:r>
          </w:p>
        </w:tc>
        <w:tc>
          <w:tcPr>
            <w:tcW w:w="3145" w:type="dxa"/>
            <w:vAlign w:val="center"/>
          </w:tcPr>
          <w:p w14:paraId="38A533CC" w14:textId="77777777" w:rsidR="00637BD3" w:rsidRPr="00753419" w:rsidRDefault="00637BD3" w:rsidP="00AD309C">
            <w:pPr>
              <w:pStyle w:val="ListParagraph"/>
              <w:numPr>
                <w:ilvl w:val="0"/>
                <w:numId w:val="94"/>
              </w:numPr>
              <w:spacing w:line="276" w:lineRule="auto"/>
              <w:rPr>
                <w:iCs/>
              </w:rPr>
            </w:pPr>
            <w:r w:rsidRPr="00753419">
              <w:rPr>
                <w:iCs/>
              </w:rPr>
              <w:t>Hospital</w:t>
            </w:r>
          </w:p>
          <w:p w14:paraId="34C0FB1E" w14:textId="2C713834" w:rsidR="00637BD3" w:rsidRPr="00551F82" w:rsidRDefault="00FC36EC" w:rsidP="00AD309C">
            <w:pPr>
              <w:pStyle w:val="ListParagraph"/>
              <w:numPr>
                <w:ilvl w:val="0"/>
                <w:numId w:val="94"/>
              </w:numPr>
              <w:spacing w:line="276" w:lineRule="auto"/>
              <w:rPr>
                <w:i/>
              </w:rPr>
            </w:pPr>
            <w:r w:rsidRPr="00753419">
              <w:rPr>
                <w:iCs/>
              </w:rPr>
              <w:t>Surgery center or free-standing</w:t>
            </w:r>
            <w:r w:rsidR="001D59DB" w:rsidRPr="00753419">
              <w:rPr>
                <w:iCs/>
              </w:rPr>
              <w:t xml:space="preserve"> hospital outpatient department</w:t>
            </w:r>
          </w:p>
        </w:tc>
      </w:tr>
    </w:tbl>
    <w:p w14:paraId="2AF8CAC0" w14:textId="77777777" w:rsidR="00637BD3" w:rsidRDefault="00637BD3" w:rsidP="00637BD3"/>
    <w:tbl>
      <w:tblPr>
        <w:tblStyle w:val="TableGrid"/>
        <w:tblW w:w="0" w:type="auto"/>
        <w:tblLayout w:type="fixed"/>
        <w:tblCellMar>
          <w:left w:w="115" w:type="dxa"/>
          <w:right w:w="115" w:type="dxa"/>
        </w:tblCellMar>
        <w:tblLook w:val="04A0" w:firstRow="1" w:lastRow="0" w:firstColumn="1" w:lastColumn="0" w:noHBand="0" w:noVBand="1"/>
      </w:tblPr>
      <w:tblGrid>
        <w:gridCol w:w="5215"/>
        <w:gridCol w:w="1890"/>
        <w:gridCol w:w="2245"/>
      </w:tblGrid>
      <w:tr w:rsidR="00637BD3" w:rsidRPr="005B2F83" w14:paraId="45F61F4E" w14:textId="77777777" w:rsidTr="004551E0">
        <w:trPr>
          <w:trHeight w:val="20"/>
        </w:trPr>
        <w:tc>
          <w:tcPr>
            <w:tcW w:w="9350" w:type="dxa"/>
            <w:gridSpan w:val="3"/>
            <w:tcMar>
              <w:top w:w="72" w:type="dxa"/>
              <w:left w:w="115" w:type="dxa"/>
              <w:bottom w:w="72" w:type="dxa"/>
              <w:right w:w="115" w:type="dxa"/>
            </w:tcMar>
            <w:vAlign w:val="center"/>
          </w:tcPr>
          <w:p w14:paraId="2586F873" w14:textId="245A9D2D" w:rsidR="00637BD3" w:rsidRDefault="00637BD3" w:rsidP="00AD309C">
            <w:pPr>
              <w:pStyle w:val="ListParagraph"/>
              <w:numPr>
                <w:ilvl w:val="0"/>
                <w:numId w:val="91"/>
              </w:numPr>
              <w:spacing w:line="276" w:lineRule="auto"/>
              <w:rPr>
                <w:i/>
              </w:rPr>
            </w:pPr>
            <w:r>
              <w:t xml:space="preserve">Please provide the name and city location of each </w:t>
            </w:r>
            <w:r w:rsidR="00FC36EC">
              <w:t xml:space="preserve">surgery center or </w:t>
            </w:r>
            <w:r w:rsidR="001D59DB">
              <w:t>free</w:t>
            </w:r>
            <w:r w:rsidR="00FC36EC">
              <w:t>-</w:t>
            </w:r>
            <w:r w:rsidR="001D59DB">
              <w:t>standing hospital outpatient department</w:t>
            </w:r>
            <w:r>
              <w:t xml:space="preserve"> performing </w:t>
            </w:r>
            <w:r w:rsidR="00D905EF">
              <w:rPr>
                <w:b/>
              </w:rPr>
              <w:t>general surgery</w:t>
            </w:r>
            <w:r>
              <w:t xml:space="preserve"> procedures:</w:t>
            </w:r>
          </w:p>
        </w:tc>
      </w:tr>
      <w:tr w:rsidR="00404D0D" w:rsidRPr="005B2F83" w14:paraId="2B696F37" w14:textId="77777777" w:rsidTr="004551E0">
        <w:trPr>
          <w:trHeight w:val="20"/>
        </w:trPr>
        <w:tc>
          <w:tcPr>
            <w:tcW w:w="5215" w:type="dxa"/>
            <w:tcMar>
              <w:top w:w="72" w:type="dxa"/>
              <w:left w:w="115" w:type="dxa"/>
              <w:bottom w:w="72" w:type="dxa"/>
              <w:right w:w="115" w:type="dxa"/>
            </w:tcMar>
            <w:vAlign w:val="center"/>
          </w:tcPr>
          <w:p w14:paraId="0E1BD0C6" w14:textId="77777777" w:rsidR="00404D0D" w:rsidRDefault="00404D0D" w:rsidP="00404D0D">
            <w:pPr>
              <w:pStyle w:val="ListParagraph"/>
              <w:spacing w:line="276" w:lineRule="auto"/>
              <w:ind w:left="360"/>
            </w:pPr>
          </w:p>
        </w:tc>
        <w:tc>
          <w:tcPr>
            <w:tcW w:w="1890" w:type="dxa"/>
            <w:vAlign w:val="center"/>
          </w:tcPr>
          <w:p w14:paraId="5C2502CF" w14:textId="2D4D4480" w:rsidR="00404D0D" w:rsidRPr="005C60B1" w:rsidRDefault="00404D0D" w:rsidP="004F63C1">
            <w:pPr>
              <w:spacing w:line="276" w:lineRule="auto"/>
              <w:jc w:val="center"/>
              <w:rPr>
                <w:i/>
              </w:rPr>
            </w:pPr>
            <w:r w:rsidRPr="005C60B1">
              <w:rPr>
                <w:i/>
              </w:rPr>
              <w:t>Name</w:t>
            </w:r>
          </w:p>
        </w:tc>
        <w:tc>
          <w:tcPr>
            <w:tcW w:w="2245" w:type="dxa"/>
            <w:vAlign w:val="center"/>
          </w:tcPr>
          <w:p w14:paraId="12E9B8F6" w14:textId="37B2A9C6" w:rsidR="00404D0D" w:rsidRPr="005C60B1" w:rsidRDefault="00404D0D" w:rsidP="004F63C1">
            <w:pPr>
              <w:spacing w:line="276" w:lineRule="auto"/>
              <w:jc w:val="center"/>
              <w:rPr>
                <w:i/>
              </w:rPr>
            </w:pPr>
            <w:r w:rsidRPr="005C60B1">
              <w:rPr>
                <w:i/>
              </w:rPr>
              <w:t>City</w:t>
            </w:r>
          </w:p>
        </w:tc>
      </w:tr>
      <w:tr w:rsidR="00404D0D" w:rsidRPr="005B2F83" w14:paraId="74F95167" w14:textId="77777777" w:rsidTr="004551E0">
        <w:trPr>
          <w:trHeight w:val="20"/>
        </w:trPr>
        <w:tc>
          <w:tcPr>
            <w:tcW w:w="5215" w:type="dxa"/>
            <w:tcMar>
              <w:top w:w="72" w:type="dxa"/>
              <w:left w:w="115" w:type="dxa"/>
              <w:bottom w:w="72" w:type="dxa"/>
              <w:right w:w="115" w:type="dxa"/>
            </w:tcMar>
            <w:vAlign w:val="center"/>
          </w:tcPr>
          <w:p w14:paraId="06DC4D27" w14:textId="4B0669E9" w:rsidR="00404D0D" w:rsidRPr="00914F12" w:rsidRDefault="00696652" w:rsidP="00914F12">
            <w:pPr>
              <w:pStyle w:val="ListParagraph"/>
              <w:spacing w:line="276" w:lineRule="auto"/>
              <w:ind w:left="360"/>
              <w:rPr>
                <w:b/>
              </w:rPr>
            </w:pPr>
            <w:r>
              <w:rPr>
                <w:b/>
              </w:rPr>
              <w:t>Surgery Center/</w:t>
            </w:r>
            <w:r w:rsidRPr="00914F12">
              <w:rPr>
                <w:b/>
              </w:rPr>
              <w:t xml:space="preserve">Free-Standing </w:t>
            </w:r>
            <w:r w:rsidR="00404D0D" w:rsidRPr="00914F12">
              <w:rPr>
                <w:b/>
              </w:rPr>
              <w:t>Hospital Outpatient Department 1</w:t>
            </w:r>
          </w:p>
        </w:tc>
        <w:tc>
          <w:tcPr>
            <w:tcW w:w="1890" w:type="dxa"/>
            <w:vAlign w:val="center"/>
          </w:tcPr>
          <w:p w14:paraId="4C887F2C" w14:textId="77777777" w:rsidR="00404D0D" w:rsidRDefault="00404D0D" w:rsidP="00404D0D">
            <w:pPr>
              <w:pStyle w:val="ListParagraph"/>
              <w:spacing w:line="276" w:lineRule="auto"/>
              <w:ind w:left="360"/>
            </w:pPr>
          </w:p>
        </w:tc>
        <w:tc>
          <w:tcPr>
            <w:tcW w:w="2245" w:type="dxa"/>
            <w:vAlign w:val="center"/>
          </w:tcPr>
          <w:p w14:paraId="2B83A90E" w14:textId="77777777" w:rsidR="00404D0D" w:rsidRDefault="00404D0D" w:rsidP="00404D0D">
            <w:pPr>
              <w:pStyle w:val="ListParagraph"/>
              <w:spacing w:line="276" w:lineRule="auto"/>
              <w:ind w:left="360"/>
            </w:pPr>
          </w:p>
        </w:tc>
      </w:tr>
      <w:tr w:rsidR="00404D0D" w:rsidRPr="005B2F83" w14:paraId="4C02AAF9" w14:textId="77777777" w:rsidTr="004551E0">
        <w:trPr>
          <w:trHeight w:val="20"/>
        </w:trPr>
        <w:tc>
          <w:tcPr>
            <w:tcW w:w="5215" w:type="dxa"/>
            <w:tcMar>
              <w:top w:w="72" w:type="dxa"/>
              <w:left w:w="115" w:type="dxa"/>
              <w:bottom w:w="72" w:type="dxa"/>
              <w:right w:w="115" w:type="dxa"/>
            </w:tcMar>
            <w:vAlign w:val="center"/>
          </w:tcPr>
          <w:p w14:paraId="1BB4DC06" w14:textId="4527E1CE" w:rsidR="00404D0D" w:rsidRPr="00914F12" w:rsidRDefault="00696652" w:rsidP="00914F12">
            <w:pPr>
              <w:pStyle w:val="ListParagraph"/>
              <w:spacing w:line="276" w:lineRule="auto"/>
              <w:ind w:left="360"/>
              <w:rPr>
                <w:b/>
              </w:rPr>
            </w:pPr>
            <w:r>
              <w:rPr>
                <w:b/>
              </w:rPr>
              <w:t>Surgery Center/</w:t>
            </w:r>
            <w:r w:rsidRPr="00914F12">
              <w:rPr>
                <w:b/>
              </w:rPr>
              <w:t xml:space="preserve">Free-Standing </w:t>
            </w:r>
            <w:r w:rsidR="00404D0D" w:rsidRPr="00914F12">
              <w:rPr>
                <w:b/>
              </w:rPr>
              <w:t>Hospital Outpatient Department 2</w:t>
            </w:r>
          </w:p>
        </w:tc>
        <w:tc>
          <w:tcPr>
            <w:tcW w:w="1890" w:type="dxa"/>
            <w:vAlign w:val="center"/>
          </w:tcPr>
          <w:p w14:paraId="0469928C" w14:textId="77777777" w:rsidR="00404D0D" w:rsidRDefault="00404D0D" w:rsidP="00404D0D">
            <w:pPr>
              <w:pStyle w:val="ListParagraph"/>
              <w:spacing w:line="276" w:lineRule="auto"/>
              <w:ind w:left="360"/>
            </w:pPr>
          </w:p>
        </w:tc>
        <w:tc>
          <w:tcPr>
            <w:tcW w:w="2245" w:type="dxa"/>
            <w:vAlign w:val="center"/>
          </w:tcPr>
          <w:p w14:paraId="6127B975" w14:textId="77777777" w:rsidR="00404D0D" w:rsidRDefault="00404D0D" w:rsidP="00404D0D">
            <w:pPr>
              <w:pStyle w:val="ListParagraph"/>
              <w:spacing w:line="276" w:lineRule="auto"/>
              <w:ind w:left="360"/>
            </w:pPr>
          </w:p>
        </w:tc>
      </w:tr>
      <w:tr w:rsidR="00404D0D" w:rsidRPr="005B2F83" w14:paraId="58F2B05E" w14:textId="77777777" w:rsidTr="004551E0">
        <w:trPr>
          <w:trHeight w:val="20"/>
        </w:trPr>
        <w:tc>
          <w:tcPr>
            <w:tcW w:w="5215" w:type="dxa"/>
            <w:tcMar>
              <w:top w:w="72" w:type="dxa"/>
              <w:left w:w="115" w:type="dxa"/>
              <w:bottom w:w="72" w:type="dxa"/>
              <w:right w:w="115" w:type="dxa"/>
            </w:tcMar>
            <w:vAlign w:val="center"/>
          </w:tcPr>
          <w:p w14:paraId="1D65FAC2" w14:textId="051A7212" w:rsidR="00404D0D" w:rsidRPr="00914F12" w:rsidRDefault="00696652" w:rsidP="00914F12">
            <w:pPr>
              <w:pStyle w:val="ListParagraph"/>
              <w:spacing w:line="276" w:lineRule="auto"/>
              <w:ind w:left="360"/>
              <w:rPr>
                <w:b/>
              </w:rPr>
            </w:pPr>
            <w:r>
              <w:rPr>
                <w:b/>
              </w:rPr>
              <w:t>Surgery Center/</w:t>
            </w:r>
            <w:r w:rsidRPr="00914F12">
              <w:rPr>
                <w:b/>
              </w:rPr>
              <w:t xml:space="preserve">Free-Standing </w:t>
            </w:r>
            <w:r w:rsidR="00404D0D" w:rsidRPr="00914F12">
              <w:rPr>
                <w:b/>
              </w:rPr>
              <w:t>Hospital Outpatient Department 3</w:t>
            </w:r>
          </w:p>
        </w:tc>
        <w:tc>
          <w:tcPr>
            <w:tcW w:w="1890" w:type="dxa"/>
            <w:vAlign w:val="center"/>
          </w:tcPr>
          <w:p w14:paraId="6C51B852" w14:textId="77777777" w:rsidR="00404D0D" w:rsidRDefault="00404D0D" w:rsidP="00404D0D">
            <w:pPr>
              <w:pStyle w:val="ListParagraph"/>
              <w:spacing w:line="276" w:lineRule="auto"/>
              <w:ind w:left="360"/>
            </w:pPr>
          </w:p>
        </w:tc>
        <w:tc>
          <w:tcPr>
            <w:tcW w:w="2245" w:type="dxa"/>
            <w:vAlign w:val="center"/>
          </w:tcPr>
          <w:p w14:paraId="16190572" w14:textId="77777777" w:rsidR="00404D0D" w:rsidRDefault="00404D0D" w:rsidP="00404D0D">
            <w:pPr>
              <w:pStyle w:val="ListParagraph"/>
              <w:spacing w:line="276" w:lineRule="auto"/>
              <w:ind w:left="360"/>
            </w:pPr>
          </w:p>
        </w:tc>
      </w:tr>
      <w:tr w:rsidR="00404D0D" w:rsidRPr="005B2F83" w14:paraId="2D4DF069" w14:textId="77777777" w:rsidTr="004551E0">
        <w:trPr>
          <w:trHeight w:val="20"/>
        </w:trPr>
        <w:tc>
          <w:tcPr>
            <w:tcW w:w="5215" w:type="dxa"/>
            <w:tcMar>
              <w:top w:w="72" w:type="dxa"/>
              <w:left w:w="115" w:type="dxa"/>
              <w:bottom w:w="72" w:type="dxa"/>
              <w:right w:w="115" w:type="dxa"/>
            </w:tcMar>
            <w:vAlign w:val="center"/>
          </w:tcPr>
          <w:p w14:paraId="7164EAB3" w14:textId="6DECD764" w:rsidR="00404D0D" w:rsidRPr="00914F12" w:rsidRDefault="00696652" w:rsidP="00914F12">
            <w:pPr>
              <w:pStyle w:val="ListParagraph"/>
              <w:spacing w:line="276" w:lineRule="auto"/>
              <w:ind w:left="360"/>
              <w:rPr>
                <w:b/>
              </w:rPr>
            </w:pPr>
            <w:r>
              <w:rPr>
                <w:b/>
              </w:rPr>
              <w:t>Surgery Center/</w:t>
            </w:r>
            <w:r w:rsidRPr="00914F12">
              <w:rPr>
                <w:b/>
              </w:rPr>
              <w:t xml:space="preserve">Free-Standing </w:t>
            </w:r>
            <w:r w:rsidR="00404D0D" w:rsidRPr="00914F12">
              <w:rPr>
                <w:b/>
              </w:rPr>
              <w:t>Hospital Outpatient Department 4</w:t>
            </w:r>
          </w:p>
        </w:tc>
        <w:tc>
          <w:tcPr>
            <w:tcW w:w="1890" w:type="dxa"/>
            <w:vAlign w:val="center"/>
          </w:tcPr>
          <w:p w14:paraId="478CCC17" w14:textId="77777777" w:rsidR="00404D0D" w:rsidRDefault="00404D0D" w:rsidP="00404D0D">
            <w:pPr>
              <w:pStyle w:val="ListParagraph"/>
              <w:spacing w:line="276" w:lineRule="auto"/>
              <w:ind w:left="360"/>
            </w:pPr>
          </w:p>
        </w:tc>
        <w:tc>
          <w:tcPr>
            <w:tcW w:w="2245" w:type="dxa"/>
            <w:vAlign w:val="center"/>
          </w:tcPr>
          <w:p w14:paraId="7F7E59F4" w14:textId="77777777" w:rsidR="00404D0D" w:rsidRDefault="00404D0D" w:rsidP="00404D0D">
            <w:pPr>
              <w:pStyle w:val="ListParagraph"/>
              <w:spacing w:line="276" w:lineRule="auto"/>
              <w:ind w:left="360"/>
            </w:pPr>
          </w:p>
        </w:tc>
      </w:tr>
      <w:tr w:rsidR="00404D0D" w:rsidRPr="005B2F83" w14:paraId="01FD7B13" w14:textId="77777777" w:rsidTr="004551E0">
        <w:trPr>
          <w:trHeight w:val="20"/>
        </w:trPr>
        <w:tc>
          <w:tcPr>
            <w:tcW w:w="5215" w:type="dxa"/>
            <w:tcMar>
              <w:top w:w="72" w:type="dxa"/>
              <w:left w:w="115" w:type="dxa"/>
              <w:bottom w:w="72" w:type="dxa"/>
              <w:right w:w="115" w:type="dxa"/>
            </w:tcMar>
            <w:vAlign w:val="center"/>
          </w:tcPr>
          <w:p w14:paraId="220CAEE8" w14:textId="1BFCEB32" w:rsidR="00404D0D" w:rsidRPr="00914F12" w:rsidRDefault="00696652" w:rsidP="00914F12">
            <w:pPr>
              <w:pStyle w:val="ListParagraph"/>
              <w:spacing w:line="276" w:lineRule="auto"/>
              <w:ind w:left="360"/>
              <w:rPr>
                <w:b/>
              </w:rPr>
            </w:pPr>
            <w:r>
              <w:rPr>
                <w:b/>
              </w:rPr>
              <w:t>Surgery Center/</w:t>
            </w:r>
            <w:r w:rsidRPr="00914F12">
              <w:rPr>
                <w:b/>
              </w:rPr>
              <w:t xml:space="preserve">Free-Standing </w:t>
            </w:r>
            <w:r w:rsidR="00404D0D" w:rsidRPr="00914F12">
              <w:rPr>
                <w:b/>
              </w:rPr>
              <w:t>Hospital Outpatient Department 5</w:t>
            </w:r>
          </w:p>
        </w:tc>
        <w:tc>
          <w:tcPr>
            <w:tcW w:w="1890" w:type="dxa"/>
            <w:vAlign w:val="center"/>
          </w:tcPr>
          <w:p w14:paraId="5B9ECE0D" w14:textId="77777777" w:rsidR="00404D0D" w:rsidRDefault="00404D0D" w:rsidP="00404D0D">
            <w:pPr>
              <w:pStyle w:val="ListParagraph"/>
              <w:spacing w:line="276" w:lineRule="auto"/>
              <w:ind w:left="360"/>
            </w:pPr>
          </w:p>
        </w:tc>
        <w:tc>
          <w:tcPr>
            <w:tcW w:w="2245" w:type="dxa"/>
            <w:vAlign w:val="center"/>
          </w:tcPr>
          <w:p w14:paraId="7653A568" w14:textId="77777777" w:rsidR="00404D0D" w:rsidRDefault="00404D0D" w:rsidP="00404D0D">
            <w:pPr>
              <w:pStyle w:val="ListParagraph"/>
              <w:spacing w:line="276" w:lineRule="auto"/>
              <w:ind w:left="360"/>
            </w:pPr>
          </w:p>
        </w:tc>
      </w:tr>
    </w:tbl>
    <w:p w14:paraId="746737C7" w14:textId="77777777" w:rsidR="00637BD3" w:rsidRDefault="00637BD3" w:rsidP="00753419"/>
    <w:p w14:paraId="26D51F12" w14:textId="3029739D" w:rsidR="00AD5994" w:rsidRPr="00841998" w:rsidRDefault="00AD5994" w:rsidP="00AB5B80">
      <w:pPr>
        <w:pStyle w:val="Heading3"/>
        <w:rPr>
          <w:sz w:val="20"/>
          <w:szCs w:val="20"/>
        </w:rPr>
      </w:pPr>
      <w:bookmarkStart w:id="733" w:name="_Urology"/>
      <w:bookmarkStart w:id="734" w:name="_Toc225877842"/>
      <w:bookmarkEnd w:id="733"/>
      <w:r w:rsidRPr="00AD5994">
        <w:t>Urology</w:t>
      </w:r>
      <w:bookmarkEnd w:id="734"/>
      <w:r w:rsidR="006606DD">
        <w:br/>
      </w:r>
    </w:p>
    <w:tbl>
      <w:tblPr>
        <w:tblStyle w:val="TableGrid15"/>
        <w:tblW w:w="0" w:type="auto"/>
        <w:tblLook w:val="04A0" w:firstRow="1" w:lastRow="0" w:firstColumn="1" w:lastColumn="0" w:noHBand="0" w:noVBand="1"/>
      </w:tblPr>
      <w:tblGrid>
        <w:gridCol w:w="5015"/>
        <w:gridCol w:w="4335"/>
      </w:tblGrid>
      <w:tr w:rsidR="00073B66" w:rsidRPr="00073B66" w14:paraId="7E4A13B8" w14:textId="77777777" w:rsidTr="00914F12">
        <w:trPr>
          <w:trHeight w:val="20"/>
        </w:trPr>
        <w:tc>
          <w:tcPr>
            <w:tcW w:w="9350" w:type="dxa"/>
            <w:gridSpan w:val="2"/>
            <w:tcMar>
              <w:top w:w="72" w:type="dxa"/>
              <w:left w:w="115" w:type="dxa"/>
              <w:bottom w:w="72" w:type="dxa"/>
              <w:right w:w="115" w:type="dxa"/>
            </w:tcMar>
            <w:vAlign w:val="center"/>
          </w:tcPr>
          <w:p w14:paraId="685EE1A6" w14:textId="7037246F" w:rsidR="00073B66" w:rsidRPr="00073B66" w:rsidRDefault="00073B66" w:rsidP="00AD309C">
            <w:pPr>
              <w:numPr>
                <w:ilvl w:val="0"/>
                <w:numId w:val="91"/>
              </w:numPr>
              <w:spacing w:line="276" w:lineRule="auto"/>
              <w:rPr>
                <w:rFonts w:eastAsia="Yu Gothic Light"/>
              </w:rPr>
            </w:pPr>
            <w:r w:rsidRPr="00073B66">
              <w:rPr>
                <w:rFonts w:eastAsia="Yu Gothic Light"/>
              </w:rPr>
              <w:t xml:space="preserve">Total adult volume for each of the following applicable procedures performed at your </w:t>
            </w:r>
            <w:r w:rsidR="006319E7">
              <w:rPr>
                <w:rFonts w:eastAsia="Yu Gothic Light"/>
              </w:rPr>
              <w:t>hospital outpatient department(s)</w:t>
            </w:r>
            <w:r w:rsidR="006319E7" w:rsidRPr="00073B66">
              <w:rPr>
                <w:rFonts w:eastAsia="Yu Gothic Light"/>
              </w:rPr>
              <w:t xml:space="preserve"> </w:t>
            </w:r>
            <w:r w:rsidRPr="00073B66">
              <w:rPr>
                <w:rFonts w:eastAsia="Yu Gothic Light"/>
              </w:rPr>
              <w:t>during the reporting period.</w:t>
            </w:r>
          </w:p>
          <w:p w14:paraId="1B039412" w14:textId="77777777" w:rsidR="00073B66" w:rsidRPr="00073B66" w:rsidRDefault="00073B66" w:rsidP="00073B66">
            <w:pPr>
              <w:spacing w:line="276" w:lineRule="auto"/>
              <w:rPr>
                <w:rFonts w:eastAsia="Yu Gothic Light"/>
              </w:rPr>
            </w:pPr>
          </w:p>
          <w:p w14:paraId="73542631" w14:textId="77777777" w:rsidR="00073B66" w:rsidRPr="00073B66" w:rsidRDefault="00073B66" w:rsidP="00073B66">
            <w:pPr>
              <w:ind w:left="360"/>
            </w:pPr>
            <w:r w:rsidRPr="00073B66">
              <w:rPr>
                <w:i/>
              </w:rPr>
              <w:t xml:space="preserve">You cannot leave any blank. If you did not perform one or more of the procedures listed below enter 0 (zero). If you had zero volume for </w:t>
            </w:r>
            <w:r w:rsidRPr="00073B66">
              <w:rPr>
                <w:b/>
                <w:i/>
                <w:u w:val="single"/>
              </w:rPr>
              <w:t>all</w:t>
            </w:r>
            <w:r w:rsidRPr="00073B66">
              <w:rPr>
                <w:b/>
                <w:i/>
              </w:rPr>
              <w:t xml:space="preserve"> </w:t>
            </w:r>
            <w:r w:rsidRPr="00073B66">
              <w:rPr>
                <w:i/>
              </w:rPr>
              <w:t>procedures, go back to question #7 and update your response from “yes” to “no.”</w:t>
            </w:r>
          </w:p>
        </w:tc>
      </w:tr>
      <w:tr w:rsidR="001A4A1F" w:rsidRPr="00073B66" w14:paraId="09101073" w14:textId="77777777" w:rsidTr="00EC4DCE">
        <w:trPr>
          <w:trHeight w:val="20"/>
        </w:trPr>
        <w:tc>
          <w:tcPr>
            <w:tcW w:w="5015" w:type="dxa"/>
            <w:tcMar>
              <w:top w:w="72" w:type="dxa"/>
              <w:left w:w="115" w:type="dxa"/>
              <w:bottom w:w="72" w:type="dxa"/>
              <w:right w:w="115" w:type="dxa"/>
            </w:tcMar>
            <w:vAlign w:val="center"/>
          </w:tcPr>
          <w:p w14:paraId="7AE365AA" w14:textId="77777777" w:rsidR="001A4A1F" w:rsidRPr="00073B66" w:rsidRDefault="001A4A1F" w:rsidP="00073B66">
            <w:pPr>
              <w:spacing w:line="276" w:lineRule="auto"/>
              <w:rPr>
                <w:rFonts w:eastAsia="Yu Gothic Light"/>
              </w:rPr>
            </w:pPr>
          </w:p>
        </w:tc>
        <w:tc>
          <w:tcPr>
            <w:tcW w:w="4335" w:type="dxa"/>
            <w:tcMar>
              <w:top w:w="72" w:type="dxa"/>
              <w:left w:w="115" w:type="dxa"/>
              <w:bottom w:w="72" w:type="dxa"/>
              <w:right w:w="115" w:type="dxa"/>
            </w:tcMar>
          </w:tcPr>
          <w:p w14:paraId="63B099FB" w14:textId="7534AEC5" w:rsidR="001A4A1F" w:rsidRPr="00073B66" w:rsidRDefault="001A4A1F" w:rsidP="004F63C1">
            <w:pPr>
              <w:jc w:val="center"/>
              <w:rPr>
                <w:i/>
              </w:rPr>
            </w:pPr>
            <w:r w:rsidRPr="00073B66">
              <w:rPr>
                <w:i/>
              </w:rPr>
              <w:t>Adult Volume</w:t>
            </w:r>
          </w:p>
        </w:tc>
      </w:tr>
      <w:tr w:rsidR="001A4A1F" w:rsidRPr="00073B66" w14:paraId="0EB21B65" w14:textId="77777777" w:rsidTr="00EC4DCE">
        <w:trPr>
          <w:trHeight w:val="20"/>
        </w:trPr>
        <w:tc>
          <w:tcPr>
            <w:tcW w:w="5015" w:type="dxa"/>
            <w:tcMar>
              <w:top w:w="72" w:type="dxa"/>
              <w:left w:w="115" w:type="dxa"/>
              <w:bottom w:w="72" w:type="dxa"/>
              <w:right w:w="115" w:type="dxa"/>
            </w:tcMar>
            <w:vAlign w:val="center"/>
          </w:tcPr>
          <w:p w14:paraId="4853B7AF" w14:textId="77777777" w:rsidR="001A4A1F" w:rsidRPr="00073B66" w:rsidRDefault="001A4A1F" w:rsidP="00073B66">
            <w:pPr>
              <w:spacing w:line="276" w:lineRule="auto"/>
              <w:rPr>
                <w:rFonts w:eastAsia="Yu Gothic Light"/>
                <w:b/>
              </w:rPr>
            </w:pPr>
            <w:r w:rsidRPr="00073B66">
              <w:rPr>
                <w:rFonts w:eastAsia="Yu Gothic Light"/>
                <w:b/>
              </w:rPr>
              <w:t>Circumcisions</w:t>
            </w:r>
          </w:p>
        </w:tc>
        <w:tc>
          <w:tcPr>
            <w:tcW w:w="4335" w:type="dxa"/>
            <w:tcMar>
              <w:top w:w="72" w:type="dxa"/>
              <w:left w:w="115" w:type="dxa"/>
              <w:bottom w:w="72" w:type="dxa"/>
              <w:right w:w="115" w:type="dxa"/>
            </w:tcMar>
            <w:vAlign w:val="center"/>
          </w:tcPr>
          <w:p w14:paraId="687FECF3" w14:textId="54411A2C" w:rsidR="001A4A1F" w:rsidRPr="00073B66" w:rsidRDefault="001A4A1F" w:rsidP="00073B66">
            <w:pPr>
              <w:jc w:val="center"/>
            </w:pPr>
            <w:r w:rsidRPr="00073B66">
              <w:t>_____</w:t>
            </w:r>
          </w:p>
        </w:tc>
      </w:tr>
      <w:tr w:rsidR="001A4A1F" w:rsidRPr="00073B66" w14:paraId="0D24B382" w14:textId="77777777" w:rsidTr="00EC4DCE">
        <w:trPr>
          <w:trHeight w:val="20"/>
        </w:trPr>
        <w:tc>
          <w:tcPr>
            <w:tcW w:w="5015" w:type="dxa"/>
            <w:tcMar>
              <w:top w:w="72" w:type="dxa"/>
              <w:left w:w="115" w:type="dxa"/>
              <w:bottom w:w="72" w:type="dxa"/>
              <w:right w:w="115" w:type="dxa"/>
            </w:tcMar>
            <w:vAlign w:val="center"/>
          </w:tcPr>
          <w:p w14:paraId="61D1A17E" w14:textId="77777777" w:rsidR="001A4A1F" w:rsidRPr="00073B66" w:rsidRDefault="001A4A1F" w:rsidP="00073B66">
            <w:pPr>
              <w:spacing w:line="276" w:lineRule="auto"/>
              <w:rPr>
                <w:rFonts w:eastAsia="Yu Gothic Light"/>
                <w:b/>
              </w:rPr>
            </w:pPr>
            <w:r w:rsidRPr="00073B66">
              <w:rPr>
                <w:rFonts w:eastAsia="Yu Gothic Light"/>
                <w:b/>
              </w:rPr>
              <w:t>Cystourethroscopies</w:t>
            </w:r>
          </w:p>
        </w:tc>
        <w:tc>
          <w:tcPr>
            <w:tcW w:w="4335" w:type="dxa"/>
            <w:tcMar>
              <w:top w:w="72" w:type="dxa"/>
              <w:left w:w="115" w:type="dxa"/>
              <w:bottom w:w="72" w:type="dxa"/>
              <w:right w:w="115" w:type="dxa"/>
            </w:tcMar>
            <w:vAlign w:val="center"/>
          </w:tcPr>
          <w:p w14:paraId="60FAB5FE" w14:textId="1690BEF6" w:rsidR="001A4A1F" w:rsidRPr="00073B66" w:rsidRDefault="001A4A1F" w:rsidP="00073B66">
            <w:pPr>
              <w:jc w:val="center"/>
              <w:rPr>
                <w:i/>
              </w:rPr>
            </w:pPr>
            <w:r w:rsidRPr="00073B66">
              <w:t>_____</w:t>
            </w:r>
          </w:p>
        </w:tc>
      </w:tr>
      <w:tr w:rsidR="001A4A1F" w:rsidRPr="00073B66" w14:paraId="2C9AE5B4" w14:textId="77777777" w:rsidTr="00EC4DCE">
        <w:trPr>
          <w:trHeight w:val="20"/>
        </w:trPr>
        <w:tc>
          <w:tcPr>
            <w:tcW w:w="5015" w:type="dxa"/>
            <w:tcMar>
              <w:top w:w="72" w:type="dxa"/>
              <w:left w:w="115" w:type="dxa"/>
              <w:bottom w:w="72" w:type="dxa"/>
              <w:right w:w="115" w:type="dxa"/>
            </w:tcMar>
            <w:vAlign w:val="center"/>
          </w:tcPr>
          <w:p w14:paraId="54073AB9" w14:textId="77777777" w:rsidR="001A4A1F" w:rsidRPr="00073B66" w:rsidRDefault="001A4A1F" w:rsidP="00073B66">
            <w:pPr>
              <w:spacing w:line="276" w:lineRule="auto"/>
              <w:rPr>
                <w:rFonts w:eastAsia="Yu Gothic Light"/>
                <w:b/>
              </w:rPr>
            </w:pPr>
            <w:r w:rsidRPr="00073B66">
              <w:rPr>
                <w:rFonts w:eastAsia="Yu Gothic Light"/>
                <w:b/>
              </w:rPr>
              <w:t>Male genital procedures</w:t>
            </w:r>
          </w:p>
        </w:tc>
        <w:tc>
          <w:tcPr>
            <w:tcW w:w="4335" w:type="dxa"/>
            <w:tcMar>
              <w:top w:w="72" w:type="dxa"/>
              <w:left w:w="115" w:type="dxa"/>
              <w:bottom w:w="72" w:type="dxa"/>
              <w:right w:w="115" w:type="dxa"/>
            </w:tcMar>
            <w:vAlign w:val="center"/>
          </w:tcPr>
          <w:p w14:paraId="13DD51E1" w14:textId="2879959B" w:rsidR="001A4A1F" w:rsidRPr="00073B66" w:rsidRDefault="001A4A1F" w:rsidP="00073B66">
            <w:pPr>
              <w:jc w:val="center"/>
              <w:rPr>
                <w:i/>
              </w:rPr>
            </w:pPr>
            <w:r w:rsidRPr="00073B66">
              <w:t>_____</w:t>
            </w:r>
          </w:p>
        </w:tc>
      </w:tr>
      <w:tr w:rsidR="001A4A1F" w:rsidRPr="00073B66" w14:paraId="174BBAA0" w14:textId="77777777" w:rsidTr="00EC4DCE">
        <w:trPr>
          <w:trHeight w:val="20"/>
        </w:trPr>
        <w:tc>
          <w:tcPr>
            <w:tcW w:w="5015" w:type="dxa"/>
            <w:tcMar>
              <w:top w:w="72" w:type="dxa"/>
              <w:left w:w="115" w:type="dxa"/>
              <w:bottom w:w="72" w:type="dxa"/>
              <w:right w:w="115" w:type="dxa"/>
            </w:tcMar>
            <w:vAlign w:val="center"/>
          </w:tcPr>
          <w:p w14:paraId="33C78F15" w14:textId="77777777" w:rsidR="001A4A1F" w:rsidRPr="00073B66" w:rsidRDefault="001A4A1F" w:rsidP="00073B66">
            <w:pPr>
              <w:spacing w:line="276" w:lineRule="auto"/>
              <w:rPr>
                <w:rFonts w:eastAsia="Yu Gothic Light"/>
                <w:b/>
              </w:rPr>
            </w:pPr>
            <w:r w:rsidRPr="00073B66">
              <w:rPr>
                <w:rFonts w:eastAsia="Yu Gothic Light"/>
                <w:b/>
              </w:rPr>
              <w:t>Urethra procedures</w:t>
            </w:r>
          </w:p>
        </w:tc>
        <w:tc>
          <w:tcPr>
            <w:tcW w:w="4335" w:type="dxa"/>
            <w:tcMar>
              <w:top w:w="72" w:type="dxa"/>
              <w:left w:w="115" w:type="dxa"/>
              <w:bottom w:w="72" w:type="dxa"/>
              <w:right w:w="115" w:type="dxa"/>
            </w:tcMar>
            <w:vAlign w:val="center"/>
          </w:tcPr>
          <w:p w14:paraId="7CE27913" w14:textId="43719F75" w:rsidR="001A4A1F" w:rsidRPr="00073B66" w:rsidRDefault="001A4A1F" w:rsidP="00073B66">
            <w:pPr>
              <w:jc w:val="center"/>
            </w:pPr>
            <w:r w:rsidRPr="00073B66">
              <w:t>_____</w:t>
            </w:r>
          </w:p>
        </w:tc>
      </w:tr>
      <w:tr w:rsidR="001A4A1F" w:rsidRPr="00073B66" w14:paraId="45F60401" w14:textId="77777777" w:rsidTr="00EC4DCE">
        <w:trPr>
          <w:trHeight w:val="20"/>
        </w:trPr>
        <w:tc>
          <w:tcPr>
            <w:tcW w:w="5015" w:type="dxa"/>
            <w:tcMar>
              <w:top w:w="72" w:type="dxa"/>
              <w:left w:w="115" w:type="dxa"/>
              <w:bottom w:w="72" w:type="dxa"/>
              <w:right w:w="115" w:type="dxa"/>
            </w:tcMar>
            <w:vAlign w:val="center"/>
          </w:tcPr>
          <w:p w14:paraId="4F43552E" w14:textId="77777777" w:rsidR="001A4A1F" w:rsidRPr="00073B66" w:rsidRDefault="001A4A1F" w:rsidP="00073B66">
            <w:pPr>
              <w:spacing w:line="276" w:lineRule="auto"/>
              <w:rPr>
                <w:rFonts w:eastAsia="Yu Gothic Light"/>
                <w:b/>
              </w:rPr>
            </w:pPr>
            <w:r w:rsidRPr="00073B66">
              <w:rPr>
                <w:rFonts w:eastAsia="Yu Gothic Light"/>
                <w:b/>
              </w:rPr>
              <w:t>Vaginal repair procedures</w:t>
            </w:r>
          </w:p>
        </w:tc>
        <w:tc>
          <w:tcPr>
            <w:tcW w:w="4335" w:type="dxa"/>
            <w:tcMar>
              <w:top w:w="72" w:type="dxa"/>
              <w:left w:w="115" w:type="dxa"/>
              <w:bottom w:w="72" w:type="dxa"/>
              <w:right w:w="115" w:type="dxa"/>
            </w:tcMar>
            <w:vAlign w:val="center"/>
          </w:tcPr>
          <w:p w14:paraId="3CB34F4D" w14:textId="2BED50F4" w:rsidR="001A4A1F" w:rsidRPr="00073B66" w:rsidRDefault="001A4A1F" w:rsidP="00073B66">
            <w:pPr>
              <w:jc w:val="center"/>
            </w:pPr>
            <w:r w:rsidRPr="00073B66">
              <w:t>_____</w:t>
            </w:r>
          </w:p>
        </w:tc>
      </w:tr>
    </w:tbl>
    <w:p w14:paraId="0A047BB3" w14:textId="77777777" w:rsidR="00320898" w:rsidRDefault="00320898" w:rsidP="00753419"/>
    <w:tbl>
      <w:tblPr>
        <w:tblStyle w:val="TableGrid"/>
        <w:tblW w:w="0" w:type="auto"/>
        <w:tblLayout w:type="fixed"/>
        <w:tblCellMar>
          <w:left w:w="115" w:type="dxa"/>
          <w:right w:w="115" w:type="dxa"/>
        </w:tblCellMar>
        <w:tblLook w:val="04A0" w:firstRow="1" w:lastRow="0" w:firstColumn="1" w:lastColumn="0" w:noHBand="0" w:noVBand="1"/>
      </w:tblPr>
      <w:tblGrid>
        <w:gridCol w:w="6205"/>
        <w:gridCol w:w="3145"/>
      </w:tblGrid>
      <w:tr w:rsidR="00320898" w:rsidRPr="005B2F83" w14:paraId="33417CE9" w14:textId="77777777" w:rsidTr="00914F12">
        <w:trPr>
          <w:trHeight w:val="20"/>
        </w:trPr>
        <w:tc>
          <w:tcPr>
            <w:tcW w:w="6205" w:type="dxa"/>
            <w:tcMar>
              <w:top w:w="72" w:type="dxa"/>
              <w:left w:w="115" w:type="dxa"/>
              <w:bottom w:w="72" w:type="dxa"/>
              <w:right w:w="115" w:type="dxa"/>
            </w:tcMar>
            <w:vAlign w:val="center"/>
          </w:tcPr>
          <w:p w14:paraId="690A33A1" w14:textId="77777777" w:rsidR="00320898" w:rsidRDefault="00320898" w:rsidP="00AD309C">
            <w:pPr>
              <w:pStyle w:val="ListParagraph"/>
              <w:numPr>
                <w:ilvl w:val="0"/>
                <w:numId w:val="91"/>
              </w:numPr>
            </w:pPr>
            <w:r>
              <w:t xml:space="preserve">Where were these </w:t>
            </w:r>
            <w:r>
              <w:rPr>
                <w:b/>
              </w:rPr>
              <w:t>urology</w:t>
            </w:r>
            <w:r w:rsidRPr="005D2045">
              <w:rPr>
                <w:b/>
              </w:rPr>
              <w:t xml:space="preserve"> </w:t>
            </w:r>
            <w:r>
              <w:t>procedures performed?</w:t>
            </w:r>
          </w:p>
          <w:p w14:paraId="476B8AC5" w14:textId="77777777" w:rsidR="00320898" w:rsidRDefault="00320898" w:rsidP="00CA75AB">
            <w:pPr>
              <w:pStyle w:val="ListParagraph"/>
              <w:ind w:left="360"/>
            </w:pPr>
          </w:p>
          <w:p w14:paraId="03B774E5" w14:textId="77777777" w:rsidR="00320898" w:rsidRPr="00131F2C" w:rsidRDefault="00320898" w:rsidP="00CA75AB">
            <w:pPr>
              <w:pStyle w:val="ListParagraph"/>
              <w:ind w:left="360"/>
              <w:rPr>
                <w:i/>
              </w:rPr>
            </w:pPr>
            <w:r>
              <w:rPr>
                <w:i/>
              </w:rPr>
              <w:t>Select all that apply.</w:t>
            </w:r>
          </w:p>
          <w:p w14:paraId="300C3A0D" w14:textId="77777777" w:rsidR="00320898" w:rsidRPr="005D2045" w:rsidRDefault="00320898" w:rsidP="00CA75AB">
            <w:pPr>
              <w:pStyle w:val="ListParagraph"/>
              <w:ind w:left="360"/>
            </w:pPr>
          </w:p>
          <w:p w14:paraId="601BDBCA" w14:textId="0CA067F6" w:rsidR="00320898" w:rsidRPr="005D2045" w:rsidRDefault="00EF5178" w:rsidP="00CA75AB">
            <w:pPr>
              <w:pStyle w:val="ListParagraph"/>
              <w:ind w:left="360"/>
            </w:pPr>
            <w:r w:rsidRPr="00D1397E">
              <w:rPr>
                <w:i/>
              </w:rPr>
              <w:t>If only “hospital” is selected,</w:t>
            </w:r>
            <w:r>
              <w:rPr>
                <w:i/>
              </w:rPr>
              <w:t xml:space="preserve"> </w:t>
            </w:r>
            <w:r w:rsidR="00320898" w:rsidRPr="00B674A0">
              <w:rPr>
                <w:i/>
              </w:rPr>
              <w:t xml:space="preserve">skip </w:t>
            </w:r>
            <w:r w:rsidR="00320898">
              <w:rPr>
                <w:i/>
              </w:rPr>
              <w:t>question #</w:t>
            </w:r>
            <w:r w:rsidR="00AA4267">
              <w:rPr>
                <w:i/>
              </w:rPr>
              <w:t>2</w:t>
            </w:r>
            <w:r w:rsidR="006308BB">
              <w:rPr>
                <w:i/>
              </w:rPr>
              <w:t>8</w:t>
            </w:r>
            <w:r w:rsidR="00320898">
              <w:rPr>
                <w:i/>
              </w:rPr>
              <w:t xml:space="preserve"> and continue to question #</w:t>
            </w:r>
            <w:r w:rsidR="006308BB">
              <w:rPr>
                <w:i/>
              </w:rPr>
              <w:t>29</w:t>
            </w:r>
            <w:r w:rsidR="00320898">
              <w:rPr>
                <w:i/>
              </w:rPr>
              <w:t>.</w:t>
            </w:r>
          </w:p>
        </w:tc>
        <w:tc>
          <w:tcPr>
            <w:tcW w:w="3145" w:type="dxa"/>
            <w:vAlign w:val="center"/>
          </w:tcPr>
          <w:p w14:paraId="27CBB0C5" w14:textId="77777777" w:rsidR="00320898" w:rsidRPr="00753419" w:rsidRDefault="00320898" w:rsidP="00AD309C">
            <w:pPr>
              <w:pStyle w:val="ListParagraph"/>
              <w:numPr>
                <w:ilvl w:val="0"/>
                <w:numId w:val="94"/>
              </w:numPr>
              <w:spacing w:line="276" w:lineRule="auto"/>
              <w:rPr>
                <w:iCs/>
              </w:rPr>
            </w:pPr>
            <w:r w:rsidRPr="00753419">
              <w:rPr>
                <w:iCs/>
              </w:rPr>
              <w:t>Hospital</w:t>
            </w:r>
          </w:p>
          <w:p w14:paraId="4C494DFB" w14:textId="66E4A11A" w:rsidR="00320898" w:rsidRPr="00551F82" w:rsidRDefault="005C60B1" w:rsidP="00AD309C">
            <w:pPr>
              <w:pStyle w:val="ListParagraph"/>
              <w:numPr>
                <w:ilvl w:val="0"/>
                <w:numId w:val="94"/>
              </w:numPr>
              <w:spacing w:line="276" w:lineRule="auto"/>
              <w:rPr>
                <w:i/>
              </w:rPr>
            </w:pPr>
            <w:r w:rsidRPr="00753419">
              <w:rPr>
                <w:iCs/>
              </w:rPr>
              <w:t>Surgery center or free-standing</w:t>
            </w:r>
            <w:r w:rsidR="006319E7" w:rsidRPr="00753419">
              <w:rPr>
                <w:iCs/>
              </w:rPr>
              <w:t xml:space="preserve"> hospital outpatient department</w:t>
            </w:r>
          </w:p>
        </w:tc>
      </w:tr>
    </w:tbl>
    <w:p w14:paraId="7261D19B" w14:textId="77777777" w:rsidR="00320898" w:rsidRDefault="00320898" w:rsidP="00320898"/>
    <w:tbl>
      <w:tblPr>
        <w:tblStyle w:val="TableGrid"/>
        <w:tblW w:w="0" w:type="auto"/>
        <w:tblLayout w:type="fixed"/>
        <w:tblCellMar>
          <w:left w:w="115" w:type="dxa"/>
          <w:right w:w="115" w:type="dxa"/>
        </w:tblCellMar>
        <w:tblLook w:val="04A0" w:firstRow="1" w:lastRow="0" w:firstColumn="1" w:lastColumn="0" w:noHBand="0" w:noVBand="1"/>
      </w:tblPr>
      <w:tblGrid>
        <w:gridCol w:w="4225"/>
        <w:gridCol w:w="2008"/>
        <w:gridCol w:w="3117"/>
      </w:tblGrid>
      <w:tr w:rsidR="00320898" w:rsidRPr="005B2F83" w14:paraId="4A30FEAB" w14:textId="77777777" w:rsidTr="004551E0">
        <w:trPr>
          <w:trHeight w:val="20"/>
        </w:trPr>
        <w:tc>
          <w:tcPr>
            <w:tcW w:w="9350" w:type="dxa"/>
            <w:gridSpan w:val="3"/>
            <w:tcMar>
              <w:top w:w="72" w:type="dxa"/>
              <w:left w:w="115" w:type="dxa"/>
              <w:bottom w:w="72" w:type="dxa"/>
              <w:right w:w="115" w:type="dxa"/>
            </w:tcMar>
            <w:vAlign w:val="center"/>
          </w:tcPr>
          <w:p w14:paraId="2DB314C8" w14:textId="2DDF4EF5" w:rsidR="00320898" w:rsidRDefault="00320898" w:rsidP="00AD309C">
            <w:pPr>
              <w:pStyle w:val="ListParagraph"/>
              <w:numPr>
                <w:ilvl w:val="0"/>
                <w:numId w:val="91"/>
              </w:numPr>
              <w:spacing w:line="276" w:lineRule="auto"/>
              <w:rPr>
                <w:i/>
              </w:rPr>
            </w:pPr>
            <w:r>
              <w:t xml:space="preserve">Please provide the name and city location of each </w:t>
            </w:r>
            <w:r w:rsidR="003E46F9">
              <w:t xml:space="preserve">surgery center or </w:t>
            </w:r>
            <w:r w:rsidR="005C60B1">
              <w:t>free-standing</w:t>
            </w:r>
            <w:r w:rsidR="006319E7">
              <w:t xml:space="preserve"> hospital outpatient department</w:t>
            </w:r>
            <w:r>
              <w:t xml:space="preserve"> performing </w:t>
            </w:r>
            <w:r>
              <w:rPr>
                <w:b/>
              </w:rPr>
              <w:t>urology</w:t>
            </w:r>
            <w:r>
              <w:t xml:space="preserve"> procedures:</w:t>
            </w:r>
          </w:p>
        </w:tc>
      </w:tr>
      <w:tr w:rsidR="00404D0D" w:rsidRPr="005B2F83" w14:paraId="2E093E0B" w14:textId="77777777" w:rsidTr="00914F12">
        <w:trPr>
          <w:trHeight w:val="20"/>
        </w:trPr>
        <w:tc>
          <w:tcPr>
            <w:tcW w:w="4225" w:type="dxa"/>
            <w:tcMar>
              <w:top w:w="72" w:type="dxa"/>
              <w:left w:w="115" w:type="dxa"/>
              <w:bottom w:w="72" w:type="dxa"/>
              <w:right w:w="115" w:type="dxa"/>
            </w:tcMar>
            <w:vAlign w:val="center"/>
          </w:tcPr>
          <w:p w14:paraId="54A6C0EF" w14:textId="77777777" w:rsidR="00404D0D" w:rsidRDefault="00404D0D" w:rsidP="00404D0D">
            <w:pPr>
              <w:pStyle w:val="ListParagraph"/>
              <w:spacing w:line="276" w:lineRule="auto"/>
              <w:ind w:left="360"/>
            </w:pPr>
          </w:p>
        </w:tc>
        <w:tc>
          <w:tcPr>
            <w:tcW w:w="2008" w:type="dxa"/>
            <w:vAlign w:val="center"/>
          </w:tcPr>
          <w:p w14:paraId="1C44705C" w14:textId="26BAE91B" w:rsidR="00404D0D" w:rsidRPr="005C60B1" w:rsidRDefault="00404D0D" w:rsidP="004F63C1">
            <w:pPr>
              <w:spacing w:line="276" w:lineRule="auto"/>
              <w:jc w:val="center"/>
              <w:rPr>
                <w:i/>
              </w:rPr>
            </w:pPr>
            <w:r w:rsidRPr="005C60B1">
              <w:rPr>
                <w:i/>
              </w:rPr>
              <w:t>Name</w:t>
            </w:r>
          </w:p>
        </w:tc>
        <w:tc>
          <w:tcPr>
            <w:tcW w:w="3117" w:type="dxa"/>
            <w:vAlign w:val="center"/>
          </w:tcPr>
          <w:p w14:paraId="0897439B" w14:textId="4D10300E" w:rsidR="00404D0D" w:rsidRPr="005C60B1" w:rsidRDefault="00404D0D" w:rsidP="004F63C1">
            <w:pPr>
              <w:spacing w:line="276" w:lineRule="auto"/>
              <w:jc w:val="center"/>
              <w:rPr>
                <w:i/>
              </w:rPr>
            </w:pPr>
            <w:r w:rsidRPr="005C60B1">
              <w:rPr>
                <w:i/>
              </w:rPr>
              <w:t>City</w:t>
            </w:r>
          </w:p>
        </w:tc>
      </w:tr>
      <w:tr w:rsidR="00404D0D" w:rsidRPr="005B2F83" w14:paraId="71A69E95" w14:textId="77777777" w:rsidTr="00914F12">
        <w:trPr>
          <w:trHeight w:val="20"/>
        </w:trPr>
        <w:tc>
          <w:tcPr>
            <w:tcW w:w="4225" w:type="dxa"/>
            <w:tcMar>
              <w:top w:w="72" w:type="dxa"/>
              <w:left w:w="115" w:type="dxa"/>
              <w:bottom w:w="72" w:type="dxa"/>
              <w:right w:w="115" w:type="dxa"/>
            </w:tcMar>
            <w:vAlign w:val="center"/>
          </w:tcPr>
          <w:p w14:paraId="339DF055" w14:textId="6803C983" w:rsidR="00404D0D" w:rsidRPr="00914F12" w:rsidRDefault="00696652" w:rsidP="00914F12">
            <w:pPr>
              <w:pStyle w:val="ListParagraph"/>
              <w:spacing w:line="276" w:lineRule="auto"/>
              <w:ind w:left="360"/>
              <w:rPr>
                <w:b/>
              </w:rPr>
            </w:pPr>
            <w:r>
              <w:rPr>
                <w:b/>
              </w:rPr>
              <w:t>Surgery Center/</w:t>
            </w:r>
            <w:r w:rsidRPr="00914F12">
              <w:rPr>
                <w:b/>
              </w:rPr>
              <w:t xml:space="preserve">Free-Standing </w:t>
            </w:r>
            <w:r w:rsidR="00404D0D" w:rsidRPr="00914F12">
              <w:rPr>
                <w:b/>
              </w:rPr>
              <w:t>Hospital Outpatient Department 1</w:t>
            </w:r>
          </w:p>
        </w:tc>
        <w:tc>
          <w:tcPr>
            <w:tcW w:w="2008" w:type="dxa"/>
            <w:vAlign w:val="center"/>
          </w:tcPr>
          <w:p w14:paraId="4D19B988" w14:textId="77777777" w:rsidR="00404D0D" w:rsidRDefault="00404D0D" w:rsidP="00404D0D">
            <w:pPr>
              <w:pStyle w:val="ListParagraph"/>
              <w:spacing w:line="276" w:lineRule="auto"/>
              <w:ind w:left="360"/>
            </w:pPr>
          </w:p>
        </w:tc>
        <w:tc>
          <w:tcPr>
            <w:tcW w:w="3117" w:type="dxa"/>
            <w:vAlign w:val="center"/>
          </w:tcPr>
          <w:p w14:paraId="6EEF6946" w14:textId="77777777" w:rsidR="00404D0D" w:rsidRDefault="00404D0D" w:rsidP="00404D0D">
            <w:pPr>
              <w:pStyle w:val="ListParagraph"/>
              <w:spacing w:line="276" w:lineRule="auto"/>
              <w:ind w:left="360"/>
            </w:pPr>
          </w:p>
        </w:tc>
      </w:tr>
      <w:tr w:rsidR="00404D0D" w:rsidRPr="005B2F83" w14:paraId="55B38F1F" w14:textId="77777777" w:rsidTr="00914F12">
        <w:trPr>
          <w:trHeight w:val="20"/>
        </w:trPr>
        <w:tc>
          <w:tcPr>
            <w:tcW w:w="4225" w:type="dxa"/>
            <w:tcMar>
              <w:top w:w="72" w:type="dxa"/>
              <w:left w:w="115" w:type="dxa"/>
              <w:bottom w:w="72" w:type="dxa"/>
              <w:right w:w="115" w:type="dxa"/>
            </w:tcMar>
            <w:vAlign w:val="center"/>
          </w:tcPr>
          <w:p w14:paraId="201EB996" w14:textId="2E651493" w:rsidR="00404D0D" w:rsidRPr="00914F12" w:rsidRDefault="00696652" w:rsidP="00914F12">
            <w:pPr>
              <w:pStyle w:val="ListParagraph"/>
              <w:spacing w:line="276" w:lineRule="auto"/>
              <w:ind w:left="360"/>
              <w:rPr>
                <w:b/>
              </w:rPr>
            </w:pPr>
            <w:r>
              <w:rPr>
                <w:b/>
              </w:rPr>
              <w:t>Surgery Center/</w:t>
            </w:r>
            <w:r w:rsidRPr="00914F12">
              <w:rPr>
                <w:b/>
              </w:rPr>
              <w:t xml:space="preserve">Free-Standing </w:t>
            </w:r>
            <w:r w:rsidR="00404D0D" w:rsidRPr="00914F12">
              <w:rPr>
                <w:b/>
              </w:rPr>
              <w:t>Hospital Outpatient Department 2</w:t>
            </w:r>
          </w:p>
        </w:tc>
        <w:tc>
          <w:tcPr>
            <w:tcW w:w="2008" w:type="dxa"/>
            <w:vAlign w:val="center"/>
          </w:tcPr>
          <w:p w14:paraId="55C261EB" w14:textId="77777777" w:rsidR="00404D0D" w:rsidRDefault="00404D0D" w:rsidP="00404D0D">
            <w:pPr>
              <w:pStyle w:val="ListParagraph"/>
              <w:spacing w:line="276" w:lineRule="auto"/>
              <w:ind w:left="360"/>
            </w:pPr>
          </w:p>
        </w:tc>
        <w:tc>
          <w:tcPr>
            <w:tcW w:w="3117" w:type="dxa"/>
            <w:vAlign w:val="center"/>
          </w:tcPr>
          <w:p w14:paraId="1D335794" w14:textId="77777777" w:rsidR="00404D0D" w:rsidRDefault="00404D0D" w:rsidP="00404D0D">
            <w:pPr>
              <w:pStyle w:val="ListParagraph"/>
              <w:spacing w:line="276" w:lineRule="auto"/>
              <w:ind w:left="360"/>
            </w:pPr>
          </w:p>
        </w:tc>
      </w:tr>
      <w:tr w:rsidR="00404D0D" w:rsidRPr="005B2F83" w14:paraId="4BEDB04D" w14:textId="77777777" w:rsidTr="00914F12">
        <w:trPr>
          <w:trHeight w:val="20"/>
        </w:trPr>
        <w:tc>
          <w:tcPr>
            <w:tcW w:w="4225" w:type="dxa"/>
            <w:tcMar>
              <w:top w:w="72" w:type="dxa"/>
              <w:left w:w="115" w:type="dxa"/>
              <w:bottom w:w="72" w:type="dxa"/>
              <w:right w:w="115" w:type="dxa"/>
            </w:tcMar>
            <w:vAlign w:val="center"/>
          </w:tcPr>
          <w:p w14:paraId="6486879A" w14:textId="396DDB58" w:rsidR="00404D0D" w:rsidRPr="00914F12" w:rsidRDefault="00696652" w:rsidP="00914F12">
            <w:pPr>
              <w:pStyle w:val="ListParagraph"/>
              <w:spacing w:line="276" w:lineRule="auto"/>
              <w:ind w:left="360"/>
              <w:rPr>
                <w:b/>
              </w:rPr>
            </w:pPr>
            <w:r>
              <w:rPr>
                <w:b/>
              </w:rPr>
              <w:t>Surgery Center/</w:t>
            </w:r>
            <w:r w:rsidRPr="00914F12">
              <w:rPr>
                <w:b/>
              </w:rPr>
              <w:t xml:space="preserve">Free-Standing </w:t>
            </w:r>
            <w:r w:rsidR="00404D0D" w:rsidRPr="00914F12">
              <w:rPr>
                <w:b/>
              </w:rPr>
              <w:t>Hospital Outpatient Department 3</w:t>
            </w:r>
          </w:p>
        </w:tc>
        <w:tc>
          <w:tcPr>
            <w:tcW w:w="2008" w:type="dxa"/>
            <w:vAlign w:val="center"/>
          </w:tcPr>
          <w:p w14:paraId="180D1C01" w14:textId="77777777" w:rsidR="00404D0D" w:rsidRDefault="00404D0D" w:rsidP="00404D0D">
            <w:pPr>
              <w:pStyle w:val="ListParagraph"/>
              <w:spacing w:line="276" w:lineRule="auto"/>
              <w:ind w:left="360"/>
            </w:pPr>
          </w:p>
        </w:tc>
        <w:tc>
          <w:tcPr>
            <w:tcW w:w="3117" w:type="dxa"/>
            <w:vAlign w:val="center"/>
          </w:tcPr>
          <w:p w14:paraId="49F80BE8" w14:textId="77777777" w:rsidR="00404D0D" w:rsidRDefault="00404D0D" w:rsidP="00404D0D">
            <w:pPr>
              <w:pStyle w:val="ListParagraph"/>
              <w:spacing w:line="276" w:lineRule="auto"/>
              <w:ind w:left="360"/>
            </w:pPr>
          </w:p>
        </w:tc>
      </w:tr>
      <w:tr w:rsidR="00404D0D" w:rsidRPr="005B2F83" w14:paraId="73C34C69" w14:textId="77777777" w:rsidTr="00914F12">
        <w:trPr>
          <w:trHeight w:val="20"/>
        </w:trPr>
        <w:tc>
          <w:tcPr>
            <w:tcW w:w="4225" w:type="dxa"/>
            <w:tcMar>
              <w:top w:w="72" w:type="dxa"/>
              <w:left w:w="115" w:type="dxa"/>
              <w:bottom w:w="72" w:type="dxa"/>
              <w:right w:w="115" w:type="dxa"/>
            </w:tcMar>
            <w:vAlign w:val="center"/>
          </w:tcPr>
          <w:p w14:paraId="78915ED3" w14:textId="728DA800" w:rsidR="00404D0D" w:rsidRPr="00914F12" w:rsidRDefault="00696652" w:rsidP="00914F12">
            <w:pPr>
              <w:pStyle w:val="ListParagraph"/>
              <w:spacing w:line="276" w:lineRule="auto"/>
              <w:ind w:left="360"/>
              <w:rPr>
                <w:b/>
              </w:rPr>
            </w:pPr>
            <w:r>
              <w:rPr>
                <w:b/>
              </w:rPr>
              <w:t>Surgery Center/</w:t>
            </w:r>
            <w:r w:rsidRPr="00914F12">
              <w:rPr>
                <w:b/>
              </w:rPr>
              <w:t xml:space="preserve">Free-Standing </w:t>
            </w:r>
            <w:r w:rsidR="00404D0D" w:rsidRPr="00914F12">
              <w:rPr>
                <w:b/>
              </w:rPr>
              <w:t>Hospital Outpatient Department 4</w:t>
            </w:r>
          </w:p>
        </w:tc>
        <w:tc>
          <w:tcPr>
            <w:tcW w:w="2008" w:type="dxa"/>
            <w:vAlign w:val="center"/>
          </w:tcPr>
          <w:p w14:paraId="7BEFB138" w14:textId="77777777" w:rsidR="00404D0D" w:rsidRDefault="00404D0D" w:rsidP="00404D0D">
            <w:pPr>
              <w:pStyle w:val="ListParagraph"/>
              <w:spacing w:line="276" w:lineRule="auto"/>
              <w:ind w:left="360"/>
            </w:pPr>
          </w:p>
        </w:tc>
        <w:tc>
          <w:tcPr>
            <w:tcW w:w="3117" w:type="dxa"/>
            <w:vAlign w:val="center"/>
          </w:tcPr>
          <w:p w14:paraId="356EB931" w14:textId="77777777" w:rsidR="00404D0D" w:rsidRDefault="00404D0D" w:rsidP="00404D0D">
            <w:pPr>
              <w:pStyle w:val="ListParagraph"/>
              <w:spacing w:line="276" w:lineRule="auto"/>
              <w:ind w:left="360"/>
            </w:pPr>
          </w:p>
        </w:tc>
      </w:tr>
      <w:tr w:rsidR="00404D0D" w:rsidRPr="005B2F83" w14:paraId="37C0A371" w14:textId="77777777" w:rsidTr="00914F12">
        <w:trPr>
          <w:trHeight w:val="20"/>
        </w:trPr>
        <w:tc>
          <w:tcPr>
            <w:tcW w:w="4225" w:type="dxa"/>
            <w:tcMar>
              <w:top w:w="72" w:type="dxa"/>
              <w:left w:w="115" w:type="dxa"/>
              <w:bottom w:w="72" w:type="dxa"/>
              <w:right w:w="115" w:type="dxa"/>
            </w:tcMar>
            <w:vAlign w:val="center"/>
          </w:tcPr>
          <w:p w14:paraId="26576084" w14:textId="7AC30583" w:rsidR="00404D0D" w:rsidRPr="00914F12" w:rsidRDefault="00696652" w:rsidP="00914F12">
            <w:pPr>
              <w:pStyle w:val="ListParagraph"/>
              <w:spacing w:line="276" w:lineRule="auto"/>
              <w:ind w:left="360"/>
              <w:rPr>
                <w:b/>
              </w:rPr>
            </w:pPr>
            <w:r>
              <w:rPr>
                <w:b/>
              </w:rPr>
              <w:t>Surgery Center/</w:t>
            </w:r>
            <w:r w:rsidRPr="00914F12">
              <w:rPr>
                <w:b/>
              </w:rPr>
              <w:t xml:space="preserve">Free-Standing </w:t>
            </w:r>
            <w:r w:rsidR="00404D0D" w:rsidRPr="00914F12">
              <w:rPr>
                <w:b/>
              </w:rPr>
              <w:t>Hospital Outpatient Department 5</w:t>
            </w:r>
          </w:p>
        </w:tc>
        <w:tc>
          <w:tcPr>
            <w:tcW w:w="2008" w:type="dxa"/>
            <w:vAlign w:val="center"/>
          </w:tcPr>
          <w:p w14:paraId="011E71E9" w14:textId="77777777" w:rsidR="00404D0D" w:rsidRDefault="00404D0D" w:rsidP="00404D0D">
            <w:pPr>
              <w:pStyle w:val="ListParagraph"/>
              <w:spacing w:line="276" w:lineRule="auto"/>
              <w:ind w:left="360"/>
            </w:pPr>
          </w:p>
        </w:tc>
        <w:tc>
          <w:tcPr>
            <w:tcW w:w="3117" w:type="dxa"/>
            <w:vAlign w:val="center"/>
          </w:tcPr>
          <w:p w14:paraId="0804B5D7" w14:textId="77777777" w:rsidR="00404D0D" w:rsidRDefault="00404D0D" w:rsidP="00404D0D">
            <w:pPr>
              <w:pStyle w:val="ListParagraph"/>
              <w:spacing w:line="276" w:lineRule="auto"/>
              <w:ind w:left="360"/>
            </w:pPr>
          </w:p>
        </w:tc>
      </w:tr>
    </w:tbl>
    <w:p w14:paraId="6F543F31" w14:textId="77777777" w:rsidR="00914F12" w:rsidRDefault="00914F12" w:rsidP="00753419"/>
    <w:p w14:paraId="7BEF1051" w14:textId="77777777" w:rsidR="00F83C07" w:rsidRDefault="00F83C07" w:rsidP="00753419"/>
    <w:p w14:paraId="4E3F0945" w14:textId="77777777" w:rsidR="00F83C07" w:rsidRDefault="00F83C07" w:rsidP="00753419"/>
    <w:p w14:paraId="458D7E5F" w14:textId="77777777" w:rsidR="00F83C07" w:rsidRDefault="00F83C07" w:rsidP="00753419"/>
    <w:p w14:paraId="7022823B" w14:textId="77777777" w:rsidR="00F83C07" w:rsidRDefault="00F83C07" w:rsidP="00753419"/>
    <w:p w14:paraId="2B0463B6" w14:textId="722F091B" w:rsidR="006E467C" w:rsidRPr="00841998" w:rsidRDefault="006E467C" w:rsidP="00AB5B80">
      <w:pPr>
        <w:pStyle w:val="Heading3"/>
        <w:rPr>
          <w:sz w:val="20"/>
          <w:szCs w:val="20"/>
        </w:rPr>
      </w:pPr>
      <w:bookmarkStart w:id="735" w:name="_Toc225877843"/>
      <w:r w:rsidRPr="006E467C">
        <w:t>Neuro</w:t>
      </w:r>
      <w:bookmarkEnd w:id="732"/>
      <w:r w:rsidR="00AD5994">
        <w:t>logical Surgery</w:t>
      </w:r>
      <w:bookmarkEnd w:id="735"/>
      <w:r w:rsidR="006606DD">
        <w:br/>
      </w:r>
    </w:p>
    <w:tbl>
      <w:tblPr>
        <w:tblStyle w:val="TableGrid17"/>
        <w:tblW w:w="0" w:type="auto"/>
        <w:tblLook w:val="04A0" w:firstRow="1" w:lastRow="0" w:firstColumn="1" w:lastColumn="0" w:noHBand="0" w:noVBand="1"/>
      </w:tblPr>
      <w:tblGrid>
        <w:gridCol w:w="5015"/>
        <w:gridCol w:w="4335"/>
      </w:tblGrid>
      <w:tr w:rsidR="00073B66" w:rsidRPr="00073B66" w14:paraId="48C89240" w14:textId="77777777" w:rsidTr="00914F12">
        <w:trPr>
          <w:trHeight w:val="20"/>
        </w:trPr>
        <w:tc>
          <w:tcPr>
            <w:tcW w:w="9350" w:type="dxa"/>
            <w:gridSpan w:val="2"/>
            <w:tcMar>
              <w:top w:w="72" w:type="dxa"/>
              <w:left w:w="115" w:type="dxa"/>
              <w:bottom w:w="72" w:type="dxa"/>
              <w:right w:w="115" w:type="dxa"/>
            </w:tcMar>
            <w:vAlign w:val="center"/>
          </w:tcPr>
          <w:p w14:paraId="5B23A4FB" w14:textId="79130D64" w:rsidR="00073B66" w:rsidRPr="00073B66" w:rsidRDefault="00073B66" w:rsidP="00AD309C">
            <w:pPr>
              <w:numPr>
                <w:ilvl w:val="0"/>
                <w:numId w:val="91"/>
              </w:numPr>
              <w:spacing w:line="276" w:lineRule="auto"/>
              <w:rPr>
                <w:rFonts w:eastAsia="Yu Gothic Light"/>
              </w:rPr>
            </w:pPr>
            <w:r w:rsidRPr="00073B66">
              <w:rPr>
                <w:rFonts w:eastAsia="Yu Gothic Light"/>
              </w:rPr>
              <w:t xml:space="preserve">Total adult volume for </w:t>
            </w:r>
            <w:r w:rsidR="00CC65E4">
              <w:rPr>
                <w:rFonts w:eastAsia="Yu Gothic Light"/>
              </w:rPr>
              <w:t>the following procedure</w:t>
            </w:r>
            <w:r w:rsidRPr="00073B66">
              <w:rPr>
                <w:rFonts w:eastAsia="Yu Gothic Light"/>
              </w:rPr>
              <w:t xml:space="preserve"> performed at your </w:t>
            </w:r>
            <w:r w:rsidR="006319E7">
              <w:rPr>
                <w:rFonts w:eastAsia="Yu Gothic Light"/>
              </w:rPr>
              <w:t>hospital outpatient department(s)</w:t>
            </w:r>
            <w:r w:rsidRPr="00073B66">
              <w:rPr>
                <w:rFonts w:eastAsia="Yu Gothic Light"/>
              </w:rPr>
              <w:t xml:space="preserve"> during the reporting period.</w:t>
            </w:r>
          </w:p>
          <w:p w14:paraId="017D18F7" w14:textId="77777777" w:rsidR="00073B66" w:rsidRPr="00073B66" w:rsidRDefault="00073B66" w:rsidP="00073B66">
            <w:pPr>
              <w:spacing w:line="276" w:lineRule="auto"/>
              <w:rPr>
                <w:rFonts w:eastAsia="Yu Gothic Light"/>
              </w:rPr>
            </w:pPr>
          </w:p>
          <w:p w14:paraId="37335ECC" w14:textId="6EC6C62B" w:rsidR="00073B66" w:rsidRPr="00073B66" w:rsidRDefault="00073B66" w:rsidP="00CC65E4">
            <w:pPr>
              <w:ind w:left="360"/>
            </w:pPr>
            <w:r w:rsidRPr="00073B66">
              <w:rPr>
                <w:i/>
              </w:rPr>
              <w:t xml:space="preserve">You cannot leave any blank. If you did not perform </w:t>
            </w:r>
            <w:r w:rsidR="00CC65E4">
              <w:rPr>
                <w:i/>
              </w:rPr>
              <w:t>the procedure</w:t>
            </w:r>
            <w:r w:rsidRPr="00073B66">
              <w:rPr>
                <w:i/>
              </w:rPr>
              <w:t xml:space="preserve"> listed below</w:t>
            </w:r>
            <w:r w:rsidR="00CC65E4">
              <w:rPr>
                <w:i/>
              </w:rPr>
              <w:t xml:space="preserve">, </w:t>
            </w:r>
            <w:r w:rsidRPr="00073B66">
              <w:rPr>
                <w:i/>
              </w:rPr>
              <w:t>go back to question #</w:t>
            </w:r>
            <w:r w:rsidR="006308BB">
              <w:rPr>
                <w:i/>
              </w:rPr>
              <w:t>8</w:t>
            </w:r>
            <w:r w:rsidRPr="00073B66">
              <w:rPr>
                <w:i/>
              </w:rPr>
              <w:t xml:space="preserve"> and update your response from “yes” to “no.”</w:t>
            </w:r>
          </w:p>
        </w:tc>
      </w:tr>
      <w:tr w:rsidR="001A4A1F" w:rsidRPr="00073B66" w14:paraId="51CB87A8" w14:textId="77777777" w:rsidTr="00EC4DCE">
        <w:trPr>
          <w:trHeight w:val="20"/>
        </w:trPr>
        <w:tc>
          <w:tcPr>
            <w:tcW w:w="5015" w:type="dxa"/>
            <w:tcMar>
              <w:top w:w="72" w:type="dxa"/>
              <w:left w:w="115" w:type="dxa"/>
              <w:bottom w:w="72" w:type="dxa"/>
              <w:right w:w="115" w:type="dxa"/>
            </w:tcMar>
            <w:vAlign w:val="center"/>
          </w:tcPr>
          <w:p w14:paraId="519F73E5" w14:textId="77777777" w:rsidR="001A4A1F" w:rsidRPr="00073B66" w:rsidRDefault="001A4A1F" w:rsidP="00073B66">
            <w:pPr>
              <w:spacing w:line="276" w:lineRule="auto"/>
              <w:rPr>
                <w:rFonts w:eastAsia="Yu Gothic Light"/>
              </w:rPr>
            </w:pPr>
          </w:p>
        </w:tc>
        <w:tc>
          <w:tcPr>
            <w:tcW w:w="4335" w:type="dxa"/>
            <w:tcMar>
              <w:top w:w="72" w:type="dxa"/>
              <w:left w:w="115" w:type="dxa"/>
              <w:bottom w:w="72" w:type="dxa"/>
              <w:right w:w="115" w:type="dxa"/>
            </w:tcMar>
            <w:vAlign w:val="center"/>
          </w:tcPr>
          <w:p w14:paraId="18AD776E" w14:textId="4E8609D9" w:rsidR="001A4A1F" w:rsidRPr="00073B66" w:rsidRDefault="001A4A1F" w:rsidP="004F63C1">
            <w:pPr>
              <w:jc w:val="center"/>
              <w:rPr>
                <w:i/>
              </w:rPr>
            </w:pPr>
            <w:r w:rsidRPr="00073B66">
              <w:rPr>
                <w:i/>
              </w:rPr>
              <w:t>Adult Volume</w:t>
            </w:r>
          </w:p>
        </w:tc>
      </w:tr>
      <w:tr w:rsidR="001A4A1F" w:rsidRPr="00073B66" w14:paraId="5E415E0B" w14:textId="77777777" w:rsidTr="00EC4DCE">
        <w:trPr>
          <w:trHeight w:val="20"/>
        </w:trPr>
        <w:tc>
          <w:tcPr>
            <w:tcW w:w="5015" w:type="dxa"/>
            <w:tcMar>
              <w:top w:w="72" w:type="dxa"/>
              <w:left w:w="115" w:type="dxa"/>
              <w:bottom w:w="72" w:type="dxa"/>
              <w:right w:w="115" w:type="dxa"/>
            </w:tcMar>
            <w:vAlign w:val="center"/>
          </w:tcPr>
          <w:p w14:paraId="082029ED" w14:textId="77777777" w:rsidR="001A4A1F" w:rsidRPr="00073B66" w:rsidRDefault="001A4A1F" w:rsidP="0017656A">
            <w:pPr>
              <w:spacing w:line="276" w:lineRule="auto"/>
              <w:rPr>
                <w:rFonts w:eastAsia="Yu Gothic Light"/>
                <w:b/>
              </w:rPr>
            </w:pPr>
            <w:r w:rsidRPr="00073B66">
              <w:rPr>
                <w:rFonts w:eastAsia="Yu Gothic Light"/>
                <w:b/>
              </w:rPr>
              <w:t>Spin</w:t>
            </w:r>
            <w:r>
              <w:rPr>
                <w:rFonts w:eastAsia="Yu Gothic Light"/>
                <w:b/>
              </w:rPr>
              <w:t>al fusion</w:t>
            </w:r>
            <w:r w:rsidRPr="00073B66">
              <w:rPr>
                <w:rFonts w:eastAsia="Yu Gothic Light"/>
                <w:b/>
              </w:rPr>
              <w:t xml:space="preserve"> procedures</w:t>
            </w:r>
          </w:p>
        </w:tc>
        <w:tc>
          <w:tcPr>
            <w:tcW w:w="4335" w:type="dxa"/>
            <w:tcMar>
              <w:top w:w="72" w:type="dxa"/>
              <w:left w:w="115" w:type="dxa"/>
              <w:bottom w:w="72" w:type="dxa"/>
              <w:right w:w="115" w:type="dxa"/>
            </w:tcMar>
            <w:vAlign w:val="center"/>
          </w:tcPr>
          <w:p w14:paraId="5ADFFEDD" w14:textId="7F7DBF24" w:rsidR="001A4A1F" w:rsidRPr="00073B66" w:rsidRDefault="001A4A1F" w:rsidP="001A4A1F">
            <w:pPr>
              <w:jc w:val="center"/>
            </w:pPr>
            <w:r w:rsidRPr="00073B66">
              <w:t>_____</w:t>
            </w:r>
          </w:p>
        </w:tc>
      </w:tr>
    </w:tbl>
    <w:p w14:paraId="0CC1AC35" w14:textId="77777777" w:rsidR="00FB2552" w:rsidRDefault="00FB2552" w:rsidP="00753419"/>
    <w:tbl>
      <w:tblPr>
        <w:tblStyle w:val="TableGrid"/>
        <w:tblW w:w="0" w:type="auto"/>
        <w:tblLayout w:type="fixed"/>
        <w:tblCellMar>
          <w:left w:w="115" w:type="dxa"/>
          <w:right w:w="115" w:type="dxa"/>
        </w:tblCellMar>
        <w:tblLook w:val="04A0" w:firstRow="1" w:lastRow="0" w:firstColumn="1" w:lastColumn="0" w:noHBand="0" w:noVBand="1"/>
      </w:tblPr>
      <w:tblGrid>
        <w:gridCol w:w="6205"/>
        <w:gridCol w:w="3145"/>
      </w:tblGrid>
      <w:tr w:rsidR="00FB2552" w:rsidRPr="005B2F83" w14:paraId="10CB72A4" w14:textId="77777777" w:rsidTr="00914F12">
        <w:trPr>
          <w:trHeight w:val="20"/>
        </w:trPr>
        <w:tc>
          <w:tcPr>
            <w:tcW w:w="6205" w:type="dxa"/>
            <w:tcMar>
              <w:top w:w="72" w:type="dxa"/>
              <w:left w:w="115" w:type="dxa"/>
              <w:bottom w:w="72" w:type="dxa"/>
              <w:right w:w="115" w:type="dxa"/>
            </w:tcMar>
            <w:vAlign w:val="center"/>
          </w:tcPr>
          <w:p w14:paraId="7CF8296B" w14:textId="77777777" w:rsidR="00FB2552" w:rsidRDefault="00FB2552" w:rsidP="00AD309C">
            <w:pPr>
              <w:pStyle w:val="ListParagraph"/>
              <w:numPr>
                <w:ilvl w:val="0"/>
                <w:numId w:val="91"/>
              </w:numPr>
            </w:pPr>
            <w:r>
              <w:t xml:space="preserve">Where were these </w:t>
            </w:r>
            <w:r w:rsidRPr="00FB2552">
              <w:rPr>
                <w:b/>
              </w:rPr>
              <w:t>neurological surgery</w:t>
            </w:r>
            <w:r w:rsidRPr="005D2045">
              <w:rPr>
                <w:b/>
              </w:rPr>
              <w:t xml:space="preserve"> </w:t>
            </w:r>
            <w:r>
              <w:t>procedures performed?</w:t>
            </w:r>
          </w:p>
          <w:p w14:paraId="5759E89A" w14:textId="77777777" w:rsidR="00FB2552" w:rsidRDefault="00FB2552" w:rsidP="00CA75AB">
            <w:pPr>
              <w:pStyle w:val="ListParagraph"/>
              <w:ind w:left="360"/>
            </w:pPr>
          </w:p>
          <w:p w14:paraId="2F3D4A2B" w14:textId="77777777" w:rsidR="00FB2552" w:rsidRPr="00131F2C" w:rsidRDefault="00FB2552" w:rsidP="00CA75AB">
            <w:pPr>
              <w:pStyle w:val="ListParagraph"/>
              <w:ind w:left="360"/>
              <w:rPr>
                <w:i/>
              </w:rPr>
            </w:pPr>
            <w:r>
              <w:rPr>
                <w:i/>
              </w:rPr>
              <w:t>Select all that apply.</w:t>
            </w:r>
          </w:p>
          <w:p w14:paraId="5D530E83" w14:textId="77777777" w:rsidR="00FB2552" w:rsidRPr="005D2045" w:rsidRDefault="00FB2552" w:rsidP="00CA75AB">
            <w:pPr>
              <w:pStyle w:val="ListParagraph"/>
              <w:ind w:left="360"/>
            </w:pPr>
          </w:p>
          <w:p w14:paraId="5660AEF3" w14:textId="36CDF8AD" w:rsidR="00FB2552" w:rsidRPr="005D2045" w:rsidRDefault="00EF5178" w:rsidP="00CA75AB">
            <w:pPr>
              <w:pStyle w:val="ListParagraph"/>
              <w:ind w:left="360"/>
            </w:pPr>
            <w:r w:rsidRPr="00F8591A">
              <w:rPr>
                <w:i/>
              </w:rPr>
              <w:t>If only “hospital” is selected,</w:t>
            </w:r>
            <w:r>
              <w:rPr>
                <w:i/>
              </w:rPr>
              <w:t xml:space="preserve"> </w:t>
            </w:r>
            <w:r w:rsidR="00FB2552" w:rsidRPr="00B674A0">
              <w:rPr>
                <w:i/>
              </w:rPr>
              <w:t xml:space="preserve">skip </w:t>
            </w:r>
            <w:r w:rsidR="00FB2552">
              <w:rPr>
                <w:i/>
              </w:rPr>
              <w:t>question #</w:t>
            </w:r>
            <w:r w:rsidR="00AA4267">
              <w:rPr>
                <w:i/>
              </w:rPr>
              <w:t>3</w:t>
            </w:r>
            <w:r w:rsidR="006308BB">
              <w:rPr>
                <w:i/>
              </w:rPr>
              <w:t>1</w:t>
            </w:r>
            <w:r w:rsidR="00FB2552">
              <w:rPr>
                <w:i/>
              </w:rPr>
              <w:t xml:space="preserve"> and continue to question #</w:t>
            </w:r>
            <w:r w:rsidR="00AA4267">
              <w:rPr>
                <w:i/>
              </w:rPr>
              <w:t>3</w:t>
            </w:r>
            <w:r w:rsidR="006308BB">
              <w:rPr>
                <w:i/>
              </w:rPr>
              <w:t>2</w:t>
            </w:r>
            <w:r w:rsidR="00FB2552">
              <w:rPr>
                <w:i/>
              </w:rPr>
              <w:t>.</w:t>
            </w:r>
          </w:p>
        </w:tc>
        <w:tc>
          <w:tcPr>
            <w:tcW w:w="3145" w:type="dxa"/>
            <w:vAlign w:val="center"/>
          </w:tcPr>
          <w:p w14:paraId="562487AD" w14:textId="77777777" w:rsidR="00FB2552" w:rsidRPr="00753419" w:rsidRDefault="00FB2552" w:rsidP="00AD309C">
            <w:pPr>
              <w:pStyle w:val="ListParagraph"/>
              <w:numPr>
                <w:ilvl w:val="0"/>
                <w:numId w:val="94"/>
              </w:numPr>
              <w:spacing w:line="276" w:lineRule="auto"/>
              <w:rPr>
                <w:iCs/>
              </w:rPr>
            </w:pPr>
            <w:r w:rsidRPr="00753419">
              <w:rPr>
                <w:iCs/>
              </w:rPr>
              <w:t>Hospital</w:t>
            </w:r>
          </w:p>
          <w:p w14:paraId="5275EB29" w14:textId="616B81F4" w:rsidR="00FB2552" w:rsidRPr="00551F82" w:rsidRDefault="00EF46A6" w:rsidP="00AD309C">
            <w:pPr>
              <w:pStyle w:val="ListParagraph"/>
              <w:numPr>
                <w:ilvl w:val="0"/>
                <w:numId w:val="94"/>
              </w:numPr>
              <w:spacing w:line="276" w:lineRule="auto"/>
              <w:rPr>
                <w:i/>
              </w:rPr>
            </w:pPr>
            <w:r w:rsidRPr="00753419">
              <w:rPr>
                <w:iCs/>
              </w:rPr>
              <w:t>Surgery center or f</w:t>
            </w:r>
            <w:r w:rsidR="006319E7" w:rsidRPr="00753419">
              <w:rPr>
                <w:iCs/>
              </w:rPr>
              <w:t>ree</w:t>
            </w:r>
            <w:r w:rsidR="005C60B1" w:rsidRPr="00753419">
              <w:rPr>
                <w:iCs/>
              </w:rPr>
              <w:t>-</w:t>
            </w:r>
            <w:r w:rsidR="006319E7" w:rsidRPr="00753419">
              <w:rPr>
                <w:iCs/>
              </w:rPr>
              <w:t>standing hospital outpatient department</w:t>
            </w:r>
          </w:p>
        </w:tc>
      </w:tr>
    </w:tbl>
    <w:p w14:paraId="67F9C2E2" w14:textId="77777777" w:rsidR="00FB2552" w:rsidRDefault="00FB2552" w:rsidP="00FB2552"/>
    <w:tbl>
      <w:tblPr>
        <w:tblStyle w:val="TableGrid"/>
        <w:tblW w:w="0" w:type="auto"/>
        <w:tblLayout w:type="fixed"/>
        <w:tblCellMar>
          <w:left w:w="115" w:type="dxa"/>
          <w:right w:w="115" w:type="dxa"/>
        </w:tblCellMar>
        <w:tblLook w:val="04A0" w:firstRow="1" w:lastRow="0" w:firstColumn="1" w:lastColumn="0" w:noHBand="0" w:noVBand="1"/>
      </w:tblPr>
      <w:tblGrid>
        <w:gridCol w:w="4225"/>
        <w:gridCol w:w="2008"/>
        <w:gridCol w:w="3117"/>
      </w:tblGrid>
      <w:tr w:rsidR="00FB2552" w:rsidRPr="005B2F83" w14:paraId="358058D8" w14:textId="77777777" w:rsidTr="00914F12">
        <w:trPr>
          <w:trHeight w:val="20"/>
        </w:trPr>
        <w:tc>
          <w:tcPr>
            <w:tcW w:w="9350" w:type="dxa"/>
            <w:gridSpan w:val="3"/>
            <w:tcMar>
              <w:top w:w="72" w:type="dxa"/>
              <w:left w:w="115" w:type="dxa"/>
              <w:bottom w:w="72" w:type="dxa"/>
              <w:right w:w="115" w:type="dxa"/>
            </w:tcMar>
            <w:vAlign w:val="center"/>
          </w:tcPr>
          <w:p w14:paraId="73B658FA" w14:textId="49572363" w:rsidR="00FB2552" w:rsidRDefault="00FB2552" w:rsidP="00AD309C">
            <w:pPr>
              <w:pStyle w:val="ListParagraph"/>
              <w:numPr>
                <w:ilvl w:val="0"/>
                <w:numId w:val="91"/>
              </w:numPr>
              <w:spacing w:line="276" w:lineRule="auto"/>
              <w:rPr>
                <w:i/>
              </w:rPr>
            </w:pPr>
            <w:r>
              <w:t xml:space="preserve">Please provide the name and city location of each </w:t>
            </w:r>
            <w:r w:rsidR="003E46F9">
              <w:t xml:space="preserve">surgery center or </w:t>
            </w:r>
            <w:r w:rsidR="005C60B1" w:rsidRPr="006319E7">
              <w:t>free-standing</w:t>
            </w:r>
            <w:r w:rsidR="006319E7" w:rsidRPr="006319E7">
              <w:t xml:space="preserve"> hospital outpatient department</w:t>
            </w:r>
            <w:r>
              <w:t xml:space="preserve"> performing </w:t>
            </w:r>
            <w:r w:rsidRPr="00FB2552">
              <w:rPr>
                <w:b/>
              </w:rPr>
              <w:t>neurological surgery</w:t>
            </w:r>
            <w:r>
              <w:t xml:space="preserve"> procedures:</w:t>
            </w:r>
          </w:p>
        </w:tc>
      </w:tr>
      <w:tr w:rsidR="00404D0D" w:rsidRPr="005B2F83" w14:paraId="47EDA793" w14:textId="77777777" w:rsidTr="00914F12">
        <w:trPr>
          <w:trHeight w:val="20"/>
        </w:trPr>
        <w:tc>
          <w:tcPr>
            <w:tcW w:w="4225" w:type="dxa"/>
            <w:tcMar>
              <w:top w:w="72" w:type="dxa"/>
              <w:left w:w="115" w:type="dxa"/>
              <w:bottom w:w="72" w:type="dxa"/>
              <w:right w:w="115" w:type="dxa"/>
            </w:tcMar>
            <w:vAlign w:val="center"/>
          </w:tcPr>
          <w:p w14:paraId="17DD3136" w14:textId="77777777" w:rsidR="00404D0D" w:rsidRDefault="00404D0D" w:rsidP="00404D0D">
            <w:pPr>
              <w:pStyle w:val="ListParagraph"/>
              <w:spacing w:line="276" w:lineRule="auto"/>
              <w:ind w:left="360"/>
            </w:pPr>
          </w:p>
        </w:tc>
        <w:tc>
          <w:tcPr>
            <w:tcW w:w="2008" w:type="dxa"/>
            <w:vAlign w:val="center"/>
          </w:tcPr>
          <w:p w14:paraId="1BB596D2" w14:textId="00235A93" w:rsidR="00404D0D" w:rsidRPr="005C60B1" w:rsidRDefault="00404D0D" w:rsidP="004F63C1">
            <w:pPr>
              <w:spacing w:line="276" w:lineRule="auto"/>
              <w:jc w:val="center"/>
              <w:rPr>
                <w:i/>
              </w:rPr>
            </w:pPr>
            <w:r w:rsidRPr="005C60B1">
              <w:rPr>
                <w:i/>
              </w:rPr>
              <w:t>Name</w:t>
            </w:r>
          </w:p>
        </w:tc>
        <w:tc>
          <w:tcPr>
            <w:tcW w:w="3117" w:type="dxa"/>
            <w:vAlign w:val="center"/>
          </w:tcPr>
          <w:p w14:paraId="2067C497" w14:textId="528A5338" w:rsidR="00404D0D" w:rsidRPr="005C60B1" w:rsidRDefault="00404D0D" w:rsidP="004F63C1">
            <w:pPr>
              <w:spacing w:line="276" w:lineRule="auto"/>
              <w:jc w:val="center"/>
              <w:rPr>
                <w:i/>
              </w:rPr>
            </w:pPr>
            <w:r w:rsidRPr="005C60B1">
              <w:rPr>
                <w:i/>
              </w:rPr>
              <w:t>City</w:t>
            </w:r>
          </w:p>
        </w:tc>
      </w:tr>
      <w:tr w:rsidR="00404D0D" w:rsidRPr="005B2F83" w14:paraId="6439B6F7" w14:textId="77777777" w:rsidTr="00914F12">
        <w:trPr>
          <w:trHeight w:val="20"/>
        </w:trPr>
        <w:tc>
          <w:tcPr>
            <w:tcW w:w="4225" w:type="dxa"/>
            <w:tcMar>
              <w:top w:w="72" w:type="dxa"/>
              <w:left w:w="115" w:type="dxa"/>
              <w:bottom w:w="72" w:type="dxa"/>
              <w:right w:w="115" w:type="dxa"/>
            </w:tcMar>
            <w:vAlign w:val="center"/>
          </w:tcPr>
          <w:p w14:paraId="0342A0A0" w14:textId="51AA0D45" w:rsidR="00404D0D" w:rsidRPr="00914F12" w:rsidRDefault="00696652" w:rsidP="00914F12">
            <w:pPr>
              <w:pStyle w:val="ListParagraph"/>
              <w:spacing w:line="276" w:lineRule="auto"/>
              <w:ind w:left="360"/>
              <w:rPr>
                <w:b/>
              </w:rPr>
            </w:pPr>
            <w:r>
              <w:rPr>
                <w:b/>
              </w:rPr>
              <w:t>Surgery Center/</w:t>
            </w:r>
            <w:r w:rsidRPr="00914F12">
              <w:rPr>
                <w:b/>
              </w:rPr>
              <w:t xml:space="preserve">Free-Standing </w:t>
            </w:r>
            <w:r w:rsidR="00404D0D" w:rsidRPr="00914F12">
              <w:rPr>
                <w:b/>
              </w:rPr>
              <w:t>Hospital Outpatient Department 1</w:t>
            </w:r>
          </w:p>
        </w:tc>
        <w:tc>
          <w:tcPr>
            <w:tcW w:w="2008" w:type="dxa"/>
            <w:vAlign w:val="center"/>
          </w:tcPr>
          <w:p w14:paraId="2E18D505" w14:textId="77777777" w:rsidR="00404D0D" w:rsidRDefault="00404D0D" w:rsidP="00404D0D">
            <w:pPr>
              <w:pStyle w:val="ListParagraph"/>
              <w:spacing w:line="276" w:lineRule="auto"/>
              <w:ind w:left="360"/>
            </w:pPr>
          </w:p>
        </w:tc>
        <w:tc>
          <w:tcPr>
            <w:tcW w:w="3117" w:type="dxa"/>
            <w:vAlign w:val="center"/>
          </w:tcPr>
          <w:p w14:paraId="09B0F1D2" w14:textId="77777777" w:rsidR="00404D0D" w:rsidRDefault="00404D0D" w:rsidP="00404D0D">
            <w:pPr>
              <w:pStyle w:val="ListParagraph"/>
              <w:spacing w:line="276" w:lineRule="auto"/>
              <w:ind w:left="360"/>
            </w:pPr>
          </w:p>
        </w:tc>
      </w:tr>
      <w:tr w:rsidR="00404D0D" w:rsidRPr="005B2F83" w14:paraId="6836D1DB" w14:textId="77777777" w:rsidTr="00914F12">
        <w:trPr>
          <w:trHeight w:val="20"/>
        </w:trPr>
        <w:tc>
          <w:tcPr>
            <w:tcW w:w="4225" w:type="dxa"/>
            <w:tcMar>
              <w:top w:w="72" w:type="dxa"/>
              <w:left w:w="115" w:type="dxa"/>
              <w:bottom w:w="72" w:type="dxa"/>
              <w:right w:w="115" w:type="dxa"/>
            </w:tcMar>
            <w:vAlign w:val="center"/>
          </w:tcPr>
          <w:p w14:paraId="152D0BFB" w14:textId="2085FAFC" w:rsidR="00404D0D" w:rsidRPr="00914F12" w:rsidRDefault="00696652" w:rsidP="00914F12">
            <w:pPr>
              <w:pStyle w:val="ListParagraph"/>
              <w:spacing w:line="276" w:lineRule="auto"/>
              <w:ind w:left="360"/>
              <w:rPr>
                <w:b/>
              </w:rPr>
            </w:pPr>
            <w:r>
              <w:rPr>
                <w:b/>
              </w:rPr>
              <w:t>Surgery Center/</w:t>
            </w:r>
            <w:r w:rsidRPr="00914F12">
              <w:rPr>
                <w:b/>
              </w:rPr>
              <w:t xml:space="preserve">Free-Standing </w:t>
            </w:r>
            <w:r w:rsidR="00404D0D" w:rsidRPr="00914F12">
              <w:rPr>
                <w:b/>
              </w:rPr>
              <w:t>Hospital Outpatient Department 2</w:t>
            </w:r>
          </w:p>
        </w:tc>
        <w:tc>
          <w:tcPr>
            <w:tcW w:w="2008" w:type="dxa"/>
            <w:vAlign w:val="center"/>
          </w:tcPr>
          <w:p w14:paraId="7C316563" w14:textId="77777777" w:rsidR="00404D0D" w:rsidRDefault="00404D0D" w:rsidP="00404D0D">
            <w:pPr>
              <w:pStyle w:val="ListParagraph"/>
              <w:spacing w:line="276" w:lineRule="auto"/>
              <w:ind w:left="360"/>
            </w:pPr>
          </w:p>
        </w:tc>
        <w:tc>
          <w:tcPr>
            <w:tcW w:w="3117" w:type="dxa"/>
            <w:vAlign w:val="center"/>
          </w:tcPr>
          <w:p w14:paraId="0E0B7291" w14:textId="77777777" w:rsidR="00404D0D" w:rsidRDefault="00404D0D" w:rsidP="00404D0D">
            <w:pPr>
              <w:pStyle w:val="ListParagraph"/>
              <w:spacing w:line="276" w:lineRule="auto"/>
              <w:ind w:left="360"/>
            </w:pPr>
          </w:p>
        </w:tc>
      </w:tr>
      <w:tr w:rsidR="00404D0D" w:rsidRPr="005B2F83" w14:paraId="59ABCC8A" w14:textId="77777777" w:rsidTr="00914F12">
        <w:trPr>
          <w:trHeight w:val="20"/>
        </w:trPr>
        <w:tc>
          <w:tcPr>
            <w:tcW w:w="4225" w:type="dxa"/>
            <w:tcMar>
              <w:top w:w="72" w:type="dxa"/>
              <w:left w:w="115" w:type="dxa"/>
              <w:bottom w:w="72" w:type="dxa"/>
              <w:right w:w="115" w:type="dxa"/>
            </w:tcMar>
            <w:vAlign w:val="center"/>
          </w:tcPr>
          <w:p w14:paraId="1A1DACB5" w14:textId="034DF930" w:rsidR="00404D0D" w:rsidRPr="00914F12" w:rsidRDefault="00696652" w:rsidP="00914F12">
            <w:pPr>
              <w:pStyle w:val="ListParagraph"/>
              <w:spacing w:line="276" w:lineRule="auto"/>
              <w:ind w:left="360"/>
              <w:rPr>
                <w:b/>
              </w:rPr>
            </w:pPr>
            <w:r>
              <w:rPr>
                <w:b/>
              </w:rPr>
              <w:t>Surgery Center/</w:t>
            </w:r>
            <w:r w:rsidRPr="00914F12">
              <w:rPr>
                <w:b/>
              </w:rPr>
              <w:t xml:space="preserve">Free-Standing </w:t>
            </w:r>
            <w:r w:rsidR="00404D0D" w:rsidRPr="00914F12">
              <w:rPr>
                <w:b/>
              </w:rPr>
              <w:t>Hospital Outpatient Department 3</w:t>
            </w:r>
          </w:p>
        </w:tc>
        <w:tc>
          <w:tcPr>
            <w:tcW w:w="2008" w:type="dxa"/>
            <w:vAlign w:val="center"/>
          </w:tcPr>
          <w:p w14:paraId="7F774FAD" w14:textId="77777777" w:rsidR="00404D0D" w:rsidRDefault="00404D0D" w:rsidP="00404D0D">
            <w:pPr>
              <w:pStyle w:val="ListParagraph"/>
              <w:spacing w:line="276" w:lineRule="auto"/>
              <w:ind w:left="360"/>
            </w:pPr>
          </w:p>
        </w:tc>
        <w:tc>
          <w:tcPr>
            <w:tcW w:w="3117" w:type="dxa"/>
            <w:vAlign w:val="center"/>
          </w:tcPr>
          <w:p w14:paraId="1F389B55" w14:textId="77777777" w:rsidR="00404D0D" w:rsidRDefault="00404D0D" w:rsidP="00404D0D">
            <w:pPr>
              <w:pStyle w:val="ListParagraph"/>
              <w:spacing w:line="276" w:lineRule="auto"/>
              <w:ind w:left="360"/>
            </w:pPr>
          </w:p>
        </w:tc>
      </w:tr>
      <w:tr w:rsidR="00404D0D" w:rsidRPr="005B2F83" w14:paraId="1EFD35F0" w14:textId="77777777" w:rsidTr="00914F12">
        <w:trPr>
          <w:trHeight w:val="144"/>
        </w:trPr>
        <w:tc>
          <w:tcPr>
            <w:tcW w:w="4225" w:type="dxa"/>
            <w:tcMar>
              <w:top w:w="72" w:type="dxa"/>
              <w:left w:w="115" w:type="dxa"/>
              <w:bottom w:w="72" w:type="dxa"/>
              <w:right w:w="115" w:type="dxa"/>
            </w:tcMar>
            <w:vAlign w:val="center"/>
          </w:tcPr>
          <w:p w14:paraId="2ED2C0F8" w14:textId="1D62EE1E" w:rsidR="00404D0D" w:rsidRPr="00914F12" w:rsidRDefault="00696652" w:rsidP="00914F12">
            <w:pPr>
              <w:pStyle w:val="ListParagraph"/>
              <w:spacing w:line="276" w:lineRule="auto"/>
              <w:ind w:left="360"/>
              <w:rPr>
                <w:b/>
              </w:rPr>
            </w:pPr>
            <w:r>
              <w:rPr>
                <w:b/>
              </w:rPr>
              <w:t>Surgery Center/</w:t>
            </w:r>
            <w:r w:rsidRPr="00914F12">
              <w:rPr>
                <w:b/>
              </w:rPr>
              <w:t xml:space="preserve">Free-Standing </w:t>
            </w:r>
            <w:r w:rsidR="00404D0D" w:rsidRPr="00914F12">
              <w:rPr>
                <w:b/>
              </w:rPr>
              <w:t>Hospital Outpatient Department 4</w:t>
            </w:r>
          </w:p>
        </w:tc>
        <w:tc>
          <w:tcPr>
            <w:tcW w:w="2008" w:type="dxa"/>
            <w:vAlign w:val="center"/>
          </w:tcPr>
          <w:p w14:paraId="6641C714" w14:textId="77777777" w:rsidR="00404D0D" w:rsidRDefault="00404D0D" w:rsidP="00404D0D">
            <w:pPr>
              <w:pStyle w:val="ListParagraph"/>
              <w:spacing w:line="276" w:lineRule="auto"/>
              <w:ind w:left="360"/>
            </w:pPr>
          </w:p>
        </w:tc>
        <w:tc>
          <w:tcPr>
            <w:tcW w:w="3117" w:type="dxa"/>
            <w:vAlign w:val="center"/>
          </w:tcPr>
          <w:p w14:paraId="047F3411" w14:textId="77777777" w:rsidR="00404D0D" w:rsidRDefault="00404D0D" w:rsidP="00404D0D">
            <w:pPr>
              <w:pStyle w:val="ListParagraph"/>
              <w:spacing w:line="276" w:lineRule="auto"/>
              <w:ind w:left="360"/>
            </w:pPr>
          </w:p>
        </w:tc>
      </w:tr>
      <w:tr w:rsidR="00404D0D" w:rsidRPr="005B2F83" w14:paraId="0806C0F2" w14:textId="77777777" w:rsidTr="00914F12">
        <w:trPr>
          <w:trHeight w:val="20"/>
        </w:trPr>
        <w:tc>
          <w:tcPr>
            <w:tcW w:w="4225" w:type="dxa"/>
            <w:tcMar>
              <w:top w:w="72" w:type="dxa"/>
              <w:left w:w="115" w:type="dxa"/>
              <w:bottom w:w="72" w:type="dxa"/>
              <w:right w:w="115" w:type="dxa"/>
            </w:tcMar>
            <w:vAlign w:val="center"/>
          </w:tcPr>
          <w:p w14:paraId="730AEFC8" w14:textId="2584D1DD" w:rsidR="00404D0D" w:rsidRPr="00914F12" w:rsidRDefault="00696652" w:rsidP="00914F12">
            <w:pPr>
              <w:pStyle w:val="ListParagraph"/>
              <w:spacing w:line="276" w:lineRule="auto"/>
              <w:ind w:left="360"/>
              <w:rPr>
                <w:b/>
              </w:rPr>
            </w:pPr>
            <w:r>
              <w:rPr>
                <w:b/>
              </w:rPr>
              <w:t>Surgery Center/</w:t>
            </w:r>
            <w:r w:rsidRPr="00914F12">
              <w:rPr>
                <w:b/>
              </w:rPr>
              <w:t xml:space="preserve">Free-Standing </w:t>
            </w:r>
            <w:r w:rsidR="00404D0D" w:rsidRPr="00914F12">
              <w:rPr>
                <w:b/>
              </w:rPr>
              <w:t>Hospital Outpatient Department 5</w:t>
            </w:r>
          </w:p>
        </w:tc>
        <w:tc>
          <w:tcPr>
            <w:tcW w:w="2008" w:type="dxa"/>
            <w:vAlign w:val="center"/>
          </w:tcPr>
          <w:p w14:paraId="059DC352" w14:textId="77777777" w:rsidR="00404D0D" w:rsidRDefault="00404D0D" w:rsidP="00404D0D">
            <w:pPr>
              <w:pStyle w:val="ListParagraph"/>
              <w:spacing w:line="276" w:lineRule="auto"/>
              <w:ind w:left="360"/>
            </w:pPr>
          </w:p>
        </w:tc>
        <w:tc>
          <w:tcPr>
            <w:tcW w:w="3117" w:type="dxa"/>
            <w:vAlign w:val="center"/>
          </w:tcPr>
          <w:p w14:paraId="105AD76A" w14:textId="77777777" w:rsidR="00404D0D" w:rsidRDefault="00404D0D" w:rsidP="00404D0D">
            <w:pPr>
              <w:pStyle w:val="ListParagraph"/>
              <w:spacing w:line="276" w:lineRule="auto"/>
              <w:ind w:left="360"/>
            </w:pPr>
          </w:p>
        </w:tc>
      </w:tr>
    </w:tbl>
    <w:p w14:paraId="42418D2B" w14:textId="77777777" w:rsidR="00267E40" w:rsidRDefault="00267E40">
      <w:pPr>
        <w:rPr>
          <w:b/>
          <w:i/>
          <w:szCs w:val="18"/>
        </w:rPr>
      </w:pPr>
      <w:bookmarkStart w:id="736" w:name="_Toc534296014"/>
    </w:p>
    <w:p w14:paraId="17FA1E9C" w14:textId="77777777" w:rsidR="00F83C07" w:rsidRDefault="00F83C07">
      <w:pPr>
        <w:rPr>
          <w:b/>
          <w:i/>
          <w:szCs w:val="18"/>
        </w:rPr>
      </w:pPr>
    </w:p>
    <w:p w14:paraId="31F1FB5B" w14:textId="77777777" w:rsidR="00F83C07" w:rsidRDefault="00F83C07">
      <w:pPr>
        <w:rPr>
          <w:b/>
          <w:i/>
          <w:szCs w:val="18"/>
        </w:rPr>
      </w:pPr>
    </w:p>
    <w:p w14:paraId="26D38B13" w14:textId="77777777" w:rsidR="00F83C07" w:rsidRDefault="00F83C07">
      <w:pPr>
        <w:rPr>
          <w:b/>
          <w:i/>
          <w:szCs w:val="18"/>
        </w:rPr>
      </w:pPr>
    </w:p>
    <w:p w14:paraId="63E21C88" w14:textId="77777777" w:rsidR="00F83C07" w:rsidRDefault="00F83C07">
      <w:pPr>
        <w:rPr>
          <w:b/>
          <w:i/>
          <w:szCs w:val="18"/>
        </w:rPr>
      </w:pPr>
    </w:p>
    <w:p w14:paraId="1758AEB8" w14:textId="77777777" w:rsidR="00F83C07" w:rsidRDefault="00F83C07">
      <w:pPr>
        <w:rPr>
          <w:b/>
          <w:i/>
          <w:szCs w:val="18"/>
        </w:rPr>
      </w:pPr>
    </w:p>
    <w:p w14:paraId="6CA632F1" w14:textId="77777777" w:rsidR="00F83C07" w:rsidRDefault="00F83C07">
      <w:pPr>
        <w:rPr>
          <w:b/>
          <w:i/>
          <w:szCs w:val="18"/>
        </w:rPr>
      </w:pPr>
    </w:p>
    <w:p w14:paraId="6423F5F6" w14:textId="77777777" w:rsidR="00F83C07" w:rsidRDefault="00F83C07">
      <w:pPr>
        <w:rPr>
          <w:b/>
          <w:i/>
          <w:szCs w:val="18"/>
        </w:rPr>
      </w:pPr>
    </w:p>
    <w:p w14:paraId="45084B0B" w14:textId="77777777" w:rsidR="00F83C07" w:rsidRDefault="00F83C07">
      <w:pPr>
        <w:rPr>
          <w:b/>
          <w:i/>
          <w:szCs w:val="18"/>
        </w:rPr>
      </w:pPr>
    </w:p>
    <w:p w14:paraId="303006B8" w14:textId="77777777" w:rsidR="00F83C07" w:rsidRDefault="00F83C07">
      <w:pPr>
        <w:rPr>
          <w:b/>
          <w:i/>
          <w:szCs w:val="18"/>
        </w:rPr>
      </w:pPr>
    </w:p>
    <w:p w14:paraId="4ACAEE1C" w14:textId="77777777" w:rsidR="00F83C07" w:rsidRDefault="00F83C07">
      <w:pPr>
        <w:rPr>
          <w:b/>
          <w:i/>
          <w:szCs w:val="18"/>
        </w:rPr>
      </w:pPr>
    </w:p>
    <w:p w14:paraId="0ACFD7E7" w14:textId="77777777" w:rsidR="00F83C07" w:rsidRPr="00914F12" w:rsidRDefault="00F83C07">
      <w:pPr>
        <w:rPr>
          <w:b/>
          <w:i/>
          <w:szCs w:val="18"/>
        </w:rPr>
      </w:pPr>
    </w:p>
    <w:p w14:paraId="4C59A972" w14:textId="205B6F9D" w:rsidR="006E467C" w:rsidRPr="00841998" w:rsidRDefault="006E467C" w:rsidP="00AB5B80">
      <w:pPr>
        <w:pStyle w:val="Heading3"/>
        <w:rPr>
          <w:sz w:val="20"/>
          <w:szCs w:val="20"/>
        </w:rPr>
      </w:pPr>
      <w:bookmarkStart w:id="737" w:name="_Toc225877844"/>
      <w:r w:rsidRPr="006E467C">
        <w:t>Obstetrics and Gynecology</w:t>
      </w:r>
      <w:bookmarkEnd w:id="736"/>
      <w:bookmarkEnd w:id="737"/>
      <w:r w:rsidR="00A212A4">
        <w:br/>
      </w:r>
    </w:p>
    <w:tbl>
      <w:tblPr>
        <w:tblStyle w:val="TableGrid18"/>
        <w:tblW w:w="0" w:type="auto"/>
        <w:tblLook w:val="04A0" w:firstRow="1" w:lastRow="0" w:firstColumn="1" w:lastColumn="0" w:noHBand="0" w:noVBand="1"/>
      </w:tblPr>
      <w:tblGrid>
        <w:gridCol w:w="5015"/>
        <w:gridCol w:w="4335"/>
      </w:tblGrid>
      <w:tr w:rsidR="00073B66" w:rsidRPr="00073B66" w14:paraId="4947D383" w14:textId="77777777" w:rsidTr="00914F12">
        <w:trPr>
          <w:trHeight w:val="20"/>
        </w:trPr>
        <w:tc>
          <w:tcPr>
            <w:tcW w:w="9350" w:type="dxa"/>
            <w:gridSpan w:val="2"/>
            <w:tcMar>
              <w:top w:w="72" w:type="dxa"/>
              <w:left w:w="115" w:type="dxa"/>
              <w:bottom w:w="72" w:type="dxa"/>
              <w:right w:w="115" w:type="dxa"/>
            </w:tcMar>
            <w:vAlign w:val="center"/>
          </w:tcPr>
          <w:p w14:paraId="144CC4D2" w14:textId="37FCA208" w:rsidR="00073B66" w:rsidRPr="00073B66" w:rsidRDefault="00073B66" w:rsidP="00AD309C">
            <w:pPr>
              <w:numPr>
                <w:ilvl w:val="0"/>
                <w:numId w:val="91"/>
              </w:numPr>
              <w:spacing w:line="276" w:lineRule="auto"/>
              <w:rPr>
                <w:rFonts w:eastAsia="Yu Gothic Light"/>
              </w:rPr>
            </w:pPr>
            <w:r w:rsidRPr="00073B66">
              <w:rPr>
                <w:rFonts w:eastAsia="Yu Gothic Light"/>
              </w:rPr>
              <w:t xml:space="preserve">Total adult volume for each of the following applicable procedures performed at your </w:t>
            </w:r>
            <w:r w:rsidR="00EA09D7">
              <w:rPr>
                <w:rFonts w:eastAsia="Yu Gothic Light"/>
              </w:rPr>
              <w:t>hospital outpatient department(s)</w:t>
            </w:r>
            <w:r w:rsidR="00EA09D7" w:rsidRPr="00073B66">
              <w:rPr>
                <w:rFonts w:eastAsia="Yu Gothic Light"/>
              </w:rPr>
              <w:t xml:space="preserve"> </w:t>
            </w:r>
            <w:r w:rsidRPr="00073B66">
              <w:rPr>
                <w:rFonts w:eastAsia="Yu Gothic Light"/>
              </w:rPr>
              <w:t>during the reporting period.</w:t>
            </w:r>
          </w:p>
          <w:p w14:paraId="60275E90" w14:textId="77777777" w:rsidR="00073B66" w:rsidRPr="00073B66" w:rsidRDefault="00073B66" w:rsidP="00073B66">
            <w:pPr>
              <w:spacing w:line="276" w:lineRule="auto"/>
              <w:rPr>
                <w:rFonts w:eastAsia="Yu Gothic Light"/>
              </w:rPr>
            </w:pPr>
          </w:p>
          <w:p w14:paraId="6163B5F1" w14:textId="081F9F08" w:rsidR="00073B66" w:rsidRPr="00073B66" w:rsidRDefault="00073B66" w:rsidP="00073B66">
            <w:pPr>
              <w:ind w:left="360"/>
            </w:pPr>
            <w:r w:rsidRPr="00073B66">
              <w:rPr>
                <w:i/>
              </w:rPr>
              <w:t xml:space="preserve">You cannot leave any blank. If you did not perform one or more of the procedures listed below enter 0 (zero). If you had zero volume for </w:t>
            </w:r>
            <w:r w:rsidRPr="00073B66">
              <w:rPr>
                <w:b/>
                <w:i/>
                <w:u w:val="single"/>
              </w:rPr>
              <w:t>all</w:t>
            </w:r>
            <w:r w:rsidRPr="00073B66">
              <w:rPr>
                <w:i/>
              </w:rPr>
              <w:t xml:space="preserve"> procedures, go back to question #</w:t>
            </w:r>
            <w:r w:rsidR="006308BB">
              <w:rPr>
                <w:i/>
              </w:rPr>
              <w:t>9</w:t>
            </w:r>
            <w:r w:rsidRPr="00073B66">
              <w:rPr>
                <w:i/>
              </w:rPr>
              <w:t xml:space="preserve"> and update your response from “yes” to “no.”</w:t>
            </w:r>
          </w:p>
        </w:tc>
      </w:tr>
      <w:tr w:rsidR="001A4A1F" w:rsidRPr="00073B66" w14:paraId="4D029FEA" w14:textId="77777777" w:rsidTr="00EC4DCE">
        <w:trPr>
          <w:trHeight w:val="20"/>
        </w:trPr>
        <w:tc>
          <w:tcPr>
            <w:tcW w:w="5015" w:type="dxa"/>
            <w:tcMar>
              <w:top w:w="72" w:type="dxa"/>
              <w:left w:w="115" w:type="dxa"/>
              <w:bottom w:w="72" w:type="dxa"/>
              <w:right w:w="115" w:type="dxa"/>
            </w:tcMar>
            <w:vAlign w:val="center"/>
          </w:tcPr>
          <w:p w14:paraId="638A372F" w14:textId="77777777" w:rsidR="001A4A1F" w:rsidRPr="00073B66" w:rsidRDefault="001A4A1F" w:rsidP="00073B66">
            <w:pPr>
              <w:spacing w:line="276" w:lineRule="auto"/>
              <w:rPr>
                <w:rFonts w:eastAsia="Yu Gothic Light"/>
              </w:rPr>
            </w:pPr>
          </w:p>
        </w:tc>
        <w:tc>
          <w:tcPr>
            <w:tcW w:w="4335" w:type="dxa"/>
            <w:tcMar>
              <w:top w:w="72" w:type="dxa"/>
              <w:left w:w="115" w:type="dxa"/>
              <w:bottom w:w="72" w:type="dxa"/>
              <w:right w:w="115" w:type="dxa"/>
            </w:tcMar>
            <w:vAlign w:val="center"/>
          </w:tcPr>
          <w:p w14:paraId="20F75EF5" w14:textId="28B86FF4" w:rsidR="001A4A1F" w:rsidRPr="00073B66" w:rsidRDefault="001A4A1F" w:rsidP="004F63C1">
            <w:pPr>
              <w:jc w:val="center"/>
              <w:rPr>
                <w:i/>
              </w:rPr>
            </w:pPr>
            <w:r w:rsidRPr="00073B66">
              <w:rPr>
                <w:i/>
              </w:rPr>
              <w:t>Adult Volume</w:t>
            </w:r>
          </w:p>
        </w:tc>
      </w:tr>
      <w:tr w:rsidR="001A4A1F" w:rsidRPr="00073B66" w14:paraId="31DDEE00" w14:textId="77777777" w:rsidTr="00EC4DCE">
        <w:trPr>
          <w:trHeight w:val="20"/>
        </w:trPr>
        <w:tc>
          <w:tcPr>
            <w:tcW w:w="5015" w:type="dxa"/>
            <w:tcMar>
              <w:top w:w="72" w:type="dxa"/>
              <w:left w:w="115" w:type="dxa"/>
              <w:bottom w:w="72" w:type="dxa"/>
              <w:right w:w="115" w:type="dxa"/>
            </w:tcMar>
            <w:vAlign w:val="center"/>
          </w:tcPr>
          <w:p w14:paraId="78BDB5B6" w14:textId="77777777" w:rsidR="001A4A1F" w:rsidRPr="00073B66" w:rsidRDefault="001A4A1F" w:rsidP="00073B66">
            <w:pPr>
              <w:spacing w:line="276" w:lineRule="auto"/>
              <w:rPr>
                <w:rFonts w:eastAsia="Yu Gothic Light"/>
                <w:b/>
              </w:rPr>
            </w:pPr>
            <w:r w:rsidRPr="00073B66">
              <w:rPr>
                <w:rFonts w:eastAsia="Yu Gothic Light"/>
                <w:b/>
              </w:rPr>
              <w:t xml:space="preserve">Cervix procedures </w:t>
            </w:r>
          </w:p>
        </w:tc>
        <w:tc>
          <w:tcPr>
            <w:tcW w:w="4335" w:type="dxa"/>
            <w:tcMar>
              <w:top w:w="72" w:type="dxa"/>
              <w:left w:w="115" w:type="dxa"/>
              <w:bottom w:w="72" w:type="dxa"/>
              <w:right w:w="115" w:type="dxa"/>
            </w:tcMar>
            <w:vAlign w:val="center"/>
          </w:tcPr>
          <w:p w14:paraId="58E3AFD9" w14:textId="083764FA" w:rsidR="001A4A1F" w:rsidRPr="00073B66" w:rsidRDefault="001A4A1F" w:rsidP="004F63C1">
            <w:pPr>
              <w:jc w:val="center"/>
            </w:pPr>
            <w:r w:rsidRPr="00073B66">
              <w:t>_____</w:t>
            </w:r>
          </w:p>
        </w:tc>
      </w:tr>
      <w:tr w:rsidR="001A4A1F" w:rsidRPr="00073B66" w14:paraId="0979970B" w14:textId="77777777" w:rsidTr="00EC4DCE">
        <w:trPr>
          <w:trHeight w:val="20"/>
        </w:trPr>
        <w:tc>
          <w:tcPr>
            <w:tcW w:w="5015" w:type="dxa"/>
            <w:tcMar>
              <w:top w:w="72" w:type="dxa"/>
              <w:left w:w="115" w:type="dxa"/>
              <w:bottom w:w="72" w:type="dxa"/>
              <w:right w:w="115" w:type="dxa"/>
            </w:tcMar>
            <w:vAlign w:val="center"/>
          </w:tcPr>
          <w:p w14:paraId="2A004B7F" w14:textId="77777777" w:rsidR="001A4A1F" w:rsidRPr="00073B66" w:rsidRDefault="001A4A1F" w:rsidP="00073B66">
            <w:pPr>
              <w:spacing w:line="276" w:lineRule="auto"/>
              <w:rPr>
                <w:rFonts w:eastAsia="Yu Gothic Light"/>
                <w:b/>
              </w:rPr>
            </w:pPr>
            <w:r w:rsidRPr="00073B66">
              <w:rPr>
                <w:rFonts w:eastAsia="Yu Gothic Light"/>
                <w:b/>
              </w:rPr>
              <w:t>Hysteroscopies</w:t>
            </w:r>
          </w:p>
        </w:tc>
        <w:tc>
          <w:tcPr>
            <w:tcW w:w="4335" w:type="dxa"/>
            <w:tcMar>
              <w:top w:w="72" w:type="dxa"/>
              <w:left w:w="115" w:type="dxa"/>
              <w:bottom w:w="72" w:type="dxa"/>
              <w:right w:w="115" w:type="dxa"/>
            </w:tcMar>
            <w:vAlign w:val="center"/>
          </w:tcPr>
          <w:p w14:paraId="5379FA06" w14:textId="739A07B3" w:rsidR="001A4A1F" w:rsidRPr="00073B66" w:rsidRDefault="001A4A1F" w:rsidP="004F63C1">
            <w:pPr>
              <w:jc w:val="center"/>
            </w:pPr>
            <w:r w:rsidRPr="00073B66">
              <w:t>_____</w:t>
            </w:r>
          </w:p>
        </w:tc>
      </w:tr>
      <w:tr w:rsidR="001A4A1F" w:rsidRPr="00073B66" w14:paraId="3D8CE594" w14:textId="77777777" w:rsidTr="00EC4DCE">
        <w:trPr>
          <w:trHeight w:val="20"/>
        </w:trPr>
        <w:tc>
          <w:tcPr>
            <w:tcW w:w="5015" w:type="dxa"/>
            <w:tcMar>
              <w:top w:w="72" w:type="dxa"/>
              <w:left w:w="115" w:type="dxa"/>
              <w:bottom w:w="72" w:type="dxa"/>
              <w:right w:w="115" w:type="dxa"/>
            </w:tcMar>
            <w:vAlign w:val="center"/>
          </w:tcPr>
          <w:p w14:paraId="18A432D3" w14:textId="77777777" w:rsidR="001A4A1F" w:rsidRPr="00073B66" w:rsidRDefault="001A4A1F" w:rsidP="00073B66">
            <w:pPr>
              <w:spacing w:line="276" w:lineRule="auto"/>
              <w:rPr>
                <w:rFonts w:eastAsia="Yu Gothic Light"/>
                <w:b/>
              </w:rPr>
            </w:pPr>
            <w:r w:rsidRPr="00073B66">
              <w:rPr>
                <w:rFonts w:eastAsia="Yu Gothic Light"/>
                <w:b/>
              </w:rPr>
              <w:t>Uterus and adnexa laparoscopies</w:t>
            </w:r>
          </w:p>
        </w:tc>
        <w:tc>
          <w:tcPr>
            <w:tcW w:w="4335" w:type="dxa"/>
            <w:tcMar>
              <w:top w:w="72" w:type="dxa"/>
              <w:left w:w="115" w:type="dxa"/>
              <w:bottom w:w="72" w:type="dxa"/>
              <w:right w:w="115" w:type="dxa"/>
            </w:tcMar>
            <w:vAlign w:val="center"/>
          </w:tcPr>
          <w:p w14:paraId="72B8FB48" w14:textId="4F1B687B" w:rsidR="001A4A1F" w:rsidRPr="00073B66" w:rsidRDefault="001A4A1F" w:rsidP="004F63C1">
            <w:pPr>
              <w:jc w:val="center"/>
            </w:pPr>
            <w:r w:rsidRPr="00073B66">
              <w:t>_____</w:t>
            </w:r>
          </w:p>
        </w:tc>
      </w:tr>
    </w:tbl>
    <w:p w14:paraId="6150324F" w14:textId="77777777" w:rsidR="00AD5994" w:rsidRDefault="00AD5994" w:rsidP="00753419"/>
    <w:tbl>
      <w:tblPr>
        <w:tblStyle w:val="TableGrid"/>
        <w:tblW w:w="0" w:type="auto"/>
        <w:tblLayout w:type="fixed"/>
        <w:tblCellMar>
          <w:left w:w="115" w:type="dxa"/>
          <w:right w:w="115" w:type="dxa"/>
        </w:tblCellMar>
        <w:tblLook w:val="04A0" w:firstRow="1" w:lastRow="0" w:firstColumn="1" w:lastColumn="0" w:noHBand="0" w:noVBand="1"/>
      </w:tblPr>
      <w:tblGrid>
        <w:gridCol w:w="6205"/>
        <w:gridCol w:w="3145"/>
      </w:tblGrid>
      <w:tr w:rsidR="002503A7" w:rsidRPr="005B2F83" w14:paraId="45AB9EC2" w14:textId="77777777" w:rsidTr="00914F12">
        <w:trPr>
          <w:trHeight w:val="288"/>
        </w:trPr>
        <w:tc>
          <w:tcPr>
            <w:tcW w:w="6205" w:type="dxa"/>
            <w:tcMar>
              <w:top w:w="72" w:type="dxa"/>
              <w:left w:w="115" w:type="dxa"/>
              <w:bottom w:w="72" w:type="dxa"/>
              <w:right w:w="115" w:type="dxa"/>
            </w:tcMar>
            <w:vAlign w:val="center"/>
          </w:tcPr>
          <w:p w14:paraId="5CA6EED8" w14:textId="77777777" w:rsidR="002503A7" w:rsidRDefault="002503A7" w:rsidP="00AD309C">
            <w:pPr>
              <w:pStyle w:val="ListParagraph"/>
              <w:numPr>
                <w:ilvl w:val="0"/>
                <w:numId w:val="91"/>
              </w:numPr>
            </w:pPr>
            <w:r>
              <w:t xml:space="preserve">Where were these </w:t>
            </w:r>
            <w:r w:rsidRPr="002503A7">
              <w:rPr>
                <w:b/>
              </w:rPr>
              <w:t>obstetrics and gynecology</w:t>
            </w:r>
            <w:r w:rsidRPr="005D2045">
              <w:rPr>
                <w:b/>
              </w:rPr>
              <w:t xml:space="preserve"> </w:t>
            </w:r>
            <w:r>
              <w:t>procedures performed?</w:t>
            </w:r>
          </w:p>
          <w:p w14:paraId="0B25AEC3" w14:textId="77777777" w:rsidR="002503A7" w:rsidRDefault="002503A7" w:rsidP="00CA75AB">
            <w:pPr>
              <w:pStyle w:val="ListParagraph"/>
              <w:ind w:left="360"/>
            </w:pPr>
          </w:p>
          <w:p w14:paraId="3FAE1D98" w14:textId="77777777" w:rsidR="002503A7" w:rsidRPr="00131F2C" w:rsidRDefault="002503A7" w:rsidP="00CA75AB">
            <w:pPr>
              <w:pStyle w:val="ListParagraph"/>
              <w:ind w:left="360"/>
              <w:rPr>
                <w:i/>
              </w:rPr>
            </w:pPr>
            <w:r>
              <w:rPr>
                <w:i/>
              </w:rPr>
              <w:t>Select all that apply.</w:t>
            </w:r>
          </w:p>
          <w:p w14:paraId="15B23740" w14:textId="77777777" w:rsidR="002503A7" w:rsidRPr="005D2045" w:rsidRDefault="002503A7" w:rsidP="00CA75AB">
            <w:pPr>
              <w:pStyle w:val="ListParagraph"/>
              <w:ind w:left="360"/>
            </w:pPr>
          </w:p>
          <w:p w14:paraId="70FE3C5B" w14:textId="16C9D480" w:rsidR="002503A7" w:rsidRPr="005D2045" w:rsidRDefault="00EF5178" w:rsidP="00CA75AB">
            <w:pPr>
              <w:pStyle w:val="ListParagraph"/>
              <w:ind w:left="360"/>
            </w:pPr>
            <w:r w:rsidRPr="008059BD">
              <w:rPr>
                <w:i/>
              </w:rPr>
              <w:t>If only “hospital” is selected,</w:t>
            </w:r>
            <w:r>
              <w:rPr>
                <w:i/>
              </w:rPr>
              <w:t xml:space="preserve"> </w:t>
            </w:r>
            <w:r w:rsidR="002503A7" w:rsidRPr="00B674A0">
              <w:rPr>
                <w:i/>
              </w:rPr>
              <w:t xml:space="preserve">skip </w:t>
            </w:r>
            <w:r w:rsidR="002503A7">
              <w:rPr>
                <w:i/>
              </w:rPr>
              <w:t>question #</w:t>
            </w:r>
            <w:r w:rsidR="00AA4267">
              <w:rPr>
                <w:i/>
              </w:rPr>
              <w:t>3</w:t>
            </w:r>
            <w:r w:rsidR="006308BB">
              <w:rPr>
                <w:i/>
              </w:rPr>
              <w:t>4</w:t>
            </w:r>
            <w:r w:rsidR="002503A7">
              <w:rPr>
                <w:i/>
              </w:rPr>
              <w:t xml:space="preserve"> and continue to question #</w:t>
            </w:r>
            <w:r w:rsidR="00AA4267">
              <w:rPr>
                <w:i/>
              </w:rPr>
              <w:t>3</w:t>
            </w:r>
            <w:r w:rsidR="006308BB">
              <w:rPr>
                <w:i/>
              </w:rPr>
              <w:t>5</w:t>
            </w:r>
            <w:r w:rsidR="002503A7">
              <w:rPr>
                <w:i/>
              </w:rPr>
              <w:t>.</w:t>
            </w:r>
          </w:p>
        </w:tc>
        <w:tc>
          <w:tcPr>
            <w:tcW w:w="3145" w:type="dxa"/>
            <w:vAlign w:val="center"/>
          </w:tcPr>
          <w:p w14:paraId="645E7268" w14:textId="77777777" w:rsidR="002503A7" w:rsidRPr="00753419" w:rsidRDefault="002503A7" w:rsidP="00AD309C">
            <w:pPr>
              <w:pStyle w:val="ListParagraph"/>
              <w:numPr>
                <w:ilvl w:val="0"/>
                <w:numId w:val="94"/>
              </w:numPr>
              <w:spacing w:line="276" w:lineRule="auto"/>
              <w:rPr>
                <w:iCs/>
              </w:rPr>
            </w:pPr>
            <w:r w:rsidRPr="00753419">
              <w:rPr>
                <w:iCs/>
              </w:rPr>
              <w:t>Hospital</w:t>
            </w:r>
          </w:p>
          <w:p w14:paraId="1657E9A8" w14:textId="618C3B53" w:rsidR="002503A7" w:rsidRPr="00551F82" w:rsidRDefault="005C60B1" w:rsidP="00AD309C">
            <w:pPr>
              <w:pStyle w:val="ListParagraph"/>
              <w:numPr>
                <w:ilvl w:val="0"/>
                <w:numId w:val="94"/>
              </w:numPr>
              <w:spacing w:line="276" w:lineRule="auto"/>
              <w:rPr>
                <w:i/>
              </w:rPr>
            </w:pPr>
            <w:r w:rsidRPr="00753419">
              <w:rPr>
                <w:iCs/>
              </w:rPr>
              <w:t>Surgery center or free-standing</w:t>
            </w:r>
            <w:r w:rsidR="00EA09D7" w:rsidRPr="00753419">
              <w:rPr>
                <w:iCs/>
              </w:rPr>
              <w:t xml:space="preserve"> hospital outpatient department</w:t>
            </w:r>
          </w:p>
        </w:tc>
      </w:tr>
    </w:tbl>
    <w:p w14:paraId="63F65250" w14:textId="77777777" w:rsidR="002503A7" w:rsidRDefault="002503A7" w:rsidP="002503A7"/>
    <w:tbl>
      <w:tblPr>
        <w:tblStyle w:val="TableGrid"/>
        <w:tblW w:w="0" w:type="auto"/>
        <w:tblLayout w:type="fixed"/>
        <w:tblCellMar>
          <w:left w:w="115" w:type="dxa"/>
          <w:right w:w="115" w:type="dxa"/>
        </w:tblCellMar>
        <w:tblLook w:val="04A0" w:firstRow="1" w:lastRow="0" w:firstColumn="1" w:lastColumn="0" w:noHBand="0" w:noVBand="1"/>
      </w:tblPr>
      <w:tblGrid>
        <w:gridCol w:w="4225"/>
        <w:gridCol w:w="2008"/>
        <w:gridCol w:w="3117"/>
      </w:tblGrid>
      <w:tr w:rsidR="002503A7" w:rsidRPr="005B2F83" w14:paraId="2C6FFB79" w14:textId="77777777" w:rsidTr="00914F12">
        <w:trPr>
          <w:trHeight w:val="20"/>
        </w:trPr>
        <w:tc>
          <w:tcPr>
            <w:tcW w:w="9350" w:type="dxa"/>
            <w:gridSpan w:val="3"/>
            <w:tcMar>
              <w:top w:w="72" w:type="dxa"/>
              <w:left w:w="115" w:type="dxa"/>
              <w:bottom w:w="72" w:type="dxa"/>
              <w:right w:w="115" w:type="dxa"/>
            </w:tcMar>
            <w:vAlign w:val="center"/>
          </w:tcPr>
          <w:p w14:paraId="7BC0BF18" w14:textId="10295B01" w:rsidR="002503A7" w:rsidRDefault="002503A7" w:rsidP="00AD309C">
            <w:pPr>
              <w:pStyle w:val="ListParagraph"/>
              <w:numPr>
                <w:ilvl w:val="0"/>
                <w:numId w:val="91"/>
              </w:numPr>
              <w:spacing w:line="276" w:lineRule="auto"/>
              <w:rPr>
                <w:i/>
              </w:rPr>
            </w:pPr>
            <w:r>
              <w:t xml:space="preserve">Please provide the name and city location of each surgery center </w:t>
            </w:r>
            <w:r w:rsidR="003E46F9">
              <w:t xml:space="preserve">or free-standing hospital outpatient department </w:t>
            </w:r>
            <w:r>
              <w:t xml:space="preserve">performing </w:t>
            </w:r>
            <w:r w:rsidRPr="002503A7">
              <w:rPr>
                <w:b/>
              </w:rPr>
              <w:t>obstetrics and gynecology</w:t>
            </w:r>
            <w:r>
              <w:rPr>
                <w:b/>
              </w:rPr>
              <w:t xml:space="preserve"> </w:t>
            </w:r>
            <w:r>
              <w:t>procedures:</w:t>
            </w:r>
          </w:p>
        </w:tc>
      </w:tr>
      <w:tr w:rsidR="00404D0D" w:rsidRPr="00D07D70" w14:paraId="6524325B" w14:textId="77777777" w:rsidTr="00914F12">
        <w:trPr>
          <w:trHeight w:val="20"/>
        </w:trPr>
        <w:tc>
          <w:tcPr>
            <w:tcW w:w="4225" w:type="dxa"/>
            <w:tcMar>
              <w:top w:w="72" w:type="dxa"/>
              <w:left w:w="115" w:type="dxa"/>
              <w:bottom w:w="72" w:type="dxa"/>
              <w:right w:w="115" w:type="dxa"/>
            </w:tcMar>
            <w:vAlign w:val="center"/>
          </w:tcPr>
          <w:p w14:paraId="5F0F1F41" w14:textId="77777777" w:rsidR="00404D0D" w:rsidRDefault="00404D0D" w:rsidP="00CA75AB">
            <w:pPr>
              <w:pStyle w:val="ListParagraph"/>
              <w:spacing w:line="276" w:lineRule="auto"/>
              <w:ind w:left="360"/>
            </w:pPr>
          </w:p>
        </w:tc>
        <w:tc>
          <w:tcPr>
            <w:tcW w:w="2008" w:type="dxa"/>
            <w:vAlign w:val="center"/>
          </w:tcPr>
          <w:p w14:paraId="622EF9B2" w14:textId="27700436" w:rsidR="00404D0D" w:rsidRPr="005C60B1" w:rsidRDefault="00404D0D" w:rsidP="004F63C1">
            <w:pPr>
              <w:spacing w:line="276" w:lineRule="auto"/>
              <w:jc w:val="center"/>
              <w:rPr>
                <w:i/>
              </w:rPr>
            </w:pPr>
            <w:r w:rsidRPr="005C60B1">
              <w:rPr>
                <w:i/>
              </w:rPr>
              <w:t>Name</w:t>
            </w:r>
          </w:p>
        </w:tc>
        <w:tc>
          <w:tcPr>
            <w:tcW w:w="3117" w:type="dxa"/>
            <w:vAlign w:val="center"/>
          </w:tcPr>
          <w:p w14:paraId="3F2E0FE2" w14:textId="66880F9C" w:rsidR="00404D0D" w:rsidRPr="005C60B1" w:rsidRDefault="00404D0D" w:rsidP="004F63C1">
            <w:pPr>
              <w:spacing w:line="276" w:lineRule="auto"/>
              <w:jc w:val="center"/>
              <w:rPr>
                <w:i/>
              </w:rPr>
            </w:pPr>
            <w:r w:rsidRPr="005C60B1">
              <w:rPr>
                <w:i/>
              </w:rPr>
              <w:t>City</w:t>
            </w:r>
          </w:p>
        </w:tc>
      </w:tr>
      <w:tr w:rsidR="00404D0D" w14:paraId="3EF59DFC" w14:textId="77777777" w:rsidTr="00914F12">
        <w:trPr>
          <w:trHeight w:val="476"/>
        </w:trPr>
        <w:tc>
          <w:tcPr>
            <w:tcW w:w="4225" w:type="dxa"/>
            <w:tcMar>
              <w:top w:w="72" w:type="dxa"/>
              <w:left w:w="115" w:type="dxa"/>
              <w:bottom w:w="72" w:type="dxa"/>
              <w:right w:w="115" w:type="dxa"/>
            </w:tcMar>
            <w:vAlign w:val="center"/>
          </w:tcPr>
          <w:p w14:paraId="38ACC46C" w14:textId="554AE915" w:rsidR="00404D0D" w:rsidRPr="00914F12" w:rsidRDefault="00696652" w:rsidP="00914F12">
            <w:pPr>
              <w:pStyle w:val="ListParagraph"/>
              <w:spacing w:line="276" w:lineRule="auto"/>
              <w:ind w:left="360"/>
              <w:rPr>
                <w:b/>
              </w:rPr>
            </w:pPr>
            <w:r>
              <w:rPr>
                <w:b/>
              </w:rPr>
              <w:t>Surgery Center/</w:t>
            </w:r>
            <w:r w:rsidRPr="00914F12">
              <w:rPr>
                <w:b/>
              </w:rPr>
              <w:t xml:space="preserve">Free-Standing </w:t>
            </w:r>
            <w:r w:rsidR="00404D0D" w:rsidRPr="00914F12">
              <w:rPr>
                <w:b/>
              </w:rPr>
              <w:t>Hospital Outpatient Department 1</w:t>
            </w:r>
          </w:p>
        </w:tc>
        <w:tc>
          <w:tcPr>
            <w:tcW w:w="2008" w:type="dxa"/>
            <w:vAlign w:val="center"/>
          </w:tcPr>
          <w:p w14:paraId="56F82445" w14:textId="77777777" w:rsidR="00404D0D" w:rsidRDefault="00404D0D" w:rsidP="00CA75AB">
            <w:pPr>
              <w:pStyle w:val="ListParagraph"/>
              <w:spacing w:line="276" w:lineRule="auto"/>
              <w:ind w:left="360"/>
            </w:pPr>
          </w:p>
        </w:tc>
        <w:tc>
          <w:tcPr>
            <w:tcW w:w="3117" w:type="dxa"/>
            <w:vAlign w:val="center"/>
          </w:tcPr>
          <w:p w14:paraId="08945E62" w14:textId="77777777" w:rsidR="00404D0D" w:rsidRDefault="00404D0D" w:rsidP="00CA75AB">
            <w:pPr>
              <w:pStyle w:val="ListParagraph"/>
              <w:spacing w:line="276" w:lineRule="auto"/>
              <w:ind w:left="360"/>
            </w:pPr>
          </w:p>
        </w:tc>
      </w:tr>
      <w:tr w:rsidR="00404D0D" w14:paraId="16BAFBFB" w14:textId="77777777" w:rsidTr="00914F12">
        <w:trPr>
          <w:trHeight w:val="476"/>
        </w:trPr>
        <w:tc>
          <w:tcPr>
            <w:tcW w:w="4225" w:type="dxa"/>
            <w:tcMar>
              <w:top w:w="72" w:type="dxa"/>
              <w:left w:w="115" w:type="dxa"/>
              <w:bottom w:w="72" w:type="dxa"/>
              <w:right w:w="115" w:type="dxa"/>
            </w:tcMar>
            <w:vAlign w:val="center"/>
          </w:tcPr>
          <w:p w14:paraId="6FBA91DA" w14:textId="095A86FA" w:rsidR="00404D0D" w:rsidRPr="00914F12" w:rsidRDefault="00696652" w:rsidP="00914F12">
            <w:pPr>
              <w:pStyle w:val="ListParagraph"/>
              <w:spacing w:line="276" w:lineRule="auto"/>
              <w:ind w:left="360"/>
              <w:rPr>
                <w:b/>
              </w:rPr>
            </w:pPr>
            <w:r>
              <w:rPr>
                <w:b/>
              </w:rPr>
              <w:t>Surgery Center/</w:t>
            </w:r>
            <w:r w:rsidRPr="00914F12">
              <w:rPr>
                <w:b/>
              </w:rPr>
              <w:t xml:space="preserve">Free-Standing </w:t>
            </w:r>
            <w:r w:rsidR="00404D0D" w:rsidRPr="00914F12">
              <w:rPr>
                <w:b/>
              </w:rPr>
              <w:t>Hospital Outpatient Department 2</w:t>
            </w:r>
          </w:p>
        </w:tc>
        <w:tc>
          <w:tcPr>
            <w:tcW w:w="2008" w:type="dxa"/>
            <w:vAlign w:val="center"/>
          </w:tcPr>
          <w:p w14:paraId="637A5912" w14:textId="77777777" w:rsidR="00404D0D" w:rsidRDefault="00404D0D" w:rsidP="00CA75AB">
            <w:pPr>
              <w:pStyle w:val="ListParagraph"/>
              <w:spacing w:line="276" w:lineRule="auto"/>
              <w:ind w:left="360"/>
            </w:pPr>
          </w:p>
        </w:tc>
        <w:tc>
          <w:tcPr>
            <w:tcW w:w="3117" w:type="dxa"/>
            <w:vAlign w:val="center"/>
          </w:tcPr>
          <w:p w14:paraId="67B7F18F" w14:textId="77777777" w:rsidR="00404D0D" w:rsidRDefault="00404D0D" w:rsidP="00CA75AB">
            <w:pPr>
              <w:pStyle w:val="ListParagraph"/>
              <w:spacing w:line="276" w:lineRule="auto"/>
              <w:ind w:left="360"/>
            </w:pPr>
          </w:p>
        </w:tc>
      </w:tr>
      <w:tr w:rsidR="00404D0D" w14:paraId="53514B99" w14:textId="77777777" w:rsidTr="00914F12">
        <w:trPr>
          <w:trHeight w:val="476"/>
        </w:trPr>
        <w:tc>
          <w:tcPr>
            <w:tcW w:w="4225" w:type="dxa"/>
            <w:tcMar>
              <w:top w:w="72" w:type="dxa"/>
              <w:left w:w="115" w:type="dxa"/>
              <w:bottom w:w="72" w:type="dxa"/>
              <w:right w:w="115" w:type="dxa"/>
            </w:tcMar>
            <w:vAlign w:val="center"/>
          </w:tcPr>
          <w:p w14:paraId="1E61776B" w14:textId="4F96F990" w:rsidR="00404D0D" w:rsidRPr="00914F12" w:rsidRDefault="00696652" w:rsidP="00914F12">
            <w:pPr>
              <w:pStyle w:val="ListParagraph"/>
              <w:spacing w:line="276" w:lineRule="auto"/>
              <w:ind w:left="360"/>
              <w:rPr>
                <w:b/>
              </w:rPr>
            </w:pPr>
            <w:r>
              <w:rPr>
                <w:b/>
              </w:rPr>
              <w:t>Surgery Center/</w:t>
            </w:r>
            <w:r w:rsidRPr="00914F12">
              <w:rPr>
                <w:b/>
              </w:rPr>
              <w:t xml:space="preserve">Free-Standing </w:t>
            </w:r>
            <w:r w:rsidR="00404D0D" w:rsidRPr="00914F12">
              <w:rPr>
                <w:b/>
              </w:rPr>
              <w:t>Hospital Outpatient Department 3</w:t>
            </w:r>
          </w:p>
        </w:tc>
        <w:tc>
          <w:tcPr>
            <w:tcW w:w="2008" w:type="dxa"/>
            <w:vAlign w:val="center"/>
          </w:tcPr>
          <w:p w14:paraId="1C2F164B" w14:textId="77777777" w:rsidR="00404D0D" w:rsidRDefault="00404D0D" w:rsidP="00CA75AB">
            <w:pPr>
              <w:pStyle w:val="ListParagraph"/>
              <w:spacing w:line="276" w:lineRule="auto"/>
              <w:ind w:left="360"/>
            </w:pPr>
          </w:p>
        </w:tc>
        <w:tc>
          <w:tcPr>
            <w:tcW w:w="3117" w:type="dxa"/>
            <w:vAlign w:val="center"/>
          </w:tcPr>
          <w:p w14:paraId="55770D97" w14:textId="77777777" w:rsidR="00404D0D" w:rsidRDefault="00404D0D" w:rsidP="00CA75AB">
            <w:pPr>
              <w:pStyle w:val="ListParagraph"/>
              <w:spacing w:line="276" w:lineRule="auto"/>
              <w:ind w:left="360"/>
            </w:pPr>
          </w:p>
        </w:tc>
      </w:tr>
      <w:tr w:rsidR="00404D0D" w14:paraId="13187FBB" w14:textId="77777777" w:rsidTr="00914F12">
        <w:trPr>
          <w:trHeight w:val="476"/>
        </w:trPr>
        <w:tc>
          <w:tcPr>
            <w:tcW w:w="4225" w:type="dxa"/>
            <w:tcMar>
              <w:top w:w="72" w:type="dxa"/>
              <w:left w:w="115" w:type="dxa"/>
              <w:bottom w:w="72" w:type="dxa"/>
              <w:right w:w="115" w:type="dxa"/>
            </w:tcMar>
            <w:vAlign w:val="center"/>
          </w:tcPr>
          <w:p w14:paraId="70CDFC14" w14:textId="015EEE99" w:rsidR="00404D0D" w:rsidRPr="00914F12" w:rsidRDefault="00696652" w:rsidP="00914F12">
            <w:pPr>
              <w:pStyle w:val="ListParagraph"/>
              <w:spacing w:line="276" w:lineRule="auto"/>
              <w:ind w:left="360"/>
              <w:rPr>
                <w:b/>
              </w:rPr>
            </w:pPr>
            <w:r>
              <w:rPr>
                <w:b/>
              </w:rPr>
              <w:t>Surgery Center/</w:t>
            </w:r>
            <w:r w:rsidRPr="00914F12">
              <w:rPr>
                <w:b/>
              </w:rPr>
              <w:t xml:space="preserve">Free-Standing </w:t>
            </w:r>
            <w:r w:rsidR="00404D0D" w:rsidRPr="00914F12">
              <w:rPr>
                <w:b/>
              </w:rPr>
              <w:t>Hospital Outpatient Department 4</w:t>
            </w:r>
          </w:p>
        </w:tc>
        <w:tc>
          <w:tcPr>
            <w:tcW w:w="2008" w:type="dxa"/>
            <w:vAlign w:val="center"/>
          </w:tcPr>
          <w:p w14:paraId="294C80C1" w14:textId="77777777" w:rsidR="00404D0D" w:rsidRDefault="00404D0D" w:rsidP="00CA75AB">
            <w:pPr>
              <w:pStyle w:val="ListParagraph"/>
              <w:spacing w:line="276" w:lineRule="auto"/>
              <w:ind w:left="360"/>
            </w:pPr>
          </w:p>
        </w:tc>
        <w:tc>
          <w:tcPr>
            <w:tcW w:w="3117" w:type="dxa"/>
            <w:vAlign w:val="center"/>
          </w:tcPr>
          <w:p w14:paraId="76F43EC2" w14:textId="77777777" w:rsidR="00404D0D" w:rsidRDefault="00404D0D" w:rsidP="00CA75AB">
            <w:pPr>
              <w:pStyle w:val="ListParagraph"/>
              <w:spacing w:line="276" w:lineRule="auto"/>
              <w:ind w:left="360"/>
            </w:pPr>
          </w:p>
        </w:tc>
      </w:tr>
      <w:tr w:rsidR="00404D0D" w14:paraId="40F77148" w14:textId="77777777" w:rsidTr="00914F12">
        <w:trPr>
          <w:trHeight w:val="476"/>
        </w:trPr>
        <w:tc>
          <w:tcPr>
            <w:tcW w:w="4225" w:type="dxa"/>
            <w:tcMar>
              <w:top w:w="72" w:type="dxa"/>
              <w:left w:w="115" w:type="dxa"/>
              <w:bottom w:w="72" w:type="dxa"/>
              <w:right w:w="115" w:type="dxa"/>
            </w:tcMar>
            <w:vAlign w:val="center"/>
          </w:tcPr>
          <w:p w14:paraId="2DE8E819" w14:textId="58D3C278" w:rsidR="00404D0D" w:rsidRPr="00914F12" w:rsidRDefault="00696652" w:rsidP="00914F12">
            <w:pPr>
              <w:pStyle w:val="ListParagraph"/>
              <w:spacing w:line="276" w:lineRule="auto"/>
              <w:ind w:left="360"/>
              <w:rPr>
                <w:b/>
              </w:rPr>
            </w:pPr>
            <w:r>
              <w:rPr>
                <w:b/>
              </w:rPr>
              <w:t>Surgery Center/</w:t>
            </w:r>
            <w:r w:rsidRPr="00914F12">
              <w:rPr>
                <w:b/>
              </w:rPr>
              <w:t xml:space="preserve">Free-Standing </w:t>
            </w:r>
            <w:r w:rsidR="00404D0D" w:rsidRPr="00914F12">
              <w:rPr>
                <w:b/>
              </w:rPr>
              <w:t>Hospital Outpatient Department 5</w:t>
            </w:r>
          </w:p>
        </w:tc>
        <w:tc>
          <w:tcPr>
            <w:tcW w:w="2008" w:type="dxa"/>
            <w:vAlign w:val="center"/>
          </w:tcPr>
          <w:p w14:paraId="5B1CE5A4" w14:textId="77777777" w:rsidR="00404D0D" w:rsidRDefault="00404D0D" w:rsidP="00CA75AB">
            <w:pPr>
              <w:pStyle w:val="ListParagraph"/>
              <w:spacing w:line="276" w:lineRule="auto"/>
              <w:ind w:left="360"/>
            </w:pPr>
          </w:p>
        </w:tc>
        <w:tc>
          <w:tcPr>
            <w:tcW w:w="3117" w:type="dxa"/>
            <w:vAlign w:val="center"/>
          </w:tcPr>
          <w:p w14:paraId="7EA2A741" w14:textId="77777777" w:rsidR="00404D0D" w:rsidRDefault="00404D0D" w:rsidP="00CA75AB">
            <w:pPr>
              <w:pStyle w:val="ListParagraph"/>
              <w:spacing w:line="276" w:lineRule="auto"/>
              <w:ind w:left="360"/>
            </w:pPr>
          </w:p>
        </w:tc>
      </w:tr>
    </w:tbl>
    <w:p w14:paraId="7C9DE5B5" w14:textId="77777777" w:rsidR="00746769" w:rsidRDefault="00746769" w:rsidP="00FD51D6"/>
    <w:p w14:paraId="2B7742D5" w14:textId="77777777" w:rsidR="00F83C07" w:rsidRDefault="00F83C07" w:rsidP="00FD51D6"/>
    <w:p w14:paraId="1D030466" w14:textId="77777777" w:rsidR="00F83C07" w:rsidRDefault="00F83C07" w:rsidP="00FD51D6"/>
    <w:p w14:paraId="59963338" w14:textId="77777777" w:rsidR="00F83C07" w:rsidRDefault="00F83C07" w:rsidP="00FD51D6"/>
    <w:p w14:paraId="4CE49A23" w14:textId="77777777" w:rsidR="00F83C07" w:rsidRDefault="00F83C07" w:rsidP="00FD51D6"/>
    <w:p w14:paraId="59922D10" w14:textId="77777777" w:rsidR="00F83C07" w:rsidRDefault="00F83C07" w:rsidP="00FD51D6"/>
    <w:p w14:paraId="3E66C0A7" w14:textId="77777777" w:rsidR="00F83C07" w:rsidRDefault="00F83C07" w:rsidP="00FD51D6"/>
    <w:p w14:paraId="6175B7E3" w14:textId="77777777" w:rsidR="00F83C07" w:rsidRDefault="00F83C07" w:rsidP="00FD51D6"/>
    <w:p w14:paraId="767BE39D" w14:textId="49C9746E" w:rsidR="00AD5994" w:rsidRPr="00841998" w:rsidRDefault="00AD5994" w:rsidP="00AB5B80">
      <w:pPr>
        <w:pStyle w:val="Heading3"/>
        <w:rPr>
          <w:sz w:val="20"/>
          <w:szCs w:val="20"/>
        </w:rPr>
      </w:pPr>
      <w:bookmarkStart w:id="738" w:name="_Toc225877845"/>
      <w:r w:rsidRPr="00AD5994">
        <w:t>Plastic and Reconstructive Surgery</w:t>
      </w:r>
      <w:bookmarkEnd w:id="738"/>
      <w:r w:rsidR="006606DD">
        <w:br/>
      </w:r>
    </w:p>
    <w:tbl>
      <w:tblPr>
        <w:tblStyle w:val="TableGrid19"/>
        <w:tblW w:w="0" w:type="auto"/>
        <w:tblLook w:val="04A0" w:firstRow="1" w:lastRow="0" w:firstColumn="1" w:lastColumn="0" w:noHBand="0" w:noVBand="1"/>
      </w:tblPr>
      <w:tblGrid>
        <w:gridCol w:w="5015"/>
        <w:gridCol w:w="4335"/>
      </w:tblGrid>
      <w:tr w:rsidR="00073B66" w:rsidRPr="00073B66" w14:paraId="007A55C5" w14:textId="77777777" w:rsidTr="00914F12">
        <w:trPr>
          <w:trHeight w:val="20"/>
        </w:trPr>
        <w:tc>
          <w:tcPr>
            <w:tcW w:w="9350" w:type="dxa"/>
            <w:gridSpan w:val="2"/>
            <w:tcMar>
              <w:top w:w="72" w:type="dxa"/>
              <w:left w:w="115" w:type="dxa"/>
              <w:bottom w:w="72" w:type="dxa"/>
              <w:right w:w="115" w:type="dxa"/>
            </w:tcMar>
            <w:vAlign w:val="center"/>
          </w:tcPr>
          <w:p w14:paraId="68BDDE72" w14:textId="572E2693" w:rsidR="00073B66" w:rsidRPr="00073B66" w:rsidRDefault="00073B66" w:rsidP="00AD309C">
            <w:pPr>
              <w:numPr>
                <w:ilvl w:val="0"/>
                <w:numId w:val="91"/>
              </w:numPr>
              <w:spacing w:line="276" w:lineRule="auto"/>
              <w:rPr>
                <w:rFonts w:eastAsia="Yu Gothic Light"/>
              </w:rPr>
            </w:pPr>
            <w:r w:rsidRPr="00073B66">
              <w:rPr>
                <w:rFonts w:eastAsia="Yu Gothic Light"/>
              </w:rPr>
              <w:t xml:space="preserve">Total adult volume for each of the following applicable procedures performed at your </w:t>
            </w:r>
            <w:r w:rsidR="00B06D95">
              <w:rPr>
                <w:rFonts w:eastAsia="Yu Gothic Light"/>
              </w:rPr>
              <w:t>hospital outpatient department(s)</w:t>
            </w:r>
            <w:r w:rsidR="00B06D95" w:rsidRPr="00073B66">
              <w:rPr>
                <w:rFonts w:eastAsia="Yu Gothic Light"/>
              </w:rPr>
              <w:t xml:space="preserve"> </w:t>
            </w:r>
            <w:r w:rsidRPr="00073B66">
              <w:rPr>
                <w:rFonts w:eastAsia="Yu Gothic Light"/>
              </w:rPr>
              <w:t>during the reporting period.</w:t>
            </w:r>
          </w:p>
          <w:p w14:paraId="570BAB48" w14:textId="77777777" w:rsidR="00073B66" w:rsidRPr="00073B66" w:rsidRDefault="00073B66" w:rsidP="00073B66">
            <w:pPr>
              <w:spacing w:line="276" w:lineRule="auto"/>
              <w:rPr>
                <w:rFonts w:eastAsia="Yu Gothic Light"/>
              </w:rPr>
            </w:pPr>
          </w:p>
          <w:p w14:paraId="75B6CA43" w14:textId="2D6E48E9" w:rsidR="00073B66" w:rsidRPr="00073B66" w:rsidRDefault="00073B66" w:rsidP="00073B66">
            <w:pPr>
              <w:ind w:left="360"/>
            </w:pPr>
            <w:r w:rsidRPr="00073B66">
              <w:rPr>
                <w:i/>
              </w:rPr>
              <w:t xml:space="preserve">You cannot leave any blank. If you did not perform one or more of the procedures listed below enter 0 (zero). If you had zero volume for </w:t>
            </w:r>
            <w:r w:rsidRPr="00073B66">
              <w:rPr>
                <w:b/>
                <w:i/>
                <w:u w:val="single"/>
              </w:rPr>
              <w:t>all</w:t>
            </w:r>
            <w:r w:rsidRPr="00073B66">
              <w:rPr>
                <w:i/>
              </w:rPr>
              <w:t xml:space="preserve"> procedures, go back to question #1</w:t>
            </w:r>
            <w:r w:rsidR="006308BB">
              <w:rPr>
                <w:i/>
              </w:rPr>
              <w:t>0</w:t>
            </w:r>
            <w:r w:rsidRPr="00073B66">
              <w:rPr>
                <w:i/>
              </w:rPr>
              <w:t xml:space="preserve"> and update your response from “yes” to “no.”</w:t>
            </w:r>
          </w:p>
        </w:tc>
      </w:tr>
      <w:tr w:rsidR="001A4A1F" w:rsidRPr="00073B66" w14:paraId="4ADA154A" w14:textId="77777777" w:rsidTr="00EC4DCE">
        <w:trPr>
          <w:trHeight w:val="20"/>
        </w:trPr>
        <w:tc>
          <w:tcPr>
            <w:tcW w:w="5015" w:type="dxa"/>
            <w:tcMar>
              <w:top w:w="72" w:type="dxa"/>
              <w:left w:w="115" w:type="dxa"/>
              <w:bottom w:w="72" w:type="dxa"/>
              <w:right w:w="115" w:type="dxa"/>
            </w:tcMar>
            <w:vAlign w:val="center"/>
          </w:tcPr>
          <w:p w14:paraId="7039098E" w14:textId="77777777" w:rsidR="001A4A1F" w:rsidRPr="00073B66" w:rsidRDefault="001A4A1F" w:rsidP="00073B66">
            <w:pPr>
              <w:spacing w:line="276" w:lineRule="auto"/>
              <w:rPr>
                <w:rFonts w:eastAsia="Yu Gothic Light"/>
              </w:rPr>
            </w:pPr>
          </w:p>
        </w:tc>
        <w:tc>
          <w:tcPr>
            <w:tcW w:w="4335" w:type="dxa"/>
            <w:tcMar>
              <w:top w:w="72" w:type="dxa"/>
              <w:left w:w="115" w:type="dxa"/>
              <w:bottom w:w="72" w:type="dxa"/>
              <w:right w:w="115" w:type="dxa"/>
            </w:tcMar>
            <w:vAlign w:val="center"/>
          </w:tcPr>
          <w:p w14:paraId="7B962A1A" w14:textId="2CB3B5E6" w:rsidR="001A4A1F" w:rsidRPr="00073B66" w:rsidRDefault="001A4A1F" w:rsidP="004F63C1">
            <w:pPr>
              <w:jc w:val="center"/>
              <w:rPr>
                <w:i/>
              </w:rPr>
            </w:pPr>
            <w:r w:rsidRPr="00073B66">
              <w:rPr>
                <w:i/>
              </w:rPr>
              <w:t>Adult Volume</w:t>
            </w:r>
          </w:p>
        </w:tc>
      </w:tr>
      <w:tr w:rsidR="001A4A1F" w:rsidRPr="00073B66" w14:paraId="08CCFA4D" w14:textId="77777777" w:rsidTr="00EC4DCE">
        <w:trPr>
          <w:trHeight w:val="20"/>
        </w:trPr>
        <w:tc>
          <w:tcPr>
            <w:tcW w:w="5015" w:type="dxa"/>
            <w:tcMar>
              <w:top w:w="72" w:type="dxa"/>
              <w:left w:w="115" w:type="dxa"/>
              <w:bottom w:w="72" w:type="dxa"/>
              <w:right w:w="115" w:type="dxa"/>
            </w:tcMar>
            <w:vAlign w:val="center"/>
          </w:tcPr>
          <w:p w14:paraId="2B6F9CD0" w14:textId="77777777" w:rsidR="001A4A1F" w:rsidRPr="00073B66" w:rsidRDefault="001A4A1F" w:rsidP="00073B66">
            <w:pPr>
              <w:spacing w:line="276" w:lineRule="auto"/>
              <w:rPr>
                <w:rFonts w:eastAsia="Yu Gothic Light"/>
                <w:b/>
              </w:rPr>
            </w:pPr>
            <w:r w:rsidRPr="00073B66">
              <w:rPr>
                <w:rFonts w:eastAsia="Yu Gothic Light"/>
                <w:b/>
              </w:rPr>
              <w:t xml:space="preserve">Breast repair or reconstructive procedures </w:t>
            </w:r>
          </w:p>
        </w:tc>
        <w:tc>
          <w:tcPr>
            <w:tcW w:w="4335" w:type="dxa"/>
            <w:tcMar>
              <w:top w:w="72" w:type="dxa"/>
              <w:left w:w="115" w:type="dxa"/>
              <w:bottom w:w="72" w:type="dxa"/>
              <w:right w:w="115" w:type="dxa"/>
            </w:tcMar>
            <w:vAlign w:val="center"/>
          </w:tcPr>
          <w:p w14:paraId="65BFC3F2" w14:textId="6935B849" w:rsidR="001A4A1F" w:rsidRPr="00073B66" w:rsidRDefault="001A4A1F" w:rsidP="004F63C1">
            <w:pPr>
              <w:jc w:val="center"/>
            </w:pPr>
            <w:r w:rsidRPr="00073B66">
              <w:t>_____</w:t>
            </w:r>
          </w:p>
        </w:tc>
      </w:tr>
      <w:tr w:rsidR="001A4A1F" w:rsidRPr="00073B66" w14:paraId="41400892" w14:textId="77777777" w:rsidTr="00EC4DCE">
        <w:trPr>
          <w:trHeight w:val="20"/>
        </w:trPr>
        <w:tc>
          <w:tcPr>
            <w:tcW w:w="5015" w:type="dxa"/>
            <w:tcMar>
              <w:top w:w="72" w:type="dxa"/>
              <w:left w:w="115" w:type="dxa"/>
              <w:bottom w:w="72" w:type="dxa"/>
              <w:right w:w="115" w:type="dxa"/>
            </w:tcMar>
            <w:vAlign w:val="center"/>
          </w:tcPr>
          <w:p w14:paraId="3AAB1837" w14:textId="226B8FEA" w:rsidR="001A4A1F" w:rsidRPr="00073B66" w:rsidRDefault="001A4A1F" w:rsidP="00073B66">
            <w:pPr>
              <w:spacing w:line="276" w:lineRule="auto"/>
              <w:rPr>
                <w:rFonts w:eastAsia="Yu Gothic Light"/>
                <w:b/>
              </w:rPr>
            </w:pPr>
            <w:r>
              <w:rPr>
                <w:rFonts w:eastAsia="Yu Gothic Light"/>
                <w:b/>
              </w:rPr>
              <w:t>Skin graft/reconstruction procedures</w:t>
            </w:r>
          </w:p>
        </w:tc>
        <w:tc>
          <w:tcPr>
            <w:tcW w:w="4335" w:type="dxa"/>
            <w:tcMar>
              <w:top w:w="72" w:type="dxa"/>
              <w:left w:w="115" w:type="dxa"/>
              <w:bottom w:w="72" w:type="dxa"/>
              <w:right w:w="115" w:type="dxa"/>
            </w:tcMar>
            <w:vAlign w:val="center"/>
          </w:tcPr>
          <w:p w14:paraId="5C86FA5F" w14:textId="058121A8" w:rsidR="001A4A1F" w:rsidRPr="00073B66" w:rsidRDefault="001A4A1F" w:rsidP="004F63C1">
            <w:pPr>
              <w:jc w:val="center"/>
            </w:pPr>
            <w:r w:rsidRPr="00073B66">
              <w:t>_____</w:t>
            </w:r>
          </w:p>
        </w:tc>
      </w:tr>
    </w:tbl>
    <w:p w14:paraId="50959EC2" w14:textId="77777777" w:rsidR="00654F10" w:rsidRDefault="00654F10" w:rsidP="00753419"/>
    <w:tbl>
      <w:tblPr>
        <w:tblStyle w:val="TableGrid"/>
        <w:tblW w:w="0" w:type="auto"/>
        <w:tblLayout w:type="fixed"/>
        <w:tblCellMar>
          <w:left w:w="115" w:type="dxa"/>
          <w:right w:w="115" w:type="dxa"/>
        </w:tblCellMar>
        <w:tblLook w:val="04A0" w:firstRow="1" w:lastRow="0" w:firstColumn="1" w:lastColumn="0" w:noHBand="0" w:noVBand="1"/>
      </w:tblPr>
      <w:tblGrid>
        <w:gridCol w:w="6205"/>
        <w:gridCol w:w="3145"/>
      </w:tblGrid>
      <w:tr w:rsidR="00654F10" w:rsidRPr="005B2F83" w14:paraId="00D7AD0D" w14:textId="77777777" w:rsidTr="00914F12">
        <w:trPr>
          <w:trHeight w:val="144"/>
        </w:trPr>
        <w:tc>
          <w:tcPr>
            <w:tcW w:w="6205" w:type="dxa"/>
            <w:tcMar>
              <w:top w:w="72" w:type="dxa"/>
              <w:left w:w="115" w:type="dxa"/>
              <w:bottom w:w="72" w:type="dxa"/>
              <w:right w:w="115" w:type="dxa"/>
            </w:tcMar>
            <w:vAlign w:val="center"/>
          </w:tcPr>
          <w:p w14:paraId="16F84A87" w14:textId="77777777" w:rsidR="00654F10" w:rsidRDefault="00654F10" w:rsidP="00AD309C">
            <w:pPr>
              <w:pStyle w:val="ListParagraph"/>
              <w:numPr>
                <w:ilvl w:val="0"/>
                <w:numId w:val="91"/>
              </w:numPr>
            </w:pPr>
            <w:r>
              <w:t xml:space="preserve">Where were these </w:t>
            </w:r>
            <w:r w:rsidRPr="00654F10">
              <w:rPr>
                <w:b/>
              </w:rPr>
              <w:t>plastic and reconstructive surgery</w:t>
            </w:r>
            <w:r w:rsidRPr="005D2045">
              <w:rPr>
                <w:b/>
              </w:rPr>
              <w:t xml:space="preserve"> </w:t>
            </w:r>
            <w:r>
              <w:t>procedures performed?</w:t>
            </w:r>
          </w:p>
          <w:p w14:paraId="4E4FCC8C" w14:textId="77777777" w:rsidR="00654F10" w:rsidRDefault="00654F10" w:rsidP="00CA75AB">
            <w:pPr>
              <w:pStyle w:val="ListParagraph"/>
              <w:ind w:left="360"/>
            </w:pPr>
          </w:p>
          <w:p w14:paraId="6666F6D7" w14:textId="77777777" w:rsidR="00654F10" w:rsidRPr="00131F2C" w:rsidRDefault="00654F10" w:rsidP="00CA75AB">
            <w:pPr>
              <w:pStyle w:val="ListParagraph"/>
              <w:ind w:left="360"/>
              <w:rPr>
                <w:i/>
              </w:rPr>
            </w:pPr>
            <w:r>
              <w:rPr>
                <w:i/>
              </w:rPr>
              <w:t>Select all that apply.</w:t>
            </w:r>
          </w:p>
          <w:p w14:paraId="17188A19" w14:textId="77777777" w:rsidR="00654F10" w:rsidRPr="005D2045" w:rsidRDefault="00654F10" w:rsidP="00CA75AB">
            <w:pPr>
              <w:pStyle w:val="ListParagraph"/>
              <w:ind w:left="360"/>
            </w:pPr>
          </w:p>
          <w:p w14:paraId="23769B74" w14:textId="57E9E932" w:rsidR="00654F10" w:rsidRPr="005D2045" w:rsidRDefault="00C9400A" w:rsidP="00654F10">
            <w:pPr>
              <w:pStyle w:val="ListParagraph"/>
              <w:ind w:left="360"/>
            </w:pPr>
            <w:r w:rsidRPr="007E2B45">
              <w:rPr>
                <w:i/>
              </w:rPr>
              <w:t>If only “hospital” is selected,</w:t>
            </w:r>
            <w:r>
              <w:rPr>
                <w:i/>
              </w:rPr>
              <w:t xml:space="preserve"> </w:t>
            </w:r>
            <w:r w:rsidR="00654F10" w:rsidRPr="00B674A0">
              <w:rPr>
                <w:i/>
              </w:rPr>
              <w:t xml:space="preserve">skip </w:t>
            </w:r>
            <w:r w:rsidR="00654F10">
              <w:rPr>
                <w:i/>
              </w:rPr>
              <w:t>question #</w:t>
            </w:r>
            <w:r w:rsidR="006308BB">
              <w:rPr>
                <w:i/>
              </w:rPr>
              <w:t>37</w:t>
            </w:r>
            <w:r w:rsidR="00654F10">
              <w:rPr>
                <w:i/>
              </w:rPr>
              <w:t xml:space="preserve"> and continue to the next subsection.</w:t>
            </w:r>
          </w:p>
        </w:tc>
        <w:tc>
          <w:tcPr>
            <w:tcW w:w="3145" w:type="dxa"/>
            <w:vAlign w:val="center"/>
          </w:tcPr>
          <w:p w14:paraId="183677BA" w14:textId="77777777" w:rsidR="00654F10" w:rsidRPr="00753419" w:rsidRDefault="00654F10" w:rsidP="00AD309C">
            <w:pPr>
              <w:pStyle w:val="ListParagraph"/>
              <w:numPr>
                <w:ilvl w:val="0"/>
                <w:numId w:val="94"/>
              </w:numPr>
              <w:spacing w:line="276" w:lineRule="auto"/>
              <w:rPr>
                <w:iCs/>
              </w:rPr>
            </w:pPr>
            <w:r w:rsidRPr="00753419">
              <w:rPr>
                <w:iCs/>
              </w:rPr>
              <w:t>Hospital</w:t>
            </w:r>
          </w:p>
          <w:p w14:paraId="7C9BD217" w14:textId="6D12AD98" w:rsidR="00654F10" w:rsidRPr="00551F82" w:rsidRDefault="000D3C3A" w:rsidP="00AD309C">
            <w:pPr>
              <w:pStyle w:val="ListParagraph"/>
              <w:numPr>
                <w:ilvl w:val="0"/>
                <w:numId w:val="94"/>
              </w:numPr>
              <w:spacing w:line="276" w:lineRule="auto"/>
              <w:rPr>
                <w:i/>
              </w:rPr>
            </w:pPr>
            <w:r w:rsidRPr="00753419">
              <w:rPr>
                <w:iCs/>
              </w:rPr>
              <w:t>Surgery center or free-standing</w:t>
            </w:r>
            <w:r w:rsidR="00B06D95" w:rsidRPr="00753419">
              <w:rPr>
                <w:iCs/>
              </w:rPr>
              <w:t xml:space="preserve"> hospital outpatient department</w:t>
            </w:r>
          </w:p>
        </w:tc>
      </w:tr>
    </w:tbl>
    <w:p w14:paraId="6D168664" w14:textId="77777777" w:rsidR="00654F10" w:rsidRDefault="00654F10" w:rsidP="00654F10"/>
    <w:tbl>
      <w:tblPr>
        <w:tblStyle w:val="TableGrid"/>
        <w:tblW w:w="0" w:type="auto"/>
        <w:tblLayout w:type="fixed"/>
        <w:tblCellMar>
          <w:left w:w="115" w:type="dxa"/>
          <w:right w:w="115" w:type="dxa"/>
        </w:tblCellMar>
        <w:tblLook w:val="04A0" w:firstRow="1" w:lastRow="0" w:firstColumn="1" w:lastColumn="0" w:noHBand="0" w:noVBand="1"/>
      </w:tblPr>
      <w:tblGrid>
        <w:gridCol w:w="4135"/>
        <w:gridCol w:w="2098"/>
        <w:gridCol w:w="3117"/>
      </w:tblGrid>
      <w:tr w:rsidR="00654F10" w:rsidRPr="005B2F83" w14:paraId="58DBD3F5" w14:textId="77777777" w:rsidTr="00914F12">
        <w:trPr>
          <w:trHeight w:val="20"/>
        </w:trPr>
        <w:tc>
          <w:tcPr>
            <w:tcW w:w="9350" w:type="dxa"/>
            <w:gridSpan w:val="3"/>
            <w:tcMar>
              <w:top w:w="72" w:type="dxa"/>
              <w:left w:w="115" w:type="dxa"/>
              <w:bottom w:w="72" w:type="dxa"/>
              <w:right w:w="115" w:type="dxa"/>
            </w:tcMar>
            <w:vAlign w:val="center"/>
          </w:tcPr>
          <w:p w14:paraId="142E8CCA" w14:textId="2D0A6941" w:rsidR="00654F10" w:rsidRDefault="00654F10" w:rsidP="00AD309C">
            <w:pPr>
              <w:pStyle w:val="ListParagraph"/>
              <w:numPr>
                <w:ilvl w:val="0"/>
                <w:numId w:val="91"/>
              </w:numPr>
              <w:spacing w:line="276" w:lineRule="auto"/>
              <w:rPr>
                <w:i/>
              </w:rPr>
            </w:pPr>
            <w:r>
              <w:t xml:space="preserve">Please provide the name and city location of each </w:t>
            </w:r>
            <w:r w:rsidR="003E46F9">
              <w:t xml:space="preserve">surgery center or </w:t>
            </w:r>
            <w:r w:rsidR="000D3C3A">
              <w:t>free-standing</w:t>
            </w:r>
            <w:r w:rsidR="00B06D95">
              <w:t xml:space="preserve"> hospital outpatient department </w:t>
            </w:r>
            <w:r>
              <w:t xml:space="preserve">performing </w:t>
            </w:r>
            <w:r w:rsidRPr="00654F10">
              <w:rPr>
                <w:b/>
              </w:rPr>
              <w:t>plastic and reconstructive surgery</w:t>
            </w:r>
            <w:r>
              <w:rPr>
                <w:b/>
              </w:rPr>
              <w:t xml:space="preserve"> </w:t>
            </w:r>
            <w:r>
              <w:t>procedures:</w:t>
            </w:r>
          </w:p>
        </w:tc>
      </w:tr>
      <w:tr w:rsidR="00404D0D" w:rsidRPr="005B2F83" w14:paraId="786781E0" w14:textId="77777777" w:rsidTr="00914F12">
        <w:trPr>
          <w:trHeight w:val="20"/>
        </w:trPr>
        <w:tc>
          <w:tcPr>
            <w:tcW w:w="4135" w:type="dxa"/>
            <w:tcMar>
              <w:top w:w="72" w:type="dxa"/>
              <w:left w:w="115" w:type="dxa"/>
              <w:bottom w:w="72" w:type="dxa"/>
              <w:right w:w="115" w:type="dxa"/>
            </w:tcMar>
            <w:vAlign w:val="center"/>
          </w:tcPr>
          <w:p w14:paraId="045F4F26" w14:textId="77777777" w:rsidR="00404D0D" w:rsidRDefault="00404D0D" w:rsidP="00404D0D">
            <w:pPr>
              <w:pStyle w:val="ListParagraph"/>
              <w:spacing w:line="276" w:lineRule="auto"/>
              <w:ind w:left="360"/>
            </w:pPr>
          </w:p>
        </w:tc>
        <w:tc>
          <w:tcPr>
            <w:tcW w:w="2098" w:type="dxa"/>
            <w:vAlign w:val="center"/>
          </w:tcPr>
          <w:p w14:paraId="576C22EB" w14:textId="7EB79FA5" w:rsidR="00404D0D" w:rsidRPr="005C60B1" w:rsidRDefault="00404D0D" w:rsidP="004F63C1">
            <w:pPr>
              <w:spacing w:line="276" w:lineRule="auto"/>
              <w:jc w:val="center"/>
              <w:rPr>
                <w:i/>
              </w:rPr>
            </w:pPr>
            <w:r w:rsidRPr="005C60B1">
              <w:rPr>
                <w:i/>
              </w:rPr>
              <w:t>Name</w:t>
            </w:r>
          </w:p>
        </w:tc>
        <w:tc>
          <w:tcPr>
            <w:tcW w:w="3117" w:type="dxa"/>
            <w:vAlign w:val="center"/>
          </w:tcPr>
          <w:p w14:paraId="6A848176" w14:textId="0314E202" w:rsidR="00404D0D" w:rsidRPr="005C60B1" w:rsidRDefault="00404D0D" w:rsidP="004F63C1">
            <w:pPr>
              <w:spacing w:line="276" w:lineRule="auto"/>
              <w:jc w:val="center"/>
              <w:rPr>
                <w:i/>
              </w:rPr>
            </w:pPr>
            <w:r w:rsidRPr="005C60B1">
              <w:rPr>
                <w:i/>
              </w:rPr>
              <w:t>City</w:t>
            </w:r>
          </w:p>
        </w:tc>
      </w:tr>
      <w:tr w:rsidR="00404D0D" w:rsidRPr="005B2F83" w14:paraId="289350FE" w14:textId="77777777" w:rsidTr="00914F12">
        <w:trPr>
          <w:trHeight w:val="476"/>
        </w:trPr>
        <w:tc>
          <w:tcPr>
            <w:tcW w:w="4135" w:type="dxa"/>
            <w:tcMar>
              <w:top w:w="72" w:type="dxa"/>
              <w:left w:w="115" w:type="dxa"/>
              <w:bottom w:w="72" w:type="dxa"/>
              <w:right w:w="115" w:type="dxa"/>
            </w:tcMar>
            <w:vAlign w:val="center"/>
          </w:tcPr>
          <w:p w14:paraId="35EE71CD" w14:textId="16957771" w:rsidR="00404D0D" w:rsidRPr="00914F12" w:rsidRDefault="00696652" w:rsidP="00914F12">
            <w:pPr>
              <w:pStyle w:val="ListParagraph"/>
              <w:spacing w:line="276" w:lineRule="auto"/>
              <w:ind w:left="360"/>
              <w:rPr>
                <w:b/>
              </w:rPr>
            </w:pPr>
            <w:r>
              <w:rPr>
                <w:b/>
              </w:rPr>
              <w:t>Surgery Center/</w:t>
            </w:r>
            <w:r w:rsidRPr="00914F12">
              <w:rPr>
                <w:b/>
              </w:rPr>
              <w:t xml:space="preserve">Free-Standing </w:t>
            </w:r>
            <w:r w:rsidR="00404D0D" w:rsidRPr="00914F12">
              <w:rPr>
                <w:b/>
              </w:rPr>
              <w:t>Hospital Outpatient Department 1</w:t>
            </w:r>
          </w:p>
        </w:tc>
        <w:tc>
          <w:tcPr>
            <w:tcW w:w="2098" w:type="dxa"/>
            <w:vAlign w:val="center"/>
          </w:tcPr>
          <w:p w14:paraId="17909007" w14:textId="77777777" w:rsidR="00404D0D" w:rsidRDefault="00404D0D" w:rsidP="00404D0D">
            <w:pPr>
              <w:pStyle w:val="ListParagraph"/>
              <w:spacing w:line="276" w:lineRule="auto"/>
              <w:ind w:left="360"/>
            </w:pPr>
          </w:p>
        </w:tc>
        <w:tc>
          <w:tcPr>
            <w:tcW w:w="3117" w:type="dxa"/>
            <w:vAlign w:val="center"/>
          </w:tcPr>
          <w:p w14:paraId="1FF22C1E" w14:textId="77777777" w:rsidR="00404D0D" w:rsidRDefault="00404D0D" w:rsidP="00404D0D">
            <w:pPr>
              <w:pStyle w:val="ListParagraph"/>
              <w:spacing w:line="276" w:lineRule="auto"/>
              <w:ind w:left="360"/>
            </w:pPr>
          </w:p>
        </w:tc>
      </w:tr>
      <w:tr w:rsidR="00404D0D" w:rsidRPr="005B2F83" w14:paraId="6A6A778C" w14:textId="77777777" w:rsidTr="00914F12">
        <w:trPr>
          <w:trHeight w:val="476"/>
        </w:trPr>
        <w:tc>
          <w:tcPr>
            <w:tcW w:w="4135" w:type="dxa"/>
            <w:tcMar>
              <w:top w:w="72" w:type="dxa"/>
              <w:left w:w="115" w:type="dxa"/>
              <w:bottom w:w="72" w:type="dxa"/>
              <w:right w:w="115" w:type="dxa"/>
            </w:tcMar>
            <w:vAlign w:val="center"/>
          </w:tcPr>
          <w:p w14:paraId="3696EECD" w14:textId="56EC0142" w:rsidR="00404D0D" w:rsidRPr="00914F12" w:rsidRDefault="00696652" w:rsidP="00914F12">
            <w:pPr>
              <w:pStyle w:val="ListParagraph"/>
              <w:spacing w:line="276" w:lineRule="auto"/>
              <w:ind w:left="360"/>
              <w:rPr>
                <w:b/>
              </w:rPr>
            </w:pPr>
            <w:r>
              <w:rPr>
                <w:b/>
              </w:rPr>
              <w:t>Surgery Center/</w:t>
            </w:r>
            <w:r w:rsidRPr="00914F12">
              <w:rPr>
                <w:b/>
              </w:rPr>
              <w:t xml:space="preserve">Free-Standing </w:t>
            </w:r>
            <w:r w:rsidR="00404D0D" w:rsidRPr="00914F12">
              <w:rPr>
                <w:b/>
              </w:rPr>
              <w:t>Hospital Outpatient Department 2</w:t>
            </w:r>
          </w:p>
        </w:tc>
        <w:tc>
          <w:tcPr>
            <w:tcW w:w="2098" w:type="dxa"/>
            <w:vAlign w:val="center"/>
          </w:tcPr>
          <w:p w14:paraId="5753EFBC" w14:textId="77777777" w:rsidR="00404D0D" w:rsidRDefault="00404D0D" w:rsidP="00404D0D">
            <w:pPr>
              <w:pStyle w:val="ListParagraph"/>
              <w:spacing w:line="276" w:lineRule="auto"/>
              <w:ind w:left="360"/>
            </w:pPr>
          </w:p>
        </w:tc>
        <w:tc>
          <w:tcPr>
            <w:tcW w:w="3117" w:type="dxa"/>
            <w:vAlign w:val="center"/>
          </w:tcPr>
          <w:p w14:paraId="4A20E127" w14:textId="77777777" w:rsidR="00404D0D" w:rsidRDefault="00404D0D" w:rsidP="00404D0D">
            <w:pPr>
              <w:pStyle w:val="ListParagraph"/>
              <w:spacing w:line="276" w:lineRule="auto"/>
              <w:ind w:left="360"/>
            </w:pPr>
          </w:p>
        </w:tc>
      </w:tr>
      <w:tr w:rsidR="00404D0D" w:rsidRPr="005B2F83" w14:paraId="58C2A58B" w14:textId="77777777" w:rsidTr="00914F12">
        <w:trPr>
          <w:trHeight w:val="476"/>
        </w:trPr>
        <w:tc>
          <w:tcPr>
            <w:tcW w:w="4135" w:type="dxa"/>
            <w:tcMar>
              <w:top w:w="72" w:type="dxa"/>
              <w:left w:w="115" w:type="dxa"/>
              <w:bottom w:w="72" w:type="dxa"/>
              <w:right w:w="115" w:type="dxa"/>
            </w:tcMar>
            <w:vAlign w:val="center"/>
          </w:tcPr>
          <w:p w14:paraId="117922A9" w14:textId="58E44D21" w:rsidR="00404D0D" w:rsidRPr="00914F12" w:rsidRDefault="00696652" w:rsidP="00914F12">
            <w:pPr>
              <w:pStyle w:val="ListParagraph"/>
              <w:spacing w:line="276" w:lineRule="auto"/>
              <w:ind w:left="360"/>
              <w:rPr>
                <w:b/>
              </w:rPr>
            </w:pPr>
            <w:r>
              <w:rPr>
                <w:b/>
              </w:rPr>
              <w:t>Surgery Center/</w:t>
            </w:r>
            <w:r w:rsidRPr="00914F12">
              <w:rPr>
                <w:b/>
              </w:rPr>
              <w:t xml:space="preserve">Free-Standing </w:t>
            </w:r>
            <w:r w:rsidR="00404D0D" w:rsidRPr="00914F12">
              <w:rPr>
                <w:b/>
              </w:rPr>
              <w:t>Hospital Outpatient Department 3</w:t>
            </w:r>
          </w:p>
        </w:tc>
        <w:tc>
          <w:tcPr>
            <w:tcW w:w="2098" w:type="dxa"/>
            <w:vAlign w:val="center"/>
          </w:tcPr>
          <w:p w14:paraId="6F3356FA" w14:textId="77777777" w:rsidR="00404D0D" w:rsidRDefault="00404D0D" w:rsidP="00404D0D">
            <w:pPr>
              <w:pStyle w:val="ListParagraph"/>
              <w:spacing w:line="276" w:lineRule="auto"/>
              <w:ind w:left="360"/>
            </w:pPr>
          </w:p>
        </w:tc>
        <w:tc>
          <w:tcPr>
            <w:tcW w:w="3117" w:type="dxa"/>
            <w:vAlign w:val="center"/>
          </w:tcPr>
          <w:p w14:paraId="1F9CADC2" w14:textId="77777777" w:rsidR="00404D0D" w:rsidRDefault="00404D0D" w:rsidP="00404D0D">
            <w:pPr>
              <w:pStyle w:val="ListParagraph"/>
              <w:spacing w:line="276" w:lineRule="auto"/>
              <w:ind w:left="360"/>
            </w:pPr>
          </w:p>
        </w:tc>
      </w:tr>
      <w:tr w:rsidR="00404D0D" w:rsidRPr="005B2F83" w14:paraId="64F6485F" w14:textId="77777777" w:rsidTr="00914F12">
        <w:trPr>
          <w:trHeight w:val="476"/>
        </w:trPr>
        <w:tc>
          <w:tcPr>
            <w:tcW w:w="4135" w:type="dxa"/>
            <w:tcMar>
              <w:top w:w="72" w:type="dxa"/>
              <w:left w:w="115" w:type="dxa"/>
              <w:bottom w:w="72" w:type="dxa"/>
              <w:right w:w="115" w:type="dxa"/>
            </w:tcMar>
            <w:vAlign w:val="center"/>
          </w:tcPr>
          <w:p w14:paraId="3E55BCEF" w14:textId="4D2CC0BD" w:rsidR="00404D0D" w:rsidRPr="00914F12" w:rsidRDefault="00696652" w:rsidP="00914F12">
            <w:pPr>
              <w:pStyle w:val="ListParagraph"/>
              <w:spacing w:line="276" w:lineRule="auto"/>
              <w:ind w:left="360"/>
              <w:rPr>
                <w:b/>
              </w:rPr>
            </w:pPr>
            <w:r>
              <w:rPr>
                <w:b/>
              </w:rPr>
              <w:t>Surgery Center/</w:t>
            </w:r>
            <w:r w:rsidRPr="00914F12">
              <w:rPr>
                <w:b/>
              </w:rPr>
              <w:t xml:space="preserve">Free-Standing </w:t>
            </w:r>
            <w:r w:rsidR="00404D0D" w:rsidRPr="00914F12">
              <w:rPr>
                <w:b/>
              </w:rPr>
              <w:t>Hospital Outpatient Department 4</w:t>
            </w:r>
          </w:p>
        </w:tc>
        <w:tc>
          <w:tcPr>
            <w:tcW w:w="2098" w:type="dxa"/>
            <w:vAlign w:val="center"/>
          </w:tcPr>
          <w:p w14:paraId="7A3DE4D4" w14:textId="77777777" w:rsidR="00404D0D" w:rsidRDefault="00404D0D" w:rsidP="00404D0D">
            <w:pPr>
              <w:pStyle w:val="ListParagraph"/>
              <w:spacing w:line="276" w:lineRule="auto"/>
              <w:ind w:left="360"/>
            </w:pPr>
          </w:p>
        </w:tc>
        <w:tc>
          <w:tcPr>
            <w:tcW w:w="3117" w:type="dxa"/>
            <w:vAlign w:val="center"/>
          </w:tcPr>
          <w:p w14:paraId="33808836" w14:textId="77777777" w:rsidR="00404D0D" w:rsidRDefault="00404D0D" w:rsidP="00404D0D">
            <w:pPr>
              <w:pStyle w:val="ListParagraph"/>
              <w:spacing w:line="276" w:lineRule="auto"/>
              <w:ind w:left="360"/>
            </w:pPr>
          </w:p>
        </w:tc>
      </w:tr>
      <w:tr w:rsidR="00404D0D" w:rsidRPr="005B2F83" w14:paraId="25519A17" w14:textId="77777777" w:rsidTr="00914F12">
        <w:trPr>
          <w:trHeight w:val="476"/>
        </w:trPr>
        <w:tc>
          <w:tcPr>
            <w:tcW w:w="4135" w:type="dxa"/>
            <w:tcMar>
              <w:top w:w="72" w:type="dxa"/>
              <w:left w:w="115" w:type="dxa"/>
              <w:bottom w:w="72" w:type="dxa"/>
              <w:right w:w="115" w:type="dxa"/>
            </w:tcMar>
            <w:vAlign w:val="center"/>
          </w:tcPr>
          <w:p w14:paraId="57434CA9" w14:textId="777340CD" w:rsidR="00404D0D" w:rsidRPr="00914F12" w:rsidRDefault="00696652" w:rsidP="00914F12">
            <w:pPr>
              <w:pStyle w:val="ListParagraph"/>
              <w:spacing w:line="276" w:lineRule="auto"/>
              <w:ind w:left="360"/>
              <w:rPr>
                <w:b/>
              </w:rPr>
            </w:pPr>
            <w:r>
              <w:rPr>
                <w:b/>
              </w:rPr>
              <w:t>Surgery Center/</w:t>
            </w:r>
            <w:r w:rsidRPr="00914F12">
              <w:rPr>
                <w:b/>
              </w:rPr>
              <w:t xml:space="preserve">Free-Standing </w:t>
            </w:r>
            <w:r w:rsidR="00404D0D" w:rsidRPr="00914F12">
              <w:rPr>
                <w:b/>
              </w:rPr>
              <w:t>Hospital Outpatient Department 5</w:t>
            </w:r>
          </w:p>
        </w:tc>
        <w:tc>
          <w:tcPr>
            <w:tcW w:w="2098" w:type="dxa"/>
            <w:vAlign w:val="center"/>
          </w:tcPr>
          <w:p w14:paraId="4BE0DBAA" w14:textId="77777777" w:rsidR="00404D0D" w:rsidRDefault="00404D0D" w:rsidP="00404D0D">
            <w:pPr>
              <w:pStyle w:val="ListParagraph"/>
              <w:spacing w:line="276" w:lineRule="auto"/>
              <w:ind w:left="360"/>
            </w:pPr>
          </w:p>
        </w:tc>
        <w:tc>
          <w:tcPr>
            <w:tcW w:w="3117" w:type="dxa"/>
            <w:vAlign w:val="center"/>
          </w:tcPr>
          <w:p w14:paraId="0C57F4A8" w14:textId="77777777" w:rsidR="00404D0D" w:rsidRDefault="00404D0D" w:rsidP="00404D0D">
            <w:pPr>
              <w:pStyle w:val="ListParagraph"/>
              <w:spacing w:line="276" w:lineRule="auto"/>
              <w:ind w:left="360"/>
            </w:pPr>
          </w:p>
        </w:tc>
      </w:tr>
    </w:tbl>
    <w:p w14:paraId="46911BA7" w14:textId="77777777" w:rsidR="006E467C" w:rsidRDefault="006E467C" w:rsidP="006E467C">
      <w:pPr>
        <w:spacing w:after="120" w:line="264" w:lineRule="auto"/>
        <w:rPr>
          <w:szCs w:val="24"/>
        </w:rPr>
      </w:pPr>
    </w:p>
    <w:p w14:paraId="47DEB174" w14:textId="77777777" w:rsidR="00716B89" w:rsidRDefault="00716B89">
      <w:pPr>
        <w:rPr>
          <w:szCs w:val="24"/>
        </w:rPr>
      </w:pPr>
      <w:r>
        <w:rPr>
          <w:szCs w:val="24"/>
        </w:rPr>
        <w:br w:type="page"/>
      </w:r>
    </w:p>
    <w:p w14:paraId="7354C56C" w14:textId="7C298AFC" w:rsidR="0022685E" w:rsidRDefault="00852F93" w:rsidP="00CF5A6E">
      <w:pPr>
        <w:pStyle w:val="Heading2"/>
      </w:pPr>
      <w:bookmarkStart w:id="739" w:name="_Toc225877846"/>
      <w:r>
        <w:t>9D: Safety of Procedures</w:t>
      </w:r>
      <w:bookmarkEnd w:id="739"/>
    </w:p>
    <w:p w14:paraId="60C5F123" w14:textId="77777777" w:rsidR="00852F93" w:rsidRPr="00821E0F" w:rsidRDefault="00852F93" w:rsidP="0022685E">
      <w:pPr>
        <w:rPr>
          <w:szCs w:val="24"/>
        </w:rPr>
      </w:pPr>
    </w:p>
    <w:p w14:paraId="55F8B751" w14:textId="49877896" w:rsidR="00391D58" w:rsidRDefault="00391D58" w:rsidP="00391D58">
      <w:pPr>
        <w:rPr>
          <w:rFonts w:cs="Arial"/>
          <w:snapToGrid w:val="0"/>
        </w:rPr>
      </w:pPr>
      <w:r w:rsidRPr="00731A0D">
        <w:rPr>
          <w:rFonts w:cs="Arial"/>
          <w:snapToGrid w:val="0"/>
        </w:rPr>
        <w:t xml:space="preserve">Hospitals that share a CMS Certification Number are required to report by facility. Please carefully review </w:t>
      </w:r>
      <w:hyperlink r:id="rId471" w:history="1">
        <w:r w:rsidRPr="00731A0D">
          <w:rPr>
            <w:rStyle w:val="Hyperlink"/>
            <w:rFonts w:cs="Arial"/>
            <w:snapToGrid w:val="0"/>
          </w:rPr>
          <w:t>Leapfrog’s Multi-Campus Reporting Policy</w:t>
        </w:r>
      </w:hyperlink>
      <w:r w:rsidRPr="00731A0D">
        <w:rPr>
          <w:rFonts w:cs="Arial"/>
          <w:snapToGrid w:val="0"/>
        </w:rPr>
        <w:t>.</w:t>
      </w:r>
    </w:p>
    <w:p w14:paraId="418425E7" w14:textId="1FC7DFEB" w:rsidR="00FB07A6" w:rsidRPr="00821E0F" w:rsidRDefault="00FB07A6" w:rsidP="00391D58">
      <w:pPr>
        <w:rPr>
          <w:rFonts w:cs="Arial"/>
          <w:snapToGrid w:val="0"/>
        </w:rPr>
      </w:pPr>
    </w:p>
    <w:p w14:paraId="4D30F394" w14:textId="77777777" w:rsidR="001E7A80" w:rsidRDefault="00FB07A6" w:rsidP="00FB07A6">
      <w:pPr>
        <w:rPr>
          <w:rFonts w:cs="Arial"/>
          <w:snapToGrid w:val="0"/>
          <w:color w:val="FF0000"/>
        </w:rPr>
      </w:pPr>
      <w:r w:rsidRPr="00753419">
        <w:rPr>
          <w:rFonts w:cs="Arial"/>
          <w:b/>
          <w:bCs/>
          <w:snapToGrid w:val="0"/>
          <w:color w:val="FF0000"/>
        </w:rPr>
        <w:t>Important Note</w:t>
      </w:r>
      <w:r w:rsidR="001E7A80">
        <w:rPr>
          <w:rFonts w:cs="Arial"/>
          <w:b/>
          <w:bCs/>
          <w:snapToGrid w:val="0"/>
          <w:color w:val="FF0000"/>
        </w:rPr>
        <w:t>s</w:t>
      </w:r>
      <w:r w:rsidRPr="00753419">
        <w:rPr>
          <w:rFonts w:cs="Arial"/>
          <w:b/>
          <w:bCs/>
          <w:snapToGrid w:val="0"/>
          <w:color w:val="FF0000"/>
        </w:rPr>
        <w:t>:</w:t>
      </w:r>
      <w:r w:rsidRPr="00753419">
        <w:rPr>
          <w:rFonts w:cs="Arial"/>
          <w:snapToGrid w:val="0"/>
          <w:color w:val="FF0000"/>
        </w:rPr>
        <w:t xml:space="preserve"> </w:t>
      </w:r>
    </w:p>
    <w:p w14:paraId="72C23424" w14:textId="77777777" w:rsidR="001E7A80" w:rsidRDefault="001E7A80" w:rsidP="00FB07A6">
      <w:pPr>
        <w:rPr>
          <w:rFonts w:cs="Arial"/>
          <w:snapToGrid w:val="0"/>
          <w:color w:val="FF0000"/>
        </w:rPr>
      </w:pPr>
    </w:p>
    <w:p w14:paraId="32E20061" w14:textId="77777777" w:rsidR="001E7A80" w:rsidRDefault="001E7A80" w:rsidP="001E7A80">
      <w:r>
        <w:t xml:space="preserve">Note 1: </w:t>
      </w:r>
      <w:r w:rsidRPr="00C77D7E">
        <w:t xml:space="preserve">The elements </w:t>
      </w:r>
      <w:r>
        <w:t>required</w:t>
      </w:r>
      <w:r w:rsidRPr="00C77D7E">
        <w:t xml:space="preserve"> for each stage of</w:t>
      </w:r>
      <w:r>
        <w:t xml:space="preserve"> the safe surgery checklist in q</w:t>
      </w:r>
      <w:r w:rsidRPr="00C77D7E">
        <w:t>uestions</w:t>
      </w:r>
      <w:r>
        <w:t xml:space="preserve"> #5-12</w:t>
      </w:r>
      <w:r w:rsidRPr="00C77D7E">
        <w:t xml:space="preserve"> are adapted from the </w:t>
      </w:r>
      <w:hyperlink r:id="rId472" w:history="1">
        <w:r>
          <w:rPr>
            <w:rStyle w:val="Hyperlink"/>
          </w:rPr>
          <w:t>WHO Surgical Safety Checklist</w:t>
        </w:r>
      </w:hyperlink>
      <w:r>
        <w:t xml:space="preserve"> and the </w:t>
      </w:r>
      <w:hyperlink r:id="rId473" w:history="1">
        <w:r w:rsidRPr="0032061C">
          <w:rPr>
            <w:rStyle w:val="Hyperlink"/>
          </w:rPr>
          <w:t>AHRQ Endoscopy Checklist</w:t>
        </w:r>
      </w:hyperlink>
      <w:r w:rsidRPr="00C77D7E">
        <w:t>.</w:t>
      </w:r>
    </w:p>
    <w:p w14:paraId="233567E0" w14:textId="77777777" w:rsidR="001E7A80" w:rsidRPr="00B44C1C" w:rsidRDefault="001E7A80" w:rsidP="001E7A80">
      <w:pPr>
        <w:rPr>
          <w:sz w:val="16"/>
          <w:szCs w:val="16"/>
        </w:rPr>
      </w:pPr>
    </w:p>
    <w:p w14:paraId="52DEBFA9" w14:textId="77777777" w:rsidR="001E7A80" w:rsidRDefault="001E7A80" w:rsidP="001E7A80">
      <w:pPr>
        <w:rPr>
          <w:bCs/>
        </w:rPr>
      </w:pPr>
      <w:r w:rsidRPr="00722F1B">
        <w:rPr>
          <w:bCs/>
        </w:rPr>
        <w:t xml:space="preserve">Note </w:t>
      </w:r>
      <w:r>
        <w:rPr>
          <w:bCs/>
        </w:rPr>
        <w:t>2</w:t>
      </w:r>
      <w:r w:rsidRPr="00722F1B">
        <w:rPr>
          <w:bCs/>
        </w:rPr>
        <w:t xml:space="preserve">: </w:t>
      </w:r>
      <w:r>
        <w:rPr>
          <w:bCs/>
        </w:rPr>
        <w:t xml:space="preserve">Question #7 will not be used in scoring or public reporting. </w:t>
      </w:r>
      <w:r w:rsidRPr="00731A0D">
        <w:rPr>
          <w:rFonts w:cs="Arial"/>
          <w:snapToGrid w:val="0"/>
        </w:rPr>
        <w:t xml:space="preserve">Hospitals that do not perform </w:t>
      </w:r>
      <w:r>
        <w:rPr>
          <w:rFonts w:cs="Arial"/>
          <w:snapToGrid w:val="0"/>
        </w:rPr>
        <w:t xml:space="preserve">outpatient </w:t>
      </w:r>
      <w:r w:rsidRPr="00731A0D">
        <w:rPr>
          <w:rFonts w:cs="Arial"/>
          <w:snapToGrid w:val="0"/>
        </w:rPr>
        <w:t>procedures</w:t>
      </w:r>
      <w:r>
        <w:rPr>
          <w:rFonts w:cs="Arial"/>
          <w:snapToGrid w:val="0"/>
        </w:rPr>
        <w:t xml:space="preserve"> on adult or pediatric patients </w:t>
      </w:r>
      <w:r w:rsidRPr="00731A0D">
        <w:rPr>
          <w:rFonts w:cs="Arial"/>
          <w:snapToGrid w:val="0"/>
        </w:rPr>
        <w:t>will be scored and publicly reported as “Does Not Apply.”</w:t>
      </w:r>
    </w:p>
    <w:p w14:paraId="466B9494" w14:textId="77777777" w:rsidR="001E7A80" w:rsidRPr="00B44C1C" w:rsidRDefault="001E7A80" w:rsidP="001E7A80">
      <w:pPr>
        <w:rPr>
          <w:bCs/>
          <w:sz w:val="16"/>
          <w:szCs w:val="16"/>
        </w:rPr>
      </w:pPr>
    </w:p>
    <w:p w14:paraId="282FD7F8" w14:textId="707B74B1" w:rsidR="001E7A80" w:rsidRPr="00FB07A6" w:rsidRDefault="001E7A80" w:rsidP="001E7A80">
      <w:pPr>
        <w:rPr>
          <w:bCs/>
        </w:rPr>
      </w:pPr>
      <w:r>
        <w:rPr>
          <w:bCs/>
        </w:rPr>
        <w:t xml:space="preserve">Note 3: </w:t>
      </w:r>
      <w:r w:rsidRPr="00722F1B">
        <w:rPr>
          <w:bCs/>
        </w:rPr>
        <w:t xml:space="preserve">Hyperlinks throughout </w:t>
      </w:r>
      <w:r>
        <w:rPr>
          <w:bCs/>
        </w:rPr>
        <w:t>these questions</w:t>
      </w:r>
      <w:r w:rsidRPr="00722F1B">
        <w:rPr>
          <w:bCs/>
        </w:rPr>
        <w:t xml:space="preserve"> refer to </w:t>
      </w:r>
      <w:r>
        <w:rPr>
          <w:bCs/>
        </w:rPr>
        <w:t xml:space="preserve">the </w:t>
      </w:r>
      <w:hyperlink w:anchor="_Safe_Surgery_Checklist" w:history="1">
        <w:r>
          <w:rPr>
            <w:rStyle w:val="Hyperlink"/>
            <w:bCs/>
          </w:rPr>
          <w:t>Safe Surgery Checklist for Adult and Pediatric Outpatient Procedures FAQs</w:t>
        </w:r>
      </w:hyperlink>
      <w:r>
        <w:rPr>
          <w:bCs/>
        </w:rPr>
        <w:t xml:space="preserve"> </w:t>
      </w:r>
      <w:r>
        <w:rPr>
          <w:rFonts w:cs="Arial"/>
        </w:rPr>
        <w:t>beginning on page</w:t>
      </w:r>
      <w:r w:rsidR="00471968">
        <w:rPr>
          <w:rFonts w:cs="Arial"/>
        </w:rPr>
        <w:t xml:space="preserve"> 325</w:t>
      </w:r>
      <w:r>
        <w:rPr>
          <w:bCs/>
        </w:rPr>
        <w:t>,</w:t>
      </w:r>
      <w:r w:rsidRPr="004A60F9">
        <w:rPr>
          <w:bCs/>
        </w:rPr>
        <w:t xml:space="preserve"> not to endnotes. These hyperlinks are not include</w:t>
      </w:r>
      <w:r>
        <w:rPr>
          <w:bCs/>
        </w:rPr>
        <w:t>d in the Online Survey Tool</w:t>
      </w:r>
      <w:r w:rsidRPr="004A60F9">
        <w:rPr>
          <w:bCs/>
        </w:rPr>
        <w:t>.</w:t>
      </w:r>
      <w:r w:rsidRPr="00722F1B">
        <w:rPr>
          <w:bCs/>
        </w:rPr>
        <w:t xml:space="preserve"> </w:t>
      </w:r>
    </w:p>
    <w:p w14:paraId="5CB5E32F" w14:textId="77777777" w:rsidR="001E7A80" w:rsidRDefault="001E7A80" w:rsidP="00FB07A6">
      <w:pPr>
        <w:rPr>
          <w:rFonts w:cs="Arial"/>
          <w:snapToGrid w:val="0"/>
          <w:color w:val="FF0000"/>
        </w:rPr>
      </w:pPr>
    </w:p>
    <w:p w14:paraId="5CDE3347" w14:textId="1B28331A" w:rsidR="008E7151" w:rsidRPr="009B2809" w:rsidRDefault="001E7A80" w:rsidP="00FB07A6">
      <w:pPr>
        <w:rPr>
          <w:rFonts w:cs="Arial"/>
          <w:snapToGrid w:val="0"/>
          <w:color w:val="FF0000"/>
        </w:rPr>
      </w:pPr>
      <w:r w:rsidRPr="00E7202B">
        <w:rPr>
          <w:rFonts w:cs="Arial"/>
          <w:snapToGrid w:val="0"/>
        </w:rPr>
        <w:t>Note 4:</w:t>
      </w:r>
      <w:r w:rsidR="00E7202B">
        <w:rPr>
          <w:rFonts w:cs="Arial"/>
          <w:snapToGrid w:val="0"/>
        </w:rPr>
        <w:t xml:space="preserve"> </w:t>
      </w:r>
      <w:r w:rsidR="003F6DF1">
        <w:rPr>
          <w:rFonts w:cs="Arial"/>
        </w:rPr>
        <w:t xml:space="preserve">The term “hospital outpatient department” is used to refer to all hospital outpatient departments or areas of the hospital, including areas that are used for </w:t>
      </w:r>
      <w:r w:rsidR="003F6DF1">
        <w:rPr>
          <w:rFonts w:cs="Arial"/>
          <w:b/>
          <w:bCs/>
        </w:rPr>
        <w:t xml:space="preserve">both </w:t>
      </w:r>
      <w:r w:rsidR="003F6DF1">
        <w:rPr>
          <w:rFonts w:cs="Arial"/>
        </w:rPr>
        <w:t xml:space="preserve">inpatient and outpatient procedures, that perform the outpatient procedures listed in Section 9C and that share your hospital’s license or CMS Certification Number (CCN). This would include, but is not limited to surgery centers, free-standing hospital outpatient departments, as well as outpatient departments that are located in your hospital or are </w:t>
      </w:r>
      <w:hyperlink w:anchor="Endnote19_ColocatedNICU" w:history="1">
        <w:r w:rsidR="003F6DF1" w:rsidRPr="005C395A">
          <w:rPr>
            <w:rStyle w:val="Hyperlink"/>
          </w:rPr>
          <w:t>co-located</w:t>
        </w:r>
      </w:hyperlink>
      <w:r w:rsidR="003F6DF1">
        <w:fldChar w:fldCharType="begin"/>
      </w:r>
      <w:r w:rsidR="003F6DF1">
        <w:instrText xml:space="preserve"> NOTEREF _Ref2332683 \f \h </w:instrText>
      </w:r>
      <w:r w:rsidR="003F6DF1">
        <w:fldChar w:fldCharType="separate"/>
      </w:r>
      <w:r w:rsidR="007D53A2" w:rsidRPr="00E362A3">
        <w:rPr>
          <w:rStyle w:val="EndnoteReference"/>
        </w:rPr>
        <w:t>31</w:t>
      </w:r>
      <w:r w:rsidR="003F6DF1">
        <w:fldChar w:fldCharType="end"/>
      </w:r>
      <w:r w:rsidR="003F6DF1">
        <w:rPr>
          <w:rFonts w:cs="Arial"/>
        </w:rPr>
        <w:t xml:space="preserve"> with your hospital. Hospitals should only include hospital outpatient departments or areas of the hospital that perform the procedures listed in Section 9C in an </w:t>
      </w:r>
      <w:hyperlink w:anchor="Endnote49_OR" w:history="1">
        <w:r w:rsidR="003F6DF1" w:rsidRPr="00A879E1">
          <w:rPr>
            <w:rStyle w:val="Hyperlink"/>
          </w:rPr>
          <w:t>operating room</w:t>
        </w:r>
      </w:hyperlink>
      <w:r w:rsidR="003F6DF1">
        <w:rPr>
          <w:vertAlign w:val="superscript"/>
        </w:rPr>
        <w:fldChar w:fldCharType="begin"/>
      </w:r>
      <w:r w:rsidR="003F6DF1">
        <w:instrText xml:space="preserve"> NOTEREF _Ref534299024 \f \h </w:instrText>
      </w:r>
      <w:r w:rsidR="003F6DF1">
        <w:rPr>
          <w:vertAlign w:val="superscript"/>
        </w:rPr>
      </w:r>
      <w:r w:rsidR="003F6DF1">
        <w:rPr>
          <w:vertAlign w:val="superscript"/>
        </w:rPr>
        <w:fldChar w:fldCharType="separate"/>
      </w:r>
      <w:r w:rsidR="007D53A2" w:rsidRPr="00E362A3">
        <w:rPr>
          <w:rStyle w:val="EndnoteReference"/>
        </w:rPr>
        <w:t>52</w:t>
      </w:r>
      <w:r w:rsidR="003F6DF1">
        <w:rPr>
          <w:vertAlign w:val="superscript"/>
        </w:rPr>
        <w:fldChar w:fldCharType="end"/>
      </w:r>
      <w:r w:rsidR="003F6DF1">
        <w:t xml:space="preserve"> or </w:t>
      </w:r>
      <w:hyperlink w:anchor="procedureroom" w:history="1">
        <w:r w:rsidR="003F6DF1" w:rsidRPr="00A879E1">
          <w:rPr>
            <w:rStyle w:val="Hyperlink"/>
          </w:rPr>
          <w:t>procedure room</w:t>
        </w:r>
      </w:hyperlink>
      <w:r w:rsidR="003F6DF1">
        <w:fldChar w:fldCharType="begin"/>
      </w:r>
      <w:r w:rsidR="003F6DF1">
        <w:instrText xml:space="preserve"> NOTEREF _Ref534299351 \f \h </w:instrText>
      </w:r>
      <w:r w:rsidR="003F6DF1">
        <w:fldChar w:fldCharType="separate"/>
      </w:r>
      <w:r w:rsidR="007D53A2" w:rsidRPr="00E362A3">
        <w:rPr>
          <w:rStyle w:val="EndnoteReference"/>
        </w:rPr>
        <w:t>53</w:t>
      </w:r>
      <w:r w:rsidR="003F6DF1">
        <w:fldChar w:fldCharType="end"/>
      </w:r>
      <w:r w:rsidR="003F6DF1">
        <w:t>.</w:t>
      </w:r>
    </w:p>
    <w:p w14:paraId="13077E51" w14:textId="77777777" w:rsidR="00B31EA7" w:rsidRPr="00821E0F" w:rsidRDefault="00B31EA7" w:rsidP="007B3CB4">
      <w:pPr>
        <w:rPr>
          <w:rFonts w:cs="Arial"/>
        </w:rPr>
      </w:pPr>
    </w:p>
    <w:p w14:paraId="45D48C84" w14:textId="04EA8E03" w:rsidR="00381254" w:rsidRPr="004B10B3" w:rsidRDefault="004B10B3" w:rsidP="00E40D19">
      <w:pPr>
        <w:rPr>
          <w:rFonts w:cs="Arial"/>
          <w:bCs/>
          <w:snapToGrid w:val="0"/>
        </w:rPr>
      </w:pPr>
      <w:r w:rsidRPr="004B10B3">
        <w:rPr>
          <w:rFonts w:cs="Arial"/>
          <w:b/>
          <w:snapToGrid w:val="0"/>
        </w:rPr>
        <w:t xml:space="preserve">Specifications: </w:t>
      </w:r>
      <w:r w:rsidRPr="004B10B3">
        <w:rPr>
          <w:rFonts w:cs="Arial"/>
          <w:bCs/>
          <w:snapToGrid w:val="0"/>
        </w:rPr>
        <w:t xml:space="preserve">See the </w:t>
      </w:r>
      <w:hyperlink w:anchor="_Safe_Surgery_Checklist" w:history="1">
        <w:r w:rsidRPr="00EE6EA8">
          <w:rPr>
            <w:rStyle w:val="Hyperlink"/>
            <w:rFonts w:cs="Arial"/>
            <w:b/>
            <w:i/>
            <w:iCs/>
            <w:snapToGrid w:val="0"/>
          </w:rPr>
          <w:t>Safe Surgery Checklist for Adult and Pediatric Outpatient Procedures</w:t>
        </w:r>
        <w:r w:rsidR="00FB07A6" w:rsidRPr="00EE6EA8">
          <w:rPr>
            <w:rStyle w:val="Hyperlink"/>
            <w:rFonts w:cs="Arial"/>
            <w:b/>
            <w:i/>
            <w:iCs/>
            <w:snapToGrid w:val="0"/>
          </w:rPr>
          <w:t xml:space="preserve"> Measure Specifications</w:t>
        </w:r>
      </w:hyperlink>
      <w:r w:rsidRPr="004B10B3">
        <w:rPr>
          <w:rFonts w:cs="Arial"/>
          <w:bCs/>
          <w:snapToGrid w:val="0"/>
        </w:rPr>
        <w:t xml:space="preserve"> </w:t>
      </w:r>
      <w:r>
        <w:rPr>
          <w:rFonts w:cs="Arial"/>
          <w:bCs/>
          <w:snapToGrid w:val="0"/>
        </w:rPr>
        <w:t xml:space="preserve">in </w:t>
      </w:r>
      <w:r w:rsidRPr="004B10B3">
        <w:rPr>
          <w:rFonts w:cs="Arial"/>
          <w:bCs/>
          <w:snapToGrid w:val="0"/>
        </w:rPr>
        <w:t xml:space="preserve">the Safety of Procedures Reference Information </w:t>
      </w:r>
      <w:r w:rsidR="00BB4E48">
        <w:rPr>
          <w:rFonts w:cs="Arial"/>
          <w:bCs/>
          <w:snapToGrid w:val="0"/>
        </w:rPr>
        <w:t xml:space="preserve">beginning on page </w:t>
      </w:r>
      <w:r w:rsidR="00FB62EE">
        <w:rPr>
          <w:rFonts w:cs="Arial"/>
          <w:bCs/>
          <w:snapToGrid w:val="0"/>
        </w:rPr>
        <w:fldChar w:fldCharType="begin"/>
      </w:r>
      <w:r w:rsidR="00FB62EE">
        <w:rPr>
          <w:rFonts w:cs="Arial"/>
          <w:bCs/>
          <w:snapToGrid w:val="0"/>
        </w:rPr>
        <w:instrText xml:space="preserve"> PAGEREF _Ref123648394 \h </w:instrText>
      </w:r>
      <w:r w:rsidR="00FB62EE">
        <w:rPr>
          <w:rFonts w:cs="Arial"/>
          <w:bCs/>
          <w:snapToGrid w:val="0"/>
        </w:rPr>
      </w:r>
      <w:r w:rsidR="00FB62EE">
        <w:rPr>
          <w:rFonts w:cs="Arial"/>
          <w:bCs/>
          <w:snapToGrid w:val="0"/>
        </w:rPr>
        <w:fldChar w:fldCharType="separate"/>
      </w:r>
      <w:r w:rsidR="007D53A2">
        <w:rPr>
          <w:rFonts w:cs="Arial"/>
          <w:bCs/>
          <w:noProof/>
          <w:snapToGrid w:val="0"/>
        </w:rPr>
        <w:t>32</w:t>
      </w:r>
      <w:r w:rsidR="00FB62EE">
        <w:rPr>
          <w:rFonts w:cs="Arial"/>
          <w:bCs/>
          <w:snapToGrid w:val="0"/>
        </w:rPr>
        <w:fldChar w:fldCharType="end"/>
      </w:r>
      <w:r w:rsidR="00471968">
        <w:rPr>
          <w:rFonts w:cs="Arial"/>
          <w:bCs/>
          <w:snapToGrid w:val="0"/>
        </w:rPr>
        <w:t>8</w:t>
      </w:r>
      <w:r w:rsidR="00FB62EE">
        <w:rPr>
          <w:rFonts w:cs="Arial"/>
          <w:bCs/>
          <w:snapToGrid w:val="0"/>
        </w:rPr>
        <w:t>.</w:t>
      </w:r>
    </w:p>
    <w:p w14:paraId="7C4818D9" w14:textId="77777777" w:rsidR="004B10B3" w:rsidRPr="00B44C1C" w:rsidRDefault="004B10B3" w:rsidP="00E40D19">
      <w:pPr>
        <w:rPr>
          <w:b/>
          <w:sz w:val="16"/>
          <w:szCs w:val="16"/>
        </w:rPr>
      </w:pPr>
    </w:p>
    <w:p w14:paraId="0810854F" w14:textId="50CB067E" w:rsidR="002338AC" w:rsidRDefault="0082683E" w:rsidP="00E40D19">
      <w:pPr>
        <w:rPr>
          <w:b/>
        </w:rPr>
      </w:pPr>
      <w:r w:rsidRPr="0082683E">
        <w:rPr>
          <w:b/>
          <w:noProof/>
        </w:rPr>
        <mc:AlternateContent>
          <mc:Choice Requires="wps">
            <w:drawing>
              <wp:inline distT="0" distB="0" distL="0" distR="0" wp14:anchorId="17C4EF4F" wp14:editId="0F3D7B47">
                <wp:extent cx="5939624" cy="1068019"/>
                <wp:effectExtent l="0" t="0" r="23495" b="18415"/>
                <wp:docPr id="47" name="Text Box 47" descr="P11623TB35#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9624" cy="1068019"/>
                        </a:xfrm>
                        <a:prstGeom prst="rect">
                          <a:avLst/>
                        </a:prstGeom>
                        <a:solidFill>
                          <a:srgbClr val="FFFFFF"/>
                        </a:solidFill>
                        <a:ln w="9525">
                          <a:solidFill>
                            <a:srgbClr val="FF0000"/>
                          </a:solidFill>
                          <a:miter lim="800000"/>
                          <a:headEnd/>
                          <a:tailEnd/>
                        </a:ln>
                      </wps:spPr>
                      <wps:txbx>
                        <w:txbxContent>
                          <w:p w14:paraId="3E8EF17B" w14:textId="16280C28" w:rsidR="0082683E" w:rsidRPr="00460AEB" w:rsidRDefault="0082683E" w:rsidP="0082683E">
                            <w:pPr>
                              <w:spacing w:before="120"/>
                              <w:rPr>
                                <w:rFonts w:cs="Arial"/>
                                <w:b/>
                                <w:snapToGrid w:val="0"/>
                              </w:rPr>
                            </w:pPr>
                            <w:r w:rsidRPr="00460AEB">
                              <w:rPr>
                                <w:rFonts w:cs="Arial"/>
                                <w:b/>
                                <w:snapToGrid w:val="0"/>
                              </w:rPr>
                              <w:t xml:space="preserve">Reporting Period: </w:t>
                            </w:r>
                            <w:r w:rsidR="00B90CB9">
                              <w:rPr>
                                <w:rFonts w:cs="Arial"/>
                                <w:b/>
                                <w:snapToGrid w:val="0"/>
                              </w:rPr>
                              <w:t>12</w:t>
                            </w:r>
                            <w:r w:rsidRPr="00460AEB">
                              <w:rPr>
                                <w:rFonts w:cs="Arial"/>
                                <w:b/>
                                <w:snapToGrid w:val="0"/>
                              </w:rPr>
                              <w:t xml:space="preserve"> months</w:t>
                            </w:r>
                          </w:p>
                          <w:p w14:paraId="0CD2E077" w14:textId="23AABC37" w:rsidR="0082683E" w:rsidRDefault="0082683E" w:rsidP="0082683E">
                            <w:pPr>
                              <w:rPr>
                                <w:rFonts w:cs="Arial"/>
                                <w:snapToGrid w:val="0"/>
                              </w:rPr>
                            </w:pPr>
                            <w:r w:rsidRPr="00460AEB">
                              <w:rPr>
                                <w:rFonts w:cs="Arial"/>
                                <w:snapToGrid w:val="0"/>
                              </w:rPr>
                              <w:t>Answer questions #</w:t>
                            </w:r>
                            <w:r w:rsidR="00B90CB9">
                              <w:rPr>
                                <w:rFonts w:cs="Arial"/>
                                <w:snapToGrid w:val="0"/>
                              </w:rPr>
                              <w:t>1-9</w:t>
                            </w:r>
                            <w:r w:rsidRPr="00460AEB">
                              <w:rPr>
                                <w:rFonts w:cs="Arial"/>
                                <w:snapToGrid w:val="0"/>
                              </w:rPr>
                              <w:t xml:space="preserve"> for the latest </w:t>
                            </w:r>
                            <w:r w:rsidR="00B90CB9">
                              <w:rPr>
                                <w:rFonts w:cs="Arial"/>
                                <w:snapToGrid w:val="0"/>
                              </w:rPr>
                              <w:t>12</w:t>
                            </w:r>
                            <w:r w:rsidRPr="00460AEB">
                              <w:rPr>
                                <w:rFonts w:cs="Arial"/>
                                <w:snapToGrid w:val="0"/>
                              </w:rPr>
                              <w:t>-month period prior to submission of this section of the Survey.</w:t>
                            </w:r>
                          </w:p>
                          <w:p w14:paraId="10F9F479" w14:textId="77777777" w:rsidR="0082683E" w:rsidRPr="00B44C1C" w:rsidRDefault="0082683E" w:rsidP="0082683E">
                            <w:pPr>
                              <w:rPr>
                                <w:rFonts w:cs="Arial"/>
                                <w:snapToGrid w:val="0"/>
                                <w:sz w:val="16"/>
                                <w:szCs w:val="16"/>
                              </w:rPr>
                            </w:pPr>
                          </w:p>
                          <w:p w14:paraId="047DC95F" w14:textId="01DC7A56" w:rsidR="0082683E" w:rsidRDefault="0082683E" w:rsidP="0082683E">
                            <w:r w:rsidRPr="006547C0">
                              <w:rPr>
                                <w:rFonts w:cs="Arial"/>
                                <w:sz w:val="16"/>
                                <w:szCs w:val="16"/>
                              </w:rPr>
                              <w:t xml:space="preserve">Note: As a reminder, the </w:t>
                            </w:r>
                            <w:hyperlink r:id="rId474" w:history="1">
                              <w:r w:rsidRPr="006547C0">
                                <w:rPr>
                                  <w:rStyle w:val="Hyperlink"/>
                                  <w:rFonts w:cs="Arial"/>
                                  <w:sz w:val="16"/>
                                  <w:szCs w:val="16"/>
                                </w:rPr>
                                <w:t>Corrections Period</w:t>
                              </w:r>
                            </w:hyperlink>
                            <w:r w:rsidRPr="006547C0">
                              <w:rPr>
                                <w:rFonts w:cs="Arial"/>
                                <w:sz w:val="16"/>
                                <w:szCs w:val="16"/>
                              </w:rPr>
                              <w:t xml:space="preserve"> </w:t>
                            </w:r>
                            <w:r w:rsidRPr="00E65E68">
                              <w:rPr>
                                <w:rFonts w:cs="Arial"/>
                                <w:sz w:val="16"/>
                                <w:szCs w:val="16"/>
                              </w:rPr>
                              <w:t>(</w:t>
                            </w:r>
                            <w:r>
                              <w:rPr>
                                <w:rFonts w:cs="Arial"/>
                                <w:sz w:val="16"/>
                                <w:szCs w:val="16"/>
                              </w:rPr>
                              <w:t>December</w:t>
                            </w:r>
                            <w:r w:rsidRPr="00E65E68">
                              <w:rPr>
                                <w:rFonts w:cs="Arial"/>
                                <w:sz w:val="16"/>
                                <w:szCs w:val="16"/>
                              </w:rPr>
                              <w:t xml:space="preserve"> 1-January 31) is reserved for corrections to previously submitted Surveys only. </w:t>
                            </w:r>
                            <w:r w:rsidRPr="00E65E68">
                              <w:rPr>
                                <w:rFonts w:cs="Arial"/>
                                <w:bCs/>
                                <w:snapToGrid w:val="0"/>
                                <w:sz w:val="16"/>
                                <w:szCs w:val="16"/>
                              </w:rPr>
                              <w:t xml:space="preserve">Any updates made to reflect a change in performance must be made prior to the </w:t>
                            </w:r>
                            <w:r>
                              <w:rPr>
                                <w:rFonts w:cs="Arial"/>
                                <w:bCs/>
                                <w:snapToGrid w:val="0"/>
                                <w:sz w:val="16"/>
                                <w:szCs w:val="16"/>
                              </w:rPr>
                              <w:t>November 30</w:t>
                            </w:r>
                            <w:r w:rsidRPr="00E65E68">
                              <w:rPr>
                                <w:rFonts w:cs="Arial"/>
                                <w:bCs/>
                                <w:snapToGrid w:val="0"/>
                                <w:sz w:val="16"/>
                                <w:szCs w:val="16"/>
                              </w:rPr>
                              <w:t xml:space="preserve"> Late Submission </w:t>
                            </w:r>
                            <w:r>
                              <w:rPr>
                                <w:rFonts w:cs="Arial"/>
                                <w:bCs/>
                                <w:snapToGrid w:val="0"/>
                                <w:sz w:val="16"/>
                                <w:szCs w:val="16"/>
                              </w:rPr>
                              <w:t xml:space="preserve">and Performance Update </w:t>
                            </w:r>
                            <w:r w:rsidRPr="00E65E68">
                              <w:rPr>
                                <w:rFonts w:cs="Arial"/>
                                <w:bCs/>
                                <w:snapToGrid w:val="0"/>
                                <w:sz w:val="16"/>
                                <w:szCs w:val="16"/>
                              </w:rPr>
                              <w:t xml:space="preserve">Deadline. Updates made to reflect a change in performance after </w:t>
                            </w:r>
                            <w:r>
                              <w:rPr>
                                <w:rFonts w:cs="Arial"/>
                                <w:bCs/>
                                <w:snapToGrid w:val="0"/>
                                <w:sz w:val="16"/>
                                <w:szCs w:val="16"/>
                              </w:rPr>
                              <w:t>November 30</w:t>
                            </w:r>
                            <w:r w:rsidRPr="00E65E68">
                              <w:rPr>
                                <w:rFonts w:cs="Arial"/>
                                <w:bCs/>
                                <w:snapToGrid w:val="0"/>
                                <w:sz w:val="16"/>
                                <w:szCs w:val="16"/>
                              </w:rPr>
                              <w:t xml:space="preserve"> will not be scored or publicly reported.</w:t>
                            </w:r>
                          </w:p>
                        </w:txbxContent>
                      </wps:txbx>
                      <wps:bodyPr rot="0" vert="horz" wrap="square" lIns="91440" tIns="45720" rIns="91440" bIns="45720" anchor="t" anchorCtr="0">
                        <a:noAutofit/>
                      </wps:bodyPr>
                    </wps:wsp>
                  </a:graphicData>
                </a:graphic>
              </wp:inline>
            </w:drawing>
          </mc:Choice>
          <mc:Fallback>
            <w:pict>
              <v:shape w14:anchorId="17C4EF4F" id="Text Box 47" o:spid="_x0000_s1062" type="#_x0000_t202" alt="P11623TB35#y1" style="width:467.7pt;height:84.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" strokecolor="red">
                <v:textbox>
                  <w:txbxContent>
                    <w:p w14:paraId="3E8EF17B" w14:textId="16280C28" w:rsidR="0082683E" w:rsidRPr="00460AEB" w:rsidRDefault="0082683E" w:rsidP="0082683E">
                      <w:pPr>
                        <w:spacing w:before="120"/>
                        <w:rPr>
                          <w:rFonts w:cs="Arial"/>
                          <w:b/>
                          <w:snapToGrid w:val="0"/>
                        </w:rPr>
                      </w:pPr>
                      <w:r w:rsidRPr="00460AEB">
                        <w:rPr>
                          <w:rFonts w:cs="Arial"/>
                          <w:b/>
                          <w:snapToGrid w:val="0"/>
                        </w:rPr>
                        <w:t xml:space="preserve">Reporting Period: </w:t>
                      </w:r>
                      <w:r w:rsidR="00B90CB9">
                        <w:rPr>
                          <w:rFonts w:cs="Arial"/>
                          <w:b/>
                          <w:snapToGrid w:val="0"/>
                        </w:rPr>
                        <w:t>12</w:t>
                      </w:r>
                      <w:r w:rsidRPr="00460AEB">
                        <w:rPr>
                          <w:rFonts w:cs="Arial"/>
                          <w:b/>
                          <w:snapToGrid w:val="0"/>
                        </w:rPr>
                        <w:t xml:space="preserve"> months</w:t>
                      </w:r>
                    </w:p>
                    <w:p w14:paraId="0CD2E077" w14:textId="23AABC37" w:rsidR="0082683E" w:rsidRDefault="0082683E" w:rsidP="0082683E">
                      <w:pPr>
                        <w:rPr>
                          <w:rFonts w:cs="Arial"/>
                          <w:snapToGrid w:val="0"/>
                        </w:rPr>
                      </w:pPr>
                      <w:r w:rsidRPr="00460AEB">
                        <w:rPr>
                          <w:rFonts w:cs="Arial"/>
                          <w:snapToGrid w:val="0"/>
                        </w:rPr>
                        <w:t>Answer questions #</w:t>
                      </w:r>
                      <w:r w:rsidR="00B90CB9">
                        <w:rPr>
                          <w:rFonts w:cs="Arial"/>
                          <w:snapToGrid w:val="0"/>
                        </w:rPr>
                        <w:t>1-9</w:t>
                      </w:r>
                      <w:r w:rsidRPr="00460AEB">
                        <w:rPr>
                          <w:rFonts w:cs="Arial"/>
                          <w:snapToGrid w:val="0"/>
                        </w:rPr>
                        <w:t xml:space="preserve"> for the latest </w:t>
                      </w:r>
                      <w:r w:rsidR="00B90CB9">
                        <w:rPr>
                          <w:rFonts w:cs="Arial"/>
                          <w:snapToGrid w:val="0"/>
                        </w:rPr>
                        <w:t>12</w:t>
                      </w:r>
                      <w:r w:rsidRPr="00460AEB">
                        <w:rPr>
                          <w:rFonts w:cs="Arial"/>
                          <w:snapToGrid w:val="0"/>
                        </w:rPr>
                        <w:t>-month period prior to submission of this section of the Survey.</w:t>
                      </w:r>
                    </w:p>
                    <w:p w14:paraId="10F9F479" w14:textId="77777777" w:rsidR="0082683E" w:rsidRPr="00B44C1C" w:rsidRDefault="0082683E" w:rsidP="0082683E">
                      <w:pPr>
                        <w:rPr>
                          <w:rFonts w:cs="Arial"/>
                          <w:snapToGrid w:val="0"/>
                          <w:sz w:val="16"/>
                          <w:szCs w:val="16"/>
                        </w:rPr>
                      </w:pPr>
                    </w:p>
                    <w:p w14:paraId="047DC95F" w14:textId="01DC7A56" w:rsidR="0082683E" w:rsidRDefault="0082683E" w:rsidP="0082683E">
                      <w:r w:rsidRPr="006547C0">
                        <w:rPr>
                          <w:rFonts w:cs="Arial"/>
                          <w:sz w:val="16"/>
                          <w:szCs w:val="16"/>
                        </w:rPr>
                        <w:t xml:space="preserve">Note: As a reminder, the </w:t>
                      </w:r>
                      <w:hyperlink r:id="rId475" w:history="1">
                        <w:r w:rsidRPr="006547C0">
                          <w:rPr>
                            <w:rStyle w:val="Hyperlink"/>
                            <w:rFonts w:cs="Arial"/>
                            <w:sz w:val="16"/>
                            <w:szCs w:val="16"/>
                          </w:rPr>
                          <w:t>Corrections Period</w:t>
                        </w:r>
                      </w:hyperlink>
                      <w:r w:rsidRPr="006547C0">
                        <w:rPr>
                          <w:rFonts w:cs="Arial"/>
                          <w:sz w:val="16"/>
                          <w:szCs w:val="16"/>
                        </w:rPr>
                        <w:t xml:space="preserve"> </w:t>
                      </w:r>
                      <w:r w:rsidRPr="00E65E68">
                        <w:rPr>
                          <w:rFonts w:cs="Arial"/>
                          <w:sz w:val="16"/>
                          <w:szCs w:val="16"/>
                        </w:rPr>
                        <w:t>(</w:t>
                      </w:r>
                      <w:r>
                        <w:rPr>
                          <w:rFonts w:cs="Arial"/>
                          <w:sz w:val="16"/>
                          <w:szCs w:val="16"/>
                        </w:rPr>
                        <w:t>December</w:t>
                      </w:r>
                      <w:r w:rsidRPr="00E65E68">
                        <w:rPr>
                          <w:rFonts w:cs="Arial"/>
                          <w:sz w:val="16"/>
                          <w:szCs w:val="16"/>
                        </w:rPr>
                        <w:t xml:space="preserve"> 1-January 31) is reserved for corrections to previously submitted Surveys only. </w:t>
                      </w:r>
                      <w:r w:rsidRPr="00E65E68">
                        <w:rPr>
                          <w:rFonts w:cs="Arial"/>
                          <w:bCs/>
                          <w:snapToGrid w:val="0"/>
                          <w:sz w:val="16"/>
                          <w:szCs w:val="16"/>
                        </w:rPr>
                        <w:t xml:space="preserve">Any updates made to reflect a change in performance must be made prior to the </w:t>
                      </w:r>
                      <w:r>
                        <w:rPr>
                          <w:rFonts w:cs="Arial"/>
                          <w:bCs/>
                          <w:snapToGrid w:val="0"/>
                          <w:sz w:val="16"/>
                          <w:szCs w:val="16"/>
                        </w:rPr>
                        <w:t>November 30</w:t>
                      </w:r>
                      <w:r w:rsidRPr="00E65E68">
                        <w:rPr>
                          <w:rFonts w:cs="Arial"/>
                          <w:bCs/>
                          <w:snapToGrid w:val="0"/>
                          <w:sz w:val="16"/>
                          <w:szCs w:val="16"/>
                        </w:rPr>
                        <w:t xml:space="preserve"> Late Submission </w:t>
                      </w:r>
                      <w:r>
                        <w:rPr>
                          <w:rFonts w:cs="Arial"/>
                          <w:bCs/>
                          <w:snapToGrid w:val="0"/>
                          <w:sz w:val="16"/>
                          <w:szCs w:val="16"/>
                        </w:rPr>
                        <w:t xml:space="preserve">and Performance Update </w:t>
                      </w:r>
                      <w:r w:rsidRPr="00E65E68">
                        <w:rPr>
                          <w:rFonts w:cs="Arial"/>
                          <w:bCs/>
                          <w:snapToGrid w:val="0"/>
                          <w:sz w:val="16"/>
                          <w:szCs w:val="16"/>
                        </w:rPr>
                        <w:t xml:space="preserve">Deadline. Updates made to reflect a change in performance after </w:t>
                      </w:r>
                      <w:r>
                        <w:rPr>
                          <w:rFonts w:cs="Arial"/>
                          <w:bCs/>
                          <w:snapToGrid w:val="0"/>
                          <w:sz w:val="16"/>
                          <w:szCs w:val="16"/>
                        </w:rPr>
                        <w:t>November 30</w:t>
                      </w:r>
                      <w:r w:rsidRPr="00E65E68">
                        <w:rPr>
                          <w:rFonts w:cs="Arial"/>
                          <w:bCs/>
                          <w:snapToGrid w:val="0"/>
                          <w:sz w:val="16"/>
                          <w:szCs w:val="16"/>
                        </w:rPr>
                        <w:t xml:space="preserve"> will not be scored or publicly reported.</w:t>
                      </w:r>
                    </w:p>
                  </w:txbxContent>
                </v:textbox>
                <w10:anchorlock/>
              </v:shape>
            </w:pict>
          </mc:Fallback>
        </mc:AlternateContent>
      </w:r>
    </w:p>
    <w:p w14:paraId="290A689D" w14:textId="77777777" w:rsidR="0082683E" w:rsidRPr="00B44C1C" w:rsidRDefault="0082683E" w:rsidP="00E40D19">
      <w:pPr>
        <w:rPr>
          <w:b/>
          <w:sz w:val="16"/>
          <w:szCs w:val="16"/>
        </w:rPr>
      </w:pPr>
    </w:p>
    <w:p w14:paraId="33DC1041" w14:textId="083D0806" w:rsidR="00FB07A6" w:rsidRPr="00FB07A6" w:rsidRDefault="00FB07A6" w:rsidP="00E40D19">
      <w:pPr>
        <w:rPr>
          <w:rFonts w:cs="Arial"/>
          <w:b/>
        </w:rPr>
      </w:pPr>
      <w:r w:rsidRPr="009E7A7C">
        <w:rPr>
          <w:b/>
          <w:bCs/>
        </w:rPr>
        <w:t>Sufficient Sample:</w:t>
      </w:r>
      <w:r>
        <w:t xml:space="preserve"> See </w:t>
      </w:r>
      <w:hyperlink w:anchor="_Safe_Surgery_Checklist_3" w:history="1">
        <w:r w:rsidRPr="00764EEA">
          <w:rPr>
            <w:rStyle w:val="Hyperlink"/>
            <w:b/>
            <w:bCs/>
            <w:i/>
            <w:iCs/>
          </w:rPr>
          <w:t>Safe Surgery Checklist for Adult and Pediatric Outpatient Procedures Measure Specifications</w:t>
        </w:r>
      </w:hyperlink>
      <w:r w:rsidRPr="00A82650">
        <w:rPr>
          <w:rStyle w:val="Hyperlink"/>
          <w:b/>
          <w:i/>
          <w:iCs/>
          <w:u w:val="none"/>
        </w:rPr>
        <w:t xml:space="preserve"> </w:t>
      </w:r>
      <w:r>
        <w:t>for instructions on identifying a sufficient sample for question</w:t>
      </w:r>
      <w:r w:rsidR="002F7484">
        <w:t>s</w:t>
      </w:r>
      <w:r>
        <w:t xml:space="preserve"> #</w:t>
      </w:r>
      <w:r w:rsidR="002F7484">
        <w:t>6-9</w:t>
      </w:r>
      <w:r>
        <w:t>.</w:t>
      </w:r>
    </w:p>
    <w:p w14:paraId="5EB37BAD" w14:textId="77777777" w:rsidR="00FB07A6" w:rsidRDefault="00FB07A6" w:rsidP="00E40D19">
      <w:pPr>
        <w:rPr>
          <w:b/>
          <w:sz w:val="16"/>
          <w:szCs w:val="16"/>
        </w:rPr>
      </w:pPr>
    </w:p>
    <w:p w14:paraId="7C40D537" w14:textId="642672BD" w:rsidR="00424D98" w:rsidRPr="003A7DE7" w:rsidRDefault="00424D98" w:rsidP="00E40D19">
      <w:pPr>
        <w:rPr>
          <w:b/>
          <w:bCs/>
          <w:i/>
          <w:iCs/>
          <w:sz w:val="22"/>
          <w:szCs w:val="22"/>
        </w:rPr>
      </w:pPr>
      <w:r w:rsidRPr="003A7DE7">
        <w:rPr>
          <w:b/>
          <w:bCs/>
          <w:i/>
          <w:iCs/>
          <w:sz w:val="22"/>
          <w:szCs w:val="22"/>
        </w:rPr>
        <w:t>Safe Surgery Checklist for Adult and Pediatric Outpatient Procedures</w:t>
      </w:r>
    </w:p>
    <w:p w14:paraId="43A0BA4A" w14:textId="77777777" w:rsidR="00424D98" w:rsidRPr="00B44C1C" w:rsidRDefault="00424D98" w:rsidP="00E40D19">
      <w:pPr>
        <w:rPr>
          <w:b/>
          <w:sz w:val="16"/>
          <w:szCs w:val="16"/>
        </w:rPr>
      </w:pPr>
    </w:p>
    <w:tbl>
      <w:tblPr>
        <w:tblStyle w:val="TableGrid"/>
        <w:tblW w:w="0" w:type="auto"/>
        <w:tblLayout w:type="fixed"/>
        <w:tblLook w:val="04A0" w:firstRow="1" w:lastRow="0" w:firstColumn="1" w:lastColumn="0" w:noHBand="0" w:noVBand="1"/>
      </w:tblPr>
      <w:tblGrid>
        <w:gridCol w:w="6745"/>
        <w:gridCol w:w="2605"/>
      </w:tblGrid>
      <w:tr w:rsidR="00B90CB9" w:rsidRPr="00460AEB" w14:paraId="44B56959" w14:textId="77777777" w:rsidTr="00B44C1C">
        <w:trPr>
          <w:trHeight w:val="20"/>
        </w:trPr>
        <w:tc>
          <w:tcPr>
            <w:tcW w:w="6745" w:type="dxa"/>
            <w:tcMar>
              <w:top w:w="72" w:type="dxa"/>
              <w:left w:w="115" w:type="dxa"/>
              <w:bottom w:w="72" w:type="dxa"/>
              <w:right w:w="115" w:type="dxa"/>
            </w:tcMar>
            <w:vAlign w:val="center"/>
          </w:tcPr>
          <w:p w14:paraId="7CD6D002" w14:textId="07B55CB3" w:rsidR="00B11937" w:rsidRPr="00460AEB" w:rsidRDefault="00B90CB9" w:rsidP="00AD309C">
            <w:pPr>
              <w:pStyle w:val="ListParagraph"/>
              <w:numPr>
                <w:ilvl w:val="0"/>
                <w:numId w:val="159"/>
              </w:numPr>
            </w:pPr>
            <w:bookmarkStart w:id="740" w:name="_Hlk97627992"/>
            <w:r w:rsidRPr="00460AEB">
              <w:t xml:space="preserve">What is the latest </w:t>
            </w:r>
            <w:r>
              <w:t>12</w:t>
            </w:r>
            <w:r w:rsidRPr="00460AEB">
              <w:t xml:space="preserve">-month reporting period for which your </w:t>
            </w:r>
            <w:r>
              <w:t>hospital</w:t>
            </w:r>
            <w:r w:rsidRPr="00460AEB">
              <w:t xml:space="preserve"> is submitting responses to questions #</w:t>
            </w:r>
            <w:r w:rsidR="00C6094F">
              <w:t>2</w:t>
            </w:r>
            <w:r>
              <w:t>-9</w:t>
            </w:r>
            <w:r w:rsidRPr="00460AEB">
              <w:t xml:space="preserve">? </w:t>
            </w:r>
            <w:r>
              <w:t>12</w:t>
            </w:r>
            <w:r w:rsidRPr="00460AEB">
              <w:t>-month reporting period ending:</w:t>
            </w:r>
          </w:p>
        </w:tc>
        <w:tc>
          <w:tcPr>
            <w:tcW w:w="2605" w:type="dxa"/>
            <w:tcMar>
              <w:top w:w="72" w:type="dxa"/>
              <w:left w:w="115" w:type="dxa"/>
              <w:bottom w:w="72" w:type="dxa"/>
              <w:right w:w="115" w:type="dxa"/>
            </w:tcMar>
            <w:vAlign w:val="center"/>
          </w:tcPr>
          <w:p w14:paraId="2105F8B9" w14:textId="77777777" w:rsidR="00B90CB9" w:rsidRPr="00AD46BD" w:rsidRDefault="00B90CB9" w:rsidP="006E26E4">
            <w:pPr>
              <w:jc w:val="center"/>
              <w:rPr>
                <w:rFonts w:cs="Arial"/>
                <w:iCs/>
                <w:snapToGrid w:val="0"/>
              </w:rPr>
            </w:pPr>
            <w:r w:rsidRPr="008B75CE">
              <w:rPr>
                <w:rFonts w:cs="Arial"/>
                <w:i/>
                <w:snapToGrid w:val="0"/>
              </w:rPr>
              <w:t>______</w:t>
            </w:r>
          </w:p>
          <w:p w14:paraId="7849DD22" w14:textId="44E5A3A9" w:rsidR="00B90CB9" w:rsidRPr="00460AEB" w:rsidRDefault="00B90CB9" w:rsidP="00B44C1C">
            <w:pPr>
              <w:pStyle w:val="ListParagraph"/>
              <w:ind w:left="0"/>
              <w:jc w:val="center"/>
            </w:pPr>
            <w:r w:rsidRPr="009A5185">
              <w:rPr>
                <w:rFonts w:cs="Arial"/>
                <w:i/>
                <w:snapToGrid w:val="0"/>
                <w:sz w:val="16"/>
                <w:szCs w:val="16"/>
              </w:rPr>
              <w:t>Format: M</w:t>
            </w:r>
            <w:r>
              <w:rPr>
                <w:rFonts w:cs="Arial"/>
                <w:i/>
                <w:snapToGrid w:val="0"/>
                <w:sz w:val="16"/>
                <w:szCs w:val="16"/>
              </w:rPr>
              <w:t>onth</w:t>
            </w:r>
            <w:r w:rsidRPr="009A5185">
              <w:rPr>
                <w:rFonts w:cs="Arial"/>
                <w:i/>
                <w:snapToGrid w:val="0"/>
                <w:sz w:val="16"/>
                <w:szCs w:val="16"/>
              </w:rPr>
              <w:t>/Y</w:t>
            </w:r>
            <w:r>
              <w:rPr>
                <w:rFonts w:cs="Arial"/>
                <w:i/>
                <w:snapToGrid w:val="0"/>
                <w:sz w:val="16"/>
                <w:szCs w:val="16"/>
              </w:rPr>
              <w:t>ea</w:t>
            </w:r>
            <w:r w:rsidR="008F5C42">
              <w:rPr>
                <w:rFonts w:cs="Arial"/>
                <w:i/>
                <w:snapToGrid w:val="0"/>
                <w:sz w:val="16"/>
                <w:szCs w:val="16"/>
              </w:rPr>
              <w:t>r</w:t>
            </w:r>
          </w:p>
        </w:tc>
      </w:tr>
      <w:tr w:rsidR="00C54E7A" w:rsidRPr="00460AEB" w14:paraId="0C647C71" w14:textId="77777777" w:rsidTr="00B44C1C">
        <w:trPr>
          <w:trHeight w:val="20"/>
        </w:trPr>
        <w:tc>
          <w:tcPr>
            <w:tcW w:w="6745" w:type="dxa"/>
            <w:tcMar>
              <w:top w:w="72" w:type="dxa"/>
              <w:left w:w="115" w:type="dxa"/>
              <w:bottom w:w="72" w:type="dxa"/>
              <w:right w:w="115" w:type="dxa"/>
            </w:tcMar>
            <w:vAlign w:val="center"/>
          </w:tcPr>
          <w:p w14:paraId="7E9748E1" w14:textId="73DA0E23" w:rsidR="00E45EAA" w:rsidRDefault="00D65725" w:rsidP="00AD309C">
            <w:pPr>
              <w:pStyle w:val="ListParagraph"/>
              <w:numPr>
                <w:ilvl w:val="0"/>
                <w:numId w:val="159"/>
              </w:numPr>
            </w:pPr>
            <w:r w:rsidRPr="00483C41">
              <w:t>Do</w:t>
            </w:r>
            <w:r w:rsidR="000A0885">
              <w:t>es</w:t>
            </w:r>
            <w:r w:rsidRPr="00483C41">
              <w:t xml:space="preserve"> your </w:t>
            </w:r>
            <w:r w:rsidR="00DB4E5E">
              <w:t xml:space="preserve">hospital </w:t>
            </w:r>
            <w:r w:rsidR="00E45EAA" w:rsidRPr="00483C41">
              <w:t xml:space="preserve">utilize a safe surgery checklist </w:t>
            </w:r>
            <w:r w:rsidR="00022BA0">
              <w:t xml:space="preserve">on </w:t>
            </w:r>
            <w:r w:rsidR="00022BA0" w:rsidRPr="003303F0">
              <w:rPr>
                <w:u w:val="single"/>
              </w:rPr>
              <w:t>every</w:t>
            </w:r>
            <w:r w:rsidR="00022BA0">
              <w:t xml:space="preserve"> patient, </w:t>
            </w:r>
            <w:r w:rsidR="00022BA0" w:rsidRPr="003303F0">
              <w:rPr>
                <w:u w:val="single"/>
              </w:rPr>
              <w:t>every</w:t>
            </w:r>
            <w:r w:rsidR="00022BA0">
              <w:t xml:space="preserve"> time one </w:t>
            </w:r>
            <w:r w:rsidR="00E45EAA" w:rsidRPr="00483C41">
              <w:t>of the applicable proc</w:t>
            </w:r>
            <w:r w:rsidR="001A1300" w:rsidRPr="00483C41">
              <w:t>edures in Section</w:t>
            </w:r>
            <w:r w:rsidR="001A1300" w:rsidRPr="00460AEB">
              <w:t xml:space="preserve"> </w:t>
            </w:r>
            <w:r w:rsidR="00FB07A6">
              <w:t>9</w:t>
            </w:r>
            <w:r w:rsidR="001A1300" w:rsidRPr="00460AEB">
              <w:t>C</w:t>
            </w:r>
            <w:r w:rsidR="00022BA0">
              <w:t xml:space="preserve"> is performed</w:t>
            </w:r>
            <w:r w:rsidR="00E45EAA" w:rsidRPr="00460AEB">
              <w:t>?</w:t>
            </w:r>
          </w:p>
          <w:p w14:paraId="2EF61105" w14:textId="693005F1" w:rsidR="00C511BC" w:rsidRDefault="00C511BC" w:rsidP="00C511BC">
            <w:pPr>
              <w:pStyle w:val="ListParagraph"/>
              <w:ind w:left="360"/>
              <w:rPr>
                <w:i/>
                <w:iCs/>
              </w:rPr>
            </w:pPr>
          </w:p>
          <w:p w14:paraId="5FFE7BE6" w14:textId="1075A6D9" w:rsidR="00C511BC" w:rsidRPr="00B209EA" w:rsidRDefault="00C511BC" w:rsidP="00C511BC">
            <w:pPr>
              <w:ind w:left="360"/>
              <w:contextualSpacing/>
            </w:pPr>
            <w:r>
              <w:rPr>
                <w:i/>
                <w:iCs/>
              </w:rPr>
              <w:t xml:space="preserve">Hospitals with more than one hospital outpatient department, including a surgery center or free-standing hospital outpatient department, should respond based on the location with the </w:t>
            </w:r>
            <w:r w:rsidR="007E544C">
              <w:rPr>
                <w:i/>
                <w:iCs/>
              </w:rPr>
              <w:t>fewest processes in place</w:t>
            </w:r>
            <w:r>
              <w:rPr>
                <w:i/>
                <w:iCs/>
              </w:rPr>
              <w:t>.</w:t>
            </w:r>
            <w:r w:rsidRPr="00B209EA">
              <w:t xml:space="preserve"> </w:t>
            </w:r>
          </w:p>
          <w:p w14:paraId="0CD3DFDE" w14:textId="77777777" w:rsidR="001A1300" w:rsidRPr="00460AEB" w:rsidRDefault="001A1300" w:rsidP="001A1300"/>
          <w:p w14:paraId="3012A3F3" w14:textId="6412B319" w:rsidR="00E45EAA" w:rsidRPr="00D418B7" w:rsidRDefault="001A1300" w:rsidP="00D418B7">
            <w:pPr>
              <w:ind w:left="360"/>
              <w:rPr>
                <w:i/>
              </w:rPr>
            </w:pPr>
            <w:r w:rsidRPr="00460AEB">
              <w:rPr>
                <w:i/>
              </w:rPr>
              <w:t>If “</w:t>
            </w:r>
            <w:r w:rsidR="00694E9D" w:rsidRPr="00460AEB">
              <w:rPr>
                <w:i/>
              </w:rPr>
              <w:t>no</w:t>
            </w:r>
            <w:r w:rsidRPr="00460AEB">
              <w:rPr>
                <w:i/>
              </w:rPr>
              <w:t>” to question #</w:t>
            </w:r>
            <w:r w:rsidR="00C54E7A">
              <w:rPr>
                <w:i/>
              </w:rPr>
              <w:t>2</w:t>
            </w:r>
            <w:r w:rsidRPr="00460AEB">
              <w:rPr>
                <w:i/>
              </w:rPr>
              <w:t>, skip</w:t>
            </w:r>
            <w:r w:rsidR="00E13DF0" w:rsidRPr="00460AEB">
              <w:rPr>
                <w:i/>
              </w:rPr>
              <w:t xml:space="preserve"> </w:t>
            </w:r>
            <w:r w:rsidR="00FB07A6">
              <w:rPr>
                <w:i/>
              </w:rPr>
              <w:t xml:space="preserve">the remaining questions in Section 9D and </w:t>
            </w:r>
            <w:r w:rsidR="00086A99">
              <w:rPr>
                <w:i/>
              </w:rPr>
              <w:t xml:space="preserve">continue </w:t>
            </w:r>
            <w:r w:rsidR="00FB07A6">
              <w:rPr>
                <w:i/>
              </w:rPr>
              <w:t>to the next subsection</w:t>
            </w:r>
            <w:r w:rsidRPr="00460AEB">
              <w:rPr>
                <w:i/>
              </w:rPr>
              <w:t>.</w:t>
            </w:r>
            <w:r w:rsidR="00836820">
              <w:rPr>
                <w:i/>
              </w:rPr>
              <w:t xml:space="preserve"> </w:t>
            </w:r>
            <w:r w:rsidR="00836820" w:rsidRPr="00F61E74">
              <w:rPr>
                <w:rFonts w:cs="Arial"/>
                <w:i/>
              </w:rPr>
              <w:t>The hospital will be scored as “Limited Achievement</w:t>
            </w:r>
            <w:r w:rsidR="00836820">
              <w:rPr>
                <w:rFonts w:cs="Arial"/>
                <w:i/>
              </w:rPr>
              <w:t>.”</w:t>
            </w:r>
          </w:p>
        </w:tc>
        <w:tc>
          <w:tcPr>
            <w:tcW w:w="2605" w:type="dxa"/>
            <w:tcMar>
              <w:top w:w="72" w:type="dxa"/>
              <w:left w:w="115" w:type="dxa"/>
              <w:bottom w:w="72" w:type="dxa"/>
              <w:right w:w="115" w:type="dxa"/>
            </w:tcMar>
            <w:vAlign w:val="center"/>
          </w:tcPr>
          <w:p w14:paraId="66FFE27C" w14:textId="6342CBBE" w:rsidR="00E45EAA" w:rsidRPr="00B44C1C" w:rsidRDefault="00E45EAA" w:rsidP="00AD309C">
            <w:pPr>
              <w:pStyle w:val="ListParagraph"/>
              <w:numPr>
                <w:ilvl w:val="0"/>
                <w:numId w:val="317"/>
              </w:numPr>
              <w:rPr>
                <w:rFonts w:cs="Arial"/>
                <w:iCs/>
                <w:snapToGrid w:val="0"/>
              </w:rPr>
            </w:pPr>
            <w:r w:rsidRPr="00B44C1C">
              <w:rPr>
                <w:rFonts w:cs="Arial"/>
                <w:iCs/>
                <w:snapToGrid w:val="0"/>
              </w:rPr>
              <w:t>Yes</w:t>
            </w:r>
          </w:p>
          <w:p w14:paraId="01A0AEF4" w14:textId="77777777" w:rsidR="00E45EAA" w:rsidRPr="00B44C1C" w:rsidRDefault="00E45EAA" w:rsidP="00AD309C">
            <w:pPr>
              <w:pStyle w:val="ListParagraph"/>
              <w:numPr>
                <w:ilvl w:val="0"/>
                <w:numId w:val="317"/>
              </w:numPr>
              <w:rPr>
                <w:rFonts w:cs="Arial"/>
                <w:iCs/>
                <w:snapToGrid w:val="0"/>
              </w:rPr>
            </w:pPr>
            <w:r w:rsidRPr="00B44C1C">
              <w:rPr>
                <w:rFonts w:cs="Arial"/>
                <w:iCs/>
                <w:snapToGrid w:val="0"/>
              </w:rPr>
              <w:t>No</w:t>
            </w:r>
          </w:p>
        </w:tc>
      </w:tr>
      <w:tr w:rsidR="000242AB" w:rsidRPr="00460AEB" w14:paraId="728A9F33" w14:textId="77777777" w:rsidTr="00B44C1C">
        <w:trPr>
          <w:trHeight w:val="20"/>
        </w:trPr>
        <w:tc>
          <w:tcPr>
            <w:tcW w:w="6745" w:type="dxa"/>
            <w:tcMar>
              <w:top w:w="72" w:type="dxa"/>
              <w:left w:w="115" w:type="dxa"/>
              <w:bottom w:w="72" w:type="dxa"/>
              <w:right w:w="115" w:type="dxa"/>
            </w:tcMar>
            <w:vAlign w:val="center"/>
          </w:tcPr>
          <w:p w14:paraId="4BC9728A" w14:textId="16CCECFF" w:rsidR="000242AB" w:rsidRDefault="008C2B4F" w:rsidP="00AD309C">
            <w:pPr>
              <w:pStyle w:val="ListParagraph"/>
              <w:numPr>
                <w:ilvl w:val="0"/>
                <w:numId w:val="159"/>
              </w:numPr>
            </w:pPr>
            <w:r>
              <w:rPr>
                <w:b/>
              </w:rPr>
              <w:t>B</w:t>
            </w:r>
            <w:r w:rsidR="000242AB" w:rsidRPr="000242AB">
              <w:rPr>
                <w:b/>
              </w:rPr>
              <w:t>efore the induction of anesthesia</w:t>
            </w:r>
            <w:r>
              <w:rPr>
                <w:bCs/>
              </w:rPr>
              <w:t xml:space="preserve">, is a safe surgery checklist that includes </w:t>
            </w:r>
            <w:r w:rsidRPr="008C2B4F">
              <w:rPr>
                <w:bCs/>
                <w:u w:val="single"/>
              </w:rPr>
              <w:t>all</w:t>
            </w:r>
            <w:r>
              <w:rPr>
                <w:bCs/>
              </w:rPr>
              <w:t xml:space="preserve"> the following elements </w:t>
            </w:r>
            <w:r w:rsidRPr="00B17A60">
              <w:rPr>
                <w:bCs/>
                <w:u w:val="single"/>
              </w:rPr>
              <w:t>read aloud</w:t>
            </w:r>
            <w:r>
              <w:rPr>
                <w:bCs/>
              </w:rPr>
              <w:t xml:space="preserve"> in the presence of the </w:t>
            </w:r>
            <w:r w:rsidRPr="00B17A60">
              <w:rPr>
                <w:u w:val="single"/>
              </w:rPr>
              <w:t>anesthesia professional and nursing personnel</w:t>
            </w:r>
            <w:r w:rsidR="000242AB">
              <w:t xml:space="preserve">: </w:t>
            </w:r>
          </w:p>
          <w:p w14:paraId="0A3C00A0" w14:textId="7C884A47" w:rsidR="000242AB" w:rsidRDefault="000242AB" w:rsidP="00AD309C">
            <w:pPr>
              <w:pStyle w:val="ListParagraph"/>
              <w:numPr>
                <w:ilvl w:val="0"/>
                <w:numId w:val="132"/>
              </w:numPr>
            </w:pPr>
            <w:r>
              <w:t>Patient ID</w:t>
            </w:r>
            <w:r w:rsidR="0058471A">
              <w:t>;</w:t>
            </w:r>
          </w:p>
          <w:p w14:paraId="3AF0A5E2" w14:textId="2DB71978" w:rsidR="000242AB" w:rsidRDefault="000242AB" w:rsidP="00AD309C">
            <w:pPr>
              <w:pStyle w:val="ListParagraph"/>
              <w:numPr>
                <w:ilvl w:val="0"/>
                <w:numId w:val="132"/>
              </w:numPr>
            </w:pPr>
            <w:r>
              <w:t>Confirmation of procedure</w:t>
            </w:r>
            <w:r w:rsidR="0058471A">
              <w:t>;</w:t>
            </w:r>
          </w:p>
          <w:p w14:paraId="3D18ABF0" w14:textId="0F766B02" w:rsidR="000242AB" w:rsidRDefault="000242AB" w:rsidP="00AD309C">
            <w:pPr>
              <w:pStyle w:val="ListParagraph"/>
              <w:numPr>
                <w:ilvl w:val="0"/>
                <w:numId w:val="132"/>
              </w:numPr>
            </w:pPr>
            <w:r>
              <w:t>Patient consent</w:t>
            </w:r>
            <w:r w:rsidR="0058471A">
              <w:t>;</w:t>
            </w:r>
          </w:p>
          <w:p w14:paraId="7688F20C" w14:textId="15596062" w:rsidR="000242AB" w:rsidRDefault="000242AB" w:rsidP="00AD309C">
            <w:pPr>
              <w:pStyle w:val="ListParagraph"/>
              <w:numPr>
                <w:ilvl w:val="0"/>
                <w:numId w:val="132"/>
              </w:numPr>
            </w:pPr>
            <w:r>
              <w:t>Site marked</w:t>
            </w:r>
            <w:r w:rsidR="002C0F8D">
              <w:t>, if applicable</w:t>
            </w:r>
            <w:r w:rsidR="0058471A">
              <w:t>;</w:t>
            </w:r>
          </w:p>
          <w:p w14:paraId="7EBAAAB8" w14:textId="780EAE09" w:rsidR="000242AB" w:rsidRDefault="000242AB" w:rsidP="00AD309C">
            <w:pPr>
              <w:pStyle w:val="ListParagraph"/>
              <w:numPr>
                <w:ilvl w:val="0"/>
                <w:numId w:val="132"/>
              </w:numPr>
            </w:pPr>
            <w:r>
              <w:t>Anesthesia</w:t>
            </w:r>
            <w:r w:rsidR="00761763">
              <w:t>/</w:t>
            </w:r>
            <w:r>
              <w:t>medication check</w:t>
            </w:r>
            <w:r w:rsidR="0058471A">
              <w:t>;</w:t>
            </w:r>
          </w:p>
          <w:p w14:paraId="2533B929" w14:textId="203CDB21" w:rsidR="000242AB" w:rsidRDefault="000242AB" w:rsidP="00AD309C">
            <w:pPr>
              <w:pStyle w:val="ListParagraph"/>
              <w:numPr>
                <w:ilvl w:val="0"/>
                <w:numId w:val="132"/>
              </w:numPr>
            </w:pPr>
            <w:r>
              <w:t>Allergies assessed</w:t>
            </w:r>
            <w:r w:rsidR="0058471A">
              <w:t>;</w:t>
            </w:r>
          </w:p>
          <w:p w14:paraId="4C531623" w14:textId="06A5506C" w:rsidR="000242AB" w:rsidRDefault="000242AB" w:rsidP="00AD309C">
            <w:pPr>
              <w:pStyle w:val="ListParagraph"/>
              <w:numPr>
                <w:ilvl w:val="0"/>
                <w:numId w:val="132"/>
              </w:numPr>
            </w:pPr>
            <w:r>
              <w:t>Difficult airway</w:t>
            </w:r>
            <w:r w:rsidR="00761763">
              <w:t>/</w:t>
            </w:r>
            <w:r>
              <w:t>aspiration risk</w:t>
            </w:r>
            <w:r w:rsidR="0058471A">
              <w:t>;</w:t>
            </w:r>
          </w:p>
          <w:p w14:paraId="2A85180E" w14:textId="0D562165" w:rsidR="000242AB" w:rsidRPr="00FB4920" w:rsidRDefault="000242AB" w:rsidP="00AD309C">
            <w:pPr>
              <w:pStyle w:val="ListParagraph"/>
              <w:numPr>
                <w:ilvl w:val="0"/>
                <w:numId w:val="132"/>
              </w:numPr>
              <w:rPr>
                <w:rFonts w:cs="Arial"/>
              </w:rPr>
            </w:pPr>
            <w:r>
              <w:t>Risk of blood loss</w:t>
            </w:r>
            <w:r w:rsidR="00B21581">
              <w:t xml:space="preserve"> </w:t>
            </w:r>
            <w:r w:rsidR="00B21581">
              <w:rPr>
                <w:rFonts w:cs="Arial"/>
              </w:rPr>
              <w:t xml:space="preserve">(only applicable </w:t>
            </w:r>
            <w:r w:rsidR="00B21581" w:rsidRPr="00895070">
              <w:rPr>
                <w:rFonts w:cs="Arial"/>
              </w:rPr>
              <w:t xml:space="preserve">if </w:t>
            </w:r>
            <w:r w:rsidR="00B21581">
              <w:rPr>
                <w:rFonts w:cs="Arial"/>
              </w:rPr>
              <w:t xml:space="preserve">risk of blood loss is </w:t>
            </w:r>
            <w:r w:rsidR="00B21581" w:rsidRPr="00D74D10">
              <w:rPr>
                <w:rFonts w:cs="Arial"/>
              </w:rPr>
              <w:t xml:space="preserve">&gt;500ml </w:t>
            </w:r>
            <w:r w:rsidR="00B21581">
              <w:rPr>
                <w:rFonts w:cs="Arial"/>
              </w:rPr>
              <w:t>for adults or &gt;</w:t>
            </w:r>
            <w:r w:rsidR="00B21581" w:rsidRPr="00D74D10">
              <w:rPr>
                <w:rFonts w:cs="Arial"/>
              </w:rPr>
              <w:t xml:space="preserve">7ml/kg </w:t>
            </w:r>
            <w:r w:rsidR="00B21581">
              <w:rPr>
                <w:rFonts w:cs="Arial"/>
              </w:rPr>
              <w:t>for children)</w:t>
            </w:r>
            <w:r w:rsidR="0058471A">
              <w:rPr>
                <w:rFonts w:cs="Arial"/>
              </w:rPr>
              <w:t>; and</w:t>
            </w:r>
          </w:p>
          <w:p w14:paraId="316C5E2E" w14:textId="41B58BD9" w:rsidR="00C24F87" w:rsidRPr="00C24F87" w:rsidRDefault="005D782F" w:rsidP="00AD309C">
            <w:pPr>
              <w:pStyle w:val="ListParagraph"/>
              <w:numPr>
                <w:ilvl w:val="0"/>
                <w:numId w:val="132"/>
              </w:numPr>
            </w:pPr>
            <w:r>
              <w:rPr>
                <w:rFonts w:cs="Arial"/>
              </w:rPr>
              <w:t xml:space="preserve">Availability of devices </w:t>
            </w:r>
            <w:r w:rsidR="00C54E7A" w:rsidRPr="00C8396D">
              <w:rPr>
                <w:rFonts w:cs="Arial"/>
              </w:rPr>
              <w:t>(</w:t>
            </w:r>
            <w:r>
              <w:rPr>
                <w:rFonts w:cs="Arial"/>
              </w:rPr>
              <w:t>applicable to</w:t>
            </w:r>
            <w:r w:rsidR="00C54E7A" w:rsidRPr="00C8396D">
              <w:rPr>
                <w:rFonts w:cs="Arial"/>
              </w:rPr>
              <w:t xml:space="preserve"> endoscopy procedures only)</w:t>
            </w:r>
            <w:r w:rsidR="00C54E7A">
              <w:t>?</w:t>
            </w:r>
          </w:p>
        </w:tc>
        <w:tc>
          <w:tcPr>
            <w:tcW w:w="2605" w:type="dxa"/>
            <w:tcMar>
              <w:top w:w="72" w:type="dxa"/>
              <w:left w:w="115" w:type="dxa"/>
              <w:bottom w:w="72" w:type="dxa"/>
              <w:right w:w="115" w:type="dxa"/>
            </w:tcMar>
            <w:vAlign w:val="center"/>
          </w:tcPr>
          <w:p w14:paraId="505FAE02" w14:textId="3A0FB009" w:rsidR="000242AB" w:rsidRPr="00B44C1C" w:rsidRDefault="000242AB" w:rsidP="00AD309C">
            <w:pPr>
              <w:pStyle w:val="ListParagraph"/>
              <w:numPr>
                <w:ilvl w:val="0"/>
                <w:numId w:val="317"/>
              </w:numPr>
              <w:rPr>
                <w:rFonts w:cs="Arial"/>
                <w:iCs/>
                <w:snapToGrid w:val="0"/>
              </w:rPr>
            </w:pPr>
            <w:r w:rsidRPr="00B44C1C">
              <w:rPr>
                <w:rFonts w:cs="Arial"/>
                <w:iCs/>
                <w:snapToGrid w:val="0"/>
              </w:rPr>
              <w:t>Yes</w:t>
            </w:r>
          </w:p>
          <w:p w14:paraId="01A35899" w14:textId="77777777" w:rsidR="000242AB" w:rsidRPr="00B44C1C" w:rsidRDefault="000242AB" w:rsidP="00AD309C">
            <w:pPr>
              <w:pStyle w:val="ListParagraph"/>
              <w:numPr>
                <w:ilvl w:val="0"/>
                <w:numId w:val="317"/>
              </w:numPr>
              <w:rPr>
                <w:rFonts w:cs="Arial"/>
                <w:iCs/>
                <w:snapToGrid w:val="0"/>
              </w:rPr>
            </w:pPr>
            <w:r w:rsidRPr="00B44C1C">
              <w:rPr>
                <w:rFonts w:cs="Arial"/>
                <w:iCs/>
                <w:snapToGrid w:val="0"/>
              </w:rPr>
              <w:t>No</w:t>
            </w:r>
          </w:p>
        </w:tc>
      </w:tr>
      <w:tr w:rsidR="00A304F8" w:rsidRPr="00460AEB" w14:paraId="0A0C59EC" w14:textId="77777777" w:rsidTr="00B44C1C">
        <w:trPr>
          <w:trHeight w:val="20"/>
        </w:trPr>
        <w:tc>
          <w:tcPr>
            <w:tcW w:w="6745" w:type="dxa"/>
            <w:tcMar>
              <w:top w:w="72" w:type="dxa"/>
              <w:left w:w="115" w:type="dxa"/>
              <w:bottom w:w="72" w:type="dxa"/>
              <w:right w:w="115" w:type="dxa"/>
            </w:tcMar>
            <w:vAlign w:val="center"/>
          </w:tcPr>
          <w:p w14:paraId="67BB8B83" w14:textId="5D002BE3" w:rsidR="00A304F8" w:rsidRDefault="008C2B4F" w:rsidP="00AD309C">
            <w:pPr>
              <w:pStyle w:val="ListParagraph"/>
              <w:numPr>
                <w:ilvl w:val="0"/>
                <w:numId w:val="159"/>
              </w:numPr>
            </w:pPr>
            <w:r>
              <w:rPr>
                <w:b/>
                <w:bCs/>
              </w:rPr>
              <w:t>B</w:t>
            </w:r>
            <w:r w:rsidR="00A304F8" w:rsidRPr="005A1F8B">
              <w:rPr>
                <w:b/>
                <w:bCs/>
              </w:rPr>
              <w:t>efore the skin incisio</w:t>
            </w:r>
            <w:r w:rsidR="00A304F8" w:rsidRPr="00422696">
              <w:rPr>
                <w:b/>
                <w:bCs/>
              </w:rPr>
              <w:t>n</w:t>
            </w:r>
            <w:r w:rsidR="001E756B" w:rsidRPr="00422696">
              <w:rPr>
                <w:b/>
                <w:bCs/>
              </w:rPr>
              <w:t xml:space="preserve"> and/or before the procedure begins</w:t>
            </w:r>
            <w:r>
              <w:t xml:space="preserve">, is a safe surgery checklist that includes </w:t>
            </w:r>
            <w:r w:rsidRPr="008C2B4F">
              <w:rPr>
                <w:u w:val="single"/>
              </w:rPr>
              <w:t>all</w:t>
            </w:r>
            <w:r>
              <w:t xml:space="preserve"> the following elements </w:t>
            </w:r>
            <w:r w:rsidRPr="00B17A60">
              <w:rPr>
                <w:u w:val="single"/>
              </w:rPr>
              <w:t>read aloud</w:t>
            </w:r>
            <w:r>
              <w:t xml:space="preserve"> in the presence of the </w:t>
            </w:r>
            <w:hyperlink w:anchor="surgical_team" w:history="1">
              <w:r w:rsidRPr="006C2306">
                <w:rPr>
                  <w:rStyle w:val="Hyperlink"/>
                </w:rPr>
                <w:t>whole surgical team</w:t>
              </w:r>
            </w:hyperlink>
            <w:r w:rsidR="00A304F8" w:rsidRPr="00422696">
              <w:rPr>
                <w:b/>
                <w:bCs/>
              </w:rPr>
              <w:t>:</w:t>
            </w:r>
            <w:r w:rsidR="00A304F8" w:rsidRPr="00422696">
              <w:t xml:space="preserve"> </w:t>
            </w:r>
          </w:p>
          <w:p w14:paraId="20E41E9F" w14:textId="2DD85D60" w:rsidR="00A304F8" w:rsidRDefault="00A304F8" w:rsidP="00AD309C">
            <w:pPr>
              <w:pStyle w:val="ListParagraph"/>
              <w:numPr>
                <w:ilvl w:val="0"/>
                <w:numId w:val="133"/>
              </w:numPr>
            </w:pPr>
            <w:hyperlink w:anchor="clinicalteamintro_9d" w:history="1">
              <w:r w:rsidRPr="00596769">
                <w:rPr>
                  <w:rStyle w:val="Hyperlink"/>
                </w:rPr>
                <w:t>Clinical team introduction</w:t>
              </w:r>
            </w:hyperlink>
            <w:r w:rsidR="0058471A">
              <w:t>;</w:t>
            </w:r>
          </w:p>
          <w:p w14:paraId="6A77812B" w14:textId="18AE1E75" w:rsidR="00A304F8" w:rsidRDefault="00A304F8" w:rsidP="00AD309C">
            <w:pPr>
              <w:pStyle w:val="ListParagraph"/>
              <w:numPr>
                <w:ilvl w:val="0"/>
                <w:numId w:val="133"/>
              </w:numPr>
            </w:pPr>
            <w:r>
              <w:t>Confirmation of patient name, procedure, and</w:t>
            </w:r>
            <w:r w:rsidR="00422696">
              <w:t>,</w:t>
            </w:r>
            <w:r>
              <w:t xml:space="preserve"> </w:t>
            </w:r>
            <w:r w:rsidR="003C3E90">
              <w:t xml:space="preserve">if applicable, </w:t>
            </w:r>
            <w:r>
              <w:t>surgical</w:t>
            </w:r>
            <w:r w:rsidR="00761763">
              <w:t>/</w:t>
            </w:r>
            <w:r>
              <w:t>incision s</w:t>
            </w:r>
            <w:r w:rsidRPr="00422696">
              <w:t>ite</w:t>
            </w:r>
            <w:r w:rsidR="0058471A">
              <w:t>;</w:t>
            </w:r>
          </w:p>
          <w:p w14:paraId="05A32C6F" w14:textId="2293EB67" w:rsidR="00A304F8" w:rsidRDefault="00A304F8" w:rsidP="00AD309C">
            <w:pPr>
              <w:pStyle w:val="ListParagraph"/>
              <w:numPr>
                <w:ilvl w:val="0"/>
                <w:numId w:val="133"/>
              </w:numPr>
            </w:pPr>
            <w:r>
              <w:t>Antibiotic prophylaxis</w:t>
            </w:r>
            <w:r w:rsidR="00E30473" w:rsidRPr="00422696">
              <w:t>, if applicable</w:t>
            </w:r>
            <w:r w:rsidR="0058471A">
              <w:t>;</w:t>
            </w:r>
          </w:p>
          <w:p w14:paraId="5FEC61AF" w14:textId="094764FD" w:rsidR="00A304F8" w:rsidRDefault="00A304F8" w:rsidP="00AD309C">
            <w:pPr>
              <w:pStyle w:val="ListParagraph"/>
              <w:numPr>
                <w:ilvl w:val="0"/>
                <w:numId w:val="133"/>
              </w:numPr>
            </w:pPr>
            <w:r>
              <w:t>Anticipated Critical Events (</w:t>
            </w:r>
            <w:r w:rsidR="00B21581">
              <w:t xml:space="preserve">i.e., </w:t>
            </w:r>
            <w:r>
              <w:t>non-routine steps, length of procedure, blood loss, patient-specific concerns, sterility)</w:t>
            </w:r>
            <w:r w:rsidR="0058471A">
              <w:t>;</w:t>
            </w:r>
          </w:p>
          <w:p w14:paraId="0A6C5BBB" w14:textId="4FFDC97B" w:rsidR="00A304F8" w:rsidRDefault="00A304F8" w:rsidP="00AD309C">
            <w:pPr>
              <w:pStyle w:val="ListParagraph"/>
              <w:numPr>
                <w:ilvl w:val="0"/>
                <w:numId w:val="133"/>
              </w:numPr>
            </w:pPr>
            <w:r>
              <w:t>Equipment check</w:t>
            </w:r>
            <w:r w:rsidR="00761763">
              <w:t>/</w:t>
            </w:r>
            <w:r>
              <w:t>concerns</w:t>
            </w:r>
            <w:r w:rsidR="0058471A">
              <w:t>; and</w:t>
            </w:r>
          </w:p>
          <w:p w14:paraId="18DC6798" w14:textId="474C32A2" w:rsidR="00475F24" w:rsidRPr="006619ED" w:rsidRDefault="00A304F8" w:rsidP="00AD309C">
            <w:pPr>
              <w:pStyle w:val="ListParagraph"/>
              <w:numPr>
                <w:ilvl w:val="0"/>
                <w:numId w:val="133"/>
              </w:numPr>
              <w:rPr>
                <w:i/>
                <w:iCs/>
              </w:rPr>
            </w:pPr>
            <w:r>
              <w:t>Essential imaging available</w:t>
            </w:r>
            <w:r w:rsidR="006619ED">
              <w:t xml:space="preserve">, </w:t>
            </w:r>
            <w:r>
              <w:t>if applicable?</w:t>
            </w:r>
          </w:p>
        </w:tc>
        <w:tc>
          <w:tcPr>
            <w:tcW w:w="2605" w:type="dxa"/>
            <w:tcMar>
              <w:top w:w="72" w:type="dxa"/>
              <w:left w:w="115" w:type="dxa"/>
              <w:bottom w:w="72" w:type="dxa"/>
              <w:right w:w="115" w:type="dxa"/>
            </w:tcMar>
            <w:vAlign w:val="center"/>
          </w:tcPr>
          <w:p w14:paraId="523BA3F4" w14:textId="2DD114B7" w:rsidR="00A304F8" w:rsidRPr="00B44C1C" w:rsidRDefault="00A304F8" w:rsidP="00AD309C">
            <w:pPr>
              <w:pStyle w:val="ListParagraph"/>
              <w:numPr>
                <w:ilvl w:val="0"/>
                <w:numId w:val="317"/>
              </w:numPr>
              <w:rPr>
                <w:iCs/>
              </w:rPr>
            </w:pPr>
            <w:r w:rsidRPr="00B44C1C">
              <w:rPr>
                <w:iCs/>
              </w:rPr>
              <w:t>Yes</w:t>
            </w:r>
          </w:p>
          <w:p w14:paraId="550DB602" w14:textId="77777777" w:rsidR="00A304F8" w:rsidRPr="00B44C1C" w:rsidRDefault="00A304F8" w:rsidP="00AD309C">
            <w:pPr>
              <w:pStyle w:val="ListParagraph"/>
              <w:numPr>
                <w:ilvl w:val="0"/>
                <w:numId w:val="317"/>
              </w:numPr>
              <w:rPr>
                <w:iCs/>
              </w:rPr>
            </w:pPr>
            <w:r w:rsidRPr="00B44C1C">
              <w:rPr>
                <w:iCs/>
              </w:rPr>
              <w:t>No</w:t>
            </w:r>
          </w:p>
        </w:tc>
      </w:tr>
      <w:tr w:rsidR="00DB5D1A" w:rsidRPr="00460AEB" w14:paraId="6A971758" w14:textId="77777777" w:rsidTr="00FE0E25">
        <w:trPr>
          <w:trHeight w:val="20"/>
        </w:trPr>
        <w:tc>
          <w:tcPr>
            <w:tcW w:w="6745" w:type="dxa"/>
            <w:tcMar>
              <w:top w:w="72" w:type="dxa"/>
              <w:left w:w="115" w:type="dxa"/>
              <w:bottom w:w="72" w:type="dxa"/>
              <w:right w:w="115" w:type="dxa"/>
            </w:tcMar>
            <w:vAlign w:val="center"/>
          </w:tcPr>
          <w:p w14:paraId="66D72AE9" w14:textId="22F3C640" w:rsidR="00DB5D1A" w:rsidRDefault="008C2B4F" w:rsidP="00AD309C">
            <w:pPr>
              <w:pStyle w:val="ListParagraph"/>
              <w:numPr>
                <w:ilvl w:val="0"/>
                <w:numId w:val="159"/>
              </w:numPr>
            </w:pPr>
            <w:r>
              <w:rPr>
                <w:b/>
              </w:rPr>
              <w:t>B</w:t>
            </w:r>
            <w:r w:rsidR="00DB5D1A" w:rsidRPr="000242AB">
              <w:rPr>
                <w:b/>
              </w:rPr>
              <w:t>efore the patient leaves the operating room</w:t>
            </w:r>
            <w:r w:rsidR="004C3844">
              <w:rPr>
                <w:b/>
              </w:rPr>
              <w:t xml:space="preserve"> and/or procedure room</w:t>
            </w:r>
            <w:r>
              <w:rPr>
                <w:bCs/>
              </w:rPr>
              <w:t xml:space="preserve">, is a safe surgery checklist that includes </w:t>
            </w:r>
            <w:r w:rsidRPr="008C2B4F">
              <w:rPr>
                <w:bCs/>
                <w:u w:val="single"/>
              </w:rPr>
              <w:t>all</w:t>
            </w:r>
            <w:r>
              <w:rPr>
                <w:bCs/>
              </w:rPr>
              <w:t xml:space="preserve"> the following elements </w:t>
            </w:r>
            <w:r w:rsidRPr="00B17A60">
              <w:rPr>
                <w:bCs/>
                <w:u w:val="single"/>
              </w:rPr>
              <w:t>read aloud</w:t>
            </w:r>
            <w:r>
              <w:rPr>
                <w:bCs/>
              </w:rPr>
              <w:t xml:space="preserve"> in the presence of the </w:t>
            </w:r>
            <w:hyperlink w:anchor="surgical_team" w:history="1">
              <w:r w:rsidRPr="006C2306">
                <w:rPr>
                  <w:rStyle w:val="Hyperlink"/>
                  <w:bCs/>
                </w:rPr>
                <w:t>whole surgical team</w:t>
              </w:r>
            </w:hyperlink>
            <w:r w:rsidR="00DB5D1A">
              <w:t xml:space="preserve">: </w:t>
            </w:r>
          </w:p>
          <w:p w14:paraId="67961697" w14:textId="6CC2E516" w:rsidR="00DB5D1A" w:rsidRDefault="00DB5D1A" w:rsidP="00AD309C">
            <w:pPr>
              <w:pStyle w:val="ListParagraph"/>
              <w:numPr>
                <w:ilvl w:val="0"/>
                <w:numId w:val="134"/>
              </w:numPr>
            </w:pPr>
            <w:r>
              <w:t>Confirmation of procedure performed</w:t>
            </w:r>
            <w:r w:rsidR="0058471A">
              <w:t>;</w:t>
            </w:r>
          </w:p>
          <w:p w14:paraId="03ED98EB" w14:textId="0BDB745B" w:rsidR="00DB5D1A" w:rsidRDefault="00DB5D1A" w:rsidP="00AD309C">
            <w:pPr>
              <w:pStyle w:val="ListParagraph"/>
              <w:numPr>
                <w:ilvl w:val="0"/>
                <w:numId w:val="134"/>
              </w:numPr>
            </w:pPr>
            <w:r>
              <w:t>Instrument</w:t>
            </w:r>
            <w:r w:rsidR="00761763">
              <w:t>/</w:t>
            </w:r>
            <w:r>
              <w:t>supply counts</w:t>
            </w:r>
            <w:r w:rsidR="00246D45">
              <w:t>, if applicable</w:t>
            </w:r>
            <w:r w:rsidR="0058471A">
              <w:t>;</w:t>
            </w:r>
          </w:p>
          <w:p w14:paraId="4D101EBA" w14:textId="15438849" w:rsidR="00DB5D1A" w:rsidRDefault="00DB5D1A" w:rsidP="00AD309C">
            <w:pPr>
              <w:pStyle w:val="ListParagraph"/>
              <w:numPr>
                <w:ilvl w:val="0"/>
                <w:numId w:val="134"/>
              </w:numPr>
            </w:pPr>
            <w:r>
              <w:t>Specimen labeling</w:t>
            </w:r>
            <w:r w:rsidR="00263F0F">
              <w:t>, if applicable</w:t>
            </w:r>
            <w:r w:rsidR="0058471A">
              <w:t>;</w:t>
            </w:r>
          </w:p>
          <w:p w14:paraId="7E77979D" w14:textId="7D0B882B" w:rsidR="00DB5D1A" w:rsidRDefault="00DB5D1A" w:rsidP="00AD309C">
            <w:pPr>
              <w:pStyle w:val="ListParagraph"/>
              <w:numPr>
                <w:ilvl w:val="0"/>
                <w:numId w:val="134"/>
              </w:numPr>
            </w:pPr>
            <w:r>
              <w:t>Equipment concerns</w:t>
            </w:r>
            <w:r w:rsidR="0058471A">
              <w:t>; and</w:t>
            </w:r>
          </w:p>
          <w:p w14:paraId="4D005E44" w14:textId="2C41C890" w:rsidR="00475F24" w:rsidRPr="00475F24" w:rsidRDefault="00DB5D1A" w:rsidP="00AD309C">
            <w:pPr>
              <w:pStyle w:val="ListParagraph"/>
              <w:numPr>
                <w:ilvl w:val="0"/>
                <w:numId w:val="134"/>
              </w:numPr>
              <w:rPr>
                <w:i/>
                <w:iCs/>
              </w:rPr>
            </w:pPr>
            <w:r>
              <w:t>Patient recovery</w:t>
            </w:r>
            <w:r w:rsidR="00761763">
              <w:t>/</w:t>
            </w:r>
            <w:r>
              <w:t>management conce</w:t>
            </w:r>
            <w:r w:rsidRPr="00656621">
              <w:t>rns</w:t>
            </w:r>
            <w:r w:rsidR="00E30473" w:rsidRPr="00656621">
              <w:t>?</w:t>
            </w:r>
          </w:p>
        </w:tc>
        <w:tc>
          <w:tcPr>
            <w:tcW w:w="2605" w:type="dxa"/>
            <w:tcMar>
              <w:top w:w="72" w:type="dxa"/>
              <w:left w:w="115" w:type="dxa"/>
              <w:bottom w:w="72" w:type="dxa"/>
              <w:right w:w="115" w:type="dxa"/>
            </w:tcMar>
            <w:vAlign w:val="center"/>
          </w:tcPr>
          <w:p w14:paraId="3B9D8B4E" w14:textId="0F6B3966" w:rsidR="00DB5D1A" w:rsidRPr="00B44C1C" w:rsidRDefault="00DB5D1A" w:rsidP="00AD309C">
            <w:pPr>
              <w:pStyle w:val="ListParagraph"/>
              <w:numPr>
                <w:ilvl w:val="0"/>
                <w:numId w:val="369"/>
              </w:numPr>
              <w:rPr>
                <w:iCs/>
              </w:rPr>
            </w:pPr>
            <w:r w:rsidRPr="00B44C1C">
              <w:rPr>
                <w:iCs/>
              </w:rPr>
              <w:t>Yes</w:t>
            </w:r>
          </w:p>
          <w:p w14:paraId="25F607D4" w14:textId="77777777" w:rsidR="00DB5D1A" w:rsidRPr="006E0696" w:rsidRDefault="00DB5D1A" w:rsidP="00AD309C">
            <w:pPr>
              <w:pStyle w:val="ListParagraph"/>
              <w:numPr>
                <w:ilvl w:val="0"/>
                <w:numId w:val="369"/>
              </w:numPr>
              <w:rPr>
                <w:i/>
              </w:rPr>
            </w:pPr>
            <w:r w:rsidRPr="00B44C1C">
              <w:rPr>
                <w:iCs/>
              </w:rPr>
              <w:t>No</w:t>
            </w:r>
          </w:p>
        </w:tc>
      </w:tr>
    </w:tbl>
    <w:p w14:paraId="1C48FA16" w14:textId="77777777" w:rsidR="00AB5D57" w:rsidRPr="00FE0E25" w:rsidRDefault="00AB5D57" w:rsidP="00E40D19">
      <w:pPr>
        <w:rPr>
          <w:b/>
          <w:sz w:val="16"/>
          <w:szCs w:val="16"/>
        </w:rPr>
      </w:pPr>
    </w:p>
    <w:p w14:paraId="3DBEFC19" w14:textId="6D3826F3" w:rsidR="0070348A" w:rsidRDefault="00DA07D2" w:rsidP="00DA07D2">
      <w:pPr>
        <w:rPr>
          <w:rFonts w:cs="Arial"/>
          <w:i/>
          <w:iCs/>
          <w:lang w:eastAsia="ja-JP"/>
        </w:rPr>
      </w:pPr>
      <w:r w:rsidRPr="001E2A00">
        <w:rPr>
          <w:rFonts w:cs="Arial"/>
          <w:i/>
          <w:iCs/>
          <w:lang w:eastAsia="ja-JP"/>
        </w:rPr>
        <w:t>If “no” to question #</w:t>
      </w:r>
      <w:r w:rsidR="00C54E7A">
        <w:rPr>
          <w:rFonts w:cs="Arial"/>
          <w:i/>
          <w:iCs/>
          <w:lang w:eastAsia="ja-JP"/>
        </w:rPr>
        <w:t>3</w:t>
      </w:r>
      <w:r w:rsidRPr="001E2A00">
        <w:rPr>
          <w:rFonts w:cs="Arial"/>
          <w:i/>
          <w:iCs/>
          <w:lang w:eastAsia="ja-JP"/>
        </w:rPr>
        <w:t>, #</w:t>
      </w:r>
      <w:r w:rsidR="00C54E7A">
        <w:rPr>
          <w:rFonts w:cs="Arial"/>
          <w:i/>
          <w:iCs/>
          <w:lang w:eastAsia="ja-JP"/>
        </w:rPr>
        <w:t>4</w:t>
      </w:r>
      <w:r w:rsidRPr="001E2A00">
        <w:rPr>
          <w:rFonts w:cs="Arial"/>
          <w:i/>
          <w:iCs/>
          <w:lang w:eastAsia="ja-JP"/>
        </w:rPr>
        <w:t>, or #</w:t>
      </w:r>
      <w:r w:rsidR="00C54E7A">
        <w:rPr>
          <w:rFonts w:cs="Arial"/>
          <w:i/>
          <w:iCs/>
          <w:lang w:eastAsia="ja-JP"/>
        </w:rPr>
        <w:t>5</w:t>
      </w:r>
      <w:r w:rsidRPr="001E2A00">
        <w:rPr>
          <w:rFonts w:cs="Arial"/>
          <w:i/>
          <w:iCs/>
          <w:lang w:eastAsia="ja-JP"/>
        </w:rPr>
        <w:t xml:space="preserve">, skip the remaining questions in Section </w:t>
      </w:r>
      <w:r>
        <w:rPr>
          <w:rFonts w:cs="Arial"/>
          <w:i/>
          <w:iCs/>
          <w:lang w:eastAsia="ja-JP"/>
        </w:rPr>
        <w:t>9D</w:t>
      </w:r>
      <w:r w:rsidRPr="001E2A00">
        <w:rPr>
          <w:rFonts w:cs="Arial"/>
          <w:i/>
          <w:iCs/>
          <w:lang w:eastAsia="ja-JP"/>
        </w:rPr>
        <w:t xml:space="preserve"> and </w:t>
      </w:r>
      <w:r w:rsidR="00086A99">
        <w:rPr>
          <w:rFonts w:cs="Arial"/>
          <w:i/>
          <w:iCs/>
          <w:lang w:eastAsia="ja-JP"/>
        </w:rPr>
        <w:t>continue</w:t>
      </w:r>
      <w:r w:rsidR="00086A99" w:rsidRPr="001E2A00">
        <w:rPr>
          <w:rFonts w:cs="Arial"/>
          <w:i/>
          <w:iCs/>
          <w:lang w:eastAsia="ja-JP"/>
        </w:rPr>
        <w:t xml:space="preserve"> </w:t>
      </w:r>
      <w:r w:rsidRPr="001E2A00">
        <w:rPr>
          <w:rFonts w:cs="Arial"/>
          <w:i/>
          <w:iCs/>
          <w:lang w:eastAsia="ja-JP"/>
        </w:rPr>
        <w:t xml:space="preserve">to the </w:t>
      </w:r>
      <w:r w:rsidR="00E618A2">
        <w:rPr>
          <w:rFonts w:cs="Arial"/>
          <w:i/>
          <w:iCs/>
          <w:lang w:eastAsia="ja-JP"/>
        </w:rPr>
        <w:t>next subsection</w:t>
      </w:r>
      <w:r w:rsidRPr="001E2A00">
        <w:rPr>
          <w:rFonts w:cs="Arial"/>
          <w:i/>
          <w:iCs/>
          <w:lang w:eastAsia="ja-JP"/>
        </w:rPr>
        <w:t xml:space="preserve">. The hospital will be scored as </w:t>
      </w:r>
      <w:r>
        <w:rPr>
          <w:rFonts w:cs="Arial"/>
          <w:i/>
          <w:iCs/>
          <w:lang w:eastAsia="ja-JP"/>
        </w:rPr>
        <w:t>“Limited Achievement.”</w:t>
      </w:r>
    </w:p>
    <w:p w14:paraId="6891823F" w14:textId="77777777" w:rsidR="00830389" w:rsidRPr="00FE0E25" w:rsidRDefault="00830389" w:rsidP="00DA07D2">
      <w:pPr>
        <w:rPr>
          <w:rFonts w:cs="Arial"/>
          <w:i/>
          <w:iCs/>
          <w:sz w:val="16"/>
          <w:szCs w:val="16"/>
          <w:lang w:eastAsia="ja-JP"/>
        </w:rPr>
      </w:pPr>
    </w:p>
    <w:p w14:paraId="4C683E46" w14:textId="671E7B07" w:rsidR="00AB5D57" w:rsidRDefault="00DA07D2" w:rsidP="00E40D19">
      <w:pPr>
        <w:rPr>
          <w:rFonts w:cs="Arial"/>
          <w:i/>
          <w:iCs/>
          <w:lang w:eastAsia="ja-JP"/>
        </w:rPr>
      </w:pPr>
      <w:r>
        <w:rPr>
          <w:rFonts w:cs="Arial"/>
          <w:i/>
          <w:iCs/>
          <w:lang w:eastAsia="ja-JP"/>
        </w:rPr>
        <w:t>Hospitals performing the audit in Section 3</w:t>
      </w:r>
      <w:r w:rsidR="00263AE4">
        <w:rPr>
          <w:rFonts w:cs="Arial"/>
          <w:i/>
          <w:iCs/>
          <w:lang w:eastAsia="ja-JP"/>
        </w:rPr>
        <w:t>B</w:t>
      </w:r>
      <w:r>
        <w:rPr>
          <w:rFonts w:cs="Arial"/>
          <w:i/>
          <w:iCs/>
          <w:lang w:eastAsia="ja-JP"/>
        </w:rPr>
        <w:t xml:space="preserve"> question #6 and the audit in Section 9D question #</w:t>
      </w:r>
      <w:r w:rsidR="00C54E7A">
        <w:rPr>
          <w:rFonts w:cs="Arial"/>
          <w:i/>
          <w:iCs/>
          <w:lang w:eastAsia="ja-JP"/>
        </w:rPr>
        <w:t>6</w:t>
      </w:r>
      <w:r w:rsidRPr="00F72C9F">
        <w:rPr>
          <w:rFonts w:cs="Arial"/>
          <w:i/>
          <w:iCs/>
          <w:lang w:eastAsia="ja-JP"/>
        </w:rPr>
        <w:t xml:space="preserve"> </w:t>
      </w:r>
      <w:r w:rsidRPr="00581B5F">
        <w:rPr>
          <w:rFonts w:cs="Arial"/>
          <w:i/>
          <w:iCs/>
          <w:lang w:eastAsia="ja-JP"/>
        </w:rPr>
        <w:t xml:space="preserve">should audit 15 cases who underwent a procedure included in Section 3A and 15 cases who underwent a procedure included in Section </w:t>
      </w:r>
      <w:r>
        <w:rPr>
          <w:rFonts w:cs="Arial"/>
          <w:i/>
          <w:iCs/>
          <w:lang w:eastAsia="ja-JP"/>
        </w:rPr>
        <w:t>9</w:t>
      </w:r>
      <w:r w:rsidRPr="00581B5F">
        <w:rPr>
          <w:rFonts w:cs="Arial"/>
          <w:i/>
          <w:iCs/>
          <w:lang w:eastAsia="ja-JP"/>
        </w:rPr>
        <w:t xml:space="preserve">C. </w:t>
      </w:r>
      <w:r>
        <w:rPr>
          <w:rFonts w:cs="Arial"/>
          <w:i/>
          <w:iCs/>
          <w:lang w:eastAsia="ja-JP"/>
        </w:rPr>
        <w:t xml:space="preserve">Hospitals only performing the audit in Section </w:t>
      </w:r>
      <w:r w:rsidR="00795E01">
        <w:rPr>
          <w:rFonts w:cs="Arial"/>
          <w:i/>
          <w:iCs/>
          <w:lang w:eastAsia="ja-JP"/>
        </w:rPr>
        <w:t>9D</w:t>
      </w:r>
      <w:r>
        <w:rPr>
          <w:rFonts w:cs="Arial"/>
          <w:i/>
          <w:iCs/>
          <w:lang w:eastAsia="ja-JP"/>
        </w:rPr>
        <w:t xml:space="preserve"> question #</w:t>
      </w:r>
      <w:r w:rsidR="00C54E7A">
        <w:rPr>
          <w:rFonts w:cs="Arial"/>
          <w:i/>
          <w:iCs/>
          <w:lang w:eastAsia="ja-JP"/>
        </w:rPr>
        <w:t>6</w:t>
      </w:r>
      <w:r>
        <w:rPr>
          <w:rFonts w:cs="Arial"/>
          <w:i/>
          <w:iCs/>
          <w:lang w:eastAsia="ja-JP"/>
        </w:rPr>
        <w:t xml:space="preserve"> and not in Section </w:t>
      </w:r>
      <w:r w:rsidR="00795E01">
        <w:rPr>
          <w:rFonts w:cs="Arial"/>
          <w:i/>
          <w:iCs/>
          <w:lang w:eastAsia="ja-JP"/>
        </w:rPr>
        <w:t>3</w:t>
      </w:r>
      <w:r w:rsidR="00263AE4">
        <w:rPr>
          <w:rFonts w:cs="Arial"/>
          <w:i/>
          <w:iCs/>
          <w:lang w:eastAsia="ja-JP"/>
        </w:rPr>
        <w:t>B</w:t>
      </w:r>
      <w:r>
        <w:rPr>
          <w:rFonts w:cs="Arial"/>
          <w:i/>
          <w:iCs/>
          <w:lang w:eastAsia="ja-JP"/>
        </w:rPr>
        <w:t xml:space="preserve"> question #</w:t>
      </w:r>
      <w:r w:rsidR="00795E01">
        <w:rPr>
          <w:rFonts w:cs="Arial"/>
          <w:i/>
          <w:iCs/>
          <w:lang w:eastAsia="ja-JP"/>
        </w:rPr>
        <w:t>6</w:t>
      </w:r>
      <w:r>
        <w:rPr>
          <w:rFonts w:cs="Arial"/>
          <w:i/>
          <w:iCs/>
          <w:lang w:eastAsia="ja-JP"/>
        </w:rPr>
        <w:t xml:space="preserve"> </w:t>
      </w:r>
      <w:r w:rsidRPr="00581B5F">
        <w:rPr>
          <w:rFonts w:cs="Arial"/>
          <w:i/>
          <w:iCs/>
          <w:lang w:eastAsia="ja-JP"/>
        </w:rPr>
        <w:t xml:space="preserve">should audit 30 cases who underwent a procedure included in Section </w:t>
      </w:r>
      <w:r w:rsidR="00795E01">
        <w:rPr>
          <w:rFonts w:cs="Arial"/>
          <w:i/>
          <w:iCs/>
          <w:lang w:eastAsia="ja-JP"/>
        </w:rPr>
        <w:t>9C</w:t>
      </w:r>
      <w:r>
        <w:rPr>
          <w:rFonts w:cs="Arial"/>
          <w:i/>
          <w:iCs/>
          <w:lang w:eastAsia="ja-JP"/>
        </w:rPr>
        <w:t>.</w:t>
      </w:r>
    </w:p>
    <w:p w14:paraId="1480B844" w14:textId="77777777" w:rsidR="00EA171F" w:rsidRPr="00FE0E25" w:rsidRDefault="00EA171F" w:rsidP="00E40D19">
      <w:pPr>
        <w:rPr>
          <w:rFonts w:cs="Arial"/>
          <w:i/>
          <w:iCs/>
          <w:sz w:val="16"/>
          <w:szCs w:val="16"/>
          <w:lang w:eastAsia="ja-JP"/>
        </w:rPr>
      </w:pPr>
    </w:p>
    <w:tbl>
      <w:tblPr>
        <w:tblStyle w:val="TableGrid"/>
        <w:tblW w:w="0" w:type="auto"/>
        <w:tblLook w:val="04A0" w:firstRow="1" w:lastRow="0" w:firstColumn="1" w:lastColumn="0" w:noHBand="0" w:noVBand="1"/>
      </w:tblPr>
      <w:tblGrid>
        <w:gridCol w:w="6475"/>
        <w:gridCol w:w="2875"/>
      </w:tblGrid>
      <w:tr w:rsidR="00A879E1" w14:paraId="3202A2FA" w14:textId="77777777" w:rsidTr="00FE0E25">
        <w:trPr>
          <w:trHeight w:val="144"/>
        </w:trPr>
        <w:tc>
          <w:tcPr>
            <w:tcW w:w="6475" w:type="dxa"/>
            <w:vAlign w:val="center"/>
          </w:tcPr>
          <w:bookmarkEnd w:id="740"/>
          <w:p w14:paraId="3C34E8F5" w14:textId="26336C5A" w:rsidR="00A879E1" w:rsidRDefault="00A879E1" w:rsidP="00AD309C">
            <w:pPr>
              <w:pStyle w:val="ListParagraph"/>
              <w:numPr>
                <w:ilvl w:val="0"/>
                <w:numId w:val="159"/>
              </w:numPr>
            </w:pPr>
            <w:r>
              <w:t xml:space="preserve">Did your hospital perform an audit (either in-person or via the medical record or other EHR data) on </w:t>
            </w:r>
            <w:r w:rsidR="00DA07D2">
              <w:t xml:space="preserve">a sufficient sample of patients </w:t>
            </w:r>
            <w:r>
              <w:t xml:space="preserve">who underwent a procedure included in Section 9C and measure adherence to the safe surgery checklist? </w:t>
            </w:r>
          </w:p>
          <w:p w14:paraId="7EA35EF1" w14:textId="77777777" w:rsidR="00A879E1" w:rsidRPr="00B17A60" w:rsidRDefault="00A879E1" w:rsidP="0011459E"/>
          <w:p w14:paraId="5C7E458D" w14:textId="77777777" w:rsidR="00A879E1" w:rsidRPr="00B17A60" w:rsidRDefault="00A879E1" w:rsidP="00A879E1">
            <w:pPr>
              <w:pStyle w:val="ListParagraph"/>
              <w:ind w:left="360"/>
              <w:rPr>
                <w:i/>
                <w:iCs/>
              </w:rPr>
            </w:pPr>
            <w:r w:rsidRPr="00B17A60">
              <w:rPr>
                <w:i/>
                <w:iCs/>
              </w:rPr>
              <w:t xml:space="preserve">Hospitals with more than one hospital outpatient department, including a surgery center or free-standing hospital outpatient department, should select at least one case from each location. </w:t>
            </w:r>
          </w:p>
          <w:p w14:paraId="733F11C1" w14:textId="77777777" w:rsidR="00A879E1" w:rsidRPr="00B17A60" w:rsidRDefault="00A879E1" w:rsidP="00A879E1">
            <w:pPr>
              <w:pStyle w:val="ListParagraph"/>
              <w:ind w:left="360"/>
              <w:rPr>
                <w:i/>
                <w:iCs/>
              </w:rPr>
            </w:pPr>
          </w:p>
          <w:p w14:paraId="32E91A6B" w14:textId="5C804BA4" w:rsidR="00DA07D2" w:rsidRPr="006606DD" w:rsidRDefault="00A879E1" w:rsidP="006606DD">
            <w:pPr>
              <w:ind w:left="360"/>
              <w:rPr>
                <w:i/>
                <w:iCs/>
              </w:rPr>
            </w:pPr>
            <w:r w:rsidRPr="00B17A60">
              <w:rPr>
                <w:i/>
                <w:iCs/>
              </w:rPr>
              <w:t>If “no” to question #</w:t>
            </w:r>
            <w:r w:rsidR="00C54E7A">
              <w:rPr>
                <w:i/>
                <w:iCs/>
              </w:rPr>
              <w:t>6</w:t>
            </w:r>
            <w:r w:rsidRPr="00B17A60">
              <w:rPr>
                <w:i/>
                <w:iCs/>
              </w:rPr>
              <w:t xml:space="preserve">, </w:t>
            </w:r>
            <w:r w:rsidR="00E618A2" w:rsidRPr="001E2A00">
              <w:rPr>
                <w:rFonts w:cs="Arial"/>
                <w:i/>
                <w:iCs/>
                <w:lang w:eastAsia="ja-JP"/>
              </w:rPr>
              <w:t xml:space="preserve">skip the remaining questions in Section </w:t>
            </w:r>
            <w:r w:rsidR="00E618A2">
              <w:rPr>
                <w:rFonts w:cs="Arial"/>
                <w:i/>
                <w:iCs/>
                <w:lang w:eastAsia="ja-JP"/>
              </w:rPr>
              <w:t>9D</w:t>
            </w:r>
            <w:r w:rsidR="00E618A2" w:rsidRPr="00B17A60" w:rsidDel="00E618A2">
              <w:rPr>
                <w:i/>
                <w:iCs/>
              </w:rPr>
              <w:t xml:space="preserve"> </w:t>
            </w:r>
            <w:r w:rsidRPr="00B17A60">
              <w:rPr>
                <w:i/>
                <w:iCs/>
              </w:rPr>
              <w:t>and</w:t>
            </w:r>
            <w:r w:rsidR="00C54E7A">
              <w:rPr>
                <w:i/>
                <w:iCs/>
              </w:rPr>
              <w:t xml:space="preserve"> continue</w:t>
            </w:r>
            <w:r w:rsidRPr="00B17A60">
              <w:rPr>
                <w:i/>
                <w:iCs/>
              </w:rPr>
              <w:t xml:space="preserve"> to the </w:t>
            </w:r>
            <w:r w:rsidR="00E618A2">
              <w:rPr>
                <w:i/>
                <w:iCs/>
              </w:rPr>
              <w:t>next subsection</w:t>
            </w:r>
            <w:r w:rsidRPr="00B17A60">
              <w:rPr>
                <w:i/>
                <w:iCs/>
              </w:rPr>
              <w:t>. The hospital will be scored as “Limited Achievement.”</w:t>
            </w:r>
          </w:p>
        </w:tc>
        <w:tc>
          <w:tcPr>
            <w:tcW w:w="2875" w:type="dxa"/>
            <w:vAlign w:val="center"/>
          </w:tcPr>
          <w:p w14:paraId="03B28711" w14:textId="77777777" w:rsidR="00A879E1" w:rsidRPr="00B44C1C" w:rsidRDefault="00A879E1" w:rsidP="00AD309C">
            <w:pPr>
              <w:pStyle w:val="ListParagraph"/>
              <w:numPr>
                <w:ilvl w:val="0"/>
                <w:numId w:val="318"/>
              </w:numPr>
              <w:rPr>
                <w:iCs/>
              </w:rPr>
            </w:pPr>
            <w:r w:rsidRPr="00B44C1C">
              <w:rPr>
                <w:iCs/>
              </w:rPr>
              <w:t>Yes</w:t>
            </w:r>
          </w:p>
          <w:p w14:paraId="33A73E02" w14:textId="72F45BBB" w:rsidR="00A879E1" w:rsidRPr="00C54E7A" w:rsidRDefault="00A879E1" w:rsidP="00AD309C">
            <w:pPr>
              <w:pStyle w:val="ListParagraph"/>
              <w:numPr>
                <w:ilvl w:val="0"/>
                <w:numId w:val="318"/>
              </w:numPr>
              <w:rPr>
                <w:rFonts w:cs="Arial"/>
                <w:iCs/>
              </w:rPr>
            </w:pPr>
            <w:r w:rsidRPr="00B44C1C">
              <w:rPr>
                <w:iCs/>
              </w:rPr>
              <w:t>No</w:t>
            </w:r>
          </w:p>
        </w:tc>
      </w:tr>
      <w:tr w:rsidR="00D05526" w14:paraId="0F8DBF0D" w14:textId="77777777" w:rsidTr="00FE0E25">
        <w:trPr>
          <w:trHeight w:val="576"/>
        </w:trPr>
        <w:tc>
          <w:tcPr>
            <w:tcW w:w="6475" w:type="dxa"/>
            <w:vAlign w:val="center"/>
          </w:tcPr>
          <w:p w14:paraId="50164C4A" w14:textId="0DF915BD" w:rsidR="00D05526" w:rsidRDefault="00D05526" w:rsidP="00AD309C">
            <w:pPr>
              <w:pStyle w:val="ListParagraph"/>
              <w:numPr>
                <w:ilvl w:val="0"/>
                <w:numId w:val="159"/>
              </w:numPr>
            </w:pPr>
            <w:r>
              <w:rPr>
                <w:rFonts w:cs="Arial"/>
              </w:rPr>
              <w:t>How many cases were included in the audit from question #6?</w:t>
            </w:r>
          </w:p>
        </w:tc>
        <w:tc>
          <w:tcPr>
            <w:tcW w:w="2875" w:type="dxa"/>
            <w:vAlign w:val="center"/>
          </w:tcPr>
          <w:p w14:paraId="06652DE7" w14:textId="77777777" w:rsidR="00D05526" w:rsidRDefault="00D05526" w:rsidP="00D05526">
            <w:pPr>
              <w:jc w:val="center"/>
              <w:rPr>
                <w:rFonts w:cs="Arial"/>
                <w:snapToGrid w:val="0"/>
              </w:rPr>
            </w:pPr>
            <w:r w:rsidRPr="009A3F32">
              <w:rPr>
                <w:rFonts w:cs="Arial"/>
                <w:snapToGrid w:val="0"/>
              </w:rPr>
              <w:t>_______</w:t>
            </w:r>
          </w:p>
          <w:p w14:paraId="0279A3CE" w14:textId="05B3F888" w:rsidR="002B1CE0" w:rsidRPr="00C355C4" w:rsidRDefault="002B1CE0" w:rsidP="00D05526">
            <w:pPr>
              <w:jc w:val="center"/>
              <w:rPr>
                <w:i/>
              </w:rPr>
            </w:pPr>
            <w:r w:rsidRPr="005149DB">
              <w:rPr>
                <w:i/>
                <w:sz w:val="16"/>
                <w:szCs w:val="16"/>
              </w:rPr>
              <w:t>Max value is 100</w:t>
            </w:r>
          </w:p>
        </w:tc>
      </w:tr>
      <w:tr w:rsidR="00C54E7A" w14:paraId="4866C87A" w14:textId="77777777" w:rsidTr="002C1116">
        <w:trPr>
          <w:trHeight w:val="864"/>
        </w:trPr>
        <w:tc>
          <w:tcPr>
            <w:tcW w:w="6475" w:type="dxa"/>
            <w:vAlign w:val="center"/>
          </w:tcPr>
          <w:p w14:paraId="2A3318E7" w14:textId="525D2BD5" w:rsidR="00C54E7A" w:rsidRPr="00764EEA" w:rsidRDefault="00C54E7A" w:rsidP="00AD309C">
            <w:pPr>
              <w:pStyle w:val="ListParagraph"/>
              <w:numPr>
                <w:ilvl w:val="0"/>
                <w:numId w:val="159"/>
              </w:numPr>
              <w:rPr>
                <w:rFonts w:cs="Arial"/>
              </w:rPr>
            </w:pPr>
            <w:r>
              <w:t xml:space="preserve">Which method was used to perform the audit on a sufficient sample in question #6? </w:t>
            </w:r>
          </w:p>
        </w:tc>
        <w:tc>
          <w:tcPr>
            <w:tcW w:w="2875" w:type="dxa"/>
            <w:vAlign w:val="center"/>
          </w:tcPr>
          <w:p w14:paraId="1F0FC438" w14:textId="5432BE3D" w:rsidR="00C54E7A" w:rsidRPr="00B44C1C" w:rsidRDefault="00C54E7A" w:rsidP="00AD309C">
            <w:pPr>
              <w:pStyle w:val="ListParagraph"/>
              <w:numPr>
                <w:ilvl w:val="0"/>
                <w:numId w:val="318"/>
              </w:numPr>
              <w:rPr>
                <w:iCs/>
              </w:rPr>
            </w:pPr>
            <w:r w:rsidRPr="00B44C1C">
              <w:rPr>
                <w:iCs/>
              </w:rPr>
              <w:t>In-person observational audit</w:t>
            </w:r>
          </w:p>
          <w:p w14:paraId="3AE756D6" w14:textId="473D7DB5" w:rsidR="00C54E7A" w:rsidRPr="00B44C1C" w:rsidRDefault="00C54E7A" w:rsidP="00AD309C">
            <w:pPr>
              <w:pStyle w:val="ListParagraph"/>
              <w:numPr>
                <w:ilvl w:val="0"/>
                <w:numId w:val="318"/>
              </w:numPr>
              <w:rPr>
                <w:iCs/>
              </w:rPr>
            </w:pPr>
            <w:r w:rsidRPr="00B44C1C">
              <w:rPr>
                <w:iCs/>
              </w:rPr>
              <w:t>Retrospective audit of medical records or EHR data</w:t>
            </w:r>
          </w:p>
          <w:p w14:paraId="054F25B8" w14:textId="24196C77" w:rsidR="00C54E7A" w:rsidRPr="00B44C1C" w:rsidRDefault="00C54E7A" w:rsidP="00AD309C">
            <w:pPr>
              <w:pStyle w:val="ListParagraph"/>
              <w:numPr>
                <w:ilvl w:val="0"/>
                <w:numId w:val="318"/>
              </w:numPr>
              <w:rPr>
                <w:iCs/>
              </w:rPr>
            </w:pPr>
            <w:r w:rsidRPr="00B44C1C">
              <w:rPr>
                <w:iCs/>
              </w:rPr>
              <w:t>Both</w:t>
            </w:r>
          </w:p>
        </w:tc>
      </w:tr>
      <w:tr w:rsidR="00C54E7A" w14:paraId="63409EA2" w14:textId="77777777" w:rsidTr="002C1116">
        <w:trPr>
          <w:trHeight w:val="1440"/>
        </w:trPr>
        <w:tc>
          <w:tcPr>
            <w:tcW w:w="6475" w:type="dxa"/>
            <w:vAlign w:val="center"/>
          </w:tcPr>
          <w:p w14:paraId="2A25D8D9" w14:textId="369B5F2C" w:rsidR="00C54E7A" w:rsidRPr="00A879E1" w:rsidRDefault="00C54E7A" w:rsidP="00AD309C">
            <w:pPr>
              <w:pStyle w:val="ListParagraph"/>
              <w:numPr>
                <w:ilvl w:val="0"/>
                <w:numId w:val="159"/>
              </w:numPr>
              <w:rPr>
                <w:rFonts w:cs="Arial"/>
              </w:rPr>
            </w:pPr>
            <w:r w:rsidRPr="00B17A60">
              <w:t xml:space="preserve">Based on your hospital’s audit (either in-person or via the medical record or other EHR data) on </w:t>
            </w:r>
            <w:r>
              <w:t>a sufficient sample</w:t>
            </w:r>
            <w:r w:rsidRPr="00B17A60">
              <w:t xml:space="preserve"> of patients who underwent a procedure included in Section </w:t>
            </w:r>
            <w:r>
              <w:t>9C</w:t>
            </w:r>
            <w:r w:rsidRPr="00B17A60">
              <w:t>, what was your hospitals documented rate of adherence to the safe surgery checklist (</w:t>
            </w:r>
            <w:r w:rsidR="00BC707A">
              <w:t>i</w:t>
            </w:r>
            <w:r w:rsidRPr="00B17A60">
              <w:t>.</w:t>
            </w:r>
            <w:r w:rsidR="00BC707A">
              <w:t>e</w:t>
            </w:r>
            <w:r w:rsidRPr="00B17A60">
              <w:t>., what percentage of the sampled cases had all elements in questions #</w:t>
            </w:r>
            <w:r>
              <w:t>3</w:t>
            </w:r>
            <w:r w:rsidRPr="00B17A60">
              <w:t>, #</w:t>
            </w:r>
            <w:r>
              <w:t>4</w:t>
            </w:r>
            <w:r w:rsidRPr="00B17A60">
              <w:t>, and #</w:t>
            </w:r>
            <w:r>
              <w:t>5</w:t>
            </w:r>
            <w:r w:rsidRPr="00B17A60">
              <w:t xml:space="preserve"> completed)?</w:t>
            </w:r>
          </w:p>
        </w:tc>
        <w:tc>
          <w:tcPr>
            <w:tcW w:w="2875" w:type="dxa"/>
            <w:vAlign w:val="center"/>
          </w:tcPr>
          <w:p w14:paraId="2E9FC9D1" w14:textId="77777777" w:rsidR="00C54E7A" w:rsidRPr="00B44C1C" w:rsidRDefault="00C54E7A" w:rsidP="00AD309C">
            <w:pPr>
              <w:pStyle w:val="ListParagraph"/>
              <w:numPr>
                <w:ilvl w:val="0"/>
                <w:numId w:val="318"/>
              </w:numPr>
              <w:spacing w:line="276" w:lineRule="auto"/>
              <w:rPr>
                <w:iCs/>
              </w:rPr>
            </w:pPr>
            <w:r w:rsidRPr="00B44C1C">
              <w:rPr>
                <w:iCs/>
              </w:rPr>
              <w:t>90%-100%</w:t>
            </w:r>
          </w:p>
          <w:p w14:paraId="430E2633" w14:textId="77777777" w:rsidR="00C54E7A" w:rsidRPr="00B44C1C" w:rsidRDefault="00C54E7A" w:rsidP="00AD309C">
            <w:pPr>
              <w:pStyle w:val="ListParagraph"/>
              <w:numPr>
                <w:ilvl w:val="0"/>
                <w:numId w:val="318"/>
              </w:numPr>
              <w:spacing w:line="276" w:lineRule="auto"/>
              <w:rPr>
                <w:iCs/>
              </w:rPr>
            </w:pPr>
            <w:r w:rsidRPr="00B44C1C">
              <w:rPr>
                <w:iCs/>
              </w:rPr>
              <w:t>75%-89%</w:t>
            </w:r>
          </w:p>
          <w:p w14:paraId="10DC531D" w14:textId="78424214" w:rsidR="00C54E7A" w:rsidRPr="00B44C1C" w:rsidRDefault="00C54E7A" w:rsidP="00AD309C">
            <w:pPr>
              <w:pStyle w:val="ListParagraph"/>
              <w:numPr>
                <w:ilvl w:val="0"/>
                <w:numId w:val="318"/>
              </w:numPr>
              <w:spacing w:line="276" w:lineRule="auto"/>
              <w:rPr>
                <w:iCs/>
              </w:rPr>
            </w:pPr>
            <w:r w:rsidRPr="00B44C1C">
              <w:rPr>
                <w:iCs/>
              </w:rPr>
              <w:t>50</w:t>
            </w:r>
            <w:r w:rsidR="00021B40">
              <w:rPr>
                <w:iCs/>
              </w:rPr>
              <w:t>%</w:t>
            </w:r>
            <w:r w:rsidRPr="00B44C1C">
              <w:rPr>
                <w:iCs/>
              </w:rPr>
              <w:t>-74%</w:t>
            </w:r>
          </w:p>
          <w:p w14:paraId="08FCBF39" w14:textId="6F6D382E" w:rsidR="00C54E7A" w:rsidRPr="00C54E7A" w:rsidRDefault="00C54E7A" w:rsidP="00AD309C">
            <w:pPr>
              <w:pStyle w:val="ListParagraph"/>
              <w:numPr>
                <w:ilvl w:val="0"/>
                <w:numId w:val="318"/>
              </w:numPr>
              <w:rPr>
                <w:rFonts w:cs="Arial"/>
                <w:iCs/>
              </w:rPr>
            </w:pPr>
            <w:r w:rsidRPr="00B44C1C">
              <w:rPr>
                <w:iCs/>
              </w:rPr>
              <w:t>Less than 50%</w:t>
            </w:r>
          </w:p>
        </w:tc>
      </w:tr>
    </w:tbl>
    <w:p w14:paraId="2E612030" w14:textId="77777777" w:rsidR="00FE0E25" w:rsidRDefault="00FE0E25">
      <w:pPr>
        <w:rPr>
          <w:b/>
          <w:snapToGrid w:val="0"/>
          <w:sz w:val="28"/>
          <w:szCs w:val="24"/>
          <w:u w:val="single"/>
          <w:lang w:eastAsia="ja-JP"/>
        </w:rPr>
      </w:pPr>
      <w:r>
        <w:br w:type="page"/>
      </w:r>
    </w:p>
    <w:p w14:paraId="7238315E" w14:textId="1704CE0A" w:rsidR="00343369" w:rsidRDefault="00FB07A6" w:rsidP="00CF5A6E">
      <w:pPr>
        <w:pStyle w:val="Heading2"/>
      </w:pPr>
      <w:bookmarkStart w:id="741" w:name="_Toc225877847"/>
      <w:r>
        <w:t>9E: Medication Safety for Outpatient Procedures</w:t>
      </w:r>
      <w:bookmarkEnd w:id="741"/>
    </w:p>
    <w:p w14:paraId="29DEA279" w14:textId="77777777" w:rsidR="00FB07A6" w:rsidRDefault="00FB07A6" w:rsidP="00343369">
      <w:pPr>
        <w:rPr>
          <w:rFonts w:cs="Arial"/>
          <w:color w:val="000000"/>
        </w:rPr>
      </w:pPr>
    </w:p>
    <w:p w14:paraId="6A58A049" w14:textId="287595B3" w:rsidR="00D3503C" w:rsidRPr="00F42133" w:rsidRDefault="00D3503C" w:rsidP="00D3503C">
      <w:pPr>
        <w:rPr>
          <w:rFonts w:cs="Arial"/>
          <w:snapToGrid w:val="0"/>
        </w:rPr>
      </w:pPr>
      <w:r w:rsidRPr="009A5185">
        <w:rPr>
          <w:rFonts w:cs="Arial"/>
          <w:snapToGrid w:val="0"/>
        </w:rPr>
        <w:t xml:space="preserve">Hospitals that share a </w:t>
      </w:r>
      <w:r>
        <w:rPr>
          <w:rFonts w:cs="Arial"/>
          <w:snapToGrid w:val="0"/>
        </w:rPr>
        <w:t>CMS Certification Number</w:t>
      </w:r>
      <w:r w:rsidRPr="009A5185">
        <w:rPr>
          <w:rFonts w:cs="Arial"/>
          <w:snapToGrid w:val="0"/>
        </w:rPr>
        <w:t xml:space="preserve"> are required to report by facility. Please carefully review </w:t>
      </w:r>
      <w:hyperlink r:id="rId476" w:history="1">
        <w:r w:rsidRPr="009A5185">
          <w:rPr>
            <w:rStyle w:val="Hyperlink"/>
            <w:rFonts w:cs="Arial"/>
            <w:snapToGrid w:val="0"/>
          </w:rPr>
          <w:t>Leapfrog’s Multi-Campus Reporting Policy</w:t>
        </w:r>
      </w:hyperlink>
      <w:r w:rsidRPr="009A5185">
        <w:rPr>
          <w:rFonts w:cs="Arial"/>
          <w:snapToGrid w:val="0"/>
        </w:rPr>
        <w:t>.</w:t>
      </w:r>
    </w:p>
    <w:p w14:paraId="780EC997" w14:textId="77777777" w:rsidR="00D3503C" w:rsidRPr="009A5185" w:rsidRDefault="00D3503C" w:rsidP="00343369">
      <w:pPr>
        <w:rPr>
          <w:rFonts w:cs="Arial"/>
          <w:color w:val="000000"/>
        </w:rPr>
      </w:pPr>
    </w:p>
    <w:p w14:paraId="621A0590" w14:textId="62315AFC" w:rsidR="008E7151" w:rsidRDefault="00343369" w:rsidP="00A879E1">
      <w:pPr>
        <w:pStyle w:val="BodyText3"/>
        <w:rPr>
          <w:snapToGrid w:val="0"/>
        </w:rPr>
      </w:pPr>
      <w:r w:rsidRPr="009A5185">
        <w:rPr>
          <w:rFonts w:cs="Arial"/>
          <w:b/>
          <w:color w:val="FF0000"/>
        </w:rPr>
        <w:t>Important Note:</w:t>
      </w:r>
      <w:r w:rsidR="00FB07A6">
        <w:rPr>
          <w:rFonts w:cs="Arial"/>
          <w:b/>
          <w:color w:val="FF0000"/>
        </w:rPr>
        <w:t xml:space="preserve"> </w:t>
      </w:r>
      <w:r w:rsidR="003F6DF1">
        <w:rPr>
          <w:rFonts w:cs="Arial"/>
          <w:color w:val="auto"/>
        </w:rPr>
        <w:t xml:space="preserve">The term “hospital outpatient department” is used to refer to all hospital outpatient departments or areas of the hospital, including areas that are used for </w:t>
      </w:r>
      <w:r w:rsidR="003F6DF1">
        <w:rPr>
          <w:rFonts w:cs="Arial"/>
          <w:b/>
          <w:bCs/>
          <w:color w:val="auto"/>
        </w:rPr>
        <w:t xml:space="preserve">both </w:t>
      </w:r>
      <w:r w:rsidR="003F6DF1">
        <w:rPr>
          <w:rFonts w:cs="Arial"/>
          <w:color w:val="auto"/>
        </w:rPr>
        <w:t xml:space="preserve">inpatient and outpatient procedures, that perform the outpatient procedures listed in Section 9C and that share your hospital’s license or CMS Certification Number (CCN). This would include, but is not limited to surgery centers, free-standing hospital outpatient departments, as well as outpatient departments that are located in your hospital or are </w:t>
      </w:r>
      <w:hyperlink w:anchor="Endnote19_ColocatedNICU" w:history="1">
        <w:r w:rsidR="003F6DF1" w:rsidRPr="005C395A">
          <w:rPr>
            <w:rStyle w:val="Hyperlink"/>
          </w:rPr>
          <w:t>co-located</w:t>
        </w:r>
      </w:hyperlink>
      <w:r w:rsidR="003E5A10">
        <w:fldChar w:fldCharType="begin"/>
      </w:r>
      <w:r w:rsidR="003E5A10">
        <w:rPr>
          <w:rStyle w:val="Hyperlink"/>
        </w:rPr>
        <w:instrText xml:space="preserve"> NOTEREF _Ref134616250 \f \h </w:instrText>
      </w:r>
      <w:r w:rsidR="003E5A10">
        <w:fldChar w:fldCharType="separate"/>
      </w:r>
      <w:r w:rsidR="007D53A2" w:rsidRPr="00E362A3">
        <w:rPr>
          <w:rStyle w:val="EndnoteReference"/>
        </w:rPr>
        <w:t>31</w:t>
      </w:r>
      <w:r w:rsidR="003E5A10">
        <w:fldChar w:fldCharType="end"/>
      </w:r>
      <w:r w:rsidR="003F6DF1">
        <w:rPr>
          <w:rFonts w:cs="Arial"/>
          <w:color w:val="auto"/>
        </w:rPr>
        <w:t xml:space="preserve"> with your hospital. Hospitals should only include hospital outpatient departments or areas of the hospital that perform the procedures listed in Section 9C in an </w:t>
      </w:r>
      <w:hyperlink w:anchor="Endnote49_OR" w:history="1">
        <w:r w:rsidR="003F6DF1" w:rsidRPr="00A879E1">
          <w:rPr>
            <w:rStyle w:val="Hyperlink"/>
          </w:rPr>
          <w:t>operating room</w:t>
        </w:r>
      </w:hyperlink>
      <w:r w:rsidR="003F6DF1">
        <w:rPr>
          <w:vertAlign w:val="superscript"/>
        </w:rPr>
        <w:fldChar w:fldCharType="begin"/>
      </w:r>
      <w:r w:rsidR="003F6DF1">
        <w:instrText xml:space="preserve"> NOTEREF _Ref534299024 \f \h </w:instrText>
      </w:r>
      <w:r w:rsidR="003F6DF1">
        <w:rPr>
          <w:vertAlign w:val="superscript"/>
        </w:rPr>
      </w:r>
      <w:r w:rsidR="003F6DF1">
        <w:rPr>
          <w:vertAlign w:val="superscript"/>
        </w:rPr>
        <w:fldChar w:fldCharType="separate"/>
      </w:r>
      <w:r w:rsidR="007D53A2" w:rsidRPr="00E362A3">
        <w:rPr>
          <w:rStyle w:val="EndnoteReference"/>
        </w:rPr>
        <w:t>52</w:t>
      </w:r>
      <w:r w:rsidR="003F6DF1">
        <w:rPr>
          <w:vertAlign w:val="superscript"/>
        </w:rPr>
        <w:fldChar w:fldCharType="end"/>
      </w:r>
      <w:r w:rsidR="003F6DF1">
        <w:t xml:space="preserve"> or </w:t>
      </w:r>
      <w:hyperlink w:anchor="procedureroom" w:history="1">
        <w:r w:rsidR="003F6DF1" w:rsidRPr="00A879E1">
          <w:rPr>
            <w:rStyle w:val="Hyperlink"/>
          </w:rPr>
          <w:t>procedure room</w:t>
        </w:r>
      </w:hyperlink>
      <w:r w:rsidR="003F6DF1">
        <w:fldChar w:fldCharType="begin"/>
      </w:r>
      <w:r w:rsidR="003F6DF1">
        <w:instrText xml:space="preserve"> NOTEREF _Ref534299351 \f \h </w:instrText>
      </w:r>
      <w:r w:rsidR="003F6DF1">
        <w:fldChar w:fldCharType="separate"/>
      </w:r>
      <w:r w:rsidR="007D53A2" w:rsidRPr="00E362A3">
        <w:rPr>
          <w:rStyle w:val="EndnoteReference"/>
        </w:rPr>
        <w:t>53</w:t>
      </w:r>
      <w:r w:rsidR="003F6DF1">
        <w:fldChar w:fldCharType="end"/>
      </w:r>
      <w:r w:rsidR="003F6DF1">
        <w:t>.</w:t>
      </w:r>
    </w:p>
    <w:p w14:paraId="4E748C18" w14:textId="77777777" w:rsidR="00343369" w:rsidRPr="009A5185" w:rsidRDefault="00343369" w:rsidP="008E7151">
      <w:pPr>
        <w:pStyle w:val="BodyText3"/>
        <w:rPr>
          <w:rFonts w:cs="Arial"/>
          <w:snapToGrid w:val="0"/>
        </w:rPr>
      </w:pPr>
    </w:p>
    <w:p w14:paraId="682F5454" w14:textId="2D137C46" w:rsidR="00CE0DC8" w:rsidRDefault="00CE0DC8" w:rsidP="00343369">
      <w:pPr>
        <w:rPr>
          <w:rFonts w:cs="Arial"/>
          <w:snapToGrid w:val="0"/>
        </w:rPr>
      </w:pPr>
      <w:r w:rsidRPr="009A5185">
        <w:rPr>
          <w:rFonts w:cs="Arial"/>
          <w:b/>
        </w:rPr>
        <w:t xml:space="preserve">Specifications: </w:t>
      </w:r>
      <w:r w:rsidRPr="009A5185">
        <w:rPr>
          <w:rFonts w:cs="Arial"/>
          <w:snapToGrid w:val="0"/>
        </w:rPr>
        <w:t xml:space="preserve">See </w:t>
      </w:r>
      <w:hyperlink w:anchor="_Medication_Safety_for_2" w:history="1">
        <w:r w:rsidR="00A715C8">
          <w:rPr>
            <w:rStyle w:val="Hyperlink"/>
            <w:rFonts w:cs="Arial"/>
            <w:b/>
            <w:i/>
            <w:snapToGrid w:val="0"/>
          </w:rPr>
          <w:t>Medication Safety for Outpatient Procedures Measure Specifications</w:t>
        </w:r>
      </w:hyperlink>
      <w:r w:rsidRPr="009A5185">
        <w:rPr>
          <w:rFonts w:cs="Arial"/>
          <w:snapToGrid w:val="0"/>
        </w:rPr>
        <w:t xml:space="preserve"> in the Reference Information </w:t>
      </w:r>
      <w:r w:rsidR="00BF3C8D">
        <w:rPr>
          <w:rFonts w:cs="Arial"/>
        </w:rPr>
        <w:t xml:space="preserve">beginning on page </w:t>
      </w:r>
      <w:r w:rsidR="00D40C9E">
        <w:rPr>
          <w:rFonts w:cs="Arial"/>
        </w:rPr>
        <w:t>329.</w:t>
      </w:r>
    </w:p>
    <w:p w14:paraId="04BB9885" w14:textId="77777777" w:rsidR="00343369" w:rsidRDefault="00343369" w:rsidP="00343369">
      <w:pPr>
        <w:rPr>
          <w:rFonts w:cs="Arial"/>
          <w:snapToGrid w:val="0"/>
        </w:rPr>
      </w:pPr>
    </w:p>
    <w:p w14:paraId="1E6740FA" w14:textId="7F39B420" w:rsidR="007206A4" w:rsidRDefault="00C57E28" w:rsidP="007206A4">
      <w:r>
        <w:rPr>
          <w:noProof/>
        </w:rPr>
        <mc:AlternateContent>
          <mc:Choice Requires="wps">
            <w:drawing>
              <wp:inline distT="0" distB="0" distL="0" distR="0" wp14:anchorId="63C022CA" wp14:editId="0C5376ED">
                <wp:extent cx="5923722" cy="1404620"/>
                <wp:effectExtent l="0" t="0" r="20320" b="12065"/>
                <wp:docPr id="48" name="Text Box 48" descr="P11710TB36#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3722" cy="1404620"/>
                        </a:xfrm>
                        <a:prstGeom prst="rect">
                          <a:avLst/>
                        </a:prstGeom>
                        <a:solidFill>
                          <a:srgbClr val="FFFFFF"/>
                        </a:solidFill>
                        <a:ln w="9525">
                          <a:solidFill>
                            <a:srgbClr val="FF0000"/>
                          </a:solidFill>
                          <a:miter lim="800000"/>
                          <a:headEnd/>
                          <a:tailEnd/>
                        </a:ln>
                      </wps:spPr>
                      <wps:txbx>
                        <w:txbxContent>
                          <w:p w14:paraId="12496A1C" w14:textId="276409C2" w:rsidR="00C57E28" w:rsidRPr="0002601E" w:rsidRDefault="00C57E28" w:rsidP="00C57E28">
                            <w:pPr>
                              <w:spacing w:before="120"/>
                              <w:rPr>
                                <w:rFonts w:cs="Arial"/>
                                <w:b/>
                                <w:snapToGrid w:val="0"/>
                              </w:rPr>
                            </w:pPr>
                            <w:r w:rsidRPr="009A5185">
                              <w:rPr>
                                <w:rFonts w:cs="Arial"/>
                                <w:b/>
                                <w:snapToGrid w:val="0"/>
                              </w:rPr>
                              <w:t>Reporting Period: 12 months</w:t>
                            </w:r>
                            <w:r>
                              <w:rPr>
                                <w:rFonts w:cs="Arial"/>
                                <w:b/>
                                <w:snapToGrid w:val="0"/>
                              </w:rPr>
                              <w:br/>
                            </w:r>
                            <w:r>
                              <w:rPr>
                                <w:rFonts w:cs="Arial"/>
                                <w:snapToGrid w:val="0"/>
                              </w:rPr>
                              <w:t>Answer questions #</w:t>
                            </w:r>
                            <w:r w:rsidR="00624AD0">
                              <w:rPr>
                                <w:rFonts w:cs="Arial"/>
                                <w:snapToGrid w:val="0"/>
                              </w:rPr>
                              <w:t>2</w:t>
                            </w:r>
                            <w:r>
                              <w:rPr>
                                <w:rFonts w:cs="Arial"/>
                                <w:snapToGrid w:val="0"/>
                              </w:rPr>
                              <w:t xml:space="preserve">-7 based on all cases (or a </w:t>
                            </w:r>
                            <w:r w:rsidRPr="006A1264">
                              <w:rPr>
                                <w:rFonts w:cs="Arial"/>
                                <w:snapToGrid w:val="0"/>
                              </w:rPr>
                              <w:t>sufficient sample</w:t>
                            </w:r>
                            <w:r>
                              <w:rPr>
                                <w:rFonts w:cs="Arial"/>
                                <w:snapToGrid w:val="0"/>
                              </w:rPr>
                              <w:t xml:space="preserve"> of them),</w:t>
                            </w:r>
                          </w:p>
                          <w:p w14:paraId="25785EE2" w14:textId="77777777" w:rsidR="00C57E28" w:rsidRPr="00304B99" w:rsidRDefault="00C57E28" w:rsidP="00AD309C">
                            <w:pPr>
                              <w:pStyle w:val="ListParagraph"/>
                              <w:numPr>
                                <w:ilvl w:val="0"/>
                                <w:numId w:val="36"/>
                              </w:numPr>
                              <w:rPr>
                                <w:rFonts w:cs="Arial"/>
                                <w:i/>
                                <w:snapToGrid w:val="0"/>
                              </w:rPr>
                            </w:pPr>
                            <w:r>
                              <w:rPr>
                                <w:rFonts w:cs="Arial"/>
                                <w:snapToGrid w:val="0"/>
                              </w:rPr>
                              <w:t>Surveys submitted prior to September 1:</w:t>
                            </w:r>
                          </w:p>
                          <w:p w14:paraId="15DCCC1C" w14:textId="2033E15A" w:rsidR="00C57E28" w:rsidRPr="009A5185" w:rsidRDefault="00C57E28" w:rsidP="00AD309C">
                            <w:pPr>
                              <w:pStyle w:val="ListParagraph"/>
                              <w:numPr>
                                <w:ilvl w:val="1"/>
                                <w:numId w:val="36"/>
                              </w:numPr>
                              <w:rPr>
                                <w:rFonts w:cs="Arial"/>
                                <w:i/>
                                <w:snapToGrid w:val="0"/>
                              </w:rPr>
                            </w:pPr>
                            <w:r>
                              <w:rPr>
                                <w:rFonts w:cs="Arial"/>
                                <w:snapToGrid w:val="0"/>
                              </w:rPr>
                              <w:t>01/01/202</w:t>
                            </w:r>
                            <w:r w:rsidR="0002289F">
                              <w:rPr>
                                <w:rFonts w:cs="Arial"/>
                                <w:snapToGrid w:val="0"/>
                              </w:rPr>
                              <w:t>5</w:t>
                            </w:r>
                            <w:r>
                              <w:rPr>
                                <w:rFonts w:cs="Arial"/>
                                <w:snapToGrid w:val="0"/>
                              </w:rPr>
                              <w:t xml:space="preserve"> – 12/31/202</w:t>
                            </w:r>
                            <w:r w:rsidR="0002289F">
                              <w:rPr>
                                <w:rFonts w:cs="Arial"/>
                                <w:snapToGrid w:val="0"/>
                              </w:rPr>
                              <w:t>5</w:t>
                            </w:r>
                          </w:p>
                          <w:p w14:paraId="528F1700" w14:textId="77777777" w:rsidR="00C57E28" w:rsidRPr="00304B99" w:rsidRDefault="00C57E28" w:rsidP="00AD309C">
                            <w:pPr>
                              <w:pStyle w:val="ListParagraph"/>
                              <w:numPr>
                                <w:ilvl w:val="0"/>
                                <w:numId w:val="36"/>
                              </w:numPr>
                              <w:rPr>
                                <w:rFonts w:cs="Arial"/>
                                <w:i/>
                                <w:snapToGrid w:val="0"/>
                              </w:rPr>
                            </w:pPr>
                            <w:r w:rsidRPr="009A5185">
                              <w:rPr>
                                <w:rFonts w:cs="Arial"/>
                                <w:snapToGrid w:val="0"/>
                              </w:rPr>
                              <w:t xml:space="preserve">Surveys (re)submitted on or after September 1: </w:t>
                            </w:r>
                          </w:p>
                          <w:p w14:paraId="56724A1E" w14:textId="4F0D7A6F" w:rsidR="00C57E28" w:rsidRPr="006E2CB6" w:rsidRDefault="00C57E28" w:rsidP="00AD309C">
                            <w:pPr>
                              <w:pStyle w:val="ListParagraph"/>
                              <w:numPr>
                                <w:ilvl w:val="1"/>
                                <w:numId w:val="36"/>
                              </w:numPr>
                              <w:rPr>
                                <w:rFonts w:cs="Arial"/>
                                <w:i/>
                                <w:snapToGrid w:val="0"/>
                              </w:rPr>
                            </w:pPr>
                            <w:r w:rsidRPr="009A5185">
                              <w:rPr>
                                <w:rFonts w:cs="Arial"/>
                                <w:snapToGrid w:val="0"/>
                              </w:rPr>
                              <w:t>07/01/</w:t>
                            </w:r>
                            <w:r>
                              <w:rPr>
                                <w:rFonts w:cs="Arial"/>
                                <w:snapToGrid w:val="0"/>
                              </w:rPr>
                              <w:t>202</w:t>
                            </w:r>
                            <w:r w:rsidR="0002289F">
                              <w:rPr>
                                <w:rFonts w:cs="Arial"/>
                                <w:snapToGrid w:val="0"/>
                              </w:rPr>
                              <w:t>5</w:t>
                            </w:r>
                            <w:r w:rsidRPr="009A5185">
                              <w:rPr>
                                <w:rFonts w:cs="Arial"/>
                                <w:snapToGrid w:val="0"/>
                              </w:rPr>
                              <w:t xml:space="preserve"> </w:t>
                            </w:r>
                            <w:r>
                              <w:rPr>
                                <w:rFonts w:cs="Arial"/>
                                <w:snapToGrid w:val="0"/>
                              </w:rPr>
                              <w:t>–</w:t>
                            </w:r>
                            <w:r w:rsidRPr="009A5185">
                              <w:rPr>
                                <w:rFonts w:cs="Arial"/>
                                <w:snapToGrid w:val="0"/>
                              </w:rPr>
                              <w:t xml:space="preserve"> 06/30/</w:t>
                            </w:r>
                            <w:r>
                              <w:rPr>
                                <w:rFonts w:cs="Arial"/>
                                <w:snapToGrid w:val="0"/>
                              </w:rPr>
                              <w:t>202</w:t>
                            </w:r>
                            <w:r w:rsidR="0002289F">
                              <w:rPr>
                                <w:rFonts w:cs="Arial"/>
                                <w:snapToGrid w:val="0"/>
                              </w:rPr>
                              <w:t>6</w:t>
                            </w:r>
                          </w:p>
                          <w:p w14:paraId="7992490C" w14:textId="77777777" w:rsidR="00C57E28" w:rsidRDefault="00C57E28" w:rsidP="00C57E28">
                            <w:pPr>
                              <w:rPr>
                                <w:rFonts w:cs="Arial"/>
                                <w:i/>
                                <w:snapToGrid w:val="0"/>
                              </w:rPr>
                            </w:pPr>
                          </w:p>
                          <w:p w14:paraId="0535F9F3" w14:textId="2552C441" w:rsidR="00C57E28" w:rsidRDefault="00C57E28" w:rsidP="00C57E28">
                            <w:r w:rsidRPr="006547C0">
                              <w:rPr>
                                <w:rFonts w:cs="Arial"/>
                                <w:sz w:val="16"/>
                                <w:szCs w:val="16"/>
                              </w:rPr>
                              <w:t xml:space="preserve">Note: As a reminder, the </w:t>
                            </w:r>
                            <w:hyperlink r:id="rId477" w:history="1">
                              <w:r w:rsidRPr="006547C0">
                                <w:rPr>
                                  <w:rStyle w:val="Hyperlink"/>
                                  <w:rFonts w:cs="Arial"/>
                                  <w:sz w:val="16"/>
                                  <w:szCs w:val="16"/>
                                </w:rPr>
                                <w:t>Corrections Period</w:t>
                              </w:r>
                            </w:hyperlink>
                            <w:r w:rsidRPr="006547C0">
                              <w:rPr>
                                <w:rFonts w:cs="Arial"/>
                                <w:sz w:val="16"/>
                                <w:szCs w:val="16"/>
                              </w:rPr>
                              <w:t xml:space="preserve"> </w:t>
                            </w:r>
                            <w:r w:rsidRPr="00E65E68">
                              <w:rPr>
                                <w:rFonts w:cs="Arial"/>
                                <w:sz w:val="16"/>
                                <w:szCs w:val="16"/>
                              </w:rPr>
                              <w:t>(</w:t>
                            </w:r>
                            <w:r>
                              <w:rPr>
                                <w:rFonts w:cs="Arial"/>
                                <w:sz w:val="16"/>
                                <w:szCs w:val="16"/>
                              </w:rPr>
                              <w:t>December</w:t>
                            </w:r>
                            <w:r w:rsidRPr="00E65E68">
                              <w:rPr>
                                <w:rFonts w:cs="Arial"/>
                                <w:sz w:val="16"/>
                                <w:szCs w:val="16"/>
                              </w:rPr>
                              <w:t xml:space="preserve"> 1-January 31) is reserved for corrections to previously submitted Surveys only. </w:t>
                            </w:r>
                            <w:r w:rsidRPr="00E65E68">
                              <w:rPr>
                                <w:rFonts w:cs="Arial"/>
                                <w:bCs/>
                                <w:snapToGrid w:val="0"/>
                                <w:sz w:val="16"/>
                                <w:szCs w:val="16"/>
                              </w:rPr>
                              <w:t xml:space="preserve">Any updates made to reflect a change in performance must be made prior to the </w:t>
                            </w:r>
                            <w:r>
                              <w:rPr>
                                <w:rFonts w:cs="Arial"/>
                                <w:bCs/>
                                <w:snapToGrid w:val="0"/>
                                <w:sz w:val="16"/>
                                <w:szCs w:val="16"/>
                              </w:rPr>
                              <w:t>November 30</w:t>
                            </w:r>
                            <w:r w:rsidRPr="00E65E68">
                              <w:rPr>
                                <w:rFonts w:cs="Arial"/>
                                <w:bCs/>
                                <w:snapToGrid w:val="0"/>
                                <w:sz w:val="16"/>
                                <w:szCs w:val="16"/>
                              </w:rPr>
                              <w:t xml:space="preserve"> Late Submission </w:t>
                            </w:r>
                            <w:r>
                              <w:rPr>
                                <w:rFonts w:cs="Arial"/>
                                <w:bCs/>
                                <w:snapToGrid w:val="0"/>
                                <w:sz w:val="16"/>
                                <w:szCs w:val="16"/>
                              </w:rPr>
                              <w:t xml:space="preserve">and Performance Update </w:t>
                            </w:r>
                            <w:r w:rsidRPr="00E65E68">
                              <w:rPr>
                                <w:rFonts w:cs="Arial"/>
                                <w:bCs/>
                                <w:snapToGrid w:val="0"/>
                                <w:sz w:val="16"/>
                                <w:szCs w:val="16"/>
                              </w:rPr>
                              <w:t xml:space="preserve">Deadline. Updates made to reflect a change in performance after </w:t>
                            </w:r>
                            <w:r>
                              <w:rPr>
                                <w:rFonts w:cs="Arial"/>
                                <w:bCs/>
                                <w:snapToGrid w:val="0"/>
                                <w:sz w:val="16"/>
                                <w:szCs w:val="16"/>
                              </w:rPr>
                              <w:t>November 30</w:t>
                            </w:r>
                            <w:r w:rsidRPr="00E65E68">
                              <w:rPr>
                                <w:rFonts w:cs="Arial"/>
                                <w:bCs/>
                                <w:snapToGrid w:val="0"/>
                                <w:sz w:val="16"/>
                                <w:szCs w:val="16"/>
                              </w:rPr>
                              <w:t xml:space="preserve"> will not be scored or publicly reported.</w:t>
                            </w:r>
                          </w:p>
                        </w:txbxContent>
                      </wps:txbx>
                      <wps:bodyPr rot="0" vert="horz" wrap="square" lIns="91440" tIns="45720" rIns="91440" bIns="45720" anchor="t" anchorCtr="0">
                        <a:spAutoFit/>
                      </wps:bodyPr>
                    </wps:wsp>
                  </a:graphicData>
                </a:graphic>
              </wp:inline>
            </w:drawing>
          </mc:Choice>
          <mc:Fallback>
            <w:pict>
              <v:shape w14:anchorId="63C022CA" id="Text Box 48" o:spid="_x0000_s1063" type="#_x0000_t202" alt="P11710TB36#y1" style="width:466.4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" strokecolor="red">
                <v:textbox style="mso-fit-shape-to-text:t">
                  <w:txbxContent>
                    <w:p w14:paraId="12496A1C" w14:textId="276409C2" w:rsidR="00C57E28" w:rsidRPr="0002601E" w:rsidRDefault="00C57E28" w:rsidP="00C57E28">
                      <w:pPr>
                        <w:spacing w:before="120"/>
                        <w:rPr>
                          <w:rFonts w:cs="Arial"/>
                          <w:b/>
                          <w:snapToGrid w:val="0"/>
                        </w:rPr>
                      </w:pPr>
                      <w:r w:rsidRPr="009A5185">
                        <w:rPr>
                          <w:rFonts w:cs="Arial"/>
                          <w:b/>
                          <w:snapToGrid w:val="0"/>
                        </w:rPr>
                        <w:t>Reporting Period: 12 months</w:t>
                      </w:r>
                      <w:r>
                        <w:rPr>
                          <w:rFonts w:cs="Arial"/>
                          <w:b/>
                          <w:snapToGrid w:val="0"/>
                        </w:rPr>
                        <w:br/>
                      </w:r>
                      <w:r>
                        <w:rPr>
                          <w:rFonts w:cs="Arial"/>
                          <w:snapToGrid w:val="0"/>
                        </w:rPr>
                        <w:t>Answer questions #</w:t>
                      </w:r>
                      <w:r w:rsidR="00624AD0">
                        <w:rPr>
                          <w:rFonts w:cs="Arial"/>
                          <w:snapToGrid w:val="0"/>
                        </w:rPr>
                        <w:t>2</w:t>
                      </w:r>
                      <w:r>
                        <w:rPr>
                          <w:rFonts w:cs="Arial"/>
                          <w:snapToGrid w:val="0"/>
                        </w:rPr>
                        <w:t xml:space="preserve">-7 based on all cases (or a </w:t>
                      </w:r>
                      <w:r w:rsidRPr="006A1264">
                        <w:rPr>
                          <w:rFonts w:cs="Arial"/>
                          <w:snapToGrid w:val="0"/>
                        </w:rPr>
                        <w:t>sufficient sample</w:t>
                      </w:r>
                      <w:r>
                        <w:rPr>
                          <w:rFonts w:cs="Arial"/>
                          <w:snapToGrid w:val="0"/>
                        </w:rPr>
                        <w:t xml:space="preserve"> of them),</w:t>
                      </w:r>
                    </w:p>
                    <w:p w14:paraId="25785EE2" w14:textId="77777777" w:rsidR="00C57E28" w:rsidRPr="00304B99" w:rsidRDefault="00C57E28" w:rsidP="00AD309C">
                      <w:pPr>
                        <w:pStyle w:val="ListParagraph"/>
                        <w:numPr>
                          <w:ilvl w:val="0"/>
                          <w:numId w:val="36"/>
                        </w:numPr>
                        <w:rPr>
                          <w:rFonts w:cs="Arial"/>
                          <w:i/>
                          <w:snapToGrid w:val="0"/>
                        </w:rPr>
                      </w:pPr>
                      <w:r>
                        <w:rPr>
                          <w:rFonts w:cs="Arial"/>
                          <w:snapToGrid w:val="0"/>
                        </w:rPr>
                        <w:t>Surveys submitted prior to September 1:</w:t>
                      </w:r>
                    </w:p>
                    <w:p w14:paraId="15DCCC1C" w14:textId="2033E15A" w:rsidR="00C57E28" w:rsidRPr="009A5185" w:rsidRDefault="00C57E28" w:rsidP="00AD309C">
                      <w:pPr>
                        <w:pStyle w:val="ListParagraph"/>
                        <w:numPr>
                          <w:ilvl w:val="1"/>
                          <w:numId w:val="36"/>
                        </w:numPr>
                        <w:rPr>
                          <w:rFonts w:cs="Arial"/>
                          <w:i/>
                          <w:snapToGrid w:val="0"/>
                        </w:rPr>
                      </w:pPr>
                      <w:r>
                        <w:rPr>
                          <w:rFonts w:cs="Arial"/>
                          <w:snapToGrid w:val="0"/>
                        </w:rPr>
                        <w:t>01/01/202</w:t>
                      </w:r>
                      <w:r w:rsidR="0002289F">
                        <w:rPr>
                          <w:rFonts w:cs="Arial"/>
                          <w:snapToGrid w:val="0"/>
                        </w:rPr>
                        <w:t>5</w:t>
                      </w:r>
                      <w:r>
                        <w:rPr>
                          <w:rFonts w:cs="Arial"/>
                          <w:snapToGrid w:val="0"/>
                        </w:rPr>
                        <w:t xml:space="preserve"> – 12/31/202</w:t>
                      </w:r>
                      <w:r w:rsidR="0002289F">
                        <w:rPr>
                          <w:rFonts w:cs="Arial"/>
                          <w:snapToGrid w:val="0"/>
                        </w:rPr>
                        <w:t>5</w:t>
                      </w:r>
                    </w:p>
                    <w:p w14:paraId="528F1700" w14:textId="77777777" w:rsidR="00C57E28" w:rsidRPr="00304B99" w:rsidRDefault="00C57E28" w:rsidP="00AD309C">
                      <w:pPr>
                        <w:pStyle w:val="ListParagraph"/>
                        <w:numPr>
                          <w:ilvl w:val="0"/>
                          <w:numId w:val="36"/>
                        </w:numPr>
                        <w:rPr>
                          <w:rFonts w:cs="Arial"/>
                          <w:i/>
                          <w:snapToGrid w:val="0"/>
                        </w:rPr>
                      </w:pPr>
                      <w:r w:rsidRPr="009A5185">
                        <w:rPr>
                          <w:rFonts w:cs="Arial"/>
                          <w:snapToGrid w:val="0"/>
                        </w:rPr>
                        <w:t xml:space="preserve">Surveys (re)submitted on or after September 1: </w:t>
                      </w:r>
                    </w:p>
                    <w:p w14:paraId="56724A1E" w14:textId="4F0D7A6F" w:rsidR="00C57E28" w:rsidRPr="006E2CB6" w:rsidRDefault="00C57E28" w:rsidP="00AD309C">
                      <w:pPr>
                        <w:pStyle w:val="ListParagraph"/>
                        <w:numPr>
                          <w:ilvl w:val="1"/>
                          <w:numId w:val="36"/>
                        </w:numPr>
                        <w:rPr>
                          <w:rFonts w:cs="Arial"/>
                          <w:i/>
                          <w:snapToGrid w:val="0"/>
                        </w:rPr>
                      </w:pPr>
                      <w:r w:rsidRPr="009A5185">
                        <w:rPr>
                          <w:rFonts w:cs="Arial"/>
                          <w:snapToGrid w:val="0"/>
                        </w:rPr>
                        <w:t>07/01/</w:t>
                      </w:r>
                      <w:r>
                        <w:rPr>
                          <w:rFonts w:cs="Arial"/>
                          <w:snapToGrid w:val="0"/>
                        </w:rPr>
                        <w:t>202</w:t>
                      </w:r>
                      <w:r w:rsidR="0002289F">
                        <w:rPr>
                          <w:rFonts w:cs="Arial"/>
                          <w:snapToGrid w:val="0"/>
                        </w:rPr>
                        <w:t>5</w:t>
                      </w:r>
                      <w:r w:rsidRPr="009A5185">
                        <w:rPr>
                          <w:rFonts w:cs="Arial"/>
                          <w:snapToGrid w:val="0"/>
                        </w:rPr>
                        <w:t xml:space="preserve"> </w:t>
                      </w:r>
                      <w:r>
                        <w:rPr>
                          <w:rFonts w:cs="Arial"/>
                          <w:snapToGrid w:val="0"/>
                        </w:rPr>
                        <w:t>–</w:t>
                      </w:r>
                      <w:r w:rsidRPr="009A5185">
                        <w:rPr>
                          <w:rFonts w:cs="Arial"/>
                          <w:snapToGrid w:val="0"/>
                        </w:rPr>
                        <w:t xml:space="preserve"> 06/30/</w:t>
                      </w:r>
                      <w:r>
                        <w:rPr>
                          <w:rFonts w:cs="Arial"/>
                          <w:snapToGrid w:val="0"/>
                        </w:rPr>
                        <w:t>202</w:t>
                      </w:r>
                      <w:r w:rsidR="0002289F">
                        <w:rPr>
                          <w:rFonts w:cs="Arial"/>
                          <w:snapToGrid w:val="0"/>
                        </w:rPr>
                        <w:t>6</w:t>
                      </w:r>
                    </w:p>
                    <w:p w14:paraId="7992490C" w14:textId="77777777" w:rsidR="00C57E28" w:rsidRDefault="00C57E28" w:rsidP="00C57E28">
                      <w:pPr>
                        <w:rPr>
                          <w:rFonts w:cs="Arial"/>
                          <w:i/>
                          <w:snapToGrid w:val="0"/>
                        </w:rPr>
                      </w:pPr>
                    </w:p>
                    <w:p w14:paraId="0535F9F3" w14:textId="2552C441" w:rsidR="00C57E28" w:rsidRDefault="00C57E28" w:rsidP="00C57E28">
                      <w:r w:rsidRPr="006547C0">
                        <w:rPr>
                          <w:rFonts w:cs="Arial"/>
                          <w:sz w:val="16"/>
                          <w:szCs w:val="16"/>
                        </w:rPr>
                        <w:t xml:space="preserve">Note: As a reminder, the </w:t>
                      </w:r>
                      <w:hyperlink r:id="rId478" w:history="1">
                        <w:r w:rsidRPr="006547C0">
                          <w:rPr>
                            <w:rStyle w:val="Hyperlink"/>
                            <w:rFonts w:cs="Arial"/>
                            <w:sz w:val="16"/>
                            <w:szCs w:val="16"/>
                          </w:rPr>
                          <w:t>Corrections Period</w:t>
                        </w:r>
                      </w:hyperlink>
                      <w:r w:rsidRPr="006547C0">
                        <w:rPr>
                          <w:rFonts w:cs="Arial"/>
                          <w:sz w:val="16"/>
                          <w:szCs w:val="16"/>
                        </w:rPr>
                        <w:t xml:space="preserve"> </w:t>
                      </w:r>
                      <w:r w:rsidRPr="00E65E68">
                        <w:rPr>
                          <w:rFonts w:cs="Arial"/>
                          <w:sz w:val="16"/>
                          <w:szCs w:val="16"/>
                        </w:rPr>
                        <w:t>(</w:t>
                      </w:r>
                      <w:r>
                        <w:rPr>
                          <w:rFonts w:cs="Arial"/>
                          <w:sz w:val="16"/>
                          <w:szCs w:val="16"/>
                        </w:rPr>
                        <w:t>December</w:t>
                      </w:r>
                      <w:r w:rsidRPr="00E65E68">
                        <w:rPr>
                          <w:rFonts w:cs="Arial"/>
                          <w:sz w:val="16"/>
                          <w:szCs w:val="16"/>
                        </w:rPr>
                        <w:t xml:space="preserve"> 1-January 31) is reserved for corrections to previously submitted Surveys only. </w:t>
                      </w:r>
                      <w:r w:rsidRPr="00E65E68">
                        <w:rPr>
                          <w:rFonts w:cs="Arial"/>
                          <w:bCs/>
                          <w:snapToGrid w:val="0"/>
                          <w:sz w:val="16"/>
                          <w:szCs w:val="16"/>
                        </w:rPr>
                        <w:t xml:space="preserve">Any updates made to reflect a change in performance must be made prior to the </w:t>
                      </w:r>
                      <w:r>
                        <w:rPr>
                          <w:rFonts w:cs="Arial"/>
                          <w:bCs/>
                          <w:snapToGrid w:val="0"/>
                          <w:sz w:val="16"/>
                          <w:szCs w:val="16"/>
                        </w:rPr>
                        <w:t>November 30</w:t>
                      </w:r>
                      <w:r w:rsidRPr="00E65E68">
                        <w:rPr>
                          <w:rFonts w:cs="Arial"/>
                          <w:bCs/>
                          <w:snapToGrid w:val="0"/>
                          <w:sz w:val="16"/>
                          <w:szCs w:val="16"/>
                        </w:rPr>
                        <w:t xml:space="preserve"> Late Submission </w:t>
                      </w:r>
                      <w:r>
                        <w:rPr>
                          <w:rFonts w:cs="Arial"/>
                          <w:bCs/>
                          <w:snapToGrid w:val="0"/>
                          <w:sz w:val="16"/>
                          <w:szCs w:val="16"/>
                        </w:rPr>
                        <w:t xml:space="preserve">and Performance Update </w:t>
                      </w:r>
                      <w:r w:rsidRPr="00E65E68">
                        <w:rPr>
                          <w:rFonts w:cs="Arial"/>
                          <w:bCs/>
                          <w:snapToGrid w:val="0"/>
                          <w:sz w:val="16"/>
                          <w:szCs w:val="16"/>
                        </w:rPr>
                        <w:t xml:space="preserve">Deadline. Updates made to reflect a change in performance after </w:t>
                      </w:r>
                      <w:r>
                        <w:rPr>
                          <w:rFonts w:cs="Arial"/>
                          <w:bCs/>
                          <w:snapToGrid w:val="0"/>
                          <w:sz w:val="16"/>
                          <w:szCs w:val="16"/>
                        </w:rPr>
                        <w:t>November 30</w:t>
                      </w:r>
                      <w:r w:rsidRPr="00E65E68">
                        <w:rPr>
                          <w:rFonts w:cs="Arial"/>
                          <w:bCs/>
                          <w:snapToGrid w:val="0"/>
                          <w:sz w:val="16"/>
                          <w:szCs w:val="16"/>
                        </w:rPr>
                        <w:t xml:space="preserve"> will not be scored or publicly reported.</w:t>
                      </w:r>
                    </w:p>
                  </w:txbxContent>
                </v:textbox>
                <w10:anchorlock/>
              </v:shape>
            </w:pict>
          </mc:Fallback>
        </mc:AlternateContent>
      </w:r>
    </w:p>
    <w:p w14:paraId="5A935125" w14:textId="77777777" w:rsidR="00C57E28" w:rsidRDefault="00C57E28" w:rsidP="007206A4"/>
    <w:p w14:paraId="7A34893D" w14:textId="36BE11DD" w:rsidR="00F42133" w:rsidRPr="00F42133" w:rsidRDefault="00F42133" w:rsidP="007206A4">
      <w:pPr>
        <w:rPr>
          <w:rFonts w:cs="Arial"/>
          <w:snapToGrid w:val="0"/>
          <w:u w:val="single"/>
        </w:rPr>
      </w:pPr>
      <w:hyperlink w:anchor="MedAllergySufficientSample" w:history="1">
        <w:r w:rsidRPr="00C5770F">
          <w:rPr>
            <w:rStyle w:val="Hyperlink"/>
            <w:rFonts w:cs="Arial"/>
            <w:b/>
            <w:iCs/>
            <w:snapToGrid w:val="0"/>
          </w:rPr>
          <w:t>Sufficient Sample</w:t>
        </w:r>
      </w:hyperlink>
      <w:r w:rsidRPr="003D51C4">
        <w:rPr>
          <w:rFonts w:cs="Arial"/>
          <w:b/>
          <w:iCs/>
          <w:snapToGrid w:val="0"/>
        </w:rPr>
        <w:t>:</w:t>
      </w:r>
      <w:r>
        <w:rPr>
          <w:rFonts w:cs="Arial"/>
          <w:b/>
          <w:i/>
          <w:snapToGrid w:val="0"/>
        </w:rPr>
        <w:t xml:space="preserve"> </w:t>
      </w:r>
      <w:r>
        <w:rPr>
          <w:rFonts w:cs="Arial"/>
          <w:snapToGrid w:val="0"/>
        </w:rPr>
        <w:t xml:space="preserve">See </w:t>
      </w:r>
      <w:hyperlink w:anchor="_Medication_Safety_for_2" w:history="1">
        <w:r w:rsidR="00A715C8">
          <w:rPr>
            <w:rStyle w:val="Hyperlink"/>
            <w:rFonts w:cs="Arial"/>
            <w:b/>
            <w:i/>
            <w:snapToGrid w:val="0"/>
          </w:rPr>
          <w:t>Medication Safety for Outpatient Procedures Measure Specifications</w:t>
        </w:r>
      </w:hyperlink>
      <w:r>
        <w:rPr>
          <w:rFonts w:cs="Arial"/>
          <w:snapToGrid w:val="0"/>
        </w:rPr>
        <w:t xml:space="preserve"> for instructions on identifying a su</w:t>
      </w:r>
      <w:r w:rsidR="00D96352">
        <w:rPr>
          <w:rFonts w:cs="Arial"/>
          <w:snapToGrid w:val="0"/>
        </w:rPr>
        <w:t>fficient sample for questions #</w:t>
      </w:r>
      <w:r w:rsidR="00AF1492">
        <w:rPr>
          <w:rFonts w:cs="Arial"/>
          <w:snapToGrid w:val="0"/>
        </w:rPr>
        <w:t>2-7</w:t>
      </w:r>
      <w:r>
        <w:rPr>
          <w:rFonts w:cs="Arial"/>
          <w:snapToGrid w:val="0"/>
        </w:rPr>
        <w:t>.</w:t>
      </w:r>
    </w:p>
    <w:p w14:paraId="4C81E1DF" w14:textId="77777777" w:rsidR="00F42133" w:rsidRPr="003C4945" w:rsidRDefault="00F42133" w:rsidP="007206A4"/>
    <w:tbl>
      <w:tblPr>
        <w:tblStyle w:val="TableGrid"/>
        <w:tblW w:w="0" w:type="auto"/>
        <w:tblLook w:val="04A0" w:firstRow="1" w:lastRow="0" w:firstColumn="1" w:lastColumn="0" w:noHBand="0" w:noVBand="1"/>
      </w:tblPr>
      <w:tblGrid>
        <w:gridCol w:w="6475"/>
        <w:gridCol w:w="2875"/>
      </w:tblGrid>
      <w:tr w:rsidR="007206A4" w:rsidRPr="008E69D1" w14:paraId="59E06DED" w14:textId="77777777" w:rsidTr="00C57E28">
        <w:trPr>
          <w:trHeight w:val="20"/>
        </w:trPr>
        <w:tc>
          <w:tcPr>
            <w:tcW w:w="6475" w:type="dxa"/>
            <w:tcBorders>
              <w:bottom w:val="nil"/>
            </w:tcBorders>
            <w:tcMar>
              <w:top w:w="72" w:type="dxa"/>
              <w:left w:w="115" w:type="dxa"/>
              <w:bottom w:w="72" w:type="dxa"/>
              <w:right w:w="115" w:type="dxa"/>
            </w:tcMar>
            <w:vAlign w:val="center"/>
          </w:tcPr>
          <w:p w14:paraId="2DC2F377" w14:textId="68D5F02E" w:rsidR="007206A4" w:rsidRPr="008E69D1" w:rsidRDefault="001B06C0" w:rsidP="00AD309C">
            <w:pPr>
              <w:pStyle w:val="ListParagraph"/>
              <w:numPr>
                <w:ilvl w:val="0"/>
                <w:numId w:val="92"/>
              </w:numPr>
            </w:pPr>
            <w:r w:rsidRPr="008E69D1">
              <w:t>12-month r</w:t>
            </w:r>
            <w:r w:rsidR="007206A4" w:rsidRPr="008E69D1">
              <w:t>eporting period used:</w:t>
            </w:r>
          </w:p>
        </w:tc>
        <w:tc>
          <w:tcPr>
            <w:tcW w:w="2875" w:type="dxa"/>
            <w:tcBorders>
              <w:bottom w:val="nil"/>
            </w:tcBorders>
            <w:tcMar>
              <w:top w:w="72" w:type="dxa"/>
              <w:left w:w="115" w:type="dxa"/>
              <w:bottom w:w="72" w:type="dxa"/>
              <w:right w:w="115" w:type="dxa"/>
            </w:tcMar>
            <w:vAlign w:val="center"/>
          </w:tcPr>
          <w:p w14:paraId="344636F0" w14:textId="5030AD8B" w:rsidR="009E3864" w:rsidRPr="00B44C1C" w:rsidRDefault="009E3864" w:rsidP="00AD309C">
            <w:pPr>
              <w:pStyle w:val="NoSpacing"/>
              <w:numPr>
                <w:ilvl w:val="0"/>
                <w:numId w:val="346"/>
              </w:numPr>
              <w:spacing w:line="276" w:lineRule="auto"/>
              <w:rPr>
                <w:rFonts w:ascii="Arial" w:hAnsi="Arial" w:cs="Arial"/>
                <w:bCs/>
                <w:sz w:val="20"/>
                <w:szCs w:val="20"/>
              </w:rPr>
            </w:pPr>
            <w:r w:rsidRPr="00B44C1C">
              <w:rPr>
                <w:rFonts w:ascii="Arial" w:hAnsi="Arial" w:cs="Arial"/>
                <w:bCs/>
                <w:sz w:val="20"/>
                <w:szCs w:val="20"/>
              </w:rPr>
              <w:t>01/01/202</w:t>
            </w:r>
            <w:r w:rsidR="0002289F">
              <w:rPr>
                <w:rFonts w:ascii="Arial" w:hAnsi="Arial" w:cs="Arial"/>
                <w:bCs/>
                <w:sz w:val="20"/>
                <w:szCs w:val="20"/>
              </w:rPr>
              <w:t>5</w:t>
            </w:r>
            <w:r w:rsidRPr="00B44C1C">
              <w:rPr>
                <w:rFonts w:ascii="Arial" w:hAnsi="Arial" w:cs="Arial"/>
                <w:bCs/>
                <w:sz w:val="20"/>
                <w:szCs w:val="20"/>
              </w:rPr>
              <w:t xml:space="preserve"> – 12/31/202</w:t>
            </w:r>
            <w:r w:rsidR="0002289F">
              <w:rPr>
                <w:rFonts w:ascii="Arial" w:hAnsi="Arial" w:cs="Arial"/>
                <w:bCs/>
                <w:sz w:val="20"/>
                <w:szCs w:val="20"/>
              </w:rPr>
              <w:t>5</w:t>
            </w:r>
          </w:p>
          <w:p w14:paraId="2B258808" w14:textId="6E46097B" w:rsidR="007206A4" w:rsidRPr="00E01307" w:rsidRDefault="007206A4" w:rsidP="00AD309C">
            <w:pPr>
              <w:pStyle w:val="NoSpacing"/>
              <w:numPr>
                <w:ilvl w:val="0"/>
                <w:numId w:val="346"/>
              </w:numPr>
              <w:spacing w:line="276" w:lineRule="auto"/>
              <w:rPr>
                <w:b/>
              </w:rPr>
            </w:pPr>
            <w:r w:rsidRPr="00B44C1C">
              <w:rPr>
                <w:rFonts w:ascii="Arial" w:hAnsi="Arial" w:cs="Arial"/>
                <w:sz w:val="20"/>
                <w:szCs w:val="20"/>
              </w:rPr>
              <w:t>07/01/</w:t>
            </w:r>
            <w:r w:rsidR="009E3864" w:rsidRPr="00B44C1C">
              <w:rPr>
                <w:rFonts w:ascii="Arial" w:hAnsi="Arial" w:cs="Arial"/>
                <w:sz w:val="20"/>
                <w:szCs w:val="20"/>
              </w:rPr>
              <w:t>202</w:t>
            </w:r>
            <w:r w:rsidR="0002289F">
              <w:rPr>
                <w:rFonts w:ascii="Arial" w:hAnsi="Arial" w:cs="Arial"/>
                <w:sz w:val="20"/>
                <w:szCs w:val="20"/>
              </w:rPr>
              <w:t>5</w:t>
            </w:r>
            <w:r w:rsidRPr="00B44C1C">
              <w:rPr>
                <w:rFonts w:ascii="Arial" w:hAnsi="Arial" w:cs="Arial"/>
                <w:sz w:val="20"/>
                <w:szCs w:val="20"/>
              </w:rPr>
              <w:t xml:space="preserve"> – 06/30/</w:t>
            </w:r>
            <w:r w:rsidR="009E3864" w:rsidRPr="00B44C1C">
              <w:rPr>
                <w:rFonts w:ascii="Arial" w:hAnsi="Arial" w:cs="Arial"/>
                <w:sz w:val="20"/>
                <w:szCs w:val="20"/>
              </w:rPr>
              <w:t>202</w:t>
            </w:r>
            <w:r w:rsidR="0002289F">
              <w:rPr>
                <w:rFonts w:ascii="Arial" w:hAnsi="Arial" w:cs="Arial"/>
                <w:sz w:val="20"/>
                <w:szCs w:val="20"/>
              </w:rPr>
              <w:t>6</w:t>
            </w:r>
          </w:p>
        </w:tc>
      </w:tr>
      <w:tr w:rsidR="007206A4" w:rsidRPr="008E69D1" w14:paraId="315EEE8C" w14:textId="77777777" w:rsidTr="00C57E28">
        <w:trPr>
          <w:trHeight w:val="1728"/>
        </w:trPr>
        <w:tc>
          <w:tcPr>
            <w:tcW w:w="6475" w:type="dxa"/>
            <w:tcMar>
              <w:top w:w="72" w:type="dxa"/>
              <w:left w:w="115" w:type="dxa"/>
              <w:bottom w:w="72" w:type="dxa"/>
              <w:right w:w="115" w:type="dxa"/>
            </w:tcMar>
            <w:vAlign w:val="center"/>
          </w:tcPr>
          <w:p w14:paraId="11E600D5" w14:textId="7C0C06EC" w:rsidR="007206A4" w:rsidRPr="008E69D1" w:rsidRDefault="007206A4" w:rsidP="00AD309C">
            <w:pPr>
              <w:pStyle w:val="ListParagraph"/>
              <w:numPr>
                <w:ilvl w:val="0"/>
                <w:numId w:val="92"/>
              </w:numPr>
            </w:pPr>
            <w:r w:rsidRPr="008E69D1">
              <w:t xml:space="preserve">Did your </w:t>
            </w:r>
            <w:r w:rsidR="008E3B11">
              <w:t>hospital</w:t>
            </w:r>
            <w:r w:rsidR="008E3B11" w:rsidRPr="008E69D1">
              <w:t xml:space="preserve"> </w:t>
            </w:r>
            <w:r w:rsidRPr="008E69D1">
              <w:t xml:space="preserve">perform an audit of clinical records for </w:t>
            </w:r>
            <w:r w:rsidR="001F3275" w:rsidRPr="009F0E48">
              <w:t>all</w:t>
            </w:r>
            <w:r w:rsidR="003A197F" w:rsidRPr="009F0E48">
              <w:t xml:space="preserve"> patients</w:t>
            </w:r>
            <w:r w:rsidR="003A197F">
              <w:t xml:space="preserve"> undergoing those p</w:t>
            </w:r>
            <w:r w:rsidR="006758EF">
              <w:t xml:space="preserve">rocedures included in Section </w:t>
            </w:r>
            <w:r w:rsidR="00363A61">
              <w:t>9</w:t>
            </w:r>
            <w:r w:rsidR="006758EF">
              <w:t>C</w:t>
            </w:r>
            <w:r w:rsidR="003A197F">
              <w:t xml:space="preserve"> </w:t>
            </w:r>
            <w:r w:rsidRPr="008E69D1">
              <w:t xml:space="preserve">(or a </w:t>
            </w:r>
            <w:hyperlink w:anchor="MedAllergySufficientSample" w:history="1">
              <w:r w:rsidRPr="0054565A">
                <w:rPr>
                  <w:rStyle w:val="Hyperlink"/>
                  <w:iCs/>
                </w:rPr>
                <w:t>sufficient sample</w:t>
              </w:r>
            </w:hyperlink>
            <w:r w:rsidRPr="00A818A9">
              <w:t xml:space="preserve"> o</w:t>
            </w:r>
            <w:r w:rsidRPr="008E69D1">
              <w:t xml:space="preserve">f them) </w:t>
            </w:r>
            <w:r w:rsidR="003A197F">
              <w:t xml:space="preserve">who were </w:t>
            </w:r>
            <w:r w:rsidRPr="008E69D1">
              <w:t>discharged</w:t>
            </w:r>
            <w:r w:rsidR="008E3B11">
              <w:t xml:space="preserve"> from a hospital outpatient department</w:t>
            </w:r>
            <w:r w:rsidRPr="008E69D1">
              <w:t xml:space="preserve"> for the reporting period selected</w:t>
            </w:r>
            <w:r w:rsidR="005F71F9" w:rsidRPr="008E69D1">
              <w:t xml:space="preserve"> </w:t>
            </w:r>
            <w:r w:rsidR="005F71F9" w:rsidRPr="008E69D1">
              <w:rPr>
                <w:b/>
              </w:rPr>
              <w:t xml:space="preserve">and </w:t>
            </w:r>
            <w:r w:rsidR="005F71F9" w:rsidRPr="008E69D1">
              <w:t xml:space="preserve">measure adherence to medication documentation guidelines regarding home medications, medications </w:t>
            </w:r>
            <w:r w:rsidR="008E7151">
              <w:t>administered</w:t>
            </w:r>
            <w:r w:rsidR="008E7151" w:rsidRPr="008E69D1">
              <w:t xml:space="preserve"> </w:t>
            </w:r>
            <w:r w:rsidR="005F71F9" w:rsidRPr="008E69D1">
              <w:t>during the visit</w:t>
            </w:r>
            <w:r w:rsidR="00C73026">
              <w:t xml:space="preserve"> or </w:t>
            </w:r>
            <w:r w:rsidR="008E7151">
              <w:t>prescribed at discharge</w:t>
            </w:r>
            <w:r w:rsidR="005F71F9" w:rsidRPr="008E69D1">
              <w:t>, and medication allergies?</w:t>
            </w:r>
          </w:p>
          <w:p w14:paraId="3FBA95CA" w14:textId="77777777" w:rsidR="00303F0B" w:rsidRPr="008E69D1" w:rsidRDefault="00303F0B" w:rsidP="00303F0B">
            <w:pPr>
              <w:pStyle w:val="ListParagraph"/>
              <w:ind w:left="360"/>
            </w:pPr>
          </w:p>
          <w:p w14:paraId="20F6D09D" w14:textId="5AA85FF8" w:rsidR="00303F0B" w:rsidRDefault="00303F0B" w:rsidP="00303F0B">
            <w:pPr>
              <w:pStyle w:val="ListParagraph"/>
              <w:ind w:left="360"/>
              <w:rPr>
                <w:i/>
              </w:rPr>
            </w:pPr>
            <w:r w:rsidRPr="008E69D1">
              <w:rPr>
                <w:i/>
              </w:rPr>
              <w:t>If “no”</w:t>
            </w:r>
            <w:r w:rsidR="00836820">
              <w:rPr>
                <w:i/>
              </w:rPr>
              <w:t xml:space="preserve"> to question #2,</w:t>
            </w:r>
            <w:r w:rsidRPr="008E69D1">
              <w:rPr>
                <w:i/>
              </w:rPr>
              <w:t xml:space="preserve"> skip questions #3-7 and continue to the next subsection.</w:t>
            </w:r>
            <w:r w:rsidR="00836820">
              <w:rPr>
                <w:i/>
              </w:rPr>
              <w:t xml:space="preserve"> The hospital will be scored as “</w:t>
            </w:r>
            <w:r w:rsidR="003335BD">
              <w:rPr>
                <w:rFonts w:cs="Arial"/>
                <w:i/>
              </w:rPr>
              <w:t>Did Not Measure</w:t>
            </w:r>
            <w:r w:rsidR="00836820">
              <w:rPr>
                <w:i/>
              </w:rPr>
              <w:t>.”</w:t>
            </w:r>
          </w:p>
          <w:p w14:paraId="265DA5CB" w14:textId="77777777" w:rsidR="00836820" w:rsidRDefault="00836820" w:rsidP="00303F0B">
            <w:pPr>
              <w:pStyle w:val="ListParagraph"/>
              <w:ind w:left="360"/>
              <w:rPr>
                <w:i/>
              </w:rPr>
            </w:pPr>
          </w:p>
          <w:p w14:paraId="741138E0" w14:textId="75F42ACD" w:rsidR="00836820" w:rsidRPr="00836820" w:rsidRDefault="00836820" w:rsidP="00303F0B">
            <w:pPr>
              <w:pStyle w:val="ListParagraph"/>
              <w:ind w:left="360"/>
              <w:rPr>
                <w:b/>
                <w:bCs/>
                <w:i/>
              </w:rPr>
            </w:pPr>
            <w:r w:rsidRPr="008E69D1">
              <w:rPr>
                <w:i/>
              </w:rPr>
              <w:t>If “yes, but there were fewer tha</w:t>
            </w:r>
            <w:r w:rsidRPr="009E3864">
              <w:rPr>
                <w:i/>
              </w:rPr>
              <w:t xml:space="preserve">n </w:t>
            </w:r>
            <w:r w:rsidR="00E01119">
              <w:rPr>
                <w:i/>
              </w:rPr>
              <w:t>30</w:t>
            </w:r>
            <w:r w:rsidRPr="008E69D1">
              <w:rPr>
                <w:i/>
              </w:rPr>
              <w:t xml:space="preserve"> outpatients discharged for the reporting period</w:t>
            </w:r>
            <w:r w:rsidR="005D3955">
              <w:rPr>
                <w:i/>
              </w:rPr>
              <w:t>,</w:t>
            </w:r>
            <w:r w:rsidRPr="008E69D1">
              <w:rPr>
                <w:i/>
              </w:rPr>
              <w:t>” skip questions #3-7 and continue to the next subsection.</w:t>
            </w:r>
            <w:r>
              <w:rPr>
                <w:i/>
              </w:rPr>
              <w:t xml:space="preserve"> The hospital will be scored as “Unable to Calculate Score.”</w:t>
            </w:r>
          </w:p>
        </w:tc>
        <w:tc>
          <w:tcPr>
            <w:tcW w:w="2875" w:type="dxa"/>
            <w:tcMar>
              <w:top w:w="72" w:type="dxa"/>
              <w:left w:w="115" w:type="dxa"/>
              <w:bottom w:w="72" w:type="dxa"/>
              <w:right w:w="115" w:type="dxa"/>
            </w:tcMar>
            <w:vAlign w:val="center"/>
          </w:tcPr>
          <w:p w14:paraId="045C8559" w14:textId="0F257A4E" w:rsidR="007206A4" w:rsidRPr="00E01307" w:rsidRDefault="007206A4" w:rsidP="00AD309C">
            <w:pPr>
              <w:pStyle w:val="ListParagraph"/>
              <w:numPr>
                <w:ilvl w:val="0"/>
                <w:numId w:val="346"/>
              </w:numPr>
            </w:pPr>
            <w:r w:rsidRPr="00E01307">
              <w:t>Yes</w:t>
            </w:r>
          </w:p>
          <w:p w14:paraId="454E3A12" w14:textId="424BC77B" w:rsidR="007206A4" w:rsidRPr="00E01307" w:rsidRDefault="007206A4" w:rsidP="00AD309C">
            <w:pPr>
              <w:pStyle w:val="ListParagraph"/>
              <w:numPr>
                <w:ilvl w:val="0"/>
                <w:numId w:val="346"/>
              </w:numPr>
            </w:pPr>
            <w:r w:rsidRPr="00E01307">
              <w:t>No</w:t>
            </w:r>
          </w:p>
          <w:p w14:paraId="6516A904" w14:textId="63E383C0" w:rsidR="007206A4" w:rsidRPr="00E01307" w:rsidRDefault="007206A4" w:rsidP="00AD309C">
            <w:pPr>
              <w:pStyle w:val="ListParagraph"/>
              <w:numPr>
                <w:ilvl w:val="0"/>
                <w:numId w:val="346"/>
              </w:numPr>
            </w:pPr>
            <w:r w:rsidRPr="00E01307">
              <w:t xml:space="preserve">Yes, but there were fewer than </w:t>
            </w:r>
            <w:r w:rsidR="00E01119" w:rsidRPr="00E01307">
              <w:t>30</w:t>
            </w:r>
            <w:r w:rsidRPr="00E01307">
              <w:t xml:space="preserve"> </w:t>
            </w:r>
            <w:r w:rsidR="005B194A" w:rsidRPr="00E01307">
              <w:t>out</w:t>
            </w:r>
            <w:r w:rsidRPr="00E01307">
              <w:t>patients discharged for the reporting period</w:t>
            </w:r>
          </w:p>
        </w:tc>
      </w:tr>
      <w:tr w:rsidR="005F71F9" w:rsidRPr="008E69D1" w14:paraId="035C194A" w14:textId="77777777" w:rsidTr="00C57E28">
        <w:trPr>
          <w:trHeight w:val="20"/>
        </w:trPr>
        <w:tc>
          <w:tcPr>
            <w:tcW w:w="6475" w:type="dxa"/>
            <w:tcMar>
              <w:top w:w="72" w:type="dxa"/>
              <w:left w:w="115" w:type="dxa"/>
              <w:bottom w:w="72" w:type="dxa"/>
              <w:right w:w="115" w:type="dxa"/>
            </w:tcMar>
            <w:vAlign w:val="center"/>
          </w:tcPr>
          <w:p w14:paraId="21F24083" w14:textId="0CBD91D9" w:rsidR="005F71F9" w:rsidRPr="008E69D1" w:rsidRDefault="005F71F9" w:rsidP="00AD309C">
            <w:pPr>
              <w:pStyle w:val="ListParagraph"/>
              <w:numPr>
                <w:ilvl w:val="0"/>
                <w:numId w:val="92"/>
              </w:numPr>
            </w:pPr>
            <w:r w:rsidRPr="008E69D1">
              <w:t xml:space="preserve">Number of cases measured (either all cases or a </w:t>
            </w:r>
            <w:hyperlink w:anchor="MedAllergySufficientSample" w:history="1">
              <w:r w:rsidRPr="00552BD5">
                <w:rPr>
                  <w:rStyle w:val="Hyperlink"/>
                </w:rPr>
                <w:t>sufficient sample</w:t>
              </w:r>
            </w:hyperlink>
            <w:r w:rsidRPr="008E69D1">
              <w:t xml:space="preserve"> of them)</w:t>
            </w:r>
            <w:r w:rsidR="00C57E28">
              <w:t>:</w:t>
            </w:r>
          </w:p>
        </w:tc>
        <w:tc>
          <w:tcPr>
            <w:tcW w:w="2875" w:type="dxa"/>
            <w:tcMar>
              <w:top w:w="72" w:type="dxa"/>
              <w:left w:w="115" w:type="dxa"/>
              <w:bottom w:w="72" w:type="dxa"/>
              <w:right w:w="115" w:type="dxa"/>
            </w:tcMar>
            <w:vAlign w:val="center"/>
          </w:tcPr>
          <w:p w14:paraId="65A19849" w14:textId="77777777" w:rsidR="005F71F9" w:rsidRPr="008E69D1" w:rsidRDefault="005F71F9" w:rsidP="007E3058">
            <w:pPr>
              <w:jc w:val="center"/>
            </w:pPr>
            <w:r w:rsidRPr="008E69D1">
              <w:t>_____</w:t>
            </w:r>
          </w:p>
        </w:tc>
      </w:tr>
      <w:tr w:rsidR="007206A4" w:rsidRPr="008E69D1" w14:paraId="7BDD0584" w14:textId="77777777" w:rsidTr="007E3058">
        <w:tc>
          <w:tcPr>
            <w:tcW w:w="6475" w:type="dxa"/>
            <w:tcMar>
              <w:top w:w="72" w:type="dxa"/>
              <w:left w:w="115" w:type="dxa"/>
              <w:bottom w:w="72" w:type="dxa"/>
              <w:right w:w="115" w:type="dxa"/>
            </w:tcMar>
            <w:vAlign w:val="center"/>
          </w:tcPr>
          <w:p w14:paraId="7F42ED84" w14:textId="273CA553" w:rsidR="007206A4" w:rsidRPr="008E69D1" w:rsidRDefault="007206A4" w:rsidP="00AD309C">
            <w:pPr>
              <w:pStyle w:val="ListParagraph"/>
              <w:numPr>
                <w:ilvl w:val="0"/>
                <w:numId w:val="92"/>
              </w:numPr>
            </w:pPr>
            <w:r w:rsidRPr="008E69D1">
              <w:t xml:space="preserve">Number of </w:t>
            </w:r>
            <w:r w:rsidR="005F71F9" w:rsidRPr="008E69D1">
              <w:t>cases in question #</w:t>
            </w:r>
            <w:r w:rsidR="00AE16E8" w:rsidRPr="008E69D1">
              <w:t>3</w:t>
            </w:r>
            <w:r w:rsidR="005F71F9" w:rsidRPr="008E69D1">
              <w:t xml:space="preserve"> with a list of</w:t>
            </w:r>
            <w:r w:rsidR="00406429" w:rsidRPr="00406429">
              <w:rPr>
                <w:b/>
              </w:rPr>
              <w:t xml:space="preserve"> all</w:t>
            </w:r>
            <w:r w:rsidR="005F71F9" w:rsidRPr="008E69D1">
              <w:t xml:space="preserve"> </w:t>
            </w:r>
            <w:hyperlink w:anchor="MedSafety_HomeMedications" w:history="1">
              <w:r w:rsidR="005F71F9" w:rsidRPr="00C05655">
                <w:rPr>
                  <w:rStyle w:val="Hyperlink"/>
                  <w:b/>
                </w:rPr>
                <w:t>home medication(s)</w:t>
              </w:r>
            </w:hyperlink>
            <w:r w:rsidR="005F71F9" w:rsidRPr="008E69D1">
              <w:rPr>
                <w:b/>
              </w:rPr>
              <w:t xml:space="preserve">, </w:t>
            </w:r>
            <w:r w:rsidR="005F71F9" w:rsidRPr="008E69D1">
              <w:t xml:space="preserve">including dose, route, and frequency, </w:t>
            </w:r>
            <w:r w:rsidR="00C16AC6" w:rsidRPr="00C16AC6">
              <w:t>documented</w:t>
            </w:r>
            <w:r w:rsidR="005F71F9" w:rsidRPr="008E69D1">
              <w:t xml:space="preserve"> in the clinical record</w:t>
            </w:r>
            <w:r w:rsidR="00C57E28">
              <w:t>:</w:t>
            </w:r>
          </w:p>
        </w:tc>
        <w:tc>
          <w:tcPr>
            <w:tcW w:w="2875" w:type="dxa"/>
            <w:tcMar>
              <w:top w:w="72" w:type="dxa"/>
              <w:left w:w="115" w:type="dxa"/>
              <w:bottom w:w="72" w:type="dxa"/>
              <w:right w:w="115" w:type="dxa"/>
            </w:tcMar>
            <w:vAlign w:val="center"/>
          </w:tcPr>
          <w:p w14:paraId="459EE5A7" w14:textId="77777777" w:rsidR="007206A4" w:rsidRPr="008E69D1" w:rsidRDefault="007206A4" w:rsidP="007E3058">
            <w:pPr>
              <w:jc w:val="center"/>
            </w:pPr>
            <w:r w:rsidRPr="008E69D1">
              <w:t>_____</w:t>
            </w:r>
          </w:p>
        </w:tc>
      </w:tr>
      <w:tr w:rsidR="007206A4" w:rsidRPr="008E69D1" w14:paraId="6DA5C26F" w14:textId="77777777" w:rsidTr="007E3058">
        <w:tc>
          <w:tcPr>
            <w:tcW w:w="6475" w:type="dxa"/>
            <w:tcMar>
              <w:top w:w="72" w:type="dxa"/>
              <w:left w:w="115" w:type="dxa"/>
              <w:bottom w:w="72" w:type="dxa"/>
              <w:right w:w="115" w:type="dxa"/>
            </w:tcMar>
            <w:vAlign w:val="center"/>
          </w:tcPr>
          <w:p w14:paraId="69298E97" w14:textId="6C8D5C71" w:rsidR="007206A4" w:rsidRPr="008E69D1" w:rsidRDefault="007206A4" w:rsidP="00AD309C">
            <w:pPr>
              <w:pStyle w:val="ListParagraph"/>
              <w:numPr>
                <w:ilvl w:val="0"/>
                <w:numId w:val="92"/>
              </w:numPr>
            </w:pPr>
            <w:r w:rsidRPr="008E69D1">
              <w:t xml:space="preserve">Number </w:t>
            </w:r>
            <w:r w:rsidR="005F71F9" w:rsidRPr="008E69D1">
              <w:t>of cases in question #</w:t>
            </w:r>
            <w:r w:rsidR="00AE16E8" w:rsidRPr="008E69D1">
              <w:t>3</w:t>
            </w:r>
            <w:r w:rsidR="005F71F9" w:rsidRPr="008E69D1">
              <w:t xml:space="preserve"> with a list of </w:t>
            </w:r>
            <w:r w:rsidR="00406429">
              <w:rPr>
                <w:b/>
              </w:rPr>
              <w:t>all</w:t>
            </w:r>
            <w:r w:rsidR="005F71F9" w:rsidRPr="008E69D1">
              <w:rPr>
                <w:b/>
              </w:rPr>
              <w:t xml:space="preserve"> </w:t>
            </w:r>
            <w:hyperlink w:anchor="medadminvisits_q5" w:history="1">
              <w:r w:rsidR="005F71F9" w:rsidRPr="006B6C45">
                <w:rPr>
                  <w:rStyle w:val="Hyperlink"/>
                  <w:b/>
                </w:rPr>
                <w:t xml:space="preserve">medication(s) </w:t>
              </w:r>
              <w:r w:rsidR="008E7151" w:rsidRPr="006B6C45">
                <w:rPr>
                  <w:rStyle w:val="Hyperlink"/>
                  <w:b/>
                </w:rPr>
                <w:t xml:space="preserve">administered during the visit </w:t>
              </w:r>
              <w:r w:rsidR="005E46D5" w:rsidRPr="006B6C45">
                <w:rPr>
                  <w:rStyle w:val="Hyperlink"/>
                  <w:b/>
                </w:rPr>
                <w:t>and</w:t>
              </w:r>
              <w:r w:rsidR="008E7151" w:rsidRPr="006B6C45">
                <w:rPr>
                  <w:rStyle w:val="Hyperlink"/>
                  <w:b/>
                </w:rPr>
                <w:t xml:space="preserve"> </w:t>
              </w:r>
              <w:r w:rsidR="00B06AA6" w:rsidRPr="006B6C45">
                <w:rPr>
                  <w:rStyle w:val="Hyperlink"/>
                  <w:b/>
                </w:rPr>
                <w:t xml:space="preserve">new medications </w:t>
              </w:r>
              <w:r w:rsidR="005F71F9" w:rsidRPr="006B6C45">
                <w:rPr>
                  <w:rStyle w:val="Hyperlink"/>
                  <w:b/>
                </w:rPr>
                <w:t xml:space="preserve">prescribed </w:t>
              </w:r>
              <w:r w:rsidR="005974A3" w:rsidRPr="006B6C45">
                <w:rPr>
                  <w:rStyle w:val="Hyperlink"/>
                  <w:b/>
                </w:rPr>
                <w:t>at discharge</w:t>
              </w:r>
            </w:hyperlink>
            <w:r w:rsidR="005F71F9" w:rsidRPr="008E69D1">
              <w:t xml:space="preserve">, including the strength, dose, route, date, and time </w:t>
            </w:r>
            <w:r w:rsidR="005B194A" w:rsidRPr="008E69D1">
              <w:t xml:space="preserve">of </w:t>
            </w:r>
            <w:r w:rsidR="005F71F9" w:rsidRPr="008E69D1">
              <w:t>administration, documented in the clinical record</w:t>
            </w:r>
            <w:r w:rsidR="00C57E28">
              <w:t>:</w:t>
            </w:r>
          </w:p>
        </w:tc>
        <w:tc>
          <w:tcPr>
            <w:tcW w:w="2875" w:type="dxa"/>
            <w:tcMar>
              <w:top w:w="72" w:type="dxa"/>
              <w:left w:w="115" w:type="dxa"/>
              <w:bottom w:w="72" w:type="dxa"/>
              <w:right w:w="115" w:type="dxa"/>
            </w:tcMar>
            <w:vAlign w:val="center"/>
          </w:tcPr>
          <w:p w14:paraId="7A501796" w14:textId="77777777" w:rsidR="007206A4" w:rsidRPr="008E69D1" w:rsidRDefault="007206A4" w:rsidP="007E3058">
            <w:pPr>
              <w:jc w:val="center"/>
            </w:pPr>
            <w:r w:rsidRPr="008E69D1">
              <w:t>_____</w:t>
            </w:r>
          </w:p>
        </w:tc>
      </w:tr>
      <w:tr w:rsidR="005F71F9" w:rsidRPr="008E69D1" w14:paraId="1006A79F" w14:textId="77777777" w:rsidTr="007E3058">
        <w:tc>
          <w:tcPr>
            <w:tcW w:w="6475" w:type="dxa"/>
            <w:tcMar>
              <w:top w:w="72" w:type="dxa"/>
              <w:left w:w="115" w:type="dxa"/>
              <w:bottom w:w="72" w:type="dxa"/>
              <w:right w:w="115" w:type="dxa"/>
            </w:tcMar>
            <w:vAlign w:val="center"/>
          </w:tcPr>
          <w:p w14:paraId="0B2120BA" w14:textId="1BB13024" w:rsidR="005F71F9" w:rsidRPr="008E69D1" w:rsidRDefault="005F71F9" w:rsidP="00AD309C">
            <w:pPr>
              <w:pStyle w:val="ListParagraph"/>
              <w:numPr>
                <w:ilvl w:val="0"/>
                <w:numId w:val="92"/>
              </w:numPr>
            </w:pPr>
            <w:r w:rsidRPr="008E69D1">
              <w:t>Number of cases in question #</w:t>
            </w:r>
            <w:r w:rsidR="00AE16E8" w:rsidRPr="008E69D1">
              <w:t>3</w:t>
            </w:r>
            <w:r w:rsidRPr="008E69D1">
              <w:t xml:space="preserve"> with a list of</w:t>
            </w:r>
            <w:r w:rsidR="00406429">
              <w:t xml:space="preserve"> </w:t>
            </w:r>
            <w:r w:rsidR="00406429" w:rsidRPr="00406429">
              <w:rPr>
                <w:b/>
              </w:rPr>
              <w:t>all</w:t>
            </w:r>
            <w:r w:rsidRPr="00406429">
              <w:rPr>
                <w:b/>
              </w:rPr>
              <w:t xml:space="preserve"> </w:t>
            </w:r>
            <w:r w:rsidR="00B07FED">
              <w:rPr>
                <w:b/>
              </w:rPr>
              <w:t xml:space="preserve">medication </w:t>
            </w:r>
            <w:hyperlink w:anchor="medadverse_q6" w:history="1">
              <w:r w:rsidRPr="003E3FF6">
                <w:rPr>
                  <w:rStyle w:val="Hyperlink"/>
                  <w:b/>
                </w:rPr>
                <w:t>allergies and adverse reaction</w:t>
              </w:r>
              <w:r w:rsidR="00520DEC" w:rsidRPr="003E3FF6">
                <w:rPr>
                  <w:rStyle w:val="Hyperlink"/>
                  <w:b/>
                </w:rPr>
                <w:t>(s)</w:t>
              </w:r>
            </w:hyperlink>
            <w:r w:rsidRPr="008E69D1">
              <w:rPr>
                <w:b/>
              </w:rPr>
              <w:t xml:space="preserve"> </w:t>
            </w:r>
            <w:r w:rsidRPr="008E69D1">
              <w:t>documented in the clinical record</w:t>
            </w:r>
            <w:r w:rsidR="00C57E28">
              <w:t>:</w:t>
            </w:r>
          </w:p>
        </w:tc>
        <w:tc>
          <w:tcPr>
            <w:tcW w:w="2875" w:type="dxa"/>
            <w:tcMar>
              <w:top w:w="72" w:type="dxa"/>
              <w:left w:w="115" w:type="dxa"/>
              <w:bottom w:w="72" w:type="dxa"/>
              <w:right w:w="115" w:type="dxa"/>
            </w:tcMar>
            <w:vAlign w:val="center"/>
          </w:tcPr>
          <w:p w14:paraId="10F1318D" w14:textId="77777777" w:rsidR="005F71F9" w:rsidRPr="008E69D1" w:rsidRDefault="005F71F9" w:rsidP="007E3058">
            <w:pPr>
              <w:jc w:val="center"/>
            </w:pPr>
            <w:r w:rsidRPr="008E69D1">
              <w:t>_____</w:t>
            </w:r>
          </w:p>
        </w:tc>
      </w:tr>
      <w:tr w:rsidR="007206A4" w:rsidRPr="008E69D1" w14:paraId="2F86F8D2" w14:textId="77777777" w:rsidTr="007E3058">
        <w:tc>
          <w:tcPr>
            <w:tcW w:w="6475" w:type="dxa"/>
            <w:tcMar>
              <w:top w:w="72" w:type="dxa"/>
              <w:left w:w="115" w:type="dxa"/>
              <w:bottom w:w="72" w:type="dxa"/>
              <w:right w:w="115" w:type="dxa"/>
            </w:tcMar>
            <w:vAlign w:val="center"/>
          </w:tcPr>
          <w:p w14:paraId="7BB256C7" w14:textId="77777777" w:rsidR="007206A4" w:rsidRPr="008E69D1" w:rsidRDefault="007206A4" w:rsidP="00AD309C">
            <w:pPr>
              <w:pStyle w:val="ListParagraph"/>
              <w:numPr>
                <w:ilvl w:val="0"/>
                <w:numId w:val="92"/>
              </w:numPr>
            </w:pPr>
            <w:r w:rsidRPr="008E69D1">
              <w:t xml:space="preserve">Do the responses in </w:t>
            </w:r>
            <w:r w:rsidR="004A56F9" w:rsidRPr="008E69D1">
              <w:t>questions #3-6 represent a sample of cases</w:t>
            </w:r>
            <w:r w:rsidRPr="008E69D1">
              <w:t>?</w:t>
            </w:r>
          </w:p>
        </w:tc>
        <w:tc>
          <w:tcPr>
            <w:tcW w:w="2875" w:type="dxa"/>
            <w:tcMar>
              <w:top w:w="72" w:type="dxa"/>
              <w:left w:w="115" w:type="dxa"/>
              <w:bottom w:w="72" w:type="dxa"/>
              <w:right w:w="115" w:type="dxa"/>
            </w:tcMar>
            <w:vAlign w:val="center"/>
          </w:tcPr>
          <w:p w14:paraId="444FCD0F" w14:textId="2D2F861A" w:rsidR="007206A4" w:rsidRPr="00B44C1C" w:rsidRDefault="007206A4" w:rsidP="00AD309C">
            <w:pPr>
              <w:pStyle w:val="ListParagraph"/>
              <w:numPr>
                <w:ilvl w:val="0"/>
                <w:numId w:val="319"/>
              </w:numPr>
              <w:rPr>
                <w:iCs/>
              </w:rPr>
            </w:pPr>
            <w:r w:rsidRPr="00B44C1C">
              <w:rPr>
                <w:iCs/>
              </w:rPr>
              <w:t>Yes</w:t>
            </w:r>
          </w:p>
          <w:p w14:paraId="447AA133" w14:textId="77777777" w:rsidR="007206A4" w:rsidRPr="00B44C1C" w:rsidRDefault="007206A4" w:rsidP="00AD309C">
            <w:pPr>
              <w:pStyle w:val="ListParagraph"/>
              <w:numPr>
                <w:ilvl w:val="0"/>
                <w:numId w:val="319"/>
              </w:numPr>
              <w:rPr>
                <w:iCs/>
              </w:rPr>
            </w:pPr>
            <w:r w:rsidRPr="00B44C1C">
              <w:rPr>
                <w:iCs/>
              </w:rPr>
              <w:t>No</w:t>
            </w:r>
          </w:p>
        </w:tc>
      </w:tr>
    </w:tbl>
    <w:p w14:paraId="68045B37" w14:textId="77777777" w:rsidR="004A7EF4" w:rsidRPr="008E69D1" w:rsidRDefault="004A7EF4">
      <w:r w:rsidRPr="008E69D1">
        <w:rPr>
          <w:b/>
          <w:i/>
        </w:rPr>
        <w:br w:type="page"/>
      </w:r>
    </w:p>
    <w:p w14:paraId="183AD036" w14:textId="340243D5" w:rsidR="007E7B00" w:rsidRDefault="00FB07A6" w:rsidP="00CF5A6E">
      <w:pPr>
        <w:pStyle w:val="Heading2"/>
      </w:pPr>
      <w:bookmarkStart w:id="742" w:name="_Toc225877848"/>
      <w:r>
        <w:t>9F:</w:t>
      </w:r>
      <w:r w:rsidRPr="008E69D1">
        <w:t xml:space="preserve"> </w:t>
      </w:r>
      <w:r w:rsidR="00BD2439">
        <w:t>CMS Measures</w:t>
      </w:r>
      <w:bookmarkEnd w:id="742"/>
    </w:p>
    <w:p w14:paraId="66EF5295" w14:textId="77777777" w:rsidR="00FB07A6" w:rsidRPr="008E69D1" w:rsidRDefault="00FB07A6" w:rsidP="007E7B00">
      <w:pPr>
        <w:rPr>
          <w:rFonts w:cs="Arial"/>
          <w:color w:val="000000"/>
        </w:rPr>
      </w:pPr>
    </w:p>
    <w:p w14:paraId="2C7FD6BC" w14:textId="349FAC95" w:rsidR="000B04F4" w:rsidRDefault="000B04F4" w:rsidP="007E7B00">
      <w:pPr>
        <w:pStyle w:val="BodyText3"/>
        <w:rPr>
          <w:rFonts w:cs="Arial"/>
          <w:b/>
          <w:color w:val="FF0000"/>
        </w:rPr>
      </w:pPr>
      <w:r w:rsidRPr="008E69D1">
        <w:rPr>
          <w:rFonts w:cs="Arial"/>
          <w:b/>
          <w:color w:val="FF0000"/>
        </w:rPr>
        <w:t xml:space="preserve">This section is not applicable to </w:t>
      </w:r>
      <w:r w:rsidR="00593F54">
        <w:rPr>
          <w:rFonts w:cs="Arial"/>
          <w:b/>
          <w:color w:val="FF0000"/>
        </w:rPr>
        <w:t>p</w:t>
      </w:r>
      <w:r w:rsidRPr="008E69D1">
        <w:rPr>
          <w:rFonts w:cs="Arial"/>
          <w:b/>
          <w:color w:val="FF0000"/>
        </w:rPr>
        <w:t>ediatric hospitals.</w:t>
      </w:r>
      <w:r w:rsidRPr="00F618E7">
        <w:rPr>
          <w:rFonts w:cs="Arial"/>
          <w:b/>
          <w:color w:val="FF0000"/>
        </w:rPr>
        <w:t xml:space="preserve"> </w:t>
      </w:r>
    </w:p>
    <w:p w14:paraId="223715C5" w14:textId="77777777" w:rsidR="007E7B00" w:rsidRDefault="007E7B00" w:rsidP="008E7151">
      <w:pPr>
        <w:pStyle w:val="BodyText3"/>
        <w:rPr>
          <w:rFonts w:cs="Arial"/>
          <w:snapToGrid w:val="0"/>
        </w:rPr>
      </w:pPr>
    </w:p>
    <w:p w14:paraId="364AE056" w14:textId="320C99FE" w:rsidR="00A715C8" w:rsidRDefault="00A715C8" w:rsidP="007E7B00">
      <w:pPr>
        <w:rPr>
          <w:rFonts w:cs="Arial"/>
          <w:snapToGrid w:val="0"/>
        </w:rPr>
      </w:pPr>
      <w:r w:rsidRPr="009A5185">
        <w:rPr>
          <w:rFonts w:cs="Arial"/>
          <w:b/>
        </w:rPr>
        <w:t xml:space="preserve">Specifications: </w:t>
      </w:r>
      <w:r w:rsidRPr="009A5185">
        <w:rPr>
          <w:rFonts w:cs="Arial"/>
          <w:snapToGrid w:val="0"/>
        </w:rPr>
        <w:t xml:space="preserve">See </w:t>
      </w:r>
      <w:hyperlink w:anchor="_Patient_Experience_(OAS" w:history="1">
        <w:r w:rsidR="003C2DB1">
          <w:rPr>
            <w:rStyle w:val="Hyperlink"/>
            <w:rFonts w:cs="Arial"/>
            <w:b/>
            <w:i/>
            <w:snapToGrid w:val="0"/>
          </w:rPr>
          <w:t>CMS</w:t>
        </w:r>
        <w:r>
          <w:rPr>
            <w:rStyle w:val="Hyperlink"/>
            <w:rFonts w:cs="Arial"/>
            <w:b/>
            <w:i/>
            <w:snapToGrid w:val="0"/>
          </w:rPr>
          <w:t xml:space="preserve"> </w:t>
        </w:r>
        <w:r w:rsidR="003C2DB1">
          <w:rPr>
            <w:rStyle w:val="Hyperlink"/>
            <w:rFonts w:cs="Arial"/>
            <w:b/>
            <w:i/>
            <w:snapToGrid w:val="0"/>
          </w:rPr>
          <w:t xml:space="preserve">Measures </w:t>
        </w:r>
        <w:r>
          <w:rPr>
            <w:rStyle w:val="Hyperlink"/>
            <w:rFonts w:cs="Arial"/>
            <w:b/>
            <w:i/>
            <w:snapToGrid w:val="0"/>
          </w:rPr>
          <w:t>Measure Specifications</w:t>
        </w:r>
      </w:hyperlink>
      <w:r w:rsidRPr="009A5185">
        <w:rPr>
          <w:rFonts w:cs="Arial"/>
          <w:snapToGrid w:val="0"/>
        </w:rPr>
        <w:t xml:space="preserve"> in the Reference Information </w:t>
      </w:r>
      <w:r w:rsidR="00BF3C8D">
        <w:rPr>
          <w:rFonts w:cs="Arial"/>
        </w:rPr>
        <w:t>beginning on page</w:t>
      </w:r>
      <w:r w:rsidR="007506DE">
        <w:rPr>
          <w:rFonts w:cs="Arial"/>
        </w:rPr>
        <w:t xml:space="preserve"> 33</w:t>
      </w:r>
      <w:r w:rsidR="00D40C9E">
        <w:rPr>
          <w:rFonts w:cs="Arial"/>
        </w:rPr>
        <w:t>4</w:t>
      </w:r>
      <w:r w:rsidR="00BF3C8D">
        <w:rPr>
          <w:rFonts w:cs="Arial"/>
        </w:rPr>
        <w:t>.</w:t>
      </w:r>
    </w:p>
    <w:p w14:paraId="301766EC" w14:textId="77777777" w:rsidR="007E7B00" w:rsidRDefault="007E7B00" w:rsidP="007E7B00">
      <w:pPr>
        <w:rPr>
          <w:rFonts w:cs="Arial"/>
          <w:snapToGrid w:val="0"/>
        </w:rPr>
      </w:pPr>
    </w:p>
    <w:p w14:paraId="24CBD745" w14:textId="55A5DFF4" w:rsidR="004F0509" w:rsidRDefault="00B46EFA" w:rsidP="004F0509">
      <w:pPr>
        <w:rPr>
          <w:szCs w:val="24"/>
        </w:rPr>
      </w:pPr>
      <w:r w:rsidRPr="00B46EFA">
        <w:rPr>
          <w:noProof/>
          <w:szCs w:val="24"/>
        </w:rPr>
        <mc:AlternateContent>
          <mc:Choice Requires="wps">
            <w:drawing>
              <wp:inline distT="0" distB="0" distL="0" distR="0" wp14:anchorId="578D6CBB" wp14:editId="606D24F3">
                <wp:extent cx="5923722" cy="1404620"/>
                <wp:effectExtent l="0" t="0" r="20320" b="12700"/>
                <wp:docPr id="49" name="Text Box 49" descr="P11750TB37#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3722" cy="1404620"/>
                        </a:xfrm>
                        <a:prstGeom prst="rect">
                          <a:avLst/>
                        </a:prstGeom>
                        <a:solidFill>
                          <a:srgbClr val="FFFFFF"/>
                        </a:solidFill>
                        <a:ln w="9525">
                          <a:solidFill>
                            <a:srgbClr val="FF0000"/>
                          </a:solidFill>
                          <a:miter lim="800000"/>
                          <a:headEnd/>
                          <a:tailEnd/>
                        </a:ln>
                      </wps:spPr>
                      <wps:txbx>
                        <w:txbxContent>
                          <w:p w14:paraId="246EFBCF" w14:textId="26140D0E" w:rsidR="00B46EFA" w:rsidRPr="009A5185" w:rsidRDefault="00EB233D" w:rsidP="00B46EFA">
                            <w:pPr>
                              <w:spacing w:before="120"/>
                              <w:rPr>
                                <w:rFonts w:cs="Arial"/>
                                <w:b/>
                                <w:snapToGrid w:val="0"/>
                              </w:rPr>
                            </w:pPr>
                            <w:r>
                              <w:rPr>
                                <w:rFonts w:cs="Arial"/>
                                <w:b/>
                                <w:snapToGrid w:val="0"/>
                              </w:rPr>
                              <w:t xml:space="preserve">OP-32 </w:t>
                            </w:r>
                            <w:r w:rsidR="00B46EFA" w:rsidRPr="009A5185">
                              <w:rPr>
                                <w:rFonts w:cs="Arial"/>
                                <w:b/>
                                <w:snapToGrid w:val="0"/>
                              </w:rPr>
                              <w:t xml:space="preserve">Reporting Period: </w:t>
                            </w:r>
                            <w:r w:rsidR="00042347">
                              <w:rPr>
                                <w:rFonts w:cs="Arial"/>
                                <w:b/>
                                <w:snapToGrid w:val="0"/>
                              </w:rPr>
                              <w:t>24</w:t>
                            </w:r>
                            <w:r w:rsidR="00B46EFA" w:rsidRPr="009A5185">
                              <w:rPr>
                                <w:rFonts w:cs="Arial"/>
                                <w:b/>
                                <w:snapToGrid w:val="0"/>
                              </w:rPr>
                              <w:t xml:space="preserve"> months</w:t>
                            </w:r>
                          </w:p>
                          <w:p w14:paraId="6FD44722" w14:textId="13E7425F" w:rsidR="00EB233D" w:rsidRPr="00566B35" w:rsidRDefault="00E740A8" w:rsidP="00523082">
                            <w:pPr>
                              <w:pStyle w:val="ListParagraph"/>
                              <w:numPr>
                                <w:ilvl w:val="0"/>
                                <w:numId w:val="440"/>
                              </w:numPr>
                              <w:rPr>
                                <w:rFonts w:cs="Arial"/>
                              </w:rPr>
                            </w:pPr>
                            <w:r>
                              <w:rPr>
                                <w:rFonts w:cs="Arial"/>
                              </w:rPr>
                              <w:t>All data downloads</w:t>
                            </w:r>
                            <w:r w:rsidR="00F30601">
                              <w:rPr>
                                <w:rFonts w:cs="Arial"/>
                              </w:rPr>
                              <w:t>:</w:t>
                            </w:r>
                            <w:r>
                              <w:rPr>
                                <w:rFonts w:cs="Arial"/>
                              </w:rPr>
                              <w:t xml:space="preserve"> </w:t>
                            </w:r>
                            <w:r w:rsidRPr="00303AA5">
                              <w:rPr>
                                <w:rFonts w:cs="Arial"/>
                              </w:rPr>
                              <w:t>1/1/2022 - 12/31/2024</w:t>
                            </w:r>
                          </w:p>
                          <w:p w14:paraId="2570E687" w14:textId="77777777" w:rsidR="00042347" w:rsidRDefault="00042347" w:rsidP="00B46EFA">
                            <w:pPr>
                              <w:rPr>
                                <w:rFonts w:cs="Arial"/>
                                <w:snapToGrid w:val="0"/>
                              </w:rPr>
                            </w:pPr>
                          </w:p>
                          <w:p w14:paraId="6A829704" w14:textId="77777777" w:rsidR="00EB233D" w:rsidRPr="00731A0D" w:rsidRDefault="00EB233D" w:rsidP="00EB233D">
                            <w:pPr>
                              <w:ind w:right="-108"/>
                              <w:rPr>
                                <w:rFonts w:cs="Arial"/>
                              </w:rPr>
                            </w:pPr>
                            <w:r>
                              <w:rPr>
                                <w:rFonts w:cs="Arial"/>
                                <w:b/>
                                <w:snapToGrid w:val="0"/>
                              </w:rPr>
                              <w:t xml:space="preserve">OAS CAHPS </w:t>
                            </w:r>
                            <w:r w:rsidRPr="00731A0D">
                              <w:rPr>
                                <w:rFonts w:cs="Arial"/>
                                <w:b/>
                                <w:snapToGrid w:val="0"/>
                              </w:rPr>
                              <w:t xml:space="preserve">Reporting Period: </w:t>
                            </w:r>
                            <w:r>
                              <w:rPr>
                                <w:rFonts w:cs="Arial"/>
                                <w:b/>
                                <w:snapToGrid w:val="0"/>
                              </w:rPr>
                              <w:t>12 months</w:t>
                            </w:r>
                          </w:p>
                          <w:p w14:paraId="13D5FB0C" w14:textId="1F608077" w:rsidR="005C392B" w:rsidRPr="005C392B" w:rsidRDefault="005C392B" w:rsidP="005C392B">
                            <w:pPr>
                              <w:pStyle w:val="NoSpacing"/>
                              <w:numPr>
                                <w:ilvl w:val="0"/>
                                <w:numId w:val="440"/>
                              </w:numPr>
                              <w:rPr>
                                <w:rFonts w:ascii="Arial" w:hAnsi="Arial" w:cs="Arial"/>
                                <w:sz w:val="20"/>
                                <w:szCs w:val="20"/>
                              </w:rPr>
                            </w:pPr>
                            <w:r w:rsidRPr="005C392B">
                              <w:rPr>
                                <w:rFonts w:ascii="Arial" w:hAnsi="Arial" w:cs="Arial"/>
                                <w:sz w:val="20"/>
                                <w:szCs w:val="20"/>
                              </w:rPr>
                              <w:t>June Data Download: 7/1/2024 - 6/30/2025</w:t>
                            </w:r>
                          </w:p>
                          <w:p w14:paraId="130CBD39" w14:textId="77777777" w:rsidR="005C392B" w:rsidRPr="005C392B" w:rsidRDefault="005C392B" w:rsidP="005C392B">
                            <w:pPr>
                              <w:pStyle w:val="NoSpacing"/>
                              <w:numPr>
                                <w:ilvl w:val="0"/>
                                <w:numId w:val="440"/>
                              </w:numPr>
                              <w:rPr>
                                <w:rFonts w:ascii="Arial" w:hAnsi="Arial" w:cs="Arial"/>
                                <w:sz w:val="20"/>
                                <w:szCs w:val="20"/>
                              </w:rPr>
                            </w:pPr>
                            <w:r w:rsidRPr="005C392B">
                              <w:rPr>
                                <w:rFonts w:ascii="Arial" w:hAnsi="Arial" w:cs="Arial"/>
                                <w:sz w:val="20"/>
                                <w:szCs w:val="20"/>
                              </w:rPr>
                              <w:t>August Data Download: 10/1/2024 - 9/30/2025</w:t>
                            </w:r>
                          </w:p>
                          <w:p w14:paraId="4B49C5F0" w14:textId="6AC40095" w:rsidR="00EB233D" w:rsidRPr="00523082" w:rsidRDefault="005C392B" w:rsidP="00523082">
                            <w:pPr>
                              <w:pStyle w:val="NoSpacing"/>
                              <w:numPr>
                                <w:ilvl w:val="0"/>
                                <w:numId w:val="440"/>
                              </w:numPr>
                              <w:rPr>
                                <w:rFonts w:cs="Arial"/>
                              </w:rPr>
                            </w:pPr>
                            <w:r w:rsidRPr="00523082">
                              <w:rPr>
                                <w:rFonts w:ascii="Arial" w:hAnsi="Arial" w:cs="Arial"/>
                                <w:sz w:val="20"/>
                                <w:szCs w:val="20"/>
                              </w:rPr>
                              <w:t>November Data Download: 1/1/2025 - 12/31/2025</w:t>
                            </w:r>
                          </w:p>
                          <w:p w14:paraId="46E1A87C" w14:textId="77777777" w:rsidR="00B46EFA" w:rsidRPr="00993ACE" w:rsidRDefault="00B46EFA" w:rsidP="00B46EFA">
                            <w:pPr>
                              <w:rPr>
                                <w:rFonts w:cs="Arial"/>
                                <w:snapToGrid w:val="0"/>
                              </w:rPr>
                            </w:pPr>
                          </w:p>
                          <w:p w14:paraId="2EF1D46C" w14:textId="54A0151E" w:rsidR="00B46EFA" w:rsidRDefault="00440BFB" w:rsidP="00440BFB">
                            <w:r w:rsidRPr="002C706C">
                              <w:rPr>
                                <w:rFonts w:cs="Arial"/>
                                <w:i/>
                                <w:snapToGrid w:val="0"/>
                                <w:sz w:val="16"/>
                                <w:szCs w:val="16"/>
                              </w:rPr>
                              <w:t xml:space="preserve">Leapfrog will update data three times per Survey Cycle for hospitals that have provided an accurate CCN in the Hospital Profile and </w:t>
                            </w:r>
                            <w:r w:rsidRPr="009D41D6">
                              <w:rPr>
                                <w:rFonts w:cs="Arial"/>
                                <w:i/>
                                <w:snapToGrid w:val="0"/>
                                <w:sz w:val="16"/>
                                <w:szCs w:val="16"/>
                              </w:rPr>
                              <w:t>report performing</w:t>
                            </w:r>
                            <w:r w:rsidR="00125D59">
                              <w:rPr>
                                <w:rFonts w:cs="Arial"/>
                                <w:i/>
                                <w:snapToGrid w:val="0"/>
                                <w:sz w:val="16"/>
                                <w:szCs w:val="16"/>
                              </w:rPr>
                              <w:t xml:space="preserve"> </w:t>
                            </w:r>
                            <w:r w:rsidR="009B175A">
                              <w:rPr>
                                <w:rFonts w:cs="Arial"/>
                                <w:i/>
                                <w:snapToGrid w:val="0"/>
                                <w:sz w:val="16"/>
                                <w:szCs w:val="16"/>
                              </w:rPr>
                              <w:t xml:space="preserve">outpatient </w:t>
                            </w:r>
                            <w:r w:rsidRPr="009D41D6">
                              <w:rPr>
                                <w:rFonts w:cs="Arial"/>
                                <w:i/>
                                <w:snapToGrid w:val="0"/>
                                <w:sz w:val="16"/>
                                <w:szCs w:val="16"/>
                              </w:rPr>
                              <w:t xml:space="preserve">procedures </w:t>
                            </w:r>
                            <w:r w:rsidR="00125D59" w:rsidRPr="00990501">
                              <w:rPr>
                                <w:rFonts w:cs="Arial"/>
                                <w:i/>
                                <w:snapToGrid w:val="0"/>
                                <w:sz w:val="16"/>
                                <w:szCs w:val="16"/>
                              </w:rPr>
                              <w:t>in Section 9A Basic Outpatient Department Information</w:t>
                            </w:r>
                            <w:r w:rsidR="00125D59">
                              <w:rPr>
                                <w:rFonts w:cs="Arial"/>
                                <w:i/>
                                <w:snapToGrid w:val="0"/>
                                <w:sz w:val="16"/>
                                <w:szCs w:val="16"/>
                              </w:rPr>
                              <w:t>.</w:t>
                            </w:r>
                          </w:p>
                        </w:txbxContent>
                      </wps:txbx>
                      <wps:bodyPr rot="0" vert="horz" wrap="square" lIns="91440" tIns="45720" rIns="91440" bIns="45720" anchor="t" anchorCtr="0">
                        <a:spAutoFit/>
                      </wps:bodyPr>
                    </wps:wsp>
                  </a:graphicData>
                </a:graphic>
              </wp:inline>
            </w:drawing>
          </mc:Choice>
          <mc:Fallback>
            <w:pict>
              <v:shape w14:anchorId="578D6CBB" id="Text Box 49" o:spid="_x0000_s1064" type="#_x0000_t202" alt="P11750TB37#y1" style="width:466.4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" strokecolor="red">
                <v:textbox style="mso-fit-shape-to-text:t">
                  <w:txbxContent>
                    <w:p w14:paraId="246EFBCF" w14:textId="26140D0E" w:rsidR="00B46EFA" w:rsidRPr="009A5185" w:rsidRDefault="00EB233D" w:rsidP="00B46EFA">
                      <w:pPr>
                        <w:spacing w:before="120"/>
                        <w:rPr>
                          <w:rFonts w:cs="Arial"/>
                          <w:b/>
                          <w:snapToGrid w:val="0"/>
                        </w:rPr>
                      </w:pPr>
                      <w:r>
                        <w:rPr>
                          <w:rFonts w:cs="Arial"/>
                          <w:b/>
                          <w:snapToGrid w:val="0"/>
                        </w:rPr>
                        <w:t xml:space="preserve">OP-32 </w:t>
                      </w:r>
                      <w:r w:rsidR="00B46EFA" w:rsidRPr="009A5185">
                        <w:rPr>
                          <w:rFonts w:cs="Arial"/>
                          <w:b/>
                          <w:snapToGrid w:val="0"/>
                        </w:rPr>
                        <w:t xml:space="preserve">Reporting Period: </w:t>
                      </w:r>
                      <w:r w:rsidR="00042347">
                        <w:rPr>
                          <w:rFonts w:cs="Arial"/>
                          <w:b/>
                          <w:snapToGrid w:val="0"/>
                        </w:rPr>
                        <w:t>24</w:t>
                      </w:r>
                      <w:r w:rsidR="00B46EFA" w:rsidRPr="009A5185">
                        <w:rPr>
                          <w:rFonts w:cs="Arial"/>
                          <w:b/>
                          <w:snapToGrid w:val="0"/>
                        </w:rPr>
                        <w:t xml:space="preserve"> months</w:t>
                      </w:r>
                    </w:p>
                    <w:p w14:paraId="6FD44722" w14:textId="13E7425F" w:rsidR="00EB233D" w:rsidRPr="00566B35" w:rsidRDefault="00E740A8" w:rsidP="00523082">
                      <w:pPr>
                        <w:pStyle w:val="ListParagraph"/>
                        <w:numPr>
                          <w:ilvl w:val="0"/>
                          <w:numId w:val="440"/>
                        </w:numPr>
                        <w:rPr>
                          <w:rFonts w:cs="Arial"/>
                        </w:rPr>
                      </w:pPr>
                      <w:r>
                        <w:rPr>
                          <w:rFonts w:cs="Arial"/>
                        </w:rPr>
                        <w:t>All data downloads</w:t>
                      </w:r>
                      <w:r w:rsidR="00F30601">
                        <w:rPr>
                          <w:rFonts w:cs="Arial"/>
                        </w:rPr>
                        <w:t>:</w:t>
                      </w:r>
                      <w:r>
                        <w:rPr>
                          <w:rFonts w:cs="Arial"/>
                        </w:rPr>
                        <w:t xml:space="preserve"> </w:t>
                      </w:r>
                      <w:r w:rsidRPr="00303AA5">
                        <w:rPr>
                          <w:rFonts w:cs="Arial"/>
                        </w:rPr>
                        <w:t>1/1/2022 - 12/31/2024</w:t>
                      </w:r>
                    </w:p>
                    <w:p w14:paraId="2570E687" w14:textId="77777777" w:rsidR="00042347" w:rsidRDefault="00042347" w:rsidP="00B46EFA">
                      <w:pPr>
                        <w:rPr>
                          <w:rFonts w:cs="Arial"/>
                          <w:snapToGrid w:val="0"/>
                        </w:rPr>
                      </w:pPr>
                    </w:p>
                    <w:p w14:paraId="6A829704" w14:textId="77777777" w:rsidR="00EB233D" w:rsidRPr="00731A0D" w:rsidRDefault="00EB233D" w:rsidP="00EB233D">
                      <w:pPr>
                        <w:ind w:right="-108"/>
                        <w:rPr>
                          <w:rFonts w:cs="Arial"/>
                        </w:rPr>
                      </w:pPr>
                      <w:r>
                        <w:rPr>
                          <w:rFonts w:cs="Arial"/>
                          <w:b/>
                          <w:snapToGrid w:val="0"/>
                        </w:rPr>
                        <w:t xml:space="preserve">OAS CAHPS </w:t>
                      </w:r>
                      <w:r w:rsidRPr="00731A0D">
                        <w:rPr>
                          <w:rFonts w:cs="Arial"/>
                          <w:b/>
                          <w:snapToGrid w:val="0"/>
                        </w:rPr>
                        <w:t xml:space="preserve">Reporting Period: </w:t>
                      </w:r>
                      <w:r>
                        <w:rPr>
                          <w:rFonts w:cs="Arial"/>
                          <w:b/>
                          <w:snapToGrid w:val="0"/>
                        </w:rPr>
                        <w:t>12 months</w:t>
                      </w:r>
                    </w:p>
                    <w:p w14:paraId="13D5FB0C" w14:textId="1F608077" w:rsidR="005C392B" w:rsidRPr="005C392B" w:rsidRDefault="005C392B" w:rsidP="005C392B">
                      <w:pPr>
                        <w:pStyle w:val="NoSpacing"/>
                        <w:numPr>
                          <w:ilvl w:val="0"/>
                          <w:numId w:val="440"/>
                        </w:numPr>
                        <w:rPr>
                          <w:rFonts w:ascii="Arial" w:hAnsi="Arial" w:cs="Arial"/>
                          <w:sz w:val="20"/>
                          <w:szCs w:val="20"/>
                        </w:rPr>
                      </w:pPr>
                      <w:r w:rsidRPr="005C392B">
                        <w:rPr>
                          <w:rFonts w:ascii="Arial" w:hAnsi="Arial" w:cs="Arial"/>
                          <w:sz w:val="20"/>
                          <w:szCs w:val="20"/>
                        </w:rPr>
                        <w:t>June Data Download: 7/1/2024 - 6/30/2025</w:t>
                      </w:r>
                    </w:p>
                    <w:p w14:paraId="130CBD39" w14:textId="77777777" w:rsidR="005C392B" w:rsidRPr="005C392B" w:rsidRDefault="005C392B" w:rsidP="005C392B">
                      <w:pPr>
                        <w:pStyle w:val="NoSpacing"/>
                        <w:numPr>
                          <w:ilvl w:val="0"/>
                          <w:numId w:val="440"/>
                        </w:numPr>
                        <w:rPr>
                          <w:rFonts w:ascii="Arial" w:hAnsi="Arial" w:cs="Arial"/>
                          <w:sz w:val="20"/>
                          <w:szCs w:val="20"/>
                        </w:rPr>
                      </w:pPr>
                      <w:r w:rsidRPr="005C392B">
                        <w:rPr>
                          <w:rFonts w:ascii="Arial" w:hAnsi="Arial" w:cs="Arial"/>
                          <w:sz w:val="20"/>
                          <w:szCs w:val="20"/>
                        </w:rPr>
                        <w:t>August Data Download: 10/1/2024 - 9/30/2025</w:t>
                      </w:r>
                    </w:p>
                    <w:p w14:paraId="4B49C5F0" w14:textId="6AC40095" w:rsidR="00EB233D" w:rsidRPr="00523082" w:rsidRDefault="005C392B" w:rsidP="00523082">
                      <w:pPr>
                        <w:pStyle w:val="NoSpacing"/>
                        <w:numPr>
                          <w:ilvl w:val="0"/>
                          <w:numId w:val="440"/>
                        </w:numPr>
                        <w:rPr>
                          <w:rFonts w:cs="Arial"/>
                        </w:rPr>
                      </w:pPr>
                      <w:r w:rsidRPr="00523082">
                        <w:rPr>
                          <w:rFonts w:ascii="Arial" w:hAnsi="Arial" w:cs="Arial"/>
                          <w:sz w:val="20"/>
                          <w:szCs w:val="20"/>
                        </w:rPr>
                        <w:t>November Data Download: 1/1/2025 - 12/31/2025</w:t>
                      </w:r>
                    </w:p>
                    <w:p w14:paraId="46E1A87C" w14:textId="77777777" w:rsidR="00B46EFA" w:rsidRPr="00993ACE" w:rsidRDefault="00B46EFA" w:rsidP="00B46EFA">
                      <w:pPr>
                        <w:rPr>
                          <w:rFonts w:cs="Arial"/>
                          <w:snapToGrid w:val="0"/>
                        </w:rPr>
                      </w:pPr>
                    </w:p>
                    <w:p w14:paraId="2EF1D46C" w14:textId="54A0151E" w:rsidR="00B46EFA" w:rsidRDefault="00440BFB" w:rsidP="00440BFB">
                      <w:r w:rsidRPr="002C706C">
                        <w:rPr>
                          <w:rFonts w:cs="Arial"/>
                          <w:i/>
                          <w:snapToGrid w:val="0"/>
                          <w:sz w:val="16"/>
                          <w:szCs w:val="16"/>
                        </w:rPr>
                        <w:t xml:space="preserve">Leapfrog will update data three times per Survey Cycle for hospitals that have provided an accurate CCN in the Hospital Profile and </w:t>
                      </w:r>
                      <w:r w:rsidRPr="009D41D6">
                        <w:rPr>
                          <w:rFonts w:cs="Arial"/>
                          <w:i/>
                          <w:snapToGrid w:val="0"/>
                          <w:sz w:val="16"/>
                          <w:szCs w:val="16"/>
                        </w:rPr>
                        <w:t>report performing</w:t>
                      </w:r>
                      <w:r w:rsidR="00125D59">
                        <w:rPr>
                          <w:rFonts w:cs="Arial"/>
                          <w:i/>
                          <w:snapToGrid w:val="0"/>
                          <w:sz w:val="16"/>
                          <w:szCs w:val="16"/>
                        </w:rPr>
                        <w:t xml:space="preserve"> </w:t>
                      </w:r>
                      <w:r w:rsidR="009B175A">
                        <w:rPr>
                          <w:rFonts w:cs="Arial"/>
                          <w:i/>
                          <w:snapToGrid w:val="0"/>
                          <w:sz w:val="16"/>
                          <w:szCs w:val="16"/>
                        </w:rPr>
                        <w:t xml:space="preserve">outpatient </w:t>
                      </w:r>
                      <w:r w:rsidRPr="009D41D6">
                        <w:rPr>
                          <w:rFonts w:cs="Arial"/>
                          <w:i/>
                          <w:snapToGrid w:val="0"/>
                          <w:sz w:val="16"/>
                          <w:szCs w:val="16"/>
                        </w:rPr>
                        <w:t xml:space="preserve">procedures </w:t>
                      </w:r>
                      <w:r w:rsidR="00125D59" w:rsidRPr="00990501">
                        <w:rPr>
                          <w:rFonts w:cs="Arial"/>
                          <w:i/>
                          <w:snapToGrid w:val="0"/>
                          <w:sz w:val="16"/>
                          <w:szCs w:val="16"/>
                        </w:rPr>
                        <w:t>in Section 9A Basic Outpatient Department Information</w:t>
                      </w:r>
                      <w:r w:rsidR="00125D59">
                        <w:rPr>
                          <w:rFonts w:cs="Arial"/>
                          <w:i/>
                          <w:snapToGrid w:val="0"/>
                          <w:sz w:val="16"/>
                          <w:szCs w:val="16"/>
                        </w:rPr>
                        <w:t>.</w:t>
                      </w:r>
                    </w:p>
                  </w:txbxContent>
                </v:textbox>
                <w10:anchorlock/>
              </v:shape>
            </w:pict>
          </mc:Fallback>
        </mc:AlternateContent>
      </w:r>
    </w:p>
    <w:p w14:paraId="72D1686D" w14:textId="77777777" w:rsidR="00866CD7" w:rsidRDefault="00866CD7" w:rsidP="00866CD7">
      <w:pPr>
        <w:rPr>
          <w:rFonts w:cs="Arial"/>
          <w:snapToGrid w:val="0"/>
        </w:rPr>
      </w:pPr>
    </w:p>
    <w:p w14:paraId="1519E76D" w14:textId="77777777" w:rsidR="009538D0" w:rsidRDefault="009538D0" w:rsidP="009538D0">
      <w:pPr>
        <w:rPr>
          <w:bdr w:val="none" w:sz="0" w:space="0" w:color="auto" w:frame="1"/>
        </w:rPr>
      </w:pPr>
      <w:r>
        <w:rPr>
          <w:bdr w:val="none" w:sz="0" w:space="0" w:color="auto" w:frame="1"/>
        </w:rPr>
        <w:t xml:space="preserve">Leapfrog obtains data for five </w:t>
      </w:r>
      <w:r w:rsidRPr="00B760C9">
        <w:rPr>
          <w:bdr w:val="none" w:sz="0" w:space="0" w:color="auto" w:frame="1"/>
        </w:rPr>
        <w:t xml:space="preserve">Hospital Outpatient Quality Reporting (OQR) </w:t>
      </w:r>
      <w:r>
        <w:rPr>
          <w:bdr w:val="none" w:sz="0" w:space="0" w:color="auto" w:frame="1"/>
        </w:rPr>
        <w:t>p</w:t>
      </w:r>
      <w:r w:rsidRPr="00B760C9">
        <w:rPr>
          <w:bdr w:val="none" w:sz="0" w:space="0" w:color="auto" w:frame="1"/>
        </w:rPr>
        <w:t xml:space="preserve">rogram </w:t>
      </w:r>
      <w:r>
        <w:rPr>
          <w:bdr w:val="none" w:sz="0" w:space="0" w:color="auto" w:frame="1"/>
        </w:rPr>
        <w:t>m</w:t>
      </w:r>
      <w:r w:rsidRPr="00B760C9">
        <w:rPr>
          <w:bdr w:val="none" w:sz="0" w:space="0" w:color="auto" w:frame="1"/>
        </w:rPr>
        <w:t>easure</w:t>
      </w:r>
      <w:r>
        <w:rPr>
          <w:bdr w:val="none" w:sz="0" w:space="0" w:color="auto" w:frame="1"/>
        </w:rPr>
        <w:t xml:space="preserve">s directly </w:t>
      </w:r>
      <w:r w:rsidRPr="00094590">
        <w:rPr>
          <w:bdr w:val="none" w:sz="0" w:space="0" w:color="auto" w:frame="1"/>
        </w:rPr>
        <w:t xml:space="preserve">from </w:t>
      </w:r>
      <w:r>
        <w:rPr>
          <w:bdr w:val="none" w:sz="0" w:space="0" w:color="auto" w:frame="1"/>
        </w:rPr>
        <w:t xml:space="preserve">the </w:t>
      </w:r>
      <w:hyperlink r:id="rId479" w:history="1">
        <w:r w:rsidRPr="00B760C9">
          <w:rPr>
            <w:rStyle w:val="Hyperlink"/>
            <w:bdr w:val="none" w:sz="0" w:space="0" w:color="auto" w:frame="1"/>
          </w:rPr>
          <w:t>CMS Provider Data Catalog</w:t>
        </w:r>
      </w:hyperlink>
      <w:r>
        <w:rPr>
          <w:bdr w:val="none" w:sz="0" w:space="0" w:color="auto" w:frame="1"/>
        </w:rPr>
        <w:t>:</w:t>
      </w:r>
    </w:p>
    <w:p w14:paraId="1DCFF739" w14:textId="77777777" w:rsidR="009538D0" w:rsidRDefault="009538D0" w:rsidP="009538D0">
      <w:pPr>
        <w:pStyle w:val="ListParagraph"/>
        <w:numPr>
          <w:ilvl w:val="0"/>
          <w:numId w:val="427"/>
        </w:numPr>
        <w:spacing w:before="200" w:after="200" w:line="276" w:lineRule="auto"/>
        <w:rPr>
          <w:bdr w:val="none" w:sz="0" w:space="0" w:color="auto" w:frame="1"/>
        </w:rPr>
      </w:pPr>
      <w:r w:rsidRPr="00094590">
        <w:rPr>
          <w:bdr w:val="none" w:sz="0" w:space="0" w:color="auto" w:frame="1"/>
        </w:rPr>
        <w:t>OP-32: Rate of Unplanned Hospital Visits After an Outpatient Colonoscopy</w:t>
      </w:r>
      <w:r>
        <w:rPr>
          <w:bdr w:val="none" w:sz="0" w:space="0" w:color="auto" w:frame="1"/>
        </w:rPr>
        <w:t xml:space="preserve"> </w:t>
      </w:r>
    </w:p>
    <w:p w14:paraId="4E4C0924" w14:textId="77531126" w:rsidR="009538D0" w:rsidRDefault="009538D0" w:rsidP="009538D0">
      <w:pPr>
        <w:pStyle w:val="ListParagraph"/>
        <w:numPr>
          <w:ilvl w:val="0"/>
          <w:numId w:val="427"/>
        </w:numPr>
        <w:spacing w:before="200" w:after="200" w:line="276" w:lineRule="auto"/>
        <w:rPr>
          <w:bdr w:val="none" w:sz="0" w:space="0" w:color="auto" w:frame="1"/>
        </w:rPr>
      </w:pPr>
      <w:r>
        <w:rPr>
          <w:bdr w:val="none" w:sz="0" w:space="0" w:color="auto" w:frame="1"/>
        </w:rPr>
        <w:t xml:space="preserve">Patient Experience </w:t>
      </w:r>
      <w:hyperlink w:anchor="Endnote48_TopBox" w:history="1">
        <w:r>
          <w:rPr>
            <w:rStyle w:val="Hyperlink"/>
          </w:rPr>
          <w:t>Top Box Score</w:t>
        </w:r>
      </w:hyperlink>
      <w:r>
        <w:fldChar w:fldCharType="begin"/>
      </w:r>
      <w:r>
        <w:rPr>
          <w:rStyle w:val="Hyperlink"/>
        </w:rPr>
        <w:instrText xml:space="preserve"> NOTEREF _Ref534391669 \f \h </w:instrText>
      </w:r>
      <w:r>
        <w:instrText xml:space="preserve"> \* MERGEFORMAT </w:instrText>
      </w:r>
      <w:r>
        <w:fldChar w:fldCharType="separate"/>
      </w:r>
      <w:r w:rsidR="007D53A2" w:rsidRPr="00690E76">
        <w:rPr>
          <w:rStyle w:val="EndnoteReference"/>
        </w:rPr>
        <w:t>51</w:t>
      </w:r>
      <w:r>
        <w:fldChar w:fldCharType="end"/>
      </w:r>
      <w:r>
        <w:rPr>
          <w:bdr w:val="none" w:sz="0" w:space="0" w:color="auto" w:frame="1"/>
        </w:rPr>
        <w:t xml:space="preserve"> (OAS CAHPS) </w:t>
      </w:r>
    </w:p>
    <w:p w14:paraId="56079633" w14:textId="77777777" w:rsidR="009538D0" w:rsidRDefault="009538D0" w:rsidP="009538D0">
      <w:pPr>
        <w:pStyle w:val="ListParagraph"/>
        <w:numPr>
          <w:ilvl w:val="1"/>
          <w:numId w:val="428"/>
        </w:numPr>
        <w:spacing w:before="200" w:after="200" w:line="276" w:lineRule="auto"/>
        <w:rPr>
          <w:bdr w:val="none" w:sz="0" w:space="0" w:color="auto" w:frame="1"/>
        </w:rPr>
      </w:pPr>
      <w:r w:rsidRPr="00DE5DC3">
        <w:rPr>
          <w:bdr w:val="none" w:sz="0" w:space="0" w:color="auto" w:frame="1"/>
        </w:rPr>
        <w:t xml:space="preserve">Facilities and Staff </w:t>
      </w:r>
    </w:p>
    <w:p w14:paraId="7C1A007C" w14:textId="77777777" w:rsidR="009538D0" w:rsidRDefault="009538D0" w:rsidP="009538D0">
      <w:pPr>
        <w:pStyle w:val="ListParagraph"/>
        <w:numPr>
          <w:ilvl w:val="1"/>
          <w:numId w:val="428"/>
        </w:numPr>
        <w:spacing w:before="200" w:after="200" w:line="276" w:lineRule="auto"/>
        <w:rPr>
          <w:bdr w:val="none" w:sz="0" w:space="0" w:color="auto" w:frame="1"/>
        </w:rPr>
      </w:pPr>
      <w:r w:rsidRPr="00DE5DC3">
        <w:rPr>
          <w:bdr w:val="none" w:sz="0" w:space="0" w:color="auto" w:frame="1"/>
        </w:rPr>
        <w:t>Communication About Your Procedure</w:t>
      </w:r>
    </w:p>
    <w:p w14:paraId="0C918CB6" w14:textId="77777777" w:rsidR="009538D0" w:rsidRDefault="009538D0" w:rsidP="009538D0">
      <w:pPr>
        <w:pStyle w:val="ListParagraph"/>
        <w:numPr>
          <w:ilvl w:val="1"/>
          <w:numId w:val="428"/>
        </w:numPr>
        <w:spacing w:before="200" w:after="200" w:line="276" w:lineRule="auto"/>
        <w:rPr>
          <w:bdr w:val="none" w:sz="0" w:space="0" w:color="auto" w:frame="1"/>
        </w:rPr>
      </w:pPr>
      <w:r w:rsidRPr="00DE5DC3">
        <w:rPr>
          <w:bdr w:val="none" w:sz="0" w:space="0" w:color="auto" w:frame="1"/>
        </w:rPr>
        <w:t>Patients’ Rating of the Facility</w:t>
      </w:r>
    </w:p>
    <w:p w14:paraId="46CFD8BD" w14:textId="77777777" w:rsidR="009538D0" w:rsidRPr="00094590" w:rsidRDefault="009538D0" w:rsidP="009538D0">
      <w:pPr>
        <w:pStyle w:val="ListParagraph"/>
        <w:numPr>
          <w:ilvl w:val="1"/>
          <w:numId w:val="428"/>
        </w:numPr>
        <w:spacing w:before="200" w:after="200" w:line="276" w:lineRule="auto"/>
        <w:rPr>
          <w:bdr w:val="none" w:sz="0" w:space="0" w:color="auto" w:frame="1"/>
        </w:rPr>
      </w:pPr>
      <w:r w:rsidRPr="00DE5DC3">
        <w:rPr>
          <w:bdr w:val="none" w:sz="0" w:space="0" w:color="auto" w:frame="1"/>
        </w:rPr>
        <w:t>Patients Recommending the Facility</w:t>
      </w:r>
    </w:p>
    <w:p w14:paraId="2EBAB476" w14:textId="4B1EF2C0" w:rsidR="009538D0" w:rsidRDefault="009538D0" w:rsidP="009538D0">
      <w:pPr>
        <w:rPr>
          <w:rFonts w:cs="Arial"/>
          <w:snapToGrid w:val="0"/>
        </w:rPr>
      </w:pPr>
      <w:r w:rsidRPr="00731A0D">
        <w:rPr>
          <w:rFonts w:cs="Arial"/>
        </w:rPr>
        <w:t xml:space="preserve">For Leapfrog to obtain the data, hospitals must provide a valid CMS Certification Number (CCN) in the </w:t>
      </w:r>
      <w:r>
        <w:rPr>
          <w:rFonts w:cs="Arial"/>
        </w:rPr>
        <w:t xml:space="preserve">Hospital </w:t>
      </w:r>
      <w:r w:rsidRPr="00731A0D">
        <w:rPr>
          <w:rFonts w:cs="Arial"/>
        </w:rPr>
        <w:t>Profil</w:t>
      </w:r>
      <w:r>
        <w:rPr>
          <w:rFonts w:cs="Arial"/>
        </w:rPr>
        <w:t>e</w:t>
      </w:r>
      <w:r>
        <w:rPr>
          <w:bdr w:val="none" w:sz="0" w:space="0" w:color="auto" w:frame="1"/>
        </w:rPr>
        <w:t xml:space="preserve">. </w:t>
      </w:r>
      <w:r>
        <w:rPr>
          <w:rFonts w:cs="Arial"/>
          <w:snapToGrid w:val="0"/>
        </w:rPr>
        <w:t>Hospitals that report not performing</w:t>
      </w:r>
      <w:r w:rsidR="00CE0E16">
        <w:rPr>
          <w:rFonts w:cs="Arial"/>
          <w:snapToGrid w:val="0"/>
        </w:rPr>
        <w:t xml:space="preserve"> </w:t>
      </w:r>
      <w:r>
        <w:rPr>
          <w:rFonts w:cs="Arial"/>
          <w:snapToGrid w:val="0"/>
        </w:rPr>
        <w:t xml:space="preserve">outpatient procedures in Section 9A or </w:t>
      </w:r>
      <w:r w:rsidR="00D211C1">
        <w:rPr>
          <w:rFonts w:cs="Arial"/>
          <w:snapToGrid w:val="0"/>
        </w:rPr>
        <w:t>are a</w:t>
      </w:r>
      <w:r w:rsidR="007820DA">
        <w:rPr>
          <w:rFonts w:cs="Arial"/>
          <w:snapToGrid w:val="0"/>
        </w:rPr>
        <w:t xml:space="preserve"> </w:t>
      </w:r>
      <w:r>
        <w:rPr>
          <w:rFonts w:cs="Arial"/>
          <w:snapToGrid w:val="0"/>
        </w:rPr>
        <w:t xml:space="preserve">pediatric hospital </w:t>
      </w:r>
      <w:r w:rsidRPr="00731A0D">
        <w:rPr>
          <w:rFonts w:cs="Arial"/>
          <w:snapToGrid w:val="0"/>
        </w:rPr>
        <w:t>will be scored and publicly reported as “Does Not Apply”</w:t>
      </w:r>
      <w:r w:rsidR="009E0F63">
        <w:rPr>
          <w:rFonts w:cs="Arial"/>
          <w:snapToGrid w:val="0"/>
        </w:rPr>
        <w:t xml:space="preserve"> for all measures</w:t>
      </w:r>
      <w:r>
        <w:rPr>
          <w:rFonts w:cs="Arial"/>
          <w:snapToGrid w:val="0"/>
        </w:rPr>
        <w:t>.</w:t>
      </w:r>
    </w:p>
    <w:p w14:paraId="4BA9D8A0" w14:textId="77777777" w:rsidR="009538D0" w:rsidRDefault="009538D0" w:rsidP="009538D0">
      <w:pPr>
        <w:rPr>
          <w:rFonts w:cs="Arial"/>
          <w:snapToGrid w:val="0"/>
        </w:rPr>
      </w:pPr>
    </w:p>
    <w:p w14:paraId="4DE85016" w14:textId="704609FF" w:rsidR="009538D0" w:rsidRPr="00D971B2" w:rsidRDefault="009538D0" w:rsidP="009538D0">
      <w:pPr>
        <w:rPr>
          <w:rFonts w:cs="Arial"/>
          <w:snapToGrid w:val="0"/>
        </w:rPr>
      </w:pPr>
      <w:r w:rsidRPr="00D971B2">
        <w:rPr>
          <w:rFonts w:cs="Arial"/>
          <w:b/>
          <w:bCs/>
          <w:snapToGrid w:val="0"/>
        </w:rPr>
        <w:t>OP-32:</w:t>
      </w:r>
      <w:r>
        <w:rPr>
          <w:rFonts w:cs="Arial"/>
          <w:snapToGrid w:val="0"/>
        </w:rPr>
        <w:t xml:space="preserve"> </w:t>
      </w:r>
      <w:r w:rsidRPr="00731A0D">
        <w:rPr>
          <w:rFonts w:cs="Arial"/>
          <w:snapToGrid w:val="0"/>
        </w:rPr>
        <w:t>Hospitals</w:t>
      </w:r>
      <w:r w:rsidR="00742197">
        <w:rPr>
          <w:rFonts w:cs="Arial"/>
          <w:snapToGrid w:val="0"/>
        </w:rPr>
        <w:t xml:space="preserve"> </w:t>
      </w:r>
      <w:r w:rsidR="007F0A72">
        <w:rPr>
          <w:rFonts w:cs="Arial"/>
          <w:snapToGrid w:val="0"/>
        </w:rPr>
        <w:t xml:space="preserve">that report not performing outpatient </w:t>
      </w:r>
      <w:r w:rsidR="0053791C">
        <w:rPr>
          <w:rFonts w:cs="Arial"/>
          <w:snapToGrid w:val="0"/>
        </w:rPr>
        <w:t xml:space="preserve">gastroenterology </w:t>
      </w:r>
      <w:r w:rsidR="007F0A72">
        <w:rPr>
          <w:rFonts w:cs="Arial"/>
          <w:snapToGrid w:val="0"/>
        </w:rPr>
        <w:t xml:space="preserve">procedures in Section 9A </w:t>
      </w:r>
      <w:r w:rsidRPr="00731A0D">
        <w:rPr>
          <w:rFonts w:cs="Arial"/>
          <w:snapToGrid w:val="0"/>
        </w:rPr>
        <w:t>will</w:t>
      </w:r>
      <w:r>
        <w:rPr>
          <w:rFonts w:cs="Arial"/>
          <w:snapToGrid w:val="0"/>
        </w:rPr>
        <w:t xml:space="preserve"> also</w:t>
      </w:r>
      <w:r w:rsidRPr="00731A0D">
        <w:rPr>
          <w:rFonts w:cs="Arial"/>
          <w:snapToGrid w:val="0"/>
        </w:rPr>
        <w:t xml:space="preserve"> be scored and publicly reported as “Does Not Apply.” </w:t>
      </w:r>
    </w:p>
    <w:p w14:paraId="658E28CD" w14:textId="77777777" w:rsidR="00D95F8E" w:rsidRPr="00821E0F" w:rsidRDefault="00D95F8E" w:rsidP="00866CD7">
      <w:pPr>
        <w:rPr>
          <w:rFonts w:cs="Arial"/>
          <w:snapToGrid w:val="0"/>
        </w:rPr>
      </w:pPr>
    </w:p>
    <w:p w14:paraId="66A007C5" w14:textId="005B59C6" w:rsidR="00866CD7" w:rsidRPr="004671D1" w:rsidRDefault="009538D0" w:rsidP="00866CD7">
      <w:pPr>
        <w:rPr>
          <w:bCs/>
          <w:iCs/>
        </w:rPr>
      </w:pPr>
      <w:r>
        <w:rPr>
          <w:rFonts w:cs="Arial"/>
          <w:snapToGrid w:val="0"/>
        </w:rPr>
        <w:t xml:space="preserve">Data will be downloaded three times per Survey cycle: June 30, August 31, and November 30. </w:t>
      </w:r>
    </w:p>
    <w:p w14:paraId="027F7A80" w14:textId="77777777" w:rsidR="00F151B7" w:rsidRDefault="00F151B7">
      <w:pPr>
        <w:rPr>
          <w:szCs w:val="24"/>
        </w:rPr>
      </w:pPr>
      <w:r>
        <w:rPr>
          <w:szCs w:val="24"/>
        </w:rPr>
        <w:br w:type="page"/>
      </w:r>
    </w:p>
    <w:p w14:paraId="6F8B2A02" w14:textId="77777777" w:rsidR="00F151B7" w:rsidRPr="009A5185" w:rsidRDefault="00F151B7" w:rsidP="00F151B7">
      <w:pPr>
        <w:rPr>
          <w:rFonts w:cs="Arial"/>
          <w:b/>
          <w:snapToGrid w:val="0"/>
          <w:color w:val="000000"/>
        </w:rPr>
      </w:pPr>
      <w:r w:rsidRPr="009A5185">
        <w:rPr>
          <w:rFonts w:cs="Arial"/>
          <w:b/>
          <w:snapToGrid w:val="0"/>
          <w:color w:val="000000"/>
        </w:rPr>
        <w:t>Affirmation of Accuracy</w:t>
      </w:r>
    </w:p>
    <w:p w14:paraId="48D780B2" w14:textId="77777777" w:rsidR="00F151B7" w:rsidRPr="009A5185" w:rsidRDefault="00F151B7" w:rsidP="00F151B7">
      <w:pPr>
        <w:rPr>
          <w:rFonts w:cs="Arial"/>
          <w:snapToGrid w:val="0"/>
          <w:color w:val="000000"/>
        </w:rPr>
      </w:pPr>
    </w:p>
    <w:p w14:paraId="0E7101B6" w14:textId="5D399560" w:rsidR="00F151B7" w:rsidRPr="009A5185" w:rsidRDefault="00F151B7" w:rsidP="00F151B7">
      <w:pPr>
        <w:rPr>
          <w:rFonts w:cs="Arial"/>
          <w:color w:val="000000"/>
        </w:rPr>
      </w:pPr>
      <w:r w:rsidRPr="009A5185">
        <w:rPr>
          <w:rFonts w:cs="Arial"/>
          <w:color w:val="000000"/>
        </w:rPr>
        <w:t>As the hospital CEO or as an employee of the hospital to whom the hospital CEO has delegated responsibility, I have reviewed this information pertainin</w:t>
      </w:r>
      <w:r w:rsidR="00C63DF4">
        <w:rPr>
          <w:rFonts w:cs="Arial"/>
          <w:color w:val="000000"/>
        </w:rPr>
        <w:t>g to the Outpatient Procedure</w:t>
      </w:r>
      <w:r w:rsidR="00FF1F80">
        <w:rPr>
          <w:rFonts w:cs="Arial"/>
          <w:color w:val="000000"/>
        </w:rPr>
        <w:t>s</w:t>
      </w:r>
      <w:r w:rsidRPr="009A5185">
        <w:rPr>
          <w:rFonts w:cs="Arial"/>
          <w:color w:val="000000"/>
        </w:rPr>
        <w:t xml:space="preserve"> Section at our hospital, and I hereby </w:t>
      </w:r>
      <w:r w:rsidR="00B40C77">
        <w:rPr>
          <w:rFonts w:cs="Arial"/>
          <w:color w:val="000000"/>
        </w:rPr>
        <w:t>affirm</w:t>
      </w:r>
      <w:r w:rsidRPr="009A5185">
        <w:rPr>
          <w:rFonts w:cs="Arial"/>
          <w:color w:val="000000"/>
        </w:rPr>
        <w:t xml:space="preserve"> that this information is true, accurate, and reflects the current, normal operating circumstances at our hospital. I am authorized to make this </w:t>
      </w:r>
      <w:r w:rsidR="00B40C77">
        <w:rPr>
          <w:rFonts w:cs="Arial"/>
          <w:color w:val="000000"/>
        </w:rPr>
        <w:t>affirmation</w:t>
      </w:r>
      <w:r w:rsidRPr="009A5185">
        <w:rPr>
          <w:rFonts w:cs="Arial"/>
          <w:color w:val="000000"/>
        </w:rPr>
        <w:t xml:space="preserve"> on behalf of our hospital. </w:t>
      </w:r>
    </w:p>
    <w:p w14:paraId="205B5CD0" w14:textId="77777777" w:rsidR="00F151B7" w:rsidRPr="009A5185" w:rsidRDefault="00F151B7" w:rsidP="00F151B7">
      <w:pPr>
        <w:rPr>
          <w:rFonts w:cs="Arial"/>
          <w:color w:val="000000"/>
        </w:rPr>
      </w:pPr>
    </w:p>
    <w:p w14:paraId="139A71B5" w14:textId="5837DB88" w:rsidR="00E71283" w:rsidRDefault="00E14BA2" w:rsidP="00F151B7">
      <w:pPr>
        <w:rPr>
          <w:rFonts w:cs="Arial"/>
          <w:sz w:val="22"/>
          <w:szCs w:val="22"/>
        </w:rPr>
      </w:pPr>
      <w:r w:rsidRPr="009A5185">
        <w:rPr>
          <w:rFonts w:cs="Arial"/>
        </w:rPr>
        <w:t xml:space="preserve">The </w:t>
      </w:r>
      <w:r w:rsidRPr="00534EFC">
        <w:rPr>
          <w:rFonts w:cs="Arial"/>
        </w:rPr>
        <w:t xml:space="preserve">hospital and I </w:t>
      </w:r>
      <w:r>
        <w:rPr>
          <w:rFonts w:cs="Arial"/>
        </w:rPr>
        <w:t>acknowledge</w:t>
      </w:r>
      <w:r w:rsidRPr="00534EFC">
        <w:rPr>
          <w:rFonts w:cs="Arial"/>
        </w:rPr>
        <w:t xml:space="preserve"> that The Leapfrog Group, its members, the public and entities and persons who contract or have other business dealings with The Leapfrog Group are relying on the truth and accuracy of this information. The hospital and I also </w:t>
      </w:r>
      <w:r>
        <w:rPr>
          <w:rFonts w:cs="Arial"/>
        </w:rPr>
        <w:t>acknowledge</w:t>
      </w:r>
      <w:r w:rsidRPr="00534EFC">
        <w:rPr>
          <w:rFonts w:cs="Arial"/>
        </w:rPr>
        <w:t xml:space="preserve"> that </w:t>
      </w:r>
      <w:r>
        <w:rPr>
          <w:rFonts w:cs="Arial"/>
        </w:rPr>
        <w:t xml:space="preserve">analyses and ratings </w:t>
      </w:r>
      <w:r w:rsidRPr="00534EFC">
        <w:rPr>
          <w:rFonts w:cs="Arial"/>
        </w:rPr>
        <w:t>The Leapfrog Group</w:t>
      </w:r>
      <w:r>
        <w:rPr>
          <w:rFonts w:cs="Arial"/>
        </w:rPr>
        <w:t xml:space="preserve"> derives from</w:t>
      </w:r>
      <w:r w:rsidRPr="00534EFC">
        <w:rPr>
          <w:rFonts w:cs="Arial"/>
        </w:rPr>
        <w:t xml:space="preserve"> this information</w:t>
      </w:r>
      <w:r>
        <w:rPr>
          <w:rFonts w:cs="Arial"/>
        </w:rPr>
        <w:t xml:space="preserve"> will be made public on</w:t>
      </w:r>
      <w:r w:rsidRPr="00534EFC">
        <w:rPr>
          <w:rFonts w:cs="Arial"/>
        </w:rPr>
        <w:t xml:space="preserve"> the Survey Results public reporting website, The Leapfrog Group’s Hospital Safety Grade</w:t>
      </w:r>
      <w:r>
        <w:rPr>
          <w:rFonts w:cs="Arial"/>
        </w:rPr>
        <w:t xml:space="preserve"> website</w:t>
      </w:r>
      <w:r w:rsidRPr="00534EFC">
        <w:rPr>
          <w:rFonts w:cs="Arial"/>
        </w:rPr>
        <w:t xml:space="preserve">, and/or other Leapfrog Group </w:t>
      </w:r>
      <w:r>
        <w:rPr>
          <w:rFonts w:cs="Arial"/>
        </w:rPr>
        <w:t xml:space="preserve">published works, </w:t>
      </w:r>
      <w:r w:rsidRPr="00534EFC">
        <w:rPr>
          <w:rFonts w:cs="Arial"/>
        </w:rPr>
        <w:t xml:space="preserve">products and services. </w:t>
      </w:r>
      <w:r>
        <w:rPr>
          <w:rFonts w:cs="Arial"/>
        </w:rPr>
        <w:t>The hospital and I acknowledge that analyses and ratings derived from t</w:t>
      </w:r>
      <w:r w:rsidRPr="00534EFC">
        <w:rPr>
          <w:rFonts w:cs="Arial"/>
        </w:rPr>
        <w:t>his information and all intellectual property rights</w:t>
      </w:r>
      <w:r>
        <w:rPr>
          <w:rFonts w:cs="Arial"/>
        </w:rPr>
        <w:t xml:space="preserve"> related to those analyses and ratings</w:t>
      </w:r>
      <w:r w:rsidRPr="00534EFC">
        <w:rPr>
          <w:rFonts w:cs="Arial"/>
        </w:rPr>
        <w:t xml:space="preserve"> shall be and remain the sole and exclusive property of The Leapfrog Group </w:t>
      </w:r>
      <w:r w:rsidRPr="00534EFC">
        <w:t>in which The Leapfrog Group retains exclusive ownership</w:t>
      </w:r>
      <w:r w:rsidRPr="00534EFC">
        <w:rPr>
          <w:rFonts w:cs="Arial"/>
        </w:rPr>
        <w:t xml:space="preserve">. </w:t>
      </w:r>
      <w:r>
        <w:rPr>
          <w:rFonts w:cs="Arial"/>
        </w:rPr>
        <w:t>I hereby affirm that t</w:t>
      </w:r>
      <w:r w:rsidRPr="00534EFC">
        <w:rPr>
          <w:rFonts w:cs="Arial"/>
        </w:rPr>
        <w:t>his information does not infringe upon any third-party intellectual property rights</w:t>
      </w:r>
      <w:r w:rsidRPr="00534EFC">
        <w:t xml:space="preserve"> or any other third-party rights whatsoever and is free and clear of all encumbrances and liens of any kind</w:t>
      </w:r>
      <w:r w:rsidRPr="00534EFC">
        <w:rPr>
          <w:rFonts w:cs="Arial"/>
        </w:rPr>
        <w:t xml:space="preserve">. The hospital and I acknowledge that The Leapfrog Group may </w:t>
      </w:r>
      <w:r>
        <w:rPr>
          <w:rFonts w:cs="Arial"/>
        </w:rPr>
        <w:t>license</w:t>
      </w:r>
      <w:r w:rsidRPr="00534EFC">
        <w:rPr>
          <w:rFonts w:cs="Arial"/>
        </w:rPr>
        <w:t xml:space="preserve"> </w:t>
      </w:r>
      <w:r>
        <w:rPr>
          <w:rFonts w:cs="Arial"/>
        </w:rPr>
        <w:t xml:space="preserve">analyses and ratings derived from </w:t>
      </w:r>
      <w:r w:rsidRPr="00534EFC">
        <w:rPr>
          <w:rFonts w:cs="Arial"/>
        </w:rPr>
        <w:t xml:space="preserve">this information </w:t>
      </w:r>
      <w:r>
        <w:rPr>
          <w:rFonts w:cs="Arial"/>
        </w:rPr>
        <w:t>to other entities including researchers, not-for-profit entities, and for-profit entities, and the revenue from such licensure will be used solely to support The Leapfrog Group’s not-for-profit mission</w:t>
      </w:r>
      <w:r w:rsidRPr="00534EFC">
        <w:rPr>
          <w:rFonts w:cs="Arial"/>
        </w:rPr>
        <w:t>. The hospital shall be liable for and shall hold harmless and indemnify The Leapfrog Group from any and all damages, demands, costs, or causes of action resulting from any inaccuracies in the information or any misrepresentations in this Affirmation of Accuracy. The Leapfrog Group and its members and entities and persons who contract or have other business dealings with The Leapfrog Group reserve the right to omit or disclaim information that is not current, accurate or truthful.</w:t>
      </w:r>
    </w:p>
    <w:p w14:paraId="4AA2A27D" w14:textId="77777777" w:rsidR="00E14BA2" w:rsidRPr="00E14BA2" w:rsidRDefault="00E14BA2" w:rsidP="00F151B7">
      <w:pPr>
        <w:rPr>
          <w:rFonts w:cs="Arial"/>
          <w:sz w:val="22"/>
          <w:szCs w:val="22"/>
        </w:rPr>
      </w:pPr>
    </w:p>
    <w:p w14:paraId="64A2AD66" w14:textId="77777777" w:rsidR="00F151B7" w:rsidRPr="009A5185" w:rsidRDefault="00F151B7" w:rsidP="00F151B7">
      <w:pPr>
        <w:rPr>
          <w:rFonts w:cs="Arial"/>
          <w:snapToGrid w:val="0"/>
          <w:color w:val="000000"/>
        </w:rPr>
      </w:pPr>
    </w:p>
    <w:p w14:paraId="4FE2FC6B" w14:textId="77777777" w:rsidR="00F151B7" w:rsidRPr="009A5185" w:rsidRDefault="00F151B7" w:rsidP="00F151B7">
      <w:pPr>
        <w:rPr>
          <w:rFonts w:cs="Arial"/>
          <w:snapToGrid w:val="0"/>
          <w:color w:val="000000"/>
        </w:rPr>
      </w:pPr>
      <w:r w:rsidRPr="009A5185">
        <w:rPr>
          <w:rFonts w:cs="Arial"/>
          <w:snapToGrid w:val="0"/>
          <w:color w:val="000000"/>
        </w:rPr>
        <w:t>Affirmed by _____________________, the hospital’s ___________________________,</w:t>
      </w:r>
    </w:p>
    <w:p w14:paraId="51FA7C6C" w14:textId="77777777" w:rsidR="008A631A" w:rsidRPr="009A5185" w:rsidRDefault="008A631A" w:rsidP="008A631A">
      <w:pPr>
        <w:pStyle w:val="BodyText2"/>
        <w:spacing w:line="240" w:lineRule="exact"/>
        <w:rPr>
          <w:rFonts w:cs="Arial"/>
        </w:rPr>
      </w:pPr>
      <w:r w:rsidRPr="009A5185">
        <w:rPr>
          <w:rFonts w:cs="Arial"/>
        </w:rPr>
        <w:tab/>
        <w:t xml:space="preserve"> </w:t>
      </w:r>
      <w:r>
        <w:rPr>
          <w:rFonts w:cs="Arial"/>
        </w:rPr>
        <w:t xml:space="preserve">    </w:t>
      </w:r>
      <w:r w:rsidRPr="009A5185">
        <w:rPr>
          <w:rFonts w:cs="Arial"/>
        </w:rPr>
        <w:t>(</w:t>
      </w:r>
      <w:r>
        <w:rPr>
          <w:rFonts w:cs="Arial"/>
        </w:rPr>
        <w:t xml:space="preserve">first </w:t>
      </w:r>
      <w:r w:rsidRPr="009A5185">
        <w:rPr>
          <w:rFonts w:cs="Arial"/>
        </w:rPr>
        <w:t>name</w:t>
      </w:r>
      <w:r>
        <w:rPr>
          <w:rFonts w:cs="Arial"/>
        </w:rPr>
        <w:t xml:space="preserve"> and last name)</w:t>
      </w:r>
      <w:r>
        <w:rPr>
          <w:rFonts w:cs="Arial"/>
        </w:rPr>
        <w:tab/>
      </w:r>
      <w:r>
        <w:rPr>
          <w:rFonts w:cs="Arial"/>
        </w:rPr>
        <w:tab/>
      </w:r>
      <w:r>
        <w:rPr>
          <w:rFonts w:cs="Arial"/>
        </w:rPr>
        <w:tab/>
      </w:r>
      <w:r>
        <w:rPr>
          <w:rFonts w:cs="Arial"/>
        </w:rPr>
        <w:tab/>
      </w:r>
      <w:r w:rsidRPr="009A5185">
        <w:rPr>
          <w:rFonts w:cs="Arial"/>
        </w:rPr>
        <w:t>(title)</w:t>
      </w:r>
    </w:p>
    <w:p w14:paraId="11841620" w14:textId="77777777" w:rsidR="00F151B7" w:rsidRPr="009A5185" w:rsidRDefault="00F151B7" w:rsidP="00F151B7">
      <w:pPr>
        <w:rPr>
          <w:rFonts w:cs="Arial"/>
          <w:snapToGrid w:val="0"/>
          <w:color w:val="000000"/>
        </w:rPr>
      </w:pPr>
      <w:r w:rsidRPr="009A5185">
        <w:rPr>
          <w:rFonts w:cs="Arial"/>
          <w:snapToGrid w:val="0"/>
          <w:color w:val="000000"/>
        </w:rPr>
        <w:t>on _______________________.</w:t>
      </w:r>
    </w:p>
    <w:p w14:paraId="135189C4" w14:textId="77777777" w:rsidR="00F151B7" w:rsidRPr="009A5185" w:rsidRDefault="00F151B7" w:rsidP="00F151B7">
      <w:pPr>
        <w:pStyle w:val="BodyText2"/>
        <w:rPr>
          <w:rFonts w:cs="Arial"/>
        </w:rPr>
      </w:pPr>
      <w:r w:rsidRPr="009A5185">
        <w:rPr>
          <w:rFonts w:cs="Arial"/>
        </w:rPr>
        <w:t xml:space="preserve">                    (date)</w:t>
      </w:r>
    </w:p>
    <w:p w14:paraId="3A1EEA43" w14:textId="77777777" w:rsidR="00F151B7" w:rsidRPr="009A5185" w:rsidRDefault="00F151B7" w:rsidP="00F151B7">
      <w:pPr>
        <w:rPr>
          <w:rFonts w:cs="Arial"/>
          <w:i/>
          <w:color w:val="000000"/>
        </w:rPr>
      </w:pPr>
    </w:p>
    <w:p w14:paraId="4F0DDFCF" w14:textId="77777777" w:rsidR="00F151B7" w:rsidRPr="009A5185" w:rsidRDefault="00F151B7" w:rsidP="00F151B7">
      <w:pPr>
        <w:rPr>
          <w:rFonts w:cs="Arial"/>
          <w:i/>
          <w:color w:val="000000"/>
        </w:rPr>
      </w:pPr>
      <w:r w:rsidRPr="009A5185">
        <w:rPr>
          <w:rFonts w:cs="Arial"/>
          <w:i/>
          <w:color w:val="000000"/>
        </w:rPr>
        <w:br w:type="page"/>
      </w:r>
    </w:p>
    <w:p w14:paraId="624FEF60" w14:textId="705D121D" w:rsidR="00F151B7" w:rsidRPr="009A5185" w:rsidRDefault="00FB54C9" w:rsidP="00CF5A6E">
      <w:pPr>
        <w:pStyle w:val="Heading2"/>
      </w:pPr>
      <w:bookmarkStart w:id="743" w:name="_Toc225877849"/>
      <w:r>
        <w:t xml:space="preserve">Section </w:t>
      </w:r>
      <w:r w:rsidR="00D3503C">
        <w:t>9</w:t>
      </w:r>
      <w:r w:rsidR="00F151B7" w:rsidRPr="009A5185">
        <w:t xml:space="preserve">: </w:t>
      </w:r>
      <w:r>
        <w:t>Outpatient Procedure</w:t>
      </w:r>
      <w:r w:rsidR="00E4363F">
        <w:t>s</w:t>
      </w:r>
      <w:r w:rsidR="00F151B7" w:rsidRPr="009A5185">
        <w:t xml:space="preserve"> Reference Information</w:t>
      </w:r>
      <w:bookmarkEnd w:id="743"/>
    </w:p>
    <w:p w14:paraId="2F9F1449" w14:textId="77777777" w:rsidR="00F151B7" w:rsidRPr="009A5185" w:rsidRDefault="00F151B7" w:rsidP="00F151B7">
      <w:pPr>
        <w:pStyle w:val="BodyText3"/>
        <w:rPr>
          <w:rFonts w:cs="Arial"/>
          <w:color w:val="FF0000"/>
          <w:lang w:eastAsia="ja-JP"/>
        </w:rPr>
      </w:pPr>
    </w:p>
    <w:p w14:paraId="04DA0944" w14:textId="4EC60385" w:rsidR="00F151B7" w:rsidRDefault="00F151B7" w:rsidP="00AB5B80">
      <w:pPr>
        <w:pStyle w:val="Heading3"/>
      </w:pPr>
      <w:bookmarkStart w:id="744" w:name="_Toc225877850"/>
      <w:r w:rsidRPr="009A5185">
        <w:t xml:space="preserve">What’s New in the </w:t>
      </w:r>
      <w:r w:rsidR="00A236B1">
        <w:t>202</w:t>
      </w:r>
      <w:r w:rsidR="002B59CE">
        <w:t>6</w:t>
      </w:r>
      <w:r w:rsidRPr="009A5185">
        <w:t xml:space="preserve"> Survey</w:t>
      </w:r>
      <w:bookmarkEnd w:id="744"/>
    </w:p>
    <w:p w14:paraId="251176A8" w14:textId="77777777" w:rsidR="006A5532" w:rsidRDefault="006A5532" w:rsidP="00A076AE">
      <w:pPr>
        <w:rPr>
          <w:lang w:eastAsia="ja-JP"/>
        </w:rPr>
      </w:pPr>
    </w:p>
    <w:p w14:paraId="6A4DF61D" w14:textId="08366C9E" w:rsidR="00552119" w:rsidRDefault="000B3A1B" w:rsidP="000B3A1B">
      <w:pPr>
        <w:rPr>
          <w:lang w:eastAsia="ja-JP"/>
        </w:rPr>
      </w:pPr>
      <w:r w:rsidRPr="000B3A1B">
        <w:rPr>
          <w:lang w:eastAsia="ja-JP"/>
        </w:rPr>
        <w:t>Leapfrog is renaming Section 9F: OAS CAHPS to Section 9F: CMS Measures and moving Patient Follow-up</w:t>
      </w:r>
      <w:r>
        <w:rPr>
          <w:lang w:eastAsia="ja-JP"/>
        </w:rPr>
        <w:t xml:space="preserve"> </w:t>
      </w:r>
      <w:r w:rsidRPr="000B3A1B">
        <w:rPr>
          <w:lang w:eastAsia="ja-JP"/>
        </w:rPr>
        <w:t>within Section 9D: Safety of Procedures into Section 9F.</w:t>
      </w:r>
    </w:p>
    <w:p w14:paraId="3231F1F1" w14:textId="77777777" w:rsidR="000B3A1B" w:rsidRDefault="000B3A1B" w:rsidP="000B3A1B">
      <w:pPr>
        <w:rPr>
          <w:bCs/>
        </w:rPr>
      </w:pPr>
    </w:p>
    <w:p w14:paraId="4BBEAE80" w14:textId="6AED0D58" w:rsidR="00907CE6" w:rsidRDefault="00907CE6" w:rsidP="00907CE6">
      <w:pPr>
        <w:pStyle w:val="Heading44"/>
      </w:pPr>
      <w:r>
        <w:t>Section 9A: Basic Outpatient Department Information</w:t>
      </w:r>
    </w:p>
    <w:p w14:paraId="1CAE2905" w14:textId="546E945E" w:rsidR="00304A70" w:rsidRDefault="00E4777E" w:rsidP="00907CE6">
      <w:pPr>
        <w:pStyle w:val="Heading44"/>
        <w:rPr>
          <w:b w:val="0"/>
          <w:color w:val="auto"/>
          <w:sz w:val="20"/>
        </w:rPr>
      </w:pPr>
      <w:r w:rsidRPr="00E4777E">
        <w:rPr>
          <w:b w:val="0"/>
          <w:color w:val="auto"/>
          <w:sz w:val="20"/>
        </w:rPr>
        <w:t xml:space="preserve">Leapfrog is adding a new question to capture surgical specialties performed by hospitals. This information will be used to inform the search function on the Leapfrog Ratings </w:t>
      </w:r>
      <w:hyperlink r:id="rId480" w:history="1">
        <w:r w:rsidRPr="00E4777E">
          <w:rPr>
            <w:rStyle w:val="Hyperlink"/>
            <w:b w:val="0"/>
            <w:sz w:val="20"/>
          </w:rPr>
          <w:t>website</w:t>
        </w:r>
      </w:hyperlink>
      <w:r w:rsidRPr="00E4777E">
        <w:rPr>
          <w:b w:val="0"/>
          <w:color w:val="auto"/>
          <w:sz w:val="20"/>
        </w:rPr>
        <w:t xml:space="preserve"> and will display the surgical specialties selected within the question. Leapfrog will not ask about volume for these additional surgical specialties. These questions will continue to be used in public reporting but are not scored.</w:t>
      </w:r>
    </w:p>
    <w:p w14:paraId="28BE28C2" w14:textId="77777777" w:rsidR="00E4777E" w:rsidRPr="00C16094" w:rsidRDefault="00E4777E" w:rsidP="00907CE6">
      <w:pPr>
        <w:pStyle w:val="Heading44"/>
        <w:rPr>
          <w:sz w:val="20"/>
        </w:rPr>
      </w:pPr>
    </w:p>
    <w:p w14:paraId="6465C192" w14:textId="4164FD07" w:rsidR="00824856" w:rsidRDefault="00824856" w:rsidP="00B44C1C">
      <w:pPr>
        <w:pStyle w:val="Heading44"/>
      </w:pPr>
      <w:r>
        <w:t>Section 9B: Medical, Surgical, and Clinical Staff</w:t>
      </w:r>
    </w:p>
    <w:p w14:paraId="0BACE513" w14:textId="77777777" w:rsidR="003B1104" w:rsidRPr="00592FBB" w:rsidRDefault="003B1104" w:rsidP="003B1104">
      <w:pPr>
        <w:rPr>
          <w:caps/>
        </w:rPr>
      </w:pPr>
      <w:r w:rsidRPr="00592FBB">
        <w:t xml:space="preserve">There are no changes to </w:t>
      </w:r>
      <w:r>
        <w:t>this subsection.</w:t>
      </w:r>
    </w:p>
    <w:p w14:paraId="18D89819" w14:textId="77777777" w:rsidR="00824856" w:rsidRPr="00C16094" w:rsidRDefault="00824856" w:rsidP="00B44C1C">
      <w:pPr>
        <w:pStyle w:val="Heading44"/>
        <w:rPr>
          <w:sz w:val="20"/>
        </w:rPr>
      </w:pPr>
    </w:p>
    <w:p w14:paraId="38006FA9" w14:textId="2EBFDD6D" w:rsidR="00217938" w:rsidRDefault="00217938" w:rsidP="00B44C1C">
      <w:pPr>
        <w:pStyle w:val="Heading44"/>
      </w:pPr>
      <w:r>
        <w:t xml:space="preserve">Section 9C: Volume of Procedures </w:t>
      </w:r>
    </w:p>
    <w:p w14:paraId="0D7004C3" w14:textId="1F1A6A95" w:rsidR="00BA4EBA" w:rsidRDefault="00842D2A" w:rsidP="00217938">
      <w:pPr>
        <w:pStyle w:val="Heading44"/>
        <w:rPr>
          <w:b w:val="0"/>
          <w:color w:val="auto"/>
          <w:sz w:val="20"/>
        </w:rPr>
      </w:pPr>
      <w:r w:rsidRPr="00842D2A">
        <w:rPr>
          <w:b w:val="0"/>
          <w:color w:val="auto"/>
          <w:sz w:val="20"/>
        </w:rPr>
        <w:t>Beginning in 2026 Leapfrog is no longer requiring hospitals to report their outpatient procedure volume. Instead, this section is optional, and results will not be scored but will continue to be used in public reporting for those who submit this subsection. For those hospitals opting to report their volumes, updated CPT Codes will be provided within the Online Survey Tool when the Survey launches on April 1.</w:t>
      </w:r>
    </w:p>
    <w:p w14:paraId="45E6DEF0" w14:textId="77777777" w:rsidR="00842D2A" w:rsidRPr="00C95974" w:rsidRDefault="00842D2A" w:rsidP="00217938">
      <w:pPr>
        <w:pStyle w:val="Heading44"/>
        <w:rPr>
          <w:sz w:val="20"/>
        </w:rPr>
      </w:pPr>
    </w:p>
    <w:p w14:paraId="785724D6" w14:textId="285985D5" w:rsidR="00B90CB9" w:rsidRDefault="00217938" w:rsidP="00217938">
      <w:pPr>
        <w:pStyle w:val="Heading44"/>
      </w:pPr>
      <w:r>
        <w:t>Section 9D: Safety of Procedures</w:t>
      </w:r>
    </w:p>
    <w:p w14:paraId="1336BF69" w14:textId="77777777" w:rsidR="00824856" w:rsidRPr="00C16094" w:rsidRDefault="00824856" w:rsidP="00217938">
      <w:pPr>
        <w:pStyle w:val="Heading44"/>
        <w:rPr>
          <w:sz w:val="20"/>
        </w:rPr>
      </w:pPr>
    </w:p>
    <w:p w14:paraId="3305607D" w14:textId="39801B4C" w:rsidR="00824856" w:rsidRDefault="00824856" w:rsidP="00824856">
      <w:pPr>
        <w:pStyle w:val="Heading6"/>
      </w:pPr>
      <w:r>
        <w:t xml:space="preserve">Patient </w:t>
      </w:r>
      <w:r w:rsidR="00FA00FB">
        <w:t>Follow-up</w:t>
      </w:r>
    </w:p>
    <w:p w14:paraId="14A474C2" w14:textId="77777777" w:rsidR="00DC0898" w:rsidRPr="009D41D6" w:rsidRDefault="00DC0898" w:rsidP="00DC0898">
      <w:pPr>
        <w:rPr>
          <w:rFonts w:cs="Arial"/>
        </w:rPr>
      </w:pPr>
      <w:r>
        <w:rPr>
          <w:rFonts w:cs="Arial"/>
        </w:rPr>
        <w:t xml:space="preserve">Leapfrog is moving OP-32 Rate of Unplanned Hospital Visits After An Outpatient Colonoscopy to Section 9F: CMS Measures. </w:t>
      </w:r>
    </w:p>
    <w:p w14:paraId="288D40F0" w14:textId="6ABC1EF3" w:rsidR="00113751" w:rsidRPr="00113751" w:rsidRDefault="00113751" w:rsidP="006B5116"/>
    <w:p w14:paraId="7E14FDAB" w14:textId="39EFA3C0" w:rsidR="00824856" w:rsidRPr="00217938" w:rsidRDefault="00824856" w:rsidP="00824856">
      <w:pPr>
        <w:pStyle w:val="Heading6"/>
      </w:pPr>
      <w:r>
        <w:t xml:space="preserve">Safe Surgery Checklist for Adult and Pediatric Outpatient Procedures </w:t>
      </w:r>
    </w:p>
    <w:p w14:paraId="5AFC8E30" w14:textId="1B5B9159" w:rsidR="00824856" w:rsidRPr="00592FBB" w:rsidRDefault="00824856" w:rsidP="00824856">
      <w:pPr>
        <w:rPr>
          <w:caps/>
        </w:rPr>
      </w:pPr>
      <w:bookmarkStart w:id="745" w:name="_Toc156472101"/>
      <w:r w:rsidRPr="00592FBB">
        <w:t xml:space="preserve">There are no changes to </w:t>
      </w:r>
      <w:r w:rsidR="00EE0986">
        <w:t>these question</w:t>
      </w:r>
      <w:r w:rsidRPr="00592FBB">
        <w:t>s.</w:t>
      </w:r>
      <w:bookmarkEnd w:id="745"/>
    </w:p>
    <w:p w14:paraId="100742A9" w14:textId="77777777" w:rsidR="00217938" w:rsidRDefault="00217938"/>
    <w:p w14:paraId="4BE4E178" w14:textId="0CFB0028" w:rsidR="00217938" w:rsidRDefault="00217938" w:rsidP="00B44C1C">
      <w:pPr>
        <w:pStyle w:val="Heading44"/>
      </w:pPr>
      <w:r>
        <w:t>Section 9E: Medication Safety for Outpatient Procedures</w:t>
      </w:r>
    </w:p>
    <w:p w14:paraId="262341D4" w14:textId="77777777" w:rsidR="00A076AE" w:rsidRPr="00592FBB" w:rsidRDefault="00A076AE" w:rsidP="00A076AE">
      <w:pPr>
        <w:rPr>
          <w:caps/>
        </w:rPr>
      </w:pPr>
      <w:r w:rsidRPr="00592FBB">
        <w:t xml:space="preserve">There are no changes to </w:t>
      </w:r>
      <w:r>
        <w:t>this subsection.</w:t>
      </w:r>
    </w:p>
    <w:p w14:paraId="22803B79" w14:textId="5BB67F25" w:rsidR="002C10F9" w:rsidRDefault="002C10F9" w:rsidP="00F151B7">
      <w:pPr>
        <w:rPr>
          <w:rFonts w:cs="Arial"/>
          <w:lang w:eastAsia="ja-JP"/>
        </w:rPr>
      </w:pPr>
    </w:p>
    <w:p w14:paraId="0967E034" w14:textId="5C608587" w:rsidR="0069750A" w:rsidRDefault="0069750A" w:rsidP="0069750A">
      <w:pPr>
        <w:pStyle w:val="Heading44"/>
        <w:rPr>
          <w:bdr w:val="none" w:sz="0" w:space="0" w:color="auto" w:frame="1"/>
        </w:rPr>
      </w:pPr>
      <w:r>
        <w:t>Section 9F:</w:t>
      </w:r>
      <w:r w:rsidRPr="005177E2">
        <w:rPr>
          <w:bdr w:val="none" w:sz="0" w:space="0" w:color="auto" w:frame="1"/>
        </w:rPr>
        <w:t xml:space="preserve"> </w:t>
      </w:r>
      <w:r w:rsidR="00BD2439">
        <w:rPr>
          <w:bdr w:val="none" w:sz="0" w:space="0" w:color="auto" w:frame="1"/>
        </w:rPr>
        <w:t>CMS Measures</w:t>
      </w:r>
    </w:p>
    <w:p w14:paraId="54AB3C2D" w14:textId="44D5582A" w:rsidR="00B22973" w:rsidRDefault="00B22973" w:rsidP="00B22973">
      <w:pPr>
        <w:rPr>
          <w:bdr w:val="none" w:sz="0" w:space="0" w:color="auto" w:frame="1"/>
        </w:rPr>
      </w:pPr>
      <w:r>
        <w:rPr>
          <w:bdr w:val="none" w:sz="0" w:space="0" w:color="auto" w:frame="1"/>
        </w:rPr>
        <w:t xml:space="preserve">Leapfrog is </w:t>
      </w:r>
      <w:bookmarkStart w:id="746" w:name="_Hlk214011341"/>
      <w:r w:rsidR="00842D2A">
        <w:rPr>
          <w:bdr w:val="none" w:sz="0" w:space="0" w:color="auto" w:frame="1"/>
        </w:rPr>
        <w:t xml:space="preserve">no longe </w:t>
      </w:r>
      <w:r w:rsidR="0033064E">
        <w:rPr>
          <w:bdr w:val="none" w:sz="0" w:space="0" w:color="auto" w:frame="1"/>
        </w:rPr>
        <w:t>a</w:t>
      </w:r>
      <w:r w:rsidR="0033064E" w:rsidRPr="0033064E">
        <w:rPr>
          <w:bdr w:val="none" w:sz="0" w:space="0" w:color="auto" w:frame="1"/>
        </w:rPr>
        <w:t>sking hospitals to report their OAS CAHPS Top Box scores. Instead, Leapfrog will obtain these data directly from the</w:t>
      </w:r>
      <w:r>
        <w:rPr>
          <w:bdr w:val="none" w:sz="0" w:space="0" w:color="auto" w:frame="1"/>
        </w:rPr>
        <w:t xml:space="preserve"> CMS </w:t>
      </w:r>
      <w:hyperlink r:id="rId481" w:history="1">
        <w:r w:rsidRPr="00DE5DC3">
          <w:rPr>
            <w:rStyle w:val="Hyperlink"/>
            <w:bdr w:val="none" w:sz="0" w:space="0" w:color="auto" w:frame="1"/>
          </w:rPr>
          <w:t>Provider Data Catalog</w:t>
        </w:r>
      </w:hyperlink>
      <w:r>
        <w:rPr>
          <w:bdr w:val="none" w:sz="0" w:space="0" w:color="auto" w:frame="1"/>
        </w:rPr>
        <w:t>:</w:t>
      </w:r>
    </w:p>
    <w:p w14:paraId="058B7F93" w14:textId="77777777" w:rsidR="00B22973" w:rsidRDefault="00B22973" w:rsidP="00B22973">
      <w:pPr>
        <w:pStyle w:val="ListParagraph"/>
        <w:numPr>
          <w:ilvl w:val="0"/>
          <w:numId w:val="427"/>
        </w:numPr>
        <w:spacing w:before="200" w:after="200" w:line="276" w:lineRule="auto"/>
        <w:rPr>
          <w:bdr w:val="none" w:sz="0" w:space="0" w:color="auto" w:frame="1"/>
        </w:rPr>
      </w:pPr>
      <w:r>
        <w:rPr>
          <w:bdr w:val="none" w:sz="0" w:space="0" w:color="auto" w:frame="1"/>
        </w:rPr>
        <w:t xml:space="preserve">Patient Experience Top Box Scores (OAS CAHPS) </w:t>
      </w:r>
    </w:p>
    <w:p w14:paraId="53A9EEA9" w14:textId="77777777" w:rsidR="00B22973" w:rsidRDefault="00B22973" w:rsidP="00B22973">
      <w:pPr>
        <w:pStyle w:val="ListParagraph"/>
        <w:numPr>
          <w:ilvl w:val="1"/>
          <w:numId w:val="428"/>
        </w:numPr>
        <w:spacing w:before="200" w:after="200" w:line="276" w:lineRule="auto"/>
        <w:rPr>
          <w:bdr w:val="none" w:sz="0" w:space="0" w:color="auto" w:frame="1"/>
        </w:rPr>
      </w:pPr>
      <w:r w:rsidRPr="00DE5DC3">
        <w:rPr>
          <w:bdr w:val="none" w:sz="0" w:space="0" w:color="auto" w:frame="1"/>
        </w:rPr>
        <w:t xml:space="preserve">Facilities and Staff </w:t>
      </w:r>
    </w:p>
    <w:p w14:paraId="3935B571" w14:textId="77777777" w:rsidR="00B22973" w:rsidRDefault="00B22973" w:rsidP="00B22973">
      <w:pPr>
        <w:pStyle w:val="ListParagraph"/>
        <w:numPr>
          <w:ilvl w:val="1"/>
          <w:numId w:val="428"/>
        </w:numPr>
        <w:spacing w:before="200" w:after="200" w:line="276" w:lineRule="auto"/>
        <w:rPr>
          <w:bdr w:val="none" w:sz="0" w:space="0" w:color="auto" w:frame="1"/>
        </w:rPr>
      </w:pPr>
      <w:r w:rsidRPr="00DE5DC3">
        <w:rPr>
          <w:bdr w:val="none" w:sz="0" w:space="0" w:color="auto" w:frame="1"/>
        </w:rPr>
        <w:t>Communication About Your Procedure</w:t>
      </w:r>
    </w:p>
    <w:p w14:paraId="5C7E870B" w14:textId="77777777" w:rsidR="00B22973" w:rsidRDefault="00B22973" w:rsidP="00B22973">
      <w:pPr>
        <w:pStyle w:val="ListParagraph"/>
        <w:numPr>
          <w:ilvl w:val="1"/>
          <w:numId w:val="428"/>
        </w:numPr>
        <w:spacing w:before="200" w:after="200" w:line="276" w:lineRule="auto"/>
        <w:rPr>
          <w:bdr w:val="none" w:sz="0" w:space="0" w:color="auto" w:frame="1"/>
        </w:rPr>
      </w:pPr>
      <w:r w:rsidRPr="00DE5DC3">
        <w:rPr>
          <w:bdr w:val="none" w:sz="0" w:space="0" w:color="auto" w:frame="1"/>
        </w:rPr>
        <w:t>Patients’ Rating of the Facility</w:t>
      </w:r>
    </w:p>
    <w:p w14:paraId="7D0F8669" w14:textId="77777777" w:rsidR="00B22973" w:rsidRPr="00094590" w:rsidRDefault="00B22973" w:rsidP="00B22973">
      <w:pPr>
        <w:pStyle w:val="ListParagraph"/>
        <w:numPr>
          <w:ilvl w:val="1"/>
          <w:numId w:val="428"/>
        </w:numPr>
        <w:spacing w:before="200" w:after="200" w:line="276" w:lineRule="auto"/>
        <w:rPr>
          <w:bdr w:val="none" w:sz="0" w:space="0" w:color="auto" w:frame="1"/>
        </w:rPr>
      </w:pPr>
      <w:r w:rsidRPr="00DE5DC3">
        <w:rPr>
          <w:bdr w:val="none" w:sz="0" w:space="0" w:color="auto" w:frame="1"/>
        </w:rPr>
        <w:t>Patients Recommending the Facility</w:t>
      </w:r>
    </w:p>
    <w:bookmarkEnd w:id="746"/>
    <w:p w14:paraId="3840AA80" w14:textId="77777777" w:rsidR="0036458A" w:rsidRDefault="0036458A" w:rsidP="003A7DE7">
      <w:pPr>
        <w:rPr>
          <w:bdr w:val="none" w:sz="0" w:space="0" w:color="auto" w:frame="1"/>
        </w:rPr>
      </w:pPr>
      <w:r w:rsidRPr="0036458A">
        <w:rPr>
          <w:bdr w:val="none" w:sz="0" w:space="0" w:color="auto" w:frame="1"/>
        </w:rPr>
        <w:t xml:space="preserve">Additionally, as described above, Leapfrog is also obtaining data for OP-32: Rate of Unplanned Hospital Visits After an Outpatient Colonoscopy directly from the CMS Provider Data Catalog. </w:t>
      </w:r>
    </w:p>
    <w:p w14:paraId="73A4AF40" w14:textId="77777777" w:rsidR="0036458A" w:rsidRDefault="0036458A" w:rsidP="003A7DE7">
      <w:pPr>
        <w:rPr>
          <w:bdr w:val="none" w:sz="0" w:space="0" w:color="auto" w:frame="1"/>
        </w:rPr>
      </w:pPr>
    </w:p>
    <w:p w14:paraId="3EC79B44" w14:textId="77777777" w:rsidR="0036458A" w:rsidRDefault="0036458A" w:rsidP="003A7DE7">
      <w:pPr>
        <w:rPr>
          <w:bdr w:val="none" w:sz="0" w:space="0" w:color="auto" w:frame="1"/>
        </w:rPr>
      </w:pPr>
      <w:r w:rsidRPr="0036458A">
        <w:rPr>
          <w:bdr w:val="none" w:sz="0" w:space="0" w:color="auto" w:frame="1"/>
        </w:rPr>
        <w:t xml:space="preserve">For hospitals that provide a valid CMS Certification Number (CCN) in the Hospital Profile and report performing outpatient procedures in Section 9A: Basic Outpatient Department Information of the Leapfrog Hospital Survey, data will be downloaded three times per Survey cycle: June 30, August 31, and November 30. </w:t>
      </w:r>
    </w:p>
    <w:p w14:paraId="29BCAB56" w14:textId="77777777" w:rsidR="0036458A" w:rsidRDefault="0036458A" w:rsidP="003A7DE7">
      <w:pPr>
        <w:rPr>
          <w:bdr w:val="none" w:sz="0" w:space="0" w:color="auto" w:frame="1"/>
        </w:rPr>
      </w:pPr>
    </w:p>
    <w:p w14:paraId="0E772BE4" w14:textId="0A9C502E" w:rsidR="00B22973" w:rsidRDefault="0036458A" w:rsidP="003A7DE7">
      <w:pPr>
        <w:rPr>
          <w:bdr w:val="none" w:sz="0" w:space="0" w:color="auto" w:frame="1"/>
        </w:rPr>
      </w:pPr>
      <w:r w:rsidRPr="0036458A">
        <w:rPr>
          <w:bdr w:val="none" w:sz="0" w:space="0" w:color="auto" w:frame="1"/>
        </w:rPr>
        <w:t>The top quartiles used in the 9F: Patient Experience (OAS CAHPS) scoring algorithm will be calculated using results published by CMS for both Ambulatory Surgery Centers (ASCs) and hospitals on June 30, 2026.</w:t>
      </w:r>
    </w:p>
    <w:p w14:paraId="667D69F8" w14:textId="77777777" w:rsidR="0036458A" w:rsidRDefault="0036458A" w:rsidP="003A7DE7">
      <w:pPr>
        <w:rPr>
          <w:bdr w:val="none" w:sz="0" w:space="0" w:color="auto" w:frame="1"/>
        </w:rPr>
      </w:pPr>
    </w:p>
    <w:p w14:paraId="4F684362" w14:textId="0E948CF9" w:rsidR="0036458A" w:rsidRDefault="0036458A" w:rsidP="003A7DE7">
      <w:pPr>
        <w:rPr>
          <w:bdr w:val="none" w:sz="0" w:space="0" w:color="auto" w:frame="1"/>
        </w:rPr>
      </w:pPr>
      <w:r w:rsidRPr="0036458A">
        <w:rPr>
          <w:bdr w:val="none" w:sz="0" w:space="0" w:color="auto" w:frame="1"/>
        </w:rPr>
        <w:t>Anticipated reporting periods and data download dates for the CMS measure and new FAQs are available in</w:t>
      </w:r>
      <w:r>
        <w:rPr>
          <w:bdr w:val="none" w:sz="0" w:space="0" w:color="auto" w:frame="1"/>
        </w:rPr>
        <w:t xml:space="preserve"> the measure specifications.</w:t>
      </w:r>
    </w:p>
    <w:p w14:paraId="5837DC69" w14:textId="77777777" w:rsidR="002C10F9" w:rsidRPr="00077D47" w:rsidRDefault="002C10F9" w:rsidP="00F151B7">
      <w:pPr>
        <w:rPr>
          <w:rFonts w:cs="Arial"/>
          <w:lang w:eastAsia="ja-JP"/>
        </w:rPr>
      </w:pPr>
    </w:p>
    <w:p w14:paraId="3C41C1FB" w14:textId="3DDCA0F3" w:rsidR="00F151B7" w:rsidRPr="009A5185" w:rsidRDefault="00F151B7" w:rsidP="00AB5B80">
      <w:pPr>
        <w:pStyle w:val="Heading3"/>
      </w:pPr>
      <w:bookmarkStart w:id="747" w:name="_Toc225877851"/>
      <w:r w:rsidRPr="009A5185">
        <w:t xml:space="preserve">Change Summary </w:t>
      </w:r>
      <w:r w:rsidR="00A879E1">
        <w:t>S</w:t>
      </w:r>
      <w:r w:rsidRPr="009A5185">
        <w:t>ince Release</w:t>
      </w:r>
      <w:bookmarkEnd w:id="747"/>
    </w:p>
    <w:p w14:paraId="41BB8689" w14:textId="77777777" w:rsidR="00F151B7" w:rsidRDefault="00F151B7" w:rsidP="00F151B7">
      <w:pPr>
        <w:rPr>
          <w:rFonts w:cs="Arial"/>
          <w:lang w:eastAsia="ja-JP"/>
        </w:rPr>
      </w:pPr>
    </w:p>
    <w:p w14:paraId="18BCF612" w14:textId="793CD813" w:rsidR="00824856" w:rsidRDefault="00BB7882">
      <w:pPr>
        <w:rPr>
          <w:b/>
          <w:snapToGrid w:val="0"/>
          <w:sz w:val="28"/>
          <w:szCs w:val="24"/>
          <w:u w:val="single"/>
          <w:lang w:eastAsia="ja-JP"/>
        </w:rPr>
      </w:pPr>
      <w:r w:rsidRPr="009A5185">
        <w:rPr>
          <w:rFonts w:cs="Arial"/>
          <w:lang w:eastAsia="ja-JP"/>
        </w:rPr>
        <w:t xml:space="preserve">None. If substantive changes are made to this section of the Survey after release on April 1, </w:t>
      </w:r>
      <w:r>
        <w:rPr>
          <w:rFonts w:cs="Arial"/>
          <w:lang w:eastAsia="ja-JP"/>
        </w:rPr>
        <w:t>202</w:t>
      </w:r>
      <w:r w:rsidR="002B59CE">
        <w:rPr>
          <w:rFonts w:cs="Arial"/>
          <w:lang w:eastAsia="ja-JP"/>
        </w:rPr>
        <w:t>6</w:t>
      </w:r>
      <w:r>
        <w:rPr>
          <w:rFonts w:cs="Arial"/>
          <w:lang w:eastAsia="ja-JP"/>
        </w:rPr>
        <w:t>,</w:t>
      </w:r>
      <w:r w:rsidRPr="009A5185">
        <w:rPr>
          <w:rFonts w:cs="Arial"/>
          <w:lang w:eastAsia="ja-JP"/>
        </w:rPr>
        <w:t xml:space="preserve"> they will be documented in this Change Summary section.</w:t>
      </w:r>
      <w:r w:rsidR="00824856">
        <w:br w:type="page"/>
      </w:r>
    </w:p>
    <w:p w14:paraId="5B12EF0E" w14:textId="31AF5A2F" w:rsidR="00AA0A57" w:rsidRDefault="006D4D6A" w:rsidP="00CF5A6E">
      <w:pPr>
        <w:pStyle w:val="Heading2"/>
      </w:pPr>
      <w:bookmarkStart w:id="748" w:name="_Toc225877852"/>
      <w:r>
        <w:t>Section 9</w:t>
      </w:r>
      <w:r w:rsidR="002506C9">
        <w:t>A</w:t>
      </w:r>
      <w:r w:rsidR="00C214F2">
        <w:t>:</w:t>
      </w:r>
      <w:r w:rsidR="000A7AEE">
        <w:t xml:space="preserve"> </w:t>
      </w:r>
      <w:r w:rsidR="00AA0A57">
        <w:t>Basic Outpatient Department</w:t>
      </w:r>
      <w:r w:rsidR="00AA0A57" w:rsidRPr="009A5185">
        <w:t xml:space="preserve"> </w:t>
      </w:r>
      <w:r w:rsidR="00AA0A57">
        <w:t>Information Frequently Asked Questions (FAQs)</w:t>
      </w:r>
      <w:bookmarkEnd w:id="748"/>
    </w:p>
    <w:p w14:paraId="3DA1F5E2" w14:textId="77777777" w:rsidR="00AA0A57" w:rsidRPr="00AA0A57" w:rsidRDefault="00AA0A57" w:rsidP="00AA0A57">
      <w:pPr>
        <w:rPr>
          <w:lang w:eastAsia="ja-JP"/>
        </w:rPr>
      </w:pPr>
    </w:p>
    <w:p w14:paraId="18D072B3" w14:textId="5417507C" w:rsidR="005B653F" w:rsidRDefault="004D3B02" w:rsidP="00AD309C">
      <w:pPr>
        <w:pStyle w:val="ListParagraph"/>
        <w:numPr>
          <w:ilvl w:val="0"/>
          <w:numId w:val="96"/>
        </w:numPr>
        <w:rPr>
          <w:lang w:eastAsia="ja-JP"/>
        </w:rPr>
      </w:pPr>
      <w:r w:rsidRPr="004D3B02">
        <w:rPr>
          <w:b/>
          <w:lang w:eastAsia="ja-JP"/>
        </w:rPr>
        <w:t xml:space="preserve">Our hospital shares a CMS Certification Number (CCN) with other </w:t>
      </w:r>
      <w:r w:rsidR="00AA5A1D" w:rsidRPr="004D3B02">
        <w:rPr>
          <w:b/>
          <w:lang w:eastAsia="ja-JP"/>
        </w:rPr>
        <w:t>hospitals,</w:t>
      </w:r>
      <w:r w:rsidRPr="004D3B02">
        <w:rPr>
          <w:b/>
          <w:lang w:eastAsia="ja-JP"/>
        </w:rPr>
        <w:t xml:space="preserve"> and we have many hospital outpatient</w:t>
      </w:r>
      <w:r w:rsidR="00607607">
        <w:rPr>
          <w:b/>
          <w:lang w:eastAsia="ja-JP"/>
        </w:rPr>
        <w:t xml:space="preserve"> department</w:t>
      </w:r>
      <w:r w:rsidRPr="004D3B02">
        <w:rPr>
          <w:b/>
          <w:lang w:eastAsia="ja-JP"/>
        </w:rPr>
        <w:t xml:space="preserve"> locations (</w:t>
      </w:r>
      <w:r w:rsidR="00607607">
        <w:rPr>
          <w:b/>
          <w:lang w:eastAsia="ja-JP"/>
        </w:rPr>
        <w:t xml:space="preserve">e.g., surgery centers, </w:t>
      </w:r>
      <w:r w:rsidRPr="004D3B02">
        <w:rPr>
          <w:b/>
          <w:lang w:eastAsia="ja-JP"/>
        </w:rPr>
        <w:t xml:space="preserve">endoscopy centers, </w:t>
      </w:r>
      <w:r w:rsidR="00607607">
        <w:rPr>
          <w:b/>
          <w:lang w:eastAsia="ja-JP"/>
        </w:rPr>
        <w:t>free-standing hospital outpatient departments,</w:t>
      </w:r>
      <w:r>
        <w:rPr>
          <w:b/>
          <w:lang w:eastAsia="ja-JP"/>
        </w:rPr>
        <w:t xml:space="preserve"> etc.</w:t>
      </w:r>
      <w:r w:rsidR="00607607">
        <w:rPr>
          <w:b/>
          <w:lang w:eastAsia="ja-JP"/>
        </w:rPr>
        <w:t>)</w:t>
      </w:r>
      <w:r>
        <w:rPr>
          <w:b/>
          <w:lang w:eastAsia="ja-JP"/>
        </w:rPr>
        <w:t xml:space="preserve"> all under the same CC</w:t>
      </w:r>
      <w:r w:rsidRPr="004D3B02">
        <w:rPr>
          <w:b/>
          <w:lang w:eastAsia="ja-JP"/>
        </w:rPr>
        <w:t xml:space="preserve">N. </w:t>
      </w:r>
      <w:r w:rsidR="005B653F">
        <w:rPr>
          <w:b/>
          <w:lang w:eastAsia="ja-JP"/>
        </w:rPr>
        <w:t xml:space="preserve">How should we report on Section </w:t>
      </w:r>
      <w:r w:rsidR="00FB07A6">
        <w:rPr>
          <w:b/>
          <w:lang w:eastAsia="ja-JP"/>
        </w:rPr>
        <w:t>9:</w:t>
      </w:r>
      <w:r w:rsidR="005B653F">
        <w:rPr>
          <w:b/>
          <w:lang w:eastAsia="ja-JP"/>
        </w:rPr>
        <w:t xml:space="preserve"> Outpatient Procedures?</w:t>
      </w:r>
      <w:r w:rsidR="005B653F">
        <w:rPr>
          <w:lang w:eastAsia="ja-JP"/>
        </w:rPr>
        <w:t xml:space="preserve"> </w:t>
      </w:r>
    </w:p>
    <w:p w14:paraId="3A718121" w14:textId="336EE124" w:rsidR="005B653F" w:rsidRDefault="005B653F" w:rsidP="005B653F">
      <w:pPr>
        <w:pStyle w:val="ListParagraph"/>
        <w:ind w:left="360"/>
        <w:rPr>
          <w:lang w:eastAsia="ja-JP"/>
        </w:rPr>
      </w:pPr>
      <w:r>
        <w:rPr>
          <w:lang w:eastAsia="ja-JP"/>
        </w:rPr>
        <w:t xml:space="preserve">As per Leapfrog's </w:t>
      </w:r>
      <w:hyperlink r:id="rId482" w:history="1">
        <w:r w:rsidRPr="001524B9">
          <w:rPr>
            <w:rStyle w:val="Hyperlink"/>
            <w:lang w:eastAsia="ja-JP"/>
          </w:rPr>
          <w:t>Multi-Campus Reporting Policy</w:t>
        </w:r>
      </w:hyperlink>
      <w:r>
        <w:rPr>
          <w:lang w:eastAsia="ja-JP"/>
        </w:rPr>
        <w:t>, all hospital campuses will need to complete their own Leapfrog Hospital Survey unless they are co-located.</w:t>
      </w:r>
    </w:p>
    <w:p w14:paraId="2F73B1AC" w14:textId="77777777" w:rsidR="005B653F" w:rsidRDefault="005B653F" w:rsidP="005B653F">
      <w:pPr>
        <w:pStyle w:val="ListParagraph"/>
        <w:ind w:left="360"/>
        <w:rPr>
          <w:lang w:eastAsia="ja-JP"/>
        </w:rPr>
      </w:pPr>
    </w:p>
    <w:p w14:paraId="0473CF6E" w14:textId="4AD8B283" w:rsidR="005B653F" w:rsidRDefault="005B653F" w:rsidP="005B653F">
      <w:pPr>
        <w:pStyle w:val="ListParagraph"/>
        <w:ind w:left="360"/>
        <w:rPr>
          <w:lang w:eastAsia="ja-JP"/>
        </w:rPr>
      </w:pPr>
      <w:r>
        <w:rPr>
          <w:lang w:eastAsia="ja-JP"/>
        </w:rPr>
        <w:t xml:space="preserve">For Section </w:t>
      </w:r>
      <w:r w:rsidR="00FB07A6">
        <w:rPr>
          <w:lang w:eastAsia="ja-JP"/>
        </w:rPr>
        <w:t>9:</w:t>
      </w:r>
      <w:r>
        <w:rPr>
          <w:lang w:eastAsia="ja-JP"/>
        </w:rPr>
        <w:t xml:space="preserve"> Outpatient Procedures, each hospital campus will need to indicate in Section </w:t>
      </w:r>
      <w:r w:rsidR="00FB07A6">
        <w:rPr>
          <w:lang w:eastAsia="ja-JP"/>
        </w:rPr>
        <w:t>9</w:t>
      </w:r>
      <w:r>
        <w:rPr>
          <w:lang w:eastAsia="ja-JP"/>
        </w:rPr>
        <w:t xml:space="preserve">A if they are performing the outpatient procedures listed in Section </w:t>
      </w:r>
      <w:r w:rsidR="00FB07A6">
        <w:rPr>
          <w:lang w:eastAsia="ja-JP"/>
        </w:rPr>
        <w:t>9</w:t>
      </w:r>
      <w:r>
        <w:rPr>
          <w:lang w:eastAsia="ja-JP"/>
        </w:rPr>
        <w:t xml:space="preserve">C at their hospital and/or at a surgery center or free-standing hospital outpatient department that shares their hospital's CMS Certification Number (CCN). You should only include those hospital outpatient departments that your hospital refers patients to. The remainder of the questions in Section </w:t>
      </w:r>
      <w:r w:rsidR="00FB07A6">
        <w:rPr>
          <w:lang w:eastAsia="ja-JP"/>
        </w:rPr>
        <w:t>9</w:t>
      </w:r>
      <w:r>
        <w:rPr>
          <w:lang w:eastAsia="ja-JP"/>
        </w:rPr>
        <w:t xml:space="preserve"> will need to be answered based on:</w:t>
      </w:r>
    </w:p>
    <w:p w14:paraId="2E100E84" w14:textId="7645334A" w:rsidR="005B653F" w:rsidRDefault="005B653F" w:rsidP="00AD309C">
      <w:pPr>
        <w:pStyle w:val="ListParagraph"/>
        <w:numPr>
          <w:ilvl w:val="0"/>
          <w:numId w:val="137"/>
        </w:numPr>
        <w:rPr>
          <w:lang w:eastAsia="ja-JP"/>
        </w:rPr>
      </w:pPr>
      <w:r w:rsidRPr="005B653F">
        <w:rPr>
          <w:lang w:eastAsia="ja-JP"/>
        </w:rPr>
        <w:t>all hospital outpatient departments in your hospital</w:t>
      </w:r>
      <w:r w:rsidR="00C71668">
        <w:rPr>
          <w:lang w:eastAsia="ja-JP"/>
        </w:rPr>
        <w:t>, including any areas such a</w:t>
      </w:r>
      <w:r w:rsidR="00BA4425">
        <w:rPr>
          <w:lang w:eastAsia="ja-JP"/>
        </w:rPr>
        <w:t>s</w:t>
      </w:r>
      <w:r w:rsidR="00C71668">
        <w:rPr>
          <w:lang w:eastAsia="ja-JP"/>
        </w:rPr>
        <w:t xml:space="preserve"> inpatient units, where outpatient procedures are performed</w:t>
      </w:r>
      <w:r>
        <w:rPr>
          <w:lang w:eastAsia="ja-JP"/>
        </w:rPr>
        <w:t xml:space="preserve"> (as reported in Section </w:t>
      </w:r>
      <w:r w:rsidR="00FB07A6">
        <w:rPr>
          <w:lang w:eastAsia="ja-JP"/>
        </w:rPr>
        <w:t>9</w:t>
      </w:r>
      <w:r>
        <w:rPr>
          <w:lang w:eastAsia="ja-JP"/>
        </w:rPr>
        <w:t>A question #2)</w:t>
      </w:r>
      <w:r w:rsidRPr="005B653F">
        <w:rPr>
          <w:lang w:eastAsia="ja-JP"/>
        </w:rPr>
        <w:t>; and</w:t>
      </w:r>
      <w:r>
        <w:rPr>
          <w:lang w:eastAsia="ja-JP"/>
        </w:rPr>
        <w:t>,</w:t>
      </w:r>
    </w:p>
    <w:p w14:paraId="3B3E1FAB" w14:textId="57CD86B5" w:rsidR="005B653F" w:rsidRDefault="005B653F" w:rsidP="00AD309C">
      <w:pPr>
        <w:pStyle w:val="ListParagraph"/>
        <w:numPr>
          <w:ilvl w:val="0"/>
          <w:numId w:val="137"/>
        </w:numPr>
        <w:rPr>
          <w:lang w:eastAsia="ja-JP"/>
        </w:rPr>
      </w:pPr>
      <w:r>
        <w:rPr>
          <w:lang w:eastAsia="ja-JP"/>
        </w:rPr>
        <w:t xml:space="preserve">all surgery centers and free-standing hospital outpatient departments that share your hospital's CCN (as reported in Section </w:t>
      </w:r>
      <w:r w:rsidR="00FB07A6">
        <w:rPr>
          <w:lang w:eastAsia="ja-JP"/>
        </w:rPr>
        <w:t>9</w:t>
      </w:r>
      <w:r>
        <w:rPr>
          <w:lang w:eastAsia="ja-JP"/>
        </w:rPr>
        <w:t>A question #3)</w:t>
      </w:r>
    </w:p>
    <w:p w14:paraId="5951B551" w14:textId="77777777" w:rsidR="005B653F" w:rsidRDefault="005B653F" w:rsidP="005B653F">
      <w:pPr>
        <w:pStyle w:val="ListParagraph"/>
        <w:ind w:left="360"/>
        <w:rPr>
          <w:lang w:eastAsia="ja-JP"/>
        </w:rPr>
      </w:pPr>
    </w:p>
    <w:p w14:paraId="2EA5C83B" w14:textId="0E97BC22" w:rsidR="005B653F" w:rsidRDefault="005B653F" w:rsidP="005B653F">
      <w:pPr>
        <w:pStyle w:val="ListParagraph"/>
        <w:ind w:left="360"/>
        <w:rPr>
          <w:lang w:eastAsia="ja-JP"/>
        </w:rPr>
      </w:pPr>
      <w:r>
        <w:rPr>
          <w:lang w:eastAsia="ja-JP"/>
        </w:rPr>
        <w:t xml:space="preserve">In Section </w:t>
      </w:r>
      <w:r w:rsidR="00FB07A6">
        <w:rPr>
          <w:lang w:eastAsia="ja-JP"/>
        </w:rPr>
        <w:t>9</w:t>
      </w:r>
      <w:r>
        <w:rPr>
          <w:lang w:eastAsia="ja-JP"/>
        </w:rPr>
        <w:t xml:space="preserve">C, you will be able to provide total volume across all hospital outpatient department locations (as reported in Section </w:t>
      </w:r>
      <w:r w:rsidR="00FB07A6">
        <w:rPr>
          <w:lang w:eastAsia="ja-JP"/>
        </w:rPr>
        <w:t>9</w:t>
      </w:r>
      <w:r>
        <w:rPr>
          <w:lang w:eastAsia="ja-JP"/>
        </w:rPr>
        <w:t>A questions #2 and #3) and information for the different outpatient locations where the specific outpatient procedures are performed. All other questions should be answered based on all outpatient locations. If you have different adherence across locations, you should answer based on the least adherent location.</w:t>
      </w:r>
    </w:p>
    <w:p w14:paraId="28FF572D" w14:textId="77777777" w:rsidR="005B653F" w:rsidRDefault="005B653F" w:rsidP="005B653F">
      <w:pPr>
        <w:pStyle w:val="ListParagraph"/>
        <w:ind w:left="360"/>
        <w:rPr>
          <w:lang w:eastAsia="ja-JP"/>
        </w:rPr>
      </w:pPr>
    </w:p>
    <w:p w14:paraId="21C837BE" w14:textId="6E192CA8" w:rsidR="005B653F" w:rsidRDefault="005B653F" w:rsidP="005B653F">
      <w:pPr>
        <w:pStyle w:val="ListParagraph"/>
        <w:ind w:left="360"/>
        <w:rPr>
          <w:lang w:eastAsia="ja-JP"/>
        </w:rPr>
      </w:pPr>
      <w:r>
        <w:rPr>
          <w:lang w:eastAsia="ja-JP"/>
        </w:rPr>
        <w:t xml:space="preserve">If all hospital campuses are referring patients to the same surgery centers and free-standing hospital outpatient departments, you would include the information and volume for these locations when responding to Section </w:t>
      </w:r>
      <w:r w:rsidR="00FB07A6">
        <w:rPr>
          <w:lang w:eastAsia="ja-JP"/>
        </w:rPr>
        <w:t>9</w:t>
      </w:r>
      <w:r>
        <w:rPr>
          <w:lang w:eastAsia="ja-JP"/>
        </w:rPr>
        <w:t xml:space="preserve"> on </w:t>
      </w:r>
      <w:r w:rsidR="00964E75">
        <w:rPr>
          <w:lang w:eastAsia="ja-JP"/>
        </w:rPr>
        <w:t>all</w:t>
      </w:r>
      <w:r w:rsidR="00BA4425">
        <w:rPr>
          <w:lang w:eastAsia="ja-JP"/>
        </w:rPr>
        <w:t xml:space="preserve"> </w:t>
      </w:r>
      <w:r>
        <w:rPr>
          <w:lang w:eastAsia="ja-JP"/>
        </w:rPr>
        <w:t>their Leapfrog Hospital Surveys.</w:t>
      </w:r>
    </w:p>
    <w:p w14:paraId="18AC5897" w14:textId="77777777" w:rsidR="004D3B02" w:rsidRPr="00D221D0" w:rsidRDefault="004D3B02" w:rsidP="005B653F">
      <w:pPr>
        <w:rPr>
          <w:lang w:eastAsia="ja-JP"/>
        </w:rPr>
      </w:pPr>
    </w:p>
    <w:p w14:paraId="26CF6609" w14:textId="5320B995" w:rsidR="00643756" w:rsidRPr="00643756" w:rsidRDefault="008B4AFB" w:rsidP="00AD309C">
      <w:pPr>
        <w:pStyle w:val="ListParagraph"/>
        <w:numPr>
          <w:ilvl w:val="0"/>
          <w:numId w:val="96"/>
        </w:numPr>
        <w:rPr>
          <w:lang w:eastAsia="ja-JP"/>
        </w:rPr>
      </w:pPr>
      <w:r>
        <w:rPr>
          <w:b/>
          <w:lang w:eastAsia="ja-JP"/>
        </w:rPr>
        <w:t xml:space="preserve">How should our </w:t>
      </w:r>
      <w:r w:rsidR="00607607">
        <w:rPr>
          <w:b/>
          <w:lang w:eastAsia="ja-JP"/>
        </w:rPr>
        <w:t>hospital</w:t>
      </w:r>
      <w:r w:rsidR="00080C12">
        <w:rPr>
          <w:b/>
          <w:lang w:eastAsia="ja-JP"/>
        </w:rPr>
        <w:t xml:space="preserve"> report on the number of</w:t>
      </w:r>
      <w:r>
        <w:rPr>
          <w:b/>
          <w:lang w:eastAsia="ja-JP"/>
        </w:rPr>
        <w:t xml:space="preserve"> operating rooms and </w:t>
      </w:r>
      <w:r w:rsidR="00080C12">
        <w:rPr>
          <w:b/>
          <w:lang w:eastAsia="ja-JP"/>
        </w:rPr>
        <w:t xml:space="preserve">endoscopic </w:t>
      </w:r>
      <w:r>
        <w:rPr>
          <w:b/>
          <w:lang w:eastAsia="ja-JP"/>
        </w:rPr>
        <w:t xml:space="preserve">procedure rooms </w:t>
      </w:r>
      <w:r w:rsidR="00080C12">
        <w:rPr>
          <w:b/>
          <w:lang w:eastAsia="ja-JP"/>
        </w:rPr>
        <w:t>in questions #</w:t>
      </w:r>
      <w:r w:rsidR="00D666AE">
        <w:rPr>
          <w:b/>
          <w:lang w:eastAsia="ja-JP"/>
        </w:rPr>
        <w:t>4-5</w:t>
      </w:r>
      <w:r w:rsidR="00CB4817">
        <w:rPr>
          <w:b/>
          <w:lang w:eastAsia="ja-JP"/>
        </w:rPr>
        <w:t xml:space="preserve"> </w:t>
      </w:r>
      <w:r>
        <w:rPr>
          <w:b/>
          <w:lang w:eastAsia="ja-JP"/>
        </w:rPr>
        <w:t>if our operating/procedure rooms are used for both inpatient and outpatients?</w:t>
      </w:r>
      <w:r w:rsidR="00D666AE">
        <w:rPr>
          <w:b/>
          <w:lang w:eastAsia="ja-JP"/>
        </w:rPr>
        <w:t xml:space="preserve"> How should we report if we have multiple hospital outpatient departments?</w:t>
      </w:r>
    </w:p>
    <w:p w14:paraId="5D2A96CF" w14:textId="56D324BD" w:rsidR="00010E88" w:rsidRDefault="00D666AE" w:rsidP="003968AC">
      <w:pPr>
        <w:pStyle w:val="ListParagraph"/>
        <w:ind w:left="360"/>
        <w:rPr>
          <w:sz w:val="28"/>
          <w:szCs w:val="24"/>
          <w:u w:val="single"/>
          <w:lang w:eastAsia="ja-JP"/>
        </w:rPr>
      </w:pPr>
      <w:r>
        <w:rPr>
          <w:lang w:eastAsia="ja-JP"/>
        </w:rPr>
        <w:t xml:space="preserve">Hospitals </w:t>
      </w:r>
      <w:r w:rsidR="00643756">
        <w:rPr>
          <w:lang w:eastAsia="ja-JP"/>
        </w:rPr>
        <w:t>should report on the total number of adult and pediatric operating rooms or procedure rooms if these rooms are used for both inpatient and outpatient</w:t>
      </w:r>
      <w:r w:rsidR="00BA4425">
        <w:rPr>
          <w:lang w:eastAsia="ja-JP"/>
        </w:rPr>
        <w:t xml:space="preserve"> procedures</w:t>
      </w:r>
      <w:r w:rsidR="00643756">
        <w:rPr>
          <w:lang w:eastAsia="ja-JP"/>
        </w:rPr>
        <w:t xml:space="preserve">. Otherwise, </w:t>
      </w:r>
      <w:r>
        <w:rPr>
          <w:lang w:eastAsia="ja-JP"/>
        </w:rPr>
        <w:t xml:space="preserve">hospitals </w:t>
      </w:r>
      <w:r w:rsidR="00643756">
        <w:rPr>
          <w:lang w:eastAsia="ja-JP"/>
        </w:rPr>
        <w:t>should only report on the number of operating/procedure rooms that are used for outpatient</w:t>
      </w:r>
      <w:r w:rsidR="00BA4425">
        <w:rPr>
          <w:lang w:eastAsia="ja-JP"/>
        </w:rPr>
        <w:t xml:space="preserve"> procedures</w:t>
      </w:r>
      <w:r w:rsidR="00643756">
        <w:rPr>
          <w:lang w:eastAsia="ja-JP"/>
        </w:rPr>
        <w:t>.</w:t>
      </w:r>
      <w:r>
        <w:rPr>
          <w:lang w:eastAsia="ja-JP"/>
        </w:rPr>
        <w:t xml:space="preserve"> If your hospital has multiple hospital outpatient departments, report the total number of adult and pediatric outpatient operating rooms or procedure rooms across all locations. You should only be reporting on operating rooms </w:t>
      </w:r>
      <w:r w:rsidR="00607607">
        <w:rPr>
          <w:lang w:eastAsia="ja-JP"/>
        </w:rPr>
        <w:t xml:space="preserve">and procedure rooms </w:t>
      </w:r>
      <w:r>
        <w:rPr>
          <w:lang w:eastAsia="ja-JP"/>
        </w:rPr>
        <w:t xml:space="preserve">that are used to perform the outpatient procedures listed in Section </w:t>
      </w:r>
      <w:r w:rsidR="00FB07A6">
        <w:rPr>
          <w:lang w:eastAsia="ja-JP"/>
        </w:rPr>
        <w:t>9</w:t>
      </w:r>
      <w:r>
        <w:rPr>
          <w:lang w:eastAsia="ja-JP"/>
        </w:rPr>
        <w:t>C Volume of Procedures.</w:t>
      </w:r>
      <w:r w:rsidR="00010E88">
        <w:br w:type="page"/>
      </w:r>
    </w:p>
    <w:p w14:paraId="45E862A8" w14:textId="05A654E3" w:rsidR="00CB4817" w:rsidRDefault="00287EBC" w:rsidP="00CF5A6E">
      <w:pPr>
        <w:pStyle w:val="Heading2"/>
      </w:pPr>
      <w:bookmarkStart w:id="749" w:name="_Medical,_Surgical,_and"/>
      <w:bookmarkStart w:id="750" w:name="_Ref153447289"/>
      <w:bookmarkStart w:id="751" w:name="_Ref153447294"/>
      <w:bookmarkStart w:id="752" w:name="_Toc225877853"/>
      <w:bookmarkEnd w:id="749"/>
      <w:r>
        <w:t xml:space="preserve">Section 9B: </w:t>
      </w:r>
      <w:r w:rsidR="00CB4817">
        <w:t>Medical, Surgical, and Clinical Staff Frequently Asked Questions (FAQs)</w:t>
      </w:r>
      <w:bookmarkEnd w:id="750"/>
      <w:bookmarkEnd w:id="751"/>
      <w:bookmarkEnd w:id="752"/>
    </w:p>
    <w:p w14:paraId="7F1DB09A" w14:textId="77777777" w:rsidR="007A7E54" w:rsidRDefault="007A7E54" w:rsidP="00CB4817">
      <w:pPr>
        <w:rPr>
          <w:lang w:eastAsia="ja-JP"/>
        </w:rPr>
      </w:pPr>
    </w:p>
    <w:p w14:paraId="42F61049" w14:textId="2B45A5C6" w:rsidR="007B25E7" w:rsidRPr="0043533E" w:rsidRDefault="007B25E7" w:rsidP="00AD309C">
      <w:pPr>
        <w:pStyle w:val="ListParagraph"/>
        <w:numPr>
          <w:ilvl w:val="0"/>
          <w:numId w:val="155"/>
        </w:numPr>
        <w:spacing w:after="120" w:line="264" w:lineRule="auto"/>
        <w:rPr>
          <w:b/>
          <w:bCs/>
        </w:rPr>
      </w:pPr>
      <w:bookmarkStart w:id="753" w:name="_Hlk36555098"/>
      <w:r w:rsidRPr="0043533E">
        <w:rPr>
          <w:b/>
          <w:bCs/>
        </w:rPr>
        <w:t>How does Leapfrog define “immediately available”</w:t>
      </w:r>
      <w:r w:rsidR="0092055D">
        <w:rPr>
          <w:b/>
          <w:bCs/>
        </w:rPr>
        <w:t xml:space="preserve"> and “in the building”</w:t>
      </w:r>
      <w:r w:rsidRPr="0043533E">
        <w:rPr>
          <w:b/>
          <w:bCs/>
        </w:rPr>
        <w:t xml:space="preserve"> as it pertains to ACLS and/or PALS trained clinicians? </w:t>
      </w:r>
    </w:p>
    <w:p w14:paraId="1763E338" w14:textId="47DE6B4D" w:rsidR="0092055D" w:rsidRDefault="007B25E7" w:rsidP="007B25E7">
      <w:pPr>
        <w:pStyle w:val="ListParagraph"/>
        <w:ind w:left="360"/>
      </w:pPr>
      <w:r>
        <w:t xml:space="preserve">“Immediately available” is defined as being physically present in the </w:t>
      </w:r>
      <w:r w:rsidR="007C03A0">
        <w:t>building</w:t>
      </w:r>
      <w:r>
        <w:t xml:space="preserve"> and not engaged in an </w:t>
      </w:r>
      <w:bookmarkStart w:id="754" w:name="_Hlk36554991"/>
      <w:r>
        <w:t>activity or procedure that cannot be interrupted if hand</w:t>
      </w:r>
      <w:r w:rsidR="003A6865">
        <w:t>s</w:t>
      </w:r>
      <w:r>
        <w:t>-on intervention is needed for a patient.</w:t>
      </w:r>
      <w:bookmarkEnd w:id="754"/>
    </w:p>
    <w:p w14:paraId="0E7FE63A" w14:textId="77777777" w:rsidR="0092055D" w:rsidRDefault="0092055D" w:rsidP="007B25E7">
      <w:pPr>
        <w:pStyle w:val="ListParagraph"/>
        <w:ind w:left="360"/>
      </w:pPr>
    </w:p>
    <w:p w14:paraId="533C8C6F" w14:textId="4E6EB5C2" w:rsidR="003A6865" w:rsidRDefault="0092055D" w:rsidP="00497DB3">
      <w:pPr>
        <w:pStyle w:val="ListParagraph"/>
        <w:ind w:left="360"/>
      </w:pPr>
      <w:r w:rsidRPr="0092055D">
        <w:t>Leapfrog defines "in the building" as within the hospital outpatient department or surgery center or in an area co-located with the hospital outpatient department or surgery center. Leapfrog defines co-located as a location within "immediate physical proximity,</w:t>
      </w:r>
      <w:r w:rsidR="00797BF6" w:rsidRPr="0092055D">
        <w:t>” meaning</w:t>
      </w:r>
      <w:r w:rsidRPr="0092055D">
        <w:t xml:space="preserve"> the two locations are physically connected, either by a tunnel, an enclosed bridge, or the locations </w:t>
      </w:r>
      <w:proofErr w:type="spellStart"/>
      <w:r w:rsidRPr="0092055D">
        <w:t>abut</w:t>
      </w:r>
      <w:proofErr w:type="spellEnd"/>
      <w:r w:rsidRPr="0092055D">
        <w:t xml:space="preserve"> each other so that hallways readily connect.</w:t>
      </w:r>
      <w:r w:rsidR="007B25E7">
        <w:t xml:space="preserve"> </w:t>
      </w:r>
      <w:bookmarkStart w:id="755" w:name="_Hlk36426439"/>
      <w:bookmarkEnd w:id="753"/>
      <w:r w:rsidR="00497DB3">
        <w:br/>
      </w:r>
    </w:p>
    <w:p w14:paraId="732A5075" w14:textId="6B05C9D5" w:rsidR="003A6865" w:rsidRDefault="003A6865" w:rsidP="00AD309C">
      <w:pPr>
        <w:pStyle w:val="ListParagraph"/>
        <w:numPr>
          <w:ilvl w:val="0"/>
          <w:numId w:val="155"/>
        </w:numPr>
        <w:spacing w:after="120" w:line="264" w:lineRule="auto"/>
        <w:rPr>
          <w:b/>
        </w:rPr>
      </w:pPr>
      <w:r>
        <w:rPr>
          <w:b/>
        </w:rPr>
        <w:t xml:space="preserve">If a hospital did not perform any outpatient pediatric procedures during the reporting period selected in Section </w:t>
      </w:r>
      <w:r w:rsidR="00DA07D2">
        <w:rPr>
          <w:b/>
        </w:rPr>
        <w:t>9</w:t>
      </w:r>
      <w:r>
        <w:rPr>
          <w:b/>
        </w:rPr>
        <w:t>C, should they still report on PALS</w:t>
      </w:r>
      <w:r w:rsidR="006C03EE">
        <w:rPr>
          <w:b/>
        </w:rPr>
        <w:t>-</w:t>
      </w:r>
      <w:r>
        <w:rPr>
          <w:b/>
        </w:rPr>
        <w:t xml:space="preserve">trained clinicians in Section </w:t>
      </w:r>
      <w:r w:rsidR="00DA07D2">
        <w:rPr>
          <w:b/>
        </w:rPr>
        <w:t>9</w:t>
      </w:r>
      <w:r>
        <w:rPr>
          <w:b/>
        </w:rPr>
        <w:t>B question #</w:t>
      </w:r>
      <w:r w:rsidR="00EE7395">
        <w:rPr>
          <w:b/>
        </w:rPr>
        <w:t>2</w:t>
      </w:r>
      <w:r>
        <w:rPr>
          <w:b/>
        </w:rPr>
        <w:t>?</w:t>
      </w:r>
    </w:p>
    <w:p w14:paraId="335DAC04" w14:textId="4030FD1C" w:rsidR="003A6865" w:rsidRDefault="003A6865" w:rsidP="003A6865">
      <w:pPr>
        <w:pStyle w:val="ListParagraph"/>
        <w:ind w:left="360"/>
      </w:pPr>
      <w:r>
        <w:rPr>
          <w:bCs/>
        </w:rPr>
        <w:t xml:space="preserve">No. If your hospital did not report any pediatric discharges for the procedures listed in Section </w:t>
      </w:r>
      <w:r w:rsidR="00DA07D2">
        <w:rPr>
          <w:bCs/>
        </w:rPr>
        <w:t>9</w:t>
      </w:r>
      <w:r>
        <w:rPr>
          <w:bCs/>
        </w:rPr>
        <w:t>C during the reporting period, then you should select “Not applicable; adult patients only” in question #</w:t>
      </w:r>
      <w:r w:rsidR="00EE7395">
        <w:rPr>
          <w:bCs/>
        </w:rPr>
        <w:t>2</w:t>
      </w:r>
      <w:r>
        <w:rPr>
          <w:bCs/>
        </w:rPr>
        <w:t xml:space="preserve">. </w:t>
      </w:r>
    </w:p>
    <w:bookmarkEnd w:id="755"/>
    <w:p w14:paraId="368F093F" w14:textId="77777777" w:rsidR="00DE2325" w:rsidRDefault="00DE2325" w:rsidP="00DE2325">
      <w:pPr>
        <w:pStyle w:val="ListParagraph"/>
        <w:spacing w:after="120" w:line="264" w:lineRule="auto"/>
        <w:ind w:left="360"/>
      </w:pPr>
    </w:p>
    <w:p w14:paraId="69CB8607" w14:textId="66360814" w:rsidR="005666F8" w:rsidRPr="005666F8" w:rsidRDefault="005666F8" w:rsidP="00AD309C">
      <w:pPr>
        <w:pStyle w:val="ListParagraph"/>
        <w:numPr>
          <w:ilvl w:val="0"/>
          <w:numId w:val="155"/>
        </w:numPr>
        <w:spacing w:after="120" w:line="264" w:lineRule="auto"/>
        <w:rPr>
          <w:b/>
        </w:rPr>
      </w:pPr>
      <w:r w:rsidRPr="005666F8">
        <w:rPr>
          <w:b/>
        </w:rPr>
        <w:t>Is the PEARS certification the equivalent of PALS certification for the purposes of responding to question #</w:t>
      </w:r>
      <w:r w:rsidR="00EE7395">
        <w:rPr>
          <w:b/>
        </w:rPr>
        <w:t>2</w:t>
      </w:r>
      <w:r w:rsidRPr="005666F8">
        <w:rPr>
          <w:b/>
        </w:rPr>
        <w:t xml:space="preserve">? </w:t>
      </w:r>
    </w:p>
    <w:p w14:paraId="7BD40FC0" w14:textId="401C15E2" w:rsidR="005666F8" w:rsidRPr="005666F8" w:rsidRDefault="005666F8" w:rsidP="005666F8">
      <w:pPr>
        <w:pStyle w:val="ListParagraph"/>
        <w:spacing w:after="120" w:line="264" w:lineRule="auto"/>
        <w:ind w:left="360"/>
        <w:rPr>
          <w:bCs/>
        </w:rPr>
      </w:pPr>
      <w:r w:rsidRPr="005666F8">
        <w:rPr>
          <w:bCs/>
        </w:rPr>
        <w:t>No. PEARS is not the equivalent of or substitution for PALS</w:t>
      </w:r>
      <w:r>
        <w:rPr>
          <w:bCs/>
        </w:rPr>
        <w:t xml:space="preserve"> certification</w:t>
      </w:r>
      <w:r w:rsidRPr="005666F8">
        <w:rPr>
          <w:bCs/>
        </w:rPr>
        <w:t>. The PEARS curriculum is focused on recognition of and steps to mitigate pediatric respiratory emergencies, whereas the PALS curriculum informs clinicians how to manage these emergencies, with emphasis on leadership of the care team, and how to perform key air management techniques. Additionally, the PALS curriculum instructs providers on multiple ways to obtain IV access to improve circulatory issues.</w:t>
      </w:r>
    </w:p>
    <w:p w14:paraId="2D12D9CC" w14:textId="77777777" w:rsidR="005666F8" w:rsidRDefault="005666F8" w:rsidP="005666F8">
      <w:pPr>
        <w:pStyle w:val="ListParagraph"/>
        <w:spacing w:after="120" w:line="264" w:lineRule="auto"/>
        <w:ind w:left="360"/>
        <w:rPr>
          <w:b/>
        </w:rPr>
      </w:pPr>
    </w:p>
    <w:p w14:paraId="5FF3C5BA" w14:textId="0C203ED1" w:rsidR="008A4884" w:rsidRDefault="008A4884" w:rsidP="00AD309C">
      <w:pPr>
        <w:pStyle w:val="ListParagraph"/>
        <w:numPr>
          <w:ilvl w:val="0"/>
          <w:numId w:val="155"/>
        </w:numPr>
        <w:spacing w:after="120" w:line="264" w:lineRule="auto"/>
        <w:rPr>
          <w:b/>
        </w:rPr>
      </w:pPr>
      <w:r>
        <w:rPr>
          <w:b/>
        </w:rPr>
        <w:t xml:space="preserve">How should hospitals report on ACLS/PALS certification if they have more than one hospital outpatient department performing the procedures listed in Section </w:t>
      </w:r>
      <w:r w:rsidR="00DA07D2">
        <w:rPr>
          <w:b/>
        </w:rPr>
        <w:t>9</w:t>
      </w:r>
      <w:r>
        <w:rPr>
          <w:b/>
        </w:rPr>
        <w:t>C Volume of Procedures?</w:t>
      </w:r>
    </w:p>
    <w:p w14:paraId="0315BEEC" w14:textId="41E0DC14" w:rsidR="008A4884" w:rsidRDefault="008A4884" w:rsidP="008A4884">
      <w:pPr>
        <w:pStyle w:val="ListParagraph"/>
        <w:spacing w:after="120" w:line="264" w:lineRule="auto"/>
        <w:ind w:left="360"/>
        <w:rPr>
          <w:bCs/>
        </w:rPr>
      </w:pPr>
      <w:r>
        <w:rPr>
          <w:bCs/>
        </w:rPr>
        <w:t>Hospitals with more than one hospital outpatient department are instructed to respond to questions #1-</w:t>
      </w:r>
      <w:r w:rsidR="00EE7395">
        <w:rPr>
          <w:bCs/>
        </w:rPr>
        <w:t>2</w:t>
      </w:r>
      <w:r>
        <w:rPr>
          <w:bCs/>
        </w:rPr>
        <w:t xml:space="preserve"> based on the </w:t>
      </w:r>
      <w:r w:rsidR="00C50417">
        <w:rPr>
          <w:bCs/>
        </w:rPr>
        <w:t>location</w:t>
      </w:r>
      <w:r>
        <w:rPr>
          <w:bCs/>
        </w:rPr>
        <w:t xml:space="preserve"> with the </w:t>
      </w:r>
      <w:r>
        <w:rPr>
          <w:bCs/>
          <w:u w:val="single"/>
        </w:rPr>
        <w:t>least intensive</w:t>
      </w:r>
      <w:r>
        <w:rPr>
          <w:bCs/>
        </w:rPr>
        <w:t xml:space="preserve"> staffing.</w:t>
      </w:r>
      <w:r w:rsidR="00C50417">
        <w:rPr>
          <w:bCs/>
        </w:rPr>
        <w:t xml:space="preserve"> For example, if one hospital outpatient department has an ACLS trained clinician, as well as a second clinician present at all times and immediately available in the building when adult patients are in the hospital outpatient department, but another hospital outpatient department does not, you should answer “no” to question #1.</w:t>
      </w:r>
    </w:p>
    <w:p w14:paraId="0DB6248A" w14:textId="3AF92539" w:rsidR="008A4884" w:rsidRPr="008A4884" w:rsidRDefault="008A4884" w:rsidP="008A4884">
      <w:pPr>
        <w:pStyle w:val="ListParagraph"/>
        <w:spacing w:after="120" w:line="264" w:lineRule="auto"/>
        <w:ind w:left="360"/>
        <w:rPr>
          <w:bCs/>
        </w:rPr>
      </w:pPr>
      <w:r>
        <w:rPr>
          <w:bCs/>
        </w:rPr>
        <w:t xml:space="preserve"> </w:t>
      </w:r>
    </w:p>
    <w:p w14:paraId="286289CF" w14:textId="581CDA40" w:rsidR="00DE2325" w:rsidRPr="00DE2325" w:rsidRDefault="00DE2325" w:rsidP="00AD309C">
      <w:pPr>
        <w:pStyle w:val="ListParagraph"/>
        <w:numPr>
          <w:ilvl w:val="0"/>
          <w:numId w:val="155"/>
        </w:numPr>
        <w:spacing w:after="120" w:line="264" w:lineRule="auto"/>
        <w:rPr>
          <w:b/>
        </w:rPr>
      </w:pPr>
      <w:r w:rsidRPr="00DE2325">
        <w:rPr>
          <w:b/>
        </w:rPr>
        <w:t xml:space="preserve">If a free-standing pediatric hospital has clinicians trained in PALS but a small percentage of the patient population is over </w:t>
      </w:r>
      <w:r w:rsidR="00963646">
        <w:rPr>
          <w:b/>
        </w:rPr>
        <w:t>1</w:t>
      </w:r>
      <w:r w:rsidR="00DA07D2">
        <w:rPr>
          <w:b/>
        </w:rPr>
        <w:t>3</w:t>
      </w:r>
      <w:r w:rsidRPr="00DE2325">
        <w:rPr>
          <w:b/>
        </w:rPr>
        <w:t xml:space="preserve">, should these clinicians also have ACLS </w:t>
      </w:r>
      <w:r w:rsidR="000A554A" w:rsidRPr="00DE2325">
        <w:rPr>
          <w:b/>
        </w:rPr>
        <w:t>training,</w:t>
      </w:r>
      <w:r w:rsidRPr="00DE2325">
        <w:rPr>
          <w:b/>
        </w:rPr>
        <w:t xml:space="preserve"> or would the PALS training be sufficient?</w:t>
      </w:r>
    </w:p>
    <w:p w14:paraId="2B76C296" w14:textId="4AB3F011" w:rsidR="00CA44C0" w:rsidRDefault="00DE2325" w:rsidP="003903E3">
      <w:pPr>
        <w:pStyle w:val="ListParagraph"/>
        <w:spacing w:after="120" w:line="264" w:lineRule="auto"/>
        <w:ind w:left="360"/>
        <w:rPr>
          <w:sz w:val="28"/>
          <w:szCs w:val="24"/>
          <w:u w:val="single"/>
          <w:lang w:eastAsia="ja-JP"/>
        </w:rPr>
      </w:pPr>
      <w:r>
        <w:t xml:space="preserve">If your </w:t>
      </w:r>
      <w:r w:rsidR="00963646">
        <w:t>hospital outpatient departments are</w:t>
      </w:r>
      <w:r>
        <w:t xml:space="preserve"> performing procedures on adult and pediatric patients, there should be at least one clinician with ACLS training when adult</w:t>
      </w:r>
      <w:r w:rsidR="00A85222">
        <w:t xml:space="preserve"> patients </w:t>
      </w:r>
      <w:r w:rsidR="00963646">
        <w:t xml:space="preserve">(13 years and older) </w:t>
      </w:r>
      <w:r w:rsidR="00A85222">
        <w:t>are recovering and on</w:t>
      </w:r>
      <w:r>
        <w:t xml:space="preserve">e clinician with PALS training when pediatric patients </w:t>
      </w:r>
      <w:r w:rsidR="00963646">
        <w:t xml:space="preserve">(infant to 12 years) </w:t>
      </w:r>
      <w:r>
        <w:t xml:space="preserve">are recovering. This could mean that some clinicians maintain both certifications or some maintain </w:t>
      </w:r>
      <w:r w:rsidR="000A554A">
        <w:t>ACLS,</w:t>
      </w:r>
      <w:r>
        <w:t xml:space="preserve"> and other</w:t>
      </w:r>
      <w:r w:rsidR="00A85222">
        <w:t>s</w:t>
      </w:r>
      <w:r>
        <w:t xml:space="preserve"> maintain PALS.</w:t>
      </w:r>
      <w:bookmarkStart w:id="756" w:name="_Volume_of_Procedures"/>
      <w:bookmarkEnd w:id="756"/>
      <w:r w:rsidR="00CA44C0">
        <w:br w:type="page"/>
      </w:r>
    </w:p>
    <w:p w14:paraId="09360A69" w14:textId="261B338A" w:rsidR="00F1087D" w:rsidRDefault="00376790" w:rsidP="00CF5A6E">
      <w:pPr>
        <w:pStyle w:val="Heading2"/>
      </w:pPr>
      <w:bookmarkStart w:id="757" w:name="_Volume_of_Procedures_2"/>
      <w:bookmarkStart w:id="758" w:name="_Ref123648340"/>
      <w:bookmarkStart w:id="759" w:name="_Toc225877854"/>
      <w:bookmarkEnd w:id="757"/>
      <w:r>
        <w:t xml:space="preserve">Volume </w:t>
      </w:r>
      <w:r w:rsidR="00010E88">
        <w:t>of Procedures Measure Specifications</w:t>
      </w:r>
      <w:bookmarkEnd w:id="758"/>
      <w:bookmarkEnd w:id="759"/>
    </w:p>
    <w:p w14:paraId="793A0375" w14:textId="77777777" w:rsidR="00F1087D" w:rsidRPr="00045157" w:rsidRDefault="00F1087D" w:rsidP="00F1087D">
      <w:pPr>
        <w:rPr>
          <w:sz w:val="16"/>
          <w:szCs w:val="16"/>
          <w:lang w:eastAsia="ja-JP"/>
        </w:rPr>
      </w:pPr>
    </w:p>
    <w:p w14:paraId="52DC4031" w14:textId="77777777" w:rsidR="00FB07A6" w:rsidRPr="00451080" w:rsidRDefault="00222413" w:rsidP="00222413">
      <w:pPr>
        <w:rPr>
          <w:b/>
          <w:color w:val="FF0000"/>
          <w:lang w:eastAsia="ja-JP"/>
        </w:rPr>
      </w:pPr>
      <w:r w:rsidRPr="00451080">
        <w:rPr>
          <w:b/>
          <w:color w:val="FF0000"/>
          <w:lang w:eastAsia="ja-JP"/>
        </w:rPr>
        <w:t>Important Note</w:t>
      </w:r>
      <w:r w:rsidR="00FB07A6" w:rsidRPr="00451080">
        <w:rPr>
          <w:b/>
          <w:color w:val="FF0000"/>
          <w:lang w:eastAsia="ja-JP"/>
        </w:rPr>
        <w:t>s</w:t>
      </w:r>
      <w:r w:rsidRPr="00451080">
        <w:rPr>
          <w:b/>
          <w:color w:val="FF0000"/>
          <w:lang w:eastAsia="ja-JP"/>
        </w:rPr>
        <w:t xml:space="preserve">: </w:t>
      </w:r>
    </w:p>
    <w:p w14:paraId="49F2E9A7" w14:textId="77777777" w:rsidR="00FB07A6" w:rsidRPr="00045157" w:rsidRDefault="00FB07A6" w:rsidP="00222413">
      <w:pPr>
        <w:rPr>
          <w:b/>
          <w:sz w:val="16"/>
          <w:szCs w:val="16"/>
          <w:lang w:eastAsia="ja-JP"/>
        </w:rPr>
      </w:pPr>
    </w:p>
    <w:p w14:paraId="4A1E97BD" w14:textId="442D2CAA" w:rsidR="00FB07A6" w:rsidRPr="004F5E10" w:rsidRDefault="00FB07A6" w:rsidP="00FB07A6">
      <w:pPr>
        <w:rPr>
          <w:rFonts w:cs="Arial"/>
          <w:snapToGrid w:val="0"/>
        </w:rPr>
      </w:pPr>
      <w:r w:rsidRPr="004F5E10">
        <w:rPr>
          <w:rFonts w:cs="Arial"/>
          <w:snapToGrid w:val="0"/>
        </w:rPr>
        <w:t xml:space="preserve">Note 1: Hospitals that share a CMS Certification Number are required to report by facility. Please carefully review </w:t>
      </w:r>
      <w:hyperlink r:id="rId483" w:history="1">
        <w:r w:rsidRPr="004F5E10">
          <w:rPr>
            <w:rFonts w:cs="Arial"/>
            <w:snapToGrid w:val="0"/>
            <w:color w:val="0000FF"/>
            <w:u w:val="single"/>
          </w:rPr>
          <w:t>Leapfrog’s Multi-Campus Reporting Policy</w:t>
        </w:r>
      </w:hyperlink>
      <w:r w:rsidRPr="004F5E10">
        <w:rPr>
          <w:rFonts w:cs="Arial"/>
          <w:snapToGrid w:val="0"/>
        </w:rPr>
        <w:t>.</w:t>
      </w:r>
    </w:p>
    <w:p w14:paraId="569F3CB0" w14:textId="77777777" w:rsidR="00FB07A6" w:rsidRPr="00045157" w:rsidRDefault="00FB07A6" w:rsidP="00222413">
      <w:pPr>
        <w:rPr>
          <w:b/>
          <w:sz w:val="16"/>
          <w:szCs w:val="16"/>
          <w:lang w:eastAsia="ja-JP"/>
        </w:rPr>
      </w:pPr>
    </w:p>
    <w:p w14:paraId="12CC3631" w14:textId="5A2178B9" w:rsidR="003023AB" w:rsidRPr="00D51874" w:rsidRDefault="00D25C4F" w:rsidP="003023AB">
      <w:pPr>
        <w:rPr>
          <w:rFonts w:cs="Arial"/>
          <w:lang w:eastAsia="ja-JP"/>
        </w:rPr>
      </w:pPr>
      <w:r w:rsidRPr="00D25C4F">
        <w:rPr>
          <w:rFonts w:cs="Arial"/>
          <w:lang w:eastAsia="ja-JP"/>
        </w:rPr>
        <w:t xml:space="preserve">Note </w:t>
      </w:r>
      <w:r>
        <w:rPr>
          <w:rFonts w:cs="Arial"/>
          <w:lang w:eastAsia="ja-JP"/>
        </w:rPr>
        <w:t>2</w:t>
      </w:r>
      <w:r w:rsidRPr="00D25C4F">
        <w:rPr>
          <w:rFonts w:cs="Arial"/>
          <w:lang w:eastAsia="ja-JP"/>
        </w:rPr>
        <w:t xml:space="preserve">: </w:t>
      </w:r>
      <w:r w:rsidR="003023AB" w:rsidRPr="00D51874">
        <w:rPr>
          <w:rFonts w:cs="Arial"/>
          <w:lang w:eastAsia="ja-JP"/>
        </w:rPr>
        <w:t xml:space="preserve">CPT Codes are provided in downloadable </w:t>
      </w:r>
      <w:r w:rsidR="0040556C">
        <w:rPr>
          <w:rFonts w:cs="Arial"/>
          <w:lang w:eastAsia="ja-JP"/>
        </w:rPr>
        <w:t>E</w:t>
      </w:r>
      <w:r w:rsidR="003023AB" w:rsidRPr="00D51874">
        <w:rPr>
          <w:rFonts w:cs="Arial"/>
          <w:lang w:eastAsia="ja-JP"/>
        </w:rPr>
        <w:t xml:space="preserve">xcel files </w:t>
      </w:r>
      <w:r w:rsidR="003023AB">
        <w:rPr>
          <w:rFonts w:cs="Arial"/>
          <w:lang w:eastAsia="ja-JP"/>
        </w:rPr>
        <w:t>on the Survey Dashboard</w:t>
      </w:r>
      <w:r w:rsidR="003023AB" w:rsidRPr="00D51874">
        <w:rPr>
          <w:rFonts w:cs="Arial"/>
          <w:lang w:eastAsia="ja-JP"/>
        </w:rPr>
        <w:t xml:space="preserve">. To access the files, click the CPT Code Workbook button </w:t>
      </w:r>
      <w:r w:rsidR="003023AB" w:rsidRPr="00D51874">
        <w:rPr>
          <w:rStyle w:val="Hyperlink"/>
          <w:rFonts w:cs="Arial"/>
          <w:color w:val="auto"/>
          <w:u w:val="none"/>
          <w:lang w:eastAsia="ja-JP"/>
        </w:rPr>
        <w:t>next to Section 9</w:t>
      </w:r>
      <w:r w:rsidR="003023AB">
        <w:rPr>
          <w:rStyle w:val="Hyperlink"/>
          <w:rFonts w:cs="Arial"/>
          <w:color w:val="auto"/>
          <w:u w:val="none"/>
          <w:lang w:eastAsia="ja-JP"/>
        </w:rPr>
        <w:t>.</w:t>
      </w:r>
      <w:r w:rsidR="003023AB" w:rsidRPr="00D51874">
        <w:rPr>
          <w:rStyle w:val="Hyperlink"/>
          <w:rFonts w:cs="Arial"/>
          <w:color w:val="auto"/>
          <w:u w:val="none"/>
          <w:lang w:eastAsia="ja-JP"/>
        </w:rPr>
        <w:t xml:space="preserve"> </w:t>
      </w:r>
      <w:r w:rsidR="003023AB">
        <w:rPr>
          <w:rFonts w:cs="Arial"/>
          <w:lang w:eastAsia="ja-JP"/>
        </w:rPr>
        <w:t>Y</w:t>
      </w:r>
      <w:r w:rsidR="003023AB" w:rsidRPr="00D51874">
        <w:rPr>
          <w:rFonts w:cs="Arial"/>
          <w:lang w:eastAsia="ja-JP"/>
        </w:rPr>
        <w:t>ou will be required to complete the American Medical Association’s Terms of Use</w:t>
      </w:r>
      <w:r w:rsidR="003023AB" w:rsidRPr="00D51874">
        <w:rPr>
          <w:lang w:eastAsia="ja-JP"/>
        </w:rPr>
        <w:t xml:space="preserve"> before downloading the </w:t>
      </w:r>
      <w:r w:rsidR="0040556C">
        <w:rPr>
          <w:lang w:eastAsia="ja-JP"/>
        </w:rPr>
        <w:t>E</w:t>
      </w:r>
      <w:r w:rsidR="003023AB" w:rsidRPr="00D51874">
        <w:rPr>
          <w:lang w:eastAsia="ja-JP"/>
        </w:rPr>
        <w:t xml:space="preserve">xcel file and using the individual CPT codes to query </w:t>
      </w:r>
      <w:r w:rsidR="003023AB">
        <w:rPr>
          <w:lang w:eastAsia="ja-JP"/>
        </w:rPr>
        <w:t xml:space="preserve">your </w:t>
      </w:r>
      <w:r w:rsidR="003023AB" w:rsidRPr="00D51874">
        <w:rPr>
          <w:lang w:eastAsia="ja-JP"/>
        </w:rPr>
        <w:t xml:space="preserve">EHR or billing system. </w:t>
      </w:r>
      <w:r w:rsidR="003023AB" w:rsidRPr="00D51874">
        <w:rPr>
          <w:rFonts w:cs="Arial"/>
          <w:lang w:eastAsia="ja-JP"/>
        </w:rPr>
        <w:t xml:space="preserve">You are only required to complete the Terms of Use once per Survey Cycle (April 1 – November 30). </w:t>
      </w:r>
    </w:p>
    <w:p w14:paraId="3F47BF7E" w14:textId="77777777" w:rsidR="003023AB" w:rsidRPr="00045157" w:rsidRDefault="003023AB" w:rsidP="003023AB">
      <w:pPr>
        <w:rPr>
          <w:rFonts w:cs="Arial"/>
          <w:sz w:val="16"/>
          <w:szCs w:val="16"/>
          <w:lang w:eastAsia="ja-JP"/>
        </w:rPr>
      </w:pPr>
    </w:p>
    <w:p w14:paraId="536D0839" w14:textId="7B1166D5" w:rsidR="00FB07A6" w:rsidRDefault="003023AB" w:rsidP="00FB41BD">
      <w:pPr>
        <w:rPr>
          <w:rFonts w:cs="Arial"/>
          <w:lang w:eastAsia="ja-JP"/>
        </w:rPr>
      </w:pPr>
      <w:r>
        <w:rPr>
          <w:rFonts w:cs="Arial"/>
          <w:lang w:eastAsia="ja-JP"/>
        </w:rPr>
        <w:t xml:space="preserve">The </w:t>
      </w:r>
      <w:r w:rsidRPr="00D51874">
        <w:rPr>
          <w:rFonts w:cs="Arial"/>
          <w:lang w:eastAsia="ja-JP"/>
        </w:rPr>
        <w:t>CPT Code Workbook</w:t>
      </w:r>
      <w:r>
        <w:rPr>
          <w:rFonts w:cs="Arial"/>
          <w:lang w:eastAsia="ja-JP"/>
        </w:rPr>
        <w:t>s</w:t>
      </w:r>
      <w:r w:rsidRPr="00D51874">
        <w:rPr>
          <w:rFonts w:cs="Arial"/>
          <w:lang w:eastAsia="ja-JP"/>
        </w:rPr>
        <w:t xml:space="preserve"> (</w:t>
      </w:r>
      <w:r w:rsidR="0040556C">
        <w:rPr>
          <w:rFonts w:cs="Arial"/>
          <w:lang w:eastAsia="ja-JP"/>
        </w:rPr>
        <w:t>E</w:t>
      </w:r>
      <w:r w:rsidRPr="00D51874">
        <w:rPr>
          <w:rFonts w:cs="Arial"/>
          <w:lang w:eastAsia="ja-JP"/>
        </w:rPr>
        <w:t>xcel file</w:t>
      </w:r>
      <w:r>
        <w:rPr>
          <w:rFonts w:cs="Arial"/>
          <w:lang w:eastAsia="ja-JP"/>
        </w:rPr>
        <w:t>s</w:t>
      </w:r>
      <w:r w:rsidRPr="00D51874">
        <w:rPr>
          <w:rFonts w:cs="Arial"/>
          <w:lang w:eastAsia="ja-JP"/>
        </w:rPr>
        <w:t xml:space="preserve">) are labeled </w:t>
      </w:r>
      <w:r>
        <w:rPr>
          <w:rFonts w:cs="Arial"/>
          <w:lang w:eastAsia="ja-JP"/>
        </w:rPr>
        <w:t xml:space="preserve">for </w:t>
      </w:r>
      <w:r w:rsidRPr="00D51874">
        <w:rPr>
          <w:rFonts w:cs="Arial"/>
          <w:lang w:eastAsia="ja-JP"/>
        </w:rPr>
        <w:t xml:space="preserve">Section 3A: Total Hip Replacement, Total Knee Replacement, and Bariatric Surgery for Weight Loss and Section 9C: Volume of Procedures. </w:t>
      </w:r>
      <w:r w:rsidR="00FB41BD" w:rsidRPr="00D51874">
        <w:rPr>
          <w:rFonts w:cs="Arial"/>
          <w:lang w:eastAsia="ja-JP"/>
        </w:rPr>
        <w:t>Please note</w:t>
      </w:r>
      <w:r w:rsidR="00FB41BD">
        <w:rPr>
          <w:rFonts w:cs="Arial"/>
          <w:lang w:eastAsia="ja-JP"/>
        </w:rPr>
        <w:t>, i</w:t>
      </w:r>
      <w:r w:rsidR="00FB41BD" w:rsidRPr="00FB41BD">
        <w:rPr>
          <w:rFonts w:cs="Arial"/>
          <w:lang w:eastAsia="ja-JP"/>
        </w:rPr>
        <w:t>f you are part of a hospital system, each hospital will need to complete the Terms of Use. This is a requirement of the American Medical Association.</w:t>
      </w:r>
    </w:p>
    <w:p w14:paraId="37C0C14A" w14:textId="77777777" w:rsidR="00FB41BD" w:rsidRPr="00045157" w:rsidRDefault="00FB41BD" w:rsidP="00FB41BD">
      <w:pPr>
        <w:rPr>
          <w:rFonts w:cs="Arial"/>
          <w:sz w:val="16"/>
          <w:szCs w:val="16"/>
          <w:lang w:eastAsia="ja-JP"/>
        </w:rPr>
      </w:pPr>
    </w:p>
    <w:p w14:paraId="6F3B076C" w14:textId="2339E152" w:rsidR="00FB07A6" w:rsidRPr="00A879E1" w:rsidRDefault="00FB07A6" w:rsidP="00A879E1">
      <w:pPr>
        <w:rPr>
          <w:rFonts w:cs="Arial"/>
          <w:b/>
          <w:bCs/>
          <w:lang w:eastAsia="ja-JP"/>
        </w:rPr>
      </w:pPr>
      <w:r w:rsidRPr="00A879E1">
        <w:rPr>
          <w:rFonts w:cs="Arial"/>
          <w:lang w:eastAsia="ja-JP"/>
        </w:rPr>
        <w:t>Note 3:</w:t>
      </w:r>
      <w:r>
        <w:rPr>
          <w:rFonts w:cs="Arial"/>
          <w:b/>
          <w:bCs/>
          <w:lang w:eastAsia="ja-JP"/>
        </w:rPr>
        <w:t xml:space="preserve"> </w:t>
      </w:r>
      <w:r w:rsidRPr="00B00E2A">
        <w:rPr>
          <w:rFonts w:cs="Arial"/>
          <w:lang w:eastAsia="ja-JP"/>
        </w:rPr>
        <w:t>Wh</w:t>
      </w:r>
      <w:r>
        <w:rPr>
          <w:rFonts w:cs="Arial"/>
          <w:lang w:eastAsia="ja-JP"/>
        </w:rPr>
        <w:t>e</w:t>
      </w:r>
      <w:r w:rsidRPr="00B00E2A">
        <w:rPr>
          <w:rFonts w:cs="Arial"/>
          <w:lang w:eastAsia="ja-JP"/>
        </w:rPr>
        <w:t>n counting patients for the purposes of identifying total volume in Section 9C, you should only include scheduled outpatient (i.e., admitted and discharged on the same day) procedures performed at your hospital outpatient departments within the reporting period. Include scheduled outpatient procedures with a planned observation or extended recovery stay. Exclude scheduled outpatient procedures with a planned inpatient admission. Exclude emergent/urgent cases, such as procedures for patients that come through the emergency department. To count patient discharges, use the Volume of Procedures Measure Specifications</w:t>
      </w:r>
      <w:r>
        <w:rPr>
          <w:rFonts w:cs="Arial"/>
          <w:lang w:eastAsia="ja-JP"/>
        </w:rPr>
        <w:t xml:space="preserve"> below</w:t>
      </w:r>
      <w:r w:rsidRPr="00B00E2A">
        <w:rPr>
          <w:rFonts w:cs="Arial"/>
          <w:lang w:eastAsia="ja-JP"/>
        </w:rPr>
        <w:t xml:space="preserve"> and the CPT codes available in the Library on the Survey Dashboard.</w:t>
      </w:r>
    </w:p>
    <w:p w14:paraId="3A139874" w14:textId="77777777" w:rsidR="00222413" w:rsidRPr="00045157" w:rsidRDefault="00222413" w:rsidP="00222413">
      <w:pPr>
        <w:rPr>
          <w:sz w:val="16"/>
          <w:szCs w:val="16"/>
          <w:lang w:eastAsia="ja-JP"/>
        </w:rPr>
      </w:pPr>
    </w:p>
    <w:tbl>
      <w:tblPr>
        <w:tblStyle w:val="TableGrid"/>
        <w:tblW w:w="0" w:type="auto"/>
        <w:tblLook w:val="04A0" w:firstRow="1" w:lastRow="0" w:firstColumn="1" w:lastColumn="0" w:noHBand="0" w:noVBand="1"/>
      </w:tblPr>
      <w:tblGrid>
        <w:gridCol w:w="9350"/>
      </w:tblGrid>
      <w:tr w:rsidR="00222413" w:rsidRPr="00222413" w14:paraId="25EDF417" w14:textId="77777777" w:rsidTr="00D47A88">
        <w:trPr>
          <w:trHeight w:val="288"/>
        </w:trPr>
        <w:tc>
          <w:tcPr>
            <w:tcW w:w="9350" w:type="dxa"/>
            <w:vAlign w:val="center"/>
          </w:tcPr>
          <w:p w14:paraId="6ABB13A8" w14:textId="009B8E47" w:rsidR="00222413" w:rsidRPr="00222413" w:rsidRDefault="00222413" w:rsidP="006606DD">
            <w:pPr>
              <w:rPr>
                <w:lang w:eastAsia="ja-JP"/>
              </w:rPr>
            </w:pPr>
            <w:r w:rsidRPr="00222413">
              <w:rPr>
                <w:b/>
                <w:lang w:eastAsia="ja-JP"/>
              </w:rPr>
              <w:t>Source:</w:t>
            </w:r>
            <w:r w:rsidRPr="00222413">
              <w:rPr>
                <w:lang w:eastAsia="ja-JP"/>
              </w:rPr>
              <w:t xml:space="preserve"> The Leapfrog Group, </w:t>
            </w:r>
            <w:r w:rsidR="0009495E">
              <w:rPr>
                <w:lang w:eastAsia="ja-JP"/>
              </w:rPr>
              <w:t xml:space="preserve">American Medical Association, </w:t>
            </w:r>
            <w:r w:rsidRPr="00222413">
              <w:rPr>
                <w:lang w:eastAsia="ja-JP"/>
              </w:rPr>
              <w:t>The Health Care Cost Institute</w:t>
            </w:r>
          </w:p>
        </w:tc>
      </w:tr>
      <w:tr w:rsidR="00222413" w:rsidRPr="00222413" w14:paraId="7B0AA1AF" w14:textId="77777777" w:rsidTr="00B44C1C">
        <w:trPr>
          <w:trHeight w:val="432"/>
        </w:trPr>
        <w:tc>
          <w:tcPr>
            <w:tcW w:w="9350" w:type="dxa"/>
            <w:vAlign w:val="center"/>
          </w:tcPr>
          <w:p w14:paraId="34B9EAF3" w14:textId="2EFB3027" w:rsidR="00222413" w:rsidRPr="00222413" w:rsidRDefault="00222413" w:rsidP="006606DD">
            <w:pPr>
              <w:rPr>
                <w:lang w:eastAsia="ja-JP"/>
              </w:rPr>
            </w:pPr>
            <w:r w:rsidRPr="00222413">
              <w:rPr>
                <w:b/>
                <w:lang w:eastAsia="ja-JP"/>
              </w:rPr>
              <w:t>Reporting Period:</w:t>
            </w:r>
            <w:r w:rsidRPr="00222413">
              <w:rPr>
                <w:lang w:eastAsia="ja-JP"/>
              </w:rPr>
              <w:t xml:space="preserve"> </w:t>
            </w:r>
            <w:r w:rsidRPr="00222413">
              <w:rPr>
                <w:b/>
                <w:lang w:eastAsia="ja-JP"/>
              </w:rPr>
              <w:t>12</w:t>
            </w:r>
            <w:r w:rsidR="00B75B1F">
              <w:rPr>
                <w:b/>
                <w:lang w:eastAsia="ja-JP"/>
              </w:rPr>
              <w:t xml:space="preserve"> months</w:t>
            </w:r>
          </w:p>
          <w:p w14:paraId="0BCE0E63" w14:textId="4DA72663" w:rsidR="00222413" w:rsidRPr="00222413" w:rsidRDefault="00614665" w:rsidP="00AD309C">
            <w:pPr>
              <w:numPr>
                <w:ilvl w:val="0"/>
                <w:numId w:val="29"/>
              </w:numPr>
              <w:rPr>
                <w:lang w:eastAsia="ja-JP"/>
              </w:rPr>
            </w:pPr>
            <w:r>
              <w:rPr>
                <w:lang w:eastAsia="ja-JP"/>
              </w:rPr>
              <w:t>01/01/202</w:t>
            </w:r>
            <w:r w:rsidR="00BC50C9">
              <w:rPr>
                <w:lang w:eastAsia="ja-JP"/>
              </w:rPr>
              <w:t>5</w:t>
            </w:r>
            <w:r>
              <w:rPr>
                <w:lang w:eastAsia="ja-JP"/>
              </w:rPr>
              <w:t xml:space="preserve"> </w:t>
            </w:r>
            <w:r w:rsidR="00FB07A6">
              <w:rPr>
                <w:lang w:eastAsia="ja-JP"/>
              </w:rPr>
              <w:t>–</w:t>
            </w:r>
            <w:r>
              <w:rPr>
                <w:lang w:eastAsia="ja-JP"/>
              </w:rPr>
              <w:t xml:space="preserve"> 12/31/202</w:t>
            </w:r>
            <w:r w:rsidR="00BC50C9">
              <w:rPr>
                <w:lang w:eastAsia="ja-JP"/>
              </w:rPr>
              <w:t>5</w:t>
            </w:r>
          </w:p>
        </w:tc>
      </w:tr>
      <w:tr w:rsidR="00222413" w:rsidRPr="00222413" w14:paraId="3433DC1A" w14:textId="77777777" w:rsidTr="006606DD">
        <w:tc>
          <w:tcPr>
            <w:tcW w:w="9350" w:type="dxa"/>
            <w:vAlign w:val="center"/>
          </w:tcPr>
          <w:p w14:paraId="61E9BFD7" w14:textId="1FB1A7FF" w:rsidR="00222413" w:rsidRPr="00222413" w:rsidRDefault="00222413" w:rsidP="006606DD">
            <w:pPr>
              <w:rPr>
                <w:lang w:eastAsia="ja-JP"/>
              </w:rPr>
            </w:pPr>
            <w:r w:rsidRPr="00222413">
              <w:rPr>
                <w:b/>
                <w:lang w:eastAsia="ja-JP"/>
              </w:rPr>
              <w:t>Questions #2-1</w:t>
            </w:r>
            <w:r w:rsidR="00620923">
              <w:rPr>
                <w:b/>
                <w:lang w:eastAsia="ja-JP"/>
              </w:rPr>
              <w:t>0</w:t>
            </w:r>
            <w:r w:rsidRPr="00222413">
              <w:rPr>
                <w:b/>
                <w:lang w:eastAsia="ja-JP"/>
              </w:rPr>
              <w:t xml:space="preserve">: </w:t>
            </w:r>
            <w:r w:rsidRPr="00222413">
              <w:rPr>
                <w:lang w:eastAsia="ja-JP"/>
              </w:rPr>
              <w:t xml:space="preserve">Respond “yes” or “no” based on </w:t>
            </w:r>
            <w:r w:rsidR="003079B7" w:rsidRPr="00222413">
              <w:rPr>
                <w:lang w:eastAsia="ja-JP"/>
              </w:rPr>
              <w:t>whether</w:t>
            </w:r>
            <w:r w:rsidRPr="00222413">
              <w:rPr>
                <w:lang w:eastAsia="ja-JP"/>
              </w:rPr>
              <w:t xml:space="preserve"> your </w:t>
            </w:r>
            <w:r w:rsidR="0009495E">
              <w:rPr>
                <w:lang w:eastAsia="ja-JP"/>
              </w:rPr>
              <w:t>hospital</w:t>
            </w:r>
            <w:r w:rsidR="001E54D9">
              <w:rPr>
                <w:lang w:eastAsia="ja-JP"/>
              </w:rPr>
              <w:t xml:space="preserve"> outpatient department</w:t>
            </w:r>
            <w:r w:rsidR="005A4897">
              <w:rPr>
                <w:lang w:eastAsia="ja-JP"/>
              </w:rPr>
              <w:t>(</w:t>
            </w:r>
            <w:r w:rsidR="001E54D9">
              <w:rPr>
                <w:lang w:eastAsia="ja-JP"/>
              </w:rPr>
              <w:t>s</w:t>
            </w:r>
            <w:r w:rsidR="005A4897">
              <w:rPr>
                <w:lang w:eastAsia="ja-JP"/>
              </w:rPr>
              <w:t>)</w:t>
            </w:r>
            <w:r w:rsidR="001E54D9">
              <w:rPr>
                <w:lang w:eastAsia="ja-JP"/>
              </w:rPr>
              <w:t xml:space="preserve"> </w:t>
            </w:r>
            <w:r w:rsidRPr="00222413">
              <w:rPr>
                <w:lang w:eastAsia="ja-JP"/>
              </w:rPr>
              <w:t xml:space="preserve">performed any of the procedures during the reporting period on adult and/or pediatric patients. The procedures fall within </w:t>
            </w:r>
            <w:r w:rsidR="00C274F7">
              <w:rPr>
                <w:lang w:eastAsia="ja-JP"/>
              </w:rPr>
              <w:t>nine</w:t>
            </w:r>
            <w:r w:rsidRPr="00222413">
              <w:rPr>
                <w:lang w:eastAsia="ja-JP"/>
              </w:rPr>
              <w:t xml:space="preserve"> specialty areas:</w:t>
            </w:r>
          </w:p>
          <w:p w14:paraId="5F719251" w14:textId="77777777" w:rsidR="00222413" w:rsidRPr="00045157" w:rsidRDefault="00222413" w:rsidP="006606DD">
            <w:pPr>
              <w:rPr>
                <w:sz w:val="16"/>
                <w:szCs w:val="16"/>
                <w:lang w:eastAsia="ja-JP"/>
              </w:rPr>
            </w:pPr>
          </w:p>
          <w:p w14:paraId="2EB8CD8C" w14:textId="59D32B43" w:rsidR="005E5021" w:rsidRPr="00CB7A99" w:rsidRDefault="005E5021" w:rsidP="00045157">
            <w:pPr>
              <w:pStyle w:val="ListParagraph"/>
              <w:ind w:left="0"/>
              <w:rPr>
                <w:rStyle w:val="Hyperlink"/>
                <w:rFonts w:cs="Arial"/>
              </w:rPr>
            </w:pPr>
            <w:r w:rsidRPr="00CB7A99">
              <w:rPr>
                <w:rFonts w:cs="Arial"/>
                <w:b/>
                <w:i/>
              </w:rPr>
              <w:t>Adult Procedures</w:t>
            </w:r>
            <w:r>
              <w:rPr>
                <w:rFonts w:cs="Arial"/>
                <w:u w:val="single"/>
              </w:rPr>
              <w:fldChar w:fldCharType="begin"/>
            </w:r>
            <w:r w:rsidR="003B14CE">
              <w:rPr>
                <w:rFonts w:cs="Arial"/>
                <w:u w:val="single"/>
              </w:rPr>
              <w:instrText>HYPERLINK  \l "_Ophthalmology_Measure_Specification"</w:instrText>
            </w:r>
            <w:r>
              <w:rPr>
                <w:rFonts w:cs="Arial"/>
                <w:u w:val="single"/>
              </w:rPr>
            </w:r>
            <w:r>
              <w:rPr>
                <w:rFonts w:cs="Arial"/>
                <w:u w:val="single"/>
              </w:rPr>
              <w:fldChar w:fldCharType="separate"/>
            </w:r>
          </w:p>
          <w:p w14:paraId="02B24DED" w14:textId="77777777" w:rsidR="005E5021" w:rsidRPr="00E60506" w:rsidRDefault="005E5021" w:rsidP="00AD309C">
            <w:pPr>
              <w:pStyle w:val="ListParagraph"/>
              <w:numPr>
                <w:ilvl w:val="0"/>
                <w:numId w:val="327"/>
              </w:numPr>
              <w:rPr>
                <w:rFonts w:cs="Arial"/>
              </w:rPr>
            </w:pPr>
            <w:r w:rsidRPr="00CB7A99">
              <w:rPr>
                <w:rStyle w:val="Hyperlink"/>
                <w:rFonts w:cs="Arial"/>
              </w:rPr>
              <w:t>Ophthalmology procedures:</w:t>
            </w:r>
            <w:r>
              <w:rPr>
                <w:rFonts w:cs="Arial"/>
                <w:u w:val="single"/>
              </w:rPr>
              <w:fldChar w:fldCharType="end"/>
            </w:r>
            <w:r>
              <w:rPr>
                <w:rFonts w:cs="Arial"/>
              </w:rPr>
              <w:t xml:space="preserve"> anterior segment eye procedures; posterior segment eye procedures; and o</w:t>
            </w:r>
            <w:r w:rsidRPr="00DD322F">
              <w:rPr>
                <w:rFonts w:cs="Arial"/>
              </w:rPr>
              <w:t xml:space="preserve">cular </w:t>
            </w:r>
            <w:r>
              <w:rPr>
                <w:rFonts w:cs="Arial"/>
              </w:rPr>
              <w:t>a</w:t>
            </w:r>
            <w:r w:rsidRPr="00DD322F">
              <w:rPr>
                <w:rFonts w:cs="Arial"/>
              </w:rPr>
              <w:t xml:space="preserve">dnexa and </w:t>
            </w:r>
            <w:r>
              <w:rPr>
                <w:rFonts w:cs="Arial"/>
              </w:rPr>
              <w:t>ot</w:t>
            </w:r>
            <w:r w:rsidRPr="00DD322F">
              <w:rPr>
                <w:rFonts w:cs="Arial"/>
              </w:rPr>
              <w:t xml:space="preserve">her </w:t>
            </w:r>
            <w:r>
              <w:rPr>
                <w:rFonts w:cs="Arial"/>
              </w:rPr>
              <w:t>e</w:t>
            </w:r>
            <w:r w:rsidRPr="00DD322F">
              <w:rPr>
                <w:rFonts w:cs="Arial"/>
              </w:rPr>
              <w:t xml:space="preserve">ye </w:t>
            </w:r>
            <w:r>
              <w:rPr>
                <w:rFonts w:cs="Arial"/>
              </w:rPr>
              <w:t>p</w:t>
            </w:r>
            <w:r w:rsidRPr="00DD322F">
              <w:rPr>
                <w:rFonts w:cs="Arial"/>
              </w:rPr>
              <w:t>rocedures</w:t>
            </w:r>
          </w:p>
          <w:p w14:paraId="0D643D51" w14:textId="152F98E9" w:rsidR="005E5021" w:rsidRPr="00E60506" w:rsidRDefault="005E5021" w:rsidP="00AD309C">
            <w:pPr>
              <w:pStyle w:val="ListParagraph"/>
              <w:numPr>
                <w:ilvl w:val="0"/>
                <w:numId w:val="327"/>
              </w:numPr>
              <w:rPr>
                <w:rFonts w:cs="Arial"/>
              </w:rPr>
            </w:pPr>
            <w:hyperlink w:anchor="_Orthopedic_Measure_Specifications" w:history="1">
              <w:r w:rsidRPr="00CB7A99">
                <w:rPr>
                  <w:rStyle w:val="Hyperlink"/>
                  <w:rFonts w:cs="Arial"/>
                </w:rPr>
                <w:t>Orthopedic procedures</w:t>
              </w:r>
            </w:hyperlink>
            <w:r w:rsidRPr="00CB7A99">
              <w:rPr>
                <w:rFonts w:cs="Arial"/>
                <w:u w:val="single"/>
              </w:rPr>
              <w:t>:</w:t>
            </w:r>
            <w:r>
              <w:rPr>
                <w:rFonts w:cs="Arial"/>
              </w:rPr>
              <w:t xml:space="preserve"> finger, hand, wrist, forearm, and elbow procedures; shoulder procedures; spine procedures; hip procedures; knee procedures; toe, foot, ankle, and leg procedures; and general orthopedic procedures</w:t>
            </w:r>
          </w:p>
          <w:p w14:paraId="5990F317" w14:textId="5E09E7E0" w:rsidR="005E5021" w:rsidRPr="00E60506" w:rsidRDefault="005E5021" w:rsidP="00AD309C">
            <w:pPr>
              <w:pStyle w:val="ListParagraph"/>
              <w:numPr>
                <w:ilvl w:val="0"/>
                <w:numId w:val="327"/>
              </w:numPr>
              <w:rPr>
                <w:rFonts w:cs="Arial"/>
              </w:rPr>
            </w:pPr>
            <w:hyperlink w:anchor="_Otolaryngology_Measure_Specificatio" w:history="1">
              <w:r w:rsidRPr="00CB7A99">
                <w:rPr>
                  <w:rStyle w:val="Hyperlink"/>
                  <w:rFonts w:cs="Arial"/>
                </w:rPr>
                <w:t>Otolaryngology procedures:</w:t>
              </w:r>
            </w:hyperlink>
            <w:r>
              <w:rPr>
                <w:rFonts w:cs="Arial"/>
              </w:rPr>
              <w:t xml:space="preserve"> ear procedures; mouth procedures; and nasal/sinus procedures </w:t>
            </w:r>
          </w:p>
          <w:p w14:paraId="28CA9FB6" w14:textId="3D117649" w:rsidR="005E5021" w:rsidRDefault="005E5021" w:rsidP="00AD309C">
            <w:pPr>
              <w:pStyle w:val="ListParagraph"/>
              <w:numPr>
                <w:ilvl w:val="0"/>
                <w:numId w:val="327"/>
              </w:numPr>
              <w:rPr>
                <w:rFonts w:cs="Arial"/>
              </w:rPr>
            </w:pPr>
            <w:hyperlink w:anchor="_Gastroenterology_Measure_Specificat" w:history="1">
              <w:r w:rsidRPr="00CB7A99">
                <w:rPr>
                  <w:rStyle w:val="Hyperlink"/>
                  <w:rFonts w:cs="Arial"/>
                </w:rPr>
                <w:t>Gastroenterology procedures:</w:t>
              </w:r>
            </w:hyperlink>
            <w:r>
              <w:rPr>
                <w:rFonts w:cs="Arial"/>
              </w:rPr>
              <w:t xml:space="preserve"> upper GI endoscopy; and lower GI endoscopy </w:t>
            </w:r>
          </w:p>
          <w:p w14:paraId="005DC13E" w14:textId="58D9E243" w:rsidR="005E5021" w:rsidRDefault="005E5021" w:rsidP="00AD309C">
            <w:pPr>
              <w:pStyle w:val="ListParagraph"/>
              <w:numPr>
                <w:ilvl w:val="0"/>
                <w:numId w:val="327"/>
              </w:numPr>
              <w:rPr>
                <w:rFonts w:cs="Arial"/>
              </w:rPr>
            </w:pPr>
            <w:hyperlink w:anchor="_General_Surgery_Measure" w:history="1">
              <w:r w:rsidRPr="00E60506">
                <w:rPr>
                  <w:rStyle w:val="Hyperlink"/>
                  <w:rFonts w:cs="Arial"/>
                </w:rPr>
                <w:t>General surgery procedures:</w:t>
              </w:r>
            </w:hyperlink>
            <w:r w:rsidRPr="00E60506">
              <w:rPr>
                <w:rFonts w:cs="Arial"/>
              </w:rPr>
              <w:t xml:space="preserve"> cholecystectomy and common duct exploration; hemorrhoid procedures; inguinal and femoral hernia repairs; other hernia repairs; laparoscopy; lumpectomy or quadrantectomy of breast; and mastectomy</w:t>
            </w:r>
          </w:p>
          <w:p w14:paraId="27CB1CE0" w14:textId="39C9F976" w:rsidR="005E5021" w:rsidRPr="00E60506" w:rsidRDefault="005E5021" w:rsidP="00AD309C">
            <w:pPr>
              <w:pStyle w:val="ListParagraph"/>
              <w:numPr>
                <w:ilvl w:val="0"/>
                <w:numId w:val="327"/>
              </w:numPr>
              <w:rPr>
                <w:rFonts w:cs="Arial"/>
              </w:rPr>
            </w:pPr>
            <w:hyperlink w:anchor="_Urology" w:history="1">
              <w:r w:rsidRPr="00CB7A99">
                <w:rPr>
                  <w:rStyle w:val="Hyperlink"/>
                  <w:rFonts w:cs="Arial"/>
                </w:rPr>
                <w:t>Urology procedures:</w:t>
              </w:r>
            </w:hyperlink>
            <w:r>
              <w:rPr>
                <w:rFonts w:cs="Arial"/>
              </w:rPr>
              <w:t xml:space="preserve"> circumcisions; cystourethroscopy; male genital procedures; urethra procedures; and vaginal repair procedures</w:t>
            </w:r>
          </w:p>
          <w:p w14:paraId="361F7D71" w14:textId="1473E489" w:rsidR="005E5021" w:rsidRPr="00E60506" w:rsidRDefault="005E5021" w:rsidP="00AD309C">
            <w:pPr>
              <w:pStyle w:val="ListParagraph"/>
              <w:numPr>
                <w:ilvl w:val="0"/>
                <w:numId w:val="327"/>
              </w:numPr>
              <w:rPr>
                <w:rFonts w:cs="Arial"/>
              </w:rPr>
            </w:pPr>
            <w:hyperlink w:anchor="_Neurological_Surgery_Measure" w:history="1">
              <w:r w:rsidRPr="00CB7A99">
                <w:rPr>
                  <w:rStyle w:val="Hyperlink"/>
                  <w:rFonts w:cs="Arial"/>
                </w:rPr>
                <w:t>Neurological surgery procedures:</w:t>
              </w:r>
            </w:hyperlink>
            <w:r>
              <w:rPr>
                <w:rFonts w:cs="Arial"/>
              </w:rPr>
              <w:t xml:space="preserve"> spinal fusion procedures</w:t>
            </w:r>
          </w:p>
          <w:p w14:paraId="711C2586" w14:textId="77777777" w:rsidR="005E5021" w:rsidRDefault="005E5021" w:rsidP="00AD309C">
            <w:pPr>
              <w:pStyle w:val="ListParagraph"/>
              <w:numPr>
                <w:ilvl w:val="0"/>
                <w:numId w:val="327"/>
              </w:numPr>
              <w:rPr>
                <w:rFonts w:cs="Arial"/>
              </w:rPr>
            </w:pPr>
            <w:hyperlink w:anchor="ObstetricsGynecology_MeasureSpecs" w:history="1">
              <w:r w:rsidRPr="00CB7A99">
                <w:rPr>
                  <w:rStyle w:val="Hyperlink"/>
                  <w:rFonts w:cs="Arial"/>
                </w:rPr>
                <w:t>Obstetrics and gynecology procedures:</w:t>
              </w:r>
            </w:hyperlink>
            <w:r>
              <w:rPr>
                <w:rFonts w:cs="Arial"/>
              </w:rPr>
              <w:t xml:space="preserve"> cervix procedures; hysteroscopy; and uterus and adnexa laparoscopies</w:t>
            </w:r>
          </w:p>
          <w:p w14:paraId="5FD87ED6" w14:textId="1DD565BA" w:rsidR="005E5021" w:rsidRDefault="005E5021" w:rsidP="00AD309C">
            <w:pPr>
              <w:pStyle w:val="ListParagraph"/>
              <w:numPr>
                <w:ilvl w:val="0"/>
                <w:numId w:val="327"/>
              </w:numPr>
              <w:rPr>
                <w:lang w:eastAsia="ja-JP"/>
              </w:rPr>
            </w:pPr>
            <w:hyperlink w:anchor="_Plastic_and_Reconstructive" w:history="1">
              <w:r w:rsidRPr="00CB7A99">
                <w:rPr>
                  <w:rStyle w:val="Hyperlink"/>
                  <w:rFonts w:cs="Arial"/>
                </w:rPr>
                <w:t>Plastic and reconstructive surgery procedures:</w:t>
              </w:r>
            </w:hyperlink>
            <w:r>
              <w:t xml:space="preserve"> breast repair or reconstructive procedures; and s</w:t>
            </w:r>
            <w:r>
              <w:rPr>
                <w:lang w:eastAsia="ja-JP"/>
              </w:rPr>
              <w:t xml:space="preserve">kin graft/reconstruction procedures </w:t>
            </w:r>
          </w:p>
          <w:p w14:paraId="0F86CD02" w14:textId="77777777" w:rsidR="005E5021" w:rsidRPr="00045157" w:rsidRDefault="005E5021" w:rsidP="005E5021">
            <w:pPr>
              <w:ind w:left="720"/>
              <w:rPr>
                <w:sz w:val="16"/>
                <w:szCs w:val="16"/>
                <w:lang w:eastAsia="ja-JP"/>
              </w:rPr>
            </w:pPr>
          </w:p>
          <w:p w14:paraId="07875FD9" w14:textId="06FC2BC1" w:rsidR="005E5021" w:rsidRDefault="005E5021" w:rsidP="005E5021">
            <w:r w:rsidRPr="00CB7A99">
              <w:rPr>
                <w:rFonts w:cs="Arial"/>
                <w:b/>
                <w:i/>
              </w:rPr>
              <w:t>Pediatric Procedures</w:t>
            </w:r>
          </w:p>
          <w:p w14:paraId="6F74C5B8" w14:textId="1EAC5402" w:rsidR="005E5021" w:rsidRDefault="005E5021" w:rsidP="00AD309C">
            <w:pPr>
              <w:pStyle w:val="ListParagraph"/>
              <w:numPr>
                <w:ilvl w:val="0"/>
                <w:numId w:val="328"/>
              </w:numPr>
              <w:rPr>
                <w:rFonts w:cs="Arial"/>
              </w:rPr>
            </w:pPr>
            <w:hyperlink w:anchor="_Ophthalmology_Measure_Specification" w:history="1">
              <w:r w:rsidRPr="00CB7A99">
                <w:rPr>
                  <w:rStyle w:val="Hyperlink"/>
                  <w:rFonts w:cs="Arial"/>
                </w:rPr>
                <w:t>Ophthalmology procedures:</w:t>
              </w:r>
            </w:hyperlink>
            <w:r>
              <w:rPr>
                <w:rFonts w:cs="Arial"/>
              </w:rPr>
              <w:t xml:space="preserve"> </w:t>
            </w:r>
            <w:r w:rsidRPr="00DD322F">
              <w:rPr>
                <w:rFonts w:cs="Arial"/>
              </w:rPr>
              <w:t>ocular adnexa and other eye procedures</w:t>
            </w:r>
          </w:p>
          <w:p w14:paraId="6DD22564" w14:textId="541F967C" w:rsidR="005E5021" w:rsidRDefault="005E5021" w:rsidP="00AD309C">
            <w:pPr>
              <w:pStyle w:val="ListParagraph"/>
              <w:numPr>
                <w:ilvl w:val="0"/>
                <w:numId w:val="328"/>
              </w:numPr>
              <w:rPr>
                <w:rFonts w:cs="Arial"/>
              </w:rPr>
            </w:pPr>
            <w:hyperlink w:anchor="_Orthopedic_Measure_Specifications" w:history="1">
              <w:r w:rsidRPr="00CB7A99">
                <w:rPr>
                  <w:rStyle w:val="Hyperlink"/>
                  <w:rFonts w:cs="Arial"/>
                </w:rPr>
                <w:t>Orthopedic procedures:</w:t>
              </w:r>
            </w:hyperlink>
            <w:r>
              <w:rPr>
                <w:rFonts w:cs="Arial"/>
              </w:rPr>
              <w:t xml:space="preserve"> finger, hand, wrist, forearm, and elbow procedures; shoulder procedures; knee procedures; toe, foot, ankle, and leg procedures; and general orthopedic procedures</w:t>
            </w:r>
          </w:p>
          <w:p w14:paraId="31F16FC8" w14:textId="5ADCF101" w:rsidR="005E5021" w:rsidRDefault="005E5021" w:rsidP="00AD309C">
            <w:pPr>
              <w:pStyle w:val="ListParagraph"/>
              <w:numPr>
                <w:ilvl w:val="0"/>
                <w:numId w:val="328"/>
              </w:numPr>
              <w:rPr>
                <w:rFonts w:cs="Arial"/>
              </w:rPr>
            </w:pPr>
            <w:hyperlink w:anchor="_Otolaryngology_Measure_Specificatio" w:history="1">
              <w:r w:rsidRPr="00CB7A99">
                <w:rPr>
                  <w:rStyle w:val="Hyperlink"/>
                  <w:rFonts w:cs="Arial"/>
                </w:rPr>
                <w:t>Otolaryngology procedures:</w:t>
              </w:r>
            </w:hyperlink>
            <w:r>
              <w:rPr>
                <w:rFonts w:cs="Arial"/>
              </w:rPr>
              <w:t xml:space="preserve"> ear procedures; mouth procedures; nasal/sinus procedures; pharynx/adenoid/tonsil procedures</w:t>
            </w:r>
          </w:p>
          <w:p w14:paraId="15D86DE2" w14:textId="77777777" w:rsidR="00222413" w:rsidRPr="00045157" w:rsidRDefault="00222413" w:rsidP="006606DD">
            <w:pPr>
              <w:rPr>
                <w:sz w:val="16"/>
                <w:szCs w:val="16"/>
                <w:lang w:eastAsia="ja-JP"/>
              </w:rPr>
            </w:pPr>
          </w:p>
          <w:p w14:paraId="2AFC2CE7" w14:textId="77777777" w:rsidR="00222413" w:rsidRPr="00222413" w:rsidRDefault="00222413" w:rsidP="006606DD">
            <w:pPr>
              <w:rPr>
                <w:lang w:eastAsia="ja-JP"/>
              </w:rPr>
            </w:pPr>
            <w:r w:rsidRPr="00222413">
              <w:rPr>
                <w:lang w:eastAsia="ja-JP"/>
              </w:rPr>
              <w:t>Respond “yes” if:</w:t>
            </w:r>
          </w:p>
          <w:p w14:paraId="27535D6E" w14:textId="43CF2A84" w:rsidR="00222413" w:rsidRPr="00222413" w:rsidRDefault="004336F5" w:rsidP="00AD309C">
            <w:pPr>
              <w:numPr>
                <w:ilvl w:val="0"/>
                <w:numId w:val="98"/>
              </w:numPr>
              <w:rPr>
                <w:lang w:eastAsia="ja-JP"/>
              </w:rPr>
            </w:pPr>
            <w:r>
              <w:rPr>
                <w:lang w:eastAsia="ja-JP"/>
              </w:rPr>
              <w:t>One or more of y</w:t>
            </w:r>
            <w:r w:rsidR="00222413" w:rsidRPr="00222413">
              <w:rPr>
                <w:lang w:eastAsia="ja-JP"/>
              </w:rPr>
              <w:t xml:space="preserve">our </w:t>
            </w:r>
            <w:r>
              <w:rPr>
                <w:lang w:eastAsia="ja-JP"/>
              </w:rPr>
              <w:t>hospital outpatient departments</w:t>
            </w:r>
            <w:r w:rsidR="00222413" w:rsidRPr="00222413">
              <w:rPr>
                <w:lang w:eastAsia="ja-JP"/>
              </w:rPr>
              <w:t xml:space="preserve"> performed the procedure </w:t>
            </w:r>
            <w:r w:rsidR="00892537">
              <w:rPr>
                <w:lang w:eastAsia="ja-JP"/>
              </w:rPr>
              <w:t xml:space="preserve">on an outpatient basis </w:t>
            </w:r>
            <w:r w:rsidR="00222413" w:rsidRPr="00222413">
              <w:rPr>
                <w:lang w:eastAsia="ja-JP"/>
              </w:rPr>
              <w:t>for the entire reporting period (12 months) and continue</w:t>
            </w:r>
            <w:r w:rsidR="00DE34A3">
              <w:rPr>
                <w:lang w:eastAsia="ja-JP"/>
              </w:rPr>
              <w:t>s</w:t>
            </w:r>
            <w:r w:rsidR="00222413" w:rsidRPr="00222413">
              <w:rPr>
                <w:lang w:eastAsia="ja-JP"/>
              </w:rPr>
              <w:t xml:space="preserve"> to do so</w:t>
            </w:r>
          </w:p>
          <w:p w14:paraId="443411B0" w14:textId="56E5AA9D" w:rsidR="00222413" w:rsidRPr="00222413" w:rsidRDefault="004336F5" w:rsidP="00AD309C">
            <w:pPr>
              <w:numPr>
                <w:ilvl w:val="0"/>
                <w:numId w:val="98"/>
              </w:numPr>
              <w:rPr>
                <w:lang w:eastAsia="ja-JP"/>
              </w:rPr>
            </w:pPr>
            <w:r>
              <w:rPr>
                <w:lang w:eastAsia="ja-JP"/>
              </w:rPr>
              <w:t>One or more of y</w:t>
            </w:r>
            <w:r w:rsidR="00222413" w:rsidRPr="00222413">
              <w:rPr>
                <w:lang w:eastAsia="ja-JP"/>
              </w:rPr>
              <w:t xml:space="preserve">our </w:t>
            </w:r>
            <w:r>
              <w:rPr>
                <w:lang w:eastAsia="ja-JP"/>
              </w:rPr>
              <w:t>hospital outpatient departments</w:t>
            </w:r>
            <w:r w:rsidR="00222413" w:rsidRPr="00222413">
              <w:rPr>
                <w:lang w:eastAsia="ja-JP"/>
              </w:rPr>
              <w:t xml:space="preserve"> performed the procedure </w:t>
            </w:r>
            <w:r w:rsidR="00892537">
              <w:rPr>
                <w:lang w:eastAsia="ja-JP"/>
              </w:rPr>
              <w:t xml:space="preserve">on an outpatient basis </w:t>
            </w:r>
            <w:r w:rsidR="00222413" w:rsidRPr="00222413">
              <w:rPr>
                <w:lang w:eastAsia="ja-JP"/>
              </w:rPr>
              <w:t xml:space="preserve">during part </w:t>
            </w:r>
            <w:r w:rsidR="00892537">
              <w:rPr>
                <w:lang w:eastAsia="ja-JP"/>
              </w:rPr>
              <w:t xml:space="preserve">of </w:t>
            </w:r>
            <w:r w:rsidR="00222413" w:rsidRPr="00222413">
              <w:rPr>
                <w:lang w:eastAsia="ja-JP"/>
              </w:rPr>
              <w:t xml:space="preserve">the reporting period </w:t>
            </w:r>
            <w:r w:rsidR="00892537">
              <w:rPr>
                <w:lang w:eastAsia="ja-JP"/>
              </w:rPr>
              <w:t>(</w:t>
            </w:r>
            <w:r w:rsidR="00222413" w:rsidRPr="00222413">
              <w:rPr>
                <w:lang w:eastAsia="ja-JP"/>
              </w:rPr>
              <w:t>less than 12 months) and continue</w:t>
            </w:r>
            <w:r w:rsidR="00DE34A3">
              <w:rPr>
                <w:lang w:eastAsia="ja-JP"/>
              </w:rPr>
              <w:t>s</w:t>
            </w:r>
            <w:r w:rsidR="00222413" w:rsidRPr="00222413">
              <w:rPr>
                <w:lang w:eastAsia="ja-JP"/>
              </w:rPr>
              <w:t xml:space="preserve"> to perform the procedure </w:t>
            </w:r>
          </w:p>
          <w:p w14:paraId="1C9766C7" w14:textId="77777777" w:rsidR="00222413" w:rsidRPr="00045157" w:rsidRDefault="00222413" w:rsidP="006606DD">
            <w:pPr>
              <w:rPr>
                <w:sz w:val="16"/>
                <w:szCs w:val="16"/>
                <w:lang w:eastAsia="ja-JP"/>
              </w:rPr>
            </w:pPr>
          </w:p>
          <w:p w14:paraId="210E2A1F" w14:textId="3450953D" w:rsidR="00222413" w:rsidRPr="00222413" w:rsidRDefault="00222413" w:rsidP="00B44C1C">
            <w:pPr>
              <w:rPr>
                <w:lang w:eastAsia="ja-JP"/>
              </w:rPr>
            </w:pPr>
            <w:r w:rsidRPr="00222413">
              <w:rPr>
                <w:lang w:eastAsia="ja-JP"/>
              </w:rPr>
              <w:t>Respond “yes, but no longer perform these procedures” if</w:t>
            </w:r>
            <w:r w:rsidR="004B148E">
              <w:rPr>
                <w:lang w:eastAsia="ja-JP"/>
              </w:rPr>
              <w:t xml:space="preserve"> y</w:t>
            </w:r>
            <w:r w:rsidRPr="00222413">
              <w:rPr>
                <w:lang w:eastAsia="ja-JP"/>
              </w:rPr>
              <w:t xml:space="preserve">our </w:t>
            </w:r>
            <w:r w:rsidR="004A07B4">
              <w:rPr>
                <w:lang w:eastAsia="ja-JP"/>
              </w:rPr>
              <w:t>hospital outpatient departments</w:t>
            </w:r>
            <w:r w:rsidRPr="00222413">
              <w:rPr>
                <w:lang w:eastAsia="ja-JP"/>
              </w:rPr>
              <w:t xml:space="preserve"> performed the procedure for all or some of the reporting period, but NO longer perform</w:t>
            </w:r>
            <w:r w:rsidR="005A4897">
              <w:rPr>
                <w:lang w:eastAsia="ja-JP"/>
              </w:rPr>
              <w:t>s</w:t>
            </w:r>
            <w:r w:rsidRPr="00222413">
              <w:rPr>
                <w:lang w:eastAsia="ja-JP"/>
              </w:rPr>
              <w:t xml:space="preserve"> the procedure</w:t>
            </w:r>
          </w:p>
          <w:p w14:paraId="3772B590" w14:textId="77777777" w:rsidR="00222413" w:rsidRPr="00045157" w:rsidRDefault="00222413" w:rsidP="006606DD">
            <w:pPr>
              <w:rPr>
                <w:sz w:val="16"/>
                <w:szCs w:val="16"/>
                <w:lang w:eastAsia="ja-JP"/>
              </w:rPr>
            </w:pPr>
          </w:p>
          <w:p w14:paraId="76CD11E1" w14:textId="6F2721DB" w:rsidR="00222413" w:rsidRPr="00222413" w:rsidRDefault="00222413" w:rsidP="00B44C1C">
            <w:pPr>
              <w:rPr>
                <w:lang w:eastAsia="ja-JP"/>
              </w:rPr>
            </w:pPr>
            <w:r w:rsidRPr="00222413">
              <w:rPr>
                <w:lang w:eastAsia="ja-JP"/>
              </w:rPr>
              <w:t>Respond “no” if</w:t>
            </w:r>
            <w:r w:rsidR="005E5021">
              <w:rPr>
                <w:lang w:eastAsia="ja-JP"/>
              </w:rPr>
              <w:t xml:space="preserve"> y</w:t>
            </w:r>
            <w:r w:rsidRPr="00222413">
              <w:rPr>
                <w:lang w:eastAsia="ja-JP"/>
              </w:rPr>
              <w:t xml:space="preserve">our </w:t>
            </w:r>
            <w:r w:rsidR="004A07B4">
              <w:rPr>
                <w:lang w:eastAsia="ja-JP"/>
              </w:rPr>
              <w:t>hospital outpatient departments</w:t>
            </w:r>
            <w:r w:rsidR="009A0BCC">
              <w:rPr>
                <w:lang w:eastAsia="ja-JP"/>
              </w:rPr>
              <w:t xml:space="preserve"> do not perform the procedure</w:t>
            </w:r>
            <w:r w:rsidR="005E5021">
              <w:rPr>
                <w:lang w:eastAsia="ja-JP"/>
              </w:rPr>
              <w:t>.</w:t>
            </w:r>
          </w:p>
        </w:tc>
      </w:tr>
      <w:tr w:rsidR="00222413" w:rsidRPr="00222413" w14:paraId="506B0F94" w14:textId="77777777" w:rsidTr="006606DD">
        <w:tc>
          <w:tcPr>
            <w:tcW w:w="9350" w:type="dxa"/>
            <w:vAlign w:val="center"/>
          </w:tcPr>
          <w:p w14:paraId="448F928F" w14:textId="3E31C71A" w:rsidR="00222413" w:rsidRPr="00222413" w:rsidRDefault="00222413" w:rsidP="006606DD">
            <w:pPr>
              <w:rPr>
                <w:lang w:eastAsia="ja-JP"/>
              </w:rPr>
            </w:pPr>
            <w:r w:rsidRPr="00222413">
              <w:rPr>
                <w:b/>
                <w:lang w:eastAsia="ja-JP"/>
              </w:rPr>
              <w:t>Questions #1</w:t>
            </w:r>
            <w:r w:rsidR="00620923">
              <w:rPr>
                <w:b/>
                <w:lang w:eastAsia="ja-JP"/>
              </w:rPr>
              <w:t>1-37</w:t>
            </w:r>
            <w:r w:rsidRPr="00222413">
              <w:rPr>
                <w:lang w:eastAsia="ja-JP"/>
              </w:rPr>
              <w:t>: Based on your responses to questions #2-1</w:t>
            </w:r>
            <w:r w:rsidR="003968AC">
              <w:rPr>
                <w:lang w:eastAsia="ja-JP"/>
              </w:rPr>
              <w:t>0</w:t>
            </w:r>
            <w:r w:rsidRPr="00222413">
              <w:rPr>
                <w:lang w:eastAsia="ja-JP"/>
              </w:rPr>
              <w:t>, report on the total (a) adult and/or (b) pediatric volume for each procedure (from questions #2-1</w:t>
            </w:r>
            <w:r w:rsidR="003968AC">
              <w:rPr>
                <w:lang w:eastAsia="ja-JP"/>
              </w:rPr>
              <w:t>0</w:t>
            </w:r>
            <w:r w:rsidRPr="00222413">
              <w:rPr>
                <w:lang w:eastAsia="ja-JP"/>
              </w:rPr>
              <w:t>) during the reporting period:</w:t>
            </w:r>
          </w:p>
          <w:p w14:paraId="52F64BDE" w14:textId="77777777" w:rsidR="00222413" w:rsidRPr="00045157" w:rsidRDefault="00222413" w:rsidP="006606DD">
            <w:pPr>
              <w:rPr>
                <w:i/>
                <w:sz w:val="16"/>
                <w:szCs w:val="16"/>
                <w:lang w:eastAsia="ja-JP"/>
              </w:rPr>
            </w:pPr>
          </w:p>
          <w:p w14:paraId="5AE596C8" w14:textId="6916AB06" w:rsidR="005E5021" w:rsidRPr="00CB7A99" w:rsidRDefault="005E5021" w:rsidP="00B44C1C">
            <w:pPr>
              <w:pStyle w:val="ListParagraph"/>
              <w:ind w:left="0"/>
              <w:rPr>
                <w:rStyle w:val="Hyperlink"/>
                <w:rFonts w:cs="Arial"/>
              </w:rPr>
            </w:pPr>
            <w:r w:rsidRPr="00CB7A99">
              <w:rPr>
                <w:rFonts w:cs="Arial"/>
                <w:b/>
                <w:i/>
              </w:rPr>
              <w:t>Adult Procedures</w:t>
            </w:r>
            <w:r>
              <w:rPr>
                <w:rFonts w:cs="Arial"/>
                <w:u w:val="single"/>
              </w:rPr>
              <w:fldChar w:fldCharType="begin"/>
            </w:r>
            <w:r w:rsidR="003B14CE">
              <w:rPr>
                <w:rFonts w:cs="Arial"/>
                <w:u w:val="single"/>
              </w:rPr>
              <w:instrText>HYPERLINK  \l "_Ophthalmology_Measure_Specification"</w:instrText>
            </w:r>
            <w:r>
              <w:rPr>
                <w:rFonts w:cs="Arial"/>
                <w:u w:val="single"/>
              </w:rPr>
            </w:r>
            <w:r>
              <w:rPr>
                <w:rFonts w:cs="Arial"/>
                <w:u w:val="single"/>
              </w:rPr>
              <w:fldChar w:fldCharType="separate"/>
            </w:r>
          </w:p>
          <w:p w14:paraId="34D66F84" w14:textId="77777777" w:rsidR="005E5021" w:rsidRPr="00E60506" w:rsidRDefault="005E5021" w:rsidP="00AD309C">
            <w:pPr>
              <w:pStyle w:val="ListParagraph"/>
              <w:numPr>
                <w:ilvl w:val="0"/>
                <w:numId w:val="329"/>
              </w:numPr>
              <w:rPr>
                <w:rFonts w:cs="Arial"/>
              </w:rPr>
            </w:pPr>
            <w:r w:rsidRPr="00CB7A99">
              <w:rPr>
                <w:rStyle w:val="Hyperlink"/>
                <w:rFonts w:cs="Arial"/>
              </w:rPr>
              <w:t>Ophthalmology procedures:</w:t>
            </w:r>
            <w:r>
              <w:rPr>
                <w:rFonts w:cs="Arial"/>
                <w:u w:val="single"/>
              </w:rPr>
              <w:fldChar w:fldCharType="end"/>
            </w:r>
            <w:r>
              <w:rPr>
                <w:rFonts w:cs="Arial"/>
              </w:rPr>
              <w:t xml:space="preserve"> anterior segment eye procedures; posterior segment eye procedures; and o</w:t>
            </w:r>
            <w:r w:rsidRPr="00DD322F">
              <w:rPr>
                <w:rFonts w:cs="Arial"/>
              </w:rPr>
              <w:t xml:space="preserve">cular </w:t>
            </w:r>
            <w:r>
              <w:rPr>
                <w:rFonts w:cs="Arial"/>
              </w:rPr>
              <w:t>a</w:t>
            </w:r>
            <w:r w:rsidRPr="00DD322F">
              <w:rPr>
                <w:rFonts w:cs="Arial"/>
              </w:rPr>
              <w:t xml:space="preserve">dnexa and </w:t>
            </w:r>
            <w:r>
              <w:rPr>
                <w:rFonts w:cs="Arial"/>
              </w:rPr>
              <w:t>ot</w:t>
            </w:r>
            <w:r w:rsidRPr="00DD322F">
              <w:rPr>
                <w:rFonts w:cs="Arial"/>
              </w:rPr>
              <w:t xml:space="preserve">her </w:t>
            </w:r>
            <w:r>
              <w:rPr>
                <w:rFonts w:cs="Arial"/>
              </w:rPr>
              <w:t>e</w:t>
            </w:r>
            <w:r w:rsidRPr="00DD322F">
              <w:rPr>
                <w:rFonts w:cs="Arial"/>
              </w:rPr>
              <w:t xml:space="preserve">ye </w:t>
            </w:r>
            <w:r>
              <w:rPr>
                <w:rFonts w:cs="Arial"/>
              </w:rPr>
              <w:t>p</w:t>
            </w:r>
            <w:r w:rsidRPr="00DD322F">
              <w:rPr>
                <w:rFonts w:cs="Arial"/>
              </w:rPr>
              <w:t>rocedures</w:t>
            </w:r>
          </w:p>
          <w:p w14:paraId="2180F445" w14:textId="25ABE218" w:rsidR="005E5021" w:rsidRPr="00E60506" w:rsidRDefault="005E5021" w:rsidP="00AD309C">
            <w:pPr>
              <w:pStyle w:val="ListParagraph"/>
              <w:numPr>
                <w:ilvl w:val="0"/>
                <w:numId w:val="329"/>
              </w:numPr>
              <w:rPr>
                <w:rFonts w:cs="Arial"/>
              </w:rPr>
            </w:pPr>
            <w:hyperlink w:anchor="_Orthopedic_Measure_Specifications" w:history="1">
              <w:r w:rsidRPr="00CB7A99">
                <w:rPr>
                  <w:rStyle w:val="Hyperlink"/>
                  <w:rFonts w:cs="Arial"/>
                </w:rPr>
                <w:t>Orthopedic procedures</w:t>
              </w:r>
            </w:hyperlink>
            <w:r w:rsidRPr="00CB7A99">
              <w:rPr>
                <w:rFonts w:cs="Arial"/>
                <w:u w:val="single"/>
              </w:rPr>
              <w:t>:</w:t>
            </w:r>
            <w:r>
              <w:rPr>
                <w:rFonts w:cs="Arial"/>
              </w:rPr>
              <w:t xml:space="preserve"> finger, hand, wrist, forearm, and elbow procedures; shoulder procedures; spine procedures; hip procedures; knee procedures; toe, foot, ankle, and leg procedures; and general orthopedic procedures</w:t>
            </w:r>
          </w:p>
          <w:p w14:paraId="6B27C252" w14:textId="4E0D6F2F" w:rsidR="005E5021" w:rsidRPr="00E60506" w:rsidRDefault="005E5021" w:rsidP="00AD309C">
            <w:pPr>
              <w:pStyle w:val="ListParagraph"/>
              <w:numPr>
                <w:ilvl w:val="0"/>
                <w:numId w:val="329"/>
              </w:numPr>
              <w:rPr>
                <w:rFonts w:cs="Arial"/>
              </w:rPr>
            </w:pPr>
            <w:hyperlink w:anchor="_Otolaryngology_Measure_Specificatio" w:history="1">
              <w:r w:rsidRPr="00CB7A99">
                <w:rPr>
                  <w:rStyle w:val="Hyperlink"/>
                  <w:rFonts w:cs="Arial"/>
                </w:rPr>
                <w:t>Otolaryngology procedures:</w:t>
              </w:r>
            </w:hyperlink>
            <w:r>
              <w:rPr>
                <w:rFonts w:cs="Arial"/>
              </w:rPr>
              <w:t xml:space="preserve"> ear procedures; mouth procedures; and nasal/sinus procedures </w:t>
            </w:r>
          </w:p>
          <w:p w14:paraId="6F56BA06" w14:textId="746F4E50" w:rsidR="005E5021" w:rsidRDefault="005E5021" w:rsidP="00AD309C">
            <w:pPr>
              <w:pStyle w:val="ListParagraph"/>
              <w:numPr>
                <w:ilvl w:val="0"/>
                <w:numId w:val="329"/>
              </w:numPr>
              <w:rPr>
                <w:rFonts w:cs="Arial"/>
              </w:rPr>
            </w:pPr>
            <w:hyperlink w:anchor="_Gastroenterology_Measure_Specificat" w:history="1">
              <w:r w:rsidRPr="00CB7A99">
                <w:rPr>
                  <w:rStyle w:val="Hyperlink"/>
                  <w:rFonts w:cs="Arial"/>
                </w:rPr>
                <w:t>Gastroenterology procedures:</w:t>
              </w:r>
            </w:hyperlink>
            <w:r>
              <w:rPr>
                <w:rFonts w:cs="Arial"/>
              </w:rPr>
              <w:t xml:space="preserve"> upper GI endoscopy; and lower GI endoscopy </w:t>
            </w:r>
          </w:p>
          <w:p w14:paraId="6D2B6A4B" w14:textId="6D1C5702" w:rsidR="005E5021" w:rsidRDefault="005E5021" w:rsidP="00AD309C">
            <w:pPr>
              <w:pStyle w:val="ListParagraph"/>
              <w:numPr>
                <w:ilvl w:val="0"/>
                <w:numId w:val="329"/>
              </w:numPr>
              <w:rPr>
                <w:rFonts w:cs="Arial"/>
              </w:rPr>
            </w:pPr>
            <w:hyperlink w:anchor="_General_Surgery_Measure" w:history="1">
              <w:r w:rsidRPr="00E60506">
                <w:rPr>
                  <w:rStyle w:val="Hyperlink"/>
                  <w:rFonts w:cs="Arial"/>
                </w:rPr>
                <w:t>General surgery procedures:</w:t>
              </w:r>
            </w:hyperlink>
            <w:r w:rsidRPr="00E60506">
              <w:rPr>
                <w:rFonts w:cs="Arial"/>
              </w:rPr>
              <w:t xml:space="preserve"> cholecystectomy and common duct exploration; hemorrhoid procedures; inguinal and femoral hernia repairs; other hernia repairs; laparoscopy; lumpectomy or quadrantectomy of breast; and mastectomy</w:t>
            </w:r>
          </w:p>
          <w:p w14:paraId="3599B1AA" w14:textId="7342E2FB" w:rsidR="005E5021" w:rsidRPr="00E60506" w:rsidRDefault="005E5021" w:rsidP="00AD309C">
            <w:pPr>
              <w:pStyle w:val="ListParagraph"/>
              <w:numPr>
                <w:ilvl w:val="0"/>
                <w:numId w:val="329"/>
              </w:numPr>
              <w:rPr>
                <w:rFonts w:cs="Arial"/>
              </w:rPr>
            </w:pPr>
            <w:hyperlink w:anchor="_Urology_Measure_Specifications" w:history="1">
              <w:r w:rsidRPr="00CB7A99">
                <w:rPr>
                  <w:rStyle w:val="Hyperlink"/>
                  <w:rFonts w:cs="Arial"/>
                </w:rPr>
                <w:t>Urology procedures:</w:t>
              </w:r>
            </w:hyperlink>
            <w:r>
              <w:rPr>
                <w:rFonts w:cs="Arial"/>
              </w:rPr>
              <w:t xml:space="preserve"> circumcisions; cystourethroscopy; male genital procedures; urethra procedures; and vaginal repair procedures</w:t>
            </w:r>
          </w:p>
          <w:p w14:paraId="64418851" w14:textId="680AAFBE" w:rsidR="005E5021" w:rsidRPr="00E60506" w:rsidRDefault="005E5021" w:rsidP="00AD309C">
            <w:pPr>
              <w:pStyle w:val="ListParagraph"/>
              <w:numPr>
                <w:ilvl w:val="0"/>
                <w:numId w:val="329"/>
              </w:numPr>
              <w:rPr>
                <w:rFonts w:cs="Arial"/>
              </w:rPr>
            </w:pPr>
            <w:hyperlink w:anchor="_Neurological_Surgery_Measure" w:history="1">
              <w:r w:rsidRPr="00CB7A99">
                <w:rPr>
                  <w:rStyle w:val="Hyperlink"/>
                  <w:rFonts w:cs="Arial"/>
                </w:rPr>
                <w:t>Neurological surgery procedures:</w:t>
              </w:r>
            </w:hyperlink>
            <w:r>
              <w:rPr>
                <w:rFonts w:cs="Arial"/>
              </w:rPr>
              <w:t xml:space="preserve"> spinal fusion procedures</w:t>
            </w:r>
          </w:p>
          <w:p w14:paraId="41178928" w14:textId="41744FA1" w:rsidR="005E5021" w:rsidRDefault="005E5021" w:rsidP="00AD309C">
            <w:pPr>
              <w:pStyle w:val="ListParagraph"/>
              <w:numPr>
                <w:ilvl w:val="0"/>
                <w:numId w:val="329"/>
              </w:numPr>
              <w:rPr>
                <w:rFonts w:cs="Arial"/>
              </w:rPr>
            </w:pPr>
            <w:hyperlink w:anchor="_Obstetrics_and_Gynecology" w:history="1">
              <w:r w:rsidRPr="00CB7A99">
                <w:rPr>
                  <w:rStyle w:val="Hyperlink"/>
                  <w:rFonts w:cs="Arial"/>
                </w:rPr>
                <w:t>Obstetrics and gynecology procedures:</w:t>
              </w:r>
            </w:hyperlink>
            <w:r>
              <w:rPr>
                <w:rFonts w:cs="Arial"/>
              </w:rPr>
              <w:t xml:space="preserve"> cervix procedures; hysteroscopy; and uterus and adnexa laparoscopies</w:t>
            </w:r>
          </w:p>
          <w:p w14:paraId="3EF5956E" w14:textId="261F9DBE" w:rsidR="005E5021" w:rsidRDefault="005E5021" w:rsidP="00AD309C">
            <w:pPr>
              <w:pStyle w:val="ListParagraph"/>
              <w:numPr>
                <w:ilvl w:val="0"/>
                <w:numId w:val="329"/>
              </w:numPr>
              <w:rPr>
                <w:lang w:eastAsia="ja-JP"/>
              </w:rPr>
            </w:pPr>
            <w:hyperlink w:anchor="_Plastic_and_Reconstructive" w:history="1">
              <w:r w:rsidRPr="00CB7A99">
                <w:rPr>
                  <w:rStyle w:val="Hyperlink"/>
                  <w:rFonts w:cs="Arial"/>
                </w:rPr>
                <w:t>Plastic and reconstructive surgery procedures:</w:t>
              </w:r>
            </w:hyperlink>
            <w:r>
              <w:t xml:space="preserve"> breast repair or reconstructive procedures; and s</w:t>
            </w:r>
            <w:r>
              <w:rPr>
                <w:lang w:eastAsia="ja-JP"/>
              </w:rPr>
              <w:t xml:space="preserve">kin graft/reconstruction procedures </w:t>
            </w:r>
          </w:p>
          <w:p w14:paraId="6E7264E4" w14:textId="77777777" w:rsidR="005E5021" w:rsidRPr="00045157" w:rsidRDefault="005E5021" w:rsidP="005E5021">
            <w:pPr>
              <w:ind w:left="720"/>
              <w:rPr>
                <w:sz w:val="16"/>
                <w:szCs w:val="16"/>
                <w:lang w:eastAsia="ja-JP"/>
              </w:rPr>
            </w:pPr>
          </w:p>
          <w:p w14:paraId="3F9F510A" w14:textId="03390C22" w:rsidR="005E5021" w:rsidRDefault="005E5021" w:rsidP="005E5021">
            <w:r w:rsidRPr="00CB7A99">
              <w:rPr>
                <w:rFonts w:cs="Arial"/>
                <w:b/>
                <w:i/>
              </w:rPr>
              <w:t>Pediatric Procedures</w:t>
            </w:r>
          </w:p>
          <w:p w14:paraId="5DF4B503" w14:textId="25F35C17" w:rsidR="005E5021" w:rsidRDefault="005E5021" w:rsidP="00AD309C">
            <w:pPr>
              <w:pStyle w:val="ListParagraph"/>
              <w:numPr>
                <w:ilvl w:val="0"/>
                <w:numId w:val="330"/>
              </w:numPr>
              <w:rPr>
                <w:rFonts w:cs="Arial"/>
              </w:rPr>
            </w:pPr>
            <w:hyperlink w:anchor="_Ophthalmology_Measure_Specification" w:history="1">
              <w:r w:rsidRPr="00CB7A99">
                <w:rPr>
                  <w:rStyle w:val="Hyperlink"/>
                  <w:rFonts w:cs="Arial"/>
                </w:rPr>
                <w:t>Ophthalmology procedures:</w:t>
              </w:r>
            </w:hyperlink>
            <w:r>
              <w:rPr>
                <w:rFonts w:cs="Arial"/>
              </w:rPr>
              <w:t xml:space="preserve"> </w:t>
            </w:r>
            <w:r w:rsidRPr="00DD322F">
              <w:rPr>
                <w:rFonts w:cs="Arial"/>
              </w:rPr>
              <w:t>ocular adnexa and other eye procedures</w:t>
            </w:r>
          </w:p>
          <w:p w14:paraId="0FD11FC4" w14:textId="04209E93" w:rsidR="005E5021" w:rsidRDefault="005E5021" w:rsidP="00AD309C">
            <w:pPr>
              <w:pStyle w:val="ListParagraph"/>
              <w:numPr>
                <w:ilvl w:val="0"/>
                <w:numId w:val="330"/>
              </w:numPr>
              <w:rPr>
                <w:rFonts w:cs="Arial"/>
              </w:rPr>
            </w:pPr>
            <w:hyperlink w:anchor="_Orthopedic_Measure_Specifications" w:history="1">
              <w:r w:rsidRPr="00CB7A99">
                <w:rPr>
                  <w:rStyle w:val="Hyperlink"/>
                  <w:rFonts w:cs="Arial"/>
                </w:rPr>
                <w:t>Orthopedic procedures:</w:t>
              </w:r>
            </w:hyperlink>
            <w:r>
              <w:rPr>
                <w:rFonts w:cs="Arial"/>
              </w:rPr>
              <w:t xml:space="preserve"> finger, hand, wrist, forearm, and elbow procedures; shoulder procedures; knee procedures; toe, foot, ankle, and leg procedures; and general orthopedic procedures</w:t>
            </w:r>
          </w:p>
          <w:p w14:paraId="64BC565A" w14:textId="72701410" w:rsidR="005E5021" w:rsidRDefault="005E5021" w:rsidP="00AD309C">
            <w:pPr>
              <w:pStyle w:val="ListParagraph"/>
              <w:numPr>
                <w:ilvl w:val="0"/>
                <w:numId w:val="330"/>
              </w:numPr>
              <w:rPr>
                <w:rFonts w:cs="Arial"/>
              </w:rPr>
            </w:pPr>
            <w:hyperlink w:anchor="_Otolaryngology_Measure_Specificatio" w:history="1">
              <w:r w:rsidRPr="00CB7A99">
                <w:rPr>
                  <w:rStyle w:val="Hyperlink"/>
                  <w:rFonts w:cs="Arial"/>
                </w:rPr>
                <w:t>Otolaryngology procedures:</w:t>
              </w:r>
            </w:hyperlink>
            <w:r>
              <w:rPr>
                <w:rFonts w:cs="Arial"/>
              </w:rPr>
              <w:t xml:space="preserve"> ear procedures; mouth procedures; nasal/sinus procedures; pharynx/adenoid/tonsil procedures</w:t>
            </w:r>
          </w:p>
          <w:p w14:paraId="020AAD82" w14:textId="77777777" w:rsidR="00222413" w:rsidRPr="00045157" w:rsidRDefault="00222413" w:rsidP="006606DD">
            <w:pPr>
              <w:rPr>
                <w:sz w:val="16"/>
                <w:szCs w:val="16"/>
                <w:lang w:eastAsia="ja-JP"/>
              </w:rPr>
            </w:pPr>
          </w:p>
          <w:p w14:paraId="49A80E82" w14:textId="255A8950" w:rsidR="00222413" w:rsidRPr="00222413" w:rsidRDefault="00222413" w:rsidP="00B44C1C">
            <w:pPr>
              <w:rPr>
                <w:lang w:eastAsia="ja-JP"/>
              </w:rPr>
            </w:pPr>
            <w:r w:rsidRPr="00222413">
              <w:rPr>
                <w:lang w:eastAsia="ja-JP"/>
              </w:rPr>
              <w:t xml:space="preserve">When calculating total </w:t>
            </w:r>
            <w:r w:rsidR="00AE0738" w:rsidRPr="00AE0738">
              <w:rPr>
                <w:b/>
                <w:bCs/>
                <w:lang w:eastAsia="ja-JP"/>
              </w:rPr>
              <w:t>hospital outpatient department</w:t>
            </w:r>
            <w:r w:rsidRPr="00222413">
              <w:rPr>
                <w:b/>
                <w:lang w:eastAsia="ja-JP"/>
              </w:rPr>
              <w:t xml:space="preserve"> volume for (a) adult and/or (b) pediatric patients</w:t>
            </w:r>
            <w:r w:rsidR="006E0696">
              <w:rPr>
                <w:lang w:eastAsia="ja-JP"/>
              </w:rPr>
              <w:t xml:space="preserve"> c</w:t>
            </w:r>
            <w:r w:rsidRPr="00222413">
              <w:rPr>
                <w:lang w:eastAsia="ja-JP"/>
              </w:rPr>
              <w:t xml:space="preserve">ount the number of </w:t>
            </w:r>
            <w:r w:rsidRPr="00222413">
              <w:rPr>
                <w:b/>
                <w:lang w:eastAsia="ja-JP"/>
              </w:rPr>
              <w:t>patients</w:t>
            </w:r>
            <w:r w:rsidRPr="00222413">
              <w:rPr>
                <w:lang w:eastAsia="ja-JP"/>
              </w:rPr>
              <w:t xml:space="preserve"> discharged from your </w:t>
            </w:r>
            <w:r w:rsidR="00AE0738">
              <w:rPr>
                <w:lang w:eastAsia="ja-JP"/>
              </w:rPr>
              <w:t>hospital outpatient department</w:t>
            </w:r>
            <w:r w:rsidR="005A4897">
              <w:rPr>
                <w:lang w:eastAsia="ja-JP"/>
              </w:rPr>
              <w:t>(</w:t>
            </w:r>
            <w:r w:rsidR="00AE0738">
              <w:rPr>
                <w:lang w:eastAsia="ja-JP"/>
              </w:rPr>
              <w:t>s</w:t>
            </w:r>
            <w:r w:rsidR="005A4897">
              <w:rPr>
                <w:lang w:eastAsia="ja-JP"/>
              </w:rPr>
              <w:t>)</w:t>
            </w:r>
            <w:r w:rsidRPr="00222413">
              <w:rPr>
                <w:lang w:eastAsia="ja-JP"/>
              </w:rPr>
              <w:t xml:space="preserve"> within the reporting period with any one or more of the</w:t>
            </w:r>
            <w:r w:rsidR="00892537">
              <w:rPr>
                <w:lang w:eastAsia="ja-JP"/>
              </w:rPr>
              <w:t xml:space="preserve"> </w:t>
            </w:r>
            <w:r w:rsidRPr="00222413">
              <w:rPr>
                <w:lang w:eastAsia="ja-JP"/>
              </w:rPr>
              <w:t>codes specified for each procedure, subject to the criteria below:</w:t>
            </w:r>
          </w:p>
          <w:p w14:paraId="0F3B0D4C" w14:textId="77777777" w:rsidR="00542915" w:rsidRDefault="00F9120A" w:rsidP="00AD309C">
            <w:pPr>
              <w:numPr>
                <w:ilvl w:val="0"/>
                <w:numId w:val="100"/>
              </w:numPr>
              <w:rPr>
                <w:lang w:eastAsia="ja-JP"/>
              </w:rPr>
            </w:pPr>
            <w:r>
              <w:rPr>
                <w:lang w:eastAsia="ja-JP"/>
              </w:rPr>
              <w:t xml:space="preserve">Only include scheduled outpatient (i.e., admitted and discharged on the same day) procedures performed at your hospital outpatient departments within the reporting period. Include scheduled outpatient procedures with a planned observation or extended recovery stay. </w:t>
            </w:r>
          </w:p>
          <w:p w14:paraId="0A2444C4" w14:textId="2A9EDE98" w:rsidR="00F9120A" w:rsidRDefault="00F9120A" w:rsidP="00AD309C">
            <w:pPr>
              <w:numPr>
                <w:ilvl w:val="0"/>
                <w:numId w:val="100"/>
              </w:numPr>
              <w:rPr>
                <w:lang w:eastAsia="ja-JP"/>
              </w:rPr>
            </w:pPr>
            <w:r>
              <w:rPr>
                <w:lang w:eastAsia="ja-JP"/>
              </w:rPr>
              <w:t>Exclude scheduled outpatient procedures with a planned inpatient admission. Exclude emergent/urgent cases, such as procedures for patients that come through the emergency department</w:t>
            </w:r>
            <w:r w:rsidR="00542915">
              <w:rPr>
                <w:lang w:eastAsia="ja-JP"/>
              </w:rPr>
              <w:t>.</w:t>
            </w:r>
          </w:p>
          <w:p w14:paraId="4F4166DE" w14:textId="2354E00E" w:rsidR="00222413" w:rsidRPr="00222413" w:rsidRDefault="00222413" w:rsidP="00AD309C">
            <w:pPr>
              <w:numPr>
                <w:ilvl w:val="0"/>
                <w:numId w:val="100"/>
              </w:numPr>
              <w:rPr>
                <w:lang w:eastAsia="ja-JP"/>
              </w:rPr>
            </w:pPr>
            <w:r w:rsidRPr="00222413">
              <w:rPr>
                <w:lang w:eastAsia="ja-JP"/>
              </w:rPr>
              <w:t>Only the procedure codes provided by Leapfrog should be used to r</w:t>
            </w:r>
            <w:r w:rsidR="0074723A">
              <w:rPr>
                <w:lang w:eastAsia="ja-JP"/>
              </w:rPr>
              <w:t xml:space="preserve">eport on </w:t>
            </w:r>
            <w:r w:rsidR="005A4897">
              <w:rPr>
                <w:lang w:eastAsia="ja-JP"/>
              </w:rPr>
              <w:t>the q</w:t>
            </w:r>
            <w:r w:rsidR="0074723A">
              <w:rPr>
                <w:lang w:eastAsia="ja-JP"/>
              </w:rPr>
              <w:t xml:space="preserve">uestions in Section </w:t>
            </w:r>
            <w:r w:rsidR="00FB07A6">
              <w:rPr>
                <w:lang w:eastAsia="ja-JP"/>
              </w:rPr>
              <w:t>9</w:t>
            </w:r>
            <w:r w:rsidR="0074723A">
              <w:rPr>
                <w:lang w:eastAsia="ja-JP"/>
              </w:rPr>
              <w:t>C</w:t>
            </w:r>
            <w:r w:rsidRPr="00222413">
              <w:rPr>
                <w:lang w:eastAsia="ja-JP"/>
              </w:rPr>
              <w:t>.</w:t>
            </w:r>
          </w:p>
          <w:p w14:paraId="73850057" w14:textId="6F273413" w:rsidR="00F9120A" w:rsidRPr="00222413" w:rsidRDefault="00222413" w:rsidP="00AD309C">
            <w:pPr>
              <w:numPr>
                <w:ilvl w:val="0"/>
                <w:numId w:val="100"/>
              </w:numPr>
              <w:rPr>
                <w:lang w:eastAsia="ja-JP"/>
              </w:rPr>
            </w:pPr>
            <w:r w:rsidRPr="00222413">
              <w:rPr>
                <w:lang w:eastAsia="ja-JP"/>
              </w:rPr>
              <w:t xml:space="preserve">If a patient had more than one of the listed procedures performed on the same visit (i.e., repair of dislocating knee cap (CPT: 27422) and </w:t>
            </w:r>
            <w:r w:rsidR="00571EC1" w:rsidRPr="00571EC1">
              <w:rPr>
                <w:lang w:eastAsia="ja-JP"/>
              </w:rPr>
              <w:t xml:space="preserve">repair of superior labrum anterior/posterior (SLAP) lesion (CPT: 29807)), </w:t>
            </w:r>
            <w:r w:rsidRPr="00222413">
              <w:rPr>
                <w:lang w:eastAsia="ja-JP"/>
              </w:rPr>
              <w:t>include the patient in the total volume for both procedures</w:t>
            </w:r>
            <w:r w:rsidR="002D363D">
              <w:rPr>
                <w:lang w:eastAsia="ja-JP"/>
              </w:rPr>
              <w:t>.</w:t>
            </w:r>
          </w:p>
        </w:tc>
      </w:tr>
    </w:tbl>
    <w:p w14:paraId="364171EA" w14:textId="77777777" w:rsidR="00222413" w:rsidRDefault="00222413" w:rsidP="00222413">
      <w:pPr>
        <w:rPr>
          <w:lang w:eastAsia="ja-JP"/>
        </w:rPr>
      </w:pPr>
    </w:p>
    <w:p w14:paraId="347F9C50" w14:textId="77777777" w:rsidR="008F5762" w:rsidRDefault="008F5762" w:rsidP="00AB5B80">
      <w:pPr>
        <w:pStyle w:val="Heading3"/>
      </w:pPr>
      <w:bookmarkStart w:id="760" w:name="_Ophthalmology_Measure_Specification"/>
      <w:bookmarkStart w:id="761" w:name="_Toc225877855"/>
      <w:bookmarkEnd w:id="760"/>
      <w:r w:rsidRPr="00222413">
        <w:t>Ophthalmology Measure Specifications</w:t>
      </w:r>
      <w:bookmarkEnd w:id="761"/>
    </w:p>
    <w:p w14:paraId="1E9C7AD0" w14:textId="77777777" w:rsidR="008F5762" w:rsidRPr="006606DD" w:rsidRDefault="008F5762" w:rsidP="008F5762">
      <w:pPr>
        <w:rPr>
          <w:sz w:val="16"/>
          <w:szCs w:val="16"/>
          <w:lang w:eastAsia="ja-JP"/>
        </w:rPr>
      </w:pPr>
    </w:p>
    <w:p w14:paraId="7420378E" w14:textId="01E0E4E0" w:rsidR="008F5762" w:rsidRDefault="008F5762" w:rsidP="008F5762">
      <w:pPr>
        <w:rPr>
          <w:lang w:eastAsia="ja-JP"/>
        </w:rPr>
      </w:pPr>
      <w:r w:rsidRPr="00222413">
        <w:rPr>
          <w:lang w:eastAsia="ja-JP"/>
        </w:rPr>
        <w:t xml:space="preserve">For ophthalmology procedures, use the </w:t>
      </w:r>
      <w:r>
        <w:rPr>
          <w:lang w:eastAsia="ja-JP"/>
        </w:rPr>
        <w:t xml:space="preserve">CPT codes available via the </w:t>
      </w:r>
      <w:hyperlink r:id="rId484" w:history="1">
        <w:r w:rsidRPr="0009495E">
          <w:rPr>
            <w:rStyle w:val="Hyperlink"/>
            <w:lang w:eastAsia="ja-JP"/>
          </w:rPr>
          <w:t>Survey Dashboard</w:t>
        </w:r>
      </w:hyperlink>
      <w:r>
        <w:rPr>
          <w:lang w:eastAsia="ja-JP"/>
        </w:rPr>
        <w:t xml:space="preserve"> </w:t>
      </w:r>
      <w:r w:rsidRPr="00222413">
        <w:rPr>
          <w:lang w:eastAsia="ja-JP"/>
        </w:rPr>
        <w:t xml:space="preserve">to count </w:t>
      </w:r>
      <w:r w:rsidRPr="00222413">
        <w:rPr>
          <w:b/>
          <w:lang w:eastAsia="ja-JP"/>
        </w:rPr>
        <w:t>patients</w:t>
      </w:r>
      <w:r w:rsidRPr="00222413">
        <w:rPr>
          <w:lang w:eastAsia="ja-JP"/>
        </w:rPr>
        <w:t xml:space="preserve"> discharged from your </w:t>
      </w:r>
      <w:r>
        <w:rPr>
          <w:lang w:eastAsia="ja-JP"/>
        </w:rPr>
        <w:t>hospital outpatient departments</w:t>
      </w:r>
      <w:r w:rsidRPr="00222413">
        <w:rPr>
          <w:lang w:eastAsia="ja-JP"/>
        </w:rPr>
        <w:t xml:space="preserve"> who have undergone </w:t>
      </w:r>
      <w:r>
        <w:rPr>
          <w:lang w:eastAsia="ja-JP"/>
        </w:rPr>
        <w:t>any</w:t>
      </w:r>
      <w:r w:rsidRPr="00222413">
        <w:rPr>
          <w:lang w:eastAsia="ja-JP"/>
        </w:rPr>
        <w:t xml:space="preserve"> of the </w:t>
      </w:r>
      <w:r>
        <w:rPr>
          <w:lang w:eastAsia="ja-JP"/>
        </w:rPr>
        <w:t>3</w:t>
      </w:r>
      <w:r w:rsidRPr="00222413">
        <w:rPr>
          <w:lang w:eastAsia="ja-JP"/>
        </w:rPr>
        <w:t xml:space="preserve"> procedures during the reporting period. </w:t>
      </w:r>
    </w:p>
    <w:p w14:paraId="1300330E" w14:textId="77777777" w:rsidR="008F5762" w:rsidRPr="00222413" w:rsidRDefault="008F5762" w:rsidP="008F5762">
      <w:pPr>
        <w:rPr>
          <w:lang w:eastAsia="ja-JP"/>
        </w:rPr>
      </w:pPr>
    </w:p>
    <w:p w14:paraId="0F1FBAD5" w14:textId="77777777" w:rsidR="008F5762" w:rsidRPr="002F60E9" w:rsidRDefault="008F5762" w:rsidP="008F5762">
      <w:pPr>
        <w:rPr>
          <w:rFonts w:cs="Arial"/>
        </w:rPr>
      </w:pPr>
      <w:r>
        <w:rPr>
          <w:rFonts w:cs="Arial"/>
        </w:rPr>
        <w:t>One procedure applies</w:t>
      </w:r>
      <w:r w:rsidRPr="002F60E9">
        <w:rPr>
          <w:rFonts w:cs="Arial"/>
        </w:rPr>
        <w:t xml:space="preserve"> to </w:t>
      </w:r>
      <w:r w:rsidRPr="005F73AC">
        <w:rPr>
          <w:rFonts w:cs="Arial"/>
          <w:b/>
        </w:rPr>
        <w:t>both</w:t>
      </w:r>
      <w:r w:rsidRPr="002F60E9">
        <w:rPr>
          <w:rFonts w:cs="Arial"/>
        </w:rPr>
        <w:t xml:space="preserve"> </w:t>
      </w:r>
      <w:r w:rsidRPr="00593C00">
        <w:rPr>
          <w:rFonts w:cs="Arial"/>
          <w:b/>
        </w:rPr>
        <w:t>adult and pediatric patients</w:t>
      </w:r>
      <w:r w:rsidRPr="002F60E9">
        <w:rPr>
          <w:rFonts w:cs="Arial"/>
        </w:rPr>
        <w:t xml:space="preserve">: </w:t>
      </w:r>
    </w:p>
    <w:p w14:paraId="4F4F3413" w14:textId="77777777" w:rsidR="008F5762" w:rsidRPr="00C75154" w:rsidRDefault="008F5762" w:rsidP="00AD309C">
      <w:pPr>
        <w:pStyle w:val="ListParagraph"/>
        <w:numPr>
          <w:ilvl w:val="0"/>
          <w:numId w:val="117"/>
        </w:numPr>
        <w:spacing w:after="120" w:line="264" w:lineRule="auto"/>
        <w:rPr>
          <w:rFonts w:cs="Arial"/>
        </w:rPr>
      </w:pPr>
      <w:r w:rsidRPr="00DC45C8">
        <w:rPr>
          <w:rFonts w:cs="Arial"/>
        </w:rPr>
        <w:t xml:space="preserve">Ocular </w:t>
      </w:r>
      <w:r>
        <w:rPr>
          <w:rFonts w:cs="Arial"/>
        </w:rPr>
        <w:t>a</w:t>
      </w:r>
      <w:r w:rsidRPr="00DC45C8">
        <w:rPr>
          <w:rFonts w:cs="Arial"/>
        </w:rPr>
        <w:t xml:space="preserve">dnexa and </w:t>
      </w:r>
      <w:r>
        <w:rPr>
          <w:rFonts w:cs="Arial"/>
        </w:rPr>
        <w:t>o</w:t>
      </w:r>
      <w:r w:rsidRPr="00DC45C8">
        <w:rPr>
          <w:rFonts w:cs="Arial"/>
        </w:rPr>
        <w:t xml:space="preserve">ther </w:t>
      </w:r>
      <w:r>
        <w:rPr>
          <w:rFonts w:cs="Arial"/>
        </w:rPr>
        <w:t>e</w:t>
      </w:r>
      <w:r w:rsidRPr="00DC45C8">
        <w:rPr>
          <w:rFonts w:cs="Arial"/>
        </w:rPr>
        <w:t xml:space="preserve">ye </w:t>
      </w:r>
      <w:r>
        <w:rPr>
          <w:rFonts w:cs="Arial"/>
        </w:rPr>
        <w:t>p</w:t>
      </w:r>
      <w:r w:rsidRPr="00DC45C8">
        <w:rPr>
          <w:rFonts w:cs="Arial"/>
        </w:rPr>
        <w:t>rocedures</w:t>
      </w:r>
    </w:p>
    <w:p w14:paraId="2C8DADAC" w14:textId="77777777" w:rsidR="008F5762" w:rsidRPr="0029141C" w:rsidRDefault="008F5762" w:rsidP="008F5762">
      <w:pPr>
        <w:rPr>
          <w:rFonts w:cstheme="majorBidi"/>
          <w:lang w:eastAsia="ja-JP"/>
        </w:rPr>
      </w:pPr>
      <w:r w:rsidRPr="00B55952">
        <w:rPr>
          <w:lang w:eastAsia="ja-JP"/>
        </w:rPr>
        <w:t>Two procedures</w:t>
      </w:r>
      <w:r>
        <w:rPr>
          <w:lang w:eastAsia="ja-JP"/>
        </w:rPr>
        <w:t xml:space="preserve"> apply to </w:t>
      </w:r>
      <w:r>
        <w:rPr>
          <w:b/>
          <w:bCs/>
          <w:lang w:eastAsia="ja-JP"/>
        </w:rPr>
        <w:t xml:space="preserve">adult </w:t>
      </w:r>
      <w:r w:rsidRPr="001949DA">
        <w:rPr>
          <w:b/>
          <w:bCs/>
          <w:lang w:eastAsia="ja-JP"/>
        </w:rPr>
        <w:t>patients only:</w:t>
      </w:r>
    </w:p>
    <w:p w14:paraId="0CC11F46" w14:textId="77777777" w:rsidR="008F5762" w:rsidRDefault="008F5762" w:rsidP="00AD309C">
      <w:pPr>
        <w:pStyle w:val="ListParagraph"/>
        <w:numPr>
          <w:ilvl w:val="0"/>
          <w:numId w:val="117"/>
        </w:numPr>
        <w:rPr>
          <w:rFonts w:cs="Arial"/>
        </w:rPr>
      </w:pPr>
      <w:r w:rsidRPr="00593C00">
        <w:rPr>
          <w:rFonts w:cs="Arial"/>
        </w:rPr>
        <w:t xml:space="preserve">Anterior </w:t>
      </w:r>
      <w:r>
        <w:rPr>
          <w:rFonts w:cs="Arial"/>
        </w:rPr>
        <w:t>s</w:t>
      </w:r>
      <w:r w:rsidRPr="00593C00">
        <w:rPr>
          <w:rFonts w:cs="Arial"/>
        </w:rPr>
        <w:t xml:space="preserve">egment </w:t>
      </w:r>
      <w:r>
        <w:rPr>
          <w:rFonts w:cs="Arial"/>
        </w:rPr>
        <w:t>e</w:t>
      </w:r>
      <w:r w:rsidRPr="00593C00">
        <w:rPr>
          <w:rFonts w:cs="Arial"/>
        </w:rPr>
        <w:t xml:space="preserve">ye </w:t>
      </w:r>
      <w:r>
        <w:rPr>
          <w:rFonts w:cs="Arial"/>
        </w:rPr>
        <w:t>p</w:t>
      </w:r>
      <w:r w:rsidRPr="00593C00">
        <w:rPr>
          <w:rFonts w:cs="Arial"/>
        </w:rPr>
        <w:t>rocedures</w:t>
      </w:r>
    </w:p>
    <w:p w14:paraId="5C51712D" w14:textId="606694B4" w:rsidR="008F5762" w:rsidRPr="00B44C1C" w:rsidRDefault="008F5762" w:rsidP="00AD309C">
      <w:pPr>
        <w:pStyle w:val="ListParagraph"/>
        <w:numPr>
          <w:ilvl w:val="0"/>
          <w:numId w:val="117"/>
        </w:numPr>
        <w:spacing w:after="120" w:line="264" w:lineRule="auto"/>
        <w:rPr>
          <w:rFonts w:cs="Arial"/>
        </w:rPr>
      </w:pPr>
      <w:r w:rsidRPr="008F5762">
        <w:rPr>
          <w:rFonts w:cs="Arial"/>
        </w:rPr>
        <w:t>Posterior segment eye procedures</w:t>
      </w:r>
    </w:p>
    <w:p w14:paraId="77B01707" w14:textId="77777777" w:rsidR="008F5762" w:rsidRPr="00222413" w:rsidRDefault="008F5762" w:rsidP="00B44C1C">
      <w:pPr>
        <w:pStyle w:val="ListParagraph"/>
        <w:rPr>
          <w:lang w:eastAsia="ja-JP"/>
        </w:rPr>
      </w:pPr>
    </w:p>
    <w:p w14:paraId="39705072" w14:textId="77777777" w:rsidR="008F5762" w:rsidRPr="00222413" w:rsidRDefault="008F5762" w:rsidP="008F5762">
      <w:pPr>
        <w:rPr>
          <w:lang w:eastAsia="ja-JP"/>
        </w:rPr>
      </w:pPr>
      <w:r>
        <w:rPr>
          <w:lang w:eastAsia="ja-JP"/>
        </w:rPr>
        <w:t>Using the “</w:t>
      </w:r>
      <w:proofErr w:type="spellStart"/>
      <w:r>
        <w:rPr>
          <w:lang w:eastAsia="ja-JP"/>
        </w:rPr>
        <w:t>O</w:t>
      </w:r>
      <w:r w:rsidRPr="00222413">
        <w:rPr>
          <w:lang w:eastAsia="ja-JP"/>
        </w:rPr>
        <w:t>phthalmology</w:t>
      </w:r>
      <w:r>
        <w:rPr>
          <w:lang w:eastAsia="ja-JP"/>
        </w:rPr>
        <w:t>_adult</w:t>
      </w:r>
      <w:proofErr w:type="spellEnd"/>
      <w:r>
        <w:rPr>
          <w:lang w:eastAsia="ja-JP"/>
        </w:rPr>
        <w:t xml:space="preserve">” sheet, count the </w:t>
      </w:r>
      <w:r w:rsidRPr="00222413">
        <w:rPr>
          <w:lang w:eastAsia="ja-JP"/>
        </w:rPr>
        <w:t xml:space="preserve">total number of adult (18 years of age or older) patients discharged </w:t>
      </w:r>
      <w:r>
        <w:rPr>
          <w:lang w:eastAsia="ja-JP"/>
        </w:rPr>
        <w:t xml:space="preserve">for each procedure </w:t>
      </w:r>
      <w:r w:rsidRPr="00222413">
        <w:rPr>
          <w:lang w:eastAsia="ja-JP"/>
        </w:rPr>
        <w:t>with any of the CPT codes listed. The CPT code can be in any procedure field.</w:t>
      </w:r>
    </w:p>
    <w:p w14:paraId="24CAF238" w14:textId="77777777" w:rsidR="008F5762" w:rsidRDefault="008F5762" w:rsidP="008F5762">
      <w:pPr>
        <w:rPr>
          <w:lang w:eastAsia="ja-JP"/>
        </w:rPr>
      </w:pPr>
    </w:p>
    <w:p w14:paraId="18BB08CA" w14:textId="77777777" w:rsidR="008F5762" w:rsidRPr="00222413" w:rsidRDefault="008F5762" w:rsidP="008F5762">
      <w:pPr>
        <w:rPr>
          <w:lang w:eastAsia="ja-JP"/>
        </w:rPr>
      </w:pPr>
      <w:r>
        <w:rPr>
          <w:lang w:eastAsia="ja-JP"/>
        </w:rPr>
        <w:t>Using the “</w:t>
      </w:r>
      <w:proofErr w:type="spellStart"/>
      <w:r>
        <w:rPr>
          <w:lang w:eastAsia="ja-JP"/>
        </w:rPr>
        <w:t>O</w:t>
      </w:r>
      <w:r w:rsidRPr="00222413">
        <w:rPr>
          <w:lang w:eastAsia="ja-JP"/>
        </w:rPr>
        <w:t>phthalmology</w:t>
      </w:r>
      <w:r>
        <w:rPr>
          <w:lang w:eastAsia="ja-JP"/>
        </w:rPr>
        <w:t>_ped</w:t>
      </w:r>
      <w:proofErr w:type="spellEnd"/>
      <w:r>
        <w:rPr>
          <w:lang w:eastAsia="ja-JP"/>
        </w:rPr>
        <w:t>” sheet, count t</w:t>
      </w:r>
      <w:r w:rsidRPr="00222413">
        <w:rPr>
          <w:lang w:eastAsia="ja-JP"/>
        </w:rPr>
        <w:t>he total number of pediatric (17 years of age and younger) patients discharged</w:t>
      </w:r>
      <w:r>
        <w:rPr>
          <w:lang w:eastAsia="ja-JP"/>
        </w:rPr>
        <w:t xml:space="preserve"> for each procedure</w:t>
      </w:r>
      <w:r w:rsidRPr="00222413">
        <w:rPr>
          <w:lang w:eastAsia="ja-JP"/>
        </w:rPr>
        <w:t xml:space="preserve"> with any of the CPT codes listed. The CPT code can be in any procedure field.</w:t>
      </w:r>
    </w:p>
    <w:p w14:paraId="5A4CFAEF" w14:textId="77777777" w:rsidR="008F5762" w:rsidRPr="00222413" w:rsidRDefault="008F5762" w:rsidP="008F5762">
      <w:pPr>
        <w:rPr>
          <w:lang w:eastAsia="ja-JP"/>
        </w:rPr>
      </w:pPr>
    </w:p>
    <w:p w14:paraId="56437C96" w14:textId="77777777" w:rsidR="008F5762" w:rsidRDefault="008F5762" w:rsidP="00AB5B80">
      <w:pPr>
        <w:pStyle w:val="Heading3"/>
      </w:pPr>
      <w:bookmarkStart w:id="762" w:name="_Orthopedic_Measure_Specifications"/>
      <w:bookmarkStart w:id="763" w:name="_Toc225877856"/>
      <w:bookmarkEnd w:id="762"/>
      <w:r w:rsidRPr="00222413">
        <w:t>Orthopedic Measure Specifications</w:t>
      </w:r>
      <w:bookmarkEnd w:id="763"/>
    </w:p>
    <w:p w14:paraId="760F778E" w14:textId="77777777" w:rsidR="008F5762" w:rsidRPr="006606DD" w:rsidRDefault="008F5762" w:rsidP="008F5762">
      <w:pPr>
        <w:rPr>
          <w:sz w:val="16"/>
          <w:szCs w:val="16"/>
          <w:lang w:eastAsia="ja-JP"/>
        </w:rPr>
      </w:pPr>
    </w:p>
    <w:p w14:paraId="4A6A8676" w14:textId="160D2D72" w:rsidR="008F5762" w:rsidRDefault="008F5762" w:rsidP="008F5762">
      <w:pPr>
        <w:rPr>
          <w:lang w:eastAsia="ja-JP"/>
        </w:rPr>
      </w:pPr>
      <w:r w:rsidRPr="00222413">
        <w:rPr>
          <w:lang w:eastAsia="ja-JP"/>
        </w:rPr>
        <w:t xml:space="preserve">For orthopedic procedures, use the </w:t>
      </w:r>
      <w:r>
        <w:rPr>
          <w:lang w:eastAsia="ja-JP"/>
        </w:rPr>
        <w:t xml:space="preserve">CPT codes available via the </w:t>
      </w:r>
      <w:hyperlink r:id="rId485" w:history="1">
        <w:r w:rsidRPr="0009495E">
          <w:rPr>
            <w:rStyle w:val="Hyperlink"/>
            <w:lang w:eastAsia="ja-JP"/>
          </w:rPr>
          <w:t>Survey Dashboard</w:t>
        </w:r>
      </w:hyperlink>
      <w:r>
        <w:rPr>
          <w:lang w:eastAsia="ja-JP"/>
        </w:rPr>
        <w:t xml:space="preserve"> </w:t>
      </w:r>
      <w:r w:rsidRPr="00222413">
        <w:rPr>
          <w:lang w:eastAsia="ja-JP"/>
        </w:rPr>
        <w:t xml:space="preserve">to count </w:t>
      </w:r>
      <w:r w:rsidRPr="00222413">
        <w:rPr>
          <w:b/>
          <w:lang w:eastAsia="ja-JP"/>
        </w:rPr>
        <w:t>patients</w:t>
      </w:r>
      <w:r w:rsidRPr="00222413">
        <w:rPr>
          <w:lang w:eastAsia="ja-JP"/>
        </w:rPr>
        <w:t xml:space="preserve"> discharged from your </w:t>
      </w:r>
      <w:r>
        <w:rPr>
          <w:lang w:eastAsia="ja-JP"/>
        </w:rPr>
        <w:t>hospital outpatient departments</w:t>
      </w:r>
      <w:r w:rsidRPr="00222413">
        <w:rPr>
          <w:lang w:eastAsia="ja-JP"/>
        </w:rPr>
        <w:t xml:space="preserve"> who have undergone any of the 7 procedures during the reporting period. </w:t>
      </w:r>
    </w:p>
    <w:p w14:paraId="73B52AB7" w14:textId="77777777" w:rsidR="008F5762" w:rsidRPr="00222413" w:rsidRDefault="008F5762" w:rsidP="008F5762">
      <w:pPr>
        <w:rPr>
          <w:lang w:eastAsia="ja-JP"/>
        </w:rPr>
      </w:pPr>
    </w:p>
    <w:p w14:paraId="0834A41F" w14:textId="77777777" w:rsidR="008F5762" w:rsidRPr="00222413" w:rsidRDefault="008F5762" w:rsidP="008F5762">
      <w:pPr>
        <w:rPr>
          <w:lang w:eastAsia="ja-JP"/>
        </w:rPr>
      </w:pPr>
      <w:r>
        <w:rPr>
          <w:lang w:eastAsia="ja-JP"/>
        </w:rPr>
        <w:t>Five</w:t>
      </w:r>
      <w:r w:rsidRPr="00222413">
        <w:rPr>
          <w:lang w:eastAsia="ja-JP"/>
        </w:rPr>
        <w:t xml:space="preserve"> procedures apply to </w:t>
      </w:r>
      <w:r w:rsidRPr="00222413">
        <w:rPr>
          <w:b/>
          <w:lang w:eastAsia="ja-JP"/>
        </w:rPr>
        <w:t>both</w:t>
      </w:r>
      <w:r w:rsidRPr="00222413">
        <w:rPr>
          <w:lang w:eastAsia="ja-JP"/>
        </w:rPr>
        <w:t xml:space="preserve"> </w:t>
      </w:r>
      <w:r w:rsidRPr="00222413">
        <w:rPr>
          <w:b/>
          <w:lang w:eastAsia="ja-JP"/>
        </w:rPr>
        <w:t>adult and pediatric patients</w:t>
      </w:r>
      <w:r w:rsidRPr="00222413">
        <w:rPr>
          <w:lang w:eastAsia="ja-JP"/>
        </w:rPr>
        <w:t>:</w:t>
      </w:r>
    </w:p>
    <w:p w14:paraId="6688F3A1" w14:textId="77777777" w:rsidR="008F5762" w:rsidRPr="00222413" w:rsidRDefault="008F5762" w:rsidP="00AD309C">
      <w:pPr>
        <w:numPr>
          <w:ilvl w:val="0"/>
          <w:numId w:val="101"/>
        </w:numPr>
        <w:rPr>
          <w:lang w:eastAsia="ja-JP"/>
        </w:rPr>
      </w:pPr>
      <w:r w:rsidRPr="00222413">
        <w:rPr>
          <w:lang w:eastAsia="ja-JP"/>
        </w:rPr>
        <w:t xml:space="preserve">Finger, </w:t>
      </w:r>
      <w:r>
        <w:rPr>
          <w:lang w:eastAsia="ja-JP"/>
        </w:rPr>
        <w:t>h</w:t>
      </w:r>
      <w:r w:rsidRPr="00222413">
        <w:rPr>
          <w:lang w:eastAsia="ja-JP"/>
        </w:rPr>
        <w:t xml:space="preserve">and, </w:t>
      </w:r>
      <w:r>
        <w:rPr>
          <w:lang w:eastAsia="ja-JP"/>
        </w:rPr>
        <w:t>w</w:t>
      </w:r>
      <w:r w:rsidRPr="00222413">
        <w:rPr>
          <w:lang w:eastAsia="ja-JP"/>
        </w:rPr>
        <w:t xml:space="preserve">rist, </w:t>
      </w:r>
      <w:r>
        <w:rPr>
          <w:lang w:eastAsia="ja-JP"/>
        </w:rPr>
        <w:t>f</w:t>
      </w:r>
      <w:r w:rsidRPr="00222413">
        <w:rPr>
          <w:lang w:eastAsia="ja-JP"/>
        </w:rPr>
        <w:t xml:space="preserve">orearm, and </w:t>
      </w:r>
      <w:r>
        <w:rPr>
          <w:lang w:eastAsia="ja-JP"/>
        </w:rPr>
        <w:t>e</w:t>
      </w:r>
      <w:r w:rsidRPr="00222413">
        <w:rPr>
          <w:lang w:eastAsia="ja-JP"/>
        </w:rPr>
        <w:t xml:space="preserve">lbow </w:t>
      </w:r>
      <w:r>
        <w:rPr>
          <w:lang w:eastAsia="ja-JP"/>
        </w:rPr>
        <w:t>p</w:t>
      </w:r>
      <w:r w:rsidRPr="00222413">
        <w:rPr>
          <w:lang w:eastAsia="ja-JP"/>
        </w:rPr>
        <w:t xml:space="preserve">rocedures </w:t>
      </w:r>
    </w:p>
    <w:p w14:paraId="2EF7546F" w14:textId="77777777" w:rsidR="008F5762" w:rsidRPr="00222413" w:rsidRDefault="008F5762" w:rsidP="00AD309C">
      <w:pPr>
        <w:numPr>
          <w:ilvl w:val="0"/>
          <w:numId w:val="101"/>
        </w:numPr>
        <w:rPr>
          <w:lang w:eastAsia="ja-JP"/>
        </w:rPr>
      </w:pPr>
      <w:r w:rsidRPr="00222413">
        <w:rPr>
          <w:lang w:eastAsia="ja-JP"/>
        </w:rPr>
        <w:t xml:space="preserve">Shoulder </w:t>
      </w:r>
      <w:r>
        <w:rPr>
          <w:lang w:eastAsia="ja-JP"/>
        </w:rPr>
        <w:t>p</w:t>
      </w:r>
      <w:r w:rsidRPr="00222413">
        <w:rPr>
          <w:lang w:eastAsia="ja-JP"/>
        </w:rPr>
        <w:t xml:space="preserve">rocedures </w:t>
      </w:r>
    </w:p>
    <w:p w14:paraId="616F0435" w14:textId="77777777" w:rsidR="008F5762" w:rsidRPr="00222413" w:rsidRDefault="008F5762" w:rsidP="00AD309C">
      <w:pPr>
        <w:numPr>
          <w:ilvl w:val="0"/>
          <w:numId w:val="101"/>
        </w:numPr>
        <w:rPr>
          <w:lang w:eastAsia="ja-JP"/>
        </w:rPr>
      </w:pPr>
      <w:r w:rsidRPr="00222413">
        <w:rPr>
          <w:lang w:eastAsia="ja-JP"/>
        </w:rPr>
        <w:t xml:space="preserve">Knee </w:t>
      </w:r>
      <w:r>
        <w:rPr>
          <w:lang w:eastAsia="ja-JP"/>
        </w:rPr>
        <w:t>p</w:t>
      </w:r>
      <w:r w:rsidRPr="00222413">
        <w:rPr>
          <w:lang w:eastAsia="ja-JP"/>
        </w:rPr>
        <w:t xml:space="preserve">rocedures </w:t>
      </w:r>
    </w:p>
    <w:p w14:paraId="7B0155F1" w14:textId="77777777" w:rsidR="008F5762" w:rsidRPr="00222413" w:rsidRDefault="008F5762" w:rsidP="00AD309C">
      <w:pPr>
        <w:numPr>
          <w:ilvl w:val="0"/>
          <w:numId w:val="101"/>
        </w:numPr>
        <w:rPr>
          <w:lang w:eastAsia="ja-JP"/>
        </w:rPr>
      </w:pPr>
      <w:r w:rsidRPr="00222413">
        <w:rPr>
          <w:lang w:eastAsia="ja-JP"/>
        </w:rPr>
        <w:t xml:space="preserve">Toe, </w:t>
      </w:r>
      <w:r>
        <w:rPr>
          <w:lang w:eastAsia="ja-JP"/>
        </w:rPr>
        <w:t>f</w:t>
      </w:r>
      <w:r w:rsidRPr="00222413">
        <w:rPr>
          <w:lang w:eastAsia="ja-JP"/>
        </w:rPr>
        <w:t xml:space="preserve">oot, </w:t>
      </w:r>
      <w:r>
        <w:rPr>
          <w:lang w:eastAsia="ja-JP"/>
        </w:rPr>
        <w:t>a</w:t>
      </w:r>
      <w:r w:rsidRPr="00222413">
        <w:rPr>
          <w:lang w:eastAsia="ja-JP"/>
        </w:rPr>
        <w:t xml:space="preserve">nkle, and </w:t>
      </w:r>
      <w:r>
        <w:rPr>
          <w:lang w:eastAsia="ja-JP"/>
        </w:rPr>
        <w:t>l</w:t>
      </w:r>
      <w:r w:rsidRPr="00222413">
        <w:rPr>
          <w:lang w:eastAsia="ja-JP"/>
        </w:rPr>
        <w:t xml:space="preserve">eg </w:t>
      </w:r>
      <w:r>
        <w:rPr>
          <w:lang w:eastAsia="ja-JP"/>
        </w:rPr>
        <w:t>p</w:t>
      </w:r>
      <w:r w:rsidRPr="00222413">
        <w:rPr>
          <w:lang w:eastAsia="ja-JP"/>
        </w:rPr>
        <w:t xml:space="preserve">rocedures </w:t>
      </w:r>
    </w:p>
    <w:p w14:paraId="7D4B05F1" w14:textId="77777777" w:rsidR="008F5762" w:rsidRDefault="008F5762" w:rsidP="00AD309C">
      <w:pPr>
        <w:numPr>
          <w:ilvl w:val="0"/>
          <w:numId w:val="101"/>
        </w:numPr>
        <w:rPr>
          <w:lang w:eastAsia="ja-JP"/>
        </w:rPr>
      </w:pPr>
      <w:r w:rsidRPr="00222413">
        <w:rPr>
          <w:lang w:eastAsia="ja-JP"/>
        </w:rPr>
        <w:t xml:space="preserve">General </w:t>
      </w:r>
      <w:r>
        <w:rPr>
          <w:lang w:eastAsia="ja-JP"/>
        </w:rPr>
        <w:t>o</w:t>
      </w:r>
      <w:r w:rsidRPr="00222413">
        <w:rPr>
          <w:lang w:eastAsia="ja-JP"/>
        </w:rPr>
        <w:t xml:space="preserve">rthopedic </w:t>
      </w:r>
      <w:r>
        <w:rPr>
          <w:lang w:eastAsia="ja-JP"/>
        </w:rPr>
        <w:t>p</w:t>
      </w:r>
      <w:r w:rsidRPr="00222413">
        <w:rPr>
          <w:lang w:eastAsia="ja-JP"/>
        </w:rPr>
        <w:t>rocedures</w:t>
      </w:r>
    </w:p>
    <w:p w14:paraId="422FF772" w14:textId="77777777" w:rsidR="008F5762" w:rsidRDefault="008F5762" w:rsidP="008F5762">
      <w:pPr>
        <w:rPr>
          <w:lang w:eastAsia="ja-JP"/>
        </w:rPr>
      </w:pPr>
    </w:p>
    <w:p w14:paraId="4534A4DC" w14:textId="77777777" w:rsidR="008F5762" w:rsidRDefault="008F5762" w:rsidP="008F5762">
      <w:pPr>
        <w:rPr>
          <w:lang w:eastAsia="ja-JP"/>
        </w:rPr>
      </w:pPr>
      <w:r>
        <w:rPr>
          <w:lang w:eastAsia="ja-JP"/>
        </w:rPr>
        <w:t xml:space="preserve">Two procedures apply to </w:t>
      </w:r>
      <w:r>
        <w:rPr>
          <w:b/>
          <w:bCs/>
          <w:lang w:eastAsia="ja-JP"/>
        </w:rPr>
        <w:t xml:space="preserve">adult </w:t>
      </w:r>
      <w:r w:rsidRPr="001949DA">
        <w:rPr>
          <w:b/>
          <w:bCs/>
          <w:lang w:eastAsia="ja-JP"/>
        </w:rPr>
        <w:t>patients only:</w:t>
      </w:r>
    </w:p>
    <w:p w14:paraId="0FA55A9A" w14:textId="77777777" w:rsidR="008F5762" w:rsidRPr="00222413" w:rsidRDefault="008F5762" w:rsidP="00AD309C">
      <w:pPr>
        <w:numPr>
          <w:ilvl w:val="0"/>
          <w:numId w:val="101"/>
        </w:numPr>
        <w:rPr>
          <w:lang w:eastAsia="ja-JP"/>
        </w:rPr>
      </w:pPr>
      <w:r w:rsidRPr="00222413">
        <w:rPr>
          <w:lang w:eastAsia="ja-JP"/>
        </w:rPr>
        <w:t xml:space="preserve">Spine </w:t>
      </w:r>
      <w:r>
        <w:rPr>
          <w:lang w:eastAsia="ja-JP"/>
        </w:rPr>
        <w:t>p</w:t>
      </w:r>
      <w:r w:rsidRPr="00222413">
        <w:rPr>
          <w:lang w:eastAsia="ja-JP"/>
        </w:rPr>
        <w:t xml:space="preserve">rocedures </w:t>
      </w:r>
    </w:p>
    <w:p w14:paraId="55916EC8" w14:textId="77777777" w:rsidR="008F5762" w:rsidRDefault="008F5762" w:rsidP="00AD309C">
      <w:pPr>
        <w:numPr>
          <w:ilvl w:val="0"/>
          <w:numId w:val="101"/>
        </w:numPr>
        <w:rPr>
          <w:lang w:eastAsia="ja-JP"/>
        </w:rPr>
      </w:pPr>
      <w:r w:rsidRPr="00222413">
        <w:rPr>
          <w:lang w:eastAsia="ja-JP"/>
        </w:rPr>
        <w:t xml:space="preserve">Hip </w:t>
      </w:r>
      <w:r>
        <w:rPr>
          <w:lang w:eastAsia="ja-JP"/>
        </w:rPr>
        <w:t>p</w:t>
      </w:r>
      <w:r w:rsidRPr="00222413">
        <w:rPr>
          <w:lang w:eastAsia="ja-JP"/>
        </w:rPr>
        <w:t>rocedures</w:t>
      </w:r>
    </w:p>
    <w:p w14:paraId="4753C845" w14:textId="77777777" w:rsidR="008F5762" w:rsidRPr="00222413" w:rsidRDefault="008F5762" w:rsidP="008F5762">
      <w:pPr>
        <w:rPr>
          <w:lang w:eastAsia="ja-JP"/>
        </w:rPr>
      </w:pPr>
    </w:p>
    <w:p w14:paraId="7436E232" w14:textId="77777777" w:rsidR="008F5762" w:rsidRDefault="008F5762" w:rsidP="008F5762">
      <w:pPr>
        <w:rPr>
          <w:lang w:eastAsia="ja-JP"/>
        </w:rPr>
      </w:pPr>
      <w:r>
        <w:rPr>
          <w:lang w:eastAsia="ja-JP"/>
        </w:rPr>
        <w:t>Using the “</w:t>
      </w:r>
      <w:proofErr w:type="spellStart"/>
      <w:r>
        <w:rPr>
          <w:lang w:eastAsia="ja-JP"/>
        </w:rPr>
        <w:t>Orthopedic_adult</w:t>
      </w:r>
      <w:proofErr w:type="spellEnd"/>
      <w:r>
        <w:rPr>
          <w:lang w:eastAsia="ja-JP"/>
        </w:rPr>
        <w:t>” sheet, count t</w:t>
      </w:r>
      <w:r w:rsidRPr="00222413">
        <w:rPr>
          <w:lang w:eastAsia="ja-JP"/>
        </w:rPr>
        <w:t xml:space="preserve">he total number </w:t>
      </w:r>
      <w:r w:rsidRPr="00071E60">
        <w:rPr>
          <w:bCs/>
          <w:lang w:eastAsia="ja-JP"/>
        </w:rPr>
        <w:t xml:space="preserve">of </w:t>
      </w:r>
      <w:r w:rsidRPr="00222413">
        <w:rPr>
          <w:lang w:eastAsia="ja-JP"/>
        </w:rPr>
        <w:t xml:space="preserve">adult (18 years of age or older) patients discharged </w:t>
      </w:r>
      <w:r>
        <w:rPr>
          <w:lang w:eastAsia="ja-JP"/>
        </w:rPr>
        <w:t xml:space="preserve">for each procedure </w:t>
      </w:r>
      <w:r w:rsidRPr="00222413">
        <w:rPr>
          <w:lang w:eastAsia="ja-JP"/>
        </w:rPr>
        <w:t>with any of the CPT codes listed. The CPT code can be in any procedure field.</w:t>
      </w:r>
    </w:p>
    <w:p w14:paraId="78907DEA" w14:textId="77777777" w:rsidR="008F5762" w:rsidRPr="00222413" w:rsidRDefault="008F5762" w:rsidP="008F5762">
      <w:pPr>
        <w:rPr>
          <w:lang w:eastAsia="ja-JP"/>
        </w:rPr>
      </w:pPr>
    </w:p>
    <w:p w14:paraId="5A3B6D9F" w14:textId="77777777" w:rsidR="008F5762" w:rsidRDefault="008F5762" w:rsidP="008F5762">
      <w:pPr>
        <w:rPr>
          <w:lang w:eastAsia="ja-JP"/>
        </w:rPr>
      </w:pPr>
      <w:r>
        <w:rPr>
          <w:lang w:eastAsia="ja-JP"/>
        </w:rPr>
        <w:t>Using the “</w:t>
      </w:r>
      <w:proofErr w:type="spellStart"/>
      <w:r>
        <w:rPr>
          <w:lang w:eastAsia="ja-JP"/>
        </w:rPr>
        <w:t>Orthopedic_ped</w:t>
      </w:r>
      <w:proofErr w:type="spellEnd"/>
      <w:r>
        <w:rPr>
          <w:lang w:eastAsia="ja-JP"/>
        </w:rPr>
        <w:t>” sheet, count t</w:t>
      </w:r>
      <w:r w:rsidRPr="00222413">
        <w:rPr>
          <w:lang w:eastAsia="ja-JP"/>
        </w:rPr>
        <w:t>he total number of pediatric (17 years of age and younger) patients discharged</w:t>
      </w:r>
      <w:r>
        <w:rPr>
          <w:lang w:eastAsia="ja-JP"/>
        </w:rPr>
        <w:t xml:space="preserve"> for each procedure</w:t>
      </w:r>
      <w:r w:rsidRPr="00222413">
        <w:rPr>
          <w:lang w:eastAsia="ja-JP"/>
        </w:rPr>
        <w:t xml:space="preserve"> with any of the CPT codes listed. The CPT code can be in any procedure field.</w:t>
      </w:r>
    </w:p>
    <w:p w14:paraId="34E95117" w14:textId="77777777" w:rsidR="008F5762" w:rsidRPr="00222413" w:rsidRDefault="008F5762" w:rsidP="008F5762">
      <w:pPr>
        <w:rPr>
          <w:lang w:eastAsia="ja-JP"/>
        </w:rPr>
      </w:pPr>
    </w:p>
    <w:p w14:paraId="75D8C182" w14:textId="77777777" w:rsidR="008F5762" w:rsidRDefault="008F5762" w:rsidP="00AB5B80">
      <w:pPr>
        <w:pStyle w:val="Heading3"/>
      </w:pPr>
      <w:bookmarkStart w:id="764" w:name="_Otolaryngology_Measure_Specificatio"/>
      <w:bookmarkStart w:id="765" w:name="_Toc225877857"/>
      <w:bookmarkEnd w:id="764"/>
      <w:r w:rsidRPr="00222413">
        <w:t>Otolaryngology Measure Specifications</w:t>
      </w:r>
      <w:bookmarkEnd w:id="765"/>
    </w:p>
    <w:p w14:paraId="1784967C" w14:textId="77777777" w:rsidR="008F5762" w:rsidRPr="006606DD" w:rsidRDefault="008F5762" w:rsidP="008F5762">
      <w:pPr>
        <w:rPr>
          <w:sz w:val="16"/>
          <w:szCs w:val="16"/>
          <w:lang w:eastAsia="ja-JP"/>
        </w:rPr>
      </w:pPr>
    </w:p>
    <w:p w14:paraId="548DC912" w14:textId="3FCDF4BD" w:rsidR="008F5762" w:rsidRDefault="008F5762" w:rsidP="008F5762">
      <w:pPr>
        <w:rPr>
          <w:lang w:eastAsia="ja-JP"/>
        </w:rPr>
      </w:pPr>
      <w:r w:rsidRPr="00222413">
        <w:rPr>
          <w:lang w:eastAsia="ja-JP"/>
        </w:rPr>
        <w:t xml:space="preserve">For otolaryngology procedures, use the </w:t>
      </w:r>
      <w:r>
        <w:rPr>
          <w:lang w:eastAsia="ja-JP"/>
        </w:rPr>
        <w:t xml:space="preserve">CPT codes available via the </w:t>
      </w:r>
      <w:hyperlink r:id="rId486" w:history="1">
        <w:r w:rsidRPr="0009495E">
          <w:rPr>
            <w:rStyle w:val="Hyperlink"/>
            <w:lang w:eastAsia="ja-JP"/>
          </w:rPr>
          <w:t>Survey Dashboard</w:t>
        </w:r>
      </w:hyperlink>
      <w:r>
        <w:rPr>
          <w:lang w:eastAsia="ja-JP"/>
        </w:rPr>
        <w:t xml:space="preserve"> </w:t>
      </w:r>
      <w:r w:rsidRPr="00222413">
        <w:rPr>
          <w:lang w:eastAsia="ja-JP"/>
        </w:rPr>
        <w:t xml:space="preserve">to count </w:t>
      </w:r>
      <w:r w:rsidRPr="00222413">
        <w:rPr>
          <w:b/>
          <w:lang w:eastAsia="ja-JP"/>
        </w:rPr>
        <w:t>patients</w:t>
      </w:r>
      <w:r w:rsidRPr="00222413">
        <w:rPr>
          <w:lang w:eastAsia="ja-JP"/>
        </w:rPr>
        <w:t xml:space="preserve"> discharged from your </w:t>
      </w:r>
      <w:r>
        <w:rPr>
          <w:lang w:eastAsia="ja-JP"/>
        </w:rPr>
        <w:t>hospital outpatient departments</w:t>
      </w:r>
      <w:r w:rsidRPr="00222413">
        <w:rPr>
          <w:lang w:eastAsia="ja-JP"/>
        </w:rPr>
        <w:t xml:space="preserve"> who have undergone any of the 4 procedures during the reporting period. </w:t>
      </w:r>
    </w:p>
    <w:p w14:paraId="5E678FF4" w14:textId="77777777" w:rsidR="008F5762" w:rsidRPr="00222413" w:rsidRDefault="008F5762" w:rsidP="008F5762">
      <w:pPr>
        <w:rPr>
          <w:lang w:eastAsia="ja-JP"/>
        </w:rPr>
      </w:pPr>
    </w:p>
    <w:p w14:paraId="460A6A5E" w14:textId="77777777" w:rsidR="008F5762" w:rsidRPr="00222413" w:rsidRDefault="008F5762" w:rsidP="008F5762">
      <w:pPr>
        <w:rPr>
          <w:lang w:eastAsia="ja-JP"/>
        </w:rPr>
      </w:pPr>
      <w:r>
        <w:rPr>
          <w:lang w:eastAsia="ja-JP"/>
        </w:rPr>
        <w:t>Three</w:t>
      </w:r>
      <w:r w:rsidRPr="00222413">
        <w:rPr>
          <w:lang w:eastAsia="ja-JP"/>
        </w:rPr>
        <w:t xml:space="preserve"> procedures apply to </w:t>
      </w:r>
      <w:r w:rsidRPr="00222413">
        <w:rPr>
          <w:b/>
          <w:lang w:eastAsia="ja-JP"/>
        </w:rPr>
        <w:t>both adult and pediatric patients</w:t>
      </w:r>
      <w:r w:rsidRPr="00222413">
        <w:rPr>
          <w:lang w:eastAsia="ja-JP"/>
        </w:rPr>
        <w:t xml:space="preserve">: </w:t>
      </w:r>
    </w:p>
    <w:p w14:paraId="189F731D" w14:textId="77777777" w:rsidR="008F5762" w:rsidRPr="00222413" w:rsidRDefault="008F5762" w:rsidP="00AD309C">
      <w:pPr>
        <w:numPr>
          <w:ilvl w:val="0"/>
          <w:numId w:val="101"/>
        </w:numPr>
        <w:rPr>
          <w:lang w:eastAsia="ja-JP"/>
        </w:rPr>
      </w:pPr>
      <w:r w:rsidRPr="00222413">
        <w:rPr>
          <w:lang w:eastAsia="ja-JP"/>
        </w:rPr>
        <w:t xml:space="preserve">Ear </w:t>
      </w:r>
      <w:r>
        <w:rPr>
          <w:lang w:eastAsia="ja-JP"/>
        </w:rPr>
        <w:t>p</w:t>
      </w:r>
      <w:r w:rsidRPr="00222413">
        <w:rPr>
          <w:lang w:eastAsia="ja-JP"/>
        </w:rPr>
        <w:t>rocedure</w:t>
      </w:r>
      <w:r>
        <w:rPr>
          <w:lang w:eastAsia="ja-JP"/>
        </w:rPr>
        <w:t>s</w:t>
      </w:r>
    </w:p>
    <w:p w14:paraId="380FE6A5" w14:textId="77777777" w:rsidR="008F5762" w:rsidRPr="00222413" w:rsidRDefault="008F5762" w:rsidP="00AD309C">
      <w:pPr>
        <w:numPr>
          <w:ilvl w:val="0"/>
          <w:numId w:val="101"/>
        </w:numPr>
        <w:rPr>
          <w:lang w:eastAsia="ja-JP"/>
        </w:rPr>
      </w:pPr>
      <w:r w:rsidRPr="00222413">
        <w:rPr>
          <w:lang w:eastAsia="ja-JP"/>
        </w:rPr>
        <w:t xml:space="preserve">Mouth </w:t>
      </w:r>
      <w:r>
        <w:rPr>
          <w:lang w:eastAsia="ja-JP"/>
        </w:rPr>
        <w:t>p</w:t>
      </w:r>
      <w:r w:rsidRPr="00222413">
        <w:rPr>
          <w:lang w:eastAsia="ja-JP"/>
        </w:rPr>
        <w:t>rocedure</w:t>
      </w:r>
      <w:r>
        <w:rPr>
          <w:lang w:eastAsia="ja-JP"/>
        </w:rPr>
        <w:t>s</w:t>
      </w:r>
    </w:p>
    <w:p w14:paraId="551009E1" w14:textId="77777777" w:rsidR="008F5762" w:rsidRPr="00222413" w:rsidRDefault="008F5762" w:rsidP="00AD309C">
      <w:pPr>
        <w:numPr>
          <w:ilvl w:val="0"/>
          <w:numId w:val="101"/>
        </w:numPr>
        <w:rPr>
          <w:lang w:eastAsia="ja-JP"/>
        </w:rPr>
      </w:pPr>
      <w:r w:rsidRPr="00222413">
        <w:rPr>
          <w:lang w:eastAsia="ja-JP"/>
        </w:rPr>
        <w:t>Nasal</w:t>
      </w:r>
      <w:r>
        <w:rPr>
          <w:lang w:eastAsia="ja-JP"/>
        </w:rPr>
        <w:t>/s</w:t>
      </w:r>
      <w:r w:rsidRPr="00222413">
        <w:rPr>
          <w:lang w:eastAsia="ja-JP"/>
        </w:rPr>
        <w:t xml:space="preserve">inus </w:t>
      </w:r>
      <w:r>
        <w:rPr>
          <w:lang w:eastAsia="ja-JP"/>
        </w:rPr>
        <w:t>p</w:t>
      </w:r>
      <w:r w:rsidRPr="00222413">
        <w:rPr>
          <w:lang w:eastAsia="ja-JP"/>
        </w:rPr>
        <w:t>rocedure</w:t>
      </w:r>
      <w:r>
        <w:rPr>
          <w:lang w:eastAsia="ja-JP"/>
        </w:rPr>
        <w:t>s</w:t>
      </w:r>
    </w:p>
    <w:p w14:paraId="6357D095" w14:textId="77777777" w:rsidR="008F5762" w:rsidRDefault="008F5762" w:rsidP="008F5762">
      <w:pPr>
        <w:rPr>
          <w:lang w:eastAsia="ja-JP"/>
        </w:rPr>
      </w:pPr>
    </w:p>
    <w:p w14:paraId="3AE9C7C9" w14:textId="77777777" w:rsidR="008F5762" w:rsidRDefault="008F5762" w:rsidP="008F5762">
      <w:pPr>
        <w:rPr>
          <w:lang w:eastAsia="ja-JP"/>
        </w:rPr>
      </w:pPr>
      <w:r>
        <w:rPr>
          <w:lang w:eastAsia="ja-JP"/>
        </w:rPr>
        <w:t xml:space="preserve">One procedure applies to </w:t>
      </w:r>
      <w:r w:rsidRPr="001949DA">
        <w:rPr>
          <w:b/>
          <w:bCs/>
          <w:lang w:eastAsia="ja-JP"/>
        </w:rPr>
        <w:t>pediatric patients only:</w:t>
      </w:r>
    </w:p>
    <w:p w14:paraId="35A233D3" w14:textId="77777777" w:rsidR="008F5762" w:rsidRDefault="008F5762" w:rsidP="00AD309C">
      <w:pPr>
        <w:numPr>
          <w:ilvl w:val="0"/>
          <w:numId w:val="152"/>
        </w:numPr>
        <w:rPr>
          <w:lang w:eastAsia="ja-JP"/>
        </w:rPr>
      </w:pPr>
      <w:r w:rsidRPr="00222413">
        <w:rPr>
          <w:lang w:eastAsia="ja-JP"/>
        </w:rPr>
        <w:t>Pharynx</w:t>
      </w:r>
      <w:r>
        <w:rPr>
          <w:lang w:eastAsia="ja-JP"/>
        </w:rPr>
        <w:t>/a</w:t>
      </w:r>
      <w:r w:rsidRPr="00222413">
        <w:rPr>
          <w:lang w:eastAsia="ja-JP"/>
        </w:rPr>
        <w:t>denoid</w:t>
      </w:r>
      <w:r>
        <w:rPr>
          <w:lang w:eastAsia="ja-JP"/>
        </w:rPr>
        <w:t>/t</w:t>
      </w:r>
      <w:r w:rsidRPr="00222413">
        <w:rPr>
          <w:lang w:eastAsia="ja-JP"/>
        </w:rPr>
        <w:t xml:space="preserve">onsil </w:t>
      </w:r>
      <w:r>
        <w:rPr>
          <w:lang w:eastAsia="ja-JP"/>
        </w:rPr>
        <w:t>p</w:t>
      </w:r>
      <w:r w:rsidRPr="00222413">
        <w:rPr>
          <w:lang w:eastAsia="ja-JP"/>
        </w:rPr>
        <w:t>rocedure</w:t>
      </w:r>
      <w:r>
        <w:rPr>
          <w:lang w:eastAsia="ja-JP"/>
        </w:rPr>
        <w:t>s</w:t>
      </w:r>
    </w:p>
    <w:p w14:paraId="2AAAFC45" w14:textId="77777777" w:rsidR="008F5762" w:rsidRDefault="008F5762" w:rsidP="008F5762">
      <w:pPr>
        <w:rPr>
          <w:lang w:eastAsia="ja-JP"/>
        </w:rPr>
      </w:pPr>
    </w:p>
    <w:p w14:paraId="7C9CBC01" w14:textId="77777777" w:rsidR="008F5762" w:rsidRDefault="008F5762" w:rsidP="008F5762">
      <w:pPr>
        <w:rPr>
          <w:lang w:eastAsia="ja-JP"/>
        </w:rPr>
      </w:pPr>
      <w:r>
        <w:rPr>
          <w:lang w:eastAsia="ja-JP"/>
        </w:rPr>
        <w:t>Using the “</w:t>
      </w:r>
      <w:proofErr w:type="spellStart"/>
      <w:r w:rsidRPr="005534B1">
        <w:rPr>
          <w:lang w:eastAsia="ja-JP"/>
        </w:rPr>
        <w:t>Otolaryngology</w:t>
      </w:r>
      <w:r>
        <w:rPr>
          <w:lang w:eastAsia="ja-JP"/>
        </w:rPr>
        <w:t>_adult</w:t>
      </w:r>
      <w:proofErr w:type="spellEnd"/>
      <w:r>
        <w:rPr>
          <w:lang w:eastAsia="ja-JP"/>
        </w:rPr>
        <w:t>” sheet, count t</w:t>
      </w:r>
      <w:r w:rsidRPr="00222413">
        <w:rPr>
          <w:lang w:eastAsia="ja-JP"/>
        </w:rPr>
        <w:t xml:space="preserve">he total number of adult (18 years of age or older) patients discharged </w:t>
      </w:r>
      <w:r>
        <w:rPr>
          <w:lang w:eastAsia="ja-JP"/>
        </w:rPr>
        <w:t xml:space="preserve">for each procedure </w:t>
      </w:r>
      <w:r w:rsidRPr="00222413">
        <w:rPr>
          <w:lang w:eastAsia="ja-JP"/>
        </w:rPr>
        <w:t>with any of the CPT codes listed. The CPT code can be in any procedure field.</w:t>
      </w:r>
    </w:p>
    <w:p w14:paraId="23E56382" w14:textId="77777777" w:rsidR="008F5762" w:rsidRPr="00222413" w:rsidRDefault="008F5762" w:rsidP="008F5762">
      <w:pPr>
        <w:rPr>
          <w:lang w:eastAsia="ja-JP"/>
        </w:rPr>
      </w:pPr>
    </w:p>
    <w:p w14:paraId="3227307E" w14:textId="77777777" w:rsidR="008F5762" w:rsidRDefault="008F5762" w:rsidP="008F5762">
      <w:pPr>
        <w:rPr>
          <w:lang w:eastAsia="ja-JP"/>
        </w:rPr>
      </w:pPr>
      <w:r>
        <w:rPr>
          <w:lang w:eastAsia="ja-JP"/>
        </w:rPr>
        <w:t>Using the “</w:t>
      </w:r>
      <w:proofErr w:type="spellStart"/>
      <w:r w:rsidRPr="005534B1">
        <w:rPr>
          <w:lang w:eastAsia="ja-JP"/>
        </w:rPr>
        <w:t>Otolaryngology</w:t>
      </w:r>
      <w:r>
        <w:rPr>
          <w:lang w:eastAsia="ja-JP"/>
        </w:rPr>
        <w:t>_ped</w:t>
      </w:r>
      <w:proofErr w:type="spellEnd"/>
      <w:r>
        <w:rPr>
          <w:lang w:eastAsia="ja-JP"/>
        </w:rPr>
        <w:t>” sheet, count</w:t>
      </w:r>
      <w:r w:rsidRPr="00222413">
        <w:rPr>
          <w:lang w:eastAsia="ja-JP"/>
        </w:rPr>
        <w:t xml:space="preserve"> </w:t>
      </w:r>
      <w:r>
        <w:rPr>
          <w:lang w:eastAsia="ja-JP"/>
        </w:rPr>
        <w:t>t</w:t>
      </w:r>
      <w:r w:rsidRPr="00222413">
        <w:rPr>
          <w:lang w:eastAsia="ja-JP"/>
        </w:rPr>
        <w:t>he total number of pediatric (17 years of age and younger) patients discharged</w:t>
      </w:r>
      <w:r>
        <w:rPr>
          <w:lang w:eastAsia="ja-JP"/>
        </w:rPr>
        <w:t xml:space="preserve"> for each procedure</w:t>
      </w:r>
      <w:r w:rsidRPr="00222413">
        <w:rPr>
          <w:lang w:eastAsia="ja-JP"/>
        </w:rPr>
        <w:t xml:space="preserve"> with any of the CPT codes listed. The CPT code can be in any procedure field.</w:t>
      </w:r>
    </w:p>
    <w:p w14:paraId="70E5A1DD" w14:textId="77777777" w:rsidR="008F5762" w:rsidRPr="00222413" w:rsidRDefault="008F5762" w:rsidP="00222413">
      <w:pPr>
        <w:rPr>
          <w:lang w:eastAsia="ja-JP"/>
        </w:rPr>
      </w:pPr>
    </w:p>
    <w:p w14:paraId="6C1C2D6F" w14:textId="77777777" w:rsidR="00222413" w:rsidRDefault="00222413" w:rsidP="00AB5B80">
      <w:pPr>
        <w:pStyle w:val="Heading3"/>
      </w:pPr>
      <w:bookmarkStart w:id="766" w:name="_Gastroenterology_Measure_Specificat"/>
      <w:bookmarkStart w:id="767" w:name="_Toc225877858"/>
      <w:bookmarkEnd w:id="766"/>
      <w:r w:rsidRPr="00222413">
        <w:t>Gastroenterology Measure Specifications</w:t>
      </w:r>
      <w:bookmarkEnd w:id="767"/>
    </w:p>
    <w:p w14:paraId="1007F95B" w14:textId="77777777" w:rsidR="0074723A" w:rsidRPr="006606DD" w:rsidRDefault="0074723A" w:rsidP="0074723A">
      <w:pPr>
        <w:rPr>
          <w:sz w:val="16"/>
          <w:szCs w:val="16"/>
          <w:lang w:eastAsia="ja-JP"/>
        </w:rPr>
      </w:pPr>
      <w:bookmarkStart w:id="768" w:name="Gastroenterology_MeasureSpecs"/>
    </w:p>
    <w:bookmarkEnd w:id="768"/>
    <w:p w14:paraId="1CF5DF9E" w14:textId="2EC50997" w:rsidR="00222413" w:rsidRDefault="00222413" w:rsidP="00222413">
      <w:pPr>
        <w:rPr>
          <w:lang w:eastAsia="ja-JP"/>
        </w:rPr>
      </w:pPr>
      <w:r w:rsidRPr="00222413">
        <w:rPr>
          <w:lang w:eastAsia="ja-JP"/>
        </w:rPr>
        <w:t xml:space="preserve">For gastroenterology procedures, use the </w:t>
      </w:r>
      <w:r w:rsidR="006320AC">
        <w:rPr>
          <w:lang w:eastAsia="ja-JP"/>
        </w:rPr>
        <w:t xml:space="preserve">CPT codes available </w:t>
      </w:r>
      <w:r w:rsidR="008F5762">
        <w:rPr>
          <w:lang w:eastAsia="ja-JP"/>
        </w:rPr>
        <w:t>via</w:t>
      </w:r>
      <w:r w:rsidR="006320AC">
        <w:rPr>
          <w:lang w:eastAsia="ja-JP"/>
        </w:rPr>
        <w:t xml:space="preserve"> the </w:t>
      </w:r>
      <w:hyperlink r:id="rId487" w:history="1">
        <w:r w:rsidR="006320AC" w:rsidRPr="0009495E">
          <w:rPr>
            <w:rStyle w:val="Hyperlink"/>
            <w:lang w:eastAsia="ja-JP"/>
          </w:rPr>
          <w:t>Survey Dashboard</w:t>
        </w:r>
      </w:hyperlink>
      <w:r w:rsidRPr="00222413">
        <w:rPr>
          <w:lang w:eastAsia="ja-JP"/>
        </w:rPr>
        <w:t xml:space="preserve"> to count </w:t>
      </w:r>
      <w:r w:rsidRPr="00222413">
        <w:rPr>
          <w:b/>
          <w:lang w:eastAsia="ja-JP"/>
        </w:rPr>
        <w:t>patients</w:t>
      </w:r>
      <w:r w:rsidRPr="00222413">
        <w:rPr>
          <w:lang w:eastAsia="ja-JP"/>
        </w:rPr>
        <w:t xml:space="preserve"> discharged from your </w:t>
      </w:r>
      <w:r w:rsidR="00AE0738">
        <w:rPr>
          <w:lang w:eastAsia="ja-JP"/>
        </w:rPr>
        <w:t>hospital outpatient departments</w:t>
      </w:r>
      <w:r w:rsidRPr="00222413">
        <w:rPr>
          <w:lang w:eastAsia="ja-JP"/>
        </w:rPr>
        <w:t xml:space="preserve"> who have undergone </w:t>
      </w:r>
      <w:r w:rsidR="008F5762">
        <w:rPr>
          <w:lang w:eastAsia="ja-JP"/>
        </w:rPr>
        <w:t>either of the 2</w:t>
      </w:r>
      <w:r w:rsidRPr="00222413">
        <w:rPr>
          <w:lang w:eastAsia="ja-JP"/>
        </w:rPr>
        <w:t xml:space="preserve"> procedures during the reporting period. </w:t>
      </w:r>
    </w:p>
    <w:p w14:paraId="1F9075C9" w14:textId="77777777" w:rsidR="0074723A" w:rsidRPr="00222413" w:rsidRDefault="0074723A" w:rsidP="00222413">
      <w:pPr>
        <w:rPr>
          <w:lang w:eastAsia="ja-JP"/>
        </w:rPr>
      </w:pPr>
    </w:p>
    <w:p w14:paraId="2B9E34BC" w14:textId="77777777" w:rsidR="008F5762" w:rsidRPr="002F60E9" w:rsidRDefault="008F5762" w:rsidP="008F5762">
      <w:pPr>
        <w:rPr>
          <w:rFonts w:cs="Arial"/>
        </w:rPr>
      </w:pPr>
      <w:r>
        <w:rPr>
          <w:rFonts w:cs="Arial"/>
        </w:rPr>
        <w:t xml:space="preserve">Both procedures apply to </w:t>
      </w:r>
      <w:r w:rsidRPr="0029141C">
        <w:rPr>
          <w:rFonts w:cs="Arial"/>
          <w:b/>
          <w:bCs/>
        </w:rPr>
        <w:t>adult patients only:</w:t>
      </w:r>
    </w:p>
    <w:p w14:paraId="6F59E6C3" w14:textId="77777777" w:rsidR="008F5762" w:rsidRPr="002F60E9" w:rsidRDefault="008F5762" w:rsidP="00AD309C">
      <w:pPr>
        <w:pStyle w:val="ListParagraph"/>
        <w:numPr>
          <w:ilvl w:val="0"/>
          <w:numId w:val="101"/>
        </w:numPr>
        <w:spacing w:after="120" w:line="264" w:lineRule="auto"/>
        <w:rPr>
          <w:rFonts w:cs="Arial"/>
        </w:rPr>
      </w:pPr>
      <w:r w:rsidRPr="002F60E9">
        <w:rPr>
          <w:rFonts w:cs="Arial"/>
        </w:rPr>
        <w:t xml:space="preserve">Upper GI </w:t>
      </w:r>
      <w:r>
        <w:rPr>
          <w:rFonts w:cs="Arial"/>
        </w:rPr>
        <w:t>e</w:t>
      </w:r>
      <w:r w:rsidRPr="002F60E9">
        <w:rPr>
          <w:rFonts w:cs="Arial"/>
        </w:rPr>
        <w:t>ndoscopy</w:t>
      </w:r>
    </w:p>
    <w:p w14:paraId="66F6B834" w14:textId="77777777" w:rsidR="008F5762" w:rsidRPr="002F60E9" w:rsidRDefault="008F5762" w:rsidP="00AD309C">
      <w:pPr>
        <w:pStyle w:val="ListParagraph"/>
        <w:numPr>
          <w:ilvl w:val="0"/>
          <w:numId w:val="101"/>
        </w:numPr>
        <w:spacing w:after="120" w:line="264" w:lineRule="auto"/>
        <w:rPr>
          <w:rFonts w:cs="Arial"/>
        </w:rPr>
      </w:pPr>
      <w:r w:rsidRPr="002F60E9">
        <w:rPr>
          <w:rFonts w:cs="Arial"/>
        </w:rPr>
        <w:t xml:space="preserve">Lower GI </w:t>
      </w:r>
      <w:r>
        <w:rPr>
          <w:rFonts w:cs="Arial"/>
        </w:rPr>
        <w:t>e</w:t>
      </w:r>
      <w:r w:rsidRPr="002F60E9">
        <w:rPr>
          <w:rFonts w:cs="Arial"/>
        </w:rPr>
        <w:t xml:space="preserve">ndoscopy </w:t>
      </w:r>
    </w:p>
    <w:p w14:paraId="5DD22E09" w14:textId="77777777" w:rsidR="0074723A" w:rsidRPr="00222413" w:rsidRDefault="0074723A" w:rsidP="00B44C1C">
      <w:pPr>
        <w:rPr>
          <w:lang w:eastAsia="ja-JP"/>
        </w:rPr>
      </w:pPr>
    </w:p>
    <w:p w14:paraId="33B91DFB" w14:textId="3378754A" w:rsidR="00222413" w:rsidRPr="00222413" w:rsidRDefault="009A2D71" w:rsidP="000F0F18">
      <w:pPr>
        <w:rPr>
          <w:lang w:eastAsia="ja-JP"/>
        </w:rPr>
      </w:pPr>
      <w:r>
        <w:rPr>
          <w:lang w:eastAsia="ja-JP"/>
        </w:rPr>
        <w:t>Using the “</w:t>
      </w:r>
      <w:proofErr w:type="spellStart"/>
      <w:r>
        <w:rPr>
          <w:lang w:eastAsia="ja-JP"/>
        </w:rPr>
        <w:t>G</w:t>
      </w:r>
      <w:r w:rsidRPr="00222413">
        <w:rPr>
          <w:lang w:eastAsia="ja-JP"/>
        </w:rPr>
        <w:t>astroenterology</w:t>
      </w:r>
      <w:r>
        <w:rPr>
          <w:lang w:eastAsia="ja-JP"/>
        </w:rPr>
        <w:t>_adult</w:t>
      </w:r>
      <w:proofErr w:type="spellEnd"/>
      <w:r>
        <w:rPr>
          <w:lang w:eastAsia="ja-JP"/>
        </w:rPr>
        <w:t>” sheet, count t</w:t>
      </w:r>
      <w:r w:rsidR="00222413" w:rsidRPr="00222413">
        <w:rPr>
          <w:lang w:eastAsia="ja-JP"/>
        </w:rPr>
        <w:t xml:space="preserve">he total number of adult (18 years of age or older) patients discharged </w:t>
      </w:r>
      <w:r w:rsidR="00061BD6">
        <w:rPr>
          <w:lang w:eastAsia="ja-JP"/>
        </w:rPr>
        <w:t xml:space="preserve">for each procedure </w:t>
      </w:r>
      <w:r w:rsidR="00222413" w:rsidRPr="00222413">
        <w:rPr>
          <w:lang w:eastAsia="ja-JP"/>
        </w:rPr>
        <w:t>with any of the CPT codes listed. The CPT code can be in any procedure field.</w:t>
      </w:r>
    </w:p>
    <w:p w14:paraId="6399FA2D" w14:textId="77777777" w:rsidR="00222413" w:rsidRPr="00222413" w:rsidRDefault="00222413" w:rsidP="00222413">
      <w:pPr>
        <w:rPr>
          <w:lang w:eastAsia="ja-JP"/>
        </w:rPr>
      </w:pPr>
    </w:p>
    <w:p w14:paraId="251F8D8E" w14:textId="77777777" w:rsidR="00222413" w:rsidRDefault="00222413" w:rsidP="00AB5B80">
      <w:pPr>
        <w:pStyle w:val="Heading3"/>
      </w:pPr>
      <w:bookmarkStart w:id="769" w:name="_General_Surgery_Measure"/>
      <w:bookmarkStart w:id="770" w:name="_Toc225877859"/>
      <w:bookmarkEnd w:id="769"/>
      <w:r w:rsidRPr="00222413">
        <w:t>General Surgery Measure Specifications</w:t>
      </w:r>
      <w:bookmarkEnd w:id="770"/>
    </w:p>
    <w:p w14:paraId="46864811" w14:textId="77777777" w:rsidR="003D62ED" w:rsidRPr="006606DD" w:rsidRDefault="003D62ED" w:rsidP="003D62ED">
      <w:pPr>
        <w:rPr>
          <w:sz w:val="16"/>
          <w:szCs w:val="16"/>
          <w:lang w:eastAsia="ja-JP"/>
        </w:rPr>
      </w:pPr>
      <w:bookmarkStart w:id="771" w:name="GeneralSurgery_MeasureSpecs"/>
    </w:p>
    <w:bookmarkEnd w:id="771"/>
    <w:p w14:paraId="288798F5" w14:textId="336009DC" w:rsidR="00222413" w:rsidRDefault="00222413" w:rsidP="00222413">
      <w:pPr>
        <w:rPr>
          <w:lang w:eastAsia="ja-JP"/>
        </w:rPr>
      </w:pPr>
      <w:r w:rsidRPr="00222413">
        <w:rPr>
          <w:lang w:eastAsia="ja-JP"/>
        </w:rPr>
        <w:t xml:space="preserve">For general surgery procedures, use the  </w:t>
      </w:r>
      <w:r w:rsidR="006320AC">
        <w:rPr>
          <w:lang w:eastAsia="ja-JP"/>
        </w:rPr>
        <w:t xml:space="preserve">CPT codes available </w:t>
      </w:r>
      <w:r w:rsidR="008F5762">
        <w:rPr>
          <w:lang w:eastAsia="ja-JP"/>
        </w:rPr>
        <w:t>via</w:t>
      </w:r>
      <w:r w:rsidR="006320AC">
        <w:rPr>
          <w:lang w:eastAsia="ja-JP"/>
        </w:rPr>
        <w:t xml:space="preserve"> the </w:t>
      </w:r>
      <w:hyperlink r:id="rId488" w:history="1">
        <w:r w:rsidR="006320AC" w:rsidRPr="0009495E">
          <w:rPr>
            <w:rStyle w:val="Hyperlink"/>
            <w:lang w:eastAsia="ja-JP"/>
          </w:rPr>
          <w:t>Survey Dashboard</w:t>
        </w:r>
      </w:hyperlink>
      <w:r w:rsidR="006320AC">
        <w:rPr>
          <w:lang w:eastAsia="ja-JP"/>
        </w:rPr>
        <w:t xml:space="preserve"> </w:t>
      </w:r>
      <w:r w:rsidRPr="00222413">
        <w:rPr>
          <w:lang w:eastAsia="ja-JP"/>
        </w:rPr>
        <w:t xml:space="preserve">to count </w:t>
      </w:r>
      <w:r w:rsidRPr="00222413">
        <w:rPr>
          <w:b/>
          <w:lang w:eastAsia="ja-JP"/>
        </w:rPr>
        <w:t>patients</w:t>
      </w:r>
      <w:r w:rsidRPr="00222413">
        <w:rPr>
          <w:lang w:eastAsia="ja-JP"/>
        </w:rPr>
        <w:t xml:space="preserve"> discharged from your</w:t>
      </w:r>
      <w:r w:rsidR="00AE0738">
        <w:rPr>
          <w:lang w:eastAsia="ja-JP"/>
        </w:rPr>
        <w:t xml:space="preserve"> hospital outpatient departments</w:t>
      </w:r>
      <w:r w:rsidRPr="00222413">
        <w:rPr>
          <w:lang w:eastAsia="ja-JP"/>
        </w:rPr>
        <w:t xml:space="preserve"> who have undergone any of the </w:t>
      </w:r>
      <w:r w:rsidR="003968AC">
        <w:rPr>
          <w:lang w:eastAsia="ja-JP"/>
        </w:rPr>
        <w:t>7</w:t>
      </w:r>
      <w:r w:rsidRPr="00222413">
        <w:rPr>
          <w:lang w:eastAsia="ja-JP"/>
        </w:rPr>
        <w:t xml:space="preserve"> procedures during the reporting period. </w:t>
      </w:r>
    </w:p>
    <w:p w14:paraId="7503AE3E" w14:textId="77777777" w:rsidR="003D62ED" w:rsidRPr="00222413" w:rsidRDefault="003D62ED" w:rsidP="00222413">
      <w:pPr>
        <w:rPr>
          <w:lang w:eastAsia="ja-JP"/>
        </w:rPr>
      </w:pPr>
    </w:p>
    <w:p w14:paraId="2940660E" w14:textId="38ED0A86" w:rsidR="00222413" w:rsidRPr="00222413" w:rsidRDefault="008F5762" w:rsidP="00222413">
      <w:pPr>
        <w:rPr>
          <w:lang w:eastAsia="ja-JP"/>
        </w:rPr>
      </w:pPr>
      <w:r>
        <w:rPr>
          <w:lang w:eastAsia="ja-JP"/>
        </w:rPr>
        <w:t>All seven</w:t>
      </w:r>
      <w:r w:rsidRPr="00222413">
        <w:rPr>
          <w:lang w:eastAsia="ja-JP"/>
        </w:rPr>
        <w:t xml:space="preserve"> </w:t>
      </w:r>
      <w:r w:rsidR="00222413" w:rsidRPr="00222413">
        <w:rPr>
          <w:lang w:eastAsia="ja-JP"/>
        </w:rPr>
        <w:t xml:space="preserve">procedures apply to </w:t>
      </w:r>
      <w:r w:rsidR="00222413" w:rsidRPr="00222413">
        <w:rPr>
          <w:b/>
          <w:lang w:eastAsia="ja-JP"/>
        </w:rPr>
        <w:t>adult patients only</w:t>
      </w:r>
      <w:r w:rsidR="00222413" w:rsidRPr="00222413">
        <w:rPr>
          <w:lang w:eastAsia="ja-JP"/>
        </w:rPr>
        <w:t xml:space="preserve">: </w:t>
      </w:r>
    </w:p>
    <w:p w14:paraId="2697DF5C" w14:textId="1F007875" w:rsidR="00222413" w:rsidRPr="00222413" w:rsidRDefault="00222413" w:rsidP="00AD309C">
      <w:pPr>
        <w:numPr>
          <w:ilvl w:val="0"/>
          <w:numId w:val="101"/>
        </w:numPr>
        <w:rPr>
          <w:lang w:eastAsia="ja-JP"/>
        </w:rPr>
      </w:pPr>
      <w:r w:rsidRPr="00222413">
        <w:rPr>
          <w:lang w:eastAsia="ja-JP"/>
        </w:rPr>
        <w:t xml:space="preserve">Cholecystectomy and </w:t>
      </w:r>
      <w:r w:rsidR="007A5FB6">
        <w:rPr>
          <w:lang w:eastAsia="ja-JP"/>
        </w:rPr>
        <w:t>c</w:t>
      </w:r>
      <w:r w:rsidRPr="00222413">
        <w:rPr>
          <w:lang w:eastAsia="ja-JP"/>
        </w:rPr>
        <w:t xml:space="preserve">ommon </w:t>
      </w:r>
      <w:r w:rsidR="007A5FB6">
        <w:rPr>
          <w:lang w:eastAsia="ja-JP"/>
        </w:rPr>
        <w:t>d</w:t>
      </w:r>
      <w:r w:rsidRPr="00222413">
        <w:rPr>
          <w:lang w:eastAsia="ja-JP"/>
        </w:rPr>
        <w:t xml:space="preserve">uct </w:t>
      </w:r>
      <w:r w:rsidR="007A5FB6">
        <w:rPr>
          <w:lang w:eastAsia="ja-JP"/>
        </w:rPr>
        <w:t>e</w:t>
      </w:r>
      <w:r w:rsidRPr="00222413">
        <w:rPr>
          <w:lang w:eastAsia="ja-JP"/>
        </w:rPr>
        <w:t>xploration</w:t>
      </w:r>
    </w:p>
    <w:p w14:paraId="3275F0F1" w14:textId="251CA323" w:rsidR="00222413" w:rsidRPr="00222413" w:rsidRDefault="00222413" w:rsidP="00AD309C">
      <w:pPr>
        <w:numPr>
          <w:ilvl w:val="0"/>
          <w:numId w:val="101"/>
        </w:numPr>
        <w:rPr>
          <w:lang w:eastAsia="ja-JP"/>
        </w:rPr>
      </w:pPr>
      <w:r w:rsidRPr="00222413">
        <w:rPr>
          <w:lang w:eastAsia="ja-JP"/>
        </w:rPr>
        <w:t xml:space="preserve">Hemorrhoid </w:t>
      </w:r>
      <w:r w:rsidR="007A5FB6">
        <w:rPr>
          <w:lang w:eastAsia="ja-JP"/>
        </w:rPr>
        <w:t>p</w:t>
      </w:r>
      <w:r w:rsidRPr="00222413">
        <w:rPr>
          <w:lang w:eastAsia="ja-JP"/>
        </w:rPr>
        <w:t>rocedure</w:t>
      </w:r>
    </w:p>
    <w:p w14:paraId="71A90D63" w14:textId="77777777" w:rsidR="00222413" w:rsidRPr="00222413" w:rsidRDefault="00222413" w:rsidP="00AD309C">
      <w:pPr>
        <w:numPr>
          <w:ilvl w:val="0"/>
          <w:numId w:val="101"/>
        </w:numPr>
        <w:rPr>
          <w:lang w:eastAsia="ja-JP"/>
        </w:rPr>
      </w:pPr>
      <w:r w:rsidRPr="00222413">
        <w:rPr>
          <w:lang w:eastAsia="ja-JP"/>
        </w:rPr>
        <w:t>Laparoscopy</w:t>
      </w:r>
    </w:p>
    <w:p w14:paraId="7D7385DF" w14:textId="2016F5FB" w:rsidR="00222413" w:rsidRPr="00222413" w:rsidRDefault="00222413" w:rsidP="00AD309C">
      <w:pPr>
        <w:numPr>
          <w:ilvl w:val="0"/>
          <w:numId w:val="101"/>
        </w:numPr>
        <w:rPr>
          <w:lang w:eastAsia="ja-JP"/>
        </w:rPr>
      </w:pPr>
      <w:r w:rsidRPr="00222413">
        <w:rPr>
          <w:lang w:eastAsia="ja-JP"/>
        </w:rPr>
        <w:t xml:space="preserve">Lumpectomy or </w:t>
      </w:r>
      <w:r w:rsidR="007A5FB6">
        <w:rPr>
          <w:lang w:eastAsia="ja-JP"/>
        </w:rPr>
        <w:t>q</w:t>
      </w:r>
      <w:r w:rsidRPr="00222413">
        <w:rPr>
          <w:lang w:eastAsia="ja-JP"/>
        </w:rPr>
        <w:t xml:space="preserve">uadrantectomy of </w:t>
      </w:r>
      <w:r w:rsidR="007A5FB6">
        <w:rPr>
          <w:lang w:eastAsia="ja-JP"/>
        </w:rPr>
        <w:t>b</w:t>
      </w:r>
      <w:r w:rsidRPr="00222413">
        <w:rPr>
          <w:lang w:eastAsia="ja-JP"/>
        </w:rPr>
        <w:t>reast</w:t>
      </w:r>
    </w:p>
    <w:p w14:paraId="6B0C100E" w14:textId="074916EE" w:rsidR="003D62ED" w:rsidRPr="00222413" w:rsidRDefault="00222413" w:rsidP="00AD309C">
      <w:pPr>
        <w:numPr>
          <w:ilvl w:val="0"/>
          <w:numId w:val="101"/>
        </w:numPr>
        <w:rPr>
          <w:lang w:eastAsia="ja-JP"/>
        </w:rPr>
      </w:pPr>
      <w:r w:rsidRPr="00222413">
        <w:rPr>
          <w:lang w:eastAsia="ja-JP"/>
        </w:rPr>
        <w:t>Mastectomy</w:t>
      </w:r>
    </w:p>
    <w:p w14:paraId="1119D311" w14:textId="508CEBB2" w:rsidR="00222413" w:rsidRPr="00222413" w:rsidRDefault="00222413" w:rsidP="00AD309C">
      <w:pPr>
        <w:numPr>
          <w:ilvl w:val="0"/>
          <w:numId w:val="117"/>
        </w:numPr>
        <w:rPr>
          <w:lang w:eastAsia="ja-JP"/>
        </w:rPr>
      </w:pPr>
      <w:r w:rsidRPr="00222413">
        <w:rPr>
          <w:lang w:eastAsia="ja-JP"/>
        </w:rPr>
        <w:t xml:space="preserve">Inguinal and </w:t>
      </w:r>
      <w:r w:rsidR="007A5FB6">
        <w:rPr>
          <w:lang w:eastAsia="ja-JP"/>
        </w:rPr>
        <w:t>f</w:t>
      </w:r>
      <w:r w:rsidRPr="00222413">
        <w:rPr>
          <w:lang w:eastAsia="ja-JP"/>
        </w:rPr>
        <w:t xml:space="preserve">emoral </w:t>
      </w:r>
      <w:r w:rsidR="007A5FB6">
        <w:rPr>
          <w:lang w:eastAsia="ja-JP"/>
        </w:rPr>
        <w:t>h</w:t>
      </w:r>
      <w:r w:rsidRPr="00222413">
        <w:rPr>
          <w:lang w:eastAsia="ja-JP"/>
        </w:rPr>
        <w:t xml:space="preserve">ernia </w:t>
      </w:r>
      <w:r w:rsidR="007A5FB6">
        <w:rPr>
          <w:lang w:eastAsia="ja-JP"/>
        </w:rPr>
        <w:t>r</w:t>
      </w:r>
      <w:r w:rsidRPr="00222413">
        <w:rPr>
          <w:lang w:eastAsia="ja-JP"/>
        </w:rPr>
        <w:t>epair</w:t>
      </w:r>
    </w:p>
    <w:p w14:paraId="26C2DA71" w14:textId="188BA2C9" w:rsidR="00222413" w:rsidRPr="00222413" w:rsidRDefault="00222413" w:rsidP="00AD309C">
      <w:pPr>
        <w:numPr>
          <w:ilvl w:val="0"/>
          <w:numId w:val="117"/>
        </w:numPr>
        <w:rPr>
          <w:lang w:eastAsia="ja-JP"/>
        </w:rPr>
      </w:pPr>
      <w:r w:rsidRPr="00222413">
        <w:rPr>
          <w:lang w:eastAsia="ja-JP"/>
        </w:rPr>
        <w:t xml:space="preserve">Other </w:t>
      </w:r>
      <w:r w:rsidR="007A5FB6">
        <w:rPr>
          <w:lang w:eastAsia="ja-JP"/>
        </w:rPr>
        <w:t>h</w:t>
      </w:r>
      <w:r w:rsidRPr="00222413">
        <w:rPr>
          <w:lang w:eastAsia="ja-JP"/>
        </w:rPr>
        <w:t xml:space="preserve">ernia </w:t>
      </w:r>
      <w:r w:rsidR="007A5FB6">
        <w:rPr>
          <w:lang w:eastAsia="ja-JP"/>
        </w:rPr>
        <w:t>r</w:t>
      </w:r>
      <w:r w:rsidRPr="00222413">
        <w:rPr>
          <w:lang w:eastAsia="ja-JP"/>
        </w:rPr>
        <w:t xml:space="preserve">epair </w:t>
      </w:r>
    </w:p>
    <w:p w14:paraId="1C42DB6C" w14:textId="77777777" w:rsidR="003D62ED" w:rsidRDefault="003D62ED" w:rsidP="00222413">
      <w:pPr>
        <w:rPr>
          <w:lang w:eastAsia="ja-JP"/>
        </w:rPr>
      </w:pPr>
    </w:p>
    <w:p w14:paraId="323C23D0" w14:textId="1DD37453" w:rsidR="00222413" w:rsidRPr="00222413" w:rsidRDefault="0091149E" w:rsidP="000F0F18">
      <w:pPr>
        <w:rPr>
          <w:lang w:eastAsia="ja-JP"/>
        </w:rPr>
      </w:pPr>
      <w:r>
        <w:rPr>
          <w:lang w:eastAsia="ja-JP"/>
        </w:rPr>
        <w:t xml:space="preserve">Using the “General </w:t>
      </w:r>
      <w:proofErr w:type="spellStart"/>
      <w:r>
        <w:rPr>
          <w:lang w:eastAsia="ja-JP"/>
        </w:rPr>
        <w:t>su</w:t>
      </w:r>
      <w:r w:rsidR="00016FA8">
        <w:rPr>
          <w:lang w:eastAsia="ja-JP"/>
        </w:rPr>
        <w:t>r</w:t>
      </w:r>
      <w:r>
        <w:rPr>
          <w:lang w:eastAsia="ja-JP"/>
        </w:rPr>
        <w:t>gery_adult</w:t>
      </w:r>
      <w:proofErr w:type="spellEnd"/>
      <w:r>
        <w:rPr>
          <w:lang w:eastAsia="ja-JP"/>
        </w:rPr>
        <w:t>” sheet, count t</w:t>
      </w:r>
      <w:r w:rsidR="00222413" w:rsidRPr="00222413">
        <w:rPr>
          <w:lang w:eastAsia="ja-JP"/>
        </w:rPr>
        <w:t xml:space="preserve">he total number of adult (18 years of age or older) patients discharged </w:t>
      </w:r>
      <w:r>
        <w:rPr>
          <w:lang w:eastAsia="ja-JP"/>
        </w:rPr>
        <w:t xml:space="preserve">for each procedure </w:t>
      </w:r>
      <w:r w:rsidR="00222413" w:rsidRPr="00222413">
        <w:rPr>
          <w:lang w:eastAsia="ja-JP"/>
        </w:rPr>
        <w:t>with any of the CPT codes listed. The CPT code can be in any procedure field</w:t>
      </w:r>
      <w:r w:rsidR="007C3954">
        <w:rPr>
          <w:lang w:eastAsia="ja-JP"/>
        </w:rPr>
        <w:t>.</w:t>
      </w:r>
    </w:p>
    <w:p w14:paraId="0572DA30" w14:textId="77777777" w:rsidR="00FD51D6" w:rsidRPr="00222413" w:rsidRDefault="00FD51D6" w:rsidP="00B44C1C">
      <w:pPr>
        <w:rPr>
          <w:lang w:eastAsia="ja-JP"/>
        </w:rPr>
      </w:pPr>
    </w:p>
    <w:p w14:paraId="19F462ED" w14:textId="77777777" w:rsidR="00222413" w:rsidRDefault="00222413" w:rsidP="00AB5B80">
      <w:pPr>
        <w:pStyle w:val="Heading3"/>
      </w:pPr>
      <w:bookmarkStart w:id="772" w:name="_Urology_Measure_Specifications"/>
      <w:bookmarkStart w:id="773" w:name="_Toc225877860"/>
      <w:bookmarkEnd w:id="772"/>
      <w:r w:rsidRPr="00222413">
        <w:t>Urology Measure Specifications</w:t>
      </w:r>
      <w:bookmarkEnd w:id="773"/>
    </w:p>
    <w:p w14:paraId="4F83E235" w14:textId="77777777" w:rsidR="00314EA4" w:rsidRPr="006606DD" w:rsidRDefault="00314EA4" w:rsidP="00314EA4">
      <w:pPr>
        <w:rPr>
          <w:sz w:val="16"/>
          <w:szCs w:val="16"/>
          <w:lang w:eastAsia="ja-JP"/>
        </w:rPr>
      </w:pPr>
      <w:bookmarkStart w:id="774" w:name="Urology_MeasureSpecs"/>
    </w:p>
    <w:bookmarkEnd w:id="774"/>
    <w:p w14:paraId="1189E95E" w14:textId="32357DAB" w:rsidR="00222413" w:rsidRDefault="00222413" w:rsidP="00222413">
      <w:pPr>
        <w:rPr>
          <w:lang w:eastAsia="ja-JP"/>
        </w:rPr>
      </w:pPr>
      <w:r w:rsidRPr="00222413">
        <w:rPr>
          <w:lang w:eastAsia="ja-JP"/>
        </w:rPr>
        <w:t xml:space="preserve">For urology procedures, use the </w:t>
      </w:r>
      <w:r w:rsidR="00A476FB">
        <w:rPr>
          <w:lang w:eastAsia="ja-JP"/>
        </w:rPr>
        <w:t xml:space="preserve">CPT codes available </w:t>
      </w:r>
      <w:r w:rsidR="008F5762">
        <w:rPr>
          <w:lang w:eastAsia="ja-JP"/>
        </w:rPr>
        <w:t>via</w:t>
      </w:r>
      <w:r w:rsidR="00A476FB">
        <w:rPr>
          <w:lang w:eastAsia="ja-JP"/>
        </w:rPr>
        <w:t xml:space="preserve"> the </w:t>
      </w:r>
      <w:hyperlink r:id="rId489" w:history="1">
        <w:r w:rsidR="00A476FB" w:rsidRPr="0009495E">
          <w:rPr>
            <w:rStyle w:val="Hyperlink"/>
            <w:lang w:eastAsia="ja-JP"/>
          </w:rPr>
          <w:t>Survey Dashboard</w:t>
        </w:r>
      </w:hyperlink>
      <w:r w:rsidRPr="00222413">
        <w:rPr>
          <w:lang w:eastAsia="ja-JP"/>
        </w:rPr>
        <w:t xml:space="preserve"> to count </w:t>
      </w:r>
      <w:r w:rsidRPr="00222413">
        <w:rPr>
          <w:b/>
          <w:lang w:eastAsia="ja-JP"/>
        </w:rPr>
        <w:t>patients</w:t>
      </w:r>
      <w:r w:rsidRPr="00222413">
        <w:rPr>
          <w:lang w:eastAsia="ja-JP"/>
        </w:rPr>
        <w:t xml:space="preserve"> discharged from your </w:t>
      </w:r>
      <w:r w:rsidR="00AE0738">
        <w:rPr>
          <w:lang w:eastAsia="ja-JP"/>
        </w:rPr>
        <w:t>hospital outpatient departments</w:t>
      </w:r>
      <w:r w:rsidRPr="00222413">
        <w:rPr>
          <w:lang w:eastAsia="ja-JP"/>
        </w:rPr>
        <w:t xml:space="preserve"> who have undergone any of the </w:t>
      </w:r>
      <w:r w:rsidR="003968AC">
        <w:rPr>
          <w:lang w:eastAsia="ja-JP"/>
        </w:rPr>
        <w:t>5</w:t>
      </w:r>
      <w:r w:rsidRPr="00222413">
        <w:rPr>
          <w:lang w:eastAsia="ja-JP"/>
        </w:rPr>
        <w:t xml:space="preserve"> procedures during the reporting period. </w:t>
      </w:r>
    </w:p>
    <w:p w14:paraId="72CA7404" w14:textId="77777777" w:rsidR="00314EA4" w:rsidRPr="00222413" w:rsidRDefault="00314EA4" w:rsidP="00222413">
      <w:pPr>
        <w:rPr>
          <w:lang w:eastAsia="ja-JP"/>
        </w:rPr>
      </w:pPr>
    </w:p>
    <w:p w14:paraId="5BD1B87C" w14:textId="18E83545" w:rsidR="00222413" w:rsidRPr="00222413" w:rsidRDefault="002D3130" w:rsidP="00222413">
      <w:pPr>
        <w:rPr>
          <w:lang w:eastAsia="ja-JP"/>
        </w:rPr>
      </w:pPr>
      <w:r>
        <w:rPr>
          <w:lang w:eastAsia="ja-JP"/>
        </w:rPr>
        <w:t>All f</w:t>
      </w:r>
      <w:r w:rsidR="00BF3FA2">
        <w:rPr>
          <w:lang w:eastAsia="ja-JP"/>
        </w:rPr>
        <w:t>ive</w:t>
      </w:r>
      <w:r w:rsidR="00BF3FA2" w:rsidRPr="00222413">
        <w:rPr>
          <w:lang w:eastAsia="ja-JP"/>
        </w:rPr>
        <w:t xml:space="preserve"> </w:t>
      </w:r>
      <w:r w:rsidR="00222413" w:rsidRPr="00222413">
        <w:rPr>
          <w:lang w:eastAsia="ja-JP"/>
        </w:rPr>
        <w:t>procedure</w:t>
      </w:r>
      <w:r w:rsidR="00BF3FA2">
        <w:rPr>
          <w:lang w:eastAsia="ja-JP"/>
        </w:rPr>
        <w:t>s</w:t>
      </w:r>
      <w:r w:rsidR="00222413" w:rsidRPr="00222413">
        <w:rPr>
          <w:lang w:eastAsia="ja-JP"/>
        </w:rPr>
        <w:t xml:space="preserve"> app</w:t>
      </w:r>
      <w:r w:rsidR="00BF3FA2">
        <w:rPr>
          <w:lang w:eastAsia="ja-JP"/>
        </w:rPr>
        <w:t>ly</w:t>
      </w:r>
      <w:r w:rsidR="00222413" w:rsidRPr="00222413">
        <w:rPr>
          <w:lang w:eastAsia="ja-JP"/>
        </w:rPr>
        <w:t xml:space="preserve"> to </w:t>
      </w:r>
      <w:r w:rsidR="00222413" w:rsidRPr="00222413">
        <w:rPr>
          <w:b/>
          <w:lang w:eastAsia="ja-JP"/>
        </w:rPr>
        <w:t>adult patients</w:t>
      </w:r>
      <w:r w:rsidR="00222413" w:rsidRPr="00222413">
        <w:rPr>
          <w:lang w:eastAsia="ja-JP"/>
        </w:rPr>
        <w:t xml:space="preserve"> </w:t>
      </w:r>
      <w:r w:rsidR="00222413" w:rsidRPr="00222413">
        <w:rPr>
          <w:b/>
          <w:lang w:eastAsia="ja-JP"/>
        </w:rPr>
        <w:t>only</w:t>
      </w:r>
      <w:r w:rsidR="00222413" w:rsidRPr="00222413">
        <w:rPr>
          <w:lang w:eastAsia="ja-JP"/>
        </w:rPr>
        <w:t xml:space="preserve">: </w:t>
      </w:r>
    </w:p>
    <w:p w14:paraId="55EAB311" w14:textId="745DAEB0" w:rsidR="00314EA4" w:rsidRPr="00222413" w:rsidRDefault="00206F35" w:rsidP="00AD309C">
      <w:pPr>
        <w:numPr>
          <w:ilvl w:val="0"/>
          <w:numId w:val="101"/>
        </w:numPr>
        <w:rPr>
          <w:lang w:eastAsia="ja-JP"/>
        </w:rPr>
      </w:pPr>
      <w:r>
        <w:rPr>
          <w:lang w:eastAsia="ja-JP"/>
        </w:rPr>
        <w:t>Circumcision</w:t>
      </w:r>
    </w:p>
    <w:p w14:paraId="7FB18FBA" w14:textId="77777777" w:rsidR="00222413" w:rsidRPr="00222413" w:rsidRDefault="00222413" w:rsidP="00AD309C">
      <w:pPr>
        <w:numPr>
          <w:ilvl w:val="0"/>
          <w:numId w:val="117"/>
        </w:numPr>
        <w:rPr>
          <w:lang w:eastAsia="ja-JP"/>
        </w:rPr>
      </w:pPr>
      <w:r w:rsidRPr="00222413">
        <w:rPr>
          <w:lang w:eastAsia="ja-JP"/>
        </w:rPr>
        <w:t xml:space="preserve">Cystourethroscopy </w:t>
      </w:r>
    </w:p>
    <w:p w14:paraId="59E3C8CF" w14:textId="53FA6700" w:rsidR="00222413" w:rsidRPr="00222413" w:rsidRDefault="00222413" w:rsidP="00AD309C">
      <w:pPr>
        <w:numPr>
          <w:ilvl w:val="0"/>
          <w:numId w:val="117"/>
        </w:numPr>
        <w:rPr>
          <w:lang w:eastAsia="ja-JP"/>
        </w:rPr>
      </w:pPr>
      <w:r w:rsidRPr="00222413">
        <w:rPr>
          <w:lang w:eastAsia="ja-JP"/>
        </w:rPr>
        <w:t xml:space="preserve">Male </w:t>
      </w:r>
      <w:r w:rsidR="00F50E17">
        <w:rPr>
          <w:lang w:eastAsia="ja-JP"/>
        </w:rPr>
        <w:t>g</w:t>
      </w:r>
      <w:r w:rsidRPr="00222413">
        <w:rPr>
          <w:lang w:eastAsia="ja-JP"/>
        </w:rPr>
        <w:t xml:space="preserve">enital </w:t>
      </w:r>
      <w:r w:rsidR="00F50E17">
        <w:rPr>
          <w:lang w:eastAsia="ja-JP"/>
        </w:rPr>
        <w:t>p</w:t>
      </w:r>
      <w:r w:rsidRPr="00222413">
        <w:rPr>
          <w:lang w:eastAsia="ja-JP"/>
        </w:rPr>
        <w:t>rocedures</w:t>
      </w:r>
    </w:p>
    <w:p w14:paraId="129B8731" w14:textId="453003A6" w:rsidR="00222413" w:rsidRPr="00222413" w:rsidRDefault="00222413" w:rsidP="00AD309C">
      <w:pPr>
        <w:numPr>
          <w:ilvl w:val="0"/>
          <w:numId w:val="117"/>
        </w:numPr>
        <w:rPr>
          <w:lang w:eastAsia="ja-JP"/>
        </w:rPr>
      </w:pPr>
      <w:r w:rsidRPr="00222413">
        <w:rPr>
          <w:lang w:eastAsia="ja-JP"/>
        </w:rPr>
        <w:t xml:space="preserve">Urethra </w:t>
      </w:r>
      <w:r w:rsidR="00F50E17">
        <w:rPr>
          <w:lang w:eastAsia="ja-JP"/>
        </w:rPr>
        <w:t>p</w:t>
      </w:r>
      <w:r w:rsidRPr="00222413">
        <w:rPr>
          <w:lang w:eastAsia="ja-JP"/>
        </w:rPr>
        <w:t>rocedures</w:t>
      </w:r>
    </w:p>
    <w:p w14:paraId="739E1C0B" w14:textId="107CDEF0" w:rsidR="00222413" w:rsidRPr="00222413" w:rsidRDefault="00222413" w:rsidP="00AD309C">
      <w:pPr>
        <w:numPr>
          <w:ilvl w:val="0"/>
          <w:numId w:val="117"/>
        </w:numPr>
        <w:rPr>
          <w:lang w:eastAsia="ja-JP"/>
        </w:rPr>
      </w:pPr>
      <w:r w:rsidRPr="00222413">
        <w:rPr>
          <w:lang w:eastAsia="ja-JP"/>
        </w:rPr>
        <w:t xml:space="preserve">Vaginal </w:t>
      </w:r>
      <w:r w:rsidR="00F50E17">
        <w:rPr>
          <w:lang w:eastAsia="ja-JP"/>
        </w:rPr>
        <w:t>r</w:t>
      </w:r>
      <w:r w:rsidRPr="00222413">
        <w:rPr>
          <w:lang w:eastAsia="ja-JP"/>
        </w:rPr>
        <w:t xml:space="preserve">epair </w:t>
      </w:r>
      <w:r w:rsidR="00F50E17">
        <w:rPr>
          <w:lang w:eastAsia="ja-JP"/>
        </w:rPr>
        <w:t>p</w:t>
      </w:r>
      <w:r w:rsidRPr="00222413">
        <w:rPr>
          <w:lang w:eastAsia="ja-JP"/>
        </w:rPr>
        <w:t>rocedures</w:t>
      </w:r>
    </w:p>
    <w:p w14:paraId="13A6C982" w14:textId="77777777" w:rsidR="00314EA4" w:rsidRDefault="00314EA4" w:rsidP="00222413">
      <w:pPr>
        <w:rPr>
          <w:lang w:eastAsia="ja-JP"/>
        </w:rPr>
      </w:pPr>
    </w:p>
    <w:p w14:paraId="48272278" w14:textId="2A31CA2A" w:rsidR="00222413" w:rsidRDefault="003F76DA" w:rsidP="000F0F18">
      <w:pPr>
        <w:rPr>
          <w:lang w:eastAsia="ja-JP"/>
        </w:rPr>
      </w:pPr>
      <w:r>
        <w:rPr>
          <w:lang w:eastAsia="ja-JP"/>
        </w:rPr>
        <w:t>Using the “</w:t>
      </w:r>
      <w:proofErr w:type="spellStart"/>
      <w:r>
        <w:rPr>
          <w:lang w:eastAsia="ja-JP"/>
        </w:rPr>
        <w:t>Urology_adult</w:t>
      </w:r>
      <w:proofErr w:type="spellEnd"/>
      <w:r>
        <w:rPr>
          <w:lang w:eastAsia="ja-JP"/>
        </w:rPr>
        <w:t>” sheet, count t</w:t>
      </w:r>
      <w:r w:rsidR="00222413" w:rsidRPr="00222413">
        <w:rPr>
          <w:lang w:eastAsia="ja-JP"/>
        </w:rPr>
        <w:t xml:space="preserve">he total number of adult (18 years of age or older) patients discharged </w:t>
      </w:r>
      <w:r w:rsidR="001A3449">
        <w:rPr>
          <w:lang w:eastAsia="ja-JP"/>
        </w:rPr>
        <w:t xml:space="preserve">for each procedure </w:t>
      </w:r>
      <w:r w:rsidR="00222413" w:rsidRPr="00222413">
        <w:rPr>
          <w:lang w:eastAsia="ja-JP"/>
        </w:rPr>
        <w:t>with any of the CPT codes listed. The CPT code can be in any procedure field.</w:t>
      </w:r>
    </w:p>
    <w:p w14:paraId="5C9788D7" w14:textId="77777777" w:rsidR="00222413" w:rsidRPr="00222413" w:rsidRDefault="00222413" w:rsidP="00222413">
      <w:pPr>
        <w:rPr>
          <w:lang w:eastAsia="ja-JP"/>
        </w:rPr>
      </w:pPr>
    </w:p>
    <w:p w14:paraId="3C6999B7" w14:textId="77777777" w:rsidR="00222413" w:rsidRDefault="00222413" w:rsidP="00AB5B80">
      <w:pPr>
        <w:pStyle w:val="Heading3"/>
      </w:pPr>
      <w:bookmarkStart w:id="775" w:name="_Neurological_Surgery_Measure"/>
      <w:bookmarkStart w:id="776" w:name="_Toc225877861"/>
      <w:bookmarkEnd w:id="775"/>
      <w:r w:rsidRPr="00222413">
        <w:t>Neurological Surgery Measure Specifications</w:t>
      </w:r>
      <w:bookmarkEnd w:id="776"/>
    </w:p>
    <w:p w14:paraId="3A3AD3C1" w14:textId="77777777" w:rsidR="007E74FD" w:rsidRPr="006606DD" w:rsidRDefault="007E74FD" w:rsidP="007E74FD">
      <w:pPr>
        <w:rPr>
          <w:sz w:val="16"/>
          <w:szCs w:val="16"/>
          <w:lang w:eastAsia="ja-JP"/>
        </w:rPr>
      </w:pPr>
      <w:bookmarkStart w:id="777" w:name="NeurologicalSurgery_MeasureSpecs"/>
    </w:p>
    <w:bookmarkEnd w:id="777"/>
    <w:p w14:paraId="7DDA5785" w14:textId="4922E834" w:rsidR="00314EA4" w:rsidRDefault="00222413" w:rsidP="00222413">
      <w:pPr>
        <w:rPr>
          <w:lang w:eastAsia="ja-JP"/>
        </w:rPr>
      </w:pPr>
      <w:r w:rsidRPr="00222413">
        <w:rPr>
          <w:lang w:eastAsia="ja-JP"/>
        </w:rPr>
        <w:t xml:space="preserve">For neurological surgery procedures, use the </w:t>
      </w:r>
      <w:r w:rsidR="00950C2B">
        <w:rPr>
          <w:lang w:eastAsia="ja-JP"/>
        </w:rPr>
        <w:t xml:space="preserve">CPT codes available </w:t>
      </w:r>
      <w:r w:rsidR="008F5762">
        <w:rPr>
          <w:lang w:eastAsia="ja-JP"/>
        </w:rPr>
        <w:t>via</w:t>
      </w:r>
      <w:r w:rsidR="00950C2B">
        <w:rPr>
          <w:lang w:eastAsia="ja-JP"/>
        </w:rPr>
        <w:t xml:space="preserve"> the </w:t>
      </w:r>
      <w:hyperlink r:id="rId490" w:history="1">
        <w:r w:rsidR="00950C2B" w:rsidRPr="0009495E">
          <w:rPr>
            <w:rStyle w:val="Hyperlink"/>
            <w:lang w:eastAsia="ja-JP"/>
          </w:rPr>
          <w:t>Survey Dashboard</w:t>
        </w:r>
      </w:hyperlink>
      <w:r w:rsidR="00950C2B">
        <w:rPr>
          <w:lang w:eastAsia="ja-JP"/>
        </w:rPr>
        <w:t xml:space="preserve"> </w:t>
      </w:r>
      <w:r w:rsidRPr="00222413">
        <w:rPr>
          <w:lang w:eastAsia="ja-JP"/>
        </w:rPr>
        <w:t xml:space="preserve">to count </w:t>
      </w:r>
      <w:r w:rsidRPr="00222413">
        <w:rPr>
          <w:b/>
          <w:lang w:eastAsia="ja-JP"/>
        </w:rPr>
        <w:t>patients</w:t>
      </w:r>
      <w:r w:rsidRPr="00222413">
        <w:rPr>
          <w:lang w:eastAsia="ja-JP"/>
        </w:rPr>
        <w:t xml:space="preserve"> discharged from your </w:t>
      </w:r>
      <w:r w:rsidR="00AE0738">
        <w:rPr>
          <w:lang w:eastAsia="ja-JP"/>
        </w:rPr>
        <w:t>hospital outpatient departments</w:t>
      </w:r>
      <w:r w:rsidRPr="00222413">
        <w:rPr>
          <w:lang w:eastAsia="ja-JP"/>
        </w:rPr>
        <w:t xml:space="preserve"> who have undergone the procedure during the reporting period.</w:t>
      </w:r>
    </w:p>
    <w:p w14:paraId="3C5C834D" w14:textId="77777777" w:rsidR="00222413" w:rsidRPr="00222413" w:rsidRDefault="00222413" w:rsidP="00222413">
      <w:pPr>
        <w:rPr>
          <w:lang w:eastAsia="ja-JP"/>
        </w:rPr>
      </w:pPr>
      <w:r w:rsidRPr="00222413">
        <w:rPr>
          <w:lang w:eastAsia="ja-JP"/>
        </w:rPr>
        <w:t xml:space="preserve"> </w:t>
      </w:r>
    </w:p>
    <w:p w14:paraId="4425EFB9" w14:textId="77777777" w:rsidR="00222413" w:rsidRPr="00222413" w:rsidRDefault="00222413" w:rsidP="00222413">
      <w:pPr>
        <w:rPr>
          <w:lang w:eastAsia="ja-JP"/>
        </w:rPr>
      </w:pPr>
      <w:r w:rsidRPr="00222413">
        <w:rPr>
          <w:lang w:eastAsia="ja-JP"/>
        </w:rPr>
        <w:t xml:space="preserve">One procedure applies to </w:t>
      </w:r>
      <w:r w:rsidRPr="00222413">
        <w:rPr>
          <w:b/>
          <w:lang w:eastAsia="ja-JP"/>
        </w:rPr>
        <w:t>adult patients only</w:t>
      </w:r>
      <w:r w:rsidRPr="00222413">
        <w:rPr>
          <w:lang w:eastAsia="ja-JP"/>
        </w:rPr>
        <w:t xml:space="preserve">: </w:t>
      </w:r>
    </w:p>
    <w:p w14:paraId="7E6A625F" w14:textId="0C9D5E35" w:rsidR="00222413" w:rsidRPr="00222413" w:rsidRDefault="00222413" w:rsidP="00AD309C">
      <w:pPr>
        <w:numPr>
          <w:ilvl w:val="0"/>
          <w:numId w:val="101"/>
        </w:numPr>
        <w:rPr>
          <w:lang w:eastAsia="ja-JP"/>
        </w:rPr>
      </w:pPr>
      <w:r w:rsidRPr="00222413">
        <w:rPr>
          <w:lang w:eastAsia="ja-JP"/>
        </w:rPr>
        <w:t xml:space="preserve">Spinal </w:t>
      </w:r>
      <w:r w:rsidR="00F50E17">
        <w:rPr>
          <w:lang w:eastAsia="ja-JP"/>
        </w:rPr>
        <w:t>f</w:t>
      </w:r>
      <w:r w:rsidRPr="00222413">
        <w:rPr>
          <w:lang w:eastAsia="ja-JP"/>
        </w:rPr>
        <w:t>usion</w:t>
      </w:r>
      <w:r w:rsidR="00653AE3">
        <w:rPr>
          <w:lang w:eastAsia="ja-JP"/>
        </w:rPr>
        <w:t xml:space="preserve"> </w:t>
      </w:r>
      <w:r w:rsidR="00F50E17">
        <w:rPr>
          <w:lang w:eastAsia="ja-JP"/>
        </w:rPr>
        <w:t>p</w:t>
      </w:r>
      <w:r w:rsidR="00653AE3">
        <w:rPr>
          <w:lang w:eastAsia="ja-JP"/>
        </w:rPr>
        <w:t>rocedures</w:t>
      </w:r>
    </w:p>
    <w:p w14:paraId="6500B85A" w14:textId="77777777" w:rsidR="00E433C4" w:rsidRPr="00222413" w:rsidRDefault="00E433C4" w:rsidP="00222413">
      <w:pPr>
        <w:rPr>
          <w:lang w:eastAsia="ja-JP"/>
        </w:rPr>
      </w:pPr>
    </w:p>
    <w:p w14:paraId="78461FC4" w14:textId="25ED3777" w:rsidR="00222413" w:rsidRPr="00222413" w:rsidRDefault="00E433C4" w:rsidP="000F0F18">
      <w:pPr>
        <w:rPr>
          <w:lang w:eastAsia="ja-JP"/>
        </w:rPr>
      </w:pPr>
      <w:r>
        <w:rPr>
          <w:lang w:eastAsia="ja-JP"/>
        </w:rPr>
        <w:t>Using the “N</w:t>
      </w:r>
      <w:r w:rsidRPr="00222413">
        <w:rPr>
          <w:lang w:eastAsia="ja-JP"/>
        </w:rPr>
        <w:t xml:space="preserve">eurological </w:t>
      </w:r>
      <w:proofErr w:type="spellStart"/>
      <w:r w:rsidRPr="00222413">
        <w:rPr>
          <w:lang w:eastAsia="ja-JP"/>
        </w:rPr>
        <w:t>surgery</w:t>
      </w:r>
      <w:r>
        <w:rPr>
          <w:lang w:eastAsia="ja-JP"/>
        </w:rPr>
        <w:t>_adult</w:t>
      </w:r>
      <w:proofErr w:type="spellEnd"/>
      <w:r>
        <w:rPr>
          <w:lang w:eastAsia="ja-JP"/>
        </w:rPr>
        <w:t>”</w:t>
      </w:r>
      <w:r w:rsidR="00847947">
        <w:rPr>
          <w:lang w:eastAsia="ja-JP"/>
        </w:rPr>
        <w:t xml:space="preserve"> sheet, count t</w:t>
      </w:r>
      <w:r w:rsidR="00222413" w:rsidRPr="00222413">
        <w:rPr>
          <w:lang w:eastAsia="ja-JP"/>
        </w:rPr>
        <w:t>he total number of adult (18 years of age or older) patients discharged with any of the CPT codes listed. The CPT code can be in any procedure field.</w:t>
      </w:r>
    </w:p>
    <w:p w14:paraId="353DA34E" w14:textId="77777777" w:rsidR="00222413" w:rsidRPr="00222413" w:rsidRDefault="00222413" w:rsidP="00222413">
      <w:pPr>
        <w:rPr>
          <w:lang w:eastAsia="ja-JP"/>
        </w:rPr>
      </w:pPr>
    </w:p>
    <w:p w14:paraId="18AEBFFB" w14:textId="77777777" w:rsidR="00222413" w:rsidRPr="00222413" w:rsidRDefault="00222413" w:rsidP="00AB5B80">
      <w:pPr>
        <w:pStyle w:val="Heading3"/>
      </w:pPr>
      <w:bookmarkStart w:id="778" w:name="_Obstetrics_and_Gynecology"/>
      <w:bookmarkStart w:id="779" w:name="_Toc225877862"/>
      <w:bookmarkStart w:id="780" w:name="ObstetricsGynecology_MeasureSpecs"/>
      <w:bookmarkEnd w:id="778"/>
      <w:r w:rsidRPr="00222413">
        <w:t>Obstetrics and Gynecology Measure Specifications</w:t>
      </w:r>
      <w:bookmarkEnd w:id="779"/>
    </w:p>
    <w:bookmarkEnd w:id="780"/>
    <w:p w14:paraId="0307AF18" w14:textId="77777777" w:rsidR="00314EA4" w:rsidRPr="006606DD" w:rsidRDefault="00314EA4" w:rsidP="00222413">
      <w:pPr>
        <w:rPr>
          <w:sz w:val="16"/>
          <w:szCs w:val="16"/>
          <w:lang w:eastAsia="ja-JP"/>
        </w:rPr>
      </w:pPr>
    </w:p>
    <w:p w14:paraId="58D4D3F4" w14:textId="5B32FFFC" w:rsidR="00222413" w:rsidRPr="00222413" w:rsidRDefault="00222413" w:rsidP="00222413">
      <w:pPr>
        <w:rPr>
          <w:lang w:eastAsia="ja-JP"/>
        </w:rPr>
      </w:pPr>
      <w:r w:rsidRPr="00222413">
        <w:rPr>
          <w:lang w:eastAsia="ja-JP"/>
        </w:rPr>
        <w:t xml:space="preserve">For obstetrics and gynecology procedures, use the </w:t>
      </w:r>
      <w:r w:rsidR="00950C2B">
        <w:rPr>
          <w:lang w:eastAsia="ja-JP"/>
        </w:rPr>
        <w:t xml:space="preserve">CPT codes available </w:t>
      </w:r>
      <w:r w:rsidR="008F5762">
        <w:rPr>
          <w:lang w:eastAsia="ja-JP"/>
        </w:rPr>
        <w:t xml:space="preserve">via </w:t>
      </w:r>
      <w:r w:rsidR="00950C2B">
        <w:rPr>
          <w:lang w:eastAsia="ja-JP"/>
        </w:rPr>
        <w:t xml:space="preserve">the </w:t>
      </w:r>
      <w:hyperlink r:id="rId491" w:history="1">
        <w:r w:rsidR="00950C2B" w:rsidRPr="0009495E">
          <w:rPr>
            <w:rStyle w:val="Hyperlink"/>
            <w:lang w:eastAsia="ja-JP"/>
          </w:rPr>
          <w:t>Survey Dashboard</w:t>
        </w:r>
      </w:hyperlink>
      <w:r w:rsidR="00950C2B">
        <w:rPr>
          <w:lang w:eastAsia="ja-JP"/>
        </w:rPr>
        <w:t xml:space="preserve"> </w:t>
      </w:r>
      <w:r w:rsidRPr="00222413">
        <w:rPr>
          <w:lang w:eastAsia="ja-JP"/>
        </w:rPr>
        <w:t xml:space="preserve">to count </w:t>
      </w:r>
      <w:r w:rsidRPr="00222413">
        <w:rPr>
          <w:b/>
          <w:lang w:eastAsia="ja-JP"/>
        </w:rPr>
        <w:t>patients</w:t>
      </w:r>
      <w:r w:rsidRPr="00222413">
        <w:rPr>
          <w:lang w:eastAsia="ja-JP"/>
        </w:rPr>
        <w:t xml:space="preserve"> discharged from your </w:t>
      </w:r>
      <w:r w:rsidR="00AE0738">
        <w:rPr>
          <w:lang w:eastAsia="ja-JP"/>
        </w:rPr>
        <w:t>hospital outpatient departments</w:t>
      </w:r>
      <w:r w:rsidRPr="00222413">
        <w:rPr>
          <w:lang w:eastAsia="ja-JP"/>
        </w:rPr>
        <w:t xml:space="preserve"> who have undergone any of the 3 procedures during the reporting period. </w:t>
      </w:r>
    </w:p>
    <w:p w14:paraId="77D4263C" w14:textId="77777777" w:rsidR="00314EA4" w:rsidRDefault="00314EA4" w:rsidP="00222413">
      <w:pPr>
        <w:rPr>
          <w:lang w:eastAsia="ja-JP"/>
        </w:rPr>
      </w:pPr>
    </w:p>
    <w:p w14:paraId="43A6219C" w14:textId="3A2C5BDC" w:rsidR="00314EA4" w:rsidRPr="006606DD" w:rsidRDefault="00222413" w:rsidP="00222413">
      <w:pPr>
        <w:rPr>
          <w:lang w:eastAsia="ja-JP"/>
        </w:rPr>
      </w:pPr>
      <w:r w:rsidRPr="00222413">
        <w:rPr>
          <w:lang w:eastAsia="ja-JP"/>
        </w:rPr>
        <w:t xml:space="preserve">Three procedures apply to </w:t>
      </w:r>
      <w:r w:rsidRPr="00222413">
        <w:rPr>
          <w:b/>
          <w:lang w:eastAsia="ja-JP"/>
        </w:rPr>
        <w:t>adult patients only</w:t>
      </w:r>
      <w:r w:rsidRPr="00222413">
        <w:rPr>
          <w:lang w:eastAsia="ja-JP"/>
        </w:rPr>
        <w:t xml:space="preserve">: </w:t>
      </w:r>
    </w:p>
    <w:p w14:paraId="57642F58" w14:textId="4EAB0E9C" w:rsidR="00222413" w:rsidRPr="00222413" w:rsidRDefault="00222413" w:rsidP="00AD309C">
      <w:pPr>
        <w:numPr>
          <w:ilvl w:val="0"/>
          <w:numId w:val="101"/>
        </w:numPr>
        <w:rPr>
          <w:lang w:eastAsia="ja-JP"/>
        </w:rPr>
      </w:pPr>
      <w:r w:rsidRPr="00222413">
        <w:rPr>
          <w:lang w:eastAsia="ja-JP"/>
        </w:rPr>
        <w:t xml:space="preserve">Cervix </w:t>
      </w:r>
      <w:r w:rsidR="00F50E17">
        <w:rPr>
          <w:lang w:eastAsia="ja-JP"/>
        </w:rPr>
        <w:t>p</w:t>
      </w:r>
      <w:r w:rsidRPr="00222413">
        <w:rPr>
          <w:lang w:eastAsia="ja-JP"/>
        </w:rPr>
        <w:t>rocedure</w:t>
      </w:r>
      <w:r w:rsidR="00653AE3">
        <w:rPr>
          <w:lang w:eastAsia="ja-JP"/>
        </w:rPr>
        <w:t>s</w:t>
      </w:r>
    </w:p>
    <w:p w14:paraId="39791C5C" w14:textId="77777777" w:rsidR="00222413" w:rsidRPr="00222413" w:rsidRDefault="00281788" w:rsidP="00AD309C">
      <w:pPr>
        <w:numPr>
          <w:ilvl w:val="0"/>
          <w:numId w:val="101"/>
        </w:numPr>
        <w:rPr>
          <w:lang w:eastAsia="ja-JP"/>
        </w:rPr>
      </w:pPr>
      <w:r>
        <w:rPr>
          <w:lang w:eastAsia="ja-JP"/>
        </w:rPr>
        <w:t>H</w:t>
      </w:r>
      <w:r w:rsidRPr="00281788">
        <w:rPr>
          <w:lang w:eastAsia="ja-JP"/>
        </w:rPr>
        <w:t>ysteroscopy</w:t>
      </w:r>
    </w:p>
    <w:p w14:paraId="7641C3A5" w14:textId="22D449D0" w:rsidR="00222413" w:rsidRPr="00222413" w:rsidRDefault="00222413" w:rsidP="00AD309C">
      <w:pPr>
        <w:numPr>
          <w:ilvl w:val="0"/>
          <w:numId w:val="101"/>
        </w:numPr>
        <w:rPr>
          <w:lang w:eastAsia="ja-JP"/>
        </w:rPr>
      </w:pPr>
      <w:r w:rsidRPr="00222413">
        <w:rPr>
          <w:lang w:eastAsia="ja-JP"/>
        </w:rPr>
        <w:t xml:space="preserve">Uterus and </w:t>
      </w:r>
      <w:r w:rsidR="00F50E17">
        <w:rPr>
          <w:lang w:eastAsia="ja-JP"/>
        </w:rPr>
        <w:t>a</w:t>
      </w:r>
      <w:r w:rsidRPr="00222413">
        <w:rPr>
          <w:lang w:eastAsia="ja-JP"/>
        </w:rPr>
        <w:t xml:space="preserve">dnexa </w:t>
      </w:r>
      <w:r w:rsidR="00F50E17">
        <w:rPr>
          <w:lang w:eastAsia="ja-JP"/>
        </w:rPr>
        <w:t>l</w:t>
      </w:r>
      <w:r w:rsidRPr="00222413">
        <w:rPr>
          <w:lang w:eastAsia="ja-JP"/>
        </w:rPr>
        <w:t>aparoscop</w:t>
      </w:r>
      <w:r w:rsidR="00653AE3">
        <w:rPr>
          <w:lang w:eastAsia="ja-JP"/>
        </w:rPr>
        <w:t>ies</w:t>
      </w:r>
    </w:p>
    <w:p w14:paraId="53FB830E" w14:textId="77777777" w:rsidR="00314EA4" w:rsidRPr="006606DD" w:rsidRDefault="00314EA4" w:rsidP="00222413">
      <w:pPr>
        <w:rPr>
          <w:sz w:val="16"/>
          <w:szCs w:val="16"/>
          <w:lang w:eastAsia="ja-JP"/>
        </w:rPr>
      </w:pPr>
    </w:p>
    <w:p w14:paraId="0869F05B" w14:textId="2E6B80CC" w:rsidR="00222413" w:rsidRPr="00222413" w:rsidRDefault="0004783D" w:rsidP="000F0F18">
      <w:pPr>
        <w:rPr>
          <w:lang w:eastAsia="ja-JP"/>
        </w:rPr>
      </w:pPr>
      <w:r>
        <w:rPr>
          <w:lang w:eastAsia="ja-JP"/>
        </w:rPr>
        <w:t>Using the “O</w:t>
      </w:r>
      <w:r w:rsidRPr="00222413">
        <w:rPr>
          <w:lang w:eastAsia="ja-JP"/>
        </w:rPr>
        <w:t xml:space="preserve">bstetrics and </w:t>
      </w:r>
      <w:proofErr w:type="spellStart"/>
      <w:r w:rsidRPr="00222413">
        <w:rPr>
          <w:lang w:eastAsia="ja-JP"/>
        </w:rPr>
        <w:t>gynecolog</w:t>
      </w:r>
      <w:r>
        <w:rPr>
          <w:lang w:eastAsia="ja-JP"/>
        </w:rPr>
        <w:t>y_adult</w:t>
      </w:r>
      <w:proofErr w:type="spellEnd"/>
      <w:r>
        <w:rPr>
          <w:lang w:eastAsia="ja-JP"/>
        </w:rPr>
        <w:t>” sheet, count t</w:t>
      </w:r>
      <w:r w:rsidR="00222413" w:rsidRPr="00222413">
        <w:rPr>
          <w:lang w:eastAsia="ja-JP"/>
        </w:rPr>
        <w:t xml:space="preserve">he total number of adult (18 years of age or older) patients discharged </w:t>
      </w:r>
      <w:r>
        <w:rPr>
          <w:lang w:eastAsia="ja-JP"/>
        </w:rPr>
        <w:t xml:space="preserve">for each procedure </w:t>
      </w:r>
      <w:r w:rsidR="00222413" w:rsidRPr="00222413">
        <w:rPr>
          <w:lang w:eastAsia="ja-JP"/>
        </w:rPr>
        <w:t>with any of the CPT codes listed. The CPT code can be in any procedure field.</w:t>
      </w:r>
    </w:p>
    <w:p w14:paraId="63367D3E" w14:textId="77777777" w:rsidR="00222413" w:rsidRPr="00222413" w:rsidRDefault="00222413" w:rsidP="00222413">
      <w:pPr>
        <w:rPr>
          <w:lang w:eastAsia="ja-JP"/>
        </w:rPr>
      </w:pPr>
    </w:p>
    <w:p w14:paraId="3C6F977A" w14:textId="77777777" w:rsidR="00222413" w:rsidRPr="00222413" w:rsidRDefault="00222413" w:rsidP="00AB5B80">
      <w:pPr>
        <w:pStyle w:val="Heading3"/>
      </w:pPr>
      <w:bookmarkStart w:id="781" w:name="_Plastic_and_Reconstructive"/>
      <w:bookmarkStart w:id="782" w:name="_Toc225877863"/>
      <w:bookmarkStart w:id="783" w:name="PlasticReconstructive_MeasureSpecs"/>
      <w:bookmarkEnd w:id="781"/>
      <w:r w:rsidRPr="00222413">
        <w:t>Plastic and Reconstructive Surgery Measure Specifications</w:t>
      </w:r>
      <w:bookmarkEnd w:id="782"/>
    </w:p>
    <w:bookmarkEnd w:id="783"/>
    <w:p w14:paraId="20130900" w14:textId="77777777" w:rsidR="007E74FD" w:rsidRPr="006606DD" w:rsidRDefault="007E74FD" w:rsidP="00222413">
      <w:pPr>
        <w:rPr>
          <w:sz w:val="16"/>
          <w:szCs w:val="16"/>
          <w:lang w:eastAsia="ja-JP"/>
        </w:rPr>
      </w:pPr>
    </w:p>
    <w:p w14:paraId="154D0B23" w14:textId="4E93525E" w:rsidR="00222413" w:rsidRDefault="00222413" w:rsidP="00222413">
      <w:pPr>
        <w:rPr>
          <w:lang w:eastAsia="ja-JP"/>
        </w:rPr>
      </w:pPr>
      <w:r w:rsidRPr="00222413">
        <w:rPr>
          <w:lang w:eastAsia="ja-JP"/>
        </w:rPr>
        <w:t xml:space="preserve">For plastic and reconstructive surgery procedures, use the </w:t>
      </w:r>
      <w:r w:rsidR="00950C2B">
        <w:rPr>
          <w:lang w:eastAsia="ja-JP"/>
        </w:rPr>
        <w:t xml:space="preserve">CPT codes available </w:t>
      </w:r>
      <w:r w:rsidR="008F5762">
        <w:rPr>
          <w:lang w:eastAsia="ja-JP"/>
        </w:rPr>
        <w:t>via</w:t>
      </w:r>
      <w:r w:rsidR="00950C2B">
        <w:rPr>
          <w:lang w:eastAsia="ja-JP"/>
        </w:rPr>
        <w:t xml:space="preserve"> the </w:t>
      </w:r>
      <w:hyperlink r:id="rId492" w:history="1">
        <w:r w:rsidR="00950C2B" w:rsidRPr="0009495E">
          <w:rPr>
            <w:rStyle w:val="Hyperlink"/>
            <w:lang w:eastAsia="ja-JP"/>
          </w:rPr>
          <w:t>Survey Dashboard</w:t>
        </w:r>
      </w:hyperlink>
      <w:r w:rsidR="00950C2B">
        <w:rPr>
          <w:lang w:eastAsia="ja-JP"/>
        </w:rPr>
        <w:t xml:space="preserve"> </w:t>
      </w:r>
      <w:r w:rsidRPr="00222413">
        <w:rPr>
          <w:lang w:eastAsia="ja-JP"/>
        </w:rPr>
        <w:t xml:space="preserve">to count </w:t>
      </w:r>
      <w:r w:rsidRPr="00222413">
        <w:rPr>
          <w:b/>
          <w:lang w:eastAsia="ja-JP"/>
        </w:rPr>
        <w:t>patients</w:t>
      </w:r>
      <w:r w:rsidRPr="00222413">
        <w:rPr>
          <w:lang w:eastAsia="ja-JP"/>
        </w:rPr>
        <w:t xml:space="preserve"> discharged from your </w:t>
      </w:r>
      <w:r w:rsidR="00AE0738">
        <w:rPr>
          <w:lang w:eastAsia="ja-JP"/>
        </w:rPr>
        <w:t>hospital outpatient departments</w:t>
      </w:r>
      <w:r w:rsidRPr="00222413">
        <w:rPr>
          <w:lang w:eastAsia="ja-JP"/>
        </w:rPr>
        <w:t xml:space="preserve"> who have undergone either of the 2 procedures during the reporting period. </w:t>
      </w:r>
    </w:p>
    <w:p w14:paraId="47B0F1CA" w14:textId="77777777" w:rsidR="007E74FD" w:rsidRPr="006606DD" w:rsidRDefault="007E74FD" w:rsidP="00222413">
      <w:pPr>
        <w:rPr>
          <w:sz w:val="16"/>
          <w:szCs w:val="16"/>
          <w:lang w:eastAsia="ja-JP"/>
        </w:rPr>
      </w:pPr>
    </w:p>
    <w:p w14:paraId="6A38B570" w14:textId="3BEA9A96" w:rsidR="00222413" w:rsidRPr="00222413" w:rsidRDefault="00222413" w:rsidP="00222413">
      <w:pPr>
        <w:rPr>
          <w:lang w:eastAsia="ja-JP"/>
        </w:rPr>
      </w:pPr>
      <w:r w:rsidRPr="00222413">
        <w:rPr>
          <w:lang w:eastAsia="ja-JP"/>
        </w:rPr>
        <w:t>Two procedure</w:t>
      </w:r>
      <w:r w:rsidR="00F41BE4">
        <w:rPr>
          <w:lang w:eastAsia="ja-JP"/>
        </w:rPr>
        <w:t>s</w:t>
      </w:r>
      <w:r w:rsidRPr="00222413">
        <w:rPr>
          <w:lang w:eastAsia="ja-JP"/>
        </w:rPr>
        <w:t xml:space="preserve"> appl</w:t>
      </w:r>
      <w:r w:rsidR="00F41BE4">
        <w:rPr>
          <w:lang w:eastAsia="ja-JP"/>
        </w:rPr>
        <w:t>y</w:t>
      </w:r>
      <w:r w:rsidRPr="00222413">
        <w:rPr>
          <w:lang w:eastAsia="ja-JP"/>
        </w:rPr>
        <w:t xml:space="preserve"> to </w:t>
      </w:r>
      <w:r w:rsidRPr="00222413">
        <w:rPr>
          <w:b/>
          <w:lang w:eastAsia="ja-JP"/>
        </w:rPr>
        <w:t>adult patients only</w:t>
      </w:r>
      <w:r w:rsidRPr="00222413">
        <w:rPr>
          <w:lang w:eastAsia="ja-JP"/>
        </w:rPr>
        <w:t xml:space="preserve">: </w:t>
      </w:r>
    </w:p>
    <w:p w14:paraId="1C956879" w14:textId="65EFEAC0" w:rsidR="00222413" w:rsidRPr="00222413" w:rsidRDefault="00222413" w:rsidP="00AD309C">
      <w:pPr>
        <w:numPr>
          <w:ilvl w:val="0"/>
          <w:numId w:val="101"/>
        </w:numPr>
        <w:rPr>
          <w:lang w:eastAsia="ja-JP"/>
        </w:rPr>
      </w:pPr>
      <w:r w:rsidRPr="00222413">
        <w:rPr>
          <w:lang w:eastAsia="ja-JP"/>
        </w:rPr>
        <w:t xml:space="preserve">Breast </w:t>
      </w:r>
      <w:r w:rsidR="00F50E17">
        <w:rPr>
          <w:lang w:eastAsia="ja-JP"/>
        </w:rPr>
        <w:t>r</w:t>
      </w:r>
      <w:r w:rsidRPr="00222413">
        <w:rPr>
          <w:lang w:eastAsia="ja-JP"/>
        </w:rPr>
        <w:t xml:space="preserve">epair or </w:t>
      </w:r>
      <w:r w:rsidR="00F50E17">
        <w:rPr>
          <w:lang w:eastAsia="ja-JP"/>
        </w:rPr>
        <w:t>r</w:t>
      </w:r>
      <w:r w:rsidRPr="00222413">
        <w:rPr>
          <w:lang w:eastAsia="ja-JP"/>
        </w:rPr>
        <w:t>econstruction</w:t>
      </w:r>
    </w:p>
    <w:p w14:paraId="2AD5BB2E" w14:textId="34E0EB3B" w:rsidR="00222413" w:rsidRPr="00222413" w:rsidRDefault="00206F35" w:rsidP="00AD309C">
      <w:pPr>
        <w:numPr>
          <w:ilvl w:val="0"/>
          <w:numId w:val="101"/>
        </w:numPr>
        <w:rPr>
          <w:lang w:eastAsia="ja-JP"/>
        </w:rPr>
      </w:pPr>
      <w:r>
        <w:rPr>
          <w:lang w:eastAsia="ja-JP"/>
        </w:rPr>
        <w:t xml:space="preserve">Skin </w:t>
      </w:r>
      <w:r w:rsidR="00F50E17">
        <w:rPr>
          <w:lang w:eastAsia="ja-JP"/>
        </w:rPr>
        <w:t>g</w:t>
      </w:r>
      <w:r>
        <w:rPr>
          <w:lang w:eastAsia="ja-JP"/>
        </w:rPr>
        <w:t>raft/</w:t>
      </w:r>
      <w:r w:rsidR="00F50E17">
        <w:rPr>
          <w:lang w:eastAsia="ja-JP"/>
        </w:rPr>
        <w:t>r</w:t>
      </w:r>
      <w:r>
        <w:rPr>
          <w:lang w:eastAsia="ja-JP"/>
        </w:rPr>
        <w:t xml:space="preserve">econstruction </w:t>
      </w:r>
      <w:r w:rsidR="00F50E17">
        <w:rPr>
          <w:lang w:eastAsia="ja-JP"/>
        </w:rPr>
        <w:t>p</w:t>
      </w:r>
      <w:r>
        <w:rPr>
          <w:lang w:eastAsia="ja-JP"/>
        </w:rPr>
        <w:t>rocedures</w:t>
      </w:r>
    </w:p>
    <w:p w14:paraId="647AA9A7" w14:textId="77777777" w:rsidR="007E74FD" w:rsidRPr="006606DD" w:rsidRDefault="007E74FD" w:rsidP="00222413">
      <w:pPr>
        <w:rPr>
          <w:sz w:val="16"/>
          <w:szCs w:val="16"/>
          <w:lang w:eastAsia="ja-JP"/>
        </w:rPr>
      </w:pPr>
    </w:p>
    <w:p w14:paraId="1C7AEB07" w14:textId="3DD0EF13" w:rsidR="00FD51D6" w:rsidRDefault="001D4FA3">
      <w:pPr>
        <w:rPr>
          <w:lang w:eastAsia="ja-JP"/>
        </w:rPr>
      </w:pPr>
      <w:r>
        <w:rPr>
          <w:lang w:eastAsia="ja-JP"/>
        </w:rPr>
        <w:t>Using the “</w:t>
      </w:r>
      <w:proofErr w:type="spellStart"/>
      <w:r>
        <w:rPr>
          <w:lang w:eastAsia="ja-JP"/>
        </w:rPr>
        <w:t>P</w:t>
      </w:r>
      <w:r w:rsidRPr="00222413">
        <w:rPr>
          <w:lang w:eastAsia="ja-JP"/>
        </w:rPr>
        <w:t>lasti</w:t>
      </w:r>
      <w:r w:rsidR="00E84CE5">
        <w:rPr>
          <w:lang w:eastAsia="ja-JP"/>
        </w:rPr>
        <w:t>c_</w:t>
      </w:r>
      <w:r w:rsidRPr="00222413">
        <w:rPr>
          <w:lang w:eastAsia="ja-JP"/>
        </w:rPr>
        <w:t>reconstru</w:t>
      </w:r>
      <w:r>
        <w:rPr>
          <w:lang w:eastAsia="ja-JP"/>
        </w:rPr>
        <w:t>ct</w:t>
      </w:r>
      <w:proofErr w:type="spellEnd"/>
      <w:r w:rsidRPr="00222413">
        <w:rPr>
          <w:lang w:eastAsia="ja-JP"/>
        </w:rPr>
        <w:t xml:space="preserve"> </w:t>
      </w:r>
      <w:proofErr w:type="spellStart"/>
      <w:r w:rsidRPr="00222413">
        <w:rPr>
          <w:lang w:eastAsia="ja-JP"/>
        </w:rPr>
        <w:t>surg</w:t>
      </w:r>
      <w:r>
        <w:rPr>
          <w:lang w:eastAsia="ja-JP"/>
        </w:rPr>
        <w:t>_adult</w:t>
      </w:r>
      <w:proofErr w:type="spellEnd"/>
      <w:r>
        <w:rPr>
          <w:lang w:eastAsia="ja-JP"/>
        </w:rPr>
        <w:t>” sheet, count t</w:t>
      </w:r>
      <w:r w:rsidR="00222413" w:rsidRPr="00222413">
        <w:rPr>
          <w:lang w:eastAsia="ja-JP"/>
        </w:rPr>
        <w:t xml:space="preserve">he total number of adult (18 years of age or older) patients discharged </w:t>
      </w:r>
      <w:r>
        <w:rPr>
          <w:lang w:eastAsia="ja-JP"/>
        </w:rPr>
        <w:t xml:space="preserve">for each procedure </w:t>
      </w:r>
      <w:r w:rsidR="00222413" w:rsidRPr="00222413">
        <w:rPr>
          <w:lang w:eastAsia="ja-JP"/>
        </w:rPr>
        <w:t>with any of the CPT codes listed. The CPT code can be in any procedure field.</w:t>
      </w:r>
      <w:bookmarkStart w:id="784" w:name="_Volume_of_Procedures_1"/>
      <w:bookmarkStart w:id="785" w:name="_Volume_of_Procedures_3"/>
      <w:bookmarkEnd w:id="784"/>
      <w:bookmarkEnd w:id="785"/>
    </w:p>
    <w:p w14:paraId="0A0702ED" w14:textId="77777777" w:rsidR="008F5762" w:rsidRDefault="008F5762">
      <w:pPr>
        <w:rPr>
          <w:lang w:eastAsia="ja-JP"/>
        </w:rPr>
      </w:pPr>
    </w:p>
    <w:p w14:paraId="7EFFD759" w14:textId="0A535A05" w:rsidR="008F5762" w:rsidRDefault="008F5762">
      <w:pPr>
        <w:rPr>
          <w:lang w:eastAsia="ja-JP"/>
        </w:rPr>
      </w:pPr>
      <w:r w:rsidRPr="00222413">
        <w:rPr>
          <w:lang w:eastAsia="ja-JP"/>
        </w:rPr>
        <w:t>See</w:t>
      </w:r>
      <w:r w:rsidRPr="001C2840">
        <w:rPr>
          <w:lang w:eastAsia="ja-JP"/>
        </w:rPr>
        <w:t xml:space="preserve"> </w:t>
      </w:r>
      <w:hyperlink w:anchor="_Volume_of_Procedures_4" w:history="1">
        <w:r w:rsidRPr="001C2840">
          <w:rPr>
            <w:rStyle w:val="Hyperlink"/>
            <w:lang w:eastAsia="ja-JP"/>
          </w:rPr>
          <w:t>FAQs</w:t>
        </w:r>
      </w:hyperlink>
      <w:r w:rsidRPr="00222413">
        <w:rPr>
          <w:lang w:eastAsia="ja-JP"/>
        </w:rPr>
        <w:t xml:space="preserve"> for additional information about responding to questions in this section.</w:t>
      </w:r>
    </w:p>
    <w:p w14:paraId="6D0AA6C8" w14:textId="77777777" w:rsidR="008F5762" w:rsidRPr="006606DD" w:rsidRDefault="008F5762">
      <w:pPr>
        <w:rPr>
          <w:b/>
          <w:sz w:val="28"/>
          <w:szCs w:val="24"/>
          <w:u w:val="single"/>
          <w:lang w:eastAsia="ja-JP"/>
        </w:rPr>
      </w:pPr>
    </w:p>
    <w:p w14:paraId="4A558B7E" w14:textId="77777777" w:rsidR="008F5762" w:rsidRDefault="008F5762">
      <w:pPr>
        <w:rPr>
          <w:b/>
          <w:snapToGrid w:val="0"/>
          <w:sz w:val="28"/>
          <w:szCs w:val="24"/>
          <w:u w:val="single"/>
          <w:lang w:eastAsia="ja-JP"/>
        </w:rPr>
      </w:pPr>
      <w:r>
        <w:br w:type="page"/>
      </w:r>
    </w:p>
    <w:p w14:paraId="2EDA82FC" w14:textId="16C3C3FB" w:rsidR="00CB4817" w:rsidRDefault="00C214F2" w:rsidP="00CF5A6E">
      <w:pPr>
        <w:pStyle w:val="Heading2"/>
      </w:pPr>
      <w:bookmarkStart w:id="786" w:name="_Volume_of_Procedures_4"/>
      <w:bookmarkStart w:id="787" w:name="_Toc225877864"/>
      <w:bookmarkEnd w:id="786"/>
      <w:r>
        <w:t xml:space="preserve">Section 9C: </w:t>
      </w:r>
      <w:r w:rsidR="00A801A8">
        <w:t>V</w:t>
      </w:r>
      <w:r w:rsidR="00276A34">
        <w:t xml:space="preserve">olume </w:t>
      </w:r>
      <w:r w:rsidR="00CB4817">
        <w:t>of Procedures Frequently Asked Questions (FAQs)</w:t>
      </w:r>
      <w:bookmarkEnd w:id="787"/>
    </w:p>
    <w:p w14:paraId="0FDFCCF9" w14:textId="77777777" w:rsidR="00CB4817" w:rsidRDefault="00CB4817" w:rsidP="00CB4817">
      <w:pPr>
        <w:rPr>
          <w:lang w:eastAsia="ja-JP"/>
        </w:rPr>
      </w:pPr>
    </w:p>
    <w:p w14:paraId="17C7349E" w14:textId="3D70E8AE" w:rsidR="00276A34" w:rsidRPr="00F22AFA" w:rsidRDefault="00276A34" w:rsidP="00AD309C">
      <w:pPr>
        <w:pStyle w:val="ListParagraph"/>
        <w:numPr>
          <w:ilvl w:val="0"/>
          <w:numId w:val="116"/>
        </w:numPr>
        <w:spacing w:after="120" w:line="264" w:lineRule="auto"/>
        <w:rPr>
          <w:b/>
        </w:rPr>
      </w:pPr>
      <w:r w:rsidRPr="00F22AFA">
        <w:rPr>
          <w:b/>
        </w:rPr>
        <w:t xml:space="preserve">How did Leapfrog select these </w:t>
      </w:r>
      <w:r w:rsidR="003968AC">
        <w:rPr>
          <w:b/>
        </w:rPr>
        <w:t>9</w:t>
      </w:r>
      <w:r w:rsidRPr="00F22AFA">
        <w:rPr>
          <w:b/>
        </w:rPr>
        <w:t xml:space="preserve"> specialties and </w:t>
      </w:r>
      <w:r>
        <w:rPr>
          <w:b/>
        </w:rPr>
        <w:t xml:space="preserve">the </w:t>
      </w:r>
      <w:r w:rsidRPr="00F22AFA">
        <w:rPr>
          <w:b/>
        </w:rPr>
        <w:t>pro</w:t>
      </w:r>
      <w:r>
        <w:rPr>
          <w:b/>
        </w:rPr>
        <w:t>cedures in this section of the S</w:t>
      </w:r>
      <w:r w:rsidRPr="00F22AFA">
        <w:rPr>
          <w:b/>
        </w:rPr>
        <w:t>urvey?</w:t>
      </w:r>
    </w:p>
    <w:p w14:paraId="503A41CD" w14:textId="620A3693" w:rsidR="00276A34" w:rsidRDefault="00276A34" w:rsidP="00276A34">
      <w:pPr>
        <w:pStyle w:val="ListParagraph"/>
        <w:ind w:left="360"/>
      </w:pPr>
      <w:r>
        <w:t>Leapfrog worked with the Health</w:t>
      </w:r>
      <w:r w:rsidR="00C274F7">
        <w:t xml:space="preserve"> C</w:t>
      </w:r>
      <w:r>
        <w:t>are Co</w:t>
      </w:r>
      <w:r w:rsidR="00AC62F4">
        <w:t>st Institute (HCCI) to identify</w:t>
      </w:r>
      <w:r>
        <w:t xml:space="preserve"> the most commonly billed surgical procedures in </w:t>
      </w:r>
      <w:r w:rsidR="0020056C">
        <w:t>a</w:t>
      </w:r>
      <w:r>
        <w:t xml:space="preserve">mbulatory </w:t>
      </w:r>
      <w:r w:rsidR="0020056C">
        <w:t>s</w:t>
      </w:r>
      <w:r>
        <w:t xml:space="preserve">urgery </w:t>
      </w:r>
      <w:r w:rsidR="0020056C">
        <w:t>c</w:t>
      </w:r>
      <w:r>
        <w:t xml:space="preserve">enters and </w:t>
      </w:r>
      <w:r w:rsidR="008C07A9">
        <w:t>h</w:t>
      </w:r>
      <w:r>
        <w:t xml:space="preserve">ospital </w:t>
      </w:r>
      <w:r w:rsidR="008C07A9">
        <w:t>o</w:t>
      </w:r>
      <w:r>
        <w:t xml:space="preserve">utpatient </w:t>
      </w:r>
      <w:r w:rsidR="008C07A9">
        <w:t>d</w:t>
      </w:r>
      <w:r>
        <w:t xml:space="preserve">epartments for </w:t>
      </w:r>
      <w:r w:rsidR="0061192A">
        <w:t>commercially</w:t>
      </w:r>
      <w:r w:rsidR="00AC62F4">
        <w:t xml:space="preserve"> insured adult and pediatric patients</w:t>
      </w:r>
      <w:r>
        <w:t>. Leapfrog’s technical experts then assessed the</w:t>
      </w:r>
      <w:r w:rsidR="00AC62F4">
        <w:t xml:space="preserve"> list of </w:t>
      </w:r>
      <w:r w:rsidR="0061192A">
        <w:t>procedures</w:t>
      </w:r>
      <w:r w:rsidR="00AC62F4">
        <w:t xml:space="preserve"> based on their frequency and type of </w:t>
      </w:r>
      <w:r w:rsidR="0061192A">
        <w:t>anesthesia</w:t>
      </w:r>
      <w:r w:rsidR="00AC62F4">
        <w:t xml:space="preserve"> used during the procedure. Those selected for the Survey represent the </w:t>
      </w:r>
      <w:r w:rsidR="0061192A">
        <w:t>highest</w:t>
      </w:r>
      <w:r w:rsidR="00AC62F4">
        <w:t xml:space="preserve"> volume procedures nationally requiring moderate to general anesthesia (including nerve blocks).</w:t>
      </w:r>
    </w:p>
    <w:p w14:paraId="65FB3C59" w14:textId="77777777" w:rsidR="00276A34" w:rsidRDefault="00276A34" w:rsidP="00276A34">
      <w:pPr>
        <w:pStyle w:val="ListParagraph"/>
        <w:ind w:left="360"/>
      </w:pPr>
    </w:p>
    <w:p w14:paraId="72470B3B" w14:textId="0E7256EE" w:rsidR="00276A34" w:rsidRDefault="00276A34" w:rsidP="00276A34">
      <w:pPr>
        <w:pStyle w:val="ListParagraph"/>
        <w:ind w:left="360"/>
      </w:pPr>
      <w:r>
        <w:t xml:space="preserve">Please reach out to the </w:t>
      </w:r>
      <w:hyperlink r:id="rId493" w:history="1">
        <w:r w:rsidRPr="00AC7C13">
          <w:rPr>
            <w:rStyle w:val="Hyperlink"/>
          </w:rPr>
          <w:t>Leapfrog Help Desk</w:t>
        </w:r>
      </w:hyperlink>
      <w:r>
        <w:t xml:space="preserve"> if you believe additional CPT Codes should be added to the Survey; Leapfrog will take these suggestions to our technical experts. </w:t>
      </w:r>
    </w:p>
    <w:p w14:paraId="4F27D1B8" w14:textId="77777777" w:rsidR="005666F8" w:rsidRDefault="005666F8" w:rsidP="00A879E1">
      <w:pPr>
        <w:rPr>
          <w:lang w:eastAsia="ja-JP"/>
        </w:rPr>
      </w:pPr>
      <w:bookmarkStart w:id="788" w:name="_Hlk32503548"/>
    </w:p>
    <w:p w14:paraId="62B161D5" w14:textId="77777777" w:rsidR="005666F8" w:rsidRPr="005666F8" w:rsidRDefault="005666F8" w:rsidP="00AD309C">
      <w:pPr>
        <w:pStyle w:val="ListParagraph"/>
        <w:numPr>
          <w:ilvl w:val="0"/>
          <w:numId w:val="116"/>
        </w:numPr>
        <w:rPr>
          <w:b/>
          <w:lang w:eastAsia="ja-JP"/>
        </w:rPr>
      </w:pPr>
      <w:r w:rsidRPr="005666F8">
        <w:rPr>
          <w:b/>
          <w:lang w:eastAsia="ja-JP"/>
        </w:rPr>
        <w:t xml:space="preserve">Should we count patients discharged with a G code for colonoscopy? </w:t>
      </w:r>
    </w:p>
    <w:p w14:paraId="3C8572BF" w14:textId="733E00C3" w:rsidR="005666F8" w:rsidRPr="005666F8" w:rsidRDefault="005666F8" w:rsidP="005666F8">
      <w:pPr>
        <w:pStyle w:val="ListParagraph"/>
        <w:ind w:left="360"/>
        <w:rPr>
          <w:bCs/>
          <w:lang w:eastAsia="ja-JP"/>
        </w:rPr>
      </w:pPr>
      <w:r w:rsidRPr="005666F8">
        <w:rPr>
          <w:bCs/>
          <w:lang w:eastAsia="ja-JP"/>
        </w:rPr>
        <w:t xml:space="preserve">No. A “G” (HCPCS II) code is used to differentiate between colonoscopies performed for screening purposes rather than for </w:t>
      </w:r>
      <w:r>
        <w:rPr>
          <w:bCs/>
          <w:lang w:eastAsia="ja-JP"/>
        </w:rPr>
        <w:t xml:space="preserve">a </w:t>
      </w:r>
      <w:r w:rsidRPr="005666F8">
        <w:rPr>
          <w:bCs/>
          <w:lang w:eastAsia="ja-JP"/>
        </w:rPr>
        <w:t>diagnostic or therapeutic procedure. The Survey only includes major diagnostic and therapeutic procedures.</w:t>
      </w:r>
    </w:p>
    <w:bookmarkEnd w:id="788"/>
    <w:p w14:paraId="39E65567" w14:textId="77777777" w:rsidR="008B3BB3" w:rsidRDefault="008B3BB3" w:rsidP="004A7BD9">
      <w:pPr>
        <w:ind w:left="360"/>
        <w:rPr>
          <w:highlight w:val="yellow"/>
          <w:lang w:eastAsia="ja-JP"/>
        </w:rPr>
      </w:pPr>
    </w:p>
    <w:p w14:paraId="6A9E7C77" w14:textId="78325A92" w:rsidR="008B3BB3" w:rsidRDefault="002272A8" w:rsidP="008B3BB3">
      <w:pPr>
        <w:ind w:left="360"/>
        <w:rPr>
          <w:i/>
          <w:snapToGrid w:val="0"/>
          <w:sz w:val="24"/>
          <w:szCs w:val="24"/>
          <w:lang w:eastAsia="ja-JP"/>
        </w:rPr>
      </w:pPr>
      <w:r>
        <w:rPr>
          <w:highlight w:val="yellow"/>
          <w:lang w:eastAsia="ja-JP"/>
        </w:rPr>
        <w:br w:type="page"/>
      </w:r>
      <w:bookmarkStart w:id="789" w:name="_Toc89439265"/>
      <w:bookmarkStart w:id="790" w:name="Patientfollowup_specification"/>
      <w:bookmarkStart w:id="791" w:name="_Toc3815045"/>
    </w:p>
    <w:p w14:paraId="109320E5" w14:textId="4E0AFC8F" w:rsidR="00264627" w:rsidRDefault="00CA45B0" w:rsidP="001C4D9F">
      <w:pPr>
        <w:pStyle w:val="Heading2"/>
      </w:pPr>
      <w:bookmarkStart w:id="792" w:name="_Section_10D:_Patient"/>
      <w:bookmarkStart w:id="793" w:name="_Patient_Follow-up_Measure"/>
      <w:bookmarkStart w:id="794" w:name="_Ref123648371"/>
      <w:bookmarkStart w:id="795" w:name="_Toc225877865"/>
      <w:bookmarkEnd w:id="792"/>
      <w:bookmarkEnd w:id="793"/>
      <w:r>
        <w:t xml:space="preserve">Safety of </w:t>
      </w:r>
      <w:r w:rsidR="00264627">
        <w:t>Procedures</w:t>
      </w:r>
      <w:r w:rsidR="008B3BB3">
        <w:t xml:space="preserve"> Measure Specification</w:t>
      </w:r>
      <w:bookmarkEnd w:id="789"/>
      <w:r w:rsidR="008B3BB3">
        <w:t>s</w:t>
      </w:r>
      <w:bookmarkEnd w:id="794"/>
      <w:bookmarkEnd w:id="795"/>
    </w:p>
    <w:p w14:paraId="237B6D34" w14:textId="698BC289" w:rsidR="002D1A88" w:rsidRDefault="002D1A88">
      <w:pPr>
        <w:rPr>
          <w:b/>
          <w:snapToGrid w:val="0"/>
          <w:sz w:val="28"/>
          <w:szCs w:val="24"/>
          <w:u w:val="single"/>
          <w:lang w:eastAsia="ja-JP"/>
        </w:rPr>
      </w:pPr>
      <w:bookmarkStart w:id="796" w:name="_Ref99635862"/>
      <w:bookmarkEnd w:id="790"/>
    </w:p>
    <w:p w14:paraId="517C3640" w14:textId="2B4D036C" w:rsidR="002D1A88" w:rsidRDefault="002D1A88" w:rsidP="00AB5B80">
      <w:pPr>
        <w:pStyle w:val="Heading3"/>
      </w:pPr>
      <w:bookmarkStart w:id="797" w:name="_Safe_Surgery_Checklist_3"/>
      <w:bookmarkStart w:id="798" w:name="_Ref123648394"/>
      <w:bookmarkStart w:id="799" w:name="_Toc225877866"/>
      <w:bookmarkEnd w:id="797"/>
      <w:r>
        <w:t>Safe Surgery Checklist for Adult and Pediatric Outpatient Procedures</w:t>
      </w:r>
      <w:bookmarkEnd w:id="796"/>
      <w:bookmarkEnd w:id="798"/>
      <w:bookmarkEnd w:id="799"/>
    </w:p>
    <w:p w14:paraId="0257A445" w14:textId="7604E6F1" w:rsidR="00FB07A6" w:rsidRDefault="00FB07A6" w:rsidP="00FB07A6">
      <w:pPr>
        <w:rPr>
          <w:lang w:eastAsia="ja-JP"/>
        </w:rPr>
      </w:pPr>
    </w:p>
    <w:p w14:paraId="351CA755" w14:textId="22346DCA" w:rsidR="00FB07A6" w:rsidRPr="002A792B" w:rsidRDefault="00FB07A6" w:rsidP="00A879E1">
      <w:r w:rsidRPr="00451080">
        <w:rPr>
          <w:b/>
          <w:bCs/>
          <w:color w:val="FF0000"/>
          <w:lang w:eastAsia="ja-JP"/>
        </w:rPr>
        <w:t>Important Note:</w:t>
      </w:r>
      <w:r w:rsidRPr="00451080">
        <w:rPr>
          <w:color w:val="FF0000"/>
          <w:lang w:eastAsia="ja-JP"/>
        </w:rPr>
        <w:t xml:space="preserve"> </w:t>
      </w:r>
      <w:r w:rsidRPr="004F5E10">
        <w:rPr>
          <w:rFonts w:cs="Arial"/>
          <w:snapToGrid w:val="0"/>
        </w:rPr>
        <w:t xml:space="preserve">Hospitals that share a CMS Certification Number are required to report by facility. Please carefully review </w:t>
      </w:r>
      <w:hyperlink r:id="rId494" w:history="1">
        <w:r w:rsidRPr="004F5E10">
          <w:rPr>
            <w:rFonts w:cs="Arial"/>
            <w:snapToGrid w:val="0"/>
            <w:color w:val="0000FF"/>
            <w:u w:val="single"/>
          </w:rPr>
          <w:t>Leapfrog’s Multi-Campus Reporting Policy</w:t>
        </w:r>
      </w:hyperlink>
      <w:r>
        <w:rPr>
          <w:rFonts w:cs="Arial"/>
          <w:snapToGrid w:val="0"/>
          <w:color w:val="0000FF"/>
          <w:u w:val="single"/>
        </w:rPr>
        <w:t>.</w:t>
      </w:r>
    </w:p>
    <w:p w14:paraId="253A092C" w14:textId="77777777" w:rsidR="002D1A88" w:rsidRDefault="002D1A88" w:rsidP="002D1A88">
      <w:pPr>
        <w:rPr>
          <w:lang w:eastAsia="ja-JP"/>
        </w:rPr>
      </w:pPr>
    </w:p>
    <w:tbl>
      <w:tblPr>
        <w:tblStyle w:val="TableGrid"/>
        <w:tblW w:w="0" w:type="auto"/>
        <w:tblLook w:val="04A0" w:firstRow="1" w:lastRow="0" w:firstColumn="1" w:lastColumn="0" w:noHBand="0" w:noVBand="1"/>
      </w:tblPr>
      <w:tblGrid>
        <w:gridCol w:w="9350"/>
      </w:tblGrid>
      <w:tr w:rsidR="002D1A88" w14:paraId="1AFCB393" w14:textId="77777777" w:rsidTr="00DD1535">
        <w:trPr>
          <w:trHeight w:val="332"/>
        </w:trPr>
        <w:tc>
          <w:tcPr>
            <w:tcW w:w="9350" w:type="dxa"/>
            <w:vAlign w:val="center"/>
          </w:tcPr>
          <w:p w14:paraId="3E7EA13F" w14:textId="57BBB0BF" w:rsidR="002D1A88" w:rsidRPr="00EA6AEE" w:rsidRDefault="002D1A88" w:rsidP="00DD1535">
            <w:pPr>
              <w:contextualSpacing/>
            </w:pPr>
            <w:r w:rsidRPr="00EA6AEE">
              <w:rPr>
                <w:b/>
                <w:bCs/>
              </w:rPr>
              <w:t>Source</w:t>
            </w:r>
            <w:r w:rsidRPr="00EA6AEE">
              <w:t xml:space="preserve">: </w:t>
            </w:r>
            <w:r w:rsidRPr="00574A8F">
              <w:t>The Leapfrog Group</w:t>
            </w:r>
            <w:r>
              <w:t xml:space="preserve">, </w:t>
            </w:r>
            <w:hyperlink r:id="rId495" w:history="1">
              <w:r w:rsidR="00A05B85" w:rsidRPr="00A05B85">
                <w:rPr>
                  <w:rStyle w:val="Hyperlink"/>
                </w:rPr>
                <w:t>WHO Surgical Safety Checklist</w:t>
              </w:r>
            </w:hyperlink>
            <w:r w:rsidR="00A05B85" w:rsidRPr="00A05B85">
              <w:t xml:space="preserve"> and </w:t>
            </w:r>
            <w:hyperlink r:id="rId496" w:history="1">
              <w:r w:rsidR="00A05B85" w:rsidRPr="00A05B85">
                <w:rPr>
                  <w:rStyle w:val="Hyperlink"/>
                </w:rPr>
                <w:t>Implementation Manual</w:t>
              </w:r>
            </w:hyperlink>
            <w:r>
              <w:t xml:space="preserve">, </w:t>
            </w:r>
            <w:hyperlink r:id="rId497" w:history="1">
              <w:r w:rsidRPr="005D782F">
                <w:rPr>
                  <w:rStyle w:val="Hyperlink"/>
                </w:rPr>
                <w:t>AHRQ Endoscopy Checklist</w:t>
              </w:r>
            </w:hyperlink>
          </w:p>
        </w:tc>
      </w:tr>
      <w:tr w:rsidR="002D1A88" w14:paraId="6B8A6B52" w14:textId="77777777" w:rsidTr="00DD1535">
        <w:trPr>
          <w:trHeight w:val="359"/>
        </w:trPr>
        <w:tc>
          <w:tcPr>
            <w:tcW w:w="9350" w:type="dxa"/>
            <w:vAlign w:val="center"/>
          </w:tcPr>
          <w:p w14:paraId="15B34C00" w14:textId="40AB19A5" w:rsidR="00825F2C" w:rsidRDefault="002D1A88" w:rsidP="00DD1535">
            <w:pPr>
              <w:contextualSpacing/>
            </w:pPr>
            <w:r w:rsidRPr="00EA6AEE">
              <w:rPr>
                <w:b/>
                <w:bCs/>
              </w:rPr>
              <w:t>Reporting Period</w:t>
            </w:r>
            <w:r>
              <w:t>:</w:t>
            </w:r>
            <w:r w:rsidRPr="00B44C1C">
              <w:rPr>
                <w:b/>
                <w:bCs/>
              </w:rPr>
              <w:t xml:space="preserve"> </w:t>
            </w:r>
            <w:r w:rsidR="00825F2C" w:rsidRPr="00B44C1C">
              <w:rPr>
                <w:b/>
                <w:bCs/>
              </w:rPr>
              <w:t>12 months</w:t>
            </w:r>
          </w:p>
          <w:p w14:paraId="6B81BF07" w14:textId="476A7050" w:rsidR="00C10458" w:rsidRPr="00EA6AEE" w:rsidRDefault="00F6404D" w:rsidP="00DD1535">
            <w:pPr>
              <w:contextualSpacing/>
            </w:pPr>
            <w:r>
              <w:t>Latest 12-month period prior to submission of this section of the Survey</w:t>
            </w:r>
          </w:p>
        </w:tc>
      </w:tr>
      <w:tr w:rsidR="002D1A88" w14:paraId="5710B184" w14:textId="77777777" w:rsidTr="00D406B6">
        <w:trPr>
          <w:trHeight w:val="2160"/>
        </w:trPr>
        <w:tc>
          <w:tcPr>
            <w:tcW w:w="9350" w:type="dxa"/>
          </w:tcPr>
          <w:p w14:paraId="38442BB1" w14:textId="77777777" w:rsidR="002D1A88" w:rsidRPr="00EA6AEE" w:rsidRDefault="002D1A88">
            <w:pPr>
              <w:contextualSpacing/>
              <w:rPr>
                <w:b/>
                <w:bCs/>
              </w:rPr>
            </w:pPr>
            <w:r w:rsidRPr="00EA6AEE">
              <w:rPr>
                <w:b/>
                <w:bCs/>
              </w:rPr>
              <w:t>Safe Surgery Checklist Workbook (Excel)</w:t>
            </w:r>
          </w:p>
          <w:p w14:paraId="2A4CE55E" w14:textId="77777777" w:rsidR="002D1A88" w:rsidRDefault="002D1A88">
            <w:pPr>
              <w:contextualSpacing/>
            </w:pPr>
          </w:p>
          <w:p w14:paraId="6308063C" w14:textId="150557C9" w:rsidR="002D1A88" w:rsidRDefault="002D1A88">
            <w:pPr>
              <w:contextualSpacing/>
            </w:pPr>
            <w:r>
              <w:t>To complete the data collection and respond to questions #</w:t>
            </w:r>
            <w:r w:rsidR="00EE21CB">
              <w:t>6</w:t>
            </w:r>
            <w:r w:rsidR="00A879E1">
              <w:t>-</w:t>
            </w:r>
            <w:r w:rsidR="00EE21CB">
              <w:t>9</w:t>
            </w:r>
            <w:r>
              <w:t>, hospitals should download the Safe Surgery Checklist Workbook (Excel). This workbook includes five tabs: Instructions, Section 3</w:t>
            </w:r>
            <w:r w:rsidR="00DD3592">
              <w:t>B</w:t>
            </w:r>
            <w:r>
              <w:t xml:space="preserve"> (Complex Surgery), Section 3</w:t>
            </w:r>
            <w:r w:rsidR="00DD3592">
              <w:t>B</w:t>
            </w:r>
            <w:r>
              <w:t xml:space="preserve"> – Data Entry, Section </w:t>
            </w:r>
            <w:r w:rsidR="00FB07A6">
              <w:t>9</w:t>
            </w:r>
            <w:r>
              <w:t xml:space="preserve">D (Outpatient Procedures), and Section </w:t>
            </w:r>
            <w:r w:rsidR="00FB07A6">
              <w:t>9</w:t>
            </w:r>
            <w:r>
              <w:t xml:space="preserve">D – Data Entry. The Section </w:t>
            </w:r>
            <w:r w:rsidR="00FB07A6">
              <w:t>9</w:t>
            </w:r>
            <w:r>
              <w:t xml:space="preserve">D tabs can be used to complete the safe surgery checklist audits </w:t>
            </w:r>
            <w:r w:rsidR="00A879E1">
              <w:t>for</w:t>
            </w:r>
            <w:r>
              <w:t xml:space="preserve"> this subsection</w:t>
            </w:r>
            <w:r w:rsidR="00CB3834">
              <w:t xml:space="preserve"> and </w:t>
            </w:r>
            <w:r>
              <w:t>to calculate the response for question #</w:t>
            </w:r>
            <w:r w:rsidR="00430AE0">
              <w:t>9</w:t>
            </w:r>
            <w:r>
              <w:t xml:space="preserve">. </w:t>
            </w:r>
          </w:p>
          <w:p w14:paraId="45E429C0" w14:textId="77777777" w:rsidR="002D1A88" w:rsidRDefault="002D1A88">
            <w:pPr>
              <w:contextualSpacing/>
            </w:pPr>
          </w:p>
          <w:p w14:paraId="1236B028" w14:textId="425E1B7E" w:rsidR="002D1A88" w:rsidRPr="00EA6AEE" w:rsidRDefault="002D1A88">
            <w:pPr>
              <w:contextualSpacing/>
            </w:pPr>
            <w:r>
              <w:t xml:space="preserve">The workbook is available on the </w:t>
            </w:r>
            <w:hyperlink r:id="rId498" w:history="1">
              <w:r w:rsidRPr="00AD5B49">
                <w:rPr>
                  <w:rStyle w:val="Hyperlink"/>
                </w:rPr>
                <w:t>Survey Materials Webpage</w:t>
              </w:r>
            </w:hyperlink>
            <w:r>
              <w:t>.</w:t>
            </w:r>
          </w:p>
        </w:tc>
      </w:tr>
      <w:tr w:rsidR="002D1A88" w14:paraId="79C1D5EE" w14:textId="77777777" w:rsidTr="006606DD">
        <w:trPr>
          <w:trHeight w:val="6336"/>
        </w:trPr>
        <w:tc>
          <w:tcPr>
            <w:tcW w:w="9350" w:type="dxa"/>
          </w:tcPr>
          <w:p w14:paraId="3676FDA1" w14:textId="77777777" w:rsidR="002D1A88" w:rsidRDefault="002D1A88">
            <w:pPr>
              <w:pStyle w:val="EndnoteText"/>
              <w:rPr>
                <w:rFonts w:cs="Arial"/>
              </w:rPr>
            </w:pPr>
            <w:r w:rsidRPr="00C76D2B">
              <w:rPr>
                <w:rFonts w:cs="Arial"/>
                <w:b/>
              </w:rPr>
              <w:t>Sampling:</w:t>
            </w:r>
            <w:r w:rsidRPr="00C76D2B">
              <w:rPr>
                <w:rFonts w:cs="Arial"/>
              </w:rPr>
              <w:t xml:space="preserve"> </w:t>
            </w:r>
          </w:p>
          <w:p w14:paraId="0DECD9D1" w14:textId="77777777" w:rsidR="002D1A88" w:rsidRDefault="002D1A88">
            <w:pPr>
              <w:pStyle w:val="EndnoteText"/>
              <w:rPr>
                <w:rFonts w:cs="Arial"/>
              </w:rPr>
            </w:pPr>
          </w:p>
          <w:p w14:paraId="526CCF9C" w14:textId="090D2FF3" w:rsidR="002D1A88" w:rsidRDefault="002D1A88">
            <w:pPr>
              <w:pStyle w:val="EndnoteText"/>
              <w:rPr>
                <w:rFonts w:cs="Arial"/>
              </w:rPr>
            </w:pPr>
            <w:r w:rsidRPr="00D845CC">
              <w:rPr>
                <w:b/>
                <w:bCs/>
              </w:rPr>
              <w:t xml:space="preserve">For hospitals with one hospital outpatient department that performs the procedures listed in Section </w:t>
            </w:r>
            <w:r w:rsidR="00FB07A6">
              <w:rPr>
                <w:b/>
                <w:bCs/>
              </w:rPr>
              <w:t>9</w:t>
            </w:r>
            <w:r w:rsidRPr="00D845CC">
              <w:rPr>
                <w:b/>
                <w:bCs/>
              </w:rPr>
              <w:t>C</w:t>
            </w:r>
            <w:r w:rsidR="00A879E1">
              <w:rPr>
                <w:b/>
                <w:bCs/>
              </w:rPr>
              <w:t xml:space="preserve"> and Section 3A</w:t>
            </w:r>
            <w:r w:rsidR="0042363C">
              <w:rPr>
                <w:b/>
                <w:bCs/>
              </w:rPr>
              <w:t xml:space="preserve"> and submit both Section 9 and 3</w:t>
            </w:r>
            <w:r w:rsidRPr="00D845CC">
              <w:rPr>
                <w:b/>
                <w:bCs/>
              </w:rPr>
              <w:t>:</w:t>
            </w:r>
            <w:r>
              <w:t xml:space="preserve"> Hospitals</w:t>
            </w:r>
            <w:r>
              <w:rPr>
                <w:rFonts w:cs="Arial"/>
              </w:rPr>
              <w:t xml:space="preserve"> </w:t>
            </w:r>
            <w:r w:rsidR="00D074D3">
              <w:rPr>
                <w:rFonts w:cs="Arial"/>
              </w:rPr>
              <w:t>can</w:t>
            </w:r>
            <w:r>
              <w:rPr>
                <w:rFonts w:cs="Arial"/>
              </w:rPr>
              <w:t xml:space="preserve"> randomly sample 15 patients (who had one of the procedures included in Section </w:t>
            </w:r>
            <w:r w:rsidR="00FB07A6">
              <w:rPr>
                <w:rFonts w:cs="Arial"/>
              </w:rPr>
              <w:t>9</w:t>
            </w:r>
            <w:r>
              <w:rPr>
                <w:rFonts w:cs="Arial"/>
              </w:rPr>
              <w:t xml:space="preserve">C) </w:t>
            </w:r>
            <w:r w:rsidRPr="00C76D2B">
              <w:rPr>
                <w:rFonts w:cs="Arial"/>
              </w:rPr>
              <w:t xml:space="preserve">and measure and report adherence </w:t>
            </w:r>
            <w:r>
              <w:rPr>
                <w:rFonts w:cs="Arial"/>
              </w:rPr>
              <w:t xml:space="preserve">to the safe surgery checklist </w:t>
            </w:r>
            <w:r w:rsidRPr="00C76D2B">
              <w:rPr>
                <w:rFonts w:cs="Arial"/>
              </w:rPr>
              <w:t xml:space="preserve">based on that sample. </w:t>
            </w:r>
          </w:p>
          <w:p w14:paraId="336585B7" w14:textId="77777777" w:rsidR="002D1A88" w:rsidRDefault="002D1A88">
            <w:pPr>
              <w:pStyle w:val="EndnoteText"/>
              <w:rPr>
                <w:rFonts w:cs="Arial"/>
              </w:rPr>
            </w:pPr>
          </w:p>
          <w:p w14:paraId="58C7827D" w14:textId="239EC303" w:rsidR="002D1A88" w:rsidRDefault="002D1A88">
            <w:pPr>
              <w:pStyle w:val="EndnoteText"/>
              <w:rPr>
                <w:rFonts w:cs="Arial"/>
              </w:rPr>
            </w:pPr>
            <w:r w:rsidRPr="00C76D2B">
              <w:rPr>
                <w:rFonts w:cs="Arial"/>
              </w:rPr>
              <w:t xml:space="preserve">When sampling from a larger population of cases, </w:t>
            </w:r>
            <w:r>
              <w:rPr>
                <w:rFonts w:cs="Arial"/>
              </w:rPr>
              <w:t xml:space="preserve">hospitals that perform procedures across multiple surgical specialties (e.g., general surgery, orthopedics, urology, etc.) included in Section </w:t>
            </w:r>
            <w:r w:rsidR="00EA68FC">
              <w:rPr>
                <w:rFonts w:cs="Arial"/>
              </w:rPr>
              <w:t>9</w:t>
            </w:r>
            <w:r>
              <w:rPr>
                <w:rFonts w:cs="Arial"/>
              </w:rPr>
              <w:t xml:space="preserve">C and facilities that perform procedures for both adult and pediatric patients should obtain a representative sample (i.e., include patients who underwent procedures in different surgical specialties and include both adult and pediatric patients, if applicable). </w:t>
            </w:r>
          </w:p>
          <w:p w14:paraId="78E5DA69" w14:textId="77777777" w:rsidR="002D1A88" w:rsidRDefault="002D1A88">
            <w:pPr>
              <w:pStyle w:val="EndnoteText"/>
            </w:pPr>
          </w:p>
          <w:p w14:paraId="24F8E8A7" w14:textId="304959F7" w:rsidR="002D1A88" w:rsidRDefault="002D1A88">
            <w:pPr>
              <w:pStyle w:val="EndnoteText"/>
            </w:pPr>
            <w:r w:rsidRPr="00D845CC">
              <w:rPr>
                <w:b/>
                <w:bCs/>
              </w:rPr>
              <w:t xml:space="preserve">For hospitals with multiple hospital outpatient departments that perform the procedures listed in Section </w:t>
            </w:r>
            <w:r w:rsidR="00FB07A6">
              <w:rPr>
                <w:b/>
                <w:bCs/>
              </w:rPr>
              <w:t>9</w:t>
            </w:r>
            <w:r w:rsidRPr="00D845CC">
              <w:rPr>
                <w:b/>
                <w:bCs/>
              </w:rPr>
              <w:t>C</w:t>
            </w:r>
            <w:r w:rsidR="00A879E1">
              <w:rPr>
                <w:b/>
                <w:bCs/>
              </w:rPr>
              <w:t xml:space="preserve"> and Section 3A</w:t>
            </w:r>
            <w:r w:rsidR="0042363C">
              <w:rPr>
                <w:b/>
                <w:bCs/>
              </w:rPr>
              <w:t xml:space="preserve"> and submit both Section 9 and 3</w:t>
            </w:r>
            <w:r w:rsidRPr="00D845CC">
              <w:rPr>
                <w:b/>
                <w:bCs/>
              </w:rPr>
              <w:t>:</w:t>
            </w:r>
            <w:r>
              <w:t xml:space="preserve"> Hospitals</w:t>
            </w:r>
            <w:r w:rsidR="00D074D3">
              <w:t xml:space="preserve"> can</w:t>
            </w:r>
            <w:r>
              <w:rPr>
                <w:rFonts w:cs="Arial"/>
              </w:rPr>
              <w:t xml:space="preserve"> randomly sample 15 patients (who had one of the procedures included in Section </w:t>
            </w:r>
            <w:r w:rsidR="00FB07A6">
              <w:rPr>
                <w:rFonts w:cs="Arial"/>
              </w:rPr>
              <w:t>9</w:t>
            </w:r>
            <w:r>
              <w:rPr>
                <w:rFonts w:cs="Arial"/>
              </w:rPr>
              <w:t>C</w:t>
            </w:r>
            <w:r w:rsidR="00690F8F">
              <w:rPr>
                <w:rFonts w:cs="Arial"/>
              </w:rPr>
              <w:t xml:space="preserve">) </w:t>
            </w:r>
            <w:r w:rsidRPr="00C76D2B">
              <w:rPr>
                <w:rFonts w:cs="Arial"/>
              </w:rPr>
              <w:t xml:space="preserve">and measure and report adherence </w:t>
            </w:r>
            <w:r>
              <w:rPr>
                <w:rFonts w:cs="Arial"/>
              </w:rPr>
              <w:t xml:space="preserve">to the safe surgery checklist </w:t>
            </w:r>
            <w:r w:rsidRPr="00C76D2B">
              <w:rPr>
                <w:rFonts w:cs="Arial"/>
              </w:rPr>
              <w:t>based on that sample</w:t>
            </w:r>
            <w:r>
              <w:rPr>
                <w:rFonts w:cs="Arial"/>
              </w:rPr>
              <w:t xml:space="preserve">. However, hospital must sample across the various locations where the procedures are being performed, including </w:t>
            </w:r>
            <w:r>
              <w:t xml:space="preserve">freestanding hospital outpatient departments or surgery centers, in addition to ensuring that the sample </w:t>
            </w:r>
            <w:r>
              <w:rPr>
                <w:rFonts w:cs="Arial"/>
              </w:rPr>
              <w:t>includ</w:t>
            </w:r>
            <w:r w:rsidR="00AF39C1">
              <w:rPr>
                <w:rFonts w:cs="Arial"/>
              </w:rPr>
              <w:t>es</w:t>
            </w:r>
            <w:r>
              <w:rPr>
                <w:rFonts w:cs="Arial"/>
              </w:rPr>
              <w:t xml:space="preserve"> patients who underwent procedures in different surgical specialties and both adult and pediatric patients, if applicable</w:t>
            </w:r>
            <w:r>
              <w:t xml:space="preserve">. </w:t>
            </w:r>
          </w:p>
          <w:p w14:paraId="7CD02E84" w14:textId="75F0EEC0" w:rsidR="00FB07A6" w:rsidRDefault="00FB07A6">
            <w:pPr>
              <w:pStyle w:val="EndnoteText"/>
            </w:pPr>
          </w:p>
          <w:p w14:paraId="7C0227E7" w14:textId="59F5413C" w:rsidR="002D1A88" w:rsidRPr="00D845CC" w:rsidRDefault="00FB07A6">
            <w:pPr>
              <w:pStyle w:val="EndnoteText"/>
            </w:pPr>
            <w:bookmarkStart w:id="800" w:name="_Hlk119500271"/>
            <w:r w:rsidRPr="00B00E2A">
              <w:rPr>
                <w:b/>
                <w:bCs/>
              </w:rPr>
              <w:t xml:space="preserve">For hospitals with one or multiple hospital outpatient departments that </w:t>
            </w:r>
            <w:r w:rsidR="00A879E1">
              <w:rPr>
                <w:b/>
                <w:bCs/>
              </w:rPr>
              <w:t>ONLY</w:t>
            </w:r>
            <w:r w:rsidRPr="00B00E2A">
              <w:rPr>
                <w:b/>
                <w:bCs/>
              </w:rPr>
              <w:t xml:space="preserve"> perform the procedures in Section 9C</w:t>
            </w:r>
            <w:r w:rsidR="00C224B1">
              <w:rPr>
                <w:b/>
                <w:bCs/>
              </w:rPr>
              <w:t xml:space="preserve"> or that ONLY submit Section 9</w:t>
            </w:r>
            <w:r w:rsidRPr="00B00E2A">
              <w:t>:</w:t>
            </w:r>
            <w:r>
              <w:t xml:space="preserve"> Hospitals </w:t>
            </w:r>
            <w:r w:rsidR="00D074D3">
              <w:t>must</w:t>
            </w:r>
            <w:r>
              <w:t xml:space="preserve"> randomly sample 30 patients who had one of the procedures included in Section 9C and report adherence to the safe surgery checklist on that sample. Hospitals that perform the procedures listed in Section 9C and 3A should follow the guidance above.</w:t>
            </w:r>
            <w:bookmarkEnd w:id="800"/>
          </w:p>
        </w:tc>
      </w:tr>
      <w:tr w:rsidR="002D1A88" w14:paraId="035815A0" w14:textId="77777777" w:rsidTr="006606DD">
        <w:trPr>
          <w:trHeight w:val="2160"/>
        </w:trPr>
        <w:tc>
          <w:tcPr>
            <w:tcW w:w="9350" w:type="dxa"/>
          </w:tcPr>
          <w:p w14:paraId="1C3905F9" w14:textId="72574E18" w:rsidR="002D1A88" w:rsidRPr="00E5711D" w:rsidRDefault="002D1A88">
            <w:pPr>
              <w:rPr>
                <w:rFonts w:cs="Arial"/>
                <w:b/>
                <w:bCs/>
              </w:rPr>
            </w:pPr>
            <w:r w:rsidRPr="008A1378">
              <w:rPr>
                <w:b/>
                <w:bCs/>
              </w:rPr>
              <w:t>Question #</w:t>
            </w:r>
            <w:r w:rsidR="00430AE0">
              <w:rPr>
                <w:b/>
                <w:bCs/>
              </w:rPr>
              <w:t>6</w:t>
            </w:r>
            <w:r w:rsidRPr="008A1378">
              <w:rPr>
                <w:b/>
                <w:bCs/>
              </w:rPr>
              <w:t xml:space="preserve">: </w:t>
            </w:r>
            <w:r w:rsidRPr="00E5711D">
              <w:rPr>
                <w:rFonts w:cs="Arial"/>
                <w:b/>
                <w:bCs/>
              </w:rPr>
              <w:t xml:space="preserve">Did your </w:t>
            </w:r>
            <w:r>
              <w:rPr>
                <w:rFonts w:cs="Arial"/>
                <w:b/>
                <w:bCs/>
              </w:rPr>
              <w:t>hospital</w:t>
            </w:r>
            <w:r w:rsidRPr="00E5711D">
              <w:rPr>
                <w:rFonts w:cs="Arial"/>
                <w:b/>
                <w:bCs/>
              </w:rPr>
              <w:t xml:space="preserve"> perform an audit (either in-person or via the medical record or other EHR data) on </w:t>
            </w:r>
            <w:r w:rsidR="001148FE">
              <w:rPr>
                <w:rFonts w:cs="Arial"/>
                <w:b/>
                <w:bCs/>
              </w:rPr>
              <w:t>a sufficient sample</w:t>
            </w:r>
            <w:r w:rsidRPr="00E5711D">
              <w:rPr>
                <w:rFonts w:cs="Arial"/>
                <w:b/>
                <w:bCs/>
              </w:rPr>
              <w:t xml:space="preserve"> of patients who underwent a procedure included in Section </w:t>
            </w:r>
            <w:r w:rsidR="00FB07A6">
              <w:rPr>
                <w:rFonts w:cs="Arial"/>
                <w:b/>
                <w:bCs/>
              </w:rPr>
              <w:t>9</w:t>
            </w:r>
            <w:r>
              <w:rPr>
                <w:rFonts w:cs="Arial"/>
                <w:b/>
                <w:bCs/>
              </w:rPr>
              <w:t>C</w:t>
            </w:r>
            <w:r w:rsidRPr="00E5711D">
              <w:rPr>
                <w:rFonts w:cs="Arial"/>
                <w:b/>
                <w:bCs/>
              </w:rPr>
              <w:t xml:space="preserve"> and measure adherence to the safe surgery checklist? </w:t>
            </w:r>
          </w:p>
          <w:p w14:paraId="52A6D455" w14:textId="77777777" w:rsidR="002D1A88" w:rsidRPr="008A1378" w:rsidRDefault="002D1A88">
            <w:pPr>
              <w:rPr>
                <w:rFonts w:cs="Arial"/>
              </w:rPr>
            </w:pPr>
          </w:p>
          <w:p w14:paraId="06A5025B" w14:textId="2D57B385" w:rsidR="002D1A88" w:rsidRPr="00764EEA" w:rsidRDefault="002D1A88">
            <w:pPr>
              <w:rPr>
                <w:rFonts w:cs="Arial"/>
                <w:i/>
                <w:iCs/>
              </w:rPr>
            </w:pPr>
            <w:r w:rsidRPr="008A1378">
              <w:rPr>
                <w:rFonts w:cs="Arial"/>
              </w:rPr>
              <w:t>To respond “yes” to question #</w:t>
            </w:r>
            <w:r w:rsidR="00430AE0">
              <w:rPr>
                <w:rFonts w:cs="Arial"/>
              </w:rPr>
              <w:t>6</w:t>
            </w:r>
            <w:r w:rsidRPr="008A1378">
              <w:rPr>
                <w:rFonts w:cs="Arial"/>
              </w:rPr>
              <w:t xml:space="preserve">, </w:t>
            </w:r>
            <w:r>
              <w:rPr>
                <w:rFonts w:cs="Arial"/>
              </w:rPr>
              <w:t>hospitals</w:t>
            </w:r>
            <w:r w:rsidRPr="008A1378">
              <w:rPr>
                <w:rFonts w:cs="Arial"/>
              </w:rPr>
              <w:t xml:space="preserve"> must measure and document whether all the elements in questions #</w:t>
            </w:r>
            <w:r w:rsidR="00430AE0">
              <w:rPr>
                <w:rFonts w:cs="Arial"/>
              </w:rPr>
              <w:t>3</w:t>
            </w:r>
            <w:r w:rsidRPr="008A1378">
              <w:rPr>
                <w:rFonts w:cs="Arial"/>
              </w:rPr>
              <w:t>, #</w:t>
            </w:r>
            <w:r w:rsidR="00430AE0">
              <w:rPr>
                <w:rFonts w:cs="Arial"/>
              </w:rPr>
              <w:t>4</w:t>
            </w:r>
            <w:r w:rsidRPr="008A1378">
              <w:rPr>
                <w:rFonts w:cs="Arial"/>
              </w:rPr>
              <w:t>, and #</w:t>
            </w:r>
            <w:r w:rsidR="00430AE0">
              <w:rPr>
                <w:rFonts w:cs="Arial"/>
              </w:rPr>
              <w:t>5</w:t>
            </w:r>
            <w:r w:rsidRPr="008A1378">
              <w:rPr>
                <w:rFonts w:cs="Arial"/>
              </w:rPr>
              <w:t xml:space="preserve"> were verbalized in the presence of the appropriate personnel for each sampled case.</w:t>
            </w:r>
            <w:r w:rsidRPr="008A1378">
              <w:rPr>
                <w:rFonts w:cs="Arial"/>
                <w:i/>
                <w:iCs/>
              </w:rPr>
              <w:t xml:space="preserve"> </w:t>
            </w:r>
            <w:r>
              <w:rPr>
                <w:rFonts w:cs="Arial"/>
              </w:rPr>
              <w:t>Hospitals that completed the audit should respond “yes” to this question regardless of whether the adherence to the checklist was 100%. Hospitals will report on adherence to the checklist in question #</w:t>
            </w:r>
            <w:r w:rsidR="00430AE0">
              <w:rPr>
                <w:rFonts w:cs="Arial"/>
              </w:rPr>
              <w:t>9</w:t>
            </w:r>
            <w:r>
              <w:rPr>
                <w:rFonts w:cs="Arial"/>
              </w:rPr>
              <w:t>.</w:t>
            </w:r>
          </w:p>
        </w:tc>
      </w:tr>
      <w:tr w:rsidR="00430AE0" w14:paraId="45241046" w14:textId="77777777" w:rsidTr="006606DD">
        <w:trPr>
          <w:trHeight w:val="2160"/>
        </w:trPr>
        <w:tc>
          <w:tcPr>
            <w:tcW w:w="9350" w:type="dxa"/>
          </w:tcPr>
          <w:p w14:paraId="2087BCE7" w14:textId="6944458C" w:rsidR="00430AE0" w:rsidRDefault="00430AE0" w:rsidP="00430AE0">
            <w:pPr>
              <w:rPr>
                <w:b/>
                <w:bCs/>
              </w:rPr>
            </w:pPr>
            <w:r w:rsidRPr="00232087">
              <w:rPr>
                <w:b/>
                <w:bCs/>
              </w:rPr>
              <w:t xml:space="preserve">Question #7: How many cases were </w:t>
            </w:r>
            <w:r>
              <w:rPr>
                <w:b/>
                <w:bCs/>
              </w:rPr>
              <w:t>included in the audit from</w:t>
            </w:r>
            <w:r w:rsidRPr="00232087">
              <w:rPr>
                <w:b/>
                <w:bCs/>
              </w:rPr>
              <w:t xml:space="preserve"> question #6?</w:t>
            </w:r>
          </w:p>
          <w:p w14:paraId="1266B3A7" w14:textId="77777777" w:rsidR="00430AE0" w:rsidRDefault="00430AE0" w:rsidP="00430AE0">
            <w:pPr>
              <w:rPr>
                <w:b/>
                <w:bCs/>
              </w:rPr>
            </w:pPr>
          </w:p>
          <w:p w14:paraId="0906B6F5" w14:textId="155EF783" w:rsidR="00430AE0" w:rsidRDefault="00430AE0" w:rsidP="00430AE0">
            <w:pPr>
              <w:pStyle w:val="EndnoteText"/>
              <w:rPr>
                <w:rFonts w:cs="Arial"/>
              </w:rPr>
            </w:pPr>
            <w:r>
              <w:t>Hospitals</w:t>
            </w:r>
            <w:r>
              <w:rPr>
                <w:rFonts w:cs="Arial"/>
              </w:rPr>
              <w:t xml:space="preserve"> that perform procedures in both Section 3A and Section 9C, and submit both Section 3 and 9, can randomly sample 15 patients (who had one of the procedures included in Section </w:t>
            </w:r>
            <w:r w:rsidR="003D4CDD">
              <w:rPr>
                <w:rFonts w:cs="Arial"/>
              </w:rPr>
              <w:t>9C</w:t>
            </w:r>
            <w:r>
              <w:rPr>
                <w:rFonts w:cs="Arial"/>
              </w:rPr>
              <w:t xml:space="preserve">) </w:t>
            </w:r>
            <w:r w:rsidRPr="00C76D2B">
              <w:rPr>
                <w:rFonts w:cs="Arial"/>
              </w:rPr>
              <w:t xml:space="preserve">and measure and report adherence </w:t>
            </w:r>
            <w:r>
              <w:rPr>
                <w:rFonts w:cs="Arial"/>
              </w:rPr>
              <w:t xml:space="preserve">to the safe surgery checklist </w:t>
            </w:r>
            <w:r w:rsidRPr="00C76D2B">
              <w:rPr>
                <w:rFonts w:cs="Arial"/>
              </w:rPr>
              <w:t xml:space="preserve">based on that sample. </w:t>
            </w:r>
          </w:p>
          <w:p w14:paraId="61A58BB3" w14:textId="77777777" w:rsidR="00430AE0" w:rsidRDefault="00430AE0" w:rsidP="00430AE0">
            <w:pPr>
              <w:pStyle w:val="EndnoteText"/>
              <w:rPr>
                <w:rFonts w:cs="Arial"/>
              </w:rPr>
            </w:pPr>
          </w:p>
          <w:p w14:paraId="07AAF921" w14:textId="7FCBD5C1" w:rsidR="00430AE0" w:rsidRPr="008A1378" w:rsidRDefault="00430AE0" w:rsidP="00430AE0">
            <w:pPr>
              <w:rPr>
                <w:b/>
                <w:bCs/>
              </w:rPr>
            </w:pPr>
            <w:r>
              <w:rPr>
                <w:rFonts w:cs="Arial"/>
              </w:rPr>
              <w:t>Hospitals that ONLY perform the procedures in Section 3A</w:t>
            </w:r>
            <w:r w:rsidR="003D4CDD">
              <w:rPr>
                <w:rFonts w:cs="Arial"/>
              </w:rPr>
              <w:t>C</w:t>
            </w:r>
            <w:r>
              <w:rPr>
                <w:rFonts w:cs="Arial"/>
              </w:rPr>
              <w:t xml:space="preserve">, or that ONLY submit Section </w:t>
            </w:r>
            <w:r w:rsidR="003D4CDD">
              <w:rPr>
                <w:rFonts w:cs="Arial"/>
              </w:rPr>
              <w:t>9</w:t>
            </w:r>
            <w:r>
              <w:rPr>
                <w:rFonts w:cs="Arial"/>
              </w:rPr>
              <w:t xml:space="preserve">, must randomly sample 30 patients (who had one of the procedures included in Section </w:t>
            </w:r>
            <w:r w:rsidR="003D4CDD">
              <w:rPr>
                <w:rFonts w:cs="Arial"/>
              </w:rPr>
              <w:t>9C</w:t>
            </w:r>
            <w:r>
              <w:rPr>
                <w:rFonts w:cs="Arial"/>
              </w:rPr>
              <w:t xml:space="preserve">) </w:t>
            </w:r>
            <w:r w:rsidRPr="00C76D2B">
              <w:rPr>
                <w:rFonts w:cs="Arial"/>
              </w:rPr>
              <w:t xml:space="preserve">and measure and report adherence </w:t>
            </w:r>
            <w:r>
              <w:rPr>
                <w:rFonts w:cs="Arial"/>
              </w:rPr>
              <w:t xml:space="preserve">to the safe surgery checklist </w:t>
            </w:r>
            <w:r w:rsidRPr="00C76D2B">
              <w:rPr>
                <w:rFonts w:cs="Arial"/>
              </w:rPr>
              <w:t>based on that sample.</w:t>
            </w:r>
          </w:p>
        </w:tc>
      </w:tr>
      <w:tr w:rsidR="00FB07A6" w14:paraId="52530D4E" w14:textId="77777777" w:rsidTr="006606DD">
        <w:trPr>
          <w:trHeight w:val="2016"/>
        </w:trPr>
        <w:tc>
          <w:tcPr>
            <w:tcW w:w="9350" w:type="dxa"/>
          </w:tcPr>
          <w:p w14:paraId="481139AF" w14:textId="362A4BAF" w:rsidR="00A879E1" w:rsidRPr="001148FE" w:rsidRDefault="00A879E1" w:rsidP="00A879E1">
            <w:pPr>
              <w:rPr>
                <w:b/>
                <w:bCs/>
              </w:rPr>
            </w:pPr>
            <w:r>
              <w:rPr>
                <w:b/>
                <w:bCs/>
              </w:rPr>
              <w:t>Question #</w:t>
            </w:r>
            <w:r w:rsidR="00430AE0">
              <w:rPr>
                <w:b/>
                <w:bCs/>
              </w:rPr>
              <w:t>8</w:t>
            </w:r>
            <w:r>
              <w:rPr>
                <w:b/>
                <w:bCs/>
              </w:rPr>
              <w:t xml:space="preserve">: </w:t>
            </w:r>
            <w:r w:rsidR="001148FE" w:rsidRPr="001148FE">
              <w:rPr>
                <w:rFonts w:cs="Arial"/>
                <w:b/>
                <w:bCs/>
              </w:rPr>
              <w:t>What method was used to perform the audit on a sufficient sample in question #</w:t>
            </w:r>
            <w:r w:rsidR="00430AE0">
              <w:rPr>
                <w:rFonts w:cs="Arial"/>
                <w:b/>
                <w:bCs/>
              </w:rPr>
              <w:t>6</w:t>
            </w:r>
            <w:r w:rsidR="001148FE" w:rsidRPr="001148FE">
              <w:rPr>
                <w:rFonts w:cs="Arial"/>
                <w:b/>
                <w:bCs/>
              </w:rPr>
              <w:t>?</w:t>
            </w:r>
          </w:p>
          <w:p w14:paraId="57DEDB98" w14:textId="77777777" w:rsidR="00A879E1" w:rsidRDefault="00A879E1" w:rsidP="00A879E1">
            <w:pPr>
              <w:rPr>
                <w:b/>
                <w:bCs/>
              </w:rPr>
            </w:pPr>
          </w:p>
          <w:p w14:paraId="2DD2638D" w14:textId="77777777" w:rsidR="002B5D13" w:rsidRDefault="002B5D13" w:rsidP="002B5D13">
            <w:pPr>
              <w:rPr>
                <w:rFonts w:cs="Arial"/>
              </w:rPr>
            </w:pPr>
            <w:r>
              <w:rPr>
                <w:rFonts w:cs="Arial"/>
              </w:rPr>
              <w:t xml:space="preserve">Hospitals can only perform a retrospective audit by reviewing medical records or EHR data if adherence to the safe surgery checklist is clearly documented in the medical record or EHR and the documentation clearly demonstrates </w:t>
            </w:r>
            <w:r w:rsidRPr="00D87C59">
              <w:rPr>
                <w:rFonts w:cs="Arial"/>
                <w:u w:val="single"/>
              </w:rPr>
              <w:t>th</w:t>
            </w:r>
            <w:r>
              <w:rPr>
                <w:rFonts w:cs="Arial"/>
                <w:u w:val="single"/>
              </w:rPr>
              <w:t>at</w:t>
            </w:r>
            <w:r w:rsidRPr="00D87C59">
              <w:rPr>
                <w:rFonts w:cs="Arial"/>
                <w:u w:val="single"/>
              </w:rPr>
              <w:t xml:space="preserve"> each element</w:t>
            </w:r>
            <w:r>
              <w:rPr>
                <w:rFonts w:cs="Arial"/>
                <w:u w:val="single"/>
              </w:rPr>
              <w:t xml:space="preserve"> was verbalized in the presence of the appropriate personnel. </w:t>
            </w:r>
            <w:r>
              <w:rPr>
                <w:rFonts w:cs="Arial"/>
              </w:rPr>
              <w:t xml:space="preserve">If hospitals cannot clearly determine whether (a) the checklist element was verbalized and (b) that the appropriate personnel were present via a retrospective audit, an in-person observational audit must be completed. </w:t>
            </w:r>
          </w:p>
          <w:p w14:paraId="7B41F535" w14:textId="77777777" w:rsidR="002B5D13" w:rsidRDefault="002B5D13" w:rsidP="002B5D13">
            <w:pPr>
              <w:rPr>
                <w:rFonts w:cs="Arial"/>
              </w:rPr>
            </w:pPr>
          </w:p>
          <w:p w14:paraId="0E4C63AC" w14:textId="77777777" w:rsidR="003D4CDD" w:rsidRDefault="003D4CDD" w:rsidP="003D4CDD">
            <w:pPr>
              <w:rPr>
                <w:rFonts w:cs="Arial"/>
              </w:rPr>
            </w:pPr>
            <w:r>
              <w:rPr>
                <w:rFonts w:cs="Arial"/>
              </w:rPr>
              <w:t xml:space="preserve">Hospitals performing in-person observational audits must do so in the latest 12 months prior to Survey submission. </w:t>
            </w:r>
          </w:p>
          <w:p w14:paraId="239866C6" w14:textId="77777777" w:rsidR="003D4CDD" w:rsidRDefault="003D4CDD" w:rsidP="003D4CDD">
            <w:pPr>
              <w:rPr>
                <w:rFonts w:cs="Arial"/>
              </w:rPr>
            </w:pPr>
          </w:p>
          <w:p w14:paraId="37E4746B" w14:textId="6122DC61" w:rsidR="00FB07A6" w:rsidRPr="008A1378" w:rsidRDefault="003D4CDD" w:rsidP="003D4CDD">
            <w:pPr>
              <w:rPr>
                <w:b/>
                <w:bCs/>
              </w:rPr>
            </w:pPr>
            <w:r>
              <w:rPr>
                <w:rFonts w:cs="Arial"/>
              </w:rPr>
              <w:t>Hospitals performing retrospective audits must audit cases from the latest 12 months prior to Survey submission but can also review any case from Section 9C that was performed in the latest calendar year prior to Survey submission.</w:t>
            </w:r>
          </w:p>
        </w:tc>
      </w:tr>
      <w:tr w:rsidR="00AC6F2D" w14:paraId="061B2BF4" w14:textId="77777777" w:rsidTr="00AC6F2D">
        <w:trPr>
          <w:trHeight w:val="1691"/>
        </w:trPr>
        <w:tc>
          <w:tcPr>
            <w:tcW w:w="9350" w:type="dxa"/>
          </w:tcPr>
          <w:p w14:paraId="48F270C0" w14:textId="77777777" w:rsidR="00AC6F2D" w:rsidRDefault="00AC6F2D" w:rsidP="00AC6F2D">
            <w:pPr>
              <w:contextualSpacing/>
              <w:rPr>
                <w:rFonts w:cstheme="minorHAnsi"/>
              </w:rPr>
            </w:pPr>
            <w:r w:rsidRPr="00EA6AEE">
              <w:rPr>
                <w:b/>
                <w:bCs/>
              </w:rPr>
              <w:t>Question #</w:t>
            </w:r>
            <w:r>
              <w:rPr>
                <w:b/>
                <w:bCs/>
              </w:rPr>
              <w:t>9</w:t>
            </w:r>
            <w:r w:rsidRPr="00EA6AEE">
              <w:rPr>
                <w:b/>
                <w:bCs/>
              </w:rPr>
              <w:t xml:space="preserve">: </w:t>
            </w:r>
            <w:r w:rsidRPr="00501726">
              <w:rPr>
                <w:b/>
                <w:bCs/>
              </w:rPr>
              <w:t xml:space="preserve">Based on your hospital’s audit (either in-person or via the medical record or other EHR data) on </w:t>
            </w:r>
            <w:r>
              <w:rPr>
                <w:b/>
                <w:bCs/>
              </w:rPr>
              <w:t>a sufficient sample</w:t>
            </w:r>
            <w:r w:rsidRPr="00501726">
              <w:rPr>
                <w:b/>
                <w:bCs/>
              </w:rPr>
              <w:t xml:space="preserve"> of patients who underwent a procedure included in Section </w:t>
            </w:r>
            <w:r>
              <w:rPr>
                <w:b/>
                <w:bCs/>
              </w:rPr>
              <w:t>9</w:t>
            </w:r>
            <w:r w:rsidRPr="00501726">
              <w:rPr>
                <w:b/>
                <w:bCs/>
              </w:rPr>
              <w:t>C, what was your hospitals documented rate of adherence to the safe surgery checklist (e.g., what percentage of the sampled cases had all elements in questions #</w:t>
            </w:r>
            <w:r>
              <w:rPr>
                <w:b/>
                <w:bCs/>
              </w:rPr>
              <w:t>3</w:t>
            </w:r>
            <w:r w:rsidRPr="00501726">
              <w:rPr>
                <w:b/>
                <w:bCs/>
              </w:rPr>
              <w:t>, #</w:t>
            </w:r>
            <w:r>
              <w:rPr>
                <w:b/>
                <w:bCs/>
              </w:rPr>
              <w:t>4</w:t>
            </w:r>
            <w:r w:rsidRPr="00501726">
              <w:rPr>
                <w:b/>
                <w:bCs/>
              </w:rPr>
              <w:t>, and #</w:t>
            </w:r>
            <w:r>
              <w:rPr>
                <w:b/>
                <w:bCs/>
              </w:rPr>
              <w:t>5</w:t>
            </w:r>
            <w:r w:rsidRPr="00501726">
              <w:rPr>
                <w:b/>
                <w:bCs/>
              </w:rPr>
              <w:t xml:space="preserve"> completed)?</w:t>
            </w:r>
          </w:p>
          <w:p w14:paraId="17DC5609" w14:textId="77777777" w:rsidR="00AC6F2D" w:rsidRDefault="00AC6F2D" w:rsidP="00AC6F2D">
            <w:pPr>
              <w:contextualSpacing/>
            </w:pPr>
          </w:p>
          <w:p w14:paraId="7ADD5A67" w14:textId="77777777" w:rsidR="00AC6F2D" w:rsidRDefault="00AC6F2D" w:rsidP="00AC6F2D">
            <w:pPr>
              <w:contextualSpacing/>
            </w:pPr>
            <w:r>
              <w:t xml:space="preserve">Based on the audit completed for question #6, determine the total number of patient audits where </w:t>
            </w:r>
            <w:r w:rsidRPr="00EA6AEE">
              <w:rPr>
                <w:b/>
                <w:bCs/>
                <w:u w:val="single"/>
              </w:rPr>
              <w:t>all</w:t>
            </w:r>
            <w:r>
              <w:t xml:space="preserve"> elements of the safe surgery checklist (included in questions #3, #4, and #5) were read aloud in the presence of the appropriate personnel 1) before the induction of anesthesia, 2) before the skin incision and/or the procedure began, and 3) before the patient left the operating and/or procedure room. </w:t>
            </w:r>
          </w:p>
          <w:p w14:paraId="18E21808" w14:textId="77777777" w:rsidR="00AC6F2D" w:rsidRDefault="00AC6F2D" w:rsidP="00AC6F2D">
            <w:pPr>
              <w:contextualSpacing/>
            </w:pPr>
          </w:p>
          <w:p w14:paraId="34C0B310" w14:textId="77777777" w:rsidR="00AC6F2D" w:rsidRPr="00EA6AEE" w:rsidRDefault="00AC6F2D" w:rsidP="00AC6F2D">
            <w:pPr>
              <w:contextualSpacing/>
              <w:rPr>
                <w:b/>
                <w:bCs/>
              </w:rPr>
            </w:pPr>
            <w:r w:rsidRPr="00EA6AEE">
              <w:rPr>
                <w:b/>
                <w:bCs/>
              </w:rPr>
              <w:t>Included cases:</w:t>
            </w:r>
          </w:p>
          <w:p w14:paraId="5FA24394" w14:textId="77777777" w:rsidR="00AC6F2D" w:rsidRDefault="00AC6F2D" w:rsidP="00AC6F2D">
            <w:pPr>
              <w:pStyle w:val="ListParagraph"/>
              <w:numPr>
                <w:ilvl w:val="0"/>
                <w:numId w:val="165"/>
              </w:numPr>
            </w:pPr>
            <w:r>
              <w:t xml:space="preserve">The patient audit shows that </w:t>
            </w:r>
            <w:r w:rsidRPr="00EA6AEE">
              <w:rPr>
                <w:b/>
                <w:bCs/>
                <w:u w:val="single"/>
              </w:rPr>
              <w:t>all</w:t>
            </w:r>
            <w:r>
              <w:t xml:space="preserve"> elements of the safe surgery checklist, at </w:t>
            </w:r>
            <w:r w:rsidRPr="00EA6AEE">
              <w:rPr>
                <w:b/>
                <w:bCs/>
                <w:u w:val="single"/>
              </w:rPr>
              <w:t>all</w:t>
            </w:r>
            <w:r>
              <w:t xml:space="preserve"> three time points, were read aloud in the presence of the appropriate personnel. </w:t>
            </w:r>
          </w:p>
          <w:p w14:paraId="6F076BA4" w14:textId="77777777" w:rsidR="00AC6F2D" w:rsidRDefault="00AC6F2D" w:rsidP="00AC6F2D">
            <w:pPr>
              <w:contextualSpacing/>
            </w:pPr>
          </w:p>
          <w:p w14:paraId="0AB95B7B" w14:textId="77777777" w:rsidR="00AC6F2D" w:rsidRPr="00EA6AEE" w:rsidRDefault="00AC6F2D" w:rsidP="00AC6F2D">
            <w:pPr>
              <w:contextualSpacing/>
              <w:rPr>
                <w:b/>
                <w:bCs/>
              </w:rPr>
            </w:pPr>
            <w:r w:rsidRPr="00EA6AEE">
              <w:rPr>
                <w:b/>
                <w:bCs/>
              </w:rPr>
              <w:t>Excluded cases:</w:t>
            </w:r>
          </w:p>
          <w:p w14:paraId="03F73C8D" w14:textId="77777777" w:rsidR="00AC6F2D" w:rsidRDefault="00AC6F2D" w:rsidP="00AC6F2D">
            <w:pPr>
              <w:pStyle w:val="ListParagraph"/>
              <w:numPr>
                <w:ilvl w:val="0"/>
                <w:numId w:val="165"/>
              </w:numPr>
            </w:pPr>
            <w:r>
              <w:t xml:space="preserve">The patient audit does </w:t>
            </w:r>
            <w:r w:rsidRPr="00EA6AEE">
              <w:rPr>
                <w:b/>
                <w:bCs/>
                <w:u w:val="single"/>
              </w:rPr>
              <w:t>not</w:t>
            </w:r>
            <w:r>
              <w:t xml:space="preserve"> demonstrate that all elements of the safe surgery checklist were read aloud in the presence of the appropriate personnel (i.e., one or more elements of the checklist were not read aloud, or the appropriate personnel were not present during the checklist). </w:t>
            </w:r>
          </w:p>
          <w:p w14:paraId="3EDAAFE9" w14:textId="77777777" w:rsidR="00AC6F2D" w:rsidRDefault="00AC6F2D" w:rsidP="00AC6F2D">
            <w:pPr>
              <w:pStyle w:val="ListParagraph"/>
              <w:numPr>
                <w:ilvl w:val="0"/>
                <w:numId w:val="165"/>
              </w:numPr>
            </w:pPr>
            <w:r>
              <w:t xml:space="preserve">The patient audit does </w:t>
            </w:r>
            <w:r w:rsidRPr="00EA6AEE">
              <w:rPr>
                <w:b/>
                <w:bCs/>
                <w:u w:val="single"/>
              </w:rPr>
              <w:t>not</w:t>
            </w:r>
            <w:r>
              <w:t xml:space="preserve"> demonstrate that the safe surgery checklist was read aloud in the presence of the appropriate personnel at all three time points (i.e., before anesthesia, before skin incision, and before the patient leaves). </w:t>
            </w:r>
          </w:p>
          <w:p w14:paraId="669B4A72" w14:textId="77777777" w:rsidR="00AC6F2D" w:rsidRDefault="00AC6F2D" w:rsidP="00AC6F2D"/>
          <w:p w14:paraId="76B48339" w14:textId="6E83D838" w:rsidR="00AC6F2D" w:rsidRDefault="00AC6F2D" w:rsidP="00AC6F2D">
            <w:pPr>
              <w:rPr>
                <w:b/>
                <w:bCs/>
              </w:rPr>
            </w:pPr>
            <w:r w:rsidRPr="00EA6AEE">
              <w:rPr>
                <w:b/>
                <w:bCs/>
              </w:rPr>
              <w:t>Important Note</w:t>
            </w:r>
            <w:r>
              <w:t>: If a Safe Surgery Checklist element includes the qualifier “if applicable,” hospitals should determine if that element of the checklist was applicable to the patient and procedure being performed. If the element was determined to be “not applicable” to the patient and procedure, it does not count against the total adherence. For example, if your hospital performed a hernia repair, the availability of a device on-site would not be applicable. Therefore, when completing the Safe Surgery Checklist Workbook for this patient, indicate N/A for that element (device on-site) and your hospital would be able to count that case as adherent.</w:t>
            </w:r>
          </w:p>
        </w:tc>
      </w:tr>
    </w:tbl>
    <w:p w14:paraId="01BF606F" w14:textId="77777777" w:rsidR="002D1A88" w:rsidRPr="00156DDC" w:rsidRDefault="002D1A88" w:rsidP="002D1A88">
      <w:pPr>
        <w:rPr>
          <w:lang w:eastAsia="ja-JP"/>
        </w:rPr>
      </w:pPr>
    </w:p>
    <w:p w14:paraId="2D475925" w14:textId="32973559" w:rsidR="008B3BB3" w:rsidRDefault="0067431F">
      <w:pPr>
        <w:rPr>
          <w:b/>
          <w:sz w:val="28"/>
          <w:szCs w:val="24"/>
          <w:u w:val="single"/>
          <w:lang w:eastAsia="ja-JP"/>
        </w:rPr>
      </w:pPr>
      <w:r>
        <w:rPr>
          <w:b/>
          <w:sz w:val="28"/>
          <w:szCs w:val="24"/>
          <w:u w:val="single"/>
          <w:lang w:eastAsia="ja-JP"/>
        </w:rPr>
        <w:br w:type="page"/>
      </w:r>
    </w:p>
    <w:p w14:paraId="3E6D1EF5" w14:textId="06B8863F" w:rsidR="002272A8" w:rsidRDefault="00AB15C8" w:rsidP="00CF5A6E">
      <w:pPr>
        <w:pStyle w:val="Heading2"/>
      </w:pPr>
      <w:bookmarkStart w:id="801" w:name="_Safety_of_Procedures"/>
      <w:bookmarkStart w:id="802" w:name="_Toc225877867"/>
      <w:bookmarkEnd w:id="801"/>
      <w:r>
        <w:t xml:space="preserve">Section 9D: </w:t>
      </w:r>
      <w:r w:rsidR="00981824">
        <w:t>Safety of Procedures</w:t>
      </w:r>
      <w:r w:rsidR="002272A8">
        <w:t xml:space="preserve"> Frequently Asked Questions (FAQs)</w:t>
      </w:r>
      <w:bookmarkEnd w:id="791"/>
      <w:bookmarkEnd w:id="802"/>
    </w:p>
    <w:p w14:paraId="7B497976" w14:textId="77777777" w:rsidR="00981824" w:rsidRDefault="00981824" w:rsidP="00981824">
      <w:pPr>
        <w:rPr>
          <w:lang w:eastAsia="ja-JP"/>
        </w:rPr>
      </w:pPr>
    </w:p>
    <w:p w14:paraId="46DA59D6" w14:textId="6013E4E3" w:rsidR="001213DB" w:rsidRDefault="001213DB" w:rsidP="00AB5B80">
      <w:pPr>
        <w:pStyle w:val="Heading3"/>
      </w:pPr>
      <w:bookmarkStart w:id="803" w:name="_Toc225877868"/>
      <w:r>
        <w:t>General</w:t>
      </w:r>
      <w:r w:rsidR="00524BF3">
        <w:t xml:space="preserve"> Questions</w:t>
      </w:r>
      <w:bookmarkEnd w:id="803"/>
      <w:r w:rsidR="00524BF3">
        <w:t xml:space="preserve"> </w:t>
      </w:r>
    </w:p>
    <w:p w14:paraId="5E3B6854" w14:textId="77777777" w:rsidR="001213DB" w:rsidRPr="001213DB" w:rsidRDefault="001213DB" w:rsidP="001213DB">
      <w:pPr>
        <w:rPr>
          <w:lang w:eastAsia="ja-JP"/>
        </w:rPr>
      </w:pPr>
    </w:p>
    <w:p w14:paraId="020330EB" w14:textId="294160C1" w:rsidR="001213DB" w:rsidRPr="001213DB" w:rsidRDefault="001213DB" w:rsidP="00AD309C">
      <w:pPr>
        <w:pStyle w:val="ListParagraph"/>
        <w:numPr>
          <w:ilvl w:val="0"/>
          <w:numId w:val="136"/>
        </w:numPr>
        <w:rPr>
          <w:b/>
          <w:bCs/>
          <w:lang w:eastAsia="ja-JP"/>
        </w:rPr>
      </w:pPr>
      <w:r w:rsidRPr="001213DB">
        <w:rPr>
          <w:b/>
          <w:bCs/>
          <w:lang w:eastAsia="ja-JP"/>
        </w:rPr>
        <w:t>How should hospitals report on</w:t>
      </w:r>
      <w:r>
        <w:rPr>
          <w:b/>
          <w:bCs/>
          <w:lang w:eastAsia="ja-JP"/>
        </w:rPr>
        <w:t xml:space="preserve"> the processes in</w:t>
      </w:r>
      <w:r w:rsidRPr="001213DB">
        <w:rPr>
          <w:b/>
          <w:bCs/>
          <w:lang w:eastAsia="ja-JP"/>
        </w:rPr>
        <w:t xml:space="preserve"> Section </w:t>
      </w:r>
      <w:r w:rsidR="00FB07A6">
        <w:rPr>
          <w:b/>
          <w:bCs/>
          <w:lang w:eastAsia="ja-JP"/>
        </w:rPr>
        <w:t>9</w:t>
      </w:r>
      <w:r w:rsidRPr="001213DB">
        <w:rPr>
          <w:b/>
          <w:bCs/>
          <w:lang w:eastAsia="ja-JP"/>
        </w:rPr>
        <w:t xml:space="preserve">D Safety of Procedures if they have more than one hospital outpatient department performing the procedures listed in Section </w:t>
      </w:r>
      <w:r w:rsidR="00FB07A6">
        <w:rPr>
          <w:b/>
          <w:bCs/>
          <w:lang w:eastAsia="ja-JP"/>
        </w:rPr>
        <w:t>9</w:t>
      </w:r>
      <w:r w:rsidRPr="001213DB">
        <w:rPr>
          <w:b/>
          <w:bCs/>
          <w:lang w:eastAsia="ja-JP"/>
        </w:rPr>
        <w:t>C Volume of Procedures?</w:t>
      </w:r>
    </w:p>
    <w:p w14:paraId="4F78651D" w14:textId="4C29A80D" w:rsidR="001213DB" w:rsidRDefault="001213DB" w:rsidP="001213DB">
      <w:pPr>
        <w:pStyle w:val="ListParagraph"/>
        <w:ind w:left="360"/>
        <w:rPr>
          <w:lang w:eastAsia="ja-JP"/>
        </w:rPr>
      </w:pPr>
      <w:r>
        <w:rPr>
          <w:lang w:eastAsia="ja-JP"/>
        </w:rPr>
        <w:t xml:space="preserve">Hospitals with more than one hospital outpatient department are instructed to respond to Section </w:t>
      </w:r>
      <w:r w:rsidR="00FB07A6">
        <w:rPr>
          <w:lang w:eastAsia="ja-JP"/>
        </w:rPr>
        <w:t>9</w:t>
      </w:r>
      <w:r>
        <w:rPr>
          <w:lang w:eastAsia="ja-JP"/>
        </w:rPr>
        <w:t xml:space="preserve">D based on the location with the fewest processes in place. For example, if one hospital outpatient department </w:t>
      </w:r>
      <w:r w:rsidR="00101F09">
        <w:rPr>
          <w:lang w:eastAsia="ja-JP"/>
        </w:rPr>
        <w:t xml:space="preserve">uses a safe surgery checklist on all patients, </w:t>
      </w:r>
      <w:r>
        <w:rPr>
          <w:lang w:eastAsia="ja-JP"/>
        </w:rPr>
        <w:t>but another hospital outpatient department does not, you should answer “no” to question #</w:t>
      </w:r>
      <w:r w:rsidR="00A85EBE">
        <w:rPr>
          <w:lang w:eastAsia="ja-JP"/>
        </w:rPr>
        <w:t>6</w:t>
      </w:r>
      <w:r>
        <w:rPr>
          <w:lang w:eastAsia="ja-JP"/>
        </w:rPr>
        <w:t>.</w:t>
      </w:r>
    </w:p>
    <w:p w14:paraId="01783BB1" w14:textId="7053B9E4" w:rsidR="00031441" w:rsidRDefault="00031441" w:rsidP="00031441">
      <w:pPr>
        <w:rPr>
          <w:lang w:eastAsia="ja-JP"/>
        </w:rPr>
      </w:pPr>
    </w:p>
    <w:p w14:paraId="61B5E5AE" w14:textId="20F03F4F" w:rsidR="003E6B5E" w:rsidRPr="00764A72" w:rsidRDefault="002272A8" w:rsidP="00AB5B80">
      <w:pPr>
        <w:pStyle w:val="Heading3"/>
      </w:pPr>
      <w:bookmarkStart w:id="804" w:name="_Safe_Surgery_Checklist"/>
      <w:bookmarkStart w:id="805" w:name="_Toc3815046"/>
      <w:bookmarkStart w:id="806" w:name="_Ref123648860"/>
      <w:bookmarkStart w:id="807" w:name="_Toc225877869"/>
      <w:bookmarkEnd w:id="804"/>
      <w:r>
        <w:t>Safe Surgery Checklist</w:t>
      </w:r>
      <w:bookmarkEnd w:id="805"/>
      <w:r w:rsidR="00EB00AB">
        <w:t xml:space="preserve"> for Adult and Pediatric Outpatient Procedures</w:t>
      </w:r>
      <w:bookmarkEnd w:id="806"/>
      <w:r w:rsidR="006E0696">
        <w:t xml:space="preserve"> FAQs</w:t>
      </w:r>
      <w:bookmarkEnd w:id="807"/>
      <w:r w:rsidR="008C7171">
        <w:br/>
      </w:r>
    </w:p>
    <w:p w14:paraId="2C0307E1" w14:textId="0AF3421B" w:rsidR="007C2375" w:rsidRPr="00C20F56" w:rsidRDefault="007C2375" w:rsidP="00AD309C">
      <w:pPr>
        <w:pStyle w:val="ListParagraph"/>
        <w:numPr>
          <w:ilvl w:val="0"/>
          <w:numId w:val="136"/>
        </w:numPr>
        <w:rPr>
          <w:lang w:eastAsia="ja-JP"/>
        </w:rPr>
      </w:pPr>
      <w:r w:rsidRPr="0042165D">
        <w:rPr>
          <w:b/>
          <w:lang w:eastAsia="ja-JP"/>
        </w:rPr>
        <w:t>What 12-month reporting period should be used when reporting on this section?</w:t>
      </w:r>
    </w:p>
    <w:p w14:paraId="0B5207D3" w14:textId="58328879" w:rsidR="007C2375" w:rsidRDefault="007C2375" w:rsidP="0042165D">
      <w:pPr>
        <w:pStyle w:val="ListParagraph"/>
        <w:ind w:left="360"/>
        <w:rPr>
          <w:lang w:eastAsia="ja-JP"/>
        </w:rPr>
      </w:pPr>
      <w:r>
        <w:rPr>
          <w:lang w:eastAsia="ja-JP"/>
        </w:rPr>
        <w:t xml:space="preserve">When responding to the questions in Section </w:t>
      </w:r>
      <w:r w:rsidR="0042165D">
        <w:rPr>
          <w:lang w:eastAsia="ja-JP"/>
        </w:rPr>
        <w:t>9D</w:t>
      </w:r>
      <w:r>
        <w:rPr>
          <w:lang w:eastAsia="ja-JP"/>
        </w:rPr>
        <w:t xml:space="preserve">, hospitals should </w:t>
      </w:r>
      <w:r w:rsidRPr="005C1DC6">
        <w:rPr>
          <w:lang w:eastAsia="ja-JP"/>
        </w:rPr>
        <w:t xml:space="preserve">enter the month in which </w:t>
      </w:r>
      <w:r>
        <w:rPr>
          <w:lang w:eastAsia="ja-JP"/>
        </w:rPr>
        <w:t>they</w:t>
      </w:r>
      <w:r w:rsidRPr="005C1DC6">
        <w:rPr>
          <w:lang w:eastAsia="ja-JP"/>
        </w:rPr>
        <w:t xml:space="preserve"> complete </w:t>
      </w:r>
      <w:r>
        <w:rPr>
          <w:lang w:eastAsia="ja-JP"/>
        </w:rPr>
        <w:t xml:space="preserve">their </w:t>
      </w:r>
      <w:r w:rsidRPr="005C1DC6">
        <w:rPr>
          <w:lang w:eastAsia="ja-JP"/>
        </w:rPr>
        <w:t xml:space="preserve">observational in-person or retrospective EHR </w:t>
      </w:r>
      <w:r>
        <w:rPr>
          <w:lang w:eastAsia="ja-JP"/>
        </w:rPr>
        <w:t xml:space="preserve">review audits. If </w:t>
      </w:r>
      <w:r w:rsidR="004761C9">
        <w:rPr>
          <w:lang w:eastAsia="ja-JP"/>
        </w:rPr>
        <w:t xml:space="preserve">your </w:t>
      </w:r>
      <w:r>
        <w:rPr>
          <w:lang w:eastAsia="ja-JP"/>
        </w:rPr>
        <w:t>hospital</w:t>
      </w:r>
      <w:r w:rsidR="004761C9">
        <w:rPr>
          <w:lang w:eastAsia="ja-JP"/>
        </w:rPr>
        <w:t xml:space="preserve"> does</w:t>
      </w:r>
      <w:r>
        <w:rPr>
          <w:lang w:eastAsia="ja-JP"/>
        </w:rPr>
        <w:t xml:space="preserve"> not perform an audit, enter the month in which you are completing the Survey.  </w:t>
      </w:r>
    </w:p>
    <w:p w14:paraId="449D8C93" w14:textId="77777777" w:rsidR="0042165D" w:rsidRPr="00C20F56" w:rsidRDefault="0042165D" w:rsidP="0042165D">
      <w:pPr>
        <w:pStyle w:val="ListParagraph"/>
        <w:ind w:left="360"/>
        <w:rPr>
          <w:lang w:eastAsia="ja-JP"/>
        </w:rPr>
      </w:pPr>
    </w:p>
    <w:p w14:paraId="59592724" w14:textId="58101742" w:rsidR="00EC28B6" w:rsidRPr="00974A8E" w:rsidRDefault="00EC28B6" w:rsidP="00AD309C">
      <w:pPr>
        <w:pStyle w:val="ListParagraph"/>
        <w:numPr>
          <w:ilvl w:val="0"/>
          <w:numId w:val="136"/>
        </w:numPr>
        <w:rPr>
          <w:lang w:eastAsia="ja-JP"/>
        </w:rPr>
      </w:pPr>
      <w:r>
        <w:rPr>
          <w:b/>
          <w:lang w:eastAsia="ja-JP"/>
        </w:rPr>
        <w:t xml:space="preserve">Does the safe surgery checklist referenced in Section </w:t>
      </w:r>
      <w:r w:rsidR="00524BF3">
        <w:rPr>
          <w:b/>
          <w:lang w:eastAsia="ja-JP"/>
        </w:rPr>
        <w:t>9</w:t>
      </w:r>
      <w:r w:rsidR="00E7127F">
        <w:rPr>
          <w:b/>
          <w:lang w:eastAsia="ja-JP"/>
        </w:rPr>
        <w:t>D</w:t>
      </w:r>
      <w:r>
        <w:rPr>
          <w:b/>
          <w:lang w:eastAsia="ja-JP"/>
        </w:rPr>
        <w:t xml:space="preserve"> questions #</w:t>
      </w:r>
      <w:r w:rsidR="00F6404D">
        <w:rPr>
          <w:b/>
          <w:lang w:eastAsia="ja-JP"/>
        </w:rPr>
        <w:t>1-9</w:t>
      </w:r>
      <w:r>
        <w:rPr>
          <w:b/>
          <w:lang w:eastAsia="ja-JP"/>
        </w:rPr>
        <w:t xml:space="preserve"> apply to all procedures, including colonoscopies, endoscopies, etc.?</w:t>
      </w:r>
    </w:p>
    <w:p w14:paraId="4C3F7F1F" w14:textId="0EB9B93E" w:rsidR="00EC28B6" w:rsidRDefault="00EC28B6" w:rsidP="00EC28B6">
      <w:pPr>
        <w:pStyle w:val="CommentText"/>
        <w:ind w:left="360"/>
      </w:pPr>
      <w:r>
        <w:t xml:space="preserve">Yes, it applies to all procedures in Section </w:t>
      </w:r>
      <w:r w:rsidR="00524BF3">
        <w:t>9</w:t>
      </w:r>
      <w:r>
        <w:t>C questions #</w:t>
      </w:r>
      <w:r w:rsidR="005D782F">
        <w:t>2-10</w:t>
      </w:r>
      <w:r>
        <w:t xml:space="preserve">. If your </w:t>
      </w:r>
      <w:r w:rsidR="00E7127F">
        <w:t>hospital outpatient department</w:t>
      </w:r>
      <w:r w:rsidR="005A4897">
        <w:t>(</w:t>
      </w:r>
      <w:r w:rsidR="00E7127F">
        <w:t>s</w:t>
      </w:r>
      <w:r w:rsidR="005A4897">
        <w:t>)</w:t>
      </w:r>
      <w:r w:rsidR="00E7127F">
        <w:t xml:space="preserve"> do </w:t>
      </w:r>
      <w:r>
        <w:t>not utilize a safe surgery checklist for colonoscopy and/or endoscopy, respond “</w:t>
      </w:r>
      <w:r w:rsidR="009B25B1">
        <w:t>N</w:t>
      </w:r>
      <w:r>
        <w:t>o” to question #</w:t>
      </w:r>
      <w:r w:rsidR="00F6404D">
        <w:t>2</w:t>
      </w:r>
      <w:r>
        <w:t>.</w:t>
      </w:r>
    </w:p>
    <w:p w14:paraId="4CF3AAC3" w14:textId="16486509" w:rsidR="00524BF3" w:rsidRDefault="00524BF3" w:rsidP="00EC28B6">
      <w:pPr>
        <w:pStyle w:val="CommentText"/>
        <w:ind w:left="360"/>
      </w:pPr>
    </w:p>
    <w:p w14:paraId="101FAFBA" w14:textId="0799B17E" w:rsidR="00524BF3" w:rsidRPr="007A4892" w:rsidRDefault="00524BF3" w:rsidP="00AD309C">
      <w:pPr>
        <w:pStyle w:val="ListParagraph"/>
        <w:numPr>
          <w:ilvl w:val="0"/>
          <w:numId w:val="136"/>
        </w:numPr>
        <w:rPr>
          <w:b/>
          <w:bCs/>
        </w:rPr>
      </w:pPr>
      <w:r w:rsidRPr="007A4892">
        <w:rPr>
          <w:b/>
          <w:bCs/>
        </w:rPr>
        <w:t>Can different elements of the “Before the induction of anesthesia” checklist (question #</w:t>
      </w:r>
      <w:r w:rsidR="00301ED6">
        <w:rPr>
          <w:b/>
          <w:bCs/>
        </w:rPr>
        <w:t>3</w:t>
      </w:r>
      <w:r w:rsidRPr="007A4892">
        <w:rPr>
          <w:b/>
          <w:bCs/>
        </w:rPr>
        <w:t>) be performed in different places?</w:t>
      </w:r>
    </w:p>
    <w:p w14:paraId="2AA53F13" w14:textId="77777777" w:rsidR="00524BF3" w:rsidRPr="00B00E2A" w:rsidRDefault="00524BF3" w:rsidP="00524BF3">
      <w:pPr>
        <w:pStyle w:val="ListParagraph"/>
        <w:ind w:left="360"/>
      </w:pPr>
      <w:r w:rsidRPr="00B00E2A">
        <w:t xml:space="preserve">Yes, hospitals may perform some elements of the pre-anesthesia checklist outside of the operating room. Hospitals may read aloud the following elements in a pre-procedure (preop) area: Patient ID, Confirmation of procedure, Patient consent, Site marked, if applicable, and Allergies assessed. </w:t>
      </w:r>
    </w:p>
    <w:p w14:paraId="207180D7" w14:textId="77777777" w:rsidR="00524BF3" w:rsidRPr="00B00E2A" w:rsidRDefault="00524BF3" w:rsidP="00524BF3">
      <w:pPr>
        <w:pStyle w:val="ListParagraph"/>
        <w:ind w:left="360"/>
      </w:pPr>
    </w:p>
    <w:p w14:paraId="5D30B71C" w14:textId="03EA5A49" w:rsidR="00524BF3" w:rsidRDefault="00524BF3" w:rsidP="00753419">
      <w:pPr>
        <w:pStyle w:val="ListParagraph"/>
        <w:ind w:left="360"/>
      </w:pPr>
      <w:r w:rsidRPr="00B00E2A">
        <w:t>Hospitals should not remove conversation prompts as it is harmful to the purpose of the checklist and should continue debriefing and requiring participation of the surgical team members in key moments.</w:t>
      </w:r>
    </w:p>
    <w:p w14:paraId="2584C820" w14:textId="71FE33E9" w:rsidR="008C2B4F" w:rsidRDefault="008C2B4F" w:rsidP="00753419">
      <w:pPr>
        <w:pStyle w:val="ListParagraph"/>
      </w:pPr>
    </w:p>
    <w:p w14:paraId="3D162B0D" w14:textId="620928E2" w:rsidR="00A07DC5" w:rsidRPr="00A07DC5" w:rsidRDefault="00A07DC5" w:rsidP="00AD309C">
      <w:pPr>
        <w:pStyle w:val="ListParagraph"/>
        <w:numPr>
          <w:ilvl w:val="0"/>
          <w:numId w:val="136"/>
        </w:numPr>
        <w:rPr>
          <w:b/>
          <w:bCs/>
        </w:rPr>
      </w:pPr>
      <w:bookmarkStart w:id="808" w:name="surgical_team"/>
      <w:bookmarkStart w:id="809" w:name="clinicalteamintro_9d"/>
      <w:bookmarkEnd w:id="808"/>
      <w:bookmarkEnd w:id="809"/>
      <w:r w:rsidRPr="00A07DC5">
        <w:rPr>
          <w:b/>
          <w:bCs/>
        </w:rPr>
        <w:t>Do we need to perform a “clinical team introduction” if the team already knows each other and/or will be in the operating room together all day?</w:t>
      </w:r>
    </w:p>
    <w:p w14:paraId="167E675E" w14:textId="4ACA3F72" w:rsidR="00A07DC5" w:rsidRDefault="00A07DC5" w:rsidP="00A07DC5">
      <w:pPr>
        <w:ind w:left="360"/>
      </w:pPr>
      <w:r w:rsidRPr="00AE08E8">
        <w:t xml:space="preserve">Yes. </w:t>
      </w:r>
      <w:r>
        <w:t xml:space="preserve">Even if a clinical team knows each other they must perform an introduction stating their name and role at the first procedure of the day. </w:t>
      </w:r>
      <w:r w:rsidR="00E153C9">
        <w:t xml:space="preserve">They </w:t>
      </w:r>
      <w:r>
        <w:t xml:space="preserve">do not need to reintroduce </w:t>
      </w:r>
      <w:r w:rsidR="00264E80">
        <w:t xml:space="preserve">themselves </w:t>
      </w:r>
      <w:r>
        <w:t>for the remaining procedures</w:t>
      </w:r>
      <w:r w:rsidR="00551D57">
        <w:t xml:space="preserve"> </w:t>
      </w:r>
      <w:r>
        <w:t xml:space="preserve">but should </w:t>
      </w:r>
      <w:r w:rsidRPr="00BA343A">
        <w:t xml:space="preserve">confirm everyone </w:t>
      </w:r>
      <w:r>
        <w:t>was</w:t>
      </w:r>
      <w:r w:rsidRPr="00BA343A">
        <w:t xml:space="preserve"> introduced</w:t>
      </w:r>
      <w:r>
        <w:t xml:space="preserve"> beforehand. However, if any team members change between operations, introductions must be performed again.</w:t>
      </w:r>
    </w:p>
    <w:p w14:paraId="49A54D21" w14:textId="77777777" w:rsidR="00A07DC5" w:rsidRDefault="00A07DC5" w:rsidP="00A07DC5">
      <w:pPr>
        <w:ind w:left="360"/>
      </w:pPr>
    </w:p>
    <w:p w14:paraId="0067453B" w14:textId="4C286E38" w:rsidR="00B169F1" w:rsidRPr="00B169F1" w:rsidRDefault="00B169F1" w:rsidP="00AD309C">
      <w:pPr>
        <w:pStyle w:val="ListParagraph"/>
        <w:numPr>
          <w:ilvl w:val="0"/>
          <w:numId w:val="136"/>
        </w:numPr>
        <w:rPr>
          <w:b/>
          <w:bCs/>
        </w:rPr>
      </w:pPr>
      <w:r w:rsidRPr="00B169F1">
        <w:rPr>
          <w:b/>
          <w:bCs/>
        </w:rPr>
        <w:t xml:space="preserve">Do the Safe Surgery Checklist components included in questions </w:t>
      </w:r>
      <w:r>
        <w:rPr>
          <w:b/>
          <w:bCs/>
        </w:rPr>
        <w:t>#</w:t>
      </w:r>
      <w:r w:rsidR="00F6404D">
        <w:rPr>
          <w:b/>
          <w:bCs/>
        </w:rPr>
        <w:t>3</w:t>
      </w:r>
      <w:r w:rsidRPr="00B169F1">
        <w:rPr>
          <w:b/>
          <w:bCs/>
        </w:rPr>
        <w:t xml:space="preserve">, </w:t>
      </w:r>
      <w:r>
        <w:rPr>
          <w:b/>
          <w:bCs/>
        </w:rPr>
        <w:t>#</w:t>
      </w:r>
      <w:r w:rsidR="00F6404D">
        <w:rPr>
          <w:b/>
          <w:bCs/>
        </w:rPr>
        <w:t>4</w:t>
      </w:r>
      <w:r w:rsidRPr="00B169F1">
        <w:rPr>
          <w:b/>
          <w:bCs/>
        </w:rPr>
        <w:t xml:space="preserve">, and </w:t>
      </w:r>
      <w:r>
        <w:rPr>
          <w:b/>
          <w:bCs/>
        </w:rPr>
        <w:t>#</w:t>
      </w:r>
      <w:r w:rsidR="00F6404D">
        <w:rPr>
          <w:b/>
          <w:bCs/>
        </w:rPr>
        <w:t>5</w:t>
      </w:r>
      <w:r w:rsidRPr="00B169F1">
        <w:rPr>
          <w:b/>
          <w:bCs/>
        </w:rPr>
        <w:t xml:space="preserve"> need to be in one document that would align with the </w:t>
      </w:r>
      <w:hyperlink r:id="rId499" w:history="1">
        <w:r w:rsidR="00E428B3" w:rsidRPr="00E428B3">
          <w:rPr>
            <w:rStyle w:val="Hyperlink"/>
            <w:b/>
            <w:bCs/>
          </w:rPr>
          <w:t>WHO example</w:t>
        </w:r>
      </w:hyperlink>
      <w:r w:rsidR="00E428B3">
        <w:rPr>
          <w:b/>
          <w:bCs/>
        </w:rPr>
        <w:t xml:space="preserve"> </w:t>
      </w:r>
      <w:r w:rsidRPr="00B169F1">
        <w:rPr>
          <w:b/>
          <w:bCs/>
        </w:rPr>
        <w:t xml:space="preserve">or can they be in different documents (i.e., pre-anesthesia notes, surgeon H&amp;P, and pre-surgical checklists, etc.)? </w:t>
      </w:r>
    </w:p>
    <w:p w14:paraId="530CB623" w14:textId="13C65252" w:rsidR="00B169F1" w:rsidRDefault="00B169F1" w:rsidP="00B169F1">
      <w:pPr>
        <w:pStyle w:val="CommentText"/>
        <w:ind w:left="360"/>
      </w:pPr>
      <w:r w:rsidRPr="00B169F1">
        <w:t>It is possible to have separate checklists for each phase of the surgical procedure (i.e., before the induction of anesthesia, before the skin incision and/or before the procedure begins, and before the patient leaves the operating or procedure room). However, each individual component included in questions #</w:t>
      </w:r>
      <w:r w:rsidR="00F6404D">
        <w:t>3</w:t>
      </w:r>
      <w:r w:rsidRPr="00B169F1">
        <w:t xml:space="preserve">, </w:t>
      </w:r>
      <w:r>
        <w:t>#</w:t>
      </w:r>
      <w:r w:rsidR="00F6404D">
        <w:t>4</w:t>
      </w:r>
      <w:r w:rsidRPr="00B169F1">
        <w:t xml:space="preserve">, and </w:t>
      </w:r>
      <w:r>
        <w:t>#</w:t>
      </w:r>
      <w:r w:rsidR="00F6404D">
        <w:t>5</w:t>
      </w:r>
      <w:r w:rsidRPr="00B169F1">
        <w:t xml:space="preserve"> should be listed on the checklist(s) and hospitals should document whether the components were read aloud at the appropriate time with the appropriate members of the surgical team present.</w:t>
      </w:r>
    </w:p>
    <w:p w14:paraId="7D749642" w14:textId="77777777" w:rsidR="00B169F1" w:rsidRPr="00B169F1" w:rsidRDefault="00B169F1" w:rsidP="00B169F1">
      <w:pPr>
        <w:pStyle w:val="CommentText"/>
        <w:ind w:left="360"/>
      </w:pPr>
    </w:p>
    <w:p w14:paraId="401A6C01" w14:textId="5556552D" w:rsidR="008C2B4F" w:rsidRPr="008C2B4F" w:rsidRDefault="008C2B4F" w:rsidP="00AD309C">
      <w:pPr>
        <w:pStyle w:val="CommentText"/>
        <w:numPr>
          <w:ilvl w:val="0"/>
          <w:numId w:val="136"/>
        </w:numPr>
      </w:pPr>
      <w:r>
        <w:rPr>
          <w:b/>
          <w:bCs/>
        </w:rPr>
        <w:t>How is “whole surgical team” defined?</w:t>
      </w:r>
    </w:p>
    <w:p w14:paraId="4128049A" w14:textId="4BF0CD62" w:rsidR="008C2B4F" w:rsidRDefault="008C2B4F" w:rsidP="003903E3">
      <w:pPr>
        <w:pStyle w:val="CommentText"/>
        <w:ind w:left="360"/>
      </w:pPr>
      <w:r>
        <w:t>“Whole surgical team” is comprised of the surgeons, anesthesia professionals, nurses, technicians</w:t>
      </w:r>
      <w:r w:rsidR="003903E3">
        <w:t>,</w:t>
      </w:r>
      <w:r>
        <w:t xml:space="preserve"> and other operating room personnel involved in surgery.</w:t>
      </w:r>
      <w:r w:rsidR="003903E3">
        <w:t xml:space="preserve"> </w:t>
      </w:r>
      <w:r w:rsidR="00EA094B">
        <w:t>This is b</w:t>
      </w:r>
      <w:r>
        <w:t xml:space="preserve">ased off the </w:t>
      </w:r>
      <w:hyperlink r:id="rId500" w:history="1">
        <w:r w:rsidR="003D4CDD" w:rsidRPr="005F5019">
          <w:rPr>
            <w:rStyle w:val="Hyperlink"/>
          </w:rPr>
          <w:t>World Alliance for Patient Safety Implementation Manual Surgical Safety Checklist (First Edition).</w:t>
        </w:r>
      </w:hyperlink>
    </w:p>
    <w:p w14:paraId="43B5FDC1" w14:textId="77777777" w:rsidR="00031441" w:rsidRDefault="00031441">
      <w:pPr>
        <w:rPr>
          <w:b/>
          <w:sz w:val="28"/>
          <w:szCs w:val="24"/>
          <w:u w:val="single"/>
          <w:lang w:eastAsia="ja-JP"/>
        </w:rPr>
      </w:pPr>
      <w:bookmarkStart w:id="810" w:name="_Medication_Safety_for"/>
      <w:bookmarkEnd w:id="810"/>
      <w:r>
        <w:br w:type="page"/>
      </w:r>
    </w:p>
    <w:p w14:paraId="0798EF2B" w14:textId="7E41F737" w:rsidR="00297958" w:rsidRDefault="007A7E54" w:rsidP="00CF5A6E">
      <w:pPr>
        <w:pStyle w:val="Heading2"/>
      </w:pPr>
      <w:bookmarkStart w:id="811" w:name="_Medication_Safety_for_2"/>
      <w:bookmarkStart w:id="812" w:name="_Ref123648423"/>
      <w:bookmarkStart w:id="813" w:name="_Toc225877870"/>
      <w:bookmarkEnd w:id="811"/>
      <w:r>
        <w:t xml:space="preserve">Medication Safety </w:t>
      </w:r>
      <w:r w:rsidR="00EC28B6">
        <w:t xml:space="preserve">for Outpatient Procedures </w:t>
      </w:r>
      <w:r w:rsidR="00565960">
        <w:t>Measure Specifications</w:t>
      </w:r>
      <w:bookmarkEnd w:id="812"/>
      <w:bookmarkEnd w:id="813"/>
    </w:p>
    <w:p w14:paraId="111C0955" w14:textId="7FB40549" w:rsidR="00297958" w:rsidRPr="00253C74" w:rsidRDefault="00297958" w:rsidP="00297958">
      <w:pPr>
        <w:rPr>
          <w:sz w:val="16"/>
          <w:szCs w:val="16"/>
        </w:rPr>
      </w:pPr>
    </w:p>
    <w:p w14:paraId="383BBA3B" w14:textId="1922A769" w:rsidR="00A745AF" w:rsidRDefault="00A745AF" w:rsidP="00297958">
      <w:pPr>
        <w:rPr>
          <w:rFonts w:cs="Arial"/>
          <w:snapToGrid w:val="0"/>
        </w:rPr>
      </w:pPr>
      <w:r w:rsidRPr="00451080">
        <w:rPr>
          <w:b/>
          <w:bCs/>
          <w:color w:val="FF0000"/>
          <w:lang w:eastAsia="ja-JP"/>
        </w:rPr>
        <w:t xml:space="preserve">Important </w:t>
      </w:r>
      <w:r w:rsidR="009974FF" w:rsidRPr="00451080">
        <w:rPr>
          <w:b/>
          <w:bCs/>
          <w:color w:val="FF0000"/>
          <w:lang w:eastAsia="ja-JP"/>
        </w:rPr>
        <w:t>N</w:t>
      </w:r>
      <w:r w:rsidRPr="00451080">
        <w:rPr>
          <w:b/>
          <w:bCs/>
          <w:color w:val="FF0000"/>
          <w:lang w:eastAsia="ja-JP"/>
        </w:rPr>
        <w:t>ote:</w:t>
      </w:r>
      <w:r w:rsidRPr="00451080">
        <w:rPr>
          <w:color w:val="FF0000"/>
          <w:lang w:eastAsia="ja-JP"/>
        </w:rPr>
        <w:t xml:space="preserve"> </w:t>
      </w:r>
      <w:r w:rsidRPr="009A5185">
        <w:rPr>
          <w:rFonts w:cs="Arial"/>
          <w:snapToGrid w:val="0"/>
        </w:rPr>
        <w:t xml:space="preserve">Hospitals that share a </w:t>
      </w:r>
      <w:r>
        <w:rPr>
          <w:rFonts w:cs="Arial"/>
          <w:snapToGrid w:val="0"/>
        </w:rPr>
        <w:t>CMS Certification Number</w:t>
      </w:r>
      <w:r w:rsidRPr="009A5185">
        <w:rPr>
          <w:rFonts w:cs="Arial"/>
          <w:snapToGrid w:val="0"/>
        </w:rPr>
        <w:t xml:space="preserve"> are required to report by facility. Please carefully review </w:t>
      </w:r>
      <w:hyperlink r:id="rId501" w:history="1">
        <w:r w:rsidRPr="009A5185">
          <w:rPr>
            <w:rStyle w:val="Hyperlink"/>
            <w:rFonts w:cs="Arial"/>
            <w:snapToGrid w:val="0"/>
          </w:rPr>
          <w:t>Leapfrog’s Multi-Campus Reporting Policy</w:t>
        </w:r>
      </w:hyperlink>
      <w:r w:rsidRPr="009A5185">
        <w:rPr>
          <w:rFonts w:cs="Arial"/>
          <w:snapToGrid w:val="0"/>
        </w:rPr>
        <w:t>.</w:t>
      </w:r>
    </w:p>
    <w:p w14:paraId="55A261F6" w14:textId="77777777" w:rsidR="00A745AF" w:rsidRPr="00253C74" w:rsidRDefault="00A745AF" w:rsidP="00297958">
      <w:pPr>
        <w:rPr>
          <w:sz w:val="16"/>
          <w:szCs w:val="16"/>
        </w:rPr>
      </w:pPr>
    </w:p>
    <w:tbl>
      <w:tblPr>
        <w:tblW w:w="9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62"/>
      </w:tblGrid>
      <w:tr w:rsidR="003A401F" w:rsidRPr="009A5185" w14:paraId="02A7C1DA" w14:textId="77777777" w:rsidTr="008E5D7F">
        <w:trPr>
          <w:trHeight w:val="287"/>
        </w:trPr>
        <w:tc>
          <w:tcPr>
            <w:tcW w:w="9562" w:type="dxa"/>
            <w:vAlign w:val="center"/>
          </w:tcPr>
          <w:p w14:paraId="4133FE18" w14:textId="3207B6EF" w:rsidR="003A401F" w:rsidRPr="009A5185" w:rsidRDefault="00444B16" w:rsidP="00CA75AB">
            <w:pPr>
              <w:rPr>
                <w:rFonts w:cs="Arial"/>
                <w:b/>
                <w:snapToGrid w:val="0"/>
              </w:rPr>
            </w:pPr>
            <w:r w:rsidRPr="009A5185">
              <w:rPr>
                <w:rFonts w:cs="Arial"/>
                <w:b/>
              </w:rPr>
              <w:t xml:space="preserve">Source: </w:t>
            </w:r>
            <w:r>
              <w:rPr>
                <w:rFonts w:cs="Arial"/>
              </w:rPr>
              <w:t>The Leapfrog Group</w:t>
            </w:r>
          </w:p>
        </w:tc>
      </w:tr>
      <w:tr w:rsidR="00297958" w:rsidRPr="009A5185" w14:paraId="67017223" w14:textId="77777777" w:rsidTr="00253C74">
        <w:trPr>
          <w:trHeight w:val="576"/>
        </w:trPr>
        <w:tc>
          <w:tcPr>
            <w:tcW w:w="9562" w:type="dxa"/>
            <w:vAlign w:val="center"/>
          </w:tcPr>
          <w:p w14:paraId="24B7AACD" w14:textId="2AB36C8A" w:rsidR="00297958" w:rsidRPr="009A5185" w:rsidRDefault="00297958" w:rsidP="00CA75AB">
            <w:pPr>
              <w:rPr>
                <w:rFonts w:cs="Arial"/>
                <w:snapToGrid w:val="0"/>
              </w:rPr>
            </w:pPr>
            <w:r w:rsidRPr="009A5185">
              <w:rPr>
                <w:rFonts w:cs="Arial"/>
                <w:b/>
                <w:snapToGrid w:val="0"/>
              </w:rPr>
              <w:t>Reporting Period:</w:t>
            </w:r>
            <w:r w:rsidRPr="009A5185">
              <w:rPr>
                <w:rFonts w:cs="Arial"/>
                <w:snapToGrid w:val="0"/>
              </w:rPr>
              <w:t xml:space="preserve"> </w:t>
            </w:r>
            <w:r w:rsidRPr="009A5185">
              <w:rPr>
                <w:rFonts w:cs="Arial"/>
                <w:b/>
                <w:snapToGrid w:val="0"/>
              </w:rPr>
              <w:t>12 months</w:t>
            </w:r>
          </w:p>
          <w:p w14:paraId="20BED206" w14:textId="58FA195D" w:rsidR="005A4897" w:rsidRPr="005A4897" w:rsidRDefault="005A4897" w:rsidP="00AD309C">
            <w:pPr>
              <w:pStyle w:val="ListParagraph"/>
              <w:numPr>
                <w:ilvl w:val="0"/>
                <w:numId w:val="29"/>
              </w:numPr>
              <w:rPr>
                <w:rFonts w:cs="Arial"/>
                <w:i/>
                <w:snapToGrid w:val="0"/>
              </w:rPr>
            </w:pPr>
            <w:r>
              <w:rPr>
                <w:rFonts w:cs="Arial"/>
                <w:iCs/>
                <w:snapToGrid w:val="0"/>
              </w:rPr>
              <w:t>Surveys submitted prior to September 1:</w:t>
            </w:r>
          </w:p>
          <w:p w14:paraId="63AD0FDD" w14:textId="4B8355AC" w:rsidR="005A4897" w:rsidRPr="009A5185" w:rsidRDefault="005A4897" w:rsidP="00AD309C">
            <w:pPr>
              <w:pStyle w:val="ListParagraph"/>
              <w:numPr>
                <w:ilvl w:val="1"/>
                <w:numId w:val="29"/>
              </w:numPr>
              <w:rPr>
                <w:rFonts w:cs="Arial"/>
                <w:i/>
                <w:snapToGrid w:val="0"/>
              </w:rPr>
            </w:pPr>
            <w:r>
              <w:rPr>
                <w:rFonts w:cs="Arial"/>
                <w:iCs/>
                <w:snapToGrid w:val="0"/>
              </w:rPr>
              <w:t>01/01/202</w:t>
            </w:r>
            <w:r w:rsidR="00AF4A63">
              <w:rPr>
                <w:rFonts w:cs="Arial"/>
                <w:iCs/>
                <w:snapToGrid w:val="0"/>
              </w:rPr>
              <w:t>5</w:t>
            </w:r>
            <w:r>
              <w:rPr>
                <w:rFonts w:cs="Arial"/>
                <w:iCs/>
                <w:snapToGrid w:val="0"/>
              </w:rPr>
              <w:t xml:space="preserve"> – 12/31/202</w:t>
            </w:r>
            <w:r w:rsidR="000B5767">
              <w:rPr>
                <w:rFonts w:cs="Arial"/>
                <w:iCs/>
                <w:snapToGrid w:val="0"/>
              </w:rPr>
              <w:t>5</w:t>
            </w:r>
          </w:p>
          <w:p w14:paraId="2FFD00D2" w14:textId="77777777" w:rsidR="005A4897" w:rsidRPr="005A4897" w:rsidRDefault="00297958" w:rsidP="00AD309C">
            <w:pPr>
              <w:pStyle w:val="ListParagraph"/>
              <w:numPr>
                <w:ilvl w:val="0"/>
                <w:numId w:val="29"/>
              </w:numPr>
              <w:rPr>
                <w:rFonts w:cs="Arial"/>
                <w:i/>
                <w:snapToGrid w:val="0"/>
              </w:rPr>
            </w:pPr>
            <w:r w:rsidRPr="009A5185">
              <w:rPr>
                <w:rFonts w:cs="Arial"/>
                <w:snapToGrid w:val="0"/>
              </w:rPr>
              <w:t>Surveys (re)submitted on or after September 1:</w:t>
            </w:r>
          </w:p>
          <w:p w14:paraId="7A108669" w14:textId="06769EDA" w:rsidR="00297958" w:rsidRPr="00753419" w:rsidRDefault="00297958" w:rsidP="00AD309C">
            <w:pPr>
              <w:pStyle w:val="ListParagraph"/>
              <w:numPr>
                <w:ilvl w:val="1"/>
                <w:numId w:val="29"/>
              </w:numPr>
              <w:rPr>
                <w:rFonts w:cs="Arial"/>
                <w:b/>
              </w:rPr>
            </w:pPr>
            <w:r w:rsidRPr="009A5185">
              <w:rPr>
                <w:rFonts w:cs="Arial"/>
                <w:snapToGrid w:val="0"/>
              </w:rPr>
              <w:t>07/01/</w:t>
            </w:r>
            <w:r w:rsidR="008D4C3D">
              <w:rPr>
                <w:rFonts w:cs="Arial"/>
                <w:snapToGrid w:val="0"/>
              </w:rPr>
              <w:t>20</w:t>
            </w:r>
            <w:r w:rsidR="005A4897">
              <w:rPr>
                <w:rFonts w:cs="Arial"/>
                <w:snapToGrid w:val="0"/>
              </w:rPr>
              <w:t>2</w:t>
            </w:r>
            <w:r w:rsidR="00AF4A63">
              <w:rPr>
                <w:rFonts w:cs="Arial"/>
                <w:snapToGrid w:val="0"/>
              </w:rPr>
              <w:t>5</w:t>
            </w:r>
            <w:r w:rsidRPr="009A5185">
              <w:rPr>
                <w:rFonts w:cs="Arial"/>
                <w:snapToGrid w:val="0"/>
              </w:rPr>
              <w:t xml:space="preserve"> </w:t>
            </w:r>
            <w:r w:rsidR="00524BF3">
              <w:rPr>
                <w:rFonts w:cs="Arial"/>
                <w:snapToGrid w:val="0"/>
              </w:rPr>
              <w:t>–</w:t>
            </w:r>
            <w:r w:rsidRPr="009A5185">
              <w:rPr>
                <w:rFonts w:cs="Arial"/>
                <w:snapToGrid w:val="0"/>
              </w:rPr>
              <w:t xml:space="preserve"> 06/30/</w:t>
            </w:r>
            <w:r w:rsidR="008D4C3D">
              <w:rPr>
                <w:rFonts w:cs="Arial"/>
                <w:snapToGrid w:val="0"/>
              </w:rPr>
              <w:t>202</w:t>
            </w:r>
            <w:r w:rsidR="00AF4A63">
              <w:rPr>
                <w:rFonts w:cs="Arial"/>
                <w:snapToGrid w:val="0"/>
              </w:rPr>
              <w:t>6</w:t>
            </w:r>
          </w:p>
        </w:tc>
      </w:tr>
      <w:tr w:rsidR="002130AD" w:rsidRPr="009A5185" w14:paraId="17C74A32" w14:textId="77777777" w:rsidTr="00253C74">
        <w:trPr>
          <w:trHeight w:val="1728"/>
        </w:trPr>
        <w:tc>
          <w:tcPr>
            <w:tcW w:w="9562" w:type="dxa"/>
            <w:vAlign w:val="center"/>
          </w:tcPr>
          <w:p w14:paraId="4DB68395" w14:textId="63B1CC4A" w:rsidR="002130AD" w:rsidRDefault="002130AD" w:rsidP="002130AD">
            <w:pPr>
              <w:rPr>
                <w:rFonts w:ascii="Calibri" w:hAnsi="Calibri"/>
                <w:b/>
                <w:bCs/>
                <w:snapToGrid w:val="0"/>
              </w:rPr>
            </w:pPr>
            <w:r>
              <w:rPr>
                <w:b/>
                <w:bCs/>
                <w:snapToGrid w:val="0"/>
              </w:rPr>
              <w:t xml:space="preserve">Medication Safety </w:t>
            </w:r>
            <w:r w:rsidR="005C5D09">
              <w:rPr>
                <w:b/>
                <w:bCs/>
                <w:snapToGrid w:val="0"/>
              </w:rPr>
              <w:t xml:space="preserve">Documentation </w:t>
            </w:r>
            <w:r>
              <w:rPr>
                <w:b/>
                <w:bCs/>
                <w:snapToGrid w:val="0"/>
              </w:rPr>
              <w:t>Workbook (Excel)</w:t>
            </w:r>
            <w:r w:rsidR="009D100B">
              <w:rPr>
                <w:b/>
                <w:bCs/>
                <w:snapToGrid w:val="0"/>
              </w:rPr>
              <w:br/>
            </w:r>
          </w:p>
          <w:p w14:paraId="312C1AF6" w14:textId="4ED30FEC" w:rsidR="002130AD" w:rsidRDefault="002130AD" w:rsidP="002130AD">
            <w:pPr>
              <w:rPr>
                <w:rFonts w:ascii="Calibri" w:hAnsi="Calibri"/>
              </w:rPr>
            </w:pPr>
            <w:r>
              <w:t xml:space="preserve">To complete the data collection for this subsection and respond to questions #3-7, </w:t>
            </w:r>
            <w:r w:rsidR="00A143AC">
              <w:t>hospitals</w:t>
            </w:r>
            <w:r>
              <w:t xml:space="preserve"> should download the Medication Safety </w:t>
            </w:r>
            <w:r w:rsidR="005C5D09">
              <w:t>Documentation</w:t>
            </w:r>
            <w:r>
              <w:t xml:space="preserve"> Workbook (Excel). This workbook includes s</w:t>
            </w:r>
            <w:r w:rsidR="005C5D09">
              <w:t>even</w:t>
            </w:r>
            <w:r>
              <w:t xml:space="preserve"> tabs: Instructions, </w:t>
            </w:r>
            <w:r w:rsidR="005C5D09">
              <w:t>202</w:t>
            </w:r>
            <w:r w:rsidR="0098403E">
              <w:t>5</w:t>
            </w:r>
            <w:r w:rsidR="005C5D09">
              <w:t xml:space="preserve"> </w:t>
            </w:r>
            <w:r w:rsidR="000B00E5">
              <w:t xml:space="preserve">Sampling, </w:t>
            </w:r>
            <w:r w:rsidR="005C5D09">
              <w:t>202</w:t>
            </w:r>
            <w:r w:rsidR="0098403E">
              <w:t>6</w:t>
            </w:r>
            <w:r w:rsidR="005C5D09">
              <w:t xml:space="preserve"> </w:t>
            </w:r>
            <w:r>
              <w:t>Sampling</w:t>
            </w:r>
            <w:r w:rsidR="005C5D09">
              <w:t>,</w:t>
            </w:r>
            <w:r>
              <w:t xml:space="preserve"> Home Meds, Visit Meds, Allergies, and Data Entry and can be used to identify patients to sample in order to complete the three clinical record audits, as well as calculate the responses to enter into the Online Hospital Survey Tool for each of the audits. </w:t>
            </w:r>
          </w:p>
          <w:p w14:paraId="12898ABD" w14:textId="77777777" w:rsidR="002130AD" w:rsidRDefault="002130AD" w:rsidP="002130AD">
            <w:pPr>
              <w:rPr>
                <w:snapToGrid w:val="0"/>
              </w:rPr>
            </w:pPr>
          </w:p>
          <w:p w14:paraId="3A458335" w14:textId="56713E46" w:rsidR="002130AD" w:rsidRPr="002130AD" w:rsidRDefault="002130AD" w:rsidP="002130AD">
            <w:pPr>
              <w:rPr>
                <w:snapToGrid w:val="0"/>
              </w:rPr>
            </w:pPr>
            <w:r>
              <w:rPr>
                <w:snapToGrid w:val="0"/>
              </w:rPr>
              <w:t xml:space="preserve">This workbook is available on the </w:t>
            </w:r>
            <w:hyperlink r:id="rId502" w:history="1">
              <w:r>
                <w:rPr>
                  <w:rStyle w:val="Hyperlink"/>
                  <w:snapToGrid w:val="0"/>
                </w:rPr>
                <w:t>Survey Materials webpage</w:t>
              </w:r>
            </w:hyperlink>
            <w:r>
              <w:rPr>
                <w:snapToGrid w:val="0"/>
              </w:rPr>
              <w:t xml:space="preserve"> and should be used when completing this subsection.</w:t>
            </w:r>
          </w:p>
        </w:tc>
      </w:tr>
      <w:tr w:rsidR="00297958" w:rsidRPr="009A5185" w14:paraId="156ECB0A" w14:textId="77777777" w:rsidTr="00EA2663">
        <w:trPr>
          <w:trHeight w:val="7776"/>
        </w:trPr>
        <w:tc>
          <w:tcPr>
            <w:tcW w:w="9562" w:type="dxa"/>
            <w:vAlign w:val="center"/>
          </w:tcPr>
          <w:p w14:paraId="779B137F" w14:textId="2E7C7857" w:rsidR="00E92BB1" w:rsidRDefault="00297958" w:rsidP="00CA75AB">
            <w:pPr>
              <w:pStyle w:val="EndnoteText"/>
              <w:rPr>
                <w:rFonts w:cs="Arial"/>
              </w:rPr>
            </w:pPr>
            <w:bookmarkStart w:id="814" w:name="MedAllergySufficientSample"/>
            <w:bookmarkStart w:id="815" w:name="_Hlk29556076"/>
            <w:r w:rsidRPr="009A5185">
              <w:rPr>
                <w:rFonts w:cs="Arial"/>
                <w:b/>
              </w:rPr>
              <w:t>Sampling:</w:t>
            </w:r>
            <w:r w:rsidRPr="009A5185">
              <w:rPr>
                <w:rFonts w:cs="Arial"/>
              </w:rPr>
              <w:t xml:space="preserve"> </w:t>
            </w:r>
            <w:bookmarkEnd w:id="814"/>
            <w:r w:rsidR="009D100B">
              <w:rPr>
                <w:rFonts w:cs="Arial"/>
              </w:rPr>
              <w:br/>
            </w:r>
          </w:p>
          <w:p w14:paraId="45B09CA7" w14:textId="45A0A783" w:rsidR="00E92BB1" w:rsidRPr="00C73534" w:rsidRDefault="00E92BB1" w:rsidP="00CA75AB">
            <w:pPr>
              <w:pStyle w:val="EndnoteText"/>
              <w:rPr>
                <w:rFonts w:cs="Arial"/>
                <w:b/>
                <w:bCs/>
                <w:i/>
                <w:iCs/>
              </w:rPr>
            </w:pPr>
            <w:r w:rsidRPr="00C73534">
              <w:rPr>
                <w:rFonts w:cs="Arial"/>
                <w:b/>
                <w:bCs/>
                <w:i/>
                <w:iCs/>
              </w:rPr>
              <w:t xml:space="preserve">For hospitals with </w:t>
            </w:r>
            <w:r w:rsidR="00C73534" w:rsidRPr="00C73534">
              <w:rPr>
                <w:rFonts w:cs="Arial"/>
                <w:b/>
                <w:bCs/>
                <w:i/>
                <w:iCs/>
                <w:u w:val="single"/>
              </w:rPr>
              <w:t>one</w:t>
            </w:r>
            <w:r w:rsidR="00C73534" w:rsidRPr="00C73534">
              <w:rPr>
                <w:rFonts w:cs="Arial"/>
                <w:b/>
                <w:bCs/>
                <w:i/>
                <w:iCs/>
              </w:rPr>
              <w:t xml:space="preserve"> hospital outpatient department that performs the procedures listed in Section </w:t>
            </w:r>
            <w:r w:rsidR="00A745AF">
              <w:rPr>
                <w:rFonts w:cs="Arial"/>
                <w:b/>
                <w:bCs/>
                <w:i/>
                <w:iCs/>
              </w:rPr>
              <w:t>9</w:t>
            </w:r>
            <w:r w:rsidR="00C73534" w:rsidRPr="00C73534">
              <w:rPr>
                <w:rFonts w:cs="Arial"/>
                <w:b/>
                <w:bCs/>
                <w:i/>
                <w:iCs/>
              </w:rPr>
              <w:t>C:</w:t>
            </w:r>
          </w:p>
          <w:p w14:paraId="0CEBD652" w14:textId="38CFE42F" w:rsidR="00297958" w:rsidRDefault="00297958" w:rsidP="00CA75AB">
            <w:pPr>
              <w:pStyle w:val="EndnoteText"/>
              <w:rPr>
                <w:rFonts w:cs="Arial"/>
              </w:rPr>
            </w:pPr>
            <w:r w:rsidRPr="009A5185">
              <w:rPr>
                <w:rFonts w:cs="Arial"/>
              </w:rPr>
              <w:t xml:space="preserve">If you have </w:t>
            </w:r>
            <w:r w:rsidRPr="00614665">
              <w:rPr>
                <w:rFonts w:cs="Arial"/>
                <w:u w:val="single"/>
              </w:rPr>
              <w:t xml:space="preserve">more than </w:t>
            </w:r>
            <w:r w:rsidR="00E01119">
              <w:rPr>
                <w:rFonts w:cs="Arial"/>
                <w:u w:val="single"/>
              </w:rPr>
              <w:t>30</w:t>
            </w:r>
            <w:r w:rsidRPr="00614665">
              <w:rPr>
                <w:rFonts w:cs="Arial"/>
                <w:u w:val="single"/>
              </w:rPr>
              <w:t xml:space="preserve"> cases</w:t>
            </w:r>
            <w:r w:rsidRPr="00614665">
              <w:rPr>
                <w:rFonts w:cs="Arial"/>
              </w:rPr>
              <w:t xml:space="preserve"> th</w:t>
            </w:r>
            <w:r w:rsidRPr="009A5185">
              <w:rPr>
                <w:rFonts w:cs="Arial"/>
              </w:rPr>
              <w:t>at meet the criteria for inclusion i</w:t>
            </w:r>
            <w:r>
              <w:rPr>
                <w:rFonts w:cs="Arial"/>
              </w:rPr>
              <w:t>n the denominator of the process</w:t>
            </w:r>
            <w:r w:rsidRPr="009A5185">
              <w:rPr>
                <w:rFonts w:cs="Arial"/>
              </w:rPr>
              <w:t xml:space="preserve"> measure</w:t>
            </w:r>
            <w:r>
              <w:rPr>
                <w:rFonts w:cs="Arial"/>
              </w:rPr>
              <w:t>s</w:t>
            </w:r>
            <w:r w:rsidRPr="009A5185">
              <w:rPr>
                <w:rFonts w:cs="Arial"/>
              </w:rPr>
              <w:t xml:space="preserve"> during the time period of the</w:t>
            </w:r>
            <w:r>
              <w:rPr>
                <w:rFonts w:cs="Arial"/>
              </w:rPr>
              <w:t xml:space="preserve"> clinical</w:t>
            </w:r>
            <w:r w:rsidRPr="009A5185">
              <w:rPr>
                <w:rFonts w:cs="Arial"/>
              </w:rPr>
              <w:t xml:space="preserve"> record audit, you may randomly sample </w:t>
            </w:r>
            <w:r w:rsidR="00E01119">
              <w:rPr>
                <w:rFonts w:cs="Arial"/>
              </w:rPr>
              <w:t>30</w:t>
            </w:r>
            <w:r w:rsidRPr="009A5185">
              <w:rPr>
                <w:rFonts w:cs="Arial"/>
              </w:rPr>
              <w:t xml:space="preserve"> of them for the denominator of each</w:t>
            </w:r>
            <w:r>
              <w:rPr>
                <w:rFonts w:cs="Arial"/>
              </w:rPr>
              <w:t xml:space="preserve"> documentation</w:t>
            </w:r>
            <w:r w:rsidRPr="009A5185">
              <w:rPr>
                <w:rFonts w:cs="Arial"/>
              </w:rPr>
              <w:t xml:space="preserve"> guideline, and measure and report adherence based on that sample. When sampling from a larger population of cases, this is the minimum number of cases needed to make a statistically reliable statement of percent adherence to the process guideline</w:t>
            </w:r>
            <w:r>
              <w:rPr>
                <w:rFonts w:cs="Arial"/>
              </w:rPr>
              <w:t>s</w:t>
            </w:r>
            <w:r w:rsidRPr="009A5185">
              <w:rPr>
                <w:rFonts w:cs="Arial"/>
              </w:rPr>
              <w:t>.</w:t>
            </w:r>
          </w:p>
          <w:p w14:paraId="0AD00E8D" w14:textId="6ACAE381" w:rsidR="00E92BB1" w:rsidRDefault="00E92BB1" w:rsidP="00CA75AB">
            <w:pPr>
              <w:pStyle w:val="EndnoteText"/>
              <w:rPr>
                <w:rFonts w:cs="Arial"/>
              </w:rPr>
            </w:pPr>
          </w:p>
          <w:p w14:paraId="0486B31E" w14:textId="3F471904" w:rsidR="00E92BB1" w:rsidRPr="00C73534" w:rsidRDefault="00E92BB1" w:rsidP="00CA75AB">
            <w:pPr>
              <w:pStyle w:val="EndnoteText"/>
              <w:rPr>
                <w:rFonts w:cs="Arial"/>
                <w:b/>
                <w:bCs/>
                <w:i/>
                <w:iCs/>
              </w:rPr>
            </w:pPr>
            <w:r w:rsidRPr="00C73534">
              <w:rPr>
                <w:rFonts w:cs="Arial"/>
                <w:b/>
                <w:bCs/>
                <w:i/>
                <w:iCs/>
              </w:rPr>
              <w:t xml:space="preserve">For hospitals with </w:t>
            </w:r>
            <w:r w:rsidRPr="00C73534">
              <w:rPr>
                <w:rFonts w:cs="Arial"/>
                <w:b/>
                <w:bCs/>
                <w:i/>
                <w:iCs/>
                <w:u w:val="single"/>
              </w:rPr>
              <w:t>multiple</w:t>
            </w:r>
            <w:r w:rsidRPr="00C73534">
              <w:rPr>
                <w:rFonts w:cs="Arial"/>
                <w:b/>
                <w:bCs/>
                <w:i/>
                <w:iCs/>
              </w:rPr>
              <w:t xml:space="preserve"> hospital outpatient departments</w:t>
            </w:r>
            <w:r w:rsidR="00C73534" w:rsidRPr="00C73534">
              <w:rPr>
                <w:rFonts w:cs="Arial"/>
                <w:b/>
                <w:bCs/>
                <w:i/>
                <w:iCs/>
              </w:rPr>
              <w:t xml:space="preserve"> that perform the procedures listed in Section </w:t>
            </w:r>
            <w:r w:rsidR="00A745AF">
              <w:rPr>
                <w:rFonts w:cs="Arial"/>
                <w:b/>
                <w:bCs/>
                <w:i/>
                <w:iCs/>
              </w:rPr>
              <w:t>9</w:t>
            </w:r>
            <w:r w:rsidR="00C73534" w:rsidRPr="00C73534">
              <w:rPr>
                <w:rFonts w:cs="Arial"/>
                <w:b/>
                <w:bCs/>
                <w:i/>
                <w:iCs/>
              </w:rPr>
              <w:t>C:</w:t>
            </w:r>
          </w:p>
          <w:p w14:paraId="13FF96BB" w14:textId="61D311A1" w:rsidR="00C73534" w:rsidRPr="003A4B77" w:rsidRDefault="00C73534" w:rsidP="00C73534">
            <w:pPr>
              <w:pStyle w:val="EndnoteText"/>
              <w:rPr>
                <w:rFonts w:cs="Arial"/>
              </w:rPr>
            </w:pPr>
            <w:r w:rsidRPr="003A4B77">
              <w:rPr>
                <w:rFonts w:cs="Arial"/>
              </w:rPr>
              <w:t xml:space="preserve">If you have </w:t>
            </w:r>
            <w:r w:rsidRPr="003A4B77">
              <w:rPr>
                <w:rFonts w:cs="Arial"/>
                <w:u w:val="single"/>
              </w:rPr>
              <w:t xml:space="preserve">more than </w:t>
            </w:r>
            <w:r w:rsidR="00E01119">
              <w:rPr>
                <w:rFonts w:cs="Arial"/>
                <w:u w:val="single"/>
              </w:rPr>
              <w:t>30</w:t>
            </w:r>
            <w:r w:rsidRPr="003A4B77">
              <w:rPr>
                <w:rFonts w:cs="Arial"/>
                <w:u w:val="single"/>
              </w:rPr>
              <w:t xml:space="preserve"> cases</w:t>
            </w:r>
            <w:r w:rsidRPr="003A4B77">
              <w:rPr>
                <w:rFonts w:cs="Arial"/>
              </w:rPr>
              <w:t xml:space="preserve"> total (across all hospital outpatient departments) that meet the criteria for inclusion in the denominator of the process measure during the time period of the clinical record audit, you may randomly sample a minimum of 10 cases from</w:t>
            </w:r>
            <w:r w:rsidR="00EA3B30">
              <w:rPr>
                <w:rFonts w:cs="Arial"/>
              </w:rPr>
              <w:t xml:space="preserve"> the hospital (including any co-located hospital outpatient departments</w:t>
            </w:r>
            <w:r w:rsidR="00C743BF">
              <w:rPr>
                <w:rFonts w:cs="Arial"/>
              </w:rPr>
              <w:t xml:space="preserve"> </w:t>
            </w:r>
            <w:r w:rsidR="00EA3B30">
              <w:rPr>
                <w:rFonts w:cs="Arial"/>
              </w:rPr>
              <w:t>or inpatient areas performing outpatient procedures) and</w:t>
            </w:r>
            <w:r w:rsidRPr="003A4B77">
              <w:rPr>
                <w:rFonts w:cs="Arial"/>
              </w:rPr>
              <w:t xml:space="preserve"> each </w:t>
            </w:r>
            <w:r w:rsidR="00EA3B30">
              <w:rPr>
                <w:rFonts w:cs="Arial"/>
              </w:rPr>
              <w:t xml:space="preserve">free-standing </w:t>
            </w:r>
            <w:r w:rsidRPr="003A4B77">
              <w:rPr>
                <w:rFonts w:cs="Arial"/>
              </w:rPr>
              <w:t xml:space="preserve">hospital outpatient department </w:t>
            </w:r>
            <w:r w:rsidR="00EA3B30">
              <w:rPr>
                <w:rFonts w:cs="Arial"/>
              </w:rPr>
              <w:t xml:space="preserve">or surgery center. Hospitals will need to report on a </w:t>
            </w:r>
            <w:r w:rsidRPr="003A4B77">
              <w:rPr>
                <w:rFonts w:cs="Arial"/>
              </w:rPr>
              <w:t xml:space="preserve">total minimum sample size of at least </w:t>
            </w:r>
            <w:r w:rsidR="00E01119">
              <w:rPr>
                <w:rFonts w:cs="Arial"/>
              </w:rPr>
              <w:t>30</w:t>
            </w:r>
            <w:r w:rsidRPr="003A4B77">
              <w:rPr>
                <w:rFonts w:cs="Arial"/>
              </w:rPr>
              <w:t>, and measure and report adherence based on that sample. When sampling from a larger population of cases, this is the minimum number of cases needed to make a statistically reliable statement of percent adherence to the process guidelines.</w:t>
            </w:r>
          </w:p>
          <w:p w14:paraId="77EEAFB8" w14:textId="70A6F445" w:rsidR="00D046F4" w:rsidRPr="003A4B77" w:rsidRDefault="00D046F4" w:rsidP="00C73534">
            <w:pPr>
              <w:pStyle w:val="EndnoteText"/>
              <w:rPr>
                <w:rFonts w:cs="Arial"/>
              </w:rPr>
            </w:pPr>
          </w:p>
          <w:p w14:paraId="4FF5F4AD" w14:textId="2EE4D774" w:rsidR="00D046F4" w:rsidRDefault="00D046F4" w:rsidP="00C73534">
            <w:pPr>
              <w:pStyle w:val="EndnoteText"/>
              <w:rPr>
                <w:rFonts w:cs="Arial"/>
              </w:rPr>
            </w:pPr>
            <w:r w:rsidRPr="003A4B77">
              <w:rPr>
                <w:rFonts w:cs="Arial"/>
              </w:rPr>
              <w:t xml:space="preserve">For example, if you are reporting on </w:t>
            </w:r>
            <w:r w:rsidR="00EA3B30">
              <w:rPr>
                <w:rFonts w:cs="Arial"/>
              </w:rPr>
              <w:t xml:space="preserve">your hospital (including multiple areas where outpatient procedures are performed), as well as </w:t>
            </w:r>
            <w:r w:rsidR="00A745AF">
              <w:rPr>
                <w:rFonts w:cs="Arial"/>
              </w:rPr>
              <w:t>an</w:t>
            </w:r>
            <w:r w:rsidR="00EA3B30">
              <w:rPr>
                <w:rFonts w:cs="Arial"/>
              </w:rPr>
              <w:t>other</w:t>
            </w:r>
            <w:r w:rsidRPr="003A4B77">
              <w:rPr>
                <w:rFonts w:cs="Arial"/>
              </w:rPr>
              <w:t xml:space="preserve"> hospital outpatient department </w:t>
            </w:r>
            <w:r w:rsidR="00EA3B30">
              <w:rPr>
                <w:rFonts w:cs="Arial"/>
              </w:rPr>
              <w:t xml:space="preserve">that </w:t>
            </w:r>
            <w:r w:rsidR="00E01119">
              <w:rPr>
                <w:rFonts w:cs="Arial"/>
              </w:rPr>
              <w:t>is</w:t>
            </w:r>
            <w:r w:rsidR="00EA3B30">
              <w:rPr>
                <w:rFonts w:cs="Arial"/>
              </w:rPr>
              <w:t xml:space="preserve"> free-standing, </w:t>
            </w:r>
            <w:r w:rsidRPr="003A4B77">
              <w:rPr>
                <w:rFonts w:cs="Arial"/>
              </w:rPr>
              <w:t xml:space="preserve">you could sample </w:t>
            </w:r>
            <w:r w:rsidR="00E01119">
              <w:rPr>
                <w:rFonts w:cs="Arial"/>
              </w:rPr>
              <w:t>15</w:t>
            </w:r>
            <w:r w:rsidRPr="003A4B77">
              <w:rPr>
                <w:rFonts w:cs="Arial"/>
              </w:rPr>
              <w:t xml:space="preserve"> cases from each for a total sample size of </w:t>
            </w:r>
            <w:r w:rsidR="00E01119">
              <w:rPr>
                <w:rFonts w:cs="Arial"/>
              </w:rPr>
              <w:t>30</w:t>
            </w:r>
            <w:r w:rsidRPr="003A4B77">
              <w:rPr>
                <w:rFonts w:cs="Arial"/>
              </w:rPr>
              <w:t xml:space="preserve">. If you are reporting on </w:t>
            </w:r>
            <w:r w:rsidR="00A745AF">
              <w:rPr>
                <w:rFonts w:cs="Arial"/>
              </w:rPr>
              <w:t>seven</w:t>
            </w:r>
            <w:r w:rsidRPr="003A4B77">
              <w:rPr>
                <w:rFonts w:cs="Arial"/>
              </w:rPr>
              <w:t xml:space="preserve"> </w:t>
            </w:r>
            <w:r w:rsidR="00EA3B30">
              <w:rPr>
                <w:rFonts w:cs="Arial"/>
              </w:rPr>
              <w:t>locations</w:t>
            </w:r>
            <w:r w:rsidRPr="003A4B77">
              <w:rPr>
                <w:rFonts w:cs="Arial"/>
              </w:rPr>
              <w:t>, you could sample 10 cases from each for a total sample size of 70.</w:t>
            </w:r>
          </w:p>
          <w:p w14:paraId="658D1ADF" w14:textId="00EB8730" w:rsidR="00E55C31" w:rsidRDefault="00E55C31" w:rsidP="00C73534">
            <w:pPr>
              <w:pStyle w:val="EndnoteText"/>
              <w:rPr>
                <w:rFonts w:cs="Arial"/>
              </w:rPr>
            </w:pPr>
          </w:p>
          <w:p w14:paraId="4E89BEF0" w14:textId="1059BCB5" w:rsidR="006606DD" w:rsidRPr="006606DD" w:rsidRDefault="00E55C31" w:rsidP="00753419">
            <w:pPr>
              <w:pStyle w:val="EndnoteText"/>
              <w:rPr>
                <w:rFonts w:cs="Arial"/>
              </w:rPr>
            </w:pPr>
            <w:r>
              <w:rPr>
                <w:rFonts w:cs="Arial"/>
              </w:rPr>
              <w:t>Note: Hospitals that share a CMS Certification Number (CCN) with other hospitals may use the same sample for reporting on a shared hospital outpatient department location (e.g., surgery center, endoscopy center, free-standing hospital outpatient department, etc.).</w:t>
            </w:r>
            <w:r w:rsidR="00834E43">
              <w:rPr>
                <w:rFonts w:cs="Arial"/>
              </w:rPr>
              <w:t xml:space="preserve"> For example, Hospital A and Hospital B share a CCN and both refer patients to the same gastroenterology center. Hospital A samples </w:t>
            </w:r>
            <w:r w:rsidR="00E01119">
              <w:rPr>
                <w:rFonts w:cs="Arial"/>
              </w:rPr>
              <w:t xml:space="preserve">15 </w:t>
            </w:r>
            <w:r w:rsidR="00834E43">
              <w:rPr>
                <w:rFonts w:cs="Arial"/>
              </w:rPr>
              <w:t xml:space="preserve">cases from their </w:t>
            </w:r>
            <w:r w:rsidR="00160E6B">
              <w:rPr>
                <w:rFonts w:cs="Arial"/>
              </w:rPr>
              <w:t>hospital</w:t>
            </w:r>
            <w:r w:rsidR="00834E43">
              <w:rPr>
                <w:rFonts w:cs="Arial"/>
              </w:rPr>
              <w:t xml:space="preserve"> and </w:t>
            </w:r>
            <w:r w:rsidR="00E01119">
              <w:rPr>
                <w:rFonts w:cs="Arial"/>
              </w:rPr>
              <w:t xml:space="preserve">15 </w:t>
            </w:r>
            <w:r w:rsidR="00834E43">
              <w:rPr>
                <w:rFonts w:cs="Arial"/>
              </w:rPr>
              <w:t xml:space="preserve">cases from the gastroenterology center. Hospital B can use the sample of </w:t>
            </w:r>
            <w:r w:rsidR="00E01119">
              <w:rPr>
                <w:rFonts w:cs="Arial"/>
              </w:rPr>
              <w:t xml:space="preserve">15 </w:t>
            </w:r>
            <w:r w:rsidR="00834E43">
              <w:rPr>
                <w:rFonts w:cs="Arial"/>
              </w:rPr>
              <w:t xml:space="preserve">cases from the gastroenterology center in addition to sampling from their </w:t>
            </w:r>
            <w:r w:rsidR="00160E6B">
              <w:rPr>
                <w:rFonts w:cs="Arial"/>
              </w:rPr>
              <w:t>hospital</w:t>
            </w:r>
            <w:r w:rsidR="00622D5B">
              <w:rPr>
                <w:rFonts w:cs="Arial"/>
              </w:rPr>
              <w:t xml:space="preserve"> when reporting on their own Leapfrog Hospital Survey.</w:t>
            </w:r>
            <w:bookmarkEnd w:id="815"/>
          </w:p>
        </w:tc>
      </w:tr>
      <w:tr w:rsidR="00EA6BDC" w:rsidRPr="009A5185" w14:paraId="16F95D66" w14:textId="77777777" w:rsidTr="00EA2663">
        <w:trPr>
          <w:trHeight w:val="1152"/>
        </w:trPr>
        <w:tc>
          <w:tcPr>
            <w:tcW w:w="9562" w:type="dxa"/>
            <w:vAlign w:val="center"/>
          </w:tcPr>
          <w:p w14:paraId="05B1312E" w14:textId="1FA97D16" w:rsidR="00EA6BDC" w:rsidRPr="00B56FD2" w:rsidRDefault="00EA6BDC" w:rsidP="00EA6BDC">
            <w:pPr>
              <w:rPr>
                <w:rFonts w:cs="Arial"/>
                <w:bCs/>
              </w:rPr>
            </w:pPr>
            <w:r w:rsidRPr="00B56FD2">
              <w:rPr>
                <w:rFonts w:cs="Arial"/>
                <w:b/>
              </w:rPr>
              <w:t xml:space="preserve">Medications: </w:t>
            </w:r>
            <w:r w:rsidRPr="00B56FD2">
              <w:rPr>
                <w:rFonts w:cs="Arial"/>
                <w:bCs/>
              </w:rPr>
              <w:t xml:space="preserve">For the purposes of this measure, a </w:t>
            </w:r>
            <w:r w:rsidRPr="00B56FD2">
              <w:rPr>
                <w:rFonts w:cs="Arial"/>
                <w:b/>
              </w:rPr>
              <w:t>medication</w:t>
            </w:r>
            <w:r w:rsidRPr="00B56FD2">
              <w:rPr>
                <w:rFonts w:cs="Arial"/>
                <w:bCs/>
              </w:rPr>
              <w:t xml:space="preserve"> is a substance that is taken into, or placed onto, the body of a person for one or more of the following reasons: </w:t>
            </w:r>
          </w:p>
          <w:p w14:paraId="516DED16" w14:textId="77777777" w:rsidR="009B2D5C" w:rsidRDefault="00EA6BDC" w:rsidP="00AD309C">
            <w:pPr>
              <w:pStyle w:val="ListParagraph"/>
              <w:numPr>
                <w:ilvl w:val="0"/>
                <w:numId w:val="176"/>
              </w:numPr>
              <w:rPr>
                <w:rFonts w:cs="Arial"/>
                <w:bCs/>
              </w:rPr>
            </w:pPr>
            <w:r w:rsidRPr="009B2D5C">
              <w:rPr>
                <w:rFonts w:cs="Arial"/>
                <w:bCs/>
              </w:rPr>
              <w:t>as a placebo</w:t>
            </w:r>
          </w:p>
          <w:p w14:paraId="3D001180" w14:textId="77777777" w:rsidR="009B2D5C" w:rsidRDefault="00EA6BDC" w:rsidP="00AD309C">
            <w:pPr>
              <w:pStyle w:val="ListParagraph"/>
              <w:numPr>
                <w:ilvl w:val="0"/>
                <w:numId w:val="176"/>
              </w:numPr>
              <w:rPr>
                <w:rFonts w:cs="Arial"/>
                <w:bCs/>
              </w:rPr>
            </w:pPr>
            <w:r w:rsidRPr="009B2D5C">
              <w:rPr>
                <w:rFonts w:cs="Arial"/>
                <w:bCs/>
              </w:rPr>
              <w:t>to prevent a disease (e.g., flu vaccine)</w:t>
            </w:r>
          </w:p>
          <w:p w14:paraId="1ED1A35D" w14:textId="77777777" w:rsidR="009B2D5C" w:rsidRDefault="00EA6BDC" w:rsidP="00AD309C">
            <w:pPr>
              <w:pStyle w:val="ListParagraph"/>
              <w:numPr>
                <w:ilvl w:val="0"/>
                <w:numId w:val="176"/>
              </w:numPr>
              <w:rPr>
                <w:rFonts w:cs="Arial"/>
                <w:bCs/>
              </w:rPr>
            </w:pPr>
            <w:r w:rsidRPr="009B2D5C">
              <w:rPr>
                <w:rFonts w:cs="Arial"/>
                <w:bCs/>
              </w:rPr>
              <w:t>to make a diagnosis (e.g., contrast dye)</w:t>
            </w:r>
          </w:p>
          <w:p w14:paraId="6F853CCD" w14:textId="77777777" w:rsidR="009B2D5C" w:rsidRDefault="00EA6BDC" w:rsidP="00AD309C">
            <w:pPr>
              <w:pStyle w:val="ListParagraph"/>
              <w:numPr>
                <w:ilvl w:val="0"/>
                <w:numId w:val="176"/>
              </w:numPr>
              <w:rPr>
                <w:rFonts w:cs="Arial"/>
                <w:bCs/>
              </w:rPr>
            </w:pPr>
            <w:r w:rsidRPr="009B2D5C">
              <w:rPr>
                <w:rFonts w:cs="Arial"/>
                <w:bCs/>
              </w:rPr>
              <w:t>to test for the possibility of an adverse effect</w:t>
            </w:r>
          </w:p>
          <w:p w14:paraId="1660AD64" w14:textId="77777777" w:rsidR="009B2D5C" w:rsidRDefault="00EA6BDC" w:rsidP="00AD309C">
            <w:pPr>
              <w:pStyle w:val="ListParagraph"/>
              <w:numPr>
                <w:ilvl w:val="0"/>
                <w:numId w:val="176"/>
              </w:numPr>
              <w:rPr>
                <w:rFonts w:cs="Arial"/>
                <w:bCs/>
              </w:rPr>
            </w:pPr>
            <w:r w:rsidRPr="009B2D5C">
              <w:rPr>
                <w:rFonts w:cs="Arial"/>
                <w:bCs/>
              </w:rPr>
              <w:t>to modify a physiological, biochemical or anatomical function or abnormality (e.g., heparin/heparin flushes, statins, antihypertensives, etc.)</w:t>
            </w:r>
          </w:p>
          <w:p w14:paraId="5FEF682A" w14:textId="3EB11AF8" w:rsidR="009B2D5C" w:rsidRDefault="00EA6BDC" w:rsidP="00AD309C">
            <w:pPr>
              <w:pStyle w:val="ListParagraph"/>
              <w:numPr>
                <w:ilvl w:val="0"/>
                <w:numId w:val="176"/>
              </w:numPr>
              <w:rPr>
                <w:rFonts w:cs="Arial"/>
                <w:bCs/>
              </w:rPr>
            </w:pPr>
            <w:r w:rsidRPr="009B2D5C">
              <w:rPr>
                <w:rFonts w:cs="Arial"/>
                <w:bCs/>
              </w:rPr>
              <w:t>to replace a missing factor (e.g., blood product</w:t>
            </w:r>
            <w:r w:rsidR="00F553AF">
              <w:rPr>
                <w:rFonts w:cs="Arial"/>
                <w:bCs/>
              </w:rPr>
              <w:t>)</w:t>
            </w:r>
          </w:p>
          <w:p w14:paraId="06332144" w14:textId="2B646D8B" w:rsidR="009B2D5C" w:rsidRDefault="00EA6BDC" w:rsidP="00AD309C">
            <w:pPr>
              <w:pStyle w:val="ListParagraph"/>
              <w:numPr>
                <w:ilvl w:val="0"/>
                <w:numId w:val="176"/>
              </w:numPr>
              <w:rPr>
                <w:rFonts w:cs="Arial"/>
                <w:bCs/>
              </w:rPr>
            </w:pPr>
            <w:r w:rsidRPr="009B2D5C">
              <w:rPr>
                <w:rFonts w:cs="Arial"/>
                <w:bCs/>
              </w:rPr>
              <w:t>to ameliorate a symptom (e.g., aspirin</w:t>
            </w:r>
            <w:r w:rsidR="00F553AF">
              <w:rPr>
                <w:rFonts w:cs="Arial"/>
                <w:bCs/>
              </w:rPr>
              <w:t>)</w:t>
            </w:r>
          </w:p>
          <w:p w14:paraId="134A731A" w14:textId="77777777" w:rsidR="009B2D5C" w:rsidRDefault="00EA6BDC" w:rsidP="00AD309C">
            <w:pPr>
              <w:pStyle w:val="ListParagraph"/>
              <w:numPr>
                <w:ilvl w:val="0"/>
                <w:numId w:val="176"/>
              </w:numPr>
              <w:rPr>
                <w:rFonts w:cs="Arial"/>
                <w:bCs/>
              </w:rPr>
            </w:pPr>
            <w:r w:rsidRPr="009B2D5C">
              <w:rPr>
                <w:rFonts w:cs="Arial"/>
                <w:bCs/>
              </w:rPr>
              <w:t xml:space="preserve">to treat a disease or condition (including topicals, nasal sprays, eye drops, compounds, inhalants, injectables, patches, etc.) </w:t>
            </w:r>
          </w:p>
          <w:p w14:paraId="0AB64A35" w14:textId="77777777" w:rsidR="009B2D5C" w:rsidRDefault="00EA6BDC" w:rsidP="00AD309C">
            <w:pPr>
              <w:pStyle w:val="ListParagraph"/>
              <w:numPr>
                <w:ilvl w:val="0"/>
                <w:numId w:val="176"/>
              </w:numPr>
              <w:rPr>
                <w:rFonts w:cs="Arial"/>
                <w:bCs/>
              </w:rPr>
            </w:pPr>
            <w:r w:rsidRPr="009B2D5C">
              <w:rPr>
                <w:rFonts w:cs="Arial"/>
                <w:bCs/>
              </w:rPr>
              <w:t>to induce anesthesia</w:t>
            </w:r>
          </w:p>
          <w:p w14:paraId="105B9DF2" w14:textId="77777777" w:rsidR="009B2D5C" w:rsidRDefault="00EA6BDC" w:rsidP="00AD309C">
            <w:pPr>
              <w:pStyle w:val="ListParagraph"/>
              <w:numPr>
                <w:ilvl w:val="0"/>
                <w:numId w:val="176"/>
              </w:numPr>
              <w:rPr>
                <w:rFonts w:cs="Arial"/>
                <w:bCs/>
              </w:rPr>
            </w:pPr>
            <w:r w:rsidRPr="009B2D5C">
              <w:rPr>
                <w:rFonts w:cs="Arial"/>
                <w:bCs/>
              </w:rPr>
              <w:t xml:space="preserve">to stabilize or hydrate </w:t>
            </w:r>
            <w:r w:rsidR="0068406E" w:rsidRPr="009B2D5C">
              <w:rPr>
                <w:rFonts w:cs="Arial"/>
                <w:bCs/>
              </w:rPr>
              <w:t>during</w:t>
            </w:r>
            <w:r w:rsidRPr="009B2D5C">
              <w:rPr>
                <w:rFonts w:cs="Arial"/>
                <w:bCs/>
              </w:rPr>
              <w:t xml:space="preserve"> medical treatment or procedures (e.g., IV fluids, normal saline, lactated ringers, etc.) </w:t>
            </w:r>
          </w:p>
          <w:p w14:paraId="2B9EF126" w14:textId="77777777" w:rsidR="009B2D5C" w:rsidRDefault="00EA6BDC" w:rsidP="00AD309C">
            <w:pPr>
              <w:pStyle w:val="ListParagraph"/>
              <w:numPr>
                <w:ilvl w:val="0"/>
                <w:numId w:val="176"/>
              </w:numPr>
              <w:rPr>
                <w:rFonts w:cs="Arial"/>
                <w:bCs/>
              </w:rPr>
            </w:pPr>
            <w:r w:rsidRPr="009B2D5C">
              <w:rPr>
                <w:rFonts w:cs="Arial"/>
                <w:bCs/>
              </w:rPr>
              <w:t>to provide nutrition (e.g., enteral nutrition products, parenteral nutrition products, breast milk [breast milk applies to BCMA measure only])</w:t>
            </w:r>
          </w:p>
          <w:p w14:paraId="60EB89FC" w14:textId="4062DC01" w:rsidR="00EA6BDC" w:rsidRPr="009B2D5C" w:rsidRDefault="00EA6BDC" w:rsidP="00AD309C">
            <w:pPr>
              <w:pStyle w:val="ListParagraph"/>
              <w:numPr>
                <w:ilvl w:val="0"/>
                <w:numId w:val="176"/>
              </w:numPr>
              <w:rPr>
                <w:rFonts w:cs="Arial"/>
                <w:bCs/>
              </w:rPr>
            </w:pPr>
            <w:r w:rsidRPr="009B2D5C">
              <w:rPr>
                <w:rFonts w:cs="Arial"/>
                <w:bCs/>
              </w:rPr>
              <w:t>as a supplement (e.g., iron for a patient with iron deficiency anemia or calcium/vitamin D for a patient with osteoporosis)</w:t>
            </w:r>
          </w:p>
          <w:p w14:paraId="1328716B" w14:textId="77777777" w:rsidR="00D35E97" w:rsidRDefault="00D35E97" w:rsidP="00D35E97">
            <w:pPr>
              <w:rPr>
                <w:rFonts w:cs="Arial"/>
                <w:bCs/>
              </w:rPr>
            </w:pPr>
          </w:p>
          <w:p w14:paraId="36628AF4" w14:textId="6B0261ED" w:rsidR="009B2D5C" w:rsidRPr="009B2D5C" w:rsidRDefault="009B2D5C" w:rsidP="00D35E97">
            <w:pPr>
              <w:rPr>
                <w:rFonts w:cs="Arial"/>
                <w:bCs/>
              </w:rPr>
            </w:pPr>
            <w:r w:rsidRPr="009B2D5C">
              <w:rPr>
                <w:rFonts w:cs="Arial"/>
                <w:bCs/>
              </w:rPr>
              <w:t xml:space="preserve">For the purposes of this measure, the following are </w:t>
            </w:r>
            <w:r w:rsidRPr="009B2D5C">
              <w:rPr>
                <w:rFonts w:cs="Arial"/>
                <w:b/>
                <w:u w:val="single"/>
              </w:rPr>
              <w:t>not</w:t>
            </w:r>
            <w:r w:rsidRPr="009B2D5C">
              <w:rPr>
                <w:rFonts w:cs="Arial"/>
                <w:bCs/>
              </w:rPr>
              <w:t xml:space="preserve"> considered medications</w:t>
            </w:r>
            <w:r w:rsidR="00D35E97" w:rsidRPr="009B2D5C">
              <w:rPr>
                <w:rFonts w:cs="Arial"/>
                <w:bCs/>
              </w:rPr>
              <w:t xml:space="preserve">: </w:t>
            </w:r>
          </w:p>
          <w:p w14:paraId="648150FC" w14:textId="0DDCB025" w:rsidR="00B04A67" w:rsidRDefault="00D35E97" w:rsidP="00AD309C">
            <w:pPr>
              <w:pStyle w:val="ListParagraph"/>
              <w:numPr>
                <w:ilvl w:val="0"/>
                <w:numId w:val="175"/>
              </w:numPr>
              <w:rPr>
                <w:rFonts w:cs="Arial"/>
                <w:bCs/>
              </w:rPr>
            </w:pPr>
            <w:r w:rsidRPr="009B2D5C">
              <w:rPr>
                <w:rFonts w:cs="Arial"/>
                <w:bCs/>
              </w:rPr>
              <w:t>Pre-filled saline flushes and pre-filled heparin flushes</w:t>
            </w:r>
            <w:r w:rsidR="00B04A67">
              <w:rPr>
                <w:rFonts w:cs="Arial"/>
                <w:bCs/>
              </w:rPr>
              <w:t xml:space="preserve"> </w:t>
            </w:r>
            <w:r w:rsidR="00B04A67" w:rsidRPr="002E0EA8">
              <w:rPr>
                <w:rFonts w:cs="Arial"/>
                <w:bCs/>
              </w:rPr>
              <w:t>(i.e., saline and heparin flushes that come from the manufacturer already filled and are not filled by the hospital’s pharmacy)</w:t>
            </w:r>
          </w:p>
          <w:p w14:paraId="500CBD0C" w14:textId="77777777" w:rsidR="00B04A67" w:rsidRPr="009B2D5C" w:rsidRDefault="00B04A67" w:rsidP="00AD309C">
            <w:pPr>
              <w:pStyle w:val="ListParagraph"/>
              <w:numPr>
                <w:ilvl w:val="0"/>
                <w:numId w:val="175"/>
              </w:numPr>
              <w:rPr>
                <w:rFonts w:cs="Arial"/>
                <w:bCs/>
              </w:rPr>
            </w:pPr>
            <w:r w:rsidRPr="009B2D5C">
              <w:rPr>
                <w:rFonts w:cs="Arial"/>
              </w:rPr>
              <w:t>Chlorhexidine and alcohol preparation pads</w:t>
            </w:r>
          </w:p>
          <w:p w14:paraId="28AD2F39" w14:textId="7699DA21" w:rsidR="00D35E97" w:rsidRPr="00A745AF" w:rsidRDefault="00B04A67" w:rsidP="00AD309C">
            <w:pPr>
              <w:pStyle w:val="ListParagraph"/>
              <w:numPr>
                <w:ilvl w:val="0"/>
                <w:numId w:val="175"/>
              </w:numPr>
              <w:rPr>
                <w:rFonts w:cs="Arial"/>
                <w:bCs/>
              </w:rPr>
            </w:pPr>
            <w:r>
              <w:rPr>
                <w:rFonts w:cs="Arial"/>
                <w:bCs/>
              </w:rPr>
              <w:t>Intra-op irrigation solutions</w:t>
            </w:r>
          </w:p>
        </w:tc>
      </w:tr>
      <w:tr w:rsidR="00297958" w:rsidRPr="009A5185" w14:paraId="2768299A" w14:textId="77777777" w:rsidTr="00253C74">
        <w:trPr>
          <w:trHeight w:val="288"/>
        </w:trPr>
        <w:tc>
          <w:tcPr>
            <w:tcW w:w="9562" w:type="dxa"/>
            <w:vAlign w:val="center"/>
          </w:tcPr>
          <w:p w14:paraId="56700DE8" w14:textId="78DFA903" w:rsidR="00297958" w:rsidRPr="0031389F" w:rsidRDefault="00297958" w:rsidP="00CA75AB">
            <w:pPr>
              <w:autoSpaceDE w:val="0"/>
              <w:autoSpaceDN w:val="0"/>
              <w:adjustRightInd w:val="0"/>
            </w:pPr>
            <w:r w:rsidRPr="0031389F">
              <w:rPr>
                <w:rFonts w:cs="Arial"/>
                <w:b/>
                <w:bCs/>
              </w:rPr>
              <w:t xml:space="preserve">Question #3 (denominator): </w:t>
            </w:r>
            <w:r w:rsidRPr="0031389F">
              <w:t>Number of cases measured (either all cases or a sufficient sample of them).</w:t>
            </w:r>
          </w:p>
          <w:p w14:paraId="23D25DDE" w14:textId="77777777" w:rsidR="00297958" w:rsidRPr="0031389F" w:rsidRDefault="00297958" w:rsidP="00CA75AB">
            <w:pPr>
              <w:autoSpaceDE w:val="0"/>
              <w:autoSpaceDN w:val="0"/>
              <w:adjustRightInd w:val="0"/>
              <w:rPr>
                <w:rFonts w:cs="Arial"/>
                <w:b/>
                <w:bCs/>
              </w:rPr>
            </w:pPr>
          </w:p>
          <w:p w14:paraId="5867C64B" w14:textId="17EE7A71" w:rsidR="00903F75" w:rsidRPr="0031389F" w:rsidRDefault="00297958" w:rsidP="00CA75AB">
            <w:pPr>
              <w:autoSpaceDE w:val="0"/>
              <w:autoSpaceDN w:val="0"/>
              <w:adjustRightInd w:val="0"/>
              <w:rPr>
                <w:rFonts w:cs="Arial"/>
                <w:bCs/>
              </w:rPr>
            </w:pPr>
            <w:r w:rsidRPr="0031389F">
              <w:rPr>
                <w:rFonts w:cs="Arial"/>
                <w:bCs/>
              </w:rPr>
              <w:t xml:space="preserve">Your </w:t>
            </w:r>
            <w:r w:rsidR="00F160E3">
              <w:rPr>
                <w:rFonts w:cs="Arial"/>
                <w:bCs/>
              </w:rPr>
              <w:t>hospital</w:t>
            </w:r>
            <w:r w:rsidRPr="0031389F">
              <w:rPr>
                <w:rFonts w:cs="Arial"/>
                <w:bCs/>
              </w:rPr>
              <w:t xml:space="preserve"> should perform a clinical record audit of either all </w:t>
            </w:r>
            <w:r w:rsidR="00903F75" w:rsidRPr="0031389F">
              <w:rPr>
                <w:rFonts w:cs="Arial"/>
                <w:bCs/>
              </w:rPr>
              <w:t xml:space="preserve">adult and/or pediatric </w:t>
            </w:r>
            <w:r w:rsidRPr="0031389F">
              <w:rPr>
                <w:rFonts w:cs="Arial"/>
                <w:bCs/>
              </w:rPr>
              <w:t xml:space="preserve">patients </w:t>
            </w:r>
            <w:r w:rsidR="00903F75" w:rsidRPr="0031389F">
              <w:rPr>
                <w:rFonts w:cs="Arial"/>
                <w:bCs/>
              </w:rPr>
              <w:t xml:space="preserve">undergoing those procedures included in Section </w:t>
            </w:r>
            <w:r w:rsidR="00A745AF">
              <w:rPr>
                <w:rFonts w:cs="Arial"/>
                <w:bCs/>
              </w:rPr>
              <w:t>9</w:t>
            </w:r>
            <w:r w:rsidR="00903F75" w:rsidRPr="0031389F">
              <w:rPr>
                <w:rFonts w:cs="Arial"/>
                <w:bCs/>
              </w:rPr>
              <w:t>C</w:t>
            </w:r>
            <w:r w:rsidR="00854F4A" w:rsidRPr="0031389F">
              <w:rPr>
                <w:rFonts w:cs="Arial"/>
                <w:bCs/>
              </w:rPr>
              <w:t xml:space="preserve"> </w:t>
            </w:r>
            <w:r w:rsidRPr="0031389F">
              <w:rPr>
                <w:rFonts w:cs="Arial"/>
                <w:bCs/>
              </w:rPr>
              <w:t xml:space="preserve">discharged during the reporting period or a sufficient sample of </w:t>
            </w:r>
            <w:r w:rsidR="00854F4A" w:rsidRPr="0031389F">
              <w:rPr>
                <w:rFonts w:cs="Arial"/>
                <w:bCs/>
              </w:rPr>
              <w:t xml:space="preserve">those </w:t>
            </w:r>
            <w:r w:rsidRPr="0031389F">
              <w:rPr>
                <w:rFonts w:cs="Arial"/>
                <w:bCs/>
              </w:rPr>
              <w:t>patients discharged during the reporting period as described above.</w:t>
            </w:r>
          </w:p>
          <w:p w14:paraId="202F1160" w14:textId="77777777" w:rsidR="00297958" w:rsidRPr="0031389F" w:rsidRDefault="00297958" w:rsidP="00CA75AB">
            <w:pPr>
              <w:autoSpaceDE w:val="0"/>
              <w:autoSpaceDN w:val="0"/>
              <w:adjustRightInd w:val="0"/>
              <w:rPr>
                <w:rFonts w:cs="Arial"/>
                <w:b/>
                <w:bCs/>
              </w:rPr>
            </w:pPr>
            <w:r w:rsidRPr="0031389F">
              <w:rPr>
                <w:rFonts w:cs="Arial"/>
                <w:bCs/>
              </w:rPr>
              <w:t xml:space="preserve"> </w:t>
            </w:r>
          </w:p>
          <w:p w14:paraId="48BA5974" w14:textId="7E6EDFF6" w:rsidR="00297958" w:rsidRDefault="00297958" w:rsidP="00CA75AB">
            <w:pPr>
              <w:autoSpaceDE w:val="0"/>
              <w:autoSpaceDN w:val="0"/>
              <w:adjustRightInd w:val="0"/>
              <w:rPr>
                <w:rFonts w:cs="Arial"/>
                <w:bCs/>
              </w:rPr>
            </w:pPr>
            <w:r w:rsidRPr="0031389F">
              <w:rPr>
                <w:rFonts w:cs="Arial"/>
                <w:bCs/>
              </w:rPr>
              <w:t>This audit of clinical records can be done retrospectively (anytime during the Survey C</w:t>
            </w:r>
            <w:r w:rsidR="008525CC">
              <w:rPr>
                <w:rFonts w:cs="Arial"/>
                <w:bCs/>
              </w:rPr>
              <w:t xml:space="preserve">ycle of April 1 – </w:t>
            </w:r>
            <w:r w:rsidR="001C70D8">
              <w:rPr>
                <w:rFonts w:cs="Arial"/>
                <w:bCs/>
              </w:rPr>
              <w:t>November 30</w:t>
            </w:r>
            <w:r w:rsidR="008525CC" w:rsidRPr="00896587">
              <w:rPr>
                <w:rFonts w:cs="Arial"/>
                <w:bCs/>
              </w:rPr>
              <w:t>).</w:t>
            </w:r>
          </w:p>
          <w:p w14:paraId="30069F38" w14:textId="77777777" w:rsidR="008525CC" w:rsidRPr="0031389F" w:rsidRDefault="008525CC" w:rsidP="00CA75AB">
            <w:pPr>
              <w:autoSpaceDE w:val="0"/>
              <w:autoSpaceDN w:val="0"/>
              <w:adjustRightInd w:val="0"/>
              <w:rPr>
                <w:rFonts w:cs="Arial"/>
                <w:bCs/>
              </w:rPr>
            </w:pPr>
          </w:p>
          <w:p w14:paraId="0916E64A" w14:textId="47A842FA" w:rsidR="00297958" w:rsidRPr="0031389F" w:rsidRDefault="00297958" w:rsidP="00CA75AB">
            <w:pPr>
              <w:autoSpaceDE w:val="0"/>
              <w:autoSpaceDN w:val="0"/>
              <w:adjustRightInd w:val="0"/>
              <w:rPr>
                <w:rFonts w:cs="Arial"/>
                <w:bCs/>
              </w:rPr>
            </w:pPr>
            <w:r w:rsidRPr="0031389F">
              <w:rPr>
                <w:rFonts w:cs="Arial"/>
                <w:bCs/>
              </w:rPr>
              <w:t xml:space="preserve">The total number of clinical records included in your audit is reported </w:t>
            </w:r>
            <w:r w:rsidR="00D150CF">
              <w:rPr>
                <w:rFonts w:cs="Arial"/>
                <w:bCs/>
              </w:rPr>
              <w:t xml:space="preserve">in </w:t>
            </w:r>
            <w:r w:rsidRPr="0031389F">
              <w:rPr>
                <w:rFonts w:cs="Arial"/>
                <w:bCs/>
              </w:rPr>
              <w:t xml:space="preserve">question #3. </w:t>
            </w:r>
          </w:p>
          <w:p w14:paraId="4E8D482C" w14:textId="77777777" w:rsidR="00297958" w:rsidRPr="0031389F" w:rsidRDefault="00297958" w:rsidP="00CA75AB">
            <w:pPr>
              <w:autoSpaceDE w:val="0"/>
              <w:autoSpaceDN w:val="0"/>
              <w:adjustRightInd w:val="0"/>
              <w:rPr>
                <w:rFonts w:cs="Arial"/>
                <w:bCs/>
              </w:rPr>
            </w:pPr>
          </w:p>
          <w:p w14:paraId="0A4580BB" w14:textId="0C6C812E" w:rsidR="00297958" w:rsidRPr="00072AA8" w:rsidRDefault="00297958" w:rsidP="00072AA8">
            <w:pPr>
              <w:autoSpaceDE w:val="0"/>
              <w:autoSpaceDN w:val="0"/>
              <w:adjustRightInd w:val="0"/>
              <w:rPr>
                <w:rFonts w:cs="Arial"/>
                <w:b/>
                <w:bCs/>
              </w:rPr>
            </w:pPr>
            <w:r w:rsidRPr="0031389F">
              <w:rPr>
                <w:rFonts w:cs="Arial"/>
                <w:b/>
                <w:bCs/>
              </w:rPr>
              <w:t xml:space="preserve">Excluded cases: </w:t>
            </w:r>
            <w:r w:rsidRPr="00072AA8">
              <w:rPr>
                <w:rFonts w:cs="Arial"/>
                <w:bCs/>
              </w:rPr>
              <w:t xml:space="preserve">Patients discharged from the </w:t>
            </w:r>
            <w:r w:rsidR="00F160E3" w:rsidRPr="00072AA8">
              <w:rPr>
                <w:rFonts w:cs="Arial"/>
                <w:bCs/>
              </w:rPr>
              <w:t>hospital outpatient departments</w:t>
            </w:r>
            <w:r w:rsidRPr="00072AA8">
              <w:rPr>
                <w:rFonts w:cs="Arial"/>
                <w:bCs/>
              </w:rPr>
              <w:t xml:space="preserve"> without having </w:t>
            </w:r>
            <w:r w:rsidR="00903F75" w:rsidRPr="00072AA8">
              <w:rPr>
                <w:rFonts w:cs="Arial"/>
                <w:bCs/>
              </w:rPr>
              <w:t xml:space="preserve">one of the procedures included in Section </w:t>
            </w:r>
            <w:r w:rsidR="00D206C8" w:rsidRPr="00072AA8">
              <w:rPr>
                <w:rFonts w:cs="Arial"/>
                <w:bCs/>
              </w:rPr>
              <w:t>9</w:t>
            </w:r>
            <w:r w:rsidR="00903F75" w:rsidRPr="00072AA8">
              <w:rPr>
                <w:rFonts w:cs="Arial"/>
                <w:bCs/>
              </w:rPr>
              <w:t xml:space="preserve">C </w:t>
            </w:r>
            <w:r w:rsidRPr="00072AA8">
              <w:rPr>
                <w:rFonts w:cs="Arial"/>
                <w:bCs/>
              </w:rPr>
              <w:t>performed</w:t>
            </w:r>
            <w:r w:rsidR="00903F75" w:rsidRPr="00072AA8">
              <w:rPr>
                <w:rFonts w:cs="Arial"/>
                <w:bCs/>
              </w:rPr>
              <w:t xml:space="preserve"> during the reporting period</w:t>
            </w:r>
            <w:r w:rsidRPr="00072AA8">
              <w:rPr>
                <w:rFonts w:cs="Arial"/>
                <w:bCs/>
              </w:rPr>
              <w:t xml:space="preserve">. </w:t>
            </w:r>
          </w:p>
        </w:tc>
      </w:tr>
      <w:tr w:rsidR="00297958" w:rsidRPr="009A5185" w14:paraId="6900D77D" w14:textId="77777777" w:rsidTr="00253C74">
        <w:trPr>
          <w:trHeight w:val="1152"/>
        </w:trPr>
        <w:tc>
          <w:tcPr>
            <w:tcW w:w="9562" w:type="dxa"/>
            <w:vAlign w:val="center"/>
          </w:tcPr>
          <w:p w14:paraId="6210BE1A" w14:textId="29CD6F8E" w:rsidR="00297958" w:rsidRPr="0031389F" w:rsidRDefault="00297958" w:rsidP="00CA75AB">
            <w:pPr>
              <w:autoSpaceDE w:val="0"/>
              <w:autoSpaceDN w:val="0"/>
              <w:adjustRightInd w:val="0"/>
              <w:rPr>
                <w:rFonts w:cs="Arial"/>
                <w:b/>
                <w:bCs/>
              </w:rPr>
            </w:pPr>
            <w:r w:rsidRPr="0031389F">
              <w:rPr>
                <w:rFonts w:cs="Arial"/>
                <w:b/>
                <w:bCs/>
              </w:rPr>
              <w:t xml:space="preserve">Question #4 (numerator): </w:t>
            </w:r>
            <w:r w:rsidRPr="0031389F">
              <w:t xml:space="preserve">Number of cases in question #3 with a list of </w:t>
            </w:r>
            <w:r w:rsidR="008525CC">
              <w:rPr>
                <w:b/>
              </w:rPr>
              <w:t xml:space="preserve">all </w:t>
            </w:r>
            <w:r w:rsidRPr="0031389F">
              <w:rPr>
                <w:b/>
              </w:rPr>
              <w:t>home medication(s),</w:t>
            </w:r>
            <w:r w:rsidRPr="0031389F">
              <w:t xml:space="preserve"> including dose, route, and frequency, documented in the clinical record.</w:t>
            </w:r>
          </w:p>
          <w:p w14:paraId="3759DE63" w14:textId="77777777" w:rsidR="00297958" w:rsidRPr="0031389F" w:rsidRDefault="00297958" w:rsidP="00CA75AB">
            <w:pPr>
              <w:autoSpaceDE w:val="0"/>
              <w:autoSpaceDN w:val="0"/>
              <w:adjustRightInd w:val="0"/>
              <w:rPr>
                <w:rFonts w:cs="Arial"/>
                <w:b/>
                <w:bCs/>
              </w:rPr>
            </w:pPr>
          </w:p>
          <w:p w14:paraId="0DB547DF" w14:textId="1FC51862" w:rsidR="00297958" w:rsidRPr="0031389F" w:rsidRDefault="00297958" w:rsidP="00CA75AB">
            <w:pPr>
              <w:autoSpaceDE w:val="0"/>
              <w:autoSpaceDN w:val="0"/>
              <w:adjustRightInd w:val="0"/>
              <w:rPr>
                <w:rFonts w:cs="Arial"/>
              </w:rPr>
            </w:pPr>
            <w:r w:rsidRPr="0031389F">
              <w:rPr>
                <w:rFonts w:cs="Arial"/>
              </w:rPr>
              <w:t>Determine the total number of clinical records included in the audit (in question #3), where a list of</w:t>
            </w:r>
            <w:r w:rsidR="008525CC">
              <w:rPr>
                <w:rFonts w:cs="Arial"/>
              </w:rPr>
              <w:t xml:space="preserve"> all</w:t>
            </w:r>
            <w:r w:rsidRPr="0031389F">
              <w:rPr>
                <w:rFonts w:cs="Arial"/>
              </w:rPr>
              <w:t xml:space="preserve"> home medication(s), including dose, route, and frequency, was documented in the clinical record</w:t>
            </w:r>
            <w:r w:rsidR="00D805E7">
              <w:rPr>
                <w:rFonts w:cs="Arial"/>
              </w:rPr>
              <w:t xml:space="preserve"> either</w:t>
            </w:r>
            <w:r w:rsidRPr="0031389F">
              <w:rPr>
                <w:rFonts w:cs="Arial"/>
              </w:rPr>
              <w:t xml:space="preserve"> on the day of the procedure</w:t>
            </w:r>
            <w:r w:rsidR="00D805E7">
              <w:rPr>
                <w:rFonts w:cs="Arial"/>
              </w:rPr>
              <w:t xml:space="preserve"> or after a pre-screening phone call (</w:t>
            </w:r>
            <w:r w:rsidR="00D314B1">
              <w:rPr>
                <w:rFonts w:cs="Arial"/>
              </w:rPr>
              <w:t>i</w:t>
            </w:r>
            <w:r w:rsidR="00D805E7">
              <w:rPr>
                <w:rFonts w:cs="Arial"/>
              </w:rPr>
              <w:t>.</w:t>
            </w:r>
            <w:r w:rsidR="00D314B1">
              <w:rPr>
                <w:rFonts w:cs="Arial"/>
              </w:rPr>
              <w:t>e</w:t>
            </w:r>
            <w:r w:rsidR="00D805E7">
              <w:rPr>
                <w:rFonts w:cs="Arial"/>
              </w:rPr>
              <w:t>., 1-2 days in advance of the procedure)</w:t>
            </w:r>
            <w:r w:rsidRPr="0031389F">
              <w:rPr>
                <w:rFonts w:cs="Arial"/>
              </w:rPr>
              <w:t>.</w:t>
            </w:r>
            <w:r w:rsidR="00A71F06">
              <w:rPr>
                <w:rFonts w:cs="Arial"/>
              </w:rPr>
              <w:t xml:space="preserve"> Records that include documentation that the patient had no home medications should be included. </w:t>
            </w:r>
          </w:p>
          <w:p w14:paraId="7E92E98F" w14:textId="77777777" w:rsidR="00EC1E84" w:rsidRPr="0031389F" w:rsidRDefault="00EC1E84" w:rsidP="00CA75AB">
            <w:pPr>
              <w:autoSpaceDE w:val="0"/>
              <w:autoSpaceDN w:val="0"/>
              <w:adjustRightInd w:val="0"/>
              <w:rPr>
                <w:rFonts w:cs="Arial"/>
                <w:b/>
                <w:bCs/>
              </w:rPr>
            </w:pPr>
          </w:p>
          <w:p w14:paraId="651711F3" w14:textId="77777777" w:rsidR="00297958" w:rsidRPr="0031389F" w:rsidRDefault="00297958" w:rsidP="00CA75AB">
            <w:bookmarkStart w:id="816" w:name="MedSafety_HomeMedications"/>
            <w:r w:rsidRPr="0031389F">
              <w:t>“Home medications</w:t>
            </w:r>
            <w:bookmarkEnd w:id="816"/>
            <w:r w:rsidRPr="0031389F">
              <w:t xml:space="preserve">” are defined as medications that the patient was taking prior to admission. </w:t>
            </w:r>
          </w:p>
          <w:p w14:paraId="12F24F5A" w14:textId="77777777" w:rsidR="00396C77" w:rsidRDefault="00396C77" w:rsidP="00CA75AB"/>
          <w:p w14:paraId="411892FC" w14:textId="0FDB6DCB" w:rsidR="00297958" w:rsidRPr="0031389F" w:rsidRDefault="00297958" w:rsidP="00CA75AB">
            <w:r w:rsidRPr="0031389F">
              <w:t xml:space="preserve">The following home medications may be excluded from the clinical record </w:t>
            </w:r>
            <w:r w:rsidRPr="001A3589">
              <w:rPr>
                <w:u w:val="single"/>
              </w:rPr>
              <w:t>unless they are clinically relevant</w:t>
            </w:r>
            <w:r w:rsidR="00E62ED1">
              <w:rPr>
                <w:u w:val="single"/>
              </w:rPr>
              <w:t>*</w:t>
            </w:r>
            <w:r w:rsidR="001A3589" w:rsidRPr="001A3589">
              <w:rPr>
                <w:u w:val="single"/>
              </w:rPr>
              <w:t xml:space="preserve"> </w:t>
            </w:r>
            <w:r w:rsidR="001A3589" w:rsidRPr="00BD7A5F">
              <w:t>(e.g., herbal supplement that is known to interact with anesthesia)</w:t>
            </w:r>
            <w:r w:rsidRPr="00BD7A5F">
              <w:t>:</w:t>
            </w:r>
          </w:p>
          <w:p w14:paraId="66CBA31D" w14:textId="277506B7" w:rsidR="00297958" w:rsidRPr="0031389F" w:rsidRDefault="00297958" w:rsidP="00AD309C">
            <w:pPr>
              <w:pStyle w:val="ListParagraph"/>
              <w:numPr>
                <w:ilvl w:val="0"/>
                <w:numId w:val="118"/>
              </w:numPr>
              <w:spacing w:after="120" w:line="264" w:lineRule="auto"/>
            </w:pPr>
            <w:r w:rsidRPr="0031389F">
              <w:t>as needed (PRN) medications</w:t>
            </w:r>
            <w:r w:rsidR="00A71F06">
              <w:t xml:space="preserve"> </w:t>
            </w:r>
          </w:p>
          <w:p w14:paraId="2D3D7A02" w14:textId="77777777" w:rsidR="00297958" w:rsidRPr="0031389F" w:rsidRDefault="00297958" w:rsidP="00AD309C">
            <w:pPr>
              <w:pStyle w:val="ListParagraph"/>
              <w:numPr>
                <w:ilvl w:val="0"/>
                <w:numId w:val="118"/>
              </w:numPr>
              <w:spacing w:after="120" w:line="264" w:lineRule="auto"/>
            </w:pPr>
            <w:r w:rsidRPr="0031389F">
              <w:t>topical lotions/creams</w:t>
            </w:r>
          </w:p>
          <w:p w14:paraId="2A7E7CD7" w14:textId="77777777" w:rsidR="00297958" w:rsidRPr="0031389F" w:rsidRDefault="00297958" w:rsidP="00AD309C">
            <w:pPr>
              <w:pStyle w:val="ListParagraph"/>
              <w:numPr>
                <w:ilvl w:val="0"/>
                <w:numId w:val="118"/>
              </w:numPr>
              <w:spacing w:after="120" w:line="264" w:lineRule="auto"/>
            </w:pPr>
            <w:r w:rsidRPr="0031389F">
              <w:t>saline nasal spray and artificial tear eye drops</w:t>
            </w:r>
          </w:p>
          <w:p w14:paraId="63A1DBD8" w14:textId="3A321D68" w:rsidR="00A71F06" w:rsidRDefault="00297958" w:rsidP="00AD309C">
            <w:pPr>
              <w:pStyle w:val="ListParagraph"/>
              <w:numPr>
                <w:ilvl w:val="0"/>
                <w:numId w:val="118"/>
              </w:numPr>
              <w:spacing w:after="120" w:line="264" w:lineRule="auto"/>
            </w:pPr>
            <w:r w:rsidRPr="0031389F">
              <w:t>herbals and supplements and vitamins</w:t>
            </w:r>
          </w:p>
          <w:p w14:paraId="50260988" w14:textId="307372BB" w:rsidR="00E01307" w:rsidRDefault="00E01307" w:rsidP="00AD309C">
            <w:pPr>
              <w:pStyle w:val="ListParagraph"/>
              <w:numPr>
                <w:ilvl w:val="0"/>
                <w:numId w:val="118"/>
              </w:numPr>
              <w:spacing w:after="120" w:line="264" w:lineRule="auto"/>
            </w:pPr>
            <w:r>
              <w:t>medications prescribed for the purpose of operative prep prior to colonoscopy</w:t>
            </w:r>
          </w:p>
          <w:p w14:paraId="296042D6" w14:textId="3B6426D5" w:rsidR="00BD7A5F" w:rsidRPr="00113D47" w:rsidRDefault="00113D47" w:rsidP="00113D47">
            <w:r>
              <w:t>Home</w:t>
            </w:r>
            <w:r w:rsidR="00A71F06">
              <w:t xml:space="preserve"> medications </w:t>
            </w:r>
            <w:r>
              <w:t xml:space="preserve">that </w:t>
            </w:r>
            <w:r w:rsidR="00A71F06">
              <w:t xml:space="preserve">must be included </w:t>
            </w:r>
            <w:r w:rsidR="00072AA8">
              <w:t>in</w:t>
            </w:r>
            <w:r w:rsidR="00A71F06">
              <w:t xml:space="preserve"> the clinical record</w:t>
            </w:r>
            <w:r>
              <w:t xml:space="preserve"> include </w:t>
            </w:r>
            <w:r w:rsidR="00A71F06">
              <w:t>clinically relevant</w:t>
            </w:r>
            <w:r w:rsidR="00BD7A5F">
              <w:t>*</w:t>
            </w:r>
            <w:r w:rsidR="00A71F06">
              <w:t xml:space="preserve"> PRN medications such as </w:t>
            </w:r>
            <w:r w:rsidR="00A71F06" w:rsidRPr="0031389F">
              <w:t xml:space="preserve">inhalers, nitroglycerin, </w:t>
            </w:r>
            <w:r w:rsidR="00A71F06" w:rsidRPr="00A40C46">
              <w:t xml:space="preserve">analgesics (opioid and non-opioid), </w:t>
            </w:r>
            <w:r w:rsidR="00A71F06" w:rsidRPr="0031389F">
              <w:t>muscle</w:t>
            </w:r>
            <w:r w:rsidR="00A71F06">
              <w:t xml:space="preserve"> </w:t>
            </w:r>
            <w:r w:rsidR="00A71F06" w:rsidRPr="0031389F">
              <w:t xml:space="preserve">relaxants, </w:t>
            </w:r>
            <w:r w:rsidR="00A71F06">
              <w:t xml:space="preserve">and </w:t>
            </w:r>
            <w:r w:rsidR="00A71F06" w:rsidRPr="0031389F">
              <w:t>sedatives</w:t>
            </w:r>
            <w:r w:rsidR="00BD7A5F">
              <w:t>.</w:t>
            </w:r>
            <w:r w:rsidR="00253C74">
              <w:br/>
            </w:r>
          </w:p>
          <w:p w14:paraId="021F238F" w14:textId="41164ED7" w:rsidR="00E62ED1" w:rsidRPr="00BD7A5F" w:rsidRDefault="00E62ED1" w:rsidP="00E62ED1">
            <w:pPr>
              <w:pStyle w:val="EndnoteText"/>
              <w:rPr>
                <w:rFonts w:cs="Arial"/>
                <w:i/>
                <w:iCs/>
              </w:rPr>
            </w:pPr>
            <w:r w:rsidRPr="00BD7A5F">
              <w:rPr>
                <w:rFonts w:cs="Arial"/>
                <w:i/>
                <w:iCs/>
              </w:rPr>
              <w:t xml:space="preserve">*Clinically relevant is defined as any PRN medication that treats a medical condition on the patient’s problem list and/or condition they are being treated for during the visit (i.e., reason for the hospital stay). </w:t>
            </w:r>
          </w:p>
          <w:p w14:paraId="15B0F792" w14:textId="77777777" w:rsidR="00E62ED1" w:rsidRPr="00E62ED1" w:rsidRDefault="00E62ED1" w:rsidP="00E62ED1">
            <w:pPr>
              <w:pStyle w:val="EndnoteText"/>
              <w:rPr>
                <w:rFonts w:cs="Arial"/>
              </w:rPr>
            </w:pPr>
          </w:p>
          <w:p w14:paraId="5F00F163" w14:textId="09DD021E" w:rsidR="0055415C" w:rsidRPr="0055415C" w:rsidRDefault="0055415C" w:rsidP="0055415C">
            <w:pPr>
              <w:rPr>
                <w:b/>
                <w:bCs/>
              </w:rPr>
            </w:pPr>
            <w:r w:rsidRPr="0055415C">
              <w:rPr>
                <w:b/>
                <w:bCs/>
              </w:rPr>
              <w:t>Included cases:</w:t>
            </w:r>
          </w:p>
          <w:p w14:paraId="42395575" w14:textId="77777777" w:rsidR="0055415C" w:rsidRPr="0055415C" w:rsidRDefault="0055415C" w:rsidP="00AD309C">
            <w:pPr>
              <w:pStyle w:val="ListParagraph"/>
              <w:numPr>
                <w:ilvl w:val="0"/>
                <w:numId w:val="118"/>
              </w:numPr>
              <w:spacing w:after="120" w:line="264" w:lineRule="auto"/>
            </w:pPr>
            <w:r w:rsidRPr="0055415C">
              <w:t xml:space="preserve">The clinical record includes documentation that the patient has no home medications. </w:t>
            </w:r>
          </w:p>
          <w:p w14:paraId="2C903D6D" w14:textId="77777777" w:rsidR="0055415C" w:rsidRPr="0055415C" w:rsidRDefault="0055415C" w:rsidP="0055415C">
            <w:pPr>
              <w:rPr>
                <w:b/>
                <w:bCs/>
              </w:rPr>
            </w:pPr>
            <w:r w:rsidRPr="0055415C">
              <w:rPr>
                <w:b/>
                <w:bCs/>
              </w:rPr>
              <w:t>Excluded cases:</w:t>
            </w:r>
          </w:p>
          <w:p w14:paraId="3C04EB1E" w14:textId="77777777" w:rsidR="0055415C" w:rsidRPr="0055415C" w:rsidRDefault="0055415C" w:rsidP="00AD309C">
            <w:pPr>
              <w:pStyle w:val="ListParagraph"/>
              <w:numPr>
                <w:ilvl w:val="0"/>
                <w:numId w:val="118"/>
              </w:numPr>
              <w:spacing w:after="120" w:line="264" w:lineRule="auto"/>
              <w:rPr>
                <w:b/>
                <w:bCs/>
              </w:rPr>
            </w:pPr>
            <w:r w:rsidRPr="0055415C">
              <w:t>The clinical record is missing a list of all home medication(s).</w:t>
            </w:r>
          </w:p>
          <w:p w14:paraId="5187FCFA" w14:textId="5EDF6A7B" w:rsidR="0055415C" w:rsidRPr="0055415C" w:rsidRDefault="0055415C" w:rsidP="00AD309C">
            <w:pPr>
              <w:pStyle w:val="ListParagraph"/>
              <w:numPr>
                <w:ilvl w:val="0"/>
                <w:numId w:val="118"/>
              </w:numPr>
              <w:spacing w:after="120" w:line="264" w:lineRule="auto"/>
              <w:rPr>
                <w:b/>
                <w:bCs/>
              </w:rPr>
            </w:pPr>
            <w:r w:rsidRPr="0055415C">
              <w:t xml:space="preserve">The clinical record is missing dose, route, </w:t>
            </w:r>
            <w:r w:rsidRPr="0055415C">
              <w:rPr>
                <w:b/>
                <w:bCs/>
                <w:u w:val="single"/>
              </w:rPr>
              <w:t>or</w:t>
            </w:r>
            <w:r w:rsidRPr="0055415C">
              <w:t xml:space="preserve"> frequency for a home medication</w:t>
            </w:r>
          </w:p>
        </w:tc>
      </w:tr>
      <w:tr w:rsidR="00297958" w:rsidRPr="009A5185" w14:paraId="7494FD21" w14:textId="77777777" w:rsidTr="00253C74">
        <w:trPr>
          <w:trHeight w:val="20"/>
        </w:trPr>
        <w:tc>
          <w:tcPr>
            <w:tcW w:w="9562" w:type="dxa"/>
            <w:vAlign w:val="center"/>
          </w:tcPr>
          <w:p w14:paraId="15825112" w14:textId="2CF75279" w:rsidR="00297958" w:rsidRPr="009B3264" w:rsidRDefault="00297958" w:rsidP="00764EEA">
            <w:pPr>
              <w:autoSpaceDE w:val="0"/>
              <w:autoSpaceDN w:val="0"/>
              <w:adjustRightInd w:val="0"/>
              <w:rPr>
                <w:rFonts w:cs="Arial"/>
                <w:b/>
                <w:bCs/>
              </w:rPr>
            </w:pPr>
            <w:bookmarkStart w:id="817" w:name="medadminvisits_q5"/>
            <w:bookmarkEnd w:id="817"/>
            <w:r w:rsidRPr="009B3264">
              <w:rPr>
                <w:rFonts w:cs="Arial"/>
                <w:b/>
                <w:bCs/>
              </w:rPr>
              <w:t xml:space="preserve">Question #5 (numerator): </w:t>
            </w:r>
            <w:r w:rsidRPr="009B3264">
              <w:rPr>
                <w:rFonts w:cs="Arial"/>
                <w:bCs/>
              </w:rPr>
              <w:t xml:space="preserve">Number of cases in question #3 with a list of </w:t>
            </w:r>
            <w:r w:rsidR="00A745AF" w:rsidRPr="009B3264">
              <w:rPr>
                <w:rFonts w:cs="Arial"/>
                <w:b/>
                <w:bCs/>
              </w:rPr>
              <w:t>all medication(s) administered during the visit</w:t>
            </w:r>
            <w:r w:rsidR="00A745AF">
              <w:rPr>
                <w:rFonts w:cs="Arial"/>
                <w:b/>
                <w:bCs/>
              </w:rPr>
              <w:t xml:space="preserve"> </w:t>
            </w:r>
            <w:r w:rsidR="00000DD1">
              <w:rPr>
                <w:rFonts w:cs="Arial"/>
                <w:b/>
                <w:bCs/>
              </w:rPr>
              <w:t>and</w:t>
            </w:r>
            <w:r w:rsidR="00A745AF">
              <w:rPr>
                <w:rFonts w:cs="Arial"/>
                <w:b/>
                <w:bCs/>
              </w:rPr>
              <w:t xml:space="preserve"> </w:t>
            </w:r>
            <w:r w:rsidR="00BB7F27">
              <w:rPr>
                <w:rFonts w:cs="Arial"/>
                <w:b/>
                <w:bCs/>
              </w:rPr>
              <w:t xml:space="preserve">new medications </w:t>
            </w:r>
            <w:r w:rsidR="00A745AF" w:rsidRPr="009B3264">
              <w:rPr>
                <w:rFonts w:cs="Arial"/>
                <w:b/>
                <w:bCs/>
              </w:rPr>
              <w:t xml:space="preserve">prescribed </w:t>
            </w:r>
            <w:r w:rsidR="00A745AF">
              <w:rPr>
                <w:rFonts w:cs="Arial"/>
                <w:b/>
                <w:bCs/>
              </w:rPr>
              <w:t xml:space="preserve">at discharge, </w:t>
            </w:r>
            <w:r w:rsidRPr="009B3264">
              <w:rPr>
                <w:rFonts w:cs="Arial"/>
                <w:bCs/>
              </w:rPr>
              <w:t>including the strength, dose, route, date, and time of administration, documented in the clinical record.</w:t>
            </w:r>
          </w:p>
          <w:p w14:paraId="436CD9D5" w14:textId="77777777" w:rsidR="00297958" w:rsidRPr="009B3264" w:rsidRDefault="00297958" w:rsidP="00764EEA">
            <w:pPr>
              <w:autoSpaceDE w:val="0"/>
              <w:autoSpaceDN w:val="0"/>
              <w:adjustRightInd w:val="0"/>
              <w:rPr>
                <w:rFonts w:cs="Arial"/>
                <w:b/>
                <w:bCs/>
              </w:rPr>
            </w:pPr>
          </w:p>
          <w:p w14:paraId="41EDA65B" w14:textId="1FB613D2" w:rsidR="00297958" w:rsidRPr="009B3264" w:rsidRDefault="00297958" w:rsidP="00764EEA">
            <w:pPr>
              <w:autoSpaceDE w:val="0"/>
              <w:autoSpaceDN w:val="0"/>
              <w:adjustRightInd w:val="0"/>
              <w:rPr>
                <w:rFonts w:cs="Arial"/>
              </w:rPr>
            </w:pPr>
            <w:r w:rsidRPr="009B3264">
              <w:rPr>
                <w:rFonts w:cs="Arial"/>
              </w:rPr>
              <w:t xml:space="preserve">Determine the total number of clinical records included in the audit (question #3), where a list of </w:t>
            </w:r>
            <w:r w:rsidR="008525CC" w:rsidRPr="009B3264">
              <w:rPr>
                <w:rFonts w:cs="Arial"/>
              </w:rPr>
              <w:t>all</w:t>
            </w:r>
            <w:r w:rsidRPr="009B3264">
              <w:rPr>
                <w:rFonts w:cs="Arial"/>
              </w:rPr>
              <w:t xml:space="preserve"> medication(s) </w:t>
            </w:r>
            <w:r w:rsidR="00A745AF">
              <w:rPr>
                <w:rFonts w:cs="Arial"/>
              </w:rPr>
              <w:t xml:space="preserve">administered during the visit </w:t>
            </w:r>
            <w:r w:rsidR="00853585">
              <w:rPr>
                <w:rFonts w:cs="Arial"/>
              </w:rPr>
              <w:t>and</w:t>
            </w:r>
            <w:r w:rsidR="00A745AF">
              <w:rPr>
                <w:rFonts w:cs="Arial"/>
              </w:rPr>
              <w:t xml:space="preserve"> new</w:t>
            </w:r>
            <w:r w:rsidR="006469CC">
              <w:rPr>
                <w:rFonts w:cs="Arial"/>
              </w:rPr>
              <w:t xml:space="preserve"> medications </w:t>
            </w:r>
            <w:r w:rsidRPr="009B3264">
              <w:rPr>
                <w:rFonts w:cs="Arial"/>
              </w:rPr>
              <w:t>prescribe</w:t>
            </w:r>
            <w:r w:rsidR="008A4088" w:rsidRPr="009B3264">
              <w:rPr>
                <w:rFonts w:cs="Arial"/>
              </w:rPr>
              <w:t xml:space="preserve">d </w:t>
            </w:r>
            <w:r w:rsidR="000B00E5">
              <w:rPr>
                <w:rFonts w:cs="Arial"/>
              </w:rPr>
              <w:t>at discharge</w:t>
            </w:r>
            <w:r w:rsidR="002B46DA">
              <w:rPr>
                <w:rFonts w:cs="Arial"/>
              </w:rPr>
              <w:t>,</w:t>
            </w:r>
            <w:r w:rsidRPr="009B3264">
              <w:rPr>
                <w:rFonts w:cs="Arial"/>
              </w:rPr>
              <w:t xml:space="preserve"> including the strength, dose, route, date, and time of administration, was documented in the clinical record on the day of the procedure.</w:t>
            </w:r>
            <w:r w:rsidR="00614665" w:rsidRPr="009B3264">
              <w:rPr>
                <w:rFonts w:cs="Arial"/>
              </w:rPr>
              <w:t xml:space="preserve"> </w:t>
            </w:r>
          </w:p>
          <w:p w14:paraId="4F52CA06" w14:textId="361D2338" w:rsidR="00CF67E0" w:rsidRPr="009B3264" w:rsidRDefault="00CF67E0" w:rsidP="00764EEA">
            <w:pPr>
              <w:autoSpaceDE w:val="0"/>
              <w:autoSpaceDN w:val="0"/>
              <w:adjustRightInd w:val="0"/>
              <w:rPr>
                <w:rFonts w:cs="Arial"/>
                <w:b/>
                <w:bCs/>
              </w:rPr>
            </w:pPr>
          </w:p>
          <w:p w14:paraId="16DCE96C" w14:textId="5376E6C5" w:rsidR="00CF67E0" w:rsidRDefault="00E51E15" w:rsidP="00764EEA">
            <w:pPr>
              <w:autoSpaceDE w:val="0"/>
              <w:autoSpaceDN w:val="0"/>
              <w:adjustRightInd w:val="0"/>
            </w:pPr>
            <w:r w:rsidRPr="009B3264">
              <w:t>Local, regional, and general anesthesia medications</w:t>
            </w:r>
            <w:r w:rsidR="00CF67E0" w:rsidRPr="009B3264">
              <w:t xml:space="preserve"> must only have </w:t>
            </w:r>
            <w:r w:rsidR="00CF67E0" w:rsidRPr="009B3264">
              <w:rPr>
                <w:b/>
                <w:bCs/>
              </w:rPr>
              <w:t>total dose, date, and time of administration</w:t>
            </w:r>
            <w:r w:rsidR="00CF67E0" w:rsidRPr="009B3264">
              <w:t xml:space="preserve"> documented in the clinical record to be considered complete.</w:t>
            </w:r>
            <w:r w:rsidRPr="009B3264">
              <w:t xml:space="preserve"> </w:t>
            </w:r>
          </w:p>
          <w:p w14:paraId="71DE5853" w14:textId="77777777" w:rsidR="000412F3" w:rsidRDefault="000412F3" w:rsidP="00764EEA">
            <w:pPr>
              <w:autoSpaceDE w:val="0"/>
              <w:autoSpaceDN w:val="0"/>
              <w:adjustRightInd w:val="0"/>
            </w:pPr>
          </w:p>
          <w:p w14:paraId="6D69E07F" w14:textId="627ABCA3" w:rsidR="000412F3" w:rsidRPr="009B3264" w:rsidRDefault="000412F3" w:rsidP="00764EEA">
            <w:pPr>
              <w:autoSpaceDE w:val="0"/>
              <w:autoSpaceDN w:val="0"/>
              <w:adjustRightInd w:val="0"/>
            </w:pPr>
            <w:r w:rsidRPr="000412F3">
              <w:t xml:space="preserve">Lidocaine jelly only needs to have </w:t>
            </w:r>
            <w:r w:rsidRPr="000412F3">
              <w:rPr>
                <w:b/>
                <w:bCs/>
              </w:rPr>
              <w:t>strength, date, and time of administration</w:t>
            </w:r>
            <w:r w:rsidRPr="000412F3">
              <w:t xml:space="preserve"> documented in the clinical record to be considered complete.</w:t>
            </w:r>
          </w:p>
          <w:p w14:paraId="35939906" w14:textId="7A6259E3" w:rsidR="008A4088" w:rsidRPr="009B3264" w:rsidRDefault="008A4088" w:rsidP="00764EEA">
            <w:pPr>
              <w:autoSpaceDE w:val="0"/>
              <w:autoSpaceDN w:val="0"/>
              <w:adjustRightInd w:val="0"/>
            </w:pPr>
          </w:p>
          <w:p w14:paraId="2A1F4A15" w14:textId="19932244" w:rsidR="008A4088" w:rsidRDefault="008A4088" w:rsidP="00764EEA">
            <w:pPr>
              <w:autoSpaceDE w:val="0"/>
              <w:autoSpaceDN w:val="0"/>
              <w:adjustRightInd w:val="0"/>
              <w:rPr>
                <w:rFonts w:cs="Arial"/>
                <w:shd w:val="clear" w:color="auto" w:fill="FFFFFF"/>
              </w:rPr>
            </w:pPr>
            <w:r w:rsidRPr="009B3264">
              <w:rPr>
                <w:rFonts w:cs="Arial"/>
                <w:shd w:val="clear" w:color="auto" w:fill="FFFFFF"/>
              </w:rPr>
              <w:t xml:space="preserve">IV solutions must have </w:t>
            </w:r>
            <w:r w:rsidRPr="009B3264">
              <w:rPr>
                <w:rFonts w:cs="Arial"/>
                <w:b/>
                <w:bCs/>
                <w:shd w:val="clear" w:color="auto" w:fill="FFFFFF"/>
              </w:rPr>
              <w:t xml:space="preserve">strength, dose, route, date, and time of administration </w:t>
            </w:r>
            <w:r w:rsidRPr="009B3264">
              <w:rPr>
                <w:rFonts w:cs="Arial"/>
                <w:shd w:val="clear" w:color="auto" w:fill="FFFFFF"/>
              </w:rPr>
              <w:t>documented in the clinical record to be considered complete. However, if the IV solution only comes in one concentration/strength (such as the LR Injection), the strength can be entered as N/A and the start time and volume of the bag can be documented for dose in order to be considered complete.</w:t>
            </w:r>
          </w:p>
          <w:p w14:paraId="6D9D1B72" w14:textId="4448A7E2" w:rsidR="00BF76B5" w:rsidRPr="009B3264" w:rsidRDefault="00BF76B5" w:rsidP="00764EEA">
            <w:pPr>
              <w:autoSpaceDE w:val="0"/>
              <w:autoSpaceDN w:val="0"/>
              <w:adjustRightInd w:val="0"/>
              <w:rPr>
                <w:rFonts w:cs="Arial"/>
                <w:b/>
                <w:bCs/>
                <w:shd w:val="clear" w:color="auto" w:fill="FFFFFF"/>
              </w:rPr>
            </w:pPr>
          </w:p>
          <w:p w14:paraId="7BEBC892" w14:textId="6B1619B2" w:rsidR="00BF76B5" w:rsidRPr="009B3264" w:rsidRDefault="002B46DA" w:rsidP="00764EEA">
            <w:pPr>
              <w:autoSpaceDE w:val="0"/>
              <w:autoSpaceDN w:val="0"/>
              <w:adjustRightInd w:val="0"/>
              <w:rPr>
                <w:rFonts w:cs="Arial"/>
              </w:rPr>
            </w:pPr>
            <w:r>
              <w:rPr>
                <w:rFonts w:cs="Arial"/>
              </w:rPr>
              <w:t>New m</w:t>
            </w:r>
            <w:r w:rsidR="00BF76B5" w:rsidRPr="009B3264">
              <w:rPr>
                <w:rFonts w:cs="Arial"/>
              </w:rPr>
              <w:t>edications prescribed</w:t>
            </w:r>
            <w:r w:rsidR="00C16916">
              <w:rPr>
                <w:rFonts w:cs="Arial"/>
              </w:rPr>
              <w:t xml:space="preserve"> at discharge</w:t>
            </w:r>
            <w:r w:rsidR="00BF76B5" w:rsidRPr="009B3264">
              <w:rPr>
                <w:rFonts w:cs="Arial"/>
              </w:rPr>
              <w:t xml:space="preserve">, but not administered at the </w:t>
            </w:r>
            <w:r w:rsidR="00AD079D">
              <w:rPr>
                <w:rFonts w:cs="Arial"/>
              </w:rPr>
              <w:t>hospital</w:t>
            </w:r>
            <w:r w:rsidR="00BF76B5" w:rsidRPr="009B3264">
              <w:rPr>
                <w:rFonts w:cs="Arial"/>
              </w:rPr>
              <w:t xml:space="preserve"> must only have </w:t>
            </w:r>
            <w:r w:rsidR="00BF76B5" w:rsidRPr="00B546B5">
              <w:rPr>
                <w:rFonts w:cs="Arial"/>
                <w:b/>
                <w:bCs/>
              </w:rPr>
              <w:t>strength, dose, route, and date</w:t>
            </w:r>
            <w:r w:rsidR="00BF76B5" w:rsidRPr="009B3264">
              <w:rPr>
                <w:rFonts w:cs="Arial"/>
              </w:rPr>
              <w:t xml:space="preserve"> </w:t>
            </w:r>
            <w:r w:rsidR="00A745AF" w:rsidRPr="00753419">
              <w:rPr>
                <w:rFonts w:cs="Arial"/>
                <w:b/>
                <w:bCs/>
              </w:rPr>
              <w:t>the medication was prescribed</w:t>
            </w:r>
            <w:r w:rsidR="00A745AF">
              <w:rPr>
                <w:rFonts w:cs="Arial"/>
              </w:rPr>
              <w:t xml:space="preserve"> </w:t>
            </w:r>
            <w:r w:rsidR="00BF76B5" w:rsidRPr="009B3264">
              <w:rPr>
                <w:rFonts w:cs="Arial"/>
              </w:rPr>
              <w:t xml:space="preserve">documented in the clinical record to be considered complete. </w:t>
            </w:r>
          </w:p>
          <w:p w14:paraId="325D517C" w14:textId="77777777" w:rsidR="00BF76B5" w:rsidRPr="009B3264" w:rsidRDefault="00BF76B5" w:rsidP="00764EEA">
            <w:pPr>
              <w:autoSpaceDE w:val="0"/>
              <w:autoSpaceDN w:val="0"/>
              <w:adjustRightInd w:val="0"/>
              <w:rPr>
                <w:rFonts w:cs="Arial"/>
                <w:b/>
                <w:bCs/>
                <w:shd w:val="clear" w:color="auto" w:fill="FFFFFF"/>
              </w:rPr>
            </w:pPr>
          </w:p>
          <w:p w14:paraId="7147B073" w14:textId="77777777" w:rsidR="00BF76B5" w:rsidRPr="009B3264" w:rsidRDefault="00BF76B5" w:rsidP="00764EEA">
            <w:pPr>
              <w:autoSpaceDE w:val="0"/>
              <w:autoSpaceDN w:val="0"/>
              <w:adjustRightInd w:val="0"/>
              <w:rPr>
                <w:rFonts w:cs="Arial"/>
              </w:rPr>
            </w:pPr>
            <w:r w:rsidRPr="009B3264">
              <w:rPr>
                <w:rFonts w:cs="Arial"/>
                <w:b/>
                <w:bCs/>
              </w:rPr>
              <w:t xml:space="preserve">Excluded cases: </w:t>
            </w:r>
          </w:p>
          <w:p w14:paraId="42A82B1F" w14:textId="2F6B84C6" w:rsidR="009B3264" w:rsidRPr="009B3264" w:rsidRDefault="00BF76B5" w:rsidP="00AD309C">
            <w:pPr>
              <w:pStyle w:val="ListParagraph"/>
              <w:numPr>
                <w:ilvl w:val="0"/>
                <w:numId w:val="154"/>
              </w:numPr>
              <w:autoSpaceDE w:val="0"/>
              <w:autoSpaceDN w:val="0"/>
              <w:adjustRightInd w:val="0"/>
              <w:spacing w:after="120" w:line="264" w:lineRule="auto"/>
              <w:rPr>
                <w:rFonts w:cs="Arial"/>
              </w:rPr>
            </w:pPr>
            <w:r w:rsidRPr="009B3264">
              <w:rPr>
                <w:rFonts w:cs="Arial"/>
              </w:rPr>
              <w:t>The clinical record is missing a medication that was administered or prescribed during the visit</w:t>
            </w:r>
            <w:r w:rsidR="00C16916">
              <w:rPr>
                <w:rFonts w:cs="Arial"/>
              </w:rPr>
              <w:t xml:space="preserve"> or at discharge</w:t>
            </w:r>
            <w:r w:rsidRPr="009B3264">
              <w:rPr>
                <w:rFonts w:cs="Arial"/>
              </w:rPr>
              <w:t>.</w:t>
            </w:r>
          </w:p>
          <w:p w14:paraId="5513D310" w14:textId="406A264A" w:rsidR="00A745AF" w:rsidRPr="000412F3" w:rsidRDefault="00BF76B5" w:rsidP="000412F3">
            <w:pPr>
              <w:pStyle w:val="ListParagraph"/>
              <w:numPr>
                <w:ilvl w:val="0"/>
                <w:numId w:val="154"/>
              </w:numPr>
              <w:autoSpaceDE w:val="0"/>
              <w:autoSpaceDN w:val="0"/>
              <w:adjustRightInd w:val="0"/>
              <w:spacing w:after="120" w:line="264" w:lineRule="auto"/>
              <w:rPr>
                <w:rFonts w:cs="Arial"/>
              </w:rPr>
            </w:pPr>
            <w:r w:rsidRPr="009B3264">
              <w:rPr>
                <w:rFonts w:cs="Arial"/>
              </w:rPr>
              <w:t>The clinical record is missing strength, dose</w:t>
            </w:r>
            <w:r w:rsidR="00AC078E">
              <w:rPr>
                <w:rFonts w:cs="Arial"/>
              </w:rPr>
              <w:t>,</w:t>
            </w:r>
            <w:r w:rsidRPr="009B3264">
              <w:rPr>
                <w:rFonts w:cs="Arial"/>
              </w:rPr>
              <w:t xml:space="preserve"> route, date, </w:t>
            </w:r>
            <w:r w:rsidRPr="009B3264">
              <w:rPr>
                <w:rFonts w:cs="Arial"/>
                <w:b/>
                <w:bCs/>
                <w:u w:val="single"/>
              </w:rPr>
              <w:t>or</w:t>
            </w:r>
            <w:r w:rsidRPr="009B3264">
              <w:rPr>
                <w:rFonts w:cs="Arial"/>
              </w:rPr>
              <w:t xml:space="preserve"> time of administration for a medication administered or prescribed during the visit </w:t>
            </w:r>
            <w:r w:rsidR="00C16916">
              <w:rPr>
                <w:rFonts w:cs="Arial"/>
              </w:rPr>
              <w:t xml:space="preserve">or at discharge </w:t>
            </w:r>
            <w:r w:rsidRPr="009B3264">
              <w:rPr>
                <w:rFonts w:cs="Arial"/>
              </w:rPr>
              <w:t>except as described above for anesthesia medications, IV solutions, and prescribed medications.</w:t>
            </w:r>
          </w:p>
        </w:tc>
      </w:tr>
      <w:tr w:rsidR="00297958" w:rsidRPr="009A5185" w14:paraId="0B766C83" w14:textId="77777777" w:rsidTr="00297958">
        <w:tc>
          <w:tcPr>
            <w:tcW w:w="9562" w:type="dxa"/>
            <w:vAlign w:val="center"/>
          </w:tcPr>
          <w:p w14:paraId="12BFBF8C" w14:textId="69E21AFE" w:rsidR="00297958" w:rsidRPr="009B3264" w:rsidRDefault="00297958" w:rsidP="00CA75AB">
            <w:pPr>
              <w:autoSpaceDE w:val="0"/>
              <w:autoSpaceDN w:val="0"/>
              <w:adjustRightInd w:val="0"/>
              <w:rPr>
                <w:rFonts w:cs="Arial"/>
                <w:b/>
                <w:bCs/>
              </w:rPr>
            </w:pPr>
            <w:bookmarkStart w:id="818" w:name="medadverse_q6"/>
            <w:bookmarkEnd w:id="818"/>
            <w:r w:rsidRPr="009B3264">
              <w:rPr>
                <w:rFonts w:cs="Arial"/>
                <w:b/>
                <w:bCs/>
              </w:rPr>
              <w:t xml:space="preserve">Question #6 (numerator): </w:t>
            </w:r>
            <w:r w:rsidRPr="009B3264">
              <w:rPr>
                <w:rFonts w:cs="Arial"/>
                <w:bCs/>
              </w:rPr>
              <w:t xml:space="preserve">Number of cases in question #3 with a list of </w:t>
            </w:r>
            <w:r w:rsidR="008525CC" w:rsidRPr="009B3264">
              <w:rPr>
                <w:rFonts w:cs="Arial"/>
                <w:b/>
                <w:bCs/>
              </w:rPr>
              <w:t>all</w:t>
            </w:r>
            <w:r w:rsidR="008525CC" w:rsidRPr="009B3264">
              <w:rPr>
                <w:rFonts w:cs="Arial"/>
                <w:b/>
              </w:rPr>
              <w:t xml:space="preserve"> </w:t>
            </w:r>
            <w:r w:rsidR="00B07FED" w:rsidRPr="009B3264">
              <w:rPr>
                <w:rFonts w:cs="Arial"/>
                <w:b/>
              </w:rPr>
              <w:t xml:space="preserve">medication </w:t>
            </w:r>
            <w:r w:rsidRPr="009B3264">
              <w:rPr>
                <w:rFonts w:cs="Arial"/>
                <w:b/>
                <w:bCs/>
              </w:rPr>
              <w:t>allergies and adverse reaction</w:t>
            </w:r>
            <w:r w:rsidR="003E5B82" w:rsidRPr="009B3264">
              <w:rPr>
                <w:rFonts w:cs="Arial"/>
                <w:b/>
                <w:bCs/>
              </w:rPr>
              <w:t>(s)</w:t>
            </w:r>
            <w:r w:rsidRPr="009B3264">
              <w:rPr>
                <w:rFonts w:cs="Arial"/>
                <w:bCs/>
              </w:rPr>
              <w:t xml:space="preserve"> documented in the clinical record.</w:t>
            </w:r>
          </w:p>
          <w:p w14:paraId="61240858" w14:textId="77777777" w:rsidR="00297958" w:rsidRPr="009B3264" w:rsidRDefault="00297958" w:rsidP="00CA75AB">
            <w:pPr>
              <w:autoSpaceDE w:val="0"/>
              <w:autoSpaceDN w:val="0"/>
              <w:adjustRightInd w:val="0"/>
              <w:rPr>
                <w:rFonts w:cs="Arial"/>
                <w:b/>
                <w:bCs/>
              </w:rPr>
            </w:pPr>
          </w:p>
          <w:p w14:paraId="3E60F16F" w14:textId="155E972C" w:rsidR="00297958" w:rsidRPr="009B3264" w:rsidRDefault="00297958" w:rsidP="00CA75AB">
            <w:pPr>
              <w:autoSpaceDE w:val="0"/>
              <w:autoSpaceDN w:val="0"/>
              <w:adjustRightInd w:val="0"/>
              <w:rPr>
                <w:rFonts w:cs="Arial"/>
              </w:rPr>
            </w:pPr>
            <w:r w:rsidRPr="009B3264">
              <w:rPr>
                <w:rFonts w:cs="Arial"/>
                <w:bCs/>
              </w:rPr>
              <w:t xml:space="preserve">Determine the total number of clinical records included in the audit (question #3), where a list </w:t>
            </w:r>
            <w:r w:rsidRPr="009B3264">
              <w:rPr>
                <w:rFonts w:cs="Arial"/>
              </w:rPr>
              <w:t>of</w:t>
            </w:r>
            <w:r w:rsidR="008525CC" w:rsidRPr="009B3264">
              <w:rPr>
                <w:rFonts w:cs="Arial"/>
              </w:rPr>
              <w:t xml:space="preserve"> all</w:t>
            </w:r>
            <w:r w:rsidRPr="009B3264">
              <w:rPr>
                <w:rFonts w:cs="Arial"/>
              </w:rPr>
              <w:t xml:space="preserve"> </w:t>
            </w:r>
            <w:r w:rsidR="00396C77" w:rsidRPr="009B3264">
              <w:rPr>
                <w:rFonts w:cs="Arial"/>
              </w:rPr>
              <w:t xml:space="preserve">medication </w:t>
            </w:r>
            <w:r w:rsidRPr="009B3264">
              <w:rPr>
                <w:rFonts w:cs="Arial"/>
              </w:rPr>
              <w:t>allergies and adverse reaction</w:t>
            </w:r>
            <w:r w:rsidR="00BC5FED" w:rsidRPr="009B3264">
              <w:rPr>
                <w:rFonts w:cs="Arial"/>
              </w:rPr>
              <w:t xml:space="preserve">(s) </w:t>
            </w:r>
            <w:r w:rsidRPr="009B3264">
              <w:rPr>
                <w:rFonts w:cs="Arial"/>
              </w:rPr>
              <w:t xml:space="preserve">was documented in the clinical record. </w:t>
            </w:r>
            <w:r w:rsidR="00614665" w:rsidRPr="009B3264">
              <w:rPr>
                <w:rFonts w:cs="Arial"/>
              </w:rPr>
              <w:t>Hospitals should only assess medication allergies (</w:t>
            </w:r>
            <w:r w:rsidR="00396C77" w:rsidRPr="009B3264">
              <w:rPr>
                <w:rFonts w:cs="Arial"/>
              </w:rPr>
              <w:t>i.e.,</w:t>
            </w:r>
            <w:r w:rsidR="00614665" w:rsidRPr="009B3264">
              <w:rPr>
                <w:rFonts w:cs="Arial"/>
              </w:rPr>
              <w:t xml:space="preserve"> hospitals do </w:t>
            </w:r>
            <w:r w:rsidR="00614665" w:rsidRPr="009B3264">
              <w:rPr>
                <w:rFonts w:cs="Arial"/>
                <w:u w:val="single"/>
              </w:rPr>
              <w:t>not</w:t>
            </w:r>
            <w:r w:rsidR="00614665" w:rsidRPr="009B3264">
              <w:rPr>
                <w:rFonts w:cs="Arial"/>
              </w:rPr>
              <w:t xml:space="preserve"> need to assess food or environmental allergies).</w:t>
            </w:r>
          </w:p>
          <w:p w14:paraId="281B0485" w14:textId="77777777" w:rsidR="00297958" w:rsidRPr="009B3264" w:rsidRDefault="00297958" w:rsidP="00CA75AB">
            <w:pPr>
              <w:autoSpaceDE w:val="0"/>
              <w:autoSpaceDN w:val="0"/>
              <w:adjustRightInd w:val="0"/>
              <w:rPr>
                <w:rFonts w:cs="Arial"/>
              </w:rPr>
            </w:pPr>
          </w:p>
          <w:p w14:paraId="2F8929F3" w14:textId="77777777" w:rsidR="00297958" w:rsidRPr="009B3264" w:rsidRDefault="00297958" w:rsidP="00CA75AB">
            <w:pPr>
              <w:autoSpaceDE w:val="0"/>
              <w:autoSpaceDN w:val="0"/>
              <w:adjustRightInd w:val="0"/>
              <w:rPr>
                <w:rFonts w:cs="Arial"/>
                <w:b/>
              </w:rPr>
            </w:pPr>
            <w:r w:rsidRPr="009B3264">
              <w:rPr>
                <w:rFonts w:cs="Arial"/>
                <w:b/>
              </w:rPr>
              <w:t>Included cases:</w:t>
            </w:r>
          </w:p>
          <w:p w14:paraId="76FFCCD9" w14:textId="59913324" w:rsidR="00297958" w:rsidRPr="00753419" w:rsidRDefault="00297958" w:rsidP="00AD309C">
            <w:pPr>
              <w:pStyle w:val="ListParagraph"/>
              <w:numPr>
                <w:ilvl w:val="0"/>
                <w:numId w:val="119"/>
              </w:numPr>
              <w:autoSpaceDE w:val="0"/>
              <w:autoSpaceDN w:val="0"/>
              <w:adjustRightInd w:val="0"/>
              <w:spacing w:after="120" w:line="264" w:lineRule="auto"/>
              <w:rPr>
                <w:rFonts w:cs="Arial"/>
              </w:rPr>
            </w:pPr>
            <w:r w:rsidRPr="009B3264">
              <w:rPr>
                <w:rFonts w:cs="Arial"/>
              </w:rPr>
              <w:t>The clinical record includes documentation that the patient reported no known allergies.</w:t>
            </w:r>
          </w:p>
          <w:p w14:paraId="4E62871C" w14:textId="77777777" w:rsidR="00297958" w:rsidRPr="009B3264" w:rsidRDefault="00297958" w:rsidP="00CA75AB">
            <w:pPr>
              <w:autoSpaceDE w:val="0"/>
              <w:autoSpaceDN w:val="0"/>
              <w:adjustRightInd w:val="0"/>
              <w:rPr>
                <w:rFonts w:cs="Arial"/>
                <w:b/>
              </w:rPr>
            </w:pPr>
            <w:r w:rsidRPr="009B3264">
              <w:rPr>
                <w:rFonts w:cs="Arial"/>
                <w:b/>
              </w:rPr>
              <w:t xml:space="preserve">Excluded cases: </w:t>
            </w:r>
          </w:p>
          <w:p w14:paraId="34E614C4" w14:textId="67D5D8AC" w:rsidR="00297958" w:rsidRPr="009B3264" w:rsidRDefault="00297958" w:rsidP="00AD309C">
            <w:pPr>
              <w:pStyle w:val="ListParagraph"/>
              <w:numPr>
                <w:ilvl w:val="0"/>
                <w:numId w:val="119"/>
              </w:numPr>
              <w:autoSpaceDE w:val="0"/>
              <w:autoSpaceDN w:val="0"/>
              <w:adjustRightInd w:val="0"/>
              <w:spacing w:after="120" w:line="264" w:lineRule="auto"/>
              <w:rPr>
                <w:rFonts w:cs="Arial"/>
              </w:rPr>
            </w:pPr>
            <w:r w:rsidRPr="009B3264">
              <w:rPr>
                <w:rFonts w:cs="Arial"/>
              </w:rPr>
              <w:t xml:space="preserve">The clinical record does </w:t>
            </w:r>
            <w:r w:rsidRPr="009B3264">
              <w:rPr>
                <w:rFonts w:cs="Arial"/>
                <w:b/>
              </w:rPr>
              <w:t>not</w:t>
            </w:r>
            <w:r w:rsidRPr="009B3264">
              <w:rPr>
                <w:rFonts w:cs="Arial"/>
              </w:rPr>
              <w:t xml:space="preserve"> include either a list of allergies and adverse reaction</w:t>
            </w:r>
            <w:r w:rsidR="003E5B82" w:rsidRPr="009B3264">
              <w:rPr>
                <w:rFonts w:cs="Arial"/>
              </w:rPr>
              <w:t>(s)</w:t>
            </w:r>
            <w:r w:rsidRPr="009B3264">
              <w:rPr>
                <w:rFonts w:cs="Arial"/>
              </w:rPr>
              <w:t xml:space="preserve"> </w:t>
            </w:r>
            <w:r w:rsidRPr="009B3264">
              <w:rPr>
                <w:rFonts w:cs="Arial"/>
                <w:b/>
                <w:u w:val="single"/>
              </w:rPr>
              <w:t>nor</w:t>
            </w:r>
            <w:r w:rsidRPr="009B3264">
              <w:rPr>
                <w:rFonts w:cs="Arial"/>
                <w:u w:val="single"/>
              </w:rPr>
              <w:t xml:space="preserve"> </w:t>
            </w:r>
            <w:r w:rsidRPr="009B3264">
              <w:rPr>
                <w:rFonts w:cs="Arial"/>
              </w:rPr>
              <w:t xml:space="preserve">documentation of no known allergies. </w:t>
            </w:r>
          </w:p>
          <w:p w14:paraId="74DB6E18" w14:textId="77777777" w:rsidR="00297958" w:rsidRPr="009B3264" w:rsidRDefault="00297958" w:rsidP="00AD309C">
            <w:pPr>
              <w:pStyle w:val="ListParagraph"/>
              <w:numPr>
                <w:ilvl w:val="0"/>
                <w:numId w:val="119"/>
              </w:numPr>
              <w:autoSpaceDE w:val="0"/>
              <w:autoSpaceDN w:val="0"/>
              <w:adjustRightInd w:val="0"/>
              <w:spacing w:after="120" w:line="264" w:lineRule="auto"/>
              <w:rPr>
                <w:rFonts w:cs="Arial"/>
              </w:rPr>
            </w:pPr>
            <w:r w:rsidRPr="009B3264">
              <w:rPr>
                <w:rFonts w:cs="Arial"/>
              </w:rPr>
              <w:t>The clinical record does include a list of allergies but does not include documentation of the adverse reaction</w:t>
            </w:r>
            <w:r w:rsidR="003E5B82" w:rsidRPr="009B3264">
              <w:rPr>
                <w:rFonts w:cs="Arial"/>
              </w:rPr>
              <w:t xml:space="preserve">(s) </w:t>
            </w:r>
            <w:r w:rsidRPr="009B3264">
              <w:rPr>
                <w:rFonts w:cs="Arial"/>
              </w:rPr>
              <w:t xml:space="preserve">for each allergy. </w:t>
            </w:r>
          </w:p>
          <w:p w14:paraId="173A991D" w14:textId="055C3B8A" w:rsidR="00614665" w:rsidRPr="009B3264" w:rsidRDefault="00614665" w:rsidP="00614665">
            <w:r w:rsidRPr="009B3264">
              <w:rPr>
                <w:b/>
                <w:bCs/>
              </w:rPr>
              <w:t>Important Note:</w:t>
            </w:r>
            <w:r w:rsidRPr="009B3264">
              <w:t xml:space="preserve"> In addressing allergies and adverse reaction statuses noted as “unknown” in the clinical record, </w:t>
            </w:r>
            <w:r w:rsidR="00396C77" w:rsidRPr="009B3264">
              <w:t>hospitals</w:t>
            </w:r>
            <w:r w:rsidRPr="009B3264">
              <w:t xml:space="preserve"> should assess if:</w:t>
            </w:r>
          </w:p>
          <w:p w14:paraId="3E10BE88" w14:textId="0126C855" w:rsidR="00614665" w:rsidRPr="009B3264" w:rsidRDefault="00614665" w:rsidP="00AD309C">
            <w:pPr>
              <w:pStyle w:val="ListParagraph"/>
              <w:numPr>
                <w:ilvl w:val="1"/>
                <w:numId w:val="33"/>
              </w:numPr>
            </w:pPr>
            <w:r w:rsidRPr="009B3264">
              <w:t xml:space="preserve">“unknown” is used to indicate that the patient (or patient’s family) was asked for the adverse reaction status, but they indicated it was not known, in which situation the case should be </w:t>
            </w:r>
            <w:r w:rsidRPr="00A745AF">
              <w:rPr>
                <w:u w:val="single"/>
              </w:rPr>
              <w:t>included</w:t>
            </w:r>
            <w:r w:rsidRPr="009B3264">
              <w:t xml:space="preserve"> in the numerator (question #6); or </w:t>
            </w:r>
          </w:p>
          <w:p w14:paraId="79B763A3" w14:textId="47E00360" w:rsidR="00614665" w:rsidRPr="00A745AF" w:rsidRDefault="00614665" w:rsidP="00AD309C">
            <w:pPr>
              <w:pStyle w:val="ListParagraph"/>
              <w:numPr>
                <w:ilvl w:val="1"/>
                <w:numId w:val="33"/>
              </w:numPr>
              <w:autoSpaceDE w:val="0"/>
              <w:autoSpaceDN w:val="0"/>
              <w:adjustRightInd w:val="0"/>
              <w:spacing w:after="120" w:line="264" w:lineRule="auto"/>
              <w:rPr>
                <w:rFonts w:cs="Arial"/>
              </w:rPr>
            </w:pPr>
            <w:r w:rsidRPr="009B3264">
              <w:t xml:space="preserve">“unknown” is used in the clinical record to indicate that the information is not available because it was not requested or documented by the clinician, in which situation the case should be </w:t>
            </w:r>
            <w:r w:rsidRPr="00A745AF">
              <w:rPr>
                <w:u w:val="single"/>
              </w:rPr>
              <w:t>excluded</w:t>
            </w:r>
            <w:r w:rsidRPr="009B3264">
              <w:t xml:space="preserve"> from the numerator (question #6)</w:t>
            </w:r>
          </w:p>
        </w:tc>
      </w:tr>
    </w:tbl>
    <w:p w14:paraId="592DA0A6" w14:textId="7F703A0F" w:rsidR="00297958" w:rsidRDefault="00297958" w:rsidP="00297958">
      <w:pPr>
        <w:rPr>
          <w:lang w:eastAsia="ja-JP"/>
        </w:rPr>
      </w:pPr>
    </w:p>
    <w:p w14:paraId="43912907" w14:textId="262A8E48" w:rsidR="00AC078E" w:rsidRPr="000F47B4" w:rsidRDefault="00EB3E85">
      <w:r w:rsidRPr="00222413">
        <w:rPr>
          <w:lang w:eastAsia="ja-JP"/>
        </w:rPr>
        <w:t>See</w:t>
      </w:r>
      <w:r w:rsidRPr="001C2840">
        <w:rPr>
          <w:lang w:eastAsia="ja-JP"/>
        </w:rPr>
        <w:t xml:space="preserve"> </w:t>
      </w:r>
      <w:hyperlink w:anchor="_Medication_Safety_for_3" w:history="1">
        <w:r w:rsidRPr="001C2840">
          <w:rPr>
            <w:rStyle w:val="Hyperlink"/>
            <w:lang w:eastAsia="ja-JP"/>
          </w:rPr>
          <w:t>FAQs</w:t>
        </w:r>
      </w:hyperlink>
      <w:r w:rsidRPr="00222413">
        <w:rPr>
          <w:lang w:eastAsia="ja-JP"/>
        </w:rPr>
        <w:t xml:space="preserve"> for additional information about responding to questions in this section.</w:t>
      </w:r>
      <w:r w:rsidR="00757A30">
        <w:br w:type="page"/>
      </w:r>
      <w:bookmarkStart w:id="819" w:name="_Medication_Safety_for_1"/>
      <w:bookmarkEnd w:id="819"/>
    </w:p>
    <w:p w14:paraId="69349153" w14:textId="2BEB2C5A" w:rsidR="00757A30" w:rsidRDefault="00AB15C8" w:rsidP="00CF5A6E">
      <w:pPr>
        <w:pStyle w:val="Heading2"/>
      </w:pPr>
      <w:bookmarkStart w:id="820" w:name="_Medication_Safety_for_3"/>
      <w:bookmarkStart w:id="821" w:name="_Toc225877871"/>
      <w:bookmarkEnd w:id="820"/>
      <w:r>
        <w:t xml:space="preserve">Section 9E: </w:t>
      </w:r>
      <w:r w:rsidR="00757A30">
        <w:t>Medication Safety for Outpatient Procedures Frequently Asked Questions (FAQs)</w:t>
      </w:r>
      <w:bookmarkEnd w:id="821"/>
    </w:p>
    <w:p w14:paraId="7948896A" w14:textId="77777777" w:rsidR="00A079AD" w:rsidRPr="00A079AD" w:rsidRDefault="00A079AD" w:rsidP="00C47AD5">
      <w:bookmarkStart w:id="822" w:name="MedDocumentation"/>
      <w:bookmarkEnd w:id="822"/>
    </w:p>
    <w:p w14:paraId="604D73AD" w14:textId="63542AE9" w:rsidR="00795BD4" w:rsidRDefault="00795BD4" w:rsidP="00AD309C">
      <w:pPr>
        <w:pStyle w:val="ListParagraph"/>
        <w:numPr>
          <w:ilvl w:val="0"/>
          <w:numId w:val="123"/>
        </w:numPr>
        <w:spacing w:after="120" w:line="264" w:lineRule="auto"/>
        <w:rPr>
          <w:b/>
        </w:rPr>
      </w:pPr>
      <w:r>
        <w:rPr>
          <w:b/>
        </w:rPr>
        <w:t xml:space="preserve">How often do home medications need to be updated in the clinical record for Section </w:t>
      </w:r>
      <w:r w:rsidR="00524BF3">
        <w:rPr>
          <w:b/>
        </w:rPr>
        <w:t>9</w:t>
      </w:r>
      <w:r>
        <w:rPr>
          <w:b/>
        </w:rPr>
        <w:t xml:space="preserve">E question #4? </w:t>
      </w:r>
    </w:p>
    <w:p w14:paraId="27A23AA3" w14:textId="7FE85A44" w:rsidR="00387989" w:rsidRDefault="00387989" w:rsidP="00753419">
      <w:pPr>
        <w:pStyle w:val="ListParagraph"/>
        <w:ind w:left="360"/>
        <w:rPr>
          <w:bCs/>
        </w:rPr>
      </w:pPr>
      <w:r>
        <w:rPr>
          <w:bCs/>
        </w:rPr>
        <w:t>Home medications must be recorded in a pre-screening phone call 1-2 days in advance of the procedure or updated on the day of the clinical procedure (for all procedures included in Section 9C of the 202</w:t>
      </w:r>
      <w:r w:rsidR="00AF4A63">
        <w:rPr>
          <w:bCs/>
        </w:rPr>
        <w:t>6</w:t>
      </w:r>
      <w:r>
        <w:rPr>
          <w:bCs/>
        </w:rPr>
        <w:t xml:space="preserve"> Leapfrog Hospital Survey). </w:t>
      </w:r>
    </w:p>
    <w:p w14:paraId="514ECAFF" w14:textId="77777777" w:rsidR="00795BD4" w:rsidRDefault="00795BD4" w:rsidP="00795BD4">
      <w:pPr>
        <w:pStyle w:val="ListParagraph"/>
        <w:ind w:left="360"/>
        <w:rPr>
          <w:bCs/>
        </w:rPr>
      </w:pPr>
    </w:p>
    <w:p w14:paraId="5C09A85F" w14:textId="0BE556AD" w:rsidR="00795BD4" w:rsidRDefault="00795BD4" w:rsidP="00795BD4">
      <w:pPr>
        <w:pStyle w:val="ListParagraph"/>
        <w:ind w:left="360"/>
        <w:rPr>
          <w:bCs/>
        </w:rPr>
      </w:pPr>
      <w:r>
        <w:rPr>
          <w:bCs/>
        </w:rPr>
        <w:t xml:space="preserve">Patients who are returning for a second or follow-up procedure within 12 months of the initial procedure are not required to have an updated home medication list in their clinical record in order for the record to be counted in the numerator of the home medication audit (i.e., included in the count in question #4). </w:t>
      </w:r>
      <w:r w:rsidR="00A05524">
        <w:rPr>
          <w:bCs/>
        </w:rPr>
        <w:t>However, in cases of frequent repeated clinical visits, the home medications list should be updated at least once every 12 months.</w:t>
      </w:r>
    </w:p>
    <w:p w14:paraId="56CE7E63" w14:textId="0D67A3F5" w:rsidR="00795BD4" w:rsidRDefault="00795BD4" w:rsidP="00795BD4">
      <w:pPr>
        <w:pStyle w:val="ListParagraph"/>
        <w:ind w:left="360"/>
        <w:rPr>
          <w:bCs/>
        </w:rPr>
      </w:pPr>
      <w:r>
        <w:rPr>
          <w:bCs/>
        </w:rPr>
        <w:t xml:space="preserve"> </w:t>
      </w:r>
    </w:p>
    <w:p w14:paraId="70989838" w14:textId="219876BF" w:rsidR="00795BD4" w:rsidRPr="00795BD4" w:rsidRDefault="00795BD4" w:rsidP="00AD309C">
      <w:pPr>
        <w:pStyle w:val="ListParagraph"/>
        <w:numPr>
          <w:ilvl w:val="0"/>
          <w:numId w:val="123"/>
        </w:numPr>
        <w:rPr>
          <w:b/>
        </w:rPr>
      </w:pPr>
      <w:r w:rsidRPr="00795BD4">
        <w:rPr>
          <w:b/>
        </w:rPr>
        <w:t>For medications that only ever have a single route of administration (</w:t>
      </w:r>
      <w:r w:rsidR="00387989">
        <w:rPr>
          <w:b/>
        </w:rPr>
        <w:t>e.g.,</w:t>
      </w:r>
      <w:r w:rsidRPr="00795BD4">
        <w:rPr>
          <w:b/>
        </w:rPr>
        <w:t xml:space="preserve"> orally only), does route have to be documented in the clinical record for questions #4 and #5? </w:t>
      </w:r>
    </w:p>
    <w:p w14:paraId="29149DF9" w14:textId="798D3174" w:rsidR="00795BD4" w:rsidRDefault="00795BD4" w:rsidP="00795BD4">
      <w:pPr>
        <w:pStyle w:val="ListParagraph"/>
        <w:ind w:left="360"/>
      </w:pPr>
      <w:r>
        <w:t xml:space="preserve">No. </w:t>
      </w:r>
      <w:r w:rsidRPr="00223A4E">
        <w:t xml:space="preserve">If there is a medication that can only </w:t>
      </w:r>
      <w:r>
        <w:t xml:space="preserve">ever </w:t>
      </w:r>
      <w:r w:rsidRPr="00223A4E">
        <w:t>be given</w:t>
      </w:r>
      <w:r>
        <w:t xml:space="preserve"> via a single route, route does not have to be documented to count the case when responding to questions #4 and #5. </w:t>
      </w:r>
    </w:p>
    <w:p w14:paraId="38AF3364" w14:textId="77777777" w:rsidR="00795BD4" w:rsidRDefault="00795BD4" w:rsidP="00795BD4">
      <w:pPr>
        <w:pStyle w:val="ListParagraph"/>
        <w:ind w:left="360"/>
      </w:pPr>
    </w:p>
    <w:p w14:paraId="50553DA9" w14:textId="77777777" w:rsidR="00795BD4" w:rsidRPr="00795BD4" w:rsidRDefault="00795BD4" w:rsidP="00AD309C">
      <w:pPr>
        <w:pStyle w:val="ListParagraph"/>
        <w:numPr>
          <w:ilvl w:val="0"/>
          <w:numId w:val="123"/>
        </w:numPr>
        <w:rPr>
          <w:b/>
        </w:rPr>
      </w:pPr>
      <w:r w:rsidRPr="00795BD4">
        <w:rPr>
          <w:b/>
        </w:rPr>
        <w:t xml:space="preserve">We do medication reconciliation on patients for certain outpatient procedures. Will the medication reconciliation on the procedure day suffice for the "medication audits" requirement in question #4? Or does it have to be a retrospective audit after the procedure day? </w:t>
      </w:r>
    </w:p>
    <w:p w14:paraId="712B5CF9" w14:textId="49E4C41D" w:rsidR="00795BD4" w:rsidRPr="00223A4E" w:rsidRDefault="00795BD4" w:rsidP="00795BD4">
      <w:pPr>
        <w:pStyle w:val="ListParagraph"/>
        <w:ind w:left="360"/>
      </w:pPr>
      <w:r w:rsidRPr="00223A4E">
        <w:t xml:space="preserve">Leapfrog specifies that, unless all medical records are audited, the clinical record audit should be conducted on a random sample of discharged patients. </w:t>
      </w:r>
      <w:r>
        <w:t xml:space="preserve">If your </w:t>
      </w:r>
      <w:r w:rsidR="00AD079D">
        <w:t>hospital</w:t>
      </w:r>
      <w:r>
        <w:t xml:space="preserve"> does not perform </w:t>
      </w:r>
      <w:r w:rsidRPr="00223A4E">
        <w:t>medication reconciliation before</w:t>
      </w:r>
      <w:r>
        <w:t xml:space="preserve"> </w:t>
      </w:r>
      <w:r w:rsidRPr="00795BD4">
        <w:rPr>
          <w:u w:val="single"/>
        </w:rPr>
        <w:t>all</w:t>
      </w:r>
      <w:r>
        <w:t xml:space="preserve"> </w:t>
      </w:r>
      <w:r w:rsidRPr="00223A4E">
        <w:t>patients are discharged</w:t>
      </w:r>
      <w:r>
        <w:t xml:space="preserve"> to ensure that the correct dose, route, and frequency are documented in the clinical record for all home medications</w:t>
      </w:r>
      <w:r w:rsidRPr="00223A4E">
        <w:t xml:space="preserve"> this would not meet the requirements of Section </w:t>
      </w:r>
      <w:r w:rsidR="00387989">
        <w:t>9</w:t>
      </w:r>
      <w:r>
        <w:t>E.</w:t>
      </w:r>
      <w:r w:rsidRPr="00223A4E">
        <w:t xml:space="preserve"> </w:t>
      </w:r>
    </w:p>
    <w:p w14:paraId="279AC1D5" w14:textId="77777777" w:rsidR="00795BD4" w:rsidRPr="00223A4E" w:rsidRDefault="00795BD4" w:rsidP="00795BD4">
      <w:pPr>
        <w:pStyle w:val="ListParagraph"/>
        <w:ind w:left="360"/>
      </w:pPr>
    </w:p>
    <w:p w14:paraId="7610C5DB" w14:textId="68446F83" w:rsidR="00795BD4" w:rsidRPr="00795BD4" w:rsidRDefault="00795BD4" w:rsidP="00795BD4">
      <w:pPr>
        <w:pStyle w:val="ListParagraph"/>
        <w:ind w:left="360"/>
      </w:pPr>
      <w:r w:rsidRPr="00223A4E">
        <w:t xml:space="preserve">Instead, your </w:t>
      </w:r>
      <w:r w:rsidR="00527FB0">
        <w:t>hospital</w:t>
      </w:r>
      <w:r w:rsidRPr="00223A4E">
        <w:t xml:space="preserve"> should randomly sample from all clinical records of discharged outpatients </w:t>
      </w:r>
      <w:r>
        <w:t xml:space="preserve">(adults and children) </w:t>
      </w:r>
      <w:r w:rsidR="00E811E3">
        <w:t>who</w:t>
      </w:r>
      <w:r w:rsidRPr="00223A4E">
        <w:t xml:space="preserve"> had the procedures included in Section </w:t>
      </w:r>
      <w:r w:rsidR="00387989">
        <w:t>9</w:t>
      </w:r>
      <w:r w:rsidRPr="00223A4E">
        <w:t>C during the reporting period, not just those records that had medication reconciliation conducted during the same day visit. This audit may occur on the same day as the patient visit</w:t>
      </w:r>
      <w:r w:rsidR="00E811E3">
        <w:t xml:space="preserve"> or</w:t>
      </w:r>
      <w:r>
        <w:t xml:space="preserve"> following </w:t>
      </w:r>
      <w:r w:rsidRPr="00223A4E">
        <w:t>patient discharge</w:t>
      </w:r>
      <w:r>
        <w:t xml:space="preserve">. </w:t>
      </w:r>
    </w:p>
    <w:p w14:paraId="44C701C2" w14:textId="77777777" w:rsidR="00A079AD" w:rsidRDefault="00A079AD" w:rsidP="00A079AD">
      <w:pPr>
        <w:pStyle w:val="ListParagraph"/>
        <w:ind w:left="360"/>
      </w:pPr>
    </w:p>
    <w:p w14:paraId="219B4233" w14:textId="77777777" w:rsidR="00010E88" w:rsidRDefault="00757A30" w:rsidP="00A079AD">
      <w:pPr>
        <w:pStyle w:val="ListParagraph"/>
        <w:ind w:left="0"/>
      </w:pPr>
      <w:r>
        <w:t xml:space="preserve"> </w:t>
      </w:r>
      <w:r w:rsidR="00010E88">
        <w:br w:type="page"/>
      </w:r>
    </w:p>
    <w:p w14:paraId="5C476662" w14:textId="55825BBD" w:rsidR="000C2E89" w:rsidRDefault="004535D7" w:rsidP="00CF5A6E">
      <w:pPr>
        <w:pStyle w:val="Heading2"/>
      </w:pPr>
      <w:bookmarkStart w:id="823" w:name="_Patient_Experience_(OAS"/>
      <w:bookmarkStart w:id="824" w:name="_CMS_Measures_Measure"/>
      <w:bookmarkStart w:id="825" w:name="_Ref123648439"/>
      <w:bookmarkStart w:id="826" w:name="_Toc225877872"/>
      <w:bookmarkEnd w:id="823"/>
      <w:bookmarkEnd w:id="824"/>
      <w:r>
        <w:t>CMS Measures</w:t>
      </w:r>
      <w:r w:rsidR="000C2E89">
        <w:t xml:space="preserve"> Measure Specifications</w:t>
      </w:r>
      <w:bookmarkEnd w:id="825"/>
      <w:bookmarkEnd w:id="826"/>
    </w:p>
    <w:p w14:paraId="3A2F9EDC" w14:textId="0049DE39" w:rsidR="000C2E89" w:rsidRDefault="000C2E89" w:rsidP="000C2E89">
      <w:pPr>
        <w:rPr>
          <w:lang w:eastAsia="ja-JP"/>
        </w:rPr>
      </w:pPr>
    </w:p>
    <w:p w14:paraId="0A42B78E" w14:textId="55F29CD5" w:rsidR="00CF5A32" w:rsidRDefault="00CF5A32" w:rsidP="00CF5A32">
      <w:pPr>
        <w:rPr>
          <w:bdr w:val="none" w:sz="0" w:space="0" w:color="auto" w:frame="1"/>
        </w:rPr>
      </w:pPr>
      <w:bookmarkStart w:id="827" w:name="_Hlk214032024"/>
      <w:r>
        <w:rPr>
          <w:lang w:eastAsia="ja-JP"/>
        </w:rPr>
        <w:t xml:space="preserve">Leapfrog obtains data for the following measures directly from the </w:t>
      </w:r>
      <w:r>
        <w:rPr>
          <w:bdr w:val="none" w:sz="0" w:space="0" w:color="auto" w:frame="1"/>
        </w:rPr>
        <w:t xml:space="preserve">CMS </w:t>
      </w:r>
      <w:hyperlink r:id="rId503" w:history="1">
        <w:r w:rsidRPr="00DE5DC3">
          <w:rPr>
            <w:rStyle w:val="Hyperlink"/>
            <w:bdr w:val="none" w:sz="0" w:space="0" w:color="auto" w:frame="1"/>
          </w:rPr>
          <w:t>Provider Data Catalog</w:t>
        </w:r>
      </w:hyperlink>
      <w:r>
        <w:rPr>
          <w:bdr w:val="none" w:sz="0" w:space="0" w:color="auto" w:frame="1"/>
        </w:rPr>
        <w:t>:</w:t>
      </w:r>
    </w:p>
    <w:p w14:paraId="3C888978" w14:textId="77777777" w:rsidR="00CF5A32" w:rsidRDefault="00CF5A32" w:rsidP="00CF5A32">
      <w:pPr>
        <w:pStyle w:val="ListParagraph"/>
        <w:numPr>
          <w:ilvl w:val="0"/>
          <w:numId w:val="427"/>
        </w:numPr>
        <w:spacing w:before="200" w:after="200" w:line="276" w:lineRule="auto"/>
        <w:rPr>
          <w:bdr w:val="none" w:sz="0" w:space="0" w:color="auto" w:frame="1"/>
        </w:rPr>
      </w:pPr>
      <w:r w:rsidRPr="00094590">
        <w:rPr>
          <w:bdr w:val="none" w:sz="0" w:space="0" w:color="auto" w:frame="1"/>
        </w:rPr>
        <w:t>OP-32: Rate of Unplanned Hospital Visits After an Outpatient Colonoscopy</w:t>
      </w:r>
    </w:p>
    <w:p w14:paraId="5D0E93FD" w14:textId="212D2026" w:rsidR="00CF5A32" w:rsidRDefault="00CF5A32" w:rsidP="00CF5A32">
      <w:pPr>
        <w:pStyle w:val="ListParagraph"/>
        <w:numPr>
          <w:ilvl w:val="0"/>
          <w:numId w:val="427"/>
        </w:numPr>
        <w:spacing w:before="200" w:after="200" w:line="276" w:lineRule="auto"/>
        <w:rPr>
          <w:bdr w:val="none" w:sz="0" w:space="0" w:color="auto" w:frame="1"/>
        </w:rPr>
      </w:pPr>
      <w:r>
        <w:rPr>
          <w:bdr w:val="none" w:sz="0" w:space="0" w:color="auto" w:frame="1"/>
        </w:rPr>
        <w:t xml:space="preserve">Patient Experience </w:t>
      </w:r>
      <w:hyperlink w:anchor="Endnote48_TopBox" w:history="1">
        <w:r>
          <w:rPr>
            <w:rStyle w:val="Hyperlink"/>
          </w:rPr>
          <w:t>Top Box Score</w:t>
        </w:r>
      </w:hyperlink>
      <w:r>
        <w:fldChar w:fldCharType="begin"/>
      </w:r>
      <w:r>
        <w:rPr>
          <w:rStyle w:val="Hyperlink"/>
        </w:rPr>
        <w:instrText xml:space="preserve"> NOTEREF _Ref534391669 \f \h </w:instrText>
      </w:r>
      <w:r>
        <w:instrText xml:space="preserve"> \* MERGEFORMAT </w:instrText>
      </w:r>
      <w:r>
        <w:fldChar w:fldCharType="separate"/>
      </w:r>
      <w:r w:rsidR="007D53A2" w:rsidRPr="00B64139">
        <w:rPr>
          <w:rStyle w:val="EndnoteReference"/>
        </w:rPr>
        <w:t>51</w:t>
      </w:r>
      <w:r>
        <w:fldChar w:fldCharType="end"/>
      </w:r>
      <w:r>
        <w:rPr>
          <w:rFonts w:cs="Arial"/>
          <w:bCs/>
        </w:rPr>
        <w:t xml:space="preserve"> </w:t>
      </w:r>
      <w:r>
        <w:rPr>
          <w:bdr w:val="none" w:sz="0" w:space="0" w:color="auto" w:frame="1"/>
        </w:rPr>
        <w:t xml:space="preserve">(OAS CAHPS) </w:t>
      </w:r>
    </w:p>
    <w:p w14:paraId="1350311F" w14:textId="77777777" w:rsidR="00CF5A32" w:rsidRDefault="00CF5A32" w:rsidP="004D68F2">
      <w:pPr>
        <w:pStyle w:val="ListParagraph"/>
        <w:numPr>
          <w:ilvl w:val="0"/>
          <w:numId w:val="453"/>
        </w:numPr>
        <w:spacing w:before="200" w:after="200" w:line="276" w:lineRule="auto"/>
        <w:rPr>
          <w:bdr w:val="none" w:sz="0" w:space="0" w:color="auto" w:frame="1"/>
        </w:rPr>
      </w:pPr>
      <w:r w:rsidRPr="00DE5DC3">
        <w:rPr>
          <w:bdr w:val="none" w:sz="0" w:space="0" w:color="auto" w:frame="1"/>
        </w:rPr>
        <w:t xml:space="preserve">Facilities and Staff </w:t>
      </w:r>
    </w:p>
    <w:p w14:paraId="06792E6F" w14:textId="77777777" w:rsidR="00CF5A32" w:rsidRDefault="00CF5A32" w:rsidP="004D68F2">
      <w:pPr>
        <w:pStyle w:val="ListParagraph"/>
        <w:numPr>
          <w:ilvl w:val="0"/>
          <w:numId w:val="453"/>
        </w:numPr>
        <w:spacing w:before="200" w:after="200" w:line="276" w:lineRule="auto"/>
        <w:rPr>
          <w:bdr w:val="none" w:sz="0" w:space="0" w:color="auto" w:frame="1"/>
        </w:rPr>
      </w:pPr>
      <w:r w:rsidRPr="00DE5DC3">
        <w:rPr>
          <w:bdr w:val="none" w:sz="0" w:space="0" w:color="auto" w:frame="1"/>
        </w:rPr>
        <w:t>Communication About Your Procedure</w:t>
      </w:r>
    </w:p>
    <w:p w14:paraId="71F70654" w14:textId="77777777" w:rsidR="00CF5A32" w:rsidRDefault="00CF5A32" w:rsidP="004D68F2">
      <w:pPr>
        <w:pStyle w:val="ListParagraph"/>
        <w:numPr>
          <w:ilvl w:val="0"/>
          <w:numId w:val="453"/>
        </w:numPr>
        <w:spacing w:before="200" w:after="200" w:line="276" w:lineRule="auto"/>
        <w:rPr>
          <w:bdr w:val="none" w:sz="0" w:space="0" w:color="auto" w:frame="1"/>
        </w:rPr>
      </w:pPr>
      <w:r w:rsidRPr="00DE5DC3">
        <w:rPr>
          <w:bdr w:val="none" w:sz="0" w:space="0" w:color="auto" w:frame="1"/>
        </w:rPr>
        <w:t>Patients’ Rating of the Facility</w:t>
      </w:r>
    </w:p>
    <w:p w14:paraId="2CBAB296" w14:textId="77777777" w:rsidR="00CF5A32" w:rsidRPr="00D971B2" w:rsidRDefault="00CF5A32" w:rsidP="004D68F2">
      <w:pPr>
        <w:pStyle w:val="ListParagraph"/>
        <w:numPr>
          <w:ilvl w:val="0"/>
          <w:numId w:val="453"/>
        </w:numPr>
        <w:spacing w:before="200" w:after="200" w:line="276" w:lineRule="auto"/>
        <w:rPr>
          <w:bdr w:val="none" w:sz="0" w:space="0" w:color="auto" w:frame="1"/>
        </w:rPr>
      </w:pPr>
      <w:r w:rsidRPr="00DE5DC3">
        <w:rPr>
          <w:bdr w:val="none" w:sz="0" w:space="0" w:color="auto" w:frame="1"/>
        </w:rPr>
        <w:t>Patients Recommending the Facility</w:t>
      </w:r>
      <w:bookmarkEnd w:id="827"/>
    </w:p>
    <w:p w14:paraId="1161F7E4" w14:textId="77777777" w:rsidR="00CF5A32" w:rsidRPr="00C069D0" w:rsidRDefault="00CF5A32" w:rsidP="00CF5A32">
      <w:pPr>
        <w:rPr>
          <w:lang w:eastAsia="ja-JP"/>
        </w:rPr>
      </w:pPr>
      <w:r w:rsidRPr="00C069D0">
        <w:rPr>
          <w:lang w:eastAsia="ja-JP"/>
        </w:rPr>
        <w:t>The following questions from the OAS CAHPS Survey are included in each domain:</w:t>
      </w:r>
    </w:p>
    <w:p w14:paraId="766F9FAB" w14:textId="77777777" w:rsidR="00CF5A32" w:rsidRPr="00C069D0" w:rsidRDefault="00CF5A32" w:rsidP="00CF5A32">
      <w:pPr>
        <w:rPr>
          <w:lang w:eastAsia="ja-JP"/>
        </w:rPr>
      </w:pPr>
    </w:p>
    <w:p w14:paraId="334D6C04" w14:textId="77777777" w:rsidR="00CF5A32" w:rsidRPr="00C069D0" w:rsidRDefault="00CF5A32" w:rsidP="00CF5A32">
      <w:pPr>
        <w:rPr>
          <w:u w:val="single"/>
          <w:lang w:eastAsia="ja-JP"/>
        </w:rPr>
      </w:pPr>
      <w:r w:rsidRPr="00C069D0">
        <w:rPr>
          <w:u w:val="single"/>
          <w:lang w:eastAsia="ja-JP"/>
        </w:rPr>
        <w:t>Facilities and Staff</w:t>
      </w:r>
    </w:p>
    <w:p w14:paraId="3C35A9E6" w14:textId="77777777" w:rsidR="00CF5A32" w:rsidRPr="00C069D0" w:rsidRDefault="00CF5A32" w:rsidP="00CF5A32">
      <w:pPr>
        <w:rPr>
          <w:lang w:eastAsia="ja-JP"/>
        </w:rPr>
      </w:pPr>
      <w:r w:rsidRPr="00C069D0">
        <w:rPr>
          <w:lang w:eastAsia="ja-JP"/>
        </w:rPr>
        <w:t>Q3: Did the check-in process run smoothly?</w:t>
      </w:r>
    </w:p>
    <w:p w14:paraId="71C3AB3A" w14:textId="77777777" w:rsidR="00CF5A32" w:rsidRPr="00C069D0" w:rsidRDefault="00CF5A32" w:rsidP="00CF5A32">
      <w:pPr>
        <w:rPr>
          <w:lang w:eastAsia="ja-JP"/>
        </w:rPr>
      </w:pPr>
      <w:r w:rsidRPr="00C069D0">
        <w:rPr>
          <w:lang w:eastAsia="ja-JP"/>
        </w:rPr>
        <w:t>Q4: Was the facility clean?</w:t>
      </w:r>
    </w:p>
    <w:p w14:paraId="7A8CC5A1" w14:textId="77777777" w:rsidR="00CF5A32" w:rsidRPr="00C069D0" w:rsidRDefault="00CF5A32" w:rsidP="00CF5A32">
      <w:pPr>
        <w:rPr>
          <w:lang w:eastAsia="ja-JP"/>
        </w:rPr>
      </w:pPr>
      <w:r w:rsidRPr="00C069D0">
        <w:rPr>
          <w:lang w:eastAsia="ja-JP"/>
        </w:rPr>
        <w:t>Q5: Were the clerks and receptionists at the facility as helpful as you thought they should be?</w:t>
      </w:r>
    </w:p>
    <w:p w14:paraId="0586B18B" w14:textId="77777777" w:rsidR="00CF5A32" w:rsidRPr="00C069D0" w:rsidRDefault="00CF5A32" w:rsidP="00CF5A32">
      <w:pPr>
        <w:rPr>
          <w:lang w:eastAsia="ja-JP"/>
        </w:rPr>
      </w:pPr>
      <w:r w:rsidRPr="00C069D0">
        <w:rPr>
          <w:lang w:eastAsia="ja-JP"/>
        </w:rPr>
        <w:t>Q6: Did the clerks and receptionists at the facility treat you with courtesy and respect?</w:t>
      </w:r>
    </w:p>
    <w:p w14:paraId="1B55E54F" w14:textId="77777777" w:rsidR="00CF5A32" w:rsidRPr="00C069D0" w:rsidRDefault="00CF5A32" w:rsidP="00CF5A32">
      <w:pPr>
        <w:rPr>
          <w:lang w:eastAsia="ja-JP"/>
        </w:rPr>
      </w:pPr>
      <w:r w:rsidRPr="00C069D0">
        <w:rPr>
          <w:lang w:eastAsia="ja-JP"/>
        </w:rPr>
        <w:t>Q7: Did the doctors and nurses treat you with courtesy and respect?</w:t>
      </w:r>
    </w:p>
    <w:p w14:paraId="494AC9F0" w14:textId="77777777" w:rsidR="00CF5A32" w:rsidRPr="00C069D0" w:rsidRDefault="00CF5A32" w:rsidP="00CF5A32">
      <w:pPr>
        <w:rPr>
          <w:lang w:eastAsia="ja-JP"/>
        </w:rPr>
      </w:pPr>
      <w:r w:rsidRPr="00C069D0">
        <w:rPr>
          <w:lang w:eastAsia="ja-JP"/>
        </w:rPr>
        <w:t>Q8: Did the doctors and nurses make sure you were as comfortable as possible?</w:t>
      </w:r>
    </w:p>
    <w:p w14:paraId="5531C58B" w14:textId="77777777" w:rsidR="00CF5A32" w:rsidRPr="00C069D0" w:rsidRDefault="00CF5A32" w:rsidP="00CF5A32">
      <w:pPr>
        <w:rPr>
          <w:lang w:eastAsia="ja-JP"/>
        </w:rPr>
      </w:pPr>
    </w:p>
    <w:p w14:paraId="717438AA" w14:textId="77777777" w:rsidR="00CF5A32" w:rsidRPr="00C069D0" w:rsidRDefault="00CF5A32" w:rsidP="00CF5A32">
      <w:pPr>
        <w:rPr>
          <w:u w:val="single"/>
          <w:lang w:eastAsia="ja-JP"/>
        </w:rPr>
      </w:pPr>
      <w:r w:rsidRPr="00C069D0">
        <w:rPr>
          <w:u w:val="single"/>
          <w:lang w:eastAsia="ja-JP"/>
        </w:rPr>
        <w:t>Communication About Your Procedure</w:t>
      </w:r>
    </w:p>
    <w:p w14:paraId="12AEC36D" w14:textId="77777777" w:rsidR="00CF5A32" w:rsidRPr="00C069D0" w:rsidRDefault="00CF5A32" w:rsidP="00CF5A32">
      <w:pPr>
        <w:rPr>
          <w:lang w:eastAsia="ja-JP"/>
        </w:rPr>
      </w:pPr>
      <w:r w:rsidRPr="00C069D0">
        <w:rPr>
          <w:lang w:eastAsia="ja-JP"/>
        </w:rPr>
        <w:t>Q1: Before your procedure, did your doctor or anyone from the facility give you all the information you needed about your procedure?</w:t>
      </w:r>
    </w:p>
    <w:p w14:paraId="558BF534" w14:textId="77777777" w:rsidR="00CF5A32" w:rsidRPr="00C069D0" w:rsidRDefault="00CF5A32" w:rsidP="00CF5A32">
      <w:pPr>
        <w:rPr>
          <w:lang w:eastAsia="ja-JP"/>
        </w:rPr>
      </w:pPr>
      <w:r w:rsidRPr="00C069D0">
        <w:rPr>
          <w:lang w:eastAsia="ja-JP"/>
        </w:rPr>
        <w:t>Q2: Before your procedure, did your doctor or anyone from the facility give you easy to understand instructions about getting ready for your procedure?</w:t>
      </w:r>
    </w:p>
    <w:p w14:paraId="754AA61A" w14:textId="77777777" w:rsidR="00CF5A32" w:rsidRPr="00C069D0" w:rsidRDefault="00CF5A32" w:rsidP="00CF5A32">
      <w:pPr>
        <w:rPr>
          <w:lang w:eastAsia="ja-JP"/>
        </w:rPr>
      </w:pPr>
      <w:r w:rsidRPr="00C069D0">
        <w:rPr>
          <w:lang w:eastAsia="ja-JP"/>
        </w:rPr>
        <w:t>Q9: Did the doctors and nurses explain your procedure in a way that was easy to understand?</w:t>
      </w:r>
    </w:p>
    <w:p w14:paraId="4BD327F5" w14:textId="77777777" w:rsidR="00CF5A32" w:rsidRPr="00C069D0" w:rsidRDefault="00CF5A32" w:rsidP="00CF5A32">
      <w:pPr>
        <w:rPr>
          <w:lang w:eastAsia="ja-JP"/>
        </w:rPr>
      </w:pPr>
      <w:r w:rsidRPr="00C069D0">
        <w:rPr>
          <w:lang w:eastAsia="ja-JP"/>
        </w:rPr>
        <w:t>Q10: Anesthesia is something that would make you feel sleepy or go to sleep during your procedure. Were you given anesthesia?</w:t>
      </w:r>
    </w:p>
    <w:p w14:paraId="7EB0CD39" w14:textId="77777777" w:rsidR="00CF5A32" w:rsidRPr="00C069D0" w:rsidRDefault="00CF5A32" w:rsidP="00CF5A32">
      <w:pPr>
        <w:rPr>
          <w:lang w:eastAsia="ja-JP"/>
        </w:rPr>
      </w:pPr>
      <w:r w:rsidRPr="00C069D0">
        <w:rPr>
          <w:lang w:eastAsia="ja-JP"/>
        </w:rPr>
        <w:t>Q11: (If “yes” to Q10) Did your doctor or anyone from the facility explain the process of giving anesthesia in a way that was easy to understand?</w:t>
      </w:r>
    </w:p>
    <w:p w14:paraId="5FBE0123" w14:textId="77777777" w:rsidR="00CF5A32" w:rsidRPr="00C069D0" w:rsidRDefault="00CF5A32" w:rsidP="00CF5A32">
      <w:pPr>
        <w:rPr>
          <w:lang w:eastAsia="ja-JP"/>
        </w:rPr>
      </w:pPr>
      <w:r w:rsidRPr="00C069D0">
        <w:rPr>
          <w:lang w:eastAsia="ja-JP"/>
        </w:rPr>
        <w:t>Q12: (If “yes” to Q10) Did your doctor or anyone from the facility explain the possible side effects of the anesthesia in a way that was easy to understand?</w:t>
      </w:r>
    </w:p>
    <w:p w14:paraId="173E7841" w14:textId="77777777" w:rsidR="00CF5A32" w:rsidRPr="00C069D0" w:rsidRDefault="00CF5A32" w:rsidP="00CF5A32">
      <w:pPr>
        <w:rPr>
          <w:lang w:eastAsia="ja-JP"/>
        </w:rPr>
      </w:pPr>
    </w:p>
    <w:p w14:paraId="5298159A" w14:textId="77777777" w:rsidR="00CF5A32" w:rsidRPr="00C069D0" w:rsidRDefault="00CF5A32" w:rsidP="00CF5A32">
      <w:pPr>
        <w:rPr>
          <w:u w:val="single"/>
          <w:lang w:eastAsia="ja-JP"/>
        </w:rPr>
      </w:pPr>
      <w:r w:rsidRPr="00C069D0">
        <w:rPr>
          <w:u w:val="single"/>
          <w:lang w:eastAsia="ja-JP"/>
        </w:rPr>
        <w:t>Patients’ Rating of the Facility</w:t>
      </w:r>
    </w:p>
    <w:p w14:paraId="2F81936E" w14:textId="77777777" w:rsidR="00CF5A32" w:rsidRPr="00C069D0" w:rsidRDefault="00CF5A32" w:rsidP="00CF5A32">
      <w:pPr>
        <w:rPr>
          <w:lang w:eastAsia="ja-JP"/>
        </w:rPr>
      </w:pPr>
      <w:r w:rsidRPr="00C069D0">
        <w:rPr>
          <w:lang w:eastAsia="ja-JP"/>
        </w:rPr>
        <w:t>Q23: Using any number from 0 to 10, where 0 is the worst facility possible and 10 is the best facility possible, what number would you use to rate this facility?</w:t>
      </w:r>
    </w:p>
    <w:p w14:paraId="1901BEAD" w14:textId="77777777" w:rsidR="00CF5A32" w:rsidRPr="00C069D0" w:rsidRDefault="00CF5A32" w:rsidP="00CF5A32">
      <w:pPr>
        <w:rPr>
          <w:lang w:eastAsia="ja-JP"/>
        </w:rPr>
      </w:pPr>
    </w:p>
    <w:p w14:paraId="72FCB2E9" w14:textId="77777777" w:rsidR="00CF5A32" w:rsidRPr="00C069D0" w:rsidRDefault="00CF5A32" w:rsidP="00CF5A32">
      <w:pPr>
        <w:rPr>
          <w:u w:val="single"/>
          <w:lang w:eastAsia="ja-JP"/>
        </w:rPr>
      </w:pPr>
      <w:r w:rsidRPr="00C069D0">
        <w:rPr>
          <w:u w:val="single"/>
          <w:lang w:eastAsia="ja-JP"/>
        </w:rPr>
        <w:t>Patients Recommending the Facility</w:t>
      </w:r>
    </w:p>
    <w:p w14:paraId="63687A18" w14:textId="77777777" w:rsidR="00CF5A32" w:rsidRPr="00C069D0" w:rsidRDefault="00CF5A32" w:rsidP="00CF5A32">
      <w:pPr>
        <w:rPr>
          <w:lang w:eastAsia="ja-JP"/>
        </w:rPr>
      </w:pPr>
      <w:r w:rsidRPr="00C069D0">
        <w:rPr>
          <w:lang w:eastAsia="ja-JP"/>
        </w:rPr>
        <w:t>Q24: Would you recommend this facility to your friends and family?</w:t>
      </w:r>
    </w:p>
    <w:p w14:paraId="3A20E8D3" w14:textId="77777777" w:rsidR="00CF5A32" w:rsidRPr="00C069D0" w:rsidRDefault="00CF5A32" w:rsidP="00CF5A32">
      <w:pPr>
        <w:rPr>
          <w:lang w:eastAsia="ja-JP"/>
        </w:rPr>
      </w:pPr>
    </w:p>
    <w:p w14:paraId="1B90B508" w14:textId="77777777" w:rsidR="00CF5A32" w:rsidRDefault="00CF5A32" w:rsidP="00CF5A32">
      <w:pPr>
        <w:rPr>
          <w:lang w:eastAsia="ja-JP"/>
        </w:rPr>
      </w:pPr>
      <w:r w:rsidRPr="00C069D0">
        <w:rPr>
          <w:lang w:eastAsia="ja-JP"/>
        </w:rPr>
        <w:t xml:space="preserve">Please note that question numbers are taken from the OAS CAHPS Survey, which you can download at </w:t>
      </w:r>
      <w:hyperlink r:id="rId504" w:history="1">
        <w:r w:rsidRPr="00C069D0">
          <w:rPr>
            <w:rStyle w:val="Hyperlink"/>
            <w:lang w:eastAsia="ja-JP"/>
          </w:rPr>
          <w:t>https://oascahps.org/Survey-Materials</w:t>
        </w:r>
      </w:hyperlink>
      <w:r w:rsidRPr="00C069D0">
        <w:rPr>
          <w:lang w:eastAsia="ja-JP"/>
        </w:rPr>
        <w:t>.</w:t>
      </w:r>
    </w:p>
    <w:p w14:paraId="12D3BD90" w14:textId="77777777" w:rsidR="00A90D87" w:rsidRDefault="00A90D87" w:rsidP="00CF5A32">
      <w:pPr>
        <w:rPr>
          <w:lang w:eastAsia="ja-JP"/>
        </w:rPr>
      </w:pPr>
    </w:p>
    <w:p w14:paraId="5A85B27C" w14:textId="77777777" w:rsidR="00857F4C" w:rsidRDefault="00857F4C" w:rsidP="00857F4C">
      <w:pPr>
        <w:pStyle w:val="Heading44"/>
      </w:pPr>
      <w:r w:rsidRPr="00704BFE">
        <w:t xml:space="preserve">Review your </w:t>
      </w:r>
      <w:r>
        <w:t>CMS data</w:t>
      </w:r>
    </w:p>
    <w:p w14:paraId="561D1271" w14:textId="78549AD6" w:rsidR="00857F4C" w:rsidRPr="00704BFE" w:rsidRDefault="00857F4C" w:rsidP="00857F4C">
      <w:pPr>
        <w:pStyle w:val="ListParagraph"/>
        <w:numPr>
          <w:ilvl w:val="0"/>
          <w:numId w:val="166"/>
        </w:numPr>
        <w:spacing w:after="120" w:line="264" w:lineRule="auto"/>
        <w:rPr>
          <w:rFonts w:eastAsiaTheme="majorEastAsia"/>
          <w:bCs/>
        </w:rPr>
      </w:pPr>
      <w:r>
        <w:t xml:space="preserve">Once Leapfrog has published your hospital’s Survey Results on the </w:t>
      </w:r>
      <w:hyperlink r:id="rId505" w:history="1">
        <w:r>
          <w:rPr>
            <w:rStyle w:val="Hyperlink"/>
          </w:rPr>
          <w:t>Hospital</w:t>
        </w:r>
        <w:r w:rsidRPr="00086A95">
          <w:rPr>
            <w:rStyle w:val="Hyperlink"/>
          </w:rPr>
          <w:t xml:space="preserve"> Details Page</w:t>
        </w:r>
      </w:hyperlink>
      <w:r>
        <w:t xml:space="preserve">, hospitals are urged to compare the CMS data Leapfrog has obtained with the data published on CMS’ </w:t>
      </w:r>
      <w:hyperlink r:id="rId506" w:history="1">
        <w:r w:rsidRPr="0062107E">
          <w:rPr>
            <w:rStyle w:val="Hyperlink"/>
          </w:rPr>
          <w:t>website</w:t>
        </w:r>
      </w:hyperlink>
      <w:r>
        <w:t>.</w:t>
      </w:r>
    </w:p>
    <w:p w14:paraId="34595942" w14:textId="77777777" w:rsidR="00857F4C" w:rsidRPr="00704BFE" w:rsidRDefault="00857F4C" w:rsidP="00857F4C">
      <w:pPr>
        <w:pStyle w:val="ListParagraph"/>
        <w:numPr>
          <w:ilvl w:val="0"/>
          <w:numId w:val="165"/>
        </w:numPr>
        <w:spacing w:after="120" w:line="264" w:lineRule="auto"/>
        <w:rPr>
          <w:rFonts w:eastAsiaTheme="majorEastAsia"/>
          <w:bCs/>
        </w:rPr>
      </w:pPr>
      <w:r>
        <w:t>Dates on which the Survey Results will be available on the Hospital Details page are listed in the “Deadlines and Reporting Periods” table below.</w:t>
      </w:r>
    </w:p>
    <w:p w14:paraId="62C21B81" w14:textId="77777777" w:rsidR="00857F4C" w:rsidRDefault="00857F4C" w:rsidP="00857F4C">
      <w:r>
        <w:t xml:space="preserve">If you find a discrepancy while comparing your hospital’s data published on the CMS </w:t>
      </w:r>
      <w:hyperlink r:id="rId507" w:history="1">
        <w:r w:rsidRPr="0062107E">
          <w:rPr>
            <w:rStyle w:val="Hyperlink"/>
          </w:rPr>
          <w:t>website</w:t>
        </w:r>
      </w:hyperlink>
      <w:r>
        <w:t xml:space="preserve"> to the data published on the Hospital Details page, contact </w:t>
      </w:r>
      <w:hyperlink r:id="rId508" w:history="1">
        <w:r w:rsidRPr="00825AEB">
          <w:rPr>
            <w:rStyle w:val="Hyperlink"/>
          </w:rPr>
          <w:t>Leapfrog’s Help Desk</w:t>
        </w:r>
      </w:hyperlink>
      <w:r>
        <w:t xml:space="preserve"> immediately.</w:t>
      </w:r>
    </w:p>
    <w:p w14:paraId="4BA61E98" w14:textId="77777777" w:rsidR="00857F4C" w:rsidRDefault="00857F4C" w:rsidP="00857F4C">
      <w:pPr>
        <w:rPr>
          <w:b/>
          <w:bCs/>
        </w:rPr>
      </w:pPr>
    </w:p>
    <w:p w14:paraId="50BEE7F6" w14:textId="77777777" w:rsidR="00A90D87" w:rsidRPr="00C069D0" w:rsidRDefault="00A90D87" w:rsidP="00CF5A32">
      <w:pPr>
        <w:rPr>
          <w:lang w:eastAsia="ja-JP"/>
        </w:rPr>
      </w:pPr>
    </w:p>
    <w:p w14:paraId="507CEC96" w14:textId="77777777" w:rsidR="00115E84" w:rsidRDefault="00115E84" w:rsidP="000C2E89"/>
    <w:p w14:paraId="199D0F0C" w14:textId="77777777" w:rsidR="001F027B" w:rsidRPr="00B64139" w:rsidRDefault="001F027B" w:rsidP="000C2E89">
      <w:pPr>
        <w:rPr>
          <w:b/>
          <w:bCs/>
          <w:sz w:val="22"/>
          <w:szCs w:val="22"/>
        </w:rPr>
      </w:pPr>
      <w:r w:rsidRPr="00B64139">
        <w:rPr>
          <w:b/>
          <w:bCs/>
          <w:sz w:val="22"/>
          <w:szCs w:val="22"/>
        </w:rPr>
        <w:t>Deadlines and Reporting Periods</w:t>
      </w:r>
    </w:p>
    <w:p w14:paraId="490362D4" w14:textId="77777777" w:rsidR="001F027B" w:rsidRDefault="001F027B" w:rsidP="000C2E89"/>
    <w:tbl>
      <w:tblPr>
        <w:tblW w:w="9175" w:type="dxa"/>
        <w:jc w:val="center"/>
        <w:tblLayout w:type="fixed"/>
        <w:tblCellMar>
          <w:top w:w="72" w:type="dxa"/>
          <w:left w:w="72" w:type="dxa"/>
          <w:bottom w:w="72" w:type="dxa"/>
          <w:right w:w="72" w:type="dxa"/>
        </w:tblCellMar>
        <w:tblLook w:val="01E0" w:firstRow="1" w:lastRow="1" w:firstColumn="1" w:lastColumn="1" w:noHBand="0" w:noVBand="0"/>
      </w:tblPr>
      <w:tblGrid>
        <w:gridCol w:w="2610"/>
        <w:gridCol w:w="3870"/>
        <w:gridCol w:w="2695"/>
      </w:tblGrid>
      <w:tr w:rsidR="000A6D68" w:rsidRPr="00632E35" w14:paraId="0D871F42" w14:textId="77777777" w:rsidTr="003962CE">
        <w:trPr>
          <w:cantSplit/>
          <w:trHeight w:val="575"/>
          <w:jc w:val="center"/>
        </w:trPr>
        <w:tc>
          <w:tcPr>
            <w:tcW w:w="2610" w:type="dxa"/>
            <w:tcBorders>
              <w:top w:val="single" w:sz="4" w:space="0" w:color="auto"/>
              <w:left w:val="single" w:sz="4" w:space="0" w:color="auto"/>
              <w:right w:val="single" w:sz="4" w:space="0" w:color="auto"/>
            </w:tcBorders>
            <w:shd w:val="clear" w:color="auto" w:fill="012E6B"/>
          </w:tcPr>
          <w:p w14:paraId="6676956C" w14:textId="77777777" w:rsidR="000A6D68" w:rsidRPr="0030607B" w:rsidRDefault="000A6D68" w:rsidP="003962CE">
            <w:pPr>
              <w:pStyle w:val="TableParagraph"/>
              <w:spacing w:before="1" w:line="240" w:lineRule="auto"/>
              <w:ind w:left="0" w:right="20"/>
              <w:rPr>
                <w:rFonts w:ascii="Arial" w:hAnsi="Arial" w:cs="Arial"/>
                <w:b/>
                <w:color w:val="FFFFFF"/>
                <w:sz w:val="20"/>
                <w:szCs w:val="20"/>
              </w:rPr>
            </w:pPr>
            <w:r>
              <w:rPr>
                <w:rFonts w:ascii="Arial" w:hAnsi="Arial" w:cs="Arial"/>
                <w:b/>
                <w:color w:val="FFFFFF"/>
                <w:sz w:val="20"/>
                <w:szCs w:val="20"/>
              </w:rPr>
              <w:t>CMS</w:t>
            </w:r>
            <w:r w:rsidRPr="0030607B">
              <w:rPr>
                <w:rFonts w:ascii="Arial" w:hAnsi="Arial" w:cs="Arial"/>
                <w:b/>
                <w:color w:val="FFFFFF"/>
                <w:sz w:val="20"/>
                <w:szCs w:val="20"/>
              </w:rPr>
              <w:t xml:space="preserve"> </w:t>
            </w:r>
            <w:r>
              <w:rPr>
                <w:rFonts w:ascii="Arial" w:hAnsi="Arial" w:cs="Arial"/>
                <w:b/>
                <w:color w:val="FFFFFF"/>
                <w:sz w:val="20"/>
                <w:szCs w:val="20"/>
              </w:rPr>
              <w:t>Download Date</w:t>
            </w:r>
          </w:p>
        </w:tc>
        <w:tc>
          <w:tcPr>
            <w:tcW w:w="3870" w:type="dxa"/>
            <w:shd w:val="clear" w:color="auto" w:fill="012E6B"/>
          </w:tcPr>
          <w:p w14:paraId="6E4F2DF8" w14:textId="77777777" w:rsidR="000A6D68" w:rsidRPr="0030607B" w:rsidRDefault="000A6D68" w:rsidP="003962CE">
            <w:pPr>
              <w:pStyle w:val="TableParagraph"/>
              <w:spacing w:before="1" w:line="240" w:lineRule="auto"/>
              <w:ind w:left="0" w:right="20"/>
              <w:rPr>
                <w:rFonts w:ascii="Arial" w:hAnsi="Arial" w:cs="Arial"/>
                <w:b/>
                <w:sz w:val="20"/>
                <w:szCs w:val="20"/>
              </w:rPr>
            </w:pPr>
            <w:r w:rsidRPr="000850DD">
              <w:rPr>
                <w:rFonts w:ascii="Arial" w:hAnsi="Arial" w:cs="Arial"/>
                <w:b/>
                <w:color w:val="FFFFFF"/>
                <w:sz w:val="20"/>
                <w:szCs w:val="20"/>
              </w:rPr>
              <w:t>CMS Reporting Period</w:t>
            </w:r>
          </w:p>
        </w:tc>
        <w:tc>
          <w:tcPr>
            <w:tcW w:w="2695" w:type="dxa"/>
            <w:tcBorders>
              <w:top w:val="single" w:sz="4" w:space="0" w:color="auto"/>
              <w:left w:val="single" w:sz="4" w:space="0" w:color="auto"/>
              <w:right w:val="single" w:sz="4" w:space="0" w:color="auto"/>
            </w:tcBorders>
            <w:shd w:val="clear" w:color="auto" w:fill="012E6B"/>
          </w:tcPr>
          <w:p w14:paraId="6EA365D9" w14:textId="77777777" w:rsidR="000A6D68" w:rsidRPr="0030607B" w:rsidRDefault="000A6D68" w:rsidP="003962CE">
            <w:pPr>
              <w:pStyle w:val="TableParagraph"/>
              <w:spacing w:before="1" w:line="240" w:lineRule="auto"/>
              <w:ind w:left="0" w:right="84"/>
              <w:rPr>
                <w:rFonts w:ascii="Arial" w:hAnsi="Arial" w:cs="Arial"/>
                <w:b/>
                <w:sz w:val="20"/>
                <w:szCs w:val="20"/>
              </w:rPr>
            </w:pPr>
            <w:r>
              <w:rPr>
                <w:rFonts w:ascii="Arial" w:hAnsi="Arial" w:cs="Arial"/>
                <w:b/>
                <w:sz w:val="20"/>
                <w:szCs w:val="20"/>
              </w:rPr>
              <w:t>Review</w:t>
            </w:r>
            <w:r w:rsidRPr="0030607B">
              <w:rPr>
                <w:rFonts w:ascii="Arial" w:hAnsi="Arial" w:cs="Arial"/>
                <w:b/>
                <w:sz w:val="20"/>
                <w:szCs w:val="20"/>
              </w:rPr>
              <w:t xml:space="preserve"> Results</w:t>
            </w:r>
          </w:p>
        </w:tc>
      </w:tr>
      <w:tr w:rsidR="000A6D68" w:rsidRPr="00632E35" w14:paraId="54619B13" w14:textId="77777777" w:rsidTr="003962CE">
        <w:trPr>
          <w:cantSplit/>
          <w:trHeight w:val="1343"/>
          <w:jc w:val="center"/>
        </w:trPr>
        <w:tc>
          <w:tcPr>
            <w:tcW w:w="2610" w:type="dxa"/>
            <w:tcBorders>
              <w:top w:val="single" w:sz="4" w:space="0" w:color="000000"/>
              <w:left w:val="single" w:sz="4" w:space="0" w:color="auto"/>
              <w:right w:val="single" w:sz="4" w:space="0" w:color="auto"/>
            </w:tcBorders>
            <w:shd w:val="clear" w:color="auto" w:fill="012E6B"/>
          </w:tcPr>
          <w:p w14:paraId="13C6F056" w14:textId="77777777" w:rsidR="000A6D68" w:rsidRPr="0030607B" w:rsidRDefault="000A6D68" w:rsidP="003962CE">
            <w:pPr>
              <w:pStyle w:val="TableParagraph"/>
              <w:spacing w:before="1" w:line="240" w:lineRule="auto"/>
              <w:ind w:left="139" w:right="20"/>
              <w:rPr>
                <w:rFonts w:ascii="Arial" w:hAnsi="Arial" w:cs="Arial"/>
                <w:b/>
                <w:color w:val="FFFFFF"/>
                <w:sz w:val="20"/>
                <w:szCs w:val="20"/>
              </w:rPr>
            </w:pPr>
            <w:r w:rsidRPr="00B93154">
              <w:rPr>
                <w:rFonts w:ascii="Arial" w:hAnsi="Arial" w:cs="Arial"/>
                <w:bCs/>
                <w:i/>
                <w:iCs/>
                <w:color w:val="FFFFFF"/>
                <w:sz w:val="20"/>
                <w:szCs w:val="20"/>
              </w:rPr>
              <w:t xml:space="preserve">Leapfrog will download the dataset from the </w:t>
            </w:r>
            <w:hyperlink r:id="rId509" w:history="1">
              <w:r w:rsidRPr="00050804">
                <w:rPr>
                  <w:rStyle w:val="Hyperlink"/>
                  <w:rFonts w:ascii="Arial" w:hAnsi="Arial" w:cs="Arial"/>
                  <w:i/>
                  <w:iCs/>
                  <w:color w:val="FFFFFF" w:themeColor="background1"/>
                  <w:sz w:val="20"/>
                  <w:szCs w:val="20"/>
                </w:rPr>
                <w:t>CMS Provider Data Catalog</w:t>
              </w:r>
            </w:hyperlink>
            <w:r w:rsidRPr="00B93154">
              <w:rPr>
                <w:rFonts w:ascii="Arial" w:hAnsi="Arial" w:cs="Arial"/>
                <w:bCs/>
                <w:i/>
                <w:iCs/>
                <w:color w:val="FFFFFF"/>
                <w:sz w:val="20"/>
                <w:szCs w:val="20"/>
              </w:rPr>
              <w:t xml:space="preserve"> on these dates</w:t>
            </w:r>
          </w:p>
        </w:tc>
        <w:tc>
          <w:tcPr>
            <w:tcW w:w="3870" w:type="dxa"/>
            <w:tcBorders>
              <w:top w:val="single" w:sz="4" w:space="0" w:color="000000"/>
              <w:left w:val="single" w:sz="4" w:space="0" w:color="auto"/>
              <w:right w:val="single" w:sz="4" w:space="0" w:color="auto"/>
            </w:tcBorders>
            <w:shd w:val="clear" w:color="auto" w:fill="012E6B"/>
          </w:tcPr>
          <w:p w14:paraId="51FEC00C" w14:textId="77777777" w:rsidR="000A6D68" w:rsidRDefault="000A6D68" w:rsidP="003962CE">
            <w:pPr>
              <w:pStyle w:val="TableParagraph"/>
              <w:spacing w:before="1" w:line="240" w:lineRule="auto"/>
              <w:ind w:left="0" w:right="20"/>
              <w:rPr>
                <w:rFonts w:ascii="Arial" w:hAnsi="Arial" w:cs="Arial"/>
                <w:bCs/>
                <w:i/>
                <w:iCs/>
                <w:color w:val="FFFFFF"/>
                <w:sz w:val="20"/>
                <w:szCs w:val="20"/>
              </w:rPr>
            </w:pPr>
            <w:r w:rsidRPr="00F12EC9">
              <w:rPr>
                <w:rFonts w:ascii="Arial" w:hAnsi="Arial" w:cs="Arial"/>
                <w:bCs/>
                <w:i/>
                <w:iCs/>
                <w:color w:val="FFFFFF"/>
                <w:sz w:val="20"/>
                <w:szCs w:val="20"/>
              </w:rPr>
              <w:t>These reporting periods are subject to CMS data availability on the download date and may change.</w:t>
            </w:r>
          </w:p>
        </w:tc>
        <w:tc>
          <w:tcPr>
            <w:tcW w:w="2695" w:type="dxa"/>
            <w:tcBorders>
              <w:top w:val="single" w:sz="4" w:space="0" w:color="000000"/>
              <w:left w:val="single" w:sz="4" w:space="0" w:color="auto"/>
              <w:right w:val="single" w:sz="4" w:space="0" w:color="auto"/>
            </w:tcBorders>
            <w:shd w:val="clear" w:color="auto" w:fill="012E6B"/>
          </w:tcPr>
          <w:p w14:paraId="351A7E07" w14:textId="77777777" w:rsidR="000A6D68" w:rsidRPr="0030607B" w:rsidRDefault="000A6D68" w:rsidP="003962CE">
            <w:pPr>
              <w:pStyle w:val="TableParagraph"/>
              <w:spacing w:before="1" w:line="240" w:lineRule="auto"/>
              <w:ind w:left="0" w:right="84"/>
              <w:rPr>
                <w:rFonts w:ascii="Arial" w:hAnsi="Arial" w:cs="Arial"/>
                <w:bCs/>
                <w:i/>
                <w:iCs/>
                <w:color w:val="FFFFFF"/>
                <w:sz w:val="20"/>
                <w:szCs w:val="20"/>
              </w:rPr>
            </w:pPr>
            <w:r w:rsidRPr="0030607B">
              <w:rPr>
                <w:rFonts w:ascii="Arial" w:hAnsi="Arial" w:cs="Arial"/>
                <w:bCs/>
                <w:i/>
                <w:iCs/>
                <w:color w:val="FFFFFF"/>
                <w:sz w:val="20"/>
                <w:szCs w:val="20"/>
              </w:rPr>
              <w:t>Data pulled by Leapfrog will be available to review on the Hospital Details Page or Public Reporting Website by these dates</w:t>
            </w:r>
          </w:p>
        </w:tc>
      </w:tr>
      <w:tr w:rsidR="000A6D68" w:rsidRPr="00632E35" w14:paraId="6EB62457" w14:textId="77777777" w:rsidTr="003962CE">
        <w:trPr>
          <w:cantSplit/>
          <w:trHeight w:val="80"/>
          <w:jc w:val="center"/>
        </w:trPr>
        <w:tc>
          <w:tcPr>
            <w:tcW w:w="2610" w:type="dxa"/>
            <w:tcBorders>
              <w:left w:val="single" w:sz="4" w:space="0" w:color="auto"/>
              <w:right w:val="single" w:sz="4" w:space="0" w:color="auto"/>
            </w:tcBorders>
            <w:shd w:val="clear" w:color="auto" w:fill="F2F2F2" w:themeFill="background1" w:themeFillShade="F2"/>
            <w:vAlign w:val="center"/>
          </w:tcPr>
          <w:p w14:paraId="3F86FB26" w14:textId="77777777" w:rsidR="000A6D68" w:rsidRPr="00C32737" w:rsidRDefault="000A6D68" w:rsidP="003962CE">
            <w:pPr>
              <w:pStyle w:val="TableParagraph"/>
              <w:ind w:left="0"/>
              <w:rPr>
                <w:rFonts w:ascii="Arial" w:hAnsi="Arial" w:cs="Arial"/>
                <w:sz w:val="20"/>
                <w:szCs w:val="20"/>
              </w:rPr>
            </w:pPr>
            <w:r>
              <w:rPr>
                <w:rFonts w:ascii="Arial" w:hAnsi="Arial" w:cs="Arial"/>
                <w:sz w:val="20"/>
                <w:szCs w:val="20"/>
              </w:rPr>
              <w:t>June 30, 2026</w:t>
            </w:r>
          </w:p>
        </w:tc>
        <w:tc>
          <w:tcPr>
            <w:tcW w:w="3870" w:type="dxa"/>
            <w:tcBorders>
              <w:left w:val="single" w:sz="4" w:space="0" w:color="auto"/>
              <w:right w:val="single" w:sz="4" w:space="0" w:color="auto"/>
            </w:tcBorders>
            <w:shd w:val="clear" w:color="auto" w:fill="F2F2F2" w:themeFill="background1" w:themeFillShade="F2"/>
            <w:vAlign w:val="center"/>
          </w:tcPr>
          <w:p w14:paraId="385DB314" w14:textId="77777777" w:rsidR="000A6D68" w:rsidRDefault="000A6D68" w:rsidP="003962CE">
            <w:pPr>
              <w:rPr>
                <w:rFonts w:cs="Arial"/>
              </w:rPr>
            </w:pPr>
            <w:r w:rsidRPr="00C32737">
              <w:rPr>
                <w:rFonts w:cs="Arial"/>
              </w:rPr>
              <w:t>OP-32: 1/1/2022 - 12/31/2024</w:t>
            </w:r>
          </w:p>
          <w:p w14:paraId="0AF5283B" w14:textId="77777777" w:rsidR="000D7E2F" w:rsidRPr="00C32737" w:rsidRDefault="000D7E2F" w:rsidP="003962CE">
            <w:pPr>
              <w:rPr>
                <w:rFonts w:cs="Arial"/>
              </w:rPr>
            </w:pPr>
          </w:p>
          <w:p w14:paraId="7DABCAAC" w14:textId="77777777" w:rsidR="000A6D68" w:rsidRPr="00C32737" w:rsidRDefault="000A6D68" w:rsidP="003962CE">
            <w:pPr>
              <w:pStyle w:val="TableParagraph"/>
              <w:ind w:left="0"/>
              <w:rPr>
                <w:rFonts w:ascii="Arial" w:hAnsi="Arial" w:cs="Arial"/>
                <w:sz w:val="20"/>
                <w:szCs w:val="20"/>
              </w:rPr>
            </w:pPr>
            <w:r w:rsidRPr="004D3A41">
              <w:rPr>
                <w:rFonts w:ascii="Arial" w:hAnsi="Arial" w:cs="Arial"/>
                <w:sz w:val="20"/>
                <w:szCs w:val="20"/>
              </w:rPr>
              <w:t>OAS CAHPS: 7/1/2024 - 6/30/2025</w:t>
            </w:r>
          </w:p>
        </w:tc>
        <w:tc>
          <w:tcPr>
            <w:tcW w:w="2695" w:type="dxa"/>
            <w:tcBorders>
              <w:left w:val="single" w:sz="4" w:space="0" w:color="auto"/>
              <w:right w:val="single" w:sz="4" w:space="0" w:color="auto"/>
            </w:tcBorders>
            <w:shd w:val="clear" w:color="auto" w:fill="F2F2F2" w:themeFill="background1" w:themeFillShade="F2"/>
            <w:vAlign w:val="center"/>
          </w:tcPr>
          <w:p w14:paraId="428B2278" w14:textId="77777777" w:rsidR="000A6D68" w:rsidRPr="00C32737" w:rsidRDefault="000A6D68" w:rsidP="003962CE">
            <w:pPr>
              <w:rPr>
                <w:rFonts w:cs="Arial"/>
              </w:rPr>
            </w:pPr>
            <w:r w:rsidRPr="00C32737">
              <w:rPr>
                <w:rFonts w:cs="Arial"/>
              </w:rPr>
              <w:t>July 12, 2026*</w:t>
            </w:r>
          </w:p>
        </w:tc>
      </w:tr>
      <w:tr w:rsidR="000A6D68" w:rsidRPr="00632E35" w14:paraId="3EC75505" w14:textId="77777777" w:rsidTr="003962CE">
        <w:trPr>
          <w:cantSplit/>
          <w:trHeight w:val="80"/>
          <w:jc w:val="center"/>
        </w:trPr>
        <w:tc>
          <w:tcPr>
            <w:tcW w:w="2610" w:type="dxa"/>
            <w:tcBorders>
              <w:left w:val="single" w:sz="4" w:space="0" w:color="auto"/>
              <w:bottom w:val="single" w:sz="4" w:space="0" w:color="auto"/>
              <w:right w:val="single" w:sz="4" w:space="0" w:color="auto"/>
            </w:tcBorders>
            <w:vAlign w:val="center"/>
          </w:tcPr>
          <w:p w14:paraId="5C9D1A23" w14:textId="77777777" w:rsidR="000A6D68" w:rsidRPr="004D3A41" w:rsidRDefault="000A6D68" w:rsidP="003962CE">
            <w:pPr>
              <w:pStyle w:val="TableParagraph"/>
              <w:ind w:left="0"/>
              <w:rPr>
                <w:rFonts w:ascii="Arial" w:hAnsi="Arial" w:cs="Arial"/>
                <w:sz w:val="20"/>
                <w:szCs w:val="20"/>
              </w:rPr>
            </w:pPr>
            <w:r>
              <w:rPr>
                <w:rFonts w:ascii="Arial" w:hAnsi="Arial" w:cs="Arial"/>
                <w:sz w:val="20"/>
                <w:szCs w:val="20"/>
              </w:rPr>
              <w:t>August 31, 2026</w:t>
            </w:r>
          </w:p>
        </w:tc>
        <w:tc>
          <w:tcPr>
            <w:tcW w:w="3870" w:type="dxa"/>
            <w:tcBorders>
              <w:left w:val="single" w:sz="4" w:space="0" w:color="auto"/>
              <w:bottom w:val="single" w:sz="4" w:space="0" w:color="auto"/>
              <w:right w:val="single" w:sz="4" w:space="0" w:color="auto"/>
            </w:tcBorders>
            <w:vAlign w:val="center"/>
          </w:tcPr>
          <w:p w14:paraId="1200865C" w14:textId="77777777" w:rsidR="000A6D68" w:rsidRDefault="000A6D68" w:rsidP="003962CE">
            <w:pPr>
              <w:rPr>
                <w:rFonts w:eastAsia="Calibri" w:cs="Arial"/>
                <w:lang w:bidi="en-US"/>
              </w:rPr>
            </w:pPr>
            <w:r w:rsidRPr="00DC4946">
              <w:rPr>
                <w:rFonts w:eastAsia="Calibri" w:cs="Arial"/>
                <w:lang w:bidi="en-US"/>
              </w:rPr>
              <w:t>OP-32: 1/1/2022 - 12/31/2024</w:t>
            </w:r>
          </w:p>
          <w:p w14:paraId="0D4BE8FF" w14:textId="77777777" w:rsidR="000D7E2F" w:rsidRPr="00DC4946" w:rsidRDefault="000D7E2F" w:rsidP="003962CE">
            <w:pPr>
              <w:rPr>
                <w:rFonts w:eastAsia="Calibri" w:cs="Arial"/>
                <w:lang w:bidi="en-US"/>
              </w:rPr>
            </w:pPr>
          </w:p>
          <w:p w14:paraId="392F4280" w14:textId="77777777" w:rsidR="000A6D68" w:rsidRPr="00DC4946" w:rsidRDefault="000A6D68" w:rsidP="003962CE">
            <w:pPr>
              <w:rPr>
                <w:rFonts w:eastAsia="Calibri" w:cs="Arial"/>
                <w:lang w:bidi="en-US"/>
              </w:rPr>
            </w:pPr>
            <w:r w:rsidRPr="00DC4946">
              <w:rPr>
                <w:rFonts w:eastAsia="Calibri" w:cs="Arial"/>
                <w:lang w:bidi="en-US"/>
              </w:rPr>
              <w:t>OAS CAHPS: 10/1/2024 - 9/30/2025</w:t>
            </w:r>
          </w:p>
        </w:tc>
        <w:tc>
          <w:tcPr>
            <w:tcW w:w="2695" w:type="dxa"/>
            <w:tcBorders>
              <w:left w:val="single" w:sz="4" w:space="0" w:color="auto"/>
              <w:bottom w:val="single" w:sz="4" w:space="0" w:color="auto"/>
              <w:right w:val="single" w:sz="4" w:space="0" w:color="auto"/>
            </w:tcBorders>
            <w:vAlign w:val="center"/>
          </w:tcPr>
          <w:p w14:paraId="6517027D" w14:textId="77777777" w:rsidR="000A6D68" w:rsidRDefault="000A6D68" w:rsidP="003962CE">
            <w:pPr>
              <w:pStyle w:val="TableParagraph"/>
              <w:ind w:left="0"/>
              <w:rPr>
                <w:rFonts w:ascii="Arial" w:hAnsi="Arial" w:cs="Arial"/>
                <w:sz w:val="20"/>
                <w:szCs w:val="20"/>
              </w:rPr>
            </w:pPr>
            <w:r w:rsidRPr="00DC4946">
              <w:rPr>
                <w:rFonts w:ascii="Arial" w:hAnsi="Arial" w:cs="Arial"/>
                <w:sz w:val="20"/>
                <w:szCs w:val="20"/>
              </w:rPr>
              <w:t xml:space="preserve">September </w:t>
            </w:r>
            <w:r>
              <w:rPr>
                <w:rFonts w:ascii="Arial" w:hAnsi="Arial" w:cs="Arial"/>
                <w:sz w:val="20"/>
                <w:szCs w:val="20"/>
              </w:rPr>
              <w:t>10</w:t>
            </w:r>
            <w:r w:rsidRPr="00DC4946">
              <w:rPr>
                <w:rFonts w:ascii="Arial" w:hAnsi="Arial" w:cs="Arial"/>
                <w:sz w:val="20"/>
                <w:szCs w:val="20"/>
              </w:rPr>
              <w:t>, 2026</w:t>
            </w:r>
          </w:p>
        </w:tc>
      </w:tr>
      <w:tr w:rsidR="000A6D68" w:rsidRPr="00632E35" w14:paraId="40609B83" w14:textId="77777777" w:rsidTr="003962CE">
        <w:trPr>
          <w:cantSplit/>
          <w:trHeight w:val="80"/>
          <w:jc w:val="center"/>
        </w:trPr>
        <w:tc>
          <w:tcPr>
            <w:tcW w:w="2610" w:type="dxa"/>
            <w:tcBorders>
              <w:left w:val="single" w:sz="4" w:space="0" w:color="auto"/>
              <w:bottom w:val="single" w:sz="4" w:space="0" w:color="auto"/>
              <w:right w:val="single" w:sz="4" w:space="0" w:color="auto"/>
            </w:tcBorders>
            <w:shd w:val="clear" w:color="auto" w:fill="F2F2F2" w:themeFill="background1" w:themeFillShade="F2"/>
            <w:vAlign w:val="center"/>
          </w:tcPr>
          <w:p w14:paraId="001571F8" w14:textId="615ABA6E" w:rsidR="000A6D68" w:rsidRPr="00C32737" w:rsidRDefault="000A6D68" w:rsidP="003962CE">
            <w:pPr>
              <w:pStyle w:val="TableParagraph"/>
              <w:ind w:left="0"/>
              <w:rPr>
                <w:rFonts w:ascii="Arial" w:hAnsi="Arial" w:cs="Arial"/>
                <w:sz w:val="20"/>
                <w:szCs w:val="20"/>
              </w:rPr>
            </w:pPr>
            <w:r>
              <w:rPr>
                <w:rFonts w:ascii="Arial" w:hAnsi="Arial" w:cs="Arial"/>
                <w:sz w:val="20"/>
                <w:szCs w:val="20"/>
              </w:rPr>
              <w:t>November 30</w:t>
            </w:r>
            <w:r w:rsidRPr="004D3A41">
              <w:rPr>
                <w:rFonts w:ascii="Arial" w:hAnsi="Arial" w:cs="Arial"/>
                <w:sz w:val="20"/>
                <w:szCs w:val="20"/>
              </w:rPr>
              <w:t>, 2026</w:t>
            </w:r>
          </w:p>
        </w:tc>
        <w:tc>
          <w:tcPr>
            <w:tcW w:w="3870" w:type="dxa"/>
            <w:tcBorders>
              <w:left w:val="single" w:sz="4" w:space="0" w:color="auto"/>
              <w:bottom w:val="single" w:sz="4" w:space="0" w:color="auto"/>
              <w:right w:val="single" w:sz="4" w:space="0" w:color="auto"/>
            </w:tcBorders>
            <w:shd w:val="clear" w:color="auto" w:fill="F2F2F2" w:themeFill="background1" w:themeFillShade="F2"/>
            <w:vAlign w:val="center"/>
          </w:tcPr>
          <w:p w14:paraId="51C1DFB4" w14:textId="77777777" w:rsidR="000A6D68" w:rsidRDefault="000A6D68" w:rsidP="003962CE">
            <w:pPr>
              <w:rPr>
                <w:rFonts w:eastAsia="Calibri" w:cs="Arial"/>
                <w:lang w:bidi="en-US"/>
              </w:rPr>
            </w:pPr>
            <w:r w:rsidRPr="00F12EC9">
              <w:rPr>
                <w:rFonts w:eastAsia="Calibri" w:cs="Arial"/>
                <w:lang w:bidi="en-US"/>
              </w:rPr>
              <w:t>OP-32: 1/1/2022 - 12/31/2024</w:t>
            </w:r>
          </w:p>
          <w:p w14:paraId="55293F6A" w14:textId="77777777" w:rsidR="000D7E2F" w:rsidRPr="00F12EC9" w:rsidRDefault="000D7E2F" w:rsidP="003962CE">
            <w:pPr>
              <w:rPr>
                <w:rFonts w:eastAsia="Calibri" w:cs="Arial"/>
                <w:lang w:bidi="en-US"/>
              </w:rPr>
            </w:pPr>
          </w:p>
          <w:p w14:paraId="15AFE778" w14:textId="77777777" w:rsidR="000A6D68" w:rsidRPr="002D649A" w:rsidRDefault="000A6D68" w:rsidP="003962CE">
            <w:pPr>
              <w:pStyle w:val="TableParagraph"/>
              <w:ind w:left="0"/>
              <w:rPr>
                <w:rFonts w:ascii="Arial" w:hAnsi="Arial" w:cs="Arial"/>
                <w:sz w:val="20"/>
                <w:szCs w:val="20"/>
              </w:rPr>
            </w:pPr>
            <w:r>
              <w:rPr>
                <w:rFonts w:ascii="Arial" w:hAnsi="Arial" w:cs="Arial"/>
                <w:sz w:val="20"/>
                <w:szCs w:val="20"/>
              </w:rPr>
              <w:t xml:space="preserve">OAS </w:t>
            </w:r>
            <w:r w:rsidRPr="004D3A41">
              <w:rPr>
                <w:rFonts w:ascii="Arial" w:hAnsi="Arial" w:cs="Arial"/>
                <w:sz w:val="20"/>
                <w:szCs w:val="20"/>
              </w:rPr>
              <w:t>CAHPS: 1/1/2025 - 12/31/2025</w:t>
            </w:r>
          </w:p>
        </w:tc>
        <w:tc>
          <w:tcPr>
            <w:tcW w:w="2695" w:type="dxa"/>
            <w:tcBorders>
              <w:left w:val="single" w:sz="4" w:space="0" w:color="auto"/>
              <w:bottom w:val="single" w:sz="4" w:space="0" w:color="auto"/>
              <w:right w:val="single" w:sz="4" w:space="0" w:color="auto"/>
            </w:tcBorders>
            <w:shd w:val="clear" w:color="auto" w:fill="F2F2F2" w:themeFill="background1" w:themeFillShade="F2"/>
            <w:vAlign w:val="center"/>
          </w:tcPr>
          <w:p w14:paraId="184F9700" w14:textId="77777777" w:rsidR="000A6D68" w:rsidRPr="00C32737" w:rsidRDefault="000A6D68" w:rsidP="003962CE">
            <w:pPr>
              <w:pStyle w:val="TableParagraph"/>
              <w:ind w:left="0"/>
              <w:rPr>
                <w:rFonts w:ascii="Arial" w:hAnsi="Arial" w:cs="Arial"/>
                <w:sz w:val="20"/>
                <w:szCs w:val="20"/>
              </w:rPr>
            </w:pPr>
            <w:r>
              <w:rPr>
                <w:rFonts w:ascii="Arial" w:hAnsi="Arial" w:cs="Arial"/>
                <w:sz w:val="20"/>
                <w:szCs w:val="20"/>
              </w:rPr>
              <w:t>December 9</w:t>
            </w:r>
            <w:r w:rsidRPr="00C32737">
              <w:rPr>
                <w:rFonts w:ascii="Arial" w:hAnsi="Arial" w:cs="Arial"/>
                <w:sz w:val="20"/>
                <w:szCs w:val="20"/>
              </w:rPr>
              <w:t>, 202</w:t>
            </w:r>
            <w:r>
              <w:rPr>
                <w:rFonts w:ascii="Arial" w:hAnsi="Arial" w:cs="Arial"/>
                <w:sz w:val="20"/>
                <w:szCs w:val="20"/>
              </w:rPr>
              <w:t>6</w:t>
            </w:r>
          </w:p>
        </w:tc>
      </w:tr>
    </w:tbl>
    <w:p w14:paraId="5E17CA63" w14:textId="77777777" w:rsidR="000A6D68" w:rsidRDefault="000A6D68" w:rsidP="000C2E89"/>
    <w:p w14:paraId="5044D47F" w14:textId="77777777" w:rsidR="006F04F1" w:rsidRPr="001A7FD5" w:rsidRDefault="006F04F1" w:rsidP="006F04F1">
      <w:pPr>
        <w:rPr>
          <w:rFonts w:cs="Arial"/>
          <w:b/>
          <w:u w:val="single"/>
        </w:rPr>
      </w:pPr>
      <w:r>
        <w:rPr>
          <w:rFonts w:cs="Arial"/>
        </w:rPr>
        <w:t xml:space="preserve">*Data will be published to the </w:t>
      </w:r>
      <w:r w:rsidRPr="00A27F3A">
        <w:rPr>
          <w:rFonts w:cs="Arial"/>
        </w:rPr>
        <w:t xml:space="preserve">Public Reporting Website </w:t>
      </w:r>
      <w:r>
        <w:rPr>
          <w:rFonts w:cs="Arial"/>
        </w:rPr>
        <w:t xml:space="preserve">starting on </w:t>
      </w:r>
      <w:r w:rsidRPr="00A27F3A">
        <w:rPr>
          <w:rFonts w:cs="Arial"/>
        </w:rPr>
        <w:t xml:space="preserve">July 25, </w:t>
      </w:r>
      <w:r>
        <w:rPr>
          <w:rFonts w:cs="Arial"/>
        </w:rPr>
        <w:t>2026.</w:t>
      </w:r>
    </w:p>
    <w:p w14:paraId="6288B428" w14:textId="77777777" w:rsidR="00387989" w:rsidRDefault="00387989" w:rsidP="000C2E89">
      <w:pPr>
        <w:rPr>
          <w:lang w:eastAsia="ja-JP"/>
        </w:rPr>
      </w:pPr>
    </w:p>
    <w:p w14:paraId="7BB1C2B4" w14:textId="77777777" w:rsidR="00624EC6" w:rsidRDefault="00624EC6" w:rsidP="000C2E89">
      <w:pPr>
        <w:rPr>
          <w:lang w:eastAsia="ja-JP"/>
        </w:rPr>
      </w:pPr>
    </w:p>
    <w:p w14:paraId="2F54D39A" w14:textId="1C3658AC" w:rsidR="00CD2ECF" w:rsidRPr="00222413" w:rsidRDefault="00CD2ECF" w:rsidP="00CD2ECF">
      <w:pPr>
        <w:rPr>
          <w:lang w:eastAsia="ja-JP"/>
        </w:rPr>
      </w:pPr>
      <w:r w:rsidRPr="00222413">
        <w:rPr>
          <w:lang w:eastAsia="ja-JP"/>
        </w:rPr>
        <w:t>See</w:t>
      </w:r>
      <w:r w:rsidRPr="001C2840">
        <w:rPr>
          <w:lang w:eastAsia="ja-JP"/>
        </w:rPr>
        <w:t xml:space="preserve"> </w:t>
      </w:r>
      <w:hyperlink w:anchor="_Patient_Experience_(OAS_1" w:history="1">
        <w:r w:rsidRPr="001C2840">
          <w:rPr>
            <w:rStyle w:val="Hyperlink"/>
            <w:lang w:eastAsia="ja-JP"/>
          </w:rPr>
          <w:t>FAQs</w:t>
        </w:r>
      </w:hyperlink>
      <w:r w:rsidRPr="00222413">
        <w:rPr>
          <w:lang w:eastAsia="ja-JP"/>
        </w:rPr>
        <w:t xml:space="preserve"> for additional information about responding to questions in this section.</w:t>
      </w:r>
    </w:p>
    <w:p w14:paraId="54467DCC" w14:textId="6BF48A9C" w:rsidR="00CD2ECF" w:rsidRPr="000C2E89" w:rsidRDefault="00CD2ECF" w:rsidP="000C2E89">
      <w:pPr>
        <w:rPr>
          <w:lang w:eastAsia="ja-JP"/>
        </w:rPr>
      </w:pPr>
    </w:p>
    <w:p w14:paraId="3AEAC4D5" w14:textId="77777777" w:rsidR="000C2E89" w:rsidRDefault="000C2E89">
      <w:pPr>
        <w:rPr>
          <w:b/>
          <w:sz w:val="28"/>
          <w:szCs w:val="24"/>
          <w:u w:val="single"/>
          <w:lang w:eastAsia="ja-JP"/>
        </w:rPr>
      </w:pPr>
    </w:p>
    <w:p w14:paraId="5B8DF15A" w14:textId="77777777" w:rsidR="000C2E89" w:rsidRDefault="000C2E89">
      <w:pPr>
        <w:rPr>
          <w:b/>
          <w:sz w:val="28"/>
          <w:szCs w:val="24"/>
          <w:u w:val="single"/>
          <w:lang w:eastAsia="ja-JP"/>
        </w:rPr>
      </w:pPr>
      <w:r>
        <w:br w:type="page"/>
      </w:r>
    </w:p>
    <w:p w14:paraId="6F70EF98" w14:textId="79432D0D" w:rsidR="00974A8E" w:rsidRDefault="00AB15C8" w:rsidP="00CF5A6E">
      <w:pPr>
        <w:pStyle w:val="Heading2"/>
      </w:pPr>
      <w:bookmarkStart w:id="828" w:name="_Patient_Experience_(OAS_1"/>
      <w:bookmarkStart w:id="829" w:name="_Toc225877873"/>
      <w:bookmarkEnd w:id="828"/>
      <w:r>
        <w:t xml:space="preserve">Section 9F: </w:t>
      </w:r>
      <w:r w:rsidR="004D7CAC">
        <w:t>CMS Measures</w:t>
      </w:r>
      <w:r w:rsidR="00E4363F">
        <w:t xml:space="preserve"> </w:t>
      </w:r>
      <w:r w:rsidR="00974A8E">
        <w:t>Frequently Asked Questions (FAQs)</w:t>
      </w:r>
      <w:bookmarkEnd w:id="829"/>
    </w:p>
    <w:p w14:paraId="655ADB9B" w14:textId="347E96E4" w:rsidR="0011374D" w:rsidRDefault="0011374D" w:rsidP="000B00E5"/>
    <w:p w14:paraId="23B626E0" w14:textId="7D6DB2A5" w:rsidR="00333224" w:rsidRPr="00ED3EC6" w:rsidRDefault="00333224" w:rsidP="00983741">
      <w:pPr>
        <w:pStyle w:val="ListParagraph"/>
        <w:numPr>
          <w:ilvl w:val="0"/>
          <w:numId w:val="450"/>
        </w:numPr>
        <w:rPr>
          <w:b/>
          <w:bCs/>
          <w:lang w:eastAsia="ja-JP"/>
        </w:rPr>
      </w:pPr>
      <w:r w:rsidRPr="00ED3EC6">
        <w:rPr>
          <w:b/>
          <w:bCs/>
          <w:lang w:eastAsia="ja-JP"/>
        </w:rPr>
        <w:t xml:space="preserve">We share a CMS Certification Number (CCN) with another hospital that participates in the OAS CAHPS Survey. How can we report on results from the OAS CAHPS Survey that are specific to our outpatient department? </w:t>
      </w:r>
    </w:p>
    <w:p w14:paraId="349B0DCF" w14:textId="77777777" w:rsidR="007020D6" w:rsidRDefault="007020D6" w:rsidP="007020D6">
      <w:pPr>
        <w:pStyle w:val="ListParagraph"/>
        <w:ind w:left="360"/>
        <w:rPr>
          <w:lang w:eastAsia="ja-JP"/>
        </w:rPr>
      </w:pPr>
      <w:r>
        <w:rPr>
          <w:lang w:eastAsia="ja-JP"/>
        </w:rPr>
        <w:t xml:space="preserve">Since OAS CAHPS data is now pulled on behalf of hospitals using CCNs, Leapfrog can no longer report OAS CAHPS data by individual facilities when CCNs are shared. Leapfrog has cautioned against hospitals located on separate campuses sharing CCNs since results will be aggregated and publicly reported on information tools, such as CMS Care Compare and the Leapfrog Hospital Safety Grade. While Leapfrog is committed to making </w:t>
      </w:r>
      <w:r w:rsidRPr="00C538C2">
        <w:rPr>
          <w:lang w:eastAsia="ja-JP"/>
        </w:rPr>
        <w:t>differences among facilities known to patients and their families</w:t>
      </w:r>
      <w:r>
        <w:rPr>
          <w:lang w:eastAsia="ja-JP"/>
        </w:rPr>
        <w:t xml:space="preserve">, Leapfrog made this change to minimize administrative burden associated with completing the Survey. </w:t>
      </w:r>
    </w:p>
    <w:p w14:paraId="73E3E93A" w14:textId="77777777" w:rsidR="00430A1C" w:rsidRPr="00ED3EC6" w:rsidRDefault="00430A1C" w:rsidP="00430A1C">
      <w:pPr>
        <w:pStyle w:val="ListParagraph"/>
        <w:ind w:left="360"/>
        <w:rPr>
          <w:b/>
          <w:bCs/>
          <w:lang w:eastAsia="ja-JP"/>
        </w:rPr>
      </w:pPr>
    </w:p>
    <w:p w14:paraId="78829D84" w14:textId="77777777" w:rsidR="00983741" w:rsidRPr="00ED3EC6" w:rsidRDefault="00983741" w:rsidP="00983741">
      <w:pPr>
        <w:numPr>
          <w:ilvl w:val="0"/>
          <w:numId w:val="450"/>
        </w:numPr>
        <w:rPr>
          <w:b/>
          <w:bCs/>
          <w:lang w:eastAsia="ja-JP"/>
        </w:rPr>
      </w:pPr>
      <w:r w:rsidRPr="00ED3EC6">
        <w:rPr>
          <w:b/>
          <w:bCs/>
          <w:lang w:eastAsia="ja-JP"/>
        </w:rPr>
        <w:t xml:space="preserve">Why does Leapfrog not publicly report the “Preparations for Discharge and Recovery” OAS CAHPS domain for hospitals? </w:t>
      </w:r>
    </w:p>
    <w:p w14:paraId="1C5721BA" w14:textId="305AEE42" w:rsidR="007020D6" w:rsidRDefault="00983741" w:rsidP="00983741">
      <w:pPr>
        <w:pStyle w:val="ListParagraph"/>
        <w:ind w:left="360"/>
        <w:rPr>
          <w:lang w:eastAsia="ja-JP"/>
        </w:rPr>
      </w:pPr>
      <w:r>
        <w:rPr>
          <w:lang w:eastAsia="ja-JP"/>
        </w:rPr>
        <w:t xml:space="preserve">Leapfrog plans to publicly report the “Preparations for Discharge and Recovery” OAS CAHPS domain for both ASCs and hospitals in future Surveys. The scores for this domain are not expected to be publicly available for ASCs until late 2026, and Leapfrog aligns </w:t>
      </w:r>
      <w:r w:rsidR="00A93229">
        <w:rPr>
          <w:lang w:eastAsia="ja-JP"/>
        </w:rPr>
        <w:t xml:space="preserve">with </w:t>
      </w:r>
      <w:r>
        <w:rPr>
          <w:lang w:eastAsia="ja-JP"/>
        </w:rPr>
        <w:t>the public reporting of OAS CAHPS measures for both HOPDs and ASCs.</w:t>
      </w:r>
    </w:p>
    <w:p w14:paraId="41715A1E" w14:textId="77777777" w:rsidR="007020D6" w:rsidRPr="00AB2AFB" w:rsidRDefault="007020D6" w:rsidP="00983741">
      <w:pPr>
        <w:ind w:left="360"/>
        <w:rPr>
          <w:lang w:eastAsia="ja-JP"/>
        </w:rPr>
      </w:pPr>
    </w:p>
    <w:p w14:paraId="7E645485" w14:textId="413BD004" w:rsidR="00333224" w:rsidRDefault="00333224" w:rsidP="00333224">
      <w:pPr>
        <w:ind w:left="360"/>
        <w:rPr>
          <w:snapToGrid w:val="0"/>
          <w:sz w:val="40"/>
          <w:szCs w:val="40"/>
          <w:lang w:eastAsia="ja-JP"/>
        </w:rPr>
      </w:pPr>
    </w:p>
    <w:p w14:paraId="1EFA7AFA" w14:textId="77777777" w:rsidR="005F035A" w:rsidRDefault="00FD51D6">
      <w:pPr>
        <w:sectPr w:rsidR="005F035A" w:rsidSect="00062F69">
          <w:headerReference w:type="default" r:id="rId510"/>
          <w:endnotePr>
            <w:numFmt w:val="decimal"/>
          </w:endnotePr>
          <w:type w:val="continuous"/>
          <w:pgSz w:w="12240" w:h="15840"/>
          <w:pgMar w:top="1080" w:right="1440" w:bottom="1080" w:left="1440" w:header="720" w:footer="720" w:gutter="0"/>
          <w:cols w:space="720"/>
          <w:docGrid w:linePitch="272"/>
        </w:sectPr>
      </w:pPr>
      <w:r>
        <w:br w:type="page"/>
      </w:r>
    </w:p>
    <w:p w14:paraId="0CBD94F6" w14:textId="259EB969" w:rsidR="008910AA" w:rsidRPr="009A5185" w:rsidRDefault="00B94757" w:rsidP="00D32C75">
      <w:pPr>
        <w:pStyle w:val="SectionHeader"/>
      </w:pPr>
      <w:bookmarkStart w:id="830" w:name="_Toc225877874"/>
      <w:r w:rsidRPr="009A5185">
        <w:t>Endnotes</w:t>
      </w:r>
      <w:bookmarkEnd w:id="830"/>
    </w:p>
    <w:sectPr w:rsidR="008910AA" w:rsidRPr="009A5185" w:rsidSect="005F035A">
      <w:headerReference w:type="default" r:id="rId511"/>
      <w:endnotePr>
        <w:numFmt w:val="decimal"/>
      </w:endnotePr>
      <w:pgSz w:w="12240" w:h="15840"/>
      <w:pgMar w:top="1080" w:right="1440" w:bottom="1080" w:left="144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81716E" w14:textId="77777777" w:rsidR="000C46D4" w:rsidRDefault="000C46D4">
      <w:pPr>
        <w:pBdr>
          <w:bottom w:val="single" w:sz="12" w:space="1" w:color="auto"/>
        </w:pBdr>
      </w:pPr>
    </w:p>
    <w:p w14:paraId="3FE96B91" w14:textId="77777777" w:rsidR="000C46D4" w:rsidRDefault="000C46D4"/>
    <w:p w14:paraId="78D07503" w14:textId="77777777" w:rsidR="000C46D4" w:rsidRDefault="000C46D4"/>
  </w:endnote>
  <w:endnote w:type="continuationSeparator" w:id="0">
    <w:p w14:paraId="77C3F979" w14:textId="77777777" w:rsidR="000C46D4" w:rsidRDefault="000C46D4">
      <w:pPr>
        <w:pBdr>
          <w:bottom w:val="single" w:sz="12" w:space="1" w:color="auto"/>
        </w:pBdr>
      </w:pPr>
    </w:p>
    <w:p w14:paraId="3446A10D" w14:textId="77777777" w:rsidR="000C46D4" w:rsidRDefault="000C46D4"/>
    <w:p w14:paraId="149D4093" w14:textId="77777777" w:rsidR="000C46D4" w:rsidRDefault="000C46D4"/>
  </w:endnote>
  <w:endnote w:type="continuationNotice" w:id="1">
    <w:p w14:paraId="2610FC0F" w14:textId="77777777" w:rsidR="000C46D4" w:rsidRDefault="000C46D4"/>
    <w:p w14:paraId="74A29327" w14:textId="77777777" w:rsidR="000C46D4" w:rsidRDefault="000C46D4"/>
  </w:endnote>
  <w:endnote w:id="2">
    <w:p w14:paraId="04C6908E" w14:textId="77777777" w:rsidR="005361AB" w:rsidRPr="006C26F6" w:rsidRDefault="005361AB" w:rsidP="005361AB">
      <w:pPr>
        <w:pStyle w:val="EndnoteText"/>
        <w:rPr>
          <w:b/>
          <w:bCs/>
          <w:i/>
          <w:iCs/>
        </w:rPr>
      </w:pPr>
      <w:r w:rsidRPr="006C26F6">
        <w:rPr>
          <w:rStyle w:val="EndnoteReference"/>
        </w:rPr>
        <w:endnoteRef/>
      </w:r>
      <w:r w:rsidRPr="006C26F6">
        <w:t xml:space="preserve"> </w:t>
      </w:r>
      <w:bookmarkStart w:id="55" w:name="acutecareunits_endnote1"/>
      <w:bookmarkEnd w:id="55"/>
      <w:r w:rsidRPr="006C26F6">
        <w:rPr>
          <w:b/>
          <w:bCs/>
          <w:i/>
          <w:iCs/>
        </w:rPr>
        <w:t>Acute-Care Units</w:t>
      </w:r>
    </w:p>
    <w:p w14:paraId="6591ED4D" w14:textId="76079D8A" w:rsidR="00591FF7" w:rsidRPr="006C26F6" w:rsidRDefault="005361AB" w:rsidP="005361AB">
      <w:r w:rsidRPr="006C26F6">
        <w:t>Include units used for short-term, acute-care medical</w:t>
      </w:r>
      <w:r w:rsidR="00FF6756">
        <w:t xml:space="preserve">, surgical, </w:t>
      </w:r>
      <w:r w:rsidR="008502AE">
        <w:t>medical/</w:t>
      </w:r>
      <w:r w:rsidRPr="006C26F6">
        <w:t>surgical</w:t>
      </w:r>
      <w:r w:rsidR="004C1371" w:rsidRPr="006C26F6">
        <w:t xml:space="preserve"> (including telemetry)</w:t>
      </w:r>
      <w:r w:rsidRPr="006C26F6">
        <w:t xml:space="preserve">, </w:t>
      </w:r>
      <w:r w:rsidR="00591FF7" w:rsidRPr="006C26F6">
        <w:t>as well as</w:t>
      </w:r>
      <w:r w:rsidRPr="006C26F6">
        <w:t xml:space="preserve"> obstetrical, intensive, </w:t>
      </w:r>
      <w:r w:rsidR="00591FF7" w:rsidRPr="006C26F6">
        <w:t xml:space="preserve">and </w:t>
      </w:r>
      <w:r w:rsidRPr="006C26F6">
        <w:t xml:space="preserve">step-down/progressive care. </w:t>
      </w:r>
    </w:p>
    <w:p w14:paraId="61AA7932" w14:textId="77777777" w:rsidR="00591FF7" w:rsidRPr="006C26F6" w:rsidRDefault="00591FF7" w:rsidP="005361AB"/>
    <w:p w14:paraId="50A4576D" w14:textId="5FF7B5AD" w:rsidR="005361AB" w:rsidRPr="00E67EDC" w:rsidRDefault="005361AB" w:rsidP="005361AB">
      <w:pPr>
        <w:rPr>
          <w:sz w:val="16"/>
          <w:szCs w:val="16"/>
        </w:rPr>
      </w:pPr>
      <w:r w:rsidRPr="006C26F6">
        <w:t xml:space="preserve">Exclude units used for short and long-term psychiatric care, rehabilitation, observation, or sub-acute care (e.g., skilled nursing facility, hospice extended care, sub-acute eating disorder treatment, extended care facility, or residential substance abuse treatment), and swing </w:t>
      </w:r>
      <w:r w:rsidR="0007470A" w:rsidRPr="006C26F6">
        <w:t xml:space="preserve">bed </w:t>
      </w:r>
      <w:r w:rsidRPr="006C26F6">
        <w:t>units.</w:t>
      </w:r>
    </w:p>
    <w:p w14:paraId="4BBAC125" w14:textId="77777777" w:rsidR="005361AB" w:rsidRPr="00A62080" w:rsidRDefault="005361AB" w:rsidP="005361AB">
      <w:pPr>
        <w:pStyle w:val="EndnoteText"/>
      </w:pPr>
    </w:p>
  </w:endnote>
  <w:endnote w:id="3">
    <w:p w14:paraId="7ECAB8D0" w14:textId="77777777" w:rsidR="00322A3C" w:rsidRDefault="00322A3C">
      <w:pPr>
        <w:pStyle w:val="EndnoteText"/>
        <w:rPr>
          <w:b/>
        </w:rPr>
      </w:pPr>
      <w:r>
        <w:rPr>
          <w:rStyle w:val="EndnoteReference"/>
        </w:rPr>
        <w:endnoteRef/>
      </w:r>
      <w:r>
        <w:t xml:space="preserve"> </w:t>
      </w:r>
      <w:bookmarkStart w:id="64" w:name="Endnote1_CCN"/>
      <w:r>
        <w:rPr>
          <w:b/>
          <w:i/>
        </w:rPr>
        <w:t>CMS Certification Number (CCN)</w:t>
      </w:r>
      <w:bookmarkEnd w:id="64"/>
    </w:p>
    <w:p w14:paraId="42210783" w14:textId="0A42C6C0" w:rsidR="00322A3C" w:rsidRDefault="00322A3C">
      <w:pPr>
        <w:pStyle w:val="EndnoteText"/>
      </w:pPr>
      <w:r w:rsidRPr="00176A85">
        <w:t xml:space="preserve">A CMS Certification Number (CCN) is issued by the Centers for Medicare and Medicaid Services (CMS) to financial reporting entities, which may be individual hospitals or a group of hospitals, </w:t>
      </w:r>
      <w:r w:rsidRPr="00055F1E">
        <w:t xml:space="preserve">for </w:t>
      </w:r>
      <w:r w:rsidR="007364C8" w:rsidRPr="00055F1E">
        <w:t xml:space="preserve">the </w:t>
      </w:r>
      <w:r w:rsidRPr="00C64B8D">
        <w:t xml:space="preserve">purpose </w:t>
      </w:r>
      <w:r w:rsidRPr="00055F1E">
        <w:t xml:space="preserve">of reimbursement. While Leapfrog does ask each campus of a multi-hospital system to submit an individual Survey, hospitals within the system may be assigned the same CMS Certification Number and therefore should have the same CCN reported in this field. CCNs are six digits; with the first two digits representing the state in which the hospital is located. Hospitals that do not receive Medicare reimbursement may not have a CMS Certification Number and should not have a CCN reported in this field. Leapfrog pre-populates this field in the Online Hospital Survey Tool. If the hospital’s CCN is different from the one shown online, please contact the </w:t>
      </w:r>
      <w:hyperlink r:id="rId1" w:history="1">
        <w:r w:rsidRPr="00055F1E">
          <w:rPr>
            <w:rStyle w:val="Hyperlink"/>
          </w:rPr>
          <w:t>Help Desk</w:t>
        </w:r>
      </w:hyperlink>
      <w:r w:rsidRPr="00055F1E">
        <w:t>.</w:t>
      </w:r>
    </w:p>
    <w:p w14:paraId="082A017D" w14:textId="77777777" w:rsidR="00322A3C" w:rsidRPr="00216021" w:rsidRDefault="00322A3C">
      <w:pPr>
        <w:pStyle w:val="EndnoteText"/>
      </w:pPr>
    </w:p>
  </w:endnote>
  <w:endnote w:id="4">
    <w:p w14:paraId="4E87C42B" w14:textId="77777777" w:rsidR="00322A3C" w:rsidRPr="00D3362F" w:rsidRDefault="00322A3C">
      <w:pPr>
        <w:pStyle w:val="EndnoteText"/>
        <w:rPr>
          <w:b/>
          <w:i/>
        </w:rPr>
      </w:pPr>
      <w:r w:rsidRPr="00D3362F">
        <w:rPr>
          <w:rStyle w:val="EndnoteReference"/>
        </w:rPr>
        <w:endnoteRef/>
      </w:r>
      <w:r w:rsidRPr="00D3362F">
        <w:t xml:space="preserve"> </w:t>
      </w:r>
      <w:bookmarkStart w:id="65" w:name="Endnote2_NHSNID"/>
      <w:r w:rsidRPr="00D3362F">
        <w:rPr>
          <w:b/>
          <w:i/>
        </w:rPr>
        <w:t>National Health Safety Network (NHSN) ID</w:t>
      </w:r>
      <w:bookmarkEnd w:id="65"/>
    </w:p>
    <w:p w14:paraId="497D8275" w14:textId="58728290" w:rsidR="00322A3C" w:rsidRPr="00D3362F" w:rsidRDefault="00322A3C">
      <w:pPr>
        <w:pStyle w:val="EndnoteText"/>
      </w:pPr>
      <w:r w:rsidRPr="00D3362F">
        <w:t xml:space="preserve">A NHSN ID is issued by the Centers for Disease Control and Prevention and is used as a unique identifier for facilities participating in NHSN surveillance activities. Each hospital within a system, even if they share a CCN, </w:t>
      </w:r>
      <w:r w:rsidR="008B63C2" w:rsidRPr="00D3362F">
        <w:t>must</w:t>
      </w:r>
      <w:r w:rsidRPr="00D3362F">
        <w:t xml:space="preserve"> report separately to NHSN and should have their own NHSN ID if they are located separately. Please see the NHSN instructions available at</w:t>
      </w:r>
      <w:r w:rsidR="004447C7">
        <w:t xml:space="preserve"> </w:t>
      </w:r>
      <w:hyperlink r:id="rId2" w:history="1">
        <w:r w:rsidR="00F417A4" w:rsidRPr="00A2752F">
          <w:rPr>
            <w:rStyle w:val="Hyperlink"/>
          </w:rPr>
          <w:t>https://www.leapfroggroup.org/survey-materials/review-nhsn-instructions</w:t>
        </w:r>
      </w:hyperlink>
      <w:r w:rsidR="0043148D">
        <w:t>.</w:t>
      </w:r>
      <w:r w:rsidR="00F417A4">
        <w:t xml:space="preserve"> </w:t>
      </w:r>
      <w:r w:rsidRPr="00D3362F">
        <w:t xml:space="preserve">NHSN IDs are five digits. Leapfrog pre-populates this field in the Online Hospital Survey Tool for hospitals that provided a valid NHSN ID, joined our NHSN Group, and submitted </w:t>
      </w:r>
      <w:r w:rsidR="00FC0BA7" w:rsidRPr="00D3362F">
        <w:t>the 202</w:t>
      </w:r>
      <w:r w:rsidR="003061F3">
        <w:t>5</w:t>
      </w:r>
      <w:r w:rsidR="00FC0BA7" w:rsidRPr="00D3362F">
        <w:t xml:space="preserve"> Leapfrog Hospital Survey</w:t>
      </w:r>
      <w:r w:rsidRPr="00D3362F">
        <w:t>. If the hospital NHSN ID is different from the one shown online, please update accordingly.</w:t>
      </w:r>
    </w:p>
    <w:p w14:paraId="6F029E5D" w14:textId="77777777" w:rsidR="00322A3C" w:rsidRPr="00D3362F" w:rsidRDefault="00322A3C">
      <w:pPr>
        <w:pStyle w:val="EndnoteText"/>
        <w:rPr>
          <w:sz w:val="16"/>
          <w:szCs w:val="16"/>
        </w:rPr>
      </w:pPr>
    </w:p>
    <w:p w14:paraId="52824A26" w14:textId="16DBBB3C" w:rsidR="00322A3C" w:rsidRPr="00A05363" w:rsidRDefault="00322A3C">
      <w:pPr>
        <w:pStyle w:val="EndnoteText"/>
      </w:pPr>
      <w:r w:rsidRPr="00D3362F">
        <w:t xml:space="preserve">In order to be scored and publicly reported for any of the five applicable infection measures and to have the hospital’s teaching status represented, hospitals must: (1) provide an accurate NHSN ID in the Profile, (2) join Leapfrog’s NHSN Group by the appropriate </w:t>
      </w:r>
      <w:hyperlink r:id="rId3" w:history="1">
        <w:r w:rsidRPr="00D3362F">
          <w:rPr>
            <w:rStyle w:val="Hyperlink"/>
          </w:rPr>
          <w:t>deadline</w:t>
        </w:r>
      </w:hyperlink>
      <w:r w:rsidRPr="00D3362F">
        <w:t xml:space="preserve">, and (3) submit </w:t>
      </w:r>
      <w:r w:rsidR="0045656E" w:rsidRPr="00D3362F">
        <w:t>the 202</w:t>
      </w:r>
      <w:r w:rsidR="00206A52">
        <w:t>6</w:t>
      </w:r>
      <w:r w:rsidR="0045656E" w:rsidRPr="00D3362F">
        <w:t xml:space="preserve"> Leapfrog Hospital Survey</w:t>
      </w:r>
      <w:r w:rsidRPr="00D3362F">
        <w:t xml:space="preserve"> by the appropriate </w:t>
      </w:r>
      <w:hyperlink r:id="rId4" w:history="1">
        <w:r w:rsidRPr="00D3362F">
          <w:rPr>
            <w:rStyle w:val="Hyperlink"/>
          </w:rPr>
          <w:t>deadline</w:t>
        </w:r>
      </w:hyperlink>
      <w:r w:rsidRPr="00D3362F">
        <w:t>.</w:t>
      </w:r>
      <w:r w:rsidRPr="00A05363">
        <w:t xml:space="preserve"> </w:t>
      </w:r>
    </w:p>
    <w:p w14:paraId="6B637117" w14:textId="77777777" w:rsidR="00322A3C" w:rsidRPr="00216021" w:rsidRDefault="00322A3C">
      <w:pPr>
        <w:pStyle w:val="EndnoteText"/>
      </w:pPr>
    </w:p>
  </w:endnote>
  <w:endnote w:id="5">
    <w:p w14:paraId="13824571" w14:textId="56353C2D" w:rsidR="006601D7" w:rsidRPr="00D3362F" w:rsidRDefault="006601D7" w:rsidP="006601D7">
      <w:pPr>
        <w:pStyle w:val="EndnoteText"/>
      </w:pPr>
      <w:bookmarkStart w:id="66" w:name="Endnote3_VonID"/>
      <w:r w:rsidRPr="00D3362F">
        <w:rPr>
          <w:rStyle w:val="EndnoteReference"/>
        </w:rPr>
        <w:endnoteRef/>
      </w:r>
      <w:r w:rsidRPr="00D3362F">
        <w:t xml:space="preserve"> </w:t>
      </w:r>
      <w:r w:rsidRPr="00D3362F">
        <w:rPr>
          <w:b/>
          <w:bCs/>
          <w:i/>
          <w:iCs/>
        </w:rPr>
        <w:t>Vermont Oxford Network (VON) Transfer Code</w:t>
      </w:r>
    </w:p>
    <w:bookmarkEnd w:id="66"/>
    <w:p w14:paraId="350B8C87" w14:textId="4FBE2E39" w:rsidR="006601D7" w:rsidRPr="006601D7" w:rsidRDefault="006601D7" w:rsidP="006601D7">
      <w:pPr>
        <w:pStyle w:val="EndnoteText"/>
      </w:pPr>
      <w:r w:rsidRPr="00D3362F">
        <w:t xml:space="preserve">A Vermont Oxford Network (VON) Transfer Code is issued by the Vermont Oxford Network and is used as a unique identifier for hospitals reporting data through the VON Nightingale Internet Reporting System. Each hospital has their own VON Transfer Code, which can be found at </w:t>
      </w:r>
      <w:hyperlink r:id="rId5" w:history="1">
        <w:r w:rsidR="00DC3693" w:rsidRPr="00D3362F">
          <w:rPr>
            <w:rStyle w:val="Hyperlink"/>
          </w:rPr>
          <w:t>https://public.vtoxford.org/transfer-codes/</w:t>
        </w:r>
      </w:hyperlink>
      <w:r w:rsidRPr="00D3362F">
        <w:t xml:space="preserve">. VON Transfer Codes are four, five, or seven digits. Leapfrog pre-populates this field in the Online Hospital Survey Tool </w:t>
      </w:r>
      <w:r w:rsidR="0045656E" w:rsidRPr="00D3362F">
        <w:t xml:space="preserve">Profile </w:t>
      </w:r>
      <w:r w:rsidRPr="00D3362F">
        <w:t>for hospitals that provided a valid VON Transfer Code in 202</w:t>
      </w:r>
      <w:r w:rsidR="008212D1">
        <w:t>5</w:t>
      </w:r>
      <w:r w:rsidRPr="00D3362F">
        <w:t>. If the hospital</w:t>
      </w:r>
      <w:r w:rsidR="00677845" w:rsidRPr="00D3362F">
        <w:t>’s</w:t>
      </w:r>
      <w:r w:rsidRPr="00D3362F">
        <w:t xml:space="preserve"> VON Transfer Code is different from the one shown online, please update accordingly.</w:t>
      </w:r>
    </w:p>
    <w:p w14:paraId="07B7B55D" w14:textId="171AE186" w:rsidR="006601D7" w:rsidRPr="00216021" w:rsidRDefault="006601D7">
      <w:pPr>
        <w:pStyle w:val="EndnoteText"/>
      </w:pPr>
    </w:p>
  </w:endnote>
  <w:endnote w:id="6">
    <w:p w14:paraId="60F65EAA" w14:textId="77777777" w:rsidR="000B46D5" w:rsidRDefault="000B46D5">
      <w:pPr>
        <w:pStyle w:val="EndnoteText"/>
      </w:pPr>
      <w:r>
        <w:rPr>
          <w:rStyle w:val="EndnoteReference"/>
        </w:rPr>
        <w:endnoteRef/>
      </w:r>
      <w:r>
        <w:t xml:space="preserve"> </w:t>
      </w:r>
      <w:bookmarkStart w:id="67" w:name="Endnote3_TIN"/>
      <w:r w:rsidRPr="00B06977">
        <w:rPr>
          <w:b/>
          <w:i/>
        </w:rPr>
        <w:t>Federal Tax Identification Number (TIN)</w:t>
      </w:r>
      <w:bookmarkEnd w:id="67"/>
    </w:p>
    <w:p w14:paraId="669A7B65" w14:textId="48727BC0" w:rsidR="000B46D5" w:rsidRDefault="000B46D5">
      <w:pPr>
        <w:pStyle w:val="EndnoteText"/>
      </w:pPr>
      <w:r w:rsidRPr="00B06977">
        <w:t xml:space="preserve">Enter the TIN that your hospital uses for billing purposes. </w:t>
      </w:r>
      <w:r w:rsidRPr="00B06977">
        <w:rPr>
          <w:i/>
        </w:rPr>
        <w:t xml:space="preserve">The number is a nine-digit number </w:t>
      </w:r>
      <w:r>
        <w:rPr>
          <w:i/>
        </w:rPr>
        <w:t>(</w:t>
      </w:r>
      <w:r w:rsidRPr="00B06977">
        <w:rPr>
          <w:i/>
        </w:rPr>
        <w:t>e.g., 098765432</w:t>
      </w:r>
      <w:r>
        <w:rPr>
          <w:i/>
        </w:rPr>
        <w:t>)</w:t>
      </w:r>
      <w:r w:rsidRPr="00B06977">
        <w:rPr>
          <w:i/>
        </w:rPr>
        <w:t xml:space="preserve"> and must conform precisely to this format – be sure to enter any leading 0.</w:t>
      </w:r>
      <w:r w:rsidRPr="00B06977">
        <w:t xml:space="preserve"> If your hospital has more than one TIN, use the one that would most typically be use</w:t>
      </w:r>
      <w:r w:rsidRPr="00624434">
        <w:t>d for UB-04</w:t>
      </w:r>
      <w:r w:rsidRPr="00B06977">
        <w:t xml:space="preserve"> claims filed with commercial health insurance plans for inpatient hospital stays.</w:t>
      </w:r>
    </w:p>
    <w:p w14:paraId="4F7CB126" w14:textId="77777777" w:rsidR="000B46D5" w:rsidRDefault="000B46D5">
      <w:pPr>
        <w:pStyle w:val="EndnoteText"/>
        <w:rPr>
          <w:sz w:val="16"/>
          <w:szCs w:val="16"/>
        </w:rPr>
      </w:pPr>
    </w:p>
    <w:p w14:paraId="198C924A" w14:textId="77777777" w:rsidR="000E7C65" w:rsidRDefault="000E7C65">
      <w:pPr>
        <w:pStyle w:val="EndnoteText"/>
        <w:rPr>
          <w:sz w:val="16"/>
          <w:szCs w:val="16"/>
        </w:rPr>
      </w:pPr>
    </w:p>
    <w:p w14:paraId="32D884A8" w14:textId="77777777" w:rsidR="000E7C65" w:rsidRDefault="000E7C65">
      <w:pPr>
        <w:pStyle w:val="EndnoteText"/>
        <w:rPr>
          <w:sz w:val="16"/>
          <w:szCs w:val="16"/>
        </w:rPr>
      </w:pPr>
    </w:p>
    <w:p w14:paraId="5F93433F" w14:textId="77777777" w:rsidR="000E7C65" w:rsidRPr="00266450" w:rsidRDefault="000E7C65">
      <w:pPr>
        <w:pStyle w:val="EndnoteText"/>
        <w:rPr>
          <w:sz w:val="16"/>
          <w:szCs w:val="16"/>
        </w:rPr>
      </w:pPr>
    </w:p>
  </w:endnote>
  <w:endnote w:id="7">
    <w:p w14:paraId="7DA4E860" w14:textId="77777777" w:rsidR="000B46D5" w:rsidRDefault="000B46D5">
      <w:pPr>
        <w:pStyle w:val="EndnoteText"/>
      </w:pPr>
      <w:r>
        <w:rPr>
          <w:rStyle w:val="EndnoteReference"/>
        </w:rPr>
        <w:endnoteRef/>
      </w:r>
      <w:r>
        <w:t xml:space="preserve"> </w:t>
      </w:r>
      <w:bookmarkStart w:id="68" w:name="Endnote4_NPI"/>
      <w:r w:rsidRPr="00B06977">
        <w:rPr>
          <w:b/>
          <w:i/>
        </w:rPr>
        <w:t>National Provider Identifier (NPI)</w:t>
      </w:r>
      <w:bookmarkEnd w:id="68"/>
    </w:p>
    <w:p w14:paraId="02125478" w14:textId="3DC1A4A5" w:rsidR="000B46D5" w:rsidRDefault="000B46D5">
      <w:pPr>
        <w:pStyle w:val="EndnoteText"/>
      </w:pPr>
      <w:r w:rsidRPr="003D2150">
        <w:t>The NPI is a Health Insurance Portability and Accountability Act (HIPAA) Administrative Simplification Standard. The NPI is a unique identification number of covered health care providers. The NPI is a 10-position, intelligence-free numeric identifier (10-digit number). This means that the numbers do not carry other information about healthcare providers, such as the state in which they live or medical specialty. Leapfrog pre-populates this field in the Online Hospital Survey Tool. If the hospital’s NPI is different from the one shown online, please contact t</w:t>
      </w:r>
      <w:r w:rsidRPr="00055F1E">
        <w:t xml:space="preserve">he </w:t>
      </w:r>
      <w:hyperlink r:id="rId6" w:history="1">
        <w:r w:rsidRPr="00055F1E">
          <w:rPr>
            <w:rStyle w:val="Hyperlink"/>
          </w:rPr>
          <w:t>Help Desk</w:t>
        </w:r>
      </w:hyperlink>
      <w:r w:rsidRPr="00055F1E">
        <w:t>.</w:t>
      </w:r>
    </w:p>
    <w:p w14:paraId="787CDAB9" w14:textId="77777777" w:rsidR="00045157" w:rsidRPr="00045157" w:rsidRDefault="00045157">
      <w:pPr>
        <w:pStyle w:val="EndnoteText"/>
      </w:pPr>
    </w:p>
  </w:endnote>
  <w:endnote w:id="8">
    <w:p w14:paraId="143F2968" w14:textId="77777777" w:rsidR="00322A3C" w:rsidRDefault="00322A3C">
      <w:pPr>
        <w:pStyle w:val="EndnoteText"/>
      </w:pPr>
      <w:r>
        <w:rPr>
          <w:rStyle w:val="EndnoteReference"/>
        </w:rPr>
        <w:endnoteRef/>
      </w:r>
      <w:r>
        <w:t xml:space="preserve"> </w:t>
      </w:r>
      <w:bookmarkStart w:id="70" w:name="Endnote5_State"/>
      <w:r>
        <w:rPr>
          <w:b/>
          <w:i/>
        </w:rPr>
        <w:t>State</w:t>
      </w:r>
      <w:bookmarkEnd w:id="70"/>
      <w:r>
        <w:br/>
        <w:t>Your hospital is assig</w:t>
      </w:r>
      <w:r w:rsidRPr="00CB4421">
        <w:t xml:space="preserve">ned to a state based on the CMS Certification Number assigned (or identifier specially issued by the Leapfrog Help Desk) to your hospital. If your hospital is incorrectly assigned to a state, contact the </w:t>
      </w:r>
      <w:hyperlink r:id="rId7" w:history="1">
        <w:r w:rsidRPr="00CB4421">
          <w:rPr>
            <w:rStyle w:val="Hyperlink"/>
          </w:rPr>
          <w:t>Help Desk</w:t>
        </w:r>
      </w:hyperlink>
      <w:r w:rsidRPr="00CB4421">
        <w:t xml:space="preserve"> to</w:t>
      </w:r>
      <w:r>
        <w:t xml:space="preserve"> resolve the discrepancy.</w:t>
      </w:r>
    </w:p>
    <w:p w14:paraId="56243BE5" w14:textId="77777777" w:rsidR="00322A3C" w:rsidRPr="00216021" w:rsidRDefault="00322A3C">
      <w:pPr>
        <w:pStyle w:val="EndnoteText"/>
      </w:pPr>
    </w:p>
  </w:endnote>
  <w:endnote w:id="9">
    <w:p w14:paraId="3D170548" w14:textId="3B852952" w:rsidR="00181C3A" w:rsidRDefault="00322A3C" w:rsidP="00181C3A">
      <w:pPr>
        <w:pStyle w:val="EndnoteText"/>
        <w:rPr>
          <w:b/>
          <w:i/>
        </w:rPr>
      </w:pPr>
      <w:r>
        <w:rPr>
          <w:rStyle w:val="EndnoteReference"/>
        </w:rPr>
        <w:endnoteRef/>
      </w:r>
      <w:r>
        <w:t xml:space="preserve"> </w:t>
      </w:r>
      <w:bookmarkStart w:id="71" w:name="Endnote6_Web"/>
      <w:r w:rsidRPr="00B06977">
        <w:rPr>
          <w:b/>
          <w:i/>
        </w:rPr>
        <w:t xml:space="preserve">Tips for </w:t>
      </w:r>
      <w:r w:rsidR="00B44C1C">
        <w:rPr>
          <w:b/>
          <w:i/>
        </w:rPr>
        <w:t>E</w:t>
      </w:r>
      <w:r w:rsidRPr="00B06977">
        <w:rPr>
          <w:b/>
          <w:i/>
        </w:rPr>
        <w:t xml:space="preserve">ntering Web </w:t>
      </w:r>
      <w:r w:rsidR="00B44C1C">
        <w:rPr>
          <w:b/>
          <w:i/>
        </w:rPr>
        <w:t>A</w:t>
      </w:r>
      <w:r w:rsidRPr="00B06977">
        <w:rPr>
          <w:b/>
          <w:i/>
        </w:rPr>
        <w:t>ddresses</w:t>
      </w:r>
      <w:bookmarkEnd w:id="71"/>
    </w:p>
    <w:p w14:paraId="65235917" w14:textId="391D88D4" w:rsidR="00322A3C" w:rsidRPr="00EB25EE" w:rsidRDefault="00322A3C" w:rsidP="00181C3A">
      <w:pPr>
        <w:pStyle w:val="EndnoteText"/>
      </w:pPr>
      <w:r w:rsidRPr="00EB25EE">
        <w:t xml:space="preserve">This address becomes the link attached to your hospital’s name in </w:t>
      </w:r>
      <w:r w:rsidRPr="003D2150">
        <w:t>the</w:t>
      </w:r>
      <w:r>
        <w:t xml:space="preserve"> </w:t>
      </w:r>
      <w:r w:rsidRPr="00EB25EE">
        <w:t>public release of Survey Results. Enter it exactly as you wish it to be and test it.</w:t>
      </w:r>
    </w:p>
    <w:p w14:paraId="181DB43B" w14:textId="77777777" w:rsidR="00322A3C" w:rsidRPr="00EB25EE" w:rsidRDefault="00322A3C" w:rsidP="00AD309C">
      <w:pPr>
        <w:pStyle w:val="EndnoteText"/>
        <w:numPr>
          <w:ilvl w:val="0"/>
          <w:numId w:val="46"/>
        </w:numPr>
      </w:pPr>
      <w:r w:rsidRPr="00EB25EE">
        <w:t>Do not exit out of the Online Hospital Survey Tool to go to the Web page of interest while you are entering data into the Survey or some of your Survey entries may be lost.</w:t>
      </w:r>
    </w:p>
    <w:p w14:paraId="4697EBFD" w14:textId="77777777" w:rsidR="00322A3C" w:rsidRPr="00EB25EE" w:rsidRDefault="00322A3C" w:rsidP="00AD309C">
      <w:pPr>
        <w:pStyle w:val="EndnoteText"/>
        <w:numPr>
          <w:ilvl w:val="0"/>
          <w:numId w:val="46"/>
        </w:numPr>
      </w:pPr>
      <w:r w:rsidRPr="00EB25EE">
        <w:t xml:space="preserve">Instead, minimize (but don’t close) the Survey window and any other windows that are open, then open your internet browser in a separate window. Find the Web page whose address you wish to enter and Copy/Paste the entire address into the Survey entry. </w:t>
      </w:r>
      <w:r w:rsidRPr="00EB25EE">
        <w:rPr>
          <w:b/>
        </w:rPr>
        <w:t>The http:// prefix needs to be included.</w:t>
      </w:r>
    </w:p>
    <w:p w14:paraId="4D45175C" w14:textId="77777777" w:rsidR="00322A3C" w:rsidRPr="00EB25EE" w:rsidRDefault="00322A3C" w:rsidP="00AD309C">
      <w:pPr>
        <w:pStyle w:val="EndnoteText"/>
        <w:numPr>
          <w:ilvl w:val="0"/>
          <w:numId w:val="46"/>
        </w:numPr>
      </w:pPr>
      <w:r w:rsidRPr="00EB25EE">
        <w:t xml:space="preserve">If entering the Web page address manually, be careful to type it correctly, without embedded spaces. Forward (/) or backward (\) slashes may be used. Don’t forget the “www.” if that is part of the address. </w:t>
      </w:r>
      <w:r w:rsidRPr="00EB25EE">
        <w:rPr>
          <w:b/>
        </w:rPr>
        <w:t>The http:// prefix needs to be included.</w:t>
      </w:r>
    </w:p>
    <w:p w14:paraId="6E9E0514" w14:textId="77777777" w:rsidR="00322A3C" w:rsidRPr="00EB25EE" w:rsidRDefault="00322A3C" w:rsidP="00AD309C">
      <w:pPr>
        <w:pStyle w:val="EndnoteText"/>
        <w:numPr>
          <w:ilvl w:val="0"/>
          <w:numId w:val="46"/>
        </w:numPr>
      </w:pPr>
      <w:r w:rsidRPr="00EB25EE">
        <w:t>Make sure to use .org, rather than .com, if that’s the domain for your hospital’s website.</w:t>
      </w:r>
    </w:p>
    <w:p w14:paraId="3F35B63E" w14:textId="77777777" w:rsidR="00322A3C" w:rsidRDefault="00322A3C" w:rsidP="00AD309C">
      <w:pPr>
        <w:pStyle w:val="EndnoteText"/>
        <w:numPr>
          <w:ilvl w:val="0"/>
          <w:numId w:val="46"/>
        </w:numPr>
      </w:pPr>
      <w:r w:rsidRPr="004539AC">
        <w:t>Although many hospitals elect to enter the address for the home page of their hospital website,</w:t>
      </w:r>
      <w:r>
        <w:t xml:space="preserve"> consider pointing it to a page specific to patient safety, the Leapfrog safety practices, or other quality improvement activities that you want to communicate to your community.</w:t>
      </w:r>
    </w:p>
    <w:p w14:paraId="0A9D4A9C" w14:textId="77777777" w:rsidR="00322A3C" w:rsidRPr="00216021" w:rsidRDefault="00322A3C" w:rsidP="000469EC">
      <w:pPr>
        <w:pStyle w:val="EndnoteText"/>
      </w:pPr>
    </w:p>
  </w:endnote>
  <w:endnote w:id="10">
    <w:p w14:paraId="4F43ED3B" w14:textId="7C8D4998" w:rsidR="004D7A60" w:rsidRPr="00602570" w:rsidRDefault="004D7A60">
      <w:pPr>
        <w:pStyle w:val="EndnoteText"/>
        <w:rPr>
          <w:b/>
          <w:i/>
        </w:rPr>
      </w:pPr>
      <w:r w:rsidRPr="00602570">
        <w:rPr>
          <w:rStyle w:val="EndnoteReference"/>
        </w:rPr>
        <w:endnoteRef/>
      </w:r>
      <w:r w:rsidRPr="00602570">
        <w:t xml:space="preserve"> </w:t>
      </w:r>
      <w:bookmarkStart w:id="74" w:name="Endnote7_System"/>
      <w:r w:rsidRPr="00602570">
        <w:rPr>
          <w:b/>
          <w:i/>
        </w:rPr>
        <w:t>Healthcare System</w:t>
      </w:r>
      <w:r w:rsidR="00540123" w:rsidRPr="00602570">
        <w:rPr>
          <w:b/>
          <w:i/>
        </w:rPr>
        <w:t xml:space="preserve"> or Integrated Delivery Network </w:t>
      </w:r>
    </w:p>
    <w:bookmarkEnd w:id="74"/>
    <w:p w14:paraId="7BF0D0DD" w14:textId="55A5C8E7" w:rsidR="004D7A60" w:rsidRPr="00D07D4B" w:rsidRDefault="00A07501">
      <w:pPr>
        <w:pStyle w:val="EndnoteText"/>
      </w:pPr>
      <w:r w:rsidRPr="00602570">
        <w:t xml:space="preserve">Healthcare Systems or </w:t>
      </w:r>
      <w:r w:rsidR="00D02547" w:rsidRPr="00602570">
        <w:t xml:space="preserve">Integrated Delivery Networks (IDN) are central organizations </w:t>
      </w:r>
      <w:r w:rsidR="00F40D98" w:rsidRPr="00602570">
        <w:t xml:space="preserve">that </w:t>
      </w:r>
      <w:r w:rsidR="004D7A60" w:rsidRPr="00602570">
        <w:t>own, lease, or sponsor two or more hospitals</w:t>
      </w:r>
      <w:r w:rsidR="00736DA2" w:rsidRPr="00602570">
        <w:t xml:space="preserve"> with the goal of providing coordinated patient care. </w:t>
      </w:r>
      <w:r w:rsidR="00736DA2" w:rsidRPr="00602570">
        <w:rPr>
          <w:rFonts w:cs="Arial"/>
        </w:rPr>
        <w:t>Pediatric, specialty, and rehabilitation hospitals are included as hospitals in this definition. IDNs may belong to a larger parent system</w:t>
      </w:r>
      <w:r w:rsidR="00736DA2" w:rsidRPr="00602570">
        <w:t>.</w:t>
      </w:r>
      <w:r w:rsidR="00540123" w:rsidRPr="00602570">
        <w:t xml:space="preserve"> Leapfrog pre-populates this field in the Online Hospital Survey Tool </w:t>
      </w:r>
      <w:r w:rsidR="00E861E0" w:rsidRPr="00602570">
        <w:rPr>
          <w:rFonts w:cs="Arial"/>
        </w:rPr>
        <w:t>and only uses the field internally (e.g., it will not be shared publicly).</w:t>
      </w:r>
      <w:r w:rsidR="0070724C" w:rsidRPr="00602570">
        <w:rPr>
          <w:rFonts w:cs="Arial"/>
        </w:rPr>
        <w:t xml:space="preserve"> </w:t>
      </w:r>
      <w:r w:rsidR="00540123" w:rsidRPr="00602570">
        <w:t>If the</w:t>
      </w:r>
      <w:r w:rsidR="003C08D3" w:rsidRPr="00602570">
        <w:t xml:space="preserve"> IDN displayed </w:t>
      </w:r>
      <w:r w:rsidR="002C2DB9" w:rsidRPr="00602570">
        <w:t>in the Online Survey Tool is incorrect</w:t>
      </w:r>
      <w:r w:rsidR="00540123" w:rsidRPr="00602570">
        <w:t xml:space="preserve">, please </w:t>
      </w:r>
      <w:r w:rsidR="00540123" w:rsidRPr="00D07D4B">
        <w:t xml:space="preserve">contact the </w:t>
      </w:r>
      <w:hyperlink r:id="rId8" w:history="1">
        <w:r w:rsidR="00540123" w:rsidRPr="00D07D4B">
          <w:rPr>
            <w:rStyle w:val="Hyperlink"/>
          </w:rPr>
          <w:t>Help Desk</w:t>
        </w:r>
      </w:hyperlink>
      <w:r w:rsidR="00540123" w:rsidRPr="00D07D4B">
        <w:t>.</w:t>
      </w:r>
    </w:p>
    <w:p w14:paraId="6089A5B8" w14:textId="77777777" w:rsidR="004D7A60" w:rsidRPr="00216021" w:rsidRDefault="004D7A60">
      <w:pPr>
        <w:pStyle w:val="EndnoteText"/>
      </w:pPr>
    </w:p>
  </w:endnote>
  <w:endnote w:id="11">
    <w:p w14:paraId="6901A062" w14:textId="77777777" w:rsidR="008D6E32" w:rsidRPr="00D07D4B" w:rsidRDefault="008D6E32" w:rsidP="008D6E32">
      <w:pPr>
        <w:pStyle w:val="EndnoteText"/>
      </w:pPr>
      <w:r w:rsidRPr="00D07D4B">
        <w:rPr>
          <w:rStyle w:val="EndnoteReference"/>
        </w:rPr>
        <w:endnoteRef/>
      </w:r>
      <w:r w:rsidRPr="00D07D4B">
        <w:t xml:space="preserve"> </w:t>
      </w:r>
      <w:bookmarkStart w:id="85" w:name="LicensedAcuteCareBeds"/>
      <w:r w:rsidRPr="00D07D4B">
        <w:rPr>
          <w:b/>
          <w:i/>
        </w:rPr>
        <w:t>Licensed Acute-Care Beds</w:t>
      </w:r>
    </w:p>
    <w:bookmarkEnd w:id="85"/>
    <w:p w14:paraId="28847EA9" w14:textId="6A005A86" w:rsidR="00D70EBF" w:rsidRPr="00D07D4B" w:rsidRDefault="008D6E32" w:rsidP="008D6E32">
      <w:r w:rsidRPr="00D07D4B">
        <w:t>If your state does not license bed types</w:t>
      </w:r>
      <w:r w:rsidR="006402EE" w:rsidRPr="00D07D4B">
        <w:t xml:space="preserve"> or if </w:t>
      </w:r>
      <w:r w:rsidR="004565B8" w:rsidRPr="00D07D4B">
        <w:t xml:space="preserve">acute-care </w:t>
      </w:r>
      <w:r w:rsidR="006402EE" w:rsidRPr="00D07D4B">
        <w:t>beds are currently staffed higher than</w:t>
      </w:r>
      <w:r w:rsidR="004565B8" w:rsidRPr="00D07D4B">
        <w:t xml:space="preserve"> the number of</w:t>
      </w:r>
      <w:r w:rsidR="006402EE" w:rsidRPr="00D07D4B">
        <w:t xml:space="preserve"> licensed</w:t>
      </w:r>
      <w:r w:rsidR="004565B8" w:rsidRPr="00D07D4B">
        <w:t xml:space="preserve"> beds</w:t>
      </w:r>
      <w:r w:rsidRPr="00D07D4B">
        <w:t xml:space="preserve">, enter the number of staffed beds from question #3. </w:t>
      </w:r>
      <w:r w:rsidR="009C02FB" w:rsidRPr="00D07D4B">
        <w:t>If the number of licensed beds has changed in the last year, indicate the average or other number most representative of your operating bed capacity over the last year.</w:t>
      </w:r>
    </w:p>
    <w:p w14:paraId="41090C03" w14:textId="77777777" w:rsidR="00D70EBF" w:rsidRPr="00D07D4B" w:rsidRDefault="00D70EBF" w:rsidP="008D6E32"/>
    <w:p w14:paraId="6D376DFF" w14:textId="5D10193F" w:rsidR="009C02FB" w:rsidRPr="00737BA1" w:rsidRDefault="008D6E32" w:rsidP="008D6E32">
      <w:r w:rsidRPr="00D07D4B">
        <w:t>Include short-term, acute-care medical</w:t>
      </w:r>
      <w:r w:rsidR="00B228CE" w:rsidRPr="00D07D4B">
        <w:t>, surgical, medical/</w:t>
      </w:r>
      <w:r w:rsidR="00FE6BC6" w:rsidRPr="00D07D4B">
        <w:t>surgical</w:t>
      </w:r>
      <w:r w:rsidR="00D70EBF" w:rsidRPr="00D07D4B">
        <w:t xml:space="preserve"> (including </w:t>
      </w:r>
      <w:r w:rsidR="009C02FB" w:rsidRPr="00D07D4B">
        <w:t>telemetry</w:t>
      </w:r>
      <w:r w:rsidR="00315D55" w:rsidRPr="00D07D4B">
        <w:t>)</w:t>
      </w:r>
      <w:r w:rsidR="00FE6BC6" w:rsidRPr="00D07D4B">
        <w:t>,</w:t>
      </w:r>
      <w:r w:rsidRPr="00D07D4B">
        <w:t xml:space="preserve"> obstetrical</w:t>
      </w:r>
      <w:r w:rsidRPr="00737BA1">
        <w:t xml:space="preserve">, and </w:t>
      </w:r>
      <w:r w:rsidR="00FE6BC6" w:rsidRPr="00737BA1">
        <w:t xml:space="preserve">intensive care </w:t>
      </w:r>
      <w:r w:rsidRPr="00737BA1">
        <w:t>beds,</w:t>
      </w:r>
      <w:r w:rsidR="00F76EF7" w:rsidRPr="00737BA1">
        <w:t xml:space="preserve"> as well </w:t>
      </w:r>
      <w:r w:rsidR="009C02FB" w:rsidRPr="00737BA1">
        <w:t xml:space="preserve">as </w:t>
      </w:r>
      <w:r w:rsidR="00F76EF7" w:rsidRPr="00737BA1">
        <w:t>step-down/progressive care beds</w:t>
      </w:r>
      <w:r w:rsidRPr="00737BA1">
        <w:t xml:space="preserve"> as licensed by your state. </w:t>
      </w:r>
    </w:p>
    <w:p w14:paraId="10CA167B" w14:textId="77777777" w:rsidR="009C02FB" w:rsidRPr="00737BA1" w:rsidRDefault="009C02FB" w:rsidP="008D6E32"/>
    <w:p w14:paraId="7E72B188" w14:textId="5343A0CC" w:rsidR="008D6E32" w:rsidRDefault="008D6E32" w:rsidP="008D6E32">
      <w:r w:rsidRPr="00737BA1">
        <w:t xml:space="preserve">Exclude beds licensed or used for </w:t>
      </w:r>
      <w:r w:rsidR="00F76EF7" w:rsidRPr="00737BA1">
        <w:t xml:space="preserve">short and long-term </w:t>
      </w:r>
      <w:r w:rsidRPr="00737BA1">
        <w:t xml:space="preserve">psychiatric care, rehabilitation, </w:t>
      </w:r>
      <w:r w:rsidR="00F76EF7" w:rsidRPr="00737BA1">
        <w:t xml:space="preserve">observation, </w:t>
      </w:r>
      <w:r w:rsidRPr="00737BA1">
        <w:t>or sub-acute care (e.g., skilled nursing facility, hospice extended care, sub-acute eating disorder treatment, extended care facility, or residential substance abuse treatment)</w:t>
      </w:r>
      <w:r w:rsidR="005A1824" w:rsidRPr="00737BA1">
        <w:t xml:space="preserve"> and swing </w:t>
      </w:r>
      <w:r w:rsidR="005A1824" w:rsidRPr="009423B8">
        <w:t>beds</w:t>
      </w:r>
      <w:r w:rsidRPr="009423B8">
        <w:t>.</w:t>
      </w:r>
      <w:r w:rsidRPr="000679D9">
        <w:t xml:space="preserve"> </w:t>
      </w:r>
    </w:p>
    <w:p w14:paraId="111197C2" w14:textId="77777777" w:rsidR="008D6E32" w:rsidRDefault="008D6E32" w:rsidP="008D6E32">
      <w:pPr>
        <w:pStyle w:val="EndnoteText"/>
        <w:rPr>
          <w:sz w:val="16"/>
          <w:szCs w:val="16"/>
        </w:rPr>
      </w:pPr>
    </w:p>
    <w:p w14:paraId="00D5B3F0" w14:textId="77777777" w:rsidR="000E7C65" w:rsidRDefault="000E7C65" w:rsidP="008D6E32">
      <w:pPr>
        <w:pStyle w:val="EndnoteText"/>
        <w:rPr>
          <w:sz w:val="16"/>
          <w:szCs w:val="16"/>
        </w:rPr>
      </w:pPr>
    </w:p>
    <w:p w14:paraId="2D5CEB50" w14:textId="77777777" w:rsidR="000E7C65" w:rsidRPr="00E67EDC" w:rsidRDefault="000E7C65" w:rsidP="008D6E32">
      <w:pPr>
        <w:pStyle w:val="EndnoteText"/>
        <w:rPr>
          <w:sz w:val="16"/>
          <w:szCs w:val="16"/>
        </w:rPr>
      </w:pPr>
    </w:p>
  </w:endnote>
  <w:endnote w:id="12">
    <w:p w14:paraId="1B263FFD" w14:textId="77777777" w:rsidR="008D6E32" w:rsidRDefault="008D6E32" w:rsidP="008D6E32">
      <w:pPr>
        <w:rPr>
          <w:b/>
          <w:i/>
        </w:rPr>
      </w:pPr>
      <w:r>
        <w:rPr>
          <w:rStyle w:val="EndnoteReference"/>
        </w:rPr>
        <w:endnoteRef/>
      </w:r>
      <w:r>
        <w:t xml:space="preserve"> </w:t>
      </w:r>
      <w:bookmarkStart w:id="86" w:name="Endnote9_Sbeds"/>
      <w:r>
        <w:rPr>
          <w:b/>
          <w:i/>
        </w:rPr>
        <w:t xml:space="preserve">Staffed </w:t>
      </w:r>
      <w:r w:rsidRPr="00986B1E">
        <w:rPr>
          <w:b/>
          <w:i/>
        </w:rPr>
        <w:t>Acute-Care Beds</w:t>
      </w:r>
      <w:bookmarkEnd w:id="86"/>
    </w:p>
    <w:p w14:paraId="25717C6B" w14:textId="77777777" w:rsidR="008D6E32" w:rsidRDefault="008D6E32" w:rsidP="008D6E32">
      <w:r>
        <w:t>Include licensed beds regularly in operation, whether currently occupied by a patient or not. If the number has changed over the last year, indicate the average or other number most representative of your operating bed capacity over the last year.</w:t>
      </w:r>
    </w:p>
    <w:p w14:paraId="0DBECE7F" w14:textId="77777777" w:rsidR="008D6E32" w:rsidRPr="00216021" w:rsidRDefault="008D6E32" w:rsidP="008D6E32"/>
  </w:endnote>
  <w:endnote w:id="13">
    <w:p w14:paraId="6C048566" w14:textId="143BF709" w:rsidR="008D6E32" w:rsidRPr="0079361E" w:rsidRDefault="008D6E32" w:rsidP="008D6E32">
      <w:r w:rsidRPr="0079361E">
        <w:rPr>
          <w:rStyle w:val="EndnoteReference"/>
        </w:rPr>
        <w:endnoteRef/>
      </w:r>
      <w:r w:rsidRPr="0079361E">
        <w:t xml:space="preserve"> </w:t>
      </w:r>
      <w:bookmarkStart w:id="87" w:name="Endnote10_AdultAdmits"/>
      <w:r w:rsidRPr="0079361E">
        <w:rPr>
          <w:b/>
          <w:i/>
        </w:rPr>
        <w:t>Total Adult Acute-Care</w:t>
      </w:r>
      <w:r w:rsidR="0008347F" w:rsidRPr="0079361E">
        <w:rPr>
          <w:b/>
          <w:i/>
        </w:rPr>
        <w:t xml:space="preserve"> </w:t>
      </w:r>
      <w:r w:rsidRPr="0079361E">
        <w:rPr>
          <w:b/>
          <w:i/>
        </w:rPr>
        <w:t>Admissions</w:t>
      </w:r>
    </w:p>
    <w:bookmarkEnd w:id="87"/>
    <w:p w14:paraId="4988413A" w14:textId="62B907C0" w:rsidR="008D6E32" w:rsidRPr="0079361E" w:rsidRDefault="008D6E32" w:rsidP="008D6E32">
      <w:r w:rsidRPr="0079361E">
        <w:t>Include adult (aged 18 years and older) acute-care medical</w:t>
      </w:r>
      <w:r w:rsidR="008F318A" w:rsidRPr="0079361E">
        <w:t>, surgical</w:t>
      </w:r>
      <w:r w:rsidR="00E307F9" w:rsidRPr="0079361E">
        <w:t>,</w:t>
      </w:r>
      <w:r w:rsidR="002D28A1" w:rsidRPr="0079361E">
        <w:t xml:space="preserve"> and</w:t>
      </w:r>
      <w:r w:rsidR="00E307F9" w:rsidRPr="0079361E">
        <w:t xml:space="preserve"> medical</w:t>
      </w:r>
      <w:r w:rsidR="002D28A1" w:rsidRPr="0079361E">
        <w:t>/</w:t>
      </w:r>
      <w:r w:rsidRPr="0079361E">
        <w:t>surgical</w:t>
      </w:r>
      <w:r w:rsidR="002D28A1" w:rsidRPr="0079361E">
        <w:t xml:space="preserve"> (including telemetry)</w:t>
      </w:r>
      <w:r w:rsidRPr="0079361E">
        <w:t xml:space="preserve">, obstetrical, and </w:t>
      </w:r>
      <w:r w:rsidR="005A1824" w:rsidRPr="0079361E">
        <w:t xml:space="preserve">intensive care </w:t>
      </w:r>
      <w:r w:rsidRPr="0079361E">
        <w:t>admissions. Include transfers from other hospitals. Include admissions directly to an ICU, even if counted in question #</w:t>
      </w:r>
      <w:r w:rsidR="009D77B8" w:rsidRPr="0079361E">
        <w:t>9</w:t>
      </w:r>
      <w:r w:rsidRPr="0079361E">
        <w:t xml:space="preserve">. Include admissions to step-down/progressive units. </w:t>
      </w:r>
      <w:r w:rsidRPr="0079361E">
        <w:br/>
      </w:r>
      <w:r w:rsidRPr="0079361E">
        <w:br/>
        <w:t xml:space="preserve">Exclude </w:t>
      </w:r>
      <w:r w:rsidR="00271A80" w:rsidRPr="0079361E">
        <w:t xml:space="preserve">short and long-term psychiatric care, </w:t>
      </w:r>
      <w:r w:rsidRPr="0079361E">
        <w:t>rehabilitation, observation, or sub-acute care (e.g., skilled nursing facility, hospice extended care, sub-acute eating disorder treatment, extended care facility, or residential substance abuse treatment) admissions</w:t>
      </w:r>
      <w:r w:rsidR="00CC2CF2" w:rsidRPr="0079361E">
        <w:t xml:space="preserve"> and admissions to swing units. </w:t>
      </w:r>
    </w:p>
    <w:p w14:paraId="5B82E94E" w14:textId="77777777" w:rsidR="00045157" w:rsidRPr="00216021" w:rsidRDefault="00045157" w:rsidP="008D6E32">
      <w:pPr>
        <w:pStyle w:val="EndnoteText"/>
      </w:pPr>
    </w:p>
  </w:endnote>
  <w:endnote w:id="14">
    <w:p w14:paraId="4AD98A7C" w14:textId="5FFED342" w:rsidR="008D6E32" w:rsidRPr="0079361E" w:rsidRDefault="008D6E32" w:rsidP="008D6E32">
      <w:pPr>
        <w:pStyle w:val="EndnoteText"/>
        <w:rPr>
          <w:b/>
          <w:i/>
        </w:rPr>
      </w:pPr>
      <w:r w:rsidRPr="0079361E">
        <w:rPr>
          <w:rStyle w:val="EndnoteReference"/>
        </w:rPr>
        <w:endnoteRef/>
      </w:r>
      <w:r w:rsidRPr="0079361E">
        <w:t xml:space="preserve"> </w:t>
      </w:r>
      <w:bookmarkStart w:id="89" w:name="Endnote11_PedAdmits"/>
      <w:r w:rsidRPr="0079361E">
        <w:rPr>
          <w:b/>
          <w:i/>
        </w:rPr>
        <w:t>Total Pediatric Acute-Care Admissions</w:t>
      </w:r>
      <w:bookmarkEnd w:id="89"/>
    </w:p>
    <w:p w14:paraId="16A2A3A0" w14:textId="46279814" w:rsidR="008D6E32" w:rsidRPr="00833C54" w:rsidRDefault="008D6E32" w:rsidP="008D6E32">
      <w:r w:rsidRPr="0079361E">
        <w:t>Include pediatric (ages 17 years and younger) acute</w:t>
      </w:r>
      <w:r w:rsidRPr="005A6CDC">
        <w:t xml:space="preserve">-care medical, surgical, </w:t>
      </w:r>
      <w:r w:rsidR="00362E72" w:rsidRPr="005A6CDC">
        <w:t>medical/surgical</w:t>
      </w:r>
      <w:r w:rsidR="00C440F0" w:rsidRPr="005A6CDC">
        <w:t xml:space="preserve"> (including telemetry)</w:t>
      </w:r>
      <w:r w:rsidR="00362E72" w:rsidRPr="005A6CDC">
        <w:t xml:space="preserve">, </w:t>
      </w:r>
      <w:r w:rsidRPr="005A6CDC">
        <w:t xml:space="preserve">and </w:t>
      </w:r>
      <w:r w:rsidR="009C119A" w:rsidRPr="005A6CDC">
        <w:t xml:space="preserve">intensive care </w:t>
      </w:r>
      <w:r w:rsidRPr="005A6CDC">
        <w:t>admissions. Include transfers from other hospitals. Include admissions directly to an ICU or</w:t>
      </w:r>
      <w:r w:rsidR="00895888" w:rsidRPr="00895888">
        <w:t xml:space="preserve"> </w:t>
      </w:r>
      <w:r w:rsidR="00895888">
        <w:t>Level II/III, Level III, or Level IV</w:t>
      </w:r>
      <w:r w:rsidRPr="005A6CDC">
        <w:t xml:space="preserve"> neonatal ICU (NICU), even if counted in question #</w:t>
      </w:r>
      <w:r w:rsidR="00657944" w:rsidRPr="005A6CDC">
        <w:t>1</w:t>
      </w:r>
      <w:r w:rsidR="00895888">
        <w:t>2</w:t>
      </w:r>
      <w:r w:rsidRPr="005A6CDC">
        <w:t xml:space="preserve"> or #1</w:t>
      </w:r>
      <w:r w:rsidR="00895888">
        <w:t>5</w:t>
      </w:r>
      <w:r w:rsidRPr="005A6CDC">
        <w:t xml:space="preserve">. Include admissions to step-down/progressive units. </w:t>
      </w:r>
      <w:r w:rsidRPr="005A6CDC">
        <w:br/>
      </w:r>
      <w:r w:rsidRPr="005A6CDC">
        <w:br/>
        <w:t xml:space="preserve">Exclude newborn admissions to the nursery and pediatric patients admitted for maternity care, </w:t>
      </w:r>
      <w:r w:rsidR="004C2B81" w:rsidRPr="005A6CDC">
        <w:t xml:space="preserve">short and long-term psychiatric care, </w:t>
      </w:r>
      <w:r w:rsidRPr="005A6CDC">
        <w:t>rehabilitation, observation, or sub-acute care (e.g., skilled nursing facility, hospice extended care, sub-acute eating disorder treatment, extended care facility, or residential substance abuse treatment)</w:t>
      </w:r>
      <w:r w:rsidR="00743ACD" w:rsidRPr="005A6CDC">
        <w:t xml:space="preserve"> and admissions to swing units</w:t>
      </w:r>
      <w:r w:rsidRPr="005A6CDC">
        <w:t>. Exclude admissions for patients that were transferred to another facility.</w:t>
      </w:r>
      <w:r>
        <w:t xml:space="preserve"> </w:t>
      </w:r>
    </w:p>
    <w:p w14:paraId="786BDCCE" w14:textId="77777777" w:rsidR="008D6E32" w:rsidRPr="00216021" w:rsidRDefault="008D6E32" w:rsidP="008D6E32">
      <w:pPr>
        <w:pStyle w:val="EndnoteText"/>
      </w:pPr>
    </w:p>
  </w:endnote>
  <w:endnote w:id="15">
    <w:p w14:paraId="2FED8FA6" w14:textId="2770E3CF" w:rsidR="00354B0E" w:rsidRPr="004F1B6E" w:rsidRDefault="003B5C29" w:rsidP="00354B0E">
      <w:pPr>
        <w:pStyle w:val="EndnoteText"/>
        <w:rPr>
          <w:b/>
          <w:bCs/>
          <w:i/>
          <w:iCs/>
        </w:rPr>
      </w:pPr>
      <w:r w:rsidRPr="004F1B6E">
        <w:rPr>
          <w:rStyle w:val="EndnoteReference"/>
        </w:rPr>
        <w:endnoteRef/>
      </w:r>
      <w:r w:rsidRPr="004F1B6E">
        <w:t xml:space="preserve"> </w:t>
      </w:r>
      <w:bookmarkStart w:id="90" w:name="generalmedicalsurgicalandneuroicu"/>
      <w:bookmarkEnd w:id="90"/>
      <w:r w:rsidR="00354B0E" w:rsidRPr="004F1B6E">
        <w:rPr>
          <w:b/>
          <w:bCs/>
          <w:i/>
          <w:iCs/>
        </w:rPr>
        <w:t>General Medical</w:t>
      </w:r>
      <w:r w:rsidR="00507DD3" w:rsidRPr="004F1B6E">
        <w:rPr>
          <w:b/>
          <w:bCs/>
          <w:i/>
          <w:iCs/>
        </w:rPr>
        <w:t>,</w:t>
      </w:r>
      <w:r w:rsidR="00C9029E" w:rsidRPr="004F1B6E">
        <w:rPr>
          <w:b/>
          <w:bCs/>
          <w:i/>
          <w:iCs/>
        </w:rPr>
        <w:t xml:space="preserve"> </w:t>
      </w:r>
      <w:r w:rsidR="00507DD3" w:rsidRPr="004F1B6E">
        <w:rPr>
          <w:b/>
          <w:bCs/>
          <w:i/>
          <w:iCs/>
        </w:rPr>
        <w:t>Surgical</w:t>
      </w:r>
      <w:r w:rsidR="0029532E" w:rsidRPr="004F1B6E">
        <w:rPr>
          <w:b/>
          <w:bCs/>
          <w:i/>
          <w:iCs/>
        </w:rPr>
        <w:t>, Medical/</w:t>
      </w:r>
      <w:r w:rsidR="00354B0E" w:rsidRPr="004F1B6E">
        <w:rPr>
          <w:b/>
          <w:bCs/>
          <w:i/>
          <w:iCs/>
        </w:rPr>
        <w:t>Surgical</w:t>
      </w:r>
      <w:r w:rsidR="00291ED5" w:rsidRPr="004F1B6E">
        <w:rPr>
          <w:b/>
          <w:bCs/>
          <w:i/>
          <w:iCs/>
        </w:rPr>
        <w:t>,</w:t>
      </w:r>
      <w:r w:rsidR="00354B0E" w:rsidRPr="004F1B6E">
        <w:rPr>
          <w:b/>
          <w:bCs/>
          <w:i/>
          <w:iCs/>
        </w:rPr>
        <w:t xml:space="preserve"> and Neuro ICUs</w:t>
      </w:r>
    </w:p>
    <w:p w14:paraId="47AC9491" w14:textId="41B03F28" w:rsidR="00354B0E" w:rsidRPr="004F1B6E" w:rsidRDefault="00354B0E" w:rsidP="00354B0E">
      <w:pPr>
        <w:pStyle w:val="EndnoteText"/>
      </w:pPr>
      <w:r w:rsidRPr="004F1B6E">
        <w:t>Include general medical</w:t>
      </w:r>
      <w:r w:rsidR="001E615D" w:rsidRPr="004F1B6E">
        <w:t>, surgical,</w:t>
      </w:r>
      <w:r w:rsidR="00130E1C" w:rsidRPr="004F1B6E">
        <w:t xml:space="preserve"> </w:t>
      </w:r>
      <w:r w:rsidR="001E615D" w:rsidRPr="004F1B6E">
        <w:t>medical/</w:t>
      </w:r>
      <w:r w:rsidRPr="004F1B6E">
        <w:t>surgical</w:t>
      </w:r>
      <w:r w:rsidR="0003051F" w:rsidRPr="004F1B6E">
        <w:t xml:space="preserve">, </w:t>
      </w:r>
      <w:r w:rsidRPr="004F1B6E">
        <w:t xml:space="preserve">and neuro ICUs (medical and surgical). Exclude </w:t>
      </w:r>
      <w:r w:rsidR="00130E1C" w:rsidRPr="004F1B6E">
        <w:t>ICUs</w:t>
      </w:r>
      <w:r w:rsidRPr="004F1B6E">
        <w:t xml:space="preserve"> “dedicated exclusively” to patients with specialized conditions (e.g., cardiac, burn, trauma, neonatal, etc.) unless the same ICU is used for both specialized intensive care patients as well as general medical</w:t>
      </w:r>
      <w:r w:rsidR="00765597" w:rsidRPr="004F1B6E">
        <w:t>,</w:t>
      </w:r>
      <w:r w:rsidRPr="004F1B6E">
        <w:t xml:space="preserve"> </w:t>
      </w:r>
      <w:r w:rsidR="00A10EA0" w:rsidRPr="004F1B6E">
        <w:t>surgical</w:t>
      </w:r>
      <w:r w:rsidR="00C86A91" w:rsidRPr="004F1B6E">
        <w:t xml:space="preserve">, </w:t>
      </w:r>
      <w:r w:rsidR="00CC2E32" w:rsidRPr="004F1B6E">
        <w:t>medical/</w:t>
      </w:r>
      <w:r w:rsidRPr="004F1B6E">
        <w:t>surgical</w:t>
      </w:r>
      <w:r w:rsidR="00E55D8E" w:rsidRPr="004F1B6E">
        <w:t>,</w:t>
      </w:r>
      <w:r w:rsidRPr="004F1B6E">
        <w:t xml:space="preserve"> or neuro intensive care patients. “Dedicated exclusively” means that general </w:t>
      </w:r>
      <w:r w:rsidR="00903218" w:rsidRPr="004F1B6E">
        <w:t>medical, surgical,</w:t>
      </w:r>
      <w:r w:rsidRPr="004F1B6E">
        <w:t xml:space="preserve"> </w:t>
      </w:r>
      <w:r w:rsidR="00903218" w:rsidRPr="004F1B6E">
        <w:t>medical/</w:t>
      </w:r>
      <w:r w:rsidRPr="004F1B6E">
        <w:t>surgical</w:t>
      </w:r>
      <w:r w:rsidR="004D6737" w:rsidRPr="004F1B6E">
        <w:t>,</w:t>
      </w:r>
      <w:r w:rsidRPr="004F1B6E">
        <w:t xml:space="preserve"> or neuro </w:t>
      </w:r>
      <w:r w:rsidR="004D6737" w:rsidRPr="004F1B6E">
        <w:t xml:space="preserve">intensive care </w:t>
      </w:r>
      <w:r w:rsidRPr="004F1B6E">
        <w:t xml:space="preserve">patients are not also cared for in these specialized units (except in rare overflow situations). </w:t>
      </w:r>
      <w:r w:rsidR="0013241F" w:rsidRPr="004F1B6E">
        <w:t xml:space="preserve">Exclude </w:t>
      </w:r>
      <w:r w:rsidRPr="004F1B6E">
        <w:t>intermediate care or telemetry/step-down/progressive units.</w:t>
      </w:r>
    </w:p>
    <w:p w14:paraId="3CE4499A" w14:textId="77777777" w:rsidR="00174ACD" w:rsidRPr="004F1B6E" w:rsidRDefault="00174ACD" w:rsidP="00354B0E">
      <w:pPr>
        <w:pStyle w:val="EndnoteText"/>
      </w:pPr>
    </w:p>
    <w:p w14:paraId="496FA91E" w14:textId="04D04704" w:rsidR="00174ACD" w:rsidRDefault="00174ACD" w:rsidP="00174ACD">
      <w:pPr>
        <w:pStyle w:val="EndnoteText"/>
      </w:pPr>
      <w:r w:rsidRPr="004F1B6E">
        <w:t>For the purposes of reporting on adult and pediatric ICU admissions in Section 1A: Basic Hospital Information questions #9 and #1</w:t>
      </w:r>
      <w:r w:rsidR="00B739D0">
        <w:t>2</w:t>
      </w:r>
      <w:r w:rsidRPr="004F1B6E">
        <w:t>, include admissions to general medical</w:t>
      </w:r>
      <w:r w:rsidR="00AE4DAF" w:rsidRPr="004F1B6E">
        <w:t>, surgical, medical/</w:t>
      </w:r>
      <w:r w:rsidRPr="004F1B6E">
        <w:t>surgical</w:t>
      </w:r>
      <w:r w:rsidR="00AE4DAF" w:rsidRPr="004F1B6E">
        <w:t>, and</w:t>
      </w:r>
      <w:r w:rsidR="00720209" w:rsidRPr="004F1B6E">
        <w:t xml:space="preserve"> </w:t>
      </w:r>
      <w:r w:rsidRPr="004F1B6E">
        <w:t>neuro ICUs (medical and surgical), whether directly admitted to the unit or transferred to the unit from another area of your hospital (e.g., post-operatively). Include transfers from other hospitals as admissions to your hospital. Include the number of admissions that include an ICU stay, not the number of patient trips to the ICU.</w:t>
      </w:r>
    </w:p>
    <w:p w14:paraId="3C3A90A4" w14:textId="77777777" w:rsidR="000E7C65" w:rsidRDefault="000E7C65" w:rsidP="00354B0E">
      <w:pPr>
        <w:pStyle w:val="EndnoteText"/>
      </w:pPr>
    </w:p>
  </w:endnote>
  <w:endnote w:id="16">
    <w:p w14:paraId="7FFD6B38" w14:textId="77777777" w:rsidR="007541D0" w:rsidRPr="00E74F49" w:rsidRDefault="007541D0" w:rsidP="007541D0">
      <w:pPr>
        <w:rPr>
          <w:b/>
          <w:i/>
        </w:rPr>
      </w:pPr>
      <w:r w:rsidRPr="00E74F49">
        <w:rPr>
          <w:rStyle w:val="EndnoteReference"/>
        </w:rPr>
        <w:endnoteRef/>
      </w:r>
      <w:r w:rsidRPr="00E74F49">
        <w:t xml:space="preserve"> </w:t>
      </w:r>
      <w:r w:rsidRPr="00E74F49">
        <w:rPr>
          <w:b/>
          <w:i/>
        </w:rPr>
        <w:t>Licensed ICU Beds</w:t>
      </w:r>
    </w:p>
    <w:p w14:paraId="38073C94" w14:textId="75479E3B" w:rsidR="007541D0" w:rsidRPr="00E74F49" w:rsidRDefault="007541D0" w:rsidP="007541D0">
      <w:pPr>
        <w:pStyle w:val="EndnoteText"/>
      </w:pPr>
      <w:r w:rsidRPr="00E74F49">
        <w:t xml:space="preserve">If your state separately designates ICU beds, indicate the number of licensed beds in adult </w:t>
      </w:r>
      <w:r w:rsidR="005C36E5">
        <w:t xml:space="preserve">(question #7) </w:t>
      </w:r>
      <w:r w:rsidRPr="00E74F49">
        <w:t xml:space="preserve">and pediatric </w:t>
      </w:r>
      <w:r w:rsidR="005C36E5">
        <w:t xml:space="preserve">(question #10) </w:t>
      </w:r>
      <w:r w:rsidRPr="00E74F49">
        <w:t>general medical</w:t>
      </w:r>
      <w:r w:rsidR="003E0D23" w:rsidRPr="00E74F49">
        <w:t>,</w:t>
      </w:r>
      <w:r w:rsidRPr="00E74F49">
        <w:t xml:space="preserve"> </w:t>
      </w:r>
      <w:r w:rsidR="003E0D23" w:rsidRPr="00E74F49">
        <w:t>surgical</w:t>
      </w:r>
      <w:r w:rsidR="00465861" w:rsidRPr="00E74F49">
        <w:t>, medical</w:t>
      </w:r>
      <w:r w:rsidRPr="00E74F49">
        <w:t>/surgical</w:t>
      </w:r>
      <w:r w:rsidR="0025220D" w:rsidRPr="00E74F49">
        <w:t>,</w:t>
      </w:r>
      <w:r w:rsidRPr="00E74F49">
        <w:t xml:space="preserve"> and neuro ICUs (medical and surgical). If your state does not license ICU beds or if the number of staffed ICU beds is currently higher than the number of licensed ICU beds, enter the number of staffed ICU beds from question #8</w:t>
      </w:r>
      <w:r w:rsidR="005C36E5">
        <w:t xml:space="preserve"> in question #7 and number of staffed ICU beds from question #11 in question #10</w:t>
      </w:r>
      <w:r w:rsidRPr="00E74F49">
        <w:t xml:space="preserve">. See endnote #14 for more information. </w:t>
      </w:r>
    </w:p>
    <w:p w14:paraId="08ABCFB6" w14:textId="77777777" w:rsidR="007541D0" w:rsidRPr="00E74F49" w:rsidRDefault="007541D0" w:rsidP="007541D0">
      <w:pPr>
        <w:pStyle w:val="EndnoteText"/>
        <w:rPr>
          <w:sz w:val="16"/>
          <w:szCs w:val="16"/>
        </w:rPr>
      </w:pPr>
    </w:p>
    <w:p w14:paraId="09ED3759" w14:textId="6AC85514" w:rsidR="00866B62" w:rsidRDefault="007541D0" w:rsidP="007541D0">
      <w:pPr>
        <w:pStyle w:val="EndnoteText"/>
      </w:pPr>
      <w:r w:rsidRPr="00E74F49">
        <w:t>Exclude beds “dedicated exclusively” to patients with specialized conditions (e.g., cardiac, burn, trauma, neonatal). “Dedicated exclusively” means that general medical</w:t>
      </w:r>
      <w:r w:rsidR="00DC4D40" w:rsidRPr="00E74F49">
        <w:t>, surgical, medical</w:t>
      </w:r>
      <w:r w:rsidRPr="00E74F49">
        <w:t>/surgical</w:t>
      </w:r>
      <w:r w:rsidR="00DC4D40" w:rsidRPr="00E74F49">
        <w:t>,</w:t>
      </w:r>
      <w:r w:rsidRPr="00E74F49">
        <w:t xml:space="preserve"> or neuro </w:t>
      </w:r>
      <w:r w:rsidR="00B05C8F" w:rsidRPr="00E74F49">
        <w:t xml:space="preserve">intensive care </w:t>
      </w:r>
      <w:r w:rsidRPr="00E74F49">
        <w:t>patients are not also cared for in these specialized units (except in rare overflow situations). Exclude beds used for step-down/progressive care.</w:t>
      </w:r>
    </w:p>
    <w:p w14:paraId="49A8C317" w14:textId="77777777" w:rsidR="004E2BC0" w:rsidRPr="00A2066D" w:rsidRDefault="004E2BC0" w:rsidP="007541D0">
      <w:pPr>
        <w:pStyle w:val="EndnoteText"/>
      </w:pPr>
    </w:p>
  </w:endnote>
  <w:endnote w:id="17">
    <w:p w14:paraId="484A04D9" w14:textId="77777777" w:rsidR="008B7D82" w:rsidRPr="004C13AC" w:rsidRDefault="008B7D82" w:rsidP="008B7D82">
      <w:pPr>
        <w:rPr>
          <w:b/>
          <w:i/>
        </w:rPr>
      </w:pPr>
      <w:r>
        <w:rPr>
          <w:rStyle w:val="EndnoteReference"/>
        </w:rPr>
        <w:endnoteRef/>
      </w:r>
      <w:r>
        <w:t xml:space="preserve"> </w:t>
      </w:r>
      <w:r w:rsidRPr="004C13AC">
        <w:rPr>
          <w:b/>
          <w:i/>
        </w:rPr>
        <w:t>Staffed ICU Beds</w:t>
      </w:r>
    </w:p>
    <w:p w14:paraId="5AA8CA47" w14:textId="2345CE9E" w:rsidR="008B7D82" w:rsidRDefault="008B7D82" w:rsidP="008B7D82">
      <w:pPr>
        <w:pStyle w:val="EndnoteText"/>
      </w:pPr>
      <w:r w:rsidRPr="004C13AC">
        <w:t xml:space="preserve">Indicate the number of </w:t>
      </w:r>
      <w:r w:rsidR="008356DD">
        <w:t xml:space="preserve">adult </w:t>
      </w:r>
      <w:r w:rsidRPr="004C13AC">
        <w:t xml:space="preserve">ICU beds from question #7 </w:t>
      </w:r>
      <w:r w:rsidR="008328E8">
        <w:t>in question #8</w:t>
      </w:r>
      <w:r w:rsidR="008328E8" w:rsidRPr="004C13AC">
        <w:t xml:space="preserve"> </w:t>
      </w:r>
      <w:r w:rsidR="008328E8">
        <w:t xml:space="preserve">and number of pediatric ICU beds from question #10 in question #11 </w:t>
      </w:r>
      <w:r w:rsidRPr="004C13AC">
        <w:t>that are regularly in operation, whether currently occupied by a patient or not. If the number has changed over the last year, indicate the average or other number most representative of your operating ICU capacity over the last year. See endnote #14 for more information.</w:t>
      </w:r>
      <w:r>
        <w:t xml:space="preserve"> </w:t>
      </w:r>
    </w:p>
    <w:p w14:paraId="26C0BB57" w14:textId="1864F0A5" w:rsidR="008B7D82" w:rsidRDefault="008B7D82">
      <w:pPr>
        <w:pStyle w:val="EndnoteText"/>
      </w:pPr>
    </w:p>
  </w:endnote>
  <w:endnote w:id="18">
    <w:p w14:paraId="326055B2" w14:textId="76FE687E" w:rsidR="006A2A3B" w:rsidRPr="00A71ECB" w:rsidRDefault="006A2A3B" w:rsidP="006F5349">
      <w:pPr>
        <w:pStyle w:val="EndnoteText"/>
        <w:rPr>
          <w:b/>
          <w:i/>
        </w:rPr>
      </w:pPr>
      <w:r w:rsidRPr="00A71ECB">
        <w:rPr>
          <w:rStyle w:val="EndnoteReference"/>
        </w:rPr>
        <w:endnoteRef/>
      </w:r>
      <w:r w:rsidRPr="00A71ECB">
        <w:t xml:space="preserve"> </w:t>
      </w:r>
      <w:bookmarkStart w:id="92" w:name="neonatalICU"/>
      <w:bookmarkStart w:id="93" w:name="Endnote15_NICUAdmits"/>
      <w:bookmarkEnd w:id="92"/>
      <w:r w:rsidRPr="00A71ECB">
        <w:rPr>
          <w:b/>
          <w:i/>
        </w:rPr>
        <w:t>Neonatal ICU</w:t>
      </w:r>
      <w:r w:rsidR="002D7D8F" w:rsidRPr="00A71ECB">
        <w:rPr>
          <w:b/>
          <w:i/>
        </w:rPr>
        <w:t>s</w:t>
      </w:r>
      <w:r w:rsidRPr="00A71ECB">
        <w:rPr>
          <w:b/>
          <w:i/>
        </w:rPr>
        <w:t xml:space="preserve"> </w:t>
      </w:r>
    </w:p>
    <w:bookmarkEnd w:id="93"/>
    <w:p w14:paraId="73882656" w14:textId="26F25868" w:rsidR="006A2A3B" w:rsidRPr="00F003EA" w:rsidRDefault="006A2A3B" w:rsidP="006F5349">
      <w:pPr>
        <w:rPr>
          <w:rStyle w:val="Hyperlink"/>
          <w:rFonts w:eastAsiaTheme="majorEastAsia"/>
        </w:rPr>
      </w:pPr>
      <w:r w:rsidRPr="00A71ECB">
        <w:t xml:space="preserve">Include Level II/III, Level III, </w:t>
      </w:r>
      <w:r w:rsidR="008328E8">
        <w:t>and</w:t>
      </w:r>
      <w:r w:rsidRPr="00A71ECB">
        <w:t xml:space="preserve"> Level IV</w:t>
      </w:r>
      <w:r w:rsidR="00746F0E">
        <w:t xml:space="preserve"> neonatal ICUs (NICUs)</w:t>
      </w:r>
      <w:r w:rsidRPr="00A71ECB">
        <w:t xml:space="preserve">. Exclude neonatal nurseries (Level I and Level II). For more information about what is considered a NICU, please refer to the CDC’s definitions of Neonatal Units on p. 15-12 to 15-15 of the following document: </w:t>
      </w:r>
      <w:hyperlink r:id="rId9" w:history="1">
        <w:r w:rsidR="0070639B" w:rsidRPr="0070639B">
          <w:rPr>
            <w:rStyle w:val="Hyperlink"/>
          </w:rPr>
          <w:t>https://www.cdc.gov/nhsn/pdfs/pscmanual/pscmanual_current.pdf</w:t>
        </w:r>
      </w:hyperlink>
      <w:r w:rsidR="0070639B">
        <w:t>.</w:t>
      </w:r>
    </w:p>
    <w:p w14:paraId="015D2CFE" w14:textId="77777777" w:rsidR="006A2A3B" w:rsidRPr="00F003EA" w:rsidRDefault="006A2A3B" w:rsidP="006F5349">
      <w:pPr>
        <w:rPr>
          <w:rStyle w:val="Hyperlink"/>
          <w:rFonts w:eastAsiaTheme="majorEastAsia"/>
        </w:rPr>
      </w:pPr>
    </w:p>
    <w:p w14:paraId="34C4669B" w14:textId="03F95757" w:rsidR="006A2A3B" w:rsidRPr="003A0ADC" w:rsidRDefault="006A2A3B" w:rsidP="006F5349">
      <w:r w:rsidRPr="00F003EA">
        <w:t>For the purposes of reporting on NICU admissions in Section 1A: Basic Hospital Information question #1</w:t>
      </w:r>
      <w:r w:rsidR="00746F0E">
        <w:t>5</w:t>
      </w:r>
      <w:r w:rsidRPr="00F003EA">
        <w:t xml:space="preserve">, include admissions to </w:t>
      </w:r>
      <w:r w:rsidR="00B40D8C">
        <w:t>Level II/III, Level III, and Level IV NICUs</w:t>
      </w:r>
      <w:r w:rsidRPr="00F003EA">
        <w:t>, even if counted in question #5. Include transfers from other hospitals as admissions to your hospital. Exclude admissions for patients that were transferred to another facility.</w:t>
      </w:r>
    </w:p>
    <w:p w14:paraId="69CAD7B9" w14:textId="77777777" w:rsidR="006A2A3B" w:rsidRPr="00216021" w:rsidRDefault="006A2A3B" w:rsidP="006F5349">
      <w:pPr>
        <w:pStyle w:val="EndnoteText"/>
      </w:pPr>
    </w:p>
  </w:endnote>
  <w:endnote w:id="19">
    <w:p w14:paraId="24FFFD4A" w14:textId="77777777" w:rsidR="00322A3C" w:rsidRPr="00A4550B" w:rsidRDefault="00322A3C" w:rsidP="00735853">
      <w:pPr>
        <w:pStyle w:val="EndnoteText"/>
      </w:pPr>
      <w:r w:rsidRPr="00A4550B">
        <w:rPr>
          <w:rStyle w:val="EndnoteReference"/>
        </w:rPr>
        <w:endnoteRef/>
      </w:r>
      <w:r w:rsidRPr="00A4550B">
        <w:t xml:space="preserve"> </w:t>
      </w:r>
      <w:bookmarkStart w:id="158" w:name="Endnote16_CPOE"/>
      <w:r w:rsidRPr="00A4550B">
        <w:rPr>
          <w:b/>
          <w:i/>
        </w:rPr>
        <w:t>CPOE Linked to Pharmacy, Laboratory, ADT Information</w:t>
      </w:r>
      <w:bookmarkEnd w:id="158"/>
    </w:p>
    <w:p w14:paraId="4D1C2D12" w14:textId="5EB5529D" w:rsidR="00322A3C" w:rsidRDefault="00322A3C" w:rsidP="00735853">
      <w:pPr>
        <w:pStyle w:val="EndnoteText"/>
        <w:rPr>
          <w:sz w:val="16"/>
          <w:szCs w:val="16"/>
        </w:rPr>
      </w:pPr>
      <w:r w:rsidRPr="00A4550B">
        <w:t>The ability of a CPOE system to catch the majority of common, serious prescribing errors depends on proper identification of patients (ADT information), current and recent pharmacy orders and drug dispensing history, and access and integration of key laboratory results for the patient. CPOE systems that are not linked to those other systems or do not reflect that current information accurately about the patient are not likely to ca</w:t>
      </w:r>
      <w:r>
        <w:t>tch serious prescribing errors.</w:t>
      </w:r>
    </w:p>
    <w:p w14:paraId="26D55F55" w14:textId="77777777" w:rsidR="00E54011" w:rsidRPr="00216021" w:rsidRDefault="00E54011" w:rsidP="00735853">
      <w:pPr>
        <w:pStyle w:val="EndnoteText"/>
      </w:pPr>
    </w:p>
  </w:endnote>
  <w:endnote w:id="20">
    <w:p w14:paraId="2DA8115F" w14:textId="1CED0EBD" w:rsidR="00C3345F" w:rsidRPr="00DF71A7" w:rsidRDefault="00C3345F" w:rsidP="00C3345F">
      <w:pPr>
        <w:pStyle w:val="EndnoteText"/>
        <w:rPr>
          <w:b/>
        </w:rPr>
      </w:pPr>
      <w:r w:rsidRPr="00DF71A7">
        <w:rPr>
          <w:rStyle w:val="EndnoteReference"/>
        </w:rPr>
        <w:endnoteRef/>
      </w:r>
      <w:r w:rsidRPr="00DF71A7">
        <w:t xml:space="preserve"> </w:t>
      </w:r>
      <w:bookmarkStart w:id="165" w:name="MedicalandorSurgicalUnits"/>
      <w:r w:rsidRPr="00DF71A7">
        <w:rPr>
          <w:b/>
          <w:i/>
          <w:iCs/>
        </w:rPr>
        <w:t>Medical</w:t>
      </w:r>
      <w:r w:rsidR="002C5D07" w:rsidRPr="00DF71A7">
        <w:rPr>
          <w:b/>
          <w:i/>
          <w:iCs/>
        </w:rPr>
        <w:t>, Surgical</w:t>
      </w:r>
      <w:r w:rsidR="00244BED" w:rsidRPr="00DF71A7">
        <w:rPr>
          <w:b/>
          <w:i/>
          <w:iCs/>
        </w:rPr>
        <w:t>,</w:t>
      </w:r>
      <w:r w:rsidRPr="00DF71A7">
        <w:rPr>
          <w:b/>
          <w:i/>
          <w:iCs/>
        </w:rPr>
        <w:t xml:space="preserve"> and</w:t>
      </w:r>
      <w:r w:rsidR="00244BED" w:rsidRPr="00DF71A7">
        <w:rPr>
          <w:b/>
          <w:i/>
          <w:iCs/>
        </w:rPr>
        <w:t xml:space="preserve"> Medical</w:t>
      </w:r>
      <w:r w:rsidRPr="00DF71A7">
        <w:rPr>
          <w:b/>
          <w:i/>
          <w:iCs/>
        </w:rPr>
        <w:t>/Surgical Units</w:t>
      </w:r>
      <w:bookmarkEnd w:id="165"/>
    </w:p>
    <w:p w14:paraId="0C423B52" w14:textId="2F838229" w:rsidR="00C3345F" w:rsidRPr="00EC7A41" w:rsidRDefault="00C3345F" w:rsidP="00C3345F">
      <w:pPr>
        <w:pStyle w:val="EndnoteText"/>
      </w:pPr>
      <w:r w:rsidRPr="00DF71A7">
        <w:t xml:space="preserve">An exact definition on which units would be included in general medical, surgical, or medical/surgical cannot be provided because each hospital is laid out differently. For information about what is considered a general medical, surgical, or medical/surgical unit, please refer to the CDC’s definitions of Medical Ward, Medical/Surgical Ward, and Surgical Ward on p. 15-17 to 15-20 of the following </w:t>
      </w:r>
      <w:r w:rsidR="00F74A72" w:rsidRPr="00DF71A7">
        <w:t>document</w:t>
      </w:r>
      <w:r w:rsidRPr="00DF71A7">
        <w:t xml:space="preserve">: </w:t>
      </w:r>
      <w:hyperlink r:id="rId10" w:history="1">
        <w:r w:rsidR="0070639B" w:rsidRPr="0070639B">
          <w:rPr>
            <w:rStyle w:val="Hyperlink"/>
          </w:rPr>
          <w:t>https://www.cdc.gov/nhsn/pdfs/pscmanual/pscmanual_current.pdf</w:t>
        </w:r>
      </w:hyperlink>
      <w:r w:rsidR="00AC3AC5">
        <w:t xml:space="preserve">. </w:t>
      </w:r>
      <w:r w:rsidRPr="00DF71A7">
        <w:t xml:space="preserve">The flowchart on p. 15-3 can also be used to help define units in your hospital. </w:t>
      </w:r>
      <w:r w:rsidR="00F74A72" w:rsidRPr="00DF71A7">
        <w:t xml:space="preserve">Units for patients from a specific service type (e.g., burn, cardiac) and observation units </w:t>
      </w:r>
      <w:r w:rsidR="004D6AE6" w:rsidRPr="00DF71A7">
        <w:t xml:space="preserve">must </w:t>
      </w:r>
      <w:r w:rsidR="00F74A72" w:rsidRPr="00DF71A7">
        <w:t>be excluded.</w:t>
      </w:r>
      <w:r w:rsidR="00FB3D26" w:rsidRPr="00DF71A7">
        <w:t xml:space="preserve"> Include telemetry units</w:t>
      </w:r>
      <w:r w:rsidR="00BD1149" w:rsidRPr="00DF71A7">
        <w:t xml:space="preserve"> (defined on p. 15-20 of the above referenced document)</w:t>
      </w:r>
      <w:r w:rsidR="00FB3D26" w:rsidRPr="00DF71A7">
        <w:t>.</w:t>
      </w:r>
    </w:p>
    <w:p w14:paraId="63EA6FC9" w14:textId="77777777" w:rsidR="00C3345F" w:rsidRPr="00EC7A41" w:rsidRDefault="00C3345F" w:rsidP="00C3345F">
      <w:pPr>
        <w:pStyle w:val="EndnoteText"/>
        <w:rPr>
          <w:sz w:val="16"/>
          <w:szCs w:val="16"/>
        </w:rPr>
      </w:pPr>
    </w:p>
    <w:p w14:paraId="5F6CE8C0" w14:textId="3C4D3CC1" w:rsidR="00F74A72" w:rsidRPr="00EC7A41" w:rsidRDefault="00F74A72" w:rsidP="00F74A72">
      <w:pPr>
        <w:pStyle w:val="EndnoteText"/>
      </w:pPr>
      <w:r w:rsidRPr="00EC7A41">
        <w:t>For the purposes of reporting on Sections 2C: BCMA and 6</w:t>
      </w:r>
      <w:r w:rsidR="00BA2D41" w:rsidRPr="00EC7A41">
        <w:t>C</w:t>
      </w:r>
      <w:r w:rsidRPr="00EC7A41">
        <w:t>: Hand Hygiene</w:t>
      </w:r>
      <w:r w:rsidR="00AE2B6F" w:rsidRPr="00EC7A41">
        <w:t xml:space="preserve">, </w:t>
      </w:r>
      <w:r w:rsidR="00002C73" w:rsidRPr="00EC7A41">
        <w:t xml:space="preserve">include both </w:t>
      </w:r>
      <w:r w:rsidR="00B72E89" w:rsidRPr="00EC7A41">
        <w:t xml:space="preserve">single and </w:t>
      </w:r>
      <w:r w:rsidR="00002C73" w:rsidRPr="00EC7A41">
        <w:t>mixed acuity medical, surgical, medical/surgical</w:t>
      </w:r>
      <w:r w:rsidR="00B96188" w:rsidRPr="00EC7A41">
        <w:t>, a</w:t>
      </w:r>
      <w:r w:rsidR="00B72E89" w:rsidRPr="00EC7A41">
        <w:t>nd telemetry units</w:t>
      </w:r>
      <w:r w:rsidR="002E2731" w:rsidRPr="00EC7A41">
        <w:t>, as well as step-down</w:t>
      </w:r>
      <w:r w:rsidR="001B1631" w:rsidRPr="00EC7A41">
        <w:t xml:space="preserve">/progressive beds </w:t>
      </w:r>
      <w:r w:rsidR="00596AED" w:rsidRPr="00EC7A41">
        <w:t>in a dedicated medical</w:t>
      </w:r>
      <w:r w:rsidR="000C7AD8" w:rsidRPr="00EC7A41">
        <w:t>, surgical</w:t>
      </w:r>
      <w:r w:rsidR="00E23994" w:rsidRPr="00EC7A41">
        <w:t xml:space="preserve">, </w:t>
      </w:r>
      <w:r w:rsidR="00596AED" w:rsidRPr="00EC7A41">
        <w:t xml:space="preserve">or </w:t>
      </w:r>
      <w:r w:rsidR="00E23994" w:rsidRPr="00EC7A41">
        <w:t>medical/</w:t>
      </w:r>
      <w:r w:rsidR="00596AED" w:rsidRPr="00EC7A41">
        <w:t>surgical unit</w:t>
      </w:r>
      <w:r w:rsidR="00002C73" w:rsidRPr="00EC7A41">
        <w:t xml:space="preserve">. </w:t>
      </w:r>
      <w:r w:rsidRPr="00EC7A41">
        <w:t xml:space="preserve"> </w:t>
      </w:r>
    </w:p>
    <w:p w14:paraId="702A00D6" w14:textId="77777777" w:rsidR="00F74A72" w:rsidRPr="00EC7A41" w:rsidRDefault="00F74A72" w:rsidP="00F74A72">
      <w:pPr>
        <w:pStyle w:val="EndnoteText"/>
      </w:pPr>
    </w:p>
    <w:p w14:paraId="38C815E4" w14:textId="15762D5D" w:rsidR="00F74A72" w:rsidRPr="00AA085F" w:rsidRDefault="00F74A72" w:rsidP="00F74A72">
      <w:pPr>
        <w:pStyle w:val="EndnoteText"/>
      </w:pPr>
      <w:r w:rsidRPr="00EC7A41">
        <w:t xml:space="preserve">For the purposes of reporting on Section </w:t>
      </w:r>
      <w:r w:rsidR="00790DD7" w:rsidRPr="00EC7A41">
        <w:t>5</w:t>
      </w:r>
      <w:r w:rsidRPr="00EC7A41">
        <w:t xml:space="preserve">C: Nursing Workforce, hospitals </w:t>
      </w:r>
      <w:r w:rsidR="003D4AA4" w:rsidRPr="00EC7A41">
        <w:t xml:space="preserve">must </w:t>
      </w:r>
      <w:r w:rsidRPr="00EC7A41">
        <w:t>reference the unit definitions and acuity definitions in the measure specifications.</w:t>
      </w:r>
      <w:r>
        <w:t xml:space="preserve"> </w:t>
      </w:r>
    </w:p>
    <w:p w14:paraId="76B5DE35" w14:textId="77777777" w:rsidR="000E7C65" w:rsidRPr="00216021" w:rsidRDefault="000E7C65" w:rsidP="00C3345F">
      <w:pPr>
        <w:pStyle w:val="EndnoteText"/>
      </w:pPr>
    </w:p>
  </w:endnote>
  <w:endnote w:id="21">
    <w:p w14:paraId="2C86F2B5" w14:textId="77777777" w:rsidR="00FB2D71" w:rsidRPr="007174BC" w:rsidRDefault="00FB2D71" w:rsidP="00D73F6A">
      <w:pPr>
        <w:pStyle w:val="EndnoteText"/>
        <w:rPr>
          <w:b/>
          <w:bCs/>
          <w:i/>
          <w:iCs/>
        </w:rPr>
      </w:pPr>
      <w:r w:rsidRPr="007174BC">
        <w:rPr>
          <w:rStyle w:val="EndnoteReference"/>
        </w:rPr>
        <w:endnoteRef/>
      </w:r>
      <w:r w:rsidRPr="007174BC">
        <w:t xml:space="preserve"> </w:t>
      </w:r>
      <w:bookmarkStart w:id="166" w:name="stepdown_progressiveunits_endnote20"/>
      <w:bookmarkEnd w:id="166"/>
      <w:r w:rsidRPr="007174BC">
        <w:rPr>
          <w:b/>
          <w:bCs/>
          <w:i/>
          <w:iCs/>
        </w:rPr>
        <w:t>Step-down/Progressive Units</w:t>
      </w:r>
    </w:p>
    <w:p w14:paraId="5019CF83" w14:textId="2F815E34" w:rsidR="00FB2D71" w:rsidRPr="00070BDD" w:rsidRDefault="00FB2D71" w:rsidP="00D73F6A">
      <w:pPr>
        <w:pStyle w:val="EndnoteText"/>
      </w:pPr>
      <w:r w:rsidRPr="007174BC">
        <w:t>A single acuity</w:t>
      </w:r>
      <w:r w:rsidRPr="007174BC">
        <w:rPr>
          <w:i/>
          <w:iCs/>
        </w:rPr>
        <w:t xml:space="preserve"> </w:t>
      </w:r>
      <w:r w:rsidRPr="007174BC">
        <w:t xml:space="preserve">unit in which at least 90% of the patients are at a lower level of acuity than patients in a critical care unit, yet at a higher level of acuity than that which is provided in a general care unit. These units may be called progressive care, intermediate care, direct observation, or transitional care units. Telemetry alone is not an indicator of acuity level. </w:t>
      </w:r>
      <w:r w:rsidR="0006648C" w:rsidRPr="007174BC">
        <w:t>To classify as a step-down unit, the telemetry patients must require a higher level of nursing intensity than is available on medical</w:t>
      </w:r>
      <w:r w:rsidR="00F46637" w:rsidRPr="007174BC">
        <w:t>, surgical,</w:t>
      </w:r>
      <w:r w:rsidR="0006648C" w:rsidRPr="007174BC">
        <w:t xml:space="preserve"> and </w:t>
      </w:r>
      <w:r w:rsidR="00F46637" w:rsidRPr="007174BC">
        <w:t>medical/</w:t>
      </w:r>
      <w:r w:rsidR="0006648C" w:rsidRPr="007174BC">
        <w:t>surgical units</w:t>
      </w:r>
      <w:r w:rsidRPr="007174BC">
        <w:t>.</w:t>
      </w:r>
    </w:p>
    <w:p w14:paraId="093AB28E" w14:textId="77777777" w:rsidR="00FB2D71" w:rsidRDefault="00FB2D71">
      <w:pPr>
        <w:pStyle w:val="EndnoteText"/>
      </w:pPr>
    </w:p>
  </w:endnote>
  <w:endnote w:id="22">
    <w:p w14:paraId="75653275" w14:textId="77777777" w:rsidR="00C3345F" w:rsidRPr="007174BC" w:rsidRDefault="00C3345F" w:rsidP="00C3345F">
      <w:pPr>
        <w:pStyle w:val="EndnoteText"/>
        <w:rPr>
          <w:b/>
          <w:i/>
          <w:iCs/>
        </w:rPr>
      </w:pPr>
      <w:r w:rsidRPr="007174BC">
        <w:rPr>
          <w:rStyle w:val="EndnoteReference"/>
        </w:rPr>
        <w:endnoteRef/>
      </w:r>
      <w:r w:rsidRPr="007174BC">
        <w:t xml:space="preserve"> </w:t>
      </w:r>
      <w:bookmarkStart w:id="168" w:name="LaborandDeliveryUnits"/>
      <w:r w:rsidRPr="007174BC">
        <w:rPr>
          <w:b/>
          <w:i/>
          <w:iCs/>
        </w:rPr>
        <w:t>Labor and Delivery Units</w:t>
      </w:r>
      <w:bookmarkEnd w:id="168"/>
    </w:p>
    <w:p w14:paraId="554C6172" w14:textId="67460835" w:rsidR="001C12DB" w:rsidRPr="00216021" w:rsidRDefault="00560336" w:rsidP="00C3345F">
      <w:pPr>
        <w:pStyle w:val="EndnoteText"/>
      </w:pPr>
      <w:r w:rsidRPr="007174BC">
        <w:t>I</w:t>
      </w:r>
      <w:r w:rsidR="00C3345F" w:rsidRPr="007174BC">
        <w:t xml:space="preserve">nclude all antepartum and postpartum units. Nursery units, OR units, and procedural areas </w:t>
      </w:r>
      <w:r w:rsidR="006177B2" w:rsidRPr="007174BC">
        <w:t xml:space="preserve">must </w:t>
      </w:r>
      <w:r w:rsidR="00C3345F" w:rsidRPr="007174BC">
        <w:t>be excluded.</w:t>
      </w:r>
      <w:r w:rsidR="00C3345F">
        <w:br/>
      </w:r>
    </w:p>
  </w:endnote>
  <w:endnote w:id="23">
    <w:p w14:paraId="4D2C6056" w14:textId="29D6DF9B" w:rsidR="00DB5E96" w:rsidRPr="00CF5F74" w:rsidRDefault="00DB5E96">
      <w:pPr>
        <w:pStyle w:val="EndnoteText"/>
        <w:rPr>
          <w:b/>
          <w:bCs/>
          <w:i/>
          <w:iCs/>
        </w:rPr>
      </w:pPr>
      <w:r w:rsidRPr="00CF5F74">
        <w:rPr>
          <w:rStyle w:val="EndnoteReference"/>
        </w:rPr>
        <w:endnoteRef/>
      </w:r>
      <w:r w:rsidRPr="00CF5F74">
        <w:t xml:space="preserve"> </w:t>
      </w:r>
      <w:bookmarkStart w:id="170" w:name="pacusendnote"/>
      <w:r w:rsidRPr="00CF5F74">
        <w:rPr>
          <w:b/>
          <w:bCs/>
          <w:i/>
          <w:iCs/>
        </w:rPr>
        <w:t>Pre-Operative or Post-Anesthesia Care Units</w:t>
      </w:r>
      <w:bookmarkEnd w:id="170"/>
    </w:p>
    <w:p w14:paraId="63AD1372" w14:textId="0D2D881F" w:rsidR="00157FDB" w:rsidRPr="00D96C25" w:rsidRDefault="002B66A3" w:rsidP="00B44C7B">
      <w:pPr>
        <w:rPr>
          <w:rFonts w:ascii="Calibri" w:hAnsi="Calibri"/>
          <w:i/>
          <w:iCs/>
          <w:color w:val="FF0000"/>
        </w:rPr>
      </w:pPr>
      <w:r w:rsidRPr="00CF5F74">
        <w:t>For reporting on Section 2C: BCMA i</w:t>
      </w:r>
      <w:r w:rsidR="00E867B2" w:rsidRPr="00CF5F74">
        <w:t>nclude</w:t>
      </w:r>
      <w:r w:rsidR="00157FDB" w:rsidRPr="00CF5F74">
        <w:t xml:space="preserve"> all pre-operative and post-anesthesia care units </w:t>
      </w:r>
      <w:r w:rsidR="005D628A" w:rsidRPr="00CF5F74">
        <w:t xml:space="preserve">(PACUs) </w:t>
      </w:r>
      <w:r w:rsidR="00157FDB" w:rsidRPr="00CF5F74">
        <w:t xml:space="preserve">located in or co-located with your hospital. </w:t>
      </w:r>
      <w:r w:rsidR="00FD71A7" w:rsidRPr="00CF5F74">
        <w:t xml:space="preserve">For reporting on Section 6C: Hand Hygiene, include all pre-operative and post-anesthesia care units (PACUs) located in or co-located with your hospital, as well as those located in free-standing hospital outpatient departments that perform the outpatient procedures listed in Section 9: Outpatient Procedures and that share your hospital’s license or CMS Certification Number. </w:t>
      </w:r>
      <w:r w:rsidR="000C5C0B" w:rsidRPr="00CF5F74">
        <w:t>This</w:t>
      </w:r>
      <w:r w:rsidR="000C5C0B" w:rsidRPr="00D96C25">
        <w:t xml:space="preserve"> includes combined pre-operative and post-anesthesia care units as well.</w:t>
      </w:r>
      <w:r w:rsidR="003A1127" w:rsidRPr="00D96C25">
        <w:t xml:space="preserve"> If the hospital distinguishes between </w:t>
      </w:r>
      <w:hyperlink r:id="rId11" w:history="1">
        <w:r w:rsidR="003A1127" w:rsidRPr="00D96C25">
          <w:rPr>
            <w:rStyle w:val="Hyperlink"/>
          </w:rPr>
          <w:t>post-anesthesia phases</w:t>
        </w:r>
      </w:hyperlink>
      <w:r w:rsidR="003A1127" w:rsidRPr="00D96C25">
        <w:rPr>
          <w:color w:val="FF0000"/>
        </w:rPr>
        <w:t xml:space="preserve"> </w:t>
      </w:r>
      <w:r w:rsidR="003A1127" w:rsidRPr="00D96C25">
        <w:t>within its PACU(s) (i.e., Phase I, Phase II, and Phase III recovery), all phases must be included when reporting.</w:t>
      </w:r>
    </w:p>
    <w:p w14:paraId="01CFDA4E" w14:textId="77777777" w:rsidR="00157FDB" w:rsidRPr="00D96C25" w:rsidRDefault="00157FDB" w:rsidP="00157FDB">
      <w:pPr>
        <w:pStyle w:val="EndnoteText"/>
      </w:pPr>
    </w:p>
    <w:p w14:paraId="1DF6864E" w14:textId="58CE9A07" w:rsidR="00157FDB" w:rsidRPr="00D96C25" w:rsidRDefault="00157FDB" w:rsidP="00157FDB">
      <w:pPr>
        <w:pStyle w:val="EndnoteText"/>
      </w:pPr>
      <w:r w:rsidRPr="00D96C25">
        <w:t xml:space="preserve">Pre-operative units include areas where patients are prepared for </w:t>
      </w:r>
      <w:r w:rsidR="00025B1A" w:rsidRPr="00D96C25">
        <w:t xml:space="preserve">an inpatient or outpatient </w:t>
      </w:r>
      <w:r w:rsidRPr="00D96C25">
        <w:t>surg</w:t>
      </w:r>
      <w:r w:rsidR="00025B1A" w:rsidRPr="00D96C25">
        <w:t>ical</w:t>
      </w:r>
      <w:r w:rsidRPr="00D96C25">
        <w:t xml:space="preserve"> or </w:t>
      </w:r>
      <w:r w:rsidR="00443705" w:rsidRPr="00D96C25">
        <w:t>di</w:t>
      </w:r>
      <w:r w:rsidRPr="00D96C25">
        <w:t>a</w:t>
      </w:r>
      <w:r w:rsidR="00443705" w:rsidRPr="00D96C25">
        <w:t>gnostic</w:t>
      </w:r>
      <w:r w:rsidRPr="00D96C25">
        <w:t xml:space="preserve"> procedure, </w:t>
      </w:r>
      <w:r w:rsidR="005D628A" w:rsidRPr="00D96C25">
        <w:t>(</w:t>
      </w:r>
      <w:r w:rsidRPr="00D96C25">
        <w:t>i.e., where patients have their medical histories reviewed with their care team and receive physical examinations to determine risk factors and other information relevant to the surgery or procedure</w:t>
      </w:r>
      <w:r w:rsidR="005D628A" w:rsidRPr="00D96C25">
        <w:t>)</w:t>
      </w:r>
      <w:r w:rsidRPr="00D96C25">
        <w:t xml:space="preserve">. </w:t>
      </w:r>
    </w:p>
    <w:p w14:paraId="158B1903" w14:textId="77777777" w:rsidR="00157FDB" w:rsidRPr="00D96C25" w:rsidRDefault="00157FDB" w:rsidP="00157FDB">
      <w:pPr>
        <w:pStyle w:val="EndnoteText"/>
      </w:pPr>
    </w:p>
    <w:p w14:paraId="144B34D3" w14:textId="209E2D8D" w:rsidR="00157FDB" w:rsidRDefault="00157FDB" w:rsidP="00157FDB">
      <w:pPr>
        <w:pStyle w:val="EndnoteText"/>
      </w:pPr>
      <w:r w:rsidRPr="00D96C25">
        <w:t>PACUs</w:t>
      </w:r>
      <w:r w:rsidR="005D628A" w:rsidRPr="00D96C25">
        <w:t xml:space="preserve"> </w:t>
      </w:r>
      <w:r w:rsidRPr="00D96C25">
        <w:t xml:space="preserve">include areas where patients are </w:t>
      </w:r>
      <w:r w:rsidR="003A1127" w:rsidRPr="00D96C25">
        <w:t>watched</w:t>
      </w:r>
      <w:r w:rsidRPr="00D96C25">
        <w:t xml:space="preserve"> after a</w:t>
      </w:r>
      <w:r w:rsidR="00AE4AE6" w:rsidRPr="00D96C25">
        <w:t xml:space="preserve">n inpatient or outpatient </w:t>
      </w:r>
      <w:r w:rsidRPr="00D96C25">
        <w:t>surg</w:t>
      </w:r>
      <w:r w:rsidR="00AE4AE6" w:rsidRPr="00D96C25">
        <w:t>ical</w:t>
      </w:r>
      <w:r w:rsidRPr="00D96C25">
        <w:t xml:space="preserve"> or </w:t>
      </w:r>
      <w:r w:rsidR="00AE4AE6" w:rsidRPr="00D96C25">
        <w:t xml:space="preserve">diagnostic </w:t>
      </w:r>
      <w:r w:rsidRPr="00D96C25">
        <w:t>procedure that required anesthesia or sedation and where hospital staff (e.g., nurses, anesthesiologists, and other support services) monitor patient recovery from anesthesia or sedation by keeping track of vitals and providing pain management.</w:t>
      </w:r>
    </w:p>
    <w:p w14:paraId="1EDD04A8" w14:textId="77777777" w:rsidR="00DB5E96" w:rsidRDefault="00DB5E96">
      <w:pPr>
        <w:pStyle w:val="EndnoteText"/>
      </w:pPr>
    </w:p>
  </w:endnote>
  <w:endnote w:id="24">
    <w:p w14:paraId="29E268B6" w14:textId="77777777" w:rsidR="00C3345F" w:rsidRPr="007306B3" w:rsidRDefault="00C3345F" w:rsidP="00C3345F">
      <w:pPr>
        <w:pStyle w:val="EndnoteText"/>
        <w:rPr>
          <w:b/>
          <w:bCs/>
          <w:i/>
          <w:iCs/>
        </w:rPr>
      </w:pPr>
      <w:r>
        <w:rPr>
          <w:rStyle w:val="EndnoteReference"/>
        </w:rPr>
        <w:endnoteRef/>
      </w:r>
      <w:r w:rsidRPr="007306B3">
        <w:rPr>
          <w:i/>
          <w:iCs/>
        </w:rPr>
        <w:t xml:space="preserve"> </w:t>
      </w:r>
      <w:bookmarkStart w:id="173" w:name="CertifiedPharmacyTechnician"/>
      <w:r w:rsidRPr="007306B3">
        <w:rPr>
          <w:b/>
          <w:bCs/>
          <w:i/>
          <w:iCs/>
        </w:rPr>
        <w:t>Certified Pharmacy Technician</w:t>
      </w:r>
    </w:p>
    <w:bookmarkEnd w:id="173"/>
    <w:p w14:paraId="2FDD7541" w14:textId="7FF76BB1" w:rsidR="00045157" w:rsidRDefault="00C3345F" w:rsidP="00C3345F">
      <w:pPr>
        <w:pStyle w:val="EndnoteText"/>
        <w:rPr>
          <w:sz w:val="16"/>
          <w:szCs w:val="16"/>
        </w:rPr>
      </w:pPr>
      <w:r>
        <w:t xml:space="preserve">A certified pharmacy technician would include a pharmacy technician that has </w:t>
      </w:r>
      <w:r w:rsidR="003F38F1">
        <w:t>a</w:t>
      </w:r>
      <w:r>
        <w:t xml:space="preserve"> </w:t>
      </w:r>
      <w:hyperlink r:id="rId12" w:history="1">
        <w:r w:rsidRPr="004100BC">
          <w:rPr>
            <w:rStyle w:val="Hyperlink"/>
          </w:rPr>
          <w:t>Pharmacy Technicians Certification Board’s (PTCB) Medication History Certificate</w:t>
        </w:r>
      </w:hyperlink>
      <w:r w:rsidR="00031E53">
        <w:rPr>
          <w:rStyle w:val="Hyperlink"/>
        </w:rPr>
        <w:t>.</w:t>
      </w:r>
    </w:p>
    <w:p w14:paraId="0FABFE17" w14:textId="77777777" w:rsidR="00045157" w:rsidRPr="00216021" w:rsidRDefault="00045157" w:rsidP="00C3345F">
      <w:pPr>
        <w:pStyle w:val="EndnoteText"/>
      </w:pPr>
    </w:p>
  </w:endnote>
  <w:endnote w:id="25">
    <w:p w14:paraId="6F1D0C2A" w14:textId="77777777" w:rsidR="00C3345F" w:rsidRPr="005B396B" w:rsidRDefault="00C3345F" w:rsidP="00C3345F">
      <w:pPr>
        <w:pStyle w:val="EndnoteText"/>
        <w:rPr>
          <w:b/>
          <w:i/>
        </w:rPr>
      </w:pPr>
      <w:r w:rsidRPr="005B396B">
        <w:rPr>
          <w:rStyle w:val="EndnoteReference"/>
        </w:rPr>
        <w:endnoteRef/>
      </w:r>
      <w:r w:rsidRPr="005B396B">
        <w:t xml:space="preserve"> </w:t>
      </w:r>
      <w:bookmarkStart w:id="175" w:name="SamplingforMedicationReconciliation"/>
      <w:r w:rsidRPr="005B396B">
        <w:rPr>
          <w:b/>
          <w:i/>
        </w:rPr>
        <w:t>Sampling for Medication Reconciliation</w:t>
      </w:r>
    </w:p>
    <w:bookmarkEnd w:id="175"/>
    <w:p w14:paraId="22FF84D3" w14:textId="3152AF81" w:rsidR="00B44C1C" w:rsidRDefault="00C3345F" w:rsidP="00C3345F">
      <w:pPr>
        <w:pStyle w:val="EndnoteText"/>
      </w:pPr>
      <w:r w:rsidRPr="005B396B">
        <w:t xml:space="preserve">The sample </w:t>
      </w:r>
      <w:r w:rsidR="00990A83" w:rsidRPr="005B396B">
        <w:t xml:space="preserve">must </w:t>
      </w:r>
      <w:r w:rsidRPr="005B396B">
        <w:t xml:space="preserve">contain at least 30 patients from a 6-month reporting period. Sampling is limited to </w:t>
      </w:r>
      <w:r w:rsidR="00EC4EEC" w:rsidRPr="005B396B">
        <w:t xml:space="preserve">medical, </w:t>
      </w:r>
      <w:r w:rsidRPr="005B396B">
        <w:t>medical/surgical units</w:t>
      </w:r>
      <w:r w:rsidR="00C747E7" w:rsidRPr="005B396B">
        <w:t xml:space="preserve"> and step-down/progressive units (adult only)</w:t>
      </w:r>
      <w:r w:rsidRPr="005B396B">
        <w:t xml:space="preserve">. Patients that were discharged or expired before the Gold Standard Medication History could be obtained </w:t>
      </w:r>
      <w:r w:rsidR="00C753D1" w:rsidRPr="005B396B">
        <w:t>must</w:t>
      </w:r>
      <w:r w:rsidRPr="005B396B">
        <w:t xml:space="preserve"> be excluded from the sample. Patients that do not have discharge orders written during the reporting period </w:t>
      </w:r>
      <w:r w:rsidR="00FF5DEA" w:rsidRPr="005B396B">
        <w:t>must</w:t>
      </w:r>
      <w:r w:rsidRPr="005B396B">
        <w:t xml:space="preserve"> also be excluded from the sample. A sampling worksheet is available in the </w:t>
      </w:r>
      <w:hyperlink r:id="rId13" w:history="1">
        <w:r w:rsidRPr="005B396B">
          <w:rPr>
            <w:rStyle w:val="Hyperlink"/>
          </w:rPr>
          <w:t>Medication Reconciliation Workbook</w:t>
        </w:r>
      </w:hyperlink>
      <w:r w:rsidRPr="005B396B">
        <w:t xml:space="preserve"> for those who would like assistance in obtaining a random sample of patients.</w:t>
      </w:r>
      <w:r>
        <w:t xml:space="preserve"> </w:t>
      </w:r>
    </w:p>
    <w:p w14:paraId="742C584E" w14:textId="77777777" w:rsidR="00045157" w:rsidRPr="00045157" w:rsidRDefault="00045157" w:rsidP="00C3345F">
      <w:pPr>
        <w:pStyle w:val="EndnoteText"/>
      </w:pPr>
    </w:p>
  </w:endnote>
  <w:endnote w:id="26">
    <w:p w14:paraId="150CC39B" w14:textId="77777777" w:rsidR="00C3345F" w:rsidRPr="00B03CDE" w:rsidRDefault="00C3345F" w:rsidP="00C3345F">
      <w:pPr>
        <w:pStyle w:val="EndnoteText"/>
        <w:rPr>
          <w:b/>
          <w:i/>
        </w:rPr>
      </w:pPr>
      <w:r w:rsidRPr="00B03CDE">
        <w:rPr>
          <w:rStyle w:val="EndnoteReference"/>
        </w:rPr>
        <w:endnoteRef/>
      </w:r>
      <w:r w:rsidRPr="00B03CDE">
        <w:t xml:space="preserve"> </w:t>
      </w:r>
      <w:bookmarkStart w:id="176" w:name="GoldStandardMedicationHistory"/>
      <w:r w:rsidRPr="00B03CDE">
        <w:rPr>
          <w:b/>
          <w:i/>
        </w:rPr>
        <w:t>Gold Standard Medication History</w:t>
      </w:r>
      <w:bookmarkEnd w:id="176"/>
    </w:p>
    <w:p w14:paraId="25B8CA2E" w14:textId="4BE52E81" w:rsidR="00C3345F" w:rsidRDefault="00C3345F" w:rsidP="00C3345F">
      <w:pPr>
        <w:pStyle w:val="EndnoteText"/>
      </w:pPr>
      <w:r>
        <w:t xml:space="preserve">The Gold Standard Medication History is the list of medications that the patient was taking prior to admission. Within 24 hours after admission, a trained pharmacist, pharmacy resident, or certified pharmacy technician must interview each patient selected for the 6-month sample and obtain the Gold Standard Medication History. Note that this is in addition to, and separate from, any pre-admission medication list that was created as part of normal care. Best practices for collecting the Gold Standard Medication History can be found in the “Other Supporting Materials” for Section </w:t>
      </w:r>
      <w:r w:rsidR="0045656E">
        <w:t>2</w:t>
      </w:r>
      <w:r>
        <w:t xml:space="preserve"> on our </w:t>
      </w:r>
      <w:hyperlink r:id="rId14" w:history="1">
        <w:r w:rsidRPr="00B03CDE">
          <w:rPr>
            <w:rStyle w:val="Hyperlink"/>
          </w:rPr>
          <w:t>website</w:t>
        </w:r>
      </w:hyperlink>
      <w:r>
        <w:t>.</w:t>
      </w:r>
    </w:p>
    <w:p w14:paraId="53264534" w14:textId="77777777" w:rsidR="0045656E" w:rsidRPr="00216021" w:rsidRDefault="0045656E" w:rsidP="00C3345F">
      <w:pPr>
        <w:pStyle w:val="EndnoteText"/>
        <w:rPr>
          <w:b/>
        </w:rPr>
      </w:pPr>
    </w:p>
  </w:endnote>
  <w:endnote w:id="27">
    <w:p w14:paraId="1FF43BD2" w14:textId="77777777" w:rsidR="00C3345F" w:rsidRPr="00CF5AEE" w:rsidRDefault="00C3345F" w:rsidP="00C3345F">
      <w:pPr>
        <w:pStyle w:val="EndnoteText"/>
        <w:rPr>
          <w:i/>
        </w:rPr>
      </w:pPr>
      <w:r w:rsidRPr="00CF5AEE">
        <w:rPr>
          <w:rStyle w:val="EndnoteReference"/>
          <w:i/>
        </w:rPr>
        <w:endnoteRef/>
      </w:r>
      <w:r w:rsidRPr="00CF5AEE">
        <w:rPr>
          <w:i/>
        </w:rPr>
        <w:t xml:space="preserve"> </w:t>
      </w:r>
      <w:bookmarkStart w:id="178" w:name="DiscrepanciesinGoldStandardMedicatio"/>
      <w:r w:rsidRPr="00CF5AEE">
        <w:rPr>
          <w:b/>
          <w:i/>
        </w:rPr>
        <w:t>Discrepancie</w:t>
      </w:r>
      <w:r>
        <w:rPr>
          <w:b/>
          <w:i/>
        </w:rPr>
        <w:t>s in Gold Standard Medication</w:t>
      </w:r>
      <w:r w:rsidRPr="00CF5AEE">
        <w:rPr>
          <w:b/>
          <w:i/>
        </w:rPr>
        <w:t>s</w:t>
      </w:r>
      <w:bookmarkEnd w:id="178"/>
    </w:p>
    <w:p w14:paraId="7636685C" w14:textId="4B0F257D" w:rsidR="00C3345F" w:rsidRDefault="00C3345F" w:rsidP="00C3345F">
      <w:pPr>
        <w:pStyle w:val="EndnoteText"/>
      </w:pPr>
      <w:r>
        <w:t>For each Gold Standard Medication, there may be up to two unintentional discrepancies: a discrepancy in admission orders and a discrepancy in discharge orders. For example, if a medication on the Gold Standard Medicatio</w:t>
      </w:r>
      <w:r w:rsidRPr="00FF4662">
        <w:t>n History</w:t>
      </w:r>
      <w:r>
        <w:t xml:space="preserve"> is ordered for a patient on admission with the incorrect dose, this counts as one discrepancy. If this medication is ordered on discharge for the same incorrect dose, this counts as a second discrepancy. The number of unintentional discrepancies is a count of medication orders where an unintentional discrepancy occurred. You should not count the number of errors associated with the same medication order (e.g., a discrepancy in the dose and frequency in the same medication in admission orders counts as one discrepancy).</w:t>
      </w:r>
    </w:p>
    <w:p w14:paraId="7620620A" w14:textId="77777777" w:rsidR="00EA2663" w:rsidRPr="00CF5AEE" w:rsidRDefault="00EA2663" w:rsidP="00C3345F">
      <w:pPr>
        <w:pStyle w:val="EndnoteText"/>
      </w:pPr>
    </w:p>
  </w:endnote>
  <w:endnote w:id="28">
    <w:p w14:paraId="204E906D" w14:textId="77777777" w:rsidR="00C3345F" w:rsidRPr="00214488" w:rsidRDefault="00C3345F" w:rsidP="00C3345F">
      <w:pPr>
        <w:pStyle w:val="EndnoteText"/>
        <w:rPr>
          <w:b/>
          <w:i/>
        </w:rPr>
      </w:pPr>
      <w:bookmarkStart w:id="179" w:name="unintentaddmeds"/>
      <w:r w:rsidRPr="00214488">
        <w:rPr>
          <w:rStyle w:val="EndnoteReference"/>
          <w:b/>
        </w:rPr>
        <w:endnoteRef/>
      </w:r>
      <w:r w:rsidRPr="00214488">
        <w:rPr>
          <w:b/>
        </w:rPr>
        <w:t xml:space="preserve"> </w:t>
      </w:r>
      <w:r w:rsidRPr="00214488">
        <w:rPr>
          <w:b/>
          <w:i/>
        </w:rPr>
        <w:t>Unintentionally Order</w:t>
      </w:r>
      <w:r>
        <w:rPr>
          <w:b/>
          <w:i/>
        </w:rPr>
        <w:t>ed</w:t>
      </w:r>
      <w:r w:rsidRPr="00214488">
        <w:rPr>
          <w:b/>
          <w:i/>
        </w:rPr>
        <w:t xml:space="preserve"> Additional Medications</w:t>
      </w:r>
    </w:p>
    <w:bookmarkEnd w:id="179"/>
    <w:p w14:paraId="01077AF2" w14:textId="77777777" w:rsidR="00C3345F" w:rsidRPr="00CF5AEE" w:rsidRDefault="00C3345F" w:rsidP="00C3345F">
      <w:pPr>
        <w:pStyle w:val="EndnoteText"/>
      </w:pPr>
      <w:r>
        <w:t>Count medications</w:t>
      </w:r>
      <w:r w:rsidRPr="00CF5AEE">
        <w:t xml:space="preserve"> where a patient was not taking (and was not supposed to be taking) a certain medication, but the medical team incorrectly thought the patient was taking the medication and therefore ordered it on admission and/or discharge.</w:t>
      </w:r>
      <w:r>
        <w:t xml:space="preserve"> Count each medication once, regardless of whether it was ordered on admission, discharge, or both.</w:t>
      </w:r>
    </w:p>
    <w:p w14:paraId="1704451F" w14:textId="77777777" w:rsidR="00C3345F" w:rsidRPr="00216021" w:rsidRDefault="00C3345F" w:rsidP="00C3345F">
      <w:pPr>
        <w:pStyle w:val="EndnoteText"/>
      </w:pPr>
    </w:p>
  </w:endnote>
  <w:endnote w:id="29">
    <w:p w14:paraId="19DC7A60" w14:textId="08716007" w:rsidR="00C3345F" w:rsidRDefault="00C3345F" w:rsidP="00C3345F">
      <w:pPr>
        <w:pStyle w:val="EndnoteText"/>
      </w:pPr>
      <w:bookmarkStart w:id="180" w:name="discrepdueunintentaddmeds"/>
      <w:r>
        <w:rPr>
          <w:rStyle w:val="EndnoteReference"/>
        </w:rPr>
        <w:endnoteRef/>
      </w:r>
      <w:r>
        <w:t xml:space="preserve"> </w:t>
      </w:r>
      <w:r w:rsidRPr="00EC7574">
        <w:rPr>
          <w:b/>
          <w:i/>
        </w:rPr>
        <w:t xml:space="preserve">Discrepancies </w:t>
      </w:r>
      <w:r w:rsidR="00916EC1">
        <w:rPr>
          <w:b/>
          <w:i/>
        </w:rPr>
        <w:t>D</w:t>
      </w:r>
      <w:r w:rsidRPr="00EC7574">
        <w:rPr>
          <w:b/>
          <w:i/>
        </w:rPr>
        <w:t>ue to Unintentionally Ordered Additional Medications</w:t>
      </w:r>
    </w:p>
    <w:bookmarkEnd w:id="180"/>
    <w:p w14:paraId="33AFF7FA" w14:textId="57EE5093" w:rsidR="00C3345F" w:rsidRDefault="00C3345F" w:rsidP="00C3345F">
      <w:pPr>
        <w:pStyle w:val="EndnoteText"/>
      </w:pPr>
      <w:r>
        <w:t>For each unintentionally ordered additional medication, there may be up to two discrepancies: unintentionally ordered at admission, unintentionally ordered at discharge, or both. For example, if a medication is unintentionally ordered at admission, then this counts as one discrepancy. If the same medication is also ordered at discharge, then this counts as a second discrepancy.</w:t>
      </w:r>
    </w:p>
    <w:p w14:paraId="00C9024C" w14:textId="77777777" w:rsidR="00C3345F" w:rsidRPr="00216021" w:rsidRDefault="00C3345F" w:rsidP="00C3345F">
      <w:pPr>
        <w:pStyle w:val="EndnoteText"/>
      </w:pPr>
    </w:p>
  </w:endnote>
  <w:endnote w:id="30">
    <w:p w14:paraId="4A5C2689" w14:textId="17F16CAA" w:rsidR="00DC3693" w:rsidRPr="00FB227A" w:rsidRDefault="00DC3693" w:rsidP="00FB227A">
      <w:pPr>
        <w:pStyle w:val="Heading6"/>
        <w:rPr>
          <w:i/>
          <w:iCs/>
        </w:rPr>
      </w:pPr>
      <w:r w:rsidRPr="00FB227A">
        <w:rPr>
          <w:rStyle w:val="EndnoteReference"/>
          <w:b w:val="0"/>
          <w:bCs/>
        </w:rPr>
        <w:endnoteRef/>
      </w:r>
      <w:r w:rsidRPr="00FB227A">
        <w:rPr>
          <w:b w:val="0"/>
          <w:bCs/>
        </w:rPr>
        <w:t xml:space="preserve"> </w:t>
      </w:r>
      <w:bookmarkStart w:id="227" w:name="datacompletenessrequirement"/>
      <w:r w:rsidRPr="00FB227A">
        <w:rPr>
          <w:i/>
          <w:iCs/>
        </w:rPr>
        <w:t>Data Completeness Requirement for the STS Mitral Valve Repair/Replacement (MVRR) Composite Score</w:t>
      </w:r>
      <w:bookmarkEnd w:id="227"/>
    </w:p>
    <w:p w14:paraId="6C27681D" w14:textId="106E6A81" w:rsidR="00DC3693" w:rsidRDefault="00DC3693" w:rsidP="00DC3693">
      <w:pPr>
        <w:pStyle w:val="EndnoteText"/>
      </w:pPr>
      <w:r>
        <w:t>Participants are excluded from the analysis if they have fewer than 36 isolated MVRR procedures in the patient population. Please find more information in the NQF-endorsed measure specifications, available</w:t>
      </w:r>
      <w:r w:rsidR="00E67EDC">
        <w:t xml:space="preserve"> at</w:t>
      </w:r>
      <w:r>
        <w:t xml:space="preserve"> </w:t>
      </w:r>
      <w:hyperlink r:id="rId15" w:anchor="MVRRComposite" w:history="1">
        <w:r w:rsidRPr="00EB7EF7">
          <w:rPr>
            <w:rStyle w:val="Hyperlink"/>
          </w:rPr>
          <w:t>https://www.sts.org/quality-safety/performance-measures/descriptions#MVRRComposite</w:t>
        </w:r>
      </w:hyperlink>
      <w:r>
        <w:t xml:space="preserve">. </w:t>
      </w:r>
    </w:p>
    <w:p w14:paraId="3523E6D6" w14:textId="77777777" w:rsidR="00DC3693" w:rsidRPr="00216021" w:rsidRDefault="00DC3693">
      <w:pPr>
        <w:pStyle w:val="EndnoteText"/>
      </w:pPr>
    </w:p>
  </w:endnote>
  <w:endnote w:id="31">
    <w:p w14:paraId="50DCB8D1" w14:textId="615DDC1D" w:rsidR="00322A3C" w:rsidRPr="00013C1B" w:rsidRDefault="00322A3C" w:rsidP="007D1EA1">
      <w:pPr>
        <w:pStyle w:val="EndnoteText"/>
        <w:rPr>
          <w:b/>
          <w:i/>
        </w:rPr>
      </w:pPr>
      <w:r w:rsidRPr="00013C1B">
        <w:rPr>
          <w:rStyle w:val="EndnoteReference"/>
        </w:rPr>
        <w:endnoteRef/>
      </w:r>
      <w:r w:rsidRPr="00013C1B">
        <w:t xml:space="preserve"> </w:t>
      </w:r>
      <w:bookmarkStart w:id="305" w:name="Endnote18_HighRiskDel"/>
      <w:r w:rsidRPr="00013C1B">
        <w:rPr>
          <w:b/>
          <w:i/>
        </w:rPr>
        <w:t>High-Risk Deliveries Admitted</w:t>
      </w:r>
      <w:bookmarkEnd w:id="305"/>
    </w:p>
    <w:p w14:paraId="3EAB0B8F" w14:textId="77777777" w:rsidR="00322A3C" w:rsidRPr="00013C1B" w:rsidRDefault="00322A3C" w:rsidP="007D1EA1">
      <w:r w:rsidRPr="00013C1B">
        <w:t>Includes deliveries with:</w:t>
      </w:r>
    </w:p>
    <w:p w14:paraId="42E73A6D" w14:textId="77777777" w:rsidR="00322A3C" w:rsidRPr="00013C1B" w:rsidRDefault="00322A3C">
      <w:pPr>
        <w:numPr>
          <w:ilvl w:val="0"/>
          <w:numId w:val="6"/>
        </w:numPr>
      </w:pPr>
      <w:r w:rsidRPr="00013C1B">
        <w:rPr>
          <w:i/>
        </w:rPr>
        <w:t>expected</w:t>
      </w:r>
      <w:r w:rsidRPr="00013C1B">
        <w:t xml:space="preserve"> birth weight &lt;1500 grams; or </w:t>
      </w:r>
    </w:p>
    <w:p w14:paraId="3BB93A65" w14:textId="77777777" w:rsidR="00322A3C" w:rsidRPr="00013C1B" w:rsidRDefault="00322A3C">
      <w:pPr>
        <w:numPr>
          <w:ilvl w:val="0"/>
          <w:numId w:val="6"/>
        </w:numPr>
      </w:pPr>
      <w:r w:rsidRPr="00013C1B">
        <w:t>gestational age at least 22 weeks but &lt;32 weeks.</w:t>
      </w:r>
    </w:p>
    <w:p w14:paraId="4C020384" w14:textId="77777777" w:rsidR="00322A3C" w:rsidRPr="00013C1B" w:rsidRDefault="00322A3C" w:rsidP="007D1EA1">
      <w:pPr>
        <w:pStyle w:val="DefinitionList"/>
        <w:ind w:left="0"/>
        <w:rPr>
          <w:sz w:val="16"/>
          <w:szCs w:val="16"/>
        </w:rPr>
      </w:pPr>
    </w:p>
    <w:p w14:paraId="044DBC18" w14:textId="1E14A1FE" w:rsidR="00322A3C" w:rsidRPr="00013C1B" w:rsidRDefault="00322A3C" w:rsidP="007D1EA1">
      <w:r w:rsidRPr="00013C1B">
        <w:t xml:space="preserve">Not all women at risk for delivery of babies with these conditions are known beforehand to be at risk. Therefore, </w:t>
      </w:r>
      <w:r w:rsidR="008B618B">
        <w:t xml:space="preserve">hospitals </w:t>
      </w:r>
      <w:r w:rsidR="00931D15">
        <w:t xml:space="preserve">should not report on high-risk deliveries in Section 4E: High Risk Deliveries if they </w:t>
      </w:r>
      <w:r w:rsidR="008B618B">
        <w:t xml:space="preserve">only admit </w:t>
      </w:r>
      <w:r w:rsidRPr="00013C1B">
        <w:t xml:space="preserve">deliveries in which these high-risk conditions were </w:t>
      </w:r>
      <w:r w:rsidRPr="00013C1B">
        <w:rPr>
          <w:u w:val="single"/>
        </w:rPr>
        <w:t>unknown</w:t>
      </w:r>
      <w:r w:rsidRPr="00013C1B">
        <w:t xml:space="preserve"> prior to admission </w:t>
      </w:r>
      <w:r w:rsidR="001C5DAA">
        <w:t>or</w:t>
      </w:r>
      <w:r w:rsidR="00931D15">
        <w:t xml:space="preserve"> if they</w:t>
      </w:r>
      <w:r w:rsidR="001C5DAA">
        <w:t xml:space="preserve"> only </w:t>
      </w:r>
      <w:r w:rsidR="0024617E">
        <w:t>admit high-risk deliveries o</w:t>
      </w:r>
      <w:r w:rsidR="001C5DAA">
        <w:t>n an emergency basis or when a patient is too unstable for safe transfer</w:t>
      </w:r>
      <w:r w:rsidR="0024617E">
        <w:t>.</w:t>
      </w:r>
    </w:p>
    <w:p w14:paraId="62D7B673" w14:textId="1705EBE0" w:rsidR="00322A3C" w:rsidRPr="00A4550B" w:rsidRDefault="00322A3C" w:rsidP="007D1EA1"/>
  </w:endnote>
  <w:endnote w:id="32">
    <w:p w14:paraId="13A6DDAB" w14:textId="77777777" w:rsidR="00322A3C" w:rsidRPr="00CB4421" w:rsidRDefault="00322A3C" w:rsidP="007D1EA1">
      <w:pPr>
        <w:pStyle w:val="EndnoteText"/>
        <w:rPr>
          <w:b/>
          <w:i/>
        </w:rPr>
      </w:pPr>
      <w:r w:rsidRPr="00CB4421">
        <w:rPr>
          <w:rStyle w:val="EndnoteReference"/>
        </w:rPr>
        <w:endnoteRef/>
      </w:r>
      <w:r w:rsidRPr="00CB4421">
        <w:t xml:space="preserve"> </w:t>
      </w:r>
      <w:bookmarkStart w:id="308" w:name="Endnote19_ColocatedNICU"/>
      <w:bookmarkStart w:id="309" w:name="colocatedendnote"/>
      <w:r w:rsidRPr="00CB4421">
        <w:rPr>
          <w:b/>
          <w:i/>
        </w:rPr>
        <w:t>Co-located</w:t>
      </w:r>
      <w:bookmarkEnd w:id="308"/>
      <w:bookmarkEnd w:id="309"/>
    </w:p>
    <w:p w14:paraId="6B957D3F" w14:textId="2DC95702" w:rsidR="006470F4" w:rsidRPr="00A4550B" w:rsidRDefault="00322A3C" w:rsidP="007D1EA1">
      <w:pPr>
        <w:pStyle w:val="EndnoteText"/>
      </w:pPr>
      <w:r w:rsidRPr="00CB4421">
        <w:t>A location within “immediate physical proximity” of the hospital would be considered a co-located location or unit, e.g., a co-</w:t>
      </w:r>
      <w:r w:rsidRPr="00EB25EE">
        <w:t>located neonatal ICU (NICU) or</w:t>
      </w:r>
      <w:r w:rsidRPr="00CB4421">
        <w:t xml:space="preserve"> co-located hospital outpatient location. "Immediate physical proximity” means the two locations must be physically connected, either by a tunnel, an enclosed bridge, or the locations </w:t>
      </w:r>
      <w:r w:rsidRPr="00DF7EF2">
        <w:t>abut</w:t>
      </w:r>
      <w:r w:rsidRPr="00CB4421">
        <w:t xml:space="preserve"> each other so that the hallways readily connect.</w:t>
      </w:r>
    </w:p>
    <w:p w14:paraId="5165A6F6" w14:textId="77777777" w:rsidR="008932D0" w:rsidRPr="00216021" w:rsidRDefault="008932D0" w:rsidP="007D1EA1">
      <w:pPr>
        <w:pStyle w:val="EndnoteText"/>
      </w:pPr>
    </w:p>
  </w:endnote>
  <w:endnote w:id="33">
    <w:p w14:paraId="3A61C333" w14:textId="3B0C589B" w:rsidR="00322A3C" w:rsidRPr="00013C1B" w:rsidRDefault="00322A3C" w:rsidP="007D1EA1">
      <w:pPr>
        <w:pStyle w:val="EndnoteText"/>
        <w:rPr>
          <w:b/>
          <w:i/>
        </w:rPr>
      </w:pPr>
      <w:r w:rsidRPr="00013C1B">
        <w:rPr>
          <w:rStyle w:val="EndnoteReference"/>
        </w:rPr>
        <w:endnoteRef/>
      </w:r>
      <w:r w:rsidRPr="00013C1B">
        <w:t xml:space="preserve"> </w:t>
      </w:r>
      <w:bookmarkStart w:id="311" w:name="Endnote20_VLBW"/>
      <w:r w:rsidRPr="00013C1B">
        <w:rPr>
          <w:b/>
          <w:i/>
        </w:rPr>
        <w:t>Very low birth weight babies</w:t>
      </w:r>
      <w:bookmarkEnd w:id="311"/>
    </w:p>
    <w:p w14:paraId="794AF33C" w14:textId="27015E62" w:rsidR="00322A3C" w:rsidRDefault="00322A3C" w:rsidP="007D1EA1">
      <w:r w:rsidRPr="00013C1B">
        <w:t xml:space="preserve">Complicated newborns are those infants with a birth weight &lt;1500 grams. If your hospital has a neonatal ICU (or is co-located with a hospital that has a neonatal ICU) that admits or accepts transfers of neonates with these conditions, you </w:t>
      </w:r>
      <w:r w:rsidR="00DB6B49" w:rsidRPr="00013C1B">
        <w:t>must</w:t>
      </w:r>
      <w:r w:rsidRPr="00013C1B">
        <w:t xml:space="preserve"> answer “yes” to question #2.</w:t>
      </w:r>
    </w:p>
    <w:p w14:paraId="504E7545" w14:textId="77777777" w:rsidR="000E7C65" w:rsidRPr="00E54011" w:rsidRDefault="000E7C65" w:rsidP="007D1EA1"/>
  </w:endnote>
  <w:endnote w:id="34">
    <w:p w14:paraId="4B624D8A" w14:textId="77777777" w:rsidR="00322A3C" w:rsidRPr="00FE6C74" w:rsidRDefault="00322A3C">
      <w:pPr>
        <w:pStyle w:val="EndnoteText"/>
      </w:pPr>
      <w:r w:rsidRPr="00FE6C74">
        <w:rPr>
          <w:rStyle w:val="EndnoteReference"/>
        </w:rPr>
        <w:endnoteRef/>
      </w:r>
      <w:r w:rsidRPr="00FE6C74">
        <w:t xml:space="preserve"> </w:t>
      </w:r>
      <w:bookmarkStart w:id="312" w:name="Endnote21_VON"/>
      <w:r w:rsidRPr="00FE6C74">
        <w:rPr>
          <w:b/>
          <w:i/>
          <w:snapToGrid w:val="0"/>
          <w:color w:val="000000"/>
        </w:rPr>
        <w:t>VON’s Death or Morbidity Measure</w:t>
      </w:r>
      <w:bookmarkEnd w:id="312"/>
      <w:r w:rsidRPr="00FE6C74">
        <w:t xml:space="preserve"> </w:t>
      </w:r>
    </w:p>
    <w:p w14:paraId="15459402" w14:textId="77777777" w:rsidR="00322A3C" w:rsidRDefault="00322A3C" w:rsidP="00440B2C">
      <w:pPr>
        <w:pStyle w:val="EndnoteText"/>
      </w:pPr>
      <w:r>
        <w:t xml:space="preserve">This measure is collected and calculated by the Vermont Oxford Network and includes patients who have </w:t>
      </w:r>
      <w:r w:rsidRPr="00A34CA2">
        <w:t>died or are known to have one or more of</w:t>
      </w:r>
      <w:r>
        <w:t xml:space="preserve"> the following: severe intraventricular hemorrhage (SIVH); chronic lung disease (CLD); necrotizing enterocolitis (NEC); pneumothorax; any late infection (bacterial, fungal, or coagulase negative staph); or cystic periventricular leukomalacia (PVL). </w:t>
      </w:r>
    </w:p>
    <w:p w14:paraId="265714B3" w14:textId="77777777" w:rsidR="00E67EDC" w:rsidRPr="00216021" w:rsidRDefault="00E67EDC">
      <w:pPr>
        <w:pStyle w:val="EndnoteText"/>
      </w:pPr>
    </w:p>
  </w:endnote>
  <w:endnote w:id="35">
    <w:p w14:paraId="5A42B59B" w14:textId="58BC2484" w:rsidR="00322A3C" w:rsidRPr="00402BB7" w:rsidRDefault="00322A3C" w:rsidP="00385598">
      <w:pPr>
        <w:pStyle w:val="EndnoteText"/>
        <w:rPr>
          <w:b/>
        </w:rPr>
      </w:pPr>
      <w:r w:rsidRPr="00402BB7">
        <w:rPr>
          <w:rStyle w:val="EndnoteReference"/>
        </w:rPr>
        <w:endnoteRef/>
      </w:r>
      <w:r w:rsidRPr="00402BB7">
        <w:t xml:space="preserve"> </w:t>
      </w:r>
      <w:bookmarkStart w:id="398" w:name="Endnote22_CCPatients"/>
      <w:r w:rsidRPr="00402BB7">
        <w:rPr>
          <w:b/>
          <w:i/>
        </w:rPr>
        <w:t xml:space="preserve">All Critical Care Patients </w:t>
      </w:r>
    </w:p>
    <w:bookmarkEnd w:id="398"/>
    <w:p w14:paraId="4C3DDBF7" w14:textId="0DE05F21" w:rsidR="00322A3C" w:rsidRDefault="00322A3C" w:rsidP="00385598">
      <w:pPr>
        <w:pStyle w:val="EndnoteText"/>
      </w:pPr>
      <w:r w:rsidRPr="00402BB7">
        <w:rPr>
          <w:b/>
        </w:rPr>
        <w:t>“All critical care patients”</w:t>
      </w:r>
      <w:r w:rsidRPr="00402BB7">
        <w:t xml:space="preserve"> means all general medical</w:t>
      </w:r>
      <w:r w:rsidR="00793D2D" w:rsidRPr="00402BB7">
        <w:t>, surgical,</w:t>
      </w:r>
      <w:r w:rsidRPr="00402BB7">
        <w:t xml:space="preserve"> </w:t>
      </w:r>
      <w:r w:rsidR="00D3207E" w:rsidRPr="00402BB7">
        <w:t>medical</w:t>
      </w:r>
      <w:r w:rsidRPr="00402BB7">
        <w:t>/surgical</w:t>
      </w:r>
      <w:r w:rsidR="00D3207E" w:rsidRPr="00402BB7">
        <w:t>,</w:t>
      </w:r>
      <w:r w:rsidRPr="00402BB7">
        <w:t xml:space="preserve"> and neuro ICU patients in</w:t>
      </w:r>
      <w:r w:rsidR="00EA5719" w:rsidRPr="00402BB7">
        <w:t>cluding critical care patients in</w:t>
      </w:r>
      <w:r w:rsidRPr="00402BB7">
        <w:t xml:space="preserve"> </w:t>
      </w:r>
      <w:r w:rsidR="00A412B7" w:rsidRPr="00402BB7">
        <w:t>mixed acuity units</w:t>
      </w:r>
      <w:r w:rsidRPr="00402BB7">
        <w:t>.</w:t>
      </w:r>
    </w:p>
    <w:p w14:paraId="26BF2A20" w14:textId="77777777" w:rsidR="00206A52" w:rsidRPr="00216021" w:rsidRDefault="00206A52" w:rsidP="00385598">
      <w:pPr>
        <w:pStyle w:val="EndnoteText"/>
      </w:pPr>
    </w:p>
  </w:endnote>
  <w:endnote w:id="36">
    <w:p w14:paraId="075BDB87" w14:textId="77777777" w:rsidR="00322A3C" w:rsidRPr="00690069" w:rsidRDefault="00322A3C">
      <w:pPr>
        <w:pStyle w:val="EndnoteText"/>
      </w:pPr>
      <w:r w:rsidRPr="00690069">
        <w:rPr>
          <w:rStyle w:val="EndnoteReference"/>
        </w:rPr>
        <w:endnoteRef/>
      </w:r>
      <w:r w:rsidRPr="00690069">
        <w:t xml:space="preserve"> </w:t>
      </w:r>
      <w:bookmarkStart w:id="400" w:name="Endnote24_Manage"/>
      <w:r w:rsidRPr="00690069">
        <w:rPr>
          <w:b/>
          <w:i/>
        </w:rPr>
        <w:t>Managed or Co-Managed</w:t>
      </w:r>
      <w:bookmarkEnd w:id="400"/>
    </w:p>
    <w:p w14:paraId="79978385" w14:textId="2F5BE858" w:rsidR="00322A3C" w:rsidRDefault="00322A3C">
      <w:pPr>
        <w:pStyle w:val="EndnoteText"/>
      </w:pPr>
      <w:r w:rsidRPr="00690069">
        <w:t>The intensivist, when present (whether on-site or via telemedicine), is authorized to diagnose, treat, and write orders for a patient in the ICU on</w:t>
      </w:r>
      <w:r w:rsidR="00D016B4" w:rsidRPr="00690069">
        <w:t xml:space="preserve"> the intensivist’s</w:t>
      </w:r>
      <w:r w:rsidRPr="00690069">
        <w:t xml:space="preserve"> own authority. </w:t>
      </w:r>
      <w:r w:rsidR="00930A86" w:rsidRPr="00690069">
        <w:t xml:space="preserve">Examples of co-management include, but are not limited to, communication on patient status between the intensivist and hospitalist </w:t>
      </w:r>
      <w:r w:rsidR="00296DC0" w:rsidRPr="00690069">
        <w:t xml:space="preserve">on </w:t>
      </w:r>
      <w:r w:rsidR="00930A86" w:rsidRPr="00690069">
        <w:t xml:space="preserve">a daily basis, intensivists co-develop care plans for all ICU patients, etc. </w:t>
      </w:r>
      <w:r w:rsidRPr="00690069">
        <w:t>Mandatory consults or daily rounds by an intensivist are not sufficient to meet the managed/co-managed requirement. However, an ICU need not be closed to meet this requirement.</w:t>
      </w:r>
    </w:p>
    <w:p w14:paraId="061220BE" w14:textId="77777777" w:rsidR="000E7C65" w:rsidRPr="00216021" w:rsidRDefault="000E7C65">
      <w:pPr>
        <w:pStyle w:val="EndnoteText"/>
      </w:pPr>
    </w:p>
  </w:endnote>
  <w:endnote w:id="37">
    <w:p w14:paraId="7B236CFA" w14:textId="77777777" w:rsidR="00322A3C" w:rsidRPr="007F71F3" w:rsidRDefault="00322A3C">
      <w:pPr>
        <w:pStyle w:val="BodyText2"/>
        <w:rPr>
          <w:b/>
        </w:rPr>
      </w:pPr>
      <w:r w:rsidRPr="007F71F3">
        <w:rPr>
          <w:rStyle w:val="EndnoteReference"/>
        </w:rPr>
        <w:endnoteRef/>
      </w:r>
      <w:bookmarkStart w:id="402" w:name="Endnote25_Certified"/>
      <w:r w:rsidRPr="007F71F3">
        <w:t xml:space="preserve"> </w:t>
      </w:r>
      <w:r w:rsidRPr="007F71F3">
        <w:rPr>
          <w:b/>
        </w:rPr>
        <w:t>Certified in Critical Care Medicine</w:t>
      </w:r>
      <w:bookmarkEnd w:id="402"/>
    </w:p>
    <w:p w14:paraId="2E35CDD0" w14:textId="43228806" w:rsidR="005A11A5" w:rsidRPr="007F71F3" w:rsidRDefault="00322A3C" w:rsidP="005A11A5">
      <w:pPr>
        <w:rPr>
          <w:rFonts w:ascii="Calibri" w:hAnsi="Calibri"/>
        </w:rPr>
      </w:pPr>
      <w:r w:rsidRPr="007F71F3">
        <w:t>A physician who is “certified in Critical Care Medicine” is a board-certified physician who is additionally certified in the subspecialty of Critical Care Medicine. Certification in Critical Care Medicine is awarded by the American Boards of Internal Medicine, Surgery, Anesthesiology, Pediatrics, and Emergency Medicine</w:t>
      </w:r>
      <w:r w:rsidR="00AB393E" w:rsidRPr="007F71F3">
        <w:t xml:space="preserve">, as well as the </w:t>
      </w:r>
      <w:r w:rsidR="0018356E" w:rsidRPr="007F71F3">
        <w:t>American Osteopathic Board (AOS)</w:t>
      </w:r>
      <w:r w:rsidR="003D4292" w:rsidRPr="007F71F3">
        <w:t xml:space="preserve">. </w:t>
      </w:r>
      <w:r w:rsidR="0018356E" w:rsidRPr="007F71F3">
        <w:t xml:space="preserve"> </w:t>
      </w:r>
      <w:r w:rsidRPr="007F71F3">
        <w:br/>
      </w:r>
      <w:r w:rsidRPr="007F71F3">
        <w:br/>
        <w:t xml:space="preserve">“Neurointensivists” </w:t>
      </w:r>
      <w:r w:rsidR="005A11A5" w:rsidRPr="007F71F3">
        <w:t>include any physician that meets at least one of the following paths:</w:t>
      </w:r>
    </w:p>
    <w:p w14:paraId="440D5C64" w14:textId="77E88FB7" w:rsidR="005A11A5" w:rsidRPr="007F71F3" w:rsidRDefault="005A11A5" w:rsidP="00AD309C">
      <w:pPr>
        <w:pStyle w:val="ListParagraph"/>
        <w:numPr>
          <w:ilvl w:val="0"/>
          <w:numId w:val="226"/>
        </w:numPr>
      </w:pPr>
      <w:r w:rsidRPr="007F71F3">
        <w:t>Physicians who are board-certified in their primary specialty and who are additionally certified in the subspecialty of Neurocritical Care Medicine</w:t>
      </w:r>
      <w:r w:rsidR="00BA6076" w:rsidRPr="007F71F3">
        <w:t xml:space="preserve">. </w:t>
      </w:r>
      <w:r w:rsidRPr="007F71F3">
        <w:t>Certification in Neurocritical Care Medicine is awarded by the United Council for Neurologic Subspecialties (UCNS) or</w:t>
      </w:r>
      <w:r w:rsidR="00BA6076" w:rsidRPr="007F71F3">
        <w:t xml:space="preserve"> </w:t>
      </w:r>
      <w:r w:rsidRPr="007F71F3">
        <w:t>by the American Board of Psychiatry and Neurology, Inc. (ABPN). Physicians who have not yet passed a certifying exam, either through UCNS or ABPN, are considered to be equivalent to a physician “certified in Neurocritical Care Medicine” for up to 3 years after they are eligible to take either: (1) the UCNS exam (UCNS currently offers a “grandfathering” option for their “Practice Track” for exam eligibility) or (2) the ABPN exam (ABPN currently offers a “grandfathering” or practice pathway track for exam eligibility, which will last until 2026). These options provide a 3-year grace period for clinicians to take and pass the necessary exams. To qualify for the grace period, hospitals and/or clinicians will need to provide clear documentation of what their eligibility dates were to sit for one or both of these exams.</w:t>
      </w:r>
    </w:p>
    <w:p w14:paraId="6CA081F7" w14:textId="30C20A73" w:rsidR="005A11A5" w:rsidRPr="007F71F3" w:rsidRDefault="005A11A5" w:rsidP="00AD309C">
      <w:pPr>
        <w:pStyle w:val="ListParagraph"/>
        <w:numPr>
          <w:ilvl w:val="0"/>
          <w:numId w:val="226"/>
        </w:numPr>
      </w:pPr>
      <w:r w:rsidRPr="007F71F3">
        <w:t>Physicians who are board-certified in their primary specialty and who are additionally credentialed by the American Board of Neurological Surgery (ABNS) through their Recognition of Focused Practice in Neurocritical Care. Physicians who have not yet passed the ABNS Neurocritical Care RFP exam are considered to be equivalent to a physician “certified in Neurocritical Care Medicine” for up to 3 years after they are eligible to take the exam. This provides a 3-year grace period for clinicians to take and pass the necessary exam. To qualify for the grace period, hospitals and/or clinicians will need to provide clear documentation of what their eligibility dates were to sit for the exam.</w:t>
      </w:r>
    </w:p>
    <w:p w14:paraId="64E62FEC" w14:textId="77777777" w:rsidR="00322A3C" w:rsidRPr="007F71F3" w:rsidRDefault="00322A3C" w:rsidP="006B19E3">
      <w:pPr>
        <w:pStyle w:val="BodyText2"/>
        <w:rPr>
          <w:i w:val="0"/>
        </w:rPr>
      </w:pPr>
    </w:p>
    <w:p w14:paraId="6DC965C5" w14:textId="77777777" w:rsidR="00322A3C" w:rsidRPr="007F71F3" w:rsidRDefault="00322A3C" w:rsidP="006B19E3">
      <w:pPr>
        <w:pStyle w:val="BodyText2"/>
        <w:rPr>
          <w:i w:val="0"/>
        </w:rPr>
      </w:pPr>
      <w:r w:rsidRPr="007F71F3">
        <w:rPr>
          <w:b/>
          <w:i w:val="0"/>
        </w:rPr>
        <w:t>Expanded Definition of Certified in Critical Care Medicine</w:t>
      </w:r>
      <w:r w:rsidRPr="007F71F3">
        <w:rPr>
          <w:i w:val="0"/>
        </w:rPr>
        <w:t xml:space="preserve"> </w:t>
      </w:r>
    </w:p>
    <w:p w14:paraId="02B12257" w14:textId="312EFE83" w:rsidR="00322A3C" w:rsidRPr="007F71F3" w:rsidRDefault="00322A3C" w:rsidP="006B19E3">
      <w:pPr>
        <w:pStyle w:val="BodyText2"/>
        <w:rPr>
          <w:i w:val="0"/>
        </w:rPr>
      </w:pPr>
      <w:r w:rsidRPr="007F71F3">
        <w:rPr>
          <w:i w:val="0"/>
        </w:rPr>
        <w:t>On an interim basis, three other categories of physicians are considered by Leapfrog to be equivalent to a physician “certified in Critical Care Medicine” for the purpose of meeting the standard:</w:t>
      </w:r>
    </w:p>
    <w:p w14:paraId="607F1030" w14:textId="77777777" w:rsidR="00322A3C" w:rsidRPr="007F71F3" w:rsidRDefault="00322A3C" w:rsidP="00AD309C">
      <w:pPr>
        <w:pStyle w:val="BodyText2"/>
        <w:numPr>
          <w:ilvl w:val="0"/>
          <w:numId w:val="43"/>
        </w:numPr>
        <w:rPr>
          <w:i w:val="0"/>
        </w:rPr>
      </w:pPr>
      <w:r w:rsidRPr="007F71F3">
        <w:rPr>
          <w:i w:val="0"/>
        </w:rPr>
        <w:t>Physicians who completed training prior to availability of subspecialty certification in critical care in their specialty (1987 for Internal Medicine, Surgery, Anesthesiology, Pediatrics and 2013 for Emergency Medicine), who are board-certified in their specialty, and who have provided at least six weeks of full-time ICU care annually. (The weeks need not be consecutive weeks.)</w:t>
      </w:r>
    </w:p>
    <w:p w14:paraId="059CDE34" w14:textId="77777777" w:rsidR="00322A3C" w:rsidRPr="007F71F3" w:rsidRDefault="00322A3C" w:rsidP="00AD309C">
      <w:pPr>
        <w:pStyle w:val="BodyText2"/>
        <w:numPr>
          <w:ilvl w:val="0"/>
          <w:numId w:val="43"/>
        </w:numPr>
        <w:rPr>
          <w:i w:val="0"/>
        </w:rPr>
      </w:pPr>
      <w:r w:rsidRPr="007F71F3">
        <w:rPr>
          <w:i w:val="0"/>
        </w:rPr>
        <w:t>Physicians who have finished their fellowship in Critical Care Medicine, but have not yet passed an existing board-certifying exam, are considered to be equivalent to a physician “Certified in Critical Care Medicine” for up to three years after completion of the fellowship. This provides the physician an adequate window to take her/his boards and re-take if necessary.</w:t>
      </w:r>
    </w:p>
    <w:p w14:paraId="6E05366C" w14:textId="77777777" w:rsidR="00322A3C" w:rsidRPr="007F71F3" w:rsidRDefault="00322A3C" w:rsidP="00AD309C">
      <w:pPr>
        <w:pStyle w:val="BodyText2"/>
        <w:numPr>
          <w:ilvl w:val="0"/>
          <w:numId w:val="42"/>
        </w:numPr>
        <w:rPr>
          <w:i w:val="0"/>
        </w:rPr>
      </w:pPr>
      <w:r w:rsidRPr="007F71F3">
        <w:rPr>
          <w:i w:val="0"/>
        </w:rPr>
        <w:t>Physicians who are board-certified in their primary specialty and have completed a critical care fellowship at an ACGME-accredited program, but are ineligible to sit for a board-certifying exam in Critical Care in either their primary specialty or subspecialty because their training occurred under two separate certifying boards, are considered to be equivalent to a physician “Certified in Critical Care Medicine” if they are board-certified in their primary specialty and have provided at least six weeks of full-time ICU care annually. (The weeks need not be consecutive weeks.)</w:t>
      </w:r>
    </w:p>
    <w:p w14:paraId="0D774906" w14:textId="77777777" w:rsidR="00DC1FA9" w:rsidRPr="007F71F3" w:rsidRDefault="00DC1FA9">
      <w:pPr>
        <w:pStyle w:val="BodyText2"/>
        <w:rPr>
          <w:i w:val="0"/>
        </w:rPr>
      </w:pPr>
    </w:p>
    <w:p w14:paraId="53C6FD1F" w14:textId="727978AC" w:rsidR="00B44C1C" w:rsidRPr="00045157" w:rsidRDefault="00322A3C">
      <w:pPr>
        <w:pStyle w:val="BodyText2"/>
        <w:rPr>
          <w:i w:val="0"/>
        </w:rPr>
      </w:pPr>
      <w:r w:rsidRPr="007F71F3">
        <w:rPr>
          <w:i w:val="0"/>
        </w:rPr>
        <w:t>Physicians who have let their board certification lapse are not considered to be “Certified in Critical Care Medicine.”</w:t>
      </w:r>
      <w:r w:rsidR="00CE2FE9">
        <w:rPr>
          <w:i w:val="0"/>
        </w:rPr>
        <w:br/>
      </w:r>
    </w:p>
  </w:endnote>
  <w:endnote w:id="38">
    <w:p w14:paraId="3A99FB42" w14:textId="77777777" w:rsidR="00322A3C" w:rsidRPr="00025567" w:rsidRDefault="00322A3C">
      <w:pPr>
        <w:pStyle w:val="EndnoteText"/>
      </w:pPr>
      <w:r w:rsidRPr="00025567">
        <w:rPr>
          <w:rStyle w:val="EndnoteReference"/>
        </w:rPr>
        <w:endnoteRef/>
      </w:r>
      <w:r w:rsidRPr="00025567">
        <w:t xml:space="preserve"> </w:t>
      </w:r>
      <w:bookmarkStart w:id="404" w:name="Endnote26_Present"/>
      <w:r w:rsidRPr="00025567">
        <w:rPr>
          <w:b/>
          <w:i/>
        </w:rPr>
        <w:t>Ordinarily and Exclusively Present in the ICU</w:t>
      </w:r>
      <w:bookmarkEnd w:id="404"/>
    </w:p>
    <w:p w14:paraId="4048F4C2" w14:textId="51C07623" w:rsidR="00322A3C" w:rsidRPr="00C57200" w:rsidRDefault="00322A3C">
      <w:pPr>
        <w:pStyle w:val="EndnoteText"/>
      </w:pPr>
      <w:r w:rsidRPr="00C57200">
        <w:rPr>
          <w:b/>
        </w:rPr>
        <w:t>“Ordinarily present in the ICU”</w:t>
      </w:r>
      <w:r w:rsidRPr="00C57200">
        <w:t xml:space="preserve"> refers to direct on-site presence in the ICU of an intensivist during the 4-hour or 8-hour period. While it need not be the same intensivist for the entire 4-hour or 8-hour period, it is expected that the ICU(s) are primarily staffed by dedicated ICU intensivists who are ordinarily and exclusively present in the ICU(s). "Presence" does </w:t>
      </w:r>
      <w:r w:rsidRPr="00C57200">
        <w:rPr>
          <w:i/>
        </w:rPr>
        <w:t>not</w:t>
      </w:r>
      <w:r w:rsidRPr="00C57200">
        <w:t xml:space="preserve"> mean staffed part-time by multiple physicians who are not ordinarily and exclusively dedicated to the ICU, </w:t>
      </w:r>
      <w:r w:rsidRPr="00C57200">
        <w:rPr>
          <w:i/>
        </w:rPr>
        <w:t>nor</w:t>
      </w:r>
      <w:r w:rsidRPr="00C57200">
        <w:t xml:space="preserve"> does it mean the cumulative time that one or more intensivists spend in the unit visiting, rounding, consulting, or responding to pages.</w:t>
      </w:r>
    </w:p>
    <w:p w14:paraId="1403A263" w14:textId="00B43321" w:rsidR="00322A3C" w:rsidRPr="00E67EDC" w:rsidRDefault="00322A3C">
      <w:pPr>
        <w:pStyle w:val="EndnoteText"/>
        <w:rPr>
          <w:sz w:val="16"/>
          <w:szCs w:val="16"/>
        </w:rPr>
      </w:pPr>
    </w:p>
    <w:p w14:paraId="6A79592C" w14:textId="1107ED8C" w:rsidR="00322A3C" w:rsidRPr="00E67EDC" w:rsidRDefault="00322A3C">
      <w:pPr>
        <w:pStyle w:val="EndnoteText"/>
        <w:rPr>
          <w:sz w:val="16"/>
          <w:szCs w:val="16"/>
        </w:rPr>
      </w:pPr>
      <w:r w:rsidRPr="00C57200">
        <w:t>The standard allows for normally expected intensivist activities outside of the ICU related to their responsibilities in the ICU (e.g., evaluating patients proposed for ICU admission), as long as intensivists</w:t>
      </w:r>
      <w:r>
        <w:t xml:space="preserve"> are ordinarily present in the ICU and return immediately when paged. An intensivist present in one ICU immediately adjacent to another can be considered present in both units as long as </w:t>
      </w:r>
      <w:r w:rsidR="00D344E1" w:rsidRPr="00C64B8D">
        <w:t>they</w:t>
      </w:r>
      <w:r w:rsidRPr="00C64B8D">
        <w:t xml:space="preserve"> can respond to demands in both units as if </w:t>
      </w:r>
      <w:r w:rsidR="00D344E1" w:rsidRPr="00C64B8D">
        <w:t>they</w:t>
      </w:r>
      <w:r w:rsidRPr="00C64B8D">
        <w:t xml:space="preserve"> would if both units were one larger unit. For the purposes of this Survey, “adjacent” units are those units that can be reached within 5 minutes. While tele-intensivists can be used to meet the presence requirement, some on-site intensivist presence is still necessary to meet the Leapfrog specifications. </w:t>
      </w:r>
      <w:r w:rsidRPr="00C64B8D">
        <w:br/>
      </w:r>
    </w:p>
    <w:p w14:paraId="4C5EE971" w14:textId="4B857BBA" w:rsidR="00322A3C" w:rsidRDefault="00322A3C">
      <w:pPr>
        <w:pStyle w:val="EndnoteText"/>
      </w:pPr>
      <w:r w:rsidRPr="00C64B8D">
        <w:rPr>
          <w:b/>
        </w:rPr>
        <w:t>“Exclusively”</w:t>
      </w:r>
      <w:r w:rsidRPr="00C64B8D">
        <w:t xml:space="preserve"> means that when the physician is in the ICU, </w:t>
      </w:r>
      <w:r w:rsidR="00D344E1" w:rsidRPr="00C64B8D">
        <w:t>they</w:t>
      </w:r>
      <w:r w:rsidRPr="00C64B8D">
        <w:t xml:space="preserve"> ha</w:t>
      </w:r>
      <w:r w:rsidR="004371D3">
        <w:t>ve</w:t>
      </w:r>
      <w:r w:rsidRPr="00C64B8D">
        <w:t xml:space="preserve"> no concur</w:t>
      </w:r>
      <w:r>
        <w:t>rent clinical responsibilities to non-ICU patients.</w:t>
      </w:r>
    </w:p>
    <w:p w14:paraId="512257DC" w14:textId="77777777" w:rsidR="00000AEF" w:rsidRPr="00216021" w:rsidRDefault="00000AEF">
      <w:pPr>
        <w:pStyle w:val="EndnoteText"/>
      </w:pPr>
    </w:p>
  </w:endnote>
  <w:endnote w:id="39">
    <w:p w14:paraId="5AE01B8E" w14:textId="77777777" w:rsidR="005A5A08" w:rsidRPr="00D57E60" w:rsidRDefault="005A5A08" w:rsidP="005A5A08">
      <w:pPr>
        <w:pStyle w:val="EndnoteText"/>
        <w:rPr>
          <w:b/>
          <w:i/>
        </w:rPr>
      </w:pPr>
      <w:r w:rsidRPr="00D57E60">
        <w:rPr>
          <w:rStyle w:val="EndnoteReference"/>
        </w:rPr>
        <w:endnoteRef/>
      </w:r>
      <w:r w:rsidRPr="00D57E60">
        <w:t xml:space="preserve"> </w:t>
      </w:r>
      <w:bookmarkStart w:id="406" w:name="Endnote27_Telemedicine"/>
      <w:r w:rsidRPr="00D57E60">
        <w:rPr>
          <w:b/>
          <w:i/>
        </w:rPr>
        <w:t>Intensivist Presence via Telemedicine</w:t>
      </w:r>
      <w:bookmarkEnd w:id="406"/>
    </w:p>
    <w:p w14:paraId="602055C4" w14:textId="2F62E660" w:rsidR="00364928" w:rsidRPr="00D57E60" w:rsidRDefault="00364928" w:rsidP="00364928">
      <w:pPr>
        <w:pStyle w:val="EndnoteText"/>
      </w:pPr>
      <w:r w:rsidRPr="00D57E60">
        <w:t xml:space="preserve">To meet the Leapfrog ICU requirement for intensivist presence in the ICU via telemedicine, a hospital </w:t>
      </w:r>
      <w:r w:rsidR="004318C6" w:rsidRPr="00D57E60">
        <w:t xml:space="preserve">must </w:t>
      </w:r>
      <w:r w:rsidRPr="00D57E60">
        <w:t xml:space="preserve">be able to document that it fulfills </w:t>
      </w:r>
      <w:r w:rsidRPr="00D57E60">
        <w:rPr>
          <w:b/>
          <w:bCs/>
          <w:u w:val="single"/>
        </w:rPr>
        <w:t>all</w:t>
      </w:r>
      <w:r w:rsidR="004318C6" w:rsidRPr="00D57E60">
        <w:t xml:space="preserve"> </w:t>
      </w:r>
      <w:r w:rsidRPr="00D57E60">
        <w:t xml:space="preserve">the following 10 key features based on a modification of the approach reported in Critical Care Medicine (Rosenfeld, B. et al. “Intensive care unit telemedicine: Alternate paradigm for providing continuous intensivist care,” </w:t>
      </w:r>
      <w:r w:rsidRPr="00D57E60">
        <w:rPr>
          <w:i/>
        </w:rPr>
        <w:t>Critical Care Medicine</w:t>
      </w:r>
      <w:r w:rsidRPr="00D57E60">
        <w:t>, Vol. 28, No. 1, pp. 3925-3931).</w:t>
      </w:r>
    </w:p>
    <w:p w14:paraId="53871758" w14:textId="77777777" w:rsidR="00364928" w:rsidRPr="00D57E60" w:rsidRDefault="00364928" w:rsidP="00364928">
      <w:pPr>
        <w:pStyle w:val="EndnoteText"/>
        <w:rPr>
          <w:sz w:val="16"/>
          <w:szCs w:val="16"/>
        </w:rPr>
      </w:pPr>
    </w:p>
    <w:p w14:paraId="00976E54" w14:textId="699D0401" w:rsidR="00364928" w:rsidRPr="00D57E60" w:rsidRDefault="00364928">
      <w:pPr>
        <w:pStyle w:val="EndnoteText"/>
        <w:numPr>
          <w:ilvl w:val="0"/>
          <w:numId w:val="5"/>
        </w:numPr>
      </w:pPr>
      <w:r w:rsidRPr="00D57E60">
        <w:t>A physician certified in critical care medicine (see endnote #</w:t>
      </w:r>
      <w:r w:rsidR="00A22C99" w:rsidRPr="00D57E60">
        <w:t>3</w:t>
      </w:r>
      <w:r w:rsidR="00B55D52" w:rsidRPr="00D57E60">
        <w:t>6</w:t>
      </w:r>
      <w:r w:rsidRPr="00D57E60">
        <w:t>) who is physically present in the ICU (“on-site intensivist”) performs a comprehensive review of each ICU patient each day and establishes and/or revises the care plan. The on-site intensivist must be available by phone to answer any questions from the tele-intensivist related to the established or revised care plan.</w:t>
      </w:r>
      <w:r w:rsidRPr="00D57E60">
        <w:br/>
      </w:r>
      <w:r w:rsidRPr="00D57E60">
        <w:br/>
        <w:t>The tele-intensivist, who must also be a physician certified in critical care medicine (see endnote #</w:t>
      </w:r>
      <w:r w:rsidR="00A22C99" w:rsidRPr="00D57E60">
        <w:t>3</w:t>
      </w:r>
      <w:r w:rsidR="00B55D52" w:rsidRPr="00D57E60">
        <w:t>6</w:t>
      </w:r>
      <w:r w:rsidRPr="00D57E60">
        <w:t xml:space="preserve">), has immediate access to information regarding the on-site intensivist’s care plan at the time the management responsibility is transferred to the tele-intensivist by the on-site intensivist. </w:t>
      </w:r>
      <w:r w:rsidRPr="00D57E60">
        <w:br/>
      </w:r>
      <w:r w:rsidRPr="00D57E60">
        <w:br/>
        <w:t xml:space="preserve">When care is transferred back to the on-site intensivist, the tele-intensivist must communicate any changes to the care plan to the on-site intensivist. Hospitals relying on electronic hand-offs </w:t>
      </w:r>
      <w:r w:rsidR="00A84F9E" w:rsidRPr="00D57E60">
        <w:t xml:space="preserve">must </w:t>
      </w:r>
      <w:r w:rsidRPr="00D57E60">
        <w:t xml:space="preserve">ensure that physician sign-in and sign-out of reports is being recorded. In addition, these reports should be monitored as one way to audit compliance with the hand-off process described above. </w:t>
      </w:r>
      <w:r w:rsidRPr="00D57E60">
        <w:br/>
      </w:r>
    </w:p>
    <w:p w14:paraId="4C703A72" w14:textId="77777777" w:rsidR="00364928" w:rsidRPr="00D57E60" w:rsidRDefault="00364928">
      <w:pPr>
        <w:pStyle w:val="EndnoteText"/>
        <w:numPr>
          <w:ilvl w:val="0"/>
          <w:numId w:val="5"/>
        </w:numPr>
      </w:pPr>
      <w:r w:rsidRPr="00D57E60">
        <w:t>When an intensivist is not on-site in the ICU managing or co-managing all ICU patients, a tele-intensivist is continuously monitoring and able to manage all ICU patients for the remaining 24 hours per day, 7 days per week. “Continuously monitoring” means the tele-intensivist has no other concurrent responsibilities, is immediately available to communicate with ICU staff, and is continuously in the physical presence of the tele-ICU’s patient monitoring and communications equipment. "Manage" means authorized to diagnose, treat, and write orders for a patient in the ICU on the intensivist’s own authority.</w:t>
      </w:r>
      <w:r w:rsidRPr="00D57E60">
        <w:br/>
      </w:r>
    </w:p>
    <w:p w14:paraId="6BD286F7" w14:textId="561723DF" w:rsidR="008932D0" w:rsidRPr="00D57E60" w:rsidRDefault="00364928" w:rsidP="00B55D52">
      <w:pPr>
        <w:pStyle w:val="EndnoteText"/>
        <w:numPr>
          <w:ilvl w:val="0"/>
          <w:numId w:val="5"/>
        </w:numPr>
      </w:pPr>
      <w:r w:rsidRPr="00D57E60">
        <w:t>The tele-intensivist’s care is proactive, with routine visualization and physiological review of all patients at a frequency appropriate to their severity of illness.</w:t>
      </w:r>
      <w:r w:rsidRPr="00D57E60">
        <w:br/>
      </w:r>
    </w:p>
    <w:p w14:paraId="0D5CC0DD" w14:textId="77777777" w:rsidR="00364928" w:rsidRPr="00D57E60" w:rsidRDefault="00364928">
      <w:pPr>
        <w:pStyle w:val="EndnoteText"/>
        <w:numPr>
          <w:ilvl w:val="0"/>
          <w:numId w:val="5"/>
        </w:numPr>
      </w:pPr>
      <w:r w:rsidRPr="00D57E60">
        <w:t>The tele-intensivist has immediate access to key patient data, including:</w:t>
      </w:r>
    </w:p>
    <w:p w14:paraId="3A5F88C5" w14:textId="77777777" w:rsidR="00364928" w:rsidRPr="00D57E60" w:rsidRDefault="00364928">
      <w:pPr>
        <w:pStyle w:val="EndnoteText"/>
        <w:numPr>
          <w:ilvl w:val="1"/>
          <w:numId w:val="5"/>
        </w:numPr>
      </w:pPr>
      <w:r w:rsidRPr="00D57E60">
        <w:t>physiologic bedside monitor data (in real-time);</w:t>
      </w:r>
    </w:p>
    <w:p w14:paraId="7E0EC707" w14:textId="77777777" w:rsidR="00364928" w:rsidRPr="00D57E60" w:rsidRDefault="00364928">
      <w:pPr>
        <w:pStyle w:val="EndnoteText"/>
        <w:numPr>
          <w:ilvl w:val="1"/>
          <w:numId w:val="5"/>
        </w:numPr>
      </w:pPr>
      <w:r w:rsidRPr="00D57E60">
        <w:t>laboratory orders and results;</w:t>
      </w:r>
    </w:p>
    <w:p w14:paraId="17F6531A" w14:textId="77777777" w:rsidR="00364928" w:rsidRPr="00D57E60" w:rsidRDefault="00364928">
      <w:pPr>
        <w:pStyle w:val="EndnoteText"/>
        <w:numPr>
          <w:ilvl w:val="1"/>
          <w:numId w:val="5"/>
        </w:numPr>
      </w:pPr>
      <w:r w:rsidRPr="00D57E60">
        <w:t>medications ordered and administered; and,</w:t>
      </w:r>
    </w:p>
    <w:p w14:paraId="5FDED426" w14:textId="77777777" w:rsidR="00364928" w:rsidRPr="00D57E60" w:rsidRDefault="00364928">
      <w:pPr>
        <w:pStyle w:val="EndnoteText"/>
        <w:numPr>
          <w:ilvl w:val="1"/>
          <w:numId w:val="5"/>
        </w:numPr>
        <w:rPr>
          <w:lang w:val="fr-FR"/>
        </w:rPr>
      </w:pPr>
      <w:r w:rsidRPr="00D57E60">
        <w:rPr>
          <w:lang w:val="fr-FR"/>
        </w:rPr>
        <w:t xml:space="preserve">notes, radiographs, ECGs, etc. on </w:t>
      </w:r>
      <w:r w:rsidRPr="00693D1C">
        <w:rPr>
          <w:lang w:val="fr-FR"/>
        </w:rPr>
        <w:t>demand</w:t>
      </w:r>
      <w:r w:rsidRPr="00D57E60">
        <w:rPr>
          <w:lang w:val="fr-FR"/>
        </w:rPr>
        <w:t>.</w:t>
      </w:r>
      <w:r w:rsidRPr="00D57E60">
        <w:rPr>
          <w:lang w:val="fr-FR"/>
        </w:rPr>
        <w:br/>
      </w:r>
    </w:p>
    <w:p w14:paraId="027DAF7E" w14:textId="3F8BE89A" w:rsidR="00364928" w:rsidRPr="00D57E60" w:rsidRDefault="00364928">
      <w:pPr>
        <w:pStyle w:val="EndnoteText"/>
        <w:numPr>
          <w:ilvl w:val="0"/>
          <w:numId w:val="5"/>
        </w:numPr>
      </w:pPr>
      <w:r w:rsidRPr="00D57E60">
        <w:t xml:space="preserve">Bedside cameras are physically available in each ICU. If cameras are not mounted in each patient room within the unit, then at least one </w:t>
      </w:r>
      <w:r w:rsidR="00304D44" w:rsidRPr="00D57E60">
        <w:t xml:space="preserve">dedicated </w:t>
      </w:r>
      <w:r w:rsidRPr="00D57E60">
        <w:t xml:space="preserve">bedside camera must be available for every five beds in the ICU, plus a </w:t>
      </w:r>
      <w:r w:rsidR="00304D44" w:rsidRPr="00D57E60">
        <w:t xml:space="preserve">dedicated </w:t>
      </w:r>
      <w:r w:rsidRPr="00D57E60">
        <w:t xml:space="preserve">back-up camera in each ICU. If ICUs are located on different floors of the hospital, each ICU on each floor must have its own set of dedicated cameras if they are not mounted in every room. </w:t>
      </w:r>
      <w:r w:rsidR="00304D44" w:rsidRPr="00D57E60">
        <w:t xml:space="preserve">“Dedicated” means that the cameras are on the unit for the sole purpose of patient care. Personal </w:t>
      </w:r>
      <w:r w:rsidR="006669C5" w:rsidRPr="00D57E60">
        <w:t xml:space="preserve">devices (e.g., personal phones, tablets, etc.) </w:t>
      </w:r>
      <w:r w:rsidR="00304D44" w:rsidRPr="00D57E60">
        <w:t xml:space="preserve">would not meet this requirement. </w:t>
      </w:r>
    </w:p>
    <w:p w14:paraId="2AC227A7" w14:textId="77777777" w:rsidR="00364928" w:rsidRPr="00D57E60" w:rsidRDefault="00364928" w:rsidP="00364928">
      <w:pPr>
        <w:pStyle w:val="EndnoteText"/>
        <w:ind w:left="360"/>
        <w:rPr>
          <w:sz w:val="16"/>
          <w:szCs w:val="16"/>
        </w:rPr>
      </w:pPr>
    </w:p>
    <w:p w14:paraId="7577F1F5" w14:textId="77777777" w:rsidR="00364928" w:rsidRPr="00D57E60" w:rsidRDefault="00364928">
      <w:pPr>
        <w:pStyle w:val="EndnoteText"/>
        <w:numPr>
          <w:ilvl w:val="0"/>
          <w:numId w:val="5"/>
        </w:numPr>
      </w:pPr>
      <w:r w:rsidRPr="00D57E60">
        <w:t xml:space="preserve">The tele-intensivist must be able to turn on each bedside camera to visualize patients, with sufficient clarity to assess breathing pattern and communicate with on-site personnel at the bedside in real time. </w:t>
      </w:r>
      <w:r w:rsidRPr="00D57E60">
        <w:br/>
      </w:r>
    </w:p>
    <w:p w14:paraId="158A2F01" w14:textId="77777777" w:rsidR="00364928" w:rsidRPr="00D57E60" w:rsidRDefault="00364928">
      <w:pPr>
        <w:pStyle w:val="EndnoteText"/>
        <w:numPr>
          <w:ilvl w:val="0"/>
          <w:numId w:val="5"/>
        </w:numPr>
      </w:pPr>
      <w:r w:rsidRPr="00D57E60">
        <w:t>Within five minutes of a request for assistance being initiated by hospital staff, the tele-intensivist’s patient workload ordinarily permits the tele-intensivist to complete a comprehensive visual and physiological assessment of any patient.</w:t>
      </w:r>
      <w:r w:rsidRPr="00D57E60">
        <w:br/>
      </w:r>
    </w:p>
    <w:p w14:paraId="7139FB86" w14:textId="77777777" w:rsidR="00364928" w:rsidRPr="00D57E60" w:rsidRDefault="00364928">
      <w:pPr>
        <w:pStyle w:val="EndnoteText"/>
        <w:numPr>
          <w:ilvl w:val="0"/>
          <w:numId w:val="5"/>
        </w:numPr>
      </w:pPr>
      <w:r w:rsidRPr="00D57E60">
        <w:t>Data links between the ICU and the tele-intensivist are reliable (&gt;98% up-time) and secure (HIPAA compliant).</w:t>
      </w:r>
      <w:r w:rsidRPr="00D57E60">
        <w:br/>
      </w:r>
    </w:p>
    <w:p w14:paraId="58732C6E" w14:textId="77777777" w:rsidR="00364928" w:rsidRPr="00D57E60" w:rsidRDefault="00364928">
      <w:pPr>
        <w:pStyle w:val="EndnoteText"/>
        <w:numPr>
          <w:ilvl w:val="0"/>
          <w:numId w:val="5"/>
        </w:numPr>
      </w:pPr>
      <w:r w:rsidRPr="00D57E60">
        <w:t>Written standards for remote care are established and include, at a minimum:</w:t>
      </w:r>
    </w:p>
    <w:p w14:paraId="557C4F67" w14:textId="77777777" w:rsidR="00364928" w:rsidRPr="00D57E60" w:rsidRDefault="00364928">
      <w:pPr>
        <w:pStyle w:val="EndnoteText"/>
        <w:numPr>
          <w:ilvl w:val="1"/>
          <w:numId w:val="5"/>
        </w:numPr>
      </w:pPr>
      <w:r w:rsidRPr="00D57E60">
        <w:t>tele-intensivists are certified by a national medical specialty board in critical care medicine;</w:t>
      </w:r>
    </w:p>
    <w:p w14:paraId="1CFEFB49" w14:textId="77777777" w:rsidR="00364928" w:rsidRPr="00D57E60" w:rsidRDefault="00364928">
      <w:pPr>
        <w:pStyle w:val="EndnoteText"/>
        <w:numPr>
          <w:ilvl w:val="1"/>
          <w:numId w:val="5"/>
        </w:numPr>
      </w:pPr>
      <w:r w:rsidRPr="00D57E60">
        <w:t>tele-intensivists are licensed to practice in the legal jurisdiction in which the ICU is located;</w:t>
      </w:r>
    </w:p>
    <w:p w14:paraId="7CFAE354" w14:textId="77777777" w:rsidR="00364928" w:rsidRPr="00D57E60" w:rsidRDefault="00364928">
      <w:pPr>
        <w:pStyle w:val="EndnoteText"/>
        <w:numPr>
          <w:ilvl w:val="1"/>
          <w:numId w:val="5"/>
        </w:numPr>
      </w:pPr>
      <w:r w:rsidRPr="00D57E60">
        <w:t>tele-intensivists are credentialed in each hospital to which he/she provides remote care (can be special telemedicine credentialing);</w:t>
      </w:r>
    </w:p>
    <w:p w14:paraId="3FEFF61E" w14:textId="77777777" w:rsidR="00364928" w:rsidRPr="00D57E60" w:rsidRDefault="00364928">
      <w:pPr>
        <w:pStyle w:val="EndnoteText"/>
        <w:numPr>
          <w:ilvl w:val="1"/>
          <w:numId w:val="5"/>
        </w:numPr>
      </w:pPr>
      <w:r w:rsidRPr="00D57E60">
        <w:t>activities of the tele-intensivist are reviewed within the hospital’s quality assurance committee structure;</w:t>
      </w:r>
    </w:p>
    <w:p w14:paraId="73C1A640" w14:textId="77777777" w:rsidR="00364928" w:rsidRPr="00D57E60" w:rsidRDefault="00364928">
      <w:pPr>
        <w:pStyle w:val="EndnoteText"/>
        <w:numPr>
          <w:ilvl w:val="1"/>
          <w:numId w:val="5"/>
        </w:numPr>
      </w:pPr>
      <w:r w:rsidRPr="00D57E60">
        <w:t>there are explicit written policies regarding roles and responsibilities of both the on-site intensivist and the tele-intensivist;</w:t>
      </w:r>
    </w:p>
    <w:p w14:paraId="6713DEC8" w14:textId="77777777" w:rsidR="00364928" w:rsidRPr="00D57E60" w:rsidRDefault="00364928">
      <w:pPr>
        <w:pStyle w:val="EndnoteText"/>
        <w:numPr>
          <w:ilvl w:val="1"/>
          <w:numId w:val="5"/>
        </w:numPr>
      </w:pPr>
      <w:r w:rsidRPr="00D57E60">
        <w:t>ICU staff are educated regarding the function, roles, and responsibilities of the tele-intensivist; and</w:t>
      </w:r>
    </w:p>
    <w:p w14:paraId="0056907A" w14:textId="77777777" w:rsidR="00364928" w:rsidRPr="00D57E60" w:rsidRDefault="00364928">
      <w:pPr>
        <w:pStyle w:val="EndnoteText"/>
        <w:numPr>
          <w:ilvl w:val="1"/>
          <w:numId w:val="5"/>
        </w:numPr>
      </w:pPr>
      <w:r w:rsidRPr="00D57E60">
        <w:t>there is an established written process to ensure effective communication between the ICU staff and the tele-intensivist.</w:t>
      </w:r>
      <w:r w:rsidRPr="00D57E60">
        <w:br/>
      </w:r>
    </w:p>
    <w:p w14:paraId="4E0C684E" w14:textId="23B92F55" w:rsidR="005A5A08" w:rsidRPr="00D57E60" w:rsidRDefault="00364928">
      <w:pPr>
        <w:pStyle w:val="EndnoteText"/>
        <w:numPr>
          <w:ilvl w:val="0"/>
          <w:numId w:val="5"/>
        </w:numPr>
      </w:pPr>
      <w:r w:rsidRPr="00D57E60">
        <w:t>The tele-intensivist documents patient care activities and this documentation is incorporated into the patient record.</w:t>
      </w:r>
    </w:p>
    <w:p w14:paraId="24016144" w14:textId="77777777" w:rsidR="00B55D52" w:rsidRPr="00216021" w:rsidRDefault="00B55D52" w:rsidP="00465871">
      <w:pPr>
        <w:pStyle w:val="EndnoteText"/>
      </w:pPr>
    </w:p>
  </w:endnote>
  <w:endnote w:id="40">
    <w:p w14:paraId="53F2A73F" w14:textId="77777777" w:rsidR="00322A3C" w:rsidRPr="006D3C9E" w:rsidRDefault="00322A3C">
      <w:pPr>
        <w:pStyle w:val="EndnoteText"/>
      </w:pPr>
      <w:r w:rsidRPr="00F636FE">
        <w:rPr>
          <w:rStyle w:val="EndnoteReference"/>
        </w:rPr>
        <w:endnoteRef/>
      </w:r>
      <w:r w:rsidRPr="00F636FE">
        <w:t xml:space="preserve"> </w:t>
      </w:r>
      <w:bookmarkStart w:id="408" w:name="Endnote28_ResponseAnalysis"/>
      <w:r w:rsidRPr="00F636FE">
        <w:rPr>
          <w:b/>
          <w:i/>
        </w:rPr>
        <w:t>Quantified Analysis of Response Times</w:t>
      </w:r>
      <w:bookmarkEnd w:id="408"/>
    </w:p>
    <w:p w14:paraId="77DAE0E3" w14:textId="77777777" w:rsidR="00B86BA6" w:rsidRPr="006D3C9E" w:rsidRDefault="00B86BA6" w:rsidP="00B86BA6">
      <w:pPr>
        <w:pStyle w:val="EndnoteText"/>
      </w:pPr>
      <w:r w:rsidRPr="006D3C9E">
        <w:t>Hospitals can monitor the response times of intensivists, “effectors,” and clinical pharmacists in multiple ways, as long as the data collection process is non-biased and scientific.</w:t>
      </w:r>
    </w:p>
    <w:p w14:paraId="22F25A54" w14:textId="77777777" w:rsidR="00B86BA6" w:rsidRPr="006D3C9E" w:rsidRDefault="00B86BA6" w:rsidP="00B86BA6">
      <w:pPr>
        <w:pStyle w:val="EndnoteText"/>
        <w:rPr>
          <w:sz w:val="16"/>
          <w:szCs w:val="16"/>
        </w:rPr>
      </w:pPr>
    </w:p>
    <w:p w14:paraId="468017B7" w14:textId="65BF6FE1" w:rsidR="00B86BA6" w:rsidRPr="006D3C9E" w:rsidRDefault="00B86BA6" w:rsidP="00B86BA6">
      <w:pPr>
        <w:pStyle w:val="EndnoteText"/>
      </w:pPr>
      <w:r w:rsidRPr="006D3C9E">
        <w:t xml:space="preserve">As an example, hospitals can have the ICU staff maintain a </w:t>
      </w:r>
      <w:r w:rsidR="00845C58">
        <w:t>response time audit log (low priority excluded)</w:t>
      </w:r>
      <w:r w:rsidRPr="006D3C9E">
        <w:t xml:space="preserve"> in the ICU(s) on six randomly sampled days per year. On those days, ICU nurses could record:</w:t>
      </w:r>
    </w:p>
    <w:p w14:paraId="3B1AA118" w14:textId="45ADF871" w:rsidR="00B86BA6" w:rsidRPr="006D3C9E" w:rsidRDefault="00B86BA6" w:rsidP="00AD309C">
      <w:pPr>
        <w:pStyle w:val="EndnoteText"/>
        <w:numPr>
          <w:ilvl w:val="0"/>
          <w:numId w:val="42"/>
        </w:numPr>
      </w:pPr>
      <w:r w:rsidRPr="006D3C9E">
        <w:t>For question #</w:t>
      </w:r>
      <w:r w:rsidR="00A22C99" w:rsidRPr="006D3C9E">
        <w:t>7</w:t>
      </w:r>
      <w:r w:rsidRPr="006D3C9E">
        <w:t>, the number of calls/pages/texts made to the intensivist when they were not present in the unit (whether on-site or via telemedicine) and the number of times the intensivist’s response time exceeded 5 minutes</w:t>
      </w:r>
    </w:p>
    <w:p w14:paraId="07A2F8DA" w14:textId="3E20EEAD" w:rsidR="00B86BA6" w:rsidRPr="006D3C9E" w:rsidRDefault="00B86BA6" w:rsidP="00AD309C">
      <w:pPr>
        <w:pStyle w:val="EndnoteText"/>
        <w:numPr>
          <w:ilvl w:val="0"/>
          <w:numId w:val="42"/>
        </w:numPr>
      </w:pPr>
      <w:r w:rsidRPr="006D3C9E">
        <w:t>For question #</w:t>
      </w:r>
      <w:r w:rsidR="00A22C99" w:rsidRPr="006D3C9E">
        <w:t>8</w:t>
      </w:r>
      <w:r w:rsidRPr="006D3C9E">
        <w:t>, the number of calls/pages/texts made to a physician, physician assistant, nurse practitioner, or FCCS-certified nurse or intern “effector” and the number of times these individuals did not reach the patient at the bedside within 5 minutes</w:t>
      </w:r>
    </w:p>
    <w:p w14:paraId="12318296" w14:textId="107144B5" w:rsidR="00B86BA6" w:rsidRPr="006D3C9E" w:rsidRDefault="00B86BA6" w:rsidP="00AD309C">
      <w:pPr>
        <w:pStyle w:val="ListParagraph"/>
        <w:numPr>
          <w:ilvl w:val="0"/>
          <w:numId w:val="42"/>
        </w:numPr>
      </w:pPr>
      <w:r w:rsidRPr="006D3C9E">
        <w:t>For question #1</w:t>
      </w:r>
      <w:r w:rsidR="00A22C99" w:rsidRPr="006D3C9E">
        <w:t>3</w:t>
      </w:r>
      <w:r w:rsidRPr="006D3C9E">
        <w:t>, the number of calls/pages/texts made to the clinical pharmacist on days when they were not rounding on-site in the unit and the number of times the clinical pharmacist’s response time exceeded 5 minutes</w:t>
      </w:r>
    </w:p>
    <w:p w14:paraId="106B8199" w14:textId="77777777" w:rsidR="00B86BA6" w:rsidRPr="006D3C9E" w:rsidRDefault="00B86BA6" w:rsidP="00B86BA6">
      <w:pPr>
        <w:pStyle w:val="EndnoteText"/>
        <w:rPr>
          <w:sz w:val="16"/>
          <w:szCs w:val="16"/>
        </w:rPr>
      </w:pPr>
    </w:p>
    <w:p w14:paraId="07577A8A" w14:textId="77777777" w:rsidR="00B86BA6" w:rsidRPr="006D3C9E" w:rsidRDefault="00B86BA6" w:rsidP="00B86BA6">
      <w:pPr>
        <w:pStyle w:val="EndnoteText"/>
      </w:pPr>
      <w:r w:rsidRPr="006D3C9E">
        <w:t>Hospitals can then estimate whether they meet the 95% timely response standards by dividing the total number of log exceptions by the total number of calls/pages/texts per day.</w:t>
      </w:r>
    </w:p>
    <w:p w14:paraId="4204BD33" w14:textId="77777777" w:rsidR="00B86BA6" w:rsidRPr="006D3C9E" w:rsidRDefault="00B86BA6" w:rsidP="00B86BA6">
      <w:pPr>
        <w:pStyle w:val="EndnoteText"/>
        <w:rPr>
          <w:sz w:val="16"/>
          <w:szCs w:val="16"/>
        </w:rPr>
      </w:pPr>
    </w:p>
    <w:p w14:paraId="11B9E193" w14:textId="7BD4F68C" w:rsidR="00322A3C" w:rsidRPr="006D3C9E" w:rsidRDefault="00B86BA6">
      <w:pPr>
        <w:pStyle w:val="EndnoteText"/>
        <w:rPr>
          <w:snapToGrid w:val="0"/>
          <w:color w:val="000000"/>
        </w:rPr>
      </w:pPr>
      <w:r w:rsidRPr="006D3C9E">
        <w:rPr>
          <w:snapToGrid w:val="0"/>
          <w:color w:val="000000"/>
        </w:rPr>
        <w:t>Hospitals may exclude low-urgency calls/pages/texts, if the notification device system can designate low-urgency calls/pages/texts, or if the hospital has an alternative scientific method for documenting high-urgency calls/pages/texts that are not returned within 5 minutes.</w:t>
      </w:r>
    </w:p>
    <w:p w14:paraId="7CF9A26F" w14:textId="77777777" w:rsidR="0042028B" w:rsidRPr="006D3C9E" w:rsidRDefault="0042028B">
      <w:pPr>
        <w:pStyle w:val="EndnoteText"/>
        <w:rPr>
          <w:snapToGrid w:val="0"/>
          <w:color w:val="000000"/>
        </w:rPr>
      </w:pPr>
    </w:p>
    <w:p w14:paraId="3403638D" w14:textId="7650F1D5" w:rsidR="00633990" w:rsidRPr="0059600E" w:rsidRDefault="0042028B">
      <w:pPr>
        <w:pStyle w:val="EndnoteText"/>
        <w:rPr>
          <w:snapToGrid w:val="0"/>
          <w:color w:val="000000"/>
        </w:rPr>
      </w:pPr>
      <w:r w:rsidRPr="006D3C9E">
        <w:rPr>
          <w:snapToGrid w:val="0"/>
          <w:color w:val="000000"/>
        </w:rPr>
        <w:t xml:space="preserve">The six randomly selected days can be conducted over the course of a year prior to submission of </w:t>
      </w:r>
      <w:r w:rsidR="00A54BE5" w:rsidRPr="006D3C9E">
        <w:rPr>
          <w:snapToGrid w:val="0"/>
          <w:color w:val="000000"/>
        </w:rPr>
        <w:t>Section 5 of the</w:t>
      </w:r>
      <w:r w:rsidRPr="006D3C9E">
        <w:rPr>
          <w:snapToGrid w:val="0"/>
          <w:color w:val="000000"/>
        </w:rPr>
        <w:t xml:space="preserve"> </w:t>
      </w:r>
      <w:r w:rsidR="00A54BE5" w:rsidRPr="006D3C9E">
        <w:rPr>
          <w:snapToGrid w:val="0"/>
          <w:color w:val="000000"/>
        </w:rPr>
        <w:t>S</w:t>
      </w:r>
      <w:r w:rsidRPr="006D3C9E">
        <w:rPr>
          <w:snapToGrid w:val="0"/>
          <w:color w:val="000000"/>
        </w:rPr>
        <w:t xml:space="preserve">urvey. If resubmitting </w:t>
      </w:r>
      <w:r w:rsidR="00A54BE5" w:rsidRPr="006D3C9E">
        <w:rPr>
          <w:snapToGrid w:val="0"/>
          <w:color w:val="000000"/>
        </w:rPr>
        <w:t xml:space="preserve">responses to Section 5, </w:t>
      </w:r>
      <w:r w:rsidRPr="006D3C9E">
        <w:rPr>
          <w:snapToGrid w:val="0"/>
          <w:color w:val="000000"/>
        </w:rPr>
        <w:t xml:space="preserve">six new randomly selected days </w:t>
      </w:r>
      <w:r w:rsidR="00A54BE5" w:rsidRPr="006D3C9E">
        <w:rPr>
          <w:snapToGrid w:val="0"/>
          <w:color w:val="000000"/>
        </w:rPr>
        <w:t xml:space="preserve">must </w:t>
      </w:r>
      <w:r w:rsidRPr="006D3C9E">
        <w:rPr>
          <w:snapToGrid w:val="0"/>
          <w:color w:val="000000"/>
        </w:rPr>
        <w:t xml:space="preserve">be sampled in the three-month </w:t>
      </w:r>
      <w:r w:rsidRPr="0059600E">
        <w:rPr>
          <w:snapToGrid w:val="0"/>
          <w:color w:val="000000"/>
        </w:rPr>
        <w:t xml:space="preserve">reporting period </w:t>
      </w:r>
      <w:r w:rsidR="00A54BE5" w:rsidRPr="0059600E">
        <w:rPr>
          <w:snapToGrid w:val="0"/>
          <w:color w:val="000000"/>
        </w:rPr>
        <w:t xml:space="preserve">prior to </w:t>
      </w:r>
      <w:r w:rsidRPr="0059600E">
        <w:rPr>
          <w:snapToGrid w:val="0"/>
          <w:color w:val="000000"/>
        </w:rPr>
        <w:t>resubmission.</w:t>
      </w:r>
    </w:p>
    <w:p w14:paraId="24F762D4" w14:textId="77777777" w:rsidR="0042028B" w:rsidRPr="0059600E" w:rsidRDefault="0042028B">
      <w:pPr>
        <w:pStyle w:val="EndnoteText"/>
        <w:rPr>
          <w:snapToGrid w:val="0"/>
          <w:color w:val="000000"/>
          <w:sz w:val="16"/>
          <w:szCs w:val="16"/>
        </w:rPr>
      </w:pPr>
    </w:p>
    <w:p w14:paraId="27F6C2DF" w14:textId="637D5362" w:rsidR="00637995" w:rsidRPr="0059600E" w:rsidRDefault="00633990" w:rsidP="00633990">
      <w:pPr>
        <w:pStyle w:val="EndnoteText"/>
      </w:pPr>
      <w:r w:rsidRPr="0059600E">
        <w:t xml:space="preserve">Hospitals that use telemedicine to cover ‘call’ for the on-site intensivist should review endnote </w:t>
      </w:r>
      <w:r w:rsidR="007152A0" w:rsidRPr="0059600E">
        <w:t>#</w:t>
      </w:r>
      <w:r w:rsidR="00741519" w:rsidRPr="0059600E">
        <w:t>4</w:t>
      </w:r>
      <w:r w:rsidR="00B55D52" w:rsidRPr="0059600E">
        <w:t>1</w:t>
      </w:r>
      <w:r w:rsidRPr="0059600E">
        <w:t xml:space="preserve">. </w:t>
      </w:r>
    </w:p>
    <w:p w14:paraId="400EEFA2" w14:textId="4A22701D" w:rsidR="00633990" w:rsidRDefault="00633990" w:rsidP="00633990">
      <w:pPr>
        <w:pStyle w:val="EndnoteText"/>
      </w:pPr>
      <w:r w:rsidRPr="0059600E">
        <w:t xml:space="preserve">Hospitals that have an effector that is dedicated 24/7 to the ICU (as defined as being within a 5 min walk to the ICU) should review endnote </w:t>
      </w:r>
      <w:r w:rsidR="007152A0" w:rsidRPr="0059600E">
        <w:t>#</w:t>
      </w:r>
      <w:r w:rsidR="00A22C99" w:rsidRPr="0059600E">
        <w:t>4</w:t>
      </w:r>
      <w:r w:rsidR="00B55D52" w:rsidRPr="0059600E">
        <w:t>2</w:t>
      </w:r>
      <w:r w:rsidRPr="0059600E">
        <w:t>.</w:t>
      </w:r>
    </w:p>
  </w:endnote>
  <w:endnote w:id="41">
    <w:p w14:paraId="20067A2A" w14:textId="77777777" w:rsidR="005057B3" w:rsidRPr="00216021" w:rsidRDefault="005057B3">
      <w:pPr>
        <w:pStyle w:val="BodyText2"/>
      </w:pPr>
    </w:p>
    <w:p w14:paraId="269020B8" w14:textId="77777777" w:rsidR="00322A3C" w:rsidRPr="005F4E6E" w:rsidRDefault="00322A3C">
      <w:pPr>
        <w:pStyle w:val="BodyText2"/>
        <w:rPr>
          <w:b/>
        </w:rPr>
      </w:pPr>
      <w:r w:rsidRPr="005F4E6E">
        <w:rPr>
          <w:rStyle w:val="EndnoteReference"/>
        </w:rPr>
        <w:endnoteRef/>
      </w:r>
      <w:r w:rsidRPr="005F4E6E">
        <w:t xml:space="preserve"> </w:t>
      </w:r>
      <w:bookmarkStart w:id="410" w:name="Endnote29_NurseEffector"/>
      <w:r w:rsidRPr="005F4E6E">
        <w:rPr>
          <w:b/>
        </w:rPr>
        <w:t>FCCS-Certified Nurse or Intern “Effector”</w:t>
      </w:r>
      <w:bookmarkEnd w:id="410"/>
    </w:p>
    <w:p w14:paraId="1FB518D5" w14:textId="77777777" w:rsidR="006676E5" w:rsidRPr="005F4E6E" w:rsidRDefault="00322A3C" w:rsidP="00630E5D">
      <w:pPr>
        <w:rPr>
          <w:rFonts w:ascii="Calibri" w:hAnsi="Calibri"/>
        </w:rPr>
      </w:pPr>
      <w:r w:rsidRPr="005F4E6E">
        <w:t xml:space="preserve">FCCS certificates are awarded to nurses and doctors upon their successful completion of a brief course developed by the Society for Critical Care Medicine to improve/confirm critical care knowledge and skills. For more information visit </w:t>
      </w:r>
      <w:hyperlink r:id="rId16" w:history="1">
        <w:r w:rsidR="000E060E" w:rsidRPr="005F4E6E">
          <w:rPr>
            <w:rStyle w:val="Hyperlink"/>
          </w:rPr>
          <w:t>https://www.sccm.org/Education-Center/Educational-Programming/Fundamentals/Fundamental-Critical-Care-Support</w:t>
        </w:r>
      </w:hyperlink>
      <w:r w:rsidR="000E060E" w:rsidRPr="005F4E6E">
        <w:rPr>
          <w:rFonts w:ascii="Calibri" w:hAnsi="Calibri"/>
        </w:rPr>
        <w:t xml:space="preserve">. </w:t>
      </w:r>
    </w:p>
    <w:p w14:paraId="61097147" w14:textId="77777777" w:rsidR="006676E5" w:rsidRPr="005F4E6E" w:rsidRDefault="006676E5" w:rsidP="00630E5D">
      <w:pPr>
        <w:rPr>
          <w:rFonts w:ascii="Calibri" w:hAnsi="Calibri"/>
        </w:rPr>
      </w:pPr>
    </w:p>
    <w:p w14:paraId="4DAC483E" w14:textId="77777777" w:rsidR="00691BAE" w:rsidRPr="005F4E6E" w:rsidRDefault="00691BAE" w:rsidP="00630E5D">
      <w:hyperlink w:history="1"/>
      <w:r w:rsidR="00322A3C" w:rsidRPr="005F4E6E">
        <w:t xml:space="preserve">At present, this is the only such course recommended by The Leapfrog Group’s expert advisory panel. Intensivists and any other physicians who are certified in critical care medicine (or eligible based on residency training or fellowship) need not also be FCCS certified. </w:t>
      </w:r>
    </w:p>
    <w:p w14:paraId="22C4A81F" w14:textId="77777777" w:rsidR="00691BAE" w:rsidRPr="005F4E6E" w:rsidRDefault="00691BAE" w:rsidP="00630E5D"/>
    <w:p w14:paraId="0243F35C" w14:textId="213B355A" w:rsidR="00322A3C" w:rsidRPr="00630E5D" w:rsidRDefault="00322A3C" w:rsidP="00630E5D">
      <w:pPr>
        <w:rPr>
          <w:rFonts w:ascii="Calibri" w:hAnsi="Calibri"/>
        </w:rPr>
      </w:pPr>
      <w:r w:rsidRPr="005F4E6E">
        <w:t xml:space="preserve">Physicians, physician assistants, and nurse practitioners also are not required to be FCCS certified, but they must meet the criteria specified in endnote </w:t>
      </w:r>
      <w:r w:rsidR="00B76191" w:rsidRPr="005F4E6E">
        <w:t>#</w:t>
      </w:r>
      <w:r w:rsidR="00A22C99" w:rsidRPr="005F4E6E">
        <w:t>4</w:t>
      </w:r>
      <w:r w:rsidR="00F10A96" w:rsidRPr="005F4E6E">
        <w:t>2</w:t>
      </w:r>
      <w:r w:rsidRPr="005F4E6E">
        <w:t xml:space="preserve"> to serve as the responder/”effector.”</w:t>
      </w:r>
    </w:p>
    <w:p w14:paraId="03DBD2F6" w14:textId="77777777" w:rsidR="00322A3C" w:rsidRPr="00216021" w:rsidRDefault="00322A3C">
      <w:pPr>
        <w:pStyle w:val="EndnoteText"/>
      </w:pPr>
    </w:p>
  </w:endnote>
  <w:endnote w:id="42">
    <w:p w14:paraId="2338E63D" w14:textId="5561709B" w:rsidR="00322A3C" w:rsidRPr="005F4E6E" w:rsidRDefault="00322A3C">
      <w:pPr>
        <w:pStyle w:val="EndnoteText"/>
      </w:pPr>
      <w:r w:rsidRPr="005F4E6E">
        <w:rPr>
          <w:rStyle w:val="EndnoteReference"/>
        </w:rPr>
        <w:endnoteRef/>
      </w:r>
      <w:r w:rsidRPr="005F4E6E">
        <w:t xml:space="preserve"> </w:t>
      </w:r>
      <w:bookmarkStart w:id="412" w:name="Endnote30_TeleCoverCalls"/>
      <w:r w:rsidRPr="005F4E6E">
        <w:rPr>
          <w:b/>
          <w:i/>
        </w:rPr>
        <w:t>Use of Tele-intensivists to Cover Calls</w:t>
      </w:r>
      <w:bookmarkEnd w:id="412"/>
    </w:p>
    <w:p w14:paraId="356CE7CF" w14:textId="2F09E11D" w:rsidR="00201CB2" w:rsidRDefault="00322A3C">
      <w:pPr>
        <w:pStyle w:val="EndnoteText"/>
      </w:pPr>
      <w:r w:rsidRPr="005F4E6E">
        <w:t>Hospitals that use telemedicine to cover ‘call’ for the on-site intensivist are able to answer “yes” to question #</w:t>
      </w:r>
      <w:r w:rsidR="00741519" w:rsidRPr="005F4E6E">
        <w:t>7</w:t>
      </w:r>
      <w:r w:rsidRPr="005F4E6E">
        <w:t xml:space="preserve"> if: (1) the telemedicine service meets all ten of the requirements outlined in endnote </w:t>
      </w:r>
      <w:r w:rsidR="00612D88" w:rsidRPr="005F4E6E">
        <w:t>#</w:t>
      </w:r>
      <w:r w:rsidR="00A22C99" w:rsidRPr="005F4E6E">
        <w:t>3</w:t>
      </w:r>
      <w:r w:rsidR="00B55D52" w:rsidRPr="005F4E6E">
        <w:t>8</w:t>
      </w:r>
      <w:r w:rsidRPr="005F4E6E">
        <w:t>; and (2) the hospital has an ‘effector’ (physician/PA/NP/FCCS certified nurse or intern) on-site during that time period to carry out the tele-intensivist’s orders and can reach the ICU patient within 5 minutes, 95% of the time.</w:t>
      </w:r>
    </w:p>
    <w:p w14:paraId="4E4423D3" w14:textId="77777777" w:rsidR="001C12DB" w:rsidRDefault="001C12DB">
      <w:pPr>
        <w:pStyle w:val="EndnoteText"/>
      </w:pPr>
    </w:p>
  </w:endnote>
  <w:endnote w:id="43">
    <w:p w14:paraId="17426BDC" w14:textId="77777777" w:rsidR="00322A3C" w:rsidRPr="00957AEE" w:rsidRDefault="00322A3C" w:rsidP="00FA7D20">
      <w:pPr>
        <w:pStyle w:val="EndnoteText"/>
      </w:pPr>
      <w:r w:rsidRPr="00957AEE">
        <w:rPr>
          <w:rStyle w:val="EndnoteReference"/>
        </w:rPr>
        <w:endnoteRef/>
      </w:r>
      <w:r w:rsidRPr="00957AEE">
        <w:t xml:space="preserve"> </w:t>
      </w:r>
      <w:bookmarkStart w:id="414" w:name="Endnote31_OtherEffector"/>
      <w:r w:rsidRPr="00957AEE">
        <w:rPr>
          <w:b/>
          <w:i/>
        </w:rPr>
        <w:t>Physician/PA/NP serving as the Responder/“Effector”</w:t>
      </w:r>
      <w:bookmarkEnd w:id="414"/>
    </w:p>
    <w:p w14:paraId="6A30A2AC" w14:textId="136D64FC" w:rsidR="00322A3C" w:rsidRPr="00957AEE" w:rsidRDefault="00322A3C" w:rsidP="00FA7D20">
      <w:pPr>
        <w:pStyle w:val="EndnoteText"/>
      </w:pPr>
      <w:r w:rsidRPr="00957AEE">
        <w:t>Physicians/PAs/NPs</w:t>
      </w:r>
      <w:r w:rsidR="00354D99" w:rsidRPr="00957AEE">
        <w:t xml:space="preserve"> (includes Clinical nurse Specialists, Nurse Anesthetists, or NPs)</w:t>
      </w:r>
      <w:r w:rsidRPr="00957AEE">
        <w:t xml:space="preserve"> serving as the responder in the ICU </w:t>
      </w:r>
      <w:r w:rsidR="00010F84" w:rsidRPr="00957AEE">
        <w:t xml:space="preserve">must </w:t>
      </w:r>
      <w:r w:rsidRPr="00957AEE">
        <w:t xml:space="preserve">meet the following criteria: </w:t>
      </w:r>
    </w:p>
    <w:p w14:paraId="66DD92D3" w14:textId="77777777" w:rsidR="00322A3C" w:rsidRPr="00957AEE" w:rsidRDefault="00322A3C" w:rsidP="00AD309C">
      <w:pPr>
        <w:pStyle w:val="EndnoteText"/>
        <w:numPr>
          <w:ilvl w:val="0"/>
          <w:numId w:val="95"/>
        </w:numPr>
      </w:pPr>
      <w:r w:rsidRPr="00957AEE">
        <w:t xml:space="preserve">Be a graduate with a training license from an ACGME accredited training program or have an active state license to practice as a physician, nurse practitioner, or physician assistant in the state in which the patient is located. </w:t>
      </w:r>
    </w:p>
    <w:p w14:paraId="5D568988" w14:textId="4B7F1450" w:rsidR="00322A3C" w:rsidRPr="00957AEE" w:rsidRDefault="00322A3C" w:rsidP="00AD309C">
      <w:pPr>
        <w:pStyle w:val="EndnoteText"/>
        <w:numPr>
          <w:ilvl w:val="0"/>
          <w:numId w:val="95"/>
        </w:numPr>
      </w:pPr>
      <w:r w:rsidRPr="00957AEE">
        <w:t>Have privileges to provide medical services in the unit (i.e.</w:t>
      </w:r>
      <w:r w:rsidR="00B05B4B" w:rsidRPr="00957AEE">
        <w:t>,</w:t>
      </w:r>
      <w:r w:rsidRPr="00957AEE">
        <w:t xml:space="preserve"> ICU) and for patients of the age range approved in advance by the hospital’s governing body (e.g., medical staff committee, chief medical officer, chief nursing officer, etc.), as specified by the institutions internal policies (bylaws).</w:t>
      </w:r>
    </w:p>
    <w:p w14:paraId="5BE7214A" w14:textId="3ECC2072" w:rsidR="00322A3C" w:rsidRPr="00957AEE" w:rsidRDefault="00322A3C" w:rsidP="00AD309C">
      <w:pPr>
        <w:pStyle w:val="ListParagraph"/>
        <w:numPr>
          <w:ilvl w:val="0"/>
          <w:numId w:val="95"/>
        </w:numPr>
      </w:pPr>
      <w:r w:rsidRPr="00957AEE">
        <w:t xml:space="preserve">Carry out the intensivist’s orders and instructions, under the intensivist’s guidance, when they are serving in a responder role. </w:t>
      </w:r>
    </w:p>
    <w:p w14:paraId="38057FBE" w14:textId="5BC0759F" w:rsidR="007E509D" w:rsidRPr="00957AEE" w:rsidRDefault="007E509D" w:rsidP="007E509D">
      <w:pPr>
        <w:rPr>
          <w:sz w:val="16"/>
          <w:szCs w:val="16"/>
        </w:rPr>
      </w:pPr>
    </w:p>
    <w:p w14:paraId="016D29A9" w14:textId="476ADD0B" w:rsidR="007E509D" w:rsidRPr="00EC7F89" w:rsidRDefault="007E509D" w:rsidP="007E509D">
      <w:pPr>
        <w:pStyle w:val="ListParagraph"/>
        <w:ind w:left="0"/>
      </w:pPr>
      <w:r w:rsidRPr="00957AEE">
        <w:rPr>
          <w:rFonts w:cs="Arial"/>
        </w:rPr>
        <w:t xml:space="preserve">If the effector is dedicated 24/7 to the ICU (as defined as being within a 5 min walk to the ICU), then hospitals can indicate </w:t>
      </w:r>
      <w:r w:rsidR="008F46C1" w:rsidRPr="00957AEE">
        <w:rPr>
          <w:rFonts w:cs="Arial"/>
        </w:rPr>
        <w:t>“</w:t>
      </w:r>
      <w:r w:rsidRPr="00957AEE">
        <w:rPr>
          <w:rFonts w:cs="Arial"/>
        </w:rPr>
        <w:t>yes</w:t>
      </w:r>
      <w:r w:rsidR="008F46C1" w:rsidRPr="00957AEE">
        <w:rPr>
          <w:rFonts w:cs="Arial"/>
        </w:rPr>
        <w:t>”</w:t>
      </w:r>
      <w:r w:rsidRPr="00957AEE">
        <w:rPr>
          <w:rFonts w:cs="Arial"/>
        </w:rPr>
        <w:t xml:space="preserve"> to meeting the response time requirement (5 min response; 95% of the time)</w:t>
      </w:r>
      <w:r w:rsidR="00ED006C" w:rsidRPr="00957AEE">
        <w:rPr>
          <w:rFonts w:cs="Arial"/>
        </w:rPr>
        <w:t xml:space="preserve"> in question #</w:t>
      </w:r>
      <w:r w:rsidR="00A22C99" w:rsidRPr="00957AEE">
        <w:rPr>
          <w:rFonts w:cs="Arial"/>
        </w:rPr>
        <w:t>8</w:t>
      </w:r>
      <w:r w:rsidRPr="00957AEE">
        <w:rPr>
          <w:rFonts w:cs="Arial"/>
        </w:rPr>
        <w:t>, in lieu of conducting a response time audit.</w:t>
      </w:r>
    </w:p>
    <w:p w14:paraId="4CF4E986" w14:textId="77777777" w:rsidR="00322A3C" w:rsidRPr="00216021" w:rsidRDefault="00322A3C" w:rsidP="00906204">
      <w:pPr>
        <w:pStyle w:val="EndnoteText"/>
        <w:ind w:left="360"/>
      </w:pPr>
    </w:p>
  </w:endnote>
  <w:endnote w:id="44">
    <w:p w14:paraId="6AAFAB1E" w14:textId="77777777" w:rsidR="00322A3C" w:rsidRDefault="00322A3C">
      <w:pPr>
        <w:pStyle w:val="EndnoteText"/>
        <w:rPr>
          <w:b/>
          <w:i/>
        </w:rPr>
      </w:pPr>
      <w:r>
        <w:rPr>
          <w:rStyle w:val="EndnoteReference"/>
        </w:rPr>
        <w:endnoteRef/>
      </w:r>
      <w:r>
        <w:t xml:space="preserve"> </w:t>
      </w:r>
      <w:bookmarkStart w:id="415" w:name="Endnote32_ModifiedTelemedicine"/>
      <w:r>
        <w:rPr>
          <w:b/>
          <w:i/>
        </w:rPr>
        <w:t>Modified Intensivist Presence via Telemedicine</w:t>
      </w:r>
    </w:p>
    <w:bookmarkEnd w:id="415"/>
    <w:p w14:paraId="38C38FC7" w14:textId="77777777" w:rsidR="00FE68F1" w:rsidRPr="00010B31" w:rsidRDefault="00FE68F1" w:rsidP="00FE68F1">
      <w:pPr>
        <w:pStyle w:val="EndnoteText"/>
        <w:rPr>
          <w:i/>
        </w:rPr>
      </w:pPr>
      <w:r>
        <w:t xml:space="preserve">To earn reduced credit on the Leapfrog ICU standard for intensivist presence in the ICU via telemonitoring, a hospital must affirm that its telemonitoring intensivist presence fulfills the following nine key features based on a modification of the approach reported in Critical Care Medicine (Rosenfeld, B. et al. “Intensive care unit telemedicine: Alternate paradigm for providing continuous intensivist care,” </w:t>
      </w:r>
      <w:r>
        <w:rPr>
          <w:i/>
        </w:rPr>
        <w:t>Critical Care Medicine</w:t>
      </w:r>
      <w:r>
        <w:t>, Vol. 28, No. 1, pp. 3925-3931). Note that, as with other Leapfrog specifications, these features must be met under ordinary circumstances.</w:t>
      </w:r>
    </w:p>
    <w:p w14:paraId="416F8B6D" w14:textId="77777777" w:rsidR="00FE68F1" w:rsidRPr="00E67EDC" w:rsidRDefault="00FE68F1" w:rsidP="00FE68F1">
      <w:pPr>
        <w:pStyle w:val="EndnoteText"/>
        <w:rPr>
          <w:sz w:val="16"/>
          <w:szCs w:val="16"/>
        </w:rPr>
      </w:pPr>
    </w:p>
    <w:p w14:paraId="6F44AF09" w14:textId="77777777" w:rsidR="00FE68F1" w:rsidRDefault="00FE68F1" w:rsidP="00AD309C">
      <w:pPr>
        <w:pStyle w:val="EndnoteText"/>
        <w:numPr>
          <w:ilvl w:val="0"/>
          <w:numId w:val="160"/>
        </w:numPr>
      </w:pPr>
      <w:r w:rsidRPr="00055F1E">
        <w:t>When an intensivist is not on-site in the ICU managing or co-managing all ICU patients, a tele-intensivist is continuously monitoring and able to manage all ICU patients for the remaining 24 hours per day, 7 days per week. “Continuously monitoring” means the tele-intensivist has no other concurrent responsibilities, is immediately available to communicate with ICU staff, and is continuously in the physical presence of the tele-ICU’s patient monitoring and communications equipment. "Manage" means authorized to diagnose, treat, and write orders for a patient in the ICU on the intensivist’s own authority.</w:t>
      </w:r>
      <w:r>
        <w:br/>
      </w:r>
    </w:p>
    <w:p w14:paraId="38FBCF53" w14:textId="77777777" w:rsidR="00FE68F1" w:rsidRPr="00055F1E" w:rsidRDefault="00FE68F1" w:rsidP="00AD309C">
      <w:pPr>
        <w:pStyle w:val="EndnoteText"/>
        <w:numPr>
          <w:ilvl w:val="0"/>
          <w:numId w:val="160"/>
        </w:numPr>
      </w:pPr>
      <w:r>
        <w:t xml:space="preserve">The tele-intensivist’s care is </w:t>
      </w:r>
      <w:r w:rsidRPr="00055F1E">
        <w:t>proactive, with routine</w:t>
      </w:r>
      <w:r>
        <w:t xml:space="preserve"> visualization and physiological</w:t>
      </w:r>
      <w:r w:rsidRPr="00055F1E">
        <w:t xml:space="preserve"> review of all patients at a frequency appropriate to their severity of illness.</w:t>
      </w:r>
      <w:r w:rsidRPr="00055F1E">
        <w:br/>
      </w:r>
    </w:p>
    <w:p w14:paraId="2F4D8216" w14:textId="77777777" w:rsidR="00FE68F1" w:rsidRPr="00055F1E" w:rsidRDefault="00FE68F1" w:rsidP="00AD309C">
      <w:pPr>
        <w:pStyle w:val="EndnoteText"/>
        <w:numPr>
          <w:ilvl w:val="0"/>
          <w:numId w:val="160"/>
        </w:numPr>
      </w:pPr>
      <w:r>
        <w:t>The</w:t>
      </w:r>
      <w:r w:rsidRPr="00055F1E">
        <w:t xml:space="preserve"> tele-intensivist has immediate access to key patient data, including:</w:t>
      </w:r>
    </w:p>
    <w:p w14:paraId="4B846527" w14:textId="77777777" w:rsidR="00FE68F1" w:rsidRDefault="00FE68F1" w:rsidP="00AD309C">
      <w:pPr>
        <w:pStyle w:val="EndnoteText"/>
        <w:numPr>
          <w:ilvl w:val="1"/>
          <w:numId w:val="160"/>
        </w:numPr>
      </w:pPr>
      <w:r w:rsidRPr="00055F1E">
        <w:t>physiologic bedside monitor data (in real-time);</w:t>
      </w:r>
    </w:p>
    <w:p w14:paraId="312956DF" w14:textId="77777777" w:rsidR="00FE68F1" w:rsidRPr="00055F1E" w:rsidRDefault="00FE68F1" w:rsidP="00AD309C">
      <w:pPr>
        <w:pStyle w:val="EndnoteText"/>
        <w:numPr>
          <w:ilvl w:val="1"/>
          <w:numId w:val="160"/>
        </w:numPr>
      </w:pPr>
      <w:r w:rsidRPr="00055F1E">
        <w:t>laboratory orders and results;</w:t>
      </w:r>
    </w:p>
    <w:p w14:paraId="19F66A5A" w14:textId="77777777" w:rsidR="00FE68F1" w:rsidRPr="00055F1E" w:rsidRDefault="00FE68F1" w:rsidP="00AD309C">
      <w:pPr>
        <w:pStyle w:val="EndnoteText"/>
        <w:numPr>
          <w:ilvl w:val="1"/>
          <w:numId w:val="160"/>
        </w:numPr>
      </w:pPr>
      <w:r w:rsidRPr="00055F1E">
        <w:t>medications ordered and administered; and,</w:t>
      </w:r>
    </w:p>
    <w:p w14:paraId="1D5AC129" w14:textId="77777777" w:rsidR="00FE68F1" w:rsidRPr="00055F1E" w:rsidRDefault="00FE68F1" w:rsidP="00AD309C">
      <w:pPr>
        <w:pStyle w:val="EndnoteText"/>
        <w:numPr>
          <w:ilvl w:val="1"/>
          <w:numId w:val="160"/>
        </w:numPr>
        <w:rPr>
          <w:lang w:val="fr-FR"/>
        </w:rPr>
      </w:pPr>
      <w:r w:rsidRPr="00055F1E">
        <w:rPr>
          <w:lang w:val="fr-FR"/>
        </w:rPr>
        <w:t xml:space="preserve">notes, radiographs, ECGs, etc. on </w:t>
      </w:r>
      <w:r w:rsidRPr="00693D1C">
        <w:rPr>
          <w:lang w:val="fr-FR"/>
        </w:rPr>
        <w:t>demand</w:t>
      </w:r>
      <w:r w:rsidRPr="00055F1E">
        <w:rPr>
          <w:lang w:val="fr-FR"/>
        </w:rPr>
        <w:t>.</w:t>
      </w:r>
      <w:r w:rsidRPr="00055F1E">
        <w:rPr>
          <w:lang w:val="fr-FR"/>
        </w:rPr>
        <w:br/>
      </w:r>
    </w:p>
    <w:p w14:paraId="3749F07B" w14:textId="77777777" w:rsidR="000577C3" w:rsidRDefault="000577C3" w:rsidP="00AD309C">
      <w:pPr>
        <w:pStyle w:val="EndnoteText"/>
        <w:numPr>
          <w:ilvl w:val="0"/>
          <w:numId w:val="160"/>
        </w:numPr>
      </w:pPr>
      <w:r>
        <w:t xml:space="preserve">Bedside cameras are physically available in each ICU. If cameras are not mounted in each patient room within the unit, then at least one dedicated bedside camera must be available for every five beds in the ICU, plus a dedicated back-up camera in each ICU. If ICUs are located on different floors of the hospital, each ICU on each floor must have its own set of dedicated cameras if they are not mounted in every room. “Dedicated” means that the cameras are on the unit for the sole purpose of patient care. Personal devices (e.g., personal phones, tablets, etc.) would not meet this requirement. </w:t>
      </w:r>
    </w:p>
    <w:p w14:paraId="496BA78E" w14:textId="77777777" w:rsidR="00FE68F1" w:rsidRPr="00E67EDC" w:rsidRDefault="00FE68F1" w:rsidP="00FE68F1">
      <w:pPr>
        <w:pStyle w:val="EndnoteText"/>
        <w:ind w:left="360"/>
        <w:rPr>
          <w:sz w:val="16"/>
          <w:szCs w:val="16"/>
        </w:rPr>
      </w:pPr>
    </w:p>
    <w:p w14:paraId="4207BF03" w14:textId="77777777" w:rsidR="00FE68F1" w:rsidRDefault="00FE68F1" w:rsidP="00AD309C">
      <w:pPr>
        <w:pStyle w:val="EndnoteText"/>
        <w:numPr>
          <w:ilvl w:val="0"/>
          <w:numId w:val="160"/>
        </w:numPr>
      </w:pPr>
      <w:r>
        <w:t xml:space="preserve">The </w:t>
      </w:r>
      <w:r w:rsidRPr="00055F1E">
        <w:t>tele-intensivist</w:t>
      </w:r>
      <w:r>
        <w:t xml:space="preserve"> must be </w:t>
      </w:r>
      <w:r w:rsidRPr="00055F1E">
        <w:t xml:space="preserve">able to </w:t>
      </w:r>
      <w:r>
        <w:t xml:space="preserve">turn on each bedside camera to </w:t>
      </w:r>
      <w:r w:rsidRPr="00055F1E">
        <w:t>visualize patients</w:t>
      </w:r>
      <w:r>
        <w:t>,</w:t>
      </w:r>
      <w:r w:rsidRPr="00055F1E">
        <w:t xml:space="preserve"> with sufficient clarity to assess breathing pattern and communicate with on-site personnel at the bedside in real time.</w:t>
      </w:r>
      <w:r>
        <w:t xml:space="preserve"> </w:t>
      </w:r>
      <w:r>
        <w:br/>
      </w:r>
    </w:p>
    <w:p w14:paraId="3E37BA6B" w14:textId="77777777" w:rsidR="00FE68F1" w:rsidRDefault="00FE68F1" w:rsidP="00AD309C">
      <w:pPr>
        <w:pStyle w:val="EndnoteText"/>
        <w:numPr>
          <w:ilvl w:val="0"/>
          <w:numId w:val="160"/>
        </w:numPr>
      </w:pPr>
      <w:r w:rsidRPr="00055F1E">
        <w:t xml:space="preserve">Within five minutes of </w:t>
      </w:r>
      <w:r>
        <w:t>a</w:t>
      </w:r>
      <w:r w:rsidRPr="00055F1E">
        <w:t xml:space="preserve"> request for assistance being initiated by hospital staff, </w:t>
      </w:r>
      <w:r>
        <w:t>the</w:t>
      </w:r>
      <w:r w:rsidRPr="00055F1E">
        <w:t xml:space="preserve"> tele-intensivist’s patient workload ordinarily permits the tele-intensivist to</w:t>
      </w:r>
      <w:r w:rsidRPr="00624047">
        <w:t xml:space="preserve"> complete a comprehensive </w:t>
      </w:r>
      <w:r>
        <w:t xml:space="preserve">visual and physiological </w:t>
      </w:r>
      <w:r w:rsidRPr="00624047">
        <w:t>assessment of any patient.</w:t>
      </w:r>
      <w:r>
        <w:br/>
      </w:r>
    </w:p>
    <w:p w14:paraId="7AF77D06" w14:textId="77777777" w:rsidR="00FE68F1" w:rsidRPr="00055F1E" w:rsidRDefault="00FE68F1" w:rsidP="00AD309C">
      <w:pPr>
        <w:pStyle w:val="EndnoteText"/>
        <w:numPr>
          <w:ilvl w:val="0"/>
          <w:numId w:val="160"/>
        </w:numPr>
      </w:pPr>
      <w:r w:rsidRPr="00055F1E">
        <w:t>Data links between the ICU and the tele-intensivist are reliable (&gt;98% up-time) and secure (HIPAA compliant).</w:t>
      </w:r>
      <w:r>
        <w:br/>
      </w:r>
    </w:p>
    <w:p w14:paraId="03844D70" w14:textId="77777777" w:rsidR="00FE68F1" w:rsidRPr="00055F1E" w:rsidRDefault="00FE68F1" w:rsidP="00AD309C">
      <w:pPr>
        <w:pStyle w:val="EndnoteText"/>
        <w:numPr>
          <w:ilvl w:val="0"/>
          <w:numId w:val="160"/>
        </w:numPr>
      </w:pPr>
      <w:r w:rsidRPr="00055F1E">
        <w:t>Written standards for remote care are established and include, at a minimum:</w:t>
      </w:r>
    </w:p>
    <w:p w14:paraId="059B77B7" w14:textId="77777777" w:rsidR="00FE68F1" w:rsidRPr="00055F1E" w:rsidRDefault="00FE68F1" w:rsidP="00AD309C">
      <w:pPr>
        <w:pStyle w:val="EndnoteText"/>
        <w:numPr>
          <w:ilvl w:val="1"/>
          <w:numId w:val="160"/>
        </w:numPr>
      </w:pPr>
      <w:r w:rsidRPr="00055F1E">
        <w:t>tele-intensivists are certified by a national medical specialty board in critical care medicine;</w:t>
      </w:r>
    </w:p>
    <w:p w14:paraId="384C5989" w14:textId="77777777" w:rsidR="00FE68F1" w:rsidRPr="00055F1E" w:rsidRDefault="00FE68F1" w:rsidP="00AD309C">
      <w:pPr>
        <w:pStyle w:val="EndnoteText"/>
        <w:numPr>
          <w:ilvl w:val="1"/>
          <w:numId w:val="160"/>
        </w:numPr>
      </w:pPr>
      <w:r w:rsidRPr="00055F1E">
        <w:t>tele-intensivists are licensed to practice in the legal jurisdiction in which the ICU is located;</w:t>
      </w:r>
    </w:p>
    <w:p w14:paraId="64139D22" w14:textId="77777777" w:rsidR="00FE68F1" w:rsidRPr="00055F1E" w:rsidRDefault="00FE68F1" w:rsidP="00AD309C">
      <w:pPr>
        <w:pStyle w:val="EndnoteText"/>
        <w:numPr>
          <w:ilvl w:val="1"/>
          <w:numId w:val="160"/>
        </w:numPr>
      </w:pPr>
      <w:r w:rsidRPr="00055F1E">
        <w:t>tele-intensivists are credentialed in each hospital to which he/she provides remote care (can be special telemedicine credentialing);</w:t>
      </w:r>
    </w:p>
    <w:p w14:paraId="5F7FFC50" w14:textId="77777777" w:rsidR="00FE68F1" w:rsidRPr="00055F1E" w:rsidRDefault="00FE68F1" w:rsidP="00AD309C">
      <w:pPr>
        <w:pStyle w:val="EndnoteText"/>
        <w:numPr>
          <w:ilvl w:val="1"/>
          <w:numId w:val="160"/>
        </w:numPr>
      </w:pPr>
      <w:r w:rsidRPr="00055F1E">
        <w:t>activities of the tele-intensivist are reviewed within the hospital’s quality assurance committee structure;</w:t>
      </w:r>
    </w:p>
    <w:p w14:paraId="4BFF7688" w14:textId="77777777" w:rsidR="00FE68F1" w:rsidRPr="00055F1E" w:rsidRDefault="00FE68F1" w:rsidP="00AD309C">
      <w:pPr>
        <w:pStyle w:val="EndnoteText"/>
        <w:numPr>
          <w:ilvl w:val="1"/>
          <w:numId w:val="160"/>
        </w:numPr>
      </w:pPr>
      <w:r>
        <w:t xml:space="preserve">there are </w:t>
      </w:r>
      <w:r w:rsidRPr="00055F1E">
        <w:t>explicit</w:t>
      </w:r>
      <w:r>
        <w:t xml:space="preserve"> written</w:t>
      </w:r>
      <w:r w:rsidRPr="00055F1E">
        <w:t xml:space="preserve"> policies regarding roles and responsibilities of both the on-site intensivist and the tele-intensivist;</w:t>
      </w:r>
    </w:p>
    <w:p w14:paraId="227327B5" w14:textId="77777777" w:rsidR="00FE68F1" w:rsidRDefault="00FE68F1" w:rsidP="00AD309C">
      <w:pPr>
        <w:pStyle w:val="EndnoteText"/>
        <w:numPr>
          <w:ilvl w:val="1"/>
          <w:numId w:val="160"/>
        </w:numPr>
      </w:pPr>
      <w:r>
        <w:t>ICU staff are educated</w:t>
      </w:r>
      <w:r w:rsidRPr="00055F1E">
        <w:t xml:space="preserve"> regarding the function, roles, and responsibilities of the tele-intensivist</w:t>
      </w:r>
      <w:r>
        <w:t>; and</w:t>
      </w:r>
    </w:p>
    <w:p w14:paraId="36C71E99" w14:textId="77777777" w:rsidR="00FE68F1" w:rsidRDefault="00FE68F1" w:rsidP="00AD309C">
      <w:pPr>
        <w:pStyle w:val="EndnoteText"/>
        <w:numPr>
          <w:ilvl w:val="1"/>
          <w:numId w:val="160"/>
        </w:numPr>
      </w:pPr>
      <w:r>
        <w:t>there is an established written process to ensure effective communication between the ICU staff and the tele-intensivist.</w:t>
      </w:r>
      <w:r>
        <w:br/>
      </w:r>
    </w:p>
    <w:p w14:paraId="0FEDB73D" w14:textId="77777777" w:rsidR="00FE68F1" w:rsidRDefault="00FE68F1" w:rsidP="00AD309C">
      <w:pPr>
        <w:pStyle w:val="EndnoteText"/>
        <w:numPr>
          <w:ilvl w:val="0"/>
          <w:numId w:val="160"/>
        </w:numPr>
      </w:pPr>
      <w:r>
        <w:t>The tele-intensivist documents patient care activities and this documentation is incorporated into the patient record.</w:t>
      </w:r>
    </w:p>
    <w:p w14:paraId="52D404FF" w14:textId="77777777" w:rsidR="00322A3C" w:rsidRPr="00216021" w:rsidRDefault="00322A3C" w:rsidP="00B17EC2">
      <w:pPr>
        <w:pStyle w:val="EndnoteText"/>
        <w:ind w:left="360"/>
      </w:pPr>
    </w:p>
  </w:endnote>
  <w:endnote w:id="45">
    <w:p w14:paraId="2AD09EC7" w14:textId="77777777" w:rsidR="00322A3C" w:rsidRPr="00CB0598" w:rsidRDefault="00322A3C">
      <w:pPr>
        <w:pStyle w:val="EndnoteText"/>
      </w:pPr>
      <w:r w:rsidRPr="00CB0598">
        <w:rPr>
          <w:rStyle w:val="EndnoteReference"/>
        </w:rPr>
        <w:endnoteRef/>
      </w:r>
      <w:r w:rsidRPr="00CB0598">
        <w:t xml:space="preserve"> </w:t>
      </w:r>
      <w:bookmarkStart w:id="481" w:name="HHtouchpatientsendnote"/>
      <w:bookmarkEnd w:id="481"/>
      <w:r w:rsidRPr="00CB0598">
        <w:rPr>
          <w:b/>
          <w:i/>
        </w:rPr>
        <w:t>Individuals who touch patients or who touch items that will be used by patients</w:t>
      </w:r>
    </w:p>
    <w:p w14:paraId="2068009A" w14:textId="53082253" w:rsidR="00322A3C" w:rsidRPr="00762882" w:rsidRDefault="00322A3C" w:rsidP="002B108D">
      <w:pPr>
        <w:pStyle w:val="EndnoteText"/>
      </w:pPr>
      <w:r w:rsidRPr="00CB0598">
        <w:t xml:space="preserve">This would include individuals who are formally engaged by the hospital to help support the patient care process. This would include both direct and indirect care providers that are likely to have contact with patients in a patient care unit, enter a patient care unit, touch items that will be used by patients in a patient care unit, or interact with patient fluids (e.g., blood, specimens) in a patient care unit, such as doctors, mid-levels, nurses, pharmacists, environmental services staff, phlebotomists, laboratory techs, etc. This would also include students and volunteers. These individuals </w:t>
      </w:r>
      <w:r w:rsidR="00FB509F" w:rsidRPr="00CB0598">
        <w:t xml:space="preserve">must </w:t>
      </w:r>
      <w:r w:rsidRPr="00CB0598">
        <w:t xml:space="preserve">be trained to identify and perform proper hand hygiene for the specific indications/moments (see </w:t>
      </w:r>
      <w:hyperlink r:id="rId17" w:history="1">
        <w:r w:rsidRPr="00CB0598">
          <w:rPr>
            <w:rStyle w:val="Hyperlink"/>
          </w:rPr>
          <w:t>WHO's 5 Moments for Hand Hygiene,</w:t>
        </w:r>
      </w:hyperlink>
      <w:r w:rsidRPr="00CB0598">
        <w:t xml:space="preserve"> </w:t>
      </w:r>
      <w:hyperlink r:id="rId18" w:history="1">
        <w:r w:rsidRPr="00CB0598">
          <w:rPr>
            <w:rStyle w:val="Hyperlink"/>
          </w:rPr>
          <w:t>CDC’s Guideline for Hand Hygiene</w:t>
        </w:r>
      </w:hyperlink>
      <w:r w:rsidRPr="00CB0598">
        <w:t>) that are relevant to their work.</w:t>
      </w:r>
    </w:p>
    <w:p w14:paraId="50EBD249" w14:textId="77777777" w:rsidR="00322A3C" w:rsidRPr="00E67EDC" w:rsidRDefault="00322A3C" w:rsidP="002B108D">
      <w:pPr>
        <w:pStyle w:val="EndnoteText"/>
        <w:rPr>
          <w:sz w:val="16"/>
          <w:szCs w:val="16"/>
        </w:rPr>
      </w:pPr>
    </w:p>
    <w:p w14:paraId="01EF1928" w14:textId="17DD898E" w:rsidR="00322A3C" w:rsidRPr="002B108D" w:rsidRDefault="00322A3C" w:rsidP="002B108D">
      <w:pPr>
        <w:pStyle w:val="EndnoteText"/>
      </w:pPr>
      <w:r w:rsidRPr="00762882">
        <w:t>Administrative workers that only perform office duties and do not touch patients or touch items that will be used by patients in a patient care unit would not be included in this definition. Patients and their visitors would also not be included in this definition. While patients and their loved ones are important parts of the patient care process, they are not formally engaged by the hospital for this work.</w:t>
      </w:r>
      <w:r w:rsidR="00354D99">
        <w:t xml:space="preserve"> Vendors would also not be included.</w:t>
      </w:r>
    </w:p>
    <w:p w14:paraId="4CA4D6D1" w14:textId="77777777" w:rsidR="00322A3C" w:rsidRPr="00216021" w:rsidRDefault="00322A3C">
      <w:pPr>
        <w:pStyle w:val="EndnoteText"/>
      </w:pPr>
    </w:p>
  </w:endnote>
  <w:endnote w:id="46">
    <w:p w14:paraId="6AD1EE1C" w14:textId="77777777" w:rsidR="00322A3C" w:rsidRPr="00CB0598" w:rsidRDefault="00322A3C" w:rsidP="00C91B69">
      <w:pPr>
        <w:pStyle w:val="EndnoteText"/>
        <w:rPr>
          <w:i/>
        </w:rPr>
      </w:pPr>
      <w:r w:rsidRPr="00CB0598">
        <w:rPr>
          <w:rStyle w:val="EndnoteReference"/>
        </w:rPr>
        <w:endnoteRef/>
      </w:r>
      <w:r w:rsidRPr="00CB0598">
        <w:t xml:space="preserve"> </w:t>
      </w:r>
      <w:bookmarkStart w:id="483" w:name="profwapproptrainandskill"/>
      <w:r w:rsidRPr="00CB0598">
        <w:rPr>
          <w:b/>
          <w:i/>
        </w:rPr>
        <w:t>Professional with Appropriate Training and Skills</w:t>
      </w:r>
      <w:bookmarkEnd w:id="483"/>
    </w:p>
    <w:p w14:paraId="12A8A561" w14:textId="235A8236" w:rsidR="00322A3C" w:rsidRPr="00CB0598" w:rsidRDefault="00322A3C" w:rsidP="00C91B69">
      <w:pPr>
        <w:pStyle w:val="EndnoteText"/>
      </w:pPr>
      <w:r w:rsidRPr="00CB0598">
        <w:t>This would include staff formally trained in Infection Control or Infectious Diseases, whose tasks include dedicated time for staff training. In some settings, this could also be medical or nursing staff involved in clinical work, with dedicated time to acquire thorough knowledge of the evidence for and correct practice of hand hygiene.</w:t>
      </w:r>
    </w:p>
    <w:p w14:paraId="6ADD41CB" w14:textId="77777777" w:rsidR="00322A3C" w:rsidRPr="00CB0598" w:rsidRDefault="00322A3C" w:rsidP="00C91B69">
      <w:pPr>
        <w:pStyle w:val="EndnoteText"/>
        <w:rPr>
          <w:sz w:val="16"/>
          <w:szCs w:val="16"/>
        </w:rPr>
      </w:pPr>
    </w:p>
    <w:p w14:paraId="0FA43AE3" w14:textId="472F1570" w:rsidR="00793098" w:rsidRDefault="00CE3245" w:rsidP="00C91B69">
      <w:pPr>
        <w:pStyle w:val="EndnoteText"/>
        <w:rPr>
          <w:sz w:val="16"/>
          <w:szCs w:val="16"/>
        </w:rPr>
      </w:pPr>
      <w:r w:rsidRPr="00CB0598">
        <w:t xml:space="preserve">At a minimum, the trainer </w:t>
      </w:r>
      <w:r w:rsidR="001F59C7" w:rsidRPr="00CB0598">
        <w:t xml:space="preserve">must </w:t>
      </w:r>
      <w:r w:rsidRPr="00CB0598">
        <w:t xml:space="preserve">have an understanding of the information and concepts presented </w:t>
      </w:r>
      <w:r w:rsidR="00322A3C" w:rsidRPr="00CB0598">
        <w:t xml:space="preserve">in the </w:t>
      </w:r>
      <w:hyperlink r:id="rId19" w:history="1">
        <w:r w:rsidR="00322A3C" w:rsidRPr="00CB0598">
          <w:rPr>
            <w:rStyle w:val="Hyperlink"/>
          </w:rPr>
          <w:t>WHO Guidelines on Hand Hygiene in Health Care</w:t>
        </w:r>
      </w:hyperlink>
      <w:r w:rsidR="00322A3C" w:rsidRPr="00CB0598">
        <w:t xml:space="preserve"> and the </w:t>
      </w:r>
      <w:hyperlink r:id="rId20" w:history="1">
        <w:r w:rsidR="00322A3C" w:rsidRPr="00CB0598">
          <w:rPr>
            <w:rStyle w:val="Hyperlink"/>
          </w:rPr>
          <w:t>Hand Hygiene Technical Reference Manual</w:t>
        </w:r>
      </w:hyperlink>
      <w:r w:rsidR="00322A3C" w:rsidRPr="00CB0598">
        <w:t>.</w:t>
      </w:r>
    </w:p>
    <w:p w14:paraId="5E836D23" w14:textId="77777777" w:rsidR="000E7C65" w:rsidRPr="001C12DB" w:rsidRDefault="000E7C65" w:rsidP="00C91B69">
      <w:pPr>
        <w:pStyle w:val="EndnoteText"/>
      </w:pPr>
    </w:p>
  </w:endnote>
  <w:endnote w:id="47">
    <w:p w14:paraId="0344A1D4" w14:textId="77777777" w:rsidR="00AE4D8B" w:rsidRPr="004B4131" w:rsidRDefault="00AE4D8B" w:rsidP="00AE4D8B">
      <w:pPr>
        <w:pStyle w:val="EndnoteText"/>
        <w:rPr>
          <w:b/>
          <w:bCs/>
          <w:i/>
          <w:iCs/>
        </w:rPr>
      </w:pPr>
      <w:r w:rsidRPr="004B4131">
        <w:rPr>
          <w:rStyle w:val="EndnoteReference"/>
        </w:rPr>
        <w:endnoteRef/>
      </w:r>
      <w:r w:rsidRPr="004B4131">
        <w:t xml:space="preserve"> </w:t>
      </w:r>
      <w:bookmarkStart w:id="500" w:name="emergencydepartment_endnote"/>
      <w:bookmarkEnd w:id="500"/>
      <w:r w:rsidRPr="004B4131">
        <w:rPr>
          <w:b/>
          <w:bCs/>
          <w:i/>
          <w:iCs/>
        </w:rPr>
        <w:t>Dedicated Emergency Department</w:t>
      </w:r>
    </w:p>
    <w:p w14:paraId="7B00E634" w14:textId="77777777" w:rsidR="00AE4D8B" w:rsidRPr="004B4131" w:rsidRDefault="00AE4D8B" w:rsidP="00AE4D8B">
      <w:r w:rsidRPr="004B4131">
        <w:t>A dedicated emergency department is an area of the hospital that meets any one of the following criteria:</w:t>
      </w:r>
    </w:p>
    <w:p w14:paraId="6C8C4ED4" w14:textId="77777777" w:rsidR="00AE4D8B" w:rsidRPr="004B4131" w:rsidRDefault="00AE4D8B" w:rsidP="00AD309C">
      <w:pPr>
        <w:pStyle w:val="ListParagraph"/>
        <w:numPr>
          <w:ilvl w:val="0"/>
          <w:numId w:val="406"/>
        </w:numPr>
        <w:spacing w:before="200" w:after="200" w:line="276" w:lineRule="auto"/>
      </w:pPr>
      <w:r w:rsidRPr="004B4131">
        <w:t>Licensed by the state as an emergency department,</w:t>
      </w:r>
    </w:p>
    <w:p w14:paraId="5DB9082F" w14:textId="77777777" w:rsidR="00AE4D8B" w:rsidRPr="004B4131" w:rsidRDefault="00AE4D8B" w:rsidP="00AD309C">
      <w:pPr>
        <w:pStyle w:val="ListParagraph"/>
        <w:numPr>
          <w:ilvl w:val="0"/>
          <w:numId w:val="406"/>
        </w:numPr>
        <w:spacing w:before="200" w:after="200" w:line="276" w:lineRule="auto"/>
      </w:pPr>
      <w:r w:rsidRPr="004B4131">
        <w:t>Holds itself out to the public as providing emergency care, or</w:t>
      </w:r>
    </w:p>
    <w:p w14:paraId="1E7BE5F1" w14:textId="77777777" w:rsidR="00AE4D8B" w:rsidRPr="004B4131" w:rsidRDefault="00AE4D8B" w:rsidP="00AD309C">
      <w:pPr>
        <w:pStyle w:val="ListParagraph"/>
        <w:numPr>
          <w:ilvl w:val="0"/>
          <w:numId w:val="406"/>
        </w:numPr>
        <w:spacing w:before="200" w:after="200" w:line="276" w:lineRule="auto"/>
      </w:pPr>
      <w:r w:rsidRPr="004B4131">
        <w:t>During the preceding calendar year, at least one-third of its outpatient visits were for the treatment of emergency medical conditions.</w:t>
      </w:r>
    </w:p>
    <w:p w14:paraId="7DBCEFF1" w14:textId="5BAC2A5A" w:rsidR="005B19EE" w:rsidRDefault="005B19EE" w:rsidP="004B4131">
      <w:pPr>
        <w:spacing w:before="200" w:after="200" w:line="276" w:lineRule="auto"/>
      </w:pPr>
      <w:r w:rsidRPr="004B4131">
        <w:t>For the purposes of reporting on the Survey, only include emergency departments that are located in your hospital. Exclude free-standing emergency departments.</w:t>
      </w:r>
      <w:r>
        <w:t xml:space="preserve"> </w:t>
      </w:r>
    </w:p>
    <w:p w14:paraId="04D54998" w14:textId="77777777" w:rsidR="00631326" w:rsidRPr="00533B1D" w:rsidRDefault="00631326" w:rsidP="004B4131">
      <w:pPr>
        <w:spacing w:before="200" w:after="200" w:line="276" w:lineRule="auto"/>
      </w:pPr>
    </w:p>
  </w:endnote>
  <w:endnote w:id="48">
    <w:p w14:paraId="3544B4E1" w14:textId="77777777" w:rsidR="00803D50" w:rsidRDefault="00803D50" w:rsidP="00803D50">
      <w:pPr>
        <w:pStyle w:val="EndnoteText"/>
        <w:rPr>
          <w:b/>
          <w:i/>
        </w:rPr>
      </w:pPr>
      <w:r w:rsidRPr="00022EEF">
        <w:rPr>
          <w:rStyle w:val="EndnoteReference"/>
          <w:iCs/>
        </w:rPr>
        <w:endnoteRef/>
      </w:r>
      <w:r w:rsidRPr="00022EEF">
        <w:rPr>
          <w:iCs/>
        </w:rPr>
        <w:t xml:space="preserve"> </w:t>
      </w:r>
      <w:bookmarkStart w:id="628" w:name="Endnote36_NeverEvent"/>
      <w:r>
        <w:rPr>
          <w:b/>
          <w:i/>
        </w:rPr>
        <w:t>Never Event</w:t>
      </w:r>
      <w:bookmarkEnd w:id="628"/>
    </w:p>
    <w:p w14:paraId="27DBE3F9" w14:textId="46DD4363" w:rsidR="00803D50" w:rsidRDefault="00803D50" w:rsidP="00923EE1">
      <w:r>
        <w:t>In 2011, the National Quality Forum released a list of 29 events that they termed “serious reportable events,” extremely rare medical errors that should never happen to a patient. Often termed “never events,” these include errors such as surgery performed on the wrong body part or on the wrong patient, leaving a foreign object inside a patient after surgery, or discharging an infant to the wrong person. This is an update of NQF’s original 2002 and 2006 reports. Please see NQF’s “Never Events” list at</w:t>
      </w:r>
      <w:r w:rsidR="00FC10F6">
        <w:t xml:space="preserve"> </w:t>
      </w:r>
      <w:hyperlink r:id="rId21" w:history="1">
        <w:r w:rsidR="00FC10F6" w:rsidRPr="004103A9">
          <w:rPr>
            <w:rStyle w:val="Hyperlink"/>
          </w:rPr>
          <w:t>https://digitalassets.jointcommission.org/api/public/content/4534bbaaee4f4bd280c2054765f37f4b?v=a60f8f9a</w:t>
        </w:r>
      </w:hyperlink>
      <w:r w:rsidR="004510B4">
        <w:t xml:space="preserve">. </w:t>
      </w:r>
      <w:r w:rsidRPr="00511008">
        <w:t>Hospitals may not earn credit for this question if they have only implemented a policy that includes the Center for Medicare and Medicaid (CMS) Never Events.</w:t>
      </w:r>
    </w:p>
    <w:p w14:paraId="39C57ED4" w14:textId="77777777" w:rsidR="00803D50" w:rsidRPr="00216021" w:rsidRDefault="00803D50" w:rsidP="00803D50">
      <w:pPr>
        <w:pStyle w:val="EndnoteText"/>
        <w:rPr>
          <w:color w:val="0000FF"/>
          <w:u w:val="single"/>
        </w:rPr>
      </w:pPr>
    </w:p>
  </w:endnote>
  <w:endnote w:id="49">
    <w:p w14:paraId="2F650256" w14:textId="77777777" w:rsidR="006922BB" w:rsidRDefault="006922BB" w:rsidP="006922BB">
      <w:pPr>
        <w:pStyle w:val="EndnoteText"/>
      </w:pPr>
      <w:r>
        <w:rPr>
          <w:rStyle w:val="EndnoteReference"/>
        </w:rPr>
        <w:endnoteRef/>
      </w:r>
      <w:r>
        <w:t xml:space="preserve"> </w:t>
      </w:r>
      <w:bookmarkStart w:id="630" w:name="Endnote37_Apology"/>
      <w:r>
        <w:rPr>
          <w:b/>
          <w:i/>
        </w:rPr>
        <w:t>Apology to the Patient</w:t>
      </w:r>
      <w:bookmarkEnd w:id="630"/>
    </w:p>
    <w:p w14:paraId="511766D3" w14:textId="77777777" w:rsidR="006922BB" w:rsidRDefault="006922BB" w:rsidP="006922BB">
      <w:pPr>
        <w:pStyle w:val="EndnoteText"/>
      </w:pPr>
      <w:r>
        <w:t>While Leapfrog recognizes that on very rare occasions “never events” can occur that are not the fault of care systems or clinical care staff, given the high level of trust patients place in health care providers, Leapfrog feels it is appropriate for caregivers to apologize when a patient within their care setting suffers a serious event.</w:t>
      </w:r>
    </w:p>
    <w:p w14:paraId="09D0855F" w14:textId="77777777" w:rsidR="006922BB" w:rsidRPr="00E67EDC" w:rsidRDefault="006922BB" w:rsidP="006922BB">
      <w:pPr>
        <w:pStyle w:val="EndnoteText"/>
        <w:rPr>
          <w:sz w:val="16"/>
          <w:szCs w:val="16"/>
        </w:rPr>
      </w:pPr>
    </w:p>
    <w:p w14:paraId="1F994363" w14:textId="77777777" w:rsidR="006922BB" w:rsidRDefault="006922BB" w:rsidP="006922BB">
      <w:pPr>
        <w:pStyle w:val="EndnoteText"/>
      </w:pPr>
      <w:r>
        <w:t>As the National Quality Forum identified in their 2002, 2006, and 2011 Serious Reportable Events Report, given the serious nature of these events, it is reasonable for hospitals to initially assume that the adverse event was due to the referenced course of care. And while further investigation and/or root cause analysis of the unplanned event may be needed to confirm or refute the presumed relationship, delaying an apology to the patient is not treating the patient with compassion and sympathy.</w:t>
      </w:r>
    </w:p>
    <w:p w14:paraId="55BAF771" w14:textId="77777777" w:rsidR="006922BB" w:rsidRPr="00216021" w:rsidRDefault="006922BB" w:rsidP="006922BB">
      <w:pPr>
        <w:pStyle w:val="EndnoteText"/>
      </w:pPr>
    </w:p>
  </w:endnote>
  <w:endnote w:id="50">
    <w:p w14:paraId="73371F2B" w14:textId="1D08F251" w:rsidR="005D3242" w:rsidRDefault="006922BB" w:rsidP="006922BB">
      <w:pPr>
        <w:pStyle w:val="EndnoteText"/>
        <w:rPr>
          <w:sz w:val="16"/>
          <w:szCs w:val="16"/>
        </w:rPr>
      </w:pPr>
      <w:r>
        <w:rPr>
          <w:rStyle w:val="EndnoteReference"/>
        </w:rPr>
        <w:endnoteRef/>
      </w:r>
      <w:r>
        <w:t xml:space="preserve"> </w:t>
      </w:r>
      <w:bookmarkStart w:id="631" w:name="Endnote38_ExternalAgency"/>
      <w:r>
        <w:rPr>
          <w:rFonts w:cs="Arial"/>
          <w:b/>
          <w:i/>
        </w:rPr>
        <w:t>Reporting Never Events to External Agencies</w:t>
      </w:r>
      <w:bookmarkEnd w:id="631"/>
      <w:r>
        <w:rPr>
          <w:rFonts w:cs="Arial"/>
        </w:rPr>
        <w:br/>
        <w:t>If your hospital is not accredited by The Joint Commission or DNV GL Healthcare, is located in a state without a state-wide reporting program for medical errors, AND there is no available Patient Safety Organization to which your hospital can report medical errors, the hospital should report the event to the Board of Trustees. Full implementation of the Never Events policy still requires the hospital to conduct a root cause analysis of the event.</w:t>
      </w:r>
    </w:p>
    <w:p w14:paraId="5B895CB8" w14:textId="77777777" w:rsidR="000E7C65" w:rsidRPr="00B44C1C" w:rsidRDefault="000E7C65" w:rsidP="006922BB">
      <w:pPr>
        <w:pStyle w:val="EndnoteText"/>
      </w:pPr>
    </w:p>
  </w:endnote>
  <w:endnote w:id="51">
    <w:p w14:paraId="3FD3140F" w14:textId="77777777" w:rsidR="006922BB" w:rsidRDefault="006922BB" w:rsidP="006922BB">
      <w:pPr>
        <w:pStyle w:val="EndnoteText"/>
        <w:rPr>
          <w:b/>
        </w:rPr>
      </w:pPr>
      <w:r>
        <w:rPr>
          <w:rStyle w:val="EndnoteReference"/>
        </w:rPr>
        <w:endnoteRef/>
      </w:r>
      <w:r>
        <w:t xml:space="preserve"> </w:t>
      </w:r>
      <w:bookmarkStart w:id="633" w:name="Endnote39_RCA"/>
      <w:r w:rsidRPr="003724A2">
        <w:rPr>
          <w:b/>
          <w:i/>
        </w:rPr>
        <w:t>Root Cause Analysis</w:t>
      </w:r>
      <w:bookmarkEnd w:id="633"/>
    </w:p>
    <w:p w14:paraId="1FB553BC" w14:textId="58853E10" w:rsidR="006922BB" w:rsidRDefault="006922BB" w:rsidP="006922BB">
      <w:pPr>
        <w:pStyle w:val="EndnoteText"/>
        <w:rPr>
          <w:rStyle w:val="Hyperlink"/>
          <w:color w:val="auto"/>
          <w:u w:val="none"/>
        </w:rPr>
      </w:pPr>
      <w:r w:rsidRPr="001667A6">
        <w:rPr>
          <w:rStyle w:val="Hyperlink"/>
          <w:color w:val="auto"/>
          <w:u w:val="none"/>
        </w:rPr>
        <w:t>The National Patient Safety Foundation published a set of best practices and guidelines in its report “RCA</w:t>
      </w:r>
      <w:r w:rsidRPr="001667A6">
        <w:rPr>
          <w:rStyle w:val="Hyperlink"/>
          <w:color w:val="auto"/>
          <w:u w:val="none"/>
          <w:vertAlign w:val="superscript"/>
        </w:rPr>
        <w:t>2</w:t>
      </w:r>
      <w:r w:rsidRPr="001667A6">
        <w:rPr>
          <w:rStyle w:val="Hyperlink"/>
          <w:color w:val="auto"/>
          <w:u w:val="none"/>
        </w:rPr>
        <w:t xml:space="preserve"> Improving Root Cause Analysis and Action to Prevent Ha</w:t>
      </w:r>
      <w:r>
        <w:rPr>
          <w:rStyle w:val="Hyperlink"/>
          <w:color w:val="auto"/>
          <w:u w:val="none"/>
        </w:rPr>
        <w:t>rm.” The report can be found at</w:t>
      </w:r>
      <w:r w:rsidR="000857C1">
        <w:rPr>
          <w:rStyle w:val="Hyperlink"/>
          <w:color w:val="auto"/>
          <w:u w:val="none"/>
        </w:rPr>
        <w:t xml:space="preserve"> </w:t>
      </w:r>
      <w:hyperlink r:id="rId22" w:history="1">
        <w:r w:rsidR="00106946" w:rsidRPr="00E9685F">
          <w:rPr>
            <w:rStyle w:val="Hyperlink"/>
          </w:rPr>
          <w:t>https://www.ihi.org/library/tools/rca2-improving-root-cause-analyses-and-actions-prevent-harm</w:t>
        </w:r>
      </w:hyperlink>
      <w:r w:rsidR="000857C1" w:rsidRPr="000857C1">
        <w:t>.</w:t>
      </w:r>
    </w:p>
    <w:p w14:paraId="674F60E0" w14:textId="77777777" w:rsidR="00637995" w:rsidRPr="00216021" w:rsidRDefault="00637995" w:rsidP="006922BB">
      <w:pPr>
        <w:pStyle w:val="EndnoteText"/>
      </w:pPr>
    </w:p>
  </w:endnote>
  <w:endnote w:id="52">
    <w:p w14:paraId="606F2830" w14:textId="77777777" w:rsidR="00322A3C" w:rsidRPr="00C2040B" w:rsidRDefault="00322A3C" w:rsidP="005A212B">
      <w:pPr>
        <w:pStyle w:val="EndnoteText"/>
        <w:rPr>
          <w:b/>
          <w:i/>
        </w:rPr>
      </w:pPr>
      <w:r w:rsidRPr="00C2040B">
        <w:rPr>
          <w:rStyle w:val="EndnoteReference"/>
        </w:rPr>
        <w:endnoteRef/>
      </w:r>
      <w:r w:rsidRPr="00C2040B">
        <w:t xml:space="preserve"> </w:t>
      </w:r>
      <w:bookmarkStart w:id="694" w:name="Endnote48_TopBox"/>
      <w:r w:rsidRPr="002A17F7">
        <w:rPr>
          <w:b/>
          <w:i/>
        </w:rPr>
        <w:t>Top Box Score</w:t>
      </w:r>
      <w:bookmarkEnd w:id="694"/>
    </w:p>
    <w:p w14:paraId="2365B48C" w14:textId="77777777" w:rsidR="00322A3C" w:rsidRPr="00653AE3" w:rsidRDefault="00322A3C" w:rsidP="005A212B">
      <w:pPr>
        <w:pStyle w:val="EndnoteText"/>
        <w:rPr>
          <w:rFonts w:cs="Arial"/>
          <w:shd w:val="clear" w:color="auto" w:fill="FFFFFF"/>
        </w:rPr>
      </w:pPr>
      <w:r w:rsidRPr="00653AE3">
        <w:rPr>
          <w:rFonts w:cs="Arial"/>
          <w:shd w:val="clear" w:color="auto" w:fill="FFFFFF"/>
        </w:rPr>
        <w:t>The percent of survey respondents who chose the most positive score for a given item. Looking at the</w:t>
      </w:r>
      <w:r w:rsidRPr="00653AE3">
        <w:rPr>
          <w:rStyle w:val="apple-converted-space"/>
          <w:rFonts w:cs="Arial"/>
          <w:shd w:val="clear" w:color="auto" w:fill="FFFFFF"/>
        </w:rPr>
        <w:t> </w:t>
      </w:r>
      <w:r w:rsidRPr="00653AE3">
        <w:rPr>
          <w:rFonts w:cs="Arial"/>
          <w:b/>
          <w:bCs/>
          <w:shd w:val="clear" w:color="auto" w:fill="FFFFFF"/>
        </w:rPr>
        <w:t>top box</w:t>
      </w:r>
      <w:r w:rsidRPr="00653AE3">
        <w:rPr>
          <w:rStyle w:val="apple-converted-space"/>
          <w:rFonts w:cs="Arial"/>
          <w:shd w:val="clear" w:color="auto" w:fill="FFFFFF"/>
        </w:rPr>
        <w:t> </w:t>
      </w:r>
      <w:r w:rsidRPr="00653AE3">
        <w:rPr>
          <w:rFonts w:cs="Arial"/>
          <w:shd w:val="clear" w:color="auto" w:fill="FFFFFF"/>
        </w:rPr>
        <w:t xml:space="preserve">is an approach to understand the number of responses with a strong sentiment. </w:t>
      </w:r>
    </w:p>
    <w:p w14:paraId="0FCC230C" w14:textId="77777777" w:rsidR="00322A3C" w:rsidRPr="00E67EDC" w:rsidRDefault="00322A3C" w:rsidP="005A212B">
      <w:pPr>
        <w:pStyle w:val="EndnoteText"/>
        <w:rPr>
          <w:rFonts w:cs="Arial"/>
          <w:sz w:val="16"/>
          <w:szCs w:val="16"/>
          <w:shd w:val="clear" w:color="auto" w:fill="FFFFFF"/>
        </w:rPr>
      </w:pPr>
    </w:p>
    <w:p w14:paraId="25694214" w14:textId="69AEC829" w:rsidR="00322A3C" w:rsidRPr="00653AE3" w:rsidRDefault="00322A3C" w:rsidP="005A212B">
      <w:pPr>
        <w:pStyle w:val="EndnoteText"/>
        <w:rPr>
          <w:rFonts w:cs="Arial"/>
          <w:shd w:val="clear" w:color="auto" w:fill="FFFFFF"/>
        </w:rPr>
      </w:pPr>
      <w:r w:rsidRPr="00653AE3">
        <w:rPr>
          <w:rFonts w:cs="Arial"/>
          <w:shd w:val="clear" w:color="auto" w:fill="FFFFFF"/>
        </w:rPr>
        <w:t>For the CAHPS Child Hospital Survey “Global Rating – Recommend hospital” domain, responses of 9 and 10 are included in the top box score. For the “Global Rating – Recommend hospital” domain, responses of “Definitely yes” are included in the top box score.</w:t>
      </w:r>
      <w:r w:rsidRPr="00653AE3">
        <w:t xml:space="preserve"> </w:t>
      </w:r>
      <w:r w:rsidRPr="00653AE3">
        <w:rPr>
          <w:rFonts w:cs="Arial"/>
          <w:shd w:val="clear" w:color="auto" w:fill="FFFFFF"/>
        </w:rPr>
        <w:t xml:space="preserve">For all other domains included in Section </w:t>
      </w:r>
      <w:r w:rsidR="00FC0BA7">
        <w:rPr>
          <w:rFonts w:cs="Arial"/>
          <w:shd w:val="clear" w:color="auto" w:fill="FFFFFF"/>
        </w:rPr>
        <w:t>8</w:t>
      </w:r>
      <w:r w:rsidRPr="00653AE3">
        <w:rPr>
          <w:rFonts w:cs="Arial"/>
          <w:shd w:val="clear" w:color="auto" w:fill="FFFFFF"/>
        </w:rPr>
        <w:t>A, the top box score is the percent of survey respondents choosing “Always.”</w:t>
      </w:r>
    </w:p>
    <w:p w14:paraId="5218AE04" w14:textId="77777777" w:rsidR="00322A3C" w:rsidRPr="00E67EDC" w:rsidRDefault="00322A3C" w:rsidP="005A212B">
      <w:pPr>
        <w:pStyle w:val="EndnoteText"/>
        <w:rPr>
          <w:rFonts w:cs="Arial"/>
          <w:sz w:val="16"/>
          <w:szCs w:val="16"/>
          <w:shd w:val="clear" w:color="auto" w:fill="FFFFFF"/>
        </w:rPr>
      </w:pPr>
    </w:p>
    <w:p w14:paraId="17D8A480" w14:textId="00181566" w:rsidR="00322A3C" w:rsidRPr="00653AE3" w:rsidRDefault="00322A3C" w:rsidP="005A212B">
      <w:pPr>
        <w:pStyle w:val="EndnoteText"/>
        <w:rPr>
          <w:rFonts w:cs="Arial"/>
          <w:shd w:val="clear" w:color="auto" w:fill="FFFFFF"/>
        </w:rPr>
      </w:pPr>
      <w:r w:rsidRPr="00653AE3">
        <w:rPr>
          <w:rFonts w:cs="Arial"/>
          <w:shd w:val="clear" w:color="auto" w:fill="FFFFFF"/>
        </w:rPr>
        <w:t xml:space="preserve">For the OAS CAHPS Survey “Patients’ Rating of the Facility” domain, responses of 9 or 10 are included in the top box score. For the “Patients Recommending the Facility” domain, responses of “Definitely yes” are included in the top box score. For all other domains included in Section </w:t>
      </w:r>
      <w:r w:rsidR="00FC0BA7">
        <w:rPr>
          <w:rFonts w:cs="Arial"/>
          <w:shd w:val="clear" w:color="auto" w:fill="FFFFFF"/>
        </w:rPr>
        <w:t>9</w:t>
      </w:r>
      <w:r w:rsidR="00530467">
        <w:rPr>
          <w:rFonts w:cs="Arial"/>
          <w:shd w:val="clear" w:color="auto" w:fill="FFFFFF"/>
        </w:rPr>
        <w:t>F</w:t>
      </w:r>
      <w:r w:rsidRPr="00653AE3">
        <w:rPr>
          <w:rFonts w:cs="Arial"/>
          <w:shd w:val="clear" w:color="auto" w:fill="FFFFFF"/>
        </w:rPr>
        <w:t>, the top box score is the percent of survey respondents choosing “Yes, definitely.”</w:t>
      </w:r>
    </w:p>
    <w:p w14:paraId="6D2B7C31" w14:textId="77777777" w:rsidR="00322A3C" w:rsidRPr="00216021" w:rsidRDefault="00322A3C" w:rsidP="005A212B">
      <w:pPr>
        <w:pStyle w:val="EndnoteText"/>
        <w:rPr>
          <w:rFonts w:cs="Arial"/>
          <w:color w:val="222222"/>
          <w:shd w:val="clear" w:color="auto" w:fill="FFFFFF"/>
        </w:rPr>
      </w:pPr>
    </w:p>
  </w:endnote>
  <w:endnote w:id="53">
    <w:p w14:paraId="38485EC2" w14:textId="77777777" w:rsidR="00D93BEF" w:rsidRPr="00E0414A" w:rsidRDefault="00D93BEF" w:rsidP="000C4EC7">
      <w:pPr>
        <w:pStyle w:val="EndnoteText"/>
        <w:tabs>
          <w:tab w:val="left" w:pos="630"/>
        </w:tabs>
        <w:rPr>
          <w:b/>
          <w:i/>
        </w:rPr>
      </w:pPr>
      <w:r w:rsidRPr="00E0414A">
        <w:rPr>
          <w:rStyle w:val="EndnoteReference"/>
        </w:rPr>
        <w:endnoteRef/>
      </w:r>
      <w:r w:rsidRPr="00E0414A">
        <w:t xml:space="preserve"> </w:t>
      </w:r>
      <w:bookmarkStart w:id="717" w:name="AdultOR"/>
      <w:r w:rsidRPr="00E0414A">
        <w:rPr>
          <w:b/>
          <w:i/>
        </w:rPr>
        <w:t>Operating Rooms</w:t>
      </w:r>
      <w:bookmarkStart w:id="718" w:name="Endnote49_OR"/>
      <w:bookmarkEnd w:id="717"/>
      <w:bookmarkEnd w:id="718"/>
    </w:p>
    <w:p w14:paraId="4B68152A" w14:textId="663185F4" w:rsidR="00D93BEF" w:rsidRPr="00E0414A" w:rsidRDefault="00D93BEF" w:rsidP="0011091B">
      <w:pPr>
        <w:pStyle w:val="EndnoteText"/>
      </w:pPr>
      <w:r w:rsidRPr="00E0414A">
        <w:t>If your state designates and licenses operating rooms, enter the number of operating rooms licensed by your state that are used to perform the outpatient procedures listed in Section 9C. If your state does not designate and license operating rooms, enter the number of operating rooms used to perform the outpatient procedures listed in Section 9C that meet the following definition from the 2018 FGI Guidelines: a room that meets the requirements of a restricted area, is designated and equipped for performing surgical or other invasive procedures, and has the environmental controls for an OR as indicated in ASHRAE 170. An aseptic field is required for all procedures performed in an OR.</w:t>
      </w:r>
    </w:p>
    <w:p w14:paraId="7300BA2E" w14:textId="77777777" w:rsidR="00D93BEF" w:rsidRPr="00E0414A" w:rsidRDefault="00D93BEF" w:rsidP="0011091B">
      <w:pPr>
        <w:pStyle w:val="EndnoteText"/>
        <w:rPr>
          <w:sz w:val="16"/>
          <w:szCs w:val="16"/>
        </w:rPr>
      </w:pPr>
    </w:p>
    <w:p w14:paraId="7DF37350" w14:textId="09637228" w:rsidR="00D93BEF" w:rsidRPr="00E0414A" w:rsidRDefault="00D93BEF" w:rsidP="00FB6D5D">
      <w:pPr>
        <w:pStyle w:val="EndnoteText"/>
        <w:rPr>
          <w:rStyle w:val="Hyperlink"/>
        </w:rPr>
      </w:pPr>
      <w:r w:rsidRPr="00E0414A">
        <w:t xml:space="preserve">More information about the 2018 FGI Guidelines can be found at </w:t>
      </w:r>
      <w:hyperlink r:id="rId23" w:history="1">
        <w:r w:rsidRPr="00E0414A">
          <w:rPr>
            <w:rStyle w:val="Hyperlink"/>
          </w:rPr>
          <w:t>https://www.fgiguidelines.org/wp-content/uploads/2017/08/SLS17_FGI_ExamProcedureOperatingImaging_170721.pdf</w:t>
        </w:r>
      </w:hyperlink>
      <w:r w:rsidRPr="00E0414A">
        <w:rPr>
          <w:rStyle w:val="Hyperlink"/>
        </w:rPr>
        <w:t>.</w:t>
      </w:r>
    </w:p>
    <w:p w14:paraId="471F121E" w14:textId="0E06DB79" w:rsidR="00D93BEF" w:rsidRPr="00E0414A" w:rsidRDefault="00D93BEF" w:rsidP="00FB6D5D">
      <w:pPr>
        <w:pStyle w:val="EndnoteText"/>
        <w:rPr>
          <w:rStyle w:val="Hyperlink"/>
          <w:sz w:val="16"/>
          <w:szCs w:val="16"/>
        </w:rPr>
      </w:pPr>
    </w:p>
    <w:p w14:paraId="381E6AE1" w14:textId="23F42B95" w:rsidR="00D93BEF" w:rsidRPr="006547C0" w:rsidRDefault="00D93BEF" w:rsidP="00FB6D5D">
      <w:pPr>
        <w:pStyle w:val="EndnoteText"/>
      </w:pPr>
      <w:r w:rsidRPr="00E0414A">
        <w:rPr>
          <w:rStyle w:val="Hyperlink"/>
          <w:color w:val="auto"/>
          <w:u w:val="none"/>
        </w:rPr>
        <w:t>Hospitals must include the total number of operating rooms that are used to perform the outpatient procedures listed in Section 9C, including operating rooms that are used for both inpatient and outpatient procedures.</w:t>
      </w:r>
    </w:p>
    <w:p w14:paraId="5CF04D38" w14:textId="77777777" w:rsidR="00D93BEF" w:rsidRPr="00216021" w:rsidRDefault="00D93BEF" w:rsidP="00FB6D5D">
      <w:pPr>
        <w:pStyle w:val="EndnoteText"/>
      </w:pPr>
    </w:p>
  </w:endnote>
  <w:endnote w:id="54">
    <w:p w14:paraId="162CB1CC" w14:textId="77777777" w:rsidR="00D93BEF" w:rsidRPr="00E0414A" w:rsidRDefault="00D93BEF" w:rsidP="000C4EC7">
      <w:pPr>
        <w:pStyle w:val="EndnoteText"/>
        <w:rPr>
          <w:b/>
          <w:i/>
        </w:rPr>
      </w:pPr>
      <w:r w:rsidRPr="00E0414A">
        <w:rPr>
          <w:rStyle w:val="EndnoteReference"/>
        </w:rPr>
        <w:endnoteRef/>
      </w:r>
      <w:r w:rsidRPr="00E0414A">
        <w:t xml:space="preserve"> </w:t>
      </w:r>
      <w:bookmarkStart w:id="720" w:name="procedureroom"/>
      <w:r w:rsidRPr="00E0414A">
        <w:rPr>
          <w:b/>
          <w:i/>
        </w:rPr>
        <w:t>Endoscopic Procedure Rooms</w:t>
      </w:r>
      <w:bookmarkEnd w:id="720"/>
    </w:p>
    <w:p w14:paraId="4BAD9E46" w14:textId="7ACC2DA4" w:rsidR="00D93BEF" w:rsidRPr="00E0414A" w:rsidRDefault="00D93BEF" w:rsidP="000C4EC7">
      <w:pPr>
        <w:pStyle w:val="EndnoteText"/>
      </w:pPr>
      <w:r w:rsidRPr="00E0414A">
        <w:t>If your state designates and licenses procedure rooms, enter the number of procedure rooms licensed by your state that are used for endoscopies listed in Section 9C. If your state does not designate and license procedure rooms, enter the number of procedure rooms that are used for endoscopies listed in Section 9C that meet the following definition from the 2018 FGI Guidelines: a room designated for the performance of patient care that requires high-level disinfection or sterile instruments and some environmental controls but is not required to be performed with the environmental controls of an operating room.</w:t>
      </w:r>
    </w:p>
    <w:p w14:paraId="5E9DC1FD" w14:textId="77777777" w:rsidR="00D93BEF" w:rsidRPr="00E0414A" w:rsidRDefault="00D93BEF" w:rsidP="000C4EC7">
      <w:pPr>
        <w:pStyle w:val="EndnoteText"/>
        <w:rPr>
          <w:sz w:val="16"/>
          <w:szCs w:val="16"/>
        </w:rPr>
      </w:pPr>
    </w:p>
    <w:p w14:paraId="6527E997" w14:textId="77777777" w:rsidR="00D93BEF" w:rsidRPr="00E0414A" w:rsidRDefault="00D93BEF" w:rsidP="000C4EC7">
      <w:pPr>
        <w:pStyle w:val="EndnoteText"/>
      </w:pPr>
      <w:r w:rsidRPr="00E0414A">
        <w:t xml:space="preserve">More information about the 2018 FGI Guidelines can be found at </w:t>
      </w:r>
      <w:hyperlink r:id="rId24" w:history="1">
        <w:r w:rsidRPr="00E0414A">
          <w:rPr>
            <w:rStyle w:val="Hyperlink"/>
          </w:rPr>
          <w:t>https://www.fgiguidelines.org/wp-content/uploads/2017/08/SLS17_FGI_ExamProcedureOperatingImaging_170721.pdf</w:t>
        </w:r>
      </w:hyperlink>
      <w:r w:rsidRPr="00E0414A">
        <w:t xml:space="preserve">. </w:t>
      </w:r>
    </w:p>
    <w:p w14:paraId="47392829" w14:textId="3FEA2DBB" w:rsidR="00D93BEF" w:rsidRPr="00E0414A" w:rsidRDefault="00D93BEF">
      <w:pPr>
        <w:pStyle w:val="EndnoteText"/>
        <w:rPr>
          <w:b/>
          <w:sz w:val="16"/>
          <w:szCs w:val="16"/>
        </w:rPr>
      </w:pPr>
    </w:p>
    <w:p w14:paraId="314A7D8C" w14:textId="171B5957" w:rsidR="00D93BEF" w:rsidRDefault="00D93BEF" w:rsidP="00B44C1C">
      <w:pPr>
        <w:rPr>
          <w:rStyle w:val="Hyperlink"/>
          <w:color w:val="auto"/>
          <w:u w:val="none"/>
        </w:rPr>
      </w:pPr>
      <w:r w:rsidRPr="00E0414A">
        <w:rPr>
          <w:rStyle w:val="Hyperlink"/>
          <w:color w:val="auto"/>
          <w:u w:val="none"/>
        </w:rPr>
        <w:t>Hospitals must include the total number of procedure rooms that are used to perform the endoscopies listed in Section 9C, including procedure rooms that are used for both inpatient and outpatient procedures.</w:t>
      </w:r>
    </w:p>
    <w:p w14:paraId="0C18CC2F" w14:textId="77777777" w:rsidR="00D93BEF" w:rsidRPr="00E67EDC" w:rsidRDefault="00D93BEF" w:rsidP="00B44C1C"/>
  </w:endnote>
  <w:endnote w:id="55">
    <w:p w14:paraId="5C94B80E" w14:textId="77777777" w:rsidR="00322A3C" w:rsidRPr="00CB4421" w:rsidRDefault="00322A3C" w:rsidP="00A92537">
      <w:pPr>
        <w:pStyle w:val="EndnoteText"/>
        <w:rPr>
          <w:b/>
          <w:i/>
        </w:rPr>
      </w:pPr>
      <w:r w:rsidRPr="00CB4421">
        <w:rPr>
          <w:rStyle w:val="EndnoteReference"/>
        </w:rPr>
        <w:endnoteRef/>
      </w:r>
      <w:r w:rsidRPr="00CB4421">
        <w:t xml:space="preserve"> </w:t>
      </w:r>
      <w:bookmarkStart w:id="724" w:name="clinicianendnote"/>
      <w:r w:rsidRPr="00CB4421">
        <w:rPr>
          <w:b/>
          <w:i/>
        </w:rPr>
        <w:t>Clinician</w:t>
      </w:r>
      <w:bookmarkEnd w:id="724"/>
    </w:p>
    <w:p w14:paraId="5065D856" w14:textId="59CC55C6" w:rsidR="00322A3C" w:rsidRDefault="00322A3C" w:rsidP="00A92537">
      <w:pPr>
        <w:pStyle w:val="EndnoteText"/>
      </w:pPr>
      <w:r w:rsidRPr="00CB4421">
        <w:t xml:space="preserve">A clinician </w:t>
      </w:r>
      <w:r w:rsidRPr="000261CE">
        <w:t>refers to</w:t>
      </w:r>
      <w:r w:rsidRPr="00CB4421">
        <w:t xml:space="preserve"> a physician, physician assistant (PA), nurse practition</w:t>
      </w:r>
      <w:r w:rsidRPr="001A6F2F">
        <w:t>er (NP), certified registered</w:t>
      </w:r>
      <w:r>
        <w:t xml:space="preserve"> </w:t>
      </w:r>
      <w:r w:rsidRPr="00CB4421">
        <w:t>nurse anesthetist (CRNA), nurse (RN or MSN)</w:t>
      </w:r>
      <w:r w:rsidR="00521B90">
        <w:t>, or respiratory therapist</w:t>
      </w:r>
      <w:r w:rsidRPr="00CB4421">
        <w:t>.</w:t>
      </w:r>
    </w:p>
    <w:p w14:paraId="1D8EB53C" w14:textId="77777777" w:rsidR="00793098" w:rsidRDefault="00793098" w:rsidP="00A92537">
      <w:pPr>
        <w:pStyle w:val="EndnoteText"/>
        <w:rPr>
          <w:sz w:val="16"/>
          <w:szCs w:val="16"/>
        </w:rPr>
      </w:pPr>
    </w:p>
    <w:p w14:paraId="71F23D97" w14:textId="77777777" w:rsidR="00F01070" w:rsidRDefault="00F01070" w:rsidP="00A92537">
      <w:pPr>
        <w:pStyle w:val="EndnoteText"/>
        <w:rPr>
          <w:sz w:val="16"/>
          <w:szCs w:val="16"/>
        </w:rPr>
      </w:pPr>
    </w:p>
    <w:p w14:paraId="184F07A4" w14:textId="77777777" w:rsidR="00F01070" w:rsidRDefault="00F01070" w:rsidP="00A92537">
      <w:pPr>
        <w:pStyle w:val="EndnoteText"/>
        <w:rPr>
          <w:sz w:val="16"/>
          <w:szCs w:val="16"/>
        </w:rPr>
      </w:pPr>
    </w:p>
    <w:p w14:paraId="5E0563DD" w14:textId="77777777" w:rsidR="00F01070" w:rsidRDefault="00F01070" w:rsidP="00A92537">
      <w:pPr>
        <w:pStyle w:val="EndnoteText"/>
        <w:rPr>
          <w:sz w:val="16"/>
          <w:szCs w:val="16"/>
        </w:rPr>
      </w:pPr>
    </w:p>
    <w:p w14:paraId="6A631D0D" w14:textId="77777777" w:rsidR="00F01070" w:rsidRDefault="00F01070" w:rsidP="00A92537">
      <w:pPr>
        <w:pStyle w:val="EndnoteText"/>
        <w:rPr>
          <w:sz w:val="16"/>
          <w:szCs w:val="16"/>
        </w:rPr>
      </w:pPr>
    </w:p>
    <w:p w14:paraId="7248DAB2" w14:textId="77777777" w:rsidR="00F01070" w:rsidRDefault="00F01070" w:rsidP="00A92537">
      <w:pPr>
        <w:pStyle w:val="EndnoteText"/>
        <w:rPr>
          <w:sz w:val="16"/>
          <w:szCs w:val="16"/>
        </w:rPr>
      </w:pPr>
    </w:p>
    <w:p w14:paraId="1E6A48BF" w14:textId="77777777" w:rsidR="00F01070" w:rsidRDefault="00F01070" w:rsidP="00A92537">
      <w:pPr>
        <w:pStyle w:val="EndnoteText"/>
        <w:rPr>
          <w:sz w:val="16"/>
          <w:szCs w:val="16"/>
        </w:rPr>
      </w:pPr>
    </w:p>
    <w:p w14:paraId="43ACB678" w14:textId="77777777" w:rsidR="00F01070" w:rsidRDefault="00F01070" w:rsidP="00A92537">
      <w:pPr>
        <w:pStyle w:val="EndnoteText"/>
        <w:rPr>
          <w:sz w:val="16"/>
          <w:szCs w:val="16"/>
        </w:rPr>
      </w:pPr>
    </w:p>
    <w:p w14:paraId="04704C72" w14:textId="77777777" w:rsidR="00F01070" w:rsidRDefault="00F01070" w:rsidP="00A92537">
      <w:pPr>
        <w:pStyle w:val="EndnoteText"/>
        <w:rPr>
          <w:sz w:val="16"/>
          <w:szCs w:val="16"/>
        </w:rPr>
      </w:pPr>
    </w:p>
    <w:p w14:paraId="4330EC2B" w14:textId="77777777" w:rsidR="00F01070" w:rsidRDefault="00F01070" w:rsidP="00A92537">
      <w:pPr>
        <w:pStyle w:val="EndnoteText"/>
        <w:rPr>
          <w:sz w:val="16"/>
          <w:szCs w:val="16"/>
        </w:rPr>
      </w:pPr>
    </w:p>
    <w:p w14:paraId="42D3C0EF" w14:textId="77777777" w:rsidR="00F01070" w:rsidRDefault="00F01070" w:rsidP="00A92537">
      <w:pPr>
        <w:pStyle w:val="EndnoteText"/>
        <w:rPr>
          <w:sz w:val="16"/>
          <w:szCs w:val="16"/>
        </w:rPr>
      </w:pPr>
    </w:p>
    <w:p w14:paraId="431A4188" w14:textId="77777777" w:rsidR="00F01070" w:rsidRDefault="00F01070" w:rsidP="00A92537">
      <w:pPr>
        <w:pStyle w:val="EndnoteText"/>
        <w:rPr>
          <w:sz w:val="16"/>
          <w:szCs w:val="16"/>
        </w:rPr>
      </w:pPr>
    </w:p>
    <w:p w14:paraId="761FF392" w14:textId="77777777" w:rsidR="00F01070" w:rsidRDefault="00F01070" w:rsidP="00A92537">
      <w:pPr>
        <w:pStyle w:val="EndnoteText"/>
        <w:rPr>
          <w:sz w:val="16"/>
          <w:szCs w:val="16"/>
        </w:rPr>
      </w:pPr>
    </w:p>
    <w:p w14:paraId="47B897DB" w14:textId="77777777" w:rsidR="00F01070" w:rsidRDefault="00F01070" w:rsidP="00A92537">
      <w:pPr>
        <w:pStyle w:val="EndnoteText"/>
        <w:rPr>
          <w:sz w:val="16"/>
          <w:szCs w:val="16"/>
        </w:rPr>
      </w:pPr>
    </w:p>
    <w:p w14:paraId="01ACF22C" w14:textId="77777777" w:rsidR="00F01070" w:rsidRDefault="00F01070" w:rsidP="00A92537">
      <w:pPr>
        <w:pStyle w:val="EndnoteText"/>
        <w:rPr>
          <w:sz w:val="16"/>
          <w:szCs w:val="16"/>
        </w:rPr>
      </w:pPr>
    </w:p>
    <w:p w14:paraId="5ABCACCB" w14:textId="77777777" w:rsidR="00F01070" w:rsidRDefault="00F01070" w:rsidP="00A92537">
      <w:pPr>
        <w:pStyle w:val="EndnoteText"/>
        <w:rPr>
          <w:sz w:val="16"/>
          <w:szCs w:val="16"/>
        </w:rPr>
      </w:pPr>
    </w:p>
    <w:p w14:paraId="42D6AD90" w14:textId="77777777" w:rsidR="00F01070" w:rsidRDefault="00F01070" w:rsidP="00A92537">
      <w:pPr>
        <w:pStyle w:val="EndnoteText"/>
        <w:rPr>
          <w:sz w:val="16"/>
          <w:szCs w:val="16"/>
        </w:rPr>
      </w:pPr>
    </w:p>
    <w:p w14:paraId="1C1E8CA3" w14:textId="77777777" w:rsidR="00F01070" w:rsidRDefault="00F01070" w:rsidP="00A92537">
      <w:pPr>
        <w:pStyle w:val="EndnoteText"/>
        <w:rPr>
          <w:sz w:val="16"/>
          <w:szCs w:val="16"/>
        </w:rPr>
      </w:pPr>
    </w:p>
    <w:p w14:paraId="1023E3A7" w14:textId="77777777" w:rsidR="00F01070" w:rsidRDefault="00F01070" w:rsidP="00A92537">
      <w:pPr>
        <w:pStyle w:val="EndnoteText"/>
        <w:rPr>
          <w:sz w:val="16"/>
          <w:szCs w:val="16"/>
        </w:rPr>
      </w:pPr>
    </w:p>
    <w:p w14:paraId="19A5A46D" w14:textId="77777777" w:rsidR="00F01070" w:rsidRDefault="00F01070" w:rsidP="00A92537">
      <w:pPr>
        <w:pStyle w:val="EndnoteText"/>
        <w:rPr>
          <w:sz w:val="16"/>
          <w:szCs w:val="16"/>
        </w:rPr>
      </w:pPr>
    </w:p>
    <w:p w14:paraId="0E94E23F" w14:textId="77777777" w:rsidR="00F01070" w:rsidRDefault="00F01070" w:rsidP="00A92537">
      <w:pPr>
        <w:pStyle w:val="EndnoteText"/>
        <w:rPr>
          <w:sz w:val="16"/>
          <w:szCs w:val="16"/>
        </w:rPr>
      </w:pPr>
    </w:p>
    <w:p w14:paraId="3AA73725" w14:textId="77777777" w:rsidR="00F01070" w:rsidRDefault="00F01070" w:rsidP="00A92537">
      <w:pPr>
        <w:pStyle w:val="EndnoteText"/>
        <w:rPr>
          <w:sz w:val="16"/>
          <w:szCs w:val="16"/>
        </w:rPr>
      </w:pPr>
    </w:p>
    <w:p w14:paraId="363660F5" w14:textId="77777777" w:rsidR="00F01070" w:rsidRDefault="00F01070" w:rsidP="00A92537">
      <w:pPr>
        <w:pStyle w:val="EndnoteText"/>
        <w:rPr>
          <w:sz w:val="16"/>
          <w:szCs w:val="16"/>
        </w:rPr>
      </w:pPr>
    </w:p>
    <w:p w14:paraId="2A570037" w14:textId="77777777" w:rsidR="00F01070" w:rsidRDefault="00F01070" w:rsidP="00A92537">
      <w:pPr>
        <w:pStyle w:val="EndnoteText"/>
        <w:rPr>
          <w:sz w:val="16"/>
          <w:szCs w:val="16"/>
        </w:rPr>
      </w:pPr>
    </w:p>
    <w:p w14:paraId="0A6C7D89" w14:textId="77777777" w:rsidR="00F01070" w:rsidRDefault="00F01070" w:rsidP="00A92537">
      <w:pPr>
        <w:pStyle w:val="EndnoteText"/>
        <w:rPr>
          <w:sz w:val="16"/>
          <w:szCs w:val="16"/>
        </w:rPr>
      </w:pPr>
    </w:p>
    <w:p w14:paraId="71AC3C2C" w14:textId="77777777" w:rsidR="00F01070" w:rsidRDefault="00F01070" w:rsidP="00A92537">
      <w:pPr>
        <w:pStyle w:val="EndnoteText"/>
        <w:rPr>
          <w:sz w:val="16"/>
          <w:szCs w:val="16"/>
        </w:rPr>
      </w:pPr>
    </w:p>
    <w:p w14:paraId="035C9CBD" w14:textId="77777777" w:rsidR="00F01070" w:rsidRDefault="00F01070" w:rsidP="00A92537">
      <w:pPr>
        <w:pStyle w:val="EndnoteText"/>
        <w:rPr>
          <w:sz w:val="16"/>
          <w:szCs w:val="16"/>
        </w:rPr>
      </w:pPr>
    </w:p>
    <w:p w14:paraId="78778699" w14:textId="77777777" w:rsidR="00F01070" w:rsidRDefault="00F01070" w:rsidP="00A92537">
      <w:pPr>
        <w:pStyle w:val="EndnoteText"/>
        <w:rPr>
          <w:sz w:val="16"/>
          <w:szCs w:val="16"/>
        </w:rPr>
      </w:pPr>
    </w:p>
    <w:p w14:paraId="1799FD76" w14:textId="77777777" w:rsidR="00F01070" w:rsidRDefault="00F01070" w:rsidP="00A92537">
      <w:pPr>
        <w:pStyle w:val="EndnoteText"/>
        <w:rPr>
          <w:sz w:val="16"/>
          <w:szCs w:val="16"/>
        </w:rPr>
      </w:pPr>
    </w:p>
    <w:p w14:paraId="721863DF" w14:textId="77777777" w:rsidR="00F01070" w:rsidRDefault="00F01070" w:rsidP="00A92537">
      <w:pPr>
        <w:pStyle w:val="EndnoteText"/>
        <w:rPr>
          <w:sz w:val="16"/>
          <w:szCs w:val="16"/>
        </w:rPr>
      </w:pPr>
    </w:p>
    <w:p w14:paraId="36DC347E" w14:textId="77777777" w:rsidR="00F01070" w:rsidRDefault="00F01070" w:rsidP="00A92537">
      <w:pPr>
        <w:pStyle w:val="EndnoteText"/>
        <w:rPr>
          <w:sz w:val="16"/>
          <w:szCs w:val="16"/>
        </w:rPr>
      </w:pPr>
    </w:p>
    <w:p w14:paraId="200B0A7D" w14:textId="77777777" w:rsidR="00F01070" w:rsidRDefault="00F01070" w:rsidP="00A92537">
      <w:pPr>
        <w:pStyle w:val="EndnoteText"/>
        <w:rPr>
          <w:sz w:val="16"/>
          <w:szCs w:val="16"/>
        </w:rPr>
      </w:pPr>
    </w:p>
    <w:p w14:paraId="1FA9545D" w14:textId="77777777" w:rsidR="00F01070" w:rsidRDefault="00F01070" w:rsidP="00A92537">
      <w:pPr>
        <w:pStyle w:val="EndnoteText"/>
        <w:rPr>
          <w:sz w:val="16"/>
          <w:szCs w:val="16"/>
        </w:rPr>
      </w:pPr>
    </w:p>
    <w:p w14:paraId="4A08E884" w14:textId="77777777" w:rsidR="00F01070" w:rsidRDefault="00F01070" w:rsidP="00A92537">
      <w:pPr>
        <w:pStyle w:val="EndnoteText"/>
        <w:rPr>
          <w:sz w:val="16"/>
          <w:szCs w:val="16"/>
        </w:rPr>
      </w:pPr>
    </w:p>
    <w:p w14:paraId="71342AE0" w14:textId="77777777" w:rsidR="00F01070" w:rsidRDefault="00F01070" w:rsidP="00A92537">
      <w:pPr>
        <w:pStyle w:val="EndnoteText"/>
        <w:rPr>
          <w:sz w:val="16"/>
          <w:szCs w:val="16"/>
        </w:rPr>
      </w:pPr>
    </w:p>
    <w:p w14:paraId="39BF53B6" w14:textId="77777777" w:rsidR="00F01070" w:rsidRDefault="00F01070" w:rsidP="00A92537">
      <w:pPr>
        <w:pStyle w:val="EndnoteText"/>
        <w:rPr>
          <w:sz w:val="16"/>
          <w:szCs w:val="16"/>
        </w:rPr>
      </w:pPr>
    </w:p>
    <w:p w14:paraId="37B524EB" w14:textId="77777777" w:rsidR="002F7FD1" w:rsidRDefault="002F7FD1" w:rsidP="00A92537">
      <w:pPr>
        <w:pStyle w:val="EndnoteText"/>
        <w:rPr>
          <w:sz w:val="16"/>
          <w:szCs w:val="16"/>
        </w:rPr>
      </w:pPr>
    </w:p>
    <w:p w14:paraId="2CF8C41C" w14:textId="77777777" w:rsidR="002F7FD1" w:rsidRDefault="002F7FD1" w:rsidP="00A92537">
      <w:pPr>
        <w:pStyle w:val="EndnoteText"/>
        <w:rPr>
          <w:sz w:val="16"/>
          <w:szCs w:val="16"/>
        </w:rPr>
      </w:pPr>
    </w:p>
    <w:p w14:paraId="73AC7A1D" w14:textId="77777777" w:rsidR="002F7FD1" w:rsidRDefault="002F7FD1" w:rsidP="00A92537">
      <w:pPr>
        <w:pStyle w:val="EndnoteText"/>
        <w:rPr>
          <w:sz w:val="16"/>
          <w:szCs w:val="16"/>
        </w:rPr>
      </w:pPr>
    </w:p>
    <w:p w14:paraId="424E5209" w14:textId="77777777" w:rsidR="002F7FD1" w:rsidRDefault="002F7FD1" w:rsidP="00A92537">
      <w:pPr>
        <w:pStyle w:val="EndnoteText"/>
        <w:rPr>
          <w:sz w:val="16"/>
          <w:szCs w:val="16"/>
        </w:rPr>
      </w:pPr>
    </w:p>
    <w:p w14:paraId="0208E36E" w14:textId="77777777" w:rsidR="002F7FD1" w:rsidRDefault="002F7FD1" w:rsidP="00A92537">
      <w:pPr>
        <w:pStyle w:val="EndnoteText"/>
        <w:rPr>
          <w:sz w:val="16"/>
          <w:szCs w:val="16"/>
        </w:rPr>
      </w:pPr>
    </w:p>
    <w:p w14:paraId="4D34E007" w14:textId="77777777" w:rsidR="002F7FD1" w:rsidRDefault="002F7FD1" w:rsidP="00A92537">
      <w:pPr>
        <w:pStyle w:val="EndnoteText"/>
        <w:rPr>
          <w:sz w:val="16"/>
          <w:szCs w:val="16"/>
        </w:rPr>
      </w:pPr>
    </w:p>
    <w:p w14:paraId="489A1EFA" w14:textId="77777777" w:rsidR="002F7FD1" w:rsidRDefault="002F7FD1" w:rsidP="00A92537">
      <w:pPr>
        <w:pStyle w:val="EndnoteText"/>
        <w:rPr>
          <w:sz w:val="16"/>
          <w:szCs w:val="16"/>
        </w:rPr>
      </w:pPr>
    </w:p>
    <w:p w14:paraId="220FB087" w14:textId="77777777" w:rsidR="002F7FD1" w:rsidRDefault="002F7FD1" w:rsidP="00A92537">
      <w:pPr>
        <w:pStyle w:val="EndnoteText"/>
        <w:rPr>
          <w:sz w:val="16"/>
          <w:szCs w:val="16"/>
        </w:rPr>
      </w:pPr>
    </w:p>
    <w:p w14:paraId="019A4D38" w14:textId="77777777" w:rsidR="002F7FD1" w:rsidRDefault="002F7FD1" w:rsidP="00A92537">
      <w:pPr>
        <w:pStyle w:val="EndnoteText"/>
        <w:rPr>
          <w:sz w:val="16"/>
          <w:szCs w:val="16"/>
        </w:rPr>
      </w:pPr>
    </w:p>
    <w:p w14:paraId="32450537" w14:textId="77777777" w:rsidR="002F7FD1" w:rsidRDefault="002F7FD1" w:rsidP="00A92537">
      <w:pPr>
        <w:pStyle w:val="EndnoteText"/>
        <w:rPr>
          <w:sz w:val="16"/>
          <w:szCs w:val="16"/>
        </w:rPr>
      </w:pPr>
    </w:p>
    <w:p w14:paraId="39069A36" w14:textId="77777777" w:rsidR="002F7FD1" w:rsidRDefault="002F7FD1" w:rsidP="00A92537">
      <w:pPr>
        <w:pStyle w:val="EndnoteText"/>
        <w:rPr>
          <w:sz w:val="16"/>
          <w:szCs w:val="16"/>
        </w:rPr>
      </w:pPr>
    </w:p>
    <w:p w14:paraId="174019A6" w14:textId="77777777" w:rsidR="002F7FD1" w:rsidRDefault="002F7FD1" w:rsidP="00A92537">
      <w:pPr>
        <w:pStyle w:val="EndnoteText"/>
        <w:rPr>
          <w:sz w:val="16"/>
          <w:szCs w:val="16"/>
        </w:rPr>
      </w:pPr>
    </w:p>
    <w:p w14:paraId="47E18184" w14:textId="77777777" w:rsidR="002F7FD1" w:rsidRDefault="002F7FD1" w:rsidP="00A92537">
      <w:pPr>
        <w:pStyle w:val="EndnoteText"/>
        <w:rPr>
          <w:sz w:val="16"/>
          <w:szCs w:val="16"/>
        </w:rPr>
      </w:pPr>
    </w:p>
    <w:p w14:paraId="795981DD" w14:textId="77777777" w:rsidR="002F7FD1" w:rsidRDefault="002F7FD1" w:rsidP="00A92537">
      <w:pPr>
        <w:pStyle w:val="EndnoteText"/>
        <w:rPr>
          <w:sz w:val="16"/>
          <w:szCs w:val="16"/>
        </w:rPr>
      </w:pPr>
    </w:p>
    <w:p w14:paraId="6C1D1012" w14:textId="77777777" w:rsidR="002F7FD1" w:rsidRDefault="002F7FD1" w:rsidP="00A92537">
      <w:pPr>
        <w:pStyle w:val="EndnoteText"/>
        <w:rPr>
          <w:sz w:val="16"/>
          <w:szCs w:val="16"/>
        </w:rPr>
      </w:pPr>
    </w:p>
    <w:p w14:paraId="0A46D7A8" w14:textId="77777777" w:rsidR="002F7FD1" w:rsidRDefault="002F7FD1" w:rsidP="00A92537">
      <w:pPr>
        <w:pStyle w:val="EndnoteText"/>
        <w:rPr>
          <w:sz w:val="16"/>
          <w:szCs w:val="16"/>
        </w:rPr>
      </w:pPr>
    </w:p>
    <w:p w14:paraId="1CF9F0F7" w14:textId="77777777" w:rsidR="002F7FD1" w:rsidRDefault="002F7FD1" w:rsidP="00A92537">
      <w:pPr>
        <w:pStyle w:val="EndnoteText"/>
        <w:rPr>
          <w:sz w:val="16"/>
          <w:szCs w:val="16"/>
        </w:rPr>
      </w:pPr>
    </w:p>
    <w:p w14:paraId="3D266A7F" w14:textId="77777777" w:rsidR="00F01070" w:rsidRDefault="00F01070" w:rsidP="00A92537">
      <w:pPr>
        <w:pStyle w:val="EndnoteText"/>
        <w:rPr>
          <w:sz w:val="16"/>
          <w:szCs w:val="16"/>
        </w:rPr>
      </w:pPr>
    </w:p>
    <w:p w14:paraId="612A5370" w14:textId="77777777" w:rsidR="00F01070" w:rsidRPr="002F7FD1" w:rsidRDefault="00F01070" w:rsidP="002F7FD1">
      <w:pPr>
        <w:pStyle w:val="EndnoteText"/>
        <w:jc w:val="center"/>
      </w:pPr>
    </w:p>
    <w:p w14:paraId="1D00A065" w14:textId="56B8F334" w:rsidR="00F01070" w:rsidRPr="002F7FD1" w:rsidRDefault="002F7FD1" w:rsidP="002F7FD1">
      <w:pPr>
        <w:pStyle w:val="EndnoteText"/>
        <w:jc w:val="center"/>
        <w:rPr>
          <w:i/>
          <w:iCs/>
          <w:sz w:val="16"/>
          <w:szCs w:val="16"/>
        </w:rPr>
      </w:pPr>
      <w:r w:rsidRPr="002F7FD1">
        <w:rPr>
          <w:i/>
          <w:iCs/>
        </w:rPr>
        <w:t>The 2026 Leapfrog Hospital Survey is a publication of The Leapfrog Group. The Survey cannot be copied, distributed, or used without the written permission of The Leapfrog Group for any purpose other than an individual hospital’s participation in the Survey.</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entury">
    <w:panose1 w:val="02040604050505020304"/>
    <w:charset w:val="00"/>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Batang">
    <w:panose1 w:val="02030600000101010101"/>
    <w:charset w:val="81"/>
    <w:family w:val="roman"/>
    <w:pitch w:val="variable"/>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ZWAdobeF">
    <w:panose1 w:val="00000000000000000000"/>
    <w:charset w:val="00"/>
    <w:family w:val="auto"/>
    <w:pitch w:val="variable"/>
    <w:sig w:usb0="20002A87" w:usb1="00000000" w:usb2="00000000" w:usb3="00000000" w:csb0="000001FF" w:csb1="00000000"/>
  </w:font>
  <w:font w:name="Avenir">
    <w:altName w:val="Calibri"/>
    <w:charset w:val="00"/>
    <w:family w:val="auto"/>
    <w:pitch w:val="variable"/>
    <w:sig w:usb0="800000AF" w:usb1="5000204A" w:usb2="00000000" w:usb3="00000000" w:csb0="0000009B" w:csb1="00000000"/>
  </w:font>
  <w:font w:name="Aptos">
    <w:charset w:val="00"/>
    <w:family w:val="swiss"/>
    <w:pitch w:val="variable"/>
    <w:sig w:usb0="20000287" w:usb1="00000003" w:usb2="00000000" w:usb3="00000000" w:csb0="0000019F" w:csb1="00000000"/>
  </w:font>
  <w:font w:name="MS PGothic">
    <w:panose1 w:val="020B0600070205080204"/>
    <w:charset w:val="80"/>
    <w:family w:val="swiss"/>
    <w:pitch w:val="variable"/>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895114"/>
      <w:docPartObj>
        <w:docPartGallery w:val="Page Numbers (Bottom of Page)"/>
        <w:docPartUnique/>
      </w:docPartObj>
    </w:sdtPr>
    <w:sdtEndPr>
      <w:rPr>
        <w:b/>
        <w:noProof/>
        <w:color w:val="213468"/>
      </w:rPr>
    </w:sdtEndPr>
    <w:sdtContent>
      <w:p w14:paraId="44295F13" w14:textId="553D2B1A" w:rsidR="00322A3C" w:rsidRPr="00BD429F" w:rsidRDefault="00322A3C" w:rsidP="00D04FFF">
        <w:pPr>
          <w:pStyle w:val="Footer"/>
          <w:rPr>
            <w:color w:val="213468"/>
          </w:rPr>
        </w:pPr>
        <w:r w:rsidRPr="00BD429F">
          <w:rPr>
            <w:b/>
            <w:color w:val="213468"/>
          </w:rPr>
          <w:fldChar w:fldCharType="begin"/>
        </w:r>
        <w:r w:rsidRPr="00BD429F">
          <w:rPr>
            <w:b/>
            <w:color w:val="213468"/>
          </w:rPr>
          <w:instrText xml:space="preserve"> PAGE   \* MERGEFORMAT </w:instrText>
        </w:r>
        <w:r w:rsidRPr="00BD429F">
          <w:rPr>
            <w:b/>
            <w:color w:val="213468"/>
          </w:rPr>
          <w:fldChar w:fldCharType="separate"/>
        </w:r>
        <w:r w:rsidRPr="00BD429F">
          <w:rPr>
            <w:b/>
            <w:noProof/>
            <w:color w:val="213468"/>
          </w:rPr>
          <w:t>282</w:t>
        </w:r>
        <w:r w:rsidRPr="00BD429F">
          <w:rPr>
            <w:b/>
            <w:noProof/>
            <w:color w:val="213468"/>
          </w:rPr>
          <w:fldChar w:fldCharType="end"/>
        </w:r>
        <w:r w:rsidRPr="00BD429F">
          <w:rPr>
            <w:b/>
            <w:color w:val="213468"/>
          </w:rPr>
          <w:tab/>
          <w:t xml:space="preserve">Version </w:t>
        </w:r>
        <w:r w:rsidR="00F509C9">
          <w:rPr>
            <w:b/>
            <w:color w:val="213468"/>
          </w:rPr>
          <w:t>9.</w:t>
        </w:r>
        <w:r w:rsidR="00801EB8">
          <w:rPr>
            <w:b/>
            <w:color w:val="213468"/>
          </w:rPr>
          <w:t>2</w:t>
        </w:r>
        <w:r w:rsidRPr="00BD429F">
          <w:rPr>
            <w:b/>
            <w:color w:val="213468"/>
          </w:rPr>
          <w:t xml:space="preserve">                                 </w:t>
        </w:r>
        <w:r w:rsidRPr="00BD429F">
          <w:rPr>
            <w:b/>
            <w:color w:val="213468"/>
          </w:rPr>
          <w:tab/>
          <w:t xml:space="preserve">First Release: </w:t>
        </w:r>
        <w:r w:rsidR="00744830" w:rsidRPr="00BD429F">
          <w:rPr>
            <w:b/>
            <w:color w:val="213468"/>
          </w:rPr>
          <w:t>April 1, 202</w:t>
        </w:r>
        <w:r w:rsidR="0039701C">
          <w:rPr>
            <w:b/>
            <w:color w:val="213468"/>
          </w:rPr>
          <w:t>6</w:t>
        </w:r>
      </w:p>
      <w:p w14:paraId="02313DFD" w14:textId="66594CE8" w:rsidR="00322A3C" w:rsidRPr="00BD429F" w:rsidRDefault="00322A3C" w:rsidP="00D04FFF">
        <w:pPr>
          <w:pStyle w:val="Footer"/>
          <w:rPr>
            <w:b/>
            <w:color w:val="213468"/>
          </w:rPr>
        </w:pPr>
        <w:r w:rsidRPr="00BD429F">
          <w:rPr>
            <w:rFonts w:cs="Arial"/>
            <w:b/>
            <w:color w:val="213468"/>
          </w:rPr>
          <w:tab/>
          <w:t>©</w:t>
        </w:r>
        <w:r w:rsidRPr="00BD429F">
          <w:rPr>
            <w:b/>
            <w:color w:val="213468"/>
          </w:rPr>
          <w:t xml:space="preserve"> 202</w:t>
        </w:r>
        <w:r w:rsidR="0039701C">
          <w:rPr>
            <w:b/>
            <w:color w:val="213468"/>
          </w:rPr>
          <w:t>6</w:t>
        </w:r>
        <w:r w:rsidRPr="00BD429F">
          <w:rPr>
            <w:b/>
            <w:color w:val="213468"/>
          </w:rPr>
          <w:t xml:space="preserve"> The Leapfrog Group</w:t>
        </w:r>
        <w:r w:rsidRPr="00BD429F">
          <w:rPr>
            <w:b/>
            <w:color w:val="213468"/>
          </w:rPr>
          <w:tab/>
          <w:t xml:space="preserve">  </w:t>
        </w:r>
        <w:r w:rsidR="00662837">
          <w:rPr>
            <w:b/>
            <w:color w:val="213468"/>
          </w:rPr>
          <w:t xml:space="preserve">    </w:t>
        </w:r>
        <w:r w:rsidR="009450EE">
          <w:rPr>
            <w:b/>
            <w:color w:val="213468"/>
          </w:rPr>
          <w:t xml:space="preserve"> </w:t>
        </w:r>
        <w:r w:rsidRPr="00BD429F">
          <w:rPr>
            <w:b/>
            <w:color w:val="213468"/>
          </w:rPr>
          <w:t>Updated Release:</w:t>
        </w:r>
        <w:r w:rsidR="00F278A9">
          <w:rPr>
            <w:b/>
            <w:color w:val="213468"/>
          </w:rPr>
          <w:t xml:space="preserve"> </w:t>
        </w:r>
        <w:r w:rsidR="009450EE">
          <w:rPr>
            <w:b/>
            <w:color w:val="213468"/>
          </w:rPr>
          <w:t xml:space="preserve">October </w:t>
        </w:r>
        <w:r w:rsidR="00F278A9">
          <w:rPr>
            <w:b/>
            <w:color w:val="213468"/>
          </w:rPr>
          <w:t>2</w:t>
        </w:r>
        <w:r w:rsidR="00DE31E8">
          <w:rPr>
            <w:b/>
            <w:color w:val="213468"/>
          </w:rPr>
          <w:t>0</w:t>
        </w:r>
        <w:r w:rsidR="00F278A9">
          <w:rPr>
            <w:b/>
            <w:color w:val="213468"/>
          </w:rPr>
          <w:t>, 2026</w:t>
        </w:r>
      </w:p>
    </w:sdtContent>
  </w:sdt>
  <w:p w14:paraId="3623BD78" w14:textId="77777777" w:rsidR="00322A3C" w:rsidRPr="00BD429F" w:rsidRDefault="00322A3C">
    <w:pPr>
      <w:rPr>
        <w:color w:val="213468"/>
        <w:sz w:val="16"/>
        <w:szCs w:val="16"/>
      </w:rPr>
    </w:pPr>
    <w:hyperlink w:anchor="TOC" w:history="1">
      <w:r w:rsidRPr="00BD429F">
        <w:rPr>
          <w:rStyle w:val="Hyperlink"/>
          <w:color w:val="213468"/>
          <w:sz w:val="16"/>
          <w:szCs w:val="16"/>
        </w:rPr>
        <w:t>Table of Contents</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2EA625" w14:textId="77777777" w:rsidR="000C46D4" w:rsidRDefault="000C46D4"/>
    <w:p w14:paraId="19A8DA05" w14:textId="77777777" w:rsidR="000C46D4" w:rsidRDefault="000C46D4">
      <w:r>
        <w:continuationSeparator/>
      </w:r>
    </w:p>
    <w:p w14:paraId="7DC0BFF7" w14:textId="77777777" w:rsidR="000C46D4" w:rsidRDefault="000C46D4"/>
    <w:p w14:paraId="669151E0" w14:textId="77777777" w:rsidR="000C46D4" w:rsidRDefault="000C46D4">
      <w:pPr>
        <w:pBdr>
          <w:bottom w:val="single" w:sz="12" w:space="1" w:color="auto"/>
        </w:pBdr>
      </w:pPr>
    </w:p>
    <w:p w14:paraId="6FFEF4FC" w14:textId="77777777" w:rsidR="000C46D4" w:rsidRDefault="000C46D4"/>
    <w:p w14:paraId="230955FE" w14:textId="77777777" w:rsidR="000C46D4" w:rsidRDefault="000C46D4"/>
    <w:p w14:paraId="3834C139" w14:textId="77777777" w:rsidR="000C46D4" w:rsidRDefault="000C46D4">
      <w:pPr>
        <w:pBdr>
          <w:bottom w:val="single" w:sz="12" w:space="1" w:color="auto"/>
        </w:pBdr>
      </w:pPr>
    </w:p>
    <w:p w14:paraId="5AE57A47" w14:textId="77777777" w:rsidR="000C46D4" w:rsidRDefault="000C46D4"/>
    <w:p w14:paraId="3090D614" w14:textId="77777777" w:rsidR="000C46D4" w:rsidRDefault="000C46D4"/>
    <w:p w14:paraId="3F718067" w14:textId="77777777" w:rsidR="000C46D4" w:rsidRDefault="000C46D4"/>
    <w:p w14:paraId="0057BFAC" w14:textId="77777777" w:rsidR="000C46D4" w:rsidRDefault="000C46D4"/>
    <w:p w14:paraId="4160CB34" w14:textId="77777777" w:rsidR="000C46D4" w:rsidRDefault="000C46D4">
      <w:pPr>
        <w:pStyle w:val="Header"/>
      </w:pPr>
    </w:p>
    <w:p w14:paraId="396059B1" w14:textId="77777777" w:rsidR="000C46D4" w:rsidRDefault="000C46D4"/>
    <w:p w14:paraId="405DAE52" w14:textId="77777777" w:rsidR="000C46D4" w:rsidRDefault="000C46D4" w:rsidP="00A828BA">
      <w:pPr>
        <w:pStyle w:val="Header"/>
        <w:tabs>
          <w:tab w:val="clear" w:pos="4320"/>
          <w:tab w:val="clear" w:pos="8640"/>
          <w:tab w:val="left" w:pos="1470"/>
        </w:tabs>
      </w:pPr>
    </w:p>
    <w:p w14:paraId="64F56384" w14:textId="77777777" w:rsidR="000C46D4" w:rsidRDefault="000C46D4"/>
    <w:p w14:paraId="34F7B617" w14:textId="77777777" w:rsidR="000C46D4" w:rsidRDefault="000C46D4"/>
    <w:p w14:paraId="1E1162DB" w14:textId="77777777" w:rsidR="000C46D4" w:rsidRDefault="000C46D4">
      <w:pPr>
        <w:pStyle w:val="Footer"/>
      </w:pPr>
    </w:p>
    <w:p w14:paraId="1C0A1E83" w14:textId="77777777" w:rsidR="000C46D4" w:rsidRDefault="000C46D4"/>
    <w:sdt>
      <w:sdtPr>
        <w:id w:val="-1106734291"/>
        <w:docPartObj>
          <w:docPartGallery w:val="Page Numbers (Bottom of Page)"/>
          <w:docPartUnique/>
        </w:docPartObj>
      </w:sdtPr>
      <w:sdtEndPr>
        <w:rPr>
          <w:b/>
          <w:noProof/>
          <w:color w:val="17365D" w:themeColor="text2" w:themeShade="BF"/>
        </w:rPr>
      </w:sdtEndPr>
      <w:sdtContent>
        <w:p w14:paraId="4B414ED9" w14:textId="77777777" w:rsidR="000C46D4" w:rsidRPr="007655D4" w:rsidRDefault="000C46D4" w:rsidP="00D04FFF">
          <w:pPr>
            <w:pStyle w:val="Footer"/>
          </w:pPr>
          <w:r w:rsidRPr="00F4794D">
            <w:rPr>
              <w:b/>
              <w:color w:val="17365D" w:themeColor="text2" w:themeShade="BF"/>
            </w:rPr>
            <w:fldChar w:fldCharType="begin"/>
          </w:r>
          <w:r w:rsidRPr="00F4794D">
            <w:rPr>
              <w:b/>
              <w:color w:val="17365D" w:themeColor="text2" w:themeShade="BF"/>
            </w:rPr>
            <w:instrText xml:space="preserve"> PAGE   \* MERGEFORMAT </w:instrText>
          </w:r>
          <w:r w:rsidRPr="00F4794D">
            <w:rPr>
              <w:b/>
              <w:color w:val="17365D" w:themeColor="text2" w:themeShade="BF"/>
            </w:rPr>
            <w:fldChar w:fldCharType="separate"/>
          </w:r>
          <w:r>
            <w:rPr>
              <w:b/>
              <w:noProof/>
              <w:color w:val="17365D" w:themeColor="text2" w:themeShade="BF"/>
            </w:rPr>
            <w:t>282</w:t>
          </w:r>
          <w:r w:rsidRPr="00F4794D">
            <w:rPr>
              <w:b/>
              <w:noProof/>
              <w:color w:val="17365D" w:themeColor="text2" w:themeShade="BF"/>
            </w:rPr>
            <w:fldChar w:fldCharType="end"/>
          </w:r>
          <w:r>
            <w:rPr>
              <w:b/>
              <w:color w:val="17365D" w:themeColor="text2" w:themeShade="BF"/>
            </w:rPr>
            <w:tab/>
            <w:t>Version 8.2</w:t>
          </w:r>
          <w:r w:rsidRPr="00F4794D">
            <w:rPr>
              <w:b/>
              <w:color w:val="17365D" w:themeColor="text2" w:themeShade="BF"/>
            </w:rPr>
            <w:t xml:space="preserve">                                 </w:t>
          </w:r>
          <w:r w:rsidRPr="00F4794D">
            <w:rPr>
              <w:b/>
              <w:color w:val="17365D" w:themeColor="text2" w:themeShade="BF"/>
            </w:rPr>
            <w:tab/>
          </w:r>
          <w:r>
            <w:rPr>
              <w:b/>
              <w:color w:val="17365D" w:themeColor="text2" w:themeShade="BF"/>
            </w:rPr>
            <w:t xml:space="preserve">  </w:t>
          </w:r>
          <w:r w:rsidRPr="00F4794D">
            <w:rPr>
              <w:b/>
              <w:color w:val="17365D" w:themeColor="text2" w:themeShade="BF"/>
            </w:rPr>
            <w:t xml:space="preserve">First Release: </w:t>
          </w:r>
          <w:r>
            <w:rPr>
              <w:b/>
              <w:color w:val="17365D" w:themeColor="text2" w:themeShade="BF"/>
            </w:rPr>
            <w:t>Ap</w:t>
          </w:r>
        </w:p>
        <w:p w14:paraId="237AAAB5" w14:textId="77777777" w:rsidR="000C46D4" w:rsidRPr="00F4794D" w:rsidRDefault="000C46D4" w:rsidP="00D04FFF">
          <w:pPr>
            <w:pStyle w:val="Footer"/>
            <w:rPr>
              <w:b/>
              <w:color w:val="17365D" w:themeColor="text2" w:themeShade="BF"/>
            </w:rPr>
          </w:pPr>
          <w:r>
            <w:rPr>
              <w:rFonts w:cs="Arial"/>
              <w:b/>
              <w:color w:val="17365D" w:themeColor="text2" w:themeShade="BF"/>
            </w:rPr>
            <w:tab/>
            <w:t>©</w:t>
          </w:r>
          <w:r>
            <w:rPr>
              <w:b/>
              <w:color w:val="17365D" w:themeColor="text2" w:themeShade="BF"/>
            </w:rPr>
            <w:t xml:space="preserve"> 2021 The Leapfrog Group</w:t>
          </w:r>
          <w:r w:rsidRPr="00F4794D">
            <w:rPr>
              <w:b/>
              <w:color w:val="17365D" w:themeColor="text2" w:themeShade="BF"/>
            </w:rPr>
            <w:tab/>
          </w:r>
          <w:r>
            <w:rPr>
              <w:b/>
              <w:color w:val="17365D" w:themeColor="text2" w:themeShade="BF"/>
            </w:rPr>
            <w:t xml:space="preserve">            Updated Release: </w:t>
          </w:r>
        </w:p>
      </w:sdtContent>
    </w:sdt>
    <w:p w14:paraId="33F3AD5C" w14:textId="77777777" w:rsidR="000C46D4" w:rsidRPr="00F4794D" w:rsidRDefault="000C46D4">
      <w:pPr>
        <w:rPr>
          <w:color w:val="17365D" w:themeColor="text2" w:themeShade="BF"/>
          <w:sz w:val="16"/>
          <w:szCs w:val="16"/>
        </w:rPr>
      </w:pPr>
      <w:hyperlink w:anchor="TOC" w:history="1">
        <w:r w:rsidRPr="00F4794D">
          <w:rPr>
            <w:rStyle w:val="Hyperlink"/>
            <w:color w:val="17365D" w:themeColor="text2" w:themeShade="BF"/>
            <w:sz w:val="16"/>
            <w:szCs w:val="16"/>
          </w:rPr>
          <w:t>Table of Contents</w:t>
        </w:r>
      </w:hyperlink>
    </w:p>
    <w:p w14:paraId="264E6077" w14:textId="77777777" w:rsidR="000C46D4" w:rsidRDefault="000C46D4"/>
  </w:footnote>
  <w:footnote w:type="continuationSeparator" w:id="0">
    <w:p w14:paraId="10231F0C" w14:textId="77777777" w:rsidR="000C46D4" w:rsidRDefault="000C46D4">
      <w:r>
        <w:continuationSeparator/>
      </w:r>
    </w:p>
    <w:p w14:paraId="2E6AC5AF" w14:textId="77777777" w:rsidR="000C46D4" w:rsidRDefault="000C46D4"/>
  </w:footnote>
  <w:footnote w:type="continuationNotice" w:id="1">
    <w:p w14:paraId="039D3CBF" w14:textId="77777777" w:rsidR="000C46D4" w:rsidRDefault="000C46D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D02AC" w14:textId="7BE54432" w:rsidR="00957D80" w:rsidRPr="00B7566B" w:rsidRDefault="00957D80" w:rsidP="00957D80">
    <w:pPr>
      <w:rPr>
        <w:i/>
      </w:rPr>
    </w:pPr>
    <w:r>
      <w:rPr>
        <w:i/>
      </w:rPr>
      <w:t>202</w:t>
    </w:r>
    <w:r w:rsidR="00422C8E">
      <w:rPr>
        <w:i/>
      </w:rPr>
      <w:t>6</w:t>
    </w:r>
    <w:r w:rsidRPr="00B7566B">
      <w:rPr>
        <w:i/>
      </w:rPr>
      <w:t xml:space="preserve"> Leapfrog Hospital Survey – Hard Copy</w:t>
    </w:r>
    <w:r w:rsidRPr="00B7566B">
      <w:rPr>
        <w:i/>
      </w:rPr>
      <w:ptab w:relativeTo="margin" w:alignment="center" w:leader="none"/>
    </w:r>
    <w:r w:rsidRPr="00B7566B">
      <w:rPr>
        <w:i/>
      </w:rPr>
      <w:ptab w:relativeTo="margin" w:alignment="right" w:leader="none"/>
    </w:r>
    <w:r w:rsidRPr="00B7566B">
      <w:rPr>
        <w:i/>
      </w:rPr>
      <w:t>General Information</w:t>
    </w:r>
  </w:p>
  <w:p w14:paraId="32FC5370" w14:textId="77777777" w:rsidR="00322A3C" w:rsidRDefault="00322A3C" w:rsidP="00A828BA">
    <w:pPr>
      <w:pStyle w:val="Header"/>
      <w:tabs>
        <w:tab w:val="clear" w:pos="4320"/>
        <w:tab w:val="clear" w:pos="8640"/>
        <w:tab w:val="left" w:pos="1470"/>
      </w:tabs>
    </w:pPr>
  </w:p>
  <w:p w14:paraId="1519CD80" w14:textId="77777777" w:rsidR="00322A3C" w:rsidRDefault="00322A3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4459E" w14:textId="6E3E8DA0" w:rsidR="00322A3C" w:rsidRPr="00B7566B" w:rsidRDefault="00322A3C">
    <w:pPr>
      <w:rPr>
        <w:i/>
      </w:rPr>
    </w:pPr>
    <w:r>
      <w:rPr>
        <w:i/>
      </w:rPr>
      <w:t>202</w:t>
    </w:r>
    <w:r w:rsidR="00EA4E95">
      <w:rPr>
        <w:i/>
      </w:rPr>
      <w:t>6</w:t>
    </w:r>
    <w:r w:rsidRPr="00B7566B">
      <w:rPr>
        <w:i/>
      </w:rPr>
      <w:t xml:space="preserve"> Leapfrog Hospital Survey – Hard Copy</w:t>
    </w:r>
    <w:r w:rsidRPr="00B7566B">
      <w:rPr>
        <w:i/>
      </w:rPr>
      <w:ptab w:relativeTo="margin" w:alignment="center" w:leader="none"/>
    </w:r>
    <w:r w:rsidRPr="00B7566B">
      <w:rPr>
        <w:i/>
      </w:rPr>
      <w:ptab w:relativeTo="margin" w:alignment="right" w:leader="none"/>
    </w:r>
    <w:r w:rsidRPr="00B7566B">
      <w:rPr>
        <w:i/>
      </w:rPr>
      <w:t>General Information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7FA0C" w14:textId="7A881366" w:rsidR="00322A3C" w:rsidRPr="00B7566B" w:rsidRDefault="00322A3C">
    <w:pPr>
      <w:rPr>
        <w:i/>
      </w:rPr>
    </w:pPr>
    <w:r>
      <w:rPr>
        <w:i/>
      </w:rPr>
      <w:t>202</w:t>
    </w:r>
    <w:r w:rsidR="009E1521">
      <w:rPr>
        <w:i/>
      </w:rPr>
      <w:t>2</w:t>
    </w:r>
    <w:r w:rsidRPr="00B7566B">
      <w:rPr>
        <w:i/>
      </w:rPr>
      <w:t xml:space="preserve"> Leapfrog Hospital Survey – Hard Copy</w:t>
    </w:r>
    <w:r w:rsidRPr="00B7566B">
      <w:rPr>
        <w:i/>
      </w:rPr>
      <w:ptab w:relativeTo="margin" w:alignment="center" w:leader="none"/>
    </w:r>
    <w:r w:rsidRPr="00B7566B">
      <w:rPr>
        <w:i/>
      </w:rPr>
      <w:ptab w:relativeTo="margin" w:alignment="right" w:leader="none"/>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0ABB0" w14:textId="77777777" w:rsidR="00322A3C" w:rsidRPr="00D640EB" w:rsidRDefault="00322A3C" w:rsidP="00D640E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8FE5D" w14:textId="38232D50" w:rsidR="00322A3C" w:rsidRPr="00B7566B" w:rsidRDefault="00322A3C">
    <w:pPr>
      <w:rPr>
        <w:i/>
      </w:rPr>
    </w:pPr>
    <w:r>
      <w:rPr>
        <w:i/>
      </w:rPr>
      <w:t>202</w:t>
    </w:r>
    <w:r w:rsidR="008D61ED">
      <w:rPr>
        <w:i/>
      </w:rPr>
      <w:t>6</w:t>
    </w:r>
    <w:r w:rsidRPr="00B7566B">
      <w:rPr>
        <w:i/>
      </w:rPr>
      <w:t xml:space="preserve"> Leapfrog Hospital Survey – Hard Copy</w:t>
    </w:r>
    <w:r w:rsidRPr="00B7566B">
      <w:rPr>
        <w:i/>
      </w:rPr>
      <w:ptab w:relativeTo="margin" w:alignment="center" w:leader="none"/>
    </w:r>
    <w:r w:rsidRPr="00B7566B">
      <w:rPr>
        <w:i/>
      </w:rPr>
      <w:ptab w:relativeTo="margin" w:alignment="right" w:leader="none"/>
    </w:r>
    <w:r>
      <w:rPr>
        <w:i/>
      </w:rPr>
      <w:t>Hospital Profile</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7198D" w14:textId="4AB45334" w:rsidR="00322A3C" w:rsidRPr="00B7566B" w:rsidRDefault="00322A3C">
    <w:pPr>
      <w:rPr>
        <w:i/>
      </w:rPr>
    </w:pPr>
    <w:r>
      <w:rPr>
        <w:i/>
      </w:rPr>
      <w:t>202</w:t>
    </w:r>
    <w:r w:rsidR="008D61ED">
      <w:rPr>
        <w:i/>
      </w:rPr>
      <w:t>6</w:t>
    </w:r>
    <w:r w:rsidRPr="00B7566B">
      <w:rPr>
        <w:i/>
      </w:rPr>
      <w:t xml:space="preserve"> Leapfrog Hospital Survey – Hard Copy</w:t>
    </w:r>
    <w:r w:rsidRPr="00B7566B">
      <w:rPr>
        <w:i/>
      </w:rPr>
      <w:ptab w:relativeTo="margin" w:alignment="center" w:leader="none"/>
    </w:r>
    <w:r w:rsidRPr="00B7566B">
      <w:rPr>
        <w:i/>
      </w:rPr>
      <w:ptab w:relativeTo="margin" w:alignment="right" w:leader="none"/>
    </w:r>
    <w:r w:rsidR="000A0D8C">
      <w:rPr>
        <w:i/>
      </w:rPr>
      <w:t>Hospital Profile</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BC41F" w14:textId="2FAED47F" w:rsidR="00322A3C" w:rsidRPr="00B7566B" w:rsidRDefault="00322A3C">
    <w:pPr>
      <w:rPr>
        <w:i/>
      </w:rPr>
    </w:pPr>
    <w:r>
      <w:rPr>
        <w:i/>
      </w:rPr>
      <w:t>202</w:t>
    </w:r>
    <w:r w:rsidR="00422C8E">
      <w:rPr>
        <w:i/>
      </w:rPr>
      <w:t>6</w:t>
    </w:r>
    <w:r w:rsidRPr="00B7566B">
      <w:rPr>
        <w:i/>
      </w:rPr>
      <w:t xml:space="preserve"> Leapfrog Hospital Survey – Hard Copy</w:t>
    </w:r>
    <w:r w:rsidRPr="00B7566B">
      <w:rPr>
        <w:i/>
      </w:rPr>
      <w:ptab w:relativeTo="margin" w:alignment="center" w:leader="none"/>
    </w:r>
    <w:r w:rsidRPr="00B7566B">
      <w:rPr>
        <w:i/>
      </w:rPr>
      <w:ptab w:relativeTo="margin" w:alignment="right" w:leader="none"/>
    </w:r>
    <w:r>
      <w:rPr>
        <w:i/>
      </w:rPr>
      <w:t>Sect</w:t>
    </w:r>
    <w:r w:rsidR="00A92A35">
      <w:rPr>
        <w:i/>
      </w:rPr>
      <w:t>ion</w:t>
    </w:r>
    <w:r>
      <w:rPr>
        <w:i/>
      </w:rPr>
      <w:t xml:space="preserve"> 1</w:t>
    </w:r>
    <w:r w:rsidR="00A92A35">
      <w:rPr>
        <w:i/>
      </w:rPr>
      <w:t>:</w:t>
    </w:r>
    <w:r>
      <w:rPr>
        <w:i/>
      </w:rPr>
      <w:t xml:space="preserve"> </w:t>
    </w:r>
    <w:r w:rsidR="00AB508D" w:rsidRPr="00BD11D8">
      <w:rPr>
        <w:rFonts w:cs="Arial"/>
        <w:i/>
        <w:iCs/>
        <w:snapToGrid w:val="0"/>
      </w:rPr>
      <w:t>Patient Rights and Ethics</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16312F" w14:textId="123D60CC" w:rsidR="00322A3C" w:rsidRPr="00B7566B" w:rsidRDefault="00322A3C">
    <w:pPr>
      <w:rPr>
        <w:i/>
      </w:rPr>
    </w:pPr>
    <w:r>
      <w:rPr>
        <w:i/>
      </w:rPr>
      <w:t>202</w:t>
    </w:r>
    <w:r w:rsidR="0058076D">
      <w:rPr>
        <w:i/>
      </w:rPr>
      <w:t>5</w:t>
    </w:r>
    <w:r w:rsidRPr="00B7566B">
      <w:rPr>
        <w:i/>
      </w:rPr>
      <w:t xml:space="preserve"> Leapfrog Hospital Survey – Hard Copy</w:t>
    </w:r>
    <w:r w:rsidRPr="00B7566B">
      <w:rPr>
        <w:i/>
      </w:rPr>
      <w:ptab w:relativeTo="margin" w:alignment="center" w:leader="none"/>
    </w:r>
    <w:r w:rsidRPr="00B7566B">
      <w:rPr>
        <w:i/>
      </w:rPr>
      <w:ptab w:relativeTo="margin" w:alignment="right" w:leader="none"/>
    </w:r>
    <w:r w:rsidR="000A0D8C">
      <w:rPr>
        <w:i/>
      </w:rPr>
      <w:t>Section 1: Patient Rights and Ethics</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455F62" w14:textId="41BAEA2F" w:rsidR="00322A3C" w:rsidRPr="00B7566B" w:rsidRDefault="00322A3C">
    <w:pPr>
      <w:rPr>
        <w:i/>
      </w:rPr>
    </w:pPr>
    <w:r w:rsidRPr="00B7566B">
      <w:rPr>
        <w:i/>
      </w:rPr>
      <w:t>2</w:t>
    </w:r>
    <w:r>
      <w:rPr>
        <w:i/>
      </w:rPr>
      <w:t>02</w:t>
    </w:r>
    <w:r w:rsidR="00997F27">
      <w:rPr>
        <w:i/>
      </w:rPr>
      <w:t>6</w:t>
    </w:r>
    <w:r w:rsidRPr="00B7566B">
      <w:rPr>
        <w:i/>
      </w:rPr>
      <w:t xml:space="preserve"> Leapfrog Hospital Survey – Hard Copy</w:t>
    </w:r>
    <w:r w:rsidRPr="00B7566B">
      <w:rPr>
        <w:i/>
      </w:rPr>
      <w:ptab w:relativeTo="margin" w:alignment="center" w:leader="none"/>
    </w:r>
    <w:r w:rsidRPr="00B7566B">
      <w:rPr>
        <w:i/>
      </w:rPr>
      <w:ptab w:relativeTo="margin" w:alignment="right" w:leader="none"/>
    </w:r>
    <w:r>
      <w:rPr>
        <w:i/>
      </w:rPr>
      <w:t>Sec</w:t>
    </w:r>
    <w:r w:rsidR="0003005A">
      <w:rPr>
        <w:i/>
      </w:rPr>
      <w:t>tion</w:t>
    </w:r>
    <w:r>
      <w:rPr>
        <w:i/>
      </w:rPr>
      <w:t xml:space="preserve"> 2</w:t>
    </w:r>
    <w:r w:rsidR="0003005A">
      <w:rPr>
        <w:i/>
      </w:rPr>
      <w:t xml:space="preserve">: </w:t>
    </w:r>
    <w:r>
      <w:rPr>
        <w:i/>
      </w:rPr>
      <w:t>Medication Safet</w:t>
    </w:r>
    <w:r w:rsidR="0003005A">
      <w:rPr>
        <w:i/>
      </w:rPr>
      <w:t>y</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5D3DB" w14:textId="6A4F5C1D" w:rsidR="0065334D" w:rsidRPr="00B7566B" w:rsidRDefault="0065334D">
    <w:pPr>
      <w:rPr>
        <w:i/>
      </w:rPr>
    </w:pPr>
    <w:r w:rsidRPr="00B7566B">
      <w:rPr>
        <w:i/>
      </w:rPr>
      <w:t>20</w:t>
    </w:r>
    <w:r w:rsidR="006E3AB9">
      <w:rPr>
        <w:i/>
      </w:rPr>
      <w:t>2</w:t>
    </w:r>
    <w:r w:rsidR="004920BB">
      <w:rPr>
        <w:i/>
      </w:rPr>
      <w:t>6</w:t>
    </w:r>
    <w:r w:rsidRPr="00B7566B">
      <w:rPr>
        <w:i/>
      </w:rPr>
      <w:t xml:space="preserve"> Leapfrog Hospital Survey – Hard Copy</w:t>
    </w:r>
    <w:r w:rsidRPr="00B7566B">
      <w:rPr>
        <w:i/>
      </w:rPr>
      <w:ptab w:relativeTo="margin" w:alignment="center" w:leader="none"/>
    </w:r>
    <w:r w:rsidRPr="00B7566B">
      <w:rPr>
        <w:i/>
      </w:rPr>
      <w:ptab w:relativeTo="margin" w:alignment="right" w:leader="none"/>
    </w:r>
    <w:r w:rsidR="000A0D8C" w:rsidRPr="000A0D8C">
      <w:rPr>
        <w:i/>
      </w:rPr>
      <w:t xml:space="preserve"> </w:t>
    </w:r>
    <w:r w:rsidR="000A0D8C">
      <w:rPr>
        <w:i/>
      </w:rPr>
      <w:t>Section 2: Medication Safety</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9FEB9" w14:textId="003313E5" w:rsidR="00322A3C" w:rsidRPr="00B7566B" w:rsidRDefault="00322A3C">
    <w:pPr>
      <w:rPr>
        <w:i/>
      </w:rPr>
    </w:pPr>
    <w:r>
      <w:rPr>
        <w:i/>
      </w:rPr>
      <w:t>202</w:t>
    </w:r>
    <w:r w:rsidR="004920BB">
      <w:rPr>
        <w:i/>
      </w:rPr>
      <w:t>6</w:t>
    </w:r>
    <w:r w:rsidRPr="00B7566B">
      <w:rPr>
        <w:i/>
      </w:rPr>
      <w:t xml:space="preserve"> Leapfrog Hospital Survey – Hard Copy</w:t>
    </w:r>
    <w:r w:rsidRPr="00B7566B">
      <w:rPr>
        <w:i/>
      </w:rPr>
      <w:ptab w:relativeTo="margin" w:alignment="center" w:leader="none"/>
    </w:r>
    <w:r w:rsidRPr="00B7566B">
      <w:rPr>
        <w:i/>
      </w:rPr>
      <w:ptab w:relativeTo="margin" w:alignment="right" w:leader="none"/>
    </w:r>
    <w:r w:rsidR="000A0D8C">
      <w:rPr>
        <w:i/>
      </w:rPr>
      <w:t>Section 2: Medication Safety</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E70DA" w14:textId="4E8CAEE7" w:rsidR="00322A3C" w:rsidRPr="00B7566B" w:rsidRDefault="00322A3C" w:rsidP="00F61ED5">
    <w:pPr>
      <w:rPr>
        <w:i/>
      </w:rPr>
    </w:pPr>
    <w:r w:rsidRPr="00B7566B">
      <w:rPr>
        <w:i/>
      </w:rPr>
      <w:t>2</w:t>
    </w:r>
    <w:r>
      <w:rPr>
        <w:i/>
      </w:rPr>
      <w:t>02</w:t>
    </w:r>
    <w:r w:rsidR="00CB2607">
      <w:rPr>
        <w:i/>
      </w:rPr>
      <w:t>6</w:t>
    </w:r>
    <w:r w:rsidRPr="00B7566B">
      <w:rPr>
        <w:i/>
      </w:rPr>
      <w:t xml:space="preserve"> Leapfrog Hospital Survey – Hard Copy</w:t>
    </w:r>
    <w:r w:rsidRPr="00B7566B">
      <w:rPr>
        <w:i/>
      </w:rPr>
      <w:ptab w:relativeTo="margin" w:alignment="center" w:leader="none"/>
    </w:r>
    <w:r w:rsidRPr="00B7566B">
      <w:rPr>
        <w:i/>
      </w:rPr>
      <w:ptab w:relativeTo="margin" w:alignment="right" w:leader="none"/>
    </w:r>
    <w:r>
      <w:rPr>
        <w:i/>
      </w:rPr>
      <w:t>Sec</w:t>
    </w:r>
    <w:r w:rsidR="0003005A">
      <w:rPr>
        <w:i/>
      </w:rPr>
      <w:t>tion</w:t>
    </w:r>
    <w:r>
      <w:rPr>
        <w:i/>
      </w:rPr>
      <w:t xml:space="preserve"> 3</w:t>
    </w:r>
    <w:r w:rsidR="0003005A">
      <w:rPr>
        <w:i/>
      </w:rPr>
      <w:t xml:space="preserve">: </w:t>
    </w:r>
    <w:r>
      <w:rPr>
        <w:i/>
      </w:rPr>
      <w:t xml:space="preserve">Adult and Pediatric </w:t>
    </w:r>
    <w:r w:rsidR="003D737B">
      <w:rPr>
        <w:i/>
      </w:rPr>
      <w:t>Complex</w:t>
    </w:r>
    <w:r>
      <w:rPr>
        <w:i/>
      </w:rPr>
      <w:t xml:space="preserve"> Surgery</w:t>
    </w:r>
  </w:p>
  <w:p w14:paraId="207C1B90" w14:textId="77777777" w:rsidR="00322A3C" w:rsidRPr="00B7566B" w:rsidRDefault="00322A3C">
    <w:pPr>
      <w:rPr>
        <w:i/>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4331D" w14:textId="061EB6E7" w:rsidR="00322A3C" w:rsidRPr="00B7566B" w:rsidRDefault="00322A3C" w:rsidP="006B2896">
    <w:pPr>
      <w:rPr>
        <w:i/>
      </w:rPr>
    </w:pPr>
    <w:r w:rsidRPr="00B7566B">
      <w:rPr>
        <w:i/>
      </w:rPr>
      <w:t>2</w:t>
    </w:r>
    <w:r>
      <w:rPr>
        <w:i/>
      </w:rPr>
      <w:t>02</w:t>
    </w:r>
    <w:r w:rsidR="00453130">
      <w:rPr>
        <w:i/>
      </w:rPr>
      <w:t>6</w:t>
    </w:r>
    <w:r w:rsidRPr="00B7566B">
      <w:rPr>
        <w:i/>
      </w:rPr>
      <w:t xml:space="preserve"> Leapfrog Hospital Survey – Hard Copy</w:t>
    </w:r>
    <w:r w:rsidRPr="00B7566B">
      <w:rPr>
        <w:i/>
      </w:rPr>
      <w:ptab w:relativeTo="margin" w:alignment="center" w:leader="none"/>
    </w:r>
    <w:r w:rsidRPr="00B7566B">
      <w:rPr>
        <w:i/>
      </w:rPr>
      <w:ptab w:relativeTo="margin" w:alignment="right" w:leader="none"/>
    </w:r>
    <w:r>
      <w:rPr>
        <w:i/>
      </w:rPr>
      <w:t>Sect</w:t>
    </w:r>
    <w:r w:rsidR="0003005A">
      <w:rPr>
        <w:i/>
      </w:rPr>
      <w:t>ion</w:t>
    </w:r>
    <w:r>
      <w:rPr>
        <w:i/>
      </w:rPr>
      <w:t xml:space="preserve"> 3</w:t>
    </w:r>
    <w:r w:rsidR="0003005A">
      <w:rPr>
        <w:i/>
      </w:rPr>
      <w:t>:</w:t>
    </w:r>
    <w:r>
      <w:rPr>
        <w:i/>
      </w:rPr>
      <w:t xml:space="preserve"> Adult and Pediatric </w:t>
    </w:r>
    <w:r w:rsidR="003D737B">
      <w:rPr>
        <w:i/>
      </w:rPr>
      <w:t>Complex</w:t>
    </w:r>
    <w:r>
      <w:rPr>
        <w:i/>
      </w:rPr>
      <w:t xml:space="preserve"> Surgery</w:t>
    </w:r>
  </w:p>
  <w:p w14:paraId="4319C7D6" w14:textId="77777777" w:rsidR="00322A3C" w:rsidRPr="00B7566B" w:rsidRDefault="00322A3C" w:rsidP="006B2896">
    <w:pPr>
      <w:tabs>
        <w:tab w:val="left" w:pos="8624"/>
      </w:tabs>
      <w:rPr>
        <w:i/>
      </w:rPr>
    </w:pPr>
    <w:r>
      <w:rPr>
        <w:i/>
      </w:rPr>
      <w:tab/>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8CE25" w14:textId="3DC75E18" w:rsidR="00322A3C" w:rsidRPr="00B7566B" w:rsidRDefault="00322A3C" w:rsidP="006B2896">
    <w:pPr>
      <w:rPr>
        <w:i/>
      </w:rPr>
    </w:pPr>
    <w:r w:rsidRPr="00B7566B">
      <w:rPr>
        <w:i/>
      </w:rPr>
      <w:t>2</w:t>
    </w:r>
    <w:r>
      <w:rPr>
        <w:i/>
      </w:rPr>
      <w:t>02</w:t>
    </w:r>
    <w:r w:rsidR="00707133">
      <w:rPr>
        <w:i/>
      </w:rPr>
      <w:t>6</w:t>
    </w:r>
    <w:r w:rsidRPr="00B7566B">
      <w:rPr>
        <w:i/>
      </w:rPr>
      <w:t xml:space="preserve"> Leapfrog Hospital Survey – Hard Copy</w:t>
    </w:r>
    <w:r w:rsidRPr="00B7566B">
      <w:rPr>
        <w:i/>
      </w:rPr>
      <w:ptab w:relativeTo="margin" w:alignment="center" w:leader="none"/>
    </w:r>
    <w:r w:rsidRPr="00B7566B">
      <w:rPr>
        <w:i/>
      </w:rPr>
      <w:ptab w:relativeTo="margin" w:alignment="right" w:leader="none"/>
    </w:r>
    <w:r w:rsidR="000A0D8C" w:rsidRPr="000A0D8C">
      <w:rPr>
        <w:i/>
      </w:rPr>
      <w:t xml:space="preserve"> </w:t>
    </w:r>
    <w:r w:rsidR="000A0D8C">
      <w:rPr>
        <w:i/>
      </w:rPr>
      <w:t>Section 3: Adult and Pediatric Complex Surgery</w:t>
    </w:r>
  </w:p>
  <w:p w14:paraId="0529519D" w14:textId="77777777" w:rsidR="00322A3C" w:rsidRPr="00B7566B" w:rsidRDefault="00322A3C" w:rsidP="006B2896">
    <w:pPr>
      <w:tabs>
        <w:tab w:val="left" w:pos="8624"/>
      </w:tabs>
      <w:rPr>
        <w:i/>
      </w:rPr>
    </w:pPr>
    <w:r>
      <w:rPr>
        <w:i/>
      </w:rPr>
      <w:tab/>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783D2" w14:textId="14A7B1E5" w:rsidR="00322A3C" w:rsidRPr="00B7566B" w:rsidRDefault="00322A3C">
    <w:pPr>
      <w:rPr>
        <w:i/>
      </w:rPr>
    </w:pPr>
    <w:r w:rsidRPr="00B7566B">
      <w:rPr>
        <w:i/>
      </w:rPr>
      <w:t>20</w:t>
    </w:r>
    <w:r>
      <w:rPr>
        <w:i/>
      </w:rPr>
      <w:t>2</w:t>
    </w:r>
    <w:r w:rsidR="006C7A80">
      <w:rPr>
        <w:i/>
      </w:rPr>
      <w:t>6</w:t>
    </w:r>
    <w:r w:rsidRPr="00B7566B">
      <w:rPr>
        <w:i/>
      </w:rPr>
      <w:t xml:space="preserve"> Leapfrog Hospital Survey – Hard Copy</w:t>
    </w:r>
    <w:r w:rsidRPr="00B7566B">
      <w:rPr>
        <w:i/>
      </w:rPr>
      <w:ptab w:relativeTo="margin" w:alignment="center" w:leader="none"/>
    </w:r>
    <w:r w:rsidRPr="00B7566B">
      <w:rPr>
        <w:i/>
      </w:rPr>
      <w:ptab w:relativeTo="margin" w:alignment="right" w:leader="none"/>
    </w:r>
    <w:r>
      <w:rPr>
        <w:i/>
      </w:rPr>
      <w:t>Se</w:t>
    </w:r>
    <w:r w:rsidR="0003005A">
      <w:rPr>
        <w:i/>
      </w:rPr>
      <w:t xml:space="preserve">ction 4: </w:t>
    </w:r>
    <w:r>
      <w:rPr>
        <w:i/>
      </w:rPr>
      <w:t>Maternity Care</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126070" w14:textId="705D0E54" w:rsidR="00322A3C" w:rsidRPr="00B7566B" w:rsidRDefault="00322A3C">
    <w:pPr>
      <w:rPr>
        <w:i/>
      </w:rPr>
    </w:pPr>
    <w:r w:rsidRPr="00B7566B">
      <w:rPr>
        <w:i/>
      </w:rPr>
      <w:t>20</w:t>
    </w:r>
    <w:r>
      <w:rPr>
        <w:i/>
      </w:rPr>
      <w:t>2</w:t>
    </w:r>
    <w:r w:rsidR="00B43F10">
      <w:rPr>
        <w:i/>
      </w:rPr>
      <w:t>6</w:t>
    </w:r>
    <w:r w:rsidRPr="00B7566B">
      <w:rPr>
        <w:i/>
      </w:rPr>
      <w:t xml:space="preserve"> Leapfrog Hospital Survey – Hard Copy</w:t>
    </w:r>
    <w:r w:rsidRPr="00B7566B">
      <w:rPr>
        <w:i/>
      </w:rPr>
      <w:ptab w:relativeTo="margin" w:alignment="center" w:leader="none"/>
    </w:r>
    <w:r w:rsidRPr="00B7566B">
      <w:rPr>
        <w:i/>
      </w:rPr>
      <w:ptab w:relativeTo="margin" w:alignment="right" w:leader="none"/>
    </w:r>
    <w:r w:rsidR="000A0D8C" w:rsidRPr="000A0D8C">
      <w:rPr>
        <w:i/>
      </w:rPr>
      <w:t xml:space="preserve"> </w:t>
    </w:r>
    <w:r w:rsidR="000A0D8C">
      <w:rPr>
        <w:i/>
      </w:rPr>
      <w:t>Section 4: Maternity Care</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4004F" w14:textId="7361A265" w:rsidR="00322A3C" w:rsidRPr="00B7566B" w:rsidRDefault="00322A3C">
    <w:pPr>
      <w:rPr>
        <w:i/>
      </w:rPr>
    </w:pPr>
    <w:r w:rsidRPr="00B7566B">
      <w:rPr>
        <w:i/>
      </w:rPr>
      <w:t>2</w:t>
    </w:r>
    <w:r>
      <w:rPr>
        <w:i/>
      </w:rPr>
      <w:t>02</w:t>
    </w:r>
    <w:r w:rsidR="004637D7">
      <w:rPr>
        <w:i/>
      </w:rPr>
      <w:t>6</w:t>
    </w:r>
    <w:r w:rsidRPr="00B7566B">
      <w:rPr>
        <w:i/>
      </w:rPr>
      <w:t xml:space="preserve"> Leapfrog Hospital Survey – Hard Copy</w:t>
    </w:r>
    <w:r w:rsidRPr="00B7566B">
      <w:rPr>
        <w:i/>
      </w:rPr>
      <w:ptab w:relativeTo="margin" w:alignment="center" w:leader="none"/>
    </w:r>
    <w:r w:rsidRPr="00B7566B">
      <w:rPr>
        <w:i/>
      </w:rPr>
      <w:ptab w:relativeTo="margin" w:alignment="right" w:leader="none"/>
    </w:r>
    <w:r>
      <w:rPr>
        <w:i/>
      </w:rPr>
      <w:t>Sec</w:t>
    </w:r>
    <w:r w:rsidR="00474DDE">
      <w:rPr>
        <w:i/>
      </w:rPr>
      <w:t>tion</w:t>
    </w:r>
    <w:r>
      <w:rPr>
        <w:i/>
      </w:rPr>
      <w:t xml:space="preserve"> 5</w:t>
    </w:r>
    <w:r w:rsidR="00474DDE">
      <w:rPr>
        <w:i/>
      </w:rPr>
      <w:t xml:space="preserve">: </w:t>
    </w:r>
    <w:r w:rsidR="00A52909">
      <w:rPr>
        <w:i/>
      </w:rPr>
      <w:t xml:space="preserve">Physician and Nurse </w:t>
    </w:r>
    <w:r w:rsidR="00D55BF8">
      <w:rPr>
        <w:i/>
      </w:rPr>
      <w:t>Staffing</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94C76" w14:textId="76C45BF6" w:rsidR="00322A3C" w:rsidRPr="00B7566B" w:rsidRDefault="00322A3C">
    <w:pPr>
      <w:rPr>
        <w:i/>
      </w:rPr>
    </w:pPr>
    <w:r w:rsidRPr="00B7566B">
      <w:rPr>
        <w:i/>
      </w:rPr>
      <w:t>20</w:t>
    </w:r>
    <w:r w:rsidR="00080756">
      <w:rPr>
        <w:i/>
      </w:rPr>
      <w:t>2</w:t>
    </w:r>
    <w:r w:rsidR="00CB6105">
      <w:rPr>
        <w:i/>
      </w:rPr>
      <w:t>6</w:t>
    </w:r>
    <w:r w:rsidRPr="00B7566B">
      <w:rPr>
        <w:i/>
      </w:rPr>
      <w:t xml:space="preserve"> Leapfrog Hospital Survey – Hard Copy</w:t>
    </w:r>
    <w:r w:rsidRPr="00B7566B">
      <w:rPr>
        <w:i/>
      </w:rPr>
      <w:ptab w:relativeTo="margin" w:alignment="center" w:leader="none"/>
    </w:r>
    <w:r w:rsidRPr="00B7566B">
      <w:rPr>
        <w:i/>
      </w:rPr>
      <w:ptab w:relativeTo="margin" w:alignment="right" w:leader="none"/>
    </w:r>
    <w:r w:rsidR="000A0D8C" w:rsidRPr="000A0D8C">
      <w:rPr>
        <w:i/>
      </w:rPr>
      <w:t xml:space="preserve"> </w:t>
    </w:r>
    <w:r w:rsidR="000A0D8C">
      <w:rPr>
        <w:i/>
      </w:rPr>
      <w:t xml:space="preserve">Section 5:  </w:t>
    </w:r>
    <w:r w:rsidR="00824FDC">
      <w:rPr>
        <w:i/>
      </w:rPr>
      <w:t xml:space="preserve">Physician and Nurse </w:t>
    </w:r>
    <w:r w:rsidR="00540ADD">
      <w:rPr>
        <w:i/>
      </w:rPr>
      <w:t>Staffing</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70983" w14:textId="4DAAA93F" w:rsidR="00322A3C" w:rsidRPr="00B7566B" w:rsidRDefault="00322A3C">
    <w:pPr>
      <w:rPr>
        <w:i/>
      </w:rPr>
    </w:pPr>
    <w:r w:rsidRPr="00B7566B">
      <w:rPr>
        <w:i/>
      </w:rPr>
      <w:t>20</w:t>
    </w:r>
    <w:r>
      <w:rPr>
        <w:i/>
      </w:rPr>
      <w:t>2</w:t>
    </w:r>
    <w:r w:rsidR="0042462F">
      <w:rPr>
        <w:i/>
      </w:rPr>
      <w:t>6</w:t>
    </w:r>
    <w:r w:rsidRPr="00B7566B">
      <w:rPr>
        <w:i/>
      </w:rPr>
      <w:t xml:space="preserve"> Leapfrog Hospital Survey – Hard Copy</w:t>
    </w:r>
    <w:r w:rsidRPr="00B7566B">
      <w:rPr>
        <w:i/>
      </w:rPr>
      <w:ptab w:relativeTo="margin" w:alignment="center" w:leader="none"/>
    </w:r>
    <w:r w:rsidRPr="00B7566B">
      <w:rPr>
        <w:i/>
      </w:rPr>
      <w:ptab w:relativeTo="margin" w:alignment="right" w:leader="none"/>
    </w:r>
    <w:r w:rsidR="000A0D8C">
      <w:rPr>
        <w:i/>
      </w:rPr>
      <w:t>Section 6: Patient Safety Practices</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17D40" w14:textId="1E3AD86A" w:rsidR="00322A3C" w:rsidRPr="00B7566B" w:rsidRDefault="00322A3C" w:rsidP="00A9433D">
    <w:pPr>
      <w:rPr>
        <w:i/>
      </w:rPr>
    </w:pPr>
    <w:r>
      <w:rPr>
        <w:i/>
      </w:rPr>
      <w:t>202</w:t>
    </w:r>
    <w:r w:rsidR="00344A04">
      <w:rPr>
        <w:i/>
      </w:rPr>
      <w:t>6</w:t>
    </w:r>
    <w:r w:rsidRPr="00B7566B">
      <w:rPr>
        <w:i/>
      </w:rPr>
      <w:t xml:space="preserve"> Leapfrog Hospital Survey – Hard Copy</w:t>
    </w:r>
    <w:r w:rsidRPr="00B7566B">
      <w:rPr>
        <w:i/>
      </w:rPr>
      <w:ptab w:relativeTo="margin" w:alignment="center" w:leader="none"/>
    </w:r>
    <w:r w:rsidRPr="00A9433D">
      <w:rPr>
        <w:i/>
      </w:rPr>
      <w:t xml:space="preserve"> </w:t>
    </w:r>
    <w:r>
      <w:rPr>
        <w:i/>
      </w:rPr>
      <w:tab/>
    </w:r>
    <w:r w:rsidR="00B078B4">
      <w:rPr>
        <w:i/>
      </w:rPr>
      <w:tab/>
      <w:t xml:space="preserve">     </w:t>
    </w:r>
    <w:r>
      <w:rPr>
        <w:i/>
      </w:rPr>
      <w:t>Sect</w:t>
    </w:r>
    <w:r w:rsidR="00B078B4">
      <w:rPr>
        <w:i/>
      </w:rPr>
      <w:t>ion</w:t>
    </w:r>
    <w:r>
      <w:rPr>
        <w:i/>
      </w:rPr>
      <w:t xml:space="preserve"> </w:t>
    </w:r>
    <w:r w:rsidR="00B078B4">
      <w:rPr>
        <w:i/>
      </w:rPr>
      <w:t>7</w:t>
    </w:r>
    <w:r w:rsidR="004D1420">
      <w:rPr>
        <w:i/>
      </w:rPr>
      <w:t>:</w:t>
    </w:r>
    <w:r>
      <w:rPr>
        <w:i/>
      </w:rPr>
      <w:t xml:space="preserve"> </w:t>
    </w:r>
    <w:r w:rsidR="00B078B4">
      <w:rPr>
        <w:i/>
      </w:rPr>
      <w:t>Managing Serious Errors</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64D90" w14:textId="4F2FC41A" w:rsidR="00322A3C" w:rsidRPr="00B7566B" w:rsidRDefault="00322A3C">
    <w:pPr>
      <w:rPr>
        <w:i/>
      </w:rPr>
    </w:pPr>
    <w:r w:rsidRPr="00B7566B">
      <w:rPr>
        <w:i/>
      </w:rPr>
      <w:t>20</w:t>
    </w:r>
    <w:r>
      <w:rPr>
        <w:i/>
      </w:rPr>
      <w:t>2</w:t>
    </w:r>
    <w:r w:rsidR="00344A04">
      <w:rPr>
        <w:i/>
      </w:rPr>
      <w:t>6</w:t>
    </w:r>
    <w:r w:rsidRPr="00B7566B">
      <w:rPr>
        <w:i/>
      </w:rPr>
      <w:t xml:space="preserve"> Leapfrog Hospital Survey – Hard Copy</w:t>
    </w:r>
    <w:r w:rsidRPr="00B7566B">
      <w:rPr>
        <w:i/>
      </w:rPr>
      <w:ptab w:relativeTo="margin" w:alignment="center" w:leader="none"/>
    </w:r>
    <w:r w:rsidRPr="00B7566B">
      <w:rPr>
        <w:i/>
      </w:rPr>
      <w:ptab w:relativeTo="margin" w:alignment="right" w:leader="none"/>
    </w:r>
    <w:r>
      <w:rPr>
        <w:i/>
      </w:rPr>
      <w:t>Sec</w:t>
    </w:r>
    <w:r w:rsidR="0012772F">
      <w:rPr>
        <w:i/>
      </w:rPr>
      <w:t>tion</w:t>
    </w:r>
    <w:r>
      <w:rPr>
        <w:i/>
      </w:rPr>
      <w:t xml:space="preserve"> </w:t>
    </w:r>
    <w:r w:rsidR="0012772F">
      <w:rPr>
        <w:i/>
      </w:rPr>
      <w:t>8:</w:t>
    </w:r>
    <w:r>
      <w:rPr>
        <w:i/>
      </w:rPr>
      <w:t xml:space="preserve"> Pediatric Care</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D7138" w14:textId="30B804DF" w:rsidR="00322A3C" w:rsidRPr="00B7566B" w:rsidRDefault="00322A3C">
    <w:pPr>
      <w:rPr>
        <w:i/>
      </w:rPr>
    </w:pPr>
    <w:r w:rsidRPr="00B7566B">
      <w:rPr>
        <w:i/>
      </w:rPr>
      <w:t>20</w:t>
    </w:r>
    <w:r>
      <w:rPr>
        <w:i/>
      </w:rPr>
      <w:t>2</w:t>
    </w:r>
    <w:r w:rsidR="00344A04">
      <w:rPr>
        <w:i/>
      </w:rPr>
      <w:t>6</w:t>
    </w:r>
    <w:r w:rsidRPr="00B7566B">
      <w:rPr>
        <w:i/>
      </w:rPr>
      <w:t xml:space="preserve"> Leapfrog Hospital Survey – Hard Copy</w:t>
    </w:r>
    <w:r w:rsidRPr="00B7566B">
      <w:rPr>
        <w:i/>
      </w:rPr>
      <w:ptab w:relativeTo="margin" w:alignment="center" w:leader="none"/>
    </w:r>
    <w:r w:rsidRPr="00B7566B">
      <w:rPr>
        <w:i/>
      </w:rPr>
      <w:ptab w:relativeTo="margin" w:alignment="right" w:leader="none"/>
    </w:r>
    <w:r w:rsidR="000A0D8C" w:rsidRPr="000A0D8C">
      <w:rPr>
        <w:i/>
      </w:rPr>
      <w:t xml:space="preserve"> </w:t>
    </w:r>
    <w:r w:rsidR="000A0D8C">
      <w:rPr>
        <w:i/>
      </w:rPr>
      <w:t>Section 8: Pediatric Care</w:t>
    </w:r>
    <w:r>
      <w:rPr>
        <w:i/>
      </w:rPr>
      <w:t xml:space="preserve">  </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111A7" w14:textId="00717B73" w:rsidR="00322A3C" w:rsidRPr="00B7566B" w:rsidRDefault="00322A3C">
    <w:pPr>
      <w:rPr>
        <w:i/>
      </w:rPr>
    </w:pPr>
    <w:r w:rsidRPr="00B7566B">
      <w:rPr>
        <w:i/>
      </w:rPr>
      <w:t>20</w:t>
    </w:r>
    <w:r>
      <w:rPr>
        <w:i/>
      </w:rPr>
      <w:t>2</w:t>
    </w:r>
    <w:r w:rsidR="00344A04">
      <w:rPr>
        <w:i/>
      </w:rPr>
      <w:t>6</w:t>
    </w:r>
    <w:r w:rsidRPr="00B7566B">
      <w:rPr>
        <w:i/>
      </w:rPr>
      <w:t xml:space="preserve"> Leapfrog Hospital Survey – Hard Copy</w:t>
    </w:r>
    <w:r w:rsidRPr="00B7566B">
      <w:rPr>
        <w:i/>
      </w:rPr>
      <w:ptab w:relativeTo="margin" w:alignment="center" w:leader="none"/>
    </w:r>
    <w:r w:rsidRPr="00B7566B">
      <w:rPr>
        <w:i/>
      </w:rPr>
      <w:ptab w:relativeTo="margin" w:alignment="right" w:leader="none"/>
    </w:r>
    <w:r w:rsidRPr="000C54E0">
      <w:rPr>
        <w:i/>
      </w:rPr>
      <w:t xml:space="preserve"> </w:t>
    </w:r>
    <w:r w:rsidR="003B08A8" w:rsidRPr="003B08A8">
      <w:t xml:space="preserve"> </w:t>
    </w:r>
    <w:r w:rsidR="003B08A8" w:rsidRPr="003B08A8">
      <w:rPr>
        <w:i/>
      </w:rPr>
      <w:t>Outpatient Procedures</w:t>
    </w:r>
    <w:r>
      <w:rPr>
        <w:i/>
      </w:rPr>
      <w:t xml:space="preserve">  </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301DB" w14:textId="773717B2" w:rsidR="00485F21" w:rsidRPr="00B7566B" w:rsidRDefault="00485F21">
    <w:pPr>
      <w:rPr>
        <w:i/>
      </w:rPr>
    </w:pPr>
    <w:r w:rsidRPr="00B7566B">
      <w:rPr>
        <w:i/>
      </w:rPr>
      <w:t>20</w:t>
    </w:r>
    <w:r>
      <w:rPr>
        <w:i/>
      </w:rPr>
      <w:t>26</w:t>
    </w:r>
    <w:r w:rsidRPr="00B7566B">
      <w:rPr>
        <w:i/>
      </w:rPr>
      <w:t xml:space="preserve"> Leapfrog Hospital Survey – Hard Copy</w:t>
    </w:r>
    <w:r w:rsidRPr="00B7566B">
      <w:rPr>
        <w:i/>
      </w:rPr>
      <w:ptab w:relativeTo="margin" w:alignment="center" w:leader="none"/>
    </w:r>
    <w:r w:rsidRPr="00B7566B">
      <w:rPr>
        <w:i/>
      </w:rPr>
      <w:ptab w:relativeTo="margin" w:alignment="right" w:leader="none"/>
    </w:r>
    <w:r>
      <w:rPr>
        <w:i/>
      </w:rPr>
      <w:t xml:space="preserve">Endnotes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150A1C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59AC5E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A2588B3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6718826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9F82DC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45048A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360E03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DC4713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D82AB2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D926CB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141D8F"/>
    <w:multiLevelType w:val="hybridMultilevel"/>
    <w:tmpl w:val="7BB8B658"/>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007B255D"/>
    <w:multiLevelType w:val="hybridMultilevel"/>
    <w:tmpl w:val="80909636"/>
    <w:lvl w:ilvl="0" w:tplc="07DCC838">
      <w:start w:val="1"/>
      <w:numFmt w:val="decimal"/>
      <w:lvlText w:val="%1)"/>
      <w:lvlJc w:val="left"/>
      <w:pPr>
        <w:ind w:left="360" w:hanging="360"/>
      </w:pPr>
      <w:rPr>
        <w:rFonts w:hint="default"/>
        <w:i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009E559D"/>
    <w:multiLevelType w:val="hybridMultilevel"/>
    <w:tmpl w:val="4370A2EA"/>
    <w:lvl w:ilvl="0" w:tplc="5DF020FE">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00A27CF9"/>
    <w:multiLevelType w:val="hybridMultilevel"/>
    <w:tmpl w:val="842C13E0"/>
    <w:lvl w:ilvl="0" w:tplc="14EE4D1A">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00B67EF4"/>
    <w:multiLevelType w:val="hybridMultilevel"/>
    <w:tmpl w:val="5E9A8CF0"/>
    <w:lvl w:ilvl="0" w:tplc="67800A46">
      <w:start w:val="1"/>
      <w:numFmt w:val="bullet"/>
      <w:lvlText w:val=""/>
      <w:lvlJc w:val="left"/>
      <w:pPr>
        <w:ind w:left="360" w:hanging="360"/>
      </w:pPr>
      <w:rPr>
        <w:rFonts w:ascii="Wingdings" w:hAnsi="Wingdings" w:hint="default"/>
        <w:b/>
        <w:sz w:val="24"/>
        <w:szCs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01293703"/>
    <w:multiLevelType w:val="hybridMultilevel"/>
    <w:tmpl w:val="3E14F9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1346985"/>
    <w:multiLevelType w:val="hybridMultilevel"/>
    <w:tmpl w:val="F748190C"/>
    <w:lvl w:ilvl="0" w:tplc="42D446BA">
      <w:start w:val="1"/>
      <w:numFmt w:val="decimal"/>
      <w:lvlText w:val="%1)"/>
      <w:lvlJc w:val="left"/>
      <w:pPr>
        <w:ind w:left="360" w:hanging="360"/>
      </w:pPr>
      <w:rPr>
        <w:rFonts w:hint="default"/>
        <w:sz w:val="20"/>
        <w:szCs w:val="2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01C179B0"/>
    <w:multiLevelType w:val="hybridMultilevel"/>
    <w:tmpl w:val="324ACF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01C331E5"/>
    <w:multiLevelType w:val="multilevel"/>
    <w:tmpl w:val="9C423180"/>
    <w:lvl w:ilvl="0">
      <w:start w:val="1"/>
      <w:numFmt w:val="decimal"/>
      <w:lvlText w:val="%1)"/>
      <w:lvlJc w:val="left"/>
      <w:pPr>
        <w:ind w:left="360" w:hanging="360"/>
      </w:pPr>
      <w:rPr>
        <w:rFonts w:cs="Times New Roman"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0213497B"/>
    <w:multiLevelType w:val="hybridMultilevel"/>
    <w:tmpl w:val="5DF02BE2"/>
    <w:lvl w:ilvl="0" w:tplc="A0E03720">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022151DE"/>
    <w:multiLevelType w:val="hybridMultilevel"/>
    <w:tmpl w:val="170C70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22168BE"/>
    <w:multiLevelType w:val="hybridMultilevel"/>
    <w:tmpl w:val="202A35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023C547A"/>
    <w:multiLevelType w:val="hybridMultilevel"/>
    <w:tmpl w:val="7610D328"/>
    <w:lvl w:ilvl="0" w:tplc="4874E63C">
      <w:start w:val="1"/>
      <w:numFmt w:val="decimal"/>
      <w:lvlText w:val="%1)"/>
      <w:lvlJc w:val="left"/>
      <w:pPr>
        <w:ind w:left="360" w:hanging="360"/>
      </w:pPr>
      <w:rPr>
        <w:b w:val="0"/>
        <w:i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02953017"/>
    <w:multiLevelType w:val="hybridMultilevel"/>
    <w:tmpl w:val="5EEE6C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02EE19E1"/>
    <w:multiLevelType w:val="singleLevel"/>
    <w:tmpl w:val="DE806530"/>
    <w:lvl w:ilvl="0">
      <w:start w:val="1"/>
      <w:numFmt w:val="decimal"/>
      <w:lvlText w:val="%1."/>
      <w:lvlJc w:val="left"/>
      <w:pPr>
        <w:tabs>
          <w:tab w:val="num" w:pos="720"/>
        </w:tabs>
        <w:ind w:left="720" w:hanging="360"/>
      </w:pPr>
      <w:rPr>
        <w:b/>
      </w:rPr>
    </w:lvl>
  </w:abstractNum>
  <w:abstractNum w:abstractNumId="25" w15:restartNumberingAfterBreak="0">
    <w:nsid w:val="02F81C9A"/>
    <w:multiLevelType w:val="hybridMultilevel"/>
    <w:tmpl w:val="E52C7796"/>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03B43B03"/>
    <w:multiLevelType w:val="multilevel"/>
    <w:tmpl w:val="7096CDD6"/>
    <w:lvl w:ilvl="0">
      <w:start w:val="1"/>
      <w:numFmt w:val="decimal"/>
      <w:lvlText w:val="%1."/>
      <w:lvlJc w:val="left"/>
      <w:pPr>
        <w:ind w:left="720" w:hanging="360"/>
      </w:pPr>
      <w:rPr>
        <w:sz w:val="20"/>
        <w:szCs w:val="2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15:restartNumberingAfterBreak="0">
    <w:nsid w:val="03E92CBA"/>
    <w:multiLevelType w:val="hybridMultilevel"/>
    <w:tmpl w:val="593A9A9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03F9218B"/>
    <w:multiLevelType w:val="hybridMultilevel"/>
    <w:tmpl w:val="28C43CF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04AA1648"/>
    <w:multiLevelType w:val="hybridMultilevel"/>
    <w:tmpl w:val="472E1B3A"/>
    <w:lvl w:ilvl="0" w:tplc="E43ED6C4">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04B96181"/>
    <w:multiLevelType w:val="hybridMultilevel"/>
    <w:tmpl w:val="A2982D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04DC1EB6"/>
    <w:multiLevelType w:val="hybridMultilevel"/>
    <w:tmpl w:val="C5889B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04FA1112"/>
    <w:multiLevelType w:val="hybridMultilevel"/>
    <w:tmpl w:val="377AB82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055F37A4"/>
    <w:multiLevelType w:val="hybridMultilevel"/>
    <w:tmpl w:val="849E26F0"/>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05815FBC"/>
    <w:multiLevelType w:val="hybridMultilevel"/>
    <w:tmpl w:val="F86A9B5C"/>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058621DB"/>
    <w:multiLevelType w:val="hybridMultilevel"/>
    <w:tmpl w:val="FF0AB3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05DC6770"/>
    <w:multiLevelType w:val="hybridMultilevel"/>
    <w:tmpl w:val="03CAC0C6"/>
    <w:lvl w:ilvl="0" w:tplc="04090001">
      <w:start w:val="1"/>
      <w:numFmt w:val="bullet"/>
      <w:lvlText w:val=""/>
      <w:lvlJc w:val="left"/>
      <w:pPr>
        <w:ind w:left="576" w:hanging="216"/>
      </w:pPr>
      <w:rPr>
        <w:rFonts w:ascii="Symbol" w:hAnsi="Symbol" w:hint="default"/>
        <w:b w:val="0"/>
        <w:i w:val="0"/>
      </w:rPr>
    </w:lvl>
    <w:lvl w:ilvl="1" w:tplc="04090019" w:tentative="1">
      <w:start w:val="1"/>
      <w:numFmt w:val="lowerLetter"/>
      <w:lvlText w:val="%2."/>
      <w:lvlJc w:val="left"/>
      <w:pPr>
        <w:ind w:left="1296" w:hanging="360"/>
      </w:pPr>
    </w:lvl>
    <w:lvl w:ilvl="2" w:tplc="0409001B" w:tentative="1">
      <w:start w:val="1"/>
      <w:numFmt w:val="lowerRoman"/>
      <w:lvlText w:val="%3."/>
      <w:lvlJc w:val="right"/>
      <w:pPr>
        <w:ind w:left="2016" w:hanging="180"/>
      </w:pPr>
    </w:lvl>
    <w:lvl w:ilvl="3" w:tplc="0409000F" w:tentative="1">
      <w:start w:val="1"/>
      <w:numFmt w:val="decimal"/>
      <w:lvlText w:val="%4."/>
      <w:lvlJc w:val="left"/>
      <w:pPr>
        <w:ind w:left="2736" w:hanging="360"/>
      </w:pPr>
    </w:lvl>
    <w:lvl w:ilvl="4" w:tplc="04090019" w:tentative="1">
      <w:start w:val="1"/>
      <w:numFmt w:val="lowerLetter"/>
      <w:lvlText w:val="%5."/>
      <w:lvlJc w:val="left"/>
      <w:pPr>
        <w:ind w:left="3456" w:hanging="360"/>
      </w:pPr>
    </w:lvl>
    <w:lvl w:ilvl="5" w:tplc="0409001B" w:tentative="1">
      <w:start w:val="1"/>
      <w:numFmt w:val="lowerRoman"/>
      <w:lvlText w:val="%6."/>
      <w:lvlJc w:val="right"/>
      <w:pPr>
        <w:ind w:left="4176" w:hanging="180"/>
      </w:pPr>
    </w:lvl>
    <w:lvl w:ilvl="6" w:tplc="0409000F" w:tentative="1">
      <w:start w:val="1"/>
      <w:numFmt w:val="decimal"/>
      <w:lvlText w:val="%7."/>
      <w:lvlJc w:val="left"/>
      <w:pPr>
        <w:ind w:left="4896" w:hanging="360"/>
      </w:pPr>
    </w:lvl>
    <w:lvl w:ilvl="7" w:tplc="04090019" w:tentative="1">
      <w:start w:val="1"/>
      <w:numFmt w:val="lowerLetter"/>
      <w:lvlText w:val="%8."/>
      <w:lvlJc w:val="left"/>
      <w:pPr>
        <w:ind w:left="5616" w:hanging="360"/>
      </w:pPr>
    </w:lvl>
    <w:lvl w:ilvl="8" w:tplc="0409001B" w:tentative="1">
      <w:start w:val="1"/>
      <w:numFmt w:val="lowerRoman"/>
      <w:lvlText w:val="%9."/>
      <w:lvlJc w:val="right"/>
      <w:pPr>
        <w:ind w:left="6336" w:hanging="180"/>
      </w:pPr>
    </w:lvl>
  </w:abstractNum>
  <w:abstractNum w:abstractNumId="37" w15:restartNumberingAfterBreak="0">
    <w:nsid w:val="06285964"/>
    <w:multiLevelType w:val="hybridMultilevel"/>
    <w:tmpl w:val="3A1239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065E65D2"/>
    <w:multiLevelType w:val="hybridMultilevel"/>
    <w:tmpl w:val="FEFA40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15:restartNumberingAfterBreak="0">
    <w:nsid w:val="06812310"/>
    <w:multiLevelType w:val="hybridMultilevel"/>
    <w:tmpl w:val="CFF0A5C8"/>
    <w:lvl w:ilvl="0" w:tplc="18D4FCFA">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06A76409"/>
    <w:multiLevelType w:val="hybridMultilevel"/>
    <w:tmpl w:val="0A84CD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06E366D7"/>
    <w:multiLevelType w:val="hybridMultilevel"/>
    <w:tmpl w:val="9384CC48"/>
    <w:lvl w:ilvl="0" w:tplc="8B94154E">
      <w:start w:val="1"/>
      <w:numFmt w:val="decimal"/>
      <w:lvlText w:val="%1)"/>
      <w:lvlJc w:val="left"/>
      <w:pPr>
        <w:ind w:left="360" w:hanging="360"/>
      </w:pPr>
      <w:rPr>
        <w:b w:val="0"/>
        <w:bCs/>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FFA25D2">
      <w:start w:val="1"/>
      <w:numFmt w:val="decimal"/>
      <w:lvlText w:val="%5)"/>
      <w:lvlJc w:val="left"/>
      <w:pPr>
        <w:ind w:left="720" w:hanging="360"/>
      </w:pPr>
      <w:rPr>
        <w:rFonts w:cs="Times New Roman"/>
      </w:r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15:restartNumberingAfterBreak="0">
    <w:nsid w:val="06E65B66"/>
    <w:multiLevelType w:val="hybridMultilevel"/>
    <w:tmpl w:val="56A46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072E21EE"/>
    <w:multiLevelType w:val="hybridMultilevel"/>
    <w:tmpl w:val="142897BC"/>
    <w:lvl w:ilvl="0" w:tplc="945054C6">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4" w15:restartNumberingAfterBreak="0">
    <w:nsid w:val="078B7F83"/>
    <w:multiLevelType w:val="hybridMultilevel"/>
    <w:tmpl w:val="4D2C04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07F55FF4"/>
    <w:multiLevelType w:val="hybridMultilevel"/>
    <w:tmpl w:val="49A476E6"/>
    <w:lvl w:ilvl="0" w:tplc="E7009E74">
      <w:start w:val="1"/>
      <w:numFmt w:val="bullet"/>
      <w:lvlText w:val=""/>
      <w:lvlJc w:val="left"/>
      <w:pPr>
        <w:ind w:left="360" w:hanging="360"/>
      </w:pPr>
      <w:rPr>
        <w:rFonts w:ascii="Wingdings" w:hAnsi="Wingdings" w:hint="default"/>
        <w:b/>
        <w:sz w:val="20"/>
        <w:szCs w:val="2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15:restartNumberingAfterBreak="0">
    <w:nsid w:val="07FF6C2F"/>
    <w:multiLevelType w:val="multilevel"/>
    <w:tmpl w:val="0409001F"/>
    <w:styleLink w:val="111111"/>
    <w:lvl w:ilvl="0">
      <w:start w:val="19"/>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7" w15:restartNumberingAfterBreak="0">
    <w:nsid w:val="089C6701"/>
    <w:multiLevelType w:val="hybridMultilevel"/>
    <w:tmpl w:val="DCB6D6AA"/>
    <w:lvl w:ilvl="0" w:tplc="6B121730">
      <w:start w:val="1"/>
      <w:numFmt w:val="decimal"/>
      <w:lvlText w:val="%1."/>
      <w:lvlJc w:val="left"/>
      <w:pPr>
        <w:ind w:left="720" w:hanging="360"/>
      </w:pPr>
      <w:rPr>
        <w:rFonts w:cstheme="maj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08F960A8"/>
    <w:multiLevelType w:val="hybridMultilevel"/>
    <w:tmpl w:val="A74A2D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092045FF"/>
    <w:multiLevelType w:val="hybridMultilevel"/>
    <w:tmpl w:val="2B16730C"/>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0" w15:restartNumberingAfterBreak="0">
    <w:nsid w:val="0922180A"/>
    <w:multiLevelType w:val="hybridMultilevel"/>
    <w:tmpl w:val="C16AAA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09385615"/>
    <w:multiLevelType w:val="hybridMultilevel"/>
    <w:tmpl w:val="4EEC34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09547DEA"/>
    <w:multiLevelType w:val="hybridMultilevel"/>
    <w:tmpl w:val="C0CE3CD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3" w15:restartNumberingAfterBreak="0">
    <w:nsid w:val="099C671F"/>
    <w:multiLevelType w:val="singleLevel"/>
    <w:tmpl w:val="4DAE7CBE"/>
    <w:lvl w:ilvl="0">
      <w:start w:val="1"/>
      <w:numFmt w:val="decimal"/>
      <w:lvlText w:val="%1."/>
      <w:lvlJc w:val="left"/>
      <w:pPr>
        <w:tabs>
          <w:tab w:val="num" w:pos="720"/>
        </w:tabs>
        <w:ind w:left="720" w:hanging="360"/>
      </w:pPr>
      <w:rPr>
        <w:b/>
      </w:rPr>
    </w:lvl>
  </w:abstractNum>
  <w:abstractNum w:abstractNumId="54" w15:restartNumberingAfterBreak="0">
    <w:nsid w:val="099E2ACE"/>
    <w:multiLevelType w:val="hybridMultilevel"/>
    <w:tmpl w:val="BF56D46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5" w15:restartNumberingAfterBreak="0">
    <w:nsid w:val="09C75033"/>
    <w:multiLevelType w:val="singleLevel"/>
    <w:tmpl w:val="BE4CDE38"/>
    <w:lvl w:ilvl="0">
      <w:start w:val="1"/>
      <w:numFmt w:val="bullet"/>
      <w:lvlText w:val=""/>
      <w:lvlJc w:val="left"/>
      <w:pPr>
        <w:tabs>
          <w:tab w:val="num" w:pos="360"/>
        </w:tabs>
        <w:ind w:left="360" w:hanging="360"/>
      </w:pPr>
      <w:rPr>
        <w:rFonts w:ascii="Symbol" w:hAnsi="Symbol" w:hint="default"/>
      </w:rPr>
    </w:lvl>
  </w:abstractNum>
  <w:abstractNum w:abstractNumId="56" w15:restartNumberingAfterBreak="0">
    <w:nsid w:val="09CE53D9"/>
    <w:multiLevelType w:val="hybridMultilevel"/>
    <w:tmpl w:val="A7669B14"/>
    <w:lvl w:ilvl="0" w:tplc="F5EACEC4">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7" w15:restartNumberingAfterBreak="0">
    <w:nsid w:val="09D85B19"/>
    <w:multiLevelType w:val="hybridMultilevel"/>
    <w:tmpl w:val="5EA416B6"/>
    <w:lvl w:ilvl="0" w:tplc="04090011">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8" w15:restartNumberingAfterBreak="0">
    <w:nsid w:val="0A1B5B80"/>
    <w:multiLevelType w:val="hybridMultilevel"/>
    <w:tmpl w:val="F1A040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0A9C2C1C"/>
    <w:multiLevelType w:val="hybridMultilevel"/>
    <w:tmpl w:val="EAE85E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0AFF7E67"/>
    <w:multiLevelType w:val="hybridMultilevel"/>
    <w:tmpl w:val="182EE7EC"/>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1" w15:restartNumberingAfterBreak="0">
    <w:nsid w:val="0B0B61E7"/>
    <w:multiLevelType w:val="singleLevel"/>
    <w:tmpl w:val="E7A2C568"/>
    <w:lvl w:ilvl="0">
      <w:start w:val="1"/>
      <w:numFmt w:val="bullet"/>
      <w:lvlText w:val=""/>
      <w:lvlJc w:val="left"/>
      <w:pPr>
        <w:tabs>
          <w:tab w:val="num" w:pos="360"/>
        </w:tabs>
        <w:ind w:left="360" w:hanging="360"/>
      </w:pPr>
      <w:rPr>
        <w:rFonts w:ascii="Symbol" w:hAnsi="Symbol" w:hint="default"/>
      </w:rPr>
    </w:lvl>
  </w:abstractNum>
  <w:abstractNum w:abstractNumId="62" w15:restartNumberingAfterBreak="0">
    <w:nsid w:val="0B9D2E7B"/>
    <w:multiLevelType w:val="hybridMultilevel"/>
    <w:tmpl w:val="C576C0CA"/>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3" w15:restartNumberingAfterBreak="0">
    <w:nsid w:val="0C2A6A31"/>
    <w:multiLevelType w:val="hybridMultilevel"/>
    <w:tmpl w:val="3196AA5C"/>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4" w15:restartNumberingAfterBreak="0">
    <w:nsid w:val="0D024647"/>
    <w:multiLevelType w:val="hybridMultilevel"/>
    <w:tmpl w:val="9E742F0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0D0E1672"/>
    <w:multiLevelType w:val="hybridMultilevel"/>
    <w:tmpl w:val="9156FC5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0D4F54F1"/>
    <w:multiLevelType w:val="hybridMultilevel"/>
    <w:tmpl w:val="D728D7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0DAB1172"/>
    <w:multiLevelType w:val="hybridMultilevel"/>
    <w:tmpl w:val="CCA8C0B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8" w15:restartNumberingAfterBreak="0">
    <w:nsid w:val="0DD8518D"/>
    <w:multiLevelType w:val="hybridMultilevel"/>
    <w:tmpl w:val="C54ECBC8"/>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9" w15:restartNumberingAfterBreak="0">
    <w:nsid w:val="0DEA08C6"/>
    <w:multiLevelType w:val="hybridMultilevel"/>
    <w:tmpl w:val="9DFEA7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0EBA208F"/>
    <w:multiLevelType w:val="hybridMultilevel"/>
    <w:tmpl w:val="8FB0CF2C"/>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1" w15:restartNumberingAfterBreak="0">
    <w:nsid w:val="0EBE3F50"/>
    <w:multiLevelType w:val="hybridMultilevel"/>
    <w:tmpl w:val="2DDCC08A"/>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2" w15:restartNumberingAfterBreak="0">
    <w:nsid w:val="0EC958E0"/>
    <w:multiLevelType w:val="hybridMultilevel"/>
    <w:tmpl w:val="8A069848"/>
    <w:lvl w:ilvl="0" w:tplc="25A80572">
      <w:start w:val="1"/>
      <w:numFmt w:val="decimal"/>
      <w:lvlText w:val="%1."/>
      <w:lvlJc w:val="left"/>
      <w:pPr>
        <w:ind w:left="36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0F985F60"/>
    <w:multiLevelType w:val="hybridMultilevel"/>
    <w:tmpl w:val="5E4AC05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4" w15:restartNumberingAfterBreak="0">
    <w:nsid w:val="0FC361B4"/>
    <w:multiLevelType w:val="hybridMultilevel"/>
    <w:tmpl w:val="DD0EE15C"/>
    <w:lvl w:ilvl="0" w:tplc="6E1A5FEE">
      <w:start w:val="1"/>
      <w:numFmt w:val="decimal"/>
      <w:lvlText w:val="%1)"/>
      <w:lvlJc w:val="left"/>
      <w:pPr>
        <w:ind w:left="360" w:hanging="360"/>
      </w:pPr>
      <w:rPr>
        <w:rFonts w:hint="default"/>
        <w:i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5" w15:restartNumberingAfterBreak="0">
    <w:nsid w:val="0FE043AE"/>
    <w:multiLevelType w:val="hybridMultilevel"/>
    <w:tmpl w:val="FA0657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0FF71C6E"/>
    <w:multiLevelType w:val="multilevel"/>
    <w:tmpl w:val="9AF8AE82"/>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77" w15:restartNumberingAfterBreak="0">
    <w:nsid w:val="10221208"/>
    <w:multiLevelType w:val="hybridMultilevel"/>
    <w:tmpl w:val="DE32C162"/>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8" w15:restartNumberingAfterBreak="0">
    <w:nsid w:val="1053720E"/>
    <w:multiLevelType w:val="hybridMultilevel"/>
    <w:tmpl w:val="C5700E68"/>
    <w:lvl w:ilvl="0" w:tplc="04090003">
      <w:start w:val="1"/>
      <w:numFmt w:val="bullet"/>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9" w15:restartNumberingAfterBreak="0">
    <w:nsid w:val="105B1840"/>
    <w:multiLevelType w:val="hybridMultilevel"/>
    <w:tmpl w:val="F3C43A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10EE21A3"/>
    <w:multiLevelType w:val="hybridMultilevel"/>
    <w:tmpl w:val="9B6CF0AC"/>
    <w:lvl w:ilvl="0" w:tplc="FFFFFFFF">
      <w:start w:val="1"/>
      <w:numFmt w:val="decimal"/>
      <w:lvlText w:val="%1."/>
      <w:lvlJc w:val="left"/>
      <w:pPr>
        <w:ind w:left="720" w:hanging="360"/>
      </w:pPr>
      <w:rPr>
        <w:b/>
        <w:bCs w:val="0"/>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1" w15:restartNumberingAfterBreak="0">
    <w:nsid w:val="10F941FA"/>
    <w:multiLevelType w:val="hybridMultilevel"/>
    <w:tmpl w:val="DE96B9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1116308E"/>
    <w:multiLevelType w:val="hybridMultilevel"/>
    <w:tmpl w:val="0AE2CC3C"/>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3" w15:restartNumberingAfterBreak="0">
    <w:nsid w:val="113D7AC1"/>
    <w:multiLevelType w:val="hybridMultilevel"/>
    <w:tmpl w:val="0FD4780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4" w15:restartNumberingAfterBreak="0">
    <w:nsid w:val="11437A5D"/>
    <w:multiLevelType w:val="hybridMultilevel"/>
    <w:tmpl w:val="41EC526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5" w15:restartNumberingAfterBreak="0">
    <w:nsid w:val="11AD463C"/>
    <w:multiLevelType w:val="hybridMultilevel"/>
    <w:tmpl w:val="761EF676"/>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6" w15:restartNumberingAfterBreak="0">
    <w:nsid w:val="12B2738C"/>
    <w:multiLevelType w:val="hybridMultilevel"/>
    <w:tmpl w:val="2E9EB76A"/>
    <w:lvl w:ilvl="0" w:tplc="14EE4D1A">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7" w15:restartNumberingAfterBreak="0">
    <w:nsid w:val="12E935B9"/>
    <w:multiLevelType w:val="hybridMultilevel"/>
    <w:tmpl w:val="4EFC9A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13FA22F1"/>
    <w:multiLevelType w:val="hybridMultilevel"/>
    <w:tmpl w:val="764480FE"/>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9" w15:restartNumberingAfterBreak="0">
    <w:nsid w:val="15133D84"/>
    <w:multiLevelType w:val="hybridMultilevel"/>
    <w:tmpl w:val="44D28850"/>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0" w15:restartNumberingAfterBreak="0">
    <w:nsid w:val="154E0F96"/>
    <w:multiLevelType w:val="hybridMultilevel"/>
    <w:tmpl w:val="4830CD40"/>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1" w15:restartNumberingAfterBreak="0">
    <w:nsid w:val="15593BA5"/>
    <w:multiLevelType w:val="multilevel"/>
    <w:tmpl w:val="7096CDD6"/>
    <w:lvl w:ilvl="0">
      <w:start w:val="1"/>
      <w:numFmt w:val="decimal"/>
      <w:lvlText w:val="%1."/>
      <w:lvlJc w:val="left"/>
      <w:pPr>
        <w:ind w:left="720" w:hanging="360"/>
      </w:pPr>
      <w:rPr>
        <w:sz w:val="20"/>
        <w:szCs w:val="2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2" w15:restartNumberingAfterBreak="0">
    <w:nsid w:val="15AE5E9F"/>
    <w:multiLevelType w:val="hybridMultilevel"/>
    <w:tmpl w:val="934E7D26"/>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3" w15:restartNumberingAfterBreak="0">
    <w:nsid w:val="15F4663F"/>
    <w:multiLevelType w:val="hybridMultilevel"/>
    <w:tmpl w:val="2DEC3294"/>
    <w:lvl w:ilvl="0" w:tplc="67800A46">
      <w:start w:val="1"/>
      <w:numFmt w:val="bullet"/>
      <w:lvlText w:val=""/>
      <w:lvlJc w:val="left"/>
      <w:pPr>
        <w:ind w:left="360" w:hanging="360"/>
      </w:pPr>
      <w:rPr>
        <w:rFonts w:ascii="Wingdings" w:hAnsi="Wingdings" w:hint="default"/>
        <w:b/>
        <w:sz w:val="24"/>
        <w:szCs w:val="24"/>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4" w15:restartNumberingAfterBreak="0">
    <w:nsid w:val="1604405D"/>
    <w:multiLevelType w:val="hybridMultilevel"/>
    <w:tmpl w:val="EAC4F698"/>
    <w:lvl w:ilvl="0" w:tplc="CEA408CE">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5" w15:restartNumberingAfterBreak="0">
    <w:nsid w:val="160B5FF0"/>
    <w:multiLevelType w:val="multilevel"/>
    <w:tmpl w:val="D9E6D43A"/>
    <w:styleLink w:val="CurrentList1"/>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6" w15:restartNumberingAfterBreak="0">
    <w:nsid w:val="164E6DDE"/>
    <w:multiLevelType w:val="hybridMultilevel"/>
    <w:tmpl w:val="3CE480E0"/>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7" w15:restartNumberingAfterBreak="0">
    <w:nsid w:val="165E4CAD"/>
    <w:multiLevelType w:val="hybridMultilevel"/>
    <w:tmpl w:val="95CA05CA"/>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8" w15:restartNumberingAfterBreak="0">
    <w:nsid w:val="1692272F"/>
    <w:multiLevelType w:val="hybridMultilevel"/>
    <w:tmpl w:val="F9609538"/>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9" w15:restartNumberingAfterBreak="0">
    <w:nsid w:val="174602B3"/>
    <w:multiLevelType w:val="singleLevel"/>
    <w:tmpl w:val="ED709566"/>
    <w:lvl w:ilvl="0">
      <w:start w:val="1"/>
      <w:numFmt w:val="decimal"/>
      <w:lvlText w:val="%1)"/>
      <w:lvlJc w:val="left"/>
      <w:pPr>
        <w:ind w:left="360" w:hanging="360"/>
      </w:pPr>
      <w:rPr>
        <w:rFonts w:cs="Times New Roman" w:hint="default"/>
        <w:i w:val="0"/>
        <w:color w:val="auto"/>
      </w:rPr>
    </w:lvl>
  </w:abstractNum>
  <w:abstractNum w:abstractNumId="100" w15:restartNumberingAfterBreak="0">
    <w:nsid w:val="179559E2"/>
    <w:multiLevelType w:val="hybridMultilevel"/>
    <w:tmpl w:val="40B012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181627FA"/>
    <w:multiLevelType w:val="hybridMultilevel"/>
    <w:tmpl w:val="BC28BB82"/>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2" w15:restartNumberingAfterBreak="0">
    <w:nsid w:val="1821537C"/>
    <w:multiLevelType w:val="hybridMultilevel"/>
    <w:tmpl w:val="51407706"/>
    <w:lvl w:ilvl="0" w:tplc="9FE487D0">
      <w:start w:val="1"/>
      <w:numFmt w:val="bullet"/>
      <w:lvlText w:val=""/>
      <w:lvlJc w:val="left"/>
      <w:pPr>
        <w:ind w:left="360" w:hanging="360"/>
      </w:pPr>
      <w:rPr>
        <w:rFonts w:ascii="Symbol" w:hAnsi="Symbol" w:hint="default"/>
      </w:rPr>
    </w:lvl>
    <w:lvl w:ilvl="1" w:tplc="FFFFFFFF">
      <w:start w:val="1"/>
      <w:numFmt w:val="bullet"/>
      <w:lvlText w:val=""/>
      <w:lvlJc w:val="left"/>
      <w:pPr>
        <w:ind w:left="1080"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3" w15:restartNumberingAfterBreak="0">
    <w:nsid w:val="187D24E4"/>
    <w:multiLevelType w:val="hybridMultilevel"/>
    <w:tmpl w:val="E810323E"/>
    <w:lvl w:ilvl="0" w:tplc="645CBB98">
      <w:start w:val="3"/>
      <w:numFmt w:val="decimal"/>
      <w:lvlText w:val="%1)"/>
      <w:lvlJc w:val="left"/>
      <w:pPr>
        <w:ind w:left="36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15:restartNumberingAfterBreak="0">
    <w:nsid w:val="18AA6657"/>
    <w:multiLevelType w:val="hybridMultilevel"/>
    <w:tmpl w:val="C9741A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15:restartNumberingAfterBreak="0">
    <w:nsid w:val="18C276D5"/>
    <w:multiLevelType w:val="multilevel"/>
    <w:tmpl w:val="0A022C64"/>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06" w15:restartNumberingAfterBreak="0">
    <w:nsid w:val="18E23C49"/>
    <w:multiLevelType w:val="hybridMultilevel"/>
    <w:tmpl w:val="F0F8E062"/>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7" w15:restartNumberingAfterBreak="0">
    <w:nsid w:val="1900402B"/>
    <w:multiLevelType w:val="hybridMultilevel"/>
    <w:tmpl w:val="D82455CE"/>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8" w15:restartNumberingAfterBreak="0">
    <w:nsid w:val="199A6DF8"/>
    <w:multiLevelType w:val="hybridMultilevel"/>
    <w:tmpl w:val="F98639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15:restartNumberingAfterBreak="0">
    <w:nsid w:val="1A027D1F"/>
    <w:multiLevelType w:val="hybridMultilevel"/>
    <w:tmpl w:val="214A7C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15:restartNumberingAfterBreak="0">
    <w:nsid w:val="1A0E4C48"/>
    <w:multiLevelType w:val="hybridMultilevel"/>
    <w:tmpl w:val="465E0632"/>
    <w:lvl w:ilvl="0" w:tplc="E7CC06AC">
      <w:start w:val="1"/>
      <w:numFmt w:val="bullet"/>
      <w:lvlText w:val=""/>
      <w:lvlJc w:val="left"/>
      <w:pPr>
        <w:ind w:left="720" w:hanging="360"/>
      </w:pPr>
      <w:rPr>
        <w:rFonts w:ascii="Symbol" w:hAnsi="Symbol"/>
      </w:rPr>
    </w:lvl>
    <w:lvl w:ilvl="1" w:tplc="45DEDAD6">
      <w:start w:val="1"/>
      <w:numFmt w:val="bullet"/>
      <w:lvlText w:val=""/>
      <w:lvlJc w:val="left"/>
      <w:pPr>
        <w:ind w:left="720" w:hanging="360"/>
      </w:pPr>
      <w:rPr>
        <w:rFonts w:ascii="Symbol" w:hAnsi="Symbol"/>
      </w:rPr>
    </w:lvl>
    <w:lvl w:ilvl="2" w:tplc="F90A811A">
      <w:start w:val="1"/>
      <w:numFmt w:val="bullet"/>
      <w:lvlText w:val=""/>
      <w:lvlJc w:val="left"/>
      <w:pPr>
        <w:ind w:left="720" w:hanging="360"/>
      </w:pPr>
      <w:rPr>
        <w:rFonts w:ascii="Symbol" w:hAnsi="Symbol"/>
      </w:rPr>
    </w:lvl>
    <w:lvl w:ilvl="3" w:tplc="6AE20296">
      <w:start w:val="1"/>
      <w:numFmt w:val="bullet"/>
      <w:lvlText w:val=""/>
      <w:lvlJc w:val="left"/>
      <w:pPr>
        <w:ind w:left="720" w:hanging="360"/>
      </w:pPr>
      <w:rPr>
        <w:rFonts w:ascii="Symbol" w:hAnsi="Symbol"/>
      </w:rPr>
    </w:lvl>
    <w:lvl w:ilvl="4" w:tplc="B6046516">
      <w:start w:val="1"/>
      <w:numFmt w:val="bullet"/>
      <w:lvlText w:val=""/>
      <w:lvlJc w:val="left"/>
      <w:pPr>
        <w:ind w:left="720" w:hanging="360"/>
      </w:pPr>
      <w:rPr>
        <w:rFonts w:ascii="Symbol" w:hAnsi="Symbol"/>
      </w:rPr>
    </w:lvl>
    <w:lvl w:ilvl="5" w:tplc="661E088A">
      <w:start w:val="1"/>
      <w:numFmt w:val="bullet"/>
      <w:lvlText w:val=""/>
      <w:lvlJc w:val="left"/>
      <w:pPr>
        <w:ind w:left="720" w:hanging="360"/>
      </w:pPr>
      <w:rPr>
        <w:rFonts w:ascii="Symbol" w:hAnsi="Symbol"/>
      </w:rPr>
    </w:lvl>
    <w:lvl w:ilvl="6" w:tplc="01CA0480">
      <w:start w:val="1"/>
      <w:numFmt w:val="bullet"/>
      <w:lvlText w:val=""/>
      <w:lvlJc w:val="left"/>
      <w:pPr>
        <w:ind w:left="720" w:hanging="360"/>
      </w:pPr>
      <w:rPr>
        <w:rFonts w:ascii="Symbol" w:hAnsi="Symbol"/>
      </w:rPr>
    </w:lvl>
    <w:lvl w:ilvl="7" w:tplc="15F4B28A">
      <w:start w:val="1"/>
      <w:numFmt w:val="bullet"/>
      <w:lvlText w:val=""/>
      <w:lvlJc w:val="left"/>
      <w:pPr>
        <w:ind w:left="720" w:hanging="360"/>
      </w:pPr>
      <w:rPr>
        <w:rFonts w:ascii="Symbol" w:hAnsi="Symbol"/>
      </w:rPr>
    </w:lvl>
    <w:lvl w:ilvl="8" w:tplc="F67A5432">
      <w:start w:val="1"/>
      <w:numFmt w:val="bullet"/>
      <w:lvlText w:val=""/>
      <w:lvlJc w:val="left"/>
      <w:pPr>
        <w:ind w:left="720" w:hanging="360"/>
      </w:pPr>
      <w:rPr>
        <w:rFonts w:ascii="Symbol" w:hAnsi="Symbol"/>
      </w:rPr>
    </w:lvl>
  </w:abstractNum>
  <w:abstractNum w:abstractNumId="111" w15:restartNumberingAfterBreak="0">
    <w:nsid w:val="1A7B1296"/>
    <w:multiLevelType w:val="hybridMultilevel"/>
    <w:tmpl w:val="90EC5304"/>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2" w15:restartNumberingAfterBreak="0">
    <w:nsid w:val="1AB65D4D"/>
    <w:multiLevelType w:val="hybridMultilevel"/>
    <w:tmpl w:val="CCB863A4"/>
    <w:lvl w:ilvl="0" w:tplc="04090001">
      <w:start w:val="1"/>
      <w:numFmt w:val="bullet"/>
      <w:lvlText w:val=""/>
      <w:lvlJc w:val="left"/>
      <w:pPr>
        <w:ind w:left="720" w:hanging="360"/>
      </w:pPr>
      <w:rPr>
        <w:rFonts w:ascii="Symbol" w:hAnsi="Symbol" w:hint="default"/>
        <w:b/>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3" w15:restartNumberingAfterBreak="0">
    <w:nsid w:val="1ABC53E4"/>
    <w:multiLevelType w:val="hybridMultilevel"/>
    <w:tmpl w:val="EDAED6A4"/>
    <w:lvl w:ilvl="0" w:tplc="04090001">
      <w:start w:val="1"/>
      <w:numFmt w:val="bullet"/>
      <w:lvlText w:val=""/>
      <w:lvlJc w:val="left"/>
      <w:pPr>
        <w:tabs>
          <w:tab w:val="num" w:pos="1080"/>
        </w:tabs>
        <w:ind w:left="108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4" w15:restartNumberingAfterBreak="0">
    <w:nsid w:val="1AEC1389"/>
    <w:multiLevelType w:val="hybridMultilevel"/>
    <w:tmpl w:val="5B0C31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5" w15:restartNumberingAfterBreak="0">
    <w:nsid w:val="1B203F56"/>
    <w:multiLevelType w:val="hybridMultilevel"/>
    <w:tmpl w:val="984288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1B2164FA"/>
    <w:multiLevelType w:val="hybridMultilevel"/>
    <w:tmpl w:val="16FE71D8"/>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7" w15:restartNumberingAfterBreak="0">
    <w:nsid w:val="1B2E7112"/>
    <w:multiLevelType w:val="hybridMultilevel"/>
    <w:tmpl w:val="22A69F14"/>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8" w15:restartNumberingAfterBreak="0">
    <w:nsid w:val="1B762C68"/>
    <w:multiLevelType w:val="hybridMultilevel"/>
    <w:tmpl w:val="AE381ADE"/>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9" w15:restartNumberingAfterBreak="0">
    <w:nsid w:val="1BA54E32"/>
    <w:multiLevelType w:val="hybridMultilevel"/>
    <w:tmpl w:val="1A660C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0" w15:restartNumberingAfterBreak="0">
    <w:nsid w:val="1BE54C18"/>
    <w:multiLevelType w:val="hybridMultilevel"/>
    <w:tmpl w:val="C7FC8104"/>
    <w:lvl w:ilvl="0" w:tplc="ED709566">
      <w:start w:val="1"/>
      <w:numFmt w:val="decimal"/>
      <w:lvlText w:val="%1)"/>
      <w:lvlJc w:val="left"/>
      <w:pPr>
        <w:tabs>
          <w:tab w:val="num" w:pos="360"/>
        </w:tabs>
        <w:ind w:left="360" w:hanging="360"/>
      </w:pPr>
      <w:rPr>
        <w:rFonts w:cs="Times New Roman" w:hint="default"/>
        <w:color w:val="auto"/>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21" w15:restartNumberingAfterBreak="0">
    <w:nsid w:val="1BE54CE7"/>
    <w:multiLevelType w:val="hybridMultilevel"/>
    <w:tmpl w:val="EC74D22E"/>
    <w:lvl w:ilvl="0" w:tplc="125A7948">
      <w:start w:val="1"/>
      <w:numFmt w:val="decimal"/>
      <w:lvlText w:val="%1."/>
      <w:lvlJc w:val="left"/>
      <w:pPr>
        <w:tabs>
          <w:tab w:val="num" w:pos="720"/>
        </w:tabs>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2" w15:restartNumberingAfterBreak="0">
    <w:nsid w:val="1BEE3376"/>
    <w:multiLevelType w:val="hybridMultilevel"/>
    <w:tmpl w:val="FDB6CB78"/>
    <w:lvl w:ilvl="0" w:tplc="FFFFFFFF">
      <w:start w:val="1"/>
      <w:numFmt w:val="decimal"/>
      <w:lvlText w:val="%1."/>
      <w:lvlJc w:val="left"/>
      <w:pPr>
        <w:ind w:left="360" w:hanging="360"/>
      </w:pPr>
      <w:rPr>
        <w:b/>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3" w15:restartNumberingAfterBreak="0">
    <w:nsid w:val="1C0653AB"/>
    <w:multiLevelType w:val="hybridMultilevel"/>
    <w:tmpl w:val="92F65CB4"/>
    <w:lvl w:ilvl="0" w:tplc="3084AE0C">
      <w:start w:val="1"/>
      <w:numFmt w:val="decimal"/>
      <w:lvlText w:val="%1)"/>
      <w:lvlJc w:val="left"/>
      <w:pPr>
        <w:ind w:left="360" w:hanging="360"/>
      </w:pPr>
      <w:rPr>
        <w:rFonts w:ascii="Helvetica" w:hAnsi="Helvetica" w:cs="Helvetica"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4" w15:restartNumberingAfterBreak="0">
    <w:nsid w:val="1C8D7258"/>
    <w:multiLevelType w:val="hybridMultilevel"/>
    <w:tmpl w:val="EDB24B2E"/>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5" w15:restartNumberingAfterBreak="0">
    <w:nsid w:val="1CAB79F1"/>
    <w:multiLevelType w:val="hybridMultilevel"/>
    <w:tmpl w:val="AC5A98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6" w15:restartNumberingAfterBreak="0">
    <w:nsid w:val="1CB20A3D"/>
    <w:multiLevelType w:val="hybridMultilevel"/>
    <w:tmpl w:val="EAE63E9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7" w15:restartNumberingAfterBreak="0">
    <w:nsid w:val="1CE7747D"/>
    <w:multiLevelType w:val="hybridMultilevel"/>
    <w:tmpl w:val="3E908FD8"/>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8" w15:restartNumberingAfterBreak="0">
    <w:nsid w:val="1D09296B"/>
    <w:multiLevelType w:val="hybridMultilevel"/>
    <w:tmpl w:val="4BFC88B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9" w15:restartNumberingAfterBreak="0">
    <w:nsid w:val="1D115714"/>
    <w:multiLevelType w:val="hybridMultilevel"/>
    <w:tmpl w:val="D5BC1F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0" w15:restartNumberingAfterBreak="0">
    <w:nsid w:val="1D1A25D2"/>
    <w:multiLevelType w:val="hybridMultilevel"/>
    <w:tmpl w:val="DCB6D6AA"/>
    <w:lvl w:ilvl="0" w:tplc="FFFFFFFF">
      <w:start w:val="1"/>
      <w:numFmt w:val="decimal"/>
      <w:lvlText w:val="%1."/>
      <w:lvlJc w:val="left"/>
      <w:pPr>
        <w:ind w:left="720" w:hanging="360"/>
      </w:pPr>
      <w:rPr>
        <w:rFonts w:cstheme="majorBid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1" w15:restartNumberingAfterBreak="0">
    <w:nsid w:val="1D7002FA"/>
    <w:multiLevelType w:val="singleLevel"/>
    <w:tmpl w:val="ED709566"/>
    <w:lvl w:ilvl="0">
      <w:start w:val="1"/>
      <w:numFmt w:val="decimal"/>
      <w:lvlText w:val="%1)"/>
      <w:lvlJc w:val="left"/>
      <w:pPr>
        <w:ind w:left="360" w:hanging="360"/>
      </w:pPr>
      <w:rPr>
        <w:rFonts w:cs="Times New Roman" w:hint="default"/>
        <w:i w:val="0"/>
        <w:color w:val="auto"/>
      </w:rPr>
    </w:lvl>
  </w:abstractNum>
  <w:abstractNum w:abstractNumId="132" w15:restartNumberingAfterBreak="0">
    <w:nsid w:val="1E072012"/>
    <w:multiLevelType w:val="hybridMultilevel"/>
    <w:tmpl w:val="E28A6B4C"/>
    <w:lvl w:ilvl="0" w:tplc="0409000F">
      <w:start w:val="1"/>
      <w:numFmt w:val="decimal"/>
      <w:lvlText w:val="%1."/>
      <w:lvlJc w:val="left"/>
      <w:pPr>
        <w:ind w:left="360" w:hanging="360"/>
      </w:pPr>
      <w:rPr>
        <w:rFonts w:hint="default"/>
        <w:b/>
        <w:i w:val="0"/>
        <w:sz w:val="20"/>
        <w:szCs w:val="2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3" w15:restartNumberingAfterBreak="0">
    <w:nsid w:val="1E111774"/>
    <w:multiLevelType w:val="hybridMultilevel"/>
    <w:tmpl w:val="6F24341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4" w15:restartNumberingAfterBreak="0">
    <w:nsid w:val="1E4E4781"/>
    <w:multiLevelType w:val="hybridMultilevel"/>
    <w:tmpl w:val="132265D6"/>
    <w:lvl w:ilvl="0" w:tplc="04090001">
      <w:start w:val="1"/>
      <w:numFmt w:val="bullet"/>
      <w:lvlText w:val=""/>
      <w:lvlJc w:val="left"/>
      <w:pPr>
        <w:tabs>
          <w:tab w:val="num" w:pos="720"/>
        </w:tabs>
        <w:ind w:left="720" w:hanging="360"/>
      </w:pPr>
      <w:rPr>
        <w:rFonts w:ascii="Symbol" w:hAnsi="Symbol" w:hint="default"/>
        <w:color w:val="auto"/>
      </w:rPr>
    </w:lvl>
    <w:lvl w:ilvl="1" w:tplc="04090001">
      <w:start w:val="1"/>
      <w:numFmt w:val="bullet"/>
      <w:lvlText w:val=""/>
      <w:lvlJc w:val="left"/>
      <w:pPr>
        <w:tabs>
          <w:tab w:val="num" w:pos="1800"/>
        </w:tabs>
        <w:ind w:left="1800" w:hanging="360"/>
      </w:pPr>
      <w:rPr>
        <w:rFonts w:ascii="Symbol" w:hAnsi="Symbol" w:hint="default"/>
      </w:rPr>
    </w:lvl>
    <w:lvl w:ilvl="2" w:tplc="E89C5D3A">
      <w:numFmt w:val="decimal"/>
      <w:lvlText w:val="%3)"/>
      <w:lvlJc w:val="left"/>
      <w:pPr>
        <w:tabs>
          <w:tab w:val="num" w:pos="2700"/>
        </w:tabs>
        <w:ind w:left="2700" w:hanging="360"/>
      </w:pPr>
      <w:rPr>
        <w:rFonts w:cs="Times New Roman" w:hint="default"/>
      </w:rPr>
    </w:lvl>
    <w:lvl w:ilvl="3" w:tplc="34C0F1BA">
      <w:start w:val="1"/>
      <w:numFmt w:val="decimal"/>
      <w:lvlText w:val="%4."/>
      <w:lvlJc w:val="left"/>
      <w:pPr>
        <w:ind w:left="0" w:firstLine="0"/>
      </w:pPr>
      <w:rPr>
        <w:rFonts w:hint="default"/>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35" w15:restartNumberingAfterBreak="0">
    <w:nsid w:val="1E683AE9"/>
    <w:multiLevelType w:val="hybridMultilevel"/>
    <w:tmpl w:val="6F24341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6" w15:restartNumberingAfterBreak="0">
    <w:nsid w:val="1EE167D2"/>
    <w:multiLevelType w:val="hybridMultilevel"/>
    <w:tmpl w:val="6E52B0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7" w15:restartNumberingAfterBreak="0">
    <w:nsid w:val="1F646C56"/>
    <w:multiLevelType w:val="hybridMultilevel"/>
    <w:tmpl w:val="1CBCB6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8" w15:restartNumberingAfterBreak="0">
    <w:nsid w:val="1F7877F8"/>
    <w:multiLevelType w:val="hybridMultilevel"/>
    <w:tmpl w:val="72CC595A"/>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9" w15:restartNumberingAfterBreak="0">
    <w:nsid w:val="1FEA0A92"/>
    <w:multiLevelType w:val="hybridMultilevel"/>
    <w:tmpl w:val="7C903E5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0" w15:restartNumberingAfterBreak="0">
    <w:nsid w:val="210C7046"/>
    <w:multiLevelType w:val="hybridMultilevel"/>
    <w:tmpl w:val="D5DCE2A6"/>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1" w15:restartNumberingAfterBreak="0">
    <w:nsid w:val="211E456D"/>
    <w:multiLevelType w:val="hybridMultilevel"/>
    <w:tmpl w:val="38AEF60E"/>
    <w:lvl w:ilvl="0" w:tplc="0200F684">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2" w15:restartNumberingAfterBreak="0">
    <w:nsid w:val="21515E0A"/>
    <w:multiLevelType w:val="hybridMultilevel"/>
    <w:tmpl w:val="44CEF0CE"/>
    <w:lvl w:ilvl="0" w:tplc="04090003">
      <w:start w:val="1"/>
      <w:numFmt w:val="bullet"/>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3" w15:restartNumberingAfterBreak="0">
    <w:nsid w:val="21811895"/>
    <w:multiLevelType w:val="hybridMultilevel"/>
    <w:tmpl w:val="82B6DF24"/>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4" w15:restartNumberingAfterBreak="0">
    <w:nsid w:val="21947604"/>
    <w:multiLevelType w:val="hybridMultilevel"/>
    <w:tmpl w:val="783ABD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5" w15:restartNumberingAfterBreak="0">
    <w:nsid w:val="21D3582D"/>
    <w:multiLevelType w:val="hybridMultilevel"/>
    <w:tmpl w:val="FC284D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6" w15:restartNumberingAfterBreak="0">
    <w:nsid w:val="21F02684"/>
    <w:multiLevelType w:val="hybridMultilevel"/>
    <w:tmpl w:val="E1CCCD90"/>
    <w:lvl w:ilvl="0" w:tplc="BD027392">
      <w:start w:val="1"/>
      <w:numFmt w:val="decimal"/>
      <w:lvlText w:val="%1."/>
      <w:lvlJc w:val="left"/>
      <w:pPr>
        <w:ind w:left="360" w:hanging="360"/>
      </w:pPr>
      <w:rPr>
        <w:rFonts w:ascii="Arial" w:eastAsia="Times New Roman" w:hAnsi="Arial" w:cs="Times New Roman"/>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7" w15:restartNumberingAfterBreak="0">
    <w:nsid w:val="22166898"/>
    <w:multiLevelType w:val="hybridMultilevel"/>
    <w:tmpl w:val="C002C8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8" w15:restartNumberingAfterBreak="0">
    <w:nsid w:val="22B2433B"/>
    <w:multiLevelType w:val="hybridMultilevel"/>
    <w:tmpl w:val="FE1877A4"/>
    <w:lvl w:ilvl="0" w:tplc="A0E03720">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9" w15:restartNumberingAfterBreak="0">
    <w:nsid w:val="2380128C"/>
    <w:multiLevelType w:val="hybridMultilevel"/>
    <w:tmpl w:val="E2AA1CAC"/>
    <w:lvl w:ilvl="0" w:tplc="55B8DAA4">
      <w:start w:val="1"/>
      <w:numFmt w:val="decimal"/>
      <w:lvlText w:val="%1."/>
      <w:lvlJc w:val="left"/>
      <w:pPr>
        <w:ind w:left="720" w:hanging="360"/>
      </w:pPr>
      <w:rPr>
        <w:rFonts w:ascii="Arial" w:hAnsi="Arial" w:cs="Arial"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0" w15:restartNumberingAfterBreak="0">
    <w:nsid w:val="23826598"/>
    <w:multiLevelType w:val="hybridMultilevel"/>
    <w:tmpl w:val="743821C2"/>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1" w15:restartNumberingAfterBreak="0">
    <w:nsid w:val="23DF5E97"/>
    <w:multiLevelType w:val="hybridMultilevel"/>
    <w:tmpl w:val="FE581B90"/>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2" w15:restartNumberingAfterBreak="0">
    <w:nsid w:val="24200FA6"/>
    <w:multiLevelType w:val="hybridMultilevel"/>
    <w:tmpl w:val="FF841ABA"/>
    <w:lvl w:ilvl="0" w:tplc="84A8BEF2">
      <w:start w:val="7"/>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3" w15:restartNumberingAfterBreak="0">
    <w:nsid w:val="24307F9C"/>
    <w:multiLevelType w:val="hybridMultilevel"/>
    <w:tmpl w:val="260E5E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4" w15:restartNumberingAfterBreak="0">
    <w:nsid w:val="24626B7A"/>
    <w:multiLevelType w:val="hybridMultilevel"/>
    <w:tmpl w:val="DA72D3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5" w15:restartNumberingAfterBreak="0">
    <w:nsid w:val="24947070"/>
    <w:multiLevelType w:val="hybridMultilevel"/>
    <w:tmpl w:val="A984D72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6" w15:restartNumberingAfterBreak="0">
    <w:nsid w:val="24F51645"/>
    <w:multiLevelType w:val="hybridMultilevel"/>
    <w:tmpl w:val="2AF45CE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57" w15:restartNumberingAfterBreak="0">
    <w:nsid w:val="24FB769B"/>
    <w:multiLevelType w:val="hybridMultilevel"/>
    <w:tmpl w:val="E7BEE4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8" w15:restartNumberingAfterBreak="0">
    <w:nsid w:val="25394444"/>
    <w:multiLevelType w:val="multilevel"/>
    <w:tmpl w:val="1A42DAA4"/>
    <w:lvl w:ilvl="0">
      <w:start w:val="1"/>
      <w:numFmt w:val="decimal"/>
      <w:lvlText w:val="%1."/>
      <w:lvlJc w:val="left"/>
      <w:pPr>
        <w:ind w:left="720" w:hanging="360"/>
      </w:pPr>
      <w:rPr>
        <w:sz w:val="20"/>
        <w:szCs w:val="2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9" w15:restartNumberingAfterBreak="0">
    <w:nsid w:val="26000D61"/>
    <w:multiLevelType w:val="hybridMultilevel"/>
    <w:tmpl w:val="87C661CA"/>
    <w:lvl w:ilvl="0" w:tplc="133E76AC">
      <w:start w:val="1"/>
      <w:numFmt w:val="decimal"/>
      <w:lvlText w:val="%1."/>
      <w:lvlJc w:val="left"/>
      <w:pPr>
        <w:ind w:left="720" w:hanging="360"/>
      </w:pPr>
      <w:rPr>
        <w:rFonts w:ascii="Arial" w:hAnsi="Arial" w:cs="Arial" w:hint="default"/>
        <w:b/>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0" w15:restartNumberingAfterBreak="0">
    <w:nsid w:val="266C32E7"/>
    <w:multiLevelType w:val="hybridMultilevel"/>
    <w:tmpl w:val="2C4A792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1" w15:restartNumberingAfterBreak="0">
    <w:nsid w:val="26872FF6"/>
    <w:multiLevelType w:val="hybridMultilevel"/>
    <w:tmpl w:val="5B2295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2" w15:restartNumberingAfterBreak="0">
    <w:nsid w:val="26A004A9"/>
    <w:multiLevelType w:val="hybridMultilevel"/>
    <w:tmpl w:val="C7940F9C"/>
    <w:lvl w:ilvl="0" w:tplc="165C16D2">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95AECCC8">
      <w:start w:val="30"/>
      <w:numFmt w:val="bullet"/>
      <w:lvlText w:val="-"/>
      <w:lvlJc w:val="left"/>
      <w:pPr>
        <w:ind w:left="2160" w:hanging="360"/>
      </w:pPr>
      <w:rPr>
        <w:rFonts w:ascii="Arial" w:eastAsia="Times New Roman" w:hAnsi="Arial" w:cs="Aria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3" w15:restartNumberingAfterBreak="0">
    <w:nsid w:val="27047EC0"/>
    <w:multiLevelType w:val="hybridMultilevel"/>
    <w:tmpl w:val="E508EDF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4" w15:restartNumberingAfterBreak="0">
    <w:nsid w:val="270770AB"/>
    <w:multiLevelType w:val="hybridMultilevel"/>
    <w:tmpl w:val="593A9A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5" w15:restartNumberingAfterBreak="0">
    <w:nsid w:val="27552E2F"/>
    <w:multiLevelType w:val="multilevel"/>
    <w:tmpl w:val="05A620CA"/>
    <w:lvl w:ilvl="0">
      <w:start w:val="1"/>
      <w:numFmt w:val="decimal"/>
      <w:lvlText w:val="%1."/>
      <w:lvlJc w:val="left"/>
      <w:pPr>
        <w:ind w:left="720" w:hanging="360"/>
      </w:pPr>
      <w:rPr>
        <w:sz w:val="24"/>
        <w:szCs w:val="24"/>
        <w:u w:val="none"/>
      </w:rPr>
    </w:lvl>
    <w:lvl w:ilvl="1">
      <w:start w:val="1"/>
      <w:numFmt w:val="lowerLetter"/>
      <w:lvlText w:val="%2."/>
      <w:lvlJc w:val="left"/>
      <w:pPr>
        <w:ind w:left="1440" w:hanging="360"/>
      </w:pPr>
      <w:rPr>
        <w:color w:val="auto"/>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6" w15:restartNumberingAfterBreak="0">
    <w:nsid w:val="275F1BFD"/>
    <w:multiLevelType w:val="hybridMultilevel"/>
    <w:tmpl w:val="D4322A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7" w15:restartNumberingAfterBreak="0">
    <w:nsid w:val="276802B1"/>
    <w:multiLevelType w:val="hybridMultilevel"/>
    <w:tmpl w:val="E43ED23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8" w15:restartNumberingAfterBreak="0">
    <w:nsid w:val="28272B91"/>
    <w:multiLevelType w:val="hybridMultilevel"/>
    <w:tmpl w:val="E78EEF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9" w15:restartNumberingAfterBreak="0">
    <w:nsid w:val="288B0F36"/>
    <w:multiLevelType w:val="hybridMultilevel"/>
    <w:tmpl w:val="5D0602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0" w15:restartNumberingAfterBreak="0">
    <w:nsid w:val="28CA16C1"/>
    <w:multiLevelType w:val="hybridMultilevel"/>
    <w:tmpl w:val="4A3A1B7C"/>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1" w15:restartNumberingAfterBreak="0">
    <w:nsid w:val="290E2FDF"/>
    <w:multiLevelType w:val="hybridMultilevel"/>
    <w:tmpl w:val="712626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2" w15:restartNumberingAfterBreak="0">
    <w:nsid w:val="2A0F2E95"/>
    <w:multiLevelType w:val="hybridMultilevel"/>
    <w:tmpl w:val="9F36462A"/>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3" w15:restartNumberingAfterBreak="0">
    <w:nsid w:val="2A1820A2"/>
    <w:multiLevelType w:val="hybridMultilevel"/>
    <w:tmpl w:val="52E4803E"/>
    <w:lvl w:ilvl="0" w:tplc="0409001B">
      <w:start w:val="1"/>
      <w:numFmt w:val="lowerRoman"/>
      <w:lvlText w:val="%1."/>
      <w:lvlJc w:val="right"/>
      <w:pPr>
        <w:ind w:left="1980" w:hanging="360"/>
      </w:p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74" w15:restartNumberingAfterBreak="0">
    <w:nsid w:val="2A746188"/>
    <w:multiLevelType w:val="hybridMultilevel"/>
    <w:tmpl w:val="E962F9F8"/>
    <w:lvl w:ilvl="0" w:tplc="04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5" w15:restartNumberingAfterBreak="0">
    <w:nsid w:val="2B3714F8"/>
    <w:multiLevelType w:val="hybridMultilevel"/>
    <w:tmpl w:val="4A306AAE"/>
    <w:lvl w:ilvl="0" w:tplc="18D4FCFA">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6" w15:restartNumberingAfterBreak="0">
    <w:nsid w:val="2B4D5FDB"/>
    <w:multiLevelType w:val="hybridMultilevel"/>
    <w:tmpl w:val="36AA8B8A"/>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7" w15:restartNumberingAfterBreak="0">
    <w:nsid w:val="2B621C9B"/>
    <w:multiLevelType w:val="hybridMultilevel"/>
    <w:tmpl w:val="C0D8926C"/>
    <w:lvl w:ilvl="0" w:tplc="C5200DB4">
      <w:start w:val="1"/>
      <w:numFmt w:val="decimal"/>
      <w:lvlText w:val="%1)"/>
      <w:lvlJc w:val="left"/>
      <w:pPr>
        <w:ind w:left="360" w:hanging="360"/>
      </w:pPr>
      <w:rPr>
        <w:rFonts w:hint="default"/>
        <w:i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8" w15:restartNumberingAfterBreak="0">
    <w:nsid w:val="2B8E296B"/>
    <w:multiLevelType w:val="hybridMultilevel"/>
    <w:tmpl w:val="5204C08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9" w15:restartNumberingAfterBreak="0">
    <w:nsid w:val="2B8F36A5"/>
    <w:multiLevelType w:val="hybridMultilevel"/>
    <w:tmpl w:val="4DA4EA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0" w15:restartNumberingAfterBreak="0">
    <w:nsid w:val="2C311A9A"/>
    <w:multiLevelType w:val="hybridMultilevel"/>
    <w:tmpl w:val="5B064A2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1" w15:restartNumberingAfterBreak="0">
    <w:nsid w:val="2C5152BB"/>
    <w:multiLevelType w:val="hybridMultilevel"/>
    <w:tmpl w:val="1F8454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2" w15:restartNumberingAfterBreak="0">
    <w:nsid w:val="2CDD6830"/>
    <w:multiLevelType w:val="hybridMultilevel"/>
    <w:tmpl w:val="A6DE34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3" w15:restartNumberingAfterBreak="0">
    <w:nsid w:val="2D636188"/>
    <w:multiLevelType w:val="hybridMultilevel"/>
    <w:tmpl w:val="86945C7E"/>
    <w:lvl w:ilvl="0" w:tplc="04090019">
      <w:start w:val="1"/>
      <w:numFmt w:val="lowerLetter"/>
      <w:lvlText w:val="%1."/>
      <w:lvlJc w:val="left"/>
      <w:pPr>
        <w:ind w:left="720" w:hanging="360"/>
      </w:pPr>
      <w:rPr>
        <w:b w:val="0"/>
        <w:b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4" w15:restartNumberingAfterBreak="0">
    <w:nsid w:val="2D636DB5"/>
    <w:multiLevelType w:val="hybridMultilevel"/>
    <w:tmpl w:val="09BA7F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5" w15:restartNumberingAfterBreak="0">
    <w:nsid w:val="2D652814"/>
    <w:multiLevelType w:val="hybridMultilevel"/>
    <w:tmpl w:val="70C837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6" w15:restartNumberingAfterBreak="0">
    <w:nsid w:val="2DD03AB1"/>
    <w:multiLevelType w:val="hybridMultilevel"/>
    <w:tmpl w:val="992243A4"/>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7" w15:restartNumberingAfterBreak="0">
    <w:nsid w:val="2DE4528B"/>
    <w:multiLevelType w:val="hybridMultilevel"/>
    <w:tmpl w:val="AE00C43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8" w15:restartNumberingAfterBreak="0">
    <w:nsid w:val="2DF9738A"/>
    <w:multiLevelType w:val="hybridMultilevel"/>
    <w:tmpl w:val="548872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9" w15:restartNumberingAfterBreak="0">
    <w:nsid w:val="2EF10BD3"/>
    <w:multiLevelType w:val="hybridMultilevel"/>
    <w:tmpl w:val="C30AE1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0" w15:restartNumberingAfterBreak="0">
    <w:nsid w:val="2EFD6B6E"/>
    <w:multiLevelType w:val="hybridMultilevel"/>
    <w:tmpl w:val="AE5C93FA"/>
    <w:lvl w:ilvl="0" w:tplc="8B885AB0">
      <w:start w:val="1"/>
      <w:numFmt w:val="decimal"/>
      <w:lvlText w:val="%1)"/>
      <w:lvlJc w:val="left"/>
      <w:pPr>
        <w:ind w:left="360" w:hanging="360"/>
      </w:pPr>
      <w:rPr>
        <w:rFonts w:hint="default"/>
        <w:b w:val="0"/>
        <w:i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1" w15:restartNumberingAfterBreak="0">
    <w:nsid w:val="2FAF76CF"/>
    <w:multiLevelType w:val="multilevel"/>
    <w:tmpl w:val="C3984CB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bCs/>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2" w15:restartNumberingAfterBreak="0">
    <w:nsid w:val="2FE364B6"/>
    <w:multiLevelType w:val="hybridMultilevel"/>
    <w:tmpl w:val="039A873E"/>
    <w:lvl w:ilvl="0" w:tplc="00B4496C">
      <w:start w:val="1"/>
      <w:numFmt w:val="lowerLetter"/>
      <w:lvlText w:val="%1."/>
      <w:lvlJc w:val="left"/>
      <w:pPr>
        <w:ind w:left="720" w:hanging="360"/>
      </w:pPr>
      <w:rPr>
        <w:sz w:val="20"/>
        <w:szCs w:val="20"/>
      </w:rPr>
    </w:lvl>
    <w:lvl w:ilvl="1" w:tplc="04090001">
      <w:start w:val="1"/>
      <w:numFmt w:val="bullet"/>
      <w:lvlText w:val=""/>
      <w:lvlJc w:val="left"/>
      <w:pPr>
        <w:ind w:left="720" w:hanging="360"/>
      </w:pPr>
      <w:rPr>
        <w:rFonts w:ascii="Symbol" w:hAnsi="Symbol"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3" w15:restartNumberingAfterBreak="0">
    <w:nsid w:val="300D2F19"/>
    <w:multiLevelType w:val="hybridMultilevel"/>
    <w:tmpl w:val="874CE3B0"/>
    <w:lvl w:ilvl="0" w:tplc="04090001">
      <w:start w:val="1"/>
      <w:numFmt w:val="bullet"/>
      <w:lvlText w:val=""/>
      <w:lvlJc w:val="left"/>
      <w:pPr>
        <w:tabs>
          <w:tab w:val="num" w:pos="720"/>
        </w:tabs>
        <w:ind w:left="720" w:hanging="360"/>
      </w:pPr>
      <w:rPr>
        <w:rFonts w:ascii="Symbol" w:hAnsi="Symbol" w:hint="default"/>
      </w:rPr>
    </w:lvl>
    <w:lvl w:ilvl="1" w:tplc="9CCCC2EA">
      <w:start w:val="1"/>
      <w:numFmt w:val="bullet"/>
      <w:lvlText w:val=""/>
      <w:lvlJc w:val="left"/>
      <w:pPr>
        <w:tabs>
          <w:tab w:val="num" w:pos="1440"/>
        </w:tabs>
        <w:ind w:left="1440" w:hanging="360"/>
      </w:pPr>
      <w:rPr>
        <w:rFonts w:ascii="Symbol" w:hAnsi="Symbol" w:hint="default"/>
        <w:color w:val="auto"/>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4" w15:restartNumberingAfterBreak="0">
    <w:nsid w:val="302547D2"/>
    <w:multiLevelType w:val="hybridMultilevel"/>
    <w:tmpl w:val="52E4803E"/>
    <w:lvl w:ilvl="0" w:tplc="0409001B">
      <w:start w:val="1"/>
      <w:numFmt w:val="lowerRoman"/>
      <w:lvlText w:val="%1."/>
      <w:lvlJc w:val="right"/>
      <w:pPr>
        <w:ind w:left="1980" w:hanging="360"/>
      </w:p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95" w15:restartNumberingAfterBreak="0">
    <w:nsid w:val="30877552"/>
    <w:multiLevelType w:val="hybridMultilevel"/>
    <w:tmpl w:val="94EA8448"/>
    <w:lvl w:ilvl="0" w:tplc="0409000F">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6" w15:restartNumberingAfterBreak="0">
    <w:nsid w:val="31DA36E9"/>
    <w:multiLevelType w:val="hybridMultilevel"/>
    <w:tmpl w:val="0E4CD69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7" w15:restartNumberingAfterBreak="0">
    <w:nsid w:val="322C749C"/>
    <w:multiLevelType w:val="hybridMultilevel"/>
    <w:tmpl w:val="91B66CC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8" w15:restartNumberingAfterBreak="0">
    <w:nsid w:val="323F50AD"/>
    <w:multiLevelType w:val="hybridMultilevel"/>
    <w:tmpl w:val="CC8CA4B4"/>
    <w:lvl w:ilvl="0" w:tplc="67800A46">
      <w:start w:val="1"/>
      <w:numFmt w:val="bullet"/>
      <w:lvlText w:val=""/>
      <w:lvlJc w:val="left"/>
      <w:pPr>
        <w:ind w:left="360" w:hanging="360"/>
      </w:pPr>
      <w:rPr>
        <w:rFonts w:ascii="Wingdings" w:hAnsi="Wingdings" w:hint="default"/>
        <w:b/>
        <w:sz w:val="24"/>
        <w:szCs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9" w15:restartNumberingAfterBreak="0">
    <w:nsid w:val="326B5FFF"/>
    <w:multiLevelType w:val="hybridMultilevel"/>
    <w:tmpl w:val="E4F07B76"/>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0" w15:restartNumberingAfterBreak="0">
    <w:nsid w:val="32884AE7"/>
    <w:multiLevelType w:val="hybridMultilevel"/>
    <w:tmpl w:val="6C20A5DE"/>
    <w:lvl w:ilvl="0" w:tplc="67800A46">
      <w:start w:val="1"/>
      <w:numFmt w:val="bullet"/>
      <w:lvlText w:val=""/>
      <w:lvlJc w:val="left"/>
      <w:pPr>
        <w:ind w:left="360" w:hanging="360"/>
      </w:pPr>
      <w:rPr>
        <w:rFonts w:ascii="Wingdings" w:hAnsi="Wingdings" w:hint="default"/>
        <w:b/>
        <w:sz w:val="24"/>
        <w:szCs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1" w15:restartNumberingAfterBreak="0">
    <w:nsid w:val="32AB1A0F"/>
    <w:multiLevelType w:val="hybridMultilevel"/>
    <w:tmpl w:val="4A226F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2" w15:restartNumberingAfterBreak="0">
    <w:nsid w:val="32B179CE"/>
    <w:multiLevelType w:val="hybridMultilevel"/>
    <w:tmpl w:val="67D0F9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3" w15:restartNumberingAfterBreak="0">
    <w:nsid w:val="33352E51"/>
    <w:multiLevelType w:val="hybridMultilevel"/>
    <w:tmpl w:val="3DAECE4E"/>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4" w15:restartNumberingAfterBreak="0">
    <w:nsid w:val="341F3D02"/>
    <w:multiLevelType w:val="hybridMultilevel"/>
    <w:tmpl w:val="3F02A124"/>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579ECD5C">
      <w:start w:val="3"/>
      <w:numFmt w:val="lowerLetter"/>
      <w:lvlText w:val="(%3)"/>
      <w:lvlJc w:val="left"/>
      <w:pPr>
        <w:ind w:left="2340" w:hanging="360"/>
      </w:pPr>
      <w:rPr>
        <w:rFonts w:cs="Arial" w:hint="default"/>
        <w:b/>
      </w:rPr>
    </w:lvl>
    <w:lvl w:ilvl="3" w:tplc="4ABEA8F0">
      <w:start w:val="1"/>
      <w:numFmt w:val="lowerLetter"/>
      <w:lvlText w:val="%4)"/>
      <w:lvlJc w:val="left"/>
      <w:pPr>
        <w:ind w:left="2880" w:hanging="360"/>
      </w:pPr>
      <w:rPr>
        <w:rFonts w:hint="default"/>
      </w:rPr>
    </w:lvl>
    <w:lvl w:ilvl="4" w:tplc="C9C4E4B8">
      <w:start w:val="15"/>
      <w:numFmt w:val="bullet"/>
      <w:lvlText w:val="-"/>
      <w:lvlJc w:val="left"/>
      <w:pPr>
        <w:ind w:left="3600" w:hanging="360"/>
      </w:pPr>
      <w:rPr>
        <w:rFonts w:ascii="Arial" w:eastAsia="Times New Roman" w:hAnsi="Arial" w:cs="Arial" w:hint="default"/>
      </w:rPr>
    </w:lvl>
    <w:lvl w:ilvl="5" w:tplc="873EC3DA">
      <w:start w:val="45"/>
      <w:numFmt w:val="decimal"/>
      <w:lvlText w:val="%6"/>
      <w:lvlJc w:val="left"/>
      <w:pPr>
        <w:ind w:left="4500" w:hanging="360"/>
      </w:pPr>
      <w:rPr>
        <w:rFonts w:hint="default"/>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5" w15:restartNumberingAfterBreak="0">
    <w:nsid w:val="34920474"/>
    <w:multiLevelType w:val="hybridMultilevel"/>
    <w:tmpl w:val="1DE40F0A"/>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6" w15:restartNumberingAfterBreak="0">
    <w:nsid w:val="34D51991"/>
    <w:multiLevelType w:val="hybridMultilevel"/>
    <w:tmpl w:val="0E1ED4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7" w15:restartNumberingAfterBreak="0">
    <w:nsid w:val="35AB2EC6"/>
    <w:multiLevelType w:val="hybridMultilevel"/>
    <w:tmpl w:val="286AD2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8" w15:restartNumberingAfterBreak="0">
    <w:nsid w:val="35E30DD4"/>
    <w:multiLevelType w:val="hybridMultilevel"/>
    <w:tmpl w:val="CF2EA542"/>
    <w:lvl w:ilvl="0" w:tplc="04090001">
      <w:start w:val="1"/>
      <w:numFmt w:val="bullet"/>
      <w:lvlText w:val=""/>
      <w:lvlJc w:val="left"/>
      <w:pPr>
        <w:tabs>
          <w:tab w:val="num" w:pos="936"/>
        </w:tabs>
        <w:ind w:left="936" w:hanging="360"/>
      </w:pPr>
      <w:rPr>
        <w:rFonts w:ascii="Symbol" w:hAnsi="Symbol" w:hint="default"/>
      </w:rPr>
    </w:lvl>
    <w:lvl w:ilvl="1" w:tplc="04090003" w:tentative="1">
      <w:start w:val="1"/>
      <w:numFmt w:val="bullet"/>
      <w:lvlText w:val="o"/>
      <w:lvlJc w:val="left"/>
      <w:pPr>
        <w:tabs>
          <w:tab w:val="num" w:pos="1656"/>
        </w:tabs>
        <w:ind w:left="1656" w:hanging="360"/>
      </w:pPr>
      <w:rPr>
        <w:rFonts w:ascii="Courier New" w:hAnsi="Courier New" w:cs="Courier New"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cs="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cs="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209" w15:restartNumberingAfterBreak="0">
    <w:nsid w:val="36441393"/>
    <w:multiLevelType w:val="hybridMultilevel"/>
    <w:tmpl w:val="3B383F2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0" w15:restartNumberingAfterBreak="0">
    <w:nsid w:val="36604632"/>
    <w:multiLevelType w:val="hybridMultilevel"/>
    <w:tmpl w:val="5844BB5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1" w15:restartNumberingAfterBreak="0">
    <w:nsid w:val="372A0CAD"/>
    <w:multiLevelType w:val="hybridMultilevel"/>
    <w:tmpl w:val="1792BA80"/>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2" w15:restartNumberingAfterBreak="0">
    <w:nsid w:val="37917F01"/>
    <w:multiLevelType w:val="hybridMultilevel"/>
    <w:tmpl w:val="A774A1E0"/>
    <w:lvl w:ilvl="0" w:tplc="5DF020FE">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3" w15:restartNumberingAfterBreak="0">
    <w:nsid w:val="37B72C61"/>
    <w:multiLevelType w:val="hybridMultilevel"/>
    <w:tmpl w:val="69288898"/>
    <w:lvl w:ilvl="0" w:tplc="4CA84D3C">
      <w:start w:val="3"/>
      <w:numFmt w:val="decimal"/>
      <w:lvlText w:val="%1)"/>
      <w:lvlJc w:val="left"/>
      <w:pPr>
        <w:ind w:left="36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4" w15:restartNumberingAfterBreak="0">
    <w:nsid w:val="381302A2"/>
    <w:multiLevelType w:val="hybridMultilevel"/>
    <w:tmpl w:val="11B0D37E"/>
    <w:lvl w:ilvl="0" w:tplc="1A2A2BFC">
      <w:start w:val="1"/>
      <w:numFmt w:val="decimal"/>
      <w:lvlText w:val="%1."/>
      <w:lvlJc w:val="left"/>
      <w:pPr>
        <w:ind w:left="720" w:hanging="360"/>
      </w:pPr>
      <w:rPr>
        <w:b/>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5" w15:restartNumberingAfterBreak="0">
    <w:nsid w:val="38B40187"/>
    <w:multiLevelType w:val="multilevel"/>
    <w:tmpl w:val="0A022C64"/>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152"/>
        </w:tabs>
        <w:ind w:left="1152" w:hanging="432"/>
      </w:pPr>
      <w:rPr>
        <w:rFonts w:cs="Times New Roman"/>
      </w:rPr>
    </w:lvl>
    <w:lvl w:ilvl="2">
      <w:start w:val="1"/>
      <w:numFmt w:val="decimal"/>
      <w:lvlText w:val="%1.%2.%3."/>
      <w:lvlJc w:val="left"/>
      <w:pPr>
        <w:tabs>
          <w:tab w:val="num" w:pos="1800"/>
        </w:tabs>
        <w:ind w:left="1584" w:hanging="504"/>
      </w:pPr>
      <w:rPr>
        <w:rFonts w:cs="Times New Roman"/>
      </w:rPr>
    </w:lvl>
    <w:lvl w:ilvl="3">
      <w:start w:val="1"/>
      <w:numFmt w:val="decimal"/>
      <w:lvlText w:val="%1.%2.%3.%4."/>
      <w:lvlJc w:val="left"/>
      <w:pPr>
        <w:tabs>
          <w:tab w:val="num" w:pos="2160"/>
        </w:tabs>
        <w:ind w:left="2088" w:hanging="648"/>
      </w:pPr>
      <w:rPr>
        <w:rFonts w:cs="Times New Roman"/>
      </w:rPr>
    </w:lvl>
    <w:lvl w:ilvl="4">
      <w:start w:val="1"/>
      <w:numFmt w:val="decimal"/>
      <w:lvlText w:val="%1.%2.%3.%4.%5."/>
      <w:lvlJc w:val="left"/>
      <w:pPr>
        <w:tabs>
          <w:tab w:val="num" w:pos="2880"/>
        </w:tabs>
        <w:ind w:left="2592" w:hanging="792"/>
      </w:pPr>
      <w:rPr>
        <w:rFonts w:cs="Times New Roman"/>
      </w:rPr>
    </w:lvl>
    <w:lvl w:ilvl="5">
      <w:start w:val="1"/>
      <w:numFmt w:val="decimal"/>
      <w:lvlText w:val="%1.%2.%3.%4.%5.%6."/>
      <w:lvlJc w:val="left"/>
      <w:pPr>
        <w:tabs>
          <w:tab w:val="num" w:pos="3240"/>
        </w:tabs>
        <w:ind w:left="3096" w:hanging="936"/>
      </w:pPr>
      <w:rPr>
        <w:rFonts w:cs="Times New Roman"/>
      </w:rPr>
    </w:lvl>
    <w:lvl w:ilvl="6">
      <w:start w:val="1"/>
      <w:numFmt w:val="decimal"/>
      <w:lvlText w:val="%1.%2.%3.%4.%5.%6.%7."/>
      <w:lvlJc w:val="left"/>
      <w:pPr>
        <w:tabs>
          <w:tab w:val="num" w:pos="3960"/>
        </w:tabs>
        <w:ind w:left="3600" w:hanging="1080"/>
      </w:pPr>
      <w:rPr>
        <w:rFonts w:cs="Times New Roman"/>
      </w:rPr>
    </w:lvl>
    <w:lvl w:ilvl="7">
      <w:start w:val="1"/>
      <w:numFmt w:val="decimal"/>
      <w:lvlText w:val="%1.%2.%3.%4.%5.%6.%7.%8."/>
      <w:lvlJc w:val="left"/>
      <w:pPr>
        <w:tabs>
          <w:tab w:val="num" w:pos="4320"/>
        </w:tabs>
        <w:ind w:left="4104" w:hanging="1224"/>
      </w:pPr>
      <w:rPr>
        <w:rFonts w:cs="Times New Roman"/>
      </w:rPr>
    </w:lvl>
    <w:lvl w:ilvl="8">
      <w:start w:val="1"/>
      <w:numFmt w:val="decimal"/>
      <w:lvlText w:val="%1.%2.%3.%4.%5.%6.%7.%8.%9."/>
      <w:lvlJc w:val="left"/>
      <w:pPr>
        <w:tabs>
          <w:tab w:val="num" w:pos="5040"/>
        </w:tabs>
        <w:ind w:left="4680" w:hanging="1440"/>
      </w:pPr>
      <w:rPr>
        <w:rFonts w:cs="Times New Roman"/>
      </w:rPr>
    </w:lvl>
  </w:abstractNum>
  <w:abstractNum w:abstractNumId="216" w15:restartNumberingAfterBreak="0">
    <w:nsid w:val="38F41996"/>
    <w:multiLevelType w:val="hybridMultilevel"/>
    <w:tmpl w:val="E1C28B0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7" w15:restartNumberingAfterBreak="0">
    <w:nsid w:val="39F248DE"/>
    <w:multiLevelType w:val="hybridMultilevel"/>
    <w:tmpl w:val="80FCAB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8" w15:restartNumberingAfterBreak="0">
    <w:nsid w:val="3A7C6AC0"/>
    <w:multiLevelType w:val="hybridMultilevel"/>
    <w:tmpl w:val="09C64F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9" w15:restartNumberingAfterBreak="0">
    <w:nsid w:val="3ABF6D79"/>
    <w:multiLevelType w:val="hybridMultilevel"/>
    <w:tmpl w:val="FD1CB4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0" w15:restartNumberingAfterBreak="0">
    <w:nsid w:val="3AC43575"/>
    <w:multiLevelType w:val="hybridMultilevel"/>
    <w:tmpl w:val="2A0ECB5C"/>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1" w15:restartNumberingAfterBreak="0">
    <w:nsid w:val="3AD834D5"/>
    <w:multiLevelType w:val="hybridMultilevel"/>
    <w:tmpl w:val="25082B28"/>
    <w:lvl w:ilvl="0" w:tplc="04090001">
      <w:start w:val="1"/>
      <w:numFmt w:val="bullet"/>
      <w:lvlText w:val=""/>
      <w:lvlJc w:val="left"/>
      <w:pPr>
        <w:ind w:left="1133" w:hanging="360"/>
      </w:pPr>
      <w:rPr>
        <w:rFonts w:ascii="Symbol" w:hAnsi="Symbol" w:hint="default"/>
      </w:rPr>
    </w:lvl>
    <w:lvl w:ilvl="1" w:tplc="04090003" w:tentative="1">
      <w:start w:val="1"/>
      <w:numFmt w:val="bullet"/>
      <w:lvlText w:val="o"/>
      <w:lvlJc w:val="left"/>
      <w:pPr>
        <w:ind w:left="1853" w:hanging="360"/>
      </w:pPr>
      <w:rPr>
        <w:rFonts w:ascii="Courier New" w:hAnsi="Courier New" w:cs="Courier New" w:hint="default"/>
      </w:rPr>
    </w:lvl>
    <w:lvl w:ilvl="2" w:tplc="04090005" w:tentative="1">
      <w:start w:val="1"/>
      <w:numFmt w:val="bullet"/>
      <w:lvlText w:val=""/>
      <w:lvlJc w:val="left"/>
      <w:pPr>
        <w:ind w:left="2573" w:hanging="360"/>
      </w:pPr>
      <w:rPr>
        <w:rFonts w:ascii="Wingdings" w:hAnsi="Wingdings" w:hint="default"/>
      </w:rPr>
    </w:lvl>
    <w:lvl w:ilvl="3" w:tplc="04090001" w:tentative="1">
      <w:start w:val="1"/>
      <w:numFmt w:val="bullet"/>
      <w:lvlText w:val=""/>
      <w:lvlJc w:val="left"/>
      <w:pPr>
        <w:ind w:left="3293" w:hanging="360"/>
      </w:pPr>
      <w:rPr>
        <w:rFonts w:ascii="Symbol" w:hAnsi="Symbol" w:hint="default"/>
      </w:rPr>
    </w:lvl>
    <w:lvl w:ilvl="4" w:tplc="04090003" w:tentative="1">
      <w:start w:val="1"/>
      <w:numFmt w:val="bullet"/>
      <w:lvlText w:val="o"/>
      <w:lvlJc w:val="left"/>
      <w:pPr>
        <w:ind w:left="4013" w:hanging="360"/>
      </w:pPr>
      <w:rPr>
        <w:rFonts w:ascii="Courier New" w:hAnsi="Courier New" w:cs="Courier New" w:hint="default"/>
      </w:rPr>
    </w:lvl>
    <w:lvl w:ilvl="5" w:tplc="04090005" w:tentative="1">
      <w:start w:val="1"/>
      <w:numFmt w:val="bullet"/>
      <w:lvlText w:val=""/>
      <w:lvlJc w:val="left"/>
      <w:pPr>
        <w:ind w:left="4733" w:hanging="360"/>
      </w:pPr>
      <w:rPr>
        <w:rFonts w:ascii="Wingdings" w:hAnsi="Wingdings" w:hint="default"/>
      </w:rPr>
    </w:lvl>
    <w:lvl w:ilvl="6" w:tplc="04090001" w:tentative="1">
      <w:start w:val="1"/>
      <w:numFmt w:val="bullet"/>
      <w:lvlText w:val=""/>
      <w:lvlJc w:val="left"/>
      <w:pPr>
        <w:ind w:left="5453" w:hanging="360"/>
      </w:pPr>
      <w:rPr>
        <w:rFonts w:ascii="Symbol" w:hAnsi="Symbol" w:hint="default"/>
      </w:rPr>
    </w:lvl>
    <w:lvl w:ilvl="7" w:tplc="04090003" w:tentative="1">
      <w:start w:val="1"/>
      <w:numFmt w:val="bullet"/>
      <w:lvlText w:val="o"/>
      <w:lvlJc w:val="left"/>
      <w:pPr>
        <w:ind w:left="6173" w:hanging="360"/>
      </w:pPr>
      <w:rPr>
        <w:rFonts w:ascii="Courier New" w:hAnsi="Courier New" w:cs="Courier New" w:hint="default"/>
      </w:rPr>
    </w:lvl>
    <w:lvl w:ilvl="8" w:tplc="04090005" w:tentative="1">
      <w:start w:val="1"/>
      <w:numFmt w:val="bullet"/>
      <w:lvlText w:val=""/>
      <w:lvlJc w:val="left"/>
      <w:pPr>
        <w:ind w:left="6893" w:hanging="360"/>
      </w:pPr>
      <w:rPr>
        <w:rFonts w:ascii="Wingdings" w:hAnsi="Wingdings" w:hint="default"/>
      </w:rPr>
    </w:lvl>
  </w:abstractNum>
  <w:abstractNum w:abstractNumId="222" w15:restartNumberingAfterBreak="0">
    <w:nsid w:val="3AEB1BDA"/>
    <w:multiLevelType w:val="hybridMultilevel"/>
    <w:tmpl w:val="911435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3" w15:restartNumberingAfterBreak="0">
    <w:nsid w:val="3B487CA9"/>
    <w:multiLevelType w:val="hybridMultilevel"/>
    <w:tmpl w:val="5EA416B6"/>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4" w15:restartNumberingAfterBreak="0">
    <w:nsid w:val="3B822610"/>
    <w:multiLevelType w:val="hybridMultilevel"/>
    <w:tmpl w:val="B4D8708E"/>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5" w15:restartNumberingAfterBreak="0">
    <w:nsid w:val="3BE506F1"/>
    <w:multiLevelType w:val="hybridMultilevel"/>
    <w:tmpl w:val="4F689E5C"/>
    <w:lvl w:ilvl="0" w:tplc="FFFFFFFF">
      <w:start w:val="1"/>
      <w:numFmt w:val="lowerLetter"/>
      <w:lvlText w:val="%1."/>
      <w:lvlJc w:val="left"/>
      <w:pPr>
        <w:ind w:left="720" w:hanging="360"/>
      </w:pPr>
      <w:rPr>
        <w:b w:val="0"/>
        <w:b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6" w15:restartNumberingAfterBreak="0">
    <w:nsid w:val="3C33406E"/>
    <w:multiLevelType w:val="hybridMultilevel"/>
    <w:tmpl w:val="D0CCAB8E"/>
    <w:lvl w:ilvl="0" w:tplc="67800A46">
      <w:start w:val="1"/>
      <w:numFmt w:val="bullet"/>
      <w:lvlText w:val=""/>
      <w:lvlJc w:val="left"/>
      <w:pPr>
        <w:ind w:left="360" w:hanging="360"/>
      </w:pPr>
      <w:rPr>
        <w:rFonts w:ascii="Wingdings" w:hAnsi="Wingdings" w:hint="default"/>
        <w:b/>
        <w:sz w:val="24"/>
        <w:szCs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7" w15:restartNumberingAfterBreak="0">
    <w:nsid w:val="3C542D6C"/>
    <w:multiLevelType w:val="hybridMultilevel"/>
    <w:tmpl w:val="7A8CCE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8" w15:restartNumberingAfterBreak="0">
    <w:nsid w:val="3CC055B2"/>
    <w:multiLevelType w:val="hybridMultilevel"/>
    <w:tmpl w:val="B24A6934"/>
    <w:lvl w:ilvl="0" w:tplc="04090001">
      <w:start w:val="1"/>
      <w:numFmt w:val="bullet"/>
      <w:lvlText w:val=""/>
      <w:lvlJc w:val="left"/>
      <w:pPr>
        <w:ind w:left="1296" w:hanging="360"/>
      </w:pPr>
      <w:rPr>
        <w:rFonts w:ascii="Symbol" w:hAnsi="Symbol"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229" w15:restartNumberingAfterBreak="0">
    <w:nsid w:val="3CD61984"/>
    <w:multiLevelType w:val="hybridMultilevel"/>
    <w:tmpl w:val="EA3EF238"/>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0" w15:restartNumberingAfterBreak="0">
    <w:nsid w:val="3D837A82"/>
    <w:multiLevelType w:val="hybridMultilevel"/>
    <w:tmpl w:val="42C8478A"/>
    <w:lvl w:ilvl="0" w:tplc="C5CA8212">
      <w:start w:val="2"/>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1" w15:restartNumberingAfterBreak="0">
    <w:nsid w:val="3E115DFD"/>
    <w:multiLevelType w:val="hybridMultilevel"/>
    <w:tmpl w:val="EF0EB36A"/>
    <w:lvl w:ilvl="0" w:tplc="2B945478">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32" w15:restartNumberingAfterBreak="0">
    <w:nsid w:val="3E3E244B"/>
    <w:multiLevelType w:val="hybridMultilevel"/>
    <w:tmpl w:val="FC0E56F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3" w15:restartNumberingAfterBreak="0">
    <w:nsid w:val="3E7A103E"/>
    <w:multiLevelType w:val="hybridMultilevel"/>
    <w:tmpl w:val="4F689E5C"/>
    <w:lvl w:ilvl="0" w:tplc="FFFFFFFF">
      <w:start w:val="1"/>
      <w:numFmt w:val="lowerLetter"/>
      <w:lvlText w:val="%1."/>
      <w:lvlJc w:val="left"/>
      <w:pPr>
        <w:ind w:left="720" w:hanging="360"/>
      </w:pPr>
      <w:rPr>
        <w:b w:val="0"/>
        <w:b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4" w15:restartNumberingAfterBreak="0">
    <w:nsid w:val="3EDD6D5F"/>
    <w:multiLevelType w:val="hybridMultilevel"/>
    <w:tmpl w:val="3E884FE4"/>
    <w:lvl w:ilvl="0" w:tplc="04090001">
      <w:start w:val="1"/>
      <w:numFmt w:val="bullet"/>
      <w:lvlText w:val=""/>
      <w:lvlJc w:val="left"/>
      <w:pPr>
        <w:ind w:left="1296" w:hanging="360"/>
      </w:pPr>
      <w:rPr>
        <w:rFonts w:ascii="Symbol" w:hAnsi="Symbol"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235" w15:restartNumberingAfterBreak="0">
    <w:nsid w:val="3EE223D6"/>
    <w:multiLevelType w:val="hybridMultilevel"/>
    <w:tmpl w:val="255810F2"/>
    <w:lvl w:ilvl="0" w:tplc="04090003">
      <w:start w:val="1"/>
      <w:numFmt w:val="bullet"/>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36" w15:restartNumberingAfterBreak="0">
    <w:nsid w:val="3F6257AD"/>
    <w:multiLevelType w:val="hybridMultilevel"/>
    <w:tmpl w:val="C02E1C02"/>
    <w:lvl w:ilvl="0" w:tplc="C3F88A26">
      <w:start w:val="1"/>
      <w:numFmt w:val="bullet"/>
      <w:lvlText w:val="o"/>
      <w:lvlJc w:val="left"/>
      <w:pPr>
        <w:ind w:left="360" w:hanging="360"/>
      </w:pPr>
      <w:rPr>
        <w:rFonts w:ascii="Courier New" w:hAnsi="Courier New" w:cs="Courier New" w:hint="default"/>
        <w:b w:val="0"/>
        <w:bCs w:val="0"/>
        <w:color w:val="auto"/>
        <w:sz w:val="24"/>
        <w:szCs w:val="24"/>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37" w15:restartNumberingAfterBreak="0">
    <w:nsid w:val="3F770907"/>
    <w:multiLevelType w:val="hybridMultilevel"/>
    <w:tmpl w:val="1868AFAE"/>
    <w:lvl w:ilvl="0" w:tplc="5C220202">
      <w:start w:val="1"/>
      <w:numFmt w:val="lowerLetter"/>
      <w:lvlText w:val="%1."/>
      <w:lvlJc w:val="left"/>
      <w:pPr>
        <w:ind w:left="720" w:hanging="360"/>
      </w:pPr>
      <w:rPr>
        <w:b w:val="0"/>
        <w:bCs/>
        <w:i w:val="0"/>
        <w:iCs/>
        <w:sz w:val="20"/>
        <w:szCs w:val="2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8" w15:restartNumberingAfterBreak="0">
    <w:nsid w:val="3FF60B5E"/>
    <w:multiLevelType w:val="hybridMultilevel"/>
    <w:tmpl w:val="84820F0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9" w15:restartNumberingAfterBreak="0">
    <w:nsid w:val="400E136F"/>
    <w:multiLevelType w:val="hybridMultilevel"/>
    <w:tmpl w:val="7AEE5D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0" w15:restartNumberingAfterBreak="0">
    <w:nsid w:val="413371DD"/>
    <w:multiLevelType w:val="hybridMultilevel"/>
    <w:tmpl w:val="9788C392"/>
    <w:lvl w:ilvl="0" w:tplc="2B9A17FE">
      <w:start w:val="8"/>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1" w15:restartNumberingAfterBreak="0">
    <w:nsid w:val="417F55E8"/>
    <w:multiLevelType w:val="hybridMultilevel"/>
    <w:tmpl w:val="DA462B18"/>
    <w:lvl w:ilvl="0" w:tplc="9ABA782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2" w15:restartNumberingAfterBreak="0">
    <w:nsid w:val="419354C2"/>
    <w:multiLevelType w:val="hybridMultilevel"/>
    <w:tmpl w:val="9A58A7E6"/>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3" w15:restartNumberingAfterBreak="0">
    <w:nsid w:val="41B50E49"/>
    <w:multiLevelType w:val="hybridMultilevel"/>
    <w:tmpl w:val="AB02F726"/>
    <w:lvl w:ilvl="0" w:tplc="5B94D1B6">
      <w:start w:val="1"/>
      <w:numFmt w:val="bullet"/>
      <w:suff w:val="space"/>
      <w:lvlText w:val=""/>
      <w:lvlJc w:val="left"/>
      <w:pPr>
        <w:ind w:left="360" w:hanging="216"/>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4" w15:restartNumberingAfterBreak="0">
    <w:nsid w:val="41C554C0"/>
    <w:multiLevelType w:val="hybridMultilevel"/>
    <w:tmpl w:val="34028D2C"/>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5" w15:restartNumberingAfterBreak="0">
    <w:nsid w:val="41DD0A0D"/>
    <w:multiLevelType w:val="hybridMultilevel"/>
    <w:tmpl w:val="F856B3B8"/>
    <w:lvl w:ilvl="0" w:tplc="FFFFFFFF">
      <w:start w:val="1"/>
      <w:numFmt w:val="decimal"/>
      <w:lvlText w:val="%1."/>
      <w:lvlJc w:val="left"/>
      <w:pPr>
        <w:ind w:left="720" w:hanging="360"/>
      </w:pPr>
      <w:rPr>
        <w:rFonts w:ascii="Arial" w:eastAsia="Times New Roman" w:hAnsi="Arial" w:cstheme="minorHAnsi"/>
        <w:b w:val="0"/>
        <w:i w:val="0"/>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6" w15:restartNumberingAfterBreak="0">
    <w:nsid w:val="41F100D9"/>
    <w:multiLevelType w:val="multilevel"/>
    <w:tmpl w:val="62085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7" w15:restartNumberingAfterBreak="0">
    <w:nsid w:val="41F92C4B"/>
    <w:multiLevelType w:val="hybridMultilevel"/>
    <w:tmpl w:val="FE7A3E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8" w15:restartNumberingAfterBreak="0">
    <w:nsid w:val="427672A6"/>
    <w:multiLevelType w:val="hybridMultilevel"/>
    <w:tmpl w:val="3AC29E7E"/>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9" w15:restartNumberingAfterBreak="0">
    <w:nsid w:val="430427D5"/>
    <w:multiLevelType w:val="hybridMultilevel"/>
    <w:tmpl w:val="9698ADA4"/>
    <w:lvl w:ilvl="0" w:tplc="9CCCC2EA">
      <w:start w:val="1"/>
      <w:numFmt w:val="bullet"/>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0" w15:restartNumberingAfterBreak="0">
    <w:nsid w:val="432075E0"/>
    <w:multiLevelType w:val="hybridMultilevel"/>
    <w:tmpl w:val="3D94DE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1" w15:restartNumberingAfterBreak="0">
    <w:nsid w:val="43303BC6"/>
    <w:multiLevelType w:val="hybridMultilevel"/>
    <w:tmpl w:val="98103C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2" w15:restartNumberingAfterBreak="0">
    <w:nsid w:val="435F438E"/>
    <w:multiLevelType w:val="hybridMultilevel"/>
    <w:tmpl w:val="E51CE07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3" w15:restartNumberingAfterBreak="0">
    <w:nsid w:val="43B54568"/>
    <w:multiLevelType w:val="hybridMultilevel"/>
    <w:tmpl w:val="DE96A6B6"/>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4" w15:restartNumberingAfterBreak="0">
    <w:nsid w:val="43BC462F"/>
    <w:multiLevelType w:val="hybridMultilevel"/>
    <w:tmpl w:val="822A25F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5" w15:restartNumberingAfterBreak="0">
    <w:nsid w:val="43E452D4"/>
    <w:multiLevelType w:val="hybridMultilevel"/>
    <w:tmpl w:val="01D6BA9C"/>
    <w:lvl w:ilvl="0" w:tplc="04090001">
      <w:start w:val="1"/>
      <w:numFmt w:val="bullet"/>
      <w:lvlText w:val=""/>
      <w:lvlJc w:val="left"/>
      <w:pPr>
        <w:ind w:left="720" w:hanging="360"/>
      </w:pPr>
      <w:rPr>
        <w:rFonts w:ascii="Symbol" w:hAnsi="Symbol" w:hint="default"/>
        <w:b/>
        <w:sz w:val="24"/>
        <w:szCs w:val="24"/>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6" w15:restartNumberingAfterBreak="0">
    <w:nsid w:val="43E4549A"/>
    <w:multiLevelType w:val="hybridMultilevel"/>
    <w:tmpl w:val="DD849B82"/>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7" w15:restartNumberingAfterBreak="0">
    <w:nsid w:val="442C04BA"/>
    <w:multiLevelType w:val="hybridMultilevel"/>
    <w:tmpl w:val="7E783C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8" w15:restartNumberingAfterBreak="0">
    <w:nsid w:val="444A18D7"/>
    <w:multiLevelType w:val="hybridMultilevel"/>
    <w:tmpl w:val="4DB484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9" w15:restartNumberingAfterBreak="0">
    <w:nsid w:val="44B93E0F"/>
    <w:multiLevelType w:val="hybridMultilevel"/>
    <w:tmpl w:val="F500AEBC"/>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0" w15:restartNumberingAfterBreak="0">
    <w:nsid w:val="44E67110"/>
    <w:multiLevelType w:val="hybridMultilevel"/>
    <w:tmpl w:val="D34CA3A8"/>
    <w:lvl w:ilvl="0" w:tplc="47446C74">
      <w:start w:val="1"/>
      <w:numFmt w:val="decimal"/>
      <w:lvlText w:val="%1)"/>
      <w:lvlJc w:val="left"/>
      <w:pPr>
        <w:ind w:left="360" w:hanging="360"/>
      </w:pPr>
      <w:rPr>
        <w:rFonts w:hint="default"/>
        <w:i w:val="0"/>
      </w:rPr>
    </w:lvl>
    <w:lvl w:ilvl="1" w:tplc="04090019">
      <w:start w:val="1"/>
      <w:numFmt w:val="lowerLetter"/>
      <w:lvlText w:val="%2."/>
      <w:lvlJc w:val="left"/>
      <w:pPr>
        <w:ind w:left="90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261" w15:restartNumberingAfterBreak="0">
    <w:nsid w:val="45411869"/>
    <w:multiLevelType w:val="hybridMultilevel"/>
    <w:tmpl w:val="371808D0"/>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2" w15:restartNumberingAfterBreak="0">
    <w:nsid w:val="45976E2C"/>
    <w:multiLevelType w:val="hybridMultilevel"/>
    <w:tmpl w:val="88DCEABE"/>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3" w15:restartNumberingAfterBreak="0">
    <w:nsid w:val="46015385"/>
    <w:multiLevelType w:val="hybridMultilevel"/>
    <w:tmpl w:val="9E34CEF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4" w15:restartNumberingAfterBreak="0">
    <w:nsid w:val="46380403"/>
    <w:multiLevelType w:val="hybridMultilevel"/>
    <w:tmpl w:val="3A18383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5" w15:restartNumberingAfterBreak="0">
    <w:nsid w:val="46A9030E"/>
    <w:multiLevelType w:val="hybridMultilevel"/>
    <w:tmpl w:val="70948052"/>
    <w:lvl w:ilvl="0" w:tplc="0409000F">
      <w:start w:val="1"/>
      <w:numFmt w:val="decimal"/>
      <w:lvlText w:val="%1."/>
      <w:lvlJc w:val="left"/>
      <w:pPr>
        <w:ind w:left="360" w:hanging="360"/>
      </w:pPr>
      <w:rPr>
        <w:rFonts w:hint="default"/>
        <w:b w:val="0"/>
        <w:i w:val="0"/>
      </w:rPr>
    </w:lvl>
    <w:lvl w:ilvl="1" w:tplc="04090017">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6" w15:restartNumberingAfterBreak="0">
    <w:nsid w:val="46C3778B"/>
    <w:multiLevelType w:val="hybridMultilevel"/>
    <w:tmpl w:val="D57EC9B6"/>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7" w15:restartNumberingAfterBreak="0">
    <w:nsid w:val="47427D9A"/>
    <w:multiLevelType w:val="hybridMultilevel"/>
    <w:tmpl w:val="9112F498"/>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8" w15:restartNumberingAfterBreak="0">
    <w:nsid w:val="476406C2"/>
    <w:multiLevelType w:val="multilevel"/>
    <w:tmpl w:val="4E36F52E"/>
    <w:lvl w:ilvl="0">
      <w:start w:val="1"/>
      <w:numFmt w:val="decimal"/>
      <w:lvlText w:val="%1."/>
      <w:lvlJc w:val="left"/>
      <w:pPr>
        <w:tabs>
          <w:tab w:val="num" w:pos="360"/>
        </w:tabs>
        <w:ind w:left="360" w:hanging="360"/>
      </w:pPr>
      <w:rPr>
        <w:rFonts w:cs="Times New Roman" w:hint="default"/>
      </w:rPr>
    </w:lvl>
    <w:lvl w:ilvl="1">
      <w:start w:val="1"/>
      <w:numFmt w:val="lowerLetter"/>
      <w:lvlText w:val="%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69" w15:restartNumberingAfterBreak="0">
    <w:nsid w:val="48076AC0"/>
    <w:multiLevelType w:val="hybridMultilevel"/>
    <w:tmpl w:val="1B3AE1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0" w15:restartNumberingAfterBreak="0">
    <w:nsid w:val="48326469"/>
    <w:multiLevelType w:val="hybridMultilevel"/>
    <w:tmpl w:val="A074334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1" w15:restartNumberingAfterBreak="0">
    <w:nsid w:val="488D1225"/>
    <w:multiLevelType w:val="hybridMultilevel"/>
    <w:tmpl w:val="6570F59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2" w15:restartNumberingAfterBreak="0">
    <w:nsid w:val="48B2224A"/>
    <w:multiLevelType w:val="hybridMultilevel"/>
    <w:tmpl w:val="4E5CB94C"/>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3" w15:restartNumberingAfterBreak="0">
    <w:nsid w:val="48B51975"/>
    <w:multiLevelType w:val="hybridMultilevel"/>
    <w:tmpl w:val="A5FE85D4"/>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4" w15:restartNumberingAfterBreak="0">
    <w:nsid w:val="49FE6C23"/>
    <w:multiLevelType w:val="hybridMultilevel"/>
    <w:tmpl w:val="6F42B20A"/>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5" w15:restartNumberingAfterBreak="0">
    <w:nsid w:val="4A0B548C"/>
    <w:multiLevelType w:val="multilevel"/>
    <w:tmpl w:val="76C267C0"/>
    <w:lvl w:ilvl="0">
      <w:start w:val="1"/>
      <w:numFmt w:val="decimal"/>
      <w:lvlText w:val="%1."/>
      <w:lvlJc w:val="left"/>
      <w:pPr>
        <w:ind w:left="720" w:hanging="360"/>
      </w:pPr>
      <w:rPr>
        <w:sz w:val="20"/>
        <w:szCs w:val="20"/>
        <w:u w:val="none"/>
      </w:rPr>
    </w:lvl>
    <w:lvl w:ilvl="1">
      <w:start w:val="1"/>
      <w:numFmt w:val="lowerLetter"/>
      <w:lvlText w:val="%2."/>
      <w:lvlJc w:val="left"/>
      <w:pPr>
        <w:ind w:left="1440" w:hanging="360"/>
      </w:pPr>
      <w:rPr>
        <w:color w:val="auto"/>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6" w15:restartNumberingAfterBreak="0">
    <w:nsid w:val="4A487C6D"/>
    <w:multiLevelType w:val="hybridMultilevel"/>
    <w:tmpl w:val="812ABC0A"/>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7" w15:restartNumberingAfterBreak="0">
    <w:nsid w:val="4A822C2B"/>
    <w:multiLevelType w:val="hybridMultilevel"/>
    <w:tmpl w:val="452AAB5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8" w15:restartNumberingAfterBreak="0">
    <w:nsid w:val="4ADA544E"/>
    <w:multiLevelType w:val="hybridMultilevel"/>
    <w:tmpl w:val="EC8A08BE"/>
    <w:lvl w:ilvl="0" w:tplc="04090001">
      <w:start w:val="1"/>
      <w:numFmt w:val="bullet"/>
      <w:lvlText w:val=""/>
      <w:lvlJc w:val="left"/>
      <w:pPr>
        <w:ind w:left="900" w:hanging="360"/>
      </w:pPr>
      <w:rPr>
        <w:rFonts w:ascii="Symbol" w:hAnsi="Symbol" w:hint="default"/>
        <w:i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9" w15:restartNumberingAfterBreak="0">
    <w:nsid w:val="4B0661E5"/>
    <w:multiLevelType w:val="hybridMultilevel"/>
    <w:tmpl w:val="CDBC5E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0" w15:restartNumberingAfterBreak="0">
    <w:nsid w:val="4B095677"/>
    <w:multiLevelType w:val="hybridMultilevel"/>
    <w:tmpl w:val="D4F8B420"/>
    <w:lvl w:ilvl="0" w:tplc="AF12F2E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1" w15:restartNumberingAfterBreak="0">
    <w:nsid w:val="4B3503B6"/>
    <w:multiLevelType w:val="hybridMultilevel"/>
    <w:tmpl w:val="12AA4102"/>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2" w15:restartNumberingAfterBreak="0">
    <w:nsid w:val="4BB119AF"/>
    <w:multiLevelType w:val="hybridMultilevel"/>
    <w:tmpl w:val="FDB6CB78"/>
    <w:lvl w:ilvl="0" w:tplc="0409000F">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3" w15:restartNumberingAfterBreak="0">
    <w:nsid w:val="4BCA3B5D"/>
    <w:multiLevelType w:val="hybridMultilevel"/>
    <w:tmpl w:val="25080AC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4" w15:restartNumberingAfterBreak="0">
    <w:nsid w:val="4BE31A21"/>
    <w:multiLevelType w:val="hybridMultilevel"/>
    <w:tmpl w:val="32FA07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5" w15:restartNumberingAfterBreak="0">
    <w:nsid w:val="4C005325"/>
    <w:multiLevelType w:val="hybridMultilevel"/>
    <w:tmpl w:val="66789706"/>
    <w:lvl w:ilvl="0" w:tplc="47446C74">
      <w:start w:val="1"/>
      <w:numFmt w:val="decimal"/>
      <w:lvlText w:val="%1)"/>
      <w:lvlJc w:val="left"/>
      <w:pPr>
        <w:ind w:left="360" w:hanging="360"/>
      </w:pPr>
      <w:rPr>
        <w:rFonts w:hint="default"/>
        <w:i w:val="0"/>
      </w:rPr>
    </w:lvl>
    <w:lvl w:ilvl="1" w:tplc="04090001">
      <w:start w:val="1"/>
      <w:numFmt w:val="bullet"/>
      <w:lvlText w:val=""/>
      <w:lvlJc w:val="left"/>
      <w:pPr>
        <w:ind w:left="900" w:hanging="360"/>
      </w:pPr>
      <w:rPr>
        <w:rFonts w:ascii="Symbol" w:hAnsi="Symbol" w:hint="default"/>
      </w:rPr>
    </w:lvl>
    <w:lvl w:ilvl="2" w:tplc="0409001B" w:tentative="1">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286" w15:restartNumberingAfterBreak="0">
    <w:nsid w:val="4C8C5E2E"/>
    <w:multiLevelType w:val="hybridMultilevel"/>
    <w:tmpl w:val="B4C46F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7" w15:restartNumberingAfterBreak="0">
    <w:nsid w:val="4CD269CA"/>
    <w:multiLevelType w:val="hybridMultilevel"/>
    <w:tmpl w:val="77686EB2"/>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8" w15:restartNumberingAfterBreak="0">
    <w:nsid w:val="4CE22CF3"/>
    <w:multiLevelType w:val="hybridMultilevel"/>
    <w:tmpl w:val="4F689E5C"/>
    <w:lvl w:ilvl="0" w:tplc="D0C47EB0">
      <w:start w:val="1"/>
      <w:numFmt w:val="lowerLetter"/>
      <w:lvlText w:val="%1."/>
      <w:lvlJc w:val="left"/>
      <w:pPr>
        <w:ind w:left="720" w:hanging="360"/>
      </w:pPr>
      <w:rPr>
        <w:b w:val="0"/>
        <w:b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9" w15:restartNumberingAfterBreak="0">
    <w:nsid w:val="4D6E34DE"/>
    <w:multiLevelType w:val="hybridMultilevel"/>
    <w:tmpl w:val="8C3411BE"/>
    <w:lvl w:ilvl="0" w:tplc="0409000F">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0" w15:restartNumberingAfterBreak="0">
    <w:nsid w:val="4D9E7CA4"/>
    <w:multiLevelType w:val="hybridMultilevel"/>
    <w:tmpl w:val="087A69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1" w15:restartNumberingAfterBreak="0">
    <w:nsid w:val="4DD81E0C"/>
    <w:multiLevelType w:val="hybridMultilevel"/>
    <w:tmpl w:val="B8DC56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2" w15:restartNumberingAfterBreak="0">
    <w:nsid w:val="4DED3D21"/>
    <w:multiLevelType w:val="hybridMultilevel"/>
    <w:tmpl w:val="8B7A5318"/>
    <w:lvl w:ilvl="0" w:tplc="FFFFFFFF">
      <w:start w:val="1"/>
      <w:numFmt w:val="bullet"/>
      <w:lvlText w:val=""/>
      <w:lvlJc w:val="left"/>
      <w:pPr>
        <w:ind w:left="360" w:hanging="360"/>
      </w:pPr>
      <w:rPr>
        <w:rFonts w:ascii="Symbol" w:hAnsi="Symbol" w:hint="default"/>
        <w:b w:val="0"/>
        <w:i w:val="0"/>
      </w:rPr>
    </w:lvl>
    <w:lvl w:ilvl="1" w:tplc="04090001">
      <w:start w:val="1"/>
      <w:numFmt w:val="bullet"/>
      <w:lvlText w:val=""/>
      <w:lvlJc w:val="left"/>
      <w:pPr>
        <w:ind w:left="1080" w:hanging="360"/>
      </w:pPr>
      <w:rPr>
        <w:rFonts w:ascii="Symbol" w:hAnsi="Symbol"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93" w15:restartNumberingAfterBreak="0">
    <w:nsid w:val="4E90292E"/>
    <w:multiLevelType w:val="hybridMultilevel"/>
    <w:tmpl w:val="0D3ADE9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4" w15:restartNumberingAfterBreak="0">
    <w:nsid w:val="4ED46935"/>
    <w:multiLevelType w:val="hybridMultilevel"/>
    <w:tmpl w:val="3528BCEE"/>
    <w:lvl w:ilvl="0" w:tplc="0409000F">
      <w:start w:val="1"/>
      <w:numFmt w:val="decimal"/>
      <w:lvlText w:val="%1."/>
      <w:lvlJc w:val="left"/>
      <w:pPr>
        <w:ind w:left="720" w:hanging="360"/>
      </w:pPr>
      <w:rPr>
        <w:rFonts w:cs="Times New Roman"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5" w15:restartNumberingAfterBreak="0">
    <w:nsid w:val="4F053265"/>
    <w:multiLevelType w:val="hybridMultilevel"/>
    <w:tmpl w:val="16204F9C"/>
    <w:lvl w:ilvl="0" w:tplc="C8981318">
      <w:start w:val="1"/>
      <w:numFmt w:val="decimal"/>
      <w:suff w:val="space"/>
      <w:lvlText w:val="%1)"/>
      <w:lvlJc w:val="left"/>
      <w:pPr>
        <w:ind w:left="360" w:hanging="216"/>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6" w15:restartNumberingAfterBreak="0">
    <w:nsid w:val="4F220CB4"/>
    <w:multiLevelType w:val="hybridMultilevel"/>
    <w:tmpl w:val="EDA6B942"/>
    <w:lvl w:ilvl="0" w:tplc="6E1A5FEE">
      <w:start w:val="1"/>
      <w:numFmt w:val="decimal"/>
      <w:lvlText w:val="%1)"/>
      <w:lvlJc w:val="left"/>
      <w:pPr>
        <w:ind w:left="360" w:hanging="360"/>
      </w:pPr>
      <w:rPr>
        <w:rFonts w:hint="default"/>
        <w:i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7" w15:restartNumberingAfterBreak="0">
    <w:nsid w:val="4FBA52C0"/>
    <w:multiLevelType w:val="hybridMultilevel"/>
    <w:tmpl w:val="C6A086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8" w15:restartNumberingAfterBreak="0">
    <w:nsid w:val="4FCC1BFE"/>
    <w:multiLevelType w:val="hybridMultilevel"/>
    <w:tmpl w:val="4D50629E"/>
    <w:lvl w:ilvl="0" w:tplc="04090001">
      <w:start w:val="1"/>
      <w:numFmt w:val="bullet"/>
      <w:lvlText w:val=""/>
      <w:lvlJc w:val="left"/>
      <w:pPr>
        <w:ind w:left="720" w:hanging="360"/>
      </w:pPr>
      <w:rPr>
        <w:rFonts w:ascii="Symbol" w:hAnsi="Symbol" w:hint="default"/>
      </w:rPr>
    </w:lvl>
    <w:lvl w:ilvl="1" w:tplc="DB3A0190">
      <w:start w:val="3"/>
      <w:numFmt w:val="bullet"/>
      <w:lvlText w:val="•"/>
      <w:lvlJc w:val="left"/>
      <w:pPr>
        <w:ind w:left="1440" w:hanging="360"/>
      </w:pPr>
      <w:rPr>
        <w:rFonts w:ascii="Arial" w:eastAsia="Times New Roman"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9" w15:restartNumberingAfterBreak="0">
    <w:nsid w:val="501C7DAD"/>
    <w:multiLevelType w:val="hybridMultilevel"/>
    <w:tmpl w:val="45460B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0" w15:restartNumberingAfterBreak="0">
    <w:nsid w:val="50354F35"/>
    <w:multiLevelType w:val="hybridMultilevel"/>
    <w:tmpl w:val="FA483C92"/>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1" w15:restartNumberingAfterBreak="0">
    <w:nsid w:val="50993DFE"/>
    <w:multiLevelType w:val="multilevel"/>
    <w:tmpl w:val="756420E0"/>
    <w:lvl w:ilvl="0">
      <w:start w:val="1"/>
      <w:numFmt w:val="bullet"/>
      <w:lvlText w:val="Q"/>
      <w:lvlJc w:val="left"/>
      <w:pPr>
        <w:tabs>
          <w:tab w:val="num" w:pos="360"/>
        </w:tabs>
        <w:ind w:left="288" w:hanging="288"/>
      </w:pPr>
      <w:rPr>
        <w:rFonts w:ascii="Arial Black" w:hAnsi="Arial Black" w:hint="default"/>
        <w:sz w:val="24"/>
      </w:rPr>
    </w:lvl>
    <w:lvl w:ilvl="1">
      <w:start w:val="1"/>
      <w:numFmt w:val="bullet"/>
      <w:pStyle w:val="Answer"/>
      <w:lvlText w:val="A"/>
      <w:lvlJc w:val="left"/>
      <w:pPr>
        <w:tabs>
          <w:tab w:val="num" w:pos="360"/>
        </w:tabs>
        <w:ind w:left="288" w:hanging="288"/>
      </w:pPr>
      <w:rPr>
        <w:rFonts w:ascii="Arial Black" w:hAnsi="Arial Black" w:hint="default"/>
        <w:sz w:val="24"/>
      </w:rPr>
    </w:lvl>
    <w:lvl w:ilvl="2">
      <w:start w:val="1"/>
      <w:numFmt w:val="bullet"/>
      <w:lvlText w:val=""/>
      <w:lvlJc w:val="left"/>
      <w:pPr>
        <w:tabs>
          <w:tab w:val="num" w:pos="792"/>
        </w:tabs>
        <w:ind w:left="648" w:hanging="216"/>
      </w:pPr>
      <w:rPr>
        <w:rFonts w:ascii="Wingdings" w:hAnsi="Wingdings" w:hint="default"/>
      </w:rPr>
    </w:lvl>
    <w:lvl w:ilvl="3">
      <w:start w:val="1"/>
      <w:numFmt w:val="bullet"/>
      <w:lvlText w:val=""/>
      <w:lvlJc w:val="left"/>
      <w:pPr>
        <w:tabs>
          <w:tab w:val="num" w:pos="1008"/>
        </w:tabs>
        <w:ind w:left="864" w:hanging="216"/>
      </w:pPr>
      <w:rPr>
        <w:rFonts w:ascii="Wingdings" w:hAnsi="Wingdings"/>
      </w:rPr>
    </w:lvl>
    <w:lvl w:ilvl="4">
      <w:start w:val="1"/>
      <w:numFmt w:val="bullet"/>
      <w:lvlText w:val=""/>
      <w:lvlJc w:val="left"/>
      <w:pPr>
        <w:tabs>
          <w:tab w:val="num" w:pos="1224"/>
        </w:tabs>
        <w:ind w:left="1080" w:hanging="216"/>
      </w:pPr>
      <w:rPr>
        <w:rFonts w:ascii="Wingdings" w:hAnsi="Wingdings"/>
      </w:rPr>
    </w:lvl>
    <w:lvl w:ilvl="5">
      <w:start w:val="1"/>
      <w:numFmt w:val="bullet"/>
      <w:lvlText w:val="»"/>
      <w:lvlJc w:val="left"/>
      <w:pPr>
        <w:tabs>
          <w:tab w:val="num" w:pos="1440"/>
        </w:tabs>
        <w:ind w:left="1296" w:hanging="216"/>
      </w:pPr>
      <w:rPr>
        <w:rFonts w:ascii="Times New Roman" w:hAnsi="Times New Roman"/>
      </w:rPr>
    </w:lvl>
    <w:lvl w:ilvl="6">
      <w:start w:val="1"/>
      <w:numFmt w:val="bullet"/>
      <w:lvlText w:val=""/>
      <w:lvlJc w:val="left"/>
      <w:pPr>
        <w:tabs>
          <w:tab w:val="num" w:pos="1656"/>
        </w:tabs>
        <w:ind w:left="1512" w:hanging="216"/>
      </w:pPr>
      <w:rPr>
        <w:rFonts w:ascii="Symbol" w:hAnsi="Symbol"/>
      </w:rPr>
    </w:lvl>
    <w:lvl w:ilvl="7">
      <w:start w:val="1"/>
      <w:numFmt w:val="bullet"/>
      <w:lvlText w:val="¤"/>
      <w:lvlJc w:val="left"/>
      <w:pPr>
        <w:tabs>
          <w:tab w:val="num" w:pos="1872"/>
        </w:tabs>
        <w:ind w:left="1728" w:hanging="216"/>
      </w:pPr>
      <w:rPr>
        <w:rFonts w:ascii="Times New Roman" w:hAnsi="Times New Roman"/>
      </w:rPr>
    </w:lvl>
    <w:lvl w:ilvl="8">
      <w:start w:val="1"/>
      <w:numFmt w:val="bullet"/>
      <w:lvlText w:val=""/>
      <w:lvlJc w:val="left"/>
      <w:pPr>
        <w:tabs>
          <w:tab w:val="num" w:pos="2088"/>
        </w:tabs>
        <w:ind w:left="1944" w:hanging="216"/>
      </w:pPr>
      <w:rPr>
        <w:rFonts w:ascii="Wingdings" w:hAnsi="Wingdings"/>
      </w:rPr>
    </w:lvl>
  </w:abstractNum>
  <w:abstractNum w:abstractNumId="302" w15:restartNumberingAfterBreak="0">
    <w:nsid w:val="51026DFE"/>
    <w:multiLevelType w:val="hybridMultilevel"/>
    <w:tmpl w:val="6F24341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3" w15:restartNumberingAfterBreak="0">
    <w:nsid w:val="52763156"/>
    <w:multiLevelType w:val="hybridMultilevel"/>
    <w:tmpl w:val="C2BC514E"/>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4" w15:restartNumberingAfterBreak="0">
    <w:nsid w:val="5284620F"/>
    <w:multiLevelType w:val="hybridMultilevel"/>
    <w:tmpl w:val="A5647F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5" w15:restartNumberingAfterBreak="0">
    <w:nsid w:val="529F58B3"/>
    <w:multiLevelType w:val="hybridMultilevel"/>
    <w:tmpl w:val="1944CE88"/>
    <w:lvl w:ilvl="0" w:tplc="5B94D1B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6" w15:restartNumberingAfterBreak="0">
    <w:nsid w:val="52BF1F1E"/>
    <w:multiLevelType w:val="hybridMultilevel"/>
    <w:tmpl w:val="D55CC5F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7" w15:restartNumberingAfterBreak="0">
    <w:nsid w:val="534E263E"/>
    <w:multiLevelType w:val="hybridMultilevel"/>
    <w:tmpl w:val="4F689E5C"/>
    <w:lvl w:ilvl="0" w:tplc="FFFFFFFF">
      <w:start w:val="1"/>
      <w:numFmt w:val="lowerLetter"/>
      <w:lvlText w:val="%1."/>
      <w:lvlJc w:val="left"/>
      <w:pPr>
        <w:ind w:left="720" w:hanging="360"/>
      </w:pPr>
      <w:rPr>
        <w:b w:val="0"/>
        <w:b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8" w15:restartNumberingAfterBreak="0">
    <w:nsid w:val="539F3594"/>
    <w:multiLevelType w:val="hybridMultilevel"/>
    <w:tmpl w:val="758274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9" w15:restartNumberingAfterBreak="0">
    <w:nsid w:val="53C15323"/>
    <w:multiLevelType w:val="hybridMultilevel"/>
    <w:tmpl w:val="7BBEB00C"/>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0" w15:restartNumberingAfterBreak="0">
    <w:nsid w:val="5474358E"/>
    <w:multiLevelType w:val="hybridMultilevel"/>
    <w:tmpl w:val="6AC0B5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1" w15:restartNumberingAfterBreak="0">
    <w:nsid w:val="54A633D2"/>
    <w:multiLevelType w:val="hybridMultilevel"/>
    <w:tmpl w:val="5CB4C16A"/>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2" w15:restartNumberingAfterBreak="0">
    <w:nsid w:val="54AB622C"/>
    <w:multiLevelType w:val="hybridMultilevel"/>
    <w:tmpl w:val="2930681C"/>
    <w:lvl w:ilvl="0" w:tplc="5A4A2508">
      <w:start w:val="1"/>
      <w:numFmt w:val="decimal"/>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3" w15:restartNumberingAfterBreak="0">
    <w:nsid w:val="54B614FA"/>
    <w:multiLevelType w:val="hybridMultilevel"/>
    <w:tmpl w:val="24902248"/>
    <w:lvl w:ilvl="0" w:tplc="5B94D1B6">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14" w15:restartNumberingAfterBreak="0">
    <w:nsid w:val="54B971D5"/>
    <w:multiLevelType w:val="hybridMultilevel"/>
    <w:tmpl w:val="259AEEF6"/>
    <w:lvl w:ilvl="0" w:tplc="FFFFFFFF">
      <w:start w:val="1"/>
      <w:numFmt w:val="decimal"/>
      <w:lvlText w:val="%1."/>
      <w:lvlJc w:val="left"/>
      <w:pPr>
        <w:ind w:left="720" w:hanging="360"/>
      </w:pPr>
      <w:rPr>
        <w:rFonts w:hint="default"/>
        <w:b/>
        <w:bCs w:val="0"/>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5" w15:restartNumberingAfterBreak="0">
    <w:nsid w:val="54C959C0"/>
    <w:multiLevelType w:val="hybridMultilevel"/>
    <w:tmpl w:val="A9D49D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6" w15:restartNumberingAfterBreak="0">
    <w:nsid w:val="550F7012"/>
    <w:multiLevelType w:val="hybridMultilevel"/>
    <w:tmpl w:val="9B6CF0AC"/>
    <w:lvl w:ilvl="0" w:tplc="FFFFFFFF">
      <w:start w:val="1"/>
      <w:numFmt w:val="decimal"/>
      <w:lvlText w:val="%1."/>
      <w:lvlJc w:val="left"/>
      <w:pPr>
        <w:ind w:left="720" w:hanging="360"/>
      </w:pPr>
      <w:rPr>
        <w:b/>
        <w:bCs w:val="0"/>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7" w15:restartNumberingAfterBreak="0">
    <w:nsid w:val="551E1E6C"/>
    <w:multiLevelType w:val="hybridMultilevel"/>
    <w:tmpl w:val="BFB297B8"/>
    <w:lvl w:ilvl="0" w:tplc="FFFFFFFF">
      <w:start w:val="1"/>
      <w:numFmt w:val="decimal"/>
      <w:lvlText w:val="%1)"/>
      <w:lvlJc w:val="left"/>
      <w:pPr>
        <w:ind w:left="360" w:hanging="360"/>
      </w:pPr>
      <w:rPr>
        <w:b w:val="0"/>
        <w:bCs/>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decimal"/>
      <w:lvlText w:val="%5)"/>
      <w:lvlJc w:val="left"/>
      <w:pPr>
        <w:ind w:left="720" w:hanging="360"/>
      </w:pPr>
      <w:rPr>
        <w:rFonts w:cs="Times New Roman"/>
      </w:r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18" w15:restartNumberingAfterBreak="0">
    <w:nsid w:val="555845DE"/>
    <w:multiLevelType w:val="hybridMultilevel"/>
    <w:tmpl w:val="3EA46ADC"/>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9" w15:restartNumberingAfterBreak="0">
    <w:nsid w:val="55893EF3"/>
    <w:multiLevelType w:val="hybridMultilevel"/>
    <w:tmpl w:val="59B034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0" w15:restartNumberingAfterBreak="0">
    <w:nsid w:val="55CE16DF"/>
    <w:multiLevelType w:val="hybridMultilevel"/>
    <w:tmpl w:val="55B43F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21" w15:restartNumberingAfterBreak="0">
    <w:nsid w:val="5603669A"/>
    <w:multiLevelType w:val="hybridMultilevel"/>
    <w:tmpl w:val="03B203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2" w15:restartNumberingAfterBreak="0">
    <w:nsid w:val="56624648"/>
    <w:multiLevelType w:val="hybridMultilevel"/>
    <w:tmpl w:val="DC58C4DE"/>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3" w15:restartNumberingAfterBreak="0">
    <w:nsid w:val="56AD00BD"/>
    <w:multiLevelType w:val="hybridMultilevel"/>
    <w:tmpl w:val="34AC034E"/>
    <w:lvl w:ilvl="0" w:tplc="3B1E42D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4" w15:restartNumberingAfterBreak="0">
    <w:nsid w:val="56C93036"/>
    <w:multiLevelType w:val="hybridMultilevel"/>
    <w:tmpl w:val="B4C46F7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5" w15:restartNumberingAfterBreak="0">
    <w:nsid w:val="56E71EC0"/>
    <w:multiLevelType w:val="hybridMultilevel"/>
    <w:tmpl w:val="073253B4"/>
    <w:lvl w:ilvl="0" w:tplc="C06C9C26">
      <w:start w:val="1"/>
      <w:numFmt w:val="decimal"/>
      <w:lvlText w:val="%1)"/>
      <w:lvlJc w:val="left"/>
      <w:pPr>
        <w:ind w:left="360" w:hanging="360"/>
      </w:pPr>
      <w:rPr>
        <w:b w:val="0"/>
        <w:i w:val="0"/>
      </w:rPr>
    </w:lvl>
    <w:lvl w:ilvl="1" w:tplc="04090017">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6" w15:restartNumberingAfterBreak="0">
    <w:nsid w:val="56FB29E9"/>
    <w:multiLevelType w:val="hybridMultilevel"/>
    <w:tmpl w:val="59D253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7" w15:restartNumberingAfterBreak="0">
    <w:nsid w:val="57651059"/>
    <w:multiLevelType w:val="hybridMultilevel"/>
    <w:tmpl w:val="D85027A6"/>
    <w:lvl w:ilvl="0" w:tplc="04090019">
      <w:start w:val="1"/>
      <w:numFmt w:val="lowerLetter"/>
      <w:lvlText w:val="%1."/>
      <w:lvlJc w:val="left"/>
      <w:pPr>
        <w:ind w:left="360" w:hanging="360"/>
      </w:pPr>
      <w:rPr>
        <w:b w:val="0"/>
        <w:bCs w:val="0"/>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decimal"/>
      <w:lvlText w:val="%5)"/>
      <w:lvlJc w:val="left"/>
      <w:pPr>
        <w:ind w:left="720" w:hanging="360"/>
      </w:pPr>
      <w:rPr>
        <w:rFonts w:cs="Times New Roman"/>
      </w:r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28" w15:restartNumberingAfterBreak="0">
    <w:nsid w:val="57675F66"/>
    <w:multiLevelType w:val="hybridMultilevel"/>
    <w:tmpl w:val="3AFAF134"/>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9" w15:restartNumberingAfterBreak="0">
    <w:nsid w:val="57824E14"/>
    <w:multiLevelType w:val="hybridMultilevel"/>
    <w:tmpl w:val="2BA0FF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0" w15:restartNumberingAfterBreak="0">
    <w:nsid w:val="57A17E21"/>
    <w:multiLevelType w:val="hybridMultilevel"/>
    <w:tmpl w:val="6F24341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1" w15:restartNumberingAfterBreak="0">
    <w:nsid w:val="57A23D24"/>
    <w:multiLevelType w:val="hybridMultilevel"/>
    <w:tmpl w:val="7D080E0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2" w15:restartNumberingAfterBreak="0">
    <w:nsid w:val="5801652D"/>
    <w:multiLevelType w:val="hybridMultilevel"/>
    <w:tmpl w:val="872AC3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3" w15:restartNumberingAfterBreak="0">
    <w:nsid w:val="58370AE2"/>
    <w:multiLevelType w:val="hybridMultilevel"/>
    <w:tmpl w:val="7F2E9C6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4" w15:restartNumberingAfterBreak="0">
    <w:nsid w:val="5899315F"/>
    <w:multiLevelType w:val="hybridMultilevel"/>
    <w:tmpl w:val="BFB297B8"/>
    <w:lvl w:ilvl="0" w:tplc="FFFFFFFF">
      <w:start w:val="1"/>
      <w:numFmt w:val="decimal"/>
      <w:lvlText w:val="%1)"/>
      <w:lvlJc w:val="left"/>
      <w:pPr>
        <w:ind w:left="360" w:hanging="360"/>
      </w:pPr>
      <w:rPr>
        <w:b w:val="0"/>
        <w:bCs/>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decimal"/>
      <w:lvlText w:val="%5)"/>
      <w:lvlJc w:val="left"/>
      <w:pPr>
        <w:ind w:left="720" w:hanging="360"/>
      </w:pPr>
      <w:rPr>
        <w:rFonts w:cs="Times New Roman"/>
      </w:r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35" w15:restartNumberingAfterBreak="0">
    <w:nsid w:val="590C78E6"/>
    <w:multiLevelType w:val="hybridMultilevel"/>
    <w:tmpl w:val="AE2EC98E"/>
    <w:lvl w:ilvl="0" w:tplc="04090001">
      <w:start w:val="1"/>
      <w:numFmt w:val="bullet"/>
      <w:lvlText w:val=""/>
      <w:lvlJc w:val="left"/>
      <w:pPr>
        <w:ind w:left="1140" w:hanging="360"/>
      </w:pPr>
      <w:rPr>
        <w:rFonts w:ascii="Symbol" w:hAnsi="Symbol"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336" w15:restartNumberingAfterBreak="0">
    <w:nsid w:val="59F85796"/>
    <w:multiLevelType w:val="hybridMultilevel"/>
    <w:tmpl w:val="402AD8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7" w15:restartNumberingAfterBreak="0">
    <w:nsid w:val="5A217A96"/>
    <w:multiLevelType w:val="hybridMultilevel"/>
    <w:tmpl w:val="3CE4889C"/>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8" w15:restartNumberingAfterBreak="0">
    <w:nsid w:val="5AD039DD"/>
    <w:multiLevelType w:val="hybridMultilevel"/>
    <w:tmpl w:val="092AFCEA"/>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9" w15:restartNumberingAfterBreak="0">
    <w:nsid w:val="5BB31E15"/>
    <w:multiLevelType w:val="hybridMultilevel"/>
    <w:tmpl w:val="A0D0B2D4"/>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0" w15:restartNumberingAfterBreak="0">
    <w:nsid w:val="5BE242E8"/>
    <w:multiLevelType w:val="hybridMultilevel"/>
    <w:tmpl w:val="09507BDE"/>
    <w:lvl w:ilvl="0" w:tplc="FFFFFFFF">
      <w:numFmt w:val="bullet"/>
      <w:lvlText w:val=""/>
      <w:lvlJc w:val="left"/>
      <w:pPr>
        <w:tabs>
          <w:tab w:val="num" w:pos="720"/>
        </w:tabs>
        <w:ind w:left="720" w:hanging="360"/>
      </w:pPr>
      <w:rPr>
        <w:rFonts w:ascii="Symbol" w:hAnsi="Symbol" w:hint="default"/>
        <w:color w:val="auto"/>
      </w:rPr>
    </w:lvl>
    <w:lvl w:ilvl="1" w:tplc="9CCCC2EA">
      <w:start w:val="1"/>
      <w:numFmt w:val="bullet"/>
      <w:lvlText w:val=""/>
      <w:lvlJc w:val="left"/>
      <w:pPr>
        <w:tabs>
          <w:tab w:val="num" w:pos="1440"/>
        </w:tabs>
        <w:ind w:left="1440" w:hanging="360"/>
      </w:pPr>
      <w:rPr>
        <w:rFonts w:ascii="Symbol" w:hAnsi="Symbol" w:hint="default"/>
        <w:color w:val="auto"/>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41" w15:restartNumberingAfterBreak="0">
    <w:nsid w:val="5BFA5FE6"/>
    <w:multiLevelType w:val="hybridMultilevel"/>
    <w:tmpl w:val="740209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2" w15:restartNumberingAfterBreak="0">
    <w:nsid w:val="5C317F4B"/>
    <w:multiLevelType w:val="hybridMultilevel"/>
    <w:tmpl w:val="52E4803E"/>
    <w:lvl w:ilvl="0" w:tplc="0409001B">
      <w:start w:val="1"/>
      <w:numFmt w:val="lowerRoman"/>
      <w:lvlText w:val="%1."/>
      <w:lvlJc w:val="right"/>
      <w:pPr>
        <w:ind w:left="1980" w:hanging="360"/>
      </w:p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343" w15:restartNumberingAfterBreak="0">
    <w:nsid w:val="5CD22999"/>
    <w:multiLevelType w:val="hybridMultilevel"/>
    <w:tmpl w:val="1346B070"/>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4" w15:restartNumberingAfterBreak="0">
    <w:nsid w:val="5D14101B"/>
    <w:multiLevelType w:val="hybridMultilevel"/>
    <w:tmpl w:val="0EF66FB0"/>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5" w15:restartNumberingAfterBreak="0">
    <w:nsid w:val="5DD50CA4"/>
    <w:multiLevelType w:val="hybridMultilevel"/>
    <w:tmpl w:val="3228B4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6" w15:restartNumberingAfterBreak="0">
    <w:nsid w:val="5E1B0A6D"/>
    <w:multiLevelType w:val="hybridMultilevel"/>
    <w:tmpl w:val="2EE46C1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7" w15:restartNumberingAfterBreak="0">
    <w:nsid w:val="5E616B62"/>
    <w:multiLevelType w:val="hybridMultilevel"/>
    <w:tmpl w:val="15768C94"/>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8" w15:restartNumberingAfterBreak="0">
    <w:nsid w:val="5EBB6789"/>
    <w:multiLevelType w:val="hybridMultilevel"/>
    <w:tmpl w:val="B8A8B57A"/>
    <w:lvl w:ilvl="0" w:tplc="FFFFFFFF">
      <w:start w:val="1"/>
      <w:numFmt w:val="decimal"/>
      <w:lvlText w:val="%1)"/>
      <w:lvlJc w:val="left"/>
      <w:pPr>
        <w:ind w:left="360" w:hanging="360"/>
      </w:pPr>
      <w:rPr>
        <w:rFonts w:hint="default"/>
      </w:rPr>
    </w:lvl>
    <w:lvl w:ilvl="1" w:tplc="04090001">
      <w:start w:val="1"/>
      <w:numFmt w:val="bullet"/>
      <w:lvlText w:val=""/>
      <w:lvlJc w:val="left"/>
      <w:pPr>
        <w:ind w:left="720" w:hanging="360"/>
      </w:pPr>
      <w:rPr>
        <w:rFonts w:ascii="Symbol" w:hAnsi="Symbol" w:hint="default"/>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49" w15:restartNumberingAfterBreak="0">
    <w:nsid w:val="5EC43E6D"/>
    <w:multiLevelType w:val="hybridMultilevel"/>
    <w:tmpl w:val="C41047CC"/>
    <w:lvl w:ilvl="0" w:tplc="EE5A8B06">
      <w:start w:val="12"/>
      <w:numFmt w:val="decimal"/>
      <w:lvlText w:val="%1)"/>
      <w:lvlJc w:val="left"/>
      <w:pPr>
        <w:ind w:left="360" w:hanging="360"/>
      </w:pPr>
      <w:rPr>
        <w:rFonts w:hint="default"/>
        <w:i w:val="0"/>
        <w:i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0" w15:restartNumberingAfterBreak="0">
    <w:nsid w:val="5EE96CD3"/>
    <w:multiLevelType w:val="hybridMultilevel"/>
    <w:tmpl w:val="7458CE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1" w15:restartNumberingAfterBreak="0">
    <w:nsid w:val="5F562750"/>
    <w:multiLevelType w:val="hybridMultilevel"/>
    <w:tmpl w:val="7FFEBE7E"/>
    <w:lvl w:ilvl="0" w:tplc="04090019">
      <w:start w:val="1"/>
      <w:numFmt w:val="lowerLetter"/>
      <w:lvlText w:val="%1."/>
      <w:lvlJc w:val="left"/>
      <w:pPr>
        <w:ind w:left="1080" w:hanging="360"/>
      </w:pPr>
    </w:lvl>
    <w:lvl w:ilvl="1" w:tplc="04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2" w15:restartNumberingAfterBreak="0">
    <w:nsid w:val="5F67432A"/>
    <w:multiLevelType w:val="singleLevel"/>
    <w:tmpl w:val="FFFFFFFF"/>
    <w:lvl w:ilvl="0">
      <w:numFmt w:val="bullet"/>
      <w:lvlText w:val=""/>
      <w:legacy w:legacy="1" w:legacySpace="0" w:legacyIndent="360"/>
      <w:lvlJc w:val="left"/>
      <w:pPr>
        <w:ind w:left="720" w:hanging="360"/>
      </w:pPr>
      <w:rPr>
        <w:rFonts w:ascii="Symbol" w:hAnsi="Symbol" w:hint="default"/>
      </w:rPr>
    </w:lvl>
  </w:abstractNum>
  <w:abstractNum w:abstractNumId="353" w15:restartNumberingAfterBreak="0">
    <w:nsid w:val="5F6E3BA6"/>
    <w:multiLevelType w:val="hybridMultilevel"/>
    <w:tmpl w:val="40EE3DEC"/>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4" w15:restartNumberingAfterBreak="0">
    <w:nsid w:val="5FA746FF"/>
    <w:multiLevelType w:val="hybridMultilevel"/>
    <w:tmpl w:val="007A883E"/>
    <w:lvl w:ilvl="0" w:tplc="32F41FE6">
      <w:start w:val="1"/>
      <w:numFmt w:val="decimal"/>
      <w:lvlText w:val="%1."/>
      <w:lvlJc w:val="left"/>
      <w:pPr>
        <w:ind w:left="360" w:hanging="360"/>
      </w:pPr>
      <w:rPr>
        <w:b w:val="0"/>
        <w:bCs/>
        <w:i w:val="0"/>
        <w:iCs w:val="0"/>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decimal"/>
      <w:lvlText w:val="%5)"/>
      <w:lvlJc w:val="left"/>
      <w:pPr>
        <w:ind w:left="720" w:hanging="360"/>
      </w:pPr>
      <w:rPr>
        <w:rFonts w:cs="Times New Roman"/>
      </w:r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55" w15:restartNumberingAfterBreak="0">
    <w:nsid w:val="600915A6"/>
    <w:multiLevelType w:val="hybridMultilevel"/>
    <w:tmpl w:val="71AA0C56"/>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6" w15:restartNumberingAfterBreak="0">
    <w:nsid w:val="600C0903"/>
    <w:multiLevelType w:val="hybridMultilevel"/>
    <w:tmpl w:val="B41884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7" w15:restartNumberingAfterBreak="0">
    <w:nsid w:val="60D056F4"/>
    <w:multiLevelType w:val="hybridMultilevel"/>
    <w:tmpl w:val="321CC5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8" w15:restartNumberingAfterBreak="0">
    <w:nsid w:val="617A542E"/>
    <w:multiLevelType w:val="hybridMultilevel"/>
    <w:tmpl w:val="43321FF2"/>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9" w15:restartNumberingAfterBreak="0">
    <w:nsid w:val="61A67A50"/>
    <w:multiLevelType w:val="hybridMultilevel"/>
    <w:tmpl w:val="301061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0" w15:restartNumberingAfterBreak="0">
    <w:nsid w:val="621205E2"/>
    <w:multiLevelType w:val="hybridMultilevel"/>
    <w:tmpl w:val="CDDC0438"/>
    <w:lvl w:ilvl="0" w:tplc="04090001">
      <w:start w:val="1"/>
      <w:numFmt w:val="bullet"/>
      <w:lvlText w:val=""/>
      <w:lvlJc w:val="left"/>
      <w:pPr>
        <w:tabs>
          <w:tab w:val="num" w:pos="936"/>
        </w:tabs>
        <w:ind w:left="936" w:hanging="360"/>
      </w:pPr>
      <w:rPr>
        <w:rFonts w:ascii="Symbol" w:hAnsi="Symbol" w:hint="default"/>
      </w:rPr>
    </w:lvl>
    <w:lvl w:ilvl="1" w:tplc="04090003">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cs="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cs="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361" w15:restartNumberingAfterBreak="0">
    <w:nsid w:val="62385609"/>
    <w:multiLevelType w:val="hybridMultilevel"/>
    <w:tmpl w:val="AC48F85E"/>
    <w:lvl w:ilvl="0" w:tplc="C13A4FB6">
      <w:start w:val="1"/>
      <w:numFmt w:val="decimal"/>
      <w:lvlText w:val="%1)"/>
      <w:lvlJc w:val="left"/>
      <w:pPr>
        <w:ind w:left="360" w:hanging="360"/>
      </w:pPr>
      <w:rPr>
        <w:rFonts w:hint="default"/>
        <w:b/>
        <w:i w:val="0"/>
        <w:sz w:val="20"/>
        <w:szCs w:val="2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2" w15:restartNumberingAfterBreak="0">
    <w:nsid w:val="62687E63"/>
    <w:multiLevelType w:val="hybridMultilevel"/>
    <w:tmpl w:val="CC30FB18"/>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3" w15:restartNumberingAfterBreak="0">
    <w:nsid w:val="62D2560F"/>
    <w:multiLevelType w:val="hybridMultilevel"/>
    <w:tmpl w:val="994C7AC4"/>
    <w:lvl w:ilvl="0" w:tplc="A0E03720">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4" w15:restartNumberingAfterBreak="0">
    <w:nsid w:val="636569E0"/>
    <w:multiLevelType w:val="hybridMultilevel"/>
    <w:tmpl w:val="3F702622"/>
    <w:styleLink w:val="1111112"/>
    <w:lvl w:ilvl="0" w:tplc="355EE706">
      <w:start w:val="1"/>
      <w:numFmt w:val="bullet"/>
      <w:lvlText w:val=""/>
      <w:lvlJc w:val="left"/>
      <w:pPr>
        <w:tabs>
          <w:tab w:val="num" w:pos="720"/>
        </w:tabs>
        <w:ind w:left="720" w:hanging="360"/>
      </w:pPr>
      <w:rPr>
        <w:rFonts w:ascii="Symbol" w:hAnsi="Symbol" w:hint="default"/>
        <w:color w:val="auto"/>
      </w:rPr>
    </w:lvl>
    <w:lvl w:ilvl="1" w:tplc="9CCCC2EA">
      <w:start w:val="1"/>
      <w:numFmt w:val="bullet"/>
      <w:lvlText w:val=""/>
      <w:lvlJc w:val="left"/>
      <w:pPr>
        <w:tabs>
          <w:tab w:val="num" w:pos="1440"/>
        </w:tabs>
        <w:ind w:left="1440" w:hanging="360"/>
      </w:pPr>
      <w:rPr>
        <w:rFonts w:ascii="Symbol" w:hAnsi="Symbol"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5" w15:restartNumberingAfterBreak="0">
    <w:nsid w:val="63835D5E"/>
    <w:multiLevelType w:val="hybridMultilevel"/>
    <w:tmpl w:val="5280917C"/>
    <w:lvl w:ilvl="0" w:tplc="67800A46">
      <w:start w:val="1"/>
      <w:numFmt w:val="bullet"/>
      <w:lvlText w:val=""/>
      <w:lvlJc w:val="left"/>
      <w:pPr>
        <w:ind w:left="360" w:hanging="360"/>
      </w:pPr>
      <w:rPr>
        <w:rFonts w:ascii="Wingdings" w:hAnsi="Wingdings" w:hint="default"/>
        <w:b/>
        <w:sz w:val="24"/>
        <w:szCs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6" w15:restartNumberingAfterBreak="0">
    <w:nsid w:val="63B26545"/>
    <w:multiLevelType w:val="hybridMultilevel"/>
    <w:tmpl w:val="D898D9C8"/>
    <w:lvl w:ilvl="0" w:tplc="6E1A5FEE">
      <w:start w:val="1"/>
      <w:numFmt w:val="decimal"/>
      <w:lvlText w:val="%1)"/>
      <w:lvlJc w:val="left"/>
      <w:pPr>
        <w:ind w:left="360" w:hanging="360"/>
      </w:pPr>
      <w:rPr>
        <w:rFonts w:hint="default"/>
        <w:i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7" w15:restartNumberingAfterBreak="0">
    <w:nsid w:val="63B31355"/>
    <w:multiLevelType w:val="hybridMultilevel"/>
    <w:tmpl w:val="CA8AA6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8" w15:restartNumberingAfterBreak="0">
    <w:nsid w:val="644E455B"/>
    <w:multiLevelType w:val="hybridMultilevel"/>
    <w:tmpl w:val="2E88A02E"/>
    <w:lvl w:ilvl="0" w:tplc="9C4E00B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9" w15:restartNumberingAfterBreak="0">
    <w:nsid w:val="646F5362"/>
    <w:multiLevelType w:val="hybridMultilevel"/>
    <w:tmpl w:val="60AC4038"/>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0" w15:restartNumberingAfterBreak="0">
    <w:nsid w:val="64B53197"/>
    <w:multiLevelType w:val="hybridMultilevel"/>
    <w:tmpl w:val="3A54F0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1" w15:restartNumberingAfterBreak="0">
    <w:nsid w:val="64C528E6"/>
    <w:multiLevelType w:val="hybridMultilevel"/>
    <w:tmpl w:val="9446EAD4"/>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2" w15:restartNumberingAfterBreak="0">
    <w:nsid w:val="64DD2DE4"/>
    <w:multiLevelType w:val="hybridMultilevel"/>
    <w:tmpl w:val="5F1C1E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3" w15:restartNumberingAfterBreak="0">
    <w:nsid w:val="650673EE"/>
    <w:multiLevelType w:val="hybridMultilevel"/>
    <w:tmpl w:val="471A15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4" w15:restartNumberingAfterBreak="0">
    <w:nsid w:val="65552D0E"/>
    <w:multiLevelType w:val="hybridMultilevel"/>
    <w:tmpl w:val="72B86264"/>
    <w:lvl w:ilvl="0" w:tplc="39D85EA8">
      <w:start w:val="1"/>
      <w:numFmt w:val="bullet"/>
      <w:lvlText w:val="o"/>
      <w:lvlJc w:val="left"/>
      <w:pPr>
        <w:ind w:left="360" w:hanging="360"/>
      </w:pPr>
      <w:rPr>
        <w:rFonts w:ascii="Courier New" w:hAnsi="Courier New" w:cs="Courier New"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5" w15:restartNumberingAfterBreak="0">
    <w:nsid w:val="657B7C04"/>
    <w:multiLevelType w:val="hybridMultilevel"/>
    <w:tmpl w:val="D3341F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6" w15:restartNumberingAfterBreak="0">
    <w:nsid w:val="660A6392"/>
    <w:multiLevelType w:val="hybridMultilevel"/>
    <w:tmpl w:val="53CE5514"/>
    <w:lvl w:ilvl="0" w:tplc="FFFFFFFF">
      <w:start w:val="1"/>
      <w:numFmt w:val="bullet"/>
      <w:lvlText w:val=""/>
      <w:lvlJc w:val="left"/>
      <w:pPr>
        <w:ind w:left="720" w:hanging="360"/>
      </w:pPr>
      <w:rPr>
        <w:rFonts w:ascii="Symbol" w:hAnsi="Symbol" w:hint="default"/>
      </w:rPr>
    </w:lvl>
    <w:lvl w:ilvl="1" w:tplc="04090017">
      <w:start w:val="1"/>
      <w:numFmt w:val="lowerLetter"/>
      <w:lvlText w:val="%2)"/>
      <w:lvlJc w:val="left"/>
      <w:pPr>
        <w:ind w:left="144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7" w15:restartNumberingAfterBreak="0">
    <w:nsid w:val="6619163B"/>
    <w:multiLevelType w:val="hybridMultilevel"/>
    <w:tmpl w:val="A6A2343E"/>
    <w:lvl w:ilvl="0" w:tplc="981ACD96">
      <w:start w:val="1"/>
      <w:numFmt w:val="bullet"/>
      <w:lvlText w:val=""/>
      <w:lvlJc w:val="left"/>
      <w:pPr>
        <w:ind w:left="360" w:hanging="360"/>
      </w:pPr>
      <w:rPr>
        <w:rFonts w:ascii="Wingdings" w:hAnsi="Wingdings" w:hint="default"/>
        <w:b/>
        <w:sz w:val="20"/>
        <w:szCs w:val="2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8" w15:restartNumberingAfterBreak="0">
    <w:nsid w:val="663B39F3"/>
    <w:multiLevelType w:val="hybridMultilevel"/>
    <w:tmpl w:val="EA729D72"/>
    <w:lvl w:ilvl="0" w:tplc="9FE487D0">
      <w:start w:val="1"/>
      <w:numFmt w:val="bullet"/>
      <w:lvlText w:val=""/>
      <w:lvlJc w:val="left"/>
      <w:pPr>
        <w:ind w:left="360" w:hanging="360"/>
      </w:pPr>
      <w:rPr>
        <w:rFonts w:ascii="Symbol" w:hAnsi="Symbol" w:hint="default"/>
      </w:rPr>
    </w:lvl>
    <w:lvl w:ilvl="1" w:tplc="FFFFFFFF">
      <w:start w:val="1"/>
      <w:numFmt w:val="bullet"/>
      <w:lvlText w:val=""/>
      <w:lvlJc w:val="left"/>
      <w:pPr>
        <w:ind w:left="1080"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79" w15:restartNumberingAfterBreak="0">
    <w:nsid w:val="668C4AF5"/>
    <w:multiLevelType w:val="hybridMultilevel"/>
    <w:tmpl w:val="C38ED1D8"/>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0" w15:restartNumberingAfterBreak="0">
    <w:nsid w:val="66A0540D"/>
    <w:multiLevelType w:val="hybridMultilevel"/>
    <w:tmpl w:val="1A14DAE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1" w15:restartNumberingAfterBreak="0">
    <w:nsid w:val="66F46937"/>
    <w:multiLevelType w:val="hybridMultilevel"/>
    <w:tmpl w:val="757A46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2" w15:restartNumberingAfterBreak="0">
    <w:nsid w:val="66F7677F"/>
    <w:multiLevelType w:val="hybridMultilevel"/>
    <w:tmpl w:val="68D41FBE"/>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3" w15:restartNumberingAfterBreak="0">
    <w:nsid w:val="6718436C"/>
    <w:multiLevelType w:val="hybridMultilevel"/>
    <w:tmpl w:val="A62694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4" w15:restartNumberingAfterBreak="0">
    <w:nsid w:val="67EA3F95"/>
    <w:multiLevelType w:val="hybridMultilevel"/>
    <w:tmpl w:val="11C87C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5" w15:restartNumberingAfterBreak="0">
    <w:nsid w:val="68623B6B"/>
    <w:multiLevelType w:val="hybridMultilevel"/>
    <w:tmpl w:val="635063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6" w15:restartNumberingAfterBreak="0">
    <w:nsid w:val="688D2541"/>
    <w:multiLevelType w:val="hybridMultilevel"/>
    <w:tmpl w:val="D604DCE2"/>
    <w:lvl w:ilvl="0" w:tplc="04090001">
      <w:start w:val="1"/>
      <w:numFmt w:val="bullet"/>
      <w:lvlText w:val=""/>
      <w:lvlJc w:val="left"/>
      <w:pPr>
        <w:ind w:left="1140" w:hanging="360"/>
      </w:pPr>
      <w:rPr>
        <w:rFonts w:ascii="Symbol" w:hAnsi="Symbol"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387" w15:restartNumberingAfterBreak="0">
    <w:nsid w:val="68A2586B"/>
    <w:multiLevelType w:val="hybridMultilevel"/>
    <w:tmpl w:val="1EAE6A12"/>
    <w:lvl w:ilvl="0" w:tplc="6D8AD26E">
      <w:start w:val="1"/>
      <w:numFmt w:val="bullet"/>
      <w:lvlText w:val=""/>
      <w:lvlJc w:val="left"/>
      <w:pPr>
        <w:ind w:left="360" w:hanging="360"/>
      </w:pPr>
      <w:rPr>
        <w:rFonts w:ascii="Wingdings" w:hAnsi="Wingdings" w:hint="default"/>
        <w:i w:val="0"/>
      </w:rPr>
    </w:lvl>
    <w:lvl w:ilvl="1" w:tplc="FFFFFFFF">
      <w:start w:val="1"/>
      <w:numFmt w:val="bullet"/>
      <w:lvlText w:val=""/>
      <w:lvlJc w:val="left"/>
      <w:pPr>
        <w:ind w:left="1080" w:hanging="360"/>
      </w:pPr>
      <w:rPr>
        <w:rFonts w:ascii="Symbol" w:hAnsi="Symbol"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88" w15:restartNumberingAfterBreak="0">
    <w:nsid w:val="699E110C"/>
    <w:multiLevelType w:val="hybridMultilevel"/>
    <w:tmpl w:val="901AA61A"/>
    <w:lvl w:ilvl="0" w:tplc="0409000F">
      <w:start w:val="1"/>
      <w:numFmt w:val="decimal"/>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9" w15:restartNumberingAfterBreak="0">
    <w:nsid w:val="69AD6854"/>
    <w:multiLevelType w:val="hybridMultilevel"/>
    <w:tmpl w:val="0FDE0A18"/>
    <w:lvl w:ilvl="0" w:tplc="9E5E0C90">
      <w:start w:val="1"/>
      <w:numFmt w:val="decimal"/>
      <w:lvlText w:val="%1)"/>
      <w:lvlJc w:val="left"/>
      <w:pPr>
        <w:ind w:left="360" w:hanging="360"/>
      </w:pPr>
      <w:rPr>
        <w:b w:val="0"/>
        <w:bCs/>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decimal"/>
      <w:lvlText w:val="%5)"/>
      <w:lvlJc w:val="left"/>
      <w:pPr>
        <w:ind w:left="720" w:hanging="360"/>
      </w:pPr>
      <w:rPr>
        <w:rFonts w:cs="Times New Roman"/>
      </w:r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90" w15:restartNumberingAfterBreak="0">
    <w:nsid w:val="6A9F2256"/>
    <w:multiLevelType w:val="hybridMultilevel"/>
    <w:tmpl w:val="C55CEEA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391" w15:restartNumberingAfterBreak="0">
    <w:nsid w:val="6AB573BE"/>
    <w:multiLevelType w:val="hybridMultilevel"/>
    <w:tmpl w:val="FED03DA6"/>
    <w:lvl w:ilvl="0" w:tplc="531A69D2">
      <w:start w:val="1"/>
      <w:numFmt w:val="bullet"/>
      <w:lvlText w:val=""/>
      <w:lvlJc w:val="left"/>
      <w:pPr>
        <w:ind w:left="720" w:hanging="360"/>
      </w:pPr>
      <w:rPr>
        <w:rFonts w:ascii="Symbol" w:hAnsi="Symbol"/>
      </w:rPr>
    </w:lvl>
    <w:lvl w:ilvl="1" w:tplc="1FBCC74C">
      <w:start w:val="1"/>
      <w:numFmt w:val="bullet"/>
      <w:lvlText w:val=""/>
      <w:lvlJc w:val="left"/>
      <w:pPr>
        <w:ind w:left="720" w:hanging="360"/>
      </w:pPr>
      <w:rPr>
        <w:rFonts w:ascii="Symbol" w:hAnsi="Symbol"/>
      </w:rPr>
    </w:lvl>
    <w:lvl w:ilvl="2" w:tplc="65222636">
      <w:start w:val="1"/>
      <w:numFmt w:val="bullet"/>
      <w:lvlText w:val=""/>
      <w:lvlJc w:val="left"/>
      <w:pPr>
        <w:ind w:left="720" w:hanging="360"/>
      </w:pPr>
      <w:rPr>
        <w:rFonts w:ascii="Symbol" w:hAnsi="Symbol"/>
      </w:rPr>
    </w:lvl>
    <w:lvl w:ilvl="3" w:tplc="5B624C60">
      <w:start w:val="1"/>
      <w:numFmt w:val="bullet"/>
      <w:lvlText w:val=""/>
      <w:lvlJc w:val="left"/>
      <w:pPr>
        <w:ind w:left="720" w:hanging="360"/>
      </w:pPr>
      <w:rPr>
        <w:rFonts w:ascii="Symbol" w:hAnsi="Symbol"/>
      </w:rPr>
    </w:lvl>
    <w:lvl w:ilvl="4" w:tplc="953C8AD4">
      <w:start w:val="1"/>
      <w:numFmt w:val="bullet"/>
      <w:lvlText w:val=""/>
      <w:lvlJc w:val="left"/>
      <w:pPr>
        <w:ind w:left="720" w:hanging="360"/>
      </w:pPr>
      <w:rPr>
        <w:rFonts w:ascii="Symbol" w:hAnsi="Symbol"/>
      </w:rPr>
    </w:lvl>
    <w:lvl w:ilvl="5" w:tplc="63088F86">
      <w:start w:val="1"/>
      <w:numFmt w:val="bullet"/>
      <w:lvlText w:val=""/>
      <w:lvlJc w:val="left"/>
      <w:pPr>
        <w:ind w:left="720" w:hanging="360"/>
      </w:pPr>
      <w:rPr>
        <w:rFonts w:ascii="Symbol" w:hAnsi="Symbol"/>
      </w:rPr>
    </w:lvl>
    <w:lvl w:ilvl="6" w:tplc="7FE4F6C6">
      <w:start w:val="1"/>
      <w:numFmt w:val="bullet"/>
      <w:lvlText w:val=""/>
      <w:lvlJc w:val="left"/>
      <w:pPr>
        <w:ind w:left="720" w:hanging="360"/>
      </w:pPr>
      <w:rPr>
        <w:rFonts w:ascii="Symbol" w:hAnsi="Symbol"/>
      </w:rPr>
    </w:lvl>
    <w:lvl w:ilvl="7" w:tplc="BF245DDC">
      <w:start w:val="1"/>
      <w:numFmt w:val="bullet"/>
      <w:lvlText w:val=""/>
      <w:lvlJc w:val="left"/>
      <w:pPr>
        <w:ind w:left="720" w:hanging="360"/>
      </w:pPr>
      <w:rPr>
        <w:rFonts w:ascii="Symbol" w:hAnsi="Symbol"/>
      </w:rPr>
    </w:lvl>
    <w:lvl w:ilvl="8" w:tplc="5838B206">
      <w:start w:val="1"/>
      <w:numFmt w:val="bullet"/>
      <w:lvlText w:val=""/>
      <w:lvlJc w:val="left"/>
      <w:pPr>
        <w:ind w:left="720" w:hanging="360"/>
      </w:pPr>
      <w:rPr>
        <w:rFonts w:ascii="Symbol" w:hAnsi="Symbol"/>
      </w:rPr>
    </w:lvl>
  </w:abstractNum>
  <w:abstractNum w:abstractNumId="392" w15:restartNumberingAfterBreak="0">
    <w:nsid w:val="6AB85519"/>
    <w:multiLevelType w:val="hybridMultilevel"/>
    <w:tmpl w:val="D7B260D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3" w15:restartNumberingAfterBreak="0">
    <w:nsid w:val="6AEB03EE"/>
    <w:multiLevelType w:val="hybridMultilevel"/>
    <w:tmpl w:val="F3BE87E4"/>
    <w:lvl w:ilvl="0" w:tplc="0200F684">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4" w15:restartNumberingAfterBreak="0">
    <w:nsid w:val="6AEE0192"/>
    <w:multiLevelType w:val="hybridMultilevel"/>
    <w:tmpl w:val="E89AD8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5" w15:restartNumberingAfterBreak="0">
    <w:nsid w:val="6B4D4065"/>
    <w:multiLevelType w:val="hybridMultilevel"/>
    <w:tmpl w:val="DFB811DA"/>
    <w:lvl w:ilvl="0" w:tplc="71006AC0">
      <w:start w:val="1"/>
      <w:numFmt w:val="decimal"/>
      <w:suff w:val="space"/>
      <w:lvlText w:val="%1)"/>
      <w:lvlJc w:val="left"/>
      <w:pPr>
        <w:ind w:left="360" w:hanging="216"/>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6" w15:restartNumberingAfterBreak="0">
    <w:nsid w:val="6B51624A"/>
    <w:multiLevelType w:val="hybridMultilevel"/>
    <w:tmpl w:val="D7DCA26C"/>
    <w:lvl w:ilvl="0" w:tplc="67800A46">
      <w:start w:val="1"/>
      <w:numFmt w:val="bullet"/>
      <w:lvlText w:val=""/>
      <w:lvlJc w:val="left"/>
      <w:pPr>
        <w:ind w:left="720" w:hanging="360"/>
      </w:pPr>
      <w:rPr>
        <w:rFonts w:ascii="Wingdings" w:hAnsi="Wingdings" w:hint="default"/>
        <w:b/>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7" w15:restartNumberingAfterBreak="0">
    <w:nsid w:val="6BDB7530"/>
    <w:multiLevelType w:val="hybridMultilevel"/>
    <w:tmpl w:val="2C983A02"/>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8" w15:restartNumberingAfterBreak="0">
    <w:nsid w:val="6BDE7A1F"/>
    <w:multiLevelType w:val="hybridMultilevel"/>
    <w:tmpl w:val="2BCA5236"/>
    <w:lvl w:ilvl="0" w:tplc="0409000F">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9" w15:restartNumberingAfterBreak="0">
    <w:nsid w:val="6CB51D80"/>
    <w:multiLevelType w:val="hybridMultilevel"/>
    <w:tmpl w:val="1CDA45A0"/>
    <w:lvl w:ilvl="0" w:tplc="FFFFFFFF">
      <w:start w:val="1"/>
      <w:numFmt w:val="decimal"/>
      <w:lvlText w:val="%1)"/>
      <w:lvlJc w:val="left"/>
      <w:pPr>
        <w:ind w:left="360" w:hanging="360"/>
      </w:pPr>
      <w:rPr>
        <w:rFonts w:hint="default"/>
        <w:i w:val="0"/>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00" w15:restartNumberingAfterBreak="0">
    <w:nsid w:val="6CCD3BEE"/>
    <w:multiLevelType w:val="hybridMultilevel"/>
    <w:tmpl w:val="259AEEF6"/>
    <w:lvl w:ilvl="0" w:tplc="B69C112C">
      <w:start w:val="1"/>
      <w:numFmt w:val="decimal"/>
      <w:lvlText w:val="%1."/>
      <w:lvlJc w:val="left"/>
      <w:pPr>
        <w:ind w:left="720" w:hanging="360"/>
      </w:pPr>
      <w:rPr>
        <w:rFonts w:hint="default"/>
        <w:b/>
        <w:bCs w:val="0"/>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1" w15:restartNumberingAfterBreak="0">
    <w:nsid w:val="6D1F7B6E"/>
    <w:multiLevelType w:val="hybridMultilevel"/>
    <w:tmpl w:val="F5BE37A4"/>
    <w:lvl w:ilvl="0" w:tplc="04090001">
      <w:start w:val="1"/>
      <w:numFmt w:val="bullet"/>
      <w:lvlText w:val=""/>
      <w:lvlJc w:val="left"/>
      <w:pPr>
        <w:ind w:left="1088" w:hanging="360"/>
      </w:pPr>
      <w:rPr>
        <w:rFonts w:ascii="Symbol" w:hAnsi="Symbol" w:hint="default"/>
      </w:rPr>
    </w:lvl>
    <w:lvl w:ilvl="1" w:tplc="04090003" w:tentative="1">
      <w:start w:val="1"/>
      <w:numFmt w:val="bullet"/>
      <w:lvlText w:val="o"/>
      <w:lvlJc w:val="left"/>
      <w:pPr>
        <w:ind w:left="1808" w:hanging="360"/>
      </w:pPr>
      <w:rPr>
        <w:rFonts w:ascii="Courier New" w:hAnsi="Courier New" w:cs="Courier New" w:hint="default"/>
      </w:rPr>
    </w:lvl>
    <w:lvl w:ilvl="2" w:tplc="04090005" w:tentative="1">
      <w:start w:val="1"/>
      <w:numFmt w:val="bullet"/>
      <w:lvlText w:val=""/>
      <w:lvlJc w:val="left"/>
      <w:pPr>
        <w:ind w:left="2528" w:hanging="360"/>
      </w:pPr>
      <w:rPr>
        <w:rFonts w:ascii="Wingdings" w:hAnsi="Wingdings" w:hint="default"/>
      </w:rPr>
    </w:lvl>
    <w:lvl w:ilvl="3" w:tplc="04090001" w:tentative="1">
      <w:start w:val="1"/>
      <w:numFmt w:val="bullet"/>
      <w:lvlText w:val=""/>
      <w:lvlJc w:val="left"/>
      <w:pPr>
        <w:ind w:left="3248" w:hanging="360"/>
      </w:pPr>
      <w:rPr>
        <w:rFonts w:ascii="Symbol" w:hAnsi="Symbol" w:hint="default"/>
      </w:rPr>
    </w:lvl>
    <w:lvl w:ilvl="4" w:tplc="04090003" w:tentative="1">
      <w:start w:val="1"/>
      <w:numFmt w:val="bullet"/>
      <w:lvlText w:val="o"/>
      <w:lvlJc w:val="left"/>
      <w:pPr>
        <w:ind w:left="3968" w:hanging="360"/>
      </w:pPr>
      <w:rPr>
        <w:rFonts w:ascii="Courier New" w:hAnsi="Courier New" w:cs="Courier New" w:hint="default"/>
      </w:rPr>
    </w:lvl>
    <w:lvl w:ilvl="5" w:tplc="04090005" w:tentative="1">
      <w:start w:val="1"/>
      <w:numFmt w:val="bullet"/>
      <w:lvlText w:val=""/>
      <w:lvlJc w:val="left"/>
      <w:pPr>
        <w:ind w:left="4688" w:hanging="360"/>
      </w:pPr>
      <w:rPr>
        <w:rFonts w:ascii="Wingdings" w:hAnsi="Wingdings" w:hint="default"/>
      </w:rPr>
    </w:lvl>
    <w:lvl w:ilvl="6" w:tplc="04090001" w:tentative="1">
      <w:start w:val="1"/>
      <w:numFmt w:val="bullet"/>
      <w:lvlText w:val=""/>
      <w:lvlJc w:val="left"/>
      <w:pPr>
        <w:ind w:left="5408" w:hanging="360"/>
      </w:pPr>
      <w:rPr>
        <w:rFonts w:ascii="Symbol" w:hAnsi="Symbol" w:hint="default"/>
      </w:rPr>
    </w:lvl>
    <w:lvl w:ilvl="7" w:tplc="04090003" w:tentative="1">
      <w:start w:val="1"/>
      <w:numFmt w:val="bullet"/>
      <w:lvlText w:val="o"/>
      <w:lvlJc w:val="left"/>
      <w:pPr>
        <w:ind w:left="6128" w:hanging="360"/>
      </w:pPr>
      <w:rPr>
        <w:rFonts w:ascii="Courier New" w:hAnsi="Courier New" w:cs="Courier New" w:hint="default"/>
      </w:rPr>
    </w:lvl>
    <w:lvl w:ilvl="8" w:tplc="04090005" w:tentative="1">
      <w:start w:val="1"/>
      <w:numFmt w:val="bullet"/>
      <w:lvlText w:val=""/>
      <w:lvlJc w:val="left"/>
      <w:pPr>
        <w:ind w:left="6848" w:hanging="360"/>
      </w:pPr>
      <w:rPr>
        <w:rFonts w:ascii="Wingdings" w:hAnsi="Wingdings" w:hint="default"/>
      </w:rPr>
    </w:lvl>
  </w:abstractNum>
  <w:abstractNum w:abstractNumId="402" w15:restartNumberingAfterBreak="0">
    <w:nsid w:val="6E00480B"/>
    <w:multiLevelType w:val="hybridMultilevel"/>
    <w:tmpl w:val="49387576"/>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3" w15:restartNumberingAfterBreak="0">
    <w:nsid w:val="6E3A71F2"/>
    <w:multiLevelType w:val="hybridMultilevel"/>
    <w:tmpl w:val="5650C80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4" w15:restartNumberingAfterBreak="0">
    <w:nsid w:val="6E7F41B8"/>
    <w:multiLevelType w:val="multilevel"/>
    <w:tmpl w:val="0A022C64"/>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05" w15:restartNumberingAfterBreak="0">
    <w:nsid w:val="6F427AB6"/>
    <w:multiLevelType w:val="hybridMultilevel"/>
    <w:tmpl w:val="DF08E17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6" w15:restartNumberingAfterBreak="0">
    <w:nsid w:val="6F777C78"/>
    <w:multiLevelType w:val="hybridMultilevel"/>
    <w:tmpl w:val="9EF6EE6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7" w15:restartNumberingAfterBreak="0">
    <w:nsid w:val="6F863E25"/>
    <w:multiLevelType w:val="hybridMultilevel"/>
    <w:tmpl w:val="AA088350"/>
    <w:lvl w:ilvl="0" w:tplc="04090003">
      <w:start w:val="1"/>
      <w:numFmt w:val="bullet"/>
      <w:lvlText w:val="o"/>
      <w:lvlJc w:val="left"/>
      <w:pPr>
        <w:ind w:left="360" w:hanging="360"/>
      </w:pPr>
      <w:rPr>
        <w:rFonts w:ascii="Courier New" w:hAnsi="Courier New" w:cs="Courier New"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8" w15:restartNumberingAfterBreak="0">
    <w:nsid w:val="6F8C1B88"/>
    <w:multiLevelType w:val="hybridMultilevel"/>
    <w:tmpl w:val="B98CE5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9" w15:restartNumberingAfterBreak="0">
    <w:nsid w:val="6FCB0BB9"/>
    <w:multiLevelType w:val="hybridMultilevel"/>
    <w:tmpl w:val="F856B3B8"/>
    <w:lvl w:ilvl="0" w:tplc="433CCCDA">
      <w:start w:val="1"/>
      <w:numFmt w:val="decimal"/>
      <w:lvlText w:val="%1."/>
      <w:lvlJc w:val="left"/>
      <w:pPr>
        <w:ind w:left="720" w:hanging="360"/>
      </w:pPr>
      <w:rPr>
        <w:rFonts w:ascii="Arial" w:eastAsia="Times New Roman" w:hAnsi="Arial" w:cstheme="minorHAnsi"/>
        <w:b w:val="0"/>
        <w:i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0" w15:restartNumberingAfterBreak="0">
    <w:nsid w:val="70860A58"/>
    <w:multiLevelType w:val="hybridMultilevel"/>
    <w:tmpl w:val="E3689116"/>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1" w15:restartNumberingAfterBreak="0">
    <w:nsid w:val="70B92DA3"/>
    <w:multiLevelType w:val="hybridMultilevel"/>
    <w:tmpl w:val="E8F24A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2" w15:restartNumberingAfterBreak="0">
    <w:nsid w:val="7174459A"/>
    <w:multiLevelType w:val="hybridMultilevel"/>
    <w:tmpl w:val="C7F494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3" w15:restartNumberingAfterBreak="0">
    <w:nsid w:val="71B32CD6"/>
    <w:multiLevelType w:val="hybridMultilevel"/>
    <w:tmpl w:val="716469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4" w15:restartNumberingAfterBreak="0">
    <w:nsid w:val="72F50142"/>
    <w:multiLevelType w:val="hybridMultilevel"/>
    <w:tmpl w:val="BC3852BE"/>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5" w15:restartNumberingAfterBreak="0">
    <w:nsid w:val="73000AFF"/>
    <w:multiLevelType w:val="hybridMultilevel"/>
    <w:tmpl w:val="13563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6" w15:restartNumberingAfterBreak="0">
    <w:nsid w:val="733743F6"/>
    <w:multiLevelType w:val="hybridMultilevel"/>
    <w:tmpl w:val="C8527C4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417" w15:restartNumberingAfterBreak="0">
    <w:nsid w:val="73764F58"/>
    <w:multiLevelType w:val="hybridMultilevel"/>
    <w:tmpl w:val="E0DACDE0"/>
    <w:lvl w:ilvl="0" w:tplc="04090001">
      <w:start w:val="1"/>
      <w:numFmt w:val="bullet"/>
      <w:lvlText w:val=""/>
      <w:lvlJc w:val="left"/>
      <w:pPr>
        <w:tabs>
          <w:tab w:val="num" w:pos="720"/>
        </w:tabs>
        <w:ind w:left="720" w:hanging="360"/>
      </w:pPr>
      <w:rPr>
        <w:rFonts w:ascii="Symbol" w:hAnsi="Symbol" w:hint="default"/>
      </w:rPr>
    </w:lvl>
    <w:lvl w:ilvl="1" w:tplc="9CCCC2EA">
      <w:start w:val="1"/>
      <w:numFmt w:val="bullet"/>
      <w:lvlText w:val=""/>
      <w:lvlJc w:val="left"/>
      <w:pPr>
        <w:tabs>
          <w:tab w:val="num" w:pos="1440"/>
        </w:tabs>
        <w:ind w:left="1440" w:hanging="360"/>
      </w:pPr>
      <w:rPr>
        <w:rFonts w:ascii="Symbol" w:hAnsi="Symbol" w:hint="default"/>
        <w:color w:val="auto"/>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8" w15:restartNumberingAfterBreak="0">
    <w:nsid w:val="73A12A55"/>
    <w:multiLevelType w:val="hybridMultilevel"/>
    <w:tmpl w:val="859E729C"/>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9" w15:restartNumberingAfterBreak="0">
    <w:nsid w:val="745E0CE0"/>
    <w:multiLevelType w:val="hybridMultilevel"/>
    <w:tmpl w:val="5B506E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0" w15:restartNumberingAfterBreak="0">
    <w:nsid w:val="74813A85"/>
    <w:multiLevelType w:val="hybridMultilevel"/>
    <w:tmpl w:val="88664C1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21" w15:restartNumberingAfterBreak="0">
    <w:nsid w:val="74AA67FA"/>
    <w:multiLevelType w:val="hybridMultilevel"/>
    <w:tmpl w:val="422618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2" w15:restartNumberingAfterBreak="0">
    <w:nsid w:val="75BD2FDF"/>
    <w:multiLevelType w:val="hybridMultilevel"/>
    <w:tmpl w:val="5BE0FA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3" w15:restartNumberingAfterBreak="0">
    <w:nsid w:val="75DE205B"/>
    <w:multiLevelType w:val="hybridMultilevel"/>
    <w:tmpl w:val="FC82D1B8"/>
    <w:lvl w:ilvl="0" w:tplc="04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24" w15:restartNumberingAfterBreak="0">
    <w:nsid w:val="75E34AB2"/>
    <w:multiLevelType w:val="hybridMultilevel"/>
    <w:tmpl w:val="A1085E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25" w15:restartNumberingAfterBreak="0">
    <w:nsid w:val="7628218B"/>
    <w:multiLevelType w:val="hybridMultilevel"/>
    <w:tmpl w:val="07D6196A"/>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6" w15:restartNumberingAfterBreak="0">
    <w:nsid w:val="764172DC"/>
    <w:multiLevelType w:val="singleLevel"/>
    <w:tmpl w:val="0FFA25D2"/>
    <w:lvl w:ilvl="0">
      <w:start w:val="1"/>
      <w:numFmt w:val="decimal"/>
      <w:lvlText w:val="%1)"/>
      <w:lvlJc w:val="left"/>
      <w:pPr>
        <w:ind w:left="720" w:hanging="360"/>
      </w:pPr>
      <w:rPr>
        <w:rFonts w:cs="Times New Roman"/>
      </w:rPr>
    </w:lvl>
  </w:abstractNum>
  <w:abstractNum w:abstractNumId="427" w15:restartNumberingAfterBreak="0">
    <w:nsid w:val="765165C8"/>
    <w:multiLevelType w:val="hybridMultilevel"/>
    <w:tmpl w:val="CFDE31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8" w15:restartNumberingAfterBreak="0">
    <w:nsid w:val="767B0E5D"/>
    <w:multiLevelType w:val="hybridMultilevel"/>
    <w:tmpl w:val="5EE04A96"/>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9" w15:restartNumberingAfterBreak="0">
    <w:nsid w:val="76917907"/>
    <w:multiLevelType w:val="hybridMultilevel"/>
    <w:tmpl w:val="0A7A458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30" w15:restartNumberingAfterBreak="0">
    <w:nsid w:val="76987A77"/>
    <w:multiLevelType w:val="hybridMultilevel"/>
    <w:tmpl w:val="DDCA2C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1" w15:restartNumberingAfterBreak="0">
    <w:nsid w:val="782F6A20"/>
    <w:multiLevelType w:val="hybridMultilevel"/>
    <w:tmpl w:val="4F2251C6"/>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2" w15:restartNumberingAfterBreak="0">
    <w:nsid w:val="787F6E03"/>
    <w:multiLevelType w:val="hybridMultilevel"/>
    <w:tmpl w:val="51EC4F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3" w15:restartNumberingAfterBreak="0">
    <w:nsid w:val="789407E2"/>
    <w:multiLevelType w:val="hybridMultilevel"/>
    <w:tmpl w:val="371CBA0A"/>
    <w:lvl w:ilvl="0" w:tplc="6FDCB6EA">
      <w:start w:val="2"/>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4" w15:restartNumberingAfterBreak="0">
    <w:nsid w:val="78AA5ED4"/>
    <w:multiLevelType w:val="hybridMultilevel"/>
    <w:tmpl w:val="5A8291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5" w15:restartNumberingAfterBreak="0">
    <w:nsid w:val="78FB02F7"/>
    <w:multiLevelType w:val="hybridMultilevel"/>
    <w:tmpl w:val="38D0DB2E"/>
    <w:lvl w:ilvl="0" w:tplc="F5EACEC4">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36" w15:restartNumberingAfterBreak="0">
    <w:nsid w:val="7918578F"/>
    <w:multiLevelType w:val="hybridMultilevel"/>
    <w:tmpl w:val="B25C26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7" w15:restartNumberingAfterBreak="0">
    <w:nsid w:val="79187099"/>
    <w:multiLevelType w:val="hybridMultilevel"/>
    <w:tmpl w:val="BAC24984"/>
    <w:lvl w:ilvl="0" w:tplc="04090011">
      <w:start w:val="1"/>
      <w:numFmt w:val="decimal"/>
      <w:lvlText w:val="%1)"/>
      <w:lvlJc w:val="left"/>
      <w:pPr>
        <w:ind w:left="720" w:hanging="360"/>
      </w:pPr>
      <w:rPr>
        <w:rFonts w:hint="default"/>
      </w:rPr>
    </w:lvl>
    <w:lvl w:ilvl="1" w:tplc="9C7CC656">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8" w15:restartNumberingAfterBreak="0">
    <w:nsid w:val="791E4DAC"/>
    <w:multiLevelType w:val="hybridMultilevel"/>
    <w:tmpl w:val="26EC7E42"/>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9" w15:restartNumberingAfterBreak="0">
    <w:nsid w:val="79527FC8"/>
    <w:multiLevelType w:val="hybridMultilevel"/>
    <w:tmpl w:val="CD6643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0" w15:restartNumberingAfterBreak="0">
    <w:nsid w:val="795D42D9"/>
    <w:multiLevelType w:val="hybridMultilevel"/>
    <w:tmpl w:val="7A56A122"/>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1" w15:restartNumberingAfterBreak="0">
    <w:nsid w:val="796E472E"/>
    <w:multiLevelType w:val="hybridMultilevel"/>
    <w:tmpl w:val="F32A26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2" w15:restartNumberingAfterBreak="0">
    <w:nsid w:val="798772C6"/>
    <w:multiLevelType w:val="hybridMultilevel"/>
    <w:tmpl w:val="A716790E"/>
    <w:lvl w:ilvl="0" w:tplc="0409000F">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43" w15:restartNumberingAfterBreak="0">
    <w:nsid w:val="79A8010B"/>
    <w:multiLevelType w:val="hybridMultilevel"/>
    <w:tmpl w:val="51F0B77A"/>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4" w15:restartNumberingAfterBreak="0">
    <w:nsid w:val="79AD3A26"/>
    <w:multiLevelType w:val="multilevel"/>
    <w:tmpl w:val="9C362BFA"/>
    <w:lvl w:ilvl="0">
      <w:start w:val="1"/>
      <w:numFmt w:val="decimal"/>
      <w:lvlText w:val="%1)"/>
      <w:lvlJc w:val="left"/>
      <w:pPr>
        <w:ind w:left="360" w:hanging="360"/>
      </w:pPr>
      <w:rPr>
        <w:rFonts w:cs="Times New Roman" w:hint="default"/>
        <w:i w:val="0"/>
        <w:color w:val="auto"/>
      </w:rPr>
    </w:lvl>
    <w:lvl w:ilvl="1">
      <w:start w:val="1"/>
      <w:numFmt w:val="bullet"/>
      <w:lvlText w:val=""/>
      <w:lvlJc w:val="left"/>
      <w:pPr>
        <w:ind w:left="1440" w:hanging="360"/>
      </w:pPr>
      <w:rPr>
        <w:rFonts w:ascii="Symbol" w:hAnsi="Symbol"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45" w15:restartNumberingAfterBreak="0">
    <w:nsid w:val="7AA43591"/>
    <w:multiLevelType w:val="hybridMultilevel"/>
    <w:tmpl w:val="92B8348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46" w15:restartNumberingAfterBreak="0">
    <w:nsid w:val="7AE20367"/>
    <w:multiLevelType w:val="hybridMultilevel"/>
    <w:tmpl w:val="6F24341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7" w15:restartNumberingAfterBreak="0">
    <w:nsid w:val="7B611475"/>
    <w:multiLevelType w:val="hybridMultilevel"/>
    <w:tmpl w:val="11E4D748"/>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8" w15:restartNumberingAfterBreak="0">
    <w:nsid w:val="7B6D4EA1"/>
    <w:multiLevelType w:val="hybridMultilevel"/>
    <w:tmpl w:val="814E1F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9" w15:restartNumberingAfterBreak="0">
    <w:nsid w:val="7C232A74"/>
    <w:multiLevelType w:val="hybridMultilevel"/>
    <w:tmpl w:val="C44E9822"/>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0" w15:restartNumberingAfterBreak="0">
    <w:nsid w:val="7C7906E1"/>
    <w:multiLevelType w:val="hybridMultilevel"/>
    <w:tmpl w:val="4D96CF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1" w15:restartNumberingAfterBreak="0">
    <w:nsid w:val="7CC14A5A"/>
    <w:multiLevelType w:val="hybridMultilevel"/>
    <w:tmpl w:val="2BD4E598"/>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2" w15:restartNumberingAfterBreak="0">
    <w:nsid w:val="7D2830F1"/>
    <w:multiLevelType w:val="hybridMultilevel"/>
    <w:tmpl w:val="EF66B408"/>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3" w15:restartNumberingAfterBreak="0">
    <w:nsid w:val="7D3364E2"/>
    <w:multiLevelType w:val="hybridMultilevel"/>
    <w:tmpl w:val="F5A8F5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4" w15:restartNumberingAfterBreak="0">
    <w:nsid w:val="7D783B06"/>
    <w:multiLevelType w:val="hybridMultilevel"/>
    <w:tmpl w:val="05D885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5" w15:restartNumberingAfterBreak="0">
    <w:nsid w:val="7D9F136B"/>
    <w:multiLevelType w:val="hybridMultilevel"/>
    <w:tmpl w:val="31366080"/>
    <w:lvl w:ilvl="0" w:tplc="04090001">
      <w:start w:val="1"/>
      <w:numFmt w:val="bullet"/>
      <w:lvlText w:val=""/>
      <w:lvlJc w:val="left"/>
      <w:pPr>
        <w:ind w:left="432" w:hanging="216"/>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456" w15:restartNumberingAfterBreak="0">
    <w:nsid w:val="7E33325D"/>
    <w:multiLevelType w:val="hybridMultilevel"/>
    <w:tmpl w:val="C20CCF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7" w15:restartNumberingAfterBreak="0">
    <w:nsid w:val="7E5A1E37"/>
    <w:multiLevelType w:val="hybridMultilevel"/>
    <w:tmpl w:val="C256E0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58" w15:restartNumberingAfterBreak="0">
    <w:nsid w:val="7E5A26B7"/>
    <w:multiLevelType w:val="hybridMultilevel"/>
    <w:tmpl w:val="00EE234E"/>
    <w:lvl w:ilvl="0" w:tplc="5B94D1B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9" w15:restartNumberingAfterBreak="0">
    <w:nsid w:val="7EFF4287"/>
    <w:multiLevelType w:val="hybridMultilevel"/>
    <w:tmpl w:val="0D34ED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0" w15:restartNumberingAfterBreak="0">
    <w:nsid w:val="7F617A0B"/>
    <w:multiLevelType w:val="hybridMultilevel"/>
    <w:tmpl w:val="88801C90"/>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1" w15:restartNumberingAfterBreak="0">
    <w:nsid w:val="7F6F095A"/>
    <w:multiLevelType w:val="singleLevel"/>
    <w:tmpl w:val="67800A46"/>
    <w:lvl w:ilvl="0">
      <w:start w:val="1"/>
      <w:numFmt w:val="bullet"/>
      <w:lvlText w:val=""/>
      <w:lvlJc w:val="left"/>
      <w:pPr>
        <w:ind w:left="720" w:hanging="360"/>
      </w:pPr>
      <w:rPr>
        <w:rFonts w:ascii="Wingdings" w:hAnsi="Wingdings" w:hint="default"/>
        <w:b/>
        <w:sz w:val="24"/>
        <w:szCs w:val="24"/>
      </w:rPr>
    </w:lvl>
  </w:abstractNum>
  <w:abstractNum w:abstractNumId="462" w15:restartNumberingAfterBreak="0">
    <w:nsid w:val="7FEB38B0"/>
    <w:multiLevelType w:val="hybridMultilevel"/>
    <w:tmpl w:val="D512D2E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3" w15:restartNumberingAfterBreak="0">
    <w:nsid w:val="7FF3593A"/>
    <w:multiLevelType w:val="hybridMultilevel"/>
    <w:tmpl w:val="A04042D6"/>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258172801">
    <w:abstractNumId w:val="99"/>
  </w:num>
  <w:num w:numId="2" w16cid:durableId="771702085">
    <w:abstractNumId w:val="18"/>
  </w:num>
  <w:num w:numId="3" w16cid:durableId="205025231">
    <w:abstractNumId w:val="426"/>
  </w:num>
  <w:num w:numId="4" w16cid:durableId="381951082">
    <w:abstractNumId w:val="55"/>
  </w:num>
  <w:num w:numId="5" w16cid:durableId="2111117269">
    <w:abstractNumId w:val="404"/>
  </w:num>
  <w:num w:numId="6" w16cid:durableId="473109442">
    <w:abstractNumId w:val="352"/>
  </w:num>
  <w:num w:numId="7" w16cid:durableId="11339824">
    <w:abstractNumId w:val="61"/>
  </w:num>
  <w:num w:numId="8" w16cid:durableId="1120152025">
    <w:abstractNumId w:val="340"/>
  </w:num>
  <w:num w:numId="9" w16cid:durableId="601185011">
    <w:abstractNumId w:val="46"/>
  </w:num>
  <w:num w:numId="10" w16cid:durableId="80569366">
    <w:abstractNumId w:val="120"/>
  </w:num>
  <w:num w:numId="11" w16cid:durableId="927038294">
    <w:abstractNumId w:val="105"/>
  </w:num>
  <w:num w:numId="12" w16cid:durableId="813836661">
    <w:abstractNumId w:val="134"/>
  </w:num>
  <w:num w:numId="13" w16cid:durableId="1358459151">
    <w:abstractNumId w:val="43"/>
  </w:num>
  <w:num w:numId="14" w16cid:durableId="1766610824">
    <w:abstractNumId w:val="301"/>
  </w:num>
  <w:num w:numId="15" w16cid:durableId="637803938">
    <w:abstractNumId w:val="364"/>
  </w:num>
  <w:num w:numId="16" w16cid:durableId="1673068957">
    <w:abstractNumId w:val="249"/>
  </w:num>
  <w:num w:numId="17" w16cid:durableId="1677877874">
    <w:abstractNumId w:val="417"/>
  </w:num>
  <w:num w:numId="18" w16cid:durableId="1821336992">
    <w:abstractNumId w:val="193"/>
  </w:num>
  <w:num w:numId="19" w16cid:durableId="353457434">
    <w:abstractNumId w:val="145"/>
  </w:num>
  <w:num w:numId="20" w16cid:durableId="604116800">
    <w:abstractNumId w:val="53"/>
  </w:num>
  <w:num w:numId="21" w16cid:durableId="658314276">
    <w:abstractNumId w:val="24"/>
  </w:num>
  <w:num w:numId="22" w16cid:durableId="2067297555">
    <w:abstractNumId w:val="461"/>
  </w:num>
  <w:num w:numId="23" w16cid:durableId="942109575">
    <w:abstractNumId w:val="241"/>
  </w:num>
  <w:num w:numId="24" w16cid:durableId="2119370173">
    <w:abstractNumId w:val="30"/>
  </w:num>
  <w:num w:numId="25" w16cid:durableId="424306614">
    <w:abstractNumId w:val="250"/>
  </w:num>
  <w:num w:numId="26" w16cid:durableId="726874377">
    <w:abstractNumId w:val="310"/>
  </w:num>
  <w:num w:numId="27" w16cid:durableId="1984456837">
    <w:abstractNumId w:val="393"/>
  </w:num>
  <w:num w:numId="28" w16cid:durableId="944919974">
    <w:abstractNumId w:val="177"/>
  </w:num>
  <w:num w:numId="29" w16cid:durableId="234821106">
    <w:abstractNumId w:val="403"/>
  </w:num>
  <w:num w:numId="30" w16cid:durableId="1461069452">
    <w:abstractNumId w:val="456"/>
  </w:num>
  <w:num w:numId="31" w16cid:durableId="1875075261">
    <w:abstractNumId w:val="366"/>
  </w:num>
  <w:num w:numId="32" w16cid:durableId="341980630">
    <w:abstractNumId w:val="202"/>
  </w:num>
  <w:num w:numId="33" w16cid:durableId="1184704105">
    <w:abstractNumId w:val="360"/>
  </w:num>
  <w:num w:numId="34" w16cid:durableId="107891743">
    <w:abstractNumId w:val="208"/>
  </w:num>
  <w:num w:numId="35" w16cid:durableId="1136141716">
    <w:abstractNumId w:val="39"/>
  </w:num>
  <w:num w:numId="36" w16cid:durableId="410011933">
    <w:abstractNumId w:val="137"/>
  </w:num>
  <w:num w:numId="37" w16cid:durableId="1407605245">
    <w:abstractNumId w:val="326"/>
  </w:num>
  <w:num w:numId="38" w16cid:durableId="1945842770">
    <w:abstractNumId w:val="141"/>
  </w:num>
  <w:num w:numId="39" w16cid:durableId="1738898941">
    <w:abstractNumId w:val="179"/>
  </w:num>
  <w:num w:numId="40" w16cid:durableId="1822044319">
    <w:abstractNumId w:val="373"/>
  </w:num>
  <w:num w:numId="41" w16cid:durableId="1537507113">
    <w:abstractNumId w:val="260"/>
  </w:num>
  <w:num w:numId="42" w16cid:durableId="1380517304">
    <w:abstractNumId w:val="108"/>
  </w:num>
  <w:num w:numId="43" w16cid:durableId="1563371484">
    <w:abstractNumId w:val="58"/>
  </w:num>
  <w:num w:numId="44" w16cid:durableId="722023500">
    <w:abstractNumId w:val="134"/>
  </w:num>
  <w:num w:numId="45" w16cid:durableId="540216563">
    <w:abstractNumId w:val="201"/>
  </w:num>
  <w:num w:numId="46" w16cid:durableId="1090545147">
    <w:abstractNumId w:val="184"/>
  </w:num>
  <w:num w:numId="47" w16cid:durableId="1971132530">
    <w:abstractNumId w:val="441"/>
  </w:num>
  <w:num w:numId="48" w16cid:durableId="651562411">
    <w:abstractNumId w:val="20"/>
  </w:num>
  <w:num w:numId="49" w16cid:durableId="2023628480">
    <w:abstractNumId w:val="383"/>
  </w:num>
  <w:num w:numId="50" w16cid:durableId="829637314">
    <w:abstractNumId w:val="74"/>
  </w:num>
  <w:num w:numId="51" w16cid:durableId="1771587420">
    <w:abstractNumId w:val="285"/>
  </w:num>
  <w:num w:numId="52" w16cid:durableId="411508622">
    <w:abstractNumId w:val="296"/>
  </w:num>
  <w:num w:numId="53" w16cid:durableId="769201348">
    <w:abstractNumId w:val="175"/>
  </w:num>
  <w:num w:numId="54" w16cid:durableId="622925788">
    <w:abstractNumId w:val="11"/>
  </w:num>
  <w:num w:numId="55" w16cid:durableId="1027870205">
    <w:abstractNumId w:val="149"/>
  </w:num>
  <w:num w:numId="56" w16cid:durableId="524056880">
    <w:abstractNumId w:val="214"/>
  </w:num>
  <w:num w:numId="57" w16cid:durableId="2084208495">
    <w:abstractNumId w:val="40"/>
  </w:num>
  <w:num w:numId="58" w16cid:durableId="1288313466">
    <w:abstractNumId w:val="228"/>
  </w:num>
  <w:num w:numId="59" w16cid:durableId="1021399784">
    <w:abstractNumId w:val="230"/>
  </w:num>
  <w:num w:numId="60" w16cid:durableId="165485694">
    <w:abstractNumId w:val="213"/>
  </w:num>
  <w:num w:numId="61" w16cid:durableId="756485874">
    <w:abstractNumId w:val="433"/>
  </w:num>
  <w:num w:numId="62" w16cid:durableId="1400205300">
    <w:abstractNumId w:val="103"/>
  </w:num>
  <w:num w:numId="63" w16cid:durableId="364798217">
    <w:abstractNumId w:val="37"/>
  </w:num>
  <w:num w:numId="64" w16cid:durableId="1087386494">
    <w:abstractNumId w:val="41"/>
  </w:num>
  <w:num w:numId="65" w16cid:durableId="817958746">
    <w:abstractNumId w:val="278"/>
  </w:num>
  <w:num w:numId="66" w16cid:durableId="1947275643">
    <w:abstractNumId w:val="159"/>
  </w:num>
  <w:num w:numId="67" w16cid:durableId="1693334131">
    <w:abstractNumId w:val="401"/>
  </w:num>
  <w:num w:numId="68" w16cid:durableId="1322584869">
    <w:abstractNumId w:val="146"/>
  </w:num>
  <w:num w:numId="69" w16cid:durableId="1261529238">
    <w:abstractNumId w:val="294"/>
  </w:num>
  <w:num w:numId="70" w16cid:durableId="1056667042">
    <w:abstractNumId w:val="31"/>
  </w:num>
  <w:num w:numId="71" w16cid:durableId="812714671">
    <w:abstractNumId w:val="351"/>
  </w:num>
  <w:num w:numId="72" w16cid:durableId="1694040772">
    <w:abstractNumId w:val="320"/>
  </w:num>
  <w:num w:numId="73" w16cid:durableId="757794198">
    <w:abstractNumId w:val="446"/>
  </w:num>
  <w:num w:numId="74" w16cid:durableId="445853278">
    <w:abstractNumId w:val="133"/>
  </w:num>
  <w:num w:numId="75" w16cid:durableId="866409735">
    <w:abstractNumId w:val="135"/>
  </w:num>
  <w:num w:numId="76" w16cid:durableId="1334380549">
    <w:abstractNumId w:val="173"/>
  </w:num>
  <w:num w:numId="77" w16cid:durableId="1563835665">
    <w:abstractNumId w:val="194"/>
  </w:num>
  <w:num w:numId="78" w16cid:durableId="1178809661">
    <w:abstractNumId w:val="442"/>
  </w:num>
  <w:num w:numId="79" w16cid:durableId="2116360266">
    <w:abstractNumId w:val="330"/>
  </w:num>
  <w:num w:numId="80" w16cid:durableId="503978133">
    <w:abstractNumId w:val="302"/>
  </w:num>
  <w:num w:numId="81" w16cid:durableId="676494390">
    <w:abstractNumId w:val="342"/>
  </w:num>
  <w:num w:numId="82" w16cid:durableId="940916916">
    <w:abstractNumId w:val="121"/>
  </w:num>
  <w:num w:numId="83" w16cid:durableId="1834300435">
    <w:abstractNumId w:val="15"/>
  </w:num>
  <w:num w:numId="84" w16cid:durableId="902106304">
    <w:abstractNumId w:val="167"/>
  </w:num>
  <w:num w:numId="85" w16cid:durableId="828325101">
    <w:abstractNumId w:val="188"/>
  </w:num>
  <w:num w:numId="86" w16cid:durableId="1382437259">
    <w:abstractNumId w:val="100"/>
  </w:num>
  <w:num w:numId="87" w16cid:durableId="1123960739">
    <w:abstractNumId w:val="436"/>
  </w:num>
  <w:num w:numId="88" w16cid:durableId="171797844">
    <w:abstractNumId w:val="427"/>
  </w:num>
  <w:num w:numId="89" w16cid:durableId="1600719517">
    <w:abstractNumId w:val="265"/>
  </w:num>
  <w:num w:numId="90" w16cid:durableId="120222793">
    <w:abstractNumId w:val="398"/>
  </w:num>
  <w:num w:numId="91" w16cid:durableId="876892084">
    <w:abstractNumId w:val="325"/>
  </w:num>
  <w:num w:numId="92" w16cid:durableId="40055348">
    <w:abstractNumId w:val="295"/>
  </w:num>
  <w:num w:numId="93" w16cid:durableId="24792145">
    <w:abstractNumId w:val="395"/>
  </w:num>
  <w:num w:numId="94" w16cid:durableId="1545286541">
    <w:abstractNumId w:val="243"/>
  </w:num>
  <w:num w:numId="95" w16cid:durableId="842472140">
    <w:abstractNumId w:val="359"/>
  </w:num>
  <w:num w:numId="96" w16cid:durableId="633174751">
    <w:abstractNumId w:val="195"/>
  </w:num>
  <w:num w:numId="97" w16cid:durableId="1230459856">
    <w:abstractNumId w:val="315"/>
  </w:num>
  <w:num w:numId="98" w16cid:durableId="1593927424">
    <w:abstractNumId w:val="319"/>
  </w:num>
  <w:num w:numId="99" w16cid:durableId="1317488669">
    <w:abstractNumId w:val="297"/>
  </w:num>
  <w:num w:numId="100" w16cid:durableId="1074402257">
    <w:abstractNumId w:val="128"/>
  </w:num>
  <w:num w:numId="101" w16cid:durableId="2139637474">
    <w:abstractNumId w:val="271"/>
  </w:num>
  <w:num w:numId="102" w16cid:durableId="1914923723">
    <w:abstractNumId w:val="148"/>
  </w:num>
  <w:num w:numId="103" w16cid:durableId="548494130">
    <w:abstractNumId w:val="363"/>
  </w:num>
  <w:num w:numId="104" w16cid:durableId="599877190">
    <w:abstractNumId w:val="19"/>
  </w:num>
  <w:num w:numId="105" w16cid:durableId="1650131535">
    <w:abstractNumId w:val="252"/>
  </w:num>
  <w:num w:numId="106" w16cid:durableId="1978220922">
    <w:abstractNumId w:val="180"/>
  </w:num>
  <w:num w:numId="107" w16cid:durableId="1163471404">
    <w:abstractNumId w:val="293"/>
  </w:num>
  <w:num w:numId="108" w16cid:durableId="735081449">
    <w:abstractNumId w:val="420"/>
  </w:num>
  <w:num w:numId="109" w16cid:durableId="1059012364">
    <w:abstractNumId w:val="32"/>
  </w:num>
  <w:num w:numId="110" w16cid:durableId="690641387">
    <w:abstractNumId w:val="197"/>
  </w:num>
  <w:num w:numId="111" w16cid:durableId="46488892">
    <w:abstractNumId w:val="160"/>
  </w:num>
  <w:num w:numId="112" w16cid:durableId="770853517">
    <w:abstractNumId w:val="216"/>
  </w:num>
  <w:num w:numId="113" w16cid:durableId="327441778">
    <w:abstractNumId w:val="219"/>
  </w:num>
  <w:num w:numId="114" w16cid:durableId="13962843">
    <w:abstractNumId w:val="388"/>
  </w:num>
  <w:num w:numId="115" w16cid:durableId="903178118">
    <w:abstractNumId w:val="455"/>
  </w:num>
  <w:num w:numId="116" w16cid:durableId="1835104611">
    <w:abstractNumId w:val="132"/>
  </w:num>
  <w:num w:numId="117" w16cid:durableId="1985308360">
    <w:abstractNumId w:val="336"/>
  </w:num>
  <w:num w:numId="118" w16cid:durableId="652150017">
    <w:abstractNumId w:val="270"/>
  </w:num>
  <w:num w:numId="119" w16cid:durableId="1721325037">
    <w:abstractNumId w:val="136"/>
  </w:num>
  <w:num w:numId="120" w16cid:durableId="939802505">
    <w:abstractNumId w:val="361"/>
  </w:num>
  <w:num w:numId="121" w16cid:durableId="662010578">
    <w:abstractNumId w:val="156"/>
  </w:num>
  <w:num w:numId="122" w16cid:durableId="1585412374">
    <w:abstractNumId w:val="196"/>
  </w:num>
  <w:num w:numId="123" w16cid:durableId="526526417">
    <w:abstractNumId w:val="312"/>
  </w:num>
  <w:num w:numId="124" w16cid:durableId="159200544">
    <w:abstractNumId w:val="445"/>
  </w:num>
  <w:num w:numId="125" w16cid:durableId="1372875327">
    <w:abstractNumId w:val="238"/>
  </w:num>
  <w:num w:numId="126" w16cid:durableId="851529500">
    <w:abstractNumId w:val="405"/>
  </w:num>
  <w:num w:numId="127" w16cid:durableId="1643269385">
    <w:abstractNumId w:val="394"/>
  </w:num>
  <w:num w:numId="128" w16cid:durableId="1953895007">
    <w:abstractNumId w:val="67"/>
  </w:num>
  <w:num w:numId="129" w16cid:durableId="2136293952">
    <w:abstractNumId w:val="38"/>
  </w:num>
  <w:num w:numId="130" w16cid:durableId="1729524922">
    <w:abstractNumId w:val="210"/>
  </w:num>
  <w:num w:numId="131" w16cid:durableId="1712723062">
    <w:abstractNumId w:val="190"/>
  </w:num>
  <w:num w:numId="132" w16cid:durableId="1586038480">
    <w:abstractNumId w:val="154"/>
  </w:num>
  <w:num w:numId="133" w16cid:durableId="1113136751">
    <w:abstractNumId w:val="36"/>
  </w:num>
  <w:num w:numId="134" w16cid:durableId="1356926197">
    <w:abstractNumId w:val="59"/>
  </w:num>
  <w:num w:numId="135" w16cid:durableId="1066731024">
    <w:abstractNumId w:val="218"/>
  </w:num>
  <w:num w:numId="136" w16cid:durableId="942567477">
    <w:abstractNumId w:val="282"/>
  </w:num>
  <w:num w:numId="137" w16cid:durableId="1065570093">
    <w:abstractNumId w:val="254"/>
  </w:num>
  <w:num w:numId="138" w16cid:durableId="748774680">
    <w:abstractNumId w:val="162"/>
  </w:num>
  <w:num w:numId="139" w16cid:durableId="598367366">
    <w:abstractNumId w:val="215"/>
  </w:num>
  <w:num w:numId="140" w16cid:durableId="1035042356">
    <w:abstractNumId w:val="286"/>
  </w:num>
  <w:num w:numId="141" w16cid:durableId="705956993">
    <w:abstractNumId w:val="204"/>
  </w:num>
  <w:num w:numId="142" w16cid:durableId="1797485559">
    <w:abstractNumId w:val="165"/>
  </w:num>
  <w:num w:numId="143" w16cid:durableId="1267925876">
    <w:abstractNumId w:val="12"/>
  </w:num>
  <w:num w:numId="144" w16cid:durableId="1007826087">
    <w:abstractNumId w:val="131"/>
  </w:num>
  <w:num w:numId="145" w16cid:durableId="56704207">
    <w:abstractNumId w:val="221"/>
  </w:num>
  <w:num w:numId="146" w16cid:durableId="528448502">
    <w:abstractNumId w:val="386"/>
  </w:num>
  <w:num w:numId="147" w16cid:durableId="2006780305">
    <w:abstractNumId w:val="22"/>
  </w:num>
  <w:num w:numId="148" w16cid:durableId="554120029">
    <w:abstractNumId w:val="279"/>
  </w:num>
  <w:num w:numId="149" w16cid:durableId="1043142653">
    <w:abstractNumId w:val="298"/>
  </w:num>
  <w:num w:numId="150" w16cid:durableId="112604185">
    <w:abstractNumId w:val="453"/>
  </w:num>
  <w:num w:numId="151" w16cid:durableId="772824328">
    <w:abstractNumId w:val="23"/>
  </w:num>
  <w:num w:numId="152" w16cid:durableId="401830360">
    <w:abstractNumId w:val="434"/>
  </w:num>
  <w:num w:numId="153" w16cid:durableId="1287354727">
    <w:abstractNumId w:val="306"/>
  </w:num>
  <w:num w:numId="154" w16cid:durableId="1143497403">
    <w:abstractNumId w:val="144"/>
  </w:num>
  <w:num w:numId="155" w16cid:durableId="1753428750">
    <w:abstractNumId w:val="289"/>
  </w:num>
  <w:num w:numId="156" w16cid:durableId="149056855">
    <w:abstractNumId w:val="189"/>
  </w:num>
  <w:num w:numId="157" w16cid:durableId="1262832542">
    <w:abstractNumId w:val="29"/>
  </w:num>
  <w:num w:numId="158" w16cid:durableId="1277446564">
    <w:abstractNumId w:val="26"/>
  </w:num>
  <w:num w:numId="159" w16cid:durableId="1064451424">
    <w:abstractNumId w:val="49"/>
  </w:num>
  <w:num w:numId="160" w16cid:durableId="715618910">
    <w:abstractNumId w:val="268"/>
  </w:num>
  <w:num w:numId="161" w16cid:durableId="1318343227">
    <w:abstractNumId w:val="123"/>
  </w:num>
  <w:num w:numId="162" w16cid:durableId="1020161069">
    <w:abstractNumId w:val="380"/>
  </w:num>
  <w:num w:numId="163" w16cid:durableId="504638663">
    <w:abstractNumId w:val="171"/>
  </w:num>
  <w:num w:numId="164" w16cid:durableId="707485724">
    <w:abstractNumId w:val="16"/>
  </w:num>
  <w:num w:numId="165" w16cid:durableId="455101530">
    <w:abstractNumId w:val="157"/>
  </w:num>
  <w:num w:numId="166" w16cid:durableId="966475629">
    <w:abstractNumId w:val="384"/>
  </w:num>
  <w:num w:numId="167" w16cid:durableId="463235025">
    <w:abstractNumId w:val="158"/>
  </w:num>
  <w:num w:numId="168" w16cid:durableId="1943299561">
    <w:abstractNumId w:val="409"/>
  </w:num>
  <w:num w:numId="169" w16cid:durableId="2041472110">
    <w:abstractNumId w:val="245"/>
  </w:num>
  <w:num w:numId="170" w16cid:durableId="317921504">
    <w:abstractNumId w:val="139"/>
  </w:num>
  <w:num w:numId="171" w16cid:durableId="789709738">
    <w:abstractNumId w:val="335"/>
  </w:num>
  <w:num w:numId="172" w16cid:durableId="498086105">
    <w:abstractNumId w:val="209"/>
  </w:num>
  <w:num w:numId="173" w16cid:durableId="1052731602">
    <w:abstractNumId w:val="315"/>
  </w:num>
  <w:num w:numId="174" w16cid:durableId="1279871541">
    <w:abstractNumId w:val="341"/>
  </w:num>
  <w:num w:numId="175" w16cid:durableId="2064137713">
    <w:abstractNumId w:val="454"/>
  </w:num>
  <w:num w:numId="176" w16cid:durableId="907693581">
    <w:abstractNumId w:val="35"/>
  </w:num>
  <w:num w:numId="177" w16cid:durableId="991327319">
    <w:abstractNumId w:val="419"/>
  </w:num>
  <w:num w:numId="178" w16cid:durableId="1413163866">
    <w:abstractNumId w:val="324"/>
  </w:num>
  <w:num w:numId="179" w16cid:durableId="418063047">
    <w:abstractNumId w:val="84"/>
  </w:num>
  <w:num w:numId="180" w16cid:durableId="1516112576">
    <w:abstractNumId w:val="91"/>
  </w:num>
  <w:num w:numId="181" w16cid:durableId="1076899774">
    <w:abstractNumId w:val="387"/>
  </w:num>
  <w:num w:numId="182" w16cid:durableId="882867413">
    <w:abstractNumId w:val="290"/>
  </w:num>
  <w:num w:numId="183" w16cid:durableId="324628866">
    <w:abstractNumId w:val="65"/>
  </w:num>
  <w:num w:numId="184" w16cid:durableId="868762671">
    <w:abstractNumId w:val="79"/>
  </w:num>
  <w:num w:numId="185" w16cid:durableId="295647102">
    <w:abstractNumId w:val="87"/>
  </w:num>
  <w:num w:numId="186" w16cid:durableId="555942715">
    <w:abstractNumId w:val="367"/>
  </w:num>
  <w:num w:numId="187" w16cid:durableId="901911371">
    <w:abstractNumId w:val="375"/>
  </w:num>
  <w:num w:numId="188" w16cid:durableId="1681354817">
    <w:abstractNumId w:val="246"/>
  </w:num>
  <w:num w:numId="189" w16cid:durableId="342980798">
    <w:abstractNumId w:val="406"/>
  </w:num>
  <w:num w:numId="190" w16cid:durableId="433331172">
    <w:abstractNumId w:val="169"/>
  </w:num>
  <w:num w:numId="191" w16cid:durableId="867107907">
    <w:abstractNumId w:val="119"/>
  </w:num>
  <w:num w:numId="192" w16cid:durableId="1597596395">
    <w:abstractNumId w:val="57"/>
  </w:num>
  <w:num w:numId="193" w16cid:durableId="130054924">
    <w:abstractNumId w:val="264"/>
  </w:num>
  <w:num w:numId="194" w16cid:durableId="690373586">
    <w:abstractNumId w:val="390"/>
  </w:num>
  <w:num w:numId="195" w16cid:durableId="1686400968">
    <w:abstractNumId w:val="66"/>
  </w:num>
  <w:num w:numId="196" w16cid:durableId="772214408">
    <w:abstractNumId w:val="206"/>
  </w:num>
  <w:num w:numId="197" w16cid:durableId="1007288936">
    <w:abstractNumId w:val="48"/>
  </w:num>
  <w:num w:numId="198" w16cid:durableId="1805463216">
    <w:abstractNumId w:val="291"/>
  </w:num>
  <w:num w:numId="199" w16cid:durableId="1457067687">
    <w:abstractNumId w:val="439"/>
  </w:num>
  <w:num w:numId="200" w16cid:durableId="990406625">
    <w:abstractNumId w:val="147"/>
  </w:num>
  <w:num w:numId="201" w16cid:durableId="585500636">
    <w:abstractNumId w:val="168"/>
  </w:num>
  <w:num w:numId="202" w16cid:durableId="1530021916">
    <w:abstractNumId w:val="181"/>
  </w:num>
  <w:num w:numId="203" w16cid:durableId="228032363">
    <w:abstractNumId w:val="411"/>
  </w:num>
  <w:num w:numId="204" w16cid:durableId="788354763">
    <w:abstractNumId w:val="415"/>
  </w:num>
  <w:num w:numId="205" w16cid:durableId="1572231839">
    <w:abstractNumId w:val="350"/>
  </w:num>
  <w:num w:numId="206" w16cid:durableId="453065370">
    <w:abstractNumId w:val="413"/>
  </w:num>
  <w:num w:numId="207" w16cid:durableId="446122608">
    <w:abstractNumId w:val="459"/>
  </w:num>
  <w:num w:numId="208" w16cid:durableId="860892919">
    <w:abstractNumId w:val="450"/>
  </w:num>
  <w:num w:numId="209" w16cid:durableId="2105178830">
    <w:abstractNumId w:val="432"/>
  </w:num>
  <w:num w:numId="210" w16cid:durableId="1396514910">
    <w:abstractNumId w:val="327"/>
  </w:num>
  <w:num w:numId="211" w16cid:durableId="690107311">
    <w:abstractNumId w:val="462"/>
  </w:num>
  <w:num w:numId="212" w16cid:durableId="819544687">
    <w:abstractNumId w:val="348"/>
  </w:num>
  <w:num w:numId="213" w16cid:durableId="1552887913">
    <w:abstractNumId w:val="9"/>
  </w:num>
  <w:num w:numId="214" w16cid:durableId="813834569">
    <w:abstractNumId w:val="7"/>
  </w:num>
  <w:num w:numId="215" w16cid:durableId="1535726835">
    <w:abstractNumId w:val="6"/>
  </w:num>
  <w:num w:numId="216" w16cid:durableId="827983899">
    <w:abstractNumId w:val="5"/>
  </w:num>
  <w:num w:numId="217" w16cid:durableId="459348376">
    <w:abstractNumId w:val="4"/>
  </w:num>
  <w:num w:numId="218" w16cid:durableId="436368393">
    <w:abstractNumId w:val="8"/>
  </w:num>
  <w:num w:numId="219" w16cid:durableId="2043356923">
    <w:abstractNumId w:val="3"/>
  </w:num>
  <w:num w:numId="220" w16cid:durableId="688991666">
    <w:abstractNumId w:val="2"/>
  </w:num>
  <w:num w:numId="221" w16cid:durableId="1879851812">
    <w:abstractNumId w:val="1"/>
  </w:num>
  <w:num w:numId="222" w16cid:durableId="462888509">
    <w:abstractNumId w:val="0"/>
  </w:num>
  <w:num w:numId="223" w16cid:durableId="427310079">
    <w:abstractNumId w:val="112"/>
  </w:num>
  <w:num w:numId="224" w16cid:durableId="1502886279">
    <w:abstractNumId w:val="247"/>
  </w:num>
  <w:num w:numId="225" w16cid:durableId="1780100605">
    <w:abstractNumId w:val="21"/>
  </w:num>
  <w:num w:numId="226" w16cid:durableId="1777210980">
    <w:abstractNumId w:val="182"/>
  </w:num>
  <w:num w:numId="227" w16cid:durableId="563875717">
    <w:abstractNumId w:val="424"/>
  </w:num>
  <w:num w:numId="228" w16cid:durableId="1661427587">
    <w:abstractNumId w:val="425"/>
  </w:num>
  <w:num w:numId="229" w16cid:durableId="1078406393">
    <w:abstractNumId w:val="77"/>
  </w:num>
  <w:num w:numId="230" w16cid:durableId="1215196554">
    <w:abstractNumId w:val="98"/>
  </w:num>
  <w:num w:numId="231" w16cid:durableId="1852063095">
    <w:abstractNumId w:val="262"/>
  </w:num>
  <w:num w:numId="232" w16cid:durableId="1380128883">
    <w:abstractNumId w:val="220"/>
  </w:num>
  <w:num w:numId="233" w16cid:durableId="632249182">
    <w:abstractNumId w:val="358"/>
  </w:num>
  <w:num w:numId="234" w16cid:durableId="1514106009">
    <w:abstractNumId w:val="397"/>
  </w:num>
  <w:num w:numId="235" w16cid:durableId="414206569">
    <w:abstractNumId w:val="322"/>
  </w:num>
  <w:num w:numId="236" w16cid:durableId="860434842">
    <w:abstractNumId w:val="92"/>
  </w:num>
  <w:num w:numId="237" w16cid:durableId="1967730632">
    <w:abstractNumId w:val="337"/>
  </w:num>
  <w:num w:numId="238" w16cid:durableId="1294402606">
    <w:abstractNumId w:val="68"/>
  </w:num>
  <w:num w:numId="239" w16cid:durableId="1349333682">
    <w:abstractNumId w:val="64"/>
  </w:num>
  <w:num w:numId="240" w16cid:durableId="561058681">
    <w:abstractNumId w:val="242"/>
  </w:num>
  <w:num w:numId="241" w16cid:durableId="302199810">
    <w:abstractNumId w:val="362"/>
  </w:num>
  <w:num w:numId="242" w16cid:durableId="800733314">
    <w:abstractNumId w:val="28"/>
  </w:num>
  <w:num w:numId="243" w16cid:durableId="340471631">
    <w:abstractNumId w:val="155"/>
  </w:num>
  <w:num w:numId="244" w16cid:durableId="1359969393">
    <w:abstractNumId w:val="328"/>
  </w:num>
  <w:num w:numId="245" w16cid:durableId="360479629">
    <w:abstractNumId w:val="205"/>
  </w:num>
  <w:num w:numId="246" w16cid:durableId="1884051812">
    <w:abstractNumId w:val="142"/>
  </w:num>
  <w:num w:numId="247" w16cid:durableId="375546732">
    <w:abstractNumId w:val="460"/>
  </w:num>
  <w:num w:numId="248" w16cid:durableId="2027126356">
    <w:abstractNumId w:val="192"/>
  </w:num>
  <w:num w:numId="249" w16cid:durableId="1265961045">
    <w:abstractNumId w:val="274"/>
  </w:num>
  <w:num w:numId="250" w16cid:durableId="1168136254">
    <w:abstractNumId w:val="95"/>
  </w:num>
  <w:num w:numId="251" w16cid:durableId="600257020">
    <w:abstractNumId w:val="229"/>
  </w:num>
  <w:num w:numId="252" w16cid:durableId="1601062827">
    <w:abstractNumId w:val="191"/>
  </w:num>
  <w:num w:numId="253" w16cid:durableId="564073214">
    <w:abstractNumId w:val="288"/>
  </w:num>
  <w:num w:numId="254" w16cid:durableId="2020232344">
    <w:abstractNumId w:val="211"/>
  </w:num>
  <w:num w:numId="255" w16cid:durableId="1958178076">
    <w:abstractNumId w:val="85"/>
  </w:num>
  <w:num w:numId="256" w16cid:durableId="1102603657">
    <w:abstractNumId w:val="63"/>
  </w:num>
  <w:num w:numId="257" w16cid:durableId="349450632">
    <w:abstractNumId w:val="338"/>
  </w:num>
  <w:num w:numId="258" w16cid:durableId="1999260105">
    <w:abstractNumId w:val="54"/>
  </w:num>
  <w:num w:numId="259" w16cid:durableId="145127057">
    <w:abstractNumId w:val="444"/>
  </w:num>
  <w:num w:numId="260" w16cid:durableId="337314963">
    <w:abstractNumId w:val="143"/>
  </w:num>
  <w:num w:numId="261" w16cid:durableId="1371683254">
    <w:abstractNumId w:val="199"/>
  </w:num>
  <w:num w:numId="262" w16cid:durableId="609749117">
    <w:abstractNumId w:val="379"/>
  </w:num>
  <w:num w:numId="263" w16cid:durableId="166869562">
    <w:abstractNumId w:val="428"/>
  </w:num>
  <w:num w:numId="264" w16cid:durableId="970403226">
    <w:abstractNumId w:val="138"/>
  </w:num>
  <w:num w:numId="265" w16cid:durableId="1199704321">
    <w:abstractNumId w:val="93"/>
  </w:num>
  <w:num w:numId="266" w16cid:durableId="2042317337">
    <w:abstractNumId w:val="365"/>
  </w:num>
  <w:num w:numId="267" w16cid:durableId="55208577">
    <w:abstractNumId w:val="104"/>
  </w:num>
  <w:num w:numId="268" w16cid:durableId="392194983">
    <w:abstractNumId w:val="200"/>
  </w:num>
  <w:num w:numId="269" w16cid:durableId="1539010463">
    <w:abstractNumId w:val="385"/>
  </w:num>
  <w:num w:numId="270" w16cid:durableId="1323509992">
    <w:abstractNumId w:val="14"/>
  </w:num>
  <w:num w:numId="271" w16cid:durableId="1554658143">
    <w:abstractNumId w:val="255"/>
  </w:num>
  <w:num w:numId="272" w16cid:durableId="1820221647">
    <w:abstractNumId w:val="226"/>
  </w:num>
  <w:num w:numId="273" w16cid:durableId="1456293331">
    <w:abstractNumId w:val="233"/>
  </w:num>
  <w:num w:numId="274" w16cid:durableId="1674916739">
    <w:abstractNumId w:val="374"/>
  </w:num>
  <w:num w:numId="275" w16cid:durableId="689334220">
    <w:abstractNumId w:val="76"/>
  </w:num>
  <w:num w:numId="276" w16cid:durableId="320816491">
    <w:abstractNumId w:val="237"/>
  </w:num>
  <w:num w:numId="277" w16cid:durableId="2136756454">
    <w:abstractNumId w:val="225"/>
  </w:num>
  <w:num w:numId="278" w16cid:durableId="1606883351">
    <w:abstractNumId w:val="307"/>
  </w:num>
  <w:num w:numId="279" w16cid:durableId="1645965932">
    <w:abstractNumId w:val="183"/>
  </w:num>
  <w:num w:numId="280" w16cid:durableId="95633934">
    <w:abstractNumId w:val="287"/>
  </w:num>
  <w:num w:numId="281" w16cid:durableId="1511213819">
    <w:abstractNumId w:val="248"/>
  </w:num>
  <w:num w:numId="282" w16cid:durableId="40984335">
    <w:abstractNumId w:val="71"/>
  </w:num>
  <w:num w:numId="283" w16cid:durableId="1653871630">
    <w:abstractNumId w:val="10"/>
  </w:num>
  <w:num w:numId="284" w16cid:durableId="1961452853">
    <w:abstractNumId w:val="440"/>
  </w:num>
  <w:num w:numId="285" w16cid:durableId="746538300">
    <w:abstractNumId w:val="311"/>
  </w:num>
  <w:num w:numId="286" w16cid:durableId="84498019">
    <w:abstractNumId w:val="276"/>
  </w:num>
  <w:num w:numId="287" w16cid:durableId="485710185">
    <w:abstractNumId w:val="382"/>
  </w:num>
  <w:num w:numId="288" w16cid:durableId="574705871">
    <w:abstractNumId w:val="343"/>
  </w:num>
  <w:num w:numId="289" w16cid:durableId="413017651">
    <w:abstractNumId w:val="127"/>
  </w:num>
  <w:num w:numId="290" w16cid:durableId="1472553915">
    <w:abstractNumId w:val="273"/>
  </w:num>
  <w:num w:numId="291" w16cid:durableId="1941913490">
    <w:abstractNumId w:val="438"/>
  </w:num>
  <w:num w:numId="292" w16cid:durableId="405224216">
    <w:abstractNumId w:val="309"/>
  </w:num>
  <w:num w:numId="293" w16cid:durableId="994920841">
    <w:abstractNumId w:val="259"/>
  </w:num>
  <w:num w:numId="294" w16cid:durableId="1924299051">
    <w:abstractNumId w:val="224"/>
  </w:num>
  <w:num w:numId="295" w16cid:durableId="48308015">
    <w:abstractNumId w:val="62"/>
  </w:num>
  <w:num w:numId="296" w16cid:durableId="615137002">
    <w:abstractNumId w:val="266"/>
  </w:num>
  <w:num w:numId="297" w16cid:durableId="1816527328">
    <w:abstractNumId w:val="88"/>
  </w:num>
  <w:num w:numId="298" w16cid:durableId="269362321">
    <w:abstractNumId w:val="463"/>
  </w:num>
  <w:num w:numId="299" w16cid:durableId="1023239863">
    <w:abstractNumId w:val="318"/>
  </w:num>
  <w:num w:numId="300" w16cid:durableId="1291353562">
    <w:abstractNumId w:val="355"/>
  </w:num>
  <w:num w:numId="301" w16cid:durableId="1982925146">
    <w:abstractNumId w:val="369"/>
  </w:num>
  <w:num w:numId="302" w16cid:durableId="1319647632">
    <w:abstractNumId w:val="117"/>
  </w:num>
  <w:num w:numId="303" w16cid:durableId="80106778">
    <w:abstractNumId w:val="33"/>
  </w:num>
  <w:num w:numId="304" w16cid:durableId="1530219196">
    <w:abstractNumId w:val="329"/>
  </w:num>
  <w:num w:numId="305" w16cid:durableId="31733160">
    <w:abstractNumId w:val="437"/>
  </w:num>
  <w:num w:numId="306" w16cid:durableId="697507300">
    <w:abstractNumId w:val="223"/>
  </w:num>
  <w:num w:numId="307" w16cid:durableId="1150245647">
    <w:abstractNumId w:val="101"/>
  </w:num>
  <w:num w:numId="308" w16cid:durableId="1273436433">
    <w:abstractNumId w:val="272"/>
  </w:num>
  <w:num w:numId="309" w16cid:durableId="1152866890">
    <w:abstractNumId w:val="151"/>
  </w:num>
  <w:num w:numId="310" w16cid:durableId="953558101">
    <w:abstractNumId w:val="114"/>
  </w:num>
  <w:num w:numId="311" w16cid:durableId="1248881580">
    <w:abstractNumId w:val="449"/>
  </w:num>
  <w:num w:numId="312" w16cid:durableId="1331567524">
    <w:abstractNumId w:val="96"/>
  </w:num>
  <w:num w:numId="313" w16cid:durableId="1319843389">
    <w:abstractNumId w:val="70"/>
  </w:num>
  <w:num w:numId="314" w16cid:durableId="1176578464">
    <w:abstractNumId w:val="89"/>
  </w:num>
  <w:num w:numId="315" w16cid:durableId="1834026674">
    <w:abstractNumId w:val="347"/>
  </w:num>
  <w:num w:numId="316" w16cid:durableId="2017681869">
    <w:abstractNumId w:val="281"/>
  </w:num>
  <w:num w:numId="317" w16cid:durableId="1770277810">
    <w:abstractNumId w:val="186"/>
  </w:num>
  <w:num w:numId="318" w16cid:durableId="1872840113">
    <w:abstractNumId w:val="267"/>
  </w:num>
  <w:num w:numId="319" w16cid:durableId="308285496">
    <w:abstractNumId w:val="371"/>
  </w:num>
  <w:num w:numId="320" w16cid:durableId="1759667318">
    <w:abstractNumId w:val="244"/>
  </w:num>
  <w:num w:numId="321" w16cid:durableId="1174343503">
    <w:abstractNumId w:val="414"/>
  </w:num>
  <w:num w:numId="322" w16cid:durableId="1314144799">
    <w:abstractNumId w:val="407"/>
  </w:num>
  <w:num w:numId="323" w16cid:durableId="1945963737">
    <w:abstractNumId w:val="107"/>
  </w:num>
  <w:num w:numId="324" w16cid:durableId="726761230">
    <w:abstractNumId w:val="118"/>
  </w:num>
  <w:num w:numId="325" w16cid:durableId="1498425656">
    <w:abstractNumId w:val="418"/>
  </w:num>
  <w:num w:numId="326" w16cid:durableId="558781389">
    <w:abstractNumId w:val="203"/>
  </w:num>
  <w:num w:numId="327" w16cid:durableId="1530682605">
    <w:abstractNumId w:val="164"/>
  </w:num>
  <w:num w:numId="328" w16cid:durableId="441388547">
    <w:abstractNumId w:val="47"/>
  </w:num>
  <w:num w:numId="329" w16cid:durableId="147211395">
    <w:abstractNumId w:val="27"/>
  </w:num>
  <w:num w:numId="330" w16cid:durableId="322316318">
    <w:abstractNumId w:val="130"/>
  </w:num>
  <w:num w:numId="331" w16cid:durableId="1238631008">
    <w:abstractNumId w:val="339"/>
  </w:num>
  <w:num w:numId="332" w16cid:durableId="1123882516">
    <w:abstractNumId w:val="253"/>
  </w:num>
  <w:num w:numId="333" w16cid:durableId="389574974">
    <w:abstractNumId w:val="111"/>
  </w:num>
  <w:num w:numId="334" w16cid:durableId="1182355114">
    <w:abstractNumId w:val="60"/>
  </w:num>
  <w:num w:numId="335" w16cid:durableId="574126485">
    <w:abstractNumId w:val="106"/>
  </w:num>
  <w:num w:numId="336" w16cid:durableId="1641424258">
    <w:abstractNumId w:val="97"/>
  </w:num>
  <w:num w:numId="337" w16cid:durableId="1560435316">
    <w:abstractNumId w:val="78"/>
  </w:num>
  <w:num w:numId="338" w16cid:durableId="1845707696">
    <w:abstractNumId w:val="34"/>
  </w:num>
  <w:num w:numId="339" w16cid:durableId="1258636112">
    <w:abstractNumId w:val="170"/>
  </w:num>
  <w:num w:numId="340" w16cid:durableId="1108617997">
    <w:abstractNumId w:val="261"/>
  </w:num>
  <w:num w:numId="341" w16cid:durableId="368723572">
    <w:abstractNumId w:val="82"/>
  </w:num>
  <w:num w:numId="342" w16cid:durableId="1240864041">
    <w:abstractNumId w:val="447"/>
  </w:num>
  <w:num w:numId="343" w16cid:durableId="20515615">
    <w:abstractNumId w:val="344"/>
  </w:num>
  <w:num w:numId="344" w16cid:durableId="1382095306">
    <w:abstractNumId w:val="116"/>
  </w:num>
  <w:num w:numId="345" w16cid:durableId="615334458">
    <w:abstractNumId w:val="451"/>
  </w:num>
  <w:num w:numId="346" w16cid:durableId="1217666383">
    <w:abstractNumId w:val="236"/>
  </w:num>
  <w:num w:numId="347" w16cid:durableId="396324569">
    <w:abstractNumId w:val="300"/>
  </w:num>
  <w:num w:numId="348" w16cid:durableId="31464458">
    <w:abstractNumId w:val="349"/>
  </w:num>
  <w:num w:numId="349" w16cid:durableId="199364785">
    <w:abstractNumId w:val="90"/>
  </w:num>
  <w:num w:numId="350" w16cid:durableId="1703046961">
    <w:abstractNumId w:val="25"/>
  </w:num>
  <w:num w:numId="351" w16cid:durableId="2083676506">
    <w:abstractNumId w:val="235"/>
  </w:num>
  <w:num w:numId="352" w16cid:durableId="1092510715">
    <w:abstractNumId w:val="346"/>
  </w:num>
  <w:num w:numId="353" w16cid:durableId="1435515855">
    <w:abstractNumId w:val="232"/>
  </w:num>
  <w:num w:numId="354" w16cid:durableId="2021276638">
    <w:abstractNumId w:val="443"/>
  </w:num>
  <w:num w:numId="355" w16cid:durableId="913667048">
    <w:abstractNumId w:val="402"/>
  </w:num>
  <w:num w:numId="356" w16cid:durableId="708334750">
    <w:abstractNumId w:val="431"/>
  </w:num>
  <w:num w:numId="357" w16cid:durableId="1213804373">
    <w:abstractNumId w:val="124"/>
  </w:num>
  <w:num w:numId="358" w16cid:durableId="1628274466">
    <w:abstractNumId w:val="435"/>
  </w:num>
  <w:num w:numId="359" w16cid:durableId="1881934086">
    <w:abstractNumId w:val="284"/>
  </w:num>
  <w:num w:numId="360" w16cid:durableId="1102384946">
    <w:abstractNumId w:val="176"/>
  </w:num>
  <w:num w:numId="361" w16cid:durableId="1030301764">
    <w:abstractNumId w:val="381"/>
  </w:num>
  <w:num w:numId="362" w16cid:durableId="1701973912">
    <w:abstractNumId w:val="353"/>
  </w:num>
  <w:num w:numId="363" w16cid:durableId="1367367235">
    <w:abstractNumId w:val="452"/>
  </w:num>
  <w:num w:numId="364" w16cid:durableId="1728529026">
    <w:abstractNumId w:val="187"/>
  </w:num>
  <w:num w:numId="365" w16cid:durableId="2116516247">
    <w:abstractNumId w:val="372"/>
  </w:num>
  <w:num w:numId="366" w16cid:durableId="1663506560">
    <w:abstractNumId w:val="73"/>
  </w:num>
  <w:num w:numId="367" w16cid:durableId="1297681052">
    <w:abstractNumId w:val="172"/>
  </w:num>
  <w:num w:numId="368" w16cid:durableId="2035185661">
    <w:abstractNumId w:val="410"/>
  </w:num>
  <w:num w:numId="369" w16cid:durableId="366878856">
    <w:abstractNumId w:val="256"/>
  </w:num>
  <w:num w:numId="370" w16cid:durableId="1479683122">
    <w:abstractNumId w:val="292"/>
  </w:num>
  <w:num w:numId="371" w16cid:durableId="1701202874">
    <w:abstractNumId w:val="56"/>
  </w:num>
  <w:num w:numId="372" w16cid:durableId="937831565">
    <w:abstractNumId w:val="321"/>
  </w:num>
  <w:num w:numId="373" w16cid:durableId="1741827980">
    <w:abstractNumId w:val="308"/>
  </w:num>
  <w:num w:numId="374" w16cid:durableId="1150050617">
    <w:abstractNumId w:val="69"/>
  </w:num>
  <w:num w:numId="375" w16cid:durableId="475991263">
    <w:abstractNumId w:val="430"/>
  </w:num>
  <w:num w:numId="376" w16cid:durableId="1620378820">
    <w:abstractNumId w:val="50"/>
  </w:num>
  <w:num w:numId="377" w16cid:durableId="1493134043">
    <w:abstractNumId w:val="125"/>
  </w:num>
  <w:num w:numId="378" w16cid:durableId="1833566812">
    <w:abstractNumId w:val="227"/>
  </w:num>
  <w:num w:numId="379" w16cid:durableId="1819229679">
    <w:abstractNumId w:val="207"/>
  </w:num>
  <w:num w:numId="380" w16cid:durableId="2073238232">
    <w:abstractNumId w:val="174"/>
  </w:num>
  <w:num w:numId="381" w16cid:durableId="1421372770">
    <w:abstractNumId w:val="83"/>
  </w:num>
  <w:num w:numId="382" w16cid:durableId="702172536">
    <w:abstractNumId w:val="178"/>
  </w:num>
  <w:num w:numId="383" w16cid:durableId="236942919">
    <w:abstractNumId w:val="263"/>
  </w:num>
  <w:num w:numId="384" w16cid:durableId="22245758">
    <w:abstractNumId w:val="283"/>
  </w:num>
  <w:num w:numId="385" w16cid:durableId="1840076698">
    <w:abstractNumId w:val="421"/>
  </w:num>
  <w:num w:numId="386" w16cid:durableId="2112578330">
    <w:abstractNumId w:val="163"/>
  </w:num>
  <w:num w:numId="387" w16cid:durableId="1305938250">
    <w:abstractNumId w:val="126"/>
  </w:num>
  <w:num w:numId="388" w16cid:durableId="652759019">
    <w:abstractNumId w:val="332"/>
  </w:num>
  <w:num w:numId="389" w16cid:durableId="852186566">
    <w:abstractNumId w:val="345"/>
  </w:num>
  <w:num w:numId="390" w16cid:durableId="697047342">
    <w:abstractNumId w:val="166"/>
  </w:num>
  <w:num w:numId="391" w16cid:durableId="288249504">
    <w:abstractNumId w:val="113"/>
  </w:num>
  <w:num w:numId="392" w16cid:durableId="1684625843">
    <w:abstractNumId w:val="356"/>
  </w:num>
  <w:num w:numId="393" w16cid:durableId="1847481499">
    <w:abstractNumId w:val="354"/>
  </w:num>
  <w:num w:numId="394" w16cid:durableId="1227838641">
    <w:abstractNumId w:val="333"/>
  </w:num>
  <w:num w:numId="395" w16cid:durableId="177890951">
    <w:abstractNumId w:val="140"/>
  </w:num>
  <w:num w:numId="396" w16cid:durableId="1598441273">
    <w:abstractNumId w:val="150"/>
  </w:num>
  <w:num w:numId="397" w16cid:durableId="1759330484">
    <w:abstractNumId w:val="378"/>
  </w:num>
  <w:num w:numId="398" w16cid:durableId="2070689672">
    <w:abstractNumId w:val="102"/>
  </w:num>
  <w:num w:numId="399" w16cid:durableId="1996370316">
    <w:abstractNumId w:val="423"/>
  </w:num>
  <w:num w:numId="400" w16cid:durableId="1954902136">
    <w:abstractNumId w:val="368"/>
  </w:num>
  <w:num w:numId="401" w16cid:durableId="29846766">
    <w:abstractNumId w:val="280"/>
  </w:num>
  <w:num w:numId="402" w16cid:durableId="768816764">
    <w:abstractNumId w:val="370"/>
  </w:num>
  <w:num w:numId="403" w16cid:durableId="661664465">
    <w:abstractNumId w:val="323"/>
  </w:num>
  <w:num w:numId="404" w16cid:durableId="15276664">
    <w:abstractNumId w:val="257"/>
  </w:num>
  <w:num w:numId="405" w16cid:durableId="1936016645">
    <w:abstractNumId w:val="399"/>
  </w:num>
  <w:num w:numId="406" w16cid:durableId="1686900300">
    <w:abstractNumId w:val="51"/>
  </w:num>
  <w:num w:numId="407" w16cid:durableId="1007632764">
    <w:abstractNumId w:val="389"/>
  </w:num>
  <w:num w:numId="408" w16cid:durableId="631250934">
    <w:abstractNumId w:val="357"/>
  </w:num>
  <w:num w:numId="409" w16cid:durableId="1323584429">
    <w:abstractNumId w:val="17"/>
  </w:num>
  <w:num w:numId="410" w16cid:durableId="1571697049">
    <w:abstractNumId w:val="400"/>
  </w:num>
  <w:num w:numId="411" w16cid:durableId="777215477">
    <w:abstractNumId w:val="234"/>
  </w:num>
  <w:num w:numId="412" w16cid:durableId="1831940443">
    <w:abstractNumId w:val="212"/>
  </w:num>
  <w:num w:numId="413" w16cid:durableId="1009217718">
    <w:abstractNumId w:val="258"/>
  </w:num>
  <w:num w:numId="414" w16cid:durableId="1230964769">
    <w:abstractNumId w:val="44"/>
  </w:num>
  <w:num w:numId="415" w16cid:durableId="2047441837">
    <w:abstractNumId w:val="408"/>
  </w:num>
  <w:num w:numId="416" w16cid:durableId="1017536784">
    <w:abstractNumId w:val="422"/>
  </w:num>
  <w:num w:numId="417" w16cid:durableId="831215515">
    <w:abstractNumId w:val="153"/>
  </w:num>
  <w:num w:numId="418" w16cid:durableId="475612785">
    <w:abstractNumId w:val="129"/>
  </w:num>
  <w:num w:numId="419" w16cid:durableId="364646078">
    <w:abstractNumId w:val="239"/>
  </w:num>
  <w:num w:numId="420" w16cid:durableId="1992439780">
    <w:abstractNumId w:val="412"/>
  </w:num>
  <w:num w:numId="421" w16cid:durableId="2077314805">
    <w:abstractNumId w:val="299"/>
  </w:num>
  <w:num w:numId="422" w16cid:durableId="656424810">
    <w:abstractNumId w:val="448"/>
  </w:num>
  <w:num w:numId="423" w16cid:durableId="401760582">
    <w:abstractNumId w:val="42"/>
  </w:num>
  <w:num w:numId="424" w16cid:durableId="1202279210">
    <w:abstractNumId w:val="110"/>
  </w:num>
  <w:num w:numId="425" w16cid:durableId="590286181">
    <w:abstractNumId w:val="391"/>
  </w:num>
  <w:num w:numId="426" w16cid:durableId="578373447">
    <w:abstractNumId w:val="316"/>
  </w:num>
  <w:num w:numId="427" w16cid:durableId="1374843004">
    <w:abstractNumId w:val="115"/>
  </w:num>
  <w:num w:numId="428" w16cid:durableId="534733984">
    <w:abstractNumId w:val="376"/>
  </w:num>
  <w:num w:numId="429" w16cid:durableId="2081978087">
    <w:abstractNumId w:val="269"/>
  </w:num>
  <w:num w:numId="430" w16cid:durableId="2020619825">
    <w:abstractNumId w:val="122"/>
  </w:num>
  <w:num w:numId="431" w16cid:durableId="1537767815">
    <w:abstractNumId w:val="317"/>
  </w:num>
  <w:num w:numId="432" w16cid:durableId="1142960307">
    <w:abstractNumId w:val="334"/>
  </w:num>
  <w:num w:numId="433" w16cid:durableId="763499847">
    <w:abstractNumId w:val="45"/>
  </w:num>
  <w:num w:numId="434" w16cid:durableId="631446722">
    <w:abstractNumId w:val="396"/>
  </w:num>
  <w:num w:numId="435" w16cid:durableId="1108424302">
    <w:abstractNumId w:val="377"/>
  </w:num>
  <w:num w:numId="436" w16cid:durableId="159735114">
    <w:abstractNumId w:val="198"/>
  </w:num>
  <w:num w:numId="437" w16cid:durableId="911164324">
    <w:abstractNumId w:val="185"/>
  </w:num>
  <w:num w:numId="438" w16cid:durableId="1027561217">
    <w:abstractNumId w:val="457"/>
  </w:num>
  <w:num w:numId="439" w16cid:durableId="556474720">
    <w:abstractNumId w:val="80"/>
  </w:num>
  <w:num w:numId="440" w16cid:durableId="1789932652">
    <w:abstractNumId w:val="304"/>
  </w:num>
  <w:num w:numId="441" w16cid:durableId="642852479">
    <w:abstractNumId w:val="109"/>
  </w:num>
  <w:num w:numId="442" w16cid:durableId="2114280501">
    <w:abstractNumId w:val="152"/>
  </w:num>
  <w:num w:numId="443" w16cid:durableId="1606496920">
    <w:abstractNumId w:val="240"/>
  </w:num>
  <w:num w:numId="444" w16cid:durableId="1114716814">
    <w:abstractNumId w:val="94"/>
  </w:num>
  <w:num w:numId="445" w16cid:durableId="1957254566">
    <w:abstractNumId w:val="52"/>
  </w:num>
  <w:num w:numId="446" w16cid:durableId="20210410">
    <w:abstractNumId w:val="13"/>
  </w:num>
  <w:num w:numId="447" w16cid:durableId="84691399">
    <w:abstractNumId w:val="86"/>
  </w:num>
  <w:num w:numId="448" w16cid:durableId="990643542">
    <w:abstractNumId w:val="305"/>
  </w:num>
  <w:num w:numId="449" w16cid:durableId="3479319">
    <w:abstractNumId w:val="458"/>
  </w:num>
  <w:num w:numId="450" w16cid:durableId="358089104">
    <w:abstractNumId w:val="72"/>
  </w:num>
  <w:num w:numId="451" w16cid:durableId="1080909114">
    <w:abstractNumId w:val="231"/>
  </w:num>
  <w:num w:numId="452" w16cid:durableId="1493451925">
    <w:abstractNumId w:val="331"/>
  </w:num>
  <w:num w:numId="453" w16cid:durableId="1333072125">
    <w:abstractNumId w:val="392"/>
  </w:num>
  <w:num w:numId="454" w16cid:durableId="1033921115">
    <w:abstractNumId w:val="275"/>
  </w:num>
  <w:num w:numId="455" w16cid:durableId="1640957838">
    <w:abstractNumId w:val="429"/>
  </w:num>
  <w:num w:numId="456" w16cid:durableId="797338456">
    <w:abstractNumId w:val="277"/>
  </w:num>
  <w:num w:numId="457" w16cid:durableId="1704135439">
    <w:abstractNumId w:val="313"/>
  </w:num>
  <w:num w:numId="458" w16cid:durableId="152113803">
    <w:abstractNumId w:val="75"/>
  </w:num>
  <w:num w:numId="459" w16cid:durableId="1128087857">
    <w:abstractNumId w:val="314"/>
  </w:num>
  <w:num w:numId="460" w16cid:durableId="1704091986">
    <w:abstractNumId w:val="303"/>
  </w:num>
  <w:num w:numId="461" w16cid:durableId="1442187208">
    <w:abstractNumId w:val="251"/>
  </w:num>
  <w:num w:numId="462" w16cid:durableId="1187404980">
    <w:abstractNumId w:val="217"/>
  </w:num>
  <w:num w:numId="463" w16cid:durableId="1488280037">
    <w:abstractNumId w:val="416"/>
  </w:num>
  <w:num w:numId="464" w16cid:durableId="512451767">
    <w:abstractNumId w:val="81"/>
  </w:num>
  <w:num w:numId="465" w16cid:durableId="1271351148">
    <w:abstractNumId w:val="222"/>
  </w:num>
  <w:num w:numId="466" w16cid:durableId="17171162">
    <w:abstractNumId w:val="161"/>
  </w:num>
  <w:numIdMacAtCleanup w:val="4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ctiveWritingStyle w:appName="MSWord" w:lang="fr-FR" w:vendorID="64" w:dllVersion="6" w:nlCheck="1" w:checkStyle="0"/>
  <w:activeWritingStyle w:appName="MSWord" w:lang="en-US" w:vendorID="64" w:dllVersion="6" w:nlCheck="1" w:checkStyle="1"/>
  <w:activeWritingStyle w:appName="MSWord" w:lang="en-US" w:vendorID="64" w:dllVersion="0" w:nlCheck="1" w:checkStyle="0"/>
  <w:activeWritingStyle w:appName="MSWord" w:lang="fr-FR" w:vendorID="64" w:dllVersion="0" w:nlCheck="1" w:checkStyle="0"/>
  <w:activeWritingStyle w:appName="MSWord" w:lang="es-ES" w:vendorID="64" w:dllVersion="0"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7MwNjAwN7ewsLQ0NjJT0lEKTi0uzszPAykwNjKuBQAzDLXoLgAAAA=="/>
  </w:docVars>
  <w:rsids>
    <w:rsidRoot w:val="008910AA"/>
    <w:rsid w:val="0000024C"/>
    <w:rsid w:val="00000750"/>
    <w:rsid w:val="0000076B"/>
    <w:rsid w:val="000007A3"/>
    <w:rsid w:val="000007E5"/>
    <w:rsid w:val="00000815"/>
    <w:rsid w:val="000009E1"/>
    <w:rsid w:val="00000AEF"/>
    <w:rsid w:val="00000D4C"/>
    <w:rsid w:val="00000DAC"/>
    <w:rsid w:val="00000DD1"/>
    <w:rsid w:val="00001089"/>
    <w:rsid w:val="000010BD"/>
    <w:rsid w:val="000012E4"/>
    <w:rsid w:val="00001324"/>
    <w:rsid w:val="000013C7"/>
    <w:rsid w:val="00001533"/>
    <w:rsid w:val="000017C5"/>
    <w:rsid w:val="0000184D"/>
    <w:rsid w:val="000018FE"/>
    <w:rsid w:val="00001B96"/>
    <w:rsid w:val="00001CF6"/>
    <w:rsid w:val="00001D0A"/>
    <w:rsid w:val="00001E76"/>
    <w:rsid w:val="0000209F"/>
    <w:rsid w:val="000021BF"/>
    <w:rsid w:val="0000230B"/>
    <w:rsid w:val="000025A0"/>
    <w:rsid w:val="000025FB"/>
    <w:rsid w:val="000026DF"/>
    <w:rsid w:val="00002804"/>
    <w:rsid w:val="000028EB"/>
    <w:rsid w:val="0000296A"/>
    <w:rsid w:val="00002C73"/>
    <w:rsid w:val="00002D05"/>
    <w:rsid w:val="00002F67"/>
    <w:rsid w:val="000030DD"/>
    <w:rsid w:val="000032C0"/>
    <w:rsid w:val="00003430"/>
    <w:rsid w:val="0000378B"/>
    <w:rsid w:val="00003991"/>
    <w:rsid w:val="000039B5"/>
    <w:rsid w:val="00003AEE"/>
    <w:rsid w:val="00003C39"/>
    <w:rsid w:val="00003D64"/>
    <w:rsid w:val="00003FC6"/>
    <w:rsid w:val="00004053"/>
    <w:rsid w:val="000041C3"/>
    <w:rsid w:val="000041F1"/>
    <w:rsid w:val="0000440D"/>
    <w:rsid w:val="0000445D"/>
    <w:rsid w:val="000047F4"/>
    <w:rsid w:val="00004909"/>
    <w:rsid w:val="00004CAC"/>
    <w:rsid w:val="00004D7D"/>
    <w:rsid w:val="00004DB4"/>
    <w:rsid w:val="0000505B"/>
    <w:rsid w:val="00005079"/>
    <w:rsid w:val="00005234"/>
    <w:rsid w:val="000052E9"/>
    <w:rsid w:val="000053B8"/>
    <w:rsid w:val="00005481"/>
    <w:rsid w:val="00005644"/>
    <w:rsid w:val="000056CC"/>
    <w:rsid w:val="000056D2"/>
    <w:rsid w:val="0000577D"/>
    <w:rsid w:val="00005814"/>
    <w:rsid w:val="000058C2"/>
    <w:rsid w:val="0000596B"/>
    <w:rsid w:val="00005B4D"/>
    <w:rsid w:val="00005BC0"/>
    <w:rsid w:val="00005DE5"/>
    <w:rsid w:val="00005DFA"/>
    <w:rsid w:val="00005F56"/>
    <w:rsid w:val="000064C9"/>
    <w:rsid w:val="000065FC"/>
    <w:rsid w:val="000067D3"/>
    <w:rsid w:val="000068B4"/>
    <w:rsid w:val="00006BC2"/>
    <w:rsid w:val="00006C17"/>
    <w:rsid w:val="00006D2F"/>
    <w:rsid w:val="00006D3A"/>
    <w:rsid w:val="00006DB7"/>
    <w:rsid w:val="00006E20"/>
    <w:rsid w:val="00006ECE"/>
    <w:rsid w:val="00006FBC"/>
    <w:rsid w:val="000071B9"/>
    <w:rsid w:val="00007277"/>
    <w:rsid w:val="00007336"/>
    <w:rsid w:val="0000761E"/>
    <w:rsid w:val="000076B9"/>
    <w:rsid w:val="00007838"/>
    <w:rsid w:val="000078F1"/>
    <w:rsid w:val="00007A20"/>
    <w:rsid w:val="00007A98"/>
    <w:rsid w:val="00007AC8"/>
    <w:rsid w:val="00007AE2"/>
    <w:rsid w:val="00007C09"/>
    <w:rsid w:val="00007CCE"/>
    <w:rsid w:val="00007E35"/>
    <w:rsid w:val="00010120"/>
    <w:rsid w:val="00010200"/>
    <w:rsid w:val="00010354"/>
    <w:rsid w:val="0001044C"/>
    <w:rsid w:val="00010550"/>
    <w:rsid w:val="00010565"/>
    <w:rsid w:val="00010708"/>
    <w:rsid w:val="000108C6"/>
    <w:rsid w:val="00010B31"/>
    <w:rsid w:val="00010CA6"/>
    <w:rsid w:val="00010E88"/>
    <w:rsid w:val="00010F84"/>
    <w:rsid w:val="0001134B"/>
    <w:rsid w:val="000113F8"/>
    <w:rsid w:val="0001148B"/>
    <w:rsid w:val="00011974"/>
    <w:rsid w:val="00011D4E"/>
    <w:rsid w:val="00011DBA"/>
    <w:rsid w:val="00012100"/>
    <w:rsid w:val="0001219A"/>
    <w:rsid w:val="000123BD"/>
    <w:rsid w:val="000123C0"/>
    <w:rsid w:val="00012498"/>
    <w:rsid w:val="000124F4"/>
    <w:rsid w:val="000126C8"/>
    <w:rsid w:val="00012BEE"/>
    <w:rsid w:val="00012D7A"/>
    <w:rsid w:val="00012DE2"/>
    <w:rsid w:val="00012EC4"/>
    <w:rsid w:val="000130CD"/>
    <w:rsid w:val="00013278"/>
    <w:rsid w:val="000132A3"/>
    <w:rsid w:val="000132D0"/>
    <w:rsid w:val="00013515"/>
    <w:rsid w:val="0001361E"/>
    <w:rsid w:val="00013687"/>
    <w:rsid w:val="000136D6"/>
    <w:rsid w:val="00013842"/>
    <w:rsid w:val="000138A8"/>
    <w:rsid w:val="000138D7"/>
    <w:rsid w:val="00013916"/>
    <w:rsid w:val="00013A27"/>
    <w:rsid w:val="00013B13"/>
    <w:rsid w:val="00013C1B"/>
    <w:rsid w:val="00013CF0"/>
    <w:rsid w:val="0001402C"/>
    <w:rsid w:val="000141A3"/>
    <w:rsid w:val="00014248"/>
    <w:rsid w:val="00014321"/>
    <w:rsid w:val="000145B8"/>
    <w:rsid w:val="000146B4"/>
    <w:rsid w:val="0001472D"/>
    <w:rsid w:val="000147F7"/>
    <w:rsid w:val="00014A06"/>
    <w:rsid w:val="00014A3F"/>
    <w:rsid w:val="00014B38"/>
    <w:rsid w:val="00014C8E"/>
    <w:rsid w:val="00014D05"/>
    <w:rsid w:val="0001518E"/>
    <w:rsid w:val="0001521B"/>
    <w:rsid w:val="0001543D"/>
    <w:rsid w:val="000154D9"/>
    <w:rsid w:val="00015525"/>
    <w:rsid w:val="000158AD"/>
    <w:rsid w:val="00015B9E"/>
    <w:rsid w:val="00015BC3"/>
    <w:rsid w:val="00015E7F"/>
    <w:rsid w:val="00016004"/>
    <w:rsid w:val="0001608C"/>
    <w:rsid w:val="000160C4"/>
    <w:rsid w:val="00016179"/>
    <w:rsid w:val="0001634C"/>
    <w:rsid w:val="0001638A"/>
    <w:rsid w:val="0001684A"/>
    <w:rsid w:val="0001693F"/>
    <w:rsid w:val="00016A30"/>
    <w:rsid w:val="00016AFD"/>
    <w:rsid w:val="00016D78"/>
    <w:rsid w:val="00016E28"/>
    <w:rsid w:val="00016FA8"/>
    <w:rsid w:val="000170D5"/>
    <w:rsid w:val="0001719E"/>
    <w:rsid w:val="000171BC"/>
    <w:rsid w:val="00017300"/>
    <w:rsid w:val="0001747F"/>
    <w:rsid w:val="00017662"/>
    <w:rsid w:val="00017726"/>
    <w:rsid w:val="00017822"/>
    <w:rsid w:val="00017855"/>
    <w:rsid w:val="00017A11"/>
    <w:rsid w:val="00017B7D"/>
    <w:rsid w:val="00017D7A"/>
    <w:rsid w:val="000201DB"/>
    <w:rsid w:val="0002030A"/>
    <w:rsid w:val="00020513"/>
    <w:rsid w:val="00020A29"/>
    <w:rsid w:val="00020AC1"/>
    <w:rsid w:val="00020ADA"/>
    <w:rsid w:val="00020B1B"/>
    <w:rsid w:val="00020B32"/>
    <w:rsid w:val="00020BD8"/>
    <w:rsid w:val="00020C17"/>
    <w:rsid w:val="00020C76"/>
    <w:rsid w:val="00020FBB"/>
    <w:rsid w:val="00021044"/>
    <w:rsid w:val="00021104"/>
    <w:rsid w:val="0002111A"/>
    <w:rsid w:val="000213DA"/>
    <w:rsid w:val="0002161F"/>
    <w:rsid w:val="000216CD"/>
    <w:rsid w:val="00021B3B"/>
    <w:rsid w:val="00021B40"/>
    <w:rsid w:val="00021BE4"/>
    <w:rsid w:val="00021C23"/>
    <w:rsid w:val="00021C31"/>
    <w:rsid w:val="00021C3A"/>
    <w:rsid w:val="00021CCB"/>
    <w:rsid w:val="00021F42"/>
    <w:rsid w:val="00022708"/>
    <w:rsid w:val="000227B8"/>
    <w:rsid w:val="0002289F"/>
    <w:rsid w:val="00022BA0"/>
    <w:rsid w:val="00022BCE"/>
    <w:rsid w:val="00022D23"/>
    <w:rsid w:val="00022E65"/>
    <w:rsid w:val="00022EEF"/>
    <w:rsid w:val="00022F00"/>
    <w:rsid w:val="00023023"/>
    <w:rsid w:val="0002302C"/>
    <w:rsid w:val="0002306E"/>
    <w:rsid w:val="0002308F"/>
    <w:rsid w:val="00023265"/>
    <w:rsid w:val="000232C3"/>
    <w:rsid w:val="000233B2"/>
    <w:rsid w:val="0002363B"/>
    <w:rsid w:val="00023845"/>
    <w:rsid w:val="000238C7"/>
    <w:rsid w:val="0002392D"/>
    <w:rsid w:val="00023D2E"/>
    <w:rsid w:val="00023DEE"/>
    <w:rsid w:val="00023F3E"/>
    <w:rsid w:val="00024039"/>
    <w:rsid w:val="0002408B"/>
    <w:rsid w:val="000242AB"/>
    <w:rsid w:val="00024460"/>
    <w:rsid w:val="00024562"/>
    <w:rsid w:val="00024B9C"/>
    <w:rsid w:val="00024E3D"/>
    <w:rsid w:val="00024FDC"/>
    <w:rsid w:val="00025067"/>
    <w:rsid w:val="00025150"/>
    <w:rsid w:val="00025204"/>
    <w:rsid w:val="000254E8"/>
    <w:rsid w:val="00025524"/>
    <w:rsid w:val="00025555"/>
    <w:rsid w:val="00025567"/>
    <w:rsid w:val="00025B1A"/>
    <w:rsid w:val="00025BD9"/>
    <w:rsid w:val="00025C81"/>
    <w:rsid w:val="00025EEF"/>
    <w:rsid w:val="0002601E"/>
    <w:rsid w:val="000260FF"/>
    <w:rsid w:val="00026138"/>
    <w:rsid w:val="00026154"/>
    <w:rsid w:val="000261CE"/>
    <w:rsid w:val="00026317"/>
    <w:rsid w:val="00026888"/>
    <w:rsid w:val="00026AD1"/>
    <w:rsid w:val="00026BF0"/>
    <w:rsid w:val="00026D33"/>
    <w:rsid w:val="00026D56"/>
    <w:rsid w:val="00026EA3"/>
    <w:rsid w:val="00026FAA"/>
    <w:rsid w:val="0002713D"/>
    <w:rsid w:val="000273D3"/>
    <w:rsid w:val="0002754F"/>
    <w:rsid w:val="000275E3"/>
    <w:rsid w:val="00027AE5"/>
    <w:rsid w:val="00027BA9"/>
    <w:rsid w:val="00027CD2"/>
    <w:rsid w:val="00027E27"/>
    <w:rsid w:val="00027E6D"/>
    <w:rsid w:val="00027F0D"/>
    <w:rsid w:val="00027FA6"/>
    <w:rsid w:val="0003003B"/>
    <w:rsid w:val="0003005A"/>
    <w:rsid w:val="0003051F"/>
    <w:rsid w:val="00030568"/>
    <w:rsid w:val="00030777"/>
    <w:rsid w:val="000309BA"/>
    <w:rsid w:val="00030AB6"/>
    <w:rsid w:val="00030BC3"/>
    <w:rsid w:val="00030C36"/>
    <w:rsid w:val="00030DA9"/>
    <w:rsid w:val="00030DE2"/>
    <w:rsid w:val="00030F8C"/>
    <w:rsid w:val="000310D5"/>
    <w:rsid w:val="000310F2"/>
    <w:rsid w:val="0003125F"/>
    <w:rsid w:val="00031399"/>
    <w:rsid w:val="00031441"/>
    <w:rsid w:val="0003149E"/>
    <w:rsid w:val="000315F8"/>
    <w:rsid w:val="0003171F"/>
    <w:rsid w:val="00031815"/>
    <w:rsid w:val="00031A09"/>
    <w:rsid w:val="00031A69"/>
    <w:rsid w:val="00031AB5"/>
    <w:rsid w:val="00031E53"/>
    <w:rsid w:val="00031FEC"/>
    <w:rsid w:val="0003208D"/>
    <w:rsid w:val="0003224D"/>
    <w:rsid w:val="000322D1"/>
    <w:rsid w:val="0003234D"/>
    <w:rsid w:val="00032373"/>
    <w:rsid w:val="00032821"/>
    <w:rsid w:val="00032A75"/>
    <w:rsid w:val="00032A96"/>
    <w:rsid w:val="00032EBA"/>
    <w:rsid w:val="00032FD0"/>
    <w:rsid w:val="00032FFC"/>
    <w:rsid w:val="000330AB"/>
    <w:rsid w:val="000332BD"/>
    <w:rsid w:val="00033389"/>
    <w:rsid w:val="000333ED"/>
    <w:rsid w:val="00033452"/>
    <w:rsid w:val="0003346A"/>
    <w:rsid w:val="000338D7"/>
    <w:rsid w:val="00033CD6"/>
    <w:rsid w:val="00033E71"/>
    <w:rsid w:val="00033EAF"/>
    <w:rsid w:val="00033FB4"/>
    <w:rsid w:val="00033FFF"/>
    <w:rsid w:val="00034092"/>
    <w:rsid w:val="000341C2"/>
    <w:rsid w:val="0003434F"/>
    <w:rsid w:val="00034392"/>
    <w:rsid w:val="00034579"/>
    <w:rsid w:val="00034A18"/>
    <w:rsid w:val="00034A1F"/>
    <w:rsid w:val="00034BED"/>
    <w:rsid w:val="00034E28"/>
    <w:rsid w:val="00035064"/>
    <w:rsid w:val="00035476"/>
    <w:rsid w:val="000355AB"/>
    <w:rsid w:val="000355B7"/>
    <w:rsid w:val="00035697"/>
    <w:rsid w:val="00035773"/>
    <w:rsid w:val="0003579F"/>
    <w:rsid w:val="00035902"/>
    <w:rsid w:val="0003597C"/>
    <w:rsid w:val="00035A53"/>
    <w:rsid w:val="00035AF9"/>
    <w:rsid w:val="00035ECB"/>
    <w:rsid w:val="00035F09"/>
    <w:rsid w:val="00035F1C"/>
    <w:rsid w:val="00035F21"/>
    <w:rsid w:val="00036208"/>
    <w:rsid w:val="00036440"/>
    <w:rsid w:val="00036799"/>
    <w:rsid w:val="00036837"/>
    <w:rsid w:val="000368F5"/>
    <w:rsid w:val="000369B8"/>
    <w:rsid w:val="00036AAB"/>
    <w:rsid w:val="00036C5A"/>
    <w:rsid w:val="00036E07"/>
    <w:rsid w:val="00036E47"/>
    <w:rsid w:val="000371A7"/>
    <w:rsid w:val="00037338"/>
    <w:rsid w:val="0003742E"/>
    <w:rsid w:val="000374B0"/>
    <w:rsid w:val="000376A9"/>
    <w:rsid w:val="000378AF"/>
    <w:rsid w:val="00037A67"/>
    <w:rsid w:val="00037A8C"/>
    <w:rsid w:val="00037CB1"/>
    <w:rsid w:val="00037D93"/>
    <w:rsid w:val="00037EC7"/>
    <w:rsid w:val="00037FC2"/>
    <w:rsid w:val="00040048"/>
    <w:rsid w:val="000401F1"/>
    <w:rsid w:val="00040357"/>
    <w:rsid w:val="0004050A"/>
    <w:rsid w:val="00040699"/>
    <w:rsid w:val="00040753"/>
    <w:rsid w:val="000407A7"/>
    <w:rsid w:val="00040858"/>
    <w:rsid w:val="00040E13"/>
    <w:rsid w:val="00040F98"/>
    <w:rsid w:val="000412F3"/>
    <w:rsid w:val="00041432"/>
    <w:rsid w:val="0004145E"/>
    <w:rsid w:val="000415C5"/>
    <w:rsid w:val="000418AE"/>
    <w:rsid w:val="000418D4"/>
    <w:rsid w:val="000419DA"/>
    <w:rsid w:val="000419E2"/>
    <w:rsid w:val="000419EE"/>
    <w:rsid w:val="00041AF8"/>
    <w:rsid w:val="00041BB8"/>
    <w:rsid w:val="00041CB9"/>
    <w:rsid w:val="00041CD0"/>
    <w:rsid w:val="00041D8C"/>
    <w:rsid w:val="00041FEF"/>
    <w:rsid w:val="0004201D"/>
    <w:rsid w:val="00042157"/>
    <w:rsid w:val="000421CA"/>
    <w:rsid w:val="00042347"/>
    <w:rsid w:val="00042355"/>
    <w:rsid w:val="000423C3"/>
    <w:rsid w:val="0004240E"/>
    <w:rsid w:val="000425DA"/>
    <w:rsid w:val="00042642"/>
    <w:rsid w:val="0004283A"/>
    <w:rsid w:val="000429CB"/>
    <w:rsid w:val="00042A32"/>
    <w:rsid w:val="00042CC9"/>
    <w:rsid w:val="00042EE4"/>
    <w:rsid w:val="00042F38"/>
    <w:rsid w:val="00042F3B"/>
    <w:rsid w:val="00042FC9"/>
    <w:rsid w:val="00042FE3"/>
    <w:rsid w:val="0004300F"/>
    <w:rsid w:val="0004301B"/>
    <w:rsid w:val="000432D9"/>
    <w:rsid w:val="0004336F"/>
    <w:rsid w:val="0004344C"/>
    <w:rsid w:val="00043806"/>
    <w:rsid w:val="00043923"/>
    <w:rsid w:val="00043B48"/>
    <w:rsid w:val="00043CB6"/>
    <w:rsid w:val="00043DEB"/>
    <w:rsid w:val="00044001"/>
    <w:rsid w:val="000440DB"/>
    <w:rsid w:val="0004426B"/>
    <w:rsid w:val="000443E5"/>
    <w:rsid w:val="00044480"/>
    <w:rsid w:val="000446AB"/>
    <w:rsid w:val="000446FA"/>
    <w:rsid w:val="000448A3"/>
    <w:rsid w:val="00044942"/>
    <w:rsid w:val="00044BE8"/>
    <w:rsid w:val="00044CB1"/>
    <w:rsid w:val="00044D0F"/>
    <w:rsid w:val="00044D4F"/>
    <w:rsid w:val="00044E1A"/>
    <w:rsid w:val="00044FB4"/>
    <w:rsid w:val="00045007"/>
    <w:rsid w:val="00045107"/>
    <w:rsid w:val="00045157"/>
    <w:rsid w:val="000452CA"/>
    <w:rsid w:val="0004549D"/>
    <w:rsid w:val="000454A4"/>
    <w:rsid w:val="000457F4"/>
    <w:rsid w:val="00045A92"/>
    <w:rsid w:val="00045AF9"/>
    <w:rsid w:val="00045B2E"/>
    <w:rsid w:val="00045ED8"/>
    <w:rsid w:val="00045F00"/>
    <w:rsid w:val="00046035"/>
    <w:rsid w:val="000461DF"/>
    <w:rsid w:val="00046398"/>
    <w:rsid w:val="0004687D"/>
    <w:rsid w:val="000469EC"/>
    <w:rsid w:val="00046B33"/>
    <w:rsid w:val="00046DCA"/>
    <w:rsid w:val="00046DF3"/>
    <w:rsid w:val="00046F5E"/>
    <w:rsid w:val="00047269"/>
    <w:rsid w:val="00047305"/>
    <w:rsid w:val="000475B8"/>
    <w:rsid w:val="0004774F"/>
    <w:rsid w:val="000477B5"/>
    <w:rsid w:val="0004783D"/>
    <w:rsid w:val="000478F1"/>
    <w:rsid w:val="0004790A"/>
    <w:rsid w:val="000479D5"/>
    <w:rsid w:val="000479DE"/>
    <w:rsid w:val="000479EC"/>
    <w:rsid w:val="00047ADA"/>
    <w:rsid w:val="00047D4F"/>
    <w:rsid w:val="00047DE4"/>
    <w:rsid w:val="00047DFE"/>
    <w:rsid w:val="00047E80"/>
    <w:rsid w:val="0005002D"/>
    <w:rsid w:val="00050081"/>
    <w:rsid w:val="00050390"/>
    <w:rsid w:val="000503B6"/>
    <w:rsid w:val="000503D7"/>
    <w:rsid w:val="00050454"/>
    <w:rsid w:val="00050569"/>
    <w:rsid w:val="000505C8"/>
    <w:rsid w:val="0005063B"/>
    <w:rsid w:val="0005077B"/>
    <w:rsid w:val="000509CE"/>
    <w:rsid w:val="00050A56"/>
    <w:rsid w:val="00050BCD"/>
    <w:rsid w:val="00050DB4"/>
    <w:rsid w:val="00050E05"/>
    <w:rsid w:val="00050E09"/>
    <w:rsid w:val="00050FED"/>
    <w:rsid w:val="00051147"/>
    <w:rsid w:val="000511F9"/>
    <w:rsid w:val="000515AC"/>
    <w:rsid w:val="000516C0"/>
    <w:rsid w:val="0005172C"/>
    <w:rsid w:val="000517A3"/>
    <w:rsid w:val="000517ED"/>
    <w:rsid w:val="000517FD"/>
    <w:rsid w:val="00051C1E"/>
    <w:rsid w:val="00051D65"/>
    <w:rsid w:val="00051F3B"/>
    <w:rsid w:val="00051F84"/>
    <w:rsid w:val="000521BE"/>
    <w:rsid w:val="000523A5"/>
    <w:rsid w:val="00052473"/>
    <w:rsid w:val="0005258B"/>
    <w:rsid w:val="000525C5"/>
    <w:rsid w:val="000527AE"/>
    <w:rsid w:val="000527FE"/>
    <w:rsid w:val="00052929"/>
    <w:rsid w:val="00052A84"/>
    <w:rsid w:val="00052B16"/>
    <w:rsid w:val="00052E69"/>
    <w:rsid w:val="000530FC"/>
    <w:rsid w:val="000532A5"/>
    <w:rsid w:val="000532BA"/>
    <w:rsid w:val="00053810"/>
    <w:rsid w:val="000538DD"/>
    <w:rsid w:val="00053BB3"/>
    <w:rsid w:val="00053F38"/>
    <w:rsid w:val="00054393"/>
    <w:rsid w:val="00054468"/>
    <w:rsid w:val="00054810"/>
    <w:rsid w:val="00054C07"/>
    <w:rsid w:val="00054CB1"/>
    <w:rsid w:val="00054F6D"/>
    <w:rsid w:val="0005501E"/>
    <w:rsid w:val="00055099"/>
    <w:rsid w:val="00055106"/>
    <w:rsid w:val="000552DD"/>
    <w:rsid w:val="00055382"/>
    <w:rsid w:val="00055868"/>
    <w:rsid w:val="00055CCA"/>
    <w:rsid w:val="00055D07"/>
    <w:rsid w:val="00055F1E"/>
    <w:rsid w:val="0005609A"/>
    <w:rsid w:val="0005622D"/>
    <w:rsid w:val="00056275"/>
    <w:rsid w:val="00056396"/>
    <w:rsid w:val="00056726"/>
    <w:rsid w:val="000568FE"/>
    <w:rsid w:val="00056989"/>
    <w:rsid w:val="00056AEF"/>
    <w:rsid w:val="00056BE0"/>
    <w:rsid w:val="00056C41"/>
    <w:rsid w:val="00057154"/>
    <w:rsid w:val="000571A6"/>
    <w:rsid w:val="00057680"/>
    <w:rsid w:val="000577C3"/>
    <w:rsid w:val="00057911"/>
    <w:rsid w:val="00057A0F"/>
    <w:rsid w:val="000601A0"/>
    <w:rsid w:val="00060319"/>
    <w:rsid w:val="00060660"/>
    <w:rsid w:val="000606EB"/>
    <w:rsid w:val="00060762"/>
    <w:rsid w:val="00060910"/>
    <w:rsid w:val="00060A05"/>
    <w:rsid w:val="00060D0C"/>
    <w:rsid w:val="000612AC"/>
    <w:rsid w:val="000617B3"/>
    <w:rsid w:val="00061B46"/>
    <w:rsid w:val="00061BD6"/>
    <w:rsid w:val="00061C85"/>
    <w:rsid w:val="00061C93"/>
    <w:rsid w:val="00061CBB"/>
    <w:rsid w:val="00061D9F"/>
    <w:rsid w:val="00061DE1"/>
    <w:rsid w:val="00061E4F"/>
    <w:rsid w:val="00061E5F"/>
    <w:rsid w:val="00061E9B"/>
    <w:rsid w:val="00061F19"/>
    <w:rsid w:val="00061F74"/>
    <w:rsid w:val="0006209E"/>
    <w:rsid w:val="0006235F"/>
    <w:rsid w:val="00062434"/>
    <w:rsid w:val="00062485"/>
    <w:rsid w:val="000625A6"/>
    <w:rsid w:val="000626C5"/>
    <w:rsid w:val="00062707"/>
    <w:rsid w:val="000629B5"/>
    <w:rsid w:val="000629CE"/>
    <w:rsid w:val="00062AC0"/>
    <w:rsid w:val="00062AD6"/>
    <w:rsid w:val="00062B7F"/>
    <w:rsid w:val="00062DF6"/>
    <w:rsid w:val="00062E7F"/>
    <w:rsid w:val="00062E95"/>
    <w:rsid w:val="00062EA5"/>
    <w:rsid w:val="00062F69"/>
    <w:rsid w:val="00062F92"/>
    <w:rsid w:val="00062FD6"/>
    <w:rsid w:val="000631F0"/>
    <w:rsid w:val="0006336A"/>
    <w:rsid w:val="00063858"/>
    <w:rsid w:val="000639C2"/>
    <w:rsid w:val="00063AC1"/>
    <w:rsid w:val="00063AD8"/>
    <w:rsid w:val="00063AE8"/>
    <w:rsid w:val="00063B4F"/>
    <w:rsid w:val="00063C35"/>
    <w:rsid w:val="00063C81"/>
    <w:rsid w:val="00063D3C"/>
    <w:rsid w:val="000641F2"/>
    <w:rsid w:val="000641FC"/>
    <w:rsid w:val="00064223"/>
    <w:rsid w:val="00064479"/>
    <w:rsid w:val="00064481"/>
    <w:rsid w:val="000645B6"/>
    <w:rsid w:val="00064746"/>
    <w:rsid w:val="00064834"/>
    <w:rsid w:val="0006493E"/>
    <w:rsid w:val="00064A3C"/>
    <w:rsid w:val="00064CDA"/>
    <w:rsid w:val="00064F02"/>
    <w:rsid w:val="00065055"/>
    <w:rsid w:val="00065384"/>
    <w:rsid w:val="00065486"/>
    <w:rsid w:val="000656C7"/>
    <w:rsid w:val="00065717"/>
    <w:rsid w:val="00065745"/>
    <w:rsid w:val="00065788"/>
    <w:rsid w:val="00065862"/>
    <w:rsid w:val="00065968"/>
    <w:rsid w:val="0006598B"/>
    <w:rsid w:val="00065A19"/>
    <w:rsid w:val="00065C38"/>
    <w:rsid w:val="00065E1B"/>
    <w:rsid w:val="00065E71"/>
    <w:rsid w:val="0006604F"/>
    <w:rsid w:val="00066202"/>
    <w:rsid w:val="00066345"/>
    <w:rsid w:val="0006648C"/>
    <w:rsid w:val="0006690F"/>
    <w:rsid w:val="0006698E"/>
    <w:rsid w:val="00066B62"/>
    <w:rsid w:val="00066BFC"/>
    <w:rsid w:val="00066D3E"/>
    <w:rsid w:val="00066D42"/>
    <w:rsid w:val="00067188"/>
    <w:rsid w:val="00067408"/>
    <w:rsid w:val="00067492"/>
    <w:rsid w:val="0006782A"/>
    <w:rsid w:val="0006784B"/>
    <w:rsid w:val="000679D9"/>
    <w:rsid w:val="000679EF"/>
    <w:rsid w:val="00067AC8"/>
    <w:rsid w:val="00067B86"/>
    <w:rsid w:val="00070084"/>
    <w:rsid w:val="000704EF"/>
    <w:rsid w:val="00070672"/>
    <w:rsid w:val="0007087D"/>
    <w:rsid w:val="000709FC"/>
    <w:rsid w:val="00070A0B"/>
    <w:rsid w:val="00070D4C"/>
    <w:rsid w:val="00070E63"/>
    <w:rsid w:val="00071003"/>
    <w:rsid w:val="00071060"/>
    <w:rsid w:val="000711BC"/>
    <w:rsid w:val="000713EA"/>
    <w:rsid w:val="00071497"/>
    <w:rsid w:val="000714AA"/>
    <w:rsid w:val="00071502"/>
    <w:rsid w:val="00071531"/>
    <w:rsid w:val="0007164D"/>
    <w:rsid w:val="00071E60"/>
    <w:rsid w:val="00072193"/>
    <w:rsid w:val="00072212"/>
    <w:rsid w:val="00072372"/>
    <w:rsid w:val="000724DB"/>
    <w:rsid w:val="0007256E"/>
    <w:rsid w:val="0007258A"/>
    <w:rsid w:val="00072835"/>
    <w:rsid w:val="00072954"/>
    <w:rsid w:val="00072AA8"/>
    <w:rsid w:val="00072BD1"/>
    <w:rsid w:val="000731A8"/>
    <w:rsid w:val="000731FA"/>
    <w:rsid w:val="00073278"/>
    <w:rsid w:val="00073411"/>
    <w:rsid w:val="0007342F"/>
    <w:rsid w:val="000735C6"/>
    <w:rsid w:val="000735CC"/>
    <w:rsid w:val="0007371C"/>
    <w:rsid w:val="00073B1C"/>
    <w:rsid w:val="00073B66"/>
    <w:rsid w:val="00073E20"/>
    <w:rsid w:val="00074063"/>
    <w:rsid w:val="00074549"/>
    <w:rsid w:val="0007458E"/>
    <w:rsid w:val="000746EC"/>
    <w:rsid w:val="0007470A"/>
    <w:rsid w:val="000747AE"/>
    <w:rsid w:val="000748AA"/>
    <w:rsid w:val="00074A63"/>
    <w:rsid w:val="00074AB7"/>
    <w:rsid w:val="00074B3B"/>
    <w:rsid w:val="00074C16"/>
    <w:rsid w:val="00074C98"/>
    <w:rsid w:val="00074F1E"/>
    <w:rsid w:val="000750E3"/>
    <w:rsid w:val="000751C8"/>
    <w:rsid w:val="0007523E"/>
    <w:rsid w:val="0007539E"/>
    <w:rsid w:val="000753AF"/>
    <w:rsid w:val="000754C4"/>
    <w:rsid w:val="000755F4"/>
    <w:rsid w:val="00075605"/>
    <w:rsid w:val="000756CF"/>
    <w:rsid w:val="00075833"/>
    <w:rsid w:val="000759CC"/>
    <w:rsid w:val="00075B35"/>
    <w:rsid w:val="00075DD7"/>
    <w:rsid w:val="00075E80"/>
    <w:rsid w:val="00075EB0"/>
    <w:rsid w:val="000761D6"/>
    <w:rsid w:val="000762AB"/>
    <w:rsid w:val="00076354"/>
    <w:rsid w:val="000765C6"/>
    <w:rsid w:val="000766FB"/>
    <w:rsid w:val="0007670D"/>
    <w:rsid w:val="00076962"/>
    <w:rsid w:val="00076A3A"/>
    <w:rsid w:val="00076D6E"/>
    <w:rsid w:val="00076E88"/>
    <w:rsid w:val="00076F26"/>
    <w:rsid w:val="00076FE6"/>
    <w:rsid w:val="00077034"/>
    <w:rsid w:val="0007708F"/>
    <w:rsid w:val="000772F8"/>
    <w:rsid w:val="000772FA"/>
    <w:rsid w:val="00077360"/>
    <w:rsid w:val="000775C1"/>
    <w:rsid w:val="000779F8"/>
    <w:rsid w:val="00077B55"/>
    <w:rsid w:val="00077CD6"/>
    <w:rsid w:val="00077D47"/>
    <w:rsid w:val="00077D68"/>
    <w:rsid w:val="0008009C"/>
    <w:rsid w:val="00080331"/>
    <w:rsid w:val="00080339"/>
    <w:rsid w:val="00080452"/>
    <w:rsid w:val="0008066E"/>
    <w:rsid w:val="00080712"/>
    <w:rsid w:val="00080756"/>
    <w:rsid w:val="00080769"/>
    <w:rsid w:val="00080808"/>
    <w:rsid w:val="00080943"/>
    <w:rsid w:val="00080999"/>
    <w:rsid w:val="000809F3"/>
    <w:rsid w:val="00080AEF"/>
    <w:rsid w:val="00080B16"/>
    <w:rsid w:val="00080C12"/>
    <w:rsid w:val="00080DFA"/>
    <w:rsid w:val="00080EC2"/>
    <w:rsid w:val="00081224"/>
    <w:rsid w:val="000813AE"/>
    <w:rsid w:val="000813DE"/>
    <w:rsid w:val="0008157E"/>
    <w:rsid w:val="00081966"/>
    <w:rsid w:val="00081A0D"/>
    <w:rsid w:val="00081B89"/>
    <w:rsid w:val="000820E8"/>
    <w:rsid w:val="000821CC"/>
    <w:rsid w:val="0008229B"/>
    <w:rsid w:val="000825E3"/>
    <w:rsid w:val="0008279B"/>
    <w:rsid w:val="000827F6"/>
    <w:rsid w:val="000829AA"/>
    <w:rsid w:val="00082A16"/>
    <w:rsid w:val="00082A89"/>
    <w:rsid w:val="00082CAF"/>
    <w:rsid w:val="00082F78"/>
    <w:rsid w:val="00082FE4"/>
    <w:rsid w:val="0008338F"/>
    <w:rsid w:val="000833A6"/>
    <w:rsid w:val="0008347F"/>
    <w:rsid w:val="000834A5"/>
    <w:rsid w:val="000834E3"/>
    <w:rsid w:val="0008359D"/>
    <w:rsid w:val="000837F9"/>
    <w:rsid w:val="00083AAA"/>
    <w:rsid w:val="00083AEA"/>
    <w:rsid w:val="00083C6C"/>
    <w:rsid w:val="00083C82"/>
    <w:rsid w:val="00083DE2"/>
    <w:rsid w:val="00083E6D"/>
    <w:rsid w:val="00083E91"/>
    <w:rsid w:val="00083F4E"/>
    <w:rsid w:val="00083FA5"/>
    <w:rsid w:val="0008406E"/>
    <w:rsid w:val="00084AF7"/>
    <w:rsid w:val="00084BFE"/>
    <w:rsid w:val="00084D01"/>
    <w:rsid w:val="00084F5B"/>
    <w:rsid w:val="00084FAB"/>
    <w:rsid w:val="00084FF2"/>
    <w:rsid w:val="0008502C"/>
    <w:rsid w:val="00085128"/>
    <w:rsid w:val="00085227"/>
    <w:rsid w:val="000852AF"/>
    <w:rsid w:val="00085333"/>
    <w:rsid w:val="000853A1"/>
    <w:rsid w:val="00085409"/>
    <w:rsid w:val="00085618"/>
    <w:rsid w:val="00085663"/>
    <w:rsid w:val="00085766"/>
    <w:rsid w:val="000857C1"/>
    <w:rsid w:val="000859BC"/>
    <w:rsid w:val="00085A5A"/>
    <w:rsid w:val="00085D00"/>
    <w:rsid w:val="00085D44"/>
    <w:rsid w:val="00085FB4"/>
    <w:rsid w:val="00086191"/>
    <w:rsid w:val="0008621D"/>
    <w:rsid w:val="000868C1"/>
    <w:rsid w:val="000869CD"/>
    <w:rsid w:val="00086A99"/>
    <w:rsid w:val="00087065"/>
    <w:rsid w:val="0008716E"/>
    <w:rsid w:val="00087522"/>
    <w:rsid w:val="0008758E"/>
    <w:rsid w:val="0008770B"/>
    <w:rsid w:val="00087761"/>
    <w:rsid w:val="0008798C"/>
    <w:rsid w:val="000879D6"/>
    <w:rsid w:val="00087A8A"/>
    <w:rsid w:val="000900CB"/>
    <w:rsid w:val="000900D2"/>
    <w:rsid w:val="0009012A"/>
    <w:rsid w:val="00090231"/>
    <w:rsid w:val="0009045C"/>
    <w:rsid w:val="000904DD"/>
    <w:rsid w:val="00090572"/>
    <w:rsid w:val="00090588"/>
    <w:rsid w:val="00090680"/>
    <w:rsid w:val="000907C1"/>
    <w:rsid w:val="000909C8"/>
    <w:rsid w:val="00090A89"/>
    <w:rsid w:val="00090AA6"/>
    <w:rsid w:val="00090DB8"/>
    <w:rsid w:val="00090DDF"/>
    <w:rsid w:val="00090F21"/>
    <w:rsid w:val="00090F25"/>
    <w:rsid w:val="0009102D"/>
    <w:rsid w:val="00091173"/>
    <w:rsid w:val="00091278"/>
    <w:rsid w:val="00091584"/>
    <w:rsid w:val="000916EA"/>
    <w:rsid w:val="00091719"/>
    <w:rsid w:val="0009187C"/>
    <w:rsid w:val="00091B97"/>
    <w:rsid w:val="00091C73"/>
    <w:rsid w:val="00091D2F"/>
    <w:rsid w:val="00091D9D"/>
    <w:rsid w:val="00092085"/>
    <w:rsid w:val="0009221E"/>
    <w:rsid w:val="0009245E"/>
    <w:rsid w:val="00092462"/>
    <w:rsid w:val="0009262F"/>
    <w:rsid w:val="000927CA"/>
    <w:rsid w:val="00092C7E"/>
    <w:rsid w:val="00092E03"/>
    <w:rsid w:val="00093003"/>
    <w:rsid w:val="00093092"/>
    <w:rsid w:val="000930CC"/>
    <w:rsid w:val="000930DA"/>
    <w:rsid w:val="0009316C"/>
    <w:rsid w:val="000932A8"/>
    <w:rsid w:val="00093422"/>
    <w:rsid w:val="0009346A"/>
    <w:rsid w:val="0009394F"/>
    <w:rsid w:val="00093A56"/>
    <w:rsid w:val="00093A5A"/>
    <w:rsid w:val="00093B90"/>
    <w:rsid w:val="00093C56"/>
    <w:rsid w:val="00093D8F"/>
    <w:rsid w:val="0009408D"/>
    <w:rsid w:val="0009445F"/>
    <w:rsid w:val="000947A7"/>
    <w:rsid w:val="00094820"/>
    <w:rsid w:val="000948EB"/>
    <w:rsid w:val="0009495E"/>
    <w:rsid w:val="000949D7"/>
    <w:rsid w:val="00094B0F"/>
    <w:rsid w:val="00094B11"/>
    <w:rsid w:val="00094BC3"/>
    <w:rsid w:val="0009510E"/>
    <w:rsid w:val="000952E9"/>
    <w:rsid w:val="00095312"/>
    <w:rsid w:val="00095657"/>
    <w:rsid w:val="00095768"/>
    <w:rsid w:val="000957A7"/>
    <w:rsid w:val="00095923"/>
    <w:rsid w:val="00095BE2"/>
    <w:rsid w:val="00095E2B"/>
    <w:rsid w:val="00095E5B"/>
    <w:rsid w:val="00095E9C"/>
    <w:rsid w:val="00096037"/>
    <w:rsid w:val="000960B4"/>
    <w:rsid w:val="00096542"/>
    <w:rsid w:val="000965F3"/>
    <w:rsid w:val="000966E5"/>
    <w:rsid w:val="0009672A"/>
    <w:rsid w:val="0009677A"/>
    <w:rsid w:val="000968DA"/>
    <w:rsid w:val="00096A01"/>
    <w:rsid w:val="00096AFB"/>
    <w:rsid w:val="00096D2F"/>
    <w:rsid w:val="00096D83"/>
    <w:rsid w:val="00096F13"/>
    <w:rsid w:val="00097116"/>
    <w:rsid w:val="00097312"/>
    <w:rsid w:val="000974EC"/>
    <w:rsid w:val="000977BB"/>
    <w:rsid w:val="000978BF"/>
    <w:rsid w:val="000978E5"/>
    <w:rsid w:val="00097A77"/>
    <w:rsid w:val="00097B5B"/>
    <w:rsid w:val="00097C77"/>
    <w:rsid w:val="00097CAC"/>
    <w:rsid w:val="00097DD7"/>
    <w:rsid w:val="00097EDF"/>
    <w:rsid w:val="00097F68"/>
    <w:rsid w:val="00097F92"/>
    <w:rsid w:val="000A016F"/>
    <w:rsid w:val="000A0359"/>
    <w:rsid w:val="000A036B"/>
    <w:rsid w:val="000A071B"/>
    <w:rsid w:val="000A072D"/>
    <w:rsid w:val="000A076B"/>
    <w:rsid w:val="000A0775"/>
    <w:rsid w:val="000A081E"/>
    <w:rsid w:val="000A0821"/>
    <w:rsid w:val="000A0850"/>
    <w:rsid w:val="000A0885"/>
    <w:rsid w:val="000A08C3"/>
    <w:rsid w:val="000A0C4D"/>
    <w:rsid w:val="000A0D8C"/>
    <w:rsid w:val="000A116D"/>
    <w:rsid w:val="000A13B5"/>
    <w:rsid w:val="000A1580"/>
    <w:rsid w:val="000A17F0"/>
    <w:rsid w:val="000A18D7"/>
    <w:rsid w:val="000A18E7"/>
    <w:rsid w:val="000A196D"/>
    <w:rsid w:val="000A1CF4"/>
    <w:rsid w:val="000A1E12"/>
    <w:rsid w:val="000A2184"/>
    <w:rsid w:val="000A2248"/>
    <w:rsid w:val="000A22DC"/>
    <w:rsid w:val="000A25CD"/>
    <w:rsid w:val="000A2715"/>
    <w:rsid w:val="000A2BB3"/>
    <w:rsid w:val="000A2D39"/>
    <w:rsid w:val="000A2E6F"/>
    <w:rsid w:val="000A30C7"/>
    <w:rsid w:val="000A312E"/>
    <w:rsid w:val="000A3138"/>
    <w:rsid w:val="000A32AC"/>
    <w:rsid w:val="000A34CA"/>
    <w:rsid w:val="000A37A4"/>
    <w:rsid w:val="000A3A5F"/>
    <w:rsid w:val="000A3B4F"/>
    <w:rsid w:val="000A3FDF"/>
    <w:rsid w:val="000A407E"/>
    <w:rsid w:val="000A4092"/>
    <w:rsid w:val="000A4144"/>
    <w:rsid w:val="000A4278"/>
    <w:rsid w:val="000A444A"/>
    <w:rsid w:val="000A44D8"/>
    <w:rsid w:val="000A45CE"/>
    <w:rsid w:val="000A4679"/>
    <w:rsid w:val="000A46AD"/>
    <w:rsid w:val="000A4760"/>
    <w:rsid w:val="000A4AD7"/>
    <w:rsid w:val="000A4B38"/>
    <w:rsid w:val="000A4F17"/>
    <w:rsid w:val="000A4F9F"/>
    <w:rsid w:val="000A4FD9"/>
    <w:rsid w:val="000A500B"/>
    <w:rsid w:val="000A506B"/>
    <w:rsid w:val="000A515E"/>
    <w:rsid w:val="000A538A"/>
    <w:rsid w:val="000A554A"/>
    <w:rsid w:val="000A5849"/>
    <w:rsid w:val="000A58C8"/>
    <w:rsid w:val="000A58ED"/>
    <w:rsid w:val="000A5913"/>
    <w:rsid w:val="000A59BD"/>
    <w:rsid w:val="000A5A55"/>
    <w:rsid w:val="000A5CDB"/>
    <w:rsid w:val="000A5D6B"/>
    <w:rsid w:val="000A5D7C"/>
    <w:rsid w:val="000A610E"/>
    <w:rsid w:val="000A63D2"/>
    <w:rsid w:val="000A63E5"/>
    <w:rsid w:val="000A6584"/>
    <w:rsid w:val="000A6630"/>
    <w:rsid w:val="000A6A29"/>
    <w:rsid w:val="000A6B01"/>
    <w:rsid w:val="000A6BCC"/>
    <w:rsid w:val="000A6C8F"/>
    <w:rsid w:val="000A6D5C"/>
    <w:rsid w:val="000A6D68"/>
    <w:rsid w:val="000A6DC5"/>
    <w:rsid w:val="000A6EF6"/>
    <w:rsid w:val="000A708B"/>
    <w:rsid w:val="000A7126"/>
    <w:rsid w:val="000A722F"/>
    <w:rsid w:val="000A72A8"/>
    <w:rsid w:val="000A73EE"/>
    <w:rsid w:val="000A7473"/>
    <w:rsid w:val="000A75EC"/>
    <w:rsid w:val="000A76FD"/>
    <w:rsid w:val="000A777F"/>
    <w:rsid w:val="000A781D"/>
    <w:rsid w:val="000A7852"/>
    <w:rsid w:val="000A78CE"/>
    <w:rsid w:val="000A7ACC"/>
    <w:rsid w:val="000A7AEE"/>
    <w:rsid w:val="000A7BC3"/>
    <w:rsid w:val="000A7D76"/>
    <w:rsid w:val="000A7E45"/>
    <w:rsid w:val="000A7EC2"/>
    <w:rsid w:val="000A7EC7"/>
    <w:rsid w:val="000B00D9"/>
    <w:rsid w:val="000B00E5"/>
    <w:rsid w:val="000B0143"/>
    <w:rsid w:val="000B0354"/>
    <w:rsid w:val="000B04A4"/>
    <w:rsid w:val="000B04F4"/>
    <w:rsid w:val="000B0667"/>
    <w:rsid w:val="000B06F2"/>
    <w:rsid w:val="000B085D"/>
    <w:rsid w:val="000B0981"/>
    <w:rsid w:val="000B0B6B"/>
    <w:rsid w:val="000B0BE9"/>
    <w:rsid w:val="000B0BEC"/>
    <w:rsid w:val="000B1028"/>
    <w:rsid w:val="000B108C"/>
    <w:rsid w:val="000B115F"/>
    <w:rsid w:val="000B1462"/>
    <w:rsid w:val="000B1591"/>
    <w:rsid w:val="000B1607"/>
    <w:rsid w:val="000B17CC"/>
    <w:rsid w:val="000B1A47"/>
    <w:rsid w:val="000B1B49"/>
    <w:rsid w:val="000B1BB8"/>
    <w:rsid w:val="000B1C18"/>
    <w:rsid w:val="000B1C36"/>
    <w:rsid w:val="000B1C87"/>
    <w:rsid w:val="000B1CE7"/>
    <w:rsid w:val="000B1CEF"/>
    <w:rsid w:val="000B1D54"/>
    <w:rsid w:val="000B1D5E"/>
    <w:rsid w:val="000B1F75"/>
    <w:rsid w:val="000B1FFB"/>
    <w:rsid w:val="000B2069"/>
    <w:rsid w:val="000B206F"/>
    <w:rsid w:val="000B211A"/>
    <w:rsid w:val="000B244F"/>
    <w:rsid w:val="000B24F8"/>
    <w:rsid w:val="000B251E"/>
    <w:rsid w:val="000B2818"/>
    <w:rsid w:val="000B2BAF"/>
    <w:rsid w:val="000B2D7F"/>
    <w:rsid w:val="000B3068"/>
    <w:rsid w:val="000B3169"/>
    <w:rsid w:val="000B316F"/>
    <w:rsid w:val="000B31DC"/>
    <w:rsid w:val="000B3288"/>
    <w:rsid w:val="000B33B2"/>
    <w:rsid w:val="000B346C"/>
    <w:rsid w:val="000B348B"/>
    <w:rsid w:val="000B3563"/>
    <w:rsid w:val="000B362C"/>
    <w:rsid w:val="000B3689"/>
    <w:rsid w:val="000B384D"/>
    <w:rsid w:val="000B3865"/>
    <w:rsid w:val="000B3A1B"/>
    <w:rsid w:val="000B3A47"/>
    <w:rsid w:val="000B3C8A"/>
    <w:rsid w:val="000B3D21"/>
    <w:rsid w:val="000B3E76"/>
    <w:rsid w:val="000B3F2D"/>
    <w:rsid w:val="000B43D7"/>
    <w:rsid w:val="000B469D"/>
    <w:rsid w:val="000B46AF"/>
    <w:rsid w:val="000B46D5"/>
    <w:rsid w:val="000B499E"/>
    <w:rsid w:val="000B4A30"/>
    <w:rsid w:val="000B4C34"/>
    <w:rsid w:val="000B4D46"/>
    <w:rsid w:val="000B4E35"/>
    <w:rsid w:val="000B4E73"/>
    <w:rsid w:val="000B4ED6"/>
    <w:rsid w:val="000B54E3"/>
    <w:rsid w:val="000B55C2"/>
    <w:rsid w:val="000B5767"/>
    <w:rsid w:val="000B5791"/>
    <w:rsid w:val="000B59B6"/>
    <w:rsid w:val="000B5B27"/>
    <w:rsid w:val="000B5C56"/>
    <w:rsid w:val="000B5CFE"/>
    <w:rsid w:val="000B60D6"/>
    <w:rsid w:val="000B6230"/>
    <w:rsid w:val="000B62E9"/>
    <w:rsid w:val="000B6557"/>
    <w:rsid w:val="000B6641"/>
    <w:rsid w:val="000B6680"/>
    <w:rsid w:val="000B67D1"/>
    <w:rsid w:val="000B6963"/>
    <w:rsid w:val="000B6BA4"/>
    <w:rsid w:val="000B6D57"/>
    <w:rsid w:val="000B6D76"/>
    <w:rsid w:val="000B6EA8"/>
    <w:rsid w:val="000B7169"/>
    <w:rsid w:val="000B72FC"/>
    <w:rsid w:val="000B7352"/>
    <w:rsid w:val="000B7447"/>
    <w:rsid w:val="000B7550"/>
    <w:rsid w:val="000B7580"/>
    <w:rsid w:val="000B7675"/>
    <w:rsid w:val="000B77C0"/>
    <w:rsid w:val="000B77D0"/>
    <w:rsid w:val="000B7836"/>
    <w:rsid w:val="000B7A09"/>
    <w:rsid w:val="000B7AAA"/>
    <w:rsid w:val="000B7AE2"/>
    <w:rsid w:val="000B7AF3"/>
    <w:rsid w:val="000B7B21"/>
    <w:rsid w:val="000B7E55"/>
    <w:rsid w:val="000B7E74"/>
    <w:rsid w:val="000B7F73"/>
    <w:rsid w:val="000B7F8B"/>
    <w:rsid w:val="000C0290"/>
    <w:rsid w:val="000C0434"/>
    <w:rsid w:val="000C043E"/>
    <w:rsid w:val="000C0565"/>
    <w:rsid w:val="000C0582"/>
    <w:rsid w:val="000C05D4"/>
    <w:rsid w:val="000C0730"/>
    <w:rsid w:val="000C0D3E"/>
    <w:rsid w:val="000C0D79"/>
    <w:rsid w:val="000C0E41"/>
    <w:rsid w:val="000C0EBA"/>
    <w:rsid w:val="000C0FB5"/>
    <w:rsid w:val="000C0FDA"/>
    <w:rsid w:val="000C1146"/>
    <w:rsid w:val="000C127F"/>
    <w:rsid w:val="000C12C6"/>
    <w:rsid w:val="000C1401"/>
    <w:rsid w:val="000C143D"/>
    <w:rsid w:val="000C14A2"/>
    <w:rsid w:val="000C14DA"/>
    <w:rsid w:val="000C1752"/>
    <w:rsid w:val="000C1779"/>
    <w:rsid w:val="000C18C2"/>
    <w:rsid w:val="000C1BA7"/>
    <w:rsid w:val="000C1E2D"/>
    <w:rsid w:val="000C1E78"/>
    <w:rsid w:val="000C1E8A"/>
    <w:rsid w:val="000C1F1D"/>
    <w:rsid w:val="000C201C"/>
    <w:rsid w:val="000C20C6"/>
    <w:rsid w:val="000C20F9"/>
    <w:rsid w:val="000C22B5"/>
    <w:rsid w:val="000C2388"/>
    <w:rsid w:val="000C24AB"/>
    <w:rsid w:val="000C24EB"/>
    <w:rsid w:val="000C2612"/>
    <w:rsid w:val="000C2775"/>
    <w:rsid w:val="000C28F4"/>
    <w:rsid w:val="000C2C54"/>
    <w:rsid w:val="000C2CAF"/>
    <w:rsid w:val="000C2CCC"/>
    <w:rsid w:val="000C2CDE"/>
    <w:rsid w:val="000C2E89"/>
    <w:rsid w:val="000C315F"/>
    <w:rsid w:val="000C322E"/>
    <w:rsid w:val="000C326B"/>
    <w:rsid w:val="000C32EC"/>
    <w:rsid w:val="000C331C"/>
    <w:rsid w:val="000C3412"/>
    <w:rsid w:val="000C3436"/>
    <w:rsid w:val="000C3596"/>
    <w:rsid w:val="000C363A"/>
    <w:rsid w:val="000C3653"/>
    <w:rsid w:val="000C36A2"/>
    <w:rsid w:val="000C38EE"/>
    <w:rsid w:val="000C3A37"/>
    <w:rsid w:val="000C3AAA"/>
    <w:rsid w:val="000C3B27"/>
    <w:rsid w:val="000C3B29"/>
    <w:rsid w:val="000C3BE1"/>
    <w:rsid w:val="000C3CE8"/>
    <w:rsid w:val="000C3DCA"/>
    <w:rsid w:val="000C3F52"/>
    <w:rsid w:val="000C41DD"/>
    <w:rsid w:val="000C42AD"/>
    <w:rsid w:val="000C445E"/>
    <w:rsid w:val="000C453F"/>
    <w:rsid w:val="000C46D4"/>
    <w:rsid w:val="000C48AF"/>
    <w:rsid w:val="000C4BBC"/>
    <w:rsid w:val="000C4CC5"/>
    <w:rsid w:val="000C4D22"/>
    <w:rsid w:val="000C4E9B"/>
    <w:rsid w:val="000C4EC7"/>
    <w:rsid w:val="000C4EE1"/>
    <w:rsid w:val="000C510B"/>
    <w:rsid w:val="000C5195"/>
    <w:rsid w:val="000C51D4"/>
    <w:rsid w:val="000C51E6"/>
    <w:rsid w:val="000C5219"/>
    <w:rsid w:val="000C532A"/>
    <w:rsid w:val="000C53A9"/>
    <w:rsid w:val="000C54E0"/>
    <w:rsid w:val="000C55D5"/>
    <w:rsid w:val="000C5812"/>
    <w:rsid w:val="000C58D3"/>
    <w:rsid w:val="000C59B7"/>
    <w:rsid w:val="000C5C0B"/>
    <w:rsid w:val="000C5CA4"/>
    <w:rsid w:val="000C5CEE"/>
    <w:rsid w:val="000C5EC3"/>
    <w:rsid w:val="000C5EF7"/>
    <w:rsid w:val="000C5F0A"/>
    <w:rsid w:val="000C5F11"/>
    <w:rsid w:val="000C64A2"/>
    <w:rsid w:val="000C6570"/>
    <w:rsid w:val="000C65B9"/>
    <w:rsid w:val="000C661F"/>
    <w:rsid w:val="000C66A7"/>
    <w:rsid w:val="000C66F4"/>
    <w:rsid w:val="000C6864"/>
    <w:rsid w:val="000C6D92"/>
    <w:rsid w:val="000C6DE7"/>
    <w:rsid w:val="000C6E1B"/>
    <w:rsid w:val="000C7077"/>
    <w:rsid w:val="000C71F8"/>
    <w:rsid w:val="000C7221"/>
    <w:rsid w:val="000C75F7"/>
    <w:rsid w:val="000C7728"/>
    <w:rsid w:val="000C78D1"/>
    <w:rsid w:val="000C7AD8"/>
    <w:rsid w:val="000C7B09"/>
    <w:rsid w:val="000C7BC9"/>
    <w:rsid w:val="000C7BD6"/>
    <w:rsid w:val="000C7BE6"/>
    <w:rsid w:val="000D001B"/>
    <w:rsid w:val="000D0069"/>
    <w:rsid w:val="000D012A"/>
    <w:rsid w:val="000D01DA"/>
    <w:rsid w:val="000D0294"/>
    <w:rsid w:val="000D02F4"/>
    <w:rsid w:val="000D0313"/>
    <w:rsid w:val="000D048A"/>
    <w:rsid w:val="000D04DB"/>
    <w:rsid w:val="000D0617"/>
    <w:rsid w:val="000D0653"/>
    <w:rsid w:val="000D0813"/>
    <w:rsid w:val="000D0ADD"/>
    <w:rsid w:val="000D1228"/>
    <w:rsid w:val="000D1503"/>
    <w:rsid w:val="000D165E"/>
    <w:rsid w:val="000D1722"/>
    <w:rsid w:val="000D174B"/>
    <w:rsid w:val="000D18F4"/>
    <w:rsid w:val="000D199F"/>
    <w:rsid w:val="000D1AE2"/>
    <w:rsid w:val="000D1D72"/>
    <w:rsid w:val="000D1F5D"/>
    <w:rsid w:val="000D1F9E"/>
    <w:rsid w:val="000D1FE0"/>
    <w:rsid w:val="000D20A0"/>
    <w:rsid w:val="000D23CA"/>
    <w:rsid w:val="000D246C"/>
    <w:rsid w:val="000D2477"/>
    <w:rsid w:val="000D26CA"/>
    <w:rsid w:val="000D2768"/>
    <w:rsid w:val="000D28B0"/>
    <w:rsid w:val="000D28DF"/>
    <w:rsid w:val="000D2968"/>
    <w:rsid w:val="000D2A6A"/>
    <w:rsid w:val="000D2B75"/>
    <w:rsid w:val="000D2BC0"/>
    <w:rsid w:val="000D2E58"/>
    <w:rsid w:val="000D3014"/>
    <w:rsid w:val="000D31B1"/>
    <w:rsid w:val="000D31B8"/>
    <w:rsid w:val="000D31BF"/>
    <w:rsid w:val="000D3209"/>
    <w:rsid w:val="000D3324"/>
    <w:rsid w:val="000D33E2"/>
    <w:rsid w:val="000D343D"/>
    <w:rsid w:val="000D3851"/>
    <w:rsid w:val="000D3ABA"/>
    <w:rsid w:val="000D3BA4"/>
    <w:rsid w:val="000D3C3A"/>
    <w:rsid w:val="000D3D0A"/>
    <w:rsid w:val="000D3DE8"/>
    <w:rsid w:val="000D3FB5"/>
    <w:rsid w:val="000D41B3"/>
    <w:rsid w:val="000D42D6"/>
    <w:rsid w:val="000D44A2"/>
    <w:rsid w:val="000D4791"/>
    <w:rsid w:val="000D48C6"/>
    <w:rsid w:val="000D494D"/>
    <w:rsid w:val="000D4AF3"/>
    <w:rsid w:val="000D4DA9"/>
    <w:rsid w:val="000D4E10"/>
    <w:rsid w:val="000D4E7D"/>
    <w:rsid w:val="000D4E81"/>
    <w:rsid w:val="000D4E9D"/>
    <w:rsid w:val="000D5093"/>
    <w:rsid w:val="000D52C6"/>
    <w:rsid w:val="000D52DA"/>
    <w:rsid w:val="000D5C78"/>
    <w:rsid w:val="000D5D61"/>
    <w:rsid w:val="000D5D7A"/>
    <w:rsid w:val="000D5DCB"/>
    <w:rsid w:val="000D5DF8"/>
    <w:rsid w:val="000D5E63"/>
    <w:rsid w:val="000D5E85"/>
    <w:rsid w:val="000D5F37"/>
    <w:rsid w:val="000D5FED"/>
    <w:rsid w:val="000D602B"/>
    <w:rsid w:val="000D6054"/>
    <w:rsid w:val="000D6150"/>
    <w:rsid w:val="000D6529"/>
    <w:rsid w:val="000D66A1"/>
    <w:rsid w:val="000D66C7"/>
    <w:rsid w:val="000D6757"/>
    <w:rsid w:val="000D699C"/>
    <w:rsid w:val="000D6C9E"/>
    <w:rsid w:val="000D6E4A"/>
    <w:rsid w:val="000D6F4F"/>
    <w:rsid w:val="000D7070"/>
    <w:rsid w:val="000D708D"/>
    <w:rsid w:val="000D7139"/>
    <w:rsid w:val="000D7158"/>
    <w:rsid w:val="000D72D8"/>
    <w:rsid w:val="000D7367"/>
    <w:rsid w:val="000D74B1"/>
    <w:rsid w:val="000D76FD"/>
    <w:rsid w:val="000D7784"/>
    <w:rsid w:val="000D78CA"/>
    <w:rsid w:val="000D7BA7"/>
    <w:rsid w:val="000D7E2F"/>
    <w:rsid w:val="000D7EBF"/>
    <w:rsid w:val="000D7F1C"/>
    <w:rsid w:val="000D7F2B"/>
    <w:rsid w:val="000D7FF6"/>
    <w:rsid w:val="000E0348"/>
    <w:rsid w:val="000E03EE"/>
    <w:rsid w:val="000E0406"/>
    <w:rsid w:val="000E060E"/>
    <w:rsid w:val="000E076C"/>
    <w:rsid w:val="000E079D"/>
    <w:rsid w:val="000E07F3"/>
    <w:rsid w:val="000E0A5D"/>
    <w:rsid w:val="000E0CDD"/>
    <w:rsid w:val="000E0F97"/>
    <w:rsid w:val="000E111A"/>
    <w:rsid w:val="000E1504"/>
    <w:rsid w:val="000E151D"/>
    <w:rsid w:val="000E160D"/>
    <w:rsid w:val="000E167A"/>
    <w:rsid w:val="000E16E2"/>
    <w:rsid w:val="000E1810"/>
    <w:rsid w:val="000E1853"/>
    <w:rsid w:val="000E1879"/>
    <w:rsid w:val="000E1A1A"/>
    <w:rsid w:val="000E1C18"/>
    <w:rsid w:val="000E1EAA"/>
    <w:rsid w:val="000E1F56"/>
    <w:rsid w:val="000E202D"/>
    <w:rsid w:val="000E221D"/>
    <w:rsid w:val="000E23A1"/>
    <w:rsid w:val="000E268B"/>
    <w:rsid w:val="000E2910"/>
    <w:rsid w:val="000E29BC"/>
    <w:rsid w:val="000E2A03"/>
    <w:rsid w:val="000E2B09"/>
    <w:rsid w:val="000E2C9E"/>
    <w:rsid w:val="000E2D21"/>
    <w:rsid w:val="000E2D65"/>
    <w:rsid w:val="000E2EAC"/>
    <w:rsid w:val="000E2F75"/>
    <w:rsid w:val="000E2FAE"/>
    <w:rsid w:val="000E30D6"/>
    <w:rsid w:val="000E30E1"/>
    <w:rsid w:val="000E3207"/>
    <w:rsid w:val="000E340D"/>
    <w:rsid w:val="000E34A8"/>
    <w:rsid w:val="000E362F"/>
    <w:rsid w:val="000E37D3"/>
    <w:rsid w:val="000E390C"/>
    <w:rsid w:val="000E3A0A"/>
    <w:rsid w:val="000E3A1D"/>
    <w:rsid w:val="000E3CA7"/>
    <w:rsid w:val="000E3CC0"/>
    <w:rsid w:val="000E3DE0"/>
    <w:rsid w:val="000E3E84"/>
    <w:rsid w:val="000E3ED6"/>
    <w:rsid w:val="000E40E3"/>
    <w:rsid w:val="000E4238"/>
    <w:rsid w:val="000E443E"/>
    <w:rsid w:val="000E448E"/>
    <w:rsid w:val="000E44A1"/>
    <w:rsid w:val="000E4593"/>
    <w:rsid w:val="000E476A"/>
    <w:rsid w:val="000E4995"/>
    <w:rsid w:val="000E4A30"/>
    <w:rsid w:val="000E4B34"/>
    <w:rsid w:val="000E4D07"/>
    <w:rsid w:val="000E4DFC"/>
    <w:rsid w:val="000E4E7A"/>
    <w:rsid w:val="000E4F8B"/>
    <w:rsid w:val="000E5088"/>
    <w:rsid w:val="000E5314"/>
    <w:rsid w:val="000E53F0"/>
    <w:rsid w:val="000E54C1"/>
    <w:rsid w:val="000E54C6"/>
    <w:rsid w:val="000E5654"/>
    <w:rsid w:val="000E56E2"/>
    <w:rsid w:val="000E5816"/>
    <w:rsid w:val="000E5A82"/>
    <w:rsid w:val="000E5DB2"/>
    <w:rsid w:val="000E602A"/>
    <w:rsid w:val="000E60ED"/>
    <w:rsid w:val="000E6611"/>
    <w:rsid w:val="000E682E"/>
    <w:rsid w:val="000E68C3"/>
    <w:rsid w:val="000E69AB"/>
    <w:rsid w:val="000E6C10"/>
    <w:rsid w:val="000E6E4D"/>
    <w:rsid w:val="000E6FEA"/>
    <w:rsid w:val="000E7068"/>
    <w:rsid w:val="000E73AD"/>
    <w:rsid w:val="000E74F9"/>
    <w:rsid w:val="000E74FB"/>
    <w:rsid w:val="000E7928"/>
    <w:rsid w:val="000E7A62"/>
    <w:rsid w:val="000E7AE6"/>
    <w:rsid w:val="000E7B14"/>
    <w:rsid w:val="000E7C1E"/>
    <w:rsid w:val="000E7C65"/>
    <w:rsid w:val="000E7E54"/>
    <w:rsid w:val="000E7E7F"/>
    <w:rsid w:val="000F0088"/>
    <w:rsid w:val="000F02EB"/>
    <w:rsid w:val="000F030A"/>
    <w:rsid w:val="000F04AC"/>
    <w:rsid w:val="000F0571"/>
    <w:rsid w:val="000F0582"/>
    <w:rsid w:val="000F0741"/>
    <w:rsid w:val="000F07EF"/>
    <w:rsid w:val="000F0813"/>
    <w:rsid w:val="000F0852"/>
    <w:rsid w:val="000F08E2"/>
    <w:rsid w:val="000F09AB"/>
    <w:rsid w:val="000F0A26"/>
    <w:rsid w:val="000F0BEB"/>
    <w:rsid w:val="000F0ED0"/>
    <w:rsid w:val="000F0F18"/>
    <w:rsid w:val="000F11C5"/>
    <w:rsid w:val="000F1435"/>
    <w:rsid w:val="000F159A"/>
    <w:rsid w:val="000F189F"/>
    <w:rsid w:val="000F18DD"/>
    <w:rsid w:val="000F1973"/>
    <w:rsid w:val="000F1C53"/>
    <w:rsid w:val="000F1C59"/>
    <w:rsid w:val="000F1D2F"/>
    <w:rsid w:val="000F1D3F"/>
    <w:rsid w:val="000F1D89"/>
    <w:rsid w:val="000F1DB4"/>
    <w:rsid w:val="000F1EE7"/>
    <w:rsid w:val="000F1F31"/>
    <w:rsid w:val="000F1FCB"/>
    <w:rsid w:val="000F20E9"/>
    <w:rsid w:val="000F21B7"/>
    <w:rsid w:val="000F2241"/>
    <w:rsid w:val="000F2408"/>
    <w:rsid w:val="000F286C"/>
    <w:rsid w:val="000F2878"/>
    <w:rsid w:val="000F29E6"/>
    <w:rsid w:val="000F2A6D"/>
    <w:rsid w:val="000F2AE1"/>
    <w:rsid w:val="000F2C60"/>
    <w:rsid w:val="000F2CE2"/>
    <w:rsid w:val="000F2DFF"/>
    <w:rsid w:val="000F2E52"/>
    <w:rsid w:val="000F2FF0"/>
    <w:rsid w:val="000F30F6"/>
    <w:rsid w:val="000F3128"/>
    <w:rsid w:val="000F3260"/>
    <w:rsid w:val="000F3286"/>
    <w:rsid w:val="000F3384"/>
    <w:rsid w:val="000F3668"/>
    <w:rsid w:val="000F3817"/>
    <w:rsid w:val="000F3877"/>
    <w:rsid w:val="000F3A53"/>
    <w:rsid w:val="000F3B1D"/>
    <w:rsid w:val="000F3C6A"/>
    <w:rsid w:val="000F3C79"/>
    <w:rsid w:val="000F3D1F"/>
    <w:rsid w:val="000F3E5A"/>
    <w:rsid w:val="000F3E72"/>
    <w:rsid w:val="000F3EA5"/>
    <w:rsid w:val="000F3EB3"/>
    <w:rsid w:val="000F409A"/>
    <w:rsid w:val="000F412F"/>
    <w:rsid w:val="000F4475"/>
    <w:rsid w:val="000F45F1"/>
    <w:rsid w:val="000F47B4"/>
    <w:rsid w:val="000F4863"/>
    <w:rsid w:val="000F4943"/>
    <w:rsid w:val="000F49FC"/>
    <w:rsid w:val="000F4A43"/>
    <w:rsid w:val="000F4DD8"/>
    <w:rsid w:val="000F510F"/>
    <w:rsid w:val="000F5309"/>
    <w:rsid w:val="000F5420"/>
    <w:rsid w:val="000F5499"/>
    <w:rsid w:val="000F5520"/>
    <w:rsid w:val="000F56E2"/>
    <w:rsid w:val="000F57B2"/>
    <w:rsid w:val="000F581E"/>
    <w:rsid w:val="000F5830"/>
    <w:rsid w:val="000F58EB"/>
    <w:rsid w:val="000F5B84"/>
    <w:rsid w:val="000F5DD9"/>
    <w:rsid w:val="000F6079"/>
    <w:rsid w:val="000F608C"/>
    <w:rsid w:val="000F63EF"/>
    <w:rsid w:val="000F64C4"/>
    <w:rsid w:val="000F6532"/>
    <w:rsid w:val="000F6814"/>
    <w:rsid w:val="000F6B49"/>
    <w:rsid w:val="000F6BEC"/>
    <w:rsid w:val="000F6FED"/>
    <w:rsid w:val="000F71CF"/>
    <w:rsid w:val="000F7348"/>
    <w:rsid w:val="000F745B"/>
    <w:rsid w:val="000F7612"/>
    <w:rsid w:val="000F766A"/>
    <w:rsid w:val="000F78C3"/>
    <w:rsid w:val="000F792F"/>
    <w:rsid w:val="000F7B78"/>
    <w:rsid w:val="000F7CC7"/>
    <w:rsid w:val="000F7E5E"/>
    <w:rsid w:val="000F7FB7"/>
    <w:rsid w:val="000F7FF5"/>
    <w:rsid w:val="001000CF"/>
    <w:rsid w:val="0010018C"/>
    <w:rsid w:val="0010023F"/>
    <w:rsid w:val="00100246"/>
    <w:rsid w:val="001002E7"/>
    <w:rsid w:val="00100323"/>
    <w:rsid w:val="00100613"/>
    <w:rsid w:val="00100641"/>
    <w:rsid w:val="0010066C"/>
    <w:rsid w:val="0010070C"/>
    <w:rsid w:val="001007BD"/>
    <w:rsid w:val="001007E9"/>
    <w:rsid w:val="00100848"/>
    <w:rsid w:val="00100B21"/>
    <w:rsid w:val="00100B5E"/>
    <w:rsid w:val="00100B9C"/>
    <w:rsid w:val="00100C23"/>
    <w:rsid w:val="00100E69"/>
    <w:rsid w:val="00100F08"/>
    <w:rsid w:val="00101011"/>
    <w:rsid w:val="001010AE"/>
    <w:rsid w:val="00101293"/>
    <w:rsid w:val="001013A7"/>
    <w:rsid w:val="001013E1"/>
    <w:rsid w:val="001016AE"/>
    <w:rsid w:val="00101709"/>
    <w:rsid w:val="00101749"/>
    <w:rsid w:val="00101751"/>
    <w:rsid w:val="0010181E"/>
    <w:rsid w:val="001019D9"/>
    <w:rsid w:val="00101C3C"/>
    <w:rsid w:val="00101D5F"/>
    <w:rsid w:val="00101F09"/>
    <w:rsid w:val="00101F85"/>
    <w:rsid w:val="00101FB7"/>
    <w:rsid w:val="001021C1"/>
    <w:rsid w:val="0010236D"/>
    <w:rsid w:val="001023DC"/>
    <w:rsid w:val="001024CA"/>
    <w:rsid w:val="00102512"/>
    <w:rsid w:val="00102537"/>
    <w:rsid w:val="0010260F"/>
    <w:rsid w:val="00102A63"/>
    <w:rsid w:val="00102DD3"/>
    <w:rsid w:val="00102E3F"/>
    <w:rsid w:val="001032AF"/>
    <w:rsid w:val="001032BD"/>
    <w:rsid w:val="00103393"/>
    <w:rsid w:val="0010343B"/>
    <w:rsid w:val="0010345B"/>
    <w:rsid w:val="0010355C"/>
    <w:rsid w:val="001036AC"/>
    <w:rsid w:val="001036BE"/>
    <w:rsid w:val="001036CE"/>
    <w:rsid w:val="001036CF"/>
    <w:rsid w:val="00103B98"/>
    <w:rsid w:val="00103D4E"/>
    <w:rsid w:val="00103DD1"/>
    <w:rsid w:val="00103DEB"/>
    <w:rsid w:val="00103E93"/>
    <w:rsid w:val="00103F86"/>
    <w:rsid w:val="00104038"/>
    <w:rsid w:val="00104058"/>
    <w:rsid w:val="001041E2"/>
    <w:rsid w:val="0010448F"/>
    <w:rsid w:val="001046DA"/>
    <w:rsid w:val="0010474F"/>
    <w:rsid w:val="00104854"/>
    <w:rsid w:val="00104A22"/>
    <w:rsid w:val="00104AE3"/>
    <w:rsid w:val="00104B1D"/>
    <w:rsid w:val="00104C85"/>
    <w:rsid w:val="00104EE7"/>
    <w:rsid w:val="00104FA4"/>
    <w:rsid w:val="00105083"/>
    <w:rsid w:val="001050BC"/>
    <w:rsid w:val="00105177"/>
    <w:rsid w:val="00105203"/>
    <w:rsid w:val="0010557F"/>
    <w:rsid w:val="00105BB4"/>
    <w:rsid w:val="00105C0F"/>
    <w:rsid w:val="00105D8D"/>
    <w:rsid w:val="00105DB4"/>
    <w:rsid w:val="00106012"/>
    <w:rsid w:val="00106354"/>
    <w:rsid w:val="00106425"/>
    <w:rsid w:val="0010643F"/>
    <w:rsid w:val="0010651C"/>
    <w:rsid w:val="00106946"/>
    <w:rsid w:val="001069C5"/>
    <w:rsid w:val="00106A76"/>
    <w:rsid w:val="00106B43"/>
    <w:rsid w:val="00106BF5"/>
    <w:rsid w:val="00106C44"/>
    <w:rsid w:val="00106D80"/>
    <w:rsid w:val="00106E7E"/>
    <w:rsid w:val="00106FF4"/>
    <w:rsid w:val="001071F6"/>
    <w:rsid w:val="001074C2"/>
    <w:rsid w:val="001074CE"/>
    <w:rsid w:val="001076CB"/>
    <w:rsid w:val="00107733"/>
    <w:rsid w:val="00107A3F"/>
    <w:rsid w:val="00107A9C"/>
    <w:rsid w:val="00107BE4"/>
    <w:rsid w:val="00107E6F"/>
    <w:rsid w:val="00110197"/>
    <w:rsid w:val="00110457"/>
    <w:rsid w:val="001105CC"/>
    <w:rsid w:val="00110672"/>
    <w:rsid w:val="001106AB"/>
    <w:rsid w:val="001106B1"/>
    <w:rsid w:val="0011091B"/>
    <w:rsid w:val="00110976"/>
    <w:rsid w:val="00110AA0"/>
    <w:rsid w:val="00110AFC"/>
    <w:rsid w:val="00110D17"/>
    <w:rsid w:val="00110E2E"/>
    <w:rsid w:val="001111EC"/>
    <w:rsid w:val="0011126C"/>
    <w:rsid w:val="001112A9"/>
    <w:rsid w:val="001116DD"/>
    <w:rsid w:val="001116F9"/>
    <w:rsid w:val="00111768"/>
    <w:rsid w:val="001117C3"/>
    <w:rsid w:val="00111943"/>
    <w:rsid w:val="00111984"/>
    <w:rsid w:val="001119EE"/>
    <w:rsid w:val="00111A69"/>
    <w:rsid w:val="00111C8F"/>
    <w:rsid w:val="00111D3C"/>
    <w:rsid w:val="00111E5B"/>
    <w:rsid w:val="00111FD8"/>
    <w:rsid w:val="0011200A"/>
    <w:rsid w:val="00112069"/>
    <w:rsid w:val="00112176"/>
    <w:rsid w:val="0011263C"/>
    <w:rsid w:val="001127F4"/>
    <w:rsid w:val="00112B98"/>
    <w:rsid w:val="00112C33"/>
    <w:rsid w:val="00112D61"/>
    <w:rsid w:val="00112DD6"/>
    <w:rsid w:val="001131B4"/>
    <w:rsid w:val="00113285"/>
    <w:rsid w:val="0011328F"/>
    <w:rsid w:val="001132E2"/>
    <w:rsid w:val="00113341"/>
    <w:rsid w:val="001133BA"/>
    <w:rsid w:val="001133F5"/>
    <w:rsid w:val="001134C2"/>
    <w:rsid w:val="00113693"/>
    <w:rsid w:val="0011374D"/>
    <w:rsid w:val="00113751"/>
    <w:rsid w:val="001137AC"/>
    <w:rsid w:val="001137B2"/>
    <w:rsid w:val="00113A47"/>
    <w:rsid w:val="00113AAF"/>
    <w:rsid w:val="00113ADC"/>
    <w:rsid w:val="00113BBD"/>
    <w:rsid w:val="00113BBF"/>
    <w:rsid w:val="00113D1F"/>
    <w:rsid w:val="00113D47"/>
    <w:rsid w:val="00114085"/>
    <w:rsid w:val="00114290"/>
    <w:rsid w:val="0011432D"/>
    <w:rsid w:val="001143E7"/>
    <w:rsid w:val="00114445"/>
    <w:rsid w:val="0011459E"/>
    <w:rsid w:val="0011471E"/>
    <w:rsid w:val="0011489D"/>
    <w:rsid w:val="001148DB"/>
    <w:rsid w:val="001148FE"/>
    <w:rsid w:val="00114A80"/>
    <w:rsid w:val="00114A8B"/>
    <w:rsid w:val="00114BC7"/>
    <w:rsid w:val="00114CA2"/>
    <w:rsid w:val="00114CE4"/>
    <w:rsid w:val="00114CF7"/>
    <w:rsid w:val="00114D75"/>
    <w:rsid w:val="00114F1A"/>
    <w:rsid w:val="0011509C"/>
    <w:rsid w:val="001150D4"/>
    <w:rsid w:val="00115529"/>
    <w:rsid w:val="001158B7"/>
    <w:rsid w:val="001158CA"/>
    <w:rsid w:val="00115BF0"/>
    <w:rsid w:val="00115E47"/>
    <w:rsid w:val="00115E84"/>
    <w:rsid w:val="00115F9D"/>
    <w:rsid w:val="001161C2"/>
    <w:rsid w:val="00116373"/>
    <w:rsid w:val="001163D6"/>
    <w:rsid w:val="0011658E"/>
    <w:rsid w:val="001166D8"/>
    <w:rsid w:val="00116755"/>
    <w:rsid w:val="001168B4"/>
    <w:rsid w:val="001168BA"/>
    <w:rsid w:val="00116BCE"/>
    <w:rsid w:val="00116CB0"/>
    <w:rsid w:val="00116D6F"/>
    <w:rsid w:val="00116F29"/>
    <w:rsid w:val="00116F5C"/>
    <w:rsid w:val="00116F7A"/>
    <w:rsid w:val="00116FB4"/>
    <w:rsid w:val="00117185"/>
    <w:rsid w:val="001171F0"/>
    <w:rsid w:val="0011756C"/>
    <w:rsid w:val="00117814"/>
    <w:rsid w:val="0011795C"/>
    <w:rsid w:val="00117DA0"/>
    <w:rsid w:val="00117F46"/>
    <w:rsid w:val="00120088"/>
    <w:rsid w:val="00120166"/>
    <w:rsid w:val="0012035F"/>
    <w:rsid w:val="001203D5"/>
    <w:rsid w:val="0012042A"/>
    <w:rsid w:val="0012053F"/>
    <w:rsid w:val="0012054E"/>
    <w:rsid w:val="001207FA"/>
    <w:rsid w:val="00120978"/>
    <w:rsid w:val="00120A93"/>
    <w:rsid w:val="00120B33"/>
    <w:rsid w:val="00120CBA"/>
    <w:rsid w:val="00120D63"/>
    <w:rsid w:val="00120DB2"/>
    <w:rsid w:val="00120E33"/>
    <w:rsid w:val="0012101E"/>
    <w:rsid w:val="001210F5"/>
    <w:rsid w:val="00121131"/>
    <w:rsid w:val="0012137D"/>
    <w:rsid w:val="00121390"/>
    <w:rsid w:val="001213DB"/>
    <w:rsid w:val="001214CB"/>
    <w:rsid w:val="001216D4"/>
    <w:rsid w:val="00121772"/>
    <w:rsid w:val="0012182E"/>
    <w:rsid w:val="0012193A"/>
    <w:rsid w:val="00121C3B"/>
    <w:rsid w:val="00121CDB"/>
    <w:rsid w:val="00121E76"/>
    <w:rsid w:val="00121F0E"/>
    <w:rsid w:val="0012210D"/>
    <w:rsid w:val="0012241C"/>
    <w:rsid w:val="00122435"/>
    <w:rsid w:val="0012257F"/>
    <w:rsid w:val="001226FF"/>
    <w:rsid w:val="001227B3"/>
    <w:rsid w:val="001227EF"/>
    <w:rsid w:val="0012282F"/>
    <w:rsid w:val="001228A3"/>
    <w:rsid w:val="001228D8"/>
    <w:rsid w:val="0012298F"/>
    <w:rsid w:val="00122A38"/>
    <w:rsid w:val="00122C10"/>
    <w:rsid w:val="00122C35"/>
    <w:rsid w:val="00122DDE"/>
    <w:rsid w:val="00122E1F"/>
    <w:rsid w:val="00122F47"/>
    <w:rsid w:val="00123085"/>
    <w:rsid w:val="001231D4"/>
    <w:rsid w:val="001232DC"/>
    <w:rsid w:val="0012358C"/>
    <w:rsid w:val="00123854"/>
    <w:rsid w:val="00123B88"/>
    <w:rsid w:val="00123C05"/>
    <w:rsid w:val="00123C0C"/>
    <w:rsid w:val="00123D1F"/>
    <w:rsid w:val="00123D4E"/>
    <w:rsid w:val="00123DFF"/>
    <w:rsid w:val="00123E52"/>
    <w:rsid w:val="00123E7F"/>
    <w:rsid w:val="00123EA4"/>
    <w:rsid w:val="00123EB4"/>
    <w:rsid w:val="00123F43"/>
    <w:rsid w:val="001240C1"/>
    <w:rsid w:val="001241F3"/>
    <w:rsid w:val="00124305"/>
    <w:rsid w:val="001243C9"/>
    <w:rsid w:val="00124520"/>
    <w:rsid w:val="00124694"/>
    <w:rsid w:val="00124979"/>
    <w:rsid w:val="00124ABA"/>
    <w:rsid w:val="00124BB0"/>
    <w:rsid w:val="00124C42"/>
    <w:rsid w:val="00124D85"/>
    <w:rsid w:val="00124DCD"/>
    <w:rsid w:val="00124E7C"/>
    <w:rsid w:val="00124FF9"/>
    <w:rsid w:val="00124FFA"/>
    <w:rsid w:val="0012502C"/>
    <w:rsid w:val="00125038"/>
    <w:rsid w:val="0012514B"/>
    <w:rsid w:val="00125370"/>
    <w:rsid w:val="0012542D"/>
    <w:rsid w:val="001254E2"/>
    <w:rsid w:val="001256C8"/>
    <w:rsid w:val="001256E6"/>
    <w:rsid w:val="0012573C"/>
    <w:rsid w:val="00125826"/>
    <w:rsid w:val="00125950"/>
    <w:rsid w:val="00125AF9"/>
    <w:rsid w:val="00125BA8"/>
    <w:rsid w:val="00125D59"/>
    <w:rsid w:val="00125D9F"/>
    <w:rsid w:val="00125DCD"/>
    <w:rsid w:val="0012614B"/>
    <w:rsid w:val="00126158"/>
    <w:rsid w:val="001267D1"/>
    <w:rsid w:val="00126CF1"/>
    <w:rsid w:val="0012711B"/>
    <w:rsid w:val="0012712A"/>
    <w:rsid w:val="0012719E"/>
    <w:rsid w:val="001272AB"/>
    <w:rsid w:val="00127304"/>
    <w:rsid w:val="00127308"/>
    <w:rsid w:val="0012732B"/>
    <w:rsid w:val="00127384"/>
    <w:rsid w:val="001273FB"/>
    <w:rsid w:val="00127403"/>
    <w:rsid w:val="00127490"/>
    <w:rsid w:val="001275CD"/>
    <w:rsid w:val="001276FD"/>
    <w:rsid w:val="0012772F"/>
    <w:rsid w:val="0012780C"/>
    <w:rsid w:val="0012786C"/>
    <w:rsid w:val="00127CCD"/>
    <w:rsid w:val="00127DF4"/>
    <w:rsid w:val="00127E33"/>
    <w:rsid w:val="00127E88"/>
    <w:rsid w:val="00130047"/>
    <w:rsid w:val="00130060"/>
    <w:rsid w:val="00130226"/>
    <w:rsid w:val="001306AC"/>
    <w:rsid w:val="00130A93"/>
    <w:rsid w:val="00130C89"/>
    <w:rsid w:val="00130DBA"/>
    <w:rsid w:val="00130E1C"/>
    <w:rsid w:val="00130F82"/>
    <w:rsid w:val="00130F88"/>
    <w:rsid w:val="00131114"/>
    <w:rsid w:val="001313DC"/>
    <w:rsid w:val="00131486"/>
    <w:rsid w:val="001314B0"/>
    <w:rsid w:val="001315B8"/>
    <w:rsid w:val="001316F3"/>
    <w:rsid w:val="00131813"/>
    <w:rsid w:val="00131949"/>
    <w:rsid w:val="001319AE"/>
    <w:rsid w:val="00131AA4"/>
    <w:rsid w:val="00131AE6"/>
    <w:rsid w:val="00131B7F"/>
    <w:rsid w:val="00131D90"/>
    <w:rsid w:val="00131E35"/>
    <w:rsid w:val="00131F2C"/>
    <w:rsid w:val="00132007"/>
    <w:rsid w:val="001321F0"/>
    <w:rsid w:val="001323FA"/>
    <w:rsid w:val="0013241F"/>
    <w:rsid w:val="0013247D"/>
    <w:rsid w:val="00132584"/>
    <w:rsid w:val="00132607"/>
    <w:rsid w:val="0013260C"/>
    <w:rsid w:val="00132671"/>
    <w:rsid w:val="0013289C"/>
    <w:rsid w:val="00132CA0"/>
    <w:rsid w:val="00132CD5"/>
    <w:rsid w:val="00132D9D"/>
    <w:rsid w:val="00132F36"/>
    <w:rsid w:val="0013305C"/>
    <w:rsid w:val="00133129"/>
    <w:rsid w:val="001331EE"/>
    <w:rsid w:val="00133213"/>
    <w:rsid w:val="00133233"/>
    <w:rsid w:val="0013323B"/>
    <w:rsid w:val="00133240"/>
    <w:rsid w:val="0013326E"/>
    <w:rsid w:val="001332E0"/>
    <w:rsid w:val="001336AA"/>
    <w:rsid w:val="0013372C"/>
    <w:rsid w:val="0013378F"/>
    <w:rsid w:val="00133795"/>
    <w:rsid w:val="00133816"/>
    <w:rsid w:val="001338CC"/>
    <w:rsid w:val="001338DC"/>
    <w:rsid w:val="00133AE2"/>
    <w:rsid w:val="00133BF3"/>
    <w:rsid w:val="00133CE2"/>
    <w:rsid w:val="00133F89"/>
    <w:rsid w:val="00134006"/>
    <w:rsid w:val="0013404A"/>
    <w:rsid w:val="001341A0"/>
    <w:rsid w:val="0013425E"/>
    <w:rsid w:val="00134276"/>
    <w:rsid w:val="00134560"/>
    <w:rsid w:val="00134680"/>
    <w:rsid w:val="0013469A"/>
    <w:rsid w:val="0013487B"/>
    <w:rsid w:val="001349FE"/>
    <w:rsid w:val="00134A05"/>
    <w:rsid w:val="00134EBF"/>
    <w:rsid w:val="00134F8B"/>
    <w:rsid w:val="00135204"/>
    <w:rsid w:val="001354B2"/>
    <w:rsid w:val="001355C6"/>
    <w:rsid w:val="001355E6"/>
    <w:rsid w:val="001356D5"/>
    <w:rsid w:val="0013571F"/>
    <w:rsid w:val="00135772"/>
    <w:rsid w:val="00135787"/>
    <w:rsid w:val="0013598E"/>
    <w:rsid w:val="00135BE4"/>
    <w:rsid w:val="00135E3D"/>
    <w:rsid w:val="00135F36"/>
    <w:rsid w:val="0013608F"/>
    <w:rsid w:val="001360A3"/>
    <w:rsid w:val="0013614E"/>
    <w:rsid w:val="001361C3"/>
    <w:rsid w:val="00136276"/>
    <w:rsid w:val="00136451"/>
    <w:rsid w:val="00136570"/>
    <w:rsid w:val="00136579"/>
    <w:rsid w:val="00136666"/>
    <w:rsid w:val="00136720"/>
    <w:rsid w:val="00136812"/>
    <w:rsid w:val="0013687D"/>
    <w:rsid w:val="00136C78"/>
    <w:rsid w:val="00136CE3"/>
    <w:rsid w:val="00137087"/>
    <w:rsid w:val="001370F3"/>
    <w:rsid w:val="00137102"/>
    <w:rsid w:val="001379DC"/>
    <w:rsid w:val="00137AD7"/>
    <w:rsid w:val="00137C20"/>
    <w:rsid w:val="00137D1B"/>
    <w:rsid w:val="00140033"/>
    <w:rsid w:val="0014006C"/>
    <w:rsid w:val="001400E6"/>
    <w:rsid w:val="00140158"/>
    <w:rsid w:val="001402AB"/>
    <w:rsid w:val="00140549"/>
    <w:rsid w:val="0014067B"/>
    <w:rsid w:val="001406E5"/>
    <w:rsid w:val="00140744"/>
    <w:rsid w:val="00140965"/>
    <w:rsid w:val="00140ABC"/>
    <w:rsid w:val="00140AD4"/>
    <w:rsid w:val="00140D04"/>
    <w:rsid w:val="00140EAF"/>
    <w:rsid w:val="001410DA"/>
    <w:rsid w:val="00141318"/>
    <w:rsid w:val="001413FC"/>
    <w:rsid w:val="0014142D"/>
    <w:rsid w:val="001416D5"/>
    <w:rsid w:val="0014188E"/>
    <w:rsid w:val="0014198C"/>
    <w:rsid w:val="00141A31"/>
    <w:rsid w:val="00141B70"/>
    <w:rsid w:val="00141B80"/>
    <w:rsid w:val="00141BB0"/>
    <w:rsid w:val="00141E0A"/>
    <w:rsid w:val="00141F6B"/>
    <w:rsid w:val="0014204F"/>
    <w:rsid w:val="0014244D"/>
    <w:rsid w:val="0014267F"/>
    <w:rsid w:val="0014268A"/>
    <w:rsid w:val="00142758"/>
    <w:rsid w:val="0014279C"/>
    <w:rsid w:val="001429D6"/>
    <w:rsid w:val="00142A94"/>
    <w:rsid w:val="001430B8"/>
    <w:rsid w:val="001430D9"/>
    <w:rsid w:val="001434CC"/>
    <w:rsid w:val="001435C3"/>
    <w:rsid w:val="0014365F"/>
    <w:rsid w:val="001437B5"/>
    <w:rsid w:val="0014380C"/>
    <w:rsid w:val="00143966"/>
    <w:rsid w:val="001439F6"/>
    <w:rsid w:val="00143A61"/>
    <w:rsid w:val="00143C75"/>
    <w:rsid w:val="00143F14"/>
    <w:rsid w:val="00143F29"/>
    <w:rsid w:val="00143FA4"/>
    <w:rsid w:val="001440BF"/>
    <w:rsid w:val="00144184"/>
    <w:rsid w:val="00144304"/>
    <w:rsid w:val="001443A9"/>
    <w:rsid w:val="001444EA"/>
    <w:rsid w:val="0014452F"/>
    <w:rsid w:val="00144603"/>
    <w:rsid w:val="00144714"/>
    <w:rsid w:val="00144838"/>
    <w:rsid w:val="001448B2"/>
    <w:rsid w:val="00144A1E"/>
    <w:rsid w:val="00144AF1"/>
    <w:rsid w:val="00144B34"/>
    <w:rsid w:val="00144B5F"/>
    <w:rsid w:val="00144C7D"/>
    <w:rsid w:val="00144DC5"/>
    <w:rsid w:val="00144E05"/>
    <w:rsid w:val="00144E91"/>
    <w:rsid w:val="00144E9A"/>
    <w:rsid w:val="00145020"/>
    <w:rsid w:val="001451CF"/>
    <w:rsid w:val="001452BE"/>
    <w:rsid w:val="0014537C"/>
    <w:rsid w:val="001453FC"/>
    <w:rsid w:val="00145444"/>
    <w:rsid w:val="00145504"/>
    <w:rsid w:val="0014574C"/>
    <w:rsid w:val="001458FF"/>
    <w:rsid w:val="00145B77"/>
    <w:rsid w:val="00145BE7"/>
    <w:rsid w:val="00145BF8"/>
    <w:rsid w:val="00145F54"/>
    <w:rsid w:val="00145FEA"/>
    <w:rsid w:val="0014605F"/>
    <w:rsid w:val="001463F4"/>
    <w:rsid w:val="001466D5"/>
    <w:rsid w:val="00146740"/>
    <w:rsid w:val="00146B82"/>
    <w:rsid w:val="00146D3D"/>
    <w:rsid w:val="00146EBA"/>
    <w:rsid w:val="001470A3"/>
    <w:rsid w:val="001478AB"/>
    <w:rsid w:val="001479BD"/>
    <w:rsid w:val="00147C4D"/>
    <w:rsid w:val="00147C67"/>
    <w:rsid w:val="00147DF3"/>
    <w:rsid w:val="00147E41"/>
    <w:rsid w:val="00150016"/>
    <w:rsid w:val="00150090"/>
    <w:rsid w:val="001500E6"/>
    <w:rsid w:val="001501AB"/>
    <w:rsid w:val="0015020C"/>
    <w:rsid w:val="0015021E"/>
    <w:rsid w:val="0015023F"/>
    <w:rsid w:val="001503CD"/>
    <w:rsid w:val="00150537"/>
    <w:rsid w:val="0015059A"/>
    <w:rsid w:val="001509F8"/>
    <w:rsid w:val="00150A21"/>
    <w:rsid w:val="00150C69"/>
    <w:rsid w:val="00150CFF"/>
    <w:rsid w:val="00150DD6"/>
    <w:rsid w:val="00150E65"/>
    <w:rsid w:val="00150EDD"/>
    <w:rsid w:val="00151051"/>
    <w:rsid w:val="0015115E"/>
    <w:rsid w:val="00151232"/>
    <w:rsid w:val="00151441"/>
    <w:rsid w:val="00151458"/>
    <w:rsid w:val="00151497"/>
    <w:rsid w:val="001515E8"/>
    <w:rsid w:val="0015160A"/>
    <w:rsid w:val="00151744"/>
    <w:rsid w:val="00151894"/>
    <w:rsid w:val="0015193A"/>
    <w:rsid w:val="00151C8A"/>
    <w:rsid w:val="0015208F"/>
    <w:rsid w:val="001521B7"/>
    <w:rsid w:val="001521E5"/>
    <w:rsid w:val="00152340"/>
    <w:rsid w:val="0015241C"/>
    <w:rsid w:val="001524B9"/>
    <w:rsid w:val="001524C1"/>
    <w:rsid w:val="00152526"/>
    <w:rsid w:val="0015275A"/>
    <w:rsid w:val="00152CA0"/>
    <w:rsid w:val="00152CC8"/>
    <w:rsid w:val="00152DF4"/>
    <w:rsid w:val="001530A8"/>
    <w:rsid w:val="0015315F"/>
    <w:rsid w:val="00153301"/>
    <w:rsid w:val="0015336F"/>
    <w:rsid w:val="001533C1"/>
    <w:rsid w:val="001533E0"/>
    <w:rsid w:val="0015363B"/>
    <w:rsid w:val="001536F7"/>
    <w:rsid w:val="00153869"/>
    <w:rsid w:val="001539F5"/>
    <w:rsid w:val="00153C3F"/>
    <w:rsid w:val="00154099"/>
    <w:rsid w:val="001547BE"/>
    <w:rsid w:val="001547C5"/>
    <w:rsid w:val="00154885"/>
    <w:rsid w:val="001549D5"/>
    <w:rsid w:val="00154C4A"/>
    <w:rsid w:val="00154C5A"/>
    <w:rsid w:val="00154CC0"/>
    <w:rsid w:val="00154CD8"/>
    <w:rsid w:val="00154D1B"/>
    <w:rsid w:val="00154ED9"/>
    <w:rsid w:val="00154F1F"/>
    <w:rsid w:val="00154F6C"/>
    <w:rsid w:val="001550B8"/>
    <w:rsid w:val="001550F9"/>
    <w:rsid w:val="00155177"/>
    <w:rsid w:val="00155320"/>
    <w:rsid w:val="0015545C"/>
    <w:rsid w:val="001556E3"/>
    <w:rsid w:val="001557AA"/>
    <w:rsid w:val="00155893"/>
    <w:rsid w:val="00155B0B"/>
    <w:rsid w:val="00155B1D"/>
    <w:rsid w:val="00155D2A"/>
    <w:rsid w:val="00155E91"/>
    <w:rsid w:val="001560F1"/>
    <w:rsid w:val="00156144"/>
    <w:rsid w:val="001561D0"/>
    <w:rsid w:val="00156265"/>
    <w:rsid w:val="0015656D"/>
    <w:rsid w:val="00156643"/>
    <w:rsid w:val="00156661"/>
    <w:rsid w:val="0015686E"/>
    <w:rsid w:val="0015693C"/>
    <w:rsid w:val="00156DFB"/>
    <w:rsid w:val="00156E4C"/>
    <w:rsid w:val="00156E7A"/>
    <w:rsid w:val="0015749D"/>
    <w:rsid w:val="001575D5"/>
    <w:rsid w:val="00157792"/>
    <w:rsid w:val="00157A99"/>
    <w:rsid w:val="00157CDE"/>
    <w:rsid w:val="00157D44"/>
    <w:rsid w:val="00157FDB"/>
    <w:rsid w:val="0016004E"/>
    <w:rsid w:val="0016022B"/>
    <w:rsid w:val="0016037D"/>
    <w:rsid w:val="00160380"/>
    <w:rsid w:val="001605C5"/>
    <w:rsid w:val="00160788"/>
    <w:rsid w:val="00160844"/>
    <w:rsid w:val="001608E1"/>
    <w:rsid w:val="001609EC"/>
    <w:rsid w:val="00160B46"/>
    <w:rsid w:val="00160CD2"/>
    <w:rsid w:val="00160D1E"/>
    <w:rsid w:val="00160E5A"/>
    <w:rsid w:val="00160E6B"/>
    <w:rsid w:val="001610E3"/>
    <w:rsid w:val="00161170"/>
    <w:rsid w:val="001612D8"/>
    <w:rsid w:val="00161316"/>
    <w:rsid w:val="00161376"/>
    <w:rsid w:val="00161423"/>
    <w:rsid w:val="001614AA"/>
    <w:rsid w:val="001615DA"/>
    <w:rsid w:val="00161702"/>
    <w:rsid w:val="00161AD6"/>
    <w:rsid w:val="00161DD3"/>
    <w:rsid w:val="0016235D"/>
    <w:rsid w:val="00162574"/>
    <w:rsid w:val="00162780"/>
    <w:rsid w:val="0016279B"/>
    <w:rsid w:val="00162AAB"/>
    <w:rsid w:val="00162B0C"/>
    <w:rsid w:val="00162F00"/>
    <w:rsid w:val="001631F0"/>
    <w:rsid w:val="0016320B"/>
    <w:rsid w:val="0016329B"/>
    <w:rsid w:val="001633C9"/>
    <w:rsid w:val="001634E2"/>
    <w:rsid w:val="00163586"/>
    <w:rsid w:val="001635E4"/>
    <w:rsid w:val="0016386D"/>
    <w:rsid w:val="00163AA4"/>
    <w:rsid w:val="00163D03"/>
    <w:rsid w:val="00163D75"/>
    <w:rsid w:val="0016408B"/>
    <w:rsid w:val="00164243"/>
    <w:rsid w:val="00164498"/>
    <w:rsid w:val="00164653"/>
    <w:rsid w:val="00164680"/>
    <w:rsid w:val="001646B8"/>
    <w:rsid w:val="00164998"/>
    <w:rsid w:val="00164A8A"/>
    <w:rsid w:val="00164C2A"/>
    <w:rsid w:val="00164DB1"/>
    <w:rsid w:val="00164E4B"/>
    <w:rsid w:val="00164F56"/>
    <w:rsid w:val="0016517A"/>
    <w:rsid w:val="00165186"/>
    <w:rsid w:val="0016519F"/>
    <w:rsid w:val="001651A4"/>
    <w:rsid w:val="001651B1"/>
    <w:rsid w:val="001655E9"/>
    <w:rsid w:val="001658E0"/>
    <w:rsid w:val="00165913"/>
    <w:rsid w:val="00165B0C"/>
    <w:rsid w:val="00165B37"/>
    <w:rsid w:val="00165BD9"/>
    <w:rsid w:val="00165BF7"/>
    <w:rsid w:val="00165C26"/>
    <w:rsid w:val="00165D1B"/>
    <w:rsid w:val="00165E58"/>
    <w:rsid w:val="00165F84"/>
    <w:rsid w:val="00166032"/>
    <w:rsid w:val="001661E0"/>
    <w:rsid w:val="0016658F"/>
    <w:rsid w:val="00166614"/>
    <w:rsid w:val="001666D3"/>
    <w:rsid w:val="001667A6"/>
    <w:rsid w:val="00166887"/>
    <w:rsid w:val="0016689E"/>
    <w:rsid w:val="00166B81"/>
    <w:rsid w:val="00166BEC"/>
    <w:rsid w:val="00166E02"/>
    <w:rsid w:val="00166E54"/>
    <w:rsid w:val="001670A0"/>
    <w:rsid w:val="00167340"/>
    <w:rsid w:val="00167473"/>
    <w:rsid w:val="00167577"/>
    <w:rsid w:val="00167766"/>
    <w:rsid w:val="001678B7"/>
    <w:rsid w:val="0016798F"/>
    <w:rsid w:val="001679ED"/>
    <w:rsid w:val="00167ADE"/>
    <w:rsid w:val="00167AE6"/>
    <w:rsid w:val="00167EF2"/>
    <w:rsid w:val="00167F98"/>
    <w:rsid w:val="00170001"/>
    <w:rsid w:val="001700C3"/>
    <w:rsid w:val="001701F4"/>
    <w:rsid w:val="001702BB"/>
    <w:rsid w:val="001703A0"/>
    <w:rsid w:val="00170461"/>
    <w:rsid w:val="001704D4"/>
    <w:rsid w:val="00170515"/>
    <w:rsid w:val="00170543"/>
    <w:rsid w:val="0017079F"/>
    <w:rsid w:val="0017087D"/>
    <w:rsid w:val="001708CD"/>
    <w:rsid w:val="00170AE3"/>
    <w:rsid w:val="001710FD"/>
    <w:rsid w:val="00171217"/>
    <w:rsid w:val="00171494"/>
    <w:rsid w:val="001716A4"/>
    <w:rsid w:val="0017172C"/>
    <w:rsid w:val="0017178B"/>
    <w:rsid w:val="00171850"/>
    <w:rsid w:val="001718CF"/>
    <w:rsid w:val="00171998"/>
    <w:rsid w:val="00171A52"/>
    <w:rsid w:val="00171B07"/>
    <w:rsid w:val="00171BBD"/>
    <w:rsid w:val="00171CA1"/>
    <w:rsid w:val="00171FB8"/>
    <w:rsid w:val="001721BF"/>
    <w:rsid w:val="001721D4"/>
    <w:rsid w:val="0017223E"/>
    <w:rsid w:val="0017224C"/>
    <w:rsid w:val="0017231D"/>
    <w:rsid w:val="00172374"/>
    <w:rsid w:val="00172407"/>
    <w:rsid w:val="00172422"/>
    <w:rsid w:val="001724B6"/>
    <w:rsid w:val="001724CC"/>
    <w:rsid w:val="0017252E"/>
    <w:rsid w:val="001727EA"/>
    <w:rsid w:val="0017295A"/>
    <w:rsid w:val="001729F3"/>
    <w:rsid w:val="00172AE6"/>
    <w:rsid w:val="00172DAF"/>
    <w:rsid w:val="00172E51"/>
    <w:rsid w:val="00173133"/>
    <w:rsid w:val="0017315F"/>
    <w:rsid w:val="001737E1"/>
    <w:rsid w:val="00173818"/>
    <w:rsid w:val="001738D6"/>
    <w:rsid w:val="00173960"/>
    <w:rsid w:val="00173989"/>
    <w:rsid w:val="00173C45"/>
    <w:rsid w:val="00173E95"/>
    <w:rsid w:val="00173EBE"/>
    <w:rsid w:val="00173EEA"/>
    <w:rsid w:val="001743E0"/>
    <w:rsid w:val="001746CA"/>
    <w:rsid w:val="00174828"/>
    <w:rsid w:val="001748D3"/>
    <w:rsid w:val="001749BA"/>
    <w:rsid w:val="00174ACD"/>
    <w:rsid w:val="00174B98"/>
    <w:rsid w:val="00174C5A"/>
    <w:rsid w:val="00174CA3"/>
    <w:rsid w:val="00174F2A"/>
    <w:rsid w:val="00174FD5"/>
    <w:rsid w:val="00175583"/>
    <w:rsid w:val="001755EF"/>
    <w:rsid w:val="001758C4"/>
    <w:rsid w:val="0017596B"/>
    <w:rsid w:val="00175BFD"/>
    <w:rsid w:val="00175D1C"/>
    <w:rsid w:val="00175D82"/>
    <w:rsid w:val="00175FF5"/>
    <w:rsid w:val="0017615C"/>
    <w:rsid w:val="0017616C"/>
    <w:rsid w:val="001763E4"/>
    <w:rsid w:val="00176454"/>
    <w:rsid w:val="0017656A"/>
    <w:rsid w:val="00176726"/>
    <w:rsid w:val="0017679E"/>
    <w:rsid w:val="001767AB"/>
    <w:rsid w:val="001768F8"/>
    <w:rsid w:val="001768F9"/>
    <w:rsid w:val="00176A85"/>
    <w:rsid w:val="00176AA0"/>
    <w:rsid w:val="00176DEA"/>
    <w:rsid w:val="0017705C"/>
    <w:rsid w:val="00177359"/>
    <w:rsid w:val="001775F4"/>
    <w:rsid w:val="0017775A"/>
    <w:rsid w:val="001777D8"/>
    <w:rsid w:val="001779A6"/>
    <w:rsid w:val="00177B61"/>
    <w:rsid w:val="00177BDC"/>
    <w:rsid w:val="00177D1B"/>
    <w:rsid w:val="00177E7B"/>
    <w:rsid w:val="00177FEF"/>
    <w:rsid w:val="001800F7"/>
    <w:rsid w:val="0018048C"/>
    <w:rsid w:val="00180503"/>
    <w:rsid w:val="00180637"/>
    <w:rsid w:val="001806BB"/>
    <w:rsid w:val="0018090A"/>
    <w:rsid w:val="0018094C"/>
    <w:rsid w:val="00180A8C"/>
    <w:rsid w:val="00180B6A"/>
    <w:rsid w:val="0018131A"/>
    <w:rsid w:val="001813D7"/>
    <w:rsid w:val="0018152B"/>
    <w:rsid w:val="00181584"/>
    <w:rsid w:val="001815CD"/>
    <w:rsid w:val="00181711"/>
    <w:rsid w:val="00181955"/>
    <w:rsid w:val="00181C3A"/>
    <w:rsid w:val="00181D82"/>
    <w:rsid w:val="00181E67"/>
    <w:rsid w:val="0018235C"/>
    <w:rsid w:val="001824FC"/>
    <w:rsid w:val="00182613"/>
    <w:rsid w:val="0018263F"/>
    <w:rsid w:val="00182930"/>
    <w:rsid w:val="00182AB5"/>
    <w:rsid w:val="00182AF0"/>
    <w:rsid w:val="00182AFA"/>
    <w:rsid w:val="00182D45"/>
    <w:rsid w:val="00182F18"/>
    <w:rsid w:val="00183167"/>
    <w:rsid w:val="001832DE"/>
    <w:rsid w:val="0018330A"/>
    <w:rsid w:val="0018354A"/>
    <w:rsid w:val="0018356E"/>
    <w:rsid w:val="001835AA"/>
    <w:rsid w:val="00183671"/>
    <w:rsid w:val="00183696"/>
    <w:rsid w:val="00183707"/>
    <w:rsid w:val="00183977"/>
    <w:rsid w:val="001839DB"/>
    <w:rsid w:val="00183AE1"/>
    <w:rsid w:val="00183C72"/>
    <w:rsid w:val="00183EEB"/>
    <w:rsid w:val="00183FB6"/>
    <w:rsid w:val="00184241"/>
    <w:rsid w:val="001842C8"/>
    <w:rsid w:val="00184324"/>
    <w:rsid w:val="00184370"/>
    <w:rsid w:val="00184375"/>
    <w:rsid w:val="001843B2"/>
    <w:rsid w:val="001844BD"/>
    <w:rsid w:val="001845A0"/>
    <w:rsid w:val="001845AD"/>
    <w:rsid w:val="00184639"/>
    <w:rsid w:val="0018470E"/>
    <w:rsid w:val="00184778"/>
    <w:rsid w:val="0018485F"/>
    <w:rsid w:val="001848C0"/>
    <w:rsid w:val="001848C5"/>
    <w:rsid w:val="00184F0D"/>
    <w:rsid w:val="00184F4D"/>
    <w:rsid w:val="00184F73"/>
    <w:rsid w:val="00184FB3"/>
    <w:rsid w:val="0018501C"/>
    <w:rsid w:val="001850ED"/>
    <w:rsid w:val="00185119"/>
    <w:rsid w:val="0018516D"/>
    <w:rsid w:val="00185221"/>
    <w:rsid w:val="001852FA"/>
    <w:rsid w:val="001853EA"/>
    <w:rsid w:val="00185680"/>
    <w:rsid w:val="001857E7"/>
    <w:rsid w:val="001857FB"/>
    <w:rsid w:val="00185827"/>
    <w:rsid w:val="0018585F"/>
    <w:rsid w:val="00185876"/>
    <w:rsid w:val="0018588D"/>
    <w:rsid w:val="00185948"/>
    <w:rsid w:val="00185A60"/>
    <w:rsid w:val="00185AF0"/>
    <w:rsid w:val="00185B12"/>
    <w:rsid w:val="00185B95"/>
    <w:rsid w:val="00185D0C"/>
    <w:rsid w:val="00185D79"/>
    <w:rsid w:val="00185F6D"/>
    <w:rsid w:val="00186086"/>
    <w:rsid w:val="00186A37"/>
    <w:rsid w:val="00186AC2"/>
    <w:rsid w:val="00186B0D"/>
    <w:rsid w:val="00186E49"/>
    <w:rsid w:val="0018702E"/>
    <w:rsid w:val="00187163"/>
    <w:rsid w:val="001871E9"/>
    <w:rsid w:val="00187230"/>
    <w:rsid w:val="0018745F"/>
    <w:rsid w:val="00187534"/>
    <w:rsid w:val="0018754F"/>
    <w:rsid w:val="0018756C"/>
    <w:rsid w:val="00187575"/>
    <w:rsid w:val="001877CB"/>
    <w:rsid w:val="001878B5"/>
    <w:rsid w:val="00187984"/>
    <w:rsid w:val="001879BA"/>
    <w:rsid w:val="001879D0"/>
    <w:rsid w:val="001879F0"/>
    <w:rsid w:val="00187C04"/>
    <w:rsid w:val="00190205"/>
    <w:rsid w:val="0019021F"/>
    <w:rsid w:val="00190470"/>
    <w:rsid w:val="00190563"/>
    <w:rsid w:val="0019075B"/>
    <w:rsid w:val="001908CE"/>
    <w:rsid w:val="00190B18"/>
    <w:rsid w:val="00190B61"/>
    <w:rsid w:val="00190C16"/>
    <w:rsid w:val="00190C84"/>
    <w:rsid w:val="00190CC2"/>
    <w:rsid w:val="00190D93"/>
    <w:rsid w:val="00190DE5"/>
    <w:rsid w:val="00190E0F"/>
    <w:rsid w:val="00190EED"/>
    <w:rsid w:val="00190F58"/>
    <w:rsid w:val="001910EF"/>
    <w:rsid w:val="001911C6"/>
    <w:rsid w:val="0019166A"/>
    <w:rsid w:val="00191692"/>
    <w:rsid w:val="00191848"/>
    <w:rsid w:val="00191A2F"/>
    <w:rsid w:val="00191A45"/>
    <w:rsid w:val="00191C16"/>
    <w:rsid w:val="00191EF7"/>
    <w:rsid w:val="0019214D"/>
    <w:rsid w:val="0019238D"/>
    <w:rsid w:val="0019239E"/>
    <w:rsid w:val="00192623"/>
    <w:rsid w:val="0019297F"/>
    <w:rsid w:val="00192CF1"/>
    <w:rsid w:val="00192DC9"/>
    <w:rsid w:val="00192DCC"/>
    <w:rsid w:val="00193223"/>
    <w:rsid w:val="0019334E"/>
    <w:rsid w:val="00193375"/>
    <w:rsid w:val="0019338B"/>
    <w:rsid w:val="0019341D"/>
    <w:rsid w:val="0019375E"/>
    <w:rsid w:val="001937C2"/>
    <w:rsid w:val="00193978"/>
    <w:rsid w:val="001939DA"/>
    <w:rsid w:val="00193C2A"/>
    <w:rsid w:val="00193C37"/>
    <w:rsid w:val="00193D12"/>
    <w:rsid w:val="00193D5C"/>
    <w:rsid w:val="00193E21"/>
    <w:rsid w:val="001940CD"/>
    <w:rsid w:val="00194120"/>
    <w:rsid w:val="00194297"/>
    <w:rsid w:val="001942E8"/>
    <w:rsid w:val="00194444"/>
    <w:rsid w:val="0019474A"/>
    <w:rsid w:val="00194781"/>
    <w:rsid w:val="001949E5"/>
    <w:rsid w:val="00194A02"/>
    <w:rsid w:val="00194A69"/>
    <w:rsid w:val="00194B47"/>
    <w:rsid w:val="00194C15"/>
    <w:rsid w:val="00194C9D"/>
    <w:rsid w:val="00194D25"/>
    <w:rsid w:val="00194E24"/>
    <w:rsid w:val="00194EB2"/>
    <w:rsid w:val="001951B1"/>
    <w:rsid w:val="00195294"/>
    <w:rsid w:val="001952A5"/>
    <w:rsid w:val="001953B8"/>
    <w:rsid w:val="001953D3"/>
    <w:rsid w:val="00195406"/>
    <w:rsid w:val="0019548A"/>
    <w:rsid w:val="0019551D"/>
    <w:rsid w:val="001956F1"/>
    <w:rsid w:val="0019593B"/>
    <w:rsid w:val="0019593E"/>
    <w:rsid w:val="001959B2"/>
    <w:rsid w:val="00195D22"/>
    <w:rsid w:val="00196009"/>
    <w:rsid w:val="001960F2"/>
    <w:rsid w:val="00196185"/>
    <w:rsid w:val="001962D1"/>
    <w:rsid w:val="0019653C"/>
    <w:rsid w:val="0019661A"/>
    <w:rsid w:val="00196746"/>
    <w:rsid w:val="00196958"/>
    <w:rsid w:val="001969F6"/>
    <w:rsid w:val="00196A4C"/>
    <w:rsid w:val="00196A94"/>
    <w:rsid w:val="00196B0C"/>
    <w:rsid w:val="00196CCF"/>
    <w:rsid w:val="00196F8B"/>
    <w:rsid w:val="0019700F"/>
    <w:rsid w:val="00197060"/>
    <w:rsid w:val="00197152"/>
    <w:rsid w:val="00197164"/>
    <w:rsid w:val="001971B1"/>
    <w:rsid w:val="0019723A"/>
    <w:rsid w:val="001972A1"/>
    <w:rsid w:val="0019740C"/>
    <w:rsid w:val="00197601"/>
    <w:rsid w:val="001976E4"/>
    <w:rsid w:val="0019786D"/>
    <w:rsid w:val="00197A9C"/>
    <w:rsid w:val="00197E4A"/>
    <w:rsid w:val="001A03D0"/>
    <w:rsid w:val="001A06BB"/>
    <w:rsid w:val="001A07D0"/>
    <w:rsid w:val="001A07E7"/>
    <w:rsid w:val="001A0894"/>
    <w:rsid w:val="001A0CD3"/>
    <w:rsid w:val="001A0D94"/>
    <w:rsid w:val="001A1013"/>
    <w:rsid w:val="001A109D"/>
    <w:rsid w:val="001A1199"/>
    <w:rsid w:val="001A1300"/>
    <w:rsid w:val="001A1376"/>
    <w:rsid w:val="001A1648"/>
    <w:rsid w:val="001A17D7"/>
    <w:rsid w:val="001A1870"/>
    <w:rsid w:val="001A192B"/>
    <w:rsid w:val="001A19F5"/>
    <w:rsid w:val="001A1AF0"/>
    <w:rsid w:val="001A1AFC"/>
    <w:rsid w:val="001A1B84"/>
    <w:rsid w:val="001A1BBD"/>
    <w:rsid w:val="001A1BD2"/>
    <w:rsid w:val="001A1C1F"/>
    <w:rsid w:val="001A1C57"/>
    <w:rsid w:val="001A1DD8"/>
    <w:rsid w:val="001A1E26"/>
    <w:rsid w:val="001A1E9B"/>
    <w:rsid w:val="001A201F"/>
    <w:rsid w:val="001A203D"/>
    <w:rsid w:val="001A20B6"/>
    <w:rsid w:val="001A226D"/>
    <w:rsid w:val="001A230D"/>
    <w:rsid w:val="001A240F"/>
    <w:rsid w:val="001A2492"/>
    <w:rsid w:val="001A2630"/>
    <w:rsid w:val="001A27A7"/>
    <w:rsid w:val="001A287F"/>
    <w:rsid w:val="001A29D1"/>
    <w:rsid w:val="001A2CED"/>
    <w:rsid w:val="001A2D99"/>
    <w:rsid w:val="001A2E4E"/>
    <w:rsid w:val="001A2FDF"/>
    <w:rsid w:val="001A2FF4"/>
    <w:rsid w:val="001A32DA"/>
    <w:rsid w:val="001A33BC"/>
    <w:rsid w:val="001A3449"/>
    <w:rsid w:val="001A34D9"/>
    <w:rsid w:val="001A34E1"/>
    <w:rsid w:val="001A3577"/>
    <w:rsid w:val="001A3589"/>
    <w:rsid w:val="001A387F"/>
    <w:rsid w:val="001A3972"/>
    <w:rsid w:val="001A3ABA"/>
    <w:rsid w:val="001A3AF8"/>
    <w:rsid w:val="001A3D5E"/>
    <w:rsid w:val="001A3D5F"/>
    <w:rsid w:val="001A3DEB"/>
    <w:rsid w:val="001A403A"/>
    <w:rsid w:val="001A4165"/>
    <w:rsid w:val="001A432B"/>
    <w:rsid w:val="001A4411"/>
    <w:rsid w:val="001A44F1"/>
    <w:rsid w:val="001A4A1F"/>
    <w:rsid w:val="001A4C92"/>
    <w:rsid w:val="001A4E88"/>
    <w:rsid w:val="001A4F76"/>
    <w:rsid w:val="001A4F7B"/>
    <w:rsid w:val="001A51E2"/>
    <w:rsid w:val="001A55CD"/>
    <w:rsid w:val="001A5656"/>
    <w:rsid w:val="001A56E3"/>
    <w:rsid w:val="001A56EE"/>
    <w:rsid w:val="001A587E"/>
    <w:rsid w:val="001A5892"/>
    <w:rsid w:val="001A5995"/>
    <w:rsid w:val="001A59BD"/>
    <w:rsid w:val="001A5A11"/>
    <w:rsid w:val="001A5C68"/>
    <w:rsid w:val="001A5CC5"/>
    <w:rsid w:val="001A5D33"/>
    <w:rsid w:val="001A5E9B"/>
    <w:rsid w:val="001A5F1F"/>
    <w:rsid w:val="001A5FDA"/>
    <w:rsid w:val="001A63A4"/>
    <w:rsid w:val="001A6521"/>
    <w:rsid w:val="001A65A9"/>
    <w:rsid w:val="001A6659"/>
    <w:rsid w:val="001A6885"/>
    <w:rsid w:val="001A699F"/>
    <w:rsid w:val="001A6AB3"/>
    <w:rsid w:val="001A6C04"/>
    <w:rsid w:val="001A6C9C"/>
    <w:rsid w:val="001A6D91"/>
    <w:rsid w:val="001A6F2F"/>
    <w:rsid w:val="001A6F63"/>
    <w:rsid w:val="001A6F91"/>
    <w:rsid w:val="001A6FCC"/>
    <w:rsid w:val="001A716D"/>
    <w:rsid w:val="001A7269"/>
    <w:rsid w:val="001A767A"/>
    <w:rsid w:val="001A7A28"/>
    <w:rsid w:val="001A7C68"/>
    <w:rsid w:val="001B004E"/>
    <w:rsid w:val="001B02CF"/>
    <w:rsid w:val="001B0339"/>
    <w:rsid w:val="001B0600"/>
    <w:rsid w:val="001B0698"/>
    <w:rsid w:val="001B06C0"/>
    <w:rsid w:val="001B07B8"/>
    <w:rsid w:val="001B091E"/>
    <w:rsid w:val="001B0A79"/>
    <w:rsid w:val="001B0CD2"/>
    <w:rsid w:val="001B0D0B"/>
    <w:rsid w:val="001B0F4F"/>
    <w:rsid w:val="001B1068"/>
    <w:rsid w:val="001B1269"/>
    <w:rsid w:val="001B1322"/>
    <w:rsid w:val="001B1448"/>
    <w:rsid w:val="001B1475"/>
    <w:rsid w:val="001B1631"/>
    <w:rsid w:val="001B18B6"/>
    <w:rsid w:val="001B18F2"/>
    <w:rsid w:val="001B1A28"/>
    <w:rsid w:val="001B1B13"/>
    <w:rsid w:val="001B1EC4"/>
    <w:rsid w:val="001B1EEF"/>
    <w:rsid w:val="001B1FAD"/>
    <w:rsid w:val="001B2173"/>
    <w:rsid w:val="001B23EE"/>
    <w:rsid w:val="001B2535"/>
    <w:rsid w:val="001B2871"/>
    <w:rsid w:val="001B2A5E"/>
    <w:rsid w:val="001B2B0A"/>
    <w:rsid w:val="001B2BA7"/>
    <w:rsid w:val="001B2D7C"/>
    <w:rsid w:val="001B2F0C"/>
    <w:rsid w:val="001B300B"/>
    <w:rsid w:val="001B304B"/>
    <w:rsid w:val="001B32C9"/>
    <w:rsid w:val="001B3383"/>
    <w:rsid w:val="001B341B"/>
    <w:rsid w:val="001B348E"/>
    <w:rsid w:val="001B3564"/>
    <w:rsid w:val="001B35EB"/>
    <w:rsid w:val="001B3645"/>
    <w:rsid w:val="001B37FD"/>
    <w:rsid w:val="001B3915"/>
    <w:rsid w:val="001B3923"/>
    <w:rsid w:val="001B3A75"/>
    <w:rsid w:val="001B3C11"/>
    <w:rsid w:val="001B3C37"/>
    <w:rsid w:val="001B3D66"/>
    <w:rsid w:val="001B3DAD"/>
    <w:rsid w:val="001B3F7E"/>
    <w:rsid w:val="001B41BC"/>
    <w:rsid w:val="001B4241"/>
    <w:rsid w:val="001B457B"/>
    <w:rsid w:val="001B45A9"/>
    <w:rsid w:val="001B46AE"/>
    <w:rsid w:val="001B4744"/>
    <w:rsid w:val="001B49E5"/>
    <w:rsid w:val="001B4B63"/>
    <w:rsid w:val="001B4BE5"/>
    <w:rsid w:val="001B4BEB"/>
    <w:rsid w:val="001B4D03"/>
    <w:rsid w:val="001B4E73"/>
    <w:rsid w:val="001B4F0D"/>
    <w:rsid w:val="001B4FA5"/>
    <w:rsid w:val="001B5249"/>
    <w:rsid w:val="001B52AD"/>
    <w:rsid w:val="001B5308"/>
    <w:rsid w:val="001B54E9"/>
    <w:rsid w:val="001B55BF"/>
    <w:rsid w:val="001B5636"/>
    <w:rsid w:val="001B57C9"/>
    <w:rsid w:val="001B5808"/>
    <w:rsid w:val="001B595A"/>
    <w:rsid w:val="001B5A3B"/>
    <w:rsid w:val="001B5B40"/>
    <w:rsid w:val="001B5F39"/>
    <w:rsid w:val="001B6041"/>
    <w:rsid w:val="001B6321"/>
    <w:rsid w:val="001B632A"/>
    <w:rsid w:val="001B6347"/>
    <w:rsid w:val="001B6378"/>
    <w:rsid w:val="001B662D"/>
    <w:rsid w:val="001B678C"/>
    <w:rsid w:val="001B68C5"/>
    <w:rsid w:val="001B6B1F"/>
    <w:rsid w:val="001B6B25"/>
    <w:rsid w:val="001B6BD9"/>
    <w:rsid w:val="001B6C18"/>
    <w:rsid w:val="001B6D32"/>
    <w:rsid w:val="001B6F2E"/>
    <w:rsid w:val="001B6F6C"/>
    <w:rsid w:val="001B6FDE"/>
    <w:rsid w:val="001B703B"/>
    <w:rsid w:val="001B704C"/>
    <w:rsid w:val="001B70A1"/>
    <w:rsid w:val="001B7172"/>
    <w:rsid w:val="001B71DD"/>
    <w:rsid w:val="001B748A"/>
    <w:rsid w:val="001B749A"/>
    <w:rsid w:val="001B74D2"/>
    <w:rsid w:val="001B78E7"/>
    <w:rsid w:val="001B7B1A"/>
    <w:rsid w:val="001B7EDA"/>
    <w:rsid w:val="001B7FB0"/>
    <w:rsid w:val="001C0350"/>
    <w:rsid w:val="001C03B5"/>
    <w:rsid w:val="001C0540"/>
    <w:rsid w:val="001C05CD"/>
    <w:rsid w:val="001C0704"/>
    <w:rsid w:val="001C0AEB"/>
    <w:rsid w:val="001C0D66"/>
    <w:rsid w:val="001C0DA5"/>
    <w:rsid w:val="001C0DCE"/>
    <w:rsid w:val="001C1114"/>
    <w:rsid w:val="001C12DB"/>
    <w:rsid w:val="001C1530"/>
    <w:rsid w:val="001C1769"/>
    <w:rsid w:val="001C1883"/>
    <w:rsid w:val="001C1970"/>
    <w:rsid w:val="001C1979"/>
    <w:rsid w:val="001C19EB"/>
    <w:rsid w:val="001C1A34"/>
    <w:rsid w:val="001C1C9E"/>
    <w:rsid w:val="001C1D03"/>
    <w:rsid w:val="001C1FD6"/>
    <w:rsid w:val="001C21A4"/>
    <w:rsid w:val="001C2201"/>
    <w:rsid w:val="001C225B"/>
    <w:rsid w:val="001C2344"/>
    <w:rsid w:val="001C2840"/>
    <w:rsid w:val="001C2AE6"/>
    <w:rsid w:val="001C2B11"/>
    <w:rsid w:val="001C2C9F"/>
    <w:rsid w:val="001C2E5A"/>
    <w:rsid w:val="001C2F78"/>
    <w:rsid w:val="001C3310"/>
    <w:rsid w:val="001C359D"/>
    <w:rsid w:val="001C3669"/>
    <w:rsid w:val="001C3803"/>
    <w:rsid w:val="001C383C"/>
    <w:rsid w:val="001C38E0"/>
    <w:rsid w:val="001C3A37"/>
    <w:rsid w:val="001C3B58"/>
    <w:rsid w:val="001C3D1B"/>
    <w:rsid w:val="001C3D27"/>
    <w:rsid w:val="001C3D9E"/>
    <w:rsid w:val="001C3E37"/>
    <w:rsid w:val="001C406F"/>
    <w:rsid w:val="001C414F"/>
    <w:rsid w:val="001C4273"/>
    <w:rsid w:val="001C44BD"/>
    <w:rsid w:val="001C44BF"/>
    <w:rsid w:val="001C44C9"/>
    <w:rsid w:val="001C4592"/>
    <w:rsid w:val="001C45DD"/>
    <w:rsid w:val="001C467E"/>
    <w:rsid w:val="001C4722"/>
    <w:rsid w:val="001C4783"/>
    <w:rsid w:val="001C490D"/>
    <w:rsid w:val="001C4A49"/>
    <w:rsid w:val="001C4B38"/>
    <w:rsid w:val="001C4BFB"/>
    <w:rsid w:val="001C4D56"/>
    <w:rsid w:val="001C4D9F"/>
    <w:rsid w:val="001C4DB7"/>
    <w:rsid w:val="001C51B7"/>
    <w:rsid w:val="001C5679"/>
    <w:rsid w:val="001C56D9"/>
    <w:rsid w:val="001C56E1"/>
    <w:rsid w:val="001C5719"/>
    <w:rsid w:val="001C5740"/>
    <w:rsid w:val="001C5C1A"/>
    <w:rsid w:val="001C5C4F"/>
    <w:rsid w:val="001C5DAA"/>
    <w:rsid w:val="001C5DD4"/>
    <w:rsid w:val="001C5E4D"/>
    <w:rsid w:val="001C634F"/>
    <w:rsid w:val="001C65A3"/>
    <w:rsid w:val="001C66F0"/>
    <w:rsid w:val="001C6973"/>
    <w:rsid w:val="001C6BC8"/>
    <w:rsid w:val="001C6D4B"/>
    <w:rsid w:val="001C6E26"/>
    <w:rsid w:val="001C6E2C"/>
    <w:rsid w:val="001C70D8"/>
    <w:rsid w:val="001C71E2"/>
    <w:rsid w:val="001C732D"/>
    <w:rsid w:val="001C73A6"/>
    <w:rsid w:val="001C7475"/>
    <w:rsid w:val="001C7497"/>
    <w:rsid w:val="001C7683"/>
    <w:rsid w:val="001C77D6"/>
    <w:rsid w:val="001C782A"/>
    <w:rsid w:val="001C79C0"/>
    <w:rsid w:val="001C7A32"/>
    <w:rsid w:val="001C7AA0"/>
    <w:rsid w:val="001C7DA2"/>
    <w:rsid w:val="001C7ED0"/>
    <w:rsid w:val="001C7F4B"/>
    <w:rsid w:val="001D0022"/>
    <w:rsid w:val="001D008B"/>
    <w:rsid w:val="001D01B0"/>
    <w:rsid w:val="001D0378"/>
    <w:rsid w:val="001D0612"/>
    <w:rsid w:val="001D0708"/>
    <w:rsid w:val="001D0A42"/>
    <w:rsid w:val="001D0AB7"/>
    <w:rsid w:val="001D0AEA"/>
    <w:rsid w:val="001D0B14"/>
    <w:rsid w:val="001D0C11"/>
    <w:rsid w:val="001D0CBD"/>
    <w:rsid w:val="001D0F2B"/>
    <w:rsid w:val="001D0FD2"/>
    <w:rsid w:val="001D12A8"/>
    <w:rsid w:val="001D1364"/>
    <w:rsid w:val="001D15FB"/>
    <w:rsid w:val="001D1625"/>
    <w:rsid w:val="001D16B1"/>
    <w:rsid w:val="001D1758"/>
    <w:rsid w:val="001D176F"/>
    <w:rsid w:val="001D183E"/>
    <w:rsid w:val="001D19B7"/>
    <w:rsid w:val="001D1DCB"/>
    <w:rsid w:val="001D1E3A"/>
    <w:rsid w:val="001D1EFE"/>
    <w:rsid w:val="001D1F0B"/>
    <w:rsid w:val="001D1FC1"/>
    <w:rsid w:val="001D20AA"/>
    <w:rsid w:val="001D217F"/>
    <w:rsid w:val="001D220B"/>
    <w:rsid w:val="001D23AF"/>
    <w:rsid w:val="001D23BB"/>
    <w:rsid w:val="001D2569"/>
    <w:rsid w:val="001D2643"/>
    <w:rsid w:val="001D2784"/>
    <w:rsid w:val="001D29D4"/>
    <w:rsid w:val="001D29DC"/>
    <w:rsid w:val="001D2A6C"/>
    <w:rsid w:val="001D2B19"/>
    <w:rsid w:val="001D2C88"/>
    <w:rsid w:val="001D2CBE"/>
    <w:rsid w:val="001D2CFF"/>
    <w:rsid w:val="001D2E7D"/>
    <w:rsid w:val="001D2EDD"/>
    <w:rsid w:val="001D2F5B"/>
    <w:rsid w:val="001D310D"/>
    <w:rsid w:val="001D3129"/>
    <w:rsid w:val="001D3189"/>
    <w:rsid w:val="001D32A7"/>
    <w:rsid w:val="001D32EA"/>
    <w:rsid w:val="001D3396"/>
    <w:rsid w:val="001D3419"/>
    <w:rsid w:val="001D35DD"/>
    <w:rsid w:val="001D35E3"/>
    <w:rsid w:val="001D37B9"/>
    <w:rsid w:val="001D39C7"/>
    <w:rsid w:val="001D3B12"/>
    <w:rsid w:val="001D3C74"/>
    <w:rsid w:val="001D3DCB"/>
    <w:rsid w:val="001D3EC2"/>
    <w:rsid w:val="001D3F0D"/>
    <w:rsid w:val="001D41B0"/>
    <w:rsid w:val="001D4311"/>
    <w:rsid w:val="001D45DD"/>
    <w:rsid w:val="001D471C"/>
    <w:rsid w:val="001D4837"/>
    <w:rsid w:val="001D4868"/>
    <w:rsid w:val="001D4878"/>
    <w:rsid w:val="001D4958"/>
    <w:rsid w:val="001D49B7"/>
    <w:rsid w:val="001D4AE9"/>
    <w:rsid w:val="001D4B37"/>
    <w:rsid w:val="001D4B9D"/>
    <w:rsid w:val="001D4D8A"/>
    <w:rsid w:val="001D4EE1"/>
    <w:rsid w:val="001D4FA3"/>
    <w:rsid w:val="001D5038"/>
    <w:rsid w:val="001D50B8"/>
    <w:rsid w:val="001D515C"/>
    <w:rsid w:val="001D51B8"/>
    <w:rsid w:val="001D53D0"/>
    <w:rsid w:val="001D5424"/>
    <w:rsid w:val="001D55FE"/>
    <w:rsid w:val="001D5824"/>
    <w:rsid w:val="001D5983"/>
    <w:rsid w:val="001D59DB"/>
    <w:rsid w:val="001D5AB5"/>
    <w:rsid w:val="001D5DF1"/>
    <w:rsid w:val="001D6200"/>
    <w:rsid w:val="001D6202"/>
    <w:rsid w:val="001D6230"/>
    <w:rsid w:val="001D681A"/>
    <w:rsid w:val="001D6931"/>
    <w:rsid w:val="001D6932"/>
    <w:rsid w:val="001D69E6"/>
    <w:rsid w:val="001D6B00"/>
    <w:rsid w:val="001D6BBE"/>
    <w:rsid w:val="001D70C8"/>
    <w:rsid w:val="001D763B"/>
    <w:rsid w:val="001D7732"/>
    <w:rsid w:val="001D7842"/>
    <w:rsid w:val="001D79AD"/>
    <w:rsid w:val="001D7AED"/>
    <w:rsid w:val="001D7D0E"/>
    <w:rsid w:val="001D7D63"/>
    <w:rsid w:val="001D7E05"/>
    <w:rsid w:val="001D7E24"/>
    <w:rsid w:val="001D7F33"/>
    <w:rsid w:val="001E0041"/>
    <w:rsid w:val="001E03E0"/>
    <w:rsid w:val="001E0466"/>
    <w:rsid w:val="001E06C7"/>
    <w:rsid w:val="001E06C9"/>
    <w:rsid w:val="001E087D"/>
    <w:rsid w:val="001E08E2"/>
    <w:rsid w:val="001E0A92"/>
    <w:rsid w:val="001E0C89"/>
    <w:rsid w:val="001E0DC9"/>
    <w:rsid w:val="001E0DDE"/>
    <w:rsid w:val="001E0E8B"/>
    <w:rsid w:val="001E0ED2"/>
    <w:rsid w:val="001E0F15"/>
    <w:rsid w:val="001E1148"/>
    <w:rsid w:val="001E12DB"/>
    <w:rsid w:val="001E1449"/>
    <w:rsid w:val="001E151A"/>
    <w:rsid w:val="001E1872"/>
    <w:rsid w:val="001E1924"/>
    <w:rsid w:val="001E193F"/>
    <w:rsid w:val="001E1ADF"/>
    <w:rsid w:val="001E1EEF"/>
    <w:rsid w:val="001E227D"/>
    <w:rsid w:val="001E22C6"/>
    <w:rsid w:val="001E2381"/>
    <w:rsid w:val="001E2464"/>
    <w:rsid w:val="001E2485"/>
    <w:rsid w:val="001E279F"/>
    <w:rsid w:val="001E2896"/>
    <w:rsid w:val="001E28C5"/>
    <w:rsid w:val="001E293E"/>
    <w:rsid w:val="001E2B5B"/>
    <w:rsid w:val="001E2CF7"/>
    <w:rsid w:val="001E2D3B"/>
    <w:rsid w:val="001E2FB8"/>
    <w:rsid w:val="001E3026"/>
    <w:rsid w:val="001E314C"/>
    <w:rsid w:val="001E32D3"/>
    <w:rsid w:val="001E3359"/>
    <w:rsid w:val="001E3519"/>
    <w:rsid w:val="001E35E9"/>
    <w:rsid w:val="001E35F1"/>
    <w:rsid w:val="001E37C9"/>
    <w:rsid w:val="001E3875"/>
    <w:rsid w:val="001E38F9"/>
    <w:rsid w:val="001E3954"/>
    <w:rsid w:val="001E3A0E"/>
    <w:rsid w:val="001E3E1B"/>
    <w:rsid w:val="001E3F9D"/>
    <w:rsid w:val="001E3FCE"/>
    <w:rsid w:val="001E42A5"/>
    <w:rsid w:val="001E4314"/>
    <w:rsid w:val="001E43A6"/>
    <w:rsid w:val="001E44B1"/>
    <w:rsid w:val="001E4681"/>
    <w:rsid w:val="001E49B1"/>
    <w:rsid w:val="001E49E2"/>
    <w:rsid w:val="001E4A76"/>
    <w:rsid w:val="001E4AC6"/>
    <w:rsid w:val="001E4DDD"/>
    <w:rsid w:val="001E5212"/>
    <w:rsid w:val="001E5279"/>
    <w:rsid w:val="001E54AB"/>
    <w:rsid w:val="001E54D9"/>
    <w:rsid w:val="001E56BE"/>
    <w:rsid w:val="001E5ACE"/>
    <w:rsid w:val="001E5CB5"/>
    <w:rsid w:val="001E5E3A"/>
    <w:rsid w:val="001E5E8B"/>
    <w:rsid w:val="001E608D"/>
    <w:rsid w:val="001E6150"/>
    <w:rsid w:val="001E615D"/>
    <w:rsid w:val="001E627E"/>
    <w:rsid w:val="001E63B1"/>
    <w:rsid w:val="001E655C"/>
    <w:rsid w:val="001E6602"/>
    <w:rsid w:val="001E6644"/>
    <w:rsid w:val="001E6AF8"/>
    <w:rsid w:val="001E6B57"/>
    <w:rsid w:val="001E6C56"/>
    <w:rsid w:val="001E7038"/>
    <w:rsid w:val="001E71B1"/>
    <w:rsid w:val="001E71DE"/>
    <w:rsid w:val="001E7469"/>
    <w:rsid w:val="001E74D4"/>
    <w:rsid w:val="001E756B"/>
    <w:rsid w:val="001E7670"/>
    <w:rsid w:val="001E770E"/>
    <w:rsid w:val="001E77A7"/>
    <w:rsid w:val="001E78A0"/>
    <w:rsid w:val="001E7A80"/>
    <w:rsid w:val="001E7ABD"/>
    <w:rsid w:val="001E7C79"/>
    <w:rsid w:val="001E7D21"/>
    <w:rsid w:val="001E7DFF"/>
    <w:rsid w:val="001E7EF8"/>
    <w:rsid w:val="001F00A6"/>
    <w:rsid w:val="001F027B"/>
    <w:rsid w:val="001F0636"/>
    <w:rsid w:val="001F075F"/>
    <w:rsid w:val="001F0980"/>
    <w:rsid w:val="001F0998"/>
    <w:rsid w:val="001F0A55"/>
    <w:rsid w:val="001F0A97"/>
    <w:rsid w:val="001F0B0F"/>
    <w:rsid w:val="001F0B72"/>
    <w:rsid w:val="001F0BE5"/>
    <w:rsid w:val="001F0C77"/>
    <w:rsid w:val="001F0CC0"/>
    <w:rsid w:val="001F0CDB"/>
    <w:rsid w:val="001F0DDE"/>
    <w:rsid w:val="001F0E00"/>
    <w:rsid w:val="001F11AA"/>
    <w:rsid w:val="001F12BF"/>
    <w:rsid w:val="001F12F4"/>
    <w:rsid w:val="001F139B"/>
    <w:rsid w:val="001F14AA"/>
    <w:rsid w:val="001F14C2"/>
    <w:rsid w:val="001F173E"/>
    <w:rsid w:val="001F180E"/>
    <w:rsid w:val="001F18E4"/>
    <w:rsid w:val="001F18F1"/>
    <w:rsid w:val="001F192E"/>
    <w:rsid w:val="001F19C8"/>
    <w:rsid w:val="001F1E71"/>
    <w:rsid w:val="001F1F54"/>
    <w:rsid w:val="001F202C"/>
    <w:rsid w:val="001F226E"/>
    <w:rsid w:val="001F24DC"/>
    <w:rsid w:val="001F2586"/>
    <w:rsid w:val="001F25F3"/>
    <w:rsid w:val="001F2611"/>
    <w:rsid w:val="001F2727"/>
    <w:rsid w:val="001F27F4"/>
    <w:rsid w:val="001F28CB"/>
    <w:rsid w:val="001F29AF"/>
    <w:rsid w:val="001F29BA"/>
    <w:rsid w:val="001F2A12"/>
    <w:rsid w:val="001F2BCB"/>
    <w:rsid w:val="001F2C0C"/>
    <w:rsid w:val="001F2CC6"/>
    <w:rsid w:val="001F2E56"/>
    <w:rsid w:val="001F2E82"/>
    <w:rsid w:val="001F2EBB"/>
    <w:rsid w:val="001F2FD9"/>
    <w:rsid w:val="001F3241"/>
    <w:rsid w:val="001F3275"/>
    <w:rsid w:val="001F3307"/>
    <w:rsid w:val="001F33BF"/>
    <w:rsid w:val="001F3474"/>
    <w:rsid w:val="001F35E4"/>
    <w:rsid w:val="001F3839"/>
    <w:rsid w:val="001F39A9"/>
    <w:rsid w:val="001F39DB"/>
    <w:rsid w:val="001F3A4C"/>
    <w:rsid w:val="001F3CB2"/>
    <w:rsid w:val="001F3EF6"/>
    <w:rsid w:val="001F4013"/>
    <w:rsid w:val="001F43CC"/>
    <w:rsid w:val="001F44C1"/>
    <w:rsid w:val="001F46CB"/>
    <w:rsid w:val="001F4802"/>
    <w:rsid w:val="001F4854"/>
    <w:rsid w:val="001F4B3E"/>
    <w:rsid w:val="001F4BF2"/>
    <w:rsid w:val="001F4D13"/>
    <w:rsid w:val="001F4F03"/>
    <w:rsid w:val="001F4FAE"/>
    <w:rsid w:val="001F5049"/>
    <w:rsid w:val="001F514A"/>
    <w:rsid w:val="001F51D3"/>
    <w:rsid w:val="001F522B"/>
    <w:rsid w:val="001F5346"/>
    <w:rsid w:val="001F536F"/>
    <w:rsid w:val="001F5468"/>
    <w:rsid w:val="001F54AA"/>
    <w:rsid w:val="001F5711"/>
    <w:rsid w:val="001F5791"/>
    <w:rsid w:val="001F594C"/>
    <w:rsid w:val="001F59C7"/>
    <w:rsid w:val="001F5B13"/>
    <w:rsid w:val="001F5E10"/>
    <w:rsid w:val="001F5E91"/>
    <w:rsid w:val="001F5EE1"/>
    <w:rsid w:val="001F5F2C"/>
    <w:rsid w:val="001F5FEC"/>
    <w:rsid w:val="001F605F"/>
    <w:rsid w:val="001F61EE"/>
    <w:rsid w:val="001F6398"/>
    <w:rsid w:val="001F6888"/>
    <w:rsid w:val="001F6C78"/>
    <w:rsid w:val="001F6D33"/>
    <w:rsid w:val="001F6D72"/>
    <w:rsid w:val="001F6F41"/>
    <w:rsid w:val="001F7168"/>
    <w:rsid w:val="001F72A9"/>
    <w:rsid w:val="001F737C"/>
    <w:rsid w:val="001F74AA"/>
    <w:rsid w:val="001F74B0"/>
    <w:rsid w:val="001F74D9"/>
    <w:rsid w:val="001F762A"/>
    <w:rsid w:val="001F7748"/>
    <w:rsid w:val="001F788C"/>
    <w:rsid w:val="001F7BA5"/>
    <w:rsid w:val="001F7CDF"/>
    <w:rsid w:val="001F7D24"/>
    <w:rsid w:val="001F7E11"/>
    <w:rsid w:val="001F7F5D"/>
    <w:rsid w:val="001F7FC1"/>
    <w:rsid w:val="00200179"/>
    <w:rsid w:val="00200321"/>
    <w:rsid w:val="00200554"/>
    <w:rsid w:val="0020056C"/>
    <w:rsid w:val="002005C4"/>
    <w:rsid w:val="0020086B"/>
    <w:rsid w:val="00200899"/>
    <w:rsid w:val="00200B18"/>
    <w:rsid w:val="00200BBE"/>
    <w:rsid w:val="00200BCC"/>
    <w:rsid w:val="00200ED1"/>
    <w:rsid w:val="00201210"/>
    <w:rsid w:val="00201533"/>
    <w:rsid w:val="00201760"/>
    <w:rsid w:val="00201B41"/>
    <w:rsid w:val="00201CB2"/>
    <w:rsid w:val="00201F6D"/>
    <w:rsid w:val="0020206D"/>
    <w:rsid w:val="002021C0"/>
    <w:rsid w:val="00202230"/>
    <w:rsid w:val="00202355"/>
    <w:rsid w:val="00202883"/>
    <w:rsid w:val="002028BB"/>
    <w:rsid w:val="00202984"/>
    <w:rsid w:val="00202A3B"/>
    <w:rsid w:val="00202C34"/>
    <w:rsid w:val="00202C6D"/>
    <w:rsid w:val="00202D51"/>
    <w:rsid w:val="00202D75"/>
    <w:rsid w:val="00202EF9"/>
    <w:rsid w:val="00202FC3"/>
    <w:rsid w:val="0020327F"/>
    <w:rsid w:val="002032AB"/>
    <w:rsid w:val="00203450"/>
    <w:rsid w:val="00203722"/>
    <w:rsid w:val="002037CD"/>
    <w:rsid w:val="002038AF"/>
    <w:rsid w:val="002038E3"/>
    <w:rsid w:val="00203B07"/>
    <w:rsid w:val="00203C4E"/>
    <w:rsid w:val="00203CF4"/>
    <w:rsid w:val="00203D33"/>
    <w:rsid w:val="00203DFE"/>
    <w:rsid w:val="00203E74"/>
    <w:rsid w:val="00203F62"/>
    <w:rsid w:val="00203FFE"/>
    <w:rsid w:val="0020434D"/>
    <w:rsid w:val="00204522"/>
    <w:rsid w:val="00204639"/>
    <w:rsid w:val="002046D6"/>
    <w:rsid w:val="0020475F"/>
    <w:rsid w:val="002047FF"/>
    <w:rsid w:val="002049AF"/>
    <w:rsid w:val="00204BFA"/>
    <w:rsid w:val="00205371"/>
    <w:rsid w:val="002054B3"/>
    <w:rsid w:val="002055CA"/>
    <w:rsid w:val="002058C3"/>
    <w:rsid w:val="002058F0"/>
    <w:rsid w:val="00205A9F"/>
    <w:rsid w:val="00205B89"/>
    <w:rsid w:val="00205BCE"/>
    <w:rsid w:val="00205BE6"/>
    <w:rsid w:val="00205E69"/>
    <w:rsid w:val="00205F20"/>
    <w:rsid w:val="0020604E"/>
    <w:rsid w:val="002061CD"/>
    <w:rsid w:val="00206365"/>
    <w:rsid w:val="002064AB"/>
    <w:rsid w:val="002064E1"/>
    <w:rsid w:val="0020653C"/>
    <w:rsid w:val="002065EF"/>
    <w:rsid w:val="00206912"/>
    <w:rsid w:val="00206A17"/>
    <w:rsid w:val="00206A52"/>
    <w:rsid w:val="00206A6C"/>
    <w:rsid w:val="00206B39"/>
    <w:rsid w:val="00206CD2"/>
    <w:rsid w:val="00206D0C"/>
    <w:rsid w:val="00206DFA"/>
    <w:rsid w:val="00206F35"/>
    <w:rsid w:val="00206F90"/>
    <w:rsid w:val="00206F98"/>
    <w:rsid w:val="002070B3"/>
    <w:rsid w:val="002073DE"/>
    <w:rsid w:val="00207479"/>
    <w:rsid w:val="002078A2"/>
    <w:rsid w:val="0020793A"/>
    <w:rsid w:val="00207968"/>
    <w:rsid w:val="00207AD7"/>
    <w:rsid w:val="00207D3B"/>
    <w:rsid w:val="00207DEB"/>
    <w:rsid w:val="00207F69"/>
    <w:rsid w:val="002102F1"/>
    <w:rsid w:val="00210351"/>
    <w:rsid w:val="0021044A"/>
    <w:rsid w:val="002106C3"/>
    <w:rsid w:val="002106EA"/>
    <w:rsid w:val="002107B9"/>
    <w:rsid w:val="00210A7F"/>
    <w:rsid w:val="00210B4C"/>
    <w:rsid w:val="00210EAF"/>
    <w:rsid w:val="002110E2"/>
    <w:rsid w:val="00211361"/>
    <w:rsid w:val="00211444"/>
    <w:rsid w:val="00211481"/>
    <w:rsid w:val="00211572"/>
    <w:rsid w:val="0021169A"/>
    <w:rsid w:val="00211815"/>
    <w:rsid w:val="00211AF2"/>
    <w:rsid w:val="00211BBB"/>
    <w:rsid w:val="00211C18"/>
    <w:rsid w:val="00211C7A"/>
    <w:rsid w:val="00211CE1"/>
    <w:rsid w:val="00211D4B"/>
    <w:rsid w:val="00211D8D"/>
    <w:rsid w:val="00211E25"/>
    <w:rsid w:val="0021209F"/>
    <w:rsid w:val="002120EF"/>
    <w:rsid w:val="00212425"/>
    <w:rsid w:val="002127CF"/>
    <w:rsid w:val="00212802"/>
    <w:rsid w:val="002128B1"/>
    <w:rsid w:val="0021290F"/>
    <w:rsid w:val="00212AD2"/>
    <w:rsid w:val="00212B6A"/>
    <w:rsid w:val="00212B8B"/>
    <w:rsid w:val="00212C1F"/>
    <w:rsid w:val="002130AD"/>
    <w:rsid w:val="002130B6"/>
    <w:rsid w:val="00213191"/>
    <w:rsid w:val="002132B6"/>
    <w:rsid w:val="00213455"/>
    <w:rsid w:val="0021351F"/>
    <w:rsid w:val="0021353A"/>
    <w:rsid w:val="002138EB"/>
    <w:rsid w:val="002139CA"/>
    <w:rsid w:val="00213A7F"/>
    <w:rsid w:val="00213C96"/>
    <w:rsid w:val="00213E13"/>
    <w:rsid w:val="00213F26"/>
    <w:rsid w:val="00214061"/>
    <w:rsid w:val="00214488"/>
    <w:rsid w:val="002146C7"/>
    <w:rsid w:val="0021476B"/>
    <w:rsid w:val="0021491F"/>
    <w:rsid w:val="002149FE"/>
    <w:rsid w:val="00214A42"/>
    <w:rsid w:val="00214AA2"/>
    <w:rsid w:val="00214B3D"/>
    <w:rsid w:val="00214C96"/>
    <w:rsid w:val="00214E0D"/>
    <w:rsid w:val="00214FFD"/>
    <w:rsid w:val="0021500C"/>
    <w:rsid w:val="002150EF"/>
    <w:rsid w:val="0021533C"/>
    <w:rsid w:val="00215710"/>
    <w:rsid w:val="002157C9"/>
    <w:rsid w:val="00215811"/>
    <w:rsid w:val="002158F9"/>
    <w:rsid w:val="00215A9E"/>
    <w:rsid w:val="00215B49"/>
    <w:rsid w:val="00215C71"/>
    <w:rsid w:val="00215C78"/>
    <w:rsid w:val="00215CE7"/>
    <w:rsid w:val="00215D11"/>
    <w:rsid w:val="00216021"/>
    <w:rsid w:val="00216194"/>
    <w:rsid w:val="00216282"/>
    <w:rsid w:val="00216358"/>
    <w:rsid w:val="002166D2"/>
    <w:rsid w:val="0021677D"/>
    <w:rsid w:val="002168A5"/>
    <w:rsid w:val="00216A3B"/>
    <w:rsid w:val="00216C6B"/>
    <w:rsid w:val="00216F0F"/>
    <w:rsid w:val="00216F89"/>
    <w:rsid w:val="002172A4"/>
    <w:rsid w:val="00217554"/>
    <w:rsid w:val="002176DD"/>
    <w:rsid w:val="002176E5"/>
    <w:rsid w:val="002177F7"/>
    <w:rsid w:val="00217938"/>
    <w:rsid w:val="00217A68"/>
    <w:rsid w:val="00217A74"/>
    <w:rsid w:val="00217AAA"/>
    <w:rsid w:val="00217D49"/>
    <w:rsid w:val="00217D8D"/>
    <w:rsid w:val="00220071"/>
    <w:rsid w:val="00220097"/>
    <w:rsid w:val="002201C1"/>
    <w:rsid w:val="0022024E"/>
    <w:rsid w:val="00220448"/>
    <w:rsid w:val="002204B4"/>
    <w:rsid w:val="002208A5"/>
    <w:rsid w:val="002208C8"/>
    <w:rsid w:val="002208DD"/>
    <w:rsid w:val="002208EC"/>
    <w:rsid w:val="002209F0"/>
    <w:rsid w:val="00220A70"/>
    <w:rsid w:val="00220B0A"/>
    <w:rsid w:val="00220BA6"/>
    <w:rsid w:val="00220BD5"/>
    <w:rsid w:val="00220CC1"/>
    <w:rsid w:val="00221026"/>
    <w:rsid w:val="002212BC"/>
    <w:rsid w:val="00221411"/>
    <w:rsid w:val="00221681"/>
    <w:rsid w:val="00221696"/>
    <w:rsid w:val="00221801"/>
    <w:rsid w:val="00221A29"/>
    <w:rsid w:val="00221B59"/>
    <w:rsid w:val="00221C36"/>
    <w:rsid w:val="00221DC3"/>
    <w:rsid w:val="00221DE6"/>
    <w:rsid w:val="00221F3A"/>
    <w:rsid w:val="002221A3"/>
    <w:rsid w:val="00222413"/>
    <w:rsid w:val="002224C9"/>
    <w:rsid w:val="00222553"/>
    <w:rsid w:val="00222623"/>
    <w:rsid w:val="002226BF"/>
    <w:rsid w:val="002226D8"/>
    <w:rsid w:val="00222718"/>
    <w:rsid w:val="002229B7"/>
    <w:rsid w:val="002229DB"/>
    <w:rsid w:val="00222A35"/>
    <w:rsid w:val="00222BFB"/>
    <w:rsid w:val="00222DC0"/>
    <w:rsid w:val="00222F00"/>
    <w:rsid w:val="00223052"/>
    <w:rsid w:val="00223171"/>
    <w:rsid w:val="0022321B"/>
    <w:rsid w:val="002233F0"/>
    <w:rsid w:val="0022345D"/>
    <w:rsid w:val="00223654"/>
    <w:rsid w:val="00223711"/>
    <w:rsid w:val="00223732"/>
    <w:rsid w:val="00223D48"/>
    <w:rsid w:val="00223EF7"/>
    <w:rsid w:val="00224056"/>
    <w:rsid w:val="002240F4"/>
    <w:rsid w:val="00224374"/>
    <w:rsid w:val="002247AA"/>
    <w:rsid w:val="00224935"/>
    <w:rsid w:val="00224A3C"/>
    <w:rsid w:val="00224B75"/>
    <w:rsid w:val="00224CED"/>
    <w:rsid w:val="00224D39"/>
    <w:rsid w:val="00224D9B"/>
    <w:rsid w:val="00224DA8"/>
    <w:rsid w:val="00224E3E"/>
    <w:rsid w:val="002250B9"/>
    <w:rsid w:val="0022514F"/>
    <w:rsid w:val="002251D5"/>
    <w:rsid w:val="002253F4"/>
    <w:rsid w:val="002255A6"/>
    <w:rsid w:val="002256CE"/>
    <w:rsid w:val="00225724"/>
    <w:rsid w:val="002257DE"/>
    <w:rsid w:val="0022585F"/>
    <w:rsid w:val="00225892"/>
    <w:rsid w:val="00225939"/>
    <w:rsid w:val="002259AA"/>
    <w:rsid w:val="00225AB6"/>
    <w:rsid w:val="00225BB0"/>
    <w:rsid w:val="00225E21"/>
    <w:rsid w:val="00225E35"/>
    <w:rsid w:val="00225FBC"/>
    <w:rsid w:val="002260DF"/>
    <w:rsid w:val="0022615A"/>
    <w:rsid w:val="002262F5"/>
    <w:rsid w:val="00226429"/>
    <w:rsid w:val="00226480"/>
    <w:rsid w:val="00226511"/>
    <w:rsid w:val="00226684"/>
    <w:rsid w:val="00226846"/>
    <w:rsid w:val="0022685E"/>
    <w:rsid w:val="00226873"/>
    <w:rsid w:val="00226935"/>
    <w:rsid w:val="00226994"/>
    <w:rsid w:val="002269DA"/>
    <w:rsid w:val="00226A05"/>
    <w:rsid w:val="00226A35"/>
    <w:rsid w:val="00226B26"/>
    <w:rsid w:val="00226BFC"/>
    <w:rsid w:val="00226C98"/>
    <w:rsid w:val="00226D9D"/>
    <w:rsid w:val="00226DBD"/>
    <w:rsid w:val="00226DCF"/>
    <w:rsid w:val="00226E03"/>
    <w:rsid w:val="00227000"/>
    <w:rsid w:val="0022708D"/>
    <w:rsid w:val="002270E9"/>
    <w:rsid w:val="002272A8"/>
    <w:rsid w:val="00227400"/>
    <w:rsid w:val="002274A4"/>
    <w:rsid w:val="00227879"/>
    <w:rsid w:val="00227B54"/>
    <w:rsid w:val="00227C61"/>
    <w:rsid w:val="00227CEB"/>
    <w:rsid w:val="00227CF8"/>
    <w:rsid w:val="00227F15"/>
    <w:rsid w:val="00230143"/>
    <w:rsid w:val="00230168"/>
    <w:rsid w:val="00230266"/>
    <w:rsid w:val="002304C3"/>
    <w:rsid w:val="002305D2"/>
    <w:rsid w:val="00230744"/>
    <w:rsid w:val="002307E1"/>
    <w:rsid w:val="00230835"/>
    <w:rsid w:val="00230915"/>
    <w:rsid w:val="00230976"/>
    <w:rsid w:val="00230AB0"/>
    <w:rsid w:val="00230B0C"/>
    <w:rsid w:val="00230DD5"/>
    <w:rsid w:val="00230EB3"/>
    <w:rsid w:val="00230FCD"/>
    <w:rsid w:val="0023142B"/>
    <w:rsid w:val="00231589"/>
    <w:rsid w:val="00231728"/>
    <w:rsid w:val="002317A8"/>
    <w:rsid w:val="00231974"/>
    <w:rsid w:val="002319B1"/>
    <w:rsid w:val="00231B17"/>
    <w:rsid w:val="00231BAD"/>
    <w:rsid w:val="00231D83"/>
    <w:rsid w:val="00231ED2"/>
    <w:rsid w:val="002321DC"/>
    <w:rsid w:val="0023259E"/>
    <w:rsid w:val="00232794"/>
    <w:rsid w:val="0023289E"/>
    <w:rsid w:val="00232979"/>
    <w:rsid w:val="00232A41"/>
    <w:rsid w:val="00232D1D"/>
    <w:rsid w:val="00232D8B"/>
    <w:rsid w:val="00232E44"/>
    <w:rsid w:val="00232EEC"/>
    <w:rsid w:val="00233020"/>
    <w:rsid w:val="002330CA"/>
    <w:rsid w:val="002330DB"/>
    <w:rsid w:val="00233196"/>
    <w:rsid w:val="002332CE"/>
    <w:rsid w:val="002332F1"/>
    <w:rsid w:val="00233304"/>
    <w:rsid w:val="00233425"/>
    <w:rsid w:val="00233436"/>
    <w:rsid w:val="00233457"/>
    <w:rsid w:val="00233666"/>
    <w:rsid w:val="00233679"/>
    <w:rsid w:val="002336FC"/>
    <w:rsid w:val="002337F5"/>
    <w:rsid w:val="002338AC"/>
    <w:rsid w:val="00233969"/>
    <w:rsid w:val="00233BE0"/>
    <w:rsid w:val="00233DDF"/>
    <w:rsid w:val="00233F05"/>
    <w:rsid w:val="00233FC9"/>
    <w:rsid w:val="0023409D"/>
    <w:rsid w:val="002340B4"/>
    <w:rsid w:val="00234102"/>
    <w:rsid w:val="0023417A"/>
    <w:rsid w:val="0023441A"/>
    <w:rsid w:val="002346C5"/>
    <w:rsid w:val="002347D6"/>
    <w:rsid w:val="002347DC"/>
    <w:rsid w:val="00234804"/>
    <w:rsid w:val="00234930"/>
    <w:rsid w:val="00234A0D"/>
    <w:rsid w:val="00234BA5"/>
    <w:rsid w:val="00235199"/>
    <w:rsid w:val="00235229"/>
    <w:rsid w:val="00235533"/>
    <w:rsid w:val="0023577E"/>
    <w:rsid w:val="00235865"/>
    <w:rsid w:val="002358A6"/>
    <w:rsid w:val="00235B3A"/>
    <w:rsid w:val="00235B64"/>
    <w:rsid w:val="00235C93"/>
    <w:rsid w:val="00235FDD"/>
    <w:rsid w:val="002360A7"/>
    <w:rsid w:val="00236216"/>
    <w:rsid w:val="00236271"/>
    <w:rsid w:val="002363D1"/>
    <w:rsid w:val="002364B4"/>
    <w:rsid w:val="00236924"/>
    <w:rsid w:val="00236AB7"/>
    <w:rsid w:val="00236CD9"/>
    <w:rsid w:val="00237089"/>
    <w:rsid w:val="00237301"/>
    <w:rsid w:val="00237325"/>
    <w:rsid w:val="00237492"/>
    <w:rsid w:val="0023754B"/>
    <w:rsid w:val="002375D7"/>
    <w:rsid w:val="002376DD"/>
    <w:rsid w:val="00237735"/>
    <w:rsid w:val="00237A9D"/>
    <w:rsid w:val="00237CAD"/>
    <w:rsid w:val="00237D1D"/>
    <w:rsid w:val="00237D74"/>
    <w:rsid w:val="00237FCB"/>
    <w:rsid w:val="0024000C"/>
    <w:rsid w:val="0024006B"/>
    <w:rsid w:val="002400BE"/>
    <w:rsid w:val="00240135"/>
    <w:rsid w:val="002402C0"/>
    <w:rsid w:val="00240499"/>
    <w:rsid w:val="0024058F"/>
    <w:rsid w:val="002406D0"/>
    <w:rsid w:val="00240A25"/>
    <w:rsid w:val="00240C3F"/>
    <w:rsid w:val="00240CE6"/>
    <w:rsid w:val="00240D2A"/>
    <w:rsid w:val="00241091"/>
    <w:rsid w:val="002410C4"/>
    <w:rsid w:val="00241352"/>
    <w:rsid w:val="002414CB"/>
    <w:rsid w:val="002418A0"/>
    <w:rsid w:val="002418AB"/>
    <w:rsid w:val="00241A47"/>
    <w:rsid w:val="00241D31"/>
    <w:rsid w:val="00241D40"/>
    <w:rsid w:val="00241EFD"/>
    <w:rsid w:val="00242186"/>
    <w:rsid w:val="0024232A"/>
    <w:rsid w:val="00242467"/>
    <w:rsid w:val="002424A5"/>
    <w:rsid w:val="002426C7"/>
    <w:rsid w:val="00242910"/>
    <w:rsid w:val="00242925"/>
    <w:rsid w:val="00242A3E"/>
    <w:rsid w:val="00242AC1"/>
    <w:rsid w:val="00242B29"/>
    <w:rsid w:val="00242B2D"/>
    <w:rsid w:val="00242CB8"/>
    <w:rsid w:val="00242DAB"/>
    <w:rsid w:val="00242F59"/>
    <w:rsid w:val="00242FAB"/>
    <w:rsid w:val="00242FCE"/>
    <w:rsid w:val="0024329D"/>
    <w:rsid w:val="00243357"/>
    <w:rsid w:val="00243425"/>
    <w:rsid w:val="00243426"/>
    <w:rsid w:val="00243438"/>
    <w:rsid w:val="00243616"/>
    <w:rsid w:val="00243630"/>
    <w:rsid w:val="002436EB"/>
    <w:rsid w:val="002437FD"/>
    <w:rsid w:val="00243B76"/>
    <w:rsid w:val="0024401D"/>
    <w:rsid w:val="002440B5"/>
    <w:rsid w:val="0024419C"/>
    <w:rsid w:val="002442B8"/>
    <w:rsid w:val="002444B0"/>
    <w:rsid w:val="002445EA"/>
    <w:rsid w:val="00244710"/>
    <w:rsid w:val="00244A15"/>
    <w:rsid w:val="00244AAA"/>
    <w:rsid w:val="00244BED"/>
    <w:rsid w:val="00244C90"/>
    <w:rsid w:val="00244CCE"/>
    <w:rsid w:val="00244EE8"/>
    <w:rsid w:val="00244F3E"/>
    <w:rsid w:val="002451A5"/>
    <w:rsid w:val="002454CB"/>
    <w:rsid w:val="00245597"/>
    <w:rsid w:val="002459E0"/>
    <w:rsid w:val="00245ABE"/>
    <w:rsid w:val="00245AE3"/>
    <w:rsid w:val="00245AFD"/>
    <w:rsid w:val="00245BDA"/>
    <w:rsid w:val="00245F8C"/>
    <w:rsid w:val="00246087"/>
    <w:rsid w:val="0024617E"/>
    <w:rsid w:val="00246251"/>
    <w:rsid w:val="00246335"/>
    <w:rsid w:val="0024636A"/>
    <w:rsid w:val="00246415"/>
    <w:rsid w:val="00246469"/>
    <w:rsid w:val="002464D6"/>
    <w:rsid w:val="0024654D"/>
    <w:rsid w:val="002465E1"/>
    <w:rsid w:val="00246606"/>
    <w:rsid w:val="00246630"/>
    <w:rsid w:val="00246698"/>
    <w:rsid w:val="0024695E"/>
    <w:rsid w:val="0024697A"/>
    <w:rsid w:val="00246A9B"/>
    <w:rsid w:val="00246C34"/>
    <w:rsid w:val="00246D45"/>
    <w:rsid w:val="00246DCA"/>
    <w:rsid w:val="00246EAB"/>
    <w:rsid w:val="00246F49"/>
    <w:rsid w:val="00246F70"/>
    <w:rsid w:val="0024740F"/>
    <w:rsid w:val="00247643"/>
    <w:rsid w:val="002477CA"/>
    <w:rsid w:val="00247800"/>
    <w:rsid w:val="0024781B"/>
    <w:rsid w:val="0024784F"/>
    <w:rsid w:val="00247A3B"/>
    <w:rsid w:val="00247A77"/>
    <w:rsid w:val="00247BE1"/>
    <w:rsid w:val="00247C6D"/>
    <w:rsid w:val="00247CE6"/>
    <w:rsid w:val="00247CE7"/>
    <w:rsid w:val="00247E44"/>
    <w:rsid w:val="00247EF2"/>
    <w:rsid w:val="00247F1D"/>
    <w:rsid w:val="00247FAE"/>
    <w:rsid w:val="00250035"/>
    <w:rsid w:val="00250097"/>
    <w:rsid w:val="00250382"/>
    <w:rsid w:val="002503A7"/>
    <w:rsid w:val="002506C9"/>
    <w:rsid w:val="00250A5E"/>
    <w:rsid w:val="00250B0F"/>
    <w:rsid w:val="00250BC2"/>
    <w:rsid w:val="00250D0B"/>
    <w:rsid w:val="00251227"/>
    <w:rsid w:val="00251235"/>
    <w:rsid w:val="00251303"/>
    <w:rsid w:val="0025134A"/>
    <w:rsid w:val="00251923"/>
    <w:rsid w:val="00251A34"/>
    <w:rsid w:val="00251D0F"/>
    <w:rsid w:val="00251D7A"/>
    <w:rsid w:val="00251E1C"/>
    <w:rsid w:val="00251E2C"/>
    <w:rsid w:val="00251E53"/>
    <w:rsid w:val="00251EA1"/>
    <w:rsid w:val="00251F3D"/>
    <w:rsid w:val="0025210D"/>
    <w:rsid w:val="0025220D"/>
    <w:rsid w:val="00252373"/>
    <w:rsid w:val="0025263A"/>
    <w:rsid w:val="002526ED"/>
    <w:rsid w:val="00252720"/>
    <w:rsid w:val="00252722"/>
    <w:rsid w:val="00252D9B"/>
    <w:rsid w:val="00252DAD"/>
    <w:rsid w:val="002530B7"/>
    <w:rsid w:val="002531CE"/>
    <w:rsid w:val="00253430"/>
    <w:rsid w:val="00253455"/>
    <w:rsid w:val="00253648"/>
    <w:rsid w:val="002536F3"/>
    <w:rsid w:val="00253947"/>
    <w:rsid w:val="002539CB"/>
    <w:rsid w:val="00253BAA"/>
    <w:rsid w:val="00253C0A"/>
    <w:rsid w:val="00253C74"/>
    <w:rsid w:val="00253C88"/>
    <w:rsid w:val="00253C94"/>
    <w:rsid w:val="00253CFD"/>
    <w:rsid w:val="00253D33"/>
    <w:rsid w:val="00253E1E"/>
    <w:rsid w:val="00254009"/>
    <w:rsid w:val="0025424A"/>
    <w:rsid w:val="00254467"/>
    <w:rsid w:val="00254475"/>
    <w:rsid w:val="00254513"/>
    <w:rsid w:val="0025477F"/>
    <w:rsid w:val="00254788"/>
    <w:rsid w:val="00254838"/>
    <w:rsid w:val="0025483F"/>
    <w:rsid w:val="0025496E"/>
    <w:rsid w:val="00254B33"/>
    <w:rsid w:val="00254CE0"/>
    <w:rsid w:val="00254E42"/>
    <w:rsid w:val="00254E86"/>
    <w:rsid w:val="00254E92"/>
    <w:rsid w:val="00254EC2"/>
    <w:rsid w:val="00254F12"/>
    <w:rsid w:val="00254FA1"/>
    <w:rsid w:val="0025518E"/>
    <w:rsid w:val="002551B9"/>
    <w:rsid w:val="002556D4"/>
    <w:rsid w:val="002559F9"/>
    <w:rsid w:val="00255A03"/>
    <w:rsid w:val="00255D28"/>
    <w:rsid w:val="00255FFA"/>
    <w:rsid w:val="002560D5"/>
    <w:rsid w:val="00256164"/>
    <w:rsid w:val="002562B6"/>
    <w:rsid w:val="002563D2"/>
    <w:rsid w:val="002566E3"/>
    <w:rsid w:val="00256850"/>
    <w:rsid w:val="00256A22"/>
    <w:rsid w:val="00256CDD"/>
    <w:rsid w:val="00256FB1"/>
    <w:rsid w:val="00256FF2"/>
    <w:rsid w:val="00257367"/>
    <w:rsid w:val="00257640"/>
    <w:rsid w:val="00257E88"/>
    <w:rsid w:val="00257EA3"/>
    <w:rsid w:val="00257F86"/>
    <w:rsid w:val="00260235"/>
    <w:rsid w:val="00260480"/>
    <w:rsid w:val="00260641"/>
    <w:rsid w:val="002607F0"/>
    <w:rsid w:val="00260816"/>
    <w:rsid w:val="0026086B"/>
    <w:rsid w:val="002609B0"/>
    <w:rsid w:val="002609D0"/>
    <w:rsid w:val="00260AB2"/>
    <w:rsid w:val="00260BB8"/>
    <w:rsid w:val="00260BFC"/>
    <w:rsid w:val="00260CF1"/>
    <w:rsid w:val="00260D0E"/>
    <w:rsid w:val="00260EE0"/>
    <w:rsid w:val="00260FFA"/>
    <w:rsid w:val="00261148"/>
    <w:rsid w:val="0026121E"/>
    <w:rsid w:val="0026145E"/>
    <w:rsid w:val="002614D7"/>
    <w:rsid w:val="0026153D"/>
    <w:rsid w:val="002616C1"/>
    <w:rsid w:val="00261880"/>
    <w:rsid w:val="00261904"/>
    <w:rsid w:val="002619EF"/>
    <w:rsid w:val="00261AF0"/>
    <w:rsid w:val="00261B48"/>
    <w:rsid w:val="00261D05"/>
    <w:rsid w:val="00261DF1"/>
    <w:rsid w:val="00261FD6"/>
    <w:rsid w:val="00262293"/>
    <w:rsid w:val="00262614"/>
    <w:rsid w:val="00262803"/>
    <w:rsid w:val="00262BB4"/>
    <w:rsid w:val="00262BED"/>
    <w:rsid w:val="00262D0B"/>
    <w:rsid w:val="00262D6F"/>
    <w:rsid w:val="00262E75"/>
    <w:rsid w:val="00262EAF"/>
    <w:rsid w:val="00263153"/>
    <w:rsid w:val="00263435"/>
    <w:rsid w:val="00263618"/>
    <w:rsid w:val="00263AE4"/>
    <w:rsid w:val="00263D83"/>
    <w:rsid w:val="00263DDD"/>
    <w:rsid w:val="00263E39"/>
    <w:rsid w:val="00263EC9"/>
    <w:rsid w:val="00263ED4"/>
    <w:rsid w:val="00263F0F"/>
    <w:rsid w:val="00263F31"/>
    <w:rsid w:val="0026400E"/>
    <w:rsid w:val="002641B4"/>
    <w:rsid w:val="0026429A"/>
    <w:rsid w:val="002643EC"/>
    <w:rsid w:val="002644AE"/>
    <w:rsid w:val="002644DA"/>
    <w:rsid w:val="002645F1"/>
    <w:rsid w:val="00264627"/>
    <w:rsid w:val="0026465E"/>
    <w:rsid w:val="00264687"/>
    <w:rsid w:val="002647C8"/>
    <w:rsid w:val="00264A47"/>
    <w:rsid w:val="00264C69"/>
    <w:rsid w:val="00264C98"/>
    <w:rsid w:val="00264CB6"/>
    <w:rsid w:val="00264E76"/>
    <w:rsid w:val="00264E80"/>
    <w:rsid w:val="00264F02"/>
    <w:rsid w:val="002650C4"/>
    <w:rsid w:val="00265265"/>
    <w:rsid w:val="00265528"/>
    <w:rsid w:val="00265929"/>
    <w:rsid w:val="002659F8"/>
    <w:rsid w:val="00265A46"/>
    <w:rsid w:val="00265AC7"/>
    <w:rsid w:val="00265C19"/>
    <w:rsid w:val="00265CE7"/>
    <w:rsid w:val="00265DC1"/>
    <w:rsid w:val="00265E44"/>
    <w:rsid w:val="00265F14"/>
    <w:rsid w:val="00265FD5"/>
    <w:rsid w:val="00266450"/>
    <w:rsid w:val="002666BD"/>
    <w:rsid w:val="002666DE"/>
    <w:rsid w:val="00266817"/>
    <w:rsid w:val="002668B5"/>
    <w:rsid w:val="002669C8"/>
    <w:rsid w:val="00266AEF"/>
    <w:rsid w:val="00266CC2"/>
    <w:rsid w:val="00266D1B"/>
    <w:rsid w:val="00266F1D"/>
    <w:rsid w:val="00266FF5"/>
    <w:rsid w:val="0026706F"/>
    <w:rsid w:val="002670C6"/>
    <w:rsid w:val="00267165"/>
    <w:rsid w:val="00267169"/>
    <w:rsid w:val="0026724B"/>
    <w:rsid w:val="00267301"/>
    <w:rsid w:val="00267353"/>
    <w:rsid w:val="002673BD"/>
    <w:rsid w:val="00267415"/>
    <w:rsid w:val="0026744C"/>
    <w:rsid w:val="00267481"/>
    <w:rsid w:val="0026751F"/>
    <w:rsid w:val="002675B5"/>
    <w:rsid w:val="00267805"/>
    <w:rsid w:val="00267885"/>
    <w:rsid w:val="00267946"/>
    <w:rsid w:val="002679C0"/>
    <w:rsid w:val="002679DA"/>
    <w:rsid w:val="00267BF5"/>
    <w:rsid w:val="00267E2A"/>
    <w:rsid w:val="00267E35"/>
    <w:rsid w:val="00267E40"/>
    <w:rsid w:val="00267EE2"/>
    <w:rsid w:val="00267F93"/>
    <w:rsid w:val="00267FBC"/>
    <w:rsid w:val="00270141"/>
    <w:rsid w:val="00270163"/>
    <w:rsid w:val="00270272"/>
    <w:rsid w:val="0027042A"/>
    <w:rsid w:val="002704F5"/>
    <w:rsid w:val="00270524"/>
    <w:rsid w:val="00270570"/>
    <w:rsid w:val="0027058B"/>
    <w:rsid w:val="002705C6"/>
    <w:rsid w:val="00270792"/>
    <w:rsid w:val="00270804"/>
    <w:rsid w:val="0027089B"/>
    <w:rsid w:val="00270FFD"/>
    <w:rsid w:val="00271018"/>
    <w:rsid w:val="00271502"/>
    <w:rsid w:val="00271544"/>
    <w:rsid w:val="00271A80"/>
    <w:rsid w:val="00271AE1"/>
    <w:rsid w:val="00271AE7"/>
    <w:rsid w:val="00271B13"/>
    <w:rsid w:val="00271C23"/>
    <w:rsid w:val="00271FA3"/>
    <w:rsid w:val="0027210F"/>
    <w:rsid w:val="0027213A"/>
    <w:rsid w:val="00272141"/>
    <w:rsid w:val="00272206"/>
    <w:rsid w:val="0027226D"/>
    <w:rsid w:val="002722CD"/>
    <w:rsid w:val="002722E8"/>
    <w:rsid w:val="00272314"/>
    <w:rsid w:val="0027235B"/>
    <w:rsid w:val="00272471"/>
    <w:rsid w:val="0027255A"/>
    <w:rsid w:val="002725AB"/>
    <w:rsid w:val="002725F0"/>
    <w:rsid w:val="002727B9"/>
    <w:rsid w:val="0027282F"/>
    <w:rsid w:val="0027291F"/>
    <w:rsid w:val="00272AE1"/>
    <w:rsid w:val="00272D4C"/>
    <w:rsid w:val="002730D7"/>
    <w:rsid w:val="002732B8"/>
    <w:rsid w:val="00273629"/>
    <w:rsid w:val="0027366F"/>
    <w:rsid w:val="002736A6"/>
    <w:rsid w:val="002736DF"/>
    <w:rsid w:val="00273804"/>
    <w:rsid w:val="0027395F"/>
    <w:rsid w:val="00273A4E"/>
    <w:rsid w:val="00273AA3"/>
    <w:rsid w:val="00273AD6"/>
    <w:rsid w:val="00273CDE"/>
    <w:rsid w:val="00273D1A"/>
    <w:rsid w:val="00273DF1"/>
    <w:rsid w:val="00273E76"/>
    <w:rsid w:val="00273EF9"/>
    <w:rsid w:val="00273F01"/>
    <w:rsid w:val="00273F15"/>
    <w:rsid w:val="002740E6"/>
    <w:rsid w:val="0027418C"/>
    <w:rsid w:val="002741BA"/>
    <w:rsid w:val="00274618"/>
    <w:rsid w:val="00274719"/>
    <w:rsid w:val="002747D9"/>
    <w:rsid w:val="002748AF"/>
    <w:rsid w:val="00274AEE"/>
    <w:rsid w:val="00274E16"/>
    <w:rsid w:val="00274F9E"/>
    <w:rsid w:val="00275192"/>
    <w:rsid w:val="00275683"/>
    <w:rsid w:val="0027568A"/>
    <w:rsid w:val="002759AB"/>
    <w:rsid w:val="00275C5C"/>
    <w:rsid w:val="00275D32"/>
    <w:rsid w:val="00275D47"/>
    <w:rsid w:val="00275E3F"/>
    <w:rsid w:val="00275FA3"/>
    <w:rsid w:val="002761E1"/>
    <w:rsid w:val="00276372"/>
    <w:rsid w:val="00276413"/>
    <w:rsid w:val="00276562"/>
    <w:rsid w:val="00276696"/>
    <w:rsid w:val="0027673F"/>
    <w:rsid w:val="0027679D"/>
    <w:rsid w:val="00276833"/>
    <w:rsid w:val="00276972"/>
    <w:rsid w:val="00276975"/>
    <w:rsid w:val="00276A34"/>
    <w:rsid w:val="00276B32"/>
    <w:rsid w:val="00276E69"/>
    <w:rsid w:val="0027728B"/>
    <w:rsid w:val="002773DB"/>
    <w:rsid w:val="00277447"/>
    <w:rsid w:val="00277624"/>
    <w:rsid w:val="00277668"/>
    <w:rsid w:val="002777AF"/>
    <w:rsid w:val="002777E0"/>
    <w:rsid w:val="002777FC"/>
    <w:rsid w:val="00277D64"/>
    <w:rsid w:val="0028017B"/>
    <w:rsid w:val="002802D0"/>
    <w:rsid w:val="002802E9"/>
    <w:rsid w:val="002804D9"/>
    <w:rsid w:val="002807B9"/>
    <w:rsid w:val="002808C4"/>
    <w:rsid w:val="002809F9"/>
    <w:rsid w:val="00280B57"/>
    <w:rsid w:val="00280BA8"/>
    <w:rsid w:val="00280BBE"/>
    <w:rsid w:val="00280CEA"/>
    <w:rsid w:val="00280D5F"/>
    <w:rsid w:val="00280F73"/>
    <w:rsid w:val="00280FB6"/>
    <w:rsid w:val="00281174"/>
    <w:rsid w:val="0028150B"/>
    <w:rsid w:val="0028154C"/>
    <w:rsid w:val="00281564"/>
    <w:rsid w:val="002816A2"/>
    <w:rsid w:val="0028173F"/>
    <w:rsid w:val="0028176E"/>
    <w:rsid w:val="00281788"/>
    <w:rsid w:val="00281A99"/>
    <w:rsid w:val="00281DE4"/>
    <w:rsid w:val="00282027"/>
    <w:rsid w:val="002820B2"/>
    <w:rsid w:val="0028220B"/>
    <w:rsid w:val="00282277"/>
    <w:rsid w:val="002823E5"/>
    <w:rsid w:val="00282473"/>
    <w:rsid w:val="002827AD"/>
    <w:rsid w:val="00282931"/>
    <w:rsid w:val="00282C34"/>
    <w:rsid w:val="00282C9E"/>
    <w:rsid w:val="00282DA0"/>
    <w:rsid w:val="00282DDD"/>
    <w:rsid w:val="00282ED4"/>
    <w:rsid w:val="00282F62"/>
    <w:rsid w:val="00282F69"/>
    <w:rsid w:val="00283029"/>
    <w:rsid w:val="00283149"/>
    <w:rsid w:val="0028337A"/>
    <w:rsid w:val="00283508"/>
    <w:rsid w:val="002835E6"/>
    <w:rsid w:val="002835ED"/>
    <w:rsid w:val="00283636"/>
    <w:rsid w:val="00283659"/>
    <w:rsid w:val="002838D7"/>
    <w:rsid w:val="0028398A"/>
    <w:rsid w:val="00283A08"/>
    <w:rsid w:val="00283AA4"/>
    <w:rsid w:val="00283D22"/>
    <w:rsid w:val="00283E24"/>
    <w:rsid w:val="00283F49"/>
    <w:rsid w:val="00283F59"/>
    <w:rsid w:val="00284117"/>
    <w:rsid w:val="002842C3"/>
    <w:rsid w:val="002843BC"/>
    <w:rsid w:val="00284647"/>
    <w:rsid w:val="00284916"/>
    <w:rsid w:val="00284A04"/>
    <w:rsid w:val="00284A52"/>
    <w:rsid w:val="00284A74"/>
    <w:rsid w:val="00284E03"/>
    <w:rsid w:val="0028507E"/>
    <w:rsid w:val="002851A7"/>
    <w:rsid w:val="0028536D"/>
    <w:rsid w:val="00285580"/>
    <w:rsid w:val="002858B1"/>
    <w:rsid w:val="002858B9"/>
    <w:rsid w:val="00285904"/>
    <w:rsid w:val="00285B4A"/>
    <w:rsid w:val="00285E9A"/>
    <w:rsid w:val="00285F27"/>
    <w:rsid w:val="002861F8"/>
    <w:rsid w:val="002864AF"/>
    <w:rsid w:val="00286552"/>
    <w:rsid w:val="0028685E"/>
    <w:rsid w:val="00286CC1"/>
    <w:rsid w:val="00286F83"/>
    <w:rsid w:val="00287072"/>
    <w:rsid w:val="002870B7"/>
    <w:rsid w:val="00287196"/>
    <w:rsid w:val="002871ED"/>
    <w:rsid w:val="00287207"/>
    <w:rsid w:val="00287228"/>
    <w:rsid w:val="00287425"/>
    <w:rsid w:val="00287AD7"/>
    <w:rsid w:val="00287D28"/>
    <w:rsid w:val="00287D66"/>
    <w:rsid w:val="00287EBB"/>
    <w:rsid w:val="00287EBC"/>
    <w:rsid w:val="00287F3F"/>
    <w:rsid w:val="00290200"/>
    <w:rsid w:val="00290256"/>
    <w:rsid w:val="00290318"/>
    <w:rsid w:val="00290399"/>
    <w:rsid w:val="0029047A"/>
    <w:rsid w:val="002908A0"/>
    <w:rsid w:val="00290AD3"/>
    <w:rsid w:val="00290C7D"/>
    <w:rsid w:val="00290CB3"/>
    <w:rsid w:val="00290E6B"/>
    <w:rsid w:val="00290F1C"/>
    <w:rsid w:val="00290F80"/>
    <w:rsid w:val="002911AD"/>
    <w:rsid w:val="002912EE"/>
    <w:rsid w:val="0029137D"/>
    <w:rsid w:val="002913A9"/>
    <w:rsid w:val="00291690"/>
    <w:rsid w:val="002916A4"/>
    <w:rsid w:val="002916E8"/>
    <w:rsid w:val="00291780"/>
    <w:rsid w:val="00291857"/>
    <w:rsid w:val="0029191D"/>
    <w:rsid w:val="00291AE9"/>
    <w:rsid w:val="00291B3C"/>
    <w:rsid w:val="00291C83"/>
    <w:rsid w:val="00291CF2"/>
    <w:rsid w:val="00291E1A"/>
    <w:rsid w:val="00291ED5"/>
    <w:rsid w:val="00291F97"/>
    <w:rsid w:val="00291FE4"/>
    <w:rsid w:val="002920A9"/>
    <w:rsid w:val="00292272"/>
    <w:rsid w:val="002923CE"/>
    <w:rsid w:val="0029266F"/>
    <w:rsid w:val="00292708"/>
    <w:rsid w:val="00292825"/>
    <w:rsid w:val="00292A22"/>
    <w:rsid w:val="00292DD5"/>
    <w:rsid w:val="00292FFE"/>
    <w:rsid w:val="0029320F"/>
    <w:rsid w:val="0029328C"/>
    <w:rsid w:val="002936DD"/>
    <w:rsid w:val="002937AE"/>
    <w:rsid w:val="002938B5"/>
    <w:rsid w:val="00293B76"/>
    <w:rsid w:val="00294054"/>
    <w:rsid w:val="00294088"/>
    <w:rsid w:val="002941B3"/>
    <w:rsid w:val="002941E2"/>
    <w:rsid w:val="0029433B"/>
    <w:rsid w:val="002943D2"/>
    <w:rsid w:val="0029464E"/>
    <w:rsid w:val="002946CA"/>
    <w:rsid w:val="00294A81"/>
    <w:rsid w:val="00294B27"/>
    <w:rsid w:val="00294DCC"/>
    <w:rsid w:val="00294FC5"/>
    <w:rsid w:val="00295138"/>
    <w:rsid w:val="0029519D"/>
    <w:rsid w:val="002951CA"/>
    <w:rsid w:val="00295203"/>
    <w:rsid w:val="0029532E"/>
    <w:rsid w:val="0029535F"/>
    <w:rsid w:val="002954E8"/>
    <w:rsid w:val="0029572E"/>
    <w:rsid w:val="0029575B"/>
    <w:rsid w:val="00295955"/>
    <w:rsid w:val="00295B1A"/>
    <w:rsid w:val="00295C8F"/>
    <w:rsid w:val="00295EF8"/>
    <w:rsid w:val="00295FD0"/>
    <w:rsid w:val="002962B9"/>
    <w:rsid w:val="00296355"/>
    <w:rsid w:val="002965D7"/>
    <w:rsid w:val="002966B2"/>
    <w:rsid w:val="00296788"/>
    <w:rsid w:val="002967E8"/>
    <w:rsid w:val="00296B88"/>
    <w:rsid w:val="00296D4B"/>
    <w:rsid w:val="00296D5B"/>
    <w:rsid w:val="00296D84"/>
    <w:rsid w:val="00296DC0"/>
    <w:rsid w:val="00296E69"/>
    <w:rsid w:val="00297135"/>
    <w:rsid w:val="0029713D"/>
    <w:rsid w:val="002972C4"/>
    <w:rsid w:val="0029730C"/>
    <w:rsid w:val="00297494"/>
    <w:rsid w:val="0029751A"/>
    <w:rsid w:val="00297670"/>
    <w:rsid w:val="0029782F"/>
    <w:rsid w:val="00297958"/>
    <w:rsid w:val="00297CF9"/>
    <w:rsid w:val="00297DB7"/>
    <w:rsid w:val="00297E87"/>
    <w:rsid w:val="002A00E1"/>
    <w:rsid w:val="002A071A"/>
    <w:rsid w:val="002A096B"/>
    <w:rsid w:val="002A0B1A"/>
    <w:rsid w:val="002A0BDC"/>
    <w:rsid w:val="002A0CAB"/>
    <w:rsid w:val="002A0E0B"/>
    <w:rsid w:val="002A1062"/>
    <w:rsid w:val="002A11E7"/>
    <w:rsid w:val="002A1378"/>
    <w:rsid w:val="002A140B"/>
    <w:rsid w:val="002A15A1"/>
    <w:rsid w:val="002A1607"/>
    <w:rsid w:val="002A16D6"/>
    <w:rsid w:val="002A1751"/>
    <w:rsid w:val="002A17F7"/>
    <w:rsid w:val="002A1838"/>
    <w:rsid w:val="002A1984"/>
    <w:rsid w:val="002A19CF"/>
    <w:rsid w:val="002A1A0B"/>
    <w:rsid w:val="002A1A1A"/>
    <w:rsid w:val="002A1B4E"/>
    <w:rsid w:val="002A1B68"/>
    <w:rsid w:val="002A1BB0"/>
    <w:rsid w:val="002A1BED"/>
    <w:rsid w:val="002A1C18"/>
    <w:rsid w:val="002A1C4D"/>
    <w:rsid w:val="002A1F88"/>
    <w:rsid w:val="002A1FF5"/>
    <w:rsid w:val="002A2143"/>
    <w:rsid w:val="002A2174"/>
    <w:rsid w:val="002A2342"/>
    <w:rsid w:val="002A23C7"/>
    <w:rsid w:val="002A2454"/>
    <w:rsid w:val="002A2764"/>
    <w:rsid w:val="002A27BA"/>
    <w:rsid w:val="002A282B"/>
    <w:rsid w:val="002A2838"/>
    <w:rsid w:val="002A2D21"/>
    <w:rsid w:val="002A2DC2"/>
    <w:rsid w:val="002A2F11"/>
    <w:rsid w:val="002A34BD"/>
    <w:rsid w:val="002A3643"/>
    <w:rsid w:val="002A3672"/>
    <w:rsid w:val="002A36E6"/>
    <w:rsid w:val="002A3747"/>
    <w:rsid w:val="002A3A0E"/>
    <w:rsid w:val="002A3A47"/>
    <w:rsid w:val="002A3A65"/>
    <w:rsid w:val="002A3B1A"/>
    <w:rsid w:val="002A3C3F"/>
    <w:rsid w:val="002A3D05"/>
    <w:rsid w:val="002A3E13"/>
    <w:rsid w:val="002A3E55"/>
    <w:rsid w:val="002A3F0F"/>
    <w:rsid w:val="002A41B0"/>
    <w:rsid w:val="002A425B"/>
    <w:rsid w:val="002A4440"/>
    <w:rsid w:val="002A470E"/>
    <w:rsid w:val="002A47D5"/>
    <w:rsid w:val="002A480F"/>
    <w:rsid w:val="002A48C2"/>
    <w:rsid w:val="002A499B"/>
    <w:rsid w:val="002A4B21"/>
    <w:rsid w:val="002A4D0E"/>
    <w:rsid w:val="002A4F9C"/>
    <w:rsid w:val="002A4FD4"/>
    <w:rsid w:val="002A52BF"/>
    <w:rsid w:val="002A52C4"/>
    <w:rsid w:val="002A52F6"/>
    <w:rsid w:val="002A575D"/>
    <w:rsid w:val="002A579A"/>
    <w:rsid w:val="002A5824"/>
    <w:rsid w:val="002A5921"/>
    <w:rsid w:val="002A5C1D"/>
    <w:rsid w:val="002A5C3C"/>
    <w:rsid w:val="002A5C47"/>
    <w:rsid w:val="002A5E28"/>
    <w:rsid w:val="002A6099"/>
    <w:rsid w:val="002A61E0"/>
    <w:rsid w:val="002A6336"/>
    <w:rsid w:val="002A63B2"/>
    <w:rsid w:val="002A644B"/>
    <w:rsid w:val="002A65A4"/>
    <w:rsid w:val="002A65FD"/>
    <w:rsid w:val="002A6A7D"/>
    <w:rsid w:val="002A6AD4"/>
    <w:rsid w:val="002A6D59"/>
    <w:rsid w:val="002A711E"/>
    <w:rsid w:val="002A72D8"/>
    <w:rsid w:val="002A733C"/>
    <w:rsid w:val="002A7745"/>
    <w:rsid w:val="002A777C"/>
    <w:rsid w:val="002A77E5"/>
    <w:rsid w:val="002A78D3"/>
    <w:rsid w:val="002A792B"/>
    <w:rsid w:val="002A7B54"/>
    <w:rsid w:val="002A7D0D"/>
    <w:rsid w:val="002A7EFC"/>
    <w:rsid w:val="002A7FBD"/>
    <w:rsid w:val="002B04F1"/>
    <w:rsid w:val="002B0601"/>
    <w:rsid w:val="002B0710"/>
    <w:rsid w:val="002B0864"/>
    <w:rsid w:val="002B0B48"/>
    <w:rsid w:val="002B0CEA"/>
    <w:rsid w:val="002B0D36"/>
    <w:rsid w:val="002B0E2C"/>
    <w:rsid w:val="002B108D"/>
    <w:rsid w:val="002B10DB"/>
    <w:rsid w:val="002B133C"/>
    <w:rsid w:val="002B148B"/>
    <w:rsid w:val="002B1597"/>
    <w:rsid w:val="002B17D0"/>
    <w:rsid w:val="002B19B8"/>
    <w:rsid w:val="002B1C5F"/>
    <w:rsid w:val="002B1CE0"/>
    <w:rsid w:val="002B1E5F"/>
    <w:rsid w:val="002B1ED3"/>
    <w:rsid w:val="002B22E7"/>
    <w:rsid w:val="002B2448"/>
    <w:rsid w:val="002B27EE"/>
    <w:rsid w:val="002B2AA7"/>
    <w:rsid w:val="002B2AE8"/>
    <w:rsid w:val="002B2B09"/>
    <w:rsid w:val="002B2D13"/>
    <w:rsid w:val="002B2EAA"/>
    <w:rsid w:val="002B2EF3"/>
    <w:rsid w:val="002B3707"/>
    <w:rsid w:val="002B39A7"/>
    <w:rsid w:val="002B3C20"/>
    <w:rsid w:val="002B3D9B"/>
    <w:rsid w:val="002B3E81"/>
    <w:rsid w:val="002B3F29"/>
    <w:rsid w:val="002B4047"/>
    <w:rsid w:val="002B4051"/>
    <w:rsid w:val="002B429D"/>
    <w:rsid w:val="002B46A3"/>
    <w:rsid w:val="002B46DA"/>
    <w:rsid w:val="002B471A"/>
    <w:rsid w:val="002B4CF4"/>
    <w:rsid w:val="002B4CF8"/>
    <w:rsid w:val="002B4D67"/>
    <w:rsid w:val="002B51A6"/>
    <w:rsid w:val="002B52E2"/>
    <w:rsid w:val="002B5372"/>
    <w:rsid w:val="002B546A"/>
    <w:rsid w:val="002B54DB"/>
    <w:rsid w:val="002B56CA"/>
    <w:rsid w:val="002B572B"/>
    <w:rsid w:val="002B57B5"/>
    <w:rsid w:val="002B5856"/>
    <w:rsid w:val="002B598A"/>
    <w:rsid w:val="002B5996"/>
    <w:rsid w:val="002B59CE"/>
    <w:rsid w:val="002B59FE"/>
    <w:rsid w:val="002B5AA6"/>
    <w:rsid w:val="002B5B73"/>
    <w:rsid w:val="002B5C90"/>
    <w:rsid w:val="002B5D13"/>
    <w:rsid w:val="002B5D3A"/>
    <w:rsid w:val="002B5F0F"/>
    <w:rsid w:val="002B5FBA"/>
    <w:rsid w:val="002B60EB"/>
    <w:rsid w:val="002B615A"/>
    <w:rsid w:val="002B6406"/>
    <w:rsid w:val="002B64A8"/>
    <w:rsid w:val="002B65BE"/>
    <w:rsid w:val="002B66A3"/>
    <w:rsid w:val="002B69A4"/>
    <w:rsid w:val="002B6BCD"/>
    <w:rsid w:val="002B6EF5"/>
    <w:rsid w:val="002B6F66"/>
    <w:rsid w:val="002B713E"/>
    <w:rsid w:val="002B73E1"/>
    <w:rsid w:val="002B7A2D"/>
    <w:rsid w:val="002B7BEA"/>
    <w:rsid w:val="002B7C1C"/>
    <w:rsid w:val="002B7D82"/>
    <w:rsid w:val="002B7EFA"/>
    <w:rsid w:val="002B7F50"/>
    <w:rsid w:val="002B7FC4"/>
    <w:rsid w:val="002B7FCB"/>
    <w:rsid w:val="002C02EA"/>
    <w:rsid w:val="002C05E5"/>
    <w:rsid w:val="002C05FB"/>
    <w:rsid w:val="002C06EB"/>
    <w:rsid w:val="002C0706"/>
    <w:rsid w:val="002C0968"/>
    <w:rsid w:val="002C0C6A"/>
    <w:rsid w:val="002C0DBC"/>
    <w:rsid w:val="002C0DFB"/>
    <w:rsid w:val="002C0F8D"/>
    <w:rsid w:val="002C0FA0"/>
    <w:rsid w:val="002C1044"/>
    <w:rsid w:val="002C10C4"/>
    <w:rsid w:val="002C10F9"/>
    <w:rsid w:val="002C1116"/>
    <w:rsid w:val="002C1233"/>
    <w:rsid w:val="002C12F1"/>
    <w:rsid w:val="002C1459"/>
    <w:rsid w:val="002C1510"/>
    <w:rsid w:val="002C1645"/>
    <w:rsid w:val="002C16FE"/>
    <w:rsid w:val="002C17C5"/>
    <w:rsid w:val="002C1A81"/>
    <w:rsid w:val="002C1C78"/>
    <w:rsid w:val="002C1D78"/>
    <w:rsid w:val="002C1F53"/>
    <w:rsid w:val="002C1FFE"/>
    <w:rsid w:val="002C2153"/>
    <w:rsid w:val="002C22CC"/>
    <w:rsid w:val="002C22D6"/>
    <w:rsid w:val="002C22FF"/>
    <w:rsid w:val="002C2476"/>
    <w:rsid w:val="002C24F8"/>
    <w:rsid w:val="002C25C6"/>
    <w:rsid w:val="002C263C"/>
    <w:rsid w:val="002C27AF"/>
    <w:rsid w:val="002C27B2"/>
    <w:rsid w:val="002C28EB"/>
    <w:rsid w:val="002C293A"/>
    <w:rsid w:val="002C2950"/>
    <w:rsid w:val="002C2C43"/>
    <w:rsid w:val="002C2D41"/>
    <w:rsid w:val="002C2DB9"/>
    <w:rsid w:val="002C3019"/>
    <w:rsid w:val="002C30AB"/>
    <w:rsid w:val="002C3169"/>
    <w:rsid w:val="002C31BB"/>
    <w:rsid w:val="002C32C5"/>
    <w:rsid w:val="002C347A"/>
    <w:rsid w:val="002C38A4"/>
    <w:rsid w:val="002C3920"/>
    <w:rsid w:val="002C3C48"/>
    <w:rsid w:val="002C3C80"/>
    <w:rsid w:val="002C3DC5"/>
    <w:rsid w:val="002C3E94"/>
    <w:rsid w:val="002C3F19"/>
    <w:rsid w:val="002C3F1A"/>
    <w:rsid w:val="002C3F8A"/>
    <w:rsid w:val="002C428E"/>
    <w:rsid w:val="002C463E"/>
    <w:rsid w:val="002C4667"/>
    <w:rsid w:val="002C47F7"/>
    <w:rsid w:val="002C4A96"/>
    <w:rsid w:val="002C4A98"/>
    <w:rsid w:val="002C512F"/>
    <w:rsid w:val="002C516E"/>
    <w:rsid w:val="002C5360"/>
    <w:rsid w:val="002C54B3"/>
    <w:rsid w:val="002C559D"/>
    <w:rsid w:val="002C5635"/>
    <w:rsid w:val="002C57B4"/>
    <w:rsid w:val="002C5B2B"/>
    <w:rsid w:val="002C5D07"/>
    <w:rsid w:val="002C5DB5"/>
    <w:rsid w:val="002C5E5C"/>
    <w:rsid w:val="002C5F3A"/>
    <w:rsid w:val="002C5F9C"/>
    <w:rsid w:val="002C60EE"/>
    <w:rsid w:val="002C628E"/>
    <w:rsid w:val="002C6732"/>
    <w:rsid w:val="002C6A08"/>
    <w:rsid w:val="002C6AA0"/>
    <w:rsid w:val="002C6C10"/>
    <w:rsid w:val="002C6D31"/>
    <w:rsid w:val="002C6D3B"/>
    <w:rsid w:val="002C6DAB"/>
    <w:rsid w:val="002C6DFA"/>
    <w:rsid w:val="002C6F51"/>
    <w:rsid w:val="002C6FF4"/>
    <w:rsid w:val="002C706C"/>
    <w:rsid w:val="002C7112"/>
    <w:rsid w:val="002C716D"/>
    <w:rsid w:val="002C718A"/>
    <w:rsid w:val="002C725C"/>
    <w:rsid w:val="002C7355"/>
    <w:rsid w:val="002C73EC"/>
    <w:rsid w:val="002C7619"/>
    <w:rsid w:val="002C763D"/>
    <w:rsid w:val="002C76A2"/>
    <w:rsid w:val="002C777E"/>
    <w:rsid w:val="002C7A5F"/>
    <w:rsid w:val="002C7B43"/>
    <w:rsid w:val="002C7B53"/>
    <w:rsid w:val="002C7CAD"/>
    <w:rsid w:val="002C7EDC"/>
    <w:rsid w:val="002C7FBF"/>
    <w:rsid w:val="002C7FE7"/>
    <w:rsid w:val="002D00FF"/>
    <w:rsid w:val="002D0357"/>
    <w:rsid w:val="002D0617"/>
    <w:rsid w:val="002D06C9"/>
    <w:rsid w:val="002D0808"/>
    <w:rsid w:val="002D0970"/>
    <w:rsid w:val="002D09EB"/>
    <w:rsid w:val="002D0A00"/>
    <w:rsid w:val="002D0AAF"/>
    <w:rsid w:val="002D0BFB"/>
    <w:rsid w:val="002D0C30"/>
    <w:rsid w:val="002D0E47"/>
    <w:rsid w:val="002D1476"/>
    <w:rsid w:val="002D14FE"/>
    <w:rsid w:val="002D1792"/>
    <w:rsid w:val="002D17D8"/>
    <w:rsid w:val="002D18A3"/>
    <w:rsid w:val="002D18D8"/>
    <w:rsid w:val="002D1A0F"/>
    <w:rsid w:val="002D1A88"/>
    <w:rsid w:val="002D1B68"/>
    <w:rsid w:val="002D1C99"/>
    <w:rsid w:val="002D1CEE"/>
    <w:rsid w:val="002D1D38"/>
    <w:rsid w:val="002D1E21"/>
    <w:rsid w:val="002D207C"/>
    <w:rsid w:val="002D210D"/>
    <w:rsid w:val="002D28A1"/>
    <w:rsid w:val="002D2C49"/>
    <w:rsid w:val="002D2E85"/>
    <w:rsid w:val="002D2F0A"/>
    <w:rsid w:val="002D2FAA"/>
    <w:rsid w:val="002D3130"/>
    <w:rsid w:val="002D327B"/>
    <w:rsid w:val="002D32AD"/>
    <w:rsid w:val="002D3356"/>
    <w:rsid w:val="002D33A7"/>
    <w:rsid w:val="002D34BD"/>
    <w:rsid w:val="002D3547"/>
    <w:rsid w:val="002D358A"/>
    <w:rsid w:val="002D363D"/>
    <w:rsid w:val="002D38EF"/>
    <w:rsid w:val="002D39D1"/>
    <w:rsid w:val="002D39EF"/>
    <w:rsid w:val="002D3A3E"/>
    <w:rsid w:val="002D3A55"/>
    <w:rsid w:val="002D3D2A"/>
    <w:rsid w:val="002D4071"/>
    <w:rsid w:val="002D41F9"/>
    <w:rsid w:val="002D450C"/>
    <w:rsid w:val="002D4572"/>
    <w:rsid w:val="002D46B2"/>
    <w:rsid w:val="002D479A"/>
    <w:rsid w:val="002D479F"/>
    <w:rsid w:val="002D48B9"/>
    <w:rsid w:val="002D4BC9"/>
    <w:rsid w:val="002D4C04"/>
    <w:rsid w:val="002D4DD4"/>
    <w:rsid w:val="002D4E60"/>
    <w:rsid w:val="002D4EE0"/>
    <w:rsid w:val="002D506E"/>
    <w:rsid w:val="002D5228"/>
    <w:rsid w:val="002D52B4"/>
    <w:rsid w:val="002D5331"/>
    <w:rsid w:val="002D53BB"/>
    <w:rsid w:val="002D5636"/>
    <w:rsid w:val="002D56F3"/>
    <w:rsid w:val="002D5904"/>
    <w:rsid w:val="002D5AA9"/>
    <w:rsid w:val="002D5BCF"/>
    <w:rsid w:val="002D5CD2"/>
    <w:rsid w:val="002D5D6B"/>
    <w:rsid w:val="002D6462"/>
    <w:rsid w:val="002D6558"/>
    <w:rsid w:val="002D666C"/>
    <w:rsid w:val="002D6798"/>
    <w:rsid w:val="002D67D5"/>
    <w:rsid w:val="002D698F"/>
    <w:rsid w:val="002D6BC8"/>
    <w:rsid w:val="002D6D62"/>
    <w:rsid w:val="002D6D83"/>
    <w:rsid w:val="002D6E0E"/>
    <w:rsid w:val="002D6F36"/>
    <w:rsid w:val="002D7119"/>
    <w:rsid w:val="002D71D9"/>
    <w:rsid w:val="002D735F"/>
    <w:rsid w:val="002D75A2"/>
    <w:rsid w:val="002D77A1"/>
    <w:rsid w:val="002D78E5"/>
    <w:rsid w:val="002D7950"/>
    <w:rsid w:val="002D7A82"/>
    <w:rsid w:val="002D7B66"/>
    <w:rsid w:val="002D7BAF"/>
    <w:rsid w:val="002D7C06"/>
    <w:rsid w:val="002D7D06"/>
    <w:rsid w:val="002D7D09"/>
    <w:rsid w:val="002D7D5A"/>
    <w:rsid w:val="002D7D6E"/>
    <w:rsid w:val="002D7D8F"/>
    <w:rsid w:val="002D7E75"/>
    <w:rsid w:val="002E001E"/>
    <w:rsid w:val="002E0097"/>
    <w:rsid w:val="002E0367"/>
    <w:rsid w:val="002E04A7"/>
    <w:rsid w:val="002E04F7"/>
    <w:rsid w:val="002E0540"/>
    <w:rsid w:val="002E05B5"/>
    <w:rsid w:val="002E0A52"/>
    <w:rsid w:val="002E0A89"/>
    <w:rsid w:val="002E0BAF"/>
    <w:rsid w:val="002E0C92"/>
    <w:rsid w:val="002E11DA"/>
    <w:rsid w:val="002E13BA"/>
    <w:rsid w:val="002E1419"/>
    <w:rsid w:val="002E147C"/>
    <w:rsid w:val="002E1563"/>
    <w:rsid w:val="002E162E"/>
    <w:rsid w:val="002E165D"/>
    <w:rsid w:val="002E16AD"/>
    <w:rsid w:val="002E190B"/>
    <w:rsid w:val="002E199F"/>
    <w:rsid w:val="002E1B19"/>
    <w:rsid w:val="002E1B8C"/>
    <w:rsid w:val="002E1BC4"/>
    <w:rsid w:val="002E1D83"/>
    <w:rsid w:val="002E1E3D"/>
    <w:rsid w:val="002E1E56"/>
    <w:rsid w:val="002E2314"/>
    <w:rsid w:val="002E2382"/>
    <w:rsid w:val="002E2409"/>
    <w:rsid w:val="002E2731"/>
    <w:rsid w:val="002E276D"/>
    <w:rsid w:val="002E2ACF"/>
    <w:rsid w:val="002E2C20"/>
    <w:rsid w:val="002E2C7E"/>
    <w:rsid w:val="002E2D13"/>
    <w:rsid w:val="002E2FF1"/>
    <w:rsid w:val="002E3221"/>
    <w:rsid w:val="002E3337"/>
    <w:rsid w:val="002E34E8"/>
    <w:rsid w:val="002E34F1"/>
    <w:rsid w:val="002E358B"/>
    <w:rsid w:val="002E3AC0"/>
    <w:rsid w:val="002E3E3A"/>
    <w:rsid w:val="002E42DD"/>
    <w:rsid w:val="002E4381"/>
    <w:rsid w:val="002E4439"/>
    <w:rsid w:val="002E44C6"/>
    <w:rsid w:val="002E46BC"/>
    <w:rsid w:val="002E4BEC"/>
    <w:rsid w:val="002E4C46"/>
    <w:rsid w:val="002E4EBF"/>
    <w:rsid w:val="002E5479"/>
    <w:rsid w:val="002E552E"/>
    <w:rsid w:val="002E5696"/>
    <w:rsid w:val="002E59C7"/>
    <w:rsid w:val="002E5A65"/>
    <w:rsid w:val="002E5ACA"/>
    <w:rsid w:val="002E5B97"/>
    <w:rsid w:val="002E5D27"/>
    <w:rsid w:val="002E5D74"/>
    <w:rsid w:val="002E5DE7"/>
    <w:rsid w:val="002E6067"/>
    <w:rsid w:val="002E608E"/>
    <w:rsid w:val="002E62F4"/>
    <w:rsid w:val="002E6672"/>
    <w:rsid w:val="002E66B0"/>
    <w:rsid w:val="002E6880"/>
    <w:rsid w:val="002E69C9"/>
    <w:rsid w:val="002E69EF"/>
    <w:rsid w:val="002E6A3A"/>
    <w:rsid w:val="002E6AC5"/>
    <w:rsid w:val="002E6B05"/>
    <w:rsid w:val="002E6DC2"/>
    <w:rsid w:val="002E702A"/>
    <w:rsid w:val="002E7564"/>
    <w:rsid w:val="002E757E"/>
    <w:rsid w:val="002E759F"/>
    <w:rsid w:val="002E7931"/>
    <w:rsid w:val="002E7941"/>
    <w:rsid w:val="002E79BA"/>
    <w:rsid w:val="002E7A5C"/>
    <w:rsid w:val="002E7C13"/>
    <w:rsid w:val="002E7CB0"/>
    <w:rsid w:val="002E7D6B"/>
    <w:rsid w:val="002E7DAD"/>
    <w:rsid w:val="002E7F42"/>
    <w:rsid w:val="002F004C"/>
    <w:rsid w:val="002F01BC"/>
    <w:rsid w:val="002F0248"/>
    <w:rsid w:val="002F0261"/>
    <w:rsid w:val="002F0262"/>
    <w:rsid w:val="002F03F5"/>
    <w:rsid w:val="002F0498"/>
    <w:rsid w:val="002F054A"/>
    <w:rsid w:val="002F05F1"/>
    <w:rsid w:val="002F0651"/>
    <w:rsid w:val="002F0769"/>
    <w:rsid w:val="002F07DE"/>
    <w:rsid w:val="002F08C7"/>
    <w:rsid w:val="002F08EF"/>
    <w:rsid w:val="002F0A2E"/>
    <w:rsid w:val="002F0AD7"/>
    <w:rsid w:val="002F0B64"/>
    <w:rsid w:val="002F0C46"/>
    <w:rsid w:val="002F0D6C"/>
    <w:rsid w:val="002F0E85"/>
    <w:rsid w:val="002F0E9F"/>
    <w:rsid w:val="002F12A0"/>
    <w:rsid w:val="002F1306"/>
    <w:rsid w:val="002F15B7"/>
    <w:rsid w:val="002F165F"/>
    <w:rsid w:val="002F1867"/>
    <w:rsid w:val="002F18E3"/>
    <w:rsid w:val="002F1946"/>
    <w:rsid w:val="002F1A69"/>
    <w:rsid w:val="002F1A9E"/>
    <w:rsid w:val="002F1ABD"/>
    <w:rsid w:val="002F1ACA"/>
    <w:rsid w:val="002F1DF5"/>
    <w:rsid w:val="002F1EB4"/>
    <w:rsid w:val="002F2082"/>
    <w:rsid w:val="002F210F"/>
    <w:rsid w:val="002F21E2"/>
    <w:rsid w:val="002F2352"/>
    <w:rsid w:val="002F23C8"/>
    <w:rsid w:val="002F243D"/>
    <w:rsid w:val="002F2473"/>
    <w:rsid w:val="002F266A"/>
    <w:rsid w:val="002F2788"/>
    <w:rsid w:val="002F2845"/>
    <w:rsid w:val="002F287B"/>
    <w:rsid w:val="002F2A7B"/>
    <w:rsid w:val="002F2B5D"/>
    <w:rsid w:val="002F2D74"/>
    <w:rsid w:val="002F2F1C"/>
    <w:rsid w:val="002F3088"/>
    <w:rsid w:val="002F3177"/>
    <w:rsid w:val="002F31A6"/>
    <w:rsid w:val="002F31BC"/>
    <w:rsid w:val="002F3273"/>
    <w:rsid w:val="002F3277"/>
    <w:rsid w:val="002F3283"/>
    <w:rsid w:val="002F334A"/>
    <w:rsid w:val="002F3369"/>
    <w:rsid w:val="002F37DA"/>
    <w:rsid w:val="002F383C"/>
    <w:rsid w:val="002F3A65"/>
    <w:rsid w:val="002F3AC2"/>
    <w:rsid w:val="002F3C40"/>
    <w:rsid w:val="002F3C88"/>
    <w:rsid w:val="002F3C8F"/>
    <w:rsid w:val="002F3CCE"/>
    <w:rsid w:val="002F3E4F"/>
    <w:rsid w:val="002F3F69"/>
    <w:rsid w:val="002F3F90"/>
    <w:rsid w:val="002F4031"/>
    <w:rsid w:val="002F4167"/>
    <w:rsid w:val="002F4180"/>
    <w:rsid w:val="002F428D"/>
    <w:rsid w:val="002F44D0"/>
    <w:rsid w:val="002F4535"/>
    <w:rsid w:val="002F459A"/>
    <w:rsid w:val="002F4791"/>
    <w:rsid w:val="002F4802"/>
    <w:rsid w:val="002F4839"/>
    <w:rsid w:val="002F4AAB"/>
    <w:rsid w:val="002F4B2B"/>
    <w:rsid w:val="002F4C90"/>
    <w:rsid w:val="002F4DB5"/>
    <w:rsid w:val="002F4E4A"/>
    <w:rsid w:val="002F501B"/>
    <w:rsid w:val="002F51A0"/>
    <w:rsid w:val="002F53F2"/>
    <w:rsid w:val="002F54C8"/>
    <w:rsid w:val="002F575F"/>
    <w:rsid w:val="002F5AD9"/>
    <w:rsid w:val="002F5BF7"/>
    <w:rsid w:val="002F5DAD"/>
    <w:rsid w:val="002F5F7F"/>
    <w:rsid w:val="002F5F92"/>
    <w:rsid w:val="002F6039"/>
    <w:rsid w:val="002F60B8"/>
    <w:rsid w:val="002F615D"/>
    <w:rsid w:val="002F61F8"/>
    <w:rsid w:val="002F62A9"/>
    <w:rsid w:val="002F63DB"/>
    <w:rsid w:val="002F6407"/>
    <w:rsid w:val="002F673A"/>
    <w:rsid w:val="002F67BB"/>
    <w:rsid w:val="002F6824"/>
    <w:rsid w:val="002F6826"/>
    <w:rsid w:val="002F6904"/>
    <w:rsid w:val="002F6AD8"/>
    <w:rsid w:val="002F6CEE"/>
    <w:rsid w:val="002F7165"/>
    <w:rsid w:val="002F7216"/>
    <w:rsid w:val="002F7484"/>
    <w:rsid w:val="002F748C"/>
    <w:rsid w:val="002F7A7F"/>
    <w:rsid w:val="002F7BE6"/>
    <w:rsid w:val="002F7CC8"/>
    <w:rsid w:val="002F7FD1"/>
    <w:rsid w:val="0030026D"/>
    <w:rsid w:val="003003BF"/>
    <w:rsid w:val="00300531"/>
    <w:rsid w:val="003007AF"/>
    <w:rsid w:val="003007DD"/>
    <w:rsid w:val="003009FF"/>
    <w:rsid w:val="00300A15"/>
    <w:rsid w:val="003010C4"/>
    <w:rsid w:val="00301123"/>
    <w:rsid w:val="003011CF"/>
    <w:rsid w:val="003013B4"/>
    <w:rsid w:val="00301740"/>
    <w:rsid w:val="00301C36"/>
    <w:rsid w:val="00301D90"/>
    <w:rsid w:val="00301E2F"/>
    <w:rsid w:val="00301ED6"/>
    <w:rsid w:val="00302014"/>
    <w:rsid w:val="00302081"/>
    <w:rsid w:val="003020C9"/>
    <w:rsid w:val="0030216C"/>
    <w:rsid w:val="003021B6"/>
    <w:rsid w:val="00302202"/>
    <w:rsid w:val="00302299"/>
    <w:rsid w:val="00302380"/>
    <w:rsid w:val="003023AB"/>
    <w:rsid w:val="00302621"/>
    <w:rsid w:val="00302635"/>
    <w:rsid w:val="003027FA"/>
    <w:rsid w:val="00302920"/>
    <w:rsid w:val="00302A1D"/>
    <w:rsid w:val="00302A7A"/>
    <w:rsid w:val="00302BB8"/>
    <w:rsid w:val="00302C7D"/>
    <w:rsid w:val="00302DD1"/>
    <w:rsid w:val="00302F59"/>
    <w:rsid w:val="00302FD0"/>
    <w:rsid w:val="0030307C"/>
    <w:rsid w:val="003030BA"/>
    <w:rsid w:val="003031A9"/>
    <w:rsid w:val="003031DF"/>
    <w:rsid w:val="00303468"/>
    <w:rsid w:val="003036FE"/>
    <w:rsid w:val="003037F5"/>
    <w:rsid w:val="0030392F"/>
    <w:rsid w:val="00303A23"/>
    <w:rsid w:val="00303B54"/>
    <w:rsid w:val="00303E06"/>
    <w:rsid w:val="00303EBF"/>
    <w:rsid w:val="00303F0B"/>
    <w:rsid w:val="00303F69"/>
    <w:rsid w:val="00304006"/>
    <w:rsid w:val="00304435"/>
    <w:rsid w:val="00304531"/>
    <w:rsid w:val="00304684"/>
    <w:rsid w:val="003047AA"/>
    <w:rsid w:val="00304862"/>
    <w:rsid w:val="00304A70"/>
    <w:rsid w:val="00304A87"/>
    <w:rsid w:val="00304A90"/>
    <w:rsid w:val="00304B64"/>
    <w:rsid w:val="00304B99"/>
    <w:rsid w:val="00304B9B"/>
    <w:rsid w:val="00304D44"/>
    <w:rsid w:val="00304E44"/>
    <w:rsid w:val="0030504F"/>
    <w:rsid w:val="00305078"/>
    <w:rsid w:val="0030507E"/>
    <w:rsid w:val="003050CD"/>
    <w:rsid w:val="00305312"/>
    <w:rsid w:val="00305390"/>
    <w:rsid w:val="003053D3"/>
    <w:rsid w:val="00305435"/>
    <w:rsid w:val="00305611"/>
    <w:rsid w:val="0030569D"/>
    <w:rsid w:val="0030575D"/>
    <w:rsid w:val="0030585C"/>
    <w:rsid w:val="0030586B"/>
    <w:rsid w:val="003058D7"/>
    <w:rsid w:val="003058E0"/>
    <w:rsid w:val="00305926"/>
    <w:rsid w:val="00305A76"/>
    <w:rsid w:val="00305F84"/>
    <w:rsid w:val="003061E3"/>
    <w:rsid w:val="003061F3"/>
    <w:rsid w:val="00306302"/>
    <w:rsid w:val="00306304"/>
    <w:rsid w:val="00306643"/>
    <w:rsid w:val="003066A9"/>
    <w:rsid w:val="003066F3"/>
    <w:rsid w:val="0030680E"/>
    <w:rsid w:val="003068CF"/>
    <w:rsid w:val="00306A2A"/>
    <w:rsid w:val="00306B65"/>
    <w:rsid w:val="00306B69"/>
    <w:rsid w:val="00306CC8"/>
    <w:rsid w:val="00306E4B"/>
    <w:rsid w:val="00306EB2"/>
    <w:rsid w:val="00306EED"/>
    <w:rsid w:val="003070C6"/>
    <w:rsid w:val="0030732F"/>
    <w:rsid w:val="003076A5"/>
    <w:rsid w:val="00307783"/>
    <w:rsid w:val="003079A6"/>
    <w:rsid w:val="003079B7"/>
    <w:rsid w:val="00307A93"/>
    <w:rsid w:val="00307BC1"/>
    <w:rsid w:val="00307D5B"/>
    <w:rsid w:val="00307DBB"/>
    <w:rsid w:val="00307F10"/>
    <w:rsid w:val="00307FDD"/>
    <w:rsid w:val="00310092"/>
    <w:rsid w:val="003100F6"/>
    <w:rsid w:val="00310226"/>
    <w:rsid w:val="0031038F"/>
    <w:rsid w:val="00310565"/>
    <w:rsid w:val="00310612"/>
    <w:rsid w:val="003108E7"/>
    <w:rsid w:val="00310A6D"/>
    <w:rsid w:val="00310C45"/>
    <w:rsid w:val="00310D4F"/>
    <w:rsid w:val="00310D83"/>
    <w:rsid w:val="00310DE7"/>
    <w:rsid w:val="00310EAD"/>
    <w:rsid w:val="00310F7C"/>
    <w:rsid w:val="00311102"/>
    <w:rsid w:val="003111F5"/>
    <w:rsid w:val="00311218"/>
    <w:rsid w:val="00311357"/>
    <w:rsid w:val="00311680"/>
    <w:rsid w:val="003117B7"/>
    <w:rsid w:val="00311A78"/>
    <w:rsid w:val="00311B18"/>
    <w:rsid w:val="00311B6F"/>
    <w:rsid w:val="00311DC3"/>
    <w:rsid w:val="00311FC8"/>
    <w:rsid w:val="00312088"/>
    <w:rsid w:val="003120CA"/>
    <w:rsid w:val="003123C2"/>
    <w:rsid w:val="003123CF"/>
    <w:rsid w:val="0031279E"/>
    <w:rsid w:val="0031284F"/>
    <w:rsid w:val="003128DD"/>
    <w:rsid w:val="003129FC"/>
    <w:rsid w:val="00312B57"/>
    <w:rsid w:val="00312FEE"/>
    <w:rsid w:val="003130E2"/>
    <w:rsid w:val="00313121"/>
    <w:rsid w:val="00313307"/>
    <w:rsid w:val="003133D4"/>
    <w:rsid w:val="00313466"/>
    <w:rsid w:val="00313489"/>
    <w:rsid w:val="00313582"/>
    <w:rsid w:val="0031359B"/>
    <w:rsid w:val="003136E6"/>
    <w:rsid w:val="0031377B"/>
    <w:rsid w:val="0031389F"/>
    <w:rsid w:val="003139E6"/>
    <w:rsid w:val="00313C03"/>
    <w:rsid w:val="00313C93"/>
    <w:rsid w:val="00313EA2"/>
    <w:rsid w:val="0031401A"/>
    <w:rsid w:val="00314131"/>
    <w:rsid w:val="003142B2"/>
    <w:rsid w:val="003143D3"/>
    <w:rsid w:val="0031455C"/>
    <w:rsid w:val="003145AB"/>
    <w:rsid w:val="0031475D"/>
    <w:rsid w:val="00314939"/>
    <w:rsid w:val="00314941"/>
    <w:rsid w:val="00314B49"/>
    <w:rsid w:val="00314B57"/>
    <w:rsid w:val="00314BD9"/>
    <w:rsid w:val="00314C4A"/>
    <w:rsid w:val="00314E71"/>
    <w:rsid w:val="00314EA4"/>
    <w:rsid w:val="00314EC9"/>
    <w:rsid w:val="00314EEF"/>
    <w:rsid w:val="00315239"/>
    <w:rsid w:val="003157A4"/>
    <w:rsid w:val="003157E6"/>
    <w:rsid w:val="00315D55"/>
    <w:rsid w:val="00315E59"/>
    <w:rsid w:val="00316122"/>
    <w:rsid w:val="0031621B"/>
    <w:rsid w:val="0031623E"/>
    <w:rsid w:val="00316BEE"/>
    <w:rsid w:val="00316C76"/>
    <w:rsid w:val="00316F9C"/>
    <w:rsid w:val="003170C2"/>
    <w:rsid w:val="003172AF"/>
    <w:rsid w:val="00317433"/>
    <w:rsid w:val="00317898"/>
    <w:rsid w:val="00317BA1"/>
    <w:rsid w:val="00317D1E"/>
    <w:rsid w:val="00317EBE"/>
    <w:rsid w:val="00317ED7"/>
    <w:rsid w:val="00317F41"/>
    <w:rsid w:val="00317F4A"/>
    <w:rsid w:val="00320357"/>
    <w:rsid w:val="0032038D"/>
    <w:rsid w:val="0032044D"/>
    <w:rsid w:val="00320462"/>
    <w:rsid w:val="0032046B"/>
    <w:rsid w:val="003204AF"/>
    <w:rsid w:val="00320504"/>
    <w:rsid w:val="003205A5"/>
    <w:rsid w:val="00320701"/>
    <w:rsid w:val="00320872"/>
    <w:rsid w:val="00320898"/>
    <w:rsid w:val="003209E7"/>
    <w:rsid w:val="00320B54"/>
    <w:rsid w:val="00320C18"/>
    <w:rsid w:val="00320C6D"/>
    <w:rsid w:val="00320E3F"/>
    <w:rsid w:val="00320FE5"/>
    <w:rsid w:val="003210BC"/>
    <w:rsid w:val="00321191"/>
    <w:rsid w:val="0032129A"/>
    <w:rsid w:val="003212CE"/>
    <w:rsid w:val="0032142B"/>
    <w:rsid w:val="00321597"/>
    <w:rsid w:val="00321700"/>
    <w:rsid w:val="003217A6"/>
    <w:rsid w:val="0032186D"/>
    <w:rsid w:val="00321A9F"/>
    <w:rsid w:val="00321BC9"/>
    <w:rsid w:val="00321C70"/>
    <w:rsid w:val="00321C86"/>
    <w:rsid w:val="00321CC8"/>
    <w:rsid w:val="00321F01"/>
    <w:rsid w:val="00321FD3"/>
    <w:rsid w:val="003221DA"/>
    <w:rsid w:val="003221F6"/>
    <w:rsid w:val="003222C7"/>
    <w:rsid w:val="00322806"/>
    <w:rsid w:val="00322A3C"/>
    <w:rsid w:val="00322E5F"/>
    <w:rsid w:val="00322FAC"/>
    <w:rsid w:val="00323041"/>
    <w:rsid w:val="0032334B"/>
    <w:rsid w:val="003233F9"/>
    <w:rsid w:val="003234A6"/>
    <w:rsid w:val="003234CC"/>
    <w:rsid w:val="003234FF"/>
    <w:rsid w:val="00323791"/>
    <w:rsid w:val="003239F8"/>
    <w:rsid w:val="00323B74"/>
    <w:rsid w:val="00323CD8"/>
    <w:rsid w:val="00323EE4"/>
    <w:rsid w:val="00323F0B"/>
    <w:rsid w:val="003241A6"/>
    <w:rsid w:val="00324250"/>
    <w:rsid w:val="00324452"/>
    <w:rsid w:val="003244B7"/>
    <w:rsid w:val="003245E9"/>
    <w:rsid w:val="00324677"/>
    <w:rsid w:val="00324689"/>
    <w:rsid w:val="00324A85"/>
    <w:rsid w:val="00324BE2"/>
    <w:rsid w:val="00324ECA"/>
    <w:rsid w:val="00325342"/>
    <w:rsid w:val="00325482"/>
    <w:rsid w:val="00325663"/>
    <w:rsid w:val="00325720"/>
    <w:rsid w:val="00325A69"/>
    <w:rsid w:val="00325ABF"/>
    <w:rsid w:val="00325ED6"/>
    <w:rsid w:val="00326344"/>
    <w:rsid w:val="00326629"/>
    <w:rsid w:val="003266C7"/>
    <w:rsid w:val="003267C6"/>
    <w:rsid w:val="00326A91"/>
    <w:rsid w:val="00326E7C"/>
    <w:rsid w:val="00326F1E"/>
    <w:rsid w:val="00326F4E"/>
    <w:rsid w:val="00326FE6"/>
    <w:rsid w:val="0032700B"/>
    <w:rsid w:val="003270ED"/>
    <w:rsid w:val="003272AA"/>
    <w:rsid w:val="0032751A"/>
    <w:rsid w:val="00327772"/>
    <w:rsid w:val="00327BB5"/>
    <w:rsid w:val="00327D04"/>
    <w:rsid w:val="00327D29"/>
    <w:rsid w:val="00327D2B"/>
    <w:rsid w:val="00327E8E"/>
    <w:rsid w:val="00327FFE"/>
    <w:rsid w:val="003301F3"/>
    <w:rsid w:val="00330214"/>
    <w:rsid w:val="00330284"/>
    <w:rsid w:val="003303F0"/>
    <w:rsid w:val="00330433"/>
    <w:rsid w:val="00330484"/>
    <w:rsid w:val="003304A1"/>
    <w:rsid w:val="00330597"/>
    <w:rsid w:val="0033064E"/>
    <w:rsid w:val="00330B85"/>
    <w:rsid w:val="00330B98"/>
    <w:rsid w:val="00330CCD"/>
    <w:rsid w:val="00330FA6"/>
    <w:rsid w:val="003310BB"/>
    <w:rsid w:val="00331155"/>
    <w:rsid w:val="00331177"/>
    <w:rsid w:val="003311C0"/>
    <w:rsid w:val="00331345"/>
    <w:rsid w:val="0033149C"/>
    <w:rsid w:val="0033157B"/>
    <w:rsid w:val="0033178B"/>
    <w:rsid w:val="00331970"/>
    <w:rsid w:val="003322DB"/>
    <w:rsid w:val="00332380"/>
    <w:rsid w:val="003323C4"/>
    <w:rsid w:val="00332597"/>
    <w:rsid w:val="0033265B"/>
    <w:rsid w:val="003326A1"/>
    <w:rsid w:val="00332706"/>
    <w:rsid w:val="00332840"/>
    <w:rsid w:val="00332A8E"/>
    <w:rsid w:val="00332ABE"/>
    <w:rsid w:val="00332AF9"/>
    <w:rsid w:val="00332C4D"/>
    <w:rsid w:val="00332C5F"/>
    <w:rsid w:val="00332C61"/>
    <w:rsid w:val="00332C6F"/>
    <w:rsid w:val="00332CE5"/>
    <w:rsid w:val="00332D42"/>
    <w:rsid w:val="00332D4F"/>
    <w:rsid w:val="0033316A"/>
    <w:rsid w:val="00333204"/>
    <w:rsid w:val="00333224"/>
    <w:rsid w:val="00333316"/>
    <w:rsid w:val="003335BD"/>
    <w:rsid w:val="00333B30"/>
    <w:rsid w:val="00333B3C"/>
    <w:rsid w:val="00333CED"/>
    <w:rsid w:val="00333FA7"/>
    <w:rsid w:val="0033415F"/>
    <w:rsid w:val="003341C3"/>
    <w:rsid w:val="003343CA"/>
    <w:rsid w:val="003346FB"/>
    <w:rsid w:val="00334727"/>
    <w:rsid w:val="00334778"/>
    <w:rsid w:val="00334791"/>
    <w:rsid w:val="003347E0"/>
    <w:rsid w:val="00334846"/>
    <w:rsid w:val="003348EE"/>
    <w:rsid w:val="00334BF5"/>
    <w:rsid w:val="00334C70"/>
    <w:rsid w:val="00334CA9"/>
    <w:rsid w:val="00334E46"/>
    <w:rsid w:val="00334F65"/>
    <w:rsid w:val="00334F9A"/>
    <w:rsid w:val="0033501A"/>
    <w:rsid w:val="003350BC"/>
    <w:rsid w:val="003351AA"/>
    <w:rsid w:val="003351F6"/>
    <w:rsid w:val="0033527C"/>
    <w:rsid w:val="00335343"/>
    <w:rsid w:val="003354C8"/>
    <w:rsid w:val="003356F7"/>
    <w:rsid w:val="00335791"/>
    <w:rsid w:val="003358DE"/>
    <w:rsid w:val="00335A1F"/>
    <w:rsid w:val="00335AB2"/>
    <w:rsid w:val="00335AFE"/>
    <w:rsid w:val="00335BAD"/>
    <w:rsid w:val="00335C3D"/>
    <w:rsid w:val="00335DE2"/>
    <w:rsid w:val="00335EA7"/>
    <w:rsid w:val="00335F85"/>
    <w:rsid w:val="003360AF"/>
    <w:rsid w:val="00336131"/>
    <w:rsid w:val="003365D7"/>
    <w:rsid w:val="00336B4A"/>
    <w:rsid w:val="00336B4B"/>
    <w:rsid w:val="00336CE8"/>
    <w:rsid w:val="00336D62"/>
    <w:rsid w:val="00336DCC"/>
    <w:rsid w:val="00336EC9"/>
    <w:rsid w:val="00336FA3"/>
    <w:rsid w:val="00337159"/>
    <w:rsid w:val="00337242"/>
    <w:rsid w:val="00337291"/>
    <w:rsid w:val="00337315"/>
    <w:rsid w:val="003373C4"/>
    <w:rsid w:val="00337604"/>
    <w:rsid w:val="00337644"/>
    <w:rsid w:val="00337791"/>
    <w:rsid w:val="003377E0"/>
    <w:rsid w:val="00337AC4"/>
    <w:rsid w:val="00337C7E"/>
    <w:rsid w:val="00337E47"/>
    <w:rsid w:val="00337FDD"/>
    <w:rsid w:val="003401BD"/>
    <w:rsid w:val="0034030A"/>
    <w:rsid w:val="003404A0"/>
    <w:rsid w:val="0034075E"/>
    <w:rsid w:val="00340926"/>
    <w:rsid w:val="003409BC"/>
    <w:rsid w:val="00340B14"/>
    <w:rsid w:val="00340CC0"/>
    <w:rsid w:val="00340D19"/>
    <w:rsid w:val="00340E48"/>
    <w:rsid w:val="0034114E"/>
    <w:rsid w:val="003411E2"/>
    <w:rsid w:val="00341244"/>
    <w:rsid w:val="0034124E"/>
    <w:rsid w:val="00341256"/>
    <w:rsid w:val="00341319"/>
    <w:rsid w:val="0034148D"/>
    <w:rsid w:val="00341798"/>
    <w:rsid w:val="0034179B"/>
    <w:rsid w:val="003417D1"/>
    <w:rsid w:val="003418FF"/>
    <w:rsid w:val="00341941"/>
    <w:rsid w:val="0034195E"/>
    <w:rsid w:val="0034196E"/>
    <w:rsid w:val="00341A49"/>
    <w:rsid w:val="00341BAE"/>
    <w:rsid w:val="00341C43"/>
    <w:rsid w:val="00341CAC"/>
    <w:rsid w:val="00341CDE"/>
    <w:rsid w:val="00341E55"/>
    <w:rsid w:val="00341E58"/>
    <w:rsid w:val="00341E83"/>
    <w:rsid w:val="00341ECE"/>
    <w:rsid w:val="00342057"/>
    <w:rsid w:val="0034238A"/>
    <w:rsid w:val="003423ED"/>
    <w:rsid w:val="003424CB"/>
    <w:rsid w:val="00342755"/>
    <w:rsid w:val="003427E0"/>
    <w:rsid w:val="00342951"/>
    <w:rsid w:val="00342B1D"/>
    <w:rsid w:val="003430CC"/>
    <w:rsid w:val="003430CE"/>
    <w:rsid w:val="003432EF"/>
    <w:rsid w:val="00343369"/>
    <w:rsid w:val="00343540"/>
    <w:rsid w:val="0034356D"/>
    <w:rsid w:val="00343645"/>
    <w:rsid w:val="00343709"/>
    <w:rsid w:val="00343718"/>
    <w:rsid w:val="00343721"/>
    <w:rsid w:val="003437C9"/>
    <w:rsid w:val="0034382B"/>
    <w:rsid w:val="0034387C"/>
    <w:rsid w:val="00343930"/>
    <w:rsid w:val="0034398D"/>
    <w:rsid w:val="00343B8D"/>
    <w:rsid w:val="0034408C"/>
    <w:rsid w:val="003440FB"/>
    <w:rsid w:val="00344362"/>
    <w:rsid w:val="003443D2"/>
    <w:rsid w:val="00344406"/>
    <w:rsid w:val="00344592"/>
    <w:rsid w:val="0034497A"/>
    <w:rsid w:val="003449A3"/>
    <w:rsid w:val="00344A04"/>
    <w:rsid w:val="00344A34"/>
    <w:rsid w:val="00344A9B"/>
    <w:rsid w:val="00344E23"/>
    <w:rsid w:val="00344E40"/>
    <w:rsid w:val="0034507F"/>
    <w:rsid w:val="00345157"/>
    <w:rsid w:val="0034532A"/>
    <w:rsid w:val="00345380"/>
    <w:rsid w:val="003457CF"/>
    <w:rsid w:val="0034592E"/>
    <w:rsid w:val="003459D5"/>
    <w:rsid w:val="003459E7"/>
    <w:rsid w:val="00345B59"/>
    <w:rsid w:val="00345C8C"/>
    <w:rsid w:val="00345F52"/>
    <w:rsid w:val="00345F70"/>
    <w:rsid w:val="00346373"/>
    <w:rsid w:val="00346417"/>
    <w:rsid w:val="003465CF"/>
    <w:rsid w:val="00346B48"/>
    <w:rsid w:val="00346F4C"/>
    <w:rsid w:val="0034733D"/>
    <w:rsid w:val="00347447"/>
    <w:rsid w:val="00347569"/>
    <w:rsid w:val="003475DE"/>
    <w:rsid w:val="00347650"/>
    <w:rsid w:val="00347782"/>
    <w:rsid w:val="00347A2B"/>
    <w:rsid w:val="003502C6"/>
    <w:rsid w:val="003503E5"/>
    <w:rsid w:val="0035061E"/>
    <w:rsid w:val="00350663"/>
    <w:rsid w:val="003506D2"/>
    <w:rsid w:val="00350706"/>
    <w:rsid w:val="00350A2F"/>
    <w:rsid w:val="00350CB1"/>
    <w:rsid w:val="00350DD4"/>
    <w:rsid w:val="00350E1B"/>
    <w:rsid w:val="00350E55"/>
    <w:rsid w:val="0035106B"/>
    <w:rsid w:val="003511D0"/>
    <w:rsid w:val="003513DA"/>
    <w:rsid w:val="00351497"/>
    <w:rsid w:val="00351536"/>
    <w:rsid w:val="003515E9"/>
    <w:rsid w:val="0035164D"/>
    <w:rsid w:val="00351783"/>
    <w:rsid w:val="0035197E"/>
    <w:rsid w:val="00351BBD"/>
    <w:rsid w:val="00351ECD"/>
    <w:rsid w:val="0035204D"/>
    <w:rsid w:val="003520AA"/>
    <w:rsid w:val="00352114"/>
    <w:rsid w:val="00352157"/>
    <w:rsid w:val="00352363"/>
    <w:rsid w:val="00352807"/>
    <w:rsid w:val="003528FB"/>
    <w:rsid w:val="0035296F"/>
    <w:rsid w:val="003529A4"/>
    <w:rsid w:val="00352A27"/>
    <w:rsid w:val="00352AE8"/>
    <w:rsid w:val="00352CAF"/>
    <w:rsid w:val="00352CB3"/>
    <w:rsid w:val="00352F37"/>
    <w:rsid w:val="00353071"/>
    <w:rsid w:val="0035332D"/>
    <w:rsid w:val="00353400"/>
    <w:rsid w:val="00353481"/>
    <w:rsid w:val="0035377F"/>
    <w:rsid w:val="00353930"/>
    <w:rsid w:val="00353932"/>
    <w:rsid w:val="00353C23"/>
    <w:rsid w:val="00353E29"/>
    <w:rsid w:val="00353E86"/>
    <w:rsid w:val="00353EB8"/>
    <w:rsid w:val="00354227"/>
    <w:rsid w:val="003542F5"/>
    <w:rsid w:val="003544CD"/>
    <w:rsid w:val="0035476A"/>
    <w:rsid w:val="00354814"/>
    <w:rsid w:val="00354B0E"/>
    <w:rsid w:val="00354B5A"/>
    <w:rsid w:val="00354B66"/>
    <w:rsid w:val="00354D99"/>
    <w:rsid w:val="00354E59"/>
    <w:rsid w:val="00354E7A"/>
    <w:rsid w:val="00354EFD"/>
    <w:rsid w:val="00354F8B"/>
    <w:rsid w:val="00355059"/>
    <w:rsid w:val="0035506B"/>
    <w:rsid w:val="00355191"/>
    <w:rsid w:val="00355413"/>
    <w:rsid w:val="00355648"/>
    <w:rsid w:val="00355654"/>
    <w:rsid w:val="00355987"/>
    <w:rsid w:val="003559F5"/>
    <w:rsid w:val="00355A17"/>
    <w:rsid w:val="00355ABE"/>
    <w:rsid w:val="00355B5A"/>
    <w:rsid w:val="00355C07"/>
    <w:rsid w:val="00355DAF"/>
    <w:rsid w:val="00355DD4"/>
    <w:rsid w:val="003564D3"/>
    <w:rsid w:val="00356630"/>
    <w:rsid w:val="003566D6"/>
    <w:rsid w:val="00356788"/>
    <w:rsid w:val="003569A1"/>
    <w:rsid w:val="00356A6C"/>
    <w:rsid w:val="00356D29"/>
    <w:rsid w:val="00356D34"/>
    <w:rsid w:val="003570B3"/>
    <w:rsid w:val="003571FA"/>
    <w:rsid w:val="0035721C"/>
    <w:rsid w:val="0035728F"/>
    <w:rsid w:val="00357294"/>
    <w:rsid w:val="0035733F"/>
    <w:rsid w:val="003574CB"/>
    <w:rsid w:val="003574E5"/>
    <w:rsid w:val="003575BD"/>
    <w:rsid w:val="00357664"/>
    <w:rsid w:val="003577D6"/>
    <w:rsid w:val="00357870"/>
    <w:rsid w:val="003578D4"/>
    <w:rsid w:val="00357A88"/>
    <w:rsid w:val="00357E20"/>
    <w:rsid w:val="00357EB1"/>
    <w:rsid w:val="00357EC1"/>
    <w:rsid w:val="00360059"/>
    <w:rsid w:val="003600BE"/>
    <w:rsid w:val="003600C4"/>
    <w:rsid w:val="003601BC"/>
    <w:rsid w:val="003604AC"/>
    <w:rsid w:val="0036073A"/>
    <w:rsid w:val="003607BB"/>
    <w:rsid w:val="003607F6"/>
    <w:rsid w:val="00360956"/>
    <w:rsid w:val="00360963"/>
    <w:rsid w:val="003609D9"/>
    <w:rsid w:val="00360A3B"/>
    <w:rsid w:val="00360BC6"/>
    <w:rsid w:val="00360BED"/>
    <w:rsid w:val="00360C13"/>
    <w:rsid w:val="00360FF4"/>
    <w:rsid w:val="003610FC"/>
    <w:rsid w:val="003611CC"/>
    <w:rsid w:val="00361325"/>
    <w:rsid w:val="003614CB"/>
    <w:rsid w:val="003615C5"/>
    <w:rsid w:val="003615CD"/>
    <w:rsid w:val="003618E3"/>
    <w:rsid w:val="003618F7"/>
    <w:rsid w:val="00361E28"/>
    <w:rsid w:val="00361F1C"/>
    <w:rsid w:val="00362012"/>
    <w:rsid w:val="00362033"/>
    <w:rsid w:val="0036204F"/>
    <w:rsid w:val="00362144"/>
    <w:rsid w:val="00362337"/>
    <w:rsid w:val="0036253A"/>
    <w:rsid w:val="00362636"/>
    <w:rsid w:val="00362698"/>
    <w:rsid w:val="00362746"/>
    <w:rsid w:val="00362854"/>
    <w:rsid w:val="003628D2"/>
    <w:rsid w:val="003628E4"/>
    <w:rsid w:val="00362A80"/>
    <w:rsid w:val="00362B11"/>
    <w:rsid w:val="00362B5A"/>
    <w:rsid w:val="00362BE4"/>
    <w:rsid w:val="00362CD2"/>
    <w:rsid w:val="00362D65"/>
    <w:rsid w:val="00362DFB"/>
    <w:rsid w:val="00362E72"/>
    <w:rsid w:val="0036306B"/>
    <w:rsid w:val="00363287"/>
    <w:rsid w:val="00363313"/>
    <w:rsid w:val="00363412"/>
    <w:rsid w:val="0036343A"/>
    <w:rsid w:val="00363525"/>
    <w:rsid w:val="003635F3"/>
    <w:rsid w:val="00363928"/>
    <w:rsid w:val="00363A32"/>
    <w:rsid w:val="00363A61"/>
    <w:rsid w:val="00363AC1"/>
    <w:rsid w:val="00363BD0"/>
    <w:rsid w:val="00363C01"/>
    <w:rsid w:val="00363DAE"/>
    <w:rsid w:val="00363F48"/>
    <w:rsid w:val="0036410C"/>
    <w:rsid w:val="003641A5"/>
    <w:rsid w:val="0036420C"/>
    <w:rsid w:val="0036428C"/>
    <w:rsid w:val="00364295"/>
    <w:rsid w:val="003642A1"/>
    <w:rsid w:val="003642AB"/>
    <w:rsid w:val="003642E0"/>
    <w:rsid w:val="0036431B"/>
    <w:rsid w:val="00364454"/>
    <w:rsid w:val="00364486"/>
    <w:rsid w:val="003644B3"/>
    <w:rsid w:val="0036458A"/>
    <w:rsid w:val="003647C8"/>
    <w:rsid w:val="003648D2"/>
    <w:rsid w:val="00364928"/>
    <w:rsid w:val="00364A42"/>
    <w:rsid w:val="00364CD7"/>
    <w:rsid w:val="00365015"/>
    <w:rsid w:val="0036503A"/>
    <w:rsid w:val="0036506E"/>
    <w:rsid w:val="0036516D"/>
    <w:rsid w:val="003651D1"/>
    <w:rsid w:val="00365263"/>
    <w:rsid w:val="0036545C"/>
    <w:rsid w:val="003655EE"/>
    <w:rsid w:val="0036569E"/>
    <w:rsid w:val="0036583F"/>
    <w:rsid w:val="00365A9F"/>
    <w:rsid w:val="00365AFD"/>
    <w:rsid w:val="00365C05"/>
    <w:rsid w:val="00365E6B"/>
    <w:rsid w:val="0036616A"/>
    <w:rsid w:val="003661EE"/>
    <w:rsid w:val="00366203"/>
    <w:rsid w:val="00366330"/>
    <w:rsid w:val="0036678D"/>
    <w:rsid w:val="003667E2"/>
    <w:rsid w:val="003668F5"/>
    <w:rsid w:val="00366A84"/>
    <w:rsid w:val="00366BCB"/>
    <w:rsid w:val="00366BEF"/>
    <w:rsid w:val="00366BF9"/>
    <w:rsid w:val="00366D5C"/>
    <w:rsid w:val="00366F76"/>
    <w:rsid w:val="00367194"/>
    <w:rsid w:val="003671AF"/>
    <w:rsid w:val="003671C7"/>
    <w:rsid w:val="003672CC"/>
    <w:rsid w:val="00367605"/>
    <w:rsid w:val="00367999"/>
    <w:rsid w:val="003679B5"/>
    <w:rsid w:val="00367A93"/>
    <w:rsid w:val="00367B29"/>
    <w:rsid w:val="00367BE5"/>
    <w:rsid w:val="00367CC6"/>
    <w:rsid w:val="00367D72"/>
    <w:rsid w:val="00367DB3"/>
    <w:rsid w:val="00367DFF"/>
    <w:rsid w:val="00367E8B"/>
    <w:rsid w:val="003700CC"/>
    <w:rsid w:val="003701A0"/>
    <w:rsid w:val="003701F1"/>
    <w:rsid w:val="00370261"/>
    <w:rsid w:val="003702C7"/>
    <w:rsid w:val="003702D8"/>
    <w:rsid w:val="00370699"/>
    <w:rsid w:val="00370782"/>
    <w:rsid w:val="00370908"/>
    <w:rsid w:val="00370922"/>
    <w:rsid w:val="003709BF"/>
    <w:rsid w:val="00370A04"/>
    <w:rsid w:val="00370ADE"/>
    <w:rsid w:val="00370D9D"/>
    <w:rsid w:val="00370E08"/>
    <w:rsid w:val="00370E09"/>
    <w:rsid w:val="00370F6C"/>
    <w:rsid w:val="00370FD4"/>
    <w:rsid w:val="003710F5"/>
    <w:rsid w:val="00371205"/>
    <w:rsid w:val="003713A0"/>
    <w:rsid w:val="0037142F"/>
    <w:rsid w:val="0037147A"/>
    <w:rsid w:val="003714C1"/>
    <w:rsid w:val="003719C3"/>
    <w:rsid w:val="00371A58"/>
    <w:rsid w:val="00371C7A"/>
    <w:rsid w:val="00371D2C"/>
    <w:rsid w:val="00371DE9"/>
    <w:rsid w:val="00371EAC"/>
    <w:rsid w:val="00371ED0"/>
    <w:rsid w:val="00371F40"/>
    <w:rsid w:val="00371FB5"/>
    <w:rsid w:val="00371FEA"/>
    <w:rsid w:val="00371FF5"/>
    <w:rsid w:val="00372218"/>
    <w:rsid w:val="00372336"/>
    <w:rsid w:val="0037235C"/>
    <w:rsid w:val="003723FD"/>
    <w:rsid w:val="003724A2"/>
    <w:rsid w:val="003724DA"/>
    <w:rsid w:val="00372553"/>
    <w:rsid w:val="00372562"/>
    <w:rsid w:val="00372876"/>
    <w:rsid w:val="00372924"/>
    <w:rsid w:val="00372959"/>
    <w:rsid w:val="00372972"/>
    <w:rsid w:val="003729A7"/>
    <w:rsid w:val="00372D57"/>
    <w:rsid w:val="00372E43"/>
    <w:rsid w:val="00372E9B"/>
    <w:rsid w:val="00372EA8"/>
    <w:rsid w:val="00372F9D"/>
    <w:rsid w:val="003731B5"/>
    <w:rsid w:val="00373284"/>
    <w:rsid w:val="003733DD"/>
    <w:rsid w:val="00373460"/>
    <w:rsid w:val="00373514"/>
    <w:rsid w:val="003735CD"/>
    <w:rsid w:val="003735D9"/>
    <w:rsid w:val="003736C5"/>
    <w:rsid w:val="0037387E"/>
    <w:rsid w:val="00373B03"/>
    <w:rsid w:val="00373D03"/>
    <w:rsid w:val="00373F53"/>
    <w:rsid w:val="00374076"/>
    <w:rsid w:val="00374112"/>
    <w:rsid w:val="00374159"/>
    <w:rsid w:val="00374259"/>
    <w:rsid w:val="00374274"/>
    <w:rsid w:val="00374530"/>
    <w:rsid w:val="00374654"/>
    <w:rsid w:val="00374748"/>
    <w:rsid w:val="00374AF3"/>
    <w:rsid w:val="00374BF7"/>
    <w:rsid w:val="00374D59"/>
    <w:rsid w:val="00374D5E"/>
    <w:rsid w:val="00374E03"/>
    <w:rsid w:val="00374E3C"/>
    <w:rsid w:val="00374F63"/>
    <w:rsid w:val="00375038"/>
    <w:rsid w:val="00375275"/>
    <w:rsid w:val="00375326"/>
    <w:rsid w:val="00375370"/>
    <w:rsid w:val="003756A1"/>
    <w:rsid w:val="00375777"/>
    <w:rsid w:val="0037584C"/>
    <w:rsid w:val="00375903"/>
    <w:rsid w:val="00375A12"/>
    <w:rsid w:val="00375EC9"/>
    <w:rsid w:val="00376232"/>
    <w:rsid w:val="003762B2"/>
    <w:rsid w:val="00376383"/>
    <w:rsid w:val="003763E7"/>
    <w:rsid w:val="00376548"/>
    <w:rsid w:val="00376790"/>
    <w:rsid w:val="0037683F"/>
    <w:rsid w:val="003769D4"/>
    <w:rsid w:val="00376A79"/>
    <w:rsid w:val="00376AB8"/>
    <w:rsid w:val="00376CF0"/>
    <w:rsid w:val="00376D67"/>
    <w:rsid w:val="00376E4A"/>
    <w:rsid w:val="0037705E"/>
    <w:rsid w:val="003775BD"/>
    <w:rsid w:val="003779BC"/>
    <w:rsid w:val="003779ED"/>
    <w:rsid w:val="00377A3B"/>
    <w:rsid w:val="00377AC2"/>
    <w:rsid w:val="00377B66"/>
    <w:rsid w:val="00377D78"/>
    <w:rsid w:val="00377D80"/>
    <w:rsid w:val="003800C3"/>
    <w:rsid w:val="0038056E"/>
    <w:rsid w:val="0038079E"/>
    <w:rsid w:val="00380809"/>
    <w:rsid w:val="00380884"/>
    <w:rsid w:val="003808F9"/>
    <w:rsid w:val="003809AF"/>
    <w:rsid w:val="00380B30"/>
    <w:rsid w:val="00380CDA"/>
    <w:rsid w:val="00380D30"/>
    <w:rsid w:val="00380F0F"/>
    <w:rsid w:val="00381072"/>
    <w:rsid w:val="0038119A"/>
    <w:rsid w:val="00381254"/>
    <w:rsid w:val="0038137B"/>
    <w:rsid w:val="00381390"/>
    <w:rsid w:val="003813D6"/>
    <w:rsid w:val="00381638"/>
    <w:rsid w:val="0038166F"/>
    <w:rsid w:val="003816D2"/>
    <w:rsid w:val="0038186E"/>
    <w:rsid w:val="00381943"/>
    <w:rsid w:val="00381D89"/>
    <w:rsid w:val="00381DAB"/>
    <w:rsid w:val="00381E19"/>
    <w:rsid w:val="00381E2E"/>
    <w:rsid w:val="00381F41"/>
    <w:rsid w:val="003822B4"/>
    <w:rsid w:val="00382565"/>
    <w:rsid w:val="00382574"/>
    <w:rsid w:val="00382634"/>
    <w:rsid w:val="003827A4"/>
    <w:rsid w:val="0038280C"/>
    <w:rsid w:val="00382A8E"/>
    <w:rsid w:val="00382BBA"/>
    <w:rsid w:val="00382D93"/>
    <w:rsid w:val="00382DD0"/>
    <w:rsid w:val="00382E09"/>
    <w:rsid w:val="00382F4B"/>
    <w:rsid w:val="00382F96"/>
    <w:rsid w:val="00383025"/>
    <w:rsid w:val="0038343C"/>
    <w:rsid w:val="00383479"/>
    <w:rsid w:val="00383620"/>
    <w:rsid w:val="00383772"/>
    <w:rsid w:val="00383778"/>
    <w:rsid w:val="0038382F"/>
    <w:rsid w:val="0038394E"/>
    <w:rsid w:val="00383AD0"/>
    <w:rsid w:val="00383D84"/>
    <w:rsid w:val="00383FC4"/>
    <w:rsid w:val="0038415E"/>
    <w:rsid w:val="0038429E"/>
    <w:rsid w:val="00384484"/>
    <w:rsid w:val="00384535"/>
    <w:rsid w:val="003848F0"/>
    <w:rsid w:val="00384A60"/>
    <w:rsid w:val="00384A69"/>
    <w:rsid w:val="00384B11"/>
    <w:rsid w:val="00384BCD"/>
    <w:rsid w:val="00384E0E"/>
    <w:rsid w:val="003851EF"/>
    <w:rsid w:val="003852CD"/>
    <w:rsid w:val="003852EE"/>
    <w:rsid w:val="00385375"/>
    <w:rsid w:val="00385537"/>
    <w:rsid w:val="00385598"/>
    <w:rsid w:val="0038571E"/>
    <w:rsid w:val="00385ABE"/>
    <w:rsid w:val="00385BE1"/>
    <w:rsid w:val="00385F7B"/>
    <w:rsid w:val="0038602F"/>
    <w:rsid w:val="0038604D"/>
    <w:rsid w:val="00386113"/>
    <w:rsid w:val="003861C2"/>
    <w:rsid w:val="00386209"/>
    <w:rsid w:val="00386422"/>
    <w:rsid w:val="00386584"/>
    <w:rsid w:val="003865B9"/>
    <w:rsid w:val="0038665A"/>
    <w:rsid w:val="00386AB5"/>
    <w:rsid w:val="00386AED"/>
    <w:rsid w:val="00386AEE"/>
    <w:rsid w:val="00386B9B"/>
    <w:rsid w:val="00386BE5"/>
    <w:rsid w:val="00386C41"/>
    <w:rsid w:val="00386CFB"/>
    <w:rsid w:val="00386EAA"/>
    <w:rsid w:val="00387218"/>
    <w:rsid w:val="0038726A"/>
    <w:rsid w:val="003873D2"/>
    <w:rsid w:val="003873F0"/>
    <w:rsid w:val="00387813"/>
    <w:rsid w:val="003878BD"/>
    <w:rsid w:val="003878BF"/>
    <w:rsid w:val="00387989"/>
    <w:rsid w:val="00387A46"/>
    <w:rsid w:val="00387A56"/>
    <w:rsid w:val="00387B14"/>
    <w:rsid w:val="00387B1C"/>
    <w:rsid w:val="00387BA2"/>
    <w:rsid w:val="00387C91"/>
    <w:rsid w:val="00387E81"/>
    <w:rsid w:val="00387F1C"/>
    <w:rsid w:val="00387F2F"/>
    <w:rsid w:val="00387FA4"/>
    <w:rsid w:val="00387FBB"/>
    <w:rsid w:val="00390186"/>
    <w:rsid w:val="0039020D"/>
    <w:rsid w:val="0039026C"/>
    <w:rsid w:val="003903B4"/>
    <w:rsid w:val="003903E3"/>
    <w:rsid w:val="00390802"/>
    <w:rsid w:val="003908D2"/>
    <w:rsid w:val="00390913"/>
    <w:rsid w:val="00390968"/>
    <w:rsid w:val="00390C9B"/>
    <w:rsid w:val="00390DAA"/>
    <w:rsid w:val="00390F2A"/>
    <w:rsid w:val="003910E2"/>
    <w:rsid w:val="00391132"/>
    <w:rsid w:val="003911C1"/>
    <w:rsid w:val="00391388"/>
    <w:rsid w:val="00391565"/>
    <w:rsid w:val="0039156E"/>
    <w:rsid w:val="003915E0"/>
    <w:rsid w:val="00391701"/>
    <w:rsid w:val="00391729"/>
    <w:rsid w:val="003917EB"/>
    <w:rsid w:val="00391AC1"/>
    <w:rsid w:val="00391AC9"/>
    <w:rsid w:val="00391B6A"/>
    <w:rsid w:val="00391C07"/>
    <w:rsid w:val="00391C80"/>
    <w:rsid w:val="00391C84"/>
    <w:rsid w:val="00391D58"/>
    <w:rsid w:val="00391F0D"/>
    <w:rsid w:val="00391F36"/>
    <w:rsid w:val="00392207"/>
    <w:rsid w:val="003922D5"/>
    <w:rsid w:val="0039232B"/>
    <w:rsid w:val="003923FA"/>
    <w:rsid w:val="00392474"/>
    <w:rsid w:val="003924C1"/>
    <w:rsid w:val="003925EF"/>
    <w:rsid w:val="003926AE"/>
    <w:rsid w:val="003927E7"/>
    <w:rsid w:val="00392A10"/>
    <w:rsid w:val="00392BF4"/>
    <w:rsid w:val="00392D45"/>
    <w:rsid w:val="00392E5F"/>
    <w:rsid w:val="00393025"/>
    <w:rsid w:val="0039314E"/>
    <w:rsid w:val="00393207"/>
    <w:rsid w:val="003933C2"/>
    <w:rsid w:val="003933E4"/>
    <w:rsid w:val="00393457"/>
    <w:rsid w:val="00393698"/>
    <w:rsid w:val="003937BF"/>
    <w:rsid w:val="00393965"/>
    <w:rsid w:val="00393AA6"/>
    <w:rsid w:val="00393B8A"/>
    <w:rsid w:val="00393CCE"/>
    <w:rsid w:val="00393E94"/>
    <w:rsid w:val="00393EA9"/>
    <w:rsid w:val="00393F97"/>
    <w:rsid w:val="00394059"/>
    <w:rsid w:val="003945CE"/>
    <w:rsid w:val="003945ED"/>
    <w:rsid w:val="0039460E"/>
    <w:rsid w:val="003946C6"/>
    <w:rsid w:val="003947BA"/>
    <w:rsid w:val="00394C57"/>
    <w:rsid w:val="00394CEB"/>
    <w:rsid w:val="00394F6B"/>
    <w:rsid w:val="0039530E"/>
    <w:rsid w:val="003955A1"/>
    <w:rsid w:val="0039568D"/>
    <w:rsid w:val="003957A3"/>
    <w:rsid w:val="003957CF"/>
    <w:rsid w:val="00395864"/>
    <w:rsid w:val="00395B55"/>
    <w:rsid w:val="00395F2A"/>
    <w:rsid w:val="00396187"/>
    <w:rsid w:val="003962CE"/>
    <w:rsid w:val="003963C1"/>
    <w:rsid w:val="003964C1"/>
    <w:rsid w:val="00396695"/>
    <w:rsid w:val="003966D8"/>
    <w:rsid w:val="003968AC"/>
    <w:rsid w:val="003969BB"/>
    <w:rsid w:val="00396AD5"/>
    <w:rsid w:val="00396B94"/>
    <w:rsid w:val="00396C77"/>
    <w:rsid w:val="00396D2C"/>
    <w:rsid w:val="00396E48"/>
    <w:rsid w:val="00396EEB"/>
    <w:rsid w:val="00396EEE"/>
    <w:rsid w:val="00396F82"/>
    <w:rsid w:val="00396FE6"/>
    <w:rsid w:val="0039701C"/>
    <w:rsid w:val="00397026"/>
    <w:rsid w:val="003970D0"/>
    <w:rsid w:val="00397257"/>
    <w:rsid w:val="0039727D"/>
    <w:rsid w:val="00397467"/>
    <w:rsid w:val="00397539"/>
    <w:rsid w:val="003978C7"/>
    <w:rsid w:val="003979D8"/>
    <w:rsid w:val="00397A25"/>
    <w:rsid w:val="00397FDF"/>
    <w:rsid w:val="003A0083"/>
    <w:rsid w:val="003A009D"/>
    <w:rsid w:val="003A057C"/>
    <w:rsid w:val="003A078E"/>
    <w:rsid w:val="003A081F"/>
    <w:rsid w:val="003A0959"/>
    <w:rsid w:val="003A09DE"/>
    <w:rsid w:val="003A0AC5"/>
    <w:rsid w:val="003A0ADC"/>
    <w:rsid w:val="003A0E5D"/>
    <w:rsid w:val="003A0F42"/>
    <w:rsid w:val="003A10AE"/>
    <w:rsid w:val="003A10BC"/>
    <w:rsid w:val="003A1127"/>
    <w:rsid w:val="003A12E5"/>
    <w:rsid w:val="003A1377"/>
    <w:rsid w:val="003A148C"/>
    <w:rsid w:val="003A15AA"/>
    <w:rsid w:val="003A197F"/>
    <w:rsid w:val="003A1A2D"/>
    <w:rsid w:val="003A1A40"/>
    <w:rsid w:val="003A1B1D"/>
    <w:rsid w:val="003A1C50"/>
    <w:rsid w:val="003A1CBA"/>
    <w:rsid w:val="003A1D54"/>
    <w:rsid w:val="003A1D91"/>
    <w:rsid w:val="003A1E90"/>
    <w:rsid w:val="003A20BE"/>
    <w:rsid w:val="003A2535"/>
    <w:rsid w:val="003A262A"/>
    <w:rsid w:val="003A27B0"/>
    <w:rsid w:val="003A27E3"/>
    <w:rsid w:val="003A287D"/>
    <w:rsid w:val="003A2A64"/>
    <w:rsid w:val="003A2AD5"/>
    <w:rsid w:val="003A2B3E"/>
    <w:rsid w:val="003A2B9B"/>
    <w:rsid w:val="003A2BAB"/>
    <w:rsid w:val="003A2C04"/>
    <w:rsid w:val="003A2D28"/>
    <w:rsid w:val="003A2EDE"/>
    <w:rsid w:val="003A2EFA"/>
    <w:rsid w:val="003A2F3D"/>
    <w:rsid w:val="003A3123"/>
    <w:rsid w:val="003A33F5"/>
    <w:rsid w:val="003A36CA"/>
    <w:rsid w:val="003A37FB"/>
    <w:rsid w:val="003A38D1"/>
    <w:rsid w:val="003A38E3"/>
    <w:rsid w:val="003A3957"/>
    <w:rsid w:val="003A3A49"/>
    <w:rsid w:val="003A3BA8"/>
    <w:rsid w:val="003A3CDE"/>
    <w:rsid w:val="003A3CF3"/>
    <w:rsid w:val="003A3DCB"/>
    <w:rsid w:val="003A401F"/>
    <w:rsid w:val="003A40CA"/>
    <w:rsid w:val="003A424B"/>
    <w:rsid w:val="003A430C"/>
    <w:rsid w:val="003A43C0"/>
    <w:rsid w:val="003A4B03"/>
    <w:rsid w:val="003A4B77"/>
    <w:rsid w:val="003A4DF2"/>
    <w:rsid w:val="003A4F8E"/>
    <w:rsid w:val="003A506A"/>
    <w:rsid w:val="003A50A0"/>
    <w:rsid w:val="003A50AA"/>
    <w:rsid w:val="003A50B5"/>
    <w:rsid w:val="003A516F"/>
    <w:rsid w:val="003A51A4"/>
    <w:rsid w:val="003A5208"/>
    <w:rsid w:val="003A529A"/>
    <w:rsid w:val="003A529C"/>
    <w:rsid w:val="003A5361"/>
    <w:rsid w:val="003A5607"/>
    <w:rsid w:val="003A5943"/>
    <w:rsid w:val="003A5A1D"/>
    <w:rsid w:val="003A5B06"/>
    <w:rsid w:val="003A5BED"/>
    <w:rsid w:val="003A5E39"/>
    <w:rsid w:val="003A5E9E"/>
    <w:rsid w:val="003A5FC9"/>
    <w:rsid w:val="003A6236"/>
    <w:rsid w:val="003A6373"/>
    <w:rsid w:val="003A63D0"/>
    <w:rsid w:val="003A65EE"/>
    <w:rsid w:val="003A675E"/>
    <w:rsid w:val="003A6766"/>
    <w:rsid w:val="003A6865"/>
    <w:rsid w:val="003A6A12"/>
    <w:rsid w:val="003A6B55"/>
    <w:rsid w:val="003A6B9D"/>
    <w:rsid w:val="003A6CB7"/>
    <w:rsid w:val="003A6CFF"/>
    <w:rsid w:val="003A6E0B"/>
    <w:rsid w:val="003A6E94"/>
    <w:rsid w:val="003A7091"/>
    <w:rsid w:val="003A7120"/>
    <w:rsid w:val="003A722F"/>
    <w:rsid w:val="003A73AA"/>
    <w:rsid w:val="003A7467"/>
    <w:rsid w:val="003A756C"/>
    <w:rsid w:val="003A75EC"/>
    <w:rsid w:val="003A7746"/>
    <w:rsid w:val="003A778E"/>
    <w:rsid w:val="003A7792"/>
    <w:rsid w:val="003A7797"/>
    <w:rsid w:val="003A7841"/>
    <w:rsid w:val="003A7962"/>
    <w:rsid w:val="003A79C4"/>
    <w:rsid w:val="003A7A41"/>
    <w:rsid w:val="003A7A6B"/>
    <w:rsid w:val="003A7B8F"/>
    <w:rsid w:val="003A7DE0"/>
    <w:rsid w:val="003A7DE7"/>
    <w:rsid w:val="003A7E6C"/>
    <w:rsid w:val="003A7E98"/>
    <w:rsid w:val="003B0108"/>
    <w:rsid w:val="003B029E"/>
    <w:rsid w:val="003B030E"/>
    <w:rsid w:val="003B03DE"/>
    <w:rsid w:val="003B0851"/>
    <w:rsid w:val="003B08A8"/>
    <w:rsid w:val="003B08E4"/>
    <w:rsid w:val="003B0BBD"/>
    <w:rsid w:val="003B0D38"/>
    <w:rsid w:val="003B0D5E"/>
    <w:rsid w:val="003B0E1C"/>
    <w:rsid w:val="003B0F77"/>
    <w:rsid w:val="003B0F7B"/>
    <w:rsid w:val="003B10C0"/>
    <w:rsid w:val="003B1104"/>
    <w:rsid w:val="003B13D4"/>
    <w:rsid w:val="003B14CE"/>
    <w:rsid w:val="003B15F7"/>
    <w:rsid w:val="003B1840"/>
    <w:rsid w:val="003B185A"/>
    <w:rsid w:val="003B1A4F"/>
    <w:rsid w:val="003B1ADE"/>
    <w:rsid w:val="003B1DE3"/>
    <w:rsid w:val="003B1F04"/>
    <w:rsid w:val="003B2747"/>
    <w:rsid w:val="003B29BF"/>
    <w:rsid w:val="003B2B0E"/>
    <w:rsid w:val="003B2BF2"/>
    <w:rsid w:val="003B2C20"/>
    <w:rsid w:val="003B2CB7"/>
    <w:rsid w:val="003B2D33"/>
    <w:rsid w:val="003B2DE9"/>
    <w:rsid w:val="003B3391"/>
    <w:rsid w:val="003B3439"/>
    <w:rsid w:val="003B3497"/>
    <w:rsid w:val="003B3572"/>
    <w:rsid w:val="003B368F"/>
    <w:rsid w:val="003B377D"/>
    <w:rsid w:val="003B3E4E"/>
    <w:rsid w:val="003B3FEB"/>
    <w:rsid w:val="003B4001"/>
    <w:rsid w:val="003B4034"/>
    <w:rsid w:val="003B4105"/>
    <w:rsid w:val="003B422D"/>
    <w:rsid w:val="003B4242"/>
    <w:rsid w:val="003B47DF"/>
    <w:rsid w:val="003B480F"/>
    <w:rsid w:val="003B4C08"/>
    <w:rsid w:val="003B4C3F"/>
    <w:rsid w:val="003B4CC8"/>
    <w:rsid w:val="003B4CD6"/>
    <w:rsid w:val="003B4E99"/>
    <w:rsid w:val="003B5008"/>
    <w:rsid w:val="003B5159"/>
    <w:rsid w:val="003B5599"/>
    <w:rsid w:val="003B568E"/>
    <w:rsid w:val="003B59AA"/>
    <w:rsid w:val="003B5A2B"/>
    <w:rsid w:val="003B5C29"/>
    <w:rsid w:val="003B5EC9"/>
    <w:rsid w:val="003B5F2C"/>
    <w:rsid w:val="003B6076"/>
    <w:rsid w:val="003B60AE"/>
    <w:rsid w:val="003B6100"/>
    <w:rsid w:val="003B64A1"/>
    <w:rsid w:val="003B67FB"/>
    <w:rsid w:val="003B6805"/>
    <w:rsid w:val="003B694C"/>
    <w:rsid w:val="003B698A"/>
    <w:rsid w:val="003B69CD"/>
    <w:rsid w:val="003B6B0B"/>
    <w:rsid w:val="003B6CA9"/>
    <w:rsid w:val="003B6E90"/>
    <w:rsid w:val="003B6E9E"/>
    <w:rsid w:val="003B70F0"/>
    <w:rsid w:val="003B710F"/>
    <w:rsid w:val="003B7586"/>
    <w:rsid w:val="003B779F"/>
    <w:rsid w:val="003B7A44"/>
    <w:rsid w:val="003B7B0F"/>
    <w:rsid w:val="003B7CDB"/>
    <w:rsid w:val="003B7D93"/>
    <w:rsid w:val="003B7E2E"/>
    <w:rsid w:val="003C0228"/>
    <w:rsid w:val="003C025C"/>
    <w:rsid w:val="003C058D"/>
    <w:rsid w:val="003C0600"/>
    <w:rsid w:val="003C0774"/>
    <w:rsid w:val="003C08D3"/>
    <w:rsid w:val="003C0967"/>
    <w:rsid w:val="003C0B65"/>
    <w:rsid w:val="003C0F20"/>
    <w:rsid w:val="003C1029"/>
    <w:rsid w:val="003C1039"/>
    <w:rsid w:val="003C169D"/>
    <w:rsid w:val="003C1862"/>
    <w:rsid w:val="003C18BB"/>
    <w:rsid w:val="003C1948"/>
    <w:rsid w:val="003C19AC"/>
    <w:rsid w:val="003C1B1C"/>
    <w:rsid w:val="003C1BA0"/>
    <w:rsid w:val="003C1D2E"/>
    <w:rsid w:val="003C1DAC"/>
    <w:rsid w:val="003C1E39"/>
    <w:rsid w:val="003C1E90"/>
    <w:rsid w:val="003C21D6"/>
    <w:rsid w:val="003C22CE"/>
    <w:rsid w:val="003C22E6"/>
    <w:rsid w:val="003C22ED"/>
    <w:rsid w:val="003C23AB"/>
    <w:rsid w:val="003C2405"/>
    <w:rsid w:val="003C2461"/>
    <w:rsid w:val="003C246C"/>
    <w:rsid w:val="003C2564"/>
    <w:rsid w:val="003C25C3"/>
    <w:rsid w:val="003C25F0"/>
    <w:rsid w:val="003C25F4"/>
    <w:rsid w:val="003C26A2"/>
    <w:rsid w:val="003C27FD"/>
    <w:rsid w:val="003C2836"/>
    <w:rsid w:val="003C2979"/>
    <w:rsid w:val="003C2B03"/>
    <w:rsid w:val="003C2BE9"/>
    <w:rsid w:val="003C2C77"/>
    <w:rsid w:val="003C2DB1"/>
    <w:rsid w:val="003C2F04"/>
    <w:rsid w:val="003C319B"/>
    <w:rsid w:val="003C31A0"/>
    <w:rsid w:val="003C3307"/>
    <w:rsid w:val="003C3312"/>
    <w:rsid w:val="003C3470"/>
    <w:rsid w:val="003C348A"/>
    <w:rsid w:val="003C34B9"/>
    <w:rsid w:val="003C373A"/>
    <w:rsid w:val="003C37FD"/>
    <w:rsid w:val="003C392C"/>
    <w:rsid w:val="003C3AF1"/>
    <w:rsid w:val="003C3D58"/>
    <w:rsid w:val="003C3E90"/>
    <w:rsid w:val="003C422C"/>
    <w:rsid w:val="003C4456"/>
    <w:rsid w:val="003C449A"/>
    <w:rsid w:val="003C466E"/>
    <w:rsid w:val="003C46C0"/>
    <w:rsid w:val="003C4B5B"/>
    <w:rsid w:val="003C4D69"/>
    <w:rsid w:val="003C4E4E"/>
    <w:rsid w:val="003C4F8B"/>
    <w:rsid w:val="003C523E"/>
    <w:rsid w:val="003C5271"/>
    <w:rsid w:val="003C56C1"/>
    <w:rsid w:val="003C5719"/>
    <w:rsid w:val="003C588F"/>
    <w:rsid w:val="003C5909"/>
    <w:rsid w:val="003C5B64"/>
    <w:rsid w:val="003C5C30"/>
    <w:rsid w:val="003C5C5D"/>
    <w:rsid w:val="003C5C5E"/>
    <w:rsid w:val="003C5D4D"/>
    <w:rsid w:val="003C5E7D"/>
    <w:rsid w:val="003C5EEC"/>
    <w:rsid w:val="003C5F6B"/>
    <w:rsid w:val="003C6128"/>
    <w:rsid w:val="003C6199"/>
    <w:rsid w:val="003C62DA"/>
    <w:rsid w:val="003C64C1"/>
    <w:rsid w:val="003C652D"/>
    <w:rsid w:val="003C6593"/>
    <w:rsid w:val="003C6601"/>
    <w:rsid w:val="003C66B3"/>
    <w:rsid w:val="003C66F8"/>
    <w:rsid w:val="003C672D"/>
    <w:rsid w:val="003C6914"/>
    <w:rsid w:val="003C6AC4"/>
    <w:rsid w:val="003C6CA3"/>
    <w:rsid w:val="003C6FD9"/>
    <w:rsid w:val="003C708E"/>
    <w:rsid w:val="003C70CC"/>
    <w:rsid w:val="003C72B7"/>
    <w:rsid w:val="003C7464"/>
    <w:rsid w:val="003C7799"/>
    <w:rsid w:val="003C783D"/>
    <w:rsid w:val="003C7A3C"/>
    <w:rsid w:val="003C7A75"/>
    <w:rsid w:val="003C7B12"/>
    <w:rsid w:val="003C7B87"/>
    <w:rsid w:val="003C7BC0"/>
    <w:rsid w:val="003C7CE9"/>
    <w:rsid w:val="003C7E86"/>
    <w:rsid w:val="003C7ECB"/>
    <w:rsid w:val="003D0255"/>
    <w:rsid w:val="003D033D"/>
    <w:rsid w:val="003D03A0"/>
    <w:rsid w:val="003D0427"/>
    <w:rsid w:val="003D07E9"/>
    <w:rsid w:val="003D09E6"/>
    <w:rsid w:val="003D0AE3"/>
    <w:rsid w:val="003D0BDC"/>
    <w:rsid w:val="003D0EF6"/>
    <w:rsid w:val="003D0F9D"/>
    <w:rsid w:val="003D0FA9"/>
    <w:rsid w:val="003D11E2"/>
    <w:rsid w:val="003D12A1"/>
    <w:rsid w:val="003D1388"/>
    <w:rsid w:val="003D1390"/>
    <w:rsid w:val="003D139A"/>
    <w:rsid w:val="003D1441"/>
    <w:rsid w:val="003D155D"/>
    <w:rsid w:val="003D1643"/>
    <w:rsid w:val="003D16CD"/>
    <w:rsid w:val="003D16F0"/>
    <w:rsid w:val="003D17D0"/>
    <w:rsid w:val="003D18D0"/>
    <w:rsid w:val="003D1AD2"/>
    <w:rsid w:val="003D1AF7"/>
    <w:rsid w:val="003D1D21"/>
    <w:rsid w:val="003D1DE7"/>
    <w:rsid w:val="003D1E48"/>
    <w:rsid w:val="003D1E7E"/>
    <w:rsid w:val="003D1F54"/>
    <w:rsid w:val="003D1FBD"/>
    <w:rsid w:val="003D207A"/>
    <w:rsid w:val="003D2150"/>
    <w:rsid w:val="003D2251"/>
    <w:rsid w:val="003D227F"/>
    <w:rsid w:val="003D238C"/>
    <w:rsid w:val="003D2446"/>
    <w:rsid w:val="003D2739"/>
    <w:rsid w:val="003D274E"/>
    <w:rsid w:val="003D2978"/>
    <w:rsid w:val="003D298C"/>
    <w:rsid w:val="003D2A40"/>
    <w:rsid w:val="003D2A99"/>
    <w:rsid w:val="003D2CE1"/>
    <w:rsid w:val="003D2E0D"/>
    <w:rsid w:val="003D2FBB"/>
    <w:rsid w:val="003D3099"/>
    <w:rsid w:val="003D3128"/>
    <w:rsid w:val="003D3363"/>
    <w:rsid w:val="003D34CC"/>
    <w:rsid w:val="003D362F"/>
    <w:rsid w:val="003D3684"/>
    <w:rsid w:val="003D399B"/>
    <w:rsid w:val="003D3B1F"/>
    <w:rsid w:val="003D3B3A"/>
    <w:rsid w:val="003D3B3D"/>
    <w:rsid w:val="003D3B3E"/>
    <w:rsid w:val="003D3B6D"/>
    <w:rsid w:val="003D3B8F"/>
    <w:rsid w:val="003D3D49"/>
    <w:rsid w:val="003D3E11"/>
    <w:rsid w:val="003D4224"/>
    <w:rsid w:val="003D426C"/>
    <w:rsid w:val="003D4292"/>
    <w:rsid w:val="003D4314"/>
    <w:rsid w:val="003D43E7"/>
    <w:rsid w:val="003D4465"/>
    <w:rsid w:val="003D4552"/>
    <w:rsid w:val="003D45AF"/>
    <w:rsid w:val="003D46FA"/>
    <w:rsid w:val="003D47F7"/>
    <w:rsid w:val="003D48C4"/>
    <w:rsid w:val="003D49B7"/>
    <w:rsid w:val="003D49D0"/>
    <w:rsid w:val="003D4AA4"/>
    <w:rsid w:val="003D4C50"/>
    <w:rsid w:val="003D4CDD"/>
    <w:rsid w:val="003D4E7F"/>
    <w:rsid w:val="003D4E88"/>
    <w:rsid w:val="003D4F31"/>
    <w:rsid w:val="003D50E0"/>
    <w:rsid w:val="003D51C4"/>
    <w:rsid w:val="003D524C"/>
    <w:rsid w:val="003D54DB"/>
    <w:rsid w:val="003D555A"/>
    <w:rsid w:val="003D5588"/>
    <w:rsid w:val="003D5871"/>
    <w:rsid w:val="003D58DE"/>
    <w:rsid w:val="003D596B"/>
    <w:rsid w:val="003D599A"/>
    <w:rsid w:val="003D59B4"/>
    <w:rsid w:val="003D5CA1"/>
    <w:rsid w:val="003D60A1"/>
    <w:rsid w:val="003D617B"/>
    <w:rsid w:val="003D62ED"/>
    <w:rsid w:val="003D640D"/>
    <w:rsid w:val="003D66B3"/>
    <w:rsid w:val="003D6783"/>
    <w:rsid w:val="003D6923"/>
    <w:rsid w:val="003D6A23"/>
    <w:rsid w:val="003D6B4B"/>
    <w:rsid w:val="003D6D0D"/>
    <w:rsid w:val="003D6DA4"/>
    <w:rsid w:val="003D6DE0"/>
    <w:rsid w:val="003D6E55"/>
    <w:rsid w:val="003D6E9D"/>
    <w:rsid w:val="003D7042"/>
    <w:rsid w:val="003D709E"/>
    <w:rsid w:val="003D72D1"/>
    <w:rsid w:val="003D737B"/>
    <w:rsid w:val="003D73E5"/>
    <w:rsid w:val="003D751C"/>
    <w:rsid w:val="003D7645"/>
    <w:rsid w:val="003D76D1"/>
    <w:rsid w:val="003D7705"/>
    <w:rsid w:val="003D79C4"/>
    <w:rsid w:val="003D7BC0"/>
    <w:rsid w:val="003D7E9D"/>
    <w:rsid w:val="003D7FDF"/>
    <w:rsid w:val="003E001C"/>
    <w:rsid w:val="003E0089"/>
    <w:rsid w:val="003E00AC"/>
    <w:rsid w:val="003E00DE"/>
    <w:rsid w:val="003E0217"/>
    <w:rsid w:val="003E02C4"/>
    <w:rsid w:val="003E03C3"/>
    <w:rsid w:val="003E0582"/>
    <w:rsid w:val="003E0613"/>
    <w:rsid w:val="003E062D"/>
    <w:rsid w:val="003E0843"/>
    <w:rsid w:val="003E0D23"/>
    <w:rsid w:val="003E0D49"/>
    <w:rsid w:val="003E0FFA"/>
    <w:rsid w:val="003E129C"/>
    <w:rsid w:val="003E1307"/>
    <w:rsid w:val="003E135A"/>
    <w:rsid w:val="003E14DF"/>
    <w:rsid w:val="003E160A"/>
    <w:rsid w:val="003E165A"/>
    <w:rsid w:val="003E1779"/>
    <w:rsid w:val="003E18A7"/>
    <w:rsid w:val="003E1CFA"/>
    <w:rsid w:val="003E1E9B"/>
    <w:rsid w:val="003E1EDC"/>
    <w:rsid w:val="003E1EE6"/>
    <w:rsid w:val="003E1F5B"/>
    <w:rsid w:val="003E1FAA"/>
    <w:rsid w:val="003E20AB"/>
    <w:rsid w:val="003E20BD"/>
    <w:rsid w:val="003E22CF"/>
    <w:rsid w:val="003E242A"/>
    <w:rsid w:val="003E24F0"/>
    <w:rsid w:val="003E2718"/>
    <w:rsid w:val="003E2766"/>
    <w:rsid w:val="003E27F2"/>
    <w:rsid w:val="003E29BD"/>
    <w:rsid w:val="003E2B4C"/>
    <w:rsid w:val="003E2DAE"/>
    <w:rsid w:val="003E2E1E"/>
    <w:rsid w:val="003E2F3C"/>
    <w:rsid w:val="003E2FF5"/>
    <w:rsid w:val="003E31E4"/>
    <w:rsid w:val="003E3236"/>
    <w:rsid w:val="003E336D"/>
    <w:rsid w:val="003E3572"/>
    <w:rsid w:val="003E3574"/>
    <w:rsid w:val="003E35B8"/>
    <w:rsid w:val="003E3694"/>
    <w:rsid w:val="003E36BA"/>
    <w:rsid w:val="003E37E3"/>
    <w:rsid w:val="003E3803"/>
    <w:rsid w:val="003E39EF"/>
    <w:rsid w:val="003E3D5C"/>
    <w:rsid w:val="003E3EDD"/>
    <w:rsid w:val="003E3F41"/>
    <w:rsid w:val="003E3FF6"/>
    <w:rsid w:val="003E40C6"/>
    <w:rsid w:val="003E4139"/>
    <w:rsid w:val="003E4191"/>
    <w:rsid w:val="003E424B"/>
    <w:rsid w:val="003E42D4"/>
    <w:rsid w:val="003E4437"/>
    <w:rsid w:val="003E44D1"/>
    <w:rsid w:val="003E46BB"/>
    <w:rsid w:val="003E46F9"/>
    <w:rsid w:val="003E4763"/>
    <w:rsid w:val="003E49E6"/>
    <w:rsid w:val="003E4C22"/>
    <w:rsid w:val="003E4C58"/>
    <w:rsid w:val="003E4D3D"/>
    <w:rsid w:val="003E4E4B"/>
    <w:rsid w:val="003E4F79"/>
    <w:rsid w:val="003E514D"/>
    <w:rsid w:val="003E529D"/>
    <w:rsid w:val="003E534C"/>
    <w:rsid w:val="003E56B7"/>
    <w:rsid w:val="003E57EA"/>
    <w:rsid w:val="003E5840"/>
    <w:rsid w:val="003E594D"/>
    <w:rsid w:val="003E59E3"/>
    <w:rsid w:val="003E5A10"/>
    <w:rsid w:val="003E5B4E"/>
    <w:rsid w:val="003E5B82"/>
    <w:rsid w:val="003E5BD7"/>
    <w:rsid w:val="003E5C29"/>
    <w:rsid w:val="003E5FC0"/>
    <w:rsid w:val="003E6135"/>
    <w:rsid w:val="003E6215"/>
    <w:rsid w:val="003E62C4"/>
    <w:rsid w:val="003E633C"/>
    <w:rsid w:val="003E64AD"/>
    <w:rsid w:val="003E6501"/>
    <w:rsid w:val="003E6727"/>
    <w:rsid w:val="003E6B5E"/>
    <w:rsid w:val="003E6D35"/>
    <w:rsid w:val="003E6DBC"/>
    <w:rsid w:val="003E6FC0"/>
    <w:rsid w:val="003E70D3"/>
    <w:rsid w:val="003E7201"/>
    <w:rsid w:val="003E7202"/>
    <w:rsid w:val="003E724C"/>
    <w:rsid w:val="003E769A"/>
    <w:rsid w:val="003E7782"/>
    <w:rsid w:val="003E790C"/>
    <w:rsid w:val="003E79E6"/>
    <w:rsid w:val="003E7AD1"/>
    <w:rsid w:val="003E7C67"/>
    <w:rsid w:val="003E7CB8"/>
    <w:rsid w:val="003E7D82"/>
    <w:rsid w:val="003E7FFC"/>
    <w:rsid w:val="003F007A"/>
    <w:rsid w:val="003F0236"/>
    <w:rsid w:val="003F03FB"/>
    <w:rsid w:val="003F048C"/>
    <w:rsid w:val="003F0522"/>
    <w:rsid w:val="003F084B"/>
    <w:rsid w:val="003F0867"/>
    <w:rsid w:val="003F0883"/>
    <w:rsid w:val="003F0C0A"/>
    <w:rsid w:val="003F0C93"/>
    <w:rsid w:val="003F0C98"/>
    <w:rsid w:val="003F0DD9"/>
    <w:rsid w:val="003F0FCC"/>
    <w:rsid w:val="003F0FED"/>
    <w:rsid w:val="003F1084"/>
    <w:rsid w:val="003F1445"/>
    <w:rsid w:val="003F17B7"/>
    <w:rsid w:val="003F1912"/>
    <w:rsid w:val="003F1963"/>
    <w:rsid w:val="003F1A56"/>
    <w:rsid w:val="003F1E03"/>
    <w:rsid w:val="003F2043"/>
    <w:rsid w:val="003F209C"/>
    <w:rsid w:val="003F2108"/>
    <w:rsid w:val="003F22EE"/>
    <w:rsid w:val="003F2403"/>
    <w:rsid w:val="003F2461"/>
    <w:rsid w:val="003F24AD"/>
    <w:rsid w:val="003F25DC"/>
    <w:rsid w:val="003F26B6"/>
    <w:rsid w:val="003F26F1"/>
    <w:rsid w:val="003F2927"/>
    <w:rsid w:val="003F29E2"/>
    <w:rsid w:val="003F2C45"/>
    <w:rsid w:val="003F2C53"/>
    <w:rsid w:val="003F2F20"/>
    <w:rsid w:val="003F3095"/>
    <w:rsid w:val="003F320B"/>
    <w:rsid w:val="003F33B2"/>
    <w:rsid w:val="003F3623"/>
    <w:rsid w:val="003F363F"/>
    <w:rsid w:val="003F3660"/>
    <w:rsid w:val="003F3811"/>
    <w:rsid w:val="003F38D2"/>
    <w:rsid w:val="003F38F1"/>
    <w:rsid w:val="003F39D3"/>
    <w:rsid w:val="003F3BE3"/>
    <w:rsid w:val="003F3F1D"/>
    <w:rsid w:val="003F4454"/>
    <w:rsid w:val="003F44E3"/>
    <w:rsid w:val="003F4574"/>
    <w:rsid w:val="003F497E"/>
    <w:rsid w:val="003F4A36"/>
    <w:rsid w:val="003F4BE6"/>
    <w:rsid w:val="003F4C16"/>
    <w:rsid w:val="003F4D42"/>
    <w:rsid w:val="003F4DD8"/>
    <w:rsid w:val="003F52A1"/>
    <w:rsid w:val="003F53E0"/>
    <w:rsid w:val="003F5475"/>
    <w:rsid w:val="003F5528"/>
    <w:rsid w:val="003F5533"/>
    <w:rsid w:val="003F5758"/>
    <w:rsid w:val="003F57BD"/>
    <w:rsid w:val="003F57C1"/>
    <w:rsid w:val="003F5977"/>
    <w:rsid w:val="003F5A69"/>
    <w:rsid w:val="003F5ACC"/>
    <w:rsid w:val="003F5C45"/>
    <w:rsid w:val="003F5FAC"/>
    <w:rsid w:val="003F6102"/>
    <w:rsid w:val="003F6162"/>
    <w:rsid w:val="003F6531"/>
    <w:rsid w:val="003F6766"/>
    <w:rsid w:val="003F67B9"/>
    <w:rsid w:val="003F67D4"/>
    <w:rsid w:val="003F6994"/>
    <w:rsid w:val="003F6CBF"/>
    <w:rsid w:val="003F6D62"/>
    <w:rsid w:val="003F6D66"/>
    <w:rsid w:val="003F6DF1"/>
    <w:rsid w:val="003F704E"/>
    <w:rsid w:val="003F706F"/>
    <w:rsid w:val="003F7167"/>
    <w:rsid w:val="003F7318"/>
    <w:rsid w:val="003F7335"/>
    <w:rsid w:val="003F7337"/>
    <w:rsid w:val="003F73B4"/>
    <w:rsid w:val="003F7454"/>
    <w:rsid w:val="003F763E"/>
    <w:rsid w:val="003F76DA"/>
    <w:rsid w:val="003F7B09"/>
    <w:rsid w:val="003F7D65"/>
    <w:rsid w:val="003F7DDA"/>
    <w:rsid w:val="003F7FFA"/>
    <w:rsid w:val="004001C8"/>
    <w:rsid w:val="00400445"/>
    <w:rsid w:val="0040070C"/>
    <w:rsid w:val="00400997"/>
    <w:rsid w:val="00400C94"/>
    <w:rsid w:val="00400E3A"/>
    <w:rsid w:val="00400F8F"/>
    <w:rsid w:val="00400FBF"/>
    <w:rsid w:val="0040111C"/>
    <w:rsid w:val="00401185"/>
    <w:rsid w:val="0040126C"/>
    <w:rsid w:val="0040151F"/>
    <w:rsid w:val="00401782"/>
    <w:rsid w:val="004018B7"/>
    <w:rsid w:val="004018D2"/>
    <w:rsid w:val="004019EB"/>
    <w:rsid w:val="00401A27"/>
    <w:rsid w:val="00401C2A"/>
    <w:rsid w:val="00401C38"/>
    <w:rsid w:val="00401C72"/>
    <w:rsid w:val="00401F25"/>
    <w:rsid w:val="00402018"/>
    <w:rsid w:val="00402040"/>
    <w:rsid w:val="00402282"/>
    <w:rsid w:val="00402408"/>
    <w:rsid w:val="004025CC"/>
    <w:rsid w:val="004025D0"/>
    <w:rsid w:val="004027D1"/>
    <w:rsid w:val="00402894"/>
    <w:rsid w:val="004028BF"/>
    <w:rsid w:val="00402BB7"/>
    <w:rsid w:val="00402DCE"/>
    <w:rsid w:val="00402EC7"/>
    <w:rsid w:val="00402F77"/>
    <w:rsid w:val="00402F7B"/>
    <w:rsid w:val="0040308C"/>
    <w:rsid w:val="0040332E"/>
    <w:rsid w:val="00403572"/>
    <w:rsid w:val="00403788"/>
    <w:rsid w:val="00403850"/>
    <w:rsid w:val="004039BC"/>
    <w:rsid w:val="00403A54"/>
    <w:rsid w:val="00403B90"/>
    <w:rsid w:val="00403B93"/>
    <w:rsid w:val="00403D2B"/>
    <w:rsid w:val="00403E22"/>
    <w:rsid w:val="00403FEC"/>
    <w:rsid w:val="00404016"/>
    <w:rsid w:val="00404258"/>
    <w:rsid w:val="004042B6"/>
    <w:rsid w:val="004042D9"/>
    <w:rsid w:val="00404467"/>
    <w:rsid w:val="004045F6"/>
    <w:rsid w:val="00404B0F"/>
    <w:rsid w:val="00404C47"/>
    <w:rsid w:val="00404D0D"/>
    <w:rsid w:val="00404E56"/>
    <w:rsid w:val="00404EE6"/>
    <w:rsid w:val="004051FB"/>
    <w:rsid w:val="00405390"/>
    <w:rsid w:val="004053ED"/>
    <w:rsid w:val="00405544"/>
    <w:rsid w:val="0040556C"/>
    <w:rsid w:val="0040567A"/>
    <w:rsid w:val="00405BAB"/>
    <w:rsid w:val="00405D40"/>
    <w:rsid w:val="004060B0"/>
    <w:rsid w:val="00406179"/>
    <w:rsid w:val="004062CC"/>
    <w:rsid w:val="0040639F"/>
    <w:rsid w:val="00406429"/>
    <w:rsid w:val="004064EF"/>
    <w:rsid w:val="00406517"/>
    <w:rsid w:val="004065B2"/>
    <w:rsid w:val="0040661F"/>
    <w:rsid w:val="0040691B"/>
    <w:rsid w:val="00406997"/>
    <w:rsid w:val="00406C82"/>
    <w:rsid w:val="00406D24"/>
    <w:rsid w:val="00406E3F"/>
    <w:rsid w:val="00406E6F"/>
    <w:rsid w:val="004070CA"/>
    <w:rsid w:val="0040722A"/>
    <w:rsid w:val="0040750E"/>
    <w:rsid w:val="00407547"/>
    <w:rsid w:val="00407596"/>
    <w:rsid w:val="0040763F"/>
    <w:rsid w:val="004076B4"/>
    <w:rsid w:val="00407A1B"/>
    <w:rsid w:val="00407B81"/>
    <w:rsid w:val="00407C9A"/>
    <w:rsid w:val="00407E32"/>
    <w:rsid w:val="00407EF0"/>
    <w:rsid w:val="004100F5"/>
    <w:rsid w:val="00410260"/>
    <w:rsid w:val="004102E8"/>
    <w:rsid w:val="00410337"/>
    <w:rsid w:val="004103E6"/>
    <w:rsid w:val="00410499"/>
    <w:rsid w:val="00410672"/>
    <w:rsid w:val="0041081C"/>
    <w:rsid w:val="00410850"/>
    <w:rsid w:val="00410873"/>
    <w:rsid w:val="00410BC7"/>
    <w:rsid w:val="00410CBE"/>
    <w:rsid w:val="00410EE3"/>
    <w:rsid w:val="00410FCE"/>
    <w:rsid w:val="00411075"/>
    <w:rsid w:val="004112FE"/>
    <w:rsid w:val="0041158D"/>
    <w:rsid w:val="00411788"/>
    <w:rsid w:val="004119FE"/>
    <w:rsid w:val="00411AC5"/>
    <w:rsid w:val="00411DAD"/>
    <w:rsid w:val="00411FD7"/>
    <w:rsid w:val="00412257"/>
    <w:rsid w:val="004122D9"/>
    <w:rsid w:val="0041247F"/>
    <w:rsid w:val="00412524"/>
    <w:rsid w:val="00412884"/>
    <w:rsid w:val="00412957"/>
    <w:rsid w:val="004129CF"/>
    <w:rsid w:val="00412A0D"/>
    <w:rsid w:val="00412B82"/>
    <w:rsid w:val="00412BD5"/>
    <w:rsid w:val="00412C7E"/>
    <w:rsid w:val="00412DE5"/>
    <w:rsid w:val="00412DF5"/>
    <w:rsid w:val="00413405"/>
    <w:rsid w:val="00413557"/>
    <w:rsid w:val="004135E8"/>
    <w:rsid w:val="004136B6"/>
    <w:rsid w:val="004136F5"/>
    <w:rsid w:val="004137C1"/>
    <w:rsid w:val="00413909"/>
    <w:rsid w:val="00413B04"/>
    <w:rsid w:val="00413D70"/>
    <w:rsid w:val="00413DA0"/>
    <w:rsid w:val="00413DBC"/>
    <w:rsid w:val="0041452B"/>
    <w:rsid w:val="004147B2"/>
    <w:rsid w:val="004147EA"/>
    <w:rsid w:val="00414A21"/>
    <w:rsid w:val="00414B7A"/>
    <w:rsid w:val="00414BC8"/>
    <w:rsid w:val="00414DB9"/>
    <w:rsid w:val="00414E41"/>
    <w:rsid w:val="00414EB4"/>
    <w:rsid w:val="00414EBA"/>
    <w:rsid w:val="00414F69"/>
    <w:rsid w:val="00414F9C"/>
    <w:rsid w:val="004151B2"/>
    <w:rsid w:val="004151EC"/>
    <w:rsid w:val="004153E6"/>
    <w:rsid w:val="004154CA"/>
    <w:rsid w:val="004155E4"/>
    <w:rsid w:val="0041581F"/>
    <w:rsid w:val="00415837"/>
    <w:rsid w:val="004158D3"/>
    <w:rsid w:val="0041596C"/>
    <w:rsid w:val="00415B06"/>
    <w:rsid w:val="00415E11"/>
    <w:rsid w:val="004160BB"/>
    <w:rsid w:val="00416368"/>
    <w:rsid w:val="004163A5"/>
    <w:rsid w:val="00416523"/>
    <w:rsid w:val="0041657F"/>
    <w:rsid w:val="004165D3"/>
    <w:rsid w:val="004166FE"/>
    <w:rsid w:val="0041677D"/>
    <w:rsid w:val="004167F2"/>
    <w:rsid w:val="00416A40"/>
    <w:rsid w:val="00416AB7"/>
    <w:rsid w:val="00416C61"/>
    <w:rsid w:val="00416C82"/>
    <w:rsid w:val="00416F53"/>
    <w:rsid w:val="00416FE8"/>
    <w:rsid w:val="00417134"/>
    <w:rsid w:val="004171C1"/>
    <w:rsid w:val="00417410"/>
    <w:rsid w:val="004175C1"/>
    <w:rsid w:val="004175EF"/>
    <w:rsid w:val="00417651"/>
    <w:rsid w:val="00417862"/>
    <w:rsid w:val="004178CA"/>
    <w:rsid w:val="00417A43"/>
    <w:rsid w:val="00417AF1"/>
    <w:rsid w:val="00417C11"/>
    <w:rsid w:val="00417DB4"/>
    <w:rsid w:val="00417DF2"/>
    <w:rsid w:val="00417E55"/>
    <w:rsid w:val="00417EA5"/>
    <w:rsid w:val="0042028B"/>
    <w:rsid w:val="00420301"/>
    <w:rsid w:val="004205C6"/>
    <w:rsid w:val="004207F9"/>
    <w:rsid w:val="00420927"/>
    <w:rsid w:val="00420A37"/>
    <w:rsid w:val="00420B1A"/>
    <w:rsid w:val="00420B7C"/>
    <w:rsid w:val="00420CCF"/>
    <w:rsid w:val="00420D18"/>
    <w:rsid w:val="00420E31"/>
    <w:rsid w:val="004211D9"/>
    <w:rsid w:val="00421224"/>
    <w:rsid w:val="004214B1"/>
    <w:rsid w:val="0042165D"/>
    <w:rsid w:val="00421710"/>
    <w:rsid w:val="00421808"/>
    <w:rsid w:val="0042191B"/>
    <w:rsid w:val="00421967"/>
    <w:rsid w:val="0042196B"/>
    <w:rsid w:val="00421A44"/>
    <w:rsid w:val="00421B8A"/>
    <w:rsid w:val="00421E47"/>
    <w:rsid w:val="00421F95"/>
    <w:rsid w:val="0042201D"/>
    <w:rsid w:val="004220F1"/>
    <w:rsid w:val="00422201"/>
    <w:rsid w:val="0042220B"/>
    <w:rsid w:val="004222B0"/>
    <w:rsid w:val="004222EF"/>
    <w:rsid w:val="004223E7"/>
    <w:rsid w:val="0042254B"/>
    <w:rsid w:val="004225D2"/>
    <w:rsid w:val="00422696"/>
    <w:rsid w:val="004227AE"/>
    <w:rsid w:val="004227B2"/>
    <w:rsid w:val="00422817"/>
    <w:rsid w:val="004229F6"/>
    <w:rsid w:val="00422C8E"/>
    <w:rsid w:val="00422D27"/>
    <w:rsid w:val="00422E3E"/>
    <w:rsid w:val="00422F85"/>
    <w:rsid w:val="00422FE2"/>
    <w:rsid w:val="00422FF2"/>
    <w:rsid w:val="00423013"/>
    <w:rsid w:val="0042352C"/>
    <w:rsid w:val="00423601"/>
    <w:rsid w:val="0042363C"/>
    <w:rsid w:val="004237D2"/>
    <w:rsid w:val="00423864"/>
    <w:rsid w:val="00423A63"/>
    <w:rsid w:val="00423A8B"/>
    <w:rsid w:val="00423B96"/>
    <w:rsid w:val="00423D49"/>
    <w:rsid w:val="004240B4"/>
    <w:rsid w:val="0042410A"/>
    <w:rsid w:val="004241B9"/>
    <w:rsid w:val="004242DB"/>
    <w:rsid w:val="0042434A"/>
    <w:rsid w:val="00424353"/>
    <w:rsid w:val="0042435D"/>
    <w:rsid w:val="00424382"/>
    <w:rsid w:val="004243A2"/>
    <w:rsid w:val="0042462F"/>
    <w:rsid w:val="004247FA"/>
    <w:rsid w:val="00424927"/>
    <w:rsid w:val="004249C8"/>
    <w:rsid w:val="00424D86"/>
    <w:rsid w:val="00424D98"/>
    <w:rsid w:val="00424DEB"/>
    <w:rsid w:val="0042503E"/>
    <w:rsid w:val="0042515F"/>
    <w:rsid w:val="00425481"/>
    <w:rsid w:val="00425499"/>
    <w:rsid w:val="004255E3"/>
    <w:rsid w:val="00425985"/>
    <w:rsid w:val="00425BD0"/>
    <w:rsid w:val="00425CC0"/>
    <w:rsid w:val="00425ED6"/>
    <w:rsid w:val="00425F77"/>
    <w:rsid w:val="0042602B"/>
    <w:rsid w:val="0042603E"/>
    <w:rsid w:val="00426114"/>
    <w:rsid w:val="00426448"/>
    <w:rsid w:val="00426462"/>
    <w:rsid w:val="00426581"/>
    <w:rsid w:val="00426676"/>
    <w:rsid w:val="004266DB"/>
    <w:rsid w:val="00426724"/>
    <w:rsid w:val="00426837"/>
    <w:rsid w:val="00426A89"/>
    <w:rsid w:val="00426AEA"/>
    <w:rsid w:val="00426B56"/>
    <w:rsid w:val="00426B77"/>
    <w:rsid w:val="00426BC0"/>
    <w:rsid w:val="00426BE5"/>
    <w:rsid w:val="00426F66"/>
    <w:rsid w:val="00426FD7"/>
    <w:rsid w:val="00427441"/>
    <w:rsid w:val="00427516"/>
    <w:rsid w:val="00427740"/>
    <w:rsid w:val="00427757"/>
    <w:rsid w:val="00427938"/>
    <w:rsid w:val="00427B74"/>
    <w:rsid w:val="00427C27"/>
    <w:rsid w:val="00427C81"/>
    <w:rsid w:val="00427E60"/>
    <w:rsid w:val="00427F43"/>
    <w:rsid w:val="00430043"/>
    <w:rsid w:val="0043017D"/>
    <w:rsid w:val="00430246"/>
    <w:rsid w:val="00430419"/>
    <w:rsid w:val="00430506"/>
    <w:rsid w:val="00430515"/>
    <w:rsid w:val="004305B6"/>
    <w:rsid w:val="004307BA"/>
    <w:rsid w:val="00430811"/>
    <w:rsid w:val="00430A1C"/>
    <w:rsid w:val="00430AE0"/>
    <w:rsid w:val="00430B75"/>
    <w:rsid w:val="00430DE2"/>
    <w:rsid w:val="00430FDB"/>
    <w:rsid w:val="00431029"/>
    <w:rsid w:val="00431091"/>
    <w:rsid w:val="004310D9"/>
    <w:rsid w:val="00431247"/>
    <w:rsid w:val="004312BD"/>
    <w:rsid w:val="00431312"/>
    <w:rsid w:val="00431436"/>
    <w:rsid w:val="00431478"/>
    <w:rsid w:val="00431482"/>
    <w:rsid w:val="0043148D"/>
    <w:rsid w:val="004314E9"/>
    <w:rsid w:val="004314F6"/>
    <w:rsid w:val="00431677"/>
    <w:rsid w:val="004318C6"/>
    <w:rsid w:val="00431B4B"/>
    <w:rsid w:val="00431BB7"/>
    <w:rsid w:val="00431D92"/>
    <w:rsid w:val="00431DD6"/>
    <w:rsid w:val="00431E96"/>
    <w:rsid w:val="00432190"/>
    <w:rsid w:val="0043221A"/>
    <w:rsid w:val="00432267"/>
    <w:rsid w:val="00432574"/>
    <w:rsid w:val="004325FA"/>
    <w:rsid w:val="0043266F"/>
    <w:rsid w:val="004326AB"/>
    <w:rsid w:val="004326F0"/>
    <w:rsid w:val="00432721"/>
    <w:rsid w:val="004328F6"/>
    <w:rsid w:val="00432973"/>
    <w:rsid w:val="00432AF8"/>
    <w:rsid w:val="00432BCC"/>
    <w:rsid w:val="00432BD9"/>
    <w:rsid w:val="00432BEF"/>
    <w:rsid w:val="00432DFB"/>
    <w:rsid w:val="00432E51"/>
    <w:rsid w:val="00432E6A"/>
    <w:rsid w:val="00432FC2"/>
    <w:rsid w:val="004331C1"/>
    <w:rsid w:val="004331D6"/>
    <w:rsid w:val="0043326B"/>
    <w:rsid w:val="0043342C"/>
    <w:rsid w:val="00433688"/>
    <w:rsid w:val="004336D9"/>
    <w:rsid w:val="004336F5"/>
    <w:rsid w:val="0043399C"/>
    <w:rsid w:val="00433B5C"/>
    <w:rsid w:val="00433C34"/>
    <w:rsid w:val="00433C7B"/>
    <w:rsid w:val="00433C9E"/>
    <w:rsid w:val="00433DDD"/>
    <w:rsid w:val="0043401C"/>
    <w:rsid w:val="00434061"/>
    <w:rsid w:val="004342C2"/>
    <w:rsid w:val="0043433B"/>
    <w:rsid w:val="00434350"/>
    <w:rsid w:val="00434532"/>
    <w:rsid w:val="00434547"/>
    <w:rsid w:val="0043457C"/>
    <w:rsid w:val="004346AC"/>
    <w:rsid w:val="00434855"/>
    <w:rsid w:val="0043485E"/>
    <w:rsid w:val="004349AC"/>
    <w:rsid w:val="00434A36"/>
    <w:rsid w:val="00434A4E"/>
    <w:rsid w:val="00434CFA"/>
    <w:rsid w:val="00434D11"/>
    <w:rsid w:val="00434DC7"/>
    <w:rsid w:val="00434E74"/>
    <w:rsid w:val="00434F7E"/>
    <w:rsid w:val="00435122"/>
    <w:rsid w:val="004354A2"/>
    <w:rsid w:val="0043564C"/>
    <w:rsid w:val="004356E9"/>
    <w:rsid w:val="00435AFB"/>
    <w:rsid w:val="00435B6D"/>
    <w:rsid w:val="00435BC6"/>
    <w:rsid w:val="00435CB4"/>
    <w:rsid w:val="00435CED"/>
    <w:rsid w:val="0043631C"/>
    <w:rsid w:val="00436525"/>
    <w:rsid w:val="004366F7"/>
    <w:rsid w:val="00436854"/>
    <w:rsid w:val="00436867"/>
    <w:rsid w:val="004368A1"/>
    <w:rsid w:val="004369FE"/>
    <w:rsid w:val="00436A39"/>
    <w:rsid w:val="00436AFE"/>
    <w:rsid w:val="00436BA5"/>
    <w:rsid w:val="00436BFB"/>
    <w:rsid w:val="00436CBB"/>
    <w:rsid w:val="00436E32"/>
    <w:rsid w:val="0043703C"/>
    <w:rsid w:val="00437088"/>
    <w:rsid w:val="004371D3"/>
    <w:rsid w:val="00437336"/>
    <w:rsid w:val="004375FE"/>
    <w:rsid w:val="00437687"/>
    <w:rsid w:val="004376E1"/>
    <w:rsid w:val="00437775"/>
    <w:rsid w:val="00437897"/>
    <w:rsid w:val="00437959"/>
    <w:rsid w:val="00437997"/>
    <w:rsid w:val="004379A0"/>
    <w:rsid w:val="00437A2E"/>
    <w:rsid w:val="00437AA0"/>
    <w:rsid w:val="00437BD9"/>
    <w:rsid w:val="00437DCE"/>
    <w:rsid w:val="00437ECA"/>
    <w:rsid w:val="00437EDF"/>
    <w:rsid w:val="00437F17"/>
    <w:rsid w:val="00437FEA"/>
    <w:rsid w:val="00440006"/>
    <w:rsid w:val="0044007D"/>
    <w:rsid w:val="004400AA"/>
    <w:rsid w:val="004401AA"/>
    <w:rsid w:val="004402A7"/>
    <w:rsid w:val="00440359"/>
    <w:rsid w:val="004403B5"/>
    <w:rsid w:val="004403B8"/>
    <w:rsid w:val="00440629"/>
    <w:rsid w:val="0044066F"/>
    <w:rsid w:val="00440A8F"/>
    <w:rsid w:val="00440B2C"/>
    <w:rsid w:val="00440BC3"/>
    <w:rsid w:val="00440BC7"/>
    <w:rsid w:val="00440BFB"/>
    <w:rsid w:val="00440F2D"/>
    <w:rsid w:val="00440F7D"/>
    <w:rsid w:val="00440FC6"/>
    <w:rsid w:val="00441088"/>
    <w:rsid w:val="00441270"/>
    <w:rsid w:val="00441531"/>
    <w:rsid w:val="00441588"/>
    <w:rsid w:val="004417E7"/>
    <w:rsid w:val="00441A71"/>
    <w:rsid w:val="00441AB6"/>
    <w:rsid w:val="00441AC7"/>
    <w:rsid w:val="00441DBE"/>
    <w:rsid w:val="0044202A"/>
    <w:rsid w:val="00442061"/>
    <w:rsid w:val="00442338"/>
    <w:rsid w:val="00442399"/>
    <w:rsid w:val="004423A7"/>
    <w:rsid w:val="0044257F"/>
    <w:rsid w:val="004425C8"/>
    <w:rsid w:val="0044266C"/>
    <w:rsid w:val="00442771"/>
    <w:rsid w:val="004428C3"/>
    <w:rsid w:val="004429FC"/>
    <w:rsid w:val="00442AB6"/>
    <w:rsid w:val="00442BE8"/>
    <w:rsid w:val="00442C62"/>
    <w:rsid w:val="00442CCA"/>
    <w:rsid w:val="00442ED6"/>
    <w:rsid w:val="00443038"/>
    <w:rsid w:val="004430B9"/>
    <w:rsid w:val="004431D5"/>
    <w:rsid w:val="0044326F"/>
    <w:rsid w:val="0044327C"/>
    <w:rsid w:val="0044364F"/>
    <w:rsid w:val="00443663"/>
    <w:rsid w:val="00443705"/>
    <w:rsid w:val="0044376E"/>
    <w:rsid w:val="00443785"/>
    <w:rsid w:val="0044391D"/>
    <w:rsid w:val="00443A0F"/>
    <w:rsid w:val="00443A11"/>
    <w:rsid w:val="00443AB4"/>
    <w:rsid w:val="00443B21"/>
    <w:rsid w:val="00443BF2"/>
    <w:rsid w:val="00443DB5"/>
    <w:rsid w:val="00443EB2"/>
    <w:rsid w:val="00443F4A"/>
    <w:rsid w:val="0044402C"/>
    <w:rsid w:val="00444032"/>
    <w:rsid w:val="004440E8"/>
    <w:rsid w:val="004441DE"/>
    <w:rsid w:val="00444251"/>
    <w:rsid w:val="0044426C"/>
    <w:rsid w:val="004442AB"/>
    <w:rsid w:val="004442B6"/>
    <w:rsid w:val="0044436B"/>
    <w:rsid w:val="0044445E"/>
    <w:rsid w:val="0044455F"/>
    <w:rsid w:val="004446DF"/>
    <w:rsid w:val="00444797"/>
    <w:rsid w:val="004447C7"/>
    <w:rsid w:val="004448BB"/>
    <w:rsid w:val="004448D7"/>
    <w:rsid w:val="0044494F"/>
    <w:rsid w:val="0044497A"/>
    <w:rsid w:val="00444B16"/>
    <w:rsid w:val="00444BB8"/>
    <w:rsid w:val="00444BF9"/>
    <w:rsid w:val="00444D1E"/>
    <w:rsid w:val="00444E2E"/>
    <w:rsid w:val="00444F8E"/>
    <w:rsid w:val="00444FD1"/>
    <w:rsid w:val="004453A5"/>
    <w:rsid w:val="0044541A"/>
    <w:rsid w:val="0044556D"/>
    <w:rsid w:val="00445640"/>
    <w:rsid w:val="0044587A"/>
    <w:rsid w:val="004458CE"/>
    <w:rsid w:val="00445988"/>
    <w:rsid w:val="00445B7F"/>
    <w:rsid w:val="00445CE9"/>
    <w:rsid w:val="00445E84"/>
    <w:rsid w:val="00446303"/>
    <w:rsid w:val="004463B6"/>
    <w:rsid w:val="004463E7"/>
    <w:rsid w:val="0044654D"/>
    <w:rsid w:val="00446607"/>
    <w:rsid w:val="004466BD"/>
    <w:rsid w:val="0044691A"/>
    <w:rsid w:val="00446A34"/>
    <w:rsid w:val="00446C2C"/>
    <w:rsid w:val="00446C69"/>
    <w:rsid w:val="00446D22"/>
    <w:rsid w:val="00446EDC"/>
    <w:rsid w:val="0044714F"/>
    <w:rsid w:val="0044716B"/>
    <w:rsid w:val="00447384"/>
    <w:rsid w:val="004473F6"/>
    <w:rsid w:val="00447444"/>
    <w:rsid w:val="0044746F"/>
    <w:rsid w:val="00447545"/>
    <w:rsid w:val="0044755E"/>
    <w:rsid w:val="004475EF"/>
    <w:rsid w:val="00447686"/>
    <w:rsid w:val="00447950"/>
    <w:rsid w:val="00447A60"/>
    <w:rsid w:val="00447B26"/>
    <w:rsid w:val="00447CC3"/>
    <w:rsid w:val="00447DCE"/>
    <w:rsid w:val="00447DDF"/>
    <w:rsid w:val="00447E3D"/>
    <w:rsid w:val="0045005F"/>
    <w:rsid w:val="00450507"/>
    <w:rsid w:val="00450529"/>
    <w:rsid w:val="0045058E"/>
    <w:rsid w:val="00450841"/>
    <w:rsid w:val="00450892"/>
    <w:rsid w:val="00450934"/>
    <w:rsid w:val="004509A9"/>
    <w:rsid w:val="00450A05"/>
    <w:rsid w:val="00450B70"/>
    <w:rsid w:val="00450C3E"/>
    <w:rsid w:val="00450EEA"/>
    <w:rsid w:val="00451057"/>
    <w:rsid w:val="00451080"/>
    <w:rsid w:val="004510B4"/>
    <w:rsid w:val="004512F7"/>
    <w:rsid w:val="00451460"/>
    <w:rsid w:val="00451703"/>
    <w:rsid w:val="00451756"/>
    <w:rsid w:val="00451829"/>
    <w:rsid w:val="00451B5F"/>
    <w:rsid w:val="00451BBA"/>
    <w:rsid w:val="00451D27"/>
    <w:rsid w:val="0045202E"/>
    <w:rsid w:val="004520D4"/>
    <w:rsid w:val="004521F5"/>
    <w:rsid w:val="004522DB"/>
    <w:rsid w:val="0045247B"/>
    <w:rsid w:val="00452888"/>
    <w:rsid w:val="0045293D"/>
    <w:rsid w:val="00452A49"/>
    <w:rsid w:val="00452A86"/>
    <w:rsid w:val="00452AFC"/>
    <w:rsid w:val="00452EF2"/>
    <w:rsid w:val="004530E0"/>
    <w:rsid w:val="004530F5"/>
    <w:rsid w:val="00453130"/>
    <w:rsid w:val="0045319A"/>
    <w:rsid w:val="00453295"/>
    <w:rsid w:val="004535D7"/>
    <w:rsid w:val="004536D7"/>
    <w:rsid w:val="00453724"/>
    <w:rsid w:val="00453994"/>
    <w:rsid w:val="004539AC"/>
    <w:rsid w:val="00453BEB"/>
    <w:rsid w:val="004545C3"/>
    <w:rsid w:val="0045464C"/>
    <w:rsid w:val="004546CF"/>
    <w:rsid w:val="004546FB"/>
    <w:rsid w:val="00454701"/>
    <w:rsid w:val="00454804"/>
    <w:rsid w:val="00454B36"/>
    <w:rsid w:val="00454BBD"/>
    <w:rsid w:val="00454BE6"/>
    <w:rsid w:val="00454BED"/>
    <w:rsid w:val="00454DDC"/>
    <w:rsid w:val="004550C5"/>
    <w:rsid w:val="0045510F"/>
    <w:rsid w:val="00455189"/>
    <w:rsid w:val="004551E0"/>
    <w:rsid w:val="0045549A"/>
    <w:rsid w:val="0045549E"/>
    <w:rsid w:val="004554BC"/>
    <w:rsid w:val="004555F0"/>
    <w:rsid w:val="004555F5"/>
    <w:rsid w:val="004559D1"/>
    <w:rsid w:val="00455BA8"/>
    <w:rsid w:val="00455D00"/>
    <w:rsid w:val="00455E5B"/>
    <w:rsid w:val="00455ED2"/>
    <w:rsid w:val="00456023"/>
    <w:rsid w:val="004560E3"/>
    <w:rsid w:val="00456404"/>
    <w:rsid w:val="00456419"/>
    <w:rsid w:val="0045654C"/>
    <w:rsid w:val="0045656E"/>
    <w:rsid w:val="004565B8"/>
    <w:rsid w:val="004565E7"/>
    <w:rsid w:val="0045665E"/>
    <w:rsid w:val="00456945"/>
    <w:rsid w:val="0045694E"/>
    <w:rsid w:val="00456A42"/>
    <w:rsid w:val="00456A80"/>
    <w:rsid w:val="00456BC0"/>
    <w:rsid w:val="00456C2C"/>
    <w:rsid w:val="00456E6B"/>
    <w:rsid w:val="00456F1F"/>
    <w:rsid w:val="004571B0"/>
    <w:rsid w:val="00457276"/>
    <w:rsid w:val="0045753A"/>
    <w:rsid w:val="004577FE"/>
    <w:rsid w:val="00457887"/>
    <w:rsid w:val="004578B5"/>
    <w:rsid w:val="00457FED"/>
    <w:rsid w:val="0046008A"/>
    <w:rsid w:val="004600FD"/>
    <w:rsid w:val="004602CA"/>
    <w:rsid w:val="004604C1"/>
    <w:rsid w:val="00460504"/>
    <w:rsid w:val="0046057A"/>
    <w:rsid w:val="00460592"/>
    <w:rsid w:val="004605D5"/>
    <w:rsid w:val="004605D7"/>
    <w:rsid w:val="00460874"/>
    <w:rsid w:val="00460AEB"/>
    <w:rsid w:val="00460B5A"/>
    <w:rsid w:val="00460CEE"/>
    <w:rsid w:val="00460E48"/>
    <w:rsid w:val="00460E9D"/>
    <w:rsid w:val="00460F6F"/>
    <w:rsid w:val="004610C1"/>
    <w:rsid w:val="00461472"/>
    <w:rsid w:val="004614EE"/>
    <w:rsid w:val="004616D4"/>
    <w:rsid w:val="0046185E"/>
    <w:rsid w:val="00461948"/>
    <w:rsid w:val="004619CA"/>
    <w:rsid w:val="004619D7"/>
    <w:rsid w:val="00461D2C"/>
    <w:rsid w:val="00461EED"/>
    <w:rsid w:val="004625EE"/>
    <w:rsid w:val="00462638"/>
    <w:rsid w:val="004628FE"/>
    <w:rsid w:val="00462A6B"/>
    <w:rsid w:val="00462F7B"/>
    <w:rsid w:val="0046302F"/>
    <w:rsid w:val="0046325A"/>
    <w:rsid w:val="004633F0"/>
    <w:rsid w:val="004635B5"/>
    <w:rsid w:val="004635D7"/>
    <w:rsid w:val="004637D7"/>
    <w:rsid w:val="00463934"/>
    <w:rsid w:val="00463D4D"/>
    <w:rsid w:val="00463DC8"/>
    <w:rsid w:val="00463E03"/>
    <w:rsid w:val="00463E6E"/>
    <w:rsid w:val="004640AB"/>
    <w:rsid w:val="00464100"/>
    <w:rsid w:val="004642FC"/>
    <w:rsid w:val="004643E1"/>
    <w:rsid w:val="004643F3"/>
    <w:rsid w:val="00464426"/>
    <w:rsid w:val="00464466"/>
    <w:rsid w:val="00464492"/>
    <w:rsid w:val="00464571"/>
    <w:rsid w:val="00464739"/>
    <w:rsid w:val="004647F5"/>
    <w:rsid w:val="004648C0"/>
    <w:rsid w:val="00464A5A"/>
    <w:rsid w:val="00464AD6"/>
    <w:rsid w:val="00464ADB"/>
    <w:rsid w:val="00464CD3"/>
    <w:rsid w:val="00464DCC"/>
    <w:rsid w:val="00465060"/>
    <w:rsid w:val="00465170"/>
    <w:rsid w:val="0046544E"/>
    <w:rsid w:val="004655A3"/>
    <w:rsid w:val="004656A6"/>
    <w:rsid w:val="0046578D"/>
    <w:rsid w:val="00465835"/>
    <w:rsid w:val="00465861"/>
    <w:rsid w:val="00465871"/>
    <w:rsid w:val="004658FD"/>
    <w:rsid w:val="00465976"/>
    <w:rsid w:val="00465C20"/>
    <w:rsid w:val="00465D84"/>
    <w:rsid w:val="00466004"/>
    <w:rsid w:val="00466152"/>
    <w:rsid w:val="0046630D"/>
    <w:rsid w:val="00466772"/>
    <w:rsid w:val="004669EE"/>
    <w:rsid w:val="00466A8C"/>
    <w:rsid w:val="00466C92"/>
    <w:rsid w:val="00466CA0"/>
    <w:rsid w:val="0046707E"/>
    <w:rsid w:val="004670EF"/>
    <w:rsid w:val="00467127"/>
    <w:rsid w:val="004671D1"/>
    <w:rsid w:val="004673E0"/>
    <w:rsid w:val="00467428"/>
    <w:rsid w:val="0046742D"/>
    <w:rsid w:val="0046780D"/>
    <w:rsid w:val="00467A57"/>
    <w:rsid w:val="00467B76"/>
    <w:rsid w:val="00467CC2"/>
    <w:rsid w:val="00467FE2"/>
    <w:rsid w:val="00470025"/>
    <w:rsid w:val="004705D0"/>
    <w:rsid w:val="004705EA"/>
    <w:rsid w:val="004705ED"/>
    <w:rsid w:val="00470616"/>
    <w:rsid w:val="00470927"/>
    <w:rsid w:val="004709DD"/>
    <w:rsid w:val="00470A02"/>
    <w:rsid w:val="00470A05"/>
    <w:rsid w:val="00470A1D"/>
    <w:rsid w:val="00470BC2"/>
    <w:rsid w:val="00470E5D"/>
    <w:rsid w:val="00470E69"/>
    <w:rsid w:val="00471326"/>
    <w:rsid w:val="00471389"/>
    <w:rsid w:val="00471483"/>
    <w:rsid w:val="004714D8"/>
    <w:rsid w:val="004714F7"/>
    <w:rsid w:val="00471587"/>
    <w:rsid w:val="00471968"/>
    <w:rsid w:val="00471A96"/>
    <w:rsid w:val="00471BBD"/>
    <w:rsid w:val="00471FBC"/>
    <w:rsid w:val="004721AC"/>
    <w:rsid w:val="0047248F"/>
    <w:rsid w:val="004724A9"/>
    <w:rsid w:val="00472543"/>
    <w:rsid w:val="00472553"/>
    <w:rsid w:val="00472AA9"/>
    <w:rsid w:val="00472C7E"/>
    <w:rsid w:val="00472D5C"/>
    <w:rsid w:val="00472F44"/>
    <w:rsid w:val="00473041"/>
    <w:rsid w:val="0047306F"/>
    <w:rsid w:val="0047314B"/>
    <w:rsid w:val="004732CA"/>
    <w:rsid w:val="004733D4"/>
    <w:rsid w:val="004736AA"/>
    <w:rsid w:val="00473801"/>
    <w:rsid w:val="004738A9"/>
    <w:rsid w:val="00473947"/>
    <w:rsid w:val="004739DA"/>
    <w:rsid w:val="00473AB0"/>
    <w:rsid w:val="00473BCD"/>
    <w:rsid w:val="00474120"/>
    <w:rsid w:val="0047419A"/>
    <w:rsid w:val="0047458B"/>
    <w:rsid w:val="004748DB"/>
    <w:rsid w:val="00474A50"/>
    <w:rsid w:val="00474A6E"/>
    <w:rsid w:val="00474B5A"/>
    <w:rsid w:val="00474C7C"/>
    <w:rsid w:val="00474CAF"/>
    <w:rsid w:val="00474D29"/>
    <w:rsid w:val="00474D86"/>
    <w:rsid w:val="00474DDE"/>
    <w:rsid w:val="0047506E"/>
    <w:rsid w:val="004753A5"/>
    <w:rsid w:val="0047541A"/>
    <w:rsid w:val="00475554"/>
    <w:rsid w:val="00475718"/>
    <w:rsid w:val="00475830"/>
    <w:rsid w:val="0047586B"/>
    <w:rsid w:val="0047588B"/>
    <w:rsid w:val="00475962"/>
    <w:rsid w:val="00475AAA"/>
    <w:rsid w:val="00475ACF"/>
    <w:rsid w:val="00475B6E"/>
    <w:rsid w:val="00475C9B"/>
    <w:rsid w:val="00475CB0"/>
    <w:rsid w:val="00475CD3"/>
    <w:rsid w:val="00475E54"/>
    <w:rsid w:val="00475F24"/>
    <w:rsid w:val="00476095"/>
    <w:rsid w:val="004761C9"/>
    <w:rsid w:val="0047631B"/>
    <w:rsid w:val="00476387"/>
    <w:rsid w:val="00476552"/>
    <w:rsid w:val="004766AD"/>
    <w:rsid w:val="004769AA"/>
    <w:rsid w:val="004769ED"/>
    <w:rsid w:val="00476AB0"/>
    <w:rsid w:val="00476CC9"/>
    <w:rsid w:val="00476CE0"/>
    <w:rsid w:val="00476D50"/>
    <w:rsid w:val="00476E5E"/>
    <w:rsid w:val="0047703F"/>
    <w:rsid w:val="0047743F"/>
    <w:rsid w:val="00477476"/>
    <w:rsid w:val="00477609"/>
    <w:rsid w:val="00477866"/>
    <w:rsid w:val="00477A87"/>
    <w:rsid w:val="00477CFA"/>
    <w:rsid w:val="00477D28"/>
    <w:rsid w:val="00477D76"/>
    <w:rsid w:val="00477E5B"/>
    <w:rsid w:val="0048005A"/>
    <w:rsid w:val="004801F0"/>
    <w:rsid w:val="004801FD"/>
    <w:rsid w:val="004802A3"/>
    <w:rsid w:val="004803C1"/>
    <w:rsid w:val="0048040C"/>
    <w:rsid w:val="00480428"/>
    <w:rsid w:val="00480588"/>
    <w:rsid w:val="004806E4"/>
    <w:rsid w:val="004806FA"/>
    <w:rsid w:val="004807CC"/>
    <w:rsid w:val="00480892"/>
    <w:rsid w:val="00480A05"/>
    <w:rsid w:val="00480B14"/>
    <w:rsid w:val="00480B74"/>
    <w:rsid w:val="00480D9D"/>
    <w:rsid w:val="00480F6D"/>
    <w:rsid w:val="00481077"/>
    <w:rsid w:val="00481148"/>
    <w:rsid w:val="004811E1"/>
    <w:rsid w:val="004813EF"/>
    <w:rsid w:val="00481565"/>
    <w:rsid w:val="00481A3D"/>
    <w:rsid w:val="00481FA7"/>
    <w:rsid w:val="00482180"/>
    <w:rsid w:val="004823F5"/>
    <w:rsid w:val="0048295D"/>
    <w:rsid w:val="004829FA"/>
    <w:rsid w:val="00482A66"/>
    <w:rsid w:val="00482B0F"/>
    <w:rsid w:val="00482B41"/>
    <w:rsid w:val="00482CA5"/>
    <w:rsid w:val="00482D2F"/>
    <w:rsid w:val="00482DAC"/>
    <w:rsid w:val="00482E0A"/>
    <w:rsid w:val="00482FC0"/>
    <w:rsid w:val="004830AE"/>
    <w:rsid w:val="004830C6"/>
    <w:rsid w:val="00483109"/>
    <w:rsid w:val="004831B4"/>
    <w:rsid w:val="00483217"/>
    <w:rsid w:val="004832DF"/>
    <w:rsid w:val="00483432"/>
    <w:rsid w:val="0048344F"/>
    <w:rsid w:val="00483464"/>
    <w:rsid w:val="0048358D"/>
    <w:rsid w:val="00483658"/>
    <w:rsid w:val="004837B3"/>
    <w:rsid w:val="004837E0"/>
    <w:rsid w:val="00483919"/>
    <w:rsid w:val="00483C41"/>
    <w:rsid w:val="00483C6C"/>
    <w:rsid w:val="0048415C"/>
    <w:rsid w:val="004841B8"/>
    <w:rsid w:val="00484456"/>
    <w:rsid w:val="00484641"/>
    <w:rsid w:val="00484891"/>
    <w:rsid w:val="004849FA"/>
    <w:rsid w:val="00484CA3"/>
    <w:rsid w:val="00484D61"/>
    <w:rsid w:val="00484DA9"/>
    <w:rsid w:val="00484EAB"/>
    <w:rsid w:val="00484F31"/>
    <w:rsid w:val="0048501B"/>
    <w:rsid w:val="004853CC"/>
    <w:rsid w:val="0048557D"/>
    <w:rsid w:val="00485817"/>
    <w:rsid w:val="0048598B"/>
    <w:rsid w:val="00485C62"/>
    <w:rsid w:val="00485D10"/>
    <w:rsid w:val="00485D49"/>
    <w:rsid w:val="00485F21"/>
    <w:rsid w:val="00485F6A"/>
    <w:rsid w:val="004860C4"/>
    <w:rsid w:val="00486415"/>
    <w:rsid w:val="0048645E"/>
    <w:rsid w:val="004866E4"/>
    <w:rsid w:val="00486817"/>
    <w:rsid w:val="00486EF4"/>
    <w:rsid w:val="00487041"/>
    <w:rsid w:val="004871DD"/>
    <w:rsid w:val="004872CF"/>
    <w:rsid w:val="0048733A"/>
    <w:rsid w:val="00487493"/>
    <w:rsid w:val="0048770F"/>
    <w:rsid w:val="0048785A"/>
    <w:rsid w:val="00487D23"/>
    <w:rsid w:val="00487D47"/>
    <w:rsid w:val="00490281"/>
    <w:rsid w:val="00490319"/>
    <w:rsid w:val="00490464"/>
    <w:rsid w:val="00490537"/>
    <w:rsid w:val="0049074C"/>
    <w:rsid w:val="00490825"/>
    <w:rsid w:val="004908E9"/>
    <w:rsid w:val="00490A57"/>
    <w:rsid w:val="00490A76"/>
    <w:rsid w:val="00490BBF"/>
    <w:rsid w:val="00490BD4"/>
    <w:rsid w:val="00490BE5"/>
    <w:rsid w:val="00490D7C"/>
    <w:rsid w:val="00490DAD"/>
    <w:rsid w:val="00490EAF"/>
    <w:rsid w:val="00490F06"/>
    <w:rsid w:val="00490F23"/>
    <w:rsid w:val="004910F8"/>
    <w:rsid w:val="0049117E"/>
    <w:rsid w:val="00491451"/>
    <w:rsid w:val="004914DC"/>
    <w:rsid w:val="00491594"/>
    <w:rsid w:val="00491641"/>
    <w:rsid w:val="0049180C"/>
    <w:rsid w:val="004920BB"/>
    <w:rsid w:val="00492114"/>
    <w:rsid w:val="004927C4"/>
    <w:rsid w:val="00492A6E"/>
    <w:rsid w:val="00492C01"/>
    <w:rsid w:val="00492CBB"/>
    <w:rsid w:val="00492EC7"/>
    <w:rsid w:val="00493056"/>
    <w:rsid w:val="00493407"/>
    <w:rsid w:val="0049386F"/>
    <w:rsid w:val="00493EA2"/>
    <w:rsid w:val="004944BB"/>
    <w:rsid w:val="00494545"/>
    <w:rsid w:val="0049493E"/>
    <w:rsid w:val="004949D1"/>
    <w:rsid w:val="004949F2"/>
    <w:rsid w:val="00494AFA"/>
    <w:rsid w:val="00494BDB"/>
    <w:rsid w:val="00494CF0"/>
    <w:rsid w:val="00494D79"/>
    <w:rsid w:val="00494DB2"/>
    <w:rsid w:val="00494E33"/>
    <w:rsid w:val="00494E6D"/>
    <w:rsid w:val="004951F5"/>
    <w:rsid w:val="004955AC"/>
    <w:rsid w:val="00495895"/>
    <w:rsid w:val="00495961"/>
    <w:rsid w:val="00495AD3"/>
    <w:rsid w:val="00495AEF"/>
    <w:rsid w:val="00495D97"/>
    <w:rsid w:val="00495EB4"/>
    <w:rsid w:val="00496081"/>
    <w:rsid w:val="004960B1"/>
    <w:rsid w:val="004960FB"/>
    <w:rsid w:val="00496205"/>
    <w:rsid w:val="00496241"/>
    <w:rsid w:val="00496285"/>
    <w:rsid w:val="004963D4"/>
    <w:rsid w:val="00496519"/>
    <w:rsid w:val="004966C3"/>
    <w:rsid w:val="004967FC"/>
    <w:rsid w:val="0049695D"/>
    <w:rsid w:val="00496BAB"/>
    <w:rsid w:val="00496D10"/>
    <w:rsid w:val="00496D67"/>
    <w:rsid w:val="00496E36"/>
    <w:rsid w:val="00496F68"/>
    <w:rsid w:val="00497480"/>
    <w:rsid w:val="004974B8"/>
    <w:rsid w:val="004977AD"/>
    <w:rsid w:val="00497AE7"/>
    <w:rsid w:val="00497B85"/>
    <w:rsid w:val="00497BFF"/>
    <w:rsid w:val="00497DB3"/>
    <w:rsid w:val="004A0147"/>
    <w:rsid w:val="004A03D3"/>
    <w:rsid w:val="004A055D"/>
    <w:rsid w:val="004A0561"/>
    <w:rsid w:val="004A0596"/>
    <w:rsid w:val="004A062F"/>
    <w:rsid w:val="004A0783"/>
    <w:rsid w:val="004A07B4"/>
    <w:rsid w:val="004A0812"/>
    <w:rsid w:val="004A086B"/>
    <w:rsid w:val="004A0883"/>
    <w:rsid w:val="004A089B"/>
    <w:rsid w:val="004A08C6"/>
    <w:rsid w:val="004A0912"/>
    <w:rsid w:val="004A09A4"/>
    <w:rsid w:val="004A09CD"/>
    <w:rsid w:val="004A0AC0"/>
    <w:rsid w:val="004A0CF3"/>
    <w:rsid w:val="004A0D30"/>
    <w:rsid w:val="004A0DFD"/>
    <w:rsid w:val="004A0E37"/>
    <w:rsid w:val="004A10F5"/>
    <w:rsid w:val="004A14AB"/>
    <w:rsid w:val="004A15CF"/>
    <w:rsid w:val="004A1672"/>
    <w:rsid w:val="004A1710"/>
    <w:rsid w:val="004A17B8"/>
    <w:rsid w:val="004A17E1"/>
    <w:rsid w:val="004A1938"/>
    <w:rsid w:val="004A1CB1"/>
    <w:rsid w:val="004A1E75"/>
    <w:rsid w:val="004A1F38"/>
    <w:rsid w:val="004A2003"/>
    <w:rsid w:val="004A2043"/>
    <w:rsid w:val="004A2107"/>
    <w:rsid w:val="004A221C"/>
    <w:rsid w:val="004A2777"/>
    <w:rsid w:val="004A27C2"/>
    <w:rsid w:val="004A2873"/>
    <w:rsid w:val="004A2A2F"/>
    <w:rsid w:val="004A2CF6"/>
    <w:rsid w:val="004A2DED"/>
    <w:rsid w:val="004A2E9D"/>
    <w:rsid w:val="004A2EDC"/>
    <w:rsid w:val="004A2FAC"/>
    <w:rsid w:val="004A2FE8"/>
    <w:rsid w:val="004A3393"/>
    <w:rsid w:val="004A33D4"/>
    <w:rsid w:val="004A35C1"/>
    <w:rsid w:val="004A35E6"/>
    <w:rsid w:val="004A35FA"/>
    <w:rsid w:val="004A364C"/>
    <w:rsid w:val="004A3702"/>
    <w:rsid w:val="004A3738"/>
    <w:rsid w:val="004A3771"/>
    <w:rsid w:val="004A3A3B"/>
    <w:rsid w:val="004A3A61"/>
    <w:rsid w:val="004A3C2E"/>
    <w:rsid w:val="004A3C52"/>
    <w:rsid w:val="004A3CEE"/>
    <w:rsid w:val="004A4098"/>
    <w:rsid w:val="004A4182"/>
    <w:rsid w:val="004A419A"/>
    <w:rsid w:val="004A43C2"/>
    <w:rsid w:val="004A4499"/>
    <w:rsid w:val="004A44D5"/>
    <w:rsid w:val="004A4702"/>
    <w:rsid w:val="004A47A1"/>
    <w:rsid w:val="004A48E1"/>
    <w:rsid w:val="004A4F10"/>
    <w:rsid w:val="004A4F14"/>
    <w:rsid w:val="004A4F7E"/>
    <w:rsid w:val="004A4FD0"/>
    <w:rsid w:val="004A4FFA"/>
    <w:rsid w:val="004A52FD"/>
    <w:rsid w:val="004A56F9"/>
    <w:rsid w:val="004A58FC"/>
    <w:rsid w:val="004A5A6D"/>
    <w:rsid w:val="004A5A8F"/>
    <w:rsid w:val="004A5AA1"/>
    <w:rsid w:val="004A5ABF"/>
    <w:rsid w:val="004A5BF7"/>
    <w:rsid w:val="004A5C1D"/>
    <w:rsid w:val="004A5DA0"/>
    <w:rsid w:val="004A5DE2"/>
    <w:rsid w:val="004A5E4A"/>
    <w:rsid w:val="004A5F30"/>
    <w:rsid w:val="004A60F9"/>
    <w:rsid w:val="004A612C"/>
    <w:rsid w:val="004A6140"/>
    <w:rsid w:val="004A61C9"/>
    <w:rsid w:val="004A6251"/>
    <w:rsid w:val="004A6347"/>
    <w:rsid w:val="004A646C"/>
    <w:rsid w:val="004A674B"/>
    <w:rsid w:val="004A67CF"/>
    <w:rsid w:val="004A6815"/>
    <w:rsid w:val="004A68FE"/>
    <w:rsid w:val="004A6C13"/>
    <w:rsid w:val="004A6E04"/>
    <w:rsid w:val="004A6F76"/>
    <w:rsid w:val="004A7021"/>
    <w:rsid w:val="004A703A"/>
    <w:rsid w:val="004A7107"/>
    <w:rsid w:val="004A72BB"/>
    <w:rsid w:val="004A72F7"/>
    <w:rsid w:val="004A7544"/>
    <w:rsid w:val="004A7573"/>
    <w:rsid w:val="004A78B5"/>
    <w:rsid w:val="004A78E5"/>
    <w:rsid w:val="004A7BD9"/>
    <w:rsid w:val="004A7C8E"/>
    <w:rsid w:val="004A7E35"/>
    <w:rsid w:val="004A7E61"/>
    <w:rsid w:val="004A7ECE"/>
    <w:rsid w:val="004A7EF2"/>
    <w:rsid w:val="004A7EF4"/>
    <w:rsid w:val="004A7F12"/>
    <w:rsid w:val="004A7F4C"/>
    <w:rsid w:val="004B0051"/>
    <w:rsid w:val="004B0897"/>
    <w:rsid w:val="004B09C1"/>
    <w:rsid w:val="004B0BC6"/>
    <w:rsid w:val="004B0CCD"/>
    <w:rsid w:val="004B0D5A"/>
    <w:rsid w:val="004B0E23"/>
    <w:rsid w:val="004B0E59"/>
    <w:rsid w:val="004B1083"/>
    <w:rsid w:val="004B10B3"/>
    <w:rsid w:val="004B119C"/>
    <w:rsid w:val="004B11A3"/>
    <w:rsid w:val="004B1212"/>
    <w:rsid w:val="004B1305"/>
    <w:rsid w:val="004B13DF"/>
    <w:rsid w:val="004B148E"/>
    <w:rsid w:val="004B1547"/>
    <w:rsid w:val="004B17FE"/>
    <w:rsid w:val="004B1B89"/>
    <w:rsid w:val="004B1BBF"/>
    <w:rsid w:val="004B1EBE"/>
    <w:rsid w:val="004B1F58"/>
    <w:rsid w:val="004B2035"/>
    <w:rsid w:val="004B22C6"/>
    <w:rsid w:val="004B234A"/>
    <w:rsid w:val="004B2698"/>
    <w:rsid w:val="004B26FD"/>
    <w:rsid w:val="004B274D"/>
    <w:rsid w:val="004B276B"/>
    <w:rsid w:val="004B27B0"/>
    <w:rsid w:val="004B2891"/>
    <w:rsid w:val="004B2B26"/>
    <w:rsid w:val="004B2F11"/>
    <w:rsid w:val="004B2FA7"/>
    <w:rsid w:val="004B3113"/>
    <w:rsid w:val="004B31CA"/>
    <w:rsid w:val="004B35B2"/>
    <w:rsid w:val="004B3605"/>
    <w:rsid w:val="004B38F9"/>
    <w:rsid w:val="004B3CB8"/>
    <w:rsid w:val="004B3E76"/>
    <w:rsid w:val="004B3F0C"/>
    <w:rsid w:val="004B4131"/>
    <w:rsid w:val="004B4271"/>
    <w:rsid w:val="004B44E0"/>
    <w:rsid w:val="004B48A2"/>
    <w:rsid w:val="004B4960"/>
    <w:rsid w:val="004B4C62"/>
    <w:rsid w:val="004B4F94"/>
    <w:rsid w:val="004B5232"/>
    <w:rsid w:val="004B525F"/>
    <w:rsid w:val="004B5307"/>
    <w:rsid w:val="004B531E"/>
    <w:rsid w:val="004B5463"/>
    <w:rsid w:val="004B552D"/>
    <w:rsid w:val="004B577E"/>
    <w:rsid w:val="004B5808"/>
    <w:rsid w:val="004B581A"/>
    <w:rsid w:val="004B5A23"/>
    <w:rsid w:val="004B5C6F"/>
    <w:rsid w:val="004B5CFA"/>
    <w:rsid w:val="004B5F61"/>
    <w:rsid w:val="004B610C"/>
    <w:rsid w:val="004B6713"/>
    <w:rsid w:val="004B681A"/>
    <w:rsid w:val="004B686E"/>
    <w:rsid w:val="004B688F"/>
    <w:rsid w:val="004B6AF8"/>
    <w:rsid w:val="004B6C1B"/>
    <w:rsid w:val="004B6C72"/>
    <w:rsid w:val="004B6D0F"/>
    <w:rsid w:val="004B6D2A"/>
    <w:rsid w:val="004B6D61"/>
    <w:rsid w:val="004B6D9A"/>
    <w:rsid w:val="004B6F34"/>
    <w:rsid w:val="004B7172"/>
    <w:rsid w:val="004B7184"/>
    <w:rsid w:val="004B7588"/>
    <w:rsid w:val="004B7CE3"/>
    <w:rsid w:val="004B7D84"/>
    <w:rsid w:val="004B7DCD"/>
    <w:rsid w:val="004B7F4F"/>
    <w:rsid w:val="004C00C4"/>
    <w:rsid w:val="004C0338"/>
    <w:rsid w:val="004C0375"/>
    <w:rsid w:val="004C057D"/>
    <w:rsid w:val="004C06D5"/>
    <w:rsid w:val="004C0913"/>
    <w:rsid w:val="004C094B"/>
    <w:rsid w:val="004C0A75"/>
    <w:rsid w:val="004C0B42"/>
    <w:rsid w:val="004C0B73"/>
    <w:rsid w:val="004C0DD4"/>
    <w:rsid w:val="004C12C7"/>
    <w:rsid w:val="004C12D0"/>
    <w:rsid w:val="004C1311"/>
    <w:rsid w:val="004C1371"/>
    <w:rsid w:val="004C13AC"/>
    <w:rsid w:val="004C145C"/>
    <w:rsid w:val="004C16F0"/>
    <w:rsid w:val="004C1908"/>
    <w:rsid w:val="004C1930"/>
    <w:rsid w:val="004C1A30"/>
    <w:rsid w:val="004C1BB8"/>
    <w:rsid w:val="004C1E6E"/>
    <w:rsid w:val="004C2004"/>
    <w:rsid w:val="004C2130"/>
    <w:rsid w:val="004C226A"/>
    <w:rsid w:val="004C2296"/>
    <w:rsid w:val="004C24EA"/>
    <w:rsid w:val="004C2560"/>
    <w:rsid w:val="004C2611"/>
    <w:rsid w:val="004C2796"/>
    <w:rsid w:val="004C2B81"/>
    <w:rsid w:val="004C2C8C"/>
    <w:rsid w:val="004C2D27"/>
    <w:rsid w:val="004C2D6D"/>
    <w:rsid w:val="004C2E25"/>
    <w:rsid w:val="004C3107"/>
    <w:rsid w:val="004C3336"/>
    <w:rsid w:val="004C33DA"/>
    <w:rsid w:val="004C3475"/>
    <w:rsid w:val="004C357C"/>
    <w:rsid w:val="004C3666"/>
    <w:rsid w:val="004C3844"/>
    <w:rsid w:val="004C3848"/>
    <w:rsid w:val="004C3A39"/>
    <w:rsid w:val="004C3B78"/>
    <w:rsid w:val="004C3BA6"/>
    <w:rsid w:val="004C3C52"/>
    <w:rsid w:val="004C3CD0"/>
    <w:rsid w:val="004C3E7B"/>
    <w:rsid w:val="004C4007"/>
    <w:rsid w:val="004C405D"/>
    <w:rsid w:val="004C40D6"/>
    <w:rsid w:val="004C418E"/>
    <w:rsid w:val="004C44B6"/>
    <w:rsid w:val="004C4560"/>
    <w:rsid w:val="004C46E0"/>
    <w:rsid w:val="004C47B2"/>
    <w:rsid w:val="004C4864"/>
    <w:rsid w:val="004C48C8"/>
    <w:rsid w:val="004C4B21"/>
    <w:rsid w:val="004C4B3D"/>
    <w:rsid w:val="004C4B8D"/>
    <w:rsid w:val="004C4CC5"/>
    <w:rsid w:val="004C4FE8"/>
    <w:rsid w:val="004C50AF"/>
    <w:rsid w:val="004C52F9"/>
    <w:rsid w:val="004C53C0"/>
    <w:rsid w:val="004C5543"/>
    <w:rsid w:val="004C55EE"/>
    <w:rsid w:val="004C574A"/>
    <w:rsid w:val="004C5882"/>
    <w:rsid w:val="004C588B"/>
    <w:rsid w:val="004C590A"/>
    <w:rsid w:val="004C597C"/>
    <w:rsid w:val="004C5B03"/>
    <w:rsid w:val="004C5CBE"/>
    <w:rsid w:val="004C5CE3"/>
    <w:rsid w:val="004C5EE6"/>
    <w:rsid w:val="004C60B1"/>
    <w:rsid w:val="004C6177"/>
    <w:rsid w:val="004C6283"/>
    <w:rsid w:val="004C6550"/>
    <w:rsid w:val="004C65C1"/>
    <w:rsid w:val="004C6694"/>
    <w:rsid w:val="004C66F4"/>
    <w:rsid w:val="004C67AE"/>
    <w:rsid w:val="004C67E2"/>
    <w:rsid w:val="004C68C7"/>
    <w:rsid w:val="004C69B7"/>
    <w:rsid w:val="004C69D2"/>
    <w:rsid w:val="004C69DF"/>
    <w:rsid w:val="004C6B0C"/>
    <w:rsid w:val="004C6B65"/>
    <w:rsid w:val="004C6D2B"/>
    <w:rsid w:val="004C6D4E"/>
    <w:rsid w:val="004C6F16"/>
    <w:rsid w:val="004C6F9B"/>
    <w:rsid w:val="004C6FDD"/>
    <w:rsid w:val="004C7067"/>
    <w:rsid w:val="004C738E"/>
    <w:rsid w:val="004C7557"/>
    <w:rsid w:val="004C755E"/>
    <w:rsid w:val="004C774F"/>
    <w:rsid w:val="004C785C"/>
    <w:rsid w:val="004C792A"/>
    <w:rsid w:val="004C79CB"/>
    <w:rsid w:val="004C7B8B"/>
    <w:rsid w:val="004C7BC4"/>
    <w:rsid w:val="004C7C23"/>
    <w:rsid w:val="004C7D9A"/>
    <w:rsid w:val="004C7E7F"/>
    <w:rsid w:val="004D015D"/>
    <w:rsid w:val="004D019B"/>
    <w:rsid w:val="004D01BC"/>
    <w:rsid w:val="004D03CE"/>
    <w:rsid w:val="004D0424"/>
    <w:rsid w:val="004D0468"/>
    <w:rsid w:val="004D086C"/>
    <w:rsid w:val="004D09AA"/>
    <w:rsid w:val="004D0BE2"/>
    <w:rsid w:val="004D0D0F"/>
    <w:rsid w:val="004D1201"/>
    <w:rsid w:val="004D12E8"/>
    <w:rsid w:val="004D1420"/>
    <w:rsid w:val="004D16CD"/>
    <w:rsid w:val="004D179E"/>
    <w:rsid w:val="004D19E1"/>
    <w:rsid w:val="004D1B5C"/>
    <w:rsid w:val="004D1BE1"/>
    <w:rsid w:val="004D1CE0"/>
    <w:rsid w:val="004D1F4D"/>
    <w:rsid w:val="004D20B9"/>
    <w:rsid w:val="004D20E5"/>
    <w:rsid w:val="004D2196"/>
    <w:rsid w:val="004D26B9"/>
    <w:rsid w:val="004D2840"/>
    <w:rsid w:val="004D2854"/>
    <w:rsid w:val="004D2C51"/>
    <w:rsid w:val="004D2C9A"/>
    <w:rsid w:val="004D2F6C"/>
    <w:rsid w:val="004D3023"/>
    <w:rsid w:val="004D31B9"/>
    <w:rsid w:val="004D3237"/>
    <w:rsid w:val="004D3399"/>
    <w:rsid w:val="004D3415"/>
    <w:rsid w:val="004D34BD"/>
    <w:rsid w:val="004D35BD"/>
    <w:rsid w:val="004D37AA"/>
    <w:rsid w:val="004D39CE"/>
    <w:rsid w:val="004D3A29"/>
    <w:rsid w:val="004D3B02"/>
    <w:rsid w:val="004D3DD6"/>
    <w:rsid w:val="004D3FC1"/>
    <w:rsid w:val="004D4194"/>
    <w:rsid w:val="004D41E7"/>
    <w:rsid w:val="004D446F"/>
    <w:rsid w:val="004D459D"/>
    <w:rsid w:val="004D4648"/>
    <w:rsid w:val="004D478A"/>
    <w:rsid w:val="004D479D"/>
    <w:rsid w:val="004D47FD"/>
    <w:rsid w:val="004D4809"/>
    <w:rsid w:val="004D485E"/>
    <w:rsid w:val="004D4A1F"/>
    <w:rsid w:val="004D4FDD"/>
    <w:rsid w:val="004D502B"/>
    <w:rsid w:val="004D505A"/>
    <w:rsid w:val="004D51DC"/>
    <w:rsid w:val="004D525C"/>
    <w:rsid w:val="004D5428"/>
    <w:rsid w:val="004D5707"/>
    <w:rsid w:val="004D5713"/>
    <w:rsid w:val="004D57D1"/>
    <w:rsid w:val="004D595C"/>
    <w:rsid w:val="004D5A94"/>
    <w:rsid w:val="004D5AD0"/>
    <w:rsid w:val="004D5C26"/>
    <w:rsid w:val="004D5C44"/>
    <w:rsid w:val="004D5C76"/>
    <w:rsid w:val="004D5D9E"/>
    <w:rsid w:val="004D618B"/>
    <w:rsid w:val="004D6454"/>
    <w:rsid w:val="004D6527"/>
    <w:rsid w:val="004D6571"/>
    <w:rsid w:val="004D65A8"/>
    <w:rsid w:val="004D65C3"/>
    <w:rsid w:val="004D6737"/>
    <w:rsid w:val="004D689D"/>
    <w:rsid w:val="004D68F2"/>
    <w:rsid w:val="004D6AE6"/>
    <w:rsid w:val="004D6B49"/>
    <w:rsid w:val="004D6C21"/>
    <w:rsid w:val="004D6DC0"/>
    <w:rsid w:val="004D6E1A"/>
    <w:rsid w:val="004D6EB3"/>
    <w:rsid w:val="004D6F90"/>
    <w:rsid w:val="004D7170"/>
    <w:rsid w:val="004D71C7"/>
    <w:rsid w:val="004D727E"/>
    <w:rsid w:val="004D7372"/>
    <w:rsid w:val="004D7488"/>
    <w:rsid w:val="004D74BD"/>
    <w:rsid w:val="004D77F6"/>
    <w:rsid w:val="004D7896"/>
    <w:rsid w:val="004D79EB"/>
    <w:rsid w:val="004D7A60"/>
    <w:rsid w:val="004D7CAC"/>
    <w:rsid w:val="004D7CE7"/>
    <w:rsid w:val="004D7D1D"/>
    <w:rsid w:val="004D7FFC"/>
    <w:rsid w:val="004E01E9"/>
    <w:rsid w:val="004E02B9"/>
    <w:rsid w:val="004E03B6"/>
    <w:rsid w:val="004E04A3"/>
    <w:rsid w:val="004E05FA"/>
    <w:rsid w:val="004E078C"/>
    <w:rsid w:val="004E079F"/>
    <w:rsid w:val="004E08E6"/>
    <w:rsid w:val="004E0969"/>
    <w:rsid w:val="004E0A23"/>
    <w:rsid w:val="004E0C7A"/>
    <w:rsid w:val="004E1027"/>
    <w:rsid w:val="004E1117"/>
    <w:rsid w:val="004E1296"/>
    <w:rsid w:val="004E1381"/>
    <w:rsid w:val="004E152A"/>
    <w:rsid w:val="004E159F"/>
    <w:rsid w:val="004E15BE"/>
    <w:rsid w:val="004E15D1"/>
    <w:rsid w:val="004E1697"/>
    <w:rsid w:val="004E16C9"/>
    <w:rsid w:val="004E1924"/>
    <w:rsid w:val="004E1AE2"/>
    <w:rsid w:val="004E1B89"/>
    <w:rsid w:val="004E1C0B"/>
    <w:rsid w:val="004E1F60"/>
    <w:rsid w:val="004E20B3"/>
    <w:rsid w:val="004E20E7"/>
    <w:rsid w:val="004E23ED"/>
    <w:rsid w:val="004E2824"/>
    <w:rsid w:val="004E28BA"/>
    <w:rsid w:val="004E2BC0"/>
    <w:rsid w:val="004E2CAC"/>
    <w:rsid w:val="004E300A"/>
    <w:rsid w:val="004E3288"/>
    <w:rsid w:val="004E334B"/>
    <w:rsid w:val="004E3352"/>
    <w:rsid w:val="004E3498"/>
    <w:rsid w:val="004E36D5"/>
    <w:rsid w:val="004E370B"/>
    <w:rsid w:val="004E3827"/>
    <w:rsid w:val="004E3838"/>
    <w:rsid w:val="004E395F"/>
    <w:rsid w:val="004E3A57"/>
    <w:rsid w:val="004E3A77"/>
    <w:rsid w:val="004E3B3D"/>
    <w:rsid w:val="004E3C00"/>
    <w:rsid w:val="004E3D03"/>
    <w:rsid w:val="004E3D5D"/>
    <w:rsid w:val="004E3D89"/>
    <w:rsid w:val="004E3E9B"/>
    <w:rsid w:val="004E3F69"/>
    <w:rsid w:val="004E3FBC"/>
    <w:rsid w:val="004E4096"/>
    <w:rsid w:val="004E44E1"/>
    <w:rsid w:val="004E45B0"/>
    <w:rsid w:val="004E45FC"/>
    <w:rsid w:val="004E4683"/>
    <w:rsid w:val="004E468A"/>
    <w:rsid w:val="004E474D"/>
    <w:rsid w:val="004E4A09"/>
    <w:rsid w:val="004E4A9E"/>
    <w:rsid w:val="004E4C8D"/>
    <w:rsid w:val="004E506B"/>
    <w:rsid w:val="004E5492"/>
    <w:rsid w:val="004E5539"/>
    <w:rsid w:val="004E5545"/>
    <w:rsid w:val="004E56D6"/>
    <w:rsid w:val="004E5815"/>
    <w:rsid w:val="004E58E4"/>
    <w:rsid w:val="004E58FF"/>
    <w:rsid w:val="004E5A95"/>
    <w:rsid w:val="004E5BEB"/>
    <w:rsid w:val="004E5E27"/>
    <w:rsid w:val="004E5FA1"/>
    <w:rsid w:val="004E60AC"/>
    <w:rsid w:val="004E60C6"/>
    <w:rsid w:val="004E63CF"/>
    <w:rsid w:val="004E6439"/>
    <w:rsid w:val="004E6494"/>
    <w:rsid w:val="004E64EF"/>
    <w:rsid w:val="004E65A5"/>
    <w:rsid w:val="004E687E"/>
    <w:rsid w:val="004E6C12"/>
    <w:rsid w:val="004E6C4F"/>
    <w:rsid w:val="004E6E48"/>
    <w:rsid w:val="004E6E97"/>
    <w:rsid w:val="004E6FE0"/>
    <w:rsid w:val="004E7060"/>
    <w:rsid w:val="004E74B2"/>
    <w:rsid w:val="004E7590"/>
    <w:rsid w:val="004E75A4"/>
    <w:rsid w:val="004E76CC"/>
    <w:rsid w:val="004E7874"/>
    <w:rsid w:val="004E7BC1"/>
    <w:rsid w:val="004E7C04"/>
    <w:rsid w:val="004E7C4E"/>
    <w:rsid w:val="004F0013"/>
    <w:rsid w:val="004F00C2"/>
    <w:rsid w:val="004F0139"/>
    <w:rsid w:val="004F0254"/>
    <w:rsid w:val="004F04F2"/>
    <w:rsid w:val="004F0509"/>
    <w:rsid w:val="004F0511"/>
    <w:rsid w:val="004F05FD"/>
    <w:rsid w:val="004F0918"/>
    <w:rsid w:val="004F0999"/>
    <w:rsid w:val="004F09C3"/>
    <w:rsid w:val="004F0A6F"/>
    <w:rsid w:val="004F0AC1"/>
    <w:rsid w:val="004F0B34"/>
    <w:rsid w:val="004F0DD1"/>
    <w:rsid w:val="004F0F25"/>
    <w:rsid w:val="004F1346"/>
    <w:rsid w:val="004F1389"/>
    <w:rsid w:val="004F13DC"/>
    <w:rsid w:val="004F141F"/>
    <w:rsid w:val="004F1474"/>
    <w:rsid w:val="004F1475"/>
    <w:rsid w:val="004F16C2"/>
    <w:rsid w:val="004F1742"/>
    <w:rsid w:val="004F17AD"/>
    <w:rsid w:val="004F19F6"/>
    <w:rsid w:val="004F1A90"/>
    <w:rsid w:val="004F1B6E"/>
    <w:rsid w:val="004F1B8C"/>
    <w:rsid w:val="004F1CB3"/>
    <w:rsid w:val="004F1D33"/>
    <w:rsid w:val="004F1E09"/>
    <w:rsid w:val="004F1EAE"/>
    <w:rsid w:val="004F1FBC"/>
    <w:rsid w:val="004F240A"/>
    <w:rsid w:val="004F240E"/>
    <w:rsid w:val="004F25D8"/>
    <w:rsid w:val="004F25EB"/>
    <w:rsid w:val="004F2614"/>
    <w:rsid w:val="004F2A5A"/>
    <w:rsid w:val="004F2A85"/>
    <w:rsid w:val="004F2BCD"/>
    <w:rsid w:val="004F2BE4"/>
    <w:rsid w:val="004F2DC1"/>
    <w:rsid w:val="004F3051"/>
    <w:rsid w:val="004F3054"/>
    <w:rsid w:val="004F3088"/>
    <w:rsid w:val="004F308C"/>
    <w:rsid w:val="004F31ED"/>
    <w:rsid w:val="004F3363"/>
    <w:rsid w:val="004F336B"/>
    <w:rsid w:val="004F3499"/>
    <w:rsid w:val="004F3773"/>
    <w:rsid w:val="004F3913"/>
    <w:rsid w:val="004F396A"/>
    <w:rsid w:val="004F39A3"/>
    <w:rsid w:val="004F3AC5"/>
    <w:rsid w:val="004F3AF8"/>
    <w:rsid w:val="004F3CA0"/>
    <w:rsid w:val="004F3F80"/>
    <w:rsid w:val="004F40B4"/>
    <w:rsid w:val="004F4117"/>
    <w:rsid w:val="004F41DF"/>
    <w:rsid w:val="004F421B"/>
    <w:rsid w:val="004F430C"/>
    <w:rsid w:val="004F4556"/>
    <w:rsid w:val="004F495A"/>
    <w:rsid w:val="004F49DA"/>
    <w:rsid w:val="004F4A10"/>
    <w:rsid w:val="004F4B88"/>
    <w:rsid w:val="004F4CEE"/>
    <w:rsid w:val="004F4D01"/>
    <w:rsid w:val="004F4D46"/>
    <w:rsid w:val="004F4E33"/>
    <w:rsid w:val="004F4E68"/>
    <w:rsid w:val="004F4F8D"/>
    <w:rsid w:val="004F500F"/>
    <w:rsid w:val="004F51BE"/>
    <w:rsid w:val="004F52B6"/>
    <w:rsid w:val="004F54BF"/>
    <w:rsid w:val="004F56ED"/>
    <w:rsid w:val="004F5830"/>
    <w:rsid w:val="004F5900"/>
    <w:rsid w:val="004F5D53"/>
    <w:rsid w:val="004F5E66"/>
    <w:rsid w:val="004F6151"/>
    <w:rsid w:val="004F63C1"/>
    <w:rsid w:val="004F651A"/>
    <w:rsid w:val="004F68CC"/>
    <w:rsid w:val="004F68E3"/>
    <w:rsid w:val="004F6BCD"/>
    <w:rsid w:val="004F6CA0"/>
    <w:rsid w:val="004F6D6B"/>
    <w:rsid w:val="004F6E5E"/>
    <w:rsid w:val="004F6F89"/>
    <w:rsid w:val="004F7182"/>
    <w:rsid w:val="004F71D6"/>
    <w:rsid w:val="004F7210"/>
    <w:rsid w:val="004F72CD"/>
    <w:rsid w:val="004F7386"/>
    <w:rsid w:val="004F73B9"/>
    <w:rsid w:val="004F7557"/>
    <w:rsid w:val="004F7560"/>
    <w:rsid w:val="004F7573"/>
    <w:rsid w:val="004F7771"/>
    <w:rsid w:val="004F77AD"/>
    <w:rsid w:val="004F7996"/>
    <w:rsid w:val="004F79E1"/>
    <w:rsid w:val="004F7B42"/>
    <w:rsid w:val="004F7B96"/>
    <w:rsid w:val="004F7DC7"/>
    <w:rsid w:val="004F7F0B"/>
    <w:rsid w:val="004F7F97"/>
    <w:rsid w:val="00500184"/>
    <w:rsid w:val="00500255"/>
    <w:rsid w:val="0050025D"/>
    <w:rsid w:val="005003E0"/>
    <w:rsid w:val="00500431"/>
    <w:rsid w:val="00500608"/>
    <w:rsid w:val="005006F3"/>
    <w:rsid w:val="0050070A"/>
    <w:rsid w:val="005007D9"/>
    <w:rsid w:val="00500824"/>
    <w:rsid w:val="005008BE"/>
    <w:rsid w:val="005008C2"/>
    <w:rsid w:val="005009C1"/>
    <w:rsid w:val="00500B4B"/>
    <w:rsid w:val="00500B6E"/>
    <w:rsid w:val="00500BAD"/>
    <w:rsid w:val="00500BB9"/>
    <w:rsid w:val="00500BDE"/>
    <w:rsid w:val="00500CCA"/>
    <w:rsid w:val="00500CCB"/>
    <w:rsid w:val="00500CFE"/>
    <w:rsid w:val="00500EF9"/>
    <w:rsid w:val="00501157"/>
    <w:rsid w:val="005011B3"/>
    <w:rsid w:val="005012AA"/>
    <w:rsid w:val="005018CA"/>
    <w:rsid w:val="005019C8"/>
    <w:rsid w:val="00501A86"/>
    <w:rsid w:val="00501BE9"/>
    <w:rsid w:val="00501D93"/>
    <w:rsid w:val="00501E0C"/>
    <w:rsid w:val="00501EFE"/>
    <w:rsid w:val="00501FCC"/>
    <w:rsid w:val="0050222B"/>
    <w:rsid w:val="00502565"/>
    <w:rsid w:val="00502594"/>
    <w:rsid w:val="005025A1"/>
    <w:rsid w:val="005026E1"/>
    <w:rsid w:val="00502A23"/>
    <w:rsid w:val="00502A5C"/>
    <w:rsid w:val="00502B28"/>
    <w:rsid w:val="00502BE0"/>
    <w:rsid w:val="00502CB4"/>
    <w:rsid w:val="00502E26"/>
    <w:rsid w:val="0050312F"/>
    <w:rsid w:val="005031A7"/>
    <w:rsid w:val="005031E4"/>
    <w:rsid w:val="0050320E"/>
    <w:rsid w:val="0050337F"/>
    <w:rsid w:val="005033A6"/>
    <w:rsid w:val="00503418"/>
    <w:rsid w:val="0050345D"/>
    <w:rsid w:val="00503674"/>
    <w:rsid w:val="00503728"/>
    <w:rsid w:val="00503B48"/>
    <w:rsid w:val="00503C2C"/>
    <w:rsid w:val="00503C6D"/>
    <w:rsid w:val="00503E7F"/>
    <w:rsid w:val="00503EBE"/>
    <w:rsid w:val="005042B4"/>
    <w:rsid w:val="00504388"/>
    <w:rsid w:val="005046A0"/>
    <w:rsid w:val="0050477C"/>
    <w:rsid w:val="00504834"/>
    <w:rsid w:val="00504889"/>
    <w:rsid w:val="00504A9D"/>
    <w:rsid w:val="00504D15"/>
    <w:rsid w:val="00504E2D"/>
    <w:rsid w:val="00504F59"/>
    <w:rsid w:val="005050CD"/>
    <w:rsid w:val="00505165"/>
    <w:rsid w:val="0050531F"/>
    <w:rsid w:val="00505453"/>
    <w:rsid w:val="00505552"/>
    <w:rsid w:val="00505652"/>
    <w:rsid w:val="005056B3"/>
    <w:rsid w:val="005057B3"/>
    <w:rsid w:val="00505834"/>
    <w:rsid w:val="0050590F"/>
    <w:rsid w:val="00505934"/>
    <w:rsid w:val="00505A0D"/>
    <w:rsid w:val="00505A8A"/>
    <w:rsid w:val="00505ACA"/>
    <w:rsid w:val="00505B19"/>
    <w:rsid w:val="00505B92"/>
    <w:rsid w:val="00505BA5"/>
    <w:rsid w:val="00505C0B"/>
    <w:rsid w:val="00505C17"/>
    <w:rsid w:val="00505C3D"/>
    <w:rsid w:val="00505F25"/>
    <w:rsid w:val="00506197"/>
    <w:rsid w:val="005061BA"/>
    <w:rsid w:val="00506348"/>
    <w:rsid w:val="0050640E"/>
    <w:rsid w:val="00506451"/>
    <w:rsid w:val="00506529"/>
    <w:rsid w:val="00506613"/>
    <w:rsid w:val="0050684D"/>
    <w:rsid w:val="005068DC"/>
    <w:rsid w:val="0050693F"/>
    <w:rsid w:val="00506AC9"/>
    <w:rsid w:val="00506C31"/>
    <w:rsid w:val="00506C79"/>
    <w:rsid w:val="00506E52"/>
    <w:rsid w:val="00506FE2"/>
    <w:rsid w:val="005070E5"/>
    <w:rsid w:val="0050757B"/>
    <w:rsid w:val="00507607"/>
    <w:rsid w:val="0050779D"/>
    <w:rsid w:val="00507917"/>
    <w:rsid w:val="005079C4"/>
    <w:rsid w:val="00507D43"/>
    <w:rsid w:val="00507DD3"/>
    <w:rsid w:val="00507E15"/>
    <w:rsid w:val="00507E2B"/>
    <w:rsid w:val="00507F26"/>
    <w:rsid w:val="005100BD"/>
    <w:rsid w:val="0051023C"/>
    <w:rsid w:val="00510485"/>
    <w:rsid w:val="005104AF"/>
    <w:rsid w:val="005104BC"/>
    <w:rsid w:val="005104C5"/>
    <w:rsid w:val="00510772"/>
    <w:rsid w:val="005109CD"/>
    <w:rsid w:val="005109E3"/>
    <w:rsid w:val="00510A50"/>
    <w:rsid w:val="00510A85"/>
    <w:rsid w:val="00510B22"/>
    <w:rsid w:val="00510CBB"/>
    <w:rsid w:val="00510CF6"/>
    <w:rsid w:val="00511008"/>
    <w:rsid w:val="00511043"/>
    <w:rsid w:val="005110B4"/>
    <w:rsid w:val="005111BE"/>
    <w:rsid w:val="0051125F"/>
    <w:rsid w:val="005114C4"/>
    <w:rsid w:val="005115BB"/>
    <w:rsid w:val="0051180C"/>
    <w:rsid w:val="00511A01"/>
    <w:rsid w:val="00511B77"/>
    <w:rsid w:val="00511B84"/>
    <w:rsid w:val="00511B89"/>
    <w:rsid w:val="00511BB0"/>
    <w:rsid w:val="00511C67"/>
    <w:rsid w:val="00511F39"/>
    <w:rsid w:val="00511FFB"/>
    <w:rsid w:val="0051218B"/>
    <w:rsid w:val="005122F7"/>
    <w:rsid w:val="00512311"/>
    <w:rsid w:val="005123EF"/>
    <w:rsid w:val="00512461"/>
    <w:rsid w:val="00512526"/>
    <w:rsid w:val="005128AB"/>
    <w:rsid w:val="00512927"/>
    <w:rsid w:val="005129A3"/>
    <w:rsid w:val="00512A23"/>
    <w:rsid w:val="00512AA9"/>
    <w:rsid w:val="00512AF4"/>
    <w:rsid w:val="00512BA3"/>
    <w:rsid w:val="00512CAB"/>
    <w:rsid w:val="00512D1A"/>
    <w:rsid w:val="00512D53"/>
    <w:rsid w:val="00512DE4"/>
    <w:rsid w:val="00512E0D"/>
    <w:rsid w:val="00512E7E"/>
    <w:rsid w:val="00512F02"/>
    <w:rsid w:val="005132DA"/>
    <w:rsid w:val="005132DE"/>
    <w:rsid w:val="005134C5"/>
    <w:rsid w:val="00513528"/>
    <w:rsid w:val="005135C3"/>
    <w:rsid w:val="00513794"/>
    <w:rsid w:val="005137DD"/>
    <w:rsid w:val="005139C0"/>
    <w:rsid w:val="00513B61"/>
    <w:rsid w:val="00513FD3"/>
    <w:rsid w:val="00514093"/>
    <w:rsid w:val="005140B4"/>
    <w:rsid w:val="005140BE"/>
    <w:rsid w:val="00514108"/>
    <w:rsid w:val="00514218"/>
    <w:rsid w:val="00514322"/>
    <w:rsid w:val="0051452E"/>
    <w:rsid w:val="00514540"/>
    <w:rsid w:val="00514602"/>
    <w:rsid w:val="0051476B"/>
    <w:rsid w:val="005147FB"/>
    <w:rsid w:val="0051486F"/>
    <w:rsid w:val="0051491D"/>
    <w:rsid w:val="005149DB"/>
    <w:rsid w:val="00514A87"/>
    <w:rsid w:val="00514B05"/>
    <w:rsid w:val="00514C00"/>
    <w:rsid w:val="00514E6B"/>
    <w:rsid w:val="00514FC1"/>
    <w:rsid w:val="005150B2"/>
    <w:rsid w:val="00515120"/>
    <w:rsid w:val="005152B5"/>
    <w:rsid w:val="0051552A"/>
    <w:rsid w:val="005158B0"/>
    <w:rsid w:val="00515B0B"/>
    <w:rsid w:val="00515C53"/>
    <w:rsid w:val="00515EF2"/>
    <w:rsid w:val="005160E6"/>
    <w:rsid w:val="0051610F"/>
    <w:rsid w:val="00516319"/>
    <w:rsid w:val="0051634B"/>
    <w:rsid w:val="005163AA"/>
    <w:rsid w:val="0051647C"/>
    <w:rsid w:val="005164FA"/>
    <w:rsid w:val="0051650D"/>
    <w:rsid w:val="005167F4"/>
    <w:rsid w:val="005168CB"/>
    <w:rsid w:val="00516AEA"/>
    <w:rsid w:val="00516B12"/>
    <w:rsid w:val="00516B92"/>
    <w:rsid w:val="00516CEC"/>
    <w:rsid w:val="00516D49"/>
    <w:rsid w:val="00516E13"/>
    <w:rsid w:val="00516E91"/>
    <w:rsid w:val="00516EFF"/>
    <w:rsid w:val="00516F26"/>
    <w:rsid w:val="00516FD6"/>
    <w:rsid w:val="00517049"/>
    <w:rsid w:val="0051709C"/>
    <w:rsid w:val="0051716E"/>
    <w:rsid w:val="00517198"/>
    <w:rsid w:val="00517235"/>
    <w:rsid w:val="0051765A"/>
    <w:rsid w:val="00517671"/>
    <w:rsid w:val="005176EF"/>
    <w:rsid w:val="00517861"/>
    <w:rsid w:val="00517994"/>
    <w:rsid w:val="00517A17"/>
    <w:rsid w:val="00517A2A"/>
    <w:rsid w:val="00517A5E"/>
    <w:rsid w:val="00517ACF"/>
    <w:rsid w:val="00517D05"/>
    <w:rsid w:val="00517D32"/>
    <w:rsid w:val="00517F70"/>
    <w:rsid w:val="00517F8D"/>
    <w:rsid w:val="005201B7"/>
    <w:rsid w:val="005202EA"/>
    <w:rsid w:val="005203A3"/>
    <w:rsid w:val="00520490"/>
    <w:rsid w:val="0052049D"/>
    <w:rsid w:val="005204BD"/>
    <w:rsid w:val="00520581"/>
    <w:rsid w:val="00520637"/>
    <w:rsid w:val="0052083D"/>
    <w:rsid w:val="00520844"/>
    <w:rsid w:val="005208E9"/>
    <w:rsid w:val="00520909"/>
    <w:rsid w:val="005209A2"/>
    <w:rsid w:val="00520A29"/>
    <w:rsid w:val="00520ABA"/>
    <w:rsid w:val="00520B6C"/>
    <w:rsid w:val="00520BAB"/>
    <w:rsid w:val="00520CB7"/>
    <w:rsid w:val="00520CCE"/>
    <w:rsid w:val="00520CDB"/>
    <w:rsid w:val="00520DEC"/>
    <w:rsid w:val="00520DF3"/>
    <w:rsid w:val="00520ECF"/>
    <w:rsid w:val="00521057"/>
    <w:rsid w:val="005214B6"/>
    <w:rsid w:val="00521592"/>
    <w:rsid w:val="00521651"/>
    <w:rsid w:val="005216D7"/>
    <w:rsid w:val="00521831"/>
    <w:rsid w:val="00521954"/>
    <w:rsid w:val="00521AE4"/>
    <w:rsid w:val="00521B90"/>
    <w:rsid w:val="00521BE7"/>
    <w:rsid w:val="00521BF0"/>
    <w:rsid w:val="00521BFD"/>
    <w:rsid w:val="00521C69"/>
    <w:rsid w:val="00521E47"/>
    <w:rsid w:val="00521F2B"/>
    <w:rsid w:val="00521F84"/>
    <w:rsid w:val="00522064"/>
    <w:rsid w:val="00522212"/>
    <w:rsid w:val="00522419"/>
    <w:rsid w:val="005224BA"/>
    <w:rsid w:val="0052253D"/>
    <w:rsid w:val="0052266A"/>
    <w:rsid w:val="00522696"/>
    <w:rsid w:val="0052278E"/>
    <w:rsid w:val="005227EA"/>
    <w:rsid w:val="005229BF"/>
    <w:rsid w:val="00522AF0"/>
    <w:rsid w:val="00522C28"/>
    <w:rsid w:val="00522DB3"/>
    <w:rsid w:val="00523070"/>
    <w:rsid w:val="00523071"/>
    <w:rsid w:val="00523082"/>
    <w:rsid w:val="005236F5"/>
    <w:rsid w:val="005237CA"/>
    <w:rsid w:val="00523873"/>
    <w:rsid w:val="00523927"/>
    <w:rsid w:val="00523A18"/>
    <w:rsid w:val="00523A41"/>
    <w:rsid w:val="00523B9F"/>
    <w:rsid w:val="00523BD6"/>
    <w:rsid w:val="00523CBC"/>
    <w:rsid w:val="00523F93"/>
    <w:rsid w:val="005240DD"/>
    <w:rsid w:val="00524159"/>
    <w:rsid w:val="00524316"/>
    <w:rsid w:val="005243DA"/>
    <w:rsid w:val="00524422"/>
    <w:rsid w:val="005244C8"/>
    <w:rsid w:val="005244F0"/>
    <w:rsid w:val="005244F3"/>
    <w:rsid w:val="005245BD"/>
    <w:rsid w:val="005245D1"/>
    <w:rsid w:val="005245FF"/>
    <w:rsid w:val="00524869"/>
    <w:rsid w:val="0052491B"/>
    <w:rsid w:val="00524BF3"/>
    <w:rsid w:val="00524C4F"/>
    <w:rsid w:val="00524CED"/>
    <w:rsid w:val="00524D4B"/>
    <w:rsid w:val="00524EBB"/>
    <w:rsid w:val="00524FAC"/>
    <w:rsid w:val="005250B8"/>
    <w:rsid w:val="005251ED"/>
    <w:rsid w:val="005254CB"/>
    <w:rsid w:val="005254CF"/>
    <w:rsid w:val="005254D7"/>
    <w:rsid w:val="0052555D"/>
    <w:rsid w:val="005255DF"/>
    <w:rsid w:val="00525670"/>
    <w:rsid w:val="005257A8"/>
    <w:rsid w:val="0052580F"/>
    <w:rsid w:val="00525890"/>
    <w:rsid w:val="005259C2"/>
    <w:rsid w:val="005259DA"/>
    <w:rsid w:val="00525A93"/>
    <w:rsid w:val="00525B1A"/>
    <w:rsid w:val="00525DC8"/>
    <w:rsid w:val="00525EAC"/>
    <w:rsid w:val="00525F35"/>
    <w:rsid w:val="00525F46"/>
    <w:rsid w:val="00525F50"/>
    <w:rsid w:val="00525FAB"/>
    <w:rsid w:val="0052620A"/>
    <w:rsid w:val="0052636E"/>
    <w:rsid w:val="005264CF"/>
    <w:rsid w:val="0052654C"/>
    <w:rsid w:val="0052656C"/>
    <w:rsid w:val="005267EE"/>
    <w:rsid w:val="00526901"/>
    <w:rsid w:val="00526BB1"/>
    <w:rsid w:val="00526C4A"/>
    <w:rsid w:val="00526E9C"/>
    <w:rsid w:val="00526F8C"/>
    <w:rsid w:val="00526FAD"/>
    <w:rsid w:val="0052700E"/>
    <w:rsid w:val="00527342"/>
    <w:rsid w:val="005276FF"/>
    <w:rsid w:val="005278C4"/>
    <w:rsid w:val="00527925"/>
    <w:rsid w:val="005279DE"/>
    <w:rsid w:val="00527A27"/>
    <w:rsid w:val="00527B0C"/>
    <w:rsid w:val="00527E20"/>
    <w:rsid w:val="00527E7B"/>
    <w:rsid w:val="00527F01"/>
    <w:rsid w:val="00527FB0"/>
    <w:rsid w:val="00530467"/>
    <w:rsid w:val="005304AD"/>
    <w:rsid w:val="00530569"/>
    <w:rsid w:val="0053067E"/>
    <w:rsid w:val="0053077F"/>
    <w:rsid w:val="00530A10"/>
    <w:rsid w:val="00530A99"/>
    <w:rsid w:val="00530AF1"/>
    <w:rsid w:val="00530BA1"/>
    <w:rsid w:val="00530C34"/>
    <w:rsid w:val="00530CFF"/>
    <w:rsid w:val="00530D6C"/>
    <w:rsid w:val="00530F52"/>
    <w:rsid w:val="005314B1"/>
    <w:rsid w:val="005317E8"/>
    <w:rsid w:val="00531E45"/>
    <w:rsid w:val="00532107"/>
    <w:rsid w:val="005329AF"/>
    <w:rsid w:val="00532A6C"/>
    <w:rsid w:val="00532A87"/>
    <w:rsid w:val="00532B73"/>
    <w:rsid w:val="00532CF2"/>
    <w:rsid w:val="00532D41"/>
    <w:rsid w:val="00532DF4"/>
    <w:rsid w:val="00532EF5"/>
    <w:rsid w:val="00532F58"/>
    <w:rsid w:val="0053305E"/>
    <w:rsid w:val="005330F8"/>
    <w:rsid w:val="005330FB"/>
    <w:rsid w:val="00533131"/>
    <w:rsid w:val="005332C4"/>
    <w:rsid w:val="00533383"/>
    <w:rsid w:val="00533616"/>
    <w:rsid w:val="005336F4"/>
    <w:rsid w:val="0053390F"/>
    <w:rsid w:val="0053403B"/>
    <w:rsid w:val="0053434E"/>
    <w:rsid w:val="00534427"/>
    <w:rsid w:val="0053444B"/>
    <w:rsid w:val="00534704"/>
    <w:rsid w:val="00534728"/>
    <w:rsid w:val="005349FE"/>
    <w:rsid w:val="00534AB4"/>
    <w:rsid w:val="00534B05"/>
    <w:rsid w:val="00534C84"/>
    <w:rsid w:val="00534E99"/>
    <w:rsid w:val="00534EFC"/>
    <w:rsid w:val="00535234"/>
    <w:rsid w:val="00535252"/>
    <w:rsid w:val="00535699"/>
    <w:rsid w:val="005356C5"/>
    <w:rsid w:val="005356EB"/>
    <w:rsid w:val="005358CD"/>
    <w:rsid w:val="005358EB"/>
    <w:rsid w:val="005359D6"/>
    <w:rsid w:val="00535A81"/>
    <w:rsid w:val="00535B40"/>
    <w:rsid w:val="00535B81"/>
    <w:rsid w:val="00535FE4"/>
    <w:rsid w:val="00535FEC"/>
    <w:rsid w:val="00536011"/>
    <w:rsid w:val="005360A5"/>
    <w:rsid w:val="00536170"/>
    <w:rsid w:val="005361AB"/>
    <w:rsid w:val="00536311"/>
    <w:rsid w:val="005364C8"/>
    <w:rsid w:val="0053666A"/>
    <w:rsid w:val="005368CB"/>
    <w:rsid w:val="0053692F"/>
    <w:rsid w:val="00536997"/>
    <w:rsid w:val="00536A10"/>
    <w:rsid w:val="00536A38"/>
    <w:rsid w:val="00536AF2"/>
    <w:rsid w:val="00536AFE"/>
    <w:rsid w:val="00536F53"/>
    <w:rsid w:val="00537417"/>
    <w:rsid w:val="00537488"/>
    <w:rsid w:val="0053750F"/>
    <w:rsid w:val="005375BD"/>
    <w:rsid w:val="005375E4"/>
    <w:rsid w:val="005376CD"/>
    <w:rsid w:val="0053791C"/>
    <w:rsid w:val="00537C63"/>
    <w:rsid w:val="00537F1B"/>
    <w:rsid w:val="00537F41"/>
    <w:rsid w:val="00537F64"/>
    <w:rsid w:val="00537FB6"/>
    <w:rsid w:val="00540038"/>
    <w:rsid w:val="00540123"/>
    <w:rsid w:val="00540485"/>
    <w:rsid w:val="005404BC"/>
    <w:rsid w:val="005407C3"/>
    <w:rsid w:val="005408F5"/>
    <w:rsid w:val="00540907"/>
    <w:rsid w:val="0054091B"/>
    <w:rsid w:val="00540925"/>
    <w:rsid w:val="00540974"/>
    <w:rsid w:val="005409B7"/>
    <w:rsid w:val="00540A7C"/>
    <w:rsid w:val="00540ADD"/>
    <w:rsid w:val="00540F88"/>
    <w:rsid w:val="00541033"/>
    <w:rsid w:val="00541081"/>
    <w:rsid w:val="00541451"/>
    <w:rsid w:val="005414B2"/>
    <w:rsid w:val="00541516"/>
    <w:rsid w:val="00541566"/>
    <w:rsid w:val="005415F4"/>
    <w:rsid w:val="005416E9"/>
    <w:rsid w:val="00541866"/>
    <w:rsid w:val="00541B42"/>
    <w:rsid w:val="00541BCE"/>
    <w:rsid w:val="00541C02"/>
    <w:rsid w:val="00541C52"/>
    <w:rsid w:val="005421AA"/>
    <w:rsid w:val="005421FA"/>
    <w:rsid w:val="0054254D"/>
    <w:rsid w:val="0054268C"/>
    <w:rsid w:val="005426AA"/>
    <w:rsid w:val="005428C7"/>
    <w:rsid w:val="0054290C"/>
    <w:rsid w:val="00542915"/>
    <w:rsid w:val="0054298A"/>
    <w:rsid w:val="00542CBB"/>
    <w:rsid w:val="00542CE6"/>
    <w:rsid w:val="00542D9B"/>
    <w:rsid w:val="00542FE4"/>
    <w:rsid w:val="00543237"/>
    <w:rsid w:val="0054340E"/>
    <w:rsid w:val="00543477"/>
    <w:rsid w:val="005435F9"/>
    <w:rsid w:val="00543A6E"/>
    <w:rsid w:val="00543F3A"/>
    <w:rsid w:val="0054414F"/>
    <w:rsid w:val="00544173"/>
    <w:rsid w:val="0054437B"/>
    <w:rsid w:val="005443D1"/>
    <w:rsid w:val="00544547"/>
    <w:rsid w:val="00544757"/>
    <w:rsid w:val="005447DE"/>
    <w:rsid w:val="00544A77"/>
    <w:rsid w:val="00544CE5"/>
    <w:rsid w:val="00544D48"/>
    <w:rsid w:val="00544F1F"/>
    <w:rsid w:val="00545015"/>
    <w:rsid w:val="00545103"/>
    <w:rsid w:val="0054514F"/>
    <w:rsid w:val="0054542A"/>
    <w:rsid w:val="005454CA"/>
    <w:rsid w:val="0054565A"/>
    <w:rsid w:val="005456C1"/>
    <w:rsid w:val="00545AD1"/>
    <w:rsid w:val="00545D45"/>
    <w:rsid w:val="00545E0C"/>
    <w:rsid w:val="00545E1C"/>
    <w:rsid w:val="0054617A"/>
    <w:rsid w:val="005462BE"/>
    <w:rsid w:val="005462C5"/>
    <w:rsid w:val="00546651"/>
    <w:rsid w:val="00546752"/>
    <w:rsid w:val="005467F7"/>
    <w:rsid w:val="00546AA5"/>
    <w:rsid w:val="00546ADE"/>
    <w:rsid w:val="00546C6F"/>
    <w:rsid w:val="00547003"/>
    <w:rsid w:val="005471DC"/>
    <w:rsid w:val="00547200"/>
    <w:rsid w:val="005472D6"/>
    <w:rsid w:val="005473DB"/>
    <w:rsid w:val="00547489"/>
    <w:rsid w:val="00547675"/>
    <w:rsid w:val="00547731"/>
    <w:rsid w:val="005478A6"/>
    <w:rsid w:val="00547931"/>
    <w:rsid w:val="00547958"/>
    <w:rsid w:val="0054797D"/>
    <w:rsid w:val="00547A93"/>
    <w:rsid w:val="00547B47"/>
    <w:rsid w:val="00547C46"/>
    <w:rsid w:val="00547E60"/>
    <w:rsid w:val="00547EEB"/>
    <w:rsid w:val="00550017"/>
    <w:rsid w:val="005508A5"/>
    <w:rsid w:val="00550E07"/>
    <w:rsid w:val="00550EB1"/>
    <w:rsid w:val="0055100A"/>
    <w:rsid w:val="00551052"/>
    <w:rsid w:val="00551079"/>
    <w:rsid w:val="00551181"/>
    <w:rsid w:val="005511EA"/>
    <w:rsid w:val="005514F3"/>
    <w:rsid w:val="00551536"/>
    <w:rsid w:val="00551848"/>
    <w:rsid w:val="00551A89"/>
    <w:rsid w:val="00551AE8"/>
    <w:rsid w:val="00551D57"/>
    <w:rsid w:val="00551F10"/>
    <w:rsid w:val="00551F82"/>
    <w:rsid w:val="005520F1"/>
    <w:rsid w:val="00552119"/>
    <w:rsid w:val="00552131"/>
    <w:rsid w:val="00552735"/>
    <w:rsid w:val="005527BA"/>
    <w:rsid w:val="00552BD5"/>
    <w:rsid w:val="00552E5D"/>
    <w:rsid w:val="00552EBF"/>
    <w:rsid w:val="00552FFA"/>
    <w:rsid w:val="0055324A"/>
    <w:rsid w:val="0055333C"/>
    <w:rsid w:val="00553390"/>
    <w:rsid w:val="0055341F"/>
    <w:rsid w:val="005534B1"/>
    <w:rsid w:val="005535EC"/>
    <w:rsid w:val="00553627"/>
    <w:rsid w:val="0055366B"/>
    <w:rsid w:val="0055370D"/>
    <w:rsid w:val="0055371B"/>
    <w:rsid w:val="00553722"/>
    <w:rsid w:val="0055373B"/>
    <w:rsid w:val="00553744"/>
    <w:rsid w:val="00553799"/>
    <w:rsid w:val="00553810"/>
    <w:rsid w:val="0055386F"/>
    <w:rsid w:val="0055394B"/>
    <w:rsid w:val="00553AD5"/>
    <w:rsid w:val="00553B89"/>
    <w:rsid w:val="00553BE0"/>
    <w:rsid w:val="00553E99"/>
    <w:rsid w:val="0055404F"/>
    <w:rsid w:val="0055415C"/>
    <w:rsid w:val="0055445B"/>
    <w:rsid w:val="00554A1D"/>
    <w:rsid w:val="00554BF5"/>
    <w:rsid w:val="00554EB8"/>
    <w:rsid w:val="0055518D"/>
    <w:rsid w:val="00555367"/>
    <w:rsid w:val="00555763"/>
    <w:rsid w:val="005558A9"/>
    <w:rsid w:val="005559E9"/>
    <w:rsid w:val="00555CF0"/>
    <w:rsid w:val="00555E59"/>
    <w:rsid w:val="00555F38"/>
    <w:rsid w:val="0055621D"/>
    <w:rsid w:val="005562D9"/>
    <w:rsid w:val="0055635B"/>
    <w:rsid w:val="005563F9"/>
    <w:rsid w:val="00556584"/>
    <w:rsid w:val="00556671"/>
    <w:rsid w:val="0055667E"/>
    <w:rsid w:val="00556783"/>
    <w:rsid w:val="005567C9"/>
    <w:rsid w:val="00556883"/>
    <w:rsid w:val="005569B8"/>
    <w:rsid w:val="00556CF2"/>
    <w:rsid w:val="00556D6D"/>
    <w:rsid w:val="00556E51"/>
    <w:rsid w:val="00557100"/>
    <w:rsid w:val="0055713E"/>
    <w:rsid w:val="005571A3"/>
    <w:rsid w:val="00557211"/>
    <w:rsid w:val="005572A9"/>
    <w:rsid w:val="005574F6"/>
    <w:rsid w:val="005577BC"/>
    <w:rsid w:val="0055787B"/>
    <w:rsid w:val="00557A8E"/>
    <w:rsid w:val="00557C00"/>
    <w:rsid w:val="00557C24"/>
    <w:rsid w:val="00557C35"/>
    <w:rsid w:val="00557C94"/>
    <w:rsid w:val="00557FDF"/>
    <w:rsid w:val="00560080"/>
    <w:rsid w:val="005600B2"/>
    <w:rsid w:val="00560189"/>
    <w:rsid w:val="00560336"/>
    <w:rsid w:val="005604E0"/>
    <w:rsid w:val="005604FC"/>
    <w:rsid w:val="005606E5"/>
    <w:rsid w:val="00560734"/>
    <w:rsid w:val="00560811"/>
    <w:rsid w:val="00560833"/>
    <w:rsid w:val="00560A93"/>
    <w:rsid w:val="00560DA1"/>
    <w:rsid w:val="00560E15"/>
    <w:rsid w:val="00560EEE"/>
    <w:rsid w:val="00560F2D"/>
    <w:rsid w:val="00560FE1"/>
    <w:rsid w:val="00561293"/>
    <w:rsid w:val="005612AC"/>
    <w:rsid w:val="00561575"/>
    <w:rsid w:val="00561748"/>
    <w:rsid w:val="00561767"/>
    <w:rsid w:val="00561771"/>
    <w:rsid w:val="005617AD"/>
    <w:rsid w:val="00561898"/>
    <w:rsid w:val="005619C5"/>
    <w:rsid w:val="00561AB5"/>
    <w:rsid w:val="00561AEF"/>
    <w:rsid w:val="00561F9C"/>
    <w:rsid w:val="00562120"/>
    <w:rsid w:val="0056214D"/>
    <w:rsid w:val="0056282C"/>
    <w:rsid w:val="00562B75"/>
    <w:rsid w:val="00562C19"/>
    <w:rsid w:val="00562E6E"/>
    <w:rsid w:val="00562F04"/>
    <w:rsid w:val="00562FC3"/>
    <w:rsid w:val="005631B7"/>
    <w:rsid w:val="00563220"/>
    <w:rsid w:val="0056347A"/>
    <w:rsid w:val="00563881"/>
    <w:rsid w:val="00563973"/>
    <w:rsid w:val="0056399E"/>
    <w:rsid w:val="00563C2B"/>
    <w:rsid w:val="00563C4B"/>
    <w:rsid w:val="00563CD7"/>
    <w:rsid w:val="00563F9F"/>
    <w:rsid w:val="0056419B"/>
    <w:rsid w:val="00564233"/>
    <w:rsid w:val="005642E4"/>
    <w:rsid w:val="0056431C"/>
    <w:rsid w:val="005644E7"/>
    <w:rsid w:val="00564503"/>
    <w:rsid w:val="00564519"/>
    <w:rsid w:val="005645A0"/>
    <w:rsid w:val="0056464E"/>
    <w:rsid w:val="00564E34"/>
    <w:rsid w:val="005650B0"/>
    <w:rsid w:val="005652A9"/>
    <w:rsid w:val="00565325"/>
    <w:rsid w:val="00565370"/>
    <w:rsid w:val="00565386"/>
    <w:rsid w:val="00565397"/>
    <w:rsid w:val="005654AE"/>
    <w:rsid w:val="00565609"/>
    <w:rsid w:val="0056569B"/>
    <w:rsid w:val="0056579C"/>
    <w:rsid w:val="0056591D"/>
    <w:rsid w:val="00565960"/>
    <w:rsid w:val="005659EB"/>
    <w:rsid w:val="00565C6B"/>
    <w:rsid w:val="00565FD0"/>
    <w:rsid w:val="005660E6"/>
    <w:rsid w:val="00566187"/>
    <w:rsid w:val="005661A2"/>
    <w:rsid w:val="005665EE"/>
    <w:rsid w:val="005666AF"/>
    <w:rsid w:val="005666F8"/>
    <w:rsid w:val="00566832"/>
    <w:rsid w:val="0056686A"/>
    <w:rsid w:val="00566B35"/>
    <w:rsid w:val="00566CAD"/>
    <w:rsid w:val="00566CF7"/>
    <w:rsid w:val="00566F20"/>
    <w:rsid w:val="00567026"/>
    <w:rsid w:val="0056703B"/>
    <w:rsid w:val="005670FA"/>
    <w:rsid w:val="00567132"/>
    <w:rsid w:val="0056729A"/>
    <w:rsid w:val="00567635"/>
    <w:rsid w:val="00567776"/>
    <w:rsid w:val="00567927"/>
    <w:rsid w:val="00567C84"/>
    <w:rsid w:val="00567E34"/>
    <w:rsid w:val="00567FD1"/>
    <w:rsid w:val="00567FF7"/>
    <w:rsid w:val="00570265"/>
    <w:rsid w:val="005702FA"/>
    <w:rsid w:val="00570553"/>
    <w:rsid w:val="0057055D"/>
    <w:rsid w:val="0057059D"/>
    <w:rsid w:val="00570756"/>
    <w:rsid w:val="005709FC"/>
    <w:rsid w:val="00570A4B"/>
    <w:rsid w:val="00570B27"/>
    <w:rsid w:val="00570C36"/>
    <w:rsid w:val="00570CF5"/>
    <w:rsid w:val="00570DAC"/>
    <w:rsid w:val="00570E31"/>
    <w:rsid w:val="00570EDB"/>
    <w:rsid w:val="00571245"/>
    <w:rsid w:val="005714FA"/>
    <w:rsid w:val="00571676"/>
    <w:rsid w:val="0057169C"/>
    <w:rsid w:val="0057185F"/>
    <w:rsid w:val="005718AC"/>
    <w:rsid w:val="0057191C"/>
    <w:rsid w:val="005719FB"/>
    <w:rsid w:val="00571A66"/>
    <w:rsid w:val="00571B9C"/>
    <w:rsid w:val="00571C9B"/>
    <w:rsid w:val="00571D28"/>
    <w:rsid w:val="00571EC1"/>
    <w:rsid w:val="00572320"/>
    <w:rsid w:val="00572448"/>
    <w:rsid w:val="005724EC"/>
    <w:rsid w:val="00572A04"/>
    <w:rsid w:val="00572AA6"/>
    <w:rsid w:val="00572AC9"/>
    <w:rsid w:val="00572CD3"/>
    <w:rsid w:val="00572E3A"/>
    <w:rsid w:val="00572F04"/>
    <w:rsid w:val="00572F61"/>
    <w:rsid w:val="00572F93"/>
    <w:rsid w:val="0057318A"/>
    <w:rsid w:val="005735C3"/>
    <w:rsid w:val="005735FF"/>
    <w:rsid w:val="00573739"/>
    <w:rsid w:val="00573876"/>
    <w:rsid w:val="00573AD5"/>
    <w:rsid w:val="00573F3C"/>
    <w:rsid w:val="00574112"/>
    <w:rsid w:val="00574116"/>
    <w:rsid w:val="00574222"/>
    <w:rsid w:val="005743C5"/>
    <w:rsid w:val="005744F6"/>
    <w:rsid w:val="00574577"/>
    <w:rsid w:val="005746E1"/>
    <w:rsid w:val="00574804"/>
    <w:rsid w:val="00574911"/>
    <w:rsid w:val="00574A0D"/>
    <w:rsid w:val="00574C9E"/>
    <w:rsid w:val="00574D78"/>
    <w:rsid w:val="00575043"/>
    <w:rsid w:val="0057514E"/>
    <w:rsid w:val="005751D0"/>
    <w:rsid w:val="005752D2"/>
    <w:rsid w:val="0057579B"/>
    <w:rsid w:val="0057580E"/>
    <w:rsid w:val="0057582E"/>
    <w:rsid w:val="00576073"/>
    <w:rsid w:val="00576138"/>
    <w:rsid w:val="005764CD"/>
    <w:rsid w:val="00576555"/>
    <w:rsid w:val="0057656F"/>
    <w:rsid w:val="0057662B"/>
    <w:rsid w:val="0057687D"/>
    <w:rsid w:val="0057687E"/>
    <w:rsid w:val="00576898"/>
    <w:rsid w:val="00576978"/>
    <w:rsid w:val="005769C2"/>
    <w:rsid w:val="005769C4"/>
    <w:rsid w:val="00576A0F"/>
    <w:rsid w:val="00576ABB"/>
    <w:rsid w:val="00576BCB"/>
    <w:rsid w:val="00576C34"/>
    <w:rsid w:val="005771EC"/>
    <w:rsid w:val="005772FE"/>
    <w:rsid w:val="005773EB"/>
    <w:rsid w:val="00577460"/>
    <w:rsid w:val="00577705"/>
    <w:rsid w:val="00577723"/>
    <w:rsid w:val="0057786E"/>
    <w:rsid w:val="005778E2"/>
    <w:rsid w:val="00577922"/>
    <w:rsid w:val="0057792C"/>
    <w:rsid w:val="0057794B"/>
    <w:rsid w:val="00577976"/>
    <w:rsid w:val="00577BEF"/>
    <w:rsid w:val="00577EB5"/>
    <w:rsid w:val="00577EFD"/>
    <w:rsid w:val="005800AE"/>
    <w:rsid w:val="005800C9"/>
    <w:rsid w:val="0058013A"/>
    <w:rsid w:val="0058024A"/>
    <w:rsid w:val="00580259"/>
    <w:rsid w:val="00580477"/>
    <w:rsid w:val="0058076D"/>
    <w:rsid w:val="005807AB"/>
    <w:rsid w:val="00580834"/>
    <w:rsid w:val="0058091B"/>
    <w:rsid w:val="0058099B"/>
    <w:rsid w:val="00580A8A"/>
    <w:rsid w:val="00580AC4"/>
    <w:rsid w:val="00580BD0"/>
    <w:rsid w:val="00580BEB"/>
    <w:rsid w:val="00581076"/>
    <w:rsid w:val="00581257"/>
    <w:rsid w:val="0058142E"/>
    <w:rsid w:val="005815EA"/>
    <w:rsid w:val="00581970"/>
    <w:rsid w:val="005819F5"/>
    <w:rsid w:val="00581A1B"/>
    <w:rsid w:val="00581A6A"/>
    <w:rsid w:val="00581BE9"/>
    <w:rsid w:val="00581C7F"/>
    <w:rsid w:val="00581D7C"/>
    <w:rsid w:val="005829C1"/>
    <w:rsid w:val="00582A15"/>
    <w:rsid w:val="00582A19"/>
    <w:rsid w:val="00582B24"/>
    <w:rsid w:val="00582BAF"/>
    <w:rsid w:val="00582BE9"/>
    <w:rsid w:val="00582C6E"/>
    <w:rsid w:val="00582E6B"/>
    <w:rsid w:val="00582EF8"/>
    <w:rsid w:val="00582F2F"/>
    <w:rsid w:val="005830D1"/>
    <w:rsid w:val="005830F6"/>
    <w:rsid w:val="0058312C"/>
    <w:rsid w:val="0058317E"/>
    <w:rsid w:val="005831AD"/>
    <w:rsid w:val="00583322"/>
    <w:rsid w:val="00583431"/>
    <w:rsid w:val="005834B8"/>
    <w:rsid w:val="005835E8"/>
    <w:rsid w:val="00583738"/>
    <w:rsid w:val="00583976"/>
    <w:rsid w:val="005839BE"/>
    <w:rsid w:val="00583DD8"/>
    <w:rsid w:val="00583E3E"/>
    <w:rsid w:val="00583E5D"/>
    <w:rsid w:val="00583EC8"/>
    <w:rsid w:val="00583F9D"/>
    <w:rsid w:val="00584080"/>
    <w:rsid w:val="0058408C"/>
    <w:rsid w:val="005840CD"/>
    <w:rsid w:val="0058412B"/>
    <w:rsid w:val="0058440C"/>
    <w:rsid w:val="00584450"/>
    <w:rsid w:val="005844E1"/>
    <w:rsid w:val="0058471A"/>
    <w:rsid w:val="00584A4F"/>
    <w:rsid w:val="00584BC1"/>
    <w:rsid w:val="00584DF3"/>
    <w:rsid w:val="00584FB1"/>
    <w:rsid w:val="00585204"/>
    <w:rsid w:val="005852C4"/>
    <w:rsid w:val="00585316"/>
    <w:rsid w:val="0058544A"/>
    <w:rsid w:val="005854C1"/>
    <w:rsid w:val="00585508"/>
    <w:rsid w:val="005855AA"/>
    <w:rsid w:val="005859F8"/>
    <w:rsid w:val="00585B37"/>
    <w:rsid w:val="00585C6E"/>
    <w:rsid w:val="00585CB4"/>
    <w:rsid w:val="00585EF8"/>
    <w:rsid w:val="00586186"/>
    <w:rsid w:val="00586469"/>
    <w:rsid w:val="00586629"/>
    <w:rsid w:val="005867B2"/>
    <w:rsid w:val="005867EC"/>
    <w:rsid w:val="00586E18"/>
    <w:rsid w:val="005870BE"/>
    <w:rsid w:val="005871A0"/>
    <w:rsid w:val="005872A9"/>
    <w:rsid w:val="005874FE"/>
    <w:rsid w:val="0058775B"/>
    <w:rsid w:val="005877D1"/>
    <w:rsid w:val="00587864"/>
    <w:rsid w:val="00587948"/>
    <w:rsid w:val="00587ACB"/>
    <w:rsid w:val="00587C1B"/>
    <w:rsid w:val="00587C58"/>
    <w:rsid w:val="0059001B"/>
    <w:rsid w:val="00590079"/>
    <w:rsid w:val="00590114"/>
    <w:rsid w:val="00590398"/>
    <w:rsid w:val="005903C3"/>
    <w:rsid w:val="00590792"/>
    <w:rsid w:val="00590A28"/>
    <w:rsid w:val="00590C44"/>
    <w:rsid w:val="00590C84"/>
    <w:rsid w:val="00590DF6"/>
    <w:rsid w:val="00590E25"/>
    <w:rsid w:val="00590E44"/>
    <w:rsid w:val="00590EBF"/>
    <w:rsid w:val="00590FE7"/>
    <w:rsid w:val="0059111D"/>
    <w:rsid w:val="0059119E"/>
    <w:rsid w:val="00591607"/>
    <w:rsid w:val="005916FD"/>
    <w:rsid w:val="005918C8"/>
    <w:rsid w:val="00591924"/>
    <w:rsid w:val="00591BDE"/>
    <w:rsid w:val="00591C4B"/>
    <w:rsid w:val="00591F70"/>
    <w:rsid w:val="00591F78"/>
    <w:rsid w:val="00591FF7"/>
    <w:rsid w:val="0059225B"/>
    <w:rsid w:val="00592330"/>
    <w:rsid w:val="00592358"/>
    <w:rsid w:val="005923D6"/>
    <w:rsid w:val="005923DC"/>
    <w:rsid w:val="005923E4"/>
    <w:rsid w:val="00592490"/>
    <w:rsid w:val="005926B3"/>
    <w:rsid w:val="00592852"/>
    <w:rsid w:val="00592C28"/>
    <w:rsid w:val="00592CFD"/>
    <w:rsid w:val="00592DDC"/>
    <w:rsid w:val="00592E1D"/>
    <w:rsid w:val="00592E6C"/>
    <w:rsid w:val="00592E9D"/>
    <w:rsid w:val="0059315C"/>
    <w:rsid w:val="00593998"/>
    <w:rsid w:val="00593B00"/>
    <w:rsid w:val="00593DD2"/>
    <w:rsid w:val="00593E27"/>
    <w:rsid w:val="00593F54"/>
    <w:rsid w:val="005941E5"/>
    <w:rsid w:val="005942F0"/>
    <w:rsid w:val="0059438F"/>
    <w:rsid w:val="0059452F"/>
    <w:rsid w:val="0059497E"/>
    <w:rsid w:val="00594B12"/>
    <w:rsid w:val="00594BF2"/>
    <w:rsid w:val="00594DCE"/>
    <w:rsid w:val="00594EEE"/>
    <w:rsid w:val="0059513F"/>
    <w:rsid w:val="005951F7"/>
    <w:rsid w:val="0059520C"/>
    <w:rsid w:val="00595244"/>
    <w:rsid w:val="00595500"/>
    <w:rsid w:val="005955FB"/>
    <w:rsid w:val="005957A1"/>
    <w:rsid w:val="005957D1"/>
    <w:rsid w:val="0059596E"/>
    <w:rsid w:val="005959E0"/>
    <w:rsid w:val="00595A02"/>
    <w:rsid w:val="00595BE2"/>
    <w:rsid w:val="00595C34"/>
    <w:rsid w:val="00595D80"/>
    <w:rsid w:val="00595F71"/>
    <w:rsid w:val="0059600E"/>
    <w:rsid w:val="00596015"/>
    <w:rsid w:val="005961EC"/>
    <w:rsid w:val="0059647B"/>
    <w:rsid w:val="005964DE"/>
    <w:rsid w:val="0059653A"/>
    <w:rsid w:val="00596769"/>
    <w:rsid w:val="00596973"/>
    <w:rsid w:val="00596997"/>
    <w:rsid w:val="00596A3C"/>
    <w:rsid w:val="00596A7D"/>
    <w:rsid w:val="00596AED"/>
    <w:rsid w:val="00596C58"/>
    <w:rsid w:val="00596D5A"/>
    <w:rsid w:val="00596F14"/>
    <w:rsid w:val="005970C0"/>
    <w:rsid w:val="005970C3"/>
    <w:rsid w:val="005970F4"/>
    <w:rsid w:val="00597183"/>
    <w:rsid w:val="00597366"/>
    <w:rsid w:val="0059738D"/>
    <w:rsid w:val="00597456"/>
    <w:rsid w:val="005974A3"/>
    <w:rsid w:val="00597600"/>
    <w:rsid w:val="005978EE"/>
    <w:rsid w:val="005979FA"/>
    <w:rsid w:val="00597B4B"/>
    <w:rsid w:val="00597B63"/>
    <w:rsid w:val="00597C06"/>
    <w:rsid w:val="00597C6F"/>
    <w:rsid w:val="00597C80"/>
    <w:rsid w:val="005A0155"/>
    <w:rsid w:val="005A017D"/>
    <w:rsid w:val="005A023E"/>
    <w:rsid w:val="005A0255"/>
    <w:rsid w:val="005A0297"/>
    <w:rsid w:val="005A0375"/>
    <w:rsid w:val="005A038F"/>
    <w:rsid w:val="005A0714"/>
    <w:rsid w:val="005A0935"/>
    <w:rsid w:val="005A0CD5"/>
    <w:rsid w:val="005A0E08"/>
    <w:rsid w:val="005A0E8C"/>
    <w:rsid w:val="005A0EE0"/>
    <w:rsid w:val="005A0FB1"/>
    <w:rsid w:val="005A0FEA"/>
    <w:rsid w:val="005A108D"/>
    <w:rsid w:val="005A11A5"/>
    <w:rsid w:val="005A1297"/>
    <w:rsid w:val="005A1356"/>
    <w:rsid w:val="005A14CA"/>
    <w:rsid w:val="005A1735"/>
    <w:rsid w:val="005A1824"/>
    <w:rsid w:val="005A1909"/>
    <w:rsid w:val="005A1BDB"/>
    <w:rsid w:val="005A1E4B"/>
    <w:rsid w:val="005A1FD5"/>
    <w:rsid w:val="005A2026"/>
    <w:rsid w:val="005A207C"/>
    <w:rsid w:val="005A212B"/>
    <w:rsid w:val="005A21C4"/>
    <w:rsid w:val="005A2360"/>
    <w:rsid w:val="005A2527"/>
    <w:rsid w:val="005A25AD"/>
    <w:rsid w:val="005A2670"/>
    <w:rsid w:val="005A2722"/>
    <w:rsid w:val="005A2832"/>
    <w:rsid w:val="005A287B"/>
    <w:rsid w:val="005A293C"/>
    <w:rsid w:val="005A2B65"/>
    <w:rsid w:val="005A2CDF"/>
    <w:rsid w:val="005A2D2E"/>
    <w:rsid w:val="005A2DF0"/>
    <w:rsid w:val="005A2FEB"/>
    <w:rsid w:val="005A321B"/>
    <w:rsid w:val="005A322C"/>
    <w:rsid w:val="005A3234"/>
    <w:rsid w:val="005A3317"/>
    <w:rsid w:val="005A335B"/>
    <w:rsid w:val="005A3640"/>
    <w:rsid w:val="005A3651"/>
    <w:rsid w:val="005A36BB"/>
    <w:rsid w:val="005A36E3"/>
    <w:rsid w:val="005A371D"/>
    <w:rsid w:val="005A3781"/>
    <w:rsid w:val="005A378A"/>
    <w:rsid w:val="005A37E0"/>
    <w:rsid w:val="005A419B"/>
    <w:rsid w:val="005A41AD"/>
    <w:rsid w:val="005A4323"/>
    <w:rsid w:val="005A4605"/>
    <w:rsid w:val="005A4897"/>
    <w:rsid w:val="005A4908"/>
    <w:rsid w:val="005A4E45"/>
    <w:rsid w:val="005A4E7F"/>
    <w:rsid w:val="005A4EBC"/>
    <w:rsid w:val="005A5042"/>
    <w:rsid w:val="005A521E"/>
    <w:rsid w:val="005A533F"/>
    <w:rsid w:val="005A54AB"/>
    <w:rsid w:val="005A54FF"/>
    <w:rsid w:val="005A55C9"/>
    <w:rsid w:val="005A55DB"/>
    <w:rsid w:val="005A5600"/>
    <w:rsid w:val="005A56EA"/>
    <w:rsid w:val="005A59BF"/>
    <w:rsid w:val="005A5A08"/>
    <w:rsid w:val="005A5D27"/>
    <w:rsid w:val="005A6092"/>
    <w:rsid w:val="005A611A"/>
    <w:rsid w:val="005A62D2"/>
    <w:rsid w:val="005A6629"/>
    <w:rsid w:val="005A677E"/>
    <w:rsid w:val="005A679E"/>
    <w:rsid w:val="005A6CA4"/>
    <w:rsid w:val="005A6CBE"/>
    <w:rsid w:val="005A6CDC"/>
    <w:rsid w:val="005A6DA8"/>
    <w:rsid w:val="005A6EF5"/>
    <w:rsid w:val="005A7036"/>
    <w:rsid w:val="005A712E"/>
    <w:rsid w:val="005A72A7"/>
    <w:rsid w:val="005A73DA"/>
    <w:rsid w:val="005A73E5"/>
    <w:rsid w:val="005A74C7"/>
    <w:rsid w:val="005A77B5"/>
    <w:rsid w:val="005A7C26"/>
    <w:rsid w:val="005A7DEB"/>
    <w:rsid w:val="005B01AE"/>
    <w:rsid w:val="005B0439"/>
    <w:rsid w:val="005B05B4"/>
    <w:rsid w:val="005B06A3"/>
    <w:rsid w:val="005B0703"/>
    <w:rsid w:val="005B075F"/>
    <w:rsid w:val="005B0A04"/>
    <w:rsid w:val="005B0A73"/>
    <w:rsid w:val="005B0DB7"/>
    <w:rsid w:val="005B0DED"/>
    <w:rsid w:val="005B0F0F"/>
    <w:rsid w:val="005B1031"/>
    <w:rsid w:val="005B1211"/>
    <w:rsid w:val="005B1312"/>
    <w:rsid w:val="005B137C"/>
    <w:rsid w:val="005B14E9"/>
    <w:rsid w:val="005B16BA"/>
    <w:rsid w:val="005B1786"/>
    <w:rsid w:val="005B194A"/>
    <w:rsid w:val="005B19EE"/>
    <w:rsid w:val="005B1A20"/>
    <w:rsid w:val="005B1A24"/>
    <w:rsid w:val="005B1AFA"/>
    <w:rsid w:val="005B1C1F"/>
    <w:rsid w:val="005B1DC0"/>
    <w:rsid w:val="005B1DEA"/>
    <w:rsid w:val="005B201B"/>
    <w:rsid w:val="005B2023"/>
    <w:rsid w:val="005B20DA"/>
    <w:rsid w:val="005B218F"/>
    <w:rsid w:val="005B231F"/>
    <w:rsid w:val="005B24D3"/>
    <w:rsid w:val="005B2732"/>
    <w:rsid w:val="005B2992"/>
    <w:rsid w:val="005B29BE"/>
    <w:rsid w:val="005B2C7B"/>
    <w:rsid w:val="005B2C88"/>
    <w:rsid w:val="005B2D3E"/>
    <w:rsid w:val="005B2D47"/>
    <w:rsid w:val="005B2D9A"/>
    <w:rsid w:val="005B2ED3"/>
    <w:rsid w:val="005B2EEB"/>
    <w:rsid w:val="005B2F83"/>
    <w:rsid w:val="005B3135"/>
    <w:rsid w:val="005B3136"/>
    <w:rsid w:val="005B31FA"/>
    <w:rsid w:val="005B32C6"/>
    <w:rsid w:val="005B3647"/>
    <w:rsid w:val="005B3839"/>
    <w:rsid w:val="005B3897"/>
    <w:rsid w:val="005B389F"/>
    <w:rsid w:val="005B38C4"/>
    <w:rsid w:val="005B393C"/>
    <w:rsid w:val="005B396B"/>
    <w:rsid w:val="005B3A59"/>
    <w:rsid w:val="005B3B53"/>
    <w:rsid w:val="005B3D6C"/>
    <w:rsid w:val="005B3E35"/>
    <w:rsid w:val="005B3E47"/>
    <w:rsid w:val="005B41FD"/>
    <w:rsid w:val="005B4265"/>
    <w:rsid w:val="005B447F"/>
    <w:rsid w:val="005B45CF"/>
    <w:rsid w:val="005B4611"/>
    <w:rsid w:val="005B4703"/>
    <w:rsid w:val="005B471C"/>
    <w:rsid w:val="005B47BD"/>
    <w:rsid w:val="005B47C7"/>
    <w:rsid w:val="005B4A2D"/>
    <w:rsid w:val="005B4BC3"/>
    <w:rsid w:val="005B4BE7"/>
    <w:rsid w:val="005B4CF0"/>
    <w:rsid w:val="005B4E51"/>
    <w:rsid w:val="005B4EAD"/>
    <w:rsid w:val="005B4F89"/>
    <w:rsid w:val="005B4FE6"/>
    <w:rsid w:val="005B4FF8"/>
    <w:rsid w:val="005B5125"/>
    <w:rsid w:val="005B52CA"/>
    <w:rsid w:val="005B5423"/>
    <w:rsid w:val="005B549F"/>
    <w:rsid w:val="005B5523"/>
    <w:rsid w:val="005B5642"/>
    <w:rsid w:val="005B5887"/>
    <w:rsid w:val="005B598E"/>
    <w:rsid w:val="005B5A6C"/>
    <w:rsid w:val="005B5B75"/>
    <w:rsid w:val="005B5CAD"/>
    <w:rsid w:val="005B5E84"/>
    <w:rsid w:val="005B5E92"/>
    <w:rsid w:val="005B6063"/>
    <w:rsid w:val="005B6135"/>
    <w:rsid w:val="005B6397"/>
    <w:rsid w:val="005B6470"/>
    <w:rsid w:val="005B653F"/>
    <w:rsid w:val="005B689D"/>
    <w:rsid w:val="005B6943"/>
    <w:rsid w:val="005B6A87"/>
    <w:rsid w:val="005B6B11"/>
    <w:rsid w:val="005B6BC1"/>
    <w:rsid w:val="005B6C74"/>
    <w:rsid w:val="005B6CCF"/>
    <w:rsid w:val="005B6CF0"/>
    <w:rsid w:val="005B6D5A"/>
    <w:rsid w:val="005B6DCF"/>
    <w:rsid w:val="005B7128"/>
    <w:rsid w:val="005B71D7"/>
    <w:rsid w:val="005B720F"/>
    <w:rsid w:val="005B74FD"/>
    <w:rsid w:val="005B7524"/>
    <w:rsid w:val="005B7658"/>
    <w:rsid w:val="005B7752"/>
    <w:rsid w:val="005B78E1"/>
    <w:rsid w:val="005B79B4"/>
    <w:rsid w:val="005B7B9A"/>
    <w:rsid w:val="005B7CB8"/>
    <w:rsid w:val="005B7CBC"/>
    <w:rsid w:val="005B7D0E"/>
    <w:rsid w:val="005B7D14"/>
    <w:rsid w:val="005B7D27"/>
    <w:rsid w:val="005B7E2D"/>
    <w:rsid w:val="005B7EDA"/>
    <w:rsid w:val="005C0130"/>
    <w:rsid w:val="005C014C"/>
    <w:rsid w:val="005C01C4"/>
    <w:rsid w:val="005C01D6"/>
    <w:rsid w:val="005C03BE"/>
    <w:rsid w:val="005C0400"/>
    <w:rsid w:val="005C0485"/>
    <w:rsid w:val="005C04B9"/>
    <w:rsid w:val="005C05FF"/>
    <w:rsid w:val="005C0698"/>
    <w:rsid w:val="005C06A7"/>
    <w:rsid w:val="005C0797"/>
    <w:rsid w:val="005C09A3"/>
    <w:rsid w:val="005C09E0"/>
    <w:rsid w:val="005C0E45"/>
    <w:rsid w:val="005C0EB2"/>
    <w:rsid w:val="005C1142"/>
    <w:rsid w:val="005C1269"/>
    <w:rsid w:val="005C134F"/>
    <w:rsid w:val="005C141D"/>
    <w:rsid w:val="005C1751"/>
    <w:rsid w:val="005C1822"/>
    <w:rsid w:val="005C1ADE"/>
    <w:rsid w:val="005C1B14"/>
    <w:rsid w:val="005C1B20"/>
    <w:rsid w:val="005C1CB7"/>
    <w:rsid w:val="005C1DC6"/>
    <w:rsid w:val="005C20DF"/>
    <w:rsid w:val="005C211E"/>
    <w:rsid w:val="005C21FA"/>
    <w:rsid w:val="005C2622"/>
    <w:rsid w:val="005C2640"/>
    <w:rsid w:val="005C26A6"/>
    <w:rsid w:val="005C2940"/>
    <w:rsid w:val="005C2963"/>
    <w:rsid w:val="005C29EC"/>
    <w:rsid w:val="005C29F3"/>
    <w:rsid w:val="005C2A28"/>
    <w:rsid w:val="005C2B11"/>
    <w:rsid w:val="005C2B38"/>
    <w:rsid w:val="005C2BC7"/>
    <w:rsid w:val="005C2C2A"/>
    <w:rsid w:val="005C2D56"/>
    <w:rsid w:val="005C2D7B"/>
    <w:rsid w:val="005C2F66"/>
    <w:rsid w:val="005C30D8"/>
    <w:rsid w:val="005C3143"/>
    <w:rsid w:val="005C316D"/>
    <w:rsid w:val="005C3254"/>
    <w:rsid w:val="005C3293"/>
    <w:rsid w:val="005C32DB"/>
    <w:rsid w:val="005C335A"/>
    <w:rsid w:val="005C33B3"/>
    <w:rsid w:val="005C3471"/>
    <w:rsid w:val="005C347A"/>
    <w:rsid w:val="005C36E5"/>
    <w:rsid w:val="005C37A2"/>
    <w:rsid w:val="005C3834"/>
    <w:rsid w:val="005C38B7"/>
    <w:rsid w:val="005C392B"/>
    <w:rsid w:val="005C393F"/>
    <w:rsid w:val="005C395A"/>
    <w:rsid w:val="005C3994"/>
    <w:rsid w:val="005C3E54"/>
    <w:rsid w:val="005C41DA"/>
    <w:rsid w:val="005C43A4"/>
    <w:rsid w:val="005C447C"/>
    <w:rsid w:val="005C47EC"/>
    <w:rsid w:val="005C496E"/>
    <w:rsid w:val="005C49BD"/>
    <w:rsid w:val="005C4AF4"/>
    <w:rsid w:val="005C4C82"/>
    <w:rsid w:val="005C4D4C"/>
    <w:rsid w:val="005C4D5C"/>
    <w:rsid w:val="005C4F15"/>
    <w:rsid w:val="005C4F59"/>
    <w:rsid w:val="005C4F7B"/>
    <w:rsid w:val="005C509E"/>
    <w:rsid w:val="005C50B3"/>
    <w:rsid w:val="005C51BC"/>
    <w:rsid w:val="005C51F6"/>
    <w:rsid w:val="005C53B5"/>
    <w:rsid w:val="005C5636"/>
    <w:rsid w:val="005C56CE"/>
    <w:rsid w:val="005C58D8"/>
    <w:rsid w:val="005C59FA"/>
    <w:rsid w:val="005C5C78"/>
    <w:rsid w:val="005C5D09"/>
    <w:rsid w:val="005C5F8E"/>
    <w:rsid w:val="005C60B1"/>
    <w:rsid w:val="005C6145"/>
    <w:rsid w:val="005C636D"/>
    <w:rsid w:val="005C6536"/>
    <w:rsid w:val="005C659E"/>
    <w:rsid w:val="005C65C2"/>
    <w:rsid w:val="005C662B"/>
    <w:rsid w:val="005C68F6"/>
    <w:rsid w:val="005C6A60"/>
    <w:rsid w:val="005C6A77"/>
    <w:rsid w:val="005C6B0D"/>
    <w:rsid w:val="005C6B81"/>
    <w:rsid w:val="005C6E46"/>
    <w:rsid w:val="005C6F34"/>
    <w:rsid w:val="005C6F9D"/>
    <w:rsid w:val="005C71F3"/>
    <w:rsid w:val="005C71FE"/>
    <w:rsid w:val="005C732F"/>
    <w:rsid w:val="005C7488"/>
    <w:rsid w:val="005C7531"/>
    <w:rsid w:val="005C763B"/>
    <w:rsid w:val="005C7773"/>
    <w:rsid w:val="005C7979"/>
    <w:rsid w:val="005C7985"/>
    <w:rsid w:val="005D0014"/>
    <w:rsid w:val="005D03E1"/>
    <w:rsid w:val="005D04C0"/>
    <w:rsid w:val="005D057A"/>
    <w:rsid w:val="005D058B"/>
    <w:rsid w:val="005D06B5"/>
    <w:rsid w:val="005D09C6"/>
    <w:rsid w:val="005D0BC4"/>
    <w:rsid w:val="005D0BE6"/>
    <w:rsid w:val="005D0BEE"/>
    <w:rsid w:val="005D0E6C"/>
    <w:rsid w:val="005D0F50"/>
    <w:rsid w:val="005D0F8F"/>
    <w:rsid w:val="005D1113"/>
    <w:rsid w:val="005D11CD"/>
    <w:rsid w:val="005D125E"/>
    <w:rsid w:val="005D1284"/>
    <w:rsid w:val="005D1416"/>
    <w:rsid w:val="005D1457"/>
    <w:rsid w:val="005D149C"/>
    <w:rsid w:val="005D14D8"/>
    <w:rsid w:val="005D1588"/>
    <w:rsid w:val="005D199A"/>
    <w:rsid w:val="005D1AFF"/>
    <w:rsid w:val="005D1B2A"/>
    <w:rsid w:val="005D1C2B"/>
    <w:rsid w:val="005D1CFC"/>
    <w:rsid w:val="005D1ED7"/>
    <w:rsid w:val="005D1F25"/>
    <w:rsid w:val="005D1FDB"/>
    <w:rsid w:val="005D2045"/>
    <w:rsid w:val="005D2054"/>
    <w:rsid w:val="005D237F"/>
    <w:rsid w:val="005D2693"/>
    <w:rsid w:val="005D2699"/>
    <w:rsid w:val="005D2883"/>
    <w:rsid w:val="005D28E6"/>
    <w:rsid w:val="005D2A95"/>
    <w:rsid w:val="005D2B76"/>
    <w:rsid w:val="005D2B97"/>
    <w:rsid w:val="005D2C20"/>
    <w:rsid w:val="005D2C2C"/>
    <w:rsid w:val="005D2DE8"/>
    <w:rsid w:val="005D30F1"/>
    <w:rsid w:val="005D31AB"/>
    <w:rsid w:val="005D3242"/>
    <w:rsid w:val="005D33B8"/>
    <w:rsid w:val="005D3426"/>
    <w:rsid w:val="005D3538"/>
    <w:rsid w:val="005D3955"/>
    <w:rsid w:val="005D3958"/>
    <w:rsid w:val="005D39A3"/>
    <w:rsid w:val="005D3A04"/>
    <w:rsid w:val="005D3A9B"/>
    <w:rsid w:val="005D3AC7"/>
    <w:rsid w:val="005D3D01"/>
    <w:rsid w:val="005D3D07"/>
    <w:rsid w:val="005D3D9E"/>
    <w:rsid w:val="005D437D"/>
    <w:rsid w:val="005D438E"/>
    <w:rsid w:val="005D4462"/>
    <w:rsid w:val="005D448F"/>
    <w:rsid w:val="005D44B5"/>
    <w:rsid w:val="005D45CF"/>
    <w:rsid w:val="005D4733"/>
    <w:rsid w:val="005D490C"/>
    <w:rsid w:val="005D491F"/>
    <w:rsid w:val="005D497B"/>
    <w:rsid w:val="005D4B73"/>
    <w:rsid w:val="005D4BAB"/>
    <w:rsid w:val="005D4BDC"/>
    <w:rsid w:val="005D4FEF"/>
    <w:rsid w:val="005D517C"/>
    <w:rsid w:val="005D52B8"/>
    <w:rsid w:val="005D52F1"/>
    <w:rsid w:val="005D5311"/>
    <w:rsid w:val="005D5318"/>
    <w:rsid w:val="005D5367"/>
    <w:rsid w:val="005D5389"/>
    <w:rsid w:val="005D53E7"/>
    <w:rsid w:val="005D541A"/>
    <w:rsid w:val="005D587C"/>
    <w:rsid w:val="005D59E8"/>
    <w:rsid w:val="005D5A55"/>
    <w:rsid w:val="005D5A86"/>
    <w:rsid w:val="005D5C19"/>
    <w:rsid w:val="005D5CC5"/>
    <w:rsid w:val="005D5D35"/>
    <w:rsid w:val="005D5D5C"/>
    <w:rsid w:val="005D5E3D"/>
    <w:rsid w:val="005D6155"/>
    <w:rsid w:val="005D6174"/>
    <w:rsid w:val="005D628A"/>
    <w:rsid w:val="005D646D"/>
    <w:rsid w:val="005D6784"/>
    <w:rsid w:val="005D68E9"/>
    <w:rsid w:val="005D6916"/>
    <w:rsid w:val="005D6921"/>
    <w:rsid w:val="005D6A20"/>
    <w:rsid w:val="005D6AE7"/>
    <w:rsid w:val="005D6C6B"/>
    <w:rsid w:val="005D6F99"/>
    <w:rsid w:val="005D6FF5"/>
    <w:rsid w:val="005D7304"/>
    <w:rsid w:val="005D782F"/>
    <w:rsid w:val="005D79A8"/>
    <w:rsid w:val="005D79F9"/>
    <w:rsid w:val="005D7A3B"/>
    <w:rsid w:val="005D7A9C"/>
    <w:rsid w:val="005D7D74"/>
    <w:rsid w:val="005D7ED4"/>
    <w:rsid w:val="005E0132"/>
    <w:rsid w:val="005E0142"/>
    <w:rsid w:val="005E029F"/>
    <w:rsid w:val="005E0478"/>
    <w:rsid w:val="005E04DB"/>
    <w:rsid w:val="005E051E"/>
    <w:rsid w:val="005E0A85"/>
    <w:rsid w:val="005E0B47"/>
    <w:rsid w:val="005E0B5C"/>
    <w:rsid w:val="005E0CCA"/>
    <w:rsid w:val="005E0DEB"/>
    <w:rsid w:val="005E0EBA"/>
    <w:rsid w:val="005E1061"/>
    <w:rsid w:val="005E10F4"/>
    <w:rsid w:val="005E11EE"/>
    <w:rsid w:val="005E13CC"/>
    <w:rsid w:val="005E1459"/>
    <w:rsid w:val="005E148C"/>
    <w:rsid w:val="005E1552"/>
    <w:rsid w:val="005E17BA"/>
    <w:rsid w:val="005E17F5"/>
    <w:rsid w:val="005E1848"/>
    <w:rsid w:val="005E1AED"/>
    <w:rsid w:val="005E1D5D"/>
    <w:rsid w:val="005E1D93"/>
    <w:rsid w:val="005E1FC5"/>
    <w:rsid w:val="005E214B"/>
    <w:rsid w:val="005E2323"/>
    <w:rsid w:val="005E2382"/>
    <w:rsid w:val="005E23F2"/>
    <w:rsid w:val="005E24B3"/>
    <w:rsid w:val="005E24B7"/>
    <w:rsid w:val="005E285A"/>
    <w:rsid w:val="005E291D"/>
    <w:rsid w:val="005E2B92"/>
    <w:rsid w:val="005E2C18"/>
    <w:rsid w:val="005E2CEF"/>
    <w:rsid w:val="005E2E3A"/>
    <w:rsid w:val="005E2E98"/>
    <w:rsid w:val="005E300E"/>
    <w:rsid w:val="005E3016"/>
    <w:rsid w:val="005E30DF"/>
    <w:rsid w:val="005E3158"/>
    <w:rsid w:val="005E3583"/>
    <w:rsid w:val="005E3773"/>
    <w:rsid w:val="005E3827"/>
    <w:rsid w:val="005E388B"/>
    <w:rsid w:val="005E38DB"/>
    <w:rsid w:val="005E39EC"/>
    <w:rsid w:val="005E3A23"/>
    <w:rsid w:val="005E3A5B"/>
    <w:rsid w:val="005E3AA4"/>
    <w:rsid w:val="005E3B4A"/>
    <w:rsid w:val="005E3C85"/>
    <w:rsid w:val="005E3FC0"/>
    <w:rsid w:val="005E400E"/>
    <w:rsid w:val="005E466B"/>
    <w:rsid w:val="005E46D5"/>
    <w:rsid w:val="005E49B1"/>
    <w:rsid w:val="005E49C5"/>
    <w:rsid w:val="005E4C26"/>
    <w:rsid w:val="005E4C84"/>
    <w:rsid w:val="005E4DE6"/>
    <w:rsid w:val="005E4FF3"/>
    <w:rsid w:val="005E5021"/>
    <w:rsid w:val="005E51BB"/>
    <w:rsid w:val="005E51DC"/>
    <w:rsid w:val="005E51FB"/>
    <w:rsid w:val="005E5270"/>
    <w:rsid w:val="005E533E"/>
    <w:rsid w:val="005E534B"/>
    <w:rsid w:val="005E549F"/>
    <w:rsid w:val="005E5723"/>
    <w:rsid w:val="005E59D2"/>
    <w:rsid w:val="005E59D8"/>
    <w:rsid w:val="005E5A19"/>
    <w:rsid w:val="005E5C92"/>
    <w:rsid w:val="005E5CDC"/>
    <w:rsid w:val="005E5CE0"/>
    <w:rsid w:val="005E5D56"/>
    <w:rsid w:val="005E5E65"/>
    <w:rsid w:val="005E5F3E"/>
    <w:rsid w:val="005E6146"/>
    <w:rsid w:val="005E6437"/>
    <w:rsid w:val="005E64F1"/>
    <w:rsid w:val="005E67B3"/>
    <w:rsid w:val="005E690F"/>
    <w:rsid w:val="005E6CC6"/>
    <w:rsid w:val="005E6D8A"/>
    <w:rsid w:val="005E6E12"/>
    <w:rsid w:val="005E6F88"/>
    <w:rsid w:val="005E7032"/>
    <w:rsid w:val="005E7479"/>
    <w:rsid w:val="005E74A2"/>
    <w:rsid w:val="005E74D6"/>
    <w:rsid w:val="005E7694"/>
    <w:rsid w:val="005E76EE"/>
    <w:rsid w:val="005E77B5"/>
    <w:rsid w:val="005E7821"/>
    <w:rsid w:val="005E79D9"/>
    <w:rsid w:val="005E7C7C"/>
    <w:rsid w:val="005E7C91"/>
    <w:rsid w:val="005E7D37"/>
    <w:rsid w:val="005E7F07"/>
    <w:rsid w:val="005E7FF5"/>
    <w:rsid w:val="005F0188"/>
    <w:rsid w:val="005F01CF"/>
    <w:rsid w:val="005F029A"/>
    <w:rsid w:val="005F02A3"/>
    <w:rsid w:val="005F0350"/>
    <w:rsid w:val="005F035A"/>
    <w:rsid w:val="005F08A3"/>
    <w:rsid w:val="005F0973"/>
    <w:rsid w:val="005F0A0C"/>
    <w:rsid w:val="005F0A97"/>
    <w:rsid w:val="005F0AAA"/>
    <w:rsid w:val="005F0E68"/>
    <w:rsid w:val="005F0ECE"/>
    <w:rsid w:val="005F0F65"/>
    <w:rsid w:val="005F1134"/>
    <w:rsid w:val="005F119E"/>
    <w:rsid w:val="005F11E8"/>
    <w:rsid w:val="005F1256"/>
    <w:rsid w:val="005F140C"/>
    <w:rsid w:val="005F16BC"/>
    <w:rsid w:val="005F1A2A"/>
    <w:rsid w:val="005F1C0C"/>
    <w:rsid w:val="005F1C44"/>
    <w:rsid w:val="005F1CA5"/>
    <w:rsid w:val="005F1DB0"/>
    <w:rsid w:val="005F1EBD"/>
    <w:rsid w:val="005F20CE"/>
    <w:rsid w:val="005F224C"/>
    <w:rsid w:val="005F2274"/>
    <w:rsid w:val="005F25B1"/>
    <w:rsid w:val="005F26C4"/>
    <w:rsid w:val="005F2729"/>
    <w:rsid w:val="005F27E6"/>
    <w:rsid w:val="005F293D"/>
    <w:rsid w:val="005F2964"/>
    <w:rsid w:val="005F2BA1"/>
    <w:rsid w:val="005F2BB7"/>
    <w:rsid w:val="005F2F6C"/>
    <w:rsid w:val="005F313A"/>
    <w:rsid w:val="005F33E3"/>
    <w:rsid w:val="005F34F8"/>
    <w:rsid w:val="005F3536"/>
    <w:rsid w:val="005F35B8"/>
    <w:rsid w:val="005F35DF"/>
    <w:rsid w:val="005F37AA"/>
    <w:rsid w:val="005F37E3"/>
    <w:rsid w:val="005F38CB"/>
    <w:rsid w:val="005F39CC"/>
    <w:rsid w:val="005F3ACD"/>
    <w:rsid w:val="005F3B91"/>
    <w:rsid w:val="005F3BD2"/>
    <w:rsid w:val="005F40E0"/>
    <w:rsid w:val="005F41C8"/>
    <w:rsid w:val="005F4227"/>
    <w:rsid w:val="005F434D"/>
    <w:rsid w:val="005F43C7"/>
    <w:rsid w:val="005F4458"/>
    <w:rsid w:val="005F4482"/>
    <w:rsid w:val="005F44C7"/>
    <w:rsid w:val="005F4642"/>
    <w:rsid w:val="005F4668"/>
    <w:rsid w:val="005F4722"/>
    <w:rsid w:val="005F497A"/>
    <w:rsid w:val="005F4C68"/>
    <w:rsid w:val="005F4D31"/>
    <w:rsid w:val="005F4DAB"/>
    <w:rsid w:val="005F4E4D"/>
    <w:rsid w:val="005F4E6E"/>
    <w:rsid w:val="005F4EC3"/>
    <w:rsid w:val="005F4EE5"/>
    <w:rsid w:val="005F4F19"/>
    <w:rsid w:val="005F4F55"/>
    <w:rsid w:val="005F4F79"/>
    <w:rsid w:val="005F4FC0"/>
    <w:rsid w:val="005F4FC9"/>
    <w:rsid w:val="005F5019"/>
    <w:rsid w:val="005F522B"/>
    <w:rsid w:val="005F5270"/>
    <w:rsid w:val="005F5323"/>
    <w:rsid w:val="005F5439"/>
    <w:rsid w:val="005F5445"/>
    <w:rsid w:val="005F54F1"/>
    <w:rsid w:val="005F559C"/>
    <w:rsid w:val="005F56A1"/>
    <w:rsid w:val="005F57C5"/>
    <w:rsid w:val="005F58D3"/>
    <w:rsid w:val="005F595A"/>
    <w:rsid w:val="005F5962"/>
    <w:rsid w:val="005F5AB5"/>
    <w:rsid w:val="005F5AB8"/>
    <w:rsid w:val="005F5BCA"/>
    <w:rsid w:val="005F5CD6"/>
    <w:rsid w:val="005F5E57"/>
    <w:rsid w:val="005F62F0"/>
    <w:rsid w:val="005F6311"/>
    <w:rsid w:val="005F650A"/>
    <w:rsid w:val="005F66EF"/>
    <w:rsid w:val="005F678D"/>
    <w:rsid w:val="005F68DF"/>
    <w:rsid w:val="005F6983"/>
    <w:rsid w:val="005F69B1"/>
    <w:rsid w:val="005F6A6F"/>
    <w:rsid w:val="005F6A83"/>
    <w:rsid w:val="005F6BB1"/>
    <w:rsid w:val="005F6C51"/>
    <w:rsid w:val="005F6C6F"/>
    <w:rsid w:val="005F6CD2"/>
    <w:rsid w:val="005F6EA4"/>
    <w:rsid w:val="005F6EA7"/>
    <w:rsid w:val="005F6F34"/>
    <w:rsid w:val="005F71F9"/>
    <w:rsid w:val="005F7282"/>
    <w:rsid w:val="005F75BF"/>
    <w:rsid w:val="005F7654"/>
    <w:rsid w:val="005F7675"/>
    <w:rsid w:val="005F7855"/>
    <w:rsid w:val="005F7879"/>
    <w:rsid w:val="005F796B"/>
    <w:rsid w:val="005F7AA2"/>
    <w:rsid w:val="005F7AF5"/>
    <w:rsid w:val="006000B9"/>
    <w:rsid w:val="0060024F"/>
    <w:rsid w:val="00600861"/>
    <w:rsid w:val="00600940"/>
    <w:rsid w:val="0060098D"/>
    <w:rsid w:val="006009DF"/>
    <w:rsid w:val="00600A73"/>
    <w:rsid w:val="00600C4C"/>
    <w:rsid w:val="00600E19"/>
    <w:rsid w:val="00600E1F"/>
    <w:rsid w:val="00600EE7"/>
    <w:rsid w:val="00600FE4"/>
    <w:rsid w:val="0060128B"/>
    <w:rsid w:val="006012B9"/>
    <w:rsid w:val="0060144B"/>
    <w:rsid w:val="0060148F"/>
    <w:rsid w:val="006014D6"/>
    <w:rsid w:val="006015E0"/>
    <w:rsid w:val="00601729"/>
    <w:rsid w:val="00601764"/>
    <w:rsid w:val="00601836"/>
    <w:rsid w:val="00601A33"/>
    <w:rsid w:val="00601BEC"/>
    <w:rsid w:val="00601C81"/>
    <w:rsid w:val="00601D7E"/>
    <w:rsid w:val="006020A9"/>
    <w:rsid w:val="00602272"/>
    <w:rsid w:val="00602529"/>
    <w:rsid w:val="00602570"/>
    <w:rsid w:val="00602592"/>
    <w:rsid w:val="006026A6"/>
    <w:rsid w:val="00602714"/>
    <w:rsid w:val="00602970"/>
    <w:rsid w:val="00602A09"/>
    <w:rsid w:val="00602AD9"/>
    <w:rsid w:val="00602C24"/>
    <w:rsid w:val="00602EE4"/>
    <w:rsid w:val="00603273"/>
    <w:rsid w:val="0060336C"/>
    <w:rsid w:val="00603485"/>
    <w:rsid w:val="00603611"/>
    <w:rsid w:val="006036F5"/>
    <w:rsid w:val="00603870"/>
    <w:rsid w:val="006039A7"/>
    <w:rsid w:val="006039AB"/>
    <w:rsid w:val="006039CD"/>
    <w:rsid w:val="00603C8E"/>
    <w:rsid w:val="00603D9D"/>
    <w:rsid w:val="00603DBD"/>
    <w:rsid w:val="00603DDB"/>
    <w:rsid w:val="00603EB0"/>
    <w:rsid w:val="006041C1"/>
    <w:rsid w:val="00604417"/>
    <w:rsid w:val="006044A8"/>
    <w:rsid w:val="0060455A"/>
    <w:rsid w:val="006045D9"/>
    <w:rsid w:val="0060467E"/>
    <w:rsid w:val="00604692"/>
    <w:rsid w:val="0060476E"/>
    <w:rsid w:val="006047C7"/>
    <w:rsid w:val="006047CA"/>
    <w:rsid w:val="00604847"/>
    <w:rsid w:val="006049B0"/>
    <w:rsid w:val="00604BC9"/>
    <w:rsid w:val="00604F8D"/>
    <w:rsid w:val="00604FBF"/>
    <w:rsid w:val="00604FEF"/>
    <w:rsid w:val="00605120"/>
    <w:rsid w:val="00605190"/>
    <w:rsid w:val="00605199"/>
    <w:rsid w:val="0060539D"/>
    <w:rsid w:val="006053CC"/>
    <w:rsid w:val="006055EE"/>
    <w:rsid w:val="0060587B"/>
    <w:rsid w:val="006059BA"/>
    <w:rsid w:val="00605C41"/>
    <w:rsid w:val="00605D45"/>
    <w:rsid w:val="00606157"/>
    <w:rsid w:val="006062BE"/>
    <w:rsid w:val="0060643C"/>
    <w:rsid w:val="006064AC"/>
    <w:rsid w:val="00606526"/>
    <w:rsid w:val="0060654E"/>
    <w:rsid w:val="006065BF"/>
    <w:rsid w:val="00606803"/>
    <w:rsid w:val="0060681B"/>
    <w:rsid w:val="0060686C"/>
    <w:rsid w:val="0060690C"/>
    <w:rsid w:val="0060691F"/>
    <w:rsid w:val="00606A0F"/>
    <w:rsid w:val="00606A90"/>
    <w:rsid w:val="00606E2F"/>
    <w:rsid w:val="00606EA3"/>
    <w:rsid w:val="0060702B"/>
    <w:rsid w:val="00607094"/>
    <w:rsid w:val="00607607"/>
    <w:rsid w:val="0060765F"/>
    <w:rsid w:val="0060789C"/>
    <w:rsid w:val="006078D1"/>
    <w:rsid w:val="00607A75"/>
    <w:rsid w:val="00607C6B"/>
    <w:rsid w:val="00607C97"/>
    <w:rsid w:val="00607CD9"/>
    <w:rsid w:val="00607D0C"/>
    <w:rsid w:val="00607DA7"/>
    <w:rsid w:val="00607DB3"/>
    <w:rsid w:val="0061007C"/>
    <w:rsid w:val="00610084"/>
    <w:rsid w:val="0061026F"/>
    <w:rsid w:val="006104B0"/>
    <w:rsid w:val="00610505"/>
    <w:rsid w:val="00610589"/>
    <w:rsid w:val="006109D7"/>
    <w:rsid w:val="00610A02"/>
    <w:rsid w:val="00610AC8"/>
    <w:rsid w:val="00610BD8"/>
    <w:rsid w:val="00611046"/>
    <w:rsid w:val="00611230"/>
    <w:rsid w:val="00611272"/>
    <w:rsid w:val="00611306"/>
    <w:rsid w:val="0061139C"/>
    <w:rsid w:val="006113CD"/>
    <w:rsid w:val="0061148A"/>
    <w:rsid w:val="006114BE"/>
    <w:rsid w:val="006114C5"/>
    <w:rsid w:val="0061158D"/>
    <w:rsid w:val="006118BB"/>
    <w:rsid w:val="006118E2"/>
    <w:rsid w:val="0061192A"/>
    <w:rsid w:val="006119CF"/>
    <w:rsid w:val="00611B77"/>
    <w:rsid w:val="00611BD6"/>
    <w:rsid w:val="00611C76"/>
    <w:rsid w:val="00611CA5"/>
    <w:rsid w:val="00611F1E"/>
    <w:rsid w:val="00612127"/>
    <w:rsid w:val="0061222B"/>
    <w:rsid w:val="006127C0"/>
    <w:rsid w:val="006129EF"/>
    <w:rsid w:val="00612A0A"/>
    <w:rsid w:val="00612A39"/>
    <w:rsid w:val="00612B8F"/>
    <w:rsid w:val="00612C5D"/>
    <w:rsid w:val="00612D88"/>
    <w:rsid w:val="006130A0"/>
    <w:rsid w:val="00613474"/>
    <w:rsid w:val="00613495"/>
    <w:rsid w:val="006136A2"/>
    <w:rsid w:val="006136B7"/>
    <w:rsid w:val="006136B9"/>
    <w:rsid w:val="006137A0"/>
    <w:rsid w:val="00613855"/>
    <w:rsid w:val="00613881"/>
    <w:rsid w:val="00613883"/>
    <w:rsid w:val="006138E0"/>
    <w:rsid w:val="00613902"/>
    <w:rsid w:val="00613A52"/>
    <w:rsid w:val="00613A8C"/>
    <w:rsid w:val="00613BF2"/>
    <w:rsid w:val="00613D15"/>
    <w:rsid w:val="00613E32"/>
    <w:rsid w:val="00613E71"/>
    <w:rsid w:val="00613F7F"/>
    <w:rsid w:val="00614016"/>
    <w:rsid w:val="00614053"/>
    <w:rsid w:val="00614071"/>
    <w:rsid w:val="0061447D"/>
    <w:rsid w:val="006145BF"/>
    <w:rsid w:val="00614665"/>
    <w:rsid w:val="006146A1"/>
    <w:rsid w:val="006146FC"/>
    <w:rsid w:val="00614929"/>
    <w:rsid w:val="00614B79"/>
    <w:rsid w:val="00614D56"/>
    <w:rsid w:val="00614F90"/>
    <w:rsid w:val="00615289"/>
    <w:rsid w:val="00615464"/>
    <w:rsid w:val="00615551"/>
    <w:rsid w:val="006155A7"/>
    <w:rsid w:val="0061591E"/>
    <w:rsid w:val="006159D8"/>
    <w:rsid w:val="00615A3C"/>
    <w:rsid w:val="00615BA7"/>
    <w:rsid w:val="00615BA9"/>
    <w:rsid w:val="00615C5E"/>
    <w:rsid w:val="00615CE0"/>
    <w:rsid w:val="00615E82"/>
    <w:rsid w:val="006160D4"/>
    <w:rsid w:val="006161E4"/>
    <w:rsid w:val="006163F9"/>
    <w:rsid w:val="00616894"/>
    <w:rsid w:val="006168B1"/>
    <w:rsid w:val="00616908"/>
    <w:rsid w:val="00616AEC"/>
    <w:rsid w:val="00616CAF"/>
    <w:rsid w:val="00616E93"/>
    <w:rsid w:val="00616FC5"/>
    <w:rsid w:val="0061703B"/>
    <w:rsid w:val="00617308"/>
    <w:rsid w:val="006174BD"/>
    <w:rsid w:val="006174ED"/>
    <w:rsid w:val="00617557"/>
    <w:rsid w:val="006177B2"/>
    <w:rsid w:val="00617D35"/>
    <w:rsid w:val="00617DF8"/>
    <w:rsid w:val="00617E10"/>
    <w:rsid w:val="00617E31"/>
    <w:rsid w:val="00617E4B"/>
    <w:rsid w:val="00617ECE"/>
    <w:rsid w:val="0062027F"/>
    <w:rsid w:val="00620280"/>
    <w:rsid w:val="00620394"/>
    <w:rsid w:val="006206BF"/>
    <w:rsid w:val="00620706"/>
    <w:rsid w:val="00620881"/>
    <w:rsid w:val="00620923"/>
    <w:rsid w:val="00620A67"/>
    <w:rsid w:val="00620A83"/>
    <w:rsid w:val="00620C01"/>
    <w:rsid w:val="00620C87"/>
    <w:rsid w:val="00620FCB"/>
    <w:rsid w:val="00621099"/>
    <w:rsid w:val="00621116"/>
    <w:rsid w:val="00621230"/>
    <w:rsid w:val="006214C4"/>
    <w:rsid w:val="006215EE"/>
    <w:rsid w:val="0062160A"/>
    <w:rsid w:val="0062162B"/>
    <w:rsid w:val="0062165A"/>
    <w:rsid w:val="0062168A"/>
    <w:rsid w:val="0062183E"/>
    <w:rsid w:val="00621872"/>
    <w:rsid w:val="0062187E"/>
    <w:rsid w:val="006218CC"/>
    <w:rsid w:val="00621980"/>
    <w:rsid w:val="00621FA7"/>
    <w:rsid w:val="006220D8"/>
    <w:rsid w:val="00622132"/>
    <w:rsid w:val="006222F6"/>
    <w:rsid w:val="006227BF"/>
    <w:rsid w:val="00622991"/>
    <w:rsid w:val="006229CA"/>
    <w:rsid w:val="00622ACE"/>
    <w:rsid w:val="00622B01"/>
    <w:rsid w:val="00622B36"/>
    <w:rsid w:val="00622C4D"/>
    <w:rsid w:val="00622CB8"/>
    <w:rsid w:val="00622D5B"/>
    <w:rsid w:val="00622D92"/>
    <w:rsid w:val="00622FF1"/>
    <w:rsid w:val="0062318E"/>
    <w:rsid w:val="0062327C"/>
    <w:rsid w:val="006233A1"/>
    <w:rsid w:val="006234F0"/>
    <w:rsid w:val="00623596"/>
    <w:rsid w:val="00623673"/>
    <w:rsid w:val="0062374A"/>
    <w:rsid w:val="006237D4"/>
    <w:rsid w:val="006238F7"/>
    <w:rsid w:val="00623B54"/>
    <w:rsid w:val="00623B96"/>
    <w:rsid w:val="00623C17"/>
    <w:rsid w:val="00623CEE"/>
    <w:rsid w:val="00623E2C"/>
    <w:rsid w:val="00623FAB"/>
    <w:rsid w:val="00624047"/>
    <w:rsid w:val="00624112"/>
    <w:rsid w:val="006242BF"/>
    <w:rsid w:val="00624399"/>
    <w:rsid w:val="006243B5"/>
    <w:rsid w:val="00624434"/>
    <w:rsid w:val="00624772"/>
    <w:rsid w:val="00624792"/>
    <w:rsid w:val="006248DA"/>
    <w:rsid w:val="006249DB"/>
    <w:rsid w:val="00624A66"/>
    <w:rsid w:val="00624AD0"/>
    <w:rsid w:val="00624B67"/>
    <w:rsid w:val="00624C15"/>
    <w:rsid w:val="00624D83"/>
    <w:rsid w:val="00624DEC"/>
    <w:rsid w:val="00624EC6"/>
    <w:rsid w:val="00624F65"/>
    <w:rsid w:val="00624FB5"/>
    <w:rsid w:val="0062504C"/>
    <w:rsid w:val="006251B7"/>
    <w:rsid w:val="006252A0"/>
    <w:rsid w:val="006252C1"/>
    <w:rsid w:val="006252D2"/>
    <w:rsid w:val="006252FF"/>
    <w:rsid w:val="0062530A"/>
    <w:rsid w:val="006253FB"/>
    <w:rsid w:val="006255A6"/>
    <w:rsid w:val="00625D0F"/>
    <w:rsid w:val="00625E84"/>
    <w:rsid w:val="00625FE4"/>
    <w:rsid w:val="00626268"/>
    <w:rsid w:val="00626299"/>
    <w:rsid w:val="00626517"/>
    <w:rsid w:val="006267E4"/>
    <w:rsid w:val="006269B3"/>
    <w:rsid w:val="006269C6"/>
    <w:rsid w:val="00626D0A"/>
    <w:rsid w:val="00626F98"/>
    <w:rsid w:val="00627181"/>
    <w:rsid w:val="006271DA"/>
    <w:rsid w:val="006272C1"/>
    <w:rsid w:val="00627396"/>
    <w:rsid w:val="00627405"/>
    <w:rsid w:val="0062753D"/>
    <w:rsid w:val="006275D3"/>
    <w:rsid w:val="00627722"/>
    <w:rsid w:val="006277E7"/>
    <w:rsid w:val="006277FC"/>
    <w:rsid w:val="0062793D"/>
    <w:rsid w:val="006279EC"/>
    <w:rsid w:val="00627C4E"/>
    <w:rsid w:val="00627DE4"/>
    <w:rsid w:val="00630519"/>
    <w:rsid w:val="0063052A"/>
    <w:rsid w:val="006306D8"/>
    <w:rsid w:val="00630785"/>
    <w:rsid w:val="006308BB"/>
    <w:rsid w:val="0063091E"/>
    <w:rsid w:val="00630E5D"/>
    <w:rsid w:val="00630F3E"/>
    <w:rsid w:val="00630F4F"/>
    <w:rsid w:val="00631326"/>
    <w:rsid w:val="00631534"/>
    <w:rsid w:val="00631661"/>
    <w:rsid w:val="006316A4"/>
    <w:rsid w:val="00631817"/>
    <w:rsid w:val="006319A2"/>
    <w:rsid w:val="006319E7"/>
    <w:rsid w:val="006319EA"/>
    <w:rsid w:val="00631AF2"/>
    <w:rsid w:val="00631BAA"/>
    <w:rsid w:val="00631BD8"/>
    <w:rsid w:val="006320AC"/>
    <w:rsid w:val="006325B8"/>
    <w:rsid w:val="00632B26"/>
    <w:rsid w:val="00632B72"/>
    <w:rsid w:val="00632BFD"/>
    <w:rsid w:val="00632D93"/>
    <w:rsid w:val="00632E91"/>
    <w:rsid w:val="00632EB0"/>
    <w:rsid w:val="00632F31"/>
    <w:rsid w:val="00632F96"/>
    <w:rsid w:val="006330D5"/>
    <w:rsid w:val="00633157"/>
    <w:rsid w:val="00633203"/>
    <w:rsid w:val="006332C3"/>
    <w:rsid w:val="006332E2"/>
    <w:rsid w:val="0063351C"/>
    <w:rsid w:val="00633624"/>
    <w:rsid w:val="00633870"/>
    <w:rsid w:val="00633990"/>
    <w:rsid w:val="00633B3C"/>
    <w:rsid w:val="00633C7A"/>
    <w:rsid w:val="00633D38"/>
    <w:rsid w:val="00633E6A"/>
    <w:rsid w:val="00633FEF"/>
    <w:rsid w:val="00633FFA"/>
    <w:rsid w:val="006343C6"/>
    <w:rsid w:val="006344E6"/>
    <w:rsid w:val="00634572"/>
    <w:rsid w:val="00634613"/>
    <w:rsid w:val="00634659"/>
    <w:rsid w:val="006346BD"/>
    <w:rsid w:val="00634733"/>
    <w:rsid w:val="00634962"/>
    <w:rsid w:val="00634A0F"/>
    <w:rsid w:val="00634A38"/>
    <w:rsid w:val="00634A8A"/>
    <w:rsid w:val="00634D2F"/>
    <w:rsid w:val="00634E15"/>
    <w:rsid w:val="00634F73"/>
    <w:rsid w:val="00634F9F"/>
    <w:rsid w:val="00635057"/>
    <w:rsid w:val="006351EE"/>
    <w:rsid w:val="00635270"/>
    <w:rsid w:val="00635292"/>
    <w:rsid w:val="0063571A"/>
    <w:rsid w:val="0063575C"/>
    <w:rsid w:val="0063587A"/>
    <w:rsid w:val="00635B41"/>
    <w:rsid w:val="00635BA9"/>
    <w:rsid w:val="00635D39"/>
    <w:rsid w:val="00635DAF"/>
    <w:rsid w:val="00636634"/>
    <w:rsid w:val="00636686"/>
    <w:rsid w:val="006366A0"/>
    <w:rsid w:val="00636CC9"/>
    <w:rsid w:val="00636D22"/>
    <w:rsid w:val="00636E96"/>
    <w:rsid w:val="00637024"/>
    <w:rsid w:val="00637044"/>
    <w:rsid w:val="0063715A"/>
    <w:rsid w:val="00637255"/>
    <w:rsid w:val="00637465"/>
    <w:rsid w:val="006376A8"/>
    <w:rsid w:val="00637995"/>
    <w:rsid w:val="00637AF9"/>
    <w:rsid w:val="00637BD3"/>
    <w:rsid w:val="00637C4E"/>
    <w:rsid w:val="00637FF8"/>
    <w:rsid w:val="0064007F"/>
    <w:rsid w:val="006402EE"/>
    <w:rsid w:val="00640425"/>
    <w:rsid w:val="006404F0"/>
    <w:rsid w:val="00640670"/>
    <w:rsid w:val="00640774"/>
    <w:rsid w:val="006407B7"/>
    <w:rsid w:val="00640950"/>
    <w:rsid w:val="00640A9C"/>
    <w:rsid w:val="00640C1F"/>
    <w:rsid w:val="00640C88"/>
    <w:rsid w:val="00640CA6"/>
    <w:rsid w:val="00640D88"/>
    <w:rsid w:val="00640E85"/>
    <w:rsid w:val="00640F9F"/>
    <w:rsid w:val="0064106F"/>
    <w:rsid w:val="00641230"/>
    <w:rsid w:val="00641384"/>
    <w:rsid w:val="0064148D"/>
    <w:rsid w:val="00641733"/>
    <w:rsid w:val="0064175E"/>
    <w:rsid w:val="006417E7"/>
    <w:rsid w:val="00641BA5"/>
    <w:rsid w:val="00641D0B"/>
    <w:rsid w:val="00641D9D"/>
    <w:rsid w:val="00642179"/>
    <w:rsid w:val="0064237E"/>
    <w:rsid w:val="00642797"/>
    <w:rsid w:val="00642847"/>
    <w:rsid w:val="006429C6"/>
    <w:rsid w:val="00642BA1"/>
    <w:rsid w:val="00642CAE"/>
    <w:rsid w:val="00642E97"/>
    <w:rsid w:val="006431AC"/>
    <w:rsid w:val="00643255"/>
    <w:rsid w:val="00643620"/>
    <w:rsid w:val="00643684"/>
    <w:rsid w:val="006436AC"/>
    <w:rsid w:val="00643713"/>
    <w:rsid w:val="00643756"/>
    <w:rsid w:val="0064375A"/>
    <w:rsid w:val="00643A6C"/>
    <w:rsid w:val="00643BF3"/>
    <w:rsid w:val="00643DF1"/>
    <w:rsid w:val="00643E40"/>
    <w:rsid w:val="00643E8C"/>
    <w:rsid w:val="00643F1B"/>
    <w:rsid w:val="00643F30"/>
    <w:rsid w:val="00643F39"/>
    <w:rsid w:val="0064401B"/>
    <w:rsid w:val="0064409C"/>
    <w:rsid w:val="0064417A"/>
    <w:rsid w:val="0064424B"/>
    <w:rsid w:val="006444F2"/>
    <w:rsid w:val="00644638"/>
    <w:rsid w:val="006447DF"/>
    <w:rsid w:val="00644922"/>
    <w:rsid w:val="006449F5"/>
    <w:rsid w:val="00644B83"/>
    <w:rsid w:val="00644D2F"/>
    <w:rsid w:val="00644DA9"/>
    <w:rsid w:val="00644EC7"/>
    <w:rsid w:val="00644F53"/>
    <w:rsid w:val="00644F8C"/>
    <w:rsid w:val="0064518B"/>
    <w:rsid w:val="0064525C"/>
    <w:rsid w:val="00645285"/>
    <w:rsid w:val="00645512"/>
    <w:rsid w:val="0064581B"/>
    <w:rsid w:val="0064591D"/>
    <w:rsid w:val="006459EC"/>
    <w:rsid w:val="00645B67"/>
    <w:rsid w:val="00645B8B"/>
    <w:rsid w:val="00645D09"/>
    <w:rsid w:val="00645DD7"/>
    <w:rsid w:val="00645E6B"/>
    <w:rsid w:val="0064602F"/>
    <w:rsid w:val="00646108"/>
    <w:rsid w:val="00646550"/>
    <w:rsid w:val="00646648"/>
    <w:rsid w:val="0064670D"/>
    <w:rsid w:val="006469CC"/>
    <w:rsid w:val="00646A4C"/>
    <w:rsid w:val="00646A5D"/>
    <w:rsid w:val="00646AD5"/>
    <w:rsid w:val="00646CE4"/>
    <w:rsid w:val="00646D8A"/>
    <w:rsid w:val="00646DAD"/>
    <w:rsid w:val="006470F4"/>
    <w:rsid w:val="006472C6"/>
    <w:rsid w:val="00647739"/>
    <w:rsid w:val="00647ACC"/>
    <w:rsid w:val="00647B81"/>
    <w:rsid w:val="00647BB9"/>
    <w:rsid w:val="00647C49"/>
    <w:rsid w:val="00650086"/>
    <w:rsid w:val="00650119"/>
    <w:rsid w:val="00650210"/>
    <w:rsid w:val="00650375"/>
    <w:rsid w:val="00650690"/>
    <w:rsid w:val="00650872"/>
    <w:rsid w:val="00650C64"/>
    <w:rsid w:val="00650C82"/>
    <w:rsid w:val="00650D2A"/>
    <w:rsid w:val="00650DEF"/>
    <w:rsid w:val="00651019"/>
    <w:rsid w:val="00651095"/>
    <w:rsid w:val="006510B2"/>
    <w:rsid w:val="00651640"/>
    <w:rsid w:val="00651644"/>
    <w:rsid w:val="0065170A"/>
    <w:rsid w:val="006517AA"/>
    <w:rsid w:val="006518B1"/>
    <w:rsid w:val="006518D3"/>
    <w:rsid w:val="006519EC"/>
    <w:rsid w:val="00651A6D"/>
    <w:rsid w:val="00651B4F"/>
    <w:rsid w:val="00651B7D"/>
    <w:rsid w:val="00651ED2"/>
    <w:rsid w:val="00652054"/>
    <w:rsid w:val="006520C1"/>
    <w:rsid w:val="0065217D"/>
    <w:rsid w:val="006521E6"/>
    <w:rsid w:val="00652422"/>
    <w:rsid w:val="00652583"/>
    <w:rsid w:val="006528F7"/>
    <w:rsid w:val="00652AE5"/>
    <w:rsid w:val="00652B49"/>
    <w:rsid w:val="00652B8E"/>
    <w:rsid w:val="00652E08"/>
    <w:rsid w:val="00652E7B"/>
    <w:rsid w:val="00652EA7"/>
    <w:rsid w:val="00652EE0"/>
    <w:rsid w:val="00652EFD"/>
    <w:rsid w:val="00653064"/>
    <w:rsid w:val="00653074"/>
    <w:rsid w:val="0065334D"/>
    <w:rsid w:val="006533B5"/>
    <w:rsid w:val="00653459"/>
    <w:rsid w:val="0065354A"/>
    <w:rsid w:val="0065361E"/>
    <w:rsid w:val="00653673"/>
    <w:rsid w:val="00653743"/>
    <w:rsid w:val="006537D9"/>
    <w:rsid w:val="006537FA"/>
    <w:rsid w:val="00653855"/>
    <w:rsid w:val="00653966"/>
    <w:rsid w:val="00653978"/>
    <w:rsid w:val="00653AE3"/>
    <w:rsid w:val="00653C79"/>
    <w:rsid w:val="00653DE4"/>
    <w:rsid w:val="00653EC0"/>
    <w:rsid w:val="00653F8F"/>
    <w:rsid w:val="00653FEC"/>
    <w:rsid w:val="006540BF"/>
    <w:rsid w:val="00654206"/>
    <w:rsid w:val="00654258"/>
    <w:rsid w:val="00654269"/>
    <w:rsid w:val="006542A0"/>
    <w:rsid w:val="006543C9"/>
    <w:rsid w:val="0065444E"/>
    <w:rsid w:val="00654709"/>
    <w:rsid w:val="006547C0"/>
    <w:rsid w:val="006549F6"/>
    <w:rsid w:val="00654A66"/>
    <w:rsid w:val="00654B5E"/>
    <w:rsid w:val="00654BBA"/>
    <w:rsid w:val="00654DC0"/>
    <w:rsid w:val="00654F10"/>
    <w:rsid w:val="00654FC2"/>
    <w:rsid w:val="006552C5"/>
    <w:rsid w:val="006554E9"/>
    <w:rsid w:val="006555B4"/>
    <w:rsid w:val="0065564E"/>
    <w:rsid w:val="00655694"/>
    <w:rsid w:val="006556E2"/>
    <w:rsid w:val="0065576F"/>
    <w:rsid w:val="00655931"/>
    <w:rsid w:val="00655953"/>
    <w:rsid w:val="00655997"/>
    <w:rsid w:val="00655B2A"/>
    <w:rsid w:val="00655BF3"/>
    <w:rsid w:val="00655EEC"/>
    <w:rsid w:val="00655F9E"/>
    <w:rsid w:val="006561E3"/>
    <w:rsid w:val="006562A8"/>
    <w:rsid w:val="00656621"/>
    <w:rsid w:val="0065685F"/>
    <w:rsid w:val="00656CB5"/>
    <w:rsid w:val="00657028"/>
    <w:rsid w:val="006570AD"/>
    <w:rsid w:val="006572A6"/>
    <w:rsid w:val="00657414"/>
    <w:rsid w:val="006575A0"/>
    <w:rsid w:val="0065777E"/>
    <w:rsid w:val="006577D5"/>
    <w:rsid w:val="00657926"/>
    <w:rsid w:val="00657944"/>
    <w:rsid w:val="00657A45"/>
    <w:rsid w:val="00657BDF"/>
    <w:rsid w:val="00657C82"/>
    <w:rsid w:val="00657E00"/>
    <w:rsid w:val="006600FB"/>
    <w:rsid w:val="006601D7"/>
    <w:rsid w:val="00660241"/>
    <w:rsid w:val="006603A6"/>
    <w:rsid w:val="006605AB"/>
    <w:rsid w:val="006606DD"/>
    <w:rsid w:val="006606EB"/>
    <w:rsid w:val="0066075A"/>
    <w:rsid w:val="0066087D"/>
    <w:rsid w:val="00660B00"/>
    <w:rsid w:val="00660B6A"/>
    <w:rsid w:val="00660B76"/>
    <w:rsid w:val="00660BC0"/>
    <w:rsid w:val="00660C50"/>
    <w:rsid w:val="00660CDE"/>
    <w:rsid w:val="00660CE4"/>
    <w:rsid w:val="00660DBA"/>
    <w:rsid w:val="00660E6F"/>
    <w:rsid w:val="0066111C"/>
    <w:rsid w:val="006612E9"/>
    <w:rsid w:val="006613AC"/>
    <w:rsid w:val="006614A6"/>
    <w:rsid w:val="0066151C"/>
    <w:rsid w:val="00661618"/>
    <w:rsid w:val="00661674"/>
    <w:rsid w:val="006617F8"/>
    <w:rsid w:val="00661801"/>
    <w:rsid w:val="00661949"/>
    <w:rsid w:val="006619ED"/>
    <w:rsid w:val="00661AD1"/>
    <w:rsid w:val="00661B57"/>
    <w:rsid w:val="00661ECF"/>
    <w:rsid w:val="006622A6"/>
    <w:rsid w:val="006622D4"/>
    <w:rsid w:val="006622D5"/>
    <w:rsid w:val="00662368"/>
    <w:rsid w:val="00662424"/>
    <w:rsid w:val="0066260F"/>
    <w:rsid w:val="00662660"/>
    <w:rsid w:val="00662780"/>
    <w:rsid w:val="00662837"/>
    <w:rsid w:val="00662AE0"/>
    <w:rsid w:val="00662C5E"/>
    <w:rsid w:val="00662CB5"/>
    <w:rsid w:val="00662CBD"/>
    <w:rsid w:val="00662F59"/>
    <w:rsid w:val="00662F6D"/>
    <w:rsid w:val="0066307F"/>
    <w:rsid w:val="006630D7"/>
    <w:rsid w:val="00663474"/>
    <w:rsid w:val="006635B2"/>
    <w:rsid w:val="00663624"/>
    <w:rsid w:val="0066366B"/>
    <w:rsid w:val="006636E5"/>
    <w:rsid w:val="00664101"/>
    <w:rsid w:val="00664154"/>
    <w:rsid w:val="006642AE"/>
    <w:rsid w:val="006642E5"/>
    <w:rsid w:val="00664380"/>
    <w:rsid w:val="0066441F"/>
    <w:rsid w:val="0066465C"/>
    <w:rsid w:val="006647BB"/>
    <w:rsid w:val="006649D2"/>
    <w:rsid w:val="00664B1E"/>
    <w:rsid w:val="00664B3D"/>
    <w:rsid w:val="00664BDF"/>
    <w:rsid w:val="00664C9C"/>
    <w:rsid w:val="00664CAA"/>
    <w:rsid w:val="00664CED"/>
    <w:rsid w:val="00664EF5"/>
    <w:rsid w:val="0066505C"/>
    <w:rsid w:val="00665060"/>
    <w:rsid w:val="0066509D"/>
    <w:rsid w:val="006653F1"/>
    <w:rsid w:val="00665504"/>
    <w:rsid w:val="00665526"/>
    <w:rsid w:val="00665559"/>
    <w:rsid w:val="00665798"/>
    <w:rsid w:val="006659EB"/>
    <w:rsid w:val="00665A3E"/>
    <w:rsid w:val="00665ECC"/>
    <w:rsid w:val="00665F56"/>
    <w:rsid w:val="0066612B"/>
    <w:rsid w:val="00666647"/>
    <w:rsid w:val="006666A9"/>
    <w:rsid w:val="00666733"/>
    <w:rsid w:val="00666822"/>
    <w:rsid w:val="006668E7"/>
    <w:rsid w:val="006669C5"/>
    <w:rsid w:val="00666A45"/>
    <w:rsid w:val="00666C80"/>
    <w:rsid w:val="00666D61"/>
    <w:rsid w:val="00666D64"/>
    <w:rsid w:val="00666DDA"/>
    <w:rsid w:val="00666EF9"/>
    <w:rsid w:val="0066711E"/>
    <w:rsid w:val="00667148"/>
    <w:rsid w:val="006671F0"/>
    <w:rsid w:val="00667240"/>
    <w:rsid w:val="00667399"/>
    <w:rsid w:val="00667536"/>
    <w:rsid w:val="006675F1"/>
    <w:rsid w:val="0066767B"/>
    <w:rsid w:val="006676E5"/>
    <w:rsid w:val="0066779F"/>
    <w:rsid w:val="006678AC"/>
    <w:rsid w:val="00667946"/>
    <w:rsid w:val="00667A63"/>
    <w:rsid w:val="00667B2A"/>
    <w:rsid w:val="00667BEE"/>
    <w:rsid w:val="00670005"/>
    <w:rsid w:val="0067023D"/>
    <w:rsid w:val="0067029F"/>
    <w:rsid w:val="006704E6"/>
    <w:rsid w:val="0067073D"/>
    <w:rsid w:val="006708B3"/>
    <w:rsid w:val="0067092A"/>
    <w:rsid w:val="006709C5"/>
    <w:rsid w:val="00670A48"/>
    <w:rsid w:val="00670A82"/>
    <w:rsid w:val="00670ABD"/>
    <w:rsid w:val="00670B35"/>
    <w:rsid w:val="00670C3B"/>
    <w:rsid w:val="00670D5A"/>
    <w:rsid w:val="00670E2F"/>
    <w:rsid w:val="00670E44"/>
    <w:rsid w:val="0067114C"/>
    <w:rsid w:val="00671186"/>
    <w:rsid w:val="00671228"/>
    <w:rsid w:val="006712DD"/>
    <w:rsid w:val="006713DA"/>
    <w:rsid w:val="006714C0"/>
    <w:rsid w:val="006718B7"/>
    <w:rsid w:val="00671AD8"/>
    <w:rsid w:val="00671B9B"/>
    <w:rsid w:val="00671BE9"/>
    <w:rsid w:val="00671E27"/>
    <w:rsid w:val="006721F6"/>
    <w:rsid w:val="0067229F"/>
    <w:rsid w:val="006722CB"/>
    <w:rsid w:val="00672330"/>
    <w:rsid w:val="006723AF"/>
    <w:rsid w:val="00672546"/>
    <w:rsid w:val="006725C6"/>
    <w:rsid w:val="006725DF"/>
    <w:rsid w:val="00672670"/>
    <w:rsid w:val="00672977"/>
    <w:rsid w:val="00672A2F"/>
    <w:rsid w:val="00672EF2"/>
    <w:rsid w:val="00672EFA"/>
    <w:rsid w:val="006730CB"/>
    <w:rsid w:val="006730FE"/>
    <w:rsid w:val="006730FF"/>
    <w:rsid w:val="00673145"/>
    <w:rsid w:val="0067320F"/>
    <w:rsid w:val="00673282"/>
    <w:rsid w:val="006732B5"/>
    <w:rsid w:val="006732C9"/>
    <w:rsid w:val="00673554"/>
    <w:rsid w:val="006736CA"/>
    <w:rsid w:val="006739D7"/>
    <w:rsid w:val="00673CB0"/>
    <w:rsid w:val="00673EB4"/>
    <w:rsid w:val="00673ED9"/>
    <w:rsid w:val="00674239"/>
    <w:rsid w:val="0067426F"/>
    <w:rsid w:val="00674274"/>
    <w:rsid w:val="0067431F"/>
    <w:rsid w:val="00674415"/>
    <w:rsid w:val="006744A3"/>
    <w:rsid w:val="0067459F"/>
    <w:rsid w:val="00674657"/>
    <w:rsid w:val="00674866"/>
    <w:rsid w:val="00674905"/>
    <w:rsid w:val="00674A75"/>
    <w:rsid w:val="00674A91"/>
    <w:rsid w:val="00674A95"/>
    <w:rsid w:val="00675012"/>
    <w:rsid w:val="0067515C"/>
    <w:rsid w:val="00675249"/>
    <w:rsid w:val="00675254"/>
    <w:rsid w:val="00675303"/>
    <w:rsid w:val="0067550E"/>
    <w:rsid w:val="00675684"/>
    <w:rsid w:val="00675765"/>
    <w:rsid w:val="006757E8"/>
    <w:rsid w:val="006758EF"/>
    <w:rsid w:val="00675A52"/>
    <w:rsid w:val="00675A55"/>
    <w:rsid w:val="00675B11"/>
    <w:rsid w:val="00675B70"/>
    <w:rsid w:val="00675C37"/>
    <w:rsid w:val="00675EBF"/>
    <w:rsid w:val="00675EEF"/>
    <w:rsid w:val="00676070"/>
    <w:rsid w:val="006760C3"/>
    <w:rsid w:val="006760F8"/>
    <w:rsid w:val="006761E8"/>
    <w:rsid w:val="006763E1"/>
    <w:rsid w:val="0067645E"/>
    <w:rsid w:val="00676554"/>
    <w:rsid w:val="0067665B"/>
    <w:rsid w:val="00676669"/>
    <w:rsid w:val="00676733"/>
    <w:rsid w:val="00676775"/>
    <w:rsid w:val="006767F1"/>
    <w:rsid w:val="006768D9"/>
    <w:rsid w:val="00676937"/>
    <w:rsid w:val="006769A2"/>
    <w:rsid w:val="00676A5E"/>
    <w:rsid w:val="00676C27"/>
    <w:rsid w:val="00676C76"/>
    <w:rsid w:val="00676CD6"/>
    <w:rsid w:val="00676EE9"/>
    <w:rsid w:val="00676F00"/>
    <w:rsid w:val="006770C2"/>
    <w:rsid w:val="006771B1"/>
    <w:rsid w:val="006771DE"/>
    <w:rsid w:val="006774BD"/>
    <w:rsid w:val="00677625"/>
    <w:rsid w:val="00677845"/>
    <w:rsid w:val="006778F7"/>
    <w:rsid w:val="00677AAE"/>
    <w:rsid w:val="00677FFC"/>
    <w:rsid w:val="00680061"/>
    <w:rsid w:val="006800A7"/>
    <w:rsid w:val="006802A0"/>
    <w:rsid w:val="006802C9"/>
    <w:rsid w:val="00680456"/>
    <w:rsid w:val="00680669"/>
    <w:rsid w:val="0068079E"/>
    <w:rsid w:val="00680997"/>
    <w:rsid w:val="00680AD9"/>
    <w:rsid w:val="00680BFC"/>
    <w:rsid w:val="00680D51"/>
    <w:rsid w:val="00680F20"/>
    <w:rsid w:val="00680F4A"/>
    <w:rsid w:val="0068105F"/>
    <w:rsid w:val="00681066"/>
    <w:rsid w:val="006810DB"/>
    <w:rsid w:val="006812CE"/>
    <w:rsid w:val="006813EB"/>
    <w:rsid w:val="0068149B"/>
    <w:rsid w:val="00681689"/>
    <w:rsid w:val="00681690"/>
    <w:rsid w:val="006816C7"/>
    <w:rsid w:val="006819C7"/>
    <w:rsid w:val="006819D9"/>
    <w:rsid w:val="00681B61"/>
    <w:rsid w:val="00681B89"/>
    <w:rsid w:val="00681BB0"/>
    <w:rsid w:val="00681C02"/>
    <w:rsid w:val="00682010"/>
    <w:rsid w:val="0068220E"/>
    <w:rsid w:val="00682496"/>
    <w:rsid w:val="00682619"/>
    <w:rsid w:val="006826C3"/>
    <w:rsid w:val="006826FB"/>
    <w:rsid w:val="0068276F"/>
    <w:rsid w:val="006827D4"/>
    <w:rsid w:val="0068299D"/>
    <w:rsid w:val="00682CD1"/>
    <w:rsid w:val="00682D4C"/>
    <w:rsid w:val="0068304F"/>
    <w:rsid w:val="006830D6"/>
    <w:rsid w:val="00683228"/>
    <w:rsid w:val="0068347D"/>
    <w:rsid w:val="006835D7"/>
    <w:rsid w:val="006836D4"/>
    <w:rsid w:val="0068372E"/>
    <w:rsid w:val="006837C4"/>
    <w:rsid w:val="006839FE"/>
    <w:rsid w:val="00683A28"/>
    <w:rsid w:val="00683A75"/>
    <w:rsid w:val="00683C05"/>
    <w:rsid w:val="00683D2D"/>
    <w:rsid w:val="00683D9D"/>
    <w:rsid w:val="0068406E"/>
    <w:rsid w:val="00684132"/>
    <w:rsid w:val="00684135"/>
    <w:rsid w:val="0068421F"/>
    <w:rsid w:val="00684239"/>
    <w:rsid w:val="0068425B"/>
    <w:rsid w:val="006844D2"/>
    <w:rsid w:val="00684605"/>
    <w:rsid w:val="006848AC"/>
    <w:rsid w:val="006848CC"/>
    <w:rsid w:val="00684A00"/>
    <w:rsid w:val="00684BC8"/>
    <w:rsid w:val="00684BD4"/>
    <w:rsid w:val="00684D29"/>
    <w:rsid w:val="00684DE8"/>
    <w:rsid w:val="00684F06"/>
    <w:rsid w:val="00684F1A"/>
    <w:rsid w:val="006851FF"/>
    <w:rsid w:val="006853AF"/>
    <w:rsid w:val="00685662"/>
    <w:rsid w:val="00685679"/>
    <w:rsid w:val="006856B3"/>
    <w:rsid w:val="00685731"/>
    <w:rsid w:val="006859BC"/>
    <w:rsid w:val="00685D4D"/>
    <w:rsid w:val="00685F05"/>
    <w:rsid w:val="00686082"/>
    <w:rsid w:val="0068613F"/>
    <w:rsid w:val="0068644B"/>
    <w:rsid w:val="0068645C"/>
    <w:rsid w:val="0068663D"/>
    <w:rsid w:val="006868B0"/>
    <w:rsid w:val="00686BE4"/>
    <w:rsid w:val="00686D32"/>
    <w:rsid w:val="00686FCE"/>
    <w:rsid w:val="00687066"/>
    <w:rsid w:val="00687314"/>
    <w:rsid w:val="0068731C"/>
    <w:rsid w:val="006873CC"/>
    <w:rsid w:val="00687596"/>
    <w:rsid w:val="006877D2"/>
    <w:rsid w:val="00687845"/>
    <w:rsid w:val="00687BE5"/>
    <w:rsid w:val="00687BFD"/>
    <w:rsid w:val="00687CC7"/>
    <w:rsid w:val="00687D54"/>
    <w:rsid w:val="00687E78"/>
    <w:rsid w:val="00687FC6"/>
    <w:rsid w:val="00690069"/>
    <w:rsid w:val="00690073"/>
    <w:rsid w:val="00690129"/>
    <w:rsid w:val="006901C2"/>
    <w:rsid w:val="00690231"/>
    <w:rsid w:val="00690468"/>
    <w:rsid w:val="006904F9"/>
    <w:rsid w:val="00690579"/>
    <w:rsid w:val="00690680"/>
    <w:rsid w:val="006909D3"/>
    <w:rsid w:val="00690AB2"/>
    <w:rsid w:val="00690C11"/>
    <w:rsid w:val="00690D7C"/>
    <w:rsid w:val="00690D9E"/>
    <w:rsid w:val="00690DC9"/>
    <w:rsid w:val="00690E76"/>
    <w:rsid w:val="00690F8F"/>
    <w:rsid w:val="00691017"/>
    <w:rsid w:val="006912B5"/>
    <w:rsid w:val="0069132C"/>
    <w:rsid w:val="00691331"/>
    <w:rsid w:val="006914BF"/>
    <w:rsid w:val="00691565"/>
    <w:rsid w:val="00691846"/>
    <w:rsid w:val="00691A2A"/>
    <w:rsid w:val="00691A5D"/>
    <w:rsid w:val="00691BAE"/>
    <w:rsid w:val="00691BC7"/>
    <w:rsid w:val="00691EF7"/>
    <w:rsid w:val="00691EFF"/>
    <w:rsid w:val="00692055"/>
    <w:rsid w:val="006920FA"/>
    <w:rsid w:val="00692118"/>
    <w:rsid w:val="006922BB"/>
    <w:rsid w:val="0069231F"/>
    <w:rsid w:val="0069232B"/>
    <w:rsid w:val="00692499"/>
    <w:rsid w:val="00692532"/>
    <w:rsid w:val="006925C5"/>
    <w:rsid w:val="006925CB"/>
    <w:rsid w:val="00692735"/>
    <w:rsid w:val="006928BA"/>
    <w:rsid w:val="00692AED"/>
    <w:rsid w:val="00692B0E"/>
    <w:rsid w:val="00692B18"/>
    <w:rsid w:val="00692B4F"/>
    <w:rsid w:val="00692C2A"/>
    <w:rsid w:val="00692C73"/>
    <w:rsid w:val="00692FB4"/>
    <w:rsid w:val="00693107"/>
    <w:rsid w:val="006931C9"/>
    <w:rsid w:val="0069322D"/>
    <w:rsid w:val="006934A3"/>
    <w:rsid w:val="006934E2"/>
    <w:rsid w:val="00693501"/>
    <w:rsid w:val="00693549"/>
    <w:rsid w:val="0069389A"/>
    <w:rsid w:val="006938FB"/>
    <w:rsid w:val="006939C2"/>
    <w:rsid w:val="00693A8A"/>
    <w:rsid w:val="00693A9D"/>
    <w:rsid w:val="00693AA5"/>
    <w:rsid w:val="00693AC8"/>
    <w:rsid w:val="00693AE1"/>
    <w:rsid w:val="00693B5B"/>
    <w:rsid w:val="00693CBE"/>
    <w:rsid w:val="00693CDD"/>
    <w:rsid w:val="00693D1C"/>
    <w:rsid w:val="00693D7F"/>
    <w:rsid w:val="00693EAE"/>
    <w:rsid w:val="00693F0B"/>
    <w:rsid w:val="00693F63"/>
    <w:rsid w:val="0069400C"/>
    <w:rsid w:val="006942CF"/>
    <w:rsid w:val="006942DD"/>
    <w:rsid w:val="00694693"/>
    <w:rsid w:val="006947B9"/>
    <w:rsid w:val="00694803"/>
    <w:rsid w:val="00694851"/>
    <w:rsid w:val="006948E7"/>
    <w:rsid w:val="00694DBA"/>
    <w:rsid w:val="00694E9D"/>
    <w:rsid w:val="00694F51"/>
    <w:rsid w:val="00694F80"/>
    <w:rsid w:val="006950B9"/>
    <w:rsid w:val="0069518C"/>
    <w:rsid w:val="006951E8"/>
    <w:rsid w:val="00695227"/>
    <w:rsid w:val="0069523F"/>
    <w:rsid w:val="0069528D"/>
    <w:rsid w:val="0069559F"/>
    <w:rsid w:val="00695626"/>
    <w:rsid w:val="00695713"/>
    <w:rsid w:val="0069582C"/>
    <w:rsid w:val="00695A0E"/>
    <w:rsid w:val="00695A15"/>
    <w:rsid w:val="00695AB5"/>
    <w:rsid w:val="00695CC2"/>
    <w:rsid w:val="00695E79"/>
    <w:rsid w:val="00696040"/>
    <w:rsid w:val="006961F4"/>
    <w:rsid w:val="00696254"/>
    <w:rsid w:val="0069650E"/>
    <w:rsid w:val="00696652"/>
    <w:rsid w:val="006968E4"/>
    <w:rsid w:val="00696A2D"/>
    <w:rsid w:val="00696BC1"/>
    <w:rsid w:val="00696C1E"/>
    <w:rsid w:val="00696DB4"/>
    <w:rsid w:val="00696E8F"/>
    <w:rsid w:val="00696F4D"/>
    <w:rsid w:val="006972B6"/>
    <w:rsid w:val="00697397"/>
    <w:rsid w:val="006973BC"/>
    <w:rsid w:val="006973D1"/>
    <w:rsid w:val="00697454"/>
    <w:rsid w:val="006974DC"/>
    <w:rsid w:val="00697507"/>
    <w:rsid w:val="0069750A"/>
    <w:rsid w:val="00697601"/>
    <w:rsid w:val="00697615"/>
    <w:rsid w:val="006977F3"/>
    <w:rsid w:val="00697B0C"/>
    <w:rsid w:val="00697D19"/>
    <w:rsid w:val="00697ECC"/>
    <w:rsid w:val="006A0016"/>
    <w:rsid w:val="006A02B4"/>
    <w:rsid w:val="006A0313"/>
    <w:rsid w:val="006A03B7"/>
    <w:rsid w:val="006A0540"/>
    <w:rsid w:val="006A0604"/>
    <w:rsid w:val="006A07AE"/>
    <w:rsid w:val="006A0830"/>
    <w:rsid w:val="006A0940"/>
    <w:rsid w:val="006A0C5F"/>
    <w:rsid w:val="006A0D20"/>
    <w:rsid w:val="006A0E00"/>
    <w:rsid w:val="006A0F86"/>
    <w:rsid w:val="006A1014"/>
    <w:rsid w:val="006A122F"/>
    <w:rsid w:val="006A1264"/>
    <w:rsid w:val="006A12FE"/>
    <w:rsid w:val="006A151D"/>
    <w:rsid w:val="006A1800"/>
    <w:rsid w:val="006A19C1"/>
    <w:rsid w:val="006A1A50"/>
    <w:rsid w:val="006A1B02"/>
    <w:rsid w:val="006A1E45"/>
    <w:rsid w:val="006A1E70"/>
    <w:rsid w:val="006A278C"/>
    <w:rsid w:val="006A2978"/>
    <w:rsid w:val="006A2A3B"/>
    <w:rsid w:val="006A2D39"/>
    <w:rsid w:val="006A30CE"/>
    <w:rsid w:val="006A3142"/>
    <w:rsid w:val="006A316E"/>
    <w:rsid w:val="006A33B8"/>
    <w:rsid w:val="006A35D9"/>
    <w:rsid w:val="006A35F4"/>
    <w:rsid w:val="006A35F6"/>
    <w:rsid w:val="006A36F7"/>
    <w:rsid w:val="006A37AA"/>
    <w:rsid w:val="006A37FC"/>
    <w:rsid w:val="006A389F"/>
    <w:rsid w:val="006A38FB"/>
    <w:rsid w:val="006A3B54"/>
    <w:rsid w:val="006A3BAE"/>
    <w:rsid w:val="006A3C8B"/>
    <w:rsid w:val="006A3D23"/>
    <w:rsid w:val="006A3DE5"/>
    <w:rsid w:val="006A3E69"/>
    <w:rsid w:val="006A3F1C"/>
    <w:rsid w:val="006A3FDE"/>
    <w:rsid w:val="006A40FB"/>
    <w:rsid w:val="006A4448"/>
    <w:rsid w:val="006A47C9"/>
    <w:rsid w:val="006A4816"/>
    <w:rsid w:val="006A48C9"/>
    <w:rsid w:val="006A48EB"/>
    <w:rsid w:val="006A4960"/>
    <w:rsid w:val="006A4A2A"/>
    <w:rsid w:val="006A4A52"/>
    <w:rsid w:val="006A4C85"/>
    <w:rsid w:val="006A4D1D"/>
    <w:rsid w:val="006A4E9E"/>
    <w:rsid w:val="006A5191"/>
    <w:rsid w:val="006A52E8"/>
    <w:rsid w:val="006A534F"/>
    <w:rsid w:val="006A5355"/>
    <w:rsid w:val="006A54CC"/>
    <w:rsid w:val="006A5507"/>
    <w:rsid w:val="006A5532"/>
    <w:rsid w:val="006A56E3"/>
    <w:rsid w:val="006A57D7"/>
    <w:rsid w:val="006A5A50"/>
    <w:rsid w:val="006A5A82"/>
    <w:rsid w:val="006A5B1B"/>
    <w:rsid w:val="006A5BE3"/>
    <w:rsid w:val="006A5E66"/>
    <w:rsid w:val="006A5F1D"/>
    <w:rsid w:val="006A608D"/>
    <w:rsid w:val="006A6287"/>
    <w:rsid w:val="006A6442"/>
    <w:rsid w:val="006A6453"/>
    <w:rsid w:val="006A64B0"/>
    <w:rsid w:val="006A65CF"/>
    <w:rsid w:val="006A6739"/>
    <w:rsid w:val="006A67FA"/>
    <w:rsid w:val="006A68B6"/>
    <w:rsid w:val="006A692B"/>
    <w:rsid w:val="006A6938"/>
    <w:rsid w:val="006A698A"/>
    <w:rsid w:val="006A6BC1"/>
    <w:rsid w:val="006A70C6"/>
    <w:rsid w:val="006A70DB"/>
    <w:rsid w:val="006A71AB"/>
    <w:rsid w:val="006A72C1"/>
    <w:rsid w:val="006A733E"/>
    <w:rsid w:val="006A751F"/>
    <w:rsid w:val="006A7541"/>
    <w:rsid w:val="006A76FE"/>
    <w:rsid w:val="006A795F"/>
    <w:rsid w:val="006A79C9"/>
    <w:rsid w:val="006A7B46"/>
    <w:rsid w:val="006A7B66"/>
    <w:rsid w:val="006A7C0F"/>
    <w:rsid w:val="006A7D26"/>
    <w:rsid w:val="006A7DE0"/>
    <w:rsid w:val="006A7E41"/>
    <w:rsid w:val="006A7E5C"/>
    <w:rsid w:val="006B02A9"/>
    <w:rsid w:val="006B02DA"/>
    <w:rsid w:val="006B04C2"/>
    <w:rsid w:val="006B0501"/>
    <w:rsid w:val="006B050D"/>
    <w:rsid w:val="006B0679"/>
    <w:rsid w:val="006B0733"/>
    <w:rsid w:val="006B0958"/>
    <w:rsid w:val="006B097F"/>
    <w:rsid w:val="006B0A1A"/>
    <w:rsid w:val="006B0AE8"/>
    <w:rsid w:val="006B0FEB"/>
    <w:rsid w:val="006B1342"/>
    <w:rsid w:val="006B1516"/>
    <w:rsid w:val="006B1564"/>
    <w:rsid w:val="006B1609"/>
    <w:rsid w:val="006B18C5"/>
    <w:rsid w:val="006B18E3"/>
    <w:rsid w:val="006B19E3"/>
    <w:rsid w:val="006B1A73"/>
    <w:rsid w:val="006B1D89"/>
    <w:rsid w:val="006B20FF"/>
    <w:rsid w:val="006B2458"/>
    <w:rsid w:val="006B287B"/>
    <w:rsid w:val="006B2896"/>
    <w:rsid w:val="006B2AC8"/>
    <w:rsid w:val="006B2C9F"/>
    <w:rsid w:val="006B30D0"/>
    <w:rsid w:val="006B313F"/>
    <w:rsid w:val="006B31B8"/>
    <w:rsid w:val="006B31DC"/>
    <w:rsid w:val="006B32BE"/>
    <w:rsid w:val="006B3343"/>
    <w:rsid w:val="006B346D"/>
    <w:rsid w:val="006B37FF"/>
    <w:rsid w:val="006B3B42"/>
    <w:rsid w:val="006B3B7E"/>
    <w:rsid w:val="006B3B8C"/>
    <w:rsid w:val="006B3E5E"/>
    <w:rsid w:val="006B3F21"/>
    <w:rsid w:val="006B4192"/>
    <w:rsid w:val="006B4193"/>
    <w:rsid w:val="006B4260"/>
    <w:rsid w:val="006B42F7"/>
    <w:rsid w:val="006B451A"/>
    <w:rsid w:val="006B4889"/>
    <w:rsid w:val="006B4932"/>
    <w:rsid w:val="006B4B4A"/>
    <w:rsid w:val="006B4EF8"/>
    <w:rsid w:val="006B5024"/>
    <w:rsid w:val="006B50DD"/>
    <w:rsid w:val="006B5114"/>
    <w:rsid w:val="006B5116"/>
    <w:rsid w:val="006B53CC"/>
    <w:rsid w:val="006B5729"/>
    <w:rsid w:val="006B581F"/>
    <w:rsid w:val="006B582E"/>
    <w:rsid w:val="006B5931"/>
    <w:rsid w:val="006B59AF"/>
    <w:rsid w:val="006B5A1D"/>
    <w:rsid w:val="006B5B60"/>
    <w:rsid w:val="006B5D76"/>
    <w:rsid w:val="006B5E64"/>
    <w:rsid w:val="006B5EA9"/>
    <w:rsid w:val="006B5ED7"/>
    <w:rsid w:val="006B6045"/>
    <w:rsid w:val="006B60C8"/>
    <w:rsid w:val="006B6225"/>
    <w:rsid w:val="006B644C"/>
    <w:rsid w:val="006B66C4"/>
    <w:rsid w:val="006B676B"/>
    <w:rsid w:val="006B6888"/>
    <w:rsid w:val="006B6905"/>
    <w:rsid w:val="006B6A77"/>
    <w:rsid w:val="006B6B7B"/>
    <w:rsid w:val="006B6C45"/>
    <w:rsid w:val="006B6EB1"/>
    <w:rsid w:val="006B71DA"/>
    <w:rsid w:val="006B72A8"/>
    <w:rsid w:val="006B72C1"/>
    <w:rsid w:val="006B74CB"/>
    <w:rsid w:val="006B750B"/>
    <w:rsid w:val="006B7541"/>
    <w:rsid w:val="006B768E"/>
    <w:rsid w:val="006B778C"/>
    <w:rsid w:val="006B77DC"/>
    <w:rsid w:val="006B78FF"/>
    <w:rsid w:val="006B7972"/>
    <w:rsid w:val="006B7A54"/>
    <w:rsid w:val="006B7AB1"/>
    <w:rsid w:val="006B7ADE"/>
    <w:rsid w:val="006B7C28"/>
    <w:rsid w:val="006B7CFE"/>
    <w:rsid w:val="006B7DDD"/>
    <w:rsid w:val="006B7DE0"/>
    <w:rsid w:val="006B7E72"/>
    <w:rsid w:val="006B7EC6"/>
    <w:rsid w:val="006C0089"/>
    <w:rsid w:val="006C03EE"/>
    <w:rsid w:val="006C07FD"/>
    <w:rsid w:val="006C0855"/>
    <w:rsid w:val="006C09FD"/>
    <w:rsid w:val="006C0C3B"/>
    <w:rsid w:val="006C0D81"/>
    <w:rsid w:val="006C0E05"/>
    <w:rsid w:val="006C12A8"/>
    <w:rsid w:val="006C14BD"/>
    <w:rsid w:val="006C14CB"/>
    <w:rsid w:val="006C164E"/>
    <w:rsid w:val="006C165F"/>
    <w:rsid w:val="006C1701"/>
    <w:rsid w:val="006C1775"/>
    <w:rsid w:val="006C17B3"/>
    <w:rsid w:val="006C184E"/>
    <w:rsid w:val="006C19DE"/>
    <w:rsid w:val="006C1A8E"/>
    <w:rsid w:val="006C1C1E"/>
    <w:rsid w:val="006C1C81"/>
    <w:rsid w:val="006C1E15"/>
    <w:rsid w:val="006C1E66"/>
    <w:rsid w:val="006C1E86"/>
    <w:rsid w:val="006C1E90"/>
    <w:rsid w:val="006C1FB8"/>
    <w:rsid w:val="006C21C0"/>
    <w:rsid w:val="006C223A"/>
    <w:rsid w:val="006C2306"/>
    <w:rsid w:val="006C2370"/>
    <w:rsid w:val="006C24C7"/>
    <w:rsid w:val="006C26F6"/>
    <w:rsid w:val="006C26F9"/>
    <w:rsid w:val="006C27CF"/>
    <w:rsid w:val="006C27F7"/>
    <w:rsid w:val="006C2960"/>
    <w:rsid w:val="006C2A05"/>
    <w:rsid w:val="006C2BE7"/>
    <w:rsid w:val="006C333D"/>
    <w:rsid w:val="006C3496"/>
    <w:rsid w:val="006C372F"/>
    <w:rsid w:val="006C37AC"/>
    <w:rsid w:val="006C37AD"/>
    <w:rsid w:val="006C3859"/>
    <w:rsid w:val="006C3998"/>
    <w:rsid w:val="006C399A"/>
    <w:rsid w:val="006C39A3"/>
    <w:rsid w:val="006C3A34"/>
    <w:rsid w:val="006C4211"/>
    <w:rsid w:val="006C4412"/>
    <w:rsid w:val="006C45CE"/>
    <w:rsid w:val="006C4723"/>
    <w:rsid w:val="006C4749"/>
    <w:rsid w:val="006C47CF"/>
    <w:rsid w:val="006C47D8"/>
    <w:rsid w:val="006C47EE"/>
    <w:rsid w:val="006C4A78"/>
    <w:rsid w:val="006C4B45"/>
    <w:rsid w:val="006C4E89"/>
    <w:rsid w:val="006C4FD2"/>
    <w:rsid w:val="006C5161"/>
    <w:rsid w:val="006C5560"/>
    <w:rsid w:val="006C5566"/>
    <w:rsid w:val="006C58EA"/>
    <w:rsid w:val="006C5E61"/>
    <w:rsid w:val="006C5FD2"/>
    <w:rsid w:val="006C6143"/>
    <w:rsid w:val="006C61CD"/>
    <w:rsid w:val="006C638A"/>
    <w:rsid w:val="006C64A7"/>
    <w:rsid w:val="006C65C8"/>
    <w:rsid w:val="006C6758"/>
    <w:rsid w:val="006C6939"/>
    <w:rsid w:val="006C7020"/>
    <w:rsid w:val="006C70BB"/>
    <w:rsid w:val="006C7287"/>
    <w:rsid w:val="006C7584"/>
    <w:rsid w:val="006C7825"/>
    <w:rsid w:val="006C78AC"/>
    <w:rsid w:val="006C7A17"/>
    <w:rsid w:val="006C7A68"/>
    <w:rsid w:val="006C7A80"/>
    <w:rsid w:val="006C7AB8"/>
    <w:rsid w:val="006C7B6A"/>
    <w:rsid w:val="006C7CB1"/>
    <w:rsid w:val="006C7D41"/>
    <w:rsid w:val="006C7DF5"/>
    <w:rsid w:val="006C7E4A"/>
    <w:rsid w:val="006C7ECB"/>
    <w:rsid w:val="006D003E"/>
    <w:rsid w:val="006D0155"/>
    <w:rsid w:val="006D02C1"/>
    <w:rsid w:val="006D0424"/>
    <w:rsid w:val="006D0707"/>
    <w:rsid w:val="006D088F"/>
    <w:rsid w:val="006D0E68"/>
    <w:rsid w:val="006D0E98"/>
    <w:rsid w:val="006D1026"/>
    <w:rsid w:val="006D12EB"/>
    <w:rsid w:val="006D1378"/>
    <w:rsid w:val="006D150A"/>
    <w:rsid w:val="006D15F9"/>
    <w:rsid w:val="006D1A05"/>
    <w:rsid w:val="006D1A8F"/>
    <w:rsid w:val="006D1AAF"/>
    <w:rsid w:val="006D1B0A"/>
    <w:rsid w:val="006D1C5C"/>
    <w:rsid w:val="006D1DEE"/>
    <w:rsid w:val="006D1F2C"/>
    <w:rsid w:val="006D20EC"/>
    <w:rsid w:val="006D21E7"/>
    <w:rsid w:val="006D22E6"/>
    <w:rsid w:val="006D24D9"/>
    <w:rsid w:val="006D2581"/>
    <w:rsid w:val="006D2606"/>
    <w:rsid w:val="006D2876"/>
    <w:rsid w:val="006D28F3"/>
    <w:rsid w:val="006D2992"/>
    <w:rsid w:val="006D29E5"/>
    <w:rsid w:val="006D2DCA"/>
    <w:rsid w:val="006D2E27"/>
    <w:rsid w:val="006D2E60"/>
    <w:rsid w:val="006D2EDF"/>
    <w:rsid w:val="006D2F02"/>
    <w:rsid w:val="006D304F"/>
    <w:rsid w:val="006D30FD"/>
    <w:rsid w:val="006D3116"/>
    <w:rsid w:val="006D313A"/>
    <w:rsid w:val="006D31A7"/>
    <w:rsid w:val="006D344B"/>
    <w:rsid w:val="006D34EF"/>
    <w:rsid w:val="006D3894"/>
    <w:rsid w:val="006D397D"/>
    <w:rsid w:val="006D3C9E"/>
    <w:rsid w:val="006D3D0C"/>
    <w:rsid w:val="006D3ECC"/>
    <w:rsid w:val="006D3F72"/>
    <w:rsid w:val="006D3FF4"/>
    <w:rsid w:val="006D4189"/>
    <w:rsid w:val="006D42BE"/>
    <w:rsid w:val="006D43E4"/>
    <w:rsid w:val="006D45E2"/>
    <w:rsid w:val="006D4617"/>
    <w:rsid w:val="006D467A"/>
    <w:rsid w:val="006D46A0"/>
    <w:rsid w:val="006D4752"/>
    <w:rsid w:val="006D4757"/>
    <w:rsid w:val="006D4A13"/>
    <w:rsid w:val="006D4ABF"/>
    <w:rsid w:val="006D4D4A"/>
    <w:rsid w:val="006D4D6A"/>
    <w:rsid w:val="006D4DD4"/>
    <w:rsid w:val="006D4E56"/>
    <w:rsid w:val="006D4E85"/>
    <w:rsid w:val="006D4F00"/>
    <w:rsid w:val="006D5153"/>
    <w:rsid w:val="006D52E6"/>
    <w:rsid w:val="006D5403"/>
    <w:rsid w:val="006D549C"/>
    <w:rsid w:val="006D5538"/>
    <w:rsid w:val="006D581A"/>
    <w:rsid w:val="006D58B4"/>
    <w:rsid w:val="006D5958"/>
    <w:rsid w:val="006D59BE"/>
    <w:rsid w:val="006D5A00"/>
    <w:rsid w:val="006D5AD6"/>
    <w:rsid w:val="006D5B46"/>
    <w:rsid w:val="006D5C5E"/>
    <w:rsid w:val="006D5D07"/>
    <w:rsid w:val="006D61B7"/>
    <w:rsid w:val="006D6617"/>
    <w:rsid w:val="006D666F"/>
    <w:rsid w:val="006D668A"/>
    <w:rsid w:val="006D67B3"/>
    <w:rsid w:val="006D67E3"/>
    <w:rsid w:val="006D689A"/>
    <w:rsid w:val="006D6BBA"/>
    <w:rsid w:val="006D6F27"/>
    <w:rsid w:val="006D6F44"/>
    <w:rsid w:val="006D7007"/>
    <w:rsid w:val="006D7109"/>
    <w:rsid w:val="006D712D"/>
    <w:rsid w:val="006D7368"/>
    <w:rsid w:val="006D7503"/>
    <w:rsid w:val="006D7C3E"/>
    <w:rsid w:val="006D7F7E"/>
    <w:rsid w:val="006E0344"/>
    <w:rsid w:val="006E05C3"/>
    <w:rsid w:val="006E0696"/>
    <w:rsid w:val="006E091E"/>
    <w:rsid w:val="006E0BE0"/>
    <w:rsid w:val="006E0BE4"/>
    <w:rsid w:val="006E0D5A"/>
    <w:rsid w:val="006E0E0B"/>
    <w:rsid w:val="006E0E64"/>
    <w:rsid w:val="006E0F66"/>
    <w:rsid w:val="006E1232"/>
    <w:rsid w:val="006E1239"/>
    <w:rsid w:val="006E14C2"/>
    <w:rsid w:val="006E1672"/>
    <w:rsid w:val="006E178C"/>
    <w:rsid w:val="006E1810"/>
    <w:rsid w:val="006E192C"/>
    <w:rsid w:val="006E1AFA"/>
    <w:rsid w:val="006E1B28"/>
    <w:rsid w:val="006E1B91"/>
    <w:rsid w:val="006E1D04"/>
    <w:rsid w:val="006E1D6F"/>
    <w:rsid w:val="006E1DA1"/>
    <w:rsid w:val="006E1DA7"/>
    <w:rsid w:val="006E1E02"/>
    <w:rsid w:val="006E1E55"/>
    <w:rsid w:val="006E1EE7"/>
    <w:rsid w:val="006E1FF6"/>
    <w:rsid w:val="006E21B3"/>
    <w:rsid w:val="006E21B5"/>
    <w:rsid w:val="006E21B6"/>
    <w:rsid w:val="006E2419"/>
    <w:rsid w:val="006E24CC"/>
    <w:rsid w:val="006E26E4"/>
    <w:rsid w:val="006E274A"/>
    <w:rsid w:val="006E2A82"/>
    <w:rsid w:val="006E2BE6"/>
    <w:rsid w:val="006E2CB6"/>
    <w:rsid w:val="006E2FBF"/>
    <w:rsid w:val="006E32AA"/>
    <w:rsid w:val="006E3406"/>
    <w:rsid w:val="006E35A8"/>
    <w:rsid w:val="006E35AC"/>
    <w:rsid w:val="006E368B"/>
    <w:rsid w:val="006E3793"/>
    <w:rsid w:val="006E380C"/>
    <w:rsid w:val="006E3944"/>
    <w:rsid w:val="006E3AB9"/>
    <w:rsid w:val="006E3C12"/>
    <w:rsid w:val="006E3CE9"/>
    <w:rsid w:val="006E3D2D"/>
    <w:rsid w:val="006E3E89"/>
    <w:rsid w:val="006E3FB5"/>
    <w:rsid w:val="006E443E"/>
    <w:rsid w:val="006E444E"/>
    <w:rsid w:val="006E44B6"/>
    <w:rsid w:val="006E467C"/>
    <w:rsid w:val="006E46D7"/>
    <w:rsid w:val="006E4707"/>
    <w:rsid w:val="006E4918"/>
    <w:rsid w:val="006E49D7"/>
    <w:rsid w:val="006E4B95"/>
    <w:rsid w:val="006E4BB1"/>
    <w:rsid w:val="006E50EF"/>
    <w:rsid w:val="006E5274"/>
    <w:rsid w:val="006E5531"/>
    <w:rsid w:val="006E5668"/>
    <w:rsid w:val="006E5914"/>
    <w:rsid w:val="006E597A"/>
    <w:rsid w:val="006E5ABD"/>
    <w:rsid w:val="006E5C22"/>
    <w:rsid w:val="006E5C77"/>
    <w:rsid w:val="006E5CEA"/>
    <w:rsid w:val="006E5E08"/>
    <w:rsid w:val="006E6378"/>
    <w:rsid w:val="006E6532"/>
    <w:rsid w:val="006E65C9"/>
    <w:rsid w:val="006E672C"/>
    <w:rsid w:val="006E6891"/>
    <w:rsid w:val="006E6B12"/>
    <w:rsid w:val="006E6D81"/>
    <w:rsid w:val="006E7094"/>
    <w:rsid w:val="006E72E0"/>
    <w:rsid w:val="006E7488"/>
    <w:rsid w:val="006E75AD"/>
    <w:rsid w:val="006E7A1C"/>
    <w:rsid w:val="006E7AFA"/>
    <w:rsid w:val="006E7CBA"/>
    <w:rsid w:val="006E7D12"/>
    <w:rsid w:val="006E7DF1"/>
    <w:rsid w:val="006F0098"/>
    <w:rsid w:val="006F0110"/>
    <w:rsid w:val="006F0124"/>
    <w:rsid w:val="006F0428"/>
    <w:rsid w:val="006F04E9"/>
    <w:rsid w:val="006F04F1"/>
    <w:rsid w:val="006F0650"/>
    <w:rsid w:val="006F084B"/>
    <w:rsid w:val="006F08DC"/>
    <w:rsid w:val="006F0DB1"/>
    <w:rsid w:val="006F0E06"/>
    <w:rsid w:val="006F0E0C"/>
    <w:rsid w:val="006F0F70"/>
    <w:rsid w:val="006F1227"/>
    <w:rsid w:val="006F13EF"/>
    <w:rsid w:val="006F1537"/>
    <w:rsid w:val="006F157D"/>
    <w:rsid w:val="006F1580"/>
    <w:rsid w:val="006F1594"/>
    <w:rsid w:val="006F18CB"/>
    <w:rsid w:val="006F19CB"/>
    <w:rsid w:val="006F19E7"/>
    <w:rsid w:val="006F1B17"/>
    <w:rsid w:val="006F1EA1"/>
    <w:rsid w:val="006F1FB3"/>
    <w:rsid w:val="006F1FF2"/>
    <w:rsid w:val="006F2215"/>
    <w:rsid w:val="006F2260"/>
    <w:rsid w:val="006F22A0"/>
    <w:rsid w:val="006F272A"/>
    <w:rsid w:val="006F27F2"/>
    <w:rsid w:val="006F2842"/>
    <w:rsid w:val="006F2901"/>
    <w:rsid w:val="006F29AA"/>
    <w:rsid w:val="006F2A3F"/>
    <w:rsid w:val="006F2C2E"/>
    <w:rsid w:val="006F2C89"/>
    <w:rsid w:val="006F2CC3"/>
    <w:rsid w:val="006F2DC4"/>
    <w:rsid w:val="006F2E23"/>
    <w:rsid w:val="006F2E4A"/>
    <w:rsid w:val="006F2E77"/>
    <w:rsid w:val="006F3216"/>
    <w:rsid w:val="006F3235"/>
    <w:rsid w:val="006F3383"/>
    <w:rsid w:val="006F342F"/>
    <w:rsid w:val="006F3661"/>
    <w:rsid w:val="006F3EA8"/>
    <w:rsid w:val="006F3F07"/>
    <w:rsid w:val="006F4016"/>
    <w:rsid w:val="006F4156"/>
    <w:rsid w:val="006F427A"/>
    <w:rsid w:val="006F448D"/>
    <w:rsid w:val="006F45AB"/>
    <w:rsid w:val="006F4717"/>
    <w:rsid w:val="006F4738"/>
    <w:rsid w:val="006F4785"/>
    <w:rsid w:val="006F48CC"/>
    <w:rsid w:val="006F492F"/>
    <w:rsid w:val="006F4969"/>
    <w:rsid w:val="006F498D"/>
    <w:rsid w:val="006F4D33"/>
    <w:rsid w:val="006F4E34"/>
    <w:rsid w:val="006F5349"/>
    <w:rsid w:val="006F53C2"/>
    <w:rsid w:val="006F54AD"/>
    <w:rsid w:val="006F54F0"/>
    <w:rsid w:val="006F55E1"/>
    <w:rsid w:val="006F5714"/>
    <w:rsid w:val="006F57B9"/>
    <w:rsid w:val="006F59AC"/>
    <w:rsid w:val="006F5A29"/>
    <w:rsid w:val="006F5A92"/>
    <w:rsid w:val="006F5D89"/>
    <w:rsid w:val="006F5EB2"/>
    <w:rsid w:val="006F5F80"/>
    <w:rsid w:val="006F5FFD"/>
    <w:rsid w:val="006F61FB"/>
    <w:rsid w:val="006F635D"/>
    <w:rsid w:val="006F65F1"/>
    <w:rsid w:val="006F685E"/>
    <w:rsid w:val="006F688B"/>
    <w:rsid w:val="006F68FF"/>
    <w:rsid w:val="006F6954"/>
    <w:rsid w:val="006F6B82"/>
    <w:rsid w:val="006F6BD2"/>
    <w:rsid w:val="006F6BF1"/>
    <w:rsid w:val="006F6E3A"/>
    <w:rsid w:val="006F6F90"/>
    <w:rsid w:val="006F707B"/>
    <w:rsid w:val="006F71F2"/>
    <w:rsid w:val="006F7343"/>
    <w:rsid w:val="006F7378"/>
    <w:rsid w:val="006F7407"/>
    <w:rsid w:val="006F75E8"/>
    <w:rsid w:val="006F7946"/>
    <w:rsid w:val="006F7997"/>
    <w:rsid w:val="006F7AA5"/>
    <w:rsid w:val="006F7AFE"/>
    <w:rsid w:val="006F7B4B"/>
    <w:rsid w:val="006F7C18"/>
    <w:rsid w:val="006F7CF6"/>
    <w:rsid w:val="006F7D5E"/>
    <w:rsid w:val="006F7F1B"/>
    <w:rsid w:val="006F7F5F"/>
    <w:rsid w:val="0070009A"/>
    <w:rsid w:val="007000E3"/>
    <w:rsid w:val="007002C8"/>
    <w:rsid w:val="0070042B"/>
    <w:rsid w:val="0070049F"/>
    <w:rsid w:val="007005F8"/>
    <w:rsid w:val="00700668"/>
    <w:rsid w:val="00700748"/>
    <w:rsid w:val="00700751"/>
    <w:rsid w:val="00700828"/>
    <w:rsid w:val="007008F0"/>
    <w:rsid w:val="00700A38"/>
    <w:rsid w:val="00700B92"/>
    <w:rsid w:val="00700CA7"/>
    <w:rsid w:val="00700D92"/>
    <w:rsid w:val="00700E25"/>
    <w:rsid w:val="0070116C"/>
    <w:rsid w:val="007012B8"/>
    <w:rsid w:val="0070143D"/>
    <w:rsid w:val="00701540"/>
    <w:rsid w:val="007015E4"/>
    <w:rsid w:val="007016BC"/>
    <w:rsid w:val="0070197E"/>
    <w:rsid w:val="00701C3C"/>
    <w:rsid w:val="00701C8B"/>
    <w:rsid w:val="00701CC2"/>
    <w:rsid w:val="00701D8D"/>
    <w:rsid w:val="00701DF2"/>
    <w:rsid w:val="00701E3B"/>
    <w:rsid w:val="00701E4D"/>
    <w:rsid w:val="00701F2B"/>
    <w:rsid w:val="00701F45"/>
    <w:rsid w:val="007020D6"/>
    <w:rsid w:val="00702102"/>
    <w:rsid w:val="00702179"/>
    <w:rsid w:val="007023CB"/>
    <w:rsid w:val="00702476"/>
    <w:rsid w:val="00702512"/>
    <w:rsid w:val="00702589"/>
    <w:rsid w:val="00702618"/>
    <w:rsid w:val="007026E4"/>
    <w:rsid w:val="00702993"/>
    <w:rsid w:val="00702A2A"/>
    <w:rsid w:val="00702B66"/>
    <w:rsid w:val="00702E17"/>
    <w:rsid w:val="00702ECD"/>
    <w:rsid w:val="00703069"/>
    <w:rsid w:val="00703292"/>
    <w:rsid w:val="0070348A"/>
    <w:rsid w:val="00703597"/>
    <w:rsid w:val="0070359D"/>
    <w:rsid w:val="00703D50"/>
    <w:rsid w:val="00703EAD"/>
    <w:rsid w:val="00703ED7"/>
    <w:rsid w:val="0070408D"/>
    <w:rsid w:val="00704124"/>
    <w:rsid w:val="0070418C"/>
    <w:rsid w:val="0070426E"/>
    <w:rsid w:val="007042A5"/>
    <w:rsid w:val="007042E9"/>
    <w:rsid w:val="007043E1"/>
    <w:rsid w:val="00704699"/>
    <w:rsid w:val="00704736"/>
    <w:rsid w:val="007048C8"/>
    <w:rsid w:val="007049BC"/>
    <w:rsid w:val="00704FDE"/>
    <w:rsid w:val="00705046"/>
    <w:rsid w:val="0070532E"/>
    <w:rsid w:val="00705658"/>
    <w:rsid w:val="007056D2"/>
    <w:rsid w:val="00705B69"/>
    <w:rsid w:val="00705D4D"/>
    <w:rsid w:val="00705D7F"/>
    <w:rsid w:val="0070634F"/>
    <w:rsid w:val="0070639B"/>
    <w:rsid w:val="0070642C"/>
    <w:rsid w:val="007064A1"/>
    <w:rsid w:val="00706528"/>
    <w:rsid w:val="007065E2"/>
    <w:rsid w:val="007065F7"/>
    <w:rsid w:val="0070668B"/>
    <w:rsid w:val="0070675C"/>
    <w:rsid w:val="00706950"/>
    <w:rsid w:val="00706991"/>
    <w:rsid w:val="00706A13"/>
    <w:rsid w:val="00706B2E"/>
    <w:rsid w:val="00706C4C"/>
    <w:rsid w:val="00706D1E"/>
    <w:rsid w:val="00706DB5"/>
    <w:rsid w:val="00706F3D"/>
    <w:rsid w:val="00707133"/>
    <w:rsid w:val="00707185"/>
    <w:rsid w:val="007071C0"/>
    <w:rsid w:val="0070724C"/>
    <w:rsid w:val="00707469"/>
    <w:rsid w:val="00707663"/>
    <w:rsid w:val="007078B1"/>
    <w:rsid w:val="00707E27"/>
    <w:rsid w:val="00707FAB"/>
    <w:rsid w:val="00707FB4"/>
    <w:rsid w:val="00710444"/>
    <w:rsid w:val="00710486"/>
    <w:rsid w:val="007104DD"/>
    <w:rsid w:val="007104E0"/>
    <w:rsid w:val="00710511"/>
    <w:rsid w:val="007106B1"/>
    <w:rsid w:val="00710790"/>
    <w:rsid w:val="007108F0"/>
    <w:rsid w:val="00710954"/>
    <w:rsid w:val="0071099F"/>
    <w:rsid w:val="00710C79"/>
    <w:rsid w:val="00710D31"/>
    <w:rsid w:val="0071177C"/>
    <w:rsid w:val="007117AB"/>
    <w:rsid w:val="007117BD"/>
    <w:rsid w:val="007118BA"/>
    <w:rsid w:val="00711B50"/>
    <w:rsid w:val="00711B99"/>
    <w:rsid w:val="00711C76"/>
    <w:rsid w:val="00711CE1"/>
    <w:rsid w:val="00711D3A"/>
    <w:rsid w:val="007121EC"/>
    <w:rsid w:val="00712222"/>
    <w:rsid w:val="007124DF"/>
    <w:rsid w:val="00712558"/>
    <w:rsid w:val="007125AB"/>
    <w:rsid w:val="00712663"/>
    <w:rsid w:val="00712686"/>
    <w:rsid w:val="00712B70"/>
    <w:rsid w:val="00712C03"/>
    <w:rsid w:val="00712DD3"/>
    <w:rsid w:val="00712F1E"/>
    <w:rsid w:val="00712FA3"/>
    <w:rsid w:val="007130AC"/>
    <w:rsid w:val="007131E6"/>
    <w:rsid w:val="00713382"/>
    <w:rsid w:val="007135A6"/>
    <w:rsid w:val="00713686"/>
    <w:rsid w:val="00713697"/>
    <w:rsid w:val="0071374B"/>
    <w:rsid w:val="0071378B"/>
    <w:rsid w:val="00713920"/>
    <w:rsid w:val="00713944"/>
    <w:rsid w:val="00713A1B"/>
    <w:rsid w:val="00713BD5"/>
    <w:rsid w:val="00713D3B"/>
    <w:rsid w:val="00713EE7"/>
    <w:rsid w:val="0071447E"/>
    <w:rsid w:val="0071467F"/>
    <w:rsid w:val="0071482E"/>
    <w:rsid w:val="00714892"/>
    <w:rsid w:val="00714915"/>
    <w:rsid w:val="00714967"/>
    <w:rsid w:val="00714997"/>
    <w:rsid w:val="00714ACF"/>
    <w:rsid w:val="00714AF2"/>
    <w:rsid w:val="00714B5E"/>
    <w:rsid w:val="00714C0D"/>
    <w:rsid w:val="00714DB7"/>
    <w:rsid w:val="00714E51"/>
    <w:rsid w:val="00715092"/>
    <w:rsid w:val="007151C9"/>
    <w:rsid w:val="007151ED"/>
    <w:rsid w:val="007152A0"/>
    <w:rsid w:val="007154D4"/>
    <w:rsid w:val="00715566"/>
    <w:rsid w:val="0071568E"/>
    <w:rsid w:val="00715C76"/>
    <w:rsid w:val="00715C7C"/>
    <w:rsid w:val="00715FAA"/>
    <w:rsid w:val="00715FCA"/>
    <w:rsid w:val="007162B1"/>
    <w:rsid w:val="00716304"/>
    <w:rsid w:val="00716738"/>
    <w:rsid w:val="00716787"/>
    <w:rsid w:val="007169E8"/>
    <w:rsid w:val="00716B73"/>
    <w:rsid w:val="00716B89"/>
    <w:rsid w:val="00716CAD"/>
    <w:rsid w:val="00716D71"/>
    <w:rsid w:val="00716FB8"/>
    <w:rsid w:val="00716FF0"/>
    <w:rsid w:val="00716FF4"/>
    <w:rsid w:val="0071716C"/>
    <w:rsid w:val="00717397"/>
    <w:rsid w:val="00717463"/>
    <w:rsid w:val="007174BC"/>
    <w:rsid w:val="007174DE"/>
    <w:rsid w:val="00717501"/>
    <w:rsid w:val="0071759F"/>
    <w:rsid w:val="007176A8"/>
    <w:rsid w:val="007179BA"/>
    <w:rsid w:val="00717A5E"/>
    <w:rsid w:val="00717A8B"/>
    <w:rsid w:val="00717AFA"/>
    <w:rsid w:val="00717CD8"/>
    <w:rsid w:val="00717D44"/>
    <w:rsid w:val="0072008E"/>
    <w:rsid w:val="00720209"/>
    <w:rsid w:val="0072024F"/>
    <w:rsid w:val="00720255"/>
    <w:rsid w:val="00720277"/>
    <w:rsid w:val="00720312"/>
    <w:rsid w:val="00720351"/>
    <w:rsid w:val="007203C0"/>
    <w:rsid w:val="007203F3"/>
    <w:rsid w:val="007204A0"/>
    <w:rsid w:val="00720518"/>
    <w:rsid w:val="007205B6"/>
    <w:rsid w:val="007206A4"/>
    <w:rsid w:val="00720877"/>
    <w:rsid w:val="00720995"/>
    <w:rsid w:val="007209E4"/>
    <w:rsid w:val="00720A62"/>
    <w:rsid w:val="00720B83"/>
    <w:rsid w:val="00720F65"/>
    <w:rsid w:val="00721050"/>
    <w:rsid w:val="00721241"/>
    <w:rsid w:val="0072126F"/>
    <w:rsid w:val="007213D2"/>
    <w:rsid w:val="007213E1"/>
    <w:rsid w:val="007214F8"/>
    <w:rsid w:val="007215CF"/>
    <w:rsid w:val="00721A1B"/>
    <w:rsid w:val="00721AFD"/>
    <w:rsid w:val="00721B13"/>
    <w:rsid w:val="00721BCE"/>
    <w:rsid w:val="00721C9D"/>
    <w:rsid w:val="00721CE1"/>
    <w:rsid w:val="00721F0D"/>
    <w:rsid w:val="0072213F"/>
    <w:rsid w:val="007223C4"/>
    <w:rsid w:val="0072240A"/>
    <w:rsid w:val="00722411"/>
    <w:rsid w:val="0072248B"/>
    <w:rsid w:val="007224C0"/>
    <w:rsid w:val="007228B2"/>
    <w:rsid w:val="007228B3"/>
    <w:rsid w:val="00722A3C"/>
    <w:rsid w:val="00722BD7"/>
    <w:rsid w:val="00722C2C"/>
    <w:rsid w:val="00722DEA"/>
    <w:rsid w:val="00722E56"/>
    <w:rsid w:val="00722F4F"/>
    <w:rsid w:val="00723040"/>
    <w:rsid w:val="007231C8"/>
    <w:rsid w:val="00723215"/>
    <w:rsid w:val="007232E9"/>
    <w:rsid w:val="00723338"/>
    <w:rsid w:val="00723517"/>
    <w:rsid w:val="007235A1"/>
    <w:rsid w:val="007237BD"/>
    <w:rsid w:val="00723916"/>
    <w:rsid w:val="00723AB1"/>
    <w:rsid w:val="00723BF7"/>
    <w:rsid w:val="00723CC3"/>
    <w:rsid w:val="00723DC7"/>
    <w:rsid w:val="0072400B"/>
    <w:rsid w:val="007240E9"/>
    <w:rsid w:val="00724180"/>
    <w:rsid w:val="007241F4"/>
    <w:rsid w:val="00724231"/>
    <w:rsid w:val="00724246"/>
    <w:rsid w:val="007242E3"/>
    <w:rsid w:val="007245C8"/>
    <w:rsid w:val="007246AE"/>
    <w:rsid w:val="00724753"/>
    <w:rsid w:val="00724B78"/>
    <w:rsid w:val="00724FB8"/>
    <w:rsid w:val="00725152"/>
    <w:rsid w:val="00725220"/>
    <w:rsid w:val="007252FC"/>
    <w:rsid w:val="0072530E"/>
    <w:rsid w:val="00725442"/>
    <w:rsid w:val="00725448"/>
    <w:rsid w:val="007255F7"/>
    <w:rsid w:val="00725C16"/>
    <w:rsid w:val="00725C31"/>
    <w:rsid w:val="00725C63"/>
    <w:rsid w:val="00725CC6"/>
    <w:rsid w:val="00725D7A"/>
    <w:rsid w:val="0072603D"/>
    <w:rsid w:val="007264B7"/>
    <w:rsid w:val="007267D0"/>
    <w:rsid w:val="007268C4"/>
    <w:rsid w:val="00726923"/>
    <w:rsid w:val="00726D4B"/>
    <w:rsid w:val="00726D90"/>
    <w:rsid w:val="00726E75"/>
    <w:rsid w:val="00726F20"/>
    <w:rsid w:val="00727136"/>
    <w:rsid w:val="00727147"/>
    <w:rsid w:val="00727194"/>
    <w:rsid w:val="007273AB"/>
    <w:rsid w:val="007275A8"/>
    <w:rsid w:val="007279DB"/>
    <w:rsid w:val="00727A26"/>
    <w:rsid w:val="00727AEC"/>
    <w:rsid w:val="00727BF6"/>
    <w:rsid w:val="00727C3E"/>
    <w:rsid w:val="00727F20"/>
    <w:rsid w:val="0073002A"/>
    <w:rsid w:val="007301F0"/>
    <w:rsid w:val="00730225"/>
    <w:rsid w:val="007303AD"/>
    <w:rsid w:val="007304FA"/>
    <w:rsid w:val="007306B3"/>
    <w:rsid w:val="0073074C"/>
    <w:rsid w:val="00730AB6"/>
    <w:rsid w:val="00730AEB"/>
    <w:rsid w:val="00730DD6"/>
    <w:rsid w:val="00730EEA"/>
    <w:rsid w:val="00730FF0"/>
    <w:rsid w:val="007312CF"/>
    <w:rsid w:val="00731425"/>
    <w:rsid w:val="0073192B"/>
    <w:rsid w:val="007319CF"/>
    <w:rsid w:val="00731A0D"/>
    <w:rsid w:val="00731ACA"/>
    <w:rsid w:val="00731B90"/>
    <w:rsid w:val="00731C99"/>
    <w:rsid w:val="00731E37"/>
    <w:rsid w:val="00731EFA"/>
    <w:rsid w:val="00731F02"/>
    <w:rsid w:val="007321F4"/>
    <w:rsid w:val="00732237"/>
    <w:rsid w:val="007322E0"/>
    <w:rsid w:val="00732346"/>
    <w:rsid w:val="00732630"/>
    <w:rsid w:val="0073273B"/>
    <w:rsid w:val="00732AC2"/>
    <w:rsid w:val="00732E39"/>
    <w:rsid w:val="00732E97"/>
    <w:rsid w:val="00732FCD"/>
    <w:rsid w:val="00733058"/>
    <w:rsid w:val="0073310B"/>
    <w:rsid w:val="00733391"/>
    <w:rsid w:val="007333D7"/>
    <w:rsid w:val="00733536"/>
    <w:rsid w:val="0073358B"/>
    <w:rsid w:val="00733659"/>
    <w:rsid w:val="00733926"/>
    <w:rsid w:val="00733BDF"/>
    <w:rsid w:val="00733E5C"/>
    <w:rsid w:val="00733EAC"/>
    <w:rsid w:val="00733EEB"/>
    <w:rsid w:val="00733FD9"/>
    <w:rsid w:val="00734158"/>
    <w:rsid w:val="007341B1"/>
    <w:rsid w:val="00734361"/>
    <w:rsid w:val="0073438E"/>
    <w:rsid w:val="00734545"/>
    <w:rsid w:val="007345F8"/>
    <w:rsid w:val="0073470F"/>
    <w:rsid w:val="007348A5"/>
    <w:rsid w:val="007349E2"/>
    <w:rsid w:val="00734CB6"/>
    <w:rsid w:val="00735049"/>
    <w:rsid w:val="00735094"/>
    <w:rsid w:val="007351E1"/>
    <w:rsid w:val="0073524E"/>
    <w:rsid w:val="007352FE"/>
    <w:rsid w:val="00735311"/>
    <w:rsid w:val="00735519"/>
    <w:rsid w:val="0073561A"/>
    <w:rsid w:val="00735853"/>
    <w:rsid w:val="007358BF"/>
    <w:rsid w:val="00735BE8"/>
    <w:rsid w:val="00735CBE"/>
    <w:rsid w:val="00735CC7"/>
    <w:rsid w:val="00735D57"/>
    <w:rsid w:val="007362FD"/>
    <w:rsid w:val="0073630D"/>
    <w:rsid w:val="007363A6"/>
    <w:rsid w:val="007364C8"/>
    <w:rsid w:val="007365FF"/>
    <w:rsid w:val="00736643"/>
    <w:rsid w:val="0073670A"/>
    <w:rsid w:val="00736B13"/>
    <w:rsid w:val="00736B9B"/>
    <w:rsid w:val="00736C1D"/>
    <w:rsid w:val="00736C4E"/>
    <w:rsid w:val="00736D8A"/>
    <w:rsid w:val="00736DA2"/>
    <w:rsid w:val="00736DE8"/>
    <w:rsid w:val="00736FBB"/>
    <w:rsid w:val="0073705E"/>
    <w:rsid w:val="007370E8"/>
    <w:rsid w:val="0073727D"/>
    <w:rsid w:val="007372D1"/>
    <w:rsid w:val="00737469"/>
    <w:rsid w:val="00737523"/>
    <w:rsid w:val="00737795"/>
    <w:rsid w:val="007377EF"/>
    <w:rsid w:val="007379B6"/>
    <w:rsid w:val="00737AB3"/>
    <w:rsid w:val="00737BA1"/>
    <w:rsid w:val="00737CFB"/>
    <w:rsid w:val="00737F04"/>
    <w:rsid w:val="00740157"/>
    <w:rsid w:val="00740240"/>
    <w:rsid w:val="0074030B"/>
    <w:rsid w:val="00740394"/>
    <w:rsid w:val="00740519"/>
    <w:rsid w:val="00740BCA"/>
    <w:rsid w:val="00740CD1"/>
    <w:rsid w:val="00740FF2"/>
    <w:rsid w:val="0074101A"/>
    <w:rsid w:val="00741023"/>
    <w:rsid w:val="0074108F"/>
    <w:rsid w:val="0074109D"/>
    <w:rsid w:val="00741100"/>
    <w:rsid w:val="0074110B"/>
    <w:rsid w:val="0074124D"/>
    <w:rsid w:val="00741519"/>
    <w:rsid w:val="0074156F"/>
    <w:rsid w:val="007415D5"/>
    <w:rsid w:val="007417A7"/>
    <w:rsid w:val="007418E1"/>
    <w:rsid w:val="0074197E"/>
    <w:rsid w:val="00741B55"/>
    <w:rsid w:val="00741BDD"/>
    <w:rsid w:val="00741BEE"/>
    <w:rsid w:val="00741BF2"/>
    <w:rsid w:val="00741D80"/>
    <w:rsid w:val="00741EAF"/>
    <w:rsid w:val="00741EC4"/>
    <w:rsid w:val="00741FB1"/>
    <w:rsid w:val="00742111"/>
    <w:rsid w:val="0074214A"/>
    <w:rsid w:val="00742197"/>
    <w:rsid w:val="007421DA"/>
    <w:rsid w:val="007423B4"/>
    <w:rsid w:val="0074256B"/>
    <w:rsid w:val="0074262D"/>
    <w:rsid w:val="00742696"/>
    <w:rsid w:val="00742AA9"/>
    <w:rsid w:val="00742C50"/>
    <w:rsid w:val="00742F30"/>
    <w:rsid w:val="00742FB8"/>
    <w:rsid w:val="007431C8"/>
    <w:rsid w:val="007431DB"/>
    <w:rsid w:val="00743211"/>
    <w:rsid w:val="00743229"/>
    <w:rsid w:val="00743591"/>
    <w:rsid w:val="0074372F"/>
    <w:rsid w:val="00743916"/>
    <w:rsid w:val="00743982"/>
    <w:rsid w:val="007439A7"/>
    <w:rsid w:val="00743ACD"/>
    <w:rsid w:val="00743C57"/>
    <w:rsid w:val="00743C68"/>
    <w:rsid w:val="00743CF9"/>
    <w:rsid w:val="00743D37"/>
    <w:rsid w:val="00743EE8"/>
    <w:rsid w:val="00743EF6"/>
    <w:rsid w:val="007440B9"/>
    <w:rsid w:val="00744376"/>
    <w:rsid w:val="007444FA"/>
    <w:rsid w:val="0074456F"/>
    <w:rsid w:val="007445B4"/>
    <w:rsid w:val="0074460F"/>
    <w:rsid w:val="00744799"/>
    <w:rsid w:val="007447A8"/>
    <w:rsid w:val="007447FE"/>
    <w:rsid w:val="00744830"/>
    <w:rsid w:val="00744848"/>
    <w:rsid w:val="00744923"/>
    <w:rsid w:val="0074497F"/>
    <w:rsid w:val="007449EC"/>
    <w:rsid w:val="00744BEB"/>
    <w:rsid w:val="00744C6B"/>
    <w:rsid w:val="00744CB8"/>
    <w:rsid w:val="00744ED9"/>
    <w:rsid w:val="007450E5"/>
    <w:rsid w:val="007450F5"/>
    <w:rsid w:val="007452CE"/>
    <w:rsid w:val="00745415"/>
    <w:rsid w:val="00745634"/>
    <w:rsid w:val="0074590B"/>
    <w:rsid w:val="007459EC"/>
    <w:rsid w:val="00745DD7"/>
    <w:rsid w:val="00745E20"/>
    <w:rsid w:val="00745FFC"/>
    <w:rsid w:val="007460C1"/>
    <w:rsid w:val="0074612B"/>
    <w:rsid w:val="0074622E"/>
    <w:rsid w:val="00746387"/>
    <w:rsid w:val="00746388"/>
    <w:rsid w:val="007463FD"/>
    <w:rsid w:val="00746711"/>
    <w:rsid w:val="00746769"/>
    <w:rsid w:val="0074689D"/>
    <w:rsid w:val="00746924"/>
    <w:rsid w:val="00746A0E"/>
    <w:rsid w:val="00746BAD"/>
    <w:rsid w:val="00746E15"/>
    <w:rsid w:val="00746EF5"/>
    <w:rsid w:val="00746F0E"/>
    <w:rsid w:val="00746F37"/>
    <w:rsid w:val="00746FBA"/>
    <w:rsid w:val="0074715C"/>
    <w:rsid w:val="0074723A"/>
    <w:rsid w:val="00747381"/>
    <w:rsid w:val="00747418"/>
    <w:rsid w:val="007475A2"/>
    <w:rsid w:val="0074772E"/>
    <w:rsid w:val="007477C6"/>
    <w:rsid w:val="00747B01"/>
    <w:rsid w:val="00747BEB"/>
    <w:rsid w:val="00747C34"/>
    <w:rsid w:val="00747E9C"/>
    <w:rsid w:val="0075007F"/>
    <w:rsid w:val="00750173"/>
    <w:rsid w:val="0075045E"/>
    <w:rsid w:val="00750518"/>
    <w:rsid w:val="007505BA"/>
    <w:rsid w:val="007505C6"/>
    <w:rsid w:val="007506CA"/>
    <w:rsid w:val="007506DE"/>
    <w:rsid w:val="00750781"/>
    <w:rsid w:val="00750A44"/>
    <w:rsid w:val="00750CA7"/>
    <w:rsid w:val="00750D50"/>
    <w:rsid w:val="00750DD5"/>
    <w:rsid w:val="00751044"/>
    <w:rsid w:val="00751138"/>
    <w:rsid w:val="00751160"/>
    <w:rsid w:val="007512E5"/>
    <w:rsid w:val="007514A2"/>
    <w:rsid w:val="00751503"/>
    <w:rsid w:val="00751617"/>
    <w:rsid w:val="007517B4"/>
    <w:rsid w:val="00751DDE"/>
    <w:rsid w:val="00751E5F"/>
    <w:rsid w:val="00751F05"/>
    <w:rsid w:val="00752112"/>
    <w:rsid w:val="007521FB"/>
    <w:rsid w:val="007522B6"/>
    <w:rsid w:val="0075232F"/>
    <w:rsid w:val="0075247B"/>
    <w:rsid w:val="0075260D"/>
    <w:rsid w:val="00752645"/>
    <w:rsid w:val="007526D5"/>
    <w:rsid w:val="007526D9"/>
    <w:rsid w:val="0075289D"/>
    <w:rsid w:val="00752A6C"/>
    <w:rsid w:val="00752A83"/>
    <w:rsid w:val="00752B8E"/>
    <w:rsid w:val="00752F63"/>
    <w:rsid w:val="00752FB8"/>
    <w:rsid w:val="00753237"/>
    <w:rsid w:val="007533BD"/>
    <w:rsid w:val="00753416"/>
    <w:rsid w:val="00753419"/>
    <w:rsid w:val="007534B3"/>
    <w:rsid w:val="007536FC"/>
    <w:rsid w:val="0075370D"/>
    <w:rsid w:val="007538B6"/>
    <w:rsid w:val="007538FF"/>
    <w:rsid w:val="00753A09"/>
    <w:rsid w:val="00753A41"/>
    <w:rsid w:val="00753C2C"/>
    <w:rsid w:val="00753CAE"/>
    <w:rsid w:val="00753D2B"/>
    <w:rsid w:val="00753E4C"/>
    <w:rsid w:val="00753E7E"/>
    <w:rsid w:val="00754192"/>
    <w:rsid w:val="007541D0"/>
    <w:rsid w:val="007543CA"/>
    <w:rsid w:val="007545B5"/>
    <w:rsid w:val="007545D7"/>
    <w:rsid w:val="00754844"/>
    <w:rsid w:val="00754C77"/>
    <w:rsid w:val="00754FB0"/>
    <w:rsid w:val="00755051"/>
    <w:rsid w:val="007550AD"/>
    <w:rsid w:val="007550F9"/>
    <w:rsid w:val="00755119"/>
    <w:rsid w:val="007551D9"/>
    <w:rsid w:val="00755463"/>
    <w:rsid w:val="0075548A"/>
    <w:rsid w:val="0075561A"/>
    <w:rsid w:val="0075561F"/>
    <w:rsid w:val="0075563C"/>
    <w:rsid w:val="0075566C"/>
    <w:rsid w:val="00755915"/>
    <w:rsid w:val="00755986"/>
    <w:rsid w:val="00755995"/>
    <w:rsid w:val="007559DA"/>
    <w:rsid w:val="007559FC"/>
    <w:rsid w:val="00755A7A"/>
    <w:rsid w:val="00755AC0"/>
    <w:rsid w:val="00755AC2"/>
    <w:rsid w:val="00755C15"/>
    <w:rsid w:val="00755C26"/>
    <w:rsid w:val="00755C2B"/>
    <w:rsid w:val="00755CAB"/>
    <w:rsid w:val="00755F0D"/>
    <w:rsid w:val="00755F10"/>
    <w:rsid w:val="00755F58"/>
    <w:rsid w:val="00756202"/>
    <w:rsid w:val="0075637B"/>
    <w:rsid w:val="0075641B"/>
    <w:rsid w:val="00756536"/>
    <w:rsid w:val="00756579"/>
    <w:rsid w:val="007567AF"/>
    <w:rsid w:val="007569F3"/>
    <w:rsid w:val="00756A2A"/>
    <w:rsid w:val="00756A49"/>
    <w:rsid w:val="00756AB2"/>
    <w:rsid w:val="00756D15"/>
    <w:rsid w:val="00756F02"/>
    <w:rsid w:val="00757166"/>
    <w:rsid w:val="00757185"/>
    <w:rsid w:val="007571AC"/>
    <w:rsid w:val="007571E9"/>
    <w:rsid w:val="00757797"/>
    <w:rsid w:val="00757A30"/>
    <w:rsid w:val="00757BA2"/>
    <w:rsid w:val="00757BFE"/>
    <w:rsid w:val="00757C38"/>
    <w:rsid w:val="00757F6D"/>
    <w:rsid w:val="0076001E"/>
    <w:rsid w:val="007601A0"/>
    <w:rsid w:val="00760491"/>
    <w:rsid w:val="007605B8"/>
    <w:rsid w:val="007606C5"/>
    <w:rsid w:val="007607E0"/>
    <w:rsid w:val="00760891"/>
    <w:rsid w:val="00760C43"/>
    <w:rsid w:val="00760CF3"/>
    <w:rsid w:val="00760EB2"/>
    <w:rsid w:val="0076108A"/>
    <w:rsid w:val="007610A9"/>
    <w:rsid w:val="007610BB"/>
    <w:rsid w:val="0076133A"/>
    <w:rsid w:val="007614E4"/>
    <w:rsid w:val="007616D5"/>
    <w:rsid w:val="00761763"/>
    <w:rsid w:val="007617CD"/>
    <w:rsid w:val="007619EF"/>
    <w:rsid w:val="007619F0"/>
    <w:rsid w:val="00761B10"/>
    <w:rsid w:val="00761B1E"/>
    <w:rsid w:val="00761B69"/>
    <w:rsid w:val="00761E85"/>
    <w:rsid w:val="00761FA8"/>
    <w:rsid w:val="007620C6"/>
    <w:rsid w:val="00762174"/>
    <w:rsid w:val="0076238F"/>
    <w:rsid w:val="00762734"/>
    <w:rsid w:val="00762756"/>
    <w:rsid w:val="00762789"/>
    <w:rsid w:val="00762882"/>
    <w:rsid w:val="00762A0D"/>
    <w:rsid w:val="00762AAA"/>
    <w:rsid w:val="00762CE9"/>
    <w:rsid w:val="00762D40"/>
    <w:rsid w:val="00762DD3"/>
    <w:rsid w:val="0076300F"/>
    <w:rsid w:val="007632E1"/>
    <w:rsid w:val="00763339"/>
    <w:rsid w:val="00763340"/>
    <w:rsid w:val="007633C1"/>
    <w:rsid w:val="00763401"/>
    <w:rsid w:val="00763439"/>
    <w:rsid w:val="00763813"/>
    <w:rsid w:val="00763869"/>
    <w:rsid w:val="00763995"/>
    <w:rsid w:val="00764047"/>
    <w:rsid w:val="007640BF"/>
    <w:rsid w:val="007642C4"/>
    <w:rsid w:val="007642CD"/>
    <w:rsid w:val="00764343"/>
    <w:rsid w:val="00764411"/>
    <w:rsid w:val="0076466C"/>
    <w:rsid w:val="0076481E"/>
    <w:rsid w:val="007648AC"/>
    <w:rsid w:val="007648E6"/>
    <w:rsid w:val="00764A72"/>
    <w:rsid w:val="00764B45"/>
    <w:rsid w:val="00764C47"/>
    <w:rsid w:val="00764EB8"/>
    <w:rsid w:val="00764EEA"/>
    <w:rsid w:val="0076515E"/>
    <w:rsid w:val="007651BA"/>
    <w:rsid w:val="00765223"/>
    <w:rsid w:val="00765461"/>
    <w:rsid w:val="00765597"/>
    <w:rsid w:val="007655D4"/>
    <w:rsid w:val="007656B1"/>
    <w:rsid w:val="007656F7"/>
    <w:rsid w:val="007657F0"/>
    <w:rsid w:val="00765836"/>
    <w:rsid w:val="0076587E"/>
    <w:rsid w:val="0076599A"/>
    <w:rsid w:val="007659A9"/>
    <w:rsid w:val="00765E2A"/>
    <w:rsid w:val="00765F3C"/>
    <w:rsid w:val="00765FD1"/>
    <w:rsid w:val="00766087"/>
    <w:rsid w:val="0076627B"/>
    <w:rsid w:val="00766291"/>
    <w:rsid w:val="007665B6"/>
    <w:rsid w:val="0076665F"/>
    <w:rsid w:val="007668C1"/>
    <w:rsid w:val="00766AEC"/>
    <w:rsid w:val="00766C25"/>
    <w:rsid w:val="00766D79"/>
    <w:rsid w:val="00766E2A"/>
    <w:rsid w:val="00766E99"/>
    <w:rsid w:val="007670A3"/>
    <w:rsid w:val="007670D5"/>
    <w:rsid w:val="00767219"/>
    <w:rsid w:val="00767241"/>
    <w:rsid w:val="0076730B"/>
    <w:rsid w:val="007673A6"/>
    <w:rsid w:val="007673D1"/>
    <w:rsid w:val="0076753F"/>
    <w:rsid w:val="007675C4"/>
    <w:rsid w:val="00767724"/>
    <w:rsid w:val="007678AC"/>
    <w:rsid w:val="007678DF"/>
    <w:rsid w:val="007679E5"/>
    <w:rsid w:val="00767C56"/>
    <w:rsid w:val="00767D1B"/>
    <w:rsid w:val="00767D7A"/>
    <w:rsid w:val="00767D8E"/>
    <w:rsid w:val="00767DE1"/>
    <w:rsid w:val="00767E66"/>
    <w:rsid w:val="00767F66"/>
    <w:rsid w:val="00767FDB"/>
    <w:rsid w:val="0077023F"/>
    <w:rsid w:val="00770440"/>
    <w:rsid w:val="007704DC"/>
    <w:rsid w:val="0077062C"/>
    <w:rsid w:val="00770980"/>
    <w:rsid w:val="00770995"/>
    <w:rsid w:val="00770A44"/>
    <w:rsid w:val="00770A88"/>
    <w:rsid w:val="00770B7E"/>
    <w:rsid w:val="00770BC4"/>
    <w:rsid w:val="00770D72"/>
    <w:rsid w:val="00770FD2"/>
    <w:rsid w:val="00771022"/>
    <w:rsid w:val="0077103E"/>
    <w:rsid w:val="0077134A"/>
    <w:rsid w:val="007718E0"/>
    <w:rsid w:val="00771A61"/>
    <w:rsid w:val="00771A8B"/>
    <w:rsid w:val="00771AB2"/>
    <w:rsid w:val="00771F49"/>
    <w:rsid w:val="00771F66"/>
    <w:rsid w:val="007720C6"/>
    <w:rsid w:val="00772123"/>
    <w:rsid w:val="00772141"/>
    <w:rsid w:val="0077219D"/>
    <w:rsid w:val="007722A1"/>
    <w:rsid w:val="00772535"/>
    <w:rsid w:val="0077257E"/>
    <w:rsid w:val="00772639"/>
    <w:rsid w:val="0077263F"/>
    <w:rsid w:val="007727DD"/>
    <w:rsid w:val="00772AF8"/>
    <w:rsid w:val="00772B6F"/>
    <w:rsid w:val="00772F1A"/>
    <w:rsid w:val="00772F1E"/>
    <w:rsid w:val="0077309D"/>
    <w:rsid w:val="0077336B"/>
    <w:rsid w:val="00773518"/>
    <w:rsid w:val="007735D5"/>
    <w:rsid w:val="00773663"/>
    <w:rsid w:val="007739BE"/>
    <w:rsid w:val="00773A7A"/>
    <w:rsid w:val="00773B3A"/>
    <w:rsid w:val="00773BB1"/>
    <w:rsid w:val="00773C15"/>
    <w:rsid w:val="00773D25"/>
    <w:rsid w:val="00773DF6"/>
    <w:rsid w:val="00773E1F"/>
    <w:rsid w:val="00773E95"/>
    <w:rsid w:val="00774107"/>
    <w:rsid w:val="0077431C"/>
    <w:rsid w:val="00774324"/>
    <w:rsid w:val="0077466C"/>
    <w:rsid w:val="007748D0"/>
    <w:rsid w:val="00774A04"/>
    <w:rsid w:val="00774A17"/>
    <w:rsid w:val="00774DCB"/>
    <w:rsid w:val="00774E6D"/>
    <w:rsid w:val="007751E8"/>
    <w:rsid w:val="00775378"/>
    <w:rsid w:val="00775498"/>
    <w:rsid w:val="007754F0"/>
    <w:rsid w:val="007755FA"/>
    <w:rsid w:val="0077560F"/>
    <w:rsid w:val="00775A74"/>
    <w:rsid w:val="00775CB6"/>
    <w:rsid w:val="00775D2E"/>
    <w:rsid w:val="00775D5B"/>
    <w:rsid w:val="00775D63"/>
    <w:rsid w:val="00775D84"/>
    <w:rsid w:val="00775E6E"/>
    <w:rsid w:val="00775F03"/>
    <w:rsid w:val="0077602C"/>
    <w:rsid w:val="007762F6"/>
    <w:rsid w:val="007762FC"/>
    <w:rsid w:val="0077651D"/>
    <w:rsid w:val="00776571"/>
    <w:rsid w:val="007769BD"/>
    <w:rsid w:val="00776A8B"/>
    <w:rsid w:val="00777008"/>
    <w:rsid w:val="007770D3"/>
    <w:rsid w:val="00777336"/>
    <w:rsid w:val="007773A4"/>
    <w:rsid w:val="0077744A"/>
    <w:rsid w:val="00777536"/>
    <w:rsid w:val="0077754F"/>
    <w:rsid w:val="0077768B"/>
    <w:rsid w:val="00777699"/>
    <w:rsid w:val="007778AE"/>
    <w:rsid w:val="00777CF3"/>
    <w:rsid w:val="00777EFC"/>
    <w:rsid w:val="00777F81"/>
    <w:rsid w:val="007801AC"/>
    <w:rsid w:val="007802DE"/>
    <w:rsid w:val="007803A4"/>
    <w:rsid w:val="007803C2"/>
    <w:rsid w:val="007803FC"/>
    <w:rsid w:val="0078040E"/>
    <w:rsid w:val="00780498"/>
    <w:rsid w:val="00780873"/>
    <w:rsid w:val="007808D0"/>
    <w:rsid w:val="007809B9"/>
    <w:rsid w:val="00780ABA"/>
    <w:rsid w:val="00780C0B"/>
    <w:rsid w:val="00780EF5"/>
    <w:rsid w:val="00781065"/>
    <w:rsid w:val="00781166"/>
    <w:rsid w:val="00781270"/>
    <w:rsid w:val="0078138B"/>
    <w:rsid w:val="0078144B"/>
    <w:rsid w:val="00781456"/>
    <w:rsid w:val="0078172D"/>
    <w:rsid w:val="007817E4"/>
    <w:rsid w:val="00781813"/>
    <w:rsid w:val="007819B9"/>
    <w:rsid w:val="00781A53"/>
    <w:rsid w:val="00781A6E"/>
    <w:rsid w:val="00781A8A"/>
    <w:rsid w:val="00781ADB"/>
    <w:rsid w:val="00781B9E"/>
    <w:rsid w:val="00781BDA"/>
    <w:rsid w:val="007820DA"/>
    <w:rsid w:val="007820E9"/>
    <w:rsid w:val="00782171"/>
    <w:rsid w:val="007822F0"/>
    <w:rsid w:val="00782462"/>
    <w:rsid w:val="0078253C"/>
    <w:rsid w:val="0078254C"/>
    <w:rsid w:val="007825E2"/>
    <w:rsid w:val="00782AC6"/>
    <w:rsid w:val="00782C0A"/>
    <w:rsid w:val="00782C9E"/>
    <w:rsid w:val="00782CCD"/>
    <w:rsid w:val="00782CE5"/>
    <w:rsid w:val="00782E94"/>
    <w:rsid w:val="00782F6D"/>
    <w:rsid w:val="0078309C"/>
    <w:rsid w:val="0078311C"/>
    <w:rsid w:val="007832C5"/>
    <w:rsid w:val="007832D3"/>
    <w:rsid w:val="00783330"/>
    <w:rsid w:val="0078348A"/>
    <w:rsid w:val="007836E6"/>
    <w:rsid w:val="007836FE"/>
    <w:rsid w:val="00783708"/>
    <w:rsid w:val="0078385D"/>
    <w:rsid w:val="00783B4C"/>
    <w:rsid w:val="00783C51"/>
    <w:rsid w:val="00783D78"/>
    <w:rsid w:val="0078410D"/>
    <w:rsid w:val="0078423C"/>
    <w:rsid w:val="007843F0"/>
    <w:rsid w:val="0078463C"/>
    <w:rsid w:val="0078471E"/>
    <w:rsid w:val="007847A7"/>
    <w:rsid w:val="007849B0"/>
    <w:rsid w:val="00784AF4"/>
    <w:rsid w:val="00784B68"/>
    <w:rsid w:val="00784C78"/>
    <w:rsid w:val="00784DA1"/>
    <w:rsid w:val="00785392"/>
    <w:rsid w:val="00785581"/>
    <w:rsid w:val="00785683"/>
    <w:rsid w:val="007858C0"/>
    <w:rsid w:val="00785AB3"/>
    <w:rsid w:val="00785B33"/>
    <w:rsid w:val="00785B39"/>
    <w:rsid w:val="00786114"/>
    <w:rsid w:val="00786120"/>
    <w:rsid w:val="007861AA"/>
    <w:rsid w:val="00786253"/>
    <w:rsid w:val="00786327"/>
    <w:rsid w:val="00786640"/>
    <w:rsid w:val="00786A1C"/>
    <w:rsid w:val="00786A7D"/>
    <w:rsid w:val="00786AE3"/>
    <w:rsid w:val="00786C60"/>
    <w:rsid w:val="00786DF6"/>
    <w:rsid w:val="00786E08"/>
    <w:rsid w:val="00786FF3"/>
    <w:rsid w:val="0078701B"/>
    <w:rsid w:val="007871A2"/>
    <w:rsid w:val="0078726E"/>
    <w:rsid w:val="007872A3"/>
    <w:rsid w:val="007875C1"/>
    <w:rsid w:val="00787972"/>
    <w:rsid w:val="007879A6"/>
    <w:rsid w:val="007879D0"/>
    <w:rsid w:val="007879D7"/>
    <w:rsid w:val="00787A6B"/>
    <w:rsid w:val="00787B43"/>
    <w:rsid w:val="00787BB0"/>
    <w:rsid w:val="00787DEA"/>
    <w:rsid w:val="00787FB9"/>
    <w:rsid w:val="00790082"/>
    <w:rsid w:val="007903D1"/>
    <w:rsid w:val="007903F0"/>
    <w:rsid w:val="007905C3"/>
    <w:rsid w:val="00790740"/>
    <w:rsid w:val="0079087A"/>
    <w:rsid w:val="00790A86"/>
    <w:rsid w:val="00790BCB"/>
    <w:rsid w:val="00790C31"/>
    <w:rsid w:val="00790CCE"/>
    <w:rsid w:val="00790CDE"/>
    <w:rsid w:val="00790DD7"/>
    <w:rsid w:val="00790E20"/>
    <w:rsid w:val="00790F36"/>
    <w:rsid w:val="00791132"/>
    <w:rsid w:val="00791600"/>
    <w:rsid w:val="00791668"/>
    <w:rsid w:val="0079191D"/>
    <w:rsid w:val="00791D5B"/>
    <w:rsid w:val="00791D82"/>
    <w:rsid w:val="00791DFB"/>
    <w:rsid w:val="00792010"/>
    <w:rsid w:val="0079226E"/>
    <w:rsid w:val="0079239E"/>
    <w:rsid w:val="0079245E"/>
    <w:rsid w:val="007924AC"/>
    <w:rsid w:val="0079256B"/>
    <w:rsid w:val="00792957"/>
    <w:rsid w:val="007929C1"/>
    <w:rsid w:val="00792A00"/>
    <w:rsid w:val="00792A30"/>
    <w:rsid w:val="00792A72"/>
    <w:rsid w:val="00792D23"/>
    <w:rsid w:val="00792D35"/>
    <w:rsid w:val="00792EA7"/>
    <w:rsid w:val="00792F1E"/>
    <w:rsid w:val="00793091"/>
    <w:rsid w:val="00793098"/>
    <w:rsid w:val="00793116"/>
    <w:rsid w:val="00793120"/>
    <w:rsid w:val="00793186"/>
    <w:rsid w:val="007933B4"/>
    <w:rsid w:val="007933D7"/>
    <w:rsid w:val="007934FE"/>
    <w:rsid w:val="00793562"/>
    <w:rsid w:val="0079358F"/>
    <w:rsid w:val="0079361E"/>
    <w:rsid w:val="0079370C"/>
    <w:rsid w:val="007938AE"/>
    <w:rsid w:val="00793B1E"/>
    <w:rsid w:val="00793BC2"/>
    <w:rsid w:val="00793C6B"/>
    <w:rsid w:val="00793D2D"/>
    <w:rsid w:val="00793E86"/>
    <w:rsid w:val="00793F2F"/>
    <w:rsid w:val="00793F76"/>
    <w:rsid w:val="00793F8E"/>
    <w:rsid w:val="00794027"/>
    <w:rsid w:val="00794292"/>
    <w:rsid w:val="007942B5"/>
    <w:rsid w:val="007944DC"/>
    <w:rsid w:val="00794557"/>
    <w:rsid w:val="007945BB"/>
    <w:rsid w:val="007946BF"/>
    <w:rsid w:val="007948A0"/>
    <w:rsid w:val="00794A36"/>
    <w:rsid w:val="00794AFD"/>
    <w:rsid w:val="00794BD5"/>
    <w:rsid w:val="00794C09"/>
    <w:rsid w:val="00794CC9"/>
    <w:rsid w:val="00794CCC"/>
    <w:rsid w:val="00794D61"/>
    <w:rsid w:val="00794E67"/>
    <w:rsid w:val="00794F1E"/>
    <w:rsid w:val="00794F23"/>
    <w:rsid w:val="00795002"/>
    <w:rsid w:val="0079504C"/>
    <w:rsid w:val="0079555D"/>
    <w:rsid w:val="007955DF"/>
    <w:rsid w:val="007956AB"/>
    <w:rsid w:val="0079593E"/>
    <w:rsid w:val="007959CA"/>
    <w:rsid w:val="00795BBA"/>
    <w:rsid w:val="00795BD4"/>
    <w:rsid w:val="00795D5E"/>
    <w:rsid w:val="00795E01"/>
    <w:rsid w:val="00795E4E"/>
    <w:rsid w:val="00796010"/>
    <w:rsid w:val="007960CF"/>
    <w:rsid w:val="0079612A"/>
    <w:rsid w:val="00796154"/>
    <w:rsid w:val="007961C7"/>
    <w:rsid w:val="007962ED"/>
    <w:rsid w:val="0079665E"/>
    <w:rsid w:val="007967EC"/>
    <w:rsid w:val="00796813"/>
    <w:rsid w:val="00796A12"/>
    <w:rsid w:val="00796AD1"/>
    <w:rsid w:val="00796B5F"/>
    <w:rsid w:val="00796C1A"/>
    <w:rsid w:val="00796ED1"/>
    <w:rsid w:val="0079701B"/>
    <w:rsid w:val="0079722D"/>
    <w:rsid w:val="0079726C"/>
    <w:rsid w:val="0079747D"/>
    <w:rsid w:val="007974E2"/>
    <w:rsid w:val="007976E2"/>
    <w:rsid w:val="007977C5"/>
    <w:rsid w:val="00797829"/>
    <w:rsid w:val="0079783F"/>
    <w:rsid w:val="007979EE"/>
    <w:rsid w:val="00797B62"/>
    <w:rsid w:val="00797B77"/>
    <w:rsid w:val="00797BF6"/>
    <w:rsid w:val="00797E71"/>
    <w:rsid w:val="00797EBF"/>
    <w:rsid w:val="00797ED4"/>
    <w:rsid w:val="007A00BD"/>
    <w:rsid w:val="007A016C"/>
    <w:rsid w:val="007A02AC"/>
    <w:rsid w:val="007A0300"/>
    <w:rsid w:val="007A0378"/>
    <w:rsid w:val="007A039C"/>
    <w:rsid w:val="007A03B8"/>
    <w:rsid w:val="007A049F"/>
    <w:rsid w:val="007A0BB5"/>
    <w:rsid w:val="007A0EC7"/>
    <w:rsid w:val="007A0F6B"/>
    <w:rsid w:val="007A0FE3"/>
    <w:rsid w:val="007A11A3"/>
    <w:rsid w:val="007A11E5"/>
    <w:rsid w:val="007A1594"/>
    <w:rsid w:val="007A1838"/>
    <w:rsid w:val="007A19DD"/>
    <w:rsid w:val="007A1A09"/>
    <w:rsid w:val="007A1A96"/>
    <w:rsid w:val="007A1C45"/>
    <w:rsid w:val="007A1CD4"/>
    <w:rsid w:val="007A1DB7"/>
    <w:rsid w:val="007A1E6D"/>
    <w:rsid w:val="007A2200"/>
    <w:rsid w:val="007A2370"/>
    <w:rsid w:val="007A2540"/>
    <w:rsid w:val="007A263F"/>
    <w:rsid w:val="007A2824"/>
    <w:rsid w:val="007A283B"/>
    <w:rsid w:val="007A29ED"/>
    <w:rsid w:val="007A2C3E"/>
    <w:rsid w:val="007A2C4F"/>
    <w:rsid w:val="007A2EC3"/>
    <w:rsid w:val="007A2F89"/>
    <w:rsid w:val="007A3009"/>
    <w:rsid w:val="007A306E"/>
    <w:rsid w:val="007A3258"/>
    <w:rsid w:val="007A33A6"/>
    <w:rsid w:val="007A3815"/>
    <w:rsid w:val="007A38CB"/>
    <w:rsid w:val="007A38F4"/>
    <w:rsid w:val="007A3910"/>
    <w:rsid w:val="007A3A3E"/>
    <w:rsid w:val="007A3BB2"/>
    <w:rsid w:val="007A3BD1"/>
    <w:rsid w:val="007A3C59"/>
    <w:rsid w:val="007A3CE3"/>
    <w:rsid w:val="007A3D16"/>
    <w:rsid w:val="007A3D7B"/>
    <w:rsid w:val="007A4000"/>
    <w:rsid w:val="007A4095"/>
    <w:rsid w:val="007A4190"/>
    <w:rsid w:val="007A420B"/>
    <w:rsid w:val="007A4220"/>
    <w:rsid w:val="007A4221"/>
    <w:rsid w:val="007A4266"/>
    <w:rsid w:val="007A42F0"/>
    <w:rsid w:val="007A42F9"/>
    <w:rsid w:val="007A432A"/>
    <w:rsid w:val="007A4443"/>
    <w:rsid w:val="007A44CB"/>
    <w:rsid w:val="007A45DD"/>
    <w:rsid w:val="007A4857"/>
    <w:rsid w:val="007A4BAC"/>
    <w:rsid w:val="007A4C8B"/>
    <w:rsid w:val="007A4DCD"/>
    <w:rsid w:val="007A4E79"/>
    <w:rsid w:val="007A4F6E"/>
    <w:rsid w:val="007A4FB6"/>
    <w:rsid w:val="007A4FF7"/>
    <w:rsid w:val="007A5172"/>
    <w:rsid w:val="007A544B"/>
    <w:rsid w:val="007A55BC"/>
    <w:rsid w:val="007A55E6"/>
    <w:rsid w:val="007A56A0"/>
    <w:rsid w:val="007A5782"/>
    <w:rsid w:val="007A58C6"/>
    <w:rsid w:val="007A594B"/>
    <w:rsid w:val="007A5BCF"/>
    <w:rsid w:val="007A5D35"/>
    <w:rsid w:val="007A5D92"/>
    <w:rsid w:val="007A5FB6"/>
    <w:rsid w:val="007A5FCD"/>
    <w:rsid w:val="007A60B4"/>
    <w:rsid w:val="007A60D4"/>
    <w:rsid w:val="007A618E"/>
    <w:rsid w:val="007A61DD"/>
    <w:rsid w:val="007A627A"/>
    <w:rsid w:val="007A62C4"/>
    <w:rsid w:val="007A6404"/>
    <w:rsid w:val="007A6593"/>
    <w:rsid w:val="007A6682"/>
    <w:rsid w:val="007A68DC"/>
    <w:rsid w:val="007A6CF8"/>
    <w:rsid w:val="007A6EBA"/>
    <w:rsid w:val="007A7038"/>
    <w:rsid w:val="007A712F"/>
    <w:rsid w:val="007A7283"/>
    <w:rsid w:val="007A729B"/>
    <w:rsid w:val="007A732A"/>
    <w:rsid w:val="007A7396"/>
    <w:rsid w:val="007A7528"/>
    <w:rsid w:val="007A7770"/>
    <w:rsid w:val="007A7919"/>
    <w:rsid w:val="007A79BA"/>
    <w:rsid w:val="007A7D31"/>
    <w:rsid w:val="007A7D90"/>
    <w:rsid w:val="007A7DD6"/>
    <w:rsid w:val="007A7E54"/>
    <w:rsid w:val="007B0024"/>
    <w:rsid w:val="007B02D6"/>
    <w:rsid w:val="007B0343"/>
    <w:rsid w:val="007B043E"/>
    <w:rsid w:val="007B0941"/>
    <w:rsid w:val="007B0D25"/>
    <w:rsid w:val="007B0D79"/>
    <w:rsid w:val="007B0DB3"/>
    <w:rsid w:val="007B0F7D"/>
    <w:rsid w:val="007B1126"/>
    <w:rsid w:val="007B1273"/>
    <w:rsid w:val="007B157A"/>
    <w:rsid w:val="007B16ED"/>
    <w:rsid w:val="007B1741"/>
    <w:rsid w:val="007B1764"/>
    <w:rsid w:val="007B198D"/>
    <w:rsid w:val="007B1991"/>
    <w:rsid w:val="007B19FD"/>
    <w:rsid w:val="007B1AAE"/>
    <w:rsid w:val="007B1D08"/>
    <w:rsid w:val="007B215D"/>
    <w:rsid w:val="007B21A9"/>
    <w:rsid w:val="007B249E"/>
    <w:rsid w:val="007B2508"/>
    <w:rsid w:val="007B25E7"/>
    <w:rsid w:val="007B27DC"/>
    <w:rsid w:val="007B27EA"/>
    <w:rsid w:val="007B27FF"/>
    <w:rsid w:val="007B2943"/>
    <w:rsid w:val="007B2BAA"/>
    <w:rsid w:val="007B2C10"/>
    <w:rsid w:val="007B2C11"/>
    <w:rsid w:val="007B2D0E"/>
    <w:rsid w:val="007B318A"/>
    <w:rsid w:val="007B39AD"/>
    <w:rsid w:val="007B3A32"/>
    <w:rsid w:val="007B3B54"/>
    <w:rsid w:val="007B3C31"/>
    <w:rsid w:val="007B3C61"/>
    <w:rsid w:val="007B3C9F"/>
    <w:rsid w:val="007B3CB4"/>
    <w:rsid w:val="007B40C1"/>
    <w:rsid w:val="007B42A0"/>
    <w:rsid w:val="007B42D0"/>
    <w:rsid w:val="007B4342"/>
    <w:rsid w:val="007B4556"/>
    <w:rsid w:val="007B46AF"/>
    <w:rsid w:val="007B4708"/>
    <w:rsid w:val="007B48C8"/>
    <w:rsid w:val="007B4AFD"/>
    <w:rsid w:val="007B4BF4"/>
    <w:rsid w:val="007B4D63"/>
    <w:rsid w:val="007B4F1E"/>
    <w:rsid w:val="007B5183"/>
    <w:rsid w:val="007B51DB"/>
    <w:rsid w:val="007B51DD"/>
    <w:rsid w:val="007B5302"/>
    <w:rsid w:val="007B5351"/>
    <w:rsid w:val="007B5664"/>
    <w:rsid w:val="007B5707"/>
    <w:rsid w:val="007B57A7"/>
    <w:rsid w:val="007B58E3"/>
    <w:rsid w:val="007B5A17"/>
    <w:rsid w:val="007B5A1B"/>
    <w:rsid w:val="007B5BB0"/>
    <w:rsid w:val="007B5DE0"/>
    <w:rsid w:val="007B5E86"/>
    <w:rsid w:val="007B61FE"/>
    <w:rsid w:val="007B62F1"/>
    <w:rsid w:val="007B63A9"/>
    <w:rsid w:val="007B63FD"/>
    <w:rsid w:val="007B64AA"/>
    <w:rsid w:val="007B664E"/>
    <w:rsid w:val="007B679A"/>
    <w:rsid w:val="007B67D4"/>
    <w:rsid w:val="007B6BA5"/>
    <w:rsid w:val="007B6C72"/>
    <w:rsid w:val="007B6DC1"/>
    <w:rsid w:val="007B7069"/>
    <w:rsid w:val="007B7085"/>
    <w:rsid w:val="007B72B7"/>
    <w:rsid w:val="007B72BC"/>
    <w:rsid w:val="007B7348"/>
    <w:rsid w:val="007B740C"/>
    <w:rsid w:val="007B74CD"/>
    <w:rsid w:val="007B751F"/>
    <w:rsid w:val="007B7692"/>
    <w:rsid w:val="007B76E7"/>
    <w:rsid w:val="007B784B"/>
    <w:rsid w:val="007B7E7F"/>
    <w:rsid w:val="007C00C8"/>
    <w:rsid w:val="007C0144"/>
    <w:rsid w:val="007C03A0"/>
    <w:rsid w:val="007C0474"/>
    <w:rsid w:val="007C04F6"/>
    <w:rsid w:val="007C0747"/>
    <w:rsid w:val="007C08FB"/>
    <w:rsid w:val="007C0B75"/>
    <w:rsid w:val="007C0D6A"/>
    <w:rsid w:val="007C0D8D"/>
    <w:rsid w:val="007C0E93"/>
    <w:rsid w:val="007C0FEA"/>
    <w:rsid w:val="007C108F"/>
    <w:rsid w:val="007C1415"/>
    <w:rsid w:val="007C152B"/>
    <w:rsid w:val="007C1572"/>
    <w:rsid w:val="007C1596"/>
    <w:rsid w:val="007C164A"/>
    <w:rsid w:val="007C1A9F"/>
    <w:rsid w:val="007C1ADD"/>
    <w:rsid w:val="007C1E6C"/>
    <w:rsid w:val="007C1FBB"/>
    <w:rsid w:val="007C2055"/>
    <w:rsid w:val="007C208F"/>
    <w:rsid w:val="007C221A"/>
    <w:rsid w:val="007C2375"/>
    <w:rsid w:val="007C23EA"/>
    <w:rsid w:val="007C24A9"/>
    <w:rsid w:val="007C253F"/>
    <w:rsid w:val="007C269C"/>
    <w:rsid w:val="007C26E7"/>
    <w:rsid w:val="007C2746"/>
    <w:rsid w:val="007C2798"/>
    <w:rsid w:val="007C28F5"/>
    <w:rsid w:val="007C2A37"/>
    <w:rsid w:val="007C2A9A"/>
    <w:rsid w:val="007C2D2D"/>
    <w:rsid w:val="007C2EF4"/>
    <w:rsid w:val="007C2FE1"/>
    <w:rsid w:val="007C3180"/>
    <w:rsid w:val="007C324C"/>
    <w:rsid w:val="007C3262"/>
    <w:rsid w:val="007C336A"/>
    <w:rsid w:val="007C34D2"/>
    <w:rsid w:val="007C34FE"/>
    <w:rsid w:val="007C36FF"/>
    <w:rsid w:val="007C38D4"/>
    <w:rsid w:val="007C3954"/>
    <w:rsid w:val="007C39A3"/>
    <w:rsid w:val="007C39FE"/>
    <w:rsid w:val="007C3E19"/>
    <w:rsid w:val="007C4051"/>
    <w:rsid w:val="007C4108"/>
    <w:rsid w:val="007C4115"/>
    <w:rsid w:val="007C4137"/>
    <w:rsid w:val="007C41D4"/>
    <w:rsid w:val="007C4295"/>
    <w:rsid w:val="007C4315"/>
    <w:rsid w:val="007C4382"/>
    <w:rsid w:val="007C45AD"/>
    <w:rsid w:val="007C4627"/>
    <w:rsid w:val="007C469C"/>
    <w:rsid w:val="007C4849"/>
    <w:rsid w:val="007C498E"/>
    <w:rsid w:val="007C49AD"/>
    <w:rsid w:val="007C49B5"/>
    <w:rsid w:val="007C4AE4"/>
    <w:rsid w:val="007C4AE8"/>
    <w:rsid w:val="007C4C15"/>
    <w:rsid w:val="007C4D5D"/>
    <w:rsid w:val="007C4EC9"/>
    <w:rsid w:val="007C50CC"/>
    <w:rsid w:val="007C52BA"/>
    <w:rsid w:val="007C5438"/>
    <w:rsid w:val="007C5494"/>
    <w:rsid w:val="007C5559"/>
    <w:rsid w:val="007C56CD"/>
    <w:rsid w:val="007C578E"/>
    <w:rsid w:val="007C591B"/>
    <w:rsid w:val="007C5AC4"/>
    <w:rsid w:val="007C5D5F"/>
    <w:rsid w:val="007C5E2D"/>
    <w:rsid w:val="007C624A"/>
    <w:rsid w:val="007C63E1"/>
    <w:rsid w:val="007C65AA"/>
    <w:rsid w:val="007C69A0"/>
    <w:rsid w:val="007C6B43"/>
    <w:rsid w:val="007C6B45"/>
    <w:rsid w:val="007C6C25"/>
    <w:rsid w:val="007C6D4E"/>
    <w:rsid w:val="007C6EA6"/>
    <w:rsid w:val="007C7021"/>
    <w:rsid w:val="007C7178"/>
    <w:rsid w:val="007C74BE"/>
    <w:rsid w:val="007C7552"/>
    <w:rsid w:val="007C7ABC"/>
    <w:rsid w:val="007C7BAF"/>
    <w:rsid w:val="007C7DBD"/>
    <w:rsid w:val="007D019E"/>
    <w:rsid w:val="007D02BB"/>
    <w:rsid w:val="007D05B7"/>
    <w:rsid w:val="007D07C8"/>
    <w:rsid w:val="007D09F9"/>
    <w:rsid w:val="007D0BEB"/>
    <w:rsid w:val="007D0C58"/>
    <w:rsid w:val="007D0C84"/>
    <w:rsid w:val="007D0D9A"/>
    <w:rsid w:val="007D0E5C"/>
    <w:rsid w:val="007D0F79"/>
    <w:rsid w:val="007D0FC7"/>
    <w:rsid w:val="007D1051"/>
    <w:rsid w:val="007D1059"/>
    <w:rsid w:val="007D11A4"/>
    <w:rsid w:val="007D12AA"/>
    <w:rsid w:val="007D12FE"/>
    <w:rsid w:val="007D1421"/>
    <w:rsid w:val="007D16F9"/>
    <w:rsid w:val="007D19A1"/>
    <w:rsid w:val="007D1AB3"/>
    <w:rsid w:val="007D1C92"/>
    <w:rsid w:val="007D1DB4"/>
    <w:rsid w:val="007D1EA1"/>
    <w:rsid w:val="007D1EC5"/>
    <w:rsid w:val="007D2029"/>
    <w:rsid w:val="007D209C"/>
    <w:rsid w:val="007D2132"/>
    <w:rsid w:val="007D2185"/>
    <w:rsid w:val="007D2309"/>
    <w:rsid w:val="007D2386"/>
    <w:rsid w:val="007D2419"/>
    <w:rsid w:val="007D25FB"/>
    <w:rsid w:val="007D2614"/>
    <w:rsid w:val="007D2785"/>
    <w:rsid w:val="007D2A25"/>
    <w:rsid w:val="007D2DD1"/>
    <w:rsid w:val="007D2F0B"/>
    <w:rsid w:val="007D3025"/>
    <w:rsid w:val="007D3036"/>
    <w:rsid w:val="007D3046"/>
    <w:rsid w:val="007D305C"/>
    <w:rsid w:val="007D312F"/>
    <w:rsid w:val="007D3597"/>
    <w:rsid w:val="007D35CD"/>
    <w:rsid w:val="007D35F8"/>
    <w:rsid w:val="007D3994"/>
    <w:rsid w:val="007D39A6"/>
    <w:rsid w:val="007D39F9"/>
    <w:rsid w:val="007D3B6B"/>
    <w:rsid w:val="007D3CD4"/>
    <w:rsid w:val="007D3D03"/>
    <w:rsid w:val="007D3E65"/>
    <w:rsid w:val="007D3E91"/>
    <w:rsid w:val="007D3F13"/>
    <w:rsid w:val="007D3FD3"/>
    <w:rsid w:val="007D3FFE"/>
    <w:rsid w:val="007D411B"/>
    <w:rsid w:val="007D419B"/>
    <w:rsid w:val="007D41B8"/>
    <w:rsid w:val="007D425B"/>
    <w:rsid w:val="007D47E3"/>
    <w:rsid w:val="007D4C98"/>
    <w:rsid w:val="007D4CA8"/>
    <w:rsid w:val="007D4DBC"/>
    <w:rsid w:val="007D4EB4"/>
    <w:rsid w:val="007D5024"/>
    <w:rsid w:val="007D508E"/>
    <w:rsid w:val="007D509E"/>
    <w:rsid w:val="007D5250"/>
    <w:rsid w:val="007D5283"/>
    <w:rsid w:val="007D53A2"/>
    <w:rsid w:val="007D56D4"/>
    <w:rsid w:val="007D58B8"/>
    <w:rsid w:val="007D5A22"/>
    <w:rsid w:val="007D5AE3"/>
    <w:rsid w:val="007D5BB5"/>
    <w:rsid w:val="007D5CAC"/>
    <w:rsid w:val="007D61F9"/>
    <w:rsid w:val="007D6316"/>
    <w:rsid w:val="007D6354"/>
    <w:rsid w:val="007D641A"/>
    <w:rsid w:val="007D68AC"/>
    <w:rsid w:val="007D68BC"/>
    <w:rsid w:val="007D696C"/>
    <w:rsid w:val="007D6C6B"/>
    <w:rsid w:val="007D6D18"/>
    <w:rsid w:val="007D6F07"/>
    <w:rsid w:val="007D6F7B"/>
    <w:rsid w:val="007D70FA"/>
    <w:rsid w:val="007D7468"/>
    <w:rsid w:val="007D76EA"/>
    <w:rsid w:val="007D77CC"/>
    <w:rsid w:val="007D7B03"/>
    <w:rsid w:val="007D7DAB"/>
    <w:rsid w:val="007D7ED4"/>
    <w:rsid w:val="007E0046"/>
    <w:rsid w:val="007E0083"/>
    <w:rsid w:val="007E00E1"/>
    <w:rsid w:val="007E022E"/>
    <w:rsid w:val="007E025B"/>
    <w:rsid w:val="007E02CB"/>
    <w:rsid w:val="007E0371"/>
    <w:rsid w:val="007E05BE"/>
    <w:rsid w:val="007E0820"/>
    <w:rsid w:val="007E0C04"/>
    <w:rsid w:val="007E0C12"/>
    <w:rsid w:val="007E0CC7"/>
    <w:rsid w:val="007E0DE7"/>
    <w:rsid w:val="007E0ED9"/>
    <w:rsid w:val="007E120A"/>
    <w:rsid w:val="007E127C"/>
    <w:rsid w:val="007E12DE"/>
    <w:rsid w:val="007E1482"/>
    <w:rsid w:val="007E14B1"/>
    <w:rsid w:val="007E1502"/>
    <w:rsid w:val="007E1934"/>
    <w:rsid w:val="007E1945"/>
    <w:rsid w:val="007E1CAA"/>
    <w:rsid w:val="007E1CFD"/>
    <w:rsid w:val="007E1E0C"/>
    <w:rsid w:val="007E1FE4"/>
    <w:rsid w:val="007E1FED"/>
    <w:rsid w:val="007E203E"/>
    <w:rsid w:val="007E22D0"/>
    <w:rsid w:val="007E24FE"/>
    <w:rsid w:val="007E25F1"/>
    <w:rsid w:val="007E295F"/>
    <w:rsid w:val="007E2966"/>
    <w:rsid w:val="007E2967"/>
    <w:rsid w:val="007E2B09"/>
    <w:rsid w:val="007E2B42"/>
    <w:rsid w:val="007E2B45"/>
    <w:rsid w:val="007E2DEF"/>
    <w:rsid w:val="007E2EEC"/>
    <w:rsid w:val="007E2EF2"/>
    <w:rsid w:val="007E3058"/>
    <w:rsid w:val="007E31B4"/>
    <w:rsid w:val="007E3461"/>
    <w:rsid w:val="007E358E"/>
    <w:rsid w:val="007E35A5"/>
    <w:rsid w:val="007E3647"/>
    <w:rsid w:val="007E36C1"/>
    <w:rsid w:val="007E36CE"/>
    <w:rsid w:val="007E36DE"/>
    <w:rsid w:val="007E37A7"/>
    <w:rsid w:val="007E3976"/>
    <w:rsid w:val="007E39A9"/>
    <w:rsid w:val="007E3A86"/>
    <w:rsid w:val="007E3B9F"/>
    <w:rsid w:val="007E3C31"/>
    <w:rsid w:val="007E3CA8"/>
    <w:rsid w:val="007E3EB7"/>
    <w:rsid w:val="007E404D"/>
    <w:rsid w:val="007E407F"/>
    <w:rsid w:val="007E4095"/>
    <w:rsid w:val="007E40F8"/>
    <w:rsid w:val="007E43E3"/>
    <w:rsid w:val="007E45FA"/>
    <w:rsid w:val="007E4655"/>
    <w:rsid w:val="007E466C"/>
    <w:rsid w:val="007E48F1"/>
    <w:rsid w:val="007E495E"/>
    <w:rsid w:val="007E4997"/>
    <w:rsid w:val="007E4FAA"/>
    <w:rsid w:val="007E509D"/>
    <w:rsid w:val="007E5127"/>
    <w:rsid w:val="007E5142"/>
    <w:rsid w:val="007E5198"/>
    <w:rsid w:val="007E544C"/>
    <w:rsid w:val="007E5454"/>
    <w:rsid w:val="007E5455"/>
    <w:rsid w:val="007E575A"/>
    <w:rsid w:val="007E586A"/>
    <w:rsid w:val="007E58E7"/>
    <w:rsid w:val="007E5A4C"/>
    <w:rsid w:val="007E5BCD"/>
    <w:rsid w:val="007E5CE1"/>
    <w:rsid w:val="007E5DAB"/>
    <w:rsid w:val="007E5E34"/>
    <w:rsid w:val="007E5F80"/>
    <w:rsid w:val="007E6426"/>
    <w:rsid w:val="007E659E"/>
    <w:rsid w:val="007E65DB"/>
    <w:rsid w:val="007E6637"/>
    <w:rsid w:val="007E6828"/>
    <w:rsid w:val="007E6A1B"/>
    <w:rsid w:val="007E6ACF"/>
    <w:rsid w:val="007E6EEA"/>
    <w:rsid w:val="007E70B6"/>
    <w:rsid w:val="007E7214"/>
    <w:rsid w:val="007E734E"/>
    <w:rsid w:val="007E74FD"/>
    <w:rsid w:val="007E7532"/>
    <w:rsid w:val="007E759D"/>
    <w:rsid w:val="007E79A9"/>
    <w:rsid w:val="007E7A05"/>
    <w:rsid w:val="007E7B00"/>
    <w:rsid w:val="007E7D6E"/>
    <w:rsid w:val="007E7F97"/>
    <w:rsid w:val="007F002B"/>
    <w:rsid w:val="007F00A8"/>
    <w:rsid w:val="007F026D"/>
    <w:rsid w:val="007F035C"/>
    <w:rsid w:val="007F0431"/>
    <w:rsid w:val="007F0735"/>
    <w:rsid w:val="007F0787"/>
    <w:rsid w:val="007F087D"/>
    <w:rsid w:val="007F0892"/>
    <w:rsid w:val="007F08D3"/>
    <w:rsid w:val="007F0962"/>
    <w:rsid w:val="007F0A72"/>
    <w:rsid w:val="007F0BCC"/>
    <w:rsid w:val="007F0C1E"/>
    <w:rsid w:val="007F0D60"/>
    <w:rsid w:val="007F10EE"/>
    <w:rsid w:val="007F1205"/>
    <w:rsid w:val="007F144B"/>
    <w:rsid w:val="007F14DD"/>
    <w:rsid w:val="007F1523"/>
    <w:rsid w:val="007F1576"/>
    <w:rsid w:val="007F1700"/>
    <w:rsid w:val="007F1825"/>
    <w:rsid w:val="007F18FC"/>
    <w:rsid w:val="007F1BAC"/>
    <w:rsid w:val="007F1BB9"/>
    <w:rsid w:val="007F1C61"/>
    <w:rsid w:val="007F1CB2"/>
    <w:rsid w:val="007F1DC2"/>
    <w:rsid w:val="007F1E73"/>
    <w:rsid w:val="007F1FE1"/>
    <w:rsid w:val="007F20D3"/>
    <w:rsid w:val="007F22D1"/>
    <w:rsid w:val="007F23A0"/>
    <w:rsid w:val="007F23EE"/>
    <w:rsid w:val="007F24C4"/>
    <w:rsid w:val="007F26BB"/>
    <w:rsid w:val="007F27D1"/>
    <w:rsid w:val="007F29E2"/>
    <w:rsid w:val="007F2B90"/>
    <w:rsid w:val="007F2D6E"/>
    <w:rsid w:val="007F2D7D"/>
    <w:rsid w:val="007F2DA5"/>
    <w:rsid w:val="007F2F62"/>
    <w:rsid w:val="007F2F8A"/>
    <w:rsid w:val="007F30F7"/>
    <w:rsid w:val="007F3345"/>
    <w:rsid w:val="007F3366"/>
    <w:rsid w:val="007F3545"/>
    <w:rsid w:val="007F3560"/>
    <w:rsid w:val="007F35F0"/>
    <w:rsid w:val="007F36C5"/>
    <w:rsid w:val="007F383C"/>
    <w:rsid w:val="007F3B8C"/>
    <w:rsid w:val="007F3F62"/>
    <w:rsid w:val="007F4014"/>
    <w:rsid w:val="007F4015"/>
    <w:rsid w:val="007F415F"/>
    <w:rsid w:val="007F42A0"/>
    <w:rsid w:val="007F4489"/>
    <w:rsid w:val="007F448D"/>
    <w:rsid w:val="007F44FD"/>
    <w:rsid w:val="007F46DF"/>
    <w:rsid w:val="007F48DE"/>
    <w:rsid w:val="007F4A03"/>
    <w:rsid w:val="007F4B01"/>
    <w:rsid w:val="007F4BD1"/>
    <w:rsid w:val="007F4CA2"/>
    <w:rsid w:val="007F4DC2"/>
    <w:rsid w:val="007F5115"/>
    <w:rsid w:val="007F526D"/>
    <w:rsid w:val="007F52A9"/>
    <w:rsid w:val="007F54BC"/>
    <w:rsid w:val="007F55F0"/>
    <w:rsid w:val="007F5640"/>
    <w:rsid w:val="007F5662"/>
    <w:rsid w:val="007F5706"/>
    <w:rsid w:val="007F58B4"/>
    <w:rsid w:val="007F58CF"/>
    <w:rsid w:val="007F5962"/>
    <w:rsid w:val="007F5B17"/>
    <w:rsid w:val="007F5BB1"/>
    <w:rsid w:val="007F5DEE"/>
    <w:rsid w:val="007F5F1A"/>
    <w:rsid w:val="007F623A"/>
    <w:rsid w:val="007F62CF"/>
    <w:rsid w:val="007F6335"/>
    <w:rsid w:val="007F642D"/>
    <w:rsid w:val="007F6579"/>
    <w:rsid w:val="007F6687"/>
    <w:rsid w:val="007F684F"/>
    <w:rsid w:val="007F6902"/>
    <w:rsid w:val="007F6A53"/>
    <w:rsid w:val="007F6CD2"/>
    <w:rsid w:val="007F6CE2"/>
    <w:rsid w:val="007F6D0C"/>
    <w:rsid w:val="007F6E68"/>
    <w:rsid w:val="007F6F14"/>
    <w:rsid w:val="007F6F48"/>
    <w:rsid w:val="007F71B3"/>
    <w:rsid w:val="007F71F3"/>
    <w:rsid w:val="007F72D9"/>
    <w:rsid w:val="007F7862"/>
    <w:rsid w:val="007F7B70"/>
    <w:rsid w:val="007F7B78"/>
    <w:rsid w:val="007F7C05"/>
    <w:rsid w:val="007F7D26"/>
    <w:rsid w:val="007F7D36"/>
    <w:rsid w:val="007F7FBE"/>
    <w:rsid w:val="00800492"/>
    <w:rsid w:val="00800634"/>
    <w:rsid w:val="00800700"/>
    <w:rsid w:val="00800823"/>
    <w:rsid w:val="008008B4"/>
    <w:rsid w:val="00800B7F"/>
    <w:rsid w:val="00800C3B"/>
    <w:rsid w:val="00800F1F"/>
    <w:rsid w:val="008010C9"/>
    <w:rsid w:val="00801316"/>
    <w:rsid w:val="0080136B"/>
    <w:rsid w:val="00801481"/>
    <w:rsid w:val="008015A1"/>
    <w:rsid w:val="0080164E"/>
    <w:rsid w:val="00801655"/>
    <w:rsid w:val="0080169A"/>
    <w:rsid w:val="0080169D"/>
    <w:rsid w:val="0080187A"/>
    <w:rsid w:val="008018E8"/>
    <w:rsid w:val="00801946"/>
    <w:rsid w:val="00801A03"/>
    <w:rsid w:val="00801AF9"/>
    <w:rsid w:val="00801C49"/>
    <w:rsid w:val="00801D92"/>
    <w:rsid w:val="00801D95"/>
    <w:rsid w:val="00801EB8"/>
    <w:rsid w:val="00801F70"/>
    <w:rsid w:val="00801FD9"/>
    <w:rsid w:val="00802007"/>
    <w:rsid w:val="008021E1"/>
    <w:rsid w:val="008025DB"/>
    <w:rsid w:val="0080261B"/>
    <w:rsid w:val="00802670"/>
    <w:rsid w:val="00802909"/>
    <w:rsid w:val="0080294B"/>
    <w:rsid w:val="0080299B"/>
    <w:rsid w:val="00802EE1"/>
    <w:rsid w:val="00803259"/>
    <w:rsid w:val="008032A8"/>
    <w:rsid w:val="008032C6"/>
    <w:rsid w:val="0080359B"/>
    <w:rsid w:val="008035D1"/>
    <w:rsid w:val="008035DE"/>
    <w:rsid w:val="008039DA"/>
    <w:rsid w:val="00803A6F"/>
    <w:rsid w:val="00803AB1"/>
    <w:rsid w:val="00803AD2"/>
    <w:rsid w:val="00803B4E"/>
    <w:rsid w:val="00803BF0"/>
    <w:rsid w:val="00803C39"/>
    <w:rsid w:val="00803C45"/>
    <w:rsid w:val="00803D50"/>
    <w:rsid w:val="0080414C"/>
    <w:rsid w:val="00804168"/>
    <w:rsid w:val="0080421B"/>
    <w:rsid w:val="0080426C"/>
    <w:rsid w:val="008042D1"/>
    <w:rsid w:val="00804408"/>
    <w:rsid w:val="008044E0"/>
    <w:rsid w:val="00804620"/>
    <w:rsid w:val="0080474B"/>
    <w:rsid w:val="00804778"/>
    <w:rsid w:val="008047A3"/>
    <w:rsid w:val="008047E5"/>
    <w:rsid w:val="008048E4"/>
    <w:rsid w:val="00804E33"/>
    <w:rsid w:val="00804EE5"/>
    <w:rsid w:val="00804EEE"/>
    <w:rsid w:val="00804F1D"/>
    <w:rsid w:val="00804F4A"/>
    <w:rsid w:val="00804FC0"/>
    <w:rsid w:val="00805238"/>
    <w:rsid w:val="008052F8"/>
    <w:rsid w:val="0080537B"/>
    <w:rsid w:val="008053E2"/>
    <w:rsid w:val="008058DD"/>
    <w:rsid w:val="00805909"/>
    <w:rsid w:val="008059BD"/>
    <w:rsid w:val="008059FF"/>
    <w:rsid w:val="00805AF0"/>
    <w:rsid w:val="00805C0C"/>
    <w:rsid w:val="00805DAC"/>
    <w:rsid w:val="00805ED0"/>
    <w:rsid w:val="00805F34"/>
    <w:rsid w:val="0080600D"/>
    <w:rsid w:val="00806031"/>
    <w:rsid w:val="00806329"/>
    <w:rsid w:val="008063B4"/>
    <w:rsid w:val="008064E6"/>
    <w:rsid w:val="00806532"/>
    <w:rsid w:val="0080654F"/>
    <w:rsid w:val="00806A16"/>
    <w:rsid w:val="00806BAF"/>
    <w:rsid w:val="00806C79"/>
    <w:rsid w:val="00806D33"/>
    <w:rsid w:val="00806E1E"/>
    <w:rsid w:val="00806ECD"/>
    <w:rsid w:val="00806F38"/>
    <w:rsid w:val="008070DD"/>
    <w:rsid w:val="008071C6"/>
    <w:rsid w:val="00807241"/>
    <w:rsid w:val="008074AD"/>
    <w:rsid w:val="0080750A"/>
    <w:rsid w:val="008078A1"/>
    <w:rsid w:val="0080799C"/>
    <w:rsid w:val="00807A86"/>
    <w:rsid w:val="00807C2C"/>
    <w:rsid w:val="00807DF8"/>
    <w:rsid w:val="00807E2D"/>
    <w:rsid w:val="00807FA4"/>
    <w:rsid w:val="008101DD"/>
    <w:rsid w:val="008101F0"/>
    <w:rsid w:val="00810215"/>
    <w:rsid w:val="008102DC"/>
    <w:rsid w:val="008103A0"/>
    <w:rsid w:val="008107D2"/>
    <w:rsid w:val="008109A0"/>
    <w:rsid w:val="008109B7"/>
    <w:rsid w:val="00810DBF"/>
    <w:rsid w:val="00810ED3"/>
    <w:rsid w:val="0081109F"/>
    <w:rsid w:val="008110E0"/>
    <w:rsid w:val="008110F5"/>
    <w:rsid w:val="00811137"/>
    <w:rsid w:val="008111FE"/>
    <w:rsid w:val="008113D7"/>
    <w:rsid w:val="00811419"/>
    <w:rsid w:val="0081144B"/>
    <w:rsid w:val="0081169C"/>
    <w:rsid w:val="00811801"/>
    <w:rsid w:val="008118A0"/>
    <w:rsid w:val="008118CF"/>
    <w:rsid w:val="008119DD"/>
    <w:rsid w:val="00811AC5"/>
    <w:rsid w:val="00811AF0"/>
    <w:rsid w:val="00811C24"/>
    <w:rsid w:val="00811E9B"/>
    <w:rsid w:val="00811FD8"/>
    <w:rsid w:val="0081227A"/>
    <w:rsid w:val="00812357"/>
    <w:rsid w:val="0081248B"/>
    <w:rsid w:val="008124D6"/>
    <w:rsid w:val="008126A4"/>
    <w:rsid w:val="0081272A"/>
    <w:rsid w:val="00812A72"/>
    <w:rsid w:val="00812CD1"/>
    <w:rsid w:val="00812DD4"/>
    <w:rsid w:val="00812DF0"/>
    <w:rsid w:val="00812E5E"/>
    <w:rsid w:val="00812EFD"/>
    <w:rsid w:val="00812F2E"/>
    <w:rsid w:val="00812FC7"/>
    <w:rsid w:val="0081340F"/>
    <w:rsid w:val="008135F4"/>
    <w:rsid w:val="00813644"/>
    <w:rsid w:val="0081367D"/>
    <w:rsid w:val="00813706"/>
    <w:rsid w:val="00813781"/>
    <w:rsid w:val="00813783"/>
    <w:rsid w:val="008137E7"/>
    <w:rsid w:val="008139D6"/>
    <w:rsid w:val="00813E10"/>
    <w:rsid w:val="00813F76"/>
    <w:rsid w:val="00814125"/>
    <w:rsid w:val="0081425C"/>
    <w:rsid w:val="00814480"/>
    <w:rsid w:val="00814569"/>
    <w:rsid w:val="008147F3"/>
    <w:rsid w:val="008149FF"/>
    <w:rsid w:val="00814D29"/>
    <w:rsid w:val="00814D62"/>
    <w:rsid w:val="00814DC0"/>
    <w:rsid w:val="00814DCA"/>
    <w:rsid w:val="00814E67"/>
    <w:rsid w:val="00814F45"/>
    <w:rsid w:val="00815047"/>
    <w:rsid w:val="008150C0"/>
    <w:rsid w:val="0081526E"/>
    <w:rsid w:val="008152D1"/>
    <w:rsid w:val="008154A6"/>
    <w:rsid w:val="008154D6"/>
    <w:rsid w:val="00815653"/>
    <w:rsid w:val="0081577F"/>
    <w:rsid w:val="008158C3"/>
    <w:rsid w:val="00815D49"/>
    <w:rsid w:val="00815EEC"/>
    <w:rsid w:val="00815EFD"/>
    <w:rsid w:val="0081634B"/>
    <w:rsid w:val="00816726"/>
    <w:rsid w:val="0081677E"/>
    <w:rsid w:val="00816944"/>
    <w:rsid w:val="0081695B"/>
    <w:rsid w:val="00816986"/>
    <w:rsid w:val="00816A5F"/>
    <w:rsid w:val="00816D2E"/>
    <w:rsid w:val="00816E00"/>
    <w:rsid w:val="00816EE7"/>
    <w:rsid w:val="008170C3"/>
    <w:rsid w:val="0081720C"/>
    <w:rsid w:val="00817211"/>
    <w:rsid w:val="0081727B"/>
    <w:rsid w:val="0081734B"/>
    <w:rsid w:val="0081747C"/>
    <w:rsid w:val="0081751A"/>
    <w:rsid w:val="00817678"/>
    <w:rsid w:val="0081767D"/>
    <w:rsid w:val="008176FF"/>
    <w:rsid w:val="0081786B"/>
    <w:rsid w:val="00817AC1"/>
    <w:rsid w:val="00817C29"/>
    <w:rsid w:val="00817D9C"/>
    <w:rsid w:val="00817E9A"/>
    <w:rsid w:val="00817FE0"/>
    <w:rsid w:val="008203E8"/>
    <w:rsid w:val="0082055F"/>
    <w:rsid w:val="008206B3"/>
    <w:rsid w:val="008206C6"/>
    <w:rsid w:val="008206E1"/>
    <w:rsid w:val="00820740"/>
    <w:rsid w:val="0082085D"/>
    <w:rsid w:val="00820D3F"/>
    <w:rsid w:val="00820E10"/>
    <w:rsid w:val="00820E3F"/>
    <w:rsid w:val="00820F19"/>
    <w:rsid w:val="00821005"/>
    <w:rsid w:val="008211E0"/>
    <w:rsid w:val="008212D1"/>
    <w:rsid w:val="00821555"/>
    <w:rsid w:val="00821606"/>
    <w:rsid w:val="0082177A"/>
    <w:rsid w:val="00821996"/>
    <w:rsid w:val="00821C2C"/>
    <w:rsid w:val="00821E0F"/>
    <w:rsid w:val="00821E92"/>
    <w:rsid w:val="00821EDC"/>
    <w:rsid w:val="008220AD"/>
    <w:rsid w:val="0082244C"/>
    <w:rsid w:val="008226BA"/>
    <w:rsid w:val="008226D9"/>
    <w:rsid w:val="00822AE1"/>
    <w:rsid w:val="00822C5C"/>
    <w:rsid w:val="00822CCF"/>
    <w:rsid w:val="00822D14"/>
    <w:rsid w:val="00822E06"/>
    <w:rsid w:val="00822EDD"/>
    <w:rsid w:val="00822FF4"/>
    <w:rsid w:val="0082302B"/>
    <w:rsid w:val="008230BB"/>
    <w:rsid w:val="008232ED"/>
    <w:rsid w:val="0082331B"/>
    <w:rsid w:val="008234C9"/>
    <w:rsid w:val="00823534"/>
    <w:rsid w:val="0082370A"/>
    <w:rsid w:val="00823C75"/>
    <w:rsid w:val="00823C7F"/>
    <w:rsid w:val="00823DC9"/>
    <w:rsid w:val="00823EF1"/>
    <w:rsid w:val="00823FED"/>
    <w:rsid w:val="00824064"/>
    <w:rsid w:val="0082414B"/>
    <w:rsid w:val="008241A1"/>
    <w:rsid w:val="00824360"/>
    <w:rsid w:val="008244A3"/>
    <w:rsid w:val="00824856"/>
    <w:rsid w:val="008248A2"/>
    <w:rsid w:val="00824972"/>
    <w:rsid w:val="00824A07"/>
    <w:rsid w:val="00824A10"/>
    <w:rsid w:val="00824B3C"/>
    <w:rsid w:val="00824DD6"/>
    <w:rsid w:val="00824F53"/>
    <w:rsid w:val="00824FDC"/>
    <w:rsid w:val="00825321"/>
    <w:rsid w:val="008255FE"/>
    <w:rsid w:val="008258C3"/>
    <w:rsid w:val="008258FA"/>
    <w:rsid w:val="00825A2A"/>
    <w:rsid w:val="00825AEB"/>
    <w:rsid w:val="00825B18"/>
    <w:rsid w:val="00825DDA"/>
    <w:rsid w:val="00825F2C"/>
    <w:rsid w:val="008263F9"/>
    <w:rsid w:val="008263FB"/>
    <w:rsid w:val="0082643B"/>
    <w:rsid w:val="008266F0"/>
    <w:rsid w:val="008267DF"/>
    <w:rsid w:val="00826804"/>
    <w:rsid w:val="0082683E"/>
    <w:rsid w:val="008268A4"/>
    <w:rsid w:val="00826A08"/>
    <w:rsid w:val="00826A40"/>
    <w:rsid w:val="00826A55"/>
    <w:rsid w:val="00826A97"/>
    <w:rsid w:val="00826B4B"/>
    <w:rsid w:val="008270B9"/>
    <w:rsid w:val="00827118"/>
    <w:rsid w:val="0082720F"/>
    <w:rsid w:val="008272DE"/>
    <w:rsid w:val="008275E1"/>
    <w:rsid w:val="008276A0"/>
    <w:rsid w:val="008277BD"/>
    <w:rsid w:val="008277D2"/>
    <w:rsid w:val="0082784F"/>
    <w:rsid w:val="008278CB"/>
    <w:rsid w:val="00827A31"/>
    <w:rsid w:val="00827A75"/>
    <w:rsid w:val="00827C86"/>
    <w:rsid w:val="00827D24"/>
    <w:rsid w:val="008300F7"/>
    <w:rsid w:val="00830389"/>
    <w:rsid w:val="008306A5"/>
    <w:rsid w:val="008306CC"/>
    <w:rsid w:val="008306E4"/>
    <w:rsid w:val="008307CC"/>
    <w:rsid w:val="0083090D"/>
    <w:rsid w:val="00830978"/>
    <w:rsid w:val="00830A19"/>
    <w:rsid w:val="00830AB6"/>
    <w:rsid w:val="00830EBA"/>
    <w:rsid w:val="00831020"/>
    <w:rsid w:val="008310EC"/>
    <w:rsid w:val="00831270"/>
    <w:rsid w:val="008312A9"/>
    <w:rsid w:val="00831415"/>
    <w:rsid w:val="00831618"/>
    <w:rsid w:val="00831650"/>
    <w:rsid w:val="0083170C"/>
    <w:rsid w:val="00831BE5"/>
    <w:rsid w:val="00831C70"/>
    <w:rsid w:val="00831F08"/>
    <w:rsid w:val="00832069"/>
    <w:rsid w:val="008321FE"/>
    <w:rsid w:val="008323BA"/>
    <w:rsid w:val="008324EF"/>
    <w:rsid w:val="008324FB"/>
    <w:rsid w:val="00832641"/>
    <w:rsid w:val="00832684"/>
    <w:rsid w:val="00832690"/>
    <w:rsid w:val="0083282D"/>
    <w:rsid w:val="00832830"/>
    <w:rsid w:val="008328E8"/>
    <w:rsid w:val="00832CEB"/>
    <w:rsid w:val="00832DC8"/>
    <w:rsid w:val="00832DF4"/>
    <w:rsid w:val="00832DF8"/>
    <w:rsid w:val="00832F27"/>
    <w:rsid w:val="00833321"/>
    <w:rsid w:val="00833454"/>
    <w:rsid w:val="008334A3"/>
    <w:rsid w:val="0083355C"/>
    <w:rsid w:val="00833697"/>
    <w:rsid w:val="0083392F"/>
    <w:rsid w:val="008339B8"/>
    <w:rsid w:val="008339F3"/>
    <w:rsid w:val="008339F7"/>
    <w:rsid w:val="00833B3B"/>
    <w:rsid w:val="00833B3F"/>
    <w:rsid w:val="00833C54"/>
    <w:rsid w:val="00833D12"/>
    <w:rsid w:val="00833ED8"/>
    <w:rsid w:val="00833F85"/>
    <w:rsid w:val="00834070"/>
    <w:rsid w:val="0083407D"/>
    <w:rsid w:val="008342A3"/>
    <w:rsid w:val="00834522"/>
    <w:rsid w:val="0083456D"/>
    <w:rsid w:val="00834592"/>
    <w:rsid w:val="00834856"/>
    <w:rsid w:val="00834A44"/>
    <w:rsid w:val="00834A97"/>
    <w:rsid w:val="00834B6F"/>
    <w:rsid w:val="00834E43"/>
    <w:rsid w:val="00834F22"/>
    <w:rsid w:val="00835211"/>
    <w:rsid w:val="008352EC"/>
    <w:rsid w:val="008353A2"/>
    <w:rsid w:val="00835478"/>
    <w:rsid w:val="008355BD"/>
    <w:rsid w:val="00835626"/>
    <w:rsid w:val="008356DD"/>
    <w:rsid w:val="0083575B"/>
    <w:rsid w:val="00835927"/>
    <w:rsid w:val="00835B2F"/>
    <w:rsid w:val="00835B5F"/>
    <w:rsid w:val="00835CA3"/>
    <w:rsid w:val="00835CBF"/>
    <w:rsid w:val="00835F04"/>
    <w:rsid w:val="00835F7B"/>
    <w:rsid w:val="00836119"/>
    <w:rsid w:val="00836451"/>
    <w:rsid w:val="00836820"/>
    <w:rsid w:val="00836A2B"/>
    <w:rsid w:val="00836CF5"/>
    <w:rsid w:val="00836DF4"/>
    <w:rsid w:val="00836F6A"/>
    <w:rsid w:val="00837072"/>
    <w:rsid w:val="00837132"/>
    <w:rsid w:val="00837133"/>
    <w:rsid w:val="00837144"/>
    <w:rsid w:val="00837299"/>
    <w:rsid w:val="008372FE"/>
    <w:rsid w:val="008373C8"/>
    <w:rsid w:val="0083742D"/>
    <w:rsid w:val="0083750A"/>
    <w:rsid w:val="0083750B"/>
    <w:rsid w:val="00837A36"/>
    <w:rsid w:val="00837A6E"/>
    <w:rsid w:val="00837C3E"/>
    <w:rsid w:val="00837F4F"/>
    <w:rsid w:val="00840052"/>
    <w:rsid w:val="00840105"/>
    <w:rsid w:val="008405B9"/>
    <w:rsid w:val="008406E0"/>
    <w:rsid w:val="00840986"/>
    <w:rsid w:val="00840BB1"/>
    <w:rsid w:val="00840E07"/>
    <w:rsid w:val="00840F75"/>
    <w:rsid w:val="0084104B"/>
    <w:rsid w:val="00841087"/>
    <w:rsid w:val="008410B3"/>
    <w:rsid w:val="008410D4"/>
    <w:rsid w:val="00841205"/>
    <w:rsid w:val="00841519"/>
    <w:rsid w:val="0084152A"/>
    <w:rsid w:val="008416F1"/>
    <w:rsid w:val="00841847"/>
    <w:rsid w:val="00841998"/>
    <w:rsid w:val="00841A5C"/>
    <w:rsid w:val="00841B8D"/>
    <w:rsid w:val="00841C36"/>
    <w:rsid w:val="00841C71"/>
    <w:rsid w:val="00841C7C"/>
    <w:rsid w:val="008420C0"/>
    <w:rsid w:val="00842200"/>
    <w:rsid w:val="0084234E"/>
    <w:rsid w:val="0084243D"/>
    <w:rsid w:val="0084262A"/>
    <w:rsid w:val="0084274B"/>
    <w:rsid w:val="00842764"/>
    <w:rsid w:val="00842771"/>
    <w:rsid w:val="00842B95"/>
    <w:rsid w:val="00842D05"/>
    <w:rsid w:val="00842D2A"/>
    <w:rsid w:val="00842EE0"/>
    <w:rsid w:val="00842EF6"/>
    <w:rsid w:val="008430E6"/>
    <w:rsid w:val="008432C2"/>
    <w:rsid w:val="00843307"/>
    <w:rsid w:val="00843435"/>
    <w:rsid w:val="008434B7"/>
    <w:rsid w:val="0084360C"/>
    <w:rsid w:val="008438A0"/>
    <w:rsid w:val="00843969"/>
    <w:rsid w:val="00843BE1"/>
    <w:rsid w:val="00843E42"/>
    <w:rsid w:val="00843E8A"/>
    <w:rsid w:val="00844018"/>
    <w:rsid w:val="0084403C"/>
    <w:rsid w:val="0084408C"/>
    <w:rsid w:val="00844266"/>
    <w:rsid w:val="00844283"/>
    <w:rsid w:val="00844563"/>
    <w:rsid w:val="00844690"/>
    <w:rsid w:val="00844805"/>
    <w:rsid w:val="008449D7"/>
    <w:rsid w:val="00844C10"/>
    <w:rsid w:val="00844CB7"/>
    <w:rsid w:val="00844D05"/>
    <w:rsid w:val="00844FB2"/>
    <w:rsid w:val="0084500D"/>
    <w:rsid w:val="008451FD"/>
    <w:rsid w:val="008452BB"/>
    <w:rsid w:val="008452D2"/>
    <w:rsid w:val="0084541C"/>
    <w:rsid w:val="00845439"/>
    <w:rsid w:val="0084559D"/>
    <w:rsid w:val="0084566F"/>
    <w:rsid w:val="008456C0"/>
    <w:rsid w:val="008457AB"/>
    <w:rsid w:val="00845865"/>
    <w:rsid w:val="00845934"/>
    <w:rsid w:val="00845C58"/>
    <w:rsid w:val="00845CCA"/>
    <w:rsid w:val="008460A7"/>
    <w:rsid w:val="00846177"/>
    <w:rsid w:val="00846300"/>
    <w:rsid w:val="00846562"/>
    <w:rsid w:val="008465E3"/>
    <w:rsid w:val="00846655"/>
    <w:rsid w:val="008466EC"/>
    <w:rsid w:val="00846709"/>
    <w:rsid w:val="00846779"/>
    <w:rsid w:val="008467C6"/>
    <w:rsid w:val="00846954"/>
    <w:rsid w:val="008469DF"/>
    <w:rsid w:val="00846CDF"/>
    <w:rsid w:val="00847004"/>
    <w:rsid w:val="00847005"/>
    <w:rsid w:val="00847328"/>
    <w:rsid w:val="008473CB"/>
    <w:rsid w:val="008474CF"/>
    <w:rsid w:val="00847504"/>
    <w:rsid w:val="00847682"/>
    <w:rsid w:val="00847820"/>
    <w:rsid w:val="00847947"/>
    <w:rsid w:val="00847AAD"/>
    <w:rsid w:val="00847B4C"/>
    <w:rsid w:val="00847B9A"/>
    <w:rsid w:val="00847E1D"/>
    <w:rsid w:val="00847EA4"/>
    <w:rsid w:val="00847ECB"/>
    <w:rsid w:val="00847F22"/>
    <w:rsid w:val="00850101"/>
    <w:rsid w:val="00850205"/>
    <w:rsid w:val="0085022B"/>
    <w:rsid w:val="008502AE"/>
    <w:rsid w:val="008504F3"/>
    <w:rsid w:val="008505A8"/>
    <w:rsid w:val="008507C7"/>
    <w:rsid w:val="0085099D"/>
    <w:rsid w:val="00850BEC"/>
    <w:rsid w:val="00850F55"/>
    <w:rsid w:val="00850F87"/>
    <w:rsid w:val="0085110E"/>
    <w:rsid w:val="008514D9"/>
    <w:rsid w:val="008515F1"/>
    <w:rsid w:val="008517AB"/>
    <w:rsid w:val="00851885"/>
    <w:rsid w:val="008518EB"/>
    <w:rsid w:val="00851D5C"/>
    <w:rsid w:val="00851E4E"/>
    <w:rsid w:val="00851FA0"/>
    <w:rsid w:val="0085208E"/>
    <w:rsid w:val="00852284"/>
    <w:rsid w:val="00852285"/>
    <w:rsid w:val="00852440"/>
    <w:rsid w:val="008524F4"/>
    <w:rsid w:val="008525CC"/>
    <w:rsid w:val="00852677"/>
    <w:rsid w:val="008526DF"/>
    <w:rsid w:val="00852768"/>
    <w:rsid w:val="008527BA"/>
    <w:rsid w:val="00852839"/>
    <w:rsid w:val="00852942"/>
    <w:rsid w:val="0085295C"/>
    <w:rsid w:val="00852B22"/>
    <w:rsid w:val="00852D0A"/>
    <w:rsid w:val="00852D2B"/>
    <w:rsid w:val="00852EB2"/>
    <w:rsid w:val="00852EBA"/>
    <w:rsid w:val="00852ECA"/>
    <w:rsid w:val="00852F16"/>
    <w:rsid w:val="00852F93"/>
    <w:rsid w:val="008530D5"/>
    <w:rsid w:val="00853157"/>
    <w:rsid w:val="008531D7"/>
    <w:rsid w:val="0085320B"/>
    <w:rsid w:val="00853459"/>
    <w:rsid w:val="00853585"/>
    <w:rsid w:val="008536F5"/>
    <w:rsid w:val="008537B5"/>
    <w:rsid w:val="008537DA"/>
    <w:rsid w:val="0085391A"/>
    <w:rsid w:val="008539A9"/>
    <w:rsid w:val="00853A28"/>
    <w:rsid w:val="00853C59"/>
    <w:rsid w:val="00853E29"/>
    <w:rsid w:val="00853EA9"/>
    <w:rsid w:val="00853F2F"/>
    <w:rsid w:val="00853F51"/>
    <w:rsid w:val="00853FB0"/>
    <w:rsid w:val="00853FBD"/>
    <w:rsid w:val="0085419F"/>
    <w:rsid w:val="00854436"/>
    <w:rsid w:val="00854439"/>
    <w:rsid w:val="00854543"/>
    <w:rsid w:val="00854B06"/>
    <w:rsid w:val="00854BBB"/>
    <w:rsid w:val="00854E29"/>
    <w:rsid w:val="00854F4A"/>
    <w:rsid w:val="008550D9"/>
    <w:rsid w:val="00855160"/>
    <w:rsid w:val="008557B9"/>
    <w:rsid w:val="008558C1"/>
    <w:rsid w:val="008559DD"/>
    <w:rsid w:val="00855D18"/>
    <w:rsid w:val="00855D90"/>
    <w:rsid w:val="00855EE8"/>
    <w:rsid w:val="0085621B"/>
    <w:rsid w:val="00856694"/>
    <w:rsid w:val="008566D4"/>
    <w:rsid w:val="00856701"/>
    <w:rsid w:val="00856927"/>
    <w:rsid w:val="00856971"/>
    <w:rsid w:val="00856A72"/>
    <w:rsid w:val="00856C2A"/>
    <w:rsid w:val="00856F7B"/>
    <w:rsid w:val="00856FBF"/>
    <w:rsid w:val="008570B4"/>
    <w:rsid w:val="00857349"/>
    <w:rsid w:val="00857390"/>
    <w:rsid w:val="00857434"/>
    <w:rsid w:val="0085744F"/>
    <w:rsid w:val="008575F8"/>
    <w:rsid w:val="00857739"/>
    <w:rsid w:val="00857762"/>
    <w:rsid w:val="008577EF"/>
    <w:rsid w:val="008577F6"/>
    <w:rsid w:val="0085786F"/>
    <w:rsid w:val="0085789B"/>
    <w:rsid w:val="008579E9"/>
    <w:rsid w:val="00857AA8"/>
    <w:rsid w:val="00857DA0"/>
    <w:rsid w:val="00857E36"/>
    <w:rsid w:val="00857F4C"/>
    <w:rsid w:val="00857F5C"/>
    <w:rsid w:val="00857F5D"/>
    <w:rsid w:val="0086003B"/>
    <w:rsid w:val="008600E3"/>
    <w:rsid w:val="00860280"/>
    <w:rsid w:val="008602AB"/>
    <w:rsid w:val="0086072D"/>
    <w:rsid w:val="008608C4"/>
    <w:rsid w:val="008609A2"/>
    <w:rsid w:val="008609DB"/>
    <w:rsid w:val="00860AD7"/>
    <w:rsid w:val="00860E14"/>
    <w:rsid w:val="00860F68"/>
    <w:rsid w:val="00860FD2"/>
    <w:rsid w:val="008613B1"/>
    <w:rsid w:val="008613D4"/>
    <w:rsid w:val="00861447"/>
    <w:rsid w:val="008615ED"/>
    <w:rsid w:val="008615FD"/>
    <w:rsid w:val="00861618"/>
    <w:rsid w:val="00861645"/>
    <w:rsid w:val="008617F8"/>
    <w:rsid w:val="0086190A"/>
    <w:rsid w:val="00861A4D"/>
    <w:rsid w:val="00861B77"/>
    <w:rsid w:val="00861C42"/>
    <w:rsid w:val="00861E4F"/>
    <w:rsid w:val="00862020"/>
    <w:rsid w:val="00862093"/>
    <w:rsid w:val="00862201"/>
    <w:rsid w:val="0086220E"/>
    <w:rsid w:val="00862314"/>
    <w:rsid w:val="0086231B"/>
    <w:rsid w:val="008623D7"/>
    <w:rsid w:val="00862551"/>
    <w:rsid w:val="0086266E"/>
    <w:rsid w:val="008626B9"/>
    <w:rsid w:val="00862908"/>
    <w:rsid w:val="008629C4"/>
    <w:rsid w:val="008629C8"/>
    <w:rsid w:val="00862AE6"/>
    <w:rsid w:val="00862ECA"/>
    <w:rsid w:val="00862F7E"/>
    <w:rsid w:val="0086322F"/>
    <w:rsid w:val="008632DD"/>
    <w:rsid w:val="00863317"/>
    <w:rsid w:val="00863358"/>
    <w:rsid w:val="0086371E"/>
    <w:rsid w:val="00863745"/>
    <w:rsid w:val="00863752"/>
    <w:rsid w:val="0086377B"/>
    <w:rsid w:val="00863F6F"/>
    <w:rsid w:val="00864027"/>
    <w:rsid w:val="0086423C"/>
    <w:rsid w:val="00864295"/>
    <w:rsid w:val="0086429D"/>
    <w:rsid w:val="0086435E"/>
    <w:rsid w:val="0086444F"/>
    <w:rsid w:val="00864477"/>
    <w:rsid w:val="00864507"/>
    <w:rsid w:val="0086457E"/>
    <w:rsid w:val="0086493B"/>
    <w:rsid w:val="00864C86"/>
    <w:rsid w:val="00864CF5"/>
    <w:rsid w:val="00864D48"/>
    <w:rsid w:val="00864E9B"/>
    <w:rsid w:val="00864EF1"/>
    <w:rsid w:val="00864F52"/>
    <w:rsid w:val="00864FCF"/>
    <w:rsid w:val="00865023"/>
    <w:rsid w:val="00865319"/>
    <w:rsid w:val="00865363"/>
    <w:rsid w:val="00865580"/>
    <w:rsid w:val="0086593A"/>
    <w:rsid w:val="00865C3E"/>
    <w:rsid w:val="00865C7F"/>
    <w:rsid w:val="00865DAB"/>
    <w:rsid w:val="00865EE7"/>
    <w:rsid w:val="00866186"/>
    <w:rsid w:val="0086622B"/>
    <w:rsid w:val="00866255"/>
    <w:rsid w:val="00866358"/>
    <w:rsid w:val="0086644D"/>
    <w:rsid w:val="008664C7"/>
    <w:rsid w:val="008665C2"/>
    <w:rsid w:val="0086669E"/>
    <w:rsid w:val="008668CE"/>
    <w:rsid w:val="00866B21"/>
    <w:rsid w:val="00866B62"/>
    <w:rsid w:val="00866CD7"/>
    <w:rsid w:val="008671FD"/>
    <w:rsid w:val="00867289"/>
    <w:rsid w:val="008672E7"/>
    <w:rsid w:val="0086737D"/>
    <w:rsid w:val="008675FC"/>
    <w:rsid w:val="0086770B"/>
    <w:rsid w:val="0086777E"/>
    <w:rsid w:val="008677E7"/>
    <w:rsid w:val="00867817"/>
    <w:rsid w:val="008678FD"/>
    <w:rsid w:val="0086797A"/>
    <w:rsid w:val="00867A75"/>
    <w:rsid w:val="00867B23"/>
    <w:rsid w:val="00867E4A"/>
    <w:rsid w:val="0087000E"/>
    <w:rsid w:val="00870011"/>
    <w:rsid w:val="0087013E"/>
    <w:rsid w:val="0087020F"/>
    <w:rsid w:val="0087025E"/>
    <w:rsid w:val="00870267"/>
    <w:rsid w:val="008702C1"/>
    <w:rsid w:val="00870322"/>
    <w:rsid w:val="00870329"/>
    <w:rsid w:val="00870411"/>
    <w:rsid w:val="00870687"/>
    <w:rsid w:val="008709B0"/>
    <w:rsid w:val="008709C2"/>
    <w:rsid w:val="00870DA5"/>
    <w:rsid w:val="00870E09"/>
    <w:rsid w:val="0087103E"/>
    <w:rsid w:val="0087107E"/>
    <w:rsid w:val="00871169"/>
    <w:rsid w:val="00871244"/>
    <w:rsid w:val="00871356"/>
    <w:rsid w:val="00871364"/>
    <w:rsid w:val="008713FA"/>
    <w:rsid w:val="00871536"/>
    <w:rsid w:val="00871567"/>
    <w:rsid w:val="008716B7"/>
    <w:rsid w:val="0087181B"/>
    <w:rsid w:val="00871CDE"/>
    <w:rsid w:val="00871D6D"/>
    <w:rsid w:val="00871D77"/>
    <w:rsid w:val="00871E4B"/>
    <w:rsid w:val="00871F30"/>
    <w:rsid w:val="00872296"/>
    <w:rsid w:val="008723FE"/>
    <w:rsid w:val="00872404"/>
    <w:rsid w:val="00872938"/>
    <w:rsid w:val="00872B0F"/>
    <w:rsid w:val="00872BA2"/>
    <w:rsid w:val="0087337C"/>
    <w:rsid w:val="008733FC"/>
    <w:rsid w:val="00873486"/>
    <w:rsid w:val="008734C9"/>
    <w:rsid w:val="00873915"/>
    <w:rsid w:val="008739FC"/>
    <w:rsid w:val="00873F7A"/>
    <w:rsid w:val="00874163"/>
    <w:rsid w:val="008743A2"/>
    <w:rsid w:val="00874691"/>
    <w:rsid w:val="008748CB"/>
    <w:rsid w:val="00874B78"/>
    <w:rsid w:val="00874CD2"/>
    <w:rsid w:val="00874D7E"/>
    <w:rsid w:val="0087504A"/>
    <w:rsid w:val="00875494"/>
    <w:rsid w:val="00875597"/>
    <w:rsid w:val="00875616"/>
    <w:rsid w:val="00875714"/>
    <w:rsid w:val="008757E0"/>
    <w:rsid w:val="00875ABA"/>
    <w:rsid w:val="00875C00"/>
    <w:rsid w:val="00875C6D"/>
    <w:rsid w:val="00875ED3"/>
    <w:rsid w:val="00875FBD"/>
    <w:rsid w:val="00876343"/>
    <w:rsid w:val="008763DE"/>
    <w:rsid w:val="0087640D"/>
    <w:rsid w:val="008764A8"/>
    <w:rsid w:val="00876AAB"/>
    <w:rsid w:val="00876BEC"/>
    <w:rsid w:val="00876C64"/>
    <w:rsid w:val="00876CC4"/>
    <w:rsid w:val="00876CE4"/>
    <w:rsid w:val="00876FBB"/>
    <w:rsid w:val="008770E1"/>
    <w:rsid w:val="0087713E"/>
    <w:rsid w:val="00877220"/>
    <w:rsid w:val="008772CC"/>
    <w:rsid w:val="008773BA"/>
    <w:rsid w:val="00877408"/>
    <w:rsid w:val="00877679"/>
    <w:rsid w:val="00877F48"/>
    <w:rsid w:val="00880114"/>
    <w:rsid w:val="008802E2"/>
    <w:rsid w:val="0088038A"/>
    <w:rsid w:val="0088041C"/>
    <w:rsid w:val="0088050D"/>
    <w:rsid w:val="00880603"/>
    <w:rsid w:val="0088080D"/>
    <w:rsid w:val="00880948"/>
    <w:rsid w:val="008809B2"/>
    <w:rsid w:val="00880BB0"/>
    <w:rsid w:val="00880C94"/>
    <w:rsid w:val="00880CC8"/>
    <w:rsid w:val="00880D8E"/>
    <w:rsid w:val="00880DBE"/>
    <w:rsid w:val="00880DBF"/>
    <w:rsid w:val="00880EBC"/>
    <w:rsid w:val="00881088"/>
    <w:rsid w:val="008810A9"/>
    <w:rsid w:val="00881435"/>
    <w:rsid w:val="0088152A"/>
    <w:rsid w:val="00881663"/>
    <w:rsid w:val="008818EC"/>
    <w:rsid w:val="00881AAA"/>
    <w:rsid w:val="00881B9C"/>
    <w:rsid w:val="00881BED"/>
    <w:rsid w:val="00881D30"/>
    <w:rsid w:val="00881DA7"/>
    <w:rsid w:val="008820E0"/>
    <w:rsid w:val="0088233D"/>
    <w:rsid w:val="008823E2"/>
    <w:rsid w:val="008824B1"/>
    <w:rsid w:val="008824FA"/>
    <w:rsid w:val="00882B66"/>
    <w:rsid w:val="00882C54"/>
    <w:rsid w:val="008834EE"/>
    <w:rsid w:val="00883586"/>
    <w:rsid w:val="008835D1"/>
    <w:rsid w:val="00883663"/>
    <w:rsid w:val="008837D6"/>
    <w:rsid w:val="00883991"/>
    <w:rsid w:val="00883B32"/>
    <w:rsid w:val="00883D2B"/>
    <w:rsid w:val="00883D5B"/>
    <w:rsid w:val="00884246"/>
    <w:rsid w:val="0088433D"/>
    <w:rsid w:val="008844CD"/>
    <w:rsid w:val="0088457E"/>
    <w:rsid w:val="008846BB"/>
    <w:rsid w:val="0088475A"/>
    <w:rsid w:val="00884846"/>
    <w:rsid w:val="00884856"/>
    <w:rsid w:val="008848BE"/>
    <w:rsid w:val="00884C23"/>
    <w:rsid w:val="00884FB7"/>
    <w:rsid w:val="008850C2"/>
    <w:rsid w:val="008850E7"/>
    <w:rsid w:val="0088516F"/>
    <w:rsid w:val="008852BA"/>
    <w:rsid w:val="00885370"/>
    <w:rsid w:val="008853CD"/>
    <w:rsid w:val="0088543D"/>
    <w:rsid w:val="008854C5"/>
    <w:rsid w:val="0088552D"/>
    <w:rsid w:val="008857D7"/>
    <w:rsid w:val="008858AE"/>
    <w:rsid w:val="00885B2F"/>
    <w:rsid w:val="00885B79"/>
    <w:rsid w:val="00885C91"/>
    <w:rsid w:val="00885DA9"/>
    <w:rsid w:val="00885EC7"/>
    <w:rsid w:val="00885F5E"/>
    <w:rsid w:val="00885FC7"/>
    <w:rsid w:val="008860BC"/>
    <w:rsid w:val="008860F4"/>
    <w:rsid w:val="008861E2"/>
    <w:rsid w:val="0088622E"/>
    <w:rsid w:val="008863FC"/>
    <w:rsid w:val="00886416"/>
    <w:rsid w:val="00886617"/>
    <w:rsid w:val="00886A9C"/>
    <w:rsid w:val="00886ABC"/>
    <w:rsid w:val="00886D48"/>
    <w:rsid w:val="008870AA"/>
    <w:rsid w:val="00887147"/>
    <w:rsid w:val="00887191"/>
    <w:rsid w:val="008871F0"/>
    <w:rsid w:val="00887286"/>
    <w:rsid w:val="008873FB"/>
    <w:rsid w:val="00887463"/>
    <w:rsid w:val="00887651"/>
    <w:rsid w:val="00887672"/>
    <w:rsid w:val="008876AF"/>
    <w:rsid w:val="0088771B"/>
    <w:rsid w:val="00887764"/>
    <w:rsid w:val="00887848"/>
    <w:rsid w:val="008879D1"/>
    <w:rsid w:val="00887ABE"/>
    <w:rsid w:val="00887B2C"/>
    <w:rsid w:val="00887D31"/>
    <w:rsid w:val="00887DBF"/>
    <w:rsid w:val="00887DD6"/>
    <w:rsid w:val="00887F24"/>
    <w:rsid w:val="00887F43"/>
    <w:rsid w:val="00890131"/>
    <w:rsid w:val="00890191"/>
    <w:rsid w:val="008903A0"/>
    <w:rsid w:val="0089041F"/>
    <w:rsid w:val="0089049E"/>
    <w:rsid w:val="00890BD4"/>
    <w:rsid w:val="00890DEB"/>
    <w:rsid w:val="00890F26"/>
    <w:rsid w:val="00891014"/>
    <w:rsid w:val="008910AA"/>
    <w:rsid w:val="008911FE"/>
    <w:rsid w:val="00891389"/>
    <w:rsid w:val="008913B5"/>
    <w:rsid w:val="00891402"/>
    <w:rsid w:val="008916DA"/>
    <w:rsid w:val="00891789"/>
    <w:rsid w:val="0089183F"/>
    <w:rsid w:val="008918E6"/>
    <w:rsid w:val="008918F3"/>
    <w:rsid w:val="00891A4E"/>
    <w:rsid w:val="00891AB0"/>
    <w:rsid w:val="00891EBD"/>
    <w:rsid w:val="00891F4D"/>
    <w:rsid w:val="008920A3"/>
    <w:rsid w:val="0089233A"/>
    <w:rsid w:val="0089247F"/>
    <w:rsid w:val="00892537"/>
    <w:rsid w:val="008925F5"/>
    <w:rsid w:val="0089269B"/>
    <w:rsid w:val="008926B1"/>
    <w:rsid w:val="00892710"/>
    <w:rsid w:val="0089278C"/>
    <w:rsid w:val="00892844"/>
    <w:rsid w:val="00892982"/>
    <w:rsid w:val="00892A36"/>
    <w:rsid w:val="00892AA2"/>
    <w:rsid w:val="00892B1E"/>
    <w:rsid w:val="00892D43"/>
    <w:rsid w:val="00892EDC"/>
    <w:rsid w:val="00892F69"/>
    <w:rsid w:val="00892FAA"/>
    <w:rsid w:val="00893041"/>
    <w:rsid w:val="00893071"/>
    <w:rsid w:val="00893284"/>
    <w:rsid w:val="008932D0"/>
    <w:rsid w:val="008932E1"/>
    <w:rsid w:val="008933AC"/>
    <w:rsid w:val="008935F1"/>
    <w:rsid w:val="00893855"/>
    <w:rsid w:val="00893CA3"/>
    <w:rsid w:val="00893F0A"/>
    <w:rsid w:val="00893F12"/>
    <w:rsid w:val="00893F95"/>
    <w:rsid w:val="00894092"/>
    <w:rsid w:val="008940B7"/>
    <w:rsid w:val="0089417C"/>
    <w:rsid w:val="00894578"/>
    <w:rsid w:val="00894697"/>
    <w:rsid w:val="0089487B"/>
    <w:rsid w:val="008948B6"/>
    <w:rsid w:val="00894906"/>
    <w:rsid w:val="00894C1D"/>
    <w:rsid w:val="00894CB6"/>
    <w:rsid w:val="00894D4C"/>
    <w:rsid w:val="00894E6F"/>
    <w:rsid w:val="00895070"/>
    <w:rsid w:val="00895076"/>
    <w:rsid w:val="0089521F"/>
    <w:rsid w:val="00895382"/>
    <w:rsid w:val="00895400"/>
    <w:rsid w:val="00895442"/>
    <w:rsid w:val="008954D6"/>
    <w:rsid w:val="00895550"/>
    <w:rsid w:val="0089555A"/>
    <w:rsid w:val="008955A6"/>
    <w:rsid w:val="008955B8"/>
    <w:rsid w:val="00895888"/>
    <w:rsid w:val="0089598D"/>
    <w:rsid w:val="00895A81"/>
    <w:rsid w:val="00895BE4"/>
    <w:rsid w:val="00895C74"/>
    <w:rsid w:val="00895D6A"/>
    <w:rsid w:val="00895D70"/>
    <w:rsid w:val="00895F10"/>
    <w:rsid w:val="00895F94"/>
    <w:rsid w:val="00896095"/>
    <w:rsid w:val="008961B2"/>
    <w:rsid w:val="0089626F"/>
    <w:rsid w:val="008962BA"/>
    <w:rsid w:val="008964AC"/>
    <w:rsid w:val="008964E1"/>
    <w:rsid w:val="00896587"/>
    <w:rsid w:val="0089658B"/>
    <w:rsid w:val="008966AD"/>
    <w:rsid w:val="008966BB"/>
    <w:rsid w:val="00896725"/>
    <w:rsid w:val="008967DC"/>
    <w:rsid w:val="00896A97"/>
    <w:rsid w:val="00896D16"/>
    <w:rsid w:val="00897216"/>
    <w:rsid w:val="00897801"/>
    <w:rsid w:val="0089785B"/>
    <w:rsid w:val="008978D5"/>
    <w:rsid w:val="008979F8"/>
    <w:rsid w:val="00897A3E"/>
    <w:rsid w:val="00897A68"/>
    <w:rsid w:val="00897EA5"/>
    <w:rsid w:val="008A0193"/>
    <w:rsid w:val="008A0199"/>
    <w:rsid w:val="008A02E2"/>
    <w:rsid w:val="008A06EC"/>
    <w:rsid w:val="008A08A2"/>
    <w:rsid w:val="008A09B2"/>
    <w:rsid w:val="008A0A04"/>
    <w:rsid w:val="008A0BD1"/>
    <w:rsid w:val="008A0C49"/>
    <w:rsid w:val="008A0DDE"/>
    <w:rsid w:val="008A0FAE"/>
    <w:rsid w:val="008A1186"/>
    <w:rsid w:val="008A1447"/>
    <w:rsid w:val="008A1570"/>
    <w:rsid w:val="008A194F"/>
    <w:rsid w:val="008A198C"/>
    <w:rsid w:val="008A19DE"/>
    <w:rsid w:val="008A1A58"/>
    <w:rsid w:val="008A1C44"/>
    <w:rsid w:val="008A1CDD"/>
    <w:rsid w:val="008A1DA3"/>
    <w:rsid w:val="008A1E4A"/>
    <w:rsid w:val="008A1F7F"/>
    <w:rsid w:val="008A255F"/>
    <w:rsid w:val="008A25D7"/>
    <w:rsid w:val="008A273B"/>
    <w:rsid w:val="008A29AA"/>
    <w:rsid w:val="008A2C41"/>
    <w:rsid w:val="008A2ECE"/>
    <w:rsid w:val="008A3108"/>
    <w:rsid w:val="008A3148"/>
    <w:rsid w:val="008A32DF"/>
    <w:rsid w:val="008A3324"/>
    <w:rsid w:val="008A341D"/>
    <w:rsid w:val="008A3503"/>
    <w:rsid w:val="008A3638"/>
    <w:rsid w:val="008A3865"/>
    <w:rsid w:val="008A3962"/>
    <w:rsid w:val="008A3C6B"/>
    <w:rsid w:val="008A3D38"/>
    <w:rsid w:val="008A3EBB"/>
    <w:rsid w:val="008A3EE5"/>
    <w:rsid w:val="008A3F90"/>
    <w:rsid w:val="008A4088"/>
    <w:rsid w:val="008A41A3"/>
    <w:rsid w:val="008A41F4"/>
    <w:rsid w:val="008A4227"/>
    <w:rsid w:val="008A4229"/>
    <w:rsid w:val="008A4406"/>
    <w:rsid w:val="008A440B"/>
    <w:rsid w:val="008A4484"/>
    <w:rsid w:val="008A4665"/>
    <w:rsid w:val="008A4674"/>
    <w:rsid w:val="008A478C"/>
    <w:rsid w:val="008A4884"/>
    <w:rsid w:val="008A497A"/>
    <w:rsid w:val="008A4AEF"/>
    <w:rsid w:val="008A4B51"/>
    <w:rsid w:val="008A4C73"/>
    <w:rsid w:val="008A4D10"/>
    <w:rsid w:val="008A4DEF"/>
    <w:rsid w:val="008A4F05"/>
    <w:rsid w:val="008A5016"/>
    <w:rsid w:val="008A5102"/>
    <w:rsid w:val="008A510C"/>
    <w:rsid w:val="008A5134"/>
    <w:rsid w:val="008A52B1"/>
    <w:rsid w:val="008A5407"/>
    <w:rsid w:val="008A564B"/>
    <w:rsid w:val="008A5717"/>
    <w:rsid w:val="008A5926"/>
    <w:rsid w:val="008A5934"/>
    <w:rsid w:val="008A5B67"/>
    <w:rsid w:val="008A5B95"/>
    <w:rsid w:val="008A5BC9"/>
    <w:rsid w:val="008A5E59"/>
    <w:rsid w:val="008A6018"/>
    <w:rsid w:val="008A6059"/>
    <w:rsid w:val="008A60D7"/>
    <w:rsid w:val="008A631A"/>
    <w:rsid w:val="008A6546"/>
    <w:rsid w:val="008A67B5"/>
    <w:rsid w:val="008A67B7"/>
    <w:rsid w:val="008A68E3"/>
    <w:rsid w:val="008A6901"/>
    <w:rsid w:val="008A69EB"/>
    <w:rsid w:val="008A6A1B"/>
    <w:rsid w:val="008A6B11"/>
    <w:rsid w:val="008A6BB3"/>
    <w:rsid w:val="008A718D"/>
    <w:rsid w:val="008A73CE"/>
    <w:rsid w:val="008A7452"/>
    <w:rsid w:val="008A7485"/>
    <w:rsid w:val="008A7753"/>
    <w:rsid w:val="008A7792"/>
    <w:rsid w:val="008A7878"/>
    <w:rsid w:val="008A7A80"/>
    <w:rsid w:val="008A7BEF"/>
    <w:rsid w:val="008A7BF6"/>
    <w:rsid w:val="008A7BFD"/>
    <w:rsid w:val="008A7C4F"/>
    <w:rsid w:val="008B00E0"/>
    <w:rsid w:val="008B01E3"/>
    <w:rsid w:val="008B03B2"/>
    <w:rsid w:val="008B0406"/>
    <w:rsid w:val="008B0494"/>
    <w:rsid w:val="008B05B9"/>
    <w:rsid w:val="008B05FC"/>
    <w:rsid w:val="008B0735"/>
    <w:rsid w:val="008B075C"/>
    <w:rsid w:val="008B0761"/>
    <w:rsid w:val="008B094E"/>
    <w:rsid w:val="008B0964"/>
    <w:rsid w:val="008B0A32"/>
    <w:rsid w:val="008B0B03"/>
    <w:rsid w:val="008B0BBC"/>
    <w:rsid w:val="008B0D9D"/>
    <w:rsid w:val="008B0E00"/>
    <w:rsid w:val="008B0FCE"/>
    <w:rsid w:val="008B12D8"/>
    <w:rsid w:val="008B15F7"/>
    <w:rsid w:val="008B1702"/>
    <w:rsid w:val="008B1753"/>
    <w:rsid w:val="008B1AFC"/>
    <w:rsid w:val="008B1C42"/>
    <w:rsid w:val="008B1CD0"/>
    <w:rsid w:val="008B1E7E"/>
    <w:rsid w:val="008B1F33"/>
    <w:rsid w:val="008B210B"/>
    <w:rsid w:val="008B22B2"/>
    <w:rsid w:val="008B22D8"/>
    <w:rsid w:val="008B25CE"/>
    <w:rsid w:val="008B2780"/>
    <w:rsid w:val="008B2889"/>
    <w:rsid w:val="008B2A09"/>
    <w:rsid w:val="008B2A53"/>
    <w:rsid w:val="008B2B7A"/>
    <w:rsid w:val="008B2E61"/>
    <w:rsid w:val="008B2FF0"/>
    <w:rsid w:val="008B30C6"/>
    <w:rsid w:val="008B335C"/>
    <w:rsid w:val="008B342E"/>
    <w:rsid w:val="008B34CC"/>
    <w:rsid w:val="008B36D5"/>
    <w:rsid w:val="008B38C8"/>
    <w:rsid w:val="008B3BB3"/>
    <w:rsid w:val="008B3C63"/>
    <w:rsid w:val="008B3CBF"/>
    <w:rsid w:val="008B3DED"/>
    <w:rsid w:val="008B3E89"/>
    <w:rsid w:val="008B3EA3"/>
    <w:rsid w:val="008B3FA7"/>
    <w:rsid w:val="008B4103"/>
    <w:rsid w:val="008B4262"/>
    <w:rsid w:val="008B42DA"/>
    <w:rsid w:val="008B43FC"/>
    <w:rsid w:val="008B4416"/>
    <w:rsid w:val="008B4492"/>
    <w:rsid w:val="008B44E3"/>
    <w:rsid w:val="008B45EA"/>
    <w:rsid w:val="008B49BB"/>
    <w:rsid w:val="008B4AFB"/>
    <w:rsid w:val="008B4DBB"/>
    <w:rsid w:val="008B4E6E"/>
    <w:rsid w:val="008B4F98"/>
    <w:rsid w:val="008B54A5"/>
    <w:rsid w:val="008B5522"/>
    <w:rsid w:val="008B5761"/>
    <w:rsid w:val="008B5988"/>
    <w:rsid w:val="008B5C66"/>
    <w:rsid w:val="008B5CAF"/>
    <w:rsid w:val="008B5E78"/>
    <w:rsid w:val="008B5F08"/>
    <w:rsid w:val="008B6153"/>
    <w:rsid w:val="008B618B"/>
    <w:rsid w:val="008B61A1"/>
    <w:rsid w:val="008B61FB"/>
    <w:rsid w:val="008B63C2"/>
    <w:rsid w:val="008B6454"/>
    <w:rsid w:val="008B6696"/>
    <w:rsid w:val="008B68A6"/>
    <w:rsid w:val="008B6EFC"/>
    <w:rsid w:val="008B6FD6"/>
    <w:rsid w:val="008B7280"/>
    <w:rsid w:val="008B73A6"/>
    <w:rsid w:val="008B753A"/>
    <w:rsid w:val="008B75F6"/>
    <w:rsid w:val="008B7609"/>
    <w:rsid w:val="008B76C4"/>
    <w:rsid w:val="008B77CB"/>
    <w:rsid w:val="008B787F"/>
    <w:rsid w:val="008B78EF"/>
    <w:rsid w:val="008B7AEB"/>
    <w:rsid w:val="008B7D05"/>
    <w:rsid w:val="008B7D82"/>
    <w:rsid w:val="008B7E38"/>
    <w:rsid w:val="008B7F14"/>
    <w:rsid w:val="008B7FFE"/>
    <w:rsid w:val="008C0073"/>
    <w:rsid w:val="008C0197"/>
    <w:rsid w:val="008C02BE"/>
    <w:rsid w:val="008C0407"/>
    <w:rsid w:val="008C0634"/>
    <w:rsid w:val="008C0787"/>
    <w:rsid w:val="008C07A9"/>
    <w:rsid w:val="008C08F8"/>
    <w:rsid w:val="008C090F"/>
    <w:rsid w:val="008C0B98"/>
    <w:rsid w:val="008C0E76"/>
    <w:rsid w:val="008C10AE"/>
    <w:rsid w:val="008C1131"/>
    <w:rsid w:val="008C12AF"/>
    <w:rsid w:val="008C1363"/>
    <w:rsid w:val="008C1382"/>
    <w:rsid w:val="008C19AC"/>
    <w:rsid w:val="008C1B3D"/>
    <w:rsid w:val="008C1C5B"/>
    <w:rsid w:val="008C1E93"/>
    <w:rsid w:val="008C1F52"/>
    <w:rsid w:val="008C2061"/>
    <w:rsid w:val="008C2231"/>
    <w:rsid w:val="008C2342"/>
    <w:rsid w:val="008C2431"/>
    <w:rsid w:val="008C25C4"/>
    <w:rsid w:val="008C25D9"/>
    <w:rsid w:val="008C2624"/>
    <w:rsid w:val="008C2842"/>
    <w:rsid w:val="008C2907"/>
    <w:rsid w:val="008C2951"/>
    <w:rsid w:val="008C2AD6"/>
    <w:rsid w:val="008C2ADF"/>
    <w:rsid w:val="008C2B4F"/>
    <w:rsid w:val="008C2D92"/>
    <w:rsid w:val="008C2F0B"/>
    <w:rsid w:val="008C309F"/>
    <w:rsid w:val="008C31A0"/>
    <w:rsid w:val="008C3346"/>
    <w:rsid w:val="008C3570"/>
    <w:rsid w:val="008C3A7B"/>
    <w:rsid w:val="008C3BAA"/>
    <w:rsid w:val="008C3C28"/>
    <w:rsid w:val="008C3C3D"/>
    <w:rsid w:val="008C3DCF"/>
    <w:rsid w:val="008C404D"/>
    <w:rsid w:val="008C4188"/>
    <w:rsid w:val="008C424D"/>
    <w:rsid w:val="008C432F"/>
    <w:rsid w:val="008C44B3"/>
    <w:rsid w:val="008C4606"/>
    <w:rsid w:val="008C4649"/>
    <w:rsid w:val="008C466C"/>
    <w:rsid w:val="008C4684"/>
    <w:rsid w:val="008C46F7"/>
    <w:rsid w:val="008C47D7"/>
    <w:rsid w:val="008C4E1D"/>
    <w:rsid w:val="008C4F5D"/>
    <w:rsid w:val="008C4F84"/>
    <w:rsid w:val="008C51CB"/>
    <w:rsid w:val="008C5275"/>
    <w:rsid w:val="008C53AB"/>
    <w:rsid w:val="008C53FA"/>
    <w:rsid w:val="008C556A"/>
    <w:rsid w:val="008C572D"/>
    <w:rsid w:val="008C590A"/>
    <w:rsid w:val="008C5C10"/>
    <w:rsid w:val="008C5D0C"/>
    <w:rsid w:val="008C6330"/>
    <w:rsid w:val="008C67F8"/>
    <w:rsid w:val="008C693C"/>
    <w:rsid w:val="008C693E"/>
    <w:rsid w:val="008C6AB0"/>
    <w:rsid w:val="008C6AC9"/>
    <w:rsid w:val="008C6B0B"/>
    <w:rsid w:val="008C6B71"/>
    <w:rsid w:val="008C6DB9"/>
    <w:rsid w:val="008C6E5B"/>
    <w:rsid w:val="008C6E9E"/>
    <w:rsid w:val="008C7171"/>
    <w:rsid w:val="008C7527"/>
    <w:rsid w:val="008C75C3"/>
    <w:rsid w:val="008C7611"/>
    <w:rsid w:val="008C7653"/>
    <w:rsid w:val="008C765E"/>
    <w:rsid w:val="008C7951"/>
    <w:rsid w:val="008C798B"/>
    <w:rsid w:val="008C7A68"/>
    <w:rsid w:val="008C7AE1"/>
    <w:rsid w:val="008C7C9F"/>
    <w:rsid w:val="008C7D5B"/>
    <w:rsid w:val="008C7FBB"/>
    <w:rsid w:val="008C7FE0"/>
    <w:rsid w:val="008D00BF"/>
    <w:rsid w:val="008D00C9"/>
    <w:rsid w:val="008D0477"/>
    <w:rsid w:val="008D04ED"/>
    <w:rsid w:val="008D06A6"/>
    <w:rsid w:val="008D07DE"/>
    <w:rsid w:val="008D0829"/>
    <w:rsid w:val="008D0CBA"/>
    <w:rsid w:val="008D0E55"/>
    <w:rsid w:val="008D0EAF"/>
    <w:rsid w:val="008D1366"/>
    <w:rsid w:val="008D196D"/>
    <w:rsid w:val="008D19E8"/>
    <w:rsid w:val="008D1AC4"/>
    <w:rsid w:val="008D1AE6"/>
    <w:rsid w:val="008D1B5E"/>
    <w:rsid w:val="008D1ED1"/>
    <w:rsid w:val="008D1EED"/>
    <w:rsid w:val="008D20D6"/>
    <w:rsid w:val="008D2265"/>
    <w:rsid w:val="008D26E1"/>
    <w:rsid w:val="008D2906"/>
    <w:rsid w:val="008D2B11"/>
    <w:rsid w:val="008D2BA1"/>
    <w:rsid w:val="008D2D0A"/>
    <w:rsid w:val="008D2D17"/>
    <w:rsid w:val="008D2FFC"/>
    <w:rsid w:val="008D30A5"/>
    <w:rsid w:val="008D3385"/>
    <w:rsid w:val="008D34F4"/>
    <w:rsid w:val="008D363B"/>
    <w:rsid w:val="008D3727"/>
    <w:rsid w:val="008D384B"/>
    <w:rsid w:val="008D38D4"/>
    <w:rsid w:val="008D3B2A"/>
    <w:rsid w:val="008D3B2E"/>
    <w:rsid w:val="008D3B46"/>
    <w:rsid w:val="008D3BC7"/>
    <w:rsid w:val="008D3E14"/>
    <w:rsid w:val="008D407F"/>
    <w:rsid w:val="008D419A"/>
    <w:rsid w:val="008D41BB"/>
    <w:rsid w:val="008D42A1"/>
    <w:rsid w:val="008D4405"/>
    <w:rsid w:val="008D4486"/>
    <w:rsid w:val="008D45CD"/>
    <w:rsid w:val="008D46D8"/>
    <w:rsid w:val="008D4A93"/>
    <w:rsid w:val="008D4A9D"/>
    <w:rsid w:val="008D4BB4"/>
    <w:rsid w:val="008D4BEB"/>
    <w:rsid w:val="008D4C3D"/>
    <w:rsid w:val="008D4CF7"/>
    <w:rsid w:val="008D4D12"/>
    <w:rsid w:val="008D4D57"/>
    <w:rsid w:val="008D4D9D"/>
    <w:rsid w:val="008D4DB6"/>
    <w:rsid w:val="008D4E24"/>
    <w:rsid w:val="008D4FCF"/>
    <w:rsid w:val="008D5018"/>
    <w:rsid w:val="008D50E4"/>
    <w:rsid w:val="008D51DC"/>
    <w:rsid w:val="008D5440"/>
    <w:rsid w:val="008D56AA"/>
    <w:rsid w:val="008D57B9"/>
    <w:rsid w:val="008D5856"/>
    <w:rsid w:val="008D58AD"/>
    <w:rsid w:val="008D5C64"/>
    <w:rsid w:val="008D5D8A"/>
    <w:rsid w:val="008D611A"/>
    <w:rsid w:val="008D6141"/>
    <w:rsid w:val="008D61EB"/>
    <w:rsid w:val="008D61ED"/>
    <w:rsid w:val="008D6243"/>
    <w:rsid w:val="008D63FE"/>
    <w:rsid w:val="008D6606"/>
    <w:rsid w:val="008D6779"/>
    <w:rsid w:val="008D67B6"/>
    <w:rsid w:val="008D68E8"/>
    <w:rsid w:val="008D694B"/>
    <w:rsid w:val="008D697C"/>
    <w:rsid w:val="008D6B13"/>
    <w:rsid w:val="008D6BEF"/>
    <w:rsid w:val="008D6D1D"/>
    <w:rsid w:val="008D6DC1"/>
    <w:rsid w:val="008D6E32"/>
    <w:rsid w:val="008D6EDD"/>
    <w:rsid w:val="008D7041"/>
    <w:rsid w:val="008D7200"/>
    <w:rsid w:val="008D7325"/>
    <w:rsid w:val="008D7445"/>
    <w:rsid w:val="008D770E"/>
    <w:rsid w:val="008D778C"/>
    <w:rsid w:val="008D79E4"/>
    <w:rsid w:val="008D7A29"/>
    <w:rsid w:val="008D7B73"/>
    <w:rsid w:val="008D7F87"/>
    <w:rsid w:val="008D7FF4"/>
    <w:rsid w:val="008E001D"/>
    <w:rsid w:val="008E01D1"/>
    <w:rsid w:val="008E04E0"/>
    <w:rsid w:val="008E04E8"/>
    <w:rsid w:val="008E07C3"/>
    <w:rsid w:val="008E09EC"/>
    <w:rsid w:val="008E0AE0"/>
    <w:rsid w:val="008E0AF9"/>
    <w:rsid w:val="008E0BEA"/>
    <w:rsid w:val="008E0DC3"/>
    <w:rsid w:val="008E1082"/>
    <w:rsid w:val="008E10E1"/>
    <w:rsid w:val="008E1152"/>
    <w:rsid w:val="008E11DF"/>
    <w:rsid w:val="008E1313"/>
    <w:rsid w:val="008E146B"/>
    <w:rsid w:val="008E1540"/>
    <w:rsid w:val="008E15C5"/>
    <w:rsid w:val="008E15FB"/>
    <w:rsid w:val="008E1738"/>
    <w:rsid w:val="008E1A59"/>
    <w:rsid w:val="008E1B00"/>
    <w:rsid w:val="008E1E03"/>
    <w:rsid w:val="008E1E22"/>
    <w:rsid w:val="008E1EA4"/>
    <w:rsid w:val="008E2190"/>
    <w:rsid w:val="008E2257"/>
    <w:rsid w:val="008E22B1"/>
    <w:rsid w:val="008E23A2"/>
    <w:rsid w:val="008E246C"/>
    <w:rsid w:val="008E26F2"/>
    <w:rsid w:val="008E2701"/>
    <w:rsid w:val="008E28AA"/>
    <w:rsid w:val="008E29FD"/>
    <w:rsid w:val="008E2BA1"/>
    <w:rsid w:val="008E2C79"/>
    <w:rsid w:val="008E2E5E"/>
    <w:rsid w:val="008E2FB3"/>
    <w:rsid w:val="008E3004"/>
    <w:rsid w:val="008E310C"/>
    <w:rsid w:val="008E3254"/>
    <w:rsid w:val="008E328A"/>
    <w:rsid w:val="008E32AA"/>
    <w:rsid w:val="008E3337"/>
    <w:rsid w:val="008E3376"/>
    <w:rsid w:val="008E357D"/>
    <w:rsid w:val="008E359D"/>
    <w:rsid w:val="008E3ABA"/>
    <w:rsid w:val="008E3B11"/>
    <w:rsid w:val="008E3EBE"/>
    <w:rsid w:val="008E3F40"/>
    <w:rsid w:val="008E4211"/>
    <w:rsid w:val="008E42D1"/>
    <w:rsid w:val="008E4312"/>
    <w:rsid w:val="008E4366"/>
    <w:rsid w:val="008E4418"/>
    <w:rsid w:val="008E4442"/>
    <w:rsid w:val="008E47AD"/>
    <w:rsid w:val="008E4807"/>
    <w:rsid w:val="008E4965"/>
    <w:rsid w:val="008E4C9C"/>
    <w:rsid w:val="008E4D12"/>
    <w:rsid w:val="008E4EE0"/>
    <w:rsid w:val="008E4F62"/>
    <w:rsid w:val="008E4FE8"/>
    <w:rsid w:val="008E515C"/>
    <w:rsid w:val="008E51E4"/>
    <w:rsid w:val="008E51F3"/>
    <w:rsid w:val="008E53C8"/>
    <w:rsid w:val="008E586A"/>
    <w:rsid w:val="008E5D7F"/>
    <w:rsid w:val="008E5DBF"/>
    <w:rsid w:val="008E5F22"/>
    <w:rsid w:val="008E6024"/>
    <w:rsid w:val="008E6065"/>
    <w:rsid w:val="008E60F2"/>
    <w:rsid w:val="008E64E4"/>
    <w:rsid w:val="008E667E"/>
    <w:rsid w:val="008E675C"/>
    <w:rsid w:val="008E684C"/>
    <w:rsid w:val="008E684E"/>
    <w:rsid w:val="008E6896"/>
    <w:rsid w:val="008E6924"/>
    <w:rsid w:val="008E6973"/>
    <w:rsid w:val="008E69D1"/>
    <w:rsid w:val="008E6BED"/>
    <w:rsid w:val="008E6C4C"/>
    <w:rsid w:val="008E6CF4"/>
    <w:rsid w:val="008E7003"/>
    <w:rsid w:val="008E7151"/>
    <w:rsid w:val="008E717C"/>
    <w:rsid w:val="008E72EF"/>
    <w:rsid w:val="008E75BF"/>
    <w:rsid w:val="008E78C1"/>
    <w:rsid w:val="008E7933"/>
    <w:rsid w:val="008E7D2E"/>
    <w:rsid w:val="008E7DE9"/>
    <w:rsid w:val="008F00F3"/>
    <w:rsid w:val="008F0184"/>
    <w:rsid w:val="008F01C7"/>
    <w:rsid w:val="008F02CE"/>
    <w:rsid w:val="008F0381"/>
    <w:rsid w:val="008F049D"/>
    <w:rsid w:val="008F04CE"/>
    <w:rsid w:val="008F04D9"/>
    <w:rsid w:val="008F0758"/>
    <w:rsid w:val="008F08E9"/>
    <w:rsid w:val="008F0C4E"/>
    <w:rsid w:val="008F0C5E"/>
    <w:rsid w:val="008F0CC1"/>
    <w:rsid w:val="008F0CF6"/>
    <w:rsid w:val="008F0D20"/>
    <w:rsid w:val="008F0E19"/>
    <w:rsid w:val="008F1145"/>
    <w:rsid w:val="008F1171"/>
    <w:rsid w:val="008F1320"/>
    <w:rsid w:val="008F143B"/>
    <w:rsid w:val="008F1569"/>
    <w:rsid w:val="008F166F"/>
    <w:rsid w:val="008F17FA"/>
    <w:rsid w:val="008F19B0"/>
    <w:rsid w:val="008F1C64"/>
    <w:rsid w:val="008F1D2B"/>
    <w:rsid w:val="008F1D60"/>
    <w:rsid w:val="008F1E19"/>
    <w:rsid w:val="008F1E6A"/>
    <w:rsid w:val="008F20F1"/>
    <w:rsid w:val="008F2200"/>
    <w:rsid w:val="008F23E2"/>
    <w:rsid w:val="008F25B8"/>
    <w:rsid w:val="008F27F5"/>
    <w:rsid w:val="008F2B3D"/>
    <w:rsid w:val="008F2C0E"/>
    <w:rsid w:val="008F2C92"/>
    <w:rsid w:val="008F2D26"/>
    <w:rsid w:val="008F2DE2"/>
    <w:rsid w:val="008F30B4"/>
    <w:rsid w:val="008F30D5"/>
    <w:rsid w:val="008F318A"/>
    <w:rsid w:val="008F3358"/>
    <w:rsid w:val="008F33BA"/>
    <w:rsid w:val="008F3516"/>
    <w:rsid w:val="008F362D"/>
    <w:rsid w:val="008F38C8"/>
    <w:rsid w:val="008F3B2C"/>
    <w:rsid w:val="008F3D05"/>
    <w:rsid w:val="008F4050"/>
    <w:rsid w:val="008F4385"/>
    <w:rsid w:val="008F43EB"/>
    <w:rsid w:val="008F46C1"/>
    <w:rsid w:val="008F4854"/>
    <w:rsid w:val="008F493F"/>
    <w:rsid w:val="008F4A56"/>
    <w:rsid w:val="008F4BB4"/>
    <w:rsid w:val="008F4C72"/>
    <w:rsid w:val="008F4CE5"/>
    <w:rsid w:val="008F4D8F"/>
    <w:rsid w:val="008F4E90"/>
    <w:rsid w:val="008F5010"/>
    <w:rsid w:val="008F51AF"/>
    <w:rsid w:val="008F5263"/>
    <w:rsid w:val="008F52D3"/>
    <w:rsid w:val="008F5405"/>
    <w:rsid w:val="008F54FD"/>
    <w:rsid w:val="008F55E6"/>
    <w:rsid w:val="008F56BE"/>
    <w:rsid w:val="008F56DA"/>
    <w:rsid w:val="008F5721"/>
    <w:rsid w:val="008F5762"/>
    <w:rsid w:val="008F585C"/>
    <w:rsid w:val="008F58CC"/>
    <w:rsid w:val="008F592E"/>
    <w:rsid w:val="008F59C2"/>
    <w:rsid w:val="008F5AD7"/>
    <w:rsid w:val="008F5AFE"/>
    <w:rsid w:val="008F5C42"/>
    <w:rsid w:val="008F5D9C"/>
    <w:rsid w:val="008F5E98"/>
    <w:rsid w:val="008F6150"/>
    <w:rsid w:val="008F6309"/>
    <w:rsid w:val="008F633C"/>
    <w:rsid w:val="008F642D"/>
    <w:rsid w:val="008F66D5"/>
    <w:rsid w:val="008F685E"/>
    <w:rsid w:val="008F6C8B"/>
    <w:rsid w:val="008F6CDF"/>
    <w:rsid w:val="008F6DE2"/>
    <w:rsid w:val="008F70F2"/>
    <w:rsid w:val="008F70FB"/>
    <w:rsid w:val="008F72C5"/>
    <w:rsid w:val="008F750A"/>
    <w:rsid w:val="008F75E0"/>
    <w:rsid w:val="008F76C7"/>
    <w:rsid w:val="008F7730"/>
    <w:rsid w:val="008F7831"/>
    <w:rsid w:val="008F79E7"/>
    <w:rsid w:val="008F7B19"/>
    <w:rsid w:val="008F7BF1"/>
    <w:rsid w:val="008F7D0C"/>
    <w:rsid w:val="008F7F98"/>
    <w:rsid w:val="00900332"/>
    <w:rsid w:val="0090054A"/>
    <w:rsid w:val="009005B3"/>
    <w:rsid w:val="0090063E"/>
    <w:rsid w:val="009006AA"/>
    <w:rsid w:val="009006D7"/>
    <w:rsid w:val="009007C4"/>
    <w:rsid w:val="0090080F"/>
    <w:rsid w:val="009009B3"/>
    <w:rsid w:val="009009D1"/>
    <w:rsid w:val="00900A00"/>
    <w:rsid w:val="00900A55"/>
    <w:rsid w:val="00900B08"/>
    <w:rsid w:val="00900C5B"/>
    <w:rsid w:val="00900C66"/>
    <w:rsid w:val="00900CFA"/>
    <w:rsid w:val="00900D8A"/>
    <w:rsid w:val="00900F02"/>
    <w:rsid w:val="00900F25"/>
    <w:rsid w:val="00900F44"/>
    <w:rsid w:val="00900FFB"/>
    <w:rsid w:val="0090105A"/>
    <w:rsid w:val="009011CC"/>
    <w:rsid w:val="009011D5"/>
    <w:rsid w:val="009011FE"/>
    <w:rsid w:val="009013E4"/>
    <w:rsid w:val="0090159C"/>
    <w:rsid w:val="009015B9"/>
    <w:rsid w:val="00901921"/>
    <w:rsid w:val="00901954"/>
    <w:rsid w:val="00901AE3"/>
    <w:rsid w:val="00901B24"/>
    <w:rsid w:val="00901BC5"/>
    <w:rsid w:val="00901F50"/>
    <w:rsid w:val="00902076"/>
    <w:rsid w:val="0090215D"/>
    <w:rsid w:val="00902484"/>
    <w:rsid w:val="009025AA"/>
    <w:rsid w:val="00902793"/>
    <w:rsid w:val="009029A8"/>
    <w:rsid w:val="00902C79"/>
    <w:rsid w:val="00902F09"/>
    <w:rsid w:val="00902FF6"/>
    <w:rsid w:val="00903218"/>
    <w:rsid w:val="009032A5"/>
    <w:rsid w:val="00903321"/>
    <w:rsid w:val="0090333F"/>
    <w:rsid w:val="009035B6"/>
    <w:rsid w:val="00903709"/>
    <w:rsid w:val="0090397B"/>
    <w:rsid w:val="00903B53"/>
    <w:rsid w:val="00903D10"/>
    <w:rsid w:val="00903F75"/>
    <w:rsid w:val="00903FFC"/>
    <w:rsid w:val="0090432E"/>
    <w:rsid w:val="009043DC"/>
    <w:rsid w:val="009044C0"/>
    <w:rsid w:val="00904563"/>
    <w:rsid w:val="00904B7A"/>
    <w:rsid w:val="00904FBB"/>
    <w:rsid w:val="009051D0"/>
    <w:rsid w:val="009051D8"/>
    <w:rsid w:val="00905270"/>
    <w:rsid w:val="009058BD"/>
    <w:rsid w:val="00905940"/>
    <w:rsid w:val="0090595F"/>
    <w:rsid w:val="00905A8E"/>
    <w:rsid w:val="00905C08"/>
    <w:rsid w:val="00905C82"/>
    <w:rsid w:val="009061F3"/>
    <w:rsid w:val="00906204"/>
    <w:rsid w:val="00906293"/>
    <w:rsid w:val="00906641"/>
    <w:rsid w:val="009068DC"/>
    <w:rsid w:val="009069CC"/>
    <w:rsid w:val="00906AEA"/>
    <w:rsid w:val="00906B1B"/>
    <w:rsid w:val="00906CB0"/>
    <w:rsid w:val="00906CEC"/>
    <w:rsid w:val="00906D6C"/>
    <w:rsid w:val="00906FC0"/>
    <w:rsid w:val="00907541"/>
    <w:rsid w:val="009077FA"/>
    <w:rsid w:val="00907BFF"/>
    <w:rsid w:val="00907C1B"/>
    <w:rsid w:val="00907CE6"/>
    <w:rsid w:val="00907D12"/>
    <w:rsid w:val="00907E44"/>
    <w:rsid w:val="00907EA2"/>
    <w:rsid w:val="00910038"/>
    <w:rsid w:val="00910046"/>
    <w:rsid w:val="009101E0"/>
    <w:rsid w:val="0091024A"/>
    <w:rsid w:val="009105CE"/>
    <w:rsid w:val="009106A9"/>
    <w:rsid w:val="00910741"/>
    <w:rsid w:val="00910951"/>
    <w:rsid w:val="00910ACB"/>
    <w:rsid w:val="00910B84"/>
    <w:rsid w:val="00910D29"/>
    <w:rsid w:val="00910DD8"/>
    <w:rsid w:val="00910F3C"/>
    <w:rsid w:val="00911040"/>
    <w:rsid w:val="00911150"/>
    <w:rsid w:val="00911343"/>
    <w:rsid w:val="0091149E"/>
    <w:rsid w:val="0091176E"/>
    <w:rsid w:val="00911990"/>
    <w:rsid w:val="00911A6F"/>
    <w:rsid w:val="00911AAF"/>
    <w:rsid w:val="00911ACF"/>
    <w:rsid w:val="00911B51"/>
    <w:rsid w:val="00911C79"/>
    <w:rsid w:val="00911CA6"/>
    <w:rsid w:val="00911CED"/>
    <w:rsid w:val="00911E6F"/>
    <w:rsid w:val="00911F32"/>
    <w:rsid w:val="00911F9C"/>
    <w:rsid w:val="009120BF"/>
    <w:rsid w:val="0091235C"/>
    <w:rsid w:val="00912446"/>
    <w:rsid w:val="0091278F"/>
    <w:rsid w:val="009128D9"/>
    <w:rsid w:val="00912A09"/>
    <w:rsid w:val="00912A12"/>
    <w:rsid w:val="00912A45"/>
    <w:rsid w:val="00912C63"/>
    <w:rsid w:val="00912C98"/>
    <w:rsid w:val="00912E9D"/>
    <w:rsid w:val="00912EB9"/>
    <w:rsid w:val="00912FB9"/>
    <w:rsid w:val="00912FBC"/>
    <w:rsid w:val="00913144"/>
    <w:rsid w:val="00913271"/>
    <w:rsid w:val="00913682"/>
    <w:rsid w:val="00913769"/>
    <w:rsid w:val="0091389D"/>
    <w:rsid w:val="00913A96"/>
    <w:rsid w:val="00913B03"/>
    <w:rsid w:val="00913B43"/>
    <w:rsid w:val="00913B5C"/>
    <w:rsid w:val="00913B77"/>
    <w:rsid w:val="00913F55"/>
    <w:rsid w:val="009141C7"/>
    <w:rsid w:val="009143AE"/>
    <w:rsid w:val="0091479E"/>
    <w:rsid w:val="00914837"/>
    <w:rsid w:val="00914C4F"/>
    <w:rsid w:val="00914E39"/>
    <w:rsid w:val="00914F12"/>
    <w:rsid w:val="00914F6B"/>
    <w:rsid w:val="00914FAE"/>
    <w:rsid w:val="00915069"/>
    <w:rsid w:val="009150C0"/>
    <w:rsid w:val="00915174"/>
    <w:rsid w:val="009152A7"/>
    <w:rsid w:val="0091537A"/>
    <w:rsid w:val="00915386"/>
    <w:rsid w:val="00915720"/>
    <w:rsid w:val="0091574E"/>
    <w:rsid w:val="00915862"/>
    <w:rsid w:val="009158C8"/>
    <w:rsid w:val="009159BA"/>
    <w:rsid w:val="00915C63"/>
    <w:rsid w:val="0091619C"/>
    <w:rsid w:val="009163A6"/>
    <w:rsid w:val="00916456"/>
    <w:rsid w:val="009164E8"/>
    <w:rsid w:val="009165F8"/>
    <w:rsid w:val="00916650"/>
    <w:rsid w:val="009169D9"/>
    <w:rsid w:val="00916AE2"/>
    <w:rsid w:val="00916AE9"/>
    <w:rsid w:val="00916CA8"/>
    <w:rsid w:val="00916EC1"/>
    <w:rsid w:val="00916FF6"/>
    <w:rsid w:val="00917130"/>
    <w:rsid w:val="00917687"/>
    <w:rsid w:val="00917DF5"/>
    <w:rsid w:val="00917E0E"/>
    <w:rsid w:val="00920051"/>
    <w:rsid w:val="009202B6"/>
    <w:rsid w:val="009202B7"/>
    <w:rsid w:val="0092055D"/>
    <w:rsid w:val="009205C8"/>
    <w:rsid w:val="00920614"/>
    <w:rsid w:val="00920654"/>
    <w:rsid w:val="0092065D"/>
    <w:rsid w:val="00920708"/>
    <w:rsid w:val="00920750"/>
    <w:rsid w:val="009207B5"/>
    <w:rsid w:val="00920A74"/>
    <w:rsid w:val="00920AEE"/>
    <w:rsid w:val="00920D45"/>
    <w:rsid w:val="00920ED1"/>
    <w:rsid w:val="00920EF6"/>
    <w:rsid w:val="00920FD6"/>
    <w:rsid w:val="0092134E"/>
    <w:rsid w:val="009213FC"/>
    <w:rsid w:val="00921600"/>
    <w:rsid w:val="0092186B"/>
    <w:rsid w:val="009218DD"/>
    <w:rsid w:val="00921AB2"/>
    <w:rsid w:val="00921ABF"/>
    <w:rsid w:val="00921C5A"/>
    <w:rsid w:val="00921D33"/>
    <w:rsid w:val="00921DEC"/>
    <w:rsid w:val="00921EDB"/>
    <w:rsid w:val="00921FAC"/>
    <w:rsid w:val="0092265F"/>
    <w:rsid w:val="00922844"/>
    <w:rsid w:val="00922BFD"/>
    <w:rsid w:val="00922C79"/>
    <w:rsid w:val="00922CA0"/>
    <w:rsid w:val="00922CF8"/>
    <w:rsid w:val="009230CE"/>
    <w:rsid w:val="00923493"/>
    <w:rsid w:val="009234F5"/>
    <w:rsid w:val="00923649"/>
    <w:rsid w:val="00923671"/>
    <w:rsid w:val="00923867"/>
    <w:rsid w:val="009238D1"/>
    <w:rsid w:val="00923BFC"/>
    <w:rsid w:val="00923D4D"/>
    <w:rsid w:val="00923E68"/>
    <w:rsid w:val="00923EE1"/>
    <w:rsid w:val="00923FD2"/>
    <w:rsid w:val="009240CA"/>
    <w:rsid w:val="0092455F"/>
    <w:rsid w:val="009245DA"/>
    <w:rsid w:val="00924682"/>
    <w:rsid w:val="009248E0"/>
    <w:rsid w:val="009249FE"/>
    <w:rsid w:val="00924AEA"/>
    <w:rsid w:val="00924EE7"/>
    <w:rsid w:val="00924FF9"/>
    <w:rsid w:val="009251A8"/>
    <w:rsid w:val="009251D6"/>
    <w:rsid w:val="0092522B"/>
    <w:rsid w:val="009254A5"/>
    <w:rsid w:val="009254AC"/>
    <w:rsid w:val="00925623"/>
    <w:rsid w:val="0092567D"/>
    <w:rsid w:val="00925878"/>
    <w:rsid w:val="00925916"/>
    <w:rsid w:val="00925A7E"/>
    <w:rsid w:val="00925E91"/>
    <w:rsid w:val="00925EB7"/>
    <w:rsid w:val="00926397"/>
    <w:rsid w:val="0092648D"/>
    <w:rsid w:val="00926654"/>
    <w:rsid w:val="0092687D"/>
    <w:rsid w:val="0092693C"/>
    <w:rsid w:val="00926B96"/>
    <w:rsid w:val="00926CC5"/>
    <w:rsid w:val="00926CFF"/>
    <w:rsid w:val="00926F21"/>
    <w:rsid w:val="00926F58"/>
    <w:rsid w:val="00926F8B"/>
    <w:rsid w:val="0092703F"/>
    <w:rsid w:val="009270D9"/>
    <w:rsid w:val="0092749D"/>
    <w:rsid w:val="009274CE"/>
    <w:rsid w:val="00927640"/>
    <w:rsid w:val="0092770B"/>
    <w:rsid w:val="00927841"/>
    <w:rsid w:val="0092786C"/>
    <w:rsid w:val="009278AF"/>
    <w:rsid w:val="00927B9C"/>
    <w:rsid w:val="00927C15"/>
    <w:rsid w:val="00927D73"/>
    <w:rsid w:val="00927D7A"/>
    <w:rsid w:val="00927F3E"/>
    <w:rsid w:val="00930000"/>
    <w:rsid w:val="0093002F"/>
    <w:rsid w:val="00930047"/>
    <w:rsid w:val="0093009D"/>
    <w:rsid w:val="0093014A"/>
    <w:rsid w:val="00930339"/>
    <w:rsid w:val="0093035E"/>
    <w:rsid w:val="0093058B"/>
    <w:rsid w:val="0093083C"/>
    <w:rsid w:val="0093086E"/>
    <w:rsid w:val="00930897"/>
    <w:rsid w:val="00930909"/>
    <w:rsid w:val="00930A11"/>
    <w:rsid w:val="00930A86"/>
    <w:rsid w:val="00930CE9"/>
    <w:rsid w:val="00930E5B"/>
    <w:rsid w:val="00931000"/>
    <w:rsid w:val="0093129C"/>
    <w:rsid w:val="009314F8"/>
    <w:rsid w:val="00931665"/>
    <w:rsid w:val="009316CB"/>
    <w:rsid w:val="0093184E"/>
    <w:rsid w:val="0093190A"/>
    <w:rsid w:val="00931945"/>
    <w:rsid w:val="009319CA"/>
    <w:rsid w:val="00931A85"/>
    <w:rsid w:val="00931B12"/>
    <w:rsid w:val="00931D15"/>
    <w:rsid w:val="00931DA1"/>
    <w:rsid w:val="00931E3A"/>
    <w:rsid w:val="00931EE4"/>
    <w:rsid w:val="00931F73"/>
    <w:rsid w:val="0093206A"/>
    <w:rsid w:val="00932118"/>
    <w:rsid w:val="009321A9"/>
    <w:rsid w:val="009321DB"/>
    <w:rsid w:val="00932333"/>
    <w:rsid w:val="009323B5"/>
    <w:rsid w:val="00932A44"/>
    <w:rsid w:val="00932B94"/>
    <w:rsid w:val="00932BC1"/>
    <w:rsid w:val="00932C87"/>
    <w:rsid w:val="00932D3F"/>
    <w:rsid w:val="00932F07"/>
    <w:rsid w:val="0093311D"/>
    <w:rsid w:val="009331DC"/>
    <w:rsid w:val="00933204"/>
    <w:rsid w:val="009334A2"/>
    <w:rsid w:val="0093350B"/>
    <w:rsid w:val="009336D8"/>
    <w:rsid w:val="0093370F"/>
    <w:rsid w:val="009337E0"/>
    <w:rsid w:val="00933854"/>
    <w:rsid w:val="009338D6"/>
    <w:rsid w:val="00933A37"/>
    <w:rsid w:val="00933B10"/>
    <w:rsid w:val="00933C0E"/>
    <w:rsid w:val="00933C3C"/>
    <w:rsid w:val="00933C75"/>
    <w:rsid w:val="00933DDF"/>
    <w:rsid w:val="00933DE8"/>
    <w:rsid w:val="00933EC7"/>
    <w:rsid w:val="00933FB7"/>
    <w:rsid w:val="009341CF"/>
    <w:rsid w:val="009344A8"/>
    <w:rsid w:val="009345AC"/>
    <w:rsid w:val="00934726"/>
    <w:rsid w:val="0093480A"/>
    <w:rsid w:val="0093499A"/>
    <w:rsid w:val="00934CA0"/>
    <w:rsid w:val="00934F01"/>
    <w:rsid w:val="00934FD2"/>
    <w:rsid w:val="00935037"/>
    <w:rsid w:val="009351A0"/>
    <w:rsid w:val="009351EA"/>
    <w:rsid w:val="00935273"/>
    <w:rsid w:val="00935303"/>
    <w:rsid w:val="009353A7"/>
    <w:rsid w:val="00935534"/>
    <w:rsid w:val="009358AF"/>
    <w:rsid w:val="009358B1"/>
    <w:rsid w:val="009358B5"/>
    <w:rsid w:val="00935A92"/>
    <w:rsid w:val="00935D6C"/>
    <w:rsid w:val="00935DF3"/>
    <w:rsid w:val="00935F3C"/>
    <w:rsid w:val="00935F90"/>
    <w:rsid w:val="0093608E"/>
    <w:rsid w:val="00936183"/>
    <w:rsid w:val="0093622E"/>
    <w:rsid w:val="00936279"/>
    <w:rsid w:val="0093645C"/>
    <w:rsid w:val="009364FE"/>
    <w:rsid w:val="00936968"/>
    <w:rsid w:val="0093704D"/>
    <w:rsid w:val="00937087"/>
    <w:rsid w:val="00937214"/>
    <w:rsid w:val="009372F1"/>
    <w:rsid w:val="0093731B"/>
    <w:rsid w:val="00937323"/>
    <w:rsid w:val="0093747F"/>
    <w:rsid w:val="00937518"/>
    <w:rsid w:val="0093758E"/>
    <w:rsid w:val="009376FC"/>
    <w:rsid w:val="00937933"/>
    <w:rsid w:val="00937D87"/>
    <w:rsid w:val="00937DF2"/>
    <w:rsid w:val="00937E9B"/>
    <w:rsid w:val="00937F4E"/>
    <w:rsid w:val="00937FEA"/>
    <w:rsid w:val="00940046"/>
    <w:rsid w:val="00940083"/>
    <w:rsid w:val="009404E1"/>
    <w:rsid w:val="00940535"/>
    <w:rsid w:val="00940850"/>
    <w:rsid w:val="00940A59"/>
    <w:rsid w:val="00940AE7"/>
    <w:rsid w:val="00940BCC"/>
    <w:rsid w:val="00940C76"/>
    <w:rsid w:val="00940D38"/>
    <w:rsid w:val="00940DE5"/>
    <w:rsid w:val="00940E13"/>
    <w:rsid w:val="00940E21"/>
    <w:rsid w:val="00940EA2"/>
    <w:rsid w:val="00940F39"/>
    <w:rsid w:val="00941248"/>
    <w:rsid w:val="00941346"/>
    <w:rsid w:val="0094134F"/>
    <w:rsid w:val="009415BA"/>
    <w:rsid w:val="0094168C"/>
    <w:rsid w:val="0094185F"/>
    <w:rsid w:val="00941D43"/>
    <w:rsid w:val="00941EAA"/>
    <w:rsid w:val="00941F69"/>
    <w:rsid w:val="0094202D"/>
    <w:rsid w:val="0094204E"/>
    <w:rsid w:val="00942197"/>
    <w:rsid w:val="00942258"/>
    <w:rsid w:val="0094228F"/>
    <w:rsid w:val="009423AA"/>
    <w:rsid w:val="009423B8"/>
    <w:rsid w:val="00942494"/>
    <w:rsid w:val="009424F0"/>
    <w:rsid w:val="00942529"/>
    <w:rsid w:val="00942569"/>
    <w:rsid w:val="009425F0"/>
    <w:rsid w:val="0094278E"/>
    <w:rsid w:val="0094282D"/>
    <w:rsid w:val="0094294F"/>
    <w:rsid w:val="00942CF2"/>
    <w:rsid w:val="00942D8C"/>
    <w:rsid w:val="00942DB7"/>
    <w:rsid w:val="00942F21"/>
    <w:rsid w:val="00943472"/>
    <w:rsid w:val="009434EF"/>
    <w:rsid w:val="009435D8"/>
    <w:rsid w:val="0094376B"/>
    <w:rsid w:val="00943898"/>
    <w:rsid w:val="00943927"/>
    <w:rsid w:val="00943BA3"/>
    <w:rsid w:val="00943C1E"/>
    <w:rsid w:val="00943C7E"/>
    <w:rsid w:val="00943EC6"/>
    <w:rsid w:val="00943ED0"/>
    <w:rsid w:val="00943EE6"/>
    <w:rsid w:val="0094401D"/>
    <w:rsid w:val="00944067"/>
    <w:rsid w:val="009440E3"/>
    <w:rsid w:val="00944164"/>
    <w:rsid w:val="00944250"/>
    <w:rsid w:val="009445B3"/>
    <w:rsid w:val="009445E9"/>
    <w:rsid w:val="0094464E"/>
    <w:rsid w:val="00944980"/>
    <w:rsid w:val="00944AC9"/>
    <w:rsid w:val="00944CD3"/>
    <w:rsid w:val="00944D5E"/>
    <w:rsid w:val="00944E84"/>
    <w:rsid w:val="00945046"/>
    <w:rsid w:val="009450BB"/>
    <w:rsid w:val="009450EE"/>
    <w:rsid w:val="009451FB"/>
    <w:rsid w:val="00945284"/>
    <w:rsid w:val="009455C5"/>
    <w:rsid w:val="00945684"/>
    <w:rsid w:val="00945948"/>
    <w:rsid w:val="00945A8C"/>
    <w:rsid w:val="00945A9F"/>
    <w:rsid w:val="00945C64"/>
    <w:rsid w:val="00945E99"/>
    <w:rsid w:val="00945F47"/>
    <w:rsid w:val="00945FED"/>
    <w:rsid w:val="00946070"/>
    <w:rsid w:val="009463BA"/>
    <w:rsid w:val="00946531"/>
    <w:rsid w:val="009465A2"/>
    <w:rsid w:val="00946674"/>
    <w:rsid w:val="009466A3"/>
    <w:rsid w:val="00946785"/>
    <w:rsid w:val="0094685A"/>
    <w:rsid w:val="00946889"/>
    <w:rsid w:val="009468FF"/>
    <w:rsid w:val="00946912"/>
    <w:rsid w:val="00946C84"/>
    <w:rsid w:val="00946DAD"/>
    <w:rsid w:val="00946E43"/>
    <w:rsid w:val="00946F17"/>
    <w:rsid w:val="00946FD4"/>
    <w:rsid w:val="00947123"/>
    <w:rsid w:val="00947157"/>
    <w:rsid w:val="00947238"/>
    <w:rsid w:val="00947320"/>
    <w:rsid w:val="00947329"/>
    <w:rsid w:val="00947471"/>
    <w:rsid w:val="009475B3"/>
    <w:rsid w:val="0094773A"/>
    <w:rsid w:val="00947A4A"/>
    <w:rsid w:val="00947A5D"/>
    <w:rsid w:val="00947A96"/>
    <w:rsid w:val="00947C2A"/>
    <w:rsid w:val="00947F00"/>
    <w:rsid w:val="00947F0E"/>
    <w:rsid w:val="00950092"/>
    <w:rsid w:val="009500E9"/>
    <w:rsid w:val="009500F0"/>
    <w:rsid w:val="00950257"/>
    <w:rsid w:val="00950281"/>
    <w:rsid w:val="009503B5"/>
    <w:rsid w:val="00950575"/>
    <w:rsid w:val="00950A76"/>
    <w:rsid w:val="00950C2B"/>
    <w:rsid w:val="00950F17"/>
    <w:rsid w:val="0095111C"/>
    <w:rsid w:val="0095123E"/>
    <w:rsid w:val="00951242"/>
    <w:rsid w:val="00951428"/>
    <w:rsid w:val="00951532"/>
    <w:rsid w:val="009517E7"/>
    <w:rsid w:val="00951998"/>
    <w:rsid w:val="00951CB3"/>
    <w:rsid w:val="00951E1B"/>
    <w:rsid w:val="00951E23"/>
    <w:rsid w:val="009524E7"/>
    <w:rsid w:val="0095255F"/>
    <w:rsid w:val="009526F4"/>
    <w:rsid w:val="0095280E"/>
    <w:rsid w:val="009529CF"/>
    <w:rsid w:val="00952A81"/>
    <w:rsid w:val="00952AA1"/>
    <w:rsid w:val="00952B52"/>
    <w:rsid w:val="00952B6A"/>
    <w:rsid w:val="00952E16"/>
    <w:rsid w:val="0095305B"/>
    <w:rsid w:val="00953060"/>
    <w:rsid w:val="00953103"/>
    <w:rsid w:val="00953127"/>
    <w:rsid w:val="00953299"/>
    <w:rsid w:val="0095357E"/>
    <w:rsid w:val="00953612"/>
    <w:rsid w:val="009536DA"/>
    <w:rsid w:val="00953838"/>
    <w:rsid w:val="009538D0"/>
    <w:rsid w:val="00953A34"/>
    <w:rsid w:val="00953A5A"/>
    <w:rsid w:val="00953BEC"/>
    <w:rsid w:val="00953C17"/>
    <w:rsid w:val="00953E20"/>
    <w:rsid w:val="00953F18"/>
    <w:rsid w:val="009540FF"/>
    <w:rsid w:val="00954381"/>
    <w:rsid w:val="00954491"/>
    <w:rsid w:val="0095454B"/>
    <w:rsid w:val="009546E3"/>
    <w:rsid w:val="0095495E"/>
    <w:rsid w:val="00954B57"/>
    <w:rsid w:val="00954B73"/>
    <w:rsid w:val="00954E19"/>
    <w:rsid w:val="00954EFB"/>
    <w:rsid w:val="009552A9"/>
    <w:rsid w:val="00955498"/>
    <w:rsid w:val="0095552A"/>
    <w:rsid w:val="0095552E"/>
    <w:rsid w:val="00955637"/>
    <w:rsid w:val="009557B3"/>
    <w:rsid w:val="00955832"/>
    <w:rsid w:val="00955945"/>
    <w:rsid w:val="0095599A"/>
    <w:rsid w:val="00955A0F"/>
    <w:rsid w:val="00955D2C"/>
    <w:rsid w:val="00955DFD"/>
    <w:rsid w:val="00955F8B"/>
    <w:rsid w:val="00955F8C"/>
    <w:rsid w:val="00955FAF"/>
    <w:rsid w:val="00956304"/>
    <w:rsid w:val="009563CB"/>
    <w:rsid w:val="009564D8"/>
    <w:rsid w:val="00956597"/>
    <w:rsid w:val="009565E3"/>
    <w:rsid w:val="009566B1"/>
    <w:rsid w:val="00956884"/>
    <w:rsid w:val="009568F3"/>
    <w:rsid w:val="00956DFD"/>
    <w:rsid w:val="00956ECB"/>
    <w:rsid w:val="00956F5F"/>
    <w:rsid w:val="009570D1"/>
    <w:rsid w:val="00957380"/>
    <w:rsid w:val="009573A0"/>
    <w:rsid w:val="009573D1"/>
    <w:rsid w:val="009573FA"/>
    <w:rsid w:val="009574F0"/>
    <w:rsid w:val="009576D7"/>
    <w:rsid w:val="00957764"/>
    <w:rsid w:val="009579B9"/>
    <w:rsid w:val="00957A73"/>
    <w:rsid w:val="00957A7F"/>
    <w:rsid w:val="00957AEE"/>
    <w:rsid w:val="00957B80"/>
    <w:rsid w:val="00957D80"/>
    <w:rsid w:val="00957F35"/>
    <w:rsid w:val="00957FC4"/>
    <w:rsid w:val="009600D3"/>
    <w:rsid w:val="00960220"/>
    <w:rsid w:val="00960254"/>
    <w:rsid w:val="009604C4"/>
    <w:rsid w:val="009605D7"/>
    <w:rsid w:val="00960770"/>
    <w:rsid w:val="009609C0"/>
    <w:rsid w:val="00960BF5"/>
    <w:rsid w:val="00960C00"/>
    <w:rsid w:val="00960C5A"/>
    <w:rsid w:val="00960CA5"/>
    <w:rsid w:val="00960D76"/>
    <w:rsid w:val="00960E6A"/>
    <w:rsid w:val="00961071"/>
    <w:rsid w:val="009610FB"/>
    <w:rsid w:val="0096117E"/>
    <w:rsid w:val="009611CD"/>
    <w:rsid w:val="009611F9"/>
    <w:rsid w:val="00961202"/>
    <w:rsid w:val="00961313"/>
    <w:rsid w:val="009615E7"/>
    <w:rsid w:val="0096168D"/>
    <w:rsid w:val="009616C5"/>
    <w:rsid w:val="009617F5"/>
    <w:rsid w:val="0096182B"/>
    <w:rsid w:val="0096186F"/>
    <w:rsid w:val="00961C54"/>
    <w:rsid w:val="00961D1D"/>
    <w:rsid w:val="00961DBA"/>
    <w:rsid w:val="00962114"/>
    <w:rsid w:val="0096213A"/>
    <w:rsid w:val="00962171"/>
    <w:rsid w:val="009622E8"/>
    <w:rsid w:val="009622EB"/>
    <w:rsid w:val="00962413"/>
    <w:rsid w:val="00962463"/>
    <w:rsid w:val="009624EE"/>
    <w:rsid w:val="00962563"/>
    <w:rsid w:val="009626BE"/>
    <w:rsid w:val="00962A35"/>
    <w:rsid w:val="00962DBC"/>
    <w:rsid w:val="00962E24"/>
    <w:rsid w:val="00962F10"/>
    <w:rsid w:val="00963049"/>
    <w:rsid w:val="00963203"/>
    <w:rsid w:val="009632AD"/>
    <w:rsid w:val="009633FB"/>
    <w:rsid w:val="00963416"/>
    <w:rsid w:val="0096363E"/>
    <w:rsid w:val="00963646"/>
    <w:rsid w:val="00963752"/>
    <w:rsid w:val="009638F6"/>
    <w:rsid w:val="009639B4"/>
    <w:rsid w:val="00963BF1"/>
    <w:rsid w:val="00963ED7"/>
    <w:rsid w:val="00963EE3"/>
    <w:rsid w:val="00963F55"/>
    <w:rsid w:val="009646BD"/>
    <w:rsid w:val="00964733"/>
    <w:rsid w:val="00964842"/>
    <w:rsid w:val="00964951"/>
    <w:rsid w:val="00964A4D"/>
    <w:rsid w:val="00964B32"/>
    <w:rsid w:val="00964E75"/>
    <w:rsid w:val="00964EA8"/>
    <w:rsid w:val="00964F48"/>
    <w:rsid w:val="00965066"/>
    <w:rsid w:val="009650F1"/>
    <w:rsid w:val="00965288"/>
    <w:rsid w:val="009652B9"/>
    <w:rsid w:val="00965561"/>
    <w:rsid w:val="009656BD"/>
    <w:rsid w:val="00965750"/>
    <w:rsid w:val="009657C9"/>
    <w:rsid w:val="00965881"/>
    <w:rsid w:val="009658B5"/>
    <w:rsid w:val="0096592D"/>
    <w:rsid w:val="00965940"/>
    <w:rsid w:val="00965998"/>
    <w:rsid w:val="009659EC"/>
    <w:rsid w:val="00965AE1"/>
    <w:rsid w:val="00965B98"/>
    <w:rsid w:val="00965C96"/>
    <w:rsid w:val="00965F61"/>
    <w:rsid w:val="00966175"/>
    <w:rsid w:val="0096619F"/>
    <w:rsid w:val="00966207"/>
    <w:rsid w:val="0096626C"/>
    <w:rsid w:val="00966270"/>
    <w:rsid w:val="009662C6"/>
    <w:rsid w:val="00966332"/>
    <w:rsid w:val="0096670C"/>
    <w:rsid w:val="0096695F"/>
    <w:rsid w:val="0096696C"/>
    <w:rsid w:val="00966984"/>
    <w:rsid w:val="009669CB"/>
    <w:rsid w:val="009669E5"/>
    <w:rsid w:val="00966B18"/>
    <w:rsid w:val="00966D94"/>
    <w:rsid w:val="00966DCC"/>
    <w:rsid w:val="0096715E"/>
    <w:rsid w:val="009672D0"/>
    <w:rsid w:val="009673F7"/>
    <w:rsid w:val="009674B3"/>
    <w:rsid w:val="0096757D"/>
    <w:rsid w:val="00967604"/>
    <w:rsid w:val="0096762C"/>
    <w:rsid w:val="009679D5"/>
    <w:rsid w:val="00967B4D"/>
    <w:rsid w:val="00967C4B"/>
    <w:rsid w:val="00967EDC"/>
    <w:rsid w:val="009700FA"/>
    <w:rsid w:val="0097039E"/>
    <w:rsid w:val="00970509"/>
    <w:rsid w:val="0097058D"/>
    <w:rsid w:val="0097061F"/>
    <w:rsid w:val="00970724"/>
    <w:rsid w:val="0097088C"/>
    <w:rsid w:val="00970AD7"/>
    <w:rsid w:val="00970B99"/>
    <w:rsid w:val="00970BD1"/>
    <w:rsid w:val="00970C31"/>
    <w:rsid w:val="00970C33"/>
    <w:rsid w:val="00970E45"/>
    <w:rsid w:val="00970E6B"/>
    <w:rsid w:val="009710FF"/>
    <w:rsid w:val="00971518"/>
    <w:rsid w:val="00971748"/>
    <w:rsid w:val="0097181D"/>
    <w:rsid w:val="0097190B"/>
    <w:rsid w:val="0097198F"/>
    <w:rsid w:val="00971B14"/>
    <w:rsid w:val="00971C4D"/>
    <w:rsid w:val="0097205C"/>
    <w:rsid w:val="009720B8"/>
    <w:rsid w:val="0097210B"/>
    <w:rsid w:val="00972266"/>
    <w:rsid w:val="0097229F"/>
    <w:rsid w:val="009722F9"/>
    <w:rsid w:val="009723B9"/>
    <w:rsid w:val="00972875"/>
    <w:rsid w:val="00972879"/>
    <w:rsid w:val="009728BE"/>
    <w:rsid w:val="00972A61"/>
    <w:rsid w:val="00972AE3"/>
    <w:rsid w:val="00972C2D"/>
    <w:rsid w:val="00972D04"/>
    <w:rsid w:val="00973120"/>
    <w:rsid w:val="0097321B"/>
    <w:rsid w:val="0097330E"/>
    <w:rsid w:val="0097331F"/>
    <w:rsid w:val="0097376C"/>
    <w:rsid w:val="009737FA"/>
    <w:rsid w:val="00973907"/>
    <w:rsid w:val="009739FF"/>
    <w:rsid w:val="00973A2C"/>
    <w:rsid w:val="00973E03"/>
    <w:rsid w:val="00973FBE"/>
    <w:rsid w:val="00974248"/>
    <w:rsid w:val="00974346"/>
    <w:rsid w:val="009744C2"/>
    <w:rsid w:val="0097465C"/>
    <w:rsid w:val="00974669"/>
    <w:rsid w:val="009747DA"/>
    <w:rsid w:val="009747E0"/>
    <w:rsid w:val="00974919"/>
    <w:rsid w:val="00974969"/>
    <w:rsid w:val="00974A8E"/>
    <w:rsid w:val="00974D4D"/>
    <w:rsid w:val="00974D72"/>
    <w:rsid w:val="00974D8E"/>
    <w:rsid w:val="00974DEA"/>
    <w:rsid w:val="00974E3E"/>
    <w:rsid w:val="00974FFC"/>
    <w:rsid w:val="00975233"/>
    <w:rsid w:val="00975256"/>
    <w:rsid w:val="00975280"/>
    <w:rsid w:val="009752AC"/>
    <w:rsid w:val="009753B9"/>
    <w:rsid w:val="009753C2"/>
    <w:rsid w:val="00975425"/>
    <w:rsid w:val="00975482"/>
    <w:rsid w:val="009756A2"/>
    <w:rsid w:val="009758C2"/>
    <w:rsid w:val="00975938"/>
    <w:rsid w:val="009759A0"/>
    <w:rsid w:val="00975BFF"/>
    <w:rsid w:val="00975EAC"/>
    <w:rsid w:val="00975F4E"/>
    <w:rsid w:val="00975FA1"/>
    <w:rsid w:val="00976284"/>
    <w:rsid w:val="0097638B"/>
    <w:rsid w:val="009763CB"/>
    <w:rsid w:val="009766E1"/>
    <w:rsid w:val="00976707"/>
    <w:rsid w:val="009768F8"/>
    <w:rsid w:val="00976BD4"/>
    <w:rsid w:val="00976EE6"/>
    <w:rsid w:val="00976FF4"/>
    <w:rsid w:val="00977015"/>
    <w:rsid w:val="009770EF"/>
    <w:rsid w:val="009770FC"/>
    <w:rsid w:val="0097724E"/>
    <w:rsid w:val="00977336"/>
    <w:rsid w:val="0097753A"/>
    <w:rsid w:val="00977607"/>
    <w:rsid w:val="009776EB"/>
    <w:rsid w:val="009778A5"/>
    <w:rsid w:val="00977980"/>
    <w:rsid w:val="00977A1B"/>
    <w:rsid w:val="00977A60"/>
    <w:rsid w:val="00977AAF"/>
    <w:rsid w:val="00977BEE"/>
    <w:rsid w:val="00977C2A"/>
    <w:rsid w:val="00977DB5"/>
    <w:rsid w:val="009800DA"/>
    <w:rsid w:val="009801E6"/>
    <w:rsid w:val="0098030B"/>
    <w:rsid w:val="00980445"/>
    <w:rsid w:val="0098054D"/>
    <w:rsid w:val="00980580"/>
    <w:rsid w:val="009805CA"/>
    <w:rsid w:val="00980752"/>
    <w:rsid w:val="009808D7"/>
    <w:rsid w:val="00980A0A"/>
    <w:rsid w:val="00980A3D"/>
    <w:rsid w:val="009812DE"/>
    <w:rsid w:val="0098157B"/>
    <w:rsid w:val="00981641"/>
    <w:rsid w:val="00981696"/>
    <w:rsid w:val="00981824"/>
    <w:rsid w:val="00981AB7"/>
    <w:rsid w:val="00981AF2"/>
    <w:rsid w:val="00981C49"/>
    <w:rsid w:val="00981DF0"/>
    <w:rsid w:val="009820D7"/>
    <w:rsid w:val="00982289"/>
    <w:rsid w:val="00982366"/>
    <w:rsid w:val="00982493"/>
    <w:rsid w:val="009824FF"/>
    <w:rsid w:val="009825B7"/>
    <w:rsid w:val="00982642"/>
    <w:rsid w:val="009826B3"/>
    <w:rsid w:val="009828CB"/>
    <w:rsid w:val="0098294D"/>
    <w:rsid w:val="00982A02"/>
    <w:rsid w:val="00982D70"/>
    <w:rsid w:val="00982DCA"/>
    <w:rsid w:val="0098314B"/>
    <w:rsid w:val="009831C7"/>
    <w:rsid w:val="009833CF"/>
    <w:rsid w:val="0098357B"/>
    <w:rsid w:val="00983638"/>
    <w:rsid w:val="0098373D"/>
    <w:rsid w:val="00983741"/>
    <w:rsid w:val="0098382D"/>
    <w:rsid w:val="00983B05"/>
    <w:rsid w:val="00983D5A"/>
    <w:rsid w:val="00983E33"/>
    <w:rsid w:val="00983EC3"/>
    <w:rsid w:val="00983EE2"/>
    <w:rsid w:val="0098403E"/>
    <w:rsid w:val="009840DF"/>
    <w:rsid w:val="009841FC"/>
    <w:rsid w:val="0098439D"/>
    <w:rsid w:val="00984C59"/>
    <w:rsid w:val="00984E57"/>
    <w:rsid w:val="00984ECF"/>
    <w:rsid w:val="009851EB"/>
    <w:rsid w:val="009853DD"/>
    <w:rsid w:val="0098570F"/>
    <w:rsid w:val="009858BE"/>
    <w:rsid w:val="00985938"/>
    <w:rsid w:val="0098594E"/>
    <w:rsid w:val="009859B1"/>
    <w:rsid w:val="00985B1F"/>
    <w:rsid w:val="00985B50"/>
    <w:rsid w:val="00985D11"/>
    <w:rsid w:val="00985D5E"/>
    <w:rsid w:val="00986540"/>
    <w:rsid w:val="009868B5"/>
    <w:rsid w:val="009868CC"/>
    <w:rsid w:val="00986A3C"/>
    <w:rsid w:val="00986A87"/>
    <w:rsid w:val="00986B04"/>
    <w:rsid w:val="00986B1E"/>
    <w:rsid w:val="00986B3E"/>
    <w:rsid w:val="00986B45"/>
    <w:rsid w:val="00986CA9"/>
    <w:rsid w:val="00986EC1"/>
    <w:rsid w:val="00986F9F"/>
    <w:rsid w:val="00986FFD"/>
    <w:rsid w:val="0098703D"/>
    <w:rsid w:val="00987298"/>
    <w:rsid w:val="009873FC"/>
    <w:rsid w:val="00987508"/>
    <w:rsid w:val="0098757D"/>
    <w:rsid w:val="0098794C"/>
    <w:rsid w:val="0098797D"/>
    <w:rsid w:val="00987AD3"/>
    <w:rsid w:val="00987CCC"/>
    <w:rsid w:val="00987E91"/>
    <w:rsid w:val="00987F4B"/>
    <w:rsid w:val="00987F4D"/>
    <w:rsid w:val="0099004C"/>
    <w:rsid w:val="0099043D"/>
    <w:rsid w:val="00990521"/>
    <w:rsid w:val="00990A83"/>
    <w:rsid w:val="00990B86"/>
    <w:rsid w:val="00990C23"/>
    <w:rsid w:val="00990C37"/>
    <w:rsid w:val="00990D75"/>
    <w:rsid w:val="00990E35"/>
    <w:rsid w:val="00990EC1"/>
    <w:rsid w:val="00991451"/>
    <w:rsid w:val="00991480"/>
    <w:rsid w:val="00991545"/>
    <w:rsid w:val="00991580"/>
    <w:rsid w:val="00991CD1"/>
    <w:rsid w:val="00991E08"/>
    <w:rsid w:val="00992169"/>
    <w:rsid w:val="009921E3"/>
    <w:rsid w:val="0099235F"/>
    <w:rsid w:val="0099238A"/>
    <w:rsid w:val="009923AC"/>
    <w:rsid w:val="0099257C"/>
    <w:rsid w:val="009925EE"/>
    <w:rsid w:val="00992808"/>
    <w:rsid w:val="009929AA"/>
    <w:rsid w:val="009929CD"/>
    <w:rsid w:val="00992BFF"/>
    <w:rsid w:val="00992C6C"/>
    <w:rsid w:val="00992E79"/>
    <w:rsid w:val="00992F92"/>
    <w:rsid w:val="00992F9C"/>
    <w:rsid w:val="009932D3"/>
    <w:rsid w:val="00993399"/>
    <w:rsid w:val="009933B2"/>
    <w:rsid w:val="0099372C"/>
    <w:rsid w:val="009937BD"/>
    <w:rsid w:val="0099387B"/>
    <w:rsid w:val="00993ACE"/>
    <w:rsid w:val="00993E22"/>
    <w:rsid w:val="00993E3E"/>
    <w:rsid w:val="00993F4E"/>
    <w:rsid w:val="009944E4"/>
    <w:rsid w:val="009945E1"/>
    <w:rsid w:val="00994638"/>
    <w:rsid w:val="00994A9E"/>
    <w:rsid w:val="00994B31"/>
    <w:rsid w:val="00994B7E"/>
    <w:rsid w:val="00994C9A"/>
    <w:rsid w:val="00994E52"/>
    <w:rsid w:val="00995194"/>
    <w:rsid w:val="00995231"/>
    <w:rsid w:val="0099560A"/>
    <w:rsid w:val="009956E1"/>
    <w:rsid w:val="009957D6"/>
    <w:rsid w:val="0099582B"/>
    <w:rsid w:val="009958BC"/>
    <w:rsid w:val="009959F5"/>
    <w:rsid w:val="00995B9D"/>
    <w:rsid w:val="00995D6F"/>
    <w:rsid w:val="00995D96"/>
    <w:rsid w:val="00995FC4"/>
    <w:rsid w:val="00995FE1"/>
    <w:rsid w:val="00996235"/>
    <w:rsid w:val="00996275"/>
    <w:rsid w:val="0099637F"/>
    <w:rsid w:val="009964A5"/>
    <w:rsid w:val="009966B6"/>
    <w:rsid w:val="009966D6"/>
    <w:rsid w:val="00996708"/>
    <w:rsid w:val="00996BF7"/>
    <w:rsid w:val="00996CA6"/>
    <w:rsid w:val="00996CED"/>
    <w:rsid w:val="00996D17"/>
    <w:rsid w:val="00997277"/>
    <w:rsid w:val="009974FF"/>
    <w:rsid w:val="00997511"/>
    <w:rsid w:val="00997514"/>
    <w:rsid w:val="009975D0"/>
    <w:rsid w:val="0099775F"/>
    <w:rsid w:val="00997778"/>
    <w:rsid w:val="00997997"/>
    <w:rsid w:val="00997CAB"/>
    <w:rsid w:val="00997F27"/>
    <w:rsid w:val="00997FAD"/>
    <w:rsid w:val="009A01C9"/>
    <w:rsid w:val="009A0347"/>
    <w:rsid w:val="009A03E9"/>
    <w:rsid w:val="009A0446"/>
    <w:rsid w:val="009A046D"/>
    <w:rsid w:val="009A0589"/>
    <w:rsid w:val="009A058A"/>
    <w:rsid w:val="009A05C0"/>
    <w:rsid w:val="009A094C"/>
    <w:rsid w:val="009A0A4D"/>
    <w:rsid w:val="009A0ABC"/>
    <w:rsid w:val="009A0BCC"/>
    <w:rsid w:val="009A122F"/>
    <w:rsid w:val="009A15F9"/>
    <w:rsid w:val="009A1814"/>
    <w:rsid w:val="009A19A7"/>
    <w:rsid w:val="009A1BC1"/>
    <w:rsid w:val="009A1E73"/>
    <w:rsid w:val="009A1EAF"/>
    <w:rsid w:val="009A1F13"/>
    <w:rsid w:val="009A1F7C"/>
    <w:rsid w:val="009A1FBD"/>
    <w:rsid w:val="009A2529"/>
    <w:rsid w:val="009A2560"/>
    <w:rsid w:val="009A26F4"/>
    <w:rsid w:val="009A27E1"/>
    <w:rsid w:val="009A2AEB"/>
    <w:rsid w:val="009A2B22"/>
    <w:rsid w:val="009A2BCB"/>
    <w:rsid w:val="009A2C15"/>
    <w:rsid w:val="009A2D71"/>
    <w:rsid w:val="009A2DD1"/>
    <w:rsid w:val="009A2F13"/>
    <w:rsid w:val="009A3207"/>
    <w:rsid w:val="009A3268"/>
    <w:rsid w:val="009A33A1"/>
    <w:rsid w:val="009A34E5"/>
    <w:rsid w:val="009A35CF"/>
    <w:rsid w:val="009A361A"/>
    <w:rsid w:val="009A373A"/>
    <w:rsid w:val="009A399D"/>
    <w:rsid w:val="009A39CB"/>
    <w:rsid w:val="009A39E6"/>
    <w:rsid w:val="009A3C7E"/>
    <w:rsid w:val="009A3FFD"/>
    <w:rsid w:val="009A4017"/>
    <w:rsid w:val="009A41D4"/>
    <w:rsid w:val="009A420E"/>
    <w:rsid w:val="009A4257"/>
    <w:rsid w:val="009A42ED"/>
    <w:rsid w:val="009A43CA"/>
    <w:rsid w:val="009A477A"/>
    <w:rsid w:val="009A4B83"/>
    <w:rsid w:val="009A4BD9"/>
    <w:rsid w:val="009A4C37"/>
    <w:rsid w:val="009A4CF5"/>
    <w:rsid w:val="009A4DD7"/>
    <w:rsid w:val="009A4E98"/>
    <w:rsid w:val="009A4F84"/>
    <w:rsid w:val="009A5050"/>
    <w:rsid w:val="009A5185"/>
    <w:rsid w:val="009A5248"/>
    <w:rsid w:val="009A530B"/>
    <w:rsid w:val="009A5372"/>
    <w:rsid w:val="009A5412"/>
    <w:rsid w:val="009A5604"/>
    <w:rsid w:val="009A5764"/>
    <w:rsid w:val="009A58B7"/>
    <w:rsid w:val="009A58DE"/>
    <w:rsid w:val="009A5942"/>
    <w:rsid w:val="009A5AF2"/>
    <w:rsid w:val="009A5C06"/>
    <w:rsid w:val="009A5EB5"/>
    <w:rsid w:val="009A604A"/>
    <w:rsid w:val="009A616C"/>
    <w:rsid w:val="009A6176"/>
    <w:rsid w:val="009A62C0"/>
    <w:rsid w:val="009A62DF"/>
    <w:rsid w:val="009A6420"/>
    <w:rsid w:val="009A66FB"/>
    <w:rsid w:val="009A689A"/>
    <w:rsid w:val="009A6A8D"/>
    <w:rsid w:val="009A6CAC"/>
    <w:rsid w:val="009A6CC4"/>
    <w:rsid w:val="009A6DA1"/>
    <w:rsid w:val="009A6FCF"/>
    <w:rsid w:val="009A711B"/>
    <w:rsid w:val="009A71F7"/>
    <w:rsid w:val="009A7723"/>
    <w:rsid w:val="009A7901"/>
    <w:rsid w:val="009A7919"/>
    <w:rsid w:val="009A7C51"/>
    <w:rsid w:val="009A7D41"/>
    <w:rsid w:val="009A7D97"/>
    <w:rsid w:val="009A7E83"/>
    <w:rsid w:val="009A7FD5"/>
    <w:rsid w:val="009B01DB"/>
    <w:rsid w:val="009B0422"/>
    <w:rsid w:val="009B0579"/>
    <w:rsid w:val="009B06F9"/>
    <w:rsid w:val="009B0732"/>
    <w:rsid w:val="009B07F5"/>
    <w:rsid w:val="009B0840"/>
    <w:rsid w:val="009B095B"/>
    <w:rsid w:val="009B09C9"/>
    <w:rsid w:val="009B0AEF"/>
    <w:rsid w:val="009B0B0A"/>
    <w:rsid w:val="009B0C05"/>
    <w:rsid w:val="009B0CE4"/>
    <w:rsid w:val="009B0D46"/>
    <w:rsid w:val="009B0DF6"/>
    <w:rsid w:val="009B0E91"/>
    <w:rsid w:val="009B0F75"/>
    <w:rsid w:val="009B0FE1"/>
    <w:rsid w:val="009B10C5"/>
    <w:rsid w:val="009B1101"/>
    <w:rsid w:val="009B1255"/>
    <w:rsid w:val="009B136D"/>
    <w:rsid w:val="009B14AC"/>
    <w:rsid w:val="009B1502"/>
    <w:rsid w:val="009B158A"/>
    <w:rsid w:val="009B175A"/>
    <w:rsid w:val="009B1994"/>
    <w:rsid w:val="009B19C1"/>
    <w:rsid w:val="009B19DE"/>
    <w:rsid w:val="009B19EE"/>
    <w:rsid w:val="009B1BE7"/>
    <w:rsid w:val="009B1E7E"/>
    <w:rsid w:val="009B1EF1"/>
    <w:rsid w:val="009B1FFB"/>
    <w:rsid w:val="009B2249"/>
    <w:rsid w:val="009B2298"/>
    <w:rsid w:val="009B23D5"/>
    <w:rsid w:val="009B25B1"/>
    <w:rsid w:val="009B25F6"/>
    <w:rsid w:val="009B271D"/>
    <w:rsid w:val="009B27C6"/>
    <w:rsid w:val="009B2809"/>
    <w:rsid w:val="009B283B"/>
    <w:rsid w:val="009B2883"/>
    <w:rsid w:val="009B28E0"/>
    <w:rsid w:val="009B29B3"/>
    <w:rsid w:val="009B2ACA"/>
    <w:rsid w:val="009B2B2D"/>
    <w:rsid w:val="009B2BB4"/>
    <w:rsid w:val="009B2C60"/>
    <w:rsid w:val="009B2D5C"/>
    <w:rsid w:val="009B2E40"/>
    <w:rsid w:val="009B2FDD"/>
    <w:rsid w:val="009B3238"/>
    <w:rsid w:val="009B3264"/>
    <w:rsid w:val="009B3424"/>
    <w:rsid w:val="009B34C4"/>
    <w:rsid w:val="009B373C"/>
    <w:rsid w:val="009B3757"/>
    <w:rsid w:val="009B38A4"/>
    <w:rsid w:val="009B38E4"/>
    <w:rsid w:val="009B38EE"/>
    <w:rsid w:val="009B39BC"/>
    <w:rsid w:val="009B3ACE"/>
    <w:rsid w:val="009B3AE5"/>
    <w:rsid w:val="009B3B24"/>
    <w:rsid w:val="009B3BF0"/>
    <w:rsid w:val="009B3CD5"/>
    <w:rsid w:val="009B3CFF"/>
    <w:rsid w:val="009B3D2C"/>
    <w:rsid w:val="009B3E96"/>
    <w:rsid w:val="009B3ED5"/>
    <w:rsid w:val="009B4282"/>
    <w:rsid w:val="009B4336"/>
    <w:rsid w:val="009B4747"/>
    <w:rsid w:val="009B47B8"/>
    <w:rsid w:val="009B47BD"/>
    <w:rsid w:val="009B4823"/>
    <w:rsid w:val="009B4891"/>
    <w:rsid w:val="009B4A20"/>
    <w:rsid w:val="009B4C09"/>
    <w:rsid w:val="009B4D3A"/>
    <w:rsid w:val="009B4F92"/>
    <w:rsid w:val="009B4FA8"/>
    <w:rsid w:val="009B4FF0"/>
    <w:rsid w:val="009B501B"/>
    <w:rsid w:val="009B5300"/>
    <w:rsid w:val="009B5453"/>
    <w:rsid w:val="009B55E6"/>
    <w:rsid w:val="009B583B"/>
    <w:rsid w:val="009B58A0"/>
    <w:rsid w:val="009B5945"/>
    <w:rsid w:val="009B5A16"/>
    <w:rsid w:val="009B5A8B"/>
    <w:rsid w:val="009B5ADB"/>
    <w:rsid w:val="009B5C10"/>
    <w:rsid w:val="009B5C47"/>
    <w:rsid w:val="009B5E78"/>
    <w:rsid w:val="009B5FAD"/>
    <w:rsid w:val="009B639F"/>
    <w:rsid w:val="009B63BB"/>
    <w:rsid w:val="009B651D"/>
    <w:rsid w:val="009B65AF"/>
    <w:rsid w:val="009B6684"/>
    <w:rsid w:val="009B67B4"/>
    <w:rsid w:val="009B67C6"/>
    <w:rsid w:val="009B6850"/>
    <w:rsid w:val="009B6C52"/>
    <w:rsid w:val="009B6E62"/>
    <w:rsid w:val="009B6F0E"/>
    <w:rsid w:val="009B7296"/>
    <w:rsid w:val="009B72B9"/>
    <w:rsid w:val="009B76B2"/>
    <w:rsid w:val="009B7714"/>
    <w:rsid w:val="009B7717"/>
    <w:rsid w:val="009B7C94"/>
    <w:rsid w:val="009B7CE8"/>
    <w:rsid w:val="009B7EAE"/>
    <w:rsid w:val="009C0036"/>
    <w:rsid w:val="009C02FB"/>
    <w:rsid w:val="009C089C"/>
    <w:rsid w:val="009C097D"/>
    <w:rsid w:val="009C0ACF"/>
    <w:rsid w:val="009C0B4B"/>
    <w:rsid w:val="009C0BA5"/>
    <w:rsid w:val="009C0BC4"/>
    <w:rsid w:val="009C0C21"/>
    <w:rsid w:val="009C0D49"/>
    <w:rsid w:val="009C0F44"/>
    <w:rsid w:val="009C1123"/>
    <w:rsid w:val="009C1157"/>
    <w:rsid w:val="009C1160"/>
    <w:rsid w:val="009C119A"/>
    <w:rsid w:val="009C11EE"/>
    <w:rsid w:val="009C124A"/>
    <w:rsid w:val="009C124C"/>
    <w:rsid w:val="009C1326"/>
    <w:rsid w:val="009C15D6"/>
    <w:rsid w:val="009C170B"/>
    <w:rsid w:val="009C1754"/>
    <w:rsid w:val="009C183F"/>
    <w:rsid w:val="009C1AA8"/>
    <w:rsid w:val="009C21A9"/>
    <w:rsid w:val="009C25BA"/>
    <w:rsid w:val="009C26CA"/>
    <w:rsid w:val="009C28FA"/>
    <w:rsid w:val="009C2961"/>
    <w:rsid w:val="009C2A02"/>
    <w:rsid w:val="009C2AB7"/>
    <w:rsid w:val="009C2E0A"/>
    <w:rsid w:val="009C2E86"/>
    <w:rsid w:val="009C3014"/>
    <w:rsid w:val="009C3188"/>
    <w:rsid w:val="009C35C9"/>
    <w:rsid w:val="009C365C"/>
    <w:rsid w:val="009C36BC"/>
    <w:rsid w:val="009C3715"/>
    <w:rsid w:val="009C388F"/>
    <w:rsid w:val="009C39C2"/>
    <w:rsid w:val="009C3CA6"/>
    <w:rsid w:val="009C3DBD"/>
    <w:rsid w:val="009C3E0F"/>
    <w:rsid w:val="009C4241"/>
    <w:rsid w:val="009C433D"/>
    <w:rsid w:val="009C4449"/>
    <w:rsid w:val="009C450A"/>
    <w:rsid w:val="009C4630"/>
    <w:rsid w:val="009C4683"/>
    <w:rsid w:val="009C474E"/>
    <w:rsid w:val="009C4A95"/>
    <w:rsid w:val="009C4ACB"/>
    <w:rsid w:val="009C4D09"/>
    <w:rsid w:val="009C4ECC"/>
    <w:rsid w:val="009C4EE9"/>
    <w:rsid w:val="009C4EF5"/>
    <w:rsid w:val="009C4F36"/>
    <w:rsid w:val="009C4F85"/>
    <w:rsid w:val="009C52A4"/>
    <w:rsid w:val="009C538B"/>
    <w:rsid w:val="009C53AC"/>
    <w:rsid w:val="009C54DD"/>
    <w:rsid w:val="009C565D"/>
    <w:rsid w:val="009C56C2"/>
    <w:rsid w:val="009C5A4E"/>
    <w:rsid w:val="009C5AA3"/>
    <w:rsid w:val="009C5BA1"/>
    <w:rsid w:val="009C5E28"/>
    <w:rsid w:val="009C63AB"/>
    <w:rsid w:val="009C65A7"/>
    <w:rsid w:val="009C65CB"/>
    <w:rsid w:val="009C67AC"/>
    <w:rsid w:val="009C690D"/>
    <w:rsid w:val="009C6A1A"/>
    <w:rsid w:val="009C6B2E"/>
    <w:rsid w:val="009C6B6F"/>
    <w:rsid w:val="009C7005"/>
    <w:rsid w:val="009C7177"/>
    <w:rsid w:val="009C72DF"/>
    <w:rsid w:val="009C78E1"/>
    <w:rsid w:val="009C78F8"/>
    <w:rsid w:val="009C7938"/>
    <w:rsid w:val="009C7A5F"/>
    <w:rsid w:val="009C7BC9"/>
    <w:rsid w:val="009D0089"/>
    <w:rsid w:val="009D00E0"/>
    <w:rsid w:val="009D0120"/>
    <w:rsid w:val="009D01D1"/>
    <w:rsid w:val="009D01ED"/>
    <w:rsid w:val="009D0243"/>
    <w:rsid w:val="009D0255"/>
    <w:rsid w:val="009D070D"/>
    <w:rsid w:val="009D091F"/>
    <w:rsid w:val="009D09A6"/>
    <w:rsid w:val="009D0C9A"/>
    <w:rsid w:val="009D0D92"/>
    <w:rsid w:val="009D0DA1"/>
    <w:rsid w:val="009D0DC9"/>
    <w:rsid w:val="009D100B"/>
    <w:rsid w:val="009D1127"/>
    <w:rsid w:val="009D1230"/>
    <w:rsid w:val="009D12E7"/>
    <w:rsid w:val="009D15E5"/>
    <w:rsid w:val="009D16C5"/>
    <w:rsid w:val="009D1A7B"/>
    <w:rsid w:val="009D1AB6"/>
    <w:rsid w:val="009D1B1F"/>
    <w:rsid w:val="009D1D67"/>
    <w:rsid w:val="009D2152"/>
    <w:rsid w:val="009D22D7"/>
    <w:rsid w:val="009D23F7"/>
    <w:rsid w:val="009D2519"/>
    <w:rsid w:val="009D2565"/>
    <w:rsid w:val="009D2616"/>
    <w:rsid w:val="009D266F"/>
    <w:rsid w:val="009D2736"/>
    <w:rsid w:val="009D2A02"/>
    <w:rsid w:val="009D2A6C"/>
    <w:rsid w:val="009D2A72"/>
    <w:rsid w:val="009D2AD3"/>
    <w:rsid w:val="009D2B59"/>
    <w:rsid w:val="009D2CD3"/>
    <w:rsid w:val="009D2CFA"/>
    <w:rsid w:val="009D31FA"/>
    <w:rsid w:val="009D323A"/>
    <w:rsid w:val="009D3321"/>
    <w:rsid w:val="009D34D3"/>
    <w:rsid w:val="009D351B"/>
    <w:rsid w:val="009D387F"/>
    <w:rsid w:val="009D3BE7"/>
    <w:rsid w:val="009D3E3B"/>
    <w:rsid w:val="009D3EE4"/>
    <w:rsid w:val="009D416D"/>
    <w:rsid w:val="009D43A6"/>
    <w:rsid w:val="009D4799"/>
    <w:rsid w:val="009D47A4"/>
    <w:rsid w:val="009D47EA"/>
    <w:rsid w:val="009D481F"/>
    <w:rsid w:val="009D488E"/>
    <w:rsid w:val="009D494A"/>
    <w:rsid w:val="009D4AA8"/>
    <w:rsid w:val="009D4AA9"/>
    <w:rsid w:val="009D4EAF"/>
    <w:rsid w:val="009D4F12"/>
    <w:rsid w:val="009D517D"/>
    <w:rsid w:val="009D51AC"/>
    <w:rsid w:val="009D53DD"/>
    <w:rsid w:val="009D5513"/>
    <w:rsid w:val="009D5698"/>
    <w:rsid w:val="009D57A4"/>
    <w:rsid w:val="009D58A6"/>
    <w:rsid w:val="009D59C5"/>
    <w:rsid w:val="009D5AC2"/>
    <w:rsid w:val="009D5F31"/>
    <w:rsid w:val="009D5FAF"/>
    <w:rsid w:val="009D5FFF"/>
    <w:rsid w:val="009D6217"/>
    <w:rsid w:val="009D63D6"/>
    <w:rsid w:val="009D6489"/>
    <w:rsid w:val="009D6510"/>
    <w:rsid w:val="009D6768"/>
    <w:rsid w:val="009D685A"/>
    <w:rsid w:val="009D69CE"/>
    <w:rsid w:val="009D69E5"/>
    <w:rsid w:val="009D6B9B"/>
    <w:rsid w:val="009D6CB8"/>
    <w:rsid w:val="009D6CE6"/>
    <w:rsid w:val="009D71C2"/>
    <w:rsid w:val="009D7223"/>
    <w:rsid w:val="009D7289"/>
    <w:rsid w:val="009D7616"/>
    <w:rsid w:val="009D77B8"/>
    <w:rsid w:val="009D77E5"/>
    <w:rsid w:val="009D788B"/>
    <w:rsid w:val="009D78D8"/>
    <w:rsid w:val="009D7C58"/>
    <w:rsid w:val="009D7D14"/>
    <w:rsid w:val="009D7DBE"/>
    <w:rsid w:val="009D7E78"/>
    <w:rsid w:val="009D7EF1"/>
    <w:rsid w:val="009E0006"/>
    <w:rsid w:val="009E01F4"/>
    <w:rsid w:val="009E0583"/>
    <w:rsid w:val="009E060C"/>
    <w:rsid w:val="009E0751"/>
    <w:rsid w:val="009E086B"/>
    <w:rsid w:val="009E091A"/>
    <w:rsid w:val="009E0974"/>
    <w:rsid w:val="009E0A35"/>
    <w:rsid w:val="009E0C0F"/>
    <w:rsid w:val="009E0DA7"/>
    <w:rsid w:val="009E0DC2"/>
    <w:rsid w:val="009E0F63"/>
    <w:rsid w:val="009E1521"/>
    <w:rsid w:val="009E181E"/>
    <w:rsid w:val="009E1AE3"/>
    <w:rsid w:val="009E1C60"/>
    <w:rsid w:val="009E1D23"/>
    <w:rsid w:val="009E1D5E"/>
    <w:rsid w:val="009E1DFD"/>
    <w:rsid w:val="009E1ED2"/>
    <w:rsid w:val="009E2095"/>
    <w:rsid w:val="009E2186"/>
    <w:rsid w:val="009E2421"/>
    <w:rsid w:val="009E25DB"/>
    <w:rsid w:val="009E268A"/>
    <w:rsid w:val="009E2B1A"/>
    <w:rsid w:val="009E30C2"/>
    <w:rsid w:val="009E3479"/>
    <w:rsid w:val="009E3554"/>
    <w:rsid w:val="009E3611"/>
    <w:rsid w:val="009E3864"/>
    <w:rsid w:val="009E3892"/>
    <w:rsid w:val="009E3924"/>
    <w:rsid w:val="009E3947"/>
    <w:rsid w:val="009E398A"/>
    <w:rsid w:val="009E39A5"/>
    <w:rsid w:val="009E39AF"/>
    <w:rsid w:val="009E3A4E"/>
    <w:rsid w:val="009E3AA6"/>
    <w:rsid w:val="009E3ABC"/>
    <w:rsid w:val="009E3AFC"/>
    <w:rsid w:val="009E3C22"/>
    <w:rsid w:val="009E3CA2"/>
    <w:rsid w:val="009E3CA6"/>
    <w:rsid w:val="009E3CDD"/>
    <w:rsid w:val="009E3DD2"/>
    <w:rsid w:val="009E3FFC"/>
    <w:rsid w:val="009E4036"/>
    <w:rsid w:val="009E40B6"/>
    <w:rsid w:val="009E40F4"/>
    <w:rsid w:val="009E4130"/>
    <w:rsid w:val="009E42C7"/>
    <w:rsid w:val="009E43B0"/>
    <w:rsid w:val="009E44F1"/>
    <w:rsid w:val="009E479A"/>
    <w:rsid w:val="009E47E4"/>
    <w:rsid w:val="009E480C"/>
    <w:rsid w:val="009E4A22"/>
    <w:rsid w:val="009E4BF4"/>
    <w:rsid w:val="009E4C7A"/>
    <w:rsid w:val="009E4DEA"/>
    <w:rsid w:val="009E4E14"/>
    <w:rsid w:val="009E4F61"/>
    <w:rsid w:val="009E4F71"/>
    <w:rsid w:val="009E5197"/>
    <w:rsid w:val="009E520D"/>
    <w:rsid w:val="009E5338"/>
    <w:rsid w:val="009E5364"/>
    <w:rsid w:val="009E5395"/>
    <w:rsid w:val="009E542D"/>
    <w:rsid w:val="009E55BA"/>
    <w:rsid w:val="009E5708"/>
    <w:rsid w:val="009E5895"/>
    <w:rsid w:val="009E59F6"/>
    <w:rsid w:val="009E5B27"/>
    <w:rsid w:val="009E5C60"/>
    <w:rsid w:val="009E604F"/>
    <w:rsid w:val="009E60E9"/>
    <w:rsid w:val="009E61D7"/>
    <w:rsid w:val="009E6200"/>
    <w:rsid w:val="009E6872"/>
    <w:rsid w:val="009E6905"/>
    <w:rsid w:val="009E6CC1"/>
    <w:rsid w:val="009E6D89"/>
    <w:rsid w:val="009E6E55"/>
    <w:rsid w:val="009E70B9"/>
    <w:rsid w:val="009E72AF"/>
    <w:rsid w:val="009E7330"/>
    <w:rsid w:val="009E7A5D"/>
    <w:rsid w:val="009E7A7C"/>
    <w:rsid w:val="009E7B22"/>
    <w:rsid w:val="009E7DFD"/>
    <w:rsid w:val="009E7EB5"/>
    <w:rsid w:val="009E7F20"/>
    <w:rsid w:val="009F040E"/>
    <w:rsid w:val="009F05BA"/>
    <w:rsid w:val="009F08C9"/>
    <w:rsid w:val="009F0A02"/>
    <w:rsid w:val="009F0AA7"/>
    <w:rsid w:val="009F0ADE"/>
    <w:rsid w:val="009F0E48"/>
    <w:rsid w:val="009F1156"/>
    <w:rsid w:val="009F1467"/>
    <w:rsid w:val="009F14BE"/>
    <w:rsid w:val="009F1739"/>
    <w:rsid w:val="009F1EE8"/>
    <w:rsid w:val="009F1F43"/>
    <w:rsid w:val="009F240A"/>
    <w:rsid w:val="009F241B"/>
    <w:rsid w:val="009F24CD"/>
    <w:rsid w:val="009F2794"/>
    <w:rsid w:val="009F29DC"/>
    <w:rsid w:val="009F2A44"/>
    <w:rsid w:val="009F2B53"/>
    <w:rsid w:val="009F2D97"/>
    <w:rsid w:val="009F2F10"/>
    <w:rsid w:val="009F3018"/>
    <w:rsid w:val="009F321F"/>
    <w:rsid w:val="009F3288"/>
    <w:rsid w:val="009F3648"/>
    <w:rsid w:val="009F3CE4"/>
    <w:rsid w:val="009F3E5C"/>
    <w:rsid w:val="009F3F80"/>
    <w:rsid w:val="009F43AB"/>
    <w:rsid w:val="009F46F6"/>
    <w:rsid w:val="009F4783"/>
    <w:rsid w:val="009F49D3"/>
    <w:rsid w:val="009F4D43"/>
    <w:rsid w:val="009F4EE9"/>
    <w:rsid w:val="009F5014"/>
    <w:rsid w:val="009F5108"/>
    <w:rsid w:val="009F5229"/>
    <w:rsid w:val="009F5277"/>
    <w:rsid w:val="009F540D"/>
    <w:rsid w:val="009F5629"/>
    <w:rsid w:val="009F5748"/>
    <w:rsid w:val="009F5878"/>
    <w:rsid w:val="009F5A9D"/>
    <w:rsid w:val="009F5DD9"/>
    <w:rsid w:val="009F5FE7"/>
    <w:rsid w:val="009F60E1"/>
    <w:rsid w:val="009F6133"/>
    <w:rsid w:val="009F61C0"/>
    <w:rsid w:val="009F6436"/>
    <w:rsid w:val="009F6594"/>
    <w:rsid w:val="009F6955"/>
    <w:rsid w:val="009F6A3F"/>
    <w:rsid w:val="009F6C33"/>
    <w:rsid w:val="009F6D09"/>
    <w:rsid w:val="009F6E85"/>
    <w:rsid w:val="009F731C"/>
    <w:rsid w:val="009F74C6"/>
    <w:rsid w:val="009F74F9"/>
    <w:rsid w:val="009F773E"/>
    <w:rsid w:val="009F7A3E"/>
    <w:rsid w:val="009F7BD7"/>
    <w:rsid w:val="009F7C0E"/>
    <w:rsid w:val="009F7ED9"/>
    <w:rsid w:val="009F7F39"/>
    <w:rsid w:val="009F7FCF"/>
    <w:rsid w:val="009F7FEC"/>
    <w:rsid w:val="00A00030"/>
    <w:rsid w:val="00A00312"/>
    <w:rsid w:val="00A0039D"/>
    <w:rsid w:val="00A003B3"/>
    <w:rsid w:val="00A003D6"/>
    <w:rsid w:val="00A0046B"/>
    <w:rsid w:val="00A00473"/>
    <w:rsid w:val="00A00586"/>
    <w:rsid w:val="00A008D1"/>
    <w:rsid w:val="00A008F4"/>
    <w:rsid w:val="00A009A8"/>
    <w:rsid w:val="00A00AFF"/>
    <w:rsid w:val="00A00EC0"/>
    <w:rsid w:val="00A00FAC"/>
    <w:rsid w:val="00A0100A"/>
    <w:rsid w:val="00A01039"/>
    <w:rsid w:val="00A010CB"/>
    <w:rsid w:val="00A0114E"/>
    <w:rsid w:val="00A01187"/>
    <w:rsid w:val="00A012EC"/>
    <w:rsid w:val="00A017C8"/>
    <w:rsid w:val="00A017EB"/>
    <w:rsid w:val="00A01D96"/>
    <w:rsid w:val="00A01DE7"/>
    <w:rsid w:val="00A01ECC"/>
    <w:rsid w:val="00A01F0A"/>
    <w:rsid w:val="00A02065"/>
    <w:rsid w:val="00A0211B"/>
    <w:rsid w:val="00A0227C"/>
    <w:rsid w:val="00A022AC"/>
    <w:rsid w:val="00A02731"/>
    <w:rsid w:val="00A027C9"/>
    <w:rsid w:val="00A0283E"/>
    <w:rsid w:val="00A02841"/>
    <w:rsid w:val="00A02948"/>
    <w:rsid w:val="00A02A47"/>
    <w:rsid w:val="00A02DBA"/>
    <w:rsid w:val="00A02E88"/>
    <w:rsid w:val="00A02F5C"/>
    <w:rsid w:val="00A02FB1"/>
    <w:rsid w:val="00A0306D"/>
    <w:rsid w:val="00A03078"/>
    <w:rsid w:val="00A03140"/>
    <w:rsid w:val="00A031A3"/>
    <w:rsid w:val="00A0327E"/>
    <w:rsid w:val="00A0329D"/>
    <w:rsid w:val="00A0333B"/>
    <w:rsid w:val="00A034EC"/>
    <w:rsid w:val="00A0361A"/>
    <w:rsid w:val="00A0378E"/>
    <w:rsid w:val="00A037B2"/>
    <w:rsid w:val="00A038AC"/>
    <w:rsid w:val="00A03CB8"/>
    <w:rsid w:val="00A03CE8"/>
    <w:rsid w:val="00A03E1B"/>
    <w:rsid w:val="00A03E74"/>
    <w:rsid w:val="00A03ED5"/>
    <w:rsid w:val="00A040BA"/>
    <w:rsid w:val="00A045FD"/>
    <w:rsid w:val="00A0467A"/>
    <w:rsid w:val="00A04823"/>
    <w:rsid w:val="00A0496F"/>
    <w:rsid w:val="00A049C2"/>
    <w:rsid w:val="00A04A3E"/>
    <w:rsid w:val="00A04BFE"/>
    <w:rsid w:val="00A04D89"/>
    <w:rsid w:val="00A04D90"/>
    <w:rsid w:val="00A05251"/>
    <w:rsid w:val="00A052F4"/>
    <w:rsid w:val="00A05363"/>
    <w:rsid w:val="00A053F0"/>
    <w:rsid w:val="00A0543B"/>
    <w:rsid w:val="00A05524"/>
    <w:rsid w:val="00A058C0"/>
    <w:rsid w:val="00A05AB0"/>
    <w:rsid w:val="00A05B85"/>
    <w:rsid w:val="00A05C4B"/>
    <w:rsid w:val="00A05D23"/>
    <w:rsid w:val="00A05E71"/>
    <w:rsid w:val="00A05F36"/>
    <w:rsid w:val="00A0632A"/>
    <w:rsid w:val="00A06BB7"/>
    <w:rsid w:val="00A06C82"/>
    <w:rsid w:val="00A06D37"/>
    <w:rsid w:val="00A06E1D"/>
    <w:rsid w:val="00A07029"/>
    <w:rsid w:val="00A070CA"/>
    <w:rsid w:val="00A0712D"/>
    <w:rsid w:val="00A0712F"/>
    <w:rsid w:val="00A07256"/>
    <w:rsid w:val="00A0728D"/>
    <w:rsid w:val="00A07501"/>
    <w:rsid w:val="00A07632"/>
    <w:rsid w:val="00A076AE"/>
    <w:rsid w:val="00A07797"/>
    <w:rsid w:val="00A07823"/>
    <w:rsid w:val="00A079AD"/>
    <w:rsid w:val="00A07BDD"/>
    <w:rsid w:val="00A07C33"/>
    <w:rsid w:val="00A07CE2"/>
    <w:rsid w:val="00A07DC5"/>
    <w:rsid w:val="00A10185"/>
    <w:rsid w:val="00A1056F"/>
    <w:rsid w:val="00A10590"/>
    <w:rsid w:val="00A108CE"/>
    <w:rsid w:val="00A10B6F"/>
    <w:rsid w:val="00A10C1E"/>
    <w:rsid w:val="00A10C81"/>
    <w:rsid w:val="00A10D5C"/>
    <w:rsid w:val="00A10E83"/>
    <w:rsid w:val="00A10EA0"/>
    <w:rsid w:val="00A10EEC"/>
    <w:rsid w:val="00A10FBE"/>
    <w:rsid w:val="00A11009"/>
    <w:rsid w:val="00A111E7"/>
    <w:rsid w:val="00A11243"/>
    <w:rsid w:val="00A115A7"/>
    <w:rsid w:val="00A116B1"/>
    <w:rsid w:val="00A116E1"/>
    <w:rsid w:val="00A11710"/>
    <w:rsid w:val="00A11782"/>
    <w:rsid w:val="00A117F0"/>
    <w:rsid w:val="00A11B88"/>
    <w:rsid w:val="00A11C8D"/>
    <w:rsid w:val="00A11D1A"/>
    <w:rsid w:val="00A11EA6"/>
    <w:rsid w:val="00A12219"/>
    <w:rsid w:val="00A12242"/>
    <w:rsid w:val="00A12285"/>
    <w:rsid w:val="00A12371"/>
    <w:rsid w:val="00A12474"/>
    <w:rsid w:val="00A125F2"/>
    <w:rsid w:val="00A12822"/>
    <w:rsid w:val="00A1287D"/>
    <w:rsid w:val="00A128BE"/>
    <w:rsid w:val="00A12AFF"/>
    <w:rsid w:val="00A12BA9"/>
    <w:rsid w:val="00A12C8F"/>
    <w:rsid w:val="00A12D3D"/>
    <w:rsid w:val="00A12FDF"/>
    <w:rsid w:val="00A131C4"/>
    <w:rsid w:val="00A13214"/>
    <w:rsid w:val="00A13265"/>
    <w:rsid w:val="00A13288"/>
    <w:rsid w:val="00A1345A"/>
    <w:rsid w:val="00A134F5"/>
    <w:rsid w:val="00A13648"/>
    <w:rsid w:val="00A1383E"/>
    <w:rsid w:val="00A139F0"/>
    <w:rsid w:val="00A13A45"/>
    <w:rsid w:val="00A13BBA"/>
    <w:rsid w:val="00A13CF2"/>
    <w:rsid w:val="00A13E0D"/>
    <w:rsid w:val="00A13E7B"/>
    <w:rsid w:val="00A13F51"/>
    <w:rsid w:val="00A14147"/>
    <w:rsid w:val="00A143AC"/>
    <w:rsid w:val="00A143FF"/>
    <w:rsid w:val="00A14499"/>
    <w:rsid w:val="00A144E7"/>
    <w:rsid w:val="00A1457F"/>
    <w:rsid w:val="00A147FC"/>
    <w:rsid w:val="00A14A5A"/>
    <w:rsid w:val="00A14BD5"/>
    <w:rsid w:val="00A14C49"/>
    <w:rsid w:val="00A14CB5"/>
    <w:rsid w:val="00A14E08"/>
    <w:rsid w:val="00A14E5E"/>
    <w:rsid w:val="00A14E6C"/>
    <w:rsid w:val="00A15048"/>
    <w:rsid w:val="00A15219"/>
    <w:rsid w:val="00A154FE"/>
    <w:rsid w:val="00A155A6"/>
    <w:rsid w:val="00A156F6"/>
    <w:rsid w:val="00A159B7"/>
    <w:rsid w:val="00A15C10"/>
    <w:rsid w:val="00A15CAD"/>
    <w:rsid w:val="00A15E05"/>
    <w:rsid w:val="00A15EC6"/>
    <w:rsid w:val="00A16266"/>
    <w:rsid w:val="00A163CD"/>
    <w:rsid w:val="00A1660D"/>
    <w:rsid w:val="00A167C8"/>
    <w:rsid w:val="00A168E1"/>
    <w:rsid w:val="00A16D63"/>
    <w:rsid w:val="00A16D7E"/>
    <w:rsid w:val="00A16D8C"/>
    <w:rsid w:val="00A1719B"/>
    <w:rsid w:val="00A1753A"/>
    <w:rsid w:val="00A17783"/>
    <w:rsid w:val="00A17E44"/>
    <w:rsid w:val="00A17F4D"/>
    <w:rsid w:val="00A20100"/>
    <w:rsid w:val="00A20199"/>
    <w:rsid w:val="00A2034C"/>
    <w:rsid w:val="00A2062C"/>
    <w:rsid w:val="00A2066D"/>
    <w:rsid w:val="00A20853"/>
    <w:rsid w:val="00A20D9B"/>
    <w:rsid w:val="00A20EF0"/>
    <w:rsid w:val="00A20F4B"/>
    <w:rsid w:val="00A21214"/>
    <w:rsid w:val="00A212A1"/>
    <w:rsid w:val="00A212A4"/>
    <w:rsid w:val="00A21382"/>
    <w:rsid w:val="00A213AC"/>
    <w:rsid w:val="00A21532"/>
    <w:rsid w:val="00A215AB"/>
    <w:rsid w:val="00A217E3"/>
    <w:rsid w:val="00A2185B"/>
    <w:rsid w:val="00A21880"/>
    <w:rsid w:val="00A21A57"/>
    <w:rsid w:val="00A21AD3"/>
    <w:rsid w:val="00A21C3A"/>
    <w:rsid w:val="00A21E8A"/>
    <w:rsid w:val="00A21FF9"/>
    <w:rsid w:val="00A220F3"/>
    <w:rsid w:val="00A2252C"/>
    <w:rsid w:val="00A22B77"/>
    <w:rsid w:val="00A22C85"/>
    <w:rsid w:val="00A22C99"/>
    <w:rsid w:val="00A22EEC"/>
    <w:rsid w:val="00A23036"/>
    <w:rsid w:val="00A23181"/>
    <w:rsid w:val="00A23291"/>
    <w:rsid w:val="00A232FD"/>
    <w:rsid w:val="00A23456"/>
    <w:rsid w:val="00A235F3"/>
    <w:rsid w:val="00A236B1"/>
    <w:rsid w:val="00A2377A"/>
    <w:rsid w:val="00A23A4B"/>
    <w:rsid w:val="00A23C7E"/>
    <w:rsid w:val="00A23F18"/>
    <w:rsid w:val="00A23F6F"/>
    <w:rsid w:val="00A23FA0"/>
    <w:rsid w:val="00A2422F"/>
    <w:rsid w:val="00A2432C"/>
    <w:rsid w:val="00A24380"/>
    <w:rsid w:val="00A24398"/>
    <w:rsid w:val="00A24425"/>
    <w:rsid w:val="00A24491"/>
    <w:rsid w:val="00A2460F"/>
    <w:rsid w:val="00A2463B"/>
    <w:rsid w:val="00A24806"/>
    <w:rsid w:val="00A24899"/>
    <w:rsid w:val="00A249FF"/>
    <w:rsid w:val="00A24A06"/>
    <w:rsid w:val="00A24B21"/>
    <w:rsid w:val="00A24B5A"/>
    <w:rsid w:val="00A24DA2"/>
    <w:rsid w:val="00A24FD4"/>
    <w:rsid w:val="00A25028"/>
    <w:rsid w:val="00A251AE"/>
    <w:rsid w:val="00A25328"/>
    <w:rsid w:val="00A25494"/>
    <w:rsid w:val="00A254B3"/>
    <w:rsid w:val="00A257A7"/>
    <w:rsid w:val="00A258F3"/>
    <w:rsid w:val="00A25B75"/>
    <w:rsid w:val="00A25B79"/>
    <w:rsid w:val="00A25C4F"/>
    <w:rsid w:val="00A25E3F"/>
    <w:rsid w:val="00A25F6C"/>
    <w:rsid w:val="00A26005"/>
    <w:rsid w:val="00A26035"/>
    <w:rsid w:val="00A260EA"/>
    <w:rsid w:val="00A26125"/>
    <w:rsid w:val="00A2642F"/>
    <w:rsid w:val="00A2658C"/>
    <w:rsid w:val="00A266D0"/>
    <w:rsid w:val="00A267BD"/>
    <w:rsid w:val="00A267E4"/>
    <w:rsid w:val="00A26816"/>
    <w:rsid w:val="00A2693E"/>
    <w:rsid w:val="00A26B21"/>
    <w:rsid w:val="00A26C2E"/>
    <w:rsid w:val="00A26D23"/>
    <w:rsid w:val="00A26E56"/>
    <w:rsid w:val="00A26EF5"/>
    <w:rsid w:val="00A26F28"/>
    <w:rsid w:val="00A26F6A"/>
    <w:rsid w:val="00A26F99"/>
    <w:rsid w:val="00A270B9"/>
    <w:rsid w:val="00A2721D"/>
    <w:rsid w:val="00A27228"/>
    <w:rsid w:val="00A274A9"/>
    <w:rsid w:val="00A274B6"/>
    <w:rsid w:val="00A2750A"/>
    <w:rsid w:val="00A275F8"/>
    <w:rsid w:val="00A27608"/>
    <w:rsid w:val="00A278F1"/>
    <w:rsid w:val="00A27B4B"/>
    <w:rsid w:val="00A27BDE"/>
    <w:rsid w:val="00A27D7B"/>
    <w:rsid w:val="00A27F3B"/>
    <w:rsid w:val="00A3005E"/>
    <w:rsid w:val="00A3027B"/>
    <w:rsid w:val="00A302E1"/>
    <w:rsid w:val="00A304F6"/>
    <w:rsid w:val="00A304F8"/>
    <w:rsid w:val="00A3051F"/>
    <w:rsid w:val="00A3061A"/>
    <w:rsid w:val="00A30666"/>
    <w:rsid w:val="00A306C1"/>
    <w:rsid w:val="00A30752"/>
    <w:rsid w:val="00A3078B"/>
    <w:rsid w:val="00A307D1"/>
    <w:rsid w:val="00A30842"/>
    <w:rsid w:val="00A30946"/>
    <w:rsid w:val="00A309AB"/>
    <w:rsid w:val="00A30D38"/>
    <w:rsid w:val="00A30D9E"/>
    <w:rsid w:val="00A31093"/>
    <w:rsid w:val="00A31216"/>
    <w:rsid w:val="00A31334"/>
    <w:rsid w:val="00A313BF"/>
    <w:rsid w:val="00A314D9"/>
    <w:rsid w:val="00A31567"/>
    <w:rsid w:val="00A3158B"/>
    <w:rsid w:val="00A315A2"/>
    <w:rsid w:val="00A315DF"/>
    <w:rsid w:val="00A3165F"/>
    <w:rsid w:val="00A31691"/>
    <w:rsid w:val="00A3187A"/>
    <w:rsid w:val="00A31B7C"/>
    <w:rsid w:val="00A31C2E"/>
    <w:rsid w:val="00A31E73"/>
    <w:rsid w:val="00A32429"/>
    <w:rsid w:val="00A3252F"/>
    <w:rsid w:val="00A3253B"/>
    <w:rsid w:val="00A32750"/>
    <w:rsid w:val="00A32EC0"/>
    <w:rsid w:val="00A32F53"/>
    <w:rsid w:val="00A3302C"/>
    <w:rsid w:val="00A3337F"/>
    <w:rsid w:val="00A33392"/>
    <w:rsid w:val="00A33452"/>
    <w:rsid w:val="00A33529"/>
    <w:rsid w:val="00A3353D"/>
    <w:rsid w:val="00A3380F"/>
    <w:rsid w:val="00A3381A"/>
    <w:rsid w:val="00A33927"/>
    <w:rsid w:val="00A33BBE"/>
    <w:rsid w:val="00A33E0A"/>
    <w:rsid w:val="00A33EE1"/>
    <w:rsid w:val="00A33F32"/>
    <w:rsid w:val="00A33FFE"/>
    <w:rsid w:val="00A34054"/>
    <w:rsid w:val="00A34128"/>
    <w:rsid w:val="00A3421E"/>
    <w:rsid w:val="00A34299"/>
    <w:rsid w:val="00A3449B"/>
    <w:rsid w:val="00A34512"/>
    <w:rsid w:val="00A346BF"/>
    <w:rsid w:val="00A3495A"/>
    <w:rsid w:val="00A349B7"/>
    <w:rsid w:val="00A34CA2"/>
    <w:rsid w:val="00A34FE8"/>
    <w:rsid w:val="00A35057"/>
    <w:rsid w:val="00A3578D"/>
    <w:rsid w:val="00A35A9E"/>
    <w:rsid w:val="00A35B06"/>
    <w:rsid w:val="00A35DD6"/>
    <w:rsid w:val="00A3620A"/>
    <w:rsid w:val="00A363FD"/>
    <w:rsid w:val="00A36401"/>
    <w:rsid w:val="00A365E5"/>
    <w:rsid w:val="00A36605"/>
    <w:rsid w:val="00A366DB"/>
    <w:rsid w:val="00A36888"/>
    <w:rsid w:val="00A36943"/>
    <w:rsid w:val="00A36B00"/>
    <w:rsid w:val="00A36B4D"/>
    <w:rsid w:val="00A36B7D"/>
    <w:rsid w:val="00A36DA2"/>
    <w:rsid w:val="00A37625"/>
    <w:rsid w:val="00A3764C"/>
    <w:rsid w:val="00A377D4"/>
    <w:rsid w:val="00A379B3"/>
    <w:rsid w:val="00A37C0F"/>
    <w:rsid w:val="00A37DC5"/>
    <w:rsid w:val="00A37E80"/>
    <w:rsid w:val="00A37ED5"/>
    <w:rsid w:val="00A37F69"/>
    <w:rsid w:val="00A37FBA"/>
    <w:rsid w:val="00A40033"/>
    <w:rsid w:val="00A40617"/>
    <w:rsid w:val="00A4079E"/>
    <w:rsid w:val="00A407F0"/>
    <w:rsid w:val="00A408BC"/>
    <w:rsid w:val="00A40982"/>
    <w:rsid w:val="00A409D0"/>
    <w:rsid w:val="00A40AFF"/>
    <w:rsid w:val="00A40C46"/>
    <w:rsid w:val="00A40C5D"/>
    <w:rsid w:val="00A40CBF"/>
    <w:rsid w:val="00A40EC1"/>
    <w:rsid w:val="00A40F9E"/>
    <w:rsid w:val="00A4106D"/>
    <w:rsid w:val="00A41092"/>
    <w:rsid w:val="00A41284"/>
    <w:rsid w:val="00A412B7"/>
    <w:rsid w:val="00A412C8"/>
    <w:rsid w:val="00A41390"/>
    <w:rsid w:val="00A4191D"/>
    <w:rsid w:val="00A41A15"/>
    <w:rsid w:val="00A41A5D"/>
    <w:rsid w:val="00A41B94"/>
    <w:rsid w:val="00A42392"/>
    <w:rsid w:val="00A4242E"/>
    <w:rsid w:val="00A424D5"/>
    <w:rsid w:val="00A424DD"/>
    <w:rsid w:val="00A42589"/>
    <w:rsid w:val="00A427B4"/>
    <w:rsid w:val="00A427B6"/>
    <w:rsid w:val="00A4291F"/>
    <w:rsid w:val="00A42B18"/>
    <w:rsid w:val="00A42B68"/>
    <w:rsid w:val="00A42B84"/>
    <w:rsid w:val="00A42BA2"/>
    <w:rsid w:val="00A42C3F"/>
    <w:rsid w:val="00A42CAA"/>
    <w:rsid w:val="00A42FC5"/>
    <w:rsid w:val="00A42FFA"/>
    <w:rsid w:val="00A43085"/>
    <w:rsid w:val="00A43207"/>
    <w:rsid w:val="00A4322A"/>
    <w:rsid w:val="00A4322D"/>
    <w:rsid w:val="00A434E9"/>
    <w:rsid w:val="00A4350C"/>
    <w:rsid w:val="00A437A9"/>
    <w:rsid w:val="00A438B2"/>
    <w:rsid w:val="00A43908"/>
    <w:rsid w:val="00A43BDB"/>
    <w:rsid w:val="00A43E25"/>
    <w:rsid w:val="00A44013"/>
    <w:rsid w:val="00A44016"/>
    <w:rsid w:val="00A4418C"/>
    <w:rsid w:val="00A44326"/>
    <w:rsid w:val="00A44334"/>
    <w:rsid w:val="00A443D2"/>
    <w:rsid w:val="00A444F2"/>
    <w:rsid w:val="00A44549"/>
    <w:rsid w:val="00A4465A"/>
    <w:rsid w:val="00A44686"/>
    <w:rsid w:val="00A446BE"/>
    <w:rsid w:val="00A447D7"/>
    <w:rsid w:val="00A44879"/>
    <w:rsid w:val="00A4487F"/>
    <w:rsid w:val="00A44A0D"/>
    <w:rsid w:val="00A44A7A"/>
    <w:rsid w:val="00A44B17"/>
    <w:rsid w:val="00A44B48"/>
    <w:rsid w:val="00A44BAF"/>
    <w:rsid w:val="00A44D61"/>
    <w:rsid w:val="00A44DC2"/>
    <w:rsid w:val="00A450B7"/>
    <w:rsid w:val="00A45115"/>
    <w:rsid w:val="00A453B2"/>
    <w:rsid w:val="00A4543F"/>
    <w:rsid w:val="00A4550B"/>
    <w:rsid w:val="00A45605"/>
    <w:rsid w:val="00A45848"/>
    <w:rsid w:val="00A45C21"/>
    <w:rsid w:val="00A45C4A"/>
    <w:rsid w:val="00A45E01"/>
    <w:rsid w:val="00A45E07"/>
    <w:rsid w:val="00A45E15"/>
    <w:rsid w:val="00A45E81"/>
    <w:rsid w:val="00A45F0B"/>
    <w:rsid w:val="00A460AD"/>
    <w:rsid w:val="00A46118"/>
    <w:rsid w:val="00A46152"/>
    <w:rsid w:val="00A463C2"/>
    <w:rsid w:val="00A4648E"/>
    <w:rsid w:val="00A464DA"/>
    <w:rsid w:val="00A4652F"/>
    <w:rsid w:val="00A46542"/>
    <w:rsid w:val="00A465A7"/>
    <w:rsid w:val="00A466D4"/>
    <w:rsid w:val="00A46772"/>
    <w:rsid w:val="00A467E9"/>
    <w:rsid w:val="00A46A2D"/>
    <w:rsid w:val="00A46A82"/>
    <w:rsid w:val="00A46B35"/>
    <w:rsid w:val="00A46B9C"/>
    <w:rsid w:val="00A46C80"/>
    <w:rsid w:val="00A46E50"/>
    <w:rsid w:val="00A46ED6"/>
    <w:rsid w:val="00A46FD7"/>
    <w:rsid w:val="00A47134"/>
    <w:rsid w:val="00A4734A"/>
    <w:rsid w:val="00A473A1"/>
    <w:rsid w:val="00A474CE"/>
    <w:rsid w:val="00A476FB"/>
    <w:rsid w:val="00A4787E"/>
    <w:rsid w:val="00A47924"/>
    <w:rsid w:val="00A47CA1"/>
    <w:rsid w:val="00A5006A"/>
    <w:rsid w:val="00A50080"/>
    <w:rsid w:val="00A506BA"/>
    <w:rsid w:val="00A5077F"/>
    <w:rsid w:val="00A5089A"/>
    <w:rsid w:val="00A50989"/>
    <w:rsid w:val="00A50BFC"/>
    <w:rsid w:val="00A50D3D"/>
    <w:rsid w:val="00A50E7E"/>
    <w:rsid w:val="00A51133"/>
    <w:rsid w:val="00A51136"/>
    <w:rsid w:val="00A511CC"/>
    <w:rsid w:val="00A51432"/>
    <w:rsid w:val="00A51497"/>
    <w:rsid w:val="00A5169E"/>
    <w:rsid w:val="00A51808"/>
    <w:rsid w:val="00A518A3"/>
    <w:rsid w:val="00A51964"/>
    <w:rsid w:val="00A51A94"/>
    <w:rsid w:val="00A51ACB"/>
    <w:rsid w:val="00A51B35"/>
    <w:rsid w:val="00A521C2"/>
    <w:rsid w:val="00A521D3"/>
    <w:rsid w:val="00A5223C"/>
    <w:rsid w:val="00A526A7"/>
    <w:rsid w:val="00A52723"/>
    <w:rsid w:val="00A5272C"/>
    <w:rsid w:val="00A527CD"/>
    <w:rsid w:val="00A5283F"/>
    <w:rsid w:val="00A52850"/>
    <w:rsid w:val="00A52909"/>
    <w:rsid w:val="00A529AB"/>
    <w:rsid w:val="00A52EAE"/>
    <w:rsid w:val="00A52FED"/>
    <w:rsid w:val="00A53035"/>
    <w:rsid w:val="00A53411"/>
    <w:rsid w:val="00A536BD"/>
    <w:rsid w:val="00A53818"/>
    <w:rsid w:val="00A53918"/>
    <w:rsid w:val="00A53AB8"/>
    <w:rsid w:val="00A53C06"/>
    <w:rsid w:val="00A53DAF"/>
    <w:rsid w:val="00A53DBB"/>
    <w:rsid w:val="00A53E4F"/>
    <w:rsid w:val="00A53FE0"/>
    <w:rsid w:val="00A546F2"/>
    <w:rsid w:val="00A5474F"/>
    <w:rsid w:val="00A54A22"/>
    <w:rsid w:val="00A54A5F"/>
    <w:rsid w:val="00A54BC4"/>
    <w:rsid w:val="00A54BE5"/>
    <w:rsid w:val="00A54CE4"/>
    <w:rsid w:val="00A55307"/>
    <w:rsid w:val="00A55520"/>
    <w:rsid w:val="00A556A6"/>
    <w:rsid w:val="00A55A15"/>
    <w:rsid w:val="00A55ACC"/>
    <w:rsid w:val="00A55AFF"/>
    <w:rsid w:val="00A55E70"/>
    <w:rsid w:val="00A56089"/>
    <w:rsid w:val="00A56192"/>
    <w:rsid w:val="00A56317"/>
    <w:rsid w:val="00A564BE"/>
    <w:rsid w:val="00A56509"/>
    <w:rsid w:val="00A565DD"/>
    <w:rsid w:val="00A56754"/>
    <w:rsid w:val="00A5679D"/>
    <w:rsid w:val="00A56AD3"/>
    <w:rsid w:val="00A56B1D"/>
    <w:rsid w:val="00A56BA3"/>
    <w:rsid w:val="00A56D4A"/>
    <w:rsid w:val="00A570AB"/>
    <w:rsid w:val="00A57122"/>
    <w:rsid w:val="00A577A6"/>
    <w:rsid w:val="00A57979"/>
    <w:rsid w:val="00A57BE6"/>
    <w:rsid w:val="00A57D62"/>
    <w:rsid w:val="00A60229"/>
    <w:rsid w:val="00A60421"/>
    <w:rsid w:val="00A60474"/>
    <w:rsid w:val="00A604CC"/>
    <w:rsid w:val="00A60792"/>
    <w:rsid w:val="00A60851"/>
    <w:rsid w:val="00A60A6C"/>
    <w:rsid w:val="00A60A72"/>
    <w:rsid w:val="00A60AFF"/>
    <w:rsid w:val="00A60B51"/>
    <w:rsid w:val="00A60CE2"/>
    <w:rsid w:val="00A60EC9"/>
    <w:rsid w:val="00A6108A"/>
    <w:rsid w:val="00A612ED"/>
    <w:rsid w:val="00A613BD"/>
    <w:rsid w:val="00A61571"/>
    <w:rsid w:val="00A61625"/>
    <w:rsid w:val="00A616BC"/>
    <w:rsid w:val="00A6172D"/>
    <w:rsid w:val="00A6186C"/>
    <w:rsid w:val="00A61A6A"/>
    <w:rsid w:val="00A61DB8"/>
    <w:rsid w:val="00A61E5C"/>
    <w:rsid w:val="00A62263"/>
    <w:rsid w:val="00A6233C"/>
    <w:rsid w:val="00A6241E"/>
    <w:rsid w:val="00A624EC"/>
    <w:rsid w:val="00A625B5"/>
    <w:rsid w:val="00A6263F"/>
    <w:rsid w:val="00A62740"/>
    <w:rsid w:val="00A62775"/>
    <w:rsid w:val="00A629C7"/>
    <w:rsid w:val="00A62AA3"/>
    <w:rsid w:val="00A62C69"/>
    <w:rsid w:val="00A63114"/>
    <w:rsid w:val="00A631EE"/>
    <w:rsid w:val="00A63243"/>
    <w:rsid w:val="00A63315"/>
    <w:rsid w:val="00A635F4"/>
    <w:rsid w:val="00A6368D"/>
    <w:rsid w:val="00A638CC"/>
    <w:rsid w:val="00A63915"/>
    <w:rsid w:val="00A63A02"/>
    <w:rsid w:val="00A63A3D"/>
    <w:rsid w:val="00A63A69"/>
    <w:rsid w:val="00A63D12"/>
    <w:rsid w:val="00A63DC2"/>
    <w:rsid w:val="00A63F7F"/>
    <w:rsid w:val="00A64013"/>
    <w:rsid w:val="00A6403F"/>
    <w:rsid w:val="00A6412A"/>
    <w:rsid w:val="00A64133"/>
    <w:rsid w:val="00A6413E"/>
    <w:rsid w:val="00A641DE"/>
    <w:rsid w:val="00A64293"/>
    <w:rsid w:val="00A6446D"/>
    <w:rsid w:val="00A6458E"/>
    <w:rsid w:val="00A64D2A"/>
    <w:rsid w:val="00A64DE7"/>
    <w:rsid w:val="00A6515F"/>
    <w:rsid w:val="00A65419"/>
    <w:rsid w:val="00A654A4"/>
    <w:rsid w:val="00A655C9"/>
    <w:rsid w:val="00A65720"/>
    <w:rsid w:val="00A65868"/>
    <w:rsid w:val="00A659F3"/>
    <w:rsid w:val="00A65D19"/>
    <w:rsid w:val="00A65DE4"/>
    <w:rsid w:val="00A66172"/>
    <w:rsid w:val="00A6618B"/>
    <w:rsid w:val="00A66252"/>
    <w:rsid w:val="00A66631"/>
    <w:rsid w:val="00A6680C"/>
    <w:rsid w:val="00A668AB"/>
    <w:rsid w:val="00A6694B"/>
    <w:rsid w:val="00A66A0F"/>
    <w:rsid w:val="00A66D28"/>
    <w:rsid w:val="00A66D64"/>
    <w:rsid w:val="00A66EF9"/>
    <w:rsid w:val="00A670DB"/>
    <w:rsid w:val="00A670EB"/>
    <w:rsid w:val="00A67237"/>
    <w:rsid w:val="00A6723C"/>
    <w:rsid w:val="00A67347"/>
    <w:rsid w:val="00A67397"/>
    <w:rsid w:val="00A67489"/>
    <w:rsid w:val="00A67555"/>
    <w:rsid w:val="00A6775F"/>
    <w:rsid w:val="00A67836"/>
    <w:rsid w:val="00A678F4"/>
    <w:rsid w:val="00A6795C"/>
    <w:rsid w:val="00A67D60"/>
    <w:rsid w:val="00A67DFF"/>
    <w:rsid w:val="00A67E10"/>
    <w:rsid w:val="00A67E5E"/>
    <w:rsid w:val="00A67F04"/>
    <w:rsid w:val="00A67F56"/>
    <w:rsid w:val="00A67F76"/>
    <w:rsid w:val="00A7005B"/>
    <w:rsid w:val="00A70130"/>
    <w:rsid w:val="00A70154"/>
    <w:rsid w:val="00A70263"/>
    <w:rsid w:val="00A7030E"/>
    <w:rsid w:val="00A70320"/>
    <w:rsid w:val="00A705F7"/>
    <w:rsid w:val="00A70683"/>
    <w:rsid w:val="00A70713"/>
    <w:rsid w:val="00A709A0"/>
    <w:rsid w:val="00A709C5"/>
    <w:rsid w:val="00A70AE4"/>
    <w:rsid w:val="00A70D1F"/>
    <w:rsid w:val="00A70E2A"/>
    <w:rsid w:val="00A70E6A"/>
    <w:rsid w:val="00A711A3"/>
    <w:rsid w:val="00A715C8"/>
    <w:rsid w:val="00A715DA"/>
    <w:rsid w:val="00A716AE"/>
    <w:rsid w:val="00A718E9"/>
    <w:rsid w:val="00A71B15"/>
    <w:rsid w:val="00A71B36"/>
    <w:rsid w:val="00A71EAA"/>
    <w:rsid w:val="00A71ECB"/>
    <w:rsid w:val="00A71F06"/>
    <w:rsid w:val="00A7223A"/>
    <w:rsid w:val="00A72279"/>
    <w:rsid w:val="00A722D9"/>
    <w:rsid w:val="00A7250B"/>
    <w:rsid w:val="00A725B3"/>
    <w:rsid w:val="00A7287C"/>
    <w:rsid w:val="00A728FC"/>
    <w:rsid w:val="00A72A00"/>
    <w:rsid w:val="00A72A1A"/>
    <w:rsid w:val="00A72A35"/>
    <w:rsid w:val="00A72C7D"/>
    <w:rsid w:val="00A73006"/>
    <w:rsid w:val="00A73031"/>
    <w:rsid w:val="00A7350B"/>
    <w:rsid w:val="00A73565"/>
    <w:rsid w:val="00A737F1"/>
    <w:rsid w:val="00A739F8"/>
    <w:rsid w:val="00A73A00"/>
    <w:rsid w:val="00A73A06"/>
    <w:rsid w:val="00A73B3B"/>
    <w:rsid w:val="00A73D2E"/>
    <w:rsid w:val="00A73D43"/>
    <w:rsid w:val="00A73DE4"/>
    <w:rsid w:val="00A73DF3"/>
    <w:rsid w:val="00A73EB6"/>
    <w:rsid w:val="00A73F6A"/>
    <w:rsid w:val="00A740BA"/>
    <w:rsid w:val="00A740F1"/>
    <w:rsid w:val="00A741C5"/>
    <w:rsid w:val="00A7430E"/>
    <w:rsid w:val="00A74315"/>
    <w:rsid w:val="00A74531"/>
    <w:rsid w:val="00A745AF"/>
    <w:rsid w:val="00A746BA"/>
    <w:rsid w:val="00A7475B"/>
    <w:rsid w:val="00A74974"/>
    <w:rsid w:val="00A74994"/>
    <w:rsid w:val="00A74A20"/>
    <w:rsid w:val="00A74A91"/>
    <w:rsid w:val="00A74B8D"/>
    <w:rsid w:val="00A74CA7"/>
    <w:rsid w:val="00A74CE3"/>
    <w:rsid w:val="00A74DB1"/>
    <w:rsid w:val="00A74F35"/>
    <w:rsid w:val="00A7507B"/>
    <w:rsid w:val="00A752CB"/>
    <w:rsid w:val="00A75398"/>
    <w:rsid w:val="00A7539E"/>
    <w:rsid w:val="00A75408"/>
    <w:rsid w:val="00A75524"/>
    <w:rsid w:val="00A7557E"/>
    <w:rsid w:val="00A755B5"/>
    <w:rsid w:val="00A7567E"/>
    <w:rsid w:val="00A75739"/>
    <w:rsid w:val="00A758DD"/>
    <w:rsid w:val="00A758F0"/>
    <w:rsid w:val="00A75A7D"/>
    <w:rsid w:val="00A75B58"/>
    <w:rsid w:val="00A75C55"/>
    <w:rsid w:val="00A75CD9"/>
    <w:rsid w:val="00A75E87"/>
    <w:rsid w:val="00A75EF4"/>
    <w:rsid w:val="00A76075"/>
    <w:rsid w:val="00A76111"/>
    <w:rsid w:val="00A764F1"/>
    <w:rsid w:val="00A764F5"/>
    <w:rsid w:val="00A76714"/>
    <w:rsid w:val="00A768E9"/>
    <w:rsid w:val="00A769FA"/>
    <w:rsid w:val="00A76A3A"/>
    <w:rsid w:val="00A76BDF"/>
    <w:rsid w:val="00A76C90"/>
    <w:rsid w:val="00A76D16"/>
    <w:rsid w:val="00A76E13"/>
    <w:rsid w:val="00A76F36"/>
    <w:rsid w:val="00A771AA"/>
    <w:rsid w:val="00A77239"/>
    <w:rsid w:val="00A77251"/>
    <w:rsid w:val="00A77347"/>
    <w:rsid w:val="00A77555"/>
    <w:rsid w:val="00A77628"/>
    <w:rsid w:val="00A776EE"/>
    <w:rsid w:val="00A7772E"/>
    <w:rsid w:val="00A77860"/>
    <w:rsid w:val="00A77A0F"/>
    <w:rsid w:val="00A77AEC"/>
    <w:rsid w:val="00A77BB0"/>
    <w:rsid w:val="00A77D10"/>
    <w:rsid w:val="00A77D97"/>
    <w:rsid w:val="00A77EF9"/>
    <w:rsid w:val="00A80023"/>
    <w:rsid w:val="00A801A8"/>
    <w:rsid w:val="00A803AE"/>
    <w:rsid w:val="00A80412"/>
    <w:rsid w:val="00A8045B"/>
    <w:rsid w:val="00A8048C"/>
    <w:rsid w:val="00A8055F"/>
    <w:rsid w:val="00A808A4"/>
    <w:rsid w:val="00A8091B"/>
    <w:rsid w:val="00A80A4B"/>
    <w:rsid w:val="00A80B11"/>
    <w:rsid w:val="00A80D89"/>
    <w:rsid w:val="00A80E51"/>
    <w:rsid w:val="00A811E5"/>
    <w:rsid w:val="00A8129B"/>
    <w:rsid w:val="00A816AD"/>
    <w:rsid w:val="00A817CC"/>
    <w:rsid w:val="00A8185B"/>
    <w:rsid w:val="00A818A9"/>
    <w:rsid w:val="00A81A4C"/>
    <w:rsid w:val="00A81A92"/>
    <w:rsid w:val="00A81BAD"/>
    <w:rsid w:val="00A81C42"/>
    <w:rsid w:val="00A81DB4"/>
    <w:rsid w:val="00A824A2"/>
    <w:rsid w:val="00A82565"/>
    <w:rsid w:val="00A825F2"/>
    <w:rsid w:val="00A82798"/>
    <w:rsid w:val="00A828BA"/>
    <w:rsid w:val="00A828DF"/>
    <w:rsid w:val="00A82954"/>
    <w:rsid w:val="00A82A2A"/>
    <w:rsid w:val="00A82C81"/>
    <w:rsid w:val="00A82E82"/>
    <w:rsid w:val="00A83078"/>
    <w:rsid w:val="00A83100"/>
    <w:rsid w:val="00A831FF"/>
    <w:rsid w:val="00A83243"/>
    <w:rsid w:val="00A8345C"/>
    <w:rsid w:val="00A834CE"/>
    <w:rsid w:val="00A8377D"/>
    <w:rsid w:val="00A83905"/>
    <w:rsid w:val="00A83A9F"/>
    <w:rsid w:val="00A83AF4"/>
    <w:rsid w:val="00A83DB7"/>
    <w:rsid w:val="00A83DE8"/>
    <w:rsid w:val="00A83E97"/>
    <w:rsid w:val="00A840C7"/>
    <w:rsid w:val="00A840E7"/>
    <w:rsid w:val="00A84148"/>
    <w:rsid w:val="00A84231"/>
    <w:rsid w:val="00A84260"/>
    <w:rsid w:val="00A84379"/>
    <w:rsid w:val="00A844BD"/>
    <w:rsid w:val="00A845D7"/>
    <w:rsid w:val="00A845F8"/>
    <w:rsid w:val="00A8462F"/>
    <w:rsid w:val="00A847FE"/>
    <w:rsid w:val="00A84A2A"/>
    <w:rsid w:val="00A84A2E"/>
    <w:rsid w:val="00A84B2E"/>
    <w:rsid w:val="00A84B68"/>
    <w:rsid w:val="00A84D0F"/>
    <w:rsid w:val="00A84D18"/>
    <w:rsid w:val="00A84D9B"/>
    <w:rsid w:val="00A84DA4"/>
    <w:rsid w:val="00A84DFC"/>
    <w:rsid w:val="00A84F09"/>
    <w:rsid w:val="00A84F9E"/>
    <w:rsid w:val="00A851D1"/>
    <w:rsid w:val="00A85222"/>
    <w:rsid w:val="00A8549F"/>
    <w:rsid w:val="00A85732"/>
    <w:rsid w:val="00A8574A"/>
    <w:rsid w:val="00A8584E"/>
    <w:rsid w:val="00A859BA"/>
    <w:rsid w:val="00A85A2E"/>
    <w:rsid w:val="00A85A51"/>
    <w:rsid w:val="00A85B13"/>
    <w:rsid w:val="00A85BBB"/>
    <w:rsid w:val="00A85D0E"/>
    <w:rsid w:val="00A85D6A"/>
    <w:rsid w:val="00A85EBE"/>
    <w:rsid w:val="00A861D5"/>
    <w:rsid w:val="00A861F7"/>
    <w:rsid w:val="00A86269"/>
    <w:rsid w:val="00A86388"/>
    <w:rsid w:val="00A86A07"/>
    <w:rsid w:val="00A86A1E"/>
    <w:rsid w:val="00A86AF1"/>
    <w:rsid w:val="00A86EEC"/>
    <w:rsid w:val="00A86EF7"/>
    <w:rsid w:val="00A87020"/>
    <w:rsid w:val="00A87086"/>
    <w:rsid w:val="00A87095"/>
    <w:rsid w:val="00A8709C"/>
    <w:rsid w:val="00A870B9"/>
    <w:rsid w:val="00A8717D"/>
    <w:rsid w:val="00A87338"/>
    <w:rsid w:val="00A874D7"/>
    <w:rsid w:val="00A87525"/>
    <w:rsid w:val="00A87554"/>
    <w:rsid w:val="00A8755F"/>
    <w:rsid w:val="00A87563"/>
    <w:rsid w:val="00A8759D"/>
    <w:rsid w:val="00A87833"/>
    <w:rsid w:val="00A8799F"/>
    <w:rsid w:val="00A879E1"/>
    <w:rsid w:val="00A87A9D"/>
    <w:rsid w:val="00A87AA7"/>
    <w:rsid w:val="00A87D02"/>
    <w:rsid w:val="00A87E78"/>
    <w:rsid w:val="00A90008"/>
    <w:rsid w:val="00A90134"/>
    <w:rsid w:val="00A901C3"/>
    <w:rsid w:val="00A9062B"/>
    <w:rsid w:val="00A906DF"/>
    <w:rsid w:val="00A9077C"/>
    <w:rsid w:val="00A90799"/>
    <w:rsid w:val="00A907B2"/>
    <w:rsid w:val="00A907BE"/>
    <w:rsid w:val="00A90880"/>
    <w:rsid w:val="00A90919"/>
    <w:rsid w:val="00A90AE6"/>
    <w:rsid w:val="00A90C41"/>
    <w:rsid w:val="00A90D3F"/>
    <w:rsid w:val="00A90D65"/>
    <w:rsid w:val="00A90D87"/>
    <w:rsid w:val="00A90DC5"/>
    <w:rsid w:val="00A90FCA"/>
    <w:rsid w:val="00A91361"/>
    <w:rsid w:val="00A91579"/>
    <w:rsid w:val="00A915F3"/>
    <w:rsid w:val="00A9170F"/>
    <w:rsid w:val="00A9192A"/>
    <w:rsid w:val="00A91A4D"/>
    <w:rsid w:val="00A92091"/>
    <w:rsid w:val="00A92295"/>
    <w:rsid w:val="00A924FE"/>
    <w:rsid w:val="00A92537"/>
    <w:rsid w:val="00A92587"/>
    <w:rsid w:val="00A926A1"/>
    <w:rsid w:val="00A926B0"/>
    <w:rsid w:val="00A92A35"/>
    <w:rsid w:val="00A92C5A"/>
    <w:rsid w:val="00A92C83"/>
    <w:rsid w:val="00A92CB0"/>
    <w:rsid w:val="00A92D49"/>
    <w:rsid w:val="00A92DEB"/>
    <w:rsid w:val="00A92EE6"/>
    <w:rsid w:val="00A92F30"/>
    <w:rsid w:val="00A93191"/>
    <w:rsid w:val="00A93218"/>
    <w:rsid w:val="00A93229"/>
    <w:rsid w:val="00A93255"/>
    <w:rsid w:val="00A932A5"/>
    <w:rsid w:val="00A93674"/>
    <w:rsid w:val="00A9371B"/>
    <w:rsid w:val="00A93888"/>
    <w:rsid w:val="00A938FC"/>
    <w:rsid w:val="00A93AF1"/>
    <w:rsid w:val="00A94058"/>
    <w:rsid w:val="00A94159"/>
    <w:rsid w:val="00A94275"/>
    <w:rsid w:val="00A942EA"/>
    <w:rsid w:val="00A9431B"/>
    <w:rsid w:val="00A9433D"/>
    <w:rsid w:val="00A943F2"/>
    <w:rsid w:val="00A9455B"/>
    <w:rsid w:val="00A9480D"/>
    <w:rsid w:val="00A94985"/>
    <w:rsid w:val="00A94CEB"/>
    <w:rsid w:val="00A94E56"/>
    <w:rsid w:val="00A94F36"/>
    <w:rsid w:val="00A9502D"/>
    <w:rsid w:val="00A9559B"/>
    <w:rsid w:val="00A9568F"/>
    <w:rsid w:val="00A956BB"/>
    <w:rsid w:val="00A956F5"/>
    <w:rsid w:val="00A957DB"/>
    <w:rsid w:val="00A95A9C"/>
    <w:rsid w:val="00A95AB5"/>
    <w:rsid w:val="00A95B48"/>
    <w:rsid w:val="00A95EA2"/>
    <w:rsid w:val="00A95EC4"/>
    <w:rsid w:val="00A95F7F"/>
    <w:rsid w:val="00A963CE"/>
    <w:rsid w:val="00A9645C"/>
    <w:rsid w:val="00A964AC"/>
    <w:rsid w:val="00A9656A"/>
    <w:rsid w:val="00A9676B"/>
    <w:rsid w:val="00A9679E"/>
    <w:rsid w:val="00A967FB"/>
    <w:rsid w:val="00A96805"/>
    <w:rsid w:val="00A96987"/>
    <w:rsid w:val="00A9698B"/>
    <w:rsid w:val="00A96A87"/>
    <w:rsid w:val="00A96C73"/>
    <w:rsid w:val="00A96CCB"/>
    <w:rsid w:val="00A96D05"/>
    <w:rsid w:val="00A96DC8"/>
    <w:rsid w:val="00A971BE"/>
    <w:rsid w:val="00A972E3"/>
    <w:rsid w:val="00A9737C"/>
    <w:rsid w:val="00A975E2"/>
    <w:rsid w:val="00A97652"/>
    <w:rsid w:val="00A97722"/>
    <w:rsid w:val="00A97941"/>
    <w:rsid w:val="00A97A08"/>
    <w:rsid w:val="00A97B2C"/>
    <w:rsid w:val="00A97BA0"/>
    <w:rsid w:val="00A97BAF"/>
    <w:rsid w:val="00A97C2A"/>
    <w:rsid w:val="00A97CB8"/>
    <w:rsid w:val="00A97D2A"/>
    <w:rsid w:val="00A97D97"/>
    <w:rsid w:val="00A97F7C"/>
    <w:rsid w:val="00AA0493"/>
    <w:rsid w:val="00AA04E9"/>
    <w:rsid w:val="00AA0643"/>
    <w:rsid w:val="00AA067F"/>
    <w:rsid w:val="00AA06B9"/>
    <w:rsid w:val="00AA075A"/>
    <w:rsid w:val="00AA0853"/>
    <w:rsid w:val="00AA085F"/>
    <w:rsid w:val="00AA0973"/>
    <w:rsid w:val="00AA0A57"/>
    <w:rsid w:val="00AA0B7B"/>
    <w:rsid w:val="00AA0C01"/>
    <w:rsid w:val="00AA0E1C"/>
    <w:rsid w:val="00AA0F9B"/>
    <w:rsid w:val="00AA11C8"/>
    <w:rsid w:val="00AA127E"/>
    <w:rsid w:val="00AA12E2"/>
    <w:rsid w:val="00AA1311"/>
    <w:rsid w:val="00AA1316"/>
    <w:rsid w:val="00AA14F2"/>
    <w:rsid w:val="00AA16C8"/>
    <w:rsid w:val="00AA17CE"/>
    <w:rsid w:val="00AA1867"/>
    <w:rsid w:val="00AA1BD8"/>
    <w:rsid w:val="00AA1BEF"/>
    <w:rsid w:val="00AA1D4F"/>
    <w:rsid w:val="00AA1DD2"/>
    <w:rsid w:val="00AA1E22"/>
    <w:rsid w:val="00AA1E6E"/>
    <w:rsid w:val="00AA1E7D"/>
    <w:rsid w:val="00AA2107"/>
    <w:rsid w:val="00AA225A"/>
    <w:rsid w:val="00AA2590"/>
    <w:rsid w:val="00AA25A3"/>
    <w:rsid w:val="00AA2767"/>
    <w:rsid w:val="00AA2A3E"/>
    <w:rsid w:val="00AA2DE2"/>
    <w:rsid w:val="00AA2DEE"/>
    <w:rsid w:val="00AA2E10"/>
    <w:rsid w:val="00AA2F1E"/>
    <w:rsid w:val="00AA2F3E"/>
    <w:rsid w:val="00AA302B"/>
    <w:rsid w:val="00AA3045"/>
    <w:rsid w:val="00AA31B5"/>
    <w:rsid w:val="00AA322E"/>
    <w:rsid w:val="00AA32DA"/>
    <w:rsid w:val="00AA3309"/>
    <w:rsid w:val="00AA3362"/>
    <w:rsid w:val="00AA355D"/>
    <w:rsid w:val="00AA357E"/>
    <w:rsid w:val="00AA36B3"/>
    <w:rsid w:val="00AA371D"/>
    <w:rsid w:val="00AA3848"/>
    <w:rsid w:val="00AA3919"/>
    <w:rsid w:val="00AA3C63"/>
    <w:rsid w:val="00AA3D31"/>
    <w:rsid w:val="00AA3DD9"/>
    <w:rsid w:val="00AA3DE5"/>
    <w:rsid w:val="00AA3F87"/>
    <w:rsid w:val="00AA406C"/>
    <w:rsid w:val="00AA40F8"/>
    <w:rsid w:val="00AA4267"/>
    <w:rsid w:val="00AA4704"/>
    <w:rsid w:val="00AA49CC"/>
    <w:rsid w:val="00AA4A3E"/>
    <w:rsid w:val="00AA4A4D"/>
    <w:rsid w:val="00AA4B2E"/>
    <w:rsid w:val="00AA4B93"/>
    <w:rsid w:val="00AA4B9E"/>
    <w:rsid w:val="00AA4D0E"/>
    <w:rsid w:val="00AA4EF3"/>
    <w:rsid w:val="00AA5400"/>
    <w:rsid w:val="00AA544C"/>
    <w:rsid w:val="00AA5463"/>
    <w:rsid w:val="00AA5514"/>
    <w:rsid w:val="00AA55E9"/>
    <w:rsid w:val="00AA590C"/>
    <w:rsid w:val="00AA5A1D"/>
    <w:rsid w:val="00AA5B6A"/>
    <w:rsid w:val="00AA5BDF"/>
    <w:rsid w:val="00AA5D31"/>
    <w:rsid w:val="00AA5EE2"/>
    <w:rsid w:val="00AA5F27"/>
    <w:rsid w:val="00AA608D"/>
    <w:rsid w:val="00AA6228"/>
    <w:rsid w:val="00AA655F"/>
    <w:rsid w:val="00AA67B8"/>
    <w:rsid w:val="00AA69C6"/>
    <w:rsid w:val="00AA6ABD"/>
    <w:rsid w:val="00AA6B62"/>
    <w:rsid w:val="00AA6B97"/>
    <w:rsid w:val="00AA6BE8"/>
    <w:rsid w:val="00AA6F94"/>
    <w:rsid w:val="00AA74C7"/>
    <w:rsid w:val="00AA7531"/>
    <w:rsid w:val="00AA7778"/>
    <w:rsid w:val="00AA77DF"/>
    <w:rsid w:val="00AA7806"/>
    <w:rsid w:val="00AA799E"/>
    <w:rsid w:val="00AA79D5"/>
    <w:rsid w:val="00AA7B9F"/>
    <w:rsid w:val="00AA7C4C"/>
    <w:rsid w:val="00AA7E68"/>
    <w:rsid w:val="00AA7F29"/>
    <w:rsid w:val="00AA7F74"/>
    <w:rsid w:val="00AB025C"/>
    <w:rsid w:val="00AB037D"/>
    <w:rsid w:val="00AB03D7"/>
    <w:rsid w:val="00AB0525"/>
    <w:rsid w:val="00AB053E"/>
    <w:rsid w:val="00AB05C1"/>
    <w:rsid w:val="00AB06F3"/>
    <w:rsid w:val="00AB0752"/>
    <w:rsid w:val="00AB0798"/>
    <w:rsid w:val="00AB082A"/>
    <w:rsid w:val="00AB09A1"/>
    <w:rsid w:val="00AB09A2"/>
    <w:rsid w:val="00AB0A84"/>
    <w:rsid w:val="00AB0AF1"/>
    <w:rsid w:val="00AB0BB9"/>
    <w:rsid w:val="00AB0CBD"/>
    <w:rsid w:val="00AB0E3E"/>
    <w:rsid w:val="00AB0F49"/>
    <w:rsid w:val="00AB10B4"/>
    <w:rsid w:val="00AB1346"/>
    <w:rsid w:val="00AB15C8"/>
    <w:rsid w:val="00AB1656"/>
    <w:rsid w:val="00AB1823"/>
    <w:rsid w:val="00AB186C"/>
    <w:rsid w:val="00AB1913"/>
    <w:rsid w:val="00AB199F"/>
    <w:rsid w:val="00AB1AE8"/>
    <w:rsid w:val="00AB1B55"/>
    <w:rsid w:val="00AB1C73"/>
    <w:rsid w:val="00AB1DE6"/>
    <w:rsid w:val="00AB1E7B"/>
    <w:rsid w:val="00AB2043"/>
    <w:rsid w:val="00AB20E3"/>
    <w:rsid w:val="00AB229B"/>
    <w:rsid w:val="00AB22D5"/>
    <w:rsid w:val="00AB240D"/>
    <w:rsid w:val="00AB24CB"/>
    <w:rsid w:val="00AB26A6"/>
    <w:rsid w:val="00AB26F6"/>
    <w:rsid w:val="00AB272E"/>
    <w:rsid w:val="00AB2927"/>
    <w:rsid w:val="00AB298E"/>
    <w:rsid w:val="00AB2AFB"/>
    <w:rsid w:val="00AB2BD6"/>
    <w:rsid w:val="00AB2EB7"/>
    <w:rsid w:val="00AB2EBA"/>
    <w:rsid w:val="00AB31A4"/>
    <w:rsid w:val="00AB31CD"/>
    <w:rsid w:val="00AB32DA"/>
    <w:rsid w:val="00AB3334"/>
    <w:rsid w:val="00AB3344"/>
    <w:rsid w:val="00AB340F"/>
    <w:rsid w:val="00AB3412"/>
    <w:rsid w:val="00AB3734"/>
    <w:rsid w:val="00AB3802"/>
    <w:rsid w:val="00AB3860"/>
    <w:rsid w:val="00AB393E"/>
    <w:rsid w:val="00AB3B35"/>
    <w:rsid w:val="00AB3B98"/>
    <w:rsid w:val="00AB3DDF"/>
    <w:rsid w:val="00AB3FDA"/>
    <w:rsid w:val="00AB4179"/>
    <w:rsid w:val="00AB428F"/>
    <w:rsid w:val="00AB449C"/>
    <w:rsid w:val="00AB4561"/>
    <w:rsid w:val="00AB4802"/>
    <w:rsid w:val="00AB4837"/>
    <w:rsid w:val="00AB4B1E"/>
    <w:rsid w:val="00AB4CC0"/>
    <w:rsid w:val="00AB4D94"/>
    <w:rsid w:val="00AB503C"/>
    <w:rsid w:val="00AB508D"/>
    <w:rsid w:val="00AB50FA"/>
    <w:rsid w:val="00AB514E"/>
    <w:rsid w:val="00AB51A0"/>
    <w:rsid w:val="00AB52E0"/>
    <w:rsid w:val="00AB52FF"/>
    <w:rsid w:val="00AB530D"/>
    <w:rsid w:val="00AB53FD"/>
    <w:rsid w:val="00AB540D"/>
    <w:rsid w:val="00AB5680"/>
    <w:rsid w:val="00AB5948"/>
    <w:rsid w:val="00AB5B77"/>
    <w:rsid w:val="00AB5B80"/>
    <w:rsid w:val="00AB5C8C"/>
    <w:rsid w:val="00AB5D57"/>
    <w:rsid w:val="00AB5E4D"/>
    <w:rsid w:val="00AB5EFF"/>
    <w:rsid w:val="00AB5FC0"/>
    <w:rsid w:val="00AB6034"/>
    <w:rsid w:val="00AB61D4"/>
    <w:rsid w:val="00AB6371"/>
    <w:rsid w:val="00AB64D7"/>
    <w:rsid w:val="00AB65CF"/>
    <w:rsid w:val="00AB6741"/>
    <w:rsid w:val="00AB682C"/>
    <w:rsid w:val="00AB6C1E"/>
    <w:rsid w:val="00AB6C38"/>
    <w:rsid w:val="00AB702B"/>
    <w:rsid w:val="00AB70BF"/>
    <w:rsid w:val="00AB7128"/>
    <w:rsid w:val="00AB7399"/>
    <w:rsid w:val="00AB76C6"/>
    <w:rsid w:val="00AB76CC"/>
    <w:rsid w:val="00AB7793"/>
    <w:rsid w:val="00AB77E5"/>
    <w:rsid w:val="00AB7923"/>
    <w:rsid w:val="00AB7C35"/>
    <w:rsid w:val="00AB7CDE"/>
    <w:rsid w:val="00AB7E92"/>
    <w:rsid w:val="00AC010A"/>
    <w:rsid w:val="00AC0123"/>
    <w:rsid w:val="00AC0136"/>
    <w:rsid w:val="00AC02AA"/>
    <w:rsid w:val="00AC03DA"/>
    <w:rsid w:val="00AC0682"/>
    <w:rsid w:val="00AC06EA"/>
    <w:rsid w:val="00AC0766"/>
    <w:rsid w:val="00AC078E"/>
    <w:rsid w:val="00AC09A5"/>
    <w:rsid w:val="00AC0A1E"/>
    <w:rsid w:val="00AC0D0B"/>
    <w:rsid w:val="00AC0E3C"/>
    <w:rsid w:val="00AC0F19"/>
    <w:rsid w:val="00AC0F24"/>
    <w:rsid w:val="00AC0FA6"/>
    <w:rsid w:val="00AC0FD1"/>
    <w:rsid w:val="00AC122A"/>
    <w:rsid w:val="00AC126B"/>
    <w:rsid w:val="00AC1445"/>
    <w:rsid w:val="00AC1511"/>
    <w:rsid w:val="00AC1652"/>
    <w:rsid w:val="00AC167A"/>
    <w:rsid w:val="00AC1716"/>
    <w:rsid w:val="00AC17D1"/>
    <w:rsid w:val="00AC1951"/>
    <w:rsid w:val="00AC1A18"/>
    <w:rsid w:val="00AC1C7A"/>
    <w:rsid w:val="00AC1DAC"/>
    <w:rsid w:val="00AC204E"/>
    <w:rsid w:val="00AC20C8"/>
    <w:rsid w:val="00AC2307"/>
    <w:rsid w:val="00AC2392"/>
    <w:rsid w:val="00AC25D7"/>
    <w:rsid w:val="00AC261C"/>
    <w:rsid w:val="00AC2682"/>
    <w:rsid w:val="00AC28D2"/>
    <w:rsid w:val="00AC2A1F"/>
    <w:rsid w:val="00AC2A21"/>
    <w:rsid w:val="00AC2AD4"/>
    <w:rsid w:val="00AC2C2E"/>
    <w:rsid w:val="00AC2D85"/>
    <w:rsid w:val="00AC2DE8"/>
    <w:rsid w:val="00AC2F2E"/>
    <w:rsid w:val="00AC2F8D"/>
    <w:rsid w:val="00AC3178"/>
    <w:rsid w:val="00AC35EF"/>
    <w:rsid w:val="00AC38DA"/>
    <w:rsid w:val="00AC39CF"/>
    <w:rsid w:val="00AC3AC5"/>
    <w:rsid w:val="00AC3C60"/>
    <w:rsid w:val="00AC3CAF"/>
    <w:rsid w:val="00AC3D26"/>
    <w:rsid w:val="00AC3E2C"/>
    <w:rsid w:val="00AC3E9B"/>
    <w:rsid w:val="00AC3F27"/>
    <w:rsid w:val="00AC4022"/>
    <w:rsid w:val="00AC403C"/>
    <w:rsid w:val="00AC40A3"/>
    <w:rsid w:val="00AC4388"/>
    <w:rsid w:val="00AC457D"/>
    <w:rsid w:val="00AC4A41"/>
    <w:rsid w:val="00AC4A66"/>
    <w:rsid w:val="00AC50B2"/>
    <w:rsid w:val="00AC5174"/>
    <w:rsid w:val="00AC51FE"/>
    <w:rsid w:val="00AC579B"/>
    <w:rsid w:val="00AC5848"/>
    <w:rsid w:val="00AC5922"/>
    <w:rsid w:val="00AC597E"/>
    <w:rsid w:val="00AC59B9"/>
    <w:rsid w:val="00AC59C9"/>
    <w:rsid w:val="00AC59EE"/>
    <w:rsid w:val="00AC5B93"/>
    <w:rsid w:val="00AC5CA5"/>
    <w:rsid w:val="00AC5DD8"/>
    <w:rsid w:val="00AC5E9F"/>
    <w:rsid w:val="00AC5F12"/>
    <w:rsid w:val="00AC6090"/>
    <w:rsid w:val="00AC610E"/>
    <w:rsid w:val="00AC6216"/>
    <w:rsid w:val="00AC62E4"/>
    <w:rsid w:val="00AC62F4"/>
    <w:rsid w:val="00AC64EF"/>
    <w:rsid w:val="00AC66DF"/>
    <w:rsid w:val="00AC677F"/>
    <w:rsid w:val="00AC68FC"/>
    <w:rsid w:val="00AC6968"/>
    <w:rsid w:val="00AC6B98"/>
    <w:rsid w:val="00AC6BEE"/>
    <w:rsid w:val="00AC6C8B"/>
    <w:rsid w:val="00AC6D00"/>
    <w:rsid w:val="00AC6EDC"/>
    <w:rsid w:val="00AC6F2D"/>
    <w:rsid w:val="00AC6F50"/>
    <w:rsid w:val="00AC705E"/>
    <w:rsid w:val="00AC72D8"/>
    <w:rsid w:val="00AC768C"/>
    <w:rsid w:val="00AC769E"/>
    <w:rsid w:val="00AC781C"/>
    <w:rsid w:val="00AC78AA"/>
    <w:rsid w:val="00AC793B"/>
    <w:rsid w:val="00AC7A32"/>
    <w:rsid w:val="00AC7A90"/>
    <w:rsid w:val="00AC7AD8"/>
    <w:rsid w:val="00AC7C90"/>
    <w:rsid w:val="00AC7E69"/>
    <w:rsid w:val="00AD001A"/>
    <w:rsid w:val="00AD0061"/>
    <w:rsid w:val="00AD0134"/>
    <w:rsid w:val="00AD0243"/>
    <w:rsid w:val="00AD026E"/>
    <w:rsid w:val="00AD0292"/>
    <w:rsid w:val="00AD036C"/>
    <w:rsid w:val="00AD046A"/>
    <w:rsid w:val="00AD0553"/>
    <w:rsid w:val="00AD079D"/>
    <w:rsid w:val="00AD07B3"/>
    <w:rsid w:val="00AD07BE"/>
    <w:rsid w:val="00AD08F2"/>
    <w:rsid w:val="00AD08FA"/>
    <w:rsid w:val="00AD0A76"/>
    <w:rsid w:val="00AD0B13"/>
    <w:rsid w:val="00AD0B6C"/>
    <w:rsid w:val="00AD0BA6"/>
    <w:rsid w:val="00AD0C8D"/>
    <w:rsid w:val="00AD0CA0"/>
    <w:rsid w:val="00AD0E2D"/>
    <w:rsid w:val="00AD0E76"/>
    <w:rsid w:val="00AD0FCA"/>
    <w:rsid w:val="00AD0FE2"/>
    <w:rsid w:val="00AD103D"/>
    <w:rsid w:val="00AD1053"/>
    <w:rsid w:val="00AD10CC"/>
    <w:rsid w:val="00AD122A"/>
    <w:rsid w:val="00AD124D"/>
    <w:rsid w:val="00AD1386"/>
    <w:rsid w:val="00AD156B"/>
    <w:rsid w:val="00AD15CB"/>
    <w:rsid w:val="00AD17D9"/>
    <w:rsid w:val="00AD18C8"/>
    <w:rsid w:val="00AD1901"/>
    <w:rsid w:val="00AD191E"/>
    <w:rsid w:val="00AD19F8"/>
    <w:rsid w:val="00AD19FC"/>
    <w:rsid w:val="00AD1AF2"/>
    <w:rsid w:val="00AD1C7D"/>
    <w:rsid w:val="00AD203D"/>
    <w:rsid w:val="00AD2071"/>
    <w:rsid w:val="00AD220B"/>
    <w:rsid w:val="00AD23D7"/>
    <w:rsid w:val="00AD263B"/>
    <w:rsid w:val="00AD2A4B"/>
    <w:rsid w:val="00AD2CB3"/>
    <w:rsid w:val="00AD2D44"/>
    <w:rsid w:val="00AD2DA1"/>
    <w:rsid w:val="00AD2E34"/>
    <w:rsid w:val="00AD309C"/>
    <w:rsid w:val="00AD3202"/>
    <w:rsid w:val="00AD34DE"/>
    <w:rsid w:val="00AD34F0"/>
    <w:rsid w:val="00AD3571"/>
    <w:rsid w:val="00AD3622"/>
    <w:rsid w:val="00AD36B4"/>
    <w:rsid w:val="00AD3787"/>
    <w:rsid w:val="00AD3A21"/>
    <w:rsid w:val="00AD3ABC"/>
    <w:rsid w:val="00AD3AD8"/>
    <w:rsid w:val="00AD3D25"/>
    <w:rsid w:val="00AD3F93"/>
    <w:rsid w:val="00AD4014"/>
    <w:rsid w:val="00AD4320"/>
    <w:rsid w:val="00AD4540"/>
    <w:rsid w:val="00AD4620"/>
    <w:rsid w:val="00AD475B"/>
    <w:rsid w:val="00AD497C"/>
    <w:rsid w:val="00AD4A18"/>
    <w:rsid w:val="00AD4AC1"/>
    <w:rsid w:val="00AD4CAE"/>
    <w:rsid w:val="00AD4DD6"/>
    <w:rsid w:val="00AD4DEE"/>
    <w:rsid w:val="00AD4DFA"/>
    <w:rsid w:val="00AD4E2E"/>
    <w:rsid w:val="00AD4FF2"/>
    <w:rsid w:val="00AD50A5"/>
    <w:rsid w:val="00AD50A7"/>
    <w:rsid w:val="00AD50F4"/>
    <w:rsid w:val="00AD5650"/>
    <w:rsid w:val="00AD5731"/>
    <w:rsid w:val="00AD574E"/>
    <w:rsid w:val="00AD580A"/>
    <w:rsid w:val="00AD5994"/>
    <w:rsid w:val="00AD5C39"/>
    <w:rsid w:val="00AD5E14"/>
    <w:rsid w:val="00AD619D"/>
    <w:rsid w:val="00AD64BE"/>
    <w:rsid w:val="00AD6552"/>
    <w:rsid w:val="00AD65E4"/>
    <w:rsid w:val="00AD6923"/>
    <w:rsid w:val="00AD6A77"/>
    <w:rsid w:val="00AD6B6B"/>
    <w:rsid w:val="00AD6BF4"/>
    <w:rsid w:val="00AD6CC8"/>
    <w:rsid w:val="00AD6D3A"/>
    <w:rsid w:val="00AD716A"/>
    <w:rsid w:val="00AD71FD"/>
    <w:rsid w:val="00AD725A"/>
    <w:rsid w:val="00AD72AD"/>
    <w:rsid w:val="00AD73C8"/>
    <w:rsid w:val="00AD7660"/>
    <w:rsid w:val="00AD7689"/>
    <w:rsid w:val="00AD7856"/>
    <w:rsid w:val="00AD7919"/>
    <w:rsid w:val="00AD7F4B"/>
    <w:rsid w:val="00AD7F69"/>
    <w:rsid w:val="00AD7F77"/>
    <w:rsid w:val="00AE01EB"/>
    <w:rsid w:val="00AE02F3"/>
    <w:rsid w:val="00AE0382"/>
    <w:rsid w:val="00AE043C"/>
    <w:rsid w:val="00AE04C0"/>
    <w:rsid w:val="00AE06B0"/>
    <w:rsid w:val="00AE0738"/>
    <w:rsid w:val="00AE078C"/>
    <w:rsid w:val="00AE07A7"/>
    <w:rsid w:val="00AE09AD"/>
    <w:rsid w:val="00AE09BE"/>
    <w:rsid w:val="00AE0BA7"/>
    <w:rsid w:val="00AE0C3A"/>
    <w:rsid w:val="00AE0D37"/>
    <w:rsid w:val="00AE0EA7"/>
    <w:rsid w:val="00AE10B0"/>
    <w:rsid w:val="00AE11CF"/>
    <w:rsid w:val="00AE1254"/>
    <w:rsid w:val="00AE130B"/>
    <w:rsid w:val="00AE1385"/>
    <w:rsid w:val="00AE1424"/>
    <w:rsid w:val="00AE14DB"/>
    <w:rsid w:val="00AE1582"/>
    <w:rsid w:val="00AE16B9"/>
    <w:rsid w:val="00AE16E8"/>
    <w:rsid w:val="00AE17C9"/>
    <w:rsid w:val="00AE1817"/>
    <w:rsid w:val="00AE1866"/>
    <w:rsid w:val="00AE186C"/>
    <w:rsid w:val="00AE188C"/>
    <w:rsid w:val="00AE1A2D"/>
    <w:rsid w:val="00AE1AED"/>
    <w:rsid w:val="00AE1B3B"/>
    <w:rsid w:val="00AE1BD5"/>
    <w:rsid w:val="00AE1D72"/>
    <w:rsid w:val="00AE1D87"/>
    <w:rsid w:val="00AE2119"/>
    <w:rsid w:val="00AE21E5"/>
    <w:rsid w:val="00AE25DB"/>
    <w:rsid w:val="00AE28BD"/>
    <w:rsid w:val="00AE295C"/>
    <w:rsid w:val="00AE2B5B"/>
    <w:rsid w:val="00AE2B6F"/>
    <w:rsid w:val="00AE2C07"/>
    <w:rsid w:val="00AE2CE1"/>
    <w:rsid w:val="00AE2E6D"/>
    <w:rsid w:val="00AE306D"/>
    <w:rsid w:val="00AE3217"/>
    <w:rsid w:val="00AE33E9"/>
    <w:rsid w:val="00AE3471"/>
    <w:rsid w:val="00AE34B1"/>
    <w:rsid w:val="00AE363A"/>
    <w:rsid w:val="00AE36BC"/>
    <w:rsid w:val="00AE38C7"/>
    <w:rsid w:val="00AE3B6A"/>
    <w:rsid w:val="00AE3C4F"/>
    <w:rsid w:val="00AE3C80"/>
    <w:rsid w:val="00AE3F06"/>
    <w:rsid w:val="00AE3F49"/>
    <w:rsid w:val="00AE3F7A"/>
    <w:rsid w:val="00AE4170"/>
    <w:rsid w:val="00AE41A1"/>
    <w:rsid w:val="00AE4352"/>
    <w:rsid w:val="00AE4409"/>
    <w:rsid w:val="00AE4548"/>
    <w:rsid w:val="00AE465D"/>
    <w:rsid w:val="00AE47DC"/>
    <w:rsid w:val="00AE4969"/>
    <w:rsid w:val="00AE49AC"/>
    <w:rsid w:val="00AE4AE6"/>
    <w:rsid w:val="00AE4B4C"/>
    <w:rsid w:val="00AE4C39"/>
    <w:rsid w:val="00AE4C53"/>
    <w:rsid w:val="00AE4CDB"/>
    <w:rsid w:val="00AE4CF5"/>
    <w:rsid w:val="00AE4D8B"/>
    <w:rsid w:val="00AE4DAF"/>
    <w:rsid w:val="00AE4E21"/>
    <w:rsid w:val="00AE4E46"/>
    <w:rsid w:val="00AE4E63"/>
    <w:rsid w:val="00AE4E77"/>
    <w:rsid w:val="00AE4E87"/>
    <w:rsid w:val="00AE5201"/>
    <w:rsid w:val="00AE528D"/>
    <w:rsid w:val="00AE54F4"/>
    <w:rsid w:val="00AE56AF"/>
    <w:rsid w:val="00AE5701"/>
    <w:rsid w:val="00AE5989"/>
    <w:rsid w:val="00AE5D58"/>
    <w:rsid w:val="00AE6138"/>
    <w:rsid w:val="00AE61D1"/>
    <w:rsid w:val="00AE6212"/>
    <w:rsid w:val="00AE629B"/>
    <w:rsid w:val="00AE62D0"/>
    <w:rsid w:val="00AE62E9"/>
    <w:rsid w:val="00AE647A"/>
    <w:rsid w:val="00AE6482"/>
    <w:rsid w:val="00AE68FB"/>
    <w:rsid w:val="00AE6920"/>
    <w:rsid w:val="00AE6BAB"/>
    <w:rsid w:val="00AE6D62"/>
    <w:rsid w:val="00AE6E26"/>
    <w:rsid w:val="00AE6E45"/>
    <w:rsid w:val="00AE71E3"/>
    <w:rsid w:val="00AE75C9"/>
    <w:rsid w:val="00AE76D3"/>
    <w:rsid w:val="00AE7767"/>
    <w:rsid w:val="00AE782A"/>
    <w:rsid w:val="00AE7838"/>
    <w:rsid w:val="00AE7CCA"/>
    <w:rsid w:val="00AE7D27"/>
    <w:rsid w:val="00AE7F31"/>
    <w:rsid w:val="00AE7F3A"/>
    <w:rsid w:val="00AF00AC"/>
    <w:rsid w:val="00AF00B2"/>
    <w:rsid w:val="00AF0217"/>
    <w:rsid w:val="00AF0457"/>
    <w:rsid w:val="00AF0463"/>
    <w:rsid w:val="00AF0651"/>
    <w:rsid w:val="00AF07C0"/>
    <w:rsid w:val="00AF07E8"/>
    <w:rsid w:val="00AF0869"/>
    <w:rsid w:val="00AF0974"/>
    <w:rsid w:val="00AF0B41"/>
    <w:rsid w:val="00AF0E03"/>
    <w:rsid w:val="00AF0E3C"/>
    <w:rsid w:val="00AF0FBC"/>
    <w:rsid w:val="00AF1170"/>
    <w:rsid w:val="00AF121E"/>
    <w:rsid w:val="00AF12C7"/>
    <w:rsid w:val="00AF1305"/>
    <w:rsid w:val="00AF1492"/>
    <w:rsid w:val="00AF153F"/>
    <w:rsid w:val="00AF16DF"/>
    <w:rsid w:val="00AF170B"/>
    <w:rsid w:val="00AF17B5"/>
    <w:rsid w:val="00AF18C2"/>
    <w:rsid w:val="00AF1A53"/>
    <w:rsid w:val="00AF1DC0"/>
    <w:rsid w:val="00AF211E"/>
    <w:rsid w:val="00AF221D"/>
    <w:rsid w:val="00AF25EC"/>
    <w:rsid w:val="00AF2763"/>
    <w:rsid w:val="00AF291C"/>
    <w:rsid w:val="00AF2A4A"/>
    <w:rsid w:val="00AF2B23"/>
    <w:rsid w:val="00AF2BF2"/>
    <w:rsid w:val="00AF2DB6"/>
    <w:rsid w:val="00AF30CB"/>
    <w:rsid w:val="00AF3557"/>
    <w:rsid w:val="00AF3835"/>
    <w:rsid w:val="00AF39C1"/>
    <w:rsid w:val="00AF3BB3"/>
    <w:rsid w:val="00AF3C38"/>
    <w:rsid w:val="00AF3D5D"/>
    <w:rsid w:val="00AF3D66"/>
    <w:rsid w:val="00AF3FB1"/>
    <w:rsid w:val="00AF4066"/>
    <w:rsid w:val="00AF41A3"/>
    <w:rsid w:val="00AF41EB"/>
    <w:rsid w:val="00AF43A2"/>
    <w:rsid w:val="00AF440B"/>
    <w:rsid w:val="00AF4429"/>
    <w:rsid w:val="00AF4557"/>
    <w:rsid w:val="00AF4579"/>
    <w:rsid w:val="00AF469D"/>
    <w:rsid w:val="00AF47D0"/>
    <w:rsid w:val="00AF4884"/>
    <w:rsid w:val="00AF488A"/>
    <w:rsid w:val="00AF4960"/>
    <w:rsid w:val="00AF498B"/>
    <w:rsid w:val="00AF4995"/>
    <w:rsid w:val="00AF49DA"/>
    <w:rsid w:val="00AF4A63"/>
    <w:rsid w:val="00AF4ACB"/>
    <w:rsid w:val="00AF4BDF"/>
    <w:rsid w:val="00AF4C54"/>
    <w:rsid w:val="00AF4CEE"/>
    <w:rsid w:val="00AF4E1E"/>
    <w:rsid w:val="00AF4ED4"/>
    <w:rsid w:val="00AF50A8"/>
    <w:rsid w:val="00AF5124"/>
    <w:rsid w:val="00AF5199"/>
    <w:rsid w:val="00AF55E2"/>
    <w:rsid w:val="00AF565A"/>
    <w:rsid w:val="00AF56BF"/>
    <w:rsid w:val="00AF56F2"/>
    <w:rsid w:val="00AF5789"/>
    <w:rsid w:val="00AF582E"/>
    <w:rsid w:val="00AF59F3"/>
    <w:rsid w:val="00AF5A56"/>
    <w:rsid w:val="00AF6083"/>
    <w:rsid w:val="00AF6166"/>
    <w:rsid w:val="00AF65F6"/>
    <w:rsid w:val="00AF6B60"/>
    <w:rsid w:val="00AF6BD9"/>
    <w:rsid w:val="00AF6F94"/>
    <w:rsid w:val="00AF7112"/>
    <w:rsid w:val="00AF7128"/>
    <w:rsid w:val="00AF71AE"/>
    <w:rsid w:val="00AF72B9"/>
    <w:rsid w:val="00AF7376"/>
    <w:rsid w:val="00AF73AA"/>
    <w:rsid w:val="00AF74A0"/>
    <w:rsid w:val="00AF74BC"/>
    <w:rsid w:val="00AF74F7"/>
    <w:rsid w:val="00AF7598"/>
    <w:rsid w:val="00AF75CA"/>
    <w:rsid w:val="00AF7834"/>
    <w:rsid w:val="00AF784B"/>
    <w:rsid w:val="00AF7A0B"/>
    <w:rsid w:val="00AF7F6F"/>
    <w:rsid w:val="00AF7FF7"/>
    <w:rsid w:val="00B00273"/>
    <w:rsid w:val="00B002FA"/>
    <w:rsid w:val="00B00477"/>
    <w:rsid w:val="00B0047B"/>
    <w:rsid w:val="00B006EE"/>
    <w:rsid w:val="00B0070A"/>
    <w:rsid w:val="00B00782"/>
    <w:rsid w:val="00B00909"/>
    <w:rsid w:val="00B009F6"/>
    <w:rsid w:val="00B00A44"/>
    <w:rsid w:val="00B00C27"/>
    <w:rsid w:val="00B00CA6"/>
    <w:rsid w:val="00B00CE5"/>
    <w:rsid w:val="00B00CFE"/>
    <w:rsid w:val="00B00F83"/>
    <w:rsid w:val="00B01024"/>
    <w:rsid w:val="00B011E1"/>
    <w:rsid w:val="00B012F9"/>
    <w:rsid w:val="00B0153D"/>
    <w:rsid w:val="00B016F2"/>
    <w:rsid w:val="00B016FC"/>
    <w:rsid w:val="00B01852"/>
    <w:rsid w:val="00B018F3"/>
    <w:rsid w:val="00B01943"/>
    <w:rsid w:val="00B01BB9"/>
    <w:rsid w:val="00B01D9C"/>
    <w:rsid w:val="00B01F40"/>
    <w:rsid w:val="00B01F4D"/>
    <w:rsid w:val="00B0209B"/>
    <w:rsid w:val="00B02121"/>
    <w:rsid w:val="00B02185"/>
    <w:rsid w:val="00B025A1"/>
    <w:rsid w:val="00B02A73"/>
    <w:rsid w:val="00B02C4E"/>
    <w:rsid w:val="00B02C5D"/>
    <w:rsid w:val="00B02D7E"/>
    <w:rsid w:val="00B02E36"/>
    <w:rsid w:val="00B0302E"/>
    <w:rsid w:val="00B030EB"/>
    <w:rsid w:val="00B0355B"/>
    <w:rsid w:val="00B0362A"/>
    <w:rsid w:val="00B0367A"/>
    <w:rsid w:val="00B0377B"/>
    <w:rsid w:val="00B037BD"/>
    <w:rsid w:val="00B039A7"/>
    <w:rsid w:val="00B03CDE"/>
    <w:rsid w:val="00B041D8"/>
    <w:rsid w:val="00B042F5"/>
    <w:rsid w:val="00B0490E"/>
    <w:rsid w:val="00B0491B"/>
    <w:rsid w:val="00B04A67"/>
    <w:rsid w:val="00B04ACB"/>
    <w:rsid w:val="00B04B54"/>
    <w:rsid w:val="00B04B7A"/>
    <w:rsid w:val="00B04D2D"/>
    <w:rsid w:val="00B04DEB"/>
    <w:rsid w:val="00B04E21"/>
    <w:rsid w:val="00B04F44"/>
    <w:rsid w:val="00B04F65"/>
    <w:rsid w:val="00B04F7C"/>
    <w:rsid w:val="00B05060"/>
    <w:rsid w:val="00B05073"/>
    <w:rsid w:val="00B050FC"/>
    <w:rsid w:val="00B0511A"/>
    <w:rsid w:val="00B05354"/>
    <w:rsid w:val="00B053C5"/>
    <w:rsid w:val="00B05415"/>
    <w:rsid w:val="00B05422"/>
    <w:rsid w:val="00B05423"/>
    <w:rsid w:val="00B054B5"/>
    <w:rsid w:val="00B05540"/>
    <w:rsid w:val="00B058B5"/>
    <w:rsid w:val="00B05B4B"/>
    <w:rsid w:val="00B05C8F"/>
    <w:rsid w:val="00B05D4E"/>
    <w:rsid w:val="00B05F2D"/>
    <w:rsid w:val="00B05FE7"/>
    <w:rsid w:val="00B060AA"/>
    <w:rsid w:val="00B062F5"/>
    <w:rsid w:val="00B06612"/>
    <w:rsid w:val="00B06626"/>
    <w:rsid w:val="00B06697"/>
    <w:rsid w:val="00B06939"/>
    <w:rsid w:val="00B06977"/>
    <w:rsid w:val="00B069ED"/>
    <w:rsid w:val="00B06AA6"/>
    <w:rsid w:val="00B06BC5"/>
    <w:rsid w:val="00B06CC7"/>
    <w:rsid w:val="00B06CF0"/>
    <w:rsid w:val="00B06D95"/>
    <w:rsid w:val="00B06DD3"/>
    <w:rsid w:val="00B06F24"/>
    <w:rsid w:val="00B06FB4"/>
    <w:rsid w:val="00B0708C"/>
    <w:rsid w:val="00B07119"/>
    <w:rsid w:val="00B07236"/>
    <w:rsid w:val="00B07246"/>
    <w:rsid w:val="00B073AC"/>
    <w:rsid w:val="00B07459"/>
    <w:rsid w:val="00B074D7"/>
    <w:rsid w:val="00B07711"/>
    <w:rsid w:val="00B0782F"/>
    <w:rsid w:val="00B078B4"/>
    <w:rsid w:val="00B078D5"/>
    <w:rsid w:val="00B07C00"/>
    <w:rsid w:val="00B07E00"/>
    <w:rsid w:val="00B07F6E"/>
    <w:rsid w:val="00B07F7A"/>
    <w:rsid w:val="00B07FED"/>
    <w:rsid w:val="00B07FFB"/>
    <w:rsid w:val="00B10036"/>
    <w:rsid w:val="00B1011B"/>
    <w:rsid w:val="00B10292"/>
    <w:rsid w:val="00B10402"/>
    <w:rsid w:val="00B105D0"/>
    <w:rsid w:val="00B105E4"/>
    <w:rsid w:val="00B107BC"/>
    <w:rsid w:val="00B10B56"/>
    <w:rsid w:val="00B10BFF"/>
    <w:rsid w:val="00B10CDD"/>
    <w:rsid w:val="00B10DD5"/>
    <w:rsid w:val="00B10FF5"/>
    <w:rsid w:val="00B10FF6"/>
    <w:rsid w:val="00B1103E"/>
    <w:rsid w:val="00B11043"/>
    <w:rsid w:val="00B1108D"/>
    <w:rsid w:val="00B11370"/>
    <w:rsid w:val="00B11416"/>
    <w:rsid w:val="00B116E8"/>
    <w:rsid w:val="00B11937"/>
    <w:rsid w:val="00B1194F"/>
    <w:rsid w:val="00B11972"/>
    <w:rsid w:val="00B11AF8"/>
    <w:rsid w:val="00B11B49"/>
    <w:rsid w:val="00B11BF3"/>
    <w:rsid w:val="00B11D44"/>
    <w:rsid w:val="00B11D4D"/>
    <w:rsid w:val="00B123D6"/>
    <w:rsid w:val="00B12442"/>
    <w:rsid w:val="00B124F2"/>
    <w:rsid w:val="00B12505"/>
    <w:rsid w:val="00B1257F"/>
    <w:rsid w:val="00B125A3"/>
    <w:rsid w:val="00B12805"/>
    <w:rsid w:val="00B128E7"/>
    <w:rsid w:val="00B1296B"/>
    <w:rsid w:val="00B12976"/>
    <w:rsid w:val="00B12A22"/>
    <w:rsid w:val="00B12BA7"/>
    <w:rsid w:val="00B12DB2"/>
    <w:rsid w:val="00B12E5C"/>
    <w:rsid w:val="00B12EC9"/>
    <w:rsid w:val="00B13013"/>
    <w:rsid w:val="00B13032"/>
    <w:rsid w:val="00B13044"/>
    <w:rsid w:val="00B13271"/>
    <w:rsid w:val="00B1328D"/>
    <w:rsid w:val="00B1335E"/>
    <w:rsid w:val="00B13362"/>
    <w:rsid w:val="00B13488"/>
    <w:rsid w:val="00B135D7"/>
    <w:rsid w:val="00B135E6"/>
    <w:rsid w:val="00B1360E"/>
    <w:rsid w:val="00B1383D"/>
    <w:rsid w:val="00B138D9"/>
    <w:rsid w:val="00B13922"/>
    <w:rsid w:val="00B1398E"/>
    <w:rsid w:val="00B13A56"/>
    <w:rsid w:val="00B13AFD"/>
    <w:rsid w:val="00B13D4E"/>
    <w:rsid w:val="00B13D73"/>
    <w:rsid w:val="00B13DD5"/>
    <w:rsid w:val="00B13FE3"/>
    <w:rsid w:val="00B14395"/>
    <w:rsid w:val="00B1479A"/>
    <w:rsid w:val="00B147C8"/>
    <w:rsid w:val="00B14A6A"/>
    <w:rsid w:val="00B14B4D"/>
    <w:rsid w:val="00B14D57"/>
    <w:rsid w:val="00B14E88"/>
    <w:rsid w:val="00B14FE1"/>
    <w:rsid w:val="00B151EC"/>
    <w:rsid w:val="00B15285"/>
    <w:rsid w:val="00B152BD"/>
    <w:rsid w:val="00B15344"/>
    <w:rsid w:val="00B153A1"/>
    <w:rsid w:val="00B153BB"/>
    <w:rsid w:val="00B15474"/>
    <w:rsid w:val="00B15491"/>
    <w:rsid w:val="00B15541"/>
    <w:rsid w:val="00B159C0"/>
    <w:rsid w:val="00B15A43"/>
    <w:rsid w:val="00B15B39"/>
    <w:rsid w:val="00B15BAC"/>
    <w:rsid w:val="00B15CD1"/>
    <w:rsid w:val="00B15DE8"/>
    <w:rsid w:val="00B160C5"/>
    <w:rsid w:val="00B161B2"/>
    <w:rsid w:val="00B163D4"/>
    <w:rsid w:val="00B16640"/>
    <w:rsid w:val="00B166AF"/>
    <w:rsid w:val="00B169F1"/>
    <w:rsid w:val="00B16A52"/>
    <w:rsid w:val="00B16A94"/>
    <w:rsid w:val="00B16C29"/>
    <w:rsid w:val="00B16D18"/>
    <w:rsid w:val="00B17078"/>
    <w:rsid w:val="00B1712D"/>
    <w:rsid w:val="00B172C9"/>
    <w:rsid w:val="00B1737D"/>
    <w:rsid w:val="00B1767A"/>
    <w:rsid w:val="00B17795"/>
    <w:rsid w:val="00B177D5"/>
    <w:rsid w:val="00B1797B"/>
    <w:rsid w:val="00B17A60"/>
    <w:rsid w:val="00B17C9D"/>
    <w:rsid w:val="00B17E58"/>
    <w:rsid w:val="00B17EC2"/>
    <w:rsid w:val="00B201B6"/>
    <w:rsid w:val="00B203B1"/>
    <w:rsid w:val="00B20562"/>
    <w:rsid w:val="00B20633"/>
    <w:rsid w:val="00B20811"/>
    <w:rsid w:val="00B2089D"/>
    <w:rsid w:val="00B209EA"/>
    <w:rsid w:val="00B20B07"/>
    <w:rsid w:val="00B20C78"/>
    <w:rsid w:val="00B20DC6"/>
    <w:rsid w:val="00B20DD5"/>
    <w:rsid w:val="00B20E62"/>
    <w:rsid w:val="00B20F7C"/>
    <w:rsid w:val="00B20FC5"/>
    <w:rsid w:val="00B2110D"/>
    <w:rsid w:val="00B211A5"/>
    <w:rsid w:val="00B2131D"/>
    <w:rsid w:val="00B2132F"/>
    <w:rsid w:val="00B214AB"/>
    <w:rsid w:val="00B21541"/>
    <w:rsid w:val="00B2157D"/>
    <w:rsid w:val="00B21581"/>
    <w:rsid w:val="00B21947"/>
    <w:rsid w:val="00B21A81"/>
    <w:rsid w:val="00B21AF1"/>
    <w:rsid w:val="00B21D0D"/>
    <w:rsid w:val="00B21F72"/>
    <w:rsid w:val="00B2202B"/>
    <w:rsid w:val="00B22313"/>
    <w:rsid w:val="00B2247A"/>
    <w:rsid w:val="00B22484"/>
    <w:rsid w:val="00B224AF"/>
    <w:rsid w:val="00B2256D"/>
    <w:rsid w:val="00B22647"/>
    <w:rsid w:val="00B226ED"/>
    <w:rsid w:val="00B227F3"/>
    <w:rsid w:val="00B2285C"/>
    <w:rsid w:val="00B228CE"/>
    <w:rsid w:val="00B22973"/>
    <w:rsid w:val="00B22999"/>
    <w:rsid w:val="00B22A91"/>
    <w:rsid w:val="00B22B1D"/>
    <w:rsid w:val="00B22B26"/>
    <w:rsid w:val="00B22B89"/>
    <w:rsid w:val="00B233F4"/>
    <w:rsid w:val="00B235E9"/>
    <w:rsid w:val="00B23605"/>
    <w:rsid w:val="00B23683"/>
    <w:rsid w:val="00B238B5"/>
    <w:rsid w:val="00B2396B"/>
    <w:rsid w:val="00B23C79"/>
    <w:rsid w:val="00B23DBC"/>
    <w:rsid w:val="00B2437B"/>
    <w:rsid w:val="00B243D6"/>
    <w:rsid w:val="00B24657"/>
    <w:rsid w:val="00B2468E"/>
    <w:rsid w:val="00B247E8"/>
    <w:rsid w:val="00B247F0"/>
    <w:rsid w:val="00B24AA5"/>
    <w:rsid w:val="00B24AE3"/>
    <w:rsid w:val="00B24B81"/>
    <w:rsid w:val="00B24BB7"/>
    <w:rsid w:val="00B24C98"/>
    <w:rsid w:val="00B24E6B"/>
    <w:rsid w:val="00B2521C"/>
    <w:rsid w:val="00B252DE"/>
    <w:rsid w:val="00B2550E"/>
    <w:rsid w:val="00B256D3"/>
    <w:rsid w:val="00B25744"/>
    <w:rsid w:val="00B2581D"/>
    <w:rsid w:val="00B25B6C"/>
    <w:rsid w:val="00B25C4F"/>
    <w:rsid w:val="00B25C69"/>
    <w:rsid w:val="00B25CCE"/>
    <w:rsid w:val="00B25D33"/>
    <w:rsid w:val="00B262D8"/>
    <w:rsid w:val="00B2636F"/>
    <w:rsid w:val="00B26434"/>
    <w:rsid w:val="00B266AE"/>
    <w:rsid w:val="00B269C1"/>
    <w:rsid w:val="00B26AE8"/>
    <w:rsid w:val="00B26B16"/>
    <w:rsid w:val="00B26B18"/>
    <w:rsid w:val="00B26BB4"/>
    <w:rsid w:val="00B2718B"/>
    <w:rsid w:val="00B271D0"/>
    <w:rsid w:val="00B27292"/>
    <w:rsid w:val="00B27373"/>
    <w:rsid w:val="00B27578"/>
    <w:rsid w:val="00B27617"/>
    <w:rsid w:val="00B27776"/>
    <w:rsid w:val="00B278DB"/>
    <w:rsid w:val="00B279E6"/>
    <w:rsid w:val="00B27ABA"/>
    <w:rsid w:val="00B27CEE"/>
    <w:rsid w:val="00B27F69"/>
    <w:rsid w:val="00B27FE5"/>
    <w:rsid w:val="00B3004C"/>
    <w:rsid w:val="00B3022F"/>
    <w:rsid w:val="00B306E2"/>
    <w:rsid w:val="00B3087B"/>
    <w:rsid w:val="00B30A26"/>
    <w:rsid w:val="00B30D9A"/>
    <w:rsid w:val="00B30EA2"/>
    <w:rsid w:val="00B30F18"/>
    <w:rsid w:val="00B31190"/>
    <w:rsid w:val="00B31455"/>
    <w:rsid w:val="00B31A04"/>
    <w:rsid w:val="00B31B8C"/>
    <w:rsid w:val="00B31CF9"/>
    <w:rsid w:val="00B31D3F"/>
    <w:rsid w:val="00B31DEE"/>
    <w:rsid w:val="00B31EA7"/>
    <w:rsid w:val="00B3201F"/>
    <w:rsid w:val="00B32122"/>
    <w:rsid w:val="00B32532"/>
    <w:rsid w:val="00B325C9"/>
    <w:rsid w:val="00B32681"/>
    <w:rsid w:val="00B32688"/>
    <w:rsid w:val="00B329F0"/>
    <w:rsid w:val="00B32A08"/>
    <w:rsid w:val="00B32A5B"/>
    <w:rsid w:val="00B32AAE"/>
    <w:rsid w:val="00B33091"/>
    <w:rsid w:val="00B330E0"/>
    <w:rsid w:val="00B3317E"/>
    <w:rsid w:val="00B331B7"/>
    <w:rsid w:val="00B33404"/>
    <w:rsid w:val="00B33552"/>
    <w:rsid w:val="00B3385F"/>
    <w:rsid w:val="00B338F4"/>
    <w:rsid w:val="00B33AFA"/>
    <w:rsid w:val="00B33E99"/>
    <w:rsid w:val="00B34039"/>
    <w:rsid w:val="00B34178"/>
    <w:rsid w:val="00B3420B"/>
    <w:rsid w:val="00B342B6"/>
    <w:rsid w:val="00B342C9"/>
    <w:rsid w:val="00B342E6"/>
    <w:rsid w:val="00B34567"/>
    <w:rsid w:val="00B34823"/>
    <w:rsid w:val="00B348B2"/>
    <w:rsid w:val="00B34AF4"/>
    <w:rsid w:val="00B34D47"/>
    <w:rsid w:val="00B350A5"/>
    <w:rsid w:val="00B35215"/>
    <w:rsid w:val="00B3523F"/>
    <w:rsid w:val="00B35391"/>
    <w:rsid w:val="00B35505"/>
    <w:rsid w:val="00B3560A"/>
    <w:rsid w:val="00B35977"/>
    <w:rsid w:val="00B35A90"/>
    <w:rsid w:val="00B35AFA"/>
    <w:rsid w:val="00B35BC5"/>
    <w:rsid w:val="00B36089"/>
    <w:rsid w:val="00B3615E"/>
    <w:rsid w:val="00B365B1"/>
    <w:rsid w:val="00B36802"/>
    <w:rsid w:val="00B36867"/>
    <w:rsid w:val="00B36972"/>
    <w:rsid w:val="00B36AA8"/>
    <w:rsid w:val="00B36BDA"/>
    <w:rsid w:val="00B36C21"/>
    <w:rsid w:val="00B36C59"/>
    <w:rsid w:val="00B36CBD"/>
    <w:rsid w:val="00B36F43"/>
    <w:rsid w:val="00B370EA"/>
    <w:rsid w:val="00B37158"/>
    <w:rsid w:val="00B37188"/>
    <w:rsid w:val="00B374AC"/>
    <w:rsid w:val="00B37522"/>
    <w:rsid w:val="00B3755C"/>
    <w:rsid w:val="00B375DB"/>
    <w:rsid w:val="00B37638"/>
    <w:rsid w:val="00B3773E"/>
    <w:rsid w:val="00B3777C"/>
    <w:rsid w:val="00B37834"/>
    <w:rsid w:val="00B378CC"/>
    <w:rsid w:val="00B378F1"/>
    <w:rsid w:val="00B37B7A"/>
    <w:rsid w:val="00B37D8E"/>
    <w:rsid w:val="00B40040"/>
    <w:rsid w:val="00B40046"/>
    <w:rsid w:val="00B402FC"/>
    <w:rsid w:val="00B40320"/>
    <w:rsid w:val="00B4055D"/>
    <w:rsid w:val="00B4056C"/>
    <w:rsid w:val="00B40585"/>
    <w:rsid w:val="00B405F6"/>
    <w:rsid w:val="00B405FC"/>
    <w:rsid w:val="00B407CB"/>
    <w:rsid w:val="00B40C77"/>
    <w:rsid w:val="00B40D8C"/>
    <w:rsid w:val="00B40EA4"/>
    <w:rsid w:val="00B40F72"/>
    <w:rsid w:val="00B40FF1"/>
    <w:rsid w:val="00B41389"/>
    <w:rsid w:val="00B413F7"/>
    <w:rsid w:val="00B41400"/>
    <w:rsid w:val="00B414FE"/>
    <w:rsid w:val="00B41914"/>
    <w:rsid w:val="00B41AE9"/>
    <w:rsid w:val="00B41B5C"/>
    <w:rsid w:val="00B41CA6"/>
    <w:rsid w:val="00B41D39"/>
    <w:rsid w:val="00B41E1D"/>
    <w:rsid w:val="00B42103"/>
    <w:rsid w:val="00B42178"/>
    <w:rsid w:val="00B42501"/>
    <w:rsid w:val="00B425AE"/>
    <w:rsid w:val="00B42769"/>
    <w:rsid w:val="00B427D1"/>
    <w:rsid w:val="00B4282C"/>
    <w:rsid w:val="00B42B0D"/>
    <w:rsid w:val="00B42C53"/>
    <w:rsid w:val="00B42D80"/>
    <w:rsid w:val="00B42DF0"/>
    <w:rsid w:val="00B42F7A"/>
    <w:rsid w:val="00B42FE7"/>
    <w:rsid w:val="00B42FEF"/>
    <w:rsid w:val="00B43385"/>
    <w:rsid w:val="00B436A1"/>
    <w:rsid w:val="00B43989"/>
    <w:rsid w:val="00B43991"/>
    <w:rsid w:val="00B43A2D"/>
    <w:rsid w:val="00B43A80"/>
    <w:rsid w:val="00B43AF5"/>
    <w:rsid w:val="00B43DBC"/>
    <w:rsid w:val="00B43E3C"/>
    <w:rsid w:val="00B43F10"/>
    <w:rsid w:val="00B43FF9"/>
    <w:rsid w:val="00B4418F"/>
    <w:rsid w:val="00B441E9"/>
    <w:rsid w:val="00B442AA"/>
    <w:rsid w:val="00B44711"/>
    <w:rsid w:val="00B44B32"/>
    <w:rsid w:val="00B44C1C"/>
    <w:rsid w:val="00B44C7B"/>
    <w:rsid w:val="00B44E0D"/>
    <w:rsid w:val="00B44E5D"/>
    <w:rsid w:val="00B4512B"/>
    <w:rsid w:val="00B451B9"/>
    <w:rsid w:val="00B4527F"/>
    <w:rsid w:val="00B45348"/>
    <w:rsid w:val="00B4578C"/>
    <w:rsid w:val="00B45820"/>
    <w:rsid w:val="00B45B78"/>
    <w:rsid w:val="00B45B92"/>
    <w:rsid w:val="00B45EF0"/>
    <w:rsid w:val="00B46208"/>
    <w:rsid w:val="00B462B7"/>
    <w:rsid w:val="00B46389"/>
    <w:rsid w:val="00B46426"/>
    <w:rsid w:val="00B4657B"/>
    <w:rsid w:val="00B4666F"/>
    <w:rsid w:val="00B466CA"/>
    <w:rsid w:val="00B4674C"/>
    <w:rsid w:val="00B46769"/>
    <w:rsid w:val="00B4684D"/>
    <w:rsid w:val="00B46857"/>
    <w:rsid w:val="00B468AE"/>
    <w:rsid w:val="00B468EC"/>
    <w:rsid w:val="00B46972"/>
    <w:rsid w:val="00B46B65"/>
    <w:rsid w:val="00B46C72"/>
    <w:rsid w:val="00B46D28"/>
    <w:rsid w:val="00B46EFA"/>
    <w:rsid w:val="00B4718C"/>
    <w:rsid w:val="00B4727E"/>
    <w:rsid w:val="00B47293"/>
    <w:rsid w:val="00B4737B"/>
    <w:rsid w:val="00B473BA"/>
    <w:rsid w:val="00B4756D"/>
    <w:rsid w:val="00B47575"/>
    <w:rsid w:val="00B475D0"/>
    <w:rsid w:val="00B475F3"/>
    <w:rsid w:val="00B47784"/>
    <w:rsid w:val="00B4796F"/>
    <w:rsid w:val="00B47A5F"/>
    <w:rsid w:val="00B47B05"/>
    <w:rsid w:val="00B47B6F"/>
    <w:rsid w:val="00B47CA1"/>
    <w:rsid w:val="00B47DAD"/>
    <w:rsid w:val="00B47EFC"/>
    <w:rsid w:val="00B50039"/>
    <w:rsid w:val="00B50216"/>
    <w:rsid w:val="00B50222"/>
    <w:rsid w:val="00B502A3"/>
    <w:rsid w:val="00B50442"/>
    <w:rsid w:val="00B5069B"/>
    <w:rsid w:val="00B50849"/>
    <w:rsid w:val="00B50900"/>
    <w:rsid w:val="00B51159"/>
    <w:rsid w:val="00B511B8"/>
    <w:rsid w:val="00B511EB"/>
    <w:rsid w:val="00B5136D"/>
    <w:rsid w:val="00B513C0"/>
    <w:rsid w:val="00B51471"/>
    <w:rsid w:val="00B51673"/>
    <w:rsid w:val="00B51AD5"/>
    <w:rsid w:val="00B51D80"/>
    <w:rsid w:val="00B520FD"/>
    <w:rsid w:val="00B523A5"/>
    <w:rsid w:val="00B52477"/>
    <w:rsid w:val="00B5259A"/>
    <w:rsid w:val="00B525BD"/>
    <w:rsid w:val="00B526ED"/>
    <w:rsid w:val="00B52706"/>
    <w:rsid w:val="00B5277F"/>
    <w:rsid w:val="00B5284A"/>
    <w:rsid w:val="00B529B7"/>
    <w:rsid w:val="00B52BBD"/>
    <w:rsid w:val="00B52C5E"/>
    <w:rsid w:val="00B52D59"/>
    <w:rsid w:val="00B52DC7"/>
    <w:rsid w:val="00B52E10"/>
    <w:rsid w:val="00B52FDA"/>
    <w:rsid w:val="00B53133"/>
    <w:rsid w:val="00B5317B"/>
    <w:rsid w:val="00B53288"/>
    <w:rsid w:val="00B532CE"/>
    <w:rsid w:val="00B53605"/>
    <w:rsid w:val="00B53747"/>
    <w:rsid w:val="00B538D3"/>
    <w:rsid w:val="00B53917"/>
    <w:rsid w:val="00B53B9E"/>
    <w:rsid w:val="00B53BF5"/>
    <w:rsid w:val="00B53D7B"/>
    <w:rsid w:val="00B54142"/>
    <w:rsid w:val="00B54290"/>
    <w:rsid w:val="00B546B5"/>
    <w:rsid w:val="00B54730"/>
    <w:rsid w:val="00B547EC"/>
    <w:rsid w:val="00B549CF"/>
    <w:rsid w:val="00B54AAF"/>
    <w:rsid w:val="00B54AE1"/>
    <w:rsid w:val="00B54BB8"/>
    <w:rsid w:val="00B54BDB"/>
    <w:rsid w:val="00B54C53"/>
    <w:rsid w:val="00B54C75"/>
    <w:rsid w:val="00B54CF3"/>
    <w:rsid w:val="00B54CF8"/>
    <w:rsid w:val="00B54EF7"/>
    <w:rsid w:val="00B550FB"/>
    <w:rsid w:val="00B55425"/>
    <w:rsid w:val="00B554EA"/>
    <w:rsid w:val="00B554F3"/>
    <w:rsid w:val="00B5584F"/>
    <w:rsid w:val="00B55902"/>
    <w:rsid w:val="00B55A3E"/>
    <w:rsid w:val="00B55A8B"/>
    <w:rsid w:val="00B55B96"/>
    <w:rsid w:val="00B55C41"/>
    <w:rsid w:val="00B55C61"/>
    <w:rsid w:val="00B55CE5"/>
    <w:rsid w:val="00B55CF6"/>
    <w:rsid w:val="00B55D52"/>
    <w:rsid w:val="00B5613E"/>
    <w:rsid w:val="00B561D5"/>
    <w:rsid w:val="00B56313"/>
    <w:rsid w:val="00B563E2"/>
    <w:rsid w:val="00B56412"/>
    <w:rsid w:val="00B56774"/>
    <w:rsid w:val="00B56A23"/>
    <w:rsid w:val="00B56BC3"/>
    <w:rsid w:val="00B56CC1"/>
    <w:rsid w:val="00B56D5A"/>
    <w:rsid w:val="00B56E3D"/>
    <w:rsid w:val="00B56F32"/>
    <w:rsid w:val="00B56FD2"/>
    <w:rsid w:val="00B57023"/>
    <w:rsid w:val="00B57084"/>
    <w:rsid w:val="00B570B2"/>
    <w:rsid w:val="00B570BC"/>
    <w:rsid w:val="00B570DB"/>
    <w:rsid w:val="00B571DE"/>
    <w:rsid w:val="00B57423"/>
    <w:rsid w:val="00B574C8"/>
    <w:rsid w:val="00B57694"/>
    <w:rsid w:val="00B5779F"/>
    <w:rsid w:val="00B57877"/>
    <w:rsid w:val="00B579CE"/>
    <w:rsid w:val="00B57CC2"/>
    <w:rsid w:val="00B57D3E"/>
    <w:rsid w:val="00B57F28"/>
    <w:rsid w:val="00B60070"/>
    <w:rsid w:val="00B6014D"/>
    <w:rsid w:val="00B60215"/>
    <w:rsid w:val="00B60308"/>
    <w:rsid w:val="00B60436"/>
    <w:rsid w:val="00B6054B"/>
    <w:rsid w:val="00B607A1"/>
    <w:rsid w:val="00B6092D"/>
    <w:rsid w:val="00B609CB"/>
    <w:rsid w:val="00B60AE6"/>
    <w:rsid w:val="00B60C05"/>
    <w:rsid w:val="00B61155"/>
    <w:rsid w:val="00B6120F"/>
    <w:rsid w:val="00B61273"/>
    <w:rsid w:val="00B61555"/>
    <w:rsid w:val="00B615AA"/>
    <w:rsid w:val="00B61875"/>
    <w:rsid w:val="00B6187B"/>
    <w:rsid w:val="00B61A84"/>
    <w:rsid w:val="00B61B5C"/>
    <w:rsid w:val="00B61E2E"/>
    <w:rsid w:val="00B61EE6"/>
    <w:rsid w:val="00B61F93"/>
    <w:rsid w:val="00B620D8"/>
    <w:rsid w:val="00B6225E"/>
    <w:rsid w:val="00B62288"/>
    <w:rsid w:val="00B625C7"/>
    <w:rsid w:val="00B626E3"/>
    <w:rsid w:val="00B62868"/>
    <w:rsid w:val="00B62930"/>
    <w:rsid w:val="00B62942"/>
    <w:rsid w:val="00B62945"/>
    <w:rsid w:val="00B62C63"/>
    <w:rsid w:val="00B62E42"/>
    <w:rsid w:val="00B62F66"/>
    <w:rsid w:val="00B6300B"/>
    <w:rsid w:val="00B632C1"/>
    <w:rsid w:val="00B633AE"/>
    <w:rsid w:val="00B63467"/>
    <w:rsid w:val="00B63580"/>
    <w:rsid w:val="00B63605"/>
    <w:rsid w:val="00B6369A"/>
    <w:rsid w:val="00B63777"/>
    <w:rsid w:val="00B63C0D"/>
    <w:rsid w:val="00B63C16"/>
    <w:rsid w:val="00B63D74"/>
    <w:rsid w:val="00B63EEA"/>
    <w:rsid w:val="00B63F5B"/>
    <w:rsid w:val="00B640D6"/>
    <w:rsid w:val="00B64139"/>
    <w:rsid w:val="00B643CF"/>
    <w:rsid w:val="00B6440D"/>
    <w:rsid w:val="00B645B7"/>
    <w:rsid w:val="00B645DE"/>
    <w:rsid w:val="00B64620"/>
    <w:rsid w:val="00B646CC"/>
    <w:rsid w:val="00B647A1"/>
    <w:rsid w:val="00B64B5B"/>
    <w:rsid w:val="00B64C8A"/>
    <w:rsid w:val="00B64DF9"/>
    <w:rsid w:val="00B64E43"/>
    <w:rsid w:val="00B64F8A"/>
    <w:rsid w:val="00B64F9C"/>
    <w:rsid w:val="00B65144"/>
    <w:rsid w:val="00B65282"/>
    <w:rsid w:val="00B652C4"/>
    <w:rsid w:val="00B652CF"/>
    <w:rsid w:val="00B6532D"/>
    <w:rsid w:val="00B653ED"/>
    <w:rsid w:val="00B6549F"/>
    <w:rsid w:val="00B6559E"/>
    <w:rsid w:val="00B657F8"/>
    <w:rsid w:val="00B65D10"/>
    <w:rsid w:val="00B65D63"/>
    <w:rsid w:val="00B65DFA"/>
    <w:rsid w:val="00B65F36"/>
    <w:rsid w:val="00B66048"/>
    <w:rsid w:val="00B660B1"/>
    <w:rsid w:val="00B660D0"/>
    <w:rsid w:val="00B662F8"/>
    <w:rsid w:val="00B66721"/>
    <w:rsid w:val="00B668DA"/>
    <w:rsid w:val="00B66AB4"/>
    <w:rsid w:val="00B66DB8"/>
    <w:rsid w:val="00B66E8C"/>
    <w:rsid w:val="00B66F3F"/>
    <w:rsid w:val="00B67017"/>
    <w:rsid w:val="00B674A0"/>
    <w:rsid w:val="00B675BE"/>
    <w:rsid w:val="00B67677"/>
    <w:rsid w:val="00B67687"/>
    <w:rsid w:val="00B6773E"/>
    <w:rsid w:val="00B6794B"/>
    <w:rsid w:val="00B67979"/>
    <w:rsid w:val="00B6797C"/>
    <w:rsid w:val="00B67A5E"/>
    <w:rsid w:val="00B67AD1"/>
    <w:rsid w:val="00B67AF5"/>
    <w:rsid w:val="00B67B50"/>
    <w:rsid w:val="00B67D70"/>
    <w:rsid w:val="00B67DF3"/>
    <w:rsid w:val="00B700D9"/>
    <w:rsid w:val="00B70108"/>
    <w:rsid w:val="00B702B8"/>
    <w:rsid w:val="00B7038E"/>
    <w:rsid w:val="00B70395"/>
    <w:rsid w:val="00B70441"/>
    <w:rsid w:val="00B70581"/>
    <w:rsid w:val="00B7059F"/>
    <w:rsid w:val="00B706D6"/>
    <w:rsid w:val="00B707D3"/>
    <w:rsid w:val="00B707FE"/>
    <w:rsid w:val="00B709A9"/>
    <w:rsid w:val="00B70C0C"/>
    <w:rsid w:val="00B70C45"/>
    <w:rsid w:val="00B70D02"/>
    <w:rsid w:val="00B70D11"/>
    <w:rsid w:val="00B70FB7"/>
    <w:rsid w:val="00B71135"/>
    <w:rsid w:val="00B71233"/>
    <w:rsid w:val="00B712D3"/>
    <w:rsid w:val="00B71755"/>
    <w:rsid w:val="00B7199E"/>
    <w:rsid w:val="00B71B5D"/>
    <w:rsid w:val="00B71B94"/>
    <w:rsid w:val="00B71E51"/>
    <w:rsid w:val="00B71EB1"/>
    <w:rsid w:val="00B720C4"/>
    <w:rsid w:val="00B720F8"/>
    <w:rsid w:val="00B7214A"/>
    <w:rsid w:val="00B721BA"/>
    <w:rsid w:val="00B7223B"/>
    <w:rsid w:val="00B72246"/>
    <w:rsid w:val="00B722EC"/>
    <w:rsid w:val="00B72517"/>
    <w:rsid w:val="00B72636"/>
    <w:rsid w:val="00B72726"/>
    <w:rsid w:val="00B728CC"/>
    <w:rsid w:val="00B72B12"/>
    <w:rsid w:val="00B72E85"/>
    <w:rsid w:val="00B72E89"/>
    <w:rsid w:val="00B72F05"/>
    <w:rsid w:val="00B739D0"/>
    <w:rsid w:val="00B73A25"/>
    <w:rsid w:val="00B73B65"/>
    <w:rsid w:val="00B73BA3"/>
    <w:rsid w:val="00B73DA8"/>
    <w:rsid w:val="00B73E8A"/>
    <w:rsid w:val="00B73FF8"/>
    <w:rsid w:val="00B74069"/>
    <w:rsid w:val="00B7412C"/>
    <w:rsid w:val="00B745A6"/>
    <w:rsid w:val="00B7468D"/>
    <w:rsid w:val="00B74818"/>
    <w:rsid w:val="00B748FA"/>
    <w:rsid w:val="00B74948"/>
    <w:rsid w:val="00B7495D"/>
    <w:rsid w:val="00B74A96"/>
    <w:rsid w:val="00B74BD8"/>
    <w:rsid w:val="00B74D88"/>
    <w:rsid w:val="00B74DF0"/>
    <w:rsid w:val="00B74EEF"/>
    <w:rsid w:val="00B75060"/>
    <w:rsid w:val="00B752AD"/>
    <w:rsid w:val="00B755DE"/>
    <w:rsid w:val="00B7566B"/>
    <w:rsid w:val="00B7570B"/>
    <w:rsid w:val="00B75795"/>
    <w:rsid w:val="00B757B7"/>
    <w:rsid w:val="00B757B9"/>
    <w:rsid w:val="00B757E6"/>
    <w:rsid w:val="00B758AA"/>
    <w:rsid w:val="00B75A0D"/>
    <w:rsid w:val="00B75A52"/>
    <w:rsid w:val="00B75A55"/>
    <w:rsid w:val="00B75B1F"/>
    <w:rsid w:val="00B75EC2"/>
    <w:rsid w:val="00B75F7A"/>
    <w:rsid w:val="00B76006"/>
    <w:rsid w:val="00B7608D"/>
    <w:rsid w:val="00B76095"/>
    <w:rsid w:val="00B760E7"/>
    <w:rsid w:val="00B76191"/>
    <w:rsid w:val="00B761A1"/>
    <w:rsid w:val="00B76227"/>
    <w:rsid w:val="00B76257"/>
    <w:rsid w:val="00B7640F"/>
    <w:rsid w:val="00B76433"/>
    <w:rsid w:val="00B764A0"/>
    <w:rsid w:val="00B764E8"/>
    <w:rsid w:val="00B76543"/>
    <w:rsid w:val="00B76957"/>
    <w:rsid w:val="00B76A10"/>
    <w:rsid w:val="00B76AA4"/>
    <w:rsid w:val="00B76C70"/>
    <w:rsid w:val="00B76CFD"/>
    <w:rsid w:val="00B76D86"/>
    <w:rsid w:val="00B76EA3"/>
    <w:rsid w:val="00B77118"/>
    <w:rsid w:val="00B77197"/>
    <w:rsid w:val="00B771B4"/>
    <w:rsid w:val="00B771EC"/>
    <w:rsid w:val="00B774DB"/>
    <w:rsid w:val="00B774EC"/>
    <w:rsid w:val="00B77708"/>
    <w:rsid w:val="00B77769"/>
    <w:rsid w:val="00B77825"/>
    <w:rsid w:val="00B778C3"/>
    <w:rsid w:val="00B77B9F"/>
    <w:rsid w:val="00B77C39"/>
    <w:rsid w:val="00B77CD6"/>
    <w:rsid w:val="00B77CDF"/>
    <w:rsid w:val="00B77D2A"/>
    <w:rsid w:val="00B77D5C"/>
    <w:rsid w:val="00B77F60"/>
    <w:rsid w:val="00B801EA"/>
    <w:rsid w:val="00B80256"/>
    <w:rsid w:val="00B80331"/>
    <w:rsid w:val="00B80368"/>
    <w:rsid w:val="00B8040A"/>
    <w:rsid w:val="00B80492"/>
    <w:rsid w:val="00B804CC"/>
    <w:rsid w:val="00B80728"/>
    <w:rsid w:val="00B8073F"/>
    <w:rsid w:val="00B80931"/>
    <w:rsid w:val="00B80A71"/>
    <w:rsid w:val="00B80CAA"/>
    <w:rsid w:val="00B80CD0"/>
    <w:rsid w:val="00B80D33"/>
    <w:rsid w:val="00B80FB3"/>
    <w:rsid w:val="00B81046"/>
    <w:rsid w:val="00B811B6"/>
    <w:rsid w:val="00B813F8"/>
    <w:rsid w:val="00B816E7"/>
    <w:rsid w:val="00B816FA"/>
    <w:rsid w:val="00B81910"/>
    <w:rsid w:val="00B81BD2"/>
    <w:rsid w:val="00B81CB1"/>
    <w:rsid w:val="00B8224B"/>
    <w:rsid w:val="00B823AA"/>
    <w:rsid w:val="00B823E3"/>
    <w:rsid w:val="00B82645"/>
    <w:rsid w:val="00B827B4"/>
    <w:rsid w:val="00B82ABA"/>
    <w:rsid w:val="00B82C8A"/>
    <w:rsid w:val="00B82CA2"/>
    <w:rsid w:val="00B82E07"/>
    <w:rsid w:val="00B82E68"/>
    <w:rsid w:val="00B82E87"/>
    <w:rsid w:val="00B82F68"/>
    <w:rsid w:val="00B82F76"/>
    <w:rsid w:val="00B82FAC"/>
    <w:rsid w:val="00B832CB"/>
    <w:rsid w:val="00B833C9"/>
    <w:rsid w:val="00B83430"/>
    <w:rsid w:val="00B835FD"/>
    <w:rsid w:val="00B83763"/>
    <w:rsid w:val="00B83850"/>
    <w:rsid w:val="00B83936"/>
    <w:rsid w:val="00B83988"/>
    <w:rsid w:val="00B83D6F"/>
    <w:rsid w:val="00B83D85"/>
    <w:rsid w:val="00B83DA2"/>
    <w:rsid w:val="00B83EDF"/>
    <w:rsid w:val="00B83EE4"/>
    <w:rsid w:val="00B84034"/>
    <w:rsid w:val="00B84201"/>
    <w:rsid w:val="00B842D3"/>
    <w:rsid w:val="00B8449B"/>
    <w:rsid w:val="00B84520"/>
    <w:rsid w:val="00B84561"/>
    <w:rsid w:val="00B8464B"/>
    <w:rsid w:val="00B846BC"/>
    <w:rsid w:val="00B84731"/>
    <w:rsid w:val="00B84807"/>
    <w:rsid w:val="00B848AA"/>
    <w:rsid w:val="00B84B27"/>
    <w:rsid w:val="00B84E49"/>
    <w:rsid w:val="00B84E83"/>
    <w:rsid w:val="00B85117"/>
    <w:rsid w:val="00B85122"/>
    <w:rsid w:val="00B8522E"/>
    <w:rsid w:val="00B85326"/>
    <w:rsid w:val="00B8537F"/>
    <w:rsid w:val="00B8553C"/>
    <w:rsid w:val="00B858E5"/>
    <w:rsid w:val="00B85ACC"/>
    <w:rsid w:val="00B85BEC"/>
    <w:rsid w:val="00B85C40"/>
    <w:rsid w:val="00B85C45"/>
    <w:rsid w:val="00B85D40"/>
    <w:rsid w:val="00B85D84"/>
    <w:rsid w:val="00B85FC9"/>
    <w:rsid w:val="00B8601F"/>
    <w:rsid w:val="00B86043"/>
    <w:rsid w:val="00B86077"/>
    <w:rsid w:val="00B86317"/>
    <w:rsid w:val="00B86416"/>
    <w:rsid w:val="00B864BA"/>
    <w:rsid w:val="00B864E9"/>
    <w:rsid w:val="00B86800"/>
    <w:rsid w:val="00B86A84"/>
    <w:rsid w:val="00B86B72"/>
    <w:rsid w:val="00B86B8E"/>
    <w:rsid w:val="00B86BA6"/>
    <w:rsid w:val="00B870AD"/>
    <w:rsid w:val="00B870E0"/>
    <w:rsid w:val="00B872F9"/>
    <w:rsid w:val="00B87394"/>
    <w:rsid w:val="00B8748A"/>
    <w:rsid w:val="00B8761D"/>
    <w:rsid w:val="00B876B2"/>
    <w:rsid w:val="00B8788A"/>
    <w:rsid w:val="00B87C69"/>
    <w:rsid w:val="00B90182"/>
    <w:rsid w:val="00B9048D"/>
    <w:rsid w:val="00B90584"/>
    <w:rsid w:val="00B90665"/>
    <w:rsid w:val="00B90747"/>
    <w:rsid w:val="00B907F2"/>
    <w:rsid w:val="00B90866"/>
    <w:rsid w:val="00B908D4"/>
    <w:rsid w:val="00B909F1"/>
    <w:rsid w:val="00B90ACF"/>
    <w:rsid w:val="00B90B78"/>
    <w:rsid w:val="00B90B91"/>
    <w:rsid w:val="00B90CB9"/>
    <w:rsid w:val="00B90DE9"/>
    <w:rsid w:val="00B90EA1"/>
    <w:rsid w:val="00B9109A"/>
    <w:rsid w:val="00B91177"/>
    <w:rsid w:val="00B91212"/>
    <w:rsid w:val="00B9121A"/>
    <w:rsid w:val="00B9138F"/>
    <w:rsid w:val="00B913CA"/>
    <w:rsid w:val="00B9140B"/>
    <w:rsid w:val="00B91628"/>
    <w:rsid w:val="00B9167D"/>
    <w:rsid w:val="00B9170C"/>
    <w:rsid w:val="00B917B9"/>
    <w:rsid w:val="00B918F7"/>
    <w:rsid w:val="00B91BED"/>
    <w:rsid w:val="00B91D06"/>
    <w:rsid w:val="00B91D44"/>
    <w:rsid w:val="00B91D49"/>
    <w:rsid w:val="00B91EC1"/>
    <w:rsid w:val="00B91EC3"/>
    <w:rsid w:val="00B91F8C"/>
    <w:rsid w:val="00B92060"/>
    <w:rsid w:val="00B921CE"/>
    <w:rsid w:val="00B92204"/>
    <w:rsid w:val="00B92362"/>
    <w:rsid w:val="00B927A8"/>
    <w:rsid w:val="00B92B7F"/>
    <w:rsid w:val="00B92D49"/>
    <w:rsid w:val="00B92E30"/>
    <w:rsid w:val="00B92EB2"/>
    <w:rsid w:val="00B92EC0"/>
    <w:rsid w:val="00B92FA1"/>
    <w:rsid w:val="00B92FBB"/>
    <w:rsid w:val="00B93127"/>
    <w:rsid w:val="00B931A1"/>
    <w:rsid w:val="00B93236"/>
    <w:rsid w:val="00B937FF"/>
    <w:rsid w:val="00B9391B"/>
    <w:rsid w:val="00B93A35"/>
    <w:rsid w:val="00B93B01"/>
    <w:rsid w:val="00B93C0D"/>
    <w:rsid w:val="00B93E03"/>
    <w:rsid w:val="00B93E94"/>
    <w:rsid w:val="00B93F64"/>
    <w:rsid w:val="00B93FDD"/>
    <w:rsid w:val="00B94029"/>
    <w:rsid w:val="00B9403B"/>
    <w:rsid w:val="00B943AA"/>
    <w:rsid w:val="00B943B1"/>
    <w:rsid w:val="00B943D3"/>
    <w:rsid w:val="00B943DC"/>
    <w:rsid w:val="00B943DF"/>
    <w:rsid w:val="00B943FD"/>
    <w:rsid w:val="00B94598"/>
    <w:rsid w:val="00B945DF"/>
    <w:rsid w:val="00B94686"/>
    <w:rsid w:val="00B94689"/>
    <w:rsid w:val="00B94757"/>
    <w:rsid w:val="00B947C9"/>
    <w:rsid w:val="00B9488C"/>
    <w:rsid w:val="00B9492A"/>
    <w:rsid w:val="00B9498A"/>
    <w:rsid w:val="00B94AA8"/>
    <w:rsid w:val="00B94D31"/>
    <w:rsid w:val="00B94E05"/>
    <w:rsid w:val="00B95041"/>
    <w:rsid w:val="00B95438"/>
    <w:rsid w:val="00B954EC"/>
    <w:rsid w:val="00B9561D"/>
    <w:rsid w:val="00B95669"/>
    <w:rsid w:val="00B95908"/>
    <w:rsid w:val="00B95A14"/>
    <w:rsid w:val="00B95A23"/>
    <w:rsid w:val="00B95AAC"/>
    <w:rsid w:val="00B95DB2"/>
    <w:rsid w:val="00B96129"/>
    <w:rsid w:val="00B96188"/>
    <w:rsid w:val="00B961BB"/>
    <w:rsid w:val="00B96458"/>
    <w:rsid w:val="00B9657D"/>
    <w:rsid w:val="00B967F4"/>
    <w:rsid w:val="00B96808"/>
    <w:rsid w:val="00B96B37"/>
    <w:rsid w:val="00B96C5D"/>
    <w:rsid w:val="00B96CDF"/>
    <w:rsid w:val="00B96D63"/>
    <w:rsid w:val="00B96EE5"/>
    <w:rsid w:val="00B96F83"/>
    <w:rsid w:val="00B97070"/>
    <w:rsid w:val="00B973E1"/>
    <w:rsid w:val="00B97409"/>
    <w:rsid w:val="00B97414"/>
    <w:rsid w:val="00B9741B"/>
    <w:rsid w:val="00B974BF"/>
    <w:rsid w:val="00B97ACB"/>
    <w:rsid w:val="00B97B9B"/>
    <w:rsid w:val="00B97C13"/>
    <w:rsid w:val="00B97C2D"/>
    <w:rsid w:val="00B97E24"/>
    <w:rsid w:val="00BA0150"/>
    <w:rsid w:val="00BA0185"/>
    <w:rsid w:val="00BA0301"/>
    <w:rsid w:val="00BA03B7"/>
    <w:rsid w:val="00BA057A"/>
    <w:rsid w:val="00BA0582"/>
    <w:rsid w:val="00BA0638"/>
    <w:rsid w:val="00BA066C"/>
    <w:rsid w:val="00BA06A6"/>
    <w:rsid w:val="00BA0907"/>
    <w:rsid w:val="00BA096D"/>
    <w:rsid w:val="00BA0A44"/>
    <w:rsid w:val="00BA0DE5"/>
    <w:rsid w:val="00BA0FF2"/>
    <w:rsid w:val="00BA102F"/>
    <w:rsid w:val="00BA11A3"/>
    <w:rsid w:val="00BA1385"/>
    <w:rsid w:val="00BA14C0"/>
    <w:rsid w:val="00BA1607"/>
    <w:rsid w:val="00BA1620"/>
    <w:rsid w:val="00BA1957"/>
    <w:rsid w:val="00BA19A3"/>
    <w:rsid w:val="00BA1A3F"/>
    <w:rsid w:val="00BA1B73"/>
    <w:rsid w:val="00BA1C92"/>
    <w:rsid w:val="00BA1D5E"/>
    <w:rsid w:val="00BA2038"/>
    <w:rsid w:val="00BA2044"/>
    <w:rsid w:val="00BA20DA"/>
    <w:rsid w:val="00BA2182"/>
    <w:rsid w:val="00BA2324"/>
    <w:rsid w:val="00BA23C2"/>
    <w:rsid w:val="00BA245E"/>
    <w:rsid w:val="00BA25BB"/>
    <w:rsid w:val="00BA267D"/>
    <w:rsid w:val="00BA269A"/>
    <w:rsid w:val="00BA278C"/>
    <w:rsid w:val="00BA29A0"/>
    <w:rsid w:val="00BA2A2A"/>
    <w:rsid w:val="00BA2ADD"/>
    <w:rsid w:val="00BA2C0A"/>
    <w:rsid w:val="00BA2D41"/>
    <w:rsid w:val="00BA2DA0"/>
    <w:rsid w:val="00BA2DB8"/>
    <w:rsid w:val="00BA2E54"/>
    <w:rsid w:val="00BA2E94"/>
    <w:rsid w:val="00BA2EAD"/>
    <w:rsid w:val="00BA2EC4"/>
    <w:rsid w:val="00BA3240"/>
    <w:rsid w:val="00BA343F"/>
    <w:rsid w:val="00BA3711"/>
    <w:rsid w:val="00BA393B"/>
    <w:rsid w:val="00BA394C"/>
    <w:rsid w:val="00BA39DF"/>
    <w:rsid w:val="00BA3A8E"/>
    <w:rsid w:val="00BA3AAA"/>
    <w:rsid w:val="00BA3AF3"/>
    <w:rsid w:val="00BA3BFC"/>
    <w:rsid w:val="00BA3C52"/>
    <w:rsid w:val="00BA3D2C"/>
    <w:rsid w:val="00BA3D49"/>
    <w:rsid w:val="00BA3E45"/>
    <w:rsid w:val="00BA3EBD"/>
    <w:rsid w:val="00BA409E"/>
    <w:rsid w:val="00BA40A4"/>
    <w:rsid w:val="00BA40FE"/>
    <w:rsid w:val="00BA4425"/>
    <w:rsid w:val="00BA49D5"/>
    <w:rsid w:val="00BA4C4A"/>
    <w:rsid w:val="00BA4DAB"/>
    <w:rsid w:val="00BA4DDA"/>
    <w:rsid w:val="00BA4E60"/>
    <w:rsid w:val="00BA4EBA"/>
    <w:rsid w:val="00BA5147"/>
    <w:rsid w:val="00BA5274"/>
    <w:rsid w:val="00BA5400"/>
    <w:rsid w:val="00BA5413"/>
    <w:rsid w:val="00BA5576"/>
    <w:rsid w:val="00BA563B"/>
    <w:rsid w:val="00BA5781"/>
    <w:rsid w:val="00BA58E6"/>
    <w:rsid w:val="00BA58F6"/>
    <w:rsid w:val="00BA5976"/>
    <w:rsid w:val="00BA5A5F"/>
    <w:rsid w:val="00BA5A6C"/>
    <w:rsid w:val="00BA5AEE"/>
    <w:rsid w:val="00BA5B3F"/>
    <w:rsid w:val="00BA5D4D"/>
    <w:rsid w:val="00BA5F70"/>
    <w:rsid w:val="00BA6076"/>
    <w:rsid w:val="00BA60DA"/>
    <w:rsid w:val="00BA63D2"/>
    <w:rsid w:val="00BA6436"/>
    <w:rsid w:val="00BA65C9"/>
    <w:rsid w:val="00BA6696"/>
    <w:rsid w:val="00BA66F4"/>
    <w:rsid w:val="00BA6746"/>
    <w:rsid w:val="00BA68A2"/>
    <w:rsid w:val="00BA68C3"/>
    <w:rsid w:val="00BA69D1"/>
    <w:rsid w:val="00BA6CE6"/>
    <w:rsid w:val="00BA6D26"/>
    <w:rsid w:val="00BA704C"/>
    <w:rsid w:val="00BA7333"/>
    <w:rsid w:val="00BA73E2"/>
    <w:rsid w:val="00BA73FC"/>
    <w:rsid w:val="00BA74BB"/>
    <w:rsid w:val="00BA74F5"/>
    <w:rsid w:val="00BA756C"/>
    <w:rsid w:val="00BA778B"/>
    <w:rsid w:val="00BA77A0"/>
    <w:rsid w:val="00BA795E"/>
    <w:rsid w:val="00BA7AE5"/>
    <w:rsid w:val="00BA7B3A"/>
    <w:rsid w:val="00BA7C7D"/>
    <w:rsid w:val="00BA7E52"/>
    <w:rsid w:val="00BA7E8D"/>
    <w:rsid w:val="00BA7E90"/>
    <w:rsid w:val="00BA7FB9"/>
    <w:rsid w:val="00BA7FE3"/>
    <w:rsid w:val="00BB0077"/>
    <w:rsid w:val="00BB02C9"/>
    <w:rsid w:val="00BB0515"/>
    <w:rsid w:val="00BB054B"/>
    <w:rsid w:val="00BB0699"/>
    <w:rsid w:val="00BB06E7"/>
    <w:rsid w:val="00BB0725"/>
    <w:rsid w:val="00BB0AC8"/>
    <w:rsid w:val="00BB0B96"/>
    <w:rsid w:val="00BB0BE3"/>
    <w:rsid w:val="00BB0D98"/>
    <w:rsid w:val="00BB0E86"/>
    <w:rsid w:val="00BB10F7"/>
    <w:rsid w:val="00BB1339"/>
    <w:rsid w:val="00BB1496"/>
    <w:rsid w:val="00BB1789"/>
    <w:rsid w:val="00BB1A7B"/>
    <w:rsid w:val="00BB1AF9"/>
    <w:rsid w:val="00BB1C4D"/>
    <w:rsid w:val="00BB1E96"/>
    <w:rsid w:val="00BB1F3E"/>
    <w:rsid w:val="00BB20D0"/>
    <w:rsid w:val="00BB22B5"/>
    <w:rsid w:val="00BB2349"/>
    <w:rsid w:val="00BB26A7"/>
    <w:rsid w:val="00BB27C4"/>
    <w:rsid w:val="00BB2841"/>
    <w:rsid w:val="00BB28AA"/>
    <w:rsid w:val="00BB2A3B"/>
    <w:rsid w:val="00BB2BEC"/>
    <w:rsid w:val="00BB2CFC"/>
    <w:rsid w:val="00BB2FF5"/>
    <w:rsid w:val="00BB30C4"/>
    <w:rsid w:val="00BB3109"/>
    <w:rsid w:val="00BB335F"/>
    <w:rsid w:val="00BB3382"/>
    <w:rsid w:val="00BB33B0"/>
    <w:rsid w:val="00BB3537"/>
    <w:rsid w:val="00BB35C5"/>
    <w:rsid w:val="00BB35EC"/>
    <w:rsid w:val="00BB3617"/>
    <w:rsid w:val="00BB3BCC"/>
    <w:rsid w:val="00BB3D49"/>
    <w:rsid w:val="00BB3F27"/>
    <w:rsid w:val="00BB41A9"/>
    <w:rsid w:val="00BB4320"/>
    <w:rsid w:val="00BB4389"/>
    <w:rsid w:val="00BB4781"/>
    <w:rsid w:val="00BB47D5"/>
    <w:rsid w:val="00BB4856"/>
    <w:rsid w:val="00BB492E"/>
    <w:rsid w:val="00BB4A2C"/>
    <w:rsid w:val="00BB4A4A"/>
    <w:rsid w:val="00BB4D56"/>
    <w:rsid w:val="00BB4D94"/>
    <w:rsid w:val="00BB4E30"/>
    <w:rsid w:val="00BB4E48"/>
    <w:rsid w:val="00BB4E7E"/>
    <w:rsid w:val="00BB4E95"/>
    <w:rsid w:val="00BB4EBA"/>
    <w:rsid w:val="00BB4F27"/>
    <w:rsid w:val="00BB514B"/>
    <w:rsid w:val="00BB514C"/>
    <w:rsid w:val="00BB5297"/>
    <w:rsid w:val="00BB53A0"/>
    <w:rsid w:val="00BB5410"/>
    <w:rsid w:val="00BB5567"/>
    <w:rsid w:val="00BB5782"/>
    <w:rsid w:val="00BB596D"/>
    <w:rsid w:val="00BB5B09"/>
    <w:rsid w:val="00BB5B4C"/>
    <w:rsid w:val="00BB5CDD"/>
    <w:rsid w:val="00BB5D48"/>
    <w:rsid w:val="00BB5F6C"/>
    <w:rsid w:val="00BB5FAF"/>
    <w:rsid w:val="00BB5FD5"/>
    <w:rsid w:val="00BB65BC"/>
    <w:rsid w:val="00BB65D4"/>
    <w:rsid w:val="00BB6764"/>
    <w:rsid w:val="00BB690C"/>
    <w:rsid w:val="00BB6976"/>
    <w:rsid w:val="00BB69B3"/>
    <w:rsid w:val="00BB69BC"/>
    <w:rsid w:val="00BB6E58"/>
    <w:rsid w:val="00BB6F9E"/>
    <w:rsid w:val="00BB710B"/>
    <w:rsid w:val="00BB71C5"/>
    <w:rsid w:val="00BB741A"/>
    <w:rsid w:val="00BB7444"/>
    <w:rsid w:val="00BB7882"/>
    <w:rsid w:val="00BB7A16"/>
    <w:rsid w:val="00BB7C6E"/>
    <w:rsid w:val="00BB7E52"/>
    <w:rsid w:val="00BB7F27"/>
    <w:rsid w:val="00BB7F28"/>
    <w:rsid w:val="00BB7F65"/>
    <w:rsid w:val="00BC000D"/>
    <w:rsid w:val="00BC0151"/>
    <w:rsid w:val="00BC054B"/>
    <w:rsid w:val="00BC05FA"/>
    <w:rsid w:val="00BC06C8"/>
    <w:rsid w:val="00BC07A9"/>
    <w:rsid w:val="00BC08A6"/>
    <w:rsid w:val="00BC0A78"/>
    <w:rsid w:val="00BC0BF8"/>
    <w:rsid w:val="00BC0D3C"/>
    <w:rsid w:val="00BC0F5D"/>
    <w:rsid w:val="00BC1024"/>
    <w:rsid w:val="00BC1144"/>
    <w:rsid w:val="00BC12FD"/>
    <w:rsid w:val="00BC13E1"/>
    <w:rsid w:val="00BC140A"/>
    <w:rsid w:val="00BC1491"/>
    <w:rsid w:val="00BC14F6"/>
    <w:rsid w:val="00BC1616"/>
    <w:rsid w:val="00BC17F0"/>
    <w:rsid w:val="00BC1D81"/>
    <w:rsid w:val="00BC1E71"/>
    <w:rsid w:val="00BC1EA1"/>
    <w:rsid w:val="00BC21F3"/>
    <w:rsid w:val="00BC22E2"/>
    <w:rsid w:val="00BC237A"/>
    <w:rsid w:val="00BC238F"/>
    <w:rsid w:val="00BC23A3"/>
    <w:rsid w:val="00BC2477"/>
    <w:rsid w:val="00BC2533"/>
    <w:rsid w:val="00BC2599"/>
    <w:rsid w:val="00BC2785"/>
    <w:rsid w:val="00BC283A"/>
    <w:rsid w:val="00BC28FA"/>
    <w:rsid w:val="00BC2A99"/>
    <w:rsid w:val="00BC2EEA"/>
    <w:rsid w:val="00BC2FC2"/>
    <w:rsid w:val="00BC304C"/>
    <w:rsid w:val="00BC308F"/>
    <w:rsid w:val="00BC325F"/>
    <w:rsid w:val="00BC3274"/>
    <w:rsid w:val="00BC33BB"/>
    <w:rsid w:val="00BC33CD"/>
    <w:rsid w:val="00BC33DF"/>
    <w:rsid w:val="00BC343D"/>
    <w:rsid w:val="00BC35C8"/>
    <w:rsid w:val="00BC3745"/>
    <w:rsid w:val="00BC380E"/>
    <w:rsid w:val="00BC3851"/>
    <w:rsid w:val="00BC390E"/>
    <w:rsid w:val="00BC3924"/>
    <w:rsid w:val="00BC399C"/>
    <w:rsid w:val="00BC3A12"/>
    <w:rsid w:val="00BC3ACB"/>
    <w:rsid w:val="00BC3B48"/>
    <w:rsid w:val="00BC3C78"/>
    <w:rsid w:val="00BC3C9E"/>
    <w:rsid w:val="00BC3E4A"/>
    <w:rsid w:val="00BC3F9A"/>
    <w:rsid w:val="00BC4249"/>
    <w:rsid w:val="00BC4336"/>
    <w:rsid w:val="00BC45DC"/>
    <w:rsid w:val="00BC4669"/>
    <w:rsid w:val="00BC4768"/>
    <w:rsid w:val="00BC47BD"/>
    <w:rsid w:val="00BC4CEB"/>
    <w:rsid w:val="00BC4D53"/>
    <w:rsid w:val="00BC4DBF"/>
    <w:rsid w:val="00BC4E0E"/>
    <w:rsid w:val="00BC4E89"/>
    <w:rsid w:val="00BC4EA6"/>
    <w:rsid w:val="00BC5075"/>
    <w:rsid w:val="00BC50C9"/>
    <w:rsid w:val="00BC5105"/>
    <w:rsid w:val="00BC522F"/>
    <w:rsid w:val="00BC548F"/>
    <w:rsid w:val="00BC5524"/>
    <w:rsid w:val="00BC5687"/>
    <w:rsid w:val="00BC569C"/>
    <w:rsid w:val="00BC57FF"/>
    <w:rsid w:val="00BC5937"/>
    <w:rsid w:val="00BC5968"/>
    <w:rsid w:val="00BC59C6"/>
    <w:rsid w:val="00BC5B5E"/>
    <w:rsid w:val="00BC5B8B"/>
    <w:rsid w:val="00BC5C03"/>
    <w:rsid w:val="00BC5CDA"/>
    <w:rsid w:val="00BC5D89"/>
    <w:rsid w:val="00BC5F56"/>
    <w:rsid w:val="00BC5FDA"/>
    <w:rsid w:val="00BC5FED"/>
    <w:rsid w:val="00BC6046"/>
    <w:rsid w:val="00BC61C0"/>
    <w:rsid w:val="00BC620C"/>
    <w:rsid w:val="00BC63DE"/>
    <w:rsid w:val="00BC63F1"/>
    <w:rsid w:val="00BC6672"/>
    <w:rsid w:val="00BC6922"/>
    <w:rsid w:val="00BC6A9A"/>
    <w:rsid w:val="00BC6B2E"/>
    <w:rsid w:val="00BC6B3E"/>
    <w:rsid w:val="00BC6D9B"/>
    <w:rsid w:val="00BC6F44"/>
    <w:rsid w:val="00BC6FFB"/>
    <w:rsid w:val="00BC707A"/>
    <w:rsid w:val="00BC70C2"/>
    <w:rsid w:val="00BC720A"/>
    <w:rsid w:val="00BC7418"/>
    <w:rsid w:val="00BC77A0"/>
    <w:rsid w:val="00BC789D"/>
    <w:rsid w:val="00BC7A29"/>
    <w:rsid w:val="00BC7A87"/>
    <w:rsid w:val="00BC7E43"/>
    <w:rsid w:val="00BC7F6E"/>
    <w:rsid w:val="00BD017D"/>
    <w:rsid w:val="00BD01E8"/>
    <w:rsid w:val="00BD02D3"/>
    <w:rsid w:val="00BD085A"/>
    <w:rsid w:val="00BD0884"/>
    <w:rsid w:val="00BD0BF9"/>
    <w:rsid w:val="00BD0C2F"/>
    <w:rsid w:val="00BD0D72"/>
    <w:rsid w:val="00BD0EE6"/>
    <w:rsid w:val="00BD10C9"/>
    <w:rsid w:val="00BD10D7"/>
    <w:rsid w:val="00BD1149"/>
    <w:rsid w:val="00BD11D8"/>
    <w:rsid w:val="00BD157F"/>
    <w:rsid w:val="00BD16A9"/>
    <w:rsid w:val="00BD17C9"/>
    <w:rsid w:val="00BD17D3"/>
    <w:rsid w:val="00BD17E2"/>
    <w:rsid w:val="00BD1914"/>
    <w:rsid w:val="00BD19D9"/>
    <w:rsid w:val="00BD1BB1"/>
    <w:rsid w:val="00BD1BEC"/>
    <w:rsid w:val="00BD1E68"/>
    <w:rsid w:val="00BD1EF0"/>
    <w:rsid w:val="00BD1F3D"/>
    <w:rsid w:val="00BD20FE"/>
    <w:rsid w:val="00BD21A8"/>
    <w:rsid w:val="00BD221E"/>
    <w:rsid w:val="00BD2277"/>
    <w:rsid w:val="00BD2439"/>
    <w:rsid w:val="00BD244C"/>
    <w:rsid w:val="00BD24F1"/>
    <w:rsid w:val="00BD27CC"/>
    <w:rsid w:val="00BD28E2"/>
    <w:rsid w:val="00BD2929"/>
    <w:rsid w:val="00BD2934"/>
    <w:rsid w:val="00BD2B67"/>
    <w:rsid w:val="00BD2E29"/>
    <w:rsid w:val="00BD2F60"/>
    <w:rsid w:val="00BD3084"/>
    <w:rsid w:val="00BD322A"/>
    <w:rsid w:val="00BD32AD"/>
    <w:rsid w:val="00BD338D"/>
    <w:rsid w:val="00BD33CA"/>
    <w:rsid w:val="00BD350A"/>
    <w:rsid w:val="00BD37C8"/>
    <w:rsid w:val="00BD39D7"/>
    <w:rsid w:val="00BD39E4"/>
    <w:rsid w:val="00BD402B"/>
    <w:rsid w:val="00BD4259"/>
    <w:rsid w:val="00BD429F"/>
    <w:rsid w:val="00BD4348"/>
    <w:rsid w:val="00BD4426"/>
    <w:rsid w:val="00BD44A2"/>
    <w:rsid w:val="00BD453D"/>
    <w:rsid w:val="00BD4578"/>
    <w:rsid w:val="00BD4761"/>
    <w:rsid w:val="00BD4A20"/>
    <w:rsid w:val="00BD4A42"/>
    <w:rsid w:val="00BD4ACC"/>
    <w:rsid w:val="00BD4AEE"/>
    <w:rsid w:val="00BD4BA0"/>
    <w:rsid w:val="00BD4C80"/>
    <w:rsid w:val="00BD4D35"/>
    <w:rsid w:val="00BD4E11"/>
    <w:rsid w:val="00BD5713"/>
    <w:rsid w:val="00BD5833"/>
    <w:rsid w:val="00BD5893"/>
    <w:rsid w:val="00BD5921"/>
    <w:rsid w:val="00BD5B23"/>
    <w:rsid w:val="00BD5C4B"/>
    <w:rsid w:val="00BD5D61"/>
    <w:rsid w:val="00BD5DCC"/>
    <w:rsid w:val="00BD5EC2"/>
    <w:rsid w:val="00BD5FF4"/>
    <w:rsid w:val="00BD6114"/>
    <w:rsid w:val="00BD61A4"/>
    <w:rsid w:val="00BD61F4"/>
    <w:rsid w:val="00BD62B0"/>
    <w:rsid w:val="00BD648C"/>
    <w:rsid w:val="00BD66D9"/>
    <w:rsid w:val="00BD66F6"/>
    <w:rsid w:val="00BD67BF"/>
    <w:rsid w:val="00BD6930"/>
    <w:rsid w:val="00BD6AEC"/>
    <w:rsid w:val="00BD6B50"/>
    <w:rsid w:val="00BD6BDF"/>
    <w:rsid w:val="00BD6C6C"/>
    <w:rsid w:val="00BD6DF6"/>
    <w:rsid w:val="00BD6F35"/>
    <w:rsid w:val="00BD6FF9"/>
    <w:rsid w:val="00BD7397"/>
    <w:rsid w:val="00BD7783"/>
    <w:rsid w:val="00BD7A5F"/>
    <w:rsid w:val="00BD7AA6"/>
    <w:rsid w:val="00BD7D1F"/>
    <w:rsid w:val="00BD7E26"/>
    <w:rsid w:val="00BD7E6E"/>
    <w:rsid w:val="00BD7FBF"/>
    <w:rsid w:val="00BE06B6"/>
    <w:rsid w:val="00BE06F7"/>
    <w:rsid w:val="00BE073C"/>
    <w:rsid w:val="00BE07BE"/>
    <w:rsid w:val="00BE09DA"/>
    <w:rsid w:val="00BE0ABC"/>
    <w:rsid w:val="00BE0BA9"/>
    <w:rsid w:val="00BE0C7B"/>
    <w:rsid w:val="00BE0C9D"/>
    <w:rsid w:val="00BE0CF5"/>
    <w:rsid w:val="00BE0E18"/>
    <w:rsid w:val="00BE0FE2"/>
    <w:rsid w:val="00BE11E6"/>
    <w:rsid w:val="00BE1453"/>
    <w:rsid w:val="00BE14EE"/>
    <w:rsid w:val="00BE17C3"/>
    <w:rsid w:val="00BE18CB"/>
    <w:rsid w:val="00BE1ACB"/>
    <w:rsid w:val="00BE1B0C"/>
    <w:rsid w:val="00BE1D22"/>
    <w:rsid w:val="00BE1F8C"/>
    <w:rsid w:val="00BE2048"/>
    <w:rsid w:val="00BE22EB"/>
    <w:rsid w:val="00BE266F"/>
    <w:rsid w:val="00BE2934"/>
    <w:rsid w:val="00BE29E7"/>
    <w:rsid w:val="00BE2AD0"/>
    <w:rsid w:val="00BE2BD0"/>
    <w:rsid w:val="00BE2D35"/>
    <w:rsid w:val="00BE2D65"/>
    <w:rsid w:val="00BE2DFA"/>
    <w:rsid w:val="00BE2E40"/>
    <w:rsid w:val="00BE2EF2"/>
    <w:rsid w:val="00BE2F53"/>
    <w:rsid w:val="00BE30A6"/>
    <w:rsid w:val="00BE32AE"/>
    <w:rsid w:val="00BE3335"/>
    <w:rsid w:val="00BE3381"/>
    <w:rsid w:val="00BE3550"/>
    <w:rsid w:val="00BE366E"/>
    <w:rsid w:val="00BE3689"/>
    <w:rsid w:val="00BE3B54"/>
    <w:rsid w:val="00BE3C03"/>
    <w:rsid w:val="00BE3DBB"/>
    <w:rsid w:val="00BE3E27"/>
    <w:rsid w:val="00BE44A7"/>
    <w:rsid w:val="00BE458F"/>
    <w:rsid w:val="00BE4605"/>
    <w:rsid w:val="00BE469E"/>
    <w:rsid w:val="00BE46C8"/>
    <w:rsid w:val="00BE4712"/>
    <w:rsid w:val="00BE480A"/>
    <w:rsid w:val="00BE486B"/>
    <w:rsid w:val="00BE4A01"/>
    <w:rsid w:val="00BE4C05"/>
    <w:rsid w:val="00BE4D14"/>
    <w:rsid w:val="00BE4F6A"/>
    <w:rsid w:val="00BE4FC5"/>
    <w:rsid w:val="00BE518F"/>
    <w:rsid w:val="00BE53D1"/>
    <w:rsid w:val="00BE5587"/>
    <w:rsid w:val="00BE5641"/>
    <w:rsid w:val="00BE58A8"/>
    <w:rsid w:val="00BE59CF"/>
    <w:rsid w:val="00BE5B2D"/>
    <w:rsid w:val="00BE5B5C"/>
    <w:rsid w:val="00BE5C1E"/>
    <w:rsid w:val="00BE5C5E"/>
    <w:rsid w:val="00BE5C91"/>
    <w:rsid w:val="00BE5D5C"/>
    <w:rsid w:val="00BE5E91"/>
    <w:rsid w:val="00BE5EEF"/>
    <w:rsid w:val="00BE6014"/>
    <w:rsid w:val="00BE6603"/>
    <w:rsid w:val="00BE67CC"/>
    <w:rsid w:val="00BE68D9"/>
    <w:rsid w:val="00BE6BA0"/>
    <w:rsid w:val="00BE6C72"/>
    <w:rsid w:val="00BE6C99"/>
    <w:rsid w:val="00BE6E89"/>
    <w:rsid w:val="00BE71F2"/>
    <w:rsid w:val="00BE724F"/>
    <w:rsid w:val="00BE72A9"/>
    <w:rsid w:val="00BE72E9"/>
    <w:rsid w:val="00BE7591"/>
    <w:rsid w:val="00BE764C"/>
    <w:rsid w:val="00BE7713"/>
    <w:rsid w:val="00BE77AC"/>
    <w:rsid w:val="00BE7A1E"/>
    <w:rsid w:val="00BE7B45"/>
    <w:rsid w:val="00BE7B82"/>
    <w:rsid w:val="00BE7BB8"/>
    <w:rsid w:val="00BE7C9D"/>
    <w:rsid w:val="00BE7CED"/>
    <w:rsid w:val="00BE7E56"/>
    <w:rsid w:val="00BE7EFE"/>
    <w:rsid w:val="00BF01EE"/>
    <w:rsid w:val="00BF0218"/>
    <w:rsid w:val="00BF0287"/>
    <w:rsid w:val="00BF04BA"/>
    <w:rsid w:val="00BF04F9"/>
    <w:rsid w:val="00BF053F"/>
    <w:rsid w:val="00BF09C2"/>
    <w:rsid w:val="00BF0A51"/>
    <w:rsid w:val="00BF0AD9"/>
    <w:rsid w:val="00BF0C99"/>
    <w:rsid w:val="00BF0CAB"/>
    <w:rsid w:val="00BF0D52"/>
    <w:rsid w:val="00BF0F2F"/>
    <w:rsid w:val="00BF100A"/>
    <w:rsid w:val="00BF1042"/>
    <w:rsid w:val="00BF11F2"/>
    <w:rsid w:val="00BF12B1"/>
    <w:rsid w:val="00BF12C7"/>
    <w:rsid w:val="00BF1511"/>
    <w:rsid w:val="00BF16C6"/>
    <w:rsid w:val="00BF1802"/>
    <w:rsid w:val="00BF19F5"/>
    <w:rsid w:val="00BF1A6A"/>
    <w:rsid w:val="00BF1C51"/>
    <w:rsid w:val="00BF1CA8"/>
    <w:rsid w:val="00BF1FBE"/>
    <w:rsid w:val="00BF20E2"/>
    <w:rsid w:val="00BF20E5"/>
    <w:rsid w:val="00BF2131"/>
    <w:rsid w:val="00BF2133"/>
    <w:rsid w:val="00BF21C4"/>
    <w:rsid w:val="00BF222F"/>
    <w:rsid w:val="00BF240D"/>
    <w:rsid w:val="00BF2543"/>
    <w:rsid w:val="00BF257E"/>
    <w:rsid w:val="00BF2675"/>
    <w:rsid w:val="00BF26B0"/>
    <w:rsid w:val="00BF27F1"/>
    <w:rsid w:val="00BF2A39"/>
    <w:rsid w:val="00BF2A68"/>
    <w:rsid w:val="00BF2BFF"/>
    <w:rsid w:val="00BF2D62"/>
    <w:rsid w:val="00BF2FDF"/>
    <w:rsid w:val="00BF32DE"/>
    <w:rsid w:val="00BF33D8"/>
    <w:rsid w:val="00BF3411"/>
    <w:rsid w:val="00BF3427"/>
    <w:rsid w:val="00BF3430"/>
    <w:rsid w:val="00BF3661"/>
    <w:rsid w:val="00BF3768"/>
    <w:rsid w:val="00BF3B9C"/>
    <w:rsid w:val="00BF3BD5"/>
    <w:rsid w:val="00BF3C5C"/>
    <w:rsid w:val="00BF3C8D"/>
    <w:rsid w:val="00BF3DC5"/>
    <w:rsid w:val="00BF3DDA"/>
    <w:rsid w:val="00BF3EC6"/>
    <w:rsid w:val="00BF3FA2"/>
    <w:rsid w:val="00BF40C6"/>
    <w:rsid w:val="00BF42F3"/>
    <w:rsid w:val="00BF46D8"/>
    <w:rsid w:val="00BF4B2B"/>
    <w:rsid w:val="00BF4B37"/>
    <w:rsid w:val="00BF4CEE"/>
    <w:rsid w:val="00BF4CF1"/>
    <w:rsid w:val="00BF4D0D"/>
    <w:rsid w:val="00BF4DD9"/>
    <w:rsid w:val="00BF4E62"/>
    <w:rsid w:val="00BF4EA6"/>
    <w:rsid w:val="00BF4F7D"/>
    <w:rsid w:val="00BF5196"/>
    <w:rsid w:val="00BF5224"/>
    <w:rsid w:val="00BF531C"/>
    <w:rsid w:val="00BF544B"/>
    <w:rsid w:val="00BF5577"/>
    <w:rsid w:val="00BF5802"/>
    <w:rsid w:val="00BF5BE6"/>
    <w:rsid w:val="00BF5CF0"/>
    <w:rsid w:val="00BF5D00"/>
    <w:rsid w:val="00BF5D24"/>
    <w:rsid w:val="00BF5DEF"/>
    <w:rsid w:val="00BF5E15"/>
    <w:rsid w:val="00BF5E32"/>
    <w:rsid w:val="00BF5F91"/>
    <w:rsid w:val="00BF5FD9"/>
    <w:rsid w:val="00BF6003"/>
    <w:rsid w:val="00BF6017"/>
    <w:rsid w:val="00BF630F"/>
    <w:rsid w:val="00BF63EF"/>
    <w:rsid w:val="00BF6439"/>
    <w:rsid w:val="00BF65F6"/>
    <w:rsid w:val="00BF662A"/>
    <w:rsid w:val="00BF66F5"/>
    <w:rsid w:val="00BF68BC"/>
    <w:rsid w:val="00BF68ED"/>
    <w:rsid w:val="00BF68F6"/>
    <w:rsid w:val="00BF69B8"/>
    <w:rsid w:val="00BF6A51"/>
    <w:rsid w:val="00BF6AAC"/>
    <w:rsid w:val="00BF6F6C"/>
    <w:rsid w:val="00BF6F81"/>
    <w:rsid w:val="00BF726E"/>
    <w:rsid w:val="00BF729B"/>
    <w:rsid w:val="00BF7321"/>
    <w:rsid w:val="00BF74F6"/>
    <w:rsid w:val="00BF765B"/>
    <w:rsid w:val="00BF76B5"/>
    <w:rsid w:val="00BF7764"/>
    <w:rsid w:val="00BF78BA"/>
    <w:rsid w:val="00BF78C4"/>
    <w:rsid w:val="00BF795E"/>
    <w:rsid w:val="00BF7ACA"/>
    <w:rsid w:val="00BF7B1A"/>
    <w:rsid w:val="00BF7CBF"/>
    <w:rsid w:val="00BF7DF9"/>
    <w:rsid w:val="00BF7FCD"/>
    <w:rsid w:val="00C0009E"/>
    <w:rsid w:val="00C00118"/>
    <w:rsid w:val="00C00127"/>
    <w:rsid w:val="00C001FD"/>
    <w:rsid w:val="00C003C1"/>
    <w:rsid w:val="00C00435"/>
    <w:rsid w:val="00C0073A"/>
    <w:rsid w:val="00C00817"/>
    <w:rsid w:val="00C00D9C"/>
    <w:rsid w:val="00C0105A"/>
    <w:rsid w:val="00C0111A"/>
    <w:rsid w:val="00C0113E"/>
    <w:rsid w:val="00C01152"/>
    <w:rsid w:val="00C0125A"/>
    <w:rsid w:val="00C015A7"/>
    <w:rsid w:val="00C015B2"/>
    <w:rsid w:val="00C016B3"/>
    <w:rsid w:val="00C016DC"/>
    <w:rsid w:val="00C01786"/>
    <w:rsid w:val="00C01AAF"/>
    <w:rsid w:val="00C01F1A"/>
    <w:rsid w:val="00C0211B"/>
    <w:rsid w:val="00C021E4"/>
    <w:rsid w:val="00C0227C"/>
    <w:rsid w:val="00C0236A"/>
    <w:rsid w:val="00C023AA"/>
    <w:rsid w:val="00C023AD"/>
    <w:rsid w:val="00C02624"/>
    <w:rsid w:val="00C026EC"/>
    <w:rsid w:val="00C0274E"/>
    <w:rsid w:val="00C0280D"/>
    <w:rsid w:val="00C02A80"/>
    <w:rsid w:val="00C02A9A"/>
    <w:rsid w:val="00C02C2B"/>
    <w:rsid w:val="00C02CE6"/>
    <w:rsid w:val="00C02EB3"/>
    <w:rsid w:val="00C0321A"/>
    <w:rsid w:val="00C0321E"/>
    <w:rsid w:val="00C03243"/>
    <w:rsid w:val="00C0326B"/>
    <w:rsid w:val="00C0326E"/>
    <w:rsid w:val="00C0333A"/>
    <w:rsid w:val="00C0336A"/>
    <w:rsid w:val="00C03512"/>
    <w:rsid w:val="00C03737"/>
    <w:rsid w:val="00C03993"/>
    <w:rsid w:val="00C03B0F"/>
    <w:rsid w:val="00C03D0D"/>
    <w:rsid w:val="00C03D64"/>
    <w:rsid w:val="00C03D67"/>
    <w:rsid w:val="00C0410B"/>
    <w:rsid w:val="00C04239"/>
    <w:rsid w:val="00C0444F"/>
    <w:rsid w:val="00C04691"/>
    <w:rsid w:val="00C046AD"/>
    <w:rsid w:val="00C048FC"/>
    <w:rsid w:val="00C04A75"/>
    <w:rsid w:val="00C04AB6"/>
    <w:rsid w:val="00C04F73"/>
    <w:rsid w:val="00C05070"/>
    <w:rsid w:val="00C0508C"/>
    <w:rsid w:val="00C05097"/>
    <w:rsid w:val="00C05282"/>
    <w:rsid w:val="00C052DF"/>
    <w:rsid w:val="00C054B0"/>
    <w:rsid w:val="00C054E1"/>
    <w:rsid w:val="00C05510"/>
    <w:rsid w:val="00C05655"/>
    <w:rsid w:val="00C057EE"/>
    <w:rsid w:val="00C0593A"/>
    <w:rsid w:val="00C05B1F"/>
    <w:rsid w:val="00C05BEA"/>
    <w:rsid w:val="00C05C18"/>
    <w:rsid w:val="00C05C53"/>
    <w:rsid w:val="00C05C88"/>
    <w:rsid w:val="00C05D68"/>
    <w:rsid w:val="00C05E6E"/>
    <w:rsid w:val="00C05F99"/>
    <w:rsid w:val="00C06446"/>
    <w:rsid w:val="00C06657"/>
    <w:rsid w:val="00C06753"/>
    <w:rsid w:val="00C0690A"/>
    <w:rsid w:val="00C069EB"/>
    <w:rsid w:val="00C06D0D"/>
    <w:rsid w:val="00C06E0F"/>
    <w:rsid w:val="00C06E82"/>
    <w:rsid w:val="00C06E87"/>
    <w:rsid w:val="00C06F05"/>
    <w:rsid w:val="00C07044"/>
    <w:rsid w:val="00C071FD"/>
    <w:rsid w:val="00C07504"/>
    <w:rsid w:val="00C075C3"/>
    <w:rsid w:val="00C0771A"/>
    <w:rsid w:val="00C077EC"/>
    <w:rsid w:val="00C07806"/>
    <w:rsid w:val="00C0788F"/>
    <w:rsid w:val="00C0798F"/>
    <w:rsid w:val="00C07D32"/>
    <w:rsid w:val="00C07D40"/>
    <w:rsid w:val="00C07DE3"/>
    <w:rsid w:val="00C07F0C"/>
    <w:rsid w:val="00C07F33"/>
    <w:rsid w:val="00C07F58"/>
    <w:rsid w:val="00C1001C"/>
    <w:rsid w:val="00C1036F"/>
    <w:rsid w:val="00C1038A"/>
    <w:rsid w:val="00C10458"/>
    <w:rsid w:val="00C10462"/>
    <w:rsid w:val="00C105DB"/>
    <w:rsid w:val="00C10644"/>
    <w:rsid w:val="00C106C8"/>
    <w:rsid w:val="00C10B93"/>
    <w:rsid w:val="00C10CAA"/>
    <w:rsid w:val="00C10E38"/>
    <w:rsid w:val="00C10F26"/>
    <w:rsid w:val="00C10F5D"/>
    <w:rsid w:val="00C11097"/>
    <w:rsid w:val="00C110A8"/>
    <w:rsid w:val="00C110D9"/>
    <w:rsid w:val="00C11111"/>
    <w:rsid w:val="00C1112A"/>
    <w:rsid w:val="00C1133A"/>
    <w:rsid w:val="00C11365"/>
    <w:rsid w:val="00C11556"/>
    <w:rsid w:val="00C115F4"/>
    <w:rsid w:val="00C11641"/>
    <w:rsid w:val="00C11B7D"/>
    <w:rsid w:val="00C11BC6"/>
    <w:rsid w:val="00C11C71"/>
    <w:rsid w:val="00C11DD8"/>
    <w:rsid w:val="00C126F7"/>
    <w:rsid w:val="00C1274C"/>
    <w:rsid w:val="00C127E8"/>
    <w:rsid w:val="00C128E7"/>
    <w:rsid w:val="00C12972"/>
    <w:rsid w:val="00C12AD1"/>
    <w:rsid w:val="00C12B2F"/>
    <w:rsid w:val="00C12B40"/>
    <w:rsid w:val="00C12B81"/>
    <w:rsid w:val="00C12D24"/>
    <w:rsid w:val="00C12D98"/>
    <w:rsid w:val="00C12E7C"/>
    <w:rsid w:val="00C13028"/>
    <w:rsid w:val="00C1305B"/>
    <w:rsid w:val="00C1333E"/>
    <w:rsid w:val="00C1349E"/>
    <w:rsid w:val="00C1390A"/>
    <w:rsid w:val="00C13A3B"/>
    <w:rsid w:val="00C13A67"/>
    <w:rsid w:val="00C13A92"/>
    <w:rsid w:val="00C13B74"/>
    <w:rsid w:val="00C13BEC"/>
    <w:rsid w:val="00C13D4D"/>
    <w:rsid w:val="00C13FA1"/>
    <w:rsid w:val="00C141DD"/>
    <w:rsid w:val="00C143BF"/>
    <w:rsid w:val="00C14492"/>
    <w:rsid w:val="00C14521"/>
    <w:rsid w:val="00C145BE"/>
    <w:rsid w:val="00C14632"/>
    <w:rsid w:val="00C14715"/>
    <w:rsid w:val="00C147F0"/>
    <w:rsid w:val="00C1488A"/>
    <w:rsid w:val="00C14AFF"/>
    <w:rsid w:val="00C14C43"/>
    <w:rsid w:val="00C14D49"/>
    <w:rsid w:val="00C14F80"/>
    <w:rsid w:val="00C14FE5"/>
    <w:rsid w:val="00C1510F"/>
    <w:rsid w:val="00C152B0"/>
    <w:rsid w:val="00C15754"/>
    <w:rsid w:val="00C1578A"/>
    <w:rsid w:val="00C15911"/>
    <w:rsid w:val="00C1594F"/>
    <w:rsid w:val="00C15E06"/>
    <w:rsid w:val="00C15F23"/>
    <w:rsid w:val="00C16094"/>
    <w:rsid w:val="00C16108"/>
    <w:rsid w:val="00C16110"/>
    <w:rsid w:val="00C162DC"/>
    <w:rsid w:val="00C164EE"/>
    <w:rsid w:val="00C165DB"/>
    <w:rsid w:val="00C16672"/>
    <w:rsid w:val="00C168FA"/>
    <w:rsid w:val="00C16916"/>
    <w:rsid w:val="00C16A72"/>
    <w:rsid w:val="00C16ABC"/>
    <w:rsid w:val="00C16AC6"/>
    <w:rsid w:val="00C16B85"/>
    <w:rsid w:val="00C16DC2"/>
    <w:rsid w:val="00C16F39"/>
    <w:rsid w:val="00C171B9"/>
    <w:rsid w:val="00C1726B"/>
    <w:rsid w:val="00C173AA"/>
    <w:rsid w:val="00C17749"/>
    <w:rsid w:val="00C17811"/>
    <w:rsid w:val="00C17B7F"/>
    <w:rsid w:val="00C17F65"/>
    <w:rsid w:val="00C200AC"/>
    <w:rsid w:val="00C200C6"/>
    <w:rsid w:val="00C20169"/>
    <w:rsid w:val="00C20319"/>
    <w:rsid w:val="00C2040B"/>
    <w:rsid w:val="00C20690"/>
    <w:rsid w:val="00C20711"/>
    <w:rsid w:val="00C2074A"/>
    <w:rsid w:val="00C2087D"/>
    <w:rsid w:val="00C208E1"/>
    <w:rsid w:val="00C20988"/>
    <w:rsid w:val="00C209C4"/>
    <w:rsid w:val="00C20A8D"/>
    <w:rsid w:val="00C20B35"/>
    <w:rsid w:val="00C20BFD"/>
    <w:rsid w:val="00C20C3B"/>
    <w:rsid w:val="00C20D55"/>
    <w:rsid w:val="00C20EB6"/>
    <w:rsid w:val="00C20F56"/>
    <w:rsid w:val="00C20FC7"/>
    <w:rsid w:val="00C21071"/>
    <w:rsid w:val="00C21157"/>
    <w:rsid w:val="00C21265"/>
    <w:rsid w:val="00C212CC"/>
    <w:rsid w:val="00C214F2"/>
    <w:rsid w:val="00C2166C"/>
    <w:rsid w:val="00C21876"/>
    <w:rsid w:val="00C21ACD"/>
    <w:rsid w:val="00C21C4D"/>
    <w:rsid w:val="00C220CE"/>
    <w:rsid w:val="00C2217A"/>
    <w:rsid w:val="00C221DF"/>
    <w:rsid w:val="00C223E7"/>
    <w:rsid w:val="00C224B1"/>
    <w:rsid w:val="00C224CA"/>
    <w:rsid w:val="00C224E8"/>
    <w:rsid w:val="00C2252A"/>
    <w:rsid w:val="00C22614"/>
    <w:rsid w:val="00C228D5"/>
    <w:rsid w:val="00C22A6F"/>
    <w:rsid w:val="00C22E49"/>
    <w:rsid w:val="00C22EB6"/>
    <w:rsid w:val="00C230C4"/>
    <w:rsid w:val="00C23177"/>
    <w:rsid w:val="00C23215"/>
    <w:rsid w:val="00C2330D"/>
    <w:rsid w:val="00C23682"/>
    <w:rsid w:val="00C238C0"/>
    <w:rsid w:val="00C238DA"/>
    <w:rsid w:val="00C23A99"/>
    <w:rsid w:val="00C23F96"/>
    <w:rsid w:val="00C23FD3"/>
    <w:rsid w:val="00C24018"/>
    <w:rsid w:val="00C2405A"/>
    <w:rsid w:val="00C24184"/>
    <w:rsid w:val="00C24231"/>
    <w:rsid w:val="00C243D0"/>
    <w:rsid w:val="00C2446C"/>
    <w:rsid w:val="00C24B6C"/>
    <w:rsid w:val="00C24BFF"/>
    <w:rsid w:val="00C24CF1"/>
    <w:rsid w:val="00C24D80"/>
    <w:rsid w:val="00C24F87"/>
    <w:rsid w:val="00C2502E"/>
    <w:rsid w:val="00C25323"/>
    <w:rsid w:val="00C253E2"/>
    <w:rsid w:val="00C25560"/>
    <w:rsid w:val="00C25787"/>
    <w:rsid w:val="00C25906"/>
    <w:rsid w:val="00C25B09"/>
    <w:rsid w:val="00C25D6D"/>
    <w:rsid w:val="00C25DC5"/>
    <w:rsid w:val="00C25F27"/>
    <w:rsid w:val="00C26057"/>
    <w:rsid w:val="00C26134"/>
    <w:rsid w:val="00C264C4"/>
    <w:rsid w:val="00C2652D"/>
    <w:rsid w:val="00C265D2"/>
    <w:rsid w:val="00C267F1"/>
    <w:rsid w:val="00C26849"/>
    <w:rsid w:val="00C26A4A"/>
    <w:rsid w:val="00C26B58"/>
    <w:rsid w:val="00C26E03"/>
    <w:rsid w:val="00C26E31"/>
    <w:rsid w:val="00C26F4E"/>
    <w:rsid w:val="00C27040"/>
    <w:rsid w:val="00C271B1"/>
    <w:rsid w:val="00C272E5"/>
    <w:rsid w:val="00C274F7"/>
    <w:rsid w:val="00C2751F"/>
    <w:rsid w:val="00C27597"/>
    <w:rsid w:val="00C27803"/>
    <w:rsid w:val="00C27994"/>
    <w:rsid w:val="00C279EB"/>
    <w:rsid w:val="00C27E58"/>
    <w:rsid w:val="00C27E65"/>
    <w:rsid w:val="00C27FF1"/>
    <w:rsid w:val="00C3014A"/>
    <w:rsid w:val="00C3023A"/>
    <w:rsid w:val="00C303C8"/>
    <w:rsid w:val="00C30515"/>
    <w:rsid w:val="00C306D8"/>
    <w:rsid w:val="00C30840"/>
    <w:rsid w:val="00C3086F"/>
    <w:rsid w:val="00C30AD9"/>
    <w:rsid w:val="00C30C14"/>
    <w:rsid w:val="00C30C17"/>
    <w:rsid w:val="00C30C98"/>
    <w:rsid w:val="00C30E1D"/>
    <w:rsid w:val="00C30E7D"/>
    <w:rsid w:val="00C30EFE"/>
    <w:rsid w:val="00C30FAA"/>
    <w:rsid w:val="00C31025"/>
    <w:rsid w:val="00C31280"/>
    <w:rsid w:val="00C3131A"/>
    <w:rsid w:val="00C31813"/>
    <w:rsid w:val="00C3197D"/>
    <w:rsid w:val="00C319AF"/>
    <w:rsid w:val="00C31A10"/>
    <w:rsid w:val="00C31AC3"/>
    <w:rsid w:val="00C31B30"/>
    <w:rsid w:val="00C31BA9"/>
    <w:rsid w:val="00C31E4A"/>
    <w:rsid w:val="00C32224"/>
    <w:rsid w:val="00C32632"/>
    <w:rsid w:val="00C328AB"/>
    <w:rsid w:val="00C32BB5"/>
    <w:rsid w:val="00C32D67"/>
    <w:rsid w:val="00C32E91"/>
    <w:rsid w:val="00C32F05"/>
    <w:rsid w:val="00C32FF9"/>
    <w:rsid w:val="00C33326"/>
    <w:rsid w:val="00C33371"/>
    <w:rsid w:val="00C3345F"/>
    <w:rsid w:val="00C33552"/>
    <w:rsid w:val="00C336A1"/>
    <w:rsid w:val="00C33709"/>
    <w:rsid w:val="00C33725"/>
    <w:rsid w:val="00C338AB"/>
    <w:rsid w:val="00C338C0"/>
    <w:rsid w:val="00C3391A"/>
    <w:rsid w:val="00C33B06"/>
    <w:rsid w:val="00C33B2A"/>
    <w:rsid w:val="00C33DA4"/>
    <w:rsid w:val="00C33FA2"/>
    <w:rsid w:val="00C340F6"/>
    <w:rsid w:val="00C34276"/>
    <w:rsid w:val="00C343DB"/>
    <w:rsid w:val="00C34667"/>
    <w:rsid w:val="00C3479E"/>
    <w:rsid w:val="00C34C42"/>
    <w:rsid w:val="00C34C47"/>
    <w:rsid w:val="00C34C9C"/>
    <w:rsid w:val="00C34E7F"/>
    <w:rsid w:val="00C34F83"/>
    <w:rsid w:val="00C3532A"/>
    <w:rsid w:val="00C353DC"/>
    <w:rsid w:val="00C35569"/>
    <w:rsid w:val="00C355C4"/>
    <w:rsid w:val="00C35651"/>
    <w:rsid w:val="00C356DF"/>
    <w:rsid w:val="00C35B32"/>
    <w:rsid w:val="00C35C80"/>
    <w:rsid w:val="00C35DF0"/>
    <w:rsid w:val="00C36141"/>
    <w:rsid w:val="00C3615B"/>
    <w:rsid w:val="00C3617A"/>
    <w:rsid w:val="00C36652"/>
    <w:rsid w:val="00C367DB"/>
    <w:rsid w:val="00C36887"/>
    <w:rsid w:val="00C3696A"/>
    <w:rsid w:val="00C36BF9"/>
    <w:rsid w:val="00C36F68"/>
    <w:rsid w:val="00C37123"/>
    <w:rsid w:val="00C37444"/>
    <w:rsid w:val="00C3794F"/>
    <w:rsid w:val="00C37A8D"/>
    <w:rsid w:val="00C37A96"/>
    <w:rsid w:val="00C37AE7"/>
    <w:rsid w:val="00C37AFA"/>
    <w:rsid w:val="00C37D48"/>
    <w:rsid w:val="00C37D4D"/>
    <w:rsid w:val="00C37F8F"/>
    <w:rsid w:val="00C37FFB"/>
    <w:rsid w:val="00C4018C"/>
    <w:rsid w:val="00C40675"/>
    <w:rsid w:val="00C406B2"/>
    <w:rsid w:val="00C4075E"/>
    <w:rsid w:val="00C407AD"/>
    <w:rsid w:val="00C40855"/>
    <w:rsid w:val="00C4085C"/>
    <w:rsid w:val="00C40A37"/>
    <w:rsid w:val="00C40AC9"/>
    <w:rsid w:val="00C40E2C"/>
    <w:rsid w:val="00C40F2C"/>
    <w:rsid w:val="00C41087"/>
    <w:rsid w:val="00C410F7"/>
    <w:rsid w:val="00C4117F"/>
    <w:rsid w:val="00C41286"/>
    <w:rsid w:val="00C41355"/>
    <w:rsid w:val="00C413D7"/>
    <w:rsid w:val="00C414E2"/>
    <w:rsid w:val="00C41631"/>
    <w:rsid w:val="00C41791"/>
    <w:rsid w:val="00C4182A"/>
    <w:rsid w:val="00C41959"/>
    <w:rsid w:val="00C41A25"/>
    <w:rsid w:val="00C41AF9"/>
    <w:rsid w:val="00C41C12"/>
    <w:rsid w:val="00C41D26"/>
    <w:rsid w:val="00C41F62"/>
    <w:rsid w:val="00C41FC9"/>
    <w:rsid w:val="00C4211C"/>
    <w:rsid w:val="00C42214"/>
    <w:rsid w:val="00C42261"/>
    <w:rsid w:val="00C4232F"/>
    <w:rsid w:val="00C424AD"/>
    <w:rsid w:val="00C4254C"/>
    <w:rsid w:val="00C42669"/>
    <w:rsid w:val="00C4267A"/>
    <w:rsid w:val="00C427F5"/>
    <w:rsid w:val="00C429B8"/>
    <w:rsid w:val="00C429CB"/>
    <w:rsid w:val="00C42A9D"/>
    <w:rsid w:val="00C42ACB"/>
    <w:rsid w:val="00C42BB9"/>
    <w:rsid w:val="00C42BED"/>
    <w:rsid w:val="00C42E0E"/>
    <w:rsid w:val="00C42F70"/>
    <w:rsid w:val="00C4304C"/>
    <w:rsid w:val="00C430DE"/>
    <w:rsid w:val="00C430FD"/>
    <w:rsid w:val="00C43120"/>
    <w:rsid w:val="00C4320C"/>
    <w:rsid w:val="00C43731"/>
    <w:rsid w:val="00C43806"/>
    <w:rsid w:val="00C43818"/>
    <w:rsid w:val="00C43880"/>
    <w:rsid w:val="00C43AF4"/>
    <w:rsid w:val="00C43B1C"/>
    <w:rsid w:val="00C43B4A"/>
    <w:rsid w:val="00C43BA2"/>
    <w:rsid w:val="00C43D8A"/>
    <w:rsid w:val="00C43F76"/>
    <w:rsid w:val="00C440F0"/>
    <w:rsid w:val="00C44113"/>
    <w:rsid w:val="00C442E4"/>
    <w:rsid w:val="00C445A8"/>
    <w:rsid w:val="00C4460F"/>
    <w:rsid w:val="00C44B4E"/>
    <w:rsid w:val="00C44C5A"/>
    <w:rsid w:val="00C44CB7"/>
    <w:rsid w:val="00C44E41"/>
    <w:rsid w:val="00C45149"/>
    <w:rsid w:val="00C45189"/>
    <w:rsid w:val="00C45203"/>
    <w:rsid w:val="00C454CD"/>
    <w:rsid w:val="00C45707"/>
    <w:rsid w:val="00C4580A"/>
    <w:rsid w:val="00C45861"/>
    <w:rsid w:val="00C4586D"/>
    <w:rsid w:val="00C45931"/>
    <w:rsid w:val="00C459E3"/>
    <w:rsid w:val="00C45A02"/>
    <w:rsid w:val="00C45A94"/>
    <w:rsid w:val="00C45BCF"/>
    <w:rsid w:val="00C45CAF"/>
    <w:rsid w:val="00C45D56"/>
    <w:rsid w:val="00C45DA8"/>
    <w:rsid w:val="00C45E04"/>
    <w:rsid w:val="00C45EEC"/>
    <w:rsid w:val="00C45F27"/>
    <w:rsid w:val="00C4636A"/>
    <w:rsid w:val="00C46700"/>
    <w:rsid w:val="00C46799"/>
    <w:rsid w:val="00C46968"/>
    <w:rsid w:val="00C46A47"/>
    <w:rsid w:val="00C46BFD"/>
    <w:rsid w:val="00C46C3A"/>
    <w:rsid w:val="00C46C69"/>
    <w:rsid w:val="00C46CE9"/>
    <w:rsid w:val="00C46D31"/>
    <w:rsid w:val="00C46D49"/>
    <w:rsid w:val="00C46E8E"/>
    <w:rsid w:val="00C46FE4"/>
    <w:rsid w:val="00C47054"/>
    <w:rsid w:val="00C4705B"/>
    <w:rsid w:val="00C47231"/>
    <w:rsid w:val="00C472CC"/>
    <w:rsid w:val="00C4757A"/>
    <w:rsid w:val="00C47665"/>
    <w:rsid w:val="00C47713"/>
    <w:rsid w:val="00C4778D"/>
    <w:rsid w:val="00C47831"/>
    <w:rsid w:val="00C4783E"/>
    <w:rsid w:val="00C478B8"/>
    <w:rsid w:val="00C479DD"/>
    <w:rsid w:val="00C47AD5"/>
    <w:rsid w:val="00C47B0D"/>
    <w:rsid w:val="00C47D35"/>
    <w:rsid w:val="00C47E97"/>
    <w:rsid w:val="00C47F6F"/>
    <w:rsid w:val="00C47F85"/>
    <w:rsid w:val="00C5009F"/>
    <w:rsid w:val="00C50210"/>
    <w:rsid w:val="00C50228"/>
    <w:rsid w:val="00C50263"/>
    <w:rsid w:val="00C502A5"/>
    <w:rsid w:val="00C50417"/>
    <w:rsid w:val="00C50838"/>
    <w:rsid w:val="00C508E1"/>
    <w:rsid w:val="00C50965"/>
    <w:rsid w:val="00C50A67"/>
    <w:rsid w:val="00C50B41"/>
    <w:rsid w:val="00C50C46"/>
    <w:rsid w:val="00C50D51"/>
    <w:rsid w:val="00C50F29"/>
    <w:rsid w:val="00C5108B"/>
    <w:rsid w:val="00C5119E"/>
    <w:rsid w:val="00C511BC"/>
    <w:rsid w:val="00C51677"/>
    <w:rsid w:val="00C51748"/>
    <w:rsid w:val="00C519E9"/>
    <w:rsid w:val="00C51A4F"/>
    <w:rsid w:val="00C51A75"/>
    <w:rsid w:val="00C51BF7"/>
    <w:rsid w:val="00C51E1F"/>
    <w:rsid w:val="00C51E6F"/>
    <w:rsid w:val="00C51EE9"/>
    <w:rsid w:val="00C51FBE"/>
    <w:rsid w:val="00C5203B"/>
    <w:rsid w:val="00C52126"/>
    <w:rsid w:val="00C5246C"/>
    <w:rsid w:val="00C524A2"/>
    <w:rsid w:val="00C524F1"/>
    <w:rsid w:val="00C52666"/>
    <w:rsid w:val="00C527A4"/>
    <w:rsid w:val="00C527B4"/>
    <w:rsid w:val="00C5288A"/>
    <w:rsid w:val="00C529FC"/>
    <w:rsid w:val="00C52B0B"/>
    <w:rsid w:val="00C52C32"/>
    <w:rsid w:val="00C52CD3"/>
    <w:rsid w:val="00C52CFD"/>
    <w:rsid w:val="00C52D7A"/>
    <w:rsid w:val="00C53100"/>
    <w:rsid w:val="00C534C7"/>
    <w:rsid w:val="00C535E8"/>
    <w:rsid w:val="00C537FE"/>
    <w:rsid w:val="00C53997"/>
    <w:rsid w:val="00C53B65"/>
    <w:rsid w:val="00C53C59"/>
    <w:rsid w:val="00C53C7B"/>
    <w:rsid w:val="00C53C9E"/>
    <w:rsid w:val="00C53D39"/>
    <w:rsid w:val="00C53F59"/>
    <w:rsid w:val="00C540B0"/>
    <w:rsid w:val="00C5416E"/>
    <w:rsid w:val="00C54263"/>
    <w:rsid w:val="00C543E7"/>
    <w:rsid w:val="00C54440"/>
    <w:rsid w:val="00C544B6"/>
    <w:rsid w:val="00C5453C"/>
    <w:rsid w:val="00C545CE"/>
    <w:rsid w:val="00C5487E"/>
    <w:rsid w:val="00C54AE1"/>
    <w:rsid w:val="00C54C9B"/>
    <w:rsid w:val="00C54E7A"/>
    <w:rsid w:val="00C54EF1"/>
    <w:rsid w:val="00C55082"/>
    <w:rsid w:val="00C553A0"/>
    <w:rsid w:val="00C55714"/>
    <w:rsid w:val="00C5575B"/>
    <w:rsid w:val="00C55770"/>
    <w:rsid w:val="00C55826"/>
    <w:rsid w:val="00C5586F"/>
    <w:rsid w:val="00C5593E"/>
    <w:rsid w:val="00C55A55"/>
    <w:rsid w:val="00C55DD7"/>
    <w:rsid w:val="00C55F1D"/>
    <w:rsid w:val="00C563C3"/>
    <w:rsid w:val="00C563CA"/>
    <w:rsid w:val="00C5692C"/>
    <w:rsid w:val="00C56990"/>
    <w:rsid w:val="00C569C1"/>
    <w:rsid w:val="00C56BA5"/>
    <w:rsid w:val="00C56BFE"/>
    <w:rsid w:val="00C56D9D"/>
    <w:rsid w:val="00C56E3D"/>
    <w:rsid w:val="00C56FE4"/>
    <w:rsid w:val="00C57069"/>
    <w:rsid w:val="00C57200"/>
    <w:rsid w:val="00C574F9"/>
    <w:rsid w:val="00C5770F"/>
    <w:rsid w:val="00C57737"/>
    <w:rsid w:val="00C5777E"/>
    <w:rsid w:val="00C57BDC"/>
    <w:rsid w:val="00C57CCE"/>
    <w:rsid w:val="00C57E12"/>
    <w:rsid w:val="00C57E28"/>
    <w:rsid w:val="00C6005C"/>
    <w:rsid w:val="00C600D8"/>
    <w:rsid w:val="00C60116"/>
    <w:rsid w:val="00C601DD"/>
    <w:rsid w:val="00C601E5"/>
    <w:rsid w:val="00C60546"/>
    <w:rsid w:val="00C60563"/>
    <w:rsid w:val="00C606CE"/>
    <w:rsid w:val="00C60707"/>
    <w:rsid w:val="00C608FA"/>
    <w:rsid w:val="00C6094F"/>
    <w:rsid w:val="00C609F6"/>
    <w:rsid w:val="00C60C29"/>
    <w:rsid w:val="00C60CFD"/>
    <w:rsid w:val="00C60E1B"/>
    <w:rsid w:val="00C60F6E"/>
    <w:rsid w:val="00C60F73"/>
    <w:rsid w:val="00C60FBB"/>
    <w:rsid w:val="00C60FD6"/>
    <w:rsid w:val="00C61479"/>
    <w:rsid w:val="00C615EC"/>
    <w:rsid w:val="00C616B5"/>
    <w:rsid w:val="00C61D36"/>
    <w:rsid w:val="00C61DBD"/>
    <w:rsid w:val="00C62051"/>
    <w:rsid w:val="00C62145"/>
    <w:rsid w:val="00C62199"/>
    <w:rsid w:val="00C62259"/>
    <w:rsid w:val="00C62276"/>
    <w:rsid w:val="00C6237E"/>
    <w:rsid w:val="00C62382"/>
    <w:rsid w:val="00C6244E"/>
    <w:rsid w:val="00C62454"/>
    <w:rsid w:val="00C627A7"/>
    <w:rsid w:val="00C632C5"/>
    <w:rsid w:val="00C6333D"/>
    <w:rsid w:val="00C635B7"/>
    <w:rsid w:val="00C635BC"/>
    <w:rsid w:val="00C63603"/>
    <w:rsid w:val="00C638FE"/>
    <w:rsid w:val="00C63946"/>
    <w:rsid w:val="00C6398C"/>
    <w:rsid w:val="00C6398E"/>
    <w:rsid w:val="00C639B1"/>
    <w:rsid w:val="00C63CD0"/>
    <w:rsid w:val="00C63DF4"/>
    <w:rsid w:val="00C63ECD"/>
    <w:rsid w:val="00C63FCE"/>
    <w:rsid w:val="00C63FE8"/>
    <w:rsid w:val="00C64016"/>
    <w:rsid w:val="00C64192"/>
    <w:rsid w:val="00C641A4"/>
    <w:rsid w:val="00C645E0"/>
    <w:rsid w:val="00C646A3"/>
    <w:rsid w:val="00C64709"/>
    <w:rsid w:val="00C64770"/>
    <w:rsid w:val="00C647CF"/>
    <w:rsid w:val="00C6498F"/>
    <w:rsid w:val="00C64B8D"/>
    <w:rsid w:val="00C64BF5"/>
    <w:rsid w:val="00C64C33"/>
    <w:rsid w:val="00C64E7A"/>
    <w:rsid w:val="00C64E84"/>
    <w:rsid w:val="00C64E9F"/>
    <w:rsid w:val="00C65206"/>
    <w:rsid w:val="00C65300"/>
    <w:rsid w:val="00C6536C"/>
    <w:rsid w:val="00C653A9"/>
    <w:rsid w:val="00C655B8"/>
    <w:rsid w:val="00C655F4"/>
    <w:rsid w:val="00C65AF7"/>
    <w:rsid w:val="00C66188"/>
    <w:rsid w:val="00C66199"/>
    <w:rsid w:val="00C661FD"/>
    <w:rsid w:val="00C66265"/>
    <w:rsid w:val="00C662F4"/>
    <w:rsid w:val="00C663E4"/>
    <w:rsid w:val="00C664A7"/>
    <w:rsid w:val="00C665F4"/>
    <w:rsid w:val="00C66703"/>
    <w:rsid w:val="00C668FC"/>
    <w:rsid w:val="00C66906"/>
    <w:rsid w:val="00C66A06"/>
    <w:rsid w:val="00C66B1C"/>
    <w:rsid w:val="00C66B2E"/>
    <w:rsid w:val="00C66B80"/>
    <w:rsid w:val="00C66BC4"/>
    <w:rsid w:val="00C67018"/>
    <w:rsid w:val="00C670ED"/>
    <w:rsid w:val="00C67194"/>
    <w:rsid w:val="00C672D0"/>
    <w:rsid w:val="00C67350"/>
    <w:rsid w:val="00C6744D"/>
    <w:rsid w:val="00C674C3"/>
    <w:rsid w:val="00C67728"/>
    <w:rsid w:val="00C679A0"/>
    <w:rsid w:val="00C679AA"/>
    <w:rsid w:val="00C67DAB"/>
    <w:rsid w:val="00C67E87"/>
    <w:rsid w:val="00C67F4A"/>
    <w:rsid w:val="00C67F8B"/>
    <w:rsid w:val="00C70102"/>
    <w:rsid w:val="00C7011E"/>
    <w:rsid w:val="00C7037A"/>
    <w:rsid w:val="00C706A0"/>
    <w:rsid w:val="00C70A77"/>
    <w:rsid w:val="00C70BE2"/>
    <w:rsid w:val="00C70D15"/>
    <w:rsid w:val="00C70DAC"/>
    <w:rsid w:val="00C70E86"/>
    <w:rsid w:val="00C70F88"/>
    <w:rsid w:val="00C70FF1"/>
    <w:rsid w:val="00C71392"/>
    <w:rsid w:val="00C713AA"/>
    <w:rsid w:val="00C714BC"/>
    <w:rsid w:val="00C714EB"/>
    <w:rsid w:val="00C71668"/>
    <w:rsid w:val="00C716F3"/>
    <w:rsid w:val="00C7181E"/>
    <w:rsid w:val="00C7189F"/>
    <w:rsid w:val="00C71B9E"/>
    <w:rsid w:val="00C71C15"/>
    <w:rsid w:val="00C72118"/>
    <w:rsid w:val="00C7253B"/>
    <w:rsid w:val="00C727F9"/>
    <w:rsid w:val="00C72A5C"/>
    <w:rsid w:val="00C72AD2"/>
    <w:rsid w:val="00C72C75"/>
    <w:rsid w:val="00C72CA4"/>
    <w:rsid w:val="00C72CB6"/>
    <w:rsid w:val="00C72D21"/>
    <w:rsid w:val="00C72D94"/>
    <w:rsid w:val="00C72E1C"/>
    <w:rsid w:val="00C72EB9"/>
    <w:rsid w:val="00C73026"/>
    <w:rsid w:val="00C730D0"/>
    <w:rsid w:val="00C7333E"/>
    <w:rsid w:val="00C733AC"/>
    <w:rsid w:val="00C73534"/>
    <w:rsid w:val="00C737F3"/>
    <w:rsid w:val="00C73B87"/>
    <w:rsid w:val="00C73BE8"/>
    <w:rsid w:val="00C73C56"/>
    <w:rsid w:val="00C7414D"/>
    <w:rsid w:val="00C741B3"/>
    <w:rsid w:val="00C742C6"/>
    <w:rsid w:val="00C743BF"/>
    <w:rsid w:val="00C74441"/>
    <w:rsid w:val="00C7458C"/>
    <w:rsid w:val="00C747E7"/>
    <w:rsid w:val="00C74AB7"/>
    <w:rsid w:val="00C74C56"/>
    <w:rsid w:val="00C74EDF"/>
    <w:rsid w:val="00C74F15"/>
    <w:rsid w:val="00C74FCA"/>
    <w:rsid w:val="00C7520B"/>
    <w:rsid w:val="00C753D1"/>
    <w:rsid w:val="00C755AC"/>
    <w:rsid w:val="00C75799"/>
    <w:rsid w:val="00C7583A"/>
    <w:rsid w:val="00C75AA0"/>
    <w:rsid w:val="00C75C07"/>
    <w:rsid w:val="00C75C87"/>
    <w:rsid w:val="00C75D9D"/>
    <w:rsid w:val="00C75E10"/>
    <w:rsid w:val="00C75E1A"/>
    <w:rsid w:val="00C75EC0"/>
    <w:rsid w:val="00C75F64"/>
    <w:rsid w:val="00C7623E"/>
    <w:rsid w:val="00C76492"/>
    <w:rsid w:val="00C764E3"/>
    <w:rsid w:val="00C7655D"/>
    <w:rsid w:val="00C765FC"/>
    <w:rsid w:val="00C7688F"/>
    <w:rsid w:val="00C76A85"/>
    <w:rsid w:val="00C76C46"/>
    <w:rsid w:val="00C76CF2"/>
    <w:rsid w:val="00C76D87"/>
    <w:rsid w:val="00C76EDD"/>
    <w:rsid w:val="00C76FE1"/>
    <w:rsid w:val="00C77014"/>
    <w:rsid w:val="00C7718D"/>
    <w:rsid w:val="00C774F5"/>
    <w:rsid w:val="00C7780B"/>
    <w:rsid w:val="00C779BF"/>
    <w:rsid w:val="00C779DF"/>
    <w:rsid w:val="00C77C18"/>
    <w:rsid w:val="00C77D7E"/>
    <w:rsid w:val="00C77E09"/>
    <w:rsid w:val="00C77F90"/>
    <w:rsid w:val="00C8002F"/>
    <w:rsid w:val="00C80178"/>
    <w:rsid w:val="00C80215"/>
    <w:rsid w:val="00C803DF"/>
    <w:rsid w:val="00C80547"/>
    <w:rsid w:val="00C8055A"/>
    <w:rsid w:val="00C805A7"/>
    <w:rsid w:val="00C806FF"/>
    <w:rsid w:val="00C8073F"/>
    <w:rsid w:val="00C807B2"/>
    <w:rsid w:val="00C807D1"/>
    <w:rsid w:val="00C807DC"/>
    <w:rsid w:val="00C80A0F"/>
    <w:rsid w:val="00C80C69"/>
    <w:rsid w:val="00C80D44"/>
    <w:rsid w:val="00C80D7A"/>
    <w:rsid w:val="00C80E2A"/>
    <w:rsid w:val="00C81019"/>
    <w:rsid w:val="00C810CF"/>
    <w:rsid w:val="00C814D9"/>
    <w:rsid w:val="00C817D0"/>
    <w:rsid w:val="00C8183B"/>
    <w:rsid w:val="00C81CF9"/>
    <w:rsid w:val="00C81DEA"/>
    <w:rsid w:val="00C81FBA"/>
    <w:rsid w:val="00C82064"/>
    <w:rsid w:val="00C82097"/>
    <w:rsid w:val="00C82158"/>
    <w:rsid w:val="00C82307"/>
    <w:rsid w:val="00C82385"/>
    <w:rsid w:val="00C8246A"/>
    <w:rsid w:val="00C82625"/>
    <w:rsid w:val="00C82853"/>
    <w:rsid w:val="00C8290B"/>
    <w:rsid w:val="00C82C89"/>
    <w:rsid w:val="00C82DF4"/>
    <w:rsid w:val="00C82EA3"/>
    <w:rsid w:val="00C83143"/>
    <w:rsid w:val="00C83171"/>
    <w:rsid w:val="00C833AB"/>
    <w:rsid w:val="00C8341D"/>
    <w:rsid w:val="00C836F8"/>
    <w:rsid w:val="00C83706"/>
    <w:rsid w:val="00C837E6"/>
    <w:rsid w:val="00C83A8C"/>
    <w:rsid w:val="00C83B71"/>
    <w:rsid w:val="00C83DD5"/>
    <w:rsid w:val="00C84038"/>
    <w:rsid w:val="00C84041"/>
    <w:rsid w:val="00C84057"/>
    <w:rsid w:val="00C84081"/>
    <w:rsid w:val="00C841B0"/>
    <w:rsid w:val="00C841D1"/>
    <w:rsid w:val="00C8421D"/>
    <w:rsid w:val="00C84450"/>
    <w:rsid w:val="00C84595"/>
    <w:rsid w:val="00C8474A"/>
    <w:rsid w:val="00C84824"/>
    <w:rsid w:val="00C8499B"/>
    <w:rsid w:val="00C84A3C"/>
    <w:rsid w:val="00C84B12"/>
    <w:rsid w:val="00C84CCE"/>
    <w:rsid w:val="00C84D07"/>
    <w:rsid w:val="00C84D51"/>
    <w:rsid w:val="00C85002"/>
    <w:rsid w:val="00C85448"/>
    <w:rsid w:val="00C8556D"/>
    <w:rsid w:val="00C8561F"/>
    <w:rsid w:val="00C856AF"/>
    <w:rsid w:val="00C8570F"/>
    <w:rsid w:val="00C85747"/>
    <w:rsid w:val="00C8574F"/>
    <w:rsid w:val="00C857C4"/>
    <w:rsid w:val="00C85A8E"/>
    <w:rsid w:val="00C85ABC"/>
    <w:rsid w:val="00C85BED"/>
    <w:rsid w:val="00C85F0B"/>
    <w:rsid w:val="00C86214"/>
    <w:rsid w:val="00C86239"/>
    <w:rsid w:val="00C86298"/>
    <w:rsid w:val="00C862CB"/>
    <w:rsid w:val="00C8677B"/>
    <w:rsid w:val="00C86892"/>
    <w:rsid w:val="00C869A6"/>
    <w:rsid w:val="00C86A15"/>
    <w:rsid w:val="00C86A91"/>
    <w:rsid w:val="00C86D78"/>
    <w:rsid w:val="00C86E04"/>
    <w:rsid w:val="00C86ED5"/>
    <w:rsid w:val="00C86EDB"/>
    <w:rsid w:val="00C87078"/>
    <w:rsid w:val="00C871E2"/>
    <w:rsid w:val="00C87222"/>
    <w:rsid w:val="00C87496"/>
    <w:rsid w:val="00C878A7"/>
    <w:rsid w:val="00C87C2F"/>
    <w:rsid w:val="00C87CA0"/>
    <w:rsid w:val="00C87CDD"/>
    <w:rsid w:val="00C87DEE"/>
    <w:rsid w:val="00C87F82"/>
    <w:rsid w:val="00C90025"/>
    <w:rsid w:val="00C9013B"/>
    <w:rsid w:val="00C901E3"/>
    <w:rsid w:val="00C9029E"/>
    <w:rsid w:val="00C90306"/>
    <w:rsid w:val="00C90550"/>
    <w:rsid w:val="00C906B4"/>
    <w:rsid w:val="00C9081B"/>
    <w:rsid w:val="00C90934"/>
    <w:rsid w:val="00C90954"/>
    <w:rsid w:val="00C909E3"/>
    <w:rsid w:val="00C90B9B"/>
    <w:rsid w:val="00C90C13"/>
    <w:rsid w:val="00C90CC3"/>
    <w:rsid w:val="00C90D63"/>
    <w:rsid w:val="00C90EB9"/>
    <w:rsid w:val="00C90EE8"/>
    <w:rsid w:val="00C90EE9"/>
    <w:rsid w:val="00C9106A"/>
    <w:rsid w:val="00C91095"/>
    <w:rsid w:val="00C911BD"/>
    <w:rsid w:val="00C9121E"/>
    <w:rsid w:val="00C9123E"/>
    <w:rsid w:val="00C912CA"/>
    <w:rsid w:val="00C9145A"/>
    <w:rsid w:val="00C914FE"/>
    <w:rsid w:val="00C91A0A"/>
    <w:rsid w:val="00C91B69"/>
    <w:rsid w:val="00C91EB6"/>
    <w:rsid w:val="00C91F66"/>
    <w:rsid w:val="00C91FC6"/>
    <w:rsid w:val="00C9202E"/>
    <w:rsid w:val="00C92065"/>
    <w:rsid w:val="00C92071"/>
    <w:rsid w:val="00C9207C"/>
    <w:rsid w:val="00C92112"/>
    <w:rsid w:val="00C9244C"/>
    <w:rsid w:val="00C92536"/>
    <w:rsid w:val="00C92544"/>
    <w:rsid w:val="00C92582"/>
    <w:rsid w:val="00C925E2"/>
    <w:rsid w:val="00C9265A"/>
    <w:rsid w:val="00C926A2"/>
    <w:rsid w:val="00C926B9"/>
    <w:rsid w:val="00C92792"/>
    <w:rsid w:val="00C927D9"/>
    <w:rsid w:val="00C927DB"/>
    <w:rsid w:val="00C92C0C"/>
    <w:rsid w:val="00C92E37"/>
    <w:rsid w:val="00C92EB2"/>
    <w:rsid w:val="00C92EB8"/>
    <w:rsid w:val="00C92F0A"/>
    <w:rsid w:val="00C92F40"/>
    <w:rsid w:val="00C92FF9"/>
    <w:rsid w:val="00C9326A"/>
    <w:rsid w:val="00C93376"/>
    <w:rsid w:val="00C9354F"/>
    <w:rsid w:val="00C935B9"/>
    <w:rsid w:val="00C9360B"/>
    <w:rsid w:val="00C93811"/>
    <w:rsid w:val="00C939C0"/>
    <w:rsid w:val="00C93A7F"/>
    <w:rsid w:val="00C93C2D"/>
    <w:rsid w:val="00C93C85"/>
    <w:rsid w:val="00C93D80"/>
    <w:rsid w:val="00C93E4F"/>
    <w:rsid w:val="00C93EC1"/>
    <w:rsid w:val="00C93FAD"/>
    <w:rsid w:val="00C93FAF"/>
    <w:rsid w:val="00C9400A"/>
    <w:rsid w:val="00C940C7"/>
    <w:rsid w:val="00C94222"/>
    <w:rsid w:val="00C94269"/>
    <w:rsid w:val="00C94276"/>
    <w:rsid w:val="00C943F1"/>
    <w:rsid w:val="00C94974"/>
    <w:rsid w:val="00C94C62"/>
    <w:rsid w:val="00C94E33"/>
    <w:rsid w:val="00C94FD7"/>
    <w:rsid w:val="00C9514C"/>
    <w:rsid w:val="00C9516D"/>
    <w:rsid w:val="00C951DF"/>
    <w:rsid w:val="00C954B2"/>
    <w:rsid w:val="00C957B7"/>
    <w:rsid w:val="00C9580B"/>
    <w:rsid w:val="00C95906"/>
    <w:rsid w:val="00C95974"/>
    <w:rsid w:val="00C95A16"/>
    <w:rsid w:val="00C95A41"/>
    <w:rsid w:val="00C95CCE"/>
    <w:rsid w:val="00C95E09"/>
    <w:rsid w:val="00C95EAF"/>
    <w:rsid w:val="00C95FBB"/>
    <w:rsid w:val="00C961E4"/>
    <w:rsid w:val="00C96487"/>
    <w:rsid w:val="00C965BE"/>
    <w:rsid w:val="00C965DD"/>
    <w:rsid w:val="00C96612"/>
    <w:rsid w:val="00C96681"/>
    <w:rsid w:val="00C96704"/>
    <w:rsid w:val="00C967C1"/>
    <w:rsid w:val="00C96B15"/>
    <w:rsid w:val="00C96BD0"/>
    <w:rsid w:val="00C96D56"/>
    <w:rsid w:val="00C971E6"/>
    <w:rsid w:val="00C974CD"/>
    <w:rsid w:val="00C97ABF"/>
    <w:rsid w:val="00C97BC9"/>
    <w:rsid w:val="00C97F4B"/>
    <w:rsid w:val="00C97F8D"/>
    <w:rsid w:val="00CA0020"/>
    <w:rsid w:val="00CA0022"/>
    <w:rsid w:val="00CA00D0"/>
    <w:rsid w:val="00CA012C"/>
    <w:rsid w:val="00CA0308"/>
    <w:rsid w:val="00CA037D"/>
    <w:rsid w:val="00CA03F9"/>
    <w:rsid w:val="00CA0573"/>
    <w:rsid w:val="00CA0835"/>
    <w:rsid w:val="00CA08B3"/>
    <w:rsid w:val="00CA0960"/>
    <w:rsid w:val="00CA0AF9"/>
    <w:rsid w:val="00CA0B9D"/>
    <w:rsid w:val="00CA0C57"/>
    <w:rsid w:val="00CA0E27"/>
    <w:rsid w:val="00CA0EC0"/>
    <w:rsid w:val="00CA1101"/>
    <w:rsid w:val="00CA118A"/>
    <w:rsid w:val="00CA1206"/>
    <w:rsid w:val="00CA12B2"/>
    <w:rsid w:val="00CA135E"/>
    <w:rsid w:val="00CA1634"/>
    <w:rsid w:val="00CA180B"/>
    <w:rsid w:val="00CA1AC0"/>
    <w:rsid w:val="00CA1CB8"/>
    <w:rsid w:val="00CA1CBD"/>
    <w:rsid w:val="00CA1D26"/>
    <w:rsid w:val="00CA1D99"/>
    <w:rsid w:val="00CA1E72"/>
    <w:rsid w:val="00CA2012"/>
    <w:rsid w:val="00CA2079"/>
    <w:rsid w:val="00CA2087"/>
    <w:rsid w:val="00CA2231"/>
    <w:rsid w:val="00CA2255"/>
    <w:rsid w:val="00CA2304"/>
    <w:rsid w:val="00CA238D"/>
    <w:rsid w:val="00CA23E8"/>
    <w:rsid w:val="00CA2508"/>
    <w:rsid w:val="00CA2525"/>
    <w:rsid w:val="00CA27D5"/>
    <w:rsid w:val="00CA2A93"/>
    <w:rsid w:val="00CA2ADC"/>
    <w:rsid w:val="00CA2AFB"/>
    <w:rsid w:val="00CA2BB3"/>
    <w:rsid w:val="00CA2BC0"/>
    <w:rsid w:val="00CA2C0B"/>
    <w:rsid w:val="00CA2C54"/>
    <w:rsid w:val="00CA2CC4"/>
    <w:rsid w:val="00CA2E0A"/>
    <w:rsid w:val="00CA2ED9"/>
    <w:rsid w:val="00CA2EF2"/>
    <w:rsid w:val="00CA2FCC"/>
    <w:rsid w:val="00CA3001"/>
    <w:rsid w:val="00CA3004"/>
    <w:rsid w:val="00CA30E2"/>
    <w:rsid w:val="00CA3100"/>
    <w:rsid w:val="00CA31BD"/>
    <w:rsid w:val="00CA32D1"/>
    <w:rsid w:val="00CA34CC"/>
    <w:rsid w:val="00CA35F6"/>
    <w:rsid w:val="00CA3654"/>
    <w:rsid w:val="00CA3ACF"/>
    <w:rsid w:val="00CA3AE6"/>
    <w:rsid w:val="00CA4068"/>
    <w:rsid w:val="00CA407F"/>
    <w:rsid w:val="00CA43E2"/>
    <w:rsid w:val="00CA44C0"/>
    <w:rsid w:val="00CA44EE"/>
    <w:rsid w:val="00CA45B0"/>
    <w:rsid w:val="00CA45EC"/>
    <w:rsid w:val="00CA4633"/>
    <w:rsid w:val="00CA4839"/>
    <w:rsid w:val="00CA4847"/>
    <w:rsid w:val="00CA4855"/>
    <w:rsid w:val="00CA49E4"/>
    <w:rsid w:val="00CA4A47"/>
    <w:rsid w:val="00CA4B7D"/>
    <w:rsid w:val="00CA4CE5"/>
    <w:rsid w:val="00CA4ED2"/>
    <w:rsid w:val="00CA5055"/>
    <w:rsid w:val="00CA54C9"/>
    <w:rsid w:val="00CA55F8"/>
    <w:rsid w:val="00CA566E"/>
    <w:rsid w:val="00CA56D8"/>
    <w:rsid w:val="00CA58DC"/>
    <w:rsid w:val="00CA5901"/>
    <w:rsid w:val="00CA5A29"/>
    <w:rsid w:val="00CA5A78"/>
    <w:rsid w:val="00CA5B96"/>
    <w:rsid w:val="00CA5C54"/>
    <w:rsid w:val="00CA5E4C"/>
    <w:rsid w:val="00CA6006"/>
    <w:rsid w:val="00CA611C"/>
    <w:rsid w:val="00CA61D6"/>
    <w:rsid w:val="00CA641B"/>
    <w:rsid w:val="00CA65E7"/>
    <w:rsid w:val="00CA68EC"/>
    <w:rsid w:val="00CA68F2"/>
    <w:rsid w:val="00CA6B39"/>
    <w:rsid w:val="00CA6C29"/>
    <w:rsid w:val="00CA6E55"/>
    <w:rsid w:val="00CA6F31"/>
    <w:rsid w:val="00CA700C"/>
    <w:rsid w:val="00CA7078"/>
    <w:rsid w:val="00CA73D2"/>
    <w:rsid w:val="00CA7511"/>
    <w:rsid w:val="00CA75AB"/>
    <w:rsid w:val="00CA76DF"/>
    <w:rsid w:val="00CA7907"/>
    <w:rsid w:val="00CA7930"/>
    <w:rsid w:val="00CA7A15"/>
    <w:rsid w:val="00CA7B2E"/>
    <w:rsid w:val="00CA7BE3"/>
    <w:rsid w:val="00CA7BFA"/>
    <w:rsid w:val="00CA7D89"/>
    <w:rsid w:val="00CA7E7D"/>
    <w:rsid w:val="00CA7EAE"/>
    <w:rsid w:val="00CB005B"/>
    <w:rsid w:val="00CB00F6"/>
    <w:rsid w:val="00CB015C"/>
    <w:rsid w:val="00CB020A"/>
    <w:rsid w:val="00CB028C"/>
    <w:rsid w:val="00CB035E"/>
    <w:rsid w:val="00CB0598"/>
    <w:rsid w:val="00CB062D"/>
    <w:rsid w:val="00CB06F9"/>
    <w:rsid w:val="00CB083F"/>
    <w:rsid w:val="00CB0BDE"/>
    <w:rsid w:val="00CB0DE5"/>
    <w:rsid w:val="00CB0E5C"/>
    <w:rsid w:val="00CB10D4"/>
    <w:rsid w:val="00CB117C"/>
    <w:rsid w:val="00CB174B"/>
    <w:rsid w:val="00CB1774"/>
    <w:rsid w:val="00CB17B9"/>
    <w:rsid w:val="00CB1914"/>
    <w:rsid w:val="00CB1983"/>
    <w:rsid w:val="00CB1A01"/>
    <w:rsid w:val="00CB1A5F"/>
    <w:rsid w:val="00CB1BA6"/>
    <w:rsid w:val="00CB1E73"/>
    <w:rsid w:val="00CB1F18"/>
    <w:rsid w:val="00CB2436"/>
    <w:rsid w:val="00CB2476"/>
    <w:rsid w:val="00CB2543"/>
    <w:rsid w:val="00CB2607"/>
    <w:rsid w:val="00CB2608"/>
    <w:rsid w:val="00CB2637"/>
    <w:rsid w:val="00CB266F"/>
    <w:rsid w:val="00CB2676"/>
    <w:rsid w:val="00CB27F6"/>
    <w:rsid w:val="00CB2A3F"/>
    <w:rsid w:val="00CB2A55"/>
    <w:rsid w:val="00CB2CA1"/>
    <w:rsid w:val="00CB2CEC"/>
    <w:rsid w:val="00CB2D33"/>
    <w:rsid w:val="00CB2DEA"/>
    <w:rsid w:val="00CB2EA6"/>
    <w:rsid w:val="00CB2EDB"/>
    <w:rsid w:val="00CB2EEE"/>
    <w:rsid w:val="00CB2FC6"/>
    <w:rsid w:val="00CB2FDE"/>
    <w:rsid w:val="00CB2FF4"/>
    <w:rsid w:val="00CB3018"/>
    <w:rsid w:val="00CB302D"/>
    <w:rsid w:val="00CB30B6"/>
    <w:rsid w:val="00CB325A"/>
    <w:rsid w:val="00CB33E1"/>
    <w:rsid w:val="00CB3495"/>
    <w:rsid w:val="00CB367C"/>
    <w:rsid w:val="00CB3710"/>
    <w:rsid w:val="00CB379E"/>
    <w:rsid w:val="00CB37F6"/>
    <w:rsid w:val="00CB3822"/>
    <w:rsid w:val="00CB3834"/>
    <w:rsid w:val="00CB385F"/>
    <w:rsid w:val="00CB3922"/>
    <w:rsid w:val="00CB396C"/>
    <w:rsid w:val="00CB3CA5"/>
    <w:rsid w:val="00CB3CDB"/>
    <w:rsid w:val="00CB3D16"/>
    <w:rsid w:val="00CB3DAD"/>
    <w:rsid w:val="00CB3E7D"/>
    <w:rsid w:val="00CB3F0E"/>
    <w:rsid w:val="00CB4021"/>
    <w:rsid w:val="00CB4237"/>
    <w:rsid w:val="00CB42DA"/>
    <w:rsid w:val="00CB43CD"/>
    <w:rsid w:val="00CB4421"/>
    <w:rsid w:val="00CB453B"/>
    <w:rsid w:val="00CB4734"/>
    <w:rsid w:val="00CB47DF"/>
    <w:rsid w:val="00CB4817"/>
    <w:rsid w:val="00CB4924"/>
    <w:rsid w:val="00CB4959"/>
    <w:rsid w:val="00CB4C32"/>
    <w:rsid w:val="00CB4F68"/>
    <w:rsid w:val="00CB5065"/>
    <w:rsid w:val="00CB5390"/>
    <w:rsid w:val="00CB5407"/>
    <w:rsid w:val="00CB5435"/>
    <w:rsid w:val="00CB544F"/>
    <w:rsid w:val="00CB54F9"/>
    <w:rsid w:val="00CB5519"/>
    <w:rsid w:val="00CB56FC"/>
    <w:rsid w:val="00CB571E"/>
    <w:rsid w:val="00CB58D4"/>
    <w:rsid w:val="00CB59C4"/>
    <w:rsid w:val="00CB5B69"/>
    <w:rsid w:val="00CB5BDB"/>
    <w:rsid w:val="00CB5EDF"/>
    <w:rsid w:val="00CB6018"/>
    <w:rsid w:val="00CB6025"/>
    <w:rsid w:val="00CB6105"/>
    <w:rsid w:val="00CB6337"/>
    <w:rsid w:val="00CB6388"/>
    <w:rsid w:val="00CB6420"/>
    <w:rsid w:val="00CB6575"/>
    <w:rsid w:val="00CB676A"/>
    <w:rsid w:val="00CB69B9"/>
    <w:rsid w:val="00CB69C9"/>
    <w:rsid w:val="00CB69E1"/>
    <w:rsid w:val="00CB6A0A"/>
    <w:rsid w:val="00CB6A32"/>
    <w:rsid w:val="00CB6AAD"/>
    <w:rsid w:val="00CB6B36"/>
    <w:rsid w:val="00CB6B5A"/>
    <w:rsid w:val="00CB6B5E"/>
    <w:rsid w:val="00CB6B90"/>
    <w:rsid w:val="00CB6BEF"/>
    <w:rsid w:val="00CB6C48"/>
    <w:rsid w:val="00CB6D59"/>
    <w:rsid w:val="00CB6F05"/>
    <w:rsid w:val="00CB724D"/>
    <w:rsid w:val="00CB727B"/>
    <w:rsid w:val="00CB742D"/>
    <w:rsid w:val="00CB7522"/>
    <w:rsid w:val="00CB752B"/>
    <w:rsid w:val="00CB76E4"/>
    <w:rsid w:val="00CB771A"/>
    <w:rsid w:val="00CB77C0"/>
    <w:rsid w:val="00CB78F3"/>
    <w:rsid w:val="00CB7C69"/>
    <w:rsid w:val="00CB7D2A"/>
    <w:rsid w:val="00CB7D6D"/>
    <w:rsid w:val="00CC0071"/>
    <w:rsid w:val="00CC033B"/>
    <w:rsid w:val="00CC0544"/>
    <w:rsid w:val="00CC05A1"/>
    <w:rsid w:val="00CC078E"/>
    <w:rsid w:val="00CC07D9"/>
    <w:rsid w:val="00CC0898"/>
    <w:rsid w:val="00CC0E2D"/>
    <w:rsid w:val="00CC0E71"/>
    <w:rsid w:val="00CC0E7F"/>
    <w:rsid w:val="00CC0F5D"/>
    <w:rsid w:val="00CC0FB7"/>
    <w:rsid w:val="00CC1108"/>
    <w:rsid w:val="00CC1230"/>
    <w:rsid w:val="00CC1444"/>
    <w:rsid w:val="00CC1602"/>
    <w:rsid w:val="00CC17EA"/>
    <w:rsid w:val="00CC18C4"/>
    <w:rsid w:val="00CC18EA"/>
    <w:rsid w:val="00CC1A17"/>
    <w:rsid w:val="00CC1B75"/>
    <w:rsid w:val="00CC1D4D"/>
    <w:rsid w:val="00CC1EB5"/>
    <w:rsid w:val="00CC2023"/>
    <w:rsid w:val="00CC203D"/>
    <w:rsid w:val="00CC23BC"/>
    <w:rsid w:val="00CC2443"/>
    <w:rsid w:val="00CC2829"/>
    <w:rsid w:val="00CC2850"/>
    <w:rsid w:val="00CC2910"/>
    <w:rsid w:val="00CC2915"/>
    <w:rsid w:val="00CC291D"/>
    <w:rsid w:val="00CC2B0A"/>
    <w:rsid w:val="00CC2B86"/>
    <w:rsid w:val="00CC2CF2"/>
    <w:rsid w:val="00CC2D84"/>
    <w:rsid w:val="00CC2D9E"/>
    <w:rsid w:val="00CC2E32"/>
    <w:rsid w:val="00CC2E61"/>
    <w:rsid w:val="00CC2F31"/>
    <w:rsid w:val="00CC2F8A"/>
    <w:rsid w:val="00CC3005"/>
    <w:rsid w:val="00CC3392"/>
    <w:rsid w:val="00CC3413"/>
    <w:rsid w:val="00CC346E"/>
    <w:rsid w:val="00CC36EA"/>
    <w:rsid w:val="00CC37C3"/>
    <w:rsid w:val="00CC3837"/>
    <w:rsid w:val="00CC388E"/>
    <w:rsid w:val="00CC3B48"/>
    <w:rsid w:val="00CC3C2E"/>
    <w:rsid w:val="00CC3D27"/>
    <w:rsid w:val="00CC3F5B"/>
    <w:rsid w:val="00CC4046"/>
    <w:rsid w:val="00CC404D"/>
    <w:rsid w:val="00CC413A"/>
    <w:rsid w:val="00CC4214"/>
    <w:rsid w:val="00CC433E"/>
    <w:rsid w:val="00CC43DB"/>
    <w:rsid w:val="00CC4486"/>
    <w:rsid w:val="00CC4598"/>
    <w:rsid w:val="00CC467F"/>
    <w:rsid w:val="00CC4811"/>
    <w:rsid w:val="00CC4939"/>
    <w:rsid w:val="00CC4981"/>
    <w:rsid w:val="00CC4A45"/>
    <w:rsid w:val="00CC4A99"/>
    <w:rsid w:val="00CC4B19"/>
    <w:rsid w:val="00CC4C85"/>
    <w:rsid w:val="00CC4DF1"/>
    <w:rsid w:val="00CC4FBC"/>
    <w:rsid w:val="00CC5093"/>
    <w:rsid w:val="00CC52F5"/>
    <w:rsid w:val="00CC55A2"/>
    <w:rsid w:val="00CC562F"/>
    <w:rsid w:val="00CC5675"/>
    <w:rsid w:val="00CC56BF"/>
    <w:rsid w:val="00CC56F7"/>
    <w:rsid w:val="00CC5953"/>
    <w:rsid w:val="00CC5A3C"/>
    <w:rsid w:val="00CC5A68"/>
    <w:rsid w:val="00CC5AF3"/>
    <w:rsid w:val="00CC5CC3"/>
    <w:rsid w:val="00CC5DCA"/>
    <w:rsid w:val="00CC5F02"/>
    <w:rsid w:val="00CC6148"/>
    <w:rsid w:val="00CC61F4"/>
    <w:rsid w:val="00CC623A"/>
    <w:rsid w:val="00CC637B"/>
    <w:rsid w:val="00CC6405"/>
    <w:rsid w:val="00CC658D"/>
    <w:rsid w:val="00CC65E4"/>
    <w:rsid w:val="00CC6984"/>
    <w:rsid w:val="00CC6CEF"/>
    <w:rsid w:val="00CC6D4E"/>
    <w:rsid w:val="00CC6DDE"/>
    <w:rsid w:val="00CC6E38"/>
    <w:rsid w:val="00CC71EE"/>
    <w:rsid w:val="00CC72B7"/>
    <w:rsid w:val="00CC736B"/>
    <w:rsid w:val="00CC7572"/>
    <w:rsid w:val="00CC76CD"/>
    <w:rsid w:val="00CC771A"/>
    <w:rsid w:val="00CC7BB1"/>
    <w:rsid w:val="00CD0729"/>
    <w:rsid w:val="00CD0B0C"/>
    <w:rsid w:val="00CD0B68"/>
    <w:rsid w:val="00CD0E2D"/>
    <w:rsid w:val="00CD0E49"/>
    <w:rsid w:val="00CD0E94"/>
    <w:rsid w:val="00CD0F19"/>
    <w:rsid w:val="00CD1060"/>
    <w:rsid w:val="00CD1216"/>
    <w:rsid w:val="00CD1498"/>
    <w:rsid w:val="00CD1528"/>
    <w:rsid w:val="00CD1622"/>
    <w:rsid w:val="00CD1878"/>
    <w:rsid w:val="00CD1DCD"/>
    <w:rsid w:val="00CD1E8D"/>
    <w:rsid w:val="00CD1EBA"/>
    <w:rsid w:val="00CD1F88"/>
    <w:rsid w:val="00CD2465"/>
    <w:rsid w:val="00CD287A"/>
    <w:rsid w:val="00CD2AA9"/>
    <w:rsid w:val="00CD2CDC"/>
    <w:rsid w:val="00CD2ECF"/>
    <w:rsid w:val="00CD2F1A"/>
    <w:rsid w:val="00CD2F26"/>
    <w:rsid w:val="00CD2F28"/>
    <w:rsid w:val="00CD30B8"/>
    <w:rsid w:val="00CD3109"/>
    <w:rsid w:val="00CD31B6"/>
    <w:rsid w:val="00CD367A"/>
    <w:rsid w:val="00CD368D"/>
    <w:rsid w:val="00CD3EE5"/>
    <w:rsid w:val="00CD3F03"/>
    <w:rsid w:val="00CD40BC"/>
    <w:rsid w:val="00CD42EB"/>
    <w:rsid w:val="00CD44A5"/>
    <w:rsid w:val="00CD45FE"/>
    <w:rsid w:val="00CD47B7"/>
    <w:rsid w:val="00CD4A4E"/>
    <w:rsid w:val="00CD4A97"/>
    <w:rsid w:val="00CD4AC2"/>
    <w:rsid w:val="00CD4E13"/>
    <w:rsid w:val="00CD4E1F"/>
    <w:rsid w:val="00CD4E66"/>
    <w:rsid w:val="00CD4EFE"/>
    <w:rsid w:val="00CD4FD6"/>
    <w:rsid w:val="00CD510A"/>
    <w:rsid w:val="00CD5114"/>
    <w:rsid w:val="00CD518A"/>
    <w:rsid w:val="00CD51B5"/>
    <w:rsid w:val="00CD54BA"/>
    <w:rsid w:val="00CD5602"/>
    <w:rsid w:val="00CD5773"/>
    <w:rsid w:val="00CD57E0"/>
    <w:rsid w:val="00CD590F"/>
    <w:rsid w:val="00CD5A63"/>
    <w:rsid w:val="00CD5B8B"/>
    <w:rsid w:val="00CD5C8B"/>
    <w:rsid w:val="00CD5CA0"/>
    <w:rsid w:val="00CD5F8F"/>
    <w:rsid w:val="00CD5F9D"/>
    <w:rsid w:val="00CD6028"/>
    <w:rsid w:val="00CD604A"/>
    <w:rsid w:val="00CD62FC"/>
    <w:rsid w:val="00CD633E"/>
    <w:rsid w:val="00CD63E5"/>
    <w:rsid w:val="00CD640F"/>
    <w:rsid w:val="00CD6609"/>
    <w:rsid w:val="00CD6871"/>
    <w:rsid w:val="00CD69E3"/>
    <w:rsid w:val="00CD6AE3"/>
    <w:rsid w:val="00CD6EB1"/>
    <w:rsid w:val="00CD6EFB"/>
    <w:rsid w:val="00CD6F6B"/>
    <w:rsid w:val="00CD71B0"/>
    <w:rsid w:val="00CD73F0"/>
    <w:rsid w:val="00CD7595"/>
    <w:rsid w:val="00CD75B9"/>
    <w:rsid w:val="00CD7629"/>
    <w:rsid w:val="00CD7961"/>
    <w:rsid w:val="00CD7AE6"/>
    <w:rsid w:val="00CD7C0C"/>
    <w:rsid w:val="00CD7DA5"/>
    <w:rsid w:val="00CD7DAF"/>
    <w:rsid w:val="00CD7F22"/>
    <w:rsid w:val="00CE0052"/>
    <w:rsid w:val="00CE018E"/>
    <w:rsid w:val="00CE02A6"/>
    <w:rsid w:val="00CE03AB"/>
    <w:rsid w:val="00CE04E3"/>
    <w:rsid w:val="00CE04EC"/>
    <w:rsid w:val="00CE0633"/>
    <w:rsid w:val="00CE077B"/>
    <w:rsid w:val="00CE085D"/>
    <w:rsid w:val="00CE0A03"/>
    <w:rsid w:val="00CE0A29"/>
    <w:rsid w:val="00CE0A7D"/>
    <w:rsid w:val="00CE0D21"/>
    <w:rsid w:val="00CE0D43"/>
    <w:rsid w:val="00CE0DC8"/>
    <w:rsid w:val="00CE0E16"/>
    <w:rsid w:val="00CE15B5"/>
    <w:rsid w:val="00CE1733"/>
    <w:rsid w:val="00CE1739"/>
    <w:rsid w:val="00CE1925"/>
    <w:rsid w:val="00CE1A07"/>
    <w:rsid w:val="00CE1BA9"/>
    <w:rsid w:val="00CE1CA1"/>
    <w:rsid w:val="00CE1D30"/>
    <w:rsid w:val="00CE2077"/>
    <w:rsid w:val="00CE20F8"/>
    <w:rsid w:val="00CE2440"/>
    <w:rsid w:val="00CE2599"/>
    <w:rsid w:val="00CE276D"/>
    <w:rsid w:val="00CE27D5"/>
    <w:rsid w:val="00CE287E"/>
    <w:rsid w:val="00CE2910"/>
    <w:rsid w:val="00CE29DE"/>
    <w:rsid w:val="00CE2E99"/>
    <w:rsid w:val="00CE2F4B"/>
    <w:rsid w:val="00CE2F6B"/>
    <w:rsid w:val="00CE2F8A"/>
    <w:rsid w:val="00CE2FE9"/>
    <w:rsid w:val="00CE30B5"/>
    <w:rsid w:val="00CE3245"/>
    <w:rsid w:val="00CE3643"/>
    <w:rsid w:val="00CE36B8"/>
    <w:rsid w:val="00CE3A7B"/>
    <w:rsid w:val="00CE3A85"/>
    <w:rsid w:val="00CE3A96"/>
    <w:rsid w:val="00CE3B40"/>
    <w:rsid w:val="00CE3BDE"/>
    <w:rsid w:val="00CE3ED1"/>
    <w:rsid w:val="00CE405A"/>
    <w:rsid w:val="00CE40C7"/>
    <w:rsid w:val="00CE4120"/>
    <w:rsid w:val="00CE4165"/>
    <w:rsid w:val="00CE4319"/>
    <w:rsid w:val="00CE4452"/>
    <w:rsid w:val="00CE4730"/>
    <w:rsid w:val="00CE4805"/>
    <w:rsid w:val="00CE4A58"/>
    <w:rsid w:val="00CE4C31"/>
    <w:rsid w:val="00CE4CFC"/>
    <w:rsid w:val="00CE4D1A"/>
    <w:rsid w:val="00CE4D7F"/>
    <w:rsid w:val="00CE4EAE"/>
    <w:rsid w:val="00CE4F92"/>
    <w:rsid w:val="00CE4FC5"/>
    <w:rsid w:val="00CE550E"/>
    <w:rsid w:val="00CE5714"/>
    <w:rsid w:val="00CE5795"/>
    <w:rsid w:val="00CE58DD"/>
    <w:rsid w:val="00CE59E8"/>
    <w:rsid w:val="00CE5A3E"/>
    <w:rsid w:val="00CE5AC0"/>
    <w:rsid w:val="00CE5F25"/>
    <w:rsid w:val="00CE604F"/>
    <w:rsid w:val="00CE614D"/>
    <w:rsid w:val="00CE635D"/>
    <w:rsid w:val="00CE6422"/>
    <w:rsid w:val="00CE6532"/>
    <w:rsid w:val="00CE6611"/>
    <w:rsid w:val="00CE66BF"/>
    <w:rsid w:val="00CE6701"/>
    <w:rsid w:val="00CE67E3"/>
    <w:rsid w:val="00CE6A1D"/>
    <w:rsid w:val="00CE6A81"/>
    <w:rsid w:val="00CE6AA1"/>
    <w:rsid w:val="00CE7322"/>
    <w:rsid w:val="00CE73E6"/>
    <w:rsid w:val="00CE76AE"/>
    <w:rsid w:val="00CE76F0"/>
    <w:rsid w:val="00CE777B"/>
    <w:rsid w:val="00CE781D"/>
    <w:rsid w:val="00CE79BA"/>
    <w:rsid w:val="00CE7D77"/>
    <w:rsid w:val="00CE7F02"/>
    <w:rsid w:val="00CF006B"/>
    <w:rsid w:val="00CF01F4"/>
    <w:rsid w:val="00CF03C4"/>
    <w:rsid w:val="00CF041B"/>
    <w:rsid w:val="00CF0481"/>
    <w:rsid w:val="00CF0763"/>
    <w:rsid w:val="00CF07C1"/>
    <w:rsid w:val="00CF07FD"/>
    <w:rsid w:val="00CF081F"/>
    <w:rsid w:val="00CF083B"/>
    <w:rsid w:val="00CF0A6E"/>
    <w:rsid w:val="00CF0B69"/>
    <w:rsid w:val="00CF0B79"/>
    <w:rsid w:val="00CF0EAF"/>
    <w:rsid w:val="00CF0FD6"/>
    <w:rsid w:val="00CF124C"/>
    <w:rsid w:val="00CF1281"/>
    <w:rsid w:val="00CF1457"/>
    <w:rsid w:val="00CF1595"/>
    <w:rsid w:val="00CF159C"/>
    <w:rsid w:val="00CF17BB"/>
    <w:rsid w:val="00CF17E9"/>
    <w:rsid w:val="00CF1873"/>
    <w:rsid w:val="00CF1881"/>
    <w:rsid w:val="00CF18E7"/>
    <w:rsid w:val="00CF1983"/>
    <w:rsid w:val="00CF19E5"/>
    <w:rsid w:val="00CF1A93"/>
    <w:rsid w:val="00CF2039"/>
    <w:rsid w:val="00CF205E"/>
    <w:rsid w:val="00CF24E8"/>
    <w:rsid w:val="00CF2501"/>
    <w:rsid w:val="00CF2A6E"/>
    <w:rsid w:val="00CF2B01"/>
    <w:rsid w:val="00CF2BBC"/>
    <w:rsid w:val="00CF2DD1"/>
    <w:rsid w:val="00CF2F15"/>
    <w:rsid w:val="00CF3197"/>
    <w:rsid w:val="00CF31C1"/>
    <w:rsid w:val="00CF322E"/>
    <w:rsid w:val="00CF3603"/>
    <w:rsid w:val="00CF3A4B"/>
    <w:rsid w:val="00CF3B56"/>
    <w:rsid w:val="00CF3B7C"/>
    <w:rsid w:val="00CF3C27"/>
    <w:rsid w:val="00CF3CEB"/>
    <w:rsid w:val="00CF3E56"/>
    <w:rsid w:val="00CF3EC8"/>
    <w:rsid w:val="00CF3ECC"/>
    <w:rsid w:val="00CF3FE9"/>
    <w:rsid w:val="00CF4083"/>
    <w:rsid w:val="00CF40AD"/>
    <w:rsid w:val="00CF40BC"/>
    <w:rsid w:val="00CF41B4"/>
    <w:rsid w:val="00CF41DC"/>
    <w:rsid w:val="00CF42A0"/>
    <w:rsid w:val="00CF446D"/>
    <w:rsid w:val="00CF4584"/>
    <w:rsid w:val="00CF469C"/>
    <w:rsid w:val="00CF46CA"/>
    <w:rsid w:val="00CF4879"/>
    <w:rsid w:val="00CF4A59"/>
    <w:rsid w:val="00CF4A9B"/>
    <w:rsid w:val="00CF4B3B"/>
    <w:rsid w:val="00CF4B48"/>
    <w:rsid w:val="00CF4C94"/>
    <w:rsid w:val="00CF4D25"/>
    <w:rsid w:val="00CF5002"/>
    <w:rsid w:val="00CF5058"/>
    <w:rsid w:val="00CF5063"/>
    <w:rsid w:val="00CF521B"/>
    <w:rsid w:val="00CF5239"/>
    <w:rsid w:val="00CF5327"/>
    <w:rsid w:val="00CF5328"/>
    <w:rsid w:val="00CF5353"/>
    <w:rsid w:val="00CF558A"/>
    <w:rsid w:val="00CF581E"/>
    <w:rsid w:val="00CF5A08"/>
    <w:rsid w:val="00CF5A32"/>
    <w:rsid w:val="00CF5A6E"/>
    <w:rsid w:val="00CF5A76"/>
    <w:rsid w:val="00CF5A9F"/>
    <w:rsid w:val="00CF5AEE"/>
    <w:rsid w:val="00CF5C2A"/>
    <w:rsid w:val="00CF5C40"/>
    <w:rsid w:val="00CF5E9D"/>
    <w:rsid w:val="00CF5EA8"/>
    <w:rsid w:val="00CF5F74"/>
    <w:rsid w:val="00CF5FD5"/>
    <w:rsid w:val="00CF601F"/>
    <w:rsid w:val="00CF60E6"/>
    <w:rsid w:val="00CF62AD"/>
    <w:rsid w:val="00CF62C9"/>
    <w:rsid w:val="00CF6678"/>
    <w:rsid w:val="00CF677D"/>
    <w:rsid w:val="00CF67E0"/>
    <w:rsid w:val="00CF68AD"/>
    <w:rsid w:val="00CF69AC"/>
    <w:rsid w:val="00CF6D0E"/>
    <w:rsid w:val="00CF6E32"/>
    <w:rsid w:val="00CF6F5B"/>
    <w:rsid w:val="00CF6F62"/>
    <w:rsid w:val="00CF7000"/>
    <w:rsid w:val="00CF70CE"/>
    <w:rsid w:val="00CF7592"/>
    <w:rsid w:val="00CF769E"/>
    <w:rsid w:val="00CF7851"/>
    <w:rsid w:val="00CF796B"/>
    <w:rsid w:val="00CF7C5B"/>
    <w:rsid w:val="00CF7C6B"/>
    <w:rsid w:val="00CF7D7C"/>
    <w:rsid w:val="00CF7E11"/>
    <w:rsid w:val="00D00108"/>
    <w:rsid w:val="00D00128"/>
    <w:rsid w:val="00D001FE"/>
    <w:rsid w:val="00D002AC"/>
    <w:rsid w:val="00D002DD"/>
    <w:rsid w:val="00D003AC"/>
    <w:rsid w:val="00D0059C"/>
    <w:rsid w:val="00D0062F"/>
    <w:rsid w:val="00D00763"/>
    <w:rsid w:val="00D008B3"/>
    <w:rsid w:val="00D00916"/>
    <w:rsid w:val="00D0092B"/>
    <w:rsid w:val="00D00B67"/>
    <w:rsid w:val="00D00D42"/>
    <w:rsid w:val="00D00F5E"/>
    <w:rsid w:val="00D01039"/>
    <w:rsid w:val="00D010C7"/>
    <w:rsid w:val="00D0129E"/>
    <w:rsid w:val="00D013CA"/>
    <w:rsid w:val="00D01544"/>
    <w:rsid w:val="00D015C6"/>
    <w:rsid w:val="00D01673"/>
    <w:rsid w:val="00D016B4"/>
    <w:rsid w:val="00D0184E"/>
    <w:rsid w:val="00D018C2"/>
    <w:rsid w:val="00D01BB9"/>
    <w:rsid w:val="00D0241E"/>
    <w:rsid w:val="00D02547"/>
    <w:rsid w:val="00D025AA"/>
    <w:rsid w:val="00D02688"/>
    <w:rsid w:val="00D026A8"/>
    <w:rsid w:val="00D02786"/>
    <w:rsid w:val="00D02895"/>
    <w:rsid w:val="00D0291F"/>
    <w:rsid w:val="00D02C18"/>
    <w:rsid w:val="00D02CEB"/>
    <w:rsid w:val="00D02D92"/>
    <w:rsid w:val="00D02F95"/>
    <w:rsid w:val="00D03156"/>
    <w:rsid w:val="00D031CA"/>
    <w:rsid w:val="00D03853"/>
    <w:rsid w:val="00D03B1F"/>
    <w:rsid w:val="00D03C05"/>
    <w:rsid w:val="00D03EBD"/>
    <w:rsid w:val="00D03FB8"/>
    <w:rsid w:val="00D040BE"/>
    <w:rsid w:val="00D04396"/>
    <w:rsid w:val="00D0441A"/>
    <w:rsid w:val="00D0444E"/>
    <w:rsid w:val="00D0450A"/>
    <w:rsid w:val="00D045E4"/>
    <w:rsid w:val="00D046F4"/>
    <w:rsid w:val="00D048E3"/>
    <w:rsid w:val="00D04A09"/>
    <w:rsid w:val="00D04AF8"/>
    <w:rsid w:val="00D04CE3"/>
    <w:rsid w:val="00D04DF2"/>
    <w:rsid w:val="00D04EF6"/>
    <w:rsid w:val="00D04FFF"/>
    <w:rsid w:val="00D05282"/>
    <w:rsid w:val="00D053EF"/>
    <w:rsid w:val="00D05526"/>
    <w:rsid w:val="00D056D7"/>
    <w:rsid w:val="00D0588F"/>
    <w:rsid w:val="00D058EE"/>
    <w:rsid w:val="00D05A7F"/>
    <w:rsid w:val="00D05AD8"/>
    <w:rsid w:val="00D05B1D"/>
    <w:rsid w:val="00D05BDA"/>
    <w:rsid w:val="00D05C2D"/>
    <w:rsid w:val="00D05DFD"/>
    <w:rsid w:val="00D0612B"/>
    <w:rsid w:val="00D06148"/>
    <w:rsid w:val="00D06832"/>
    <w:rsid w:val="00D06BAE"/>
    <w:rsid w:val="00D06DB7"/>
    <w:rsid w:val="00D06E9F"/>
    <w:rsid w:val="00D07202"/>
    <w:rsid w:val="00D07281"/>
    <w:rsid w:val="00D07299"/>
    <w:rsid w:val="00D0749D"/>
    <w:rsid w:val="00D074D3"/>
    <w:rsid w:val="00D0762F"/>
    <w:rsid w:val="00D07798"/>
    <w:rsid w:val="00D0787B"/>
    <w:rsid w:val="00D078B8"/>
    <w:rsid w:val="00D078CF"/>
    <w:rsid w:val="00D078D7"/>
    <w:rsid w:val="00D07922"/>
    <w:rsid w:val="00D07936"/>
    <w:rsid w:val="00D079E7"/>
    <w:rsid w:val="00D07BBE"/>
    <w:rsid w:val="00D07CCB"/>
    <w:rsid w:val="00D07D4B"/>
    <w:rsid w:val="00D07D70"/>
    <w:rsid w:val="00D07FC0"/>
    <w:rsid w:val="00D1021F"/>
    <w:rsid w:val="00D1026D"/>
    <w:rsid w:val="00D10424"/>
    <w:rsid w:val="00D1045B"/>
    <w:rsid w:val="00D104BE"/>
    <w:rsid w:val="00D1050E"/>
    <w:rsid w:val="00D105AC"/>
    <w:rsid w:val="00D10647"/>
    <w:rsid w:val="00D1071E"/>
    <w:rsid w:val="00D1097F"/>
    <w:rsid w:val="00D10BCF"/>
    <w:rsid w:val="00D10BE7"/>
    <w:rsid w:val="00D10C94"/>
    <w:rsid w:val="00D10E89"/>
    <w:rsid w:val="00D10EC9"/>
    <w:rsid w:val="00D11161"/>
    <w:rsid w:val="00D11379"/>
    <w:rsid w:val="00D11433"/>
    <w:rsid w:val="00D11436"/>
    <w:rsid w:val="00D114B6"/>
    <w:rsid w:val="00D116DF"/>
    <w:rsid w:val="00D119C8"/>
    <w:rsid w:val="00D11AB0"/>
    <w:rsid w:val="00D11B5B"/>
    <w:rsid w:val="00D11C5B"/>
    <w:rsid w:val="00D11E43"/>
    <w:rsid w:val="00D11F58"/>
    <w:rsid w:val="00D1201C"/>
    <w:rsid w:val="00D12039"/>
    <w:rsid w:val="00D12325"/>
    <w:rsid w:val="00D12405"/>
    <w:rsid w:val="00D12468"/>
    <w:rsid w:val="00D124F9"/>
    <w:rsid w:val="00D1257B"/>
    <w:rsid w:val="00D1284B"/>
    <w:rsid w:val="00D12B98"/>
    <w:rsid w:val="00D12CDC"/>
    <w:rsid w:val="00D13068"/>
    <w:rsid w:val="00D138A7"/>
    <w:rsid w:val="00D1397E"/>
    <w:rsid w:val="00D13DCD"/>
    <w:rsid w:val="00D13E80"/>
    <w:rsid w:val="00D13EB5"/>
    <w:rsid w:val="00D1412C"/>
    <w:rsid w:val="00D1421B"/>
    <w:rsid w:val="00D142E4"/>
    <w:rsid w:val="00D14511"/>
    <w:rsid w:val="00D14517"/>
    <w:rsid w:val="00D145C4"/>
    <w:rsid w:val="00D14644"/>
    <w:rsid w:val="00D1468D"/>
    <w:rsid w:val="00D14775"/>
    <w:rsid w:val="00D1489A"/>
    <w:rsid w:val="00D149D1"/>
    <w:rsid w:val="00D14ACF"/>
    <w:rsid w:val="00D14BB9"/>
    <w:rsid w:val="00D14BCA"/>
    <w:rsid w:val="00D14CA5"/>
    <w:rsid w:val="00D14D23"/>
    <w:rsid w:val="00D14E74"/>
    <w:rsid w:val="00D150C6"/>
    <w:rsid w:val="00D150CF"/>
    <w:rsid w:val="00D15231"/>
    <w:rsid w:val="00D153C1"/>
    <w:rsid w:val="00D1572F"/>
    <w:rsid w:val="00D157E4"/>
    <w:rsid w:val="00D15935"/>
    <w:rsid w:val="00D159ED"/>
    <w:rsid w:val="00D15AB1"/>
    <w:rsid w:val="00D15AD1"/>
    <w:rsid w:val="00D15B34"/>
    <w:rsid w:val="00D15CE5"/>
    <w:rsid w:val="00D15D63"/>
    <w:rsid w:val="00D15F60"/>
    <w:rsid w:val="00D15F64"/>
    <w:rsid w:val="00D16028"/>
    <w:rsid w:val="00D1628D"/>
    <w:rsid w:val="00D16350"/>
    <w:rsid w:val="00D165E2"/>
    <w:rsid w:val="00D16610"/>
    <w:rsid w:val="00D16817"/>
    <w:rsid w:val="00D16CAC"/>
    <w:rsid w:val="00D16F91"/>
    <w:rsid w:val="00D17041"/>
    <w:rsid w:val="00D17056"/>
    <w:rsid w:val="00D17209"/>
    <w:rsid w:val="00D17229"/>
    <w:rsid w:val="00D17353"/>
    <w:rsid w:val="00D17358"/>
    <w:rsid w:val="00D1736C"/>
    <w:rsid w:val="00D17415"/>
    <w:rsid w:val="00D17771"/>
    <w:rsid w:val="00D17918"/>
    <w:rsid w:val="00D179D9"/>
    <w:rsid w:val="00D179DB"/>
    <w:rsid w:val="00D17ABC"/>
    <w:rsid w:val="00D17D72"/>
    <w:rsid w:val="00D17D8F"/>
    <w:rsid w:val="00D17DDB"/>
    <w:rsid w:val="00D17E02"/>
    <w:rsid w:val="00D17EC1"/>
    <w:rsid w:val="00D17F17"/>
    <w:rsid w:val="00D2017A"/>
    <w:rsid w:val="00D2020C"/>
    <w:rsid w:val="00D20217"/>
    <w:rsid w:val="00D206C8"/>
    <w:rsid w:val="00D20722"/>
    <w:rsid w:val="00D20A45"/>
    <w:rsid w:val="00D20BDE"/>
    <w:rsid w:val="00D20D17"/>
    <w:rsid w:val="00D20F32"/>
    <w:rsid w:val="00D21104"/>
    <w:rsid w:val="00D211C1"/>
    <w:rsid w:val="00D211D5"/>
    <w:rsid w:val="00D212EA"/>
    <w:rsid w:val="00D213BE"/>
    <w:rsid w:val="00D213E3"/>
    <w:rsid w:val="00D217B6"/>
    <w:rsid w:val="00D2184C"/>
    <w:rsid w:val="00D2188E"/>
    <w:rsid w:val="00D2193C"/>
    <w:rsid w:val="00D21DBB"/>
    <w:rsid w:val="00D21EE0"/>
    <w:rsid w:val="00D22024"/>
    <w:rsid w:val="00D220BF"/>
    <w:rsid w:val="00D220EB"/>
    <w:rsid w:val="00D221D0"/>
    <w:rsid w:val="00D22246"/>
    <w:rsid w:val="00D22377"/>
    <w:rsid w:val="00D2247B"/>
    <w:rsid w:val="00D22486"/>
    <w:rsid w:val="00D2251C"/>
    <w:rsid w:val="00D22556"/>
    <w:rsid w:val="00D226C5"/>
    <w:rsid w:val="00D226E0"/>
    <w:rsid w:val="00D22736"/>
    <w:rsid w:val="00D22990"/>
    <w:rsid w:val="00D22F86"/>
    <w:rsid w:val="00D22FDE"/>
    <w:rsid w:val="00D22FFB"/>
    <w:rsid w:val="00D23307"/>
    <w:rsid w:val="00D23731"/>
    <w:rsid w:val="00D2381C"/>
    <w:rsid w:val="00D238AC"/>
    <w:rsid w:val="00D23985"/>
    <w:rsid w:val="00D23B9E"/>
    <w:rsid w:val="00D23BFE"/>
    <w:rsid w:val="00D23E76"/>
    <w:rsid w:val="00D23E8B"/>
    <w:rsid w:val="00D23EC7"/>
    <w:rsid w:val="00D23F6F"/>
    <w:rsid w:val="00D24085"/>
    <w:rsid w:val="00D241E2"/>
    <w:rsid w:val="00D242AC"/>
    <w:rsid w:val="00D246D1"/>
    <w:rsid w:val="00D24711"/>
    <w:rsid w:val="00D2472C"/>
    <w:rsid w:val="00D247B1"/>
    <w:rsid w:val="00D247D4"/>
    <w:rsid w:val="00D249F3"/>
    <w:rsid w:val="00D24A02"/>
    <w:rsid w:val="00D24CA5"/>
    <w:rsid w:val="00D24D9D"/>
    <w:rsid w:val="00D24E59"/>
    <w:rsid w:val="00D24EC5"/>
    <w:rsid w:val="00D24ED5"/>
    <w:rsid w:val="00D24F27"/>
    <w:rsid w:val="00D24F67"/>
    <w:rsid w:val="00D24FC1"/>
    <w:rsid w:val="00D25129"/>
    <w:rsid w:val="00D25133"/>
    <w:rsid w:val="00D252CA"/>
    <w:rsid w:val="00D254AF"/>
    <w:rsid w:val="00D254BD"/>
    <w:rsid w:val="00D254EF"/>
    <w:rsid w:val="00D256E8"/>
    <w:rsid w:val="00D25799"/>
    <w:rsid w:val="00D25816"/>
    <w:rsid w:val="00D25999"/>
    <w:rsid w:val="00D259C6"/>
    <w:rsid w:val="00D25BCF"/>
    <w:rsid w:val="00D25C4F"/>
    <w:rsid w:val="00D25F04"/>
    <w:rsid w:val="00D26082"/>
    <w:rsid w:val="00D260CE"/>
    <w:rsid w:val="00D26577"/>
    <w:rsid w:val="00D266E4"/>
    <w:rsid w:val="00D2670E"/>
    <w:rsid w:val="00D26943"/>
    <w:rsid w:val="00D2699C"/>
    <w:rsid w:val="00D270A4"/>
    <w:rsid w:val="00D272A6"/>
    <w:rsid w:val="00D2735B"/>
    <w:rsid w:val="00D2752E"/>
    <w:rsid w:val="00D27617"/>
    <w:rsid w:val="00D276BF"/>
    <w:rsid w:val="00D2771C"/>
    <w:rsid w:val="00D277AE"/>
    <w:rsid w:val="00D2789E"/>
    <w:rsid w:val="00D279E3"/>
    <w:rsid w:val="00D27B46"/>
    <w:rsid w:val="00D27CDB"/>
    <w:rsid w:val="00D27F51"/>
    <w:rsid w:val="00D27FAB"/>
    <w:rsid w:val="00D30057"/>
    <w:rsid w:val="00D300EE"/>
    <w:rsid w:val="00D301A0"/>
    <w:rsid w:val="00D30269"/>
    <w:rsid w:val="00D304E4"/>
    <w:rsid w:val="00D306FD"/>
    <w:rsid w:val="00D3073D"/>
    <w:rsid w:val="00D3097E"/>
    <w:rsid w:val="00D30E3D"/>
    <w:rsid w:val="00D31354"/>
    <w:rsid w:val="00D313FC"/>
    <w:rsid w:val="00D314B1"/>
    <w:rsid w:val="00D3158B"/>
    <w:rsid w:val="00D3195C"/>
    <w:rsid w:val="00D31992"/>
    <w:rsid w:val="00D31B2E"/>
    <w:rsid w:val="00D31CE7"/>
    <w:rsid w:val="00D31E04"/>
    <w:rsid w:val="00D31F3B"/>
    <w:rsid w:val="00D32024"/>
    <w:rsid w:val="00D32028"/>
    <w:rsid w:val="00D3207E"/>
    <w:rsid w:val="00D322BA"/>
    <w:rsid w:val="00D32946"/>
    <w:rsid w:val="00D32C75"/>
    <w:rsid w:val="00D32D52"/>
    <w:rsid w:val="00D32DDF"/>
    <w:rsid w:val="00D32F4F"/>
    <w:rsid w:val="00D32F65"/>
    <w:rsid w:val="00D32FAE"/>
    <w:rsid w:val="00D33026"/>
    <w:rsid w:val="00D330B1"/>
    <w:rsid w:val="00D330B3"/>
    <w:rsid w:val="00D3327A"/>
    <w:rsid w:val="00D3334E"/>
    <w:rsid w:val="00D33559"/>
    <w:rsid w:val="00D3360C"/>
    <w:rsid w:val="00D3362F"/>
    <w:rsid w:val="00D33723"/>
    <w:rsid w:val="00D3389D"/>
    <w:rsid w:val="00D33913"/>
    <w:rsid w:val="00D33B4F"/>
    <w:rsid w:val="00D33B73"/>
    <w:rsid w:val="00D33B80"/>
    <w:rsid w:val="00D33CE3"/>
    <w:rsid w:val="00D33DD0"/>
    <w:rsid w:val="00D33E6E"/>
    <w:rsid w:val="00D33EB5"/>
    <w:rsid w:val="00D33EE9"/>
    <w:rsid w:val="00D33F34"/>
    <w:rsid w:val="00D33F46"/>
    <w:rsid w:val="00D340C2"/>
    <w:rsid w:val="00D341E9"/>
    <w:rsid w:val="00D34232"/>
    <w:rsid w:val="00D34262"/>
    <w:rsid w:val="00D342FC"/>
    <w:rsid w:val="00D344E1"/>
    <w:rsid w:val="00D3457B"/>
    <w:rsid w:val="00D3457C"/>
    <w:rsid w:val="00D345C7"/>
    <w:rsid w:val="00D34636"/>
    <w:rsid w:val="00D348A5"/>
    <w:rsid w:val="00D34934"/>
    <w:rsid w:val="00D34976"/>
    <w:rsid w:val="00D349AE"/>
    <w:rsid w:val="00D34A55"/>
    <w:rsid w:val="00D34B19"/>
    <w:rsid w:val="00D34D47"/>
    <w:rsid w:val="00D34F4C"/>
    <w:rsid w:val="00D3503C"/>
    <w:rsid w:val="00D35116"/>
    <w:rsid w:val="00D3568C"/>
    <w:rsid w:val="00D35771"/>
    <w:rsid w:val="00D35A71"/>
    <w:rsid w:val="00D35A8D"/>
    <w:rsid w:val="00D35AA8"/>
    <w:rsid w:val="00D35D72"/>
    <w:rsid w:val="00D35E93"/>
    <w:rsid w:val="00D35E97"/>
    <w:rsid w:val="00D35EB5"/>
    <w:rsid w:val="00D35F11"/>
    <w:rsid w:val="00D35F15"/>
    <w:rsid w:val="00D360D1"/>
    <w:rsid w:val="00D3619A"/>
    <w:rsid w:val="00D36222"/>
    <w:rsid w:val="00D36431"/>
    <w:rsid w:val="00D36510"/>
    <w:rsid w:val="00D3669B"/>
    <w:rsid w:val="00D36961"/>
    <w:rsid w:val="00D36A0E"/>
    <w:rsid w:val="00D36B2C"/>
    <w:rsid w:val="00D370A4"/>
    <w:rsid w:val="00D37108"/>
    <w:rsid w:val="00D3719A"/>
    <w:rsid w:val="00D373C5"/>
    <w:rsid w:val="00D374CA"/>
    <w:rsid w:val="00D374ED"/>
    <w:rsid w:val="00D3755C"/>
    <w:rsid w:val="00D37690"/>
    <w:rsid w:val="00D37CA9"/>
    <w:rsid w:val="00D37D31"/>
    <w:rsid w:val="00D37F3F"/>
    <w:rsid w:val="00D40136"/>
    <w:rsid w:val="00D40215"/>
    <w:rsid w:val="00D40420"/>
    <w:rsid w:val="00D4056E"/>
    <w:rsid w:val="00D40633"/>
    <w:rsid w:val="00D40683"/>
    <w:rsid w:val="00D406B6"/>
    <w:rsid w:val="00D407E9"/>
    <w:rsid w:val="00D40873"/>
    <w:rsid w:val="00D40987"/>
    <w:rsid w:val="00D40B38"/>
    <w:rsid w:val="00D40B69"/>
    <w:rsid w:val="00D40B73"/>
    <w:rsid w:val="00D40C9E"/>
    <w:rsid w:val="00D40E52"/>
    <w:rsid w:val="00D40F60"/>
    <w:rsid w:val="00D40F76"/>
    <w:rsid w:val="00D40FDD"/>
    <w:rsid w:val="00D410E2"/>
    <w:rsid w:val="00D41103"/>
    <w:rsid w:val="00D4122B"/>
    <w:rsid w:val="00D4127D"/>
    <w:rsid w:val="00D41310"/>
    <w:rsid w:val="00D413B6"/>
    <w:rsid w:val="00D414C3"/>
    <w:rsid w:val="00D414F8"/>
    <w:rsid w:val="00D41520"/>
    <w:rsid w:val="00D4156D"/>
    <w:rsid w:val="00D416FA"/>
    <w:rsid w:val="00D418B7"/>
    <w:rsid w:val="00D418E5"/>
    <w:rsid w:val="00D41937"/>
    <w:rsid w:val="00D41D80"/>
    <w:rsid w:val="00D41E0D"/>
    <w:rsid w:val="00D41E7F"/>
    <w:rsid w:val="00D41FEE"/>
    <w:rsid w:val="00D42034"/>
    <w:rsid w:val="00D42108"/>
    <w:rsid w:val="00D4222E"/>
    <w:rsid w:val="00D42232"/>
    <w:rsid w:val="00D4231E"/>
    <w:rsid w:val="00D42993"/>
    <w:rsid w:val="00D42A72"/>
    <w:rsid w:val="00D42AD1"/>
    <w:rsid w:val="00D42B0F"/>
    <w:rsid w:val="00D42B5B"/>
    <w:rsid w:val="00D42B96"/>
    <w:rsid w:val="00D42D4F"/>
    <w:rsid w:val="00D42E3A"/>
    <w:rsid w:val="00D432E6"/>
    <w:rsid w:val="00D43371"/>
    <w:rsid w:val="00D43442"/>
    <w:rsid w:val="00D4351F"/>
    <w:rsid w:val="00D43C2F"/>
    <w:rsid w:val="00D43D0F"/>
    <w:rsid w:val="00D43D16"/>
    <w:rsid w:val="00D43E64"/>
    <w:rsid w:val="00D4403C"/>
    <w:rsid w:val="00D440DF"/>
    <w:rsid w:val="00D44129"/>
    <w:rsid w:val="00D4424C"/>
    <w:rsid w:val="00D44466"/>
    <w:rsid w:val="00D445AD"/>
    <w:rsid w:val="00D445F1"/>
    <w:rsid w:val="00D44743"/>
    <w:rsid w:val="00D44799"/>
    <w:rsid w:val="00D44A89"/>
    <w:rsid w:val="00D44AA3"/>
    <w:rsid w:val="00D44B60"/>
    <w:rsid w:val="00D44BF3"/>
    <w:rsid w:val="00D44C4D"/>
    <w:rsid w:val="00D45116"/>
    <w:rsid w:val="00D4534E"/>
    <w:rsid w:val="00D45352"/>
    <w:rsid w:val="00D45430"/>
    <w:rsid w:val="00D45635"/>
    <w:rsid w:val="00D45CF4"/>
    <w:rsid w:val="00D45DAC"/>
    <w:rsid w:val="00D46068"/>
    <w:rsid w:val="00D4634A"/>
    <w:rsid w:val="00D464DC"/>
    <w:rsid w:val="00D46599"/>
    <w:rsid w:val="00D468D1"/>
    <w:rsid w:val="00D46976"/>
    <w:rsid w:val="00D46A83"/>
    <w:rsid w:val="00D46DC5"/>
    <w:rsid w:val="00D46F25"/>
    <w:rsid w:val="00D4708D"/>
    <w:rsid w:val="00D470A7"/>
    <w:rsid w:val="00D471B1"/>
    <w:rsid w:val="00D47413"/>
    <w:rsid w:val="00D474D2"/>
    <w:rsid w:val="00D474DE"/>
    <w:rsid w:val="00D4752A"/>
    <w:rsid w:val="00D4755F"/>
    <w:rsid w:val="00D47A88"/>
    <w:rsid w:val="00D47CC3"/>
    <w:rsid w:val="00D47CDC"/>
    <w:rsid w:val="00D47E07"/>
    <w:rsid w:val="00D47F64"/>
    <w:rsid w:val="00D500C0"/>
    <w:rsid w:val="00D5056B"/>
    <w:rsid w:val="00D50625"/>
    <w:rsid w:val="00D506C9"/>
    <w:rsid w:val="00D506D6"/>
    <w:rsid w:val="00D50779"/>
    <w:rsid w:val="00D507AA"/>
    <w:rsid w:val="00D50A00"/>
    <w:rsid w:val="00D50B7F"/>
    <w:rsid w:val="00D50BB5"/>
    <w:rsid w:val="00D50C0A"/>
    <w:rsid w:val="00D50EFF"/>
    <w:rsid w:val="00D51075"/>
    <w:rsid w:val="00D510DB"/>
    <w:rsid w:val="00D51102"/>
    <w:rsid w:val="00D5149E"/>
    <w:rsid w:val="00D5171B"/>
    <w:rsid w:val="00D51802"/>
    <w:rsid w:val="00D51805"/>
    <w:rsid w:val="00D51874"/>
    <w:rsid w:val="00D518AA"/>
    <w:rsid w:val="00D51AAB"/>
    <w:rsid w:val="00D51B32"/>
    <w:rsid w:val="00D51CA8"/>
    <w:rsid w:val="00D51E7C"/>
    <w:rsid w:val="00D520DE"/>
    <w:rsid w:val="00D523D5"/>
    <w:rsid w:val="00D5245D"/>
    <w:rsid w:val="00D5251E"/>
    <w:rsid w:val="00D5275F"/>
    <w:rsid w:val="00D5284E"/>
    <w:rsid w:val="00D52988"/>
    <w:rsid w:val="00D52AE2"/>
    <w:rsid w:val="00D52D2E"/>
    <w:rsid w:val="00D52D3D"/>
    <w:rsid w:val="00D52DFF"/>
    <w:rsid w:val="00D52E9D"/>
    <w:rsid w:val="00D532FB"/>
    <w:rsid w:val="00D535A3"/>
    <w:rsid w:val="00D536B8"/>
    <w:rsid w:val="00D537D3"/>
    <w:rsid w:val="00D5384A"/>
    <w:rsid w:val="00D53AF3"/>
    <w:rsid w:val="00D53B0E"/>
    <w:rsid w:val="00D53C29"/>
    <w:rsid w:val="00D53D08"/>
    <w:rsid w:val="00D53E44"/>
    <w:rsid w:val="00D540D1"/>
    <w:rsid w:val="00D541B3"/>
    <w:rsid w:val="00D541C9"/>
    <w:rsid w:val="00D543B8"/>
    <w:rsid w:val="00D544FD"/>
    <w:rsid w:val="00D54C9A"/>
    <w:rsid w:val="00D54E55"/>
    <w:rsid w:val="00D55307"/>
    <w:rsid w:val="00D55395"/>
    <w:rsid w:val="00D553D3"/>
    <w:rsid w:val="00D556F2"/>
    <w:rsid w:val="00D5582E"/>
    <w:rsid w:val="00D55A8D"/>
    <w:rsid w:val="00D55B86"/>
    <w:rsid w:val="00D55B8A"/>
    <w:rsid w:val="00D55BF8"/>
    <w:rsid w:val="00D55D98"/>
    <w:rsid w:val="00D55EC6"/>
    <w:rsid w:val="00D55F72"/>
    <w:rsid w:val="00D5601C"/>
    <w:rsid w:val="00D56194"/>
    <w:rsid w:val="00D561F5"/>
    <w:rsid w:val="00D564FE"/>
    <w:rsid w:val="00D5669B"/>
    <w:rsid w:val="00D56A71"/>
    <w:rsid w:val="00D57078"/>
    <w:rsid w:val="00D5740F"/>
    <w:rsid w:val="00D57498"/>
    <w:rsid w:val="00D574E1"/>
    <w:rsid w:val="00D5777C"/>
    <w:rsid w:val="00D5779D"/>
    <w:rsid w:val="00D577C7"/>
    <w:rsid w:val="00D578F7"/>
    <w:rsid w:val="00D57961"/>
    <w:rsid w:val="00D57A22"/>
    <w:rsid w:val="00D57B33"/>
    <w:rsid w:val="00D57C4A"/>
    <w:rsid w:val="00D57E56"/>
    <w:rsid w:val="00D57E60"/>
    <w:rsid w:val="00D57F38"/>
    <w:rsid w:val="00D60084"/>
    <w:rsid w:val="00D60271"/>
    <w:rsid w:val="00D60289"/>
    <w:rsid w:val="00D602E6"/>
    <w:rsid w:val="00D602F4"/>
    <w:rsid w:val="00D60492"/>
    <w:rsid w:val="00D606E8"/>
    <w:rsid w:val="00D60707"/>
    <w:rsid w:val="00D6084E"/>
    <w:rsid w:val="00D609AC"/>
    <w:rsid w:val="00D60A85"/>
    <w:rsid w:val="00D60AF6"/>
    <w:rsid w:val="00D60C75"/>
    <w:rsid w:val="00D60C8D"/>
    <w:rsid w:val="00D60D64"/>
    <w:rsid w:val="00D61206"/>
    <w:rsid w:val="00D61294"/>
    <w:rsid w:val="00D613F3"/>
    <w:rsid w:val="00D6146F"/>
    <w:rsid w:val="00D6154D"/>
    <w:rsid w:val="00D617B2"/>
    <w:rsid w:val="00D61B5D"/>
    <w:rsid w:val="00D61B8A"/>
    <w:rsid w:val="00D62270"/>
    <w:rsid w:val="00D623D8"/>
    <w:rsid w:val="00D623F2"/>
    <w:rsid w:val="00D62526"/>
    <w:rsid w:val="00D6254B"/>
    <w:rsid w:val="00D627AF"/>
    <w:rsid w:val="00D62974"/>
    <w:rsid w:val="00D62B4B"/>
    <w:rsid w:val="00D62DBC"/>
    <w:rsid w:val="00D62E09"/>
    <w:rsid w:val="00D62E76"/>
    <w:rsid w:val="00D631ED"/>
    <w:rsid w:val="00D6338F"/>
    <w:rsid w:val="00D633E0"/>
    <w:rsid w:val="00D633F6"/>
    <w:rsid w:val="00D634CF"/>
    <w:rsid w:val="00D6351F"/>
    <w:rsid w:val="00D635EA"/>
    <w:rsid w:val="00D636B3"/>
    <w:rsid w:val="00D6374A"/>
    <w:rsid w:val="00D637E8"/>
    <w:rsid w:val="00D6396A"/>
    <w:rsid w:val="00D6397C"/>
    <w:rsid w:val="00D63A3B"/>
    <w:rsid w:val="00D63A7E"/>
    <w:rsid w:val="00D63ADA"/>
    <w:rsid w:val="00D63B58"/>
    <w:rsid w:val="00D63DB8"/>
    <w:rsid w:val="00D63E09"/>
    <w:rsid w:val="00D640EB"/>
    <w:rsid w:val="00D64153"/>
    <w:rsid w:val="00D641A1"/>
    <w:rsid w:val="00D641ED"/>
    <w:rsid w:val="00D643A4"/>
    <w:rsid w:val="00D645C9"/>
    <w:rsid w:val="00D6498F"/>
    <w:rsid w:val="00D64B08"/>
    <w:rsid w:val="00D64B25"/>
    <w:rsid w:val="00D64C8F"/>
    <w:rsid w:val="00D64DEF"/>
    <w:rsid w:val="00D64E32"/>
    <w:rsid w:val="00D64F0C"/>
    <w:rsid w:val="00D650B6"/>
    <w:rsid w:val="00D65253"/>
    <w:rsid w:val="00D6555B"/>
    <w:rsid w:val="00D65725"/>
    <w:rsid w:val="00D6576A"/>
    <w:rsid w:val="00D65848"/>
    <w:rsid w:val="00D65B1C"/>
    <w:rsid w:val="00D65B22"/>
    <w:rsid w:val="00D65BBD"/>
    <w:rsid w:val="00D65C69"/>
    <w:rsid w:val="00D65D03"/>
    <w:rsid w:val="00D65F7B"/>
    <w:rsid w:val="00D660DC"/>
    <w:rsid w:val="00D661C7"/>
    <w:rsid w:val="00D66362"/>
    <w:rsid w:val="00D663B4"/>
    <w:rsid w:val="00D66501"/>
    <w:rsid w:val="00D666AE"/>
    <w:rsid w:val="00D66787"/>
    <w:rsid w:val="00D667FF"/>
    <w:rsid w:val="00D66980"/>
    <w:rsid w:val="00D66C9E"/>
    <w:rsid w:val="00D66EDA"/>
    <w:rsid w:val="00D670DC"/>
    <w:rsid w:val="00D67168"/>
    <w:rsid w:val="00D67335"/>
    <w:rsid w:val="00D673AC"/>
    <w:rsid w:val="00D67408"/>
    <w:rsid w:val="00D67516"/>
    <w:rsid w:val="00D67BD0"/>
    <w:rsid w:val="00D67BDE"/>
    <w:rsid w:val="00D67DD5"/>
    <w:rsid w:val="00D67EC4"/>
    <w:rsid w:val="00D67F78"/>
    <w:rsid w:val="00D700D9"/>
    <w:rsid w:val="00D70431"/>
    <w:rsid w:val="00D70591"/>
    <w:rsid w:val="00D70754"/>
    <w:rsid w:val="00D707C2"/>
    <w:rsid w:val="00D7093E"/>
    <w:rsid w:val="00D7096B"/>
    <w:rsid w:val="00D70A79"/>
    <w:rsid w:val="00D70B5E"/>
    <w:rsid w:val="00D70B77"/>
    <w:rsid w:val="00D70BF3"/>
    <w:rsid w:val="00D70C09"/>
    <w:rsid w:val="00D70C64"/>
    <w:rsid w:val="00D70CCE"/>
    <w:rsid w:val="00D70DD6"/>
    <w:rsid w:val="00D70DDB"/>
    <w:rsid w:val="00D70E33"/>
    <w:rsid w:val="00D70EBF"/>
    <w:rsid w:val="00D70F9D"/>
    <w:rsid w:val="00D712B8"/>
    <w:rsid w:val="00D71768"/>
    <w:rsid w:val="00D719D3"/>
    <w:rsid w:val="00D71A44"/>
    <w:rsid w:val="00D71AA6"/>
    <w:rsid w:val="00D71C28"/>
    <w:rsid w:val="00D71DF6"/>
    <w:rsid w:val="00D71E22"/>
    <w:rsid w:val="00D71EB9"/>
    <w:rsid w:val="00D71F40"/>
    <w:rsid w:val="00D71F55"/>
    <w:rsid w:val="00D71FDB"/>
    <w:rsid w:val="00D720E6"/>
    <w:rsid w:val="00D722F9"/>
    <w:rsid w:val="00D723A6"/>
    <w:rsid w:val="00D72472"/>
    <w:rsid w:val="00D726C0"/>
    <w:rsid w:val="00D726E7"/>
    <w:rsid w:val="00D72771"/>
    <w:rsid w:val="00D729F7"/>
    <w:rsid w:val="00D72B7E"/>
    <w:rsid w:val="00D72B7F"/>
    <w:rsid w:val="00D72BCC"/>
    <w:rsid w:val="00D72D4B"/>
    <w:rsid w:val="00D72EC6"/>
    <w:rsid w:val="00D72F9C"/>
    <w:rsid w:val="00D7308D"/>
    <w:rsid w:val="00D7330E"/>
    <w:rsid w:val="00D73360"/>
    <w:rsid w:val="00D734C8"/>
    <w:rsid w:val="00D7353F"/>
    <w:rsid w:val="00D73549"/>
    <w:rsid w:val="00D735C3"/>
    <w:rsid w:val="00D735F0"/>
    <w:rsid w:val="00D73697"/>
    <w:rsid w:val="00D7377F"/>
    <w:rsid w:val="00D73913"/>
    <w:rsid w:val="00D739A8"/>
    <w:rsid w:val="00D73A36"/>
    <w:rsid w:val="00D73A99"/>
    <w:rsid w:val="00D73EEF"/>
    <w:rsid w:val="00D73F20"/>
    <w:rsid w:val="00D73F6A"/>
    <w:rsid w:val="00D741B6"/>
    <w:rsid w:val="00D742BA"/>
    <w:rsid w:val="00D74496"/>
    <w:rsid w:val="00D74497"/>
    <w:rsid w:val="00D7449D"/>
    <w:rsid w:val="00D7459F"/>
    <w:rsid w:val="00D746D3"/>
    <w:rsid w:val="00D749A5"/>
    <w:rsid w:val="00D74AA5"/>
    <w:rsid w:val="00D74BC8"/>
    <w:rsid w:val="00D74D10"/>
    <w:rsid w:val="00D74D3E"/>
    <w:rsid w:val="00D74D3F"/>
    <w:rsid w:val="00D74EDC"/>
    <w:rsid w:val="00D75169"/>
    <w:rsid w:val="00D75218"/>
    <w:rsid w:val="00D75276"/>
    <w:rsid w:val="00D75515"/>
    <w:rsid w:val="00D75689"/>
    <w:rsid w:val="00D75695"/>
    <w:rsid w:val="00D756FA"/>
    <w:rsid w:val="00D75A17"/>
    <w:rsid w:val="00D75B11"/>
    <w:rsid w:val="00D75C0F"/>
    <w:rsid w:val="00D75C80"/>
    <w:rsid w:val="00D75EAC"/>
    <w:rsid w:val="00D76089"/>
    <w:rsid w:val="00D7625A"/>
    <w:rsid w:val="00D7638C"/>
    <w:rsid w:val="00D76568"/>
    <w:rsid w:val="00D7659E"/>
    <w:rsid w:val="00D7674C"/>
    <w:rsid w:val="00D767FA"/>
    <w:rsid w:val="00D7681F"/>
    <w:rsid w:val="00D76984"/>
    <w:rsid w:val="00D76BEC"/>
    <w:rsid w:val="00D76C4D"/>
    <w:rsid w:val="00D76D94"/>
    <w:rsid w:val="00D76F17"/>
    <w:rsid w:val="00D77226"/>
    <w:rsid w:val="00D77378"/>
    <w:rsid w:val="00D77572"/>
    <w:rsid w:val="00D77A78"/>
    <w:rsid w:val="00D77A8C"/>
    <w:rsid w:val="00D77B62"/>
    <w:rsid w:val="00D77B9A"/>
    <w:rsid w:val="00D77BE6"/>
    <w:rsid w:val="00D77C22"/>
    <w:rsid w:val="00D77C4F"/>
    <w:rsid w:val="00D77D9D"/>
    <w:rsid w:val="00D77E41"/>
    <w:rsid w:val="00D77F17"/>
    <w:rsid w:val="00D8016A"/>
    <w:rsid w:val="00D803A4"/>
    <w:rsid w:val="00D8052E"/>
    <w:rsid w:val="00D805AF"/>
    <w:rsid w:val="00D805E7"/>
    <w:rsid w:val="00D80639"/>
    <w:rsid w:val="00D80996"/>
    <w:rsid w:val="00D80BC1"/>
    <w:rsid w:val="00D80C0B"/>
    <w:rsid w:val="00D80CED"/>
    <w:rsid w:val="00D80EC3"/>
    <w:rsid w:val="00D80F1A"/>
    <w:rsid w:val="00D810E5"/>
    <w:rsid w:val="00D8111D"/>
    <w:rsid w:val="00D81216"/>
    <w:rsid w:val="00D8130E"/>
    <w:rsid w:val="00D81748"/>
    <w:rsid w:val="00D81796"/>
    <w:rsid w:val="00D817B4"/>
    <w:rsid w:val="00D817C9"/>
    <w:rsid w:val="00D81DD3"/>
    <w:rsid w:val="00D81DF6"/>
    <w:rsid w:val="00D81F52"/>
    <w:rsid w:val="00D8202C"/>
    <w:rsid w:val="00D821F5"/>
    <w:rsid w:val="00D824AA"/>
    <w:rsid w:val="00D825AF"/>
    <w:rsid w:val="00D8270C"/>
    <w:rsid w:val="00D8297C"/>
    <w:rsid w:val="00D829AA"/>
    <w:rsid w:val="00D82A03"/>
    <w:rsid w:val="00D82ADA"/>
    <w:rsid w:val="00D82B5C"/>
    <w:rsid w:val="00D82DAA"/>
    <w:rsid w:val="00D82E20"/>
    <w:rsid w:val="00D832F9"/>
    <w:rsid w:val="00D834C9"/>
    <w:rsid w:val="00D8371F"/>
    <w:rsid w:val="00D83920"/>
    <w:rsid w:val="00D83BD3"/>
    <w:rsid w:val="00D83C50"/>
    <w:rsid w:val="00D83E28"/>
    <w:rsid w:val="00D83E70"/>
    <w:rsid w:val="00D841D2"/>
    <w:rsid w:val="00D8444A"/>
    <w:rsid w:val="00D84506"/>
    <w:rsid w:val="00D845A3"/>
    <w:rsid w:val="00D848A1"/>
    <w:rsid w:val="00D848C0"/>
    <w:rsid w:val="00D8490D"/>
    <w:rsid w:val="00D8491F"/>
    <w:rsid w:val="00D84A5A"/>
    <w:rsid w:val="00D84A93"/>
    <w:rsid w:val="00D84C97"/>
    <w:rsid w:val="00D84F29"/>
    <w:rsid w:val="00D850FC"/>
    <w:rsid w:val="00D851DA"/>
    <w:rsid w:val="00D851ED"/>
    <w:rsid w:val="00D854ED"/>
    <w:rsid w:val="00D855AB"/>
    <w:rsid w:val="00D8562E"/>
    <w:rsid w:val="00D8573E"/>
    <w:rsid w:val="00D8587D"/>
    <w:rsid w:val="00D85923"/>
    <w:rsid w:val="00D85AE1"/>
    <w:rsid w:val="00D85B13"/>
    <w:rsid w:val="00D85C5D"/>
    <w:rsid w:val="00D85CC6"/>
    <w:rsid w:val="00D85DCF"/>
    <w:rsid w:val="00D85EB5"/>
    <w:rsid w:val="00D86193"/>
    <w:rsid w:val="00D86261"/>
    <w:rsid w:val="00D865F4"/>
    <w:rsid w:val="00D8663D"/>
    <w:rsid w:val="00D86647"/>
    <w:rsid w:val="00D8666A"/>
    <w:rsid w:val="00D8667C"/>
    <w:rsid w:val="00D867D5"/>
    <w:rsid w:val="00D86944"/>
    <w:rsid w:val="00D86B8F"/>
    <w:rsid w:val="00D86DAD"/>
    <w:rsid w:val="00D86EA9"/>
    <w:rsid w:val="00D86F2A"/>
    <w:rsid w:val="00D86F4F"/>
    <w:rsid w:val="00D86F98"/>
    <w:rsid w:val="00D87250"/>
    <w:rsid w:val="00D87339"/>
    <w:rsid w:val="00D873C9"/>
    <w:rsid w:val="00D873F3"/>
    <w:rsid w:val="00D87791"/>
    <w:rsid w:val="00D87C23"/>
    <w:rsid w:val="00D900FD"/>
    <w:rsid w:val="00D9013F"/>
    <w:rsid w:val="00D9023A"/>
    <w:rsid w:val="00D902AB"/>
    <w:rsid w:val="00D902C9"/>
    <w:rsid w:val="00D902EC"/>
    <w:rsid w:val="00D905EF"/>
    <w:rsid w:val="00D90663"/>
    <w:rsid w:val="00D906BD"/>
    <w:rsid w:val="00D9090F"/>
    <w:rsid w:val="00D90B7E"/>
    <w:rsid w:val="00D90C2C"/>
    <w:rsid w:val="00D90C90"/>
    <w:rsid w:val="00D90DC5"/>
    <w:rsid w:val="00D9119E"/>
    <w:rsid w:val="00D912DB"/>
    <w:rsid w:val="00D913BD"/>
    <w:rsid w:val="00D914FF"/>
    <w:rsid w:val="00D917D2"/>
    <w:rsid w:val="00D91854"/>
    <w:rsid w:val="00D91858"/>
    <w:rsid w:val="00D918EE"/>
    <w:rsid w:val="00D9196D"/>
    <w:rsid w:val="00D91A64"/>
    <w:rsid w:val="00D91ACE"/>
    <w:rsid w:val="00D91B37"/>
    <w:rsid w:val="00D91D0C"/>
    <w:rsid w:val="00D91E52"/>
    <w:rsid w:val="00D92805"/>
    <w:rsid w:val="00D92940"/>
    <w:rsid w:val="00D92CB0"/>
    <w:rsid w:val="00D92D02"/>
    <w:rsid w:val="00D92D06"/>
    <w:rsid w:val="00D92D3C"/>
    <w:rsid w:val="00D92EB3"/>
    <w:rsid w:val="00D92EC3"/>
    <w:rsid w:val="00D92FDD"/>
    <w:rsid w:val="00D93030"/>
    <w:rsid w:val="00D9305D"/>
    <w:rsid w:val="00D93525"/>
    <w:rsid w:val="00D93550"/>
    <w:rsid w:val="00D93693"/>
    <w:rsid w:val="00D93711"/>
    <w:rsid w:val="00D93765"/>
    <w:rsid w:val="00D93772"/>
    <w:rsid w:val="00D9383B"/>
    <w:rsid w:val="00D93990"/>
    <w:rsid w:val="00D93BCB"/>
    <w:rsid w:val="00D93BEF"/>
    <w:rsid w:val="00D93FAC"/>
    <w:rsid w:val="00D93FD4"/>
    <w:rsid w:val="00D940A2"/>
    <w:rsid w:val="00D9421F"/>
    <w:rsid w:val="00D9427E"/>
    <w:rsid w:val="00D9453A"/>
    <w:rsid w:val="00D94580"/>
    <w:rsid w:val="00D9460E"/>
    <w:rsid w:val="00D946C3"/>
    <w:rsid w:val="00D94748"/>
    <w:rsid w:val="00D94A93"/>
    <w:rsid w:val="00D94AB5"/>
    <w:rsid w:val="00D94BCF"/>
    <w:rsid w:val="00D94C54"/>
    <w:rsid w:val="00D94CDD"/>
    <w:rsid w:val="00D94CFF"/>
    <w:rsid w:val="00D94E68"/>
    <w:rsid w:val="00D94F32"/>
    <w:rsid w:val="00D950BC"/>
    <w:rsid w:val="00D9521B"/>
    <w:rsid w:val="00D95288"/>
    <w:rsid w:val="00D9540D"/>
    <w:rsid w:val="00D955BA"/>
    <w:rsid w:val="00D9565B"/>
    <w:rsid w:val="00D95698"/>
    <w:rsid w:val="00D956CD"/>
    <w:rsid w:val="00D9577A"/>
    <w:rsid w:val="00D958BA"/>
    <w:rsid w:val="00D95916"/>
    <w:rsid w:val="00D9598E"/>
    <w:rsid w:val="00D95A5F"/>
    <w:rsid w:val="00D95B33"/>
    <w:rsid w:val="00D95CFE"/>
    <w:rsid w:val="00D95E1E"/>
    <w:rsid w:val="00D95E6E"/>
    <w:rsid w:val="00D95EEB"/>
    <w:rsid w:val="00D95F8E"/>
    <w:rsid w:val="00D95FA5"/>
    <w:rsid w:val="00D961E6"/>
    <w:rsid w:val="00D96222"/>
    <w:rsid w:val="00D96352"/>
    <w:rsid w:val="00D96592"/>
    <w:rsid w:val="00D968A4"/>
    <w:rsid w:val="00D969F7"/>
    <w:rsid w:val="00D96BFC"/>
    <w:rsid w:val="00D96C25"/>
    <w:rsid w:val="00D96D43"/>
    <w:rsid w:val="00D97256"/>
    <w:rsid w:val="00D973E3"/>
    <w:rsid w:val="00D97604"/>
    <w:rsid w:val="00D976A7"/>
    <w:rsid w:val="00D9799A"/>
    <w:rsid w:val="00D97A46"/>
    <w:rsid w:val="00D97A8F"/>
    <w:rsid w:val="00D97DD0"/>
    <w:rsid w:val="00D97E52"/>
    <w:rsid w:val="00D97F6D"/>
    <w:rsid w:val="00D97FDA"/>
    <w:rsid w:val="00DA01BE"/>
    <w:rsid w:val="00DA01E0"/>
    <w:rsid w:val="00DA020E"/>
    <w:rsid w:val="00DA026D"/>
    <w:rsid w:val="00DA0282"/>
    <w:rsid w:val="00DA0454"/>
    <w:rsid w:val="00DA07D2"/>
    <w:rsid w:val="00DA0BB1"/>
    <w:rsid w:val="00DA0C11"/>
    <w:rsid w:val="00DA0C97"/>
    <w:rsid w:val="00DA0E7A"/>
    <w:rsid w:val="00DA0EAE"/>
    <w:rsid w:val="00DA11BE"/>
    <w:rsid w:val="00DA12A3"/>
    <w:rsid w:val="00DA12BA"/>
    <w:rsid w:val="00DA12D7"/>
    <w:rsid w:val="00DA12FA"/>
    <w:rsid w:val="00DA1450"/>
    <w:rsid w:val="00DA165C"/>
    <w:rsid w:val="00DA16D9"/>
    <w:rsid w:val="00DA1839"/>
    <w:rsid w:val="00DA19BE"/>
    <w:rsid w:val="00DA1B4F"/>
    <w:rsid w:val="00DA1C43"/>
    <w:rsid w:val="00DA1EE8"/>
    <w:rsid w:val="00DA224B"/>
    <w:rsid w:val="00DA2326"/>
    <w:rsid w:val="00DA23C6"/>
    <w:rsid w:val="00DA24E8"/>
    <w:rsid w:val="00DA260A"/>
    <w:rsid w:val="00DA26FF"/>
    <w:rsid w:val="00DA28C6"/>
    <w:rsid w:val="00DA2949"/>
    <w:rsid w:val="00DA2B2A"/>
    <w:rsid w:val="00DA2C57"/>
    <w:rsid w:val="00DA2D00"/>
    <w:rsid w:val="00DA2DDC"/>
    <w:rsid w:val="00DA2F62"/>
    <w:rsid w:val="00DA3106"/>
    <w:rsid w:val="00DA31D9"/>
    <w:rsid w:val="00DA3201"/>
    <w:rsid w:val="00DA3314"/>
    <w:rsid w:val="00DA33AB"/>
    <w:rsid w:val="00DA33CE"/>
    <w:rsid w:val="00DA35B1"/>
    <w:rsid w:val="00DA384D"/>
    <w:rsid w:val="00DA388A"/>
    <w:rsid w:val="00DA3B83"/>
    <w:rsid w:val="00DA3B98"/>
    <w:rsid w:val="00DA3C01"/>
    <w:rsid w:val="00DA3CA6"/>
    <w:rsid w:val="00DA3D1C"/>
    <w:rsid w:val="00DA4059"/>
    <w:rsid w:val="00DA42D2"/>
    <w:rsid w:val="00DA431B"/>
    <w:rsid w:val="00DA4334"/>
    <w:rsid w:val="00DA4364"/>
    <w:rsid w:val="00DA469F"/>
    <w:rsid w:val="00DA46F2"/>
    <w:rsid w:val="00DA4888"/>
    <w:rsid w:val="00DA4969"/>
    <w:rsid w:val="00DA4FE0"/>
    <w:rsid w:val="00DA506B"/>
    <w:rsid w:val="00DA51F4"/>
    <w:rsid w:val="00DA5214"/>
    <w:rsid w:val="00DA525F"/>
    <w:rsid w:val="00DA5387"/>
    <w:rsid w:val="00DA53DD"/>
    <w:rsid w:val="00DA5444"/>
    <w:rsid w:val="00DA56A9"/>
    <w:rsid w:val="00DA580D"/>
    <w:rsid w:val="00DA584A"/>
    <w:rsid w:val="00DA5D20"/>
    <w:rsid w:val="00DA5E6E"/>
    <w:rsid w:val="00DA5E84"/>
    <w:rsid w:val="00DA5E9A"/>
    <w:rsid w:val="00DA6098"/>
    <w:rsid w:val="00DA6178"/>
    <w:rsid w:val="00DA61BE"/>
    <w:rsid w:val="00DA643B"/>
    <w:rsid w:val="00DA6739"/>
    <w:rsid w:val="00DA6806"/>
    <w:rsid w:val="00DA6837"/>
    <w:rsid w:val="00DA697D"/>
    <w:rsid w:val="00DA6BCB"/>
    <w:rsid w:val="00DA6DBD"/>
    <w:rsid w:val="00DA6F2F"/>
    <w:rsid w:val="00DA707C"/>
    <w:rsid w:val="00DA7084"/>
    <w:rsid w:val="00DA7200"/>
    <w:rsid w:val="00DA728C"/>
    <w:rsid w:val="00DA732C"/>
    <w:rsid w:val="00DA734E"/>
    <w:rsid w:val="00DA7399"/>
    <w:rsid w:val="00DA74F8"/>
    <w:rsid w:val="00DA7543"/>
    <w:rsid w:val="00DA7817"/>
    <w:rsid w:val="00DA786E"/>
    <w:rsid w:val="00DA7B9D"/>
    <w:rsid w:val="00DA7C62"/>
    <w:rsid w:val="00DA7DFA"/>
    <w:rsid w:val="00DB05AE"/>
    <w:rsid w:val="00DB05C1"/>
    <w:rsid w:val="00DB06CA"/>
    <w:rsid w:val="00DB076C"/>
    <w:rsid w:val="00DB0929"/>
    <w:rsid w:val="00DB093C"/>
    <w:rsid w:val="00DB0BB1"/>
    <w:rsid w:val="00DB0C3D"/>
    <w:rsid w:val="00DB0CD1"/>
    <w:rsid w:val="00DB0D26"/>
    <w:rsid w:val="00DB0DE0"/>
    <w:rsid w:val="00DB0E3E"/>
    <w:rsid w:val="00DB0E7B"/>
    <w:rsid w:val="00DB1011"/>
    <w:rsid w:val="00DB110A"/>
    <w:rsid w:val="00DB1132"/>
    <w:rsid w:val="00DB12DF"/>
    <w:rsid w:val="00DB1378"/>
    <w:rsid w:val="00DB1626"/>
    <w:rsid w:val="00DB1AE7"/>
    <w:rsid w:val="00DB1D06"/>
    <w:rsid w:val="00DB2035"/>
    <w:rsid w:val="00DB2070"/>
    <w:rsid w:val="00DB2236"/>
    <w:rsid w:val="00DB2422"/>
    <w:rsid w:val="00DB25A0"/>
    <w:rsid w:val="00DB28B7"/>
    <w:rsid w:val="00DB2B98"/>
    <w:rsid w:val="00DB2D20"/>
    <w:rsid w:val="00DB2E3D"/>
    <w:rsid w:val="00DB33CD"/>
    <w:rsid w:val="00DB35B9"/>
    <w:rsid w:val="00DB37B1"/>
    <w:rsid w:val="00DB39B2"/>
    <w:rsid w:val="00DB3BA9"/>
    <w:rsid w:val="00DB3BAB"/>
    <w:rsid w:val="00DB3E5D"/>
    <w:rsid w:val="00DB3F49"/>
    <w:rsid w:val="00DB4063"/>
    <w:rsid w:val="00DB415C"/>
    <w:rsid w:val="00DB41B1"/>
    <w:rsid w:val="00DB4297"/>
    <w:rsid w:val="00DB4424"/>
    <w:rsid w:val="00DB44BC"/>
    <w:rsid w:val="00DB4613"/>
    <w:rsid w:val="00DB4722"/>
    <w:rsid w:val="00DB47BD"/>
    <w:rsid w:val="00DB49C7"/>
    <w:rsid w:val="00DB49FD"/>
    <w:rsid w:val="00DB4A9B"/>
    <w:rsid w:val="00DB4ABF"/>
    <w:rsid w:val="00DB4B93"/>
    <w:rsid w:val="00DB4BFD"/>
    <w:rsid w:val="00DB4CE9"/>
    <w:rsid w:val="00DB4D12"/>
    <w:rsid w:val="00DB4D9F"/>
    <w:rsid w:val="00DB4E5E"/>
    <w:rsid w:val="00DB4EAE"/>
    <w:rsid w:val="00DB4EC7"/>
    <w:rsid w:val="00DB4F51"/>
    <w:rsid w:val="00DB4F71"/>
    <w:rsid w:val="00DB4FCB"/>
    <w:rsid w:val="00DB4FDA"/>
    <w:rsid w:val="00DB5076"/>
    <w:rsid w:val="00DB513A"/>
    <w:rsid w:val="00DB5232"/>
    <w:rsid w:val="00DB5372"/>
    <w:rsid w:val="00DB56C2"/>
    <w:rsid w:val="00DB573D"/>
    <w:rsid w:val="00DB58F2"/>
    <w:rsid w:val="00DB59CB"/>
    <w:rsid w:val="00DB5C3A"/>
    <w:rsid w:val="00DB5C83"/>
    <w:rsid w:val="00DB5D1A"/>
    <w:rsid w:val="00DB5E73"/>
    <w:rsid w:val="00DB5E74"/>
    <w:rsid w:val="00DB5E96"/>
    <w:rsid w:val="00DB5F35"/>
    <w:rsid w:val="00DB6637"/>
    <w:rsid w:val="00DB66F4"/>
    <w:rsid w:val="00DB6A86"/>
    <w:rsid w:val="00DB6B49"/>
    <w:rsid w:val="00DB6B5F"/>
    <w:rsid w:val="00DB6BD7"/>
    <w:rsid w:val="00DB6C2D"/>
    <w:rsid w:val="00DB6C78"/>
    <w:rsid w:val="00DB6CC6"/>
    <w:rsid w:val="00DB7316"/>
    <w:rsid w:val="00DB7467"/>
    <w:rsid w:val="00DB768E"/>
    <w:rsid w:val="00DB78B9"/>
    <w:rsid w:val="00DB7A68"/>
    <w:rsid w:val="00DB7A81"/>
    <w:rsid w:val="00DB7AAF"/>
    <w:rsid w:val="00DB7B25"/>
    <w:rsid w:val="00DB7B7F"/>
    <w:rsid w:val="00DB7F48"/>
    <w:rsid w:val="00DB7F4B"/>
    <w:rsid w:val="00DB7F50"/>
    <w:rsid w:val="00DB7FE0"/>
    <w:rsid w:val="00DC01F1"/>
    <w:rsid w:val="00DC0308"/>
    <w:rsid w:val="00DC04D2"/>
    <w:rsid w:val="00DC04E9"/>
    <w:rsid w:val="00DC04FD"/>
    <w:rsid w:val="00DC078B"/>
    <w:rsid w:val="00DC07BB"/>
    <w:rsid w:val="00DC0898"/>
    <w:rsid w:val="00DC0AE9"/>
    <w:rsid w:val="00DC0C4A"/>
    <w:rsid w:val="00DC0C88"/>
    <w:rsid w:val="00DC0D5A"/>
    <w:rsid w:val="00DC0EB9"/>
    <w:rsid w:val="00DC11AC"/>
    <w:rsid w:val="00DC17A9"/>
    <w:rsid w:val="00DC187A"/>
    <w:rsid w:val="00DC19BA"/>
    <w:rsid w:val="00DC1A1A"/>
    <w:rsid w:val="00DC1A64"/>
    <w:rsid w:val="00DC1B82"/>
    <w:rsid w:val="00DC1FA9"/>
    <w:rsid w:val="00DC218D"/>
    <w:rsid w:val="00DC232C"/>
    <w:rsid w:val="00DC2362"/>
    <w:rsid w:val="00DC266B"/>
    <w:rsid w:val="00DC27B3"/>
    <w:rsid w:val="00DC28FF"/>
    <w:rsid w:val="00DC2A68"/>
    <w:rsid w:val="00DC2E08"/>
    <w:rsid w:val="00DC2F3E"/>
    <w:rsid w:val="00DC2F52"/>
    <w:rsid w:val="00DC3288"/>
    <w:rsid w:val="00DC34C0"/>
    <w:rsid w:val="00DC3693"/>
    <w:rsid w:val="00DC3778"/>
    <w:rsid w:val="00DC3885"/>
    <w:rsid w:val="00DC38C4"/>
    <w:rsid w:val="00DC3A38"/>
    <w:rsid w:val="00DC3BE4"/>
    <w:rsid w:val="00DC3D86"/>
    <w:rsid w:val="00DC3E1B"/>
    <w:rsid w:val="00DC3EA5"/>
    <w:rsid w:val="00DC4064"/>
    <w:rsid w:val="00DC40C6"/>
    <w:rsid w:val="00DC421D"/>
    <w:rsid w:val="00DC4224"/>
    <w:rsid w:val="00DC436E"/>
    <w:rsid w:val="00DC441E"/>
    <w:rsid w:val="00DC4A1F"/>
    <w:rsid w:val="00DC4A8E"/>
    <w:rsid w:val="00DC4D40"/>
    <w:rsid w:val="00DC4DA5"/>
    <w:rsid w:val="00DC51C0"/>
    <w:rsid w:val="00DC5447"/>
    <w:rsid w:val="00DC55B6"/>
    <w:rsid w:val="00DC563C"/>
    <w:rsid w:val="00DC5655"/>
    <w:rsid w:val="00DC57BD"/>
    <w:rsid w:val="00DC5981"/>
    <w:rsid w:val="00DC5B38"/>
    <w:rsid w:val="00DC5B65"/>
    <w:rsid w:val="00DC611C"/>
    <w:rsid w:val="00DC626D"/>
    <w:rsid w:val="00DC6387"/>
    <w:rsid w:val="00DC6427"/>
    <w:rsid w:val="00DC6535"/>
    <w:rsid w:val="00DC65A3"/>
    <w:rsid w:val="00DC66BC"/>
    <w:rsid w:val="00DC698E"/>
    <w:rsid w:val="00DC69D9"/>
    <w:rsid w:val="00DC6BAF"/>
    <w:rsid w:val="00DC6C02"/>
    <w:rsid w:val="00DC6C21"/>
    <w:rsid w:val="00DC6C2D"/>
    <w:rsid w:val="00DC6E81"/>
    <w:rsid w:val="00DC6F8E"/>
    <w:rsid w:val="00DC6FB6"/>
    <w:rsid w:val="00DC7008"/>
    <w:rsid w:val="00DC7196"/>
    <w:rsid w:val="00DC7557"/>
    <w:rsid w:val="00DC7772"/>
    <w:rsid w:val="00DC77A9"/>
    <w:rsid w:val="00DC785D"/>
    <w:rsid w:val="00DC79CC"/>
    <w:rsid w:val="00DC7A70"/>
    <w:rsid w:val="00DC7AA9"/>
    <w:rsid w:val="00DC7AC3"/>
    <w:rsid w:val="00DC7AFD"/>
    <w:rsid w:val="00DC7BF0"/>
    <w:rsid w:val="00DC7C8B"/>
    <w:rsid w:val="00DC7CD7"/>
    <w:rsid w:val="00DC7DEE"/>
    <w:rsid w:val="00DC7EA9"/>
    <w:rsid w:val="00DC7F96"/>
    <w:rsid w:val="00DC7FA8"/>
    <w:rsid w:val="00DD0032"/>
    <w:rsid w:val="00DD01D8"/>
    <w:rsid w:val="00DD0395"/>
    <w:rsid w:val="00DD0398"/>
    <w:rsid w:val="00DD04D6"/>
    <w:rsid w:val="00DD05E6"/>
    <w:rsid w:val="00DD06FC"/>
    <w:rsid w:val="00DD0726"/>
    <w:rsid w:val="00DD077B"/>
    <w:rsid w:val="00DD0943"/>
    <w:rsid w:val="00DD0BCC"/>
    <w:rsid w:val="00DD0F85"/>
    <w:rsid w:val="00DD108F"/>
    <w:rsid w:val="00DD1111"/>
    <w:rsid w:val="00DD12D5"/>
    <w:rsid w:val="00DD131D"/>
    <w:rsid w:val="00DD1535"/>
    <w:rsid w:val="00DD1816"/>
    <w:rsid w:val="00DD1B9D"/>
    <w:rsid w:val="00DD1F9D"/>
    <w:rsid w:val="00DD2171"/>
    <w:rsid w:val="00DD22B7"/>
    <w:rsid w:val="00DD23B8"/>
    <w:rsid w:val="00DD23E0"/>
    <w:rsid w:val="00DD2422"/>
    <w:rsid w:val="00DD24C6"/>
    <w:rsid w:val="00DD2598"/>
    <w:rsid w:val="00DD28BE"/>
    <w:rsid w:val="00DD2984"/>
    <w:rsid w:val="00DD298C"/>
    <w:rsid w:val="00DD2CBC"/>
    <w:rsid w:val="00DD2DA6"/>
    <w:rsid w:val="00DD2EA3"/>
    <w:rsid w:val="00DD2ED7"/>
    <w:rsid w:val="00DD2FE0"/>
    <w:rsid w:val="00DD2FEA"/>
    <w:rsid w:val="00DD33E5"/>
    <w:rsid w:val="00DD3592"/>
    <w:rsid w:val="00DD3734"/>
    <w:rsid w:val="00DD380F"/>
    <w:rsid w:val="00DD3865"/>
    <w:rsid w:val="00DD39F7"/>
    <w:rsid w:val="00DD3AC9"/>
    <w:rsid w:val="00DD3C2B"/>
    <w:rsid w:val="00DD3C3C"/>
    <w:rsid w:val="00DD3D17"/>
    <w:rsid w:val="00DD3DA9"/>
    <w:rsid w:val="00DD3EC4"/>
    <w:rsid w:val="00DD3F80"/>
    <w:rsid w:val="00DD3FB1"/>
    <w:rsid w:val="00DD418A"/>
    <w:rsid w:val="00DD41CE"/>
    <w:rsid w:val="00DD41D2"/>
    <w:rsid w:val="00DD4301"/>
    <w:rsid w:val="00DD4397"/>
    <w:rsid w:val="00DD442C"/>
    <w:rsid w:val="00DD455F"/>
    <w:rsid w:val="00DD49FC"/>
    <w:rsid w:val="00DD4B24"/>
    <w:rsid w:val="00DD4D53"/>
    <w:rsid w:val="00DD4E1A"/>
    <w:rsid w:val="00DD4E79"/>
    <w:rsid w:val="00DD50D1"/>
    <w:rsid w:val="00DD51E2"/>
    <w:rsid w:val="00DD5352"/>
    <w:rsid w:val="00DD53DF"/>
    <w:rsid w:val="00DD5668"/>
    <w:rsid w:val="00DD5670"/>
    <w:rsid w:val="00DD59AC"/>
    <w:rsid w:val="00DD5AA2"/>
    <w:rsid w:val="00DD5C54"/>
    <w:rsid w:val="00DD5E12"/>
    <w:rsid w:val="00DD5E15"/>
    <w:rsid w:val="00DD6197"/>
    <w:rsid w:val="00DD6338"/>
    <w:rsid w:val="00DD6447"/>
    <w:rsid w:val="00DD6741"/>
    <w:rsid w:val="00DD6974"/>
    <w:rsid w:val="00DD69D6"/>
    <w:rsid w:val="00DD6B98"/>
    <w:rsid w:val="00DD6CAF"/>
    <w:rsid w:val="00DD6FFF"/>
    <w:rsid w:val="00DD75C6"/>
    <w:rsid w:val="00DD75DD"/>
    <w:rsid w:val="00DD794C"/>
    <w:rsid w:val="00DD795B"/>
    <w:rsid w:val="00DD7A6E"/>
    <w:rsid w:val="00DD7A70"/>
    <w:rsid w:val="00DD7F59"/>
    <w:rsid w:val="00DD7FFC"/>
    <w:rsid w:val="00DE0194"/>
    <w:rsid w:val="00DE01FB"/>
    <w:rsid w:val="00DE0289"/>
    <w:rsid w:val="00DE04C1"/>
    <w:rsid w:val="00DE04F1"/>
    <w:rsid w:val="00DE05D4"/>
    <w:rsid w:val="00DE0616"/>
    <w:rsid w:val="00DE088C"/>
    <w:rsid w:val="00DE0A7C"/>
    <w:rsid w:val="00DE0ABF"/>
    <w:rsid w:val="00DE0B65"/>
    <w:rsid w:val="00DE0BC0"/>
    <w:rsid w:val="00DE0CBA"/>
    <w:rsid w:val="00DE0FDE"/>
    <w:rsid w:val="00DE1058"/>
    <w:rsid w:val="00DE14F5"/>
    <w:rsid w:val="00DE16DB"/>
    <w:rsid w:val="00DE174F"/>
    <w:rsid w:val="00DE1796"/>
    <w:rsid w:val="00DE17D6"/>
    <w:rsid w:val="00DE1805"/>
    <w:rsid w:val="00DE1822"/>
    <w:rsid w:val="00DE1871"/>
    <w:rsid w:val="00DE19A4"/>
    <w:rsid w:val="00DE19D7"/>
    <w:rsid w:val="00DE1B45"/>
    <w:rsid w:val="00DE1C2E"/>
    <w:rsid w:val="00DE20C1"/>
    <w:rsid w:val="00DE214F"/>
    <w:rsid w:val="00DE21CF"/>
    <w:rsid w:val="00DE2325"/>
    <w:rsid w:val="00DE24ED"/>
    <w:rsid w:val="00DE2649"/>
    <w:rsid w:val="00DE264A"/>
    <w:rsid w:val="00DE2662"/>
    <w:rsid w:val="00DE31E8"/>
    <w:rsid w:val="00DE321C"/>
    <w:rsid w:val="00DE3385"/>
    <w:rsid w:val="00DE338F"/>
    <w:rsid w:val="00DE34A3"/>
    <w:rsid w:val="00DE35B5"/>
    <w:rsid w:val="00DE35E2"/>
    <w:rsid w:val="00DE37FA"/>
    <w:rsid w:val="00DE38AD"/>
    <w:rsid w:val="00DE3B6E"/>
    <w:rsid w:val="00DE3E15"/>
    <w:rsid w:val="00DE3F7A"/>
    <w:rsid w:val="00DE431B"/>
    <w:rsid w:val="00DE4860"/>
    <w:rsid w:val="00DE4930"/>
    <w:rsid w:val="00DE4AA0"/>
    <w:rsid w:val="00DE4ACC"/>
    <w:rsid w:val="00DE4B7A"/>
    <w:rsid w:val="00DE4FC6"/>
    <w:rsid w:val="00DE4FDC"/>
    <w:rsid w:val="00DE59F4"/>
    <w:rsid w:val="00DE5A79"/>
    <w:rsid w:val="00DE5BF3"/>
    <w:rsid w:val="00DE5D27"/>
    <w:rsid w:val="00DE5D36"/>
    <w:rsid w:val="00DE5DD5"/>
    <w:rsid w:val="00DE5FD4"/>
    <w:rsid w:val="00DE5FD7"/>
    <w:rsid w:val="00DE66E1"/>
    <w:rsid w:val="00DE6800"/>
    <w:rsid w:val="00DE6889"/>
    <w:rsid w:val="00DE6892"/>
    <w:rsid w:val="00DE6A1F"/>
    <w:rsid w:val="00DE6B1A"/>
    <w:rsid w:val="00DE6D12"/>
    <w:rsid w:val="00DE6E30"/>
    <w:rsid w:val="00DE7048"/>
    <w:rsid w:val="00DE70AA"/>
    <w:rsid w:val="00DE70DC"/>
    <w:rsid w:val="00DE7124"/>
    <w:rsid w:val="00DE72D0"/>
    <w:rsid w:val="00DE72F5"/>
    <w:rsid w:val="00DE74E3"/>
    <w:rsid w:val="00DE757A"/>
    <w:rsid w:val="00DE75A8"/>
    <w:rsid w:val="00DE75E7"/>
    <w:rsid w:val="00DE7659"/>
    <w:rsid w:val="00DE786E"/>
    <w:rsid w:val="00DE79AA"/>
    <w:rsid w:val="00DE7A05"/>
    <w:rsid w:val="00DE7C2B"/>
    <w:rsid w:val="00DE7C55"/>
    <w:rsid w:val="00DE7D3D"/>
    <w:rsid w:val="00DE7E98"/>
    <w:rsid w:val="00DE7EAE"/>
    <w:rsid w:val="00DF049F"/>
    <w:rsid w:val="00DF05A6"/>
    <w:rsid w:val="00DF06B8"/>
    <w:rsid w:val="00DF0A1A"/>
    <w:rsid w:val="00DF0A4A"/>
    <w:rsid w:val="00DF0E99"/>
    <w:rsid w:val="00DF1166"/>
    <w:rsid w:val="00DF11B8"/>
    <w:rsid w:val="00DF12A7"/>
    <w:rsid w:val="00DF1363"/>
    <w:rsid w:val="00DF13B5"/>
    <w:rsid w:val="00DF176A"/>
    <w:rsid w:val="00DF19A6"/>
    <w:rsid w:val="00DF1A91"/>
    <w:rsid w:val="00DF1B5D"/>
    <w:rsid w:val="00DF1BE8"/>
    <w:rsid w:val="00DF236D"/>
    <w:rsid w:val="00DF2595"/>
    <w:rsid w:val="00DF2723"/>
    <w:rsid w:val="00DF2724"/>
    <w:rsid w:val="00DF27E4"/>
    <w:rsid w:val="00DF2841"/>
    <w:rsid w:val="00DF338C"/>
    <w:rsid w:val="00DF349F"/>
    <w:rsid w:val="00DF3663"/>
    <w:rsid w:val="00DF369F"/>
    <w:rsid w:val="00DF3791"/>
    <w:rsid w:val="00DF37AB"/>
    <w:rsid w:val="00DF37E6"/>
    <w:rsid w:val="00DF3C7D"/>
    <w:rsid w:val="00DF3C81"/>
    <w:rsid w:val="00DF3CC6"/>
    <w:rsid w:val="00DF3E2C"/>
    <w:rsid w:val="00DF3F28"/>
    <w:rsid w:val="00DF4013"/>
    <w:rsid w:val="00DF4227"/>
    <w:rsid w:val="00DF4287"/>
    <w:rsid w:val="00DF45E4"/>
    <w:rsid w:val="00DF46F1"/>
    <w:rsid w:val="00DF4943"/>
    <w:rsid w:val="00DF4B48"/>
    <w:rsid w:val="00DF4BE5"/>
    <w:rsid w:val="00DF4C50"/>
    <w:rsid w:val="00DF4C9D"/>
    <w:rsid w:val="00DF51D9"/>
    <w:rsid w:val="00DF5460"/>
    <w:rsid w:val="00DF54D9"/>
    <w:rsid w:val="00DF550C"/>
    <w:rsid w:val="00DF59E0"/>
    <w:rsid w:val="00DF5B4D"/>
    <w:rsid w:val="00DF5B70"/>
    <w:rsid w:val="00DF5CA6"/>
    <w:rsid w:val="00DF612F"/>
    <w:rsid w:val="00DF647F"/>
    <w:rsid w:val="00DF6546"/>
    <w:rsid w:val="00DF685A"/>
    <w:rsid w:val="00DF68FD"/>
    <w:rsid w:val="00DF6977"/>
    <w:rsid w:val="00DF6A7D"/>
    <w:rsid w:val="00DF6AA8"/>
    <w:rsid w:val="00DF6CC9"/>
    <w:rsid w:val="00DF6F60"/>
    <w:rsid w:val="00DF70B3"/>
    <w:rsid w:val="00DF71A7"/>
    <w:rsid w:val="00DF71CE"/>
    <w:rsid w:val="00DF726E"/>
    <w:rsid w:val="00DF73A6"/>
    <w:rsid w:val="00DF74CA"/>
    <w:rsid w:val="00DF76D4"/>
    <w:rsid w:val="00DF7742"/>
    <w:rsid w:val="00DF7784"/>
    <w:rsid w:val="00DF794C"/>
    <w:rsid w:val="00DF79C8"/>
    <w:rsid w:val="00DF7CD8"/>
    <w:rsid w:val="00DF7EF2"/>
    <w:rsid w:val="00DF7F9D"/>
    <w:rsid w:val="00E00352"/>
    <w:rsid w:val="00E003AE"/>
    <w:rsid w:val="00E003EA"/>
    <w:rsid w:val="00E005E1"/>
    <w:rsid w:val="00E00641"/>
    <w:rsid w:val="00E00661"/>
    <w:rsid w:val="00E00D35"/>
    <w:rsid w:val="00E010D8"/>
    <w:rsid w:val="00E01119"/>
    <w:rsid w:val="00E01201"/>
    <w:rsid w:val="00E01307"/>
    <w:rsid w:val="00E0145E"/>
    <w:rsid w:val="00E01596"/>
    <w:rsid w:val="00E015F3"/>
    <w:rsid w:val="00E017CB"/>
    <w:rsid w:val="00E01A15"/>
    <w:rsid w:val="00E01A32"/>
    <w:rsid w:val="00E01A71"/>
    <w:rsid w:val="00E01CBA"/>
    <w:rsid w:val="00E01DB5"/>
    <w:rsid w:val="00E01FD0"/>
    <w:rsid w:val="00E02004"/>
    <w:rsid w:val="00E024D8"/>
    <w:rsid w:val="00E027B6"/>
    <w:rsid w:val="00E0280E"/>
    <w:rsid w:val="00E029A4"/>
    <w:rsid w:val="00E02A43"/>
    <w:rsid w:val="00E02CC6"/>
    <w:rsid w:val="00E02D36"/>
    <w:rsid w:val="00E02E21"/>
    <w:rsid w:val="00E02E33"/>
    <w:rsid w:val="00E02F8B"/>
    <w:rsid w:val="00E03348"/>
    <w:rsid w:val="00E035C6"/>
    <w:rsid w:val="00E03927"/>
    <w:rsid w:val="00E03C0A"/>
    <w:rsid w:val="00E03DFC"/>
    <w:rsid w:val="00E03E06"/>
    <w:rsid w:val="00E03E1F"/>
    <w:rsid w:val="00E03E77"/>
    <w:rsid w:val="00E03ECB"/>
    <w:rsid w:val="00E03FED"/>
    <w:rsid w:val="00E040DE"/>
    <w:rsid w:val="00E04139"/>
    <w:rsid w:val="00E0414A"/>
    <w:rsid w:val="00E0417A"/>
    <w:rsid w:val="00E04301"/>
    <w:rsid w:val="00E044E7"/>
    <w:rsid w:val="00E0456B"/>
    <w:rsid w:val="00E0467E"/>
    <w:rsid w:val="00E04DC1"/>
    <w:rsid w:val="00E05149"/>
    <w:rsid w:val="00E052C9"/>
    <w:rsid w:val="00E052FC"/>
    <w:rsid w:val="00E0535F"/>
    <w:rsid w:val="00E054E5"/>
    <w:rsid w:val="00E05602"/>
    <w:rsid w:val="00E05640"/>
    <w:rsid w:val="00E05743"/>
    <w:rsid w:val="00E05882"/>
    <w:rsid w:val="00E05927"/>
    <w:rsid w:val="00E05B0F"/>
    <w:rsid w:val="00E05C00"/>
    <w:rsid w:val="00E05CA0"/>
    <w:rsid w:val="00E05CC1"/>
    <w:rsid w:val="00E05D0A"/>
    <w:rsid w:val="00E060B3"/>
    <w:rsid w:val="00E06147"/>
    <w:rsid w:val="00E061D3"/>
    <w:rsid w:val="00E061FE"/>
    <w:rsid w:val="00E062A9"/>
    <w:rsid w:val="00E0635E"/>
    <w:rsid w:val="00E06362"/>
    <w:rsid w:val="00E063A3"/>
    <w:rsid w:val="00E0689D"/>
    <w:rsid w:val="00E06A1B"/>
    <w:rsid w:val="00E06A96"/>
    <w:rsid w:val="00E06C48"/>
    <w:rsid w:val="00E06C8A"/>
    <w:rsid w:val="00E06DCA"/>
    <w:rsid w:val="00E06EA8"/>
    <w:rsid w:val="00E06EE5"/>
    <w:rsid w:val="00E0713C"/>
    <w:rsid w:val="00E07178"/>
    <w:rsid w:val="00E071AA"/>
    <w:rsid w:val="00E071B2"/>
    <w:rsid w:val="00E0722D"/>
    <w:rsid w:val="00E07293"/>
    <w:rsid w:val="00E0739A"/>
    <w:rsid w:val="00E0754A"/>
    <w:rsid w:val="00E07603"/>
    <w:rsid w:val="00E078D3"/>
    <w:rsid w:val="00E079AF"/>
    <w:rsid w:val="00E07A52"/>
    <w:rsid w:val="00E07BED"/>
    <w:rsid w:val="00E07CDC"/>
    <w:rsid w:val="00E07D8E"/>
    <w:rsid w:val="00E07FEF"/>
    <w:rsid w:val="00E10023"/>
    <w:rsid w:val="00E1018E"/>
    <w:rsid w:val="00E1028D"/>
    <w:rsid w:val="00E10394"/>
    <w:rsid w:val="00E106C3"/>
    <w:rsid w:val="00E1076D"/>
    <w:rsid w:val="00E10925"/>
    <w:rsid w:val="00E109B4"/>
    <w:rsid w:val="00E109C2"/>
    <w:rsid w:val="00E10BD6"/>
    <w:rsid w:val="00E10E6E"/>
    <w:rsid w:val="00E10EDB"/>
    <w:rsid w:val="00E10F6E"/>
    <w:rsid w:val="00E11096"/>
    <w:rsid w:val="00E110D0"/>
    <w:rsid w:val="00E1125A"/>
    <w:rsid w:val="00E1128E"/>
    <w:rsid w:val="00E112D7"/>
    <w:rsid w:val="00E11455"/>
    <w:rsid w:val="00E114CB"/>
    <w:rsid w:val="00E1161F"/>
    <w:rsid w:val="00E1176A"/>
    <w:rsid w:val="00E117B9"/>
    <w:rsid w:val="00E1187C"/>
    <w:rsid w:val="00E11B7D"/>
    <w:rsid w:val="00E11CB5"/>
    <w:rsid w:val="00E11CEF"/>
    <w:rsid w:val="00E1219B"/>
    <w:rsid w:val="00E1229D"/>
    <w:rsid w:val="00E122F0"/>
    <w:rsid w:val="00E1235E"/>
    <w:rsid w:val="00E123FE"/>
    <w:rsid w:val="00E12601"/>
    <w:rsid w:val="00E1263A"/>
    <w:rsid w:val="00E12655"/>
    <w:rsid w:val="00E12717"/>
    <w:rsid w:val="00E1306E"/>
    <w:rsid w:val="00E13088"/>
    <w:rsid w:val="00E13213"/>
    <w:rsid w:val="00E1324D"/>
    <w:rsid w:val="00E13343"/>
    <w:rsid w:val="00E13394"/>
    <w:rsid w:val="00E13444"/>
    <w:rsid w:val="00E13690"/>
    <w:rsid w:val="00E13803"/>
    <w:rsid w:val="00E13A3F"/>
    <w:rsid w:val="00E13BBE"/>
    <w:rsid w:val="00E13CAA"/>
    <w:rsid w:val="00E13CC6"/>
    <w:rsid w:val="00E13DF0"/>
    <w:rsid w:val="00E13F7A"/>
    <w:rsid w:val="00E1411B"/>
    <w:rsid w:val="00E1425F"/>
    <w:rsid w:val="00E14272"/>
    <w:rsid w:val="00E142D4"/>
    <w:rsid w:val="00E146D7"/>
    <w:rsid w:val="00E148CE"/>
    <w:rsid w:val="00E149D7"/>
    <w:rsid w:val="00E14BA2"/>
    <w:rsid w:val="00E14CDA"/>
    <w:rsid w:val="00E14E17"/>
    <w:rsid w:val="00E14F90"/>
    <w:rsid w:val="00E1512B"/>
    <w:rsid w:val="00E1519C"/>
    <w:rsid w:val="00E15325"/>
    <w:rsid w:val="00E153A1"/>
    <w:rsid w:val="00E153C9"/>
    <w:rsid w:val="00E15552"/>
    <w:rsid w:val="00E155DC"/>
    <w:rsid w:val="00E155F6"/>
    <w:rsid w:val="00E1571D"/>
    <w:rsid w:val="00E157A1"/>
    <w:rsid w:val="00E1592C"/>
    <w:rsid w:val="00E15C85"/>
    <w:rsid w:val="00E15D94"/>
    <w:rsid w:val="00E15E0B"/>
    <w:rsid w:val="00E16015"/>
    <w:rsid w:val="00E1607D"/>
    <w:rsid w:val="00E16103"/>
    <w:rsid w:val="00E164E7"/>
    <w:rsid w:val="00E169A8"/>
    <w:rsid w:val="00E16BA8"/>
    <w:rsid w:val="00E16C36"/>
    <w:rsid w:val="00E16FC3"/>
    <w:rsid w:val="00E17289"/>
    <w:rsid w:val="00E172B0"/>
    <w:rsid w:val="00E1736B"/>
    <w:rsid w:val="00E173D0"/>
    <w:rsid w:val="00E174EE"/>
    <w:rsid w:val="00E174F6"/>
    <w:rsid w:val="00E175C2"/>
    <w:rsid w:val="00E17829"/>
    <w:rsid w:val="00E179D8"/>
    <w:rsid w:val="00E179F9"/>
    <w:rsid w:val="00E17AE1"/>
    <w:rsid w:val="00E17B89"/>
    <w:rsid w:val="00E17BC3"/>
    <w:rsid w:val="00E17C54"/>
    <w:rsid w:val="00E17CB5"/>
    <w:rsid w:val="00E17DE0"/>
    <w:rsid w:val="00E17E44"/>
    <w:rsid w:val="00E17F7C"/>
    <w:rsid w:val="00E20117"/>
    <w:rsid w:val="00E20251"/>
    <w:rsid w:val="00E205FA"/>
    <w:rsid w:val="00E20758"/>
    <w:rsid w:val="00E2077F"/>
    <w:rsid w:val="00E20788"/>
    <w:rsid w:val="00E207EE"/>
    <w:rsid w:val="00E20863"/>
    <w:rsid w:val="00E208EF"/>
    <w:rsid w:val="00E20927"/>
    <w:rsid w:val="00E20A4C"/>
    <w:rsid w:val="00E20A75"/>
    <w:rsid w:val="00E20B74"/>
    <w:rsid w:val="00E20D55"/>
    <w:rsid w:val="00E20FAD"/>
    <w:rsid w:val="00E21002"/>
    <w:rsid w:val="00E21099"/>
    <w:rsid w:val="00E211BE"/>
    <w:rsid w:val="00E21246"/>
    <w:rsid w:val="00E2138E"/>
    <w:rsid w:val="00E213C9"/>
    <w:rsid w:val="00E2167C"/>
    <w:rsid w:val="00E21DAD"/>
    <w:rsid w:val="00E21E79"/>
    <w:rsid w:val="00E222D5"/>
    <w:rsid w:val="00E223D0"/>
    <w:rsid w:val="00E22535"/>
    <w:rsid w:val="00E22686"/>
    <w:rsid w:val="00E22689"/>
    <w:rsid w:val="00E226C8"/>
    <w:rsid w:val="00E226CA"/>
    <w:rsid w:val="00E2293F"/>
    <w:rsid w:val="00E22B5E"/>
    <w:rsid w:val="00E22E43"/>
    <w:rsid w:val="00E22F88"/>
    <w:rsid w:val="00E23046"/>
    <w:rsid w:val="00E233AB"/>
    <w:rsid w:val="00E23564"/>
    <w:rsid w:val="00E23587"/>
    <w:rsid w:val="00E23654"/>
    <w:rsid w:val="00E2378F"/>
    <w:rsid w:val="00E23994"/>
    <w:rsid w:val="00E239D4"/>
    <w:rsid w:val="00E23EBF"/>
    <w:rsid w:val="00E23FDB"/>
    <w:rsid w:val="00E24043"/>
    <w:rsid w:val="00E243C7"/>
    <w:rsid w:val="00E24449"/>
    <w:rsid w:val="00E2449E"/>
    <w:rsid w:val="00E245AB"/>
    <w:rsid w:val="00E246BD"/>
    <w:rsid w:val="00E24725"/>
    <w:rsid w:val="00E247CB"/>
    <w:rsid w:val="00E247F6"/>
    <w:rsid w:val="00E2492F"/>
    <w:rsid w:val="00E24C6A"/>
    <w:rsid w:val="00E24E90"/>
    <w:rsid w:val="00E24F5A"/>
    <w:rsid w:val="00E25351"/>
    <w:rsid w:val="00E2544C"/>
    <w:rsid w:val="00E2557B"/>
    <w:rsid w:val="00E25580"/>
    <w:rsid w:val="00E255F2"/>
    <w:rsid w:val="00E256A9"/>
    <w:rsid w:val="00E25855"/>
    <w:rsid w:val="00E2585C"/>
    <w:rsid w:val="00E258CD"/>
    <w:rsid w:val="00E25959"/>
    <w:rsid w:val="00E25B1E"/>
    <w:rsid w:val="00E25B25"/>
    <w:rsid w:val="00E25CFB"/>
    <w:rsid w:val="00E261E5"/>
    <w:rsid w:val="00E26493"/>
    <w:rsid w:val="00E265FE"/>
    <w:rsid w:val="00E26628"/>
    <w:rsid w:val="00E2662B"/>
    <w:rsid w:val="00E26671"/>
    <w:rsid w:val="00E268B1"/>
    <w:rsid w:val="00E26906"/>
    <w:rsid w:val="00E26BBD"/>
    <w:rsid w:val="00E26CAF"/>
    <w:rsid w:val="00E26F79"/>
    <w:rsid w:val="00E26FA1"/>
    <w:rsid w:val="00E2724C"/>
    <w:rsid w:val="00E27552"/>
    <w:rsid w:val="00E277E4"/>
    <w:rsid w:val="00E278A8"/>
    <w:rsid w:val="00E279CE"/>
    <w:rsid w:val="00E27A38"/>
    <w:rsid w:val="00E27AB9"/>
    <w:rsid w:val="00E27AF2"/>
    <w:rsid w:val="00E27B0B"/>
    <w:rsid w:val="00E27D82"/>
    <w:rsid w:val="00E27D9C"/>
    <w:rsid w:val="00E27DA3"/>
    <w:rsid w:val="00E302B5"/>
    <w:rsid w:val="00E30473"/>
    <w:rsid w:val="00E30657"/>
    <w:rsid w:val="00E306EC"/>
    <w:rsid w:val="00E307F9"/>
    <w:rsid w:val="00E30A9C"/>
    <w:rsid w:val="00E30B2F"/>
    <w:rsid w:val="00E30DFD"/>
    <w:rsid w:val="00E31102"/>
    <w:rsid w:val="00E31126"/>
    <w:rsid w:val="00E3114A"/>
    <w:rsid w:val="00E31180"/>
    <w:rsid w:val="00E315FE"/>
    <w:rsid w:val="00E316A7"/>
    <w:rsid w:val="00E3170B"/>
    <w:rsid w:val="00E317D4"/>
    <w:rsid w:val="00E31954"/>
    <w:rsid w:val="00E3198D"/>
    <w:rsid w:val="00E31A00"/>
    <w:rsid w:val="00E31C15"/>
    <w:rsid w:val="00E320B0"/>
    <w:rsid w:val="00E3212E"/>
    <w:rsid w:val="00E32142"/>
    <w:rsid w:val="00E3237B"/>
    <w:rsid w:val="00E326A9"/>
    <w:rsid w:val="00E32734"/>
    <w:rsid w:val="00E32889"/>
    <w:rsid w:val="00E328CD"/>
    <w:rsid w:val="00E32CDC"/>
    <w:rsid w:val="00E32D1B"/>
    <w:rsid w:val="00E32E54"/>
    <w:rsid w:val="00E32FEE"/>
    <w:rsid w:val="00E330D6"/>
    <w:rsid w:val="00E331D3"/>
    <w:rsid w:val="00E33328"/>
    <w:rsid w:val="00E33579"/>
    <w:rsid w:val="00E335C1"/>
    <w:rsid w:val="00E33715"/>
    <w:rsid w:val="00E338B0"/>
    <w:rsid w:val="00E339B7"/>
    <w:rsid w:val="00E339BA"/>
    <w:rsid w:val="00E33B6D"/>
    <w:rsid w:val="00E33E28"/>
    <w:rsid w:val="00E33EFF"/>
    <w:rsid w:val="00E33FE6"/>
    <w:rsid w:val="00E3439E"/>
    <w:rsid w:val="00E34588"/>
    <w:rsid w:val="00E345A6"/>
    <w:rsid w:val="00E34725"/>
    <w:rsid w:val="00E34870"/>
    <w:rsid w:val="00E34A01"/>
    <w:rsid w:val="00E34E6C"/>
    <w:rsid w:val="00E3501E"/>
    <w:rsid w:val="00E35464"/>
    <w:rsid w:val="00E35556"/>
    <w:rsid w:val="00E358BF"/>
    <w:rsid w:val="00E35A1C"/>
    <w:rsid w:val="00E35B29"/>
    <w:rsid w:val="00E35C27"/>
    <w:rsid w:val="00E35D61"/>
    <w:rsid w:val="00E3602D"/>
    <w:rsid w:val="00E36096"/>
    <w:rsid w:val="00E3616F"/>
    <w:rsid w:val="00E362A3"/>
    <w:rsid w:val="00E36355"/>
    <w:rsid w:val="00E36399"/>
    <w:rsid w:val="00E364E4"/>
    <w:rsid w:val="00E36524"/>
    <w:rsid w:val="00E366B9"/>
    <w:rsid w:val="00E3671A"/>
    <w:rsid w:val="00E369BC"/>
    <w:rsid w:val="00E36C70"/>
    <w:rsid w:val="00E36E06"/>
    <w:rsid w:val="00E36E14"/>
    <w:rsid w:val="00E3724A"/>
    <w:rsid w:val="00E372BB"/>
    <w:rsid w:val="00E372F9"/>
    <w:rsid w:val="00E37523"/>
    <w:rsid w:val="00E37899"/>
    <w:rsid w:val="00E37BAE"/>
    <w:rsid w:val="00E40354"/>
    <w:rsid w:val="00E404A6"/>
    <w:rsid w:val="00E40B17"/>
    <w:rsid w:val="00E40D19"/>
    <w:rsid w:val="00E40E41"/>
    <w:rsid w:val="00E4122A"/>
    <w:rsid w:val="00E4126A"/>
    <w:rsid w:val="00E412A7"/>
    <w:rsid w:val="00E413AC"/>
    <w:rsid w:val="00E4158D"/>
    <w:rsid w:val="00E41636"/>
    <w:rsid w:val="00E417DA"/>
    <w:rsid w:val="00E41884"/>
    <w:rsid w:val="00E41894"/>
    <w:rsid w:val="00E418DF"/>
    <w:rsid w:val="00E41B57"/>
    <w:rsid w:val="00E41CC6"/>
    <w:rsid w:val="00E41DBE"/>
    <w:rsid w:val="00E41FD1"/>
    <w:rsid w:val="00E424E9"/>
    <w:rsid w:val="00E42573"/>
    <w:rsid w:val="00E425C0"/>
    <w:rsid w:val="00E42683"/>
    <w:rsid w:val="00E427F6"/>
    <w:rsid w:val="00E428B3"/>
    <w:rsid w:val="00E428C8"/>
    <w:rsid w:val="00E429A7"/>
    <w:rsid w:val="00E42AFC"/>
    <w:rsid w:val="00E42C51"/>
    <w:rsid w:val="00E42C88"/>
    <w:rsid w:val="00E42C93"/>
    <w:rsid w:val="00E42F7B"/>
    <w:rsid w:val="00E42FC4"/>
    <w:rsid w:val="00E430F6"/>
    <w:rsid w:val="00E43241"/>
    <w:rsid w:val="00E432AA"/>
    <w:rsid w:val="00E433C4"/>
    <w:rsid w:val="00E434DD"/>
    <w:rsid w:val="00E4363F"/>
    <w:rsid w:val="00E437F7"/>
    <w:rsid w:val="00E43978"/>
    <w:rsid w:val="00E43A51"/>
    <w:rsid w:val="00E43D11"/>
    <w:rsid w:val="00E43D33"/>
    <w:rsid w:val="00E43D4E"/>
    <w:rsid w:val="00E43DE6"/>
    <w:rsid w:val="00E43F4C"/>
    <w:rsid w:val="00E4405B"/>
    <w:rsid w:val="00E4411B"/>
    <w:rsid w:val="00E4418B"/>
    <w:rsid w:val="00E442DC"/>
    <w:rsid w:val="00E44594"/>
    <w:rsid w:val="00E44599"/>
    <w:rsid w:val="00E445B0"/>
    <w:rsid w:val="00E445CB"/>
    <w:rsid w:val="00E447A6"/>
    <w:rsid w:val="00E44BA7"/>
    <w:rsid w:val="00E44C8B"/>
    <w:rsid w:val="00E44C8E"/>
    <w:rsid w:val="00E44E37"/>
    <w:rsid w:val="00E44EC7"/>
    <w:rsid w:val="00E44F90"/>
    <w:rsid w:val="00E453C7"/>
    <w:rsid w:val="00E45573"/>
    <w:rsid w:val="00E45783"/>
    <w:rsid w:val="00E458CF"/>
    <w:rsid w:val="00E45A9C"/>
    <w:rsid w:val="00E45AA8"/>
    <w:rsid w:val="00E45B3F"/>
    <w:rsid w:val="00E45C14"/>
    <w:rsid w:val="00E45C33"/>
    <w:rsid w:val="00E45CFF"/>
    <w:rsid w:val="00E45E57"/>
    <w:rsid w:val="00E45EAA"/>
    <w:rsid w:val="00E45FBA"/>
    <w:rsid w:val="00E460BB"/>
    <w:rsid w:val="00E46144"/>
    <w:rsid w:val="00E461ED"/>
    <w:rsid w:val="00E46321"/>
    <w:rsid w:val="00E463F6"/>
    <w:rsid w:val="00E46455"/>
    <w:rsid w:val="00E4647C"/>
    <w:rsid w:val="00E46496"/>
    <w:rsid w:val="00E46668"/>
    <w:rsid w:val="00E467FE"/>
    <w:rsid w:val="00E4689D"/>
    <w:rsid w:val="00E46983"/>
    <w:rsid w:val="00E46A7B"/>
    <w:rsid w:val="00E46B15"/>
    <w:rsid w:val="00E46B59"/>
    <w:rsid w:val="00E46C0D"/>
    <w:rsid w:val="00E46C10"/>
    <w:rsid w:val="00E46D25"/>
    <w:rsid w:val="00E46D78"/>
    <w:rsid w:val="00E46E38"/>
    <w:rsid w:val="00E46F87"/>
    <w:rsid w:val="00E470B6"/>
    <w:rsid w:val="00E47140"/>
    <w:rsid w:val="00E4714E"/>
    <w:rsid w:val="00E471DE"/>
    <w:rsid w:val="00E47528"/>
    <w:rsid w:val="00E4777E"/>
    <w:rsid w:val="00E47930"/>
    <w:rsid w:val="00E47CA4"/>
    <w:rsid w:val="00E47F2E"/>
    <w:rsid w:val="00E50232"/>
    <w:rsid w:val="00E50513"/>
    <w:rsid w:val="00E50515"/>
    <w:rsid w:val="00E506B4"/>
    <w:rsid w:val="00E5096C"/>
    <w:rsid w:val="00E509DC"/>
    <w:rsid w:val="00E50A07"/>
    <w:rsid w:val="00E50A60"/>
    <w:rsid w:val="00E50BDD"/>
    <w:rsid w:val="00E50D95"/>
    <w:rsid w:val="00E50E4C"/>
    <w:rsid w:val="00E50FCA"/>
    <w:rsid w:val="00E5101D"/>
    <w:rsid w:val="00E51107"/>
    <w:rsid w:val="00E51116"/>
    <w:rsid w:val="00E51235"/>
    <w:rsid w:val="00E51254"/>
    <w:rsid w:val="00E51446"/>
    <w:rsid w:val="00E515D2"/>
    <w:rsid w:val="00E51615"/>
    <w:rsid w:val="00E51A06"/>
    <w:rsid w:val="00E51B54"/>
    <w:rsid w:val="00E51BB6"/>
    <w:rsid w:val="00E51CC3"/>
    <w:rsid w:val="00E51D85"/>
    <w:rsid w:val="00E51E15"/>
    <w:rsid w:val="00E5209C"/>
    <w:rsid w:val="00E52235"/>
    <w:rsid w:val="00E5236C"/>
    <w:rsid w:val="00E52483"/>
    <w:rsid w:val="00E52699"/>
    <w:rsid w:val="00E527A5"/>
    <w:rsid w:val="00E527D0"/>
    <w:rsid w:val="00E5287F"/>
    <w:rsid w:val="00E528A8"/>
    <w:rsid w:val="00E52932"/>
    <w:rsid w:val="00E52993"/>
    <w:rsid w:val="00E52A14"/>
    <w:rsid w:val="00E52B98"/>
    <w:rsid w:val="00E52BFE"/>
    <w:rsid w:val="00E52EF1"/>
    <w:rsid w:val="00E52F1D"/>
    <w:rsid w:val="00E52F43"/>
    <w:rsid w:val="00E530B5"/>
    <w:rsid w:val="00E530FA"/>
    <w:rsid w:val="00E53140"/>
    <w:rsid w:val="00E53166"/>
    <w:rsid w:val="00E531B6"/>
    <w:rsid w:val="00E532B7"/>
    <w:rsid w:val="00E532D6"/>
    <w:rsid w:val="00E53371"/>
    <w:rsid w:val="00E534D0"/>
    <w:rsid w:val="00E53596"/>
    <w:rsid w:val="00E53952"/>
    <w:rsid w:val="00E53A1B"/>
    <w:rsid w:val="00E53A63"/>
    <w:rsid w:val="00E53C1B"/>
    <w:rsid w:val="00E53C77"/>
    <w:rsid w:val="00E53C8F"/>
    <w:rsid w:val="00E54011"/>
    <w:rsid w:val="00E54024"/>
    <w:rsid w:val="00E540EE"/>
    <w:rsid w:val="00E542EA"/>
    <w:rsid w:val="00E5444E"/>
    <w:rsid w:val="00E54970"/>
    <w:rsid w:val="00E54B52"/>
    <w:rsid w:val="00E54C63"/>
    <w:rsid w:val="00E54DD1"/>
    <w:rsid w:val="00E54E24"/>
    <w:rsid w:val="00E54E89"/>
    <w:rsid w:val="00E54F14"/>
    <w:rsid w:val="00E550FC"/>
    <w:rsid w:val="00E552CE"/>
    <w:rsid w:val="00E55358"/>
    <w:rsid w:val="00E555E6"/>
    <w:rsid w:val="00E556BF"/>
    <w:rsid w:val="00E55792"/>
    <w:rsid w:val="00E557EF"/>
    <w:rsid w:val="00E5583B"/>
    <w:rsid w:val="00E55B92"/>
    <w:rsid w:val="00E55C31"/>
    <w:rsid w:val="00E55C60"/>
    <w:rsid w:val="00E55D01"/>
    <w:rsid w:val="00E55D8E"/>
    <w:rsid w:val="00E55EC3"/>
    <w:rsid w:val="00E55F65"/>
    <w:rsid w:val="00E560B0"/>
    <w:rsid w:val="00E5612C"/>
    <w:rsid w:val="00E56338"/>
    <w:rsid w:val="00E56355"/>
    <w:rsid w:val="00E5638E"/>
    <w:rsid w:val="00E564CA"/>
    <w:rsid w:val="00E56509"/>
    <w:rsid w:val="00E56618"/>
    <w:rsid w:val="00E5662C"/>
    <w:rsid w:val="00E56887"/>
    <w:rsid w:val="00E568EB"/>
    <w:rsid w:val="00E568FD"/>
    <w:rsid w:val="00E56A49"/>
    <w:rsid w:val="00E56B08"/>
    <w:rsid w:val="00E56C09"/>
    <w:rsid w:val="00E56DF9"/>
    <w:rsid w:val="00E56E98"/>
    <w:rsid w:val="00E57164"/>
    <w:rsid w:val="00E5723C"/>
    <w:rsid w:val="00E572AC"/>
    <w:rsid w:val="00E5743C"/>
    <w:rsid w:val="00E57784"/>
    <w:rsid w:val="00E57A6A"/>
    <w:rsid w:val="00E57B9D"/>
    <w:rsid w:val="00E57BD9"/>
    <w:rsid w:val="00E57FD5"/>
    <w:rsid w:val="00E60037"/>
    <w:rsid w:val="00E6034A"/>
    <w:rsid w:val="00E60445"/>
    <w:rsid w:val="00E6047A"/>
    <w:rsid w:val="00E60915"/>
    <w:rsid w:val="00E60918"/>
    <w:rsid w:val="00E609F1"/>
    <w:rsid w:val="00E60A3F"/>
    <w:rsid w:val="00E60C6C"/>
    <w:rsid w:val="00E60CBC"/>
    <w:rsid w:val="00E60FE9"/>
    <w:rsid w:val="00E6129C"/>
    <w:rsid w:val="00E612ED"/>
    <w:rsid w:val="00E613C0"/>
    <w:rsid w:val="00E618A2"/>
    <w:rsid w:val="00E618B7"/>
    <w:rsid w:val="00E618E0"/>
    <w:rsid w:val="00E61B83"/>
    <w:rsid w:val="00E61D7F"/>
    <w:rsid w:val="00E61F41"/>
    <w:rsid w:val="00E61F97"/>
    <w:rsid w:val="00E62076"/>
    <w:rsid w:val="00E624F3"/>
    <w:rsid w:val="00E6253D"/>
    <w:rsid w:val="00E6259A"/>
    <w:rsid w:val="00E6263F"/>
    <w:rsid w:val="00E627E8"/>
    <w:rsid w:val="00E62893"/>
    <w:rsid w:val="00E628C0"/>
    <w:rsid w:val="00E62D3B"/>
    <w:rsid w:val="00E62D84"/>
    <w:rsid w:val="00E62ED1"/>
    <w:rsid w:val="00E62EE7"/>
    <w:rsid w:val="00E62F2F"/>
    <w:rsid w:val="00E632FF"/>
    <w:rsid w:val="00E6339B"/>
    <w:rsid w:val="00E63565"/>
    <w:rsid w:val="00E635A4"/>
    <w:rsid w:val="00E6367B"/>
    <w:rsid w:val="00E637DF"/>
    <w:rsid w:val="00E639FF"/>
    <w:rsid w:val="00E63F5F"/>
    <w:rsid w:val="00E63FF6"/>
    <w:rsid w:val="00E640A8"/>
    <w:rsid w:val="00E64378"/>
    <w:rsid w:val="00E64428"/>
    <w:rsid w:val="00E6443F"/>
    <w:rsid w:val="00E645BE"/>
    <w:rsid w:val="00E64604"/>
    <w:rsid w:val="00E64635"/>
    <w:rsid w:val="00E647A4"/>
    <w:rsid w:val="00E64856"/>
    <w:rsid w:val="00E64B34"/>
    <w:rsid w:val="00E64B75"/>
    <w:rsid w:val="00E64B8C"/>
    <w:rsid w:val="00E64C6C"/>
    <w:rsid w:val="00E64CB0"/>
    <w:rsid w:val="00E64EDB"/>
    <w:rsid w:val="00E64F69"/>
    <w:rsid w:val="00E64F99"/>
    <w:rsid w:val="00E64FCB"/>
    <w:rsid w:val="00E651F4"/>
    <w:rsid w:val="00E65489"/>
    <w:rsid w:val="00E6558E"/>
    <w:rsid w:val="00E6567A"/>
    <w:rsid w:val="00E65788"/>
    <w:rsid w:val="00E657CE"/>
    <w:rsid w:val="00E658EE"/>
    <w:rsid w:val="00E65A00"/>
    <w:rsid w:val="00E65A40"/>
    <w:rsid w:val="00E65A60"/>
    <w:rsid w:val="00E65D0E"/>
    <w:rsid w:val="00E65D81"/>
    <w:rsid w:val="00E65E68"/>
    <w:rsid w:val="00E65F62"/>
    <w:rsid w:val="00E6600E"/>
    <w:rsid w:val="00E66140"/>
    <w:rsid w:val="00E66427"/>
    <w:rsid w:val="00E66443"/>
    <w:rsid w:val="00E664F7"/>
    <w:rsid w:val="00E6658E"/>
    <w:rsid w:val="00E6663D"/>
    <w:rsid w:val="00E66816"/>
    <w:rsid w:val="00E669EC"/>
    <w:rsid w:val="00E66A2C"/>
    <w:rsid w:val="00E66B30"/>
    <w:rsid w:val="00E66C77"/>
    <w:rsid w:val="00E66CB1"/>
    <w:rsid w:val="00E6730E"/>
    <w:rsid w:val="00E67418"/>
    <w:rsid w:val="00E67592"/>
    <w:rsid w:val="00E675E2"/>
    <w:rsid w:val="00E676CA"/>
    <w:rsid w:val="00E67857"/>
    <w:rsid w:val="00E678B9"/>
    <w:rsid w:val="00E6793B"/>
    <w:rsid w:val="00E67A82"/>
    <w:rsid w:val="00E67CB5"/>
    <w:rsid w:val="00E67E63"/>
    <w:rsid w:val="00E67EA7"/>
    <w:rsid w:val="00E67EDC"/>
    <w:rsid w:val="00E67FC7"/>
    <w:rsid w:val="00E70234"/>
    <w:rsid w:val="00E70382"/>
    <w:rsid w:val="00E705E5"/>
    <w:rsid w:val="00E706F1"/>
    <w:rsid w:val="00E7075B"/>
    <w:rsid w:val="00E70A29"/>
    <w:rsid w:val="00E70B3A"/>
    <w:rsid w:val="00E70CBB"/>
    <w:rsid w:val="00E70D19"/>
    <w:rsid w:val="00E70DA6"/>
    <w:rsid w:val="00E70F03"/>
    <w:rsid w:val="00E71183"/>
    <w:rsid w:val="00E7127F"/>
    <w:rsid w:val="00E71283"/>
    <w:rsid w:val="00E712D9"/>
    <w:rsid w:val="00E71326"/>
    <w:rsid w:val="00E71480"/>
    <w:rsid w:val="00E7152E"/>
    <w:rsid w:val="00E71539"/>
    <w:rsid w:val="00E71D6B"/>
    <w:rsid w:val="00E71E1B"/>
    <w:rsid w:val="00E71F73"/>
    <w:rsid w:val="00E71FD2"/>
    <w:rsid w:val="00E7202B"/>
    <w:rsid w:val="00E7204F"/>
    <w:rsid w:val="00E721D6"/>
    <w:rsid w:val="00E72266"/>
    <w:rsid w:val="00E724B9"/>
    <w:rsid w:val="00E725B5"/>
    <w:rsid w:val="00E72688"/>
    <w:rsid w:val="00E726EE"/>
    <w:rsid w:val="00E7298B"/>
    <w:rsid w:val="00E72B87"/>
    <w:rsid w:val="00E72CCA"/>
    <w:rsid w:val="00E72DA6"/>
    <w:rsid w:val="00E7305D"/>
    <w:rsid w:val="00E730D2"/>
    <w:rsid w:val="00E731BF"/>
    <w:rsid w:val="00E733EA"/>
    <w:rsid w:val="00E73545"/>
    <w:rsid w:val="00E7372D"/>
    <w:rsid w:val="00E7380B"/>
    <w:rsid w:val="00E73964"/>
    <w:rsid w:val="00E739A3"/>
    <w:rsid w:val="00E73AE4"/>
    <w:rsid w:val="00E73AEC"/>
    <w:rsid w:val="00E73B9E"/>
    <w:rsid w:val="00E73ED4"/>
    <w:rsid w:val="00E7403F"/>
    <w:rsid w:val="00E740A8"/>
    <w:rsid w:val="00E74276"/>
    <w:rsid w:val="00E7429C"/>
    <w:rsid w:val="00E7434D"/>
    <w:rsid w:val="00E74558"/>
    <w:rsid w:val="00E7468A"/>
    <w:rsid w:val="00E7477B"/>
    <w:rsid w:val="00E74885"/>
    <w:rsid w:val="00E7488D"/>
    <w:rsid w:val="00E748C5"/>
    <w:rsid w:val="00E7496F"/>
    <w:rsid w:val="00E74A33"/>
    <w:rsid w:val="00E74C12"/>
    <w:rsid w:val="00E74C18"/>
    <w:rsid w:val="00E74C65"/>
    <w:rsid w:val="00E74CD8"/>
    <w:rsid w:val="00E74D97"/>
    <w:rsid w:val="00E74E85"/>
    <w:rsid w:val="00E74EC9"/>
    <w:rsid w:val="00E74F49"/>
    <w:rsid w:val="00E74FE3"/>
    <w:rsid w:val="00E75033"/>
    <w:rsid w:val="00E75098"/>
    <w:rsid w:val="00E750D1"/>
    <w:rsid w:val="00E75105"/>
    <w:rsid w:val="00E7518D"/>
    <w:rsid w:val="00E751DD"/>
    <w:rsid w:val="00E75274"/>
    <w:rsid w:val="00E752F9"/>
    <w:rsid w:val="00E7532A"/>
    <w:rsid w:val="00E7552E"/>
    <w:rsid w:val="00E75639"/>
    <w:rsid w:val="00E75675"/>
    <w:rsid w:val="00E757E6"/>
    <w:rsid w:val="00E758C1"/>
    <w:rsid w:val="00E75967"/>
    <w:rsid w:val="00E75BB3"/>
    <w:rsid w:val="00E75C68"/>
    <w:rsid w:val="00E75E23"/>
    <w:rsid w:val="00E76094"/>
    <w:rsid w:val="00E764D3"/>
    <w:rsid w:val="00E7655A"/>
    <w:rsid w:val="00E765A0"/>
    <w:rsid w:val="00E767A8"/>
    <w:rsid w:val="00E767C7"/>
    <w:rsid w:val="00E7689A"/>
    <w:rsid w:val="00E76A19"/>
    <w:rsid w:val="00E76ACD"/>
    <w:rsid w:val="00E76B07"/>
    <w:rsid w:val="00E76C1E"/>
    <w:rsid w:val="00E76E45"/>
    <w:rsid w:val="00E76FA2"/>
    <w:rsid w:val="00E77139"/>
    <w:rsid w:val="00E77184"/>
    <w:rsid w:val="00E771D1"/>
    <w:rsid w:val="00E771E0"/>
    <w:rsid w:val="00E772B8"/>
    <w:rsid w:val="00E77326"/>
    <w:rsid w:val="00E77508"/>
    <w:rsid w:val="00E775C9"/>
    <w:rsid w:val="00E77627"/>
    <w:rsid w:val="00E778A9"/>
    <w:rsid w:val="00E77B4E"/>
    <w:rsid w:val="00E77C7B"/>
    <w:rsid w:val="00E77CB0"/>
    <w:rsid w:val="00E77D55"/>
    <w:rsid w:val="00E77E53"/>
    <w:rsid w:val="00E77F69"/>
    <w:rsid w:val="00E77FB4"/>
    <w:rsid w:val="00E803E1"/>
    <w:rsid w:val="00E80A2D"/>
    <w:rsid w:val="00E80A85"/>
    <w:rsid w:val="00E80EE5"/>
    <w:rsid w:val="00E80FFE"/>
    <w:rsid w:val="00E81025"/>
    <w:rsid w:val="00E811E3"/>
    <w:rsid w:val="00E8129F"/>
    <w:rsid w:val="00E81330"/>
    <w:rsid w:val="00E8141D"/>
    <w:rsid w:val="00E81681"/>
    <w:rsid w:val="00E8199A"/>
    <w:rsid w:val="00E819E9"/>
    <w:rsid w:val="00E81A97"/>
    <w:rsid w:val="00E81ACF"/>
    <w:rsid w:val="00E81B7E"/>
    <w:rsid w:val="00E81BD6"/>
    <w:rsid w:val="00E81E2A"/>
    <w:rsid w:val="00E81F11"/>
    <w:rsid w:val="00E81FE8"/>
    <w:rsid w:val="00E8204D"/>
    <w:rsid w:val="00E820BA"/>
    <w:rsid w:val="00E820DE"/>
    <w:rsid w:val="00E820E7"/>
    <w:rsid w:val="00E822DF"/>
    <w:rsid w:val="00E824A7"/>
    <w:rsid w:val="00E828D3"/>
    <w:rsid w:val="00E828E7"/>
    <w:rsid w:val="00E82A6B"/>
    <w:rsid w:val="00E82AD0"/>
    <w:rsid w:val="00E82BFE"/>
    <w:rsid w:val="00E82C51"/>
    <w:rsid w:val="00E82D9D"/>
    <w:rsid w:val="00E82F67"/>
    <w:rsid w:val="00E8320E"/>
    <w:rsid w:val="00E83252"/>
    <w:rsid w:val="00E83288"/>
    <w:rsid w:val="00E83380"/>
    <w:rsid w:val="00E83412"/>
    <w:rsid w:val="00E83425"/>
    <w:rsid w:val="00E834A5"/>
    <w:rsid w:val="00E834E4"/>
    <w:rsid w:val="00E8350F"/>
    <w:rsid w:val="00E83665"/>
    <w:rsid w:val="00E837AE"/>
    <w:rsid w:val="00E838DC"/>
    <w:rsid w:val="00E838EA"/>
    <w:rsid w:val="00E839BE"/>
    <w:rsid w:val="00E83AA3"/>
    <w:rsid w:val="00E83D39"/>
    <w:rsid w:val="00E843C6"/>
    <w:rsid w:val="00E84424"/>
    <w:rsid w:val="00E84490"/>
    <w:rsid w:val="00E845A2"/>
    <w:rsid w:val="00E846B7"/>
    <w:rsid w:val="00E849B6"/>
    <w:rsid w:val="00E84A57"/>
    <w:rsid w:val="00E84B52"/>
    <w:rsid w:val="00E84CE5"/>
    <w:rsid w:val="00E84F14"/>
    <w:rsid w:val="00E84F39"/>
    <w:rsid w:val="00E84F7B"/>
    <w:rsid w:val="00E84FC7"/>
    <w:rsid w:val="00E85038"/>
    <w:rsid w:val="00E85061"/>
    <w:rsid w:val="00E853A4"/>
    <w:rsid w:val="00E853DE"/>
    <w:rsid w:val="00E8547C"/>
    <w:rsid w:val="00E85615"/>
    <w:rsid w:val="00E85725"/>
    <w:rsid w:val="00E85758"/>
    <w:rsid w:val="00E85AB0"/>
    <w:rsid w:val="00E85BBB"/>
    <w:rsid w:val="00E85C07"/>
    <w:rsid w:val="00E85C30"/>
    <w:rsid w:val="00E85DB5"/>
    <w:rsid w:val="00E85E19"/>
    <w:rsid w:val="00E85E7C"/>
    <w:rsid w:val="00E8602E"/>
    <w:rsid w:val="00E861E0"/>
    <w:rsid w:val="00E864B0"/>
    <w:rsid w:val="00E86505"/>
    <w:rsid w:val="00E86613"/>
    <w:rsid w:val="00E867B2"/>
    <w:rsid w:val="00E867C5"/>
    <w:rsid w:val="00E868D8"/>
    <w:rsid w:val="00E86922"/>
    <w:rsid w:val="00E86A1A"/>
    <w:rsid w:val="00E86A28"/>
    <w:rsid w:val="00E86ACC"/>
    <w:rsid w:val="00E86D64"/>
    <w:rsid w:val="00E86E63"/>
    <w:rsid w:val="00E86EAF"/>
    <w:rsid w:val="00E87218"/>
    <w:rsid w:val="00E875D4"/>
    <w:rsid w:val="00E87729"/>
    <w:rsid w:val="00E87D4E"/>
    <w:rsid w:val="00E87E5E"/>
    <w:rsid w:val="00E87ECC"/>
    <w:rsid w:val="00E9000C"/>
    <w:rsid w:val="00E900AA"/>
    <w:rsid w:val="00E901B2"/>
    <w:rsid w:val="00E902E4"/>
    <w:rsid w:val="00E9031F"/>
    <w:rsid w:val="00E90350"/>
    <w:rsid w:val="00E904E2"/>
    <w:rsid w:val="00E90519"/>
    <w:rsid w:val="00E905A7"/>
    <w:rsid w:val="00E90805"/>
    <w:rsid w:val="00E9091A"/>
    <w:rsid w:val="00E90BE1"/>
    <w:rsid w:val="00E90DFE"/>
    <w:rsid w:val="00E90DFF"/>
    <w:rsid w:val="00E90E57"/>
    <w:rsid w:val="00E90EF1"/>
    <w:rsid w:val="00E910F8"/>
    <w:rsid w:val="00E9112E"/>
    <w:rsid w:val="00E91150"/>
    <w:rsid w:val="00E911F4"/>
    <w:rsid w:val="00E912E5"/>
    <w:rsid w:val="00E9134C"/>
    <w:rsid w:val="00E91350"/>
    <w:rsid w:val="00E9152B"/>
    <w:rsid w:val="00E919C4"/>
    <w:rsid w:val="00E91A65"/>
    <w:rsid w:val="00E91B17"/>
    <w:rsid w:val="00E91CF0"/>
    <w:rsid w:val="00E91D87"/>
    <w:rsid w:val="00E922F0"/>
    <w:rsid w:val="00E92530"/>
    <w:rsid w:val="00E92598"/>
    <w:rsid w:val="00E925F9"/>
    <w:rsid w:val="00E9263B"/>
    <w:rsid w:val="00E926C9"/>
    <w:rsid w:val="00E92BB1"/>
    <w:rsid w:val="00E92D0A"/>
    <w:rsid w:val="00E92DCD"/>
    <w:rsid w:val="00E92DF8"/>
    <w:rsid w:val="00E92F3D"/>
    <w:rsid w:val="00E93283"/>
    <w:rsid w:val="00E93295"/>
    <w:rsid w:val="00E932FD"/>
    <w:rsid w:val="00E9339E"/>
    <w:rsid w:val="00E933CB"/>
    <w:rsid w:val="00E9369A"/>
    <w:rsid w:val="00E937A0"/>
    <w:rsid w:val="00E93843"/>
    <w:rsid w:val="00E9392C"/>
    <w:rsid w:val="00E93936"/>
    <w:rsid w:val="00E93AF8"/>
    <w:rsid w:val="00E93B49"/>
    <w:rsid w:val="00E93CBB"/>
    <w:rsid w:val="00E93DB0"/>
    <w:rsid w:val="00E94330"/>
    <w:rsid w:val="00E9433C"/>
    <w:rsid w:val="00E9454E"/>
    <w:rsid w:val="00E94620"/>
    <w:rsid w:val="00E9469C"/>
    <w:rsid w:val="00E94A8E"/>
    <w:rsid w:val="00E94AD0"/>
    <w:rsid w:val="00E94BF3"/>
    <w:rsid w:val="00E94E50"/>
    <w:rsid w:val="00E951C7"/>
    <w:rsid w:val="00E951DE"/>
    <w:rsid w:val="00E952EE"/>
    <w:rsid w:val="00E95385"/>
    <w:rsid w:val="00E953C0"/>
    <w:rsid w:val="00E9545E"/>
    <w:rsid w:val="00E956DB"/>
    <w:rsid w:val="00E95950"/>
    <w:rsid w:val="00E9598F"/>
    <w:rsid w:val="00E959AC"/>
    <w:rsid w:val="00E95BFC"/>
    <w:rsid w:val="00E95C58"/>
    <w:rsid w:val="00E95D2B"/>
    <w:rsid w:val="00E95DF5"/>
    <w:rsid w:val="00E95DFE"/>
    <w:rsid w:val="00E95EED"/>
    <w:rsid w:val="00E9620C"/>
    <w:rsid w:val="00E96245"/>
    <w:rsid w:val="00E9627F"/>
    <w:rsid w:val="00E962A3"/>
    <w:rsid w:val="00E964E0"/>
    <w:rsid w:val="00E96647"/>
    <w:rsid w:val="00E96665"/>
    <w:rsid w:val="00E96874"/>
    <w:rsid w:val="00E968F2"/>
    <w:rsid w:val="00E969C4"/>
    <w:rsid w:val="00E96D1D"/>
    <w:rsid w:val="00E96D79"/>
    <w:rsid w:val="00E96F5D"/>
    <w:rsid w:val="00E96F7B"/>
    <w:rsid w:val="00E96FA8"/>
    <w:rsid w:val="00E96FD1"/>
    <w:rsid w:val="00E97083"/>
    <w:rsid w:val="00E97270"/>
    <w:rsid w:val="00E9729C"/>
    <w:rsid w:val="00E972BB"/>
    <w:rsid w:val="00E9744E"/>
    <w:rsid w:val="00E974B9"/>
    <w:rsid w:val="00E97757"/>
    <w:rsid w:val="00E97816"/>
    <w:rsid w:val="00E979F7"/>
    <w:rsid w:val="00E97D5E"/>
    <w:rsid w:val="00E97DD3"/>
    <w:rsid w:val="00E97DE9"/>
    <w:rsid w:val="00E97F2E"/>
    <w:rsid w:val="00EA040D"/>
    <w:rsid w:val="00EA04B2"/>
    <w:rsid w:val="00EA08EE"/>
    <w:rsid w:val="00EA094B"/>
    <w:rsid w:val="00EA096A"/>
    <w:rsid w:val="00EA09D7"/>
    <w:rsid w:val="00EA1142"/>
    <w:rsid w:val="00EA155A"/>
    <w:rsid w:val="00EA1568"/>
    <w:rsid w:val="00EA1597"/>
    <w:rsid w:val="00EA171F"/>
    <w:rsid w:val="00EA1769"/>
    <w:rsid w:val="00EA1B3E"/>
    <w:rsid w:val="00EA1E10"/>
    <w:rsid w:val="00EA1FCB"/>
    <w:rsid w:val="00EA20B0"/>
    <w:rsid w:val="00EA218D"/>
    <w:rsid w:val="00EA21D9"/>
    <w:rsid w:val="00EA21EC"/>
    <w:rsid w:val="00EA23C9"/>
    <w:rsid w:val="00EA251E"/>
    <w:rsid w:val="00EA2663"/>
    <w:rsid w:val="00EA26CD"/>
    <w:rsid w:val="00EA2828"/>
    <w:rsid w:val="00EA2AB4"/>
    <w:rsid w:val="00EA2B4B"/>
    <w:rsid w:val="00EA2B62"/>
    <w:rsid w:val="00EA2B8E"/>
    <w:rsid w:val="00EA2BBD"/>
    <w:rsid w:val="00EA2D0C"/>
    <w:rsid w:val="00EA2E5D"/>
    <w:rsid w:val="00EA2F79"/>
    <w:rsid w:val="00EA301E"/>
    <w:rsid w:val="00EA309B"/>
    <w:rsid w:val="00EA31AD"/>
    <w:rsid w:val="00EA33CF"/>
    <w:rsid w:val="00EA3411"/>
    <w:rsid w:val="00EA3443"/>
    <w:rsid w:val="00EA3457"/>
    <w:rsid w:val="00EA36EC"/>
    <w:rsid w:val="00EA3949"/>
    <w:rsid w:val="00EA39D8"/>
    <w:rsid w:val="00EA3B30"/>
    <w:rsid w:val="00EA3B93"/>
    <w:rsid w:val="00EA3CC8"/>
    <w:rsid w:val="00EA3D2A"/>
    <w:rsid w:val="00EA3DD0"/>
    <w:rsid w:val="00EA3E90"/>
    <w:rsid w:val="00EA3E98"/>
    <w:rsid w:val="00EA3EBC"/>
    <w:rsid w:val="00EA3F39"/>
    <w:rsid w:val="00EA4013"/>
    <w:rsid w:val="00EA4193"/>
    <w:rsid w:val="00EA43E0"/>
    <w:rsid w:val="00EA43F0"/>
    <w:rsid w:val="00EA44B9"/>
    <w:rsid w:val="00EA464F"/>
    <w:rsid w:val="00EA4AFA"/>
    <w:rsid w:val="00EA4C57"/>
    <w:rsid w:val="00EA4CA2"/>
    <w:rsid w:val="00EA4CBD"/>
    <w:rsid w:val="00EA4E95"/>
    <w:rsid w:val="00EA50CE"/>
    <w:rsid w:val="00EA568F"/>
    <w:rsid w:val="00EA5719"/>
    <w:rsid w:val="00EA5767"/>
    <w:rsid w:val="00EA5A94"/>
    <w:rsid w:val="00EA5AC0"/>
    <w:rsid w:val="00EA5C8C"/>
    <w:rsid w:val="00EA6148"/>
    <w:rsid w:val="00EA6235"/>
    <w:rsid w:val="00EA629D"/>
    <w:rsid w:val="00EA639C"/>
    <w:rsid w:val="00EA6465"/>
    <w:rsid w:val="00EA6532"/>
    <w:rsid w:val="00EA6620"/>
    <w:rsid w:val="00EA6632"/>
    <w:rsid w:val="00EA66D0"/>
    <w:rsid w:val="00EA6717"/>
    <w:rsid w:val="00EA6823"/>
    <w:rsid w:val="00EA684D"/>
    <w:rsid w:val="00EA68FC"/>
    <w:rsid w:val="00EA6923"/>
    <w:rsid w:val="00EA6986"/>
    <w:rsid w:val="00EA6AC8"/>
    <w:rsid w:val="00EA6BDB"/>
    <w:rsid w:val="00EA6BDC"/>
    <w:rsid w:val="00EA6C9B"/>
    <w:rsid w:val="00EA6EE5"/>
    <w:rsid w:val="00EA70CC"/>
    <w:rsid w:val="00EA72C1"/>
    <w:rsid w:val="00EA72D4"/>
    <w:rsid w:val="00EA7392"/>
    <w:rsid w:val="00EA75BE"/>
    <w:rsid w:val="00EA787E"/>
    <w:rsid w:val="00EA79EB"/>
    <w:rsid w:val="00EA7A05"/>
    <w:rsid w:val="00EA7A8D"/>
    <w:rsid w:val="00EA7BCB"/>
    <w:rsid w:val="00EA7C55"/>
    <w:rsid w:val="00EA7C6F"/>
    <w:rsid w:val="00EA7DB0"/>
    <w:rsid w:val="00EA7DD1"/>
    <w:rsid w:val="00EB0044"/>
    <w:rsid w:val="00EB00AB"/>
    <w:rsid w:val="00EB00E8"/>
    <w:rsid w:val="00EB0185"/>
    <w:rsid w:val="00EB057E"/>
    <w:rsid w:val="00EB05BF"/>
    <w:rsid w:val="00EB0610"/>
    <w:rsid w:val="00EB08DB"/>
    <w:rsid w:val="00EB0B15"/>
    <w:rsid w:val="00EB0B1D"/>
    <w:rsid w:val="00EB0CA2"/>
    <w:rsid w:val="00EB0FBD"/>
    <w:rsid w:val="00EB104E"/>
    <w:rsid w:val="00EB11D5"/>
    <w:rsid w:val="00EB11FE"/>
    <w:rsid w:val="00EB1493"/>
    <w:rsid w:val="00EB158E"/>
    <w:rsid w:val="00EB1982"/>
    <w:rsid w:val="00EB19ED"/>
    <w:rsid w:val="00EB1B97"/>
    <w:rsid w:val="00EB1DBC"/>
    <w:rsid w:val="00EB1DC3"/>
    <w:rsid w:val="00EB1F0C"/>
    <w:rsid w:val="00EB233D"/>
    <w:rsid w:val="00EB259E"/>
    <w:rsid w:val="00EB25EE"/>
    <w:rsid w:val="00EB2622"/>
    <w:rsid w:val="00EB2748"/>
    <w:rsid w:val="00EB27F4"/>
    <w:rsid w:val="00EB2893"/>
    <w:rsid w:val="00EB2CE2"/>
    <w:rsid w:val="00EB2DE8"/>
    <w:rsid w:val="00EB31D1"/>
    <w:rsid w:val="00EB35CB"/>
    <w:rsid w:val="00EB371F"/>
    <w:rsid w:val="00EB381F"/>
    <w:rsid w:val="00EB3868"/>
    <w:rsid w:val="00EB38D6"/>
    <w:rsid w:val="00EB3914"/>
    <w:rsid w:val="00EB39B3"/>
    <w:rsid w:val="00EB3BFB"/>
    <w:rsid w:val="00EB3E85"/>
    <w:rsid w:val="00EB3FE8"/>
    <w:rsid w:val="00EB41AD"/>
    <w:rsid w:val="00EB4624"/>
    <w:rsid w:val="00EB4839"/>
    <w:rsid w:val="00EB492D"/>
    <w:rsid w:val="00EB4C5B"/>
    <w:rsid w:val="00EB4D99"/>
    <w:rsid w:val="00EB4DFB"/>
    <w:rsid w:val="00EB4F43"/>
    <w:rsid w:val="00EB508F"/>
    <w:rsid w:val="00EB510E"/>
    <w:rsid w:val="00EB5177"/>
    <w:rsid w:val="00EB51B7"/>
    <w:rsid w:val="00EB5384"/>
    <w:rsid w:val="00EB5463"/>
    <w:rsid w:val="00EB54FD"/>
    <w:rsid w:val="00EB5598"/>
    <w:rsid w:val="00EB57F3"/>
    <w:rsid w:val="00EB5B32"/>
    <w:rsid w:val="00EB5CB7"/>
    <w:rsid w:val="00EB5DB3"/>
    <w:rsid w:val="00EB5FFC"/>
    <w:rsid w:val="00EB6058"/>
    <w:rsid w:val="00EB6199"/>
    <w:rsid w:val="00EB635E"/>
    <w:rsid w:val="00EB6550"/>
    <w:rsid w:val="00EB65D2"/>
    <w:rsid w:val="00EB695A"/>
    <w:rsid w:val="00EB6967"/>
    <w:rsid w:val="00EB6A1E"/>
    <w:rsid w:val="00EB6ACC"/>
    <w:rsid w:val="00EB6B01"/>
    <w:rsid w:val="00EB6C6B"/>
    <w:rsid w:val="00EB6E46"/>
    <w:rsid w:val="00EB70C4"/>
    <w:rsid w:val="00EB7275"/>
    <w:rsid w:val="00EB73D8"/>
    <w:rsid w:val="00EB7561"/>
    <w:rsid w:val="00EB75DE"/>
    <w:rsid w:val="00EB7805"/>
    <w:rsid w:val="00EB793E"/>
    <w:rsid w:val="00EB79AE"/>
    <w:rsid w:val="00EB7C2F"/>
    <w:rsid w:val="00EB7CE1"/>
    <w:rsid w:val="00EB7D8F"/>
    <w:rsid w:val="00EB7DCD"/>
    <w:rsid w:val="00EB7E2D"/>
    <w:rsid w:val="00EC02B7"/>
    <w:rsid w:val="00EC0349"/>
    <w:rsid w:val="00EC0480"/>
    <w:rsid w:val="00EC0685"/>
    <w:rsid w:val="00EC0746"/>
    <w:rsid w:val="00EC0795"/>
    <w:rsid w:val="00EC0B07"/>
    <w:rsid w:val="00EC0B74"/>
    <w:rsid w:val="00EC0BC3"/>
    <w:rsid w:val="00EC0E11"/>
    <w:rsid w:val="00EC0F8A"/>
    <w:rsid w:val="00EC103B"/>
    <w:rsid w:val="00EC10D3"/>
    <w:rsid w:val="00EC1295"/>
    <w:rsid w:val="00EC12AC"/>
    <w:rsid w:val="00EC12DB"/>
    <w:rsid w:val="00EC1481"/>
    <w:rsid w:val="00EC1631"/>
    <w:rsid w:val="00EC1894"/>
    <w:rsid w:val="00EC191D"/>
    <w:rsid w:val="00EC1A5A"/>
    <w:rsid w:val="00EC1C33"/>
    <w:rsid w:val="00EC1DF3"/>
    <w:rsid w:val="00EC1E69"/>
    <w:rsid w:val="00EC1E84"/>
    <w:rsid w:val="00EC1EDE"/>
    <w:rsid w:val="00EC1F63"/>
    <w:rsid w:val="00EC1FF1"/>
    <w:rsid w:val="00EC2156"/>
    <w:rsid w:val="00EC21B6"/>
    <w:rsid w:val="00EC21C8"/>
    <w:rsid w:val="00EC23A5"/>
    <w:rsid w:val="00EC2703"/>
    <w:rsid w:val="00EC28B6"/>
    <w:rsid w:val="00EC2B6D"/>
    <w:rsid w:val="00EC2BCD"/>
    <w:rsid w:val="00EC2C52"/>
    <w:rsid w:val="00EC2D5A"/>
    <w:rsid w:val="00EC2F94"/>
    <w:rsid w:val="00EC2FB5"/>
    <w:rsid w:val="00EC314A"/>
    <w:rsid w:val="00EC3207"/>
    <w:rsid w:val="00EC3315"/>
    <w:rsid w:val="00EC35E7"/>
    <w:rsid w:val="00EC35FA"/>
    <w:rsid w:val="00EC3605"/>
    <w:rsid w:val="00EC36EF"/>
    <w:rsid w:val="00EC3734"/>
    <w:rsid w:val="00EC388A"/>
    <w:rsid w:val="00EC38D9"/>
    <w:rsid w:val="00EC396E"/>
    <w:rsid w:val="00EC3ACD"/>
    <w:rsid w:val="00EC3B13"/>
    <w:rsid w:val="00EC3CB0"/>
    <w:rsid w:val="00EC3DF4"/>
    <w:rsid w:val="00EC3E45"/>
    <w:rsid w:val="00EC3F32"/>
    <w:rsid w:val="00EC40F4"/>
    <w:rsid w:val="00EC4158"/>
    <w:rsid w:val="00EC4392"/>
    <w:rsid w:val="00EC43C5"/>
    <w:rsid w:val="00EC4507"/>
    <w:rsid w:val="00EC4741"/>
    <w:rsid w:val="00EC480F"/>
    <w:rsid w:val="00EC487A"/>
    <w:rsid w:val="00EC4898"/>
    <w:rsid w:val="00EC494C"/>
    <w:rsid w:val="00EC49AD"/>
    <w:rsid w:val="00EC49E4"/>
    <w:rsid w:val="00EC4A74"/>
    <w:rsid w:val="00EC4A9C"/>
    <w:rsid w:val="00EC4BB6"/>
    <w:rsid w:val="00EC4C2C"/>
    <w:rsid w:val="00EC4C4A"/>
    <w:rsid w:val="00EC4C58"/>
    <w:rsid w:val="00EC4C78"/>
    <w:rsid w:val="00EC4DB5"/>
    <w:rsid w:val="00EC4DCE"/>
    <w:rsid w:val="00EC4EEC"/>
    <w:rsid w:val="00EC5061"/>
    <w:rsid w:val="00EC5078"/>
    <w:rsid w:val="00EC51DC"/>
    <w:rsid w:val="00EC5312"/>
    <w:rsid w:val="00EC5468"/>
    <w:rsid w:val="00EC558F"/>
    <w:rsid w:val="00EC55AC"/>
    <w:rsid w:val="00EC560F"/>
    <w:rsid w:val="00EC5740"/>
    <w:rsid w:val="00EC57EF"/>
    <w:rsid w:val="00EC5828"/>
    <w:rsid w:val="00EC5C79"/>
    <w:rsid w:val="00EC5D5D"/>
    <w:rsid w:val="00EC5D6B"/>
    <w:rsid w:val="00EC5D96"/>
    <w:rsid w:val="00EC5E45"/>
    <w:rsid w:val="00EC6214"/>
    <w:rsid w:val="00EC62A0"/>
    <w:rsid w:val="00EC675A"/>
    <w:rsid w:val="00EC6840"/>
    <w:rsid w:val="00EC688E"/>
    <w:rsid w:val="00EC6932"/>
    <w:rsid w:val="00EC6B7A"/>
    <w:rsid w:val="00EC6D2D"/>
    <w:rsid w:val="00EC6D72"/>
    <w:rsid w:val="00EC6DDA"/>
    <w:rsid w:val="00EC6F75"/>
    <w:rsid w:val="00EC6FA7"/>
    <w:rsid w:val="00EC6FE5"/>
    <w:rsid w:val="00EC7112"/>
    <w:rsid w:val="00EC7122"/>
    <w:rsid w:val="00EC7187"/>
    <w:rsid w:val="00EC7234"/>
    <w:rsid w:val="00EC72AF"/>
    <w:rsid w:val="00EC74E2"/>
    <w:rsid w:val="00EC7511"/>
    <w:rsid w:val="00EC7574"/>
    <w:rsid w:val="00EC7A41"/>
    <w:rsid w:val="00EC7ABA"/>
    <w:rsid w:val="00EC7AD6"/>
    <w:rsid w:val="00EC7BBE"/>
    <w:rsid w:val="00EC7E25"/>
    <w:rsid w:val="00EC7F89"/>
    <w:rsid w:val="00EC7FC2"/>
    <w:rsid w:val="00ED006C"/>
    <w:rsid w:val="00ED00F5"/>
    <w:rsid w:val="00ED040C"/>
    <w:rsid w:val="00ED051B"/>
    <w:rsid w:val="00ED05B4"/>
    <w:rsid w:val="00ED05DA"/>
    <w:rsid w:val="00ED067D"/>
    <w:rsid w:val="00ED06C6"/>
    <w:rsid w:val="00ED06F3"/>
    <w:rsid w:val="00ED08EE"/>
    <w:rsid w:val="00ED0941"/>
    <w:rsid w:val="00ED0A52"/>
    <w:rsid w:val="00ED0A7C"/>
    <w:rsid w:val="00ED0C79"/>
    <w:rsid w:val="00ED10B5"/>
    <w:rsid w:val="00ED11E0"/>
    <w:rsid w:val="00ED1262"/>
    <w:rsid w:val="00ED12B9"/>
    <w:rsid w:val="00ED17FC"/>
    <w:rsid w:val="00ED1897"/>
    <w:rsid w:val="00ED1BA8"/>
    <w:rsid w:val="00ED1BC4"/>
    <w:rsid w:val="00ED1BF5"/>
    <w:rsid w:val="00ED1DA5"/>
    <w:rsid w:val="00ED1F0C"/>
    <w:rsid w:val="00ED1F50"/>
    <w:rsid w:val="00ED209D"/>
    <w:rsid w:val="00ED244E"/>
    <w:rsid w:val="00ED2533"/>
    <w:rsid w:val="00ED2582"/>
    <w:rsid w:val="00ED25E4"/>
    <w:rsid w:val="00ED27CB"/>
    <w:rsid w:val="00ED2B09"/>
    <w:rsid w:val="00ED2B59"/>
    <w:rsid w:val="00ED2C0D"/>
    <w:rsid w:val="00ED2C10"/>
    <w:rsid w:val="00ED2D25"/>
    <w:rsid w:val="00ED2D3C"/>
    <w:rsid w:val="00ED2FDD"/>
    <w:rsid w:val="00ED3131"/>
    <w:rsid w:val="00ED3132"/>
    <w:rsid w:val="00ED31E4"/>
    <w:rsid w:val="00ED32A8"/>
    <w:rsid w:val="00ED3385"/>
    <w:rsid w:val="00ED376F"/>
    <w:rsid w:val="00ED3784"/>
    <w:rsid w:val="00ED37AB"/>
    <w:rsid w:val="00ED3AFF"/>
    <w:rsid w:val="00ED3C67"/>
    <w:rsid w:val="00ED3D17"/>
    <w:rsid w:val="00ED3E1E"/>
    <w:rsid w:val="00ED3EC6"/>
    <w:rsid w:val="00ED3FCE"/>
    <w:rsid w:val="00ED3FE0"/>
    <w:rsid w:val="00ED4119"/>
    <w:rsid w:val="00ED42CB"/>
    <w:rsid w:val="00ED444F"/>
    <w:rsid w:val="00ED4653"/>
    <w:rsid w:val="00ED474B"/>
    <w:rsid w:val="00ED47D8"/>
    <w:rsid w:val="00ED4ABD"/>
    <w:rsid w:val="00ED4C5C"/>
    <w:rsid w:val="00ED4FAB"/>
    <w:rsid w:val="00ED525B"/>
    <w:rsid w:val="00ED529F"/>
    <w:rsid w:val="00ED52BB"/>
    <w:rsid w:val="00ED5331"/>
    <w:rsid w:val="00ED533D"/>
    <w:rsid w:val="00ED5458"/>
    <w:rsid w:val="00ED5737"/>
    <w:rsid w:val="00ED586D"/>
    <w:rsid w:val="00ED58C1"/>
    <w:rsid w:val="00ED59EF"/>
    <w:rsid w:val="00ED5A45"/>
    <w:rsid w:val="00ED5A6B"/>
    <w:rsid w:val="00ED5B0B"/>
    <w:rsid w:val="00ED5D1A"/>
    <w:rsid w:val="00ED5E7C"/>
    <w:rsid w:val="00ED5F5F"/>
    <w:rsid w:val="00ED5FAE"/>
    <w:rsid w:val="00ED6088"/>
    <w:rsid w:val="00ED60CE"/>
    <w:rsid w:val="00ED613C"/>
    <w:rsid w:val="00ED6316"/>
    <w:rsid w:val="00ED65AF"/>
    <w:rsid w:val="00ED65E7"/>
    <w:rsid w:val="00ED6831"/>
    <w:rsid w:val="00ED69D2"/>
    <w:rsid w:val="00ED6BB0"/>
    <w:rsid w:val="00ED6C5C"/>
    <w:rsid w:val="00ED6E3F"/>
    <w:rsid w:val="00ED702A"/>
    <w:rsid w:val="00ED7081"/>
    <w:rsid w:val="00ED71EB"/>
    <w:rsid w:val="00ED7211"/>
    <w:rsid w:val="00ED77BD"/>
    <w:rsid w:val="00ED77E1"/>
    <w:rsid w:val="00ED7B89"/>
    <w:rsid w:val="00ED7C23"/>
    <w:rsid w:val="00ED7CB5"/>
    <w:rsid w:val="00ED7CF2"/>
    <w:rsid w:val="00ED7FED"/>
    <w:rsid w:val="00EE0103"/>
    <w:rsid w:val="00EE018B"/>
    <w:rsid w:val="00EE025D"/>
    <w:rsid w:val="00EE08A9"/>
    <w:rsid w:val="00EE095E"/>
    <w:rsid w:val="00EE0986"/>
    <w:rsid w:val="00EE0B9E"/>
    <w:rsid w:val="00EE0CC8"/>
    <w:rsid w:val="00EE12C0"/>
    <w:rsid w:val="00EE1384"/>
    <w:rsid w:val="00EE1ABC"/>
    <w:rsid w:val="00EE1B4D"/>
    <w:rsid w:val="00EE1B88"/>
    <w:rsid w:val="00EE1C51"/>
    <w:rsid w:val="00EE1C9A"/>
    <w:rsid w:val="00EE1E8D"/>
    <w:rsid w:val="00EE1FC8"/>
    <w:rsid w:val="00EE1FD1"/>
    <w:rsid w:val="00EE2038"/>
    <w:rsid w:val="00EE2131"/>
    <w:rsid w:val="00EE21CB"/>
    <w:rsid w:val="00EE23A1"/>
    <w:rsid w:val="00EE23AB"/>
    <w:rsid w:val="00EE2407"/>
    <w:rsid w:val="00EE2497"/>
    <w:rsid w:val="00EE267D"/>
    <w:rsid w:val="00EE28EE"/>
    <w:rsid w:val="00EE2E5D"/>
    <w:rsid w:val="00EE2E8E"/>
    <w:rsid w:val="00EE2F1D"/>
    <w:rsid w:val="00EE2FA5"/>
    <w:rsid w:val="00EE31F7"/>
    <w:rsid w:val="00EE3221"/>
    <w:rsid w:val="00EE3478"/>
    <w:rsid w:val="00EE3545"/>
    <w:rsid w:val="00EE35D5"/>
    <w:rsid w:val="00EE3683"/>
    <w:rsid w:val="00EE37CE"/>
    <w:rsid w:val="00EE3885"/>
    <w:rsid w:val="00EE38C0"/>
    <w:rsid w:val="00EE3DD0"/>
    <w:rsid w:val="00EE3E04"/>
    <w:rsid w:val="00EE3E32"/>
    <w:rsid w:val="00EE4348"/>
    <w:rsid w:val="00EE4567"/>
    <w:rsid w:val="00EE494C"/>
    <w:rsid w:val="00EE49FD"/>
    <w:rsid w:val="00EE4B1B"/>
    <w:rsid w:val="00EE4B91"/>
    <w:rsid w:val="00EE4C79"/>
    <w:rsid w:val="00EE4D0A"/>
    <w:rsid w:val="00EE4E8B"/>
    <w:rsid w:val="00EE4E8C"/>
    <w:rsid w:val="00EE5030"/>
    <w:rsid w:val="00EE5152"/>
    <w:rsid w:val="00EE51D7"/>
    <w:rsid w:val="00EE5407"/>
    <w:rsid w:val="00EE54EF"/>
    <w:rsid w:val="00EE558A"/>
    <w:rsid w:val="00EE5869"/>
    <w:rsid w:val="00EE5A7F"/>
    <w:rsid w:val="00EE5A87"/>
    <w:rsid w:val="00EE5B9D"/>
    <w:rsid w:val="00EE5E65"/>
    <w:rsid w:val="00EE60C9"/>
    <w:rsid w:val="00EE6271"/>
    <w:rsid w:val="00EE648F"/>
    <w:rsid w:val="00EE664E"/>
    <w:rsid w:val="00EE66AD"/>
    <w:rsid w:val="00EE6790"/>
    <w:rsid w:val="00EE67BE"/>
    <w:rsid w:val="00EE6877"/>
    <w:rsid w:val="00EE69DD"/>
    <w:rsid w:val="00EE6AF7"/>
    <w:rsid w:val="00EE6C8B"/>
    <w:rsid w:val="00EE6CFD"/>
    <w:rsid w:val="00EE6D52"/>
    <w:rsid w:val="00EE6D5E"/>
    <w:rsid w:val="00EE6DA7"/>
    <w:rsid w:val="00EE6DC7"/>
    <w:rsid w:val="00EE6DD8"/>
    <w:rsid w:val="00EE6EA8"/>
    <w:rsid w:val="00EE6F01"/>
    <w:rsid w:val="00EE6F78"/>
    <w:rsid w:val="00EE7100"/>
    <w:rsid w:val="00EE715A"/>
    <w:rsid w:val="00EE716F"/>
    <w:rsid w:val="00EE7395"/>
    <w:rsid w:val="00EE73BD"/>
    <w:rsid w:val="00EE74E1"/>
    <w:rsid w:val="00EE7787"/>
    <w:rsid w:val="00EE7910"/>
    <w:rsid w:val="00EE7A0C"/>
    <w:rsid w:val="00EE7A3A"/>
    <w:rsid w:val="00EE7C8E"/>
    <w:rsid w:val="00EE7DF1"/>
    <w:rsid w:val="00EE7EC1"/>
    <w:rsid w:val="00EF00AE"/>
    <w:rsid w:val="00EF00DC"/>
    <w:rsid w:val="00EF0270"/>
    <w:rsid w:val="00EF02A1"/>
    <w:rsid w:val="00EF0561"/>
    <w:rsid w:val="00EF0619"/>
    <w:rsid w:val="00EF098C"/>
    <w:rsid w:val="00EF09C4"/>
    <w:rsid w:val="00EF09C6"/>
    <w:rsid w:val="00EF0B14"/>
    <w:rsid w:val="00EF0ED7"/>
    <w:rsid w:val="00EF0F82"/>
    <w:rsid w:val="00EF0FC3"/>
    <w:rsid w:val="00EF1020"/>
    <w:rsid w:val="00EF11CD"/>
    <w:rsid w:val="00EF122A"/>
    <w:rsid w:val="00EF1274"/>
    <w:rsid w:val="00EF149E"/>
    <w:rsid w:val="00EF15C7"/>
    <w:rsid w:val="00EF19A3"/>
    <w:rsid w:val="00EF1A87"/>
    <w:rsid w:val="00EF1B50"/>
    <w:rsid w:val="00EF1B88"/>
    <w:rsid w:val="00EF1BAA"/>
    <w:rsid w:val="00EF1DB9"/>
    <w:rsid w:val="00EF1DEA"/>
    <w:rsid w:val="00EF1E3C"/>
    <w:rsid w:val="00EF1ED6"/>
    <w:rsid w:val="00EF227B"/>
    <w:rsid w:val="00EF22A5"/>
    <w:rsid w:val="00EF22A6"/>
    <w:rsid w:val="00EF22AA"/>
    <w:rsid w:val="00EF28B2"/>
    <w:rsid w:val="00EF292B"/>
    <w:rsid w:val="00EF293A"/>
    <w:rsid w:val="00EF2B7A"/>
    <w:rsid w:val="00EF2CA1"/>
    <w:rsid w:val="00EF2D2E"/>
    <w:rsid w:val="00EF2E38"/>
    <w:rsid w:val="00EF2FF0"/>
    <w:rsid w:val="00EF302F"/>
    <w:rsid w:val="00EF3374"/>
    <w:rsid w:val="00EF3616"/>
    <w:rsid w:val="00EF377F"/>
    <w:rsid w:val="00EF3AC5"/>
    <w:rsid w:val="00EF3B98"/>
    <w:rsid w:val="00EF3BB6"/>
    <w:rsid w:val="00EF3BD4"/>
    <w:rsid w:val="00EF3C95"/>
    <w:rsid w:val="00EF3D68"/>
    <w:rsid w:val="00EF3EA2"/>
    <w:rsid w:val="00EF3EB2"/>
    <w:rsid w:val="00EF3F78"/>
    <w:rsid w:val="00EF3FCD"/>
    <w:rsid w:val="00EF404F"/>
    <w:rsid w:val="00EF414E"/>
    <w:rsid w:val="00EF421A"/>
    <w:rsid w:val="00EF4409"/>
    <w:rsid w:val="00EF444A"/>
    <w:rsid w:val="00EF446F"/>
    <w:rsid w:val="00EF456F"/>
    <w:rsid w:val="00EF46A6"/>
    <w:rsid w:val="00EF4740"/>
    <w:rsid w:val="00EF48EE"/>
    <w:rsid w:val="00EF507A"/>
    <w:rsid w:val="00EF5178"/>
    <w:rsid w:val="00EF51BD"/>
    <w:rsid w:val="00EF51C8"/>
    <w:rsid w:val="00EF51D4"/>
    <w:rsid w:val="00EF53AA"/>
    <w:rsid w:val="00EF53CC"/>
    <w:rsid w:val="00EF53DB"/>
    <w:rsid w:val="00EF5485"/>
    <w:rsid w:val="00EF5567"/>
    <w:rsid w:val="00EF5791"/>
    <w:rsid w:val="00EF579B"/>
    <w:rsid w:val="00EF5931"/>
    <w:rsid w:val="00EF59C1"/>
    <w:rsid w:val="00EF5B7A"/>
    <w:rsid w:val="00EF5CAF"/>
    <w:rsid w:val="00EF61CD"/>
    <w:rsid w:val="00EF61D0"/>
    <w:rsid w:val="00EF635B"/>
    <w:rsid w:val="00EF6365"/>
    <w:rsid w:val="00EF6472"/>
    <w:rsid w:val="00EF65B5"/>
    <w:rsid w:val="00EF679E"/>
    <w:rsid w:val="00EF67D6"/>
    <w:rsid w:val="00EF6A70"/>
    <w:rsid w:val="00EF6C25"/>
    <w:rsid w:val="00EF6C94"/>
    <w:rsid w:val="00EF70EC"/>
    <w:rsid w:val="00EF7177"/>
    <w:rsid w:val="00EF7497"/>
    <w:rsid w:val="00EF776D"/>
    <w:rsid w:val="00EF78D6"/>
    <w:rsid w:val="00EF7CA1"/>
    <w:rsid w:val="00EF7CC9"/>
    <w:rsid w:val="00EF7D29"/>
    <w:rsid w:val="00EF7DF8"/>
    <w:rsid w:val="00EF7EF0"/>
    <w:rsid w:val="00F0000F"/>
    <w:rsid w:val="00F00017"/>
    <w:rsid w:val="00F00202"/>
    <w:rsid w:val="00F003D3"/>
    <w:rsid w:val="00F003E4"/>
    <w:rsid w:val="00F003EA"/>
    <w:rsid w:val="00F00717"/>
    <w:rsid w:val="00F00843"/>
    <w:rsid w:val="00F008E5"/>
    <w:rsid w:val="00F0093D"/>
    <w:rsid w:val="00F00A03"/>
    <w:rsid w:val="00F00B55"/>
    <w:rsid w:val="00F00CAE"/>
    <w:rsid w:val="00F00CEB"/>
    <w:rsid w:val="00F00D81"/>
    <w:rsid w:val="00F00D84"/>
    <w:rsid w:val="00F00D96"/>
    <w:rsid w:val="00F00FDC"/>
    <w:rsid w:val="00F01070"/>
    <w:rsid w:val="00F011A2"/>
    <w:rsid w:val="00F01209"/>
    <w:rsid w:val="00F014DD"/>
    <w:rsid w:val="00F01591"/>
    <w:rsid w:val="00F015F1"/>
    <w:rsid w:val="00F01639"/>
    <w:rsid w:val="00F016CD"/>
    <w:rsid w:val="00F017ED"/>
    <w:rsid w:val="00F0185D"/>
    <w:rsid w:val="00F01904"/>
    <w:rsid w:val="00F0191D"/>
    <w:rsid w:val="00F019D1"/>
    <w:rsid w:val="00F019F1"/>
    <w:rsid w:val="00F01A72"/>
    <w:rsid w:val="00F01B50"/>
    <w:rsid w:val="00F01CBE"/>
    <w:rsid w:val="00F01CE1"/>
    <w:rsid w:val="00F01D29"/>
    <w:rsid w:val="00F01E73"/>
    <w:rsid w:val="00F021CB"/>
    <w:rsid w:val="00F0226A"/>
    <w:rsid w:val="00F023FE"/>
    <w:rsid w:val="00F0248D"/>
    <w:rsid w:val="00F02543"/>
    <w:rsid w:val="00F026D9"/>
    <w:rsid w:val="00F0275F"/>
    <w:rsid w:val="00F02872"/>
    <w:rsid w:val="00F028B4"/>
    <w:rsid w:val="00F02AA8"/>
    <w:rsid w:val="00F0305B"/>
    <w:rsid w:val="00F0306B"/>
    <w:rsid w:val="00F03237"/>
    <w:rsid w:val="00F03285"/>
    <w:rsid w:val="00F03380"/>
    <w:rsid w:val="00F03388"/>
    <w:rsid w:val="00F03431"/>
    <w:rsid w:val="00F03457"/>
    <w:rsid w:val="00F03515"/>
    <w:rsid w:val="00F037BE"/>
    <w:rsid w:val="00F0390E"/>
    <w:rsid w:val="00F03FAA"/>
    <w:rsid w:val="00F041A0"/>
    <w:rsid w:val="00F042C1"/>
    <w:rsid w:val="00F04316"/>
    <w:rsid w:val="00F0437A"/>
    <w:rsid w:val="00F04564"/>
    <w:rsid w:val="00F046DB"/>
    <w:rsid w:val="00F04B47"/>
    <w:rsid w:val="00F04D6A"/>
    <w:rsid w:val="00F04E46"/>
    <w:rsid w:val="00F05160"/>
    <w:rsid w:val="00F054C6"/>
    <w:rsid w:val="00F05573"/>
    <w:rsid w:val="00F057A5"/>
    <w:rsid w:val="00F057D5"/>
    <w:rsid w:val="00F05B79"/>
    <w:rsid w:val="00F05D7E"/>
    <w:rsid w:val="00F05DD0"/>
    <w:rsid w:val="00F05E4A"/>
    <w:rsid w:val="00F05F31"/>
    <w:rsid w:val="00F06442"/>
    <w:rsid w:val="00F06554"/>
    <w:rsid w:val="00F06561"/>
    <w:rsid w:val="00F0668C"/>
    <w:rsid w:val="00F067DF"/>
    <w:rsid w:val="00F06808"/>
    <w:rsid w:val="00F06A3D"/>
    <w:rsid w:val="00F06B5B"/>
    <w:rsid w:val="00F06B87"/>
    <w:rsid w:val="00F06CE9"/>
    <w:rsid w:val="00F06D55"/>
    <w:rsid w:val="00F06EF4"/>
    <w:rsid w:val="00F07147"/>
    <w:rsid w:val="00F071F5"/>
    <w:rsid w:val="00F07328"/>
    <w:rsid w:val="00F073F5"/>
    <w:rsid w:val="00F0765C"/>
    <w:rsid w:val="00F0772B"/>
    <w:rsid w:val="00F0775D"/>
    <w:rsid w:val="00F07829"/>
    <w:rsid w:val="00F078C3"/>
    <w:rsid w:val="00F07956"/>
    <w:rsid w:val="00F07C5C"/>
    <w:rsid w:val="00F07C77"/>
    <w:rsid w:val="00F07E77"/>
    <w:rsid w:val="00F07F80"/>
    <w:rsid w:val="00F07FDB"/>
    <w:rsid w:val="00F10053"/>
    <w:rsid w:val="00F10177"/>
    <w:rsid w:val="00F101E9"/>
    <w:rsid w:val="00F103DF"/>
    <w:rsid w:val="00F10556"/>
    <w:rsid w:val="00F1059A"/>
    <w:rsid w:val="00F105FE"/>
    <w:rsid w:val="00F1065B"/>
    <w:rsid w:val="00F1072D"/>
    <w:rsid w:val="00F1087D"/>
    <w:rsid w:val="00F1093C"/>
    <w:rsid w:val="00F1099E"/>
    <w:rsid w:val="00F10A96"/>
    <w:rsid w:val="00F10AD3"/>
    <w:rsid w:val="00F10B04"/>
    <w:rsid w:val="00F10B96"/>
    <w:rsid w:val="00F10BFA"/>
    <w:rsid w:val="00F10EA9"/>
    <w:rsid w:val="00F10EF5"/>
    <w:rsid w:val="00F110DE"/>
    <w:rsid w:val="00F112F6"/>
    <w:rsid w:val="00F114A2"/>
    <w:rsid w:val="00F116A7"/>
    <w:rsid w:val="00F1170E"/>
    <w:rsid w:val="00F11978"/>
    <w:rsid w:val="00F11995"/>
    <w:rsid w:val="00F119F5"/>
    <w:rsid w:val="00F11C0A"/>
    <w:rsid w:val="00F11C47"/>
    <w:rsid w:val="00F11CA5"/>
    <w:rsid w:val="00F11F83"/>
    <w:rsid w:val="00F12158"/>
    <w:rsid w:val="00F1225C"/>
    <w:rsid w:val="00F12290"/>
    <w:rsid w:val="00F125BA"/>
    <w:rsid w:val="00F126A0"/>
    <w:rsid w:val="00F12839"/>
    <w:rsid w:val="00F12850"/>
    <w:rsid w:val="00F128B3"/>
    <w:rsid w:val="00F12A0E"/>
    <w:rsid w:val="00F12B45"/>
    <w:rsid w:val="00F12B6B"/>
    <w:rsid w:val="00F12B9E"/>
    <w:rsid w:val="00F12C21"/>
    <w:rsid w:val="00F12C35"/>
    <w:rsid w:val="00F12FB0"/>
    <w:rsid w:val="00F1310A"/>
    <w:rsid w:val="00F1322F"/>
    <w:rsid w:val="00F13352"/>
    <w:rsid w:val="00F1341C"/>
    <w:rsid w:val="00F1365F"/>
    <w:rsid w:val="00F136F3"/>
    <w:rsid w:val="00F138E2"/>
    <w:rsid w:val="00F13A61"/>
    <w:rsid w:val="00F13C17"/>
    <w:rsid w:val="00F13C3D"/>
    <w:rsid w:val="00F13DD1"/>
    <w:rsid w:val="00F13F7F"/>
    <w:rsid w:val="00F13FF9"/>
    <w:rsid w:val="00F14038"/>
    <w:rsid w:val="00F1420A"/>
    <w:rsid w:val="00F1423E"/>
    <w:rsid w:val="00F1424F"/>
    <w:rsid w:val="00F1437A"/>
    <w:rsid w:val="00F145D1"/>
    <w:rsid w:val="00F145DC"/>
    <w:rsid w:val="00F14754"/>
    <w:rsid w:val="00F14940"/>
    <w:rsid w:val="00F14A7E"/>
    <w:rsid w:val="00F14CFA"/>
    <w:rsid w:val="00F14D3E"/>
    <w:rsid w:val="00F14E3F"/>
    <w:rsid w:val="00F14F25"/>
    <w:rsid w:val="00F150C8"/>
    <w:rsid w:val="00F150DB"/>
    <w:rsid w:val="00F1512C"/>
    <w:rsid w:val="00F151B7"/>
    <w:rsid w:val="00F152B1"/>
    <w:rsid w:val="00F15560"/>
    <w:rsid w:val="00F15775"/>
    <w:rsid w:val="00F158D5"/>
    <w:rsid w:val="00F15A7A"/>
    <w:rsid w:val="00F15DC9"/>
    <w:rsid w:val="00F15DD2"/>
    <w:rsid w:val="00F16051"/>
    <w:rsid w:val="00F160B9"/>
    <w:rsid w:val="00F160E3"/>
    <w:rsid w:val="00F163C2"/>
    <w:rsid w:val="00F163C7"/>
    <w:rsid w:val="00F164EC"/>
    <w:rsid w:val="00F16999"/>
    <w:rsid w:val="00F16AC7"/>
    <w:rsid w:val="00F16C23"/>
    <w:rsid w:val="00F16D45"/>
    <w:rsid w:val="00F16D46"/>
    <w:rsid w:val="00F16DB6"/>
    <w:rsid w:val="00F16E4B"/>
    <w:rsid w:val="00F16FC3"/>
    <w:rsid w:val="00F17032"/>
    <w:rsid w:val="00F1749B"/>
    <w:rsid w:val="00F17682"/>
    <w:rsid w:val="00F17738"/>
    <w:rsid w:val="00F1796F"/>
    <w:rsid w:val="00F17DEF"/>
    <w:rsid w:val="00F17FB5"/>
    <w:rsid w:val="00F17FBD"/>
    <w:rsid w:val="00F202EB"/>
    <w:rsid w:val="00F20325"/>
    <w:rsid w:val="00F20370"/>
    <w:rsid w:val="00F203B8"/>
    <w:rsid w:val="00F206C4"/>
    <w:rsid w:val="00F20739"/>
    <w:rsid w:val="00F2078E"/>
    <w:rsid w:val="00F209DA"/>
    <w:rsid w:val="00F20B19"/>
    <w:rsid w:val="00F20D95"/>
    <w:rsid w:val="00F20DE1"/>
    <w:rsid w:val="00F20F57"/>
    <w:rsid w:val="00F20FF5"/>
    <w:rsid w:val="00F21B7F"/>
    <w:rsid w:val="00F21EFE"/>
    <w:rsid w:val="00F2209B"/>
    <w:rsid w:val="00F220B6"/>
    <w:rsid w:val="00F22303"/>
    <w:rsid w:val="00F224A2"/>
    <w:rsid w:val="00F22717"/>
    <w:rsid w:val="00F227D8"/>
    <w:rsid w:val="00F22855"/>
    <w:rsid w:val="00F2289C"/>
    <w:rsid w:val="00F22A68"/>
    <w:rsid w:val="00F22AD8"/>
    <w:rsid w:val="00F22D42"/>
    <w:rsid w:val="00F22DF2"/>
    <w:rsid w:val="00F22F4F"/>
    <w:rsid w:val="00F233E6"/>
    <w:rsid w:val="00F233EB"/>
    <w:rsid w:val="00F23416"/>
    <w:rsid w:val="00F2356C"/>
    <w:rsid w:val="00F23777"/>
    <w:rsid w:val="00F237CE"/>
    <w:rsid w:val="00F23952"/>
    <w:rsid w:val="00F23CC5"/>
    <w:rsid w:val="00F23EA4"/>
    <w:rsid w:val="00F23F1C"/>
    <w:rsid w:val="00F24194"/>
    <w:rsid w:val="00F242D6"/>
    <w:rsid w:val="00F24571"/>
    <w:rsid w:val="00F247F7"/>
    <w:rsid w:val="00F2485E"/>
    <w:rsid w:val="00F24877"/>
    <w:rsid w:val="00F24A4B"/>
    <w:rsid w:val="00F24CA2"/>
    <w:rsid w:val="00F24CFF"/>
    <w:rsid w:val="00F24D01"/>
    <w:rsid w:val="00F24E1D"/>
    <w:rsid w:val="00F24EA0"/>
    <w:rsid w:val="00F24EDE"/>
    <w:rsid w:val="00F2505F"/>
    <w:rsid w:val="00F2527D"/>
    <w:rsid w:val="00F252D5"/>
    <w:rsid w:val="00F254B2"/>
    <w:rsid w:val="00F256E3"/>
    <w:rsid w:val="00F2581D"/>
    <w:rsid w:val="00F258B0"/>
    <w:rsid w:val="00F258B6"/>
    <w:rsid w:val="00F25A6E"/>
    <w:rsid w:val="00F25A96"/>
    <w:rsid w:val="00F25B50"/>
    <w:rsid w:val="00F25E8F"/>
    <w:rsid w:val="00F25FC4"/>
    <w:rsid w:val="00F2608D"/>
    <w:rsid w:val="00F260C2"/>
    <w:rsid w:val="00F26249"/>
    <w:rsid w:val="00F262D3"/>
    <w:rsid w:val="00F26322"/>
    <w:rsid w:val="00F26534"/>
    <w:rsid w:val="00F26671"/>
    <w:rsid w:val="00F266B8"/>
    <w:rsid w:val="00F266BE"/>
    <w:rsid w:val="00F26839"/>
    <w:rsid w:val="00F269B3"/>
    <w:rsid w:val="00F26AA9"/>
    <w:rsid w:val="00F26BB1"/>
    <w:rsid w:val="00F26C59"/>
    <w:rsid w:val="00F26C79"/>
    <w:rsid w:val="00F26E45"/>
    <w:rsid w:val="00F26F2E"/>
    <w:rsid w:val="00F271F9"/>
    <w:rsid w:val="00F274ED"/>
    <w:rsid w:val="00F2758C"/>
    <w:rsid w:val="00F278A9"/>
    <w:rsid w:val="00F278B7"/>
    <w:rsid w:val="00F279E1"/>
    <w:rsid w:val="00F279EA"/>
    <w:rsid w:val="00F27AF8"/>
    <w:rsid w:val="00F27CC8"/>
    <w:rsid w:val="00F27D00"/>
    <w:rsid w:val="00F27D2E"/>
    <w:rsid w:val="00F27EC8"/>
    <w:rsid w:val="00F27EE1"/>
    <w:rsid w:val="00F30009"/>
    <w:rsid w:val="00F3018D"/>
    <w:rsid w:val="00F30381"/>
    <w:rsid w:val="00F303CB"/>
    <w:rsid w:val="00F305F2"/>
    <w:rsid w:val="00F30601"/>
    <w:rsid w:val="00F30608"/>
    <w:rsid w:val="00F3062F"/>
    <w:rsid w:val="00F306D2"/>
    <w:rsid w:val="00F30860"/>
    <w:rsid w:val="00F3098C"/>
    <w:rsid w:val="00F309BA"/>
    <w:rsid w:val="00F30A59"/>
    <w:rsid w:val="00F30AC2"/>
    <w:rsid w:val="00F30C3F"/>
    <w:rsid w:val="00F30C73"/>
    <w:rsid w:val="00F30CD8"/>
    <w:rsid w:val="00F31044"/>
    <w:rsid w:val="00F310BA"/>
    <w:rsid w:val="00F3112A"/>
    <w:rsid w:val="00F31346"/>
    <w:rsid w:val="00F313B6"/>
    <w:rsid w:val="00F31503"/>
    <w:rsid w:val="00F315FB"/>
    <w:rsid w:val="00F316A6"/>
    <w:rsid w:val="00F316D0"/>
    <w:rsid w:val="00F316F0"/>
    <w:rsid w:val="00F31710"/>
    <w:rsid w:val="00F318B0"/>
    <w:rsid w:val="00F318EA"/>
    <w:rsid w:val="00F3191C"/>
    <w:rsid w:val="00F319C6"/>
    <w:rsid w:val="00F319F1"/>
    <w:rsid w:val="00F31A98"/>
    <w:rsid w:val="00F31B82"/>
    <w:rsid w:val="00F31BA4"/>
    <w:rsid w:val="00F31C56"/>
    <w:rsid w:val="00F31E01"/>
    <w:rsid w:val="00F31FAE"/>
    <w:rsid w:val="00F3201D"/>
    <w:rsid w:val="00F322CA"/>
    <w:rsid w:val="00F3258A"/>
    <w:rsid w:val="00F32895"/>
    <w:rsid w:val="00F32C06"/>
    <w:rsid w:val="00F32C21"/>
    <w:rsid w:val="00F32D47"/>
    <w:rsid w:val="00F32D66"/>
    <w:rsid w:val="00F32E47"/>
    <w:rsid w:val="00F32F94"/>
    <w:rsid w:val="00F3303F"/>
    <w:rsid w:val="00F33128"/>
    <w:rsid w:val="00F33136"/>
    <w:rsid w:val="00F331CD"/>
    <w:rsid w:val="00F3344A"/>
    <w:rsid w:val="00F337B3"/>
    <w:rsid w:val="00F337F8"/>
    <w:rsid w:val="00F33B97"/>
    <w:rsid w:val="00F33E47"/>
    <w:rsid w:val="00F33E6C"/>
    <w:rsid w:val="00F33EB8"/>
    <w:rsid w:val="00F34150"/>
    <w:rsid w:val="00F34434"/>
    <w:rsid w:val="00F3455B"/>
    <w:rsid w:val="00F34636"/>
    <w:rsid w:val="00F34774"/>
    <w:rsid w:val="00F34A3A"/>
    <w:rsid w:val="00F34D40"/>
    <w:rsid w:val="00F34E2B"/>
    <w:rsid w:val="00F35042"/>
    <w:rsid w:val="00F350F1"/>
    <w:rsid w:val="00F351EF"/>
    <w:rsid w:val="00F3531E"/>
    <w:rsid w:val="00F35382"/>
    <w:rsid w:val="00F353CA"/>
    <w:rsid w:val="00F35449"/>
    <w:rsid w:val="00F35623"/>
    <w:rsid w:val="00F3570F"/>
    <w:rsid w:val="00F35743"/>
    <w:rsid w:val="00F357C7"/>
    <w:rsid w:val="00F35C15"/>
    <w:rsid w:val="00F35C91"/>
    <w:rsid w:val="00F35D30"/>
    <w:rsid w:val="00F35D35"/>
    <w:rsid w:val="00F35D4C"/>
    <w:rsid w:val="00F36052"/>
    <w:rsid w:val="00F36225"/>
    <w:rsid w:val="00F36236"/>
    <w:rsid w:val="00F36286"/>
    <w:rsid w:val="00F36351"/>
    <w:rsid w:val="00F363E9"/>
    <w:rsid w:val="00F3645B"/>
    <w:rsid w:val="00F364D2"/>
    <w:rsid w:val="00F3663B"/>
    <w:rsid w:val="00F3663F"/>
    <w:rsid w:val="00F3665F"/>
    <w:rsid w:val="00F36758"/>
    <w:rsid w:val="00F36905"/>
    <w:rsid w:val="00F369EA"/>
    <w:rsid w:val="00F36B1B"/>
    <w:rsid w:val="00F36B2C"/>
    <w:rsid w:val="00F36CA6"/>
    <w:rsid w:val="00F36D8D"/>
    <w:rsid w:val="00F36DD3"/>
    <w:rsid w:val="00F36DFF"/>
    <w:rsid w:val="00F36E3C"/>
    <w:rsid w:val="00F36E78"/>
    <w:rsid w:val="00F3706C"/>
    <w:rsid w:val="00F3714B"/>
    <w:rsid w:val="00F376F0"/>
    <w:rsid w:val="00F3770A"/>
    <w:rsid w:val="00F37862"/>
    <w:rsid w:val="00F37A14"/>
    <w:rsid w:val="00F37B59"/>
    <w:rsid w:val="00F37BF4"/>
    <w:rsid w:val="00F37C6D"/>
    <w:rsid w:val="00F37D41"/>
    <w:rsid w:val="00F37DA1"/>
    <w:rsid w:val="00F37DDC"/>
    <w:rsid w:val="00F37F17"/>
    <w:rsid w:val="00F4004B"/>
    <w:rsid w:val="00F406DC"/>
    <w:rsid w:val="00F406DF"/>
    <w:rsid w:val="00F4085C"/>
    <w:rsid w:val="00F409B7"/>
    <w:rsid w:val="00F40A53"/>
    <w:rsid w:val="00F40A7C"/>
    <w:rsid w:val="00F40B19"/>
    <w:rsid w:val="00F40B63"/>
    <w:rsid w:val="00F40B9F"/>
    <w:rsid w:val="00F40D98"/>
    <w:rsid w:val="00F40DBC"/>
    <w:rsid w:val="00F4110F"/>
    <w:rsid w:val="00F41747"/>
    <w:rsid w:val="00F417A4"/>
    <w:rsid w:val="00F417C5"/>
    <w:rsid w:val="00F41AEE"/>
    <w:rsid w:val="00F41AFB"/>
    <w:rsid w:val="00F41BE4"/>
    <w:rsid w:val="00F41CD3"/>
    <w:rsid w:val="00F41CEE"/>
    <w:rsid w:val="00F41D4D"/>
    <w:rsid w:val="00F41ECB"/>
    <w:rsid w:val="00F41F2A"/>
    <w:rsid w:val="00F4200E"/>
    <w:rsid w:val="00F420C0"/>
    <w:rsid w:val="00F42133"/>
    <w:rsid w:val="00F4223F"/>
    <w:rsid w:val="00F423D9"/>
    <w:rsid w:val="00F423DE"/>
    <w:rsid w:val="00F42434"/>
    <w:rsid w:val="00F42977"/>
    <w:rsid w:val="00F42A18"/>
    <w:rsid w:val="00F42AE4"/>
    <w:rsid w:val="00F42BC5"/>
    <w:rsid w:val="00F42BFF"/>
    <w:rsid w:val="00F42F6C"/>
    <w:rsid w:val="00F4327A"/>
    <w:rsid w:val="00F43284"/>
    <w:rsid w:val="00F432DA"/>
    <w:rsid w:val="00F4358F"/>
    <w:rsid w:val="00F437C8"/>
    <w:rsid w:val="00F4382C"/>
    <w:rsid w:val="00F43B6B"/>
    <w:rsid w:val="00F43BA9"/>
    <w:rsid w:val="00F43C0C"/>
    <w:rsid w:val="00F43D7F"/>
    <w:rsid w:val="00F43EA8"/>
    <w:rsid w:val="00F44040"/>
    <w:rsid w:val="00F440F1"/>
    <w:rsid w:val="00F44128"/>
    <w:rsid w:val="00F44200"/>
    <w:rsid w:val="00F4423A"/>
    <w:rsid w:val="00F44263"/>
    <w:rsid w:val="00F44290"/>
    <w:rsid w:val="00F443BD"/>
    <w:rsid w:val="00F443D9"/>
    <w:rsid w:val="00F4447E"/>
    <w:rsid w:val="00F444E1"/>
    <w:rsid w:val="00F44510"/>
    <w:rsid w:val="00F445AA"/>
    <w:rsid w:val="00F44610"/>
    <w:rsid w:val="00F44681"/>
    <w:rsid w:val="00F4471A"/>
    <w:rsid w:val="00F447D0"/>
    <w:rsid w:val="00F448BC"/>
    <w:rsid w:val="00F4492B"/>
    <w:rsid w:val="00F449DF"/>
    <w:rsid w:val="00F44B4D"/>
    <w:rsid w:val="00F44DEB"/>
    <w:rsid w:val="00F44DF4"/>
    <w:rsid w:val="00F44E33"/>
    <w:rsid w:val="00F44E3E"/>
    <w:rsid w:val="00F4500A"/>
    <w:rsid w:val="00F45081"/>
    <w:rsid w:val="00F450F8"/>
    <w:rsid w:val="00F45390"/>
    <w:rsid w:val="00F4551C"/>
    <w:rsid w:val="00F4554E"/>
    <w:rsid w:val="00F4566A"/>
    <w:rsid w:val="00F4575B"/>
    <w:rsid w:val="00F45A6B"/>
    <w:rsid w:val="00F45F07"/>
    <w:rsid w:val="00F45F4C"/>
    <w:rsid w:val="00F463CE"/>
    <w:rsid w:val="00F463E8"/>
    <w:rsid w:val="00F46637"/>
    <w:rsid w:val="00F466FE"/>
    <w:rsid w:val="00F467FC"/>
    <w:rsid w:val="00F46958"/>
    <w:rsid w:val="00F46997"/>
    <w:rsid w:val="00F46A50"/>
    <w:rsid w:val="00F46C1E"/>
    <w:rsid w:val="00F46CC3"/>
    <w:rsid w:val="00F46E03"/>
    <w:rsid w:val="00F46F23"/>
    <w:rsid w:val="00F4721E"/>
    <w:rsid w:val="00F4759E"/>
    <w:rsid w:val="00F47687"/>
    <w:rsid w:val="00F47793"/>
    <w:rsid w:val="00F4794D"/>
    <w:rsid w:val="00F479B9"/>
    <w:rsid w:val="00F47A46"/>
    <w:rsid w:val="00F47AE7"/>
    <w:rsid w:val="00F47B2B"/>
    <w:rsid w:val="00F47F3C"/>
    <w:rsid w:val="00F50456"/>
    <w:rsid w:val="00F50527"/>
    <w:rsid w:val="00F5052B"/>
    <w:rsid w:val="00F509C9"/>
    <w:rsid w:val="00F50D92"/>
    <w:rsid w:val="00F50E17"/>
    <w:rsid w:val="00F50F1A"/>
    <w:rsid w:val="00F50FBC"/>
    <w:rsid w:val="00F51017"/>
    <w:rsid w:val="00F51369"/>
    <w:rsid w:val="00F513B4"/>
    <w:rsid w:val="00F5140D"/>
    <w:rsid w:val="00F5146B"/>
    <w:rsid w:val="00F5156D"/>
    <w:rsid w:val="00F51667"/>
    <w:rsid w:val="00F51719"/>
    <w:rsid w:val="00F51814"/>
    <w:rsid w:val="00F518E4"/>
    <w:rsid w:val="00F519FD"/>
    <w:rsid w:val="00F51A81"/>
    <w:rsid w:val="00F51CA9"/>
    <w:rsid w:val="00F51D32"/>
    <w:rsid w:val="00F51DD6"/>
    <w:rsid w:val="00F51E73"/>
    <w:rsid w:val="00F51F31"/>
    <w:rsid w:val="00F5201C"/>
    <w:rsid w:val="00F520A3"/>
    <w:rsid w:val="00F520B3"/>
    <w:rsid w:val="00F521B4"/>
    <w:rsid w:val="00F521DA"/>
    <w:rsid w:val="00F52641"/>
    <w:rsid w:val="00F52999"/>
    <w:rsid w:val="00F52A94"/>
    <w:rsid w:val="00F52AB5"/>
    <w:rsid w:val="00F52B94"/>
    <w:rsid w:val="00F52B99"/>
    <w:rsid w:val="00F52C01"/>
    <w:rsid w:val="00F52CCC"/>
    <w:rsid w:val="00F52D88"/>
    <w:rsid w:val="00F52FB6"/>
    <w:rsid w:val="00F530DD"/>
    <w:rsid w:val="00F531EC"/>
    <w:rsid w:val="00F53202"/>
    <w:rsid w:val="00F5323E"/>
    <w:rsid w:val="00F532B4"/>
    <w:rsid w:val="00F534DA"/>
    <w:rsid w:val="00F534FC"/>
    <w:rsid w:val="00F53666"/>
    <w:rsid w:val="00F536DA"/>
    <w:rsid w:val="00F5375E"/>
    <w:rsid w:val="00F537CE"/>
    <w:rsid w:val="00F537EE"/>
    <w:rsid w:val="00F5382B"/>
    <w:rsid w:val="00F539AE"/>
    <w:rsid w:val="00F53A71"/>
    <w:rsid w:val="00F53AFD"/>
    <w:rsid w:val="00F53BF2"/>
    <w:rsid w:val="00F53D43"/>
    <w:rsid w:val="00F53F18"/>
    <w:rsid w:val="00F54473"/>
    <w:rsid w:val="00F5463D"/>
    <w:rsid w:val="00F54742"/>
    <w:rsid w:val="00F547EC"/>
    <w:rsid w:val="00F54AA8"/>
    <w:rsid w:val="00F54AE7"/>
    <w:rsid w:val="00F54C7F"/>
    <w:rsid w:val="00F54D35"/>
    <w:rsid w:val="00F54D36"/>
    <w:rsid w:val="00F54DE8"/>
    <w:rsid w:val="00F54FD8"/>
    <w:rsid w:val="00F54FFB"/>
    <w:rsid w:val="00F55042"/>
    <w:rsid w:val="00F551FB"/>
    <w:rsid w:val="00F55291"/>
    <w:rsid w:val="00F553AF"/>
    <w:rsid w:val="00F5548E"/>
    <w:rsid w:val="00F55748"/>
    <w:rsid w:val="00F55818"/>
    <w:rsid w:val="00F55914"/>
    <w:rsid w:val="00F559DE"/>
    <w:rsid w:val="00F55D99"/>
    <w:rsid w:val="00F55DDF"/>
    <w:rsid w:val="00F55F15"/>
    <w:rsid w:val="00F55FC8"/>
    <w:rsid w:val="00F56128"/>
    <w:rsid w:val="00F56255"/>
    <w:rsid w:val="00F56278"/>
    <w:rsid w:val="00F56287"/>
    <w:rsid w:val="00F563BB"/>
    <w:rsid w:val="00F564BA"/>
    <w:rsid w:val="00F56B06"/>
    <w:rsid w:val="00F56B7F"/>
    <w:rsid w:val="00F56B8F"/>
    <w:rsid w:val="00F56DC6"/>
    <w:rsid w:val="00F56DE6"/>
    <w:rsid w:val="00F56E7B"/>
    <w:rsid w:val="00F56EE4"/>
    <w:rsid w:val="00F57028"/>
    <w:rsid w:val="00F573AF"/>
    <w:rsid w:val="00F5767E"/>
    <w:rsid w:val="00F57830"/>
    <w:rsid w:val="00F5785C"/>
    <w:rsid w:val="00F57B37"/>
    <w:rsid w:val="00F57BAB"/>
    <w:rsid w:val="00F57C6D"/>
    <w:rsid w:val="00F57CBE"/>
    <w:rsid w:val="00F57EA5"/>
    <w:rsid w:val="00F603C1"/>
    <w:rsid w:val="00F603DA"/>
    <w:rsid w:val="00F6040D"/>
    <w:rsid w:val="00F606EF"/>
    <w:rsid w:val="00F60D02"/>
    <w:rsid w:val="00F6105B"/>
    <w:rsid w:val="00F61371"/>
    <w:rsid w:val="00F6144F"/>
    <w:rsid w:val="00F614C5"/>
    <w:rsid w:val="00F6154E"/>
    <w:rsid w:val="00F61638"/>
    <w:rsid w:val="00F6165A"/>
    <w:rsid w:val="00F6168E"/>
    <w:rsid w:val="00F61747"/>
    <w:rsid w:val="00F618E7"/>
    <w:rsid w:val="00F61B91"/>
    <w:rsid w:val="00F61D3D"/>
    <w:rsid w:val="00F61E60"/>
    <w:rsid w:val="00F61E74"/>
    <w:rsid w:val="00F61ED5"/>
    <w:rsid w:val="00F61ED7"/>
    <w:rsid w:val="00F61F61"/>
    <w:rsid w:val="00F621B8"/>
    <w:rsid w:val="00F62458"/>
    <w:rsid w:val="00F62508"/>
    <w:rsid w:val="00F62669"/>
    <w:rsid w:val="00F62854"/>
    <w:rsid w:val="00F62889"/>
    <w:rsid w:val="00F62B29"/>
    <w:rsid w:val="00F62BBE"/>
    <w:rsid w:val="00F62C2D"/>
    <w:rsid w:val="00F62D16"/>
    <w:rsid w:val="00F62E07"/>
    <w:rsid w:val="00F630DD"/>
    <w:rsid w:val="00F6310D"/>
    <w:rsid w:val="00F63141"/>
    <w:rsid w:val="00F63143"/>
    <w:rsid w:val="00F6317C"/>
    <w:rsid w:val="00F63269"/>
    <w:rsid w:val="00F632B2"/>
    <w:rsid w:val="00F633D3"/>
    <w:rsid w:val="00F633DB"/>
    <w:rsid w:val="00F636FE"/>
    <w:rsid w:val="00F63837"/>
    <w:rsid w:val="00F6397C"/>
    <w:rsid w:val="00F63A38"/>
    <w:rsid w:val="00F63A57"/>
    <w:rsid w:val="00F63CCB"/>
    <w:rsid w:val="00F63D76"/>
    <w:rsid w:val="00F6404D"/>
    <w:rsid w:val="00F6425D"/>
    <w:rsid w:val="00F643D7"/>
    <w:rsid w:val="00F646A9"/>
    <w:rsid w:val="00F64862"/>
    <w:rsid w:val="00F64A9F"/>
    <w:rsid w:val="00F64ADC"/>
    <w:rsid w:val="00F64C1D"/>
    <w:rsid w:val="00F64E12"/>
    <w:rsid w:val="00F64E95"/>
    <w:rsid w:val="00F65217"/>
    <w:rsid w:val="00F65318"/>
    <w:rsid w:val="00F6562C"/>
    <w:rsid w:val="00F6586B"/>
    <w:rsid w:val="00F658E5"/>
    <w:rsid w:val="00F65A9F"/>
    <w:rsid w:val="00F65B07"/>
    <w:rsid w:val="00F65BAD"/>
    <w:rsid w:val="00F65E52"/>
    <w:rsid w:val="00F66049"/>
    <w:rsid w:val="00F66156"/>
    <w:rsid w:val="00F6622F"/>
    <w:rsid w:val="00F662BF"/>
    <w:rsid w:val="00F66390"/>
    <w:rsid w:val="00F663BF"/>
    <w:rsid w:val="00F6652F"/>
    <w:rsid w:val="00F66584"/>
    <w:rsid w:val="00F6662C"/>
    <w:rsid w:val="00F66928"/>
    <w:rsid w:val="00F669BD"/>
    <w:rsid w:val="00F669FB"/>
    <w:rsid w:val="00F66A3E"/>
    <w:rsid w:val="00F66DCD"/>
    <w:rsid w:val="00F66DDE"/>
    <w:rsid w:val="00F66ED2"/>
    <w:rsid w:val="00F66ED3"/>
    <w:rsid w:val="00F67090"/>
    <w:rsid w:val="00F672A4"/>
    <w:rsid w:val="00F672B4"/>
    <w:rsid w:val="00F672E9"/>
    <w:rsid w:val="00F67311"/>
    <w:rsid w:val="00F6731A"/>
    <w:rsid w:val="00F6734B"/>
    <w:rsid w:val="00F67359"/>
    <w:rsid w:val="00F67894"/>
    <w:rsid w:val="00F67D50"/>
    <w:rsid w:val="00F67F01"/>
    <w:rsid w:val="00F67FCF"/>
    <w:rsid w:val="00F70269"/>
    <w:rsid w:val="00F702E9"/>
    <w:rsid w:val="00F70409"/>
    <w:rsid w:val="00F70693"/>
    <w:rsid w:val="00F7080F"/>
    <w:rsid w:val="00F7083E"/>
    <w:rsid w:val="00F70AB6"/>
    <w:rsid w:val="00F70AF8"/>
    <w:rsid w:val="00F70B23"/>
    <w:rsid w:val="00F70B66"/>
    <w:rsid w:val="00F70B86"/>
    <w:rsid w:val="00F70E50"/>
    <w:rsid w:val="00F71070"/>
    <w:rsid w:val="00F713C4"/>
    <w:rsid w:val="00F71607"/>
    <w:rsid w:val="00F717A3"/>
    <w:rsid w:val="00F717C0"/>
    <w:rsid w:val="00F71922"/>
    <w:rsid w:val="00F71AE9"/>
    <w:rsid w:val="00F71B71"/>
    <w:rsid w:val="00F71C8D"/>
    <w:rsid w:val="00F71E7B"/>
    <w:rsid w:val="00F720FC"/>
    <w:rsid w:val="00F721C0"/>
    <w:rsid w:val="00F722B1"/>
    <w:rsid w:val="00F723B2"/>
    <w:rsid w:val="00F72495"/>
    <w:rsid w:val="00F726AF"/>
    <w:rsid w:val="00F72716"/>
    <w:rsid w:val="00F72948"/>
    <w:rsid w:val="00F72AD6"/>
    <w:rsid w:val="00F72AE1"/>
    <w:rsid w:val="00F72B06"/>
    <w:rsid w:val="00F72C25"/>
    <w:rsid w:val="00F72C9F"/>
    <w:rsid w:val="00F72D5A"/>
    <w:rsid w:val="00F72DAE"/>
    <w:rsid w:val="00F72DC7"/>
    <w:rsid w:val="00F72DF5"/>
    <w:rsid w:val="00F72F77"/>
    <w:rsid w:val="00F72FA4"/>
    <w:rsid w:val="00F73162"/>
    <w:rsid w:val="00F731E1"/>
    <w:rsid w:val="00F7327A"/>
    <w:rsid w:val="00F733FA"/>
    <w:rsid w:val="00F73420"/>
    <w:rsid w:val="00F73560"/>
    <w:rsid w:val="00F73569"/>
    <w:rsid w:val="00F735ED"/>
    <w:rsid w:val="00F736AB"/>
    <w:rsid w:val="00F7383C"/>
    <w:rsid w:val="00F73882"/>
    <w:rsid w:val="00F73963"/>
    <w:rsid w:val="00F73AAF"/>
    <w:rsid w:val="00F73ADD"/>
    <w:rsid w:val="00F73B1A"/>
    <w:rsid w:val="00F73CBA"/>
    <w:rsid w:val="00F73E37"/>
    <w:rsid w:val="00F73F15"/>
    <w:rsid w:val="00F7413A"/>
    <w:rsid w:val="00F741D7"/>
    <w:rsid w:val="00F74326"/>
    <w:rsid w:val="00F745EA"/>
    <w:rsid w:val="00F74836"/>
    <w:rsid w:val="00F74A72"/>
    <w:rsid w:val="00F74D95"/>
    <w:rsid w:val="00F74EA5"/>
    <w:rsid w:val="00F74EF3"/>
    <w:rsid w:val="00F74FED"/>
    <w:rsid w:val="00F750C5"/>
    <w:rsid w:val="00F7556E"/>
    <w:rsid w:val="00F75693"/>
    <w:rsid w:val="00F75771"/>
    <w:rsid w:val="00F75ABF"/>
    <w:rsid w:val="00F75B29"/>
    <w:rsid w:val="00F75D40"/>
    <w:rsid w:val="00F75DAD"/>
    <w:rsid w:val="00F75EBD"/>
    <w:rsid w:val="00F76231"/>
    <w:rsid w:val="00F76453"/>
    <w:rsid w:val="00F76516"/>
    <w:rsid w:val="00F765FB"/>
    <w:rsid w:val="00F76681"/>
    <w:rsid w:val="00F76769"/>
    <w:rsid w:val="00F76803"/>
    <w:rsid w:val="00F76861"/>
    <w:rsid w:val="00F76894"/>
    <w:rsid w:val="00F76918"/>
    <w:rsid w:val="00F76ACE"/>
    <w:rsid w:val="00F76BFE"/>
    <w:rsid w:val="00F76C34"/>
    <w:rsid w:val="00F76D1C"/>
    <w:rsid w:val="00F76D44"/>
    <w:rsid w:val="00F76E6B"/>
    <w:rsid w:val="00F76EF7"/>
    <w:rsid w:val="00F77180"/>
    <w:rsid w:val="00F7718A"/>
    <w:rsid w:val="00F771C0"/>
    <w:rsid w:val="00F7745E"/>
    <w:rsid w:val="00F77A40"/>
    <w:rsid w:val="00F77A7F"/>
    <w:rsid w:val="00F77C36"/>
    <w:rsid w:val="00F77C6E"/>
    <w:rsid w:val="00F77CC7"/>
    <w:rsid w:val="00F80103"/>
    <w:rsid w:val="00F80373"/>
    <w:rsid w:val="00F8040F"/>
    <w:rsid w:val="00F80626"/>
    <w:rsid w:val="00F8075E"/>
    <w:rsid w:val="00F807D5"/>
    <w:rsid w:val="00F808EE"/>
    <w:rsid w:val="00F8090E"/>
    <w:rsid w:val="00F80941"/>
    <w:rsid w:val="00F80A9C"/>
    <w:rsid w:val="00F80AB7"/>
    <w:rsid w:val="00F80D16"/>
    <w:rsid w:val="00F80DAA"/>
    <w:rsid w:val="00F80E0A"/>
    <w:rsid w:val="00F80FBA"/>
    <w:rsid w:val="00F810B7"/>
    <w:rsid w:val="00F810CD"/>
    <w:rsid w:val="00F81101"/>
    <w:rsid w:val="00F81183"/>
    <w:rsid w:val="00F811A7"/>
    <w:rsid w:val="00F81295"/>
    <w:rsid w:val="00F816F0"/>
    <w:rsid w:val="00F81822"/>
    <w:rsid w:val="00F81854"/>
    <w:rsid w:val="00F81A29"/>
    <w:rsid w:val="00F81BBC"/>
    <w:rsid w:val="00F81C6A"/>
    <w:rsid w:val="00F81D3E"/>
    <w:rsid w:val="00F81D78"/>
    <w:rsid w:val="00F81FCB"/>
    <w:rsid w:val="00F82030"/>
    <w:rsid w:val="00F820A5"/>
    <w:rsid w:val="00F820CB"/>
    <w:rsid w:val="00F820DA"/>
    <w:rsid w:val="00F8214B"/>
    <w:rsid w:val="00F821E0"/>
    <w:rsid w:val="00F822F1"/>
    <w:rsid w:val="00F82331"/>
    <w:rsid w:val="00F823B3"/>
    <w:rsid w:val="00F82454"/>
    <w:rsid w:val="00F8260E"/>
    <w:rsid w:val="00F827D4"/>
    <w:rsid w:val="00F82D13"/>
    <w:rsid w:val="00F82F18"/>
    <w:rsid w:val="00F82FEE"/>
    <w:rsid w:val="00F833D0"/>
    <w:rsid w:val="00F83434"/>
    <w:rsid w:val="00F8344C"/>
    <w:rsid w:val="00F834B6"/>
    <w:rsid w:val="00F836E7"/>
    <w:rsid w:val="00F8372C"/>
    <w:rsid w:val="00F83737"/>
    <w:rsid w:val="00F8381D"/>
    <w:rsid w:val="00F83A32"/>
    <w:rsid w:val="00F83ABA"/>
    <w:rsid w:val="00F83C07"/>
    <w:rsid w:val="00F83C90"/>
    <w:rsid w:val="00F83CB9"/>
    <w:rsid w:val="00F83D5A"/>
    <w:rsid w:val="00F83D7D"/>
    <w:rsid w:val="00F842CB"/>
    <w:rsid w:val="00F842DB"/>
    <w:rsid w:val="00F84300"/>
    <w:rsid w:val="00F843FE"/>
    <w:rsid w:val="00F8443B"/>
    <w:rsid w:val="00F84447"/>
    <w:rsid w:val="00F846C8"/>
    <w:rsid w:val="00F8472D"/>
    <w:rsid w:val="00F84867"/>
    <w:rsid w:val="00F848EB"/>
    <w:rsid w:val="00F84A92"/>
    <w:rsid w:val="00F84AC9"/>
    <w:rsid w:val="00F84B34"/>
    <w:rsid w:val="00F84B7A"/>
    <w:rsid w:val="00F84D2F"/>
    <w:rsid w:val="00F84EAC"/>
    <w:rsid w:val="00F850C8"/>
    <w:rsid w:val="00F850DD"/>
    <w:rsid w:val="00F850F2"/>
    <w:rsid w:val="00F851C2"/>
    <w:rsid w:val="00F85270"/>
    <w:rsid w:val="00F85278"/>
    <w:rsid w:val="00F852EB"/>
    <w:rsid w:val="00F8546B"/>
    <w:rsid w:val="00F854A7"/>
    <w:rsid w:val="00F854BB"/>
    <w:rsid w:val="00F855E5"/>
    <w:rsid w:val="00F85627"/>
    <w:rsid w:val="00F856C6"/>
    <w:rsid w:val="00F8591A"/>
    <w:rsid w:val="00F85A62"/>
    <w:rsid w:val="00F85C01"/>
    <w:rsid w:val="00F86049"/>
    <w:rsid w:val="00F867FF"/>
    <w:rsid w:val="00F86890"/>
    <w:rsid w:val="00F868F3"/>
    <w:rsid w:val="00F86985"/>
    <w:rsid w:val="00F86ADD"/>
    <w:rsid w:val="00F86B92"/>
    <w:rsid w:val="00F86CBE"/>
    <w:rsid w:val="00F86D56"/>
    <w:rsid w:val="00F86DF0"/>
    <w:rsid w:val="00F86E89"/>
    <w:rsid w:val="00F86FCF"/>
    <w:rsid w:val="00F87046"/>
    <w:rsid w:val="00F870EE"/>
    <w:rsid w:val="00F873A3"/>
    <w:rsid w:val="00F87414"/>
    <w:rsid w:val="00F876E4"/>
    <w:rsid w:val="00F87792"/>
    <w:rsid w:val="00F878B6"/>
    <w:rsid w:val="00F87923"/>
    <w:rsid w:val="00F87930"/>
    <w:rsid w:val="00F87A51"/>
    <w:rsid w:val="00F87BB2"/>
    <w:rsid w:val="00F87FC3"/>
    <w:rsid w:val="00F900D3"/>
    <w:rsid w:val="00F90171"/>
    <w:rsid w:val="00F90188"/>
    <w:rsid w:val="00F90268"/>
    <w:rsid w:val="00F90398"/>
    <w:rsid w:val="00F906BE"/>
    <w:rsid w:val="00F90768"/>
    <w:rsid w:val="00F90984"/>
    <w:rsid w:val="00F90B8C"/>
    <w:rsid w:val="00F90C15"/>
    <w:rsid w:val="00F90C33"/>
    <w:rsid w:val="00F90EB2"/>
    <w:rsid w:val="00F90FF5"/>
    <w:rsid w:val="00F91102"/>
    <w:rsid w:val="00F9120A"/>
    <w:rsid w:val="00F91266"/>
    <w:rsid w:val="00F912A6"/>
    <w:rsid w:val="00F914DE"/>
    <w:rsid w:val="00F915B0"/>
    <w:rsid w:val="00F9188A"/>
    <w:rsid w:val="00F91950"/>
    <w:rsid w:val="00F91B5E"/>
    <w:rsid w:val="00F91DEF"/>
    <w:rsid w:val="00F91E77"/>
    <w:rsid w:val="00F923FF"/>
    <w:rsid w:val="00F9246C"/>
    <w:rsid w:val="00F928C0"/>
    <w:rsid w:val="00F92A92"/>
    <w:rsid w:val="00F92AB2"/>
    <w:rsid w:val="00F92C3B"/>
    <w:rsid w:val="00F92CC9"/>
    <w:rsid w:val="00F92CF7"/>
    <w:rsid w:val="00F92DE9"/>
    <w:rsid w:val="00F92DF6"/>
    <w:rsid w:val="00F92E46"/>
    <w:rsid w:val="00F92E61"/>
    <w:rsid w:val="00F93077"/>
    <w:rsid w:val="00F93087"/>
    <w:rsid w:val="00F930FE"/>
    <w:rsid w:val="00F9317A"/>
    <w:rsid w:val="00F93653"/>
    <w:rsid w:val="00F936AE"/>
    <w:rsid w:val="00F9371E"/>
    <w:rsid w:val="00F93750"/>
    <w:rsid w:val="00F938DE"/>
    <w:rsid w:val="00F938F2"/>
    <w:rsid w:val="00F93A45"/>
    <w:rsid w:val="00F93AB7"/>
    <w:rsid w:val="00F93D52"/>
    <w:rsid w:val="00F93ED3"/>
    <w:rsid w:val="00F94169"/>
    <w:rsid w:val="00F943BA"/>
    <w:rsid w:val="00F94891"/>
    <w:rsid w:val="00F94897"/>
    <w:rsid w:val="00F94AC4"/>
    <w:rsid w:val="00F9541C"/>
    <w:rsid w:val="00F9543A"/>
    <w:rsid w:val="00F955FE"/>
    <w:rsid w:val="00F95699"/>
    <w:rsid w:val="00F95795"/>
    <w:rsid w:val="00F958AE"/>
    <w:rsid w:val="00F95916"/>
    <w:rsid w:val="00F95945"/>
    <w:rsid w:val="00F959CC"/>
    <w:rsid w:val="00F95A07"/>
    <w:rsid w:val="00F95A0C"/>
    <w:rsid w:val="00F95D09"/>
    <w:rsid w:val="00F9658C"/>
    <w:rsid w:val="00F965A6"/>
    <w:rsid w:val="00F9669F"/>
    <w:rsid w:val="00F9696A"/>
    <w:rsid w:val="00F96A86"/>
    <w:rsid w:val="00F96AF1"/>
    <w:rsid w:val="00F96B21"/>
    <w:rsid w:val="00F96D06"/>
    <w:rsid w:val="00F96DD9"/>
    <w:rsid w:val="00F96EB5"/>
    <w:rsid w:val="00F970A2"/>
    <w:rsid w:val="00F9729A"/>
    <w:rsid w:val="00F9736F"/>
    <w:rsid w:val="00F973C5"/>
    <w:rsid w:val="00F97575"/>
    <w:rsid w:val="00F97576"/>
    <w:rsid w:val="00F975D6"/>
    <w:rsid w:val="00F976DE"/>
    <w:rsid w:val="00F9779E"/>
    <w:rsid w:val="00F978FE"/>
    <w:rsid w:val="00F9791F"/>
    <w:rsid w:val="00F97D7A"/>
    <w:rsid w:val="00F97DDE"/>
    <w:rsid w:val="00F97E8F"/>
    <w:rsid w:val="00F97EBA"/>
    <w:rsid w:val="00F97F08"/>
    <w:rsid w:val="00F97FC7"/>
    <w:rsid w:val="00FA00FB"/>
    <w:rsid w:val="00FA0188"/>
    <w:rsid w:val="00FA01D2"/>
    <w:rsid w:val="00FA0352"/>
    <w:rsid w:val="00FA036B"/>
    <w:rsid w:val="00FA0506"/>
    <w:rsid w:val="00FA05F1"/>
    <w:rsid w:val="00FA060E"/>
    <w:rsid w:val="00FA0675"/>
    <w:rsid w:val="00FA06B0"/>
    <w:rsid w:val="00FA0843"/>
    <w:rsid w:val="00FA0C01"/>
    <w:rsid w:val="00FA0DC3"/>
    <w:rsid w:val="00FA0E8D"/>
    <w:rsid w:val="00FA0EDF"/>
    <w:rsid w:val="00FA0F07"/>
    <w:rsid w:val="00FA10C6"/>
    <w:rsid w:val="00FA117B"/>
    <w:rsid w:val="00FA11E7"/>
    <w:rsid w:val="00FA12A7"/>
    <w:rsid w:val="00FA14A9"/>
    <w:rsid w:val="00FA15D8"/>
    <w:rsid w:val="00FA1612"/>
    <w:rsid w:val="00FA18FE"/>
    <w:rsid w:val="00FA19A2"/>
    <w:rsid w:val="00FA1B35"/>
    <w:rsid w:val="00FA1CC3"/>
    <w:rsid w:val="00FA1CFC"/>
    <w:rsid w:val="00FA1DAC"/>
    <w:rsid w:val="00FA1DB3"/>
    <w:rsid w:val="00FA1DF4"/>
    <w:rsid w:val="00FA2040"/>
    <w:rsid w:val="00FA2338"/>
    <w:rsid w:val="00FA2373"/>
    <w:rsid w:val="00FA23DC"/>
    <w:rsid w:val="00FA2522"/>
    <w:rsid w:val="00FA2610"/>
    <w:rsid w:val="00FA2739"/>
    <w:rsid w:val="00FA29BA"/>
    <w:rsid w:val="00FA29E7"/>
    <w:rsid w:val="00FA2A48"/>
    <w:rsid w:val="00FA2BD8"/>
    <w:rsid w:val="00FA2EED"/>
    <w:rsid w:val="00FA302A"/>
    <w:rsid w:val="00FA32C0"/>
    <w:rsid w:val="00FA34B0"/>
    <w:rsid w:val="00FA355D"/>
    <w:rsid w:val="00FA363E"/>
    <w:rsid w:val="00FA374A"/>
    <w:rsid w:val="00FA3773"/>
    <w:rsid w:val="00FA381F"/>
    <w:rsid w:val="00FA385B"/>
    <w:rsid w:val="00FA3C32"/>
    <w:rsid w:val="00FA3E1C"/>
    <w:rsid w:val="00FA3E7F"/>
    <w:rsid w:val="00FA4267"/>
    <w:rsid w:val="00FA4579"/>
    <w:rsid w:val="00FA46D8"/>
    <w:rsid w:val="00FA4743"/>
    <w:rsid w:val="00FA47A7"/>
    <w:rsid w:val="00FA4886"/>
    <w:rsid w:val="00FA48A3"/>
    <w:rsid w:val="00FA49BD"/>
    <w:rsid w:val="00FA4E81"/>
    <w:rsid w:val="00FA4EEA"/>
    <w:rsid w:val="00FA5114"/>
    <w:rsid w:val="00FA523A"/>
    <w:rsid w:val="00FA5616"/>
    <w:rsid w:val="00FA5679"/>
    <w:rsid w:val="00FA578A"/>
    <w:rsid w:val="00FA5BC0"/>
    <w:rsid w:val="00FA5CBB"/>
    <w:rsid w:val="00FA64DB"/>
    <w:rsid w:val="00FA64E9"/>
    <w:rsid w:val="00FA6550"/>
    <w:rsid w:val="00FA6657"/>
    <w:rsid w:val="00FA667F"/>
    <w:rsid w:val="00FA6878"/>
    <w:rsid w:val="00FA6ADD"/>
    <w:rsid w:val="00FA6BB1"/>
    <w:rsid w:val="00FA6DC0"/>
    <w:rsid w:val="00FA6F5E"/>
    <w:rsid w:val="00FA710E"/>
    <w:rsid w:val="00FA7199"/>
    <w:rsid w:val="00FA72C4"/>
    <w:rsid w:val="00FA72DD"/>
    <w:rsid w:val="00FA731E"/>
    <w:rsid w:val="00FA736F"/>
    <w:rsid w:val="00FA73E2"/>
    <w:rsid w:val="00FA7490"/>
    <w:rsid w:val="00FA75E0"/>
    <w:rsid w:val="00FA7A35"/>
    <w:rsid w:val="00FA7BAD"/>
    <w:rsid w:val="00FA7D20"/>
    <w:rsid w:val="00FA7DB9"/>
    <w:rsid w:val="00FA7F71"/>
    <w:rsid w:val="00FA7FD7"/>
    <w:rsid w:val="00FB009B"/>
    <w:rsid w:val="00FB0162"/>
    <w:rsid w:val="00FB0165"/>
    <w:rsid w:val="00FB02FD"/>
    <w:rsid w:val="00FB04B0"/>
    <w:rsid w:val="00FB04FC"/>
    <w:rsid w:val="00FB07A6"/>
    <w:rsid w:val="00FB0932"/>
    <w:rsid w:val="00FB0A36"/>
    <w:rsid w:val="00FB0C73"/>
    <w:rsid w:val="00FB0C99"/>
    <w:rsid w:val="00FB0CFD"/>
    <w:rsid w:val="00FB0D03"/>
    <w:rsid w:val="00FB0D7E"/>
    <w:rsid w:val="00FB0DBF"/>
    <w:rsid w:val="00FB0E9C"/>
    <w:rsid w:val="00FB0ED9"/>
    <w:rsid w:val="00FB0FE6"/>
    <w:rsid w:val="00FB141B"/>
    <w:rsid w:val="00FB144E"/>
    <w:rsid w:val="00FB146D"/>
    <w:rsid w:val="00FB14DC"/>
    <w:rsid w:val="00FB1533"/>
    <w:rsid w:val="00FB19BC"/>
    <w:rsid w:val="00FB1A48"/>
    <w:rsid w:val="00FB1A92"/>
    <w:rsid w:val="00FB1BAF"/>
    <w:rsid w:val="00FB1E24"/>
    <w:rsid w:val="00FB1F2E"/>
    <w:rsid w:val="00FB20D4"/>
    <w:rsid w:val="00FB227A"/>
    <w:rsid w:val="00FB2552"/>
    <w:rsid w:val="00FB272B"/>
    <w:rsid w:val="00FB293E"/>
    <w:rsid w:val="00FB29EB"/>
    <w:rsid w:val="00FB2ACF"/>
    <w:rsid w:val="00FB2AEA"/>
    <w:rsid w:val="00FB2CB0"/>
    <w:rsid w:val="00FB2D5F"/>
    <w:rsid w:val="00FB2D71"/>
    <w:rsid w:val="00FB2DB9"/>
    <w:rsid w:val="00FB2DFF"/>
    <w:rsid w:val="00FB3132"/>
    <w:rsid w:val="00FB3144"/>
    <w:rsid w:val="00FB31FE"/>
    <w:rsid w:val="00FB3223"/>
    <w:rsid w:val="00FB3235"/>
    <w:rsid w:val="00FB3387"/>
    <w:rsid w:val="00FB33EF"/>
    <w:rsid w:val="00FB3429"/>
    <w:rsid w:val="00FB3642"/>
    <w:rsid w:val="00FB3938"/>
    <w:rsid w:val="00FB3BDF"/>
    <w:rsid w:val="00FB3C44"/>
    <w:rsid w:val="00FB3CF2"/>
    <w:rsid w:val="00FB3D26"/>
    <w:rsid w:val="00FB3EC9"/>
    <w:rsid w:val="00FB408B"/>
    <w:rsid w:val="00FB410A"/>
    <w:rsid w:val="00FB41BD"/>
    <w:rsid w:val="00FB438A"/>
    <w:rsid w:val="00FB4447"/>
    <w:rsid w:val="00FB4647"/>
    <w:rsid w:val="00FB47A8"/>
    <w:rsid w:val="00FB47E4"/>
    <w:rsid w:val="00FB4920"/>
    <w:rsid w:val="00FB49C9"/>
    <w:rsid w:val="00FB4B1C"/>
    <w:rsid w:val="00FB4B84"/>
    <w:rsid w:val="00FB4BF8"/>
    <w:rsid w:val="00FB4D7B"/>
    <w:rsid w:val="00FB4E8B"/>
    <w:rsid w:val="00FB4FE8"/>
    <w:rsid w:val="00FB509F"/>
    <w:rsid w:val="00FB51A7"/>
    <w:rsid w:val="00FB5285"/>
    <w:rsid w:val="00FB52BB"/>
    <w:rsid w:val="00FB54C9"/>
    <w:rsid w:val="00FB553B"/>
    <w:rsid w:val="00FB55B4"/>
    <w:rsid w:val="00FB5622"/>
    <w:rsid w:val="00FB5749"/>
    <w:rsid w:val="00FB5793"/>
    <w:rsid w:val="00FB59C3"/>
    <w:rsid w:val="00FB5B10"/>
    <w:rsid w:val="00FB5CD9"/>
    <w:rsid w:val="00FB5F99"/>
    <w:rsid w:val="00FB60EB"/>
    <w:rsid w:val="00FB6124"/>
    <w:rsid w:val="00FB62B8"/>
    <w:rsid w:val="00FB62EE"/>
    <w:rsid w:val="00FB6330"/>
    <w:rsid w:val="00FB6423"/>
    <w:rsid w:val="00FB67FD"/>
    <w:rsid w:val="00FB6B0A"/>
    <w:rsid w:val="00FB6CA9"/>
    <w:rsid w:val="00FB6D5C"/>
    <w:rsid w:val="00FB6D5D"/>
    <w:rsid w:val="00FB6DC2"/>
    <w:rsid w:val="00FB6DD6"/>
    <w:rsid w:val="00FB6F29"/>
    <w:rsid w:val="00FB6FD5"/>
    <w:rsid w:val="00FB7027"/>
    <w:rsid w:val="00FB703D"/>
    <w:rsid w:val="00FB7169"/>
    <w:rsid w:val="00FB7199"/>
    <w:rsid w:val="00FB71A7"/>
    <w:rsid w:val="00FB73C6"/>
    <w:rsid w:val="00FB7628"/>
    <w:rsid w:val="00FB762D"/>
    <w:rsid w:val="00FB77B1"/>
    <w:rsid w:val="00FB781F"/>
    <w:rsid w:val="00FB787E"/>
    <w:rsid w:val="00FB7947"/>
    <w:rsid w:val="00FB79F9"/>
    <w:rsid w:val="00FB7AA3"/>
    <w:rsid w:val="00FB7BB2"/>
    <w:rsid w:val="00FB7C60"/>
    <w:rsid w:val="00FB7D19"/>
    <w:rsid w:val="00FB7ECF"/>
    <w:rsid w:val="00FB7FE2"/>
    <w:rsid w:val="00FC0063"/>
    <w:rsid w:val="00FC00B0"/>
    <w:rsid w:val="00FC00DD"/>
    <w:rsid w:val="00FC03E0"/>
    <w:rsid w:val="00FC0511"/>
    <w:rsid w:val="00FC05DC"/>
    <w:rsid w:val="00FC0886"/>
    <w:rsid w:val="00FC08A5"/>
    <w:rsid w:val="00FC08A6"/>
    <w:rsid w:val="00FC095A"/>
    <w:rsid w:val="00FC0969"/>
    <w:rsid w:val="00FC09EF"/>
    <w:rsid w:val="00FC0A4D"/>
    <w:rsid w:val="00FC0B2A"/>
    <w:rsid w:val="00FC0BA7"/>
    <w:rsid w:val="00FC0DCD"/>
    <w:rsid w:val="00FC0E95"/>
    <w:rsid w:val="00FC1052"/>
    <w:rsid w:val="00FC10F6"/>
    <w:rsid w:val="00FC1119"/>
    <w:rsid w:val="00FC1246"/>
    <w:rsid w:val="00FC1685"/>
    <w:rsid w:val="00FC1865"/>
    <w:rsid w:val="00FC195F"/>
    <w:rsid w:val="00FC1C95"/>
    <w:rsid w:val="00FC1E62"/>
    <w:rsid w:val="00FC20FD"/>
    <w:rsid w:val="00FC211A"/>
    <w:rsid w:val="00FC235C"/>
    <w:rsid w:val="00FC2450"/>
    <w:rsid w:val="00FC256C"/>
    <w:rsid w:val="00FC258A"/>
    <w:rsid w:val="00FC2649"/>
    <w:rsid w:val="00FC2A08"/>
    <w:rsid w:val="00FC2A27"/>
    <w:rsid w:val="00FC2A2F"/>
    <w:rsid w:val="00FC2A51"/>
    <w:rsid w:val="00FC2D7A"/>
    <w:rsid w:val="00FC2E61"/>
    <w:rsid w:val="00FC2EAC"/>
    <w:rsid w:val="00FC30AB"/>
    <w:rsid w:val="00FC31BF"/>
    <w:rsid w:val="00FC3410"/>
    <w:rsid w:val="00FC36EC"/>
    <w:rsid w:val="00FC3782"/>
    <w:rsid w:val="00FC37C5"/>
    <w:rsid w:val="00FC3905"/>
    <w:rsid w:val="00FC3AB6"/>
    <w:rsid w:val="00FC3AEE"/>
    <w:rsid w:val="00FC3B14"/>
    <w:rsid w:val="00FC3BEE"/>
    <w:rsid w:val="00FC3EAA"/>
    <w:rsid w:val="00FC3F8F"/>
    <w:rsid w:val="00FC40B9"/>
    <w:rsid w:val="00FC410F"/>
    <w:rsid w:val="00FC4170"/>
    <w:rsid w:val="00FC4327"/>
    <w:rsid w:val="00FC44A9"/>
    <w:rsid w:val="00FC465C"/>
    <w:rsid w:val="00FC46EB"/>
    <w:rsid w:val="00FC4803"/>
    <w:rsid w:val="00FC48C9"/>
    <w:rsid w:val="00FC4BBE"/>
    <w:rsid w:val="00FC4DFB"/>
    <w:rsid w:val="00FC4F5D"/>
    <w:rsid w:val="00FC549B"/>
    <w:rsid w:val="00FC55F8"/>
    <w:rsid w:val="00FC5677"/>
    <w:rsid w:val="00FC56D5"/>
    <w:rsid w:val="00FC588D"/>
    <w:rsid w:val="00FC58CB"/>
    <w:rsid w:val="00FC599D"/>
    <w:rsid w:val="00FC59A3"/>
    <w:rsid w:val="00FC5B1A"/>
    <w:rsid w:val="00FC5C7C"/>
    <w:rsid w:val="00FC5DC4"/>
    <w:rsid w:val="00FC601A"/>
    <w:rsid w:val="00FC60B4"/>
    <w:rsid w:val="00FC6415"/>
    <w:rsid w:val="00FC6524"/>
    <w:rsid w:val="00FC6675"/>
    <w:rsid w:val="00FC6695"/>
    <w:rsid w:val="00FC6741"/>
    <w:rsid w:val="00FC6A71"/>
    <w:rsid w:val="00FC6AD7"/>
    <w:rsid w:val="00FC6B4F"/>
    <w:rsid w:val="00FC6C13"/>
    <w:rsid w:val="00FC6FB9"/>
    <w:rsid w:val="00FC70BB"/>
    <w:rsid w:val="00FC71BC"/>
    <w:rsid w:val="00FC72C2"/>
    <w:rsid w:val="00FC737C"/>
    <w:rsid w:val="00FC751A"/>
    <w:rsid w:val="00FC75A0"/>
    <w:rsid w:val="00FC78C7"/>
    <w:rsid w:val="00FC792C"/>
    <w:rsid w:val="00FC79E2"/>
    <w:rsid w:val="00FC7AFA"/>
    <w:rsid w:val="00FC7B83"/>
    <w:rsid w:val="00FC7E14"/>
    <w:rsid w:val="00FC7FD3"/>
    <w:rsid w:val="00FD021F"/>
    <w:rsid w:val="00FD03C8"/>
    <w:rsid w:val="00FD0506"/>
    <w:rsid w:val="00FD058D"/>
    <w:rsid w:val="00FD0668"/>
    <w:rsid w:val="00FD06F7"/>
    <w:rsid w:val="00FD0767"/>
    <w:rsid w:val="00FD0787"/>
    <w:rsid w:val="00FD07E3"/>
    <w:rsid w:val="00FD07E4"/>
    <w:rsid w:val="00FD0948"/>
    <w:rsid w:val="00FD0F26"/>
    <w:rsid w:val="00FD0F4C"/>
    <w:rsid w:val="00FD0FC7"/>
    <w:rsid w:val="00FD117E"/>
    <w:rsid w:val="00FD167C"/>
    <w:rsid w:val="00FD16D6"/>
    <w:rsid w:val="00FD19A1"/>
    <w:rsid w:val="00FD1BD5"/>
    <w:rsid w:val="00FD1BE6"/>
    <w:rsid w:val="00FD1D10"/>
    <w:rsid w:val="00FD1E3C"/>
    <w:rsid w:val="00FD2051"/>
    <w:rsid w:val="00FD2151"/>
    <w:rsid w:val="00FD21B8"/>
    <w:rsid w:val="00FD21ED"/>
    <w:rsid w:val="00FD2234"/>
    <w:rsid w:val="00FD22C2"/>
    <w:rsid w:val="00FD24BA"/>
    <w:rsid w:val="00FD24D8"/>
    <w:rsid w:val="00FD24E7"/>
    <w:rsid w:val="00FD25FE"/>
    <w:rsid w:val="00FD28B2"/>
    <w:rsid w:val="00FD2A49"/>
    <w:rsid w:val="00FD2BEC"/>
    <w:rsid w:val="00FD2EC6"/>
    <w:rsid w:val="00FD2FC8"/>
    <w:rsid w:val="00FD3158"/>
    <w:rsid w:val="00FD31AC"/>
    <w:rsid w:val="00FD3201"/>
    <w:rsid w:val="00FD3374"/>
    <w:rsid w:val="00FD3432"/>
    <w:rsid w:val="00FD37F5"/>
    <w:rsid w:val="00FD390C"/>
    <w:rsid w:val="00FD3A55"/>
    <w:rsid w:val="00FD3B00"/>
    <w:rsid w:val="00FD3C45"/>
    <w:rsid w:val="00FD4099"/>
    <w:rsid w:val="00FD425B"/>
    <w:rsid w:val="00FD4276"/>
    <w:rsid w:val="00FD4301"/>
    <w:rsid w:val="00FD4369"/>
    <w:rsid w:val="00FD4409"/>
    <w:rsid w:val="00FD4467"/>
    <w:rsid w:val="00FD44A7"/>
    <w:rsid w:val="00FD4582"/>
    <w:rsid w:val="00FD45C2"/>
    <w:rsid w:val="00FD4746"/>
    <w:rsid w:val="00FD4811"/>
    <w:rsid w:val="00FD4AD4"/>
    <w:rsid w:val="00FD4BD9"/>
    <w:rsid w:val="00FD4D65"/>
    <w:rsid w:val="00FD4E12"/>
    <w:rsid w:val="00FD512C"/>
    <w:rsid w:val="00FD51D6"/>
    <w:rsid w:val="00FD52B6"/>
    <w:rsid w:val="00FD544B"/>
    <w:rsid w:val="00FD5471"/>
    <w:rsid w:val="00FD54D2"/>
    <w:rsid w:val="00FD575E"/>
    <w:rsid w:val="00FD57E3"/>
    <w:rsid w:val="00FD58AC"/>
    <w:rsid w:val="00FD59EA"/>
    <w:rsid w:val="00FD5A12"/>
    <w:rsid w:val="00FD5C64"/>
    <w:rsid w:val="00FD5D13"/>
    <w:rsid w:val="00FD5DE2"/>
    <w:rsid w:val="00FD60A2"/>
    <w:rsid w:val="00FD60B0"/>
    <w:rsid w:val="00FD623B"/>
    <w:rsid w:val="00FD62A8"/>
    <w:rsid w:val="00FD6529"/>
    <w:rsid w:val="00FD69F1"/>
    <w:rsid w:val="00FD6B66"/>
    <w:rsid w:val="00FD6BCC"/>
    <w:rsid w:val="00FD6C3D"/>
    <w:rsid w:val="00FD6C81"/>
    <w:rsid w:val="00FD6E6B"/>
    <w:rsid w:val="00FD6EC0"/>
    <w:rsid w:val="00FD6F28"/>
    <w:rsid w:val="00FD70D8"/>
    <w:rsid w:val="00FD7186"/>
    <w:rsid w:val="00FD71A7"/>
    <w:rsid w:val="00FD7265"/>
    <w:rsid w:val="00FD730A"/>
    <w:rsid w:val="00FD74ED"/>
    <w:rsid w:val="00FD76A4"/>
    <w:rsid w:val="00FD7763"/>
    <w:rsid w:val="00FD77A2"/>
    <w:rsid w:val="00FD77F7"/>
    <w:rsid w:val="00FD7ABC"/>
    <w:rsid w:val="00FD7AE2"/>
    <w:rsid w:val="00FD7AFA"/>
    <w:rsid w:val="00FD7E0D"/>
    <w:rsid w:val="00FE009B"/>
    <w:rsid w:val="00FE0B8B"/>
    <w:rsid w:val="00FE0E25"/>
    <w:rsid w:val="00FE0E84"/>
    <w:rsid w:val="00FE13EE"/>
    <w:rsid w:val="00FE1623"/>
    <w:rsid w:val="00FE188E"/>
    <w:rsid w:val="00FE19E0"/>
    <w:rsid w:val="00FE1A1E"/>
    <w:rsid w:val="00FE1A5C"/>
    <w:rsid w:val="00FE1BE9"/>
    <w:rsid w:val="00FE1E3D"/>
    <w:rsid w:val="00FE1EBD"/>
    <w:rsid w:val="00FE1F35"/>
    <w:rsid w:val="00FE208A"/>
    <w:rsid w:val="00FE21EC"/>
    <w:rsid w:val="00FE241D"/>
    <w:rsid w:val="00FE24AD"/>
    <w:rsid w:val="00FE255F"/>
    <w:rsid w:val="00FE25D9"/>
    <w:rsid w:val="00FE2B16"/>
    <w:rsid w:val="00FE2B67"/>
    <w:rsid w:val="00FE2BBC"/>
    <w:rsid w:val="00FE2DD2"/>
    <w:rsid w:val="00FE2E89"/>
    <w:rsid w:val="00FE2EA7"/>
    <w:rsid w:val="00FE2F0C"/>
    <w:rsid w:val="00FE3125"/>
    <w:rsid w:val="00FE32AB"/>
    <w:rsid w:val="00FE369B"/>
    <w:rsid w:val="00FE377D"/>
    <w:rsid w:val="00FE3832"/>
    <w:rsid w:val="00FE3BCB"/>
    <w:rsid w:val="00FE3C05"/>
    <w:rsid w:val="00FE3C7A"/>
    <w:rsid w:val="00FE41AC"/>
    <w:rsid w:val="00FE4297"/>
    <w:rsid w:val="00FE42BA"/>
    <w:rsid w:val="00FE43A9"/>
    <w:rsid w:val="00FE44CA"/>
    <w:rsid w:val="00FE4564"/>
    <w:rsid w:val="00FE4937"/>
    <w:rsid w:val="00FE49F2"/>
    <w:rsid w:val="00FE4CB0"/>
    <w:rsid w:val="00FE4D07"/>
    <w:rsid w:val="00FE4D14"/>
    <w:rsid w:val="00FE4DA6"/>
    <w:rsid w:val="00FE5026"/>
    <w:rsid w:val="00FE5314"/>
    <w:rsid w:val="00FE5465"/>
    <w:rsid w:val="00FE54C0"/>
    <w:rsid w:val="00FE567E"/>
    <w:rsid w:val="00FE5894"/>
    <w:rsid w:val="00FE58D1"/>
    <w:rsid w:val="00FE5954"/>
    <w:rsid w:val="00FE5A58"/>
    <w:rsid w:val="00FE5B72"/>
    <w:rsid w:val="00FE5C52"/>
    <w:rsid w:val="00FE61B9"/>
    <w:rsid w:val="00FE622E"/>
    <w:rsid w:val="00FE6248"/>
    <w:rsid w:val="00FE64B9"/>
    <w:rsid w:val="00FE655D"/>
    <w:rsid w:val="00FE66C6"/>
    <w:rsid w:val="00FE6719"/>
    <w:rsid w:val="00FE6860"/>
    <w:rsid w:val="00FE68F1"/>
    <w:rsid w:val="00FE6A23"/>
    <w:rsid w:val="00FE6BC6"/>
    <w:rsid w:val="00FE6C74"/>
    <w:rsid w:val="00FE6D91"/>
    <w:rsid w:val="00FE6ED9"/>
    <w:rsid w:val="00FE7044"/>
    <w:rsid w:val="00FE7045"/>
    <w:rsid w:val="00FE71E6"/>
    <w:rsid w:val="00FE7204"/>
    <w:rsid w:val="00FE7231"/>
    <w:rsid w:val="00FE7321"/>
    <w:rsid w:val="00FE73FA"/>
    <w:rsid w:val="00FE7457"/>
    <w:rsid w:val="00FE753A"/>
    <w:rsid w:val="00FE7586"/>
    <w:rsid w:val="00FE7733"/>
    <w:rsid w:val="00FE7917"/>
    <w:rsid w:val="00FE7B0A"/>
    <w:rsid w:val="00FE7D3B"/>
    <w:rsid w:val="00FE7D6B"/>
    <w:rsid w:val="00FE7FEB"/>
    <w:rsid w:val="00FF00F1"/>
    <w:rsid w:val="00FF0187"/>
    <w:rsid w:val="00FF01A5"/>
    <w:rsid w:val="00FF0218"/>
    <w:rsid w:val="00FF02B0"/>
    <w:rsid w:val="00FF0435"/>
    <w:rsid w:val="00FF04AC"/>
    <w:rsid w:val="00FF04F4"/>
    <w:rsid w:val="00FF05EF"/>
    <w:rsid w:val="00FF08E4"/>
    <w:rsid w:val="00FF09F6"/>
    <w:rsid w:val="00FF0C0E"/>
    <w:rsid w:val="00FF0CE1"/>
    <w:rsid w:val="00FF0E8F"/>
    <w:rsid w:val="00FF0EA5"/>
    <w:rsid w:val="00FF126B"/>
    <w:rsid w:val="00FF1301"/>
    <w:rsid w:val="00FF13AC"/>
    <w:rsid w:val="00FF156A"/>
    <w:rsid w:val="00FF1AA0"/>
    <w:rsid w:val="00FF1AF1"/>
    <w:rsid w:val="00FF1CB3"/>
    <w:rsid w:val="00FF1E8E"/>
    <w:rsid w:val="00FF1F55"/>
    <w:rsid w:val="00FF1F77"/>
    <w:rsid w:val="00FF1F80"/>
    <w:rsid w:val="00FF2148"/>
    <w:rsid w:val="00FF2286"/>
    <w:rsid w:val="00FF2293"/>
    <w:rsid w:val="00FF24D9"/>
    <w:rsid w:val="00FF27F8"/>
    <w:rsid w:val="00FF29F9"/>
    <w:rsid w:val="00FF2A93"/>
    <w:rsid w:val="00FF2B19"/>
    <w:rsid w:val="00FF2CA0"/>
    <w:rsid w:val="00FF2CF9"/>
    <w:rsid w:val="00FF2E07"/>
    <w:rsid w:val="00FF2E18"/>
    <w:rsid w:val="00FF3158"/>
    <w:rsid w:val="00FF326C"/>
    <w:rsid w:val="00FF3311"/>
    <w:rsid w:val="00FF3331"/>
    <w:rsid w:val="00FF33C1"/>
    <w:rsid w:val="00FF3B55"/>
    <w:rsid w:val="00FF3C88"/>
    <w:rsid w:val="00FF3D38"/>
    <w:rsid w:val="00FF3E50"/>
    <w:rsid w:val="00FF3F82"/>
    <w:rsid w:val="00FF3FB1"/>
    <w:rsid w:val="00FF40AE"/>
    <w:rsid w:val="00FF4228"/>
    <w:rsid w:val="00FF4515"/>
    <w:rsid w:val="00FF4662"/>
    <w:rsid w:val="00FF4839"/>
    <w:rsid w:val="00FF4903"/>
    <w:rsid w:val="00FF4955"/>
    <w:rsid w:val="00FF4A32"/>
    <w:rsid w:val="00FF4B42"/>
    <w:rsid w:val="00FF4C09"/>
    <w:rsid w:val="00FF4C54"/>
    <w:rsid w:val="00FF4C61"/>
    <w:rsid w:val="00FF4D9D"/>
    <w:rsid w:val="00FF4DD8"/>
    <w:rsid w:val="00FF4DF4"/>
    <w:rsid w:val="00FF4E60"/>
    <w:rsid w:val="00FF4E83"/>
    <w:rsid w:val="00FF4F5B"/>
    <w:rsid w:val="00FF5406"/>
    <w:rsid w:val="00FF55C3"/>
    <w:rsid w:val="00FF5658"/>
    <w:rsid w:val="00FF58D6"/>
    <w:rsid w:val="00FF5A39"/>
    <w:rsid w:val="00FF5A88"/>
    <w:rsid w:val="00FF5BD8"/>
    <w:rsid w:val="00FF5C3A"/>
    <w:rsid w:val="00FF5C50"/>
    <w:rsid w:val="00FF5C9D"/>
    <w:rsid w:val="00FF5DEA"/>
    <w:rsid w:val="00FF5DFD"/>
    <w:rsid w:val="00FF5E78"/>
    <w:rsid w:val="00FF5EE4"/>
    <w:rsid w:val="00FF5FD0"/>
    <w:rsid w:val="00FF60A2"/>
    <w:rsid w:val="00FF6466"/>
    <w:rsid w:val="00FF64C1"/>
    <w:rsid w:val="00FF651B"/>
    <w:rsid w:val="00FF653C"/>
    <w:rsid w:val="00FF65AC"/>
    <w:rsid w:val="00FF6756"/>
    <w:rsid w:val="00FF6A16"/>
    <w:rsid w:val="00FF6A39"/>
    <w:rsid w:val="00FF6AA6"/>
    <w:rsid w:val="00FF6C45"/>
    <w:rsid w:val="00FF6DE3"/>
    <w:rsid w:val="00FF6E8B"/>
    <w:rsid w:val="00FF6EC5"/>
    <w:rsid w:val="00FF6EC9"/>
    <w:rsid w:val="00FF706C"/>
    <w:rsid w:val="00FF72B9"/>
    <w:rsid w:val="00FF72F0"/>
    <w:rsid w:val="00FF7698"/>
    <w:rsid w:val="00FF7937"/>
    <w:rsid w:val="00FF7977"/>
    <w:rsid w:val="00FF7A82"/>
    <w:rsid w:val="00FF7ADC"/>
    <w:rsid w:val="00FF7B22"/>
    <w:rsid w:val="00FF7B38"/>
    <w:rsid w:val="00FF7B9B"/>
    <w:rsid w:val="00FF7BF1"/>
    <w:rsid w:val="00FF7D51"/>
    <w:rsid w:val="00FF7E73"/>
    <w:rsid w:val="00FF7FB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847EE69"/>
  <w15:docId w15:val="{C096284F-F0BD-4427-86F1-C6B05E1CCB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9" w:qFormat="1"/>
    <w:lsdException w:name="heading 5" w:locked="1" w:uiPriority="9" w:qFormat="1"/>
    <w:lsdException w:name="heading 6" w:locked="1" w:uiPriority="0" w:qFormat="1"/>
    <w:lsdException w:name="heading 7" w:locked="1" w:uiPriority="9"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locked="1" w:uiPriority="22" w:qFormat="1"/>
    <w:lsdException w:name="Emphasis" w:locked="1"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iPriority="0"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76AE"/>
    <w:rPr>
      <w:rFonts w:ascii="Arial" w:hAnsi="Arial"/>
    </w:rPr>
  </w:style>
  <w:style w:type="paragraph" w:styleId="Heading1">
    <w:name w:val="heading 1"/>
    <w:aliases w:val="1. Section Title Page"/>
    <w:basedOn w:val="Normal"/>
    <w:next w:val="Normal"/>
    <w:link w:val="Heading1Char"/>
    <w:autoRedefine/>
    <w:qFormat/>
    <w:rsid w:val="00D32C75"/>
    <w:pPr>
      <w:keepNext/>
      <w:outlineLvl w:val="0"/>
    </w:pPr>
    <w:rPr>
      <w:b/>
      <w:bCs/>
      <w:i/>
      <w:iCs/>
      <w:lang w:eastAsia="ja-JP"/>
    </w:rPr>
  </w:style>
  <w:style w:type="paragraph" w:styleId="Heading2">
    <w:name w:val="heading 2"/>
    <w:aliases w:val="2: Section Details"/>
    <w:basedOn w:val="Normal"/>
    <w:next w:val="Normal"/>
    <w:link w:val="Heading2Char1"/>
    <w:autoRedefine/>
    <w:qFormat/>
    <w:rsid w:val="00CF5A6E"/>
    <w:pPr>
      <w:keepNext/>
      <w:outlineLvl w:val="1"/>
    </w:pPr>
    <w:rPr>
      <w:b/>
      <w:snapToGrid w:val="0"/>
      <w:sz w:val="28"/>
      <w:szCs w:val="24"/>
      <w:u w:val="single"/>
      <w:lang w:eastAsia="ja-JP"/>
    </w:rPr>
  </w:style>
  <w:style w:type="paragraph" w:styleId="Heading3">
    <w:name w:val="heading 3"/>
    <w:aliases w:val="3. Section Questions"/>
    <w:basedOn w:val="Normal"/>
    <w:next w:val="Normal"/>
    <w:link w:val="Heading3Char"/>
    <w:autoRedefine/>
    <w:qFormat/>
    <w:rsid w:val="00AB5B80"/>
    <w:pPr>
      <w:keepNext/>
      <w:outlineLvl w:val="2"/>
    </w:pPr>
    <w:rPr>
      <w:rFonts w:cs="Arial"/>
      <w:b/>
      <w:i/>
      <w:snapToGrid w:val="0"/>
      <w:sz w:val="22"/>
      <w:szCs w:val="22"/>
      <w:lang w:eastAsia="ja-JP"/>
    </w:rPr>
  </w:style>
  <w:style w:type="paragraph" w:styleId="Heading4">
    <w:name w:val="heading 4"/>
    <w:aliases w:val="4. Change Summary and Sub-References"/>
    <w:basedOn w:val="Normal"/>
    <w:next w:val="Normal"/>
    <w:link w:val="Heading4Char"/>
    <w:autoRedefine/>
    <w:uiPriority w:val="9"/>
    <w:qFormat/>
    <w:rsid w:val="00C7333E"/>
    <w:pPr>
      <w:keepNext/>
      <w:framePr w:wrap="notBeside" w:vAnchor="text" w:hAnchor="text" w:y="1"/>
      <w:tabs>
        <w:tab w:val="num" w:pos="1440"/>
      </w:tabs>
      <w:spacing w:after="120"/>
      <w:outlineLvl w:val="3"/>
    </w:pPr>
    <w:rPr>
      <w:rFonts w:cs="Arial"/>
      <w:b/>
      <w:shd w:val="clear" w:color="auto" w:fill="365F91" w:themeFill="accent1" w:themeFillShade="BF"/>
    </w:rPr>
  </w:style>
  <w:style w:type="paragraph" w:styleId="Heading5">
    <w:name w:val="heading 5"/>
    <w:aliases w:val="5: Sub-Section"/>
    <w:basedOn w:val="Normal"/>
    <w:next w:val="Normal"/>
    <w:link w:val="Heading5Char"/>
    <w:autoRedefine/>
    <w:uiPriority w:val="9"/>
    <w:qFormat/>
    <w:rsid w:val="006B5931"/>
    <w:pPr>
      <w:keepNext/>
      <w:tabs>
        <w:tab w:val="num" w:pos="1800"/>
      </w:tabs>
      <w:ind w:left="1800" w:hanging="360"/>
      <w:outlineLvl w:val="4"/>
    </w:pPr>
    <w:rPr>
      <w:i/>
    </w:rPr>
  </w:style>
  <w:style w:type="paragraph" w:styleId="Heading6">
    <w:name w:val="heading 6"/>
    <w:basedOn w:val="Normal"/>
    <w:next w:val="Normal"/>
    <w:link w:val="Heading6Char"/>
    <w:qFormat/>
    <w:pPr>
      <w:keepNext/>
      <w:outlineLvl w:val="5"/>
    </w:pPr>
    <w:rPr>
      <w:b/>
      <w:color w:val="000000"/>
    </w:rPr>
  </w:style>
  <w:style w:type="paragraph" w:styleId="Heading7">
    <w:name w:val="heading 7"/>
    <w:aliases w:val="7: Procedure Measure Specs"/>
    <w:basedOn w:val="Normal"/>
    <w:next w:val="Normal"/>
    <w:link w:val="Heading7Char"/>
    <w:uiPriority w:val="9"/>
    <w:qFormat/>
    <w:pPr>
      <w:keepNext/>
      <w:jc w:val="center"/>
      <w:outlineLvl w:val="6"/>
    </w:pPr>
    <w:rPr>
      <w:u w:val="single"/>
    </w:rPr>
  </w:style>
  <w:style w:type="paragraph" w:styleId="Heading8">
    <w:name w:val="heading 8"/>
    <w:basedOn w:val="Normal"/>
    <w:next w:val="Normal"/>
    <w:link w:val="Heading8Char"/>
    <w:qFormat/>
    <w:pPr>
      <w:keepNext/>
      <w:jc w:val="right"/>
      <w:outlineLvl w:val="7"/>
    </w:pPr>
    <w:rPr>
      <w:i/>
    </w:rPr>
  </w:style>
  <w:style w:type="paragraph" w:styleId="Heading9">
    <w:name w:val="heading 9"/>
    <w:basedOn w:val="Normal"/>
    <w:next w:val="Normal"/>
    <w:link w:val="Heading9Char"/>
    <w:qFormat/>
    <w:pPr>
      <w:keepNext/>
      <w:outlineLvl w:val="8"/>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1. Section Title Page Char"/>
    <w:link w:val="Heading1"/>
    <w:rsid w:val="00D32C75"/>
    <w:rPr>
      <w:rFonts w:ascii="Arial" w:hAnsi="Arial"/>
      <w:b/>
      <w:bCs/>
      <w:i/>
      <w:iCs/>
      <w:lang w:eastAsia="ja-JP"/>
    </w:rPr>
  </w:style>
  <w:style w:type="character" w:customStyle="1" w:styleId="Heading2Char">
    <w:name w:val="Heading 2 Char"/>
    <w:aliases w:val="2: Section Details Char"/>
    <w:rsid w:val="00570C36"/>
    <w:rPr>
      <w:rFonts w:ascii="Arial" w:hAnsi="Arial"/>
      <w:b/>
      <w:sz w:val="28"/>
      <w:u w:val="single"/>
      <w:lang w:eastAsia="ja-JP"/>
    </w:rPr>
  </w:style>
  <w:style w:type="character" w:customStyle="1" w:styleId="Heading3Char">
    <w:name w:val="Heading 3 Char"/>
    <w:aliases w:val="3. Section Questions Char"/>
    <w:link w:val="Heading3"/>
    <w:rsid w:val="00AB5B80"/>
    <w:rPr>
      <w:rFonts w:ascii="Arial" w:hAnsi="Arial" w:cs="Arial"/>
      <w:b/>
      <w:i/>
      <w:snapToGrid w:val="0"/>
      <w:sz w:val="22"/>
      <w:szCs w:val="22"/>
      <w:lang w:eastAsia="ja-JP"/>
    </w:rPr>
  </w:style>
  <w:style w:type="character" w:customStyle="1" w:styleId="Heading4Char">
    <w:name w:val="Heading 4 Char"/>
    <w:aliases w:val="4. Change Summary and Sub-References Char"/>
    <w:link w:val="Heading4"/>
    <w:uiPriority w:val="9"/>
    <w:rsid w:val="00C7333E"/>
    <w:rPr>
      <w:rFonts w:ascii="Arial" w:hAnsi="Arial" w:cs="Arial"/>
      <w:b/>
    </w:rPr>
  </w:style>
  <w:style w:type="character" w:customStyle="1" w:styleId="Heading5Char">
    <w:name w:val="Heading 5 Char"/>
    <w:aliases w:val="5: Sub-Section Char"/>
    <w:link w:val="Heading5"/>
    <w:uiPriority w:val="9"/>
    <w:rsid w:val="006B5931"/>
    <w:rPr>
      <w:rFonts w:ascii="Arial" w:hAnsi="Arial"/>
      <w:i/>
    </w:rPr>
  </w:style>
  <w:style w:type="character" w:customStyle="1" w:styleId="Heading6Char">
    <w:name w:val="Heading 6 Char"/>
    <w:link w:val="Heading6"/>
    <w:rsid w:val="008910AA"/>
    <w:rPr>
      <w:rFonts w:ascii="Calibri" w:eastAsia="Times New Roman" w:hAnsi="Calibri" w:cs="Times New Roman"/>
      <w:b/>
      <w:bCs/>
    </w:rPr>
  </w:style>
  <w:style w:type="character" w:customStyle="1" w:styleId="Heading7Char">
    <w:name w:val="Heading 7 Char"/>
    <w:aliases w:val="7: Procedure Measure Specs Char"/>
    <w:link w:val="Heading7"/>
    <w:uiPriority w:val="9"/>
    <w:rsid w:val="008910AA"/>
    <w:rPr>
      <w:rFonts w:ascii="Calibri" w:eastAsia="Times New Roman" w:hAnsi="Calibri" w:cs="Times New Roman"/>
      <w:sz w:val="24"/>
      <w:szCs w:val="24"/>
    </w:rPr>
  </w:style>
  <w:style w:type="character" w:customStyle="1" w:styleId="Heading8Char">
    <w:name w:val="Heading 8 Char"/>
    <w:link w:val="Heading8"/>
    <w:uiPriority w:val="9"/>
    <w:semiHidden/>
    <w:rsid w:val="008910AA"/>
    <w:rPr>
      <w:rFonts w:ascii="Calibri" w:eastAsia="Times New Roman" w:hAnsi="Calibri" w:cs="Times New Roman"/>
      <w:i/>
      <w:iCs/>
      <w:sz w:val="24"/>
      <w:szCs w:val="24"/>
    </w:rPr>
  </w:style>
  <w:style w:type="character" w:customStyle="1" w:styleId="Heading9Char">
    <w:name w:val="Heading 9 Char"/>
    <w:link w:val="Heading9"/>
    <w:uiPriority w:val="9"/>
    <w:semiHidden/>
    <w:rsid w:val="008910AA"/>
    <w:rPr>
      <w:rFonts w:ascii="Cambria" w:eastAsia="Times New Roman" w:hAnsi="Cambria" w:cs="Times New Roman"/>
    </w:rPr>
  </w:style>
  <w:style w:type="paragraph" w:customStyle="1" w:styleId="Reply">
    <w:name w:val="Reply"/>
    <w:basedOn w:val="Normal"/>
    <w:rPr>
      <w:rFonts w:ascii="Courier New" w:hAnsi="Courier New"/>
      <w:color w:val="FF0000"/>
    </w:rPr>
  </w:style>
  <w:style w:type="paragraph" w:customStyle="1" w:styleId="Comment">
    <w:name w:val="Comment"/>
    <w:basedOn w:val="Normal"/>
    <w:next w:val="PlainText"/>
    <w:pPr>
      <w:widowControl w:val="0"/>
      <w:tabs>
        <w:tab w:val="left" w:pos="1800"/>
      </w:tabs>
      <w:ind w:left="1800" w:hanging="1800"/>
    </w:pPr>
    <w:rPr>
      <w:color w:val="0000FF"/>
    </w:rPr>
  </w:style>
  <w:style w:type="paragraph" w:styleId="PlainText">
    <w:name w:val="Plain Text"/>
    <w:basedOn w:val="Normal"/>
    <w:link w:val="PlainTextChar"/>
    <w:uiPriority w:val="99"/>
    <w:rPr>
      <w:rFonts w:ascii="Courier New" w:hAnsi="Courier New"/>
    </w:rPr>
  </w:style>
  <w:style w:type="character" w:customStyle="1" w:styleId="PlainTextChar">
    <w:name w:val="Plain Text Char"/>
    <w:link w:val="PlainText"/>
    <w:uiPriority w:val="99"/>
    <w:rsid w:val="008910AA"/>
    <w:rPr>
      <w:rFonts w:ascii="Courier New" w:hAnsi="Courier New" w:cs="Courier New"/>
      <w:sz w:val="20"/>
      <w:szCs w:val="20"/>
    </w:rPr>
  </w:style>
  <w:style w:type="paragraph" w:customStyle="1" w:styleId="color">
    <w:name w:val="color"/>
    <w:basedOn w:val="NormalIndent"/>
    <w:pPr>
      <w:ind w:left="0"/>
    </w:pPr>
    <w:rPr>
      <w:color w:val="FF00FF"/>
    </w:rPr>
  </w:style>
  <w:style w:type="paragraph" w:styleId="NormalIndent">
    <w:name w:val="Normal Indent"/>
    <w:basedOn w:val="Normal"/>
    <w:pPr>
      <w:ind w:left="720"/>
    </w:pPr>
  </w:style>
  <w:style w:type="paragraph" w:customStyle="1" w:styleId="Color0">
    <w:name w:val="Color"/>
    <w:basedOn w:val="Normal"/>
    <w:rPr>
      <w:color w:val="FF00FF"/>
    </w:rPr>
  </w:style>
  <w:style w:type="paragraph" w:styleId="Title">
    <w:name w:val="Title"/>
    <w:basedOn w:val="Normal"/>
    <w:link w:val="TitleChar"/>
    <w:autoRedefine/>
    <w:qFormat/>
    <w:rsid w:val="00AB508D"/>
    <w:pPr>
      <w:pBdr>
        <w:top w:val="single" w:sz="4" w:space="1" w:color="auto"/>
        <w:left w:val="single" w:sz="4" w:space="4" w:color="auto"/>
        <w:bottom w:val="single" w:sz="4" w:space="1" w:color="auto"/>
        <w:right w:val="single" w:sz="4" w:space="4" w:color="auto"/>
      </w:pBdr>
      <w:jc w:val="center"/>
    </w:pPr>
    <w:rPr>
      <w:b/>
      <w:sz w:val="24"/>
    </w:rPr>
  </w:style>
  <w:style w:type="character" w:customStyle="1" w:styleId="TitleChar">
    <w:name w:val="Title Char"/>
    <w:link w:val="Title"/>
    <w:rsid w:val="00AB508D"/>
    <w:rPr>
      <w:rFonts w:ascii="Arial" w:hAnsi="Arial"/>
      <w:b/>
      <w:sz w:val="24"/>
    </w:rPr>
  </w:style>
  <w:style w:type="character" w:styleId="Hyperlink">
    <w:name w:val="Hyperlink"/>
    <w:uiPriority w:val="99"/>
    <w:rPr>
      <w:rFonts w:cs="Times New Roman"/>
      <w:color w:val="0000FF"/>
      <w:u w:val="single"/>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link w:val="Header"/>
    <w:uiPriority w:val="99"/>
    <w:rsid w:val="008910AA"/>
    <w:rPr>
      <w:rFonts w:ascii="Arial" w:hAnsi="Arial"/>
      <w:sz w:val="20"/>
      <w:szCs w:val="20"/>
    </w:rPr>
  </w:style>
  <w:style w:type="paragraph" w:styleId="BodyText">
    <w:name w:val="Body Text"/>
    <w:basedOn w:val="Normal"/>
    <w:link w:val="BodyTextChar"/>
    <w:uiPriority w:val="99"/>
    <w:rPr>
      <w:i/>
    </w:rPr>
  </w:style>
  <w:style w:type="character" w:customStyle="1" w:styleId="BodyTextChar">
    <w:name w:val="Body Text Char"/>
    <w:link w:val="BodyText"/>
    <w:uiPriority w:val="99"/>
    <w:rsid w:val="008910AA"/>
    <w:rPr>
      <w:rFonts w:ascii="Arial" w:hAnsi="Arial"/>
      <w:sz w:val="20"/>
      <w:szCs w:val="20"/>
    </w:rPr>
  </w:style>
  <w:style w:type="paragraph" w:styleId="BodyText2">
    <w:name w:val="Body Text 2"/>
    <w:basedOn w:val="Normal"/>
    <w:link w:val="BodyText2Char"/>
    <w:rPr>
      <w:i/>
      <w:color w:val="000000"/>
    </w:rPr>
  </w:style>
  <w:style w:type="character" w:customStyle="1" w:styleId="BodyText2Char">
    <w:name w:val="Body Text 2 Char"/>
    <w:link w:val="BodyText2"/>
    <w:uiPriority w:val="99"/>
    <w:rsid w:val="008910AA"/>
    <w:rPr>
      <w:rFonts w:ascii="Arial" w:hAnsi="Arial"/>
      <w:sz w:val="20"/>
      <w:szCs w:val="20"/>
    </w:rPr>
  </w:style>
  <w:style w:type="paragraph" w:styleId="BodyText3">
    <w:name w:val="Body Text 3"/>
    <w:basedOn w:val="Normal"/>
    <w:link w:val="BodyText3Char"/>
    <w:rPr>
      <w:color w:val="000000"/>
    </w:rPr>
  </w:style>
  <w:style w:type="character" w:customStyle="1" w:styleId="BodyText3Char">
    <w:name w:val="Body Text 3 Char"/>
    <w:link w:val="BodyText3"/>
    <w:rsid w:val="008910AA"/>
    <w:rPr>
      <w:rFonts w:ascii="Arial" w:hAnsi="Arial"/>
      <w:sz w:val="16"/>
      <w:szCs w:val="16"/>
    </w:rPr>
  </w:style>
  <w:style w:type="character" w:styleId="PageNumber">
    <w:name w:val="page number"/>
    <w:rPr>
      <w:rFonts w:cs="Times New Roman"/>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link w:val="Footer"/>
    <w:uiPriority w:val="99"/>
    <w:rsid w:val="008910AA"/>
    <w:rPr>
      <w:rFonts w:ascii="Arial" w:hAnsi="Arial"/>
      <w:sz w:val="20"/>
      <w:szCs w:val="20"/>
    </w:rPr>
  </w:style>
  <w:style w:type="character" w:styleId="FollowedHyperlink">
    <w:name w:val="FollowedHyperlink"/>
    <w:rPr>
      <w:rFonts w:cs="Times New Roman"/>
      <w:color w:val="800080"/>
      <w:u w:val="single"/>
    </w:rPr>
  </w:style>
  <w:style w:type="paragraph" w:styleId="BodyTextIndent">
    <w:name w:val="Body Text Indent"/>
    <w:basedOn w:val="Normal"/>
    <w:link w:val="BodyTextIndentChar"/>
    <w:pPr>
      <w:ind w:firstLine="720"/>
    </w:pPr>
  </w:style>
  <w:style w:type="character" w:customStyle="1" w:styleId="BodyTextIndentChar">
    <w:name w:val="Body Text Indent Char"/>
    <w:link w:val="BodyTextIndent"/>
    <w:rsid w:val="008910AA"/>
    <w:rPr>
      <w:rFonts w:ascii="Arial" w:hAnsi="Arial"/>
      <w:sz w:val="20"/>
      <w:szCs w:val="20"/>
    </w:rPr>
  </w:style>
  <w:style w:type="paragraph" w:customStyle="1" w:styleId="DefinitionList">
    <w:name w:val="Definition List"/>
    <w:basedOn w:val="Normal"/>
    <w:next w:val="Normal"/>
    <w:pPr>
      <w:ind w:left="360"/>
    </w:pPr>
  </w:style>
  <w:style w:type="paragraph" w:customStyle="1" w:styleId="H3">
    <w:name w:val="H3"/>
    <w:basedOn w:val="Normal"/>
    <w:next w:val="Normal"/>
    <w:pPr>
      <w:keepNext/>
      <w:spacing w:before="100" w:after="100"/>
      <w:outlineLvl w:val="3"/>
    </w:pPr>
    <w:rPr>
      <w:b/>
      <w:sz w:val="28"/>
    </w:r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link w:val="BalloonText"/>
    <w:uiPriority w:val="99"/>
    <w:semiHidden/>
    <w:rsid w:val="008910AA"/>
    <w:rPr>
      <w:sz w:val="0"/>
      <w:szCs w:val="0"/>
    </w:rPr>
  </w:style>
  <w:style w:type="paragraph" w:styleId="EndnoteText">
    <w:name w:val="endnote text"/>
    <w:basedOn w:val="Normal"/>
    <w:link w:val="EndnoteTextChar"/>
    <w:uiPriority w:val="99"/>
  </w:style>
  <w:style w:type="character" w:customStyle="1" w:styleId="EndnoteTextChar">
    <w:name w:val="Endnote Text Char"/>
    <w:link w:val="EndnoteText"/>
    <w:uiPriority w:val="99"/>
    <w:rsid w:val="008910AA"/>
    <w:rPr>
      <w:rFonts w:ascii="Arial" w:hAnsi="Arial"/>
      <w:sz w:val="20"/>
      <w:szCs w:val="20"/>
    </w:rPr>
  </w:style>
  <w:style w:type="character" w:styleId="EndnoteReference">
    <w:name w:val="endnote reference"/>
    <w:uiPriority w:val="99"/>
    <w:rPr>
      <w:rFonts w:cs="Times New Roman"/>
      <w:vertAlign w:val="superscript"/>
    </w:rPr>
  </w:style>
  <w:style w:type="paragraph" w:styleId="Caption">
    <w:name w:val="caption"/>
    <w:basedOn w:val="Normal"/>
    <w:next w:val="Normal"/>
    <w:uiPriority w:val="35"/>
    <w:qFormat/>
    <w:pPr>
      <w:pBdr>
        <w:top w:val="single" w:sz="4" w:space="1" w:color="auto"/>
        <w:left w:val="single" w:sz="4" w:space="4" w:color="auto"/>
        <w:bottom w:val="single" w:sz="4" w:space="1" w:color="auto"/>
        <w:right w:val="single" w:sz="4" w:space="4" w:color="auto"/>
      </w:pBdr>
      <w:jc w:val="center"/>
    </w:pPr>
    <w:rPr>
      <w:b/>
    </w:rPr>
  </w:style>
  <w:style w:type="paragraph" w:styleId="BodyTextIndent2">
    <w:name w:val="Body Text Indent 2"/>
    <w:basedOn w:val="Normal"/>
    <w:link w:val="BodyTextIndent2Char"/>
    <w:pPr>
      <w:ind w:left="1440"/>
    </w:pPr>
    <w:rPr>
      <w:color w:val="000000"/>
    </w:rPr>
  </w:style>
  <w:style w:type="character" w:customStyle="1" w:styleId="BodyTextIndent2Char">
    <w:name w:val="Body Text Indent 2 Char"/>
    <w:link w:val="BodyTextIndent2"/>
    <w:rsid w:val="008910AA"/>
    <w:rPr>
      <w:rFonts w:ascii="Arial" w:hAnsi="Arial"/>
      <w:sz w:val="20"/>
      <w:szCs w:val="20"/>
    </w:rPr>
  </w:style>
  <w:style w:type="paragraph" w:styleId="FootnoteText">
    <w:name w:val="footnote text"/>
    <w:basedOn w:val="Normal"/>
    <w:link w:val="FootnoteTextChar"/>
    <w:semiHidden/>
  </w:style>
  <w:style w:type="character" w:customStyle="1" w:styleId="FootnoteTextChar">
    <w:name w:val="Footnote Text Char"/>
    <w:link w:val="FootnoteText"/>
    <w:semiHidden/>
    <w:rsid w:val="008910AA"/>
    <w:rPr>
      <w:rFonts w:ascii="Arial" w:hAnsi="Arial"/>
      <w:sz w:val="20"/>
      <w:szCs w:val="20"/>
    </w:rPr>
  </w:style>
  <w:style w:type="character" w:styleId="FootnoteReference">
    <w:name w:val="footnote reference"/>
    <w:uiPriority w:val="99"/>
    <w:rPr>
      <w:rFonts w:cs="Times New Roman"/>
      <w:vertAlign w:val="superscript"/>
    </w:rPr>
  </w:style>
  <w:style w:type="paragraph" w:styleId="NormalWeb">
    <w:name w:val="Normal (Web)"/>
    <w:basedOn w:val="Normal"/>
    <w:uiPriority w:val="99"/>
    <w:pPr>
      <w:spacing w:before="100" w:beforeAutospacing="1" w:after="100" w:afterAutospacing="1"/>
    </w:pPr>
    <w:rPr>
      <w:rFonts w:ascii="Times New Roman" w:hAnsi="Times New Roman"/>
      <w:sz w:val="24"/>
      <w:szCs w:val="24"/>
    </w:rPr>
  </w:style>
  <w:style w:type="character" w:styleId="Strong">
    <w:name w:val="Strong"/>
    <w:uiPriority w:val="22"/>
    <w:qFormat/>
    <w:rPr>
      <w:rFonts w:cs="Times New Roman"/>
      <w:b/>
    </w:rPr>
  </w:style>
  <w:style w:type="paragraph" w:styleId="BodyTextFirstIndent">
    <w:name w:val="Body Text First Indent"/>
    <w:basedOn w:val="Normal"/>
    <w:link w:val="BodyTextFirstIndentChar"/>
    <w:pPr>
      <w:ind w:left="360" w:hanging="360"/>
    </w:pPr>
    <w:rPr>
      <w:rFonts w:cs="Arial"/>
    </w:rPr>
  </w:style>
  <w:style w:type="character" w:customStyle="1" w:styleId="BodyTextFirstIndentChar">
    <w:name w:val="Body Text First Indent Char"/>
    <w:link w:val="BodyTextFirstIndent"/>
    <w:uiPriority w:val="99"/>
    <w:rsid w:val="008910AA"/>
    <w:rPr>
      <w:rFonts w:ascii="Arial" w:hAnsi="Arial"/>
      <w:sz w:val="20"/>
      <w:szCs w:val="20"/>
    </w:rPr>
  </w:style>
  <w:style w:type="paragraph" w:styleId="DocumentMap">
    <w:name w:val="Document Map"/>
    <w:basedOn w:val="Normal"/>
    <w:link w:val="DocumentMapChar"/>
    <w:semiHidden/>
    <w:pPr>
      <w:shd w:val="clear" w:color="auto" w:fill="000080"/>
    </w:pPr>
    <w:rPr>
      <w:rFonts w:ascii="Tahoma" w:hAnsi="Tahoma" w:cs="Tahoma"/>
    </w:rPr>
  </w:style>
  <w:style w:type="character" w:customStyle="1" w:styleId="DocumentMapChar">
    <w:name w:val="Document Map Char"/>
    <w:link w:val="DocumentMap"/>
    <w:semiHidden/>
    <w:rsid w:val="008910AA"/>
    <w:rPr>
      <w:sz w:val="0"/>
      <w:szCs w:val="0"/>
    </w:rPr>
  </w:style>
  <w:style w:type="paragraph" w:customStyle="1" w:styleId="StyleHeading3Centered">
    <w:name w:val="Style Heading 3 + Centered"/>
    <w:basedOn w:val="Heading3"/>
    <w:pPr>
      <w:jc w:val="center"/>
    </w:pPr>
    <w:rPr>
      <w:bCs/>
    </w:rPr>
  </w:style>
  <w:style w:type="paragraph" w:customStyle="1" w:styleId="StyleH3Centered">
    <w:name w:val="Style H3 + Centered"/>
    <w:basedOn w:val="H3"/>
    <w:pPr>
      <w:spacing w:before="240" w:after="120"/>
      <w:jc w:val="center"/>
    </w:pPr>
    <w:rPr>
      <w:bCs/>
      <w:sz w:val="24"/>
      <w:szCs w:val="24"/>
    </w:rPr>
  </w:style>
  <w:style w:type="paragraph" w:customStyle="1" w:styleId="StyleHeading38ptNotBoldCenteredLeft0Firstline">
    <w:name w:val="Style Heading 3 + 8 pt Not Bold Centered Left:  0&quot; First line: ..."/>
    <w:basedOn w:val="Heading3"/>
    <w:pPr>
      <w:spacing w:before="60"/>
      <w:jc w:val="center"/>
    </w:pPr>
    <w:rPr>
      <w:b w:val="0"/>
      <w:sz w:val="16"/>
    </w:rPr>
  </w:style>
  <w:style w:type="character" w:styleId="CommentReference">
    <w:name w:val="annotation reference"/>
    <w:uiPriority w:val="99"/>
    <w:semiHidden/>
    <w:rPr>
      <w:rFonts w:cs="Times New Roman"/>
      <w:sz w:val="16"/>
    </w:rPr>
  </w:style>
  <w:style w:type="paragraph" w:styleId="CommentText">
    <w:name w:val="annotation text"/>
    <w:basedOn w:val="Normal"/>
    <w:link w:val="CommentTextChar"/>
    <w:uiPriority w:val="99"/>
  </w:style>
  <w:style w:type="character" w:customStyle="1" w:styleId="CommentTextChar">
    <w:name w:val="Comment Text Char"/>
    <w:link w:val="CommentText"/>
    <w:uiPriority w:val="99"/>
    <w:rsid w:val="008910AA"/>
    <w:rPr>
      <w:rFonts w:ascii="Arial" w:hAnsi="Arial"/>
      <w:sz w:val="20"/>
      <w:szCs w:val="20"/>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Char Char Char"/>
    <w:basedOn w:val="Normal"/>
    <w:semiHidden/>
    <w:pPr>
      <w:widowControl w:val="0"/>
      <w:spacing w:after="160" w:line="240" w:lineRule="exact"/>
    </w:pPr>
    <w:rPr>
      <w:rFonts w:ascii="Tahoma" w:hAnsi="Tahoma"/>
      <w:szCs w:val="24"/>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link w:val="CommentSubject"/>
    <w:uiPriority w:val="99"/>
    <w:semiHidden/>
    <w:rsid w:val="008910AA"/>
    <w:rPr>
      <w:rFonts w:ascii="Arial" w:hAnsi="Arial"/>
      <w:b/>
      <w:bCs/>
      <w:sz w:val="20"/>
      <w:szCs w:val="20"/>
    </w:rPr>
  </w:style>
  <w:style w:type="character" w:styleId="Emphasis">
    <w:name w:val="Emphasis"/>
    <w:uiPriority w:val="20"/>
    <w:qFormat/>
    <w:rPr>
      <w:rFonts w:cs="Times New Roman"/>
      <w:i/>
    </w:rPr>
  </w:style>
  <w:style w:type="character" w:customStyle="1" w:styleId="lpg35333">
    <w:name w:val="lpg35333"/>
    <w:semiHidden/>
    <w:rPr>
      <w:rFonts w:ascii="Arial" w:hAnsi="Arial"/>
      <w:color w:val="auto"/>
      <w:sz w:val="20"/>
    </w:rPr>
  </w:style>
  <w:style w:type="character" w:customStyle="1" w:styleId="msoins0">
    <w:name w:val="msoins"/>
    <w:rPr>
      <w:rFonts w:cs="Times New Roman"/>
    </w:rPr>
  </w:style>
  <w:style w:type="character" w:customStyle="1" w:styleId="footnotesearch2">
    <w:name w:val="footnotesearch2"/>
    <w:uiPriority w:val="99"/>
    <w:rPr>
      <w:sz w:val="22"/>
    </w:rPr>
  </w:style>
  <w:style w:type="character" w:styleId="HTMLCite">
    <w:name w:val="HTML Cite"/>
    <w:uiPriority w:val="99"/>
    <w:rPr>
      <w:rFonts w:cs="Times New Roman"/>
      <w:color w:val="0E774A"/>
    </w:rPr>
  </w:style>
  <w:style w:type="character" w:customStyle="1" w:styleId="awc-59785">
    <w:name w:val="awc-59785"/>
    <w:rPr>
      <w:rFonts w:cs="Times New Roman"/>
    </w:rPr>
  </w:style>
  <w:style w:type="numbering" w:styleId="111111">
    <w:name w:val="Outline List 2"/>
    <w:basedOn w:val="NoList"/>
    <w:unhideWhenUsed/>
    <w:rsid w:val="008910AA"/>
    <w:pPr>
      <w:numPr>
        <w:numId w:val="9"/>
      </w:numPr>
    </w:pPr>
  </w:style>
  <w:style w:type="character" w:customStyle="1" w:styleId="apple-converted-space">
    <w:name w:val="apple-converted-space"/>
    <w:basedOn w:val="DefaultParagraphFont"/>
    <w:rsid w:val="005139C0"/>
  </w:style>
  <w:style w:type="paragraph" w:styleId="ListParagraph">
    <w:name w:val="List Paragraph"/>
    <w:basedOn w:val="Normal"/>
    <w:uiPriority w:val="34"/>
    <w:qFormat/>
    <w:rsid w:val="00A26F28"/>
    <w:pPr>
      <w:ind w:left="720"/>
      <w:contextualSpacing/>
    </w:pPr>
  </w:style>
  <w:style w:type="paragraph" w:styleId="Revision">
    <w:name w:val="Revision"/>
    <w:hidden/>
    <w:uiPriority w:val="99"/>
    <w:semiHidden/>
    <w:rsid w:val="00137D1B"/>
    <w:rPr>
      <w:rFonts w:ascii="Arial" w:hAnsi="Arial"/>
    </w:rPr>
  </w:style>
  <w:style w:type="paragraph" w:styleId="NoSpacing">
    <w:name w:val="No Spacing"/>
    <w:link w:val="NoSpacingChar"/>
    <w:uiPriority w:val="1"/>
    <w:qFormat/>
    <w:rsid w:val="00D1257B"/>
    <w:rPr>
      <w:rFonts w:ascii="Century" w:eastAsia="MS Mincho" w:hAnsi="Century"/>
      <w:sz w:val="22"/>
      <w:szCs w:val="22"/>
    </w:rPr>
  </w:style>
  <w:style w:type="character" w:customStyle="1" w:styleId="NoSpacingChar">
    <w:name w:val="No Spacing Char"/>
    <w:basedOn w:val="DefaultParagraphFont"/>
    <w:link w:val="NoSpacing"/>
    <w:uiPriority w:val="1"/>
    <w:rsid w:val="00D1257B"/>
    <w:rPr>
      <w:rFonts w:ascii="Century" w:eastAsia="MS Mincho" w:hAnsi="Century"/>
      <w:sz w:val="22"/>
      <w:szCs w:val="22"/>
    </w:rPr>
  </w:style>
  <w:style w:type="paragraph" w:customStyle="1" w:styleId="SectionHeader">
    <w:name w:val="Section Header"/>
    <w:basedOn w:val="Heading1"/>
    <w:link w:val="SectionHeaderChar"/>
    <w:qFormat/>
    <w:rsid w:val="00B441E9"/>
    <w:pPr>
      <w:jc w:val="center"/>
    </w:pPr>
    <w:rPr>
      <w:snapToGrid w:val="0"/>
      <w:sz w:val="40"/>
      <w:szCs w:val="40"/>
    </w:rPr>
  </w:style>
  <w:style w:type="paragraph" w:styleId="TOC2">
    <w:name w:val="toc 2"/>
    <w:basedOn w:val="Normal"/>
    <w:next w:val="Normal"/>
    <w:autoRedefine/>
    <w:uiPriority w:val="39"/>
    <w:unhideWhenUsed/>
    <w:rsid w:val="00940F39"/>
    <w:pPr>
      <w:tabs>
        <w:tab w:val="right" w:leader="dot" w:pos="9350"/>
      </w:tabs>
      <w:spacing w:after="100"/>
      <w:ind w:left="200"/>
    </w:pPr>
  </w:style>
  <w:style w:type="character" w:customStyle="1" w:styleId="SectionHeaderChar">
    <w:name w:val="Section Header Char"/>
    <w:basedOn w:val="Heading1Char"/>
    <w:link w:val="SectionHeader"/>
    <w:rsid w:val="00B441E9"/>
    <w:rPr>
      <w:rFonts w:ascii="Arial" w:hAnsi="Arial"/>
      <w:b/>
      <w:bCs/>
      <w:i/>
      <w:iCs/>
      <w:snapToGrid w:val="0"/>
      <w:sz w:val="40"/>
      <w:szCs w:val="40"/>
      <w:lang w:eastAsia="ja-JP"/>
    </w:rPr>
  </w:style>
  <w:style w:type="paragraph" w:styleId="TOC1">
    <w:name w:val="toc 1"/>
    <w:basedOn w:val="Normal"/>
    <w:next w:val="Normal"/>
    <w:autoRedefine/>
    <w:uiPriority w:val="39"/>
    <w:unhideWhenUsed/>
    <w:rsid w:val="0054414F"/>
    <w:pPr>
      <w:tabs>
        <w:tab w:val="right" w:leader="dot" w:pos="9350"/>
      </w:tabs>
      <w:spacing w:after="120"/>
    </w:pPr>
  </w:style>
  <w:style w:type="paragraph" w:styleId="TOC4">
    <w:name w:val="toc 4"/>
    <w:basedOn w:val="Normal"/>
    <w:next w:val="Normal"/>
    <w:autoRedefine/>
    <w:uiPriority w:val="39"/>
    <w:unhideWhenUsed/>
    <w:rsid w:val="00CF5A6E"/>
    <w:pPr>
      <w:tabs>
        <w:tab w:val="right" w:leader="dot" w:pos="9350"/>
      </w:tabs>
      <w:spacing w:after="100"/>
      <w:ind w:left="600"/>
    </w:pPr>
  </w:style>
  <w:style w:type="paragraph" w:styleId="TOC3">
    <w:name w:val="toc 3"/>
    <w:basedOn w:val="Normal"/>
    <w:next w:val="Normal"/>
    <w:autoRedefine/>
    <w:uiPriority w:val="39"/>
    <w:unhideWhenUsed/>
    <w:rsid w:val="00B441E9"/>
    <w:pPr>
      <w:spacing w:after="100"/>
      <w:ind w:left="400"/>
    </w:pPr>
  </w:style>
  <w:style w:type="paragraph" w:styleId="Subtitle">
    <w:name w:val="Subtitle"/>
    <w:aliases w:val="Affirmation"/>
    <w:basedOn w:val="Normal"/>
    <w:next w:val="Normal"/>
    <w:link w:val="SubtitleChar"/>
    <w:qFormat/>
    <w:locked/>
    <w:rsid w:val="00625D0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aliases w:val="Affirmation Char"/>
    <w:basedOn w:val="DefaultParagraphFont"/>
    <w:link w:val="Subtitle"/>
    <w:rsid w:val="00625D0F"/>
    <w:rPr>
      <w:rFonts w:asciiTheme="majorHAnsi" w:eastAsiaTheme="majorEastAsia" w:hAnsiTheme="majorHAnsi" w:cstheme="majorBidi"/>
      <w:i/>
      <w:iCs/>
      <w:color w:val="4F81BD" w:themeColor="accent1"/>
      <w:spacing w:val="15"/>
      <w:sz w:val="24"/>
      <w:szCs w:val="24"/>
    </w:rPr>
  </w:style>
  <w:style w:type="paragraph" w:customStyle="1" w:styleId="Answer">
    <w:name w:val="Answer"/>
    <w:basedOn w:val="Normal"/>
    <w:rsid w:val="00C35C80"/>
    <w:pPr>
      <w:keepNext/>
      <w:keepLines/>
      <w:numPr>
        <w:ilvl w:val="1"/>
        <w:numId w:val="14"/>
      </w:numPr>
      <w:spacing w:line="480" w:lineRule="auto"/>
    </w:pPr>
    <w:rPr>
      <w:rFonts w:eastAsia="MS Mincho"/>
      <w:sz w:val="24"/>
    </w:rPr>
  </w:style>
  <w:style w:type="paragraph" w:customStyle="1" w:styleId="Default">
    <w:name w:val="Default"/>
    <w:rsid w:val="005A41AD"/>
    <w:pPr>
      <w:autoSpaceDE w:val="0"/>
      <w:autoSpaceDN w:val="0"/>
      <w:adjustRightInd w:val="0"/>
    </w:pPr>
    <w:rPr>
      <w:rFonts w:eastAsia="MS Mincho"/>
      <w:color w:val="000000"/>
      <w:sz w:val="24"/>
      <w:szCs w:val="24"/>
      <w:lang w:eastAsia="ja-JP"/>
    </w:rPr>
  </w:style>
  <w:style w:type="paragraph" w:styleId="TOC5">
    <w:name w:val="toc 5"/>
    <w:basedOn w:val="Normal"/>
    <w:next w:val="Normal"/>
    <w:autoRedefine/>
    <w:uiPriority w:val="39"/>
    <w:unhideWhenUsed/>
    <w:rsid w:val="006E26E4"/>
    <w:pPr>
      <w:tabs>
        <w:tab w:val="right" w:leader="dot" w:pos="9350"/>
      </w:tabs>
      <w:spacing w:after="100" w:line="276" w:lineRule="auto"/>
      <w:ind w:left="880"/>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rsid w:val="007E1482"/>
    <w:pPr>
      <w:spacing w:after="100" w:line="276" w:lineRule="auto"/>
      <w:ind w:left="1100"/>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7E1482"/>
    <w:pPr>
      <w:spacing w:after="100" w:line="276" w:lineRule="auto"/>
      <w:ind w:left="1320"/>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7E1482"/>
    <w:pPr>
      <w:spacing w:after="100" w:line="276" w:lineRule="auto"/>
      <w:ind w:left="1540"/>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7E1482"/>
    <w:pPr>
      <w:spacing w:after="100" w:line="276" w:lineRule="auto"/>
      <w:ind w:left="1760"/>
    </w:pPr>
    <w:rPr>
      <w:rFonts w:asciiTheme="minorHAnsi" w:eastAsiaTheme="minorEastAsia" w:hAnsiTheme="minorHAnsi" w:cstheme="minorBidi"/>
      <w:sz w:val="22"/>
      <w:szCs w:val="22"/>
    </w:rPr>
  </w:style>
  <w:style w:type="character" w:customStyle="1" w:styleId="EmailStyle54">
    <w:name w:val="EmailStyle54"/>
    <w:basedOn w:val="DefaultParagraphFont"/>
    <w:semiHidden/>
    <w:rsid w:val="00561293"/>
    <w:rPr>
      <w:rFonts w:ascii="Arial" w:hAnsi="Arial" w:cs="Arial"/>
      <w:color w:val="auto"/>
      <w:sz w:val="20"/>
      <w:szCs w:val="20"/>
    </w:rPr>
  </w:style>
  <w:style w:type="paragraph" w:styleId="TOCHeading">
    <w:name w:val="TOC Heading"/>
    <w:basedOn w:val="Heading1"/>
    <w:next w:val="Normal"/>
    <w:uiPriority w:val="39"/>
    <w:qFormat/>
    <w:rsid w:val="00561293"/>
    <w:pPr>
      <w:keepLines/>
      <w:spacing w:before="480" w:line="276" w:lineRule="auto"/>
      <w:outlineLvl w:val="9"/>
    </w:pPr>
    <w:rPr>
      <w:rFonts w:eastAsia="MS Gothic"/>
      <w:bCs w:val="0"/>
      <w:color w:val="365F91"/>
      <w:sz w:val="28"/>
      <w:szCs w:val="28"/>
      <w:lang w:eastAsia="en-US"/>
    </w:rPr>
  </w:style>
  <w:style w:type="table" w:styleId="TableColumns3">
    <w:name w:val="Table Columns 3"/>
    <w:basedOn w:val="TableNormal"/>
    <w:rsid w:val="00561293"/>
    <w:rPr>
      <w:rFonts w:eastAsia="MS Mincho"/>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Grid1">
    <w:name w:val="Table Grid 1"/>
    <w:basedOn w:val="TableNormal"/>
    <w:rsid w:val="00561293"/>
    <w:rPr>
      <w:rFonts w:eastAsia="MS Minch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CharCharCharChar1">
    <w:name w:val="Char Char Char Char1"/>
    <w:basedOn w:val="Normal"/>
    <w:semiHidden/>
    <w:rsid w:val="00561293"/>
    <w:pPr>
      <w:widowControl w:val="0"/>
      <w:spacing w:after="160" w:line="240" w:lineRule="exact"/>
    </w:pPr>
    <w:rPr>
      <w:rFonts w:ascii="Tahoma" w:eastAsia="MS Mincho" w:hAnsi="Tahoma"/>
      <w:szCs w:val="24"/>
    </w:rPr>
  </w:style>
  <w:style w:type="paragraph" w:customStyle="1" w:styleId="BlackBodyText">
    <w:name w:val="Black Body Text"/>
    <w:basedOn w:val="Footer"/>
    <w:rsid w:val="00561293"/>
    <w:pPr>
      <w:tabs>
        <w:tab w:val="clear" w:pos="4320"/>
        <w:tab w:val="right" w:pos="5040"/>
      </w:tabs>
      <w:spacing w:after="240"/>
    </w:pPr>
    <w:rPr>
      <w:rFonts w:eastAsia="MS Mincho" w:cs="Arial"/>
    </w:rPr>
  </w:style>
  <w:style w:type="paragraph" w:styleId="Date">
    <w:name w:val="Date"/>
    <w:basedOn w:val="Normal"/>
    <w:next w:val="Normal"/>
    <w:link w:val="DateChar"/>
    <w:rsid w:val="00561293"/>
    <w:rPr>
      <w:rFonts w:eastAsia="MS Mincho"/>
    </w:rPr>
  </w:style>
  <w:style w:type="character" w:customStyle="1" w:styleId="DateChar">
    <w:name w:val="Date Char"/>
    <w:basedOn w:val="DefaultParagraphFont"/>
    <w:link w:val="Date"/>
    <w:rsid w:val="00561293"/>
    <w:rPr>
      <w:rFonts w:ascii="Arial" w:eastAsia="MS Mincho" w:hAnsi="Arial"/>
    </w:rPr>
  </w:style>
  <w:style w:type="character" w:styleId="PlaceholderText">
    <w:name w:val="Placeholder Text"/>
    <w:basedOn w:val="DefaultParagraphFont"/>
    <w:uiPriority w:val="99"/>
    <w:semiHidden/>
    <w:rsid w:val="00561293"/>
    <w:rPr>
      <w:color w:val="808080"/>
    </w:rPr>
  </w:style>
  <w:style w:type="character" w:customStyle="1" w:styleId="Heading2Char1">
    <w:name w:val="Heading 2 Char1"/>
    <w:aliases w:val="2: Section Details Char1"/>
    <w:basedOn w:val="DefaultParagraphFont"/>
    <w:link w:val="Heading2"/>
    <w:rsid w:val="00CF5A6E"/>
    <w:rPr>
      <w:rFonts w:ascii="Arial" w:hAnsi="Arial"/>
      <w:b/>
      <w:snapToGrid w:val="0"/>
      <w:sz w:val="28"/>
      <w:szCs w:val="24"/>
      <w:u w:val="single"/>
      <w:lang w:eastAsia="ja-JP"/>
    </w:rPr>
  </w:style>
  <w:style w:type="paragraph" w:customStyle="1" w:styleId="FactSheetText">
    <w:name w:val="Fact Sheet Text"/>
    <w:basedOn w:val="Normal"/>
    <w:link w:val="FactSheetTextChar"/>
    <w:qFormat/>
    <w:rsid w:val="0085320B"/>
    <w:pPr>
      <w:widowControl w:val="0"/>
    </w:pPr>
    <w:rPr>
      <w:rFonts w:asciiTheme="minorHAnsi" w:eastAsiaTheme="minorHAnsi" w:hAnsiTheme="minorHAnsi" w:cstheme="minorBidi"/>
      <w:sz w:val="22"/>
      <w:szCs w:val="22"/>
    </w:rPr>
  </w:style>
  <w:style w:type="character" w:customStyle="1" w:styleId="FactSheetTextChar">
    <w:name w:val="Fact Sheet Text Char"/>
    <w:basedOn w:val="DefaultParagraphFont"/>
    <w:link w:val="FactSheetText"/>
    <w:rsid w:val="0085320B"/>
    <w:rPr>
      <w:rFonts w:asciiTheme="minorHAnsi" w:eastAsiaTheme="minorHAnsi" w:hAnsiTheme="minorHAnsi" w:cstheme="minorBidi"/>
      <w:sz w:val="22"/>
      <w:szCs w:val="22"/>
    </w:rPr>
  </w:style>
  <w:style w:type="character" w:customStyle="1" w:styleId="highlight">
    <w:name w:val="highlight"/>
    <w:basedOn w:val="DefaultParagraphFont"/>
    <w:rsid w:val="004D4809"/>
  </w:style>
  <w:style w:type="paragraph" w:customStyle="1" w:styleId="FactSheetHeader">
    <w:name w:val="Fact Sheet Header"/>
    <w:basedOn w:val="Normal"/>
    <w:link w:val="FactSheetHeaderChar"/>
    <w:rsid w:val="00864CF5"/>
    <w:pPr>
      <w:widowControl w:val="0"/>
      <w:spacing w:before="200" w:after="200" w:line="276" w:lineRule="auto"/>
    </w:pPr>
    <w:rPr>
      <w:rFonts w:asciiTheme="minorHAnsi" w:eastAsiaTheme="minorEastAsia" w:hAnsiTheme="minorHAnsi" w:cstheme="minorBidi"/>
      <w:color w:val="007373"/>
      <w:sz w:val="36"/>
      <w:szCs w:val="36"/>
    </w:rPr>
  </w:style>
  <w:style w:type="character" w:customStyle="1" w:styleId="FactSheetHeaderChar">
    <w:name w:val="Fact Sheet Header Char"/>
    <w:basedOn w:val="DefaultParagraphFont"/>
    <w:link w:val="FactSheetHeader"/>
    <w:rsid w:val="00864CF5"/>
    <w:rPr>
      <w:rFonts w:asciiTheme="minorHAnsi" w:eastAsiaTheme="minorEastAsia" w:hAnsiTheme="minorHAnsi" w:cstheme="minorBidi"/>
      <w:color w:val="007373"/>
      <w:sz w:val="36"/>
      <w:szCs w:val="36"/>
    </w:rPr>
  </w:style>
  <w:style w:type="character" w:customStyle="1" w:styleId="Style12ptBoldDarkBlue">
    <w:name w:val="Style 12 pt Bold Dark Blue"/>
    <w:basedOn w:val="DefaultParagraphFont"/>
    <w:rsid w:val="003A5943"/>
    <w:rPr>
      <w:b/>
      <w:bCs/>
      <w:color w:val="4F6228" w:themeColor="accent3" w:themeShade="80"/>
      <w:sz w:val="24"/>
    </w:rPr>
  </w:style>
  <w:style w:type="paragraph" w:customStyle="1" w:styleId="Style1">
    <w:name w:val="Style1"/>
    <w:basedOn w:val="Normal"/>
    <w:link w:val="Style1Char"/>
    <w:qFormat/>
    <w:rsid w:val="006A3FDE"/>
    <w:rPr>
      <w:b/>
      <w:color w:val="000000"/>
    </w:rPr>
  </w:style>
  <w:style w:type="paragraph" w:customStyle="1" w:styleId="Heading44">
    <w:name w:val="Heading 44"/>
    <w:basedOn w:val="Style1"/>
    <w:link w:val="Heading44Char"/>
    <w:qFormat/>
    <w:rsid w:val="005B7CB8"/>
    <w:rPr>
      <w:sz w:val="22"/>
    </w:rPr>
  </w:style>
  <w:style w:type="character" w:customStyle="1" w:styleId="Style1Char">
    <w:name w:val="Style1 Char"/>
    <w:basedOn w:val="DefaultParagraphFont"/>
    <w:link w:val="Style1"/>
    <w:rsid w:val="006A3FDE"/>
    <w:rPr>
      <w:rFonts w:ascii="Arial" w:hAnsi="Arial"/>
      <w:b/>
      <w:color w:val="000000"/>
    </w:rPr>
  </w:style>
  <w:style w:type="character" w:customStyle="1" w:styleId="Heading44Char">
    <w:name w:val="Heading 44 Char"/>
    <w:basedOn w:val="Style1Char"/>
    <w:link w:val="Heading44"/>
    <w:rsid w:val="005B7CB8"/>
    <w:rPr>
      <w:rFonts w:ascii="Arial" w:hAnsi="Arial"/>
      <w:b/>
      <w:color w:val="000000"/>
      <w:sz w:val="22"/>
    </w:rPr>
  </w:style>
  <w:style w:type="character" w:customStyle="1" w:styleId="UnresolvedMention1">
    <w:name w:val="Unresolved Mention1"/>
    <w:basedOn w:val="DefaultParagraphFont"/>
    <w:uiPriority w:val="99"/>
    <w:semiHidden/>
    <w:unhideWhenUsed/>
    <w:rsid w:val="007903F0"/>
    <w:rPr>
      <w:color w:val="808080"/>
      <w:shd w:val="clear" w:color="auto" w:fill="E6E6E6"/>
    </w:rPr>
  </w:style>
  <w:style w:type="paragraph" w:styleId="IntenseQuote">
    <w:name w:val="Intense Quote"/>
    <w:basedOn w:val="Normal"/>
    <w:next w:val="Normal"/>
    <w:link w:val="IntenseQuoteChar"/>
    <w:uiPriority w:val="30"/>
    <w:qFormat/>
    <w:rsid w:val="004310D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4310D9"/>
    <w:rPr>
      <w:rFonts w:ascii="Arial" w:hAnsi="Arial"/>
      <w:b/>
      <w:bCs/>
      <w:i/>
      <w:iCs/>
    </w:rPr>
  </w:style>
  <w:style w:type="character" w:styleId="SubtleEmphasis">
    <w:name w:val="Subtle Emphasis"/>
    <w:basedOn w:val="DefaultParagraphFont"/>
    <w:uiPriority w:val="19"/>
    <w:qFormat/>
    <w:rsid w:val="002E44C6"/>
    <w:rPr>
      <w:i/>
      <w:iCs/>
      <w:color w:val="808080" w:themeColor="text1" w:themeTint="7F"/>
    </w:rPr>
  </w:style>
  <w:style w:type="table" w:customStyle="1" w:styleId="TableGrid10">
    <w:name w:val="Table Grid1"/>
    <w:basedOn w:val="TableNormal"/>
    <w:next w:val="TableGrid"/>
    <w:uiPriority w:val="59"/>
    <w:rsid w:val="00CD7961"/>
    <w:rPr>
      <w:rFonts w:ascii="Arial" w:hAnsi="Arial"/>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A92537"/>
    <w:rPr>
      <w:rFonts w:ascii="Arial" w:hAnsi="Arial"/>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7B3CB4"/>
    <w:rPr>
      <w:rFonts w:ascii="Arial" w:hAnsi="Arial"/>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4F0509"/>
    <w:rPr>
      <w:rFonts w:ascii="Arial" w:hAnsi="Arial"/>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Quote1">
    <w:name w:val="Quote1"/>
    <w:basedOn w:val="Normal"/>
    <w:next w:val="Normal"/>
    <w:uiPriority w:val="29"/>
    <w:qFormat/>
    <w:rsid w:val="006E467C"/>
    <w:pPr>
      <w:spacing w:before="160" w:after="120" w:line="264" w:lineRule="auto"/>
      <w:ind w:left="720" w:right="720"/>
    </w:pPr>
    <w:rPr>
      <w:i/>
      <w:iCs/>
      <w:color w:val="404040"/>
      <w:szCs w:val="24"/>
    </w:rPr>
  </w:style>
  <w:style w:type="character" w:customStyle="1" w:styleId="QuoteChar">
    <w:name w:val="Quote Char"/>
    <w:basedOn w:val="DefaultParagraphFont"/>
    <w:link w:val="Quote"/>
    <w:uiPriority w:val="29"/>
    <w:rsid w:val="006E467C"/>
    <w:rPr>
      <w:i/>
      <w:iCs/>
      <w:color w:val="404040"/>
    </w:rPr>
  </w:style>
  <w:style w:type="character" w:styleId="IntenseEmphasis">
    <w:name w:val="Intense Emphasis"/>
    <w:basedOn w:val="DefaultParagraphFont"/>
    <w:uiPriority w:val="21"/>
    <w:qFormat/>
    <w:rsid w:val="006E467C"/>
    <w:rPr>
      <w:b/>
      <w:bCs/>
      <w:i/>
      <w:iCs/>
    </w:rPr>
  </w:style>
  <w:style w:type="character" w:customStyle="1" w:styleId="SubtleReference1">
    <w:name w:val="Subtle Reference1"/>
    <w:basedOn w:val="DefaultParagraphFont"/>
    <w:uiPriority w:val="31"/>
    <w:qFormat/>
    <w:rsid w:val="006E467C"/>
    <w:rPr>
      <w:smallCaps/>
      <w:color w:val="404040"/>
      <w:u w:val="single" w:color="7F7F7F"/>
    </w:rPr>
  </w:style>
  <w:style w:type="character" w:styleId="IntenseReference">
    <w:name w:val="Intense Reference"/>
    <w:basedOn w:val="DefaultParagraphFont"/>
    <w:uiPriority w:val="32"/>
    <w:qFormat/>
    <w:rsid w:val="006E467C"/>
    <w:rPr>
      <w:b/>
      <w:bCs/>
      <w:smallCaps/>
      <w:spacing w:val="5"/>
      <w:u w:val="single"/>
    </w:rPr>
  </w:style>
  <w:style w:type="character" w:styleId="BookTitle">
    <w:name w:val="Book Title"/>
    <w:basedOn w:val="DefaultParagraphFont"/>
    <w:uiPriority w:val="33"/>
    <w:qFormat/>
    <w:rsid w:val="006E467C"/>
    <w:rPr>
      <w:b/>
      <w:bCs/>
      <w:smallCaps/>
    </w:rPr>
  </w:style>
  <w:style w:type="paragraph" w:customStyle="1" w:styleId="PageIntentionallyLeftBlank">
    <w:name w:val="Page Intentionally Left Blank"/>
    <w:basedOn w:val="Normal"/>
    <w:qFormat/>
    <w:rsid w:val="006E467C"/>
    <w:pPr>
      <w:spacing w:after="120" w:line="264" w:lineRule="auto"/>
      <w:jc w:val="center"/>
    </w:pPr>
    <w:rPr>
      <w:b/>
      <w:color w:val="A6A6A6"/>
      <w:sz w:val="40"/>
      <w:szCs w:val="24"/>
    </w:rPr>
  </w:style>
  <w:style w:type="table" w:customStyle="1" w:styleId="TableGrid5">
    <w:name w:val="Table Grid5"/>
    <w:basedOn w:val="TableNormal"/>
    <w:next w:val="TableGrid"/>
    <w:uiPriority w:val="39"/>
    <w:rsid w:val="006E467C"/>
    <w:rPr>
      <w:rFonts w:ascii="Arial" w:hAnsi="Arial"/>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21">
    <w:name w:val="Grid Table 21"/>
    <w:basedOn w:val="TableNormal"/>
    <w:next w:val="GridTable2"/>
    <w:uiPriority w:val="47"/>
    <w:rsid w:val="006E467C"/>
    <w:rPr>
      <w:rFonts w:ascii="Arial" w:hAnsi="Arial"/>
      <w:szCs w:val="24"/>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Columns31">
    <w:name w:val="Table Columns 31"/>
    <w:basedOn w:val="TableNormal"/>
    <w:next w:val="TableColumns3"/>
    <w:rsid w:val="006E467C"/>
    <w:rPr>
      <w:rFonts w:eastAsia="MS Mincho"/>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Grid11">
    <w:name w:val="Table Grid 11"/>
    <w:basedOn w:val="TableNormal"/>
    <w:next w:val="TableGrid1"/>
    <w:rsid w:val="006E467C"/>
    <w:rPr>
      <w:rFonts w:eastAsia="MS Minch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styleId="Quote">
    <w:name w:val="Quote"/>
    <w:basedOn w:val="Normal"/>
    <w:next w:val="Normal"/>
    <w:link w:val="QuoteChar"/>
    <w:uiPriority w:val="29"/>
    <w:qFormat/>
    <w:rsid w:val="006E467C"/>
    <w:pPr>
      <w:spacing w:before="200" w:after="160"/>
      <w:ind w:left="864" w:right="864"/>
      <w:jc w:val="center"/>
    </w:pPr>
    <w:rPr>
      <w:rFonts w:ascii="Times New Roman" w:hAnsi="Times New Roman"/>
      <w:i/>
      <w:iCs/>
      <w:color w:val="404040"/>
    </w:rPr>
  </w:style>
  <w:style w:type="character" w:customStyle="1" w:styleId="QuoteChar1">
    <w:name w:val="Quote Char1"/>
    <w:basedOn w:val="DefaultParagraphFont"/>
    <w:uiPriority w:val="29"/>
    <w:rsid w:val="006E467C"/>
    <w:rPr>
      <w:rFonts w:ascii="Arial" w:hAnsi="Arial"/>
      <w:i/>
      <w:iCs/>
      <w:color w:val="404040" w:themeColor="text1" w:themeTint="BF"/>
    </w:rPr>
  </w:style>
  <w:style w:type="character" w:styleId="SubtleReference">
    <w:name w:val="Subtle Reference"/>
    <w:basedOn w:val="DefaultParagraphFont"/>
    <w:uiPriority w:val="31"/>
    <w:qFormat/>
    <w:rsid w:val="006E467C"/>
    <w:rPr>
      <w:smallCaps/>
      <w:color w:val="5A5A5A" w:themeColor="text1" w:themeTint="A5"/>
    </w:rPr>
  </w:style>
  <w:style w:type="table" w:styleId="GridTable2">
    <w:name w:val="Grid Table 2"/>
    <w:basedOn w:val="TableNormal"/>
    <w:uiPriority w:val="47"/>
    <w:rsid w:val="006E467C"/>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Grid6">
    <w:name w:val="Table Grid6"/>
    <w:basedOn w:val="TableNormal"/>
    <w:next w:val="TableGrid"/>
    <w:uiPriority w:val="39"/>
    <w:rsid w:val="0085786F"/>
    <w:rPr>
      <w:rFonts w:ascii="Arial" w:hAnsi="Arial"/>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85110E"/>
    <w:rPr>
      <w:rFonts w:ascii="Arial" w:eastAsia="Yu Mincho" w:hAnsi="Arial"/>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211">
    <w:name w:val="Grid Table 211"/>
    <w:basedOn w:val="TableNormal"/>
    <w:uiPriority w:val="47"/>
    <w:rsid w:val="0085110E"/>
    <w:rPr>
      <w:rFonts w:ascii="Arial" w:eastAsia="Yu Mincho" w:hAnsi="Arial"/>
      <w:szCs w:val="24"/>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numbering" w:customStyle="1" w:styleId="1111112">
    <w:name w:val="1 / 1.1 / 1.1.12"/>
    <w:basedOn w:val="NoList"/>
    <w:next w:val="111111"/>
    <w:unhideWhenUsed/>
    <w:rsid w:val="0085110E"/>
    <w:pPr>
      <w:numPr>
        <w:numId w:val="15"/>
      </w:numPr>
    </w:pPr>
  </w:style>
  <w:style w:type="table" w:customStyle="1" w:styleId="TableColumns32">
    <w:name w:val="Table Columns 32"/>
    <w:basedOn w:val="TableNormal"/>
    <w:next w:val="TableColumns3"/>
    <w:rsid w:val="0085110E"/>
    <w:rPr>
      <w:rFonts w:eastAsia="MS Mincho"/>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Grid12">
    <w:name w:val="Table Grid 12"/>
    <w:basedOn w:val="TableNormal"/>
    <w:next w:val="TableGrid1"/>
    <w:rsid w:val="0085110E"/>
    <w:rPr>
      <w:rFonts w:eastAsia="MS Minch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
    <w:name w:val="Table Grid8"/>
    <w:basedOn w:val="TableNormal"/>
    <w:next w:val="TableGrid"/>
    <w:uiPriority w:val="39"/>
    <w:rsid w:val="0012137D"/>
    <w:rPr>
      <w:rFonts w:ascii="Arial" w:eastAsia="Yu Mincho" w:hAnsi="Arial"/>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BB710B"/>
    <w:rPr>
      <w:rFonts w:ascii="Arial" w:eastAsia="Yu Mincho" w:hAnsi="Arial"/>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0">
    <w:name w:val="Table Grid10"/>
    <w:basedOn w:val="TableNormal"/>
    <w:next w:val="TableGrid"/>
    <w:uiPriority w:val="39"/>
    <w:rsid w:val="006A0D20"/>
    <w:rPr>
      <w:rFonts w:ascii="Arial" w:eastAsia="Yu Mincho" w:hAnsi="Arial"/>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
    <w:name w:val="Table Grid11"/>
    <w:basedOn w:val="TableNormal"/>
    <w:next w:val="TableGrid"/>
    <w:uiPriority w:val="39"/>
    <w:rsid w:val="006A0D20"/>
    <w:rPr>
      <w:rFonts w:ascii="Arial" w:eastAsia="Yu Mincho" w:hAnsi="Arial"/>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0">
    <w:name w:val="Table Grid12"/>
    <w:basedOn w:val="TableNormal"/>
    <w:next w:val="TableGrid"/>
    <w:uiPriority w:val="39"/>
    <w:rsid w:val="00612A0A"/>
    <w:rPr>
      <w:rFonts w:ascii="Arial" w:eastAsia="Yu Mincho" w:hAnsi="Arial"/>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39"/>
    <w:rsid w:val="00073B66"/>
    <w:rPr>
      <w:rFonts w:ascii="Arial" w:eastAsia="Yu Mincho" w:hAnsi="Arial"/>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073B66"/>
    <w:rPr>
      <w:rFonts w:ascii="Arial" w:eastAsia="Yu Mincho" w:hAnsi="Arial"/>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39"/>
    <w:rsid w:val="00073B66"/>
    <w:rPr>
      <w:rFonts w:ascii="Arial" w:eastAsia="Yu Mincho" w:hAnsi="Arial"/>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39"/>
    <w:rsid w:val="00073B66"/>
    <w:rPr>
      <w:rFonts w:ascii="Arial" w:eastAsia="Yu Mincho" w:hAnsi="Arial"/>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39"/>
    <w:rsid w:val="00073B66"/>
    <w:rPr>
      <w:rFonts w:ascii="Arial" w:eastAsia="Yu Mincho" w:hAnsi="Arial"/>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39"/>
    <w:rsid w:val="00073B66"/>
    <w:rPr>
      <w:rFonts w:ascii="Arial" w:eastAsia="Yu Mincho" w:hAnsi="Arial"/>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uiPriority w:val="39"/>
    <w:rsid w:val="00073B66"/>
    <w:rPr>
      <w:rFonts w:ascii="Arial" w:eastAsia="Yu Mincho" w:hAnsi="Arial"/>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1">
    <w:name w:val="Unresolved Mention11"/>
    <w:basedOn w:val="DefaultParagraphFont"/>
    <w:uiPriority w:val="99"/>
    <w:semiHidden/>
    <w:unhideWhenUsed/>
    <w:rsid w:val="00222413"/>
    <w:rPr>
      <w:color w:val="808080"/>
      <w:shd w:val="clear" w:color="auto" w:fill="E6E6E6"/>
    </w:rPr>
  </w:style>
  <w:style w:type="paragraph" w:styleId="Closing">
    <w:name w:val="Closing"/>
    <w:basedOn w:val="Normal"/>
    <w:link w:val="ClosingChar"/>
    <w:rsid w:val="00222413"/>
    <w:pPr>
      <w:ind w:left="4320"/>
    </w:pPr>
    <w:rPr>
      <w:rFonts w:eastAsia="Batang"/>
      <w:lang w:val="x-none" w:eastAsia="x-none"/>
    </w:rPr>
  </w:style>
  <w:style w:type="character" w:customStyle="1" w:styleId="ClosingChar">
    <w:name w:val="Closing Char"/>
    <w:basedOn w:val="DefaultParagraphFont"/>
    <w:link w:val="Closing"/>
    <w:rsid w:val="00222413"/>
    <w:rPr>
      <w:rFonts w:ascii="Arial" w:eastAsia="Batang" w:hAnsi="Arial"/>
      <w:lang w:val="x-none" w:eastAsia="x-none"/>
    </w:rPr>
  </w:style>
  <w:style w:type="paragraph" w:customStyle="1" w:styleId="aBoxTxt">
    <w:name w:val="a_BoxTxt"/>
    <w:basedOn w:val="Normal"/>
    <w:qFormat/>
    <w:rsid w:val="00222413"/>
    <w:pPr>
      <w:framePr w:hSpace="180" w:wrap="around" w:vAnchor="text" w:hAnchor="text" w:xAlign="right" w:y="1"/>
      <w:spacing w:before="40" w:after="40" w:line="280" w:lineRule="atLeast"/>
      <w:suppressOverlap/>
    </w:pPr>
    <w:rPr>
      <w:rFonts w:ascii="Times New Roman" w:eastAsia="Batang" w:hAnsi="Times New Roman"/>
      <w:sz w:val="22"/>
      <w:szCs w:val="22"/>
    </w:rPr>
  </w:style>
  <w:style w:type="table" w:customStyle="1" w:styleId="LightList-Accent31">
    <w:name w:val="Light List - Accent 31"/>
    <w:basedOn w:val="TableNormal"/>
    <w:uiPriority w:val="61"/>
    <w:rsid w:val="00222413"/>
    <w:rPr>
      <w:rFonts w:asciiTheme="minorHAnsi" w:hAnsiTheme="minorHAnsi" w:cstheme="minorBidi"/>
      <w:sz w:val="22"/>
      <w:szCs w:val="22"/>
    </w:rPr>
    <w:tblPr>
      <w:tblStyleRowBandSize w:val="1"/>
      <w:tblStyleColBandSize w:val="1"/>
      <w:tblInd w:w="0" w:type="nil"/>
    </w:tblPr>
    <w:tblStylePr w:type="firstRow">
      <w:pPr>
        <w:spacing w:beforeLines="0" w:before="0" w:beforeAutospacing="0" w:afterLines="0" w:after="0" w:afterAutospacing="0" w:line="240" w:lineRule="auto"/>
      </w:pPr>
      <w:rPr>
        <w:b/>
        <w:bCs/>
        <w:color w:val="FFFFFF"/>
      </w:rPr>
      <w:tblPr/>
      <w:tcPr>
        <w:shd w:val="clear" w:color="auto" w:fill="012F6B"/>
      </w:tcPr>
    </w:tblStylePr>
    <w:tblStylePr w:type="lastRow">
      <w:pPr>
        <w:spacing w:beforeLines="0" w:before="0" w:beforeAutospacing="0" w:afterLines="0" w:after="0" w:afterAutospacing="0" w:line="240" w:lineRule="auto"/>
      </w:pPr>
      <w:rPr>
        <w:b/>
        <w:bCs/>
      </w:rPr>
      <w:tblPr/>
      <w:tcPr>
        <w:tcBorders>
          <w:top w:val="double" w:sz="6" w:space="0" w:color="012F6B"/>
          <w:left w:val="single" w:sz="8" w:space="0" w:color="012F6B"/>
          <w:bottom w:val="single" w:sz="8" w:space="0" w:color="012F6B"/>
          <w:right w:val="single" w:sz="8" w:space="0" w:color="012F6B"/>
        </w:tcBorders>
      </w:tcPr>
    </w:tblStylePr>
    <w:tblStylePr w:type="firstCol">
      <w:rPr>
        <w:b/>
        <w:bCs/>
      </w:rPr>
    </w:tblStylePr>
    <w:tblStylePr w:type="lastCol">
      <w:rPr>
        <w:b/>
        <w:bCs/>
      </w:rPr>
    </w:tblStylePr>
    <w:tblStylePr w:type="band1Vert">
      <w:tblPr/>
      <w:tcPr>
        <w:tcBorders>
          <w:top w:val="single" w:sz="8" w:space="0" w:color="012F6B"/>
          <w:left w:val="single" w:sz="8" w:space="0" w:color="012F6B"/>
          <w:bottom w:val="single" w:sz="8" w:space="0" w:color="012F6B"/>
          <w:right w:val="single" w:sz="8" w:space="0" w:color="012F6B"/>
        </w:tcBorders>
      </w:tcPr>
    </w:tblStylePr>
    <w:tblStylePr w:type="band1Horz">
      <w:tblPr/>
      <w:tcPr>
        <w:shd w:val="clear" w:color="auto" w:fill="F2F2F2"/>
      </w:tcPr>
    </w:tblStylePr>
  </w:style>
  <w:style w:type="character" w:styleId="UnresolvedMention">
    <w:name w:val="Unresolved Mention"/>
    <w:basedOn w:val="DefaultParagraphFont"/>
    <w:uiPriority w:val="99"/>
    <w:semiHidden/>
    <w:unhideWhenUsed/>
    <w:rsid w:val="009C4EE9"/>
    <w:rPr>
      <w:color w:val="605E5C"/>
      <w:shd w:val="clear" w:color="auto" w:fill="E1DFDD"/>
    </w:rPr>
  </w:style>
  <w:style w:type="table" w:customStyle="1" w:styleId="GridTable4-Accent21">
    <w:name w:val="Grid Table 4 - Accent 21"/>
    <w:basedOn w:val="TableNormal"/>
    <w:next w:val="GridTable4-Accent2"/>
    <w:uiPriority w:val="49"/>
    <w:rsid w:val="002911AD"/>
    <w:pPr>
      <w:spacing w:before="100"/>
    </w:pPr>
    <w:rPr>
      <w:rFonts w:ascii="Calibri" w:eastAsia="Calibri" w:hAnsi="Calibri"/>
    </w:rPr>
    <w:tblPr>
      <w:tblStyleRowBandSize w:val="1"/>
      <w:tblStyleColBandSize w:val="1"/>
      <w:tblBorders>
        <w:top w:val="single" w:sz="4" w:space="0" w:color="B8B8BA"/>
        <w:left w:val="single" w:sz="4" w:space="0" w:color="B8B8BA"/>
        <w:bottom w:val="single" w:sz="4" w:space="0" w:color="B8B8BA"/>
        <w:right w:val="single" w:sz="4" w:space="0" w:color="B8B8BA"/>
        <w:insideH w:val="single" w:sz="4" w:space="0" w:color="B8B8BA"/>
        <w:insideV w:val="single" w:sz="4" w:space="0" w:color="B8B8BA"/>
      </w:tblBorders>
    </w:tblPr>
    <w:tblStylePr w:type="firstRow">
      <w:rPr>
        <w:b/>
        <w:bCs/>
        <w:color w:val="FFFFFF"/>
      </w:rPr>
      <w:tblPr/>
      <w:tcPr>
        <w:tcBorders>
          <w:top w:val="single" w:sz="4" w:space="0" w:color="8A8A8D"/>
          <w:left w:val="single" w:sz="4" w:space="0" w:color="8A8A8D"/>
          <w:bottom w:val="single" w:sz="4" w:space="0" w:color="8A8A8D"/>
          <w:right w:val="single" w:sz="4" w:space="0" w:color="8A8A8D"/>
          <w:insideH w:val="nil"/>
          <w:insideV w:val="nil"/>
        </w:tcBorders>
        <w:shd w:val="clear" w:color="auto" w:fill="8A8A8D"/>
      </w:tcPr>
    </w:tblStylePr>
    <w:tblStylePr w:type="lastRow">
      <w:rPr>
        <w:b/>
        <w:bCs/>
      </w:rPr>
      <w:tblPr/>
      <w:tcPr>
        <w:tcBorders>
          <w:top w:val="double" w:sz="4" w:space="0" w:color="8A8A8D"/>
        </w:tcBorders>
      </w:tcPr>
    </w:tblStylePr>
    <w:tblStylePr w:type="firstCol">
      <w:rPr>
        <w:b/>
        <w:bCs/>
      </w:rPr>
    </w:tblStylePr>
    <w:tblStylePr w:type="lastCol">
      <w:rPr>
        <w:b/>
        <w:bCs/>
      </w:rPr>
    </w:tblStylePr>
    <w:tblStylePr w:type="band1Vert">
      <w:tblPr/>
      <w:tcPr>
        <w:shd w:val="clear" w:color="auto" w:fill="E7E7E8"/>
      </w:tcPr>
    </w:tblStylePr>
    <w:tblStylePr w:type="band1Horz">
      <w:tblPr/>
      <w:tcPr>
        <w:shd w:val="clear" w:color="auto" w:fill="E7E7E8"/>
      </w:tcPr>
    </w:tblStylePr>
  </w:style>
  <w:style w:type="table" w:styleId="GridTable4-Accent2">
    <w:name w:val="Grid Table 4 Accent 2"/>
    <w:basedOn w:val="TableNormal"/>
    <w:uiPriority w:val="49"/>
    <w:rsid w:val="002911AD"/>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4-Accent22">
    <w:name w:val="Grid Table 4 - Accent 22"/>
    <w:basedOn w:val="TableNormal"/>
    <w:next w:val="GridTable4-Accent2"/>
    <w:uiPriority w:val="49"/>
    <w:rsid w:val="002911AD"/>
    <w:pPr>
      <w:spacing w:before="100"/>
    </w:pPr>
    <w:rPr>
      <w:rFonts w:ascii="Calibri" w:eastAsia="Calibri" w:hAnsi="Calibri"/>
    </w:rPr>
    <w:tblPr>
      <w:tblStyleRowBandSize w:val="1"/>
      <w:tblStyleColBandSize w:val="1"/>
      <w:tblBorders>
        <w:top w:val="single" w:sz="4" w:space="0" w:color="B8B8BA"/>
        <w:left w:val="single" w:sz="4" w:space="0" w:color="B8B8BA"/>
        <w:bottom w:val="single" w:sz="4" w:space="0" w:color="B8B8BA"/>
        <w:right w:val="single" w:sz="4" w:space="0" w:color="B8B8BA"/>
        <w:insideH w:val="single" w:sz="4" w:space="0" w:color="B8B8BA"/>
        <w:insideV w:val="single" w:sz="4" w:space="0" w:color="B8B8BA"/>
      </w:tblBorders>
    </w:tblPr>
    <w:tblStylePr w:type="firstRow">
      <w:rPr>
        <w:b/>
        <w:bCs/>
        <w:color w:val="FFFFFF"/>
      </w:rPr>
      <w:tblPr/>
      <w:tcPr>
        <w:tcBorders>
          <w:top w:val="single" w:sz="4" w:space="0" w:color="8A8A8D"/>
          <w:left w:val="single" w:sz="4" w:space="0" w:color="8A8A8D"/>
          <w:bottom w:val="single" w:sz="4" w:space="0" w:color="8A8A8D"/>
          <w:right w:val="single" w:sz="4" w:space="0" w:color="8A8A8D"/>
          <w:insideH w:val="nil"/>
          <w:insideV w:val="nil"/>
        </w:tcBorders>
        <w:shd w:val="clear" w:color="auto" w:fill="8A8A8D"/>
      </w:tcPr>
    </w:tblStylePr>
    <w:tblStylePr w:type="lastRow">
      <w:rPr>
        <w:b/>
        <w:bCs/>
      </w:rPr>
      <w:tblPr/>
      <w:tcPr>
        <w:tcBorders>
          <w:top w:val="double" w:sz="4" w:space="0" w:color="8A8A8D"/>
        </w:tcBorders>
      </w:tcPr>
    </w:tblStylePr>
    <w:tblStylePr w:type="firstCol">
      <w:rPr>
        <w:b/>
        <w:bCs/>
      </w:rPr>
    </w:tblStylePr>
    <w:tblStylePr w:type="lastCol">
      <w:rPr>
        <w:b/>
        <w:bCs/>
      </w:rPr>
    </w:tblStylePr>
    <w:tblStylePr w:type="band1Vert">
      <w:tblPr/>
      <w:tcPr>
        <w:shd w:val="clear" w:color="auto" w:fill="E7E7E8"/>
      </w:tcPr>
    </w:tblStylePr>
    <w:tblStylePr w:type="band1Horz">
      <w:tblPr/>
      <w:tcPr>
        <w:shd w:val="clear" w:color="auto" w:fill="E7E7E8"/>
      </w:tcPr>
    </w:tblStylePr>
  </w:style>
  <w:style w:type="table" w:styleId="ListTable3-Accent1">
    <w:name w:val="List Table 3 Accent 1"/>
    <w:basedOn w:val="TableNormal"/>
    <w:uiPriority w:val="48"/>
    <w:rsid w:val="00B37B7A"/>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character" w:customStyle="1" w:styleId="scayt-misspell-word">
    <w:name w:val="scayt-misspell-word"/>
    <w:basedOn w:val="DefaultParagraphFont"/>
    <w:rsid w:val="00131813"/>
  </w:style>
  <w:style w:type="character" w:customStyle="1" w:styleId="cf01">
    <w:name w:val="cf01"/>
    <w:basedOn w:val="DefaultParagraphFont"/>
    <w:rsid w:val="001D7842"/>
    <w:rPr>
      <w:rFonts w:ascii="Segoe UI" w:hAnsi="Segoe UI" w:cs="Segoe UI" w:hint="default"/>
      <w:sz w:val="18"/>
      <w:szCs w:val="18"/>
    </w:rPr>
  </w:style>
  <w:style w:type="paragraph" w:styleId="Bibliography">
    <w:name w:val="Bibliography"/>
    <w:basedOn w:val="Normal"/>
    <w:next w:val="Normal"/>
    <w:uiPriority w:val="37"/>
    <w:semiHidden/>
    <w:unhideWhenUsed/>
    <w:rsid w:val="000F0582"/>
  </w:style>
  <w:style w:type="paragraph" w:styleId="BlockText">
    <w:name w:val="Block Text"/>
    <w:basedOn w:val="Normal"/>
    <w:uiPriority w:val="99"/>
    <w:semiHidden/>
    <w:unhideWhenUsed/>
    <w:rsid w:val="000F0582"/>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FirstIndent2">
    <w:name w:val="Body Text First Indent 2"/>
    <w:basedOn w:val="BodyTextIndent"/>
    <w:link w:val="BodyTextFirstIndent2Char"/>
    <w:uiPriority w:val="99"/>
    <w:semiHidden/>
    <w:unhideWhenUsed/>
    <w:rsid w:val="000F0582"/>
    <w:pPr>
      <w:ind w:left="360" w:firstLine="360"/>
    </w:pPr>
  </w:style>
  <w:style w:type="character" w:customStyle="1" w:styleId="BodyTextFirstIndent2Char">
    <w:name w:val="Body Text First Indent 2 Char"/>
    <w:basedOn w:val="BodyTextIndentChar"/>
    <w:link w:val="BodyTextFirstIndent2"/>
    <w:uiPriority w:val="99"/>
    <w:semiHidden/>
    <w:rsid w:val="000F0582"/>
    <w:rPr>
      <w:rFonts w:ascii="Arial" w:hAnsi="Arial"/>
      <w:sz w:val="20"/>
      <w:szCs w:val="20"/>
    </w:rPr>
  </w:style>
  <w:style w:type="paragraph" w:styleId="BodyTextIndent3">
    <w:name w:val="Body Text Indent 3"/>
    <w:basedOn w:val="Normal"/>
    <w:link w:val="BodyTextIndent3Char"/>
    <w:uiPriority w:val="99"/>
    <w:semiHidden/>
    <w:unhideWhenUsed/>
    <w:rsid w:val="000F0582"/>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0F0582"/>
    <w:rPr>
      <w:rFonts w:ascii="Arial" w:hAnsi="Arial"/>
      <w:sz w:val="16"/>
      <w:szCs w:val="16"/>
    </w:rPr>
  </w:style>
  <w:style w:type="paragraph" w:styleId="E-mailSignature">
    <w:name w:val="E-mail Signature"/>
    <w:basedOn w:val="Normal"/>
    <w:link w:val="E-mailSignatureChar"/>
    <w:uiPriority w:val="99"/>
    <w:semiHidden/>
    <w:unhideWhenUsed/>
    <w:rsid w:val="000F0582"/>
  </w:style>
  <w:style w:type="character" w:customStyle="1" w:styleId="E-mailSignatureChar">
    <w:name w:val="E-mail Signature Char"/>
    <w:basedOn w:val="DefaultParagraphFont"/>
    <w:link w:val="E-mailSignature"/>
    <w:uiPriority w:val="99"/>
    <w:semiHidden/>
    <w:rsid w:val="000F0582"/>
    <w:rPr>
      <w:rFonts w:ascii="Arial" w:hAnsi="Arial"/>
    </w:rPr>
  </w:style>
  <w:style w:type="paragraph" w:styleId="EnvelopeAddress">
    <w:name w:val="envelope address"/>
    <w:basedOn w:val="Normal"/>
    <w:uiPriority w:val="99"/>
    <w:semiHidden/>
    <w:unhideWhenUsed/>
    <w:rsid w:val="000F0582"/>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0F0582"/>
    <w:rPr>
      <w:rFonts w:asciiTheme="majorHAnsi" w:eastAsiaTheme="majorEastAsia" w:hAnsiTheme="majorHAnsi" w:cstheme="majorBidi"/>
    </w:rPr>
  </w:style>
  <w:style w:type="paragraph" w:styleId="HTMLAddress">
    <w:name w:val="HTML Address"/>
    <w:basedOn w:val="Normal"/>
    <w:link w:val="HTMLAddressChar"/>
    <w:uiPriority w:val="99"/>
    <w:semiHidden/>
    <w:unhideWhenUsed/>
    <w:rsid w:val="000F0582"/>
    <w:rPr>
      <w:i/>
      <w:iCs/>
    </w:rPr>
  </w:style>
  <w:style w:type="character" w:customStyle="1" w:styleId="HTMLAddressChar">
    <w:name w:val="HTML Address Char"/>
    <w:basedOn w:val="DefaultParagraphFont"/>
    <w:link w:val="HTMLAddress"/>
    <w:uiPriority w:val="99"/>
    <w:semiHidden/>
    <w:rsid w:val="000F0582"/>
    <w:rPr>
      <w:rFonts w:ascii="Arial" w:hAnsi="Arial"/>
      <w:i/>
      <w:iCs/>
    </w:rPr>
  </w:style>
  <w:style w:type="paragraph" w:styleId="HTMLPreformatted">
    <w:name w:val="HTML Preformatted"/>
    <w:basedOn w:val="Normal"/>
    <w:link w:val="HTMLPreformattedChar"/>
    <w:uiPriority w:val="99"/>
    <w:semiHidden/>
    <w:unhideWhenUsed/>
    <w:rsid w:val="000F0582"/>
    <w:rPr>
      <w:rFonts w:ascii="Consolas" w:hAnsi="Consolas"/>
    </w:rPr>
  </w:style>
  <w:style w:type="character" w:customStyle="1" w:styleId="HTMLPreformattedChar">
    <w:name w:val="HTML Preformatted Char"/>
    <w:basedOn w:val="DefaultParagraphFont"/>
    <w:link w:val="HTMLPreformatted"/>
    <w:uiPriority w:val="99"/>
    <w:semiHidden/>
    <w:rsid w:val="000F0582"/>
    <w:rPr>
      <w:rFonts w:ascii="Consolas" w:hAnsi="Consolas"/>
    </w:rPr>
  </w:style>
  <w:style w:type="paragraph" w:styleId="Index1">
    <w:name w:val="index 1"/>
    <w:basedOn w:val="Normal"/>
    <w:next w:val="Normal"/>
    <w:autoRedefine/>
    <w:uiPriority w:val="99"/>
    <w:semiHidden/>
    <w:unhideWhenUsed/>
    <w:rsid w:val="000F0582"/>
    <w:pPr>
      <w:ind w:left="200" w:hanging="200"/>
    </w:pPr>
  </w:style>
  <w:style w:type="paragraph" w:styleId="Index2">
    <w:name w:val="index 2"/>
    <w:basedOn w:val="Normal"/>
    <w:next w:val="Normal"/>
    <w:autoRedefine/>
    <w:uiPriority w:val="99"/>
    <w:semiHidden/>
    <w:unhideWhenUsed/>
    <w:rsid w:val="000F0582"/>
    <w:pPr>
      <w:ind w:left="400" w:hanging="200"/>
    </w:pPr>
  </w:style>
  <w:style w:type="paragraph" w:styleId="Index3">
    <w:name w:val="index 3"/>
    <w:basedOn w:val="Normal"/>
    <w:next w:val="Normal"/>
    <w:autoRedefine/>
    <w:uiPriority w:val="99"/>
    <w:semiHidden/>
    <w:unhideWhenUsed/>
    <w:rsid w:val="000F0582"/>
    <w:pPr>
      <w:ind w:left="600" w:hanging="200"/>
    </w:pPr>
  </w:style>
  <w:style w:type="paragraph" w:styleId="Index4">
    <w:name w:val="index 4"/>
    <w:basedOn w:val="Normal"/>
    <w:next w:val="Normal"/>
    <w:autoRedefine/>
    <w:uiPriority w:val="99"/>
    <w:semiHidden/>
    <w:unhideWhenUsed/>
    <w:rsid w:val="000F0582"/>
    <w:pPr>
      <w:ind w:left="800" w:hanging="200"/>
    </w:pPr>
  </w:style>
  <w:style w:type="paragraph" w:styleId="Index5">
    <w:name w:val="index 5"/>
    <w:basedOn w:val="Normal"/>
    <w:next w:val="Normal"/>
    <w:autoRedefine/>
    <w:uiPriority w:val="99"/>
    <w:semiHidden/>
    <w:unhideWhenUsed/>
    <w:rsid w:val="000F0582"/>
    <w:pPr>
      <w:ind w:left="1000" w:hanging="200"/>
    </w:pPr>
  </w:style>
  <w:style w:type="paragraph" w:styleId="Index6">
    <w:name w:val="index 6"/>
    <w:basedOn w:val="Normal"/>
    <w:next w:val="Normal"/>
    <w:autoRedefine/>
    <w:uiPriority w:val="99"/>
    <w:semiHidden/>
    <w:unhideWhenUsed/>
    <w:rsid w:val="000F0582"/>
    <w:pPr>
      <w:ind w:left="1200" w:hanging="200"/>
    </w:pPr>
  </w:style>
  <w:style w:type="paragraph" w:styleId="Index7">
    <w:name w:val="index 7"/>
    <w:basedOn w:val="Normal"/>
    <w:next w:val="Normal"/>
    <w:autoRedefine/>
    <w:uiPriority w:val="99"/>
    <w:semiHidden/>
    <w:unhideWhenUsed/>
    <w:rsid w:val="000F0582"/>
    <w:pPr>
      <w:ind w:left="1400" w:hanging="200"/>
    </w:pPr>
  </w:style>
  <w:style w:type="paragraph" w:styleId="Index8">
    <w:name w:val="index 8"/>
    <w:basedOn w:val="Normal"/>
    <w:next w:val="Normal"/>
    <w:autoRedefine/>
    <w:uiPriority w:val="99"/>
    <w:semiHidden/>
    <w:unhideWhenUsed/>
    <w:rsid w:val="000F0582"/>
    <w:pPr>
      <w:ind w:left="1600" w:hanging="200"/>
    </w:pPr>
  </w:style>
  <w:style w:type="paragraph" w:styleId="Index9">
    <w:name w:val="index 9"/>
    <w:basedOn w:val="Normal"/>
    <w:next w:val="Normal"/>
    <w:autoRedefine/>
    <w:uiPriority w:val="99"/>
    <w:semiHidden/>
    <w:unhideWhenUsed/>
    <w:rsid w:val="000F0582"/>
    <w:pPr>
      <w:ind w:left="1800" w:hanging="200"/>
    </w:pPr>
  </w:style>
  <w:style w:type="paragraph" w:styleId="IndexHeading">
    <w:name w:val="index heading"/>
    <w:basedOn w:val="Normal"/>
    <w:next w:val="Index1"/>
    <w:uiPriority w:val="99"/>
    <w:semiHidden/>
    <w:unhideWhenUsed/>
    <w:rsid w:val="000F0582"/>
    <w:rPr>
      <w:rFonts w:asciiTheme="majorHAnsi" w:eastAsiaTheme="majorEastAsia" w:hAnsiTheme="majorHAnsi" w:cstheme="majorBidi"/>
      <w:b/>
      <w:bCs/>
    </w:rPr>
  </w:style>
  <w:style w:type="paragraph" w:styleId="List">
    <w:name w:val="List"/>
    <w:basedOn w:val="Normal"/>
    <w:uiPriority w:val="99"/>
    <w:semiHidden/>
    <w:unhideWhenUsed/>
    <w:rsid w:val="000F0582"/>
    <w:pPr>
      <w:ind w:left="360" w:hanging="360"/>
      <w:contextualSpacing/>
    </w:pPr>
  </w:style>
  <w:style w:type="paragraph" w:styleId="List2">
    <w:name w:val="List 2"/>
    <w:basedOn w:val="Normal"/>
    <w:uiPriority w:val="99"/>
    <w:semiHidden/>
    <w:unhideWhenUsed/>
    <w:rsid w:val="000F0582"/>
    <w:pPr>
      <w:ind w:left="720" w:hanging="360"/>
      <w:contextualSpacing/>
    </w:pPr>
  </w:style>
  <w:style w:type="paragraph" w:styleId="List3">
    <w:name w:val="List 3"/>
    <w:basedOn w:val="Normal"/>
    <w:uiPriority w:val="99"/>
    <w:semiHidden/>
    <w:unhideWhenUsed/>
    <w:rsid w:val="000F0582"/>
    <w:pPr>
      <w:ind w:left="1080" w:hanging="360"/>
      <w:contextualSpacing/>
    </w:pPr>
  </w:style>
  <w:style w:type="paragraph" w:styleId="List4">
    <w:name w:val="List 4"/>
    <w:basedOn w:val="Normal"/>
    <w:uiPriority w:val="99"/>
    <w:semiHidden/>
    <w:unhideWhenUsed/>
    <w:rsid w:val="000F0582"/>
    <w:pPr>
      <w:ind w:left="1440" w:hanging="360"/>
      <w:contextualSpacing/>
    </w:pPr>
  </w:style>
  <w:style w:type="paragraph" w:styleId="List5">
    <w:name w:val="List 5"/>
    <w:basedOn w:val="Normal"/>
    <w:uiPriority w:val="99"/>
    <w:semiHidden/>
    <w:unhideWhenUsed/>
    <w:rsid w:val="000F0582"/>
    <w:pPr>
      <w:ind w:left="1800" w:hanging="360"/>
      <w:contextualSpacing/>
    </w:pPr>
  </w:style>
  <w:style w:type="paragraph" w:styleId="ListBullet">
    <w:name w:val="List Bullet"/>
    <w:basedOn w:val="Normal"/>
    <w:uiPriority w:val="99"/>
    <w:semiHidden/>
    <w:unhideWhenUsed/>
    <w:rsid w:val="000F0582"/>
    <w:pPr>
      <w:numPr>
        <w:numId w:val="213"/>
      </w:numPr>
      <w:contextualSpacing/>
    </w:pPr>
  </w:style>
  <w:style w:type="paragraph" w:styleId="ListBullet2">
    <w:name w:val="List Bullet 2"/>
    <w:basedOn w:val="Normal"/>
    <w:uiPriority w:val="99"/>
    <w:semiHidden/>
    <w:unhideWhenUsed/>
    <w:rsid w:val="000F0582"/>
    <w:pPr>
      <w:numPr>
        <w:numId w:val="214"/>
      </w:numPr>
      <w:contextualSpacing/>
    </w:pPr>
  </w:style>
  <w:style w:type="paragraph" w:styleId="ListBullet3">
    <w:name w:val="List Bullet 3"/>
    <w:basedOn w:val="Normal"/>
    <w:uiPriority w:val="99"/>
    <w:semiHidden/>
    <w:unhideWhenUsed/>
    <w:rsid w:val="000F0582"/>
    <w:pPr>
      <w:numPr>
        <w:numId w:val="215"/>
      </w:numPr>
      <w:contextualSpacing/>
    </w:pPr>
  </w:style>
  <w:style w:type="paragraph" w:styleId="ListBullet4">
    <w:name w:val="List Bullet 4"/>
    <w:basedOn w:val="Normal"/>
    <w:uiPriority w:val="99"/>
    <w:semiHidden/>
    <w:unhideWhenUsed/>
    <w:rsid w:val="000F0582"/>
    <w:pPr>
      <w:numPr>
        <w:numId w:val="216"/>
      </w:numPr>
      <w:contextualSpacing/>
    </w:pPr>
  </w:style>
  <w:style w:type="paragraph" w:styleId="ListBullet5">
    <w:name w:val="List Bullet 5"/>
    <w:basedOn w:val="Normal"/>
    <w:uiPriority w:val="99"/>
    <w:semiHidden/>
    <w:unhideWhenUsed/>
    <w:rsid w:val="000F0582"/>
    <w:pPr>
      <w:numPr>
        <w:numId w:val="217"/>
      </w:numPr>
      <w:contextualSpacing/>
    </w:pPr>
  </w:style>
  <w:style w:type="paragraph" w:styleId="ListContinue">
    <w:name w:val="List Continue"/>
    <w:basedOn w:val="Normal"/>
    <w:uiPriority w:val="99"/>
    <w:semiHidden/>
    <w:unhideWhenUsed/>
    <w:rsid w:val="000F0582"/>
    <w:pPr>
      <w:spacing w:after="120"/>
      <w:ind w:left="360"/>
      <w:contextualSpacing/>
    </w:pPr>
  </w:style>
  <w:style w:type="paragraph" w:styleId="ListContinue2">
    <w:name w:val="List Continue 2"/>
    <w:basedOn w:val="Normal"/>
    <w:uiPriority w:val="99"/>
    <w:semiHidden/>
    <w:unhideWhenUsed/>
    <w:rsid w:val="000F0582"/>
    <w:pPr>
      <w:spacing w:after="120"/>
      <w:ind w:left="720"/>
      <w:contextualSpacing/>
    </w:pPr>
  </w:style>
  <w:style w:type="paragraph" w:styleId="ListContinue3">
    <w:name w:val="List Continue 3"/>
    <w:basedOn w:val="Normal"/>
    <w:uiPriority w:val="99"/>
    <w:semiHidden/>
    <w:unhideWhenUsed/>
    <w:rsid w:val="000F0582"/>
    <w:pPr>
      <w:spacing w:after="120"/>
      <w:ind w:left="1080"/>
      <w:contextualSpacing/>
    </w:pPr>
  </w:style>
  <w:style w:type="paragraph" w:styleId="ListContinue4">
    <w:name w:val="List Continue 4"/>
    <w:basedOn w:val="Normal"/>
    <w:uiPriority w:val="99"/>
    <w:semiHidden/>
    <w:unhideWhenUsed/>
    <w:rsid w:val="000F0582"/>
    <w:pPr>
      <w:spacing w:after="120"/>
      <w:ind w:left="1440"/>
      <w:contextualSpacing/>
    </w:pPr>
  </w:style>
  <w:style w:type="paragraph" w:styleId="ListContinue5">
    <w:name w:val="List Continue 5"/>
    <w:basedOn w:val="Normal"/>
    <w:uiPriority w:val="99"/>
    <w:semiHidden/>
    <w:unhideWhenUsed/>
    <w:rsid w:val="000F0582"/>
    <w:pPr>
      <w:spacing w:after="120"/>
      <w:ind w:left="1800"/>
      <w:contextualSpacing/>
    </w:pPr>
  </w:style>
  <w:style w:type="paragraph" w:styleId="ListNumber">
    <w:name w:val="List Number"/>
    <w:basedOn w:val="Normal"/>
    <w:uiPriority w:val="99"/>
    <w:semiHidden/>
    <w:unhideWhenUsed/>
    <w:rsid w:val="000F0582"/>
    <w:pPr>
      <w:numPr>
        <w:numId w:val="218"/>
      </w:numPr>
      <w:contextualSpacing/>
    </w:pPr>
  </w:style>
  <w:style w:type="paragraph" w:styleId="ListNumber2">
    <w:name w:val="List Number 2"/>
    <w:basedOn w:val="Normal"/>
    <w:uiPriority w:val="99"/>
    <w:semiHidden/>
    <w:unhideWhenUsed/>
    <w:rsid w:val="000F0582"/>
    <w:pPr>
      <w:numPr>
        <w:numId w:val="219"/>
      </w:numPr>
      <w:contextualSpacing/>
    </w:pPr>
  </w:style>
  <w:style w:type="paragraph" w:styleId="ListNumber3">
    <w:name w:val="List Number 3"/>
    <w:basedOn w:val="Normal"/>
    <w:uiPriority w:val="99"/>
    <w:semiHidden/>
    <w:unhideWhenUsed/>
    <w:rsid w:val="000F0582"/>
    <w:pPr>
      <w:numPr>
        <w:numId w:val="220"/>
      </w:numPr>
      <w:contextualSpacing/>
    </w:pPr>
  </w:style>
  <w:style w:type="paragraph" w:styleId="ListNumber4">
    <w:name w:val="List Number 4"/>
    <w:basedOn w:val="Normal"/>
    <w:uiPriority w:val="99"/>
    <w:semiHidden/>
    <w:unhideWhenUsed/>
    <w:rsid w:val="000F0582"/>
    <w:pPr>
      <w:numPr>
        <w:numId w:val="221"/>
      </w:numPr>
      <w:contextualSpacing/>
    </w:pPr>
  </w:style>
  <w:style w:type="paragraph" w:styleId="ListNumber5">
    <w:name w:val="List Number 5"/>
    <w:basedOn w:val="Normal"/>
    <w:uiPriority w:val="99"/>
    <w:semiHidden/>
    <w:unhideWhenUsed/>
    <w:rsid w:val="000F0582"/>
    <w:pPr>
      <w:numPr>
        <w:numId w:val="222"/>
      </w:numPr>
      <w:contextualSpacing/>
    </w:pPr>
  </w:style>
  <w:style w:type="paragraph" w:styleId="MacroText">
    <w:name w:val="macro"/>
    <w:link w:val="MacroTextChar"/>
    <w:uiPriority w:val="99"/>
    <w:semiHidden/>
    <w:unhideWhenUsed/>
    <w:rsid w:val="000F0582"/>
    <w:pPr>
      <w:tabs>
        <w:tab w:val="left" w:pos="480"/>
        <w:tab w:val="left" w:pos="960"/>
        <w:tab w:val="left" w:pos="1440"/>
        <w:tab w:val="left" w:pos="1920"/>
        <w:tab w:val="left" w:pos="2400"/>
        <w:tab w:val="left" w:pos="2880"/>
        <w:tab w:val="left" w:pos="3360"/>
        <w:tab w:val="left" w:pos="3840"/>
        <w:tab w:val="left" w:pos="4320"/>
      </w:tabs>
    </w:pPr>
    <w:rPr>
      <w:rFonts w:ascii="Consolas" w:hAnsi="Consolas"/>
    </w:rPr>
  </w:style>
  <w:style w:type="character" w:customStyle="1" w:styleId="MacroTextChar">
    <w:name w:val="Macro Text Char"/>
    <w:basedOn w:val="DefaultParagraphFont"/>
    <w:link w:val="MacroText"/>
    <w:uiPriority w:val="99"/>
    <w:semiHidden/>
    <w:rsid w:val="000F0582"/>
    <w:rPr>
      <w:rFonts w:ascii="Consolas" w:hAnsi="Consolas"/>
    </w:rPr>
  </w:style>
  <w:style w:type="paragraph" w:styleId="MessageHeader">
    <w:name w:val="Message Header"/>
    <w:basedOn w:val="Normal"/>
    <w:link w:val="MessageHeaderChar"/>
    <w:uiPriority w:val="99"/>
    <w:semiHidden/>
    <w:unhideWhenUsed/>
    <w:rsid w:val="000F0582"/>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0F0582"/>
    <w:rPr>
      <w:rFonts w:asciiTheme="majorHAnsi" w:eastAsiaTheme="majorEastAsia" w:hAnsiTheme="majorHAnsi" w:cstheme="majorBidi"/>
      <w:sz w:val="24"/>
      <w:szCs w:val="24"/>
      <w:shd w:val="pct20" w:color="auto" w:fill="auto"/>
    </w:rPr>
  </w:style>
  <w:style w:type="paragraph" w:styleId="NoteHeading">
    <w:name w:val="Note Heading"/>
    <w:basedOn w:val="Normal"/>
    <w:next w:val="Normal"/>
    <w:link w:val="NoteHeadingChar"/>
    <w:uiPriority w:val="99"/>
    <w:semiHidden/>
    <w:unhideWhenUsed/>
    <w:rsid w:val="000F0582"/>
  </w:style>
  <w:style w:type="character" w:customStyle="1" w:styleId="NoteHeadingChar">
    <w:name w:val="Note Heading Char"/>
    <w:basedOn w:val="DefaultParagraphFont"/>
    <w:link w:val="NoteHeading"/>
    <w:uiPriority w:val="99"/>
    <w:semiHidden/>
    <w:rsid w:val="000F0582"/>
    <w:rPr>
      <w:rFonts w:ascii="Arial" w:hAnsi="Arial"/>
    </w:rPr>
  </w:style>
  <w:style w:type="paragraph" w:styleId="Salutation">
    <w:name w:val="Salutation"/>
    <w:basedOn w:val="Normal"/>
    <w:next w:val="Normal"/>
    <w:link w:val="SalutationChar"/>
    <w:uiPriority w:val="99"/>
    <w:semiHidden/>
    <w:unhideWhenUsed/>
    <w:rsid w:val="000F0582"/>
  </w:style>
  <w:style w:type="character" w:customStyle="1" w:styleId="SalutationChar">
    <w:name w:val="Salutation Char"/>
    <w:basedOn w:val="DefaultParagraphFont"/>
    <w:link w:val="Salutation"/>
    <w:uiPriority w:val="99"/>
    <w:semiHidden/>
    <w:rsid w:val="000F0582"/>
    <w:rPr>
      <w:rFonts w:ascii="Arial" w:hAnsi="Arial"/>
    </w:rPr>
  </w:style>
  <w:style w:type="paragraph" w:styleId="Signature">
    <w:name w:val="Signature"/>
    <w:basedOn w:val="Normal"/>
    <w:link w:val="SignatureChar"/>
    <w:uiPriority w:val="99"/>
    <w:semiHidden/>
    <w:unhideWhenUsed/>
    <w:rsid w:val="000F0582"/>
    <w:pPr>
      <w:ind w:left="4320"/>
    </w:pPr>
  </w:style>
  <w:style w:type="character" w:customStyle="1" w:styleId="SignatureChar">
    <w:name w:val="Signature Char"/>
    <w:basedOn w:val="DefaultParagraphFont"/>
    <w:link w:val="Signature"/>
    <w:uiPriority w:val="99"/>
    <w:semiHidden/>
    <w:rsid w:val="000F0582"/>
    <w:rPr>
      <w:rFonts w:ascii="Arial" w:hAnsi="Arial"/>
    </w:rPr>
  </w:style>
  <w:style w:type="paragraph" w:styleId="TableofAuthorities">
    <w:name w:val="table of authorities"/>
    <w:basedOn w:val="Normal"/>
    <w:next w:val="Normal"/>
    <w:uiPriority w:val="99"/>
    <w:semiHidden/>
    <w:unhideWhenUsed/>
    <w:rsid w:val="000F0582"/>
    <w:pPr>
      <w:ind w:left="200" w:hanging="200"/>
    </w:pPr>
  </w:style>
  <w:style w:type="paragraph" w:styleId="TableofFigures">
    <w:name w:val="table of figures"/>
    <w:basedOn w:val="Normal"/>
    <w:next w:val="Normal"/>
    <w:uiPriority w:val="99"/>
    <w:semiHidden/>
    <w:unhideWhenUsed/>
    <w:rsid w:val="000F0582"/>
  </w:style>
  <w:style w:type="paragraph" w:styleId="TOAHeading">
    <w:name w:val="toa heading"/>
    <w:basedOn w:val="Normal"/>
    <w:next w:val="Normal"/>
    <w:uiPriority w:val="99"/>
    <w:semiHidden/>
    <w:unhideWhenUsed/>
    <w:rsid w:val="000F0582"/>
    <w:pPr>
      <w:spacing w:before="120"/>
    </w:pPr>
    <w:rPr>
      <w:rFonts w:asciiTheme="majorHAnsi" w:eastAsiaTheme="majorEastAsia" w:hAnsiTheme="majorHAnsi" w:cstheme="majorBidi"/>
      <w:b/>
      <w:bCs/>
      <w:sz w:val="24"/>
      <w:szCs w:val="24"/>
    </w:rPr>
  </w:style>
  <w:style w:type="numbering" w:customStyle="1" w:styleId="CurrentList1">
    <w:name w:val="Current List1"/>
    <w:uiPriority w:val="99"/>
    <w:rsid w:val="000B7447"/>
    <w:pPr>
      <w:numPr>
        <w:numId w:val="250"/>
      </w:numPr>
    </w:pPr>
  </w:style>
  <w:style w:type="character" w:styleId="Mention">
    <w:name w:val="Mention"/>
    <w:basedOn w:val="DefaultParagraphFont"/>
    <w:uiPriority w:val="99"/>
    <w:unhideWhenUsed/>
    <w:rsid w:val="003E46BB"/>
    <w:rPr>
      <w:color w:val="2B579A"/>
      <w:shd w:val="clear" w:color="auto" w:fill="E1DFDD"/>
    </w:rPr>
  </w:style>
  <w:style w:type="paragraph" w:customStyle="1" w:styleId="TableParagraph">
    <w:name w:val="Table Paragraph"/>
    <w:basedOn w:val="Normal"/>
    <w:uiPriority w:val="1"/>
    <w:qFormat/>
    <w:rsid w:val="000A6D68"/>
    <w:pPr>
      <w:widowControl w:val="0"/>
      <w:autoSpaceDE w:val="0"/>
      <w:autoSpaceDN w:val="0"/>
      <w:spacing w:line="219" w:lineRule="exact"/>
      <w:ind w:left="116"/>
    </w:pPr>
    <w:rPr>
      <w:rFonts w:ascii="Calibri" w:eastAsia="Calibri" w:hAnsi="Calibri" w:cs="Calibri"/>
      <w:sz w:val="22"/>
      <w:szCs w:val="22"/>
      <w:lang w:bidi="en-US"/>
    </w:rPr>
  </w:style>
  <w:style w:type="character" w:customStyle="1" w:styleId="normaltextrun">
    <w:name w:val="normaltextrun"/>
    <w:basedOn w:val="DefaultParagraphFont"/>
    <w:rsid w:val="007F2F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58815">
      <w:bodyDiv w:val="1"/>
      <w:marLeft w:val="0"/>
      <w:marRight w:val="0"/>
      <w:marTop w:val="0"/>
      <w:marBottom w:val="0"/>
      <w:divBdr>
        <w:top w:val="none" w:sz="0" w:space="0" w:color="auto"/>
        <w:left w:val="none" w:sz="0" w:space="0" w:color="auto"/>
        <w:bottom w:val="none" w:sz="0" w:space="0" w:color="auto"/>
        <w:right w:val="none" w:sz="0" w:space="0" w:color="auto"/>
      </w:divBdr>
    </w:div>
    <w:div w:id="13120495">
      <w:bodyDiv w:val="1"/>
      <w:marLeft w:val="0"/>
      <w:marRight w:val="0"/>
      <w:marTop w:val="0"/>
      <w:marBottom w:val="0"/>
      <w:divBdr>
        <w:top w:val="none" w:sz="0" w:space="0" w:color="auto"/>
        <w:left w:val="none" w:sz="0" w:space="0" w:color="auto"/>
        <w:bottom w:val="none" w:sz="0" w:space="0" w:color="auto"/>
        <w:right w:val="none" w:sz="0" w:space="0" w:color="auto"/>
      </w:divBdr>
    </w:div>
    <w:div w:id="19746298">
      <w:bodyDiv w:val="1"/>
      <w:marLeft w:val="0"/>
      <w:marRight w:val="0"/>
      <w:marTop w:val="0"/>
      <w:marBottom w:val="0"/>
      <w:divBdr>
        <w:top w:val="none" w:sz="0" w:space="0" w:color="auto"/>
        <w:left w:val="none" w:sz="0" w:space="0" w:color="auto"/>
        <w:bottom w:val="none" w:sz="0" w:space="0" w:color="auto"/>
        <w:right w:val="none" w:sz="0" w:space="0" w:color="auto"/>
      </w:divBdr>
    </w:div>
    <w:div w:id="20984469">
      <w:bodyDiv w:val="1"/>
      <w:marLeft w:val="0"/>
      <w:marRight w:val="0"/>
      <w:marTop w:val="0"/>
      <w:marBottom w:val="0"/>
      <w:divBdr>
        <w:top w:val="none" w:sz="0" w:space="0" w:color="auto"/>
        <w:left w:val="none" w:sz="0" w:space="0" w:color="auto"/>
        <w:bottom w:val="none" w:sz="0" w:space="0" w:color="auto"/>
        <w:right w:val="none" w:sz="0" w:space="0" w:color="auto"/>
      </w:divBdr>
    </w:div>
    <w:div w:id="38482321">
      <w:bodyDiv w:val="1"/>
      <w:marLeft w:val="0"/>
      <w:marRight w:val="0"/>
      <w:marTop w:val="0"/>
      <w:marBottom w:val="0"/>
      <w:divBdr>
        <w:top w:val="none" w:sz="0" w:space="0" w:color="auto"/>
        <w:left w:val="none" w:sz="0" w:space="0" w:color="auto"/>
        <w:bottom w:val="none" w:sz="0" w:space="0" w:color="auto"/>
        <w:right w:val="none" w:sz="0" w:space="0" w:color="auto"/>
      </w:divBdr>
    </w:div>
    <w:div w:id="55400366">
      <w:bodyDiv w:val="1"/>
      <w:marLeft w:val="0"/>
      <w:marRight w:val="0"/>
      <w:marTop w:val="0"/>
      <w:marBottom w:val="0"/>
      <w:divBdr>
        <w:top w:val="none" w:sz="0" w:space="0" w:color="auto"/>
        <w:left w:val="none" w:sz="0" w:space="0" w:color="auto"/>
        <w:bottom w:val="none" w:sz="0" w:space="0" w:color="auto"/>
        <w:right w:val="none" w:sz="0" w:space="0" w:color="auto"/>
      </w:divBdr>
    </w:div>
    <w:div w:id="66194344">
      <w:bodyDiv w:val="1"/>
      <w:marLeft w:val="0"/>
      <w:marRight w:val="0"/>
      <w:marTop w:val="0"/>
      <w:marBottom w:val="0"/>
      <w:divBdr>
        <w:top w:val="none" w:sz="0" w:space="0" w:color="auto"/>
        <w:left w:val="none" w:sz="0" w:space="0" w:color="auto"/>
        <w:bottom w:val="none" w:sz="0" w:space="0" w:color="auto"/>
        <w:right w:val="none" w:sz="0" w:space="0" w:color="auto"/>
      </w:divBdr>
    </w:div>
    <w:div w:id="68886610">
      <w:bodyDiv w:val="1"/>
      <w:marLeft w:val="0"/>
      <w:marRight w:val="0"/>
      <w:marTop w:val="0"/>
      <w:marBottom w:val="0"/>
      <w:divBdr>
        <w:top w:val="none" w:sz="0" w:space="0" w:color="auto"/>
        <w:left w:val="none" w:sz="0" w:space="0" w:color="auto"/>
        <w:bottom w:val="none" w:sz="0" w:space="0" w:color="auto"/>
        <w:right w:val="none" w:sz="0" w:space="0" w:color="auto"/>
      </w:divBdr>
    </w:div>
    <w:div w:id="70549129">
      <w:bodyDiv w:val="1"/>
      <w:marLeft w:val="0"/>
      <w:marRight w:val="0"/>
      <w:marTop w:val="0"/>
      <w:marBottom w:val="0"/>
      <w:divBdr>
        <w:top w:val="none" w:sz="0" w:space="0" w:color="auto"/>
        <w:left w:val="none" w:sz="0" w:space="0" w:color="auto"/>
        <w:bottom w:val="none" w:sz="0" w:space="0" w:color="auto"/>
        <w:right w:val="none" w:sz="0" w:space="0" w:color="auto"/>
      </w:divBdr>
      <w:divsChild>
        <w:div w:id="74981741">
          <w:marLeft w:val="0"/>
          <w:marRight w:val="0"/>
          <w:marTop w:val="0"/>
          <w:marBottom w:val="0"/>
          <w:divBdr>
            <w:top w:val="none" w:sz="0" w:space="0" w:color="auto"/>
            <w:left w:val="none" w:sz="0" w:space="0" w:color="auto"/>
            <w:bottom w:val="none" w:sz="0" w:space="0" w:color="auto"/>
            <w:right w:val="none" w:sz="0" w:space="0" w:color="auto"/>
          </w:divBdr>
        </w:div>
        <w:div w:id="146286726">
          <w:marLeft w:val="0"/>
          <w:marRight w:val="0"/>
          <w:marTop w:val="0"/>
          <w:marBottom w:val="0"/>
          <w:divBdr>
            <w:top w:val="none" w:sz="0" w:space="0" w:color="auto"/>
            <w:left w:val="none" w:sz="0" w:space="0" w:color="auto"/>
            <w:bottom w:val="none" w:sz="0" w:space="0" w:color="auto"/>
            <w:right w:val="none" w:sz="0" w:space="0" w:color="auto"/>
          </w:divBdr>
        </w:div>
        <w:div w:id="331446081">
          <w:marLeft w:val="0"/>
          <w:marRight w:val="0"/>
          <w:marTop w:val="0"/>
          <w:marBottom w:val="0"/>
          <w:divBdr>
            <w:top w:val="none" w:sz="0" w:space="0" w:color="auto"/>
            <w:left w:val="none" w:sz="0" w:space="0" w:color="auto"/>
            <w:bottom w:val="none" w:sz="0" w:space="0" w:color="auto"/>
            <w:right w:val="none" w:sz="0" w:space="0" w:color="auto"/>
          </w:divBdr>
        </w:div>
        <w:div w:id="698437598">
          <w:marLeft w:val="0"/>
          <w:marRight w:val="0"/>
          <w:marTop w:val="0"/>
          <w:marBottom w:val="0"/>
          <w:divBdr>
            <w:top w:val="none" w:sz="0" w:space="0" w:color="auto"/>
            <w:left w:val="none" w:sz="0" w:space="0" w:color="auto"/>
            <w:bottom w:val="none" w:sz="0" w:space="0" w:color="auto"/>
            <w:right w:val="none" w:sz="0" w:space="0" w:color="auto"/>
          </w:divBdr>
        </w:div>
        <w:div w:id="722949146">
          <w:marLeft w:val="0"/>
          <w:marRight w:val="0"/>
          <w:marTop w:val="0"/>
          <w:marBottom w:val="0"/>
          <w:divBdr>
            <w:top w:val="none" w:sz="0" w:space="0" w:color="auto"/>
            <w:left w:val="none" w:sz="0" w:space="0" w:color="auto"/>
            <w:bottom w:val="none" w:sz="0" w:space="0" w:color="auto"/>
            <w:right w:val="none" w:sz="0" w:space="0" w:color="auto"/>
          </w:divBdr>
        </w:div>
        <w:div w:id="1526678731">
          <w:marLeft w:val="0"/>
          <w:marRight w:val="0"/>
          <w:marTop w:val="0"/>
          <w:marBottom w:val="0"/>
          <w:divBdr>
            <w:top w:val="none" w:sz="0" w:space="0" w:color="auto"/>
            <w:left w:val="none" w:sz="0" w:space="0" w:color="auto"/>
            <w:bottom w:val="none" w:sz="0" w:space="0" w:color="auto"/>
            <w:right w:val="none" w:sz="0" w:space="0" w:color="auto"/>
          </w:divBdr>
        </w:div>
        <w:div w:id="1870994507">
          <w:marLeft w:val="0"/>
          <w:marRight w:val="0"/>
          <w:marTop w:val="0"/>
          <w:marBottom w:val="0"/>
          <w:divBdr>
            <w:top w:val="none" w:sz="0" w:space="0" w:color="auto"/>
            <w:left w:val="none" w:sz="0" w:space="0" w:color="auto"/>
            <w:bottom w:val="none" w:sz="0" w:space="0" w:color="auto"/>
            <w:right w:val="none" w:sz="0" w:space="0" w:color="auto"/>
          </w:divBdr>
        </w:div>
      </w:divsChild>
    </w:div>
    <w:div w:id="76294254">
      <w:bodyDiv w:val="1"/>
      <w:marLeft w:val="0"/>
      <w:marRight w:val="0"/>
      <w:marTop w:val="0"/>
      <w:marBottom w:val="0"/>
      <w:divBdr>
        <w:top w:val="none" w:sz="0" w:space="0" w:color="auto"/>
        <w:left w:val="none" w:sz="0" w:space="0" w:color="auto"/>
        <w:bottom w:val="none" w:sz="0" w:space="0" w:color="auto"/>
        <w:right w:val="none" w:sz="0" w:space="0" w:color="auto"/>
      </w:divBdr>
    </w:div>
    <w:div w:id="77797517">
      <w:bodyDiv w:val="1"/>
      <w:marLeft w:val="0"/>
      <w:marRight w:val="0"/>
      <w:marTop w:val="0"/>
      <w:marBottom w:val="0"/>
      <w:divBdr>
        <w:top w:val="none" w:sz="0" w:space="0" w:color="auto"/>
        <w:left w:val="none" w:sz="0" w:space="0" w:color="auto"/>
        <w:bottom w:val="none" w:sz="0" w:space="0" w:color="auto"/>
        <w:right w:val="none" w:sz="0" w:space="0" w:color="auto"/>
      </w:divBdr>
    </w:div>
    <w:div w:id="80228173">
      <w:bodyDiv w:val="1"/>
      <w:marLeft w:val="0"/>
      <w:marRight w:val="0"/>
      <w:marTop w:val="0"/>
      <w:marBottom w:val="0"/>
      <w:divBdr>
        <w:top w:val="none" w:sz="0" w:space="0" w:color="auto"/>
        <w:left w:val="none" w:sz="0" w:space="0" w:color="auto"/>
        <w:bottom w:val="none" w:sz="0" w:space="0" w:color="auto"/>
        <w:right w:val="none" w:sz="0" w:space="0" w:color="auto"/>
      </w:divBdr>
    </w:div>
    <w:div w:id="96874145">
      <w:bodyDiv w:val="1"/>
      <w:marLeft w:val="0"/>
      <w:marRight w:val="0"/>
      <w:marTop w:val="0"/>
      <w:marBottom w:val="0"/>
      <w:divBdr>
        <w:top w:val="none" w:sz="0" w:space="0" w:color="auto"/>
        <w:left w:val="none" w:sz="0" w:space="0" w:color="auto"/>
        <w:bottom w:val="none" w:sz="0" w:space="0" w:color="auto"/>
        <w:right w:val="none" w:sz="0" w:space="0" w:color="auto"/>
      </w:divBdr>
    </w:div>
    <w:div w:id="100926251">
      <w:bodyDiv w:val="1"/>
      <w:marLeft w:val="0"/>
      <w:marRight w:val="0"/>
      <w:marTop w:val="0"/>
      <w:marBottom w:val="0"/>
      <w:divBdr>
        <w:top w:val="none" w:sz="0" w:space="0" w:color="auto"/>
        <w:left w:val="none" w:sz="0" w:space="0" w:color="auto"/>
        <w:bottom w:val="none" w:sz="0" w:space="0" w:color="auto"/>
        <w:right w:val="none" w:sz="0" w:space="0" w:color="auto"/>
      </w:divBdr>
    </w:div>
    <w:div w:id="114368349">
      <w:bodyDiv w:val="1"/>
      <w:marLeft w:val="0"/>
      <w:marRight w:val="0"/>
      <w:marTop w:val="0"/>
      <w:marBottom w:val="0"/>
      <w:divBdr>
        <w:top w:val="none" w:sz="0" w:space="0" w:color="auto"/>
        <w:left w:val="none" w:sz="0" w:space="0" w:color="auto"/>
        <w:bottom w:val="none" w:sz="0" w:space="0" w:color="auto"/>
        <w:right w:val="none" w:sz="0" w:space="0" w:color="auto"/>
      </w:divBdr>
    </w:div>
    <w:div w:id="114642127">
      <w:bodyDiv w:val="1"/>
      <w:marLeft w:val="0"/>
      <w:marRight w:val="0"/>
      <w:marTop w:val="0"/>
      <w:marBottom w:val="0"/>
      <w:divBdr>
        <w:top w:val="none" w:sz="0" w:space="0" w:color="auto"/>
        <w:left w:val="none" w:sz="0" w:space="0" w:color="auto"/>
        <w:bottom w:val="none" w:sz="0" w:space="0" w:color="auto"/>
        <w:right w:val="none" w:sz="0" w:space="0" w:color="auto"/>
      </w:divBdr>
    </w:div>
    <w:div w:id="122382504">
      <w:bodyDiv w:val="1"/>
      <w:marLeft w:val="0"/>
      <w:marRight w:val="0"/>
      <w:marTop w:val="0"/>
      <w:marBottom w:val="0"/>
      <w:divBdr>
        <w:top w:val="none" w:sz="0" w:space="0" w:color="auto"/>
        <w:left w:val="none" w:sz="0" w:space="0" w:color="auto"/>
        <w:bottom w:val="none" w:sz="0" w:space="0" w:color="auto"/>
        <w:right w:val="none" w:sz="0" w:space="0" w:color="auto"/>
      </w:divBdr>
    </w:div>
    <w:div w:id="122820256">
      <w:bodyDiv w:val="1"/>
      <w:marLeft w:val="0"/>
      <w:marRight w:val="0"/>
      <w:marTop w:val="0"/>
      <w:marBottom w:val="0"/>
      <w:divBdr>
        <w:top w:val="none" w:sz="0" w:space="0" w:color="auto"/>
        <w:left w:val="none" w:sz="0" w:space="0" w:color="auto"/>
        <w:bottom w:val="none" w:sz="0" w:space="0" w:color="auto"/>
        <w:right w:val="none" w:sz="0" w:space="0" w:color="auto"/>
      </w:divBdr>
    </w:div>
    <w:div w:id="134103796">
      <w:bodyDiv w:val="1"/>
      <w:marLeft w:val="0"/>
      <w:marRight w:val="0"/>
      <w:marTop w:val="0"/>
      <w:marBottom w:val="0"/>
      <w:divBdr>
        <w:top w:val="none" w:sz="0" w:space="0" w:color="auto"/>
        <w:left w:val="none" w:sz="0" w:space="0" w:color="auto"/>
        <w:bottom w:val="none" w:sz="0" w:space="0" w:color="auto"/>
        <w:right w:val="none" w:sz="0" w:space="0" w:color="auto"/>
      </w:divBdr>
    </w:div>
    <w:div w:id="134564664">
      <w:bodyDiv w:val="1"/>
      <w:marLeft w:val="0"/>
      <w:marRight w:val="0"/>
      <w:marTop w:val="0"/>
      <w:marBottom w:val="0"/>
      <w:divBdr>
        <w:top w:val="none" w:sz="0" w:space="0" w:color="auto"/>
        <w:left w:val="none" w:sz="0" w:space="0" w:color="auto"/>
        <w:bottom w:val="none" w:sz="0" w:space="0" w:color="auto"/>
        <w:right w:val="none" w:sz="0" w:space="0" w:color="auto"/>
      </w:divBdr>
    </w:div>
    <w:div w:id="136460778">
      <w:bodyDiv w:val="1"/>
      <w:marLeft w:val="0"/>
      <w:marRight w:val="0"/>
      <w:marTop w:val="0"/>
      <w:marBottom w:val="0"/>
      <w:divBdr>
        <w:top w:val="none" w:sz="0" w:space="0" w:color="auto"/>
        <w:left w:val="none" w:sz="0" w:space="0" w:color="auto"/>
        <w:bottom w:val="none" w:sz="0" w:space="0" w:color="auto"/>
        <w:right w:val="none" w:sz="0" w:space="0" w:color="auto"/>
      </w:divBdr>
    </w:div>
    <w:div w:id="140192334">
      <w:bodyDiv w:val="1"/>
      <w:marLeft w:val="0"/>
      <w:marRight w:val="0"/>
      <w:marTop w:val="0"/>
      <w:marBottom w:val="0"/>
      <w:divBdr>
        <w:top w:val="none" w:sz="0" w:space="0" w:color="auto"/>
        <w:left w:val="none" w:sz="0" w:space="0" w:color="auto"/>
        <w:bottom w:val="none" w:sz="0" w:space="0" w:color="auto"/>
        <w:right w:val="none" w:sz="0" w:space="0" w:color="auto"/>
      </w:divBdr>
    </w:div>
    <w:div w:id="156842289">
      <w:bodyDiv w:val="1"/>
      <w:marLeft w:val="0"/>
      <w:marRight w:val="0"/>
      <w:marTop w:val="0"/>
      <w:marBottom w:val="0"/>
      <w:divBdr>
        <w:top w:val="none" w:sz="0" w:space="0" w:color="auto"/>
        <w:left w:val="none" w:sz="0" w:space="0" w:color="auto"/>
        <w:bottom w:val="none" w:sz="0" w:space="0" w:color="auto"/>
        <w:right w:val="none" w:sz="0" w:space="0" w:color="auto"/>
      </w:divBdr>
    </w:div>
    <w:div w:id="177936295">
      <w:bodyDiv w:val="1"/>
      <w:marLeft w:val="0"/>
      <w:marRight w:val="0"/>
      <w:marTop w:val="0"/>
      <w:marBottom w:val="0"/>
      <w:divBdr>
        <w:top w:val="none" w:sz="0" w:space="0" w:color="auto"/>
        <w:left w:val="none" w:sz="0" w:space="0" w:color="auto"/>
        <w:bottom w:val="none" w:sz="0" w:space="0" w:color="auto"/>
        <w:right w:val="none" w:sz="0" w:space="0" w:color="auto"/>
      </w:divBdr>
    </w:div>
    <w:div w:id="193932137">
      <w:bodyDiv w:val="1"/>
      <w:marLeft w:val="0"/>
      <w:marRight w:val="0"/>
      <w:marTop w:val="0"/>
      <w:marBottom w:val="0"/>
      <w:divBdr>
        <w:top w:val="none" w:sz="0" w:space="0" w:color="auto"/>
        <w:left w:val="none" w:sz="0" w:space="0" w:color="auto"/>
        <w:bottom w:val="none" w:sz="0" w:space="0" w:color="auto"/>
        <w:right w:val="none" w:sz="0" w:space="0" w:color="auto"/>
      </w:divBdr>
    </w:div>
    <w:div w:id="202987284">
      <w:bodyDiv w:val="1"/>
      <w:marLeft w:val="0"/>
      <w:marRight w:val="0"/>
      <w:marTop w:val="0"/>
      <w:marBottom w:val="0"/>
      <w:divBdr>
        <w:top w:val="none" w:sz="0" w:space="0" w:color="auto"/>
        <w:left w:val="none" w:sz="0" w:space="0" w:color="auto"/>
        <w:bottom w:val="none" w:sz="0" w:space="0" w:color="auto"/>
        <w:right w:val="none" w:sz="0" w:space="0" w:color="auto"/>
      </w:divBdr>
    </w:div>
    <w:div w:id="206067352">
      <w:bodyDiv w:val="1"/>
      <w:marLeft w:val="0"/>
      <w:marRight w:val="0"/>
      <w:marTop w:val="0"/>
      <w:marBottom w:val="0"/>
      <w:divBdr>
        <w:top w:val="none" w:sz="0" w:space="0" w:color="auto"/>
        <w:left w:val="none" w:sz="0" w:space="0" w:color="auto"/>
        <w:bottom w:val="none" w:sz="0" w:space="0" w:color="auto"/>
        <w:right w:val="none" w:sz="0" w:space="0" w:color="auto"/>
      </w:divBdr>
    </w:div>
    <w:div w:id="208764183">
      <w:bodyDiv w:val="1"/>
      <w:marLeft w:val="0"/>
      <w:marRight w:val="0"/>
      <w:marTop w:val="0"/>
      <w:marBottom w:val="0"/>
      <w:divBdr>
        <w:top w:val="none" w:sz="0" w:space="0" w:color="auto"/>
        <w:left w:val="none" w:sz="0" w:space="0" w:color="auto"/>
        <w:bottom w:val="none" w:sz="0" w:space="0" w:color="auto"/>
        <w:right w:val="none" w:sz="0" w:space="0" w:color="auto"/>
      </w:divBdr>
    </w:div>
    <w:div w:id="209851659">
      <w:bodyDiv w:val="1"/>
      <w:marLeft w:val="0"/>
      <w:marRight w:val="0"/>
      <w:marTop w:val="0"/>
      <w:marBottom w:val="0"/>
      <w:divBdr>
        <w:top w:val="none" w:sz="0" w:space="0" w:color="auto"/>
        <w:left w:val="none" w:sz="0" w:space="0" w:color="auto"/>
        <w:bottom w:val="none" w:sz="0" w:space="0" w:color="auto"/>
        <w:right w:val="none" w:sz="0" w:space="0" w:color="auto"/>
      </w:divBdr>
    </w:div>
    <w:div w:id="211894374">
      <w:bodyDiv w:val="1"/>
      <w:marLeft w:val="0"/>
      <w:marRight w:val="0"/>
      <w:marTop w:val="0"/>
      <w:marBottom w:val="0"/>
      <w:divBdr>
        <w:top w:val="none" w:sz="0" w:space="0" w:color="auto"/>
        <w:left w:val="none" w:sz="0" w:space="0" w:color="auto"/>
        <w:bottom w:val="none" w:sz="0" w:space="0" w:color="auto"/>
        <w:right w:val="none" w:sz="0" w:space="0" w:color="auto"/>
      </w:divBdr>
    </w:div>
    <w:div w:id="214506224">
      <w:bodyDiv w:val="1"/>
      <w:marLeft w:val="0"/>
      <w:marRight w:val="0"/>
      <w:marTop w:val="0"/>
      <w:marBottom w:val="0"/>
      <w:divBdr>
        <w:top w:val="none" w:sz="0" w:space="0" w:color="auto"/>
        <w:left w:val="none" w:sz="0" w:space="0" w:color="auto"/>
        <w:bottom w:val="none" w:sz="0" w:space="0" w:color="auto"/>
        <w:right w:val="none" w:sz="0" w:space="0" w:color="auto"/>
      </w:divBdr>
    </w:div>
    <w:div w:id="230429684">
      <w:bodyDiv w:val="1"/>
      <w:marLeft w:val="0"/>
      <w:marRight w:val="0"/>
      <w:marTop w:val="0"/>
      <w:marBottom w:val="0"/>
      <w:divBdr>
        <w:top w:val="none" w:sz="0" w:space="0" w:color="auto"/>
        <w:left w:val="none" w:sz="0" w:space="0" w:color="auto"/>
        <w:bottom w:val="none" w:sz="0" w:space="0" w:color="auto"/>
        <w:right w:val="none" w:sz="0" w:space="0" w:color="auto"/>
      </w:divBdr>
    </w:div>
    <w:div w:id="233274703">
      <w:bodyDiv w:val="1"/>
      <w:marLeft w:val="0"/>
      <w:marRight w:val="0"/>
      <w:marTop w:val="0"/>
      <w:marBottom w:val="0"/>
      <w:divBdr>
        <w:top w:val="none" w:sz="0" w:space="0" w:color="auto"/>
        <w:left w:val="none" w:sz="0" w:space="0" w:color="auto"/>
        <w:bottom w:val="none" w:sz="0" w:space="0" w:color="auto"/>
        <w:right w:val="none" w:sz="0" w:space="0" w:color="auto"/>
      </w:divBdr>
    </w:div>
    <w:div w:id="240792866">
      <w:bodyDiv w:val="1"/>
      <w:marLeft w:val="0"/>
      <w:marRight w:val="0"/>
      <w:marTop w:val="0"/>
      <w:marBottom w:val="0"/>
      <w:divBdr>
        <w:top w:val="none" w:sz="0" w:space="0" w:color="auto"/>
        <w:left w:val="none" w:sz="0" w:space="0" w:color="auto"/>
        <w:bottom w:val="none" w:sz="0" w:space="0" w:color="auto"/>
        <w:right w:val="none" w:sz="0" w:space="0" w:color="auto"/>
      </w:divBdr>
    </w:div>
    <w:div w:id="263660436">
      <w:bodyDiv w:val="1"/>
      <w:marLeft w:val="0"/>
      <w:marRight w:val="0"/>
      <w:marTop w:val="0"/>
      <w:marBottom w:val="0"/>
      <w:divBdr>
        <w:top w:val="none" w:sz="0" w:space="0" w:color="auto"/>
        <w:left w:val="none" w:sz="0" w:space="0" w:color="auto"/>
        <w:bottom w:val="none" w:sz="0" w:space="0" w:color="auto"/>
        <w:right w:val="none" w:sz="0" w:space="0" w:color="auto"/>
      </w:divBdr>
    </w:div>
    <w:div w:id="269506764">
      <w:bodyDiv w:val="1"/>
      <w:marLeft w:val="0"/>
      <w:marRight w:val="0"/>
      <w:marTop w:val="0"/>
      <w:marBottom w:val="0"/>
      <w:divBdr>
        <w:top w:val="none" w:sz="0" w:space="0" w:color="auto"/>
        <w:left w:val="none" w:sz="0" w:space="0" w:color="auto"/>
        <w:bottom w:val="none" w:sz="0" w:space="0" w:color="auto"/>
        <w:right w:val="none" w:sz="0" w:space="0" w:color="auto"/>
      </w:divBdr>
    </w:div>
    <w:div w:id="306128951">
      <w:bodyDiv w:val="1"/>
      <w:marLeft w:val="0"/>
      <w:marRight w:val="0"/>
      <w:marTop w:val="0"/>
      <w:marBottom w:val="0"/>
      <w:divBdr>
        <w:top w:val="none" w:sz="0" w:space="0" w:color="auto"/>
        <w:left w:val="none" w:sz="0" w:space="0" w:color="auto"/>
        <w:bottom w:val="none" w:sz="0" w:space="0" w:color="auto"/>
        <w:right w:val="none" w:sz="0" w:space="0" w:color="auto"/>
      </w:divBdr>
    </w:div>
    <w:div w:id="312221869">
      <w:bodyDiv w:val="1"/>
      <w:marLeft w:val="0"/>
      <w:marRight w:val="0"/>
      <w:marTop w:val="0"/>
      <w:marBottom w:val="0"/>
      <w:divBdr>
        <w:top w:val="none" w:sz="0" w:space="0" w:color="auto"/>
        <w:left w:val="none" w:sz="0" w:space="0" w:color="auto"/>
        <w:bottom w:val="none" w:sz="0" w:space="0" w:color="auto"/>
        <w:right w:val="none" w:sz="0" w:space="0" w:color="auto"/>
      </w:divBdr>
    </w:div>
    <w:div w:id="319699999">
      <w:bodyDiv w:val="1"/>
      <w:marLeft w:val="0"/>
      <w:marRight w:val="0"/>
      <w:marTop w:val="0"/>
      <w:marBottom w:val="0"/>
      <w:divBdr>
        <w:top w:val="none" w:sz="0" w:space="0" w:color="auto"/>
        <w:left w:val="none" w:sz="0" w:space="0" w:color="auto"/>
        <w:bottom w:val="none" w:sz="0" w:space="0" w:color="auto"/>
        <w:right w:val="none" w:sz="0" w:space="0" w:color="auto"/>
      </w:divBdr>
    </w:div>
    <w:div w:id="332026368">
      <w:bodyDiv w:val="1"/>
      <w:marLeft w:val="0"/>
      <w:marRight w:val="0"/>
      <w:marTop w:val="0"/>
      <w:marBottom w:val="0"/>
      <w:divBdr>
        <w:top w:val="none" w:sz="0" w:space="0" w:color="auto"/>
        <w:left w:val="none" w:sz="0" w:space="0" w:color="auto"/>
        <w:bottom w:val="none" w:sz="0" w:space="0" w:color="auto"/>
        <w:right w:val="none" w:sz="0" w:space="0" w:color="auto"/>
      </w:divBdr>
    </w:div>
    <w:div w:id="335765683">
      <w:bodyDiv w:val="1"/>
      <w:marLeft w:val="0"/>
      <w:marRight w:val="0"/>
      <w:marTop w:val="0"/>
      <w:marBottom w:val="0"/>
      <w:divBdr>
        <w:top w:val="none" w:sz="0" w:space="0" w:color="auto"/>
        <w:left w:val="none" w:sz="0" w:space="0" w:color="auto"/>
        <w:bottom w:val="none" w:sz="0" w:space="0" w:color="auto"/>
        <w:right w:val="none" w:sz="0" w:space="0" w:color="auto"/>
      </w:divBdr>
    </w:div>
    <w:div w:id="335807067">
      <w:bodyDiv w:val="1"/>
      <w:marLeft w:val="0"/>
      <w:marRight w:val="0"/>
      <w:marTop w:val="0"/>
      <w:marBottom w:val="0"/>
      <w:divBdr>
        <w:top w:val="none" w:sz="0" w:space="0" w:color="auto"/>
        <w:left w:val="none" w:sz="0" w:space="0" w:color="auto"/>
        <w:bottom w:val="none" w:sz="0" w:space="0" w:color="auto"/>
        <w:right w:val="none" w:sz="0" w:space="0" w:color="auto"/>
      </w:divBdr>
    </w:div>
    <w:div w:id="339434193">
      <w:bodyDiv w:val="1"/>
      <w:marLeft w:val="0"/>
      <w:marRight w:val="0"/>
      <w:marTop w:val="0"/>
      <w:marBottom w:val="0"/>
      <w:divBdr>
        <w:top w:val="none" w:sz="0" w:space="0" w:color="auto"/>
        <w:left w:val="none" w:sz="0" w:space="0" w:color="auto"/>
        <w:bottom w:val="none" w:sz="0" w:space="0" w:color="auto"/>
        <w:right w:val="none" w:sz="0" w:space="0" w:color="auto"/>
      </w:divBdr>
    </w:div>
    <w:div w:id="348483031">
      <w:bodyDiv w:val="1"/>
      <w:marLeft w:val="0"/>
      <w:marRight w:val="0"/>
      <w:marTop w:val="0"/>
      <w:marBottom w:val="0"/>
      <w:divBdr>
        <w:top w:val="none" w:sz="0" w:space="0" w:color="auto"/>
        <w:left w:val="none" w:sz="0" w:space="0" w:color="auto"/>
        <w:bottom w:val="none" w:sz="0" w:space="0" w:color="auto"/>
        <w:right w:val="none" w:sz="0" w:space="0" w:color="auto"/>
      </w:divBdr>
    </w:div>
    <w:div w:id="374505211">
      <w:bodyDiv w:val="1"/>
      <w:marLeft w:val="0"/>
      <w:marRight w:val="0"/>
      <w:marTop w:val="0"/>
      <w:marBottom w:val="0"/>
      <w:divBdr>
        <w:top w:val="none" w:sz="0" w:space="0" w:color="auto"/>
        <w:left w:val="none" w:sz="0" w:space="0" w:color="auto"/>
        <w:bottom w:val="none" w:sz="0" w:space="0" w:color="auto"/>
        <w:right w:val="none" w:sz="0" w:space="0" w:color="auto"/>
      </w:divBdr>
    </w:div>
    <w:div w:id="391320242">
      <w:bodyDiv w:val="1"/>
      <w:marLeft w:val="0"/>
      <w:marRight w:val="0"/>
      <w:marTop w:val="0"/>
      <w:marBottom w:val="0"/>
      <w:divBdr>
        <w:top w:val="none" w:sz="0" w:space="0" w:color="auto"/>
        <w:left w:val="none" w:sz="0" w:space="0" w:color="auto"/>
        <w:bottom w:val="none" w:sz="0" w:space="0" w:color="auto"/>
        <w:right w:val="none" w:sz="0" w:space="0" w:color="auto"/>
      </w:divBdr>
    </w:div>
    <w:div w:id="395737469">
      <w:bodyDiv w:val="1"/>
      <w:marLeft w:val="0"/>
      <w:marRight w:val="0"/>
      <w:marTop w:val="0"/>
      <w:marBottom w:val="0"/>
      <w:divBdr>
        <w:top w:val="none" w:sz="0" w:space="0" w:color="auto"/>
        <w:left w:val="none" w:sz="0" w:space="0" w:color="auto"/>
        <w:bottom w:val="none" w:sz="0" w:space="0" w:color="auto"/>
        <w:right w:val="none" w:sz="0" w:space="0" w:color="auto"/>
      </w:divBdr>
    </w:div>
    <w:div w:id="404380343">
      <w:bodyDiv w:val="1"/>
      <w:marLeft w:val="0"/>
      <w:marRight w:val="0"/>
      <w:marTop w:val="0"/>
      <w:marBottom w:val="0"/>
      <w:divBdr>
        <w:top w:val="none" w:sz="0" w:space="0" w:color="auto"/>
        <w:left w:val="none" w:sz="0" w:space="0" w:color="auto"/>
        <w:bottom w:val="none" w:sz="0" w:space="0" w:color="auto"/>
        <w:right w:val="none" w:sz="0" w:space="0" w:color="auto"/>
      </w:divBdr>
    </w:div>
    <w:div w:id="422338392">
      <w:bodyDiv w:val="1"/>
      <w:marLeft w:val="0"/>
      <w:marRight w:val="0"/>
      <w:marTop w:val="0"/>
      <w:marBottom w:val="0"/>
      <w:divBdr>
        <w:top w:val="none" w:sz="0" w:space="0" w:color="auto"/>
        <w:left w:val="none" w:sz="0" w:space="0" w:color="auto"/>
        <w:bottom w:val="none" w:sz="0" w:space="0" w:color="auto"/>
        <w:right w:val="none" w:sz="0" w:space="0" w:color="auto"/>
      </w:divBdr>
    </w:div>
    <w:div w:id="430275815">
      <w:bodyDiv w:val="1"/>
      <w:marLeft w:val="0"/>
      <w:marRight w:val="0"/>
      <w:marTop w:val="0"/>
      <w:marBottom w:val="0"/>
      <w:divBdr>
        <w:top w:val="none" w:sz="0" w:space="0" w:color="auto"/>
        <w:left w:val="none" w:sz="0" w:space="0" w:color="auto"/>
        <w:bottom w:val="none" w:sz="0" w:space="0" w:color="auto"/>
        <w:right w:val="none" w:sz="0" w:space="0" w:color="auto"/>
      </w:divBdr>
    </w:div>
    <w:div w:id="465323217">
      <w:bodyDiv w:val="1"/>
      <w:marLeft w:val="0"/>
      <w:marRight w:val="0"/>
      <w:marTop w:val="0"/>
      <w:marBottom w:val="0"/>
      <w:divBdr>
        <w:top w:val="none" w:sz="0" w:space="0" w:color="auto"/>
        <w:left w:val="none" w:sz="0" w:space="0" w:color="auto"/>
        <w:bottom w:val="none" w:sz="0" w:space="0" w:color="auto"/>
        <w:right w:val="none" w:sz="0" w:space="0" w:color="auto"/>
      </w:divBdr>
    </w:div>
    <w:div w:id="466237802">
      <w:bodyDiv w:val="1"/>
      <w:marLeft w:val="0"/>
      <w:marRight w:val="0"/>
      <w:marTop w:val="0"/>
      <w:marBottom w:val="0"/>
      <w:divBdr>
        <w:top w:val="none" w:sz="0" w:space="0" w:color="auto"/>
        <w:left w:val="none" w:sz="0" w:space="0" w:color="auto"/>
        <w:bottom w:val="none" w:sz="0" w:space="0" w:color="auto"/>
        <w:right w:val="none" w:sz="0" w:space="0" w:color="auto"/>
      </w:divBdr>
    </w:div>
    <w:div w:id="468741343">
      <w:bodyDiv w:val="1"/>
      <w:marLeft w:val="0"/>
      <w:marRight w:val="0"/>
      <w:marTop w:val="0"/>
      <w:marBottom w:val="0"/>
      <w:divBdr>
        <w:top w:val="none" w:sz="0" w:space="0" w:color="auto"/>
        <w:left w:val="none" w:sz="0" w:space="0" w:color="auto"/>
        <w:bottom w:val="none" w:sz="0" w:space="0" w:color="auto"/>
        <w:right w:val="none" w:sz="0" w:space="0" w:color="auto"/>
      </w:divBdr>
    </w:div>
    <w:div w:id="487329863">
      <w:bodyDiv w:val="1"/>
      <w:marLeft w:val="0"/>
      <w:marRight w:val="0"/>
      <w:marTop w:val="0"/>
      <w:marBottom w:val="0"/>
      <w:divBdr>
        <w:top w:val="none" w:sz="0" w:space="0" w:color="auto"/>
        <w:left w:val="none" w:sz="0" w:space="0" w:color="auto"/>
        <w:bottom w:val="none" w:sz="0" w:space="0" w:color="auto"/>
        <w:right w:val="none" w:sz="0" w:space="0" w:color="auto"/>
      </w:divBdr>
    </w:div>
    <w:div w:id="498889044">
      <w:bodyDiv w:val="1"/>
      <w:marLeft w:val="0"/>
      <w:marRight w:val="0"/>
      <w:marTop w:val="0"/>
      <w:marBottom w:val="0"/>
      <w:divBdr>
        <w:top w:val="none" w:sz="0" w:space="0" w:color="auto"/>
        <w:left w:val="none" w:sz="0" w:space="0" w:color="auto"/>
        <w:bottom w:val="none" w:sz="0" w:space="0" w:color="auto"/>
        <w:right w:val="none" w:sz="0" w:space="0" w:color="auto"/>
      </w:divBdr>
    </w:div>
    <w:div w:id="499735234">
      <w:bodyDiv w:val="1"/>
      <w:marLeft w:val="0"/>
      <w:marRight w:val="0"/>
      <w:marTop w:val="0"/>
      <w:marBottom w:val="0"/>
      <w:divBdr>
        <w:top w:val="none" w:sz="0" w:space="0" w:color="auto"/>
        <w:left w:val="none" w:sz="0" w:space="0" w:color="auto"/>
        <w:bottom w:val="none" w:sz="0" w:space="0" w:color="auto"/>
        <w:right w:val="none" w:sz="0" w:space="0" w:color="auto"/>
      </w:divBdr>
    </w:div>
    <w:div w:id="504127842">
      <w:bodyDiv w:val="1"/>
      <w:marLeft w:val="0"/>
      <w:marRight w:val="0"/>
      <w:marTop w:val="0"/>
      <w:marBottom w:val="0"/>
      <w:divBdr>
        <w:top w:val="none" w:sz="0" w:space="0" w:color="auto"/>
        <w:left w:val="none" w:sz="0" w:space="0" w:color="auto"/>
        <w:bottom w:val="none" w:sz="0" w:space="0" w:color="auto"/>
        <w:right w:val="none" w:sz="0" w:space="0" w:color="auto"/>
      </w:divBdr>
    </w:div>
    <w:div w:id="527380466">
      <w:bodyDiv w:val="1"/>
      <w:marLeft w:val="0"/>
      <w:marRight w:val="0"/>
      <w:marTop w:val="0"/>
      <w:marBottom w:val="0"/>
      <w:divBdr>
        <w:top w:val="none" w:sz="0" w:space="0" w:color="auto"/>
        <w:left w:val="none" w:sz="0" w:space="0" w:color="auto"/>
        <w:bottom w:val="none" w:sz="0" w:space="0" w:color="auto"/>
        <w:right w:val="none" w:sz="0" w:space="0" w:color="auto"/>
      </w:divBdr>
      <w:divsChild>
        <w:div w:id="243686384">
          <w:marLeft w:val="0"/>
          <w:marRight w:val="0"/>
          <w:marTop w:val="0"/>
          <w:marBottom w:val="0"/>
          <w:divBdr>
            <w:top w:val="none" w:sz="0" w:space="0" w:color="auto"/>
            <w:left w:val="none" w:sz="0" w:space="0" w:color="auto"/>
            <w:bottom w:val="none" w:sz="0" w:space="0" w:color="auto"/>
            <w:right w:val="none" w:sz="0" w:space="0" w:color="auto"/>
          </w:divBdr>
        </w:div>
        <w:div w:id="377052327">
          <w:marLeft w:val="0"/>
          <w:marRight w:val="0"/>
          <w:marTop w:val="0"/>
          <w:marBottom w:val="0"/>
          <w:divBdr>
            <w:top w:val="none" w:sz="0" w:space="0" w:color="auto"/>
            <w:left w:val="none" w:sz="0" w:space="0" w:color="auto"/>
            <w:bottom w:val="none" w:sz="0" w:space="0" w:color="auto"/>
            <w:right w:val="none" w:sz="0" w:space="0" w:color="auto"/>
          </w:divBdr>
        </w:div>
        <w:div w:id="997612398">
          <w:marLeft w:val="0"/>
          <w:marRight w:val="0"/>
          <w:marTop w:val="0"/>
          <w:marBottom w:val="0"/>
          <w:divBdr>
            <w:top w:val="none" w:sz="0" w:space="0" w:color="auto"/>
            <w:left w:val="none" w:sz="0" w:space="0" w:color="auto"/>
            <w:bottom w:val="none" w:sz="0" w:space="0" w:color="auto"/>
            <w:right w:val="none" w:sz="0" w:space="0" w:color="auto"/>
          </w:divBdr>
        </w:div>
      </w:divsChild>
    </w:div>
    <w:div w:id="528224258">
      <w:bodyDiv w:val="1"/>
      <w:marLeft w:val="0"/>
      <w:marRight w:val="0"/>
      <w:marTop w:val="0"/>
      <w:marBottom w:val="0"/>
      <w:divBdr>
        <w:top w:val="none" w:sz="0" w:space="0" w:color="auto"/>
        <w:left w:val="none" w:sz="0" w:space="0" w:color="auto"/>
        <w:bottom w:val="none" w:sz="0" w:space="0" w:color="auto"/>
        <w:right w:val="none" w:sz="0" w:space="0" w:color="auto"/>
      </w:divBdr>
    </w:div>
    <w:div w:id="531963668">
      <w:bodyDiv w:val="1"/>
      <w:marLeft w:val="0"/>
      <w:marRight w:val="0"/>
      <w:marTop w:val="0"/>
      <w:marBottom w:val="0"/>
      <w:divBdr>
        <w:top w:val="none" w:sz="0" w:space="0" w:color="auto"/>
        <w:left w:val="none" w:sz="0" w:space="0" w:color="auto"/>
        <w:bottom w:val="none" w:sz="0" w:space="0" w:color="auto"/>
        <w:right w:val="none" w:sz="0" w:space="0" w:color="auto"/>
      </w:divBdr>
    </w:div>
    <w:div w:id="543637509">
      <w:bodyDiv w:val="1"/>
      <w:marLeft w:val="0"/>
      <w:marRight w:val="0"/>
      <w:marTop w:val="0"/>
      <w:marBottom w:val="0"/>
      <w:divBdr>
        <w:top w:val="none" w:sz="0" w:space="0" w:color="auto"/>
        <w:left w:val="none" w:sz="0" w:space="0" w:color="auto"/>
        <w:bottom w:val="none" w:sz="0" w:space="0" w:color="auto"/>
        <w:right w:val="none" w:sz="0" w:space="0" w:color="auto"/>
      </w:divBdr>
    </w:div>
    <w:div w:id="545332356">
      <w:bodyDiv w:val="1"/>
      <w:marLeft w:val="0"/>
      <w:marRight w:val="0"/>
      <w:marTop w:val="0"/>
      <w:marBottom w:val="0"/>
      <w:divBdr>
        <w:top w:val="none" w:sz="0" w:space="0" w:color="auto"/>
        <w:left w:val="none" w:sz="0" w:space="0" w:color="auto"/>
        <w:bottom w:val="none" w:sz="0" w:space="0" w:color="auto"/>
        <w:right w:val="none" w:sz="0" w:space="0" w:color="auto"/>
      </w:divBdr>
    </w:div>
    <w:div w:id="549223617">
      <w:bodyDiv w:val="1"/>
      <w:marLeft w:val="0"/>
      <w:marRight w:val="0"/>
      <w:marTop w:val="0"/>
      <w:marBottom w:val="0"/>
      <w:divBdr>
        <w:top w:val="none" w:sz="0" w:space="0" w:color="auto"/>
        <w:left w:val="none" w:sz="0" w:space="0" w:color="auto"/>
        <w:bottom w:val="none" w:sz="0" w:space="0" w:color="auto"/>
        <w:right w:val="none" w:sz="0" w:space="0" w:color="auto"/>
      </w:divBdr>
    </w:div>
    <w:div w:id="551696691">
      <w:bodyDiv w:val="1"/>
      <w:marLeft w:val="0"/>
      <w:marRight w:val="0"/>
      <w:marTop w:val="0"/>
      <w:marBottom w:val="0"/>
      <w:divBdr>
        <w:top w:val="none" w:sz="0" w:space="0" w:color="auto"/>
        <w:left w:val="none" w:sz="0" w:space="0" w:color="auto"/>
        <w:bottom w:val="none" w:sz="0" w:space="0" w:color="auto"/>
        <w:right w:val="none" w:sz="0" w:space="0" w:color="auto"/>
      </w:divBdr>
    </w:div>
    <w:div w:id="558248919">
      <w:bodyDiv w:val="1"/>
      <w:marLeft w:val="0"/>
      <w:marRight w:val="0"/>
      <w:marTop w:val="0"/>
      <w:marBottom w:val="0"/>
      <w:divBdr>
        <w:top w:val="none" w:sz="0" w:space="0" w:color="auto"/>
        <w:left w:val="none" w:sz="0" w:space="0" w:color="auto"/>
        <w:bottom w:val="none" w:sz="0" w:space="0" w:color="auto"/>
        <w:right w:val="none" w:sz="0" w:space="0" w:color="auto"/>
      </w:divBdr>
    </w:div>
    <w:div w:id="595596408">
      <w:bodyDiv w:val="1"/>
      <w:marLeft w:val="0"/>
      <w:marRight w:val="0"/>
      <w:marTop w:val="0"/>
      <w:marBottom w:val="0"/>
      <w:divBdr>
        <w:top w:val="none" w:sz="0" w:space="0" w:color="auto"/>
        <w:left w:val="none" w:sz="0" w:space="0" w:color="auto"/>
        <w:bottom w:val="none" w:sz="0" w:space="0" w:color="auto"/>
        <w:right w:val="none" w:sz="0" w:space="0" w:color="auto"/>
      </w:divBdr>
    </w:div>
    <w:div w:id="602614895">
      <w:bodyDiv w:val="1"/>
      <w:marLeft w:val="0"/>
      <w:marRight w:val="0"/>
      <w:marTop w:val="0"/>
      <w:marBottom w:val="0"/>
      <w:divBdr>
        <w:top w:val="none" w:sz="0" w:space="0" w:color="auto"/>
        <w:left w:val="none" w:sz="0" w:space="0" w:color="auto"/>
        <w:bottom w:val="none" w:sz="0" w:space="0" w:color="auto"/>
        <w:right w:val="none" w:sz="0" w:space="0" w:color="auto"/>
      </w:divBdr>
    </w:div>
    <w:div w:id="609818336">
      <w:bodyDiv w:val="1"/>
      <w:marLeft w:val="0"/>
      <w:marRight w:val="0"/>
      <w:marTop w:val="0"/>
      <w:marBottom w:val="0"/>
      <w:divBdr>
        <w:top w:val="none" w:sz="0" w:space="0" w:color="auto"/>
        <w:left w:val="none" w:sz="0" w:space="0" w:color="auto"/>
        <w:bottom w:val="none" w:sz="0" w:space="0" w:color="auto"/>
        <w:right w:val="none" w:sz="0" w:space="0" w:color="auto"/>
      </w:divBdr>
    </w:div>
    <w:div w:id="631980556">
      <w:bodyDiv w:val="1"/>
      <w:marLeft w:val="0"/>
      <w:marRight w:val="0"/>
      <w:marTop w:val="0"/>
      <w:marBottom w:val="0"/>
      <w:divBdr>
        <w:top w:val="none" w:sz="0" w:space="0" w:color="auto"/>
        <w:left w:val="none" w:sz="0" w:space="0" w:color="auto"/>
        <w:bottom w:val="none" w:sz="0" w:space="0" w:color="auto"/>
        <w:right w:val="none" w:sz="0" w:space="0" w:color="auto"/>
      </w:divBdr>
    </w:div>
    <w:div w:id="634454068">
      <w:bodyDiv w:val="1"/>
      <w:marLeft w:val="0"/>
      <w:marRight w:val="0"/>
      <w:marTop w:val="0"/>
      <w:marBottom w:val="0"/>
      <w:divBdr>
        <w:top w:val="none" w:sz="0" w:space="0" w:color="auto"/>
        <w:left w:val="none" w:sz="0" w:space="0" w:color="auto"/>
        <w:bottom w:val="none" w:sz="0" w:space="0" w:color="auto"/>
        <w:right w:val="none" w:sz="0" w:space="0" w:color="auto"/>
      </w:divBdr>
    </w:div>
    <w:div w:id="641155638">
      <w:bodyDiv w:val="1"/>
      <w:marLeft w:val="0"/>
      <w:marRight w:val="0"/>
      <w:marTop w:val="0"/>
      <w:marBottom w:val="0"/>
      <w:divBdr>
        <w:top w:val="none" w:sz="0" w:space="0" w:color="auto"/>
        <w:left w:val="none" w:sz="0" w:space="0" w:color="auto"/>
        <w:bottom w:val="none" w:sz="0" w:space="0" w:color="auto"/>
        <w:right w:val="none" w:sz="0" w:space="0" w:color="auto"/>
      </w:divBdr>
    </w:div>
    <w:div w:id="643580018">
      <w:bodyDiv w:val="1"/>
      <w:marLeft w:val="0"/>
      <w:marRight w:val="0"/>
      <w:marTop w:val="0"/>
      <w:marBottom w:val="0"/>
      <w:divBdr>
        <w:top w:val="none" w:sz="0" w:space="0" w:color="auto"/>
        <w:left w:val="none" w:sz="0" w:space="0" w:color="auto"/>
        <w:bottom w:val="none" w:sz="0" w:space="0" w:color="auto"/>
        <w:right w:val="none" w:sz="0" w:space="0" w:color="auto"/>
      </w:divBdr>
    </w:div>
    <w:div w:id="644355476">
      <w:bodyDiv w:val="1"/>
      <w:marLeft w:val="0"/>
      <w:marRight w:val="0"/>
      <w:marTop w:val="0"/>
      <w:marBottom w:val="0"/>
      <w:divBdr>
        <w:top w:val="none" w:sz="0" w:space="0" w:color="auto"/>
        <w:left w:val="none" w:sz="0" w:space="0" w:color="auto"/>
        <w:bottom w:val="none" w:sz="0" w:space="0" w:color="auto"/>
        <w:right w:val="none" w:sz="0" w:space="0" w:color="auto"/>
      </w:divBdr>
    </w:div>
    <w:div w:id="649867750">
      <w:bodyDiv w:val="1"/>
      <w:marLeft w:val="0"/>
      <w:marRight w:val="0"/>
      <w:marTop w:val="0"/>
      <w:marBottom w:val="0"/>
      <w:divBdr>
        <w:top w:val="none" w:sz="0" w:space="0" w:color="auto"/>
        <w:left w:val="none" w:sz="0" w:space="0" w:color="auto"/>
        <w:bottom w:val="none" w:sz="0" w:space="0" w:color="auto"/>
        <w:right w:val="none" w:sz="0" w:space="0" w:color="auto"/>
      </w:divBdr>
    </w:div>
    <w:div w:id="673655021">
      <w:bodyDiv w:val="1"/>
      <w:marLeft w:val="0"/>
      <w:marRight w:val="0"/>
      <w:marTop w:val="0"/>
      <w:marBottom w:val="0"/>
      <w:divBdr>
        <w:top w:val="none" w:sz="0" w:space="0" w:color="auto"/>
        <w:left w:val="none" w:sz="0" w:space="0" w:color="auto"/>
        <w:bottom w:val="none" w:sz="0" w:space="0" w:color="auto"/>
        <w:right w:val="none" w:sz="0" w:space="0" w:color="auto"/>
      </w:divBdr>
    </w:div>
    <w:div w:id="683678546">
      <w:bodyDiv w:val="1"/>
      <w:marLeft w:val="0"/>
      <w:marRight w:val="0"/>
      <w:marTop w:val="0"/>
      <w:marBottom w:val="0"/>
      <w:divBdr>
        <w:top w:val="none" w:sz="0" w:space="0" w:color="auto"/>
        <w:left w:val="none" w:sz="0" w:space="0" w:color="auto"/>
        <w:bottom w:val="none" w:sz="0" w:space="0" w:color="auto"/>
        <w:right w:val="none" w:sz="0" w:space="0" w:color="auto"/>
      </w:divBdr>
    </w:div>
    <w:div w:id="690570905">
      <w:bodyDiv w:val="1"/>
      <w:marLeft w:val="0"/>
      <w:marRight w:val="0"/>
      <w:marTop w:val="0"/>
      <w:marBottom w:val="0"/>
      <w:divBdr>
        <w:top w:val="none" w:sz="0" w:space="0" w:color="auto"/>
        <w:left w:val="none" w:sz="0" w:space="0" w:color="auto"/>
        <w:bottom w:val="none" w:sz="0" w:space="0" w:color="auto"/>
        <w:right w:val="none" w:sz="0" w:space="0" w:color="auto"/>
      </w:divBdr>
    </w:div>
    <w:div w:id="699626658">
      <w:bodyDiv w:val="1"/>
      <w:marLeft w:val="0"/>
      <w:marRight w:val="0"/>
      <w:marTop w:val="0"/>
      <w:marBottom w:val="0"/>
      <w:divBdr>
        <w:top w:val="none" w:sz="0" w:space="0" w:color="auto"/>
        <w:left w:val="none" w:sz="0" w:space="0" w:color="auto"/>
        <w:bottom w:val="none" w:sz="0" w:space="0" w:color="auto"/>
        <w:right w:val="none" w:sz="0" w:space="0" w:color="auto"/>
      </w:divBdr>
    </w:div>
    <w:div w:id="699940052">
      <w:bodyDiv w:val="1"/>
      <w:marLeft w:val="0"/>
      <w:marRight w:val="0"/>
      <w:marTop w:val="0"/>
      <w:marBottom w:val="0"/>
      <w:divBdr>
        <w:top w:val="none" w:sz="0" w:space="0" w:color="auto"/>
        <w:left w:val="none" w:sz="0" w:space="0" w:color="auto"/>
        <w:bottom w:val="none" w:sz="0" w:space="0" w:color="auto"/>
        <w:right w:val="none" w:sz="0" w:space="0" w:color="auto"/>
      </w:divBdr>
    </w:div>
    <w:div w:id="711157018">
      <w:bodyDiv w:val="1"/>
      <w:marLeft w:val="0"/>
      <w:marRight w:val="0"/>
      <w:marTop w:val="0"/>
      <w:marBottom w:val="0"/>
      <w:divBdr>
        <w:top w:val="none" w:sz="0" w:space="0" w:color="auto"/>
        <w:left w:val="none" w:sz="0" w:space="0" w:color="auto"/>
        <w:bottom w:val="none" w:sz="0" w:space="0" w:color="auto"/>
        <w:right w:val="none" w:sz="0" w:space="0" w:color="auto"/>
      </w:divBdr>
    </w:div>
    <w:div w:id="726302588">
      <w:bodyDiv w:val="1"/>
      <w:marLeft w:val="0"/>
      <w:marRight w:val="0"/>
      <w:marTop w:val="0"/>
      <w:marBottom w:val="0"/>
      <w:divBdr>
        <w:top w:val="none" w:sz="0" w:space="0" w:color="auto"/>
        <w:left w:val="none" w:sz="0" w:space="0" w:color="auto"/>
        <w:bottom w:val="none" w:sz="0" w:space="0" w:color="auto"/>
        <w:right w:val="none" w:sz="0" w:space="0" w:color="auto"/>
      </w:divBdr>
    </w:div>
    <w:div w:id="739211623">
      <w:bodyDiv w:val="1"/>
      <w:marLeft w:val="0"/>
      <w:marRight w:val="0"/>
      <w:marTop w:val="0"/>
      <w:marBottom w:val="0"/>
      <w:divBdr>
        <w:top w:val="none" w:sz="0" w:space="0" w:color="auto"/>
        <w:left w:val="none" w:sz="0" w:space="0" w:color="auto"/>
        <w:bottom w:val="none" w:sz="0" w:space="0" w:color="auto"/>
        <w:right w:val="none" w:sz="0" w:space="0" w:color="auto"/>
      </w:divBdr>
    </w:div>
    <w:div w:id="751659087">
      <w:bodyDiv w:val="1"/>
      <w:marLeft w:val="0"/>
      <w:marRight w:val="0"/>
      <w:marTop w:val="0"/>
      <w:marBottom w:val="0"/>
      <w:divBdr>
        <w:top w:val="none" w:sz="0" w:space="0" w:color="auto"/>
        <w:left w:val="none" w:sz="0" w:space="0" w:color="auto"/>
        <w:bottom w:val="none" w:sz="0" w:space="0" w:color="auto"/>
        <w:right w:val="none" w:sz="0" w:space="0" w:color="auto"/>
      </w:divBdr>
    </w:div>
    <w:div w:id="758260528">
      <w:bodyDiv w:val="1"/>
      <w:marLeft w:val="0"/>
      <w:marRight w:val="0"/>
      <w:marTop w:val="0"/>
      <w:marBottom w:val="0"/>
      <w:divBdr>
        <w:top w:val="none" w:sz="0" w:space="0" w:color="auto"/>
        <w:left w:val="none" w:sz="0" w:space="0" w:color="auto"/>
        <w:bottom w:val="none" w:sz="0" w:space="0" w:color="auto"/>
        <w:right w:val="none" w:sz="0" w:space="0" w:color="auto"/>
      </w:divBdr>
    </w:div>
    <w:div w:id="765274377">
      <w:bodyDiv w:val="1"/>
      <w:marLeft w:val="0"/>
      <w:marRight w:val="0"/>
      <w:marTop w:val="0"/>
      <w:marBottom w:val="0"/>
      <w:divBdr>
        <w:top w:val="none" w:sz="0" w:space="0" w:color="auto"/>
        <w:left w:val="none" w:sz="0" w:space="0" w:color="auto"/>
        <w:bottom w:val="none" w:sz="0" w:space="0" w:color="auto"/>
        <w:right w:val="none" w:sz="0" w:space="0" w:color="auto"/>
      </w:divBdr>
    </w:div>
    <w:div w:id="767122914">
      <w:bodyDiv w:val="1"/>
      <w:marLeft w:val="0"/>
      <w:marRight w:val="0"/>
      <w:marTop w:val="0"/>
      <w:marBottom w:val="0"/>
      <w:divBdr>
        <w:top w:val="none" w:sz="0" w:space="0" w:color="auto"/>
        <w:left w:val="none" w:sz="0" w:space="0" w:color="auto"/>
        <w:bottom w:val="none" w:sz="0" w:space="0" w:color="auto"/>
        <w:right w:val="none" w:sz="0" w:space="0" w:color="auto"/>
      </w:divBdr>
    </w:div>
    <w:div w:id="774400374">
      <w:bodyDiv w:val="1"/>
      <w:marLeft w:val="0"/>
      <w:marRight w:val="0"/>
      <w:marTop w:val="0"/>
      <w:marBottom w:val="0"/>
      <w:divBdr>
        <w:top w:val="none" w:sz="0" w:space="0" w:color="auto"/>
        <w:left w:val="none" w:sz="0" w:space="0" w:color="auto"/>
        <w:bottom w:val="none" w:sz="0" w:space="0" w:color="auto"/>
        <w:right w:val="none" w:sz="0" w:space="0" w:color="auto"/>
      </w:divBdr>
    </w:div>
    <w:div w:id="781264476">
      <w:bodyDiv w:val="1"/>
      <w:marLeft w:val="0"/>
      <w:marRight w:val="0"/>
      <w:marTop w:val="0"/>
      <w:marBottom w:val="0"/>
      <w:divBdr>
        <w:top w:val="none" w:sz="0" w:space="0" w:color="auto"/>
        <w:left w:val="none" w:sz="0" w:space="0" w:color="auto"/>
        <w:bottom w:val="none" w:sz="0" w:space="0" w:color="auto"/>
        <w:right w:val="none" w:sz="0" w:space="0" w:color="auto"/>
      </w:divBdr>
      <w:divsChild>
        <w:div w:id="313875612">
          <w:marLeft w:val="288"/>
          <w:marRight w:val="0"/>
          <w:marTop w:val="82"/>
          <w:marBottom w:val="0"/>
          <w:divBdr>
            <w:top w:val="none" w:sz="0" w:space="0" w:color="auto"/>
            <w:left w:val="none" w:sz="0" w:space="0" w:color="auto"/>
            <w:bottom w:val="none" w:sz="0" w:space="0" w:color="auto"/>
            <w:right w:val="none" w:sz="0" w:space="0" w:color="auto"/>
          </w:divBdr>
        </w:div>
        <w:div w:id="892960544">
          <w:marLeft w:val="288"/>
          <w:marRight w:val="0"/>
          <w:marTop w:val="82"/>
          <w:marBottom w:val="0"/>
          <w:divBdr>
            <w:top w:val="none" w:sz="0" w:space="0" w:color="auto"/>
            <w:left w:val="none" w:sz="0" w:space="0" w:color="auto"/>
            <w:bottom w:val="none" w:sz="0" w:space="0" w:color="auto"/>
            <w:right w:val="none" w:sz="0" w:space="0" w:color="auto"/>
          </w:divBdr>
        </w:div>
        <w:div w:id="1397320728">
          <w:marLeft w:val="288"/>
          <w:marRight w:val="0"/>
          <w:marTop w:val="82"/>
          <w:marBottom w:val="0"/>
          <w:divBdr>
            <w:top w:val="none" w:sz="0" w:space="0" w:color="auto"/>
            <w:left w:val="none" w:sz="0" w:space="0" w:color="auto"/>
            <w:bottom w:val="none" w:sz="0" w:space="0" w:color="auto"/>
            <w:right w:val="none" w:sz="0" w:space="0" w:color="auto"/>
          </w:divBdr>
        </w:div>
        <w:div w:id="2014986190">
          <w:marLeft w:val="288"/>
          <w:marRight w:val="0"/>
          <w:marTop w:val="82"/>
          <w:marBottom w:val="0"/>
          <w:divBdr>
            <w:top w:val="none" w:sz="0" w:space="0" w:color="auto"/>
            <w:left w:val="none" w:sz="0" w:space="0" w:color="auto"/>
            <w:bottom w:val="none" w:sz="0" w:space="0" w:color="auto"/>
            <w:right w:val="none" w:sz="0" w:space="0" w:color="auto"/>
          </w:divBdr>
        </w:div>
      </w:divsChild>
    </w:div>
    <w:div w:id="788401905">
      <w:bodyDiv w:val="1"/>
      <w:marLeft w:val="0"/>
      <w:marRight w:val="0"/>
      <w:marTop w:val="0"/>
      <w:marBottom w:val="0"/>
      <w:divBdr>
        <w:top w:val="none" w:sz="0" w:space="0" w:color="auto"/>
        <w:left w:val="none" w:sz="0" w:space="0" w:color="auto"/>
        <w:bottom w:val="none" w:sz="0" w:space="0" w:color="auto"/>
        <w:right w:val="none" w:sz="0" w:space="0" w:color="auto"/>
      </w:divBdr>
    </w:div>
    <w:div w:id="795026525">
      <w:bodyDiv w:val="1"/>
      <w:marLeft w:val="0"/>
      <w:marRight w:val="0"/>
      <w:marTop w:val="0"/>
      <w:marBottom w:val="0"/>
      <w:divBdr>
        <w:top w:val="none" w:sz="0" w:space="0" w:color="auto"/>
        <w:left w:val="none" w:sz="0" w:space="0" w:color="auto"/>
        <w:bottom w:val="none" w:sz="0" w:space="0" w:color="auto"/>
        <w:right w:val="none" w:sz="0" w:space="0" w:color="auto"/>
      </w:divBdr>
    </w:div>
    <w:div w:id="817260318">
      <w:bodyDiv w:val="1"/>
      <w:marLeft w:val="0"/>
      <w:marRight w:val="0"/>
      <w:marTop w:val="0"/>
      <w:marBottom w:val="0"/>
      <w:divBdr>
        <w:top w:val="none" w:sz="0" w:space="0" w:color="auto"/>
        <w:left w:val="none" w:sz="0" w:space="0" w:color="auto"/>
        <w:bottom w:val="none" w:sz="0" w:space="0" w:color="auto"/>
        <w:right w:val="none" w:sz="0" w:space="0" w:color="auto"/>
      </w:divBdr>
    </w:div>
    <w:div w:id="820581152">
      <w:bodyDiv w:val="1"/>
      <w:marLeft w:val="0"/>
      <w:marRight w:val="0"/>
      <w:marTop w:val="0"/>
      <w:marBottom w:val="0"/>
      <w:divBdr>
        <w:top w:val="none" w:sz="0" w:space="0" w:color="auto"/>
        <w:left w:val="none" w:sz="0" w:space="0" w:color="auto"/>
        <w:bottom w:val="none" w:sz="0" w:space="0" w:color="auto"/>
        <w:right w:val="none" w:sz="0" w:space="0" w:color="auto"/>
      </w:divBdr>
    </w:div>
    <w:div w:id="853693291">
      <w:bodyDiv w:val="1"/>
      <w:marLeft w:val="0"/>
      <w:marRight w:val="0"/>
      <w:marTop w:val="0"/>
      <w:marBottom w:val="0"/>
      <w:divBdr>
        <w:top w:val="none" w:sz="0" w:space="0" w:color="auto"/>
        <w:left w:val="none" w:sz="0" w:space="0" w:color="auto"/>
        <w:bottom w:val="none" w:sz="0" w:space="0" w:color="auto"/>
        <w:right w:val="none" w:sz="0" w:space="0" w:color="auto"/>
      </w:divBdr>
    </w:div>
    <w:div w:id="864905794">
      <w:bodyDiv w:val="1"/>
      <w:marLeft w:val="0"/>
      <w:marRight w:val="0"/>
      <w:marTop w:val="0"/>
      <w:marBottom w:val="0"/>
      <w:divBdr>
        <w:top w:val="none" w:sz="0" w:space="0" w:color="auto"/>
        <w:left w:val="none" w:sz="0" w:space="0" w:color="auto"/>
        <w:bottom w:val="none" w:sz="0" w:space="0" w:color="auto"/>
        <w:right w:val="none" w:sz="0" w:space="0" w:color="auto"/>
      </w:divBdr>
    </w:div>
    <w:div w:id="866989493">
      <w:bodyDiv w:val="1"/>
      <w:marLeft w:val="0"/>
      <w:marRight w:val="0"/>
      <w:marTop w:val="0"/>
      <w:marBottom w:val="0"/>
      <w:divBdr>
        <w:top w:val="none" w:sz="0" w:space="0" w:color="auto"/>
        <w:left w:val="none" w:sz="0" w:space="0" w:color="auto"/>
        <w:bottom w:val="none" w:sz="0" w:space="0" w:color="auto"/>
        <w:right w:val="none" w:sz="0" w:space="0" w:color="auto"/>
      </w:divBdr>
    </w:div>
    <w:div w:id="870996651">
      <w:bodyDiv w:val="1"/>
      <w:marLeft w:val="0"/>
      <w:marRight w:val="0"/>
      <w:marTop w:val="0"/>
      <w:marBottom w:val="0"/>
      <w:divBdr>
        <w:top w:val="none" w:sz="0" w:space="0" w:color="auto"/>
        <w:left w:val="none" w:sz="0" w:space="0" w:color="auto"/>
        <w:bottom w:val="none" w:sz="0" w:space="0" w:color="auto"/>
        <w:right w:val="none" w:sz="0" w:space="0" w:color="auto"/>
      </w:divBdr>
    </w:div>
    <w:div w:id="876821265">
      <w:bodyDiv w:val="1"/>
      <w:marLeft w:val="0"/>
      <w:marRight w:val="0"/>
      <w:marTop w:val="0"/>
      <w:marBottom w:val="0"/>
      <w:divBdr>
        <w:top w:val="none" w:sz="0" w:space="0" w:color="auto"/>
        <w:left w:val="none" w:sz="0" w:space="0" w:color="auto"/>
        <w:bottom w:val="none" w:sz="0" w:space="0" w:color="auto"/>
        <w:right w:val="none" w:sz="0" w:space="0" w:color="auto"/>
      </w:divBdr>
    </w:div>
    <w:div w:id="881988869">
      <w:bodyDiv w:val="1"/>
      <w:marLeft w:val="0"/>
      <w:marRight w:val="0"/>
      <w:marTop w:val="0"/>
      <w:marBottom w:val="0"/>
      <w:divBdr>
        <w:top w:val="none" w:sz="0" w:space="0" w:color="auto"/>
        <w:left w:val="none" w:sz="0" w:space="0" w:color="auto"/>
        <w:bottom w:val="none" w:sz="0" w:space="0" w:color="auto"/>
        <w:right w:val="none" w:sz="0" w:space="0" w:color="auto"/>
      </w:divBdr>
    </w:div>
    <w:div w:id="899747459">
      <w:bodyDiv w:val="1"/>
      <w:marLeft w:val="0"/>
      <w:marRight w:val="0"/>
      <w:marTop w:val="0"/>
      <w:marBottom w:val="0"/>
      <w:divBdr>
        <w:top w:val="none" w:sz="0" w:space="0" w:color="auto"/>
        <w:left w:val="none" w:sz="0" w:space="0" w:color="auto"/>
        <w:bottom w:val="none" w:sz="0" w:space="0" w:color="auto"/>
        <w:right w:val="none" w:sz="0" w:space="0" w:color="auto"/>
      </w:divBdr>
    </w:div>
    <w:div w:id="909116837">
      <w:bodyDiv w:val="1"/>
      <w:marLeft w:val="0"/>
      <w:marRight w:val="0"/>
      <w:marTop w:val="0"/>
      <w:marBottom w:val="0"/>
      <w:divBdr>
        <w:top w:val="none" w:sz="0" w:space="0" w:color="auto"/>
        <w:left w:val="none" w:sz="0" w:space="0" w:color="auto"/>
        <w:bottom w:val="none" w:sz="0" w:space="0" w:color="auto"/>
        <w:right w:val="none" w:sz="0" w:space="0" w:color="auto"/>
      </w:divBdr>
    </w:div>
    <w:div w:id="920600326">
      <w:bodyDiv w:val="1"/>
      <w:marLeft w:val="0"/>
      <w:marRight w:val="0"/>
      <w:marTop w:val="0"/>
      <w:marBottom w:val="0"/>
      <w:divBdr>
        <w:top w:val="none" w:sz="0" w:space="0" w:color="auto"/>
        <w:left w:val="none" w:sz="0" w:space="0" w:color="auto"/>
        <w:bottom w:val="none" w:sz="0" w:space="0" w:color="auto"/>
        <w:right w:val="none" w:sz="0" w:space="0" w:color="auto"/>
      </w:divBdr>
    </w:div>
    <w:div w:id="925772517">
      <w:bodyDiv w:val="1"/>
      <w:marLeft w:val="0"/>
      <w:marRight w:val="0"/>
      <w:marTop w:val="0"/>
      <w:marBottom w:val="0"/>
      <w:divBdr>
        <w:top w:val="none" w:sz="0" w:space="0" w:color="auto"/>
        <w:left w:val="none" w:sz="0" w:space="0" w:color="auto"/>
        <w:bottom w:val="none" w:sz="0" w:space="0" w:color="auto"/>
        <w:right w:val="none" w:sz="0" w:space="0" w:color="auto"/>
      </w:divBdr>
    </w:div>
    <w:div w:id="935016319">
      <w:bodyDiv w:val="1"/>
      <w:marLeft w:val="0"/>
      <w:marRight w:val="0"/>
      <w:marTop w:val="0"/>
      <w:marBottom w:val="0"/>
      <w:divBdr>
        <w:top w:val="none" w:sz="0" w:space="0" w:color="auto"/>
        <w:left w:val="none" w:sz="0" w:space="0" w:color="auto"/>
        <w:bottom w:val="none" w:sz="0" w:space="0" w:color="auto"/>
        <w:right w:val="none" w:sz="0" w:space="0" w:color="auto"/>
      </w:divBdr>
    </w:div>
    <w:div w:id="936015519">
      <w:bodyDiv w:val="1"/>
      <w:marLeft w:val="0"/>
      <w:marRight w:val="0"/>
      <w:marTop w:val="0"/>
      <w:marBottom w:val="0"/>
      <w:divBdr>
        <w:top w:val="none" w:sz="0" w:space="0" w:color="auto"/>
        <w:left w:val="none" w:sz="0" w:space="0" w:color="auto"/>
        <w:bottom w:val="none" w:sz="0" w:space="0" w:color="auto"/>
        <w:right w:val="none" w:sz="0" w:space="0" w:color="auto"/>
      </w:divBdr>
    </w:div>
    <w:div w:id="939339742">
      <w:bodyDiv w:val="1"/>
      <w:marLeft w:val="0"/>
      <w:marRight w:val="0"/>
      <w:marTop w:val="0"/>
      <w:marBottom w:val="0"/>
      <w:divBdr>
        <w:top w:val="none" w:sz="0" w:space="0" w:color="auto"/>
        <w:left w:val="none" w:sz="0" w:space="0" w:color="auto"/>
        <w:bottom w:val="none" w:sz="0" w:space="0" w:color="auto"/>
        <w:right w:val="none" w:sz="0" w:space="0" w:color="auto"/>
      </w:divBdr>
    </w:div>
    <w:div w:id="956326667">
      <w:bodyDiv w:val="1"/>
      <w:marLeft w:val="0"/>
      <w:marRight w:val="0"/>
      <w:marTop w:val="0"/>
      <w:marBottom w:val="0"/>
      <w:divBdr>
        <w:top w:val="none" w:sz="0" w:space="0" w:color="auto"/>
        <w:left w:val="none" w:sz="0" w:space="0" w:color="auto"/>
        <w:bottom w:val="none" w:sz="0" w:space="0" w:color="auto"/>
        <w:right w:val="none" w:sz="0" w:space="0" w:color="auto"/>
      </w:divBdr>
    </w:div>
    <w:div w:id="964458069">
      <w:bodyDiv w:val="1"/>
      <w:marLeft w:val="0"/>
      <w:marRight w:val="0"/>
      <w:marTop w:val="0"/>
      <w:marBottom w:val="0"/>
      <w:divBdr>
        <w:top w:val="none" w:sz="0" w:space="0" w:color="auto"/>
        <w:left w:val="none" w:sz="0" w:space="0" w:color="auto"/>
        <w:bottom w:val="none" w:sz="0" w:space="0" w:color="auto"/>
        <w:right w:val="none" w:sz="0" w:space="0" w:color="auto"/>
      </w:divBdr>
    </w:div>
    <w:div w:id="975140330">
      <w:bodyDiv w:val="1"/>
      <w:marLeft w:val="0"/>
      <w:marRight w:val="0"/>
      <w:marTop w:val="0"/>
      <w:marBottom w:val="0"/>
      <w:divBdr>
        <w:top w:val="none" w:sz="0" w:space="0" w:color="auto"/>
        <w:left w:val="none" w:sz="0" w:space="0" w:color="auto"/>
        <w:bottom w:val="none" w:sz="0" w:space="0" w:color="auto"/>
        <w:right w:val="none" w:sz="0" w:space="0" w:color="auto"/>
      </w:divBdr>
    </w:div>
    <w:div w:id="978730061">
      <w:bodyDiv w:val="1"/>
      <w:marLeft w:val="0"/>
      <w:marRight w:val="0"/>
      <w:marTop w:val="0"/>
      <w:marBottom w:val="0"/>
      <w:divBdr>
        <w:top w:val="none" w:sz="0" w:space="0" w:color="auto"/>
        <w:left w:val="none" w:sz="0" w:space="0" w:color="auto"/>
        <w:bottom w:val="none" w:sz="0" w:space="0" w:color="auto"/>
        <w:right w:val="none" w:sz="0" w:space="0" w:color="auto"/>
      </w:divBdr>
    </w:div>
    <w:div w:id="984625414">
      <w:bodyDiv w:val="1"/>
      <w:marLeft w:val="0"/>
      <w:marRight w:val="0"/>
      <w:marTop w:val="0"/>
      <w:marBottom w:val="0"/>
      <w:divBdr>
        <w:top w:val="none" w:sz="0" w:space="0" w:color="auto"/>
        <w:left w:val="none" w:sz="0" w:space="0" w:color="auto"/>
        <w:bottom w:val="none" w:sz="0" w:space="0" w:color="auto"/>
        <w:right w:val="none" w:sz="0" w:space="0" w:color="auto"/>
      </w:divBdr>
    </w:div>
    <w:div w:id="986861110">
      <w:marLeft w:val="0"/>
      <w:marRight w:val="0"/>
      <w:marTop w:val="0"/>
      <w:marBottom w:val="0"/>
      <w:divBdr>
        <w:top w:val="none" w:sz="0" w:space="0" w:color="auto"/>
        <w:left w:val="none" w:sz="0" w:space="0" w:color="auto"/>
        <w:bottom w:val="none" w:sz="0" w:space="0" w:color="auto"/>
        <w:right w:val="none" w:sz="0" w:space="0" w:color="auto"/>
      </w:divBdr>
    </w:div>
    <w:div w:id="986861112">
      <w:marLeft w:val="0"/>
      <w:marRight w:val="0"/>
      <w:marTop w:val="0"/>
      <w:marBottom w:val="0"/>
      <w:divBdr>
        <w:top w:val="none" w:sz="0" w:space="0" w:color="auto"/>
        <w:left w:val="none" w:sz="0" w:space="0" w:color="auto"/>
        <w:bottom w:val="none" w:sz="0" w:space="0" w:color="auto"/>
        <w:right w:val="none" w:sz="0" w:space="0" w:color="auto"/>
      </w:divBdr>
      <w:divsChild>
        <w:div w:id="986861111">
          <w:marLeft w:val="0"/>
          <w:marRight w:val="0"/>
          <w:marTop w:val="0"/>
          <w:marBottom w:val="0"/>
          <w:divBdr>
            <w:top w:val="none" w:sz="0" w:space="0" w:color="auto"/>
            <w:left w:val="none" w:sz="0" w:space="0" w:color="auto"/>
            <w:bottom w:val="none" w:sz="0" w:space="0" w:color="auto"/>
            <w:right w:val="none" w:sz="0" w:space="0" w:color="auto"/>
          </w:divBdr>
          <w:divsChild>
            <w:div w:id="986861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861116">
      <w:marLeft w:val="0"/>
      <w:marRight w:val="0"/>
      <w:marTop w:val="0"/>
      <w:marBottom w:val="0"/>
      <w:divBdr>
        <w:top w:val="none" w:sz="0" w:space="0" w:color="auto"/>
        <w:left w:val="none" w:sz="0" w:space="0" w:color="auto"/>
        <w:bottom w:val="none" w:sz="0" w:space="0" w:color="auto"/>
        <w:right w:val="none" w:sz="0" w:space="0" w:color="auto"/>
      </w:divBdr>
      <w:divsChild>
        <w:div w:id="986861121">
          <w:marLeft w:val="0"/>
          <w:marRight w:val="0"/>
          <w:marTop w:val="0"/>
          <w:marBottom w:val="0"/>
          <w:divBdr>
            <w:top w:val="none" w:sz="0" w:space="0" w:color="auto"/>
            <w:left w:val="none" w:sz="0" w:space="0" w:color="auto"/>
            <w:bottom w:val="none" w:sz="0" w:space="0" w:color="auto"/>
            <w:right w:val="none" w:sz="0" w:space="0" w:color="auto"/>
          </w:divBdr>
          <w:divsChild>
            <w:div w:id="986861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861117">
      <w:marLeft w:val="0"/>
      <w:marRight w:val="0"/>
      <w:marTop w:val="0"/>
      <w:marBottom w:val="0"/>
      <w:divBdr>
        <w:top w:val="none" w:sz="0" w:space="0" w:color="auto"/>
        <w:left w:val="none" w:sz="0" w:space="0" w:color="auto"/>
        <w:bottom w:val="none" w:sz="0" w:space="0" w:color="auto"/>
        <w:right w:val="none" w:sz="0" w:space="0" w:color="auto"/>
      </w:divBdr>
    </w:div>
    <w:div w:id="986861118">
      <w:marLeft w:val="0"/>
      <w:marRight w:val="0"/>
      <w:marTop w:val="0"/>
      <w:marBottom w:val="0"/>
      <w:divBdr>
        <w:top w:val="none" w:sz="0" w:space="0" w:color="auto"/>
        <w:left w:val="none" w:sz="0" w:space="0" w:color="auto"/>
        <w:bottom w:val="none" w:sz="0" w:space="0" w:color="auto"/>
        <w:right w:val="none" w:sz="0" w:space="0" w:color="auto"/>
      </w:divBdr>
      <w:divsChild>
        <w:div w:id="986861115">
          <w:marLeft w:val="0"/>
          <w:marRight w:val="0"/>
          <w:marTop w:val="0"/>
          <w:marBottom w:val="0"/>
          <w:divBdr>
            <w:top w:val="none" w:sz="0" w:space="0" w:color="auto"/>
            <w:left w:val="none" w:sz="0" w:space="0" w:color="auto"/>
            <w:bottom w:val="none" w:sz="0" w:space="0" w:color="auto"/>
            <w:right w:val="none" w:sz="0" w:space="0" w:color="auto"/>
          </w:divBdr>
        </w:div>
      </w:divsChild>
    </w:div>
    <w:div w:id="986861123">
      <w:marLeft w:val="0"/>
      <w:marRight w:val="0"/>
      <w:marTop w:val="0"/>
      <w:marBottom w:val="0"/>
      <w:divBdr>
        <w:top w:val="none" w:sz="0" w:space="0" w:color="auto"/>
        <w:left w:val="none" w:sz="0" w:space="0" w:color="auto"/>
        <w:bottom w:val="none" w:sz="0" w:space="0" w:color="auto"/>
        <w:right w:val="none" w:sz="0" w:space="0" w:color="auto"/>
      </w:divBdr>
      <w:divsChild>
        <w:div w:id="986861120">
          <w:marLeft w:val="0"/>
          <w:marRight w:val="0"/>
          <w:marTop w:val="0"/>
          <w:marBottom w:val="0"/>
          <w:divBdr>
            <w:top w:val="none" w:sz="0" w:space="0" w:color="auto"/>
            <w:left w:val="none" w:sz="0" w:space="0" w:color="auto"/>
            <w:bottom w:val="none" w:sz="0" w:space="0" w:color="auto"/>
            <w:right w:val="none" w:sz="0" w:space="0" w:color="auto"/>
          </w:divBdr>
        </w:div>
      </w:divsChild>
    </w:div>
    <w:div w:id="986861125">
      <w:marLeft w:val="0"/>
      <w:marRight w:val="0"/>
      <w:marTop w:val="0"/>
      <w:marBottom w:val="0"/>
      <w:divBdr>
        <w:top w:val="none" w:sz="0" w:space="0" w:color="auto"/>
        <w:left w:val="none" w:sz="0" w:space="0" w:color="auto"/>
        <w:bottom w:val="none" w:sz="0" w:space="0" w:color="auto"/>
        <w:right w:val="none" w:sz="0" w:space="0" w:color="auto"/>
      </w:divBdr>
      <w:divsChild>
        <w:div w:id="986861131">
          <w:marLeft w:val="0"/>
          <w:marRight w:val="0"/>
          <w:marTop w:val="0"/>
          <w:marBottom w:val="0"/>
          <w:divBdr>
            <w:top w:val="none" w:sz="0" w:space="0" w:color="auto"/>
            <w:left w:val="none" w:sz="0" w:space="0" w:color="auto"/>
            <w:bottom w:val="none" w:sz="0" w:space="0" w:color="auto"/>
            <w:right w:val="none" w:sz="0" w:space="0" w:color="auto"/>
          </w:divBdr>
        </w:div>
      </w:divsChild>
    </w:div>
    <w:div w:id="986861126">
      <w:marLeft w:val="0"/>
      <w:marRight w:val="0"/>
      <w:marTop w:val="0"/>
      <w:marBottom w:val="0"/>
      <w:divBdr>
        <w:top w:val="none" w:sz="0" w:space="0" w:color="auto"/>
        <w:left w:val="none" w:sz="0" w:space="0" w:color="auto"/>
        <w:bottom w:val="none" w:sz="0" w:space="0" w:color="auto"/>
        <w:right w:val="none" w:sz="0" w:space="0" w:color="auto"/>
      </w:divBdr>
    </w:div>
    <w:div w:id="986861127">
      <w:marLeft w:val="0"/>
      <w:marRight w:val="0"/>
      <w:marTop w:val="0"/>
      <w:marBottom w:val="0"/>
      <w:divBdr>
        <w:top w:val="none" w:sz="0" w:space="0" w:color="auto"/>
        <w:left w:val="none" w:sz="0" w:space="0" w:color="auto"/>
        <w:bottom w:val="none" w:sz="0" w:space="0" w:color="auto"/>
        <w:right w:val="none" w:sz="0" w:space="0" w:color="auto"/>
      </w:divBdr>
      <w:divsChild>
        <w:div w:id="986861114">
          <w:marLeft w:val="0"/>
          <w:marRight w:val="0"/>
          <w:marTop w:val="0"/>
          <w:marBottom w:val="0"/>
          <w:divBdr>
            <w:top w:val="none" w:sz="0" w:space="0" w:color="auto"/>
            <w:left w:val="none" w:sz="0" w:space="0" w:color="auto"/>
            <w:bottom w:val="none" w:sz="0" w:space="0" w:color="auto"/>
            <w:right w:val="none" w:sz="0" w:space="0" w:color="auto"/>
          </w:divBdr>
          <w:divsChild>
            <w:div w:id="986861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861129">
      <w:marLeft w:val="0"/>
      <w:marRight w:val="0"/>
      <w:marTop w:val="0"/>
      <w:marBottom w:val="0"/>
      <w:divBdr>
        <w:top w:val="none" w:sz="0" w:space="0" w:color="auto"/>
        <w:left w:val="none" w:sz="0" w:space="0" w:color="auto"/>
        <w:bottom w:val="none" w:sz="0" w:space="0" w:color="auto"/>
        <w:right w:val="none" w:sz="0" w:space="0" w:color="auto"/>
      </w:divBdr>
    </w:div>
    <w:div w:id="986861130">
      <w:marLeft w:val="0"/>
      <w:marRight w:val="0"/>
      <w:marTop w:val="0"/>
      <w:marBottom w:val="0"/>
      <w:divBdr>
        <w:top w:val="none" w:sz="0" w:space="0" w:color="auto"/>
        <w:left w:val="none" w:sz="0" w:space="0" w:color="auto"/>
        <w:bottom w:val="none" w:sz="0" w:space="0" w:color="auto"/>
        <w:right w:val="none" w:sz="0" w:space="0" w:color="auto"/>
      </w:divBdr>
      <w:divsChild>
        <w:div w:id="986861133">
          <w:marLeft w:val="0"/>
          <w:marRight w:val="0"/>
          <w:marTop w:val="0"/>
          <w:marBottom w:val="0"/>
          <w:divBdr>
            <w:top w:val="none" w:sz="0" w:space="0" w:color="auto"/>
            <w:left w:val="none" w:sz="0" w:space="0" w:color="auto"/>
            <w:bottom w:val="none" w:sz="0" w:space="0" w:color="auto"/>
            <w:right w:val="none" w:sz="0" w:space="0" w:color="auto"/>
          </w:divBdr>
          <w:divsChild>
            <w:div w:id="986861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861132">
      <w:marLeft w:val="0"/>
      <w:marRight w:val="0"/>
      <w:marTop w:val="0"/>
      <w:marBottom w:val="0"/>
      <w:divBdr>
        <w:top w:val="none" w:sz="0" w:space="0" w:color="auto"/>
        <w:left w:val="none" w:sz="0" w:space="0" w:color="auto"/>
        <w:bottom w:val="none" w:sz="0" w:space="0" w:color="auto"/>
        <w:right w:val="none" w:sz="0" w:space="0" w:color="auto"/>
      </w:divBdr>
    </w:div>
    <w:div w:id="986861134">
      <w:marLeft w:val="0"/>
      <w:marRight w:val="0"/>
      <w:marTop w:val="0"/>
      <w:marBottom w:val="0"/>
      <w:divBdr>
        <w:top w:val="none" w:sz="0" w:space="0" w:color="auto"/>
        <w:left w:val="none" w:sz="0" w:space="0" w:color="auto"/>
        <w:bottom w:val="none" w:sz="0" w:space="0" w:color="auto"/>
        <w:right w:val="none" w:sz="0" w:space="0" w:color="auto"/>
      </w:divBdr>
      <w:divsChild>
        <w:div w:id="986861128">
          <w:marLeft w:val="0"/>
          <w:marRight w:val="0"/>
          <w:marTop w:val="0"/>
          <w:marBottom w:val="0"/>
          <w:divBdr>
            <w:top w:val="none" w:sz="0" w:space="0" w:color="auto"/>
            <w:left w:val="none" w:sz="0" w:space="0" w:color="auto"/>
            <w:bottom w:val="none" w:sz="0" w:space="0" w:color="auto"/>
            <w:right w:val="none" w:sz="0" w:space="0" w:color="auto"/>
          </w:divBdr>
        </w:div>
      </w:divsChild>
    </w:div>
    <w:div w:id="1006329240">
      <w:bodyDiv w:val="1"/>
      <w:marLeft w:val="0"/>
      <w:marRight w:val="0"/>
      <w:marTop w:val="0"/>
      <w:marBottom w:val="0"/>
      <w:divBdr>
        <w:top w:val="none" w:sz="0" w:space="0" w:color="auto"/>
        <w:left w:val="none" w:sz="0" w:space="0" w:color="auto"/>
        <w:bottom w:val="none" w:sz="0" w:space="0" w:color="auto"/>
        <w:right w:val="none" w:sz="0" w:space="0" w:color="auto"/>
      </w:divBdr>
    </w:div>
    <w:div w:id="1020470817">
      <w:bodyDiv w:val="1"/>
      <w:marLeft w:val="0"/>
      <w:marRight w:val="0"/>
      <w:marTop w:val="0"/>
      <w:marBottom w:val="0"/>
      <w:divBdr>
        <w:top w:val="none" w:sz="0" w:space="0" w:color="auto"/>
        <w:left w:val="none" w:sz="0" w:space="0" w:color="auto"/>
        <w:bottom w:val="none" w:sz="0" w:space="0" w:color="auto"/>
        <w:right w:val="none" w:sz="0" w:space="0" w:color="auto"/>
      </w:divBdr>
    </w:div>
    <w:div w:id="1030103439">
      <w:bodyDiv w:val="1"/>
      <w:marLeft w:val="0"/>
      <w:marRight w:val="0"/>
      <w:marTop w:val="0"/>
      <w:marBottom w:val="0"/>
      <w:divBdr>
        <w:top w:val="none" w:sz="0" w:space="0" w:color="auto"/>
        <w:left w:val="none" w:sz="0" w:space="0" w:color="auto"/>
        <w:bottom w:val="none" w:sz="0" w:space="0" w:color="auto"/>
        <w:right w:val="none" w:sz="0" w:space="0" w:color="auto"/>
      </w:divBdr>
    </w:div>
    <w:div w:id="1046678033">
      <w:bodyDiv w:val="1"/>
      <w:marLeft w:val="0"/>
      <w:marRight w:val="0"/>
      <w:marTop w:val="0"/>
      <w:marBottom w:val="0"/>
      <w:divBdr>
        <w:top w:val="none" w:sz="0" w:space="0" w:color="auto"/>
        <w:left w:val="none" w:sz="0" w:space="0" w:color="auto"/>
        <w:bottom w:val="none" w:sz="0" w:space="0" w:color="auto"/>
        <w:right w:val="none" w:sz="0" w:space="0" w:color="auto"/>
      </w:divBdr>
    </w:div>
    <w:div w:id="1049185556">
      <w:bodyDiv w:val="1"/>
      <w:marLeft w:val="0"/>
      <w:marRight w:val="0"/>
      <w:marTop w:val="0"/>
      <w:marBottom w:val="0"/>
      <w:divBdr>
        <w:top w:val="none" w:sz="0" w:space="0" w:color="auto"/>
        <w:left w:val="none" w:sz="0" w:space="0" w:color="auto"/>
        <w:bottom w:val="none" w:sz="0" w:space="0" w:color="auto"/>
        <w:right w:val="none" w:sz="0" w:space="0" w:color="auto"/>
      </w:divBdr>
    </w:div>
    <w:div w:id="1057821462">
      <w:bodyDiv w:val="1"/>
      <w:marLeft w:val="0"/>
      <w:marRight w:val="0"/>
      <w:marTop w:val="0"/>
      <w:marBottom w:val="0"/>
      <w:divBdr>
        <w:top w:val="none" w:sz="0" w:space="0" w:color="auto"/>
        <w:left w:val="none" w:sz="0" w:space="0" w:color="auto"/>
        <w:bottom w:val="none" w:sz="0" w:space="0" w:color="auto"/>
        <w:right w:val="none" w:sz="0" w:space="0" w:color="auto"/>
      </w:divBdr>
    </w:div>
    <w:div w:id="1061951266">
      <w:bodyDiv w:val="1"/>
      <w:marLeft w:val="0"/>
      <w:marRight w:val="0"/>
      <w:marTop w:val="0"/>
      <w:marBottom w:val="0"/>
      <w:divBdr>
        <w:top w:val="none" w:sz="0" w:space="0" w:color="auto"/>
        <w:left w:val="none" w:sz="0" w:space="0" w:color="auto"/>
        <w:bottom w:val="none" w:sz="0" w:space="0" w:color="auto"/>
        <w:right w:val="none" w:sz="0" w:space="0" w:color="auto"/>
      </w:divBdr>
    </w:div>
    <w:div w:id="1067995216">
      <w:bodyDiv w:val="1"/>
      <w:marLeft w:val="0"/>
      <w:marRight w:val="0"/>
      <w:marTop w:val="0"/>
      <w:marBottom w:val="0"/>
      <w:divBdr>
        <w:top w:val="none" w:sz="0" w:space="0" w:color="auto"/>
        <w:left w:val="none" w:sz="0" w:space="0" w:color="auto"/>
        <w:bottom w:val="none" w:sz="0" w:space="0" w:color="auto"/>
        <w:right w:val="none" w:sz="0" w:space="0" w:color="auto"/>
      </w:divBdr>
    </w:div>
    <w:div w:id="1074274988">
      <w:bodyDiv w:val="1"/>
      <w:marLeft w:val="0"/>
      <w:marRight w:val="0"/>
      <w:marTop w:val="0"/>
      <w:marBottom w:val="0"/>
      <w:divBdr>
        <w:top w:val="none" w:sz="0" w:space="0" w:color="auto"/>
        <w:left w:val="none" w:sz="0" w:space="0" w:color="auto"/>
        <w:bottom w:val="none" w:sz="0" w:space="0" w:color="auto"/>
        <w:right w:val="none" w:sz="0" w:space="0" w:color="auto"/>
      </w:divBdr>
    </w:div>
    <w:div w:id="1082486037">
      <w:bodyDiv w:val="1"/>
      <w:marLeft w:val="0"/>
      <w:marRight w:val="0"/>
      <w:marTop w:val="0"/>
      <w:marBottom w:val="0"/>
      <w:divBdr>
        <w:top w:val="none" w:sz="0" w:space="0" w:color="auto"/>
        <w:left w:val="none" w:sz="0" w:space="0" w:color="auto"/>
        <w:bottom w:val="none" w:sz="0" w:space="0" w:color="auto"/>
        <w:right w:val="none" w:sz="0" w:space="0" w:color="auto"/>
      </w:divBdr>
    </w:div>
    <w:div w:id="1087846396">
      <w:bodyDiv w:val="1"/>
      <w:marLeft w:val="0"/>
      <w:marRight w:val="0"/>
      <w:marTop w:val="0"/>
      <w:marBottom w:val="0"/>
      <w:divBdr>
        <w:top w:val="none" w:sz="0" w:space="0" w:color="auto"/>
        <w:left w:val="none" w:sz="0" w:space="0" w:color="auto"/>
        <w:bottom w:val="none" w:sz="0" w:space="0" w:color="auto"/>
        <w:right w:val="none" w:sz="0" w:space="0" w:color="auto"/>
      </w:divBdr>
    </w:div>
    <w:div w:id="1097599417">
      <w:bodyDiv w:val="1"/>
      <w:marLeft w:val="0"/>
      <w:marRight w:val="0"/>
      <w:marTop w:val="0"/>
      <w:marBottom w:val="0"/>
      <w:divBdr>
        <w:top w:val="none" w:sz="0" w:space="0" w:color="auto"/>
        <w:left w:val="none" w:sz="0" w:space="0" w:color="auto"/>
        <w:bottom w:val="none" w:sz="0" w:space="0" w:color="auto"/>
        <w:right w:val="none" w:sz="0" w:space="0" w:color="auto"/>
      </w:divBdr>
    </w:div>
    <w:div w:id="1109548502">
      <w:bodyDiv w:val="1"/>
      <w:marLeft w:val="0"/>
      <w:marRight w:val="0"/>
      <w:marTop w:val="0"/>
      <w:marBottom w:val="0"/>
      <w:divBdr>
        <w:top w:val="none" w:sz="0" w:space="0" w:color="auto"/>
        <w:left w:val="none" w:sz="0" w:space="0" w:color="auto"/>
        <w:bottom w:val="none" w:sz="0" w:space="0" w:color="auto"/>
        <w:right w:val="none" w:sz="0" w:space="0" w:color="auto"/>
      </w:divBdr>
    </w:div>
    <w:div w:id="1116482563">
      <w:bodyDiv w:val="1"/>
      <w:marLeft w:val="0"/>
      <w:marRight w:val="0"/>
      <w:marTop w:val="0"/>
      <w:marBottom w:val="0"/>
      <w:divBdr>
        <w:top w:val="none" w:sz="0" w:space="0" w:color="auto"/>
        <w:left w:val="none" w:sz="0" w:space="0" w:color="auto"/>
        <w:bottom w:val="none" w:sz="0" w:space="0" w:color="auto"/>
        <w:right w:val="none" w:sz="0" w:space="0" w:color="auto"/>
      </w:divBdr>
    </w:div>
    <w:div w:id="1128355599">
      <w:bodyDiv w:val="1"/>
      <w:marLeft w:val="0"/>
      <w:marRight w:val="0"/>
      <w:marTop w:val="0"/>
      <w:marBottom w:val="0"/>
      <w:divBdr>
        <w:top w:val="none" w:sz="0" w:space="0" w:color="auto"/>
        <w:left w:val="none" w:sz="0" w:space="0" w:color="auto"/>
        <w:bottom w:val="none" w:sz="0" w:space="0" w:color="auto"/>
        <w:right w:val="none" w:sz="0" w:space="0" w:color="auto"/>
      </w:divBdr>
    </w:div>
    <w:div w:id="1134760579">
      <w:bodyDiv w:val="1"/>
      <w:marLeft w:val="0"/>
      <w:marRight w:val="0"/>
      <w:marTop w:val="0"/>
      <w:marBottom w:val="0"/>
      <w:divBdr>
        <w:top w:val="none" w:sz="0" w:space="0" w:color="auto"/>
        <w:left w:val="none" w:sz="0" w:space="0" w:color="auto"/>
        <w:bottom w:val="none" w:sz="0" w:space="0" w:color="auto"/>
        <w:right w:val="none" w:sz="0" w:space="0" w:color="auto"/>
      </w:divBdr>
    </w:div>
    <w:div w:id="1136097449">
      <w:bodyDiv w:val="1"/>
      <w:marLeft w:val="0"/>
      <w:marRight w:val="0"/>
      <w:marTop w:val="0"/>
      <w:marBottom w:val="0"/>
      <w:divBdr>
        <w:top w:val="none" w:sz="0" w:space="0" w:color="auto"/>
        <w:left w:val="none" w:sz="0" w:space="0" w:color="auto"/>
        <w:bottom w:val="none" w:sz="0" w:space="0" w:color="auto"/>
        <w:right w:val="none" w:sz="0" w:space="0" w:color="auto"/>
      </w:divBdr>
    </w:div>
    <w:div w:id="1146438196">
      <w:bodyDiv w:val="1"/>
      <w:marLeft w:val="0"/>
      <w:marRight w:val="0"/>
      <w:marTop w:val="0"/>
      <w:marBottom w:val="0"/>
      <w:divBdr>
        <w:top w:val="none" w:sz="0" w:space="0" w:color="auto"/>
        <w:left w:val="none" w:sz="0" w:space="0" w:color="auto"/>
        <w:bottom w:val="none" w:sz="0" w:space="0" w:color="auto"/>
        <w:right w:val="none" w:sz="0" w:space="0" w:color="auto"/>
      </w:divBdr>
    </w:div>
    <w:div w:id="1153444390">
      <w:bodyDiv w:val="1"/>
      <w:marLeft w:val="0"/>
      <w:marRight w:val="0"/>
      <w:marTop w:val="0"/>
      <w:marBottom w:val="0"/>
      <w:divBdr>
        <w:top w:val="none" w:sz="0" w:space="0" w:color="auto"/>
        <w:left w:val="none" w:sz="0" w:space="0" w:color="auto"/>
        <w:bottom w:val="none" w:sz="0" w:space="0" w:color="auto"/>
        <w:right w:val="none" w:sz="0" w:space="0" w:color="auto"/>
      </w:divBdr>
    </w:div>
    <w:div w:id="1177160507">
      <w:bodyDiv w:val="1"/>
      <w:marLeft w:val="0"/>
      <w:marRight w:val="0"/>
      <w:marTop w:val="0"/>
      <w:marBottom w:val="0"/>
      <w:divBdr>
        <w:top w:val="none" w:sz="0" w:space="0" w:color="auto"/>
        <w:left w:val="none" w:sz="0" w:space="0" w:color="auto"/>
        <w:bottom w:val="none" w:sz="0" w:space="0" w:color="auto"/>
        <w:right w:val="none" w:sz="0" w:space="0" w:color="auto"/>
      </w:divBdr>
    </w:div>
    <w:div w:id="1183125565">
      <w:bodyDiv w:val="1"/>
      <w:marLeft w:val="0"/>
      <w:marRight w:val="0"/>
      <w:marTop w:val="0"/>
      <w:marBottom w:val="0"/>
      <w:divBdr>
        <w:top w:val="none" w:sz="0" w:space="0" w:color="auto"/>
        <w:left w:val="none" w:sz="0" w:space="0" w:color="auto"/>
        <w:bottom w:val="none" w:sz="0" w:space="0" w:color="auto"/>
        <w:right w:val="none" w:sz="0" w:space="0" w:color="auto"/>
      </w:divBdr>
    </w:div>
    <w:div w:id="1188956366">
      <w:bodyDiv w:val="1"/>
      <w:marLeft w:val="0"/>
      <w:marRight w:val="0"/>
      <w:marTop w:val="0"/>
      <w:marBottom w:val="0"/>
      <w:divBdr>
        <w:top w:val="none" w:sz="0" w:space="0" w:color="auto"/>
        <w:left w:val="none" w:sz="0" w:space="0" w:color="auto"/>
        <w:bottom w:val="none" w:sz="0" w:space="0" w:color="auto"/>
        <w:right w:val="none" w:sz="0" w:space="0" w:color="auto"/>
      </w:divBdr>
    </w:div>
    <w:div w:id="1195849064">
      <w:bodyDiv w:val="1"/>
      <w:marLeft w:val="0"/>
      <w:marRight w:val="0"/>
      <w:marTop w:val="0"/>
      <w:marBottom w:val="0"/>
      <w:divBdr>
        <w:top w:val="none" w:sz="0" w:space="0" w:color="auto"/>
        <w:left w:val="none" w:sz="0" w:space="0" w:color="auto"/>
        <w:bottom w:val="none" w:sz="0" w:space="0" w:color="auto"/>
        <w:right w:val="none" w:sz="0" w:space="0" w:color="auto"/>
      </w:divBdr>
    </w:div>
    <w:div w:id="1202133812">
      <w:bodyDiv w:val="1"/>
      <w:marLeft w:val="0"/>
      <w:marRight w:val="0"/>
      <w:marTop w:val="0"/>
      <w:marBottom w:val="0"/>
      <w:divBdr>
        <w:top w:val="none" w:sz="0" w:space="0" w:color="auto"/>
        <w:left w:val="none" w:sz="0" w:space="0" w:color="auto"/>
        <w:bottom w:val="none" w:sz="0" w:space="0" w:color="auto"/>
        <w:right w:val="none" w:sz="0" w:space="0" w:color="auto"/>
      </w:divBdr>
    </w:div>
    <w:div w:id="1213152573">
      <w:bodyDiv w:val="1"/>
      <w:marLeft w:val="0"/>
      <w:marRight w:val="0"/>
      <w:marTop w:val="0"/>
      <w:marBottom w:val="0"/>
      <w:divBdr>
        <w:top w:val="none" w:sz="0" w:space="0" w:color="auto"/>
        <w:left w:val="none" w:sz="0" w:space="0" w:color="auto"/>
        <w:bottom w:val="none" w:sz="0" w:space="0" w:color="auto"/>
        <w:right w:val="none" w:sz="0" w:space="0" w:color="auto"/>
      </w:divBdr>
    </w:div>
    <w:div w:id="1214806482">
      <w:bodyDiv w:val="1"/>
      <w:marLeft w:val="0"/>
      <w:marRight w:val="0"/>
      <w:marTop w:val="0"/>
      <w:marBottom w:val="0"/>
      <w:divBdr>
        <w:top w:val="none" w:sz="0" w:space="0" w:color="auto"/>
        <w:left w:val="none" w:sz="0" w:space="0" w:color="auto"/>
        <w:bottom w:val="none" w:sz="0" w:space="0" w:color="auto"/>
        <w:right w:val="none" w:sz="0" w:space="0" w:color="auto"/>
      </w:divBdr>
    </w:div>
    <w:div w:id="1221598618">
      <w:bodyDiv w:val="1"/>
      <w:marLeft w:val="0"/>
      <w:marRight w:val="0"/>
      <w:marTop w:val="0"/>
      <w:marBottom w:val="0"/>
      <w:divBdr>
        <w:top w:val="none" w:sz="0" w:space="0" w:color="auto"/>
        <w:left w:val="none" w:sz="0" w:space="0" w:color="auto"/>
        <w:bottom w:val="none" w:sz="0" w:space="0" w:color="auto"/>
        <w:right w:val="none" w:sz="0" w:space="0" w:color="auto"/>
      </w:divBdr>
    </w:div>
    <w:div w:id="1224488293">
      <w:bodyDiv w:val="1"/>
      <w:marLeft w:val="0"/>
      <w:marRight w:val="0"/>
      <w:marTop w:val="0"/>
      <w:marBottom w:val="0"/>
      <w:divBdr>
        <w:top w:val="none" w:sz="0" w:space="0" w:color="auto"/>
        <w:left w:val="none" w:sz="0" w:space="0" w:color="auto"/>
        <w:bottom w:val="none" w:sz="0" w:space="0" w:color="auto"/>
        <w:right w:val="none" w:sz="0" w:space="0" w:color="auto"/>
      </w:divBdr>
    </w:div>
    <w:div w:id="1230307928">
      <w:bodyDiv w:val="1"/>
      <w:marLeft w:val="0"/>
      <w:marRight w:val="0"/>
      <w:marTop w:val="0"/>
      <w:marBottom w:val="0"/>
      <w:divBdr>
        <w:top w:val="none" w:sz="0" w:space="0" w:color="auto"/>
        <w:left w:val="none" w:sz="0" w:space="0" w:color="auto"/>
        <w:bottom w:val="none" w:sz="0" w:space="0" w:color="auto"/>
        <w:right w:val="none" w:sz="0" w:space="0" w:color="auto"/>
      </w:divBdr>
    </w:div>
    <w:div w:id="1248071626">
      <w:bodyDiv w:val="1"/>
      <w:marLeft w:val="0"/>
      <w:marRight w:val="0"/>
      <w:marTop w:val="0"/>
      <w:marBottom w:val="0"/>
      <w:divBdr>
        <w:top w:val="none" w:sz="0" w:space="0" w:color="auto"/>
        <w:left w:val="none" w:sz="0" w:space="0" w:color="auto"/>
        <w:bottom w:val="none" w:sz="0" w:space="0" w:color="auto"/>
        <w:right w:val="none" w:sz="0" w:space="0" w:color="auto"/>
      </w:divBdr>
    </w:div>
    <w:div w:id="1263342374">
      <w:bodyDiv w:val="1"/>
      <w:marLeft w:val="0"/>
      <w:marRight w:val="0"/>
      <w:marTop w:val="0"/>
      <w:marBottom w:val="0"/>
      <w:divBdr>
        <w:top w:val="none" w:sz="0" w:space="0" w:color="auto"/>
        <w:left w:val="none" w:sz="0" w:space="0" w:color="auto"/>
        <w:bottom w:val="none" w:sz="0" w:space="0" w:color="auto"/>
        <w:right w:val="none" w:sz="0" w:space="0" w:color="auto"/>
      </w:divBdr>
    </w:div>
    <w:div w:id="1281569893">
      <w:bodyDiv w:val="1"/>
      <w:marLeft w:val="0"/>
      <w:marRight w:val="0"/>
      <w:marTop w:val="0"/>
      <w:marBottom w:val="0"/>
      <w:divBdr>
        <w:top w:val="none" w:sz="0" w:space="0" w:color="auto"/>
        <w:left w:val="none" w:sz="0" w:space="0" w:color="auto"/>
        <w:bottom w:val="none" w:sz="0" w:space="0" w:color="auto"/>
        <w:right w:val="none" w:sz="0" w:space="0" w:color="auto"/>
      </w:divBdr>
    </w:div>
    <w:div w:id="1290090448">
      <w:bodyDiv w:val="1"/>
      <w:marLeft w:val="0"/>
      <w:marRight w:val="0"/>
      <w:marTop w:val="0"/>
      <w:marBottom w:val="0"/>
      <w:divBdr>
        <w:top w:val="none" w:sz="0" w:space="0" w:color="auto"/>
        <w:left w:val="none" w:sz="0" w:space="0" w:color="auto"/>
        <w:bottom w:val="none" w:sz="0" w:space="0" w:color="auto"/>
        <w:right w:val="none" w:sz="0" w:space="0" w:color="auto"/>
      </w:divBdr>
    </w:div>
    <w:div w:id="1308824628">
      <w:bodyDiv w:val="1"/>
      <w:marLeft w:val="0"/>
      <w:marRight w:val="0"/>
      <w:marTop w:val="0"/>
      <w:marBottom w:val="0"/>
      <w:divBdr>
        <w:top w:val="none" w:sz="0" w:space="0" w:color="auto"/>
        <w:left w:val="none" w:sz="0" w:space="0" w:color="auto"/>
        <w:bottom w:val="none" w:sz="0" w:space="0" w:color="auto"/>
        <w:right w:val="none" w:sz="0" w:space="0" w:color="auto"/>
      </w:divBdr>
    </w:div>
    <w:div w:id="1311792597">
      <w:bodyDiv w:val="1"/>
      <w:marLeft w:val="0"/>
      <w:marRight w:val="0"/>
      <w:marTop w:val="0"/>
      <w:marBottom w:val="0"/>
      <w:divBdr>
        <w:top w:val="none" w:sz="0" w:space="0" w:color="auto"/>
        <w:left w:val="none" w:sz="0" w:space="0" w:color="auto"/>
        <w:bottom w:val="none" w:sz="0" w:space="0" w:color="auto"/>
        <w:right w:val="none" w:sz="0" w:space="0" w:color="auto"/>
      </w:divBdr>
    </w:div>
    <w:div w:id="1320381686">
      <w:bodyDiv w:val="1"/>
      <w:marLeft w:val="0"/>
      <w:marRight w:val="0"/>
      <w:marTop w:val="0"/>
      <w:marBottom w:val="0"/>
      <w:divBdr>
        <w:top w:val="none" w:sz="0" w:space="0" w:color="auto"/>
        <w:left w:val="none" w:sz="0" w:space="0" w:color="auto"/>
        <w:bottom w:val="none" w:sz="0" w:space="0" w:color="auto"/>
        <w:right w:val="none" w:sz="0" w:space="0" w:color="auto"/>
      </w:divBdr>
    </w:div>
    <w:div w:id="1329483984">
      <w:bodyDiv w:val="1"/>
      <w:marLeft w:val="0"/>
      <w:marRight w:val="0"/>
      <w:marTop w:val="0"/>
      <w:marBottom w:val="0"/>
      <w:divBdr>
        <w:top w:val="none" w:sz="0" w:space="0" w:color="auto"/>
        <w:left w:val="none" w:sz="0" w:space="0" w:color="auto"/>
        <w:bottom w:val="none" w:sz="0" w:space="0" w:color="auto"/>
        <w:right w:val="none" w:sz="0" w:space="0" w:color="auto"/>
      </w:divBdr>
    </w:div>
    <w:div w:id="1338919779">
      <w:bodyDiv w:val="1"/>
      <w:marLeft w:val="0"/>
      <w:marRight w:val="0"/>
      <w:marTop w:val="0"/>
      <w:marBottom w:val="0"/>
      <w:divBdr>
        <w:top w:val="none" w:sz="0" w:space="0" w:color="auto"/>
        <w:left w:val="none" w:sz="0" w:space="0" w:color="auto"/>
        <w:bottom w:val="none" w:sz="0" w:space="0" w:color="auto"/>
        <w:right w:val="none" w:sz="0" w:space="0" w:color="auto"/>
      </w:divBdr>
    </w:div>
    <w:div w:id="1343781176">
      <w:bodyDiv w:val="1"/>
      <w:marLeft w:val="0"/>
      <w:marRight w:val="0"/>
      <w:marTop w:val="0"/>
      <w:marBottom w:val="0"/>
      <w:divBdr>
        <w:top w:val="none" w:sz="0" w:space="0" w:color="auto"/>
        <w:left w:val="none" w:sz="0" w:space="0" w:color="auto"/>
        <w:bottom w:val="none" w:sz="0" w:space="0" w:color="auto"/>
        <w:right w:val="none" w:sz="0" w:space="0" w:color="auto"/>
      </w:divBdr>
    </w:div>
    <w:div w:id="1352419220">
      <w:bodyDiv w:val="1"/>
      <w:marLeft w:val="0"/>
      <w:marRight w:val="0"/>
      <w:marTop w:val="0"/>
      <w:marBottom w:val="0"/>
      <w:divBdr>
        <w:top w:val="none" w:sz="0" w:space="0" w:color="auto"/>
        <w:left w:val="none" w:sz="0" w:space="0" w:color="auto"/>
        <w:bottom w:val="none" w:sz="0" w:space="0" w:color="auto"/>
        <w:right w:val="none" w:sz="0" w:space="0" w:color="auto"/>
      </w:divBdr>
    </w:div>
    <w:div w:id="1354648450">
      <w:bodyDiv w:val="1"/>
      <w:marLeft w:val="0"/>
      <w:marRight w:val="0"/>
      <w:marTop w:val="0"/>
      <w:marBottom w:val="0"/>
      <w:divBdr>
        <w:top w:val="none" w:sz="0" w:space="0" w:color="auto"/>
        <w:left w:val="none" w:sz="0" w:space="0" w:color="auto"/>
        <w:bottom w:val="none" w:sz="0" w:space="0" w:color="auto"/>
        <w:right w:val="none" w:sz="0" w:space="0" w:color="auto"/>
      </w:divBdr>
    </w:div>
    <w:div w:id="1359507577">
      <w:bodyDiv w:val="1"/>
      <w:marLeft w:val="0"/>
      <w:marRight w:val="0"/>
      <w:marTop w:val="0"/>
      <w:marBottom w:val="0"/>
      <w:divBdr>
        <w:top w:val="none" w:sz="0" w:space="0" w:color="auto"/>
        <w:left w:val="none" w:sz="0" w:space="0" w:color="auto"/>
        <w:bottom w:val="none" w:sz="0" w:space="0" w:color="auto"/>
        <w:right w:val="none" w:sz="0" w:space="0" w:color="auto"/>
      </w:divBdr>
    </w:div>
    <w:div w:id="1365209972">
      <w:bodyDiv w:val="1"/>
      <w:marLeft w:val="0"/>
      <w:marRight w:val="0"/>
      <w:marTop w:val="0"/>
      <w:marBottom w:val="0"/>
      <w:divBdr>
        <w:top w:val="none" w:sz="0" w:space="0" w:color="auto"/>
        <w:left w:val="none" w:sz="0" w:space="0" w:color="auto"/>
        <w:bottom w:val="none" w:sz="0" w:space="0" w:color="auto"/>
        <w:right w:val="none" w:sz="0" w:space="0" w:color="auto"/>
      </w:divBdr>
    </w:div>
    <w:div w:id="1367830858">
      <w:bodyDiv w:val="1"/>
      <w:marLeft w:val="0"/>
      <w:marRight w:val="0"/>
      <w:marTop w:val="0"/>
      <w:marBottom w:val="0"/>
      <w:divBdr>
        <w:top w:val="none" w:sz="0" w:space="0" w:color="auto"/>
        <w:left w:val="none" w:sz="0" w:space="0" w:color="auto"/>
        <w:bottom w:val="none" w:sz="0" w:space="0" w:color="auto"/>
        <w:right w:val="none" w:sz="0" w:space="0" w:color="auto"/>
      </w:divBdr>
    </w:div>
    <w:div w:id="1383677377">
      <w:bodyDiv w:val="1"/>
      <w:marLeft w:val="0"/>
      <w:marRight w:val="0"/>
      <w:marTop w:val="0"/>
      <w:marBottom w:val="0"/>
      <w:divBdr>
        <w:top w:val="none" w:sz="0" w:space="0" w:color="auto"/>
        <w:left w:val="none" w:sz="0" w:space="0" w:color="auto"/>
        <w:bottom w:val="none" w:sz="0" w:space="0" w:color="auto"/>
        <w:right w:val="none" w:sz="0" w:space="0" w:color="auto"/>
      </w:divBdr>
    </w:div>
    <w:div w:id="1390609471">
      <w:bodyDiv w:val="1"/>
      <w:marLeft w:val="0"/>
      <w:marRight w:val="0"/>
      <w:marTop w:val="0"/>
      <w:marBottom w:val="0"/>
      <w:divBdr>
        <w:top w:val="none" w:sz="0" w:space="0" w:color="auto"/>
        <w:left w:val="none" w:sz="0" w:space="0" w:color="auto"/>
        <w:bottom w:val="none" w:sz="0" w:space="0" w:color="auto"/>
        <w:right w:val="none" w:sz="0" w:space="0" w:color="auto"/>
      </w:divBdr>
    </w:div>
    <w:div w:id="1395617634">
      <w:bodyDiv w:val="1"/>
      <w:marLeft w:val="0"/>
      <w:marRight w:val="0"/>
      <w:marTop w:val="0"/>
      <w:marBottom w:val="0"/>
      <w:divBdr>
        <w:top w:val="none" w:sz="0" w:space="0" w:color="auto"/>
        <w:left w:val="none" w:sz="0" w:space="0" w:color="auto"/>
        <w:bottom w:val="none" w:sz="0" w:space="0" w:color="auto"/>
        <w:right w:val="none" w:sz="0" w:space="0" w:color="auto"/>
      </w:divBdr>
    </w:div>
    <w:div w:id="1396659648">
      <w:bodyDiv w:val="1"/>
      <w:marLeft w:val="0"/>
      <w:marRight w:val="0"/>
      <w:marTop w:val="0"/>
      <w:marBottom w:val="0"/>
      <w:divBdr>
        <w:top w:val="none" w:sz="0" w:space="0" w:color="auto"/>
        <w:left w:val="none" w:sz="0" w:space="0" w:color="auto"/>
        <w:bottom w:val="none" w:sz="0" w:space="0" w:color="auto"/>
        <w:right w:val="none" w:sz="0" w:space="0" w:color="auto"/>
      </w:divBdr>
    </w:div>
    <w:div w:id="1404715032">
      <w:bodyDiv w:val="1"/>
      <w:marLeft w:val="0"/>
      <w:marRight w:val="0"/>
      <w:marTop w:val="0"/>
      <w:marBottom w:val="0"/>
      <w:divBdr>
        <w:top w:val="none" w:sz="0" w:space="0" w:color="auto"/>
        <w:left w:val="none" w:sz="0" w:space="0" w:color="auto"/>
        <w:bottom w:val="none" w:sz="0" w:space="0" w:color="auto"/>
        <w:right w:val="none" w:sz="0" w:space="0" w:color="auto"/>
      </w:divBdr>
    </w:div>
    <w:div w:id="1404916036">
      <w:bodyDiv w:val="1"/>
      <w:marLeft w:val="0"/>
      <w:marRight w:val="0"/>
      <w:marTop w:val="0"/>
      <w:marBottom w:val="0"/>
      <w:divBdr>
        <w:top w:val="none" w:sz="0" w:space="0" w:color="auto"/>
        <w:left w:val="none" w:sz="0" w:space="0" w:color="auto"/>
        <w:bottom w:val="none" w:sz="0" w:space="0" w:color="auto"/>
        <w:right w:val="none" w:sz="0" w:space="0" w:color="auto"/>
      </w:divBdr>
    </w:div>
    <w:div w:id="1409234036">
      <w:bodyDiv w:val="1"/>
      <w:marLeft w:val="0"/>
      <w:marRight w:val="0"/>
      <w:marTop w:val="0"/>
      <w:marBottom w:val="0"/>
      <w:divBdr>
        <w:top w:val="none" w:sz="0" w:space="0" w:color="auto"/>
        <w:left w:val="none" w:sz="0" w:space="0" w:color="auto"/>
        <w:bottom w:val="none" w:sz="0" w:space="0" w:color="auto"/>
        <w:right w:val="none" w:sz="0" w:space="0" w:color="auto"/>
      </w:divBdr>
    </w:div>
    <w:div w:id="1443956758">
      <w:bodyDiv w:val="1"/>
      <w:marLeft w:val="0"/>
      <w:marRight w:val="0"/>
      <w:marTop w:val="0"/>
      <w:marBottom w:val="0"/>
      <w:divBdr>
        <w:top w:val="none" w:sz="0" w:space="0" w:color="auto"/>
        <w:left w:val="none" w:sz="0" w:space="0" w:color="auto"/>
        <w:bottom w:val="none" w:sz="0" w:space="0" w:color="auto"/>
        <w:right w:val="none" w:sz="0" w:space="0" w:color="auto"/>
      </w:divBdr>
    </w:div>
    <w:div w:id="1445928376">
      <w:bodyDiv w:val="1"/>
      <w:marLeft w:val="0"/>
      <w:marRight w:val="0"/>
      <w:marTop w:val="0"/>
      <w:marBottom w:val="0"/>
      <w:divBdr>
        <w:top w:val="none" w:sz="0" w:space="0" w:color="auto"/>
        <w:left w:val="none" w:sz="0" w:space="0" w:color="auto"/>
        <w:bottom w:val="none" w:sz="0" w:space="0" w:color="auto"/>
        <w:right w:val="none" w:sz="0" w:space="0" w:color="auto"/>
      </w:divBdr>
    </w:div>
    <w:div w:id="1477719963">
      <w:bodyDiv w:val="1"/>
      <w:marLeft w:val="0"/>
      <w:marRight w:val="0"/>
      <w:marTop w:val="0"/>
      <w:marBottom w:val="0"/>
      <w:divBdr>
        <w:top w:val="none" w:sz="0" w:space="0" w:color="auto"/>
        <w:left w:val="none" w:sz="0" w:space="0" w:color="auto"/>
        <w:bottom w:val="none" w:sz="0" w:space="0" w:color="auto"/>
        <w:right w:val="none" w:sz="0" w:space="0" w:color="auto"/>
      </w:divBdr>
    </w:div>
    <w:div w:id="1481578391">
      <w:bodyDiv w:val="1"/>
      <w:marLeft w:val="0"/>
      <w:marRight w:val="0"/>
      <w:marTop w:val="0"/>
      <w:marBottom w:val="0"/>
      <w:divBdr>
        <w:top w:val="none" w:sz="0" w:space="0" w:color="auto"/>
        <w:left w:val="none" w:sz="0" w:space="0" w:color="auto"/>
        <w:bottom w:val="none" w:sz="0" w:space="0" w:color="auto"/>
        <w:right w:val="none" w:sz="0" w:space="0" w:color="auto"/>
      </w:divBdr>
    </w:div>
    <w:div w:id="1490442582">
      <w:bodyDiv w:val="1"/>
      <w:marLeft w:val="0"/>
      <w:marRight w:val="0"/>
      <w:marTop w:val="0"/>
      <w:marBottom w:val="0"/>
      <w:divBdr>
        <w:top w:val="none" w:sz="0" w:space="0" w:color="auto"/>
        <w:left w:val="none" w:sz="0" w:space="0" w:color="auto"/>
        <w:bottom w:val="none" w:sz="0" w:space="0" w:color="auto"/>
        <w:right w:val="none" w:sz="0" w:space="0" w:color="auto"/>
      </w:divBdr>
    </w:div>
    <w:div w:id="1493716440">
      <w:bodyDiv w:val="1"/>
      <w:marLeft w:val="0"/>
      <w:marRight w:val="0"/>
      <w:marTop w:val="0"/>
      <w:marBottom w:val="0"/>
      <w:divBdr>
        <w:top w:val="none" w:sz="0" w:space="0" w:color="auto"/>
        <w:left w:val="none" w:sz="0" w:space="0" w:color="auto"/>
        <w:bottom w:val="none" w:sz="0" w:space="0" w:color="auto"/>
        <w:right w:val="none" w:sz="0" w:space="0" w:color="auto"/>
      </w:divBdr>
    </w:div>
    <w:div w:id="1500122262">
      <w:bodyDiv w:val="1"/>
      <w:marLeft w:val="0"/>
      <w:marRight w:val="0"/>
      <w:marTop w:val="0"/>
      <w:marBottom w:val="0"/>
      <w:divBdr>
        <w:top w:val="none" w:sz="0" w:space="0" w:color="auto"/>
        <w:left w:val="none" w:sz="0" w:space="0" w:color="auto"/>
        <w:bottom w:val="none" w:sz="0" w:space="0" w:color="auto"/>
        <w:right w:val="none" w:sz="0" w:space="0" w:color="auto"/>
      </w:divBdr>
      <w:divsChild>
        <w:div w:id="1764763466">
          <w:marLeft w:val="0"/>
          <w:marRight w:val="0"/>
          <w:marTop w:val="0"/>
          <w:marBottom w:val="0"/>
          <w:divBdr>
            <w:top w:val="none" w:sz="0" w:space="0" w:color="auto"/>
            <w:left w:val="none" w:sz="0" w:space="0" w:color="auto"/>
            <w:bottom w:val="none" w:sz="0" w:space="0" w:color="auto"/>
            <w:right w:val="none" w:sz="0" w:space="0" w:color="auto"/>
          </w:divBdr>
        </w:div>
      </w:divsChild>
    </w:div>
    <w:div w:id="1507861477">
      <w:bodyDiv w:val="1"/>
      <w:marLeft w:val="0"/>
      <w:marRight w:val="0"/>
      <w:marTop w:val="0"/>
      <w:marBottom w:val="0"/>
      <w:divBdr>
        <w:top w:val="none" w:sz="0" w:space="0" w:color="auto"/>
        <w:left w:val="none" w:sz="0" w:space="0" w:color="auto"/>
        <w:bottom w:val="none" w:sz="0" w:space="0" w:color="auto"/>
        <w:right w:val="none" w:sz="0" w:space="0" w:color="auto"/>
      </w:divBdr>
    </w:div>
    <w:div w:id="1508711256">
      <w:bodyDiv w:val="1"/>
      <w:marLeft w:val="0"/>
      <w:marRight w:val="0"/>
      <w:marTop w:val="0"/>
      <w:marBottom w:val="0"/>
      <w:divBdr>
        <w:top w:val="none" w:sz="0" w:space="0" w:color="auto"/>
        <w:left w:val="none" w:sz="0" w:space="0" w:color="auto"/>
        <w:bottom w:val="none" w:sz="0" w:space="0" w:color="auto"/>
        <w:right w:val="none" w:sz="0" w:space="0" w:color="auto"/>
      </w:divBdr>
    </w:div>
    <w:div w:id="1514799139">
      <w:bodyDiv w:val="1"/>
      <w:marLeft w:val="0"/>
      <w:marRight w:val="0"/>
      <w:marTop w:val="0"/>
      <w:marBottom w:val="0"/>
      <w:divBdr>
        <w:top w:val="none" w:sz="0" w:space="0" w:color="auto"/>
        <w:left w:val="none" w:sz="0" w:space="0" w:color="auto"/>
        <w:bottom w:val="none" w:sz="0" w:space="0" w:color="auto"/>
        <w:right w:val="none" w:sz="0" w:space="0" w:color="auto"/>
      </w:divBdr>
    </w:div>
    <w:div w:id="1514959379">
      <w:bodyDiv w:val="1"/>
      <w:marLeft w:val="0"/>
      <w:marRight w:val="0"/>
      <w:marTop w:val="0"/>
      <w:marBottom w:val="0"/>
      <w:divBdr>
        <w:top w:val="none" w:sz="0" w:space="0" w:color="auto"/>
        <w:left w:val="none" w:sz="0" w:space="0" w:color="auto"/>
        <w:bottom w:val="none" w:sz="0" w:space="0" w:color="auto"/>
        <w:right w:val="none" w:sz="0" w:space="0" w:color="auto"/>
      </w:divBdr>
    </w:div>
    <w:div w:id="1517499941">
      <w:bodyDiv w:val="1"/>
      <w:marLeft w:val="0"/>
      <w:marRight w:val="0"/>
      <w:marTop w:val="0"/>
      <w:marBottom w:val="0"/>
      <w:divBdr>
        <w:top w:val="none" w:sz="0" w:space="0" w:color="auto"/>
        <w:left w:val="none" w:sz="0" w:space="0" w:color="auto"/>
        <w:bottom w:val="none" w:sz="0" w:space="0" w:color="auto"/>
        <w:right w:val="none" w:sz="0" w:space="0" w:color="auto"/>
      </w:divBdr>
    </w:div>
    <w:div w:id="1519390404">
      <w:bodyDiv w:val="1"/>
      <w:marLeft w:val="0"/>
      <w:marRight w:val="0"/>
      <w:marTop w:val="0"/>
      <w:marBottom w:val="0"/>
      <w:divBdr>
        <w:top w:val="none" w:sz="0" w:space="0" w:color="auto"/>
        <w:left w:val="none" w:sz="0" w:space="0" w:color="auto"/>
        <w:bottom w:val="none" w:sz="0" w:space="0" w:color="auto"/>
        <w:right w:val="none" w:sz="0" w:space="0" w:color="auto"/>
      </w:divBdr>
    </w:div>
    <w:div w:id="1521776808">
      <w:bodyDiv w:val="1"/>
      <w:marLeft w:val="0"/>
      <w:marRight w:val="0"/>
      <w:marTop w:val="0"/>
      <w:marBottom w:val="0"/>
      <w:divBdr>
        <w:top w:val="none" w:sz="0" w:space="0" w:color="auto"/>
        <w:left w:val="none" w:sz="0" w:space="0" w:color="auto"/>
        <w:bottom w:val="none" w:sz="0" w:space="0" w:color="auto"/>
        <w:right w:val="none" w:sz="0" w:space="0" w:color="auto"/>
      </w:divBdr>
    </w:div>
    <w:div w:id="1536699972">
      <w:bodyDiv w:val="1"/>
      <w:marLeft w:val="0"/>
      <w:marRight w:val="0"/>
      <w:marTop w:val="0"/>
      <w:marBottom w:val="0"/>
      <w:divBdr>
        <w:top w:val="none" w:sz="0" w:space="0" w:color="auto"/>
        <w:left w:val="none" w:sz="0" w:space="0" w:color="auto"/>
        <w:bottom w:val="none" w:sz="0" w:space="0" w:color="auto"/>
        <w:right w:val="none" w:sz="0" w:space="0" w:color="auto"/>
      </w:divBdr>
    </w:div>
    <w:div w:id="1536846560">
      <w:bodyDiv w:val="1"/>
      <w:marLeft w:val="0"/>
      <w:marRight w:val="0"/>
      <w:marTop w:val="0"/>
      <w:marBottom w:val="0"/>
      <w:divBdr>
        <w:top w:val="none" w:sz="0" w:space="0" w:color="auto"/>
        <w:left w:val="none" w:sz="0" w:space="0" w:color="auto"/>
        <w:bottom w:val="none" w:sz="0" w:space="0" w:color="auto"/>
        <w:right w:val="none" w:sz="0" w:space="0" w:color="auto"/>
      </w:divBdr>
    </w:div>
    <w:div w:id="1537422379">
      <w:bodyDiv w:val="1"/>
      <w:marLeft w:val="0"/>
      <w:marRight w:val="0"/>
      <w:marTop w:val="0"/>
      <w:marBottom w:val="0"/>
      <w:divBdr>
        <w:top w:val="none" w:sz="0" w:space="0" w:color="auto"/>
        <w:left w:val="none" w:sz="0" w:space="0" w:color="auto"/>
        <w:bottom w:val="none" w:sz="0" w:space="0" w:color="auto"/>
        <w:right w:val="none" w:sz="0" w:space="0" w:color="auto"/>
      </w:divBdr>
    </w:div>
    <w:div w:id="1562669541">
      <w:bodyDiv w:val="1"/>
      <w:marLeft w:val="0"/>
      <w:marRight w:val="0"/>
      <w:marTop w:val="0"/>
      <w:marBottom w:val="0"/>
      <w:divBdr>
        <w:top w:val="none" w:sz="0" w:space="0" w:color="auto"/>
        <w:left w:val="none" w:sz="0" w:space="0" w:color="auto"/>
        <w:bottom w:val="none" w:sz="0" w:space="0" w:color="auto"/>
        <w:right w:val="none" w:sz="0" w:space="0" w:color="auto"/>
      </w:divBdr>
    </w:div>
    <w:div w:id="1564680560">
      <w:bodyDiv w:val="1"/>
      <w:marLeft w:val="0"/>
      <w:marRight w:val="0"/>
      <w:marTop w:val="0"/>
      <w:marBottom w:val="0"/>
      <w:divBdr>
        <w:top w:val="none" w:sz="0" w:space="0" w:color="auto"/>
        <w:left w:val="none" w:sz="0" w:space="0" w:color="auto"/>
        <w:bottom w:val="none" w:sz="0" w:space="0" w:color="auto"/>
        <w:right w:val="none" w:sz="0" w:space="0" w:color="auto"/>
      </w:divBdr>
      <w:divsChild>
        <w:div w:id="332297324">
          <w:marLeft w:val="0"/>
          <w:marRight w:val="0"/>
          <w:marTop w:val="0"/>
          <w:marBottom w:val="0"/>
          <w:divBdr>
            <w:top w:val="none" w:sz="0" w:space="0" w:color="auto"/>
            <w:left w:val="none" w:sz="0" w:space="0" w:color="auto"/>
            <w:bottom w:val="none" w:sz="0" w:space="0" w:color="auto"/>
            <w:right w:val="none" w:sz="0" w:space="0" w:color="auto"/>
          </w:divBdr>
        </w:div>
        <w:div w:id="447742193">
          <w:marLeft w:val="0"/>
          <w:marRight w:val="0"/>
          <w:marTop w:val="0"/>
          <w:marBottom w:val="0"/>
          <w:divBdr>
            <w:top w:val="none" w:sz="0" w:space="0" w:color="auto"/>
            <w:left w:val="none" w:sz="0" w:space="0" w:color="auto"/>
            <w:bottom w:val="none" w:sz="0" w:space="0" w:color="auto"/>
            <w:right w:val="none" w:sz="0" w:space="0" w:color="auto"/>
          </w:divBdr>
        </w:div>
        <w:div w:id="862327588">
          <w:marLeft w:val="0"/>
          <w:marRight w:val="0"/>
          <w:marTop w:val="0"/>
          <w:marBottom w:val="0"/>
          <w:divBdr>
            <w:top w:val="none" w:sz="0" w:space="0" w:color="auto"/>
            <w:left w:val="none" w:sz="0" w:space="0" w:color="auto"/>
            <w:bottom w:val="none" w:sz="0" w:space="0" w:color="auto"/>
            <w:right w:val="none" w:sz="0" w:space="0" w:color="auto"/>
          </w:divBdr>
        </w:div>
        <w:div w:id="964896154">
          <w:marLeft w:val="0"/>
          <w:marRight w:val="0"/>
          <w:marTop w:val="0"/>
          <w:marBottom w:val="0"/>
          <w:divBdr>
            <w:top w:val="none" w:sz="0" w:space="0" w:color="auto"/>
            <w:left w:val="none" w:sz="0" w:space="0" w:color="auto"/>
            <w:bottom w:val="none" w:sz="0" w:space="0" w:color="auto"/>
            <w:right w:val="none" w:sz="0" w:space="0" w:color="auto"/>
          </w:divBdr>
        </w:div>
        <w:div w:id="1162811625">
          <w:marLeft w:val="0"/>
          <w:marRight w:val="0"/>
          <w:marTop w:val="0"/>
          <w:marBottom w:val="0"/>
          <w:divBdr>
            <w:top w:val="none" w:sz="0" w:space="0" w:color="auto"/>
            <w:left w:val="none" w:sz="0" w:space="0" w:color="auto"/>
            <w:bottom w:val="none" w:sz="0" w:space="0" w:color="auto"/>
            <w:right w:val="none" w:sz="0" w:space="0" w:color="auto"/>
          </w:divBdr>
        </w:div>
        <w:div w:id="1523664482">
          <w:marLeft w:val="0"/>
          <w:marRight w:val="0"/>
          <w:marTop w:val="0"/>
          <w:marBottom w:val="0"/>
          <w:divBdr>
            <w:top w:val="none" w:sz="0" w:space="0" w:color="auto"/>
            <w:left w:val="none" w:sz="0" w:space="0" w:color="auto"/>
            <w:bottom w:val="none" w:sz="0" w:space="0" w:color="auto"/>
            <w:right w:val="none" w:sz="0" w:space="0" w:color="auto"/>
          </w:divBdr>
        </w:div>
        <w:div w:id="2137869892">
          <w:marLeft w:val="0"/>
          <w:marRight w:val="0"/>
          <w:marTop w:val="0"/>
          <w:marBottom w:val="0"/>
          <w:divBdr>
            <w:top w:val="none" w:sz="0" w:space="0" w:color="auto"/>
            <w:left w:val="none" w:sz="0" w:space="0" w:color="auto"/>
            <w:bottom w:val="none" w:sz="0" w:space="0" w:color="auto"/>
            <w:right w:val="none" w:sz="0" w:space="0" w:color="auto"/>
          </w:divBdr>
        </w:div>
      </w:divsChild>
    </w:div>
    <w:div w:id="1567953892">
      <w:bodyDiv w:val="1"/>
      <w:marLeft w:val="0"/>
      <w:marRight w:val="0"/>
      <w:marTop w:val="0"/>
      <w:marBottom w:val="0"/>
      <w:divBdr>
        <w:top w:val="none" w:sz="0" w:space="0" w:color="auto"/>
        <w:left w:val="none" w:sz="0" w:space="0" w:color="auto"/>
        <w:bottom w:val="none" w:sz="0" w:space="0" w:color="auto"/>
        <w:right w:val="none" w:sz="0" w:space="0" w:color="auto"/>
      </w:divBdr>
    </w:div>
    <w:div w:id="1586261784">
      <w:bodyDiv w:val="1"/>
      <w:marLeft w:val="0"/>
      <w:marRight w:val="0"/>
      <w:marTop w:val="0"/>
      <w:marBottom w:val="0"/>
      <w:divBdr>
        <w:top w:val="none" w:sz="0" w:space="0" w:color="auto"/>
        <w:left w:val="none" w:sz="0" w:space="0" w:color="auto"/>
        <w:bottom w:val="none" w:sz="0" w:space="0" w:color="auto"/>
        <w:right w:val="none" w:sz="0" w:space="0" w:color="auto"/>
      </w:divBdr>
    </w:div>
    <w:div w:id="1588727185">
      <w:bodyDiv w:val="1"/>
      <w:marLeft w:val="0"/>
      <w:marRight w:val="0"/>
      <w:marTop w:val="0"/>
      <w:marBottom w:val="0"/>
      <w:divBdr>
        <w:top w:val="none" w:sz="0" w:space="0" w:color="auto"/>
        <w:left w:val="none" w:sz="0" w:space="0" w:color="auto"/>
        <w:bottom w:val="none" w:sz="0" w:space="0" w:color="auto"/>
        <w:right w:val="none" w:sz="0" w:space="0" w:color="auto"/>
      </w:divBdr>
    </w:div>
    <w:div w:id="1591157656">
      <w:bodyDiv w:val="1"/>
      <w:marLeft w:val="0"/>
      <w:marRight w:val="0"/>
      <w:marTop w:val="0"/>
      <w:marBottom w:val="0"/>
      <w:divBdr>
        <w:top w:val="none" w:sz="0" w:space="0" w:color="auto"/>
        <w:left w:val="none" w:sz="0" w:space="0" w:color="auto"/>
        <w:bottom w:val="none" w:sz="0" w:space="0" w:color="auto"/>
        <w:right w:val="none" w:sz="0" w:space="0" w:color="auto"/>
      </w:divBdr>
    </w:div>
    <w:div w:id="1603950656">
      <w:bodyDiv w:val="1"/>
      <w:marLeft w:val="0"/>
      <w:marRight w:val="0"/>
      <w:marTop w:val="0"/>
      <w:marBottom w:val="0"/>
      <w:divBdr>
        <w:top w:val="none" w:sz="0" w:space="0" w:color="auto"/>
        <w:left w:val="none" w:sz="0" w:space="0" w:color="auto"/>
        <w:bottom w:val="none" w:sz="0" w:space="0" w:color="auto"/>
        <w:right w:val="none" w:sz="0" w:space="0" w:color="auto"/>
      </w:divBdr>
    </w:div>
    <w:div w:id="1617102281">
      <w:bodyDiv w:val="1"/>
      <w:marLeft w:val="0"/>
      <w:marRight w:val="0"/>
      <w:marTop w:val="0"/>
      <w:marBottom w:val="0"/>
      <w:divBdr>
        <w:top w:val="none" w:sz="0" w:space="0" w:color="auto"/>
        <w:left w:val="none" w:sz="0" w:space="0" w:color="auto"/>
        <w:bottom w:val="none" w:sz="0" w:space="0" w:color="auto"/>
        <w:right w:val="none" w:sz="0" w:space="0" w:color="auto"/>
      </w:divBdr>
    </w:div>
    <w:div w:id="1621917362">
      <w:bodyDiv w:val="1"/>
      <w:marLeft w:val="0"/>
      <w:marRight w:val="0"/>
      <w:marTop w:val="0"/>
      <w:marBottom w:val="0"/>
      <w:divBdr>
        <w:top w:val="none" w:sz="0" w:space="0" w:color="auto"/>
        <w:left w:val="none" w:sz="0" w:space="0" w:color="auto"/>
        <w:bottom w:val="none" w:sz="0" w:space="0" w:color="auto"/>
        <w:right w:val="none" w:sz="0" w:space="0" w:color="auto"/>
      </w:divBdr>
    </w:div>
    <w:div w:id="1628968894">
      <w:bodyDiv w:val="1"/>
      <w:marLeft w:val="0"/>
      <w:marRight w:val="0"/>
      <w:marTop w:val="0"/>
      <w:marBottom w:val="0"/>
      <w:divBdr>
        <w:top w:val="none" w:sz="0" w:space="0" w:color="auto"/>
        <w:left w:val="none" w:sz="0" w:space="0" w:color="auto"/>
        <w:bottom w:val="none" w:sz="0" w:space="0" w:color="auto"/>
        <w:right w:val="none" w:sz="0" w:space="0" w:color="auto"/>
      </w:divBdr>
    </w:div>
    <w:div w:id="1630748103">
      <w:bodyDiv w:val="1"/>
      <w:marLeft w:val="0"/>
      <w:marRight w:val="0"/>
      <w:marTop w:val="0"/>
      <w:marBottom w:val="0"/>
      <w:divBdr>
        <w:top w:val="none" w:sz="0" w:space="0" w:color="auto"/>
        <w:left w:val="none" w:sz="0" w:space="0" w:color="auto"/>
        <w:bottom w:val="none" w:sz="0" w:space="0" w:color="auto"/>
        <w:right w:val="none" w:sz="0" w:space="0" w:color="auto"/>
      </w:divBdr>
    </w:div>
    <w:div w:id="1631743242">
      <w:bodyDiv w:val="1"/>
      <w:marLeft w:val="0"/>
      <w:marRight w:val="0"/>
      <w:marTop w:val="0"/>
      <w:marBottom w:val="0"/>
      <w:divBdr>
        <w:top w:val="none" w:sz="0" w:space="0" w:color="auto"/>
        <w:left w:val="none" w:sz="0" w:space="0" w:color="auto"/>
        <w:bottom w:val="none" w:sz="0" w:space="0" w:color="auto"/>
        <w:right w:val="none" w:sz="0" w:space="0" w:color="auto"/>
      </w:divBdr>
    </w:div>
    <w:div w:id="1633052071">
      <w:bodyDiv w:val="1"/>
      <w:marLeft w:val="0"/>
      <w:marRight w:val="0"/>
      <w:marTop w:val="0"/>
      <w:marBottom w:val="0"/>
      <w:divBdr>
        <w:top w:val="none" w:sz="0" w:space="0" w:color="auto"/>
        <w:left w:val="none" w:sz="0" w:space="0" w:color="auto"/>
        <w:bottom w:val="none" w:sz="0" w:space="0" w:color="auto"/>
        <w:right w:val="none" w:sz="0" w:space="0" w:color="auto"/>
      </w:divBdr>
    </w:div>
    <w:div w:id="1649550461">
      <w:bodyDiv w:val="1"/>
      <w:marLeft w:val="0"/>
      <w:marRight w:val="0"/>
      <w:marTop w:val="0"/>
      <w:marBottom w:val="0"/>
      <w:divBdr>
        <w:top w:val="none" w:sz="0" w:space="0" w:color="auto"/>
        <w:left w:val="none" w:sz="0" w:space="0" w:color="auto"/>
        <w:bottom w:val="none" w:sz="0" w:space="0" w:color="auto"/>
        <w:right w:val="none" w:sz="0" w:space="0" w:color="auto"/>
      </w:divBdr>
    </w:div>
    <w:div w:id="1652908660">
      <w:bodyDiv w:val="1"/>
      <w:marLeft w:val="0"/>
      <w:marRight w:val="0"/>
      <w:marTop w:val="0"/>
      <w:marBottom w:val="0"/>
      <w:divBdr>
        <w:top w:val="none" w:sz="0" w:space="0" w:color="auto"/>
        <w:left w:val="none" w:sz="0" w:space="0" w:color="auto"/>
        <w:bottom w:val="none" w:sz="0" w:space="0" w:color="auto"/>
        <w:right w:val="none" w:sz="0" w:space="0" w:color="auto"/>
      </w:divBdr>
    </w:div>
    <w:div w:id="1661469877">
      <w:bodyDiv w:val="1"/>
      <w:marLeft w:val="0"/>
      <w:marRight w:val="0"/>
      <w:marTop w:val="0"/>
      <w:marBottom w:val="0"/>
      <w:divBdr>
        <w:top w:val="none" w:sz="0" w:space="0" w:color="auto"/>
        <w:left w:val="none" w:sz="0" w:space="0" w:color="auto"/>
        <w:bottom w:val="none" w:sz="0" w:space="0" w:color="auto"/>
        <w:right w:val="none" w:sz="0" w:space="0" w:color="auto"/>
      </w:divBdr>
    </w:div>
    <w:div w:id="1666660892">
      <w:bodyDiv w:val="1"/>
      <w:marLeft w:val="0"/>
      <w:marRight w:val="0"/>
      <w:marTop w:val="0"/>
      <w:marBottom w:val="0"/>
      <w:divBdr>
        <w:top w:val="none" w:sz="0" w:space="0" w:color="auto"/>
        <w:left w:val="none" w:sz="0" w:space="0" w:color="auto"/>
        <w:bottom w:val="none" w:sz="0" w:space="0" w:color="auto"/>
        <w:right w:val="none" w:sz="0" w:space="0" w:color="auto"/>
      </w:divBdr>
    </w:div>
    <w:div w:id="1681007372">
      <w:bodyDiv w:val="1"/>
      <w:marLeft w:val="0"/>
      <w:marRight w:val="0"/>
      <w:marTop w:val="0"/>
      <w:marBottom w:val="0"/>
      <w:divBdr>
        <w:top w:val="none" w:sz="0" w:space="0" w:color="auto"/>
        <w:left w:val="none" w:sz="0" w:space="0" w:color="auto"/>
        <w:bottom w:val="none" w:sz="0" w:space="0" w:color="auto"/>
        <w:right w:val="none" w:sz="0" w:space="0" w:color="auto"/>
      </w:divBdr>
      <w:divsChild>
        <w:div w:id="537595027">
          <w:marLeft w:val="0"/>
          <w:marRight w:val="0"/>
          <w:marTop w:val="0"/>
          <w:marBottom w:val="0"/>
          <w:divBdr>
            <w:top w:val="none" w:sz="0" w:space="0" w:color="auto"/>
            <w:left w:val="none" w:sz="0" w:space="0" w:color="auto"/>
            <w:bottom w:val="none" w:sz="0" w:space="0" w:color="auto"/>
            <w:right w:val="none" w:sz="0" w:space="0" w:color="auto"/>
          </w:divBdr>
        </w:div>
      </w:divsChild>
    </w:div>
    <w:div w:id="1690137434">
      <w:bodyDiv w:val="1"/>
      <w:marLeft w:val="0"/>
      <w:marRight w:val="0"/>
      <w:marTop w:val="0"/>
      <w:marBottom w:val="0"/>
      <w:divBdr>
        <w:top w:val="none" w:sz="0" w:space="0" w:color="auto"/>
        <w:left w:val="none" w:sz="0" w:space="0" w:color="auto"/>
        <w:bottom w:val="none" w:sz="0" w:space="0" w:color="auto"/>
        <w:right w:val="none" w:sz="0" w:space="0" w:color="auto"/>
      </w:divBdr>
    </w:div>
    <w:div w:id="1697197172">
      <w:bodyDiv w:val="1"/>
      <w:marLeft w:val="0"/>
      <w:marRight w:val="0"/>
      <w:marTop w:val="0"/>
      <w:marBottom w:val="0"/>
      <w:divBdr>
        <w:top w:val="none" w:sz="0" w:space="0" w:color="auto"/>
        <w:left w:val="none" w:sz="0" w:space="0" w:color="auto"/>
        <w:bottom w:val="none" w:sz="0" w:space="0" w:color="auto"/>
        <w:right w:val="none" w:sz="0" w:space="0" w:color="auto"/>
      </w:divBdr>
    </w:div>
    <w:div w:id="1706179025">
      <w:bodyDiv w:val="1"/>
      <w:marLeft w:val="0"/>
      <w:marRight w:val="0"/>
      <w:marTop w:val="0"/>
      <w:marBottom w:val="0"/>
      <w:divBdr>
        <w:top w:val="none" w:sz="0" w:space="0" w:color="auto"/>
        <w:left w:val="none" w:sz="0" w:space="0" w:color="auto"/>
        <w:bottom w:val="none" w:sz="0" w:space="0" w:color="auto"/>
        <w:right w:val="none" w:sz="0" w:space="0" w:color="auto"/>
      </w:divBdr>
    </w:div>
    <w:div w:id="1715958034">
      <w:bodyDiv w:val="1"/>
      <w:marLeft w:val="0"/>
      <w:marRight w:val="0"/>
      <w:marTop w:val="0"/>
      <w:marBottom w:val="0"/>
      <w:divBdr>
        <w:top w:val="none" w:sz="0" w:space="0" w:color="auto"/>
        <w:left w:val="none" w:sz="0" w:space="0" w:color="auto"/>
        <w:bottom w:val="none" w:sz="0" w:space="0" w:color="auto"/>
        <w:right w:val="none" w:sz="0" w:space="0" w:color="auto"/>
      </w:divBdr>
    </w:div>
    <w:div w:id="1731223306">
      <w:bodyDiv w:val="1"/>
      <w:marLeft w:val="0"/>
      <w:marRight w:val="0"/>
      <w:marTop w:val="0"/>
      <w:marBottom w:val="0"/>
      <w:divBdr>
        <w:top w:val="none" w:sz="0" w:space="0" w:color="auto"/>
        <w:left w:val="none" w:sz="0" w:space="0" w:color="auto"/>
        <w:bottom w:val="none" w:sz="0" w:space="0" w:color="auto"/>
        <w:right w:val="none" w:sz="0" w:space="0" w:color="auto"/>
      </w:divBdr>
    </w:div>
    <w:div w:id="1745757792">
      <w:bodyDiv w:val="1"/>
      <w:marLeft w:val="0"/>
      <w:marRight w:val="0"/>
      <w:marTop w:val="0"/>
      <w:marBottom w:val="0"/>
      <w:divBdr>
        <w:top w:val="none" w:sz="0" w:space="0" w:color="auto"/>
        <w:left w:val="none" w:sz="0" w:space="0" w:color="auto"/>
        <w:bottom w:val="none" w:sz="0" w:space="0" w:color="auto"/>
        <w:right w:val="none" w:sz="0" w:space="0" w:color="auto"/>
      </w:divBdr>
    </w:div>
    <w:div w:id="1749378168">
      <w:bodyDiv w:val="1"/>
      <w:marLeft w:val="0"/>
      <w:marRight w:val="0"/>
      <w:marTop w:val="0"/>
      <w:marBottom w:val="0"/>
      <w:divBdr>
        <w:top w:val="none" w:sz="0" w:space="0" w:color="auto"/>
        <w:left w:val="none" w:sz="0" w:space="0" w:color="auto"/>
        <w:bottom w:val="none" w:sz="0" w:space="0" w:color="auto"/>
        <w:right w:val="none" w:sz="0" w:space="0" w:color="auto"/>
      </w:divBdr>
    </w:div>
    <w:div w:id="1750541197">
      <w:bodyDiv w:val="1"/>
      <w:marLeft w:val="0"/>
      <w:marRight w:val="0"/>
      <w:marTop w:val="0"/>
      <w:marBottom w:val="0"/>
      <w:divBdr>
        <w:top w:val="none" w:sz="0" w:space="0" w:color="auto"/>
        <w:left w:val="none" w:sz="0" w:space="0" w:color="auto"/>
        <w:bottom w:val="none" w:sz="0" w:space="0" w:color="auto"/>
        <w:right w:val="none" w:sz="0" w:space="0" w:color="auto"/>
      </w:divBdr>
    </w:div>
    <w:div w:id="1760325593">
      <w:bodyDiv w:val="1"/>
      <w:marLeft w:val="0"/>
      <w:marRight w:val="0"/>
      <w:marTop w:val="0"/>
      <w:marBottom w:val="0"/>
      <w:divBdr>
        <w:top w:val="none" w:sz="0" w:space="0" w:color="auto"/>
        <w:left w:val="none" w:sz="0" w:space="0" w:color="auto"/>
        <w:bottom w:val="none" w:sz="0" w:space="0" w:color="auto"/>
        <w:right w:val="none" w:sz="0" w:space="0" w:color="auto"/>
      </w:divBdr>
    </w:div>
    <w:div w:id="1761370918">
      <w:bodyDiv w:val="1"/>
      <w:marLeft w:val="0"/>
      <w:marRight w:val="0"/>
      <w:marTop w:val="0"/>
      <w:marBottom w:val="0"/>
      <w:divBdr>
        <w:top w:val="none" w:sz="0" w:space="0" w:color="auto"/>
        <w:left w:val="none" w:sz="0" w:space="0" w:color="auto"/>
        <w:bottom w:val="none" w:sz="0" w:space="0" w:color="auto"/>
        <w:right w:val="none" w:sz="0" w:space="0" w:color="auto"/>
      </w:divBdr>
    </w:div>
    <w:div w:id="1769349777">
      <w:bodyDiv w:val="1"/>
      <w:marLeft w:val="0"/>
      <w:marRight w:val="0"/>
      <w:marTop w:val="0"/>
      <w:marBottom w:val="0"/>
      <w:divBdr>
        <w:top w:val="none" w:sz="0" w:space="0" w:color="auto"/>
        <w:left w:val="none" w:sz="0" w:space="0" w:color="auto"/>
        <w:bottom w:val="none" w:sz="0" w:space="0" w:color="auto"/>
        <w:right w:val="none" w:sz="0" w:space="0" w:color="auto"/>
      </w:divBdr>
    </w:div>
    <w:div w:id="1775054595">
      <w:bodyDiv w:val="1"/>
      <w:marLeft w:val="0"/>
      <w:marRight w:val="0"/>
      <w:marTop w:val="0"/>
      <w:marBottom w:val="0"/>
      <w:divBdr>
        <w:top w:val="none" w:sz="0" w:space="0" w:color="auto"/>
        <w:left w:val="none" w:sz="0" w:space="0" w:color="auto"/>
        <w:bottom w:val="none" w:sz="0" w:space="0" w:color="auto"/>
        <w:right w:val="none" w:sz="0" w:space="0" w:color="auto"/>
      </w:divBdr>
    </w:div>
    <w:div w:id="1785729934">
      <w:bodyDiv w:val="1"/>
      <w:marLeft w:val="0"/>
      <w:marRight w:val="0"/>
      <w:marTop w:val="0"/>
      <w:marBottom w:val="0"/>
      <w:divBdr>
        <w:top w:val="none" w:sz="0" w:space="0" w:color="auto"/>
        <w:left w:val="none" w:sz="0" w:space="0" w:color="auto"/>
        <w:bottom w:val="none" w:sz="0" w:space="0" w:color="auto"/>
        <w:right w:val="none" w:sz="0" w:space="0" w:color="auto"/>
      </w:divBdr>
    </w:div>
    <w:div w:id="1792505148">
      <w:bodyDiv w:val="1"/>
      <w:marLeft w:val="0"/>
      <w:marRight w:val="0"/>
      <w:marTop w:val="0"/>
      <w:marBottom w:val="0"/>
      <w:divBdr>
        <w:top w:val="none" w:sz="0" w:space="0" w:color="auto"/>
        <w:left w:val="none" w:sz="0" w:space="0" w:color="auto"/>
        <w:bottom w:val="none" w:sz="0" w:space="0" w:color="auto"/>
        <w:right w:val="none" w:sz="0" w:space="0" w:color="auto"/>
      </w:divBdr>
    </w:div>
    <w:div w:id="1802923020">
      <w:bodyDiv w:val="1"/>
      <w:marLeft w:val="0"/>
      <w:marRight w:val="0"/>
      <w:marTop w:val="0"/>
      <w:marBottom w:val="0"/>
      <w:divBdr>
        <w:top w:val="none" w:sz="0" w:space="0" w:color="auto"/>
        <w:left w:val="none" w:sz="0" w:space="0" w:color="auto"/>
        <w:bottom w:val="none" w:sz="0" w:space="0" w:color="auto"/>
        <w:right w:val="none" w:sz="0" w:space="0" w:color="auto"/>
      </w:divBdr>
    </w:div>
    <w:div w:id="1804149903">
      <w:bodyDiv w:val="1"/>
      <w:marLeft w:val="0"/>
      <w:marRight w:val="0"/>
      <w:marTop w:val="0"/>
      <w:marBottom w:val="0"/>
      <w:divBdr>
        <w:top w:val="none" w:sz="0" w:space="0" w:color="auto"/>
        <w:left w:val="none" w:sz="0" w:space="0" w:color="auto"/>
        <w:bottom w:val="none" w:sz="0" w:space="0" w:color="auto"/>
        <w:right w:val="none" w:sz="0" w:space="0" w:color="auto"/>
      </w:divBdr>
    </w:div>
    <w:div w:id="1810126716">
      <w:bodyDiv w:val="1"/>
      <w:marLeft w:val="0"/>
      <w:marRight w:val="0"/>
      <w:marTop w:val="0"/>
      <w:marBottom w:val="0"/>
      <w:divBdr>
        <w:top w:val="none" w:sz="0" w:space="0" w:color="auto"/>
        <w:left w:val="none" w:sz="0" w:space="0" w:color="auto"/>
        <w:bottom w:val="none" w:sz="0" w:space="0" w:color="auto"/>
        <w:right w:val="none" w:sz="0" w:space="0" w:color="auto"/>
      </w:divBdr>
    </w:div>
    <w:div w:id="1816992088">
      <w:bodyDiv w:val="1"/>
      <w:marLeft w:val="0"/>
      <w:marRight w:val="0"/>
      <w:marTop w:val="0"/>
      <w:marBottom w:val="0"/>
      <w:divBdr>
        <w:top w:val="none" w:sz="0" w:space="0" w:color="auto"/>
        <w:left w:val="none" w:sz="0" w:space="0" w:color="auto"/>
        <w:bottom w:val="none" w:sz="0" w:space="0" w:color="auto"/>
        <w:right w:val="none" w:sz="0" w:space="0" w:color="auto"/>
      </w:divBdr>
    </w:div>
    <w:div w:id="1826117278">
      <w:bodyDiv w:val="1"/>
      <w:marLeft w:val="0"/>
      <w:marRight w:val="0"/>
      <w:marTop w:val="0"/>
      <w:marBottom w:val="0"/>
      <w:divBdr>
        <w:top w:val="none" w:sz="0" w:space="0" w:color="auto"/>
        <w:left w:val="none" w:sz="0" w:space="0" w:color="auto"/>
        <w:bottom w:val="none" w:sz="0" w:space="0" w:color="auto"/>
        <w:right w:val="none" w:sz="0" w:space="0" w:color="auto"/>
      </w:divBdr>
    </w:div>
    <w:div w:id="1829440222">
      <w:bodyDiv w:val="1"/>
      <w:marLeft w:val="0"/>
      <w:marRight w:val="0"/>
      <w:marTop w:val="0"/>
      <w:marBottom w:val="0"/>
      <w:divBdr>
        <w:top w:val="none" w:sz="0" w:space="0" w:color="auto"/>
        <w:left w:val="none" w:sz="0" w:space="0" w:color="auto"/>
        <w:bottom w:val="none" w:sz="0" w:space="0" w:color="auto"/>
        <w:right w:val="none" w:sz="0" w:space="0" w:color="auto"/>
      </w:divBdr>
    </w:div>
    <w:div w:id="1833333374">
      <w:bodyDiv w:val="1"/>
      <w:marLeft w:val="0"/>
      <w:marRight w:val="0"/>
      <w:marTop w:val="0"/>
      <w:marBottom w:val="0"/>
      <w:divBdr>
        <w:top w:val="none" w:sz="0" w:space="0" w:color="auto"/>
        <w:left w:val="none" w:sz="0" w:space="0" w:color="auto"/>
        <w:bottom w:val="none" w:sz="0" w:space="0" w:color="auto"/>
        <w:right w:val="none" w:sz="0" w:space="0" w:color="auto"/>
      </w:divBdr>
    </w:div>
    <w:div w:id="1837768464">
      <w:bodyDiv w:val="1"/>
      <w:marLeft w:val="0"/>
      <w:marRight w:val="0"/>
      <w:marTop w:val="0"/>
      <w:marBottom w:val="0"/>
      <w:divBdr>
        <w:top w:val="none" w:sz="0" w:space="0" w:color="auto"/>
        <w:left w:val="none" w:sz="0" w:space="0" w:color="auto"/>
        <w:bottom w:val="none" w:sz="0" w:space="0" w:color="auto"/>
        <w:right w:val="none" w:sz="0" w:space="0" w:color="auto"/>
      </w:divBdr>
    </w:div>
    <w:div w:id="1839420052">
      <w:bodyDiv w:val="1"/>
      <w:marLeft w:val="0"/>
      <w:marRight w:val="0"/>
      <w:marTop w:val="0"/>
      <w:marBottom w:val="0"/>
      <w:divBdr>
        <w:top w:val="none" w:sz="0" w:space="0" w:color="auto"/>
        <w:left w:val="none" w:sz="0" w:space="0" w:color="auto"/>
        <w:bottom w:val="none" w:sz="0" w:space="0" w:color="auto"/>
        <w:right w:val="none" w:sz="0" w:space="0" w:color="auto"/>
      </w:divBdr>
    </w:div>
    <w:div w:id="1847865340">
      <w:bodyDiv w:val="1"/>
      <w:marLeft w:val="0"/>
      <w:marRight w:val="0"/>
      <w:marTop w:val="0"/>
      <w:marBottom w:val="0"/>
      <w:divBdr>
        <w:top w:val="none" w:sz="0" w:space="0" w:color="auto"/>
        <w:left w:val="none" w:sz="0" w:space="0" w:color="auto"/>
        <w:bottom w:val="none" w:sz="0" w:space="0" w:color="auto"/>
        <w:right w:val="none" w:sz="0" w:space="0" w:color="auto"/>
      </w:divBdr>
    </w:div>
    <w:div w:id="1853641796">
      <w:bodyDiv w:val="1"/>
      <w:marLeft w:val="0"/>
      <w:marRight w:val="0"/>
      <w:marTop w:val="0"/>
      <w:marBottom w:val="0"/>
      <w:divBdr>
        <w:top w:val="none" w:sz="0" w:space="0" w:color="auto"/>
        <w:left w:val="none" w:sz="0" w:space="0" w:color="auto"/>
        <w:bottom w:val="none" w:sz="0" w:space="0" w:color="auto"/>
        <w:right w:val="none" w:sz="0" w:space="0" w:color="auto"/>
      </w:divBdr>
    </w:div>
    <w:div w:id="1875842347">
      <w:bodyDiv w:val="1"/>
      <w:marLeft w:val="0"/>
      <w:marRight w:val="0"/>
      <w:marTop w:val="0"/>
      <w:marBottom w:val="0"/>
      <w:divBdr>
        <w:top w:val="none" w:sz="0" w:space="0" w:color="auto"/>
        <w:left w:val="none" w:sz="0" w:space="0" w:color="auto"/>
        <w:bottom w:val="none" w:sz="0" w:space="0" w:color="auto"/>
        <w:right w:val="none" w:sz="0" w:space="0" w:color="auto"/>
      </w:divBdr>
    </w:div>
    <w:div w:id="1879778425">
      <w:bodyDiv w:val="1"/>
      <w:marLeft w:val="0"/>
      <w:marRight w:val="0"/>
      <w:marTop w:val="0"/>
      <w:marBottom w:val="0"/>
      <w:divBdr>
        <w:top w:val="none" w:sz="0" w:space="0" w:color="auto"/>
        <w:left w:val="none" w:sz="0" w:space="0" w:color="auto"/>
        <w:bottom w:val="none" w:sz="0" w:space="0" w:color="auto"/>
        <w:right w:val="none" w:sz="0" w:space="0" w:color="auto"/>
      </w:divBdr>
    </w:div>
    <w:div w:id="1882669460">
      <w:bodyDiv w:val="1"/>
      <w:marLeft w:val="0"/>
      <w:marRight w:val="0"/>
      <w:marTop w:val="0"/>
      <w:marBottom w:val="0"/>
      <w:divBdr>
        <w:top w:val="none" w:sz="0" w:space="0" w:color="auto"/>
        <w:left w:val="none" w:sz="0" w:space="0" w:color="auto"/>
        <w:bottom w:val="none" w:sz="0" w:space="0" w:color="auto"/>
        <w:right w:val="none" w:sz="0" w:space="0" w:color="auto"/>
      </w:divBdr>
    </w:div>
    <w:div w:id="1901944506">
      <w:bodyDiv w:val="1"/>
      <w:marLeft w:val="0"/>
      <w:marRight w:val="0"/>
      <w:marTop w:val="0"/>
      <w:marBottom w:val="0"/>
      <w:divBdr>
        <w:top w:val="none" w:sz="0" w:space="0" w:color="auto"/>
        <w:left w:val="none" w:sz="0" w:space="0" w:color="auto"/>
        <w:bottom w:val="none" w:sz="0" w:space="0" w:color="auto"/>
        <w:right w:val="none" w:sz="0" w:space="0" w:color="auto"/>
      </w:divBdr>
    </w:div>
    <w:div w:id="1905407134">
      <w:bodyDiv w:val="1"/>
      <w:marLeft w:val="0"/>
      <w:marRight w:val="0"/>
      <w:marTop w:val="0"/>
      <w:marBottom w:val="0"/>
      <w:divBdr>
        <w:top w:val="none" w:sz="0" w:space="0" w:color="auto"/>
        <w:left w:val="none" w:sz="0" w:space="0" w:color="auto"/>
        <w:bottom w:val="none" w:sz="0" w:space="0" w:color="auto"/>
        <w:right w:val="none" w:sz="0" w:space="0" w:color="auto"/>
      </w:divBdr>
    </w:div>
    <w:div w:id="1907494149">
      <w:bodyDiv w:val="1"/>
      <w:marLeft w:val="0"/>
      <w:marRight w:val="0"/>
      <w:marTop w:val="0"/>
      <w:marBottom w:val="0"/>
      <w:divBdr>
        <w:top w:val="none" w:sz="0" w:space="0" w:color="auto"/>
        <w:left w:val="none" w:sz="0" w:space="0" w:color="auto"/>
        <w:bottom w:val="none" w:sz="0" w:space="0" w:color="auto"/>
        <w:right w:val="none" w:sz="0" w:space="0" w:color="auto"/>
      </w:divBdr>
    </w:div>
    <w:div w:id="1909806805">
      <w:bodyDiv w:val="1"/>
      <w:marLeft w:val="0"/>
      <w:marRight w:val="0"/>
      <w:marTop w:val="0"/>
      <w:marBottom w:val="0"/>
      <w:divBdr>
        <w:top w:val="none" w:sz="0" w:space="0" w:color="auto"/>
        <w:left w:val="none" w:sz="0" w:space="0" w:color="auto"/>
        <w:bottom w:val="none" w:sz="0" w:space="0" w:color="auto"/>
        <w:right w:val="none" w:sz="0" w:space="0" w:color="auto"/>
      </w:divBdr>
    </w:div>
    <w:div w:id="1918976138">
      <w:bodyDiv w:val="1"/>
      <w:marLeft w:val="0"/>
      <w:marRight w:val="0"/>
      <w:marTop w:val="0"/>
      <w:marBottom w:val="0"/>
      <w:divBdr>
        <w:top w:val="none" w:sz="0" w:space="0" w:color="auto"/>
        <w:left w:val="none" w:sz="0" w:space="0" w:color="auto"/>
        <w:bottom w:val="none" w:sz="0" w:space="0" w:color="auto"/>
        <w:right w:val="none" w:sz="0" w:space="0" w:color="auto"/>
      </w:divBdr>
    </w:div>
    <w:div w:id="1938706482">
      <w:bodyDiv w:val="1"/>
      <w:marLeft w:val="0"/>
      <w:marRight w:val="0"/>
      <w:marTop w:val="0"/>
      <w:marBottom w:val="0"/>
      <w:divBdr>
        <w:top w:val="none" w:sz="0" w:space="0" w:color="auto"/>
        <w:left w:val="none" w:sz="0" w:space="0" w:color="auto"/>
        <w:bottom w:val="none" w:sz="0" w:space="0" w:color="auto"/>
        <w:right w:val="none" w:sz="0" w:space="0" w:color="auto"/>
      </w:divBdr>
    </w:div>
    <w:div w:id="1940991204">
      <w:bodyDiv w:val="1"/>
      <w:marLeft w:val="0"/>
      <w:marRight w:val="0"/>
      <w:marTop w:val="0"/>
      <w:marBottom w:val="0"/>
      <w:divBdr>
        <w:top w:val="none" w:sz="0" w:space="0" w:color="auto"/>
        <w:left w:val="none" w:sz="0" w:space="0" w:color="auto"/>
        <w:bottom w:val="none" w:sz="0" w:space="0" w:color="auto"/>
        <w:right w:val="none" w:sz="0" w:space="0" w:color="auto"/>
      </w:divBdr>
    </w:div>
    <w:div w:id="1943604239">
      <w:bodyDiv w:val="1"/>
      <w:marLeft w:val="0"/>
      <w:marRight w:val="0"/>
      <w:marTop w:val="0"/>
      <w:marBottom w:val="0"/>
      <w:divBdr>
        <w:top w:val="none" w:sz="0" w:space="0" w:color="auto"/>
        <w:left w:val="none" w:sz="0" w:space="0" w:color="auto"/>
        <w:bottom w:val="none" w:sz="0" w:space="0" w:color="auto"/>
        <w:right w:val="none" w:sz="0" w:space="0" w:color="auto"/>
      </w:divBdr>
    </w:div>
    <w:div w:id="1944796771">
      <w:bodyDiv w:val="1"/>
      <w:marLeft w:val="0"/>
      <w:marRight w:val="0"/>
      <w:marTop w:val="0"/>
      <w:marBottom w:val="0"/>
      <w:divBdr>
        <w:top w:val="none" w:sz="0" w:space="0" w:color="auto"/>
        <w:left w:val="none" w:sz="0" w:space="0" w:color="auto"/>
        <w:bottom w:val="none" w:sz="0" w:space="0" w:color="auto"/>
        <w:right w:val="none" w:sz="0" w:space="0" w:color="auto"/>
      </w:divBdr>
    </w:div>
    <w:div w:id="1947615179">
      <w:bodyDiv w:val="1"/>
      <w:marLeft w:val="0"/>
      <w:marRight w:val="0"/>
      <w:marTop w:val="0"/>
      <w:marBottom w:val="0"/>
      <w:divBdr>
        <w:top w:val="none" w:sz="0" w:space="0" w:color="auto"/>
        <w:left w:val="none" w:sz="0" w:space="0" w:color="auto"/>
        <w:bottom w:val="none" w:sz="0" w:space="0" w:color="auto"/>
        <w:right w:val="none" w:sz="0" w:space="0" w:color="auto"/>
      </w:divBdr>
    </w:div>
    <w:div w:id="1953201783">
      <w:bodyDiv w:val="1"/>
      <w:marLeft w:val="0"/>
      <w:marRight w:val="0"/>
      <w:marTop w:val="0"/>
      <w:marBottom w:val="0"/>
      <w:divBdr>
        <w:top w:val="none" w:sz="0" w:space="0" w:color="auto"/>
        <w:left w:val="none" w:sz="0" w:space="0" w:color="auto"/>
        <w:bottom w:val="none" w:sz="0" w:space="0" w:color="auto"/>
        <w:right w:val="none" w:sz="0" w:space="0" w:color="auto"/>
      </w:divBdr>
    </w:div>
    <w:div w:id="1954633378">
      <w:bodyDiv w:val="1"/>
      <w:marLeft w:val="0"/>
      <w:marRight w:val="0"/>
      <w:marTop w:val="0"/>
      <w:marBottom w:val="0"/>
      <w:divBdr>
        <w:top w:val="none" w:sz="0" w:space="0" w:color="auto"/>
        <w:left w:val="none" w:sz="0" w:space="0" w:color="auto"/>
        <w:bottom w:val="none" w:sz="0" w:space="0" w:color="auto"/>
        <w:right w:val="none" w:sz="0" w:space="0" w:color="auto"/>
      </w:divBdr>
    </w:div>
    <w:div w:id="1955596413">
      <w:bodyDiv w:val="1"/>
      <w:marLeft w:val="0"/>
      <w:marRight w:val="0"/>
      <w:marTop w:val="0"/>
      <w:marBottom w:val="0"/>
      <w:divBdr>
        <w:top w:val="none" w:sz="0" w:space="0" w:color="auto"/>
        <w:left w:val="none" w:sz="0" w:space="0" w:color="auto"/>
        <w:bottom w:val="none" w:sz="0" w:space="0" w:color="auto"/>
        <w:right w:val="none" w:sz="0" w:space="0" w:color="auto"/>
      </w:divBdr>
    </w:div>
    <w:div w:id="1958829412">
      <w:bodyDiv w:val="1"/>
      <w:marLeft w:val="0"/>
      <w:marRight w:val="0"/>
      <w:marTop w:val="0"/>
      <w:marBottom w:val="0"/>
      <w:divBdr>
        <w:top w:val="none" w:sz="0" w:space="0" w:color="auto"/>
        <w:left w:val="none" w:sz="0" w:space="0" w:color="auto"/>
        <w:bottom w:val="none" w:sz="0" w:space="0" w:color="auto"/>
        <w:right w:val="none" w:sz="0" w:space="0" w:color="auto"/>
      </w:divBdr>
    </w:div>
    <w:div w:id="1965695861">
      <w:bodyDiv w:val="1"/>
      <w:marLeft w:val="0"/>
      <w:marRight w:val="0"/>
      <w:marTop w:val="0"/>
      <w:marBottom w:val="0"/>
      <w:divBdr>
        <w:top w:val="none" w:sz="0" w:space="0" w:color="auto"/>
        <w:left w:val="none" w:sz="0" w:space="0" w:color="auto"/>
        <w:bottom w:val="none" w:sz="0" w:space="0" w:color="auto"/>
        <w:right w:val="none" w:sz="0" w:space="0" w:color="auto"/>
      </w:divBdr>
    </w:div>
    <w:div w:id="1983609487">
      <w:bodyDiv w:val="1"/>
      <w:marLeft w:val="0"/>
      <w:marRight w:val="0"/>
      <w:marTop w:val="0"/>
      <w:marBottom w:val="0"/>
      <w:divBdr>
        <w:top w:val="none" w:sz="0" w:space="0" w:color="auto"/>
        <w:left w:val="none" w:sz="0" w:space="0" w:color="auto"/>
        <w:bottom w:val="none" w:sz="0" w:space="0" w:color="auto"/>
        <w:right w:val="none" w:sz="0" w:space="0" w:color="auto"/>
      </w:divBdr>
    </w:div>
    <w:div w:id="1993176453">
      <w:bodyDiv w:val="1"/>
      <w:marLeft w:val="0"/>
      <w:marRight w:val="0"/>
      <w:marTop w:val="0"/>
      <w:marBottom w:val="0"/>
      <w:divBdr>
        <w:top w:val="none" w:sz="0" w:space="0" w:color="auto"/>
        <w:left w:val="none" w:sz="0" w:space="0" w:color="auto"/>
        <w:bottom w:val="none" w:sz="0" w:space="0" w:color="auto"/>
        <w:right w:val="none" w:sz="0" w:space="0" w:color="auto"/>
      </w:divBdr>
    </w:div>
    <w:div w:id="1998143080">
      <w:bodyDiv w:val="1"/>
      <w:marLeft w:val="0"/>
      <w:marRight w:val="0"/>
      <w:marTop w:val="0"/>
      <w:marBottom w:val="0"/>
      <w:divBdr>
        <w:top w:val="none" w:sz="0" w:space="0" w:color="auto"/>
        <w:left w:val="none" w:sz="0" w:space="0" w:color="auto"/>
        <w:bottom w:val="none" w:sz="0" w:space="0" w:color="auto"/>
        <w:right w:val="none" w:sz="0" w:space="0" w:color="auto"/>
      </w:divBdr>
    </w:div>
    <w:div w:id="2002851551">
      <w:bodyDiv w:val="1"/>
      <w:marLeft w:val="0"/>
      <w:marRight w:val="0"/>
      <w:marTop w:val="0"/>
      <w:marBottom w:val="0"/>
      <w:divBdr>
        <w:top w:val="none" w:sz="0" w:space="0" w:color="auto"/>
        <w:left w:val="none" w:sz="0" w:space="0" w:color="auto"/>
        <w:bottom w:val="none" w:sz="0" w:space="0" w:color="auto"/>
        <w:right w:val="none" w:sz="0" w:space="0" w:color="auto"/>
      </w:divBdr>
    </w:div>
    <w:div w:id="2004550181">
      <w:bodyDiv w:val="1"/>
      <w:marLeft w:val="0"/>
      <w:marRight w:val="0"/>
      <w:marTop w:val="0"/>
      <w:marBottom w:val="0"/>
      <w:divBdr>
        <w:top w:val="none" w:sz="0" w:space="0" w:color="auto"/>
        <w:left w:val="none" w:sz="0" w:space="0" w:color="auto"/>
        <w:bottom w:val="none" w:sz="0" w:space="0" w:color="auto"/>
        <w:right w:val="none" w:sz="0" w:space="0" w:color="auto"/>
      </w:divBdr>
    </w:div>
    <w:div w:id="2006469381">
      <w:bodyDiv w:val="1"/>
      <w:marLeft w:val="0"/>
      <w:marRight w:val="0"/>
      <w:marTop w:val="0"/>
      <w:marBottom w:val="0"/>
      <w:divBdr>
        <w:top w:val="none" w:sz="0" w:space="0" w:color="auto"/>
        <w:left w:val="none" w:sz="0" w:space="0" w:color="auto"/>
        <w:bottom w:val="none" w:sz="0" w:space="0" w:color="auto"/>
        <w:right w:val="none" w:sz="0" w:space="0" w:color="auto"/>
      </w:divBdr>
    </w:div>
    <w:div w:id="2008364996">
      <w:bodyDiv w:val="1"/>
      <w:marLeft w:val="0"/>
      <w:marRight w:val="0"/>
      <w:marTop w:val="0"/>
      <w:marBottom w:val="0"/>
      <w:divBdr>
        <w:top w:val="none" w:sz="0" w:space="0" w:color="auto"/>
        <w:left w:val="none" w:sz="0" w:space="0" w:color="auto"/>
        <w:bottom w:val="none" w:sz="0" w:space="0" w:color="auto"/>
        <w:right w:val="none" w:sz="0" w:space="0" w:color="auto"/>
      </w:divBdr>
    </w:div>
    <w:div w:id="2012028674">
      <w:bodyDiv w:val="1"/>
      <w:marLeft w:val="0"/>
      <w:marRight w:val="0"/>
      <w:marTop w:val="0"/>
      <w:marBottom w:val="0"/>
      <w:divBdr>
        <w:top w:val="none" w:sz="0" w:space="0" w:color="auto"/>
        <w:left w:val="none" w:sz="0" w:space="0" w:color="auto"/>
        <w:bottom w:val="none" w:sz="0" w:space="0" w:color="auto"/>
        <w:right w:val="none" w:sz="0" w:space="0" w:color="auto"/>
      </w:divBdr>
    </w:div>
    <w:div w:id="2025160432">
      <w:bodyDiv w:val="1"/>
      <w:marLeft w:val="0"/>
      <w:marRight w:val="0"/>
      <w:marTop w:val="0"/>
      <w:marBottom w:val="0"/>
      <w:divBdr>
        <w:top w:val="none" w:sz="0" w:space="0" w:color="auto"/>
        <w:left w:val="none" w:sz="0" w:space="0" w:color="auto"/>
        <w:bottom w:val="none" w:sz="0" w:space="0" w:color="auto"/>
        <w:right w:val="none" w:sz="0" w:space="0" w:color="auto"/>
      </w:divBdr>
    </w:div>
    <w:div w:id="2033417242">
      <w:bodyDiv w:val="1"/>
      <w:marLeft w:val="0"/>
      <w:marRight w:val="0"/>
      <w:marTop w:val="0"/>
      <w:marBottom w:val="0"/>
      <w:divBdr>
        <w:top w:val="none" w:sz="0" w:space="0" w:color="auto"/>
        <w:left w:val="none" w:sz="0" w:space="0" w:color="auto"/>
        <w:bottom w:val="none" w:sz="0" w:space="0" w:color="auto"/>
        <w:right w:val="none" w:sz="0" w:space="0" w:color="auto"/>
      </w:divBdr>
    </w:div>
    <w:div w:id="2043434441">
      <w:bodyDiv w:val="1"/>
      <w:marLeft w:val="0"/>
      <w:marRight w:val="0"/>
      <w:marTop w:val="0"/>
      <w:marBottom w:val="0"/>
      <w:divBdr>
        <w:top w:val="none" w:sz="0" w:space="0" w:color="auto"/>
        <w:left w:val="none" w:sz="0" w:space="0" w:color="auto"/>
        <w:bottom w:val="none" w:sz="0" w:space="0" w:color="auto"/>
        <w:right w:val="none" w:sz="0" w:space="0" w:color="auto"/>
      </w:divBdr>
    </w:div>
    <w:div w:id="2058357031">
      <w:bodyDiv w:val="1"/>
      <w:marLeft w:val="0"/>
      <w:marRight w:val="0"/>
      <w:marTop w:val="0"/>
      <w:marBottom w:val="0"/>
      <w:divBdr>
        <w:top w:val="none" w:sz="0" w:space="0" w:color="auto"/>
        <w:left w:val="none" w:sz="0" w:space="0" w:color="auto"/>
        <w:bottom w:val="none" w:sz="0" w:space="0" w:color="auto"/>
        <w:right w:val="none" w:sz="0" w:space="0" w:color="auto"/>
      </w:divBdr>
    </w:div>
    <w:div w:id="2068339908">
      <w:bodyDiv w:val="1"/>
      <w:marLeft w:val="0"/>
      <w:marRight w:val="0"/>
      <w:marTop w:val="0"/>
      <w:marBottom w:val="0"/>
      <w:divBdr>
        <w:top w:val="none" w:sz="0" w:space="0" w:color="auto"/>
        <w:left w:val="none" w:sz="0" w:space="0" w:color="auto"/>
        <w:bottom w:val="none" w:sz="0" w:space="0" w:color="auto"/>
        <w:right w:val="none" w:sz="0" w:space="0" w:color="auto"/>
      </w:divBdr>
    </w:div>
    <w:div w:id="2075425400">
      <w:bodyDiv w:val="1"/>
      <w:marLeft w:val="0"/>
      <w:marRight w:val="0"/>
      <w:marTop w:val="0"/>
      <w:marBottom w:val="0"/>
      <w:divBdr>
        <w:top w:val="none" w:sz="0" w:space="0" w:color="auto"/>
        <w:left w:val="none" w:sz="0" w:space="0" w:color="auto"/>
        <w:bottom w:val="none" w:sz="0" w:space="0" w:color="auto"/>
        <w:right w:val="none" w:sz="0" w:space="0" w:color="auto"/>
      </w:divBdr>
    </w:div>
    <w:div w:id="2081170821">
      <w:bodyDiv w:val="1"/>
      <w:marLeft w:val="0"/>
      <w:marRight w:val="0"/>
      <w:marTop w:val="0"/>
      <w:marBottom w:val="0"/>
      <w:divBdr>
        <w:top w:val="none" w:sz="0" w:space="0" w:color="auto"/>
        <w:left w:val="none" w:sz="0" w:space="0" w:color="auto"/>
        <w:bottom w:val="none" w:sz="0" w:space="0" w:color="auto"/>
        <w:right w:val="none" w:sz="0" w:space="0" w:color="auto"/>
      </w:divBdr>
    </w:div>
    <w:div w:id="2082366261">
      <w:bodyDiv w:val="1"/>
      <w:marLeft w:val="0"/>
      <w:marRight w:val="0"/>
      <w:marTop w:val="0"/>
      <w:marBottom w:val="0"/>
      <w:divBdr>
        <w:top w:val="none" w:sz="0" w:space="0" w:color="auto"/>
        <w:left w:val="none" w:sz="0" w:space="0" w:color="auto"/>
        <w:bottom w:val="none" w:sz="0" w:space="0" w:color="auto"/>
        <w:right w:val="none" w:sz="0" w:space="0" w:color="auto"/>
      </w:divBdr>
    </w:div>
    <w:div w:id="2086418137">
      <w:bodyDiv w:val="1"/>
      <w:marLeft w:val="0"/>
      <w:marRight w:val="0"/>
      <w:marTop w:val="0"/>
      <w:marBottom w:val="0"/>
      <w:divBdr>
        <w:top w:val="none" w:sz="0" w:space="0" w:color="auto"/>
        <w:left w:val="none" w:sz="0" w:space="0" w:color="auto"/>
        <w:bottom w:val="none" w:sz="0" w:space="0" w:color="auto"/>
        <w:right w:val="none" w:sz="0" w:space="0" w:color="auto"/>
      </w:divBdr>
    </w:div>
    <w:div w:id="2091654462">
      <w:bodyDiv w:val="1"/>
      <w:marLeft w:val="0"/>
      <w:marRight w:val="0"/>
      <w:marTop w:val="0"/>
      <w:marBottom w:val="0"/>
      <w:divBdr>
        <w:top w:val="none" w:sz="0" w:space="0" w:color="auto"/>
        <w:left w:val="none" w:sz="0" w:space="0" w:color="auto"/>
        <w:bottom w:val="none" w:sz="0" w:space="0" w:color="auto"/>
        <w:right w:val="none" w:sz="0" w:space="0" w:color="auto"/>
      </w:divBdr>
    </w:div>
    <w:div w:id="2092507579">
      <w:bodyDiv w:val="1"/>
      <w:marLeft w:val="0"/>
      <w:marRight w:val="0"/>
      <w:marTop w:val="0"/>
      <w:marBottom w:val="0"/>
      <w:divBdr>
        <w:top w:val="none" w:sz="0" w:space="0" w:color="auto"/>
        <w:left w:val="none" w:sz="0" w:space="0" w:color="auto"/>
        <w:bottom w:val="none" w:sz="0" w:space="0" w:color="auto"/>
        <w:right w:val="none" w:sz="0" w:space="0" w:color="auto"/>
      </w:divBdr>
    </w:div>
    <w:div w:id="2097357158">
      <w:bodyDiv w:val="1"/>
      <w:marLeft w:val="0"/>
      <w:marRight w:val="0"/>
      <w:marTop w:val="0"/>
      <w:marBottom w:val="0"/>
      <w:divBdr>
        <w:top w:val="none" w:sz="0" w:space="0" w:color="auto"/>
        <w:left w:val="none" w:sz="0" w:space="0" w:color="auto"/>
        <w:bottom w:val="none" w:sz="0" w:space="0" w:color="auto"/>
        <w:right w:val="none" w:sz="0" w:space="0" w:color="auto"/>
      </w:divBdr>
    </w:div>
    <w:div w:id="2098747881">
      <w:bodyDiv w:val="1"/>
      <w:marLeft w:val="0"/>
      <w:marRight w:val="0"/>
      <w:marTop w:val="0"/>
      <w:marBottom w:val="0"/>
      <w:divBdr>
        <w:top w:val="none" w:sz="0" w:space="0" w:color="auto"/>
        <w:left w:val="none" w:sz="0" w:space="0" w:color="auto"/>
        <w:bottom w:val="none" w:sz="0" w:space="0" w:color="auto"/>
        <w:right w:val="none" w:sz="0" w:space="0" w:color="auto"/>
      </w:divBdr>
    </w:div>
    <w:div w:id="2106654903">
      <w:bodyDiv w:val="1"/>
      <w:marLeft w:val="0"/>
      <w:marRight w:val="0"/>
      <w:marTop w:val="0"/>
      <w:marBottom w:val="0"/>
      <w:divBdr>
        <w:top w:val="none" w:sz="0" w:space="0" w:color="auto"/>
        <w:left w:val="none" w:sz="0" w:space="0" w:color="auto"/>
        <w:bottom w:val="none" w:sz="0" w:space="0" w:color="auto"/>
        <w:right w:val="none" w:sz="0" w:space="0" w:color="auto"/>
      </w:divBdr>
    </w:div>
    <w:div w:id="2117828569">
      <w:bodyDiv w:val="1"/>
      <w:marLeft w:val="0"/>
      <w:marRight w:val="0"/>
      <w:marTop w:val="0"/>
      <w:marBottom w:val="0"/>
      <w:divBdr>
        <w:top w:val="none" w:sz="0" w:space="0" w:color="auto"/>
        <w:left w:val="none" w:sz="0" w:space="0" w:color="auto"/>
        <w:bottom w:val="none" w:sz="0" w:space="0" w:color="auto"/>
        <w:right w:val="none" w:sz="0" w:space="0" w:color="auto"/>
      </w:divBdr>
    </w:div>
    <w:div w:id="2125952005">
      <w:bodyDiv w:val="1"/>
      <w:marLeft w:val="0"/>
      <w:marRight w:val="0"/>
      <w:marTop w:val="0"/>
      <w:marBottom w:val="0"/>
      <w:divBdr>
        <w:top w:val="none" w:sz="0" w:space="0" w:color="auto"/>
        <w:left w:val="none" w:sz="0" w:space="0" w:color="auto"/>
        <w:bottom w:val="none" w:sz="0" w:space="0" w:color="auto"/>
        <w:right w:val="none" w:sz="0" w:space="0" w:color="auto"/>
      </w:divBdr>
    </w:div>
    <w:div w:id="2139913575">
      <w:bodyDiv w:val="1"/>
      <w:marLeft w:val="0"/>
      <w:marRight w:val="0"/>
      <w:marTop w:val="0"/>
      <w:marBottom w:val="0"/>
      <w:divBdr>
        <w:top w:val="none" w:sz="0" w:space="0" w:color="auto"/>
        <w:left w:val="none" w:sz="0" w:space="0" w:color="auto"/>
        <w:bottom w:val="none" w:sz="0" w:space="0" w:color="auto"/>
        <w:right w:val="none" w:sz="0" w:space="0" w:color="auto"/>
      </w:divBdr>
    </w:div>
    <w:div w:id="214730752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hyperlink" Target="https://www.leapfroggroup.org/survey-materials/deadlines" TargetMode="External"/><Relationship Id="rId21" Type="http://schemas.openxmlformats.org/officeDocument/2006/relationships/hyperlink" Target="https://leapfroghelpdesk.zendesk.com" TargetMode="External"/><Relationship Id="rId63" Type="http://schemas.openxmlformats.org/officeDocument/2006/relationships/hyperlink" Target="https://www.leapfroggroup.org/survey-materials/data-accuracy" TargetMode="External"/><Relationship Id="rId159" Type="http://schemas.openxmlformats.org/officeDocument/2006/relationships/hyperlink" Target="https://nam02.safelinks.protection.outlook.com/?url=https%3A%2F%2Freadability.leapfroggroup.org%2F&amp;data=05%7C02%7Cjtilly%40leapfrog-group.org%7C6831d208cb504926d07108de64083d65%7C95c34b8315eb4d9a97a7f29881f4a800%7C0%7C0%7C639058183712473312%7CUnknown%7CTWFpbGZsb3d8eyJFbXB0eU1hcGkiOnRydWUsIlYiOiIwLjAuMDAwMCIsIlAiOiJXaW4zMiIsIkFOIjoiTWFpbCIsIldUIjoyfQ%3D%3D%7C0%7C%7C%7C&amp;sdata=ERCnNuEypjpxKse%2B%2Bfc00g73NnwCwuDaWaJmvCcANjc%3D&amp;reserved=0" TargetMode="External"/><Relationship Id="rId324" Type="http://schemas.openxmlformats.org/officeDocument/2006/relationships/hyperlink" Target="https://www.leapfroggroup.org/survey-materials/deadlines" TargetMode="External"/><Relationship Id="rId366" Type="http://schemas.openxmlformats.org/officeDocument/2006/relationships/hyperlink" Target="https://www.leapfroggroup.org/survey-materials/deadlines" TargetMode="External"/><Relationship Id="rId170" Type="http://schemas.openxmlformats.org/officeDocument/2006/relationships/hyperlink" Target="https://www.leapfroggroup.org/survey-materials/deadlines" TargetMode="External"/><Relationship Id="rId226" Type="http://schemas.openxmlformats.org/officeDocument/2006/relationships/hyperlink" Target="https://www.leapfroggroup.org/survey-materials/survey-and-cpoe-materials" TargetMode="External"/><Relationship Id="rId433" Type="http://schemas.openxmlformats.org/officeDocument/2006/relationships/hyperlink" Target="http://www.ahrq.gov/professionals/quality-patient-safety/patient-safety-resources/resources/candor/introduction.html" TargetMode="External"/><Relationship Id="rId268" Type="http://schemas.openxmlformats.org/officeDocument/2006/relationships/hyperlink" Target="https://public.vtoxford.org/leapfrog" TargetMode="External"/><Relationship Id="rId475" Type="http://schemas.openxmlformats.org/officeDocument/2006/relationships/hyperlink" Target="https://www.leapfroggroup.org/survey-materials/deadlines" TargetMode="External"/><Relationship Id="rId32" Type="http://schemas.openxmlformats.org/officeDocument/2006/relationships/hyperlink" Target="https://www.leapfroggroup.org/survey-materials/updating-your-hospital-survey" TargetMode="External"/><Relationship Id="rId74" Type="http://schemas.openxmlformats.org/officeDocument/2006/relationships/hyperlink" Target="http://www.hospitalsafetygrade.org/for-hospitals/updates-and-timelines-for-hospitals" TargetMode="External"/><Relationship Id="rId128" Type="http://schemas.openxmlformats.org/officeDocument/2006/relationships/hyperlink" Target="https://www.leapfroggroup.org/survey-materials/review-nhsn-instructions" TargetMode="External"/><Relationship Id="rId335" Type="http://schemas.openxmlformats.org/officeDocument/2006/relationships/hyperlink" Target="https://www.leapfroggroup.org/survey-materials/deadlines" TargetMode="External"/><Relationship Id="rId377" Type="http://schemas.openxmlformats.org/officeDocument/2006/relationships/hyperlink" Target="http://leapfroggroup.org/survey-materials/survey-and-cpoe-materials" TargetMode="External"/><Relationship Id="rId500" Type="http://schemas.openxmlformats.org/officeDocument/2006/relationships/hyperlink" Target="https://apps.who.int/iris/handle/10665/70046" TargetMode="External"/><Relationship Id="rId5" Type="http://schemas.openxmlformats.org/officeDocument/2006/relationships/customXml" Target="../customXml/item5.xml"/><Relationship Id="rId181" Type="http://schemas.openxmlformats.org/officeDocument/2006/relationships/hyperlink" Target="http://leapfroggroup.org/survey-materials/multi-campus-reporting-policy" TargetMode="External"/><Relationship Id="rId237" Type="http://schemas.openxmlformats.org/officeDocument/2006/relationships/hyperlink" Target="https://www.leapfroggroup.org/sites/default/files/Files/Implementation%20manual%20WHO%20surgical%20safety%20checklist%202009.pdf?token=_DzwbK1J" TargetMode="External"/><Relationship Id="rId402" Type="http://schemas.openxmlformats.org/officeDocument/2006/relationships/hyperlink" Target="https://www.leapfroggroup.org/about/expert-panelists" TargetMode="External"/><Relationship Id="rId279" Type="http://schemas.openxmlformats.org/officeDocument/2006/relationships/hyperlink" Target="http://leapfroggroup.org/survey-materials/multi-campus-reporting-policy" TargetMode="External"/><Relationship Id="rId444" Type="http://schemas.openxmlformats.org/officeDocument/2006/relationships/hyperlink" Target="https://www.leapfroggroup.org/survey-materials/deadlines" TargetMode="External"/><Relationship Id="rId486" Type="http://schemas.openxmlformats.org/officeDocument/2006/relationships/hyperlink" Target="https://survey.leapfroggroup.org/login?destination=dashboard" TargetMode="External"/><Relationship Id="rId43" Type="http://schemas.openxmlformats.org/officeDocument/2006/relationships/hyperlink" Target="https://www.leapfroggroup.org/survey-materials/scoring-and-results" TargetMode="External"/><Relationship Id="rId139" Type="http://schemas.openxmlformats.org/officeDocument/2006/relationships/hyperlink" Target="https://www.cms.gov/priorities/health-equity/minority-health/research-data/research-data/tools" TargetMode="External"/><Relationship Id="rId290" Type="http://schemas.openxmlformats.org/officeDocument/2006/relationships/hyperlink" Target="https://manual.jointcommission.org/releases/TJC2026A1/DataElem0265.html" TargetMode="External"/><Relationship Id="rId304" Type="http://schemas.openxmlformats.org/officeDocument/2006/relationships/hyperlink" Target="http://leapfroggroup.org/survey-materials/multi-campus-reporting-policy" TargetMode="External"/><Relationship Id="rId346" Type="http://schemas.openxmlformats.org/officeDocument/2006/relationships/hyperlink" Target="https://ratings.leapfroggroup.org/measure/hospital/2026/whats-new-2026" TargetMode="External"/><Relationship Id="rId388" Type="http://schemas.openxmlformats.org/officeDocument/2006/relationships/hyperlink" Target="https://www.hha.org.au/local-implementation/promotional-materials/video-clips" TargetMode="External"/><Relationship Id="rId511" Type="http://schemas.openxmlformats.org/officeDocument/2006/relationships/header" Target="header24.xml"/><Relationship Id="rId85" Type="http://schemas.openxmlformats.org/officeDocument/2006/relationships/hyperlink" Target="https://www.leapfroggroup.org/survey-materials/hospital-survey-webinar-series" TargetMode="External"/><Relationship Id="rId150" Type="http://schemas.openxmlformats.org/officeDocument/2006/relationships/hyperlink" Target="https://www.nyp.org/daliocenter/data-and-infrastructure" TargetMode="External"/><Relationship Id="rId192" Type="http://schemas.openxmlformats.org/officeDocument/2006/relationships/image" Target="media/image4.png"/><Relationship Id="rId206" Type="http://schemas.openxmlformats.org/officeDocument/2006/relationships/hyperlink" Target="https://www.leapfroggroup.org/survey-materials/scoring-and-results" TargetMode="External"/><Relationship Id="rId413" Type="http://schemas.openxmlformats.org/officeDocument/2006/relationships/hyperlink" Target="https://www.leapfroggroup.org/survey-materials/deadlines" TargetMode="External"/><Relationship Id="rId248" Type="http://schemas.openxmlformats.org/officeDocument/2006/relationships/hyperlink" Target="http://leapfroggroup.org/survey-materials/multi-campus-reporting-policy" TargetMode="External"/><Relationship Id="rId455" Type="http://schemas.openxmlformats.org/officeDocument/2006/relationships/image" Target="media/image9.png"/><Relationship Id="rId497" Type="http://schemas.openxmlformats.org/officeDocument/2006/relationships/hyperlink" Target="https://www.ahrq.gov/hai/tools/ambulatory-surgery/sections/implementation/implementation-guide/app-e.html" TargetMode="External"/><Relationship Id="rId12" Type="http://schemas.openxmlformats.org/officeDocument/2006/relationships/image" Target="media/image1.jpeg"/><Relationship Id="rId108" Type="http://schemas.openxmlformats.org/officeDocument/2006/relationships/hyperlink" Target="https://www.leapfroggroup.org/survey-materials/deadlines" TargetMode="External"/><Relationship Id="rId315" Type="http://schemas.openxmlformats.org/officeDocument/2006/relationships/hyperlink" Target="http://leapfroggroup.org/survey-materials/survey-and-cpoe-materials" TargetMode="External"/><Relationship Id="rId357" Type="http://schemas.openxmlformats.org/officeDocument/2006/relationships/hyperlink" Target="https://www.who.int/campaigns/world-hand-hygiene-day" TargetMode="External"/><Relationship Id="rId54" Type="http://schemas.openxmlformats.org/officeDocument/2006/relationships/hyperlink" Target="https://ratings.leapfroggroup.org/" TargetMode="External"/><Relationship Id="rId96" Type="http://schemas.openxmlformats.org/officeDocument/2006/relationships/hyperlink" Target="https://leapfroghelpdesk.zendesk.com/" TargetMode="External"/><Relationship Id="rId161" Type="http://schemas.openxmlformats.org/officeDocument/2006/relationships/header" Target="header8.xml"/><Relationship Id="rId217" Type="http://schemas.openxmlformats.org/officeDocument/2006/relationships/hyperlink" Target="https://www.leapfroggroup.org/survey-materials/deadlines" TargetMode="External"/><Relationship Id="rId399" Type="http://schemas.openxmlformats.org/officeDocument/2006/relationships/hyperlink" Target="https://www.ache.org/about-ache/our-story/our-commitments/leading-for-safety/safer-together" TargetMode="External"/><Relationship Id="rId259" Type="http://schemas.openxmlformats.org/officeDocument/2006/relationships/hyperlink" Target="https://www.leapfroggroup.org/survey-materials/deadlines" TargetMode="External"/><Relationship Id="rId424" Type="http://schemas.openxmlformats.org/officeDocument/2006/relationships/hyperlink" Target="https://www.leapfroggroup.org/survey-materials/review-nhsn-instructions" TargetMode="External"/><Relationship Id="rId466" Type="http://schemas.openxmlformats.org/officeDocument/2006/relationships/hyperlink" Target="https://www.leapfroggroup.org/survey-materials/deadlines" TargetMode="External"/><Relationship Id="rId23" Type="http://schemas.openxmlformats.org/officeDocument/2006/relationships/hyperlink" Target="http://www.hospitalsafetygrade.org/for-hospitals/updates-and-timelines-for-hospitals" TargetMode="External"/><Relationship Id="rId119" Type="http://schemas.openxmlformats.org/officeDocument/2006/relationships/hyperlink" Target="https://www.leapfroggroup.org/survey-materials/data-accuracy" TargetMode="External"/><Relationship Id="rId270" Type="http://schemas.openxmlformats.org/officeDocument/2006/relationships/hyperlink" Target="https://manual.jointcommission.org/releases/TJC2026A1/MIF0167.html" TargetMode="External"/><Relationship Id="rId326" Type="http://schemas.openxmlformats.org/officeDocument/2006/relationships/hyperlink" Target="https://www.leapfroggroup.org/survey-materials/scoring-and-results" TargetMode="External"/><Relationship Id="rId65" Type="http://schemas.openxmlformats.org/officeDocument/2006/relationships/hyperlink" Target="http://www.leapfroggroup.org/survey-materials/data-accuracy" TargetMode="External"/><Relationship Id="rId130" Type="http://schemas.openxmlformats.org/officeDocument/2006/relationships/hyperlink" Target="https://www.abms.org/board-certification/board-certification-requirements/board-eligibility/" TargetMode="External"/><Relationship Id="rId368" Type="http://schemas.openxmlformats.org/officeDocument/2006/relationships/hyperlink" Target="https://www.leapfroggroup.org/about/expert-panelists" TargetMode="External"/><Relationship Id="rId172" Type="http://schemas.openxmlformats.org/officeDocument/2006/relationships/hyperlink" Target="http://leapfroggroup.org/survey-materials/multi-campus-reporting-policy" TargetMode="External"/><Relationship Id="rId228" Type="http://schemas.openxmlformats.org/officeDocument/2006/relationships/hyperlink" Target="https://www.sts.org/" TargetMode="External"/><Relationship Id="rId435" Type="http://schemas.openxmlformats.org/officeDocument/2006/relationships/hyperlink" Target="http://www.leapfroggroup.org/survey-materials/survey-and-cpoe-materials" TargetMode="External"/><Relationship Id="rId477" Type="http://schemas.openxmlformats.org/officeDocument/2006/relationships/hyperlink" Target="https://www.leapfroggroup.org/survey-materials/deadlines" TargetMode="External"/><Relationship Id="rId281" Type="http://schemas.openxmlformats.org/officeDocument/2006/relationships/hyperlink" Target="http://leapfroggroup.org/survey-materials/survey-and-cpoe-materials" TargetMode="External"/><Relationship Id="rId337" Type="http://schemas.openxmlformats.org/officeDocument/2006/relationships/hyperlink" Target="http://leapfroggroup.org/survey-materials/multi-campus-reporting-policy" TargetMode="External"/><Relationship Id="rId502" Type="http://schemas.openxmlformats.org/officeDocument/2006/relationships/hyperlink" Target="https://www.leapfroggroup.org/survey-materials/survey-and-cpoe-materials" TargetMode="External"/><Relationship Id="rId34" Type="http://schemas.openxmlformats.org/officeDocument/2006/relationships/hyperlink" Target="http://www.leapfroggroup.org/survey-materials/get-hospital-security-code" TargetMode="External"/><Relationship Id="rId76" Type="http://schemas.openxmlformats.org/officeDocument/2006/relationships/hyperlink" Target="https://ratings.leapfroggroup.org/" TargetMode="External"/><Relationship Id="rId141" Type="http://schemas.openxmlformats.org/officeDocument/2006/relationships/hyperlink" Target="https://fenwayhealth.org/wp-content/uploads/TFI-54_SOGI-Data-Collection-Series-of-3-Tip-Sheets-for-pride-month_NutsAndBolts.pdf" TargetMode="External"/><Relationship Id="rId379" Type="http://schemas.openxmlformats.org/officeDocument/2006/relationships/hyperlink" Target="http://www.leapfroggroup.org/survey-materials/data-accuracy" TargetMode="External"/><Relationship Id="rId7" Type="http://schemas.openxmlformats.org/officeDocument/2006/relationships/styles" Target="styles.xml"/><Relationship Id="rId183" Type="http://schemas.openxmlformats.org/officeDocument/2006/relationships/hyperlink" Target="http://www.leapfroggroup.org/survey-materials/survey-and-cpoe-materials" TargetMode="External"/><Relationship Id="rId239" Type="http://schemas.openxmlformats.org/officeDocument/2006/relationships/hyperlink" Target="https://www.leapfroggroup.org/survey-materials/survey-and-cpoe-materials" TargetMode="External"/><Relationship Id="rId390" Type="http://schemas.openxmlformats.org/officeDocument/2006/relationships/hyperlink" Target="https://www.leapfroggroup.org/survey-materials/survey-and-cpoe-materials" TargetMode="External"/><Relationship Id="rId404" Type="http://schemas.openxmlformats.org/officeDocument/2006/relationships/hyperlink" Target="https://www.leapfroggroup.org/sites/default/files/Files/Root%20Cause%20Analysis%20of%20Cases%20Involving%20Diagnosis%20A%20Handbook%20for%20Healthcare%20Organizations.pdf" TargetMode="External"/><Relationship Id="rId446" Type="http://schemas.openxmlformats.org/officeDocument/2006/relationships/hyperlink" Target="https://www.ahrq.gov/cahps/surveys-guidance/hospital/about/child_hp_survey.html" TargetMode="External"/><Relationship Id="rId250" Type="http://schemas.openxmlformats.org/officeDocument/2006/relationships/hyperlink" Target="https://www.leapfroggroup.org/survey-materials/deadlines" TargetMode="External"/><Relationship Id="rId292" Type="http://schemas.openxmlformats.org/officeDocument/2006/relationships/hyperlink" Target="https://manual.jointcommission.org/releases/TJC2026A1/AppendixATJC.html" TargetMode="External"/><Relationship Id="rId306" Type="http://schemas.openxmlformats.org/officeDocument/2006/relationships/hyperlink" Target="http://leapfroggroup.org/survey-materials/multi-campus-reporting-policy" TargetMode="External"/><Relationship Id="rId488" Type="http://schemas.openxmlformats.org/officeDocument/2006/relationships/hyperlink" Target="https://survey.leapfroggroup.org/login?destination=dashboard" TargetMode="External"/><Relationship Id="rId45" Type="http://schemas.openxmlformats.org/officeDocument/2006/relationships/hyperlink" Target="http://leapfroggroup.org/survey-materials/survey-and-cpoe-materials" TargetMode="External"/><Relationship Id="rId87" Type="http://schemas.openxmlformats.org/officeDocument/2006/relationships/hyperlink" Target="https://leapfroghelpdesk.zendesk.com/hc/en-us" TargetMode="External"/><Relationship Id="rId110" Type="http://schemas.openxmlformats.org/officeDocument/2006/relationships/hyperlink" Target="https://www.leapfroggroup.org/survey-materials/deadlines" TargetMode="External"/><Relationship Id="rId348" Type="http://schemas.openxmlformats.org/officeDocument/2006/relationships/hyperlink" Target="http://leapfroggroup.org/survey-materials/multi-campus-reporting-policy" TargetMode="External"/><Relationship Id="rId513" Type="http://schemas.openxmlformats.org/officeDocument/2006/relationships/theme" Target="theme/theme1.xml"/><Relationship Id="rId152" Type="http://schemas.openxmlformats.org/officeDocument/2006/relationships/hyperlink" Target="https://nam02.safelinks.protection.outlook.com/?url=https%3A%2F%2Fwww.barbarabush.org%2Fwp-content%2Fuploads%2F2020%2F09%2FBBFoundation_GainsFromEradicatingIlliteracy_9_8.pdf&amp;data=05%7C01%7CPLipscomb%40leapfrog-group.org%7C2c470c166c5f45fac28508db5d5d58d1%7C95c34b8315eb4d9a97a7f29881f4a800%7C0%7C0%7C638206427719598521%7CUnknown%7CTWFpbGZsb3d8eyJWIjoiMC4wLjAwMDAiLCJQIjoiV2luMzIiLCJBTiI6Ik1haWwiLCJXVCI6Mn0%3D%7C3000%7C%7C%7C&amp;sdata=gyzWTmT%2Bwr7GH5iPUG1uGWyGhkG8gLWnR74g7nkLL00%3D&amp;reserved=0" TargetMode="External"/><Relationship Id="rId194" Type="http://schemas.openxmlformats.org/officeDocument/2006/relationships/image" Target="media/image5.png"/><Relationship Id="rId208" Type="http://schemas.openxmlformats.org/officeDocument/2006/relationships/header" Target="header12.xml"/><Relationship Id="rId415" Type="http://schemas.openxmlformats.org/officeDocument/2006/relationships/hyperlink" Target="https://www.leapfroggroup.org/survey-materials/review-nhsn-instructions" TargetMode="External"/><Relationship Id="rId457" Type="http://schemas.openxmlformats.org/officeDocument/2006/relationships/hyperlink" Target="http://www.leapfroggroup.org/about/expert-panelists" TargetMode="External"/><Relationship Id="rId261" Type="http://schemas.openxmlformats.org/officeDocument/2006/relationships/hyperlink" Target="http://leapfroggroup.org/survey-materials/multi-campus-reporting-policy" TargetMode="External"/><Relationship Id="rId499" Type="http://schemas.openxmlformats.org/officeDocument/2006/relationships/hyperlink" Target="https://www.who.int/patientsafety/safesurgery/checklist/en/" TargetMode="External"/><Relationship Id="rId14" Type="http://schemas.openxmlformats.org/officeDocument/2006/relationships/header" Target="header1.xml"/><Relationship Id="rId56" Type="http://schemas.openxmlformats.org/officeDocument/2006/relationships/hyperlink" Target="http://www.leapfroggroup.org/survey-materials/data-accuracy" TargetMode="External"/><Relationship Id="rId317" Type="http://schemas.openxmlformats.org/officeDocument/2006/relationships/hyperlink" Target="http://pediatrics.aappublications.org/content/114/1/297.full" TargetMode="External"/><Relationship Id="rId359" Type="http://schemas.openxmlformats.org/officeDocument/2006/relationships/hyperlink" Target="http://leapfroggroup.org/survey-materials/multi-campus-reporting-policy" TargetMode="External"/><Relationship Id="rId98" Type="http://schemas.openxmlformats.org/officeDocument/2006/relationships/hyperlink" Target="https://leapfroghelpdesk.zendesk.com/" TargetMode="External"/><Relationship Id="rId121" Type="http://schemas.openxmlformats.org/officeDocument/2006/relationships/header" Target="header7.xml"/><Relationship Id="rId163" Type="http://schemas.openxmlformats.org/officeDocument/2006/relationships/hyperlink" Target="https://ratings.leapfroggroup.org/measure/hospital/2026/safe-medication-administration" TargetMode="External"/><Relationship Id="rId219" Type="http://schemas.openxmlformats.org/officeDocument/2006/relationships/hyperlink" Target="https://www.sts.org/" TargetMode="External"/><Relationship Id="rId370" Type="http://schemas.openxmlformats.org/officeDocument/2006/relationships/hyperlink" Target="https://www.leapfroggroup.org/survey-materials/survey-and-cpoe-materials" TargetMode="External"/><Relationship Id="rId426" Type="http://schemas.openxmlformats.org/officeDocument/2006/relationships/hyperlink" Target="https://survey.leapfroggroup.org/login?destination=dashboard" TargetMode="External"/><Relationship Id="rId230" Type="http://schemas.openxmlformats.org/officeDocument/2006/relationships/hyperlink" Target="https://publicreporting.sts.org/search/acsd" TargetMode="External"/><Relationship Id="rId468" Type="http://schemas.openxmlformats.org/officeDocument/2006/relationships/hyperlink" Target="http://leapfroggroup.org/survey-materials/multi-campus-reporting-policy" TargetMode="External"/><Relationship Id="rId25" Type="http://schemas.openxmlformats.org/officeDocument/2006/relationships/hyperlink" Target="http://www.leapfroggroup.org/survey-materials/deadlines" TargetMode="External"/><Relationship Id="rId67" Type="http://schemas.openxmlformats.org/officeDocument/2006/relationships/hyperlink" Target="https://leapfroghelpdesk.zendesk.com/" TargetMode="External"/><Relationship Id="rId272" Type="http://schemas.openxmlformats.org/officeDocument/2006/relationships/hyperlink" Target="https://www.leapfroggroup.org/about/expert-panelists" TargetMode="External"/><Relationship Id="rId328" Type="http://schemas.openxmlformats.org/officeDocument/2006/relationships/hyperlink" Target="https://www.leapfroggroup.org/survey-materials/deadlines" TargetMode="External"/><Relationship Id="rId132" Type="http://schemas.openxmlformats.org/officeDocument/2006/relationships/hyperlink" Target="https://www.upmc.com/about/why-upmc/quality/patient-safety/condition-help" TargetMode="External"/><Relationship Id="rId174" Type="http://schemas.openxmlformats.org/officeDocument/2006/relationships/hyperlink" Target="https://www.leapfroggroup.org/survey-materials/deadlines" TargetMode="External"/><Relationship Id="rId381" Type="http://schemas.openxmlformats.org/officeDocument/2006/relationships/hyperlink" Target="http://leapfroggroup.org/survey-materials/multi-campus-reporting-policy" TargetMode="External"/><Relationship Id="rId241" Type="http://schemas.openxmlformats.org/officeDocument/2006/relationships/hyperlink" Target="https://www.who.int/patientsafety/safesurgery/checklist/en/" TargetMode="External"/><Relationship Id="rId437" Type="http://schemas.openxmlformats.org/officeDocument/2006/relationships/hyperlink" Target="https://ratings.leapfroggroup.org/measure/hospital/2026/pediatric-care" TargetMode="External"/><Relationship Id="rId479" Type="http://schemas.openxmlformats.org/officeDocument/2006/relationships/hyperlink" Target="https://data.cms.gov/provider-data/" TargetMode="External"/><Relationship Id="rId36" Type="http://schemas.openxmlformats.org/officeDocument/2006/relationships/hyperlink" Target="http://www.leapfroggroup.org/survey-materials/survey-and-cpoe-materials" TargetMode="External"/><Relationship Id="rId283" Type="http://schemas.openxmlformats.org/officeDocument/2006/relationships/hyperlink" Target="https://manual.jointcommission.org/releases/TJC2026A1/MIF0167.html" TargetMode="External"/><Relationship Id="rId339" Type="http://schemas.openxmlformats.org/officeDocument/2006/relationships/hyperlink" Target="mailto:ndnqisupport@pressganey.com" TargetMode="External"/><Relationship Id="rId490" Type="http://schemas.openxmlformats.org/officeDocument/2006/relationships/hyperlink" Target="https://survey.leapfroggroup.org/login?destination=dashboard" TargetMode="External"/><Relationship Id="rId504" Type="http://schemas.openxmlformats.org/officeDocument/2006/relationships/hyperlink" Target="https://oascahps.org/Survey-Materials" TargetMode="External"/><Relationship Id="rId78" Type="http://schemas.openxmlformats.org/officeDocument/2006/relationships/hyperlink" Target="https://www.leapfroggroup.org/ratings-reports/top-ascs" TargetMode="External"/><Relationship Id="rId101" Type="http://schemas.openxmlformats.org/officeDocument/2006/relationships/hyperlink" Target="https://ratings.leapfroggroup.org/measure/hospital/2026/health-care-equity" TargetMode="External"/><Relationship Id="rId143" Type="http://schemas.openxmlformats.org/officeDocument/2006/relationships/hyperlink" Target="https://www.cdc.gov/disability-and-health/about/?CDC_AAref_Val=https://www.cdc.gov/ncbddd/disabilityandhealth/disability.html" TargetMode="External"/><Relationship Id="rId185" Type="http://schemas.openxmlformats.org/officeDocument/2006/relationships/hyperlink" Target="https://www.leapfroggroup.org/survey-materials/survey-and-cpoe-materials" TargetMode="External"/><Relationship Id="rId350" Type="http://schemas.openxmlformats.org/officeDocument/2006/relationships/hyperlink" Target="https://www.leapfroggroup.org/sites/default/files/Files/NQF%20Safe%20Practices%20for%20Better%20Healthcare%202010_0.pdf?token=tNGuBYyg" TargetMode="External"/><Relationship Id="rId406" Type="http://schemas.openxmlformats.org/officeDocument/2006/relationships/hyperlink" Target="https://www.leapfroggroup.org/patient-and-family-advisory-council-pfac-toolkit-exploring-diagnostic-quality" TargetMode="External"/><Relationship Id="rId9" Type="http://schemas.openxmlformats.org/officeDocument/2006/relationships/webSettings" Target="webSettings.xml"/><Relationship Id="rId210" Type="http://schemas.openxmlformats.org/officeDocument/2006/relationships/hyperlink" Target="http://www.leapfroggroup.org/survey-materials/scoring-and-results" TargetMode="External"/><Relationship Id="rId392" Type="http://schemas.openxmlformats.org/officeDocument/2006/relationships/hyperlink" Target="https://www.ahrq.gov/patient-safety/patients-families/engagingfamilies/index.html" TargetMode="External"/><Relationship Id="rId448" Type="http://schemas.openxmlformats.org/officeDocument/2006/relationships/hyperlink" Target="https://www.ahrq.gov/cahps/surveys-guidance/hospital/about/child_hp_survey.html" TargetMode="External"/><Relationship Id="rId252" Type="http://schemas.openxmlformats.org/officeDocument/2006/relationships/hyperlink" Target="https://www.leapfroggroup.org/survey-materials/deadlines" TargetMode="External"/><Relationship Id="rId294" Type="http://schemas.openxmlformats.org/officeDocument/2006/relationships/hyperlink" Target="https://manual.jointcommission.org/releases/TJC2026A1/MIF0167.html" TargetMode="External"/><Relationship Id="rId308" Type="http://schemas.openxmlformats.org/officeDocument/2006/relationships/hyperlink" Target="http://leapfroggroup.org/survey-materials/survey-and-cpoe-materials" TargetMode="External"/><Relationship Id="rId47" Type="http://schemas.openxmlformats.org/officeDocument/2006/relationships/hyperlink" Target="http://leapfroggroup.org/survey-materials/get-started" TargetMode="External"/><Relationship Id="rId89" Type="http://schemas.openxmlformats.org/officeDocument/2006/relationships/hyperlink" Target="https://www.leapfroggroup.org/survey-materials/review-nhsn-instructions" TargetMode="External"/><Relationship Id="rId112" Type="http://schemas.openxmlformats.org/officeDocument/2006/relationships/hyperlink" Target="http://leapfroggroup.org/survey-materials/multi-campus-reporting-policy" TargetMode="External"/><Relationship Id="rId154" Type="http://schemas.openxmlformats.org/officeDocument/2006/relationships/hyperlink" Target="https://nam02.safelinks.protection.outlook.com/?url=https%3A%2F%2Fwww.leapfroggroup.org%2Fsurvey-materials%2Ftown-hall-calls&amp;data=05%7C01%7CPLipscomb%40leapfrog-group.org%7C2c470c166c5f45fac28508db5d5d58d1%7C95c34b8315eb4d9a97a7f29881f4a800%7C0%7C0%7C638206427719598521%7CUnknown%7CTWFpbGZsb3d8eyJWIjoiMC4wLjAwMDAiLCJQIjoiV2luMzIiLCJBTiI6Ik1haWwiLCJXVCI6Mn0%3D%7C3000%7C%7C%7C&amp;sdata=SUsDnxd0t3u1QBB%2BErL5RBbQxn62cY5BI%2BaGlI1RIAU%3D&amp;reserved=0" TargetMode="External"/><Relationship Id="rId361" Type="http://schemas.openxmlformats.org/officeDocument/2006/relationships/hyperlink" Target="https://www.leapfroggroup.org/survey-materials/deadlines" TargetMode="External"/><Relationship Id="rId196" Type="http://schemas.openxmlformats.org/officeDocument/2006/relationships/hyperlink" Target="https://www.leapfroggroup.org/survey-materials/survey-and-cpoe-materials" TargetMode="External"/><Relationship Id="rId417" Type="http://schemas.openxmlformats.org/officeDocument/2006/relationships/hyperlink" Target="https://www.leapfroggroup.org/survey-materials/review-nhsn-instructions" TargetMode="External"/><Relationship Id="rId459" Type="http://schemas.openxmlformats.org/officeDocument/2006/relationships/header" Target="header22.xml"/><Relationship Id="rId16" Type="http://schemas.openxmlformats.org/officeDocument/2006/relationships/hyperlink" Target="https://leapfroggroup.org/hospital" TargetMode="External"/><Relationship Id="rId221" Type="http://schemas.openxmlformats.org/officeDocument/2006/relationships/hyperlink" Target="https://www.who.int/patientsafety/safesurgery/checklist/en/" TargetMode="External"/><Relationship Id="rId263" Type="http://schemas.openxmlformats.org/officeDocument/2006/relationships/hyperlink" Target="https://www.leapfroggroup.org/survey-materials/deadlines" TargetMode="External"/><Relationship Id="rId319" Type="http://schemas.openxmlformats.org/officeDocument/2006/relationships/header" Target="header16.xml"/><Relationship Id="rId470" Type="http://schemas.openxmlformats.org/officeDocument/2006/relationships/hyperlink" Target="https://www.leapfroggroup.org/survey-materials/deadlines" TargetMode="External"/><Relationship Id="rId58" Type="http://schemas.openxmlformats.org/officeDocument/2006/relationships/hyperlink" Target="https://theleapfroggroup.qualtrics.com/jfe/form/SV_0fkafQ61FWboZp4" TargetMode="External"/><Relationship Id="rId123" Type="http://schemas.openxmlformats.org/officeDocument/2006/relationships/image" Target="media/image2.png"/><Relationship Id="rId330" Type="http://schemas.openxmlformats.org/officeDocument/2006/relationships/hyperlink" Target="https://www.leapfroggroup.org/survey-materials/scoring-and-results" TargetMode="External"/><Relationship Id="rId165" Type="http://schemas.openxmlformats.org/officeDocument/2006/relationships/hyperlink" Target="http://www.leapfroggroup.org/survey-materials/scoring-and-results" TargetMode="External"/><Relationship Id="rId372" Type="http://schemas.openxmlformats.org/officeDocument/2006/relationships/hyperlink" Target="https://www.leapfroggroup.org/about/expert-panelists" TargetMode="External"/><Relationship Id="rId428" Type="http://schemas.openxmlformats.org/officeDocument/2006/relationships/hyperlink" Target="https://digitalassets.jointcommission.org/api/public/content/4534bbaaee4f4bd280c2054765f37f4b?v=a60f8f9a" TargetMode="External"/><Relationship Id="rId232" Type="http://schemas.openxmlformats.org/officeDocument/2006/relationships/image" Target="media/image8.png"/><Relationship Id="rId274" Type="http://schemas.openxmlformats.org/officeDocument/2006/relationships/hyperlink" Target="https://manual.jointcommission.org/releases/TJC2026A1/MIF0167.html" TargetMode="External"/><Relationship Id="rId481" Type="http://schemas.openxmlformats.org/officeDocument/2006/relationships/hyperlink" Target="https://data.cms.gov/provider-data" TargetMode="External"/><Relationship Id="rId27" Type="http://schemas.openxmlformats.org/officeDocument/2006/relationships/hyperlink" Target="https://survey.leapfroggroup.org/dashboard" TargetMode="External"/><Relationship Id="rId69" Type="http://schemas.openxmlformats.org/officeDocument/2006/relationships/hyperlink" Target="https://www.leapfroggroup.org/survey-materials/review-nhsn-instructions" TargetMode="External"/><Relationship Id="rId134" Type="http://schemas.openxmlformats.org/officeDocument/2006/relationships/hyperlink" Target="https://unduemedicaldebt.org/contact/" TargetMode="External"/><Relationship Id="rId80" Type="http://schemas.openxmlformats.org/officeDocument/2006/relationships/hyperlink" Target="https://www.leapfroggroup.org/diabetes" TargetMode="External"/><Relationship Id="rId176" Type="http://schemas.openxmlformats.org/officeDocument/2006/relationships/hyperlink" Target="https://www.leapfroggroup.org/survey-materials/deadlines" TargetMode="External"/><Relationship Id="rId341" Type="http://schemas.openxmlformats.org/officeDocument/2006/relationships/hyperlink" Target="https://www.nursingworld.org/organizational-programs/pathway/find-a-pathway-organization/" TargetMode="External"/><Relationship Id="rId383" Type="http://schemas.openxmlformats.org/officeDocument/2006/relationships/hyperlink" Target="https://www.leapfroggroup.org/survey-materials/updating-your-hospital-survey" TargetMode="External"/><Relationship Id="rId439" Type="http://schemas.openxmlformats.org/officeDocument/2006/relationships/hyperlink" Target="http://leapfroggroup.org/survey-materials/multi-campus-reporting-policy" TargetMode="External"/><Relationship Id="rId201" Type="http://schemas.openxmlformats.org/officeDocument/2006/relationships/hyperlink" Target="https://www.leapfroggroup.org/survey-materials/prepare-cpoe-tool" TargetMode="External"/><Relationship Id="rId243" Type="http://schemas.openxmlformats.org/officeDocument/2006/relationships/header" Target="header13.xml"/><Relationship Id="rId285" Type="http://schemas.openxmlformats.org/officeDocument/2006/relationships/hyperlink" Target="https://manual.jointcommission.org/releases/TJC2026A1/AppendixATJC.html" TargetMode="External"/><Relationship Id="rId450" Type="http://schemas.openxmlformats.org/officeDocument/2006/relationships/hyperlink" Target="http://leapfroggroup.org/survey-materials/multi-campus-reporting-policy" TargetMode="External"/><Relationship Id="rId506" Type="http://schemas.openxmlformats.org/officeDocument/2006/relationships/hyperlink" Target="https://data.cms.gov/provider-data/search?theme=Hospitals" TargetMode="External"/><Relationship Id="rId38" Type="http://schemas.openxmlformats.org/officeDocument/2006/relationships/hyperlink" Target="https://www.leapfroggroup.org/survey-materials/review-nhsn-instructions" TargetMode="External"/><Relationship Id="rId103" Type="http://schemas.openxmlformats.org/officeDocument/2006/relationships/hyperlink" Target="http://www.leapfroggroup.org/survey-materials/scoring-and-results" TargetMode="External"/><Relationship Id="rId310" Type="http://schemas.openxmlformats.org/officeDocument/2006/relationships/hyperlink" Target="https://manual.jointcommission.org/releases/TJC2024B/AppendixHTJC.html" TargetMode="External"/><Relationship Id="rId492" Type="http://schemas.openxmlformats.org/officeDocument/2006/relationships/hyperlink" Target="https://survey.leapfroggroup.org/login?destination=dashboard" TargetMode="External"/><Relationship Id="rId91" Type="http://schemas.openxmlformats.org/officeDocument/2006/relationships/header" Target="header3.xml"/><Relationship Id="rId145" Type="http://schemas.openxmlformats.org/officeDocument/2006/relationships/hyperlink" Target="https://torontohealthequity.ca/wp-content/uploads/2018/03/Measuring-Health-Equity-Participant-Manual-2018.pdf" TargetMode="External"/><Relationship Id="rId187" Type="http://schemas.openxmlformats.org/officeDocument/2006/relationships/hyperlink" Target="https://www.leapfroggroup.org/survey-materials/survey-and-cpoe-materials" TargetMode="External"/><Relationship Id="rId352" Type="http://schemas.openxmlformats.org/officeDocument/2006/relationships/hyperlink" Target="https://nam02.safelinks.protection.outlook.com/?url=http%3A%2F%2Fwww.leapfroggroup.org%2Fsurvey-materials%2Fsurvey-and-cpoe-materials&amp;data=05%7C02%7CLKaufman%40leapfrog-group.org%7C60396fa6210e4710503608de0da04068%7C95c34b8315eb4d9a97a7f29881f4a800%7C0%7C0%7C638963179102269152%7CUnknown%7CTWFpbGZsb3d8eyJFbXB0eU1hcGkiOnRydWUsIlYiOiIwLjAuMDAwMCIsIlAiOiJXaW4zMiIsIkFOIjoiTWFpbCIsIldUIjoyfQ%3D%3D%7C0%7C%7C%7C&amp;sdata=4xDAuGzvM2ot3uaobcEDqactLBa6MbAsoh47EprlmjE%3D&amp;reserved=0" TargetMode="External"/><Relationship Id="rId394" Type="http://schemas.openxmlformats.org/officeDocument/2006/relationships/hyperlink" Target="https://aws.state.ak.us/OnlinePublicNotices/Notices/Attachment.aspx?id=127560" TargetMode="External"/><Relationship Id="rId408" Type="http://schemas.openxmlformats.org/officeDocument/2006/relationships/hyperlink" Target="https://ratings.leapfroggroup.org/measure/hospital/2026/responding-never-events" TargetMode="External"/><Relationship Id="rId212" Type="http://schemas.openxmlformats.org/officeDocument/2006/relationships/hyperlink" Target="https://www.leapfroggroup.org/survey-materials/deadlines" TargetMode="External"/><Relationship Id="rId254" Type="http://schemas.openxmlformats.org/officeDocument/2006/relationships/hyperlink" Target="https://www.leapfroggroup.org/survey-materials/deadlines" TargetMode="External"/><Relationship Id="rId49" Type="http://schemas.openxmlformats.org/officeDocument/2006/relationships/hyperlink" Target="http://leapfroggroup.org/survey-materials/get-started" TargetMode="External"/><Relationship Id="rId114" Type="http://schemas.openxmlformats.org/officeDocument/2006/relationships/hyperlink" Target="https://www.leapfroggroup.org/survey-materials/deadlines" TargetMode="External"/><Relationship Id="rId296" Type="http://schemas.openxmlformats.org/officeDocument/2006/relationships/hyperlink" Target="https://manual.jointcommission.org/releases/TJC2026A1/MIF0167.html" TargetMode="External"/><Relationship Id="rId461" Type="http://schemas.openxmlformats.org/officeDocument/2006/relationships/hyperlink" Target="http://www.leapfroggroup.org/survey-materials/scoring-and-results" TargetMode="External"/><Relationship Id="rId60" Type="http://schemas.openxmlformats.org/officeDocument/2006/relationships/hyperlink" Target="https://ratings.leapfroggroup.org/" TargetMode="External"/><Relationship Id="rId156" Type="http://schemas.openxmlformats.org/officeDocument/2006/relationships/hyperlink" Target="https://nam02.safelinks.protection.outlook.com/?url=https%3A%2F%2Fwww.ahrq.gov%2Fprofessionals%2Fprevention-chronic-care%2Fimprove%2Fself-mgmt%2Fpemat%2Findex.html&amp;data=05%7C01%7CPLipscomb%40leapfrog-group.org%7C2c470c166c5f45fac28508db5d5d58d1%7C95c34b8315eb4d9a97a7f29881f4a800%7C0%7C0%7C638206427719598521%7CUnknown%7CTWFpbGZsb3d8eyJWIjoiMC4wLjAwMDAiLCJQIjoiV2luMzIiLCJBTiI6Ik1haWwiLCJXVCI6Mn0%3D%7C3000%7C%7C%7C&amp;sdata=XGsOf7dCprBo5LmSbmpyzbgXVQAaw%2FpRspPqXhNMFEo%3D&amp;reserved=0" TargetMode="External"/><Relationship Id="rId198" Type="http://schemas.openxmlformats.org/officeDocument/2006/relationships/hyperlink" Target="https://www.hospitalmedicine.org/clinical-topics/medication-reconciliation/" TargetMode="External"/><Relationship Id="rId321" Type="http://schemas.openxmlformats.org/officeDocument/2006/relationships/hyperlink" Target="https://ratings.leapfroggroup.org/measure/hospital/2026/nursing-workforce" TargetMode="External"/><Relationship Id="rId363" Type="http://schemas.openxmlformats.org/officeDocument/2006/relationships/hyperlink" Target="https://www.ihi.org/sites/default/files/Safer-Dx-Checklist.pdf" TargetMode="External"/><Relationship Id="rId419" Type="http://schemas.openxmlformats.org/officeDocument/2006/relationships/hyperlink" Target="https://www.federalregister.gov/d/2025-06271/page-18303" TargetMode="External"/><Relationship Id="rId223" Type="http://schemas.openxmlformats.org/officeDocument/2006/relationships/hyperlink" Target="https://www.leapfroggroup.org/survey-materials/deadlines" TargetMode="External"/><Relationship Id="rId430" Type="http://schemas.openxmlformats.org/officeDocument/2006/relationships/hyperlink" Target="https://digitalassets.jointcommission.org/api/public/content/b4e8988066e74717ae9801edb2bfb9de?v=e0ff96a2" TargetMode="External"/><Relationship Id="rId18" Type="http://schemas.openxmlformats.org/officeDocument/2006/relationships/hyperlink" Target="https://www.leapfroggroup.org/ratings-reports/top-hospitals" TargetMode="External"/><Relationship Id="rId265" Type="http://schemas.openxmlformats.org/officeDocument/2006/relationships/hyperlink" Target="https://www.leapfroggroup.org/survey-materials/deadlines" TargetMode="External"/><Relationship Id="rId472" Type="http://schemas.openxmlformats.org/officeDocument/2006/relationships/hyperlink" Target="https://www.who.int/patientsafety/safesurgery/checklist/en/" TargetMode="External"/><Relationship Id="rId125" Type="http://schemas.openxmlformats.org/officeDocument/2006/relationships/hyperlink" Target="https://www.cdc.gov/nhsn/forms/instr/57_103-TOI.pdf" TargetMode="External"/><Relationship Id="rId167" Type="http://schemas.openxmlformats.org/officeDocument/2006/relationships/hyperlink" Target="https://www.leapfroggroup.org/survey-materials/deadlines" TargetMode="External"/><Relationship Id="rId332" Type="http://schemas.openxmlformats.org/officeDocument/2006/relationships/hyperlink" Target="https://www.leapfroggroup.org/survey-materials/deadlines" TargetMode="External"/><Relationship Id="rId374" Type="http://schemas.openxmlformats.org/officeDocument/2006/relationships/hyperlink" Target="https://www.leapfroggroup.org/influencing/recognizing-excellence-diagnosis" TargetMode="External"/><Relationship Id="rId71" Type="http://schemas.openxmlformats.org/officeDocument/2006/relationships/hyperlink" Target="https://ratings.leapfroggroup.org/" TargetMode="External"/><Relationship Id="rId234" Type="http://schemas.openxmlformats.org/officeDocument/2006/relationships/hyperlink" Target="https://www.sts.org/" TargetMode="External"/><Relationship Id="rId2" Type="http://schemas.openxmlformats.org/officeDocument/2006/relationships/customXml" Target="../customXml/item2.xml"/><Relationship Id="rId29" Type="http://schemas.openxmlformats.org/officeDocument/2006/relationships/hyperlink" Target="https://www.leapfroggroup.org/survey-materials/review-nhsn-instructions" TargetMode="External"/><Relationship Id="rId276" Type="http://schemas.openxmlformats.org/officeDocument/2006/relationships/hyperlink" Target="https://pubmed.ncbi.nlm.nih.gov/29939938/" TargetMode="External"/><Relationship Id="rId441" Type="http://schemas.openxmlformats.org/officeDocument/2006/relationships/hyperlink" Target="https://www.leapfroggroup.org/survey-materials/deadlines" TargetMode="External"/><Relationship Id="rId483" Type="http://schemas.openxmlformats.org/officeDocument/2006/relationships/hyperlink" Target="http://leapfroggroup.org/survey-materials/multi-campus-reporting-policy" TargetMode="External"/><Relationship Id="rId40" Type="http://schemas.openxmlformats.org/officeDocument/2006/relationships/hyperlink" Target="https://www.leapfroggroup.org/survey-materials/get-started" TargetMode="External"/><Relationship Id="rId136" Type="http://schemas.openxmlformats.org/officeDocument/2006/relationships/hyperlink" Target="https://www.hfma.org/finance-and-business-strategy/advancing-healthcare-access/" TargetMode="External"/><Relationship Id="rId178" Type="http://schemas.openxmlformats.org/officeDocument/2006/relationships/hyperlink" Target="https://www.leapfroggroup.org/about/expert-panelists" TargetMode="External"/><Relationship Id="rId301" Type="http://schemas.openxmlformats.org/officeDocument/2006/relationships/hyperlink" Target="https://manual.jointcommission.org/releases/TJC2026A1/MIF0167.html" TargetMode="External"/><Relationship Id="rId343" Type="http://schemas.openxmlformats.org/officeDocument/2006/relationships/header" Target="header18.xml"/><Relationship Id="rId82" Type="http://schemas.openxmlformats.org/officeDocument/2006/relationships/hyperlink" Target="https://leapfroghelpdesk.zendesk.com/hc/en-us" TargetMode="External"/><Relationship Id="rId203" Type="http://schemas.openxmlformats.org/officeDocument/2006/relationships/header" Target="header9.xml"/><Relationship Id="rId385" Type="http://schemas.openxmlformats.org/officeDocument/2006/relationships/hyperlink" Target="https://www.leapfroggroup.org/survey-materials/survey-and-cpoe-materials" TargetMode="External"/><Relationship Id="rId245" Type="http://schemas.openxmlformats.org/officeDocument/2006/relationships/hyperlink" Target="https://ratings.leapfroggroup.org/measure/hospital/2026/maternity-care" TargetMode="External"/><Relationship Id="rId287" Type="http://schemas.openxmlformats.org/officeDocument/2006/relationships/hyperlink" Target="https://manual.jointcommission.org/releases/TJC2026A1/AppendixATJC.html" TargetMode="External"/><Relationship Id="rId410" Type="http://schemas.openxmlformats.org/officeDocument/2006/relationships/hyperlink" Target="http://www.leapfroggroup.org/survey-materials/scoring-and-results" TargetMode="External"/><Relationship Id="rId452" Type="http://schemas.openxmlformats.org/officeDocument/2006/relationships/hyperlink" Target="http://www.leapfroggroup.org/survey-materials/survey-and-cpoe-materials" TargetMode="External"/><Relationship Id="rId494" Type="http://schemas.openxmlformats.org/officeDocument/2006/relationships/hyperlink" Target="http://leapfroggroup.org/survey-materials/multi-campus-reporting-policy" TargetMode="External"/><Relationship Id="rId508" Type="http://schemas.openxmlformats.org/officeDocument/2006/relationships/hyperlink" Target="https://leapfroghelpdesk.zendesk.com/" TargetMode="External"/><Relationship Id="rId105" Type="http://schemas.openxmlformats.org/officeDocument/2006/relationships/hyperlink" Target="https://www.leapfroggroup.org/survey-materials/deadlines" TargetMode="External"/><Relationship Id="rId147" Type="http://schemas.openxmlformats.org/officeDocument/2006/relationships/hyperlink" Target="https://mediacentral.ucl.ac.uk/Play/6608" TargetMode="External"/><Relationship Id="rId312" Type="http://schemas.openxmlformats.org/officeDocument/2006/relationships/hyperlink" Target="https://public.vtoxford.org/transfer-codes/" TargetMode="External"/><Relationship Id="rId354" Type="http://schemas.openxmlformats.org/officeDocument/2006/relationships/hyperlink" Target="https://www.who.int/teams/integrated-health-services/infection-prevention-control/hand-hygiene/monitoring-tools" TargetMode="External"/><Relationship Id="rId51" Type="http://schemas.openxmlformats.org/officeDocument/2006/relationships/hyperlink" Target="https://www.leapfroggroup.org/survey-materials/scoring-and-results" TargetMode="External"/><Relationship Id="rId93" Type="http://schemas.openxmlformats.org/officeDocument/2006/relationships/hyperlink" Target="https://survey.leapfroggroup.org/dashboard" TargetMode="External"/><Relationship Id="rId189" Type="http://schemas.openxmlformats.org/officeDocument/2006/relationships/hyperlink" Target="http://www.leapfroggroup.org/survey-materials/survey-and-cpoe-materials" TargetMode="External"/><Relationship Id="rId396" Type="http://schemas.openxmlformats.org/officeDocument/2006/relationships/hyperlink" Target="http://www.leapfroggroup.org/survey-materials/survey-and-cpoe-materials" TargetMode="External"/><Relationship Id="rId214" Type="http://schemas.openxmlformats.org/officeDocument/2006/relationships/hyperlink" Target="https://www.sts.org/" TargetMode="External"/><Relationship Id="rId256" Type="http://schemas.openxmlformats.org/officeDocument/2006/relationships/hyperlink" Target="https://www.leapfroggroup.org/survey-materials/deadlines" TargetMode="External"/><Relationship Id="rId298" Type="http://schemas.openxmlformats.org/officeDocument/2006/relationships/hyperlink" Target="https://manual.jointcommission.org/releases/TJC2026A1/AppendixATJC.html" TargetMode="External"/><Relationship Id="rId421" Type="http://schemas.openxmlformats.org/officeDocument/2006/relationships/hyperlink" Target="https://nam02.safelinks.protection.outlook.com/?url=https%3A%2F%2Fwww.leapfroggroup.org%2Fsurvey-materials%2Fscoring-and-results&amp;data=05%7C02%7CACampione%40leapfrog-group.org%7Ceb635fdf7e764f63e2a008df2ec0c665%7C95c34b8315eb4d9a97a7f29881f4a800%7C0%7C0%7C639281077677193356%7CUnknown%7CTWFpbGZsb3d8eyJFbXB0eU1hcGkiOnRydWUsIlYiOiIwLjAuMDAwMCIsIlAiOiJXaW4zMiIsIkFOIjoiTWFpbCIsIldUIjoyfQ%3D%3D%7C0%7C%7C%7C&amp;sdata=OLBvd2Wpj0iGXe%2FVB6kYCtVj88DG3DNQZQmwJJMQVsk%3D&amp;reserved=0" TargetMode="External"/><Relationship Id="rId463" Type="http://schemas.openxmlformats.org/officeDocument/2006/relationships/hyperlink" Target="https://www.leapfroggroup.org/survey-materials/deadlines" TargetMode="External"/><Relationship Id="rId116" Type="http://schemas.openxmlformats.org/officeDocument/2006/relationships/hyperlink" Target="https://www.leapfroggroup.org/survey-materials/deadlines" TargetMode="External"/><Relationship Id="rId158" Type="http://schemas.openxmlformats.org/officeDocument/2006/relationships/hyperlink" Target="https://nam02.safelinks.protection.outlook.com/?url=https%3A%2F%2Fwww.leapfroggroup.org%2Fsites%2Fdefault%2Ffiles%2FFiles%2FCMS%2520Toolkit%2520for%2520Making%2520Written%2520Material%2520Clear.pdf&amp;data=05%7C01%7CPLipscomb%40leapfrog-group.org%7C2c470c166c5f45fac28508db5d5d58d1%7C95c34b8315eb4d9a97a7f29881f4a800%7C0%7C0%7C638206427719753809%7CUnknown%7CTWFpbGZsb3d8eyJWIjoiMC4wLjAwMDAiLCJQIjoiV2luMzIiLCJBTiI6Ik1haWwiLCJXVCI6Mn0%3D%7C3000%7C%7C%7C&amp;sdata=W3kF0xvj5%2BoQWDMmOj0RCj7CLx83iudtjvjCyyAKUMo%3D&amp;reserved=0" TargetMode="External"/><Relationship Id="rId323" Type="http://schemas.openxmlformats.org/officeDocument/2006/relationships/hyperlink" Target="http://leapfroggroup.org/survey-materials/multi-campus-reporting-policy" TargetMode="External"/><Relationship Id="rId20" Type="http://schemas.openxmlformats.org/officeDocument/2006/relationships/hyperlink" Target="https://ratings.leapfroggroup.org/" TargetMode="External"/><Relationship Id="rId62" Type="http://schemas.openxmlformats.org/officeDocument/2006/relationships/hyperlink" Target="https://www.leapfroggroup.org/survey-materials/data-accuracy" TargetMode="External"/><Relationship Id="rId365" Type="http://schemas.openxmlformats.org/officeDocument/2006/relationships/hyperlink" Target="http://leapfroggroup.org/survey-materials/multi-campus-reporting-policy" TargetMode="External"/><Relationship Id="rId225" Type="http://schemas.openxmlformats.org/officeDocument/2006/relationships/hyperlink" Target="http://leapfroggroup.org/survey-materials/multi-campus-reporting-policy" TargetMode="External"/><Relationship Id="rId267" Type="http://schemas.openxmlformats.org/officeDocument/2006/relationships/hyperlink" Target="https://public.vtoxford.org/transfer-codes/" TargetMode="External"/><Relationship Id="rId432" Type="http://schemas.openxmlformats.org/officeDocument/2006/relationships/hyperlink" Target="https://journals.sagepub.com/doi/full/10.1177/2516043518813814" TargetMode="External"/><Relationship Id="rId474" Type="http://schemas.openxmlformats.org/officeDocument/2006/relationships/hyperlink" Target="https://www.leapfroggroup.org/survey-materials/deadlines" TargetMode="External"/><Relationship Id="rId127" Type="http://schemas.openxmlformats.org/officeDocument/2006/relationships/hyperlink" Target="https://www.leapfroggroup.org/survey-materials/review-nhsn-instructions" TargetMode="External"/><Relationship Id="rId31" Type="http://schemas.openxmlformats.org/officeDocument/2006/relationships/hyperlink" Target="https://ratings.leapfroggroup.org/" TargetMode="External"/><Relationship Id="rId73" Type="http://schemas.openxmlformats.org/officeDocument/2006/relationships/hyperlink" Target="https://www.leapfroggroup.org/survey-materials/review-nhsn-instructions" TargetMode="External"/><Relationship Id="rId169" Type="http://schemas.openxmlformats.org/officeDocument/2006/relationships/hyperlink" Target="http://leapfroggroup.org/survey-materials/multi-campus-reporting-policy" TargetMode="External"/><Relationship Id="rId334" Type="http://schemas.openxmlformats.org/officeDocument/2006/relationships/hyperlink" Target="https://www.leapfroggroup.org/survey-materials/deadlines" TargetMode="External"/><Relationship Id="rId376" Type="http://schemas.openxmlformats.org/officeDocument/2006/relationships/hyperlink" Target="https://www.leapfroggroup.org/survey-materials/survey-and-cpoe-materials" TargetMode="External"/><Relationship Id="rId4" Type="http://schemas.openxmlformats.org/officeDocument/2006/relationships/customXml" Target="../customXml/item4.xml"/><Relationship Id="rId180" Type="http://schemas.openxmlformats.org/officeDocument/2006/relationships/hyperlink" Target="http://leapfroggroup.org/survey-materials/multi-campus-reporting-policy" TargetMode="External"/><Relationship Id="rId236" Type="http://schemas.openxmlformats.org/officeDocument/2006/relationships/hyperlink" Target="https://www.who.int/teams/integrated-health-services/patient-safety/research/safe-surgery" TargetMode="External"/><Relationship Id="rId278" Type="http://schemas.openxmlformats.org/officeDocument/2006/relationships/hyperlink" Target="http://leapfroggroup.org/survey-materials/survey-and-cpoe-materials" TargetMode="External"/><Relationship Id="rId401" Type="http://schemas.openxmlformats.org/officeDocument/2006/relationships/hyperlink" Target="https://www.ahrq.gov/sites/default/files/wysiwyg/professionals/quality-patient-safety/patientsafetyculture/hospital/2016/2016_hospitalsops_report_pt1.pdf" TargetMode="External"/><Relationship Id="rId443" Type="http://schemas.openxmlformats.org/officeDocument/2006/relationships/hyperlink" Target="https://www.leapfroggroup.org/survey-materials/deadlines" TargetMode="External"/><Relationship Id="rId303" Type="http://schemas.openxmlformats.org/officeDocument/2006/relationships/hyperlink" Target="https://manual.jointcommission.org/releases/TJC2026A1/MIF0167.html" TargetMode="External"/><Relationship Id="rId485" Type="http://schemas.openxmlformats.org/officeDocument/2006/relationships/hyperlink" Target="https://survey.leapfroggroup.org/login?destination=dashboard" TargetMode="External"/><Relationship Id="rId42" Type="http://schemas.openxmlformats.org/officeDocument/2006/relationships/hyperlink" Target="http://www.leapfroggroup.org/survey-materials/prepare-cpoe-tool" TargetMode="External"/><Relationship Id="rId84" Type="http://schemas.openxmlformats.org/officeDocument/2006/relationships/hyperlink" Target="https://www.leapfroggroup.org/survey-materials/get-help" TargetMode="External"/><Relationship Id="rId138" Type="http://schemas.openxmlformats.org/officeDocument/2006/relationships/hyperlink" Target="https://torontohealthequity.ca/training/" TargetMode="External"/><Relationship Id="rId345" Type="http://schemas.openxmlformats.org/officeDocument/2006/relationships/hyperlink" Target="https://ratings.leapfroggroup.org/measure/hospital/2026/whats-new-2026" TargetMode="External"/><Relationship Id="rId387" Type="http://schemas.openxmlformats.org/officeDocument/2006/relationships/hyperlink" Target="https://www.who.int/teams/integrated-health-services/infection-prevention-control/hand-hygiene/training-tools" TargetMode="External"/><Relationship Id="rId510" Type="http://schemas.openxmlformats.org/officeDocument/2006/relationships/header" Target="header23.xml"/><Relationship Id="rId191" Type="http://schemas.openxmlformats.org/officeDocument/2006/relationships/hyperlink" Target="https://www.hospitalmedicine.org/clinical-topics/medication-reconciliation/" TargetMode="External"/><Relationship Id="rId205" Type="http://schemas.openxmlformats.org/officeDocument/2006/relationships/hyperlink" Target="http://www.leapfroggroup.org/survey-materials/survey-and-cpoe-materials" TargetMode="External"/><Relationship Id="rId247" Type="http://schemas.openxmlformats.org/officeDocument/2006/relationships/hyperlink" Target="http://www.leapfroggroup.org/survey-materials/scoring-and-results" TargetMode="External"/><Relationship Id="rId412" Type="http://schemas.openxmlformats.org/officeDocument/2006/relationships/hyperlink" Target="https://digitalassets.jointcommission.org/api/public/content/4534bbaaee4f4bd280c2054765f37f4b?v=a60f8f9a" TargetMode="External"/><Relationship Id="rId107" Type="http://schemas.openxmlformats.org/officeDocument/2006/relationships/hyperlink" Target="https://www.leapfroggroup.org/survey-materials/deadlines" TargetMode="External"/><Relationship Id="rId289" Type="http://schemas.openxmlformats.org/officeDocument/2006/relationships/hyperlink" Target="https://datacenter.cmqcc.org/support/download/a7955e52541df8ed63aa8e884909d81caeb1f659" TargetMode="External"/><Relationship Id="rId454" Type="http://schemas.openxmlformats.org/officeDocument/2006/relationships/hyperlink" Target="http://www.leapfroggroup.org/survey-materials/survey-and-cpoe-materials" TargetMode="External"/><Relationship Id="rId496" Type="http://schemas.openxmlformats.org/officeDocument/2006/relationships/hyperlink" Target="https://www.leapfroggroup.org/sites/default/files/Files/Implementation%20manual%20WHO%20surgical%20safety%20checklist%202009.pdf?token=_DzwbK1J" TargetMode="External"/><Relationship Id="rId11" Type="http://schemas.openxmlformats.org/officeDocument/2006/relationships/endnotes" Target="endnotes.xml"/><Relationship Id="rId53" Type="http://schemas.openxmlformats.org/officeDocument/2006/relationships/hyperlink" Target="https://ratings.leapfroggroup.org/" TargetMode="External"/><Relationship Id="rId149" Type="http://schemas.openxmlformats.org/officeDocument/2006/relationships/hyperlink" Target="https://www.henryford.com/hcp/research/public-population-research/hdrc/resources/demo-data" TargetMode="External"/><Relationship Id="rId314" Type="http://schemas.openxmlformats.org/officeDocument/2006/relationships/hyperlink" Target="mailto:leapfrogreporting@vtoxford.org" TargetMode="External"/><Relationship Id="rId356" Type="http://schemas.openxmlformats.org/officeDocument/2006/relationships/hyperlink" Target="https://www.leapfroggroup.org/survey-materials/deadlines" TargetMode="External"/><Relationship Id="rId398" Type="http://schemas.openxmlformats.org/officeDocument/2006/relationships/hyperlink" Target="https://www.ache.org/about-ache/our-story/our-commitments/leading-for-safety/blueprint" TargetMode="External"/><Relationship Id="rId95" Type="http://schemas.openxmlformats.org/officeDocument/2006/relationships/hyperlink" Target="https://www.leapfroggroup.org/survey-materials/data-accuracy" TargetMode="External"/><Relationship Id="rId160" Type="http://schemas.openxmlformats.org/officeDocument/2006/relationships/hyperlink" Target="https://www.hhs.gov/civil-rights/for-individuals/special-topics/limited-english-proficiency/index.html" TargetMode="External"/><Relationship Id="rId216" Type="http://schemas.openxmlformats.org/officeDocument/2006/relationships/hyperlink" Target="https://www.sts.org/" TargetMode="External"/><Relationship Id="rId423" Type="http://schemas.openxmlformats.org/officeDocument/2006/relationships/hyperlink" Target="https://www.leapfroggroup.org/survey-materials/review-nhsn-instructions" TargetMode="External"/><Relationship Id="rId258" Type="http://schemas.openxmlformats.org/officeDocument/2006/relationships/hyperlink" Target="http://leapfroggroup.org/survey-materials/multi-campus-reporting-policy" TargetMode="External"/><Relationship Id="rId465" Type="http://schemas.openxmlformats.org/officeDocument/2006/relationships/hyperlink" Target="http://leapfroggroup.org/survey-materials/multi-campus-reporting-policy" TargetMode="External"/><Relationship Id="rId22" Type="http://schemas.openxmlformats.org/officeDocument/2006/relationships/hyperlink" Target="https://www.leapfroggroup.org/survey-materials/get-help" TargetMode="External"/><Relationship Id="rId64" Type="http://schemas.openxmlformats.org/officeDocument/2006/relationships/hyperlink" Target="http://www.leapfroggroup.org/survey-materials/data-accuracy" TargetMode="External"/><Relationship Id="rId118" Type="http://schemas.openxmlformats.org/officeDocument/2006/relationships/hyperlink" Target="https://nahq.org/credentials/cphq-certified-professional-in-healthcare-quality/" TargetMode="External"/><Relationship Id="rId325" Type="http://schemas.openxmlformats.org/officeDocument/2006/relationships/hyperlink" Target="https://www.leapfroggroup.org/survey-materials/deadlines" TargetMode="External"/><Relationship Id="rId367" Type="http://schemas.openxmlformats.org/officeDocument/2006/relationships/hyperlink" Target="https://www.leapfroggroup.org/survey-materials/deadlines" TargetMode="External"/><Relationship Id="rId171" Type="http://schemas.openxmlformats.org/officeDocument/2006/relationships/hyperlink" Target="https://www.leapfroggroup.org/survey-materials/deadlines" TargetMode="External"/><Relationship Id="rId227" Type="http://schemas.openxmlformats.org/officeDocument/2006/relationships/hyperlink" Target="https://www.leapfroggroup.org/survey-materials/survey-and-cpoe-materials" TargetMode="External"/><Relationship Id="rId269" Type="http://schemas.openxmlformats.org/officeDocument/2006/relationships/hyperlink" Target="mailto:leapfrogreporting@vtoxford.org" TargetMode="External"/><Relationship Id="rId434" Type="http://schemas.openxmlformats.org/officeDocument/2006/relationships/hyperlink" Target="https://www.ihi.org/library/tools/rca2-improving-root-cause-analyses-and-actions-prevent-harm" TargetMode="External"/><Relationship Id="rId476" Type="http://schemas.openxmlformats.org/officeDocument/2006/relationships/hyperlink" Target="http://leapfroggroup.org/survey-materials/multi-campus-reporting-policy" TargetMode="External"/><Relationship Id="rId33" Type="http://schemas.openxmlformats.org/officeDocument/2006/relationships/hyperlink" Target="https://leapfroggroup.org/hospital" TargetMode="External"/><Relationship Id="rId129" Type="http://schemas.openxmlformats.org/officeDocument/2006/relationships/hyperlink" Target="https://www.leapfroggroup.org/survey-materials/review-nhsn-instructions" TargetMode="External"/><Relationship Id="rId280" Type="http://schemas.openxmlformats.org/officeDocument/2006/relationships/hyperlink" Target="https://manual.jointcommission.org/releases/TJC2026A1/MIF0167.html" TargetMode="External"/><Relationship Id="rId336" Type="http://schemas.openxmlformats.org/officeDocument/2006/relationships/hyperlink" Target="https://www.leapfroggroup.org/about/expert-panelists" TargetMode="External"/><Relationship Id="rId501" Type="http://schemas.openxmlformats.org/officeDocument/2006/relationships/hyperlink" Target="http://leapfroggroup.org/survey-materials/multi-campus-reporting-policy" TargetMode="External"/><Relationship Id="rId75" Type="http://schemas.openxmlformats.org/officeDocument/2006/relationships/hyperlink" Target="http://www.hospitalsafetygrade.org/for-hospitals/HospitalFAQ" TargetMode="External"/><Relationship Id="rId140" Type="http://schemas.openxmlformats.org/officeDocument/2006/relationships/hyperlink" Target="https://www.cdc.gov/sti/hcp/clinical-guidance/taking-a-sexual-history.html" TargetMode="External"/><Relationship Id="rId182" Type="http://schemas.openxmlformats.org/officeDocument/2006/relationships/hyperlink" Target="http://leapfroggroup.org/survey-materials/multi-campus-reporting-policy" TargetMode="External"/><Relationship Id="rId378" Type="http://schemas.openxmlformats.org/officeDocument/2006/relationships/hyperlink" Target="https://www.leapfroggroup.org/survey-materials/survey-and-cpoe-materials" TargetMode="External"/><Relationship Id="rId403" Type="http://schemas.openxmlformats.org/officeDocument/2006/relationships/hyperlink" Target="https://www.leapfroggroup.org/survey-materials/scoring-and-results" TargetMode="External"/><Relationship Id="rId6" Type="http://schemas.openxmlformats.org/officeDocument/2006/relationships/numbering" Target="numbering.xml"/><Relationship Id="rId238" Type="http://schemas.openxmlformats.org/officeDocument/2006/relationships/hyperlink" Target="https://www.ahrq.gov/hai/tools/ambulatory-surgery/sections/implementation/implementation-guide/app-e.html" TargetMode="External"/><Relationship Id="rId445" Type="http://schemas.openxmlformats.org/officeDocument/2006/relationships/hyperlink" Target="http://leapfroggroup.org/survey-materials/multi-campus-reporting-policy" TargetMode="External"/><Relationship Id="rId487" Type="http://schemas.openxmlformats.org/officeDocument/2006/relationships/hyperlink" Target="https://survey.leapfroggroup.org/login?destination=dashboard" TargetMode="External"/><Relationship Id="rId291" Type="http://schemas.openxmlformats.org/officeDocument/2006/relationships/hyperlink" Target="https://manual.jointcommission.org/releases/TJC2026A1/MIF0167.html" TargetMode="External"/><Relationship Id="rId305" Type="http://schemas.openxmlformats.org/officeDocument/2006/relationships/hyperlink" Target="http://leapfroggroup.org/survey-materials/survey-and-cpoe-materials" TargetMode="External"/><Relationship Id="rId347" Type="http://schemas.openxmlformats.org/officeDocument/2006/relationships/hyperlink" Target="http://www.leapfroggroup.org/survey-materials/scoring-and-results" TargetMode="External"/><Relationship Id="rId512" Type="http://schemas.openxmlformats.org/officeDocument/2006/relationships/fontTable" Target="fontTable.xml"/><Relationship Id="rId44" Type="http://schemas.openxmlformats.org/officeDocument/2006/relationships/hyperlink" Target="http://leapfroggroup.org/survey-materials/survey-and-cpoe-materials" TargetMode="External"/><Relationship Id="rId86" Type="http://schemas.openxmlformats.org/officeDocument/2006/relationships/hyperlink" Target="https://www.leapfroggroup.org/survey-materials/support-health-systems" TargetMode="External"/><Relationship Id="rId151" Type="http://schemas.openxmlformats.org/officeDocument/2006/relationships/hyperlink" Target="https://www.ahrq.gov/health-literacy/professional-training/informed-choice.html" TargetMode="External"/><Relationship Id="rId389" Type="http://schemas.openxmlformats.org/officeDocument/2006/relationships/hyperlink" Target="http://leapfroggroup.org/survey-materials/multi-campus-reporting-policy" TargetMode="External"/><Relationship Id="rId193" Type="http://schemas.openxmlformats.org/officeDocument/2006/relationships/hyperlink" Target="https://www.leapfroggroup.org/survey-materials/survey-and-cpoe-materials" TargetMode="External"/><Relationship Id="rId207" Type="http://schemas.openxmlformats.org/officeDocument/2006/relationships/header" Target="header11.xml"/><Relationship Id="rId249" Type="http://schemas.openxmlformats.org/officeDocument/2006/relationships/hyperlink" Target="https://www.leapfroggroup.org/survey-materials/deadlines" TargetMode="External"/><Relationship Id="rId414" Type="http://schemas.openxmlformats.org/officeDocument/2006/relationships/hyperlink" Target="https://www.leapfroggroup.org/survey-materials/deadlines" TargetMode="External"/><Relationship Id="rId456" Type="http://schemas.openxmlformats.org/officeDocument/2006/relationships/hyperlink" Target="https://www.ahrq.gov/cahps/surveys-guidance/hospital/about/child_hp_survey.html" TargetMode="External"/><Relationship Id="rId498" Type="http://schemas.openxmlformats.org/officeDocument/2006/relationships/hyperlink" Target="https://www.leapfroggroup.org/survey-materials/survey-and-cpoe-materials" TargetMode="External"/><Relationship Id="rId13" Type="http://schemas.openxmlformats.org/officeDocument/2006/relationships/hyperlink" Target="https://leapfroggroup.org/hospital" TargetMode="External"/><Relationship Id="rId109" Type="http://schemas.openxmlformats.org/officeDocument/2006/relationships/hyperlink" Target="http://leapfroggroup.org/survey-materials/multi-campus-reporting-policy" TargetMode="External"/><Relationship Id="rId260" Type="http://schemas.openxmlformats.org/officeDocument/2006/relationships/hyperlink" Target="https://www.leapfroggroup.org/survey-materials/deadlines" TargetMode="External"/><Relationship Id="rId316" Type="http://schemas.openxmlformats.org/officeDocument/2006/relationships/hyperlink" Target="https://nam02.safelinks.protection.outlook.com/?url=https%3A%2F%2Fnlca.us%2Fwp-content%2Fuploads%2F2024%2F07%2FNLCA-Knowledge-Brief.pdf&amp;data=05%7C02%7Ckstewart%40leapfrog-group.org%7C8041067fea5b42e4141508de22ed5ead%7C95c34b8315eb4d9a97a7f29881f4a800%7C0%7C0%7C638986600050101598%7CUnknown%7CTWFpbGZsb3d8eyJFbXB0eU1hcGkiOnRydWUsIlYiOiIwLjAuMDAwMCIsIlAiOiJXaW4zMiIsIkFOIjoiTWFpbCIsIldUIjoyfQ%3D%3D%7C0%7C%7C%7C&amp;sdata=KsSl3s6V59SVVFXCngiljJz8pgxz%2FGR8MxTcS2r6Bt4%3D&amp;reserved=0" TargetMode="External"/><Relationship Id="rId55" Type="http://schemas.openxmlformats.org/officeDocument/2006/relationships/hyperlink" Target="http://leapfroggroup.org/survey-materials/prepare-cpoe-tool" TargetMode="External"/><Relationship Id="rId97" Type="http://schemas.openxmlformats.org/officeDocument/2006/relationships/hyperlink" Target="https://leapfroghelpdesk.zendesk.com/" TargetMode="External"/><Relationship Id="rId120" Type="http://schemas.openxmlformats.org/officeDocument/2006/relationships/hyperlink" Target="https://readability.leapfroggroup.org/" TargetMode="External"/><Relationship Id="rId358" Type="http://schemas.openxmlformats.org/officeDocument/2006/relationships/hyperlink" Target="https://www.cdc.gov/mmwr/PDF/rr/rr5116.pdf" TargetMode="External"/><Relationship Id="rId162" Type="http://schemas.openxmlformats.org/officeDocument/2006/relationships/hyperlink" Target="https://ratings.leapfroggroup.org/measure/hospital/2026/safe-medication-ordering" TargetMode="External"/><Relationship Id="rId218" Type="http://schemas.openxmlformats.org/officeDocument/2006/relationships/hyperlink" Target="https://www.sts.org/" TargetMode="External"/><Relationship Id="rId425" Type="http://schemas.openxmlformats.org/officeDocument/2006/relationships/hyperlink" Target="https://www.leapfroggroup.org/survey-materials/review-nhsn-instructions" TargetMode="External"/><Relationship Id="rId467" Type="http://schemas.openxmlformats.org/officeDocument/2006/relationships/hyperlink" Target="https://www.leapfroggroup.org/survey-materials/deadlines" TargetMode="External"/><Relationship Id="rId271" Type="http://schemas.openxmlformats.org/officeDocument/2006/relationships/hyperlink" Target="https://qualityindicators.ahrq.gov/Downloads/Modules/IQI/V2025/TechSpecs/IQI_22_Vaginal_Birth_After_Cesarean_(VBAC)_Delivery_Rate_Uncomplicated.pdf" TargetMode="External"/><Relationship Id="rId24" Type="http://schemas.openxmlformats.org/officeDocument/2006/relationships/hyperlink" Target="http://www.leapfroggroup.org/survey-materials/data-accuracy" TargetMode="External"/><Relationship Id="rId66" Type="http://schemas.openxmlformats.org/officeDocument/2006/relationships/hyperlink" Target="https://leapfroghelpdesk.zendesk.com/" TargetMode="External"/><Relationship Id="rId131" Type="http://schemas.openxmlformats.org/officeDocument/2006/relationships/hyperlink" Target="https://certification.osteopathic.org/about/" TargetMode="External"/><Relationship Id="rId327" Type="http://schemas.openxmlformats.org/officeDocument/2006/relationships/hyperlink" Target="http://leapfroggroup.org/survey-materials/multi-campus-reporting-policy" TargetMode="External"/><Relationship Id="rId369" Type="http://schemas.openxmlformats.org/officeDocument/2006/relationships/hyperlink" Target="https://www.leapfroggroup.org/about/expert-panelists" TargetMode="External"/><Relationship Id="rId173" Type="http://schemas.openxmlformats.org/officeDocument/2006/relationships/hyperlink" Target="https://www.leapfroggroup.org/survey-materials/deadlines" TargetMode="External"/><Relationship Id="rId229" Type="http://schemas.openxmlformats.org/officeDocument/2006/relationships/hyperlink" Target="https://www.sts.org/" TargetMode="External"/><Relationship Id="rId380" Type="http://schemas.openxmlformats.org/officeDocument/2006/relationships/hyperlink" Target="https://www.leapfroggroup.org/survey-materials/deadlines" TargetMode="External"/><Relationship Id="rId436" Type="http://schemas.openxmlformats.org/officeDocument/2006/relationships/header" Target="header20.xml"/><Relationship Id="rId240" Type="http://schemas.openxmlformats.org/officeDocument/2006/relationships/hyperlink" Target="https://www.jointcommission.org/standards/standard-faqs/critical-access-hospital/medical-staff-ms/000001500/" TargetMode="External"/><Relationship Id="rId478" Type="http://schemas.openxmlformats.org/officeDocument/2006/relationships/hyperlink" Target="https://www.leapfroggroup.org/survey-materials/deadlines" TargetMode="External"/><Relationship Id="rId35" Type="http://schemas.openxmlformats.org/officeDocument/2006/relationships/hyperlink" Target="http://www.leapfroggroup.org/survey-materials/multi-campus-reporting-policy" TargetMode="External"/><Relationship Id="rId77" Type="http://schemas.openxmlformats.org/officeDocument/2006/relationships/hyperlink" Target="https://www.leapfroggroup.org/ratings-reports/top-hospitals" TargetMode="External"/><Relationship Id="rId100" Type="http://schemas.openxmlformats.org/officeDocument/2006/relationships/header" Target="header6.xml"/><Relationship Id="rId282" Type="http://schemas.openxmlformats.org/officeDocument/2006/relationships/hyperlink" Target="https://manual.jointcommission.org/releases/TJC2026A1/MIF0167.html" TargetMode="External"/><Relationship Id="rId338" Type="http://schemas.openxmlformats.org/officeDocument/2006/relationships/hyperlink" Target="mailto:NDNQISupport@PressGaney.com" TargetMode="External"/><Relationship Id="rId503" Type="http://schemas.openxmlformats.org/officeDocument/2006/relationships/hyperlink" Target="https://data.cms.gov/provider-data" TargetMode="External"/><Relationship Id="rId8" Type="http://schemas.openxmlformats.org/officeDocument/2006/relationships/settings" Target="settings.xml"/><Relationship Id="rId142" Type="http://schemas.openxmlformats.org/officeDocument/2006/relationships/hyperlink" Target="https://www.cdc.gov/disability-and-health/about/?CDC_AAref_Val=https://www.cdc.gov/ncbddd/disabilityandhealth/disability.html" TargetMode="External"/><Relationship Id="rId184" Type="http://schemas.openxmlformats.org/officeDocument/2006/relationships/hyperlink" Target="http://www.leapfroggroup.org/survey-materials/survey-and-cpoe-materials" TargetMode="External"/><Relationship Id="rId391" Type="http://schemas.openxmlformats.org/officeDocument/2006/relationships/hyperlink" Target="https://nam02.safelinks.protection.outlook.com/?url=http%3A%2F%2Fwww.leapfroggroup.org%2Fsurvey-materials%2Fsurvey-and-cpoe-materials&amp;data=05%7C02%7CLKaufman%40leapfrog-group.org%7C60396fa6210e4710503608de0da04068%7C95c34b8315eb4d9a97a7f29881f4a800%7C0%7C0%7C638963179102293029%7CUnknown%7CTWFpbGZsb3d8eyJFbXB0eU1hcGkiOnRydWUsIlYiOiIwLjAuMDAwMCIsIlAiOiJXaW4zMiIsIkFOIjoiTWFpbCIsIldUIjoyfQ%3D%3D%7C0%7C%7C%7C&amp;sdata=5qo4tySVoPkDzLUmshP9tttuGBYr6e4A1qgUkBlP77Y%3D&amp;reserved=0" TargetMode="External"/><Relationship Id="rId405" Type="http://schemas.openxmlformats.org/officeDocument/2006/relationships/hyperlink" Target="https://www.ahrq.gov/patient-safety/settings/measure-dx.html" TargetMode="External"/><Relationship Id="rId447" Type="http://schemas.openxmlformats.org/officeDocument/2006/relationships/hyperlink" Target="https://www.ahrq.gov/cahps/surveys-guidance/hospital/about/child_hp_survey.html" TargetMode="External"/><Relationship Id="rId251" Type="http://schemas.openxmlformats.org/officeDocument/2006/relationships/hyperlink" Target="https://www.leapfroggroup.org/survey-materials/deadlines" TargetMode="External"/><Relationship Id="rId489" Type="http://schemas.openxmlformats.org/officeDocument/2006/relationships/hyperlink" Target="https://survey.leapfroggroup.org/login?destination=dashboard" TargetMode="External"/><Relationship Id="rId46" Type="http://schemas.openxmlformats.org/officeDocument/2006/relationships/hyperlink" Target="http://www.leapfroggroup.org/survey-materials/data-accuracy" TargetMode="External"/><Relationship Id="rId293" Type="http://schemas.openxmlformats.org/officeDocument/2006/relationships/hyperlink" Target="https://manual.jointcommission.org/releases/TJC2026A1/MIF0167.html" TargetMode="External"/><Relationship Id="rId307" Type="http://schemas.openxmlformats.org/officeDocument/2006/relationships/hyperlink" Target="http://leapfroggroup.org/survey-materials/survey-and-cpoe-materials" TargetMode="External"/><Relationship Id="rId349" Type="http://schemas.openxmlformats.org/officeDocument/2006/relationships/hyperlink" Target="https://nam02.safelinks.protection.outlook.com/?url=http%3A%2F%2Fwww.leapfroggroup.org%2Fsurvey-materials%2Fsurvey-and-cpoe-materials&amp;data=05%7C02%7CLKaufman%40leapfrog-group.org%7C60396fa6210e4710503608de0da04068%7C95c34b8315eb4d9a97a7f29881f4a800%7C0%7C0%7C638963179102269152%7CUnknown%7CTWFpbGZsb3d8eyJFbXB0eU1hcGkiOnRydWUsIlYiOiIwLjAuMDAwMCIsIlAiOiJXaW4zMiIsIkFOIjoiTWFpbCIsIldUIjoyfQ%3D%3D%7C0%7C%7C%7C&amp;sdata=4xDAuGzvM2ot3uaobcEDqactLBa6MbAsoh47EprlmjE%3D&amp;reserved=0" TargetMode="External"/><Relationship Id="rId88" Type="http://schemas.openxmlformats.org/officeDocument/2006/relationships/hyperlink" Target="https://public.vtoxford.org/leapfrog" TargetMode="External"/><Relationship Id="rId111" Type="http://schemas.openxmlformats.org/officeDocument/2006/relationships/hyperlink" Target="https://www.leapfroggroup.org/survey-materials/deadlines" TargetMode="External"/><Relationship Id="rId153" Type="http://schemas.openxmlformats.org/officeDocument/2006/relationships/hyperlink" Target="https://www.oecd.org/skills/piaac/publications/countryspecificmaterial/PIAAC_Country_Note_USA.pdf" TargetMode="External"/><Relationship Id="rId195" Type="http://schemas.openxmlformats.org/officeDocument/2006/relationships/image" Target="media/image6.png"/><Relationship Id="rId209" Type="http://schemas.openxmlformats.org/officeDocument/2006/relationships/hyperlink" Target="https://ratings.leapfroggroup.org/measure/hospital/2026/complex-adult-and-pediatric-surgery" TargetMode="External"/><Relationship Id="rId360" Type="http://schemas.openxmlformats.org/officeDocument/2006/relationships/hyperlink" Target="https://www.leapfroggroup.org/survey-materials/deadlines" TargetMode="External"/><Relationship Id="rId416" Type="http://schemas.openxmlformats.org/officeDocument/2006/relationships/hyperlink" Target="https://www.leapfroggroup.org/survey-materials/review-nhsn-instructions" TargetMode="External"/><Relationship Id="rId220" Type="http://schemas.openxmlformats.org/officeDocument/2006/relationships/hyperlink" Target="http://leapfroggroup.org/survey-materials/multi-campus-reporting-policy" TargetMode="External"/><Relationship Id="rId458" Type="http://schemas.openxmlformats.org/officeDocument/2006/relationships/header" Target="header21.xml"/><Relationship Id="rId15" Type="http://schemas.openxmlformats.org/officeDocument/2006/relationships/footer" Target="footer1.xml"/><Relationship Id="rId57" Type="http://schemas.openxmlformats.org/officeDocument/2006/relationships/hyperlink" Target="https://www.leapfroggroup.org/survey-materials/updating-your-hospital-survey" TargetMode="External"/><Relationship Id="rId262" Type="http://schemas.openxmlformats.org/officeDocument/2006/relationships/hyperlink" Target="https://www.leapfroggroup.org/survey-materials/deadlines" TargetMode="External"/><Relationship Id="rId318" Type="http://schemas.openxmlformats.org/officeDocument/2006/relationships/header" Target="header15.xml"/><Relationship Id="rId99" Type="http://schemas.openxmlformats.org/officeDocument/2006/relationships/header" Target="header5.xml"/><Relationship Id="rId122" Type="http://schemas.openxmlformats.org/officeDocument/2006/relationships/hyperlink" Target="http://leapfroggroup.org/survey-materials/multi-campus-reporting-policy" TargetMode="External"/><Relationship Id="rId164" Type="http://schemas.openxmlformats.org/officeDocument/2006/relationships/hyperlink" Target="https://ratings.leapfroggroup.org/measure/hospital/2026/medication-reconciliation" TargetMode="External"/><Relationship Id="rId371" Type="http://schemas.openxmlformats.org/officeDocument/2006/relationships/hyperlink" Target="https://www.leapfroggroup.org/about/expert-panelists" TargetMode="External"/><Relationship Id="rId427" Type="http://schemas.openxmlformats.org/officeDocument/2006/relationships/hyperlink" Target="https://leapfroghelpdesk.zendesk.com/" TargetMode="External"/><Relationship Id="rId469" Type="http://schemas.openxmlformats.org/officeDocument/2006/relationships/hyperlink" Target="https://www.leapfroggroup.org/survey-materials/deadlines" TargetMode="External"/><Relationship Id="rId26" Type="http://schemas.openxmlformats.org/officeDocument/2006/relationships/hyperlink" Target="http://www.leapfroggroup.org/survey-materials/survey-overview" TargetMode="External"/><Relationship Id="rId231" Type="http://schemas.openxmlformats.org/officeDocument/2006/relationships/hyperlink" Target="https://publicreporting.sts.org/search/acsd" TargetMode="External"/><Relationship Id="rId273" Type="http://schemas.openxmlformats.org/officeDocument/2006/relationships/hyperlink" Target="https://survey.leapfroggroup.org/dashboard" TargetMode="External"/><Relationship Id="rId329" Type="http://schemas.openxmlformats.org/officeDocument/2006/relationships/hyperlink" Target="https://www.leapfroggroup.org/survey-materials/deadlines" TargetMode="External"/><Relationship Id="rId480" Type="http://schemas.openxmlformats.org/officeDocument/2006/relationships/hyperlink" Target="https://ratings.leapfroggroup.org/" TargetMode="External"/><Relationship Id="rId68" Type="http://schemas.openxmlformats.org/officeDocument/2006/relationships/hyperlink" Target="http://www.leapfroggroup.org/survey-materials/data-accuracy" TargetMode="External"/><Relationship Id="rId133" Type="http://schemas.openxmlformats.org/officeDocument/2006/relationships/hyperlink" Target="https://www.monhealth.com/main/rapid-response-team" TargetMode="External"/><Relationship Id="rId175" Type="http://schemas.openxmlformats.org/officeDocument/2006/relationships/hyperlink" Target="http://leapfroggroup.org/survey-materials/multi-campus-reporting-policy" TargetMode="External"/><Relationship Id="rId340" Type="http://schemas.openxmlformats.org/officeDocument/2006/relationships/hyperlink" Target="https://www.nursingworld.org/globalassets/docs/ana/practice/principles-of-virtual-nursing.pdf" TargetMode="External"/><Relationship Id="rId200" Type="http://schemas.openxmlformats.org/officeDocument/2006/relationships/hyperlink" Target="http://www.leapfroggroup.org/survey-materials/survey-and-cpoe-materials" TargetMode="External"/><Relationship Id="rId382" Type="http://schemas.openxmlformats.org/officeDocument/2006/relationships/hyperlink" Target="https://www.who.int/teams/integrated-health-services/infection-prevention-control/hand-hygiene/monitoring-tools" TargetMode="External"/><Relationship Id="rId438" Type="http://schemas.openxmlformats.org/officeDocument/2006/relationships/hyperlink" Target="http://www.leapfroggroup.org/survey-materials/scoring-and-results" TargetMode="External"/><Relationship Id="rId242" Type="http://schemas.openxmlformats.org/officeDocument/2006/relationships/hyperlink" Target="https://apps.who.int/iris/handle/10665/70046" TargetMode="External"/><Relationship Id="rId284" Type="http://schemas.openxmlformats.org/officeDocument/2006/relationships/hyperlink" Target="https://www.jointcommission.org/measurement/specification-manuals/electronic-clinical-quality-measures/" TargetMode="External"/><Relationship Id="rId491" Type="http://schemas.openxmlformats.org/officeDocument/2006/relationships/hyperlink" Target="https://survey.leapfroggroup.org/login?destination=dashboard" TargetMode="External"/><Relationship Id="rId505" Type="http://schemas.openxmlformats.org/officeDocument/2006/relationships/hyperlink" Target="https://awsstage.survey.leapfroggroup.org/login" TargetMode="External"/><Relationship Id="rId37" Type="http://schemas.openxmlformats.org/officeDocument/2006/relationships/hyperlink" Target="http://www.leapfroggroup.org/survey-materials/survey-and-cpoe-materials" TargetMode="External"/><Relationship Id="rId79" Type="http://schemas.openxmlformats.org/officeDocument/2006/relationships/hyperlink" Target="https://www.hospitalsafetygrade.org/" TargetMode="External"/><Relationship Id="rId102" Type="http://schemas.openxmlformats.org/officeDocument/2006/relationships/hyperlink" Target="https://ratings.leapfroggroup.org/measure/hospital/2026/informed-consent" TargetMode="External"/><Relationship Id="rId144" Type="http://schemas.openxmlformats.org/officeDocument/2006/relationships/hyperlink" Target="https://www.cdc.gov/dhds/datasets/?CDC_AAref_Val=https://www.cdc.gov/ncbddd/disabilityandhealth/datasets.html" TargetMode="External"/><Relationship Id="rId90" Type="http://schemas.openxmlformats.org/officeDocument/2006/relationships/header" Target="header2.xml"/><Relationship Id="rId186" Type="http://schemas.openxmlformats.org/officeDocument/2006/relationships/hyperlink" Target="https://www.leapfroggroup.org/survey-materials/survey-and-cpoe-materials" TargetMode="External"/><Relationship Id="rId351" Type="http://schemas.openxmlformats.org/officeDocument/2006/relationships/hyperlink" Target="http://leapfroggroup.org/survey-materials/multi-campus-reporting-policy" TargetMode="External"/><Relationship Id="rId393" Type="http://schemas.openxmlformats.org/officeDocument/2006/relationships/hyperlink" Target="https://digitalassets.jointcommission.org/api/public/content/4534bbaaee4f4bd280c2054765f37f4b?v=a60f8f9a" TargetMode="External"/><Relationship Id="rId407" Type="http://schemas.openxmlformats.org/officeDocument/2006/relationships/header" Target="header19.xml"/><Relationship Id="rId449" Type="http://schemas.openxmlformats.org/officeDocument/2006/relationships/hyperlink" Target="https://www.ahrq.gov/cahps/surveys-guidance/hp/about/child-survey-measures.html" TargetMode="External"/><Relationship Id="rId211" Type="http://schemas.openxmlformats.org/officeDocument/2006/relationships/hyperlink" Target="http://leapfroggroup.org/survey-materials/multi-campus-reporting-policy" TargetMode="External"/><Relationship Id="rId253" Type="http://schemas.openxmlformats.org/officeDocument/2006/relationships/hyperlink" Target="http://leapfroggroup.org/survey-materials/multi-campus-reporting-policy" TargetMode="External"/><Relationship Id="rId295" Type="http://schemas.openxmlformats.org/officeDocument/2006/relationships/hyperlink" Target="http://leapfroggroup.org/survey-materials/survey-and-cpoe-materials" TargetMode="External"/><Relationship Id="rId309" Type="http://schemas.openxmlformats.org/officeDocument/2006/relationships/hyperlink" Target="https://pubmed.ncbi.nlm.nih.gov/29939938/" TargetMode="External"/><Relationship Id="rId460" Type="http://schemas.openxmlformats.org/officeDocument/2006/relationships/hyperlink" Target="https://ratings.leapfroggroup.org/measure/hospital/2026/care-elective-outpatient-surgery-patients" TargetMode="External"/><Relationship Id="rId48" Type="http://schemas.openxmlformats.org/officeDocument/2006/relationships/hyperlink" Target="https://survey.leapfroggroup.org/" TargetMode="External"/><Relationship Id="rId113" Type="http://schemas.openxmlformats.org/officeDocument/2006/relationships/hyperlink" Target="https://www.leapfroggroup.org/survey-materials/deadlines" TargetMode="External"/><Relationship Id="rId320" Type="http://schemas.openxmlformats.org/officeDocument/2006/relationships/hyperlink" Target="https://ratings.leapfroggroup.org/measure/hospital/2026/specially-trained-doctors-care-critical-care-patients" TargetMode="External"/><Relationship Id="rId155" Type="http://schemas.openxmlformats.org/officeDocument/2006/relationships/hyperlink" Target="https://nam02.safelinks.protection.outlook.com/?url=https%3A%2F%2Fwww.ahrq.gov%2Fhealth-literacy%2Fprofessional-training%2Finformed-choice.html&amp;data=05%7C01%7CPLipscomb%40leapfrog-group.org%7C2c470c166c5f45fac28508db5d5d58d1%7C95c34b8315eb4d9a97a7f29881f4a800%7C0%7C0%7C638206427719598521%7CUnknown%7CTWFpbGZsb3d8eyJWIjoiMC4wLjAwMDAiLCJQIjoiV2luMzIiLCJBTiI6Ik1haWwiLCJXVCI6Mn0%3D%7C3000%7C%7C%7C&amp;sdata=8EnmFGECZ45C2enFQVjumfh042bETMi0bF%2FpNjGUCPk%3D&amp;reserved=0" TargetMode="External"/><Relationship Id="rId197" Type="http://schemas.openxmlformats.org/officeDocument/2006/relationships/image" Target="media/image7.png"/><Relationship Id="rId362" Type="http://schemas.openxmlformats.org/officeDocument/2006/relationships/hyperlink" Target="https://www.ihi.org/sites/default/files/Safer-Dx-Checklist.pdf" TargetMode="External"/><Relationship Id="rId418" Type="http://schemas.openxmlformats.org/officeDocument/2006/relationships/hyperlink" Target="https://www.leapfroggroup.org/survey-materials/review-nhsn-instructions" TargetMode="External"/><Relationship Id="rId222" Type="http://schemas.openxmlformats.org/officeDocument/2006/relationships/hyperlink" Target="https://www.ahrq.gov/hai/tools/ambulatory-surgery/sections/implementation/implementation-guide/app-e.html" TargetMode="External"/><Relationship Id="rId264" Type="http://schemas.openxmlformats.org/officeDocument/2006/relationships/hyperlink" Target="http://leapfroggroup.org/survey-materials/multi-campus-reporting-policy" TargetMode="External"/><Relationship Id="rId471" Type="http://schemas.openxmlformats.org/officeDocument/2006/relationships/hyperlink" Target="http://leapfroggroup.org/survey-materials/multi-campus-reporting-policy" TargetMode="External"/><Relationship Id="rId17" Type="http://schemas.openxmlformats.org/officeDocument/2006/relationships/hyperlink" Target="http://leapfroggroup.org/survey-materials/multi-campus-reporting-policy" TargetMode="External"/><Relationship Id="rId59" Type="http://schemas.openxmlformats.org/officeDocument/2006/relationships/hyperlink" Target="https://ratings.leapfroggroup.org/" TargetMode="External"/><Relationship Id="rId124" Type="http://schemas.openxmlformats.org/officeDocument/2006/relationships/image" Target="media/image3.png"/><Relationship Id="rId70" Type="http://schemas.openxmlformats.org/officeDocument/2006/relationships/hyperlink" Target="https://ratings.leapfroggroup.org/" TargetMode="External"/><Relationship Id="rId166" Type="http://schemas.openxmlformats.org/officeDocument/2006/relationships/hyperlink" Target="http://leapfroggroup.org/survey-materials/multi-campus-reporting-policy" TargetMode="External"/><Relationship Id="rId331" Type="http://schemas.openxmlformats.org/officeDocument/2006/relationships/hyperlink" Target="http://leapfroggroup.org/survey-materials/multi-campus-reporting-policy" TargetMode="External"/><Relationship Id="rId373" Type="http://schemas.openxmlformats.org/officeDocument/2006/relationships/hyperlink" Target="https://www.ihi.org/sites/default/files/Safer-Dx-Checklist.pdf" TargetMode="External"/><Relationship Id="rId429" Type="http://schemas.openxmlformats.org/officeDocument/2006/relationships/hyperlink" Target="https://digitalassets.jointcommission.org/api/public/content/b4e8988066e74717ae9801edb2bfb9de?v=e0ff96a2" TargetMode="External"/><Relationship Id="rId1" Type="http://schemas.openxmlformats.org/officeDocument/2006/relationships/customXml" Target="../customXml/item1.xml"/><Relationship Id="rId233" Type="http://schemas.openxmlformats.org/officeDocument/2006/relationships/hyperlink" Target="https://www.sts.org/" TargetMode="External"/><Relationship Id="rId440" Type="http://schemas.openxmlformats.org/officeDocument/2006/relationships/hyperlink" Target="https://www.leapfroggroup.org/survey-materials/deadlines" TargetMode="External"/><Relationship Id="rId28" Type="http://schemas.openxmlformats.org/officeDocument/2006/relationships/hyperlink" Target="https://survey.leapfroggroup.org/login" TargetMode="External"/><Relationship Id="rId275" Type="http://schemas.openxmlformats.org/officeDocument/2006/relationships/hyperlink" Target="https://www.leapfroggroup.org/about/expert-panelists" TargetMode="External"/><Relationship Id="rId300" Type="http://schemas.openxmlformats.org/officeDocument/2006/relationships/hyperlink" Target="https://manual.jointcommission.org/releases/TJC2026A1/DataElem0265.html" TargetMode="External"/><Relationship Id="rId482" Type="http://schemas.openxmlformats.org/officeDocument/2006/relationships/hyperlink" Target="https://www.leapfroggroup.org/survey-materials/multi-campus-reporting-policy" TargetMode="External"/><Relationship Id="rId81" Type="http://schemas.openxmlformats.org/officeDocument/2006/relationships/hyperlink" Target="https://www.leapfroggroup.org/ratings-reports/custom-benchmarking" TargetMode="External"/><Relationship Id="rId135" Type="http://schemas.openxmlformats.org/officeDocument/2006/relationships/hyperlink" Target="https://www.cms.gov/files/document/nsa-sample-good-faith-estimate.pdf" TargetMode="External"/><Relationship Id="rId177" Type="http://schemas.openxmlformats.org/officeDocument/2006/relationships/hyperlink" Target="https://www.leapfroggroup.org/survey-materials/deadlines" TargetMode="External"/><Relationship Id="rId342" Type="http://schemas.openxmlformats.org/officeDocument/2006/relationships/header" Target="header17.xml"/><Relationship Id="rId384" Type="http://schemas.openxmlformats.org/officeDocument/2006/relationships/hyperlink" Target="https://www.leapfroggroup.org/survey-materials/data-accuracy" TargetMode="External"/><Relationship Id="rId202" Type="http://schemas.openxmlformats.org/officeDocument/2006/relationships/hyperlink" Target="https://www.leapfroggroup.org/survey-materials/deadlines" TargetMode="External"/><Relationship Id="rId244" Type="http://schemas.openxmlformats.org/officeDocument/2006/relationships/header" Target="header14.xml"/><Relationship Id="rId39" Type="http://schemas.openxmlformats.org/officeDocument/2006/relationships/hyperlink" Target="https://survey.leapfroggroup.org/login?destination=dashboard" TargetMode="External"/><Relationship Id="rId286" Type="http://schemas.openxmlformats.org/officeDocument/2006/relationships/hyperlink" Target="https://manual.jointcommission.org/releases/TJC2026A1/AppendixATJC.html" TargetMode="External"/><Relationship Id="rId451" Type="http://schemas.openxmlformats.org/officeDocument/2006/relationships/hyperlink" Target="http://www.leapfroggroup.org/survey-materials/survey-and-cpoe-materials" TargetMode="External"/><Relationship Id="rId493" Type="http://schemas.openxmlformats.org/officeDocument/2006/relationships/hyperlink" Target="https://leapfroghelpdesk.zendesk.com/hc/en-us" TargetMode="External"/><Relationship Id="rId507" Type="http://schemas.openxmlformats.org/officeDocument/2006/relationships/hyperlink" Target="https://data.cms.gov/provider-data/search?theme=Hospitals" TargetMode="External"/><Relationship Id="rId50" Type="http://schemas.openxmlformats.org/officeDocument/2006/relationships/hyperlink" Target="http://www.leapfroggroup.org/survey-materials/data-accuracy" TargetMode="External"/><Relationship Id="rId104" Type="http://schemas.openxmlformats.org/officeDocument/2006/relationships/hyperlink" Target="http://leapfroggroup.org/survey-materials/multi-campus-reporting-policy" TargetMode="External"/><Relationship Id="rId146" Type="http://schemas.openxmlformats.org/officeDocument/2006/relationships/hyperlink" Target="https://www.youtube.com/watch?v=8SOzXeYDhAw" TargetMode="External"/><Relationship Id="rId188" Type="http://schemas.openxmlformats.org/officeDocument/2006/relationships/hyperlink" Target="http://www.leapfroggroup.org/survey-materials/survey-and-cpoe-materials" TargetMode="External"/><Relationship Id="rId311" Type="http://schemas.openxmlformats.org/officeDocument/2006/relationships/hyperlink" Target="http://leapfroggroup.org/survey-materials/multi-campus-reporting-policy" TargetMode="External"/><Relationship Id="rId353" Type="http://schemas.openxmlformats.org/officeDocument/2006/relationships/hyperlink" Target="http://leapfroggroup.org/survey-materials/multi-campus-reporting-policy" TargetMode="External"/><Relationship Id="rId395" Type="http://schemas.openxmlformats.org/officeDocument/2006/relationships/hyperlink" Target="https://www.ahrq.gov/teamstepps/index.html" TargetMode="External"/><Relationship Id="rId409" Type="http://schemas.openxmlformats.org/officeDocument/2006/relationships/hyperlink" Target="https://www.leapfroggroup.org/survey-materials/review-nhsn-instructions" TargetMode="External"/><Relationship Id="rId92" Type="http://schemas.openxmlformats.org/officeDocument/2006/relationships/header" Target="header4.xml"/><Relationship Id="rId213" Type="http://schemas.openxmlformats.org/officeDocument/2006/relationships/hyperlink" Target="https://www.leapfroggroup.org/survey-materials/deadlines" TargetMode="External"/><Relationship Id="rId420" Type="http://schemas.openxmlformats.org/officeDocument/2006/relationships/hyperlink" Target="https://nam02.safelinks.protection.outlook.com/?url=https%3A%2F%2Fwww.leapfroggroup.org%2Fsurvey-materials%2Freview-nhsn-instructions&amp;data=05%7C02%7CACampione%40leapfrog-group.org%7Ceb635fdf7e764f63e2a008df2ec0c665%7C95c34b8315eb4d9a97a7f29881f4a800%7C0%7C0%7C639281077677159944%7CUnknown%7CTWFpbGZsb3d8eyJFbXB0eU1hcGkiOnRydWUsIlYiOiIwLjAuMDAwMCIsIlAiOiJXaW4zMiIsIkFOIjoiTWFpbCIsIldUIjoyfQ%3D%3D%7C0%7C%7C%7C&amp;sdata=H0a8QGyQ8jhK2KfCWzQthAWRtrvZOgZBzKBrIvsh8lE%3D&amp;reserved=0" TargetMode="External"/><Relationship Id="rId255" Type="http://schemas.openxmlformats.org/officeDocument/2006/relationships/hyperlink" Target="https://www.leapfroggroup.org/survey-materials/deadlines" TargetMode="External"/><Relationship Id="rId297" Type="http://schemas.openxmlformats.org/officeDocument/2006/relationships/hyperlink" Target="https://manual.jointcommission.org/releases/TJC2026A1/AppendixATJC.html" TargetMode="External"/><Relationship Id="rId462" Type="http://schemas.openxmlformats.org/officeDocument/2006/relationships/hyperlink" Target="http://leapfroggroup.org/survey-materials/multi-campus-reporting-policy" TargetMode="External"/><Relationship Id="rId115" Type="http://schemas.openxmlformats.org/officeDocument/2006/relationships/hyperlink" Target="http://leapfroggroup.org/survey-materials/multi-campus-reporting-policy" TargetMode="External"/><Relationship Id="rId157" Type="http://schemas.openxmlformats.org/officeDocument/2006/relationships/hyperlink" Target="https://nam02.safelinks.protection.outlook.com/?url=https%3A%2F%2Fwww.cdc.gov%2Fccindex%2Findex.html&amp;data=05%7C01%7CPLipscomb%40leapfrog-group.org%7C2c470c166c5f45fac28508db5d5d58d1%7C95c34b8315eb4d9a97a7f29881f4a800%7C0%7C0%7C638206427719598521%7CUnknown%7CTWFpbGZsb3d8eyJWIjoiMC4wLjAwMDAiLCJQIjoiV2luMzIiLCJBTiI6Ik1haWwiLCJXVCI6Mn0%3D%7C3000%7C%7C%7C&amp;sdata=pu1PVfq6oeKIClO81ddHBIqO5lYuoto3gwOGnArPbbg%3D&amp;reserved=0" TargetMode="External"/><Relationship Id="rId322" Type="http://schemas.openxmlformats.org/officeDocument/2006/relationships/hyperlink" Target="http://www.leapfroggroup.org/survey-materials/scoring-and-results" TargetMode="External"/><Relationship Id="rId364" Type="http://schemas.openxmlformats.org/officeDocument/2006/relationships/hyperlink" Target="https://www.ahrq.gov/teamstepps-program/diagnosis-improvement/index.html" TargetMode="External"/><Relationship Id="rId61" Type="http://schemas.openxmlformats.org/officeDocument/2006/relationships/hyperlink" Target="http://www.leapfroggroup.org/survey-materials/deadlines" TargetMode="External"/><Relationship Id="rId199" Type="http://schemas.openxmlformats.org/officeDocument/2006/relationships/hyperlink" Target="http://www.hospitalmedicine.org/Web/Quality___Innovation/Implementation_Toolkit/MARQUIS/MARQUIS_Collaborative_Program_Recruitment.aspx" TargetMode="External"/><Relationship Id="rId19" Type="http://schemas.openxmlformats.org/officeDocument/2006/relationships/hyperlink" Target="https://www.leapfroggroup.org/survey-materials/review-nhsn-instructions" TargetMode="External"/><Relationship Id="rId224" Type="http://schemas.openxmlformats.org/officeDocument/2006/relationships/hyperlink" Target="https://www.leapfroggroup.org/survey-materials/deadlines" TargetMode="External"/><Relationship Id="rId266" Type="http://schemas.openxmlformats.org/officeDocument/2006/relationships/hyperlink" Target="https://www.leapfroggroup.org/survey-materials/deadlines" TargetMode="External"/><Relationship Id="rId431" Type="http://schemas.openxmlformats.org/officeDocument/2006/relationships/hyperlink" Target="https://www.qualityforum.org/en-us/key-initiatives/updating-the-serious-reportable-events-sre-list" TargetMode="External"/><Relationship Id="rId473" Type="http://schemas.openxmlformats.org/officeDocument/2006/relationships/hyperlink" Target="https://www.ahrq.gov/hai/tools/ambulatory-surgery/sections/implementation/implementation-guide/app-e.html" TargetMode="External"/><Relationship Id="rId30" Type="http://schemas.openxmlformats.org/officeDocument/2006/relationships/hyperlink" Target="http://leapfroggroup.org/survey-materials/prepare-cpoe-tool" TargetMode="External"/><Relationship Id="rId126" Type="http://schemas.openxmlformats.org/officeDocument/2006/relationships/hyperlink" Target="https://www.leapfroggroup.org/survey-materials/review-nhsn-instructions" TargetMode="External"/><Relationship Id="rId168" Type="http://schemas.openxmlformats.org/officeDocument/2006/relationships/hyperlink" Target="https://www.leapfroggroup.org/survey-materials/deadlines" TargetMode="External"/><Relationship Id="rId333" Type="http://schemas.openxmlformats.org/officeDocument/2006/relationships/hyperlink" Target="https://www.leapfroggroup.org/survey-materials/deadlines" TargetMode="External"/><Relationship Id="rId72" Type="http://schemas.openxmlformats.org/officeDocument/2006/relationships/hyperlink" Target="http://leapfroggroup.org/survey-materials/deadlines" TargetMode="External"/><Relationship Id="rId375" Type="http://schemas.openxmlformats.org/officeDocument/2006/relationships/hyperlink" Target="https://www.leapfroggroup.org/about/expert-panelists" TargetMode="External"/><Relationship Id="rId3" Type="http://schemas.openxmlformats.org/officeDocument/2006/relationships/customXml" Target="../customXml/item3.xml"/><Relationship Id="rId235" Type="http://schemas.openxmlformats.org/officeDocument/2006/relationships/hyperlink" Target="http://leapfroggroup.org/survey-materials/multi-campus-reporting-policy" TargetMode="External"/><Relationship Id="rId277" Type="http://schemas.openxmlformats.org/officeDocument/2006/relationships/hyperlink" Target="http://leapfroggroup.org/survey-materials/multi-campus-reporting-policy" TargetMode="External"/><Relationship Id="rId400" Type="http://schemas.openxmlformats.org/officeDocument/2006/relationships/hyperlink" Target="http://www.leapfroggroup.org/survey-materials/survey-and-cpoe-materials" TargetMode="External"/><Relationship Id="rId442" Type="http://schemas.openxmlformats.org/officeDocument/2006/relationships/hyperlink" Target="http://leapfroggroup.org/survey-materials/multi-campus-reporting-policy" TargetMode="External"/><Relationship Id="rId484" Type="http://schemas.openxmlformats.org/officeDocument/2006/relationships/hyperlink" Target="https://survey.leapfroggroup.org/login?destination=dashboard" TargetMode="External"/><Relationship Id="rId137" Type="http://schemas.openxmlformats.org/officeDocument/2006/relationships/hyperlink" Target="https://www.irs.gov/charities-non-profits/financial-assistance-policy-and-emergency-medical-care-policy-section-501r4" TargetMode="External"/><Relationship Id="rId302" Type="http://schemas.openxmlformats.org/officeDocument/2006/relationships/hyperlink" Target="https://manual.jointcommission.org/releases/TJC2026A1/AppendixATJC.html" TargetMode="External"/><Relationship Id="rId344" Type="http://schemas.openxmlformats.org/officeDocument/2006/relationships/hyperlink" Target="https://ratings.leapfroggroup.org/measure/hospital/2026/handwashing" TargetMode="External"/><Relationship Id="rId41" Type="http://schemas.openxmlformats.org/officeDocument/2006/relationships/hyperlink" Target="http://leapfroggroup.org/survey-materials/deadlines" TargetMode="External"/><Relationship Id="rId83" Type="http://schemas.openxmlformats.org/officeDocument/2006/relationships/hyperlink" Target="https://www.leapfroggroup.org/sites/default/files/Files/HelpDeskGuide_HowtoUseZendesk_0.pdf" TargetMode="External"/><Relationship Id="rId179" Type="http://schemas.openxmlformats.org/officeDocument/2006/relationships/hyperlink" Target="https://www.leapfroggroup.org/survey-materials/survey-and-cpoe-materials" TargetMode="External"/><Relationship Id="rId386" Type="http://schemas.openxmlformats.org/officeDocument/2006/relationships/hyperlink" Target="https://www.youtube.com/watch?v=XZKXMw29kFU" TargetMode="External"/><Relationship Id="rId190" Type="http://schemas.openxmlformats.org/officeDocument/2006/relationships/hyperlink" Target="https://www.leapfroggroup.org/survey-materials/survey-and-cpoe-materials" TargetMode="External"/><Relationship Id="rId204" Type="http://schemas.openxmlformats.org/officeDocument/2006/relationships/header" Target="header10.xml"/><Relationship Id="rId246" Type="http://schemas.openxmlformats.org/officeDocument/2006/relationships/hyperlink" Target="https://survey.leapfroggroup.org/login" TargetMode="External"/><Relationship Id="rId288" Type="http://schemas.openxmlformats.org/officeDocument/2006/relationships/hyperlink" Target="https://datacenter.cmqcc.org/support/download/c463ad71c0197fd1b1dd54db4bb09d31d8e8b35e" TargetMode="External"/><Relationship Id="rId411" Type="http://schemas.openxmlformats.org/officeDocument/2006/relationships/hyperlink" Target="http://leapfroggroup.org/survey-materials/multi-campus-reporting-policy" TargetMode="External"/><Relationship Id="rId453" Type="http://schemas.openxmlformats.org/officeDocument/2006/relationships/hyperlink" Target="http://www.leapfroggroup.org/survey-materials/survey-and-cpoe-materials" TargetMode="External"/><Relationship Id="rId509" Type="http://schemas.openxmlformats.org/officeDocument/2006/relationships/hyperlink" Target="https://data.cms.gov/provider-data/" TargetMode="External"/><Relationship Id="rId106" Type="http://schemas.openxmlformats.org/officeDocument/2006/relationships/hyperlink" Target="https://www.leapfroggroup.org/survey-materials/deadlines" TargetMode="External"/><Relationship Id="rId313" Type="http://schemas.openxmlformats.org/officeDocument/2006/relationships/hyperlink" Target="https://public.vtoxford.org/leapfrog" TargetMode="External"/><Relationship Id="rId495" Type="http://schemas.openxmlformats.org/officeDocument/2006/relationships/hyperlink" Target="https://www.who.int/teams/integrated-health-services/patient-safety/research/safe-surgery" TargetMode="External"/><Relationship Id="rId10" Type="http://schemas.openxmlformats.org/officeDocument/2006/relationships/footnotes" Target="footnotes.xml"/><Relationship Id="rId52" Type="http://schemas.openxmlformats.org/officeDocument/2006/relationships/hyperlink" Target="https://survey.leapfroggroup.org/" TargetMode="External"/><Relationship Id="rId94" Type="http://schemas.openxmlformats.org/officeDocument/2006/relationships/hyperlink" Target="http://leapfroggroup.org/survey-materials/multi-campus-reporting-policy" TargetMode="External"/><Relationship Id="rId148" Type="http://schemas.openxmlformats.org/officeDocument/2006/relationships/hyperlink" Target="https://www.ihi.org/insights/words-matter-making-sense-health-equity-terminology" TargetMode="External"/><Relationship Id="rId355" Type="http://schemas.openxmlformats.org/officeDocument/2006/relationships/hyperlink" Target="https://www.leapfroggroup.org/survey-materials/deadlines" TargetMode="External"/><Relationship Id="rId397" Type="http://schemas.openxmlformats.org/officeDocument/2006/relationships/hyperlink" Target="https://www.ache.org/about-ache/our-story/our-commitments/policy-statements/healthcare-executives-role-in-ensuring-quality-and-safety" TargetMode="External"/><Relationship Id="rId215" Type="http://schemas.openxmlformats.org/officeDocument/2006/relationships/hyperlink" Target="https://www.leapfroggroup.org/survey-materials/deadlines" TargetMode="External"/><Relationship Id="rId257" Type="http://schemas.openxmlformats.org/officeDocument/2006/relationships/hyperlink" Target="https://www.leapfroggroup.org/survey-materials/deadlines" TargetMode="External"/><Relationship Id="rId422" Type="http://schemas.openxmlformats.org/officeDocument/2006/relationships/hyperlink" Target="https://www.leapfroggroup.org/survey-materials/review-nhsn-instructions" TargetMode="External"/><Relationship Id="rId464" Type="http://schemas.openxmlformats.org/officeDocument/2006/relationships/hyperlink" Target="https://www.leapfroggroup.org/survey-materials/deadlines" TargetMode="External"/><Relationship Id="rId299" Type="http://schemas.openxmlformats.org/officeDocument/2006/relationships/hyperlink" Target="https://manual.jointcommission.org/releases/TJC2026A1/AppendixATJC.html" TargetMode="External"/></Relationships>
</file>

<file path=word/_rels/endnotes.xml.rels><?xml version="1.0" encoding="UTF-8" standalone="yes"?>
<Relationships xmlns="http://schemas.openxmlformats.org/package/2006/relationships"><Relationship Id="rId8" Type="http://schemas.openxmlformats.org/officeDocument/2006/relationships/hyperlink" Target="https://leapfroghelpdesk.zendesk.com/" TargetMode="External"/><Relationship Id="rId13" Type="http://schemas.openxmlformats.org/officeDocument/2006/relationships/hyperlink" Target="http://www.leapfroggroup.org/survey-materials/survey-and-cpoe-materials" TargetMode="External"/><Relationship Id="rId18" Type="http://schemas.openxmlformats.org/officeDocument/2006/relationships/hyperlink" Target="https://www.cdc.gov/mmwr/PDF/rr/rr5116.pdf" TargetMode="External"/><Relationship Id="rId3" Type="http://schemas.openxmlformats.org/officeDocument/2006/relationships/hyperlink" Target="http://www.leapfroggroup.org/survey-materials/join-nhsn" TargetMode="External"/><Relationship Id="rId21" Type="http://schemas.openxmlformats.org/officeDocument/2006/relationships/hyperlink" Target="https://digitalassets.jointcommission.org/api/public/content/4534bbaaee4f4bd280c2054765f37f4b?v=a60f8f9a" TargetMode="External"/><Relationship Id="rId7" Type="http://schemas.openxmlformats.org/officeDocument/2006/relationships/hyperlink" Target="https://leapfroghelpdesk.zendesk.com/" TargetMode="External"/><Relationship Id="rId12" Type="http://schemas.openxmlformats.org/officeDocument/2006/relationships/hyperlink" Target="https://www.ptcb.org/credentials/medication-history-certificate" TargetMode="External"/><Relationship Id="rId17" Type="http://schemas.openxmlformats.org/officeDocument/2006/relationships/hyperlink" Target="https://www.who.int/campaigns/world-hand-hygiene-day" TargetMode="External"/><Relationship Id="rId2" Type="http://schemas.openxmlformats.org/officeDocument/2006/relationships/hyperlink" Target="https://www.leapfroggroup.org/survey-materials/review-nhsn-instructions" TargetMode="External"/><Relationship Id="rId16" Type="http://schemas.openxmlformats.org/officeDocument/2006/relationships/hyperlink" Target="https://nam02.safelinks.protection.outlook.com/?url=https%3A%2F%2Fwww.sccm.org%2FEducation-Center%2FEducational-Programming%2FFundamentals%2FFundamental-Critical-Care-Support&amp;data=05%7C01%7CPLipscomb%40leapfrog-group.org%7C391e9445b9854332a32508db2a1a6539%7C95c34b8315eb4d9a97a7f29881f4a800%7C0%7C0%7C638150065072241194%7CUnknown%7CTWFpbGZsb3d8eyJWIjoiMC4wLjAwMDAiLCJQIjoiV2luMzIiLCJBTiI6Ik1haWwiLCJXVCI6Mn0%3D%7C3000%7C%7C%7C&amp;sdata=xe9giw6tDEoSUD%2FMy%2FG7jur%2BXfbSDZsUN%2Bx2qL49E%2B0%3D&amp;reserved=0" TargetMode="External"/><Relationship Id="rId20" Type="http://schemas.openxmlformats.org/officeDocument/2006/relationships/hyperlink" Target="http://apps.who.int/iris/bitstream/handle/10665/44196/9789241598606_eng.pdf;jsessionid=2AD6A606830268FFF337E2BD6ACAFC45?sequence=1" TargetMode="External"/><Relationship Id="rId1" Type="http://schemas.openxmlformats.org/officeDocument/2006/relationships/hyperlink" Target="https://leapfroghelpdesk.zendesk.com/" TargetMode="External"/><Relationship Id="rId6" Type="http://schemas.openxmlformats.org/officeDocument/2006/relationships/hyperlink" Target="https://leapfroghelpdesk.zendesk.com/" TargetMode="External"/><Relationship Id="rId11" Type="http://schemas.openxmlformats.org/officeDocument/2006/relationships/hyperlink" Target="https://aornjournal.onlinelibrary.wiley.com/doi/full/10.1016/S0001-2092%2806%2960367-0" TargetMode="External"/><Relationship Id="rId24" Type="http://schemas.openxmlformats.org/officeDocument/2006/relationships/hyperlink" Target="https://www.fgiguidelines.org/wp-content/uploads/2017/08/SLS17_FGI_ExamProcedureOperatingImaging_170721.pdf" TargetMode="External"/><Relationship Id="rId5" Type="http://schemas.openxmlformats.org/officeDocument/2006/relationships/hyperlink" Target="https://public.vtoxford.org/transfer-codes/" TargetMode="External"/><Relationship Id="rId15" Type="http://schemas.openxmlformats.org/officeDocument/2006/relationships/hyperlink" Target="https://www.sts.org/quality-safety/performance-measures/descriptions" TargetMode="External"/><Relationship Id="rId23" Type="http://schemas.openxmlformats.org/officeDocument/2006/relationships/hyperlink" Target="https://www.fgiguidelines.org/wp-content/uploads/2017/08/SLS17_FGI_ExamProcedureOperatingImaging_170721.pdf" TargetMode="External"/><Relationship Id="rId10" Type="http://schemas.openxmlformats.org/officeDocument/2006/relationships/hyperlink" Target="https://nam02.safelinks.protection.outlook.com/?url=https%3A%2F%2Fwww.cdc.gov%2Fnhsn%2Fpdfs%2Fpscmanual%2Fpscmanual_current.pdf&amp;data=05%7C02%7CLKaufman%40leapfrog-group.org%7C064c254f3811457a4eb108de690e65e9%7C95c34b8315eb4d9a97a7f29881f4a800%7C0%7C0%7C639063707723194530%7CUnknown%7CTWFpbGZsb3d8eyJFbXB0eU1hcGkiOnRydWUsIlYiOiIwLjAuMDAwMCIsIlAiOiJXaW4zMiIsIkFOIjoiTWFpbCIsIldUIjoyfQ%3D%3D%7C0%7C%7C%7C&amp;sdata=nCOLQew11FGzu4F0SeU0tqg66SUxvLQxpCpHukLHOiE%3D&amp;reserved=0" TargetMode="External"/><Relationship Id="rId19" Type="http://schemas.openxmlformats.org/officeDocument/2006/relationships/hyperlink" Target="https://www.who.int/publications/i/item/9789241597906" TargetMode="External"/><Relationship Id="rId4" Type="http://schemas.openxmlformats.org/officeDocument/2006/relationships/hyperlink" Target="http://www.leapfroggroup.org/survey-materials/join-nhsn" TargetMode="External"/><Relationship Id="rId9" Type="http://schemas.openxmlformats.org/officeDocument/2006/relationships/hyperlink" Target="https://nam02.safelinks.protection.outlook.com/?url=https%3A%2F%2Fwww.cdc.gov%2Fnhsn%2Fpdfs%2Fpscmanual%2Fpscmanual_current.pdf&amp;data=05%7C02%7CLKaufman%40leapfrog-group.org%7C064c254f3811457a4eb108de690e65e9%7C95c34b8315eb4d9a97a7f29881f4a800%7C0%7C0%7C639063707723194530%7CUnknown%7CTWFpbGZsb3d8eyJFbXB0eU1hcGkiOnRydWUsIlYiOiIwLjAuMDAwMCIsIlAiOiJXaW4zMiIsIkFOIjoiTWFpbCIsIldUIjoyfQ%3D%3D%7C0%7C%7C%7C&amp;sdata=nCOLQew11FGzu4F0SeU0tqg66SUxvLQxpCpHukLHOiE%3D&amp;reserved=0" TargetMode="External"/><Relationship Id="rId14" Type="http://schemas.openxmlformats.org/officeDocument/2006/relationships/hyperlink" Target="http://www.leapfroggroup.org/survey-materials/survey-and-cpoe-materials" TargetMode="External"/><Relationship Id="rId22" Type="http://schemas.openxmlformats.org/officeDocument/2006/relationships/hyperlink" Target="https://www.ihi.org/library/tools/rca2-improving-root-cause-analyses-and-actions-prevent-har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FBFE9F8E814B9458E004ABC1F0CC3C9" ma:contentTypeVersion="22" ma:contentTypeDescription="Create a new document." ma:contentTypeScope="" ma:versionID="a1a6b1d0b0dd08227890fcf48dd18375">
  <xsd:schema xmlns:xsd="http://www.w3.org/2001/XMLSchema" xmlns:xs="http://www.w3.org/2001/XMLSchema" xmlns:p="http://schemas.microsoft.com/office/2006/metadata/properties" xmlns:ns2="2647b5e8-e984-43ae-bdd2-00b2faccf1d1" xmlns:ns3="c3ea5a7f-0794-451b-8053-72eb42be1c2d" targetNamespace="http://schemas.microsoft.com/office/2006/metadata/properties" ma:root="true" ma:fieldsID="20547cb83fbbd2fe150d68d278e84695" ns2:_="" ns3:_="">
    <xsd:import namespace="2647b5e8-e984-43ae-bdd2-00b2faccf1d1"/>
    <xsd:import namespace="c3ea5a7f-0794-451b-8053-72eb42be1c2d"/>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Date" minOccurs="0"/>
                <xsd:element ref="ns2:TaxCatchAll" minOccurs="0"/>
                <xsd:element ref="ns3:MediaServiceOCR" minOccurs="0"/>
                <xsd:element ref="ns3:MediaServiceGenerationTime" minOccurs="0"/>
                <xsd:element ref="ns3:MediaServiceEventHashCode" minOccurs="0"/>
                <xsd:element ref="ns3:lcf76f155ced4ddcb4097134ff3c332f" minOccurs="0"/>
                <xsd:element ref="ns3:MediaServiceDateTaken" minOccurs="0"/>
                <xsd:element ref="ns3:MediaLengthInSeconds" minOccurs="0"/>
                <xsd:element ref="ns3:MediaServiceLocation" minOccurs="0"/>
                <xsd:element ref="ns2:SharedWithUsers" minOccurs="0"/>
                <xsd:element ref="ns2:SharedWithDetails" minOccurs="0"/>
                <xsd:element ref="ns3:MediaServiceObjectDetectorVersions" minOccurs="0"/>
                <xsd:element ref="ns3:MediaServiceSearchProperties" minOccurs="0"/>
                <xsd:element ref="ns3:Memo"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47b5e8-e984-43ae-bdd2-00b2faccf1d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4" nillable="true" ma:displayName="Taxonomy Catch All Column" ma:hidden="true" ma:list="{2799136a-fe62-4499-90af-c73bc3fef729}" ma:internalName="TaxCatchAll" ma:showField="CatchAllData" ma:web="2647b5e8-e984-43ae-bdd2-00b2faccf1d1">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3ea5a7f-0794-451b-8053-72eb42be1c2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Date" ma:index="13" nillable="true" ma:displayName="Date" ma:format="DateOnly" ma:internalName="Date">
      <xsd:simpleType>
        <xsd:restriction base="dms:DateTime"/>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317e3171-58b2-4d53-84aa-4c22be8b0971"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description="" ma:indexed="true" ma:internalName="MediaServiceLocation" ma:readOnly="true">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mo" ma:index="27" nillable="true" ma:displayName="Memo" ma:format="Dropdown" ma:internalName="Memo">
      <xsd:simpleType>
        <xsd:restriction base="dms:Text">
          <xsd:maxLength value="255"/>
        </xsd:restriction>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dlc_DocId xmlns="2647b5e8-e984-43ae-bdd2-00b2faccf1d1">YU52FPMFMMT7-1977900663-379139</_dlc_DocId>
    <_dlc_DocIdUrl xmlns="2647b5e8-e984-43ae-bdd2-00b2faccf1d1">
      <Url>https://leapfroggroup2.sharepoint.com/sites/TheLeapfrogGroup/_layouts/15/DocIdRedir.aspx?ID=YU52FPMFMMT7-1977900663-379139</Url>
      <Description>YU52FPMFMMT7-1977900663-379139</Description>
    </_dlc_DocIdUrl>
    <TaxCatchAll xmlns="2647b5e8-e984-43ae-bdd2-00b2faccf1d1" xsi:nil="true"/>
    <Date xmlns="c3ea5a7f-0794-451b-8053-72eb42be1c2d" xsi:nil="true"/>
    <lcf76f155ced4ddcb4097134ff3c332f xmlns="c3ea5a7f-0794-451b-8053-72eb42be1c2d">
      <Terms xmlns="http://schemas.microsoft.com/office/infopath/2007/PartnerControls"/>
    </lcf76f155ced4ddcb4097134ff3c332f>
    <SharedWithUsers xmlns="2647b5e8-e984-43ae-bdd2-00b2faccf1d1">
      <UserInfo>
        <DisplayName>Paige Lipscomb</DisplayName>
        <AccountId>40</AccountId>
        <AccountType/>
      </UserInfo>
    </SharedWithUsers>
    <Memo xmlns="c3ea5a7f-0794-451b-8053-72eb42be1c2d" xsi:nil="true"/>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A9A4F7B-9C70-4980-8C37-423A141274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47b5e8-e984-43ae-bdd2-00b2faccf1d1"/>
    <ds:schemaRef ds:uri="c3ea5a7f-0794-451b-8053-72eb42be1c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C436692-8057-4FC2-84F9-C801EE15EC43}">
  <ds:schemaRefs>
    <ds:schemaRef ds:uri="http://schemas.microsoft.com/office/2006/metadata/properties"/>
    <ds:schemaRef ds:uri="http://schemas.microsoft.com/office/infopath/2007/PartnerControls"/>
    <ds:schemaRef ds:uri="2647b5e8-e984-43ae-bdd2-00b2faccf1d1"/>
    <ds:schemaRef ds:uri="c3ea5a7f-0794-451b-8053-72eb42be1c2d"/>
  </ds:schemaRefs>
</ds:datastoreItem>
</file>

<file path=customXml/itemProps3.xml><?xml version="1.0" encoding="utf-8"?>
<ds:datastoreItem xmlns:ds="http://schemas.openxmlformats.org/officeDocument/2006/customXml" ds:itemID="{2610C81A-53B2-4A30-9EDD-9D6FDD9AD0D6}">
  <ds:schemaRefs>
    <ds:schemaRef ds:uri="http://schemas.microsoft.com/sharepoint/events"/>
  </ds:schemaRefs>
</ds:datastoreItem>
</file>

<file path=customXml/itemProps4.xml><?xml version="1.0" encoding="utf-8"?>
<ds:datastoreItem xmlns:ds="http://schemas.openxmlformats.org/officeDocument/2006/customXml" ds:itemID="{19AFB86E-B444-437B-8BDE-0CE36C39FB1A}">
  <ds:schemaRefs>
    <ds:schemaRef ds:uri="http://schemas.openxmlformats.org/officeDocument/2006/bibliography"/>
  </ds:schemaRefs>
</ds:datastoreItem>
</file>

<file path=customXml/itemProps5.xml><?xml version="1.0" encoding="utf-8"?>
<ds:datastoreItem xmlns:ds="http://schemas.openxmlformats.org/officeDocument/2006/customXml" ds:itemID="{0992932A-7D44-4A49-AD0A-81C03A4C576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150</Pages>
  <Words>125354</Words>
  <Characters>712016</Characters>
  <Application>Microsoft Office Word</Application>
  <DocSecurity>0</DocSecurity>
  <Lines>18737</Lines>
  <Paragraphs>9851</Paragraphs>
  <ScaleCrop>false</ScaleCrop>
  <HeadingPairs>
    <vt:vector size="2" baseType="variant">
      <vt:variant>
        <vt:lpstr>Title</vt:lpstr>
      </vt:variant>
      <vt:variant>
        <vt:i4>1</vt:i4>
      </vt:variant>
    </vt:vector>
  </HeadingPairs>
  <TitlesOfParts>
    <vt:vector size="1" baseType="lpstr">
      <vt:lpstr>Leapfrog Hospital Survey</vt:lpstr>
    </vt:vector>
  </TitlesOfParts>
  <Company>Thomson Healthcare</Company>
  <LinksUpToDate>false</LinksUpToDate>
  <CharactersWithSpaces>827519</CharactersWithSpaces>
  <SharedDoc>false</SharedDoc>
  <HLinks>
    <vt:vector size="7056" baseType="variant">
      <vt:variant>
        <vt:i4>393231</vt:i4>
      </vt:variant>
      <vt:variant>
        <vt:i4>4503</vt:i4>
      </vt:variant>
      <vt:variant>
        <vt:i4>0</vt:i4>
      </vt:variant>
      <vt:variant>
        <vt:i4>5</vt:i4>
      </vt:variant>
      <vt:variant>
        <vt:lpwstr/>
      </vt:variant>
      <vt:variant>
        <vt:lpwstr>_Patient_Experience_(OAS_1</vt:lpwstr>
      </vt:variant>
      <vt:variant>
        <vt:i4>3014783</vt:i4>
      </vt:variant>
      <vt:variant>
        <vt:i4>4500</vt:i4>
      </vt:variant>
      <vt:variant>
        <vt:i4>0</vt:i4>
      </vt:variant>
      <vt:variant>
        <vt:i4>5</vt:i4>
      </vt:variant>
      <vt:variant>
        <vt:lpwstr>https://data.cms.gov/provider-data/</vt:lpwstr>
      </vt:variant>
      <vt:variant>
        <vt:lpwstr/>
      </vt:variant>
      <vt:variant>
        <vt:i4>1966154</vt:i4>
      </vt:variant>
      <vt:variant>
        <vt:i4>4497</vt:i4>
      </vt:variant>
      <vt:variant>
        <vt:i4>0</vt:i4>
      </vt:variant>
      <vt:variant>
        <vt:i4>5</vt:i4>
      </vt:variant>
      <vt:variant>
        <vt:lpwstr>https://leapfroghelpdesk.zendesk.com/</vt:lpwstr>
      </vt:variant>
      <vt:variant>
        <vt:lpwstr/>
      </vt:variant>
      <vt:variant>
        <vt:i4>6225992</vt:i4>
      </vt:variant>
      <vt:variant>
        <vt:i4>4494</vt:i4>
      </vt:variant>
      <vt:variant>
        <vt:i4>0</vt:i4>
      </vt:variant>
      <vt:variant>
        <vt:i4>5</vt:i4>
      </vt:variant>
      <vt:variant>
        <vt:lpwstr>https://data.cms.gov/provider-data/search?theme=Hospitals</vt:lpwstr>
      </vt:variant>
      <vt:variant>
        <vt:lpwstr/>
      </vt:variant>
      <vt:variant>
        <vt:i4>6225992</vt:i4>
      </vt:variant>
      <vt:variant>
        <vt:i4>4491</vt:i4>
      </vt:variant>
      <vt:variant>
        <vt:i4>0</vt:i4>
      </vt:variant>
      <vt:variant>
        <vt:i4>5</vt:i4>
      </vt:variant>
      <vt:variant>
        <vt:lpwstr>https://data.cms.gov/provider-data/search?theme=Hospitals</vt:lpwstr>
      </vt:variant>
      <vt:variant>
        <vt:lpwstr/>
      </vt:variant>
      <vt:variant>
        <vt:i4>2687082</vt:i4>
      </vt:variant>
      <vt:variant>
        <vt:i4>4488</vt:i4>
      </vt:variant>
      <vt:variant>
        <vt:i4>0</vt:i4>
      </vt:variant>
      <vt:variant>
        <vt:i4>5</vt:i4>
      </vt:variant>
      <vt:variant>
        <vt:lpwstr>https://awsstage.survey.leapfroggroup.org/login</vt:lpwstr>
      </vt:variant>
      <vt:variant>
        <vt:lpwstr/>
      </vt:variant>
      <vt:variant>
        <vt:i4>4718670</vt:i4>
      </vt:variant>
      <vt:variant>
        <vt:i4>4485</vt:i4>
      </vt:variant>
      <vt:variant>
        <vt:i4>0</vt:i4>
      </vt:variant>
      <vt:variant>
        <vt:i4>5</vt:i4>
      </vt:variant>
      <vt:variant>
        <vt:lpwstr>https://oascahps.org/Survey-Materials</vt:lpwstr>
      </vt:variant>
      <vt:variant>
        <vt:lpwstr/>
      </vt:variant>
      <vt:variant>
        <vt:i4>6946904</vt:i4>
      </vt:variant>
      <vt:variant>
        <vt:i4>4479</vt:i4>
      </vt:variant>
      <vt:variant>
        <vt:i4>0</vt:i4>
      </vt:variant>
      <vt:variant>
        <vt:i4>5</vt:i4>
      </vt:variant>
      <vt:variant>
        <vt:lpwstr/>
      </vt:variant>
      <vt:variant>
        <vt:lpwstr>Endnote48_TopBox</vt:lpwstr>
      </vt:variant>
      <vt:variant>
        <vt:i4>3014783</vt:i4>
      </vt:variant>
      <vt:variant>
        <vt:i4>4476</vt:i4>
      </vt:variant>
      <vt:variant>
        <vt:i4>0</vt:i4>
      </vt:variant>
      <vt:variant>
        <vt:i4>5</vt:i4>
      </vt:variant>
      <vt:variant>
        <vt:lpwstr>https://data.cms.gov/provider-data</vt:lpwstr>
      </vt:variant>
      <vt:variant>
        <vt:lpwstr/>
      </vt:variant>
      <vt:variant>
        <vt:i4>7602235</vt:i4>
      </vt:variant>
      <vt:variant>
        <vt:i4>4473</vt:i4>
      </vt:variant>
      <vt:variant>
        <vt:i4>0</vt:i4>
      </vt:variant>
      <vt:variant>
        <vt:i4>5</vt:i4>
      </vt:variant>
      <vt:variant>
        <vt:lpwstr/>
      </vt:variant>
      <vt:variant>
        <vt:lpwstr>_Medication_Safety_for_3</vt:lpwstr>
      </vt:variant>
      <vt:variant>
        <vt:i4>5832716</vt:i4>
      </vt:variant>
      <vt:variant>
        <vt:i4>4470</vt:i4>
      </vt:variant>
      <vt:variant>
        <vt:i4>0</vt:i4>
      </vt:variant>
      <vt:variant>
        <vt:i4>5</vt:i4>
      </vt:variant>
      <vt:variant>
        <vt:lpwstr>https://www.leapfroggroup.org/survey-materials/survey-and-cpoe-materials</vt:lpwstr>
      </vt:variant>
      <vt:variant>
        <vt:lpwstr/>
      </vt:variant>
      <vt:variant>
        <vt:i4>7798907</vt:i4>
      </vt:variant>
      <vt:variant>
        <vt:i4>4467</vt:i4>
      </vt:variant>
      <vt:variant>
        <vt:i4>0</vt:i4>
      </vt:variant>
      <vt:variant>
        <vt:i4>5</vt:i4>
      </vt:variant>
      <vt:variant>
        <vt:lpwstr>http://leapfroggroup.org/survey-materials/multi-campus-reporting-policy</vt:lpwstr>
      </vt:variant>
      <vt:variant>
        <vt:lpwstr/>
      </vt:variant>
      <vt:variant>
        <vt:i4>5963793</vt:i4>
      </vt:variant>
      <vt:variant>
        <vt:i4>4464</vt:i4>
      </vt:variant>
      <vt:variant>
        <vt:i4>0</vt:i4>
      </vt:variant>
      <vt:variant>
        <vt:i4>5</vt:i4>
      </vt:variant>
      <vt:variant>
        <vt:lpwstr>https://apps.who.int/iris/handle/10665/70046</vt:lpwstr>
      </vt:variant>
      <vt:variant>
        <vt:lpwstr/>
      </vt:variant>
      <vt:variant>
        <vt:i4>7929904</vt:i4>
      </vt:variant>
      <vt:variant>
        <vt:i4>4461</vt:i4>
      </vt:variant>
      <vt:variant>
        <vt:i4>0</vt:i4>
      </vt:variant>
      <vt:variant>
        <vt:i4>5</vt:i4>
      </vt:variant>
      <vt:variant>
        <vt:lpwstr>https://www.who.int/patientsafety/safesurgery/checklist/en/</vt:lpwstr>
      </vt:variant>
      <vt:variant>
        <vt:lpwstr/>
      </vt:variant>
      <vt:variant>
        <vt:i4>5832716</vt:i4>
      </vt:variant>
      <vt:variant>
        <vt:i4>4458</vt:i4>
      </vt:variant>
      <vt:variant>
        <vt:i4>0</vt:i4>
      </vt:variant>
      <vt:variant>
        <vt:i4>5</vt:i4>
      </vt:variant>
      <vt:variant>
        <vt:lpwstr>https://www.leapfroggroup.org/survey-materials/survey-and-cpoe-materials</vt:lpwstr>
      </vt:variant>
      <vt:variant>
        <vt:lpwstr/>
      </vt:variant>
      <vt:variant>
        <vt:i4>524307</vt:i4>
      </vt:variant>
      <vt:variant>
        <vt:i4>4455</vt:i4>
      </vt:variant>
      <vt:variant>
        <vt:i4>0</vt:i4>
      </vt:variant>
      <vt:variant>
        <vt:i4>5</vt:i4>
      </vt:variant>
      <vt:variant>
        <vt:lpwstr>https://www.ahrq.gov/hai/tools/ambulatory-surgery/sections/implementation/implementation-guide/app-e.html</vt:lpwstr>
      </vt:variant>
      <vt:variant>
        <vt:lpwstr/>
      </vt:variant>
      <vt:variant>
        <vt:i4>4587625</vt:i4>
      </vt:variant>
      <vt:variant>
        <vt:i4>4452</vt:i4>
      </vt:variant>
      <vt:variant>
        <vt:i4>0</vt:i4>
      </vt:variant>
      <vt:variant>
        <vt:i4>5</vt:i4>
      </vt:variant>
      <vt:variant>
        <vt:lpwstr>https://www.leapfroggroup.org/sites/default/files/Files/Implementation manual WHO surgical safety checklist 2009.pdf?token=_DzwbK1J</vt:lpwstr>
      </vt:variant>
      <vt:variant>
        <vt:lpwstr/>
      </vt:variant>
      <vt:variant>
        <vt:i4>4915273</vt:i4>
      </vt:variant>
      <vt:variant>
        <vt:i4>4449</vt:i4>
      </vt:variant>
      <vt:variant>
        <vt:i4>0</vt:i4>
      </vt:variant>
      <vt:variant>
        <vt:i4>5</vt:i4>
      </vt:variant>
      <vt:variant>
        <vt:lpwstr>https://www.who.int/teams/integrated-health-services/patient-safety/research/safe-surgery</vt:lpwstr>
      </vt:variant>
      <vt:variant>
        <vt:lpwstr/>
      </vt:variant>
      <vt:variant>
        <vt:i4>7798907</vt:i4>
      </vt:variant>
      <vt:variant>
        <vt:i4>4446</vt:i4>
      </vt:variant>
      <vt:variant>
        <vt:i4>0</vt:i4>
      </vt:variant>
      <vt:variant>
        <vt:i4>5</vt:i4>
      </vt:variant>
      <vt:variant>
        <vt:lpwstr>http://leapfroggroup.org/survey-materials/multi-campus-reporting-policy</vt:lpwstr>
      </vt:variant>
      <vt:variant>
        <vt:lpwstr/>
      </vt:variant>
      <vt:variant>
        <vt:i4>4325454</vt:i4>
      </vt:variant>
      <vt:variant>
        <vt:i4>4443</vt:i4>
      </vt:variant>
      <vt:variant>
        <vt:i4>0</vt:i4>
      </vt:variant>
      <vt:variant>
        <vt:i4>5</vt:i4>
      </vt:variant>
      <vt:variant>
        <vt:lpwstr>https://leapfroghelpdesk.zendesk.com/hc/en-us</vt:lpwstr>
      </vt:variant>
      <vt:variant>
        <vt:lpwstr/>
      </vt:variant>
      <vt:variant>
        <vt:i4>8061028</vt:i4>
      </vt:variant>
      <vt:variant>
        <vt:i4>4440</vt:i4>
      </vt:variant>
      <vt:variant>
        <vt:i4>0</vt:i4>
      </vt:variant>
      <vt:variant>
        <vt:i4>5</vt:i4>
      </vt:variant>
      <vt:variant>
        <vt:lpwstr/>
      </vt:variant>
      <vt:variant>
        <vt:lpwstr>_Volume_of_Procedures_4</vt:lpwstr>
      </vt:variant>
      <vt:variant>
        <vt:i4>1179658</vt:i4>
      </vt:variant>
      <vt:variant>
        <vt:i4>4437</vt:i4>
      </vt:variant>
      <vt:variant>
        <vt:i4>0</vt:i4>
      </vt:variant>
      <vt:variant>
        <vt:i4>5</vt:i4>
      </vt:variant>
      <vt:variant>
        <vt:lpwstr>https://survey.leapfroggroup.org/login?destination=dashboard</vt:lpwstr>
      </vt:variant>
      <vt:variant>
        <vt:lpwstr/>
      </vt:variant>
      <vt:variant>
        <vt:i4>1179658</vt:i4>
      </vt:variant>
      <vt:variant>
        <vt:i4>4434</vt:i4>
      </vt:variant>
      <vt:variant>
        <vt:i4>0</vt:i4>
      </vt:variant>
      <vt:variant>
        <vt:i4>5</vt:i4>
      </vt:variant>
      <vt:variant>
        <vt:lpwstr>https://survey.leapfroggroup.org/login?destination=dashboard</vt:lpwstr>
      </vt:variant>
      <vt:variant>
        <vt:lpwstr/>
      </vt:variant>
      <vt:variant>
        <vt:i4>1179658</vt:i4>
      </vt:variant>
      <vt:variant>
        <vt:i4>4431</vt:i4>
      </vt:variant>
      <vt:variant>
        <vt:i4>0</vt:i4>
      </vt:variant>
      <vt:variant>
        <vt:i4>5</vt:i4>
      </vt:variant>
      <vt:variant>
        <vt:lpwstr>https://survey.leapfroggroup.org/login?destination=dashboard</vt:lpwstr>
      </vt:variant>
      <vt:variant>
        <vt:lpwstr/>
      </vt:variant>
      <vt:variant>
        <vt:i4>1179658</vt:i4>
      </vt:variant>
      <vt:variant>
        <vt:i4>4428</vt:i4>
      </vt:variant>
      <vt:variant>
        <vt:i4>0</vt:i4>
      </vt:variant>
      <vt:variant>
        <vt:i4>5</vt:i4>
      </vt:variant>
      <vt:variant>
        <vt:lpwstr>https://survey.leapfroggroup.org/login?destination=dashboard</vt:lpwstr>
      </vt:variant>
      <vt:variant>
        <vt:lpwstr/>
      </vt:variant>
      <vt:variant>
        <vt:i4>1179658</vt:i4>
      </vt:variant>
      <vt:variant>
        <vt:i4>4425</vt:i4>
      </vt:variant>
      <vt:variant>
        <vt:i4>0</vt:i4>
      </vt:variant>
      <vt:variant>
        <vt:i4>5</vt:i4>
      </vt:variant>
      <vt:variant>
        <vt:lpwstr>https://survey.leapfroggroup.org/login?destination=dashboard</vt:lpwstr>
      </vt:variant>
      <vt:variant>
        <vt:lpwstr/>
      </vt:variant>
      <vt:variant>
        <vt:i4>1179658</vt:i4>
      </vt:variant>
      <vt:variant>
        <vt:i4>4422</vt:i4>
      </vt:variant>
      <vt:variant>
        <vt:i4>0</vt:i4>
      </vt:variant>
      <vt:variant>
        <vt:i4>5</vt:i4>
      </vt:variant>
      <vt:variant>
        <vt:lpwstr>https://survey.leapfroggroup.org/login?destination=dashboard</vt:lpwstr>
      </vt:variant>
      <vt:variant>
        <vt:lpwstr/>
      </vt:variant>
      <vt:variant>
        <vt:i4>1179658</vt:i4>
      </vt:variant>
      <vt:variant>
        <vt:i4>4419</vt:i4>
      </vt:variant>
      <vt:variant>
        <vt:i4>0</vt:i4>
      </vt:variant>
      <vt:variant>
        <vt:i4>5</vt:i4>
      </vt:variant>
      <vt:variant>
        <vt:lpwstr>https://survey.leapfroggroup.org/login?destination=dashboard</vt:lpwstr>
      </vt:variant>
      <vt:variant>
        <vt:lpwstr/>
      </vt:variant>
      <vt:variant>
        <vt:i4>1179658</vt:i4>
      </vt:variant>
      <vt:variant>
        <vt:i4>4416</vt:i4>
      </vt:variant>
      <vt:variant>
        <vt:i4>0</vt:i4>
      </vt:variant>
      <vt:variant>
        <vt:i4>5</vt:i4>
      </vt:variant>
      <vt:variant>
        <vt:lpwstr>https://survey.leapfroggroup.org/login?destination=dashboard</vt:lpwstr>
      </vt:variant>
      <vt:variant>
        <vt:lpwstr/>
      </vt:variant>
      <vt:variant>
        <vt:i4>1179658</vt:i4>
      </vt:variant>
      <vt:variant>
        <vt:i4>4413</vt:i4>
      </vt:variant>
      <vt:variant>
        <vt:i4>0</vt:i4>
      </vt:variant>
      <vt:variant>
        <vt:i4>5</vt:i4>
      </vt:variant>
      <vt:variant>
        <vt:lpwstr>https://survey.leapfroggroup.org/login?destination=dashboard</vt:lpwstr>
      </vt:variant>
      <vt:variant>
        <vt:lpwstr/>
      </vt:variant>
      <vt:variant>
        <vt:i4>1900576</vt:i4>
      </vt:variant>
      <vt:variant>
        <vt:i4>4410</vt:i4>
      </vt:variant>
      <vt:variant>
        <vt:i4>0</vt:i4>
      </vt:variant>
      <vt:variant>
        <vt:i4>5</vt:i4>
      </vt:variant>
      <vt:variant>
        <vt:lpwstr/>
      </vt:variant>
      <vt:variant>
        <vt:lpwstr>_Otolaryngology_Measure_Specificatio</vt:lpwstr>
      </vt:variant>
      <vt:variant>
        <vt:i4>6422622</vt:i4>
      </vt:variant>
      <vt:variant>
        <vt:i4>4407</vt:i4>
      </vt:variant>
      <vt:variant>
        <vt:i4>0</vt:i4>
      </vt:variant>
      <vt:variant>
        <vt:i4>5</vt:i4>
      </vt:variant>
      <vt:variant>
        <vt:lpwstr/>
      </vt:variant>
      <vt:variant>
        <vt:lpwstr>_Orthopedic_Measure_Specifications</vt:lpwstr>
      </vt:variant>
      <vt:variant>
        <vt:i4>1441845</vt:i4>
      </vt:variant>
      <vt:variant>
        <vt:i4>4404</vt:i4>
      </vt:variant>
      <vt:variant>
        <vt:i4>0</vt:i4>
      </vt:variant>
      <vt:variant>
        <vt:i4>5</vt:i4>
      </vt:variant>
      <vt:variant>
        <vt:lpwstr/>
      </vt:variant>
      <vt:variant>
        <vt:lpwstr>_Ophthalmology_Measure_Specification</vt:lpwstr>
      </vt:variant>
      <vt:variant>
        <vt:i4>8323142</vt:i4>
      </vt:variant>
      <vt:variant>
        <vt:i4>4401</vt:i4>
      </vt:variant>
      <vt:variant>
        <vt:i4>0</vt:i4>
      </vt:variant>
      <vt:variant>
        <vt:i4>5</vt:i4>
      </vt:variant>
      <vt:variant>
        <vt:lpwstr/>
      </vt:variant>
      <vt:variant>
        <vt:lpwstr>_Plastic_and_Reconstructive</vt:lpwstr>
      </vt:variant>
      <vt:variant>
        <vt:i4>6488131</vt:i4>
      </vt:variant>
      <vt:variant>
        <vt:i4>4398</vt:i4>
      </vt:variant>
      <vt:variant>
        <vt:i4>0</vt:i4>
      </vt:variant>
      <vt:variant>
        <vt:i4>5</vt:i4>
      </vt:variant>
      <vt:variant>
        <vt:lpwstr/>
      </vt:variant>
      <vt:variant>
        <vt:lpwstr>_Obstetrics_and_Gynecology</vt:lpwstr>
      </vt:variant>
      <vt:variant>
        <vt:i4>1507368</vt:i4>
      </vt:variant>
      <vt:variant>
        <vt:i4>4395</vt:i4>
      </vt:variant>
      <vt:variant>
        <vt:i4>0</vt:i4>
      </vt:variant>
      <vt:variant>
        <vt:i4>5</vt:i4>
      </vt:variant>
      <vt:variant>
        <vt:lpwstr/>
      </vt:variant>
      <vt:variant>
        <vt:lpwstr>_Neurological_Surgery_Measure</vt:lpwstr>
      </vt:variant>
      <vt:variant>
        <vt:i4>6291535</vt:i4>
      </vt:variant>
      <vt:variant>
        <vt:i4>4392</vt:i4>
      </vt:variant>
      <vt:variant>
        <vt:i4>0</vt:i4>
      </vt:variant>
      <vt:variant>
        <vt:i4>5</vt:i4>
      </vt:variant>
      <vt:variant>
        <vt:lpwstr/>
      </vt:variant>
      <vt:variant>
        <vt:lpwstr>_Urology_Measure_Specifications</vt:lpwstr>
      </vt:variant>
      <vt:variant>
        <vt:i4>1441850</vt:i4>
      </vt:variant>
      <vt:variant>
        <vt:i4>4389</vt:i4>
      </vt:variant>
      <vt:variant>
        <vt:i4>0</vt:i4>
      </vt:variant>
      <vt:variant>
        <vt:i4>5</vt:i4>
      </vt:variant>
      <vt:variant>
        <vt:lpwstr/>
      </vt:variant>
      <vt:variant>
        <vt:lpwstr>_General_Surgery_Measure</vt:lpwstr>
      </vt:variant>
      <vt:variant>
        <vt:i4>524348</vt:i4>
      </vt:variant>
      <vt:variant>
        <vt:i4>4386</vt:i4>
      </vt:variant>
      <vt:variant>
        <vt:i4>0</vt:i4>
      </vt:variant>
      <vt:variant>
        <vt:i4>5</vt:i4>
      </vt:variant>
      <vt:variant>
        <vt:lpwstr/>
      </vt:variant>
      <vt:variant>
        <vt:lpwstr>_Gastroenterology_Measure_Specificat</vt:lpwstr>
      </vt:variant>
      <vt:variant>
        <vt:i4>1900576</vt:i4>
      </vt:variant>
      <vt:variant>
        <vt:i4>4383</vt:i4>
      </vt:variant>
      <vt:variant>
        <vt:i4>0</vt:i4>
      </vt:variant>
      <vt:variant>
        <vt:i4>5</vt:i4>
      </vt:variant>
      <vt:variant>
        <vt:lpwstr/>
      </vt:variant>
      <vt:variant>
        <vt:lpwstr>_Otolaryngology_Measure_Specificatio</vt:lpwstr>
      </vt:variant>
      <vt:variant>
        <vt:i4>6422622</vt:i4>
      </vt:variant>
      <vt:variant>
        <vt:i4>4380</vt:i4>
      </vt:variant>
      <vt:variant>
        <vt:i4>0</vt:i4>
      </vt:variant>
      <vt:variant>
        <vt:i4>5</vt:i4>
      </vt:variant>
      <vt:variant>
        <vt:lpwstr/>
      </vt:variant>
      <vt:variant>
        <vt:lpwstr>_Orthopedic_Measure_Specifications</vt:lpwstr>
      </vt:variant>
      <vt:variant>
        <vt:i4>1441845</vt:i4>
      </vt:variant>
      <vt:variant>
        <vt:i4>4377</vt:i4>
      </vt:variant>
      <vt:variant>
        <vt:i4>0</vt:i4>
      </vt:variant>
      <vt:variant>
        <vt:i4>5</vt:i4>
      </vt:variant>
      <vt:variant>
        <vt:lpwstr/>
      </vt:variant>
      <vt:variant>
        <vt:lpwstr>_Ophthalmology_Measure_Specification</vt:lpwstr>
      </vt:variant>
      <vt:variant>
        <vt:i4>1900576</vt:i4>
      </vt:variant>
      <vt:variant>
        <vt:i4>4374</vt:i4>
      </vt:variant>
      <vt:variant>
        <vt:i4>0</vt:i4>
      </vt:variant>
      <vt:variant>
        <vt:i4>5</vt:i4>
      </vt:variant>
      <vt:variant>
        <vt:lpwstr/>
      </vt:variant>
      <vt:variant>
        <vt:lpwstr>_Otolaryngology_Measure_Specificatio</vt:lpwstr>
      </vt:variant>
      <vt:variant>
        <vt:i4>6422622</vt:i4>
      </vt:variant>
      <vt:variant>
        <vt:i4>4371</vt:i4>
      </vt:variant>
      <vt:variant>
        <vt:i4>0</vt:i4>
      </vt:variant>
      <vt:variant>
        <vt:i4>5</vt:i4>
      </vt:variant>
      <vt:variant>
        <vt:lpwstr/>
      </vt:variant>
      <vt:variant>
        <vt:lpwstr>_Orthopedic_Measure_Specifications</vt:lpwstr>
      </vt:variant>
      <vt:variant>
        <vt:i4>1441845</vt:i4>
      </vt:variant>
      <vt:variant>
        <vt:i4>4368</vt:i4>
      </vt:variant>
      <vt:variant>
        <vt:i4>0</vt:i4>
      </vt:variant>
      <vt:variant>
        <vt:i4>5</vt:i4>
      </vt:variant>
      <vt:variant>
        <vt:lpwstr/>
      </vt:variant>
      <vt:variant>
        <vt:lpwstr>_Ophthalmology_Measure_Specification</vt:lpwstr>
      </vt:variant>
      <vt:variant>
        <vt:i4>8323142</vt:i4>
      </vt:variant>
      <vt:variant>
        <vt:i4>4365</vt:i4>
      </vt:variant>
      <vt:variant>
        <vt:i4>0</vt:i4>
      </vt:variant>
      <vt:variant>
        <vt:i4>5</vt:i4>
      </vt:variant>
      <vt:variant>
        <vt:lpwstr/>
      </vt:variant>
      <vt:variant>
        <vt:lpwstr>_Plastic_and_Reconstructive</vt:lpwstr>
      </vt:variant>
      <vt:variant>
        <vt:i4>1179684</vt:i4>
      </vt:variant>
      <vt:variant>
        <vt:i4>4362</vt:i4>
      </vt:variant>
      <vt:variant>
        <vt:i4>0</vt:i4>
      </vt:variant>
      <vt:variant>
        <vt:i4>5</vt:i4>
      </vt:variant>
      <vt:variant>
        <vt:lpwstr/>
      </vt:variant>
      <vt:variant>
        <vt:lpwstr>ObstetricsGynecology_MeasureSpecs</vt:lpwstr>
      </vt:variant>
      <vt:variant>
        <vt:i4>1507368</vt:i4>
      </vt:variant>
      <vt:variant>
        <vt:i4>4359</vt:i4>
      </vt:variant>
      <vt:variant>
        <vt:i4>0</vt:i4>
      </vt:variant>
      <vt:variant>
        <vt:i4>5</vt:i4>
      </vt:variant>
      <vt:variant>
        <vt:lpwstr/>
      </vt:variant>
      <vt:variant>
        <vt:lpwstr>_Neurological_Surgery_Measure</vt:lpwstr>
      </vt:variant>
      <vt:variant>
        <vt:i4>786470</vt:i4>
      </vt:variant>
      <vt:variant>
        <vt:i4>4356</vt:i4>
      </vt:variant>
      <vt:variant>
        <vt:i4>0</vt:i4>
      </vt:variant>
      <vt:variant>
        <vt:i4>5</vt:i4>
      </vt:variant>
      <vt:variant>
        <vt:lpwstr/>
      </vt:variant>
      <vt:variant>
        <vt:lpwstr>_Urology</vt:lpwstr>
      </vt:variant>
      <vt:variant>
        <vt:i4>1441850</vt:i4>
      </vt:variant>
      <vt:variant>
        <vt:i4>4353</vt:i4>
      </vt:variant>
      <vt:variant>
        <vt:i4>0</vt:i4>
      </vt:variant>
      <vt:variant>
        <vt:i4>5</vt:i4>
      </vt:variant>
      <vt:variant>
        <vt:lpwstr/>
      </vt:variant>
      <vt:variant>
        <vt:lpwstr>_General_Surgery_Measure</vt:lpwstr>
      </vt:variant>
      <vt:variant>
        <vt:i4>524348</vt:i4>
      </vt:variant>
      <vt:variant>
        <vt:i4>4350</vt:i4>
      </vt:variant>
      <vt:variant>
        <vt:i4>0</vt:i4>
      </vt:variant>
      <vt:variant>
        <vt:i4>5</vt:i4>
      </vt:variant>
      <vt:variant>
        <vt:lpwstr/>
      </vt:variant>
      <vt:variant>
        <vt:lpwstr>_Gastroenterology_Measure_Specificat</vt:lpwstr>
      </vt:variant>
      <vt:variant>
        <vt:i4>1900576</vt:i4>
      </vt:variant>
      <vt:variant>
        <vt:i4>4347</vt:i4>
      </vt:variant>
      <vt:variant>
        <vt:i4>0</vt:i4>
      </vt:variant>
      <vt:variant>
        <vt:i4>5</vt:i4>
      </vt:variant>
      <vt:variant>
        <vt:lpwstr/>
      </vt:variant>
      <vt:variant>
        <vt:lpwstr>_Otolaryngology_Measure_Specificatio</vt:lpwstr>
      </vt:variant>
      <vt:variant>
        <vt:i4>6422622</vt:i4>
      </vt:variant>
      <vt:variant>
        <vt:i4>4344</vt:i4>
      </vt:variant>
      <vt:variant>
        <vt:i4>0</vt:i4>
      </vt:variant>
      <vt:variant>
        <vt:i4>5</vt:i4>
      </vt:variant>
      <vt:variant>
        <vt:lpwstr/>
      </vt:variant>
      <vt:variant>
        <vt:lpwstr>_Orthopedic_Measure_Specifications</vt:lpwstr>
      </vt:variant>
      <vt:variant>
        <vt:i4>1441845</vt:i4>
      </vt:variant>
      <vt:variant>
        <vt:i4>4341</vt:i4>
      </vt:variant>
      <vt:variant>
        <vt:i4>0</vt:i4>
      </vt:variant>
      <vt:variant>
        <vt:i4>5</vt:i4>
      </vt:variant>
      <vt:variant>
        <vt:lpwstr/>
      </vt:variant>
      <vt:variant>
        <vt:lpwstr>_Ophthalmology_Measure_Specification</vt:lpwstr>
      </vt:variant>
      <vt:variant>
        <vt:i4>7798907</vt:i4>
      </vt:variant>
      <vt:variant>
        <vt:i4>4338</vt:i4>
      </vt:variant>
      <vt:variant>
        <vt:i4>0</vt:i4>
      </vt:variant>
      <vt:variant>
        <vt:i4>5</vt:i4>
      </vt:variant>
      <vt:variant>
        <vt:lpwstr>http://leapfroggroup.org/survey-materials/multi-campus-reporting-policy</vt:lpwstr>
      </vt:variant>
      <vt:variant>
        <vt:lpwstr/>
      </vt:variant>
      <vt:variant>
        <vt:i4>4390940</vt:i4>
      </vt:variant>
      <vt:variant>
        <vt:i4>4335</vt:i4>
      </vt:variant>
      <vt:variant>
        <vt:i4>0</vt:i4>
      </vt:variant>
      <vt:variant>
        <vt:i4>5</vt:i4>
      </vt:variant>
      <vt:variant>
        <vt:lpwstr>https://www.leapfroggroup.org/survey-materials/multi-campus-reporting-policy</vt:lpwstr>
      </vt:variant>
      <vt:variant>
        <vt:lpwstr/>
      </vt:variant>
      <vt:variant>
        <vt:i4>3014783</vt:i4>
      </vt:variant>
      <vt:variant>
        <vt:i4>4332</vt:i4>
      </vt:variant>
      <vt:variant>
        <vt:i4>0</vt:i4>
      </vt:variant>
      <vt:variant>
        <vt:i4>5</vt:i4>
      </vt:variant>
      <vt:variant>
        <vt:lpwstr>https://data.cms.gov/provider-data</vt:lpwstr>
      </vt:variant>
      <vt:variant>
        <vt:lpwstr/>
      </vt:variant>
      <vt:variant>
        <vt:i4>2359343</vt:i4>
      </vt:variant>
      <vt:variant>
        <vt:i4>4329</vt:i4>
      </vt:variant>
      <vt:variant>
        <vt:i4>0</vt:i4>
      </vt:variant>
      <vt:variant>
        <vt:i4>5</vt:i4>
      </vt:variant>
      <vt:variant>
        <vt:lpwstr>https://ratings.leapfroggroup.org/</vt:lpwstr>
      </vt:variant>
      <vt:variant>
        <vt:lpwstr/>
      </vt:variant>
      <vt:variant>
        <vt:i4>6946904</vt:i4>
      </vt:variant>
      <vt:variant>
        <vt:i4>4323</vt:i4>
      </vt:variant>
      <vt:variant>
        <vt:i4>0</vt:i4>
      </vt:variant>
      <vt:variant>
        <vt:i4>5</vt:i4>
      </vt:variant>
      <vt:variant>
        <vt:lpwstr/>
      </vt:variant>
      <vt:variant>
        <vt:lpwstr>Endnote48_TopBox</vt:lpwstr>
      </vt:variant>
      <vt:variant>
        <vt:i4>3014783</vt:i4>
      </vt:variant>
      <vt:variant>
        <vt:i4>4320</vt:i4>
      </vt:variant>
      <vt:variant>
        <vt:i4>0</vt:i4>
      </vt:variant>
      <vt:variant>
        <vt:i4>5</vt:i4>
      </vt:variant>
      <vt:variant>
        <vt:lpwstr>https://data.cms.gov/provider-data/</vt:lpwstr>
      </vt:variant>
      <vt:variant>
        <vt:lpwstr/>
      </vt:variant>
      <vt:variant>
        <vt:i4>3604560</vt:i4>
      </vt:variant>
      <vt:variant>
        <vt:i4>4317</vt:i4>
      </vt:variant>
      <vt:variant>
        <vt:i4>0</vt:i4>
      </vt:variant>
      <vt:variant>
        <vt:i4>5</vt:i4>
      </vt:variant>
      <vt:variant>
        <vt:lpwstr/>
      </vt:variant>
      <vt:variant>
        <vt:lpwstr>_Patient_Experience_(OAS</vt:lpwstr>
      </vt:variant>
      <vt:variant>
        <vt:i4>1310756</vt:i4>
      </vt:variant>
      <vt:variant>
        <vt:i4>4314</vt:i4>
      </vt:variant>
      <vt:variant>
        <vt:i4>0</vt:i4>
      </vt:variant>
      <vt:variant>
        <vt:i4>5</vt:i4>
      </vt:variant>
      <vt:variant>
        <vt:lpwstr/>
      </vt:variant>
      <vt:variant>
        <vt:lpwstr>medadverse_q6</vt:lpwstr>
      </vt:variant>
      <vt:variant>
        <vt:i4>327722</vt:i4>
      </vt:variant>
      <vt:variant>
        <vt:i4>4311</vt:i4>
      </vt:variant>
      <vt:variant>
        <vt:i4>0</vt:i4>
      </vt:variant>
      <vt:variant>
        <vt:i4>5</vt:i4>
      </vt:variant>
      <vt:variant>
        <vt:lpwstr/>
      </vt:variant>
      <vt:variant>
        <vt:lpwstr>medadminvisits_q5</vt:lpwstr>
      </vt:variant>
      <vt:variant>
        <vt:i4>3866624</vt:i4>
      </vt:variant>
      <vt:variant>
        <vt:i4>4308</vt:i4>
      </vt:variant>
      <vt:variant>
        <vt:i4>0</vt:i4>
      </vt:variant>
      <vt:variant>
        <vt:i4>5</vt:i4>
      </vt:variant>
      <vt:variant>
        <vt:lpwstr/>
      </vt:variant>
      <vt:variant>
        <vt:lpwstr>MedSafety_HomeMedications</vt:lpwstr>
      </vt:variant>
      <vt:variant>
        <vt:i4>7733358</vt:i4>
      </vt:variant>
      <vt:variant>
        <vt:i4>4305</vt:i4>
      </vt:variant>
      <vt:variant>
        <vt:i4>0</vt:i4>
      </vt:variant>
      <vt:variant>
        <vt:i4>5</vt:i4>
      </vt:variant>
      <vt:variant>
        <vt:lpwstr/>
      </vt:variant>
      <vt:variant>
        <vt:lpwstr>MedAllergySufficientSample</vt:lpwstr>
      </vt:variant>
      <vt:variant>
        <vt:i4>7733358</vt:i4>
      </vt:variant>
      <vt:variant>
        <vt:i4>4302</vt:i4>
      </vt:variant>
      <vt:variant>
        <vt:i4>0</vt:i4>
      </vt:variant>
      <vt:variant>
        <vt:i4>5</vt:i4>
      </vt:variant>
      <vt:variant>
        <vt:lpwstr/>
      </vt:variant>
      <vt:variant>
        <vt:lpwstr>MedAllergySufficientSample</vt:lpwstr>
      </vt:variant>
      <vt:variant>
        <vt:i4>7667771</vt:i4>
      </vt:variant>
      <vt:variant>
        <vt:i4>4299</vt:i4>
      </vt:variant>
      <vt:variant>
        <vt:i4>0</vt:i4>
      </vt:variant>
      <vt:variant>
        <vt:i4>5</vt:i4>
      </vt:variant>
      <vt:variant>
        <vt:lpwstr/>
      </vt:variant>
      <vt:variant>
        <vt:lpwstr>_Medication_Safety_for_2</vt:lpwstr>
      </vt:variant>
      <vt:variant>
        <vt:i4>7733358</vt:i4>
      </vt:variant>
      <vt:variant>
        <vt:i4>4296</vt:i4>
      </vt:variant>
      <vt:variant>
        <vt:i4>0</vt:i4>
      </vt:variant>
      <vt:variant>
        <vt:i4>5</vt:i4>
      </vt:variant>
      <vt:variant>
        <vt:lpwstr/>
      </vt:variant>
      <vt:variant>
        <vt:lpwstr>MedAllergySufficientSample</vt:lpwstr>
      </vt:variant>
      <vt:variant>
        <vt:i4>7667771</vt:i4>
      </vt:variant>
      <vt:variant>
        <vt:i4>4290</vt:i4>
      </vt:variant>
      <vt:variant>
        <vt:i4>0</vt:i4>
      </vt:variant>
      <vt:variant>
        <vt:i4>5</vt:i4>
      </vt:variant>
      <vt:variant>
        <vt:lpwstr/>
      </vt:variant>
      <vt:variant>
        <vt:lpwstr>_Medication_Safety_for_2</vt:lpwstr>
      </vt:variant>
      <vt:variant>
        <vt:i4>1703941</vt:i4>
      </vt:variant>
      <vt:variant>
        <vt:i4>4284</vt:i4>
      </vt:variant>
      <vt:variant>
        <vt:i4>0</vt:i4>
      </vt:variant>
      <vt:variant>
        <vt:i4>5</vt:i4>
      </vt:variant>
      <vt:variant>
        <vt:lpwstr/>
      </vt:variant>
      <vt:variant>
        <vt:lpwstr>procedureroom</vt:lpwstr>
      </vt:variant>
      <vt:variant>
        <vt:i4>7143517</vt:i4>
      </vt:variant>
      <vt:variant>
        <vt:i4>4278</vt:i4>
      </vt:variant>
      <vt:variant>
        <vt:i4>0</vt:i4>
      </vt:variant>
      <vt:variant>
        <vt:i4>5</vt:i4>
      </vt:variant>
      <vt:variant>
        <vt:lpwstr/>
      </vt:variant>
      <vt:variant>
        <vt:lpwstr>Endnote49_OR</vt:lpwstr>
      </vt:variant>
      <vt:variant>
        <vt:i4>1245223</vt:i4>
      </vt:variant>
      <vt:variant>
        <vt:i4>4272</vt:i4>
      </vt:variant>
      <vt:variant>
        <vt:i4>0</vt:i4>
      </vt:variant>
      <vt:variant>
        <vt:i4>5</vt:i4>
      </vt:variant>
      <vt:variant>
        <vt:lpwstr/>
      </vt:variant>
      <vt:variant>
        <vt:lpwstr>Endnote19_ColocatedNICU</vt:lpwstr>
      </vt:variant>
      <vt:variant>
        <vt:i4>7798907</vt:i4>
      </vt:variant>
      <vt:variant>
        <vt:i4>4269</vt:i4>
      </vt:variant>
      <vt:variant>
        <vt:i4>0</vt:i4>
      </vt:variant>
      <vt:variant>
        <vt:i4>5</vt:i4>
      </vt:variant>
      <vt:variant>
        <vt:lpwstr>http://leapfroggroup.org/survey-materials/multi-campus-reporting-policy</vt:lpwstr>
      </vt:variant>
      <vt:variant>
        <vt:lpwstr/>
      </vt:variant>
      <vt:variant>
        <vt:i4>524339</vt:i4>
      </vt:variant>
      <vt:variant>
        <vt:i4>4266</vt:i4>
      </vt:variant>
      <vt:variant>
        <vt:i4>0</vt:i4>
      </vt:variant>
      <vt:variant>
        <vt:i4>5</vt:i4>
      </vt:variant>
      <vt:variant>
        <vt:lpwstr/>
      </vt:variant>
      <vt:variant>
        <vt:lpwstr>surgical_team</vt:lpwstr>
      </vt:variant>
      <vt:variant>
        <vt:i4>2228316</vt:i4>
      </vt:variant>
      <vt:variant>
        <vt:i4>4263</vt:i4>
      </vt:variant>
      <vt:variant>
        <vt:i4>0</vt:i4>
      </vt:variant>
      <vt:variant>
        <vt:i4>5</vt:i4>
      </vt:variant>
      <vt:variant>
        <vt:lpwstr/>
      </vt:variant>
      <vt:variant>
        <vt:lpwstr>clinicalteamintro_9d</vt:lpwstr>
      </vt:variant>
      <vt:variant>
        <vt:i4>524339</vt:i4>
      </vt:variant>
      <vt:variant>
        <vt:i4>4260</vt:i4>
      </vt:variant>
      <vt:variant>
        <vt:i4>0</vt:i4>
      </vt:variant>
      <vt:variant>
        <vt:i4>5</vt:i4>
      </vt:variant>
      <vt:variant>
        <vt:lpwstr/>
      </vt:variant>
      <vt:variant>
        <vt:lpwstr>surgical_team</vt:lpwstr>
      </vt:variant>
      <vt:variant>
        <vt:i4>4063286</vt:i4>
      </vt:variant>
      <vt:variant>
        <vt:i4>4257</vt:i4>
      </vt:variant>
      <vt:variant>
        <vt:i4>0</vt:i4>
      </vt:variant>
      <vt:variant>
        <vt:i4>5</vt:i4>
      </vt:variant>
      <vt:variant>
        <vt:lpwstr/>
      </vt:variant>
      <vt:variant>
        <vt:lpwstr>_Safe_Surgery_Checklist_3</vt:lpwstr>
      </vt:variant>
      <vt:variant>
        <vt:i4>6357058</vt:i4>
      </vt:variant>
      <vt:variant>
        <vt:i4>4251</vt:i4>
      </vt:variant>
      <vt:variant>
        <vt:i4>0</vt:i4>
      </vt:variant>
      <vt:variant>
        <vt:i4>5</vt:i4>
      </vt:variant>
      <vt:variant>
        <vt:lpwstr/>
      </vt:variant>
      <vt:variant>
        <vt:lpwstr>_Safe_Surgery_Checklist</vt:lpwstr>
      </vt:variant>
      <vt:variant>
        <vt:i4>1703941</vt:i4>
      </vt:variant>
      <vt:variant>
        <vt:i4>4245</vt:i4>
      </vt:variant>
      <vt:variant>
        <vt:i4>0</vt:i4>
      </vt:variant>
      <vt:variant>
        <vt:i4>5</vt:i4>
      </vt:variant>
      <vt:variant>
        <vt:lpwstr/>
      </vt:variant>
      <vt:variant>
        <vt:lpwstr>procedureroom</vt:lpwstr>
      </vt:variant>
      <vt:variant>
        <vt:i4>7143517</vt:i4>
      </vt:variant>
      <vt:variant>
        <vt:i4>4239</vt:i4>
      </vt:variant>
      <vt:variant>
        <vt:i4>0</vt:i4>
      </vt:variant>
      <vt:variant>
        <vt:i4>5</vt:i4>
      </vt:variant>
      <vt:variant>
        <vt:lpwstr/>
      </vt:variant>
      <vt:variant>
        <vt:lpwstr>Endnote49_OR</vt:lpwstr>
      </vt:variant>
      <vt:variant>
        <vt:i4>1245223</vt:i4>
      </vt:variant>
      <vt:variant>
        <vt:i4>4233</vt:i4>
      </vt:variant>
      <vt:variant>
        <vt:i4>0</vt:i4>
      </vt:variant>
      <vt:variant>
        <vt:i4>5</vt:i4>
      </vt:variant>
      <vt:variant>
        <vt:lpwstr/>
      </vt:variant>
      <vt:variant>
        <vt:lpwstr>Endnote19_ColocatedNICU</vt:lpwstr>
      </vt:variant>
      <vt:variant>
        <vt:i4>6357058</vt:i4>
      </vt:variant>
      <vt:variant>
        <vt:i4>4227</vt:i4>
      </vt:variant>
      <vt:variant>
        <vt:i4>0</vt:i4>
      </vt:variant>
      <vt:variant>
        <vt:i4>5</vt:i4>
      </vt:variant>
      <vt:variant>
        <vt:lpwstr/>
      </vt:variant>
      <vt:variant>
        <vt:lpwstr>_Safe_Surgery_Checklist</vt:lpwstr>
      </vt:variant>
      <vt:variant>
        <vt:i4>524307</vt:i4>
      </vt:variant>
      <vt:variant>
        <vt:i4>4224</vt:i4>
      </vt:variant>
      <vt:variant>
        <vt:i4>0</vt:i4>
      </vt:variant>
      <vt:variant>
        <vt:i4>5</vt:i4>
      </vt:variant>
      <vt:variant>
        <vt:lpwstr>https://www.ahrq.gov/hai/tools/ambulatory-surgery/sections/implementation/implementation-guide/app-e.html</vt:lpwstr>
      </vt:variant>
      <vt:variant>
        <vt:lpwstr/>
      </vt:variant>
      <vt:variant>
        <vt:i4>7929904</vt:i4>
      </vt:variant>
      <vt:variant>
        <vt:i4>4221</vt:i4>
      </vt:variant>
      <vt:variant>
        <vt:i4>0</vt:i4>
      </vt:variant>
      <vt:variant>
        <vt:i4>5</vt:i4>
      </vt:variant>
      <vt:variant>
        <vt:lpwstr>https://www.who.int/patientsafety/safesurgery/checklist/en/</vt:lpwstr>
      </vt:variant>
      <vt:variant>
        <vt:lpwstr/>
      </vt:variant>
      <vt:variant>
        <vt:i4>7798907</vt:i4>
      </vt:variant>
      <vt:variant>
        <vt:i4>4218</vt:i4>
      </vt:variant>
      <vt:variant>
        <vt:i4>0</vt:i4>
      </vt:variant>
      <vt:variant>
        <vt:i4>5</vt:i4>
      </vt:variant>
      <vt:variant>
        <vt:lpwstr>http://leapfroggroup.org/survey-materials/multi-campus-reporting-policy</vt:lpwstr>
      </vt:variant>
      <vt:variant>
        <vt:lpwstr/>
      </vt:variant>
      <vt:variant>
        <vt:i4>8061028</vt:i4>
      </vt:variant>
      <vt:variant>
        <vt:i4>4215</vt:i4>
      </vt:variant>
      <vt:variant>
        <vt:i4>0</vt:i4>
      </vt:variant>
      <vt:variant>
        <vt:i4>5</vt:i4>
      </vt:variant>
      <vt:variant>
        <vt:lpwstr/>
      </vt:variant>
      <vt:variant>
        <vt:lpwstr>_Volume_of_Procedures_2</vt:lpwstr>
      </vt:variant>
      <vt:variant>
        <vt:i4>1703941</vt:i4>
      </vt:variant>
      <vt:variant>
        <vt:i4>4209</vt:i4>
      </vt:variant>
      <vt:variant>
        <vt:i4>0</vt:i4>
      </vt:variant>
      <vt:variant>
        <vt:i4>5</vt:i4>
      </vt:variant>
      <vt:variant>
        <vt:lpwstr/>
      </vt:variant>
      <vt:variant>
        <vt:lpwstr>procedureroom</vt:lpwstr>
      </vt:variant>
      <vt:variant>
        <vt:i4>7143517</vt:i4>
      </vt:variant>
      <vt:variant>
        <vt:i4>4203</vt:i4>
      </vt:variant>
      <vt:variant>
        <vt:i4>0</vt:i4>
      </vt:variant>
      <vt:variant>
        <vt:i4>5</vt:i4>
      </vt:variant>
      <vt:variant>
        <vt:lpwstr/>
      </vt:variant>
      <vt:variant>
        <vt:lpwstr>Endnote49_OR</vt:lpwstr>
      </vt:variant>
      <vt:variant>
        <vt:i4>1245223</vt:i4>
      </vt:variant>
      <vt:variant>
        <vt:i4>4197</vt:i4>
      </vt:variant>
      <vt:variant>
        <vt:i4>0</vt:i4>
      </vt:variant>
      <vt:variant>
        <vt:i4>5</vt:i4>
      </vt:variant>
      <vt:variant>
        <vt:lpwstr/>
      </vt:variant>
      <vt:variant>
        <vt:lpwstr>Endnote19_ColocatedNICU</vt:lpwstr>
      </vt:variant>
      <vt:variant>
        <vt:i4>7798907</vt:i4>
      </vt:variant>
      <vt:variant>
        <vt:i4>4194</vt:i4>
      </vt:variant>
      <vt:variant>
        <vt:i4>0</vt:i4>
      </vt:variant>
      <vt:variant>
        <vt:i4>5</vt:i4>
      </vt:variant>
      <vt:variant>
        <vt:lpwstr>http://leapfroggroup.org/survey-materials/multi-campus-reporting-policy</vt:lpwstr>
      </vt:variant>
      <vt:variant>
        <vt:lpwstr/>
      </vt:variant>
      <vt:variant>
        <vt:i4>720912</vt:i4>
      </vt:variant>
      <vt:variant>
        <vt:i4>4191</vt:i4>
      </vt:variant>
      <vt:variant>
        <vt:i4>0</vt:i4>
      </vt:variant>
      <vt:variant>
        <vt:i4>5</vt:i4>
      </vt:variant>
      <vt:variant>
        <vt:lpwstr/>
      </vt:variant>
      <vt:variant>
        <vt:lpwstr>clinicianendnote</vt:lpwstr>
      </vt:variant>
      <vt:variant>
        <vt:i4>720912</vt:i4>
      </vt:variant>
      <vt:variant>
        <vt:i4>4188</vt:i4>
      </vt:variant>
      <vt:variant>
        <vt:i4>0</vt:i4>
      </vt:variant>
      <vt:variant>
        <vt:i4>5</vt:i4>
      </vt:variant>
      <vt:variant>
        <vt:lpwstr/>
      </vt:variant>
      <vt:variant>
        <vt:lpwstr>clinicianendnote</vt:lpwstr>
      </vt:variant>
      <vt:variant>
        <vt:i4>720912</vt:i4>
      </vt:variant>
      <vt:variant>
        <vt:i4>4185</vt:i4>
      </vt:variant>
      <vt:variant>
        <vt:i4>0</vt:i4>
      </vt:variant>
      <vt:variant>
        <vt:i4>5</vt:i4>
      </vt:variant>
      <vt:variant>
        <vt:lpwstr/>
      </vt:variant>
      <vt:variant>
        <vt:lpwstr>clinicianendnote</vt:lpwstr>
      </vt:variant>
      <vt:variant>
        <vt:i4>720912</vt:i4>
      </vt:variant>
      <vt:variant>
        <vt:i4>4182</vt:i4>
      </vt:variant>
      <vt:variant>
        <vt:i4>0</vt:i4>
      </vt:variant>
      <vt:variant>
        <vt:i4>5</vt:i4>
      </vt:variant>
      <vt:variant>
        <vt:lpwstr/>
      </vt:variant>
      <vt:variant>
        <vt:lpwstr>clinicianendnote</vt:lpwstr>
      </vt:variant>
      <vt:variant>
        <vt:i4>7667802</vt:i4>
      </vt:variant>
      <vt:variant>
        <vt:i4>4176</vt:i4>
      </vt:variant>
      <vt:variant>
        <vt:i4>0</vt:i4>
      </vt:variant>
      <vt:variant>
        <vt:i4>5</vt:i4>
      </vt:variant>
      <vt:variant>
        <vt:lpwstr/>
      </vt:variant>
      <vt:variant>
        <vt:lpwstr>_Medical,_Surgical,_and</vt:lpwstr>
      </vt:variant>
      <vt:variant>
        <vt:i4>1703941</vt:i4>
      </vt:variant>
      <vt:variant>
        <vt:i4>4170</vt:i4>
      </vt:variant>
      <vt:variant>
        <vt:i4>0</vt:i4>
      </vt:variant>
      <vt:variant>
        <vt:i4>5</vt:i4>
      </vt:variant>
      <vt:variant>
        <vt:lpwstr/>
      </vt:variant>
      <vt:variant>
        <vt:lpwstr>procedureroom</vt:lpwstr>
      </vt:variant>
      <vt:variant>
        <vt:i4>7143517</vt:i4>
      </vt:variant>
      <vt:variant>
        <vt:i4>4164</vt:i4>
      </vt:variant>
      <vt:variant>
        <vt:i4>0</vt:i4>
      </vt:variant>
      <vt:variant>
        <vt:i4>5</vt:i4>
      </vt:variant>
      <vt:variant>
        <vt:lpwstr/>
      </vt:variant>
      <vt:variant>
        <vt:lpwstr>Endnote49_OR</vt:lpwstr>
      </vt:variant>
      <vt:variant>
        <vt:i4>1245223</vt:i4>
      </vt:variant>
      <vt:variant>
        <vt:i4>4158</vt:i4>
      </vt:variant>
      <vt:variant>
        <vt:i4>0</vt:i4>
      </vt:variant>
      <vt:variant>
        <vt:i4>5</vt:i4>
      </vt:variant>
      <vt:variant>
        <vt:lpwstr/>
      </vt:variant>
      <vt:variant>
        <vt:lpwstr>Endnote19_ColocatedNICU</vt:lpwstr>
      </vt:variant>
      <vt:variant>
        <vt:i4>7798907</vt:i4>
      </vt:variant>
      <vt:variant>
        <vt:i4>4155</vt:i4>
      </vt:variant>
      <vt:variant>
        <vt:i4>0</vt:i4>
      </vt:variant>
      <vt:variant>
        <vt:i4>5</vt:i4>
      </vt:variant>
      <vt:variant>
        <vt:lpwstr>http://leapfroggroup.org/survey-materials/multi-campus-reporting-policy</vt:lpwstr>
      </vt:variant>
      <vt:variant>
        <vt:lpwstr/>
      </vt:variant>
      <vt:variant>
        <vt:i4>1703941</vt:i4>
      </vt:variant>
      <vt:variant>
        <vt:i4>4152</vt:i4>
      </vt:variant>
      <vt:variant>
        <vt:i4>0</vt:i4>
      </vt:variant>
      <vt:variant>
        <vt:i4>5</vt:i4>
      </vt:variant>
      <vt:variant>
        <vt:lpwstr/>
      </vt:variant>
      <vt:variant>
        <vt:lpwstr>procedureroom</vt:lpwstr>
      </vt:variant>
      <vt:variant>
        <vt:i4>7143517</vt:i4>
      </vt:variant>
      <vt:variant>
        <vt:i4>4149</vt:i4>
      </vt:variant>
      <vt:variant>
        <vt:i4>0</vt:i4>
      </vt:variant>
      <vt:variant>
        <vt:i4>5</vt:i4>
      </vt:variant>
      <vt:variant>
        <vt:lpwstr/>
      </vt:variant>
      <vt:variant>
        <vt:lpwstr>Endnote49_OR</vt:lpwstr>
      </vt:variant>
      <vt:variant>
        <vt:i4>1245223</vt:i4>
      </vt:variant>
      <vt:variant>
        <vt:i4>4146</vt:i4>
      </vt:variant>
      <vt:variant>
        <vt:i4>0</vt:i4>
      </vt:variant>
      <vt:variant>
        <vt:i4>5</vt:i4>
      </vt:variant>
      <vt:variant>
        <vt:lpwstr/>
      </vt:variant>
      <vt:variant>
        <vt:lpwstr>Endnote19_ColocatedNICU</vt:lpwstr>
      </vt:variant>
      <vt:variant>
        <vt:i4>1703941</vt:i4>
      </vt:variant>
      <vt:variant>
        <vt:i4>4140</vt:i4>
      </vt:variant>
      <vt:variant>
        <vt:i4>0</vt:i4>
      </vt:variant>
      <vt:variant>
        <vt:i4>5</vt:i4>
      </vt:variant>
      <vt:variant>
        <vt:lpwstr/>
      </vt:variant>
      <vt:variant>
        <vt:lpwstr>procedureroom</vt:lpwstr>
      </vt:variant>
      <vt:variant>
        <vt:i4>7143517</vt:i4>
      </vt:variant>
      <vt:variant>
        <vt:i4>4134</vt:i4>
      </vt:variant>
      <vt:variant>
        <vt:i4>0</vt:i4>
      </vt:variant>
      <vt:variant>
        <vt:i4>5</vt:i4>
      </vt:variant>
      <vt:variant>
        <vt:lpwstr/>
      </vt:variant>
      <vt:variant>
        <vt:lpwstr>Endnote49_OR</vt:lpwstr>
      </vt:variant>
      <vt:variant>
        <vt:i4>1245223</vt:i4>
      </vt:variant>
      <vt:variant>
        <vt:i4>4128</vt:i4>
      </vt:variant>
      <vt:variant>
        <vt:i4>0</vt:i4>
      </vt:variant>
      <vt:variant>
        <vt:i4>5</vt:i4>
      </vt:variant>
      <vt:variant>
        <vt:lpwstr/>
      </vt:variant>
      <vt:variant>
        <vt:lpwstr>Endnote19_ColocatedNICU</vt:lpwstr>
      </vt:variant>
      <vt:variant>
        <vt:i4>8061028</vt:i4>
      </vt:variant>
      <vt:variant>
        <vt:i4>4125</vt:i4>
      </vt:variant>
      <vt:variant>
        <vt:i4>0</vt:i4>
      </vt:variant>
      <vt:variant>
        <vt:i4>5</vt:i4>
      </vt:variant>
      <vt:variant>
        <vt:lpwstr/>
      </vt:variant>
      <vt:variant>
        <vt:lpwstr>_Volume_of_Procedures_2</vt:lpwstr>
      </vt:variant>
      <vt:variant>
        <vt:i4>7798907</vt:i4>
      </vt:variant>
      <vt:variant>
        <vt:i4>4122</vt:i4>
      </vt:variant>
      <vt:variant>
        <vt:i4>0</vt:i4>
      </vt:variant>
      <vt:variant>
        <vt:i4>5</vt:i4>
      </vt:variant>
      <vt:variant>
        <vt:lpwstr>http://leapfroggroup.org/survey-materials/multi-campus-reporting-policy</vt:lpwstr>
      </vt:variant>
      <vt:variant>
        <vt:lpwstr/>
      </vt:variant>
      <vt:variant>
        <vt:i4>5046365</vt:i4>
      </vt:variant>
      <vt:variant>
        <vt:i4>4119</vt:i4>
      </vt:variant>
      <vt:variant>
        <vt:i4>0</vt:i4>
      </vt:variant>
      <vt:variant>
        <vt:i4>5</vt:i4>
      </vt:variant>
      <vt:variant>
        <vt:lpwstr>http://www.leapfroggroup.org/survey-materials/scoring-and-results</vt:lpwstr>
      </vt:variant>
      <vt:variant>
        <vt:lpwstr/>
      </vt:variant>
      <vt:variant>
        <vt:i4>262222</vt:i4>
      </vt:variant>
      <vt:variant>
        <vt:i4>4116</vt:i4>
      </vt:variant>
      <vt:variant>
        <vt:i4>0</vt:i4>
      </vt:variant>
      <vt:variant>
        <vt:i4>5</vt:i4>
      </vt:variant>
      <vt:variant>
        <vt:lpwstr>https://ratings.leapfroggroup.org/measure/hospital/2025/care-elective-outpatient-surgery-patients</vt:lpwstr>
      </vt:variant>
      <vt:variant>
        <vt:lpwstr/>
      </vt:variant>
      <vt:variant>
        <vt:i4>7733364</vt:i4>
      </vt:variant>
      <vt:variant>
        <vt:i4>4113</vt:i4>
      </vt:variant>
      <vt:variant>
        <vt:i4>0</vt:i4>
      </vt:variant>
      <vt:variant>
        <vt:i4>5</vt:i4>
      </vt:variant>
      <vt:variant>
        <vt:lpwstr>http://www.leapfroggroup.org/about/expert-panelists</vt:lpwstr>
      </vt:variant>
      <vt:variant>
        <vt:lpwstr/>
      </vt:variant>
      <vt:variant>
        <vt:i4>5701727</vt:i4>
      </vt:variant>
      <vt:variant>
        <vt:i4>4110</vt:i4>
      </vt:variant>
      <vt:variant>
        <vt:i4>0</vt:i4>
      </vt:variant>
      <vt:variant>
        <vt:i4>5</vt:i4>
      </vt:variant>
      <vt:variant>
        <vt:lpwstr>https://www.ahrq.gov/cahps/surveys-guidance/hospital/about/child_hp_survey.html</vt:lpwstr>
      </vt:variant>
      <vt:variant>
        <vt:lpwstr/>
      </vt:variant>
      <vt:variant>
        <vt:i4>4915323</vt:i4>
      </vt:variant>
      <vt:variant>
        <vt:i4>4107</vt:i4>
      </vt:variant>
      <vt:variant>
        <vt:i4>0</vt:i4>
      </vt:variant>
      <vt:variant>
        <vt:i4>5</vt:i4>
      </vt:variant>
      <vt:variant>
        <vt:lpwstr/>
      </vt:variant>
      <vt:variant>
        <vt:lpwstr>_Pediatric_CT_Radiation</vt:lpwstr>
      </vt:variant>
      <vt:variant>
        <vt:i4>6750258</vt:i4>
      </vt:variant>
      <vt:variant>
        <vt:i4>4104</vt:i4>
      </vt:variant>
      <vt:variant>
        <vt:i4>0</vt:i4>
      </vt:variant>
      <vt:variant>
        <vt:i4>5</vt:i4>
      </vt:variant>
      <vt:variant>
        <vt:lpwstr>http://www.leapfroggroup.org/survey-materials/survey-and-cpoe-materials</vt:lpwstr>
      </vt:variant>
      <vt:variant>
        <vt:lpwstr/>
      </vt:variant>
      <vt:variant>
        <vt:i4>6750258</vt:i4>
      </vt:variant>
      <vt:variant>
        <vt:i4>4101</vt:i4>
      </vt:variant>
      <vt:variant>
        <vt:i4>0</vt:i4>
      </vt:variant>
      <vt:variant>
        <vt:i4>5</vt:i4>
      </vt:variant>
      <vt:variant>
        <vt:lpwstr>http://www.leapfroggroup.org/survey-materials/survey-and-cpoe-materials</vt:lpwstr>
      </vt:variant>
      <vt:variant>
        <vt:lpwstr/>
      </vt:variant>
      <vt:variant>
        <vt:i4>6750258</vt:i4>
      </vt:variant>
      <vt:variant>
        <vt:i4>4098</vt:i4>
      </vt:variant>
      <vt:variant>
        <vt:i4>0</vt:i4>
      </vt:variant>
      <vt:variant>
        <vt:i4>5</vt:i4>
      </vt:variant>
      <vt:variant>
        <vt:lpwstr>http://www.leapfroggroup.org/survey-materials/survey-and-cpoe-materials</vt:lpwstr>
      </vt:variant>
      <vt:variant>
        <vt:lpwstr/>
      </vt:variant>
      <vt:variant>
        <vt:i4>6750258</vt:i4>
      </vt:variant>
      <vt:variant>
        <vt:i4>4095</vt:i4>
      </vt:variant>
      <vt:variant>
        <vt:i4>0</vt:i4>
      </vt:variant>
      <vt:variant>
        <vt:i4>5</vt:i4>
      </vt:variant>
      <vt:variant>
        <vt:lpwstr>http://www.leapfroggroup.org/survey-materials/survey-and-cpoe-materials</vt:lpwstr>
      </vt:variant>
      <vt:variant>
        <vt:lpwstr/>
      </vt:variant>
      <vt:variant>
        <vt:i4>7798907</vt:i4>
      </vt:variant>
      <vt:variant>
        <vt:i4>4092</vt:i4>
      </vt:variant>
      <vt:variant>
        <vt:i4>0</vt:i4>
      </vt:variant>
      <vt:variant>
        <vt:i4>5</vt:i4>
      </vt:variant>
      <vt:variant>
        <vt:lpwstr>http://leapfroggroup.org/survey-materials/multi-campus-reporting-policy</vt:lpwstr>
      </vt:variant>
      <vt:variant>
        <vt:lpwstr/>
      </vt:variant>
      <vt:variant>
        <vt:i4>6422655</vt:i4>
      </vt:variant>
      <vt:variant>
        <vt:i4>4089</vt:i4>
      </vt:variant>
      <vt:variant>
        <vt:i4>0</vt:i4>
      </vt:variant>
      <vt:variant>
        <vt:i4>5</vt:i4>
      </vt:variant>
      <vt:variant>
        <vt:lpwstr/>
      </vt:variant>
      <vt:variant>
        <vt:lpwstr>_Patient_Experience_(CAHPS_1</vt:lpwstr>
      </vt:variant>
      <vt:variant>
        <vt:i4>3342372</vt:i4>
      </vt:variant>
      <vt:variant>
        <vt:i4>4086</vt:i4>
      </vt:variant>
      <vt:variant>
        <vt:i4>0</vt:i4>
      </vt:variant>
      <vt:variant>
        <vt:i4>5</vt:i4>
      </vt:variant>
      <vt:variant>
        <vt:lpwstr>https://www.ahrq.gov/cahps/surveys-guidance/hp/about/child-survey-measures.html</vt:lpwstr>
      </vt:variant>
      <vt:variant>
        <vt:lpwstr/>
      </vt:variant>
      <vt:variant>
        <vt:i4>5701727</vt:i4>
      </vt:variant>
      <vt:variant>
        <vt:i4>4083</vt:i4>
      </vt:variant>
      <vt:variant>
        <vt:i4>0</vt:i4>
      </vt:variant>
      <vt:variant>
        <vt:i4>5</vt:i4>
      </vt:variant>
      <vt:variant>
        <vt:lpwstr>https://www.ahrq.gov/cahps/surveys-guidance/hospital/about/child_hp_survey.html</vt:lpwstr>
      </vt:variant>
      <vt:variant>
        <vt:lpwstr/>
      </vt:variant>
      <vt:variant>
        <vt:i4>5701727</vt:i4>
      </vt:variant>
      <vt:variant>
        <vt:i4>4080</vt:i4>
      </vt:variant>
      <vt:variant>
        <vt:i4>0</vt:i4>
      </vt:variant>
      <vt:variant>
        <vt:i4>5</vt:i4>
      </vt:variant>
      <vt:variant>
        <vt:lpwstr>https://www.ahrq.gov/cahps/surveys-guidance/hospital/about/child_hp_survey.html</vt:lpwstr>
      </vt:variant>
      <vt:variant>
        <vt:lpwstr/>
      </vt:variant>
      <vt:variant>
        <vt:i4>6946904</vt:i4>
      </vt:variant>
      <vt:variant>
        <vt:i4>4077</vt:i4>
      </vt:variant>
      <vt:variant>
        <vt:i4>0</vt:i4>
      </vt:variant>
      <vt:variant>
        <vt:i4>5</vt:i4>
      </vt:variant>
      <vt:variant>
        <vt:lpwstr/>
      </vt:variant>
      <vt:variant>
        <vt:lpwstr>Endnote48_TopBox</vt:lpwstr>
      </vt:variant>
      <vt:variant>
        <vt:i4>5701727</vt:i4>
      </vt:variant>
      <vt:variant>
        <vt:i4>4074</vt:i4>
      </vt:variant>
      <vt:variant>
        <vt:i4>0</vt:i4>
      </vt:variant>
      <vt:variant>
        <vt:i4>5</vt:i4>
      </vt:variant>
      <vt:variant>
        <vt:lpwstr>https://www.ahrq.gov/cahps/surveys-guidance/hospital/about/child_hp_survey.html</vt:lpwstr>
      </vt:variant>
      <vt:variant>
        <vt:lpwstr/>
      </vt:variant>
      <vt:variant>
        <vt:i4>7798907</vt:i4>
      </vt:variant>
      <vt:variant>
        <vt:i4>4071</vt:i4>
      </vt:variant>
      <vt:variant>
        <vt:i4>0</vt:i4>
      </vt:variant>
      <vt:variant>
        <vt:i4>5</vt:i4>
      </vt:variant>
      <vt:variant>
        <vt:lpwstr>http://leapfroggroup.org/survey-materials/multi-campus-reporting-policy</vt:lpwstr>
      </vt:variant>
      <vt:variant>
        <vt:lpwstr/>
      </vt:variant>
      <vt:variant>
        <vt:i4>6160489</vt:i4>
      </vt:variant>
      <vt:variant>
        <vt:i4>4068</vt:i4>
      </vt:variant>
      <vt:variant>
        <vt:i4>0</vt:i4>
      </vt:variant>
      <vt:variant>
        <vt:i4>5</vt:i4>
      </vt:variant>
      <vt:variant>
        <vt:lpwstr/>
      </vt:variant>
      <vt:variant>
        <vt:lpwstr>_Pediatric_Computed_Tomography</vt:lpwstr>
      </vt:variant>
      <vt:variant>
        <vt:i4>6160489</vt:i4>
      </vt:variant>
      <vt:variant>
        <vt:i4>4065</vt:i4>
      </vt:variant>
      <vt:variant>
        <vt:i4>0</vt:i4>
      </vt:variant>
      <vt:variant>
        <vt:i4>5</vt:i4>
      </vt:variant>
      <vt:variant>
        <vt:lpwstr/>
      </vt:variant>
      <vt:variant>
        <vt:lpwstr>_Pediatric_Computed_Tomography</vt:lpwstr>
      </vt:variant>
      <vt:variant>
        <vt:i4>7798907</vt:i4>
      </vt:variant>
      <vt:variant>
        <vt:i4>4062</vt:i4>
      </vt:variant>
      <vt:variant>
        <vt:i4>0</vt:i4>
      </vt:variant>
      <vt:variant>
        <vt:i4>5</vt:i4>
      </vt:variant>
      <vt:variant>
        <vt:lpwstr>http://leapfroggroup.org/survey-materials/multi-campus-reporting-policy</vt:lpwstr>
      </vt:variant>
      <vt:variant>
        <vt:lpwstr/>
      </vt:variant>
      <vt:variant>
        <vt:i4>6946904</vt:i4>
      </vt:variant>
      <vt:variant>
        <vt:i4>4056</vt:i4>
      </vt:variant>
      <vt:variant>
        <vt:i4>0</vt:i4>
      </vt:variant>
      <vt:variant>
        <vt:i4>5</vt:i4>
      </vt:variant>
      <vt:variant>
        <vt:lpwstr/>
      </vt:variant>
      <vt:variant>
        <vt:lpwstr>Endnote48_TopBox</vt:lpwstr>
      </vt:variant>
      <vt:variant>
        <vt:i4>6357119</vt:i4>
      </vt:variant>
      <vt:variant>
        <vt:i4>4053</vt:i4>
      </vt:variant>
      <vt:variant>
        <vt:i4>0</vt:i4>
      </vt:variant>
      <vt:variant>
        <vt:i4>5</vt:i4>
      </vt:variant>
      <vt:variant>
        <vt:lpwstr/>
      </vt:variant>
      <vt:variant>
        <vt:lpwstr>_Patient_Experience_(CAHPS_2</vt:lpwstr>
      </vt:variant>
      <vt:variant>
        <vt:i4>6946909</vt:i4>
      </vt:variant>
      <vt:variant>
        <vt:i4>4050</vt:i4>
      </vt:variant>
      <vt:variant>
        <vt:i4>0</vt:i4>
      </vt:variant>
      <vt:variant>
        <vt:i4>5</vt:i4>
      </vt:variant>
      <vt:variant>
        <vt:lpwstr/>
      </vt:variant>
      <vt:variant>
        <vt:lpwstr>_1A:_Basic_Hospital</vt:lpwstr>
      </vt:variant>
      <vt:variant>
        <vt:i4>7602283</vt:i4>
      </vt:variant>
      <vt:variant>
        <vt:i4>4047</vt:i4>
      </vt:variant>
      <vt:variant>
        <vt:i4>0</vt:i4>
      </vt:variant>
      <vt:variant>
        <vt:i4>5</vt:i4>
      </vt:variant>
      <vt:variant>
        <vt:lpwstr/>
      </vt:variant>
      <vt:variant>
        <vt:lpwstr>CAHPSSpecs</vt:lpwstr>
      </vt:variant>
      <vt:variant>
        <vt:i4>6946904</vt:i4>
      </vt:variant>
      <vt:variant>
        <vt:i4>4041</vt:i4>
      </vt:variant>
      <vt:variant>
        <vt:i4>0</vt:i4>
      </vt:variant>
      <vt:variant>
        <vt:i4>5</vt:i4>
      </vt:variant>
      <vt:variant>
        <vt:lpwstr/>
      </vt:variant>
      <vt:variant>
        <vt:lpwstr>Endnote48_TopBox</vt:lpwstr>
      </vt:variant>
      <vt:variant>
        <vt:i4>7798907</vt:i4>
      </vt:variant>
      <vt:variant>
        <vt:i4>4038</vt:i4>
      </vt:variant>
      <vt:variant>
        <vt:i4>0</vt:i4>
      </vt:variant>
      <vt:variant>
        <vt:i4>5</vt:i4>
      </vt:variant>
      <vt:variant>
        <vt:lpwstr>http://leapfroggroup.org/survey-materials/multi-campus-reporting-policy</vt:lpwstr>
      </vt:variant>
      <vt:variant>
        <vt:lpwstr/>
      </vt:variant>
      <vt:variant>
        <vt:i4>5046365</vt:i4>
      </vt:variant>
      <vt:variant>
        <vt:i4>4035</vt:i4>
      </vt:variant>
      <vt:variant>
        <vt:i4>0</vt:i4>
      </vt:variant>
      <vt:variant>
        <vt:i4>5</vt:i4>
      </vt:variant>
      <vt:variant>
        <vt:lpwstr>http://www.leapfroggroup.org/survey-materials/scoring-and-results</vt:lpwstr>
      </vt:variant>
      <vt:variant>
        <vt:lpwstr/>
      </vt:variant>
      <vt:variant>
        <vt:i4>8323199</vt:i4>
      </vt:variant>
      <vt:variant>
        <vt:i4>4032</vt:i4>
      </vt:variant>
      <vt:variant>
        <vt:i4>0</vt:i4>
      </vt:variant>
      <vt:variant>
        <vt:i4>5</vt:i4>
      </vt:variant>
      <vt:variant>
        <vt:lpwstr>https://ratings.leapfroggroup.org/measure/hospital/2025/pediatric-care</vt:lpwstr>
      </vt:variant>
      <vt:variant>
        <vt:lpwstr/>
      </vt:variant>
      <vt:variant>
        <vt:i4>6750258</vt:i4>
      </vt:variant>
      <vt:variant>
        <vt:i4>4029</vt:i4>
      </vt:variant>
      <vt:variant>
        <vt:i4>0</vt:i4>
      </vt:variant>
      <vt:variant>
        <vt:i4>5</vt:i4>
      </vt:variant>
      <vt:variant>
        <vt:lpwstr>http://www.leapfroggroup.org/survey-materials/survey-and-cpoe-materials</vt:lpwstr>
      </vt:variant>
      <vt:variant>
        <vt:lpwstr/>
      </vt:variant>
      <vt:variant>
        <vt:i4>5046347</vt:i4>
      </vt:variant>
      <vt:variant>
        <vt:i4>4026</vt:i4>
      </vt:variant>
      <vt:variant>
        <vt:i4>0</vt:i4>
      </vt:variant>
      <vt:variant>
        <vt:i4>5</vt:i4>
      </vt:variant>
      <vt:variant>
        <vt:lpwstr>https://www.ihi.org/resources/Pages/Tools/RCA2-Improving-Root-Cause-Analyses-and-Actions-to-Prevent-Harm.aspx</vt:lpwstr>
      </vt:variant>
      <vt:variant>
        <vt:lpwstr/>
      </vt:variant>
      <vt:variant>
        <vt:i4>458773</vt:i4>
      </vt:variant>
      <vt:variant>
        <vt:i4>4023</vt:i4>
      </vt:variant>
      <vt:variant>
        <vt:i4>0</vt:i4>
      </vt:variant>
      <vt:variant>
        <vt:i4>5</vt:i4>
      </vt:variant>
      <vt:variant>
        <vt:lpwstr>http://www.ahrq.gov/professionals/quality-patient-safety/patient-safety-resources/resources/candor/introduction.html</vt:lpwstr>
      </vt:variant>
      <vt:variant>
        <vt:lpwstr/>
      </vt:variant>
      <vt:variant>
        <vt:i4>2097191</vt:i4>
      </vt:variant>
      <vt:variant>
        <vt:i4>4020</vt:i4>
      </vt:variant>
      <vt:variant>
        <vt:i4>0</vt:i4>
      </vt:variant>
      <vt:variant>
        <vt:i4>5</vt:i4>
      </vt:variant>
      <vt:variant>
        <vt:lpwstr>https://journals.sagepub.com/doi/full/10.1177/2516043518813814</vt:lpwstr>
      </vt:variant>
      <vt:variant>
        <vt:lpwstr/>
      </vt:variant>
      <vt:variant>
        <vt:i4>1245218</vt:i4>
      </vt:variant>
      <vt:variant>
        <vt:i4>4017</vt:i4>
      </vt:variant>
      <vt:variant>
        <vt:i4>0</vt:i4>
      </vt:variant>
      <vt:variant>
        <vt:i4>5</vt:i4>
      </vt:variant>
      <vt:variant>
        <vt:lpwstr/>
      </vt:variant>
      <vt:variant>
        <vt:lpwstr>NHSN_HospDetailsPage</vt:lpwstr>
      </vt:variant>
      <vt:variant>
        <vt:i4>1966154</vt:i4>
      </vt:variant>
      <vt:variant>
        <vt:i4>4014</vt:i4>
      </vt:variant>
      <vt:variant>
        <vt:i4>0</vt:i4>
      </vt:variant>
      <vt:variant>
        <vt:i4>5</vt:i4>
      </vt:variant>
      <vt:variant>
        <vt:lpwstr>https://leapfroghelpdesk.zendesk.com/</vt:lpwstr>
      </vt:variant>
      <vt:variant>
        <vt:lpwstr/>
      </vt:variant>
      <vt:variant>
        <vt:i4>6881375</vt:i4>
      </vt:variant>
      <vt:variant>
        <vt:i4>4011</vt:i4>
      </vt:variant>
      <vt:variant>
        <vt:i4>0</vt:i4>
      </vt:variant>
      <vt:variant>
        <vt:i4>5</vt:i4>
      </vt:variant>
      <vt:variant>
        <vt:lpwstr/>
      </vt:variant>
      <vt:variant>
        <vt:lpwstr>NHSN_datapulldates</vt:lpwstr>
      </vt:variant>
      <vt:variant>
        <vt:i4>1179658</vt:i4>
      </vt:variant>
      <vt:variant>
        <vt:i4>4008</vt:i4>
      </vt:variant>
      <vt:variant>
        <vt:i4>0</vt:i4>
      </vt:variant>
      <vt:variant>
        <vt:i4>5</vt:i4>
      </vt:variant>
      <vt:variant>
        <vt:lpwstr>https://survey.leapfroggroup.org/login?destination=dashboard</vt:lpwstr>
      </vt:variant>
      <vt:variant>
        <vt:lpwstr/>
      </vt:variant>
      <vt:variant>
        <vt:i4>6881375</vt:i4>
      </vt:variant>
      <vt:variant>
        <vt:i4>4005</vt:i4>
      </vt:variant>
      <vt:variant>
        <vt:i4>0</vt:i4>
      </vt:variant>
      <vt:variant>
        <vt:i4>5</vt:i4>
      </vt:variant>
      <vt:variant>
        <vt:lpwstr/>
      </vt:variant>
      <vt:variant>
        <vt:lpwstr>NHSN_datapulldates</vt:lpwstr>
      </vt:variant>
      <vt:variant>
        <vt:i4>7929964</vt:i4>
      </vt:variant>
      <vt:variant>
        <vt:i4>4002</vt:i4>
      </vt:variant>
      <vt:variant>
        <vt:i4>0</vt:i4>
      </vt:variant>
      <vt:variant>
        <vt:i4>5</vt:i4>
      </vt:variant>
      <vt:variant>
        <vt:lpwstr>https://www.leapfroggroup.org/survey-materials/review-nhsn-instructions</vt:lpwstr>
      </vt:variant>
      <vt:variant>
        <vt:lpwstr/>
      </vt:variant>
      <vt:variant>
        <vt:i4>6881375</vt:i4>
      </vt:variant>
      <vt:variant>
        <vt:i4>3999</vt:i4>
      </vt:variant>
      <vt:variant>
        <vt:i4>0</vt:i4>
      </vt:variant>
      <vt:variant>
        <vt:i4>5</vt:i4>
      </vt:variant>
      <vt:variant>
        <vt:lpwstr/>
      </vt:variant>
      <vt:variant>
        <vt:lpwstr>NHSN_datapulldates</vt:lpwstr>
      </vt:variant>
      <vt:variant>
        <vt:i4>7929964</vt:i4>
      </vt:variant>
      <vt:variant>
        <vt:i4>3996</vt:i4>
      </vt:variant>
      <vt:variant>
        <vt:i4>0</vt:i4>
      </vt:variant>
      <vt:variant>
        <vt:i4>5</vt:i4>
      </vt:variant>
      <vt:variant>
        <vt:lpwstr>https://www.leapfroggroup.org/survey-materials/review-nhsn-instructions</vt:lpwstr>
      </vt:variant>
      <vt:variant>
        <vt:lpwstr/>
      </vt:variant>
      <vt:variant>
        <vt:i4>7929964</vt:i4>
      </vt:variant>
      <vt:variant>
        <vt:i4>3993</vt:i4>
      </vt:variant>
      <vt:variant>
        <vt:i4>0</vt:i4>
      </vt:variant>
      <vt:variant>
        <vt:i4>5</vt:i4>
      </vt:variant>
      <vt:variant>
        <vt:lpwstr>https://www.leapfroggroup.org/survey-materials/review-nhsn-instructions</vt:lpwstr>
      </vt:variant>
      <vt:variant>
        <vt:lpwstr/>
      </vt:variant>
      <vt:variant>
        <vt:i4>7929964</vt:i4>
      </vt:variant>
      <vt:variant>
        <vt:i4>3990</vt:i4>
      </vt:variant>
      <vt:variant>
        <vt:i4>0</vt:i4>
      </vt:variant>
      <vt:variant>
        <vt:i4>5</vt:i4>
      </vt:variant>
      <vt:variant>
        <vt:lpwstr>https://www.leapfroggroup.org/survey-materials/review-nhsn-instructions</vt:lpwstr>
      </vt:variant>
      <vt:variant>
        <vt:lpwstr/>
      </vt:variant>
      <vt:variant>
        <vt:i4>2359343</vt:i4>
      </vt:variant>
      <vt:variant>
        <vt:i4>3987</vt:i4>
      </vt:variant>
      <vt:variant>
        <vt:i4>0</vt:i4>
      </vt:variant>
      <vt:variant>
        <vt:i4>5</vt:i4>
      </vt:variant>
      <vt:variant>
        <vt:lpwstr>https://ratings.leapfroggroup.org/</vt:lpwstr>
      </vt:variant>
      <vt:variant>
        <vt:lpwstr/>
      </vt:variant>
      <vt:variant>
        <vt:i4>3538982</vt:i4>
      </vt:variant>
      <vt:variant>
        <vt:i4>3984</vt:i4>
      </vt:variant>
      <vt:variant>
        <vt:i4>0</vt:i4>
      </vt:variant>
      <vt:variant>
        <vt:i4>5</vt:i4>
      </vt:variant>
      <vt:variant>
        <vt:lpwstr>https://www.leapfroggroup.org/survey-materials/scoring-and-results</vt:lpwstr>
      </vt:variant>
      <vt:variant>
        <vt:lpwstr/>
      </vt:variant>
      <vt:variant>
        <vt:i4>7274534</vt:i4>
      </vt:variant>
      <vt:variant>
        <vt:i4>3981</vt:i4>
      </vt:variant>
      <vt:variant>
        <vt:i4>0</vt:i4>
      </vt:variant>
      <vt:variant>
        <vt:i4>5</vt:i4>
      </vt:variant>
      <vt:variant>
        <vt:lpwstr>https://www.federalregister.gov/d/2025-06271/page-18303</vt:lpwstr>
      </vt:variant>
      <vt:variant>
        <vt:lpwstr/>
      </vt:variant>
      <vt:variant>
        <vt:i4>7929964</vt:i4>
      </vt:variant>
      <vt:variant>
        <vt:i4>3978</vt:i4>
      </vt:variant>
      <vt:variant>
        <vt:i4>0</vt:i4>
      </vt:variant>
      <vt:variant>
        <vt:i4>5</vt:i4>
      </vt:variant>
      <vt:variant>
        <vt:lpwstr>https://www.leapfroggroup.org/survey-materials/review-nhsn-instructions</vt:lpwstr>
      </vt:variant>
      <vt:variant>
        <vt:lpwstr/>
      </vt:variant>
      <vt:variant>
        <vt:i4>4456513</vt:i4>
      </vt:variant>
      <vt:variant>
        <vt:i4>3975</vt:i4>
      </vt:variant>
      <vt:variant>
        <vt:i4>0</vt:i4>
      </vt:variant>
      <vt:variant>
        <vt:i4>5</vt:i4>
      </vt:variant>
      <vt:variant>
        <vt:lpwstr/>
      </vt:variant>
      <vt:variant>
        <vt:lpwstr>_Healthcare-Associated_Infections_Me_1</vt:lpwstr>
      </vt:variant>
      <vt:variant>
        <vt:i4>7929964</vt:i4>
      </vt:variant>
      <vt:variant>
        <vt:i4>3972</vt:i4>
      </vt:variant>
      <vt:variant>
        <vt:i4>0</vt:i4>
      </vt:variant>
      <vt:variant>
        <vt:i4>5</vt:i4>
      </vt:variant>
      <vt:variant>
        <vt:lpwstr>https://www.leapfroggroup.org/survey-materials/review-nhsn-instructions</vt:lpwstr>
      </vt:variant>
      <vt:variant>
        <vt:lpwstr/>
      </vt:variant>
      <vt:variant>
        <vt:i4>7077967</vt:i4>
      </vt:variant>
      <vt:variant>
        <vt:i4>3969</vt:i4>
      </vt:variant>
      <vt:variant>
        <vt:i4>0</vt:i4>
      </vt:variant>
      <vt:variant>
        <vt:i4>5</vt:i4>
      </vt:variant>
      <vt:variant>
        <vt:lpwstr/>
      </vt:variant>
      <vt:variant>
        <vt:lpwstr>Endnote36_NeverEvent</vt:lpwstr>
      </vt:variant>
      <vt:variant>
        <vt:i4>7077967</vt:i4>
      </vt:variant>
      <vt:variant>
        <vt:i4>3963</vt:i4>
      </vt:variant>
      <vt:variant>
        <vt:i4>0</vt:i4>
      </vt:variant>
      <vt:variant>
        <vt:i4>5</vt:i4>
      </vt:variant>
      <vt:variant>
        <vt:lpwstr/>
      </vt:variant>
      <vt:variant>
        <vt:lpwstr>Endnote36_NeverEvent</vt:lpwstr>
      </vt:variant>
      <vt:variant>
        <vt:i4>8060992</vt:i4>
      </vt:variant>
      <vt:variant>
        <vt:i4>3960</vt:i4>
      </vt:variant>
      <vt:variant>
        <vt:i4>0</vt:i4>
      </vt:variant>
      <vt:variant>
        <vt:i4>5</vt:i4>
      </vt:variant>
      <vt:variant>
        <vt:lpwstr/>
      </vt:variant>
      <vt:variant>
        <vt:lpwstr>Endnote39_RCA</vt:lpwstr>
      </vt:variant>
      <vt:variant>
        <vt:i4>8060992</vt:i4>
      </vt:variant>
      <vt:variant>
        <vt:i4>3957</vt:i4>
      </vt:variant>
      <vt:variant>
        <vt:i4>0</vt:i4>
      </vt:variant>
      <vt:variant>
        <vt:i4>5</vt:i4>
      </vt:variant>
      <vt:variant>
        <vt:lpwstr/>
      </vt:variant>
      <vt:variant>
        <vt:lpwstr>Endnote39_RCA</vt:lpwstr>
      </vt:variant>
      <vt:variant>
        <vt:i4>7077967</vt:i4>
      </vt:variant>
      <vt:variant>
        <vt:i4>3951</vt:i4>
      </vt:variant>
      <vt:variant>
        <vt:i4>0</vt:i4>
      </vt:variant>
      <vt:variant>
        <vt:i4>5</vt:i4>
      </vt:variant>
      <vt:variant>
        <vt:lpwstr/>
      </vt:variant>
      <vt:variant>
        <vt:lpwstr>Endnote36_NeverEvent</vt:lpwstr>
      </vt:variant>
      <vt:variant>
        <vt:i4>8060992</vt:i4>
      </vt:variant>
      <vt:variant>
        <vt:i4>3948</vt:i4>
      </vt:variant>
      <vt:variant>
        <vt:i4>0</vt:i4>
      </vt:variant>
      <vt:variant>
        <vt:i4>5</vt:i4>
      </vt:variant>
      <vt:variant>
        <vt:lpwstr/>
      </vt:variant>
      <vt:variant>
        <vt:lpwstr>Endnote39_RCA</vt:lpwstr>
      </vt:variant>
      <vt:variant>
        <vt:i4>7077967</vt:i4>
      </vt:variant>
      <vt:variant>
        <vt:i4>3942</vt:i4>
      </vt:variant>
      <vt:variant>
        <vt:i4>0</vt:i4>
      </vt:variant>
      <vt:variant>
        <vt:i4>5</vt:i4>
      </vt:variant>
      <vt:variant>
        <vt:lpwstr/>
      </vt:variant>
      <vt:variant>
        <vt:lpwstr>Endnote36_NeverEvent</vt:lpwstr>
      </vt:variant>
      <vt:variant>
        <vt:i4>7798870</vt:i4>
      </vt:variant>
      <vt:variant>
        <vt:i4>3939</vt:i4>
      </vt:variant>
      <vt:variant>
        <vt:i4>0</vt:i4>
      </vt:variant>
      <vt:variant>
        <vt:i4>5</vt:i4>
      </vt:variant>
      <vt:variant>
        <vt:lpwstr/>
      </vt:variant>
      <vt:variant>
        <vt:lpwstr>Endnote38_ExternalAgency</vt:lpwstr>
      </vt:variant>
      <vt:variant>
        <vt:i4>7077967</vt:i4>
      </vt:variant>
      <vt:variant>
        <vt:i4>3933</vt:i4>
      </vt:variant>
      <vt:variant>
        <vt:i4>0</vt:i4>
      </vt:variant>
      <vt:variant>
        <vt:i4>5</vt:i4>
      </vt:variant>
      <vt:variant>
        <vt:lpwstr/>
      </vt:variant>
      <vt:variant>
        <vt:lpwstr>Endnote36_NeverEvent</vt:lpwstr>
      </vt:variant>
      <vt:variant>
        <vt:i4>6488157</vt:i4>
      </vt:variant>
      <vt:variant>
        <vt:i4>3930</vt:i4>
      </vt:variant>
      <vt:variant>
        <vt:i4>0</vt:i4>
      </vt:variant>
      <vt:variant>
        <vt:i4>5</vt:i4>
      </vt:variant>
      <vt:variant>
        <vt:lpwstr/>
      </vt:variant>
      <vt:variant>
        <vt:lpwstr>Endnote37_Apology</vt:lpwstr>
      </vt:variant>
      <vt:variant>
        <vt:i4>7077967</vt:i4>
      </vt:variant>
      <vt:variant>
        <vt:i4>3927</vt:i4>
      </vt:variant>
      <vt:variant>
        <vt:i4>0</vt:i4>
      </vt:variant>
      <vt:variant>
        <vt:i4>5</vt:i4>
      </vt:variant>
      <vt:variant>
        <vt:lpwstr/>
      </vt:variant>
      <vt:variant>
        <vt:lpwstr>Endnote36_NeverEvent</vt:lpwstr>
      </vt:variant>
      <vt:variant>
        <vt:i4>5505092</vt:i4>
      </vt:variant>
      <vt:variant>
        <vt:i4>3924</vt:i4>
      </vt:variant>
      <vt:variant>
        <vt:i4>0</vt:i4>
      </vt:variant>
      <vt:variant>
        <vt:i4>5</vt:i4>
      </vt:variant>
      <vt:variant>
        <vt:lpwstr>https://digitalassets.jointcommission.org/api/public/content/4534bbaaee4f4bd280c2054765f37f4b?v=a60f8f9a</vt:lpwstr>
      </vt:variant>
      <vt:variant>
        <vt:lpwstr/>
      </vt:variant>
      <vt:variant>
        <vt:i4>7798907</vt:i4>
      </vt:variant>
      <vt:variant>
        <vt:i4>3921</vt:i4>
      </vt:variant>
      <vt:variant>
        <vt:i4>0</vt:i4>
      </vt:variant>
      <vt:variant>
        <vt:i4>5</vt:i4>
      </vt:variant>
      <vt:variant>
        <vt:lpwstr>http://leapfroggroup.org/survey-materials/multi-campus-reporting-policy</vt:lpwstr>
      </vt:variant>
      <vt:variant>
        <vt:lpwstr/>
      </vt:variant>
      <vt:variant>
        <vt:i4>5046365</vt:i4>
      </vt:variant>
      <vt:variant>
        <vt:i4>3918</vt:i4>
      </vt:variant>
      <vt:variant>
        <vt:i4>0</vt:i4>
      </vt:variant>
      <vt:variant>
        <vt:i4>5</vt:i4>
      </vt:variant>
      <vt:variant>
        <vt:lpwstr>http://www.leapfroggroup.org/survey-materials/scoring-and-results</vt:lpwstr>
      </vt:variant>
      <vt:variant>
        <vt:lpwstr/>
      </vt:variant>
      <vt:variant>
        <vt:i4>7929964</vt:i4>
      </vt:variant>
      <vt:variant>
        <vt:i4>3915</vt:i4>
      </vt:variant>
      <vt:variant>
        <vt:i4>0</vt:i4>
      </vt:variant>
      <vt:variant>
        <vt:i4>5</vt:i4>
      </vt:variant>
      <vt:variant>
        <vt:lpwstr>https://www.leapfroggroup.org/survey-materials/review-nhsn-instructions</vt:lpwstr>
      </vt:variant>
      <vt:variant>
        <vt:lpwstr/>
      </vt:variant>
      <vt:variant>
        <vt:i4>2883702</vt:i4>
      </vt:variant>
      <vt:variant>
        <vt:i4>3912</vt:i4>
      </vt:variant>
      <vt:variant>
        <vt:i4>0</vt:i4>
      </vt:variant>
      <vt:variant>
        <vt:i4>5</vt:i4>
      </vt:variant>
      <vt:variant>
        <vt:lpwstr>https://ratings.leapfroggroup.org/measure/hospital/2025/responding-never-events</vt:lpwstr>
      </vt:variant>
      <vt:variant>
        <vt:lpwstr/>
      </vt:variant>
      <vt:variant>
        <vt:i4>8323133</vt:i4>
      </vt:variant>
      <vt:variant>
        <vt:i4>3909</vt:i4>
      </vt:variant>
      <vt:variant>
        <vt:i4>0</vt:i4>
      </vt:variant>
      <vt:variant>
        <vt:i4>5</vt:i4>
      </vt:variant>
      <vt:variant>
        <vt:lpwstr>https://www.leapfroggroup.org/patient-and-family-advisory-council-pfac-toolkit-exploring-diagnostic-quality</vt:lpwstr>
      </vt:variant>
      <vt:variant>
        <vt:lpwstr/>
      </vt:variant>
      <vt:variant>
        <vt:i4>5832729</vt:i4>
      </vt:variant>
      <vt:variant>
        <vt:i4>3906</vt:i4>
      </vt:variant>
      <vt:variant>
        <vt:i4>0</vt:i4>
      </vt:variant>
      <vt:variant>
        <vt:i4>5</vt:i4>
      </vt:variant>
      <vt:variant>
        <vt:lpwstr>https://www.ahrq.gov/patient-safety/settings/measure-dx.html</vt:lpwstr>
      </vt:variant>
      <vt:variant>
        <vt:lpwstr/>
      </vt:variant>
      <vt:variant>
        <vt:i4>1114139</vt:i4>
      </vt:variant>
      <vt:variant>
        <vt:i4>3903</vt:i4>
      </vt:variant>
      <vt:variant>
        <vt:i4>0</vt:i4>
      </vt:variant>
      <vt:variant>
        <vt:i4>5</vt:i4>
      </vt:variant>
      <vt:variant>
        <vt:lpwstr>https://www.leapfroggroup.org/sites/default/files/Files/Root Cause Analysis of Cases Involving Diagnosis A Handbook for Healthcare Organizations.pdf</vt:lpwstr>
      </vt:variant>
      <vt:variant>
        <vt:lpwstr/>
      </vt:variant>
      <vt:variant>
        <vt:i4>3538982</vt:i4>
      </vt:variant>
      <vt:variant>
        <vt:i4>3900</vt:i4>
      </vt:variant>
      <vt:variant>
        <vt:i4>0</vt:i4>
      </vt:variant>
      <vt:variant>
        <vt:i4>5</vt:i4>
      </vt:variant>
      <vt:variant>
        <vt:lpwstr>https://www.leapfroggroup.org/survey-materials/scoring-and-results</vt:lpwstr>
      </vt:variant>
      <vt:variant>
        <vt:lpwstr/>
      </vt:variant>
      <vt:variant>
        <vt:i4>1835052</vt:i4>
      </vt:variant>
      <vt:variant>
        <vt:i4>3897</vt:i4>
      </vt:variant>
      <vt:variant>
        <vt:i4>0</vt:i4>
      </vt:variant>
      <vt:variant>
        <vt:i4>5</vt:i4>
      </vt:variant>
      <vt:variant>
        <vt:lpwstr/>
      </vt:variant>
      <vt:variant>
        <vt:lpwstr>_Hand_Hygiene_Measure</vt:lpwstr>
      </vt:variant>
      <vt:variant>
        <vt:i4>1835052</vt:i4>
      </vt:variant>
      <vt:variant>
        <vt:i4>3894</vt:i4>
      </vt:variant>
      <vt:variant>
        <vt:i4>0</vt:i4>
      </vt:variant>
      <vt:variant>
        <vt:i4>5</vt:i4>
      </vt:variant>
      <vt:variant>
        <vt:lpwstr/>
      </vt:variant>
      <vt:variant>
        <vt:lpwstr>_Hand_Hygiene_Measure</vt:lpwstr>
      </vt:variant>
      <vt:variant>
        <vt:i4>2424929</vt:i4>
      </vt:variant>
      <vt:variant>
        <vt:i4>3891</vt:i4>
      </vt:variant>
      <vt:variant>
        <vt:i4>0</vt:i4>
      </vt:variant>
      <vt:variant>
        <vt:i4>5</vt:i4>
      </vt:variant>
      <vt:variant>
        <vt:lpwstr>https://ratings.leapfroggroup.org/measure/hospital/2025/handwashing</vt:lpwstr>
      </vt:variant>
      <vt:variant>
        <vt:lpwstr/>
      </vt:variant>
      <vt:variant>
        <vt:i4>2031645</vt:i4>
      </vt:variant>
      <vt:variant>
        <vt:i4>3888</vt:i4>
      </vt:variant>
      <vt:variant>
        <vt:i4>0</vt:i4>
      </vt:variant>
      <vt:variant>
        <vt:i4>5</vt:i4>
      </vt:variant>
      <vt:variant>
        <vt:lpwstr>https://www.leapfroggroup.org/about/expert-panelists</vt:lpwstr>
      </vt:variant>
      <vt:variant>
        <vt:lpwstr/>
      </vt:variant>
      <vt:variant>
        <vt:i4>7995488</vt:i4>
      </vt:variant>
      <vt:variant>
        <vt:i4>3885</vt:i4>
      </vt:variant>
      <vt:variant>
        <vt:i4>0</vt:i4>
      </vt:variant>
      <vt:variant>
        <vt:i4>5</vt:i4>
      </vt:variant>
      <vt:variant>
        <vt:lpwstr/>
      </vt:variant>
      <vt:variant>
        <vt:lpwstr>HHtouchpatientsendnote</vt:lpwstr>
      </vt:variant>
      <vt:variant>
        <vt:i4>589827</vt:i4>
      </vt:variant>
      <vt:variant>
        <vt:i4>3882</vt:i4>
      </vt:variant>
      <vt:variant>
        <vt:i4>0</vt:i4>
      </vt:variant>
      <vt:variant>
        <vt:i4>5</vt:i4>
      </vt:variant>
      <vt:variant>
        <vt:lpwstr/>
      </vt:variant>
      <vt:variant>
        <vt:lpwstr>profwapproptrainandskill</vt:lpwstr>
      </vt:variant>
      <vt:variant>
        <vt:i4>65648</vt:i4>
      </vt:variant>
      <vt:variant>
        <vt:i4>3879</vt:i4>
      </vt:variant>
      <vt:variant>
        <vt:i4>0</vt:i4>
      </vt:variant>
      <vt:variant>
        <vt:i4>5</vt:i4>
      </vt:variant>
      <vt:variant>
        <vt:lpwstr>https://www.ahrq.gov/sites/default/files/wysiwyg/professionals/quality-patient-safety/patientsafetyculture/hospital/2016/2016_hospitalsops_report_pt1.pdf</vt:lpwstr>
      </vt:variant>
      <vt:variant>
        <vt:lpwstr/>
      </vt:variant>
      <vt:variant>
        <vt:i4>6750258</vt:i4>
      </vt:variant>
      <vt:variant>
        <vt:i4>3876</vt:i4>
      </vt:variant>
      <vt:variant>
        <vt:i4>0</vt:i4>
      </vt:variant>
      <vt:variant>
        <vt:i4>5</vt:i4>
      </vt:variant>
      <vt:variant>
        <vt:lpwstr>http://www.leapfroggroup.org/survey-materials/survey-and-cpoe-materials</vt:lpwstr>
      </vt:variant>
      <vt:variant>
        <vt:lpwstr/>
      </vt:variant>
      <vt:variant>
        <vt:i4>6488166</vt:i4>
      </vt:variant>
      <vt:variant>
        <vt:i4>3873</vt:i4>
      </vt:variant>
      <vt:variant>
        <vt:i4>0</vt:i4>
      </vt:variant>
      <vt:variant>
        <vt:i4>5</vt:i4>
      </vt:variant>
      <vt:variant>
        <vt:lpwstr>https://www.ache.org/about-ache/our-story/our-commitments/leading-for-safety/safer-together</vt:lpwstr>
      </vt:variant>
      <vt:variant>
        <vt:lpwstr/>
      </vt:variant>
      <vt:variant>
        <vt:i4>7733286</vt:i4>
      </vt:variant>
      <vt:variant>
        <vt:i4>3870</vt:i4>
      </vt:variant>
      <vt:variant>
        <vt:i4>0</vt:i4>
      </vt:variant>
      <vt:variant>
        <vt:i4>5</vt:i4>
      </vt:variant>
      <vt:variant>
        <vt:lpwstr>https://www.ache.org/about-ache/our-story/our-commitments/leading-for-safety/blueprint</vt:lpwstr>
      </vt:variant>
      <vt:variant>
        <vt:lpwstr>download</vt:lpwstr>
      </vt:variant>
      <vt:variant>
        <vt:i4>4390912</vt:i4>
      </vt:variant>
      <vt:variant>
        <vt:i4>3867</vt:i4>
      </vt:variant>
      <vt:variant>
        <vt:i4>0</vt:i4>
      </vt:variant>
      <vt:variant>
        <vt:i4>5</vt:i4>
      </vt:variant>
      <vt:variant>
        <vt:lpwstr>https://www.ache.org/about-ache/our-story/our-commitments/policy-statements/healthcare-executives-role-in-ensuring-quality-and-safety</vt:lpwstr>
      </vt:variant>
      <vt:variant>
        <vt:lpwstr/>
      </vt:variant>
      <vt:variant>
        <vt:i4>6750258</vt:i4>
      </vt:variant>
      <vt:variant>
        <vt:i4>3864</vt:i4>
      </vt:variant>
      <vt:variant>
        <vt:i4>0</vt:i4>
      </vt:variant>
      <vt:variant>
        <vt:i4>5</vt:i4>
      </vt:variant>
      <vt:variant>
        <vt:lpwstr>http://www.leapfroggroup.org/survey-materials/survey-and-cpoe-materials</vt:lpwstr>
      </vt:variant>
      <vt:variant>
        <vt:lpwstr/>
      </vt:variant>
      <vt:variant>
        <vt:i4>2162738</vt:i4>
      </vt:variant>
      <vt:variant>
        <vt:i4>3861</vt:i4>
      </vt:variant>
      <vt:variant>
        <vt:i4>0</vt:i4>
      </vt:variant>
      <vt:variant>
        <vt:i4>5</vt:i4>
      </vt:variant>
      <vt:variant>
        <vt:lpwstr>https://www.ahrq.gov/teamstepps/index.html</vt:lpwstr>
      </vt:variant>
      <vt:variant>
        <vt:lpwstr/>
      </vt:variant>
      <vt:variant>
        <vt:i4>5832716</vt:i4>
      </vt:variant>
      <vt:variant>
        <vt:i4>3858</vt:i4>
      </vt:variant>
      <vt:variant>
        <vt:i4>0</vt:i4>
      </vt:variant>
      <vt:variant>
        <vt:i4>5</vt:i4>
      </vt:variant>
      <vt:variant>
        <vt:lpwstr>https://aws.state.ak.us/OnlinePublicNotices/Notices/Attachment.aspx?id=127560</vt:lpwstr>
      </vt:variant>
      <vt:variant>
        <vt:lpwstr/>
      </vt:variant>
      <vt:variant>
        <vt:i4>5505092</vt:i4>
      </vt:variant>
      <vt:variant>
        <vt:i4>3855</vt:i4>
      </vt:variant>
      <vt:variant>
        <vt:i4>0</vt:i4>
      </vt:variant>
      <vt:variant>
        <vt:i4>5</vt:i4>
      </vt:variant>
      <vt:variant>
        <vt:lpwstr>https://digitalassets.jointcommission.org/api/public/content/4534bbaaee4f4bd280c2054765f37f4b?v=a60f8f9a</vt:lpwstr>
      </vt:variant>
      <vt:variant>
        <vt:lpwstr/>
      </vt:variant>
      <vt:variant>
        <vt:i4>4194390</vt:i4>
      </vt:variant>
      <vt:variant>
        <vt:i4>3852</vt:i4>
      </vt:variant>
      <vt:variant>
        <vt:i4>0</vt:i4>
      </vt:variant>
      <vt:variant>
        <vt:i4>5</vt:i4>
      </vt:variant>
      <vt:variant>
        <vt:lpwstr>https://www.ahrq.gov/patient-safety/patients-families/engagingfamilies/index.html</vt:lpwstr>
      </vt:variant>
      <vt:variant>
        <vt:lpwstr/>
      </vt:variant>
      <vt:variant>
        <vt:i4>3932286</vt:i4>
      </vt:variant>
      <vt:variant>
        <vt:i4>3849</vt:i4>
      </vt:variant>
      <vt:variant>
        <vt:i4>0</vt:i4>
      </vt:variant>
      <vt:variant>
        <vt:i4>5</vt:i4>
      </vt:variant>
      <vt:variant>
        <vt:lpwstr>https://nam02.safelinks.protection.outlook.com/?url=http%3A%2F%2Fwww.leapfroggroup.org%2Fsurvey-materials%2Fsurvey-and-cpoe-materials&amp;data=05%7C02%7CLKaufman%40leapfrog-group.org%7C60396fa6210e4710503608de0da04068%7C95c34b8315eb4d9a97a7f29881f4a800%7C0%7C0%7C638963179102293029%7CUnknown%7CTWFpbGZsb3d8eyJFbXB0eU1hcGkiOnRydWUsIlYiOiIwLjAuMDAwMCIsIlAiOiJXaW4zMiIsIkFOIjoiTWFpbCIsIldUIjoyfQ%3D%3D%7C0%7C%7C%7C&amp;sdata=5qo4tySVoPkDzLUmshP9tttuGBYr6e4A1qgUkBlP77Y%3D&amp;reserved=0</vt:lpwstr>
      </vt:variant>
      <vt:variant>
        <vt:lpwstr/>
      </vt:variant>
      <vt:variant>
        <vt:i4>5701759</vt:i4>
      </vt:variant>
      <vt:variant>
        <vt:i4>3846</vt:i4>
      </vt:variant>
      <vt:variant>
        <vt:i4>0</vt:i4>
      </vt:variant>
      <vt:variant>
        <vt:i4>5</vt:i4>
      </vt:variant>
      <vt:variant>
        <vt:lpwstr/>
      </vt:variant>
      <vt:variant>
        <vt:lpwstr>emergencydepartment_endnote</vt:lpwstr>
      </vt:variant>
      <vt:variant>
        <vt:i4>5832716</vt:i4>
      </vt:variant>
      <vt:variant>
        <vt:i4>3843</vt:i4>
      </vt:variant>
      <vt:variant>
        <vt:i4>0</vt:i4>
      </vt:variant>
      <vt:variant>
        <vt:i4>5</vt:i4>
      </vt:variant>
      <vt:variant>
        <vt:lpwstr>https://www.leapfroggroup.org/survey-materials/survey-and-cpoe-materials</vt:lpwstr>
      </vt:variant>
      <vt:variant>
        <vt:lpwstr/>
      </vt:variant>
      <vt:variant>
        <vt:i4>7798907</vt:i4>
      </vt:variant>
      <vt:variant>
        <vt:i4>3840</vt:i4>
      </vt:variant>
      <vt:variant>
        <vt:i4>0</vt:i4>
      </vt:variant>
      <vt:variant>
        <vt:i4>5</vt:i4>
      </vt:variant>
      <vt:variant>
        <vt:lpwstr>http://leapfroggroup.org/survey-materials/multi-campus-reporting-policy</vt:lpwstr>
      </vt:variant>
      <vt:variant>
        <vt:lpwstr/>
      </vt:variant>
      <vt:variant>
        <vt:i4>7864405</vt:i4>
      </vt:variant>
      <vt:variant>
        <vt:i4>3837</vt:i4>
      </vt:variant>
      <vt:variant>
        <vt:i4>0</vt:i4>
      </vt:variant>
      <vt:variant>
        <vt:i4>5</vt:i4>
      </vt:variant>
      <vt:variant>
        <vt:lpwstr/>
      </vt:variant>
      <vt:variant>
        <vt:lpwstr>_Hand_Hygiene_1</vt:lpwstr>
      </vt:variant>
      <vt:variant>
        <vt:i4>4587613</vt:i4>
      </vt:variant>
      <vt:variant>
        <vt:i4>3834</vt:i4>
      </vt:variant>
      <vt:variant>
        <vt:i4>0</vt:i4>
      </vt:variant>
      <vt:variant>
        <vt:i4>5</vt:i4>
      </vt:variant>
      <vt:variant>
        <vt:lpwstr>https://www.hha.org.au/local-implementation/promotional-materials/video-clips</vt:lpwstr>
      </vt:variant>
      <vt:variant>
        <vt:lpwstr/>
      </vt:variant>
      <vt:variant>
        <vt:i4>1376260</vt:i4>
      </vt:variant>
      <vt:variant>
        <vt:i4>3831</vt:i4>
      </vt:variant>
      <vt:variant>
        <vt:i4>0</vt:i4>
      </vt:variant>
      <vt:variant>
        <vt:i4>5</vt:i4>
      </vt:variant>
      <vt:variant>
        <vt:lpwstr>https://www.who.int/teams/integrated-health-services/infection-prevention-control/hand-hygiene/training-tools</vt:lpwstr>
      </vt:variant>
      <vt:variant>
        <vt:lpwstr/>
      </vt:variant>
      <vt:variant>
        <vt:i4>7667816</vt:i4>
      </vt:variant>
      <vt:variant>
        <vt:i4>3828</vt:i4>
      </vt:variant>
      <vt:variant>
        <vt:i4>0</vt:i4>
      </vt:variant>
      <vt:variant>
        <vt:i4>5</vt:i4>
      </vt:variant>
      <vt:variant>
        <vt:lpwstr>https://www.youtube.com/watch?v=XZKXMw29kFU</vt:lpwstr>
      </vt:variant>
      <vt:variant>
        <vt:lpwstr/>
      </vt:variant>
      <vt:variant>
        <vt:i4>7995488</vt:i4>
      </vt:variant>
      <vt:variant>
        <vt:i4>3822</vt:i4>
      </vt:variant>
      <vt:variant>
        <vt:i4>0</vt:i4>
      </vt:variant>
      <vt:variant>
        <vt:i4>5</vt:i4>
      </vt:variant>
      <vt:variant>
        <vt:lpwstr/>
      </vt:variant>
      <vt:variant>
        <vt:lpwstr>HHtouchpatientsendnote</vt:lpwstr>
      </vt:variant>
      <vt:variant>
        <vt:i4>7995488</vt:i4>
      </vt:variant>
      <vt:variant>
        <vt:i4>3816</vt:i4>
      </vt:variant>
      <vt:variant>
        <vt:i4>0</vt:i4>
      </vt:variant>
      <vt:variant>
        <vt:i4>5</vt:i4>
      </vt:variant>
      <vt:variant>
        <vt:lpwstr/>
      </vt:variant>
      <vt:variant>
        <vt:lpwstr>HHtouchpatientsendnote</vt:lpwstr>
      </vt:variant>
      <vt:variant>
        <vt:i4>7995488</vt:i4>
      </vt:variant>
      <vt:variant>
        <vt:i4>3810</vt:i4>
      </vt:variant>
      <vt:variant>
        <vt:i4>0</vt:i4>
      </vt:variant>
      <vt:variant>
        <vt:i4>5</vt:i4>
      </vt:variant>
      <vt:variant>
        <vt:lpwstr/>
      </vt:variant>
      <vt:variant>
        <vt:lpwstr>HHtouchpatientsendnote</vt:lpwstr>
      </vt:variant>
      <vt:variant>
        <vt:i4>7995488</vt:i4>
      </vt:variant>
      <vt:variant>
        <vt:i4>3804</vt:i4>
      </vt:variant>
      <vt:variant>
        <vt:i4>0</vt:i4>
      </vt:variant>
      <vt:variant>
        <vt:i4>5</vt:i4>
      </vt:variant>
      <vt:variant>
        <vt:lpwstr/>
      </vt:variant>
      <vt:variant>
        <vt:lpwstr>HHtouchpatientsendnote</vt:lpwstr>
      </vt:variant>
      <vt:variant>
        <vt:i4>7995488</vt:i4>
      </vt:variant>
      <vt:variant>
        <vt:i4>3798</vt:i4>
      </vt:variant>
      <vt:variant>
        <vt:i4>0</vt:i4>
      </vt:variant>
      <vt:variant>
        <vt:i4>5</vt:i4>
      </vt:variant>
      <vt:variant>
        <vt:lpwstr/>
      </vt:variant>
      <vt:variant>
        <vt:lpwstr>HHtouchpatientsendnote</vt:lpwstr>
      </vt:variant>
      <vt:variant>
        <vt:i4>7995488</vt:i4>
      </vt:variant>
      <vt:variant>
        <vt:i4>3792</vt:i4>
      </vt:variant>
      <vt:variant>
        <vt:i4>0</vt:i4>
      </vt:variant>
      <vt:variant>
        <vt:i4>5</vt:i4>
      </vt:variant>
      <vt:variant>
        <vt:lpwstr/>
      </vt:variant>
      <vt:variant>
        <vt:lpwstr>HHtouchpatientsendnote</vt:lpwstr>
      </vt:variant>
      <vt:variant>
        <vt:i4>7995488</vt:i4>
      </vt:variant>
      <vt:variant>
        <vt:i4>3786</vt:i4>
      </vt:variant>
      <vt:variant>
        <vt:i4>0</vt:i4>
      </vt:variant>
      <vt:variant>
        <vt:i4>5</vt:i4>
      </vt:variant>
      <vt:variant>
        <vt:lpwstr/>
      </vt:variant>
      <vt:variant>
        <vt:lpwstr>HHtouchpatientsendnote</vt:lpwstr>
      </vt:variant>
      <vt:variant>
        <vt:i4>7995488</vt:i4>
      </vt:variant>
      <vt:variant>
        <vt:i4>3780</vt:i4>
      </vt:variant>
      <vt:variant>
        <vt:i4>0</vt:i4>
      </vt:variant>
      <vt:variant>
        <vt:i4>5</vt:i4>
      </vt:variant>
      <vt:variant>
        <vt:lpwstr/>
      </vt:variant>
      <vt:variant>
        <vt:lpwstr>HHtouchpatientsendnote</vt:lpwstr>
      </vt:variant>
      <vt:variant>
        <vt:i4>5701759</vt:i4>
      </vt:variant>
      <vt:variant>
        <vt:i4>3777</vt:i4>
      </vt:variant>
      <vt:variant>
        <vt:i4>0</vt:i4>
      </vt:variant>
      <vt:variant>
        <vt:i4>5</vt:i4>
      </vt:variant>
      <vt:variant>
        <vt:lpwstr/>
      </vt:variant>
      <vt:variant>
        <vt:lpwstr>emergencydepartment_endnote</vt:lpwstr>
      </vt:variant>
      <vt:variant>
        <vt:i4>2031636</vt:i4>
      </vt:variant>
      <vt:variant>
        <vt:i4>3774</vt:i4>
      </vt:variant>
      <vt:variant>
        <vt:i4>0</vt:i4>
      </vt:variant>
      <vt:variant>
        <vt:i4>5</vt:i4>
      </vt:variant>
      <vt:variant>
        <vt:lpwstr/>
      </vt:variant>
      <vt:variant>
        <vt:lpwstr>pacusendnote</vt:lpwstr>
      </vt:variant>
      <vt:variant>
        <vt:i4>7340136</vt:i4>
      </vt:variant>
      <vt:variant>
        <vt:i4>3771</vt:i4>
      </vt:variant>
      <vt:variant>
        <vt:i4>0</vt:i4>
      </vt:variant>
      <vt:variant>
        <vt:i4>5</vt:i4>
      </vt:variant>
      <vt:variant>
        <vt:lpwstr/>
      </vt:variant>
      <vt:variant>
        <vt:lpwstr>neonatalICU</vt:lpwstr>
      </vt:variant>
      <vt:variant>
        <vt:i4>196616</vt:i4>
      </vt:variant>
      <vt:variant>
        <vt:i4>3768</vt:i4>
      </vt:variant>
      <vt:variant>
        <vt:i4>0</vt:i4>
      </vt:variant>
      <vt:variant>
        <vt:i4>5</vt:i4>
      </vt:variant>
      <vt:variant>
        <vt:lpwstr/>
      </vt:variant>
      <vt:variant>
        <vt:lpwstr>generalmedicalsurgicalandneuroicu</vt:lpwstr>
      </vt:variant>
      <vt:variant>
        <vt:i4>65538</vt:i4>
      </vt:variant>
      <vt:variant>
        <vt:i4>3765</vt:i4>
      </vt:variant>
      <vt:variant>
        <vt:i4>0</vt:i4>
      </vt:variant>
      <vt:variant>
        <vt:i4>5</vt:i4>
      </vt:variant>
      <vt:variant>
        <vt:lpwstr/>
      </vt:variant>
      <vt:variant>
        <vt:lpwstr>LaborandDeliveryUnits</vt:lpwstr>
      </vt:variant>
      <vt:variant>
        <vt:i4>1310795</vt:i4>
      </vt:variant>
      <vt:variant>
        <vt:i4>3762</vt:i4>
      </vt:variant>
      <vt:variant>
        <vt:i4>0</vt:i4>
      </vt:variant>
      <vt:variant>
        <vt:i4>5</vt:i4>
      </vt:variant>
      <vt:variant>
        <vt:lpwstr/>
      </vt:variant>
      <vt:variant>
        <vt:lpwstr>stepdown_progressiveunits_endnote20</vt:lpwstr>
      </vt:variant>
      <vt:variant>
        <vt:i4>1900562</vt:i4>
      </vt:variant>
      <vt:variant>
        <vt:i4>3756</vt:i4>
      </vt:variant>
      <vt:variant>
        <vt:i4>0</vt:i4>
      </vt:variant>
      <vt:variant>
        <vt:i4>5</vt:i4>
      </vt:variant>
      <vt:variant>
        <vt:lpwstr/>
      </vt:variant>
      <vt:variant>
        <vt:lpwstr>MedicalandorSurgicalUnits</vt:lpwstr>
      </vt:variant>
      <vt:variant>
        <vt:i4>5832716</vt:i4>
      </vt:variant>
      <vt:variant>
        <vt:i4>3753</vt:i4>
      </vt:variant>
      <vt:variant>
        <vt:i4>0</vt:i4>
      </vt:variant>
      <vt:variant>
        <vt:i4>5</vt:i4>
      </vt:variant>
      <vt:variant>
        <vt:lpwstr>https://www.leapfroggroup.org/survey-materials/survey-and-cpoe-materials</vt:lpwstr>
      </vt:variant>
      <vt:variant>
        <vt:lpwstr/>
      </vt:variant>
      <vt:variant>
        <vt:i4>786496</vt:i4>
      </vt:variant>
      <vt:variant>
        <vt:i4>3750</vt:i4>
      </vt:variant>
      <vt:variant>
        <vt:i4>0</vt:i4>
      </vt:variant>
      <vt:variant>
        <vt:i4>5</vt:i4>
      </vt:variant>
      <vt:variant>
        <vt:lpwstr>https://www.leapfroggroup.org/survey-materials/data-accuracy</vt:lpwstr>
      </vt:variant>
      <vt:variant>
        <vt:lpwstr/>
      </vt:variant>
      <vt:variant>
        <vt:i4>4194318</vt:i4>
      </vt:variant>
      <vt:variant>
        <vt:i4>3747</vt:i4>
      </vt:variant>
      <vt:variant>
        <vt:i4>0</vt:i4>
      </vt:variant>
      <vt:variant>
        <vt:i4>5</vt:i4>
      </vt:variant>
      <vt:variant>
        <vt:lpwstr>https://www.leapfroggroup.org/survey-materials/updating-your-hospital-survey</vt:lpwstr>
      </vt:variant>
      <vt:variant>
        <vt:lpwstr/>
      </vt:variant>
      <vt:variant>
        <vt:i4>7012470</vt:i4>
      </vt:variant>
      <vt:variant>
        <vt:i4>3744</vt:i4>
      </vt:variant>
      <vt:variant>
        <vt:i4>0</vt:i4>
      </vt:variant>
      <vt:variant>
        <vt:i4>5</vt:i4>
      </vt:variant>
      <vt:variant>
        <vt:lpwstr>https://www.who.int/teams/integrated-health-services/infection-prevention-control/hand-hygiene/monitoring-tools</vt:lpwstr>
      </vt:variant>
      <vt:variant>
        <vt:lpwstr/>
      </vt:variant>
      <vt:variant>
        <vt:i4>7798907</vt:i4>
      </vt:variant>
      <vt:variant>
        <vt:i4>3741</vt:i4>
      </vt:variant>
      <vt:variant>
        <vt:i4>0</vt:i4>
      </vt:variant>
      <vt:variant>
        <vt:i4>5</vt:i4>
      </vt:variant>
      <vt:variant>
        <vt:lpwstr>http://leapfroggroup.org/survey-materials/multi-campus-reporting-policy</vt:lpwstr>
      </vt:variant>
      <vt:variant>
        <vt:lpwstr/>
      </vt:variant>
      <vt:variant>
        <vt:i4>4915294</vt:i4>
      </vt:variant>
      <vt:variant>
        <vt:i4>3738</vt:i4>
      </vt:variant>
      <vt:variant>
        <vt:i4>0</vt:i4>
      </vt:variant>
      <vt:variant>
        <vt:i4>5</vt:i4>
      </vt:variant>
      <vt:variant>
        <vt:lpwstr>https://www.leapfroggroup.org/survey-materials/deadlines</vt:lpwstr>
      </vt:variant>
      <vt:variant>
        <vt:lpwstr/>
      </vt:variant>
      <vt:variant>
        <vt:i4>2818157</vt:i4>
      </vt:variant>
      <vt:variant>
        <vt:i4>3735</vt:i4>
      </vt:variant>
      <vt:variant>
        <vt:i4>0</vt:i4>
      </vt:variant>
      <vt:variant>
        <vt:i4>5</vt:i4>
      </vt:variant>
      <vt:variant>
        <vt:lpwstr>http://www.leapfroggroup.org/survey-materials/data-accuracy</vt:lpwstr>
      </vt:variant>
      <vt:variant>
        <vt:lpwstr/>
      </vt:variant>
      <vt:variant>
        <vt:i4>5832716</vt:i4>
      </vt:variant>
      <vt:variant>
        <vt:i4>3732</vt:i4>
      </vt:variant>
      <vt:variant>
        <vt:i4>0</vt:i4>
      </vt:variant>
      <vt:variant>
        <vt:i4>5</vt:i4>
      </vt:variant>
      <vt:variant>
        <vt:lpwstr>https://www.leapfroggroup.org/survey-materials/survey-and-cpoe-materials</vt:lpwstr>
      </vt:variant>
      <vt:variant>
        <vt:lpwstr/>
      </vt:variant>
      <vt:variant>
        <vt:i4>6750315</vt:i4>
      </vt:variant>
      <vt:variant>
        <vt:i4>3729</vt:i4>
      </vt:variant>
      <vt:variant>
        <vt:i4>0</vt:i4>
      </vt:variant>
      <vt:variant>
        <vt:i4>5</vt:i4>
      </vt:variant>
      <vt:variant>
        <vt:lpwstr>http://leapfroggroup.org/survey-materials/survey-and-cpoe-materials</vt:lpwstr>
      </vt:variant>
      <vt:variant>
        <vt:lpwstr/>
      </vt:variant>
      <vt:variant>
        <vt:i4>2031645</vt:i4>
      </vt:variant>
      <vt:variant>
        <vt:i4>3726</vt:i4>
      </vt:variant>
      <vt:variant>
        <vt:i4>0</vt:i4>
      </vt:variant>
      <vt:variant>
        <vt:i4>5</vt:i4>
      </vt:variant>
      <vt:variant>
        <vt:lpwstr>https://www.leapfroggroup.org/about/expert-panelists</vt:lpwstr>
      </vt:variant>
      <vt:variant>
        <vt:lpwstr/>
      </vt:variant>
      <vt:variant>
        <vt:i4>8323133</vt:i4>
      </vt:variant>
      <vt:variant>
        <vt:i4>3723</vt:i4>
      </vt:variant>
      <vt:variant>
        <vt:i4>0</vt:i4>
      </vt:variant>
      <vt:variant>
        <vt:i4>5</vt:i4>
      </vt:variant>
      <vt:variant>
        <vt:lpwstr>https://www.leapfroggroup.org/patient-and-family-advisory-council-pfac-toolkit-exploring-diagnostic-quality</vt:lpwstr>
      </vt:variant>
      <vt:variant>
        <vt:lpwstr/>
      </vt:variant>
      <vt:variant>
        <vt:i4>1114139</vt:i4>
      </vt:variant>
      <vt:variant>
        <vt:i4>3720</vt:i4>
      </vt:variant>
      <vt:variant>
        <vt:i4>0</vt:i4>
      </vt:variant>
      <vt:variant>
        <vt:i4>5</vt:i4>
      </vt:variant>
      <vt:variant>
        <vt:lpwstr>https://www.leapfroggroup.org/sites/default/files/Files/Root Cause Analysis of Cases Involving Diagnosis A Handbook for Healthcare Organizations.pdf</vt:lpwstr>
      </vt:variant>
      <vt:variant>
        <vt:lpwstr/>
      </vt:variant>
      <vt:variant>
        <vt:i4>3473526</vt:i4>
      </vt:variant>
      <vt:variant>
        <vt:i4>3717</vt:i4>
      </vt:variant>
      <vt:variant>
        <vt:i4>0</vt:i4>
      </vt:variant>
      <vt:variant>
        <vt:i4>5</vt:i4>
      </vt:variant>
      <vt:variant>
        <vt:lpwstr>https://www.leapfroggroup.org/influencing/recognizing-excellence-diagnosis</vt:lpwstr>
      </vt:variant>
      <vt:variant>
        <vt:lpwstr/>
      </vt:variant>
      <vt:variant>
        <vt:i4>2031645</vt:i4>
      </vt:variant>
      <vt:variant>
        <vt:i4>3714</vt:i4>
      </vt:variant>
      <vt:variant>
        <vt:i4>0</vt:i4>
      </vt:variant>
      <vt:variant>
        <vt:i4>5</vt:i4>
      </vt:variant>
      <vt:variant>
        <vt:lpwstr>https://www.leapfroggroup.org/about/expert-panelists</vt:lpwstr>
      </vt:variant>
      <vt:variant>
        <vt:lpwstr/>
      </vt:variant>
      <vt:variant>
        <vt:i4>5701759</vt:i4>
      </vt:variant>
      <vt:variant>
        <vt:i4>3711</vt:i4>
      </vt:variant>
      <vt:variant>
        <vt:i4>0</vt:i4>
      </vt:variant>
      <vt:variant>
        <vt:i4>5</vt:i4>
      </vt:variant>
      <vt:variant>
        <vt:lpwstr/>
      </vt:variant>
      <vt:variant>
        <vt:lpwstr>emergencydepartment_endnote</vt:lpwstr>
      </vt:variant>
      <vt:variant>
        <vt:i4>5701759</vt:i4>
      </vt:variant>
      <vt:variant>
        <vt:i4>3708</vt:i4>
      </vt:variant>
      <vt:variant>
        <vt:i4>0</vt:i4>
      </vt:variant>
      <vt:variant>
        <vt:i4>5</vt:i4>
      </vt:variant>
      <vt:variant>
        <vt:lpwstr/>
      </vt:variant>
      <vt:variant>
        <vt:lpwstr>emergencydepartment_endnote</vt:lpwstr>
      </vt:variant>
      <vt:variant>
        <vt:i4>3538958</vt:i4>
      </vt:variant>
      <vt:variant>
        <vt:i4>3702</vt:i4>
      </vt:variant>
      <vt:variant>
        <vt:i4>0</vt:i4>
      </vt:variant>
      <vt:variant>
        <vt:i4>5</vt:i4>
      </vt:variant>
      <vt:variant>
        <vt:lpwstr/>
      </vt:variant>
      <vt:variant>
        <vt:lpwstr>_Hospital_Boarding_in</vt:lpwstr>
      </vt:variant>
      <vt:variant>
        <vt:i4>7798907</vt:i4>
      </vt:variant>
      <vt:variant>
        <vt:i4>3699</vt:i4>
      </vt:variant>
      <vt:variant>
        <vt:i4>0</vt:i4>
      </vt:variant>
      <vt:variant>
        <vt:i4>5</vt:i4>
      </vt:variant>
      <vt:variant>
        <vt:lpwstr>http://leapfroggroup.org/survey-materials/multi-campus-reporting-policy</vt:lpwstr>
      </vt:variant>
      <vt:variant>
        <vt:lpwstr/>
      </vt:variant>
      <vt:variant>
        <vt:i4>1572955</vt:i4>
      </vt:variant>
      <vt:variant>
        <vt:i4>3696</vt:i4>
      </vt:variant>
      <vt:variant>
        <vt:i4>0</vt:i4>
      </vt:variant>
      <vt:variant>
        <vt:i4>5</vt:i4>
      </vt:variant>
      <vt:variant>
        <vt:lpwstr>https://www.ahrq.gov/teamstepps-program/diagnosis-improvement/index.html</vt:lpwstr>
      </vt:variant>
      <vt:variant>
        <vt:lpwstr/>
      </vt:variant>
      <vt:variant>
        <vt:i4>8323187</vt:i4>
      </vt:variant>
      <vt:variant>
        <vt:i4>3693</vt:i4>
      </vt:variant>
      <vt:variant>
        <vt:i4>0</vt:i4>
      </vt:variant>
      <vt:variant>
        <vt:i4>5</vt:i4>
      </vt:variant>
      <vt:variant>
        <vt:lpwstr/>
      </vt:variant>
      <vt:variant>
        <vt:lpwstr>teamstepps</vt:lpwstr>
      </vt:variant>
      <vt:variant>
        <vt:i4>2293814</vt:i4>
      </vt:variant>
      <vt:variant>
        <vt:i4>3690</vt:i4>
      </vt:variant>
      <vt:variant>
        <vt:i4>0</vt:i4>
      </vt:variant>
      <vt:variant>
        <vt:i4>5</vt:i4>
      </vt:variant>
      <vt:variant>
        <vt:lpwstr>https://www.ihi.org/sites/default/files/Safer-Dx-Checklist.pdf</vt:lpwstr>
      </vt:variant>
      <vt:variant>
        <vt:lpwstr/>
      </vt:variant>
      <vt:variant>
        <vt:i4>2293814</vt:i4>
      </vt:variant>
      <vt:variant>
        <vt:i4>3687</vt:i4>
      </vt:variant>
      <vt:variant>
        <vt:i4>0</vt:i4>
      </vt:variant>
      <vt:variant>
        <vt:i4>5</vt:i4>
      </vt:variant>
      <vt:variant>
        <vt:lpwstr>https://www.ihi.org/sites/default/files/Safer-Dx-Checklist.pdf</vt:lpwstr>
      </vt:variant>
      <vt:variant>
        <vt:lpwstr/>
      </vt:variant>
      <vt:variant>
        <vt:i4>7798907</vt:i4>
      </vt:variant>
      <vt:variant>
        <vt:i4>3684</vt:i4>
      </vt:variant>
      <vt:variant>
        <vt:i4>0</vt:i4>
      </vt:variant>
      <vt:variant>
        <vt:i4>5</vt:i4>
      </vt:variant>
      <vt:variant>
        <vt:lpwstr>http://leapfroggroup.org/survey-materials/multi-campus-reporting-policy</vt:lpwstr>
      </vt:variant>
      <vt:variant>
        <vt:lpwstr/>
      </vt:variant>
      <vt:variant>
        <vt:i4>7995488</vt:i4>
      </vt:variant>
      <vt:variant>
        <vt:i4>3678</vt:i4>
      </vt:variant>
      <vt:variant>
        <vt:i4>0</vt:i4>
      </vt:variant>
      <vt:variant>
        <vt:i4>5</vt:i4>
      </vt:variant>
      <vt:variant>
        <vt:lpwstr/>
      </vt:variant>
      <vt:variant>
        <vt:lpwstr>HHtouchpatientsendnote</vt:lpwstr>
      </vt:variant>
      <vt:variant>
        <vt:i4>786468</vt:i4>
      </vt:variant>
      <vt:variant>
        <vt:i4>3675</vt:i4>
      </vt:variant>
      <vt:variant>
        <vt:i4>0</vt:i4>
      </vt:variant>
      <vt:variant>
        <vt:i4>5</vt:i4>
      </vt:variant>
      <vt:variant>
        <vt:lpwstr/>
      </vt:variant>
      <vt:variant>
        <vt:lpwstr>HH_commitment</vt:lpwstr>
      </vt:variant>
      <vt:variant>
        <vt:i4>7995488</vt:i4>
      </vt:variant>
      <vt:variant>
        <vt:i4>3669</vt:i4>
      </vt:variant>
      <vt:variant>
        <vt:i4>0</vt:i4>
      </vt:variant>
      <vt:variant>
        <vt:i4>5</vt:i4>
      </vt:variant>
      <vt:variant>
        <vt:lpwstr/>
      </vt:variant>
      <vt:variant>
        <vt:lpwstr>HHtouchpatientsendnote</vt:lpwstr>
      </vt:variant>
      <vt:variant>
        <vt:i4>1638459</vt:i4>
      </vt:variant>
      <vt:variant>
        <vt:i4>3666</vt:i4>
      </vt:variant>
      <vt:variant>
        <vt:i4>0</vt:i4>
      </vt:variant>
      <vt:variant>
        <vt:i4>5</vt:i4>
      </vt:variant>
      <vt:variant>
        <vt:lpwstr/>
      </vt:variant>
      <vt:variant>
        <vt:lpwstr>HH_remind</vt:lpwstr>
      </vt:variant>
      <vt:variant>
        <vt:i4>1114164</vt:i4>
      </vt:variant>
      <vt:variant>
        <vt:i4>3663</vt:i4>
      </vt:variant>
      <vt:variant>
        <vt:i4>0</vt:i4>
      </vt:variant>
      <vt:variant>
        <vt:i4>5</vt:i4>
      </vt:variant>
      <vt:variant>
        <vt:lpwstr/>
      </vt:variant>
      <vt:variant>
        <vt:lpwstr>HH_accountability</vt:lpwstr>
      </vt:variant>
      <vt:variant>
        <vt:i4>1703945</vt:i4>
      </vt:variant>
      <vt:variant>
        <vt:i4>3660</vt:i4>
      </vt:variant>
      <vt:variant>
        <vt:i4>0</vt:i4>
      </vt:variant>
      <vt:variant>
        <vt:i4>5</vt:i4>
      </vt:variant>
      <vt:variant>
        <vt:lpwstr/>
      </vt:variant>
      <vt:variant>
        <vt:lpwstr>NursingLeadership</vt:lpwstr>
      </vt:variant>
      <vt:variant>
        <vt:i4>7012476</vt:i4>
      </vt:variant>
      <vt:variant>
        <vt:i4>3657</vt:i4>
      </vt:variant>
      <vt:variant>
        <vt:i4>0</vt:i4>
      </vt:variant>
      <vt:variant>
        <vt:i4>5</vt:i4>
      </vt:variant>
      <vt:variant>
        <vt:lpwstr/>
      </vt:variant>
      <vt:variant>
        <vt:lpwstr>PhysicianLeadership</vt:lpwstr>
      </vt:variant>
      <vt:variant>
        <vt:i4>6815841</vt:i4>
      </vt:variant>
      <vt:variant>
        <vt:i4>3654</vt:i4>
      </vt:variant>
      <vt:variant>
        <vt:i4>0</vt:i4>
      </vt:variant>
      <vt:variant>
        <vt:i4>5</vt:i4>
      </vt:variant>
      <vt:variant>
        <vt:lpwstr/>
      </vt:variant>
      <vt:variant>
        <vt:lpwstr>SeniorAdministrativeLeadership</vt:lpwstr>
      </vt:variant>
      <vt:variant>
        <vt:i4>6619245</vt:i4>
      </vt:variant>
      <vt:variant>
        <vt:i4>3651</vt:i4>
      </vt:variant>
      <vt:variant>
        <vt:i4>0</vt:i4>
      </vt:variant>
      <vt:variant>
        <vt:i4>5</vt:i4>
      </vt:variant>
      <vt:variant>
        <vt:lpwstr/>
      </vt:variant>
      <vt:variant>
        <vt:lpwstr>MEC</vt:lpwstr>
      </vt:variant>
      <vt:variant>
        <vt:i4>1900547</vt:i4>
      </vt:variant>
      <vt:variant>
        <vt:i4>3648</vt:i4>
      </vt:variant>
      <vt:variant>
        <vt:i4>0</vt:i4>
      </vt:variant>
      <vt:variant>
        <vt:i4>5</vt:i4>
      </vt:variant>
      <vt:variant>
        <vt:lpwstr/>
      </vt:variant>
      <vt:variant>
        <vt:lpwstr>Board</vt:lpwstr>
      </vt:variant>
      <vt:variant>
        <vt:i4>1703945</vt:i4>
      </vt:variant>
      <vt:variant>
        <vt:i4>3645</vt:i4>
      </vt:variant>
      <vt:variant>
        <vt:i4>0</vt:i4>
      </vt:variant>
      <vt:variant>
        <vt:i4>5</vt:i4>
      </vt:variant>
      <vt:variant>
        <vt:lpwstr/>
      </vt:variant>
      <vt:variant>
        <vt:lpwstr>NursingLeadership</vt:lpwstr>
      </vt:variant>
      <vt:variant>
        <vt:i4>7012476</vt:i4>
      </vt:variant>
      <vt:variant>
        <vt:i4>3642</vt:i4>
      </vt:variant>
      <vt:variant>
        <vt:i4>0</vt:i4>
      </vt:variant>
      <vt:variant>
        <vt:i4>5</vt:i4>
      </vt:variant>
      <vt:variant>
        <vt:lpwstr/>
      </vt:variant>
      <vt:variant>
        <vt:lpwstr>PhysicianLeadership</vt:lpwstr>
      </vt:variant>
      <vt:variant>
        <vt:i4>6815841</vt:i4>
      </vt:variant>
      <vt:variant>
        <vt:i4>3639</vt:i4>
      </vt:variant>
      <vt:variant>
        <vt:i4>0</vt:i4>
      </vt:variant>
      <vt:variant>
        <vt:i4>5</vt:i4>
      </vt:variant>
      <vt:variant>
        <vt:lpwstr/>
      </vt:variant>
      <vt:variant>
        <vt:lpwstr>SeniorAdministrativeLeadership</vt:lpwstr>
      </vt:variant>
      <vt:variant>
        <vt:i4>7995488</vt:i4>
      </vt:variant>
      <vt:variant>
        <vt:i4>3633</vt:i4>
      </vt:variant>
      <vt:variant>
        <vt:i4>0</vt:i4>
      </vt:variant>
      <vt:variant>
        <vt:i4>5</vt:i4>
      </vt:variant>
      <vt:variant>
        <vt:lpwstr/>
      </vt:variant>
      <vt:variant>
        <vt:lpwstr>HHtouchpatientsendnote</vt:lpwstr>
      </vt:variant>
      <vt:variant>
        <vt:i4>7995488</vt:i4>
      </vt:variant>
      <vt:variant>
        <vt:i4>3627</vt:i4>
      </vt:variant>
      <vt:variant>
        <vt:i4>0</vt:i4>
      </vt:variant>
      <vt:variant>
        <vt:i4>5</vt:i4>
      </vt:variant>
      <vt:variant>
        <vt:lpwstr/>
      </vt:variant>
      <vt:variant>
        <vt:lpwstr>HHtouchpatientsendnote</vt:lpwstr>
      </vt:variant>
      <vt:variant>
        <vt:i4>7995488</vt:i4>
      </vt:variant>
      <vt:variant>
        <vt:i4>3621</vt:i4>
      </vt:variant>
      <vt:variant>
        <vt:i4>0</vt:i4>
      </vt:variant>
      <vt:variant>
        <vt:i4>5</vt:i4>
      </vt:variant>
      <vt:variant>
        <vt:lpwstr/>
      </vt:variant>
      <vt:variant>
        <vt:lpwstr>HHtouchpatientsendnote</vt:lpwstr>
      </vt:variant>
      <vt:variant>
        <vt:i4>7995488</vt:i4>
      </vt:variant>
      <vt:variant>
        <vt:i4>3615</vt:i4>
      </vt:variant>
      <vt:variant>
        <vt:i4>0</vt:i4>
      </vt:variant>
      <vt:variant>
        <vt:i4>5</vt:i4>
      </vt:variant>
      <vt:variant>
        <vt:lpwstr/>
      </vt:variant>
      <vt:variant>
        <vt:lpwstr>HHtouchpatientsendnote</vt:lpwstr>
      </vt:variant>
      <vt:variant>
        <vt:i4>7995488</vt:i4>
      </vt:variant>
      <vt:variant>
        <vt:i4>3609</vt:i4>
      </vt:variant>
      <vt:variant>
        <vt:i4>0</vt:i4>
      </vt:variant>
      <vt:variant>
        <vt:i4>5</vt:i4>
      </vt:variant>
      <vt:variant>
        <vt:lpwstr/>
      </vt:variant>
      <vt:variant>
        <vt:lpwstr>HHtouchpatientsendnote</vt:lpwstr>
      </vt:variant>
      <vt:variant>
        <vt:i4>7995488</vt:i4>
      </vt:variant>
      <vt:variant>
        <vt:i4>3603</vt:i4>
      </vt:variant>
      <vt:variant>
        <vt:i4>0</vt:i4>
      </vt:variant>
      <vt:variant>
        <vt:i4>5</vt:i4>
      </vt:variant>
      <vt:variant>
        <vt:lpwstr/>
      </vt:variant>
      <vt:variant>
        <vt:lpwstr>HHtouchpatientsendnote</vt:lpwstr>
      </vt:variant>
      <vt:variant>
        <vt:i4>7995488</vt:i4>
      </vt:variant>
      <vt:variant>
        <vt:i4>3597</vt:i4>
      </vt:variant>
      <vt:variant>
        <vt:i4>0</vt:i4>
      </vt:variant>
      <vt:variant>
        <vt:i4>5</vt:i4>
      </vt:variant>
      <vt:variant>
        <vt:lpwstr/>
      </vt:variant>
      <vt:variant>
        <vt:lpwstr>HHtouchpatientsendnote</vt:lpwstr>
      </vt:variant>
      <vt:variant>
        <vt:i4>7667809</vt:i4>
      </vt:variant>
      <vt:variant>
        <vt:i4>3594</vt:i4>
      </vt:variant>
      <vt:variant>
        <vt:i4>0</vt:i4>
      </vt:variant>
      <vt:variant>
        <vt:i4>5</vt:i4>
      </vt:variant>
      <vt:variant>
        <vt:lpwstr>https://www.cdc.gov/mmwr/PDF/rr/rr5116.pdf</vt:lpwstr>
      </vt:variant>
      <vt:variant>
        <vt:lpwstr/>
      </vt:variant>
      <vt:variant>
        <vt:i4>5177414</vt:i4>
      </vt:variant>
      <vt:variant>
        <vt:i4>3591</vt:i4>
      </vt:variant>
      <vt:variant>
        <vt:i4>0</vt:i4>
      </vt:variant>
      <vt:variant>
        <vt:i4>5</vt:i4>
      </vt:variant>
      <vt:variant>
        <vt:lpwstr>https://www.who.int/campaigns/world-hand-hygiene-day</vt:lpwstr>
      </vt:variant>
      <vt:variant>
        <vt:lpwstr/>
      </vt:variant>
      <vt:variant>
        <vt:i4>7995488</vt:i4>
      </vt:variant>
      <vt:variant>
        <vt:i4>3585</vt:i4>
      </vt:variant>
      <vt:variant>
        <vt:i4>0</vt:i4>
      </vt:variant>
      <vt:variant>
        <vt:i4>5</vt:i4>
      </vt:variant>
      <vt:variant>
        <vt:lpwstr/>
      </vt:variant>
      <vt:variant>
        <vt:lpwstr>HHtouchpatientsendnote</vt:lpwstr>
      </vt:variant>
      <vt:variant>
        <vt:i4>8323144</vt:i4>
      </vt:variant>
      <vt:variant>
        <vt:i4>3582</vt:i4>
      </vt:variant>
      <vt:variant>
        <vt:i4>0</vt:i4>
      </vt:variant>
      <vt:variant>
        <vt:i4>5</vt:i4>
      </vt:variant>
      <vt:variant>
        <vt:lpwstr/>
      </vt:variant>
      <vt:variant>
        <vt:lpwstr>HH_demonstrate</vt:lpwstr>
      </vt:variant>
      <vt:variant>
        <vt:i4>7995488</vt:i4>
      </vt:variant>
      <vt:variant>
        <vt:i4>3576</vt:i4>
      </vt:variant>
      <vt:variant>
        <vt:i4>0</vt:i4>
      </vt:variant>
      <vt:variant>
        <vt:i4>5</vt:i4>
      </vt:variant>
      <vt:variant>
        <vt:lpwstr/>
      </vt:variant>
      <vt:variant>
        <vt:lpwstr>HHtouchpatientsendnote</vt:lpwstr>
      </vt:variant>
      <vt:variant>
        <vt:i4>589827</vt:i4>
      </vt:variant>
      <vt:variant>
        <vt:i4>3573</vt:i4>
      </vt:variant>
      <vt:variant>
        <vt:i4>0</vt:i4>
      </vt:variant>
      <vt:variant>
        <vt:i4>5</vt:i4>
      </vt:variant>
      <vt:variant>
        <vt:lpwstr/>
      </vt:variant>
      <vt:variant>
        <vt:lpwstr>profwapproptrainandskill</vt:lpwstr>
      </vt:variant>
      <vt:variant>
        <vt:i4>7995488</vt:i4>
      </vt:variant>
      <vt:variant>
        <vt:i4>3570</vt:i4>
      </vt:variant>
      <vt:variant>
        <vt:i4>0</vt:i4>
      </vt:variant>
      <vt:variant>
        <vt:i4>5</vt:i4>
      </vt:variant>
      <vt:variant>
        <vt:lpwstr/>
      </vt:variant>
      <vt:variant>
        <vt:lpwstr>HHtouchpatientsendnote</vt:lpwstr>
      </vt:variant>
      <vt:variant>
        <vt:i4>1835052</vt:i4>
      </vt:variant>
      <vt:variant>
        <vt:i4>3564</vt:i4>
      </vt:variant>
      <vt:variant>
        <vt:i4>0</vt:i4>
      </vt:variant>
      <vt:variant>
        <vt:i4>5</vt:i4>
      </vt:variant>
      <vt:variant>
        <vt:lpwstr/>
      </vt:variant>
      <vt:variant>
        <vt:lpwstr>_Hand_Hygiene_Measure</vt:lpwstr>
      </vt:variant>
      <vt:variant>
        <vt:i4>1835052</vt:i4>
      </vt:variant>
      <vt:variant>
        <vt:i4>3561</vt:i4>
      </vt:variant>
      <vt:variant>
        <vt:i4>0</vt:i4>
      </vt:variant>
      <vt:variant>
        <vt:i4>5</vt:i4>
      </vt:variant>
      <vt:variant>
        <vt:lpwstr/>
      </vt:variant>
      <vt:variant>
        <vt:lpwstr>_Hand_Hygiene_Measure</vt:lpwstr>
      </vt:variant>
      <vt:variant>
        <vt:i4>7012470</vt:i4>
      </vt:variant>
      <vt:variant>
        <vt:i4>3558</vt:i4>
      </vt:variant>
      <vt:variant>
        <vt:i4>0</vt:i4>
      </vt:variant>
      <vt:variant>
        <vt:i4>5</vt:i4>
      </vt:variant>
      <vt:variant>
        <vt:lpwstr>https://www.who.int/teams/integrated-health-services/infection-prevention-control/hand-hygiene/monitoring-tools</vt:lpwstr>
      </vt:variant>
      <vt:variant>
        <vt:lpwstr/>
      </vt:variant>
      <vt:variant>
        <vt:i4>3538973</vt:i4>
      </vt:variant>
      <vt:variant>
        <vt:i4>3555</vt:i4>
      </vt:variant>
      <vt:variant>
        <vt:i4>0</vt:i4>
      </vt:variant>
      <vt:variant>
        <vt:i4>5</vt:i4>
      </vt:variant>
      <vt:variant>
        <vt:lpwstr/>
      </vt:variant>
      <vt:variant>
        <vt:lpwstr>_Patient_Safety_Practices</vt:lpwstr>
      </vt:variant>
      <vt:variant>
        <vt:i4>7798907</vt:i4>
      </vt:variant>
      <vt:variant>
        <vt:i4>3552</vt:i4>
      </vt:variant>
      <vt:variant>
        <vt:i4>0</vt:i4>
      </vt:variant>
      <vt:variant>
        <vt:i4>5</vt:i4>
      </vt:variant>
      <vt:variant>
        <vt:lpwstr>http://leapfroggroup.org/survey-materials/multi-campus-reporting-policy</vt:lpwstr>
      </vt:variant>
      <vt:variant>
        <vt:lpwstr/>
      </vt:variant>
      <vt:variant>
        <vt:i4>6815841</vt:i4>
      </vt:variant>
      <vt:variant>
        <vt:i4>3549</vt:i4>
      </vt:variant>
      <vt:variant>
        <vt:i4>0</vt:i4>
      </vt:variant>
      <vt:variant>
        <vt:i4>5</vt:i4>
      </vt:variant>
      <vt:variant>
        <vt:lpwstr/>
      </vt:variant>
      <vt:variant>
        <vt:lpwstr>SeniorAdministrativeLeadership</vt:lpwstr>
      </vt:variant>
      <vt:variant>
        <vt:i4>6815841</vt:i4>
      </vt:variant>
      <vt:variant>
        <vt:i4>3546</vt:i4>
      </vt:variant>
      <vt:variant>
        <vt:i4>0</vt:i4>
      </vt:variant>
      <vt:variant>
        <vt:i4>5</vt:i4>
      </vt:variant>
      <vt:variant>
        <vt:lpwstr/>
      </vt:variant>
      <vt:variant>
        <vt:lpwstr>SeniorAdministrativeLeadership</vt:lpwstr>
      </vt:variant>
      <vt:variant>
        <vt:i4>6160474</vt:i4>
      </vt:variant>
      <vt:variant>
        <vt:i4>3543</vt:i4>
      </vt:variant>
      <vt:variant>
        <vt:i4>0</vt:i4>
      </vt:variant>
      <vt:variant>
        <vt:i4>5</vt:i4>
      </vt:variant>
      <vt:variant>
        <vt:lpwstr/>
      </vt:variant>
      <vt:variant>
        <vt:lpwstr>SP2_1e_vs_2_4b</vt:lpwstr>
      </vt:variant>
      <vt:variant>
        <vt:i4>6684771</vt:i4>
      </vt:variant>
      <vt:variant>
        <vt:i4>3540</vt:i4>
      </vt:variant>
      <vt:variant>
        <vt:i4>0</vt:i4>
      </vt:variant>
      <vt:variant>
        <vt:i4>5</vt:i4>
      </vt:variant>
      <vt:variant>
        <vt:lpwstr/>
      </vt:variant>
      <vt:variant>
        <vt:lpwstr>Budget</vt:lpwstr>
      </vt:variant>
      <vt:variant>
        <vt:i4>5111922</vt:i4>
      </vt:variant>
      <vt:variant>
        <vt:i4>3537</vt:i4>
      </vt:variant>
      <vt:variant>
        <vt:i4>0</vt:i4>
      </vt:variant>
      <vt:variant>
        <vt:i4>5</vt:i4>
      </vt:variant>
      <vt:variant>
        <vt:lpwstr/>
      </vt:variant>
      <vt:variant>
        <vt:lpwstr>SP2_3a</vt:lpwstr>
      </vt:variant>
      <vt:variant>
        <vt:i4>6815841</vt:i4>
      </vt:variant>
      <vt:variant>
        <vt:i4>3534</vt:i4>
      </vt:variant>
      <vt:variant>
        <vt:i4>0</vt:i4>
      </vt:variant>
      <vt:variant>
        <vt:i4>5</vt:i4>
      </vt:variant>
      <vt:variant>
        <vt:lpwstr/>
      </vt:variant>
      <vt:variant>
        <vt:lpwstr>SeniorAdministrativeLeadership</vt:lpwstr>
      </vt:variant>
      <vt:variant>
        <vt:i4>4980851</vt:i4>
      </vt:variant>
      <vt:variant>
        <vt:i4>3531</vt:i4>
      </vt:variant>
      <vt:variant>
        <vt:i4>0</vt:i4>
      </vt:variant>
      <vt:variant>
        <vt:i4>5</vt:i4>
      </vt:variant>
      <vt:variant>
        <vt:lpwstr/>
      </vt:variant>
      <vt:variant>
        <vt:lpwstr>SP2_2c</vt:lpwstr>
      </vt:variant>
      <vt:variant>
        <vt:i4>6815841</vt:i4>
      </vt:variant>
      <vt:variant>
        <vt:i4>3528</vt:i4>
      </vt:variant>
      <vt:variant>
        <vt:i4>0</vt:i4>
      </vt:variant>
      <vt:variant>
        <vt:i4>5</vt:i4>
      </vt:variant>
      <vt:variant>
        <vt:lpwstr/>
      </vt:variant>
      <vt:variant>
        <vt:lpwstr>SeniorAdministrativeLeadership</vt:lpwstr>
      </vt:variant>
      <vt:variant>
        <vt:i4>1900547</vt:i4>
      </vt:variant>
      <vt:variant>
        <vt:i4>3525</vt:i4>
      </vt:variant>
      <vt:variant>
        <vt:i4>0</vt:i4>
      </vt:variant>
      <vt:variant>
        <vt:i4>5</vt:i4>
      </vt:variant>
      <vt:variant>
        <vt:lpwstr/>
      </vt:variant>
      <vt:variant>
        <vt:lpwstr>Board</vt:lpwstr>
      </vt:variant>
      <vt:variant>
        <vt:i4>6160474</vt:i4>
      </vt:variant>
      <vt:variant>
        <vt:i4>3522</vt:i4>
      </vt:variant>
      <vt:variant>
        <vt:i4>0</vt:i4>
      </vt:variant>
      <vt:variant>
        <vt:i4>5</vt:i4>
      </vt:variant>
      <vt:variant>
        <vt:lpwstr/>
      </vt:variant>
      <vt:variant>
        <vt:lpwstr>SP2_1e_vs_2_4b</vt:lpwstr>
      </vt:variant>
      <vt:variant>
        <vt:i4>7667829</vt:i4>
      </vt:variant>
      <vt:variant>
        <vt:i4>3519</vt:i4>
      </vt:variant>
      <vt:variant>
        <vt:i4>0</vt:i4>
      </vt:variant>
      <vt:variant>
        <vt:i4>5</vt:i4>
      </vt:variant>
      <vt:variant>
        <vt:lpwstr/>
      </vt:variant>
      <vt:variant>
        <vt:lpwstr>ForthepurposesofreportingonSection6</vt:lpwstr>
      </vt:variant>
      <vt:variant>
        <vt:i4>4915312</vt:i4>
      </vt:variant>
      <vt:variant>
        <vt:i4>3516</vt:i4>
      </vt:variant>
      <vt:variant>
        <vt:i4>0</vt:i4>
      </vt:variant>
      <vt:variant>
        <vt:i4>5</vt:i4>
      </vt:variant>
      <vt:variant>
        <vt:lpwstr/>
      </vt:variant>
      <vt:variant>
        <vt:lpwstr>SP2_1d</vt:lpwstr>
      </vt:variant>
      <vt:variant>
        <vt:i4>4980848</vt:i4>
      </vt:variant>
      <vt:variant>
        <vt:i4>3513</vt:i4>
      </vt:variant>
      <vt:variant>
        <vt:i4>0</vt:i4>
      </vt:variant>
      <vt:variant>
        <vt:i4>5</vt:i4>
      </vt:variant>
      <vt:variant>
        <vt:lpwstr/>
      </vt:variant>
      <vt:variant>
        <vt:lpwstr>SP2_1c</vt:lpwstr>
      </vt:variant>
      <vt:variant>
        <vt:i4>2818104</vt:i4>
      </vt:variant>
      <vt:variant>
        <vt:i4>3510</vt:i4>
      </vt:variant>
      <vt:variant>
        <vt:i4>0</vt:i4>
      </vt:variant>
      <vt:variant>
        <vt:i4>5</vt:i4>
      </vt:variant>
      <vt:variant>
        <vt:lpwstr/>
      </vt:variant>
      <vt:variant>
        <vt:lpwstr>SP2_1a_CultureSurvey</vt:lpwstr>
      </vt:variant>
      <vt:variant>
        <vt:i4>6226035</vt:i4>
      </vt:variant>
      <vt:variant>
        <vt:i4>3507</vt:i4>
      </vt:variant>
      <vt:variant>
        <vt:i4>0</vt:i4>
      </vt:variant>
      <vt:variant>
        <vt:i4>5</vt:i4>
      </vt:variant>
      <vt:variant>
        <vt:lpwstr/>
      </vt:variant>
      <vt:variant>
        <vt:lpwstr>_NQF_Safe_Practice</vt:lpwstr>
      </vt:variant>
      <vt:variant>
        <vt:i4>3538973</vt:i4>
      </vt:variant>
      <vt:variant>
        <vt:i4>3501</vt:i4>
      </vt:variant>
      <vt:variant>
        <vt:i4>0</vt:i4>
      </vt:variant>
      <vt:variant>
        <vt:i4>5</vt:i4>
      </vt:variant>
      <vt:variant>
        <vt:lpwstr/>
      </vt:variant>
      <vt:variant>
        <vt:lpwstr>_Patient_Safety_Practices</vt:lpwstr>
      </vt:variant>
      <vt:variant>
        <vt:i4>3932286</vt:i4>
      </vt:variant>
      <vt:variant>
        <vt:i4>3498</vt:i4>
      </vt:variant>
      <vt:variant>
        <vt:i4>0</vt:i4>
      </vt:variant>
      <vt:variant>
        <vt:i4>5</vt:i4>
      </vt:variant>
      <vt:variant>
        <vt:lpwstr>https://nam02.safelinks.protection.outlook.com/?url=http%3A%2F%2Fwww.leapfroggroup.org%2Fsurvey-materials%2Fsurvey-and-cpoe-materials&amp;data=05%7C02%7CLKaufman%40leapfrog-group.org%7C60396fa6210e4710503608de0da04068%7C95c34b8315eb4d9a97a7f29881f4a800%7C0%7C0%7C638963179102269152%7CUnknown%7CTWFpbGZsb3d8eyJFbXB0eU1hcGkiOnRydWUsIlYiOiIwLjAuMDAwMCIsIlAiOiJXaW4zMiIsIkFOIjoiTWFpbCIsIldUIjoyfQ%3D%3D%7C0%7C%7C%7C&amp;sdata=4xDAuGzvM2ot3uaobcEDqactLBa6MbAsoh47EprlmjE%3D&amp;reserved=0</vt:lpwstr>
      </vt:variant>
      <vt:variant>
        <vt:lpwstr/>
      </vt:variant>
      <vt:variant>
        <vt:i4>7798907</vt:i4>
      </vt:variant>
      <vt:variant>
        <vt:i4>3495</vt:i4>
      </vt:variant>
      <vt:variant>
        <vt:i4>0</vt:i4>
      </vt:variant>
      <vt:variant>
        <vt:i4>5</vt:i4>
      </vt:variant>
      <vt:variant>
        <vt:lpwstr>http://leapfroggroup.org/survey-materials/multi-campus-reporting-policy</vt:lpwstr>
      </vt:variant>
      <vt:variant>
        <vt:lpwstr/>
      </vt:variant>
      <vt:variant>
        <vt:i4>3932193</vt:i4>
      </vt:variant>
      <vt:variant>
        <vt:i4>3492</vt:i4>
      </vt:variant>
      <vt:variant>
        <vt:i4>0</vt:i4>
      </vt:variant>
      <vt:variant>
        <vt:i4>5</vt:i4>
      </vt:variant>
      <vt:variant>
        <vt:lpwstr/>
      </vt:variant>
      <vt:variant>
        <vt:lpwstr>SP1_4c_StructureforInput</vt:lpwstr>
      </vt:variant>
      <vt:variant>
        <vt:i4>7667829</vt:i4>
      </vt:variant>
      <vt:variant>
        <vt:i4>3489</vt:i4>
      </vt:variant>
      <vt:variant>
        <vt:i4>0</vt:i4>
      </vt:variant>
      <vt:variant>
        <vt:i4>5</vt:i4>
      </vt:variant>
      <vt:variant>
        <vt:lpwstr/>
      </vt:variant>
      <vt:variant>
        <vt:lpwstr>ForthepurposesofreportingonSection6</vt:lpwstr>
      </vt:variant>
      <vt:variant>
        <vt:i4>4390997</vt:i4>
      </vt:variant>
      <vt:variant>
        <vt:i4>3486</vt:i4>
      </vt:variant>
      <vt:variant>
        <vt:i4>0</vt:i4>
      </vt:variant>
      <vt:variant>
        <vt:i4>5</vt:i4>
      </vt:variant>
      <vt:variant>
        <vt:lpwstr/>
      </vt:variant>
      <vt:variant>
        <vt:lpwstr>SP1_4b_ActivelyEngaged</vt:lpwstr>
      </vt:variant>
      <vt:variant>
        <vt:i4>1900547</vt:i4>
      </vt:variant>
      <vt:variant>
        <vt:i4>3483</vt:i4>
      </vt:variant>
      <vt:variant>
        <vt:i4>0</vt:i4>
      </vt:variant>
      <vt:variant>
        <vt:i4>5</vt:i4>
      </vt:variant>
      <vt:variant>
        <vt:lpwstr/>
      </vt:variant>
      <vt:variant>
        <vt:lpwstr>Board</vt:lpwstr>
      </vt:variant>
      <vt:variant>
        <vt:i4>3080238</vt:i4>
      </vt:variant>
      <vt:variant>
        <vt:i4>3480</vt:i4>
      </vt:variant>
      <vt:variant>
        <vt:i4>0</vt:i4>
      </vt:variant>
      <vt:variant>
        <vt:i4>5</vt:i4>
      </vt:variant>
      <vt:variant>
        <vt:lpwstr/>
      </vt:variant>
      <vt:variant>
        <vt:lpwstr>SP1_4a_PersonallyEngaged</vt:lpwstr>
      </vt:variant>
      <vt:variant>
        <vt:i4>6815841</vt:i4>
      </vt:variant>
      <vt:variant>
        <vt:i4>3477</vt:i4>
      </vt:variant>
      <vt:variant>
        <vt:i4>0</vt:i4>
      </vt:variant>
      <vt:variant>
        <vt:i4>5</vt:i4>
      </vt:variant>
      <vt:variant>
        <vt:lpwstr/>
      </vt:variant>
      <vt:variant>
        <vt:lpwstr>SeniorAdministrativeLeadership</vt:lpwstr>
      </vt:variant>
      <vt:variant>
        <vt:i4>6815841</vt:i4>
      </vt:variant>
      <vt:variant>
        <vt:i4>3474</vt:i4>
      </vt:variant>
      <vt:variant>
        <vt:i4>0</vt:i4>
      </vt:variant>
      <vt:variant>
        <vt:i4>5</vt:i4>
      </vt:variant>
      <vt:variant>
        <vt:lpwstr/>
      </vt:variant>
      <vt:variant>
        <vt:lpwstr>SeniorAdministrativeLeadership</vt:lpwstr>
      </vt:variant>
      <vt:variant>
        <vt:i4>6684771</vt:i4>
      </vt:variant>
      <vt:variant>
        <vt:i4>3471</vt:i4>
      </vt:variant>
      <vt:variant>
        <vt:i4>0</vt:i4>
      </vt:variant>
      <vt:variant>
        <vt:i4>5</vt:i4>
      </vt:variant>
      <vt:variant>
        <vt:lpwstr/>
      </vt:variant>
      <vt:variant>
        <vt:lpwstr>Budget</vt:lpwstr>
      </vt:variant>
      <vt:variant>
        <vt:i4>6815841</vt:i4>
      </vt:variant>
      <vt:variant>
        <vt:i4>3468</vt:i4>
      </vt:variant>
      <vt:variant>
        <vt:i4>0</vt:i4>
      </vt:variant>
      <vt:variant>
        <vt:i4>5</vt:i4>
      </vt:variant>
      <vt:variant>
        <vt:lpwstr/>
      </vt:variant>
      <vt:variant>
        <vt:lpwstr>SeniorAdministrativeLeadership</vt:lpwstr>
      </vt:variant>
      <vt:variant>
        <vt:i4>1900547</vt:i4>
      </vt:variant>
      <vt:variant>
        <vt:i4>3465</vt:i4>
      </vt:variant>
      <vt:variant>
        <vt:i4>0</vt:i4>
      </vt:variant>
      <vt:variant>
        <vt:i4>5</vt:i4>
      </vt:variant>
      <vt:variant>
        <vt:lpwstr/>
      </vt:variant>
      <vt:variant>
        <vt:lpwstr>Board</vt:lpwstr>
      </vt:variant>
      <vt:variant>
        <vt:i4>4849776</vt:i4>
      </vt:variant>
      <vt:variant>
        <vt:i4>3462</vt:i4>
      </vt:variant>
      <vt:variant>
        <vt:i4>0</vt:i4>
      </vt:variant>
      <vt:variant>
        <vt:i4>5</vt:i4>
      </vt:variant>
      <vt:variant>
        <vt:lpwstr/>
      </vt:variant>
      <vt:variant>
        <vt:lpwstr>SP1_2e</vt:lpwstr>
      </vt:variant>
      <vt:variant>
        <vt:i4>1900544</vt:i4>
      </vt:variant>
      <vt:variant>
        <vt:i4>3459</vt:i4>
      </vt:variant>
      <vt:variant>
        <vt:i4>0</vt:i4>
      </vt:variant>
      <vt:variant>
        <vt:i4>5</vt:i4>
      </vt:variant>
      <vt:variant>
        <vt:lpwstr/>
      </vt:variant>
      <vt:variant>
        <vt:lpwstr>TeamTraining</vt:lpwstr>
      </vt:variant>
      <vt:variant>
        <vt:i4>6815841</vt:i4>
      </vt:variant>
      <vt:variant>
        <vt:i4>3456</vt:i4>
      </vt:variant>
      <vt:variant>
        <vt:i4>0</vt:i4>
      </vt:variant>
      <vt:variant>
        <vt:i4>5</vt:i4>
      </vt:variant>
      <vt:variant>
        <vt:lpwstr/>
      </vt:variant>
      <vt:variant>
        <vt:lpwstr>SeniorAdministrativeLeadership</vt:lpwstr>
      </vt:variant>
      <vt:variant>
        <vt:i4>2752605</vt:i4>
      </vt:variant>
      <vt:variant>
        <vt:i4>3453</vt:i4>
      </vt:variant>
      <vt:variant>
        <vt:i4>0</vt:i4>
      </vt:variant>
      <vt:variant>
        <vt:i4>5</vt:i4>
      </vt:variant>
      <vt:variant>
        <vt:lpwstr/>
      </vt:variant>
      <vt:variant>
        <vt:lpwstr>SP1_RegularCommunication</vt:lpwstr>
      </vt:variant>
      <vt:variant>
        <vt:i4>4915312</vt:i4>
      </vt:variant>
      <vt:variant>
        <vt:i4>3450</vt:i4>
      </vt:variant>
      <vt:variant>
        <vt:i4>0</vt:i4>
      </vt:variant>
      <vt:variant>
        <vt:i4>5</vt:i4>
      </vt:variant>
      <vt:variant>
        <vt:lpwstr/>
      </vt:variant>
      <vt:variant>
        <vt:lpwstr>SP1_2d</vt:lpwstr>
      </vt:variant>
      <vt:variant>
        <vt:i4>262172</vt:i4>
      </vt:variant>
      <vt:variant>
        <vt:i4>3447</vt:i4>
      </vt:variant>
      <vt:variant>
        <vt:i4>0</vt:i4>
      </vt:variant>
      <vt:variant>
        <vt:i4>5</vt:i4>
      </vt:variant>
      <vt:variant>
        <vt:lpwstr/>
      </vt:variant>
      <vt:variant>
        <vt:lpwstr>PerformanceReviewsorCompensation</vt:lpwstr>
      </vt:variant>
      <vt:variant>
        <vt:i4>6815841</vt:i4>
      </vt:variant>
      <vt:variant>
        <vt:i4>3444</vt:i4>
      </vt:variant>
      <vt:variant>
        <vt:i4>0</vt:i4>
      </vt:variant>
      <vt:variant>
        <vt:i4>5</vt:i4>
      </vt:variant>
      <vt:variant>
        <vt:lpwstr/>
      </vt:variant>
      <vt:variant>
        <vt:lpwstr>SeniorAdministrativeLeadership</vt:lpwstr>
      </vt:variant>
      <vt:variant>
        <vt:i4>1900547</vt:i4>
      </vt:variant>
      <vt:variant>
        <vt:i4>3441</vt:i4>
      </vt:variant>
      <vt:variant>
        <vt:i4>0</vt:i4>
      </vt:variant>
      <vt:variant>
        <vt:i4>5</vt:i4>
      </vt:variant>
      <vt:variant>
        <vt:lpwstr/>
      </vt:variant>
      <vt:variant>
        <vt:lpwstr>Board</vt:lpwstr>
      </vt:variant>
      <vt:variant>
        <vt:i4>2752605</vt:i4>
      </vt:variant>
      <vt:variant>
        <vt:i4>3438</vt:i4>
      </vt:variant>
      <vt:variant>
        <vt:i4>0</vt:i4>
      </vt:variant>
      <vt:variant>
        <vt:i4>5</vt:i4>
      </vt:variant>
      <vt:variant>
        <vt:lpwstr/>
      </vt:variant>
      <vt:variant>
        <vt:lpwstr>SP1_RegularCommunication</vt:lpwstr>
      </vt:variant>
      <vt:variant>
        <vt:i4>2031618</vt:i4>
      </vt:variant>
      <vt:variant>
        <vt:i4>3435</vt:i4>
      </vt:variant>
      <vt:variant>
        <vt:i4>0</vt:i4>
      </vt:variant>
      <vt:variant>
        <vt:i4>5</vt:i4>
      </vt:variant>
      <vt:variant>
        <vt:lpwstr/>
      </vt:variant>
      <vt:variant>
        <vt:lpwstr>PatientSafetyOfficer</vt:lpwstr>
      </vt:variant>
      <vt:variant>
        <vt:i4>458780</vt:i4>
      </vt:variant>
      <vt:variant>
        <vt:i4>3432</vt:i4>
      </vt:variant>
      <vt:variant>
        <vt:i4>0</vt:i4>
      </vt:variant>
      <vt:variant>
        <vt:i4>5</vt:i4>
      </vt:variant>
      <vt:variant>
        <vt:lpwstr/>
      </vt:variant>
      <vt:variant>
        <vt:lpwstr>PatientSafetyProgram</vt:lpwstr>
      </vt:variant>
      <vt:variant>
        <vt:i4>7667829</vt:i4>
      </vt:variant>
      <vt:variant>
        <vt:i4>3429</vt:i4>
      </vt:variant>
      <vt:variant>
        <vt:i4>0</vt:i4>
      </vt:variant>
      <vt:variant>
        <vt:i4>5</vt:i4>
      </vt:variant>
      <vt:variant>
        <vt:lpwstr/>
      </vt:variant>
      <vt:variant>
        <vt:lpwstr>ForthepurposesofreportingonSection6</vt:lpwstr>
      </vt:variant>
      <vt:variant>
        <vt:i4>4980851</vt:i4>
      </vt:variant>
      <vt:variant>
        <vt:i4>3426</vt:i4>
      </vt:variant>
      <vt:variant>
        <vt:i4>0</vt:i4>
      </vt:variant>
      <vt:variant>
        <vt:i4>5</vt:i4>
      </vt:variant>
      <vt:variant>
        <vt:lpwstr/>
      </vt:variant>
      <vt:variant>
        <vt:lpwstr>SP1_1c</vt:lpwstr>
      </vt:variant>
      <vt:variant>
        <vt:i4>3735595</vt:i4>
      </vt:variant>
      <vt:variant>
        <vt:i4>3423</vt:i4>
      </vt:variant>
      <vt:variant>
        <vt:i4>0</vt:i4>
      </vt:variant>
      <vt:variant>
        <vt:i4>5</vt:i4>
      </vt:variant>
      <vt:variant>
        <vt:lpwstr/>
      </vt:variant>
      <vt:variant>
        <vt:lpwstr>SP1_1b_ActiveParticipants</vt:lpwstr>
      </vt:variant>
      <vt:variant>
        <vt:i4>3735595</vt:i4>
      </vt:variant>
      <vt:variant>
        <vt:i4>3420</vt:i4>
      </vt:variant>
      <vt:variant>
        <vt:i4>0</vt:i4>
      </vt:variant>
      <vt:variant>
        <vt:i4>5</vt:i4>
      </vt:variant>
      <vt:variant>
        <vt:lpwstr/>
      </vt:variant>
      <vt:variant>
        <vt:lpwstr>SP1_1b_ActiveParticipants</vt:lpwstr>
      </vt:variant>
      <vt:variant>
        <vt:i4>4259964</vt:i4>
      </vt:variant>
      <vt:variant>
        <vt:i4>3417</vt:i4>
      </vt:variant>
      <vt:variant>
        <vt:i4>0</vt:i4>
      </vt:variant>
      <vt:variant>
        <vt:i4>5</vt:i4>
      </vt:variant>
      <vt:variant>
        <vt:lpwstr>https://www.leapfroggroup.org/sites/default/files/Files/NQF Safe Practices for Better Healthcare 2010_0.pdf?token=tNGuBYyg</vt:lpwstr>
      </vt:variant>
      <vt:variant>
        <vt:lpwstr/>
      </vt:variant>
      <vt:variant>
        <vt:i4>5111923</vt:i4>
      </vt:variant>
      <vt:variant>
        <vt:i4>3414</vt:i4>
      </vt:variant>
      <vt:variant>
        <vt:i4>0</vt:i4>
      </vt:variant>
      <vt:variant>
        <vt:i4>5</vt:i4>
      </vt:variant>
      <vt:variant>
        <vt:lpwstr/>
      </vt:variant>
      <vt:variant>
        <vt:lpwstr>SP1_1a</vt:lpwstr>
      </vt:variant>
      <vt:variant>
        <vt:i4>2752605</vt:i4>
      </vt:variant>
      <vt:variant>
        <vt:i4>3411</vt:i4>
      </vt:variant>
      <vt:variant>
        <vt:i4>0</vt:i4>
      </vt:variant>
      <vt:variant>
        <vt:i4>5</vt:i4>
      </vt:variant>
      <vt:variant>
        <vt:lpwstr/>
      </vt:variant>
      <vt:variant>
        <vt:lpwstr>SP1_RegularCommunication</vt:lpwstr>
      </vt:variant>
      <vt:variant>
        <vt:i4>1900547</vt:i4>
      </vt:variant>
      <vt:variant>
        <vt:i4>3408</vt:i4>
      </vt:variant>
      <vt:variant>
        <vt:i4>0</vt:i4>
      </vt:variant>
      <vt:variant>
        <vt:i4>5</vt:i4>
      </vt:variant>
      <vt:variant>
        <vt:lpwstr/>
      </vt:variant>
      <vt:variant>
        <vt:lpwstr>Board</vt:lpwstr>
      </vt:variant>
      <vt:variant>
        <vt:i4>6226035</vt:i4>
      </vt:variant>
      <vt:variant>
        <vt:i4>3405</vt:i4>
      </vt:variant>
      <vt:variant>
        <vt:i4>0</vt:i4>
      </vt:variant>
      <vt:variant>
        <vt:i4>5</vt:i4>
      </vt:variant>
      <vt:variant>
        <vt:lpwstr/>
      </vt:variant>
      <vt:variant>
        <vt:lpwstr>_NQF_Safe_Practice</vt:lpwstr>
      </vt:variant>
      <vt:variant>
        <vt:i4>6881390</vt:i4>
      </vt:variant>
      <vt:variant>
        <vt:i4>3402</vt:i4>
      </vt:variant>
      <vt:variant>
        <vt:i4>0</vt:i4>
      </vt:variant>
      <vt:variant>
        <vt:i4>5</vt:i4>
      </vt:variant>
      <vt:variant>
        <vt:lpwstr/>
      </vt:variant>
      <vt:variant>
        <vt:lpwstr>_Patient_Safety_Practices_2</vt:lpwstr>
      </vt:variant>
      <vt:variant>
        <vt:i4>3932286</vt:i4>
      </vt:variant>
      <vt:variant>
        <vt:i4>3399</vt:i4>
      </vt:variant>
      <vt:variant>
        <vt:i4>0</vt:i4>
      </vt:variant>
      <vt:variant>
        <vt:i4>5</vt:i4>
      </vt:variant>
      <vt:variant>
        <vt:lpwstr>https://nam02.safelinks.protection.outlook.com/?url=http%3A%2F%2Fwww.leapfroggroup.org%2Fsurvey-materials%2Fsurvey-and-cpoe-materials&amp;data=05%7C02%7CLKaufman%40leapfrog-group.org%7C60396fa6210e4710503608de0da04068%7C95c34b8315eb4d9a97a7f29881f4a800%7C0%7C0%7C638963179102269152%7CUnknown%7CTWFpbGZsb3d8eyJFbXB0eU1hcGkiOnRydWUsIlYiOiIwLjAuMDAwMCIsIlAiOiJXaW4zMiIsIkFOIjoiTWFpbCIsIldUIjoyfQ%3D%3D%7C0%7C%7C%7C&amp;sdata=4xDAuGzvM2ot3uaobcEDqactLBa6MbAsoh47EprlmjE%3D&amp;reserved=0</vt:lpwstr>
      </vt:variant>
      <vt:variant>
        <vt:lpwstr/>
      </vt:variant>
      <vt:variant>
        <vt:i4>7798907</vt:i4>
      </vt:variant>
      <vt:variant>
        <vt:i4>3396</vt:i4>
      </vt:variant>
      <vt:variant>
        <vt:i4>0</vt:i4>
      </vt:variant>
      <vt:variant>
        <vt:i4>5</vt:i4>
      </vt:variant>
      <vt:variant>
        <vt:lpwstr>http://leapfroggroup.org/survey-materials/multi-campus-reporting-policy</vt:lpwstr>
      </vt:variant>
      <vt:variant>
        <vt:lpwstr/>
      </vt:variant>
      <vt:variant>
        <vt:i4>5046365</vt:i4>
      </vt:variant>
      <vt:variant>
        <vt:i4>3393</vt:i4>
      </vt:variant>
      <vt:variant>
        <vt:i4>0</vt:i4>
      </vt:variant>
      <vt:variant>
        <vt:i4>5</vt:i4>
      </vt:variant>
      <vt:variant>
        <vt:lpwstr>http://www.leapfroggroup.org/survey-materials/scoring-and-results</vt:lpwstr>
      </vt:variant>
      <vt:variant>
        <vt:lpwstr/>
      </vt:variant>
      <vt:variant>
        <vt:i4>1835052</vt:i4>
      </vt:variant>
      <vt:variant>
        <vt:i4>3390</vt:i4>
      </vt:variant>
      <vt:variant>
        <vt:i4>0</vt:i4>
      </vt:variant>
      <vt:variant>
        <vt:i4>5</vt:i4>
      </vt:variant>
      <vt:variant>
        <vt:lpwstr/>
      </vt:variant>
      <vt:variant>
        <vt:lpwstr>_Hand_Hygiene_Measure</vt:lpwstr>
      </vt:variant>
      <vt:variant>
        <vt:i4>3866742</vt:i4>
      </vt:variant>
      <vt:variant>
        <vt:i4>3387</vt:i4>
      </vt:variant>
      <vt:variant>
        <vt:i4>0</vt:i4>
      </vt:variant>
      <vt:variant>
        <vt:i4>5</vt:i4>
      </vt:variant>
      <vt:variant>
        <vt:lpwstr>https://ratings.leapfroggroup.org/measure/hospital/2025/whats-new-2025</vt:lpwstr>
      </vt:variant>
      <vt:variant>
        <vt:lpwstr/>
      </vt:variant>
      <vt:variant>
        <vt:i4>3866742</vt:i4>
      </vt:variant>
      <vt:variant>
        <vt:i4>3384</vt:i4>
      </vt:variant>
      <vt:variant>
        <vt:i4>0</vt:i4>
      </vt:variant>
      <vt:variant>
        <vt:i4>5</vt:i4>
      </vt:variant>
      <vt:variant>
        <vt:lpwstr>https://ratings.leapfroggroup.org/measure/hospital/2025/whats-new-2025</vt:lpwstr>
      </vt:variant>
      <vt:variant>
        <vt:lpwstr/>
      </vt:variant>
      <vt:variant>
        <vt:i4>2424929</vt:i4>
      </vt:variant>
      <vt:variant>
        <vt:i4>3381</vt:i4>
      </vt:variant>
      <vt:variant>
        <vt:i4>0</vt:i4>
      </vt:variant>
      <vt:variant>
        <vt:i4>5</vt:i4>
      </vt:variant>
      <vt:variant>
        <vt:lpwstr>https://ratings.leapfroggroup.org/measure/hospital/2025/handwashing</vt:lpwstr>
      </vt:variant>
      <vt:variant>
        <vt:lpwstr/>
      </vt:variant>
      <vt:variant>
        <vt:i4>6357091</vt:i4>
      </vt:variant>
      <vt:variant>
        <vt:i4>3378</vt:i4>
      </vt:variant>
      <vt:variant>
        <vt:i4>0</vt:i4>
      </vt:variant>
      <vt:variant>
        <vt:i4>5</vt:i4>
      </vt:variant>
      <vt:variant>
        <vt:lpwstr>https://ratings.leapfroggroup.org/measure/hospital/2025/effective-leadership-prevent-errors</vt:lpwstr>
      </vt:variant>
      <vt:variant>
        <vt:lpwstr/>
      </vt:variant>
      <vt:variant>
        <vt:i4>983048</vt:i4>
      </vt:variant>
      <vt:variant>
        <vt:i4>3372</vt:i4>
      </vt:variant>
      <vt:variant>
        <vt:i4>0</vt:i4>
      </vt:variant>
      <vt:variant>
        <vt:i4>5</vt:i4>
      </vt:variant>
      <vt:variant>
        <vt:lpwstr/>
      </vt:variant>
      <vt:variant>
        <vt:lpwstr>colocatedendnote</vt:lpwstr>
      </vt:variant>
      <vt:variant>
        <vt:i4>6160475</vt:i4>
      </vt:variant>
      <vt:variant>
        <vt:i4>3369</vt:i4>
      </vt:variant>
      <vt:variant>
        <vt:i4>0</vt:i4>
      </vt:variant>
      <vt:variant>
        <vt:i4>5</vt:i4>
      </vt:variant>
      <vt:variant>
        <vt:lpwstr>https://www.nursingworld.org/organizational-programs/pathway/find-a-pathway-organization/</vt:lpwstr>
      </vt:variant>
      <vt:variant>
        <vt:lpwstr/>
      </vt:variant>
      <vt:variant>
        <vt:i4>458762</vt:i4>
      </vt:variant>
      <vt:variant>
        <vt:i4>3366</vt:i4>
      </vt:variant>
      <vt:variant>
        <vt:i4>0</vt:i4>
      </vt:variant>
      <vt:variant>
        <vt:i4>5</vt:i4>
      </vt:variant>
      <vt:variant>
        <vt:lpwstr>https://www.nursingworld.org/globalassets/docs/ana/practice/principles-of-virtual-nursing.pdf</vt:lpwstr>
      </vt:variant>
      <vt:variant>
        <vt:lpwstr/>
      </vt:variant>
      <vt:variant>
        <vt:i4>1638432</vt:i4>
      </vt:variant>
      <vt:variant>
        <vt:i4>3363</vt:i4>
      </vt:variant>
      <vt:variant>
        <vt:i4>0</vt:i4>
      </vt:variant>
      <vt:variant>
        <vt:i4>5</vt:i4>
      </vt:variant>
      <vt:variant>
        <vt:lpwstr/>
      </vt:variant>
      <vt:variant>
        <vt:lpwstr>Endnote27_Telemedicine</vt:lpwstr>
      </vt:variant>
      <vt:variant>
        <vt:i4>1638432</vt:i4>
      </vt:variant>
      <vt:variant>
        <vt:i4>3360</vt:i4>
      </vt:variant>
      <vt:variant>
        <vt:i4>0</vt:i4>
      </vt:variant>
      <vt:variant>
        <vt:i4>5</vt:i4>
      </vt:variant>
      <vt:variant>
        <vt:lpwstr/>
      </vt:variant>
      <vt:variant>
        <vt:lpwstr>Endnote27_Telemedicine</vt:lpwstr>
      </vt:variant>
      <vt:variant>
        <vt:i4>1638432</vt:i4>
      </vt:variant>
      <vt:variant>
        <vt:i4>3357</vt:i4>
      </vt:variant>
      <vt:variant>
        <vt:i4>0</vt:i4>
      </vt:variant>
      <vt:variant>
        <vt:i4>5</vt:i4>
      </vt:variant>
      <vt:variant>
        <vt:lpwstr/>
      </vt:variant>
      <vt:variant>
        <vt:lpwstr>Endnote27_Telemedicine</vt:lpwstr>
      </vt:variant>
      <vt:variant>
        <vt:i4>720943</vt:i4>
      </vt:variant>
      <vt:variant>
        <vt:i4>3354</vt:i4>
      </vt:variant>
      <vt:variant>
        <vt:i4>0</vt:i4>
      </vt:variant>
      <vt:variant>
        <vt:i4>5</vt:i4>
      </vt:variant>
      <vt:variant>
        <vt:lpwstr/>
      </vt:variant>
      <vt:variant>
        <vt:lpwstr>Endnote25_Certified</vt:lpwstr>
      </vt:variant>
      <vt:variant>
        <vt:i4>196616</vt:i4>
      </vt:variant>
      <vt:variant>
        <vt:i4>3351</vt:i4>
      </vt:variant>
      <vt:variant>
        <vt:i4>0</vt:i4>
      </vt:variant>
      <vt:variant>
        <vt:i4>5</vt:i4>
      </vt:variant>
      <vt:variant>
        <vt:lpwstr/>
      </vt:variant>
      <vt:variant>
        <vt:lpwstr>generalmedicalsurgicalandneuroicu</vt:lpwstr>
      </vt:variant>
      <vt:variant>
        <vt:i4>7274575</vt:i4>
      </vt:variant>
      <vt:variant>
        <vt:i4>3348</vt:i4>
      </vt:variant>
      <vt:variant>
        <vt:i4>0</vt:i4>
      </vt:variant>
      <vt:variant>
        <vt:i4>5</vt:i4>
      </vt:variant>
      <vt:variant>
        <vt:lpwstr/>
      </vt:variant>
      <vt:variant>
        <vt:lpwstr>Endnote22_CCPatients</vt:lpwstr>
      </vt:variant>
      <vt:variant>
        <vt:i4>7274584</vt:i4>
      </vt:variant>
      <vt:variant>
        <vt:i4>3345</vt:i4>
      </vt:variant>
      <vt:variant>
        <vt:i4>0</vt:i4>
      </vt:variant>
      <vt:variant>
        <vt:i4>5</vt:i4>
      </vt:variant>
      <vt:variant>
        <vt:lpwstr/>
      </vt:variant>
      <vt:variant>
        <vt:lpwstr>_Total_Nursing_Care</vt:lpwstr>
      </vt:variant>
      <vt:variant>
        <vt:i4>983048</vt:i4>
      </vt:variant>
      <vt:variant>
        <vt:i4>3342</vt:i4>
      </vt:variant>
      <vt:variant>
        <vt:i4>0</vt:i4>
      </vt:variant>
      <vt:variant>
        <vt:i4>5</vt:i4>
      </vt:variant>
      <vt:variant>
        <vt:lpwstr/>
      </vt:variant>
      <vt:variant>
        <vt:lpwstr>colocatedendnote</vt:lpwstr>
      </vt:variant>
      <vt:variant>
        <vt:i4>3145789</vt:i4>
      </vt:variant>
      <vt:variant>
        <vt:i4>3339</vt:i4>
      </vt:variant>
      <vt:variant>
        <vt:i4>0</vt:i4>
      </vt:variant>
      <vt:variant>
        <vt:i4>5</vt:i4>
      </vt:variant>
      <vt:variant>
        <vt:lpwstr/>
      </vt:variant>
      <vt:variant>
        <vt:lpwstr>_Total_Nursing_Care_1</vt:lpwstr>
      </vt:variant>
      <vt:variant>
        <vt:i4>4391012</vt:i4>
      </vt:variant>
      <vt:variant>
        <vt:i4>3336</vt:i4>
      </vt:variant>
      <vt:variant>
        <vt:i4>0</vt:i4>
      </vt:variant>
      <vt:variant>
        <vt:i4>5</vt:i4>
      </vt:variant>
      <vt:variant>
        <vt:lpwstr>mailto:NDNQISupport@PressGaney.com</vt:lpwstr>
      </vt:variant>
      <vt:variant>
        <vt:lpwstr/>
      </vt:variant>
      <vt:variant>
        <vt:i4>7798907</vt:i4>
      </vt:variant>
      <vt:variant>
        <vt:i4>3333</vt:i4>
      </vt:variant>
      <vt:variant>
        <vt:i4>0</vt:i4>
      </vt:variant>
      <vt:variant>
        <vt:i4>5</vt:i4>
      </vt:variant>
      <vt:variant>
        <vt:lpwstr>http://leapfroggroup.org/survey-materials/multi-campus-reporting-policy</vt:lpwstr>
      </vt:variant>
      <vt:variant>
        <vt:lpwstr/>
      </vt:variant>
      <vt:variant>
        <vt:i4>2031645</vt:i4>
      </vt:variant>
      <vt:variant>
        <vt:i4>3330</vt:i4>
      </vt:variant>
      <vt:variant>
        <vt:i4>0</vt:i4>
      </vt:variant>
      <vt:variant>
        <vt:i4>5</vt:i4>
      </vt:variant>
      <vt:variant>
        <vt:lpwstr>https://www.leapfroggroup.org/about/expert-panelists</vt:lpwstr>
      </vt:variant>
      <vt:variant>
        <vt:lpwstr/>
      </vt:variant>
      <vt:variant>
        <vt:i4>2031645</vt:i4>
      </vt:variant>
      <vt:variant>
        <vt:i4>3327</vt:i4>
      </vt:variant>
      <vt:variant>
        <vt:i4>0</vt:i4>
      </vt:variant>
      <vt:variant>
        <vt:i4>5</vt:i4>
      </vt:variant>
      <vt:variant>
        <vt:lpwstr>https://www.leapfroggroup.org/about/expert-panelists</vt:lpwstr>
      </vt:variant>
      <vt:variant>
        <vt:lpwstr/>
      </vt:variant>
      <vt:variant>
        <vt:i4>1441823</vt:i4>
      </vt:variant>
      <vt:variant>
        <vt:i4>3321</vt:i4>
      </vt:variant>
      <vt:variant>
        <vt:i4>0</vt:i4>
      </vt:variant>
      <vt:variant>
        <vt:i4>5</vt:i4>
      </vt:variant>
      <vt:variant>
        <vt:lpwstr/>
      </vt:variant>
      <vt:variant>
        <vt:lpwstr>bsnspecs</vt:lpwstr>
      </vt:variant>
      <vt:variant>
        <vt:i4>8323181</vt:i4>
      </vt:variant>
      <vt:variant>
        <vt:i4>3318</vt:i4>
      </vt:variant>
      <vt:variant>
        <vt:i4>0</vt:i4>
      </vt:variant>
      <vt:variant>
        <vt:i4>5</vt:i4>
      </vt:variant>
      <vt:variant>
        <vt:lpwstr/>
      </vt:variant>
      <vt:variant>
        <vt:lpwstr>StaffingPlanFAQ</vt:lpwstr>
      </vt:variant>
      <vt:variant>
        <vt:i4>6684771</vt:i4>
      </vt:variant>
      <vt:variant>
        <vt:i4>3315</vt:i4>
      </vt:variant>
      <vt:variant>
        <vt:i4>0</vt:i4>
      </vt:variant>
      <vt:variant>
        <vt:i4>5</vt:i4>
      </vt:variant>
      <vt:variant>
        <vt:lpwstr/>
      </vt:variant>
      <vt:variant>
        <vt:lpwstr>Budget</vt:lpwstr>
      </vt:variant>
      <vt:variant>
        <vt:i4>6815841</vt:i4>
      </vt:variant>
      <vt:variant>
        <vt:i4>3312</vt:i4>
      </vt:variant>
      <vt:variant>
        <vt:i4>0</vt:i4>
      </vt:variant>
      <vt:variant>
        <vt:i4>5</vt:i4>
      </vt:variant>
      <vt:variant>
        <vt:lpwstr/>
      </vt:variant>
      <vt:variant>
        <vt:lpwstr>SeniorAdministrativeLeadership</vt:lpwstr>
      </vt:variant>
      <vt:variant>
        <vt:i4>1900547</vt:i4>
      </vt:variant>
      <vt:variant>
        <vt:i4>3309</vt:i4>
      </vt:variant>
      <vt:variant>
        <vt:i4>0</vt:i4>
      </vt:variant>
      <vt:variant>
        <vt:i4>5</vt:i4>
      </vt:variant>
      <vt:variant>
        <vt:lpwstr/>
      </vt:variant>
      <vt:variant>
        <vt:lpwstr>Board</vt:lpwstr>
      </vt:variant>
      <vt:variant>
        <vt:i4>6815841</vt:i4>
      </vt:variant>
      <vt:variant>
        <vt:i4>3306</vt:i4>
      </vt:variant>
      <vt:variant>
        <vt:i4>0</vt:i4>
      </vt:variant>
      <vt:variant>
        <vt:i4>5</vt:i4>
      </vt:variant>
      <vt:variant>
        <vt:lpwstr/>
      </vt:variant>
      <vt:variant>
        <vt:lpwstr>SeniorAdministrativeLeadership</vt:lpwstr>
      </vt:variant>
      <vt:variant>
        <vt:i4>1703945</vt:i4>
      </vt:variant>
      <vt:variant>
        <vt:i4>3303</vt:i4>
      </vt:variant>
      <vt:variant>
        <vt:i4>0</vt:i4>
      </vt:variant>
      <vt:variant>
        <vt:i4>5</vt:i4>
      </vt:variant>
      <vt:variant>
        <vt:lpwstr/>
      </vt:variant>
      <vt:variant>
        <vt:lpwstr>NursingLeadership</vt:lpwstr>
      </vt:variant>
      <vt:variant>
        <vt:i4>1703945</vt:i4>
      </vt:variant>
      <vt:variant>
        <vt:i4>3300</vt:i4>
      </vt:variant>
      <vt:variant>
        <vt:i4>0</vt:i4>
      </vt:variant>
      <vt:variant>
        <vt:i4>5</vt:i4>
      </vt:variant>
      <vt:variant>
        <vt:lpwstr/>
      </vt:variant>
      <vt:variant>
        <vt:lpwstr>NursingLeadership</vt:lpwstr>
      </vt:variant>
      <vt:variant>
        <vt:i4>6226035</vt:i4>
      </vt:variant>
      <vt:variant>
        <vt:i4>3297</vt:i4>
      </vt:variant>
      <vt:variant>
        <vt:i4>0</vt:i4>
      </vt:variant>
      <vt:variant>
        <vt:i4>5</vt:i4>
      </vt:variant>
      <vt:variant>
        <vt:lpwstr/>
      </vt:variant>
      <vt:variant>
        <vt:lpwstr>_NQF_Safe_Practice</vt:lpwstr>
      </vt:variant>
      <vt:variant>
        <vt:i4>6881390</vt:i4>
      </vt:variant>
      <vt:variant>
        <vt:i4>3294</vt:i4>
      </vt:variant>
      <vt:variant>
        <vt:i4>0</vt:i4>
      </vt:variant>
      <vt:variant>
        <vt:i4>5</vt:i4>
      </vt:variant>
      <vt:variant>
        <vt:lpwstr/>
      </vt:variant>
      <vt:variant>
        <vt:lpwstr>_Patient_Safety_Practices_1</vt:lpwstr>
      </vt:variant>
      <vt:variant>
        <vt:i4>589841</vt:i4>
      </vt:variant>
      <vt:variant>
        <vt:i4>3291</vt:i4>
      </vt:variant>
      <vt:variant>
        <vt:i4>0</vt:i4>
      </vt:variant>
      <vt:variant>
        <vt:i4>5</vt:i4>
      </vt:variant>
      <vt:variant>
        <vt:lpwstr/>
      </vt:variant>
      <vt:variant>
        <vt:lpwstr>mixedacuityspecs</vt:lpwstr>
      </vt:variant>
      <vt:variant>
        <vt:i4>983059</vt:i4>
      </vt:variant>
      <vt:variant>
        <vt:i4>3288</vt:i4>
      </vt:variant>
      <vt:variant>
        <vt:i4>0</vt:i4>
      </vt:variant>
      <vt:variant>
        <vt:i4>5</vt:i4>
      </vt:variant>
      <vt:variant>
        <vt:lpwstr/>
      </vt:variant>
      <vt:variant>
        <vt:lpwstr>virtualnursingFAQ</vt:lpwstr>
      </vt:variant>
      <vt:variant>
        <vt:i4>589841</vt:i4>
      </vt:variant>
      <vt:variant>
        <vt:i4>3285</vt:i4>
      </vt:variant>
      <vt:variant>
        <vt:i4>0</vt:i4>
      </vt:variant>
      <vt:variant>
        <vt:i4>5</vt:i4>
      </vt:variant>
      <vt:variant>
        <vt:lpwstr/>
      </vt:variant>
      <vt:variant>
        <vt:lpwstr>mixedacuityspecs</vt:lpwstr>
      </vt:variant>
      <vt:variant>
        <vt:i4>4915204</vt:i4>
      </vt:variant>
      <vt:variant>
        <vt:i4>3282</vt:i4>
      </vt:variant>
      <vt:variant>
        <vt:i4>0</vt:i4>
      </vt:variant>
      <vt:variant>
        <vt:i4>5</vt:i4>
      </vt:variant>
      <vt:variant>
        <vt:lpwstr/>
      </vt:variant>
      <vt:variant>
        <vt:lpwstr>_Nursing_Workforce_Measure_1</vt:lpwstr>
      </vt:variant>
      <vt:variant>
        <vt:i4>4915204</vt:i4>
      </vt:variant>
      <vt:variant>
        <vt:i4>3279</vt:i4>
      </vt:variant>
      <vt:variant>
        <vt:i4>0</vt:i4>
      </vt:variant>
      <vt:variant>
        <vt:i4>5</vt:i4>
      </vt:variant>
      <vt:variant>
        <vt:lpwstr/>
      </vt:variant>
      <vt:variant>
        <vt:lpwstr>_Nursing_Workforce_Measure_1</vt:lpwstr>
      </vt:variant>
      <vt:variant>
        <vt:i4>4915204</vt:i4>
      </vt:variant>
      <vt:variant>
        <vt:i4>3276</vt:i4>
      </vt:variant>
      <vt:variant>
        <vt:i4>0</vt:i4>
      </vt:variant>
      <vt:variant>
        <vt:i4>5</vt:i4>
      </vt:variant>
      <vt:variant>
        <vt:lpwstr/>
      </vt:variant>
      <vt:variant>
        <vt:lpwstr>_Nursing_Workforce_Measure_1</vt:lpwstr>
      </vt:variant>
      <vt:variant>
        <vt:i4>4915204</vt:i4>
      </vt:variant>
      <vt:variant>
        <vt:i4>3273</vt:i4>
      </vt:variant>
      <vt:variant>
        <vt:i4>0</vt:i4>
      </vt:variant>
      <vt:variant>
        <vt:i4>5</vt:i4>
      </vt:variant>
      <vt:variant>
        <vt:lpwstr/>
      </vt:variant>
      <vt:variant>
        <vt:lpwstr>_Nursing_Workforce_Measure_1</vt:lpwstr>
      </vt:variant>
      <vt:variant>
        <vt:i4>4915204</vt:i4>
      </vt:variant>
      <vt:variant>
        <vt:i4>3270</vt:i4>
      </vt:variant>
      <vt:variant>
        <vt:i4>0</vt:i4>
      </vt:variant>
      <vt:variant>
        <vt:i4>5</vt:i4>
      </vt:variant>
      <vt:variant>
        <vt:lpwstr/>
      </vt:variant>
      <vt:variant>
        <vt:lpwstr>_Nursing_Workforce_Measure_1</vt:lpwstr>
      </vt:variant>
      <vt:variant>
        <vt:i4>4915204</vt:i4>
      </vt:variant>
      <vt:variant>
        <vt:i4>3267</vt:i4>
      </vt:variant>
      <vt:variant>
        <vt:i4>0</vt:i4>
      </vt:variant>
      <vt:variant>
        <vt:i4>5</vt:i4>
      </vt:variant>
      <vt:variant>
        <vt:lpwstr/>
      </vt:variant>
      <vt:variant>
        <vt:lpwstr>_Nursing_Workforce_Measure_1</vt:lpwstr>
      </vt:variant>
      <vt:variant>
        <vt:i4>4915204</vt:i4>
      </vt:variant>
      <vt:variant>
        <vt:i4>3264</vt:i4>
      </vt:variant>
      <vt:variant>
        <vt:i4>0</vt:i4>
      </vt:variant>
      <vt:variant>
        <vt:i4>5</vt:i4>
      </vt:variant>
      <vt:variant>
        <vt:lpwstr/>
      </vt:variant>
      <vt:variant>
        <vt:lpwstr>_Nursing_Workforce_Measure_1</vt:lpwstr>
      </vt:variant>
      <vt:variant>
        <vt:i4>7798907</vt:i4>
      </vt:variant>
      <vt:variant>
        <vt:i4>3261</vt:i4>
      </vt:variant>
      <vt:variant>
        <vt:i4>0</vt:i4>
      </vt:variant>
      <vt:variant>
        <vt:i4>5</vt:i4>
      </vt:variant>
      <vt:variant>
        <vt:lpwstr>http://leapfroggroup.org/survey-materials/multi-campus-reporting-policy</vt:lpwstr>
      </vt:variant>
      <vt:variant>
        <vt:lpwstr/>
      </vt:variant>
      <vt:variant>
        <vt:i4>720943</vt:i4>
      </vt:variant>
      <vt:variant>
        <vt:i4>3255</vt:i4>
      </vt:variant>
      <vt:variant>
        <vt:i4>0</vt:i4>
      </vt:variant>
      <vt:variant>
        <vt:i4>5</vt:i4>
      </vt:variant>
      <vt:variant>
        <vt:lpwstr/>
      </vt:variant>
      <vt:variant>
        <vt:lpwstr>Endnote25_Certified</vt:lpwstr>
      </vt:variant>
      <vt:variant>
        <vt:i4>7274575</vt:i4>
      </vt:variant>
      <vt:variant>
        <vt:i4>3249</vt:i4>
      </vt:variant>
      <vt:variant>
        <vt:i4>0</vt:i4>
      </vt:variant>
      <vt:variant>
        <vt:i4>5</vt:i4>
      </vt:variant>
      <vt:variant>
        <vt:lpwstr/>
      </vt:variant>
      <vt:variant>
        <vt:lpwstr>Endnote22_CCPatients</vt:lpwstr>
      </vt:variant>
      <vt:variant>
        <vt:i4>720943</vt:i4>
      </vt:variant>
      <vt:variant>
        <vt:i4>3243</vt:i4>
      </vt:variant>
      <vt:variant>
        <vt:i4>0</vt:i4>
      </vt:variant>
      <vt:variant>
        <vt:i4>5</vt:i4>
      </vt:variant>
      <vt:variant>
        <vt:lpwstr/>
      </vt:variant>
      <vt:variant>
        <vt:lpwstr>Endnote25_Certified</vt:lpwstr>
      </vt:variant>
      <vt:variant>
        <vt:i4>7274575</vt:i4>
      </vt:variant>
      <vt:variant>
        <vt:i4>3237</vt:i4>
      </vt:variant>
      <vt:variant>
        <vt:i4>0</vt:i4>
      </vt:variant>
      <vt:variant>
        <vt:i4>5</vt:i4>
      </vt:variant>
      <vt:variant>
        <vt:lpwstr/>
      </vt:variant>
      <vt:variant>
        <vt:lpwstr>Endnote22_CCPatients</vt:lpwstr>
      </vt:variant>
      <vt:variant>
        <vt:i4>327742</vt:i4>
      </vt:variant>
      <vt:variant>
        <vt:i4>3231</vt:i4>
      </vt:variant>
      <vt:variant>
        <vt:i4>0</vt:i4>
      </vt:variant>
      <vt:variant>
        <vt:i4>5</vt:i4>
      </vt:variant>
      <vt:variant>
        <vt:lpwstr/>
      </vt:variant>
      <vt:variant>
        <vt:lpwstr>Endnote28_ResponseAnalysis</vt:lpwstr>
      </vt:variant>
      <vt:variant>
        <vt:i4>7274575</vt:i4>
      </vt:variant>
      <vt:variant>
        <vt:i4>3225</vt:i4>
      </vt:variant>
      <vt:variant>
        <vt:i4>0</vt:i4>
      </vt:variant>
      <vt:variant>
        <vt:i4>5</vt:i4>
      </vt:variant>
      <vt:variant>
        <vt:lpwstr/>
      </vt:variant>
      <vt:variant>
        <vt:lpwstr>Endnote22_CCPatients</vt:lpwstr>
      </vt:variant>
      <vt:variant>
        <vt:i4>7733325</vt:i4>
      </vt:variant>
      <vt:variant>
        <vt:i4>3219</vt:i4>
      </vt:variant>
      <vt:variant>
        <vt:i4>0</vt:i4>
      </vt:variant>
      <vt:variant>
        <vt:i4>5</vt:i4>
      </vt:variant>
      <vt:variant>
        <vt:lpwstr/>
      </vt:variant>
      <vt:variant>
        <vt:lpwstr>Endnote26_Present</vt:lpwstr>
      </vt:variant>
      <vt:variant>
        <vt:i4>7733325</vt:i4>
      </vt:variant>
      <vt:variant>
        <vt:i4>3213</vt:i4>
      </vt:variant>
      <vt:variant>
        <vt:i4>0</vt:i4>
      </vt:variant>
      <vt:variant>
        <vt:i4>5</vt:i4>
      </vt:variant>
      <vt:variant>
        <vt:lpwstr/>
      </vt:variant>
      <vt:variant>
        <vt:lpwstr>Endnote26_Present</vt:lpwstr>
      </vt:variant>
      <vt:variant>
        <vt:i4>1638432</vt:i4>
      </vt:variant>
      <vt:variant>
        <vt:i4>3207</vt:i4>
      </vt:variant>
      <vt:variant>
        <vt:i4>0</vt:i4>
      </vt:variant>
      <vt:variant>
        <vt:i4>5</vt:i4>
      </vt:variant>
      <vt:variant>
        <vt:lpwstr/>
      </vt:variant>
      <vt:variant>
        <vt:lpwstr>Endnote27_Telemedicine</vt:lpwstr>
      </vt:variant>
      <vt:variant>
        <vt:i4>720943</vt:i4>
      </vt:variant>
      <vt:variant>
        <vt:i4>3201</vt:i4>
      </vt:variant>
      <vt:variant>
        <vt:i4>0</vt:i4>
      </vt:variant>
      <vt:variant>
        <vt:i4>5</vt:i4>
      </vt:variant>
      <vt:variant>
        <vt:lpwstr/>
      </vt:variant>
      <vt:variant>
        <vt:lpwstr>Endnote25_Certified</vt:lpwstr>
      </vt:variant>
      <vt:variant>
        <vt:i4>8126555</vt:i4>
      </vt:variant>
      <vt:variant>
        <vt:i4>3195</vt:i4>
      </vt:variant>
      <vt:variant>
        <vt:i4>0</vt:i4>
      </vt:variant>
      <vt:variant>
        <vt:i4>5</vt:i4>
      </vt:variant>
      <vt:variant>
        <vt:lpwstr/>
      </vt:variant>
      <vt:variant>
        <vt:lpwstr>Endnote24_Manage</vt:lpwstr>
      </vt:variant>
      <vt:variant>
        <vt:i4>7274575</vt:i4>
      </vt:variant>
      <vt:variant>
        <vt:i4>3189</vt:i4>
      </vt:variant>
      <vt:variant>
        <vt:i4>0</vt:i4>
      </vt:variant>
      <vt:variant>
        <vt:i4>5</vt:i4>
      </vt:variant>
      <vt:variant>
        <vt:lpwstr/>
      </vt:variant>
      <vt:variant>
        <vt:lpwstr>Endnote22_CCPatients</vt:lpwstr>
      </vt:variant>
      <vt:variant>
        <vt:i4>720943</vt:i4>
      </vt:variant>
      <vt:variant>
        <vt:i4>3183</vt:i4>
      </vt:variant>
      <vt:variant>
        <vt:i4>0</vt:i4>
      </vt:variant>
      <vt:variant>
        <vt:i4>5</vt:i4>
      </vt:variant>
      <vt:variant>
        <vt:lpwstr/>
      </vt:variant>
      <vt:variant>
        <vt:lpwstr>Endnote25_Certified</vt:lpwstr>
      </vt:variant>
      <vt:variant>
        <vt:i4>8126555</vt:i4>
      </vt:variant>
      <vt:variant>
        <vt:i4>3177</vt:i4>
      </vt:variant>
      <vt:variant>
        <vt:i4>0</vt:i4>
      </vt:variant>
      <vt:variant>
        <vt:i4>5</vt:i4>
      </vt:variant>
      <vt:variant>
        <vt:lpwstr/>
      </vt:variant>
      <vt:variant>
        <vt:lpwstr>Endnote24_Manage</vt:lpwstr>
      </vt:variant>
      <vt:variant>
        <vt:i4>7274575</vt:i4>
      </vt:variant>
      <vt:variant>
        <vt:i4>3171</vt:i4>
      </vt:variant>
      <vt:variant>
        <vt:i4>0</vt:i4>
      </vt:variant>
      <vt:variant>
        <vt:i4>5</vt:i4>
      </vt:variant>
      <vt:variant>
        <vt:lpwstr/>
      </vt:variant>
      <vt:variant>
        <vt:lpwstr>Endnote22_CCPatients</vt:lpwstr>
      </vt:variant>
      <vt:variant>
        <vt:i4>1245231</vt:i4>
      </vt:variant>
      <vt:variant>
        <vt:i4>3168</vt:i4>
      </vt:variant>
      <vt:variant>
        <vt:i4>0</vt:i4>
      </vt:variant>
      <vt:variant>
        <vt:i4>5</vt:i4>
      </vt:variant>
      <vt:variant>
        <vt:lpwstr/>
      </vt:variant>
      <vt:variant>
        <vt:lpwstr>Endnote32_ModifiedTelemedicine</vt:lpwstr>
      </vt:variant>
      <vt:variant>
        <vt:i4>720943</vt:i4>
      </vt:variant>
      <vt:variant>
        <vt:i4>3162</vt:i4>
      </vt:variant>
      <vt:variant>
        <vt:i4>0</vt:i4>
      </vt:variant>
      <vt:variant>
        <vt:i4>5</vt:i4>
      </vt:variant>
      <vt:variant>
        <vt:lpwstr/>
      </vt:variant>
      <vt:variant>
        <vt:lpwstr>Endnote25_Certified</vt:lpwstr>
      </vt:variant>
      <vt:variant>
        <vt:i4>8126555</vt:i4>
      </vt:variant>
      <vt:variant>
        <vt:i4>3156</vt:i4>
      </vt:variant>
      <vt:variant>
        <vt:i4>0</vt:i4>
      </vt:variant>
      <vt:variant>
        <vt:i4>5</vt:i4>
      </vt:variant>
      <vt:variant>
        <vt:lpwstr/>
      </vt:variant>
      <vt:variant>
        <vt:lpwstr>Endnote24_Manage</vt:lpwstr>
      </vt:variant>
      <vt:variant>
        <vt:i4>7274575</vt:i4>
      </vt:variant>
      <vt:variant>
        <vt:i4>3150</vt:i4>
      </vt:variant>
      <vt:variant>
        <vt:i4>0</vt:i4>
      </vt:variant>
      <vt:variant>
        <vt:i4>5</vt:i4>
      </vt:variant>
      <vt:variant>
        <vt:lpwstr/>
      </vt:variant>
      <vt:variant>
        <vt:lpwstr>Endnote22_CCPatients</vt:lpwstr>
      </vt:variant>
      <vt:variant>
        <vt:i4>7733325</vt:i4>
      </vt:variant>
      <vt:variant>
        <vt:i4>3144</vt:i4>
      </vt:variant>
      <vt:variant>
        <vt:i4>0</vt:i4>
      </vt:variant>
      <vt:variant>
        <vt:i4>5</vt:i4>
      </vt:variant>
      <vt:variant>
        <vt:lpwstr/>
      </vt:variant>
      <vt:variant>
        <vt:lpwstr>Endnote26_Present</vt:lpwstr>
      </vt:variant>
      <vt:variant>
        <vt:i4>7733325</vt:i4>
      </vt:variant>
      <vt:variant>
        <vt:i4>3138</vt:i4>
      </vt:variant>
      <vt:variant>
        <vt:i4>0</vt:i4>
      </vt:variant>
      <vt:variant>
        <vt:i4>5</vt:i4>
      </vt:variant>
      <vt:variant>
        <vt:lpwstr/>
      </vt:variant>
      <vt:variant>
        <vt:lpwstr>Endnote26_Present</vt:lpwstr>
      </vt:variant>
      <vt:variant>
        <vt:i4>720943</vt:i4>
      </vt:variant>
      <vt:variant>
        <vt:i4>3132</vt:i4>
      </vt:variant>
      <vt:variant>
        <vt:i4>0</vt:i4>
      </vt:variant>
      <vt:variant>
        <vt:i4>5</vt:i4>
      </vt:variant>
      <vt:variant>
        <vt:lpwstr/>
      </vt:variant>
      <vt:variant>
        <vt:lpwstr>Endnote25_Certified</vt:lpwstr>
      </vt:variant>
      <vt:variant>
        <vt:i4>8126555</vt:i4>
      </vt:variant>
      <vt:variant>
        <vt:i4>3126</vt:i4>
      </vt:variant>
      <vt:variant>
        <vt:i4>0</vt:i4>
      </vt:variant>
      <vt:variant>
        <vt:i4>5</vt:i4>
      </vt:variant>
      <vt:variant>
        <vt:lpwstr/>
      </vt:variant>
      <vt:variant>
        <vt:lpwstr>Endnote24_Manage</vt:lpwstr>
      </vt:variant>
      <vt:variant>
        <vt:i4>7274575</vt:i4>
      </vt:variant>
      <vt:variant>
        <vt:i4>3120</vt:i4>
      </vt:variant>
      <vt:variant>
        <vt:i4>0</vt:i4>
      </vt:variant>
      <vt:variant>
        <vt:i4>5</vt:i4>
      </vt:variant>
      <vt:variant>
        <vt:lpwstr/>
      </vt:variant>
      <vt:variant>
        <vt:lpwstr>Endnote22_CCPatients</vt:lpwstr>
      </vt:variant>
      <vt:variant>
        <vt:i4>327742</vt:i4>
      </vt:variant>
      <vt:variant>
        <vt:i4>3114</vt:i4>
      </vt:variant>
      <vt:variant>
        <vt:i4>0</vt:i4>
      </vt:variant>
      <vt:variant>
        <vt:i4>5</vt:i4>
      </vt:variant>
      <vt:variant>
        <vt:lpwstr/>
      </vt:variant>
      <vt:variant>
        <vt:lpwstr>Endnote28_ResponseAnalysis</vt:lpwstr>
      </vt:variant>
      <vt:variant>
        <vt:i4>1048636</vt:i4>
      </vt:variant>
      <vt:variant>
        <vt:i4>3108</vt:i4>
      </vt:variant>
      <vt:variant>
        <vt:i4>0</vt:i4>
      </vt:variant>
      <vt:variant>
        <vt:i4>5</vt:i4>
      </vt:variant>
      <vt:variant>
        <vt:lpwstr/>
      </vt:variant>
      <vt:variant>
        <vt:lpwstr>Endnote29_NurseEffector</vt:lpwstr>
      </vt:variant>
      <vt:variant>
        <vt:i4>393272</vt:i4>
      </vt:variant>
      <vt:variant>
        <vt:i4>3105</vt:i4>
      </vt:variant>
      <vt:variant>
        <vt:i4>0</vt:i4>
      </vt:variant>
      <vt:variant>
        <vt:i4>5</vt:i4>
      </vt:variant>
      <vt:variant>
        <vt:lpwstr/>
      </vt:variant>
      <vt:variant>
        <vt:lpwstr>Endnote31_OtherEffector</vt:lpwstr>
      </vt:variant>
      <vt:variant>
        <vt:i4>7209033</vt:i4>
      </vt:variant>
      <vt:variant>
        <vt:i4>3102</vt:i4>
      </vt:variant>
      <vt:variant>
        <vt:i4>0</vt:i4>
      </vt:variant>
      <vt:variant>
        <vt:i4>5</vt:i4>
      </vt:variant>
      <vt:variant>
        <vt:lpwstr/>
      </vt:variant>
      <vt:variant>
        <vt:lpwstr>Endnote30_TeleCoverCalls</vt:lpwstr>
      </vt:variant>
      <vt:variant>
        <vt:i4>327742</vt:i4>
      </vt:variant>
      <vt:variant>
        <vt:i4>3096</vt:i4>
      </vt:variant>
      <vt:variant>
        <vt:i4>0</vt:i4>
      </vt:variant>
      <vt:variant>
        <vt:i4>5</vt:i4>
      </vt:variant>
      <vt:variant>
        <vt:lpwstr/>
      </vt:variant>
      <vt:variant>
        <vt:lpwstr>Endnote28_ResponseAnalysis</vt:lpwstr>
      </vt:variant>
      <vt:variant>
        <vt:i4>1638432</vt:i4>
      </vt:variant>
      <vt:variant>
        <vt:i4>3090</vt:i4>
      </vt:variant>
      <vt:variant>
        <vt:i4>0</vt:i4>
      </vt:variant>
      <vt:variant>
        <vt:i4>5</vt:i4>
      </vt:variant>
      <vt:variant>
        <vt:lpwstr/>
      </vt:variant>
      <vt:variant>
        <vt:lpwstr>Endnote27_Telemedicine</vt:lpwstr>
      </vt:variant>
      <vt:variant>
        <vt:i4>720943</vt:i4>
      </vt:variant>
      <vt:variant>
        <vt:i4>3084</vt:i4>
      </vt:variant>
      <vt:variant>
        <vt:i4>0</vt:i4>
      </vt:variant>
      <vt:variant>
        <vt:i4>5</vt:i4>
      </vt:variant>
      <vt:variant>
        <vt:lpwstr/>
      </vt:variant>
      <vt:variant>
        <vt:lpwstr>Endnote25_Certified</vt:lpwstr>
      </vt:variant>
      <vt:variant>
        <vt:i4>8126555</vt:i4>
      </vt:variant>
      <vt:variant>
        <vt:i4>3078</vt:i4>
      </vt:variant>
      <vt:variant>
        <vt:i4>0</vt:i4>
      </vt:variant>
      <vt:variant>
        <vt:i4>5</vt:i4>
      </vt:variant>
      <vt:variant>
        <vt:lpwstr/>
      </vt:variant>
      <vt:variant>
        <vt:lpwstr>Endnote24_Manage</vt:lpwstr>
      </vt:variant>
      <vt:variant>
        <vt:i4>7274575</vt:i4>
      </vt:variant>
      <vt:variant>
        <vt:i4>3072</vt:i4>
      </vt:variant>
      <vt:variant>
        <vt:i4>0</vt:i4>
      </vt:variant>
      <vt:variant>
        <vt:i4>5</vt:i4>
      </vt:variant>
      <vt:variant>
        <vt:lpwstr/>
      </vt:variant>
      <vt:variant>
        <vt:lpwstr>Endnote22_CCPatients</vt:lpwstr>
      </vt:variant>
      <vt:variant>
        <vt:i4>7733325</vt:i4>
      </vt:variant>
      <vt:variant>
        <vt:i4>3066</vt:i4>
      </vt:variant>
      <vt:variant>
        <vt:i4>0</vt:i4>
      </vt:variant>
      <vt:variant>
        <vt:i4>5</vt:i4>
      </vt:variant>
      <vt:variant>
        <vt:lpwstr/>
      </vt:variant>
      <vt:variant>
        <vt:lpwstr>Endnote26_Present</vt:lpwstr>
      </vt:variant>
      <vt:variant>
        <vt:i4>7733325</vt:i4>
      </vt:variant>
      <vt:variant>
        <vt:i4>3060</vt:i4>
      </vt:variant>
      <vt:variant>
        <vt:i4>0</vt:i4>
      </vt:variant>
      <vt:variant>
        <vt:i4>5</vt:i4>
      </vt:variant>
      <vt:variant>
        <vt:lpwstr/>
      </vt:variant>
      <vt:variant>
        <vt:lpwstr>Endnote26_Present</vt:lpwstr>
      </vt:variant>
      <vt:variant>
        <vt:i4>720943</vt:i4>
      </vt:variant>
      <vt:variant>
        <vt:i4>3054</vt:i4>
      </vt:variant>
      <vt:variant>
        <vt:i4>0</vt:i4>
      </vt:variant>
      <vt:variant>
        <vt:i4>5</vt:i4>
      </vt:variant>
      <vt:variant>
        <vt:lpwstr/>
      </vt:variant>
      <vt:variant>
        <vt:lpwstr>Endnote25_Certified</vt:lpwstr>
      </vt:variant>
      <vt:variant>
        <vt:i4>8126555</vt:i4>
      </vt:variant>
      <vt:variant>
        <vt:i4>3048</vt:i4>
      </vt:variant>
      <vt:variant>
        <vt:i4>0</vt:i4>
      </vt:variant>
      <vt:variant>
        <vt:i4>5</vt:i4>
      </vt:variant>
      <vt:variant>
        <vt:lpwstr/>
      </vt:variant>
      <vt:variant>
        <vt:lpwstr>Endnote24_Manage</vt:lpwstr>
      </vt:variant>
      <vt:variant>
        <vt:i4>7274575</vt:i4>
      </vt:variant>
      <vt:variant>
        <vt:i4>3042</vt:i4>
      </vt:variant>
      <vt:variant>
        <vt:i4>0</vt:i4>
      </vt:variant>
      <vt:variant>
        <vt:i4>5</vt:i4>
      </vt:variant>
      <vt:variant>
        <vt:lpwstr/>
      </vt:variant>
      <vt:variant>
        <vt:lpwstr>Endnote22_CCPatients</vt:lpwstr>
      </vt:variant>
      <vt:variant>
        <vt:i4>3538982</vt:i4>
      </vt:variant>
      <vt:variant>
        <vt:i4>3039</vt:i4>
      </vt:variant>
      <vt:variant>
        <vt:i4>0</vt:i4>
      </vt:variant>
      <vt:variant>
        <vt:i4>5</vt:i4>
      </vt:variant>
      <vt:variant>
        <vt:lpwstr>https://www.leapfroggroup.org/survey-materials/scoring-and-results</vt:lpwstr>
      </vt:variant>
      <vt:variant>
        <vt:lpwstr/>
      </vt:variant>
      <vt:variant>
        <vt:i4>7274575</vt:i4>
      </vt:variant>
      <vt:variant>
        <vt:i4>3033</vt:i4>
      </vt:variant>
      <vt:variant>
        <vt:i4>0</vt:i4>
      </vt:variant>
      <vt:variant>
        <vt:i4>5</vt:i4>
      </vt:variant>
      <vt:variant>
        <vt:lpwstr/>
      </vt:variant>
      <vt:variant>
        <vt:lpwstr>Endnote22_CCPatients</vt:lpwstr>
      </vt:variant>
      <vt:variant>
        <vt:i4>720943</vt:i4>
      </vt:variant>
      <vt:variant>
        <vt:i4>3027</vt:i4>
      </vt:variant>
      <vt:variant>
        <vt:i4>0</vt:i4>
      </vt:variant>
      <vt:variant>
        <vt:i4>5</vt:i4>
      </vt:variant>
      <vt:variant>
        <vt:lpwstr/>
      </vt:variant>
      <vt:variant>
        <vt:lpwstr>Endnote25_Certified</vt:lpwstr>
      </vt:variant>
      <vt:variant>
        <vt:i4>720943</vt:i4>
      </vt:variant>
      <vt:variant>
        <vt:i4>3021</vt:i4>
      </vt:variant>
      <vt:variant>
        <vt:i4>0</vt:i4>
      </vt:variant>
      <vt:variant>
        <vt:i4>5</vt:i4>
      </vt:variant>
      <vt:variant>
        <vt:lpwstr/>
      </vt:variant>
      <vt:variant>
        <vt:lpwstr>Endnote25_Certified</vt:lpwstr>
      </vt:variant>
      <vt:variant>
        <vt:i4>196616</vt:i4>
      </vt:variant>
      <vt:variant>
        <vt:i4>3018</vt:i4>
      </vt:variant>
      <vt:variant>
        <vt:i4>0</vt:i4>
      </vt:variant>
      <vt:variant>
        <vt:i4>5</vt:i4>
      </vt:variant>
      <vt:variant>
        <vt:lpwstr/>
      </vt:variant>
      <vt:variant>
        <vt:lpwstr>generalmedicalsurgicalandneuroicu</vt:lpwstr>
      </vt:variant>
      <vt:variant>
        <vt:i4>196616</vt:i4>
      </vt:variant>
      <vt:variant>
        <vt:i4>3015</vt:i4>
      </vt:variant>
      <vt:variant>
        <vt:i4>0</vt:i4>
      </vt:variant>
      <vt:variant>
        <vt:i4>5</vt:i4>
      </vt:variant>
      <vt:variant>
        <vt:lpwstr/>
      </vt:variant>
      <vt:variant>
        <vt:lpwstr>generalmedicalsurgicalandneuroicu</vt:lpwstr>
      </vt:variant>
      <vt:variant>
        <vt:i4>1638432</vt:i4>
      </vt:variant>
      <vt:variant>
        <vt:i4>3009</vt:i4>
      </vt:variant>
      <vt:variant>
        <vt:i4>0</vt:i4>
      </vt:variant>
      <vt:variant>
        <vt:i4>5</vt:i4>
      </vt:variant>
      <vt:variant>
        <vt:lpwstr/>
      </vt:variant>
      <vt:variant>
        <vt:lpwstr>Endnote27_Telemedicine</vt:lpwstr>
      </vt:variant>
      <vt:variant>
        <vt:i4>1638432</vt:i4>
      </vt:variant>
      <vt:variant>
        <vt:i4>3003</vt:i4>
      </vt:variant>
      <vt:variant>
        <vt:i4>0</vt:i4>
      </vt:variant>
      <vt:variant>
        <vt:i4>5</vt:i4>
      </vt:variant>
      <vt:variant>
        <vt:lpwstr/>
      </vt:variant>
      <vt:variant>
        <vt:lpwstr>Endnote27_Telemedicine</vt:lpwstr>
      </vt:variant>
      <vt:variant>
        <vt:i4>7798907</vt:i4>
      </vt:variant>
      <vt:variant>
        <vt:i4>3000</vt:i4>
      </vt:variant>
      <vt:variant>
        <vt:i4>0</vt:i4>
      </vt:variant>
      <vt:variant>
        <vt:i4>5</vt:i4>
      </vt:variant>
      <vt:variant>
        <vt:lpwstr>http://leapfroggroup.org/survey-materials/multi-campus-reporting-policy</vt:lpwstr>
      </vt:variant>
      <vt:variant>
        <vt:lpwstr/>
      </vt:variant>
      <vt:variant>
        <vt:i4>720943</vt:i4>
      </vt:variant>
      <vt:variant>
        <vt:i4>2994</vt:i4>
      </vt:variant>
      <vt:variant>
        <vt:i4>0</vt:i4>
      </vt:variant>
      <vt:variant>
        <vt:i4>5</vt:i4>
      </vt:variant>
      <vt:variant>
        <vt:lpwstr/>
      </vt:variant>
      <vt:variant>
        <vt:lpwstr>Endnote25_Certified</vt:lpwstr>
      </vt:variant>
      <vt:variant>
        <vt:i4>7274575</vt:i4>
      </vt:variant>
      <vt:variant>
        <vt:i4>2988</vt:i4>
      </vt:variant>
      <vt:variant>
        <vt:i4>0</vt:i4>
      </vt:variant>
      <vt:variant>
        <vt:i4>5</vt:i4>
      </vt:variant>
      <vt:variant>
        <vt:lpwstr/>
      </vt:variant>
      <vt:variant>
        <vt:lpwstr>Endnote22_CCPatients</vt:lpwstr>
      </vt:variant>
      <vt:variant>
        <vt:i4>720943</vt:i4>
      </vt:variant>
      <vt:variant>
        <vt:i4>2982</vt:i4>
      </vt:variant>
      <vt:variant>
        <vt:i4>0</vt:i4>
      </vt:variant>
      <vt:variant>
        <vt:i4>5</vt:i4>
      </vt:variant>
      <vt:variant>
        <vt:lpwstr/>
      </vt:variant>
      <vt:variant>
        <vt:lpwstr>Endnote25_Certified</vt:lpwstr>
      </vt:variant>
      <vt:variant>
        <vt:i4>7274575</vt:i4>
      </vt:variant>
      <vt:variant>
        <vt:i4>2976</vt:i4>
      </vt:variant>
      <vt:variant>
        <vt:i4>0</vt:i4>
      </vt:variant>
      <vt:variant>
        <vt:i4>5</vt:i4>
      </vt:variant>
      <vt:variant>
        <vt:lpwstr/>
      </vt:variant>
      <vt:variant>
        <vt:lpwstr>Endnote22_CCPatients</vt:lpwstr>
      </vt:variant>
      <vt:variant>
        <vt:i4>327742</vt:i4>
      </vt:variant>
      <vt:variant>
        <vt:i4>2970</vt:i4>
      </vt:variant>
      <vt:variant>
        <vt:i4>0</vt:i4>
      </vt:variant>
      <vt:variant>
        <vt:i4>5</vt:i4>
      </vt:variant>
      <vt:variant>
        <vt:lpwstr/>
      </vt:variant>
      <vt:variant>
        <vt:lpwstr>Endnote28_ResponseAnalysis</vt:lpwstr>
      </vt:variant>
      <vt:variant>
        <vt:i4>7274575</vt:i4>
      </vt:variant>
      <vt:variant>
        <vt:i4>2964</vt:i4>
      </vt:variant>
      <vt:variant>
        <vt:i4>0</vt:i4>
      </vt:variant>
      <vt:variant>
        <vt:i4>5</vt:i4>
      </vt:variant>
      <vt:variant>
        <vt:lpwstr/>
      </vt:variant>
      <vt:variant>
        <vt:lpwstr>Endnote22_CCPatients</vt:lpwstr>
      </vt:variant>
      <vt:variant>
        <vt:i4>7733325</vt:i4>
      </vt:variant>
      <vt:variant>
        <vt:i4>2958</vt:i4>
      </vt:variant>
      <vt:variant>
        <vt:i4>0</vt:i4>
      </vt:variant>
      <vt:variant>
        <vt:i4>5</vt:i4>
      </vt:variant>
      <vt:variant>
        <vt:lpwstr/>
      </vt:variant>
      <vt:variant>
        <vt:lpwstr>Endnote26_Present</vt:lpwstr>
      </vt:variant>
      <vt:variant>
        <vt:i4>7733325</vt:i4>
      </vt:variant>
      <vt:variant>
        <vt:i4>2952</vt:i4>
      </vt:variant>
      <vt:variant>
        <vt:i4>0</vt:i4>
      </vt:variant>
      <vt:variant>
        <vt:i4>5</vt:i4>
      </vt:variant>
      <vt:variant>
        <vt:lpwstr/>
      </vt:variant>
      <vt:variant>
        <vt:lpwstr>Endnote26_Present</vt:lpwstr>
      </vt:variant>
      <vt:variant>
        <vt:i4>1638432</vt:i4>
      </vt:variant>
      <vt:variant>
        <vt:i4>2946</vt:i4>
      </vt:variant>
      <vt:variant>
        <vt:i4>0</vt:i4>
      </vt:variant>
      <vt:variant>
        <vt:i4>5</vt:i4>
      </vt:variant>
      <vt:variant>
        <vt:lpwstr/>
      </vt:variant>
      <vt:variant>
        <vt:lpwstr>Endnote27_Telemedicine</vt:lpwstr>
      </vt:variant>
      <vt:variant>
        <vt:i4>720943</vt:i4>
      </vt:variant>
      <vt:variant>
        <vt:i4>2940</vt:i4>
      </vt:variant>
      <vt:variant>
        <vt:i4>0</vt:i4>
      </vt:variant>
      <vt:variant>
        <vt:i4>5</vt:i4>
      </vt:variant>
      <vt:variant>
        <vt:lpwstr/>
      </vt:variant>
      <vt:variant>
        <vt:lpwstr>Endnote25_Certified</vt:lpwstr>
      </vt:variant>
      <vt:variant>
        <vt:i4>8126555</vt:i4>
      </vt:variant>
      <vt:variant>
        <vt:i4>2934</vt:i4>
      </vt:variant>
      <vt:variant>
        <vt:i4>0</vt:i4>
      </vt:variant>
      <vt:variant>
        <vt:i4>5</vt:i4>
      </vt:variant>
      <vt:variant>
        <vt:lpwstr/>
      </vt:variant>
      <vt:variant>
        <vt:lpwstr>Endnote24_Manage</vt:lpwstr>
      </vt:variant>
      <vt:variant>
        <vt:i4>7274575</vt:i4>
      </vt:variant>
      <vt:variant>
        <vt:i4>2928</vt:i4>
      </vt:variant>
      <vt:variant>
        <vt:i4>0</vt:i4>
      </vt:variant>
      <vt:variant>
        <vt:i4>5</vt:i4>
      </vt:variant>
      <vt:variant>
        <vt:lpwstr/>
      </vt:variant>
      <vt:variant>
        <vt:lpwstr>Endnote22_CCPatients</vt:lpwstr>
      </vt:variant>
      <vt:variant>
        <vt:i4>720943</vt:i4>
      </vt:variant>
      <vt:variant>
        <vt:i4>2922</vt:i4>
      </vt:variant>
      <vt:variant>
        <vt:i4>0</vt:i4>
      </vt:variant>
      <vt:variant>
        <vt:i4>5</vt:i4>
      </vt:variant>
      <vt:variant>
        <vt:lpwstr/>
      </vt:variant>
      <vt:variant>
        <vt:lpwstr>Endnote25_Certified</vt:lpwstr>
      </vt:variant>
      <vt:variant>
        <vt:i4>8126555</vt:i4>
      </vt:variant>
      <vt:variant>
        <vt:i4>2916</vt:i4>
      </vt:variant>
      <vt:variant>
        <vt:i4>0</vt:i4>
      </vt:variant>
      <vt:variant>
        <vt:i4>5</vt:i4>
      </vt:variant>
      <vt:variant>
        <vt:lpwstr/>
      </vt:variant>
      <vt:variant>
        <vt:lpwstr>Endnote24_Manage</vt:lpwstr>
      </vt:variant>
      <vt:variant>
        <vt:i4>7274575</vt:i4>
      </vt:variant>
      <vt:variant>
        <vt:i4>2910</vt:i4>
      </vt:variant>
      <vt:variant>
        <vt:i4>0</vt:i4>
      </vt:variant>
      <vt:variant>
        <vt:i4>5</vt:i4>
      </vt:variant>
      <vt:variant>
        <vt:lpwstr/>
      </vt:variant>
      <vt:variant>
        <vt:lpwstr>Endnote22_CCPatients</vt:lpwstr>
      </vt:variant>
      <vt:variant>
        <vt:i4>1245231</vt:i4>
      </vt:variant>
      <vt:variant>
        <vt:i4>2907</vt:i4>
      </vt:variant>
      <vt:variant>
        <vt:i4>0</vt:i4>
      </vt:variant>
      <vt:variant>
        <vt:i4>5</vt:i4>
      </vt:variant>
      <vt:variant>
        <vt:lpwstr/>
      </vt:variant>
      <vt:variant>
        <vt:lpwstr>Endnote32_ModifiedTelemedicine</vt:lpwstr>
      </vt:variant>
      <vt:variant>
        <vt:i4>720943</vt:i4>
      </vt:variant>
      <vt:variant>
        <vt:i4>2901</vt:i4>
      </vt:variant>
      <vt:variant>
        <vt:i4>0</vt:i4>
      </vt:variant>
      <vt:variant>
        <vt:i4>5</vt:i4>
      </vt:variant>
      <vt:variant>
        <vt:lpwstr/>
      </vt:variant>
      <vt:variant>
        <vt:lpwstr>Endnote25_Certified</vt:lpwstr>
      </vt:variant>
      <vt:variant>
        <vt:i4>8126555</vt:i4>
      </vt:variant>
      <vt:variant>
        <vt:i4>2895</vt:i4>
      </vt:variant>
      <vt:variant>
        <vt:i4>0</vt:i4>
      </vt:variant>
      <vt:variant>
        <vt:i4>5</vt:i4>
      </vt:variant>
      <vt:variant>
        <vt:lpwstr/>
      </vt:variant>
      <vt:variant>
        <vt:lpwstr>Endnote24_Manage</vt:lpwstr>
      </vt:variant>
      <vt:variant>
        <vt:i4>7274575</vt:i4>
      </vt:variant>
      <vt:variant>
        <vt:i4>2889</vt:i4>
      </vt:variant>
      <vt:variant>
        <vt:i4>0</vt:i4>
      </vt:variant>
      <vt:variant>
        <vt:i4>5</vt:i4>
      </vt:variant>
      <vt:variant>
        <vt:lpwstr/>
      </vt:variant>
      <vt:variant>
        <vt:lpwstr>Endnote22_CCPatients</vt:lpwstr>
      </vt:variant>
      <vt:variant>
        <vt:i4>7733325</vt:i4>
      </vt:variant>
      <vt:variant>
        <vt:i4>2883</vt:i4>
      </vt:variant>
      <vt:variant>
        <vt:i4>0</vt:i4>
      </vt:variant>
      <vt:variant>
        <vt:i4>5</vt:i4>
      </vt:variant>
      <vt:variant>
        <vt:lpwstr/>
      </vt:variant>
      <vt:variant>
        <vt:lpwstr>Endnote26_Present</vt:lpwstr>
      </vt:variant>
      <vt:variant>
        <vt:i4>7733325</vt:i4>
      </vt:variant>
      <vt:variant>
        <vt:i4>2877</vt:i4>
      </vt:variant>
      <vt:variant>
        <vt:i4>0</vt:i4>
      </vt:variant>
      <vt:variant>
        <vt:i4>5</vt:i4>
      </vt:variant>
      <vt:variant>
        <vt:lpwstr/>
      </vt:variant>
      <vt:variant>
        <vt:lpwstr>Endnote26_Present</vt:lpwstr>
      </vt:variant>
      <vt:variant>
        <vt:i4>720943</vt:i4>
      </vt:variant>
      <vt:variant>
        <vt:i4>2871</vt:i4>
      </vt:variant>
      <vt:variant>
        <vt:i4>0</vt:i4>
      </vt:variant>
      <vt:variant>
        <vt:i4>5</vt:i4>
      </vt:variant>
      <vt:variant>
        <vt:lpwstr/>
      </vt:variant>
      <vt:variant>
        <vt:lpwstr>Endnote25_Certified</vt:lpwstr>
      </vt:variant>
      <vt:variant>
        <vt:i4>8126555</vt:i4>
      </vt:variant>
      <vt:variant>
        <vt:i4>2865</vt:i4>
      </vt:variant>
      <vt:variant>
        <vt:i4>0</vt:i4>
      </vt:variant>
      <vt:variant>
        <vt:i4>5</vt:i4>
      </vt:variant>
      <vt:variant>
        <vt:lpwstr/>
      </vt:variant>
      <vt:variant>
        <vt:lpwstr>Endnote24_Manage</vt:lpwstr>
      </vt:variant>
      <vt:variant>
        <vt:i4>7274575</vt:i4>
      </vt:variant>
      <vt:variant>
        <vt:i4>2859</vt:i4>
      </vt:variant>
      <vt:variant>
        <vt:i4>0</vt:i4>
      </vt:variant>
      <vt:variant>
        <vt:i4>5</vt:i4>
      </vt:variant>
      <vt:variant>
        <vt:lpwstr/>
      </vt:variant>
      <vt:variant>
        <vt:lpwstr>Endnote22_CCPatients</vt:lpwstr>
      </vt:variant>
      <vt:variant>
        <vt:i4>327742</vt:i4>
      </vt:variant>
      <vt:variant>
        <vt:i4>2853</vt:i4>
      </vt:variant>
      <vt:variant>
        <vt:i4>0</vt:i4>
      </vt:variant>
      <vt:variant>
        <vt:i4>5</vt:i4>
      </vt:variant>
      <vt:variant>
        <vt:lpwstr/>
      </vt:variant>
      <vt:variant>
        <vt:lpwstr>Endnote28_ResponseAnalysis</vt:lpwstr>
      </vt:variant>
      <vt:variant>
        <vt:i4>1048636</vt:i4>
      </vt:variant>
      <vt:variant>
        <vt:i4>2847</vt:i4>
      </vt:variant>
      <vt:variant>
        <vt:i4>0</vt:i4>
      </vt:variant>
      <vt:variant>
        <vt:i4>5</vt:i4>
      </vt:variant>
      <vt:variant>
        <vt:lpwstr/>
      </vt:variant>
      <vt:variant>
        <vt:lpwstr>Endnote29_NurseEffector</vt:lpwstr>
      </vt:variant>
      <vt:variant>
        <vt:i4>393272</vt:i4>
      </vt:variant>
      <vt:variant>
        <vt:i4>2844</vt:i4>
      </vt:variant>
      <vt:variant>
        <vt:i4>0</vt:i4>
      </vt:variant>
      <vt:variant>
        <vt:i4>5</vt:i4>
      </vt:variant>
      <vt:variant>
        <vt:lpwstr/>
      </vt:variant>
      <vt:variant>
        <vt:lpwstr>Endnote31_OtherEffector</vt:lpwstr>
      </vt:variant>
      <vt:variant>
        <vt:i4>7209033</vt:i4>
      </vt:variant>
      <vt:variant>
        <vt:i4>2841</vt:i4>
      </vt:variant>
      <vt:variant>
        <vt:i4>0</vt:i4>
      </vt:variant>
      <vt:variant>
        <vt:i4>5</vt:i4>
      </vt:variant>
      <vt:variant>
        <vt:lpwstr/>
      </vt:variant>
      <vt:variant>
        <vt:lpwstr>Endnote30_TeleCoverCalls</vt:lpwstr>
      </vt:variant>
      <vt:variant>
        <vt:i4>327742</vt:i4>
      </vt:variant>
      <vt:variant>
        <vt:i4>2835</vt:i4>
      </vt:variant>
      <vt:variant>
        <vt:i4>0</vt:i4>
      </vt:variant>
      <vt:variant>
        <vt:i4>5</vt:i4>
      </vt:variant>
      <vt:variant>
        <vt:lpwstr/>
      </vt:variant>
      <vt:variant>
        <vt:lpwstr>Endnote28_ResponseAnalysis</vt:lpwstr>
      </vt:variant>
      <vt:variant>
        <vt:i4>1638432</vt:i4>
      </vt:variant>
      <vt:variant>
        <vt:i4>2829</vt:i4>
      </vt:variant>
      <vt:variant>
        <vt:i4>0</vt:i4>
      </vt:variant>
      <vt:variant>
        <vt:i4>5</vt:i4>
      </vt:variant>
      <vt:variant>
        <vt:lpwstr/>
      </vt:variant>
      <vt:variant>
        <vt:lpwstr>Endnote27_Telemedicine</vt:lpwstr>
      </vt:variant>
      <vt:variant>
        <vt:i4>720943</vt:i4>
      </vt:variant>
      <vt:variant>
        <vt:i4>2823</vt:i4>
      </vt:variant>
      <vt:variant>
        <vt:i4>0</vt:i4>
      </vt:variant>
      <vt:variant>
        <vt:i4>5</vt:i4>
      </vt:variant>
      <vt:variant>
        <vt:lpwstr/>
      </vt:variant>
      <vt:variant>
        <vt:lpwstr>Endnote25_Certified</vt:lpwstr>
      </vt:variant>
      <vt:variant>
        <vt:i4>8126555</vt:i4>
      </vt:variant>
      <vt:variant>
        <vt:i4>2817</vt:i4>
      </vt:variant>
      <vt:variant>
        <vt:i4>0</vt:i4>
      </vt:variant>
      <vt:variant>
        <vt:i4>5</vt:i4>
      </vt:variant>
      <vt:variant>
        <vt:lpwstr/>
      </vt:variant>
      <vt:variant>
        <vt:lpwstr>Endnote24_Manage</vt:lpwstr>
      </vt:variant>
      <vt:variant>
        <vt:i4>7274575</vt:i4>
      </vt:variant>
      <vt:variant>
        <vt:i4>2811</vt:i4>
      </vt:variant>
      <vt:variant>
        <vt:i4>0</vt:i4>
      </vt:variant>
      <vt:variant>
        <vt:i4>5</vt:i4>
      </vt:variant>
      <vt:variant>
        <vt:lpwstr/>
      </vt:variant>
      <vt:variant>
        <vt:lpwstr>Endnote22_CCPatients</vt:lpwstr>
      </vt:variant>
      <vt:variant>
        <vt:i4>7733325</vt:i4>
      </vt:variant>
      <vt:variant>
        <vt:i4>2805</vt:i4>
      </vt:variant>
      <vt:variant>
        <vt:i4>0</vt:i4>
      </vt:variant>
      <vt:variant>
        <vt:i4>5</vt:i4>
      </vt:variant>
      <vt:variant>
        <vt:lpwstr/>
      </vt:variant>
      <vt:variant>
        <vt:lpwstr>Endnote26_Present</vt:lpwstr>
      </vt:variant>
      <vt:variant>
        <vt:i4>7733325</vt:i4>
      </vt:variant>
      <vt:variant>
        <vt:i4>2799</vt:i4>
      </vt:variant>
      <vt:variant>
        <vt:i4>0</vt:i4>
      </vt:variant>
      <vt:variant>
        <vt:i4>5</vt:i4>
      </vt:variant>
      <vt:variant>
        <vt:lpwstr/>
      </vt:variant>
      <vt:variant>
        <vt:lpwstr>Endnote26_Present</vt:lpwstr>
      </vt:variant>
      <vt:variant>
        <vt:i4>720943</vt:i4>
      </vt:variant>
      <vt:variant>
        <vt:i4>2793</vt:i4>
      </vt:variant>
      <vt:variant>
        <vt:i4>0</vt:i4>
      </vt:variant>
      <vt:variant>
        <vt:i4>5</vt:i4>
      </vt:variant>
      <vt:variant>
        <vt:lpwstr/>
      </vt:variant>
      <vt:variant>
        <vt:lpwstr>Endnote25_Certified</vt:lpwstr>
      </vt:variant>
      <vt:variant>
        <vt:i4>8126555</vt:i4>
      </vt:variant>
      <vt:variant>
        <vt:i4>2787</vt:i4>
      </vt:variant>
      <vt:variant>
        <vt:i4>0</vt:i4>
      </vt:variant>
      <vt:variant>
        <vt:i4>5</vt:i4>
      </vt:variant>
      <vt:variant>
        <vt:lpwstr/>
      </vt:variant>
      <vt:variant>
        <vt:lpwstr>Endnote24_Manage</vt:lpwstr>
      </vt:variant>
      <vt:variant>
        <vt:i4>7274575</vt:i4>
      </vt:variant>
      <vt:variant>
        <vt:i4>2781</vt:i4>
      </vt:variant>
      <vt:variant>
        <vt:i4>0</vt:i4>
      </vt:variant>
      <vt:variant>
        <vt:i4>5</vt:i4>
      </vt:variant>
      <vt:variant>
        <vt:lpwstr/>
      </vt:variant>
      <vt:variant>
        <vt:lpwstr>Endnote22_CCPatients</vt:lpwstr>
      </vt:variant>
      <vt:variant>
        <vt:i4>3538982</vt:i4>
      </vt:variant>
      <vt:variant>
        <vt:i4>2778</vt:i4>
      </vt:variant>
      <vt:variant>
        <vt:i4>0</vt:i4>
      </vt:variant>
      <vt:variant>
        <vt:i4>5</vt:i4>
      </vt:variant>
      <vt:variant>
        <vt:lpwstr>https://www.leapfroggroup.org/survey-materials/scoring-and-results</vt:lpwstr>
      </vt:variant>
      <vt:variant>
        <vt:lpwstr/>
      </vt:variant>
      <vt:variant>
        <vt:i4>7274575</vt:i4>
      </vt:variant>
      <vt:variant>
        <vt:i4>2772</vt:i4>
      </vt:variant>
      <vt:variant>
        <vt:i4>0</vt:i4>
      </vt:variant>
      <vt:variant>
        <vt:i4>5</vt:i4>
      </vt:variant>
      <vt:variant>
        <vt:lpwstr/>
      </vt:variant>
      <vt:variant>
        <vt:lpwstr>Endnote22_CCPatients</vt:lpwstr>
      </vt:variant>
      <vt:variant>
        <vt:i4>720943</vt:i4>
      </vt:variant>
      <vt:variant>
        <vt:i4>2766</vt:i4>
      </vt:variant>
      <vt:variant>
        <vt:i4>0</vt:i4>
      </vt:variant>
      <vt:variant>
        <vt:i4>5</vt:i4>
      </vt:variant>
      <vt:variant>
        <vt:lpwstr/>
      </vt:variant>
      <vt:variant>
        <vt:lpwstr>Endnote25_Certified</vt:lpwstr>
      </vt:variant>
      <vt:variant>
        <vt:i4>720943</vt:i4>
      </vt:variant>
      <vt:variant>
        <vt:i4>2760</vt:i4>
      </vt:variant>
      <vt:variant>
        <vt:i4>0</vt:i4>
      </vt:variant>
      <vt:variant>
        <vt:i4>5</vt:i4>
      </vt:variant>
      <vt:variant>
        <vt:lpwstr/>
      </vt:variant>
      <vt:variant>
        <vt:lpwstr>Endnote25_Certified</vt:lpwstr>
      </vt:variant>
      <vt:variant>
        <vt:i4>196616</vt:i4>
      </vt:variant>
      <vt:variant>
        <vt:i4>2757</vt:i4>
      </vt:variant>
      <vt:variant>
        <vt:i4>0</vt:i4>
      </vt:variant>
      <vt:variant>
        <vt:i4>5</vt:i4>
      </vt:variant>
      <vt:variant>
        <vt:lpwstr/>
      </vt:variant>
      <vt:variant>
        <vt:lpwstr>generalmedicalsurgicalandneuroicu</vt:lpwstr>
      </vt:variant>
      <vt:variant>
        <vt:i4>196616</vt:i4>
      </vt:variant>
      <vt:variant>
        <vt:i4>2754</vt:i4>
      </vt:variant>
      <vt:variant>
        <vt:i4>0</vt:i4>
      </vt:variant>
      <vt:variant>
        <vt:i4>5</vt:i4>
      </vt:variant>
      <vt:variant>
        <vt:lpwstr/>
      </vt:variant>
      <vt:variant>
        <vt:lpwstr>generalmedicalsurgicalandneuroicu</vt:lpwstr>
      </vt:variant>
      <vt:variant>
        <vt:i4>720943</vt:i4>
      </vt:variant>
      <vt:variant>
        <vt:i4>2748</vt:i4>
      </vt:variant>
      <vt:variant>
        <vt:i4>0</vt:i4>
      </vt:variant>
      <vt:variant>
        <vt:i4>5</vt:i4>
      </vt:variant>
      <vt:variant>
        <vt:lpwstr/>
      </vt:variant>
      <vt:variant>
        <vt:lpwstr>Endnote25_Certified</vt:lpwstr>
      </vt:variant>
      <vt:variant>
        <vt:i4>1638432</vt:i4>
      </vt:variant>
      <vt:variant>
        <vt:i4>2742</vt:i4>
      </vt:variant>
      <vt:variant>
        <vt:i4>0</vt:i4>
      </vt:variant>
      <vt:variant>
        <vt:i4>5</vt:i4>
      </vt:variant>
      <vt:variant>
        <vt:lpwstr/>
      </vt:variant>
      <vt:variant>
        <vt:lpwstr>Endnote27_Telemedicine</vt:lpwstr>
      </vt:variant>
      <vt:variant>
        <vt:i4>7798907</vt:i4>
      </vt:variant>
      <vt:variant>
        <vt:i4>2739</vt:i4>
      </vt:variant>
      <vt:variant>
        <vt:i4>0</vt:i4>
      </vt:variant>
      <vt:variant>
        <vt:i4>5</vt:i4>
      </vt:variant>
      <vt:variant>
        <vt:lpwstr>http://leapfroggroup.org/survey-materials/multi-campus-reporting-policy</vt:lpwstr>
      </vt:variant>
      <vt:variant>
        <vt:lpwstr/>
      </vt:variant>
      <vt:variant>
        <vt:i4>5046365</vt:i4>
      </vt:variant>
      <vt:variant>
        <vt:i4>2736</vt:i4>
      </vt:variant>
      <vt:variant>
        <vt:i4>0</vt:i4>
      </vt:variant>
      <vt:variant>
        <vt:i4>5</vt:i4>
      </vt:variant>
      <vt:variant>
        <vt:lpwstr>http://www.leapfroggroup.org/survey-materials/scoring-and-results</vt:lpwstr>
      </vt:variant>
      <vt:variant>
        <vt:lpwstr/>
      </vt:variant>
      <vt:variant>
        <vt:i4>1048636</vt:i4>
      </vt:variant>
      <vt:variant>
        <vt:i4>2733</vt:i4>
      </vt:variant>
      <vt:variant>
        <vt:i4>0</vt:i4>
      </vt:variant>
      <vt:variant>
        <vt:i4>5</vt:i4>
      </vt:variant>
      <vt:variant>
        <vt:lpwstr/>
      </vt:variant>
      <vt:variant>
        <vt:lpwstr>Endnote29_NurseEffector</vt:lpwstr>
      </vt:variant>
      <vt:variant>
        <vt:i4>393272</vt:i4>
      </vt:variant>
      <vt:variant>
        <vt:i4>2727</vt:i4>
      </vt:variant>
      <vt:variant>
        <vt:i4>0</vt:i4>
      </vt:variant>
      <vt:variant>
        <vt:i4>5</vt:i4>
      </vt:variant>
      <vt:variant>
        <vt:lpwstr/>
      </vt:variant>
      <vt:variant>
        <vt:lpwstr>Endnote31_OtherEffector</vt:lpwstr>
      </vt:variant>
      <vt:variant>
        <vt:i4>327742</vt:i4>
      </vt:variant>
      <vt:variant>
        <vt:i4>2724</vt:i4>
      </vt:variant>
      <vt:variant>
        <vt:i4>0</vt:i4>
      </vt:variant>
      <vt:variant>
        <vt:i4>5</vt:i4>
      </vt:variant>
      <vt:variant>
        <vt:lpwstr/>
      </vt:variant>
      <vt:variant>
        <vt:lpwstr>Endnote28_ResponseAnalysis</vt:lpwstr>
      </vt:variant>
      <vt:variant>
        <vt:i4>1638432</vt:i4>
      </vt:variant>
      <vt:variant>
        <vt:i4>2721</vt:i4>
      </vt:variant>
      <vt:variant>
        <vt:i4>0</vt:i4>
      </vt:variant>
      <vt:variant>
        <vt:i4>5</vt:i4>
      </vt:variant>
      <vt:variant>
        <vt:lpwstr/>
      </vt:variant>
      <vt:variant>
        <vt:lpwstr>Endnote27_Telemedicine</vt:lpwstr>
      </vt:variant>
      <vt:variant>
        <vt:i4>7733325</vt:i4>
      </vt:variant>
      <vt:variant>
        <vt:i4>2715</vt:i4>
      </vt:variant>
      <vt:variant>
        <vt:i4>0</vt:i4>
      </vt:variant>
      <vt:variant>
        <vt:i4>5</vt:i4>
      </vt:variant>
      <vt:variant>
        <vt:lpwstr/>
      </vt:variant>
      <vt:variant>
        <vt:lpwstr>Endnote26_Present</vt:lpwstr>
      </vt:variant>
      <vt:variant>
        <vt:i4>7733325</vt:i4>
      </vt:variant>
      <vt:variant>
        <vt:i4>2712</vt:i4>
      </vt:variant>
      <vt:variant>
        <vt:i4>0</vt:i4>
      </vt:variant>
      <vt:variant>
        <vt:i4>5</vt:i4>
      </vt:variant>
      <vt:variant>
        <vt:lpwstr/>
      </vt:variant>
      <vt:variant>
        <vt:lpwstr>Endnote26_Present</vt:lpwstr>
      </vt:variant>
      <vt:variant>
        <vt:i4>720943</vt:i4>
      </vt:variant>
      <vt:variant>
        <vt:i4>2709</vt:i4>
      </vt:variant>
      <vt:variant>
        <vt:i4>0</vt:i4>
      </vt:variant>
      <vt:variant>
        <vt:i4>5</vt:i4>
      </vt:variant>
      <vt:variant>
        <vt:lpwstr/>
      </vt:variant>
      <vt:variant>
        <vt:lpwstr>Endnote25_Certified</vt:lpwstr>
      </vt:variant>
      <vt:variant>
        <vt:i4>8126555</vt:i4>
      </vt:variant>
      <vt:variant>
        <vt:i4>2706</vt:i4>
      </vt:variant>
      <vt:variant>
        <vt:i4>0</vt:i4>
      </vt:variant>
      <vt:variant>
        <vt:i4>5</vt:i4>
      </vt:variant>
      <vt:variant>
        <vt:lpwstr/>
      </vt:variant>
      <vt:variant>
        <vt:lpwstr>Endnote24_Manage</vt:lpwstr>
      </vt:variant>
      <vt:variant>
        <vt:i4>196616</vt:i4>
      </vt:variant>
      <vt:variant>
        <vt:i4>2703</vt:i4>
      </vt:variant>
      <vt:variant>
        <vt:i4>0</vt:i4>
      </vt:variant>
      <vt:variant>
        <vt:i4>5</vt:i4>
      </vt:variant>
      <vt:variant>
        <vt:lpwstr/>
      </vt:variant>
      <vt:variant>
        <vt:lpwstr>generalmedicalsurgicalandneuroicu</vt:lpwstr>
      </vt:variant>
      <vt:variant>
        <vt:i4>7274575</vt:i4>
      </vt:variant>
      <vt:variant>
        <vt:i4>2700</vt:i4>
      </vt:variant>
      <vt:variant>
        <vt:i4>0</vt:i4>
      </vt:variant>
      <vt:variant>
        <vt:i4>5</vt:i4>
      </vt:variant>
      <vt:variant>
        <vt:lpwstr/>
      </vt:variant>
      <vt:variant>
        <vt:lpwstr>Endnote22_CCPatients</vt:lpwstr>
      </vt:variant>
      <vt:variant>
        <vt:i4>655369</vt:i4>
      </vt:variant>
      <vt:variant>
        <vt:i4>2697</vt:i4>
      </vt:variant>
      <vt:variant>
        <vt:i4>0</vt:i4>
      </vt:variant>
      <vt:variant>
        <vt:i4>5</vt:i4>
      </vt:variant>
      <vt:variant>
        <vt:lpwstr>https://ratings.leapfroggroup.org/measure/hospital/2025/nursing-workforce</vt:lpwstr>
      </vt:variant>
      <vt:variant>
        <vt:lpwstr/>
      </vt:variant>
      <vt:variant>
        <vt:i4>5832715</vt:i4>
      </vt:variant>
      <vt:variant>
        <vt:i4>2694</vt:i4>
      </vt:variant>
      <vt:variant>
        <vt:i4>0</vt:i4>
      </vt:variant>
      <vt:variant>
        <vt:i4>5</vt:i4>
      </vt:variant>
      <vt:variant>
        <vt:lpwstr>https://ratings.leapfroggroup.org/measure/hospital/2025/specially-trained-doctors-care-critical-care-patients</vt:lpwstr>
      </vt:variant>
      <vt:variant>
        <vt:lpwstr/>
      </vt:variant>
      <vt:variant>
        <vt:i4>131120</vt:i4>
      </vt:variant>
      <vt:variant>
        <vt:i4>2691</vt:i4>
      </vt:variant>
      <vt:variant>
        <vt:i4>0</vt:i4>
      </vt:variant>
      <vt:variant>
        <vt:i4>5</vt:i4>
      </vt:variant>
      <vt:variant>
        <vt:lpwstr/>
      </vt:variant>
      <vt:variant>
        <vt:lpwstr>_Newborn_Bilirubin_Screening</vt:lpwstr>
      </vt:variant>
      <vt:variant>
        <vt:i4>720967</vt:i4>
      </vt:variant>
      <vt:variant>
        <vt:i4>2688</vt:i4>
      </vt:variant>
      <vt:variant>
        <vt:i4>0</vt:i4>
      </vt:variant>
      <vt:variant>
        <vt:i4>5</vt:i4>
      </vt:variant>
      <vt:variant>
        <vt:lpwstr>http://pediatrics.aappublications.org/content/114/1/297.full</vt:lpwstr>
      </vt:variant>
      <vt:variant>
        <vt:lpwstr/>
      </vt:variant>
      <vt:variant>
        <vt:i4>2490473</vt:i4>
      </vt:variant>
      <vt:variant>
        <vt:i4>2685</vt:i4>
      </vt:variant>
      <vt:variant>
        <vt:i4>0</vt:i4>
      </vt:variant>
      <vt:variant>
        <vt:i4>5</vt:i4>
      </vt:variant>
      <vt:variant>
        <vt:lpwstr>https://nam02.safelinks.protection.outlook.com/?url=https%3A%2F%2Fnlca.us%2Fwp-content%2Fuploads%2F2024%2F07%2FNLCA-Knowledge-Brief.pdf&amp;data=05%7C02%7Ckstewart%40leapfrog-group.org%7C8041067fea5b42e4141508de22ed5ead%7C95c34b8315eb4d9a97a7f29881f4a800%7C0%7C0%7C638986600050101598%7CUnknown%7CTWFpbGZsb3d8eyJFbXB0eU1hcGkiOnRydWUsIlYiOiIwLjAuMDAwMCIsIlAiOiJXaW4zMiIsIkFOIjoiTWFpbCIsIldUIjoyfQ%3D%3D%7C0%7C%7C%7C&amp;sdata=KsSl3s6V59SVVFXCngiljJz8pgxz%2FGR8MxTcS2r6Bt4%3D&amp;reserved=0</vt:lpwstr>
      </vt:variant>
      <vt:variant>
        <vt:lpwstr/>
      </vt:variant>
      <vt:variant>
        <vt:i4>6160494</vt:i4>
      </vt:variant>
      <vt:variant>
        <vt:i4>2682</vt:i4>
      </vt:variant>
      <vt:variant>
        <vt:i4>0</vt:i4>
      </vt:variant>
      <vt:variant>
        <vt:i4>5</vt:i4>
      </vt:variant>
      <vt:variant>
        <vt:lpwstr/>
      </vt:variant>
      <vt:variant>
        <vt:lpwstr>_Maternity_Care_Frequently</vt:lpwstr>
      </vt:variant>
      <vt:variant>
        <vt:i4>6750315</vt:i4>
      </vt:variant>
      <vt:variant>
        <vt:i4>2679</vt:i4>
      </vt:variant>
      <vt:variant>
        <vt:i4>0</vt:i4>
      </vt:variant>
      <vt:variant>
        <vt:i4>5</vt:i4>
      </vt:variant>
      <vt:variant>
        <vt:lpwstr>http://leapfroggroup.org/survey-materials/survey-and-cpoe-materials</vt:lpwstr>
      </vt:variant>
      <vt:variant>
        <vt:lpwstr/>
      </vt:variant>
      <vt:variant>
        <vt:i4>4784242</vt:i4>
      </vt:variant>
      <vt:variant>
        <vt:i4>2676</vt:i4>
      </vt:variant>
      <vt:variant>
        <vt:i4>0</vt:i4>
      </vt:variant>
      <vt:variant>
        <vt:i4>5</vt:i4>
      </vt:variant>
      <vt:variant>
        <vt:lpwstr>mailto:leapfrogreporting@vtoxford.org</vt:lpwstr>
      </vt:variant>
      <vt:variant>
        <vt:lpwstr/>
      </vt:variant>
      <vt:variant>
        <vt:i4>1376286</vt:i4>
      </vt:variant>
      <vt:variant>
        <vt:i4>2673</vt:i4>
      </vt:variant>
      <vt:variant>
        <vt:i4>0</vt:i4>
      </vt:variant>
      <vt:variant>
        <vt:i4>5</vt:i4>
      </vt:variant>
      <vt:variant>
        <vt:lpwstr>https://public.vtoxford.org/leapfrog</vt:lpwstr>
      </vt:variant>
      <vt:variant>
        <vt:lpwstr/>
      </vt:variant>
      <vt:variant>
        <vt:i4>6881342</vt:i4>
      </vt:variant>
      <vt:variant>
        <vt:i4>2670</vt:i4>
      </vt:variant>
      <vt:variant>
        <vt:i4>0</vt:i4>
      </vt:variant>
      <vt:variant>
        <vt:i4>5</vt:i4>
      </vt:variant>
      <vt:variant>
        <vt:lpwstr>https://public.vtoxford.org/transfer-codes/</vt:lpwstr>
      </vt:variant>
      <vt:variant>
        <vt:lpwstr/>
      </vt:variant>
      <vt:variant>
        <vt:i4>7798907</vt:i4>
      </vt:variant>
      <vt:variant>
        <vt:i4>2667</vt:i4>
      </vt:variant>
      <vt:variant>
        <vt:i4>0</vt:i4>
      </vt:variant>
      <vt:variant>
        <vt:i4>5</vt:i4>
      </vt:variant>
      <vt:variant>
        <vt:lpwstr>http://leapfroggroup.org/survey-materials/multi-campus-reporting-policy</vt:lpwstr>
      </vt:variant>
      <vt:variant>
        <vt:lpwstr/>
      </vt:variant>
      <vt:variant>
        <vt:i4>1507387</vt:i4>
      </vt:variant>
      <vt:variant>
        <vt:i4>2664</vt:i4>
      </vt:variant>
      <vt:variant>
        <vt:i4>0</vt:i4>
      </vt:variant>
      <vt:variant>
        <vt:i4>5</vt:i4>
      </vt:variant>
      <vt:variant>
        <vt:lpwstr>https://manual.jointcommission.org/releases/TJC2024B/AppendixHTJC.html</vt:lpwstr>
      </vt:variant>
      <vt:variant>
        <vt:lpwstr>A_42Table_2.1_VTE_Prophylaxis_Inclusion_Table_42</vt:lpwstr>
      </vt:variant>
      <vt:variant>
        <vt:i4>65542</vt:i4>
      </vt:variant>
      <vt:variant>
        <vt:i4>2661</vt:i4>
      </vt:variant>
      <vt:variant>
        <vt:i4>0</vt:i4>
      </vt:variant>
      <vt:variant>
        <vt:i4>5</vt:i4>
      </vt:variant>
      <vt:variant>
        <vt:lpwstr>https://pubmed.ncbi.nlm.nih.gov/29939938/</vt:lpwstr>
      </vt:variant>
      <vt:variant>
        <vt:lpwstr/>
      </vt:variant>
      <vt:variant>
        <vt:i4>6750315</vt:i4>
      </vt:variant>
      <vt:variant>
        <vt:i4>2658</vt:i4>
      </vt:variant>
      <vt:variant>
        <vt:i4>0</vt:i4>
      </vt:variant>
      <vt:variant>
        <vt:i4>5</vt:i4>
      </vt:variant>
      <vt:variant>
        <vt:lpwstr>http://leapfroggroup.org/survey-materials/survey-and-cpoe-materials</vt:lpwstr>
      </vt:variant>
      <vt:variant>
        <vt:lpwstr/>
      </vt:variant>
      <vt:variant>
        <vt:i4>6750315</vt:i4>
      </vt:variant>
      <vt:variant>
        <vt:i4>2655</vt:i4>
      </vt:variant>
      <vt:variant>
        <vt:i4>0</vt:i4>
      </vt:variant>
      <vt:variant>
        <vt:i4>5</vt:i4>
      </vt:variant>
      <vt:variant>
        <vt:lpwstr>http://leapfroggroup.org/survey-materials/survey-and-cpoe-materials</vt:lpwstr>
      </vt:variant>
      <vt:variant>
        <vt:lpwstr/>
      </vt:variant>
      <vt:variant>
        <vt:i4>7798907</vt:i4>
      </vt:variant>
      <vt:variant>
        <vt:i4>2652</vt:i4>
      </vt:variant>
      <vt:variant>
        <vt:i4>0</vt:i4>
      </vt:variant>
      <vt:variant>
        <vt:i4>5</vt:i4>
      </vt:variant>
      <vt:variant>
        <vt:lpwstr>http://leapfroggroup.org/survey-materials/multi-campus-reporting-policy</vt:lpwstr>
      </vt:variant>
      <vt:variant>
        <vt:lpwstr/>
      </vt:variant>
      <vt:variant>
        <vt:i4>6750315</vt:i4>
      </vt:variant>
      <vt:variant>
        <vt:i4>2649</vt:i4>
      </vt:variant>
      <vt:variant>
        <vt:i4>0</vt:i4>
      </vt:variant>
      <vt:variant>
        <vt:i4>5</vt:i4>
      </vt:variant>
      <vt:variant>
        <vt:lpwstr>http://leapfroggroup.org/survey-materials/survey-and-cpoe-materials</vt:lpwstr>
      </vt:variant>
      <vt:variant>
        <vt:lpwstr/>
      </vt:variant>
      <vt:variant>
        <vt:i4>7798907</vt:i4>
      </vt:variant>
      <vt:variant>
        <vt:i4>2646</vt:i4>
      </vt:variant>
      <vt:variant>
        <vt:i4>0</vt:i4>
      </vt:variant>
      <vt:variant>
        <vt:i4>5</vt:i4>
      </vt:variant>
      <vt:variant>
        <vt:lpwstr>http://leapfroggroup.org/survey-materials/multi-campus-reporting-policy</vt:lpwstr>
      </vt:variant>
      <vt:variant>
        <vt:lpwstr/>
      </vt:variant>
      <vt:variant>
        <vt:i4>2621485</vt:i4>
      </vt:variant>
      <vt:variant>
        <vt:i4>2643</vt:i4>
      </vt:variant>
      <vt:variant>
        <vt:i4>0</vt:i4>
      </vt:variant>
      <vt:variant>
        <vt:i4>5</vt:i4>
      </vt:variant>
      <vt:variant>
        <vt:lpwstr>https://manual.jointcommission.org/releases/TJC2026A1/MIF0167.html</vt:lpwstr>
      </vt:variant>
      <vt:variant>
        <vt:lpwstr/>
      </vt:variant>
      <vt:variant>
        <vt:i4>6029394</vt:i4>
      </vt:variant>
      <vt:variant>
        <vt:i4>2640</vt:i4>
      </vt:variant>
      <vt:variant>
        <vt:i4>0</vt:i4>
      </vt:variant>
      <vt:variant>
        <vt:i4>5</vt:i4>
      </vt:variant>
      <vt:variant>
        <vt:lpwstr>https://manual.jointcommission.org/releases/TJC2026A1/AppendixATJC.html</vt:lpwstr>
      </vt:variant>
      <vt:variant>
        <vt:lpwstr>Table_Number_11.06:_Cesarean_Birth</vt:lpwstr>
      </vt:variant>
      <vt:variant>
        <vt:i4>2621485</vt:i4>
      </vt:variant>
      <vt:variant>
        <vt:i4>2637</vt:i4>
      </vt:variant>
      <vt:variant>
        <vt:i4>0</vt:i4>
      </vt:variant>
      <vt:variant>
        <vt:i4>5</vt:i4>
      </vt:variant>
      <vt:variant>
        <vt:lpwstr>https://manual.jointcommission.org/releases/TJC2026A1/MIF0167.html</vt:lpwstr>
      </vt:variant>
      <vt:variant>
        <vt:lpwstr/>
      </vt:variant>
      <vt:variant>
        <vt:i4>7471209</vt:i4>
      </vt:variant>
      <vt:variant>
        <vt:i4>2634</vt:i4>
      </vt:variant>
      <vt:variant>
        <vt:i4>0</vt:i4>
      </vt:variant>
      <vt:variant>
        <vt:i4>5</vt:i4>
      </vt:variant>
      <vt:variant>
        <vt:lpwstr>https://manual.jointcommission.org/releases/TJC2026A1/DataElem0265.html</vt:lpwstr>
      </vt:variant>
      <vt:variant>
        <vt:lpwstr/>
      </vt:variant>
      <vt:variant>
        <vt:i4>1310776</vt:i4>
      </vt:variant>
      <vt:variant>
        <vt:i4>2631</vt:i4>
      </vt:variant>
      <vt:variant>
        <vt:i4>0</vt:i4>
      </vt:variant>
      <vt:variant>
        <vt:i4>5</vt:i4>
      </vt:variant>
      <vt:variant>
        <vt:lpwstr>https://manual.jointcommission.org/releases/TJC2026A1/AppendixATJC.html</vt:lpwstr>
      </vt:variant>
      <vt:variant>
        <vt:lpwstr>Table_Number_11.09:_Multiple_Gestations_44_Abnormal_Presentations_44_and_Conditions_Justifying_Cesarean_Delivery</vt:lpwstr>
      </vt:variant>
      <vt:variant>
        <vt:i4>7012443</vt:i4>
      </vt:variant>
      <vt:variant>
        <vt:i4>2628</vt:i4>
      </vt:variant>
      <vt:variant>
        <vt:i4>0</vt:i4>
      </vt:variant>
      <vt:variant>
        <vt:i4>5</vt:i4>
      </vt:variant>
      <vt:variant>
        <vt:lpwstr>https://manual.jointcommission.org/releases/TJC2026A1/AppendixATJC.html</vt:lpwstr>
      </vt:variant>
      <vt:variant>
        <vt:lpwstr>Table_Number_11.08:_Outcome_of_Delivery</vt:lpwstr>
      </vt:variant>
      <vt:variant>
        <vt:i4>852017</vt:i4>
      </vt:variant>
      <vt:variant>
        <vt:i4>2625</vt:i4>
      </vt:variant>
      <vt:variant>
        <vt:i4>0</vt:i4>
      </vt:variant>
      <vt:variant>
        <vt:i4>5</vt:i4>
      </vt:variant>
      <vt:variant>
        <vt:lpwstr>https://manual.jointcommission.org/releases/TJC2026A1/AppendixATJC.html</vt:lpwstr>
      </vt:variant>
      <vt:variant>
        <vt:lpwstr>Table_Number_11.01.1:_Delivery</vt:lpwstr>
      </vt:variant>
      <vt:variant>
        <vt:i4>2621485</vt:i4>
      </vt:variant>
      <vt:variant>
        <vt:i4>2622</vt:i4>
      </vt:variant>
      <vt:variant>
        <vt:i4>0</vt:i4>
      </vt:variant>
      <vt:variant>
        <vt:i4>5</vt:i4>
      </vt:variant>
      <vt:variant>
        <vt:lpwstr>https://manual.jointcommission.org/releases/TJC2026A1/MIF0167.html</vt:lpwstr>
      </vt:variant>
      <vt:variant>
        <vt:lpwstr/>
      </vt:variant>
      <vt:variant>
        <vt:i4>6750315</vt:i4>
      </vt:variant>
      <vt:variant>
        <vt:i4>2619</vt:i4>
      </vt:variant>
      <vt:variant>
        <vt:i4>0</vt:i4>
      </vt:variant>
      <vt:variant>
        <vt:i4>5</vt:i4>
      </vt:variant>
      <vt:variant>
        <vt:lpwstr>http://leapfroggroup.org/survey-materials/survey-and-cpoe-materials</vt:lpwstr>
      </vt:variant>
      <vt:variant>
        <vt:lpwstr/>
      </vt:variant>
      <vt:variant>
        <vt:i4>2621485</vt:i4>
      </vt:variant>
      <vt:variant>
        <vt:i4>2616</vt:i4>
      </vt:variant>
      <vt:variant>
        <vt:i4>0</vt:i4>
      </vt:variant>
      <vt:variant>
        <vt:i4>5</vt:i4>
      </vt:variant>
      <vt:variant>
        <vt:lpwstr>https://manual.jointcommission.org/releases/TJC2026A1/MIF0167.html</vt:lpwstr>
      </vt:variant>
      <vt:variant>
        <vt:lpwstr/>
      </vt:variant>
      <vt:variant>
        <vt:i4>2621485</vt:i4>
      </vt:variant>
      <vt:variant>
        <vt:i4>2613</vt:i4>
      </vt:variant>
      <vt:variant>
        <vt:i4>0</vt:i4>
      </vt:variant>
      <vt:variant>
        <vt:i4>5</vt:i4>
      </vt:variant>
      <vt:variant>
        <vt:lpwstr>https://manual.jointcommission.org/releases/TJC2026A1/MIF0167.html</vt:lpwstr>
      </vt:variant>
      <vt:variant>
        <vt:lpwstr/>
      </vt:variant>
      <vt:variant>
        <vt:i4>6029394</vt:i4>
      </vt:variant>
      <vt:variant>
        <vt:i4>2610</vt:i4>
      </vt:variant>
      <vt:variant>
        <vt:i4>0</vt:i4>
      </vt:variant>
      <vt:variant>
        <vt:i4>5</vt:i4>
      </vt:variant>
      <vt:variant>
        <vt:lpwstr>https://manual.jointcommission.org/releases/TJC2026A1/AppendixATJC.html</vt:lpwstr>
      </vt:variant>
      <vt:variant>
        <vt:lpwstr>Table_Number_11.06:_Cesarean_Birth</vt:lpwstr>
      </vt:variant>
      <vt:variant>
        <vt:i4>2621485</vt:i4>
      </vt:variant>
      <vt:variant>
        <vt:i4>2607</vt:i4>
      </vt:variant>
      <vt:variant>
        <vt:i4>0</vt:i4>
      </vt:variant>
      <vt:variant>
        <vt:i4>5</vt:i4>
      </vt:variant>
      <vt:variant>
        <vt:lpwstr>https://manual.jointcommission.org/releases/TJC2026A1/MIF0167.html</vt:lpwstr>
      </vt:variant>
      <vt:variant>
        <vt:lpwstr/>
      </vt:variant>
      <vt:variant>
        <vt:i4>7471209</vt:i4>
      </vt:variant>
      <vt:variant>
        <vt:i4>2604</vt:i4>
      </vt:variant>
      <vt:variant>
        <vt:i4>0</vt:i4>
      </vt:variant>
      <vt:variant>
        <vt:i4>5</vt:i4>
      </vt:variant>
      <vt:variant>
        <vt:lpwstr>https://manual.jointcommission.org/releases/TJC2026A1/DataElem0265.html</vt:lpwstr>
      </vt:variant>
      <vt:variant>
        <vt:lpwstr/>
      </vt:variant>
      <vt:variant>
        <vt:i4>1310776</vt:i4>
      </vt:variant>
      <vt:variant>
        <vt:i4>2601</vt:i4>
      </vt:variant>
      <vt:variant>
        <vt:i4>0</vt:i4>
      </vt:variant>
      <vt:variant>
        <vt:i4>5</vt:i4>
      </vt:variant>
      <vt:variant>
        <vt:lpwstr>https://manual.jointcommission.org/releases/TJC2026A1/AppendixATJC.html</vt:lpwstr>
      </vt:variant>
      <vt:variant>
        <vt:lpwstr>Table_Number_11.09:_Multiple_Gestations_44_Abnormal_Presentations_44_and_Conditions_Justifying_Cesarean_Delivery</vt:lpwstr>
      </vt:variant>
      <vt:variant>
        <vt:i4>7012443</vt:i4>
      </vt:variant>
      <vt:variant>
        <vt:i4>2598</vt:i4>
      </vt:variant>
      <vt:variant>
        <vt:i4>0</vt:i4>
      </vt:variant>
      <vt:variant>
        <vt:i4>5</vt:i4>
      </vt:variant>
      <vt:variant>
        <vt:lpwstr>https://manual.jointcommission.org/releases/TJC2026A1/AppendixATJC.html</vt:lpwstr>
      </vt:variant>
      <vt:variant>
        <vt:lpwstr>Table_Number_11.08:_Outcome_of_Delivery</vt:lpwstr>
      </vt:variant>
      <vt:variant>
        <vt:i4>852017</vt:i4>
      </vt:variant>
      <vt:variant>
        <vt:i4>2595</vt:i4>
      </vt:variant>
      <vt:variant>
        <vt:i4>0</vt:i4>
      </vt:variant>
      <vt:variant>
        <vt:i4>5</vt:i4>
      </vt:variant>
      <vt:variant>
        <vt:lpwstr>https://manual.jointcommission.org/releases/TJC2026A1/AppendixATJC.html</vt:lpwstr>
      </vt:variant>
      <vt:variant>
        <vt:lpwstr>Table_Number_11.01.1:_Delivery</vt:lpwstr>
      </vt:variant>
      <vt:variant>
        <vt:i4>7733355</vt:i4>
      </vt:variant>
      <vt:variant>
        <vt:i4>2592</vt:i4>
      </vt:variant>
      <vt:variant>
        <vt:i4>0</vt:i4>
      </vt:variant>
      <vt:variant>
        <vt:i4>5</vt:i4>
      </vt:variant>
      <vt:variant>
        <vt:lpwstr>https://www.jointcommission.org/measurement/specification-manuals/electronic-clinical-quality-measures/</vt:lpwstr>
      </vt:variant>
      <vt:variant>
        <vt:lpwstr/>
      </vt:variant>
      <vt:variant>
        <vt:i4>2621485</vt:i4>
      </vt:variant>
      <vt:variant>
        <vt:i4>2589</vt:i4>
      </vt:variant>
      <vt:variant>
        <vt:i4>0</vt:i4>
      </vt:variant>
      <vt:variant>
        <vt:i4>5</vt:i4>
      </vt:variant>
      <vt:variant>
        <vt:lpwstr>https://manual.jointcommission.org/releases/TJC2026A1/MIF0167.html</vt:lpwstr>
      </vt:variant>
      <vt:variant>
        <vt:lpwstr/>
      </vt:variant>
      <vt:variant>
        <vt:i4>2621485</vt:i4>
      </vt:variant>
      <vt:variant>
        <vt:i4>2586</vt:i4>
      </vt:variant>
      <vt:variant>
        <vt:i4>0</vt:i4>
      </vt:variant>
      <vt:variant>
        <vt:i4>5</vt:i4>
      </vt:variant>
      <vt:variant>
        <vt:lpwstr>https://manual.jointcommission.org/releases/TJC2026A1/MIF0167.html</vt:lpwstr>
      </vt:variant>
      <vt:variant>
        <vt:lpwstr/>
      </vt:variant>
      <vt:variant>
        <vt:i4>6750315</vt:i4>
      </vt:variant>
      <vt:variant>
        <vt:i4>2583</vt:i4>
      </vt:variant>
      <vt:variant>
        <vt:i4>0</vt:i4>
      </vt:variant>
      <vt:variant>
        <vt:i4>5</vt:i4>
      </vt:variant>
      <vt:variant>
        <vt:lpwstr>http://leapfroggroup.org/survey-materials/survey-and-cpoe-materials</vt:lpwstr>
      </vt:variant>
      <vt:variant>
        <vt:lpwstr/>
      </vt:variant>
      <vt:variant>
        <vt:i4>2621485</vt:i4>
      </vt:variant>
      <vt:variant>
        <vt:i4>2580</vt:i4>
      </vt:variant>
      <vt:variant>
        <vt:i4>0</vt:i4>
      </vt:variant>
      <vt:variant>
        <vt:i4>5</vt:i4>
      </vt:variant>
      <vt:variant>
        <vt:lpwstr>https://manual.jointcommission.org/releases/TJC2026A1/MIF0167.html</vt:lpwstr>
      </vt:variant>
      <vt:variant>
        <vt:lpwstr/>
      </vt:variant>
      <vt:variant>
        <vt:i4>7798907</vt:i4>
      </vt:variant>
      <vt:variant>
        <vt:i4>2577</vt:i4>
      </vt:variant>
      <vt:variant>
        <vt:i4>0</vt:i4>
      </vt:variant>
      <vt:variant>
        <vt:i4>5</vt:i4>
      </vt:variant>
      <vt:variant>
        <vt:lpwstr>http://leapfroggroup.org/survey-materials/multi-campus-reporting-policy</vt:lpwstr>
      </vt:variant>
      <vt:variant>
        <vt:lpwstr/>
      </vt:variant>
      <vt:variant>
        <vt:i4>6750315</vt:i4>
      </vt:variant>
      <vt:variant>
        <vt:i4>2574</vt:i4>
      </vt:variant>
      <vt:variant>
        <vt:i4>0</vt:i4>
      </vt:variant>
      <vt:variant>
        <vt:i4>5</vt:i4>
      </vt:variant>
      <vt:variant>
        <vt:lpwstr>http://leapfroggroup.org/survey-materials/survey-and-cpoe-materials</vt:lpwstr>
      </vt:variant>
      <vt:variant>
        <vt:lpwstr/>
      </vt:variant>
      <vt:variant>
        <vt:i4>7798907</vt:i4>
      </vt:variant>
      <vt:variant>
        <vt:i4>2571</vt:i4>
      </vt:variant>
      <vt:variant>
        <vt:i4>0</vt:i4>
      </vt:variant>
      <vt:variant>
        <vt:i4>5</vt:i4>
      </vt:variant>
      <vt:variant>
        <vt:lpwstr>http://leapfroggroup.org/survey-materials/multi-campus-reporting-policy</vt:lpwstr>
      </vt:variant>
      <vt:variant>
        <vt:lpwstr/>
      </vt:variant>
      <vt:variant>
        <vt:i4>65542</vt:i4>
      </vt:variant>
      <vt:variant>
        <vt:i4>2568</vt:i4>
      </vt:variant>
      <vt:variant>
        <vt:i4>0</vt:i4>
      </vt:variant>
      <vt:variant>
        <vt:i4>5</vt:i4>
      </vt:variant>
      <vt:variant>
        <vt:lpwstr>https://pubmed.ncbi.nlm.nih.gov/29939938/</vt:lpwstr>
      </vt:variant>
      <vt:variant>
        <vt:lpwstr/>
      </vt:variant>
      <vt:variant>
        <vt:i4>2031645</vt:i4>
      </vt:variant>
      <vt:variant>
        <vt:i4>2565</vt:i4>
      </vt:variant>
      <vt:variant>
        <vt:i4>0</vt:i4>
      </vt:variant>
      <vt:variant>
        <vt:i4>5</vt:i4>
      </vt:variant>
      <vt:variant>
        <vt:lpwstr>https://www.leapfroggroup.org/about/expert-panelists</vt:lpwstr>
      </vt:variant>
      <vt:variant>
        <vt:lpwstr/>
      </vt:variant>
      <vt:variant>
        <vt:i4>7274602</vt:i4>
      </vt:variant>
      <vt:variant>
        <vt:i4>2562</vt:i4>
      </vt:variant>
      <vt:variant>
        <vt:i4>0</vt:i4>
      </vt:variant>
      <vt:variant>
        <vt:i4>5</vt:i4>
      </vt:variant>
      <vt:variant>
        <vt:lpwstr>https://survey.leapfroggroup.org/dashboard</vt:lpwstr>
      </vt:variant>
      <vt:variant>
        <vt:lpwstr/>
      </vt:variant>
      <vt:variant>
        <vt:i4>2949231</vt:i4>
      </vt:variant>
      <vt:variant>
        <vt:i4>2556</vt:i4>
      </vt:variant>
      <vt:variant>
        <vt:i4>0</vt:i4>
      </vt:variant>
      <vt:variant>
        <vt:i4>5</vt:i4>
      </vt:variant>
      <vt:variant>
        <vt:lpwstr/>
      </vt:variant>
      <vt:variant>
        <vt:lpwstr>_High-Risk_Deliveries_Measure_1</vt:lpwstr>
      </vt:variant>
      <vt:variant>
        <vt:i4>4784242</vt:i4>
      </vt:variant>
      <vt:variant>
        <vt:i4>2553</vt:i4>
      </vt:variant>
      <vt:variant>
        <vt:i4>0</vt:i4>
      </vt:variant>
      <vt:variant>
        <vt:i4>5</vt:i4>
      </vt:variant>
      <vt:variant>
        <vt:lpwstr>mailto:leapfrogreporting@vtoxford.org</vt:lpwstr>
      </vt:variant>
      <vt:variant>
        <vt:lpwstr/>
      </vt:variant>
      <vt:variant>
        <vt:i4>1376286</vt:i4>
      </vt:variant>
      <vt:variant>
        <vt:i4>2550</vt:i4>
      </vt:variant>
      <vt:variant>
        <vt:i4>0</vt:i4>
      </vt:variant>
      <vt:variant>
        <vt:i4>5</vt:i4>
      </vt:variant>
      <vt:variant>
        <vt:lpwstr>https://public.vtoxford.org/leapfrog</vt:lpwstr>
      </vt:variant>
      <vt:variant>
        <vt:lpwstr/>
      </vt:variant>
      <vt:variant>
        <vt:i4>6881342</vt:i4>
      </vt:variant>
      <vt:variant>
        <vt:i4>2547</vt:i4>
      </vt:variant>
      <vt:variant>
        <vt:i4>0</vt:i4>
      </vt:variant>
      <vt:variant>
        <vt:i4>5</vt:i4>
      </vt:variant>
      <vt:variant>
        <vt:lpwstr>https://public.vtoxford.org/transfer-codes/</vt:lpwstr>
      </vt:variant>
      <vt:variant>
        <vt:lpwstr/>
      </vt:variant>
      <vt:variant>
        <vt:i4>4784128</vt:i4>
      </vt:variant>
      <vt:variant>
        <vt:i4>2541</vt:i4>
      </vt:variant>
      <vt:variant>
        <vt:i4>0</vt:i4>
      </vt:variant>
      <vt:variant>
        <vt:i4>5</vt:i4>
      </vt:variant>
      <vt:variant>
        <vt:lpwstr/>
      </vt:variant>
      <vt:variant>
        <vt:lpwstr>_High-Risk_Deliveries</vt:lpwstr>
      </vt:variant>
      <vt:variant>
        <vt:i4>7733324</vt:i4>
      </vt:variant>
      <vt:variant>
        <vt:i4>2538</vt:i4>
      </vt:variant>
      <vt:variant>
        <vt:i4>0</vt:i4>
      </vt:variant>
      <vt:variant>
        <vt:i4>5</vt:i4>
      </vt:variant>
      <vt:variant>
        <vt:lpwstr/>
      </vt:variant>
      <vt:variant>
        <vt:lpwstr>Endnote21_VON</vt:lpwstr>
      </vt:variant>
      <vt:variant>
        <vt:i4>131119</vt:i4>
      </vt:variant>
      <vt:variant>
        <vt:i4>2535</vt:i4>
      </vt:variant>
      <vt:variant>
        <vt:i4>0</vt:i4>
      </vt:variant>
      <vt:variant>
        <vt:i4>5</vt:i4>
      </vt:variant>
      <vt:variant>
        <vt:lpwstr/>
      </vt:variant>
      <vt:variant>
        <vt:lpwstr>Endnote20_VLBW</vt:lpwstr>
      </vt:variant>
      <vt:variant>
        <vt:i4>1245223</vt:i4>
      </vt:variant>
      <vt:variant>
        <vt:i4>2532</vt:i4>
      </vt:variant>
      <vt:variant>
        <vt:i4>0</vt:i4>
      </vt:variant>
      <vt:variant>
        <vt:i4>5</vt:i4>
      </vt:variant>
      <vt:variant>
        <vt:lpwstr/>
      </vt:variant>
      <vt:variant>
        <vt:lpwstr>Endnote19_ColocatedNICU</vt:lpwstr>
      </vt:variant>
      <vt:variant>
        <vt:i4>8126553</vt:i4>
      </vt:variant>
      <vt:variant>
        <vt:i4>2529</vt:i4>
      </vt:variant>
      <vt:variant>
        <vt:i4>0</vt:i4>
      </vt:variant>
      <vt:variant>
        <vt:i4>5</vt:i4>
      </vt:variant>
      <vt:variant>
        <vt:lpwstr/>
      </vt:variant>
      <vt:variant>
        <vt:lpwstr>Endnote18_HighRiskDel</vt:lpwstr>
      </vt:variant>
      <vt:variant>
        <vt:i4>7798907</vt:i4>
      </vt:variant>
      <vt:variant>
        <vt:i4>2526</vt:i4>
      </vt:variant>
      <vt:variant>
        <vt:i4>0</vt:i4>
      </vt:variant>
      <vt:variant>
        <vt:i4>5</vt:i4>
      </vt:variant>
      <vt:variant>
        <vt:lpwstr>http://leapfroggroup.org/survey-materials/multi-campus-reporting-policy</vt:lpwstr>
      </vt:variant>
      <vt:variant>
        <vt:lpwstr/>
      </vt:variant>
      <vt:variant>
        <vt:i4>8061037</vt:i4>
      </vt:variant>
      <vt:variant>
        <vt:i4>2523</vt:i4>
      </vt:variant>
      <vt:variant>
        <vt:i4>0</vt:i4>
      </vt:variant>
      <vt:variant>
        <vt:i4>5</vt:i4>
      </vt:variant>
      <vt:variant>
        <vt:lpwstr/>
      </vt:variant>
      <vt:variant>
        <vt:lpwstr>MatProcessSpecs</vt:lpwstr>
      </vt:variant>
      <vt:variant>
        <vt:i4>8061037</vt:i4>
      </vt:variant>
      <vt:variant>
        <vt:i4>2520</vt:i4>
      </vt:variant>
      <vt:variant>
        <vt:i4>0</vt:i4>
      </vt:variant>
      <vt:variant>
        <vt:i4>5</vt:i4>
      </vt:variant>
      <vt:variant>
        <vt:lpwstr/>
      </vt:variant>
      <vt:variant>
        <vt:lpwstr>MatProcessSpecs</vt:lpwstr>
      </vt:variant>
      <vt:variant>
        <vt:i4>7798907</vt:i4>
      </vt:variant>
      <vt:variant>
        <vt:i4>2517</vt:i4>
      </vt:variant>
      <vt:variant>
        <vt:i4>0</vt:i4>
      </vt:variant>
      <vt:variant>
        <vt:i4>5</vt:i4>
      </vt:variant>
      <vt:variant>
        <vt:lpwstr>http://leapfroggroup.org/survey-materials/multi-campus-reporting-policy</vt:lpwstr>
      </vt:variant>
      <vt:variant>
        <vt:lpwstr/>
      </vt:variant>
      <vt:variant>
        <vt:i4>2293797</vt:i4>
      </vt:variant>
      <vt:variant>
        <vt:i4>2514</vt:i4>
      </vt:variant>
      <vt:variant>
        <vt:i4>0</vt:i4>
      </vt:variant>
      <vt:variant>
        <vt:i4>5</vt:i4>
      </vt:variant>
      <vt:variant>
        <vt:lpwstr/>
      </vt:variant>
      <vt:variant>
        <vt:lpwstr>_Episiotomy_2</vt:lpwstr>
      </vt:variant>
      <vt:variant>
        <vt:i4>7798907</vt:i4>
      </vt:variant>
      <vt:variant>
        <vt:i4>2511</vt:i4>
      </vt:variant>
      <vt:variant>
        <vt:i4>0</vt:i4>
      </vt:variant>
      <vt:variant>
        <vt:i4>5</vt:i4>
      </vt:variant>
      <vt:variant>
        <vt:lpwstr>http://leapfroggroup.org/survey-materials/multi-campus-reporting-policy</vt:lpwstr>
      </vt:variant>
      <vt:variant>
        <vt:lpwstr/>
      </vt:variant>
      <vt:variant>
        <vt:i4>1966120</vt:i4>
      </vt:variant>
      <vt:variant>
        <vt:i4>2508</vt:i4>
      </vt:variant>
      <vt:variant>
        <vt:i4>0</vt:i4>
      </vt:variant>
      <vt:variant>
        <vt:i4>5</vt:i4>
      </vt:variant>
      <vt:variant>
        <vt:lpwstr/>
      </vt:variant>
      <vt:variant>
        <vt:lpwstr>_Cesarean_Birth_2</vt:lpwstr>
      </vt:variant>
      <vt:variant>
        <vt:i4>1966120</vt:i4>
      </vt:variant>
      <vt:variant>
        <vt:i4>2505</vt:i4>
      </vt:variant>
      <vt:variant>
        <vt:i4>0</vt:i4>
      </vt:variant>
      <vt:variant>
        <vt:i4>5</vt:i4>
      </vt:variant>
      <vt:variant>
        <vt:lpwstr/>
      </vt:variant>
      <vt:variant>
        <vt:lpwstr>_Cesarean_Birth_2</vt:lpwstr>
      </vt:variant>
      <vt:variant>
        <vt:i4>7798907</vt:i4>
      </vt:variant>
      <vt:variant>
        <vt:i4>2502</vt:i4>
      </vt:variant>
      <vt:variant>
        <vt:i4>0</vt:i4>
      </vt:variant>
      <vt:variant>
        <vt:i4>5</vt:i4>
      </vt:variant>
      <vt:variant>
        <vt:lpwstr>http://leapfroggroup.org/survey-materials/multi-campus-reporting-policy</vt:lpwstr>
      </vt:variant>
      <vt:variant>
        <vt:lpwstr/>
      </vt:variant>
      <vt:variant>
        <vt:i4>8060978</vt:i4>
      </vt:variant>
      <vt:variant>
        <vt:i4>2499</vt:i4>
      </vt:variant>
      <vt:variant>
        <vt:i4>0</vt:i4>
      </vt:variant>
      <vt:variant>
        <vt:i4>5</vt:i4>
      </vt:variant>
      <vt:variant>
        <vt:lpwstr/>
      </vt:variant>
      <vt:variant>
        <vt:lpwstr>_Maternity_Care_Volume_1</vt:lpwstr>
      </vt:variant>
      <vt:variant>
        <vt:i4>7798907</vt:i4>
      </vt:variant>
      <vt:variant>
        <vt:i4>2496</vt:i4>
      </vt:variant>
      <vt:variant>
        <vt:i4>0</vt:i4>
      </vt:variant>
      <vt:variant>
        <vt:i4>5</vt:i4>
      </vt:variant>
      <vt:variant>
        <vt:lpwstr>http://leapfroggroup.org/survey-materials/multi-campus-reporting-policy</vt:lpwstr>
      </vt:variant>
      <vt:variant>
        <vt:lpwstr/>
      </vt:variant>
      <vt:variant>
        <vt:i4>5046365</vt:i4>
      </vt:variant>
      <vt:variant>
        <vt:i4>2493</vt:i4>
      </vt:variant>
      <vt:variant>
        <vt:i4>0</vt:i4>
      </vt:variant>
      <vt:variant>
        <vt:i4>5</vt:i4>
      </vt:variant>
      <vt:variant>
        <vt:lpwstr>http://www.leapfroggroup.org/survey-materials/scoring-and-results</vt:lpwstr>
      </vt:variant>
      <vt:variant>
        <vt:lpwstr/>
      </vt:variant>
      <vt:variant>
        <vt:i4>7995512</vt:i4>
      </vt:variant>
      <vt:variant>
        <vt:i4>2490</vt:i4>
      </vt:variant>
      <vt:variant>
        <vt:i4>0</vt:i4>
      </vt:variant>
      <vt:variant>
        <vt:i4>5</vt:i4>
      </vt:variant>
      <vt:variant>
        <vt:lpwstr>https://survey.leapfroggroup.org/login</vt:lpwstr>
      </vt:variant>
      <vt:variant>
        <vt:lpwstr/>
      </vt:variant>
      <vt:variant>
        <vt:i4>7340128</vt:i4>
      </vt:variant>
      <vt:variant>
        <vt:i4>2487</vt:i4>
      </vt:variant>
      <vt:variant>
        <vt:i4>0</vt:i4>
      </vt:variant>
      <vt:variant>
        <vt:i4>5</vt:i4>
      </vt:variant>
      <vt:variant>
        <vt:lpwstr>https://ratings.leapfroggroup.org/measure/hospital/2025/maternity-care</vt:lpwstr>
      </vt:variant>
      <vt:variant>
        <vt:lpwstr/>
      </vt:variant>
      <vt:variant>
        <vt:i4>5963793</vt:i4>
      </vt:variant>
      <vt:variant>
        <vt:i4>2484</vt:i4>
      </vt:variant>
      <vt:variant>
        <vt:i4>0</vt:i4>
      </vt:variant>
      <vt:variant>
        <vt:i4>5</vt:i4>
      </vt:variant>
      <vt:variant>
        <vt:lpwstr>https://apps.who.int/iris/handle/10665/70046</vt:lpwstr>
      </vt:variant>
      <vt:variant>
        <vt:lpwstr/>
      </vt:variant>
      <vt:variant>
        <vt:i4>7929904</vt:i4>
      </vt:variant>
      <vt:variant>
        <vt:i4>2481</vt:i4>
      </vt:variant>
      <vt:variant>
        <vt:i4>0</vt:i4>
      </vt:variant>
      <vt:variant>
        <vt:i4>5</vt:i4>
      </vt:variant>
      <vt:variant>
        <vt:lpwstr>https://www.who.int/patientsafety/safesurgery/checklist/en/</vt:lpwstr>
      </vt:variant>
      <vt:variant>
        <vt:lpwstr/>
      </vt:variant>
      <vt:variant>
        <vt:i4>1048668</vt:i4>
      </vt:variant>
      <vt:variant>
        <vt:i4>2478</vt:i4>
      </vt:variant>
      <vt:variant>
        <vt:i4>0</vt:i4>
      </vt:variant>
      <vt:variant>
        <vt:i4>5</vt:i4>
      </vt:variant>
      <vt:variant>
        <vt:lpwstr>https://www.jointcommission.org/standards/standard-faqs/critical-access-hospital/medical-staff-ms/000001500/</vt:lpwstr>
      </vt:variant>
      <vt:variant>
        <vt:lpwstr>:~:text=OPPE%20identifies%20professional%20practice%20trends,could%20negatively%20impact%20patient%20outcomes</vt:lpwstr>
      </vt:variant>
      <vt:variant>
        <vt:i4>196660</vt:i4>
      </vt:variant>
      <vt:variant>
        <vt:i4>2475</vt:i4>
      </vt:variant>
      <vt:variant>
        <vt:i4>0</vt:i4>
      </vt:variant>
      <vt:variant>
        <vt:i4>5</vt:i4>
      </vt:variant>
      <vt:variant>
        <vt:lpwstr/>
      </vt:variant>
      <vt:variant>
        <vt:lpwstr>FAQ13_notactive</vt:lpwstr>
      </vt:variant>
      <vt:variant>
        <vt:i4>393266</vt:i4>
      </vt:variant>
      <vt:variant>
        <vt:i4>2472</vt:i4>
      </vt:variant>
      <vt:variant>
        <vt:i4>0</vt:i4>
      </vt:variant>
      <vt:variant>
        <vt:i4>5</vt:i4>
      </vt:variant>
      <vt:variant>
        <vt:lpwstr/>
      </vt:variant>
      <vt:variant>
        <vt:lpwstr>FAQ11_surgtrain</vt:lpwstr>
      </vt:variant>
      <vt:variant>
        <vt:i4>8192083</vt:i4>
      </vt:variant>
      <vt:variant>
        <vt:i4>2469</vt:i4>
      </vt:variant>
      <vt:variant>
        <vt:i4>0</vt:i4>
      </vt:variant>
      <vt:variant>
        <vt:i4>5</vt:i4>
      </vt:variant>
      <vt:variant>
        <vt:lpwstr/>
      </vt:variant>
      <vt:variant>
        <vt:lpwstr>_Inpatient_Surgery_Measure</vt:lpwstr>
      </vt:variant>
      <vt:variant>
        <vt:i4>4063286</vt:i4>
      </vt:variant>
      <vt:variant>
        <vt:i4>2466</vt:i4>
      </vt:variant>
      <vt:variant>
        <vt:i4>0</vt:i4>
      </vt:variant>
      <vt:variant>
        <vt:i4>5</vt:i4>
      </vt:variant>
      <vt:variant>
        <vt:lpwstr/>
      </vt:variant>
      <vt:variant>
        <vt:lpwstr>_Safe_Surgery_Checklist_1</vt:lpwstr>
      </vt:variant>
      <vt:variant>
        <vt:i4>5832716</vt:i4>
      </vt:variant>
      <vt:variant>
        <vt:i4>2463</vt:i4>
      </vt:variant>
      <vt:variant>
        <vt:i4>0</vt:i4>
      </vt:variant>
      <vt:variant>
        <vt:i4>5</vt:i4>
      </vt:variant>
      <vt:variant>
        <vt:lpwstr>https://www.leapfroggroup.org/survey-materials/survey-and-cpoe-materials</vt:lpwstr>
      </vt:variant>
      <vt:variant>
        <vt:lpwstr/>
      </vt:variant>
      <vt:variant>
        <vt:i4>524307</vt:i4>
      </vt:variant>
      <vt:variant>
        <vt:i4>2460</vt:i4>
      </vt:variant>
      <vt:variant>
        <vt:i4>0</vt:i4>
      </vt:variant>
      <vt:variant>
        <vt:i4>5</vt:i4>
      </vt:variant>
      <vt:variant>
        <vt:lpwstr>https://www.ahrq.gov/hai/tools/ambulatory-surgery/sections/implementation/implementation-guide/app-e.html</vt:lpwstr>
      </vt:variant>
      <vt:variant>
        <vt:lpwstr/>
      </vt:variant>
      <vt:variant>
        <vt:i4>4587625</vt:i4>
      </vt:variant>
      <vt:variant>
        <vt:i4>2457</vt:i4>
      </vt:variant>
      <vt:variant>
        <vt:i4>0</vt:i4>
      </vt:variant>
      <vt:variant>
        <vt:i4>5</vt:i4>
      </vt:variant>
      <vt:variant>
        <vt:lpwstr>https://www.leapfroggroup.org/sites/default/files/Files/Implementation manual WHO surgical safety checklist 2009.pdf?token=_DzwbK1J</vt:lpwstr>
      </vt:variant>
      <vt:variant>
        <vt:lpwstr/>
      </vt:variant>
      <vt:variant>
        <vt:i4>4915273</vt:i4>
      </vt:variant>
      <vt:variant>
        <vt:i4>2454</vt:i4>
      </vt:variant>
      <vt:variant>
        <vt:i4>0</vt:i4>
      </vt:variant>
      <vt:variant>
        <vt:i4>5</vt:i4>
      </vt:variant>
      <vt:variant>
        <vt:lpwstr>https://www.who.int/teams/integrated-health-services/patient-safety/research/safe-surgery</vt:lpwstr>
      </vt:variant>
      <vt:variant>
        <vt:lpwstr/>
      </vt:variant>
      <vt:variant>
        <vt:i4>7798907</vt:i4>
      </vt:variant>
      <vt:variant>
        <vt:i4>2451</vt:i4>
      </vt:variant>
      <vt:variant>
        <vt:i4>0</vt:i4>
      </vt:variant>
      <vt:variant>
        <vt:i4>5</vt:i4>
      </vt:variant>
      <vt:variant>
        <vt:lpwstr>http://leapfroggroup.org/survey-materials/multi-campus-reporting-policy</vt:lpwstr>
      </vt:variant>
      <vt:variant>
        <vt:lpwstr/>
      </vt:variant>
      <vt:variant>
        <vt:i4>65576</vt:i4>
      </vt:variant>
      <vt:variant>
        <vt:i4>2448</vt:i4>
      </vt:variant>
      <vt:variant>
        <vt:i4>0</vt:i4>
      </vt:variant>
      <vt:variant>
        <vt:i4>5</vt:i4>
      </vt:variant>
      <vt:variant>
        <vt:lpwstr/>
      </vt:variant>
      <vt:variant>
        <vt:lpwstr>_Adult_and_Pediatric</vt:lpwstr>
      </vt:variant>
      <vt:variant>
        <vt:i4>5177416</vt:i4>
      </vt:variant>
      <vt:variant>
        <vt:i4>2445</vt:i4>
      </vt:variant>
      <vt:variant>
        <vt:i4>0</vt:i4>
      </vt:variant>
      <vt:variant>
        <vt:i4>5</vt:i4>
      </vt:variant>
      <vt:variant>
        <vt:lpwstr>https://www.sts.org/</vt:lpwstr>
      </vt:variant>
      <vt:variant>
        <vt:lpwstr/>
      </vt:variant>
      <vt:variant>
        <vt:i4>5177416</vt:i4>
      </vt:variant>
      <vt:variant>
        <vt:i4>2442</vt:i4>
      </vt:variant>
      <vt:variant>
        <vt:i4>0</vt:i4>
      </vt:variant>
      <vt:variant>
        <vt:i4>5</vt:i4>
      </vt:variant>
      <vt:variant>
        <vt:lpwstr>https://www.sts.org/</vt:lpwstr>
      </vt:variant>
      <vt:variant>
        <vt:lpwstr/>
      </vt:variant>
      <vt:variant>
        <vt:i4>4128880</vt:i4>
      </vt:variant>
      <vt:variant>
        <vt:i4>2439</vt:i4>
      </vt:variant>
      <vt:variant>
        <vt:i4>0</vt:i4>
      </vt:variant>
      <vt:variant>
        <vt:i4>5</vt:i4>
      </vt:variant>
      <vt:variant>
        <vt:lpwstr>https://publicreporting.sts.org/search/acsd</vt:lpwstr>
      </vt:variant>
      <vt:variant>
        <vt:lpwstr/>
      </vt:variant>
      <vt:variant>
        <vt:i4>262196</vt:i4>
      </vt:variant>
      <vt:variant>
        <vt:i4>2436</vt:i4>
      </vt:variant>
      <vt:variant>
        <vt:i4>0</vt:i4>
      </vt:variant>
      <vt:variant>
        <vt:i4>5</vt:i4>
      </vt:variant>
      <vt:variant>
        <vt:lpwstr/>
      </vt:variant>
      <vt:variant>
        <vt:lpwstr>MVRR_STS</vt:lpwstr>
      </vt:variant>
      <vt:variant>
        <vt:i4>4128880</vt:i4>
      </vt:variant>
      <vt:variant>
        <vt:i4>2433</vt:i4>
      </vt:variant>
      <vt:variant>
        <vt:i4>0</vt:i4>
      </vt:variant>
      <vt:variant>
        <vt:i4>5</vt:i4>
      </vt:variant>
      <vt:variant>
        <vt:lpwstr>https://publicreporting.sts.org/search/acsd</vt:lpwstr>
      </vt:variant>
      <vt:variant>
        <vt:lpwstr/>
      </vt:variant>
      <vt:variant>
        <vt:i4>5177416</vt:i4>
      </vt:variant>
      <vt:variant>
        <vt:i4>2430</vt:i4>
      </vt:variant>
      <vt:variant>
        <vt:i4>0</vt:i4>
      </vt:variant>
      <vt:variant>
        <vt:i4>5</vt:i4>
      </vt:variant>
      <vt:variant>
        <vt:lpwstr>https://www.sts.org/</vt:lpwstr>
      </vt:variant>
      <vt:variant>
        <vt:lpwstr/>
      </vt:variant>
      <vt:variant>
        <vt:i4>5177416</vt:i4>
      </vt:variant>
      <vt:variant>
        <vt:i4>2427</vt:i4>
      </vt:variant>
      <vt:variant>
        <vt:i4>0</vt:i4>
      </vt:variant>
      <vt:variant>
        <vt:i4>5</vt:i4>
      </vt:variant>
      <vt:variant>
        <vt:lpwstr>https://www.sts.org/</vt:lpwstr>
      </vt:variant>
      <vt:variant>
        <vt:lpwstr/>
      </vt:variant>
      <vt:variant>
        <vt:i4>5832716</vt:i4>
      </vt:variant>
      <vt:variant>
        <vt:i4>2424</vt:i4>
      </vt:variant>
      <vt:variant>
        <vt:i4>0</vt:i4>
      </vt:variant>
      <vt:variant>
        <vt:i4>5</vt:i4>
      </vt:variant>
      <vt:variant>
        <vt:lpwstr>https://www.leapfroggroup.org/survey-materials/survey-and-cpoe-materials</vt:lpwstr>
      </vt:variant>
      <vt:variant>
        <vt:lpwstr/>
      </vt:variant>
      <vt:variant>
        <vt:i4>6357067</vt:i4>
      </vt:variant>
      <vt:variant>
        <vt:i4>2421</vt:i4>
      </vt:variant>
      <vt:variant>
        <vt:i4>0</vt:i4>
      </vt:variant>
      <vt:variant>
        <vt:i4>5</vt:i4>
      </vt:variant>
      <vt:variant>
        <vt:lpwstr/>
      </vt:variant>
      <vt:variant>
        <vt:lpwstr>_Norwood_Procedure_Measure</vt:lpwstr>
      </vt:variant>
      <vt:variant>
        <vt:i4>6488145</vt:i4>
      </vt:variant>
      <vt:variant>
        <vt:i4>2418</vt:i4>
      </vt:variant>
      <vt:variant>
        <vt:i4>0</vt:i4>
      </vt:variant>
      <vt:variant>
        <vt:i4>5</vt:i4>
      </vt:variant>
      <vt:variant>
        <vt:lpwstr/>
      </vt:variant>
      <vt:variant>
        <vt:lpwstr>_Total_Hip_Replacement</vt:lpwstr>
      </vt:variant>
      <vt:variant>
        <vt:i4>5505126</vt:i4>
      </vt:variant>
      <vt:variant>
        <vt:i4>2415</vt:i4>
      </vt:variant>
      <vt:variant>
        <vt:i4>0</vt:i4>
      </vt:variant>
      <vt:variant>
        <vt:i4>5</vt:i4>
      </vt:variant>
      <vt:variant>
        <vt:lpwstr/>
      </vt:variant>
      <vt:variant>
        <vt:lpwstr>_Total_Knee_Replacement</vt:lpwstr>
      </vt:variant>
      <vt:variant>
        <vt:i4>524288</vt:i4>
      </vt:variant>
      <vt:variant>
        <vt:i4>2412</vt:i4>
      </vt:variant>
      <vt:variant>
        <vt:i4>0</vt:i4>
      </vt:variant>
      <vt:variant>
        <vt:i4>5</vt:i4>
      </vt:variant>
      <vt:variant>
        <vt:lpwstr/>
      </vt:variant>
      <vt:variant>
        <vt:lpwstr>BariatricSurgery</vt:lpwstr>
      </vt:variant>
      <vt:variant>
        <vt:i4>851992</vt:i4>
      </vt:variant>
      <vt:variant>
        <vt:i4>2409</vt:i4>
      </vt:variant>
      <vt:variant>
        <vt:i4>0</vt:i4>
      </vt:variant>
      <vt:variant>
        <vt:i4>5</vt:i4>
      </vt:variant>
      <vt:variant>
        <vt:lpwstr/>
      </vt:variant>
      <vt:variant>
        <vt:lpwstr>RectalCancer</vt:lpwstr>
      </vt:variant>
      <vt:variant>
        <vt:i4>7012463</vt:i4>
      </vt:variant>
      <vt:variant>
        <vt:i4>2406</vt:i4>
      </vt:variant>
      <vt:variant>
        <vt:i4>0</vt:i4>
      </vt:variant>
      <vt:variant>
        <vt:i4>5</vt:i4>
      </vt:variant>
      <vt:variant>
        <vt:lpwstr/>
      </vt:variant>
      <vt:variant>
        <vt:lpwstr>PancreaticResection</vt:lpwstr>
      </vt:variant>
      <vt:variant>
        <vt:i4>7340143</vt:i4>
      </vt:variant>
      <vt:variant>
        <vt:i4>2403</vt:i4>
      </vt:variant>
      <vt:variant>
        <vt:i4>0</vt:i4>
      </vt:variant>
      <vt:variant>
        <vt:i4>5</vt:i4>
      </vt:variant>
      <vt:variant>
        <vt:lpwstr/>
      </vt:variant>
      <vt:variant>
        <vt:lpwstr>EsophagealResection</vt:lpwstr>
      </vt:variant>
      <vt:variant>
        <vt:i4>589833</vt:i4>
      </vt:variant>
      <vt:variant>
        <vt:i4>2400</vt:i4>
      </vt:variant>
      <vt:variant>
        <vt:i4>0</vt:i4>
      </vt:variant>
      <vt:variant>
        <vt:i4>5</vt:i4>
      </vt:variant>
      <vt:variant>
        <vt:lpwstr/>
      </vt:variant>
      <vt:variant>
        <vt:lpwstr>LungResection</vt:lpwstr>
      </vt:variant>
      <vt:variant>
        <vt:i4>7864442</vt:i4>
      </vt:variant>
      <vt:variant>
        <vt:i4>2397</vt:i4>
      </vt:variant>
      <vt:variant>
        <vt:i4>0</vt:i4>
      </vt:variant>
      <vt:variant>
        <vt:i4>5</vt:i4>
      </vt:variant>
      <vt:variant>
        <vt:lpwstr/>
      </vt:variant>
      <vt:variant>
        <vt:lpwstr>Aortic</vt:lpwstr>
      </vt:variant>
      <vt:variant>
        <vt:i4>6291554</vt:i4>
      </vt:variant>
      <vt:variant>
        <vt:i4>2394</vt:i4>
      </vt:variant>
      <vt:variant>
        <vt:i4>0</vt:i4>
      </vt:variant>
      <vt:variant>
        <vt:i4>5</vt:i4>
      </vt:variant>
      <vt:variant>
        <vt:lpwstr/>
      </vt:variant>
      <vt:variant>
        <vt:lpwstr>MitralValve</vt:lpwstr>
      </vt:variant>
      <vt:variant>
        <vt:i4>6750309</vt:i4>
      </vt:variant>
      <vt:variant>
        <vt:i4>2391</vt:i4>
      </vt:variant>
      <vt:variant>
        <vt:i4>0</vt:i4>
      </vt:variant>
      <vt:variant>
        <vt:i4>5</vt:i4>
      </vt:variant>
      <vt:variant>
        <vt:lpwstr/>
      </vt:variant>
      <vt:variant>
        <vt:lpwstr>Carotid</vt:lpwstr>
      </vt:variant>
      <vt:variant>
        <vt:i4>5832716</vt:i4>
      </vt:variant>
      <vt:variant>
        <vt:i4>2388</vt:i4>
      </vt:variant>
      <vt:variant>
        <vt:i4>0</vt:i4>
      </vt:variant>
      <vt:variant>
        <vt:i4>5</vt:i4>
      </vt:variant>
      <vt:variant>
        <vt:lpwstr>https://www.leapfroggroup.org/survey-materials/survey-and-cpoe-materials</vt:lpwstr>
      </vt:variant>
      <vt:variant>
        <vt:lpwstr/>
      </vt:variant>
      <vt:variant>
        <vt:i4>7798907</vt:i4>
      </vt:variant>
      <vt:variant>
        <vt:i4>2385</vt:i4>
      </vt:variant>
      <vt:variant>
        <vt:i4>0</vt:i4>
      </vt:variant>
      <vt:variant>
        <vt:i4>5</vt:i4>
      </vt:variant>
      <vt:variant>
        <vt:lpwstr>http://leapfroggroup.org/survey-materials/multi-campus-reporting-policy</vt:lpwstr>
      </vt:variant>
      <vt:variant>
        <vt:lpwstr/>
      </vt:variant>
      <vt:variant>
        <vt:i4>4063286</vt:i4>
      </vt:variant>
      <vt:variant>
        <vt:i4>2382</vt:i4>
      </vt:variant>
      <vt:variant>
        <vt:i4>0</vt:i4>
      </vt:variant>
      <vt:variant>
        <vt:i4>5</vt:i4>
      </vt:variant>
      <vt:variant>
        <vt:lpwstr/>
      </vt:variant>
      <vt:variant>
        <vt:lpwstr>_Safe_Surgery_Checklist_1</vt:lpwstr>
      </vt:variant>
      <vt:variant>
        <vt:i4>2359382</vt:i4>
      </vt:variant>
      <vt:variant>
        <vt:i4>2379</vt:i4>
      </vt:variant>
      <vt:variant>
        <vt:i4>0</vt:i4>
      </vt:variant>
      <vt:variant>
        <vt:i4>5</vt:i4>
      </vt:variant>
      <vt:variant>
        <vt:lpwstr/>
      </vt:variant>
      <vt:variant>
        <vt:lpwstr>clinicalteamintro_3b</vt:lpwstr>
      </vt:variant>
      <vt:variant>
        <vt:i4>4063286</vt:i4>
      </vt:variant>
      <vt:variant>
        <vt:i4>2376</vt:i4>
      </vt:variant>
      <vt:variant>
        <vt:i4>0</vt:i4>
      </vt:variant>
      <vt:variant>
        <vt:i4>5</vt:i4>
      </vt:variant>
      <vt:variant>
        <vt:lpwstr/>
      </vt:variant>
      <vt:variant>
        <vt:lpwstr>_Safe_Surgery_Checklist_1</vt:lpwstr>
      </vt:variant>
      <vt:variant>
        <vt:i4>4063286</vt:i4>
      </vt:variant>
      <vt:variant>
        <vt:i4>2373</vt:i4>
      </vt:variant>
      <vt:variant>
        <vt:i4>0</vt:i4>
      </vt:variant>
      <vt:variant>
        <vt:i4>5</vt:i4>
      </vt:variant>
      <vt:variant>
        <vt:lpwstr/>
      </vt:variant>
      <vt:variant>
        <vt:lpwstr>_Safe_Surgery_Checklist_2</vt:lpwstr>
      </vt:variant>
      <vt:variant>
        <vt:i4>4063286</vt:i4>
      </vt:variant>
      <vt:variant>
        <vt:i4>2370</vt:i4>
      </vt:variant>
      <vt:variant>
        <vt:i4>0</vt:i4>
      </vt:variant>
      <vt:variant>
        <vt:i4>5</vt:i4>
      </vt:variant>
      <vt:variant>
        <vt:lpwstr/>
      </vt:variant>
      <vt:variant>
        <vt:lpwstr>_Safe_Surgery_Checklist_2</vt:lpwstr>
      </vt:variant>
      <vt:variant>
        <vt:i4>6750256</vt:i4>
      </vt:variant>
      <vt:variant>
        <vt:i4>2364</vt:i4>
      </vt:variant>
      <vt:variant>
        <vt:i4>0</vt:i4>
      </vt:variant>
      <vt:variant>
        <vt:i4>5</vt:i4>
      </vt:variant>
      <vt:variant>
        <vt:lpwstr/>
      </vt:variant>
      <vt:variant>
        <vt:lpwstr>safesurgfaqs3c</vt:lpwstr>
      </vt:variant>
      <vt:variant>
        <vt:i4>524307</vt:i4>
      </vt:variant>
      <vt:variant>
        <vt:i4>2361</vt:i4>
      </vt:variant>
      <vt:variant>
        <vt:i4>0</vt:i4>
      </vt:variant>
      <vt:variant>
        <vt:i4>5</vt:i4>
      </vt:variant>
      <vt:variant>
        <vt:lpwstr>https://www.ahrq.gov/hai/tools/ambulatory-surgery/sections/implementation/implementation-guide/app-e.html</vt:lpwstr>
      </vt:variant>
      <vt:variant>
        <vt:lpwstr/>
      </vt:variant>
      <vt:variant>
        <vt:i4>7929904</vt:i4>
      </vt:variant>
      <vt:variant>
        <vt:i4>2358</vt:i4>
      </vt:variant>
      <vt:variant>
        <vt:i4>0</vt:i4>
      </vt:variant>
      <vt:variant>
        <vt:i4>5</vt:i4>
      </vt:variant>
      <vt:variant>
        <vt:lpwstr>https://www.who.int/patientsafety/safesurgery/checklist/en/</vt:lpwstr>
      </vt:variant>
      <vt:variant>
        <vt:lpwstr/>
      </vt:variant>
      <vt:variant>
        <vt:i4>7798907</vt:i4>
      </vt:variant>
      <vt:variant>
        <vt:i4>2355</vt:i4>
      </vt:variant>
      <vt:variant>
        <vt:i4>0</vt:i4>
      </vt:variant>
      <vt:variant>
        <vt:i4>5</vt:i4>
      </vt:variant>
      <vt:variant>
        <vt:lpwstr>http://leapfroggroup.org/survey-materials/multi-campus-reporting-policy</vt:lpwstr>
      </vt:variant>
      <vt:variant>
        <vt:lpwstr/>
      </vt:variant>
      <vt:variant>
        <vt:i4>5177416</vt:i4>
      </vt:variant>
      <vt:variant>
        <vt:i4>2352</vt:i4>
      </vt:variant>
      <vt:variant>
        <vt:i4>0</vt:i4>
      </vt:variant>
      <vt:variant>
        <vt:i4>5</vt:i4>
      </vt:variant>
      <vt:variant>
        <vt:lpwstr>https://www.sts.org/</vt:lpwstr>
      </vt:variant>
      <vt:variant>
        <vt:lpwstr/>
      </vt:variant>
      <vt:variant>
        <vt:i4>6815857</vt:i4>
      </vt:variant>
      <vt:variant>
        <vt:i4>2349</vt:i4>
      </vt:variant>
      <vt:variant>
        <vt:i4>0</vt:i4>
      </vt:variant>
      <vt:variant>
        <vt:i4>5</vt:i4>
      </vt:variant>
      <vt:variant>
        <vt:lpwstr/>
      </vt:variant>
      <vt:variant>
        <vt:lpwstr>datacompletenessrequirement</vt:lpwstr>
      </vt:variant>
      <vt:variant>
        <vt:i4>5177416</vt:i4>
      </vt:variant>
      <vt:variant>
        <vt:i4>2346</vt:i4>
      </vt:variant>
      <vt:variant>
        <vt:i4>0</vt:i4>
      </vt:variant>
      <vt:variant>
        <vt:i4>5</vt:i4>
      </vt:variant>
      <vt:variant>
        <vt:lpwstr>https://www.sts.org/</vt:lpwstr>
      </vt:variant>
      <vt:variant>
        <vt:lpwstr/>
      </vt:variant>
      <vt:variant>
        <vt:i4>8192083</vt:i4>
      </vt:variant>
      <vt:variant>
        <vt:i4>2340</vt:i4>
      </vt:variant>
      <vt:variant>
        <vt:i4>0</vt:i4>
      </vt:variant>
      <vt:variant>
        <vt:i4>5</vt:i4>
      </vt:variant>
      <vt:variant>
        <vt:lpwstr/>
      </vt:variant>
      <vt:variant>
        <vt:lpwstr>_Inpatient_Surgery_Measure</vt:lpwstr>
      </vt:variant>
      <vt:variant>
        <vt:i4>7798907</vt:i4>
      </vt:variant>
      <vt:variant>
        <vt:i4>2337</vt:i4>
      </vt:variant>
      <vt:variant>
        <vt:i4>0</vt:i4>
      </vt:variant>
      <vt:variant>
        <vt:i4>5</vt:i4>
      </vt:variant>
      <vt:variant>
        <vt:lpwstr>http://leapfroggroup.org/survey-materials/multi-campus-reporting-policy</vt:lpwstr>
      </vt:variant>
      <vt:variant>
        <vt:lpwstr/>
      </vt:variant>
      <vt:variant>
        <vt:i4>5046365</vt:i4>
      </vt:variant>
      <vt:variant>
        <vt:i4>2334</vt:i4>
      </vt:variant>
      <vt:variant>
        <vt:i4>0</vt:i4>
      </vt:variant>
      <vt:variant>
        <vt:i4>5</vt:i4>
      </vt:variant>
      <vt:variant>
        <vt:lpwstr>http://www.leapfroggroup.org/survey-materials/scoring-and-results</vt:lpwstr>
      </vt:variant>
      <vt:variant>
        <vt:lpwstr/>
      </vt:variant>
      <vt:variant>
        <vt:i4>2752629</vt:i4>
      </vt:variant>
      <vt:variant>
        <vt:i4>2331</vt:i4>
      </vt:variant>
      <vt:variant>
        <vt:i4>0</vt:i4>
      </vt:variant>
      <vt:variant>
        <vt:i4>5</vt:i4>
      </vt:variant>
      <vt:variant>
        <vt:lpwstr>https://ratings.leapfroggroup.org/measure/hospital/2025/complex-adult-and-pediatric-surgery</vt:lpwstr>
      </vt:variant>
      <vt:variant>
        <vt:lpwstr/>
      </vt:variant>
      <vt:variant>
        <vt:i4>3538982</vt:i4>
      </vt:variant>
      <vt:variant>
        <vt:i4>2328</vt:i4>
      </vt:variant>
      <vt:variant>
        <vt:i4>0</vt:i4>
      </vt:variant>
      <vt:variant>
        <vt:i4>5</vt:i4>
      </vt:variant>
      <vt:variant>
        <vt:lpwstr>https://www.leapfroggroup.org/survey-materials/scoring-and-results</vt:lpwstr>
      </vt:variant>
      <vt:variant>
        <vt:lpwstr/>
      </vt:variant>
      <vt:variant>
        <vt:i4>6750258</vt:i4>
      </vt:variant>
      <vt:variant>
        <vt:i4>2325</vt:i4>
      </vt:variant>
      <vt:variant>
        <vt:i4>0</vt:i4>
      </vt:variant>
      <vt:variant>
        <vt:i4>5</vt:i4>
      </vt:variant>
      <vt:variant>
        <vt:lpwstr>http://www.leapfroggroup.org/survey-materials/survey-and-cpoe-materials</vt:lpwstr>
      </vt:variant>
      <vt:variant>
        <vt:lpwstr/>
      </vt:variant>
      <vt:variant>
        <vt:i4>7733370</vt:i4>
      </vt:variant>
      <vt:variant>
        <vt:i4>2322</vt:i4>
      </vt:variant>
      <vt:variant>
        <vt:i4>0</vt:i4>
      </vt:variant>
      <vt:variant>
        <vt:i4>5</vt:i4>
      </vt:variant>
      <vt:variant>
        <vt:lpwstr/>
      </vt:variant>
      <vt:variant>
        <vt:lpwstr>CertifiedPharmacyTechnician</vt:lpwstr>
      </vt:variant>
      <vt:variant>
        <vt:i4>1245253</vt:i4>
      </vt:variant>
      <vt:variant>
        <vt:i4>2319</vt:i4>
      </vt:variant>
      <vt:variant>
        <vt:i4>0</vt:i4>
      </vt:variant>
      <vt:variant>
        <vt:i4>5</vt:i4>
      </vt:variant>
      <vt:variant>
        <vt:lpwstr/>
      </vt:variant>
      <vt:variant>
        <vt:lpwstr>_Bar_Code_Medication_1</vt:lpwstr>
      </vt:variant>
      <vt:variant>
        <vt:i4>983048</vt:i4>
      </vt:variant>
      <vt:variant>
        <vt:i4>2316</vt:i4>
      </vt:variant>
      <vt:variant>
        <vt:i4>0</vt:i4>
      </vt:variant>
      <vt:variant>
        <vt:i4>5</vt:i4>
      </vt:variant>
      <vt:variant>
        <vt:lpwstr/>
      </vt:variant>
      <vt:variant>
        <vt:lpwstr>colocatedendnote</vt:lpwstr>
      </vt:variant>
      <vt:variant>
        <vt:i4>2031636</vt:i4>
      </vt:variant>
      <vt:variant>
        <vt:i4>2313</vt:i4>
      </vt:variant>
      <vt:variant>
        <vt:i4>0</vt:i4>
      </vt:variant>
      <vt:variant>
        <vt:i4>5</vt:i4>
      </vt:variant>
      <vt:variant>
        <vt:lpwstr/>
      </vt:variant>
      <vt:variant>
        <vt:lpwstr>pacusendnote</vt:lpwstr>
      </vt:variant>
      <vt:variant>
        <vt:i4>4915294</vt:i4>
      </vt:variant>
      <vt:variant>
        <vt:i4>2310</vt:i4>
      </vt:variant>
      <vt:variant>
        <vt:i4>0</vt:i4>
      </vt:variant>
      <vt:variant>
        <vt:i4>5</vt:i4>
      </vt:variant>
      <vt:variant>
        <vt:lpwstr>https://www.leapfroggroup.org/survey-materials/deadlines</vt:lpwstr>
      </vt:variant>
      <vt:variant>
        <vt:lpwstr/>
      </vt:variant>
      <vt:variant>
        <vt:i4>6488186</vt:i4>
      </vt:variant>
      <vt:variant>
        <vt:i4>2307</vt:i4>
      </vt:variant>
      <vt:variant>
        <vt:i4>0</vt:i4>
      </vt:variant>
      <vt:variant>
        <vt:i4>5</vt:i4>
      </vt:variant>
      <vt:variant>
        <vt:lpwstr/>
      </vt:variant>
      <vt:variant>
        <vt:lpwstr>Prescriber</vt:lpwstr>
      </vt:variant>
      <vt:variant>
        <vt:i4>786432</vt:i4>
      </vt:variant>
      <vt:variant>
        <vt:i4>2304</vt:i4>
      </vt:variant>
      <vt:variant>
        <vt:i4>0</vt:i4>
      </vt:variant>
      <vt:variant>
        <vt:i4>5</vt:i4>
      </vt:variant>
      <vt:variant>
        <vt:lpwstr>https://www.leapfroggroup.org/survey-materials/prepare-cpoe-tool</vt:lpwstr>
      </vt:variant>
      <vt:variant>
        <vt:lpwstr/>
      </vt:variant>
      <vt:variant>
        <vt:i4>6750258</vt:i4>
      </vt:variant>
      <vt:variant>
        <vt:i4>2301</vt:i4>
      </vt:variant>
      <vt:variant>
        <vt:i4>0</vt:i4>
      </vt:variant>
      <vt:variant>
        <vt:i4>5</vt:i4>
      </vt:variant>
      <vt:variant>
        <vt:lpwstr>http://www.leapfroggroup.org/survey-materials/survey-and-cpoe-materials</vt:lpwstr>
      </vt:variant>
      <vt:variant>
        <vt:lpwstr/>
      </vt:variant>
      <vt:variant>
        <vt:i4>5046353</vt:i4>
      </vt:variant>
      <vt:variant>
        <vt:i4>2298</vt:i4>
      </vt:variant>
      <vt:variant>
        <vt:i4>0</vt:i4>
      </vt:variant>
      <vt:variant>
        <vt:i4>5</vt:i4>
      </vt:variant>
      <vt:variant>
        <vt:lpwstr/>
      </vt:variant>
      <vt:variant>
        <vt:lpwstr>_Medication_Reconciliation</vt:lpwstr>
      </vt:variant>
      <vt:variant>
        <vt:i4>3014732</vt:i4>
      </vt:variant>
      <vt:variant>
        <vt:i4>2295</vt:i4>
      </vt:variant>
      <vt:variant>
        <vt:i4>0</vt:i4>
      </vt:variant>
      <vt:variant>
        <vt:i4>5</vt:i4>
      </vt:variant>
      <vt:variant>
        <vt:lpwstr>http://www.hospitalmedicine.org/Web/Quality___Innovation/Implementation_Toolkit/MARQUIS/MARQUIS_Collaborative_Program_Recruitment.aspx</vt:lpwstr>
      </vt:variant>
      <vt:variant>
        <vt:lpwstr/>
      </vt:variant>
      <vt:variant>
        <vt:i4>2228335</vt:i4>
      </vt:variant>
      <vt:variant>
        <vt:i4>2292</vt:i4>
      </vt:variant>
      <vt:variant>
        <vt:i4>0</vt:i4>
      </vt:variant>
      <vt:variant>
        <vt:i4>5</vt:i4>
      </vt:variant>
      <vt:variant>
        <vt:lpwstr>https://www.hospitalmedicine.org/clinical-topics/medication-reconciliation/</vt:lpwstr>
      </vt:variant>
      <vt:variant>
        <vt:lpwstr/>
      </vt:variant>
      <vt:variant>
        <vt:i4>5832716</vt:i4>
      </vt:variant>
      <vt:variant>
        <vt:i4>2289</vt:i4>
      </vt:variant>
      <vt:variant>
        <vt:i4>0</vt:i4>
      </vt:variant>
      <vt:variant>
        <vt:i4>5</vt:i4>
      </vt:variant>
      <vt:variant>
        <vt:lpwstr>https://www.leapfroggroup.org/survey-materials/survey-and-cpoe-materials</vt:lpwstr>
      </vt:variant>
      <vt:variant>
        <vt:lpwstr/>
      </vt:variant>
      <vt:variant>
        <vt:i4>5832716</vt:i4>
      </vt:variant>
      <vt:variant>
        <vt:i4>2286</vt:i4>
      </vt:variant>
      <vt:variant>
        <vt:i4>0</vt:i4>
      </vt:variant>
      <vt:variant>
        <vt:i4>5</vt:i4>
      </vt:variant>
      <vt:variant>
        <vt:lpwstr>https://www.leapfroggroup.org/survey-materials/survey-and-cpoe-materials</vt:lpwstr>
      </vt:variant>
      <vt:variant>
        <vt:lpwstr/>
      </vt:variant>
      <vt:variant>
        <vt:i4>7733370</vt:i4>
      </vt:variant>
      <vt:variant>
        <vt:i4>2280</vt:i4>
      </vt:variant>
      <vt:variant>
        <vt:i4>0</vt:i4>
      </vt:variant>
      <vt:variant>
        <vt:i4>5</vt:i4>
      </vt:variant>
      <vt:variant>
        <vt:lpwstr/>
      </vt:variant>
      <vt:variant>
        <vt:lpwstr>CertifiedPharmacyTechnician</vt:lpwstr>
      </vt:variant>
      <vt:variant>
        <vt:i4>7733370</vt:i4>
      </vt:variant>
      <vt:variant>
        <vt:i4>2277</vt:i4>
      </vt:variant>
      <vt:variant>
        <vt:i4>0</vt:i4>
      </vt:variant>
      <vt:variant>
        <vt:i4>5</vt:i4>
      </vt:variant>
      <vt:variant>
        <vt:lpwstr/>
      </vt:variant>
      <vt:variant>
        <vt:lpwstr>CertifiedPharmacyTechnician</vt:lpwstr>
      </vt:variant>
      <vt:variant>
        <vt:i4>7733370</vt:i4>
      </vt:variant>
      <vt:variant>
        <vt:i4>2271</vt:i4>
      </vt:variant>
      <vt:variant>
        <vt:i4>0</vt:i4>
      </vt:variant>
      <vt:variant>
        <vt:i4>5</vt:i4>
      </vt:variant>
      <vt:variant>
        <vt:lpwstr/>
      </vt:variant>
      <vt:variant>
        <vt:lpwstr>CertifiedPharmacyTechnician</vt:lpwstr>
      </vt:variant>
      <vt:variant>
        <vt:i4>2228335</vt:i4>
      </vt:variant>
      <vt:variant>
        <vt:i4>2268</vt:i4>
      </vt:variant>
      <vt:variant>
        <vt:i4>0</vt:i4>
      </vt:variant>
      <vt:variant>
        <vt:i4>5</vt:i4>
      </vt:variant>
      <vt:variant>
        <vt:lpwstr>https://www.hospitalmedicine.org/clinical-topics/medication-reconciliation/</vt:lpwstr>
      </vt:variant>
      <vt:variant>
        <vt:lpwstr/>
      </vt:variant>
      <vt:variant>
        <vt:i4>5832716</vt:i4>
      </vt:variant>
      <vt:variant>
        <vt:i4>2265</vt:i4>
      </vt:variant>
      <vt:variant>
        <vt:i4>0</vt:i4>
      </vt:variant>
      <vt:variant>
        <vt:i4>5</vt:i4>
      </vt:variant>
      <vt:variant>
        <vt:lpwstr>https://www.leapfroggroup.org/survey-materials/survey-and-cpoe-materials</vt:lpwstr>
      </vt:variant>
      <vt:variant>
        <vt:lpwstr/>
      </vt:variant>
      <vt:variant>
        <vt:i4>7733370</vt:i4>
      </vt:variant>
      <vt:variant>
        <vt:i4>2259</vt:i4>
      </vt:variant>
      <vt:variant>
        <vt:i4>0</vt:i4>
      </vt:variant>
      <vt:variant>
        <vt:i4>5</vt:i4>
      </vt:variant>
      <vt:variant>
        <vt:lpwstr/>
      </vt:variant>
      <vt:variant>
        <vt:lpwstr>CertifiedPharmacyTechnician</vt:lpwstr>
      </vt:variant>
      <vt:variant>
        <vt:i4>6750258</vt:i4>
      </vt:variant>
      <vt:variant>
        <vt:i4>2256</vt:i4>
      </vt:variant>
      <vt:variant>
        <vt:i4>0</vt:i4>
      </vt:variant>
      <vt:variant>
        <vt:i4>5</vt:i4>
      </vt:variant>
      <vt:variant>
        <vt:lpwstr>http://www.leapfroggroup.org/survey-materials/survey-and-cpoe-materials</vt:lpwstr>
      </vt:variant>
      <vt:variant>
        <vt:lpwstr/>
      </vt:variant>
      <vt:variant>
        <vt:i4>7733370</vt:i4>
      </vt:variant>
      <vt:variant>
        <vt:i4>2250</vt:i4>
      </vt:variant>
      <vt:variant>
        <vt:i4>0</vt:i4>
      </vt:variant>
      <vt:variant>
        <vt:i4>5</vt:i4>
      </vt:variant>
      <vt:variant>
        <vt:lpwstr/>
      </vt:variant>
      <vt:variant>
        <vt:lpwstr>CertifiedPharmacyTechnician</vt:lpwstr>
      </vt:variant>
      <vt:variant>
        <vt:i4>7733370</vt:i4>
      </vt:variant>
      <vt:variant>
        <vt:i4>2247</vt:i4>
      </vt:variant>
      <vt:variant>
        <vt:i4>0</vt:i4>
      </vt:variant>
      <vt:variant>
        <vt:i4>5</vt:i4>
      </vt:variant>
      <vt:variant>
        <vt:lpwstr/>
      </vt:variant>
      <vt:variant>
        <vt:lpwstr>CertifiedPharmacyTechnician</vt:lpwstr>
      </vt:variant>
      <vt:variant>
        <vt:i4>7733370</vt:i4>
      </vt:variant>
      <vt:variant>
        <vt:i4>2244</vt:i4>
      </vt:variant>
      <vt:variant>
        <vt:i4>0</vt:i4>
      </vt:variant>
      <vt:variant>
        <vt:i4>5</vt:i4>
      </vt:variant>
      <vt:variant>
        <vt:lpwstr/>
      </vt:variant>
      <vt:variant>
        <vt:lpwstr>CertifiedPharmacyTechnician</vt:lpwstr>
      </vt:variant>
      <vt:variant>
        <vt:i4>7733370</vt:i4>
      </vt:variant>
      <vt:variant>
        <vt:i4>2241</vt:i4>
      </vt:variant>
      <vt:variant>
        <vt:i4>0</vt:i4>
      </vt:variant>
      <vt:variant>
        <vt:i4>5</vt:i4>
      </vt:variant>
      <vt:variant>
        <vt:lpwstr/>
      </vt:variant>
      <vt:variant>
        <vt:lpwstr>CertifiedPharmacyTechnician</vt:lpwstr>
      </vt:variant>
      <vt:variant>
        <vt:i4>7733370</vt:i4>
      </vt:variant>
      <vt:variant>
        <vt:i4>2238</vt:i4>
      </vt:variant>
      <vt:variant>
        <vt:i4>0</vt:i4>
      </vt:variant>
      <vt:variant>
        <vt:i4>5</vt:i4>
      </vt:variant>
      <vt:variant>
        <vt:lpwstr/>
      </vt:variant>
      <vt:variant>
        <vt:lpwstr>CertifiedPharmacyTechnician</vt:lpwstr>
      </vt:variant>
      <vt:variant>
        <vt:i4>6750258</vt:i4>
      </vt:variant>
      <vt:variant>
        <vt:i4>2235</vt:i4>
      </vt:variant>
      <vt:variant>
        <vt:i4>0</vt:i4>
      </vt:variant>
      <vt:variant>
        <vt:i4>5</vt:i4>
      </vt:variant>
      <vt:variant>
        <vt:lpwstr>http://www.leapfroggroup.org/survey-materials/survey-and-cpoe-materials</vt:lpwstr>
      </vt:variant>
      <vt:variant>
        <vt:lpwstr/>
      </vt:variant>
      <vt:variant>
        <vt:i4>5832716</vt:i4>
      </vt:variant>
      <vt:variant>
        <vt:i4>2232</vt:i4>
      </vt:variant>
      <vt:variant>
        <vt:i4>0</vt:i4>
      </vt:variant>
      <vt:variant>
        <vt:i4>5</vt:i4>
      </vt:variant>
      <vt:variant>
        <vt:lpwstr>https://www.leapfroggroup.org/survey-materials/survey-and-cpoe-materials</vt:lpwstr>
      </vt:variant>
      <vt:variant>
        <vt:lpwstr/>
      </vt:variant>
      <vt:variant>
        <vt:i4>5832716</vt:i4>
      </vt:variant>
      <vt:variant>
        <vt:i4>2229</vt:i4>
      </vt:variant>
      <vt:variant>
        <vt:i4>0</vt:i4>
      </vt:variant>
      <vt:variant>
        <vt:i4>5</vt:i4>
      </vt:variant>
      <vt:variant>
        <vt:lpwstr>https://www.leapfroggroup.org/survey-materials/survey-and-cpoe-materials</vt:lpwstr>
      </vt:variant>
      <vt:variant>
        <vt:lpwstr/>
      </vt:variant>
      <vt:variant>
        <vt:i4>7733370</vt:i4>
      </vt:variant>
      <vt:variant>
        <vt:i4>2226</vt:i4>
      </vt:variant>
      <vt:variant>
        <vt:i4>0</vt:i4>
      </vt:variant>
      <vt:variant>
        <vt:i4>5</vt:i4>
      </vt:variant>
      <vt:variant>
        <vt:lpwstr/>
      </vt:variant>
      <vt:variant>
        <vt:lpwstr>CertifiedPharmacyTechnician</vt:lpwstr>
      </vt:variant>
      <vt:variant>
        <vt:i4>5832716</vt:i4>
      </vt:variant>
      <vt:variant>
        <vt:i4>2223</vt:i4>
      </vt:variant>
      <vt:variant>
        <vt:i4>0</vt:i4>
      </vt:variant>
      <vt:variant>
        <vt:i4>5</vt:i4>
      </vt:variant>
      <vt:variant>
        <vt:lpwstr>https://www.leapfroggroup.org/survey-materials/survey-and-cpoe-materials</vt:lpwstr>
      </vt:variant>
      <vt:variant>
        <vt:lpwstr/>
      </vt:variant>
      <vt:variant>
        <vt:i4>6750258</vt:i4>
      </vt:variant>
      <vt:variant>
        <vt:i4>2220</vt:i4>
      </vt:variant>
      <vt:variant>
        <vt:i4>0</vt:i4>
      </vt:variant>
      <vt:variant>
        <vt:i4>5</vt:i4>
      </vt:variant>
      <vt:variant>
        <vt:lpwstr>http://www.leapfroggroup.org/survey-materials/survey-and-cpoe-materials</vt:lpwstr>
      </vt:variant>
      <vt:variant>
        <vt:lpwstr/>
      </vt:variant>
      <vt:variant>
        <vt:i4>6750258</vt:i4>
      </vt:variant>
      <vt:variant>
        <vt:i4>2217</vt:i4>
      </vt:variant>
      <vt:variant>
        <vt:i4>0</vt:i4>
      </vt:variant>
      <vt:variant>
        <vt:i4>5</vt:i4>
      </vt:variant>
      <vt:variant>
        <vt:lpwstr>http://www.leapfroggroup.org/survey-materials/survey-and-cpoe-materials</vt:lpwstr>
      </vt:variant>
      <vt:variant>
        <vt:lpwstr/>
      </vt:variant>
      <vt:variant>
        <vt:i4>7733370</vt:i4>
      </vt:variant>
      <vt:variant>
        <vt:i4>2214</vt:i4>
      </vt:variant>
      <vt:variant>
        <vt:i4>0</vt:i4>
      </vt:variant>
      <vt:variant>
        <vt:i4>5</vt:i4>
      </vt:variant>
      <vt:variant>
        <vt:lpwstr/>
      </vt:variant>
      <vt:variant>
        <vt:lpwstr>CertifiedPharmacyTechnician</vt:lpwstr>
      </vt:variant>
      <vt:variant>
        <vt:i4>7798907</vt:i4>
      </vt:variant>
      <vt:variant>
        <vt:i4>2211</vt:i4>
      </vt:variant>
      <vt:variant>
        <vt:i4>0</vt:i4>
      </vt:variant>
      <vt:variant>
        <vt:i4>5</vt:i4>
      </vt:variant>
      <vt:variant>
        <vt:lpwstr>http://leapfroggroup.org/survey-materials/multi-campus-reporting-policy</vt:lpwstr>
      </vt:variant>
      <vt:variant>
        <vt:lpwstr/>
      </vt:variant>
      <vt:variant>
        <vt:i4>2228250</vt:i4>
      </vt:variant>
      <vt:variant>
        <vt:i4>2208</vt:i4>
      </vt:variant>
      <vt:variant>
        <vt:i4>0</vt:i4>
      </vt:variant>
      <vt:variant>
        <vt:i4>5</vt:i4>
      </vt:variant>
      <vt:variant>
        <vt:lpwstr/>
      </vt:variant>
      <vt:variant>
        <vt:lpwstr>_Bar_Code_Medication</vt:lpwstr>
      </vt:variant>
      <vt:variant>
        <vt:i4>2031636</vt:i4>
      </vt:variant>
      <vt:variant>
        <vt:i4>2202</vt:i4>
      </vt:variant>
      <vt:variant>
        <vt:i4>0</vt:i4>
      </vt:variant>
      <vt:variant>
        <vt:i4>5</vt:i4>
      </vt:variant>
      <vt:variant>
        <vt:lpwstr/>
      </vt:variant>
      <vt:variant>
        <vt:lpwstr>pacusendnote</vt:lpwstr>
      </vt:variant>
      <vt:variant>
        <vt:i4>65538</vt:i4>
      </vt:variant>
      <vt:variant>
        <vt:i4>2199</vt:i4>
      </vt:variant>
      <vt:variant>
        <vt:i4>0</vt:i4>
      </vt:variant>
      <vt:variant>
        <vt:i4>5</vt:i4>
      </vt:variant>
      <vt:variant>
        <vt:lpwstr/>
      </vt:variant>
      <vt:variant>
        <vt:lpwstr>LaborandDeliveryUnits</vt:lpwstr>
      </vt:variant>
      <vt:variant>
        <vt:i4>1310795</vt:i4>
      </vt:variant>
      <vt:variant>
        <vt:i4>2196</vt:i4>
      </vt:variant>
      <vt:variant>
        <vt:i4>0</vt:i4>
      </vt:variant>
      <vt:variant>
        <vt:i4>5</vt:i4>
      </vt:variant>
      <vt:variant>
        <vt:lpwstr/>
      </vt:variant>
      <vt:variant>
        <vt:lpwstr>stepdown_progressiveunits_endnote20</vt:lpwstr>
      </vt:variant>
      <vt:variant>
        <vt:i4>1900562</vt:i4>
      </vt:variant>
      <vt:variant>
        <vt:i4>2190</vt:i4>
      </vt:variant>
      <vt:variant>
        <vt:i4>0</vt:i4>
      </vt:variant>
      <vt:variant>
        <vt:i4>5</vt:i4>
      </vt:variant>
      <vt:variant>
        <vt:lpwstr/>
      </vt:variant>
      <vt:variant>
        <vt:lpwstr>MedicalandorSurgicalUnits</vt:lpwstr>
      </vt:variant>
      <vt:variant>
        <vt:i4>7340136</vt:i4>
      </vt:variant>
      <vt:variant>
        <vt:i4>2187</vt:i4>
      </vt:variant>
      <vt:variant>
        <vt:i4>0</vt:i4>
      </vt:variant>
      <vt:variant>
        <vt:i4>5</vt:i4>
      </vt:variant>
      <vt:variant>
        <vt:lpwstr/>
      </vt:variant>
      <vt:variant>
        <vt:lpwstr>neonatalICU</vt:lpwstr>
      </vt:variant>
      <vt:variant>
        <vt:i4>196616</vt:i4>
      </vt:variant>
      <vt:variant>
        <vt:i4>2184</vt:i4>
      </vt:variant>
      <vt:variant>
        <vt:i4>0</vt:i4>
      </vt:variant>
      <vt:variant>
        <vt:i4>5</vt:i4>
      </vt:variant>
      <vt:variant>
        <vt:lpwstr/>
      </vt:variant>
      <vt:variant>
        <vt:lpwstr>generalmedicalsurgicalandneuroicu</vt:lpwstr>
      </vt:variant>
      <vt:variant>
        <vt:i4>7798907</vt:i4>
      </vt:variant>
      <vt:variant>
        <vt:i4>2181</vt:i4>
      </vt:variant>
      <vt:variant>
        <vt:i4>0</vt:i4>
      </vt:variant>
      <vt:variant>
        <vt:i4>5</vt:i4>
      </vt:variant>
      <vt:variant>
        <vt:lpwstr>http://leapfroggroup.org/survey-materials/multi-campus-reporting-policy</vt:lpwstr>
      </vt:variant>
      <vt:variant>
        <vt:lpwstr/>
      </vt:variant>
      <vt:variant>
        <vt:i4>1835060</vt:i4>
      </vt:variant>
      <vt:variant>
        <vt:i4>2178</vt:i4>
      </vt:variant>
      <vt:variant>
        <vt:i4>0</vt:i4>
      </vt:variant>
      <vt:variant>
        <vt:i4>5</vt:i4>
      </vt:variant>
      <vt:variant>
        <vt:lpwstr/>
      </vt:variant>
      <vt:variant>
        <vt:lpwstr>_Computerized_Physician_Order</vt:lpwstr>
      </vt:variant>
      <vt:variant>
        <vt:i4>196627</vt:i4>
      </vt:variant>
      <vt:variant>
        <vt:i4>2175</vt:i4>
      </vt:variant>
      <vt:variant>
        <vt:i4>0</vt:i4>
      </vt:variant>
      <vt:variant>
        <vt:i4>5</vt:i4>
      </vt:variant>
      <vt:variant>
        <vt:lpwstr/>
      </vt:variant>
      <vt:variant>
        <vt:lpwstr>StandingOrder</vt:lpwstr>
      </vt:variant>
      <vt:variant>
        <vt:i4>6488186</vt:i4>
      </vt:variant>
      <vt:variant>
        <vt:i4>2172</vt:i4>
      </vt:variant>
      <vt:variant>
        <vt:i4>0</vt:i4>
      </vt:variant>
      <vt:variant>
        <vt:i4>5</vt:i4>
      </vt:variant>
      <vt:variant>
        <vt:lpwstr/>
      </vt:variant>
      <vt:variant>
        <vt:lpwstr>Prescriber</vt:lpwstr>
      </vt:variant>
      <vt:variant>
        <vt:i4>7995495</vt:i4>
      </vt:variant>
      <vt:variant>
        <vt:i4>2169</vt:i4>
      </vt:variant>
      <vt:variant>
        <vt:i4>0</vt:i4>
      </vt:variant>
      <vt:variant>
        <vt:i4>5</vt:i4>
      </vt:variant>
      <vt:variant>
        <vt:lpwstr/>
      </vt:variant>
      <vt:variant>
        <vt:lpwstr>PerProtocol</vt:lpwstr>
      </vt:variant>
      <vt:variant>
        <vt:i4>6488186</vt:i4>
      </vt:variant>
      <vt:variant>
        <vt:i4>2166</vt:i4>
      </vt:variant>
      <vt:variant>
        <vt:i4>0</vt:i4>
      </vt:variant>
      <vt:variant>
        <vt:i4>5</vt:i4>
      </vt:variant>
      <vt:variant>
        <vt:lpwstr/>
      </vt:variant>
      <vt:variant>
        <vt:lpwstr>Prescriber</vt:lpwstr>
      </vt:variant>
      <vt:variant>
        <vt:i4>6488186</vt:i4>
      </vt:variant>
      <vt:variant>
        <vt:i4>2163</vt:i4>
      </vt:variant>
      <vt:variant>
        <vt:i4>0</vt:i4>
      </vt:variant>
      <vt:variant>
        <vt:i4>5</vt:i4>
      </vt:variant>
      <vt:variant>
        <vt:lpwstr/>
      </vt:variant>
      <vt:variant>
        <vt:lpwstr>Prescriber</vt:lpwstr>
      </vt:variant>
      <vt:variant>
        <vt:i4>7798907</vt:i4>
      </vt:variant>
      <vt:variant>
        <vt:i4>2160</vt:i4>
      </vt:variant>
      <vt:variant>
        <vt:i4>0</vt:i4>
      </vt:variant>
      <vt:variant>
        <vt:i4>5</vt:i4>
      </vt:variant>
      <vt:variant>
        <vt:lpwstr>http://leapfroggroup.org/survey-materials/multi-campus-reporting-policy</vt:lpwstr>
      </vt:variant>
      <vt:variant>
        <vt:lpwstr/>
      </vt:variant>
      <vt:variant>
        <vt:i4>2031645</vt:i4>
      </vt:variant>
      <vt:variant>
        <vt:i4>2157</vt:i4>
      </vt:variant>
      <vt:variant>
        <vt:i4>0</vt:i4>
      </vt:variant>
      <vt:variant>
        <vt:i4>5</vt:i4>
      </vt:variant>
      <vt:variant>
        <vt:lpwstr>https://www.leapfroggroup.org/about/expert-panelists</vt:lpwstr>
      </vt:variant>
      <vt:variant>
        <vt:lpwstr/>
      </vt:variant>
      <vt:variant>
        <vt:i4>1179654</vt:i4>
      </vt:variant>
      <vt:variant>
        <vt:i4>2154</vt:i4>
      </vt:variant>
      <vt:variant>
        <vt:i4>0</vt:i4>
      </vt:variant>
      <vt:variant>
        <vt:i4>5</vt:i4>
      </vt:variant>
      <vt:variant>
        <vt:lpwstr/>
      </vt:variant>
      <vt:variant>
        <vt:lpwstr>discrepdueunintentaddmeds</vt:lpwstr>
      </vt:variant>
      <vt:variant>
        <vt:i4>8126566</vt:i4>
      </vt:variant>
      <vt:variant>
        <vt:i4>2151</vt:i4>
      </vt:variant>
      <vt:variant>
        <vt:i4>0</vt:i4>
      </vt:variant>
      <vt:variant>
        <vt:i4>5</vt:i4>
      </vt:variant>
      <vt:variant>
        <vt:lpwstr/>
      </vt:variant>
      <vt:variant>
        <vt:lpwstr>unintentaddmeds</vt:lpwstr>
      </vt:variant>
      <vt:variant>
        <vt:i4>2031647</vt:i4>
      </vt:variant>
      <vt:variant>
        <vt:i4>2148</vt:i4>
      </vt:variant>
      <vt:variant>
        <vt:i4>0</vt:i4>
      </vt:variant>
      <vt:variant>
        <vt:i4>5</vt:i4>
      </vt:variant>
      <vt:variant>
        <vt:lpwstr/>
      </vt:variant>
      <vt:variant>
        <vt:lpwstr>DiscrepanciesinGoldStandardMedicatio</vt:lpwstr>
      </vt:variant>
      <vt:variant>
        <vt:i4>1114122</vt:i4>
      </vt:variant>
      <vt:variant>
        <vt:i4>2145</vt:i4>
      </vt:variant>
      <vt:variant>
        <vt:i4>0</vt:i4>
      </vt:variant>
      <vt:variant>
        <vt:i4>5</vt:i4>
      </vt:variant>
      <vt:variant>
        <vt:lpwstr/>
      </vt:variant>
      <vt:variant>
        <vt:lpwstr>GoldStandardMedicationHistory</vt:lpwstr>
      </vt:variant>
      <vt:variant>
        <vt:i4>7733370</vt:i4>
      </vt:variant>
      <vt:variant>
        <vt:i4>2142</vt:i4>
      </vt:variant>
      <vt:variant>
        <vt:i4>0</vt:i4>
      </vt:variant>
      <vt:variant>
        <vt:i4>5</vt:i4>
      </vt:variant>
      <vt:variant>
        <vt:lpwstr/>
      </vt:variant>
      <vt:variant>
        <vt:lpwstr>CertifiedPharmacyTechnician</vt:lpwstr>
      </vt:variant>
      <vt:variant>
        <vt:i4>6619247</vt:i4>
      </vt:variant>
      <vt:variant>
        <vt:i4>2139</vt:i4>
      </vt:variant>
      <vt:variant>
        <vt:i4>0</vt:i4>
      </vt:variant>
      <vt:variant>
        <vt:i4>5</vt:i4>
      </vt:variant>
      <vt:variant>
        <vt:lpwstr/>
      </vt:variant>
      <vt:variant>
        <vt:lpwstr>SamplingforMedicationReconciliation</vt:lpwstr>
      </vt:variant>
      <vt:variant>
        <vt:i4>3407958</vt:i4>
      </vt:variant>
      <vt:variant>
        <vt:i4>2136</vt:i4>
      </vt:variant>
      <vt:variant>
        <vt:i4>0</vt:i4>
      </vt:variant>
      <vt:variant>
        <vt:i4>5</vt:i4>
      </vt:variant>
      <vt:variant>
        <vt:lpwstr/>
      </vt:variant>
      <vt:variant>
        <vt:lpwstr>Step5_ComparewDischargeOrders</vt:lpwstr>
      </vt:variant>
      <vt:variant>
        <vt:i4>2687047</vt:i4>
      </vt:variant>
      <vt:variant>
        <vt:i4>2133</vt:i4>
      </vt:variant>
      <vt:variant>
        <vt:i4>0</vt:i4>
      </vt:variant>
      <vt:variant>
        <vt:i4>5</vt:i4>
      </vt:variant>
      <vt:variant>
        <vt:lpwstr/>
      </vt:variant>
      <vt:variant>
        <vt:lpwstr>Step4_ComparewAdmissionOrders</vt:lpwstr>
      </vt:variant>
      <vt:variant>
        <vt:i4>7733370</vt:i4>
      </vt:variant>
      <vt:variant>
        <vt:i4>2130</vt:i4>
      </vt:variant>
      <vt:variant>
        <vt:i4>0</vt:i4>
      </vt:variant>
      <vt:variant>
        <vt:i4>5</vt:i4>
      </vt:variant>
      <vt:variant>
        <vt:lpwstr/>
      </vt:variant>
      <vt:variant>
        <vt:lpwstr>CertifiedPharmacyTechnician</vt:lpwstr>
      </vt:variant>
      <vt:variant>
        <vt:i4>5963831</vt:i4>
      </vt:variant>
      <vt:variant>
        <vt:i4>2127</vt:i4>
      </vt:variant>
      <vt:variant>
        <vt:i4>0</vt:i4>
      </vt:variant>
      <vt:variant>
        <vt:i4>5</vt:i4>
      </vt:variant>
      <vt:variant>
        <vt:lpwstr/>
      </vt:variant>
      <vt:variant>
        <vt:lpwstr>Step3_CompleteWkst</vt:lpwstr>
      </vt:variant>
      <vt:variant>
        <vt:i4>7733370</vt:i4>
      </vt:variant>
      <vt:variant>
        <vt:i4>2121</vt:i4>
      </vt:variant>
      <vt:variant>
        <vt:i4>0</vt:i4>
      </vt:variant>
      <vt:variant>
        <vt:i4>5</vt:i4>
      </vt:variant>
      <vt:variant>
        <vt:lpwstr/>
      </vt:variant>
      <vt:variant>
        <vt:lpwstr>CertifiedPharmacyTechnician</vt:lpwstr>
      </vt:variant>
      <vt:variant>
        <vt:i4>4390946</vt:i4>
      </vt:variant>
      <vt:variant>
        <vt:i4>2118</vt:i4>
      </vt:variant>
      <vt:variant>
        <vt:i4>0</vt:i4>
      </vt:variant>
      <vt:variant>
        <vt:i4>5</vt:i4>
      </vt:variant>
      <vt:variant>
        <vt:lpwstr/>
      </vt:variant>
      <vt:variant>
        <vt:lpwstr>Step2_Interview</vt:lpwstr>
      </vt:variant>
      <vt:variant>
        <vt:i4>7733370</vt:i4>
      </vt:variant>
      <vt:variant>
        <vt:i4>2115</vt:i4>
      </vt:variant>
      <vt:variant>
        <vt:i4>0</vt:i4>
      </vt:variant>
      <vt:variant>
        <vt:i4>5</vt:i4>
      </vt:variant>
      <vt:variant>
        <vt:lpwstr/>
      </vt:variant>
      <vt:variant>
        <vt:lpwstr>CertifiedPharmacyTechnician</vt:lpwstr>
      </vt:variant>
      <vt:variant>
        <vt:i4>8126478</vt:i4>
      </vt:variant>
      <vt:variant>
        <vt:i4>2112</vt:i4>
      </vt:variant>
      <vt:variant>
        <vt:i4>0</vt:i4>
      </vt:variant>
      <vt:variant>
        <vt:i4>5</vt:i4>
      </vt:variant>
      <vt:variant>
        <vt:lpwstr/>
      </vt:variant>
      <vt:variant>
        <vt:lpwstr>_Medication_Reconciliation_1</vt:lpwstr>
      </vt:variant>
      <vt:variant>
        <vt:i4>6750330</vt:i4>
      </vt:variant>
      <vt:variant>
        <vt:i4>2109</vt:i4>
      </vt:variant>
      <vt:variant>
        <vt:i4>0</vt:i4>
      </vt:variant>
      <vt:variant>
        <vt:i4>5</vt:i4>
      </vt:variant>
      <vt:variant>
        <vt:lpwstr/>
      </vt:variant>
      <vt:variant>
        <vt:lpwstr>MedRecSpecs</vt:lpwstr>
      </vt:variant>
      <vt:variant>
        <vt:i4>7798907</vt:i4>
      </vt:variant>
      <vt:variant>
        <vt:i4>2106</vt:i4>
      </vt:variant>
      <vt:variant>
        <vt:i4>0</vt:i4>
      </vt:variant>
      <vt:variant>
        <vt:i4>5</vt:i4>
      </vt:variant>
      <vt:variant>
        <vt:lpwstr>http://leapfroggroup.org/survey-materials/multi-campus-reporting-policy</vt:lpwstr>
      </vt:variant>
      <vt:variant>
        <vt:lpwstr/>
      </vt:variant>
      <vt:variant>
        <vt:i4>2031636</vt:i4>
      </vt:variant>
      <vt:variant>
        <vt:i4>2103</vt:i4>
      </vt:variant>
      <vt:variant>
        <vt:i4>0</vt:i4>
      </vt:variant>
      <vt:variant>
        <vt:i4>5</vt:i4>
      </vt:variant>
      <vt:variant>
        <vt:lpwstr/>
      </vt:variant>
      <vt:variant>
        <vt:lpwstr>pacusendnote</vt:lpwstr>
      </vt:variant>
      <vt:variant>
        <vt:i4>65538</vt:i4>
      </vt:variant>
      <vt:variant>
        <vt:i4>2100</vt:i4>
      </vt:variant>
      <vt:variant>
        <vt:i4>0</vt:i4>
      </vt:variant>
      <vt:variant>
        <vt:i4>5</vt:i4>
      </vt:variant>
      <vt:variant>
        <vt:lpwstr/>
      </vt:variant>
      <vt:variant>
        <vt:lpwstr>LaborandDeliveryUnits</vt:lpwstr>
      </vt:variant>
      <vt:variant>
        <vt:i4>1310795</vt:i4>
      </vt:variant>
      <vt:variant>
        <vt:i4>2097</vt:i4>
      </vt:variant>
      <vt:variant>
        <vt:i4>0</vt:i4>
      </vt:variant>
      <vt:variant>
        <vt:i4>5</vt:i4>
      </vt:variant>
      <vt:variant>
        <vt:lpwstr/>
      </vt:variant>
      <vt:variant>
        <vt:lpwstr>stepdown_progressiveunits_endnote20</vt:lpwstr>
      </vt:variant>
      <vt:variant>
        <vt:i4>1900562</vt:i4>
      </vt:variant>
      <vt:variant>
        <vt:i4>2094</vt:i4>
      </vt:variant>
      <vt:variant>
        <vt:i4>0</vt:i4>
      </vt:variant>
      <vt:variant>
        <vt:i4>5</vt:i4>
      </vt:variant>
      <vt:variant>
        <vt:lpwstr/>
      </vt:variant>
      <vt:variant>
        <vt:lpwstr>MedicalandorSurgicalUnits</vt:lpwstr>
      </vt:variant>
      <vt:variant>
        <vt:i4>7340136</vt:i4>
      </vt:variant>
      <vt:variant>
        <vt:i4>2091</vt:i4>
      </vt:variant>
      <vt:variant>
        <vt:i4>0</vt:i4>
      </vt:variant>
      <vt:variant>
        <vt:i4>5</vt:i4>
      </vt:variant>
      <vt:variant>
        <vt:lpwstr/>
      </vt:variant>
      <vt:variant>
        <vt:lpwstr>neonatalICU</vt:lpwstr>
      </vt:variant>
      <vt:variant>
        <vt:i4>196616</vt:i4>
      </vt:variant>
      <vt:variant>
        <vt:i4>2088</vt:i4>
      </vt:variant>
      <vt:variant>
        <vt:i4>0</vt:i4>
      </vt:variant>
      <vt:variant>
        <vt:i4>5</vt:i4>
      </vt:variant>
      <vt:variant>
        <vt:lpwstr/>
      </vt:variant>
      <vt:variant>
        <vt:lpwstr>generalmedicalsurgicalandneuroicu</vt:lpwstr>
      </vt:variant>
      <vt:variant>
        <vt:i4>2031636</vt:i4>
      </vt:variant>
      <vt:variant>
        <vt:i4>2085</vt:i4>
      </vt:variant>
      <vt:variant>
        <vt:i4>0</vt:i4>
      </vt:variant>
      <vt:variant>
        <vt:i4>5</vt:i4>
      </vt:variant>
      <vt:variant>
        <vt:lpwstr/>
      </vt:variant>
      <vt:variant>
        <vt:lpwstr>pacusendnote</vt:lpwstr>
      </vt:variant>
      <vt:variant>
        <vt:i4>65538</vt:i4>
      </vt:variant>
      <vt:variant>
        <vt:i4>2079</vt:i4>
      </vt:variant>
      <vt:variant>
        <vt:i4>0</vt:i4>
      </vt:variant>
      <vt:variant>
        <vt:i4>5</vt:i4>
      </vt:variant>
      <vt:variant>
        <vt:lpwstr/>
      </vt:variant>
      <vt:variant>
        <vt:lpwstr>LaborandDeliveryUnits</vt:lpwstr>
      </vt:variant>
      <vt:variant>
        <vt:i4>1310795</vt:i4>
      </vt:variant>
      <vt:variant>
        <vt:i4>2076</vt:i4>
      </vt:variant>
      <vt:variant>
        <vt:i4>0</vt:i4>
      </vt:variant>
      <vt:variant>
        <vt:i4>5</vt:i4>
      </vt:variant>
      <vt:variant>
        <vt:lpwstr/>
      </vt:variant>
      <vt:variant>
        <vt:lpwstr>stepdown_progressiveunits_endnote20</vt:lpwstr>
      </vt:variant>
      <vt:variant>
        <vt:i4>1900562</vt:i4>
      </vt:variant>
      <vt:variant>
        <vt:i4>2070</vt:i4>
      </vt:variant>
      <vt:variant>
        <vt:i4>0</vt:i4>
      </vt:variant>
      <vt:variant>
        <vt:i4>5</vt:i4>
      </vt:variant>
      <vt:variant>
        <vt:lpwstr/>
      </vt:variant>
      <vt:variant>
        <vt:lpwstr>MedicalandorSurgicalUnits</vt:lpwstr>
      </vt:variant>
      <vt:variant>
        <vt:i4>7340136</vt:i4>
      </vt:variant>
      <vt:variant>
        <vt:i4>2067</vt:i4>
      </vt:variant>
      <vt:variant>
        <vt:i4>0</vt:i4>
      </vt:variant>
      <vt:variant>
        <vt:i4>5</vt:i4>
      </vt:variant>
      <vt:variant>
        <vt:lpwstr/>
      </vt:variant>
      <vt:variant>
        <vt:lpwstr>neonatalICU</vt:lpwstr>
      </vt:variant>
      <vt:variant>
        <vt:i4>196616</vt:i4>
      </vt:variant>
      <vt:variant>
        <vt:i4>2064</vt:i4>
      </vt:variant>
      <vt:variant>
        <vt:i4>0</vt:i4>
      </vt:variant>
      <vt:variant>
        <vt:i4>5</vt:i4>
      </vt:variant>
      <vt:variant>
        <vt:lpwstr/>
      </vt:variant>
      <vt:variant>
        <vt:lpwstr>generalmedicalsurgicalandneuroicu</vt:lpwstr>
      </vt:variant>
      <vt:variant>
        <vt:i4>1245253</vt:i4>
      </vt:variant>
      <vt:variant>
        <vt:i4>2058</vt:i4>
      </vt:variant>
      <vt:variant>
        <vt:i4>0</vt:i4>
      </vt:variant>
      <vt:variant>
        <vt:i4>5</vt:i4>
      </vt:variant>
      <vt:variant>
        <vt:lpwstr/>
      </vt:variant>
      <vt:variant>
        <vt:lpwstr>_Bar_Code_Medication_1</vt:lpwstr>
      </vt:variant>
      <vt:variant>
        <vt:i4>7798907</vt:i4>
      </vt:variant>
      <vt:variant>
        <vt:i4>2055</vt:i4>
      </vt:variant>
      <vt:variant>
        <vt:i4>0</vt:i4>
      </vt:variant>
      <vt:variant>
        <vt:i4>5</vt:i4>
      </vt:variant>
      <vt:variant>
        <vt:lpwstr>http://leapfroggroup.org/survey-materials/multi-campus-reporting-policy</vt:lpwstr>
      </vt:variant>
      <vt:variant>
        <vt:lpwstr/>
      </vt:variant>
      <vt:variant>
        <vt:i4>7798907</vt:i4>
      </vt:variant>
      <vt:variant>
        <vt:i4>2052</vt:i4>
      </vt:variant>
      <vt:variant>
        <vt:i4>0</vt:i4>
      </vt:variant>
      <vt:variant>
        <vt:i4>5</vt:i4>
      </vt:variant>
      <vt:variant>
        <vt:lpwstr>http://leapfroggroup.org/survey-materials/multi-campus-reporting-policy</vt:lpwstr>
      </vt:variant>
      <vt:variant>
        <vt:lpwstr/>
      </vt:variant>
      <vt:variant>
        <vt:i4>983089</vt:i4>
      </vt:variant>
      <vt:variant>
        <vt:i4>2049</vt:i4>
      </vt:variant>
      <vt:variant>
        <vt:i4>0</vt:i4>
      </vt:variant>
      <vt:variant>
        <vt:i4>5</vt:i4>
      </vt:variant>
      <vt:variant>
        <vt:lpwstr/>
      </vt:variant>
      <vt:variant>
        <vt:lpwstr>Endnote16_CPOE</vt:lpwstr>
      </vt:variant>
      <vt:variant>
        <vt:i4>8257547</vt:i4>
      </vt:variant>
      <vt:variant>
        <vt:i4>2046</vt:i4>
      </vt:variant>
      <vt:variant>
        <vt:i4>0</vt:i4>
      </vt:variant>
      <vt:variant>
        <vt:i4>5</vt:i4>
      </vt:variant>
      <vt:variant>
        <vt:lpwstr/>
      </vt:variant>
      <vt:variant>
        <vt:lpwstr>_Medication_Safety_-</vt:lpwstr>
      </vt:variant>
      <vt:variant>
        <vt:i4>7798907</vt:i4>
      </vt:variant>
      <vt:variant>
        <vt:i4>2043</vt:i4>
      </vt:variant>
      <vt:variant>
        <vt:i4>0</vt:i4>
      </vt:variant>
      <vt:variant>
        <vt:i4>5</vt:i4>
      </vt:variant>
      <vt:variant>
        <vt:lpwstr>http://leapfroggroup.org/survey-materials/multi-campus-reporting-policy</vt:lpwstr>
      </vt:variant>
      <vt:variant>
        <vt:lpwstr/>
      </vt:variant>
      <vt:variant>
        <vt:i4>5046365</vt:i4>
      </vt:variant>
      <vt:variant>
        <vt:i4>2040</vt:i4>
      </vt:variant>
      <vt:variant>
        <vt:i4>0</vt:i4>
      </vt:variant>
      <vt:variant>
        <vt:i4>5</vt:i4>
      </vt:variant>
      <vt:variant>
        <vt:lpwstr>http://www.leapfroggroup.org/survey-materials/scoring-and-results</vt:lpwstr>
      </vt:variant>
      <vt:variant>
        <vt:lpwstr/>
      </vt:variant>
      <vt:variant>
        <vt:i4>4784219</vt:i4>
      </vt:variant>
      <vt:variant>
        <vt:i4>2037</vt:i4>
      </vt:variant>
      <vt:variant>
        <vt:i4>0</vt:i4>
      </vt:variant>
      <vt:variant>
        <vt:i4>5</vt:i4>
      </vt:variant>
      <vt:variant>
        <vt:lpwstr>https://ratings.leapfroggroup.org/measure/hospital/2025/medication-reconciliation</vt:lpwstr>
      </vt:variant>
      <vt:variant>
        <vt:lpwstr/>
      </vt:variant>
      <vt:variant>
        <vt:i4>6881312</vt:i4>
      </vt:variant>
      <vt:variant>
        <vt:i4>2034</vt:i4>
      </vt:variant>
      <vt:variant>
        <vt:i4>0</vt:i4>
      </vt:variant>
      <vt:variant>
        <vt:i4>5</vt:i4>
      </vt:variant>
      <vt:variant>
        <vt:lpwstr>https://ratings.leapfroggroup.org/measure/hospital/2025/safe-medication-administration</vt:lpwstr>
      </vt:variant>
      <vt:variant>
        <vt:lpwstr/>
      </vt:variant>
      <vt:variant>
        <vt:i4>393295</vt:i4>
      </vt:variant>
      <vt:variant>
        <vt:i4>2031</vt:i4>
      </vt:variant>
      <vt:variant>
        <vt:i4>0</vt:i4>
      </vt:variant>
      <vt:variant>
        <vt:i4>5</vt:i4>
      </vt:variant>
      <vt:variant>
        <vt:lpwstr>https://ratings.leapfroggroup.org/measure/hospital/2025/safe-medication-ordering</vt:lpwstr>
      </vt:variant>
      <vt:variant>
        <vt:lpwstr/>
      </vt:variant>
      <vt:variant>
        <vt:i4>2359335</vt:i4>
      </vt:variant>
      <vt:variant>
        <vt:i4>2028</vt:i4>
      </vt:variant>
      <vt:variant>
        <vt:i4>0</vt:i4>
      </vt:variant>
      <vt:variant>
        <vt:i4>5</vt:i4>
      </vt:variant>
      <vt:variant>
        <vt:lpwstr>https://www.hhs.gov/civil-rights/for-individuals/special-topics/limited-english-proficiency/index.html</vt:lpwstr>
      </vt:variant>
      <vt:variant>
        <vt:lpwstr/>
      </vt:variant>
      <vt:variant>
        <vt:i4>7536749</vt:i4>
      </vt:variant>
      <vt:variant>
        <vt:i4>2025</vt:i4>
      </vt:variant>
      <vt:variant>
        <vt:i4>0</vt:i4>
      </vt:variant>
      <vt:variant>
        <vt:i4>5</vt:i4>
      </vt:variant>
      <vt:variant>
        <vt:lpwstr>https://nam02.safelinks.protection.outlook.com/?url=https%3A%2F%2Freadability.leapfroggroup.org%2F&amp;data=05%7C02%7Cjtilly%40leapfrog-group.org%7C6831d208cb504926d07108de64083d65%7C95c34b8315eb4d9a97a7f29881f4a800%7C0%7C0%7C639058183712473312%7CUnknown%7CTWFpbGZsb3d8eyJFbXB0eU1hcGkiOnRydWUsIlYiOiIwLjAuMDAwMCIsIlAiOiJXaW4zMiIsIkFOIjoiTWFpbCIsIldUIjoyfQ%3D%3D%7C0%7C%7C%7C&amp;sdata=ERCnNuEypjpxKse%2B%2Bfc00g73NnwCwuDaWaJmvCcANjc%3D&amp;reserved=0</vt:lpwstr>
      </vt:variant>
      <vt:variant>
        <vt:lpwstr/>
      </vt:variant>
      <vt:variant>
        <vt:i4>3080241</vt:i4>
      </vt:variant>
      <vt:variant>
        <vt:i4>2022</vt:i4>
      </vt:variant>
      <vt:variant>
        <vt:i4>0</vt:i4>
      </vt:variant>
      <vt:variant>
        <vt:i4>5</vt:i4>
      </vt:variant>
      <vt:variant>
        <vt:lpwstr>https://nam02.safelinks.protection.outlook.com/?url=https%3A%2F%2Fwww.leapfroggroup.org%2Fsites%2Fdefault%2Ffiles%2FFiles%2FCMS%2520Toolkit%2520for%2520Making%2520Written%2520Material%2520Clear.pdf&amp;data=05%7C01%7CPLipscomb%40leapfrog-group.org%7C2c470c166c5f45fac28508db5d5d58d1%7C95c34b8315eb4d9a97a7f29881f4a800%7C0%7C0%7C638206427719753809%7CUnknown%7CTWFpbGZsb3d8eyJWIjoiMC4wLjAwMDAiLCJQIjoiV2luMzIiLCJBTiI6Ik1haWwiLCJXVCI6Mn0%3D%7C3000%7C%7C%7C&amp;sdata=W3kF0xvj5%2BoQWDMmOj0RCj7CLx83iudtjvjCyyAKUMo%3D&amp;reserved=0</vt:lpwstr>
      </vt:variant>
      <vt:variant>
        <vt:lpwstr/>
      </vt:variant>
      <vt:variant>
        <vt:i4>3997746</vt:i4>
      </vt:variant>
      <vt:variant>
        <vt:i4>2019</vt:i4>
      </vt:variant>
      <vt:variant>
        <vt:i4>0</vt:i4>
      </vt:variant>
      <vt:variant>
        <vt:i4>5</vt:i4>
      </vt:variant>
      <vt:variant>
        <vt:lpwstr>https://nam02.safelinks.protection.outlook.com/?url=https%3A%2F%2Fwww.cdc.gov%2Fccindex%2Findex.html&amp;data=05%7C01%7CPLipscomb%40leapfrog-group.org%7C2c470c166c5f45fac28508db5d5d58d1%7C95c34b8315eb4d9a97a7f29881f4a800%7C0%7C0%7C638206427719598521%7CUnknown%7CTWFpbGZsb3d8eyJWIjoiMC4wLjAwMDAiLCJQIjoiV2luMzIiLCJBTiI6Ik1haWwiLCJXVCI6Mn0%3D%7C3000%7C%7C%7C&amp;sdata=pu1PVfq6oeKIClO81ddHBIqO5lYuoto3gwOGnArPbbg%3D&amp;reserved=0</vt:lpwstr>
      </vt:variant>
      <vt:variant>
        <vt:lpwstr/>
      </vt:variant>
      <vt:variant>
        <vt:i4>3080232</vt:i4>
      </vt:variant>
      <vt:variant>
        <vt:i4>2016</vt:i4>
      </vt:variant>
      <vt:variant>
        <vt:i4>0</vt:i4>
      </vt:variant>
      <vt:variant>
        <vt:i4>5</vt:i4>
      </vt:variant>
      <vt:variant>
        <vt:lpwstr>https://nam02.safelinks.protection.outlook.com/?url=https%3A%2F%2Fwww.ahrq.gov%2Fprofessionals%2Fprevention-chronic-care%2Fimprove%2Fself-mgmt%2Fpemat%2Findex.html&amp;data=05%7C01%7CPLipscomb%40leapfrog-group.org%7C2c470c166c5f45fac28508db5d5d58d1%7C95c34b8315eb4d9a97a7f29881f4a800%7C0%7C0%7C638206427719598521%7CUnknown%7CTWFpbGZsb3d8eyJWIjoiMC4wLjAwMDAiLCJQIjoiV2luMzIiLCJBTiI6Ik1haWwiLCJXVCI6Mn0%3D%7C3000%7C%7C%7C&amp;sdata=XGsOf7dCprBo5LmSbmpyzbgXVQAaw%2FpRspPqXhNMFEo%3D&amp;reserved=0</vt:lpwstr>
      </vt:variant>
      <vt:variant>
        <vt:lpwstr/>
      </vt:variant>
      <vt:variant>
        <vt:i4>7077934</vt:i4>
      </vt:variant>
      <vt:variant>
        <vt:i4>2013</vt:i4>
      </vt:variant>
      <vt:variant>
        <vt:i4>0</vt:i4>
      </vt:variant>
      <vt:variant>
        <vt:i4>5</vt:i4>
      </vt:variant>
      <vt:variant>
        <vt:lpwstr>https://nam02.safelinks.protection.outlook.com/?url=https%3A%2F%2Fwww.ahrq.gov%2Fhealth-literacy%2Fprofessional-training%2Finformed-choice.html&amp;data=05%7C01%7CPLipscomb%40leapfrog-group.org%7C2c470c166c5f45fac28508db5d5d58d1%7C95c34b8315eb4d9a97a7f29881f4a800%7C0%7C0%7C638206427719598521%7CUnknown%7CTWFpbGZsb3d8eyJWIjoiMC4wLjAwMDAiLCJQIjoiV2luMzIiLCJBTiI6Ik1haWwiLCJXVCI6Mn0%3D%7C3000%7C%7C%7C&amp;sdata=8EnmFGECZ45C2enFQVjumfh042bETMi0bF%2FpNjGUCPk%3D&amp;reserved=0</vt:lpwstr>
      </vt:variant>
      <vt:variant>
        <vt:lpwstr/>
      </vt:variant>
      <vt:variant>
        <vt:i4>3604590</vt:i4>
      </vt:variant>
      <vt:variant>
        <vt:i4>2010</vt:i4>
      </vt:variant>
      <vt:variant>
        <vt:i4>0</vt:i4>
      </vt:variant>
      <vt:variant>
        <vt:i4>5</vt:i4>
      </vt:variant>
      <vt:variant>
        <vt:lpwstr>https://nam02.safelinks.protection.outlook.com/?url=https%3A%2F%2Fwww.leapfroggroup.org%2Fsurvey-materials%2Ftown-hall-calls&amp;data=05%7C01%7CPLipscomb%40leapfrog-group.org%7C2c470c166c5f45fac28508db5d5d58d1%7C95c34b8315eb4d9a97a7f29881f4a800%7C0%7C0%7C638206427719598521%7CUnknown%7CTWFpbGZsb3d8eyJWIjoiMC4wLjAwMDAiLCJQIjoiV2luMzIiLCJBTiI6Ik1haWwiLCJXVCI6Mn0%3D%7C3000%7C%7C%7C&amp;sdata=SUsDnxd0t3u1QBB%2BErL5RBbQxn62cY5BI%2BaGlI1RIAU%3D&amp;reserved=0</vt:lpwstr>
      </vt:variant>
      <vt:variant>
        <vt:lpwstr/>
      </vt:variant>
      <vt:variant>
        <vt:i4>3407966</vt:i4>
      </vt:variant>
      <vt:variant>
        <vt:i4>2007</vt:i4>
      </vt:variant>
      <vt:variant>
        <vt:i4>0</vt:i4>
      </vt:variant>
      <vt:variant>
        <vt:i4>5</vt:i4>
      </vt:variant>
      <vt:variant>
        <vt:lpwstr>https://www.oecd.org/skills/piaac/publications/countryspecificmaterial/PIAAC_Country_Note_USA.pdf</vt:lpwstr>
      </vt:variant>
      <vt:variant>
        <vt:lpwstr/>
      </vt:variant>
      <vt:variant>
        <vt:i4>5636210</vt:i4>
      </vt:variant>
      <vt:variant>
        <vt:i4>2004</vt:i4>
      </vt:variant>
      <vt:variant>
        <vt:i4>0</vt:i4>
      </vt:variant>
      <vt:variant>
        <vt:i4>5</vt:i4>
      </vt:variant>
      <vt:variant>
        <vt:lpwstr>https://nam02.safelinks.protection.outlook.com/?url=https%3A%2F%2Fwww.barbarabush.org%2Fwp-content%2Fuploads%2F2020%2F09%2FBBFoundation_GainsFromEradicatingIlliteracy_9_8.pdf&amp;data=05%7C01%7CPLipscomb%40leapfrog-group.org%7C2c470c166c5f45fac28508db5d5d58d1%7C95c34b8315eb4d9a97a7f29881f4a800%7C0%7C0%7C638206427719598521%7CUnknown%7CTWFpbGZsb3d8eyJWIjoiMC4wLjAwMDAiLCJQIjoiV2luMzIiLCJBTiI6Ik1haWwiLCJXVCI6Mn0%3D%7C3000%7C%7C%7C&amp;sdata=gyzWTmT%2Bwr7GH5iPUG1uGWyGhkG8gLWnR74g7nkLL00%3D&amp;reserved=0</vt:lpwstr>
      </vt:variant>
      <vt:variant>
        <vt:lpwstr/>
      </vt:variant>
      <vt:variant>
        <vt:i4>7274609</vt:i4>
      </vt:variant>
      <vt:variant>
        <vt:i4>2001</vt:i4>
      </vt:variant>
      <vt:variant>
        <vt:i4>0</vt:i4>
      </vt:variant>
      <vt:variant>
        <vt:i4>5</vt:i4>
      </vt:variant>
      <vt:variant>
        <vt:lpwstr>https://www.ahrq.gov/health-literacy/professional-training/informed-choice.html</vt:lpwstr>
      </vt:variant>
      <vt:variant>
        <vt:lpwstr/>
      </vt:variant>
      <vt:variant>
        <vt:i4>6357031</vt:i4>
      </vt:variant>
      <vt:variant>
        <vt:i4>1998</vt:i4>
      </vt:variant>
      <vt:variant>
        <vt:i4>0</vt:i4>
      </vt:variant>
      <vt:variant>
        <vt:i4>5</vt:i4>
      </vt:variant>
      <vt:variant>
        <vt:lpwstr>https://www.nyp.org/daliocenter/data-and-infrastructure</vt:lpwstr>
      </vt:variant>
      <vt:variant>
        <vt:lpwstr/>
      </vt:variant>
      <vt:variant>
        <vt:i4>5767188</vt:i4>
      </vt:variant>
      <vt:variant>
        <vt:i4>1995</vt:i4>
      </vt:variant>
      <vt:variant>
        <vt:i4>0</vt:i4>
      </vt:variant>
      <vt:variant>
        <vt:i4>5</vt:i4>
      </vt:variant>
      <vt:variant>
        <vt:lpwstr>https://www.ihi.org/insights/words-matter-making-sense-health-equity-terminology</vt:lpwstr>
      </vt:variant>
      <vt:variant>
        <vt:lpwstr/>
      </vt:variant>
      <vt:variant>
        <vt:i4>196625</vt:i4>
      </vt:variant>
      <vt:variant>
        <vt:i4>1992</vt:i4>
      </vt:variant>
      <vt:variant>
        <vt:i4>0</vt:i4>
      </vt:variant>
      <vt:variant>
        <vt:i4>5</vt:i4>
      </vt:variant>
      <vt:variant>
        <vt:lpwstr>https://mediacentral.ucl.ac.uk/Play/6608</vt:lpwstr>
      </vt:variant>
      <vt:variant>
        <vt:lpwstr/>
      </vt:variant>
      <vt:variant>
        <vt:i4>3539057</vt:i4>
      </vt:variant>
      <vt:variant>
        <vt:i4>1989</vt:i4>
      </vt:variant>
      <vt:variant>
        <vt:i4>0</vt:i4>
      </vt:variant>
      <vt:variant>
        <vt:i4>5</vt:i4>
      </vt:variant>
      <vt:variant>
        <vt:lpwstr>https://www.youtube.com/watch?v=8SOzXeYDhAw</vt:lpwstr>
      </vt:variant>
      <vt:variant>
        <vt:lpwstr/>
      </vt:variant>
      <vt:variant>
        <vt:i4>720917</vt:i4>
      </vt:variant>
      <vt:variant>
        <vt:i4>1986</vt:i4>
      </vt:variant>
      <vt:variant>
        <vt:i4>0</vt:i4>
      </vt:variant>
      <vt:variant>
        <vt:i4>5</vt:i4>
      </vt:variant>
      <vt:variant>
        <vt:lpwstr>https://torontohealthequity.ca/wp-content/uploads/2018/03/Measuring-Health-Equity-Participant-Manual-2018.pdf</vt:lpwstr>
      </vt:variant>
      <vt:variant>
        <vt:lpwstr/>
      </vt:variant>
      <vt:variant>
        <vt:i4>4587534</vt:i4>
      </vt:variant>
      <vt:variant>
        <vt:i4>1983</vt:i4>
      </vt:variant>
      <vt:variant>
        <vt:i4>0</vt:i4>
      </vt:variant>
      <vt:variant>
        <vt:i4>5</vt:i4>
      </vt:variant>
      <vt:variant>
        <vt:lpwstr>https://www.cdc.gov/dhds/datasets/?CDC_AAref_Val=https://www.cdc.gov/ncbddd/disabilityandhealth/datasets.html</vt:lpwstr>
      </vt:variant>
      <vt:variant>
        <vt:lpwstr/>
      </vt:variant>
      <vt:variant>
        <vt:i4>1835093</vt:i4>
      </vt:variant>
      <vt:variant>
        <vt:i4>1980</vt:i4>
      </vt:variant>
      <vt:variant>
        <vt:i4>0</vt:i4>
      </vt:variant>
      <vt:variant>
        <vt:i4>5</vt:i4>
      </vt:variant>
      <vt:variant>
        <vt:lpwstr>https://www.cdc.gov/disability-and-health/about/?CDC_AAref_Val=https://www.cdc.gov/ncbddd/disabilityandhealth/disability.html</vt:lpwstr>
      </vt:variant>
      <vt:variant>
        <vt:lpwstr/>
      </vt:variant>
      <vt:variant>
        <vt:i4>1835093</vt:i4>
      </vt:variant>
      <vt:variant>
        <vt:i4>1977</vt:i4>
      </vt:variant>
      <vt:variant>
        <vt:i4>0</vt:i4>
      </vt:variant>
      <vt:variant>
        <vt:i4>5</vt:i4>
      </vt:variant>
      <vt:variant>
        <vt:lpwstr>https://www.cdc.gov/disability-and-health/about/?CDC_AAref_Val=https://www.cdc.gov/ncbddd/disabilityandhealth/disability.html</vt:lpwstr>
      </vt:variant>
      <vt:variant>
        <vt:lpwstr/>
      </vt:variant>
      <vt:variant>
        <vt:i4>3801188</vt:i4>
      </vt:variant>
      <vt:variant>
        <vt:i4>1974</vt:i4>
      </vt:variant>
      <vt:variant>
        <vt:i4>0</vt:i4>
      </vt:variant>
      <vt:variant>
        <vt:i4>5</vt:i4>
      </vt:variant>
      <vt:variant>
        <vt:lpwstr>https://fenwayhealth.org/wp-content/uploads/TFI-54_SOGI-Data-Collection-Series-of-3-Tip-Sheets-for-pride-month_NutsAndBolts.pdf</vt:lpwstr>
      </vt:variant>
      <vt:variant>
        <vt:lpwstr/>
      </vt:variant>
      <vt:variant>
        <vt:i4>7012451</vt:i4>
      </vt:variant>
      <vt:variant>
        <vt:i4>1971</vt:i4>
      </vt:variant>
      <vt:variant>
        <vt:i4>0</vt:i4>
      </vt:variant>
      <vt:variant>
        <vt:i4>5</vt:i4>
      </vt:variant>
      <vt:variant>
        <vt:lpwstr>https://www.cdc.gov/sti/hcp/clinical-guidance/taking-a-sexual-history.html</vt:lpwstr>
      </vt:variant>
      <vt:variant>
        <vt:lpwstr/>
      </vt:variant>
      <vt:variant>
        <vt:i4>3473529</vt:i4>
      </vt:variant>
      <vt:variant>
        <vt:i4>1968</vt:i4>
      </vt:variant>
      <vt:variant>
        <vt:i4>0</vt:i4>
      </vt:variant>
      <vt:variant>
        <vt:i4>5</vt:i4>
      </vt:variant>
      <vt:variant>
        <vt:lpwstr>https://www.cms.gov/priorities/health-equity/minority-health/research-data/research-data/tools</vt:lpwstr>
      </vt:variant>
      <vt:variant>
        <vt:lpwstr/>
      </vt:variant>
      <vt:variant>
        <vt:i4>589854</vt:i4>
      </vt:variant>
      <vt:variant>
        <vt:i4>1965</vt:i4>
      </vt:variant>
      <vt:variant>
        <vt:i4>0</vt:i4>
      </vt:variant>
      <vt:variant>
        <vt:i4>5</vt:i4>
      </vt:variant>
      <vt:variant>
        <vt:lpwstr>https://torontohealthequity.ca/training/</vt:lpwstr>
      </vt:variant>
      <vt:variant>
        <vt:lpwstr/>
      </vt:variant>
      <vt:variant>
        <vt:i4>2031694</vt:i4>
      </vt:variant>
      <vt:variant>
        <vt:i4>1962</vt:i4>
      </vt:variant>
      <vt:variant>
        <vt:i4>0</vt:i4>
      </vt:variant>
      <vt:variant>
        <vt:i4>5</vt:i4>
      </vt:variant>
      <vt:variant>
        <vt:lpwstr>https://www.irs.gov/charities-non-profits/financial-assistance-policy-and-emergency-medical-care-policy-section-501r4</vt:lpwstr>
      </vt:variant>
      <vt:variant>
        <vt:lpwstr/>
      </vt:variant>
      <vt:variant>
        <vt:i4>2752565</vt:i4>
      </vt:variant>
      <vt:variant>
        <vt:i4>1959</vt:i4>
      </vt:variant>
      <vt:variant>
        <vt:i4>0</vt:i4>
      </vt:variant>
      <vt:variant>
        <vt:i4>5</vt:i4>
      </vt:variant>
      <vt:variant>
        <vt:lpwstr>https://www.hfma.org/finance-and-business-strategy/advancing-healthcare-access/</vt:lpwstr>
      </vt:variant>
      <vt:variant>
        <vt:lpwstr/>
      </vt:variant>
      <vt:variant>
        <vt:i4>1900618</vt:i4>
      </vt:variant>
      <vt:variant>
        <vt:i4>1956</vt:i4>
      </vt:variant>
      <vt:variant>
        <vt:i4>0</vt:i4>
      </vt:variant>
      <vt:variant>
        <vt:i4>5</vt:i4>
      </vt:variant>
      <vt:variant>
        <vt:lpwstr>https://www.cms.gov/files/document/nsa-sample-good-faith-estimate.pdf</vt:lpwstr>
      </vt:variant>
      <vt:variant>
        <vt:lpwstr/>
      </vt:variant>
      <vt:variant>
        <vt:i4>852052</vt:i4>
      </vt:variant>
      <vt:variant>
        <vt:i4>1953</vt:i4>
      </vt:variant>
      <vt:variant>
        <vt:i4>0</vt:i4>
      </vt:variant>
      <vt:variant>
        <vt:i4>5</vt:i4>
      </vt:variant>
      <vt:variant>
        <vt:lpwstr>https://unduemedicaldebt.org/contact/</vt:lpwstr>
      </vt:variant>
      <vt:variant>
        <vt:lpwstr/>
      </vt:variant>
      <vt:variant>
        <vt:i4>6619177</vt:i4>
      </vt:variant>
      <vt:variant>
        <vt:i4>1950</vt:i4>
      </vt:variant>
      <vt:variant>
        <vt:i4>0</vt:i4>
      </vt:variant>
      <vt:variant>
        <vt:i4>5</vt:i4>
      </vt:variant>
      <vt:variant>
        <vt:lpwstr>https://www.monhealth.com/main/rapid-response-team</vt:lpwstr>
      </vt:variant>
      <vt:variant>
        <vt:lpwstr/>
      </vt:variant>
      <vt:variant>
        <vt:i4>327771</vt:i4>
      </vt:variant>
      <vt:variant>
        <vt:i4>1947</vt:i4>
      </vt:variant>
      <vt:variant>
        <vt:i4>0</vt:i4>
      </vt:variant>
      <vt:variant>
        <vt:i4>5</vt:i4>
      </vt:variant>
      <vt:variant>
        <vt:lpwstr>https://www.upmc.com/about/why-upmc/quality/patient-safety/condition-help</vt:lpwstr>
      </vt:variant>
      <vt:variant>
        <vt:lpwstr/>
      </vt:variant>
      <vt:variant>
        <vt:i4>91</vt:i4>
      </vt:variant>
      <vt:variant>
        <vt:i4>1944</vt:i4>
      </vt:variant>
      <vt:variant>
        <vt:i4>0</vt:i4>
      </vt:variant>
      <vt:variant>
        <vt:i4>5</vt:i4>
      </vt:variant>
      <vt:variant>
        <vt:lpwstr>https://certification.osteopathic.org/about/</vt:lpwstr>
      </vt:variant>
      <vt:variant>
        <vt:lpwstr/>
      </vt:variant>
      <vt:variant>
        <vt:i4>917588</vt:i4>
      </vt:variant>
      <vt:variant>
        <vt:i4>1941</vt:i4>
      </vt:variant>
      <vt:variant>
        <vt:i4>0</vt:i4>
      </vt:variant>
      <vt:variant>
        <vt:i4>5</vt:i4>
      </vt:variant>
      <vt:variant>
        <vt:lpwstr>https://www.abms.org/board-certification/board-certification-requirements/board-eligibility/</vt:lpwstr>
      </vt:variant>
      <vt:variant>
        <vt:lpwstr/>
      </vt:variant>
      <vt:variant>
        <vt:i4>7929964</vt:i4>
      </vt:variant>
      <vt:variant>
        <vt:i4>1938</vt:i4>
      </vt:variant>
      <vt:variant>
        <vt:i4>0</vt:i4>
      </vt:variant>
      <vt:variant>
        <vt:i4>5</vt:i4>
      </vt:variant>
      <vt:variant>
        <vt:lpwstr>https://www.leapfroggroup.org/survey-materials/review-nhsn-instructions</vt:lpwstr>
      </vt:variant>
      <vt:variant>
        <vt:lpwstr/>
      </vt:variant>
      <vt:variant>
        <vt:i4>7929964</vt:i4>
      </vt:variant>
      <vt:variant>
        <vt:i4>1935</vt:i4>
      </vt:variant>
      <vt:variant>
        <vt:i4>0</vt:i4>
      </vt:variant>
      <vt:variant>
        <vt:i4>5</vt:i4>
      </vt:variant>
      <vt:variant>
        <vt:lpwstr>https://www.leapfroggroup.org/survey-materials/review-nhsn-instructions</vt:lpwstr>
      </vt:variant>
      <vt:variant>
        <vt:lpwstr/>
      </vt:variant>
      <vt:variant>
        <vt:i4>7929964</vt:i4>
      </vt:variant>
      <vt:variant>
        <vt:i4>1932</vt:i4>
      </vt:variant>
      <vt:variant>
        <vt:i4>0</vt:i4>
      </vt:variant>
      <vt:variant>
        <vt:i4>5</vt:i4>
      </vt:variant>
      <vt:variant>
        <vt:lpwstr>https://www.leapfroggroup.org/survey-materials/review-nhsn-instructions</vt:lpwstr>
      </vt:variant>
      <vt:variant>
        <vt:lpwstr/>
      </vt:variant>
      <vt:variant>
        <vt:i4>7929964</vt:i4>
      </vt:variant>
      <vt:variant>
        <vt:i4>1929</vt:i4>
      </vt:variant>
      <vt:variant>
        <vt:i4>0</vt:i4>
      </vt:variant>
      <vt:variant>
        <vt:i4>5</vt:i4>
      </vt:variant>
      <vt:variant>
        <vt:lpwstr>https://www.leapfroggroup.org/survey-materials/review-nhsn-instructions</vt:lpwstr>
      </vt:variant>
      <vt:variant>
        <vt:lpwstr/>
      </vt:variant>
      <vt:variant>
        <vt:i4>6881372</vt:i4>
      </vt:variant>
      <vt:variant>
        <vt:i4>1926</vt:i4>
      </vt:variant>
      <vt:variant>
        <vt:i4>0</vt:i4>
      </vt:variant>
      <vt:variant>
        <vt:i4>5</vt:i4>
      </vt:variant>
      <vt:variant>
        <vt:lpwstr/>
      </vt:variant>
      <vt:variant>
        <vt:lpwstr>_5C:_Nursing_Workforce</vt:lpwstr>
      </vt:variant>
      <vt:variant>
        <vt:i4>1638435</vt:i4>
      </vt:variant>
      <vt:variant>
        <vt:i4>1923</vt:i4>
      </vt:variant>
      <vt:variant>
        <vt:i4>0</vt:i4>
      </vt:variant>
      <vt:variant>
        <vt:i4>5</vt:i4>
      </vt:variant>
      <vt:variant>
        <vt:lpwstr>https://www.cdc.gov/nhsn/forms/instr/57_103-TOI.pdf</vt:lpwstr>
      </vt:variant>
      <vt:variant>
        <vt:lpwstr/>
      </vt:variant>
      <vt:variant>
        <vt:i4>7798907</vt:i4>
      </vt:variant>
      <vt:variant>
        <vt:i4>1920</vt:i4>
      </vt:variant>
      <vt:variant>
        <vt:i4>0</vt:i4>
      </vt:variant>
      <vt:variant>
        <vt:i4>5</vt:i4>
      </vt:variant>
      <vt:variant>
        <vt:lpwstr>http://leapfroggroup.org/survey-materials/multi-campus-reporting-policy</vt:lpwstr>
      </vt:variant>
      <vt:variant>
        <vt:lpwstr/>
      </vt:variant>
      <vt:variant>
        <vt:i4>3670139</vt:i4>
      </vt:variant>
      <vt:variant>
        <vt:i4>1917</vt:i4>
      </vt:variant>
      <vt:variant>
        <vt:i4>0</vt:i4>
      </vt:variant>
      <vt:variant>
        <vt:i4>5</vt:i4>
      </vt:variant>
      <vt:variant>
        <vt:lpwstr>https://nahq.org/credentials/cphq-certified-professional-in-healthcare-quality/</vt:lpwstr>
      </vt:variant>
      <vt:variant>
        <vt:lpwstr/>
      </vt:variant>
      <vt:variant>
        <vt:i4>1572864</vt:i4>
      </vt:variant>
      <vt:variant>
        <vt:i4>1914</vt:i4>
      </vt:variant>
      <vt:variant>
        <vt:i4>0</vt:i4>
      </vt:variant>
      <vt:variant>
        <vt:i4>5</vt:i4>
      </vt:variant>
      <vt:variant>
        <vt:lpwstr/>
      </vt:variant>
      <vt:variant>
        <vt:lpwstr>ICInterpreter</vt:lpwstr>
      </vt:variant>
      <vt:variant>
        <vt:i4>1638429</vt:i4>
      </vt:variant>
      <vt:variant>
        <vt:i4>1911</vt:i4>
      </vt:variant>
      <vt:variant>
        <vt:i4>0</vt:i4>
      </vt:variant>
      <vt:variant>
        <vt:i4>5</vt:i4>
      </vt:variant>
      <vt:variant>
        <vt:lpwstr/>
      </vt:variant>
      <vt:variant>
        <vt:lpwstr>readinglevel</vt:lpwstr>
      </vt:variant>
      <vt:variant>
        <vt:i4>3473471</vt:i4>
      </vt:variant>
      <vt:variant>
        <vt:i4>1908</vt:i4>
      </vt:variant>
      <vt:variant>
        <vt:i4>0</vt:i4>
      </vt:variant>
      <vt:variant>
        <vt:i4>5</vt:i4>
      </vt:variant>
      <vt:variant>
        <vt:lpwstr/>
      </vt:variant>
      <vt:variant>
        <vt:lpwstr>_Informed_Consent</vt:lpwstr>
      </vt:variant>
      <vt:variant>
        <vt:i4>3473471</vt:i4>
      </vt:variant>
      <vt:variant>
        <vt:i4>1905</vt:i4>
      </vt:variant>
      <vt:variant>
        <vt:i4>0</vt:i4>
      </vt:variant>
      <vt:variant>
        <vt:i4>5</vt:i4>
      </vt:variant>
      <vt:variant>
        <vt:lpwstr/>
      </vt:variant>
      <vt:variant>
        <vt:lpwstr>_Informed_Consent</vt:lpwstr>
      </vt:variant>
      <vt:variant>
        <vt:i4>7798907</vt:i4>
      </vt:variant>
      <vt:variant>
        <vt:i4>1902</vt:i4>
      </vt:variant>
      <vt:variant>
        <vt:i4>0</vt:i4>
      </vt:variant>
      <vt:variant>
        <vt:i4>5</vt:i4>
      </vt:variant>
      <vt:variant>
        <vt:lpwstr>http://leapfroggroup.org/survey-materials/multi-campus-reporting-policy</vt:lpwstr>
      </vt:variant>
      <vt:variant>
        <vt:lpwstr/>
      </vt:variant>
      <vt:variant>
        <vt:i4>1966106</vt:i4>
      </vt:variant>
      <vt:variant>
        <vt:i4>1899</vt:i4>
      </vt:variant>
      <vt:variant>
        <vt:i4>0</vt:i4>
      </vt:variant>
      <vt:variant>
        <vt:i4>5</vt:i4>
      </vt:variant>
      <vt:variant>
        <vt:lpwstr/>
      </vt:variant>
      <vt:variant>
        <vt:lpwstr>inadequatedatafaq</vt:lpwstr>
      </vt:variant>
      <vt:variant>
        <vt:i4>2162778</vt:i4>
      </vt:variant>
      <vt:variant>
        <vt:i4>1896</vt:i4>
      </vt:variant>
      <vt:variant>
        <vt:i4>0</vt:i4>
      </vt:variant>
      <vt:variant>
        <vt:i4>5</vt:i4>
      </vt:variant>
      <vt:variant>
        <vt:lpwstr/>
      </vt:variant>
      <vt:variant>
        <vt:lpwstr>abilitystatus_1c</vt:lpwstr>
      </vt:variant>
      <vt:variant>
        <vt:i4>6946915</vt:i4>
      </vt:variant>
      <vt:variant>
        <vt:i4>1893</vt:i4>
      </vt:variant>
      <vt:variant>
        <vt:i4>0</vt:i4>
      </vt:variant>
      <vt:variant>
        <vt:i4>5</vt:i4>
      </vt:variant>
      <vt:variant>
        <vt:lpwstr/>
      </vt:variant>
      <vt:variant>
        <vt:lpwstr>directlyfrompatientsfaq</vt:lpwstr>
      </vt:variant>
      <vt:variant>
        <vt:i4>4325480</vt:i4>
      </vt:variant>
      <vt:variant>
        <vt:i4>1890</vt:i4>
      </vt:variant>
      <vt:variant>
        <vt:i4>0</vt:i4>
      </vt:variant>
      <vt:variant>
        <vt:i4>5</vt:i4>
      </vt:variant>
      <vt:variant>
        <vt:lpwstr/>
      </vt:variant>
      <vt:variant>
        <vt:lpwstr>_Health_Care_Equity</vt:lpwstr>
      </vt:variant>
      <vt:variant>
        <vt:i4>7798907</vt:i4>
      </vt:variant>
      <vt:variant>
        <vt:i4>1887</vt:i4>
      </vt:variant>
      <vt:variant>
        <vt:i4>0</vt:i4>
      </vt:variant>
      <vt:variant>
        <vt:i4>5</vt:i4>
      </vt:variant>
      <vt:variant>
        <vt:lpwstr>http://leapfroggroup.org/survey-materials/multi-campus-reporting-policy</vt:lpwstr>
      </vt:variant>
      <vt:variant>
        <vt:lpwstr/>
      </vt:variant>
      <vt:variant>
        <vt:i4>1441812</vt:i4>
      </vt:variant>
      <vt:variant>
        <vt:i4>1884</vt:i4>
      </vt:variant>
      <vt:variant>
        <vt:i4>0</vt:i4>
      </vt:variant>
      <vt:variant>
        <vt:i4>5</vt:i4>
      </vt:variant>
      <vt:variant>
        <vt:lpwstr/>
      </vt:variant>
      <vt:variant>
        <vt:lpwstr>goodfaithestimate</vt:lpwstr>
      </vt:variant>
      <vt:variant>
        <vt:i4>7077957</vt:i4>
      </vt:variant>
      <vt:variant>
        <vt:i4>1881</vt:i4>
      </vt:variant>
      <vt:variant>
        <vt:i4>0</vt:i4>
      </vt:variant>
      <vt:variant>
        <vt:i4>5</vt:i4>
      </vt:variant>
      <vt:variant>
        <vt:lpwstr/>
      </vt:variant>
      <vt:variant>
        <vt:lpwstr>_Person-Centered_Care:_Billing</vt:lpwstr>
      </vt:variant>
      <vt:variant>
        <vt:i4>7077957</vt:i4>
      </vt:variant>
      <vt:variant>
        <vt:i4>1878</vt:i4>
      </vt:variant>
      <vt:variant>
        <vt:i4>0</vt:i4>
      </vt:variant>
      <vt:variant>
        <vt:i4>5</vt:i4>
      </vt:variant>
      <vt:variant>
        <vt:lpwstr/>
      </vt:variant>
      <vt:variant>
        <vt:lpwstr>_Person-Centered_Care:_Billing</vt:lpwstr>
      </vt:variant>
      <vt:variant>
        <vt:i4>5963830</vt:i4>
      </vt:variant>
      <vt:variant>
        <vt:i4>1872</vt:i4>
      </vt:variant>
      <vt:variant>
        <vt:i4>0</vt:i4>
      </vt:variant>
      <vt:variant>
        <vt:i4>5</vt:i4>
      </vt:variant>
      <vt:variant>
        <vt:lpwstr/>
      </vt:variant>
      <vt:variant>
        <vt:lpwstr>_Section_1B:_Person-Centered</vt:lpwstr>
      </vt:variant>
      <vt:variant>
        <vt:i4>7798907</vt:i4>
      </vt:variant>
      <vt:variant>
        <vt:i4>1869</vt:i4>
      </vt:variant>
      <vt:variant>
        <vt:i4>0</vt:i4>
      </vt:variant>
      <vt:variant>
        <vt:i4>5</vt:i4>
      </vt:variant>
      <vt:variant>
        <vt:lpwstr>http://leapfroggroup.org/survey-materials/multi-campus-reporting-policy</vt:lpwstr>
      </vt:variant>
      <vt:variant>
        <vt:lpwstr/>
      </vt:variant>
      <vt:variant>
        <vt:i4>7340136</vt:i4>
      </vt:variant>
      <vt:variant>
        <vt:i4>1866</vt:i4>
      </vt:variant>
      <vt:variant>
        <vt:i4>0</vt:i4>
      </vt:variant>
      <vt:variant>
        <vt:i4>5</vt:i4>
      </vt:variant>
      <vt:variant>
        <vt:lpwstr/>
      </vt:variant>
      <vt:variant>
        <vt:lpwstr>neonatalICU</vt:lpwstr>
      </vt:variant>
      <vt:variant>
        <vt:i4>7340136</vt:i4>
      </vt:variant>
      <vt:variant>
        <vt:i4>1863</vt:i4>
      </vt:variant>
      <vt:variant>
        <vt:i4>0</vt:i4>
      </vt:variant>
      <vt:variant>
        <vt:i4>5</vt:i4>
      </vt:variant>
      <vt:variant>
        <vt:lpwstr/>
      </vt:variant>
      <vt:variant>
        <vt:lpwstr>neonatalICU</vt:lpwstr>
      </vt:variant>
      <vt:variant>
        <vt:i4>196616</vt:i4>
      </vt:variant>
      <vt:variant>
        <vt:i4>1860</vt:i4>
      </vt:variant>
      <vt:variant>
        <vt:i4>0</vt:i4>
      </vt:variant>
      <vt:variant>
        <vt:i4>5</vt:i4>
      </vt:variant>
      <vt:variant>
        <vt:lpwstr/>
      </vt:variant>
      <vt:variant>
        <vt:lpwstr>generalmedicalsurgicalandneuroicu</vt:lpwstr>
      </vt:variant>
      <vt:variant>
        <vt:i4>917521</vt:i4>
      </vt:variant>
      <vt:variant>
        <vt:i4>1857</vt:i4>
      </vt:variant>
      <vt:variant>
        <vt:i4>0</vt:i4>
      </vt:variant>
      <vt:variant>
        <vt:i4>5</vt:i4>
      </vt:variant>
      <vt:variant>
        <vt:lpwstr/>
      </vt:variant>
      <vt:variant>
        <vt:lpwstr>staffedicubed</vt:lpwstr>
      </vt:variant>
      <vt:variant>
        <vt:i4>8257661</vt:i4>
      </vt:variant>
      <vt:variant>
        <vt:i4>1854</vt:i4>
      </vt:variant>
      <vt:variant>
        <vt:i4>0</vt:i4>
      </vt:variant>
      <vt:variant>
        <vt:i4>5</vt:i4>
      </vt:variant>
      <vt:variant>
        <vt:lpwstr/>
      </vt:variant>
      <vt:variant>
        <vt:lpwstr>licensedICUBed</vt:lpwstr>
      </vt:variant>
      <vt:variant>
        <vt:i4>196616</vt:i4>
      </vt:variant>
      <vt:variant>
        <vt:i4>1851</vt:i4>
      </vt:variant>
      <vt:variant>
        <vt:i4>0</vt:i4>
      </vt:variant>
      <vt:variant>
        <vt:i4>5</vt:i4>
      </vt:variant>
      <vt:variant>
        <vt:lpwstr/>
      </vt:variant>
      <vt:variant>
        <vt:lpwstr>generalmedicalsurgicalandneuroicu</vt:lpwstr>
      </vt:variant>
      <vt:variant>
        <vt:i4>917521</vt:i4>
      </vt:variant>
      <vt:variant>
        <vt:i4>1848</vt:i4>
      </vt:variant>
      <vt:variant>
        <vt:i4>0</vt:i4>
      </vt:variant>
      <vt:variant>
        <vt:i4>5</vt:i4>
      </vt:variant>
      <vt:variant>
        <vt:lpwstr/>
      </vt:variant>
      <vt:variant>
        <vt:lpwstr>staffedicubed</vt:lpwstr>
      </vt:variant>
      <vt:variant>
        <vt:i4>8257661</vt:i4>
      </vt:variant>
      <vt:variant>
        <vt:i4>1844</vt:i4>
      </vt:variant>
      <vt:variant>
        <vt:i4>0</vt:i4>
      </vt:variant>
      <vt:variant>
        <vt:i4>5</vt:i4>
      </vt:variant>
      <vt:variant>
        <vt:lpwstr/>
      </vt:variant>
      <vt:variant>
        <vt:lpwstr>licensedICUBed</vt:lpwstr>
      </vt:variant>
      <vt:variant>
        <vt:i4>393270</vt:i4>
      </vt:variant>
      <vt:variant>
        <vt:i4>1842</vt:i4>
      </vt:variant>
      <vt:variant>
        <vt:i4>0</vt:i4>
      </vt:variant>
      <vt:variant>
        <vt:i4>5</vt:i4>
      </vt:variant>
      <vt:variant>
        <vt:lpwstr/>
      </vt:variant>
      <vt:variant>
        <vt:lpwstr>Endnote12_LICU</vt:lpwstr>
      </vt:variant>
      <vt:variant>
        <vt:i4>196616</vt:i4>
      </vt:variant>
      <vt:variant>
        <vt:i4>1839</vt:i4>
      </vt:variant>
      <vt:variant>
        <vt:i4>0</vt:i4>
      </vt:variant>
      <vt:variant>
        <vt:i4>5</vt:i4>
      </vt:variant>
      <vt:variant>
        <vt:lpwstr/>
      </vt:variant>
      <vt:variant>
        <vt:lpwstr>generalmedicalsurgicalandneuroicu</vt:lpwstr>
      </vt:variant>
      <vt:variant>
        <vt:i4>458787</vt:i4>
      </vt:variant>
      <vt:variant>
        <vt:i4>1836</vt:i4>
      </vt:variant>
      <vt:variant>
        <vt:i4>0</vt:i4>
      </vt:variant>
      <vt:variant>
        <vt:i4>5</vt:i4>
      </vt:variant>
      <vt:variant>
        <vt:lpwstr/>
      </vt:variant>
      <vt:variant>
        <vt:lpwstr>Endnote11_PedAdmits</vt:lpwstr>
      </vt:variant>
      <vt:variant>
        <vt:i4>6946902</vt:i4>
      </vt:variant>
      <vt:variant>
        <vt:i4>1833</vt:i4>
      </vt:variant>
      <vt:variant>
        <vt:i4>0</vt:i4>
      </vt:variant>
      <vt:variant>
        <vt:i4>5</vt:i4>
      </vt:variant>
      <vt:variant>
        <vt:lpwstr/>
      </vt:variant>
      <vt:variant>
        <vt:lpwstr>Endnote10_AdultAdmits</vt:lpwstr>
      </vt:variant>
      <vt:variant>
        <vt:i4>2621522</vt:i4>
      </vt:variant>
      <vt:variant>
        <vt:i4>1830</vt:i4>
      </vt:variant>
      <vt:variant>
        <vt:i4>0</vt:i4>
      </vt:variant>
      <vt:variant>
        <vt:i4>5</vt:i4>
      </vt:variant>
      <vt:variant>
        <vt:lpwstr/>
      </vt:variant>
      <vt:variant>
        <vt:lpwstr>Endnote9_Sbeds</vt:lpwstr>
      </vt:variant>
      <vt:variant>
        <vt:i4>1769492</vt:i4>
      </vt:variant>
      <vt:variant>
        <vt:i4>1827</vt:i4>
      </vt:variant>
      <vt:variant>
        <vt:i4>0</vt:i4>
      </vt:variant>
      <vt:variant>
        <vt:i4>5</vt:i4>
      </vt:variant>
      <vt:variant>
        <vt:lpwstr/>
      </vt:variant>
      <vt:variant>
        <vt:lpwstr>LicensedAcuteCareBeds</vt:lpwstr>
      </vt:variant>
      <vt:variant>
        <vt:i4>1441812</vt:i4>
      </vt:variant>
      <vt:variant>
        <vt:i4>1824</vt:i4>
      </vt:variant>
      <vt:variant>
        <vt:i4>0</vt:i4>
      </vt:variant>
      <vt:variant>
        <vt:i4>5</vt:i4>
      </vt:variant>
      <vt:variant>
        <vt:lpwstr/>
      </vt:variant>
      <vt:variant>
        <vt:lpwstr>_Basic_Hospital_Information_1</vt:lpwstr>
      </vt:variant>
      <vt:variant>
        <vt:i4>7798907</vt:i4>
      </vt:variant>
      <vt:variant>
        <vt:i4>1821</vt:i4>
      </vt:variant>
      <vt:variant>
        <vt:i4>0</vt:i4>
      </vt:variant>
      <vt:variant>
        <vt:i4>5</vt:i4>
      </vt:variant>
      <vt:variant>
        <vt:lpwstr>http://leapfroggroup.org/survey-materials/multi-campus-reporting-policy</vt:lpwstr>
      </vt:variant>
      <vt:variant>
        <vt:lpwstr/>
      </vt:variant>
      <vt:variant>
        <vt:i4>5046365</vt:i4>
      </vt:variant>
      <vt:variant>
        <vt:i4>1818</vt:i4>
      </vt:variant>
      <vt:variant>
        <vt:i4>0</vt:i4>
      </vt:variant>
      <vt:variant>
        <vt:i4>5</vt:i4>
      </vt:variant>
      <vt:variant>
        <vt:lpwstr>http://www.leapfroggroup.org/survey-materials/scoring-and-results</vt:lpwstr>
      </vt:variant>
      <vt:variant>
        <vt:lpwstr/>
      </vt:variant>
      <vt:variant>
        <vt:i4>5439565</vt:i4>
      </vt:variant>
      <vt:variant>
        <vt:i4>1815</vt:i4>
      </vt:variant>
      <vt:variant>
        <vt:i4>0</vt:i4>
      </vt:variant>
      <vt:variant>
        <vt:i4>5</vt:i4>
      </vt:variant>
      <vt:variant>
        <vt:lpwstr>https://ratings.leapfroggroup.org/measure/hospital/2025/informed-consent</vt:lpwstr>
      </vt:variant>
      <vt:variant>
        <vt:lpwstr/>
      </vt:variant>
      <vt:variant>
        <vt:i4>8060986</vt:i4>
      </vt:variant>
      <vt:variant>
        <vt:i4>1812</vt:i4>
      </vt:variant>
      <vt:variant>
        <vt:i4>0</vt:i4>
      </vt:variant>
      <vt:variant>
        <vt:i4>5</vt:i4>
      </vt:variant>
      <vt:variant>
        <vt:lpwstr>https://ratings.leapfroggroup.org/measure/hospital/2025/health-care-equity</vt:lpwstr>
      </vt:variant>
      <vt:variant>
        <vt:lpwstr/>
      </vt:variant>
      <vt:variant>
        <vt:i4>7274596</vt:i4>
      </vt:variant>
      <vt:variant>
        <vt:i4>1809</vt:i4>
      </vt:variant>
      <vt:variant>
        <vt:i4>0</vt:i4>
      </vt:variant>
      <vt:variant>
        <vt:i4>5</vt:i4>
      </vt:variant>
      <vt:variant>
        <vt:lpwstr>https://ratings.leapfroggroup.org/measure/hospital/2025/billing-ethics</vt:lpwstr>
      </vt:variant>
      <vt:variant>
        <vt:lpwstr/>
      </vt:variant>
      <vt:variant>
        <vt:i4>1966154</vt:i4>
      </vt:variant>
      <vt:variant>
        <vt:i4>1806</vt:i4>
      </vt:variant>
      <vt:variant>
        <vt:i4>0</vt:i4>
      </vt:variant>
      <vt:variant>
        <vt:i4>5</vt:i4>
      </vt:variant>
      <vt:variant>
        <vt:lpwstr>https://leapfroghelpdesk.zendesk.com/</vt:lpwstr>
      </vt:variant>
      <vt:variant>
        <vt:lpwstr/>
      </vt:variant>
      <vt:variant>
        <vt:i4>2490457</vt:i4>
      </vt:variant>
      <vt:variant>
        <vt:i4>1803</vt:i4>
      </vt:variant>
      <vt:variant>
        <vt:i4>0</vt:i4>
      </vt:variant>
      <vt:variant>
        <vt:i4>5</vt:i4>
      </vt:variant>
      <vt:variant>
        <vt:lpwstr/>
      </vt:variant>
      <vt:variant>
        <vt:lpwstr>Endnote7_System</vt:lpwstr>
      </vt:variant>
      <vt:variant>
        <vt:i4>5701681</vt:i4>
      </vt:variant>
      <vt:variant>
        <vt:i4>1800</vt:i4>
      </vt:variant>
      <vt:variant>
        <vt:i4>0</vt:i4>
      </vt:variant>
      <vt:variant>
        <vt:i4>5</vt:i4>
      </vt:variant>
      <vt:variant>
        <vt:lpwstr/>
      </vt:variant>
      <vt:variant>
        <vt:lpwstr>Endnote6_Web</vt:lpwstr>
      </vt:variant>
      <vt:variant>
        <vt:i4>3539028</vt:i4>
      </vt:variant>
      <vt:variant>
        <vt:i4>1797</vt:i4>
      </vt:variant>
      <vt:variant>
        <vt:i4>0</vt:i4>
      </vt:variant>
      <vt:variant>
        <vt:i4>5</vt:i4>
      </vt:variant>
      <vt:variant>
        <vt:lpwstr/>
      </vt:variant>
      <vt:variant>
        <vt:lpwstr>Endnote5_State</vt:lpwstr>
      </vt:variant>
      <vt:variant>
        <vt:i4>1966154</vt:i4>
      </vt:variant>
      <vt:variant>
        <vt:i4>1794</vt:i4>
      </vt:variant>
      <vt:variant>
        <vt:i4>0</vt:i4>
      </vt:variant>
      <vt:variant>
        <vt:i4>5</vt:i4>
      </vt:variant>
      <vt:variant>
        <vt:lpwstr>https://leapfroghelpdesk.zendesk.com/</vt:lpwstr>
      </vt:variant>
      <vt:variant>
        <vt:lpwstr/>
      </vt:variant>
      <vt:variant>
        <vt:i4>4653092</vt:i4>
      </vt:variant>
      <vt:variant>
        <vt:i4>1791</vt:i4>
      </vt:variant>
      <vt:variant>
        <vt:i4>0</vt:i4>
      </vt:variant>
      <vt:variant>
        <vt:i4>5</vt:i4>
      </vt:variant>
      <vt:variant>
        <vt:lpwstr/>
      </vt:variant>
      <vt:variant>
        <vt:lpwstr>Endnote4_NPI</vt:lpwstr>
      </vt:variant>
      <vt:variant>
        <vt:i4>6094909</vt:i4>
      </vt:variant>
      <vt:variant>
        <vt:i4>1788</vt:i4>
      </vt:variant>
      <vt:variant>
        <vt:i4>0</vt:i4>
      </vt:variant>
      <vt:variant>
        <vt:i4>5</vt:i4>
      </vt:variant>
      <vt:variant>
        <vt:lpwstr/>
      </vt:variant>
      <vt:variant>
        <vt:lpwstr>Endnote3_TIN</vt:lpwstr>
      </vt:variant>
      <vt:variant>
        <vt:i4>3866706</vt:i4>
      </vt:variant>
      <vt:variant>
        <vt:i4>1785</vt:i4>
      </vt:variant>
      <vt:variant>
        <vt:i4>0</vt:i4>
      </vt:variant>
      <vt:variant>
        <vt:i4>5</vt:i4>
      </vt:variant>
      <vt:variant>
        <vt:lpwstr/>
      </vt:variant>
      <vt:variant>
        <vt:lpwstr>Endnote3_VonID</vt:lpwstr>
      </vt:variant>
      <vt:variant>
        <vt:i4>3276882</vt:i4>
      </vt:variant>
      <vt:variant>
        <vt:i4>1782</vt:i4>
      </vt:variant>
      <vt:variant>
        <vt:i4>0</vt:i4>
      </vt:variant>
      <vt:variant>
        <vt:i4>5</vt:i4>
      </vt:variant>
      <vt:variant>
        <vt:lpwstr/>
      </vt:variant>
      <vt:variant>
        <vt:lpwstr>Endnote2_NHSNID</vt:lpwstr>
      </vt:variant>
      <vt:variant>
        <vt:i4>1966154</vt:i4>
      </vt:variant>
      <vt:variant>
        <vt:i4>1779</vt:i4>
      </vt:variant>
      <vt:variant>
        <vt:i4>0</vt:i4>
      </vt:variant>
      <vt:variant>
        <vt:i4>5</vt:i4>
      </vt:variant>
      <vt:variant>
        <vt:lpwstr>https://leapfroghelpdesk.zendesk.com/</vt:lpwstr>
      </vt:variant>
      <vt:variant>
        <vt:lpwstr/>
      </vt:variant>
      <vt:variant>
        <vt:i4>4718647</vt:i4>
      </vt:variant>
      <vt:variant>
        <vt:i4>1776</vt:i4>
      </vt:variant>
      <vt:variant>
        <vt:i4>0</vt:i4>
      </vt:variant>
      <vt:variant>
        <vt:i4>5</vt:i4>
      </vt:variant>
      <vt:variant>
        <vt:lpwstr/>
      </vt:variant>
      <vt:variant>
        <vt:lpwstr>Endnote1_CCN</vt:lpwstr>
      </vt:variant>
      <vt:variant>
        <vt:i4>786496</vt:i4>
      </vt:variant>
      <vt:variant>
        <vt:i4>1773</vt:i4>
      </vt:variant>
      <vt:variant>
        <vt:i4>0</vt:i4>
      </vt:variant>
      <vt:variant>
        <vt:i4>5</vt:i4>
      </vt:variant>
      <vt:variant>
        <vt:lpwstr>https://www.leapfroggroup.org/survey-materials/data-accuracy</vt:lpwstr>
      </vt:variant>
      <vt:variant>
        <vt:lpwstr/>
      </vt:variant>
      <vt:variant>
        <vt:i4>7798907</vt:i4>
      </vt:variant>
      <vt:variant>
        <vt:i4>1770</vt:i4>
      </vt:variant>
      <vt:variant>
        <vt:i4>0</vt:i4>
      </vt:variant>
      <vt:variant>
        <vt:i4>5</vt:i4>
      </vt:variant>
      <vt:variant>
        <vt:lpwstr>http://leapfroggroup.org/survey-materials/multi-campus-reporting-policy</vt:lpwstr>
      </vt:variant>
      <vt:variant>
        <vt:lpwstr/>
      </vt:variant>
      <vt:variant>
        <vt:i4>7274602</vt:i4>
      </vt:variant>
      <vt:variant>
        <vt:i4>1767</vt:i4>
      </vt:variant>
      <vt:variant>
        <vt:i4>0</vt:i4>
      </vt:variant>
      <vt:variant>
        <vt:i4>5</vt:i4>
      </vt:variant>
      <vt:variant>
        <vt:lpwstr>https://survey.leapfroggroup.org/dashboard</vt:lpwstr>
      </vt:variant>
      <vt:variant>
        <vt:lpwstr/>
      </vt:variant>
      <vt:variant>
        <vt:i4>5701759</vt:i4>
      </vt:variant>
      <vt:variant>
        <vt:i4>1764</vt:i4>
      </vt:variant>
      <vt:variant>
        <vt:i4>0</vt:i4>
      </vt:variant>
      <vt:variant>
        <vt:i4>5</vt:i4>
      </vt:variant>
      <vt:variant>
        <vt:lpwstr/>
      </vt:variant>
      <vt:variant>
        <vt:lpwstr>emergencydepartment_endnote</vt:lpwstr>
      </vt:variant>
      <vt:variant>
        <vt:i4>5701759</vt:i4>
      </vt:variant>
      <vt:variant>
        <vt:i4>1761</vt:i4>
      </vt:variant>
      <vt:variant>
        <vt:i4>0</vt:i4>
      </vt:variant>
      <vt:variant>
        <vt:i4>5</vt:i4>
      </vt:variant>
      <vt:variant>
        <vt:lpwstr/>
      </vt:variant>
      <vt:variant>
        <vt:lpwstr>emergencydepartment_endnote</vt:lpwstr>
      </vt:variant>
      <vt:variant>
        <vt:i4>2031636</vt:i4>
      </vt:variant>
      <vt:variant>
        <vt:i4>1758</vt:i4>
      </vt:variant>
      <vt:variant>
        <vt:i4>0</vt:i4>
      </vt:variant>
      <vt:variant>
        <vt:i4>5</vt:i4>
      </vt:variant>
      <vt:variant>
        <vt:lpwstr/>
      </vt:variant>
      <vt:variant>
        <vt:lpwstr>pacusendnote</vt:lpwstr>
      </vt:variant>
      <vt:variant>
        <vt:i4>7340136</vt:i4>
      </vt:variant>
      <vt:variant>
        <vt:i4>1755</vt:i4>
      </vt:variant>
      <vt:variant>
        <vt:i4>0</vt:i4>
      </vt:variant>
      <vt:variant>
        <vt:i4>5</vt:i4>
      </vt:variant>
      <vt:variant>
        <vt:lpwstr/>
      </vt:variant>
      <vt:variant>
        <vt:lpwstr>neonatalICU</vt:lpwstr>
      </vt:variant>
      <vt:variant>
        <vt:i4>196616</vt:i4>
      </vt:variant>
      <vt:variant>
        <vt:i4>1752</vt:i4>
      </vt:variant>
      <vt:variant>
        <vt:i4>0</vt:i4>
      </vt:variant>
      <vt:variant>
        <vt:i4>5</vt:i4>
      </vt:variant>
      <vt:variant>
        <vt:lpwstr/>
      </vt:variant>
      <vt:variant>
        <vt:lpwstr>generalmedicalsurgicalandneuroicu</vt:lpwstr>
      </vt:variant>
      <vt:variant>
        <vt:i4>65538</vt:i4>
      </vt:variant>
      <vt:variant>
        <vt:i4>1749</vt:i4>
      </vt:variant>
      <vt:variant>
        <vt:i4>0</vt:i4>
      </vt:variant>
      <vt:variant>
        <vt:i4>5</vt:i4>
      </vt:variant>
      <vt:variant>
        <vt:lpwstr/>
      </vt:variant>
      <vt:variant>
        <vt:lpwstr>LaborandDeliveryUnits</vt:lpwstr>
      </vt:variant>
      <vt:variant>
        <vt:i4>1310795</vt:i4>
      </vt:variant>
      <vt:variant>
        <vt:i4>1746</vt:i4>
      </vt:variant>
      <vt:variant>
        <vt:i4>0</vt:i4>
      </vt:variant>
      <vt:variant>
        <vt:i4>5</vt:i4>
      </vt:variant>
      <vt:variant>
        <vt:lpwstr/>
      </vt:variant>
      <vt:variant>
        <vt:lpwstr>stepdown_progressiveunits_endnote20</vt:lpwstr>
      </vt:variant>
      <vt:variant>
        <vt:i4>1900562</vt:i4>
      </vt:variant>
      <vt:variant>
        <vt:i4>1743</vt:i4>
      </vt:variant>
      <vt:variant>
        <vt:i4>0</vt:i4>
      </vt:variant>
      <vt:variant>
        <vt:i4>5</vt:i4>
      </vt:variant>
      <vt:variant>
        <vt:lpwstr/>
      </vt:variant>
      <vt:variant>
        <vt:lpwstr>MedicalandorSurgicalUnits</vt:lpwstr>
      </vt:variant>
      <vt:variant>
        <vt:i4>196616</vt:i4>
      </vt:variant>
      <vt:variant>
        <vt:i4>1740</vt:i4>
      </vt:variant>
      <vt:variant>
        <vt:i4>0</vt:i4>
      </vt:variant>
      <vt:variant>
        <vt:i4>5</vt:i4>
      </vt:variant>
      <vt:variant>
        <vt:lpwstr/>
      </vt:variant>
      <vt:variant>
        <vt:lpwstr>generalmedicalsurgicalandneuroicu</vt:lpwstr>
      </vt:variant>
      <vt:variant>
        <vt:i4>196616</vt:i4>
      </vt:variant>
      <vt:variant>
        <vt:i4>1737</vt:i4>
      </vt:variant>
      <vt:variant>
        <vt:i4>0</vt:i4>
      </vt:variant>
      <vt:variant>
        <vt:i4>5</vt:i4>
      </vt:variant>
      <vt:variant>
        <vt:lpwstr/>
      </vt:variant>
      <vt:variant>
        <vt:lpwstr>generalmedicalsurgicalandneuroicu</vt:lpwstr>
      </vt:variant>
      <vt:variant>
        <vt:i4>7340136</vt:i4>
      </vt:variant>
      <vt:variant>
        <vt:i4>1734</vt:i4>
      </vt:variant>
      <vt:variant>
        <vt:i4>0</vt:i4>
      </vt:variant>
      <vt:variant>
        <vt:i4>5</vt:i4>
      </vt:variant>
      <vt:variant>
        <vt:lpwstr/>
      </vt:variant>
      <vt:variant>
        <vt:lpwstr>neonatalICU</vt:lpwstr>
      </vt:variant>
      <vt:variant>
        <vt:i4>1310795</vt:i4>
      </vt:variant>
      <vt:variant>
        <vt:i4>1731</vt:i4>
      </vt:variant>
      <vt:variant>
        <vt:i4>0</vt:i4>
      </vt:variant>
      <vt:variant>
        <vt:i4>5</vt:i4>
      </vt:variant>
      <vt:variant>
        <vt:lpwstr/>
      </vt:variant>
      <vt:variant>
        <vt:lpwstr>stepdown_progressiveunits_endnote20</vt:lpwstr>
      </vt:variant>
      <vt:variant>
        <vt:i4>2031636</vt:i4>
      </vt:variant>
      <vt:variant>
        <vt:i4>1728</vt:i4>
      </vt:variant>
      <vt:variant>
        <vt:i4>0</vt:i4>
      </vt:variant>
      <vt:variant>
        <vt:i4>5</vt:i4>
      </vt:variant>
      <vt:variant>
        <vt:lpwstr/>
      </vt:variant>
      <vt:variant>
        <vt:lpwstr>pacusendnote</vt:lpwstr>
      </vt:variant>
      <vt:variant>
        <vt:i4>65538</vt:i4>
      </vt:variant>
      <vt:variant>
        <vt:i4>1725</vt:i4>
      </vt:variant>
      <vt:variant>
        <vt:i4>0</vt:i4>
      </vt:variant>
      <vt:variant>
        <vt:i4>5</vt:i4>
      </vt:variant>
      <vt:variant>
        <vt:lpwstr/>
      </vt:variant>
      <vt:variant>
        <vt:lpwstr>LaborandDeliveryUnits</vt:lpwstr>
      </vt:variant>
      <vt:variant>
        <vt:i4>1310795</vt:i4>
      </vt:variant>
      <vt:variant>
        <vt:i4>1722</vt:i4>
      </vt:variant>
      <vt:variant>
        <vt:i4>0</vt:i4>
      </vt:variant>
      <vt:variant>
        <vt:i4>5</vt:i4>
      </vt:variant>
      <vt:variant>
        <vt:lpwstr/>
      </vt:variant>
      <vt:variant>
        <vt:lpwstr>stepdown_progressiveunits_endnote20</vt:lpwstr>
      </vt:variant>
      <vt:variant>
        <vt:i4>1900562</vt:i4>
      </vt:variant>
      <vt:variant>
        <vt:i4>1719</vt:i4>
      </vt:variant>
      <vt:variant>
        <vt:i4>0</vt:i4>
      </vt:variant>
      <vt:variant>
        <vt:i4>5</vt:i4>
      </vt:variant>
      <vt:variant>
        <vt:lpwstr/>
      </vt:variant>
      <vt:variant>
        <vt:lpwstr>MedicalandorSurgicalUnits</vt:lpwstr>
      </vt:variant>
      <vt:variant>
        <vt:i4>7340136</vt:i4>
      </vt:variant>
      <vt:variant>
        <vt:i4>1716</vt:i4>
      </vt:variant>
      <vt:variant>
        <vt:i4>0</vt:i4>
      </vt:variant>
      <vt:variant>
        <vt:i4>5</vt:i4>
      </vt:variant>
      <vt:variant>
        <vt:lpwstr/>
      </vt:variant>
      <vt:variant>
        <vt:lpwstr>neonatalICU</vt:lpwstr>
      </vt:variant>
      <vt:variant>
        <vt:i4>196616</vt:i4>
      </vt:variant>
      <vt:variant>
        <vt:i4>1713</vt:i4>
      </vt:variant>
      <vt:variant>
        <vt:i4>0</vt:i4>
      </vt:variant>
      <vt:variant>
        <vt:i4>5</vt:i4>
      </vt:variant>
      <vt:variant>
        <vt:lpwstr/>
      </vt:variant>
      <vt:variant>
        <vt:lpwstr>generalmedicalsurgicalandneuroicu</vt:lpwstr>
      </vt:variant>
      <vt:variant>
        <vt:i4>7340136</vt:i4>
      </vt:variant>
      <vt:variant>
        <vt:i4>1710</vt:i4>
      </vt:variant>
      <vt:variant>
        <vt:i4>0</vt:i4>
      </vt:variant>
      <vt:variant>
        <vt:i4>5</vt:i4>
      </vt:variant>
      <vt:variant>
        <vt:lpwstr/>
      </vt:variant>
      <vt:variant>
        <vt:lpwstr>neonatalICU</vt:lpwstr>
      </vt:variant>
      <vt:variant>
        <vt:i4>196616</vt:i4>
      </vt:variant>
      <vt:variant>
        <vt:i4>1707</vt:i4>
      </vt:variant>
      <vt:variant>
        <vt:i4>0</vt:i4>
      </vt:variant>
      <vt:variant>
        <vt:i4>5</vt:i4>
      </vt:variant>
      <vt:variant>
        <vt:lpwstr/>
      </vt:variant>
      <vt:variant>
        <vt:lpwstr>generalmedicalsurgicalandneuroicu</vt:lpwstr>
      </vt:variant>
      <vt:variant>
        <vt:i4>6422596</vt:i4>
      </vt:variant>
      <vt:variant>
        <vt:i4>1704</vt:i4>
      </vt:variant>
      <vt:variant>
        <vt:i4>0</vt:i4>
      </vt:variant>
      <vt:variant>
        <vt:i4>5</vt:i4>
      </vt:variant>
      <vt:variant>
        <vt:lpwstr/>
      </vt:variant>
      <vt:variant>
        <vt:lpwstr>acutecareunits_endnote1</vt:lpwstr>
      </vt:variant>
      <vt:variant>
        <vt:i4>7929964</vt:i4>
      </vt:variant>
      <vt:variant>
        <vt:i4>1701</vt:i4>
      </vt:variant>
      <vt:variant>
        <vt:i4>0</vt:i4>
      </vt:variant>
      <vt:variant>
        <vt:i4>5</vt:i4>
      </vt:variant>
      <vt:variant>
        <vt:lpwstr>https://www.leapfroggroup.org/survey-materials/review-nhsn-instructions</vt:lpwstr>
      </vt:variant>
      <vt:variant>
        <vt:lpwstr/>
      </vt:variant>
      <vt:variant>
        <vt:i4>1376286</vt:i4>
      </vt:variant>
      <vt:variant>
        <vt:i4>1698</vt:i4>
      </vt:variant>
      <vt:variant>
        <vt:i4>0</vt:i4>
      </vt:variant>
      <vt:variant>
        <vt:i4>5</vt:i4>
      </vt:variant>
      <vt:variant>
        <vt:lpwstr>https://public.vtoxford.org/leapfrog</vt:lpwstr>
      </vt:variant>
      <vt:variant>
        <vt:lpwstr/>
      </vt:variant>
      <vt:variant>
        <vt:i4>4325454</vt:i4>
      </vt:variant>
      <vt:variant>
        <vt:i4>1695</vt:i4>
      </vt:variant>
      <vt:variant>
        <vt:i4>0</vt:i4>
      </vt:variant>
      <vt:variant>
        <vt:i4>5</vt:i4>
      </vt:variant>
      <vt:variant>
        <vt:lpwstr>https://leapfroghelpdesk.zendesk.com/hc/en-us</vt:lpwstr>
      </vt:variant>
      <vt:variant>
        <vt:lpwstr/>
      </vt:variant>
      <vt:variant>
        <vt:i4>1507341</vt:i4>
      </vt:variant>
      <vt:variant>
        <vt:i4>1692</vt:i4>
      </vt:variant>
      <vt:variant>
        <vt:i4>0</vt:i4>
      </vt:variant>
      <vt:variant>
        <vt:i4>5</vt:i4>
      </vt:variant>
      <vt:variant>
        <vt:lpwstr>https://www.leapfroggroup.org/survey-materials/support-health-systems</vt:lpwstr>
      </vt:variant>
      <vt:variant>
        <vt:lpwstr/>
      </vt:variant>
      <vt:variant>
        <vt:i4>1441873</vt:i4>
      </vt:variant>
      <vt:variant>
        <vt:i4>1689</vt:i4>
      </vt:variant>
      <vt:variant>
        <vt:i4>0</vt:i4>
      </vt:variant>
      <vt:variant>
        <vt:i4>5</vt:i4>
      </vt:variant>
      <vt:variant>
        <vt:lpwstr>https://www.leapfroggroup.org/survey-materials/hospital-survey-webinar-series</vt:lpwstr>
      </vt:variant>
      <vt:variant>
        <vt:lpwstr/>
      </vt:variant>
      <vt:variant>
        <vt:i4>6357090</vt:i4>
      </vt:variant>
      <vt:variant>
        <vt:i4>1686</vt:i4>
      </vt:variant>
      <vt:variant>
        <vt:i4>0</vt:i4>
      </vt:variant>
      <vt:variant>
        <vt:i4>5</vt:i4>
      </vt:variant>
      <vt:variant>
        <vt:lpwstr>https://www.leapfroggroup.org/sites/default/files/Files/HelpDeskGuide_HowtoUseZendesk_0.pdf</vt:lpwstr>
      </vt:variant>
      <vt:variant>
        <vt:lpwstr/>
      </vt:variant>
      <vt:variant>
        <vt:i4>4325454</vt:i4>
      </vt:variant>
      <vt:variant>
        <vt:i4>1683</vt:i4>
      </vt:variant>
      <vt:variant>
        <vt:i4>0</vt:i4>
      </vt:variant>
      <vt:variant>
        <vt:i4>5</vt:i4>
      </vt:variant>
      <vt:variant>
        <vt:lpwstr>https://leapfroghelpdesk.zendesk.com/hc/en-us</vt:lpwstr>
      </vt:variant>
      <vt:variant>
        <vt:lpwstr/>
      </vt:variant>
      <vt:variant>
        <vt:i4>4390926</vt:i4>
      </vt:variant>
      <vt:variant>
        <vt:i4>1680</vt:i4>
      </vt:variant>
      <vt:variant>
        <vt:i4>0</vt:i4>
      </vt:variant>
      <vt:variant>
        <vt:i4>5</vt:i4>
      </vt:variant>
      <vt:variant>
        <vt:lpwstr>https://www.leapfroggroup.org/ratings-reports/custom-benchmarking</vt:lpwstr>
      </vt:variant>
      <vt:variant>
        <vt:lpwstr/>
      </vt:variant>
      <vt:variant>
        <vt:i4>3145777</vt:i4>
      </vt:variant>
      <vt:variant>
        <vt:i4>1677</vt:i4>
      </vt:variant>
      <vt:variant>
        <vt:i4>0</vt:i4>
      </vt:variant>
      <vt:variant>
        <vt:i4>5</vt:i4>
      </vt:variant>
      <vt:variant>
        <vt:lpwstr>https://www.leapfroggroup.org/diabetes</vt:lpwstr>
      </vt:variant>
      <vt:variant>
        <vt:lpwstr/>
      </vt:variant>
      <vt:variant>
        <vt:i4>5701721</vt:i4>
      </vt:variant>
      <vt:variant>
        <vt:i4>1674</vt:i4>
      </vt:variant>
      <vt:variant>
        <vt:i4>0</vt:i4>
      </vt:variant>
      <vt:variant>
        <vt:i4>5</vt:i4>
      </vt:variant>
      <vt:variant>
        <vt:lpwstr>https://www.hospitalsafetygrade.org/</vt:lpwstr>
      </vt:variant>
      <vt:variant>
        <vt:lpwstr/>
      </vt:variant>
      <vt:variant>
        <vt:i4>7143466</vt:i4>
      </vt:variant>
      <vt:variant>
        <vt:i4>1671</vt:i4>
      </vt:variant>
      <vt:variant>
        <vt:i4>0</vt:i4>
      </vt:variant>
      <vt:variant>
        <vt:i4>5</vt:i4>
      </vt:variant>
      <vt:variant>
        <vt:lpwstr>https://www.leapfroggroup.org/ratings-reports/top-ascs</vt:lpwstr>
      </vt:variant>
      <vt:variant>
        <vt:lpwstr/>
      </vt:variant>
      <vt:variant>
        <vt:i4>6946875</vt:i4>
      </vt:variant>
      <vt:variant>
        <vt:i4>1668</vt:i4>
      </vt:variant>
      <vt:variant>
        <vt:i4>0</vt:i4>
      </vt:variant>
      <vt:variant>
        <vt:i4>5</vt:i4>
      </vt:variant>
      <vt:variant>
        <vt:lpwstr>https://www.leapfroggroup.org/ratings-reports/top-hospitals</vt:lpwstr>
      </vt:variant>
      <vt:variant>
        <vt:lpwstr/>
      </vt:variant>
      <vt:variant>
        <vt:i4>2359343</vt:i4>
      </vt:variant>
      <vt:variant>
        <vt:i4>1665</vt:i4>
      </vt:variant>
      <vt:variant>
        <vt:i4>0</vt:i4>
      </vt:variant>
      <vt:variant>
        <vt:i4>5</vt:i4>
      </vt:variant>
      <vt:variant>
        <vt:lpwstr>https://ratings.leapfroggroup.org/</vt:lpwstr>
      </vt:variant>
      <vt:variant>
        <vt:lpwstr/>
      </vt:variant>
      <vt:variant>
        <vt:i4>4325443</vt:i4>
      </vt:variant>
      <vt:variant>
        <vt:i4>1662</vt:i4>
      </vt:variant>
      <vt:variant>
        <vt:i4>0</vt:i4>
      </vt:variant>
      <vt:variant>
        <vt:i4>5</vt:i4>
      </vt:variant>
      <vt:variant>
        <vt:lpwstr>http://www.hospitalsafetygrade.org/for-hospitals/HospitalFAQ</vt:lpwstr>
      </vt:variant>
      <vt:variant>
        <vt:lpwstr/>
      </vt:variant>
      <vt:variant>
        <vt:i4>4784215</vt:i4>
      </vt:variant>
      <vt:variant>
        <vt:i4>1659</vt:i4>
      </vt:variant>
      <vt:variant>
        <vt:i4>0</vt:i4>
      </vt:variant>
      <vt:variant>
        <vt:i4>5</vt:i4>
      </vt:variant>
      <vt:variant>
        <vt:lpwstr>http://www.hospitalsafetygrade.org/for-hospitals/updates-and-timelines-for-hospitals</vt:lpwstr>
      </vt:variant>
      <vt:variant>
        <vt:lpwstr/>
      </vt:variant>
      <vt:variant>
        <vt:i4>7929964</vt:i4>
      </vt:variant>
      <vt:variant>
        <vt:i4>1656</vt:i4>
      </vt:variant>
      <vt:variant>
        <vt:i4>0</vt:i4>
      </vt:variant>
      <vt:variant>
        <vt:i4>5</vt:i4>
      </vt:variant>
      <vt:variant>
        <vt:lpwstr>https://www.leapfroggroup.org/survey-materials/review-nhsn-instructions</vt:lpwstr>
      </vt:variant>
      <vt:variant>
        <vt:lpwstr/>
      </vt:variant>
      <vt:variant>
        <vt:i4>2097163</vt:i4>
      </vt:variant>
      <vt:variant>
        <vt:i4>1653</vt:i4>
      </vt:variant>
      <vt:variant>
        <vt:i4>0</vt:i4>
      </vt:variant>
      <vt:variant>
        <vt:i4>5</vt:i4>
      </vt:variant>
      <vt:variant>
        <vt:lpwstr/>
      </vt:variant>
      <vt:variant>
        <vt:lpwstr>_VON_National_Performance</vt:lpwstr>
      </vt:variant>
      <vt:variant>
        <vt:i4>3473529</vt:i4>
      </vt:variant>
      <vt:variant>
        <vt:i4>1650</vt:i4>
      </vt:variant>
      <vt:variant>
        <vt:i4>0</vt:i4>
      </vt:variant>
      <vt:variant>
        <vt:i4>5</vt:i4>
      </vt:variant>
      <vt:variant>
        <vt:lpwstr>http://leapfroggroup.org/survey-materials/deadlines</vt:lpwstr>
      </vt:variant>
      <vt:variant>
        <vt:lpwstr/>
      </vt:variant>
      <vt:variant>
        <vt:i4>3604483</vt:i4>
      </vt:variant>
      <vt:variant>
        <vt:i4>1647</vt:i4>
      </vt:variant>
      <vt:variant>
        <vt:i4>0</vt:i4>
      </vt:variant>
      <vt:variant>
        <vt:i4>5</vt:i4>
      </vt:variant>
      <vt:variant>
        <vt:lpwstr/>
      </vt:variant>
      <vt:variant>
        <vt:lpwstr>_CMS_Measures_Measure</vt:lpwstr>
      </vt:variant>
      <vt:variant>
        <vt:i4>7929964</vt:i4>
      </vt:variant>
      <vt:variant>
        <vt:i4>1644</vt:i4>
      </vt:variant>
      <vt:variant>
        <vt:i4>0</vt:i4>
      </vt:variant>
      <vt:variant>
        <vt:i4>5</vt:i4>
      </vt:variant>
      <vt:variant>
        <vt:lpwstr>https://www.leapfroggroup.org/survey-materials/review-nhsn-instructions</vt:lpwstr>
      </vt:variant>
      <vt:variant>
        <vt:lpwstr/>
      </vt:variant>
      <vt:variant>
        <vt:i4>2097163</vt:i4>
      </vt:variant>
      <vt:variant>
        <vt:i4>1641</vt:i4>
      </vt:variant>
      <vt:variant>
        <vt:i4>0</vt:i4>
      </vt:variant>
      <vt:variant>
        <vt:i4>5</vt:i4>
      </vt:variant>
      <vt:variant>
        <vt:lpwstr/>
      </vt:variant>
      <vt:variant>
        <vt:lpwstr>_VON_National_Performance</vt:lpwstr>
      </vt:variant>
      <vt:variant>
        <vt:i4>5308455</vt:i4>
      </vt:variant>
      <vt:variant>
        <vt:i4>1638</vt:i4>
      </vt:variant>
      <vt:variant>
        <vt:i4>0</vt:i4>
      </vt:variant>
      <vt:variant>
        <vt:i4>5</vt:i4>
      </vt:variant>
      <vt:variant>
        <vt:lpwstr/>
      </vt:variant>
      <vt:variant>
        <vt:lpwstr>_Reporting_Periods_1</vt:lpwstr>
      </vt:variant>
      <vt:variant>
        <vt:i4>2818157</vt:i4>
      </vt:variant>
      <vt:variant>
        <vt:i4>1635</vt:i4>
      </vt:variant>
      <vt:variant>
        <vt:i4>0</vt:i4>
      </vt:variant>
      <vt:variant>
        <vt:i4>5</vt:i4>
      </vt:variant>
      <vt:variant>
        <vt:lpwstr>http://www.leapfroggroup.org/survey-materials/data-accuracy</vt:lpwstr>
      </vt:variant>
      <vt:variant>
        <vt:lpwstr/>
      </vt:variant>
      <vt:variant>
        <vt:i4>1966154</vt:i4>
      </vt:variant>
      <vt:variant>
        <vt:i4>1632</vt:i4>
      </vt:variant>
      <vt:variant>
        <vt:i4>0</vt:i4>
      </vt:variant>
      <vt:variant>
        <vt:i4>5</vt:i4>
      </vt:variant>
      <vt:variant>
        <vt:lpwstr>https://leapfroghelpdesk.zendesk.com/</vt:lpwstr>
      </vt:variant>
      <vt:variant>
        <vt:lpwstr/>
      </vt:variant>
      <vt:variant>
        <vt:i4>1966154</vt:i4>
      </vt:variant>
      <vt:variant>
        <vt:i4>1629</vt:i4>
      </vt:variant>
      <vt:variant>
        <vt:i4>0</vt:i4>
      </vt:variant>
      <vt:variant>
        <vt:i4>5</vt:i4>
      </vt:variant>
      <vt:variant>
        <vt:lpwstr>https://leapfroghelpdesk.zendesk.com/</vt:lpwstr>
      </vt:variant>
      <vt:variant>
        <vt:lpwstr/>
      </vt:variant>
      <vt:variant>
        <vt:i4>2818157</vt:i4>
      </vt:variant>
      <vt:variant>
        <vt:i4>1626</vt:i4>
      </vt:variant>
      <vt:variant>
        <vt:i4>0</vt:i4>
      </vt:variant>
      <vt:variant>
        <vt:i4>5</vt:i4>
      </vt:variant>
      <vt:variant>
        <vt:lpwstr>http://www.leapfroggroup.org/survey-materials/data-accuracy</vt:lpwstr>
      </vt:variant>
      <vt:variant>
        <vt:lpwstr/>
      </vt:variant>
      <vt:variant>
        <vt:i4>2818157</vt:i4>
      </vt:variant>
      <vt:variant>
        <vt:i4>1623</vt:i4>
      </vt:variant>
      <vt:variant>
        <vt:i4>0</vt:i4>
      </vt:variant>
      <vt:variant>
        <vt:i4>5</vt:i4>
      </vt:variant>
      <vt:variant>
        <vt:lpwstr>http://www.leapfroggroup.org/survey-materials/data-accuracy</vt:lpwstr>
      </vt:variant>
      <vt:variant>
        <vt:lpwstr/>
      </vt:variant>
      <vt:variant>
        <vt:i4>524313</vt:i4>
      </vt:variant>
      <vt:variant>
        <vt:i4>1620</vt:i4>
      </vt:variant>
      <vt:variant>
        <vt:i4>0</vt:i4>
      </vt:variant>
      <vt:variant>
        <vt:i4>5</vt:i4>
      </vt:variant>
      <vt:variant>
        <vt:lpwstr/>
      </vt:variant>
      <vt:variant>
        <vt:lpwstr>_Verifying_Submission</vt:lpwstr>
      </vt:variant>
      <vt:variant>
        <vt:i4>786496</vt:i4>
      </vt:variant>
      <vt:variant>
        <vt:i4>1617</vt:i4>
      </vt:variant>
      <vt:variant>
        <vt:i4>0</vt:i4>
      </vt:variant>
      <vt:variant>
        <vt:i4>5</vt:i4>
      </vt:variant>
      <vt:variant>
        <vt:lpwstr>https://www.leapfroggroup.org/survey-materials/data-accuracy</vt:lpwstr>
      </vt:variant>
      <vt:variant>
        <vt:lpwstr/>
      </vt:variant>
      <vt:variant>
        <vt:i4>786496</vt:i4>
      </vt:variant>
      <vt:variant>
        <vt:i4>1614</vt:i4>
      </vt:variant>
      <vt:variant>
        <vt:i4>0</vt:i4>
      </vt:variant>
      <vt:variant>
        <vt:i4>5</vt:i4>
      </vt:variant>
      <vt:variant>
        <vt:lpwstr>https://www.leapfroggroup.org/survey-materials/data-accuracy</vt:lpwstr>
      </vt:variant>
      <vt:variant>
        <vt:lpwstr/>
      </vt:variant>
      <vt:variant>
        <vt:i4>3473440</vt:i4>
      </vt:variant>
      <vt:variant>
        <vt:i4>1611</vt:i4>
      </vt:variant>
      <vt:variant>
        <vt:i4>0</vt:i4>
      </vt:variant>
      <vt:variant>
        <vt:i4>5</vt:i4>
      </vt:variant>
      <vt:variant>
        <vt:lpwstr>http://www.leapfroggroup.org/survey-materials/deadlines</vt:lpwstr>
      </vt:variant>
      <vt:variant>
        <vt:lpwstr/>
      </vt:variant>
      <vt:variant>
        <vt:i4>2359343</vt:i4>
      </vt:variant>
      <vt:variant>
        <vt:i4>1608</vt:i4>
      </vt:variant>
      <vt:variant>
        <vt:i4>0</vt:i4>
      </vt:variant>
      <vt:variant>
        <vt:i4>5</vt:i4>
      </vt:variant>
      <vt:variant>
        <vt:lpwstr>https://ratings.leapfroggroup.org/</vt:lpwstr>
      </vt:variant>
      <vt:variant>
        <vt:lpwstr/>
      </vt:variant>
      <vt:variant>
        <vt:i4>2359343</vt:i4>
      </vt:variant>
      <vt:variant>
        <vt:i4>1605</vt:i4>
      </vt:variant>
      <vt:variant>
        <vt:i4>0</vt:i4>
      </vt:variant>
      <vt:variant>
        <vt:i4>5</vt:i4>
      </vt:variant>
      <vt:variant>
        <vt:lpwstr>https://ratings.leapfroggroup.org/</vt:lpwstr>
      </vt:variant>
      <vt:variant>
        <vt:lpwstr/>
      </vt:variant>
      <vt:variant>
        <vt:i4>7733334</vt:i4>
      </vt:variant>
      <vt:variant>
        <vt:i4>1602</vt:i4>
      </vt:variant>
      <vt:variant>
        <vt:i4>0</vt:i4>
      </vt:variant>
      <vt:variant>
        <vt:i4>5</vt:i4>
      </vt:variant>
      <vt:variant>
        <vt:lpwstr>https://theleapfroggroup.qualtrics.com/jfe/form/SV_0fkafQ61FWboZp4</vt:lpwstr>
      </vt:variant>
      <vt:variant>
        <vt:lpwstr/>
      </vt:variant>
      <vt:variant>
        <vt:i4>4194318</vt:i4>
      </vt:variant>
      <vt:variant>
        <vt:i4>1599</vt:i4>
      </vt:variant>
      <vt:variant>
        <vt:i4>0</vt:i4>
      </vt:variant>
      <vt:variant>
        <vt:i4>5</vt:i4>
      </vt:variant>
      <vt:variant>
        <vt:lpwstr>https://www.leapfroggroup.org/survey-materials/updating-your-hospital-survey</vt:lpwstr>
      </vt:variant>
      <vt:variant>
        <vt:lpwstr/>
      </vt:variant>
      <vt:variant>
        <vt:i4>2818157</vt:i4>
      </vt:variant>
      <vt:variant>
        <vt:i4>1596</vt:i4>
      </vt:variant>
      <vt:variant>
        <vt:i4>0</vt:i4>
      </vt:variant>
      <vt:variant>
        <vt:i4>5</vt:i4>
      </vt:variant>
      <vt:variant>
        <vt:lpwstr>http://www.leapfroggroup.org/survey-materials/data-accuracy</vt:lpwstr>
      </vt:variant>
      <vt:variant>
        <vt:lpwstr/>
      </vt:variant>
      <vt:variant>
        <vt:i4>7012385</vt:i4>
      </vt:variant>
      <vt:variant>
        <vt:i4>1593</vt:i4>
      </vt:variant>
      <vt:variant>
        <vt:i4>0</vt:i4>
      </vt:variant>
      <vt:variant>
        <vt:i4>5</vt:i4>
      </vt:variant>
      <vt:variant>
        <vt:lpwstr>http://leapfroggroup.org/survey-materials/prepare-cpoe-tool</vt:lpwstr>
      </vt:variant>
      <vt:variant>
        <vt:lpwstr/>
      </vt:variant>
      <vt:variant>
        <vt:i4>2359343</vt:i4>
      </vt:variant>
      <vt:variant>
        <vt:i4>1590</vt:i4>
      </vt:variant>
      <vt:variant>
        <vt:i4>0</vt:i4>
      </vt:variant>
      <vt:variant>
        <vt:i4>5</vt:i4>
      </vt:variant>
      <vt:variant>
        <vt:lpwstr>https://ratings.leapfroggroup.org/</vt:lpwstr>
      </vt:variant>
      <vt:variant>
        <vt:lpwstr/>
      </vt:variant>
      <vt:variant>
        <vt:i4>2359343</vt:i4>
      </vt:variant>
      <vt:variant>
        <vt:i4>1587</vt:i4>
      </vt:variant>
      <vt:variant>
        <vt:i4>0</vt:i4>
      </vt:variant>
      <vt:variant>
        <vt:i4>5</vt:i4>
      </vt:variant>
      <vt:variant>
        <vt:lpwstr>https://ratings.leapfroggroup.org/</vt:lpwstr>
      </vt:variant>
      <vt:variant>
        <vt:lpwstr/>
      </vt:variant>
      <vt:variant>
        <vt:i4>2031697</vt:i4>
      </vt:variant>
      <vt:variant>
        <vt:i4>1584</vt:i4>
      </vt:variant>
      <vt:variant>
        <vt:i4>0</vt:i4>
      </vt:variant>
      <vt:variant>
        <vt:i4>5</vt:i4>
      </vt:variant>
      <vt:variant>
        <vt:lpwstr>https://survey.leapfroggroup.org/</vt:lpwstr>
      </vt:variant>
      <vt:variant>
        <vt:lpwstr/>
      </vt:variant>
      <vt:variant>
        <vt:i4>3538982</vt:i4>
      </vt:variant>
      <vt:variant>
        <vt:i4>1581</vt:i4>
      </vt:variant>
      <vt:variant>
        <vt:i4>0</vt:i4>
      </vt:variant>
      <vt:variant>
        <vt:i4>5</vt:i4>
      </vt:variant>
      <vt:variant>
        <vt:lpwstr>https://www.leapfroggroup.org/survey-materials/scoring-and-results</vt:lpwstr>
      </vt:variant>
      <vt:variant>
        <vt:lpwstr/>
      </vt:variant>
      <vt:variant>
        <vt:i4>2818157</vt:i4>
      </vt:variant>
      <vt:variant>
        <vt:i4>1578</vt:i4>
      </vt:variant>
      <vt:variant>
        <vt:i4>0</vt:i4>
      </vt:variant>
      <vt:variant>
        <vt:i4>5</vt:i4>
      </vt:variant>
      <vt:variant>
        <vt:lpwstr>http://www.leapfroggroup.org/survey-materials/data-accuracy</vt:lpwstr>
      </vt:variant>
      <vt:variant>
        <vt:lpwstr/>
      </vt:variant>
      <vt:variant>
        <vt:i4>1245195</vt:i4>
      </vt:variant>
      <vt:variant>
        <vt:i4>1575</vt:i4>
      </vt:variant>
      <vt:variant>
        <vt:i4>0</vt:i4>
      </vt:variant>
      <vt:variant>
        <vt:i4>5</vt:i4>
      </vt:variant>
      <vt:variant>
        <vt:lpwstr>http://leapfroggroup.org/survey-materials/get-started</vt:lpwstr>
      </vt:variant>
      <vt:variant>
        <vt:lpwstr/>
      </vt:variant>
      <vt:variant>
        <vt:i4>2031697</vt:i4>
      </vt:variant>
      <vt:variant>
        <vt:i4>1572</vt:i4>
      </vt:variant>
      <vt:variant>
        <vt:i4>0</vt:i4>
      </vt:variant>
      <vt:variant>
        <vt:i4>5</vt:i4>
      </vt:variant>
      <vt:variant>
        <vt:lpwstr>https://survey.leapfroggroup.org/</vt:lpwstr>
      </vt:variant>
      <vt:variant>
        <vt:lpwstr/>
      </vt:variant>
      <vt:variant>
        <vt:i4>1245195</vt:i4>
      </vt:variant>
      <vt:variant>
        <vt:i4>1569</vt:i4>
      </vt:variant>
      <vt:variant>
        <vt:i4>0</vt:i4>
      </vt:variant>
      <vt:variant>
        <vt:i4>5</vt:i4>
      </vt:variant>
      <vt:variant>
        <vt:lpwstr>http://leapfroggroup.org/survey-materials/get-started</vt:lpwstr>
      </vt:variant>
      <vt:variant>
        <vt:lpwstr/>
      </vt:variant>
      <vt:variant>
        <vt:i4>2818157</vt:i4>
      </vt:variant>
      <vt:variant>
        <vt:i4>1566</vt:i4>
      </vt:variant>
      <vt:variant>
        <vt:i4>0</vt:i4>
      </vt:variant>
      <vt:variant>
        <vt:i4>5</vt:i4>
      </vt:variant>
      <vt:variant>
        <vt:lpwstr>http://www.leapfroggroup.org/survey-materials/data-accuracy</vt:lpwstr>
      </vt:variant>
      <vt:variant>
        <vt:lpwstr/>
      </vt:variant>
      <vt:variant>
        <vt:i4>3538982</vt:i4>
      </vt:variant>
      <vt:variant>
        <vt:i4>1563</vt:i4>
      </vt:variant>
      <vt:variant>
        <vt:i4>0</vt:i4>
      </vt:variant>
      <vt:variant>
        <vt:i4>5</vt:i4>
      </vt:variant>
      <vt:variant>
        <vt:lpwstr>https://www.leapfroggroup.org/survey-materials/scoring-and-results</vt:lpwstr>
      </vt:variant>
      <vt:variant>
        <vt:lpwstr/>
      </vt:variant>
      <vt:variant>
        <vt:i4>7012472</vt:i4>
      </vt:variant>
      <vt:variant>
        <vt:i4>1560</vt:i4>
      </vt:variant>
      <vt:variant>
        <vt:i4>0</vt:i4>
      </vt:variant>
      <vt:variant>
        <vt:i4>5</vt:i4>
      </vt:variant>
      <vt:variant>
        <vt:lpwstr>http://www.leapfroggroup.org/survey-materials/prepare-cpoe-tool</vt:lpwstr>
      </vt:variant>
      <vt:variant>
        <vt:lpwstr/>
      </vt:variant>
      <vt:variant>
        <vt:i4>3473529</vt:i4>
      </vt:variant>
      <vt:variant>
        <vt:i4>1557</vt:i4>
      </vt:variant>
      <vt:variant>
        <vt:i4>0</vt:i4>
      </vt:variant>
      <vt:variant>
        <vt:i4>5</vt:i4>
      </vt:variant>
      <vt:variant>
        <vt:lpwstr>http://leapfroggroup.org/survey-materials/deadlines</vt:lpwstr>
      </vt:variant>
      <vt:variant>
        <vt:lpwstr/>
      </vt:variant>
      <vt:variant>
        <vt:i4>3014776</vt:i4>
      </vt:variant>
      <vt:variant>
        <vt:i4>1554</vt:i4>
      </vt:variant>
      <vt:variant>
        <vt:i4>0</vt:i4>
      </vt:variant>
      <vt:variant>
        <vt:i4>5</vt:i4>
      </vt:variant>
      <vt:variant>
        <vt:lpwstr>https://www.leapfroggroup.org/survey-materials/get-started</vt:lpwstr>
      </vt:variant>
      <vt:variant>
        <vt:lpwstr/>
      </vt:variant>
      <vt:variant>
        <vt:i4>1179658</vt:i4>
      </vt:variant>
      <vt:variant>
        <vt:i4>1551</vt:i4>
      </vt:variant>
      <vt:variant>
        <vt:i4>0</vt:i4>
      </vt:variant>
      <vt:variant>
        <vt:i4>5</vt:i4>
      </vt:variant>
      <vt:variant>
        <vt:lpwstr>https://survey.leapfroggroup.org/login?destination=dashboard</vt:lpwstr>
      </vt:variant>
      <vt:variant>
        <vt:lpwstr/>
      </vt:variant>
      <vt:variant>
        <vt:i4>7929964</vt:i4>
      </vt:variant>
      <vt:variant>
        <vt:i4>1548</vt:i4>
      </vt:variant>
      <vt:variant>
        <vt:i4>0</vt:i4>
      </vt:variant>
      <vt:variant>
        <vt:i4>5</vt:i4>
      </vt:variant>
      <vt:variant>
        <vt:lpwstr>https://www.leapfroggroup.org/survey-materials/review-nhsn-instructions</vt:lpwstr>
      </vt:variant>
      <vt:variant>
        <vt:lpwstr/>
      </vt:variant>
      <vt:variant>
        <vt:i4>6750258</vt:i4>
      </vt:variant>
      <vt:variant>
        <vt:i4>1545</vt:i4>
      </vt:variant>
      <vt:variant>
        <vt:i4>0</vt:i4>
      </vt:variant>
      <vt:variant>
        <vt:i4>5</vt:i4>
      </vt:variant>
      <vt:variant>
        <vt:lpwstr>http://www.leapfroggroup.org/survey-materials/survey-and-cpoe-materials</vt:lpwstr>
      </vt:variant>
      <vt:variant>
        <vt:lpwstr/>
      </vt:variant>
      <vt:variant>
        <vt:i4>6750258</vt:i4>
      </vt:variant>
      <vt:variant>
        <vt:i4>1542</vt:i4>
      </vt:variant>
      <vt:variant>
        <vt:i4>0</vt:i4>
      </vt:variant>
      <vt:variant>
        <vt:i4>5</vt:i4>
      </vt:variant>
      <vt:variant>
        <vt:lpwstr>http://www.leapfroggroup.org/survey-materials/survey-and-cpoe-materials</vt:lpwstr>
      </vt:variant>
      <vt:variant>
        <vt:lpwstr/>
      </vt:variant>
      <vt:variant>
        <vt:i4>7798818</vt:i4>
      </vt:variant>
      <vt:variant>
        <vt:i4>1539</vt:i4>
      </vt:variant>
      <vt:variant>
        <vt:i4>0</vt:i4>
      </vt:variant>
      <vt:variant>
        <vt:i4>5</vt:i4>
      </vt:variant>
      <vt:variant>
        <vt:lpwstr>http://www.leapfroggroup.org/survey-materials/multi-campus-reporting-policy</vt:lpwstr>
      </vt:variant>
      <vt:variant>
        <vt:lpwstr/>
      </vt:variant>
      <vt:variant>
        <vt:i4>4587533</vt:i4>
      </vt:variant>
      <vt:variant>
        <vt:i4>1536</vt:i4>
      </vt:variant>
      <vt:variant>
        <vt:i4>0</vt:i4>
      </vt:variant>
      <vt:variant>
        <vt:i4>5</vt:i4>
      </vt:variant>
      <vt:variant>
        <vt:lpwstr>http://www.leapfroggroup.org/survey-materials/get-hospital-security-code</vt:lpwstr>
      </vt:variant>
      <vt:variant>
        <vt:lpwstr/>
      </vt:variant>
      <vt:variant>
        <vt:i4>6422567</vt:i4>
      </vt:variant>
      <vt:variant>
        <vt:i4>1533</vt:i4>
      </vt:variant>
      <vt:variant>
        <vt:i4>0</vt:i4>
      </vt:variant>
      <vt:variant>
        <vt:i4>5</vt:i4>
      </vt:variant>
      <vt:variant>
        <vt:lpwstr>https://leapfroggroup.org/hospital</vt:lpwstr>
      </vt:variant>
      <vt:variant>
        <vt:lpwstr/>
      </vt:variant>
      <vt:variant>
        <vt:i4>4194318</vt:i4>
      </vt:variant>
      <vt:variant>
        <vt:i4>1530</vt:i4>
      </vt:variant>
      <vt:variant>
        <vt:i4>0</vt:i4>
      </vt:variant>
      <vt:variant>
        <vt:i4>5</vt:i4>
      </vt:variant>
      <vt:variant>
        <vt:lpwstr>https://www.leapfroggroup.org/survey-materials/updating-your-hospital-survey</vt:lpwstr>
      </vt:variant>
      <vt:variant>
        <vt:lpwstr/>
      </vt:variant>
      <vt:variant>
        <vt:i4>4718695</vt:i4>
      </vt:variant>
      <vt:variant>
        <vt:i4>1527</vt:i4>
      </vt:variant>
      <vt:variant>
        <vt:i4>0</vt:i4>
      </vt:variant>
      <vt:variant>
        <vt:i4>5</vt:i4>
      </vt:variant>
      <vt:variant>
        <vt:lpwstr/>
      </vt:variant>
      <vt:variant>
        <vt:lpwstr>_Updating_or_Correcting</vt:lpwstr>
      </vt:variant>
      <vt:variant>
        <vt:i4>2359343</vt:i4>
      </vt:variant>
      <vt:variant>
        <vt:i4>1524</vt:i4>
      </vt:variant>
      <vt:variant>
        <vt:i4>0</vt:i4>
      </vt:variant>
      <vt:variant>
        <vt:i4>5</vt:i4>
      </vt:variant>
      <vt:variant>
        <vt:lpwstr>https://ratings.leapfroggroup.org/</vt:lpwstr>
      </vt:variant>
      <vt:variant>
        <vt:lpwstr/>
      </vt:variant>
      <vt:variant>
        <vt:i4>7274612</vt:i4>
      </vt:variant>
      <vt:variant>
        <vt:i4>1521</vt:i4>
      </vt:variant>
      <vt:variant>
        <vt:i4>0</vt:i4>
      </vt:variant>
      <vt:variant>
        <vt:i4>5</vt:i4>
      </vt:variant>
      <vt:variant>
        <vt:lpwstr/>
      </vt:variant>
      <vt:variant>
        <vt:lpwstr>TOC</vt:lpwstr>
      </vt:variant>
      <vt:variant>
        <vt:i4>7012385</vt:i4>
      </vt:variant>
      <vt:variant>
        <vt:i4>1518</vt:i4>
      </vt:variant>
      <vt:variant>
        <vt:i4>0</vt:i4>
      </vt:variant>
      <vt:variant>
        <vt:i4>5</vt:i4>
      </vt:variant>
      <vt:variant>
        <vt:lpwstr>http://leapfroggroup.org/survey-materials/prepare-cpoe-tool</vt:lpwstr>
      </vt:variant>
      <vt:variant>
        <vt:lpwstr/>
      </vt:variant>
      <vt:variant>
        <vt:i4>1114169</vt:i4>
      </vt:variant>
      <vt:variant>
        <vt:i4>1515</vt:i4>
      </vt:variant>
      <vt:variant>
        <vt:i4>0</vt:i4>
      </vt:variant>
      <vt:variant>
        <vt:i4>5</vt:i4>
      </vt:variant>
      <vt:variant>
        <vt:lpwstr/>
      </vt:variant>
      <vt:variant>
        <vt:lpwstr>_Section_9:_Outpatient</vt:lpwstr>
      </vt:variant>
      <vt:variant>
        <vt:i4>6357059</vt:i4>
      </vt:variant>
      <vt:variant>
        <vt:i4>1512</vt:i4>
      </vt:variant>
      <vt:variant>
        <vt:i4>0</vt:i4>
      </vt:variant>
      <vt:variant>
        <vt:i4>5</vt:i4>
      </vt:variant>
      <vt:variant>
        <vt:lpwstr/>
      </vt:variant>
      <vt:variant>
        <vt:lpwstr>_Section_8:_Pediatric</vt:lpwstr>
      </vt:variant>
      <vt:variant>
        <vt:i4>7929964</vt:i4>
      </vt:variant>
      <vt:variant>
        <vt:i4>1509</vt:i4>
      </vt:variant>
      <vt:variant>
        <vt:i4>0</vt:i4>
      </vt:variant>
      <vt:variant>
        <vt:i4>5</vt:i4>
      </vt:variant>
      <vt:variant>
        <vt:lpwstr>https://www.leapfroggroup.org/survey-materials/review-nhsn-instructions</vt:lpwstr>
      </vt:variant>
      <vt:variant>
        <vt:lpwstr/>
      </vt:variant>
      <vt:variant>
        <vt:i4>7405646</vt:i4>
      </vt:variant>
      <vt:variant>
        <vt:i4>1506</vt:i4>
      </vt:variant>
      <vt:variant>
        <vt:i4>0</vt:i4>
      </vt:variant>
      <vt:variant>
        <vt:i4>5</vt:i4>
      </vt:variant>
      <vt:variant>
        <vt:lpwstr/>
      </vt:variant>
      <vt:variant>
        <vt:lpwstr>_Section_7:_Managing</vt:lpwstr>
      </vt:variant>
      <vt:variant>
        <vt:i4>1572901</vt:i4>
      </vt:variant>
      <vt:variant>
        <vt:i4>1503</vt:i4>
      </vt:variant>
      <vt:variant>
        <vt:i4>0</vt:i4>
      </vt:variant>
      <vt:variant>
        <vt:i4>5</vt:i4>
      </vt:variant>
      <vt:variant>
        <vt:lpwstr/>
      </vt:variant>
      <vt:variant>
        <vt:lpwstr>_Section_6:_Patient</vt:lpwstr>
      </vt:variant>
      <vt:variant>
        <vt:i4>1966125</vt:i4>
      </vt:variant>
      <vt:variant>
        <vt:i4>1500</vt:i4>
      </vt:variant>
      <vt:variant>
        <vt:i4>0</vt:i4>
      </vt:variant>
      <vt:variant>
        <vt:i4>5</vt:i4>
      </vt:variant>
      <vt:variant>
        <vt:lpwstr/>
      </vt:variant>
      <vt:variant>
        <vt:lpwstr>_Section_5:_ICU</vt:lpwstr>
      </vt:variant>
      <vt:variant>
        <vt:i4>7995512</vt:i4>
      </vt:variant>
      <vt:variant>
        <vt:i4>1497</vt:i4>
      </vt:variant>
      <vt:variant>
        <vt:i4>0</vt:i4>
      </vt:variant>
      <vt:variant>
        <vt:i4>5</vt:i4>
      </vt:variant>
      <vt:variant>
        <vt:lpwstr>https://survey.leapfroggroup.org/login</vt:lpwstr>
      </vt:variant>
      <vt:variant>
        <vt:lpwstr/>
      </vt:variant>
      <vt:variant>
        <vt:i4>6422598</vt:i4>
      </vt:variant>
      <vt:variant>
        <vt:i4>1494</vt:i4>
      </vt:variant>
      <vt:variant>
        <vt:i4>0</vt:i4>
      </vt:variant>
      <vt:variant>
        <vt:i4>5</vt:i4>
      </vt:variant>
      <vt:variant>
        <vt:lpwstr/>
      </vt:variant>
      <vt:variant>
        <vt:lpwstr>_Section_4:_Maternity</vt:lpwstr>
      </vt:variant>
      <vt:variant>
        <vt:i4>7536720</vt:i4>
      </vt:variant>
      <vt:variant>
        <vt:i4>1491</vt:i4>
      </vt:variant>
      <vt:variant>
        <vt:i4>0</vt:i4>
      </vt:variant>
      <vt:variant>
        <vt:i4>5</vt:i4>
      </vt:variant>
      <vt:variant>
        <vt:lpwstr/>
      </vt:variant>
      <vt:variant>
        <vt:lpwstr>_Section_3:_Adult</vt:lpwstr>
      </vt:variant>
      <vt:variant>
        <vt:i4>1048629</vt:i4>
      </vt:variant>
      <vt:variant>
        <vt:i4>1488</vt:i4>
      </vt:variant>
      <vt:variant>
        <vt:i4>0</vt:i4>
      </vt:variant>
      <vt:variant>
        <vt:i4>5</vt:i4>
      </vt:variant>
      <vt:variant>
        <vt:lpwstr/>
      </vt:variant>
      <vt:variant>
        <vt:lpwstr>_Section_2:_Medication</vt:lpwstr>
      </vt:variant>
      <vt:variant>
        <vt:i4>2031653</vt:i4>
      </vt:variant>
      <vt:variant>
        <vt:i4>1485</vt:i4>
      </vt:variant>
      <vt:variant>
        <vt:i4>0</vt:i4>
      </vt:variant>
      <vt:variant>
        <vt:i4>5</vt:i4>
      </vt:variant>
      <vt:variant>
        <vt:lpwstr/>
      </vt:variant>
      <vt:variant>
        <vt:lpwstr>_Section_1:_Patient</vt:lpwstr>
      </vt:variant>
      <vt:variant>
        <vt:i4>7274602</vt:i4>
      </vt:variant>
      <vt:variant>
        <vt:i4>1482</vt:i4>
      </vt:variant>
      <vt:variant>
        <vt:i4>0</vt:i4>
      </vt:variant>
      <vt:variant>
        <vt:i4>5</vt:i4>
      </vt:variant>
      <vt:variant>
        <vt:lpwstr>https://survey.leapfroggroup.org/dashboard</vt:lpwstr>
      </vt:variant>
      <vt:variant>
        <vt:lpwstr/>
      </vt:variant>
      <vt:variant>
        <vt:i4>3407918</vt:i4>
      </vt:variant>
      <vt:variant>
        <vt:i4>1479</vt:i4>
      </vt:variant>
      <vt:variant>
        <vt:i4>0</vt:i4>
      </vt:variant>
      <vt:variant>
        <vt:i4>5</vt:i4>
      </vt:variant>
      <vt:variant>
        <vt:lpwstr/>
      </vt:variant>
      <vt:variant>
        <vt:lpwstr>_Hospital_Profile</vt:lpwstr>
      </vt:variant>
      <vt:variant>
        <vt:i4>5963779</vt:i4>
      </vt:variant>
      <vt:variant>
        <vt:i4>1476</vt:i4>
      </vt:variant>
      <vt:variant>
        <vt:i4>0</vt:i4>
      </vt:variant>
      <vt:variant>
        <vt:i4>5</vt:i4>
      </vt:variant>
      <vt:variant>
        <vt:lpwstr>http://www.leapfroggroup.org/survey-materials/survey-overview</vt:lpwstr>
      </vt:variant>
      <vt:variant>
        <vt:lpwstr/>
      </vt:variant>
      <vt:variant>
        <vt:i4>3473440</vt:i4>
      </vt:variant>
      <vt:variant>
        <vt:i4>1473</vt:i4>
      </vt:variant>
      <vt:variant>
        <vt:i4>0</vt:i4>
      </vt:variant>
      <vt:variant>
        <vt:i4>5</vt:i4>
      </vt:variant>
      <vt:variant>
        <vt:lpwstr>http://www.leapfroggroup.org/survey-materials/deadlines</vt:lpwstr>
      </vt:variant>
      <vt:variant>
        <vt:lpwstr/>
      </vt:variant>
      <vt:variant>
        <vt:i4>2818157</vt:i4>
      </vt:variant>
      <vt:variant>
        <vt:i4>1470</vt:i4>
      </vt:variant>
      <vt:variant>
        <vt:i4>0</vt:i4>
      </vt:variant>
      <vt:variant>
        <vt:i4>5</vt:i4>
      </vt:variant>
      <vt:variant>
        <vt:lpwstr>http://www.leapfroggroup.org/survey-materials/data-accuracy</vt:lpwstr>
      </vt:variant>
      <vt:variant>
        <vt:lpwstr/>
      </vt:variant>
      <vt:variant>
        <vt:i4>4784215</vt:i4>
      </vt:variant>
      <vt:variant>
        <vt:i4>1467</vt:i4>
      </vt:variant>
      <vt:variant>
        <vt:i4>0</vt:i4>
      </vt:variant>
      <vt:variant>
        <vt:i4>5</vt:i4>
      </vt:variant>
      <vt:variant>
        <vt:lpwstr>http://www.hospitalsafetygrade.org/for-hospitals/updates-and-timelines-for-hospitals</vt:lpwstr>
      </vt:variant>
      <vt:variant>
        <vt:lpwstr/>
      </vt:variant>
      <vt:variant>
        <vt:i4>2621566</vt:i4>
      </vt:variant>
      <vt:variant>
        <vt:i4>1464</vt:i4>
      </vt:variant>
      <vt:variant>
        <vt:i4>0</vt:i4>
      </vt:variant>
      <vt:variant>
        <vt:i4>5</vt:i4>
      </vt:variant>
      <vt:variant>
        <vt:lpwstr>https://www.leapfroggroup.org/survey-materials/get-help</vt:lpwstr>
      </vt:variant>
      <vt:variant>
        <vt:lpwstr/>
      </vt:variant>
      <vt:variant>
        <vt:i4>1966154</vt:i4>
      </vt:variant>
      <vt:variant>
        <vt:i4>1461</vt:i4>
      </vt:variant>
      <vt:variant>
        <vt:i4>0</vt:i4>
      </vt:variant>
      <vt:variant>
        <vt:i4>5</vt:i4>
      </vt:variant>
      <vt:variant>
        <vt:lpwstr>https://leapfroghelpdesk.zendesk.com/</vt:lpwstr>
      </vt:variant>
      <vt:variant>
        <vt:lpwstr/>
      </vt:variant>
      <vt:variant>
        <vt:i4>2359343</vt:i4>
      </vt:variant>
      <vt:variant>
        <vt:i4>1458</vt:i4>
      </vt:variant>
      <vt:variant>
        <vt:i4>0</vt:i4>
      </vt:variant>
      <vt:variant>
        <vt:i4>5</vt:i4>
      </vt:variant>
      <vt:variant>
        <vt:lpwstr>https://ratings.leapfroggroup.org/</vt:lpwstr>
      </vt:variant>
      <vt:variant>
        <vt:lpwstr/>
      </vt:variant>
      <vt:variant>
        <vt:i4>7929964</vt:i4>
      </vt:variant>
      <vt:variant>
        <vt:i4>1455</vt:i4>
      </vt:variant>
      <vt:variant>
        <vt:i4>0</vt:i4>
      </vt:variant>
      <vt:variant>
        <vt:i4>5</vt:i4>
      </vt:variant>
      <vt:variant>
        <vt:lpwstr>https://www.leapfroggroup.org/survey-materials/review-nhsn-instructions</vt:lpwstr>
      </vt:variant>
      <vt:variant>
        <vt:lpwstr/>
      </vt:variant>
      <vt:variant>
        <vt:i4>6946875</vt:i4>
      </vt:variant>
      <vt:variant>
        <vt:i4>1452</vt:i4>
      </vt:variant>
      <vt:variant>
        <vt:i4>0</vt:i4>
      </vt:variant>
      <vt:variant>
        <vt:i4>5</vt:i4>
      </vt:variant>
      <vt:variant>
        <vt:lpwstr>https://www.leapfroggroup.org/ratings-reports/top-hospitals</vt:lpwstr>
      </vt:variant>
      <vt:variant>
        <vt:lpwstr/>
      </vt:variant>
      <vt:variant>
        <vt:i4>7798907</vt:i4>
      </vt:variant>
      <vt:variant>
        <vt:i4>1449</vt:i4>
      </vt:variant>
      <vt:variant>
        <vt:i4>0</vt:i4>
      </vt:variant>
      <vt:variant>
        <vt:i4>5</vt:i4>
      </vt:variant>
      <vt:variant>
        <vt:lpwstr>http://leapfroggroup.org/survey-materials/multi-campus-reporting-policy</vt:lpwstr>
      </vt:variant>
      <vt:variant>
        <vt:lpwstr/>
      </vt:variant>
      <vt:variant>
        <vt:i4>6422567</vt:i4>
      </vt:variant>
      <vt:variant>
        <vt:i4>1446</vt:i4>
      </vt:variant>
      <vt:variant>
        <vt:i4>0</vt:i4>
      </vt:variant>
      <vt:variant>
        <vt:i4>5</vt:i4>
      </vt:variant>
      <vt:variant>
        <vt:lpwstr>https://leapfroggroup.org/hospital</vt:lpwstr>
      </vt:variant>
      <vt:variant>
        <vt:lpwstr/>
      </vt:variant>
      <vt:variant>
        <vt:i4>6422567</vt:i4>
      </vt:variant>
      <vt:variant>
        <vt:i4>1443</vt:i4>
      </vt:variant>
      <vt:variant>
        <vt:i4>0</vt:i4>
      </vt:variant>
      <vt:variant>
        <vt:i4>5</vt:i4>
      </vt:variant>
      <vt:variant>
        <vt:lpwstr>https://leapfroggroup.org/hospital</vt:lpwstr>
      </vt:variant>
      <vt:variant>
        <vt:lpwstr/>
      </vt:variant>
      <vt:variant>
        <vt:i4>1900594</vt:i4>
      </vt:variant>
      <vt:variant>
        <vt:i4>1436</vt:i4>
      </vt:variant>
      <vt:variant>
        <vt:i4>0</vt:i4>
      </vt:variant>
      <vt:variant>
        <vt:i4>5</vt:i4>
      </vt:variant>
      <vt:variant>
        <vt:lpwstr/>
      </vt:variant>
      <vt:variant>
        <vt:lpwstr>_Toc218517999</vt:lpwstr>
      </vt:variant>
      <vt:variant>
        <vt:i4>1900594</vt:i4>
      </vt:variant>
      <vt:variant>
        <vt:i4>1430</vt:i4>
      </vt:variant>
      <vt:variant>
        <vt:i4>0</vt:i4>
      </vt:variant>
      <vt:variant>
        <vt:i4>5</vt:i4>
      </vt:variant>
      <vt:variant>
        <vt:lpwstr/>
      </vt:variant>
      <vt:variant>
        <vt:lpwstr>_Toc218517998</vt:lpwstr>
      </vt:variant>
      <vt:variant>
        <vt:i4>1900594</vt:i4>
      </vt:variant>
      <vt:variant>
        <vt:i4>1424</vt:i4>
      </vt:variant>
      <vt:variant>
        <vt:i4>0</vt:i4>
      </vt:variant>
      <vt:variant>
        <vt:i4>5</vt:i4>
      </vt:variant>
      <vt:variant>
        <vt:lpwstr/>
      </vt:variant>
      <vt:variant>
        <vt:lpwstr>_Toc218517997</vt:lpwstr>
      </vt:variant>
      <vt:variant>
        <vt:i4>1900594</vt:i4>
      </vt:variant>
      <vt:variant>
        <vt:i4>1418</vt:i4>
      </vt:variant>
      <vt:variant>
        <vt:i4>0</vt:i4>
      </vt:variant>
      <vt:variant>
        <vt:i4>5</vt:i4>
      </vt:variant>
      <vt:variant>
        <vt:lpwstr/>
      </vt:variant>
      <vt:variant>
        <vt:lpwstr>_Toc218517996</vt:lpwstr>
      </vt:variant>
      <vt:variant>
        <vt:i4>1900594</vt:i4>
      </vt:variant>
      <vt:variant>
        <vt:i4>1412</vt:i4>
      </vt:variant>
      <vt:variant>
        <vt:i4>0</vt:i4>
      </vt:variant>
      <vt:variant>
        <vt:i4>5</vt:i4>
      </vt:variant>
      <vt:variant>
        <vt:lpwstr/>
      </vt:variant>
      <vt:variant>
        <vt:lpwstr>_Toc218517995</vt:lpwstr>
      </vt:variant>
      <vt:variant>
        <vt:i4>1900594</vt:i4>
      </vt:variant>
      <vt:variant>
        <vt:i4>1406</vt:i4>
      </vt:variant>
      <vt:variant>
        <vt:i4>0</vt:i4>
      </vt:variant>
      <vt:variant>
        <vt:i4>5</vt:i4>
      </vt:variant>
      <vt:variant>
        <vt:lpwstr/>
      </vt:variant>
      <vt:variant>
        <vt:lpwstr>_Toc218517994</vt:lpwstr>
      </vt:variant>
      <vt:variant>
        <vt:i4>1900594</vt:i4>
      </vt:variant>
      <vt:variant>
        <vt:i4>1400</vt:i4>
      </vt:variant>
      <vt:variant>
        <vt:i4>0</vt:i4>
      </vt:variant>
      <vt:variant>
        <vt:i4>5</vt:i4>
      </vt:variant>
      <vt:variant>
        <vt:lpwstr/>
      </vt:variant>
      <vt:variant>
        <vt:lpwstr>_Toc218517993</vt:lpwstr>
      </vt:variant>
      <vt:variant>
        <vt:i4>1900594</vt:i4>
      </vt:variant>
      <vt:variant>
        <vt:i4>1394</vt:i4>
      </vt:variant>
      <vt:variant>
        <vt:i4>0</vt:i4>
      </vt:variant>
      <vt:variant>
        <vt:i4>5</vt:i4>
      </vt:variant>
      <vt:variant>
        <vt:lpwstr/>
      </vt:variant>
      <vt:variant>
        <vt:lpwstr>_Toc218517992</vt:lpwstr>
      </vt:variant>
      <vt:variant>
        <vt:i4>1900594</vt:i4>
      </vt:variant>
      <vt:variant>
        <vt:i4>1388</vt:i4>
      </vt:variant>
      <vt:variant>
        <vt:i4>0</vt:i4>
      </vt:variant>
      <vt:variant>
        <vt:i4>5</vt:i4>
      </vt:variant>
      <vt:variant>
        <vt:lpwstr/>
      </vt:variant>
      <vt:variant>
        <vt:lpwstr>_Toc218517991</vt:lpwstr>
      </vt:variant>
      <vt:variant>
        <vt:i4>1900594</vt:i4>
      </vt:variant>
      <vt:variant>
        <vt:i4>1382</vt:i4>
      </vt:variant>
      <vt:variant>
        <vt:i4>0</vt:i4>
      </vt:variant>
      <vt:variant>
        <vt:i4>5</vt:i4>
      </vt:variant>
      <vt:variant>
        <vt:lpwstr/>
      </vt:variant>
      <vt:variant>
        <vt:lpwstr>_Toc218517990</vt:lpwstr>
      </vt:variant>
      <vt:variant>
        <vt:i4>1835058</vt:i4>
      </vt:variant>
      <vt:variant>
        <vt:i4>1376</vt:i4>
      </vt:variant>
      <vt:variant>
        <vt:i4>0</vt:i4>
      </vt:variant>
      <vt:variant>
        <vt:i4>5</vt:i4>
      </vt:variant>
      <vt:variant>
        <vt:lpwstr/>
      </vt:variant>
      <vt:variant>
        <vt:lpwstr>_Toc218517989</vt:lpwstr>
      </vt:variant>
      <vt:variant>
        <vt:i4>1835058</vt:i4>
      </vt:variant>
      <vt:variant>
        <vt:i4>1370</vt:i4>
      </vt:variant>
      <vt:variant>
        <vt:i4>0</vt:i4>
      </vt:variant>
      <vt:variant>
        <vt:i4>5</vt:i4>
      </vt:variant>
      <vt:variant>
        <vt:lpwstr/>
      </vt:variant>
      <vt:variant>
        <vt:lpwstr>_Toc218517988</vt:lpwstr>
      </vt:variant>
      <vt:variant>
        <vt:i4>1835058</vt:i4>
      </vt:variant>
      <vt:variant>
        <vt:i4>1364</vt:i4>
      </vt:variant>
      <vt:variant>
        <vt:i4>0</vt:i4>
      </vt:variant>
      <vt:variant>
        <vt:i4>5</vt:i4>
      </vt:variant>
      <vt:variant>
        <vt:lpwstr/>
      </vt:variant>
      <vt:variant>
        <vt:lpwstr>_Toc218517987</vt:lpwstr>
      </vt:variant>
      <vt:variant>
        <vt:i4>1835058</vt:i4>
      </vt:variant>
      <vt:variant>
        <vt:i4>1358</vt:i4>
      </vt:variant>
      <vt:variant>
        <vt:i4>0</vt:i4>
      </vt:variant>
      <vt:variant>
        <vt:i4>5</vt:i4>
      </vt:variant>
      <vt:variant>
        <vt:lpwstr/>
      </vt:variant>
      <vt:variant>
        <vt:lpwstr>_Toc218517986</vt:lpwstr>
      </vt:variant>
      <vt:variant>
        <vt:i4>1835058</vt:i4>
      </vt:variant>
      <vt:variant>
        <vt:i4>1352</vt:i4>
      </vt:variant>
      <vt:variant>
        <vt:i4>0</vt:i4>
      </vt:variant>
      <vt:variant>
        <vt:i4>5</vt:i4>
      </vt:variant>
      <vt:variant>
        <vt:lpwstr/>
      </vt:variant>
      <vt:variant>
        <vt:lpwstr>_Toc218517985</vt:lpwstr>
      </vt:variant>
      <vt:variant>
        <vt:i4>1835058</vt:i4>
      </vt:variant>
      <vt:variant>
        <vt:i4>1346</vt:i4>
      </vt:variant>
      <vt:variant>
        <vt:i4>0</vt:i4>
      </vt:variant>
      <vt:variant>
        <vt:i4>5</vt:i4>
      </vt:variant>
      <vt:variant>
        <vt:lpwstr/>
      </vt:variant>
      <vt:variant>
        <vt:lpwstr>_Toc218517984</vt:lpwstr>
      </vt:variant>
      <vt:variant>
        <vt:i4>1835058</vt:i4>
      </vt:variant>
      <vt:variant>
        <vt:i4>1340</vt:i4>
      </vt:variant>
      <vt:variant>
        <vt:i4>0</vt:i4>
      </vt:variant>
      <vt:variant>
        <vt:i4>5</vt:i4>
      </vt:variant>
      <vt:variant>
        <vt:lpwstr/>
      </vt:variant>
      <vt:variant>
        <vt:lpwstr>_Toc218517983</vt:lpwstr>
      </vt:variant>
      <vt:variant>
        <vt:i4>1835058</vt:i4>
      </vt:variant>
      <vt:variant>
        <vt:i4>1334</vt:i4>
      </vt:variant>
      <vt:variant>
        <vt:i4>0</vt:i4>
      </vt:variant>
      <vt:variant>
        <vt:i4>5</vt:i4>
      </vt:variant>
      <vt:variant>
        <vt:lpwstr/>
      </vt:variant>
      <vt:variant>
        <vt:lpwstr>_Toc218517982</vt:lpwstr>
      </vt:variant>
      <vt:variant>
        <vt:i4>1835058</vt:i4>
      </vt:variant>
      <vt:variant>
        <vt:i4>1328</vt:i4>
      </vt:variant>
      <vt:variant>
        <vt:i4>0</vt:i4>
      </vt:variant>
      <vt:variant>
        <vt:i4>5</vt:i4>
      </vt:variant>
      <vt:variant>
        <vt:lpwstr/>
      </vt:variant>
      <vt:variant>
        <vt:lpwstr>_Toc218517981</vt:lpwstr>
      </vt:variant>
      <vt:variant>
        <vt:i4>1835058</vt:i4>
      </vt:variant>
      <vt:variant>
        <vt:i4>1322</vt:i4>
      </vt:variant>
      <vt:variant>
        <vt:i4>0</vt:i4>
      </vt:variant>
      <vt:variant>
        <vt:i4>5</vt:i4>
      </vt:variant>
      <vt:variant>
        <vt:lpwstr/>
      </vt:variant>
      <vt:variant>
        <vt:lpwstr>_Toc218517980</vt:lpwstr>
      </vt:variant>
      <vt:variant>
        <vt:i4>1245234</vt:i4>
      </vt:variant>
      <vt:variant>
        <vt:i4>1316</vt:i4>
      </vt:variant>
      <vt:variant>
        <vt:i4>0</vt:i4>
      </vt:variant>
      <vt:variant>
        <vt:i4>5</vt:i4>
      </vt:variant>
      <vt:variant>
        <vt:lpwstr/>
      </vt:variant>
      <vt:variant>
        <vt:lpwstr>_Toc218517979</vt:lpwstr>
      </vt:variant>
      <vt:variant>
        <vt:i4>1245234</vt:i4>
      </vt:variant>
      <vt:variant>
        <vt:i4>1310</vt:i4>
      </vt:variant>
      <vt:variant>
        <vt:i4>0</vt:i4>
      </vt:variant>
      <vt:variant>
        <vt:i4>5</vt:i4>
      </vt:variant>
      <vt:variant>
        <vt:lpwstr/>
      </vt:variant>
      <vt:variant>
        <vt:lpwstr>_Toc218517978</vt:lpwstr>
      </vt:variant>
      <vt:variant>
        <vt:i4>1245234</vt:i4>
      </vt:variant>
      <vt:variant>
        <vt:i4>1304</vt:i4>
      </vt:variant>
      <vt:variant>
        <vt:i4>0</vt:i4>
      </vt:variant>
      <vt:variant>
        <vt:i4>5</vt:i4>
      </vt:variant>
      <vt:variant>
        <vt:lpwstr/>
      </vt:variant>
      <vt:variant>
        <vt:lpwstr>_Toc218517977</vt:lpwstr>
      </vt:variant>
      <vt:variant>
        <vt:i4>1245234</vt:i4>
      </vt:variant>
      <vt:variant>
        <vt:i4>1298</vt:i4>
      </vt:variant>
      <vt:variant>
        <vt:i4>0</vt:i4>
      </vt:variant>
      <vt:variant>
        <vt:i4>5</vt:i4>
      </vt:variant>
      <vt:variant>
        <vt:lpwstr/>
      </vt:variant>
      <vt:variant>
        <vt:lpwstr>_Toc218517976</vt:lpwstr>
      </vt:variant>
      <vt:variant>
        <vt:i4>1245234</vt:i4>
      </vt:variant>
      <vt:variant>
        <vt:i4>1292</vt:i4>
      </vt:variant>
      <vt:variant>
        <vt:i4>0</vt:i4>
      </vt:variant>
      <vt:variant>
        <vt:i4>5</vt:i4>
      </vt:variant>
      <vt:variant>
        <vt:lpwstr/>
      </vt:variant>
      <vt:variant>
        <vt:lpwstr>_Toc218517975</vt:lpwstr>
      </vt:variant>
      <vt:variant>
        <vt:i4>1245234</vt:i4>
      </vt:variant>
      <vt:variant>
        <vt:i4>1286</vt:i4>
      </vt:variant>
      <vt:variant>
        <vt:i4>0</vt:i4>
      </vt:variant>
      <vt:variant>
        <vt:i4>5</vt:i4>
      </vt:variant>
      <vt:variant>
        <vt:lpwstr/>
      </vt:variant>
      <vt:variant>
        <vt:lpwstr>_Toc218517974</vt:lpwstr>
      </vt:variant>
      <vt:variant>
        <vt:i4>1245234</vt:i4>
      </vt:variant>
      <vt:variant>
        <vt:i4>1280</vt:i4>
      </vt:variant>
      <vt:variant>
        <vt:i4>0</vt:i4>
      </vt:variant>
      <vt:variant>
        <vt:i4>5</vt:i4>
      </vt:variant>
      <vt:variant>
        <vt:lpwstr/>
      </vt:variant>
      <vt:variant>
        <vt:lpwstr>_Toc218517973</vt:lpwstr>
      </vt:variant>
      <vt:variant>
        <vt:i4>1245234</vt:i4>
      </vt:variant>
      <vt:variant>
        <vt:i4>1274</vt:i4>
      </vt:variant>
      <vt:variant>
        <vt:i4>0</vt:i4>
      </vt:variant>
      <vt:variant>
        <vt:i4>5</vt:i4>
      </vt:variant>
      <vt:variant>
        <vt:lpwstr/>
      </vt:variant>
      <vt:variant>
        <vt:lpwstr>_Toc218517972</vt:lpwstr>
      </vt:variant>
      <vt:variant>
        <vt:i4>1245234</vt:i4>
      </vt:variant>
      <vt:variant>
        <vt:i4>1268</vt:i4>
      </vt:variant>
      <vt:variant>
        <vt:i4>0</vt:i4>
      </vt:variant>
      <vt:variant>
        <vt:i4>5</vt:i4>
      </vt:variant>
      <vt:variant>
        <vt:lpwstr/>
      </vt:variant>
      <vt:variant>
        <vt:lpwstr>_Toc218517971</vt:lpwstr>
      </vt:variant>
      <vt:variant>
        <vt:i4>1245234</vt:i4>
      </vt:variant>
      <vt:variant>
        <vt:i4>1262</vt:i4>
      </vt:variant>
      <vt:variant>
        <vt:i4>0</vt:i4>
      </vt:variant>
      <vt:variant>
        <vt:i4>5</vt:i4>
      </vt:variant>
      <vt:variant>
        <vt:lpwstr/>
      </vt:variant>
      <vt:variant>
        <vt:lpwstr>_Toc218517970</vt:lpwstr>
      </vt:variant>
      <vt:variant>
        <vt:i4>1179698</vt:i4>
      </vt:variant>
      <vt:variant>
        <vt:i4>1256</vt:i4>
      </vt:variant>
      <vt:variant>
        <vt:i4>0</vt:i4>
      </vt:variant>
      <vt:variant>
        <vt:i4>5</vt:i4>
      </vt:variant>
      <vt:variant>
        <vt:lpwstr/>
      </vt:variant>
      <vt:variant>
        <vt:lpwstr>_Toc218517969</vt:lpwstr>
      </vt:variant>
      <vt:variant>
        <vt:i4>1179698</vt:i4>
      </vt:variant>
      <vt:variant>
        <vt:i4>1250</vt:i4>
      </vt:variant>
      <vt:variant>
        <vt:i4>0</vt:i4>
      </vt:variant>
      <vt:variant>
        <vt:i4>5</vt:i4>
      </vt:variant>
      <vt:variant>
        <vt:lpwstr/>
      </vt:variant>
      <vt:variant>
        <vt:lpwstr>_Toc218517968</vt:lpwstr>
      </vt:variant>
      <vt:variant>
        <vt:i4>1179698</vt:i4>
      </vt:variant>
      <vt:variant>
        <vt:i4>1244</vt:i4>
      </vt:variant>
      <vt:variant>
        <vt:i4>0</vt:i4>
      </vt:variant>
      <vt:variant>
        <vt:i4>5</vt:i4>
      </vt:variant>
      <vt:variant>
        <vt:lpwstr/>
      </vt:variant>
      <vt:variant>
        <vt:lpwstr>_Toc218517967</vt:lpwstr>
      </vt:variant>
      <vt:variant>
        <vt:i4>1179698</vt:i4>
      </vt:variant>
      <vt:variant>
        <vt:i4>1238</vt:i4>
      </vt:variant>
      <vt:variant>
        <vt:i4>0</vt:i4>
      </vt:variant>
      <vt:variant>
        <vt:i4>5</vt:i4>
      </vt:variant>
      <vt:variant>
        <vt:lpwstr/>
      </vt:variant>
      <vt:variant>
        <vt:lpwstr>_Toc218517966</vt:lpwstr>
      </vt:variant>
      <vt:variant>
        <vt:i4>1179698</vt:i4>
      </vt:variant>
      <vt:variant>
        <vt:i4>1232</vt:i4>
      </vt:variant>
      <vt:variant>
        <vt:i4>0</vt:i4>
      </vt:variant>
      <vt:variant>
        <vt:i4>5</vt:i4>
      </vt:variant>
      <vt:variant>
        <vt:lpwstr/>
      </vt:variant>
      <vt:variant>
        <vt:lpwstr>_Toc218517965</vt:lpwstr>
      </vt:variant>
      <vt:variant>
        <vt:i4>1179698</vt:i4>
      </vt:variant>
      <vt:variant>
        <vt:i4>1226</vt:i4>
      </vt:variant>
      <vt:variant>
        <vt:i4>0</vt:i4>
      </vt:variant>
      <vt:variant>
        <vt:i4>5</vt:i4>
      </vt:variant>
      <vt:variant>
        <vt:lpwstr/>
      </vt:variant>
      <vt:variant>
        <vt:lpwstr>_Toc218517964</vt:lpwstr>
      </vt:variant>
      <vt:variant>
        <vt:i4>1179698</vt:i4>
      </vt:variant>
      <vt:variant>
        <vt:i4>1220</vt:i4>
      </vt:variant>
      <vt:variant>
        <vt:i4>0</vt:i4>
      </vt:variant>
      <vt:variant>
        <vt:i4>5</vt:i4>
      </vt:variant>
      <vt:variant>
        <vt:lpwstr/>
      </vt:variant>
      <vt:variant>
        <vt:lpwstr>_Toc218517963</vt:lpwstr>
      </vt:variant>
      <vt:variant>
        <vt:i4>1179698</vt:i4>
      </vt:variant>
      <vt:variant>
        <vt:i4>1214</vt:i4>
      </vt:variant>
      <vt:variant>
        <vt:i4>0</vt:i4>
      </vt:variant>
      <vt:variant>
        <vt:i4>5</vt:i4>
      </vt:variant>
      <vt:variant>
        <vt:lpwstr/>
      </vt:variant>
      <vt:variant>
        <vt:lpwstr>_Toc218517962</vt:lpwstr>
      </vt:variant>
      <vt:variant>
        <vt:i4>1179698</vt:i4>
      </vt:variant>
      <vt:variant>
        <vt:i4>1208</vt:i4>
      </vt:variant>
      <vt:variant>
        <vt:i4>0</vt:i4>
      </vt:variant>
      <vt:variant>
        <vt:i4>5</vt:i4>
      </vt:variant>
      <vt:variant>
        <vt:lpwstr/>
      </vt:variant>
      <vt:variant>
        <vt:lpwstr>_Toc218517961</vt:lpwstr>
      </vt:variant>
      <vt:variant>
        <vt:i4>1179698</vt:i4>
      </vt:variant>
      <vt:variant>
        <vt:i4>1202</vt:i4>
      </vt:variant>
      <vt:variant>
        <vt:i4>0</vt:i4>
      </vt:variant>
      <vt:variant>
        <vt:i4>5</vt:i4>
      </vt:variant>
      <vt:variant>
        <vt:lpwstr/>
      </vt:variant>
      <vt:variant>
        <vt:lpwstr>_Toc218517960</vt:lpwstr>
      </vt:variant>
      <vt:variant>
        <vt:i4>1114162</vt:i4>
      </vt:variant>
      <vt:variant>
        <vt:i4>1196</vt:i4>
      </vt:variant>
      <vt:variant>
        <vt:i4>0</vt:i4>
      </vt:variant>
      <vt:variant>
        <vt:i4>5</vt:i4>
      </vt:variant>
      <vt:variant>
        <vt:lpwstr/>
      </vt:variant>
      <vt:variant>
        <vt:lpwstr>_Toc218517959</vt:lpwstr>
      </vt:variant>
      <vt:variant>
        <vt:i4>1114162</vt:i4>
      </vt:variant>
      <vt:variant>
        <vt:i4>1190</vt:i4>
      </vt:variant>
      <vt:variant>
        <vt:i4>0</vt:i4>
      </vt:variant>
      <vt:variant>
        <vt:i4>5</vt:i4>
      </vt:variant>
      <vt:variant>
        <vt:lpwstr/>
      </vt:variant>
      <vt:variant>
        <vt:lpwstr>_Toc218517958</vt:lpwstr>
      </vt:variant>
      <vt:variant>
        <vt:i4>1114162</vt:i4>
      </vt:variant>
      <vt:variant>
        <vt:i4>1184</vt:i4>
      </vt:variant>
      <vt:variant>
        <vt:i4>0</vt:i4>
      </vt:variant>
      <vt:variant>
        <vt:i4>5</vt:i4>
      </vt:variant>
      <vt:variant>
        <vt:lpwstr/>
      </vt:variant>
      <vt:variant>
        <vt:lpwstr>_Toc218517957</vt:lpwstr>
      </vt:variant>
      <vt:variant>
        <vt:i4>1114162</vt:i4>
      </vt:variant>
      <vt:variant>
        <vt:i4>1178</vt:i4>
      </vt:variant>
      <vt:variant>
        <vt:i4>0</vt:i4>
      </vt:variant>
      <vt:variant>
        <vt:i4>5</vt:i4>
      </vt:variant>
      <vt:variant>
        <vt:lpwstr/>
      </vt:variant>
      <vt:variant>
        <vt:lpwstr>_Toc218517956</vt:lpwstr>
      </vt:variant>
      <vt:variant>
        <vt:i4>1114162</vt:i4>
      </vt:variant>
      <vt:variant>
        <vt:i4>1172</vt:i4>
      </vt:variant>
      <vt:variant>
        <vt:i4>0</vt:i4>
      </vt:variant>
      <vt:variant>
        <vt:i4>5</vt:i4>
      </vt:variant>
      <vt:variant>
        <vt:lpwstr/>
      </vt:variant>
      <vt:variant>
        <vt:lpwstr>_Toc218517955</vt:lpwstr>
      </vt:variant>
      <vt:variant>
        <vt:i4>1114162</vt:i4>
      </vt:variant>
      <vt:variant>
        <vt:i4>1166</vt:i4>
      </vt:variant>
      <vt:variant>
        <vt:i4>0</vt:i4>
      </vt:variant>
      <vt:variant>
        <vt:i4>5</vt:i4>
      </vt:variant>
      <vt:variant>
        <vt:lpwstr/>
      </vt:variant>
      <vt:variant>
        <vt:lpwstr>_Toc218517954</vt:lpwstr>
      </vt:variant>
      <vt:variant>
        <vt:i4>1114162</vt:i4>
      </vt:variant>
      <vt:variant>
        <vt:i4>1160</vt:i4>
      </vt:variant>
      <vt:variant>
        <vt:i4>0</vt:i4>
      </vt:variant>
      <vt:variant>
        <vt:i4>5</vt:i4>
      </vt:variant>
      <vt:variant>
        <vt:lpwstr/>
      </vt:variant>
      <vt:variant>
        <vt:lpwstr>_Toc218517953</vt:lpwstr>
      </vt:variant>
      <vt:variant>
        <vt:i4>1114162</vt:i4>
      </vt:variant>
      <vt:variant>
        <vt:i4>1154</vt:i4>
      </vt:variant>
      <vt:variant>
        <vt:i4>0</vt:i4>
      </vt:variant>
      <vt:variant>
        <vt:i4>5</vt:i4>
      </vt:variant>
      <vt:variant>
        <vt:lpwstr/>
      </vt:variant>
      <vt:variant>
        <vt:lpwstr>_Toc218517952</vt:lpwstr>
      </vt:variant>
      <vt:variant>
        <vt:i4>1114162</vt:i4>
      </vt:variant>
      <vt:variant>
        <vt:i4>1148</vt:i4>
      </vt:variant>
      <vt:variant>
        <vt:i4>0</vt:i4>
      </vt:variant>
      <vt:variant>
        <vt:i4>5</vt:i4>
      </vt:variant>
      <vt:variant>
        <vt:lpwstr/>
      </vt:variant>
      <vt:variant>
        <vt:lpwstr>_Toc218517951</vt:lpwstr>
      </vt:variant>
      <vt:variant>
        <vt:i4>1114162</vt:i4>
      </vt:variant>
      <vt:variant>
        <vt:i4>1142</vt:i4>
      </vt:variant>
      <vt:variant>
        <vt:i4>0</vt:i4>
      </vt:variant>
      <vt:variant>
        <vt:i4>5</vt:i4>
      </vt:variant>
      <vt:variant>
        <vt:lpwstr/>
      </vt:variant>
      <vt:variant>
        <vt:lpwstr>_Toc218517950</vt:lpwstr>
      </vt:variant>
      <vt:variant>
        <vt:i4>1048626</vt:i4>
      </vt:variant>
      <vt:variant>
        <vt:i4>1136</vt:i4>
      </vt:variant>
      <vt:variant>
        <vt:i4>0</vt:i4>
      </vt:variant>
      <vt:variant>
        <vt:i4>5</vt:i4>
      </vt:variant>
      <vt:variant>
        <vt:lpwstr/>
      </vt:variant>
      <vt:variant>
        <vt:lpwstr>_Toc218517949</vt:lpwstr>
      </vt:variant>
      <vt:variant>
        <vt:i4>1048626</vt:i4>
      </vt:variant>
      <vt:variant>
        <vt:i4>1130</vt:i4>
      </vt:variant>
      <vt:variant>
        <vt:i4>0</vt:i4>
      </vt:variant>
      <vt:variant>
        <vt:i4>5</vt:i4>
      </vt:variant>
      <vt:variant>
        <vt:lpwstr/>
      </vt:variant>
      <vt:variant>
        <vt:lpwstr>_Toc218517948</vt:lpwstr>
      </vt:variant>
      <vt:variant>
        <vt:i4>1048626</vt:i4>
      </vt:variant>
      <vt:variant>
        <vt:i4>1124</vt:i4>
      </vt:variant>
      <vt:variant>
        <vt:i4>0</vt:i4>
      </vt:variant>
      <vt:variant>
        <vt:i4>5</vt:i4>
      </vt:variant>
      <vt:variant>
        <vt:lpwstr/>
      </vt:variant>
      <vt:variant>
        <vt:lpwstr>_Toc218517947</vt:lpwstr>
      </vt:variant>
      <vt:variant>
        <vt:i4>1048626</vt:i4>
      </vt:variant>
      <vt:variant>
        <vt:i4>1118</vt:i4>
      </vt:variant>
      <vt:variant>
        <vt:i4>0</vt:i4>
      </vt:variant>
      <vt:variant>
        <vt:i4>5</vt:i4>
      </vt:variant>
      <vt:variant>
        <vt:lpwstr/>
      </vt:variant>
      <vt:variant>
        <vt:lpwstr>_Toc218517946</vt:lpwstr>
      </vt:variant>
      <vt:variant>
        <vt:i4>1048626</vt:i4>
      </vt:variant>
      <vt:variant>
        <vt:i4>1112</vt:i4>
      </vt:variant>
      <vt:variant>
        <vt:i4>0</vt:i4>
      </vt:variant>
      <vt:variant>
        <vt:i4>5</vt:i4>
      </vt:variant>
      <vt:variant>
        <vt:lpwstr/>
      </vt:variant>
      <vt:variant>
        <vt:lpwstr>_Toc218517945</vt:lpwstr>
      </vt:variant>
      <vt:variant>
        <vt:i4>1048626</vt:i4>
      </vt:variant>
      <vt:variant>
        <vt:i4>1106</vt:i4>
      </vt:variant>
      <vt:variant>
        <vt:i4>0</vt:i4>
      </vt:variant>
      <vt:variant>
        <vt:i4>5</vt:i4>
      </vt:variant>
      <vt:variant>
        <vt:lpwstr/>
      </vt:variant>
      <vt:variant>
        <vt:lpwstr>_Toc218517944</vt:lpwstr>
      </vt:variant>
      <vt:variant>
        <vt:i4>1048626</vt:i4>
      </vt:variant>
      <vt:variant>
        <vt:i4>1100</vt:i4>
      </vt:variant>
      <vt:variant>
        <vt:i4>0</vt:i4>
      </vt:variant>
      <vt:variant>
        <vt:i4>5</vt:i4>
      </vt:variant>
      <vt:variant>
        <vt:lpwstr/>
      </vt:variant>
      <vt:variant>
        <vt:lpwstr>_Toc218517943</vt:lpwstr>
      </vt:variant>
      <vt:variant>
        <vt:i4>1048626</vt:i4>
      </vt:variant>
      <vt:variant>
        <vt:i4>1094</vt:i4>
      </vt:variant>
      <vt:variant>
        <vt:i4>0</vt:i4>
      </vt:variant>
      <vt:variant>
        <vt:i4>5</vt:i4>
      </vt:variant>
      <vt:variant>
        <vt:lpwstr/>
      </vt:variant>
      <vt:variant>
        <vt:lpwstr>_Toc218517942</vt:lpwstr>
      </vt:variant>
      <vt:variant>
        <vt:i4>1048626</vt:i4>
      </vt:variant>
      <vt:variant>
        <vt:i4>1088</vt:i4>
      </vt:variant>
      <vt:variant>
        <vt:i4>0</vt:i4>
      </vt:variant>
      <vt:variant>
        <vt:i4>5</vt:i4>
      </vt:variant>
      <vt:variant>
        <vt:lpwstr/>
      </vt:variant>
      <vt:variant>
        <vt:lpwstr>_Toc218517941</vt:lpwstr>
      </vt:variant>
      <vt:variant>
        <vt:i4>1048626</vt:i4>
      </vt:variant>
      <vt:variant>
        <vt:i4>1082</vt:i4>
      </vt:variant>
      <vt:variant>
        <vt:i4>0</vt:i4>
      </vt:variant>
      <vt:variant>
        <vt:i4>5</vt:i4>
      </vt:variant>
      <vt:variant>
        <vt:lpwstr/>
      </vt:variant>
      <vt:variant>
        <vt:lpwstr>_Toc218517940</vt:lpwstr>
      </vt:variant>
      <vt:variant>
        <vt:i4>1507378</vt:i4>
      </vt:variant>
      <vt:variant>
        <vt:i4>1076</vt:i4>
      </vt:variant>
      <vt:variant>
        <vt:i4>0</vt:i4>
      </vt:variant>
      <vt:variant>
        <vt:i4>5</vt:i4>
      </vt:variant>
      <vt:variant>
        <vt:lpwstr/>
      </vt:variant>
      <vt:variant>
        <vt:lpwstr>_Toc218517939</vt:lpwstr>
      </vt:variant>
      <vt:variant>
        <vt:i4>1507378</vt:i4>
      </vt:variant>
      <vt:variant>
        <vt:i4>1070</vt:i4>
      </vt:variant>
      <vt:variant>
        <vt:i4>0</vt:i4>
      </vt:variant>
      <vt:variant>
        <vt:i4>5</vt:i4>
      </vt:variant>
      <vt:variant>
        <vt:lpwstr/>
      </vt:variant>
      <vt:variant>
        <vt:lpwstr>_Toc218517938</vt:lpwstr>
      </vt:variant>
      <vt:variant>
        <vt:i4>1507378</vt:i4>
      </vt:variant>
      <vt:variant>
        <vt:i4>1064</vt:i4>
      </vt:variant>
      <vt:variant>
        <vt:i4>0</vt:i4>
      </vt:variant>
      <vt:variant>
        <vt:i4>5</vt:i4>
      </vt:variant>
      <vt:variant>
        <vt:lpwstr/>
      </vt:variant>
      <vt:variant>
        <vt:lpwstr>_Toc218517937</vt:lpwstr>
      </vt:variant>
      <vt:variant>
        <vt:i4>1507378</vt:i4>
      </vt:variant>
      <vt:variant>
        <vt:i4>1058</vt:i4>
      </vt:variant>
      <vt:variant>
        <vt:i4>0</vt:i4>
      </vt:variant>
      <vt:variant>
        <vt:i4>5</vt:i4>
      </vt:variant>
      <vt:variant>
        <vt:lpwstr/>
      </vt:variant>
      <vt:variant>
        <vt:lpwstr>_Toc218517936</vt:lpwstr>
      </vt:variant>
      <vt:variant>
        <vt:i4>1507378</vt:i4>
      </vt:variant>
      <vt:variant>
        <vt:i4>1052</vt:i4>
      </vt:variant>
      <vt:variant>
        <vt:i4>0</vt:i4>
      </vt:variant>
      <vt:variant>
        <vt:i4>5</vt:i4>
      </vt:variant>
      <vt:variant>
        <vt:lpwstr/>
      </vt:variant>
      <vt:variant>
        <vt:lpwstr>_Toc218517935</vt:lpwstr>
      </vt:variant>
      <vt:variant>
        <vt:i4>1507378</vt:i4>
      </vt:variant>
      <vt:variant>
        <vt:i4>1046</vt:i4>
      </vt:variant>
      <vt:variant>
        <vt:i4>0</vt:i4>
      </vt:variant>
      <vt:variant>
        <vt:i4>5</vt:i4>
      </vt:variant>
      <vt:variant>
        <vt:lpwstr/>
      </vt:variant>
      <vt:variant>
        <vt:lpwstr>_Toc218517934</vt:lpwstr>
      </vt:variant>
      <vt:variant>
        <vt:i4>1507378</vt:i4>
      </vt:variant>
      <vt:variant>
        <vt:i4>1040</vt:i4>
      </vt:variant>
      <vt:variant>
        <vt:i4>0</vt:i4>
      </vt:variant>
      <vt:variant>
        <vt:i4>5</vt:i4>
      </vt:variant>
      <vt:variant>
        <vt:lpwstr/>
      </vt:variant>
      <vt:variant>
        <vt:lpwstr>_Toc218517933</vt:lpwstr>
      </vt:variant>
      <vt:variant>
        <vt:i4>1507378</vt:i4>
      </vt:variant>
      <vt:variant>
        <vt:i4>1034</vt:i4>
      </vt:variant>
      <vt:variant>
        <vt:i4>0</vt:i4>
      </vt:variant>
      <vt:variant>
        <vt:i4>5</vt:i4>
      </vt:variant>
      <vt:variant>
        <vt:lpwstr/>
      </vt:variant>
      <vt:variant>
        <vt:lpwstr>_Toc218517932</vt:lpwstr>
      </vt:variant>
      <vt:variant>
        <vt:i4>1507378</vt:i4>
      </vt:variant>
      <vt:variant>
        <vt:i4>1028</vt:i4>
      </vt:variant>
      <vt:variant>
        <vt:i4>0</vt:i4>
      </vt:variant>
      <vt:variant>
        <vt:i4>5</vt:i4>
      </vt:variant>
      <vt:variant>
        <vt:lpwstr/>
      </vt:variant>
      <vt:variant>
        <vt:lpwstr>_Toc218517931</vt:lpwstr>
      </vt:variant>
      <vt:variant>
        <vt:i4>1507378</vt:i4>
      </vt:variant>
      <vt:variant>
        <vt:i4>1022</vt:i4>
      </vt:variant>
      <vt:variant>
        <vt:i4>0</vt:i4>
      </vt:variant>
      <vt:variant>
        <vt:i4>5</vt:i4>
      </vt:variant>
      <vt:variant>
        <vt:lpwstr/>
      </vt:variant>
      <vt:variant>
        <vt:lpwstr>_Toc218517930</vt:lpwstr>
      </vt:variant>
      <vt:variant>
        <vt:i4>1441842</vt:i4>
      </vt:variant>
      <vt:variant>
        <vt:i4>1016</vt:i4>
      </vt:variant>
      <vt:variant>
        <vt:i4>0</vt:i4>
      </vt:variant>
      <vt:variant>
        <vt:i4>5</vt:i4>
      </vt:variant>
      <vt:variant>
        <vt:lpwstr/>
      </vt:variant>
      <vt:variant>
        <vt:lpwstr>_Toc218517929</vt:lpwstr>
      </vt:variant>
      <vt:variant>
        <vt:i4>1441842</vt:i4>
      </vt:variant>
      <vt:variant>
        <vt:i4>1010</vt:i4>
      </vt:variant>
      <vt:variant>
        <vt:i4>0</vt:i4>
      </vt:variant>
      <vt:variant>
        <vt:i4>5</vt:i4>
      </vt:variant>
      <vt:variant>
        <vt:lpwstr/>
      </vt:variant>
      <vt:variant>
        <vt:lpwstr>_Toc218517928</vt:lpwstr>
      </vt:variant>
      <vt:variant>
        <vt:i4>1441842</vt:i4>
      </vt:variant>
      <vt:variant>
        <vt:i4>1004</vt:i4>
      </vt:variant>
      <vt:variant>
        <vt:i4>0</vt:i4>
      </vt:variant>
      <vt:variant>
        <vt:i4>5</vt:i4>
      </vt:variant>
      <vt:variant>
        <vt:lpwstr/>
      </vt:variant>
      <vt:variant>
        <vt:lpwstr>_Toc218517927</vt:lpwstr>
      </vt:variant>
      <vt:variant>
        <vt:i4>1441842</vt:i4>
      </vt:variant>
      <vt:variant>
        <vt:i4>998</vt:i4>
      </vt:variant>
      <vt:variant>
        <vt:i4>0</vt:i4>
      </vt:variant>
      <vt:variant>
        <vt:i4>5</vt:i4>
      </vt:variant>
      <vt:variant>
        <vt:lpwstr/>
      </vt:variant>
      <vt:variant>
        <vt:lpwstr>_Toc218517926</vt:lpwstr>
      </vt:variant>
      <vt:variant>
        <vt:i4>1441842</vt:i4>
      </vt:variant>
      <vt:variant>
        <vt:i4>992</vt:i4>
      </vt:variant>
      <vt:variant>
        <vt:i4>0</vt:i4>
      </vt:variant>
      <vt:variant>
        <vt:i4>5</vt:i4>
      </vt:variant>
      <vt:variant>
        <vt:lpwstr/>
      </vt:variant>
      <vt:variant>
        <vt:lpwstr>_Toc218517925</vt:lpwstr>
      </vt:variant>
      <vt:variant>
        <vt:i4>1441842</vt:i4>
      </vt:variant>
      <vt:variant>
        <vt:i4>986</vt:i4>
      </vt:variant>
      <vt:variant>
        <vt:i4>0</vt:i4>
      </vt:variant>
      <vt:variant>
        <vt:i4>5</vt:i4>
      </vt:variant>
      <vt:variant>
        <vt:lpwstr/>
      </vt:variant>
      <vt:variant>
        <vt:lpwstr>_Toc218517924</vt:lpwstr>
      </vt:variant>
      <vt:variant>
        <vt:i4>1441842</vt:i4>
      </vt:variant>
      <vt:variant>
        <vt:i4>980</vt:i4>
      </vt:variant>
      <vt:variant>
        <vt:i4>0</vt:i4>
      </vt:variant>
      <vt:variant>
        <vt:i4>5</vt:i4>
      </vt:variant>
      <vt:variant>
        <vt:lpwstr/>
      </vt:variant>
      <vt:variant>
        <vt:lpwstr>_Toc218517923</vt:lpwstr>
      </vt:variant>
      <vt:variant>
        <vt:i4>1441842</vt:i4>
      </vt:variant>
      <vt:variant>
        <vt:i4>974</vt:i4>
      </vt:variant>
      <vt:variant>
        <vt:i4>0</vt:i4>
      </vt:variant>
      <vt:variant>
        <vt:i4>5</vt:i4>
      </vt:variant>
      <vt:variant>
        <vt:lpwstr/>
      </vt:variant>
      <vt:variant>
        <vt:lpwstr>_Toc218517922</vt:lpwstr>
      </vt:variant>
      <vt:variant>
        <vt:i4>1441842</vt:i4>
      </vt:variant>
      <vt:variant>
        <vt:i4>968</vt:i4>
      </vt:variant>
      <vt:variant>
        <vt:i4>0</vt:i4>
      </vt:variant>
      <vt:variant>
        <vt:i4>5</vt:i4>
      </vt:variant>
      <vt:variant>
        <vt:lpwstr/>
      </vt:variant>
      <vt:variant>
        <vt:lpwstr>_Toc218517921</vt:lpwstr>
      </vt:variant>
      <vt:variant>
        <vt:i4>1441842</vt:i4>
      </vt:variant>
      <vt:variant>
        <vt:i4>962</vt:i4>
      </vt:variant>
      <vt:variant>
        <vt:i4>0</vt:i4>
      </vt:variant>
      <vt:variant>
        <vt:i4>5</vt:i4>
      </vt:variant>
      <vt:variant>
        <vt:lpwstr/>
      </vt:variant>
      <vt:variant>
        <vt:lpwstr>_Toc218517920</vt:lpwstr>
      </vt:variant>
      <vt:variant>
        <vt:i4>1376306</vt:i4>
      </vt:variant>
      <vt:variant>
        <vt:i4>956</vt:i4>
      </vt:variant>
      <vt:variant>
        <vt:i4>0</vt:i4>
      </vt:variant>
      <vt:variant>
        <vt:i4>5</vt:i4>
      </vt:variant>
      <vt:variant>
        <vt:lpwstr/>
      </vt:variant>
      <vt:variant>
        <vt:lpwstr>_Toc218517919</vt:lpwstr>
      </vt:variant>
      <vt:variant>
        <vt:i4>1376306</vt:i4>
      </vt:variant>
      <vt:variant>
        <vt:i4>950</vt:i4>
      </vt:variant>
      <vt:variant>
        <vt:i4>0</vt:i4>
      </vt:variant>
      <vt:variant>
        <vt:i4>5</vt:i4>
      </vt:variant>
      <vt:variant>
        <vt:lpwstr/>
      </vt:variant>
      <vt:variant>
        <vt:lpwstr>_Toc218517918</vt:lpwstr>
      </vt:variant>
      <vt:variant>
        <vt:i4>1376306</vt:i4>
      </vt:variant>
      <vt:variant>
        <vt:i4>944</vt:i4>
      </vt:variant>
      <vt:variant>
        <vt:i4>0</vt:i4>
      </vt:variant>
      <vt:variant>
        <vt:i4>5</vt:i4>
      </vt:variant>
      <vt:variant>
        <vt:lpwstr/>
      </vt:variant>
      <vt:variant>
        <vt:lpwstr>_Toc218517917</vt:lpwstr>
      </vt:variant>
      <vt:variant>
        <vt:i4>1376306</vt:i4>
      </vt:variant>
      <vt:variant>
        <vt:i4>938</vt:i4>
      </vt:variant>
      <vt:variant>
        <vt:i4>0</vt:i4>
      </vt:variant>
      <vt:variant>
        <vt:i4>5</vt:i4>
      </vt:variant>
      <vt:variant>
        <vt:lpwstr/>
      </vt:variant>
      <vt:variant>
        <vt:lpwstr>_Toc218517916</vt:lpwstr>
      </vt:variant>
      <vt:variant>
        <vt:i4>1376306</vt:i4>
      </vt:variant>
      <vt:variant>
        <vt:i4>932</vt:i4>
      </vt:variant>
      <vt:variant>
        <vt:i4>0</vt:i4>
      </vt:variant>
      <vt:variant>
        <vt:i4>5</vt:i4>
      </vt:variant>
      <vt:variant>
        <vt:lpwstr/>
      </vt:variant>
      <vt:variant>
        <vt:lpwstr>_Toc218517915</vt:lpwstr>
      </vt:variant>
      <vt:variant>
        <vt:i4>1376306</vt:i4>
      </vt:variant>
      <vt:variant>
        <vt:i4>926</vt:i4>
      </vt:variant>
      <vt:variant>
        <vt:i4>0</vt:i4>
      </vt:variant>
      <vt:variant>
        <vt:i4>5</vt:i4>
      </vt:variant>
      <vt:variant>
        <vt:lpwstr/>
      </vt:variant>
      <vt:variant>
        <vt:lpwstr>_Toc218517914</vt:lpwstr>
      </vt:variant>
      <vt:variant>
        <vt:i4>1376306</vt:i4>
      </vt:variant>
      <vt:variant>
        <vt:i4>920</vt:i4>
      </vt:variant>
      <vt:variant>
        <vt:i4>0</vt:i4>
      </vt:variant>
      <vt:variant>
        <vt:i4>5</vt:i4>
      </vt:variant>
      <vt:variant>
        <vt:lpwstr/>
      </vt:variant>
      <vt:variant>
        <vt:lpwstr>_Toc218517913</vt:lpwstr>
      </vt:variant>
      <vt:variant>
        <vt:i4>1376306</vt:i4>
      </vt:variant>
      <vt:variant>
        <vt:i4>914</vt:i4>
      </vt:variant>
      <vt:variant>
        <vt:i4>0</vt:i4>
      </vt:variant>
      <vt:variant>
        <vt:i4>5</vt:i4>
      </vt:variant>
      <vt:variant>
        <vt:lpwstr/>
      </vt:variant>
      <vt:variant>
        <vt:lpwstr>_Toc218517912</vt:lpwstr>
      </vt:variant>
      <vt:variant>
        <vt:i4>1376306</vt:i4>
      </vt:variant>
      <vt:variant>
        <vt:i4>908</vt:i4>
      </vt:variant>
      <vt:variant>
        <vt:i4>0</vt:i4>
      </vt:variant>
      <vt:variant>
        <vt:i4>5</vt:i4>
      </vt:variant>
      <vt:variant>
        <vt:lpwstr/>
      </vt:variant>
      <vt:variant>
        <vt:lpwstr>_Toc218517911</vt:lpwstr>
      </vt:variant>
      <vt:variant>
        <vt:i4>1376306</vt:i4>
      </vt:variant>
      <vt:variant>
        <vt:i4>902</vt:i4>
      </vt:variant>
      <vt:variant>
        <vt:i4>0</vt:i4>
      </vt:variant>
      <vt:variant>
        <vt:i4>5</vt:i4>
      </vt:variant>
      <vt:variant>
        <vt:lpwstr/>
      </vt:variant>
      <vt:variant>
        <vt:lpwstr>_Toc218517910</vt:lpwstr>
      </vt:variant>
      <vt:variant>
        <vt:i4>1310770</vt:i4>
      </vt:variant>
      <vt:variant>
        <vt:i4>896</vt:i4>
      </vt:variant>
      <vt:variant>
        <vt:i4>0</vt:i4>
      </vt:variant>
      <vt:variant>
        <vt:i4>5</vt:i4>
      </vt:variant>
      <vt:variant>
        <vt:lpwstr/>
      </vt:variant>
      <vt:variant>
        <vt:lpwstr>_Toc218517909</vt:lpwstr>
      </vt:variant>
      <vt:variant>
        <vt:i4>1310770</vt:i4>
      </vt:variant>
      <vt:variant>
        <vt:i4>890</vt:i4>
      </vt:variant>
      <vt:variant>
        <vt:i4>0</vt:i4>
      </vt:variant>
      <vt:variant>
        <vt:i4>5</vt:i4>
      </vt:variant>
      <vt:variant>
        <vt:lpwstr/>
      </vt:variant>
      <vt:variant>
        <vt:lpwstr>_Toc218517908</vt:lpwstr>
      </vt:variant>
      <vt:variant>
        <vt:i4>1310770</vt:i4>
      </vt:variant>
      <vt:variant>
        <vt:i4>884</vt:i4>
      </vt:variant>
      <vt:variant>
        <vt:i4>0</vt:i4>
      </vt:variant>
      <vt:variant>
        <vt:i4>5</vt:i4>
      </vt:variant>
      <vt:variant>
        <vt:lpwstr/>
      </vt:variant>
      <vt:variant>
        <vt:lpwstr>_Toc218517907</vt:lpwstr>
      </vt:variant>
      <vt:variant>
        <vt:i4>1310770</vt:i4>
      </vt:variant>
      <vt:variant>
        <vt:i4>878</vt:i4>
      </vt:variant>
      <vt:variant>
        <vt:i4>0</vt:i4>
      </vt:variant>
      <vt:variant>
        <vt:i4>5</vt:i4>
      </vt:variant>
      <vt:variant>
        <vt:lpwstr/>
      </vt:variant>
      <vt:variant>
        <vt:lpwstr>_Toc218517906</vt:lpwstr>
      </vt:variant>
      <vt:variant>
        <vt:i4>1310770</vt:i4>
      </vt:variant>
      <vt:variant>
        <vt:i4>872</vt:i4>
      </vt:variant>
      <vt:variant>
        <vt:i4>0</vt:i4>
      </vt:variant>
      <vt:variant>
        <vt:i4>5</vt:i4>
      </vt:variant>
      <vt:variant>
        <vt:lpwstr/>
      </vt:variant>
      <vt:variant>
        <vt:lpwstr>_Toc218517905</vt:lpwstr>
      </vt:variant>
      <vt:variant>
        <vt:i4>1310770</vt:i4>
      </vt:variant>
      <vt:variant>
        <vt:i4>866</vt:i4>
      </vt:variant>
      <vt:variant>
        <vt:i4>0</vt:i4>
      </vt:variant>
      <vt:variant>
        <vt:i4>5</vt:i4>
      </vt:variant>
      <vt:variant>
        <vt:lpwstr/>
      </vt:variant>
      <vt:variant>
        <vt:lpwstr>_Toc218517904</vt:lpwstr>
      </vt:variant>
      <vt:variant>
        <vt:i4>1310770</vt:i4>
      </vt:variant>
      <vt:variant>
        <vt:i4>860</vt:i4>
      </vt:variant>
      <vt:variant>
        <vt:i4>0</vt:i4>
      </vt:variant>
      <vt:variant>
        <vt:i4>5</vt:i4>
      </vt:variant>
      <vt:variant>
        <vt:lpwstr/>
      </vt:variant>
      <vt:variant>
        <vt:lpwstr>_Toc218517903</vt:lpwstr>
      </vt:variant>
      <vt:variant>
        <vt:i4>1310770</vt:i4>
      </vt:variant>
      <vt:variant>
        <vt:i4>854</vt:i4>
      </vt:variant>
      <vt:variant>
        <vt:i4>0</vt:i4>
      </vt:variant>
      <vt:variant>
        <vt:i4>5</vt:i4>
      </vt:variant>
      <vt:variant>
        <vt:lpwstr/>
      </vt:variant>
      <vt:variant>
        <vt:lpwstr>_Toc218517902</vt:lpwstr>
      </vt:variant>
      <vt:variant>
        <vt:i4>1310770</vt:i4>
      </vt:variant>
      <vt:variant>
        <vt:i4>848</vt:i4>
      </vt:variant>
      <vt:variant>
        <vt:i4>0</vt:i4>
      </vt:variant>
      <vt:variant>
        <vt:i4>5</vt:i4>
      </vt:variant>
      <vt:variant>
        <vt:lpwstr/>
      </vt:variant>
      <vt:variant>
        <vt:lpwstr>_Toc218517901</vt:lpwstr>
      </vt:variant>
      <vt:variant>
        <vt:i4>1310770</vt:i4>
      </vt:variant>
      <vt:variant>
        <vt:i4>842</vt:i4>
      </vt:variant>
      <vt:variant>
        <vt:i4>0</vt:i4>
      </vt:variant>
      <vt:variant>
        <vt:i4>5</vt:i4>
      </vt:variant>
      <vt:variant>
        <vt:lpwstr/>
      </vt:variant>
      <vt:variant>
        <vt:lpwstr>_Toc218517900</vt:lpwstr>
      </vt:variant>
      <vt:variant>
        <vt:i4>1900595</vt:i4>
      </vt:variant>
      <vt:variant>
        <vt:i4>836</vt:i4>
      </vt:variant>
      <vt:variant>
        <vt:i4>0</vt:i4>
      </vt:variant>
      <vt:variant>
        <vt:i4>5</vt:i4>
      </vt:variant>
      <vt:variant>
        <vt:lpwstr/>
      </vt:variant>
      <vt:variant>
        <vt:lpwstr>_Toc218517899</vt:lpwstr>
      </vt:variant>
      <vt:variant>
        <vt:i4>1900595</vt:i4>
      </vt:variant>
      <vt:variant>
        <vt:i4>830</vt:i4>
      </vt:variant>
      <vt:variant>
        <vt:i4>0</vt:i4>
      </vt:variant>
      <vt:variant>
        <vt:i4>5</vt:i4>
      </vt:variant>
      <vt:variant>
        <vt:lpwstr/>
      </vt:variant>
      <vt:variant>
        <vt:lpwstr>_Toc218517898</vt:lpwstr>
      </vt:variant>
      <vt:variant>
        <vt:i4>1900595</vt:i4>
      </vt:variant>
      <vt:variant>
        <vt:i4>824</vt:i4>
      </vt:variant>
      <vt:variant>
        <vt:i4>0</vt:i4>
      </vt:variant>
      <vt:variant>
        <vt:i4>5</vt:i4>
      </vt:variant>
      <vt:variant>
        <vt:lpwstr/>
      </vt:variant>
      <vt:variant>
        <vt:lpwstr>_Toc218517897</vt:lpwstr>
      </vt:variant>
      <vt:variant>
        <vt:i4>1900595</vt:i4>
      </vt:variant>
      <vt:variant>
        <vt:i4>818</vt:i4>
      </vt:variant>
      <vt:variant>
        <vt:i4>0</vt:i4>
      </vt:variant>
      <vt:variant>
        <vt:i4>5</vt:i4>
      </vt:variant>
      <vt:variant>
        <vt:lpwstr/>
      </vt:variant>
      <vt:variant>
        <vt:lpwstr>_Toc218517896</vt:lpwstr>
      </vt:variant>
      <vt:variant>
        <vt:i4>1900595</vt:i4>
      </vt:variant>
      <vt:variant>
        <vt:i4>812</vt:i4>
      </vt:variant>
      <vt:variant>
        <vt:i4>0</vt:i4>
      </vt:variant>
      <vt:variant>
        <vt:i4>5</vt:i4>
      </vt:variant>
      <vt:variant>
        <vt:lpwstr/>
      </vt:variant>
      <vt:variant>
        <vt:lpwstr>_Toc218517895</vt:lpwstr>
      </vt:variant>
      <vt:variant>
        <vt:i4>1900595</vt:i4>
      </vt:variant>
      <vt:variant>
        <vt:i4>806</vt:i4>
      </vt:variant>
      <vt:variant>
        <vt:i4>0</vt:i4>
      </vt:variant>
      <vt:variant>
        <vt:i4>5</vt:i4>
      </vt:variant>
      <vt:variant>
        <vt:lpwstr/>
      </vt:variant>
      <vt:variant>
        <vt:lpwstr>_Toc218517894</vt:lpwstr>
      </vt:variant>
      <vt:variant>
        <vt:i4>1900595</vt:i4>
      </vt:variant>
      <vt:variant>
        <vt:i4>800</vt:i4>
      </vt:variant>
      <vt:variant>
        <vt:i4>0</vt:i4>
      </vt:variant>
      <vt:variant>
        <vt:i4>5</vt:i4>
      </vt:variant>
      <vt:variant>
        <vt:lpwstr/>
      </vt:variant>
      <vt:variant>
        <vt:lpwstr>_Toc218517893</vt:lpwstr>
      </vt:variant>
      <vt:variant>
        <vt:i4>1900595</vt:i4>
      </vt:variant>
      <vt:variant>
        <vt:i4>794</vt:i4>
      </vt:variant>
      <vt:variant>
        <vt:i4>0</vt:i4>
      </vt:variant>
      <vt:variant>
        <vt:i4>5</vt:i4>
      </vt:variant>
      <vt:variant>
        <vt:lpwstr/>
      </vt:variant>
      <vt:variant>
        <vt:lpwstr>_Toc218517892</vt:lpwstr>
      </vt:variant>
      <vt:variant>
        <vt:i4>1900595</vt:i4>
      </vt:variant>
      <vt:variant>
        <vt:i4>788</vt:i4>
      </vt:variant>
      <vt:variant>
        <vt:i4>0</vt:i4>
      </vt:variant>
      <vt:variant>
        <vt:i4>5</vt:i4>
      </vt:variant>
      <vt:variant>
        <vt:lpwstr/>
      </vt:variant>
      <vt:variant>
        <vt:lpwstr>_Toc218517891</vt:lpwstr>
      </vt:variant>
      <vt:variant>
        <vt:i4>1900595</vt:i4>
      </vt:variant>
      <vt:variant>
        <vt:i4>782</vt:i4>
      </vt:variant>
      <vt:variant>
        <vt:i4>0</vt:i4>
      </vt:variant>
      <vt:variant>
        <vt:i4>5</vt:i4>
      </vt:variant>
      <vt:variant>
        <vt:lpwstr/>
      </vt:variant>
      <vt:variant>
        <vt:lpwstr>_Toc218517890</vt:lpwstr>
      </vt:variant>
      <vt:variant>
        <vt:i4>1835059</vt:i4>
      </vt:variant>
      <vt:variant>
        <vt:i4>776</vt:i4>
      </vt:variant>
      <vt:variant>
        <vt:i4>0</vt:i4>
      </vt:variant>
      <vt:variant>
        <vt:i4>5</vt:i4>
      </vt:variant>
      <vt:variant>
        <vt:lpwstr/>
      </vt:variant>
      <vt:variant>
        <vt:lpwstr>_Toc218517889</vt:lpwstr>
      </vt:variant>
      <vt:variant>
        <vt:i4>1835059</vt:i4>
      </vt:variant>
      <vt:variant>
        <vt:i4>770</vt:i4>
      </vt:variant>
      <vt:variant>
        <vt:i4>0</vt:i4>
      </vt:variant>
      <vt:variant>
        <vt:i4>5</vt:i4>
      </vt:variant>
      <vt:variant>
        <vt:lpwstr/>
      </vt:variant>
      <vt:variant>
        <vt:lpwstr>_Toc218517888</vt:lpwstr>
      </vt:variant>
      <vt:variant>
        <vt:i4>1835059</vt:i4>
      </vt:variant>
      <vt:variant>
        <vt:i4>764</vt:i4>
      </vt:variant>
      <vt:variant>
        <vt:i4>0</vt:i4>
      </vt:variant>
      <vt:variant>
        <vt:i4>5</vt:i4>
      </vt:variant>
      <vt:variant>
        <vt:lpwstr/>
      </vt:variant>
      <vt:variant>
        <vt:lpwstr>_Toc218517887</vt:lpwstr>
      </vt:variant>
      <vt:variant>
        <vt:i4>1835059</vt:i4>
      </vt:variant>
      <vt:variant>
        <vt:i4>758</vt:i4>
      </vt:variant>
      <vt:variant>
        <vt:i4>0</vt:i4>
      </vt:variant>
      <vt:variant>
        <vt:i4>5</vt:i4>
      </vt:variant>
      <vt:variant>
        <vt:lpwstr/>
      </vt:variant>
      <vt:variant>
        <vt:lpwstr>_Toc218517886</vt:lpwstr>
      </vt:variant>
      <vt:variant>
        <vt:i4>1835059</vt:i4>
      </vt:variant>
      <vt:variant>
        <vt:i4>752</vt:i4>
      </vt:variant>
      <vt:variant>
        <vt:i4>0</vt:i4>
      </vt:variant>
      <vt:variant>
        <vt:i4>5</vt:i4>
      </vt:variant>
      <vt:variant>
        <vt:lpwstr/>
      </vt:variant>
      <vt:variant>
        <vt:lpwstr>_Toc218517885</vt:lpwstr>
      </vt:variant>
      <vt:variant>
        <vt:i4>1835059</vt:i4>
      </vt:variant>
      <vt:variant>
        <vt:i4>746</vt:i4>
      </vt:variant>
      <vt:variant>
        <vt:i4>0</vt:i4>
      </vt:variant>
      <vt:variant>
        <vt:i4>5</vt:i4>
      </vt:variant>
      <vt:variant>
        <vt:lpwstr/>
      </vt:variant>
      <vt:variant>
        <vt:lpwstr>_Toc218517884</vt:lpwstr>
      </vt:variant>
      <vt:variant>
        <vt:i4>1835059</vt:i4>
      </vt:variant>
      <vt:variant>
        <vt:i4>740</vt:i4>
      </vt:variant>
      <vt:variant>
        <vt:i4>0</vt:i4>
      </vt:variant>
      <vt:variant>
        <vt:i4>5</vt:i4>
      </vt:variant>
      <vt:variant>
        <vt:lpwstr/>
      </vt:variant>
      <vt:variant>
        <vt:lpwstr>_Toc218517883</vt:lpwstr>
      </vt:variant>
      <vt:variant>
        <vt:i4>1835059</vt:i4>
      </vt:variant>
      <vt:variant>
        <vt:i4>734</vt:i4>
      </vt:variant>
      <vt:variant>
        <vt:i4>0</vt:i4>
      </vt:variant>
      <vt:variant>
        <vt:i4>5</vt:i4>
      </vt:variant>
      <vt:variant>
        <vt:lpwstr/>
      </vt:variant>
      <vt:variant>
        <vt:lpwstr>_Toc218517882</vt:lpwstr>
      </vt:variant>
      <vt:variant>
        <vt:i4>1835059</vt:i4>
      </vt:variant>
      <vt:variant>
        <vt:i4>728</vt:i4>
      </vt:variant>
      <vt:variant>
        <vt:i4>0</vt:i4>
      </vt:variant>
      <vt:variant>
        <vt:i4>5</vt:i4>
      </vt:variant>
      <vt:variant>
        <vt:lpwstr/>
      </vt:variant>
      <vt:variant>
        <vt:lpwstr>_Toc218517881</vt:lpwstr>
      </vt:variant>
      <vt:variant>
        <vt:i4>1835059</vt:i4>
      </vt:variant>
      <vt:variant>
        <vt:i4>722</vt:i4>
      </vt:variant>
      <vt:variant>
        <vt:i4>0</vt:i4>
      </vt:variant>
      <vt:variant>
        <vt:i4>5</vt:i4>
      </vt:variant>
      <vt:variant>
        <vt:lpwstr/>
      </vt:variant>
      <vt:variant>
        <vt:lpwstr>_Toc218517880</vt:lpwstr>
      </vt:variant>
      <vt:variant>
        <vt:i4>1245235</vt:i4>
      </vt:variant>
      <vt:variant>
        <vt:i4>716</vt:i4>
      </vt:variant>
      <vt:variant>
        <vt:i4>0</vt:i4>
      </vt:variant>
      <vt:variant>
        <vt:i4>5</vt:i4>
      </vt:variant>
      <vt:variant>
        <vt:lpwstr/>
      </vt:variant>
      <vt:variant>
        <vt:lpwstr>_Toc218517879</vt:lpwstr>
      </vt:variant>
      <vt:variant>
        <vt:i4>1245235</vt:i4>
      </vt:variant>
      <vt:variant>
        <vt:i4>710</vt:i4>
      </vt:variant>
      <vt:variant>
        <vt:i4>0</vt:i4>
      </vt:variant>
      <vt:variant>
        <vt:i4>5</vt:i4>
      </vt:variant>
      <vt:variant>
        <vt:lpwstr/>
      </vt:variant>
      <vt:variant>
        <vt:lpwstr>_Toc218517878</vt:lpwstr>
      </vt:variant>
      <vt:variant>
        <vt:i4>1245235</vt:i4>
      </vt:variant>
      <vt:variant>
        <vt:i4>704</vt:i4>
      </vt:variant>
      <vt:variant>
        <vt:i4>0</vt:i4>
      </vt:variant>
      <vt:variant>
        <vt:i4>5</vt:i4>
      </vt:variant>
      <vt:variant>
        <vt:lpwstr/>
      </vt:variant>
      <vt:variant>
        <vt:lpwstr>_Toc218517877</vt:lpwstr>
      </vt:variant>
      <vt:variant>
        <vt:i4>1245235</vt:i4>
      </vt:variant>
      <vt:variant>
        <vt:i4>698</vt:i4>
      </vt:variant>
      <vt:variant>
        <vt:i4>0</vt:i4>
      </vt:variant>
      <vt:variant>
        <vt:i4>5</vt:i4>
      </vt:variant>
      <vt:variant>
        <vt:lpwstr/>
      </vt:variant>
      <vt:variant>
        <vt:lpwstr>_Toc218517876</vt:lpwstr>
      </vt:variant>
      <vt:variant>
        <vt:i4>1245235</vt:i4>
      </vt:variant>
      <vt:variant>
        <vt:i4>692</vt:i4>
      </vt:variant>
      <vt:variant>
        <vt:i4>0</vt:i4>
      </vt:variant>
      <vt:variant>
        <vt:i4>5</vt:i4>
      </vt:variant>
      <vt:variant>
        <vt:lpwstr/>
      </vt:variant>
      <vt:variant>
        <vt:lpwstr>_Toc218517875</vt:lpwstr>
      </vt:variant>
      <vt:variant>
        <vt:i4>1245235</vt:i4>
      </vt:variant>
      <vt:variant>
        <vt:i4>686</vt:i4>
      </vt:variant>
      <vt:variant>
        <vt:i4>0</vt:i4>
      </vt:variant>
      <vt:variant>
        <vt:i4>5</vt:i4>
      </vt:variant>
      <vt:variant>
        <vt:lpwstr/>
      </vt:variant>
      <vt:variant>
        <vt:lpwstr>_Toc218517874</vt:lpwstr>
      </vt:variant>
      <vt:variant>
        <vt:i4>1245235</vt:i4>
      </vt:variant>
      <vt:variant>
        <vt:i4>680</vt:i4>
      </vt:variant>
      <vt:variant>
        <vt:i4>0</vt:i4>
      </vt:variant>
      <vt:variant>
        <vt:i4>5</vt:i4>
      </vt:variant>
      <vt:variant>
        <vt:lpwstr/>
      </vt:variant>
      <vt:variant>
        <vt:lpwstr>_Toc218517873</vt:lpwstr>
      </vt:variant>
      <vt:variant>
        <vt:i4>1245235</vt:i4>
      </vt:variant>
      <vt:variant>
        <vt:i4>674</vt:i4>
      </vt:variant>
      <vt:variant>
        <vt:i4>0</vt:i4>
      </vt:variant>
      <vt:variant>
        <vt:i4>5</vt:i4>
      </vt:variant>
      <vt:variant>
        <vt:lpwstr/>
      </vt:variant>
      <vt:variant>
        <vt:lpwstr>_Toc218517872</vt:lpwstr>
      </vt:variant>
      <vt:variant>
        <vt:i4>1245235</vt:i4>
      </vt:variant>
      <vt:variant>
        <vt:i4>668</vt:i4>
      </vt:variant>
      <vt:variant>
        <vt:i4>0</vt:i4>
      </vt:variant>
      <vt:variant>
        <vt:i4>5</vt:i4>
      </vt:variant>
      <vt:variant>
        <vt:lpwstr/>
      </vt:variant>
      <vt:variant>
        <vt:lpwstr>_Toc218517871</vt:lpwstr>
      </vt:variant>
      <vt:variant>
        <vt:i4>1245235</vt:i4>
      </vt:variant>
      <vt:variant>
        <vt:i4>662</vt:i4>
      </vt:variant>
      <vt:variant>
        <vt:i4>0</vt:i4>
      </vt:variant>
      <vt:variant>
        <vt:i4>5</vt:i4>
      </vt:variant>
      <vt:variant>
        <vt:lpwstr/>
      </vt:variant>
      <vt:variant>
        <vt:lpwstr>_Toc218517870</vt:lpwstr>
      </vt:variant>
      <vt:variant>
        <vt:i4>1179699</vt:i4>
      </vt:variant>
      <vt:variant>
        <vt:i4>656</vt:i4>
      </vt:variant>
      <vt:variant>
        <vt:i4>0</vt:i4>
      </vt:variant>
      <vt:variant>
        <vt:i4>5</vt:i4>
      </vt:variant>
      <vt:variant>
        <vt:lpwstr/>
      </vt:variant>
      <vt:variant>
        <vt:lpwstr>_Toc218517869</vt:lpwstr>
      </vt:variant>
      <vt:variant>
        <vt:i4>1179699</vt:i4>
      </vt:variant>
      <vt:variant>
        <vt:i4>650</vt:i4>
      </vt:variant>
      <vt:variant>
        <vt:i4>0</vt:i4>
      </vt:variant>
      <vt:variant>
        <vt:i4>5</vt:i4>
      </vt:variant>
      <vt:variant>
        <vt:lpwstr/>
      </vt:variant>
      <vt:variant>
        <vt:lpwstr>_Toc218517868</vt:lpwstr>
      </vt:variant>
      <vt:variant>
        <vt:i4>1179699</vt:i4>
      </vt:variant>
      <vt:variant>
        <vt:i4>644</vt:i4>
      </vt:variant>
      <vt:variant>
        <vt:i4>0</vt:i4>
      </vt:variant>
      <vt:variant>
        <vt:i4>5</vt:i4>
      </vt:variant>
      <vt:variant>
        <vt:lpwstr/>
      </vt:variant>
      <vt:variant>
        <vt:lpwstr>_Toc218517867</vt:lpwstr>
      </vt:variant>
      <vt:variant>
        <vt:i4>1179699</vt:i4>
      </vt:variant>
      <vt:variant>
        <vt:i4>638</vt:i4>
      </vt:variant>
      <vt:variant>
        <vt:i4>0</vt:i4>
      </vt:variant>
      <vt:variant>
        <vt:i4>5</vt:i4>
      </vt:variant>
      <vt:variant>
        <vt:lpwstr/>
      </vt:variant>
      <vt:variant>
        <vt:lpwstr>_Toc218517866</vt:lpwstr>
      </vt:variant>
      <vt:variant>
        <vt:i4>1179699</vt:i4>
      </vt:variant>
      <vt:variant>
        <vt:i4>632</vt:i4>
      </vt:variant>
      <vt:variant>
        <vt:i4>0</vt:i4>
      </vt:variant>
      <vt:variant>
        <vt:i4>5</vt:i4>
      </vt:variant>
      <vt:variant>
        <vt:lpwstr/>
      </vt:variant>
      <vt:variant>
        <vt:lpwstr>_Toc218517865</vt:lpwstr>
      </vt:variant>
      <vt:variant>
        <vt:i4>1179699</vt:i4>
      </vt:variant>
      <vt:variant>
        <vt:i4>626</vt:i4>
      </vt:variant>
      <vt:variant>
        <vt:i4>0</vt:i4>
      </vt:variant>
      <vt:variant>
        <vt:i4>5</vt:i4>
      </vt:variant>
      <vt:variant>
        <vt:lpwstr/>
      </vt:variant>
      <vt:variant>
        <vt:lpwstr>_Toc218517864</vt:lpwstr>
      </vt:variant>
      <vt:variant>
        <vt:i4>1179699</vt:i4>
      </vt:variant>
      <vt:variant>
        <vt:i4>620</vt:i4>
      </vt:variant>
      <vt:variant>
        <vt:i4>0</vt:i4>
      </vt:variant>
      <vt:variant>
        <vt:i4>5</vt:i4>
      </vt:variant>
      <vt:variant>
        <vt:lpwstr/>
      </vt:variant>
      <vt:variant>
        <vt:lpwstr>_Toc218517863</vt:lpwstr>
      </vt:variant>
      <vt:variant>
        <vt:i4>1179699</vt:i4>
      </vt:variant>
      <vt:variant>
        <vt:i4>614</vt:i4>
      </vt:variant>
      <vt:variant>
        <vt:i4>0</vt:i4>
      </vt:variant>
      <vt:variant>
        <vt:i4>5</vt:i4>
      </vt:variant>
      <vt:variant>
        <vt:lpwstr/>
      </vt:variant>
      <vt:variant>
        <vt:lpwstr>_Toc218517862</vt:lpwstr>
      </vt:variant>
      <vt:variant>
        <vt:i4>1179699</vt:i4>
      </vt:variant>
      <vt:variant>
        <vt:i4>608</vt:i4>
      </vt:variant>
      <vt:variant>
        <vt:i4>0</vt:i4>
      </vt:variant>
      <vt:variant>
        <vt:i4>5</vt:i4>
      </vt:variant>
      <vt:variant>
        <vt:lpwstr/>
      </vt:variant>
      <vt:variant>
        <vt:lpwstr>_Toc218517861</vt:lpwstr>
      </vt:variant>
      <vt:variant>
        <vt:i4>1179699</vt:i4>
      </vt:variant>
      <vt:variant>
        <vt:i4>602</vt:i4>
      </vt:variant>
      <vt:variant>
        <vt:i4>0</vt:i4>
      </vt:variant>
      <vt:variant>
        <vt:i4>5</vt:i4>
      </vt:variant>
      <vt:variant>
        <vt:lpwstr/>
      </vt:variant>
      <vt:variant>
        <vt:lpwstr>_Toc218517860</vt:lpwstr>
      </vt:variant>
      <vt:variant>
        <vt:i4>1114163</vt:i4>
      </vt:variant>
      <vt:variant>
        <vt:i4>596</vt:i4>
      </vt:variant>
      <vt:variant>
        <vt:i4>0</vt:i4>
      </vt:variant>
      <vt:variant>
        <vt:i4>5</vt:i4>
      </vt:variant>
      <vt:variant>
        <vt:lpwstr/>
      </vt:variant>
      <vt:variant>
        <vt:lpwstr>_Toc218517859</vt:lpwstr>
      </vt:variant>
      <vt:variant>
        <vt:i4>1114163</vt:i4>
      </vt:variant>
      <vt:variant>
        <vt:i4>590</vt:i4>
      </vt:variant>
      <vt:variant>
        <vt:i4>0</vt:i4>
      </vt:variant>
      <vt:variant>
        <vt:i4>5</vt:i4>
      </vt:variant>
      <vt:variant>
        <vt:lpwstr/>
      </vt:variant>
      <vt:variant>
        <vt:lpwstr>_Toc218517858</vt:lpwstr>
      </vt:variant>
      <vt:variant>
        <vt:i4>1114163</vt:i4>
      </vt:variant>
      <vt:variant>
        <vt:i4>584</vt:i4>
      </vt:variant>
      <vt:variant>
        <vt:i4>0</vt:i4>
      </vt:variant>
      <vt:variant>
        <vt:i4>5</vt:i4>
      </vt:variant>
      <vt:variant>
        <vt:lpwstr/>
      </vt:variant>
      <vt:variant>
        <vt:lpwstr>_Toc218517857</vt:lpwstr>
      </vt:variant>
      <vt:variant>
        <vt:i4>1114163</vt:i4>
      </vt:variant>
      <vt:variant>
        <vt:i4>578</vt:i4>
      </vt:variant>
      <vt:variant>
        <vt:i4>0</vt:i4>
      </vt:variant>
      <vt:variant>
        <vt:i4>5</vt:i4>
      </vt:variant>
      <vt:variant>
        <vt:lpwstr/>
      </vt:variant>
      <vt:variant>
        <vt:lpwstr>_Toc218517856</vt:lpwstr>
      </vt:variant>
      <vt:variant>
        <vt:i4>1114163</vt:i4>
      </vt:variant>
      <vt:variant>
        <vt:i4>572</vt:i4>
      </vt:variant>
      <vt:variant>
        <vt:i4>0</vt:i4>
      </vt:variant>
      <vt:variant>
        <vt:i4>5</vt:i4>
      </vt:variant>
      <vt:variant>
        <vt:lpwstr/>
      </vt:variant>
      <vt:variant>
        <vt:lpwstr>_Toc218517855</vt:lpwstr>
      </vt:variant>
      <vt:variant>
        <vt:i4>1114163</vt:i4>
      </vt:variant>
      <vt:variant>
        <vt:i4>566</vt:i4>
      </vt:variant>
      <vt:variant>
        <vt:i4>0</vt:i4>
      </vt:variant>
      <vt:variant>
        <vt:i4>5</vt:i4>
      </vt:variant>
      <vt:variant>
        <vt:lpwstr/>
      </vt:variant>
      <vt:variant>
        <vt:lpwstr>_Toc218517854</vt:lpwstr>
      </vt:variant>
      <vt:variant>
        <vt:i4>1114163</vt:i4>
      </vt:variant>
      <vt:variant>
        <vt:i4>560</vt:i4>
      </vt:variant>
      <vt:variant>
        <vt:i4>0</vt:i4>
      </vt:variant>
      <vt:variant>
        <vt:i4>5</vt:i4>
      </vt:variant>
      <vt:variant>
        <vt:lpwstr/>
      </vt:variant>
      <vt:variant>
        <vt:lpwstr>_Toc218517853</vt:lpwstr>
      </vt:variant>
      <vt:variant>
        <vt:i4>1114163</vt:i4>
      </vt:variant>
      <vt:variant>
        <vt:i4>554</vt:i4>
      </vt:variant>
      <vt:variant>
        <vt:i4>0</vt:i4>
      </vt:variant>
      <vt:variant>
        <vt:i4>5</vt:i4>
      </vt:variant>
      <vt:variant>
        <vt:lpwstr/>
      </vt:variant>
      <vt:variant>
        <vt:lpwstr>_Toc218517852</vt:lpwstr>
      </vt:variant>
      <vt:variant>
        <vt:i4>1114163</vt:i4>
      </vt:variant>
      <vt:variant>
        <vt:i4>548</vt:i4>
      </vt:variant>
      <vt:variant>
        <vt:i4>0</vt:i4>
      </vt:variant>
      <vt:variant>
        <vt:i4>5</vt:i4>
      </vt:variant>
      <vt:variant>
        <vt:lpwstr/>
      </vt:variant>
      <vt:variant>
        <vt:lpwstr>_Toc218517851</vt:lpwstr>
      </vt:variant>
      <vt:variant>
        <vt:i4>1114163</vt:i4>
      </vt:variant>
      <vt:variant>
        <vt:i4>542</vt:i4>
      </vt:variant>
      <vt:variant>
        <vt:i4>0</vt:i4>
      </vt:variant>
      <vt:variant>
        <vt:i4>5</vt:i4>
      </vt:variant>
      <vt:variant>
        <vt:lpwstr/>
      </vt:variant>
      <vt:variant>
        <vt:lpwstr>_Toc218517850</vt:lpwstr>
      </vt:variant>
      <vt:variant>
        <vt:i4>1048627</vt:i4>
      </vt:variant>
      <vt:variant>
        <vt:i4>536</vt:i4>
      </vt:variant>
      <vt:variant>
        <vt:i4>0</vt:i4>
      </vt:variant>
      <vt:variant>
        <vt:i4>5</vt:i4>
      </vt:variant>
      <vt:variant>
        <vt:lpwstr/>
      </vt:variant>
      <vt:variant>
        <vt:lpwstr>_Toc218517849</vt:lpwstr>
      </vt:variant>
      <vt:variant>
        <vt:i4>1048627</vt:i4>
      </vt:variant>
      <vt:variant>
        <vt:i4>530</vt:i4>
      </vt:variant>
      <vt:variant>
        <vt:i4>0</vt:i4>
      </vt:variant>
      <vt:variant>
        <vt:i4>5</vt:i4>
      </vt:variant>
      <vt:variant>
        <vt:lpwstr/>
      </vt:variant>
      <vt:variant>
        <vt:lpwstr>_Toc218517848</vt:lpwstr>
      </vt:variant>
      <vt:variant>
        <vt:i4>1048627</vt:i4>
      </vt:variant>
      <vt:variant>
        <vt:i4>524</vt:i4>
      </vt:variant>
      <vt:variant>
        <vt:i4>0</vt:i4>
      </vt:variant>
      <vt:variant>
        <vt:i4>5</vt:i4>
      </vt:variant>
      <vt:variant>
        <vt:lpwstr/>
      </vt:variant>
      <vt:variant>
        <vt:lpwstr>_Toc218517847</vt:lpwstr>
      </vt:variant>
      <vt:variant>
        <vt:i4>1048627</vt:i4>
      </vt:variant>
      <vt:variant>
        <vt:i4>518</vt:i4>
      </vt:variant>
      <vt:variant>
        <vt:i4>0</vt:i4>
      </vt:variant>
      <vt:variant>
        <vt:i4>5</vt:i4>
      </vt:variant>
      <vt:variant>
        <vt:lpwstr/>
      </vt:variant>
      <vt:variant>
        <vt:lpwstr>_Toc218517846</vt:lpwstr>
      </vt:variant>
      <vt:variant>
        <vt:i4>1048627</vt:i4>
      </vt:variant>
      <vt:variant>
        <vt:i4>512</vt:i4>
      </vt:variant>
      <vt:variant>
        <vt:i4>0</vt:i4>
      </vt:variant>
      <vt:variant>
        <vt:i4>5</vt:i4>
      </vt:variant>
      <vt:variant>
        <vt:lpwstr/>
      </vt:variant>
      <vt:variant>
        <vt:lpwstr>_Toc218517845</vt:lpwstr>
      </vt:variant>
      <vt:variant>
        <vt:i4>1048627</vt:i4>
      </vt:variant>
      <vt:variant>
        <vt:i4>506</vt:i4>
      </vt:variant>
      <vt:variant>
        <vt:i4>0</vt:i4>
      </vt:variant>
      <vt:variant>
        <vt:i4>5</vt:i4>
      </vt:variant>
      <vt:variant>
        <vt:lpwstr/>
      </vt:variant>
      <vt:variant>
        <vt:lpwstr>_Toc218517844</vt:lpwstr>
      </vt:variant>
      <vt:variant>
        <vt:i4>1048627</vt:i4>
      </vt:variant>
      <vt:variant>
        <vt:i4>500</vt:i4>
      </vt:variant>
      <vt:variant>
        <vt:i4>0</vt:i4>
      </vt:variant>
      <vt:variant>
        <vt:i4>5</vt:i4>
      </vt:variant>
      <vt:variant>
        <vt:lpwstr/>
      </vt:variant>
      <vt:variant>
        <vt:lpwstr>_Toc218517843</vt:lpwstr>
      </vt:variant>
      <vt:variant>
        <vt:i4>1048627</vt:i4>
      </vt:variant>
      <vt:variant>
        <vt:i4>494</vt:i4>
      </vt:variant>
      <vt:variant>
        <vt:i4>0</vt:i4>
      </vt:variant>
      <vt:variant>
        <vt:i4>5</vt:i4>
      </vt:variant>
      <vt:variant>
        <vt:lpwstr/>
      </vt:variant>
      <vt:variant>
        <vt:lpwstr>_Toc218517842</vt:lpwstr>
      </vt:variant>
      <vt:variant>
        <vt:i4>1048627</vt:i4>
      </vt:variant>
      <vt:variant>
        <vt:i4>488</vt:i4>
      </vt:variant>
      <vt:variant>
        <vt:i4>0</vt:i4>
      </vt:variant>
      <vt:variant>
        <vt:i4>5</vt:i4>
      </vt:variant>
      <vt:variant>
        <vt:lpwstr/>
      </vt:variant>
      <vt:variant>
        <vt:lpwstr>_Toc218517841</vt:lpwstr>
      </vt:variant>
      <vt:variant>
        <vt:i4>1048627</vt:i4>
      </vt:variant>
      <vt:variant>
        <vt:i4>482</vt:i4>
      </vt:variant>
      <vt:variant>
        <vt:i4>0</vt:i4>
      </vt:variant>
      <vt:variant>
        <vt:i4>5</vt:i4>
      </vt:variant>
      <vt:variant>
        <vt:lpwstr/>
      </vt:variant>
      <vt:variant>
        <vt:lpwstr>_Toc218517840</vt:lpwstr>
      </vt:variant>
      <vt:variant>
        <vt:i4>1507379</vt:i4>
      </vt:variant>
      <vt:variant>
        <vt:i4>476</vt:i4>
      </vt:variant>
      <vt:variant>
        <vt:i4>0</vt:i4>
      </vt:variant>
      <vt:variant>
        <vt:i4>5</vt:i4>
      </vt:variant>
      <vt:variant>
        <vt:lpwstr/>
      </vt:variant>
      <vt:variant>
        <vt:lpwstr>_Toc218517839</vt:lpwstr>
      </vt:variant>
      <vt:variant>
        <vt:i4>1507379</vt:i4>
      </vt:variant>
      <vt:variant>
        <vt:i4>470</vt:i4>
      </vt:variant>
      <vt:variant>
        <vt:i4>0</vt:i4>
      </vt:variant>
      <vt:variant>
        <vt:i4>5</vt:i4>
      </vt:variant>
      <vt:variant>
        <vt:lpwstr/>
      </vt:variant>
      <vt:variant>
        <vt:lpwstr>_Toc218517838</vt:lpwstr>
      </vt:variant>
      <vt:variant>
        <vt:i4>1507379</vt:i4>
      </vt:variant>
      <vt:variant>
        <vt:i4>464</vt:i4>
      </vt:variant>
      <vt:variant>
        <vt:i4>0</vt:i4>
      </vt:variant>
      <vt:variant>
        <vt:i4>5</vt:i4>
      </vt:variant>
      <vt:variant>
        <vt:lpwstr/>
      </vt:variant>
      <vt:variant>
        <vt:lpwstr>_Toc218517837</vt:lpwstr>
      </vt:variant>
      <vt:variant>
        <vt:i4>1507379</vt:i4>
      </vt:variant>
      <vt:variant>
        <vt:i4>458</vt:i4>
      </vt:variant>
      <vt:variant>
        <vt:i4>0</vt:i4>
      </vt:variant>
      <vt:variant>
        <vt:i4>5</vt:i4>
      </vt:variant>
      <vt:variant>
        <vt:lpwstr/>
      </vt:variant>
      <vt:variant>
        <vt:lpwstr>_Toc218517836</vt:lpwstr>
      </vt:variant>
      <vt:variant>
        <vt:i4>1507379</vt:i4>
      </vt:variant>
      <vt:variant>
        <vt:i4>452</vt:i4>
      </vt:variant>
      <vt:variant>
        <vt:i4>0</vt:i4>
      </vt:variant>
      <vt:variant>
        <vt:i4>5</vt:i4>
      </vt:variant>
      <vt:variant>
        <vt:lpwstr/>
      </vt:variant>
      <vt:variant>
        <vt:lpwstr>_Toc218517835</vt:lpwstr>
      </vt:variant>
      <vt:variant>
        <vt:i4>1507379</vt:i4>
      </vt:variant>
      <vt:variant>
        <vt:i4>446</vt:i4>
      </vt:variant>
      <vt:variant>
        <vt:i4>0</vt:i4>
      </vt:variant>
      <vt:variant>
        <vt:i4>5</vt:i4>
      </vt:variant>
      <vt:variant>
        <vt:lpwstr/>
      </vt:variant>
      <vt:variant>
        <vt:lpwstr>_Toc218517834</vt:lpwstr>
      </vt:variant>
      <vt:variant>
        <vt:i4>1507379</vt:i4>
      </vt:variant>
      <vt:variant>
        <vt:i4>440</vt:i4>
      </vt:variant>
      <vt:variant>
        <vt:i4>0</vt:i4>
      </vt:variant>
      <vt:variant>
        <vt:i4>5</vt:i4>
      </vt:variant>
      <vt:variant>
        <vt:lpwstr/>
      </vt:variant>
      <vt:variant>
        <vt:lpwstr>_Toc218517833</vt:lpwstr>
      </vt:variant>
      <vt:variant>
        <vt:i4>1507379</vt:i4>
      </vt:variant>
      <vt:variant>
        <vt:i4>434</vt:i4>
      </vt:variant>
      <vt:variant>
        <vt:i4>0</vt:i4>
      </vt:variant>
      <vt:variant>
        <vt:i4>5</vt:i4>
      </vt:variant>
      <vt:variant>
        <vt:lpwstr/>
      </vt:variant>
      <vt:variant>
        <vt:lpwstr>_Toc218517832</vt:lpwstr>
      </vt:variant>
      <vt:variant>
        <vt:i4>1507379</vt:i4>
      </vt:variant>
      <vt:variant>
        <vt:i4>428</vt:i4>
      </vt:variant>
      <vt:variant>
        <vt:i4>0</vt:i4>
      </vt:variant>
      <vt:variant>
        <vt:i4>5</vt:i4>
      </vt:variant>
      <vt:variant>
        <vt:lpwstr/>
      </vt:variant>
      <vt:variant>
        <vt:lpwstr>_Toc218517831</vt:lpwstr>
      </vt:variant>
      <vt:variant>
        <vt:i4>1507379</vt:i4>
      </vt:variant>
      <vt:variant>
        <vt:i4>422</vt:i4>
      </vt:variant>
      <vt:variant>
        <vt:i4>0</vt:i4>
      </vt:variant>
      <vt:variant>
        <vt:i4>5</vt:i4>
      </vt:variant>
      <vt:variant>
        <vt:lpwstr/>
      </vt:variant>
      <vt:variant>
        <vt:lpwstr>_Toc218517830</vt:lpwstr>
      </vt:variant>
      <vt:variant>
        <vt:i4>1441843</vt:i4>
      </vt:variant>
      <vt:variant>
        <vt:i4>416</vt:i4>
      </vt:variant>
      <vt:variant>
        <vt:i4>0</vt:i4>
      </vt:variant>
      <vt:variant>
        <vt:i4>5</vt:i4>
      </vt:variant>
      <vt:variant>
        <vt:lpwstr/>
      </vt:variant>
      <vt:variant>
        <vt:lpwstr>_Toc218517829</vt:lpwstr>
      </vt:variant>
      <vt:variant>
        <vt:i4>1441843</vt:i4>
      </vt:variant>
      <vt:variant>
        <vt:i4>410</vt:i4>
      </vt:variant>
      <vt:variant>
        <vt:i4>0</vt:i4>
      </vt:variant>
      <vt:variant>
        <vt:i4>5</vt:i4>
      </vt:variant>
      <vt:variant>
        <vt:lpwstr/>
      </vt:variant>
      <vt:variant>
        <vt:lpwstr>_Toc218517828</vt:lpwstr>
      </vt:variant>
      <vt:variant>
        <vt:i4>1441843</vt:i4>
      </vt:variant>
      <vt:variant>
        <vt:i4>404</vt:i4>
      </vt:variant>
      <vt:variant>
        <vt:i4>0</vt:i4>
      </vt:variant>
      <vt:variant>
        <vt:i4>5</vt:i4>
      </vt:variant>
      <vt:variant>
        <vt:lpwstr/>
      </vt:variant>
      <vt:variant>
        <vt:lpwstr>_Toc218517827</vt:lpwstr>
      </vt:variant>
      <vt:variant>
        <vt:i4>1441843</vt:i4>
      </vt:variant>
      <vt:variant>
        <vt:i4>398</vt:i4>
      </vt:variant>
      <vt:variant>
        <vt:i4>0</vt:i4>
      </vt:variant>
      <vt:variant>
        <vt:i4>5</vt:i4>
      </vt:variant>
      <vt:variant>
        <vt:lpwstr/>
      </vt:variant>
      <vt:variant>
        <vt:lpwstr>_Toc218517826</vt:lpwstr>
      </vt:variant>
      <vt:variant>
        <vt:i4>1441843</vt:i4>
      </vt:variant>
      <vt:variant>
        <vt:i4>392</vt:i4>
      </vt:variant>
      <vt:variant>
        <vt:i4>0</vt:i4>
      </vt:variant>
      <vt:variant>
        <vt:i4>5</vt:i4>
      </vt:variant>
      <vt:variant>
        <vt:lpwstr/>
      </vt:variant>
      <vt:variant>
        <vt:lpwstr>_Toc218517825</vt:lpwstr>
      </vt:variant>
      <vt:variant>
        <vt:i4>1441843</vt:i4>
      </vt:variant>
      <vt:variant>
        <vt:i4>386</vt:i4>
      </vt:variant>
      <vt:variant>
        <vt:i4>0</vt:i4>
      </vt:variant>
      <vt:variant>
        <vt:i4>5</vt:i4>
      </vt:variant>
      <vt:variant>
        <vt:lpwstr/>
      </vt:variant>
      <vt:variant>
        <vt:lpwstr>_Toc218517824</vt:lpwstr>
      </vt:variant>
      <vt:variant>
        <vt:i4>1441843</vt:i4>
      </vt:variant>
      <vt:variant>
        <vt:i4>380</vt:i4>
      </vt:variant>
      <vt:variant>
        <vt:i4>0</vt:i4>
      </vt:variant>
      <vt:variant>
        <vt:i4>5</vt:i4>
      </vt:variant>
      <vt:variant>
        <vt:lpwstr/>
      </vt:variant>
      <vt:variant>
        <vt:lpwstr>_Toc218517823</vt:lpwstr>
      </vt:variant>
      <vt:variant>
        <vt:i4>1441843</vt:i4>
      </vt:variant>
      <vt:variant>
        <vt:i4>374</vt:i4>
      </vt:variant>
      <vt:variant>
        <vt:i4>0</vt:i4>
      </vt:variant>
      <vt:variant>
        <vt:i4>5</vt:i4>
      </vt:variant>
      <vt:variant>
        <vt:lpwstr/>
      </vt:variant>
      <vt:variant>
        <vt:lpwstr>_Toc218517822</vt:lpwstr>
      </vt:variant>
      <vt:variant>
        <vt:i4>1441843</vt:i4>
      </vt:variant>
      <vt:variant>
        <vt:i4>368</vt:i4>
      </vt:variant>
      <vt:variant>
        <vt:i4>0</vt:i4>
      </vt:variant>
      <vt:variant>
        <vt:i4>5</vt:i4>
      </vt:variant>
      <vt:variant>
        <vt:lpwstr/>
      </vt:variant>
      <vt:variant>
        <vt:lpwstr>_Toc218517821</vt:lpwstr>
      </vt:variant>
      <vt:variant>
        <vt:i4>1441843</vt:i4>
      </vt:variant>
      <vt:variant>
        <vt:i4>362</vt:i4>
      </vt:variant>
      <vt:variant>
        <vt:i4>0</vt:i4>
      </vt:variant>
      <vt:variant>
        <vt:i4>5</vt:i4>
      </vt:variant>
      <vt:variant>
        <vt:lpwstr/>
      </vt:variant>
      <vt:variant>
        <vt:lpwstr>_Toc218517820</vt:lpwstr>
      </vt:variant>
      <vt:variant>
        <vt:i4>1376307</vt:i4>
      </vt:variant>
      <vt:variant>
        <vt:i4>356</vt:i4>
      </vt:variant>
      <vt:variant>
        <vt:i4>0</vt:i4>
      </vt:variant>
      <vt:variant>
        <vt:i4>5</vt:i4>
      </vt:variant>
      <vt:variant>
        <vt:lpwstr/>
      </vt:variant>
      <vt:variant>
        <vt:lpwstr>_Toc218517819</vt:lpwstr>
      </vt:variant>
      <vt:variant>
        <vt:i4>1376307</vt:i4>
      </vt:variant>
      <vt:variant>
        <vt:i4>350</vt:i4>
      </vt:variant>
      <vt:variant>
        <vt:i4>0</vt:i4>
      </vt:variant>
      <vt:variant>
        <vt:i4>5</vt:i4>
      </vt:variant>
      <vt:variant>
        <vt:lpwstr/>
      </vt:variant>
      <vt:variant>
        <vt:lpwstr>_Toc218517818</vt:lpwstr>
      </vt:variant>
      <vt:variant>
        <vt:i4>1376307</vt:i4>
      </vt:variant>
      <vt:variant>
        <vt:i4>344</vt:i4>
      </vt:variant>
      <vt:variant>
        <vt:i4>0</vt:i4>
      </vt:variant>
      <vt:variant>
        <vt:i4>5</vt:i4>
      </vt:variant>
      <vt:variant>
        <vt:lpwstr/>
      </vt:variant>
      <vt:variant>
        <vt:lpwstr>_Toc218517817</vt:lpwstr>
      </vt:variant>
      <vt:variant>
        <vt:i4>1376307</vt:i4>
      </vt:variant>
      <vt:variant>
        <vt:i4>338</vt:i4>
      </vt:variant>
      <vt:variant>
        <vt:i4>0</vt:i4>
      </vt:variant>
      <vt:variant>
        <vt:i4>5</vt:i4>
      </vt:variant>
      <vt:variant>
        <vt:lpwstr/>
      </vt:variant>
      <vt:variant>
        <vt:lpwstr>_Toc218517816</vt:lpwstr>
      </vt:variant>
      <vt:variant>
        <vt:i4>1376307</vt:i4>
      </vt:variant>
      <vt:variant>
        <vt:i4>332</vt:i4>
      </vt:variant>
      <vt:variant>
        <vt:i4>0</vt:i4>
      </vt:variant>
      <vt:variant>
        <vt:i4>5</vt:i4>
      </vt:variant>
      <vt:variant>
        <vt:lpwstr/>
      </vt:variant>
      <vt:variant>
        <vt:lpwstr>_Toc218517815</vt:lpwstr>
      </vt:variant>
      <vt:variant>
        <vt:i4>1376307</vt:i4>
      </vt:variant>
      <vt:variant>
        <vt:i4>326</vt:i4>
      </vt:variant>
      <vt:variant>
        <vt:i4>0</vt:i4>
      </vt:variant>
      <vt:variant>
        <vt:i4>5</vt:i4>
      </vt:variant>
      <vt:variant>
        <vt:lpwstr/>
      </vt:variant>
      <vt:variant>
        <vt:lpwstr>_Toc218517814</vt:lpwstr>
      </vt:variant>
      <vt:variant>
        <vt:i4>1376307</vt:i4>
      </vt:variant>
      <vt:variant>
        <vt:i4>320</vt:i4>
      </vt:variant>
      <vt:variant>
        <vt:i4>0</vt:i4>
      </vt:variant>
      <vt:variant>
        <vt:i4>5</vt:i4>
      </vt:variant>
      <vt:variant>
        <vt:lpwstr/>
      </vt:variant>
      <vt:variant>
        <vt:lpwstr>_Toc218517813</vt:lpwstr>
      </vt:variant>
      <vt:variant>
        <vt:i4>1376307</vt:i4>
      </vt:variant>
      <vt:variant>
        <vt:i4>314</vt:i4>
      </vt:variant>
      <vt:variant>
        <vt:i4>0</vt:i4>
      </vt:variant>
      <vt:variant>
        <vt:i4>5</vt:i4>
      </vt:variant>
      <vt:variant>
        <vt:lpwstr/>
      </vt:variant>
      <vt:variant>
        <vt:lpwstr>_Toc218517812</vt:lpwstr>
      </vt:variant>
      <vt:variant>
        <vt:i4>1376307</vt:i4>
      </vt:variant>
      <vt:variant>
        <vt:i4>308</vt:i4>
      </vt:variant>
      <vt:variant>
        <vt:i4>0</vt:i4>
      </vt:variant>
      <vt:variant>
        <vt:i4>5</vt:i4>
      </vt:variant>
      <vt:variant>
        <vt:lpwstr/>
      </vt:variant>
      <vt:variant>
        <vt:lpwstr>_Toc218517811</vt:lpwstr>
      </vt:variant>
      <vt:variant>
        <vt:i4>1376307</vt:i4>
      </vt:variant>
      <vt:variant>
        <vt:i4>302</vt:i4>
      </vt:variant>
      <vt:variant>
        <vt:i4>0</vt:i4>
      </vt:variant>
      <vt:variant>
        <vt:i4>5</vt:i4>
      </vt:variant>
      <vt:variant>
        <vt:lpwstr/>
      </vt:variant>
      <vt:variant>
        <vt:lpwstr>_Toc218517810</vt:lpwstr>
      </vt:variant>
      <vt:variant>
        <vt:i4>1310771</vt:i4>
      </vt:variant>
      <vt:variant>
        <vt:i4>296</vt:i4>
      </vt:variant>
      <vt:variant>
        <vt:i4>0</vt:i4>
      </vt:variant>
      <vt:variant>
        <vt:i4>5</vt:i4>
      </vt:variant>
      <vt:variant>
        <vt:lpwstr/>
      </vt:variant>
      <vt:variant>
        <vt:lpwstr>_Toc218517809</vt:lpwstr>
      </vt:variant>
      <vt:variant>
        <vt:i4>1310771</vt:i4>
      </vt:variant>
      <vt:variant>
        <vt:i4>290</vt:i4>
      </vt:variant>
      <vt:variant>
        <vt:i4>0</vt:i4>
      </vt:variant>
      <vt:variant>
        <vt:i4>5</vt:i4>
      </vt:variant>
      <vt:variant>
        <vt:lpwstr/>
      </vt:variant>
      <vt:variant>
        <vt:lpwstr>_Toc218517808</vt:lpwstr>
      </vt:variant>
      <vt:variant>
        <vt:i4>1310771</vt:i4>
      </vt:variant>
      <vt:variant>
        <vt:i4>284</vt:i4>
      </vt:variant>
      <vt:variant>
        <vt:i4>0</vt:i4>
      </vt:variant>
      <vt:variant>
        <vt:i4>5</vt:i4>
      </vt:variant>
      <vt:variant>
        <vt:lpwstr/>
      </vt:variant>
      <vt:variant>
        <vt:lpwstr>_Toc218517807</vt:lpwstr>
      </vt:variant>
      <vt:variant>
        <vt:i4>1310771</vt:i4>
      </vt:variant>
      <vt:variant>
        <vt:i4>278</vt:i4>
      </vt:variant>
      <vt:variant>
        <vt:i4>0</vt:i4>
      </vt:variant>
      <vt:variant>
        <vt:i4>5</vt:i4>
      </vt:variant>
      <vt:variant>
        <vt:lpwstr/>
      </vt:variant>
      <vt:variant>
        <vt:lpwstr>_Toc218517806</vt:lpwstr>
      </vt:variant>
      <vt:variant>
        <vt:i4>1310771</vt:i4>
      </vt:variant>
      <vt:variant>
        <vt:i4>272</vt:i4>
      </vt:variant>
      <vt:variant>
        <vt:i4>0</vt:i4>
      </vt:variant>
      <vt:variant>
        <vt:i4>5</vt:i4>
      </vt:variant>
      <vt:variant>
        <vt:lpwstr/>
      </vt:variant>
      <vt:variant>
        <vt:lpwstr>_Toc218517805</vt:lpwstr>
      </vt:variant>
      <vt:variant>
        <vt:i4>1310771</vt:i4>
      </vt:variant>
      <vt:variant>
        <vt:i4>266</vt:i4>
      </vt:variant>
      <vt:variant>
        <vt:i4>0</vt:i4>
      </vt:variant>
      <vt:variant>
        <vt:i4>5</vt:i4>
      </vt:variant>
      <vt:variant>
        <vt:lpwstr/>
      </vt:variant>
      <vt:variant>
        <vt:lpwstr>_Toc218517804</vt:lpwstr>
      </vt:variant>
      <vt:variant>
        <vt:i4>1310771</vt:i4>
      </vt:variant>
      <vt:variant>
        <vt:i4>260</vt:i4>
      </vt:variant>
      <vt:variant>
        <vt:i4>0</vt:i4>
      </vt:variant>
      <vt:variant>
        <vt:i4>5</vt:i4>
      </vt:variant>
      <vt:variant>
        <vt:lpwstr/>
      </vt:variant>
      <vt:variant>
        <vt:lpwstr>_Toc218517803</vt:lpwstr>
      </vt:variant>
      <vt:variant>
        <vt:i4>1310771</vt:i4>
      </vt:variant>
      <vt:variant>
        <vt:i4>254</vt:i4>
      </vt:variant>
      <vt:variant>
        <vt:i4>0</vt:i4>
      </vt:variant>
      <vt:variant>
        <vt:i4>5</vt:i4>
      </vt:variant>
      <vt:variant>
        <vt:lpwstr/>
      </vt:variant>
      <vt:variant>
        <vt:lpwstr>_Toc218517802</vt:lpwstr>
      </vt:variant>
      <vt:variant>
        <vt:i4>1310771</vt:i4>
      </vt:variant>
      <vt:variant>
        <vt:i4>248</vt:i4>
      </vt:variant>
      <vt:variant>
        <vt:i4>0</vt:i4>
      </vt:variant>
      <vt:variant>
        <vt:i4>5</vt:i4>
      </vt:variant>
      <vt:variant>
        <vt:lpwstr/>
      </vt:variant>
      <vt:variant>
        <vt:lpwstr>_Toc218517801</vt:lpwstr>
      </vt:variant>
      <vt:variant>
        <vt:i4>1310771</vt:i4>
      </vt:variant>
      <vt:variant>
        <vt:i4>242</vt:i4>
      </vt:variant>
      <vt:variant>
        <vt:i4>0</vt:i4>
      </vt:variant>
      <vt:variant>
        <vt:i4>5</vt:i4>
      </vt:variant>
      <vt:variant>
        <vt:lpwstr/>
      </vt:variant>
      <vt:variant>
        <vt:lpwstr>_Toc218517800</vt:lpwstr>
      </vt:variant>
      <vt:variant>
        <vt:i4>1900604</vt:i4>
      </vt:variant>
      <vt:variant>
        <vt:i4>236</vt:i4>
      </vt:variant>
      <vt:variant>
        <vt:i4>0</vt:i4>
      </vt:variant>
      <vt:variant>
        <vt:i4>5</vt:i4>
      </vt:variant>
      <vt:variant>
        <vt:lpwstr/>
      </vt:variant>
      <vt:variant>
        <vt:lpwstr>_Toc218517799</vt:lpwstr>
      </vt:variant>
      <vt:variant>
        <vt:i4>1900604</vt:i4>
      </vt:variant>
      <vt:variant>
        <vt:i4>230</vt:i4>
      </vt:variant>
      <vt:variant>
        <vt:i4>0</vt:i4>
      </vt:variant>
      <vt:variant>
        <vt:i4>5</vt:i4>
      </vt:variant>
      <vt:variant>
        <vt:lpwstr/>
      </vt:variant>
      <vt:variant>
        <vt:lpwstr>_Toc218517798</vt:lpwstr>
      </vt:variant>
      <vt:variant>
        <vt:i4>1900604</vt:i4>
      </vt:variant>
      <vt:variant>
        <vt:i4>224</vt:i4>
      </vt:variant>
      <vt:variant>
        <vt:i4>0</vt:i4>
      </vt:variant>
      <vt:variant>
        <vt:i4>5</vt:i4>
      </vt:variant>
      <vt:variant>
        <vt:lpwstr/>
      </vt:variant>
      <vt:variant>
        <vt:lpwstr>_Toc218517797</vt:lpwstr>
      </vt:variant>
      <vt:variant>
        <vt:i4>1900604</vt:i4>
      </vt:variant>
      <vt:variant>
        <vt:i4>218</vt:i4>
      </vt:variant>
      <vt:variant>
        <vt:i4>0</vt:i4>
      </vt:variant>
      <vt:variant>
        <vt:i4>5</vt:i4>
      </vt:variant>
      <vt:variant>
        <vt:lpwstr/>
      </vt:variant>
      <vt:variant>
        <vt:lpwstr>_Toc218517796</vt:lpwstr>
      </vt:variant>
      <vt:variant>
        <vt:i4>1900604</vt:i4>
      </vt:variant>
      <vt:variant>
        <vt:i4>212</vt:i4>
      </vt:variant>
      <vt:variant>
        <vt:i4>0</vt:i4>
      </vt:variant>
      <vt:variant>
        <vt:i4>5</vt:i4>
      </vt:variant>
      <vt:variant>
        <vt:lpwstr/>
      </vt:variant>
      <vt:variant>
        <vt:lpwstr>_Toc218517795</vt:lpwstr>
      </vt:variant>
      <vt:variant>
        <vt:i4>1900604</vt:i4>
      </vt:variant>
      <vt:variant>
        <vt:i4>206</vt:i4>
      </vt:variant>
      <vt:variant>
        <vt:i4>0</vt:i4>
      </vt:variant>
      <vt:variant>
        <vt:i4>5</vt:i4>
      </vt:variant>
      <vt:variant>
        <vt:lpwstr/>
      </vt:variant>
      <vt:variant>
        <vt:lpwstr>_Toc218517794</vt:lpwstr>
      </vt:variant>
      <vt:variant>
        <vt:i4>1900604</vt:i4>
      </vt:variant>
      <vt:variant>
        <vt:i4>200</vt:i4>
      </vt:variant>
      <vt:variant>
        <vt:i4>0</vt:i4>
      </vt:variant>
      <vt:variant>
        <vt:i4>5</vt:i4>
      </vt:variant>
      <vt:variant>
        <vt:lpwstr/>
      </vt:variant>
      <vt:variant>
        <vt:lpwstr>_Toc218517793</vt:lpwstr>
      </vt:variant>
      <vt:variant>
        <vt:i4>1900604</vt:i4>
      </vt:variant>
      <vt:variant>
        <vt:i4>194</vt:i4>
      </vt:variant>
      <vt:variant>
        <vt:i4>0</vt:i4>
      </vt:variant>
      <vt:variant>
        <vt:i4>5</vt:i4>
      </vt:variant>
      <vt:variant>
        <vt:lpwstr/>
      </vt:variant>
      <vt:variant>
        <vt:lpwstr>_Toc218517792</vt:lpwstr>
      </vt:variant>
      <vt:variant>
        <vt:i4>1900604</vt:i4>
      </vt:variant>
      <vt:variant>
        <vt:i4>188</vt:i4>
      </vt:variant>
      <vt:variant>
        <vt:i4>0</vt:i4>
      </vt:variant>
      <vt:variant>
        <vt:i4>5</vt:i4>
      </vt:variant>
      <vt:variant>
        <vt:lpwstr/>
      </vt:variant>
      <vt:variant>
        <vt:lpwstr>_Toc218517791</vt:lpwstr>
      </vt:variant>
      <vt:variant>
        <vt:i4>1900604</vt:i4>
      </vt:variant>
      <vt:variant>
        <vt:i4>182</vt:i4>
      </vt:variant>
      <vt:variant>
        <vt:i4>0</vt:i4>
      </vt:variant>
      <vt:variant>
        <vt:i4>5</vt:i4>
      </vt:variant>
      <vt:variant>
        <vt:lpwstr/>
      </vt:variant>
      <vt:variant>
        <vt:lpwstr>_Toc218517790</vt:lpwstr>
      </vt:variant>
      <vt:variant>
        <vt:i4>1835068</vt:i4>
      </vt:variant>
      <vt:variant>
        <vt:i4>176</vt:i4>
      </vt:variant>
      <vt:variant>
        <vt:i4>0</vt:i4>
      </vt:variant>
      <vt:variant>
        <vt:i4>5</vt:i4>
      </vt:variant>
      <vt:variant>
        <vt:lpwstr/>
      </vt:variant>
      <vt:variant>
        <vt:lpwstr>_Toc218517789</vt:lpwstr>
      </vt:variant>
      <vt:variant>
        <vt:i4>1835068</vt:i4>
      </vt:variant>
      <vt:variant>
        <vt:i4>170</vt:i4>
      </vt:variant>
      <vt:variant>
        <vt:i4>0</vt:i4>
      </vt:variant>
      <vt:variant>
        <vt:i4>5</vt:i4>
      </vt:variant>
      <vt:variant>
        <vt:lpwstr/>
      </vt:variant>
      <vt:variant>
        <vt:lpwstr>_Toc218517788</vt:lpwstr>
      </vt:variant>
      <vt:variant>
        <vt:i4>1835068</vt:i4>
      </vt:variant>
      <vt:variant>
        <vt:i4>164</vt:i4>
      </vt:variant>
      <vt:variant>
        <vt:i4>0</vt:i4>
      </vt:variant>
      <vt:variant>
        <vt:i4>5</vt:i4>
      </vt:variant>
      <vt:variant>
        <vt:lpwstr/>
      </vt:variant>
      <vt:variant>
        <vt:lpwstr>_Toc218517787</vt:lpwstr>
      </vt:variant>
      <vt:variant>
        <vt:i4>1835068</vt:i4>
      </vt:variant>
      <vt:variant>
        <vt:i4>158</vt:i4>
      </vt:variant>
      <vt:variant>
        <vt:i4>0</vt:i4>
      </vt:variant>
      <vt:variant>
        <vt:i4>5</vt:i4>
      </vt:variant>
      <vt:variant>
        <vt:lpwstr/>
      </vt:variant>
      <vt:variant>
        <vt:lpwstr>_Toc218517786</vt:lpwstr>
      </vt:variant>
      <vt:variant>
        <vt:i4>1835068</vt:i4>
      </vt:variant>
      <vt:variant>
        <vt:i4>152</vt:i4>
      </vt:variant>
      <vt:variant>
        <vt:i4>0</vt:i4>
      </vt:variant>
      <vt:variant>
        <vt:i4>5</vt:i4>
      </vt:variant>
      <vt:variant>
        <vt:lpwstr/>
      </vt:variant>
      <vt:variant>
        <vt:lpwstr>_Toc218517785</vt:lpwstr>
      </vt:variant>
      <vt:variant>
        <vt:i4>1835068</vt:i4>
      </vt:variant>
      <vt:variant>
        <vt:i4>146</vt:i4>
      </vt:variant>
      <vt:variant>
        <vt:i4>0</vt:i4>
      </vt:variant>
      <vt:variant>
        <vt:i4>5</vt:i4>
      </vt:variant>
      <vt:variant>
        <vt:lpwstr/>
      </vt:variant>
      <vt:variant>
        <vt:lpwstr>_Toc218517784</vt:lpwstr>
      </vt:variant>
      <vt:variant>
        <vt:i4>1835068</vt:i4>
      </vt:variant>
      <vt:variant>
        <vt:i4>140</vt:i4>
      </vt:variant>
      <vt:variant>
        <vt:i4>0</vt:i4>
      </vt:variant>
      <vt:variant>
        <vt:i4>5</vt:i4>
      </vt:variant>
      <vt:variant>
        <vt:lpwstr/>
      </vt:variant>
      <vt:variant>
        <vt:lpwstr>_Toc218517783</vt:lpwstr>
      </vt:variant>
      <vt:variant>
        <vt:i4>1835068</vt:i4>
      </vt:variant>
      <vt:variant>
        <vt:i4>134</vt:i4>
      </vt:variant>
      <vt:variant>
        <vt:i4>0</vt:i4>
      </vt:variant>
      <vt:variant>
        <vt:i4>5</vt:i4>
      </vt:variant>
      <vt:variant>
        <vt:lpwstr/>
      </vt:variant>
      <vt:variant>
        <vt:lpwstr>_Toc218517782</vt:lpwstr>
      </vt:variant>
      <vt:variant>
        <vt:i4>1835068</vt:i4>
      </vt:variant>
      <vt:variant>
        <vt:i4>128</vt:i4>
      </vt:variant>
      <vt:variant>
        <vt:i4>0</vt:i4>
      </vt:variant>
      <vt:variant>
        <vt:i4>5</vt:i4>
      </vt:variant>
      <vt:variant>
        <vt:lpwstr/>
      </vt:variant>
      <vt:variant>
        <vt:lpwstr>_Toc218517781</vt:lpwstr>
      </vt:variant>
      <vt:variant>
        <vt:i4>1835068</vt:i4>
      </vt:variant>
      <vt:variant>
        <vt:i4>122</vt:i4>
      </vt:variant>
      <vt:variant>
        <vt:i4>0</vt:i4>
      </vt:variant>
      <vt:variant>
        <vt:i4>5</vt:i4>
      </vt:variant>
      <vt:variant>
        <vt:lpwstr/>
      </vt:variant>
      <vt:variant>
        <vt:lpwstr>_Toc218517780</vt:lpwstr>
      </vt:variant>
      <vt:variant>
        <vt:i4>1245244</vt:i4>
      </vt:variant>
      <vt:variant>
        <vt:i4>116</vt:i4>
      </vt:variant>
      <vt:variant>
        <vt:i4>0</vt:i4>
      </vt:variant>
      <vt:variant>
        <vt:i4>5</vt:i4>
      </vt:variant>
      <vt:variant>
        <vt:lpwstr/>
      </vt:variant>
      <vt:variant>
        <vt:lpwstr>_Toc218517779</vt:lpwstr>
      </vt:variant>
      <vt:variant>
        <vt:i4>1245244</vt:i4>
      </vt:variant>
      <vt:variant>
        <vt:i4>110</vt:i4>
      </vt:variant>
      <vt:variant>
        <vt:i4>0</vt:i4>
      </vt:variant>
      <vt:variant>
        <vt:i4>5</vt:i4>
      </vt:variant>
      <vt:variant>
        <vt:lpwstr/>
      </vt:variant>
      <vt:variant>
        <vt:lpwstr>_Toc218517778</vt:lpwstr>
      </vt:variant>
      <vt:variant>
        <vt:i4>1245244</vt:i4>
      </vt:variant>
      <vt:variant>
        <vt:i4>104</vt:i4>
      </vt:variant>
      <vt:variant>
        <vt:i4>0</vt:i4>
      </vt:variant>
      <vt:variant>
        <vt:i4>5</vt:i4>
      </vt:variant>
      <vt:variant>
        <vt:lpwstr/>
      </vt:variant>
      <vt:variant>
        <vt:lpwstr>_Toc218517777</vt:lpwstr>
      </vt:variant>
      <vt:variant>
        <vt:i4>1245244</vt:i4>
      </vt:variant>
      <vt:variant>
        <vt:i4>98</vt:i4>
      </vt:variant>
      <vt:variant>
        <vt:i4>0</vt:i4>
      </vt:variant>
      <vt:variant>
        <vt:i4>5</vt:i4>
      </vt:variant>
      <vt:variant>
        <vt:lpwstr/>
      </vt:variant>
      <vt:variant>
        <vt:lpwstr>_Toc218517776</vt:lpwstr>
      </vt:variant>
      <vt:variant>
        <vt:i4>1245244</vt:i4>
      </vt:variant>
      <vt:variant>
        <vt:i4>92</vt:i4>
      </vt:variant>
      <vt:variant>
        <vt:i4>0</vt:i4>
      </vt:variant>
      <vt:variant>
        <vt:i4>5</vt:i4>
      </vt:variant>
      <vt:variant>
        <vt:lpwstr/>
      </vt:variant>
      <vt:variant>
        <vt:lpwstr>_Toc218517775</vt:lpwstr>
      </vt:variant>
      <vt:variant>
        <vt:i4>1245244</vt:i4>
      </vt:variant>
      <vt:variant>
        <vt:i4>86</vt:i4>
      </vt:variant>
      <vt:variant>
        <vt:i4>0</vt:i4>
      </vt:variant>
      <vt:variant>
        <vt:i4>5</vt:i4>
      </vt:variant>
      <vt:variant>
        <vt:lpwstr/>
      </vt:variant>
      <vt:variant>
        <vt:lpwstr>_Toc218517774</vt:lpwstr>
      </vt:variant>
      <vt:variant>
        <vt:i4>1245244</vt:i4>
      </vt:variant>
      <vt:variant>
        <vt:i4>80</vt:i4>
      </vt:variant>
      <vt:variant>
        <vt:i4>0</vt:i4>
      </vt:variant>
      <vt:variant>
        <vt:i4>5</vt:i4>
      </vt:variant>
      <vt:variant>
        <vt:lpwstr/>
      </vt:variant>
      <vt:variant>
        <vt:lpwstr>_Toc218517773</vt:lpwstr>
      </vt:variant>
      <vt:variant>
        <vt:i4>1245244</vt:i4>
      </vt:variant>
      <vt:variant>
        <vt:i4>74</vt:i4>
      </vt:variant>
      <vt:variant>
        <vt:i4>0</vt:i4>
      </vt:variant>
      <vt:variant>
        <vt:i4>5</vt:i4>
      </vt:variant>
      <vt:variant>
        <vt:lpwstr/>
      </vt:variant>
      <vt:variant>
        <vt:lpwstr>_Toc218517772</vt:lpwstr>
      </vt:variant>
      <vt:variant>
        <vt:i4>1245244</vt:i4>
      </vt:variant>
      <vt:variant>
        <vt:i4>68</vt:i4>
      </vt:variant>
      <vt:variant>
        <vt:i4>0</vt:i4>
      </vt:variant>
      <vt:variant>
        <vt:i4>5</vt:i4>
      </vt:variant>
      <vt:variant>
        <vt:lpwstr/>
      </vt:variant>
      <vt:variant>
        <vt:lpwstr>_Toc218517771</vt:lpwstr>
      </vt:variant>
      <vt:variant>
        <vt:i4>1245244</vt:i4>
      </vt:variant>
      <vt:variant>
        <vt:i4>62</vt:i4>
      </vt:variant>
      <vt:variant>
        <vt:i4>0</vt:i4>
      </vt:variant>
      <vt:variant>
        <vt:i4>5</vt:i4>
      </vt:variant>
      <vt:variant>
        <vt:lpwstr/>
      </vt:variant>
      <vt:variant>
        <vt:lpwstr>_Toc218517770</vt:lpwstr>
      </vt:variant>
      <vt:variant>
        <vt:i4>1179708</vt:i4>
      </vt:variant>
      <vt:variant>
        <vt:i4>56</vt:i4>
      </vt:variant>
      <vt:variant>
        <vt:i4>0</vt:i4>
      </vt:variant>
      <vt:variant>
        <vt:i4>5</vt:i4>
      </vt:variant>
      <vt:variant>
        <vt:lpwstr/>
      </vt:variant>
      <vt:variant>
        <vt:lpwstr>_Toc218517769</vt:lpwstr>
      </vt:variant>
      <vt:variant>
        <vt:i4>1179708</vt:i4>
      </vt:variant>
      <vt:variant>
        <vt:i4>50</vt:i4>
      </vt:variant>
      <vt:variant>
        <vt:i4>0</vt:i4>
      </vt:variant>
      <vt:variant>
        <vt:i4>5</vt:i4>
      </vt:variant>
      <vt:variant>
        <vt:lpwstr/>
      </vt:variant>
      <vt:variant>
        <vt:lpwstr>_Toc218517768</vt:lpwstr>
      </vt:variant>
      <vt:variant>
        <vt:i4>1179708</vt:i4>
      </vt:variant>
      <vt:variant>
        <vt:i4>44</vt:i4>
      </vt:variant>
      <vt:variant>
        <vt:i4>0</vt:i4>
      </vt:variant>
      <vt:variant>
        <vt:i4>5</vt:i4>
      </vt:variant>
      <vt:variant>
        <vt:lpwstr/>
      </vt:variant>
      <vt:variant>
        <vt:lpwstr>_Toc218517767</vt:lpwstr>
      </vt:variant>
      <vt:variant>
        <vt:i4>1179708</vt:i4>
      </vt:variant>
      <vt:variant>
        <vt:i4>38</vt:i4>
      </vt:variant>
      <vt:variant>
        <vt:i4>0</vt:i4>
      </vt:variant>
      <vt:variant>
        <vt:i4>5</vt:i4>
      </vt:variant>
      <vt:variant>
        <vt:lpwstr/>
      </vt:variant>
      <vt:variant>
        <vt:lpwstr>_Toc218517766</vt:lpwstr>
      </vt:variant>
      <vt:variant>
        <vt:i4>1179708</vt:i4>
      </vt:variant>
      <vt:variant>
        <vt:i4>32</vt:i4>
      </vt:variant>
      <vt:variant>
        <vt:i4>0</vt:i4>
      </vt:variant>
      <vt:variant>
        <vt:i4>5</vt:i4>
      </vt:variant>
      <vt:variant>
        <vt:lpwstr/>
      </vt:variant>
      <vt:variant>
        <vt:lpwstr>_Toc218517765</vt:lpwstr>
      </vt:variant>
      <vt:variant>
        <vt:i4>1179708</vt:i4>
      </vt:variant>
      <vt:variant>
        <vt:i4>26</vt:i4>
      </vt:variant>
      <vt:variant>
        <vt:i4>0</vt:i4>
      </vt:variant>
      <vt:variant>
        <vt:i4>5</vt:i4>
      </vt:variant>
      <vt:variant>
        <vt:lpwstr/>
      </vt:variant>
      <vt:variant>
        <vt:lpwstr>_Toc218517764</vt:lpwstr>
      </vt:variant>
      <vt:variant>
        <vt:i4>1179708</vt:i4>
      </vt:variant>
      <vt:variant>
        <vt:i4>20</vt:i4>
      </vt:variant>
      <vt:variant>
        <vt:i4>0</vt:i4>
      </vt:variant>
      <vt:variant>
        <vt:i4>5</vt:i4>
      </vt:variant>
      <vt:variant>
        <vt:lpwstr/>
      </vt:variant>
      <vt:variant>
        <vt:lpwstr>_Toc218517763</vt:lpwstr>
      </vt:variant>
      <vt:variant>
        <vt:i4>1179708</vt:i4>
      </vt:variant>
      <vt:variant>
        <vt:i4>14</vt:i4>
      </vt:variant>
      <vt:variant>
        <vt:i4>0</vt:i4>
      </vt:variant>
      <vt:variant>
        <vt:i4>5</vt:i4>
      </vt:variant>
      <vt:variant>
        <vt:lpwstr/>
      </vt:variant>
      <vt:variant>
        <vt:lpwstr>_Toc218517762</vt:lpwstr>
      </vt:variant>
      <vt:variant>
        <vt:i4>1179708</vt:i4>
      </vt:variant>
      <vt:variant>
        <vt:i4>8</vt:i4>
      </vt:variant>
      <vt:variant>
        <vt:i4>0</vt:i4>
      </vt:variant>
      <vt:variant>
        <vt:i4>5</vt:i4>
      </vt:variant>
      <vt:variant>
        <vt:lpwstr/>
      </vt:variant>
      <vt:variant>
        <vt:lpwstr>_Toc218517761</vt:lpwstr>
      </vt:variant>
      <vt:variant>
        <vt:i4>1179708</vt:i4>
      </vt:variant>
      <vt:variant>
        <vt:i4>2</vt:i4>
      </vt:variant>
      <vt:variant>
        <vt:i4>0</vt:i4>
      </vt:variant>
      <vt:variant>
        <vt:i4>5</vt:i4>
      </vt:variant>
      <vt:variant>
        <vt:lpwstr/>
      </vt:variant>
      <vt:variant>
        <vt:lpwstr>_Toc218517760</vt:lpwstr>
      </vt:variant>
      <vt:variant>
        <vt:i4>7274612</vt:i4>
      </vt:variant>
      <vt:variant>
        <vt:i4>9</vt:i4>
      </vt:variant>
      <vt:variant>
        <vt:i4>0</vt:i4>
      </vt:variant>
      <vt:variant>
        <vt:i4>5</vt:i4>
      </vt:variant>
      <vt:variant>
        <vt:lpwstr/>
      </vt:variant>
      <vt:variant>
        <vt:lpwstr>TOC</vt:lpwstr>
      </vt:variant>
      <vt:variant>
        <vt:i4>7274612</vt:i4>
      </vt:variant>
      <vt:variant>
        <vt:i4>3</vt:i4>
      </vt:variant>
      <vt:variant>
        <vt:i4>0</vt:i4>
      </vt:variant>
      <vt:variant>
        <vt:i4>5</vt:i4>
      </vt:variant>
      <vt:variant>
        <vt:lpwstr/>
      </vt:variant>
      <vt:variant>
        <vt:lpwstr>TOC</vt:lpwstr>
      </vt:variant>
      <vt:variant>
        <vt:i4>7929948</vt:i4>
      </vt:variant>
      <vt:variant>
        <vt:i4>69</vt:i4>
      </vt:variant>
      <vt:variant>
        <vt:i4>0</vt:i4>
      </vt:variant>
      <vt:variant>
        <vt:i4>5</vt:i4>
      </vt:variant>
      <vt:variant>
        <vt:lpwstr>https://www.fgiguidelines.org/wp-content/uploads/2017/08/SLS17_FGI_ExamProcedureOperatingImaging_170721.pdf</vt:lpwstr>
      </vt:variant>
      <vt:variant>
        <vt:lpwstr/>
      </vt:variant>
      <vt:variant>
        <vt:i4>7929948</vt:i4>
      </vt:variant>
      <vt:variant>
        <vt:i4>66</vt:i4>
      </vt:variant>
      <vt:variant>
        <vt:i4>0</vt:i4>
      </vt:variant>
      <vt:variant>
        <vt:i4>5</vt:i4>
      </vt:variant>
      <vt:variant>
        <vt:lpwstr>https://www.fgiguidelines.org/wp-content/uploads/2017/08/SLS17_FGI_ExamProcedureOperatingImaging_170721.pdf</vt:lpwstr>
      </vt:variant>
      <vt:variant>
        <vt:lpwstr/>
      </vt:variant>
      <vt:variant>
        <vt:i4>8060965</vt:i4>
      </vt:variant>
      <vt:variant>
        <vt:i4>63</vt:i4>
      </vt:variant>
      <vt:variant>
        <vt:i4>0</vt:i4>
      </vt:variant>
      <vt:variant>
        <vt:i4>5</vt:i4>
      </vt:variant>
      <vt:variant>
        <vt:lpwstr>https://www.ihi.org/resources/tools/rca2-improving-root-cause-analyses-and-actions-prevent-harm</vt:lpwstr>
      </vt:variant>
      <vt:variant>
        <vt:lpwstr/>
      </vt:variant>
      <vt:variant>
        <vt:i4>5505092</vt:i4>
      </vt:variant>
      <vt:variant>
        <vt:i4>60</vt:i4>
      </vt:variant>
      <vt:variant>
        <vt:i4>0</vt:i4>
      </vt:variant>
      <vt:variant>
        <vt:i4>5</vt:i4>
      </vt:variant>
      <vt:variant>
        <vt:lpwstr>https://digitalassets.jointcommission.org/api/public/content/4534bbaaee4f4bd280c2054765f37f4b?v=a60f8f9a</vt:lpwstr>
      </vt:variant>
      <vt:variant>
        <vt:lpwstr/>
      </vt:variant>
      <vt:variant>
        <vt:i4>852026</vt:i4>
      </vt:variant>
      <vt:variant>
        <vt:i4>57</vt:i4>
      </vt:variant>
      <vt:variant>
        <vt:i4>0</vt:i4>
      </vt:variant>
      <vt:variant>
        <vt:i4>5</vt:i4>
      </vt:variant>
      <vt:variant>
        <vt:lpwstr>http://apps.who.int/iris/bitstream/handle/10665/44196/9789241598606_eng.pdf;jsessionid=2AD6A606830268FFF337E2BD6ACAFC45?sequence=1</vt:lpwstr>
      </vt:variant>
      <vt:variant>
        <vt:lpwstr/>
      </vt:variant>
      <vt:variant>
        <vt:i4>2031683</vt:i4>
      </vt:variant>
      <vt:variant>
        <vt:i4>54</vt:i4>
      </vt:variant>
      <vt:variant>
        <vt:i4>0</vt:i4>
      </vt:variant>
      <vt:variant>
        <vt:i4>5</vt:i4>
      </vt:variant>
      <vt:variant>
        <vt:lpwstr>https://www.who.int/publications/i/item/9789241597906</vt:lpwstr>
      </vt:variant>
      <vt:variant>
        <vt:lpwstr/>
      </vt:variant>
      <vt:variant>
        <vt:i4>7667809</vt:i4>
      </vt:variant>
      <vt:variant>
        <vt:i4>51</vt:i4>
      </vt:variant>
      <vt:variant>
        <vt:i4>0</vt:i4>
      </vt:variant>
      <vt:variant>
        <vt:i4>5</vt:i4>
      </vt:variant>
      <vt:variant>
        <vt:lpwstr>https://www.cdc.gov/mmwr/PDF/rr/rr5116.pdf</vt:lpwstr>
      </vt:variant>
      <vt:variant>
        <vt:lpwstr/>
      </vt:variant>
      <vt:variant>
        <vt:i4>5177414</vt:i4>
      </vt:variant>
      <vt:variant>
        <vt:i4>48</vt:i4>
      </vt:variant>
      <vt:variant>
        <vt:i4>0</vt:i4>
      </vt:variant>
      <vt:variant>
        <vt:i4>5</vt:i4>
      </vt:variant>
      <vt:variant>
        <vt:lpwstr>https://www.who.int/campaigns/world-hand-hygiene-day</vt:lpwstr>
      </vt:variant>
      <vt:variant>
        <vt:lpwstr/>
      </vt:variant>
      <vt:variant>
        <vt:i4>8323196</vt:i4>
      </vt:variant>
      <vt:variant>
        <vt:i4>42</vt:i4>
      </vt:variant>
      <vt:variant>
        <vt:i4>0</vt:i4>
      </vt:variant>
      <vt:variant>
        <vt:i4>5</vt:i4>
      </vt:variant>
      <vt:variant>
        <vt:lpwstr>https://nam02.safelinks.protection.outlook.com/?url=https%3A%2F%2Fwww.sccm.org%2FEducation-Center%2FEducational-Programming%2FFundamentals%2FFundamental-Critical-Care-Support&amp;data=05%7C01%7CPLipscomb%40leapfrog-group.org%7C391e9445b9854332a32508db2a1a6539%7C95c34b8315eb4d9a97a7f29881f4a800%7C0%7C0%7C638150065072241194%7CUnknown%7CTWFpbGZsb3d8eyJWIjoiMC4wLjAwMDAiLCJQIjoiV2luMzIiLCJBTiI6Ik1haWwiLCJXVCI6Mn0%3D%7C3000%7C%7C%7C&amp;sdata=xe9giw6tDEoSUD%2FMy%2FG7jur%2BXfbSDZsUN%2Bx2qL49E%2B0%3D&amp;reserved=0</vt:lpwstr>
      </vt:variant>
      <vt:variant>
        <vt:lpwstr/>
      </vt:variant>
      <vt:variant>
        <vt:i4>5308490</vt:i4>
      </vt:variant>
      <vt:variant>
        <vt:i4>39</vt:i4>
      </vt:variant>
      <vt:variant>
        <vt:i4>0</vt:i4>
      </vt:variant>
      <vt:variant>
        <vt:i4>5</vt:i4>
      </vt:variant>
      <vt:variant>
        <vt:lpwstr>https://www.sts.org/quality-safety/performance-measures/descriptions</vt:lpwstr>
      </vt:variant>
      <vt:variant>
        <vt:lpwstr>MVRRComposite</vt:lpwstr>
      </vt:variant>
      <vt:variant>
        <vt:i4>6750258</vt:i4>
      </vt:variant>
      <vt:variant>
        <vt:i4>36</vt:i4>
      </vt:variant>
      <vt:variant>
        <vt:i4>0</vt:i4>
      </vt:variant>
      <vt:variant>
        <vt:i4>5</vt:i4>
      </vt:variant>
      <vt:variant>
        <vt:lpwstr>http://www.leapfroggroup.org/survey-materials/survey-and-cpoe-materials</vt:lpwstr>
      </vt:variant>
      <vt:variant>
        <vt:lpwstr/>
      </vt:variant>
      <vt:variant>
        <vt:i4>6750258</vt:i4>
      </vt:variant>
      <vt:variant>
        <vt:i4>33</vt:i4>
      </vt:variant>
      <vt:variant>
        <vt:i4>0</vt:i4>
      </vt:variant>
      <vt:variant>
        <vt:i4>5</vt:i4>
      </vt:variant>
      <vt:variant>
        <vt:lpwstr>http://www.leapfroggroup.org/survey-materials/survey-and-cpoe-materials</vt:lpwstr>
      </vt:variant>
      <vt:variant>
        <vt:lpwstr/>
      </vt:variant>
      <vt:variant>
        <vt:i4>2949221</vt:i4>
      </vt:variant>
      <vt:variant>
        <vt:i4>30</vt:i4>
      </vt:variant>
      <vt:variant>
        <vt:i4>0</vt:i4>
      </vt:variant>
      <vt:variant>
        <vt:i4>5</vt:i4>
      </vt:variant>
      <vt:variant>
        <vt:lpwstr>https://www.ptcb.org/credentials/medication-history-certificate</vt:lpwstr>
      </vt:variant>
      <vt:variant>
        <vt:lpwstr/>
      </vt:variant>
      <vt:variant>
        <vt:i4>2556020</vt:i4>
      </vt:variant>
      <vt:variant>
        <vt:i4>27</vt:i4>
      </vt:variant>
      <vt:variant>
        <vt:i4>0</vt:i4>
      </vt:variant>
      <vt:variant>
        <vt:i4>5</vt:i4>
      </vt:variant>
      <vt:variant>
        <vt:lpwstr>https://aornjournal.onlinelibrary.wiley.com/doi/full/10.1016/S0001-2092%2806%2960367-0</vt:lpwstr>
      </vt:variant>
      <vt:variant>
        <vt:lpwstr/>
      </vt:variant>
      <vt:variant>
        <vt:i4>589882</vt:i4>
      </vt:variant>
      <vt:variant>
        <vt:i4>24</vt:i4>
      </vt:variant>
      <vt:variant>
        <vt:i4>0</vt:i4>
      </vt:variant>
      <vt:variant>
        <vt:i4>5</vt:i4>
      </vt:variant>
      <vt:variant>
        <vt:lpwstr>https://nam02.safelinks.protection.outlook.com/?url=https%3A%2F%2Fwww.cdc.gov%2Fnhsn%2Fpdfs%2Fpscmanual%2Fpscmanual_current.pdf&amp;data=05%7C02%7CLKaufman%40leapfrog-group.org%7C064c254f3811457a4eb108de690e65e9%7C95c34b8315eb4d9a97a7f29881f4a800%7C0%7C0%7C639063707723194530%7CUnknown%7CTWFpbGZsb3d8eyJFbXB0eU1hcGkiOnRydWUsIlYiOiIwLjAuMDAwMCIsIlAiOiJXaW4zMiIsIkFOIjoiTWFpbCIsIldUIjoyfQ%3D%3D%7C0%7C%7C%7C&amp;sdata=nCOLQew11FGzu4F0SeU0tqg66SUxvLQxpCpHukLHOiE%3D&amp;reserved=0</vt:lpwstr>
      </vt:variant>
      <vt:variant>
        <vt:lpwstr/>
      </vt:variant>
      <vt:variant>
        <vt:i4>589882</vt:i4>
      </vt:variant>
      <vt:variant>
        <vt:i4>21</vt:i4>
      </vt:variant>
      <vt:variant>
        <vt:i4>0</vt:i4>
      </vt:variant>
      <vt:variant>
        <vt:i4>5</vt:i4>
      </vt:variant>
      <vt:variant>
        <vt:lpwstr>https://nam02.safelinks.protection.outlook.com/?url=https%3A%2F%2Fwww.cdc.gov%2Fnhsn%2Fpdfs%2Fpscmanual%2Fpscmanual_current.pdf&amp;data=05%7C02%7CLKaufman%40leapfrog-group.org%7C064c254f3811457a4eb108de690e65e9%7C95c34b8315eb4d9a97a7f29881f4a800%7C0%7C0%7C639063707723194530%7CUnknown%7CTWFpbGZsb3d8eyJFbXB0eU1hcGkiOnRydWUsIlYiOiIwLjAuMDAwMCIsIlAiOiJXaW4zMiIsIkFOIjoiTWFpbCIsIldUIjoyfQ%3D%3D%7C0%7C%7C%7C&amp;sdata=nCOLQew11FGzu4F0SeU0tqg66SUxvLQxpCpHukLHOiE%3D&amp;reserved=0</vt:lpwstr>
      </vt:variant>
      <vt:variant>
        <vt:lpwstr/>
      </vt:variant>
      <vt:variant>
        <vt:i4>1966154</vt:i4>
      </vt:variant>
      <vt:variant>
        <vt:i4>18</vt:i4>
      </vt:variant>
      <vt:variant>
        <vt:i4>0</vt:i4>
      </vt:variant>
      <vt:variant>
        <vt:i4>5</vt:i4>
      </vt:variant>
      <vt:variant>
        <vt:lpwstr>https://leapfroghelpdesk.zendesk.com/</vt:lpwstr>
      </vt:variant>
      <vt:variant>
        <vt:lpwstr/>
      </vt:variant>
      <vt:variant>
        <vt:i4>1966154</vt:i4>
      </vt:variant>
      <vt:variant>
        <vt:i4>15</vt:i4>
      </vt:variant>
      <vt:variant>
        <vt:i4>0</vt:i4>
      </vt:variant>
      <vt:variant>
        <vt:i4>5</vt:i4>
      </vt:variant>
      <vt:variant>
        <vt:lpwstr>https://leapfroghelpdesk.zendesk.com/</vt:lpwstr>
      </vt:variant>
      <vt:variant>
        <vt:lpwstr/>
      </vt:variant>
      <vt:variant>
        <vt:i4>1966154</vt:i4>
      </vt:variant>
      <vt:variant>
        <vt:i4>12</vt:i4>
      </vt:variant>
      <vt:variant>
        <vt:i4>0</vt:i4>
      </vt:variant>
      <vt:variant>
        <vt:i4>5</vt:i4>
      </vt:variant>
      <vt:variant>
        <vt:lpwstr>https://leapfroghelpdesk.zendesk.com/</vt:lpwstr>
      </vt:variant>
      <vt:variant>
        <vt:lpwstr/>
      </vt:variant>
      <vt:variant>
        <vt:i4>6881342</vt:i4>
      </vt:variant>
      <vt:variant>
        <vt:i4>9</vt:i4>
      </vt:variant>
      <vt:variant>
        <vt:i4>0</vt:i4>
      </vt:variant>
      <vt:variant>
        <vt:i4>5</vt:i4>
      </vt:variant>
      <vt:variant>
        <vt:lpwstr>https://public.vtoxford.org/transfer-codes/</vt:lpwstr>
      </vt:variant>
      <vt:variant>
        <vt:lpwstr/>
      </vt:variant>
      <vt:variant>
        <vt:i4>2359393</vt:i4>
      </vt:variant>
      <vt:variant>
        <vt:i4>6</vt:i4>
      </vt:variant>
      <vt:variant>
        <vt:i4>0</vt:i4>
      </vt:variant>
      <vt:variant>
        <vt:i4>5</vt:i4>
      </vt:variant>
      <vt:variant>
        <vt:lpwstr>http://www.leapfroggroup.org/survey-materials/join-nhsn</vt:lpwstr>
      </vt:variant>
      <vt:variant>
        <vt:lpwstr/>
      </vt:variant>
      <vt:variant>
        <vt:i4>2359393</vt:i4>
      </vt:variant>
      <vt:variant>
        <vt:i4>3</vt:i4>
      </vt:variant>
      <vt:variant>
        <vt:i4>0</vt:i4>
      </vt:variant>
      <vt:variant>
        <vt:i4>5</vt:i4>
      </vt:variant>
      <vt:variant>
        <vt:lpwstr>http://www.leapfroggroup.org/survey-materials/join-nhsn</vt:lpwstr>
      </vt:variant>
      <vt:variant>
        <vt:lpwstr/>
      </vt:variant>
      <vt:variant>
        <vt:i4>1966154</vt:i4>
      </vt:variant>
      <vt:variant>
        <vt:i4>0</vt:i4>
      </vt:variant>
      <vt:variant>
        <vt:i4>0</vt:i4>
      </vt:variant>
      <vt:variant>
        <vt:i4>5</vt:i4>
      </vt:variant>
      <vt:variant>
        <vt:lpwstr>https://leapfroghelpdesk.zendesk.com/</vt:lpwstr>
      </vt:variant>
      <vt:variant>
        <vt:lpwstr/>
      </vt:variant>
      <vt:variant>
        <vt:i4>4915294</vt:i4>
      </vt:variant>
      <vt:variant>
        <vt:i4>114</vt:i4>
      </vt:variant>
      <vt:variant>
        <vt:i4>0</vt:i4>
      </vt:variant>
      <vt:variant>
        <vt:i4>5</vt:i4>
      </vt:variant>
      <vt:variant>
        <vt:lpwstr>https://www.leapfroggroup.org/survey-materials/deadlines</vt:lpwstr>
      </vt:variant>
      <vt:variant>
        <vt:lpwstr/>
      </vt:variant>
      <vt:variant>
        <vt:i4>4915294</vt:i4>
      </vt:variant>
      <vt:variant>
        <vt:i4>111</vt:i4>
      </vt:variant>
      <vt:variant>
        <vt:i4>0</vt:i4>
      </vt:variant>
      <vt:variant>
        <vt:i4>5</vt:i4>
      </vt:variant>
      <vt:variant>
        <vt:lpwstr>https://www.leapfroggroup.org/survey-materials/deadlines</vt:lpwstr>
      </vt:variant>
      <vt:variant>
        <vt:lpwstr/>
      </vt:variant>
      <vt:variant>
        <vt:i4>4915294</vt:i4>
      </vt:variant>
      <vt:variant>
        <vt:i4>108</vt:i4>
      </vt:variant>
      <vt:variant>
        <vt:i4>0</vt:i4>
      </vt:variant>
      <vt:variant>
        <vt:i4>5</vt:i4>
      </vt:variant>
      <vt:variant>
        <vt:lpwstr>https://www.leapfroggroup.org/survey-materials/deadlines</vt:lpwstr>
      </vt:variant>
      <vt:variant>
        <vt:lpwstr/>
      </vt:variant>
      <vt:variant>
        <vt:i4>4915294</vt:i4>
      </vt:variant>
      <vt:variant>
        <vt:i4>105</vt:i4>
      </vt:variant>
      <vt:variant>
        <vt:i4>0</vt:i4>
      </vt:variant>
      <vt:variant>
        <vt:i4>5</vt:i4>
      </vt:variant>
      <vt:variant>
        <vt:lpwstr>https://www.leapfroggroup.org/survey-materials/deadlines</vt:lpwstr>
      </vt:variant>
      <vt:variant>
        <vt:lpwstr/>
      </vt:variant>
      <vt:variant>
        <vt:i4>4915294</vt:i4>
      </vt:variant>
      <vt:variant>
        <vt:i4>102</vt:i4>
      </vt:variant>
      <vt:variant>
        <vt:i4>0</vt:i4>
      </vt:variant>
      <vt:variant>
        <vt:i4>5</vt:i4>
      </vt:variant>
      <vt:variant>
        <vt:lpwstr>https://www.leapfroggroup.org/survey-materials/deadlines</vt:lpwstr>
      </vt:variant>
      <vt:variant>
        <vt:lpwstr/>
      </vt:variant>
      <vt:variant>
        <vt:i4>4915294</vt:i4>
      </vt:variant>
      <vt:variant>
        <vt:i4>99</vt:i4>
      </vt:variant>
      <vt:variant>
        <vt:i4>0</vt:i4>
      </vt:variant>
      <vt:variant>
        <vt:i4>5</vt:i4>
      </vt:variant>
      <vt:variant>
        <vt:lpwstr>https://www.leapfroggroup.org/survey-materials/deadlines</vt:lpwstr>
      </vt:variant>
      <vt:variant>
        <vt:lpwstr/>
      </vt:variant>
      <vt:variant>
        <vt:i4>4915294</vt:i4>
      </vt:variant>
      <vt:variant>
        <vt:i4>96</vt:i4>
      </vt:variant>
      <vt:variant>
        <vt:i4>0</vt:i4>
      </vt:variant>
      <vt:variant>
        <vt:i4>5</vt:i4>
      </vt:variant>
      <vt:variant>
        <vt:lpwstr>https://www.leapfroggroup.org/survey-materials/deadlines</vt:lpwstr>
      </vt:variant>
      <vt:variant>
        <vt:lpwstr/>
      </vt:variant>
      <vt:variant>
        <vt:i4>7929964</vt:i4>
      </vt:variant>
      <vt:variant>
        <vt:i4>93</vt:i4>
      </vt:variant>
      <vt:variant>
        <vt:i4>0</vt:i4>
      </vt:variant>
      <vt:variant>
        <vt:i4>5</vt:i4>
      </vt:variant>
      <vt:variant>
        <vt:lpwstr>https://www.leapfroggroup.org/survey-materials/review-nhsn-instructions</vt:lpwstr>
      </vt:variant>
      <vt:variant>
        <vt:lpwstr/>
      </vt:variant>
      <vt:variant>
        <vt:i4>4915294</vt:i4>
      </vt:variant>
      <vt:variant>
        <vt:i4>90</vt:i4>
      </vt:variant>
      <vt:variant>
        <vt:i4>0</vt:i4>
      </vt:variant>
      <vt:variant>
        <vt:i4>5</vt:i4>
      </vt:variant>
      <vt:variant>
        <vt:lpwstr>https://www.leapfroggroup.org/survey-materials/deadlines</vt:lpwstr>
      </vt:variant>
      <vt:variant>
        <vt:lpwstr/>
      </vt:variant>
      <vt:variant>
        <vt:i4>4915294</vt:i4>
      </vt:variant>
      <vt:variant>
        <vt:i4>87</vt:i4>
      </vt:variant>
      <vt:variant>
        <vt:i4>0</vt:i4>
      </vt:variant>
      <vt:variant>
        <vt:i4>5</vt:i4>
      </vt:variant>
      <vt:variant>
        <vt:lpwstr>https://www.leapfroggroup.org/survey-materials/deadlines</vt:lpwstr>
      </vt:variant>
      <vt:variant>
        <vt:lpwstr/>
      </vt:variant>
      <vt:variant>
        <vt:i4>4915294</vt:i4>
      </vt:variant>
      <vt:variant>
        <vt:i4>84</vt:i4>
      </vt:variant>
      <vt:variant>
        <vt:i4>0</vt:i4>
      </vt:variant>
      <vt:variant>
        <vt:i4>5</vt:i4>
      </vt:variant>
      <vt:variant>
        <vt:lpwstr>https://www.leapfroggroup.org/survey-materials/deadlines</vt:lpwstr>
      </vt:variant>
      <vt:variant>
        <vt:lpwstr/>
      </vt:variant>
      <vt:variant>
        <vt:i4>4915294</vt:i4>
      </vt:variant>
      <vt:variant>
        <vt:i4>81</vt:i4>
      </vt:variant>
      <vt:variant>
        <vt:i4>0</vt:i4>
      </vt:variant>
      <vt:variant>
        <vt:i4>5</vt:i4>
      </vt:variant>
      <vt:variant>
        <vt:lpwstr>https://www.leapfroggroup.org/survey-materials/deadlines</vt:lpwstr>
      </vt:variant>
      <vt:variant>
        <vt:lpwstr/>
      </vt:variant>
      <vt:variant>
        <vt:i4>4915294</vt:i4>
      </vt:variant>
      <vt:variant>
        <vt:i4>78</vt:i4>
      </vt:variant>
      <vt:variant>
        <vt:i4>0</vt:i4>
      </vt:variant>
      <vt:variant>
        <vt:i4>5</vt:i4>
      </vt:variant>
      <vt:variant>
        <vt:lpwstr>https://www.leapfroggroup.org/survey-materials/deadlines</vt:lpwstr>
      </vt:variant>
      <vt:variant>
        <vt:lpwstr/>
      </vt:variant>
      <vt:variant>
        <vt:i4>4915294</vt:i4>
      </vt:variant>
      <vt:variant>
        <vt:i4>75</vt:i4>
      </vt:variant>
      <vt:variant>
        <vt:i4>0</vt:i4>
      </vt:variant>
      <vt:variant>
        <vt:i4>5</vt:i4>
      </vt:variant>
      <vt:variant>
        <vt:lpwstr>https://www.leapfroggroup.org/survey-materials/deadlines</vt:lpwstr>
      </vt:variant>
      <vt:variant>
        <vt:lpwstr/>
      </vt:variant>
      <vt:variant>
        <vt:i4>4915294</vt:i4>
      </vt:variant>
      <vt:variant>
        <vt:i4>72</vt:i4>
      </vt:variant>
      <vt:variant>
        <vt:i4>0</vt:i4>
      </vt:variant>
      <vt:variant>
        <vt:i4>5</vt:i4>
      </vt:variant>
      <vt:variant>
        <vt:lpwstr>https://www.leapfroggroup.org/survey-materials/deadlines</vt:lpwstr>
      </vt:variant>
      <vt:variant>
        <vt:lpwstr/>
      </vt:variant>
      <vt:variant>
        <vt:i4>4915294</vt:i4>
      </vt:variant>
      <vt:variant>
        <vt:i4>69</vt:i4>
      </vt:variant>
      <vt:variant>
        <vt:i4>0</vt:i4>
      </vt:variant>
      <vt:variant>
        <vt:i4>5</vt:i4>
      </vt:variant>
      <vt:variant>
        <vt:lpwstr>https://www.leapfroggroup.org/survey-materials/deadlines</vt:lpwstr>
      </vt:variant>
      <vt:variant>
        <vt:lpwstr/>
      </vt:variant>
      <vt:variant>
        <vt:i4>2097163</vt:i4>
      </vt:variant>
      <vt:variant>
        <vt:i4>66</vt:i4>
      </vt:variant>
      <vt:variant>
        <vt:i4>0</vt:i4>
      </vt:variant>
      <vt:variant>
        <vt:i4>5</vt:i4>
      </vt:variant>
      <vt:variant>
        <vt:lpwstr/>
      </vt:variant>
      <vt:variant>
        <vt:lpwstr>_VON_National_Performance</vt:lpwstr>
      </vt:variant>
      <vt:variant>
        <vt:i4>4915294</vt:i4>
      </vt:variant>
      <vt:variant>
        <vt:i4>63</vt:i4>
      </vt:variant>
      <vt:variant>
        <vt:i4>0</vt:i4>
      </vt:variant>
      <vt:variant>
        <vt:i4>5</vt:i4>
      </vt:variant>
      <vt:variant>
        <vt:lpwstr>https://www.leapfroggroup.org/survey-materials/deadlines</vt:lpwstr>
      </vt:variant>
      <vt:variant>
        <vt:lpwstr/>
      </vt:variant>
      <vt:variant>
        <vt:i4>4915294</vt:i4>
      </vt:variant>
      <vt:variant>
        <vt:i4>60</vt:i4>
      </vt:variant>
      <vt:variant>
        <vt:i4>0</vt:i4>
      </vt:variant>
      <vt:variant>
        <vt:i4>5</vt:i4>
      </vt:variant>
      <vt:variant>
        <vt:lpwstr>https://www.leapfroggroup.org/survey-materials/deadlines</vt:lpwstr>
      </vt:variant>
      <vt:variant>
        <vt:lpwstr/>
      </vt:variant>
      <vt:variant>
        <vt:i4>4915294</vt:i4>
      </vt:variant>
      <vt:variant>
        <vt:i4>57</vt:i4>
      </vt:variant>
      <vt:variant>
        <vt:i4>0</vt:i4>
      </vt:variant>
      <vt:variant>
        <vt:i4>5</vt:i4>
      </vt:variant>
      <vt:variant>
        <vt:lpwstr>https://www.leapfroggroup.org/survey-materials/deadlines</vt:lpwstr>
      </vt:variant>
      <vt:variant>
        <vt:lpwstr/>
      </vt:variant>
      <vt:variant>
        <vt:i4>4915294</vt:i4>
      </vt:variant>
      <vt:variant>
        <vt:i4>54</vt:i4>
      </vt:variant>
      <vt:variant>
        <vt:i4>0</vt:i4>
      </vt:variant>
      <vt:variant>
        <vt:i4>5</vt:i4>
      </vt:variant>
      <vt:variant>
        <vt:lpwstr>https://www.leapfroggroup.org/survey-materials/deadlines</vt:lpwstr>
      </vt:variant>
      <vt:variant>
        <vt:lpwstr/>
      </vt:variant>
      <vt:variant>
        <vt:i4>4915294</vt:i4>
      </vt:variant>
      <vt:variant>
        <vt:i4>51</vt:i4>
      </vt:variant>
      <vt:variant>
        <vt:i4>0</vt:i4>
      </vt:variant>
      <vt:variant>
        <vt:i4>5</vt:i4>
      </vt:variant>
      <vt:variant>
        <vt:lpwstr>https://www.leapfroggroup.org/survey-materials/deadlines</vt:lpwstr>
      </vt:variant>
      <vt:variant>
        <vt:lpwstr/>
      </vt:variant>
      <vt:variant>
        <vt:i4>4915294</vt:i4>
      </vt:variant>
      <vt:variant>
        <vt:i4>48</vt:i4>
      </vt:variant>
      <vt:variant>
        <vt:i4>0</vt:i4>
      </vt:variant>
      <vt:variant>
        <vt:i4>5</vt:i4>
      </vt:variant>
      <vt:variant>
        <vt:lpwstr>https://www.leapfroggroup.org/survey-materials/deadlines</vt:lpwstr>
      </vt:variant>
      <vt:variant>
        <vt:lpwstr/>
      </vt:variant>
      <vt:variant>
        <vt:i4>4915294</vt:i4>
      </vt:variant>
      <vt:variant>
        <vt:i4>45</vt:i4>
      </vt:variant>
      <vt:variant>
        <vt:i4>0</vt:i4>
      </vt:variant>
      <vt:variant>
        <vt:i4>5</vt:i4>
      </vt:variant>
      <vt:variant>
        <vt:lpwstr>https://www.leapfroggroup.org/survey-materials/deadlines</vt:lpwstr>
      </vt:variant>
      <vt:variant>
        <vt:lpwstr/>
      </vt:variant>
      <vt:variant>
        <vt:i4>4915294</vt:i4>
      </vt:variant>
      <vt:variant>
        <vt:i4>42</vt:i4>
      </vt:variant>
      <vt:variant>
        <vt:i4>0</vt:i4>
      </vt:variant>
      <vt:variant>
        <vt:i4>5</vt:i4>
      </vt:variant>
      <vt:variant>
        <vt:lpwstr>https://www.leapfroggroup.org/survey-materials/deadlines</vt:lpwstr>
      </vt:variant>
      <vt:variant>
        <vt:lpwstr/>
      </vt:variant>
      <vt:variant>
        <vt:i4>4915294</vt:i4>
      </vt:variant>
      <vt:variant>
        <vt:i4>39</vt:i4>
      </vt:variant>
      <vt:variant>
        <vt:i4>0</vt:i4>
      </vt:variant>
      <vt:variant>
        <vt:i4>5</vt:i4>
      </vt:variant>
      <vt:variant>
        <vt:lpwstr>https://www.leapfroggroup.org/survey-materials/deadlines</vt:lpwstr>
      </vt:variant>
      <vt:variant>
        <vt:lpwstr/>
      </vt:variant>
      <vt:variant>
        <vt:i4>5177416</vt:i4>
      </vt:variant>
      <vt:variant>
        <vt:i4>36</vt:i4>
      </vt:variant>
      <vt:variant>
        <vt:i4>0</vt:i4>
      </vt:variant>
      <vt:variant>
        <vt:i4>5</vt:i4>
      </vt:variant>
      <vt:variant>
        <vt:lpwstr>https://www.sts.org/</vt:lpwstr>
      </vt:variant>
      <vt:variant>
        <vt:lpwstr/>
      </vt:variant>
      <vt:variant>
        <vt:i4>4915294</vt:i4>
      </vt:variant>
      <vt:variant>
        <vt:i4>33</vt:i4>
      </vt:variant>
      <vt:variant>
        <vt:i4>0</vt:i4>
      </vt:variant>
      <vt:variant>
        <vt:i4>5</vt:i4>
      </vt:variant>
      <vt:variant>
        <vt:lpwstr>https://www.leapfroggroup.org/survey-materials/deadlines</vt:lpwstr>
      </vt:variant>
      <vt:variant>
        <vt:lpwstr/>
      </vt:variant>
      <vt:variant>
        <vt:i4>4915294</vt:i4>
      </vt:variant>
      <vt:variant>
        <vt:i4>30</vt:i4>
      </vt:variant>
      <vt:variant>
        <vt:i4>0</vt:i4>
      </vt:variant>
      <vt:variant>
        <vt:i4>5</vt:i4>
      </vt:variant>
      <vt:variant>
        <vt:lpwstr>https://www.leapfroggroup.org/survey-materials/deadlines</vt:lpwstr>
      </vt:variant>
      <vt:variant>
        <vt:lpwstr/>
      </vt:variant>
      <vt:variant>
        <vt:i4>4915294</vt:i4>
      </vt:variant>
      <vt:variant>
        <vt:i4>27</vt:i4>
      </vt:variant>
      <vt:variant>
        <vt:i4>0</vt:i4>
      </vt:variant>
      <vt:variant>
        <vt:i4>5</vt:i4>
      </vt:variant>
      <vt:variant>
        <vt:lpwstr>https://www.leapfroggroup.org/survey-materials/deadlines</vt:lpwstr>
      </vt:variant>
      <vt:variant>
        <vt:lpwstr/>
      </vt:variant>
      <vt:variant>
        <vt:i4>4915294</vt:i4>
      </vt:variant>
      <vt:variant>
        <vt:i4>24</vt:i4>
      </vt:variant>
      <vt:variant>
        <vt:i4>0</vt:i4>
      </vt:variant>
      <vt:variant>
        <vt:i4>5</vt:i4>
      </vt:variant>
      <vt:variant>
        <vt:lpwstr>https://www.leapfroggroup.org/survey-materials/deadlines</vt:lpwstr>
      </vt:variant>
      <vt:variant>
        <vt:lpwstr/>
      </vt:variant>
      <vt:variant>
        <vt:i4>4915294</vt:i4>
      </vt:variant>
      <vt:variant>
        <vt:i4>21</vt:i4>
      </vt:variant>
      <vt:variant>
        <vt:i4>0</vt:i4>
      </vt:variant>
      <vt:variant>
        <vt:i4>5</vt:i4>
      </vt:variant>
      <vt:variant>
        <vt:lpwstr>https://www.leapfroggroup.org/survey-materials/deadlines</vt:lpwstr>
      </vt:variant>
      <vt:variant>
        <vt:lpwstr/>
      </vt:variant>
      <vt:variant>
        <vt:i4>4915294</vt:i4>
      </vt:variant>
      <vt:variant>
        <vt:i4>18</vt:i4>
      </vt:variant>
      <vt:variant>
        <vt:i4>0</vt:i4>
      </vt:variant>
      <vt:variant>
        <vt:i4>5</vt:i4>
      </vt:variant>
      <vt:variant>
        <vt:lpwstr>https://www.leapfroggroup.org/survey-materials/deadlines</vt:lpwstr>
      </vt:variant>
      <vt:variant>
        <vt:lpwstr/>
      </vt:variant>
      <vt:variant>
        <vt:i4>4915294</vt:i4>
      </vt:variant>
      <vt:variant>
        <vt:i4>15</vt:i4>
      </vt:variant>
      <vt:variant>
        <vt:i4>0</vt:i4>
      </vt:variant>
      <vt:variant>
        <vt:i4>5</vt:i4>
      </vt:variant>
      <vt:variant>
        <vt:lpwstr>https://www.leapfroggroup.org/survey-materials/deadlines</vt:lpwstr>
      </vt:variant>
      <vt:variant>
        <vt:lpwstr/>
      </vt:variant>
      <vt:variant>
        <vt:i4>4915294</vt:i4>
      </vt:variant>
      <vt:variant>
        <vt:i4>12</vt:i4>
      </vt:variant>
      <vt:variant>
        <vt:i4>0</vt:i4>
      </vt:variant>
      <vt:variant>
        <vt:i4>5</vt:i4>
      </vt:variant>
      <vt:variant>
        <vt:lpwstr>https://www.leapfroggroup.org/survey-materials/deadlines</vt:lpwstr>
      </vt:variant>
      <vt:variant>
        <vt:lpwstr/>
      </vt:variant>
      <vt:variant>
        <vt:i4>4915294</vt:i4>
      </vt:variant>
      <vt:variant>
        <vt:i4>9</vt:i4>
      </vt:variant>
      <vt:variant>
        <vt:i4>0</vt:i4>
      </vt:variant>
      <vt:variant>
        <vt:i4>5</vt:i4>
      </vt:variant>
      <vt:variant>
        <vt:lpwstr>https://www.leapfroggroup.org/survey-materials/deadlines</vt:lpwstr>
      </vt:variant>
      <vt:variant>
        <vt:lpwstr/>
      </vt:variant>
      <vt:variant>
        <vt:i4>4915294</vt:i4>
      </vt:variant>
      <vt:variant>
        <vt:i4>6</vt:i4>
      </vt:variant>
      <vt:variant>
        <vt:i4>0</vt:i4>
      </vt:variant>
      <vt:variant>
        <vt:i4>5</vt:i4>
      </vt:variant>
      <vt:variant>
        <vt:lpwstr>https://www.leapfroggroup.org/survey-materials/deadlines</vt:lpwstr>
      </vt:variant>
      <vt:variant>
        <vt:lpwstr/>
      </vt:variant>
      <vt:variant>
        <vt:i4>2359343</vt:i4>
      </vt:variant>
      <vt:variant>
        <vt:i4>3</vt:i4>
      </vt:variant>
      <vt:variant>
        <vt:i4>0</vt:i4>
      </vt:variant>
      <vt:variant>
        <vt:i4>5</vt:i4>
      </vt:variant>
      <vt:variant>
        <vt:lpwstr>https://ratings.leapfroggroup.org/</vt:lpwstr>
      </vt:variant>
      <vt:variant>
        <vt:lpwstr/>
      </vt:variant>
      <vt:variant>
        <vt:i4>6750315</vt:i4>
      </vt:variant>
      <vt:variant>
        <vt:i4>0</vt:i4>
      </vt:variant>
      <vt:variant>
        <vt:i4>0</vt:i4>
      </vt:variant>
      <vt:variant>
        <vt:i4>5</vt:i4>
      </vt:variant>
      <vt:variant>
        <vt:lpwstr>http://leapfroggroup.org/survey-materials/survey-and-cpoe-materials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Leapfrog Hospital Survey</dc:title>
  <dc:subject/>
  <dc:creator>Melissa Danforth</dc:creator>
  <cp:keywords/>
  <dc:description/>
  <cp:lastModifiedBy>Leah Kaufman</cp:lastModifiedBy>
  <cp:revision>5</cp:revision>
  <cp:lastPrinted>2026-07-09T14:42:00Z</cp:lastPrinted>
  <dcterms:created xsi:type="dcterms:W3CDTF">2026-10-21T15:05:00Z</dcterms:created>
  <dcterms:modified xsi:type="dcterms:W3CDTF">2026-10-21T15:06:00Z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0x0101009FBFE9F8E814B9458E004ABC1F0CC3C9</vt:lpwstr>
  </property>
  <property fmtid="{D5CDD505-2E9C-101B-9397-08002B2CF9AE}" pid="4" name="MediaServiceImageTags">
    <vt:lpwstr/>
  </property>
  <property fmtid="{D5CDD505-2E9C-101B-9397-08002B2CF9AE}" pid="5" name="_dlc_DocIdItemGuid">
    <vt:lpwstr>ccbbd5c8-9368-4e53-8812-26c07632104c</vt:lpwstr>
  </property>
</Properties>
</file>